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E930" w14:textId="260B5B7E" w:rsidR="00521C48" w:rsidRDefault="008D65C3" w:rsidP="000438FF">
      <w:pPr>
        <w:tabs>
          <w:tab w:val="left" w:pos="8527"/>
        </w:tabs>
        <w:spacing w:before="1440"/>
        <w:rPr>
          <w:rFonts w:ascii="Arial" w:hAnsi="Arial" w:cs="Arial"/>
          <w:b/>
          <w:sz w:val="22"/>
          <w:szCs w:val="22"/>
          <w:lang w:val="fr-FR"/>
        </w:rPr>
      </w:pPr>
      <w:r>
        <w:rPr>
          <w:rFonts w:ascii="Arial" w:hAnsi="Arial" w:cs="Arial"/>
          <w:b/>
          <w:sz w:val="22"/>
          <w:szCs w:val="22"/>
          <w:lang w:val="fr-FR"/>
        </w:rPr>
        <w:tab/>
      </w:r>
    </w:p>
    <w:p w14:paraId="5433861A" w14:textId="3AD63A5E" w:rsidR="002938F2" w:rsidRPr="00315D80" w:rsidRDefault="00F75E18" w:rsidP="00C13665">
      <w:pPr>
        <w:spacing w:before="1440"/>
        <w:jc w:val="center"/>
        <w:rPr>
          <w:rFonts w:ascii="Arial" w:hAnsi="Arial" w:cs="Arial"/>
          <w:b/>
          <w:sz w:val="22"/>
          <w:szCs w:val="22"/>
          <w:lang w:val="fr-FR"/>
        </w:rPr>
      </w:pPr>
      <w:r w:rsidRPr="00315D80">
        <w:rPr>
          <w:rFonts w:ascii="Arial" w:hAnsi="Arial" w:cs="Arial"/>
          <w:b/>
          <w:sz w:val="22"/>
          <w:szCs w:val="22"/>
          <w:lang w:val="fr-FR"/>
        </w:rPr>
        <w:t>CONVENTION POUR LA SAUVEGARDE DU</w:t>
      </w:r>
      <w:r w:rsidRPr="00315D80">
        <w:rPr>
          <w:rFonts w:ascii="Arial" w:hAnsi="Arial" w:cs="Arial"/>
          <w:b/>
          <w:sz w:val="22"/>
          <w:szCs w:val="22"/>
          <w:lang w:val="fr-FR"/>
        </w:rPr>
        <w:br/>
        <w:t>PATRIMOINE CULTUREL IMMATÉRIEL</w:t>
      </w:r>
    </w:p>
    <w:p w14:paraId="57AC88EF" w14:textId="08F770F5" w:rsidR="00074CE1" w:rsidRPr="00315D80" w:rsidRDefault="002D4EFE" w:rsidP="00074CE1">
      <w:pPr>
        <w:spacing w:before="1200"/>
        <w:jc w:val="center"/>
        <w:rPr>
          <w:rFonts w:ascii="Arial" w:hAnsi="Arial" w:cs="Arial"/>
          <w:b/>
          <w:sz w:val="22"/>
          <w:szCs w:val="22"/>
          <w:lang w:val="fr-FR"/>
        </w:rPr>
      </w:pPr>
      <w:r w:rsidRPr="002D4EFE">
        <w:rPr>
          <w:rFonts w:ascii="Arial" w:hAnsi="Arial" w:cs="Arial"/>
          <w:b/>
          <w:sz w:val="22"/>
          <w:szCs w:val="22"/>
          <w:lang w:val="fr-FR"/>
        </w:rPr>
        <w:t>ASSEMBLÉE GÉNÉRALE DES ÉTATS PARTIES À LA CONVENTION</w:t>
      </w:r>
    </w:p>
    <w:p w14:paraId="434B26FD" w14:textId="77777777" w:rsidR="00521C48" w:rsidRPr="000438FF" w:rsidRDefault="00521C48" w:rsidP="00521C48">
      <w:pPr>
        <w:spacing w:before="840"/>
        <w:jc w:val="center"/>
        <w:rPr>
          <w:rFonts w:ascii="Arial" w:hAnsi="Arial" w:cs="Arial"/>
          <w:b/>
          <w:sz w:val="22"/>
          <w:szCs w:val="22"/>
          <w:lang w:val="fr-FR"/>
        </w:rPr>
      </w:pPr>
      <w:r w:rsidRPr="000438FF">
        <w:rPr>
          <w:rFonts w:ascii="Arial" w:hAnsi="Arial" w:cs="Arial"/>
          <w:b/>
          <w:sz w:val="22"/>
          <w:szCs w:val="22"/>
          <w:lang w:val="fr-FR"/>
        </w:rPr>
        <w:t>Dix</w:t>
      </w:r>
      <w:r w:rsidRPr="000438FF">
        <w:rPr>
          <w:rFonts w:ascii="Arial" w:eastAsiaTheme="minorEastAsia" w:hAnsi="Arial" w:cs="Arial"/>
          <w:b/>
          <w:sz w:val="22"/>
          <w:szCs w:val="22"/>
          <w:lang w:val="fr-FR" w:eastAsia="ko-KR"/>
        </w:rPr>
        <w:t>ièm</w:t>
      </w:r>
      <w:r w:rsidRPr="000438FF">
        <w:rPr>
          <w:rFonts w:ascii="Arial" w:hAnsi="Arial" w:cs="Arial"/>
          <w:b/>
          <w:sz w:val="22"/>
          <w:szCs w:val="22"/>
          <w:lang w:val="fr-FR"/>
        </w:rPr>
        <w:t>e session</w:t>
      </w:r>
    </w:p>
    <w:p w14:paraId="35239E6A" w14:textId="59971768" w:rsidR="00521C48" w:rsidRPr="000438FF" w:rsidRDefault="00521C48" w:rsidP="00521C48">
      <w:pPr>
        <w:tabs>
          <w:tab w:val="center" w:pos="4819"/>
          <w:tab w:val="left" w:pos="7073"/>
        </w:tabs>
        <w:jc w:val="center"/>
        <w:rPr>
          <w:rFonts w:ascii="Arial" w:hAnsi="Arial"/>
          <w:b/>
          <w:sz w:val="22"/>
          <w:lang w:val="fr-FR"/>
        </w:rPr>
      </w:pPr>
      <w:r w:rsidRPr="000438FF">
        <w:rPr>
          <w:rFonts w:ascii="Arial" w:hAnsi="Arial"/>
          <w:b/>
          <w:sz w:val="22"/>
          <w:lang w:val="fr-FR"/>
        </w:rPr>
        <w:t>Siège de l</w:t>
      </w:r>
      <w:r w:rsidR="008E532B">
        <w:rPr>
          <w:rFonts w:ascii="Arial" w:hAnsi="Arial"/>
          <w:b/>
          <w:sz w:val="22"/>
          <w:lang w:val="fr-FR"/>
        </w:rPr>
        <w:t>’</w:t>
      </w:r>
      <w:r w:rsidRPr="000438FF">
        <w:rPr>
          <w:rFonts w:ascii="Arial" w:hAnsi="Arial"/>
          <w:b/>
          <w:sz w:val="22"/>
          <w:lang w:val="fr-FR"/>
        </w:rPr>
        <w:t>UNESCO, Salle I</w:t>
      </w:r>
    </w:p>
    <w:p w14:paraId="32810E91" w14:textId="2BD30059" w:rsidR="00521C48" w:rsidRPr="000438FF" w:rsidRDefault="00521C48" w:rsidP="00521C48">
      <w:pPr>
        <w:jc w:val="center"/>
        <w:rPr>
          <w:rFonts w:ascii="Arial" w:hAnsi="Arial"/>
          <w:b/>
          <w:sz w:val="22"/>
          <w:lang w:val="fr-FR"/>
        </w:rPr>
      </w:pPr>
      <w:r w:rsidRPr="000438FF">
        <w:rPr>
          <w:rFonts w:ascii="Arial" w:hAnsi="Arial"/>
          <w:b/>
          <w:sz w:val="22"/>
          <w:lang w:val="fr-FR"/>
        </w:rPr>
        <w:t>11 – 1</w:t>
      </w:r>
      <w:r w:rsidR="008D65C3" w:rsidRPr="000438FF">
        <w:rPr>
          <w:rFonts w:ascii="Arial" w:hAnsi="Arial"/>
          <w:b/>
          <w:sz w:val="22"/>
          <w:lang w:val="fr-FR"/>
        </w:rPr>
        <w:t>2</w:t>
      </w:r>
      <w:r w:rsidRPr="000438FF">
        <w:rPr>
          <w:rFonts w:ascii="Arial" w:hAnsi="Arial"/>
          <w:b/>
          <w:sz w:val="22"/>
          <w:lang w:val="fr-FR"/>
        </w:rPr>
        <w:t xml:space="preserve"> juin 2024</w:t>
      </w:r>
    </w:p>
    <w:p w14:paraId="47885574" w14:textId="36B2F0D8" w:rsidR="00851458" w:rsidRPr="000438FF" w:rsidRDefault="00D9653F" w:rsidP="000438FF">
      <w:pPr>
        <w:spacing w:before="840"/>
        <w:jc w:val="center"/>
        <w:rPr>
          <w:rFonts w:ascii="Arial" w:hAnsi="Arial" w:cs="Arial"/>
          <w:b/>
          <w:sz w:val="22"/>
          <w:szCs w:val="22"/>
          <w:lang w:val="fr-FR"/>
        </w:rPr>
      </w:pPr>
      <w:r w:rsidRPr="008D65C3">
        <w:rPr>
          <w:rFonts w:ascii="Arial" w:hAnsi="Arial" w:cs="Arial"/>
          <w:b/>
          <w:sz w:val="22"/>
          <w:szCs w:val="22"/>
          <w:u w:val="single"/>
          <w:lang w:val="fr-FR"/>
        </w:rPr>
        <w:t>Compte-rendu de la neuvième session de l</w:t>
      </w:r>
      <w:r w:rsidR="008E532B">
        <w:rPr>
          <w:rFonts w:ascii="Arial" w:hAnsi="Arial" w:cs="Arial"/>
          <w:b/>
          <w:sz w:val="22"/>
          <w:szCs w:val="22"/>
          <w:u w:val="single"/>
          <w:lang w:val="fr-FR"/>
        </w:rPr>
        <w:t>’</w:t>
      </w:r>
      <w:r w:rsidRPr="008D65C3">
        <w:rPr>
          <w:rFonts w:ascii="Arial" w:hAnsi="Arial" w:cs="Arial"/>
          <w:b/>
          <w:sz w:val="22"/>
          <w:szCs w:val="22"/>
          <w:u w:val="single"/>
          <w:lang w:val="fr-FR"/>
        </w:rPr>
        <w:t>Assemblée générale</w:t>
      </w:r>
      <w:r w:rsidRPr="008D65C3">
        <w:rPr>
          <w:rFonts w:ascii="Arial" w:hAnsi="Arial" w:cs="Arial"/>
          <w:b/>
          <w:sz w:val="22"/>
          <w:szCs w:val="22"/>
          <w:lang w:val="fr-FR"/>
        </w:rPr>
        <w:br/>
        <w:t xml:space="preserve">5 </w:t>
      </w:r>
      <w:r w:rsidR="00521C48" w:rsidRPr="008D65C3">
        <w:rPr>
          <w:rFonts w:ascii="Arial" w:hAnsi="Arial" w:cs="Arial"/>
          <w:b/>
          <w:sz w:val="22"/>
          <w:szCs w:val="22"/>
          <w:lang w:val="fr-FR"/>
        </w:rPr>
        <w:t xml:space="preserve">– </w:t>
      </w:r>
      <w:r w:rsidRPr="008D65C3">
        <w:rPr>
          <w:rFonts w:ascii="Arial" w:hAnsi="Arial" w:cs="Arial"/>
          <w:b/>
          <w:sz w:val="22"/>
          <w:szCs w:val="22"/>
          <w:lang w:val="fr-FR"/>
        </w:rPr>
        <w:t>7 juillet 2022</w:t>
      </w:r>
      <w:r w:rsidRPr="008D65C3">
        <w:rPr>
          <w:rFonts w:ascii="Arial" w:hAnsi="Arial" w:cs="Arial"/>
          <w:b/>
          <w:sz w:val="22"/>
          <w:szCs w:val="22"/>
          <w:lang w:val="fr-FR"/>
        </w:rPr>
        <w:br/>
        <w:t>Siège de l</w:t>
      </w:r>
      <w:r w:rsidR="008E532B">
        <w:rPr>
          <w:rFonts w:ascii="Arial" w:hAnsi="Arial" w:cs="Arial"/>
          <w:b/>
          <w:sz w:val="22"/>
          <w:szCs w:val="22"/>
          <w:lang w:val="fr-FR"/>
        </w:rPr>
        <w:t>’</w:t>
      </w:r>
      <w:r w:rsidRPr="008D65C3">
        <w:rPr>
          <w:rFonts w:ascii="Arial" w:hAnsi="Arial" w:cs="Arial"/>
          <w:b/>
          <w:sz w:val="22"/>
          <w:szCs w:val="22"/>
          <w:lang w:val="fr-FR"/>
        </w:rPr>
        <w:t xml:space="preserve">UNESCO, </w:t>
      </w:r>
      <w:r w:rsidR="00521C48" w:rsidRPr="008D65C3">
        <w:rPr>
          <w:rFonts w:ascii="Arial" w:hAnsi="Arial" w:cs="Arial"/>
          <w:b/>
          <w:sz w:val="22"/>
          <w:szCs w:val="22"/>
          <w:lang w:val="fr-FR"/>
        </w:rPr>
        <w:t>S</w:t>
      </w:r>
      <w:r w:rsidRPr="008D65C3">
        <w:rPr>
          <w:rFonts w:ascii="Arial" w:hAnsi="Arial" w:cs="Arial"/>
          <w:b/>
          <w:sz w:val="22"/>
          <w:szCs w:val="22"/>
          <w:lang w:val="fr-FR"/>
        </w:rPr>
        <w:t>alle I</w:t>
      </w:r>
    </w:p>
    <w:p w14:paraId="63B0FF55" w14:textId="110A4254" w:rsidR="00D9653F" w:rsidRPr="00D9653F" w:rsidRDefault="00851458" w:rsidP="00A444D8">
      <w:pPr>
        <w:pStyle w:val="1GAParabodytext"/>
        <w:keepNext/>
        <w:keepLines/>
        <w:numPr>
          <w:ilvl w:val="0"/>
          <w:numId w:val="0"/>
        </w:numPr>
        <w:tabs>
          <w:tab w:val="clear" w:pos="567"/>
          <w:tab w:val="left" w:pos="0"/>
        </w:tabs>
        <w:suppressAutoHyphens/>
        <w:autoSpaceDE w:val="0"/>
        <w:adjustRightInd w:val="0"/>
        <w:spacing w:before="240"/>
        <w:rPr>
          <w:rFonts w:eastAsia="SimSun"/>
        </w:rPr>
      </w:pPr>
      <w:r w:rsidRPr="00D9653F">
        <w:rPr>
          <w:b/>
          <w:u w:val="single"/>
        </w:rPr>
        <w:br w:type="page"/>
      </w:r>
      <w:r w:rsidR="00D9653F" w:rsidRPr="00D9653F">
        <w:rPr>
          <w:rFonts w:eastAsia="SimSun"/>
        </w:rPr>
        <w:lastRenderedPageBreak/>
        <w:t xml:space="preserve">La neuvième session de </w:t>
      </w:r>
      <w:r w:rsidR="00C544FD" w:rsidRPr="00D9653F">
        <w:rPr>
          <w:rFonts w:eastAsia="SimSun"/>
        </w:rPr>
        <w:t>l</w:t>
      </w:r>
      <w:r w:rsidR="008E532B">
        <w:rPr>
          <w:rFonts w:eastAsia="SimSun"/>
        </w:rPr>
        <w:t>’</w:t>
      </w:r>
      <w:r w:rsidR="00C544FD" w:rsidRPr="00D9653F">
        <w:rPr>
          <w:rFonts w:eastAsia="SimSun"/>
        </w:rPr>
        <w:t xml:space="preserve">Assemblée </w:t>
      </w:r>
      <w:r w:rsidR="00D9653F" w:rsidRPr="00D9653F">
        <w:rPr>
          <w:rFonts w:eastAsia="SimSun"/>
        </w:rPr>
        <w:t xml:space="preserve">générale des États parties à la Convention pour la sauvegarde du patrimoine culturel immatériel </w:t>
      </w:r>
      <w:r w:rsidR="00C544FD" w:rsidRPr="00D9653F">
        <w:rPr>
          <w:rFonts w:eastAsia="SimSun"/>
        </w:rPr>
        <w:t>s</w:t>
      </w:r>
      <w:r w:rsidR="008E532B">
        <w:rPr>
          <w:rFonts w:eastAsia="SimSun"/>
        </w:rPr>
        <w:t>’</w:t>
      </w:r>
      <w:r w:rsidR="00C544FD" w:rsidRPr="00D9653F">
        <w:rPr>
          <w:rFonts w:eastAsia="SimSun"/>
        </w:rPr>
        <w:t xml:space="preserve">est </w:t>
      </w:r>
      <w:r w:rsidR="00D9653F" w:rsidRPr="00D9653F">
        <w:rPr>
          <w:rFonts w:eastAsia="SimSun"/>
        </w:rPr>
        <w:t xml:space="preserve">tenue au Siège de </w:t>
      </w:r>
      <w:r w:rsidR="00C544FD" w:rsidRPr="00D9653F">
        <w:rPr>
          <w:rFonts w:eastAsia="SimSun"/>
        </w:rPr>
        <w:t>l</w:t>
      </w:r>
      <w:r w:rsidR="008E532B">
        <w:rPr>
          <w:rFonts w:eastAsia="SimSun"/>
        </w:rPr>
        <w:t>’</w:t>
      </w:r>
      <w:r w:rsidR="00C544FD" w:rsidRPr="00D9653F">
        <w:rPr>
          <w:rFonts w:eastAsia="SimSun"/>
        </w:rPr>
        <w:t>UNESCO</w:t>
      </w:r>
      <w:r w:rsidR="00D9653F" w:rsidRPr="00D9653F">
        <w:rPr>
          <w:rFonts w:eastAsia="SimSun"/>
        </w:rPr>
        <w:t xml:space="preserve">, à Paris, du 5 au 7 juillet 2022. Les représentants de 145 États parties à la Convention ont participé à la réunion, ainsi que deux États membres de </w:t>
      </w:r>
      <w:r w:rsidR="00C544FD" w:rsidRPr="00D9653F">
        <w:rPr>
          <w:rFonts w:eastAsia="SimSun"/>
        </w:rPr>
        <w:t>l</w:t>
      </w:r>
      <w:r w:rsidR="008E532B">
        <w:rPr>
          <w:rFonts w:eastAsia="SimSun"/>
        </w:rPr>
        <w:t>’</w:t>
      </w:r>
      <w:r w:rsidR="00C544FD" w:rsidRPr="00D9653F">
        <w:rPr>
          <w:rFonts w:eastAsia="SimSun"/>
        </w:rPr>
        <w:t xml:space="preserve">UNESCO </w:t>
      </w:r>
      <w:r w:rsidR="00D9653F" w:rsidRPr="00D9653F">
        <w:rPr>
          <w:rFonts w:eastAsia="SimSun"/>
        </w:rPr>
        <w:t>ou des Nations Unies non parties à la Convention, cinq organisations internationales (autres que les Nations Unies), 49 organisations non gouvernementales (ONG) accréditées et sept centres de catégorie 2 placés sous l</w:t>
      </w:r>
      <w:r w:rsidR="008E532B">
        <w:rPr>
          <w:rFonts w:eastAsia="SimSun"/>
        </w:rPr>
        <w:t>’</w:t>
      </w:r>
      <w:r w:rsidR="00D9653F" w:rsidRPr="00D9653F">
        <w:rPr>
          <w:rFonts w:eastAsia="SimSun"/>
        </w:rPr>
        <w:t>égide de l</w:t>
      </w:r>
      <w:r w:rsidR="008E532B">
        <w:rPr>
          <w:rFonts w:eastAsia="SimSun"/>
        </w:rPr>
        <w:t>’</w:t>
      </w:r>
      <w:r w:rsidR="00D9653F" w:rsidRPr="00D9653F">
        <w:rPr>
          <w:rFonts w:eastAsia="SimSun"/>
        </w:rPr>
        <w:t xml:space="preserve">UNESCO. </w:t>
      </w:r>
    </w:p>
    <w:p w14:paraId="77206967" w14:textId="0FEA100C" w:rsidR="00D9653F" w:rsidRDefault="00D9653F" w:rsidP="00A444D8">
      <w:pPr>
        <w:suppressAutoHyphens/>
        <w:autoSpaceDE w:val="0"/>
        <w:adjustRightInd w:val="0"/>
        <w:snapToGrid w:val="0"/>
        <w:spacing w:before="240" w:after="120"/>
        <w:jc w:val="both"/>
        <w:rPr>
          <w:rFonts w:ascii="Arial" w:eastAsia="SimSun" w:hAnsi="Arial" w:cs="Arial"/>
          <w:sz w:val="22"/>
          <w:szCs w:val="22"/>
          <w:lang w:val="fr-FR"/>
        </w:rPr>
      </w:pPr>
      <w:r w:rsidRPr="00C927A1">
        <w:rPr>
          <w:rFonts w:ascii="Arial" w:eastAsia="SimSun" w:hAnsi="Arial" w:cs="Arial"/>
          <w:sz w:val="22"/>
          <w:szCs w:val="22"/>
          <w:lang w:val="fr-FR"/>
        </w:rPr>
        <w:t>La session s</w:t>
      </w:r>
      <w:r w:rsidR="008E532B">
        <w:rPr>
          <w:rFonts w:ascii="Arial" w:eastAsia="SimSun" w:hAnsi="Arial" w:cs="Arial"/>
          <w:sz w:val="22"/>
          <w:szCs w:val="22"/>
          <w:lang w:val="fr-FR"/>
        </w:rPr>
        <w:t>’</w:t>
      </w:r>
      <w:r w:rsidRPr="00C927A1">
        <w:rPr>
          <w:rFonts w:ascii="Arial" w:eastAsia="SimSun" w:hAnsi="Arial" w:cs="Arial"/>
          <w:sz w:val="22"/>
          <w:szCs w:val="22"/>
          <w:lang w:val="fr-FR"/>
        </w:rPr>
        <w:t>est tenue dans les six langues de travail de l</w:t>
      </w:r>
      <w:r w:rsidR="008E532B">
        <w:rPr>
          <w:rFonts w:ascii="Arial" w:eastAsia="SimSun" w:hAnsi="Arial" w:cs="Arial"/>
          <w:sz w:val="22"/>
          <w:szCs w:val="22"/>
          <w:lang w:val="fr-FR"/>
        </w:rPr>
        <w:t>’</w:t>
      </w:r>
      <w:r w:rsidRPr="00C927A1">
        <w:rPr>
          <w:rFonts w:ascii="Arial" w:eastAsia="SimSun" w:hAnsi="Arial" w:cs="Arial"/>
          <w:sz w:val="22"/>
          <w:szCs w:val="22"/>
          <w:lang w:val="fr-FR"/>
        </w:rPr>
        <w:t xml:space="preserve">Assemblée générale : anglais, arabe, chinois, espagnol, français et russe. </w:t>
      </w:r>
      <w:r w:rsidR="00C544FD">
        <w:rPr>
          <w:rFonts w:ascii="Arial" w:eastAsia="SimSun" w:hAnsi="Arial" w:cs="Arial"/>
          <w:sz w:val="22"/>
          <w:szCs w:val="22"/>
          <w:lang w:val="fr-FR"/>
        </w:rPr>
        <w:t>L</w:t>
      </w:r>
      <w:r w:rsidR="008E532B">
        <w:rPr>
          <w:rFonts w:ascii="Arial" w:eastAsia="SimSun" w:hAnsi="Arial" w:cs="Arial"/>
          <w:sz w:val="22"/>
          <w:szCs w:val="22"/>
          <w:lang w:val="fr-FR"/>
        </w:rPr>
        <w:t>’</w:t>
      </w:r>
      <w:r w:rsidR="00C544FD">
        <w:rPr>
          <w:rFonts w:ascii="Arial" w:eastAsia="SimSun" w:hAnsi="Arial" w:cs="Arial"/>
          <w:sz w:val="22"/>
          <w:szCs w:val="22"/>
          <w:lang w:val="fr-FR"/>
        </w:rPr>
        <w:t>Entité du patrimoine vivant</w:t>
      </w:r>
      <w:r w:rsidRPr="00C927A1">
        <w:rPr>
          <w:rFonts w:ascii="Arial" w:eastAsia="SimSun" w:hAnsi="Arial" w:cs="Arial"/>
          <w:sz w:val="22"/>
          <w:szCs w:val="22"/>
          <w:lang w:val="fr-FR"/>
        </w:rPr>
        <w:t xml:space="preserve"> a assuré le Secrétariat de la réunion.</w:t>
      </w:r>
    </w:p>
    <w:p w14:paraId="73AE3051" w14:textId="3F92F51E" w:rsidR="00995E30" w:rsidRPr="000438FF" w:rsidRDefault="00995E30" w:rsidP="00A444D8">
      <w:pPr>
        <w:suppressAutoHyphens/>
        <w:autoSpaceDE w:val="0"/>
        <w:adjustRightInd w:val="0"/>
        <w:snapToGrid w:val="0"/>
        <w:spacing w:before="240" w:after="120"/>
        <w:jc w:val="both"/>
        <w:rPr>
          <w:rFonts w:ascii="Arial" w:eastAsia="SimSun" w:hAnsi="Arial" w:cs="Arial"/>
          <w:i/>
          <w:iCs/>
          <w:sz w:val="22"/>
          <w:szCs w:val="22"/>
          <w:lang w:val="fr-FR"/>
        </w:rPr>
      </w:pPr>
      <w:r w:rsidRPr="000438FF">
        <w:rPr>
          <w:rFonts w:ascii="Arial" w:eastAsia="SimSun" w:hAnsi="Arial" w:cs="Arial"/>
          <w:i/>
          <w:iCs/>
          <w:sz w:val="22"/>
          <w:szCs w:val="22"/>
          <w:lang w:val="fr-FR"/>
        </w:rPr>
        <w:t xml:space="preserve">Le compte-rendu a été rédigé sur la base de la transcription des interventions des participants à la </w:t>
      </w:r>
      <w:r>
        <w:rPr>
          <w:rFonts w:ascii="Arial" w:eastAsia="SimSun" w:hAnsi="Arial" w:cs="Arial"/>
          <w:i/>
          <w:iCs/>
          <w:sz w:val="22"/>
          <w:szCs w:val="22"/>
          <w:lang w:val="fr-FR"/>
        </w:rPr>
        <w:t>neuvième session de l</w:t>
      </w:r>
      <w:r w:rsidR="008E532B">
        <w:rPr>
          <w:rFonts w:ascii="Arial" w:eastAsia="SimSun" w:hAnsi="Arial" w:cs="Arial"/>
          <w:i/>
          <w:iCs/>
          <w:sz w:val="22"/>
          <w:szCs w:val="22"/>
          <w:lang w:val="fr-FR"/>
        </w:rPr>
        <w:t>’</w:t>
      </w:r>
      <w:r>
        <w:rPr>
          <w:rFonts w:ascii="Arial" w:eastAsia="SimSun" w:hAnsi="Arial" w:cs="Arial"/>
          <w:i/>
          <w:iCs/>
          <w:sz w:val="22"/>
          <w:szCs w:val="22"/>
          <w:lang w:val="fr-FR"/>
        </w:rPr>
        <w:t>Assemblée générale</w:t>
      </w:r>
      <w:r w:rsidRPr="000438FF">
        <w:rPr>
          <w:rFonts w:ascii="Arial" w:eastAsia="SimSun" w:hAnsi="Arial" w:cs="Arial"/>
          <w:i/>
          <w:iCs/>
          <w:sz w:val="22"/>
          <w:szCs w:val="22"/>
          <w:lang w:val="fr-FR"/>
        </w:rPr>
        <w:t>. Le texte de ce document n</w:t>
      </w:r>
      <w:r w:rsidR="008E532B">
        <w:rPr>
          <w:rFonts w:ascii="Arial" w:eastAsia="SimSun" w:hAnsi="Arial" w:cs="Arial"/>
          <w:i/>
          <w:iCs/>
          <w:sz w:val="22"/>
          <w:szCs w:val="22"/>
          <w:lang w:val="fr-FR"/>
        </w:rPr>
        <w:t>’</w:t>
      </w:r>
      <w:r w:rsidRPr="000438FF">
        <w:rPr>
          <w:rFonts w:ascii="Arial" w:eastAsia="SimSun" w:hAnsi="Arial" w:cs="Arial"/>
          <w:i/>
          <w:iCs/>
          <w:sz w:val="22"/>
          <w:szCs w:val="22"/>
          <w:lang w:val="fr-FR"/>
        </w:rPr>
        <w:t>implique l</w:t>
      </w:r>
      <w:r w:rsidR="008E532B">
        <w:rPr>
          <w:rFonts w:ascii="Arial" w:eastAsia="SimSun" w:hAnsi="Arial" w:cs="Arial"/>
          <w:i/>
          <w:iCs/>
          <w:sz w:val="22"/>
          <w:szCs w:val="22"/>
          <w:lang w:val="fr-FR"/>
        </w:rPr>
        <w:t>’</w:t>
      </w:r>
      <w:r w:rsidRPr="000438FF">
        <w:rPr>
          <w:rFonts w:ascii="Arial" w:eastAsia="SimSun" w:hAnsi="Arial" w:cs="Arial"/>
          <w:i/>
          <w:iCs/>
          <w:sz w:val="22"/>
          <w:szCs w:val="22"/>
          <w:lang w:val="fr-FR"/>
        </w:rPr>
        <w:t>expression d</w:t>
      </w:r>
      <w:r w:rsidR="008E532B">
        <w:rPr>
          <w:rFonts w:ascii="Arial" w:eastAsia="SimSun" w:hAnsi="Arial" w:cs="Arial"/>
          <w:i/>
          <w:iCs/>
          <w:sz w:val="22"/>
          <w:szCs w:val="22"/>
          <w:lang w:val="fr-FR"/>
        </w:rPr>
        <w:t>’</w:t>
      </w:r>
      <w:r w:rsidRPr="000438FF">
        <w:rPr>
          <w:rFonts w:ascii="Arial" w:eastAsia="SimSun" w:hAnsi="Arial" w:cs="Arial"/>
          <w:i/>
          <w:iCs/>
          <w:sz w:val="22"/>
          <w:szCs w:val="22"/>
          <w:lang w:val="fr-FR"/>
        </w:rPr>
        <w:t>aucune opinion de la part du Secrétariat de l</w:t>
      </w:r>
      <w:r w:rsidR="008E532B">
        <w:rPr>
          <w:rFonts w:ascii="Arial" w:eastAsia="SimSun" w:hAnsi="Arial" w:cs="Arial"/>
          <w:i/>
          <w:iCs/>
          <w:sz w:val="22"/>
          <w:szCs w:val="22"/>
          <w:lang w:val="fr-FR"/>
        </w:rPr>
        <w:t>’</w:t>
      </w:r>
      <w:r w:rsidRPr="000438FF">
        <w:rPr>
          <w:rFonts w:ascii="Arial" w:eastAsia="SimSun" w:hAnsi="Arial" w:cs="Arial"/>
          <w:i/>
          <w:iCs/>
          <w:sz w:val="22"/>
          <w:szCs w:val="22"/>
          <w:lang w:val="fr-FR"/>
        </w:rPr>
        <w:t>UNESCO concernant le statut juridique de tout pays, territoire, ville ou zone, ou de ses autorités ou concernant la délimitation de ses frontières ou limites.</w:t>
      </w:r>
    </w:p>
    <w:p w14:paraId="7A12A7B2" w14:textId="77777777" w:rsidR="00D9653F" w:rsidRPr="00DD12FB" w:rsidRDefault="00D9653F" w:rsidP="00511B25">
      <w:pPr>
        <w:autoSpaceDE w:val="0"/>
        <w:spacing w:before="240" w:after="240"/>
        <w:ind w:left="709" w:hanging="709"/>
        <w:jc w:val="center"/>
        <w:outlineLvl w:val="0"/>
        <w:rPr>
          <w:rFonts w:ascii="Arial" w:eastAsia="SimSun" w:hAnsi="Arial" w:cs="Arial"/>
          <w:i/>
          <w:iCs/>
          <w:sz w:val="22"/>
          <w:szCs w:val="22"/>
          <w:lang w:val="fr-FR"/>
        </w:rPr>
      </w:pPr>
      <w:r w:rsidRPr="00D9653F">
        <w:rPr>
          <w:rFonts w:ascii="Arial" w:eastAsia="SimSun" w:hAnsi="Arial" w:cs="Arial"/>
          <w:i/>
          <w:iCs/>
          <w:sz w:val="22"/>
          <w:szCs w:val="22"/>
          <w:lang w:val="fr-FR"/>
        </w:rPr>
        <w:t>[</w:t>
      </w:r>
      <w:r>
        <w:rPr>
          <w:rFonts w:ascii="Arial" w:eastAsia="SimSun" w:hAnsi="Arial" w:cs="Arial"/>
          <w:i/>
          <w:iCs/>
          <w:sz w:val="22"/>
          <w:szCs w:val="22"/>
          <w:lang w:val="fr-FR"/>
        </w:rPr>
        <w:t>Mardi</w:t>
      </w:r>
      <w:r w:rsidRPr="00DD12FB">
        <w:rPr>
          <w:rFonts w:ascii="Arial" w:eastAsia="SimSun" w:hAnsi="Arial" w:cs="Arial"/>
          <w:i/>
          <w:iCs/>
          <w:sz w:val="22"/>
          <w:szCs w:val="22"/>
          <w:lang w:val="fr-FR"/>
        </w:rPr>
        <w:t xml:space="preserve"> 5 juillet 2022, séance du matin]</w:t>
      </w:r>
    </w:p>
    <w:p w14:paraId="11242770" w14:textId="21764473" w:rsidR="00D9653F" w:rsidRPr="009F6BC9" w:rsidRDefault="00D9653F" w:rsidP="009F6BC9">
      <w:pPr>
        <w:pStyle w:val="Orateurengris"/>
        <w:keepNext/>
        <w:tabs>
          <w:tab w:val="clear" w:pos="709"/>
          <w:tab w:val="clear" w:pos="1418"/>
          <w:tab w:val="clear" w:pos="2126"/>
          <w:tab w:val="clear" w:pos="2835"/>
        </w:tabs>
        <w:spacing w:before="360" w:after="0"/>
        <w:jc w:val="left"/>
        <w:outlineLvl w:val="0"/>
        <w:rPr>
          <w:b/>
          <w:color w:val="000000" w:themeColor="text1"/>
          <w:u w:val="single"/>
          <w:lang w:val="fr-FR"/>
        </w:rPr>
      </w:pPr>
      <w:r w:rsidRPr="009F6BC9">
        <w:rPr>
          <w:b/>
          <w:color w:val="000000" w:themeColor="text1"/>
          <w:u w:val="single"/>
          <w:lang w:val="fr-FR"/>
        </w:rPr>
        <w:t>POINT 1 DE L</w:t>
      </w:r>
      <w:r w:rsidR="008E532B">
        <w:rPr>
          <w:b/>
          <w:color w:val="000000" w:themeColor="text1"/>
          <w:u w:val="single"/>
          <w:lang w:val="fr-FR"/>
        </w:rPr>
        <w:t>’</w:t>
      </w:r>
      <w:r w:rsidRPr="009F6BC9">
        <w:rPr>
          <w:b/>
          <w:color w:val="000000" w:themeColor="text1"/>
          <w:u w:val="single"/>
          <w:lang w:val="fr-FR"/>
        </w:rPr>
        <w:t>ORDRE DU JOUR :</w:t>
      </w:r>
    </w:p>
    <w:p w14:paraId="3309B4E0" w14:textId="512CAA12" w:rsidR="00D9653F" w:rsidRPr="009F6BC9" w:rsidRDefault="00D9653F" w:rsidP="009F6BC9">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val="fr-FR"/>
        </w:rPr>
      </w:pPr>
      <w:r w:rsidRPr="009F6BC9">
        <w:rPr>
          <w:rFonts w:eastAsiaTheme="minorHAnsi"/>
          <w:b/>
          <w:color w:val="000000" w:themeColor="text1"/>
          <w:lang w:val="fr-FR"/>
        </w:rPr>
        <w:t>OUVERTURE DE LA NEUVIÈME SESSION DE L</w:t>
      </w:r>
      <w:r w:rsidR="008E532B">
        <w:rPr>
          <w:rFonts w:eastAsiaTheme="minorHAnsi"/>
          <w:b/>
          <w:color w:val="000000" w:themeColor="text1"/>
          <w:lang w:val="fr-FR"/>
        </w:rPr>
        <w:t>’</w:t>
      </w:r>
      <w:r w:rsidRPr="009F6BC9">
        <w:rPr>
          <w:rFonts w:eastAsiaTheme="minorHAnsi"/>
          <w:b/>
          <w:color w:val="000000" w:themeColor="text1"/>
          <w:lang w:val="fr-FR"/>
        </w:rPr>
        <w:t>ASSEMBLÉE GÉNÉRALE</w:t>
      </w:r>
    </w:p>
    <w:p w14:paraId="677E80D7" w14:textId="124AB653" w:rsidR="00D9653F" w:rsidRPr="00DD12FB" w:rsidRDefault="008D65C3" w:rsidP="00511B25">
      <w:pPr>
        <w:keepNext/>
        <w:tabs>
          <w:tab w:val="left" w:pos="2250"/>
        </w:tabs>
        <w:suppressAutoHyphens/>
        <w:autoSpaceDE w:val="0"/>
        <w:ind w:left="567"/>
        <w:contextualSpacing/>
        <w:jc w:val="both"/>
        <w:rPr>
          <w:rFonts w:ascii="Arial" w:hAnsi="Arial" w:cs="Arial"/>
          <w:sz w:val="22"/>
          <w:szCs w:val="22"/>
          <w:lang w:val="fr-FR"/>
        </w:rPr>
      </w:pPr>
      <w:r>
        <w:rPr>
          <w:rFonts w:ascii="Arial" w:hAnsi="Arial" w:cs="Arial"/>
          <w:b/>
          <w:color w:val="000000" w:themeColor="text1"/>
          <w:sz w:val="22"/>
          <w:szCs w:val="22"/>
          <w:lang w:val="fr-FR"/>
        </w:rPr>
        <w:t>Documents</w:t>
      </w:r>
      <w:r w:rsidR="00D9653F">
        <w:rPr>
          <w:rFonts w:ascii="Arial" w:hAnsi="Arial" w:cs="Arial"/>
          <w:b/>
          <w:color w:val="000000" w:themeColor="text1"/>
          <w:sz w:val="22"/>
          <w:szCs w:val="22"/>
          <w:lang w:val="fr-FR"/>
        </w:rPr>
        <w:t> </w:t>
      </w:r>
      <w:r w:rsidR="00D9653F" w:rsidRPr="00DD12FB">
        <w:rPr>
          <w:rFonts w:ascii="Arial" w:hAnsi="Arial" w:cs="Arial"/>
          <w:b/>
          <w:color w:val="000000" w:themeColor="text1"/>
          <w:sz w:val="22"/>
          <w:szCs w:val="22"/>
          <w:lang w:val="fr-FR"/>
        </w:rPr>
        <w:t>:</w:t>
      </w:r>
      <w:r>
        <w:rPr>
          <w:rFonts w:ascii="Arial" w:hAnsi="Arial" w:cs="Arial"/>
          <w:b/>
          <w:color w:val="000000" w:themeColor="text1"/>
          <w:sz w:val="22"/>
          <w:szCs w:val="22"/>
          <w:lang w:val="fr-FR"/>
        </w:rPr>
        <w:tab/>
      </w:r>
      <w:hyperlink r:id="rId8" w:history="1">
        <w:r w:rsidR="00D9653F" w:rsidRPr="00DD12FB">
          <w:rPr>
            <w:rStyle w:val="Hyperlink"/>
            <w:rFonts w:ascii="Arial" w:hAnsi="Arial" w:cs="Arial"/>
            <w:i/>
            <w:sz w:val="22"/>
            <w:szCs w:val="22"/>
            <w:lang w:val="fr-FR"/>
          </w:rPr>
          <w:t>LHE/21/16.COM/4</w:t>
        </w:r>
      </w:hyperlink>
      <w:r w:rsidR="00D9653F" w:rsidRPr="00DD12FB">
        <w:rPr>
          <w:rFonts w:ascii="Arial" w:hAnsi="Arial" w:cs="Arial"/>
          <w:i/>
          <w:sz w:val="22"/>
          <w:szCs w:val="22"/>
          <w:lang w:val="fr-FR"/>
        </w:rPr>
        <w:t xml:space="preserve"> </w:t>
      </w:r>
    </w:p>
    <w:p w14:paraId="7B21A486" w14:textId="5BC1A2AB" w:rsidR="00D9653F" w:rsidRPr="00DD12FB" w:rsidRDefault="008D65C3" w:rsidP="00511B25">
      <w:pPr>
        <w:keepNext/>
        <w:tabs>
          <w:tab w:val="left" w:pos="2250"/>
        </w:tabs>
        <w:suppressAutoHyphens/>
        <w:autoSpaceDE w:val="0"/>
        <w:ind w:left="567"/>
        <w:contextualSpacing/>
        <w:jc w:val="both"/>
        <w:rPr>
          <w:rFonts w:ascii="Arial" w:hAnsi="Arial" w:cs="Arial"/>
          <w:i/>
          <w:sz w:val="22"/>
          <w:szCs w:val="22"/>
          <w:lang w:val="fr-FR"/>
        </w:rPr>
      </w:pPr>
      <w:r>
        <w:rPr>
          <w:rFonts w:ascii="Arial" w:hAnsi="Arial" w:cs="Arial"/>
          <w:b/>
          <w:bCs/>
          <w:iCs/>
          <w:sz w:val="22"/>
          <w:szCs w:val="22"/>
          <w:lang w:val="fr-FR"/>
        </w:rPr>
        <w:tab/>
      </w:r>
      <w:hyperlink r:id="rId9" w:history="1">
        <w:r w:rsidR="00D9653F" w:rsidRPr="00DD12FB">
          <w:rPr>
            <w:rStyle w:val="Hyperlink"/>
            <w:rFonts w:ascii="Arial" w:hAnsi="Arial" w:cs="Arial"/>
            <w:i/>
            <w:sz w:val="22"/>
            <w:szCs w:val="22"/>
            <w:lang w:val="fr-FR"/>
          </w:rPr>
          <w:t>LHE/22/17.COM/</w:t>
        </w:r>
        <w:proofErr w:type="gramStart"/>
        <w:r w:rsidR="00D9653F" w:rsidRPr="00DD12FB">
          <w:rPr>
            <w:rStyle w:val="Hyperlink"/>
            <w:rFonts w:ascii="Arial" w:hAnsi="Arial" w:cs="Arial"/>
            <w:i/>
            <w:sz w:val="22"/>
            <w:szCs w:val="22"/>
            <w:lang w:val="fr-FR"/>
          </w:rPr>
          <w:t>4.a</w:t>
        </w:r>
        <w:proofErr w:type="gramEnd"/>
      </w:hyperlink>
    </w:p>
    <w:p w14:paraId="54B1A283" w14:textId="7E939168" w:rsidR="00D9653F" w:rsidRPr="00DD12FB" w:rsidRDefault="008D65C3" w:rsidP="000438FF">
      <w:pPr>
        <w:keepNext/>
        <w:tabs>
          <w:tab w:val="left" w:pos="2268"/>
          <w:tab w:val="left" w:pos="3119"/>
        </w:tabs>
        <w:suppressAutoHyphens/>
        <w:autoSpaceDE w:val="0"/>
        <w:spacing w:after="240"/>
        <w:ind w:left="567"/>
        <w:jc w:val="both"/>
        <w:rPr>
          <w:rStyle w:val="Hyperlink"/>
          <w:rFonts w:ascii="Arial" w:hAnsi="Arial" w:cs="Arial"/>
          <w:i/>
          <w:sz w:val="22"/>
          <w:szCs w:val="22"/>
          <w:lang w:val="fr-FR"/>
        </w:rPr>
      </w:pPr>
      <w:r>
        <w:rPr>
          <w:rFonts w:ascii="Arial" w:hAnsi="Arial" w:cs="Arial"/>
          <w:b/>
          <w:bCs/>
          <w:iCs/>
          <w:sz w:val="22"/>
          <w:szCs w:val="22"/>
          <w:lang w:val="fr-FR"/>
        </w:rPr>
        <w:tab/>
      </w:r>
      <w:hyperlink r:id="rId10" w:history="1">
        <w:r w:rsidR="00D9653F" w:rsidRPr="00DD12FB">
          <w:rPr>
            <w:rStyle w:val="Hyperlink"/>
            <w:rFonts w:ascii="Arial" w:hAnsi="Arial" w:cs="Arial"/>
            <w:i/>
            <w:sz w:val="22"/>
            <w:szCs w:val="22"/>
            <w:lang w:val="fr-FR"/>
          </w:rPr>
          <w:t>LHE/22/9.GA/INF.1</w:t>
        </w:r>
      </w:hyperlink>
    </w:p>
    <w:p w14:paraId="4C43975B" w14:textId="34325F97" w:rsidR="00D9653F" w:rsidRPr="00DD12FB" w:rsidRDefault="008D65C3" w:rsidP="00D9653F">
      <w:pPr>
        <w:numPr>
          <w:ilvl w:val="0"/>
          <w:numId w:val="19"/>
        </w:numPr>
        <w:suppressAutoHyphens/>
        <w:autoSpaceDE w:val="0"/>
        <w:ind w:left="567" w:hanging="567"/>
        <w:jc w:val="both"/>
        <w:rPr>
          <w:rFonts w:ascii="Arial" w:eastAsia="SimSun" w:hAnsi="Arial" w:cs="Arial"/>
          <w:sz w:val="22"/>
          <w:szCs w:val="22"/>
          <w:lang w:val="fr-FR"/>
        </w:rPr>
      </w:pPr>
      <w:r>
        <w:rPr>
          <w:rFonts w:ascii="Arial" w:eastAsia="SimSun" w:hAnsi="Arial" w:cs="Arial"/>
          <w:b/>
          <w:bCs/>
          <w:sz w:val="22"/>
          <w:szCs w:val="22"/>
          <w:lang w:val="fr-FR"/>
        </w:rPr>
        <w:t>Mme</w:t>
      </w:r>
      <w:r w:rsidR="00D9653F" w:rsidRPr="00063A79">
        <w:rPr>
          <w:rFonts w:ascii="Arial" w:eastAsia="SimSun" w:hAnsi="Arial" w:cs="Arial"/>
          <w:b/>
          <w:bCs/>
          <w:sz w:val="22"/>
          <w:szCs w:val="22"/>
          <w:lang w:val="fr-FR"/>
        </w:rPr>
        <w:t xml:space="preserve"> Fumiko Ohinata</w:t>
      </w:r>
      <w:r>
        <w:rPr>
          <w:rFonts w:ascii="Arial" w:eastAsia="SimSun" w:hAnsi="Arial" w:cs="Arial"/>
          <w:b/>
          <w:bCs/>
          <w:sz w:val="22"/>
          <w:szCs w:val="22"/>
          <w:lang w:val="fr-FR"/>
        </w:rPr>
        <w:t xml:space="preserve"> du Secrétariat</w:t>
      </w:r>
      <w:r w:rsidR="00D9653F" w:rsidRPr="00DD12FB">
        <w:rPr>
          <w:rFonts w:ascii="Arial" w:eastAsia="SimSun" w:hAnsi="Arial" w:cs="Arial"/>
          <w:sz w:val="22"/>
          <w:szCs w:val="22"/>
          <w:lang w:val="fr-FR"/>
        </w:rPr>
        <w:t xml:space="preserve"> a souhaité la bienvenue aux participants et a </w:t>
      </w:r>
      <w:r w:rsidR="00D9653F">
        <w:rPr>
          <w:rFonts w:ascii="Arial" w:eastAsia="SimSun" w:hAnsi="Arial" w:cs="Arial"/>
          <w:sz w:val="22"/>
          <w:szCs w:val="22"/>
          <w:lang w:val="fr-FR"/>
        </w:rPr>
        <w:t>présenté</w:t>
      </w:r>
      <w:r w:rsidR="00D9653F" w:rsidRPr="00DD12FB">
        <w:rPr>
          <w:rFonts w:ascii="Arial" w:eastAsia="SimSun" w:hAnsi="Arial" w:cs="Arial"/>
          <w:sz w:val="22"/>
          <w:szCs w:val="22"/>
          <w:lang w:val="fr-FR"/>
        </w:rPr>
        <w:t xml:space="preserve"> le</w:t>
      </w:r>
      <w:permStart w:id="1795640430" w:edGrp="everyone"/>
      <w:permEnd w:id="1795640430"/>
      <w:r w:rsidR="00D9653F" w:rsidRPr="00DD12FB">
        <w:rPr>
          <w:rFonts w:ascii="Arial" w:eastAsia="SimSun" w:hAnsi="Arial" w:cs="Arial"/>
          <w:sz w:val="22"/>
          <w:szCs w:val="22"/>
          <w:lang w:val="fr-FR"/>
        </w:rPr>
        <w:t xml:space="preserve"> représentant des pompiers qui a</w:t>
      </w:r>
      <w:r w:rsidR="00D9653F">
        <w:rPr>
          <w:rFonts w:ascii="Arial" w:eastAsia="SimSun" w:hAnsi="Arial" w:cs="Arial"/>
          <w:sz w:val="22"/>
          <w:szCs w:val="22"/>
          <w:lang w:val="fr-FR"/>
        </w:rPr>
        <w:t xml:space="preserve"> expliqué</w:t>
      </w:r>
      <w:r w:rsidR="00D9653F" w:rsidRPr="00DD12FB">
        <w:rPr>
          <w:rFonts w:ascii="Arial" w:eastAsia="SimSun" w:hAnsi="Arial" w:cs="Arial"/>
          <w:sz w:val="22"/>
          <w:szCs w:val="22"/>
          <w:lang w:val="fr-FR"/>
        </w:rPr>
        <w:t xml:space="preserve"> le dispositif de sécurité et les mesures de santé publique et de sécurité liées à </w:t>
      </w:r>
      <w:r w:rsidR="00D9653F">
        <w:rPr>
          <w:rFonts w:ascii="Arial" w:eastAsia="SimSun" w:hAnsi="Arial" w:cs="Arial"/>
          <w:sz w:val="22"/>
          <w:szCs w:val="22"/>
          <w:lang w:val="fr-FR"/>
        </w:rPr>
        <w:t xml:space="preserve">la </w:t>
      </w:r>
      <w:r w:rsidR="00D9653F" w:rsidRPr="00DD12FB">
        <w:rPr>
          <w:rFonts w:ascii="Arial" w:eastAsia="SimSun" w:hAnsi="Arial" w:cs="Arial"/>
          <w:sz w:val="22"/>
          <w:szCs w:val="22"/>
          <w:lang w:val="fr-FR"/>
        </w:rPr>
        <w:t>COVID-19.</w:t>
      </w:r>
    </w:p>
    <w:p w14:paraId="58124A8F" w14:textId="2F554168" w:rsidR="00D9653F" w:rsidRPr="00063A79"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063A79">
        <w:rPr>
          <w:rFonts w:ascii="Arial" w:eastAsia="SimSun" w:hAnsi="Arial" w:cs="Arial"/>
          <w:sz w:val="22"/>
          <w:szCs w:val="22"/>
          <w:lang w:val="fr-FR"/>
        </w:rPr>
        <w:t xml:space="preserve">Le </w:t>
      </w:r>
      <w:r w:rsidRPr="00063A79">
        <w:rPr>
          <w:rFonts w:ascii="Arial" w:eastAsia="SimSun" w:hAnsi="Arial" w:cs="Arial"/>
          <w:b/>
          <w:bCs/>
          <w:sz w:val="22"/>
          <w:szCs w:val="22"/>
          <w:lang w:val="fr-FR"/>
        </w:rPr>
        <w:t>Sous-Directeur général</w:t>
      </w:r>
      <w:r>
        <w:rPr>
          <w:rFonts w:ascii="Arial" w:eastAsia="SimSun" w:hAnsi="Arial" w:cs="Arial"/>
          <w:b/>
          <w:bCs/>
          <w:sz w:val="22"/>
          <w:szCs w:val="22"/>
          <w:lang w:val="fr-FR"/>
        </w:rPr>
        <w:t xml:space="preserve"> </w:t>
      </w:r>
      <w:r w:rsidRPr="00063A79">
        <w:rPr>
          <w:rFonts w:ascii="Arial" w:eastAsia="SimSun" w:hAnsi="Arial" w:cs="Arial"/>
          <w:b/>
          <w:bCs/>
          <w:sz w:val="22"/>
          <w:szCs w:val="22"/>
          <w:lang w:val="fr-FR"/>
        </w:rPr>
        <w:t>pour la culture</w:t>
      </w:r>
      <w:r>
        <w:rPr>
          <w:rFonts w:ascii="Arial" w:eastAsia="SimSun" w:hAnsi="Arial" w:cs="Arial"/>
          <w:b/>
          <w:bCs/>
          <w:sz w:val="22"/>
          <w:szCs w:val="22"/>
          <w:lang w:val="fr-FR"/>
        </w:rPr>
        <w:t xml:space="preserve"> de l</w:t>
      </w:r>
      <w:r w:rsidR="008E532B">
        <w:rPr>
          <w:rFonts w:ascii="Arial" w:eastAsia="SimSun" w:hAnsi="Arial" w:cs="Arial"/>
          <w:b/>
          <w:bCs/>
          <w:sz w:val="22"/>
          <w:szCs w:val="22"/>
          <w:lang w:val="fr-FR"/>
        </w:rPr>
        <w:t>’</w:t>
      </w:r>
      <w:r w:rsidRPr="00063A79">
        <w:rPr>
          <w:rFonts w:ascii="Arial" w:eastAsia="SimSun" w:hAnsi="Arial" w:cs="Arial"/>
          <w:b/>
          <w:bCs/>
          <w:sz w:val="22"/>
          <w:szCs w:val="22"/>
          <w:lang w:val="fr-FR"/>
        </w:rPr>
        <w:t>UNESCO</w:t>
      </w:r>
      <w:r w:rsidRPr="00063A79">
        <w:rPr>
          <w:rFonts w:ascii="Arial" w:eastAsia="SimSun" w:hAnsi="Arial" w:cs="Arial"/>
          <w:sz w:val="22"/>
          <w:szCs w:val="22"/>
          <w:lang w:val="fr-FR"/>
        </w:rPr>
        <w:t xml:space="preserve">, </w:t>
      </w:r>
      <w:r w:rsidRPr="00530EE4">
        <w:rPr>
          <w:rFonts w:ascii="Arial" w:eastAsia="SimSun" w:hAnsi="Arial" w:cs="Arial"/>
          <w:b/>
          <w:bCs/>
          <w:sz w:val="22"/>
          <w:szCs w:val="22"/>
          <w:lang w:val="fr-FR"/>
        </w:rPr>
        <w:t xml:space="preserve">M. Ernesto </w:t>
      </w:r>
      <w:proofErr w:type="spellStart"/>
      <w:r w:rsidRPr="00530EE4">
        <w:rPr>
          <w:rFonts w:ascii="Arial" w:eastAsia="SimSun" w:hAnsi="Arial" w:cs="Arial"/>
          <w:b/>
          <w:bCs/>
          <w:sz w:val="22"/>
          <w:szCs w:val="22"/>
          <w:lang w:val="fr-FR"/>
        </w:rPr>
        <w:t>Ottone</w:t>
      </w:r>
      <w:proofErr w:type="spellEnd"/>
      <w:r w:rsidR="008D65C3">
        <w:rPr>
          <w:rFonts w:ascii="Arial" w:eastAsia="SimSun" w:hAnsi="Arial" w:cs="Arial"/>
          <w:b/>
          <w:bCs/>
          <w:sz w:val="22"/>
          <w:szCs w:val="22"/>
          <w:lang w:val="fr-FR"/>
        </w:rPr>
        <w:t xml:space="preserve"> </w:t>
      </w:r>
      <w:r w:rsidR="008D65C3" w:rsidRPr="000438FF">
        <w:rPr>
          <w:rFonts w:ascii="Arial" w:eastAsia="SimSun" w:hAnsi="Arial" w:cs="Arial"/>
          <w:sz w:val="22"/>
          <w:szCs w:val="22"/>
          <w:lang w:val="fr-FR"/>
        </w:rPr>
        <w:t>(ci-après le « Sous-Directeur général »)</w:t>
      </w:r>
      <w:r w:rsidRPr="008D65C3">
        <w:rPr>
          <w:rFonts w:ascii="Arial" w:eastAsia="SimSun" w:hAnsi="Arial" w:cs="Arial"/>
          <w:sz w:val="22"/>
          <w:szCs w:val="22"/>
          <w:lang w:val="fr-FR"/>
        </w:rPr>
        <w:t xml:space="preserve">, </w:t>
      </w:r>
      <w:r>
        <w:rPr>
          <w:rFonts w:ascii="Arial" w:eastAsia="SimSun" w:hAnsi="Arial" w:cs="Arial"/>
          <w:sz w:val="22"/>
          <w:szCs w:val="22"/>
          <w:lang w:val="fr-FR"/>
        </w:rPr>
        <w:t xml:space="preserve">a </w:t>
      </w:r>
      <w:r w:rsidRPr="00063A79">
        <w:rPr>
          <w:rFonts w:ascii="Arial" w:eastAsia="SimSun" w:hAnsi="Arial" w:cs="Arial"/>
          <w:sz w:val="22"/>
          <w:szCs w:val="22"/>
          <w:lang w:val="fr-FR"/>
        </w:rPr>
        <w:t>ouv</w:t>
      </w:r>
      <w:r>
        <w:rPr>
          <w:rFonts w:ascii="Arial" w:eastAsia="SimSun" w:hAnsi="Arial" w:cs="Arial"/>
          <w:sz w:val="22"/>
          <w:szCs w:val="22"/>
          <w:lang w:val="fr-FR"/>
        </w:rPr>
        <w:t>ert</w:t>
      </w:r>
      <w:r w:rsidRPr="00063A79">
        <w:rPr>
          <w:rFonts w:ascii="Arial" w:eastAsia="SimSun" w:hAnsi="Arial" w:cs="Arial"/>
          <w:sz w:val="22"/>
          <w:szCs w:val="22"/>
          <w:lang w:val="fr-FR"/>
        </w:rPr>
        <w:t xml:space="preserve"> la neuvième session de l</w:t>
      </w:r>
      <w:r w:rsidR="008E532B">
        <w:rPr>
          <w:rFonts w:ascii="Arial" w:eastAsia="SimSun" w:hAnsi="Arial" w:cs="Arial"/>
          <w:sz w:val="22"/>
          <w:szCs w:val="22"/>
          <w:lang w:val="fr-FR"/>
        </w:rPr>
        <w:t>’</w:t>
      </w:r>
      <w:r w:rsidRPr="00063A79">
        <w:rPr>
          <w:rFonts w:ascii="Arial" w:eastAsia="SimSun" w:hAnsi="Arial" w:cs="Arial"/>
          <w:sz w:val="22"/>
          <w:szCs w:val="22"/>
          <w:lang w:val="fr-FR"/>
        </w:rPr>
        <w:t>Assemblée générale des États parties à la Convention de 2003. En l</w:t>
      </w:r>
      <w:r w:rsidR="008E532B">
        <w:rPr>
          <w:rFonts w:ascii="Arial" w:eastAsia="SimSun" w:hAnsi="Arial" w:cs="Arial"/>
          <w:sz w:val="22"/>
          <w:szCs w:val="22"/>
          <w:lang w:val="fr-FR"/>
        </w:rPr>
        <w:t>’</w:t>
      </w:r>
      <w:r w:rsidRPr="00063A79">
        <w:rPr>
          <w:rFonts w:ascii="Arial" w:eastAsia="SimSun" w:hAnsi="Arial" w:cs="Arial"/>
          <w:sz w:val="22"/>
          <w:szCs w:val="22"/>
          <w:lang w:val="fr-FR"/>
        </w:rPr>
        <w:t>absence de M. Tim Curtis, Secrétaire de la Convention, il a expliqué qu</w:t>
      </w:r>
      <w:r w:rsidR="008E532B">
        <w:rPr>
          <w:rFonts w:ascii="Arial" w:eastAsia="SimSun" w:hAnsi="Arial" w:cs="Arial"/>
          <w:sz w:val="22"/>
          <w:szCs w:val="22"/>
          <w:lang w:val="fr-FR"/>
        </w:rPr>
        <w:t>’</w:t>
      </w:r>
      <w:r w:rsidRPr="00063A79">
        <w:rPr>
          <w:rFonts w:ascii="Arial" w:eastAsia="SimSun" w:hAnsi="Arial" w:cs="Arial"/>
          <w:sz w:val="22"/>
          <w:szCs w:val="22"/>
          <w:lang w:val="fr-FR"/>
        </w:rPr>
        <w:t>il guiderait l</w:t>
      </w:r>
      <w:r w:rsidR="008E532B">
        <w:rPr>
          <w:rFonts w:ascii="Arial" w:eastAsia="SimSun" w:hAnsi="Arial" w:cs="Arial"/>
          <w:sz w:val="22"/>
          <w:szCs w:val="22"/>
          <w:lang w:val="fr-FR"/>
        </w:rPr>
        <w:t>’</w:t>
      </w:r>
      <w:r w:rsidRPr="00063A79">
        <w:rPr>
          <w:rFonts w:ascii="Arial" w:eastAsia="SimSun" w:hAnsi="Arial" w:cs="Arial"/>
          <w:sz w:val="22"/>
          <w:szCs w:val="22"/>
          <w:lang w:val="fr-FR"/>
        </w:rPr>
        <w:t xml:space="preserve">Assemblée </w:t>
      </w:r>
      <w:r>
        <w:rPr>
          <w:rFonts w:ascii="Arial" w:eastAsia="SimSun" w:hAnsi="Arial" w:cs="Arial"/>
          <w:sz w:val="22"/>
          <w:szCs w:val="22"/>
          <w:lang w:val="fr-FR"/>
        </w:rPr>
        <w:t>et qu</w:t>
      </w:r>
      <w:r w:rsidR="008E532B">
        <w:rPr>
          <w:rFonts w:ascii="Arial" w:eastAsia="SimSun" w:hAnsi="Arial" w:cs="Arial"/>
          <w:sz w:val="22"/>
          <w:szCs w:val="22"/>
          <w:lang w:val="fr-FR"/>
        </w:rPr>
        <w:t>’</w:t>
      </w:r>
      <w:r>
        <w:rPr>
          <w:rFonts w:ascii="Arial" w:eastAsia="SimSun" w:hAnsi="Arial" w:cs="Arial"/>
          <w:sz w:val="22"/>
          <w:szCs w:val="22"/>
          <w:lang w:val="fr-FR"/>
        </w:rPr>
        <w:t xml:space="preserve">il serait </w:t>
      </w:r>
      <w:r w:rsidRPr="00063A79">
        <w:rPr>
          <w:rFonts w:ascii="Arial" w:eastAsia="SimSun" w:hAnsi="Arial" w:cs="Arial"/>
          <w:sz w:val="22"/>
          <w:szCs w:val="22"/>
          <w:lang w:val="fr-FR"/>
        </w:rPr>
        <w:t xml:space="preserve">assisté </w:t>
      </w:r>
      <w:r>
        <w:rPr>
          <w:rFonts w:ascii="Arial" w:eastAsia="SimSun" w:hAnsi="Arial" w:cs="Arial"/>
          <w:sz w:val="22"/>
          <w:szCs w:val="22"/>
          <w:lang w:val="fr-FR"/>
        </w:rPr>
        <w:t xml:space="preserve">en cela </w:t>
      </w:r>
      <w:r w:rsidRPr="00063A79">
        <w:rPr>
          <w:rFonts w:ascii="Arial" w:eastAsia="SimSun" w:hAnsi="Arial" w:cs="Arial"/>
          <w:sz w:val="22"/>
          <w:szCs w:val="22"/>
          <w:lang w:val="fr-FR"/>
        </w:rPr>
        <w:t>par le Secrétariat. Après deux années sans précédent depuis le déclenchement de la pandémie, il s</w:t>
      </w:r>
      <w:r w:rsidR="008E532B">
        <w:rPr>
          <w:rFonts w:ascii="Arial" w:eastAsia="SimSun" w:hAnsi="Arial" w:cs="Arial"/>
          <w:sz w:val="22"/>
          <w:szCs w:val="22"/>
          <w:lang w:val="fr-FR"/>
        </w:rPr>
        <w:t>’</w:t>
      </w:r>
      <w:r w:rsidRPr="00063A79">
        <w:rPr>
          <w:rFonts w:ascii="Arial" w:eastAsia="SimSun" w:hAnsi="Arial" w:cs="Arial"/>
          <w:sz w:val="22"/>
          <w:szCs w:val="22"/>
          <w:lang w:val="fr-FR"/>
        </w:rPr>
        <w:t>est dit heureux de se réunir à nouveau en personne pour discuter de questions d</w:t>
      </w:r>
      <w:r w:rsidR="008E532B">
        <w:rPr>
          <w:rFonts w:ascii="Arial" w:eastAsia="SimSun" w:hAnsi="Arial" w:cs="Arial"/>
          <w:sz w:val="22"/>
          <w:szCs w:val="22"/>
          <w:lang w:val="fr-FR"/>
        </w:rPr>
        <w:t>’</w:t>
      </w:r>
      <w:r w:rsidRPr="00063A79">
        <w:rPr>
          <w:rFonts w:ascii="Arial" w:eastAsia="SimSun" w:hAnsi="Arial" w:cs="Arial"/>
          <w:sz w:val="22"/>
          <w:szCs w:val="22"/>
          <w:lang w:val="fr-FR"/>
        </w:rPr>
        <w:t xml:space="preserve">une importance capitale pour le développement futur de la Convention. Les délégués </w:t>
      </w:r>
      <w:r>
        <w:rPr>
          <w:rFonts w:ascii="Arial" w:eastAsia="SimSun" w:hAnsi="Arial" w:cs="Arial"/>
          <w:sz w:val="22"/>
          <w:szCs w:val="22"/>
          <w:lang w:val="fr-FR"/>
        </w:rPr>
        <w:t>venaient</w:t>
      </w:r>
      <w:r w:rsidRPr="00063A79">
        <w:rPr>
          <w:rFonts w:ascii="Arial" w:eastAsia="SimSun" w:hAnsi="Arial" w:cs="Arial"/>
          <w:sz w:val="22"/>
          <w:szCs w:val="22"/>
          <w:lang w:val="fr-FR"/>
        </w:rPr>
        <w:t xml:space="preserve"> des quatre coins du monde, montrant leur engagement envers la Convention par leur présence et leur soutien. Il a souhaité la bienvenue à la Somalie et à l</w:t>
      </w:r>
      <w:r w:rsidR="008E532B">
        <w:rPr>
          <w:rFonts w:ascii="Arial" w:eastAsia="SimSun" w:hAnsi="Arial" w:cs="Arial"/>
          <w:sz w:val="22"/>
          <w:szCs w:val="22"/>
          <w:lang w:val="fr-FR"/>
        </w:rPr>
        <w:t>’</w:t>
      </w:r>
      <w:r w:rsidRPr="00063A79">
        <w:rPr>
          <w:rFonts w:ascii="Arial" w:eastAsia="SimSun" w:hAnsi="Arial" w:cs="Arial"/>
          <w:sz w:val="22"/>
          <w:szCs w:val="22"/>
          <w:lang w:val="fr-FR"/>
        </w:rPr>
        <w:t>Angola, deux nouveaux États parties à la Convention depuis la dernière session de l</w:t>
      </w:r>
      <w:r w:rsidR="008E532B">
        <w:rPr>
          <w:rFonts w:ascii="Arial" w:eastAsia="SimSun" w:hAnsi="Arial" w:cs="Arial"/>
          <w:sz w:val="22"/>
          <w:szCs w:val="22"/>
          <w:lang w:val="fr-FR"/>
        </w:rPr>
        <w:t>’</w:t>
      </w:r>
      <w:r w:rsidRPr="00063A79">
        <w:rPr>
          <w:rFonts w:ascii="Arial" w:eastAsia="SimSun" w:hAnsi="Arial" w:cs="Arial"/>
          <w:sz w:val="22"/>
          <w:szCs w:val="22"/>
          <w:lang w:val="fr-FR"/>
        </w:rPr>
        <w:t>Assemblée générale en 2020. L</w:t>
      </w:r>
      <w:r w:rsidR="008E532B">
        <w:rPr>
          <w:rFonts w:ascii="Arial" w:eastAsia="SimSun" w:hAnsi="Arial" w:cs="Arial"/>
          <w:sz w:val="22"/>
          <w:szCs w:val="22"/>
          <w:lang w:val="fr-FR"/>
        </w:rPr>
        <w:t>’</w:t>
      </w:r>
      <w:r w:rsidRPr="00063A79">
        <w:rPr>
          <w:rFonts w:ascii="Arial" w:eastAsia="SimSun" w:hAnsi="Arial" w:cs="Arial"/>
          <w:sz w:val="22"/>
          <w:szCs w:val="22"/>
          <w:lang w:val="fr-FR"/>
        </w:rPr>
        <w:t xml:space="preserve">année 2022 </w:t>
      </w:r>
      <w:r>
        <w:rPr>
          <w:rFonts w:ascii="Arial" w:eastAsia="SimSun" w:hAnsi="Arial" w:cs="Arial"/>
          <w:sz w:val="22"/>
          <w:szCs w:val="22"/>
          <w:lang w:val="fr-FR"/>
        </w:rPr>
        <w:t xml:space="preserve">était </w:t>
      </w:r>
      <w:r w:rsidRPr="00063A79">
        <w:rPr>
          <w:rFonts w:ascii="Arial" w:eastAsia="SimSun" w:hAnsi="Arial" w:cs="Arial"/>
          <w:sz w:val="22"/>
          <w:szCs w:val="22"/>
          <w:lang w:val="fr-FR"/>
        </w:rPr>
        <w:t>une année chargée pour la Convention avec douze réunions statutaires, ce qui n</w:t>
      </w:r>
      <w:r w:rsidR="008E532B">
        <w:rPr>
          <w:rFonts w:ascii="Arial" w:eastAsia="SimSun" w:hAnsi="Arial" w:cs="Arial"/>
          <w:sz w:val="22"/>
          <w:szCs w:val="22"/>
          <w:lang w:val="fr-FR"/>
        </w:rPr>
        <w:t>’</w:t>
      </w:r>
      <w:r w:rsidRPr="00063A79">
        <w:rPr>
          <w:rFonts w:ascii="Arial" w:eastAsia="SimSun" w:hAnsi="Arial" w:cs="Arial"/>
          <w:sz w:val="22"/>
          <w:szCs w:val="22"/>
          <w:lang w:val="fr-FR"/>
        </w:rPr>
        <w:t>aurait pas été possible sans l</w:t>
      </w:r>
      <w:r w:rsidR="008E532B">
        <w:rPr>
          <w:rFonts w:ascii="Arial" w:eastAsia="SimSun" w:hAnsi="Arial" w:cs="Arial"/>
          <w:sz w:val="22"/>
          <w:szCs w:val="22"/>
          <w:lang w:val="fr-FR"/>
        </w:rPr>
        <w:t>’</w:t>
      </w:r>
      <w:r w:rsidRPr="00063A79">
        <w:rPr>
          <w:rFonts w:ascii="Arial" w:eastAsia="SimSun" w:hAnsi="Arial" w:cs="Arial"/>
          <w:sz w:val="22"/>
          <w:szCs w:val="22"/>
          <w:lang w:val="fr-FR"/>
        </w:rPr>
        <w:t>engagement et la coopération des organes directeurs de la Convention. Cette neuvième session de l</w:t>
      </w:r>
      <w:r w:rsidR="008E532B">
        <w:rPr>
          <w:rFonts w:ascii="Arial" w:eastAsia="SimSun" w:hAnsi="Arial" w:cs="Arial"/>
          <w:sz w:val="22"/>
          <w:szCs w:val="22"/>
          <w:lang w:val="fr-FR"/>
        </w:rPr>
        <w:t>’</w:t>
      </w:r>
      <w:r w:rsidRPr="00063A79">
        <w:rPr>
          <w:rFonts w:ascii="Arial" w:eastAsia="SimSun" w:hAnsi="Arial" w:cs="Arial"/>
          <w:sz w:val="22"/>
          <w:szCs w:val="22"/>
          <w:lang w:val="fr-FR"/>
        </w:rPr>
        <w:t>Assemblée générale pouvait, à tous égards, être considérée comme l</w:t>
      </w:r>
      <w:r w:rsidR="008E532B">
        <w:rPr>
          <w:rFonts w:ascii="Arial" w:eastAsia="SimSun" w:hAnsi="Arial" w:cs="Arial"/>
          <w:sz w:val="22"/>
          <w:szCs w:val="22"/>
          <w:lang w:val="fr-FR"/>
        </w:rPr>
        <w:t>’</w:t>
      </w:r>
      <w:r w:rsidRPr="00063A79">
        <w:rPr>
          <w:rFonts w:ascii="Arial" w:eastAsia="SimSun" w:hAnsi="Arial" w:cs="Arial"/>
          <w:sz w:val="22"/>
          <w:szCs w:val="22"/>
          <w:lang w:val="fr-FR"/>
        </w:rPr>
        <w:t>aboutissement des travaux sur plusieurs points importants. L</w:t>
      </w:r>
      <w:r w:rsidR="008E532B">
        <w:rPr>
          <w:rFonts w:ascii="Arial" w:eastAsia="SimSun" w:hAnsi="Arial" w:cs="Arial"/>
          <w:sz w:val="22"/>
          <w:szCs w:val="22"/>
          <w:lang w:val="fr-FR"/>
        </w:rPr>
        <w:t>’</w:t>
      </w:r>
      <w:r w:rsidRPr="00063A79">
        <w:rPr>
          <w:rFonts w:ascii="Arial" w:eastAsia="SimSun" w:hAnsi="Arial" w:cs="Arial"/>
          <w:sz w:val="22"/>
          <w:szCs w:val="22"/>
          <w:lang w:val="fr-FR"/>
        </w:rPr>
        <w:t xml:space="preserve">Assemblée examinerait les propositions de révision des </w:t>
      </w:r>
      <w:r>
        <w:rPr>
          <w:rFonts w:ascii="Arial" w:eastAsia="SimSun" w:hAnsi="Arial" w:cs="Arial"/>
          <w:sz w:val="22"/>
          <w:szCs w:val="22"/>
          <w:lang w:val="fr-FR"/>
        </w:rPr>
        <w:t>D</w:t>
      </w:r>
      <w:r w:rsidRPr="00063A79">
        <w:rPr>
          <w:rFonts w:ascii="Arial" w:eastAsia="SimSun" w:hAnsi="Arial" w:cs="Arial"/>
          <w:sz w:val="22"/>
          <w:szCs w:val="22"/>
          <w:lang w:val="fr-FR"/>
        </w:rPr>
        <w:t xml:space="preserve">irectives opérationnelles, </w:t>
      </w:r>
      <w:r>
        <w:rPr>
          <w:rFonts w:ascii="Arial" w:eastAsia="SimSun" w:hAnsi="Arial" w:cs="Arial"/>
          <w:sz w:val="22"/>
          <w:szCs w:val="22"/>
          <w:lang w:val="fr-FR"/>
        </w:rPr>
        <w:t xml:space="preserve">qui faisaient </w:t>
      </w:r>
      <w:r w:rsidRPr="00063A79">
        <w:rPr>
          <w:rFonts w:ascii="Arial" w:eastAsia="SimSun" w:hAnsi="Arial" w:cs="Arial"/>
          <w:sz w:val="22"/>
          <w:szCs w:val="22"/>
          <w:lang w:val="fr-FR"/>
        </w:rPr>
        <w:t>partie de la réflexion globale sur les mécanismes d</w:t>
      </w:r>
      <w:r w:rsidR="008E532B">
        <w:rPr>
          <w:rFonts w:ascii="Arial" w:eastAsia="SimSun" w:hAnsi="Arial" w:cs="Arial"/>
          <w:sz w:val="22"/>
          <w:szCs w:val="22"/>
          <w:lang w:val="fr-FR"/>
        </w:rPr>
        <w:t>’</w:t>
      </w:r>
      <w:r w:rsidRPr="00063A79">
        <w:rPr>
          <w:rFonts w:ascii="Arial" w:eastAsia="SimSun" w:hAnsi="Arial" w:cs="Arial"/>
          <w:sz w:val="22"/>
          <w:szCs w:val="22"/>
          <w:lang w:val="fr-FR"/>
        </w:rPr>
        <w:t xml:space="preserve">inscription </w:t>
      </w:r>
      <w:r>
        <w:rPr>
          <w:rFonts w:ascii="Arial" w:eastAsia="SimSun" w:hAnsi="Arial" w:cs="Arial"/>
          <w:sz w:val="22"/>
          <w:szCs w:val="22"/>
          <w:lang w:val="fr-FR"/>
        </w:rPr>
        <w:t xml:space="preserve">sur les listes </w:t>
      </w:r>
      <w:r w:rsidRPr="00063A79">
        <w:rPr>
          <w:rFonts w:ascii="Arial" w:eastAsia="SimSun" w:hAnsi="Arial" w:cs="Arial"/>
          <w:sz w:val="22"/>
          <w:szCs w:val="22"/>
          <w:lang w:val="fr-FR"/>
        </w:rPr>
        <w:t>de la Convention lancée par le Comité en 2018. Elle conclura</w:t>
      </w:r>
      <w:r>
        <w:rPr>
          <w:rFonts w:ascii="Arial" w:eastAsia="SimSun" w:hAnsi="Arial" w:cs="Arial"/>
          <w:sz w:val="22"/>
          <w:szCs w:val="22"/>
          <w:lang w:val="fr-FR"/>
        </w:rPr>
        <w:t>it</w:t>
      </w:r>
      <w:r w:rsidRPr="00063A79">
        <w:rPr>
          <w:rFonts w:ascii="Arial" w:eastAsia="SimSun" w:hAnsi="Arial" w:cs="Arial"/>
          <w:sz w:val="22"/>
          <w:szCs w:val="22"/>
          <w:lang w:val="fr-FR"/>
        </w:rPr>
        <w:t xml:space="preserve"> également les discussions sur le Règlement intérieur, </w:t>
      </w:r>
      <w:proofErr w:type="gramStart"/>
      <w:r w:rsidRPr="00063A79">
        <w:rPr>
          <w:rFonts w:ascii="Arial" w:eastAsia="SimSun" w:hAnsi="Arial" w:cs="Arial"/>
          <w:sz w:val="22"/>
          <w:szCs w:val="22"/>
          <w:lang w:val="fr-FR"/>
        </w:rPr>
        <w:t>suite aux</w:t>
      </w:r>
      <w:proofErr w:type="gramEnd"/>
      <w:r w:rsidRPr="00063A79">
        <w:rPr>
          <w:rFonts w:ascii="Arial" w:eastAsia="SimSun" w:hAnsi="Arial" w:cs="Arial"/>
          <w:sz w:val="22"/>
          <w:szCs w:val="22"/>
          <w:lang w:val="fr-FR"/>
        </w:rPr>
        <w:t xml:space="preserve"> délibérations de plusieurs sessions, en vue de créer de meilleures synergies entre les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063A79">
        <w:rPr>
          <w:rFonts w:ascii="Arial" w:eastAsia="SimSun" w:hAnsi="Arial" w:cs="Arial"/>
          <w:sz w:val="22"/>
          <w:szCs w:val="22"/>
          <w:lang w:val="fr-FR"/>
        </w:rPr>
        <w:t>. L</w:t>
      </w:r>
      <w:r w:rsidR="008E532B">
        <w:rPr>
          <w:rFonts w:ascii="Arial" w:eastAsia="SimSun" w:hAnsi="Arial" w:cs="Arial"/>
          <w:sz w:val="22"/>
          <w:szCs w:val="22"/>
          <w:lang w:val="fr-FR"/>
        </w:rPr>
        <w:t>’</w:t>
      </w:r>
      <w:r w:rsidRPr="00063A79">
        <w:rPr>
          <w:rFonts w:ascii="Arial" w:eastAsia="SimSun" w:hAnsi="Arial" w:cs="Arial"/>
          <w:sz w:val="22"/>
          <w:szCs w:val="22"/>
          <w:lang w:val="fr-FR"/>
        </w:rPr>
        <w:t>accréditation des ONG et l</w:t>
      </w:r>
      <w:r w:rsidR="008E532B">
        <w:rPr>
          <w:rFonts w:ascii="Arial" w:eastAsia="SimSun" w:hAnsi="Arial" w:cs="Arial"/>
          <w:sz w:val="22"/>
          <w:szCs w:val="22"/>
          <w:lang w:val="fr-FR"/>
        </w:rPr>
        <w:t>’</w:t>
      </w:r>
      <w:r w:rsidRPr="00063A79">
        <w:rPr>
          <w:rFonts w:ascii="Arial" w:eastAsia="SimSun" w:hAnsi="Arial" w:cs="Arial"/>
          <w:sz w:val="22"/>
          <w:szCs w:val="22"/>
          <w:lang w:val="fr-FR"/>
        </w:rPr>
        <w:t>utilisation des ressources du Fonds pour la sauvegarde du patrimoine culturel immatériel (</w:t>
      </w:r>
      <w:r w:rsidR="008D65C3">
        <w:rPr>
          <w:rFonts w:ascii="Arial" w:eastAsia="SimSun" w:hAnsi="Arial" w:cs="Arial"/>
          <w:sz w:val="22"/>
          <w:szCs w:val="22"/>
          <w:lang w:val="fr-FR"/>
        </w:rPr>
        <w:t>ci-après « </w:t>
      </w:r>
      <w:r w:rsidRPr="00063A79">
        <w:rPr>
          <w:rFonts w:ascii="Arial" w:eastAsia="SimSun" w:hAnsi="Arial" w:cs="Arial"/>
          <w:sz w:val="22"/>
          <w:szCs w:val="22"/>
          <w:lang w:val="fr-FR"/>
        </w:rPr>
        <w:t>le Fonds</w:t>
      </w:r>
      <w:r w:rsidR="008D65C3">
        <w:rPr>
          <w:rFonts w:ascii="Arial" w:eastAsia="SimSun" w:hAnsi="Arial" w:cs="Arial"/>
          <w:sz w:val="22"/>
          <w:szCs w:val="22"/>
          <w:lang w:val="fr-FR"/>
        </w:rPr>
        <w:t> »</w:t>
      </w:r>
      <w:r w:rsidRPr="00063A79">
        <w:rPr>
          <w:rFonts w:ascii="Arial" w:eastAsia="SimSun" w:hAnsi="Arial" w:cs="Arial"/>
          <w:sz w:val="22"/>
          <w:szCs w:val="22"/>
          <w:lang w:val="fr-FR"/>
        </w:rPr>
        <w:t>) étaient d</w:t>
      </w:r>
      <w:r w:rsidR="008E532B">
        <w:rPr>
          <w:rFonts w:ascii="Arial" w:eastAsia="SimSun" w:hAnsi="Arial" w:cs="Arial"/>
          <w:sz w:val="22"/>
          <w:szCs w:val="22"/>
          <w:lang w:val="fr-FR"/>
        </w:rPr>
        <w:t>’</w:t>
      </w:r>
      <w:r w:rsidRPr="00063A79">
        <w:rPr>
          <w:rFonts w:ascii="Arial" w:eastAsia="SimSun" w:hAnsi="Arial" w:cs="Arial"/>
          <w:sz w:val="22"/>
          <w:szCs w:val="22"/>
          <w:lang w:val="fr-FR"/>
        </w:rPr>
        <w:t>autres points importants. Cette session serait décisive</w:t>
      </w:r>
      <w:r>
        <w:rPr>
          <w:rFonts w:ascii="Arial" w:eastAsia="SimSun" w:hAnsi="Arial" w:cs="Arial"/>
          <w:sz w:val="22"/>
          <w:szCs w:val="22"/>
          <w:lang w:val="fr-FR"/>
        </w:rPr>
        <w:t xml:space="preserve"> car elle </w:t>
      </w:r>
      <w:r w:rsidRPr="00063A79">
        <w:rPr>
          <w:rFonts w:ascii="Arial" w:eastAsia="SimSun" w:hAnsi="Arial" w:cs="Arial"/>
          <w:sz w:val="22"/>
          <w:szCs w:val="22"/>
          <w:lang w:val="fr-FR"/>
        </w:rPr>
        <w:t>rassembl</w:t>
      </w:r>
      <w:r>
        <w:rPr>
          <w:rFonts w:ascii="Arial" w:eastAsia="SimSun" w:hAnsi="Arial" w:cs="Arial"/>
          <w:sz w:val="22"/>
          <w:szCs w:val="22"/>
          <w:lang w:val="fr-FR"/>
        </w:rPr>
        <w:t>erait</w:t>
      </w:r>
      <w:r w:rsidRPr="00063A79">
        <w:rPr>
          <w:rFonts w:ascii="Arial" w:eastAsia="SimSun" w:hAnsi="Arial" w:cs="Arial"/>
          <w:sz w:val="22"/>
          <w:szCs w:val="22"/>
          <w:lang w:val="fr-FR"/>
        </w:rPr>
        <w:t xml:space="preserve"> les différents fruits du travail des États parties. Les décisions prises lors de cette Assemblée auraient un impact direct sur </w:t>
      </w:r>
      <w:r>
        <w:rPr>
          <w:rFonts w:ascii="Arial" w:eastAsia="SimSun" w:hAnsi="Arial" w:cs="Arial"/>
          <w:sz w:val="22"/>
          <w:szCs w:val="22"/>
          <w:lang w:val="fr-FR"/>
        </w:rPr>
        <w:t>les modalités de sauvegarde du</w:t>
      </w:r>
      <w:r w:rsidRPr="00063A79">
        <w:rPr>
          <w:rFonts w:ascii="Arial" w:eastAsia="SimSun" w:hAnsi="Arial" w:cs="Arial"/>
          <w:sz w:val="22"/>
          <w:szCs w:val="22"/>
          <w:lang w:val="fr-FR"/>
        </w:rPr>
        <w:t xml:space="preserve"> patrimoine culturel immatériel (PCI) aux niveaux national et international, ainsi que pour les communautés sur le terrain.</w:t>
      </w:r>
    </w:p>
    <w:p w14:paraId="50C33B3F" w14:textId="410B6F30" w:rsidR="00D9653F" w:rsidRPr="00E20969"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E20969">
        <w:rPr>
          <w:rFonts w:ascii="Arial" w:eastAsia="SimSun" w:hAnsi="Arial" w:cs="Arial"/>
          <w:sz w:val="22"/>
          <w:szCs w:val="22"/>
          <w:lang w:val="fr-FR"/>
        </w:rPr>
        <w:t>L</w:t>
      </w:r>
      <w:r>
        <w:rPr>
          <w:rFonts w:ascii="Arial" w:eastAsia="SimSun" w:hAnsi="Arial" w:cs="Arial"/>
          <w:sz w:val="22"/>
          <w:szCs w:val="22"/>
          <w:lang w:val="fr-FR"/>
        </w:rPr>
        <w:t xml:space="preserve">e </w:t>
      </w:r>
      <w:r w:rsidRPr="00E20969">
        <w:rPr>
          <w:rFonts w:ascii="Arial" w:eastAsia="SimSun" w:hAnsi="Arial" w:cs="Arial"/>
          <w:b/>
          <w:bCs/>
          <w:sz w:val="22"/>
          <w:szCs w:val="22"/>
          <w:lang w:val="fr-FR"/>
        </w:rPr>
        <w:t>Sous-Directeur général</w:t>
      </w:r>
      <w:r>
        <w:rPr>
          <w:rFonts w:ascii="Arial" w:eastAsia="SimSun" w:hAnsi="Arial" w:cs="Arial"/>
          <w:sz w:val="22"/>
          <w:szCs w:val="22"/>
          <w:lang w:val="fr-FR"/>
        </w:rPr>
        <w:t xml:space="preserve"> </w:t>
      </w:r>
      <w:r w:rsidRPr="00E20969">
        <w:rPr>
          <w:rFonts w:ascii="Arial" w:eastAsia="SimSun" w:hAnsi="Arial" w:cs="Arial"/>
          <w:sz w:val="22"/>
          <w:szCs w:val="22"/>
          <w:lang w:val="fr-FR"/>
        </w:rPr>
        <w:t xml:space="preserve">a fait remarquer que les communautés </w:t>
      </w:r>
      <w:r>
        <w:rPr>
          <w:rFonts w:ascii="Arial" w:eastAsia="SimSun" w:hAnsi="Arial" w:cs="Arial"/>
          <w:sz w:val="22"/>
          <w:szCs w:val="22"/>
          <w:lang w:val="fr-FR"/>
        </w:rPr>
        <w:t xml:space="preserve">ont </w:t>
      </w:r>
      <w:r w:rsidRPr="00E20969">
        <w:rPr>
          <w:rFonts w:ascii="Arial" w:eastAsia="SimSun" w:hAnsi="Arial" w:cs="Arial"/>
          <w:sz w:val="22"/>
          <w:szCs w:val="22"/>
          <w:lang w:val="fr-FR"/>
        </w:rPr>
        <w:t xml:space="preserve">toujours été au </w:t>
      </w:r>
      <w:r>
        <w:rPr>
          <w:rFonts w:ascii="Arial" w:eastAsia="SimSun" w:hAnsi="Arial" w:cs="Arial"/>
          <w:sz w:val="22"/>
          <w:szCs w:val="22"/>
          <w:lang w:val="fr-FR"/>
        </w:rPr>
        <w:t>cœur</w:t>
      </w:r>
      <w:r w:rsidRPr="00E20969">
        <w:rPr>
          <w:rFonts w:ascii="Arial" w:eastAsia="SimSun" w:hAnsi="Arial" w:cs="Arial"/>
          <w:sz w:val="22"/>
          <w:szCs w:val="22"/>
          <w:lang w:val="fr-FR"/>
        </w:rPr>
        <w:t xml:space="preserve"> de la Convention. Le processus de réforme des mécanismes d</w:t>
      </w:r>
      <w:r w:rsidR="008E532B">
        <w:rPr>
          <w:rFonts w:ascii="Arial" w:eastAsia="SimSun" w:hAnsi="Arial" w:cs="Arial"/>
          <w:sz w:val="22"/>
          <w:szCs w:val="22"/>
          <w:lang w:val="fr-FR"/>
        </w:rPr>
        <w:t>’</w:t>
      </w:r>
      <w:r w:rsidRPr="00E20969">
        <w:rPr>
          <w:rFonts w:ascii="Arial" w:eastAsia="SimSun" w:hAnsi="Arial" w:cs="Arial"/>
          <w:sz w:val="22"/>
          <w:szCs w:val="22"/>
          <w:lang w:val="fr-FR"/>
        </w:rPr>
        <w:t>inscription</w:t>
      </w:r>
      <w:r>
        <w:rPr>
          <w:rFonts w:ascii="Arial" w:eastAsia="SimSun" w:hAnsi="Arial" w:cs="Arial"/>
          <w:sz w:val="22"/>
          <w:szCs w:val="22"/>
          <w:lang w:val="fr-FR"/>
        </w:rPr>
        <w:t xml:space="preserve"> sur les listes</w:t>
      </w:r>
      <w:r w:rsidRPr="00E20969">
        <w:rPr>
          <w:rFonts w:ascii="Arial" w:eastAsia="SimSun" w:hAnsi="Arial" w:cs="Arial"/>
          <w:sz w:val="22"/>
          <w:szCs w:val="22"/>
          <w:lang w:val="fr-FR"/>
        </w:rPr>
        <w:t xml:space="preserve"> vis</w:t>
      </w:r>
      <w:r>
        <w:rPr>
          <w:rFonts w:ascii="Arial" w:eastAsia="SimSun" w:hAnsi="Arial" w:cs="Arial"/>
          <w:sz w:val="22"/>
          <w:szCs w:val="22"/>
          <w:lang w:val="fr-FR"/>
        </w:rPr>
        <w:t>ait</w:t>
      </w:r>
      <w:r w:rsidRPr="00E20969">
        <w:rPr>
          <w:rFonts w:ascii="Arial" w:eastAsia="SimSun" w:hAnsi="Arial" w:cs="Arial"/>
          <w:sz w:val="22"/>
          <w:szCs w:val="22"/>
          <w:lang w:val="fr-FR"/>
        </w:rPr>
        <w:t xml:space="preserve"> à renforcer et à garantir la participation des communautés concernées. Compte tenu des défis sans précédent auxquels le monde </w:t>
      </w:r>
      <w:r>
        <w:rPr>
          <w:rFonts w:ascii="Arial" w:eastAsia="SimSun" w:hAnsi="Arial" w:cs="Arial"/>
          <w:sz w:val="22"/>
          <w:szCs w:val="22"/>
          <w:lang w:val="fr-FR"/>
        </w:rPr>
        <w:t>était</w:t>
      </w:r>
      <w:r w:rsidRPr="00E20969">
        <w:rPr>
          <w:rFonts w:ascii="Arial" w:eastAsia="SimSun" w:hAnsi="Arial" w:cs="Arial"/>
          <w:sz w:val="22"/>
          <w:szCs w:val="22"/>
          <w:lang w:val="fr-FR"/>
        </w:rPr>
        <w:t xml:space="preserve"> confronté -</w:t>
      </w:r>
      <w:r>
        <w:rPr>
          <w:rFonts w:ascii="Arial" w:eastAsia="SimSun" w:hAnsi="Arial" w:cs="Arial"/>
          <w:sz w:val="22"/>
          <w:szCs w:val="22"/>
          <w:lang w:val="fr-FR"/>
        </w:rPr>
        <w:t> </w:t>
      </w:r>
      <w:r w:rsidRPr="00E20969">
        <w:rPr>
          <w:rFonts w:ascii="Arial" w:eastAsia="SimSun" w:hAnsi="Arial" w:cs="Arial"/>
          <w:sz w:val="22"/>
          <w:szCs w:val="22"/>
          <w:lang w:val="fr-FR"/>
        </w:rPr>
        <w:t>de la pandémie au changement climatique</w:t>
      </w:r>
      <w:r>
        <w:rPr>
          <w:rFonts w:ascii="Arial" w:eastAsia="SimSun" w:hAnsi="Arial" w:cs="Arial"/>
          <w:sz w:val="22"/>
          <w:szCs w:val="22"/>
          <w:lang w:val="fr-FR"/>
        </w:rPr>
        <w:t> </w:t>
      </w:r>
      <w:r w:rsidRPr="00E20969">
        <w:rPr>
          <w:rFonts w:ascii="Arial" w:eastAsia="SimSun" w:hAnsi="Arial" w:cs="Arial"/>
          <w:sz w:val="22"/>
          <w:szCs w:val="22"/>
          <w:lang w:val="fr-FR"/>
        </w:rPr>
        <w:t xml:space="preserve">- il </w:t>
      </w:r>
      <w:r>
        <w:rPr>
          <w:rFonts w:ascii="Arial" w:eastAsia="SimSun" w:hAnsi="Arial" w:cs="Arial"/>
          <w:sz w:val="22"/>
          <w:szCs w:val="22"/>
          <w:lang w:val="fr-FR"/>
        </w:rPr>
        <w:t>était</w:t>
      </w:r>
      <w:r w:rsidRPr="00E20969">
        <w:rPr>
          <w:rFonts w:ascii="Arial" w:eastAsia="SimSun" w:hAnsi="Arial" w:cs="Arial"/>
          <w:sz w:val="22"/>
          <w:szCs w:val="22"/>
          <w:lang w:val="fr-FR"/>
        </w:rPr>
        <w:t xml:space="preserve"> nécessaire de garantir que les politiques culturelles </w:t>
      </w:r>
      <w:r>
        <w:rPr>
          <w:rFonts w:ascii="Arial" w:eastAsia="SimSun" w:hAnsi="Arial" w:cs="Arial"/>
          <w:sz w:val="22"/>
          <w:szCs w:val="22"/>
          <w:lang w:val="fr-FR"/>
        </w:rPr>
        <w:t>sont</w:t>
      </w:r>
      <w:r w:rsidRPr="00E20969">
        <w:rPr>
          <w:rFonts w:ascii="Arial" w:eastAsia="SimSun" w:hAnsi="Arial" w:cs="Arial"/>
          <w:sz w:val="22"/>
          <w:szCs w:val="22"/>
          <w:lang w:val="fr-FR"/>
        </w:rPr>
        <w:t xml:space="preserve"> inclusives et durables dans leur approche</w:t>
      </w:r>
      <w:r>
        <w:rPr>
          <w:rFonts w:ascii="Arial" w:eastAsia="SimSun" w:hAnsi="Arial" w:cs="Arial"/>
          <w:sz w:val="22"/>
          <w:szCs w:val="22"/>
          <w:lang w:val="fr-FR"/>
        </w:rPr>
        <w:t>,</w:t>
      </w:r>
      <w:r w:rsidRPr="00E20969">
        <w:rPr>
          <w:rFonts w:ascii="Arial" w:eastAsia="SimSun" w:hAnsi="Arial" w:cs="Arial"/>
          <w:sz w:val="22"/>
          <w:szCs w:val="22"/>
          <w:lang w:val="fr-FR"/>
        </w:rPr>
        <w:t xml:space="preserve"> et centrées sur les communautés. La Convention </w:t>
      </w:r>
      <w:r>
        <w:rPr>
          <w:rFonts w:ascii="Arial" w:eastAsia="SimSun" w:hAnsi="Arial" w:cs="Arial"/>
          <w:sz w:val="22"/>
          <w:szCs w:val="22"/>
          <w:lang w:val="fr-FR"/>
        </w:rPr>
        <w:t>était</w:t>
      </w:r>
      <w:r w:rsidRPr="00E20969">
        <w:rPr>
          <w:rFonts w:ascii="Arial" w:eastAsia="SimSun" w:hAnsi="Arial" w:cs="Arial"/>
          <w:sz w:val="22"/>
          <w:szCs w:val="22"/>
          <w:lang w:val="fr-FR"/>
        </w:rPr>
        <w:t xml:space="preserve"> à l</w:t>
      </w:r>
      <w:r w:rsidR="008E532B">
        <w:rPr>
          <w:rFonts w:ascii="Arial" w:eastAsia="SimSun" w:hAnsi="Arial" w:cs="Arial"/>
          <w:sz w:val="22"/>
          <w:szCs w:val="22"/>
          <w:lang w:val="fr-FR"/>
        </w:rPr>
        <w:t>’</w:t>
      </w:r>
      <w:r w:rsidRPr="00E20969">
        <w:rPr>
          <w:rFonts w:ascii="Arial" w:eastAsia="SimSun" w:hAnsi="Arial" w:cs="Arial"/>
          <w:sz w:val="22"/>
          <w:szCs w:val="22"/>
          <w:lang w:val="fr-FR"/>
        </w:rPr>
        <w:t xml:space="preserve">avant-garde de ces questions. Elle </w:t>
      </w:r>
      <w:r>
        <w:rPr>
          <w:rFonts w:ascii="Arial" w:eastAsia="SimSun" w:hAnsi="Arial" w:cs="Arial"/>
          <w:sz w:val="22"/>
          <w:szCs w:val="22"/>
          <w:lang w:val="fr-FR"/>
        </w:rPr>
        <w:t>était</w:t>
      </w:r>
      <w:r w:rsidRPr="00E20969">
        <w:rPr>
          <w:rFonts w:ascii="Arial" w:eastAsia="SimSun" w:hAnsi="Arial" w:cs="Arial"/>
          <w:sz w:val="22"/>
          <w:szCs w:val="22"/>
          <w:lang w:val="fr-FR"/>
        </w:rPr>
        <w:t xml:space="preserve"> une référence pour les États parties dans leur conception des politiques publiques et de la législation, reconna</w:t>
      </w:r>
      <w:r>
        <w:rPr>
          <w:rFonts w:ascii="Arial" w:eastAsia="SimSun" w:hAnsi="Arial" w:cs="Arial"/>
          <w:sz w:val="22"/>
          <w:szCs w:val="22"/>
          <w:lang w:val="fr-FR"/>
        </w:rPr>
        <w:t>issant, d</w:t>
      </w:r>
      <w:r w:rsidR="008E532B">
        <w:rPr>
          <w:rFonts w:ascii="Arial" w:eastAsia="SimSun" w:hAnsi="Arial" w:cs="Arial"/>
          <w:sz w:val="22"/>
          <w:szCs w:val="22"/>
          <w:lang w:val="fr-FR"/>
        </w:rPr>
        <w:t>’</w:t>
      </w:r>
      <w:r>
        <w:rPr>
          <w:rFonts w:ascii="Arial" w:eastAsia="SimSun" w:hAnsi="Arial" w:cs="Arial"/>
          <w:sz w:val="22"/>
          <w:szCs w:val="22"/>
          <w:lang w:val="fr-FR"/>
        </w:rPr>
        <w:t>une part,</w:t>
      </w:r>
      <w:r w:rsidRPr="00E20969">
        <w:rPr>
          <w:rFonts w:ascii="Arial" w:eastAsia="SimSun" w:hAnsi="Arial" w:cs="Arial"/>
          <w:sz w:val="22"/>
          <w:szCs w:val="22"/>
          <w:lang w:val="fr-FR"/>
        </w:rPr>
        <w:t xml:space="preserve"> l</w:t>
      </w:r>
      <w:r w:rsidR="008E532B">
        <w:rPr>
          <w:rFonts w:ascii="Arial" w:eastAsia="SimSun" w:hAnsi="Arial" w:cs="Arial"/>
          <w:sz w:val="22"/>
          <w:szCs w:val="22"/>
          <w:lang w:val="fr-FR"/>
        </w:rPr>
        <w:t>’</w:t>
      </w:r>
      <w:r w:rsidRPr="00E20969">
        <w:rPr>
          <w:rFonts w:ascii="Arial" w:eastAsia="SimSun" w:hAnsi="Arial" w:cs="Arial"/>
          <w:sz w:val="22"/>
          <w:szCs w:val="22"/>
          <w:lang w:val="fr-FR"/>
        </w:rPr>
        <w:t>importance du patrimoine vivant pour le développement durable</w:t>
      </w:r>
      <w:r>
        <w:rPr>
          <w:rFonts w:ascii="Arial" w:eastAsia="SimSun" w:hAnsi="Arial" w:cs="Arial"/>
          <w:sz w:val="22"/>
          <w:szCs w:val="22"/>
          <w:lang w:val="fr-FR"/>
        </w:rPr>
        <w:t xml:space="preserve"> </w:t>
      </w:r>
      <w:r w:rsidRPr="00E20969">
        <w:rPr>
          <w:rFonts w:ascii="Arial" w:eastAsia="SimSun" w:hAnsi="Arial" w:cs="Arial"/>
          <w:sz w:val="22"/>
          <w:szCs w:val="22"/>
          <w:lang w:val="fr-FR"/>
        </w:rPr>
        <w:t>et</w:t>
      </w:r>
      <w:r>
        <w:rPr>
          <w:rFonts w:ascii="Arial" w:eastAsia="SimSun" w:hAnsi="Arial" w:cs="Arial"/>
          <w:sz w:val="22"/>
          <w:szCs w:val="22"/>
          <w:lang w:val="fr-FR"/>
        </w:rPr>
        <w:t>, d</w:t>
      </w:r>
      <w:r w:rsidR="008E532B">
        <w:rPr>
          <w:rFonts w:ascii="Arial" w:eastAsia="SimSun" w:hAnsi="Arial" w:cs="Arial"/>
          <w:sz w:val="22"/>
          <w:szCs w:val="22"/>
          <w:lang w:val="fr-FR"/>
        </w:rPr>
        <w:t>’</w:t>
      </w:r>
      <w:r>
        <w:rPr>
          <w:rFonts w:ascii="Arial" w:eastAsia="SimSun" w:hAnsi="Arial" w:cs="Arial"/>
          <w:sz w:val="22"/>
          <w:szCs w:val="22"/>
          <w:lang w:val="fr-FR"/>
        </w:rPr>
        <w:t>autre part,</w:t>
      </w:r>
      <w:r w:rsidRPr="00E20969">
        <w:rPr>
          <w:rFonts w:ascii="Arial" w:eastAsia="SimSun" w:hAnsi="Arial" w:cs="Arial"/>
          <w:sz w:val="22"/>
          <w:szCs w:val="22"/>
          <w:lang w:val="fr-FR"/>
        </w:rPr>
        <w:t xml:space="preserve"> le rôle des communautés pour la sauvegarde du patrimoine culturel immatériel. À l</w:t>
      </w:r>
      <w:r w:rsidR="008E532B">
        <w:rPr>
          <w:rFonts w:ascii="Arial" w:eastAsia="SimSun" w:hAnsi="Arial" w:cs="Arial"/>
          <w:sz w:val="22"/>
          <w:szCs w:val="22"/>
          <w:lang w:val="fr-FR"/>
        </w:rPr>
        <w:t>’</w:t>
      </w:r>
      <w:r w:rsidRPr="00E20969">
        <w:rPr>
          <w:rFonts w:ascii="Arial" w:eastAsia="SimSun" w:hAnsi="Arial" w:cs="Arial"/>
          <w:sz w:val="22"/>
          <w:szCs w:val="22"/>
          <w:lang w:val="fr-FR"/>
        </w:rPr>
        <w:t>approche de la conférence MONDIACULT</w:t>
      </w:r>
      <w:r>
        <w:rPr>
          <w:rStyle w:val="FootnoteReference"/>
          <w:rFonts w:ascii="Arial" w:eastAsia="SimSun" w:hAnsi="Arial" w:cs="Arial"/>
          <w:sz w:val="22"/>
          <w:szCs w:val="22"/>
          <w:lang w:val="fr-FR"/>
        </w:rPr>
        <w:footnoteReference w:id="1"/>
      </w:r>
      <w:r w:rsidRPr="00E20969">
        <w:rPr>
          <w:rFonts w:ascii="Arial" w:eastAsia="SimSun" w:hAnsi="Arial" w:cs="Arial"/>
          <w:sz w:val="22"/>
          <w:szCs w:val="22"/>
          <w:lang w:val="fr-FR"/>
        </w:rPr>
        <w:t>, l</w:t>
      </w:r>
      <w:r w:rsidR="008E532B">
        <w:rPr>
          <w:rFonts w:ascii="Arial" w:eastAsia="SimSun" w:hAnsi="Arial" w:cs="Arial"/>
          <w:sz w:val="22"/>
          <w:szCs w:val="22"/>
          <w:lang w:val="fr-FR"/>
        </w:rPr>
        <w:t>’</w:t>
      </w:r>
      <w:r w:rsidRPr="00E20969">
        <w:rPr>
          <w:rFonts w:ascii="Arial" w:eastAsia="SimSun" w:hAnsi="Arial" w:cs="Arial"/>
          <w:sz w:val="22"/>
          <w:szCs w:val="22"/>
          <w:lang w:val="fr-FR"/>
        </w:rPr>
        <w:t>impact de la Convention sur les politiques culturelles et le patrimoine vivant</w:t>
      </w:r>
      <w:r>
        <w:rPr>
          <w:rFonts w:ascii="Arial" w:eastAsia="SimSun" w:hAnsi="Arial" w:cs="Arial"/>
          <w:sz w:val="22"/>
          <w:szCs w:val="22"/>
          <w:lang w:val="fr-FR"/>
        </w:rPr>
        <w:t>, ainsi que</w:t>
      </w:r>
      <w:r w:rsidRPr="00E20969">
        <w:rPr>
          <w:rFonts w:ascii="Arial" w:eastAsia="SimSun" w:hAnsi="Arial" w:cs="Arial"/>
          <w:sz w:val="22"/>
          <w:szCs w:val="22"/>
          <w:lang w:val="fr-FR"/>
        </w:rPr>
        <w:t xml:space="preserve"> le</w:t>
      </w:r>
      <w:r>
        <w:rPr>
          <w:rFonts w:ascii="Arial" w:eastAsia="SimSun" w:hAnsi="Arial" w:cs="Arial"/>
          <w:sz w:val="22"/>
          <w:szCs w:val="22"/>
          <w:lang w:val="fr-FR"/>
        </w:rPr>
        <w:t>ur</w:t>
      </w:r>
      <w:r w:rsidRPr="00E20969">
        <w:rPr>
          <w:rFonts w:ascii="Arial" w:eastAsia="SimSun" w:hAnsi="Arial" w:cs="Arial"/>
          <w:sz w:val="22"/>
          <w:szCs w:val="22"/>
          <w:lang w:val="fr-FR"/>
        </w:rPr>
        <w:t xml:space="preserve"> rôle</w:t>
      </w:r>
      <w:r>
        <w:rPr>
          <w:rFonts w:ascii="Arial" w:eastAsia="SimSun" w:hAnsi="Arial" w:cs="Arial"/>
          <w:sz w:val="22"/>
          <w:szCs w:val="22"/>
          <w:lang w:val="fr-FR"/>
        </w:rPr>
        <w:t xml:space="preserve"> </w:t>
      </w:r>
      <w:r w:rsidRPr="00E20969">
        <w:rPr>
          <w:rFonts w:ascii="Arial" w:eastAsia="SimSun" w:hAnsi="Arial" w:cs="Arial"/>
          <w:sz w:val="22"/>
          <w:szCs w:val="22"/>
          <w:lang w:val="fr-FR"/>
        </w:rPr>
        <w:t>dans la construction de sociétés plus résilientes et durables</w:t>
      </w:r>
      <w:r>
        <w:rPr>
          <w:rFonts w:ascii="Arial" w:eastAsia="SimSun" w:hAnsi="Arial" w:cs="Arial"/>
          <w:sz w:val="22"/>
          <w:szCs w:val="22"/>
          <w:lang w:val="fr-FR"/>
        </w:rPr>
        <w:t xml:space="preserve">, était </w:t>
      </w:r>
      <w:r w:rsidRPr="00E20969">
        <w:rPr>
          <w:rFonts w:ascii="Arial" w:eastAsia="SimSun" w:hAnsi="Arial" w:cs="Arial"/>
          <w:sz w:val="22"/>
          <w:szCs w:val="22"/>
          <w:lang w:val="fr-FR"/>
        </w:rPr>
        <w:t>de plus en plus présent. L</w:t>
      </w:r>
      <w:r w:rsidR="008E532B">
        <w:rPr>
          <w:rFonts w:ascii="Arial" w:eastAsia="SimSun" w:hAnsi="Arial" w:cs="Arial"/>
          <w:sz w:val="22"/>
          <w:szCs w:val="22"/>
          <w:lang w:val="fr-FR"/>
        </w:rPr>
        <w:t>’</w:t>
      </w:r>
      <w:r w:rsidRPr="00E20969">
        <w:rPr>
          <w:rFonts w:ascii="Arial" w:eastAsia="SimSun" w:hAnsi="Arial" w:cs="Arial"/>
          <w:sz w:val="22"/>
          <w:szCs w:val="22"/>
          <w:lang w:val="fr-FR"/>
        </w:rPr>
        <w:t>année 2023 marquera</w:t>
      </w:r>
      <w:r>
        <w:rPr>
          <w:rFonts w:ascii="Arial" w:eastAsia="SimSun" w:hAnsi="Arial" w:cs="Arial"/>
          <w:sz w:val="22"/>
          <w:szCs w:val="22"/>
          <w:lang w:val="fr-FR"/>
        </w:rPr>
        <w:t>it</w:t>
      </w:r>
      <w:r w:rsidRPr="00E20969">
        <w:rPr>
          <w:rFonts w:ascii="Arial" w:eastAsia="SimSun" w:hAnsi="Arial" w:cs="Arial"/>
          <w:sz w:val="22"/>
          <w:szCs w:val="22"/>
          <w:lang w:val="fr-FR"/>
        </w:rPr>
        <w:t xml:space="preserve"> le </w:t>
      </w:r>
      <w:r>
        <w:rPr>
          <w:rFonts w:ascii="Arial" w:eastAsia="SimSun" w:hAnsi="Arial" w:cs="Arial"/>
          <w:sz w:val="22"/>
          <w:szCs w:val="22"/>
          <w:lang w:val="fr-FR"/>
        </w:rPr>
        <w:t>vingtième</w:t>
      </w:r>
      <w:r w:rsidRPr="00E20969">
        <w:rPr>
          <w:rFonts w:ascii="Arial" w:eastAsia="SimSun" w:hAnsi="Arial" w:cs="Arial"/>
          <w:sz w:val="22"/>
          <w:szCs w:val="22"/>
          <w:lang w:val="fr-FR"/>
        </w:rPr>
        <w:t xml:space="preserve"> anniversaire de l</w:t>
      </w:r>
      <w:r w:rsidR="008E532B">
        <w:rPr>
          <w:rFonts w:ascii="Arial" w:eastAsia="SimSun" w:hAnsi="Arial" w:cs="Arial"/>
          <w:sz w:val="22"/>
          <w:szCs w:val="22"/>
          <w:lang w:val="fr-FR"/>
        </w:rPr>
        <w:t>’</w:t>
      </w:r>
      <w:r w:rsidRPr="00E20969">
        <w:rPr>
          <w:rFonts w:ascii="Arial" w:eastAsia="SimSun" w:hAnsi="Arial" w:cs="Arial"/>
          <w:sz w:val="22"/>
          <w:szCs w:val="22"/>
          <w:lang w:val="fr-FR"/>
        </w:rPr>
        <w:t>adoption de la Convention de 2003, un tournant important dans la vie de la Convention. En faisant le bilan de la Convention et de ses progrès au cours des deux dernières années, l</w:t>
      </w:r>
      <w:r w:rsidR="008E532B">
        <w:rPr>
          <w:rFonts w:ascii="Arial" w:eastAsia="SimSun" w:hAnsi="Arial" w:cs="Arial"/>
          <w:sz w:val="22"/>
          <w:szCs w:val="22"/>
          <w:lang w:val="fr-FR"/>
        </w:rPr>
        <w:t>’</w:t>
      </w:r>
      <w:r w:rsidRPr="00E20969">
        <w:rPr>
          <w:rFonts w:ascii="Arial" w:eastAsia="SimSun" w:hAnsi="Arial" w:cs="Arial"/>
          <w:sz w:val="22"/>
          <w:szCs w:val="22"/>
          <w:lang w:val="fr-FR"/>
        </w:rPr>
        <w:t>Assemblée p</w:t>
      </w:r>
      <w:r>
        <w:rPr>
          <w:rFonts w:ascii="Arial" w:eastAsia="SimSun" w:hAnsi="Arial" w:cs="Arial"/>
          <w:sz w:val="22"/>
          <w:szCs w:val="22"/>
          <w:lang w:val="fr-FR"/>
        </w:rPr>
        <w:t>ouvait</w:t>
      </w:r>
      <w:r w:rsidRPr="00E20969">
        <w:rPr>
          <w:rFonts w:ascii="Arial" w:eastAsia="SimSun" w:hAnsi="Arial" w:cs="Arial"/>
          <w:sz w:val="22"/>
          <w:szCs w:val="22"/>
          <w:lang w:val="fr-FR"/>
        </w:rPr>
        <w:t xml:space="preserve"> être assurée que la Convention continu</w:t>
      </w:r>
      <w:r>
        <w:rPr>
          <w:rFonts w:ascii="Arial" w:eastAsia="SimSun" w:hAnsi="Arial" w:cs="Arial"/>
          <w:sz w:val="22"/>
          <w:szCs w:val="22"/>
          <w:lang w:val="fr-FR"/>
        </w:rPr>
        <w:t>ait</w:t>
      </w:r>
      <w:r w:rsidRPr="00E20969">
        <w:rPr>
          <w:rFonts w:ascii="Arial" w:eastAsia="SimSun" w:hAnsi="Arial" w:cs="Arial"/>
          <w:sz w:val="22"/>
          <w:szCs w:val="22"/>
          <w:lang w:val="fr-FR"/>
        </w:rPr>
        <w:t xml:space="preserve"> d</w:t>
      </w:r>
      <w:r w:rsidR="008E532B">
        <w:rPr>
          <w:rFonts w:ascii="Arial" w:eastAsia="SimSun" w:hAnsi="Arial" w:cs="Arial"/>
          <w:sz w:val="22"/>
          <w:szCs w:val="22"/>
          <w:lang w:val="fr-FR"/>
        </w:rPr>
        <w:t>’</w:t>
      </w:r>
      <w:r w:rsidRPr="00E20969">
        <w:rPr>
          <w:rFonts w:ascii="Arial" w:eastAsia="SimSun" w:hAnsi="Arial" w:cs="Arial"/>
          <w:sz w:val="22"/>
          <w:szCs w:val="22"/>
          <w:lang w:val="fr-FR"/>
        </w:rPr>
        <w:t>évoluer pour répondre aux besoins de ses parties prenantes. En témoign</w:t>
      </w:r>
      <w:r>
        <w:rPr>
          <w:rFonts w:ascii="Arial" w:eastAsia="SimSun" w:hAnsi="Arial" w:cs="Arial"/>
          <w:sz w:val="22"/>
          <w:szCs w:val="22"/>
          <w:lang w:val="fr-FR"/>
        </w:rPr>
        <w:t>aient</w:t>
      </w:r>
      <w:r w:rsidRPr="00E20969">
        <w:rPr>
          <w:rFonts w:ascii="Arial" w:eastAsia="SimSun" w:hAnsi="Arial" w:cs="Arial"/>
          <w:sz w:val="22"/>
          <w:szCs w:val="22"/>
          <w:lang w:val="fr-FR"/>
        </w:rPr>
        <w:t xml:space="preserve"> la réflexion sur les mécanismes d</w:t>
      </w:r>
      <w:r w:rsidR="008E532B">
        <w:rPr>
          <w:rFonts w:ascii="Arial" w:eastAsia="SimSun" w:hAnsi="Arial" w:cs="Arial"/>
          <w:sz w:val="22"/>
          <w:szCs w:val="22"/>
          <w:lang w:val="fr-FR"/>
        </w:rPr>
        <w:t>’</w:t>
      </w:r>
      <w:r w:rsidRPr="00E20969">
        <w:rPr>
          <w:rFonts w:ascii="Arial" w:eastAsia="SimSun" w:hAnsi="Arial" w:cs="Arial"/>
          <w:sz w:val="22"/>
          <w:szCs w:val="22"/>
          <w:lang w:val="fr-FR"/>
        </w:rPr>
        <w:t>inscription</w:t>
      </w:r>
      <w:r>
        <w:rPr>
          <w:rFonts w:ascii="Arial" w:eastAsia="SimSun" w:hAnsi="Arial" w:cs="Arial"/>
          <w:sz w:val="22"/>
          <w:szCs w:val="22"/>
          <w:lang w:val="fr-FR"/>
        </w:rPr>
        <w:t xml:space="preserve"> sur les listes</w:t>
      </w:r>
      <w:r w:rsidRPr="00E20969">
        <w:rPr>
          <w:rFonts w:ascii="Arial" w:eastAsia="SimSun" w:hAnsi="Arial" w:cs="Arial"/>
          <w:sz w:val="22"/>
          <w:szCs w:val="22"/>
          <w:lang w:val="fr-FR"/>
        </w:rPr>
        <w:t xml:space="preserve"> </w:t>
      </w:r>
      <w:r>
        <w:rPr>
          <w:rFonts w:ascii="Arial" w:eastAsia="SimSun" w:hAnsi="Arial" w:cs="Arial"/>
          <w:sz w:val="22"/>
          <w:szCs w:val="22"/>
          <w:lang w:val="fr-FR"/>
        </w:rPr>
        <w:t xml:space="preserve">et </w:t>
      </w:r>
      <w:r w:rsidRPr="00E20969">
        <w:rPr>
          <w:rFonts w:ascii="Arial" w:eastAsia="SimSun" w:hAnsi="Arial" w:cs="Arial"/>
          <w:sz w:val="22"/>
          <w:szCs w:val="22"/>
          <w:lang w:val="fr-FR"/>
        </w:rPr>
        <w:t>la réforme du système d</w:t>
      </w:r>
      <w:r>
        <w:rPr>
          <w:rFonts w:ascii="Arial" w:eastAsia="SimSun" w:hAnsi="Arial" w:cs="Arial"/>
          <w:sz w:val="22"/>
          <w:szCs w:val="22"/>
          <w:lang w:val="fr-FR"/>
        </w:rPr>
        <w:t>e soumission des</w:t>
      </w:r>
      <w:r w:rsidRPr="00E20969">
        <w:rPr>
          <w:rFonts w:ascii="Arial" w:eastAsia="SimSun" w:hAnsi="Arial" w:cs="Arial"/>
          <w:sz w:val="22"/>
          <w:szCs w:val="22"/>
          <w:lang w:val="fr-FR"/>
        </w:rPr>
        <w:t xml:space="preserve"> rapports périodiques, qui a</w:t>
      </w:r>
      <w:r>
        <w:rPr>
          <w:rFonts w:ascii="Arial" w:eastAsia="SimSun" w:hAnsi="Arial" w:cs="Arial"/>
          <w:sz w:val="22"/>
          <w:szCs w:val="22"/>
          <w:lang w:val="fr-FR"/>
        </w:rPr>
        <w:t>vaient</w:t>
      </w:r>
      <w:r w:rsidRPr="00E20969">
        <w:rPr>
          <w:rFonts w:ascii="Arial" w:eastAsia="SimSun" w:hAnsi="Arial" w:cs="Arial"/>
          <w:sz w:val="22"/>
          <w:szCs w:val="22"/>
          <w:lang w:val="fr-FR"/>
        </w:rPr>
        <w:t xml:space="preserve"> déjà donné des résultats prometteurs. La Convention s</w:t>
      </w:r>
      <w:r w:rsidR="008E532B">
        <w:rPr>
          <w:rFonts w:ascii="Arial" w:eastAsia="SimSun" w:hAnsi="Arial" w:cs="Arial"/>
          <w:sz w:val="22"/>
          <w:szCs w:val="22"/>
          <w:lang w:val="fr-FR"/>
        </w:rPr>
        <w:t>’</w:t>
      </w:r>
      <w:r>
        <w:rPr>
          <w:rFonts w:ascii="Arial" w:eastAsia="SimSun" w:hAnsi="Arial" w:cs="Arial"/>
          <w:sz w:val="22"/>
          <w:szCs w:val="22"/>
          <w:lang w:val="fr-FR"/>
        </w:rPr>
        <w:t>était</w:t>
      </w:r>
      <w:r w:rsidRPr="00E20969">
        <w:rPr>
          <w:rFonts w:ascii="Arial" w:eastAsia="SimSun" w:hAnsi="Arial" w:cs="Arial"/>
          <w:sz w:val="22"/>
          <w:szCs w:val="22"/>
          <w:lang w:val="fr-FR"/>
        </w:rPr>
        <w:t xml:space="preserve"> également étendue à de nouveaux domaines, les travaux ayant commencé sur des thèmes tels que la relation entre le patrimoine vivant et le changement climatique,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E20969">
        <w:rPr>
          <w:rFonts w:ascii="Arial" w:eastAsia="SimSun" w:hAnsi="Arial" w:cs="Arial"/>
          <w:sz w:val="22"/>
          <w:szCs w:val="22"/>
          <w:lang w:val="fr-FR"/>
        </w:rPr>
        <w:t xml:space="preserve">et les contextes urbains, et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E20969">
        <w:rPr>
          <w:rFonts w:ascii="Arial" w:eastAsia="SimSun" w:hAnsi="Arial" w:cs="Arial"/>
          <w:sz w:val="22"/>
          <w:szCs w:val="22"/>
          <w:lang w:val="fr-FR"/>
        </w:rPr>
        <w:t>et la commercialisation. La pandémie d</w:t>
      </w:r>
      <w:r>
        <w:rPr>
          <w:rFonts w:ascii="Arial" w:eastAsia="SimSun" w:hAnsi="Arial" w:cs="Arial"/>
          <w:sz w:val="22"/>
          <w:szCs w:val="22"/>
          <w:lang w:val="fr-FR"/>
        </w:rPr>
        <w:t xml:space="preserve">e </w:t>
      </w:r>
      <w:r w:rsidRPr="00E20969">
        <w:rPr>
          <w:rFonts w:ascii="Arial" w:eastAsia="SimSun" w:hAnsi="Arial" w:cs="Arial"/>
          <w:sz w:val="22"/>
          <w:szCs w:val="22"/>
          <w:lang w:val="fr-FR"/>
        </w:rPr>
        <w:t>COVID-19 a</w:t>
      </w:r>
      <w:r>
        <w:rPr>
          <w:rFonts w:ascii="Arial" w:eastAsia="SimSun" w:hAnsi="Arial" w:cs="Arial"/>
          <w:sz w:val="22"/>
          <w:szCs w:val="22"/>
          <w:lang w:val="fr-FR"/>
        </w:rPr>
        <w:t>vait</w:t>
      </w:r>
      <w:r w:rsidRPr="00E20969">
        <w:rPr>
          <w:rFonts w:ascii="Arial" w:eastAsia="SimSun" w:hAnsi="Arial" w:cs="Arial"/>
          <w:sz w:val="22"/>
          <w:szCs w:val="22"/>
          <w:lang w:val="fr-FR"/>
        </w:rPr>
        <w:t xml:space="preserve"> réaffirmé la valeur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E20969">
        <w:rPr>
          <w:rFonts w:ascii="Arial" w:eastAsia="SimSun" w:hAnsi="Arial" w:cs="Arial"/>
          <w:sz w:val="22"/>
          <w:szCs w:val="22"/>
          <w:lang w:val="fr-FR"/>
        </w:rPr>
        <w:t>et son importance pour les communautés</w:t>
      </w:r>
      <w:r>
        <w:rPr>
          <w:rFonts w:ascii="Arial" w:eastAsia="SimSun" w:hAnsi="Arial" w:cs="Arial"/>
          <w:sz w:val="22"/>
          <w:szCs w:val="22"/>
          <w:lang w:val="fr-FR"/>
        </w:rPr>
        <w:t xml:space="preserve"> </w:t>
      </w:r>
      <w:r w:rsidRPr="00E20969">
        <w:rPr>
          <w:rFonts w:ascii="Arial" w:eastAsia="SimSun" w:hAnsi="Arial" w:cs="Arial"/>
          <w:sz w:val="22"/>
          <w:szCs w:val="22"/>
          <w:lang w:val="fr-FR"/>
        </w:rPr>
        <w:t xml:space="preserve">attachées à sa pratique et à son expression continues. Tout au long de la pandémie, les mécanismes statutaires et les initiatives opérationnelles </w:t>
      </w:r>
      <w:r>
        <w:rPr>
          <w:rFonts w:ascii="Arial" w:eastAsia="SimSun" w:hAnsi="Arial" w:cs="Arial"/>
          <w:sz w:val="22"/>
          <w:szCs w:val="22"/>
          <w:lang w:val="fr-FR"/>
        </w:rPr>
        <w:t>essentielles</w:t>
      </w:r>
      <w:r w:rsidRPr="00E20969">
        <w:rPr>
          <w:rFonts w:ascii="Arial" w:eastAsia="SimSun" w:hAnsi="Arial" w:cs="Arial"/>
          <w:sz w:val="22"/>
          <w:szCs w:val="22"/>
          <w:lang w:val="fr-FR"/>
        </w:rPr>
        <w:t xml:space="preserve"> de la Convention s</w:t>
      </w:r>
      <w:r w:rsidR="008E532B">
        <w:rPr>
          <w:rFonts w:ascii="Arial" w:eastAsia="SimSun" w:hAnsi="Arial" w:cs="Arial"/>
          <w:sz w:val="22"/>
          <w:szCs w:val="22"/>
          <w:lang w:val="fr-FR"/>
        </w:rPr>
        <w:t>’</w:t>
      </w:r>
      <w:r>
        <w:rPr>
          <w:rFonts w:ascii="Arial" w:eastAsia="SimSun" w:hAnsi="Arial" w:cs="Arial"/>
          <w:sz w:val="22"/>
          <w:szCs w:val="22"/>
          <w:lang w:val="fr-FR"/>
        </w:rPr>
        <w:t xml:space="preserve">étaient </w:t>
      </w:r>
      <w:r w:rsidRPr="00E20969">
        <w:rPr>
          <w:rFonts w:ascii="Arial" w:eastAsia="SimSun" w:hAnsi="Arial" w:cs="Arial"/>
          <w:sz w:val="22"/>
          <w:szCs w:val="22"/>
          <w:lang w:val="fr-FR"/>
        </w:rPr>
        <w:t xml:space="preserve">poursuivis sans interruption, montrant que les structures statutaires en place </w:t>
      </w:r>
      <w:r>
        <w:rPr>
          <w:rFonts w:ascii="Arial" w:eastAsia="SimSun" w:hAnsi="Arial" w:cs="Arial"/>
          <w:sz w:val="22"/>
          <w:szCs w:val="22"/>
          <w:lang w:val="fr-FR"/>
        </w:rPr>
        <w:t xml:space="preserve">étaient </w:t>
      </w:r>
      <w:r w:rsidRPr="00E20969">
        <w:rPr>
          <w:rFonts w:ascii="Arial" w:eastAsia="SimSun" w:hAnsi="Arial" w:cs="Arial"/>
          <w:sz w:val="22"/>
          <w:szCs w:val="22"/>
          <w:lang w:val="fr-FR"/>
        </w:rPr>
        <w:t>à la fois robustes et flexibles. Cela n</w:t>
      </w:r>
      <w:r w:rsidR="008E532B">
        <w:rPr>
          <w:rFonts w:ascii="Arial" w:eastAsia="SimSun" w:hAnsi="Arial" w:cs="Arial"/>
          <w:sz w:val="22"/>
          <w:szCs w:val="22"/>
          <w:lang w:val="fr-FR"/>
        </w:rPr>
        <w:t>’</w:t>
      </w:r>
      <w:r w:rsidRPr="00E20969">
        <w:rPr>
          <w:rFonts w:ascii="Arial" w:eastAsia="SimSun" w:hAnsi="Arial" w:cs="Arial"/>
          <w:sz w:val="22"/>
          <w:szCs w:val="22"/>
          <w:lang w:val="fr-FR"/>
        </w:rPr>
        <w:t>aurait pas été possible sans l</w:t>
      </w:r>
      <w:r w:rsidR="008E532B">
        <w:rPr>
          <w:rFonts w:ascii="Arial" w:eastAsia="SimSun" w:hAnsi="Arial" w:cs="Arial"/>
          <w:sz w:val="22"/>
          <w:szCs w:val="22"/>
          <w:lang w:val="fr-FR"/>
        </w:rPr>
        <w:t>’</w:t>
      </w:r>
      <w:r w:rsidRPr="00E20969">
        <w:rPr>
          <w:rFonts w:ascii="Arial" w:eastAsia="SimSun" w:hAnsi="Arial" w:cs="Arial"/>
          <w:sz w:val="22"/>
          <w:szCs w:val="22"/>
          <w:lang w:val="fr-FR"/>
        </w:rPr>
        <w:t>engagement des États parties et leur esprit d</w:t>
      </w:r>
      <w:r w:rsidR="008E532B">
        <w:rPr>
          <w:rFonts w:ascii="Arial" w:eastAsia="SimSun" w:hAnsi="Arial" w:cs="Arial"/>
          <w:sz w:val="22"/>
          <w:szCs w:val="22"/>
          <w:lang w:val="fr-FR"/>
        </w:rPr>
        <w:t>’</w:t>
      </w:r>
      <w:r w:rsidRPr="00E20969">
        <w:rPr>
          <w:rFonts w:ascii="Arial" w:eastAsia="SimSun" w:hAnsi="Arial" w:cs="Arial"/>
          <w:sz w:val="22"/>
          <w:szCs w:val="22"/>
          <w:lang w:val="fr-FR"/>
        </w:rPr>
        <w:t xml:space="preserve">unité et de solidarité. M. </w:t>
      </w:r>
      <w:proofErr w:type="spellStart"/>
      <w:r w:rsidRPr="00E20969">
        <w:rPr>
          <w:rFonts w:ascii="Arial" w:eastAsia="SimSun" w:hAnsi="Arial" w:cs="Arial"/>
          <w:sz w:val="22"/>
          <w:szCs w:val="22"/>
          <w:lang w:val="fr-FR"/>
        </w:rPr>
        <w:t>Ottone</w:t>
      </w:r>
      <w:proofErr w:type="spellEnd"/>
      <w:r w:rsidRPr="00E20969">
        <w:rPr>
          <w:rFonts w:ascii="Arial" w:eastAsia="SimSun" w:hAnsi="Arial" w:cs="Arial"/>
          <w:sz w:val="22"/>
          <w:szCs w:val="22"/>
          <w:lang w:val="fr-FR"/>
        </w:rPr>
        <w:t xml:space="preserve"> a souhaité aux délégués </w:t>
      </w:r>
      <w:r>
        <w:rPr>
          <w:rFonts w:ascii="Arial" w:eastAsia="SimSun" w:hAnsi="Arial" w:cs="Arial"/>
          <w:sz w:val="22"/>
          <w:szCs w:val="22"/>
          <w:lang w:val="fr-FR"/>
        </w:rPr>
        <w:t xml:space="preserve">de fructueuses </w:t>
      </w:r>
      <w:r w:rsidRPr="00E20969">
        <w:rPr>
          <w:rFonts w:ascii="Arial" w:eastAsia="SimSun" w:hAnsi="Arial" w:cs="Arial"/>
          <w:sz w:val="22"/>
          <w:szCs w:val="22"/>
          <w:lang w:val="fr-FR"/>
        </w:rPr>
        <w:t>délibérations.</w:t>
      </w:r>
    </w:p>
    <w:p w14:paraId="6CC4BDEB" w14:textId="4F7A49DE" w:rsidR="00D9653F" w:rsidRPr="004D7E2E" w:rsidRDefault="008D65C3"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603192">
        <w:rPr>
          <w:rFonts w:ascii="Arial" w:eastAsia="SimSun" w:hAnsi="Arial" w:cs="Arial"/>
          <w:b/>
          <w:bCs/>
          <w:sz w:val="22"/>
          <w:szCs w:val="22"/>
          <w:lang w:val="fr-FR"/>
        </w:rPr>
        <w:t>Mme</w:t>
      </w:r>
      <w:r w:rsidR="00D9653F" w:rsidRPr="004D7E2E">
        <w:rPr>
          <w:rFonts w:ascii="Arial" w:eastAsia="SimSun" w:hAnsi="Arial" w:cs="Arial"/>
          <w:b/>
          <w:bCs/>
          <w:sz w:val="22"/>
          <w:szCs w:val="22"/>
          <w:lang w:val="fr-FR"/>
        </w:rPr>
        <w:t> Fumiko Ohinata</w:t>
      </w:r>
      <w:r w:rsidR="00D9653F" w:rsidRPr="004D7E2E">
        <w:rPr>
          <w:rFonts w:ascii="Arial" w:eastAsia="SimSun" w:hAnsi="Arial" w:cs="Arial"/>
          <w:sz w:val="22"/>
          <w:szCs w:val="22"/>
          <w:lang w:val="fr-FR"/>
        </w:rPr>
        <w:t xml:space="preserve"> a souhaité la bienvenue aux délégués et a présenté quelques informations pratiques. Pour cette réunion, l</w:t>
      </w:r>
      <w:r w:rsidR="008E532B" w:rsidRPr="00603192">
        <w:rPr>
          <w:rFonts w:ascii="Arial" w:eastAsia="SimSun" w:hAnsi="Arial" w:cs="Arial"/>
          <w:sz w:val="22"/>
          <w:szCs w:val="22"/>
          <w:lang w:val="fr-FR"/>
        </w:rPr>
        <w:t>’</w:t>
      </w:r>
      <w:r w:rsidR="00D9653F" w:rsidRPr="004D7E2E">
        <w:rPr>
          <w:rFonts w:ascii="Arial" w:eastAsia="SimSun" w:hAnsi="Arial" w:cs="Arial"/>
          <w:sz w:val="22"/>
          <w:szCs w:val="22"/>
          <w:lang w:val="fr-FR"/>
        </w:rPr>
        <w:t xml:space="preserve">interprétation serait disponible dans les six langues de travail. Les débats étaient disponibles par vidéodiffusion et </w:t>
      </w:r>
      <w:proofErr w:type="spellStart"/>
      <w:r w:rsidR="00D9653F" w:rsidRPr="004D7E2E">
        <w:rPr>
          <w:rFonts w:ascii="Arial" w:eastAsia="SimSun" w:hAnsi="Arial" w:cs="Arial"/>
          <w:sz w:val="22"/>
          <w:szCs w:val="22"/>
          <w:lang w:val="fr-FR"/>
        </w:rPr>
        <w:t>audiodiffusion</w:t>
      </w:r>
      <w:proofErr w:type="spellEnd"/>
      <w:r w:rsidR="00D9653F" w:rsidRPr="004D7E2E">
        <w:rPr>
          <w:rFonts w:ascii="Arial" w:eastAsia="SimSun" w:hAnsi="Arial" w:cs="Arial"/>
          <w:sz w:val="22"/>
          <w:szCs w:val="22"/>
          <w:lang w:val="fr-FR"/>
        </w:rPr>
        <w:t>, également dans ces six langues, à partir de la page web</w:t>
      </w:r>
      <w:r w:rsidR="00D9653F" w:rsidRPr="004D7E2E">
        <w:rPr>
          <w:rStyle w:val="FootnoteReference"/>
          <w:rFonts w:ascii="Arial" w:eastAsia="SimSun" w:hAnsi="Arial" w:cs="Arial"/>
          <w:sz w:val="22"/>
          <w:szCs w:val="22"/>
          <w:lang w:val="fr-FR"/>
        </w:rPr>
        <w:footnoteReference w:id="2"/>
      </w:r>
      <w:r w:rsidR="00D9653F" w:rsidRPr="004D7E2E">
        <w:rPr>
          <w:rFonts w:ascii="Arial" w:eastAsia="SimSun" w:hAnsi="Arial" w:cs="Arial"/>
          <w:sz w:val="22"/>
          <w:szCs w:val="22"/>
          <w:lang w:val="fr-FR"/>
        </w:rPr>
        <w:t xml:space="preserve"> de la Convention. Tous les documents étaient disponibles en ligne dans les six langues de travail. Des versions imprimées ne seraient pas mises à disposition pour des raisons environnementales et pour réduire les coûts. Tous les participants étaient invités à s</w:t>
      </w:r>
      <w:r w:rsidR="008E532B" w:rsidRPr="00603192">
        <w:rPr>
          <w:rFonts w:ascii="Arial" w:eastAsia="SimSun" w:hAnsi="Arial" w:cs="Arial"/>
          <w:sz w:val="22"/>
          <w:szCs w:val="22"/>
          <w:lang w:val="fr-FR"/>
        </w:rPr>
        <w:t>’</w:t>
      </w:r>
      <w:r w:rsidR="00D9653F" w:rsidRPr="004D7E2E">
        <w:rPr>
          <w:rFonts w:ascii="Arial" w:eastAsia="SimSun" w:hAnsi="Arial" w:cs="Arial"/>
          <w:sz w:val="22"/>
          <w:szCs w:val="22"/>
          <w:lang w:val="fr-FR"/>
        </w:rPr>
        <w:t xml:space="preserve">inscrire. La liste provisoire des participants était disponible </w:t>
      </w:r>
      <w:hyperlink r:id="rId11" w:history="1">
        <w:r w:rsidR="00D9653F" w:rsidRPr="004D7E2E">
          <w:rPr>
            <w:rStyle w:val="Hyperlink"/>
            <w:rFonts w:ascii="Arial" w:eastAsia="SimSun" w:hAnsi="Arial" w:cs="Arial"/>
            <w:sz w:val="22"/>
            <w:szCs w:val="22"/>
            <w:lang w:val="fr-FR"/>
          </w:rPr>
          <w:t>en ligne</w:t>
        </w:r>
      </w:hyperlink>
      <w:r w:rsidR="00D9653F" w:rsidRPr="004D7E2E">
        <w:rPr>
          <w:rFonts w:ascii="Arial" w:eastAsia="SimSun" w:hAnsi="Arial" w:cs="Arial"/>
          <w:sz w:val="22"/>
          <w:szCs w:val="22"/>
          <w:lang w:val="fr-FR"/>
        </w:rPr>
        <w:t>. Conformément à la toute dernière politique de l</w:t>
      </w:r>
      <w:r w:rsidR="008E532B" w:rsidRPr="00603192">
        <w:rPr>
          <w:rFonts w:ascii="Arial" w:eastAsia="SimSun" w:hAnsi="Arial" w:cs="Arial"/>
          <w:sz w:val="22"/>
          <w:szCs w:val="22"/>
          <w:lang w:val="fr-FR"/>
        </w:rPr>
        <w:t>’</w:t>
      </w:r>
      <w:r w:rsidR="00D9653F" w:rsidRPr="004D7E2E">
        <w:rPr>
          <w:rFonts w:ascii="Arial" w:eastAsia="SimSun" w:hAnsi="Arial" w:cs="Arial"/>
          <w:sz w:val="22"/>
          <w:szCs w:val="22"/>
          <w:lang w:val="fr-FR"/>
        </w:rPr>
        <w:t xml:space="preserve">UNESCO, les délégués étaient fortement encouragés à porter un masque pendant toute la durée des sessions. Le Secrétariat avait prévu plusieurs manifestations parallèles spéciales pendant la session, comme précisé dans le </w:t>
      </w:r>
      <w:hyperlink r:id="rId12" w:history="1">
        <w:r w:rsidR="00D9653F" w:rsidRPr="004D7E2E">
          <w:rPr>
            <w:rStyle w:val="Hyperlink"/>
            <w:rFonts w:ascii="Arial" w:eastAsia="SimSun" w:hAnsi="Arial" w:cs="Arial"/>
            <w:sz w:val="22"/>
            <w:szCs w:val="22"/>
            <w:lang w:val="fr-FR"/>
          </w:rPr>
          <w:t>Calendrier des événements</w:t>
        </w:r>
      </w:hyperlink>
      <w:r w:rsidR="00D9653F" w:rsidRPr="004D7E2E">
        <w:rPr>
          <w:rFonts w:ascii="Arial" w:eastAsia="SimSun" w:hAnsi="Arial" w:cs="Arial"/>
          <w:sz w:val="22"/>
          <w:szCs w:val="22"/>
          <w:lang w:val="fr-FR"/>
        </w:rPr>
        <w:t xml:space="preserve">. Une exposition sur le </w:t>
      </w:r>
      <w:hyperlink r:id="rId13" w:history="1">
        <w:r w:rsidR="00D9653F" w:rsidRPr="004D7E2E">
          <w:rPr>
            <w:rStyle w:val="Hyperlink"/>
            <w:rFonts w:ascii="Arial" w:eastAsia="SimSun" w:hAnsi="Arial" w:cs="Arial"/>
            <w:sz w:val="22"/>
            <w:szCs w:val="22"/>
            <w:lang w:val="fr-FR"/>
          </w:rPr>
          <w:t>MOOC</w:t>
        </w:r>
      </w:hyperlink>
      <w:r w:rsidR="00D9653F" w:rsidRPr="004D7E2E">
        <w:rPr>
          <w:rFonts w:ascii="Arial" w:eastAsia="SimSun" w:hAnsi="Arial" w:cs="Arial"/>
          <w:sz w:val="22"/>
          <w:szCs w:val="22"/>
          <w:lang w:val="fr-FR"/>
        </w:rPr>
        <w:t xml:space="preserve"> de l</w:t>
      </w:r>
      <w:r w:rsidR="008E532B" w:rsidRPr="00603192">
        <w:rPr>
          <w:rFonts w:ascii="Arial" w:eastAsia="SimSun" w:hAnsi="Arial" w:cs="Arial"/>
          <w:sz w:val="22"/>
          <w:szCs w:val="22"/>
          <w:lang w:val="fr-FR"/>
        </w:rPr>
        <w:t>’</w:t>
      </w:r>
      <w:r w:rsidR="00D9653F" w:rsidRPr="004D7E2E">
        <w:rPr>
          <w:rFonts w:ascii="Arial" w:eastAsia="SimSun" w:hAnsi="Arial" w:cs="Arial"/>
          <w:sz w:val="22"/>
          <w:szCs w:val="22"/>
          <w:lang w:val="fr-FR"/>
        </w:rPr>
        <w:t xml:space="preserve">UNESCO sur le patrimoine vivant et le développement durable, </w:t>
      </w:r>
      <w:r w:rsidR="00603192" w:rsidRPr="00603192">
        <w:rPr>
          <w:rFonts w:ascii="Arial" w:eastAsia="SimSun" w:hAnsi="Arial" w:cs="Arial"/>
          <w:sz w:val="22"/>
          <w:szCs w:val="22"/>
          <w:lang w:val="fr-FR"/>
        </w:rPr>
        <w:t xml:space="preserve">développé par l’UNESCO en collaboration </w:t>
      </w:r>
      <w:r w:rsidR="00603192" w:rsidRPr="000438FF">
        <w:rPr>
          <w:rFonts w:asciiTheme="minorBidi" w:eastAsia="SimSun" w:hAnsiTheme="minorBidi" w:cstheme="minorBidi"/>
          <w:sz w:val="22"/>
          <w:szCs w:val="22"/>
          <w:lang w:val="fr-FR"/>
        </w:rPr>
        <w:t>avec</w:t>
      </w:r>
      <w:r w:rsidR="00603192" w:rsidRPr="000438FF">
        <w:rPr>
          <w:rFonts w:asciiTheme="minorBidi" w:hAnsiTheme="minorBidi" w:cstheme="minorBidi"/>
          <w:sz w:val="22"/>
          <w:szCs w:val="22"/>
          <w:lang w:val="fr-FR"/>
        </w:rPr>
        <w:t xml:space="preserve"> le </w:t>
      </w:r>
      <w:r w:rsidR="00603192" w:rsidRPr="000438FF">
        <w:rPr>
          <w:rFonts w:asciiTheme="minorBidi" w:eastAsia="SimSun" w:hAnsiTheme="minorBidi" w:cstheme="minorBidi"/>
          <w:sz w:val="22"/>
          <w:szCs w:val="22"/>
          <w:lang w:val="fr-FR"/>
        </w:rPr>
        <w:t>Centre</w:t>
      </w:r>
      <w:r w:rsidR="00603192" w:rsidRPr="004D7E2E">
        <w:rPr>
          <w:rFonts w:ascii="Arial" w:eastAsia="SimSun" w:hAnsi="Arial" w:cs="Arial"/>
          <w:sz w:val="22"/>
          <w:szCs w:val="22"/>
          <w:lang w:val="fr-FR"/>
        </w:rPr>
        <w:t xml:space="preserve"> international d’</w:t>
      </w:r>
      <w:r w:rsidR="00603192" w:rsidRPr="00603192">
        <w:rPr>
          <w:rFonts w:ascii="Arial" w:eastAsia="SimSun" w:hAnsi="Arial" w:cs="Arial"/>
          <w:sz w:val="22"/>
          <w:szCs w:val="22"/>
          <w:lang w:val="fr-FR"/>
        </w:rPr>
        <w:t xml:space="preserve">information et de travail en réseau sur le patrimoine culturel immatériel dans la région Asie-Pacifique placé sous l’égide de l'UNESCO (ICHCAP) et SDG </w:t>
      </w:r>
      <w:proofErr w:type="spellStart"/>
      <w:r w:rsidR="00603192" w:rsidRPr="00603192">
        <w:rPr>
          <w:rFonts w:ascii="Arial" w:eastAsia="SimSun" w:hAnsi="Arial" w:cs="Arial"/>
          <w:sz w:val="22"/>
          <w:szCs w:val="22"/>
          <w:lang w:val="fr-FR"/>
        </w:rPr>
        <w:t>Academy</w:t>
      </w:r>
      <w:proofErr w:type="spellEnd"/>
      <w:r w:rsidR="00603192" w:rsidRPr="00603192">
        <w:rPr>
          <w:rFonts w:ascii="Arial" w:eastAsia="SimSun" w:hAnsi="Arial" w:cs="Arial"/>
          <w:sz w:val="22"/>
          <w:szCs w:val="22"/>
          <w:lang w:val="fr-FR"/>
        </w:rPr>
        <w:t xml:space="preserve">, </w:t>
      </w:r>
      <w:r w:rsidR="00D9653F" w:rsidRPr="004D7E2E">
        <w:rPr>
          <w:rFonts w:ascii="Arial" w:eastAsia="SimSun" w:hAnsi="Arial" w:cs="Arial"/>
          <w:sz w:val="22"/>
          <w:szCs w:val="22"/>
          <w:lang w:val="fr-FR"/>
        </w:rPr>
        <w:t>avec le généreux soutien de l</w:t>
      </w:r>
      <w:r w:rsidR="008E532B" w:rsidRPr="00603192">
        <w:rPr>
          <w:rFonts w:ascii="Arial" w:eastAsia="SimSun" w:hAnsi="Arial" w:cs="Arial"/>
          <w:sz w:val="22"/>
          <w:szCs w:val="22"/>
          <w:lang w:val="fr-FR"/>
        </w:rPr>
        <w:t>’</w:t>
      </w:r>
      <w:r w:rsidR="00D9653F" w:rsidRPr="004D7E2E">
        <w:rPr>
          <w:rFonts w:ascii="Arial" w:eastAsia="SimSun" w:hAnsi="Arial" w:cs="Arial"/>
          <w:sz w:val="22"/>
          <w:szCs w:val="22"/>
          <w:lang w:val="fr-FR"/>
        </w:rPr>
        <w:t xml:space="preserve">Administration du patrimoine culturel de la République de Corée, était proposée. Une projection de </w:t>
      </w:r>
      <w:hyperlink r:id="rId14" w:history="1">
        <w:r w:rsidR="00D9653F" w:rsidRPr="004D7E2E">
          <w:rPr>
            <w:rStyle w:val="Hyperlink"/>
            <w:rFonts w:ascii="Arial" w:eastAsia="SimSun" w:hAnsi="Arial" w:cs="Arial"/>
            <w:sz w:val="22"/>
            <w:szCs w:val="22"/>
            <w:lang w:val="fr-FR"/>
          </w:rPr>
          <w:t>Plongez dans le patrimoine culturel immatériel !</w:t>
        </w:r>
      </w:hyperlink>
      <w:r w:rsidR="00D9653F" w:rsidRPr="004D7E2E">
        <w:rPr>
          <w:rFonts w:ascii="Arial" w:eastAsia="SimSun" w:hAnsi="Arial" w:cs="Arial"/>
          <w:sz w:val="22"/>
          <w:szCs w:val="22"/>
          <w:lang w:val="fr-FR"/>
        </w:rPr>
        <w:t xml:space="preserve"> et une manifestation parallèle sur la présentation du </w:t>
      </w:r>
      <w:hyperlink r:id="rId15" w:history="1">
        <w:r w:rsidR="00D9653F" w:rsidRPr="004D7E2E">
          <w:rPr>
            <w:rStyle w:val="Hyperlink"/>
            <w:rFonts w:ascii="Arial" w:eastAsia="SimSun" w:hAnsi="Arial" w:cs="Arial"/>
            <w:i/>
            <w:iCs/>
            <w:sz w:val="22"/>
            <w:szCs w:val="22"/>
            <w:lang w:val="fr-FR"/>
          </w:rPr>
          <w:t>Guide pour faire une demande d</w:t>
        </w:r>
        <w:r w:rsidR="008E532B" w:rsidRPr="00603192">
          <w:rPr>
            <w:rStyle w:val="Hyperlink"/>
            <w:rFonts w:ascii="Arial" w:eastAsia="SimSun" w:hAnsi="Arial" w:cs="Arial"/>
            <w:i/>
            <w:iCs/>
            <w:sz w:val="22"/>
            <w:szCs w:val="22"/>
            <w:lang w:val="fr-FR"/>
          </w:rPr>
          <w:t>’</w:t>
        </w:r>
        <w:r w:rsidR="00D9653F" w:rsidRPr="004D7E2E">
          <w:rPr>
            <w:rStyle w:val="Hyperlink"/>
            <w:rFonts w:ascii="Arial" w:eastAsia="SimSun" w:hAnsi="Arial" w:cs="Arial"/>
            <w:i/>
            <w:iCs/>
            <w:sz w:val="22"/>
            <w:szCs w:val="22"/>
            <w:lang w:val="fr-FR"/>
          </w:rPr>
          <w:t>assistance internationale auprès du Fonds du patrimoine culturel immatériel</w:t>
        </w:r>
      </w:hyperlink>
      <w:r w:rsidR="00D9653F" w:rsidRPr="004D7E2E">
        <w:rPr>
          <w:rFonts w:ascii="Arial" w:eastAsia="SimSun" w:hAnsi="Arial" w:cs="Arial"/>
          <w:i/>
          <w:iCs/>
          <w:sz w:val="22"/>
          <w:szCs w:val="22"/>
          <w:u w:val="single"/>
          <w:lang w:val="fr-FR"/>
        </w:rPr>
        <w:t xml:space="preserve"> </w:t>
      </w:r>
      <w:r w:rsidR="00D9653F" w:rsidRPr="004D7E2E">
        <w:rPr>
          <w:rFonts w:ascii="Arial" w:eastAsia="SimSun" w:hAnsi="Arial" w:cs="Arial"/>
          <w:sz w:val="22"/>
          <w:szCs w:val="22"/>
          <w:lang w:val="fr-FR"/>
        </w:rPr>
        <w:t>étaient également organisées. Les États parties et le Forum des ONG avaient également organisé leurs propres événements.</w:t>
      </w:r>
    </w:p>
    <w:p w14:paraId="52B6DF00" w14:textId="2170A6B6" w:rsidR="00D9653F" w:rsidRPr="00CC723C"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Le </w:t>
      </w:r>
      <w:r w:rsidRPr="00CC723C">
        <w:rPr>
          <w:rFonts w:ascii="Arial" w:eastAsia="SimSun" w:hAnsi="Arial" w:cs="Arial"/>
          <w:b/>
          <w:bCs/>
          <w:sz w:val="22"/>
          <w:szCs w:val="22"/>
          <w:lang w:val="fr-FR"/>
        </w:rPr>
        <w:t>Sous-Directeur général</w:t>
      </w:r>
      <w:r>
        <w:rPr>
          <w:rFonts w:ascii="Arial" w:eastAsia="SimSun" w:hAnsi="Arial" w:cs="Arial"/>
          <w:sz w:val="22"/>
          <w:szCs w:val="22"/>
          <w:lang w:val="fr-FR"/>
        </w:rPr>
        <w:t xml:space="preserve"> a officiellement déclaré ouverte la neuvième session de l</w:t>
      </w:r>
      <w:r w:rsidR="008E532B">
        <w:rPr>
          <w:rFonts w:ascii="Arial" w:eastAsia="SimSun" w:hAnsi="Arial" w:cs="Arial"/>
          <w:sz w:val="22"/>
          <w:szCs w:val="22"/>
          <w:lang w:val="fr-FR"/>
        </w:rPr>
        <w:t>’</w:t>
      </w:r>
      <w:r>
        <w:rPr>
          <w:rFonts w:ascii="Arial" w:eastAsia="SimSun" w:hAnsi="Arial" w:cs="Arial"/>
          <w:sz w:val="22"/>
          <w:szCs w:val="22"/>
          <w:lang w:val="fr-FR"/>
        </w:rPr>
        <w:t xml:space="preserve">Assemblée générale des États parties à la </w:t>
      </w:r>
      <w:r w:rsidRPr="00CC723C">
        <w:rPr>
          <w:rFonts w:ascii="Arial" w:eastAsia="SimSun" w:hAnsi="Arial" w:cs="Arial"/>
          <w:sz w:val="22"/>
          <w:szCs w:val="22"/>
          <w:lang w:val="fr-FR"/>
        </w:rPr>
        <w:t>Convention</w:t>
      </w:r>
      <w:r>
        <w:rPr>
          <w:rFonts w:ascii="Arial" w:eastAsia="SimSun" w:hAnsi="Arial" w:cs="Arial"/>
          <w:sz w:val="22"/>
          <w:szCs w:val="22"/>
          <w:lang w:val="fr-FR"/>
        </w:rPr>
        <w:t xml:space="preserve"> de 2003.</w:t>
      </w:r>
    </w:p>
    <w:p w14:paraId="2C237755" w14:textId="79B85E85" w:rsidR="00D9653F" w:rsidRPr="009F6BC9" w:rsidRDefault="001E7691" w:rsidP="008D65C3">
      <w:pPr>
        <w:pStyle w:val="Orateurengris"/>
        <w:keepNext/>
        <w:tabs>
          <w:tab w:val="clear" w:pos="709"/>
          <w:tab w:val="clear" w:pos="1418"/>
          <w:tab w:val="clear" w:pos="2126"/>
          <w:tab w:val="clear" w:pos="2835"/>
        </w:tabs>
        <w:spacing w:before="360" w:after="0"/>
        <w:jc w:val="left"/>
        <w:outlineLvl w:val="0"/>
        <w:rPr>
          <w:b/>
          <w:color w:val="000000" w:themeColor="text1"/>
          <w:u w:val="single"/>
          <w:lang w:val="fr-FR"/>
        </w:rPr>
      </w:pPr>
      <w:r w:rsidRPr="001E7691">
        <w:rPr>
          <w:b/>
          <w:color w:val="000000" w:themeColor="text1"/>
          <w:u w:val="single"/>
          <w:lang w:val="fr-FR"/>
        </w:rPr>
        <w:t>POINT 2 DE L</w:t>
      </w:r>
      <w:r w:rsidR="008E532B">
        <w:rPr>
          <w:b/>
          <w:color w:val="000000" w:themeColor="text1"/>
          <w:u w:val="single"/>
          <w:lang w:val="fr-FR"/>
        </w:rPr>
        <w:t>’</w:t>
      </w:r>
      <w:r w:rsidRPr="001E7691">
        <w:rPr>
          <w:b/>
          <w:color w:val="000000" w:themeColor="text1"/>
          <w:u w:val="single"/>
          <w:lang w:val="fr-FR"/>
        </w:rPr>
        <w:t>ORDRE DU JOUR :</w:t>
      </w:r>
    </w:p>
    <w:p w14:paraId="5B43C15D" w14:textId="122E7422" w:rsidR="00D9653F" w:rsidRPr="009F6BC9" w:rsidRDefault="00D9653F" w:rsidP="000438FF">
      <w:pPr>
        <w:pStyle w:val="Orateurengris"/>
        <w:keepNext/>
        <w:tabs>
          <w:tab w:val="clear" w:pos="709"/>
          <w:tab w:val="clear" w:pos="1418"/>
          <w:tab w:val="clear" w:pos="2126"/>
          <w:tab w:val="clear" w:pos="2835"/>
        </w:tabs>
        <w:outlineLvl w:val="0"/>
        <w:rPr>
          <w:b/>
          <w:color w:val="000000" w:themeColor="text1"/>
          <w:lang w:val="fr-FR"/>
        </w:rPr>
      </w:pPr>
      <w:r w:rsidRPr="009F6BC9">
        <w:rPr>
          <w:b/>
          <w:color w:val="000000" w:themeColor="text1"/>
          <w:lang w:val="fr-FR"/>
        </w:rPr>
        <w:t>ÉLECTION DU BUREAU</w:t>
      </w:r>
    </w:p>
    <w:p w14:paraId="515E02CC" w14:textId="26F28DC3" w:rsidR="00D9653F" w:rsidRPr="00584620" w:rsidRDefault="00D9653F" w:rsidP="000438FF">
      <w:pPr>
        <w:keepNext/>
        <w:tabs>
          <w:tab w:val="left" w:pos="567"/>
          <w:tab w:val="left" w:pos="2127"/>
        </w:tabs>
        <w:suppressAutoHyphens/>
        <w:autoSpaceDE w:val="0"/>
        <w:jc w:val="both"/>
        <w:rPr>
          <w:rFonts w:ascii="Arial" w:hAnsi="Arial" w:cs="Arial"/>
          <w:bCs/>
          <w:i/>
          <w:iCs/>
          <w:sz w:val="22"/>
          <w:szCs w:val="22"/>
          <w:lang w:val="fr-FR"/>
        </w:rPr>
      </w:pPr>
      <w:r w:rsidRPr="00584620">
        <w:rPr>
          <w:rFonts w:ascii="Arial" w:hAnsi="Arial" w:cs="Arial"/>
          <w:b/>
          <w:sz w:val="22"/>
          <w:szCs w:val="22"/>
          <w:lang w:val="fr-FR"/>
        </w:rPr>
        <w:tab/>
      </w:r>
      <w:r>
        <w:rPr>
          <w:rFonts w:ascii="Arial" w:hAnsi="Arial" w:cs="Arial"/>
          <w:b/>
          <w:sz w:val="22"/>
          <w:szCs w:val="22"/>
          <w:lang w:val="fr-FR"/>
        </w:rPr>
        <w:t>Document</w:t>
      </w:r>
      <w:r w:rsidR="008D65C3">
        <w:rPr>
          <w:rFonts w:ascii="Arial" w:hAnsi="Arial" w:cs="Arial"/>
          <w:b/>
          <w:sz w:val="22"/>
          <w:szCs w:val="22"/>
          <w:lang w:val="fr-FR"/>
        </w:rPr>
        <w:t> </w:t>
      </w:r>
      <w:r w:rsidRPr="00584620">
        <w:rPr>
          <w:rFonts w:ascii="Arial" w:hAnsi="Arial" w:cs="Arial"/>
          <w:b/>
          <w:sz w:val="22"/>
          <w:szCs w:val="22"/>
          <w:lang w:val="fr-FR"/>
        </w:rPr>
        <w:t>:</w:t>
      </w:r>
      <w:r w:rsidR="008D65C3">
        <w:rPr>
          <w:rFonts w:ascii="Arial" w:hAnsi="Arial" w:cs="Arial"/>
          <w:b/>
          <w:sz w:val="22"/>
          <w:szCs w:val="22"/>
          <w:lang w:val="fr-FR"/>
        </w:rPr>
        <w:tab/>
      </w:r>
      <w:hyperlink r:id="rId16" w:history="1">
        <w:r w:rsidRPr="00584620">
          <w:rPr>
            <w:rStyle w:val="Hyperlink"/>
            <w:rFonts w:ascii="Arial" w:hAnsi="Arial" w:cs="Arial"/>
            <w:bCs/>
            <w:i/>
            <w:iCs/>
            <w:sz w:val="22"/>
            <w:szCs w:val="22"/>
            <w:lang w:val="fr-FR"/>
          </w:rPr>
          <w:t>LHE/22/9.GA/2</w:t>
        </w:r>
      </w:hyperlink>
    </w:p>
    <w:p w14:paraId="349E4764" w14:textId="0FD658B5" w:rsidR="00D9653F" w:rsidRPr="00584620" w:rsidRDefault="00D9653F" w:rsidP="000438FF">
      <w:pPr>
        <w:keepNext/>
        <w:tabs>
          <w:tab w:val="left" w:pos="567"/>
          <w:tab w:val="left" w:pos="709"/>
          <w:tab w:val="left" w:pos="2127"/>
        </w:tabs>
        <w:suppressAutoHyphens/>
        <w:autoSpaceDE w:val="0"/>
        <w:spacing w:before="120" w:after="240"/>
        <w:jc w:val="both"/>
        <w:rPr>
          <w:rFonts w:ascii="Arial" w:hAnsi="Arial" w:cs="Arial"/>
          <w:b/>
          <w:sz w:val="22"/>
          <w:szCs w:val="22"/>
          <w:lang w:val="fr-FR"/>
        </w:rPr>
      </w:pPr>
      <w:r w:rsidRPr="00584620">
        <w:rPr>
          <w:rFonts w:ascii="Arial" w:hAnsi="Arial" w:cs="Arial"/>
          <w:bCs/>
          <w:i/>
          <w:iCs/>
          <w:sz w:val="22"/>
          <w:szCs w:val="22"/>
          <w:lang w:val="fr-FR"/>
        </w:rPr>
        <w:tab/>
      </w:r>
      <w:r w:rsidRPr="00584620">
        <w:rPr>
          <w:rFonts w:ascii="Arial" w:hAnsi="Arial" w:cs="Arial"/>
          <w:b/>
          <w:sz w:val="22"/>
          <w:szCs w:val="22"/>
          <w:lang w:val="fr-FR"/>
        </w:rPr>
        <w:t>R</w:t>
      </w:r>
      <w:r>
        <w:rPr>
          <w:rFonts w:ascii="Arial" w:hAnsi="Arial" w:cs="Arial"/>
          <w:b/>
          <w:sz w:val="22"/>
          <w:szCs w:val="22"/>
          <w:lang w:val="fr-FR"/>
        </w:rPr>
        <w:t>é</w:t>
      </w:r>
      <w:r w:rsidRPr="00584620">
        <w:rPr>
          <w:rFonts w:ascii="Arial" w:hAnsi="Arial" w:cs="Arial"/>
          <w:b/>
          <w:sz w:val="22"/>
          <w:szCs w:val="22"/>
          <w:lang w:val="fr-FR"/>
        </w:rPr>
        <w:t>solution</w:t>
      </w:r>
      <w:r>
        <w:rPr>
          <w:rFonts w:ascii="Arial" w:hAnsi="Arial" w:cs="Arial"/>
          <w:b/>
          <w:sz w:val="22"/>
          <w:szCs w:val="22"/>
          <w:lang w:val="fr-FR"/>
        </w:rPr>
        <w:t> </w:t>
      </w:r>
      <w:r w:rsidRPr="00584620">
        <w:rPr>
          <w:rFonts w:ascii="Arial" w:hAnsi="Arial" w:cs="Arial"/>
          <w:b/>
          <w:sz w:val="22"/>
          <w:szCs w:val="22"/>
          <w:lang w:val="fr-FR"/>
        </w:rPr>
        <w:t>:</w:t>
      </w:r>
      <w:r w:rsidR="008D65C3">
        <w:rPr>
          <w:rFonts w:ascii="Arial" w:hAnsi="Arial" w:cs="Arial"/>
          <w:b/>
          <w:sz w:val="22"/>
          <w:szCs w:val="22"/>
          <w:lang w:val="fr-FR"/>
        </w:rPr>
        <w:tab/>
      </w:r>
      <w:hyperlink r:id="rId17" w:history="1">
        <w:r w:rsidRPr="00584620">
          <w:rPr>
            <w:rStyle w:val="Hyperlink"/>
            <w:rFonts w:ascii="Arial" w:hAnsi="Arial" w:cs="Arial"/>
            <w:bCs/>
            <w:i/>
            <w:iCs/>
            <w:sz w:val="22"/>
            <w:szCs w:val="22"/>
            <w:lang w:val="fr-FR"/>
          </w:rPr>
          <w:t>9.GA.2</w:t>
        </w:r>
      </w:hyperlink>
    </w:p>
    <w:p w14:paraId="372588F7" w14:textId="187BA769" w:rsidR="00D9653F" w:rsidRPr="008969C3" w:rsidRDefault="008D65C3" w:rsidP="00A96116">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b/>
          <w:bCs/>
          <w:sz w:val="22"/>
          <w:szCs w:val="22"/>
          <w:lang w:val="fr-FR"/>
        </w:rPr>
        <w:t>Mme</w:t>
      </w:r>
      <w:r w:rsidR="00D9653F">
        <w:rPr>
          <w:rFonts w:ascii="Arial" w:eastAsia="SimSun" w:hAnsi="Arial" w:cs="Arial"/>
          <w:b/>
          <w:bCs/>
          <w:sz w:val="22"/>
          <w:szCs w:val="22"/>
          <w:lang w:val="fr-FR"/>
        </w:rPr>
        <w:t> </w:t>
      </w:r>
      <w:r w:rsidR="00D9653F" w:rsidRPr="000149DD">
        <w:rPr>
          <w:rFonts w:ascii="Arial" w:eastAsia="SimSun" w:hAnsi="Arial" w:cs="Arial"/>
          <w:b/>
          <w:bCs/>
          <w:sz w:val="22"/>
          <w:szCs w:val="22"/>
          <w:lang w:val="fr-FR"/>
        </w:rPr>
        <w:t>Fumiko Ohinata</w:t>
      </w:r>
      <w:r w:rsidR="00D9653F" w:rsidRPr="000149DD">
        <w:rPr>
          <w:rFonts w:ascii="Arial" w:eastAsia="SimSun" w:hAnsi="Arial" w:cs="Arial"/>
          <w:sz w:val="22"/>
          <w:szCs w:val="22"/>
          <w:lang w:val="fr-FR"/>
        </w:rPr>
        <w:t xml:space="preserve"> a rappelé que l</w:t>
      </w:r>
      <w:r w:rsidR="008E532B">
        <w:rPr>
          <w:rFonts w:ascii="Arial" w:eastAsia="SimSun" w:hAnsi="Arial" w:cs="Arial"/>
          <w:sz w:val="22"/>
          <w:szCs w:val="22"/>
          <w:lang w:val="fr-FR"/>
        </w:rPr>
        <w:t>’</w:t>
      </w:r>
      <w:r w:rsidR="00D9653F" w:rsidRPr="000149DD">
        <w:rPr>
          <w:rFonts w:ascii="Arial" w:eastAsia="SimSun" w:hAnsi="Arial" w:cs="Arial"/>
          <w:sz w:val="22"/>
          <w:szCs w:val="22"/>
          <w:lang w:val="fr-FR"/>
        </w:rPr>
        <w:t>article 3 du Règlement intérieur de l</w:t>
      </w:r>
      <w:r w:rsidR="008E532B">
        <w:rPr>
          <w:rFonts w:ascii="Arial" w:eastAsia="SimSun" w:hAnsi="Arial" w:cs="Arial"/>
          <w:sz w:val="22"/>
          <w:szCs w:val="22"/>
          <w:lang w:val="fr-FR"/>
        </w:rPr>
        <w:t>’</w:t>
      </w:r>
      <w:r w:rsidR="00D9653F" w:rsidRPr="000149DD">
        <w:rPr>
          <w:rFonts w:ascii="Arial" w:eastAsia="SimSun" w:hAnsi="Arial" w:cs="Arial"/>
          <w:sz w:val="22"/>
          <w:szCs w:val="22"/>
          <w:lang w:val="fr-FR"/>
        </w:rPr>
        <w:t>Assemblée générale stipul</w:t>
      </w:r>
      <w:r w:rsidR="00D9653F">
        <w:rPr>
          <w:rFonts w:ascii="Arial" w:eastAsia="SimSun" w:hAnsi="Arial" w:cs="Arial"/>
          <w:sz w:val="22"/>
          <w:szCs w:val="22"/>
          <w:lang w:val="fr-FR"/>
        </w:rPr>
        <w:t>e</w:t>
      </w:r>
      <w:r w:rsidR="00D9653F" w:rsidRPr="000149DD">
        <w:rPr>
          <w:rFonts w:ascii="Arial" w:eastAsia="SimSun" w:hAnsi="Arial" w:cs="Arial"/>
          <w:sz w:val="22"/>
          <w:szCs w:val="22"/>
          <w:lang w:val="fr-FR"/>
        </w:rPr>
        <w:t xml:space="preserve"> que </w:t>
      </w:r>
      <w:r w:rsidR="00D9653F">
        <w:rPr>
          <w:rFonts w:ascii="Arial" w:eastAsia="SimSun" w:hAnsi="Arial" w:cs="Arial"/>
          <w:sz w:val="22"/>
          <w:szCs w:val="22"/>
          <w:lang w:val="fr-FR"/>
        </w:rPr>
        <w:t>l</w:t>
      </w:r>
      <w:r w:rsidR="008E532B">
        <w:rPr>
          <w:rFonts w:ascii="Arial" w:eastAsia="SimSun" w:hAnsi="Arial" w:cs="Arial"/>
          <w:sz w:val="22"/>
          <w:szCs w:val="22"/>
          <w:lang w:val="fr-FR"/>
        </w:rPr>
        <w:t>’</w:t>
      </w:r>
      <w:r w:rsidR="00D9653F" w:rsidRPr="000149DD">
        <w:rPr>
          <w:rFonts w:ascii="Arial" w:eastAsia="SimSun" w:hAnsi="Arial" w:cs="Arial"/>
          <w:sz w:val="22"/>
          <w:szCs w:val="22"/>
          <w:lang w:val="fr-FR"/>
        </w:rPr>
        <w:t>Assemblée éli</w:t>
      </w:r>
      <w:r w:rsidR="00D9653F">
        <w:rPr>
          <w:rFonts w:ascii="Arial" w:eastAsia="SimSun" w:hAnsi="Arial" w:cs="Arial"/>
          <w:sz w:val="22"/>
          <w:szCs w:val="22"/>
          <w:lang w:val="fr-FR"/>
        </w:rPr>
        <w:t xml:space="preserve">t </w:t>
      </w:r>
      <w:r w:rsidR="00D9653F" w:rsidRPr="000149DD">
        <w:rPr>
          <w:rFonts w:ascii="Arial" w:eastAsia="SimSun" w:hAnsi="Arial" w:cs="Arial"/>
          <w:sz w:val="22"/>
          <w:szCs w:val="22"/>
          <w:lang w:val="fr-FR"/>
        </w:rPr>
        <w:t>u</w:t>
      </w:r>
      <w:r w:rsidR="00D9653F">
        <w:rPr>
          <w:rFonts w:ascii="Arial" w:eastAsia="SimSun" w:hAnsi="Arial" w:cs="Arial"/>
          <w:sz w:val="22"/>
          <w:szCs w:val="22"/>
          <w:lang w:val="fr-FR"/>
        </w:rPr>
        <w:t>n(e) p</w:t>
      </w:r>
      <w:r w:rsidR="00D9653F" w:rsidRPr="000149DD">
        <w:rPr>
          <w:rFonts w:ascii="Arial" w:eastAsia="SimSun" w:hAnsi="Arial" w:cs="Arial"/>
          <w:sz w:val="22"/>
          <w:szCs w:val="22"/>
          <w:lang w:val="fr-FR"/>
        </w:rPr>
        <w:t>résident</w:t>
      </w:r>
      <w:r w:rsidR="00D9653F">
        <w:rPr>
          <w:rFonts w:ascii="Arial" w:eastAsia="SimSun" w:hAnsi="Arial" w:cs="Arial"/>
          <w:sz w:val="22"/>
          <w:szCs w:val="22"/>
          <w:lang w:val="fr-FR"/>
        </w:rPr>
        <w:t>(e)</w:t>
      </w:r>
      <w:r w:rsidR="00D9653F" w:rsidRPr="000149DD">
        <w:rPr>
          <w:rFonts w:ascii="Arial" w:eastAsia="SimSun" w:hAnsi="Arial" w:cs="Arial"/>
          <w:sz w:val="22"/>
          <w:szCs w:val="22"/>
          <w:lang w:val="fr-FR"/>
        </w:rPr>
        <w:t xml:space="preserve">, </w:t>
      </w:r>
      <w:r w:rsidR="00D9653F">
        <w:rPr>
          <w:rFonts w:ascii="Arial" w:eastAsia="SimSun" w:hAnsi="Arial" w:cs="Arial"/>
          <w:sz w:val="22"/>
          <w:szCs w:val="22"/>
          <w:lang w:val="fr-FR"/>
        </w:rPr>
        <w:t>des v</w:t>
      </w:r>
      <w:r w:rsidR="00D9653F" w:rsidRPr="000149DD">
        <w:rPr>
          <w:rFonts w:ascii="Arial" w:eastAsia="SimSun" w:hAnsi="Arial" w:cs="Arial"/>
          <w:sz w:val="22"/>
          <w:szCs w:val="22"/>
          <w:lang w:val="fr-FR"/>
        </w:rPr>
        <w:t>ice-</w:t>
      </w:r>
      <w:r w:rsidR="00D9653F">
        <w:rPr>
          <w:rFonts w:ascii="Arial" w:eastAsia="SimSun" w:hAnsi="Arial" w:cs="Arial"/>
          <w:sz w:val="22"/>
          <w:szCs w:val="22"/>
          <w:lang w:val="fr-FR"/>
        </w:rPr>
        <w:t>p</w:t>
      </w:r>
      <w:r w:rsidR="00D9653F" w:rsidRPr="000149DD">
        <w:rPr>
          <w:rFonts w:ascii="Arial" w:eastAsia="SimSun" w:hAnsi="Arial" w:cs="Arial"/>
          <w:sz w:val="22"/>
          <w:szCs w:val="22"/>
          <w:lang w:val="fr-FR"/>
        </w:rPr>
        <w:t>résident</w:t>
      </w:r>
      <w:r w:rsidR="00D9653F">
        <w:rPr>
          <w:rFonts w:ascii="Arial" w:eastAsia="SimSun" w:hAnsi="Arial" w:cs="Arial"/>
          <w:sz w:val="22"/>
          <w:szCs w:val="22"/>
          <w:lang w:val="fr-FR"/>
        </w:rPr>
        <w:t>(e)</w:t>
      </w:r>
      <w:r w:rsidR="00D9653F" w:rsidRPr="000149DD">
        <w:rPr>
          <w:rFonts w:ascii="Arial" w:eastAsia="SimSun" w:hAnsi="Arial" w:cs="Arial"/>
          <w:sz w:val="22"/>
          <w:szCs w:val="22"/>
          <w:lang w:val="fr-FR"/>
        </w:rPr>
        <w:t xml:space="preserve">s et un </w:t>
      </w:r>
      <w:r w:rsidR="00D9653F">
        <w:rPr>
          <w:rFonts w:ascii="Arial" w:eastAsia="SimSun" w:hAnsi="Arial" w:cs="Arial"/>
          <w:sz w:val="22"/>
          <w:szCs w:val="22"/>
          <w:lang w:val="fr-FR"/>
        </w:rPr>
        <w:t>r</w:t>
      </w:r>
      <w:r w:rsidR="00D9653F" w:rsidRPr="000149DD">
        <w:rPr>
          <w:rFonts w:ascii="Arial" w:eastAsia="SimSun" w:hAnsi="Arial" w:cs="Arial"/>
          <w:sz w:val="22"/>
          <w:szCs w:val="22"/>
          <w:lang w:val="fr-FR"/>
        </w:rPr>
        <w:t>apporteur</w:t>
      </w:r>
      <w:r w:rsidR="00D9653F">
        <w:rPr>
          <w:rFonts w:ascii="Arial" w:eastAsia="SimSun" w:hAnsi="Arial" w:cs="Arial"/>
          <w:sz w:val="22"/>
          <w:szCs w:val="22"/>
          <w:lang w:val="fr-FR"/>
        </w:rPr>
        <w:t xml:space="preserve"> et que le/la p</w:t>
      </w:r>
      <w:r w:rsidR="00D9653F" w:rsidRPr="000149DD">
        <w:rPr>
          <w:rFonts w:ascii="Arial" w:eastAsia="SimSun" w:hAnsi="Arial" w:cs="Arial"/>
          <w:sz w:val="22"/>
          <w:szCs w:val="22"/>
          <w:lang w:val="fr-FR"/>
        </w:rPr>
        <w:t>résident</w:t>
      </w:r>
      <w:r w:rsidR="00D9653F">
        <w:rPr>
          <w:rFonts w:ascii="Arial" w:eastAsia="SimSun" w:hAnsi="Arial" w:cs="Arial"/>
          <w:sz w:val="22"/>
          <w:szCs w:val="22"/>
          <w:lang w:val="fr-FR"/>
        </w:rPr>
        <w:t>(e)</w:t>
      </w:r>
      <w:r w:rsidR="00D9653F" w:rsidRPr="000149DD">
        <w:rPr>
          <w:rFonts w:ascii="Arial" w:eastAsia="SimSun" w:hAnsi="Arial" w:cs="Arial"/>
          <w:sz w:val="22"/>
          <w:szCs w:val="22"/>
          <w:lang w:val="fr-FR"/>
        </w:rPr>
        <w:t xml:space="preserve"> et l</w:t>
      </w:r>
      <w:r w:rsidR="00D9653F">
        <w:rPr>
          <w:rFonts w:ascii="Arial" w:eastAsia="SimSun" w:hAnsi="Arial" w:cs="Arial"/>
          <w:sz w:val="22"/>
          <w:szCs w:val="22"/>
          <w:lang w:val="fr-FR"/>
        </w:rPr>
        <w:t>e</w:t>
      </w:r>
      <w:r w:rsidR="00D9653F" w:rsidRPr="000149DD">
        <w:rPr>
          <w:rFonts w:ascii="Arial" w:eastAsia="SimSun" w:hAnsi="Arial" w:cs="Arial"/>
          <w:sz w:val="22"/>
          <w:szCs w:val="22"/>
          <w:lang w:val="fr-FR"/>
        </w:rPr>
        <w:t xml:space="preserve"> </w:t>
      </w:r>
      <w:r w:rsidR="00D9653F">
        <w:rPr>
          <w:rFonts w:ascii="Arial" w:eastAsia="SimSun" w:hAnsi="Arial" w:cs="Arial"/>
          <w:sz w:val="22"/>
          <w:szCs w:val="22"/>
          <w:lang w:val="fr-FR"/>
        </w:rPr>
        <w:t>r</w:t>
      </w:r>
      <w:r w:rsidR="00D9653F" w:rsidRPr="000149DD">
        <w:rPr>
          <w:rFonts w:ascii="Arial" w:eastAsia="SimSun" w:hAnsi="Arial" w:cs="Arial"/>
          <w:sz w:val="22"/>
          <w:szCs w:val="22"/>
          <w:lang w:val="fr-FR"/>
        </w:rPr>
        <w:t xml:space="preserve">apporteur </w:t>
      </w:r>
      <w:r w:rsidR="00D9653F">
        <w:rPr>
          <w:rFonts w:ascii="Arial" w:eastAsia="SimSun" w:hAnsi="Arial" w:cs="Arial"/>
          <w:sz w:val="22"/>
          <w:szCs w:val="22"/>
          <w:lang w:val="fr-FR"/>
        </w:rPr>
        <w:t>sont</w:t>
      </w:r>
      <w:r w:rsidR="00D9653F" w:rsidRPr="000149DD">
        <w:rPr>
          <w:rFonts w:ascii="Arial" w:eastAsia="SimSun" w:hAnsi="Arial" w:cs="Arial"/>
          <w:sz w:val="22"/>
          <w:szCs w:val="22"/>
          <w:lang w:val="fr-FR"/>
        </w:rPr>
        <w:t xml:space="preserve"> élu</w:t>
      </w:r>
      <w:r w:rsidR="00D9653F">
        <w:rPr>
          <w:rFonts w:ascii="Arial" w:eastAsia="SimSun" w:hAnsi="Arial" w:cs="Arial"/>
          <w:sz w:val="22"/>
          <w:szCs w:val="22"/>
          <w:lang w:val="fr-FR"/>
        </w:rPr>
        <w:t>s</w:t>
      </w:r>
      <w:r w:rsidR="00D9653F" w:rsidRPr="000149DD">
        <w:rPr>
          <w:rFonts w:ascii="Arial" w:eastAsia="SimSun" w:hAnsi="Arial" w:cs="Arial"/>
          <w:sz w:val="22"/>
          <w:szCs w:val="22"/>
          <w:lang w:val="fr-FR"/>
        </w:rPr>
        <w:t xml:space="preserve"> à titre individuel, tandis que les </w:t>
      </w:r>
      <w:r w:rsidR="00D9653F">
        <w:rPr>
          <w:rFonts w:ascii="Arial" w:eastAsia="SimSun" w:hAnsi="Arial" w:cs="Arial"/>
          <w:sz w:val="22"/>
          <w:szCs w:val="22"/>
          <w:lang w:val="fr-FR"/>
        </w:rPr>
        <w:t>v</w:t>
      </w:r>
      <w:r w:rsidR="00D9653F" w:rsidRPr="000149DD">
        <w:rPr>
          <w:rFonts w:ascii="Arial" w:eastAsia="SimSun" w:hAnsi="Arial" w:cs="Arial"/>
          <w:sz w:val="22"/>
          <w:szCs w:val="22"/>
          <w:lang w:val="fr-FR"/>
        </w:rPr>
        <w:t>ice-</w:t>
      </w:r>
      <w:r w:rsidR="00D9653F">
        <w:rPr>
          <w:rFonts w:ascii="Arial" w:eastAsia="SimSun" w:hAnsi="Arial" w:cs="Arial"/>
          <w:sz w:val="22"/>
          <w:szCs w:val="22"/>
          <w:lang w:val="fr-FR"/>
        </w:rPr>
        <w:t>p</w:t>
      </w:r>
      <w:r w:rsidR="00D9653F" w:rsidRPr="000149DD">
        <w:rPr>
          <w:rFonts w:ascii="Arial" w:eastAsia="SimSun" w:hAnsi="Arial" w:cs="Arial"/>
          <w:sz w:val="22"/>
          <w:szCs w:val="22"/>
          <w:lang w:val="fr-FR"/>
        </w:rPr>
        <w:t>résident</w:t>
      </w:r>
      <w:r w:rsidR="00D9653F">
        <w:rPr>
          <w:rFonts w:ascii="Arial" w:eastAsia="SimSun" w:hAnsi="Arial" w:cs="Arial"/>
          <w:sz w:val="22"/>
          <w:szCs w:val="22"/>
          <w:lang w:val="fr-FR"/>
        </w:rPr>
        <w:t>(e)</w:t>
      </w:r>
      <w:r w:rsidR="00D9653F" w:rsidRPr="000149DD">
        <w:rPr>
          <w:rFonts w:ascii="Arial" w:eastAsia="SimSun" w:hAnsi="Arial" w:cs="Arial"/>
          <w:sz w:val="22"/>
          <w:szCs w:val="22"/>
          <w:lang w:val="fr-FR"/>
        </w:rPr>
        <w:t xml:space="preserve">s </w:t>
      </w:r>
      <w:r w:rsidR="00D9653F">
        <w:rPr>
          <w:rFonts w:ascii="Arial" w:eastAsia="SimSun" w:hAnsi="Arial" w:cs="Arial"/>
          <w:sz w:val="22"/>
          <w:szCs w:val="22"/>
          <w:lang w:val="fr-FR"/>
        </w:rPr>
        <w:t xml:space="preserve">sont </w:t>
      </w:r>
      <w:r w:rsidR="00D9653F" w:rsidRPr="000149DD">
        <w:rPr>
          <w:rFonts w:ascii="Arial" w:eastAsia="SimSun" w:hAnsi="Arial" w:cs="Arial"/>
          <w:sz w:val="22"/>
          <w:szCs w:val="22"/>
          <w:lang w:val="fr-FR"/>
        </w:rPr>
        <w:t>représenté</w:t>
      </w:r>
      <w:r w:rsidR="00D9653F">
        <w:rPr>
          <w:rFonts w:ascii="Arial" w:eastAsia="SimSun" w:hAnsi="Arial" w:cs="Arial"/>
          <w:sz w:val="22"/>
          <w:szCs w:val="22"/>
          <w:lang w:val="fr-FR"/>
        </w:rPr>
        <w:t>(e)</w:t>
      </w:r>
      <w:r w:rsidR="00D9653F" w:rsidRPr="000149DD">
        <w:rPr>
          <w:rFonts w:ascii="Arial" w:eastAsia="SimSun" w:hAnsi="Arial" w:cs="Arial"/>
          <w:sz w:val="22"/>
          <w:szCs w:val="22"/>
          <w:lang w:val="fr-FR"/>
        </w:rPr>
        <w:t xml:space="preserve">s par des États parties. Une liste des anciens membres du Bureau </w:t>
      </w:r>
      <w:r w:rsidR="00D9653F">
        <w:rPr>
          <w:rFonts w:ascii="Arial" w:eastAsia="SimSun" w:hAnsi="Arial" w:cs="Arial"/>
          <w:sz w:val="22"/>
          <w:szCs w:val="22"/>
          <w:lang w:val="fr-FR"/>
        </w:rPr>
        <w:t>était</w:t>
      </w:r>
      <w:r w:rsidR="00D9653F" w:rsidRPr="000149DD">
        <w:rPr>
          <w:rFonts w:ascii="Arial" w:eastAsia="SimSun" w:hAnsi="Arial" w:cs="Arial"/>
          <w:sz w:val="22"/>
          <w:szCs w:val="22"/>
          <w:lang w:val="fr-FR"/>
        </w:rPr>
        <w:t xml:space="preserve"> annexée au document de travail. Bien que le Règlement ne l</w:t>
      </w:r>
      <w:r w:rsidR="008E532B">
        <w:rPr>
          <w:rFonts w:ascii="Arial" w:eastAsia="SimSun" w:hAnsi="Arial" w:cs="Arial"/>
          <w:sz w:val="22"/>
          <w:szCs w:val="22"/>
          <w:lang w:val="fr-FR"/>
        </w:rPr>
        <w:t>’</w:t>
      </w:r>
      <w:r w:rsidR="00D9653F" w:rsidRPr="000149DD">
        <w:rPr>
          <w:rFonts w:ascii="Arial" w:eastAsia="SimSun" w:hAnsi="Arial" w:cs="Arial"/>
          <w:sz w:val="22"/>
          <w:szCs w:val="22"/>
          <w:lang w:val="fr-FR"/>
        </w:rPr>
        <w:t>exige pas, la coutume a</w:t>
      </w:r>
      <w:r w:rsidR="00D9653F">
        <w:rPr>
          <w:rFonts w:ascii="Arial" w:eastAsia="SimSun" w:hAnsi="Arial" w:cs="Arial"/>
          <w:sz w:val="22"/>
          <w:szCs w:val="22"/>
          <w:lang w:val="fr-FR"/>
        </w:rPr>
        <w:t>vait</w:t>
      </w:r>
      <w:r w:rsidR="00D9653F" w:rsidRPr="000149DD">
        <w:rPr>
          <w:rFonts w:ascii="Arial" w:eastAsia="SimSun" w:hAnsi="Arial" w:cs="Arial"/>
          <w:sz w:val="22"/>
          <w:szCs w:val="22"/>
          <w:lang w:val="fr-FR"/>
        </w:rPr>
        <w:t xml:space="preserve"> toujours été de veiller à ce que chacun des six </w:t>
      </w:r>
      <w:r w:rsidR="00D9653F">
        <w:rPr>
          <w:rFonts w:ascii="Arial" w:eastAsia="SimSun" w:hAnsi="Arial" w:cs="Arial"/>
          <w:sz w:val="22"/>
          <w:szCs w:val="22"/>
          <w:lang w:val="fr-FR"/>
        </w:rPr>
        <w:t>g</w:t>
      </w:r>
      <w:r w:rsidR="00D9653F" w:rsidRPr="000149DD">
        <w:rPr>
          <w:rFonts w:ascii="Arial" w:eastAsia="SimSun" w:hAnsi="Arial" w:cs="Arial"/>
          <w:sz w:val="22"/>
          <w:szCs w:val="22"/>
          <w:lang w:val="fr-FR"/>
        </w:rPr>
        <w:t>roupes électoraux soit géographiquement représenté au sein du Bureau. L</w:t>
      </w:r>
      <w:r w:rsidR="00D9653F">
        <w:rPr>
          <w:rFonts w:ascii="Arial" w:eastAsia="SimSun" w:hAnsi="Arial" w:cs="Arial"/>
          <w:sz w:val="22"/>
          <w:szCs w:val="22"/>
          <w:lang w:val="fr-FR"/>
        </w:rPr>
        <w:t>a tâche</w:t>
      </w:r>
      <w:r w:rsidR="00D9653F" w:rsidRPr="000149DD">
        <w:rPr>
          <w:rFonts w:ascii="Arial" w:eastAsia="SimSun" w:hAnsi="Arial" w:cs="Arial"/>
          <w:sz w:val="22"/>
          <w:szCs w:val="22"/>
          <w:lang w:val="fr-FR"/>
        </w:rPr>
        <w:t xml:space="preserve"> d</w:t>
      </w:r>
      <w:r w:rsidR="00D9653F">
        <w:rPr>
          <w:rFonts w:ascii="Arial" w:eastAsia="SimSun" w:hAnsi="Arial" w:cs="Arial"/>
          <w:sz w:val="22"/>
          <w:szCs w:val="22"/>
          <w:lang w:val="fr-FR"/>
        </w:rPr>
        <w:t>u</w:t>
      </w:r>
      <w:r w:rsidR="00D9653F" w:rsidRPr="000149DD">
        <w:rPr>
          <w:rFonts w:ascii="Arial" w:eastAsia="SimSun" w:hAnsi="Arial" w:cs="Arial"/>
          <w:sz w:val="22"/>
          <w:szCs w:val="22"/>
          <w:lang w:val="fr-FR"/>
        </w:rPr>
        <w:t xml:space="preserve"> </w:t>
      </w:r>
      <w:r w:rsidR="00D9653F">
        <w:rPr>
          <w:rFonts w:ascii="Arial" w:eastAsia="SimSun" w:hAnsi="Arial" w:cs="Arial"/>
          <w:sz w:val="22"/>
          <w:szCs w:val="22"/>
          <w:lang w:val="fr-FR"/>
        </w:rPr>
        <w:t>r</w:t>
      </w:r>
      <w:r w:rsidR="00D9653F" w:rsidRPr="000149DD">
        <w:rPr>
          <w:rFonts w:ascii="Arial" w:eastAsia="SimSun" w:hAnsi="Arial" w:cs="Arial"/>
          <w:sz w:val="22"/>
          <w:szCs w:val="22"/>
          <w:lang w:val="fr-FR"/>
        </w:rPr>
        <w:t xml:space="preserve">apporteur </w:t>
      </w:r>
      <w:r w:rsidR="00D9653F">
        <w:rPr>
          <w:rFonts w:ascii="Arial" w:eastAsia="SimSun" w:hAnsi="Arial" w:cs="Arial"/>
          <w:sz w:val="22"/>
          <w:szCs w:val="22"/>
          <w:lang w:val="fr-FR"/>
        </w:rPr>
        <w:t>était</w:t>
      </w:r>
      <w:r w:rsidR="00D9653F" w:rsidRPr="000149DD">
        <w:rPr>
          <w:rFonts w:ascii="Arial" w:eastAsia="SimSun" w:hAnsi="Arial" w:cs="Arial"/>
          <w:sz w:val="22"/>
          <w:szCs w:val="22"/>
          <w:lang w:val="fr-FR"/>
        </w:rPr>
        <w:t xml:space="preserve"> important</w:t>
      </w:r>
      <w:r w:rsidR="00D9653F">
        <w:rPr>
          <w:rFonts w:ascii="Arial" w:eastAsia="SimSun" w:hAnsi="Arial" w:cs="Arial"/>
          <w:sz w:val="22"/>
          <w:szCs w:val="22"/>
          <w:lang w:val="fr-FR"/>
        </w:rPr>
        <w:t xml:space="preserve">e </w:t>
      </w:r>
      <w:r w:rsidR="00D9653F" w:rsidRPr="000149DD">
        <w:rPr>
          <w:rFonts w:ascii="Arial" w:eastAsia="SimSun" w:hAnsi="Arial" w:cs="Arial"/>
          <w:sz w:val="22"/>
          <w:szCs w:val="22"/>
          <w:lang w:val="fr-FR"/>
        </w:rPr>
        <w:t>mais pas trop lourd</w:t>
      </w:r>
      <w:r w:rsidR="00D9653F">
        <w:rPr>
          <w:rFonts w:ascii="Arial" w:eastAsia="SimSun" w:hAnsi="Arial" w:cs="Arial"/>
          <w:sz w:val="22"/>
          <w:szCs w:val="22"/>
          <w:lang w:val="fr-FR"/>
        </w:rPr>
        <w:t>e ; elle</w:t>
      </w:r>
      <w:r w:rsidR="00D9653F" w:rsidRPr="000149DD">
        <w:rPr>
          <w:rFonts w:ascii="Arial" w:eastAsia="SimSun" w:hAnsi="Arial" w:cs="Arial"/>
          <w:sz w:val="22"/>
          <w:szCs w:val="22"/>
          <w:lang w:val="fr-FR"/>
        </w:rPr>
        <w:t xml:space="preserve"> consist</w:t>
      </w:r>
      <w:r w:rsidR="00D9653F">
        <w:rPr>
          <w:rFonts w:ascii="Arial" w:eastAsia="SimSun" w:hAnsi="Arial" w:cs="Arial"/>
          <w:sz w:val="22"/>
          <w:szCs w:val="22"/>
          <w:lang w:val="fr-FR"/>
        </w:rPr>
        <w:t>ait</w:t>
      </w:r>
      <w:r w:rsidR="00D9653F" w:rsidRPr="000149DD">
        <w:rPr>
          <w:rFonts w:ascii="Arial" w:eastAsia="SimSun" w:hAnsi="Arial" w:cs="Arial"/>
          <w:sz w:val="22"/>
          <w:szCs w:val="22"/>
          <w:lang w:val="fr-FR"/>
        </w:rPr>
        <w:t xml:space="preserve"> à vérifier que les résolutions adoptées par l</w:t>
      </w:r>
      <w:r w:rsidR="008E532B">
        <w:rPr>
          <w:rFonts w:ascii="Arial" w:eastAsia="SimSun" w:hAnsi="Arial" w:cs="Arial"/>
          <w:sz w:val="22"/>
          <w:szCs w:val="22"/>
          <w:lang w:val="fr-FR"/>
        </w:rPr>
        <w:t>’</w:t>
      </w:r>
      <w:r w:rsidR="00D9653F" w:rsidRPr="000149DD">
        <w:rPr>
          <w:rFonts w:ascii="Arial" w:eastAsia="SimSun" w:hAnsi="Arial" w:cs="Arial"/>
          <w:sz w:val="22"/>
          <w:szCs w:val="22"/>
          <w:lang w:val="fr-FR"/>
        </w:rPr>
        <w:t xml:space="preserve">Assemblée générale </w:t>
      </w:r>
      <w:r w:rsidR="00D9653F">
        <w:rPr>
          <w:rFonts w:ascii="Arial" w:eastAsia="SimSun" w:hAnsi="Arial" w:cs="Arial"/>
          <w:sz w:val="22"/>
          <w:szCs w:val="22"/>
          <w:lang w:val="fr-FR"/>
        </w:rPr>
        <w:t xml:space="preserve">sont </w:t>
      </w:r>
      <w:r w:rsidR="00D9653F" w:rsidRPr="000149DD">
        <w:rPr>
          <w:rFonts w:ascii="Arial" w:eastAsia="SimSun" w:hAnsi="Arial" w:cs="Arial"/>
          <w:sz w:val="22"/>
          <w:szCs w:val="22"/>
          <w:lang w:val="fr-FR"/>
        </w:rPr>
        <w:t>fidèlement enregistrées par le Secrétariat. Le Secrétariat finalis</w:t>
      </w:r>
      <w:r w:rsidR="00D9653F">
        <w:rPr>
          <w:rFonts w:ascii="Arial" w:eastAsia="SimSun" w:hAnsi="Arial" w:cs="Arial"/>
          <w:sz w:val="22"/>
          <w:szCs w:val="22"/>
          <w:lang w:val="fr-FR"/>
        </w:rPr>
        <w:t>ait</w:t>
      </w:r>
      <w:r w:rsidR="00D9653F" w:rsidRPr="000149DD">
        <w:rPr>
          <w:rFonts w:ascii="Arial" w:eastAsia="SimSun" w:hAnsi="Arial" w:cs="Arial"/>
          <w:sz w:val="22"/>
          <w:szCs w:val="22"/>
          <w:lang w:val="fr-FR"/>
        </w:rPr>
        <w:t xml:space="preserve"> les textes des résolutions adoptées dans le courant de la journée, qui </w:t>
      </w:r>
      <w:r w:rsidR="00D9653F">
        <w:rPr>
          <w:rFonts w:ascii="Arial" w:eastAsia="SimSun" w:hAnsi="Arial" w:cs="Arial"/>
          <w:sz w:val="22"/>
          <w:szCs w:val="22"/>
          <w:lang w:val="fr-FR"/>
        </w:rPr>
        <w:t xml:space="preserve">étaient </w:t>
      </w:r>
      <w:r w:rsidR="00D9653F" w:rsidRPr="000149DD">
        <w:rPr>
          <w:rFonts w:ascii="Arial" w:eastAsia="SimSun" w:hAnsi="Arial" w:cs="Arial"/>
          <w:sz w:val="22"/>
          <w:szCs w:val="22"/>
          <w:lang w:val="fr-FR"/>
        </w:rPr>
        <w:t>vérifiés par l</w:t>
      </w:r>
      <w:r w:rsidR="00D9653F">
        <w:rPr>
          <w:rFonts w:ascii="Arial" w:eastAsia="SimSun" w:hAnsi="Arial" w:cs="Arial"/>
          <w:sz w:val="22"/>
          <w:szCs w:val="22"/>
          <w:lang w:val="fr-FR"/>
        </w:rPr>
        <w:t>e</w:t>
      </w:r>
      <w:r w:rsidR="00D9653F" w:rsidRPr="000149DD">
        <w:rPr>
          <w:rFonts w:ascii="Arial" w:eastAsia="SimSun" w:hAnsi="Arial" w:cs="Arial"/>
          <w:sz w:val="22"/>
          <w:szCs w:val="22"/>
          <w:lang w:val="fr-FR"/>
        </w:rPr>
        <w:t xml:space="preserve"> </w:t>
      </w:r>
      <w:r w:rsidR="00D9653F">
        <w:rPr>
          <w:rFonts w:ascii="Arial" w:eastAsia="SimSun" w:hAnsi="Arial" w:cs="Arial"/>
          <w:sz w:val="22"/>
          <w:szCs w:val="22"/>
          <w:lang w:val="fr-FR"/>
        </w:rPr>
        <w:t>r</w:t>
      </w:r>
      <w:r w:rsidR="00D9653F" w:rsidRPr="000149DD">
        <w:rPr>
          <w:rFonts w:ascii="Arial" w:eastAsia="SimSun" w:hAnsi="Arial" w:cs="Arial"/>
          <w:sz w:val="22"/>
          <w:szCs w:val="22"/>
          <w:lang w:val="fr-FR"/>
        </w:rPr>
        <w:t>apporteur.</w:t>
      </w:r>
    </w:p>
    <w:p w14:paraId="36044A11" w14:textId="2C29F0BB" w:rsidR="00D9653F" w:rsidRPr="008076C3"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8076C3">
        <w:rPr>
          <w:rFonts w:ascii="Arial" w:eastAsia="SimSun" w:hAnsi="Arial" w:cs="Arial"/>
          <w:sz w:val="22"/>
          <w:szCs w:val="22"/>
          <w:lang w:val="fr-FR"/>
        </w:rPr>
        <w:t xml:space="preserve">Le </w:t>
      </w:r>
      <w:r w:rsidRPr="008076C3">
        <w:rPr>
          <w:rFonts w:ascii="Arial" w:eastAsia="SimSun" w:hAnsi="Arial" w:cs="Arial"/>
          <w:b/>
          <w:bCs/>
          <w:sz w:val="22"/>
          <w:szCs w:val="22"/>
          <w:lang w:val="fr-FR"/>
        </w:rPr>
        <w:t>Sous-Directeur général</w:t>
      </w:r>
      <w:r w:rsidRPr="008076C3">
        <w:rPr>
          <w:rFonts w:ascii="Arial" w:eastAsia="SimSun" w:hAnsi="Arial" w:cs="Arial"/>
          <w:sz w:val="22"/>
          <w:szCs w:val="22"/>
          <w:lang w:val="fr-FR"/>
        </w:rPr>
        <w:t xml:space="preserve"> </w:t>
      </w:r>
      <w:r>
        <w:rPr>
          <w:rFonts w:ascii="Arial" w:eastAsia="SimSun" w:hAnsi="Arial" w:cs="Arial"/>
          <w:sz w:val="22"/>
          <w:szCs w:val="22"/>
          <w:lang w:val="fr-FR"/>
        </w:rPr>
        <w:t xml:space="preserve">a </w:t>
      </w:r>
      <w:r w:rsidRPr="008076C3">
        <w:rPr>
          <w:rFonts w:ascii="Arial" w:eastAsia="SimSun" w:hAnsi="Arial" w:cs="Arial"/>
          <w:sz w:val="22"/>
          <w:szCs w:val="22"/>
          <w:lang w:val="fr-FR"/>
        </w:rPr>
        <w:t>invit</w:t>
      </w:r>
      <w:r>
        <w:rPr>
          <w:rFonts w:ascii="Arial" w:eastAsia="SimSun" w:hAnsi="Arial" w:cs="Arial"/>
          <w:sz w:val="22"/>
          <w:szCs w:val="22"/>
          <w:lang w:val="fr-FR"/>
        </w:rPr>
        <w:t>é</w:t>
      </w:r>
      <w:r w:rsidRPr="008076C3">
        <w:rPr>
          <w:rFonts w:ascii="Arial" w:eastAsia="SimSun" w:hAnsi="Arial" w:cs="Arial"/>
          <w:sz w:val="22"/>
          <w:szCs w:val="22"/>
          <w:lang w:val="fr-FR"/>
        </w:rPr>
        <w:t xml:space="preserve"> le Japon à prendre la parole</w:t>
      </w:r>
      <w:r w:rsidR="002512C5">
        <w:rPr>
          <w:rFonts w:ascii="Arial" w:eastAsia="SimSun" w:hAnsi="Arial" w:cs="Arial"/>
          <w:sz w:val="22"/>
          <w:szCs w:val="22"/>
          <w:lang w:val="fr-FR"/>
        </w:rPr>
        <w:t xml:space="preserve"> concernant l’élection du/de la Président(e)</w:t>
      </w:r>
      <w:r w:rsidRPr="008076C3">
        <w:rPr>
          <w:rFonts w:ascii="Arial" w:eastAsia="SimSun" w:hAnsi="Arial" w:cs="Arial"/>
          <w:sz w:val="22"/>
          <w:szCs w:val="22"/>
          <w:lang w:val="fr-FR"/>
        </w:rPr>
        <w:t>.</w:t>
      </w:r>
    </w:p>
    <w:p w14:paraId="5D9A3BF3" w14:textId="71414428" w:rsidR="00D9653F" w:rsidRPr="003454AA"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3454AA">
        <w:rPr>
          <w:rFonts w:ascii="Arial" w:eastAsia="SimSun" w:hAnsi="Arial" w:cs="Arial"/>
          <w:sz w:val="22"/>
          <w:szCs w:val="22"/>
          <w:lang w:val="fr-FR"/>
        </w:rPr>
        <w:t>délégation</w:t>
      </w:r>
      <w:r>
        <w:rPr>
          <w:rFonts w:ascii="Arial" w:eastAsia="SimSun" w:hAnsi="Arial" w:cs="Arial"/>
          <w:sz w:val="22"/>
          <w:szCs w:val="22"/>
          <w:lang w:val="fr-FR"/>
        </w:rPr>
        <w:t xml:space="preserve"> du </w:t>
      </w:r>
      <w:r w:rsidRPr="003454AA">
        <w:rPr>
          <w:rFonts w:ascii="Arial" w:eastAsia="SimSun" w:hAnsi="Arial" w:cs="Arial"/>
          <w:b/>
          <w:bCs/>
          <w:sz w:val="22"/>
          <w:szCs w:val="22"/>
          <w:lang w:val="fr-FR"/>
        </w:rPr>
        <w:t>Japon</w:t>
      </w:r>
      <w:r>
        <w:rPr>
          <w:rFonts w:ascii="Arial" w:eastAsia="SimSun" w:hAnsi="Arial" w:cs="Arial"/>
          <w:sz w:val="22"/>
          <w:szCs w:val="22"/>
          <w:lang w:val="fr-FR"/>
        </w:rPr>
        <w:t xml:space="preserve"> a proposé que </w:t>
      </w:r>
      <w:r w:rsidR="008D65C3">
        <w:rPr>
          <w:rFonts w:ascii="Arial" w:eastAsia="SimSun" w:hAnsi="Arial" w:cs="Arial"/>
          <w:sz w:val="22"/>
          <w:szCs w:val="22"/>
          <w:lang w:val="fr-FR"/>
        </w:rPr>
        <w:t xml:space="preserve">S.Exc. </w:t>
      </w:r>
      <w:r>
        <w:rPr>
          <w:rFonts w:ascii="Arial" w:eastAsia="SimSun" w:hAnsi="Arial" w:cs="Arial"/>
          <w:sz w:val="22"/>
          <w:szCs w:val="22"/>
          <w:lang w:val="fr-FR"/>
        </w:rPr>
        <w:t>l</w:t>
      </w:r>
      <w:r w:rsidR="008E532B">
        <w:rPr>
          <w:rFonts w:ascii="Arial" w:eastAsia="SimSun" w:hAnsi="Arial" w:cs="Arial"/>
          <w:sz w:val="22"/>
          <w:szCs w:val="22"/>
          <w:lang w:val="fr-FR"/>
        </w:rPr>
        <w:t>’A</w:t>
      </w:r>
      <w:r>
        <w:rPr>
          <w:rFonts w:ascii="Arial" w:eastAsia="SimSun" w:hAnsi="Arial" w:cs="Arial"/>
          <w:sz w:val="22"/>
          <w:szCs w:val="22"/>
          <w:lang w:val="fr-FR"/>
        </w:rPr>
        <w:t>mbassad</w:t>
      </w:r>
      <w:r w:rsidR="008E532B">
        <w:rPr>
          <w:rFonts w:ascii="Arial" w:eastAsia="SimSun" w:hAnsi="Arial" w:cs="Arial"/>
          <w:sz w:val="22"/>
          <w:szCs w:val="22"/>
          <w:lang w:val="fr-FR"/>
        </w:rPr>
        <w:t>eur</w:t>
      </w:r>
      <w:r>
        <w:rPr>
          <w:rFonts w:ascii="Arial" w:eastAsia="SimSun" w:hAnsi="Arial" w:cs="Arial"/>
          <w:sz w:val="22"/>
          <w:szCs w:val="22"/>
          <w:lang w:val="fr-FR"/>
        </w:rPr>
        <w:t xml:space="preserve"> des Philippines, </w:t>
      </w:r>
      <w:r w:rsidR="008D65C3">
        <w:rPr>
          <w:rFonts w:ascii="Arial" w:eastAsia="SimSun" w:hAnsi="Arial" w:cs="Arial"/>
          <w:sz w:val="22"/>
          <w:szCs w:val="22"/>
          <w:lang w:val="fr-FR"/>
        </w:rPr>
        <w:t>Mme</w:t>
      </w:r>
      <w:r>
        <w:rPr>
          <w:rFonts w:ascii="Arial" w:eastAsia="SimSun" w:hAnsi="Arial" w:cs="Arial"/>
          <w:sz w:val="22"/>
          <w:szCs w:val="22"/>
          <w:lang w:val="fr-FR"/>
        </w:rPr>
        <w:t xml:space="preserve"> </w:t>
      </w:r>
      <w:proofErr w:type="spellStart"/>
      <w:r w:rsidRPr="00584620">
        <w:rPr>
          <w:rFonts w:ascii="Arial" w:hAnsi="Arial" w:cs="Arial"/>
          <w:bCs/>
          <w:sz w:val="22"/>
          <w:szCs w:val="22"/>
          <w:lang w:val="fr-FR"/>
        </w:rPr>
        <w:t>Junever</w:t>
      </w:r>
      <w:proofErr w:type="spellEnd"/>
      <w:r w:rsidRPr="00584620">
        <w:rPr>
          <w:rFonts w:ascii="Arial" w:hAnsi="Arial" w:cs="Arial"/>
          <w:bCs/>
          <w:sz w:val="22"/>
          <w:szCs w:val="22"/>
          <w:lang w:val="fr-FR"/>
        </w:rPr>
        <w:t xml:space="preserve"> Mahilum-West</w:t>
      </w:r>
      <w:r>
        <w:rPr>
          <w:rFonts w:ascii="Arial" w:hAnsi="Arial" w:cs="Arial"/>
          <w:bCs/>
          <w:sz w:val="22"/>
          <w:szCs w:val="22"/>
          <w:lang w:val="fr-FR"/>
        </w:rPr>
        <w:t>, soit Présidente.</w:t>
      </w:r>
    </w:p>
    <w:p w14:paraId="00FAC7F3" w14:textId="762E807C" w:rsidR="00D9653F"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Le </w:t>
      </w:r>
      <w:r w:rsidRPr="0013680B">
        <w:rPr>
          <w:rFonts w:ascii="Arial" w:eastAsia="SimSun" w:hAnsi="Arial" w:cs="Arial"/>
          <w:b/>
          <w:bCs/>
          <w:sz w:val="22"/>
          <w:szCs w:val="22"/>
          <w:lang w:val="fr-FR"/>
        </w:rPr>
        <w:t>Sous-Directeur général</w:t>
      </w:r>
      <w:r>
        <w:rPr>
          <w:rFonts w:ascii="Arial" w:eastAsia="SimSun" w:hAnsi="Arial" w:cs="Arial"/>
          <w:sz w:val="22"/>
          <w:szCs w:val="22"/>
          <w:lang w:val="fr-FR"/>
        </w:rPr>
        <w:t xml:space="preserve"> a félicité </w:t>
      </w:r>
      <w:r w:rsidR="008D65C3">
        <w:rPr>
          <w:rFonts w:ascii="Arial" w:eastAsia="SimSun" w:hAnsi="Arial" w:cs="Arial"/>
          <w:sz w:val="22"/>
          <w:szCs w:val="22"/>
          <w:lang w:val="fr-FR"/>
        </w:rPr>
        <w:t>Mme</w:t>
      </w:r>
      <w:r>
        <w:rPr>
          <w:rFonts w:ascii="Arial" w:eastAsia="SimSun" w:hAnsi="Arial" w:cs="Arial"/>
          <w:sz w:val="22"/>
          <w:szCs w:val="22"/>
          <w:lang w:val="fr-FR"/>
        </w:rPr>
        <w:t xml:space="preserve"> </w:t>
      </w:r>
      <w:proofErr w:type="spellStart"/>
      <w:r w:rsidRPr="00584620">
        <w:rPr>
          <w:rFonts w:ascii="Arial" w:hAnsi="Arial" w:cs="Arial"/>
          <w:bCs/>
          <w:sz w:val="22"/>
          <w:szCs w:val="22"/>
          <w:lang w:val="fr-FR"/>
        </w:rPr>
        <w:t>Junever</w:t>
      </w:r>
      <w:proofErr w:type="spellEnd"/>
      <w:r w:rsidRPr="00584620">
        <w:rPr>
          <w:rFonts w:ascii="Arial" w:hAnsi="Arial" w:cs="Arial"/>
          <w:bCs/>
          <w:sz w:val="22"/>
          <w:szCs w:val="22"/>
          <w:lang w:val="fr-FR"/>
        </w:rPr>
        <w:t xml:space="preserve"> Mahilum-West</w:t>
      </w:r>
      <w:r>
        <w:rPr>
          <w:rFonts w:ascii="Arial" w:hAnsi="Arial" w:cs="Arial"/>
          <w:bCs/>
          <w:sz w:val="22"/>
          <w:szCs w:val="22"/>
          <w:lang w:val="fr-FR"/>
        </w:rPr>
        <w:t xml:space="preserve"> pour son élection et l</w:t>
      </w:r>
      <w:r w:rsidR="008E532B">
        <w:rPr>
          <w:rFonts w:ascii="Arial" w:hAnsi="Arial" w:cs="Arial"/>
          <w:bCs/>
          <w:sz w:val="22"/>
          <w:szCs w:val="22"/>
          <w:lang w:val="fr-FR"/>
        </w:rPr>
        <w:t>’</w:t>
      </w:r>
      <w:r>
        <w:rPr>
          <w:rFonts w:ascii="Arial" w:hAnsi="Arial" w:cs="Arial"/>
          <w:bCs/>
          <w:sz w:val="22"/>
          <w:szCs w:val="22"/>
          <w:lang w:val="fr-FR"/>
        </w:rPr>
        <w:t>a invitée à rejoindre la tribune.</w:t>
      </w:r>
    </w:p>
    <w:p w14:paraId="2FD5739E" w14:textId="71041060" w:rsidR="00D9653F" w:rsidRPr="003454AA"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13680B">
        <w:rPr>
          <w:rFonts w:ascii="Arial" w:eastAsia="SimSun" w:hAnsi="Arial" w:cs="Arial"/>
          <w:b/>
          <w:bCs/>
          <w:sz w:val="22"/>
          <w:szCs w:val="22"/>
          <w:lang w:val="fr-FR"/>
        </w:rPr>
        <w:t>Présidente</w:t>
      </w:r>
      <w:r>
        <w:rPr>
          <w:rFonts w:ascii="Arial" w:eastAsia="SimSun" w:hAnsi="Arial" w:cs="Arial"/>
          <w:sz w:val="22"/>
          <w:szCs w:val="22"/>
          <w:lang w:val="fr-FR"/>
        </w:rPr>
        <w:t xml:space="preserve"> a remercié les États parties pour leur confiance et a poursuivi avec l</w:t>
      </w:r>
      <w:r w:rsidR="008E532B">
        <w:rPr>
          <w:rFonts w:ascii="Arial" w:eastAsia="SimSun" w:hAnsi="Arial" w:cs="Arial"/>
          <w:sz w:val="22"/>
          <w:szCs w:val="22"/>
          <w:lang w:val="fr-FR"/>
        </w:rPr>
        <w:t>’</w:t>
      </w:r>
      <w:r>
        <w:rPr>
          <w:rFonts w:ascii="Arial" w:eastAsia="SimSun" w:hAnsi="Arial" w:cs="Arial"/>
          <w:sz w:val="22"/>
          <w:szCs w:val="22"/>
          <w:lang w:val="fr-FR"/>
        </w:rPr>
        <w:t>élection des vice-président(e)s.</w:t>
      </w:r>
    </w:p>
    <w:p w14:paraId="2AC15309" w14:textId="43F5327A" w:rsidR="00D9653F" w:rsidRPr="0013680B"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13680B">
        <w:rPr>
          <w:rFonts w:ascii="Arial" w:eastAsia="SimSun" w:hAnsi="Arial" w:cs="Arial"/>
          <w:sz w:val="22"/>
          <w:szCs w:val="22"/>
          <w:lang w:val="fr-FR"/>
        </w:rPr>
        <w:t>délégation</w:t>
      </w:r>
      <w:r>
        <w:rPr>
          <w:rFonts w:ascii="Arial" w:eastAsia="SimSun" w:hAnsi="Arial" w:cs="Arial"/>
          <w:sz w:val="22"/>
          <w:szCs w:val="22"/>
          <w:lang w:val="fr-FR"/>
        </w:rPr>
        <w:t xml:space="preserve"> de l</w:t>
      </w:r>
      <w:r w:rsidR="008E532B">
        <w:rPr>
          <w:rFonts w:ascii="Arial" w:eastAsia="SimSun" w:hAnsi="Arial" w:cs="Arial"/>
          <w:sz w:val="22"/>
          <w:szCs w:val="22"/>
          <w:lang w:val="fr-FR"/>
        </w:rPr>
        <w:t>’</w:t>
      </w:r>
      <w:r w:rsidRPr="0013680B">
        <w:rPr>
          <w:rFonts w:ascii="Arial" w:eastAsia="SimSun" w:hAnsi="Arial" w:cs="Arial"/>
          <w:b/>
          <w:bCs/>
          <w:sz w:val="22"/>
          <w:szCs w:val="22"/>
          <w:lang w:val="fr-FR"/>
        </w:rPr>
        <w:t>Andorre</w:t>
      </w:r>
      <w:r>
        <w:rPr>
          <w:rFonts w:ascii="Arial" w:eastAsia="SimSun" w:hAnsi="Arial" w:cs="Arial"/>
          <w:sz w:val="22"/>
          <w:szCs w:val="22"/>
          <w:lang w:val="fr-FR"/>
        </w:rPr>
        <w:t xml:space="preserve"> a félicité la Présidente pour son élection. Elle a proposé que la </w:t>
      </w:r>
      <w:r w:rsidRPr="0013680B">
        <w:rPr>
          <w:rFonts w:ascii="Arial" w:eastAsia="SimSun" w:hAnsi="Arial" w:cs="Arial"/>
          <w:b/>
          <w:bCs/>
          <w:sz w:val="22"/>
          <w:szCs w:val="22"/>
          <w:lang w:val="fr-FR"/>
        </w:rPr>
        <w:t>Belgique</w:t>
      </w:r>
      <w:r>
        <w:rPr>
          <w:rFonts w:ascii="Arial" w:eastAsia="SimSun" w:hAnsi="Arial" w:cs="Arial"/>
          <w:sz w:val="22"/>
          <w:szCs w:val="22"/>
          <w:lang w:val="fr-FR"/>
        </w:rPr>
        <w:t xml:space="preserve"> soit Vice-Présidente au titre du Groupe électoral I.</w:t>
      </w:r>
    </w:p>
    <w:p w14:paraId="559B4F0E" w14:textId="309E590C" w:rsidR="00D9653F" w:rsidRPr="0013680B"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13680B">
        <w:rPr>
          <w:rFonts w:ascii="Arial" w:eastAsia="SimSun" w:hAnsi="Arial" w:cs="Arial"/>
          <w:sz w:val="22"/>
          <w:szCs w:val="22"/>
          <w:lang w:val="fr-FR"/>
        </w:rPr>
        <w:t>délégation</w:t>
      </w:r>
      <w:r>
        <w:rPr>
          <w:rFonts w:ascii="Arial" w:eastAsia="SimSun" w:hAnsi="Arial" w:cs="Arial"/>
          <w:sz w:val="22"/>
          <w:szCs w:val="22"/>
          <w:lang w:val="fr-FR"/>
        </w:rPr>
        <w:t xml:space="preserve"> de l</w:t>
      </w:r>
      <w:r w:rsidR="008E532B">
        <w:rPr>
          <w:rFonts w:ascii="Arial" w:eastAsia="SimSun" w:hAnsi="Arial" w:cs="Arial"/>
          <w:sz w:val="22"/>
          <w:szCs w:val="22"/>
          <w:lang w:val="fr-FR"/>
        </w:rPr>
        <w:t>’</w:t>
      </w:r>
      <w:r w:rsidRPr="0013680B">
        <w:rPr>
          <w:rFonts w:ascii="Arial" w:eastAsia="SimSun" w:hAnsi="Arial" w:cs="Arial"/>
          <w:b/>
          <w:bCs/>
          <w:sz w:val="22"/>
          <w:szCs w:val="22"/>
          <w:lang w:val="fr-FR"/>
        </w:rPr>
        <w:t>Éthiopie</w:t>
      </w:r>
      <w:r>
        <w:rPr>
          <w:rFonts w:ascii="Arial" w:eastAsia="SimSun" w:hAnsi="Arial" w:cs="Arial"/>
          <w:sz w:val="22"/>
          <w:szCs w:val="22"/>
          <w:lang w:val="fr-FR"/>
        </w:rPr>
        <w:t xml:space="preserve">, du Groupe V(a), a proposé que </w:t>
      </w:r>
      <w:r w:rsidRPr="0013680B">
        <w:rPr>
          <w:rFonts w:ascii="Arial" w:eastAsia="SimSun" w:hAnsi="Arial" w:cs="Arial"/>
          <w:b/>
          <w:bCs/>
          <w:sz w:val="22"/>
          <w:szCs w:val="22"/>
          <w:lang w:val="fr-FR"/>
        </w:rPr>
        <w:t>Madagascar</w:t>
      </w:r>
      <w:r>
        <w:rPr>
          <w:rFonts w:ascii="Arial" w:eastAsia="SimSun" w:hAnsi="Arial" w:cs="Arial"/>
          <w:sz w:val="22"/>
          <w:szCs w:val="22"/>
          <w:lang w:val="fr-FR"/>
        </w:rPr>
        <w:t xml:space="preserve"> soit Vice-Président.</w:t>
      </w:r>
    </w:p>
    <w:p w14:paraId="4234B8EB" w14:textId="45CAFC53" w:rsidR="00D9653F" w:rsidRPr="0013680B"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13680B">
        <w:rPr>
          <w:rFonts w:ascii="Arial" w:eastAsia="SimSun" w:hAnsi="Arial" w:cs="Arial"/>
          <w:sz w:val="22"/>
          <w:szCs w:val="22"/>
          <w:lang w:val="fr-FR"/>
        </w:rPr>
        <w:t>délégation</w:t>
      </w:r>
      <w:r>
        <w:rPr>
          <w:rFonts w:ascii="Arial" w:eastAsia="SimSun" w:hAnsi="Arial" w:cs="Arial"/>
          <w:sz w:val="22"/>
          <w:szCs w:val="22"/>
          <w:lang w:val="fr-FR"/>
        </w:rPr>
        <w:t xml:space="preserve"> de l</w:t>
      </w:r>
      <w:r w:rsidR="008E532B">
        <w:rPr>
          <w:rFonts w:ascii="Arial" w:eastAsia="SimSun" w:hAnsi="Arial" w:cs="Arial"/>
          <w:sz w:val="22"/>
          <w:szCs w:val="22"/>
          <w:lang w:val="fr-FR"/>
        </w:rPr>
        <w:t>’</w:t>
      </w:r>
      <w:r>
        <w:rPr>
          <w:rFonts w:ascii="Arial" w:eastAsia="SimSun" w:hAnsi="Arial" w:cs="Arial"/>
          <w:b/>
          <w:bCs/>
          <w:sz w:val="22"/>
          <w:szCs w:val="22"/>
          <w:lang w:val="fr-FR"/>
        </w:rPr>
        <w:t>Estonie</w:t>
      </w:r>
      <w:r>
        <w:rPr>
          <w:rFonts w:ascii="Arial" w:eastAsia="SimSun" w:hAnsi="Arial" w:cs="Arial"/>
          <w:sz w:val="22"/>
          <w:szCs w:val="22"/>
          <w:lang w:val="fr-FR"/>
        </w:rPr>
        <w:t xml:space="preserve">, du Groupe II, a proposé que </w:t>
      </w:r>
      <w:r w:rsidRPr="0013680B">
        <w:rPr>
          <w:rFonts w:ascii="Arial" w:eastAsia="SimSun" w:hAnsi="Arial" w:cs="Arial"/>
          <w:sz w:val="22"/>
          <w:szCs w:val="22"/>
          <w:lang w:val="fr-FR"/>
        </w:rPr>
        <w:t>la</w:t>
      </w:r>
      <w:r>
        <w:rPr>
          <w:rFonts w:ascii="Arial" w:eastAsia="SimSun" w:hAnsi="Arial" w:cs="Arial"/>
          <w:b/>
          <w:bCs/>
          <w:sz w:val="22"/>
          <w:szCs w:val="22"/>
          <w:lang w:val="fr-FR"/>
        </w:rPr>
        <w:t xml:space="preserve"> Croatie </w:t>
      </w:r>
      <w:r>
        <w:rPr>
          <w:rFonts w:ascii="Arial" w:eastAsia="SimSun" w:hAnsi="Arial" w:cs="Arial"/>
          <w:sz w:val="22"/>
          <w:szCs w:val="22"/>
          <w:lang w:val="fr-FR"/>
        </w:rPr>
        <w:t>soit Vice-Présidente.</w:t>
      </w:r>
    </w:p>
    <w:p w14:paraId="7BA6F605" w14:textId="77777777" w:rsidR="00D9653F" w:rsidRPr="0013680B"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13680B">
        <w:rPr>
          <w:rFonts w:ascii="Arial" w:eastAsia="SimSun" w:hAnsi="Arial" w:cs="Arial"/>
          <w:sz w:val="22"/>
          <w:szCs w:val="22"/>
          <w:lang w:val="fr-FR"/>
        </w:rPr>
        <w:t>délégation</w:t>
      </w:r>
      <w:r>
        <w:rPr>
          <w:rFonts w:ascii="Arial" w:eastAsia="SimSun" w:hAnsi="Arial" w:cs="Arial"/>
          <w:sz w:val="22"/>
          <w:szCs w:val="22"/>
          <w:lang w:val="fr-FR"/>
        </w:rPr>
        <w:t xml:space="preserve"> du </w:t>
      </w:r>
      <w:r w:rsidRPr="00BB62CD">
        <w:rPr>
          <w:rFonts w:ascii="Arial" w:eastAsia="SimSun" w:hAnsi="Arial" w:cs="Arial"/>
          <w:b/>
          <w:bCs/>
          <w:sz w:val="22"/>
          <w:szCs w:val="22"/>
          <w:lang w:val="fr-FR"/>
        </w:rPr>
        <w:t>Maroc</w:t>
      </w:r>
      <w:r>
        <w:rPr>
          <w:rFonts w:ascii="Arial" w:eastAsia="SimSun" w:hAnsi="Arial" w:cs="Arial"/>
          <w:sz w:val="22"/>
          <w:szCs w:val="22"/>
          <w:lang w:val="fr-FR"/>
        </w:rPr>
        <w:t xml:space="preserve">, du Groupe V(b), a proposé que la </w:t>
      </w:r>
      <w:r w:rsidRPr="0013680B">
        <w:rPr>
          <w:rFonts w:ascii="Arial" w:eastAsia="SimSun" w:hAnsi="Arial" w:cs="Arial"/>
          <w:b/>
          <w:bCs/>
          <w:sz w:val="22"/>
          <w:szCs w:val="22"/>
          <w:lang w:val="fr-FR"/>
        </w:rPr>
        <w:t>République arabe syrienne</w:t>
      </w:r>
      <w:r>
        <w:rPr>
          <w:rFonts w:ascii="Arial" w:eastAsia="SimSun" w:hAnsi="Arial" w:cs="Arial"/>
          <w:sz w:val="22"/>
          <w:szCs w:val="22"/>
          <w:lang w:val="fr-FR"/>
        </w:rPr>
        <w:t xml:space="preserve"> soit Vice-Présidente.</w:t>
      </w:r>
    </w:p>
    <w:p w14:paraId="4F39182C" w14:textId="77777777" w:rsidR="00D9653F" w:rsidRPr="00BB62CD"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13680B">
        <w:rPr>
          <w:rFonts w:ascii="Arial" w:eastAsia="SimSun" w:hAnsi="Arial" w:cs="Arial"/>
          <w:sz w:val="22"/>
          <w:szCs w:val="22"/>
          <w:lang w:val="fr-FR"/>
        </w:rPr>
        <w:t>délégation</w:t>
      </w:r>
      <w:r>
        <w:rPr>
          <w:rFonts w:ascii="Arial" w:eastAsia="SimSun" w:hAnsi="Arial" w:cs="Arial"/>
          <w:sz w:val="22"/>
          <w:szCs w:val="22"/>
          <w:lang w:val="fr-FR"/>
        </w:rPr>
        <w:t xml:space="preserve"> du </w:t>
      </w:r>
      <w:r w:rsidRPr="00BB62CD">
        <w:rPr>
          <w:rFonts w:ascii="Arial" w:eastAsia="SimSun" w:hAnsi="Arial" w:cs="Arial"/>
          <w:b/>
          <w:bCs/>
          <w:sz w:val="22"/>
          <w:szCs w:val="22"/>
          <w:lang w:val="fr-FR"/>
        </w:rPr>
        <w:t>Paraguay</w:t>
      </w:r>
      <w:r>
        <w:rPr>
          <w:rFonts w:ascii="Arial" w:eastAsia="SimSun" w:hAnsi="Arial" w:cs="Arial"/>
          <w:sz w:val="22"/>
          <w:szCs w:val="22"/>
          <w:lang w:val="fr-FR"/>
        </w:rPr>
        <w:t xml:space="preserve">, du Groupe III, a proposé que </w:t>
      </w:r>
      <w:r w:rsidRPr="00BB62CD">
        <w:rPr>
          <w:rFonts w:ascii="Arial" w:eastAsia="SimSun" w:hAnsi="Arial" w:cs="Arial"/>
          <w:sz w:val="22"/>
          <w:szCs w:val="22"/>
          <w:lang w:val="fr-FR"/>
        </w:rPr>
        <w:t>l</w:t>
      </w:r>
      <w:r>
        <w:rPr>
          <w:rFonts w:ascii="Arial" w:eastAsia="SimSun" w:hAnsi="Arial" w:cs="Arial"/>
          <w:sz w:val="22"/>
          <w:szCs w:val="22"/>
          <w:lang w:val="fr-FR"/>
        </w:rPr>
        <w:t xml:space="preserve">a </w:t>
      </w:r>
      <w:r w:rsidRPr="006D154E">
        <w:rPr>
          <w:rFonts w:ascii="Arial" w:eastAsia="SimSun" w:hAnsi="Arial" w:cs="Arial"/>
          <w:b/>
          <w:bCs/>
          <w:sz w:val="22"/>
          <w:szCs w:val="22"/>
          <w:lang w:val="fr-FR"/>
        </w:rPr>
        <w:t>République bolivarienne du Venezuela</w:t>
      </w:r>
      <w:r w:rsidRPr="001D013C">
        <w:rPr>
          <w:rFonts w:ascii="Arial" w:eastAsia="SimSun" w:hAnsi="Arial" w:cs="Arial"/>
          <w:b/>
          <w:bCs/>
          <w:color w:val="FF0000"/>
          <w:sz w:val="22"/>
          <w:szCs w:val="22"/>
          <w:lang w:val="fr-FR"/>
        </w:rPr>
        <w:t xml:space="preserve"> </w:t>
      </w:r>
      <w:r>
        <w:rPr>
          <w:rFonts w:ascii="Arial" w:eastAsia="SimSun" w:hAnsi="Arial" w:cs="Arial"/>
          <w:sz w:val="22"/>
          <w:szCs w:val="22"/>
          <w:lang w:val="fr-FR"/>
        </w:rPr>
        <w:t>soit Vice-Présidente.</w:t>
      </w:r>
    </w:p>
    <w:p w14:paraId="5C6141A6" w14:textId="5DD5A346" w:rsidR="00D9653F" w:rsidRPr="001D013C"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732876">
        <w:rPr>
          <w:rFonts w:ascii="Arial" w:eastAsia="SimSun" w:hAnsi="Arial" w:cs="Arial"/>
          <w:b/>
          <w:bCs/>
          <w:sz w:val="22"/>
          <w:szCs w:val="22"/>
          <w:lang w:val="fr-FR"/>
        </w:rPr>
        <w:t>Présidente</w:t>
      </w:r>
      <w:r>
        <w:rPr>
          <w:rFonts w:ascii="Arial" w:eastAsia="SimSun" w:hAnsi="Arial" w:cs="Arial"/>
          <w:sz w:val="22"/>
          <w:szCs w:val="22"/>
          <w:lang w:val="fr-FR"/>
        </w:rPr>
        <w:t xml:space="preserve"> a proposé d</w:t>
      </w:r>
      <w:r w:rsidR="008E532B">
        <w:rPr>
          <w:rFonts w:ascii="Arial" w:eastAsia="SimSun" w:hAnsi="Arial" w:cs="Arial"/>
          <w:sz w:val="22"/>
          <w:szCs w:val="22"/>
          <w:lang w:val="fr-FR"/>
        </w:rPr>
        <w:t>’</w:t>
      </w:r>
      <w:r>
        <w:rPr>
          <w:rFonts w:ascii="Arial" w:eastAsia="SimSun" w:hAnsi="Arial" w:cs="Arial"/>
          <w:sz w:val="22"/>
          <w:szCs w:val="22"/>
          <w:lang w:val="fr-FR"/>
        </w:rPr>
        <w:t>élire les vice-président(e)s par acclamation. Après avoir félicité les Vice-Président(e)s élu(e)s, elle est passée à l</w:t>
      </w:r>
      <w:r w:rsidR="008E532B">
        <w:rPr>
          <w:rFonts w:ascii="Arial" w:eastAsia="SimSun" w:hAnsi="Arial" w:cs="Arial"/>
          <w:sz w:val="22"/>
          <w:szCs w:val="22"/>
          <w:lang w:val="fr-FR"/>
        </w:rPr>
        <w:t>’</w:t>
      </w:r>
      <w:r>
        <w:rPr>
          <w:rFonts w:ascii="Arial" w:eastAsia="SimSun" w:hAnsi="Arial" w:cs="Arial"/>
          <w:sz w:val="22"/>
          <w:szCs w:val="22"/>
          <w:lang w:val="fr-FR"/>
        </w:rPr>
        <w:t xml:space="preserve">élection du rapporteur. </w:t>
      </w:r>
    </w:p>
    <w:p w14:paraId="1A206C34" w14:textId="716986DE" w:rsidR="00D9653F" w:rsidRPr="00732876"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Le </w:t>
      </w:r>
      <w:r w:rsidRPr="00732876">
        <w:rPr>
          <w:rFonts w:ascii="Arial" w:eastAsia="SimSun" w:hAnsi="Arial" w:cs="Arial"/>
          <w:b/>
          <w:bCs/>
          <w:sz w:val="22"/>
          <w:szCs w:val="22"/>
          <w:lang w:val="fr-FR"/>
        </w:rPr>
        <w:t>Paraguay</w:t>
      </w:r>
      <w:r>
        <w:rPr>
          <w:rFonts w:ascii="Arial" w:eastAsia="SimSun" w:hAnsi="Arial" w:cs="Arial"/>
          <w:sz w:val="22"/>
          <w:szCs w:val="22"/>
          <w:lang w:val="fr-FR"/>
        </w:rPr>
        <w:t xml:space="preserve"> a soumis la </w:t>
      </w:r>
      <w:r w:rsidRPr="00732876">
        <w:rPr>
          <w:rFonts w:ascii="Arial" w:eastAsia="SimSun" w:hAnsi="Arial" w:cs="Arial"/>
          <w:sz w:val="22"/>
          <w:szCs w:val="22"/>
          <w:lang w:val="fr-FR"/>
        </w:rPr>
        <w:t>candidature</w:t>
      </w:r>
      <w:r>
        <w:rPr>
          <w:rFonts w:ascii="Arial" w:eastAsia="SimSun" w:hAnsi="Arial" w:cs="Arial"/>
          <w:sz w:val="22"/>
          <w:szCs w:val="22"/>
          <w:lang w:val="fr-FR"/>
        </w:rPr>
        <w:t xml:space="preserve"> de </w:t>
      </w:r>
      <w:r w:rsidR="008D65C3">
        <w:rPr>
          <w:rFonts w:ascii="Arial" w:eastAsia="SimSun" w:hAnsi="Arial" w:cs="Arial"/>
          <w:sz w:val="22"/>
          <w:szCs w:val="22"/>
          <w:lang w:val="fr-FR"/>
        </w:rPr>
        <w:t>Mme</w:t>
      </w:r>
      <w:r w:rsidRPr="00732876">
        <w:rPr>
          <w:rFonts w:ascii="Arial" w:eastAsia="SimSun" w:hAnsi="Arial" w:cs="Arial"/>
          <w:sz w:val="22"/>
          <w:szCs w:val="22"/>
          <w:vertAlign w:val="superscript"/>
          <w:lang w:val="fr-FR"/>
        </w:rPr>
        <w:t xml:space="preserve"> </w:t>
      </w:r>
      <w:r w:rsidRPr="00584620">
        <w:rPr>
          <w:rFonts w:ascii="Arial" w:hAnsi="Arial" w:cs="Arial"/>
          <w:bCs/>
          <w:sz w:val="22"/>
          <w:szCs w:val="22"/>
          <w:lang w:val="fr-FR"/>
        </w:rPr>
        <w:t>Daniela Rodriguez Uribe</w:t>
      </w:r>
      <w:r>
        <w:rPr>
          <w:rFonts w:ascii="Arial" w:hAnsi="Arial" w:cs="Arial"/>
          <w:bCs/>
          <w:sz w:val="22"/>
          <w:szCs w:val="22"/>
          <w:lang w:val="fr-FR"/>
        </w:rPr>
        <w:t>, de la Colombie, au poste de r</w:t>
      </w:r>
      <w:r w:rsidRPr="00732876">
        <w:rPr>
          <w:rFonts w:ascii="Arial" w:hAnsi="Arial" w:cs="Arial"/>
          <w:bCs/>
          <w:sz w:val="22"/>
          <w:szCs w:val="22"/>
          <w:lang w:val="fr-FR"/>
        </w:rPr>
        <w:t>apporteu</w:t>
      </w:r>
      <w:r>
        <w:rPr>
          <w:rFonts w:ascii="Arial" w:hAnsi="Arial" w:cs="Arial"/>
          <w:bCs/>
          <w:sz w:val="22"/>
          <w:szCs w:val="22"/>
          <w:lang w:val="fr-FR"/>
        </w:rPr>
        <w:t>r.</w:t>
      </w:r>
    </w:p>
    <w:p w14:paraId="68E3B3C5" w14:textId="5F45F9CD" w:rsidR="00D9653F" w:rsidRPr="00732876"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732876">
        <w:rPr>
          <w:rFonts w:ascii="Arial" w:eastAsia="SimSun" w:hAnsi="Arial" w:cs="Arial"/>
          <w:b/>
          <w:bCs/>
          <w:sz w:val="22"/>
          <w:szCs w:val="22"/>
          <w:lang w:val="fr-FR"/>
        </w:rPr>
        <w:t>Présidente</w:t>
      </w:r>
      <w:r>
        <w:rPr>
          <w:rFonts w:ascii="Arial" w:eastAsia="SimSun" w:hAnsi="Arial" w:cs="Arial"/>
          <w:sz w:val="22"/>
          <w:szCs w:val="22"/>
          <w:lang w:val="fr-FR"/>
        </w:rPr>
        <w:t xml:space="preserve"> </w:t>
      </w:r>
      <w:r w:rsidRPr="00732876">
        <w:rPr>
          <w:rFonts w:ascii="Arial" w:eastAsia="SimSun" w:hAnsi="Arial" w:cs="Arial"/>
          <w:sz w:val="22"/>
          <w:szCs w:val="22"/>
          <w:lang w:val="fr-FR"/>
        </w:rPr>
        <w:t xml:space="preserve">a déclaré </w:t>
      </w:r>
      <w:r>
        <w:rPr>
          <w:rFonts w:ascii="Arial" w:eastAsia="SimSun" w:hAnsi="Arial" w:cs="Arial"/>
          <w:sz w:val="22"/>
          <w:szCs w:val="22"/>
          <w:lang w:val="fr-FR"/>
        </w:rPr>
        <w:t xml:space="preserve">que </w:t>
      </w:r>
      <w:r w:rsidR="008D65C3">
        <w:rPr>
          <w:rFonts w:ascii="Arial" w:eastAsia="SimSun" w:hAnsi="Arial" w:cs="Arial"/>
          <w:sz w:val="22"/>
          <w:szCs w:val="22"/>
          <w:lang w:val="fr-FR"/>
        </w:rPr>
        <w:t>Mme</w:t>
      </w:r>
      <w:r w:rsidRPr="00732876">
        <w:rPr>
          <w:rFonts w:ascii="Arial" w:eastAsia="SimSun" w:hAnsi="Arial" w:cs="Arial"/>
          <w:sz w:val="22"/>
          <w:szCs w:val="22"/>
          <w:lang w:val="fr-FR"/>
        </w:rPr>
        <w:t xml:space="preserve"> Daniela Rodriguez Uribe</w:t>
      </w:r>
      <w:r>
        <w:rPr>
          <w:rFonts w:ascii="Arial" w:eastAsia="SimSun" w:hAnsi="Arial" w:cs="Arial"/>
          <w:sz w:val="22"/>
          <w:szCs w:val="22"/>
          <w:lang w:val="fr-FR"/>
        </w:rPr>
        <w:t xml:space="preserve"> était élue </w:t>
      </w:r>
      <w:r w:rsidRPr="00732876">
        <w:rPr>
          <w:rFonts w:ascii="Arial" w:eastAsia="SimSun" w:hAnsi="Arial" w:cs="Arial"/>
          <w:sz w:val="22"/>
          <w:szCs w:val="22"/>
          <w:lang w:val="fr-FR"/>
        </w:rPr>
        <w:t>Rapporteur par acclamation. En l</w:t>
      </w:r>
      <w:r w:rsidR="008E532B">
        <w:rPr>
          <w:rFonts w:ascii="Arial" w:eastAsia="SimSun" w:hAnsi="Arial" w:cs="Arial"/>
          <w:sz w:val="22"/>
          <w:szCs w:val="22"/>
          <w:lang w:val="fr-FR"/>
        </w:rPr>
        <w:t>’</w:t>
      </w:r>
      <w:r w:rsidRPr="00732876">
        <w:rPr>
          <w:rFonts w:ascii="Arial" w:eastAsia="SimSun" w:hAnsi="Arial" w:cs="Arial"/>
          <w:sz w:val="22"/>
          <w:szCs w:val="22"/>
          <w:lang w:val="fr-FR"/>
        </w:rPr>
        <w:t>absence d</w:t>
      </w:r>
      <w:r w:rsidR="008E532B">
        <w:rPr>
          <w:rFonts w:ascii="Arial" w:eastAsia="SimSun" w:hAnsi="Arial" w:cs="Arial"/>
          <w:sz w:val="22"/>
          <w:szCs w:val="22"/>
          <w:lang w:val="fr-FR"/>
        </w:rPr>
        <w:t>’</w:t>
      </w:r>
      <w:r w:rsidRPr="00732876">
        <w:rPr>
          <w:rFonts w:ascii="Arial" w:eastAsia="SimSun" w:hAnsi="Arial" w:cs="Arial"/>
          <w:sz w:val="22"/>
          <w:szCs w:val="22"/>
          <w:lang w:val="fr-FR"/>
        </w:rPr>
        <w:t xml:space="preserve">objections, </w:t>
      </w:r>
      <w:r>
        <w:rPr>
          <w:rFonts w:ascii="Arial" w:eastAsia="SimSun" w:hAnsi="Arial" w:cs="Arial"/>
          <w:sz w:val="22"/>
          <w:szCs w:val="22"/>
          <w:lang w:val="fr-FR"/>
        </w:rPr>
        <w:t xml:space="preserve">la </w:t>
      </w:r>
      <w:r w:rsidRPr="00732876">
        <w:rPr>
          <w:rFonts w:ascii="Arial" w:eastAsia="SimSun" w:hAnsi="Arial" w:cs="Arial"/>
          <w:b/>
          <w:bCs/>
          <w:sz w:val="22"/>
          <w:szCs w:val="22"/>
          <w:lang w:val="fr-FR"/>
        </w:rPr>
        <w:t>Présidente a déclaré la résolution 9.GA</w:t>
      </w:r>
      <w:r>
        <w:rPr>
          <w:rFonts w:ascii="Arial" w:eastAsia="SimSun" w:hAnsi="Arial" w:cs="Arial"/>
          <w:b/>
          <w:bCs/>
          <w:sz w:val="22"/>
          <w:szCs w:val="22"/>
          <w:lang w:val="fr-FR"/>
        </w:rPr>
        <w:t> </w:t>
      </w:r>
      <w:r w:rsidRPr="00732876">
        <w:rPr>
          <w:rFonts w:ascii="Arial" w:eastAsia="SimSun" w:hAnsi="Arial" w:cs="Arial"/>
          <w:b/>
          <w:bCs/>
          <w:sz w:val="22"/>
          <w:szCs w:val="22"/>
          <w:lang w:val="fr-FR"/>
        </w:rPr>
        <w:t>2</w:t>
      </w:r>
      <w:r>
        <w:rPr>
          <w:rFonts w:ascii="Arial" w:eastAsia="SimSun" w:hAnsi="Arial" w:cs="Arial"/>
          <w:b/>
          <w:bCs/>
          <w:sz w:val="22"/>
          <w:szCs w:val="22"/>
          <w:lang w:val="fr-FR"/>
        </w:rPr>
        <w:t xml:space="preserve"> adoptée</w:t>
      </w:r>
      <w:r w:rsidRPr="00732876">
        <w:rPr>
          <w:rFonts w:ascii="Arial" w:eastAsia="SimSun" w:hAnsi="Arial" w:cs="Arial"/>
          <w:sz w:val="22"/>
          <w:szCs w:val="22"/>
          <w:lang w:val="fr-FR"/>
        </w:rPr>
        <w:t>. Le Bureau se réuni</w:t>
      </w:r>
      <w:r>
        <w:rPr>
          <w:rFonts w:ascii="Arial" w:eastAsia="SimSun" w:hAnsi="Arial" w:cs="Arial"/>
          <w:sz w:val="22"/>
          <w:szCs w:val="22"/>
          <w:lang w:val="fr-FR"/>
        </w:rPr>
        <w:t>rait</w:t>
      </w:r>
      <w:r w:rsidRPr="00732876">
        <w:rPr>
          <w:rFonts w:ascii="Arial" w:eastAsia="SimSun" w:hAnsi="Arial" w:cs="Arial"/>
          <w:sz w:val="22"/>
          <w:szCs w:val="22"/>
          <w:lang w:val="fr-FR"/>
        </w:rPr>
        <w:t xml:space="preserve"> tous les matins pendant la durée de l</w:t>
      </w:r>
      <w:r w:rsidR="008E532B">
        <w:rPr>
          <w:rFonts w:ascii="Arial" w:eastAsia="SimSun" w:hAnsi="Arial" w:cs="Arial"/>
          <w:sz w:val="22"/>
          <w:szCs w:val="22"/>
          <w:lang w:val="fr-FR"/>
        </w:rPr>
        <w:t>’</w:t>
      </w:r>
      <w:r w:rsidRPr="00732876">
        <w:rPr>
          <w:rFonts w:ascii="Arial" w:eastAsia="SimSun" w:hAnsi="Arial" w:cs="Arial"/>
          <w:sz w:val="22"/>
          <w:szCs w:val="22"/>
          <w:lang w:val="fr-FR"/>
        </w:rPr>
        <w:t>Assemblée. Les réunions se déroule</w:t>
      </w:r>
      <w:r>
        <w:rPr>
          <w:rFonts w:ascii="Arial" w:eastAsia="SimSun" w:hAnsi="Arial" w:cs="Arial"/>
          <w:sz w:val="22"/>
          <w:szCs w:val="22"/>
          <w:lang w:val="fr-FR"/>
        </w:rPr>
        <w:t>raie</w:t>
      </w:r>
      <w:r w:rsidRPr="00732876">
        <w:rPr>
          <w:rFonts w:ascii="Arial" w:eastAsia="SimSun" w:hAnsi="Arial" w:cs="Arial"/>
          <w:sz w:val="22"/>
          <w:szCs w:val="22"/>
          <w:lang w:val="fr-FR"/>
        </w:rPr>
        <w:t xml:space="preserve">nt en anglais et en français, et les observateurs </w:t>
      </w:r>
      <w:r>
        <w:rPr>
          <w:rFonts w:ascii="Arial" w:eastAsia="SimSun" w:hAnsi="Arial" w:cs="Arial"/>
          <w:sz w:val="22"/>
          <w:szCs w:val="22"/>
          <w:lang w:val="fr-FR"/>
        </w:rPr>
        <w:t>étaient</w:t>
      </w:r>
      <w:r w:rsidRPr="00732876">
        <w:rPr>
          <w:rFonts w:ascii="Arial" w:eastAsia="SimSun" w:hAnsi="Arial" w:cs="Arial"/>
          <w:sz w:val="22"/>
          <w:szCs w:val="22"/>
          <w:lang w:val="fr-FR"/>
        </w:rPr>
        <w:t xml:space="preserve"> les bienvenus.</w:t>
      </w:r>
    </w:p>
    <w:p w14:paraId="4B26E04D" w14:textId="1A8D1A7F" w:rsidR="00D9653F" w:rsidRPr="009F6BC9" w:rsidRDefault="00D9653F" w:rsidP="00A96116">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9F6BC9">
        <w:rPr>
          <w:b/>
          <w:color w:val="000000" w:themeColor="text1"/>
          <w:u w:val="single"/>
          <w:lang w:val="fr-FR"/>
        </w:rPr>
        <w:t>POINT 3 DE L</w:t>
      </w:r>
      <w:r w:rsidR="008E532B">
        <w:rPr>
          <w:b/>
          <w:color w:val="000000" w:themeColor="text1"/>
          <w:u w:val="single"/>
          <w:lang w:val="fr-FR"/>
        </w:rPr>
        <w:t>’</w:t>
      </w:r>
      <w:r w:rsidRPr="009F6BC9">
        <w:rPr>
          <w:b/>
          <w:color w:val="000000" w:themeColor="text1"/>
          <w:u w:val="single"/>
          <w:lang w:val="fr-FR"/>
        </w:rPr>
        <w:t>ORDRE DU JOUR :</w:t>
      </w:r>
    </w:p>
    <w:p w14:paraId="65B155F8" w14:textId="323E38A1" w:rsidR="00D9653F" w:rsidRPr="00A96116" w:rsidRDefault="00D9653F" w:rsidP="00D76503">
      <w:pPr>
        <w:pStyle w:val="Marge"/>
        <w:keepNext/>
        <w:tabs>
          <w:tab w:val="clear" w:pos="567"/>
          <w:tab w:val="left" w:pos="709"/>
          <w:tab w:val="left" w:pos="1418"/>
          <w:tab w:val="left" w:pos="2126"/>
          <w:tab w:val="left" w:pos="2835"/>
        </w:tabs>
        <w:spacing w:after="120"/>
        <w:jc w:val="left"/>
        <w:outlineLvl w:val="0"/>
        <w:rPr>
          <w:rFonts w:eastAsiaTheme="minorHAnsi"/>
          <w:b/>
          <w:color w:val="000000" w:themeColor="text1"/>
          <w:lang w:val="fr-FR"/>
        </w:rPr>
      </w:pPr>
      <w:r w:rsidRPr="00A96116">
        <w:rPr>
          <w:rFonts w:eastAsiaTheme="minorHAnsi"/>
          <w:b/>
          <w:color w:val="000000" w:themeColor="text1"/>
          <w:lang w:val="fr-FR"/>
        </w:rPr>
        <w:t>ADOPTION DE L</w:t>
      </w:r>
      <w:r w:rsidR="008E532B">
        <w:rPr>
          <w:rFonts w:eastAsiaTheme="minorHAnsi"/>
          <w:b/>
          <w:color w:val="000000" w:themeColor="text1"/>
          <w:lang w:val="fr-FR"/>
        </w:rPr>
        <w:t>’</w:t>
      </w:r>
      <w:r w:rsidRPr="00A96116">
        <w:rPr>
          <w:rFonts w:eastAsiaTheme="minorHAnsi"/>
          <w:b/>
          <w:color w:val="000000" w:themeColor="text1"/>
          <w:lang w:val="fr-FR"/>
        </w:rPr>
        <w:t>ORDRE DU JOUR</w:t>
      </w:r>
    </w:p>
    <w:p w14:paraId="5F3BFE8F" w14:textId="3E3FD579" w:rsidR="00D9653F" w:rsidRPr="001E0BD1" w:rsidRDefault="00D9653F" w:rsidP="000438FF">
      <w:pPr>
        <w:tabs>
          <w:tab w:val="left" w:pos="567"/>
          <w:tab w:val="left" w:pos="2127"/>
        </w:tabs>
        <w:suppressAutoHyphens/>
        <w:autoSpaceDE w:val="0"/>
        <w:jc w:val="both"/>
        <w:rPr>
          <w:rFonts w:ascii="Arial" w:hAnsi="Arial" w:cs="Arial"/>
          <w:b/>
          <w:sz w:val="22"/>
          <w:szCs w:val="22"/>
          <w:lang w:val="fr-FR"/>
        </w:rPr>
      </w:pPr>
      <w:r w:rsidRPr="001E0BD1">
        <w:rPr>
          <w:rFonts w:ascii="Arial" w:hAnsi="Arial" w:cs="Arial"/>
          <w:b/>
          <w:sz w:val="22"/>
          <w:szCs w:val="22"/>
          <w:lang w:val="fr-FR"/>
        </w:rPr>
        <w:tab/>
      </w:r>
      <w:r w:rsidR="008E532B">
        <w:rPr>
          <w:rFonts w:ascii="Arial" w:hAnsi="Arial" w:cs="Arial"/>
          <w:b/>
          <w:sz w:val="22"/>
          <w:szCs w:val="22"/>
          <w:lang w:val="fr-FR"/>
        </w:rPr>
        <w:t>Documents</w:t>
      </w:r>
      <w:r w:rsidRPr="001E0BD1">
        <w:rPr>
          <w:rFonts w:ascii="Arial" w:hAnsi="Arial" w:cs="Arial"/>
          <w:b/>
          <w:sz w:val="22"/>
          <w:szCs w:val="22"/>
          <w:lang w:val="fr-FR"/>
        </w:rPr>
        <w:t> :</w:t>
      </w:r>
      <w:r w:rsidR="008E532B">
        <w:rPr>
          <w:rFonts w:ascii="Arial" w:hAnsi="Arial" w:cs="Arial"/>
          <w:b/>
          <w:sz w:val="22"/>
          <w:szCs w:val="22"/>
          <w:lang w:val="fr-FR"/>
        </w:rPr>
        <w:tab/>
      </w:r>
      <w:hyperlink r:id="rId18" w:history="1">
        <w:r w:rsidRPr="001E0BD1">
          <w:rPr>
            <w:rStyle w:val="Hyperlink"/>
            <w:rFonts w:ascii="Arial" w:hAnsi="Arial" w:cs="Arial"/>
            <w:bCs/>
            <w:i/>
            <w:iCs/>
            <w:sz w:val="22"/>
            <w:szCs w:val="22"/>
            <w:lang w:val="fr-FR"/>
          </w:rPr>
          <w:t>LHE/22/9.GA/3</w:t>
        </w:r>
      </w:hyperlink>
    </w:p>
    <w:p w14:paraId="1BA18A45" w14:textId="7AD9E699" w:rsidR="00D9653F" w:rsidRPr="000438FF" w:rsidRDefault="00D9653F" w:rsidP="000438FF">
      <w:pPr>
        <w:tabs>
          <w:tab w:val="left" w:pos="2127"/>
          <w:tab w:val="left" w:pos="2977"/>
        </w:tabs>
        <w:suppressAutoHyphens/>
        <w:autoSpaceDE w:val="0"/>
        <w:jc w:val="both"/>
        <w:rPr>
          <w:rFonts w:ascii="Arial" w:hAnsi="Arial" w:cs="Arial"/>
          <w:b/>
          <w:sz w:val="22"/>
          <w:szCs w:val="22"/>
        </w:rPr>
      </w:pPr>
      <w:r w:rsidRPr="001E0BD1">
        <w:rPr>
          <w:rFonts w:ascii="Arial" w:hAnsi="Arial" w:cs="Arial"/>
          <w:b/>
          <w:sz w:val="22"/>
          <w:szCs w:val="22"/>
          <w:lang w:val="fr-FR"/>
        </w:rPr>
        <w:tab/>
      </w:r>
      <w:hyperlink r:id="rId19" w:history="1">
        <w:r w:rsidRPr="000438FF">
          <w:rPr>
            <w:rStyle w:val="Hyperlink"/>
            <w:rFonts w:ascii="Arial" w:hAnsi="Arial" w:cs="Arial"/>
            <w:bCs/>
            <w:i/>
            <w:iCs/>
            <w:sz w:val="22"/>
            <w:szCs w:val="22"/>
          </w:rPr>
          <w:t>LHE/22/9.GA/INF.3.1 Rev.2</w:t>
        </w:r>
      </w:hyperlink>
    </w:p>
    <w:p w14:paraId="1F423623" w14:textId="14706349" w:rsidR="00D9653F" w:rsidRPr="000438FF" w:rsidRDefault="00D9653F" w:rsidP="000438FF">
      <w:pPr>
        <w:tabs>
          <w:tab w:val="left" w:pos="2127"/>
        </w:tabs>
        <w:suppressAutoHyphens/>
        <w:autoSpaceDE w:val="0"/>
        <w:jc w:val="both"/>
        <w:rPr>
          <w:rFonts w:ascii="Arial" w:hAnsi="Arial" w:cs="Arial"/>
          <w:bCs/>
          <w:i/>
          <w:iCs/>
          <w:sz w:val="22"/>
          <w:szCs w:val="22"/>
        </w:rPr>
      </w:pPr>
      <w:r w:rsidRPr="000438FF">
        <w:rPr>
          <w:rFonts w:ascii="Arial" w:hAnsi="Arial" w:cs="Arial"/>
          <w:b/>
          <w:sz w:val="22"/>
          <w:szCs w:val="22"/>
        </w:rPr>
        <w:tab/>
      </w:r>
      <w:hyperlink r:id="rId20" w:history="1">
        <w:r w:rsidRPr="000438FF">
          <w:rPr>
            <w:rStyle w:val="Hyperlink"/>
            <w:rFonts w:ascii="Arial" w:hAnsi="Arial" w:cs="Arial"/>
            <w:bCs/>
            <w:i/>
            <w:iCs/>
            <w:sz w:val="22"/>
            <w:szCs w:val="22"/>
          </w:rPr>
          <w:t>LHE/22/9.GA/INF.3.2 Rev.12</w:t>
        </w:r>
      </w:hyperlink>
      <w:r w:rsidRPr="000438FF">
        <w:rPr>
          <w:rFonts w:ascii="Arial" w:hAnsi="Arial" w:cs="Arial"/>
          <w:bCs/>
          <w:i/>
          <w:iCs/>
          <w:sz w:val="22"/>
          <w:szCs w:val="22"/>
        </w:rPr>
        <w:t xml:space="preserve"> </w:t>
      </w:r>
    </w:p>
    <w:p w14:paraId="51961704" w14:textId="7D432E99" w:rsidR="00D9653F" w:rsidRPr="00D76503" w:rsidRDefault="00D9653F" w:rsidP="000438FF">
      <w:pPr>
        <w:tabs>
          <w:tab w:val="left" w:pos="567"/>
          <w:tab w:val="left" w:pos="2127"/>
        </w:tabs>
        <w:suppressAutoHyphens/>
        <w:autoSpaceDE w:val="0"/>
        <w:spacing w:before="120" w:after="240"/>
        <w:jc w:val="both"/>
        <w:rPr>
          <w:rFonts w:ascii="Arial" w:hAnsi="Arial" w:cs="Arial"/>
          <w:bCs/>
          <w:i/>
          <w:iCs/>
          <w:sz w:val="22"/>
          <w:szCs w:val="22"/>
          <w:lang w:val="fr-FR"/>
        </w:rPr>
      </w:pPr>
      <w:r w:rsidRPr="000438FF">
        <w:rPr>
          <w:rFonts w:ascii="Arial" w:hAnsi="Arial" w:cs="Arial"/>
          <w:b/>
          <w:sz w:val="22"/>
          <w:szCs w:val="22"/>
        </w:rPr>
        <w:tab/>
      </w:r>
      <w:proofErr w:type="spellStart"/>
      <w:proofErr w:type="gramStart"/>
      <w:r w:rsidRPr="00D76503">
        <w:rPr>
          <w:rFonts w:ascii="Arial" w:eastAsiaTheme="minorEastAsia" w:hAnsi="Arial" w:cs="Arial"/>
          <w:b/>
          <w:snapToGrid w:val="0"/>
          <w:color w:val="000000" w:themeColor="text1"/>
          <w:sz w:val="22"/>
          <w:szCs w:val="22"/>
          <w:lang w:eastAsia="en-GB"/>
        </w:rPr>
        <w:t>Résolution</w:t>
      </w:r>
      <w:proofErr w:type="spellEnd"/>
      <w:r w:rsidRPr="00D76503">
        <w:rPr>
          <w:rFonts w:ascii="Arial" w:eastAsiaTheme="minorEastAsia" w:hAnsi="Arial" w:cs="Arial"/>
          <w:b/>
          <w:snapToGrid w:val="0"/>
          <w:color w:val="000000" w:themeColor="text1"/>
          <w:sz w:val="22"/>
          <w:szCs w:val="22"/>
          <w:lang w:eastAsia="en-GB"/>
        </w:rPr>
        <w:t> :</w:t>
      </w:r>
      <w:proofErr w:type="gramEnd"/>
      <w:r w:rsidRPr="001E0BD1">
        <w:rPr>
          <w:rFonts w:ascii="Arial" w:hAnsi="Arial" w:cs="Arial"/>
          <w:b/>
          <w:sz w:val="22"/>
          <w:szCs w:val="22"/>
          <w:lang w:val="fr-FR"/>
        </w:rPr>
        <w:t xml:space="preserve"> </w:t>
      </w:r>
      <w:r w:rsidR="00D76503">
        <w:rPr>
          <w:rFonts w:ascii="Arial" w:hAnsi="Arial" w:cs="Arial"/>
          <w:b/>
          <w:sz w:val="22"/>
          <w:szCs w:val="22"/>
          <w:lang w:val="fr-FR"/>
        </w:rPr>
        <w:tab/>
      </w:r>
      <w:hyperlink r:id="rId21" w:history="1">
        <w:r w:rsidRPr="001E0BD1">
          <w:rPr>
            <w:rStyle w:val="Hyperlink"/>
            <w:rFonts w:ascii="Arial" w:hAnsi="Arial" w:cs="Arial"/>
            <w:bCs/>
            <w:i/>
            <w:iCs/>
            <w:sz w:val="22"/>
            <w:szCs w:val="22"/>
            <w:lang w:val="fr-FR"/>
          </w:rPr>
          <w:t>9.GA 3</w:t>
        </w:r>
      </w:hyperlink>
    </w:p>
    <w:p w14:paraId="05FDCC46" w14:textId="33551301" w:rsidR="00D9653F" w:rsidRPr="001E0BD1" w:rsidRDefault="00D9653F" w:rsidP="00D76503">
      <w:pPr>
        <w:numPr>
          <w:ilvl w:val="0"/>
          <w:numId w:val="19"/>
        </w:numPr>
        <w:suppressAutoHyphens/>
        <w:autoSpaceDE w:val="0"/>
        <w:spacing w:before="120"/>
        <w:ind w:left="567" w:hanging="567"/>
        <w:jc w:val="both"/>
        <w:rPr>
          <w:rFonts w:ascii="Arial" w:eastAsia="SimSun" w:hAnsi="Arial" w:cs="Arial"/>
          <w:sz w:val="22"/>
          <w:szCs w:val="22"/>
          <w:lang w:val="fr-FR"/>
        </w:rPr>
      </w:pPr>
      <w:r w:rsidRPr="001E0BD1">
        <w:rPr>
          <w:rFonts w:ascii="Arial" w:eastAsia="SimSun" w:hAnsi="Arial" w:cs="Arial"/>
          <w:sz w:val="22"/>
          <w:szCs w:val="22"/>
          <w:lang w:val="fr-FR"/>
        </w:rPr>
        <w:t xml:space="preserve">Le </w:t>
      </w:r>
      <w:r w:rsidRPr="001E0BD1">
        <w:rPr>
          <w:rFonts w:ascii="Arial" w:eastAsia="SimSun" w:hAnsi="Arial" w:cs="Arial"/>
          <w:b/>
          <w:bCs/>
          <w:sz w:val="22"/>
          <w:szCs w:val="22"/>
          <w:lang w:val="fr-FR"/>
        </w:rPr>
        <w:t>Sous-</w:t>
      </w:r>
      <w:r>
        <w:rPr>
          <w:rFonts w:ascii="Arial" w:eastAsia="SimSun" w:hAnsi="Arial" w:cs="Arial"/>
          <w:b/>
          <w:bCs/>
          <w:sz w:val="22"/>
          <w:szCs w:val="22"/>
          <w:lang w:val="fr-FR"/>
        </w:rPr>
        <w:t>D</w:t>
      </w:r>
      <w:r w:rsidRPr="001E0BD1">
        <w:rPr>
          <w:rFonts w:ascii="Arial" w:eastAsia="SimSun" w:hAnsi="Arial" w:cs="Arial"/>
          <w:b/>
          <w:bCs/>
          <w:sz w:val="22"/>
          <w:szCs w:val="22"/>
          <w:lang w:val="fr-FR"/>
        </w:rPr>
        <w:t>irecteur général</w:t>
      </w:r>
      <w:r w:rsidRPr="001E0BD1">
        <w:rPr>
          <w:rFonts w:ascii="Arial" w:eastAsia="SimSun" w:hAnsi="Arial" w:cs="Arial"/>
          <w:sz w:val="22"/>
          <w:szCs w:val="22"/>
          <w:lang w:val="fr-FR"/>
        </w:rPr>
        <w:t xml:space="preserve"> </w:t>
      </w:r>
      <w:r>
        <w:rPr>
          <w:rFonts w:ascii="Arial" w:eastAsia="SimSun" w:hAnsi="Arial" w:cs="Arial"/>
          <w:sz w:val="22"/>
          <w:szCs w:val="22"/>
          <w:lang w:val="fr-FR"/>
        </w:rPr>
        <w:t xml:space="preserve">a </w:t>
      </w:r>
      <w:r w:rsidRPr="001E0BD1">
        <w:rPr>
          <w:rFonts w:ascii="Arial" w:eastAsia="SimSun" w:hAnsi="Arial" w:cs="Arial"/>
          <w:sz w:val="22"/>
          <w:szCs w:val="22"/>
          <w:lang w:val="fr-FR"/>
        </w:rPr>
        <w:t>présent</w:t>
      </w:r>
      <w:r>
        <w:rPr>
          <w:rFonts w:ascii="Arial" w:eastAsia="SimSun" w:hAnsi="Arial" w:cs="Arial"/>
          <w:sz w:val="22"/>
          <w:szCs w:val="22"/>
          <w:lang w:val="fr-FR"/>
        </w:rPr>
        <w:t>é</w:t>
      </w:r>
      <w:r w:rsidRPr="001E0BD1">
        <w:rPr>
          <w:rFonts w:ascii="Arial" w:eastAsia="SimSun" w:hAnsi="Arial" w:cs="Arial"/>
          <w:sz w:val="22"/>
          <w:szCs w:val="22"/>
          <w:lang w:val="fr-FR"/>
        </w:rPr>
        <w:t xml:space="preserve"> les documents de travail</w:t>
      </w:r>
      <w:r>
        <w:rPr>
          <w:rFonts w:ascii="Arial" w:eastAsia="SimSun" w:hAnsi="Arial" w:cs="Arial"/>
          <w:sz w:val="22"/>
          <w:szCs w:val="22"/>
          <w:lang w:val="fr-FR"/>
        </w:rPr>
        <w:t xml:space="preserve"> </w:t>
      </w:r>
      <w:r w:rsidRPr="001E0BD1">
        <w:rPr>
          <w:rFonts w:ascii="Arial" w:eastAsia="SimSun" w:hAnsi="Arial" w:cs="Arial"/>
          <w:sz w:val="22"/>
          <w:szCs w:val="22"/>
          <w:lang w:val="fr-FR"/>
        </w:rPr>
        <w:t>mis en ligne sur le site de la Convention en six langues. Cette Assemblée avait quinze points inscrits à l</w:t>
      </w:r>
      <w:r w:rsidR="008E532B">
        <w:rPr>
          <w:rFonts w:ascii="Arial" w:eastAsia="SimSun" w:hAnsi="Arial" w:cs="Arial"/>
          <w:sz w:val="22"/>
          <w:szCs w:val="22"/>
          <w:lang w:val="fr-FR"/>
        </w:rPr>
        <w:t>’</w:t>
      </w:r>
      <w:r w:rsidRPr="001E0BD1">
        <w:rPr>
          <w:rFonts w:ascii="Arial" w:eastAsia="SimSun" w:hAnsi="Arial" w:cs="Arial"/>
          <w:sz w:val="22"/>
          <w:szCs w:val="22"/>
          <w:lang w:val="fr-FR"/>
        </w:rPr>
        <w:t>ordre du jour provisoire. Après son adoption, l</w:t>
      </w:r>
      <w:r w:rsidR="008E532B">
        <w:rPr>
          <w:rFonts w:ascii="Arial" w:eastAsia="SimSun" w:hAnsi="Arial" w:cs="Arial"/>
          <w:sz w:val="22"/>
          <w:szCs w:val="22"/>
          <w:lang w:val="fr-FR"/>
        </w:rPr>
        <w:t>’</w:t>
      </w:r>
      <w:r w:rsidRPr="001E0BD1">
        <w:rPr>
          <w:rFonts w:ascii="Arial" w:eastAsia="SimSun" w:hAnsi="Arial" w:cs="Arial"/>
          <w:sz w:val="22"/>
          <w:szCs w:val="22"/>
          <w:lang w:val="fr-FR"/>
        </w:rPr>
        <w:t>Assemblée générale sera</w:t>
      </w:r>
      <w:r>
        <w:rPr>
          <w:rFonts w:ascii="Arial" w:eastAsia="SimSun" w:hAnsi="Arial" w:cs="Arial"/>
          <w:sz w:val="22"/>
          <w:szCs w:val="22"/>
          <w:lang w:val="fr-FR"/>
        </w:rPr>
        <w:t>it</w:t>
      </w:r>
      <w:r w:rsidRPr="001E0BD1">
        <w:rPr>
          <w:rFonts w:ascii="Arial" w:eastAsia="SimSun" w:hAnsi="Arial" w:cs="Arial"/>
          <w:sz w:val="22"/>
          <w:szCs w:val="22"/>
          <w:lang w:val="fr-FR"/>
        </w:rPr>
        <w:t xml:space="preserve"> appelée à examiner le point 4 sur la </w:t>
      </w:r>
      <w:r>
        <w:rPr>
          <w:rFonts w:ascii="Arial" w:eastAsia="SimSun" w:hAnsi="Arial" w:cs="Arial"/>
          <w:sz w:val="22"/>
          <w:szCs w:val="22"/>
          <w:lang w:val="fr-FR"/>
        </w:rPr>
        <w:t>distribution</w:t>
      </w:r>
      <w:r w:rsidRPr="001E0BD1">
        <w:rPr>
          <w:rFonts w:ascii="Arial" w:eastAsia="SimSun" w:hAnsi="Arial" w:cs="Arial"/>
          <w:sz w:val="22"/>
          <w:szCs w:val="22"/>
          <w:lang w:val="fr-FR"/>
        </w:rPr>
        <w:t xml:space="preserve"> des sièges au Comité par groupe électoral. Ce point serait suivi de deux rapports</w:t>
      </w:r>
      <w:r>
        <w:rPr>
          <w:rFonts w:ascii="Arial" w:eastAsia="SimSun" w:hAnsi="Arial" w:cs="Arial"/>
          <w:sz w:val="22"/>
          <w:szCs w:val="22"/>
          <w:lang w:val="fr-FR"/>
        </w:rPr>
        <w:t> </w:t>
      </w:r>
      <w:r w:rsidRPr="001E0BD1">
        <w:rPr>
          <w:rFonts w:ascii="Arial" w:eastAsia="SimSun" w:hAnsi="Arial" w:cs="Arial"/>
          <w:sz w:val="22"/>
          <w:szCs w:val="22"/>
          <w:lang w:val="fr-FR"/>
        </w:rPr>
        <w:t xml:space="preserve">: le point 5, le </w:t>
      </w:r>
      <w:r>
        <w:rPr>
          <w:rFonts w:ascii="Arial" w:eastAsia="SimSun" w:hAnsi="Arial" w:cs="Arial"/>
          <w:sz w:val="22"/>
          <w:szCs w:val="22"/>
          <w:lang w:val="fr-FR"/>
        </w:rPr>
        <w:t>R</w:t>
      </w:r>
      <w:r w:rsidRPr="001E0BD1">
        <w:rPr>
          <w:rFonts w:ascii="Arial" w:eastAsia="SimSun" w:hAnsi="Arial" w:cs="Arial"/>
          <w:sz w:val="22"/>
          <w:szCs w:val="22"/>
          <w:lang w:val="fr-FR"/>
        </w:rPr>
        <w:t>apport du Comité à l</w:t>
      </w:r>
      <w:r w:rsidR="008E532B">
        <w:rPr>
          <w:rFonts w:ascii="Arial" w:eastAsia="SimSun" w:hAnsi="Arial" w:cs="Arial"/>
          <w:sz w:val="22"/>
          <w:szCs w:val="22"/>
          <w:lang w:val="fr-FR"/>
        </w:rPr>
        <w:t>’</w:t>
      </w:r>
      <w:r w:rsidRPr="001E0BD1">
        <w:rPr>
          <w:rFonts w:ascii="Arial" w:eastAsia="SimSun" w:hAnsi="Arial" w:cs="Arial"/>
          <w:sz w:val="22"/>
          <w:szCs w:val="22"/>
          <w:lang w:val="fr-FR"/>
        </w:rPr>
        <w:t xml:space="preserve">Assemblée générale ; et le point 6, le </w:t>
      </w:r>
      <w:r>
        <w:rPr>
          <w:rFonts w:ascii="Arial" w:eastAsia="SimSun" w:hAnsi="Arial" w:cs="Arial"/>
          <w:sz w:val="22"/>
          <w:szCs w:val="22"/>
          <w:lang w:val="fr-FR"/>
        </w:rPr>
        <w:t>R</w:t>
      </w:r>
      <w:r w:rsidRPr="001E0BD1">
        <w:rPr>
          <w:rFonts w:ascii="Arial" w:eastAsia="SimSun" w:hAnsi="Arial" w:cs="Arial"/>
          <w:sz w:val="22"/>
          <w:szCs w:val="22"/>
          <w:lang w:val="fr-FR"/>
        </w:rPr>
        <w:t xml:space="preserve">apport du Secrétariat sur ses activités. Un </w:t>
      </w:r>
      <w:r>
        <w:rPr>
          <w:rFonts w:ascii="Arial" w:eastAsia="SimSun" w:hAnsi="Arial" w:cs="Arial"/>
          <w:sz w:val="22"/>
          <w:szCs w:val="22"/>
          <w:lang w:val="fr-FR"/>
        </w:rPr>
        <w:t>r</w:t>
      </w:r>
      <w:r w:rsidRPr="001E0BD1">
        <w:rPr>
          <w:rFonts w:ascii="Arial" w:eastAsia="SimSun" w:hAnsi="Arial" w:cs="Arial"/>
          <w:sz w:val="22"/>
          <w:szCs w:val="22"/>
          <w:lang w:val="fr-FR"/>
        </w:rPr>
        <w:t xml:space="preserve">apport oral du Forum des ONG du PCI serait également présenté. Au </w:t>
      </w:r>
      <w:r>
        <w:rPr>
          <w:rFonts w:ascii="Arial" w:eastAsia="SimSun" w:hAnsi="Arial" w:cs="Arial"/>
          <w:sz w:val="22"/>
          <w:szCs w:val="22"/>
          <w:lang w:val="fr-FR"/>
        </w:rPr>
        <w:t xml:space="preserve">titre du </w:t>
      </w:r>
      <w:r w:rsidRPr="001E0BD1">
        <w:rPr>
          <w:rFonts w:ascii="Arial" w:eastAsia="SimSun" w:hAnsi="Arial" w:cs="Arial"/>
          <w:sz w:val="22"/>
          <w:szCs w:val="22"/>
          <w:lang w:val="fr-FR"/>
        </w:rPr>
        <w:t>point 7, l</w:t>
      </w:r>
      <w:r w:rsidR="008E532B">
        <w:rPr>
          <w:rFonts w:ascii="Arial" w:eastAsia="SimSun" w:hAnsi="Arial" w:cs="Arial"/>
          <w:sz w:val="22"/>
          <w:szCs w:val="22"/>
          <w:lang w:val="fr-FR"/>
        </w:rPr>
        <w:t>’</w:t>
      </w:r>
      <w:r w:rsidRPr="001E0BD1">
        <w:rPr>
          <w:rFonts w:ascii="Arial" w:eastAsia="SimSun" w:hAnsi="Arial" w:cs="Arial"/>
          <w:sz w:val="22"/>
          <w:szCs w:val="22"/>
          <w:lang w:val="fr-FR"/>
        </w:rPr>
        <w:t>Assemblée examinera</w:t>
      </w:r>
      <w:r>
        <w:rPr>
          <w:rFonts w:ascii="Arial" w:eastAsia="SimSun" w:hAnsi="Arial" w:cs="Arial"/>
          <w:sz w:val="22"/>
          <w:szCs w:val="22"/>
          <w:lang w:val="fr-FR"/>
        </w:rPr>
        <w:t>it</w:t>
      </w:r>
      <w:r w:rsidRPr="001E0BD1">
        <w:rPr>
          <w:rFonts w:ascii="Arial" w:eastAsia="SimSun" w:hAnsi="Arial" w:cs="Arial"/>
          <w:sz w:val="22"/>
          <w:szCs w:val="22"/>
          <w:lang w:val="fr-FR"/>
        </w:rPr>
        <w:t xml:space="preserve"> l</w:t>
      </w:r>
      <w:r w:rsidR="008E532B">
        <w:rPr>
          <w:rFonts w:ascii="Arial" w:eastAsia="SimSun" w:hAnsi="Arial" w:cs="Arial"/>
          <w:sz w:val="22"/>
          <w:szCs w:val="22"/>
          <w:lang w:val="fr-FR"/>
        </w:rPr>
        <w:t>’</w:t>
      </w:r>
      <w:r w:rsidRPr="001E0BD1">
        <w:rPr>
          <w:rFonts w:ascii="Arial" w:eastAsia="SimSun" w:hAnsi="Arial" w:cs="Arial"/>
          <w:sz w:val="22"/>
          <w:szCs w:val="22"/>
          <w:lang w:val="fr-FR"/>
        </w:rPr>
        <w:t>accréditation des O</w:t>
      </w:r>
      <w:r>
        <w:rPr>
          <w:rFonts w:ascii="Arial" w:eastAsia="SimSun" w:hAnsi="Arial" w:cs="Arial"/>
          <w:sz w:val="22"/>
          <w:szCs w:val="22"/>
          <w:lang w:val="fr-FR"/>
        </w:rPr>
        <w:t>NG à des fins d</w:t>
      </w:r>
      <w:r w:rsidR="008E532B">
        <w:rPr>
          <w:rFonts w:ascii="Arial" w:eastAsia="SimSun" w:hAnsi="Arial" w:cs="Arial"/>
          <w:sz w:val="22"/>
          <w:szCs w:val="22"/>
          <w:lang w:val="fr-FR"/>
        </w:rPr>
        <w:t>’</w:t>
      </w:r>
      <w:r>
        <w:rPr>
          <w:rFonts w:ascii="Arial" w:eastAsia="SimSun" w:hAnsi="Arial" w:cs="Arial"/>
          <w:sz w:val="22"/>
          <w:szCs w:val="22"/>
          <w:lang w:val="fr-FR"/>
        </w:rPr>
        <w:t xml:space="preserve">assistance </w:t>
      </w:r>
      <w:r w:rsidRPr="00D03081">
        <w:rPr>
          <w:rFonts w:ascii="Arial" w:eastAsia="SimSun" w:hAnsi="Arial" w:cs="Arial"/>
          <w:sz w:val="22"/>
          <w:szCs w:val="22"/>
          <w:lang w:val="fr-FR"/>
        </w:rPr>
        <w:t>consultati</w:t>
      </w:r>
      <w:r>
        <w:rPr>
          <w:rFonts w:ascii="Arial" w:eastAsia="SimSun" w:hAnsi="Arial" w:cs="Arial"/>
          <w:sz w:val="22"/>
          <w:szCs w:val="22"/>
          <w:lang w:val="fr-FR"/>
        </w:rPr>
        <w:t xml:space="preserve">ve auprès </w:t>
      </w:r>
      <w:r w:rsidRPr="001E0BD1">
        <w:rPr>
          <w:rFonts w:ascii="Arial" w:eastAsia="SimSun" w:hAnsi="Arial" w:cs="Arial"/>
          <w:sz w:val="22"/>
          <w:szCs w:val="22"/>
          <w:lang w:val="fr-FR"/>
        </w:rPr>
        <w:t>du Comité. L</w:t>
      </w:r>
      <w:r w:rsidR="008E532B">
        <w:rPr>
          <w:rFonts w:ascii="Arial" w:eastAsia="SimSun" w:hAnsi="Arial" w:cs="Arial"/>
          <w:sz w:val="22"/>
          <w:szCs w:val="22"/>
          <w:lang w:val="fr-FR"/>
        </w:rPr>
        <w:t>’</w:t>
      </w:r>
      <w:r w:rsidRPr="001E0BD1">
        <w:rPr>
          <w:rFonts w:ascii="Arial" w:eastAsia="SimSun" w:hAnsi="Arial" w:cs="Arial"/>
          <w:sz w:val="22"/>
          <w:szCs w:val="22"/>
          <w:lang w:val="fr-FR"/>
        </w:rPr>
        <w:t>Assemblée ouvrira</w:t>
      </w:r>
      <w:r>
        <w:rPr>
          <w:rFonts w:ascii="Arial" w:eastAsia="SimSun" w:hAnsi="Arial" w:cs="Arial"/>
          <w:sz w:val="22"/>
          <w:szCs w:val="22"/>
          <w:lang w:val="fr-FR"/>
        </w:rPr>
        <w:t>it</w:t>
      </w:r>
      <w:r w:rsidRPr="001E0BD1">
        <w:rPr>
          <w:rFonts w:ascii="Arial" w:eastAsia="SimSun" w:hAnsi="Arial" w:cs="Arial"/>
          <w:sz w:val="22"/>
          <w:szCs w:val="22"/>
          <w:lang w:val="fr-FR"/>
        </w:rPr>
        <w:t xml:space="preserve"> ensuite le point 11 et l</w:t>
      </w:r>
      <w:r w:rsidR="008E532B">
        <w:rPr>
          <w:rFonts w:ascii="Arial" w:eastAsia="SimSun" w:hAnsi="Arial" w:cs="Arial"/>
          <w:sz w:val="22"/>
          <w:szCs w:val="22"/>
          <w:lang w:val="fr-FR"/>
        </w:rPr>
        <w:t>’</w:t>
      </w:r>
      <w:r w:rsidRPr="001E0BD1">
        <w:rPr>
          <w:rFonts w:ascii="Arial" w:eastAsia="SimSun" w:hAnsi="Arial" w:cs="Arial"/>
          <w:sz w:val="22"/>
          <w:szCs w:val="22"/>
          <w:lang w:val="fr-FR"/>
        </w:rPr>
        <w:t>élection du Comité intergouvernemental. Il sera</w:t>
      </w:r>
      <w:r>
        <w:rPr>
          <w:rFonts w:ascii="Arial" w:eastAsia="SimSun" w:hAnsi="Arial" w:cs="Arial"/>
          <w:sz w:val="22"/>
          <w:szCs w:val="22"/>
          <w:lang w:val="fr-FR"/>
        </w:rPr>
        <w:t>it</w:t>
      </w:r>
      <w:r w:rsidRPr="001E0BD1">
        <w:rPr>
          <w:rFonts w:ascii="Arial" w:eastAsia="SimSun" w:hAnsi="Arial" w:cs="Arial"/>
          <w:sz w:val="22"/>
          <w:szCs w:val="22"/>
          <w:lang w:val="fr-FR"/>
        </w:rPr>
        <w:t xml:space="preserve"> suivi du point 8, l</w:t>
      </w:r>
      <w:r w:rsidR="008E532B">
        <w:rPr>
          <w:rFonts w:ascii="Arial" w:eastAsia="SimSun" w:hAnsi="Arial" w:cs="Arial"/>
          <w:sz w:val="22"/>
          <w:szCs w:val="22"/>
          <w:lang w:val="fr-FR"/>
        </w:rPr>
        <w:t>’</w:t>
      </w:r>
      <w:r w:rsidRPr="001E0BD1">
        <w:rPr>
          <w:rFonts w:ascii="Arial" w:eastAsia="SimSun" w:hAnsi="Arial" w:cs="Arial"/>
          <w:sz w:val="22"/>
          <w:szCs w:val="22"/>
          <w:lang w:val="fr-FR"/>
        </w:rPr>
        <w:t xml:space="preserve">approbation de la procédure </w:t>
      </w:r>
      <w:r>
        <w:rPr>
          <w:rFonts w:ascii="Arial" w:eastAsia="SimSun" w:hAnsi="Arial" w:cs="Arial"/>
          <w:sz w:val="22"/>
          <w:szCs w:val="22"/>
          <w:lang w:val="fr-FR"/>
        </w:rPr>
        <w:t>suivie pour l</w:t>
      </w:r>
      <w:r w:rsidR="008E532B">
        <w:rPr>
          <w:rFonts w:ascii="Arial" w:eastAsia="SimSun" w:hAnsi="Arial" w:cs="Arial"/>
          <w:sz w:val="22"/>
          <w:szCs w:val="22"/>
          <w:lang w:val="fr-FR"/>
        </w:rPr>
        <w:t>’</w:t>
      </w:r>
      <w:r w:rsidRPr="001E0BD1">
        <w:rPr>
          <w:rFonts w:ascii="Arial" w:eastAsia="SimSun" w:hAnsi="Arial" w:cs="Arial"/>
          <w:sz w:val="22"/>
          <w:szCs w:val="22"/>
          <w:lang w:val="fr-FR"/>
        </w:rPr>
        <w:t>inscription de la</w:t>
      </w:r>
      <w:r>
        <w:rPr>
          <w:rFonts w:ascii="Arial" w:eastAsia="SimSun" w:hAnsi="Arial" w:cs="Arial"/>
          <w:sz w:val="22"/>
          <w:szCs w:val="22"/>
          <w:lang w:val="fr-FR"/>
        </w:rPr>
        <w:t xml:space="preserve"> « S</w:t>
      </w:r>
      <w:r w:rsidRPr="001E0BD1">
        <w:rPr>
          <w:rFonts w:ascii="Arial" w:eastAsia="SimSun" w:hAnsi="Arial" w:cs="Arial"/>
          <w:sz w:val="22"/>
          <w:szCs w:val="22"/>
          <w:lang w:val="fr-FR"/>
        </w:rPr>
        <w:t xml:space="preserve">oupe </w:t>
      </w:r>
      <w:r>
        <w:rPr>
          <w:rFonts w:ascii="Arial" w:eastAsia="SimSun" w:hAnsi="Arial" w:cs="Arial"/>
          <w:sz w:val="22"/>
          <w:szCs w:val="22"/>
          <w:lang w:val="fr-FR"/>
        </w:rPr>
        <w:t xml:space="preserve">au giraumon » </w:t>
      </w:r>
      <w:r w:rsidRPr="001E0BD1">
        <w:rPr>
          <w:rFonts w:ascii="Arial" w:eastAsia="SimSun" w:hAnsi="Arial" w:cs="Arial"/>
          <w:sz w:val="22"/>
          <w:szCs w:val="22"/>
          <w:lang w:val="fr-FR"/>
        </w:rPr>
        <w:t xml:space="preserve">sur la </w:t>
      </w:r>
      <w:r>
        <w:rPr>
          <w:rFonts w:ascii="Arial" w:eastAsia="SimSun" w:hAnsi="Arial" w:cs="Arial"/>
          <w:sz w:val="22"/>
          <w:szCs w:val="22"/>
          <w:lang w:val="fr-FR"/>
        </w:rPr>
        <w:t>L</w:t>
      </w:r>
      <w:r w:rsidRPr="001E0BD1">
        <w:rPr>
          <w:rFonts w:ascii="Arial" w:eastAsia="SimSun" w:hAnsi="Arial" w:cs="Arial"/>
          <w:sz w:val="22"/>
          <w:szCs w:val="22"/>
          <w:lang w:val="fr-FR"/>
        </w:rPr>
        <w:t>iste représentative</w:t>
      </w:r>
      <w:r>
        <w:rPr>
          <w:rFonts w:ascii="Arial" w:eastAsia="SimSun" w:hAnsi="Arial" w:cs="Arial"/>
          <w:sz w:val="22"/>
          <w:szCs w:val="22"/>
          <w:lang w:val="fr-FR"/>
        </w:rPr>
        <w:t>,</w:t>
      </w:r>
      <w:r w:rsidRPr="001E0BD1">
        <w:rPr>
          <w:rFonts w:ascii="Arial" w:eastAsia="SimSun" w:hAnsi="Arial" w:cs="Arial"/>
          <w:sz w:val="22"/>
          <w:szCs w:val="22"/>
          <w:lang w:val="fr-FR"/>
        </w:rPr>
        <w:t xml:space="preserve"> soumise par Haïti. Le point 9 concernait la réflexion globale sur les mécanismes d</w:t>
      </w:r>
      <w:r w:rsidR="008E532B">
        <w:rPr>
          <w:rFonts w:ascii="Arial" w:eastAsia="SimSun" w:hAnsi="Arial" w:cs="Arial"/>
          <w:sz w:val="22"/>
          <w:szCs w:val="22"/>
          <w:lang w:val="fr-FR"/>
        </w:rPr>
        <w:t>’</w:t>
      </w:r>
      <w:r w:rsidRPr="001E0BD1">
        <w:rPr>
          <w:rFonts w:ascii="Arial" w:eastAsia="SimSun" w:hAnsi="Arial" w:cs="Arial"/>
          <w:sz w:val="22"/>
          <w:szCs w:val="22"/>
          <w:lang w:val="fr-FR"/>
        </w:rPr>
        <w:t>inscription</w:t>
      </w:r>
      <w:r>
        <w:rPr>
          <w:rFonts w:ascii="Arial" w:eastAsia="SimSun" w:hAnsi="Arial" w:cs="Arial"/>
          <w:sz w:val="22"/>
          <w:szCs w:val="22"/>
          <w:lang w:val="fr-FR"/>
        </w:rPr>
        <w:t xml:space="preserve"> sur les listes</w:t>
      </w:r>
      <w:r w:rsidRPr="001E0BD1">
        <w:rPr>
          <w:rFonts w:ascii="Arial" w:eastAsia="SimSun" w:hAnsi="Arial" w:cs="Arial"/>
          <w:sz w:val="22"/>
          <w:szCs w:val="22"/>
          <w:lang w:val="fr-FR"/>
        </w:rPr>
        <w:t xml:space="preserve"> de la Convention et les</w:t>
      </w:r>
      <w:r>
        <w:rPr>
          <w:rFonts w:ascii="Arial" w:eastAsia="SimSun" w:hAnsi="Arial" w:cs="Arial"/>
          <w:sz w:val="22"/>
          <w:szCs w:val="22"/>
          <w:lang w:val="fr-FR"/>
        </w:rPr>
        <w:t xml:space="preserve"> </w:t>
      </w:r>
      <w:r w:rsidRPr="001E0BD1">
        <w:rPr>
          <w:rFonts w:ascii="Arial" w:eastAsia="SimSun" w:hAnsi="Arial" w:cs="Arial"/>
          <w:sz w:val="22"/>
          <w:szCs w:val="22"/>
          <w:lang w:val="fr-FR"/>
        </w:rPr>
        <w:t>révision</w:t>
      </w:r>
      <w:r>
        <w:rPr>
          <w:rFonts w:ascii="Arial" w:eastAsia="SimSun" w:hAnsi="Arial" w:cs="Arial"/>
          <w:sz w:val="22"/>
          <w:szCs w:val="22"/>
          <w:lang w:val="fr-FR"/>
        </w:rPr>
        <w:t>s proposées</w:t>
      </w:r>
      <w:r w:rsidRPr="001E0BD1">
        <w:rPr>
          <w:rFonts w:ascii="Arial" w:eastAsia="SimSun" w:hAnsi="Arial" w:cs="Arial"/>
          <w:sz w:val="22"/>
          <w:szCs w:val="22"/>
          <w:lang w:val="fr-FR"/>
        </w:rPr>
        <w:t xml:space="preserve"> </w:t>
      </w:r>
      <w:r>
        <w:rPr>
          <w:rFonts w:ascii="Arial" w:eastAsia="SimSun" w:hAnsi="Arial" w:cs="Arial"/>
          <w:sz w:val="22"/>
          <w:szCs w:val="22"/>
          <w:lang w:val="fr-FR"/>
        </w:rPr>
        <w:t>aux D</w:t>
      </w:r>
      <w:r w:rsidRPr="001E0BD1">
        <w:rPr>
          <w:rFonts w:ascii="Arial" w:eastAsia="SimSun" w:hAnsi="Arial" w:cs="Arial"/>
          <w:sz w:val="22"/>
          <w:szCs w:val="22"/>
          <w:lang w:val="fr-FR"/>
        </w:rPr>
        <w:t>irectives opérationnelles. L</w:t>
      </w:r>
      <w:r w:rsidR="008E532B">
        <w:rPr>
          <w:rFonts w:ascii="Arial" w:eastAsia="SimSun" w:hAnsi="Arial" w:cs="Arial"/>
          <w:sz w:val="22"/>
          <w:szCs w:val="22"/>
          <w:lang w:val="fr-FR"/>
        </w:rPr>
        <w:t>’</w:t>
      </w:r>
      <w:r w:rsidRPr="001E0BD1">
        <w:rPr>
          <w:rFonts w:ascii="Arial" w:eastAsia="SimSun" w:hAnsi="Arial" w:cs="Arial"/>
          <w:sz w:val="22"/>
          <w:szCs w:val="22"/>
          <w:lang w:val="fr-FR"/>
        </w:rPr>
        <w:t>Assemblée examinera</w:t>
      </w:r>
      <w:r>
        <w:rPr>
          <w:rFonts w:ascii="Arial" w:eastAsia="SimSun" w:hAnsi="Arial" w:cs="Arial"/>
          <w:sz w:val="22"/>
          <w:szCs w:val="22"/>
          <w:lang w:val="fr-FR"/>
        </w:rPr>
        <w:t>it</w:t>
      </w:r>
      <w:r w:rsidRPr="001E0BD1">
        <w:rPr>
          <w:rFonts w:ascii="Arial" w:eastAsia="SimSun" w:hAnsi="Arial" w:cs="Arial"/>
          <w:sz w:val="22"/>
          <w:szCs w:val="22"/>
          <w:lang w:val="fr-FR"/>
        </w:rPr>
        <w:t xml:space="preserve"> ensuite le point 10, l</w:t>
      </w:r>
      <w:r w:rsidR="008E532B">
        <w:rPr>
          <w:rFonts w:ascii="Arial" w:eastAsia="SimSun" w:hAnsi="Arial" w:cs="Arial"/>
          <w:sz w:val="22"/>
          <w:szCs w:val="22"/>
          <w:lang w:val="fr-FR"/>
        </w:rPr>
        <w:t>’</w:t>
      </w:r>
      <w:r w:rsidRPr="001E0BD1">
        <w:rPr>
          <w:rFonts w:ascii="Arial" w:eastAsia="SimSun" w:hAnsi="Arial" w:cs="Arial"/>
          <w:sz w:val="22"/>
          <w:szCs w:val="22"/>
          <w:lang w:val="fr-FR"/>
        </w:rPr>
        <w:t>utilisation des ressources du Fonds du patrimoine culturel immatériel. Le point 11 sera</w:t>
      </w:r>
      <w:r>
        <w:rPr>
          <w:rFonts w:ascii="Arial" w:eastAsia="SimSun" w:hAnsi="Arial" w:cs="Arial"/>
          <w:sz w:val="22"/>
          <w:szCs w:val="22"/>
          <w:lang w:val="fr-FR"/>
        </w:rPr>
        <w:t>it</w:t>
      </w:r>
      <w:r w:rsidRPr="001E0BD1">
        <w:rPr>
          <w:rFonts w:ascii="Arial" w:eastAsia="SimSun" w:hAnsi="Arial" w:cs="Arial"/>
          <w:sz w:val="22"/>
          <w:szCs w:val="22"/>
          <w:lang w:val="fr-FR"/>
        </w:rPr>
        <w:t xml:space="preserve"> rouvert pour formaliser les résultats des élections avant de passer à l</w:t>
      </w:r>
      <w:r w:rsidR="008E532B">
        <w:rPr>
          <w:rFonts w:ascii="Arial" w:eastAsia="SimSun" w:hAnsi="Arial" w:cs="Arial"/>
          <w:sz w:val="22"/>
          <w:szCs w:val="22"/>
          <w:lang w:val="fr-FR"/>
        </w:rPr>
        <w:t>’</w:t>
      </w:r>
      <w:r w:rsidRPr="001E0BD1">
        <w:rPr>
          <w:rFonts w:ascii="Arial" w:eastAsia="SimSun" w:hAnsi="Arial" w:cs="Arial"/>
          <w:sz w:val="22"/>
          <w:szCs w:val="22"/>
          <w:lang w:val="fr-FR"/>
        </w:rPr>
        <w:t xml:space="preserve">examen des révisions </w:t>
      </w:r>
      <w:r>
        <w:rPr>
          <w:rFonts w:ascii="Arial" w:eastAsia="SimSun" w:hAnsi="Arial" w:cs="Arial"/>
          <w:sz w:val="22"/>
          <w:szCs w:val="22"/>
          <w:lang w:val="fr-FR"/>
        </w:rPr>
        <w:t xml:space="preserve">proposées au </w:t>
      </w:r>
      <w:r w:rsidRPr="001E0BD1">
        <w:rPr>
          <w:rFonts w:ascii="Arial" w:eastAsia="SimSun" w:hAnsi="Arial" w:cs="Arial"/>
          <w:sz w:val="22"/>
          <w:szCs w:val="22"/>
          <w:lang w:val="fr-FR"/>
        </w:rPr>
        <w:t>Règlement intérieur de l</w:t>
      </w:r>
      <w:r w:rsidR="008E532B">
        <w:rPr>
          <w:rFonts w:ascii="Arial" w:eastAsia="SimSun" w:hAnsi="Arial" w:cs="Arial"/>
          <w:sz w:val="22"/>
          <w:szCs w:val="22"/>
          <w:lang w:val="fr-FR"/>
        </w:rPr>
        <w:t>’</w:t>
      </w:r>
      <w:r w:rsidRPr="001E0BD1">
        <w:rPr>
          <w:rFonts w:ascii="Arial" w:eastAsia="SimSun" w:hAnsi="Arial" w:cs="Arial"/>
          <w:sz w:val="22"/>
          <w:szCs w:val="22"/>
          <w:lang w:val="fr-FR"/>
        </w:rPr>
        <w:t>Assemblée générale au point 12. L</w:t>
      </w:r>
      <w:r w:rsidR="008E532B">
        <w:rPr>
          <w:rFonts w:ascii="Arial" w:eastAsia="SimSun" w:hAnsi="Arial" w:cs="Arial"/>
          <w:sz w:val="22"/>
          <w:szCs w:val="22"/>
          <w:lang w:val="fr-FR"/>
        </w:rPr>
        <w:t>’</w:t>
      </w:r>
      <w:r w:rsidRPr="001E0BD1">
        <w:rPr>
          <w:rFonts w:ascii="Arial" w:eastAsia="SimSun" w:hAnsi="Arial" w:cs="Arial"/>
          <w:sz w:val="22"/>
          <w:szCs w:val="22"/>
          <w:lang w:val="fr-FR"/>
        </w:rPr>
        <w:t>Assemblée examinera</w:t>
      </w:r>
      <w:r>
        <w:rPr>
          <w:rFonts w:ascii="Arial" w:eastAsia="SimSun" w:hAnsi="Arial" w:cs="Arial"/>
          <w:sz w:val="22"/>
          <w:szCs w:val="22"/>
          <w:lang w:val="fr-FR"/>
        </w:rPr>
        <w:t>it</w:t>
      </w:r>
      <w:r w:rsidRPr="001E0BD1">
        <w:rPr>
          <w:rFonts w:ascii="Arial" w:eastAsia="SimSun" w:hAnsi="Arial" w:cs="Arial"/>
          <w:sz w:val="22"/>
          <w:szCs w:val="22"/>
          <w:lang w:val="fr-FR"/>
        </w:rPr>
        <w:t xml:space="preserve"> ensuite le point 13 relatif à la proposition de célébration du </w:t>
      </w:r>
      <w:r>
        <w:rPr>
          <w:rFonts w:ascii="Arial" w:eastAsia="SimSun" w:hAnsi="Arial" w:cs="Arial"/>
          <w:sz w:val="22"/>
          <w:szCs w:val="22"/>
          <w:lang w:val="fr-FR"/>
        </w:rPr>
        <w:t>vingtième</w:t>
      </w:r>
      <w:r w:rsidRPr="001E0BD1">
        <w:rPr>
          <w:rFonts w:ascii="Arial" w:eastAsia="SimSun" w:hAnsi="Arial" w:cs="Arial"/>
          <w:sz w:val="22"/>
          <w:szCs w:val="22"/>
          <w:lang w:val="fr-FR"/>
        </w:rPr>
        <w:t xml:space="preserve"> anniversaire de la Convention en 2023, avant les </w:t>
      </w:r>
      <w:r>
        <w:rPr>
          <w:rFonts w:ascii="Arial" w:eastAsia="SimSun" w:hAnsi="Arial" w:cs="Arial"/>
          <w:sz w:val="22"/>
          <w:szCs w:val="22"/>
          <w:lang w:val="fr-FR"/>
        </w:rPr>
        <w:t>« Q</w:t>
      </w:r>
      <w:r w:rsidRPr="001E0BD1">
        <w:rPr>
          <w:rFonts w:ascii="Arial" w:eastAsia="SimSun" w:hAnsi="Arial" w:cs="Arial"/>
          <w:sz w:val="22"/>
          <w:szCs w:val="22"/>
          <w:lang w:val="fr-FR"/>
        </w:rPr>
        <w:t>uestions diverses</w:t>
      </w:r>
      <w:r>
        <w:rPr>
          <w:rFonts w:ascii="Arial" w:eastAsia="SimSun" w:hAnsi="Arial" w:cs="Arial"/>
          <w:sz w:val="22"/>
          <w:szCs w:val="22"/>
          <w:lang w:val="fr-FR"/>
        </w:rPr>
        <w:t> »</w:t>
      </w:r>
      <w:r w:rsidRPr="001E0BD1">
        <w:rPr>
          <w:rFonts w:ascii="Arial" w:eastAsia="SimSun" w:hAnsi="Arial" w:cs="Arial"/>
          <w:sz w:val="22"/>
          <w:szCs w:val="22"/>
          <w:lang w:val="fr-FR"/>
        </w:rPr>
        <w:t xml:space="preserve"> au </w:t>
      </w:r>
      <w:r>
        <w:rPr>
          <w:rFonts w:ascii="Arial" w:eastAsia="SimSun" w:hAnsi="Arial" w:cs="Arial"/>
          <w:sz w:val="22"/>
          <w:szCs w:val="22"/>
          <w:lang w:val="fr-FR"/>
        </w:rPr>
        <w:t xml:space="preserve">titre du </w:t>
      </w:r>
      <w:r w:rsidRPr="001E0BD1">
        <w:rPr>
          <w:rFonts w:ascii="Arial" w:eastAsia="SimSun" w:hAnsi="Arial" w:cs="Arial"/>
          <w:sz w:val="22"/>
          <w:szCs w:val="22"/>
          <w:lang w:val="fr-FR"/>
        </w:rPr>
        <w:t>point 14.</w:t>
      </w:r>
    </w:p>
    <w:p w14:paraId="74924868" w14:textId="6B788EC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97377">
        <w:rPr>
          <w:rFonts w:ascii="Arial" w:hAnsi="Arial" w:cs="Arial"/>
          <w:bCs/>
          <w:sz w:val="22"/>
          <w:szCs w:val="22"/>
          <w:lang w:val="fr-FR"/>
        </w:rPr>
        <w:t xml:space="preserve">La </w:t>
      </w:r>
      <w:r w:rsidRPr="00197377">
        <w:rPr>
          <w:rFonts w:ascii="Arial" w:hAnsi="Arial" w:cs="Arial"/>
          <w:b/>
          <w:sz w:val="22"/>
          <w:szCs w:val="22"/>
          <w:lang w:val="fr-FR"/>
        </w:rPr>
        <w:t>Présidente</w:t>
      </w:r>
      <w:r w:rsidRPr="00197377">
        <w:rPr>
          <w:rFonts w:ascii="Arial" w:hAnsi="Arial" w:cs="Arial"/>
          <w:bCs/>
          <w:sz w:val="22"/>
          <w:szCs w:val="22"/>
          <w:lang w:val="fr-FR"/>
        </w:rPr>
        <w:t xml:space="preserve"> </w:t>
      </w:r>
      <w:r>
        <w:rPr>
          <w:rFonts w:ascii="Arial" w:hAnsi="Arial" w:cs="Arial"/>
          <w:bCs/>
          <w:sz w:val="22"/>
          <w:szCs w:val="22"/>
          <w:lang w:val="fr-FR"/>
        </w:rPr>
        <w:t xml:space="preserve">a </w:t>
      </w:r>
      <w:r w:rsidRPr="00197377">
        <w:rPr>
          <w:rFonts w:ascii="Arial" w:hAnsi="Arial" w:cs="Arial"/>
          <w:bCs/>
          <w:sz w:val="22"/>
          <w:szCs w:val="22"/>
          <w:lang w:val="fr-FR"/>
        </w:rPr>
        <w:t>rappel</w:t>
      </w:r>
      <w:r>
        <w:rPr>
          <w:rFonts w:ascii="Arial" w:hAnsi="Arial" w:cs="Arial"/>
          <w:bCs/>
          <w:sz w:val="22"/>
          <w:szCs w:val="22"/>
          <w:lang w:val="fr-FR"/>
        </w:rPr>
        <w:t>é</w:t>
      </w:r>
      <w:r w:rsidRPr="00197377">
        <w:rPr>
          <w:rFonts w:ascii="Arial" w:hAnsi="Arial" w:cs="Arial"/>
          <w:bCs/>
          <w:sz w:val="22"/>
          <w:szCs w:val="22"/>
          <w:lang w:val="fr-FR"/>
        </w:rPr>
        <w:t xml:space="preserve"> à l</w:t>
      </w:r>
      <w:r w:rsidR="008E532B">
        <w:rPr>
          <w:rFonts w:ascii="Arial" w:hAnsi="Arial" w:cs="Arial"/>
          <w:bCs/>
          <w:sz w:val="22"/>
          <w:szCs w:val="22"/>
          <w:lang w:val="fr-FR"/>
        </w:rPr>
        <w:t>’</w:t>
      </w:r>
      <w:r w:rsidRPr="00197377">
        <w:rPr>
          <w:rFonts w:ascii="Arial" w:hAnsi="Arial" w:cs="Arial"/>
          <w:bCs/>
          <w:sz w:val="22"/>
          <w:szCs w:val="22"/>
          <w:lang w:val="fr-FR"/>
        </w:rPr>
        <w:t>Assemblée que le Bureau adaptera</w:t>
      </w:r>
      <w:r>
        <w:rPr>
          <w:rFonts w:ascii="Arial" w:hAnsi="Arial" w:cs="Arial"/>
          <w:bCs/>
          <w:sz w:val="22"/>
          <w:szCs w:val="22"/>
          <w:lang w:val="fr-FR"/>
        </w:rPr>
        <w:t>it</w:t>
      </w:r>
      <w:r w:rsidRPr="00197377">
        <w:rPr>
          <w:rFonts w:ascii="Arial" w:hAnsi="Arial" w:cs="Arial"/>
          <w:bCs/>
          <w:sz w:val="22"/>
          <w:szCs w:val="22"/>
          <w:lang w:val="fr-FR"/>
        </w:rPr>
        <w:t xml:space="preserve"> l</w:t>
      </w:r>
      <w:r>
        <w:rPr>
          <w:rFonts w:ascii="Arial" w:hAnsi="Arial" w:cs="Arial"/>
          <w:bCs/>
          <w:sz w:val="22"/>
          <w:szCs w:val="22"/>
          <w:lang w:val="fr-FR"/>
        </w:rPr>
        <w:t xml:space="preserve">e calendrier </w:t>
      </w:r>
      <w:r w:rsidRPr="00197377">
        <w:rPr>
          <w:rFonts w:ascii="Arial" w:hAnsi="Arial" w:cs="Arial"/>
          <w:bCs/>
          <w:sz w:val="22"/>
          <w:szCs w:val="22"/>
          <w:lang w:val="fr-FR"/>
        </w:rPr>
        <w:t>provisoire chaque matin en fonction des besoins. En l</w:t>
      </w:r>
      <w:r w:rsidR="008E532B">
        <w:rPr>
          <w:rFonts w:ascii="Arial" w:hAnsi="Arial" w:cs="Arial"/>
          <w:bCs/>
          <w:sz w:val="22"/>
          <w:szCs w:val="22"/>
          <w:lang w:val="fr-FR"/>
        </w:rPr>
        <w:t>’</w:t>
      </w:r>
      <w:r w:rsidRPr="00197377">
        <w:rPr>
          <w:rFonts w:ascii="Arial" w:hAnsi="Arial" w:cs="Arial"/>
          <w:bCs/>
          <w:sz w:val="22"/>
          <w:szCs w:val="22"/>
          <w:lang w:val="fr-FR"/>
        </w:rPr>
        <w:t>absence de commentaires ou d</w:t>
      </w:r>
      <w:r w:rsidR="008E532B">
        <w:rPr>
          <w:rFonts w:ascii="Arial" w:hAnsi="Arial" w:cs="Arial"/>
          <w:bCs/>
          <w:sz w:val="22"/>
          <w:szCs w:val="22"/>
          <w:lang w:val="fr-FR"/>
        </w:rPr>
        <w:t>’</w:t>
      </w:r>
      <w:r w:rsidRPr="00197377">
        <w:rPr>
          <w:rFonts w:ascii="Arial" w:hAnsi="Arial" w:cs="Arial"/>
          <w:bCs/>
          <w:sz w:val="22"/>
          <w:szCs w:val="22"/>
          <w:lang w:val="fr-FR"/>
        </w:rPr>
        <w:t xml:space="preserve">objections, la </w:t>
      </w:r>
      <w:r w:rsidRPr="00197377">
        <w:rPr>
          <w:rFonts w:ascii="Arial" w:hAnsi="Arial" w:cs="Arial"/>
          <w:b/>
          <w:sz w:val="22"/>
          <w:szCs w:val="22"/>
          <w:lang w:val="fr-FR"/>
        </w:rPr>
        <w:t>Présidente a déclaré la résolution 9.GA</w:t>
      </w:r>
      <w:r>
        <w:rPr>
          <w:rFonts w:ascii="Arial" w:hAnsi="Arial" w:cs="Arial"/>
          <w:b/>
          <w:sz w:val="22"/>
          <w:szCs w:val="22"/>
          <w:lang w:val="fr-FR"/>
        </w:rPr>
        <w:t> </w:t>
      </w:r>
      <w:r w:rsidRPr="00197377">
        <w:rPr>
          <w:rFonts w:ascii="Arial" w:hAnsi="Arial" w:cs="Arial"/>
          <w:b/>
          <w:sz w:val="22"/>
          <w:szCs w:val="22"/>
          <w:lang w:val="fr-FR"/>
        </w:rPr>
        <w:t>3 adoptée</w:t>
      </w:r>
      <w:r w:rsidRPr="00197377">
        <w:rPr>
          <w:rFonts w:ascii="Arial" w:hAnsi="Arial" w:cs="Arial"/>
          <w:bCs/>
          <w:sz w:val="22"/>
          <w:szCs w:val="22"/>
          <w:lang w:val="fr-FR"/>
        </w:rPr>
        <w:t>.</w:t>
      </w:r>
    </w:p>
    <w:p w14:paraId="701165BD" w14:textId="1D8E75A7" w:rsidR="00D9653F" w:rsidRPr="00D76503" w:rsidRDefault="00D9653F" w:rsidP="00D76503">
      <w:pPr>
        <w:numPr>
          <w:ilvl w:val="0"/>
          <w:numId w:val="19"/>
        </w:numPr>
        <w:suppressAutoHyphens/>
        <w:autoSpaceDE w:val="0"/>
        <w:spacing w:before="120"/>
        <w:ind w:left="567" w:hanging="567"/>
        <w:jc w:val="both"/>
        <w:rPr>
          <w:rFonts w:ascii="Arial" w:hAnsi="Arial" w:cs="Arial"/>
          <w:bCs/>
          <w:sz w:val="22"/>
          <w:szCs w:val="22"/>
          <w:lang w:val="fr-FR"/>
        </w:rPr>
      </w:pPr>
      <w:r w:rsidRPr="00197377">
        <w:rPr>
          <w:rFonts w:ascii="Arial" w:hAnsi="Arial" w:cs="Arial"/>
          <w:bCs/>
          <w:sz w:val="22"/>
          <w:szCs w:val="22"/>
          <w:lang w:val="fr-FR"/>
        </w:rPr>
        <w:t xml:space="preserve">La </w:t>
      </w:r>
      <w:r w:rsidRPr="00197377">
        <w:rPr>
          <w:rFonts w:ascii="Arial" w:hAnsi="Arial" w:cs="Arial"/>
          <w:b/>
          <w:sz w:val="22"/>
          <w:szCs w:val="22"/>
          <w:lang w:val="fr-FR"/>
        </w:rPr>
        <w:t>Présidente</w:t>
      </w:r>
      <w:r w:rsidRPr="00197377">
        <w:rPr>
          <w:rFonts w:ascii="Arial" w:hAnsi="Arial" w:cs="Arial"/>
          <w:bCs/>
          <w:sz w:val="22"/>
          <w:szCs w:val="22"/>
          <w:lang w:val="fr-FR"/>
        </w:rPr>
        <w:t xml:space="preserve"> </w:t>
      </w:r>
      <w:r>
        <w:rPr>
          <w:rFonts w:ascii="Arial" w:hAnsi="Arial" w:cs="Arial"/>
          <w:bCs/>
          <w:sz w:val="22"/>
          <w:szCs w:val="22"/>
          <w:lang w:val="fr-FR"/>
        </w:rPr>
        <w:t xml:space="preserve">a </w:t>
      </w:r>
      <w:r w:rsidRPr="00197377">
        <w:rPr>
          <w:rFonts w:ascii="Arial" w:hAnsi="Arial" w:cs="Arial"/>
          <w:bCs/>
          <w:sz w:val="22"/>
          <w:szCs w:val="22"/>
          <w:lang w:val="fr-FR"/>
        </w:rPr>
        <w:t>expliqu</w:t>
      </w:r>
      <w:r>
        <w:rPr>
          <w:rFonts w:ascii="Arial" w:hAnsi="Arial" w:cs="Arial"/>
          <w:bCs/>
          <w:sz w:val="22"/>
          <w:szCs w:val="22"/>
          <w:lang w:val="fr-FR"/>
        </w:rPr>
        <w:t xml:space="preserve">é </w:t>
      </w:r>
      <w:r w:rsidRPr="00197377">
        <w:rPr>
          <w:rFonts w:ascii="Arial" w:hAnsi="Arial" w:cs="Arial"/>
          <w:bCs/>
          <w:sz w:val="22"/>
          <w:szCs w:val="22"/>
          <w:lang w:val="fr-FR"/>
        </w:rPr>
        <w:t>comment elle entend</w:t>
      </w:r>
      <w:r>
        <w:rPr>
          <w:rFonts w:ascii="Arial" w:hAnsi="Arial" w:cs="Arial"/>
          <w:bCs/>
          <w:sz w:val="22"/>
          <w:szCs w:val="22"/>
          <w:lang w:val="fr-FR"/>
        </w:rPr>
        <w:t>ait</w:t>
      </w:r>
      <w:r w:rsidRPr="00197377">
        <w:rPr>
          <w:rFonts w:ascii="Arial" w:hAnsi="Arial" w:cs="Arial"/>
          <w:bCs/>
          <w:sz w:val="22"/>
          <w:szCs w:val="22"/>
          <w:lang w:val="fr-FR"/>
        </w:rPr>
        <w:t xml:space="preserve"> mener les débats. La parole sera</w:t>
      </w:r>
      <w:r>
        <w:rPr>
          <w:rFonts w:ascii="Arial" w:hAnsi="Arial" w:cs="Arial"/>
          <w:bCs/>
          <w:sz w:val="22"/>
          <w:szCs w:val="22"/>
          <w:lang w:val="fr-FR"/>
        </w:rPr>
        <w:t>it</w:t>
      </w:r>
      <w:r w:rsidRPr="00197377">
        <w:rPr>
          <w:rFonts w:ascii="Arial" w:hAnsi="Arial" w:cs="Arial"/>
          <w:bCs/>
          <w:sz w:val="22"/>
          <w:szCs w:val="22"/>
          <w:lang w:val="fr-FR"/>
        </w:rPr>
        <w:t xml:space="preserve"> donnée aux États parties </w:t>
      </w:r>
      <w:r>
        <w:rPr>
          <w:rFonts w:ascii="Arial" w:hAnsi="Arial" w:cs="Arial"/>
          <w:bCs/>
          <w:sz w:val="22"/>
          <w:szCs w:val="22"/>
          <w:lang w:val="fr-FR"/>
        </w:rPr>
        <w:t>en suivant</w:t>
      </w:r>
      <w:r w:rsidRPr="00197377">
        <w:rPr>
          <w:rFonts w:ascii="Arial" w:hAnsi="Arial" w:cs="Arial"/>
          <w:bCs/>
          <w:sz w:val="22"/>
          <w:szCs w:val="22"/>
          <w:lang w:val="fr-FR"/>
        </w:rPr>
        <w:t xml:space="preserve"> l</w:t>
      </w:r>
      <w:r w:rsidR="008E532B">
        <w:rPr>
          <w:rFonts w:ascii="Arial" w:hAnsi="Arial" w:cs="Arial"/>
          <w:bCs/>
          <w:sz w:val="22"/>
          <w:szCs w:val="22"/>
          <w:lang w:val="fr-FR"/>
        </w:rPr>
        <w:t>’</w:t>
      </w:r>
      <w:r w:rsidRPr="00197377">
        <w:rPr>
          <w:rFonts w:ascii="Arial" w:hAnsi="Arial" w:cs="Arial"/>
          <w:bCs/>
          <w:sz w:val="22"/>
          <w:szCs w:val="22"/>
          <w:lang w:val="fr-FR"/>
        </w:rPr>
        <w:t>ordre dans lequel ils l</w:t>
      </w:r>
      <w:r>
        <w:rPr>
          <w:rFonts w:ascii="Arial" w:hAnsi="Arial" w:cs="Arial"/>
          <w:bCs/>
          <w:sz w:val="22"/>
          <w:szCs w:val="22"/>
          <w:lang w:val="fr-FR"/>
        </w:rPr>
        <w:t>evaient</w:t>
      </w:r>
      <w:r w:rsidRPr="00197377">
        <w:rPr>
          <w:rFonts w:ascii="Arial" w:hAnsi="Arial" w:cs="Arial"/>
          <w:bCs/>
          <w:sz w:val="22"/>
          <w:szCs w:val="22"/>
          <w:lang w:val="fr-FR"/>
        </w:rPr>
        <w:t xml:space="preserve"> leur plaque. La priorité sera</w:t>
      </w:r>
      <w:r>
        <w:rPr>
          <w:rFonts w:ascii="Arial" w:hAnsi="Arial" w:cs="Arial"/>
          <w:bCs/>
          <w:sz w:val="22"/>
          <w:szCs w:val="22"/>
          <w:lang w:val="fr-FR"/>
        </w:rPr>
        <w:t>it</w:t>
      </w:r>
      <w:r w:rsidRPr="00197377">
        <w:rPr>
          <w:rFonts w:ascii="Arial" w:hAnsi="Arial" w:cs="Arial"/>
          <w:bCs/>
          <w:sz w:val="22"/>
          <w:szCs w:val="22"/>
          <w:lang w:val="fr-FR"/>
        </w:rPr>
        <w:t xml:space="preserve"> donnée aux États parties qui n</w:t>
      </w:r>
      <w:r>
        <w:rPr>
          <w:rFonts w:ascii="Arial" w:hAnsi="Arial" w:cs="Arial"/>
          <w:bCs/>
          <w:sz w:val="22"/>
          <w:szCs w:val="22"/>
          <w:lang w:val="fr-FR"/>
        </w:rPr>
        <w:t>e s</w:t>
      </w:r>
      <w:r w:rsidR="008E532B">
        <w:rPr>
          <w:rFonts w:ascii="Arial" w:hAnsi="Arial" w:cs="Arial"/>
          <w:bCs/>
          <w:sz w:val="22"/>
          <w:szCs w:val="22"/>
          <w:lang w:val="fr-FR"/>
        </w:rPr>
        <w:t>’</w:t>
      </w:r>
      <w:r>
        <w:rPr>
          <w:rFonts w:ascii="Arial" w:hAnsi="Arial" w:cs="Arial"/>
          <w:bCs/>
          <w:sz w:val="22"/>
          <w:szCs w:val="22"/>
          <w:lang w:val="fr-FR"/>
        </w:rPr>
        <w:t>étaient pas encore exprimés</w:t>
      </w:r>
      <w:r w:rsidRPr="00197377">
        <w:rPr>
          <w:rFonts w:ascii="Arial" w:hAnsi="Arial" w:cs="Arial"/>
          <w:bCs/>
          <w:sz w:val="22"/>
          <w:szCs w:val="22"/>
          <w:lang w:val="fr-FR"/>
        </w:rPr>
        <w:t xml:space="preserve">, et elle </w:t>
      </w:r>
      <w:r>
        <w:rPr>
          <w:rFonts w:ascii="Arial" w:hAnsi="Arial" w:cs="Arial"/>
          <w:bCs/>
          <w:sz w:val="22"/>
          <w:szCs w:val="22"/>
          <w:lang w:val="fr-FR"/>
        </w:rPr>
        <w:t xml:space="preserve">a </w:t>
      </w:r>
      <w:r w:rsidRPr="00197377">
        <w:rPr>
          <w:rFonts w:ascii="Arial" w:hAnsi="Arial" w:cs="Arial"/>
          <w:bCs/>
          <w:sz w:val="22"/>
          <w:szCs w:val="22"/>
          <w:lang w:val="fr-FR"/>
        </w:rPr>
        <w:t>encourag</w:t>
      </w:r>
      <w:r>
        <w:rPr>
          <w:rFonts w:ascii="Arial" w:hAnsi="Arial" w:cs="Arial"/>
          <w:bCs/>
          <w:sz w:val="22"/>
          <w:szCs w:val="22"/>
          <w:lang w:val="fr-FR"/>
        </w:rPr>
        <w:t>é</w:t>
      </w:r>
      <w:r w:rsidRPr="00197377">
        <w:rPr>
          <w:rFonts w:ascii="Arial" w:hAnsi="Arial" w:cs="Arial"/>
          <w:bCs/>
          <w:sz w:val="22"/>
          <w:szCs w:val="22"/>
          <w:lang w:val="fr-FR"/>
        </w:rPr>
        <w:t xml:space="preserve"> les États parties à ne pas prendre la parole plus de deux fois sur un même point, si possible en limitant leurs interventions à deux minutes. Les observateurs, les États non parties à la Convention, les organisations intergouvernementales et les ONG p</w:t>
      </w:r>
      <w:r>
        <w:rPr>
          <w:rFonts w:ascii="Arial" w:hAnsi="Arial" w:cs="Arial"/>
          <w:bCs/>
          <w:sz w:val="22"/>
          <w:szCs w:val="22"/>
          <w:lang w:val="fr-FR"/>
        </w:rPr>
        <w:t>ouvaient</w:t>
      </w:r>
      <w:r w:rsidRPr="00197377">
        <w:rPr>
          <w:rFonts w:ascii="Arial" w:hAnsi="Arial" w:cs="Arial"/>
          <w:bCs/>
          <w:sz w:val="22"/>
          <w:szCs w:val="22"/>
          <w:lang w:val="fr-FR"/>
        </w:rPr>
        <w:t xml:space="preserve"> demander la parole pendant les discussions générales, mais ils ne p</w:t>
      </w:r>
      <w:r>
        <w:rPr>
          <w:rFonts w:ascii="Arial" w:hAnsi="Arial" w:cs="Arial"/>
          <w:bCs/>
          <w:sz w:val="22"/>
          <w:szCs w:val="22"/>
          <w:lang w:val="fr-FR"/>
        </w:rPr>
        <w:t>ouvaient</w:t>
      </w:r>
      <w:r w:rsidRPr="00197377">
        <w:rPr>
          <w:rFonts w:ascii="Arial" w:hAnsi="Arial" w:cs="Arial"/>
          <w:bCs/>
          <w:sz w:val="22"/>
          <w:szCs w:val="22"/>
          <w:lang w:val="fr-FR"/>
        </w:rPr>
        <w:t xml:space="preserve"> pas s</w:t>
      </w:r>
      <w:r w:rsidR="008E532B">
        <w:rPr>
          <w:rFonts w:ascii="Arial" w:hAnsi="Arial" w:cs="Arial"/>
          <w:bCs/>
          <w:sz w:val="22"/>
          <w:szCs w:val="22"/>
          <w:lang w:val="fr-FR"/>
        </w:rPr>
        <w:t>’</w:t>
      </w:r>
      <w:r w:rsidRPr="00197377">
        <w:rPr>
          <w:rFonts w:ascii="Arial" w:hAnsi="Arial" w:cs="Arial"/>
          <w:bCs/>
          <w:sz w:val="22"/>
          <w:szCs w:val="22"/>
          <w:lang w:val="fr-FR"/>
        </w:rPr>
        <w:t>exprimer pendant les discussions sur une résolution spécifique. Les documents de travail étaient disponibles en six langues et les États parties pou</w:t>
      </w:r>
      <w:r>
        <w:rPr>
          <w:rFonts w:ascii="Arial" w:hAnsi="Arial" w:cs="Arial"/>
          <w:bCs/>
          <w:sz w:val="22"/>
          <w:szCs w:val="22"/>
          <w:lang w:val="fr-FR"/>
        </w:rPr>
        <w:t>vaient</w:t>
      </w:r>
      <w:r w:rsidRPr="00197377">
        <w:rPr>
          <w:rFonts w:ascii="Arial" w:hAnsi="Arial" w:cs="Arial"/>
          <w:bCs/>
          <w:sz w:val="22"/>
          <w:szCs w:val="22"/>
          <w:lang w:val="fr-FR"/>
        </w:rPr>
        <w:t xml:space="preserve"> s</w:t>
      </w:r>
      <w:r w:rsidR="008E532B">
        <w:rPr>
          <w:rFonts w:ascii="Arial" w:hAnsi="Arial" w:cs="Arial"/>
          <w:bCs/>
          <w:sz w:val="22"/>
          <w:szCs w:val="22"/>
          <w:lang w:val="fr-FR"/>
        </w:rPr>
        <w:t>’</w:t>
      </w:r>
      <w:r w:rsidRPr="00197377">
        <w:rPr>
          <w:rFonts w:ascii="Arial" w:hAnsi="Arial" w:cs="Arial"/>
          <w:bCs/>
          <w:sz w:val="22"/>
          <w:szCs w:val="22"/>
          <w:lang w:val="fr-FR"/>
        </w:rPr>
        <w:t xml:space="preserve">exprimer dans </w:t>
      </w:r>
      <w:r>
        <w:rPr>
          <w:rFonts w:ascii="Arial" w:hAnsi="Arial" w:cs="Arial"/>
          <w:bCs/>
          <w:sz w:val="22"/>
          <w:szCs w:val="22"/>
          <w:lang w:val="fr-FR"/>
        </w:rPr>
        <w:t>l</w:t>
      </w:r>
      <w:r w:rsidR="008E532B">
        <w:rPr>
          <w:rFonts w:ascii="Arial" w:hAnsi="Arial" w:cs="Arial"/>
          <w:bCs/>
          <w:sz w:val="22"/>
          <w:szCs w:val="22"/>
          <w:lang w:val="fr-FR"/>
        </w:rPr>
        <w:t>’</w:t>
      </w:r>
      <w:r>
        <w:rPr>
          <w:rFonts w:ascii="Arial" w:hAnsi="Arial" w:cs="Arial"/>
          <w:bCs/>
          <w:sz w:val="22"/>
          <w:szCs w:val="22"/>
          <w:lang w:val="fr-FR"/>
        </w:rPr>
        <w:t>une</w:t>
      </w:r>
      <w:r w:rsidRPr="00197377">
        <w:rPr>
          <w:rFonts w:ascii="Arial" w:hAnsi="Arial" w:cs="Arial"/>
          <w:bCs/>
          <w:sz w:val="22"/>
          <w:szCs w:val="22"/>
          <w:lang w:val="fr-FR"/>
        </w:rPr>
        <w:t xml:space="preserve"> de ces langues. Cependant, les écrans</w:t>
      </w:r>
      <w:r>
        <w:rPr>
          <w:rFonts w:ascii="Arial" w:hAnsi="Arial" w:cs="Arial"/>
          <w:bCs/>
          <w:sz w:val="22"/>
          <w:szCs w:val="22"/>
          <w:lang w:val="fr-FR"/>
        </w:rPr>
        <w:t xml:space="preserve">, </w:t>
      </w:r>
      <w:r w:rsidRPr="00197377">
        <w:rPr>
          <w:rFonts w:ascii="Arial" w:hAnsi="Arial" w:cs="Arial"/>
          <w:bCs/>
          <w:sz w:val="22"/>
          <w:szCs w:val="22"/>
          <w:lang w:val="fr-FR"/>
        </w:rPr>
        <w:t>pour l</w:t>
      </w:r>
      <w:r w:rsidR="008E532B">
        <w:rPr>
          <w:rFonts w:ascii="Arial" w:hAnsi="Arial" w:cs="Arial"/>
          <w:bCs/>
          <w:sz w:val="22"/>
          <w:szCs w:val="22"/>
          <w:lang w:val="fr-FR"/>
        </w:rPr>
        <w:t>’</w:t>
      </w:r>
      <w:r w:rsidRPr="00197377">
        <w:rPr>
          <w:rFonts w:ascii="Arial" w:hAnsi="Arial" w:cs="Arial"/>
          <w:bCs/>
          <w:sz w:val="22"/>
          <w:szCs w:val="22"/>
          <w:lang w:val="fr-FR"/>
        </w:rPr>
        <w:t>adoption des résolutions</w:t>
      </w:r>
      <w:r>
        <w:rPr>
          <w:rFonts w:ascii="Arial" w:hAnsi="Arial" w:cs="Arial"/>
          <w:bCs/>
          <w:sz w:val="22"/>
          <w:szCs w:val="22"/>
          <w:lang w:val="fr-FR"/>
        </w:rPr>
        <w:t xml:space="preserve">, </w:t>
      </w:r>
      <w:r w:rsidRPr="00197377">
        <w:rPr>
          <w:rFonts w:ascii="Arial" w:hAnsi="Arial" w:cs="Arial"/>
          <w:bCs/>
          <w:sz w:val="22"/>
          <w:szCs w:val="22"/>
          <w:lang w:val="fr-FR"/>
        </w:rPr>
        <w:t>étaient uniquement en anglais et en français. Il a été rappelé à l</w:t>
      </w:r>
      <w:r w:rsidR="008E532B">
        <w:rPr>
          <w:rFonts w:ascii="Arial" w:hAnsi="Arial" w:cs="Arial"/>
          <w:bCs/>
          <w:sz w:val="22"/>
          <w:szCs w:val="22"/>
          <w:lang w:val="fr-FR"/>
        </w:rPr>
        <w:t>’</w:t>
      </w:r>
      <w:r w:rsidRPr="00197377">
        <w:rPr>
          <w:rFonts w:ascii="Arial" w:hAnsi="Arial" w:cs="Arial"/>
          <w:bCs/>
          <w:sz w:val="22"/>
          <w:szCs w:val="22"/>
          <w:lang w:val="fr-FR"/>
        </w:rPr>
        <w:t>Assemblée l</w:t>
      </w:r>
      <w:r w:rsidR="008E532B">
        <w:rPr>
          <w:rFonts w:ascii="Arial" w:hAnsi="Arial" w:cs="Arial"/>
          <w:bCs/>
          <w:sz w:val="22"/>
          <w:szCs w:val="22"/>
          <w:lang w:val="fr-FR"/>
        </w:rPr>
        <w:t>’</w:t>
      </w:r>
      <w:r w:rsidRPr="00197377">
        <w:rPr>
          <w:rFonts w:ascii="Arial" w:hAnsi="Arial" w:cs="Arial"/>
          <w:bCs/>
          <w:sz w:val="22"/>
          <w:szCs w:val="22"/>
          <w:lang w:val="fr-FR"/>
        </w:rPr>
        <w:t xml:space="preserve">article 11 du </w:t>
      </w:r>
      <w:r>
        <w:rPr>
          <w:rFonts w:ascii="Arial" w:hAnsi="Arial" w:cs="Arial"/>
          <w:bCs/>
          <w:sz w:val="22"/>
          <w:szCs w:val="22"/>
          <w:lang w:val="fr-FR"/>
        </w:rPr>
        <w:t>R</w:t>
      </w:r>
      <w:r w:rsidRPr="00197377">
        <w:rPr>
          <w:rFonts w:ascii="Arial" w:hAnsi="Arial" w:cs="Arial"/>
          <w:bCs/>
          <w:sz w:val="22"/>
          <w:szCs w:val="22"/>
          <w:lang w:val="fr-FR"/>
        </w:rPr>
        <w:t>èglement intérieur selon lequel toute modification importante d</w:t>
      </w:r>
      <w:r>
        <w:rPr>
          <w:rFonts w:ascii="Arial" w:hAnsi="Arial" w:cs="Arial"/>
          <w:bCs/>
          <w:sz w:val="22"/>
          <w:szCs w:val="22"/>
          <w:lang w:val="fr-FR"/>
        </w:rPr>
        <w:t>evait</w:t>
      </w:r>
      <w:r w:rsidRPr="00197377">
        <w:rPr>
          <w:rFonts w:ascii="Arial" w:hAnsi="Arial" w:cs="Arial"/>
          <w:bCs/>
          <w:sz w:val="22"/>
          <w:szCs w:val="22"/>
          <w:lang w:val="fr-FR"/>
        </w:rPr>
        <w:t xml:space="preserve"> être communiquée au Secrétariat par écrit, idéalement en français ou en anglais, afin de faciliter le travail du Secrétariat. Cela permet</w:t>
      </w:r>
      <w:r>
        <w:rPr>
          <w:rFonts w:ascii="Arial" w:hAnsi="Arial" w:cs="Arial"/>
          <w:bCs/>
          <w:sz w:val="22"/>
          <w:szCs w:val="22"/>
          <w:lang w:val="fr-FR"/>
        </w:rPr>
        <w:t>tait</w:t>
      </w:r>
      <w:r w:rsidRPr="00197377">
        <w:rPr>
          <w:rFonts w:ascii="Arial" w:hAnsi="Arial" w:cs="Arial"/>
          <w:bCs/>
          <w:sz w:val="22"/>
          <w:szCs w:val="22"/>
          <w:lang w:val="fr-FR"/>
        </w:rPr>
        <w:t xml:space="preserve"> au Secrétariat de distribuer les amendements à l</w:t>
      </w:r>
      <w:r w:rsidR="008E532B">
        <w:rPr>
          <w:rFonts w:ascii="Arial" w:hAnsi="Arial" w:cs="Arial"/>
          <w:bCs/>
          <w:sz w:val="22"/>
          <w:szCs w:val="22"/>
          <w:lang w:val="fr-FR"/>
        </w:rPr>
        <w:t>’</w:t>
      </w:r>
      <w:r w:rsidRPr="00197377">
        <w:rPr>
          <w:rFonts w:ascii="Arial" w:hAnsi="Arial" w:cs="Arial"/>
          <w:bCs/>
          <w:sz w:val="22"/>
          <w:szCs w:val="22"/>
          <w:lang w:val="fr-FR"/>
        </w:rPr>
        <w:t>avance, conformément à l</w:t>
      </w:r>
      <w:r w:rsidR="008E532B">
        <w:rPr>
          <w:rFonts w:ascii="Arial" w:hAnsi="Arial" w:cs="Arial"/>
          <w:bCs/>
          <w:sz w:val="22"/>
          <w:szCs w:val="22"/>
          <w:lang w:val="fr-FR"/>
        </w:rPr>
        <w:t>’</w:t>
      </w:r>
      <w:r w:rsidRPr="00197377">
        <w:rPr>
          <w:rFonts w:ascii="Arial" w:hAnsi="Arial" w:cs="Arial"/>
          <w:bCs/>
          <w:sz w:val="22"/>
          <w:szCs w:val="22"/>
          <w:lang w:val="fr-FR"/>
        </w:rPr>
        <w:t>article 11</w:t>
      </w:r>
      <w:r>
        <w:rPr>
          <w:rFonts w:ascii="Arial" w:hAnsi="Arial" w:cs="Arial"/>
          <w:bCs/>
          <w:sz w:val="22"/>
          <w:szCs w:val="22"/>
          <w:lang w:val="fr-FR"/>
        </w:rPr>
        <w:t>.</w:t>
      </w:r>
      <w:r w:rsidRPr="00197377">
        <w:rPr>
          <w:rFonts w:ascii="Arial" w:hAnsi="Arial" w:cs="Arial"/>
          <w:bCs/>
          <w:sz w:val="22"/>
          <w:szCs w:val="22"/>
          <w:lang w:val="fr-FR"/>
        </w:rPr>
        <w:t>2.</w:t>
      </w:r>
      <w:r>
        <w:rPr>
          <w:rFonts w:ascii="Arial" w:hAnsi="Arial" w:cs="Arial"/>
          <w:bCs/>
          <w:sz w:val="22"/>
          <w:szCs w:val="22"/>
          <w:lang w:val="fr-FR"/>
        </w:rPr>
        <w:t xml:space="preserve">, </w:t>
      </w:r>
      <w:r w:rsidRPr="00197377">
        <w:rPr>
          <w:rFonts w:ascii="Arial" w:hAnsi="Arial" w:cs="Arial"/>
          <w:bCs/>
          <w:sz w:val="22"/>
          <w:szCs w:val="22"/>
          <w:lang w:val="fr-FR"/>
        </w:rPr>
        <w:t xml:space="preserve">et de préparer une traduction dans la deuxième langue pour la projection </w:t>
      </w:r>
      <w:r>
        <w:rPr>
          <w:rFonts w:ascii="Arial" w:hAnsi="Arial" w:cs="Arial"/>
          <w:bCs/>
          <w:sz w:val="22"/>
          <w:szCs w:val="22"/>
          <w:lang w:val="fr-FR"/>
        </w:rPr>
        <w:t xml:space="preserve">à </w:t>
      </w:r>
      <w:r w:rsidRPr="00197377">
        <w:rPr>
          <w:rFonts w:ascii="Arial" w:hAnsi="Arial" w:cs="Arial"/>
          <w:bCs/>
          <w:sz w:val="22"/>
          <w:szCs w:val="22"/>
          <w:lang w:val="fr-FR"/>
        </w:rPr>
        <w:t>l</w:t>
      </w:r>
      <w:r w:rsidR="008E532B">
        <w:rPr>
          <w:rFonts w:ascii="Arial" w:hAnsi="Arial" w:cs="Arial"/>
          <w:bCs/>
          <w:sz w:val="22"/>
          <w:szCs w:val="22"/>
          <w:lang w:val="fr-FR"/>
        </w:rPr>
        <w:t>’</w:t>
      </w:r>
      <w:r w:rsidRPr="00197377">
        <w:rPr>
          <w:rFonts w:ascii="Arial" w:hAnsi="Arial" w:cs="Arial"/>
          <w:bCs/>
          <w:sz w:val="22"/>
          <w:szCs w:val="22"/>
          <w:lang w:val="fr-FR"/>
        </w:rPr>
        <w:t>écran. Le Secrétariat ne serait pas en mesure d</w:t>
      </w:r>
      <w:r>
        <w:rPr>
          <w:rFonts w:ascii="Arial" w:hAnsi="Arial" w:cs="Arial"/>
          <w:bCs/>
          <w:sz w:val="22"/>
          <w:szCs w:val="22"/>
          <w:lang w:val="fr-FR"/>
        </w:rPr>
        <w:t>e modifier à l</w:t>
      </w:r>
      <w:r w:rsidR="008E532B">
        <w:rPr>
          <w:rFonts w:ascii="Arial" w:hAnsi="Arial" w:cs="Arial"/>
          <w:bCs/>
          <w:sz w:val="22"/>
          <w:szCs w:val="22"/>
          <w:lang w:val="fr-FR"/>
        </w:rPr>
        <w:t>’</w:t>
      </w:r>
      <w:r>
        <w:rPr>
          <w:rFonts w:ascii="Arial" w:hAnsi="Arial" w:cs="Arial"/>
          <w:bCs/>
          <w:sz w:val="22"/>
          <w:szCs w:val="22"/>
          <w:lang w:val="fr-FR"/>
        </w:rPr>
        <w:t>écran</w:t>
      </w:r>
      <w:r w:rsidRPr="00197377">
        <w:rPr>
          <w:rFonts w:ascii="Arial" w:hAnsi="Arial" w:cs="Arial"/>
          <w:bCs/>
          <w:sz w:val="22"/>
          <w:szCs w:val="22"/>
          <w:lang w:val="fr-FR"/>
        </w:rPr>
        <w:t xml:space="preserve"> des textes en arabe, chinois, russe ou espagno</w:t>
      </w:r>
      <w:r>
        <w:rPr>
          <w:rFonts w:ascii="Arial" w:hAnsi="Arial" w:cs="Arial"/>
          <w:bCs/>
          <w:sz w:val="22"/>
          <w:szCs w:val="22"/>
          <w:lang w:val="fr-FR"/>
        </w:rPr>
        <w:t>l</w:t>
      </w:r>
      <w:r w:rsidRPr="00197377">
        <w:rPr>
          <w:rFonts w:ascii="Arial" w:hAnsi="Arial" w:cs="Arial"/>
          <w:bCs/>
          <w:sz w:val="22"/>
          <w:szCs w:val="22"/>
          <w:lang w:val="fr-FR"/>
        </w:rPr>
        <w:t>.</w:t>
      </w:r>
    </w:p>
    <w:p w14:paraId="6678EFB4" w14:textId="7D4447BA" w:rsidR="00D9653F" w:rsidRPr="00A96116" w:rsidRDefault="00D9653F" w:rsidP="00D76503">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val="fr-FR" w:eastAsia="en-GB"/>
        </w:rPr>
      </w:pPr>
      <w:r w:rsidRPr="00A96116">
        <w:rPr>
          <w:rFonts w:eastAsiaTheme="minorEastAsia" w:cs="Arial"/>
          <w:b/>
          <w:color w:val="000000" w:themeColor="text1"/>
          <w:szCs w:val="22"/>
          <w:u w:val="single"/>
          <w:lang w:val="fr-FR" w:eastAsia="en-GB"/>
        </w:rPr>
        <w:t>POINT 4 DE L</w:t>
      </w:r>
      <w:r w:rsidR="008E532B">
        <w:rPr>
          <w:rFonts w:eastAsiaTheme="minorEastAsia" w:cs="Arial"/>
          <w:b/>
          <w:color w:val="000000" w:themeColor="text1"/>
          <w:szCs w:val="22"/>
          <w:u w:val="single"/>
          <w:lang w:val="fr-FR" w:eastAsia="en-GB"/>
        </w:rPr>
        <w:t>’</w:t>
      </w:r>
      <w:r w:rsidRPr="00A96116">
        <w:rPr>
          <w:rFonts w:eastAsiaTheme="minorEastAsia" w:cs="Arial"/>
          <w:b/>
          <w:color w:val="000000" w:themeColor="text1"/>
          <w:szCs w:val="22"/>
          <w:u w:val="single"/>
          <w:lang w:val="fr-FR" w:eastAsia="en-GB"/>
        </w:rPr>
        <w:t>ORDRE DU JOUR :</w:t>
      </w:r>
    </w:p>
    <w:p w14:paraId="759E398B" w14:textId="035322A2" w:rsidR="00D9653F" w:rsidRPr="00A96116" w:rsidRDefault="00D9653F" w:rsidP="00D76503">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val="fr-FR"/>
        </w:rPr>
      </w:pPr>
      <w:r w:rsidRPr="00A96116">
        <w:rPr>
          <w:rFonts w:eastAsiaTheme="minorHAnsi"/>
          <w:b/>
          <w:color w:val="000000" w:themeColor="text1"/>
          <w:lang w:val="fr-FR"/>
        </w:rPr>
        <w:t xml:space="preserve">DISTRIBUTION DES SIÈGES AU COMITÉ PAR GROUPE ÉLECTORAL </w:t>
      </w:r>
    </w:p>
    <w:p w14:paraId="52128427" w14:textId="47E1CBB5" w:rsidR="00D9653F" w:rsidRPr="00350D81" w:rsidRDefault="00D9653F" w:rsidP="000438FF">
      <w:pPr>
        <w:tabs>
          <w:tab w:val="left" w:pos="567"/>
          <w:tab w:val="left" w:pos="2127"/>
        </w:tabs>
        <w:suppressAutoHyphens/>
        <w:autoSpaceDE w:val="0"/>
        <w:jc w:val="both"/>
        <w:rPr>
          <w:rFonts w:ascii="Arial" w:hAnsi="Arial" w:cs="Arial"/>
          <w:bCs/>
          <w:i/>
          <w:iCs/>
          <w:sz w:val="22"/>
          <w:szCs w:val="22"/>
          <w:lang w:val="fr-FR"/>
        </w:rPr>
      </w:pPr>
      <w:r w:rsidRPr="00350D81">
        <w:rPr>
          <w:rFonts w:ascii="Arial" w:hAnsi="Arial" w:cs="Arial"/>
          <w:b/>
          <w:sz w:val="22"/>
          <w:szCs w:val="22"/>
          <w:lang w:val="fr-FR"/>
        </w:rPr>
        <w:tab/>
      </w:r>
      <w:r>
        <w:rPr>
          <w:rFonts w:ascii="Arial" w:hAnsi="Arial" w:cs="Arial"/>
          <w:b/>
          <w:sz w:val="22"/>
          <w:szCs w:val="22"/>
          <w:lang w:val="fr-FR"/>
        </w:rPr>
        <w:t>Document </w:t>
      </w:r>
      <w:r w:rsidRPr="00350D81">
        <w:rPr>
          <w:rFonts w:ascii="Arial" w:hAnsi="Arial" w:cs="Arial"/>
          <w:b/>
          <w:sz w:val="22"/>
          <w:szCs w:val="22"/>
          <w:lang w:val="fr-FR"/>
        </w:rPr>
        <w:t>:</w:t>
      </w:r>
      <w:r w:rsidR="008E532B">
        <w:rPr>
          <w:rFonts w:ascii="Arial" w:hAnsi="Arial" w:cs="Arial"/>
          <w:b/>
          <w:sz w:val="22"/>
          <w:szCs w:val="22"/>
          <w:lang w:val="fr-FR"/>
        </w:rPr>
        <w:tab/>
      </w:r>
      <w:hyperlink r:id="rId22" w:history="1">
        <w:r w:rsidRPr="00350D81">
          <w:rPr>
            <w:rStyle w:val="Hyperlink"/>
            <w:rFonts w:ascii="Arial" w:hAnsi="Arial" w:cs="Arial"/>
            <w:bCs/>
            <w:i/>
            <w:iCs/>
            <w:sz w:val="22"/>
            <w:szCs w:val="22"/>
            <w:lang w:val="fr-FR"/>
          </w:rPr>
          <w:t>LHE/22/9.GA/4</w:t>
        </w:r>
      </w:hyperlink>
    </w:p>
    <w:p w14:paraId="2B64B359" w14:textId="3C50AD21" w:rsidR="00D9653F" w:rsidRPr="00350D81" w:rsidRDefault="00D9653F" w:rsidP="000438FF">
      <w:pPr>
        <w:tabs>
          <w:tab w:val="left" w:pos="567"/>
          <w:tab w:val="left" w:pos="709"/>
          <w:tab w:val="left" w:pos="2127"/>
        </w:tabs>
        <w:suppressAutoHyphens/>
        <w:autoSpaceDE w:val="0"/>
        <w:spacing w:before="120" w:after="240"/>
        <w:jc w:val="both"/>
        <w:rPr>
          <w:rFonts w:ascii="Arial" w:hAnsi="Arial" w:cs="Arial"/>
          <w:b/>
          <w:sz w:val="22"/>
          <w:szCs w:val="22"/>
          <w:lang w:val="fr-FR"/>
        </w:rPr>
      </w:pPr>
      <w:r w:rsidRPr="00350D81">
        <w:rPr>
          <w:rFonts w:ascii="Arial" w:hAnsi="Arial" w:cs="Arial"/>
          <w:bCs/>
          <w:i/>
          <w:iCs/>
          <w:sz w:val="22"/>
          <w:szCs w:val="22"/>
          <w:lang w:val="fr-FR"/>
        </w:rPr>
        <w:tab/>
      </w:r>
      <w:r w:rsidRPr="00350D81">
        <w:rPr>
          <w:rFonts w:ascii="Arial" w:hAnsi="Arial" w:cs="Arial"/>
          <w:b/>
          <w:sz w:val="22"/>
          <w:szCs w:val="22"/>
          <w:lang w:val="fr-FR"/>
        </w:rPr>
        <w:t>R</w:t>
      </w:r>
      <w:r>
        <w:rPr>
          <w:rFonts w:ascii="Arial" w:hAnsi="Arial" w:cs="Arial"/>
          <w:b/>
          <w:sz w:val="22"/>
          <w:szCs w:val="22"/>
          <w:lang w:val="fr-FR"/>
        </w:rPr>
        <w:t>é</w:t>
      </w:r>
      <w:r w:rsidRPr="000438FF">
        <w:rPr>
          <w:rFonts w:ascii="Arial" w:eastAsiaTheme="minorEastAsia" w:hAnsi="Arial" w:cs="Arial"/>
          <w:b/>
          <w:snapToGrid w:val="0"/>
          <w:color w:val="000000" w:themeColor="text1"/>
          <w:sz w:val="22"/>
          <w:szCs w:val="22"/>
          <w:lang w:val="fr-FR" w:eastAsia="en-GB"/>
        </w:rPr>
        <w:t>solutio</w:t>
      </w:r>
      <w:r w:rsidRPr="00350D81">
        <w:rPr>
          <w:rFonts w:ascii="Arial" w:hAnsi="Arial" w:cs="Arial"/>
          <w:b/>
          <w:sz w:val="22"/>
          <w:szCs w:val="22"/>
          <w:lang w:val="fr-FR"/>
        </w:rPr>
        <w:t>n</w:t>
      </w:r>
      <w:r>
        <w:rPr>
          <w:rFonts w:ascii="Arial" w:hAnsi="Arial" w:cs="Arial"/>
          <w:b/>
          <w:sz w:val="22"/>
          <w:szCs w:val="22"/>
          <w:lang w:val="fr-FR"/>
        </w:rPr>
        <w:t> </w:t>
      </w:r>
      <w:r w:rsidRPr="00350D81">
        <w:rPr>
          <w:rFonts w:ascii="Arial" w:hAnsi="Arial" w:cs="Arial"/>
          <w:b/>
          <w:sz w:val="22"/>
          <w:szCs w:val="22"/>
          <w:lang w:val="fr-FR"/>
        </w:rPr>
        <w:t xml:space="preserve">: </w:t>
      </w:r>
      <w:r w:rsidR="008E532B">
        <w:rPr>
          <w:rFonts w:ascii="Arial" w:hAnsi="Arial" w:cs="Arial"/>
          <w:b/>
          <w:sz w:val="22"/>
          <w:szCs w:val="22"/>
          <w:lang w:val="fr-FR"/>
        </w:rPr>
        <w:tab/>
      </w:r>
      <w:hyperlink r:id="rId23" w:history="1">
        <w:r w:rsidRPr="00350D81">
          <w:rPr>
            <w:rStyle w:val="Hyperlink"/>
            <w:rFonts w:ascii="Arial" w:hAnsi="Arial" w:cs="Arial"/>
            <w:bCs/>
            <w:i/>
            <w:iCs/>
            <w:sz w:val="22"/>
            <w:szCs w:val="22"/>
            <w:lang w:val="fr-FR"/>
          </w:rPr>
          <w:t>9.GA 4</w:t>
        </w:r>
      </w:hyperlink>
      <w:r w:rsidRPr="00350D81">
        <w:rPr>
          <w:rFonts w:ascii="Arial" w:hAnsi="Arial" w:cs="Arial"/>
          <w:b/>
          <w:sz w:val="22"/>
          <w:szCs w:val="22"/>
          <w:lang w:val="fr-FR"/>
        </w:rPr>
        <w:t xml:space="preserve"> </w:t>
      </w:r>
    </w:p>
    <w:p w14:paraId="51411561" w14:textId="7E0EA4AD" w:rsidR="00D9653F" w:rsidRPr="00350D81"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350D81">
        <w:rPr>
          <w:rFonts w:ascii="Arial" w:eastAsia="SimSun" w:hAnsi="Arial" w:cs="Arial"/>
          <w:sz w:val="22"/>
          <w:szCs w:val="22"/>
          <w:lang w:val="fr-FR"/>
        </w:rPr>
        <w:t xml:space="preserve">La </w:t>
      </w:r>
      <w:r w:rsidRPr="00350D81">
        <w:rPr>
          <w:rFonts w:ascii="Arial" w:eastAsia="SimSun" w:hAnsi="Arial" w:cs="Arial"/>
          <w:b/>
          <w:bCs/>
          <w:sz w:val="22"/>
          <w:szCs w:val="22"/>
          <w:lang w:val="fr-FR"/>
        </w:rPr>
        <w:t>Présidente</w:t>
      </w:r>
      <w:r w:rsidRPr="00350D81">
        <w:rPr>
          <w:rFonts w:ascii="Arial" w:eastAsia="SimSun" w:hAnsi="Arial" w:cs="Arial"/>
          <w:sz w:val="22"/>
          <w:szCs w:val="22"/>
          <w:lang w:val="fr-FR"/>
        </w:rPr>
        <w:t xml:space="preserve"> </w:t>
      </w:r>
      <w:r>
        <w:rPr>
          <w:rFonts w:ascii="Arial" w:eastAsia="SimSun" w:hAnsi="Arial" w:cs="Arial"/>
          <w:sz w:val="22"/>
          <w:szCs w:val="22"/>
          <w:lang w:val="fr-FR"/>
        </w:rPr>
        <w:t>est passée à</w:t>
      </w:r>
      <w:r w:rsidRPr="00350D81">
        <w:rPr>
          <w:rFonts w:ascii="Arial" w:eastAsia="SimSun" w:hAnsi="Arial" w:cs="Arial"/>
          <w:sz w:val="22"/>
          <w:szCs w:val="22"/>
          <w:lang w:val="fr-FR"/>
        </w:rPr>
        <w:t xml:space="preserve"> la </w:t>
      </w:r>
      <w:r>
        <w:rPr>
          <w:rFonts w:ascii="Arial" w:eastAsia="SimSun" w:hAnsi="Arial" w:cs="Arial"/>
          <w:sz w:val="22"/>
          <w:szCs w:val="22"/>
          <w:lang w:val="fr-FR"/>
        </w:rPr>
        <w:t>distribution</w:t>
      </w:r>
      <w:r w:rsidRPr="00350D81">
        <w:rPr>
          <w:rFonts w:ascii="Arial" w:eastAsia="SimSun" w:hAnsi="Arial" w:cs="Arial"/>
          <w:sz w:val="22"/>
          <w:szCs w:val="22"/>
          <w:lang w:val="fr-FR"/>
        </w:rPr>
        <w:t xml:space="preserve"> des sièges au Comité par groupe électoral, qui d</w:t>
      </w:r>
      <w:r>
        <w:rPr>
          <w:rFonts w:ascii="Arial" w:eastAsia="SimSun" w:hAnsi="Arial" w:cs="Arial"/>
          <w:sz w:val="22"/>
          <w:szCs w:val="22"/>
          <w:lang w:val="fr-FR"/>
        </w:rPr>
        <w:t>evait</w:t>
      </w:r>
      <w:r w:rsidRPr="00350D81">
        <w:rPr>
          <w:rFonts w:ascii="Arial" w:eastAsia="SimSun" w:hAnsi="Arial" w:cs="Arial"/>
          <w:sz w:val="22"/>
          <w:szCs w:val="22"/>
          <w:lang w:val="fr-FR"/>
        </w:rPr>
        <w:t xml:space="preserve"> être déterminée avant de passer au point 11 et à l</w:t>
      </w:r>
      <w:r w:rsidR="008E532B">
        <w:rPr>
          <w:rFonts w:ascii="Arial" w:eastAsia="SimSun" w:hAnsi="Arial" w:cs="Arial"/>
          <w:sz w:val="22"/>
          <w:szCs w:val="22"/>
          <w:lang w:val="fr-FR"/>
        </w:rPr>
        <w:t>’</w:t>
      </w:r>
      <w:r w:rsidRPr="00350D81">
        <w:rPr>
          <w:rFonts w:ascii="Arial" w:eastAsia="SimSun" w:hAnsi="Arial" w:cs="Arial"/>
          <w:sz w:val="22"/>
          <w:szCs w:val="22"/>
          <w:lang w:val="fr-FR"/>
        </w:rPr>
        <w:t>élection des membres du Comité.</w:t>
      </w:r>
    </w:p>
    <w:p w14:paraId="48DDFEFB" w14:textId="4219AA4B" w:rsidR="00D9653F" w:rsidRPr="001F44FB" w:rsidRDefault="008D65C3"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b/>
          <w:bCs/>
          <w:sz w:val="22"/>
          <w:szCs w:val="22"/>
          <w:lang w:val="fr-FR"/>
        </w:rPr>
        <w:t>Mme</w:t>
      </w:r>
      <w:r w:rsidR="00D9653F">
        <w:rPr>
          <w:rFonts w:ascii="Arial" w:eastAsia="SimSun" w:hAnsi="Arial" w:cs="Arial"/>
          <w:b/>
          <w:bCs/>
          <w:sz w:val="22"/>
          <w:szCs w:val="22"/>
          <w:lang w:val="fr-FR"/>
        </w:rPr>
        <w:t> </w:t>
      </w:r>
      <w:r w:rsidR="00D9653F" w:rsidRPr="001F44FB">
        <w:rPr>
          <w:rFonts w:ascii="Arial" w:eastAsia="SimSun" w:hAnsi="Arial" w:cs="Arial"/>
          <w:b/>
          <w:bCs/>
          <w:sz w:val="22"/>
          <w:szCs w:val="22"/>
          <w:lang w:val="fr-FR"/>
        </w:rPr>
        <w:t>Fumiko Ohinata</w:t>
      </w:r>
      <w:r w:rsidR="00D9653F" w:rsidRPr="001F44FB">
        <w:rPr>
          <w:rFonts w:ascii="Arial" w:eastAsia="SimSun" w:hAnsi="Arial" w:cs="Arial"/>
          <w:sz w:val="22"/>
          <w:szCs w:val="22"/>
          <w:lang w:val="fr-FR"/>
        </w:rPr>
        <w:t xml:space="preserve"> a expliqué que la </w:t>
      </w:r>
      <w:r w:rsidR="002512C5">
        <w:rPr>
          <w:rFonts w:ascii="Arial" w:eastAsia="SimSun" w:hAnsi="Arial" w:cs="Arial"/>
          <w:sz w:val="22"/>
          <w:szCs w:val="22"/>
          <w:lang w:val="fr-FR"/>
        </w:rPr>
        <w:t>distribution</w:t>
      </w:r>
      <w:r w:rsidR="002512C5" w:rsidRPr="001F44FB">
        <w:rPr>
          <w:rFonts w:ascii="Arial" w:eastAsia="SimSun" w:hAnsi="Arial" w:cs="Arial"/>
          <w:sz w:val="22"/>
          <w:szCs w:val="22"/>
          <w:lang w:val="fr-FR"/>
        </w:rPr>
        <w:t xml:space="preserve"> </w:t>
      </w:r>
      <w:r w:rsidR="00D9653F" w:rsidRPr="001F44FB">
        <w:rPr>
          <w:rFonts w:ascii="Arial" w:eastAsia="SimSun" w:hAnsi="Arial" w:cs="Arial"/>
          <w:sz w:val="22"/>
          <w:szCs w:val="22"/>
          <w:lang w:val="fr-FR"/>
        </w:rPr>
        <w:t>des sièges proposée est le résultat de l</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application d</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une disposition de la Convention, du Règlement intérieur de l</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Assemblée générale et d</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une résolution de l</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Assemblée générale. Tout d</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abord, l</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article 6.1 de la Convention prévo</w:t>
      </w:r>
      <w:r w:rsidR="00D9653F">
        <w:rPr>
          <w:rFonts w:ascii="Arial" w:eastAsia="SimSun" w:hAnsi="Arial" w:cs="Arial"/>
          <w:sz w:val="22"/>
          <w:szCs w:val="22"/>
          <w:lang w:val="fr-FR"/>
        </w:rPr>
        <w:t>yait</w:t>
      </w:r>
      <w:r w:rsidR="00D9653F" w:rsidRPr="001F44FB">
        <w:rPr>
          <w:rFonts w:ascii="Arial" w:eastAsia="SimSun" w:hAnsi="Arial" w:cs="Arial"/>
          <w:sz w:val="22"/>
          <w:szCs w:val="22"/>
          <w:lang w:val="fr-FR"/>
        </w:rPr>
        <w:t xml:space="preserve"> que l</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élection des États membres du Comité répond aux principes de répartition géographique et de rotation équitables. L</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article 13.2 du Règlement intérieur de l</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Assemblée générale prévo</w:t>
      </w:r>
      <w:r w:rsidR="00D9653F">
        <w:rPr>
          <w:rFonts w:ascii="Arial" w:eastAsia="SimSun" w:hAnsi="Arial" w:cs="Arial"/>
          <w:sz w:val="22"/>
          <w:szCs w:val="22"/>
          <w:lang w:val="fr-FR"/>
        </w:rPr>
        <w:t xml:space="preserve">yait </w:t>
      </w:r>
      <w:r w:rsidR="00D9653F" w:rsidRPr="001F44FB">
        <w:rPr>
          <w:rFonts w:ascii="Arial" w:eastAsia="SimSun" w:hAnsi="Arial" w:cs="Arial"/>
          <w:sz w:val="22"/>
          <w:szCs w:val="22"/>
          <w:lang w:val="fr-FR"/>
        </w:rPr>
        <w:t>que les sièges sont répartis à chaque session au prorata du nombre d</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États parties de chaque groupe, étant entendu qu</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au terme d</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 xml:space="preserve">une telle </w:t>
      </w:r>
      <w:r w:rsidR="002512C5">
        <w:rPr>
          <w:rFonts w:ascii="Arial" w:eastAsia="SimSun" w:hAnsi="Arial" w:cs="Arial"/>
          <w:sz w:val="22"/>
          <w:szCs w:val="22"/>
          <w:lang w:val="fr-FR"/>
        </w:rPr>
        <w:t>distribution</w:t>
      </w:r>
      <w:r w:rsidR="002512C5" w:rsidRPr="001F44FB">
        <w:rPr>
          <w:rFonts w:ascii="Arial" w:eastAsia="SimSun" w:hAnsi="Arial" w:cs="Arial"/>
          <w:sz w:val="22"/>
          <w:szCs w:val="22"/>
          <w:lang w:val="fr-FR"/>
        </w:rPr>
        <w:t xml:space="preserve"> </w:t>
      </w:r>
      <w:r w:rsidR="00D9653F" w:rsidRPr="001F44FB">
        <w:rPr>
          <w:rFonts w:ascii="Arial" w:eastAsia="SimSun" w:hAnsi="Arial" w:cs="Arial"/>
          <w:sz w:val="22"/>
          <w:szCs w:val="22"/>
          <w:lang w:val="fr-FR"/>
        </w:rPr>
        <w:t xml:space="preserve">un minimum de trois sièges est attribué à chaque groupe. La </w:t>
      </w:r>
      <w:r w:rsidR="00D76503">
        <w:rPr>
          <w:rFonts w:ascii="Arial" w:eastAsia="SimSun" w:hAnsi="Arial" w:cs="Arial"/>
          <w:sz w:val="22"/>
          <w:szCs w:val="22"/>
          <w:lang w:val="fr-FR"/>
        </w:rPr>
        <w:t>résolution</w:t>
      </w:r>
      <w:hyperlink r:id="rId24" w:history="1">
        <w:r w:rsidR="00D76503" w:rsidRPr="00D76503">
          <w:rPr>
            <w:rStyle w:val="Hyperlink"/>
            <w:rFonts w:ascii="Arial" w:hAnsi="Arial" w:cs="Arial"/>
            <w:sz w:val="22"/>
            <w:szCs w:val="22"/>
            <w:u w:val="none"/>
            <w:lang w:val="fr-FR"/>
          </w:rPr>
          <w:t> </w:t>
        </w:r>
        <w:r w:rsidR="00D9653F" w:rsidRPr="001F44FB">
          <w:rPr>
            <w:rStyle w:val="Hyperlink"/>
            <w:rFonts w:ascii="Arial" w:hAnsi="Arial" w:cs="Arial"/>
            <w:sz w:val="22"/>
            <w:szCs w:val="22"/>
            <w:lang w:val="fr-FR"/>
          </w:rPr>
          <w:t>3.GA 12</w:t>
        </w:r>
      </w:hyperlink>
      <w:r w:rsidR="00D9653F" w:rsidRPr="001F44FB">
        <w:rPr>
          <w:rFonts w:ascii="Arial" w:eastAsia="SimSun" w:hAnsi="Arial" w:cs="Arial"/>
          <w:sz w:val="22"/>
          <w:szCs w:val="22"/>
          <w:lang w:val="fr-FR"/>
        </w:rPr>
        <w:t xml:space="preserve"> de l</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Assemblée générale stipul</w:t>
      </w:r>
      <w:r w:rsidR="00D9653F">
        <w:rPr>
          <w:rFonts w:ascii="Arial" w:eastAsia="SimSun" w:hAnsi="Arial" w:cs="Arial"/>
          <w:sz w:val="22"/>
          <w:szCs w:val="22"/>
          <w:lang w:val="fr-FR"/>
        </w:rPr>
        <w:t>ait</w:t>
      </w:r>
      <w:r w:rsidR="00D9653F" w:rsidRPr="001F44FB">
        <w:rPr>
          <w:rFonts w:ascii="Arial" w:eastAsia="SimSun" w:hAnsi="Arial" w:cs="Arial"/>
          <w:sz w:val="22"/>
          <w:szCs w:val="22"/>
          <w:lang w:val="fr-FR"/>
        </w:rPr>
        <w:t xml:space="preserve"> que le principe de proportionnalité doit être rigoureusement appliqué aux futures élections, strictement sur la base de</w:t>
      </w:r>
      <w:r w:rsidR="00D9653F">
        <w:rPr>
          <w:rFonts w:ascii="Arial" w:eastAsia="SimSun" w:hAnsi="Arial" w:cs="Arial"/>
          <w:sz w:val="22"/>
          <w:szCs w:val="22"/>
          <w:lang w:val="fr-FR"/>
        </w:rPr>
        <w:t>s</w:t>
      </w:r>
      <w:r w:rsidR="00D9653F" w:rsidRPr="001F44FB">
        <w:rPr>
          <w:rFonts w:ascii="Arial" w:eastAsia="SimSun" w:hAnsi="Arial" w:cs="Arial"/>
          <w:sz w:val="22"/>
          <w:szCs w:val="22"/>
          <w:lang w:val="fr-FR"/>
        </w:rPr>
        <w:t xml:space="preserve"> calculs mathématiques. Le paragraphe 4 du document de travail 4 établi</w:t>
      </w:r>
      <w:r w:rsidR="00D9653F">
        <w:rPr>
          <w:rFonts w:ascii="Arial" w:eastAsia="SimSun" w:hAnsi="Arial" w:cs="Arial"/>
          <w:sz w:val="22"/>
          <w:szCs w:val="22"/>
          <w:lang w:val="fr-FR"/>
        </w:rPr>
        <w:t>ssait</w:t>
      </w:r>
      <w:r w:rsidR="00D9653F" w:rsidRPr="001F44FB">
        <w:rPr>
          <w:rFonts w:ascii="Arial" w:eastAsia="SimSun" w:hAnsi="Arial" w:cs="Arial"/>
          <w:sz w:val="22"/>
          <w:szCs w:val="22"/>
          <w:lang w:val="fr-FR"/>
        </w:rPr>
        <w:t xml:space="preserve"> la </w:t>
      </w:r>
      <w:r w:rsidR="002512C5">
        <w:rPr>
          <w:rFonts w:ascii="Arial" w:eastAsia="SimSun" w:hAnsi="Arial" w:cs="Arial"/>
          <w:sz w:val="22"/>
          <w:szCs w:val="22"/>
          <w:lang w:val="fr-FR"/>
        </w:rPr>
        <w:t>distribution</w:t>
      </w:r>
      <w:r w:rsidR="00D9653F" w:rsidRPr="001F44FB">
        <w:rPr>
          <w:rFonts w:ascii="Arial" w:eastAsia="SimSun" w:hAnsi="Arial" w:cs="Arial"/>
          <w:sz w:val="22"/>
          <w:szCs w:val="22"/>
          <w:lang w:val="fr-FR"/>
        </w:rPr>
        <w:t xml:space="preserve"> des sièges sur la base de</w:t>
      </w:r>
      <w:r w:rsidR="00D9653F">
        <w:rPr>
          <w:rFonts w:ascii="Arial" w:eastAsia="SimSun" w:hAnsi="Arial" w:cs="Arial"/>
          <w:sz w:val="22"/>
          <w:szCs w:val="22"/>
          <w:lang w:val="fr-FR"/>
        </w:rPr>
        <w:t xml:space="preserve">s </w:t>
      </w:r>
      <w:r w:rsidR="00D9653F" w:rsidRPr="001F44FB">
        <w:rPr>
          <w:rFonts w:ascii="Arial" w:eastAsia="SimSun" w:hAnsi="Arial" w:cs="Arial"/>
          <w:sz w:val="22"/>
          <w:szCs w:val="22"/>
          <w:lang w:val="fr-FR"/>
        </w:rPr>
        <w:t>calculs mathématiques fondés sur 180 États parties au moment de l</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 xml:space="preserve">élection. </w:t>
      </w:r>
      <w:r w:rsidR="00D9653F">
        <w:rPr>
          <w:rFonts w:ascii="Arial" w:eastAsia="SimSun" w:hAnsi="Arial" w:cs="Arial"/>
          <w:sz w:val="22"/>
          <w:szCs w:val="22"/>
          <w:lang w:val="fr-FR"/>
        </w:rPr>
        <w:t xml:space="preserve">Après avoir expliqué </w:t>
      </w:r>
      <w:r w:rsidR="00D9653F" w:rsidRPr="001F44FB">
        <w:rPr>
          <w:rFonts w:ascii="Arial" w:eastAsia="SimSun" w:hAnsi="Arial" w:cs="Arial"/>
          <w:sz w:val="22"/>
          <w:szCs w:val="22"/>
          <w:lang w:val="fr-FR"/>
        </w:rPr>
        <w:t>le</w:t>
      </w:r>
      <w:r w:rsidR="00D9653F">
        <w:rPr>
          <w:rFonts w:ascii="Arial" w:eastAsia="SimSun" w:hAnsi="Arial" w:cs="Arial"/>
          <w:sz w:val="22"/>
          <w:szCs w:val="22"/>
          <w:lang w:val="fr-FR"/>
        </w:rPr>
        <w:t>s</w:t>
      </w:r>
      <w:r w:rsidR="00D9653F" w:rsidRPr="001F44FB">
        <w:rPr>
          <w:rFonts w:ascii="Arial" w:eastAsia="SimSun" w:hAnsi="Arial" w:cs="Arial"/>
          <w:sz w:val="22"/>
          <w:szCs w:val="22"/>
          <w:lang w:val="fr-FR"/>
        </w:rPr>
        <w:t xml:space="preserve"> calcul</w:t>
      </w:r>
      <w:r w:rsidR="00D9653F">
        <w:rPr>
          <w:rFonts w:ascii="Arial" w:eastAsia="SimSun" w:hAnsi="Arial" w:cs="Arial"/>
          <w:sz w:val="22"/>
          <w:szCs w:val="22"/>
          <w:lang w:val="fr-FR"/>
        </w:rPr>
        <w:t>s</w:t>
      </w:r>
      <w:r w:rsidR="00D9653F" w:rsidRPr="001F44FB">
        <w:rPr>
          <w:rFonts w:ascii="Arial" w:eastAsia="SimSun" w:hAnsi="Arial" w:cs="Arial"/>
          <w:sz w:val="22"/>
          <w:szCs w:val="22"/>
          <w:lang w:val="fr-FR"/>
        </w:rPr>
        <w:t xml:space="preserve">, </w:t>
      </w:r>
      <w:r>
        <w:rPr>
          <w:rFonts w:ascii="Arial" w:eastAsia="SimSun" w:hAnsi="Arial" w:cs="Arial"/>
          <w:sz w:val="22"/>
          <w:szCs w:val="22"/>
          <w:lang w:val="fr-FR"/>
        </w:rPr>
        <w:t>Mme</w:t>
      </w:r>
      <w:r w:rsidR="00D9653F" w:rsidRPr="001F44FB">
        <w:rPr>
          <w:rFonts w:ascii="Arial" w:eastAsia="SimSun" w:hAnsi="Arial" w:cs="Arial"/>
          <w:sz w:val="22"/>
          <w:szCs w:val="22"/>
          <w:lang w:val="fr-FR"/>
        </w:rPr>
        <w:t xml:space="preserve"> Ohinata a </w:t>
      </w:r>
      <w:r w:rsidR="00D9653F">
        <w:rPr>
          <w:rFonts w:ascii="Arial" w:eastAsia="SimSun" w:hAnsi="Arial" w:cs="Arial"/>
          <w:sz w:val="22"/>
          <w:szCs w:val="22"/>
          <w:lang w:val="fr-FR"/>
        </w:rPr>
        <w:t>précisé</w:t>
      </w:r>
      <w:r w:rsidR="00D9653F" w:rsidRPr="001F44FB">
        <w:rPr>
          <w:rFonts w:ascii="Arial" w:eastAsia="SimSun" w:hAnsi="Arial" w:cs="Arial"/>
          <w:sz w:val="22"/>
          <w:szCs w:val="22"/>
          <w:lang w:val="fr-FR"/>
        </w:rPr>
        <w:t xml:space="preserve"> que le nombre minimum de trois sièges a</w:t>
      </w:r>
      <w:r w:rsidR="00D9653F">
        <w:rPr>
          <w:rFonts w:ascii="Arial" w:eastAsia="SimSun" w:hAnsi="Arial" w:cs="Arial"/>
          <w:sz w:val="22"/>
          <w:szCs w:val="22"/>
          <w:lang w:val="fr-FR"/>
        </w:rPr>
        <w:t>vait</w:t>
      </w:r>
      <w:r w:rsidR="00D9653F" w:rsidRPr="001F44FB">
        <w:rPr>
          <w:rFonts w:ascii="Arial" w:eastAsia="SimSun" w:hAnsi="Arial" w:cs="Arial"/>
          <w:sz w:val="22"/>
          <w:szCs w:val="22"/>
          <w:lang w:val="fr-FR"/>
        </w:rPr>
        <w:t xml:space="preserve"> été attribué au </w:t>
      </w:r>
      <w:r w:rsidR="00D9653F">
        <w:rPr>
          <w:rFonts w:ascii="Arial" w:eastAsia="SimSun" w:hAnsi="Arial" w:cs="Arial"/>
          <w:sz w:val="22"/>
          <w:szCs w:val="22"/>
          <w:lang w:val="fr-FR"/>
        </w:rPr>
        <w:t>G</w:t>
      </w:r>
      <w:r w:rsidR="00D9653F" w:rsidRPr="001F44FB">
        <w:rPr>
          <w:rFonts w:ascii="Arial" w:eastAsia="SimSun" w:hAnsi="Arial" w:cs="Arial"/>
          <w:sz w:val="22"/>
          <w:szCs w:val="22"/>
          <w:lang w:val="fr-FR"/>
        </w:rPr>
        <w:t>roupe électoral V(b), conformément à l</w:t>
      </w:r>
      <w:r w:rsidR="008E532B">
        <w:rPr>
          <w:rFonts w:ascii="Arial" w:eastAsia="SimSun" w:hAnsi="Arial" w:cs="Arial"/>
          <w:sz w:val="22"/>
          <w:szCs w:val="22"/>
          <w:lang w:val="fr-FR"/>
        </w:rPr>
        <w:t>’</w:t>
      </w:r>
      <w:r w:rsidR="00D9653F">
        <w:rPr>
          <w:rFonts w:ascii="Arial" w:eastAsia="SimSun" w:hAnsi="Arial" w:cs="Arial"/>
          <w:sz w:val="22"/>
          <w:szCs w:val="22"/>
          <w:lang w:val="fr-FR"/>
        </w:rPr>
        <w:t xml:space="preserve">article </w:t>
      </w:r>
      <w:r w:rsidR="00D9653F" w:rsidRPr="001F44FB">
        <w:rPr>
          <w:rFonts w:ascii="Arial" w:eastAsia="SimSun" w:hAnsi="Arial" w:cs="Arial"/>
          <w:sz w:val="22"/>
          <w:szCs w:val="22"/>
          <w:lang w:val="fr-FR"/>
        </w:rPr>
        <w:t>13.2 du Règlement intérieur de l</w:t>
      </w:r>
      <w:r w:rsidR="008E532B">
        <w:rPr>
          <w:rFonts w:ascii="Arial" w:eastAsia="SimSun" w:hAnsi="Arial" w:cs="Arial"/>
          <w:sz w:val="22"/>
          <w:szCs w:val="22"/>
          <w:lang w:val="fr-FR"/>
        </w:rPr>
        <w:t>’</w:t>
      </w:r>
      <w:r w:rsidR="00D9653F" w:rsidRPr="001F44FB">
        <w:rPr>
          <w:rFonts w:ascii="Arial" w:eastAsia="SimSun" w:hAnsi="Arial" w:cs="Arial"/>
          <w:sz w:val="22"/>
          <w:szCs w:val="22"/>
          <w:lang w:val="fr-FR"/>
        </w:rPr>
        <w:t xml:space="preserve">Assemblée générale. Les vingt et un sièges restants </w:t>
      </w:r>
      <w:r w:rsidR="00D9653F">
        <w:rPr>
          <w:rFonts w:ascii="Arial" w:eastAsia="SimSun" w:hAnsi="Arial" w:cs="Arial"/>
          <w:sz w:val="22"/>
          <w:szCs w:val="22"/>
          <w:lang w:val="fr-FR"/>
        </w:rPr>
        <w:t>avaient</w:t>
      </w:r>
      <w:r w:rsidR="00D9653F" w:rsidRPr="001F44FB">
        <w:rPr>
          <w:rFonts w:ascii="Arial" w:eastAsia="SimSun" w:hAnsi="Arial" w:cs="Arial"/>
          <w:sz w:val="22"/>
          <w:szCs w:val="22"/>
          <w:lang w:val="fr-FR"/>
        </w:rPr>
        <w:t xml:space="preserve"> été répartis entre les cinq </w:t>
      </w:r>
      <w:r w:rsidR="00D9653F">
        <w:rPr>
          <w:rFonts w:ascii="Arial" w:eastAsia="SimSun" w:hAnsi="Arial" w:cs="Arial"/>
          <w:sz w:val="22"/>
          <w:szCs w:val="22"/>
          <w:lang w:val="fr-FR"/>
        </w:rPr>
        <w:t xml:space="preserve">autres </w:t>
      </w:r>
      <w:r w:rsidR="00D9653F" w:rsidRPr="001F44FB">
        <w:rPr>
          <w:rFonts w:ascii="Arial" w:eastAsia="SimSun" w:hAnsi="Arial" w:cs="Arial"/>
          <w:sz w:val="22"/>
          <w:szCs w:val="22"/>
          <w:lang w:val="fr-FR"/>
        </w:rPr>
        <w:t xml:space="preserve">groupes, en commençant par le groupe ayant la fraction décimale la plus élevée, à savoir le </w:t>
      </w:r>
      <w:r w:rsidR="00D9653F">
        <w:rPr>
          <w:rFonts w:ascii="Arial" w:eastAsia="SimSun" w:hAnsi="Arial" w:cs="Arial"/>
          <w:sz w:val="22"/>
          <w:szCs w:val="22"/>
          <w:lang w:val="fr-FR"/>
        </w:rPr>
        <w:t>G</w:t>
      </w:r>
      <w:r w:rsidR="00D9653F" w:rsidRPr="001F44FB">
        <w:rPr>
          <w:rFonts w:ascii="Arial" w:eastAsia="SimSun" w:hAnsi="Arial" w:cs="Arial"/>
          <w:sz w:val="22"/>
          <w:szCs w:val="22"/>
          <w:lang w:val="fr-FR"/>
        </w:rPr>
        <w:t xml:space="preserve">roupe électoral V(a), auquel six sièges </w:t>
      </w:r>
      <w:r w:rsidR="00D9653F">
        <w:rPr>
          <w:rFonts w:ascii="Arial" w:eastAsia="SimSun" w:hAnsi="Arial" w:cs="Arial"/>
          <w:sz w:val="22"/>
          <w:szCs w:val="22"/>
          <w:lang w:val="fr-FR"/>
        </w:rPr>
        <w:t>avaient</w:t>
      </w:r>
      <w:r w:rsidR="00D9653F" w:rsidRPr="001F44FB">
        <w:rPr>
          <w:rFonts w:ascii="Arial" w:eastAsia="SimSun" w:hAnsi="Arial" w:cs="Arial"/>
          <w:sz w:val="22"/>
          <w:szCs w:val="22"/>
          <w:lang w:val="fr-FR"/>
        </w:rPr>
        <w:t xml:space="preserve"> été attribués. Il restait donc quinze sièges à répartir entre les </w:t>
      </w:r>
      <w:r w:rsidR="00D9653F">
        <w:rPr>
          <w:rFonts w:ascii="Arial" w:eastAsia="SimSun" w:hAnsi="Arial" w:cs="Arial"/>
          <w:sz w:val="22"/>
          <w:szCs w:val="22"/>
          <w:lang w:val="fr-FR"/>
        </w:rPr>
        <w:t>G</w:t>
      </w:r>
      <w:r w:rsidR="00D9653F" w:rsidRPr="001F44FB">
        <w:rPr>
          <w:rFonts w:ascii="Arial" w:eastAsia="SimSun" w:hAnsi="Arial" w:cs="Arial"/>
          <w:sz w:val="22"/>
          <w:szCs w:val="22"/>
          <w:lang w:val="fr-FR"/>
        </w:rPr>
        <w:t xml:space="preserve">roupes I, II, III et IV. La </w:t>
      </w:r>
      <w:r w:rsidR="002512C5">
        <w:rPr>
          <w:rFonts w:ascii="Arial" w:eastAsia="SimSun" w:hAnsi="Arial" w:cs="Arial"/>
          <w:sz w:val="22"/>
          <w:szCs w:val="22"/>
          <w:lang w:val="fr-FR"/>
        </w:rPr>
        <w:t>distribution</w:t>
      </w:r>
      <w:r w:rsidR="002512C5" w:rsidRPr="001F44FB">
        <w:rPr>
          <w:rFonts w:ascii="Arial" w:eastAsia="SimSun" w:hAnsi="Arial" w:cs="Arial"/>
          <w:sz w:val="22"/>
          <w:szCs w:val="22"/>
          <w:lang w:val="fr-FR"/>
        </w:rPr>
        <w:t xml:space="preserve"> </w:t>
      </w:r>
      <w:r w:rsidR="00D9653F" w:rsidRPr="001F44FB">
        <w:rPr>
          <w:rFonts w:ascii="Arial" w:eastAsia="SimSun" w:hAnsi="Arial" w:cs="Arial"/>
          <w:sz w:val="22"/>
          <w:szCs w:val="22"/>
          <w:lang w:val="fr-FR"/>
        </w:rPr>
        <w:t>s</w:t>
      </w:r>
      <w:r w:rsidR="008E532B">
        <w:rPr>
          <w:rFonts w:ascii="Arial" w:eastAsia="SimSun" w:hAnsi="Arial" w:cs="Arial"/>
          <w:sz w:val="22"/>
          <w:szCs w:val="22"/>
          <w:lang w:val="fr-FR"/>
        </w:rPr>
        <w:t>’</w:t>
      </w:r>
      <w:r w:rsidR="00D9653F">
        <w:rPr>
          <w:rFonts w:ascii="Arial" w:eastAsia="SimSun" w:hAnsi="Arial" w:cs="Arial"/>
          <w:sz w:val="22"/>
          <w:szCs w:val="22"/>
          <w:lang w:val="fr-FR"/>
        </w:rPr>
        <w:t xml:space="preserve">était poursuivie </w:t>
      </w:r>
      <w:r w:rsidR="00D9653F" w:rsidRPr="001F44FB">
        <w:rPr>
          <w:rFonts w:ascii="Arial" w:eastAsia="SimSun" w:hAnsi="Arial" w:cs="Arial"/>
          <w:sz w:val="22"/>
          <w:szCs w:val="22"/>
          <w:lang w:val="fr-FR"/>
        </w:rPr>
        <w:t xml:space="preserve">avec le groupe présentant la deuxième fraction décimale la plus élevée, à savoir le </w:t>
      </w:r>
      <w:r w:rsidR="00D9653F">
        <w:rPr>
          <w:rFonts w:ascii="Arial" w:eastAsia="SimSun" w:hAnsi="Arial" w:cs="Arial"/>
          <w:sz w:val="22"/>
          <w:szCs w:val="22"/>
          <w:lang w:val="fr-FR"/>
        </w:rPr>
        <w:t>G</w:t>
      </w:r>
      <w:r w:rsidR="00D9653F" w:rsidRPr="001F44FB">
        <w:rPr>
          <w:rFonts w:ascii="Arial" w:eastAsia="SimSun" w:hAnsi="Arial" w:cs="Arial"/>
          <w:sz w:val="22"/>
          <w:szCs w:val="22"/>
          <w:lang w:val="fr-FR"/>
        </w:rPr>
        <w:t xml:space="preserve">roupe IV, auquel cinq sièges </w:t>
      </w:r>
      <w:r w:rsidR="00D9653F">
        <w:rPr>
          <w:rFonts w:ascii="Arial" w:eastAsia="SimSun" w:hAnsi="Arial" w:cs="Arial"/>
          <w:sz w:val="22"/>
          <w:szCs w:val="22"/>
          <w:lang w:val="fr-FR"/>
        </w:rPr>
        <w:t>avaient</w:t>
      </w:r>
      <w:r w:rsidR="00D9653F" w:rsidRPr="001F44FB">
        <w:rPr>
          <w:rFonts w:ascii="Arial" w:eastAsia="SimSun" w:hAnsi="Arial" w:cs="Arial"/>
          <w:sz w:val="22"/>
          <w:szCs w:val="22"/>
          <w:lang w:val="fr-FR"/>
        </w:rPr>
        <w:t xml:space="preserve"> été attribués, ce qui laiss</w:t>
      </w:r>
      <w:r w:rsidR="00D9653F">
        <w:rPr>
          <w:rFonts w:ascii="Arial" w:eastAsia="SimSun" w:hAnsi="Arial" w:cs="Arial"/>
          <w:sz w:val="22"/>
          <w:szCs w:val="22"/>
          <w:lang w:val="fr-FR"/>
        </w:rPr>
        <w:t>ait</w:t>
      </w:r>
      <w:r w:rsidR="00D9653F" w:rsidRPr="001F44FB">
        <w:rPr>
          <w:rFonts w:ascii="Arial" w:eastAsia="SimSun" w:hAnsi="Arial" w:cs="Arial"/>
          <w:sz w:val="22"/>
          <w:szCs w:val="22"/>
          <w:lang w:val="fr-FR"/>
        </w:rPr>
        <w:t xml:space="preserve"> trois sièges pour le </w:t>
      </w:r>
      <w:r w:rsidR="00D9653F">
        <w:rPr>
          <w:rFonts w:ascii="Arial" w:eastAsia="SimSun" w:hAnsi="Arial" w:cs="Arial"/>
          <w:sz w:val="22"/>
          <w:szCs w:val="22"/>
          <w:lang w:val="fr-FR"/>
        </w:rPr>
        <w:t>G</w:t>
      </w:r>
      <w:r w:rsidR="00D9653F" w:rsidRPr="001F44FB">
        <w:rPr>
          <w:rFonts w:ascii="Arial" w:eastAsia="SimSun" w:hAnsi="Arial" w:cs="Arial"/>
          <w:sz w:val="22"/>
          <w:szCs w:val="22"/>
          <w:lang w:val="fr-FR"/>
        </w:rPr>
        <w:t xml:space="preserve">roupe I, trois sièges pour le </w:t>
      </w:r>
      <w:r w:rsidR="00D9653F">
        <w:rPr>
          <w:rFonts w:ascii="Arial" w:eastAsia="SimSun" w:hAnsi="Arial" w:cs="Arial"/>
          <w:sz w:val="22"/>
          <w:szCs w:val="22"/>
          <w:lang w:val="fr-FR"/>
        </w:rPr>
        <w:t>G</w:t>
      </w:r>
      <w:r w:rsidR="00D9653F" w:rsidRPr="001F44FB">
        <w:rPr>
          <w:rFonts w:ascii="Arial" w:eastAsia="SimSun" w:hAnsi="Arial" w:cs="Arial"/>
          <w:sz w:val="22"/>
          <w:szCs w:val="22"/>
          <w:lang w:val="fr-FR"/>
        </w:rPr>
        <w:t xml:space="preserve">roupe II et quatre sièges pour le </w:t>
      </w:r>
      <w:r w:rsidR="00D9653F">
        <w:rPr>
          <w:rFonts w:ascii="Arial" w:eastAsia="SimSun" w:hAnsi="Arial" w:cs="Arial"/>
          <w:sz w:val="22"/>
          <w:szCs w:val="22"/>
          <w:lang w:val="fr-FR"/>
        </w:rPr>
        <w:t>G</w:t>
      </w:r>
      <w:r w:rsidR="00D9653F" w:rsidRPr="001F44FB">
        <w:rPr>
          <w:rFonts w:ascii="Arial" w:eastAsia="SimSun" w:hAnsi="Arial" w:cs="Arial"/>
          <w:sz w:val="22"/>
          <w:szCs w:val="22"/>
          <w:lang w:val="fr-FR"/>
        </w:rPr>
        <w:t>roupe III.</w:t>
      </w:r>
    </w:p>
    <w:p w14:paraId="078BCDBC" w14:textId="0DFD5AC1" w:rsidR="00D9653F" w:rsidRPr="00CD02FF"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CD02FF">
        <w:rPr>
          <w:rFonts w:ascii="Arial" w:eastAsia="SimSun" w:hAnsi="Arial" w:cs="Arial"/>
          <w:sz w:val="22"/>
          <w:szCs w:val="22"/>
          <w:lang w:val="fr-FR"/>
        </w:rPr>
        <w:t xml:space="preserve">Le </w:t>
      </w:r>
      <w:r w:rsidRPr="00CD02FF">
        <w:rPr>
          <w:rFonts w:ascii="Arial" w:eastAsia="SimSun" w:hAnsi="Arial" w:cs="Arial"/>
          <w:b/>
          <w:bCs/>
          <w:sz w:val="22"/>
          <w:szCs w:val="22"/>
          <w:lang w:val="fr-FR"/>
        </w:rPr>
        <w:t>Sous-Directeur général</w:t>
      </w:r>
      <w:r w:rsidRPr="00CD02FF">
        <w:rPr>
          <w:rFonts w:ascii="Arial" w:eastAsia="SimSun" w:hAnsi="Arial" w:cs="Arial"/>
          <w:sz w:val="22"/>
          <w:szCs w:val="22"/>
          <w:lang w:val="fr-FR"/>
        </w:rPr>
        <w:t xml:space="preserve"> a fait remarquer que la </w:t>
      </w:r>
      <w:r w:rsidR="002512C5">
        <w:rPr>
          <w:rFonts w:ascii="Arial" w:eastAsia="SimSun" w:hAnsi="Arial" w:cs="Arial"/>
          <w:sz w:val="22"/>
          <w:szCs w:val="22"/>
          <w:lang w:val="fr-FR"/>
        </w:rPr>
        <w:t>distribution</w:t>
      </w:r>
      <w:r w:rsidRPr="00CD02FF">
        <w:rPr>
          <w:rFonts w:ascii="Arial" w:eastAsia="SimSun" w:hAnsi="Arial" w:cs="Arial"/>
          <w:sz w:val="22"/>
          <w:szCs w:val="22"/>
          <w:lang w:val="fr-FR"/>
        </w:rPr>
        <w:t xml:space="preserve"> des sièges n</w:t>
      </w:r>
      <w:r w:rsidR="008E532B">
        <w:rPr>
          <w:rFonts w:ascii="Arial" w:eastAsia="SimSun" w:hAnsi="Arial" w:cs="Arial"/>
          <w:sz w:val="22"/>
          <w:szCs w:val="22"/>
          <w:lang w:val="fr-FR"/>
        </w:rPr>
        <w:t>’</w:t>
      </w:r>
      <w:r w:rsidRPr="00CD02FF">
        <w:rPr>
          <w:rFonts w:ascii="Arial" w:eastAsia="SimSun" w:hAnsi="Arial" w:cs="Arial"/>
          <w:sz w:val="22"/>
          <w:szCs w:val="22"/>
          <w:lang w:val="fr-FR"/>
        </w:rPr>
        <w:t>avait pas changé par rapport à la session précédente de l</w:t>
      </w:r>
      <w:r w:rsidR="008E532B">
        <w:rPr>
          <w:rFonts w:ascii="Arial" w:eastAsia="SimSun" w:hAnsi="Arial" w:cs="Arial"/>
          <w:sz w:val="22"/>
          <w:szCs w:val="22"/>
          <w:lang w:val="fr-FR"/>
        </w:rPr>
        <w:t>’</w:t>
      </w:r>
      <w:r w:rsidRPr="00CD02FF">
        <w:rPr>
          <w:rFonts w:ascii="Arial" w:eastAsia="SimSun" w:hAnsi="Arial" w:cs="Arial"/>
          <w:sz w:val="22"/>
          <w:szCs w:val="22"/>
          <w:lang w:val="fr-FR"/>
        </w:rPr>
        <w:t>Assemblée, malgré l</w:t>
      </w:r>
      <w:r w:rsidR="008E532B">
        <w:rPr>
          <w:rFonts w:ascii="Arial" w:eastAsia="SimSun" w:hAnsi="Arial" w:cs="Arial"/>
          <w:sz w:val="22"/>
          <w:szCs w:val="22"/>
          <w:lang w:val="fr-FR"/>
        </w:rPr>
        <w:t>’</w:t>
      </w:r>
      <w:r w:rsidRPr="00CD02FF">
        <w:rPr>
          <w:rFonts w:ascii="Arial" w:eastAsia="SimSun" w:hAnsi="Arial" w:cs="Arial"/>
          <w:sz w:val="22"/>
          <w:szCs w:val="22"/>
          <w:lang w:val="fr-FR"/>
        </w:rPr>
        <w:t>augmentation du nombre d</w:t>
      </w:r>
      <w:r w:rsidR="008E532B">
        <w:rPr>
          <w:rFonts w:ascii="Arial" w:eastAsia="SimSun" w:hAnsi="Arial" w:cs="Arial"/>
          <w:sz w:val="22"/>
          <w:szCs w:val="22"/>
          <w:lang w:val="fr-FR"/>
        </w:rPr>
        <w:t>’</w:t>
      </w:r>
      <w:r w:rsidRPr="00CD02FF">
        <w:rPr>
          <w:rFonts w:ascii="Arial" w:eastAsia="SimSun" w:hAnsi="Arial" w:cs="Arial"/>
          <w:sz w:val="22"/>
          <w:szCs w:val="22"/>
          <w:lang w:val="fr-FR"/>
        </w:rPr>
        <w:t>États parties</w:t>
      </w:r>
      <w:r>
        <w:rPr>
          <w:rFonts w:ascii="Arial" w:eastAsia="SimSun" w:hAnsi="Arial" w:cs="Arial"/>
          <w:sz w:val="22"/>
          <w:szCs w:val="22"/>
          <w:lang w:val="fr-FR"/>
        </w:rPr>
        <w:t xml:space="preserve">, </w:t>
      </w:r>
      <w:r w:rsidRPr="00CD02FF">
        <w:rPr>
          <w:rFonts w:ascii="Arial" w:eastAsia="SimSun" w:hAnsi="Arial" w:cs="Arial"/>
          <w:sz w:val="22"/>
          <w:szCs w:val="22"/>
          <w:lang w:val="fr-FR"/>
        </w:rPr>
        <w:t>avec la Somalie et l</w:t>
      </w:r>
      <w:r w:rsidR="008E532B">
        <w:rPr>
          <w:rFonts w:ascii="Arial" w:eastAsia="SimSun" w:hAnsi="Arial" w:cs="Arial"/>
          <w:sz w:val="22"/>
          <w:szCs w:val="22"/>
          <w:lang w:val="fr-FR"/>
        </w:rPr>
        <w:t>’</w:t>
      </w:r>
      <w:r w:rsidRPr="00CD02FF">
        <w:rPr>
          <w:rFonts w:ascii="Arial" w:eastAsia="SimSun" w:hAnsi="Arial" w:cs="Arial"/>
          <w:sz w:val="22"/>
          <w:szCs w:val="22"/>
          <w:lang w:val="fr-FR"/>
        </w:rPr>
        <w:t xml:space="preserve">Angola. Cela était dû </w:t>
      </w:r>
      <w:r w:rsidR="002512C5">
        <w:rPr>
          <w:rFonts w:ascii="Arial" w:eastAsia="SimSun" w:hAnsi="Arial" w:cs="Arial"/>
          <w:sz w:val="22"/>
          <w:szCs w:val="22"/>
          <w:lang w:val="fr-FR"/>
        </w:rPr>
        <w:t>aux</w:t>
      </w:r>
      <w:r w:rsidRPr="00CD02FF">
        <w:rPr>
          <w:rFonts w:ascii="Arial" w:eastAsia="SimSun" w:hAnsi="Arial" w:cs="Arial"/>
          <w:sz w:val="22"/>
          <w:szCs w:val="22"/>
          <w:lang w:val="fr-FR"/>
        </w:rPr>
        <w:t xml:space="preserve"> 180 États parties ayant désormais ratifié la Convention.</w:t>
      </w:r>
    </w:p>
    <w:p w14:paraId="21E9A234" w14:textId="57505BF6" w:rsidR="00D9653F" w:rsidRPr="00D76503" w:rsidRDefault="00D9653F" w:rsidP="00D76503">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En l</w:t>
      </w:r>
      <w:r w:rsidR="008E532B">
        <w:rPr>
          <w:rFonts w:ascii="Arial" w:eastAsia="SimSun" w:hAnsi="Arial" w:cs="Arial"/>
          <w:sz w:val="22"/>
          <w:szCs w:val="22"/>
          <w:lang w:val="fr-FR"/>
        </w:rPr>
        <w:t>’</w:t>
      </w:r>
      <w:r>
        <w:rPr>
          <w:rFonts w:ascii="Arial" w:eastAsia="SimSun" w:hAnsi="Arial" w:cs="Arial"/>
          <w:sz w:val="22"/>
          <w:szCs w:val="22"/>
          <w:lang w:val="fr-FR"/>
        </w:rPr>
        <w:t>absence d</w:t>
      </w:r>
      <w:r w:rsidR="008E532B">
        <w:rPr>
          <w:rFonts w:ascii="Arial" w:eastAsia="SimSun" w:hAnsi="Arial" w:cs="Arial"/>
          <w:sz w:val="22"/>
          <w:szCs w:val="22"/>
          <w:lang w:val="fr-FR"/>
        </w:rPr>
        <w:t>’</w:t>
      </w:r>
      <w:r>
        <w:rPr>
          <w:rFonts w:ascii="Arial" w:eastAsia="SimSun" w:hAnsi="Arial" w:cs="Arial"/>
          <w:sz w:val="22"/>
          <w:szCs w:val="22"/>
          <w:lang w:val="fr-FR"/>
        </w:rPr>
        <w:t xml:space="preserve">autres commentaires, la </w:t>
      </w:r>
      <w:r w:rsidRPr="00CD02FF">
        <w:rPr>
          <w:rFonts w:ascii="Arial" w:eastAsia="SimSun" w:hAnsi="Arial" w:cs="Arial"/>
          <w:b/>
          <w:bCs/>
          <w:sz w:val="22"/>
          <w:szCs w:val="22"/>
          <w:lang w:val="fr-FR"/>
        </w:rPr>
        <w:t>Présidente a déclaré la résolution 9.GA 4 adoptée</w:t>
      </w:r>
      <w:r>
        <w:rPr>
          <w:rFonts w:ascii="Arial" w:eastAsia="SimSun" w:hAnsi="Arial" w:cs="Arial"/>
          <w:sz w:val="22"/>
          <w:szCs w:val="22"/>
          <w:lang w:val="fr-FR"/>
        </w:rPr>
        <w:t>.</w:t>
      </w:r>
    </w:p>
    <w:p w14:paraId="1B0079F0" w14:textId="40E4D75D" w:rsidR="00D9653F" w:rsidRPr="00A96116" w:rsidRDefault="00D9653F" w:rsidP="00D76503">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val="fr-FR" w:eastAsia="en-GB"/>
        </w:rPr>
      </w:pPr>
      <w:r w:rsidRPr="00A96116">
        <w:rPr>
          <w:rFonts w:eastAsiaTheme="minorEastAsia" w:cs="Arial"/>
          <w:b/>
          <w:color w:val="000000" w:themeColor="text1"/>
          <w:szCs w:val="22"/>
          <w:u w:val="single"/>
          <w:lang w:val="fr-FR" w:eastAsia="en-GB"/>
        </w:rPr>
        <w:t>POINT 5 DE L</w:t>
      </w:r>
      <w:r w:rsidR="008E532B">
        <w:rPr>
          <w:rFonts w:eastAsiaTheme="minorEastAsia" w:cs="Arial"/>
          <w:b/>
          <w:color w:val="000000" w:themeColor="text1"/>
          <w:szCs w:val="22"/>
          <w:u w:val="single"/>
          <w:lang w:val="fr-FR" w:eastAsia="en-GB"/>
        </w:rPr>
        <w:t>’</w:t>
      </w:r>
      <w:r w:rsidRPr="00A96116">
        <w:rPr>
          <w:rFonts w:eastAsiaTheme="minorEastAsia" w:cs="Arial"/>
          <w:b/>
          <w:color w:val="000000" w:themeColor="text1"/>
          <w:szCs w:val="22"/>
          <w:u w:val="single"/>
          <w:lang w:val="fr-FR" w:eastAsia="en-GB"/>
        </w:rPr>
        <w:t xml:space="preserve">ORDRE DU JOUR : </w:t>
      </w:r>
    </w:p>
    <w:p w14:paraId="09B2A3B3" w14:textId="2626F350" w:rsidR="00D9653F" w:rsidRPr="00D76503" w:rsidRDefault="00D9653F" w:rsidP="000438FF">
      <w:pPr>
        <w:pStyle w:val="Marge"/>
        <w:keepNext/>
        <w:tabs>
          <w:tab w:val="clear" w:pos="567"/>
        </w:tabs>
        <w:spacing w:after="120"/>
        <w:outlineLvl w:val="0"/>
        <w:rPr>
          <w:rFonts w:eastAsiaTheme="minorHAnsi"/>
          <w:b/>
          <w:color w:val="000000" w:themeColor="text1"/>
          <w:lang w:val="fr-FR"/>
        </w:rPr>
      </w:pPr>
      <w:r w:rsidRPr="00D76503">
        <w:rPr>
          <w:rFonts w:eastAsiaTheme="minorHAnsi"/>
          <w:b/>
          <w:color w:val="000000" w:themeColor="text1"/>
          <w:lang w:val="fr-FR"/>
        </w:rPr>
        <w:t>RAPPORT DU COMITÉ À L</w:t>
      </w:r>
      <w:r w:rsidR="008E532B">
        <w:rPr>
          <w:rFonts w:eastAsiaTheme="minorHAnsi"/>
          <w:b/>
          <w:color w:val="000000" w:themeColor="text1"/>
          <w:lang w:val="fr-FR"/>
        </w:rPr>
        <w:t>’</w:t>
      </w:r>
      <w:r w:rsidRPr="00D76503">
        <w:rPr>
          <w:rFonts w:eastAsiaTheme="minorHAnsi"/>
          <w:b/>
          <w:color w:val="000000" w:themeColor="text1"/>
          <w:lang w:val="fr-FR"/>
        </w:rPr>
        <w:t>ASSEMBLÉE GÉNÉRALE (DE JANVIER 2020 À</w:t>
      </w:r>
      <w:r w:rsidR="00D76503" w:rsidRPr="00D76503">
        <w:rPr>
          <w:rFonts w:eastAsiaTheme="minorHAnsi"/>
          <w:b/>
          <w:color w:val="000000" w:themeColor="text1"/>
          <w:lang w:val="fr-FR"/>
        </w:rPr>
        <w:t xml:space="preserve"> </w:t>
      </w:r>
      <w:r w:rsidRPr="00D76503">
        <w:rPr>
          <w:rFonts w:eastAsiaTheme="minorHAnsi"/>
          <w:b/>
          <w:color w:val="000000" w:themeColor="text1"/>
          <w:lang w:val="fr-FR"/>
        </w:rPr>
        <w:t>DÉCEMBRE 2021)</w:t>
      </w:r>
    </w:p>
    <w:p w14:paraId="253EC05A" w14:textId="6DDA1A77" w:rsidR="00D9653F" w:rsidRPr="00492E32" w:rsidRDefault="00D9653F" w:rsidP="000438FF">
      <w:pPr>
        <w:tabs>
          <w:tab w:val="left" w:pos="567"/>
          <w:tab w:val="left" w:pos="2127"/>
        </w:tabs>
        <w:suppressAutoHyphens/>
        <w:autoSpaceDE w:val="0"/>
        <w:spacing w:after="120"/>
        <w:jc w:val="both"/>
        <w:rPr>
          <w:rFonts w:ascii="Arial" w:hAnsi="Arial" w:cs="Arial"/>
          <w:bCs/>
          <w:i/>
          <w:iCs/>
          <w:sz w:val="22"/>
          <w:szCs w:val="22"/>
          <w:lang w:val="fr-FR"/>
        </w:rPr>
      </w:pPr>
      <w:r w:rsidRPr="00492E32">
        <w:rPr>
          <w:rFonts w:ascii="Arial" w:hAnsi="Arial" w:cs="Arial"/>
          <w:b/>
          <w:sz w:val="22"/>
          <w:szCs w:val="22"/>
          <w:lang w:val="fr-FR"/>
        </w:rPr>
        <w:tab/>
      </w:r>
      <w:r>
        <w:rPr>
          <w:rFonts w:ascii="Arial" w:hAnsi="Arial" w:cs="Arial"/>
          <w:b/>
          <w:sz w:val="22"/>
          <w:szCs w:val="22"/>
          <w:lang w:val="fr-FR"/>
        </w:rPr>
        <w:t>Document</w:t>
      </w:r>
      <w:r w:rsidR="008E532B">
        <w:rPr>
          <w:rFonts w:ascii="Arial" w:hAnsi="Arial" w:cs="Arial"/>
          <w:b/>
          <w:sz w:val="22"/>
          <w:szCs w:val="22"/>
          <w:lang w:val="fr-FR"/>
        </w:rPr>
        <w:t> </w:t>
      </w:r>
      <w:r>
        <w:rPr>
          <w:rFonts w:ascii="Arial" w:hAnsi="Arial" w:cs="Arial"/>
          <w:b/>
          <w:sz w:val="22"/>
          <w:szCs w:val="22"/>
          <w:lang w:val="fr-FR"/>
        </w:rPr>
        <w:t>:</w:t>
      </w:r>
      <w:r w:rsidR="008E532B">
        <w:rPr>
          <w:rFonts w:ascii="Arial" w:hAnsi="Arial" w:cs="Arial"/>
          <w:b/>
          <w:sz w:val="22"/>
          <w:szCs w:val="22"/>
          <w:lang w:val="fr-FR"/>
        </w:rPr>
        <w:tab/>
      </w:r>
      <w:hyperlink r:id="rId25" w:history="1">
        <w:r w:rsidRPr="00492E32">
          <w:rPr>
            <w:rStyle w:val="Hyperlink"/>
            <w:rFonts w:ascii="Arial" w:hAnsi="Arial" w:cs="Arial"/>
            <w:bCs/>
            <w:i/>
            <w:iCs/>
            <w:sz w:val="22"/>
            <w:szCs w:val="22"/>
            <w:lang w:val="fr-FR"/>
          </w:rPr>
          <w:t>LHE/22/9.GA/5</w:t>
        </w:r>
      </w:hyperlink>
    </w:p>
    <w:p w14:paraId="2CB24C01" w14:textId="324E56DE" w:rsidR="00D9653F" w:rsidRPr="00D76503" w:rsidRDefault="00D9653F" w:rsidP="000438FF">
      <w:pPr>
        <w:tabs>
          <w:tab w:val="left" w:pos="567"/>
          <w:tab w:val="left" w:pos="709"/>
          <w:tab w:val="left" w:pos="2127"/>
        </w:tabs>
        <w:suppressAutoHyphens/>
        <w:autoSpaceDE w:val="0"/>
        <w:spacing w:before="120" w:after="240"/>
        <w:jc w:val="both"/>
        <w:rPr>
          <w:rFonts w:ascii="Arial" w:hAnsi="Arial" w:cs="Arial"/>
          <w:bCs/>
          <w:i/>
          <w:iCs/>
          <w:sz w:val="22"/>
          <w:szCs w:val="22"/>
          <w:lang w:val="fr-FR"/>
        </w:rPr>
      </w:pPr>
      <w:r w:rsidRPr="00492E32">
        <w:rPr>
          <w:rFonts w:ascii="Arial" w:hAnsi="Arial" w:cs="Arial"/>
          <w:bCs/>
          <w:i/>
          <w:iCs/>
          <w:sz w:val="22"/>
          <w:szCs w:val="22"/>
          <w:lang w:val="fr-FR"/>
        </w:rPr>
        <w:tab/>
      </w:r>
      <w:r w:rsidRPr="000438FF">
        <w:rPr>
          <w:rFonts w:ascii="Arial" w:eastAsiaTheme="minorEastAsia" w:hAnsi="Arial" w:cs="Arial"/>
          <w:b/>
          <w:snapToGrid w:val="0"/>
          <w:color w:val="000000" w:themeColor="text1"/>
          <w:sz w:val="22"/>
          <w:szCs w:val="22"/>
          <w:lang w:val="fr-FR" w:eastAsia="en-GB"/>
        </w:rPr>
        <w:t>Résolution :</w:t>
      </w:r>
      <w:r w:rsidR="008E532B" w:rsidRPr="000438FF">
        <w:rPr>
          <w:rFonts w:ascii="Arial" w:eastAsiaTheme="minorEastAsia" w:hAnsi="Arial" w:cs="Arial"/>
          <w:b/>
          <w:snapToGrid w:val="0"/>
          <w:color w:val="000000" w:themeColor="text1"/>
          <w:sz w:val="22"/>
          <w:szCs w:val="22"/>
          <w:lang w:val="fr-FR" w:eastAsia="en-GB"/>
        </w:rPr>
        <w:tab/>
      </w:r>
      <w:hyperlink r:id="rId26" w:history="1">
        <w:r w:rsidRPr="00492E32">
          <w:rPr>
            <w:rStyle w:val="Hyperlink"/>
            <w:rFonts w:ascii="Arial" w:hAnsi="Arial" w:cs="Arial"/>
            <w:bCs/>
            <w:i/>
            <w:iCs/>
            <w:sz w:val="22"/>
            <w:szCs w:val="22"/>
            <w:lang w:val="fr-FR"/>
          </w:rPr>
          <w:t>9.GA 5</w:t>
        </w:r>
      </w:hyperlink>
    </w:p>
    <w:p w14:paraId="4F1A9EE6" w14:textId="3802C15F" w:rsidR="00D9653F" w:rsidRPr="00492E32" w:rsidRDefault="00D9653F" w:rsidP="00D76503">
      <w:pPr>
        <w:numPr>
          <w:ilvl w:val="0"/>
          <w:numId w:val="19"/>
        </w:numPr>
        <w:suppressAutoHyphens/>
        <w:autoSpaceDE w:val="0"/>
        <w:spacing w:before="120"/>
        <w:ind w:left="567" w:hanging="567"/>
        <w:jc w:val="both"/>
        <w:rPr>
          <w:rFonts w:ascii="Arial" w:eastAsia="SimSun" w:hAnsi="Arial" w:cs="Arial"/>
          <w:sz w:val="22"/>
          <w:szCs w:val="22"/>
          <w:lang w:val="fr-FR"/>
        </w:rPr>
      </w:pPr>
      <w:r w:rsidRPr="00492E32">
        <w:rPr>
          <w:rFonts w:ascii="Arial" w:eastAsia="SimSun" w:hAnsi="Arial" w:cs="Arial"/>
          <w:sz w:val="22"/>
          <w:szCs w:val="22"/>
          <w:lang w:val="fr-FR"/>
        </w:rPr>
        <w:t xml:space="preserve">La </w:t>
      </w:r>
      <w:r w:rsidRPr="00492E32">
        <w:rPr>
          <w:rFonts w:ascii="Arial" w:eastAsia="SimSun" w:hAnsi="Arial" w:cs="Arial"/>
          <w:b/>
          <w:bCs/>
          <w:sz w:val="22"/>
          <w:szCs w:val="22"/>
          <w:lang w:val="fr-FR"/>
        </w:rPr>
        <w:t>Présidente</w:t>
      </w:r>
      <w:r w:rsidRPr="00492E32">
        <w:rPr>
          <w:rFonts w:ascii="Arial" w:eastAsia="SimSun" w:hAnsi="Arial" w:cs="Arial"/>
          <w:sz w:val="22"/>
          <w:szCs w:val="22"/>
          <w:lang w:val="fr-FR"/>
        </w:rPr>
        <w:t xml:space="preserve"> </w:t>
      </w:r>
      <w:r>
        <w:rPr>
          <w:rFonts w:ascii="Arial" w:eastAsia="SimSun" w:hAnsi="Arial" w:cs="Arial"/>
          <w:sz w:val="22"/>
          <w:szCs w:val="22"/>
          <w:lang w:val="fr-FR"/>
        </w:rPr>
        <w:t xml:space="preserve">est </w:t>
      </w:r>
      <w:r w:rsidRPr="00492E32">
        <w:rPr>
          <w:rFonts w:ascii="Arial" w:eastAsia="SimSun" w:hAnsi="Arial" w:cs="Arial"/>
          <w:sz w:val="22"/>
          <w:szCs w:val="22"/>
          <w:lang w:val="fr-FR"/>
        </w:rPr>
        <w:t>pass</w:t>
      </w:r>
      <w:r>
        <w:rPr>
          <w:rFonts w:ascii="Arial" w:eastAsia="SimSun" w:hAnsi="Arial" w:cs="Arial"/>
          <w:sz w:val="22"/>
          <w:szCs w:val="22"/>
          <w:lang w:val="fr-FR"/>
        </w:rPr>
        <w:t>é</w:t>
      </w:r>
      <w:r w:rsidRPr="00492E32">
        <w:rPr>
          <w:rFonts w:ascii="Arial" w:eastAsia="SimSun" w:hAnsi="Arial" w:cs="Arial"/>
          <w:sz w:val="22"/>
          <w:szCs w:val="22"/>
          <w:lang w:val="fr-FR"/>
        </w:rPr>
        <w:t>e au point</w:t>
      </w:r>
      <w:r>
        <w:rPr>
          <w:rFonts w:ascii="Arial" w:eastAsia="SimSun" w:hAnsi="Arial" w:cs="Arial"/>
          <w:sz w:val="22"/>
          <w:szCs w:val="22"/>
          <w:lang w:val="fr-FR"/>
        </w:rPr>
        <w:t> </w:t>
      </w:r>
      <w:r w:rsidRPr="00492E32">
        <w:rPr>
          <w:rFonts w:ascii="Arial" w:eastAsia="SimSun" w:hAnsi="Arial" w:cs="Arial"/>
          <w:sz w:val="22"/>
          <w:szCs w:val="22"/>
          <w:lang w:val="fr-FR"/>
        </w:rPr>
        <w:t>5</w:t>
      </w:r>
      <w:r>
        <w:rPr>
          <w:rFonts w:ascii="Arial" w:eastAsia="SimSun" w:hAnsi="Arial" w:cs="Arial"/>
          <w:sz w:val="22"/>
          <w:szCs w:val="22"/>
          <w:lang w:val="fr-FR"/>
        </w:rPr>
        <w:t>, le</w:t>
      </w:r>
      <w:r w:rsidRPr="00492E32">
        <w:rPr>
          <w:rFonts w:ascii="Arial" w:eastAsia="SimSun" w:hAnsi="Arial" w:cs="Arial"/>
          <w:sz w:val="22"/>
          <w:szCs w:val="22"/>
          <w:lang w:val="fr-FR"/>
        </w:rPr>
        <w:t xml:space="preserve"> Rapport du Comité à l</w:t>
      </w:r>
      <w:r w:rsidR="008E532B">
        <w:rPr>
          <w:rFonts w:ascii="Arial" w:eastAsia="SimSun" w:hAnsi="Arial" w:cs="Arial"/>
          <w:sz w:val="22"/>
          <w:szCs w:val="22"/>
          <w:lang w:val="fr-FR"/>
        </w:rPr>
        <w:t>’</w:t>
      </w:r>
      <w:r w:rsidRPr="00492E32">
        <w:rPr>
          <w:rFonts w:ascii="Arial" w:eastAsia="SimSun" w:hAnsi="Arial" w:cs="Arial"/>
          <w:sz w:val="22"/>
          <w:szCs w:val="22"/>
          <w:lang w:val="fr-FR"/>
        </w:rPr>
        <w:t>Assemblée générale couvrant la période de janvier</w:t>
      </w:r>
      <w:r>
        <w:rPr>
          <w:rFonts w:ascii="Arial" w:eastAsia="SimSun" w:hAnsi="Arial" w:cs="Arial"/>
          <w:sz w:val="22"/>
          <w:szCs w:val="22"/>
          <w:lang w:val="fr-FR"/>
        </w:rPr>
        <w:t> </w:t>
      </w:r>
      <w:r w:rsidRPr="00492E32">
        <w:rPr>
          <w:rFonts w:ascii="Arial" w:eastAsia="SimSun" w:hAnsi="Arial" w:cs="Arial"/>
          <w:sz w:val="22"/>
          <w:szCs w:val="22"/>
          <w:lang w:val="fr-FR"/>
        </w:rPr>
        <w:t>2020 à décembre</w:t>
      </w:r>
      <w:r>
        <w:rPr>
          <w:rFonts w:ascii="Arial" w:eastAsia="SimSun" w:hAnsi="Arial" w:cs="Arial"/>
          <w:sz w:val="22"/>
          <w:szCs w:val="22"/>
          <w:lang w:val="fr-FR"/>
        </w:rPr>
        <w:t> </w:t>
      </w:r>
      <w:r w:rsidRPr="00492E32">
        <w:rPr>
          <w:rFonts w:ascii="Arial" w:eastAsia="SimSun" w:hAnsi="Arial" w:cs="Arial"/>
          <w:sz w:val="22"/>
          <w:szCs w:val="22"/>
          <w:lang w:val="fr-FR"/>
        </w:rPr>
        <w:t xml:space="preserve">2021. Elle </w:t>
      </w:r>
      <w:r>
        <w:rPr>
          <w:rFonts w:ascii="Arial" w:eastAsia="SimSun" w:hAnsi="Arial" w:cs="Arial"/>
          <w:sz w:val="22"/>
          <w:szCs w:val="22"/>
          <w:lang w:val="fr-FR"/>
        </w:rPr>
        <w:t xml:space="preserve">a </w:t>
      </w:r>
      <w:r w:rsidRPr="00492E32">
        <w:rPr>
          <w:rFonts w:ascii="Arial" w:eastAsia="SimSun" w:hAnsi="Arial" w:cs="Arial"/>
          <w:sz w:val="22"/>
          <w:szCs w:val="22"/>
          <w:lang w:val="fr-FR"/>
        </w:rPr>
        <w:t>commenc</w:t>
      </w:r>
      <w:r>
        <w:rPr>
          <w:rFonts w:ascii="Arial" w:eastAsia="SimSun" w:hAnsi="Arial" w:cs="Arial"/>
          <w:sz w:val="22"/>
          <w:szCs w:val="22"/>
          <w:lang w:val="fr-FR"/>
        </w:rPr>
        <w:t>é</w:t>
      </w:r>
      <w:r w:rsidRPr="00492E32">
        <w:rPr>
          <w:rFonts w:ascii="Arial" w:eastAsia="SimSun" w:hAnsi="Arial" w:cs="Arial"/>
          <w:sz w:val="22"/>
          <w:szCs w:val="22"/>
          <w:lang w:val="fr-FR"/>
        </w:rPr>
        <w:t xml:space="preserve"> par exprimer sa sincère gratitude aux Présidents des </w:t>
      </w:r>
      <w:r>
        <w:rPr>
          <w:rFonts w:ascii="Arial" w:eastAsia="SimSun" w:hAnsi="Arial" w:cs="Arial"/>
          <w:sz w:val="22"/>
          <w:szCs w:val="22"/>
          <w:lang w:val="fr-FR"/>
        </w:rPr>
        <w:t xml:space="preserve">quinzième et </w:t>
      </w:r>
      <w:proofErr w:type="gramStart"/>
      <w:r>
        <w:rPr>
          <w:rFonts w:ascii="Arial" w:eastAsia="SimSun" w:hAnsi="Arial" w:cs="Arial"/>
          <w:sz w:val="22"/>
          <w:szCs w:val="22"/>
          <w:lang w:val="fr-FR"/>
        </w:rPr>
        <w:t xml:space="preserve">seizième </w:t>
      </w:r>
      <w:r w:rsidRPr="00492E32">
        <w:rPr>
          <w:rFonts w:ascii="Arial" w:eastAsia="SimSun" w:hAnsi="Arial" w:cs="Arial"/>
          <w:sz w:val="22"/>
          <w:szCs w:val="22"/>
          <w:lang w:val="fr-FR"/>
        </w:rPr>
        <w:t>sessions</w:t>
      </w:r>
      <w:proofErr w:type="gramEnd"/>
      <w:r w:rsidRPr="00492E32">
        <w:rPr>
          <w:rFonts w:ascii="Arial" w:eastAsia="SimSun" w:hAnsi="Arial" w:cs="Arial"/>
          <w:sz w:val="22"/>
          <w:szCs w:val="22"/>
          <w:lang w:val="fr-FR"/>
        </w:rPr>
        <w:t xml:space="preserve"> du Comité, </w:t>
      </w:r>
      <w:r w:rsidR="008E532B">
        <w:rPr>
          <w:rFonts w:ascii="Arial" w:eastAsia="SimSun" w:hAnsi="Arial" w:cs="Arial"/>
          <w:sz w:val="22"/>
          <w:szCs w:val="22"/>
          <w:lang w:val="fr-FR"/>
        </w:rPr>
        <w:t>l’honorable</w:t>
      </w:r>
      <w:r w:rsidRPr="00492E32">
        <w:rPr>
          <w:rFonts w:ascii="Arial" w:eastAsia="SimSun" w:hAnsi="Arial" w:cs="Arial"/>
          <w:sz w:val="22"/>
          <w:szCs w:val="22"/>
          <w:lang w:val="fr-FR"/>
        </w:rPr>
        <w:t xml:space="preserve"> </w:t>
      </w:r>
      <w:r w:rsidR="008D65C3">
        <w:rPr>
          <w:rFonts w:ascii="Arial" w:eastAsia="SimSun" w:hAnsi="Arial" w:cs="Arial"/>
          <w:sz w:val="22"/>
          <w:szCs w:val="22"/>
          <w:lang w:val="fr-FR"/>
        </w:rPr>
        <w:t>Mme</w:t>
      </w:r>
      <w:r w:rsidRPr="00492E32">
        <w:rPr>
          <w:rFonts w:ascii="Arial" w:eastAsia="SimSun" w:hAnsi="Arial" w:cs="Arial"/>
          <w:sz w:val="22"/>
          <w:szCs w:val="22"/>
          <w:lang w:val="fr-FR"/>
        </w:rPr>
        <w:t xml:space="preserve"> Olivia Grange</w:t>
      </w:r>
      <w:r w:rsidR="008E532B">
        <w:rPr>
          <w:rFonts w:ascii="Arial" w:eastAsia="SimSun" w:hAnsi="Arial" w:cs="Arial"/>
          <w:sz w:val="22"/>
          <w:szCs w:val="22"/>
          <w:lang w:val="fr-FR"/>
        </w:rPr>
        <w:t xml:space="preserve">, </w:t>
      </w:r>
      <w:r w:rsidR="00A73EEF" w:rsidRPr="00A73EEF">
        <w:rPr>
          <w:rFonts w:ascii="Arial" w:eastAsia="SimSun" w:hAnsi="Arial" w:cs="Arial"/>
          <w:sz w:val="22"/>
          <w:szCs w:val="22"/>
          <w:lang w:val="fr-FR"/>
        </w:rPr>
        <w:t>Ministre de la culture, du genre, du divertissement et du sport de la Jamaïque</w:t>
      </w:r>
      <w:r w:rsidRPr="00492E32">
        <w:rPr>
          <w:rFonts w:ascii="Arial" w:eastAsia="SimSun" w:hAnsi="Arial" w:cs="Arial"/>
          <w:sz w:val="22"/>
          <w:szCs w:val="22"/>
          <w:lang w:val="fr-FR"/>
        </w:rPr>
        <w:t xml:space="preserve"> et M. </w:t>
      </w:r>
      <w:proofErr w:type="spellStart"/>
      <w:r w:rsidRPr="00492E32">
        <w:rPr>
          <w:rFonts w:ascii="Arial" w:eastAsia="SimSun" w:hAnsi="Arial" w:cs="Arial"/>
          <w:sz w:val="22"/>
          <w:szCs w:val="22"/>
          <w:lang w:val="fr-FR"/>
        </w:rPr>
        <w:t>Punchi</w:t>
      </w:r>
      <w:proofErr w:type="spellEnd"/>
      <w:r w:rsidRPr="00492E32">
        <w:rPr>
          <w:rFonts w:ascii="Arial" w:eastAsia="SimSun" w:hAnsi="Arial" w:cs="Arial"/>
          <w:sz w:val="22"/>
          <w:szCs w:val="22"/>
          <w:lang w:val="fr-FR"/>
        </w:rPr>
        <w:t xml:space="preserve"> </w:t>
      </w:r>
      <w:proofErr w:type="spellStart"/>
      <w:r w:rsidRPr="00492E32">
        <w:rPr>
          <w:rFonts w:ascii="Arial" w:eastAsia="SimSun" w:hAnsi="Arial" w:cs="Arial"/>
          <w:sz w:val="22"/>
          <w:szCs w:val="22"/>
          <w:lang w:val="fr-FR"/>
        </w:rPr>
        <w:t>Nilame</w:t>
      </w:r>
      <w:proofErr w:type="spellEnd"/>
      <w:r w:rsidRPr="00492E32">
        <w:rPr>
          <w:rFonts w:ascii="Arial" w:eastAsia="SimSun" w:hAnsi="Arial" w:cs="Arial"/>
          <w:sz w:val="22"/>
          <w:szCs w:val="22"/>
          <w:lang w:val="fr-FR"/>
        </w:rPr>
        <w:t xml:space="preserve"> </w:t>
      </w:r>
      <w:proofErr w:type="spellStart"/>
      <w:r w:rsidRPr="00492E32">
        <w:rPr>
          <w:rFonts w:ascii="Arial" w:eastAsia="SimSun" w:hAnsi="Arial" w:cs="Arial"/>
          <w:sz w:val="22"/>
          <w:szCs w:val="22"/>
          <w:lang w:val="fr-FR"/>
        </w:rPr>
        <w:t>Meegaswatte</w:t>
      </w:r>
      <w:proofErr w:type="spellEnd"/>
      <w:r w:rsidRPr="00492E32">
        <w:rPr>
          <w:rFonts w:ascii="Arial" w:eastAsia="SimSun" w:hAnsi="Arial" w:cs="Arial"/>
          <w:sz w:val="22"/>
          <w:szCs w:val="22"/>
          <w:lang w:val="fr-FR"/>
        </w:rPr>
        <w:t xml:space="preserve"> du Sri Lanka, respectivement, pour leur </w:t>
      </w:r>
      <w:r>
        <w:rPr>
          <w:rFonts w:ascii="Arial" w:eastAsia="SimSun" w:hAnsi="Arial" w:cs="Arial"/>
          <w:sz w:val="22"/>
          <w:szCs w:val="22"/>
          <w:lang w:val="fr-FR"/>
        </w:rPr>
        <w:t xml:space="preserve">conduite </w:t>
      </w:r>
      <w:r w:rsidRPr="00492E32">
        <w:rPr>
          <w:rFonts w:ascii="Arial" w:eastAsia="SimSun" w:hAnsi="Arial" w:cs="Arial"/>
          <w:sz w:val="22"/>
          <w:szCs w:val="22"/>
          <w:lang w:val="fr-FR"/>
        </w:rPr>
        <w:t>avisée</w:t>
      </w:r>
      <w:r>
        <w:rPr>
          <w:rFonts w:ascii="Arial" w:eastAsia="SimSun" w:hAnsi="Arial" w:cs="Arial"/>
          <w:sz w:val="22"/>
          <w:szCs w:val="22"/>
          <w:lang w:val="fr-FR"/>
        </w:rPr>
        <w:t xml:space="preserve"> des débats,</w:t>
      </w:r>
      <w:r w:rsidRPr="00492E32">
        <w:rPr>
          <w:rFonts w:ascii="Arial" w:eastAsia="SimSun" w:hAnsi="Arial" w:cs="Arial"/>
          <w:sz w:val="22"/>
          <w:szCs w:val="22"/>
          <w:lang w:val="fr-FR"/>
        </w:rPr>
        <w:t xml:space="preserve"> qui a</w:t>
      </w:r>
      <w:r>
        <w:rPr>
          <w:rFonts w:ascii="Arial" w:eastAsia="SimSun" w:hAnsi="Arial" w:cs="Arial"/>
          <w:sz w:val="22"/>
          <w:szCs w:val="22"/>
          <w:lang w:val="fr-FR"/>
        </w:rPr>
        <w:t>vait</w:t>
      </w:r>
      <w:r w:rsidRPr="00492E32">
        <w:rPr>
          <w:rFonts w:ascii="Arial" w:eastAsia="SimSun" w:hAnsi="Arial" w:cs="Arial"/>
          <w:sz w:val="22"/>
          <w:szCs w:val="22"/>
          <w:lang w:val="fr-FR"/>
        </w:rPr>
        <w:t xml:space="preserve"> permis au Comité d</w:t>
      </w:r>
      <w:r w:rsidR="008E532B">
        <w:rPr>
          <w:rFonts w:ascii="Arial" w:eastAsia="SimSun" w:hAnsi="Arial" w:cs="Arial"/>
          <w:sz w:val="22"/>
          <w:szCs w:val="22"/>
          <w:lang w:val="fr-FR"/>
        </w:rPr>
        <w:t>’</w:t>
      </w:r>
      <w:r w:rsidRPr="00492E32">
        <w:rPr>
          <w:rFonts w:ascii="Arial" w:eastAsia="SimSun" w:hAnsi="Arial" w:cs="Arial"/>
          <w:sz w:val="22"/>
          <w:szCs w:val="22"/>
          <w:lang w:val="fr-FR"/>
        </w:rPr>
        <w:t>accomplir des tâches importantes. La Présidente a toutefois regretté qu</w:t>
      </w:r>
      <w:r w:rsidR="008E532B">
        <w:rPr>
          <w:rFonts w:ascii="Arial" w:eastAsia="SimSun" w:hAnsi="Arial" w:cs="Arial"/>
          <w:sz w:val="22"/>
          <w:szCs w:val="22"/>
          <w:lang w:val="fr-FR"/>
        </w:rPr>
        <w:t>’</w:t>
      </w:r>
      <w:r w:rsidRPr="00492E32">
        <w:rPr>
          <w:rFonts w:ascii="Arial" w:eastAsia="SimSun" w:hAnsi="Arial" w:cs="Arial"/>
          <w:sz w:val="22"/>
          <w:szCs w:val="22"/>
          <w:lang w:val="fr-FR"/>
        </w:rPr>
        <w:t xml:space="preserve">ils ne puissent pas assister à cette session et a demandé au Sous-Directeur général de présenter les rapports en leur nom. Elle </w:t>
      </w:r>
      <w:r>
        <w:rPr>
          <w:rFonts w:ascii="Arial" w:eastAsia="SimSun" w:hAnsi="Arial" w:cs="Arial"/>
          <w:sz w:val="22"/>
          <w:szCs w:val="22"/>
          <w:lang w:val="fr-FR"/>
        </w:rPr>
        <w:t>a tout d</w:t>
      </w:r>
      <w:r w:rsidR="008E532B">
        <w:rPr>
          <w:rFonts w:ascii="Arial" w:eastAsia="SimSun" w:hAnsi="Arial" w:cs="Arial"/>
          <w:sz w:val="22"/>
          <w:szCs w:val="22"/>
          <w:lang w:val="fr-FR"/>
        </w:rPr>
        <w:t>’</w:t>
      </w:r>
      <w:r>
        <w:rPr>
          <w:rFonts w:ascii="Arial" w:eastAsia="SimSun" w:hAnsi="Arial" w:cs="Arial"/>
          <w:sz w:val="22"/>
          <w:szCs w:val="22"/>
          <w:lang w:val="fr-FR"/>
        </w:rPr>
        <w:t xml:space="preserve">abord </w:t>
      </w:r>
      <w:r w:rsidRPr="00492E32">
        <w:rPr>
          <w:rFonts w:ascii="Arial" w:eastAsia="SimSun" w:hAnsi="Arial" w:cs="Arial"/>
          <w:sz w:val="22"/>
          <w:szCs w:val="22"/>
          <w:lang w:val="fr-FR"/>
        </w:rPr>
        <w:t>invit</w:t>
      </w:r>
      <w:r>
        <w:rPr>
          <w:rFonts w:ascii="Arial" w:eastAsia="SimSun" w:hAnsi="Arial" w:cs="Arial"/>
          <w:sz w:val="22"/>
          <w:szCs w:val="22"/>
          <w:lang w:val="fr-FR"/>
        </w:rPr>
        <w:t>é</w:t>
      </w:r>
      <w:r w:rsidRPr="00492E32">
        <w:rPr>
          <w:rFonts w:ascii="Arial" w:eastAsia="SimSun" w:hAnsi="Arial" w:cs="Arial"/>
          <w:sz w:val="22"/>
          <w:szCs w:val="22"/>
          <w:lang w:val="fr-FR"/>
        </w:rPr>
        <w:t xml:space="preserve"> </w:t>
      </w:r>
      <w:r w:rsidR="008D65C3">
        <w:rPr>
          <w:rFonts w:ascii="Arial" w:eastAsia="SimSun" w:hAnsi="Arial" w:cs="Arial"/>
          <w:sz w:val="22"/>
          <w:szCs w:val="22"/>
          <w:lang w:val="fr-FR"/>
        </w:rPr>
        <w:t>Mme</w:t>
      </w:r>
      <w:r w:rsidRPr="00492E32">
        <w:rPr>
          <w:rFonts w:ascii="Arial" w:eastAsia="SimSun" w:hAnsi="Arial" w:cs="Arial"/>
          <w:sz w:val="22"/>
          <w:szCs w:val="22"/>
          <w:lang w:val="fr-FR"/>
        </w:rPr>
        <w:t xml:space="preserve"> Joanne Archibald, </w:t>
      </w:r>
      <w:r>
        <w:rPr>
          <w:rFonts w:ascii="Arial" w:eastAsia="SimSun" w:hAnsi="Arial" w:cs="Arial"/>
          <w:sz w:val="22"/>
          <w:szCs w:val="22"/>
          <w:lang w:val="fr-FR"/>
        </w:rPr>
        <w:t>D</w:t>
      </w:r>
      <w:r w:rsidRPr="00492E32">
        <w:rPr>
          <w:rFonts w:ascii="Arial" w:eastAsia="SimSun" w:hAnsi="Arial" w:cs="Arial"/>
          <w:sz w:val="22"/>
          <w:szCs w:val="22"/>
          <w:lang w:val="fr-FR"/>
        </w:rPr>
        <w:t xml:space="preserve">irectrice de la culture au ministère de la </w:t>
      </w:r>
      <w:r>
        <w:rPr>
          <w:rFonts w:ascii="Arial" w:eastAsia="SimSun" w:hAnsi="Arial" w:cs="Arial"/>
          <w:sz w:val="22"/>
          <w:szCs w:val="22"/>
          <w:lang w:val="fr-FR"/>
        </w:rPr>
        <w:t>C</w:t>
      </w:r>
      <w:r w:rsidRPr="00492E32">
        <w:rPr>
          <w:rFonts w:ascii="Arial" w:eastAsia="SimSun" w:hAnsi="Arial" w:cs="Arial"/>
          <w:sz w:val="22"/>
          <w:szCs w:val="22"/>
          <w:lang w:val="fr-FR"/>
        </w:rPr>
        <w:t xml:space="preserve">ulture, du </w:t>
      </w:r>
      <w:r>
        <w:rPr>
          <w:rFonts w:ascii="Arial" w:eastAsia="SimSun" w:hAnsi="Arial" w:cs="Arial"/>
          <w:sz w:val="22"/>
          <w:szCs w:val="22"/>
          <w:lang w:val="fr-FR"/>
        </w:rPr>
        <w:t>G</w:t>
      </w:r>
      <w:r w:rsidRPr="00492E32">
        <w:rPr>
          <w:rFonts w:ascii="Arial" w:eastAsia="SimSun" w:hAnsi="Arial" w:cs="Arial"/>
          <w:sz w:val="22"/>
          <w:szCs w:val="22"/>
          <w:lang w:val="fr-FR"/>
        </w:rPr>
        <w:t xml:space="preserve">enre, du </w:t>
      </w:r>
      <w:r>
        <w:rPr>
          <w:rFonts w:ascii="Arial" w:eastAsia="SimSun" w:hAnsi="Arial" w:cs="Arial"/>
          <w:sz w:val="22"/>
          <w:szCs w:val="22"/>
          <w:lang w:val="fr-FR"/>
        </w:rPr>
        <w:t>D</w:t>
      </w:r>
      <w:r w:rsidRPr="00492E32">
        <w:rPr>
          <w:rFonts w:ascii="Arial" w:eastAsia="SimSun" w:hAnsi="Arial" w:cs="Arial"/>
          <w:sz w:val="22"/>
          <w:szCs w:val="22"/>
          <w:lang w:val="fr-FR"/>
        </w:rPr>
        <w:t xml:space="preserve">ivertissement et du </w:t>
      </w:r>
      <w:r>
        <w:rPr>
          <w:rFonts w:ascii="Arial" w:eastAsia="SimSun" w:hAnsi="Arial" w:cs="Arial"/>
          <w:sz w:val="22"/>
          <w:szCs w:val="22"/>
          <w:lang w:val="fr-FR"/>
        </w:rPr>
        <w:t>S</w:t>
      </w:r>
      <w:r w:rsidRPr="00492E32">
        <w:rPr>
          <w:rFonts w:ascii="Arial" w:eastAsia="SimSun" w:hAnsi="Arial" w:cs="Arial"/>
          <w:sz w:val="22"/>
          <w:szCs w:val="22"/>
          <w:lang w:val="fr-FR"/>
        </w:rPr>
        <w:t xml:space="preserve">port de la Jamaïque, puis </w:t>
      </w:r>
      <w:r w:rsidR="008D65C3">
        <w:rPr>
          <w:rFonts w:ascii="Arial" w:eastAsia="SimSun" w:hAnsi="Arial" w:cs="Arial"/>
          <w:sz w:val="22"/>
          <w:szCs w:val="22"/>
          <w:lang w:val="fr-FR"/>
        </w:rPr>
        <w:t xml:space="preserve">S.Exc. </w:t>
      </w:r>
      <w:r w:rsidRPr="00492E32">
        <w:rPr>
          <w:rFonts w:ascii="Arial" w:eastAsia="SimSun" w:hAnsi="Arial" w:cs="Arial"/>
          <w:sz w:val="22"/>
          <w:szCs w:val="22"/>
          <w:lang w:val="fr-FR"/>
        </w:rPr>
        <w:t xml:space="preserve">Prof. </w:t>
      </w:r>
      <w:proofErr w:type="spellStart"/>
      <w:r w:rsidRPr="00492E32">
        <w:rPr>
          <w:rFonts w:ascii="Arial" w:eastAsia="SimSun" w:hAnsi="Arial" w:cs="Arial"/>
          <w:sz w:val="22"/>
          <w:szCs w:val="22"/>
          <w:lang w:val="fr-FR"/>
        </w:rPr>
        <w:t>Kshanika</w:t>
      </w:r>
      <w:proofErr w:type="spellEnd"/>
      <w:r w:rsidRPr="00492E32">
        <w:rPr>
          <w:rFonts w:ascii="Arial" w:eastAsia="SimSun" w:hAnsi="Arial" w:cs="Arial"/>
          <w:sz w:val="22"/>
          <w:szCs w:val="22"/>
          <w:lang w:val="fr-FR"/>
        </w:rPr>
        <w:t xml:space="preserve"> </w:t>
      </w:r>
      <w:proofErr w:type="spellStart"/>
      <w:r w:rsidRPr="00492E32">
        <w:rPr>
          <w:rFonts w:ascii="Arial" w:eastAsia="SimSun" w:hAnsi="Arial" w:cs="Arial"/>
          <w:sz w:val="22"/>
          <w:szCs w:val="22"/>
          <w:lang w:val="fr-FR"/>
        </w:rPr>
        <w:t>Hirimburegama</w:t>
      </w:r>
      <w:proofErr w:type="spellEnd"/>
      <w:r w:rsidRPr="00492E32">
        <w:rPr>
          <w:rFonts w:ascii="Arial" w:eastAsia="SimSun" w:hAnsi="Arial" w:cs="Arial"/>
          <w:sz w:val="22"/>
          <w:szCs w:val="22"/>
          <w:lang w:val="fr-FR"/>
        </w:rPr>
        <w:t xml:space="preserve">, </w:t>
      </w:r>
      <w:r w:rsidR="008E532B">
        <w:rPr>
          <w:rFonts w:ascii="Arial" w:eastAsia="SimSun" w:hAnsi="Arial" w:cs="Arial"/>
          <w:sz w:val="22"/>
          <w:szCs w:val="22"/>
          <w:lang w:val="fr-FR"/>
        </w:rPr>
        <w:t>Ambassadeur</w:t>
      </w:r>
      <w:r w:rsidR="008E532B" w:rsidRPr="00492E32">
        <w:rPr>
          <w:rFonts w:ascii="Arial" w:eastAsia="SimSun" w:hAnsi="Arial" w:cs="Arial"/>
          <w:sz w:val="22"/>
          <w:szCs w:val="22"/>
          <w:lang w:val="fr-FR"/>
        </w:rPr>
        <w:t xml:space="preserve"> </w:t>
      </w:r>
      <w:r w:rsidRPr="00492E32">
        <w:rPr>
          <w:rFonts w:ascii="Arial" w:eastAsia="SimSun" w:hAnsi="Arial" w:cs="Arial"/>
          <w:sz w:val="22"/>
          <w:szCs w:val="22"/>
          <w:lang w:val="fr-FR"/>
        </w:rPr>
        <w:t>du Sri Lanka auprès de l</w:t>
      </w:r>
      <w:r w:rsidR="008E532B">
        <w:rPr>
          <w:rFonts w:ascii="Arial" w:eastAsia="SimSun" w:hAnsi="Arial" w:cs="Arial"/>
          <w:sz w:val="22"/>
          <w:szCs w:val="22"/>
          <w:lang w:val="fr-FR"/>
        </w:rPr>
        <w:t>’</w:t>
      </w:r>
      <w:r w:rsidRPr="00492E32">
        <w:rPr>
          <w:rFonts w:ascii="Arial" w:eastAsia="SimSun" w:hAnsi="Arial" w:cs="Arial"/>
          <w:sz w:val="22"/>
          <w:szCs w:val="22"/>
          <w:lang w:val="fr-FR"/>
        </w:rPr>
        <w:t>UNESCO, à dire quelques mots.</w:t>
      </w:r>
    </w:p>
    <w:p w14:paraId="4B4EC3E8" w14:textId="7367D7DD" w:rsidR="00D9653F" w:rsidRPr="00BF4BDA" w:rsidRDefault="008D65C3"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b/>
          <w:bCs/>
          <w:sz w:val="22"/>
          <w:szCs w:val="22"/>
          <w:lang w:val="fr-FR"/>
        </w:rPr>
        <w:t>Mme</w:t>
      </w:r>
      <w:r w:rsidR="00D9653F" w:rsidRPr="00BF4BDA">
        <w:rPr>
          <w:rFonts w:ascii="Arial" w:eastAsia="SimSun" w:hAnsi="Arial" w:cs="Arial"/>
          <w:b/>
          <w:bCs/>
          <w:sz w:val="22"/>
          <w:szCs w:val="22"/>
          <w:lang w:val="fr-FR"/>
        </w:rPr>
        <w:t xml:space="preserve"> Joanne Archibald</w:t>
      </w:r>
      <w:r w:rsidR="00D9653F" w:rsidRPr="00BF4BDA">
        <w:rPr>
          <w:rFonts w:ascii="Arial" w:eastAsia="SimSun" w:hAnsi="Arial" w:cs="Arial"/>
          <w:sz w:val="22"/>
          <w:szCs w:val="22"/>
          <w:lang w:val="fr-FR"/>
        </w:rPr>
        <w:t xml:space="preserve"> </w:t>
      </w:r>
      <w:r w:rsidR="00A73EEF">
        <w:rPr>
          <w:rFonts w:ascii="Arial" w:eastAsia="SimSun" w:hAnsi="Arial" w:cs="Arial"/>
          <w:sz w:val="22"/>
          <w:szCs w:val="22"/>
          <w:lang w:val="fr-FR"/>
        </w:rPr>
        <w:t xml:space="preserve">de la délégation de la </w:t>
      </w:r>
      <w:r w:rsidR="00A73EEF" w:rsidRPr="000438FF">
        <w:rPr>
          <w:rFonts w:ascii="Arial" w:eastAsia="SimSun" w:hAnsi="Arial" w:cs="Arial"/>
          <w:b/>
          <w:bCs/>
          <w:sz w:val="22"/>
          <w:szCs w:val="22"/>
          <w:lang w:val="fr-FR"/>
        </w:rPr>
        <w:t>Jamaïque</w:t>
      </w:r>
      <w:r w:rsidR="00A73EEF">
        <w:rPr>
          <w:rFonts w:ascii="Arial" w:eastAsia="SimSun" w:hAnsi="Arial" w:cs="Arial"/>
          <w:sz w:val="22"/>
          <w:szCs w:val="22"/>
          <w:lang w:val="fr-FR"/>
        </w:rPr>
        <w:t xml:space="preserve"> </w:t>
      </w:r>
      <w:r w:rsidR="00D9653F" w:rsidRPr="00BF4BDA">
        <w:rPr>
          <w:rFonts w:ascii="Arial" w:eastAsia="SimSun" w:hAnsi="Arial" w:cs="Arial"/>
          <w:sz w:val="22"/>
          <w:szCs w:val="22"/>
          <w:lang w:val="fr-FR"/>
        </w:rPr>
        <w:t>a félicité la Présidente pour son élection. La Jamaïque a remercié l</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 xml:space="preserve">UNESCO pour son travail continu de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00D9653F" w:rsidRPr="00BF4BDA">
        <w:rPr>
          <w:rFonts w:ascii="Arial" w:eastAsia="SimSun" w:hAnsi="Arial" w:cs="Arial"/>
          <w:sz w:val="22"/>
          <w:szCs w:val="22"/>
          <w:lang w:val="fr-FR"/>
        </w:rPr>
        <w:t>dans le monde, un mandat rendu de plus en plus difficile alors que le monde continu</w:t>
      </w:r>
      <w:r w:rsidR="00D9653F">
        <w:rPr>
          <w:rFonts w:ascii="Arial" w:eastAsia="SimSun" w:hAnsi="Arial" w:cs="Arial"/>
          <w:sz w:val="22"/>
          <w:szCs w:val="22"/>
          <w:lang w:val="fr-FR"/>
        </w:rPr>
        <w:t>ait</w:t>
      </w:r>
      <w:r w:rsidR="00D9653F" w:rsidRPr="00BF4BDA">
        <w:rPr>
          <w:rFonts w:ascii="Arial" w:eastAsia="SimSun" w:hAnsi="Arial" w:cs="Arial"/>
          <w:sz w:val="22"/>
          <w:szCs w:val="22"/>
          <w:lang w:val="fr-FR"/>
        </w:rPr>
        <w:t xml:space="preserve"> de </w:t>
      </w:r>
      <w:r w:rsidR="00D9653F">
        <w:rPr>
          <w:rFonts w:ascii="Arial" w:eastAsia="SimSun" w:hAnsi="Arial" w:cs="Arial"/>
          <w:sz w:val="22"/>
          <w:szCs w:val="22"/>
          <w:lang w:val="fr-FR"/>
        </w:rPr>
        <w:t>traverser</w:t>
      </w:r>
      <w:r w:rsidR="00D9653F" w:rsidRPr="00BF4BDA">
        <w:rPr>
          <w:rFonts w:ascii="Arial" w:eastAsia="SimSun" w:hAnsi="Arial" w:cs="Arial"/>
          <w:sz w:val="22"/>
          <w:szCs w:val="22"/>
          <w:lang w:val="fr-FR"/>
        </w:rPr>
        <w:t xml:space="preserve"> la pandémie mondiale de COVID</w:t>
      </w:r>
      <w:r w:rsidR="00D9653F">
        <w:rPr>
          <w:rFonts w:ascii="Arial" w:eastAsia="SimSun" w:hAnsi="Arial" w:cs="Arial"/>
          <w:sz w:val="22"/>
          <w:szCs w:val="22"/>
          <w:lang w:val="fr-FR"/>
        </w:rPr>
        <w:noBreakHyphen/>
      </w:r>
      <w:r w:rsidR="00D9653F" w:rsidRPr="00BF4BDA">
        <w:rPr>
          <w:rFonts w:ascii="Arial" w:eastAsia="SimSun" w:hAnsi="Arial" w:cs="Arial"/>
          <w:sz w:val="22"/>
          <w:szCs w:val="22"/>
          <w:lang w:val="fr-FR"/>
        </w:rPr>
        <w:t>19. La Jamaïque a exprimé sa gratitude aux délégations pour avoir soutenu sa candidature à l</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 xml:space="preserve">accueil de la </w:t>
      </w:r>
      <w:r w:rsidR="00D9653F">
        <w:rPr>
          <w:rFonts w:ascii="Arial" w:eastAsia="SimSun" w:hAnsi="Arial" w:cs="Arial"/>
          <w:sz w:val="22"/>
          <w:szCs w:val="22"/>
          <w:lang w:val="fr-FR"/>
        </w:rPr>
        <w:t>quinzième</w:t>
      </w:r>
      <w:r w:rsidR="00D9653F" w:rsidRPr="00BF4BDA">
        <w:rPr>
          <w:rFonts w:ascii="Arial" w:eastAsia="SimSun" w:hAnsi="Arial" w:cs="Arial"/>
          <w:sz w:val="22"/>
          <w:szCs w:val="22"/>
          <w:lang w:val="fr-FR"/>
        </w:rPr>
        <w:t xml:space="preserve"> session du Comité, et pour avoir travaillé </w:t>
      </w:r>
      <w:r w:rsidR="00D9653F">
        <w:rPr>
          <w:rFonts w:ascii="Arial" w:eastAsia="SimSun" w:hAnsi="Arial" w:cs="Arial"/>
          <w:sz w:val="22"/>
          <w:szCs w:val="22"/>
          <w:lang w:val="fr-FR"/>
        </w:rPr>
        <w:t>avec expertise et sans relâche</w:t>
      </w:r>
      <w:r w:rsidR="00D9653F" w:rsidRPr="00BF4BDA">
        <w:rPr>
          <w:rFonts w:ascii="Arial" w:eastAsia="SimSun" w:hAnsi="Arial" w:cs="Arial"/>
          <w:sz w:val="22"/>
          <w:szCs w:val="22"/>
          <w:lang w:val="fr-FR"/>
        </w:rPr>
        <w:t xml:space="preserve"> à sa réussite. Elle a</w:t>
      </w:r>
      <w:r w:rsidR="00D9653F">
        <w:rPr>
          <w:rFonts w:ascii="Arial" w:eastAsia="SimSun" w:hAnsi="Arial" w:cs="Arial"/>
          <w:sz w:val="22"/>
          <w:szCs w:val="22"/>
          <w:lang w:val="fr-FR"/>
        </w:rPr>
        <w:t xml:space="preserve"> fait remarquer</w:t>
      </w:r>
      <w:r w:rsidR="00D9653F" w:rsidRPr="00BF4BDA">
        <w:rPr>
          <w:rFonts w:ascii="Arial" w:eastAsia="SimSun" w:hAnsi="Arial" w:cs="Arial"/>
          <w:sz w:val="22"/>
          <w:szCs w:val="22"/>
          <w:lang w:val="fr-FR"/>
        </w:rPr>
        <w:t xml:space="preserve"> que le Comité s</w:t>
      </w:r>
      <w:r w:rsidR="008E532B">
        <w:rPr>
          <w:rFonts w:ascii="Arial" w:eastAsia="SimSun" w:hAnsi="Arial" w:cs="Arial"/>
          <w:sz w:val="22"/>
          <w:szCs w:val="22"/>
          <w:lang w:val="fr-FR"/>
        </w:rPr>
        <w:t>’</w:t>
      </w:r>
      <w:r w:rsidR="00D9653F">
        <w:rPr>
          <w:rFonts w:ascii="Arial" w:eastAsia="SimSun" w:hAnsi="Arial" w:cs="Arial"/>
          <w:sz w:val="22"/>
          <w:szCs w:val="22"/>
          <w:lang w:val="fr-FR"/>
        </w:rPr>
        <w:t>était</w:t>
      </w:r>
      <w:r w:rsidR="00D9653F" w:rsidRPr="00BF4BDA">
        <w:rPr>
          <w:rFonts w:ascii="Arial" w:eastAsia="SimSun" w:hAnsi="Arial" w:cs="Arial"/>
          <w:sz w:val="22"/>
          <w:szCs w:val="22"/>
          <w:lang w:val="fr-FR"/>
        </w:rPr>
        <w:t xml:space="preserve"> réuni pour la première fois</w:t>
      </w:r>
      <w:r w:rsidR="00D9653F">
        <w:rPr>
          <w:rFonts w:ascii="Arial" w:eastAsia="SimSun" w:hAnsi="Arial" w:cs="Arial"/>
          <w:sz w:val="22"/>
          <w:szCs w:val="22"/>
          <w:lang w:val="fr-FR"/>
        </w:rPr>
        <w:t xml:space="preserve"> </w:t>
      </w:r>
      <w:r w:rsidR="00D9653F" w:rsidRPr="00BF4BDA">
        <w:rPr>
          <w:rFonts w:ascii="Arial" w:eastAsia="SimSun" w:hAnsi="Arial" w:cs="Arial"/>
          <w:sz w:val="22"/>
          <w:szCs w:val="22"/>
          <w:lang w:val="fr-FR"/>
        </w:rPr>
        <w:t>entièrement en ligne du 14 au 18</w:t>
      </w:r>
      <w:r w:rsidR="00D9653F">
        <w:rPr>
          <w:rFonts w:ascii="Arial" w:eastAsia="SimSun" w:hAnsi="Arial" w:cs="Arial"/>
          <w:sz w:val="22"/>
          <w:szCs w:val="22"/>
          <w:lang w:val="fr-FR"/>
        </w:rPr>
        <w:t> </w:t>
      </w:r>
      <w:r w:rsidR="00D9653F" w:rsidRPr="00BF4BDA">
        <w:rPr>
          <w:rFonts w:ascii="Arial" w:eastAsia="SimSun" w:hAnsi="Arial" w:cs="Arial"/>
          <w:sz w:val="22"/>
          <w:szCs w:val="22"/>
          <w:lang w:val="fr-FR"/>
        </w:rPr>
        <w:t xml:space="preserve">décembre 2020. </w:t>
      </w:r>
      <w:r w:rsidR="00D9653F" w:rsidRPr="00A77421">
        <w:rPr>
          <w:rFonts w:ascii="Arial" w:eastAsia="SimSun" w:hAnsi="Arial" w:cs="Arial"/>
          <w:sz w:val="22"/>
          <w:szCs w:val="22"/>
          <w:lang w:val="fr-FR"/>
        </w:rPr>
        <w:t>C</w:t>
      </w:r>
      <w:r w:rsidR="008E532B">
        <w:rPr>
          <w:rFonts w:ascii="Arial" w:eastAsia="SimSun" w:hAnsi="Arial" w:cs="Arial"/>
          <w:sz w:val="22"/>
          <w:szCs w:val="22"/>
          <w:lang w:val="fr-FR"/>
        </w:rPr>
        <w:t>’</w:t>
      </w:r>
      <w:r w:rsidR="00D9653F" w:rsidRPr="00A77421">
        <w:rPr>
          <w:rFonts w:ascii="Arial" w:eastAsia="SimSun" w:hAnsi="Arial" w:cs="Arial"/>
          <w:sz w:val="22"/>
          <w:szCs w:val="22"/>
          <w:lang w:val="fr-FR"/>
        </w:rPr>
        <w:t>était un grand honneur pour la ministre jamaïcaine</w:t>
      </w:r>
      <w:r w:rsidR="00D9653F">
        <w:rPr>
          <w:rFonts w:ascii="Arial" w:eastAsia="SimSun" w:hAnsi="Arial" w:cs="Arial"/>
          <w:sz w:val="22"/>
          <w:szCs w:val="22"/>
          <w:lang w:val="fr-FR"/>
        </w:rPr>
        <w:t xml:space="preserve"> </w:t>
      </w:r>
      <w:r w:rsidR="00D9653F" w:rsidRPr="00492E32">
        <w:rPr>
          <w:rFonts w:ascii="Arial" w:eastAsia="SimSun" w:hAnsi="Arial" w:cs="Arial"/>
          <w:sz w:val="22"/>
          <w:szCs w:val="22"/>
          <w:lang w:val="fr-FR"/>
        </w:rPr>
        <w:t xml:space="preserve">de la </w:t>
      </w:r>
      <w:r w:rsidR="00D9653F">
        <w:rPr>
          <w:rFonts w:ascii="Arial" w:eastAsia="SimSun" w:hAnsi="Arial" w:cs="Arial"/>
          <w:sz w:val="22"/>
          <w:szCs w:val="22"/>
          <w:lang w:val="fr-FR"/>
        </w:rPr>
        <w:t>C</w:t>
      </w:r>
      <w:r w:rsidR="00D9653F" w:rsidRPr="00492E32">
        <w:rPr>
          <w:rFonts w:ascii="Arial" w:eastAsia="SimSun" w:hAnsi="Arial" w:cs="Arial"/>
          <w:sz w:val="22"/>
          <w:szCs w:val="22"/>
          <w:lang w:val="fr-FR"/>
        </w:rPr>
        <w:t xml:space="preserve">ulture, du </w:t>
      </w:r>
      <w:r w:rsidR="00D9653F">
        <w:rPr>
          <w:rFonts w:ascii="Arial" w:eastAsia="SimSun" w:hAnsi="Arial" w:cs="Arial"/>
          <w:sz w:val="22"/>
          <w:szCs w:val="22"/>
          <w:lang w:val="fr-FR"/>
        </w:rPr>
        <w:t>G</w:t>
      </w:r>
      <w:r w:rsidR="00D9653F" w:rsidRPr="00492E32">
        <w:rPr>
          <w:rFonts w:ascii="Arial" w:eastAsia="SimSun" w:hAnsi="Arial" w:cs="Arial"/>
          <w:sz w:val="22"/>
          <w:szCs w:val="22"/>
          <w:lang w:val="fr-FR"/>
        </w:rPr>
        <w:t xml:space="preserve">enre, du </w:t>
      </w:r>
      <w:r w:rsidR="00D9653F">
        <w:rPr>
          <w:rFonts w:ascii="Arial" w:eastAsia="SimSun" w:hAnsi="Arial" w:cs="Arial"/>
          <w:sz w:val="22"/>
          <w:szCs w:val="22"/>
          <w:lang w:val="fr-FR"/>
        </w:rPr>
        <w:t>D</w:t>
      </w:r>
      <w:r w:rsidR="00D9653F" w:rsidRPr="00492E32">
        <w:rPr>
          <w:rFonts w:ascii="Arial" w:eastAsia="SimSun" w:hAnsi="Arial" w:cs="Arial"/>
          <w:sz w:val="22"/>
          <w:szCs w:val="22"/>
          <w:lang w:val="fr-FR"/>
        </w:rPr>
        <w:t xml:space="preserve">ivertissement et du </w:t>
      </w:r>
      <w:r w:rsidR="00D9653F">
        <w:rPr>
          <w:rFonts w:ascii="Arial" w:eastAsia="SimSun" w:hAnsi="Arial" w:cs="Arial"/>
          <w:sz w:val="22"/>
          <w:szCs w:val="22"/>
          <w:lang w:val="fr-FR"/>
        </w:rPr>
        <w:t>S</w:t>
      </w:r>
      <w:r w:rsidR="00D9653F" w:rsidRPr="00492E32">
        <w:rPr>
          <w:rFonts w:ascii="Arial" w:eastAsia="SimSun" w:hAnsi="Arial" w:cs="Arial"/>
          <w:sz w:val="22"/>
          <w:szCs w:val="22"/>
          <w:lang w:val="fr-FR"/>
        </w:rPr>
        <w:t>port</w:t>
      </w:r>
      <w:r w:rsidR="00D9653F">
        <w:rPr>
          <w:rFonts w:ascii="Arial" w:eastAsia="SimSun" w:hAnsi="Arial" w:cs="Arial"/>
          <w:color w:val="FF0000"/>
          <w:sz w:val="22"/>
          <w:szCs w:val="22"/>
          <w:lang w:val="fr-FR"/>
        </w:rPr>
        <w:t xml:space="preserve"> </w:t>
      </w:r>
      <w:r w:rsidR="00D9653F" w:rsidRPr="00BF4BDA">
        <w:rPr>
          <w:rFonts w:ascii="Arial" w:eastAsia="SimSun" w:hAnsi="Arial" w:cs="Arial"/>
          <w:sz w:val="22"/>
          <w:szCs w:val="22"/>
          <w:lang w:val="fr-FR"/>
        </w:rPr>
        <w:t>d</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occuper le poste de Président</w:t>
      </w:r>
      <w:r w:rsidR="00D9653F">
        <w:rPr>
          <w:rFonts w:ascii="Arial" w:eastAsia="SimSun" w:hAnsi="Arial" w:cs="Arial"/>
          <w:sz w:val="22"/>
          <w:szCs w:val="22"/>
          <w:lang w:val="fr-FR"/>
        </w:rPr>
        <w:t>e</w:t>
      </w:r>
      <w:r w:rsidR="00D9653F" w:rsidRPr="00BF4BDA">
        <w:rPr>
          <w:rFonts w:ascii="Arial" w:eastAsia="SimSun" w:hAnsi="Arial" w:cs="Arial"/>
          <w:sz w:val="22"/>
          <w:szCs w:val="22"/>
          <w:lang w:val="fr-FR"/>
        </w:rPr>
        <w:t>. La Jamaïque</w:t>
      </w:r>
      <w:r w:rsidR="00D9653F">
        <w:rPr>
          <w:rFonts w:ascii="Arial" w:eastAsia="SimSun" w:hAnsi="Arial" w:cs="Arial"/>
          <w:sz w:val="22"/>
          <w:szCs w:val="22"/>
          <w:lang w:val="fr-FR"/>
        </w:rPr>
        <w:t xml:space="preserve">, qui </w:t>
      </w:r>
      <w:r w:rsidR="00D9653F" w:rsidRPr="00BF4BDA">
        <w:rPr>
          <w:rFonts w:ascii="Arial" w:eastAsia="SimSun" w:hAnsi="Arial" w:cs="Arial"/>
          <w:sz w:val="22"/>
          <w:szCs w:val="22"/>
          <w:lang w:val="fr-FR"/>
        </w:rPr>
        <w:t>regrett</w:t>
      </w:r>
      <w:r w:rsidR="00D9653F">
        <w:rPr>
          <w:rFonts w:ascii="Arial" w:eastAsia="SimSun" w:hAnsi="Arial" w:cs="Arial"/>
          <w:sz w:val="22"/>
          <w:szCs w:val="22"/>
          <w:lang w:val="fr-FR"/>
        </w:rPr>
        <w:t xml:space="preserve">ait </w:t>
      </w:r>
      <w:r w:rsidR="00D9653F" w:rsidRPr="00BF4BDA">
        <w:rPr>
          <w:rFonts w:ascii="Arial" w:eastAsia="SimSun" w:hAnsi="Arial" w:cs="Arial"/>
          <w:sz w:val="22"/>
          <w:szCs w:val="22"/>
          <w:lang w:val="fr-FR"/>
        </w:rPr>
        <w:t>de n</w:t>
      </w:r>
      <w:r w:rsidR="008E532B">
        <w:rPr>
          <w:rFonts w:ascii="Arial" w:eastAsia="SimSun" w:hAnsi="Arial" w:cs="Arial"/>
          <w:sz w:val="22"/>
          <w:szCs w:val="22"/>
          <w:lang w:val="fr-FR"/>
        </w:rPr>
        <w:t>’</w:t>
      </w:r>
      <w:r w:rsidR="00D9653F">
        <w:rPr>
          <w:rFonts w:ascii="Arial" w:eastAsia="SimSun" w:hAnsi="Arial" w:cs="Arial"/>
          <w:sz w:val="22"/>
          <w:szCs w:val="22"/>
          <w:lang w:val="fr-FR"/>
        </w:rPr>
        <w:t xml:space="preserve">avoir pu </w:t>
      </w:r>
      <w:r w:rsidR="00D9653F" w:rsidRPr="00BF4BDA">
        <w:rPr>
          <w:rFonts w:ascii="Arial" w:eastAsia="SimSun" w:hAnsi="Arial" w:cs="Arial"/>
          <w:sz w:val="22"/>
          <w:szCs w:val="22"/>
          <w:lang w:val="fr-FR"/>
        </w:rPr>
        <w:t xml:space="preserve">accueillir les délégués avec son hospitalité </w:t>
      </w:r>
      <w:r w:rsidR="00D9653F">
        <w:rPr>
          <w:rFonts w:ascii="Arial" w:eastAsia="SimSun" w:hAnsi="Arial" w:cs="Arial"/>
          <w:sz w:val="22"/>
          <w:szCs w:val="22"/>
          <w:lang w:val="fr-FR"/>
        </w:rPr>
        <w:t>« </w:t>
      </w:r>
      <w:r w:rsidR="00D9653F" w:rsidRPr="00BF4BDA">
        <w:rPr>
          <w:rFonts w:ascii="Arial" w:eastAsia="SimSun" w:hAnsi="Arial" w:cs="Arial"/>
          <w:sz w:val="22"/>
          <w:szCs w:val="22"/>
          <w:lang w:val="fr-FR"/>
        </w:rPr>
        <w:t>one love</w:t>
      </w:r>
      <w:r w:rsidR="00D9653F">
        <w:rPr>
          <w:rFonts w:ascii="Arial" w:eastAsia="SimSun" w:hAnsi="Arial" w:cs="Arial"/>
          <w:sz w:val="22"/>
          <w:szCs w:val="22"/>
          <w:lang w:val="fr-FR"/>
        </w:rPr>
        <w:t xml:space="preserve"> », </w:t>
      </w:r>
      <w:r w:rsidR="00D9653F" w:rsidRPr="00BF4BDA">
        <w:rPr>
          <w:rFonts w:ascii="Arial" w:eastAsia="SimSun" w:hAnsi="Arial" w:cs="Arial"/>
          <w:sz w:val="22"/>
          <w:szCs w:val="22"/>
          <w:lang w:val="fr-FR"/>
        </w:rPr>
        <w:t>s</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est réjouie des o</w:t>
      </w:r>
      <w:r w:rsidR="00D9653F">
        <w:rPr>
          <w:rFonts w:ascii="Arial" w:eastAsia="SimSun" w:hAnsi="Arial" w:cs="Arial"/>
          <w:sz w:val="22"/>
          <w:szCs w:val="22"/>
          <w:lang w:val="fr-FR"/>
        </w:rPr>
        <w:t>ccasions qu</w:t>
      </w:r>
      <w:r w:rsidR="008E532B">
        <w:rPr>
          <w:rFonts w:ascii="Arial" w:eastAsia="SimSun" w:hAnsi="Arial" w:cs="Arial"/>
          <w:sz w:val="22"/>
          <w:szCs w:val="22"/>
          <w:lang w:val="fr-FR"/>
        </w:rPr>
        <w:t>’</w:t>
      </w:r>
      <w:r w:rsidR="00D9653F">
        <w:rPr>
          <w:rFonts w:ascii="Arial" w:eastAsia="SimSun" w:hAnsi="Arial" w:cs="Arial"/>
          <w:sz w:val="22"/>
          <w:szCs w:val="22"/>
          <w:lang w:val="fr-FR"/>
        </w:rPr>
        <w:t>elle avait eues</w:t>
      </w:r>
      <w:r w:rsidR="00D9653F" w:rsidRPr="00BF4BDA">
        <w:rPr>
          <w:rFonts w:ascii="Arial" w:eastAsia="SimSun" w:hAnsi="Arial" w:cs="Arial"/>
          <w:sz w:val="22"/>
          <w:szCs w:val="22"/>
          <w:lang w:val="fr-FR"/>
        </w:rPr>
        <w:t xml:space="preserve"> de partager sa musique reggae et ses </w:t>
      </w:r>
      <w:r w:rsidR="00D9653F">
        <w:rPr>
          <w:rFonts w:ascii="Arial" w:eastAsia="SimSun" w:hAnsi="Arial" w:cs="Arial"/>
          <w:sz w:val="22"/>
          <w:szCs w:val="22"/>
          <w:lang w:val="fr-FR"/>
        </w:rPr>
        <w:t xml:space="preserve">intermèdes </w:t>
      </w:r>
      <w:r w:rsidR="00D9653F" w:rsidRPr="00BF4BDA">
        <w:rPr>
          <w:rFonts w:ascii="Arial" w:eastAsia="SimSun" w:hAnsi="Arial" w:cs="Arial"/>
          <w:sz w:val="22"/>
          <w:szCs w:val="22"/>
          <w:lang w:val="fr-FR"/>
        </w:rPr>
        <w:t xml:space="preserve">de reggae </w:t>
      </w:r>
      <w:proofErr w:type="spellStart"/>
      <w:r w:rsidR="00D9653F" w:rsidRPr="00BF4BDA">
        <w:rPr>
          <w:rFonts w:ascii="Arial" w:eastAsia="SimSun" w:hAnsi="Arial" w:cs="Arial"/>
          <w:sz w:val="22"/>
          <w:szCs w:val="22"/>
          <w:lang w:val="fr-FR"/>
        </w:rPr>
        <w:t>chill</w:t>
      </w:r>
      <w:proofErr w:type="spellEnd"/>
      <w:r w:rsidR="00D9653F" w:rsidRPr="00BF4BDA">
        <w:rPr>
          <w:rFonts w:ascii="Arial" w:eastAsia="SimSun" w:hAnsi="Arial" w:cs="Arial"/>
          <w:sz w:val="22"/>
          <w:szCs w:val="22"/>
          <w:lang w:val="fr-FR"/>
        </w:rPr>
        <w:t xml:space="preserve"> </w:t>
      </w:r>
      <w:r w:rsidR="00D9653F">
        <w:rPr>
          <w:rFonts w:ascii="Arial" w:eastAsia="SimSun" w:hAnsi="Arial" w:cs="Arial"/>
          <w:sz w:val="22"/>
          <w:szCs w:val="22"/>
          <w:lang w:val="fr-FR"/>
        </w:rPr>
        <w:t xml:space="preserve">innovant </w:t>
      </w:r>
      <w:r w:rsidR="00D9653F" w:rsidRPr="00BF4BDA">
        <w:rPr>
          <w:rFonts w:ascii="Arial" w:eastAsia="SimSun" w:hAnsi="Arial" w:cs="Arial"/>
          <w:sz w:val="22"/>
          <w:szCs w:val="22"/>
          <w:lang w:val="fr-FR"/>
        </w:rPr>
        <w:t xml:space="preserve">pendant les pauses de la réunion. </w:t>
      </w:r>
      <w:r>
        <w:rPr>
          <w:rFonts w:ascii="Arial" w:eastAsia="SimSun" w:hAnsi="Arial" w:cs="Arial"/>
          <w:sz w:val="22"/>
          <w:szCs w:val="22"/>
          <w:lang w:val="fr-FR"/>
        </w:rPr>
        <w:t>Mme</w:t>
      </w:r>
      <w:r w:rsidR="00D9653F" w:rsidRPr="00892B67">
        <w:rPr>
          <w:rFonts w:ascii="Arial" w:eastAsia="SimSun" w:hAnsi="Arial" w:cs="Arial"/>
          <w:sz w:val="22"/>
          <w:szCs w:val="22"/>
          <w:lang w:val="fr-FR"/>
        </w:rPr>
        <w:t xml:space="preserve"> </w:t>
      </w:r>
      <w:r w:rsidR="00D9653F" w:rsidRPr="00BF4BDA">
        <w:rPr>
          <w:rFonts w:ascii="Arial" w:eastAsia="SimSun" w:hAnsi="Arial" w:cs="Arial"/>
          <w:sz w:val="22"/>
          <w:szCs w:val="22"/>
          <w:lang w:val="fr-FR"/>
        </w:rPr>
        <w:t>Archibald était heureuse d</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annoncer que 142 États parties s</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étaient inscrits à la 15.COM, avec 800 participants directs et plus de 2</w:t>
      </w:r>
      <w:r w:rsidR="00D9653F">
        <w:rPr>
          <w:rFonts w:ascii="Arial" w:eastAsia="SimSun" w:hAnsi="Arial" w:cs="Arial"/>
          <w:sz w:val="22"/>
          <w:szCs w:val="22"/>
          <w:lang w:val="fr-FR"/>
        </w:rPr>
        <w:t> </w:t>
      </w:r>
      <w:r w:rsidR="00D9653F" w:rsidRPr="00BF4BDA">
        <w:rPr>
          <w:rFonts w:ascii="Arial" w:eastAsia="SimSun" w:hAnsi="Arial" w:cs="Arial"/>
          <w:sz w:val="22"/>
          <w:szCs w:val="22"/>
          <w:lang w:val="fr-FR"/>
        </w:rPr>
        <w:t xml:space="preserve">500 personnes suivant la réunion en ligne. Les membres du Comité </w:t>
      </w:r>
      <w:r w:rsidR="00D9653F">
        <w:rPr>
          <w:rFonts w:ascii="Arial" w:eastAsia="SimSun" w:hAnsi="Arial" w:cs="Arial"/>
          <w:sz w:val="22"/>
          <w:szCs w:val="22"/>
          <w:lang w:val="fr-FR"/>
        </w:rPr>
        <w:t xml:space="preserve">avaient </w:t>
      </w:r>
      <w:r w:rsidR="00D9653F" w:rsidRPr="00BF4BDA">
        <w:rPr>
          <w:rFonts w:ascii="Arial" w:eastAsia="SimSun" w:hAnsi="Arial" w:cs="Arial"/>
          <w:sz w:val="22"/>
          <w:szCs w:val="22"/>
          <w:lang w:val="fr-FR"/>
        </w:rPr>
        <w:t>inscrit trois éléments sur la Liste de sauvegarde urgente et vingt</w:t>
      </w:r>
      <w:r w:rsidR="00D9653F">
        <w:rPr>
          <w:rFonts w:ascii="Arial" w:eastAsia="SimSun" w:hAnsi="Arial" w:cs="Arial"/>
          <w:sz w:val="22"/>
          <w:szCs w:val="22"/>
          <w:lang w:val="fr-FR"/>
        </w:rPr>
        <w:noBreakHyphen/>
      </w:r>
      <w:r w:rsidR="00D9653F" w:rsidRPr="00BF4BDA">
        <w:rPr>
          <w:rFonts w:ascii="Arial" w:eastAsia="SimSun" w:hAnsi="Arial" w:cs="Arial"/>
          <w:sz w:val="22"/>
          <w:szCs w:val="22"/>
          <w:lang w:val="fr-FR"/>
        </w:rPr>
        <w:t>neuf éléments sur la Liste représentative. Le Comité a</w:t>
      </w:r>
      <w:r w:rsidR="00D9653F">
        <w:rPr>
          <w:rFonts w:ascii="Arial" w:eastAsia="SimSun" w:hAnsi="Arial" w:cs="Arial"/>
          <w:sz w:val="22"/>
          <w:szCs w:val="22"/>
          <w:lang w:val="fr-FR"/>
        </w:rPr>
        <w:t>vait</w:t>
      </w:r>
      <w:r w:rsidR="00D9653F" w:rsidRPr="00BF4BDA">
        <w:rPr>
          <w:rFonts w:ascii="Arial" w:eastAsia="SimSun" w:hAnsi="Arial" w:cs="Arial"/>
          <w:sz w:val="22"/>
          <w:szCs w:val="22"/>
          <w:lang w:val="fr-FR"/>
        </w:rPr>
        <w:t xml:space="preserve"> également ajouté trois programmes au Registre des bonnes pratiques de sauvegarde. </w:t>
      </w:r>
      <w:r w:rsidR="00D9653F">
        <w:rPr>
          <w:rFonts w:ascii="Arial" w:eastAsia="SimSun" w:hAnsi="Arial" w:cs="Arial"/>
          <w:sz w:val="22"/>
          <w:szCs w:val="22"/>
          <w:lang w:val="fr-FR"/>
        </w:rPr>
        <w:t>On ne soulignerait jamais assez l</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énorme travail et le soutien du Secrétariat. La Jamaïque a exprimé son admiration</w:t>
      </w:r>
      <w:r w:rsidR="00D9653F">
        <w:rPr>
          <w:rFonts w:ascii="Arial" w:eastAsia="SimSun" w:hAnsi="Arial" w:cs="Arial"/>
          <w:sz w:val="22"/>
          <w:szCs w:val="22"/>
          <w:lang w:val="fr-FR"/>
        </w:rPr>
        <w:t xml:space="preserve"> et sa </w:t>
      </w:r>
      <w:r w:rsidR="00D9653F" w:rsidRPr="00892B67">
        <w:rPr>
          <w:rFonts w:ascii="Arial" w:eastAsia="SimSun" w:hAnsi="Arial" w:cs="Arial"/>
          <w:sz w:val="22"/>
          <w:szCs w:val="22"/>
          <w:lang w:val="fr-FR"/>
        </w:rPr>
        <w:t>satisfaction</w:t>
      </w:r>
      <w:r w:rsidR="00D9653F" w:rsidRPr="00BF4BDA">
        <w:rPr>
          <w:rFonts w:ascii="Arial" w:eastAsia="SimSun" w:hAnsi="Arial" w:cs="Arial"/>
          <w:sz w:val="22"/>
          <w:szCs w:val="22"/>
          <w:lang w:val="fr-FR"/>
        </w:rPr>
        <w:t xml:space="preserve"> </w:t>
      </w:r>
      <w:r w:rsidR="00D9653F">
        <w:rPr>
          <w:rFonts w:ascii="Arial" w:eastAsia="SimSun" w:hAnsi="Arial" w:cs="Arial"/>
          <w:sz w:val="22"/>
          <w:szCs w:val="22"/>
          <w:lang w:val="fr-FR"/>
        </w:rPr>
        <w:t xml:space="preserve">pour le travail du </w:t>
      </w:r>
      <w:r w:rsidR="00D9653F" w:rsidRPr="00875607">
        <w:rPr>
          <w:rFonts w:ascii="Arial" w:eastAsia="SimSun" w:hAnsi="Arial" w:cs="Arial"/>
          <w:sz w:val="22"/>
          <w:szCs w:val="22"/>
          <w:lang w:val="fr-FR"/>
        </w:rPr>
        <w:t>Secréta</w:t>
      </w:r>
      <w:r w:rsidR="00D9653F">
        <w:rPr>
          <w:rFonts w:ascii="Arial" w:eastAsia="SimSun" w:hAnsi="Arial" w:cs="Arial"/>
          <w:sz w:val="22"/>
          <w:szCs w:val="22"/>
          <w:lang w:val="fr-FR"/>
        </w:rPr>
        <w:t xml:space="preserve">riat </w:t>
      </w:r>
      <w:r w:rsidR="00D9653F" w:rsidRPr="00BF4BDA">
        <w:rPr>
          <w:rFonts w:ascii="Arial" w:eastAsia="SimSun" w:hAnsi="Arial" w:cs="Arial"/>
          <w:sz w:val="22"/>
          <w:szCs w:val="22"/>
          <w:lang w:val="fr-FR"/>
        </w:rPr>
        <w:t xml:space="preserve">et </w:t>
      </w:r>
      <w:r w:rsidR="00D9653F">
        <w:rPr>
          <w:rFonts w:ascii="Arial" w:eastAsia="SimSun" w:hAnsi="Arial" w:cs="Arial"/>
          <w:sz w:val="22"/>
          <w:szCs w:val="22"/>
          <w:lang w:val="fr-FR"/>
        </w:rPr>
        <w:t xml:space="preserve">sa réussite </w:t>
      </w:r>
      <w:r w:rsidR="00D9653F" w:rsidRPr="00BF4BDA">
        <w:rPr>
          <w:rFonts w:ascii="Arial" w:eastAsia="SimSun" w:hAnsi="Arial" w:cs="Arial"/>
          <w:sz w:val="22"/>
          <w:szCs w:val="22"/>
          <w:lang w:val="fr-FR"/>
        </w:rPr>
        <w:t>continu</w:t>
      </w:r>
      <w:r w:rsidR="00D9653F">
        <w:rPr>
          <w:rFonts w:ascii="Arial" w:eastAsia="SimSun" w:hAnsi="Arial" w:cs="Arial"/>
          <w:sz w:val="22"/>
          <w:szCs w:val="22"/>
          <w:lang w:val="fr-FR"/>
        </w:rPr>
        <w:t>e</w:t>
      </w:r>
      <w:r w:rsidR="00D9653F" w:rsidRPr="00BF4BDA">
        <w:rPr>
          <w:rFonts w:ascii="Arial" w:eastAsia="SimSun" w:hAnsi="Arial" w:cs="Arial"/>
          <w:sz w:val="22"/>
          <w:szCs w:val="22"/>
          <w:lang w:val="fr-FR"/>
        </w:rPr>
        <w:t xml:space="preserve"> dans l</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 xml:space="preserve">exécution de sa mission. Au terme de son mandat au sein du Comité, la Jamaïque a </w:t>
      </w:r>
      <w:r w:rsidR="00D9653F">
        <w:rPr>
          <w:rFonts w:ascii="Arial" w:eastAsia="SimSun" w:hAnsi="Arial" w:cs="Arial"/>
          <w:sz w:val="22"/>
          <w:szCs w:val="22"/>
          <w:lang w:val="fr-FR"/>
        </w:rPr>
        <w:t xml:space="preserve">manifesté </w:t>
      </w:r>
      <w:r w:rsidR="00D9653F" w:rsidRPr="00BF4BDA">
        <w:rPr>
          <w:rFonts w:ascii="Arial" w:eastAsia="SimSun" w:hAnsi="Arial" w:cs="Arial"/>
          <w:sz w:val="22"/>
          <w:szCs w:val="22"/>
          <w:lang w:val="fr-FR"/>
        </w:rPr>
        <w:t xml:space="preserve">sa gratitude pour la fraternité </w:t>
      </w:r>
      <w:r w:rsidR="00D9653F">
        <w:rPr>
          <w:rFonts w:ascii="Arial" w:eastAsia="SimSun" w:hAnsi="Arial" w:cs="Arial"/>
          <w:sz w:val="22"/>
          <w:szCs w:val="22"/>
          <w:lang w:val="fr-FR"/>
        </w:rPr>
        <w:t>qui lui avait été exprimée</w:t>
      </w:r>
      <w:r w:rsidR="00D9653F" w:rsidRPr="00BF4BDA">
        <w:rPr>
          <w:rFonts w:ascii="Arial" w:eastAsia="SimSun" w:hAnsi="Arial" w:cs="Arial"/>
          <w:sz w:val="22"/>
          <w:szCs w:val="22"/>
          <w:lang w:val="fr-FR"/>
        </w:rPr>
        <w:t xml:space="preserve">, </w:t>
      </w:r>
      <w:r w:rsidR="00D9653F">
        <w:rPr>
          <w:rFonts w:ascii="Arial" w:eastAsia="SimSun" w:hAnsi="Arial" w:cs="Arial"/>
          <w:sz w:val="22"/>
          <w:szCs w:val="22"/>
          <w:lang w:val="fr-FR"/>
        </w:rPr>
        <w:t>alors qu</w:t>
      </w:r>
      <w:r w:rsidR="008E532B">
        <w:rPr>
          <w:rFonts w:ascii="Arial" w:eastAsia="SimSun" w:hAnsi="Arial" w:cs="Arial"/>
          <w:sz w:val="22"/>
          <w:szCs w:val="22"/>
          <w:lang w:val="fr-FR"/>
        </w:rPr>
        <w:t>’</w:t>
      </w:r>
      <w:r w:rsidR="00D9653F">
        <w:rPr>
          <w:rFonts w:ascii="Arial" w:eastAsia="SimSun" w:hAnsi="Arial" w:cs="Arial"/>
          <w:sz w:val="22"/>
          <w:szCs w:val="22"/>
          <w:lang w:val="fr-FR"/>
        </w:rPr>
        <w:t xml:space="preserve">elle </w:t>
      </w:r>
      <w:r w:rsidR="00D9653F" w:rsidRPr="00BF4BDA">
        <w:rPr>
          <w:rFonts w:ascii="Arial" w:eastAsia="SimSun" w:hAnsi="Arial" w:cs="Arial"/>
          <w:sz w:val="22"/>
          <w:szCs w:val="22"/>
          <w:lang w:val="fr-FR"/>
        </w:rPr>
        <w:t>représenta</w:t>
      </w:r>
      <w:r w:rsidR="00D9653F">
        <w:rPr>
          <w:rFonts w:ascii="Arial" w:eastAsia="SimSun" w:hAnsi="Arial" w:cs="Arial"/>
          <w:sz w:val="22"/>
          <w:szCs w:val="22"/>
          <w:lang w:val="fr-FR"/>
        </w:rPr>
        <w:t>it</w:t>
      </w:r>
      <w:r w:rsidR="00D9653F" w:rsidRPr="00BF4BDA">
        <w:rPr>
          <w:rFonts w:ascii="Arial" w:eastAsia="SimSun" w:hAnsi="Arial" w:cs="Arial"/>
          <w:sz w:val="22"/>
          <w:szCs w:val="22"/>
          <w:lang w:val="fr-FR"/>
        </w:rPr>
        <w:t xml:space="preserve"> de nombreuses voix de la région Amérique latine et Caraïbes, ainsi que celles des petits États insulaires en développement (PEID) et du reste du monde. La Jamaïque a promis son soutien indéfectible à la poursuite des objectifs de la Convention et a imploré le Comité d</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 xml:space="preserve">utiliser ses énergies pour devenir de plus en plus créatif et réactif aux besoins de tous les États parties et aux dangers </w:t>
      </w:r>
      <w:r w:rsidR="00D9653F">
        <w:rPr>
          <w:rFonts w:ascii="Arial" w:eastAsia="SimSun" w:hAnsi="Arial" w:cs="Arial"/>
          <w:sz w:val="22"/>
          <w:szCs w:val="22"/>
          <w:lang w:val="fr-FR"/>
        </w:rPr>
        <w:t>causés</w:t>
      </w:r>
      <w:r w:rsidR="00D9653F" w:rsidRPr="00BF4BDA">
        <w:rPr>
          <w:rFonts w:ascii="Arial" w:eastAsia="SimSun" w:hAnsi="Arial" w:cs="Arial"/>
          <w:sz w:val="22"/>
          <w:szCs w:val="22"/>
          <w:lang w:val="fr-FR"/>
        </w:rPr>
        <w:t xml:space="preserve"> par le réchauffement climatique et les autres menaces d</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origine humaine sur le patrimoine commun. À cet égard, la Jamaïque a félicité l</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UNESCO pour son action d</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 xml:space="preserve">urgence </w:t>
      </w:r>
      <w:proofErr w:type="gramStart"/>
      <w:r w:rsidR="00D9653F" w:rsidRPr="00BF4BDA">
        <w:rPr>
          <w:rFonts w:ascii="Arial" w:eastAsia="SimSun" w:hAnsi="Arial" w:cs="Arial"/>
          <w:sz w:val="22"/>
          <w:szCs w:val="22"/>
          <w:lang w:val="fr-FR"/>
        </w:rPr>
        <w:t>suite à</w:t>
      </w:r>
      <w:proofErr w:type="gramEnd"/>
      <w:r w:rsidR="00D9653F" w:rsidRPr="00BF4BDA">
        <w:rPr>
          <w:rFonts w:ascii="Arial" w:eastAsia="SimSun" w:hAnsi="Arial" w:cs="Arial"/>
          <w:sz w:val="22"/>
          <w:szCs w:val="22"/>
          <w:lang w:val="fr-FR"/>
        </w:rPr>
        <w:t xml:space="preserve"> l</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 xml:space="preserve">inscription de la soupe </w:t>
      </w:r>
      <w:r w:rsidR="00D9653F">
        <w:rPr>
          <w:rFonts w:ascii="Arial" w:eastAsia="SimSun" w:hAnsi="Arial" w:cs="Arial"/>
          <w:sz w:val="22"/>
          <w:szCs w:val="22"/>
          <w:lang w:val="fr-FR"/>
        </w:rPr>
        <w:t>au giraumon</w:t>
      </w:r>
      <w:r w:rsidR="00D9653F" w:rsidRPr="00BF4BDA">
        <w:rPr>
          <w:rFonts w:ascii="Arial" w:eastAsia="SimSun" w:hAnsi="Arial" w:cs="Arial"/>
          <w:sz w:val="22"/>
          <w:szCs w:val="22"/>
          <w:lang w:val="fr-FR"/>
        </w:rPr>
        <w:t xml:space="preserve"> par Haïti sur la Liste représentative et, plus récemment, l</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 xml:space="preserve">inscription de la </w:t>
      </w:r>
      <w:r w:rsidR="00D9653F">
        <w:rPr>
          <w:rFonts w:ascii="Arial" w:eastAsia="SimSun" w:hAnsi="Arial" w:cs="Arial"/>
          <w:sz w:val="22"/>
          <w:szCs w:val="22"/>
          <w:lang w:val="fr-FR"/>
        </w:rPr>
        <w:t>c</w:t>
      </w:r>
      <w:r w:rsidR="00D9653F" w:rsidRPr="00BF4BDA">
        <w:rPr>
          <w:rFonts w:ascii="Arial" w:eastAsia="SimSun" w:hAnsi="Arial" w:cs="Arial"/>
          <w:sz w:val="22"/>
          <w:szCs w:val="22"/>
          <w:lang w:val="fr-FR"/>
        </w:rPr>
        <w:t xml:space="preserve">ulture de la </w:t>
      </w:r>
      <w:r w:rsidR="00D9653F">
        <w:rPr>
          <w:rFonts w:ascii="Arial" w:eastAsia="SimSun" w:hAnsi="Arial" w:cs="Arial"/>
          <w:sz w:val="22"/>
          <w:szCs w:val="22"/>
          <w:lang w:val="fr-FR"/>
        </w:rPr>
        <w:t xml:space="preserve">préparation du bortsch </w:t>
      </w:r>
      <w:r w:rsidR="00D9653F" w:rsidRPr="00BF4BDA">
        <w:rPr>
          <w:rFonts w:ascii="Arial" w:eastAsia="SimSun" w:hAnsi="Arial" w:cs="Arial"/>
          <w:sz w:val="22"/>
          <w:szCs w:val="22"/>
          <w:lang w:val="fr-FR"/>
        </w:rPr>
        <w:t xml:space="preserve">ukrainien, la soupe à base de betterave, comme </w:t>
      </w:r>
      <w:r w:rsidR="00D9653F">
        <w:rPr>
          <w:rFonts w:ascii="Arial" w:eastAsia="SimSun" w:hAnsi="Arial" w:cs="Arial"/>
          <w:sz w:val="22"/>
          <w:szCs w:val="22"/>
          <w:lang w:val="fr-FR"/>
        </w:rPr>
        <w:t xml:space="preserve">faisant </w:t>
      </w:r>
      <w:r w:rsidR="00D9653F" w:rsidRPr="00BF4BDA">
        <w:rPr>
          <w:rFonts w:ascii="Arial" w:eastAsia="SimSun" w:hAnsi="Arial" w:cs="Arial"/>
          <w:sz w:val="22"/>
          <w:szCs w:val="22"/>
          <w:lang w:val="fr-FR"/>
        </w:rPr>
        <w:t xml:space="preserve">partie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00D9653F" w:rsidRPr="00BF4BDA">
        <w:rPr>
          <w:rFonts w:ascii="Arial" w:eastAsia="SimSun" w:hAnsi="Arial" w:cs="Arial"/>
          <w:sz w:val="22"/>
          <w:szCs w:val="22"/>
          <w:lang w:val="fr-FR"/>
        </w:rPr>
        <w:t>de l</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 xml:space="preserve">Ukraine nécessitant une sauvegarde urgente. </w:t>
      </w:r>
      <w:r w:rsidR="00D9653F">
        <w:rPr>
          <w:rFonts w:ascii="Arial" w:eastAsia="SimSun" w:hAnsi="Arial" w:cs="Arial"/>
          <w:sz w:val="22"/>
          <w:szCs w:val="22"/>
          <w:lang w:val="fr-FR"/>
        </w:rPr>
        <w:t xml:space="preserve">Le Comité </w:t>
      </w:r>
      <w:r w:rsidR="00D9653F" w:rsidRPr="00BF4BDA">
        <w:rPr>
          <w:rFonts w:ascii="Arial" w:eastAsia="SimSun" w:hAnsi="Arial" w:cs="Arial"/>
          <w:sz w:val="22"/>
          <w:szCs w:val="22"/>
          <w:lang w:val="fr-FR"/>
        </w:rPr>
        <w:t>aura</w:t>
      </w:r>
      <w:r w:rsidR="00D9653F">
        <w:rPr>
          <w:rFonts w:ascii="Arial" w:eastAsia="SimSun" w:hAnsi="Arial" w:cs="Arial"/>
          <w:sz w:val="22"/>
          <w:szCs w:val="22"/>
          <w:lang w:val="fr-FR"/>
        </w:rPr>
        <w:t>it</w:t>
      </w:r>
      <w:r w:rsidR="00D9653F" w:rsidRPr="00BF4BDA">
        <w:rPr>
          <w:rFonts w:ascii="Arial" w:eastAsia="SimSun" w:hAnsi="Arial" w:cs="Arial"/>
          <w:sz w:val="22"/>
          <w:szCs w:val="22"/>
          <w:lang w:val="fr-FR"/>
        </w:rPr>
        <w:t xml:space="preserve"> toujours des défis à relever</w:t>
      </w:r>
      <w:r w:rsidR="00D9653F">
        <w:rPr>
          <w:rFonts w:ascii="Arial" w:eastAsia="SimSun" w:hAnsi="Arial" w:cs="Arial"/>
          <w:sz w:val="22"/>
          <w:szCs w:val="22"/>
          <w:lang w:val="fr-FR"/>
        </w:rPr>
        <w:t xml:space="preserve"> dans le cadre de son travail</w:t>
      </w:r>
      <w:r w:rsidR="00D9653F" w:rsidRPr="00BF4BDA">
        <w:rPr>
          <w:rFonts w:ascii="Arial" w:eastAsia="SimSun" w:hAnsi="Arial" w:cs="Arial"/>
          <w:sz w:val="22"/>
          <w:szCs w:val="22"/>
          <w:lang w:val="fr-FR"/>
        </w:rPr>
        <w:t xml:space="preserve">, mais la promotion de la paix dans le cœur de tous les peuples </w:t>
      </w:r>
      <w:r w:rsidR="00D9653F">
        <w:rPr>
          <w:rFonts w:ascii="Arial" w:eastAsia="SimSun" w:hAnsi="Arial" w:cs="Arial"/>
          <w:sz w:val="22"/>
          <w:szCs w:val="22"/>
          <w:lang w:val="fr-FR"/>
        </w:rPr>
        <w:t>était</w:t>
      </w:r>
      <w:r w:rsidR="00D9653F" w:rsidRPr="00BF4BDA">
        <w:rPr>
          <w:rFonts w:ascii="Arial" w:eastAsia="SimSun" w:hAnsi="Arial" w:cs="Arial"/>
          <w:sz w:val="22"/>
          <w:szCs w:val="22"/>
          <w:lang w:val="fr-FR"/>
        </w:rPr>
        <w:t xml:space="preserve"> </w:t>
      </w:r>
      <w:r w:rsidR="00D9653F">
        <w:rPr>
          <w:rFonts w:ascii="Arial" w:eastAsia="SimSun" w:hAnsi="Arial" w:cs="Arial"/>
          <w:sz w:val="22"/>
          <w:szCs w:val="22"/>
          <w:lang w:val="fr-FR"/>
        </w:rPr>
        <w:t xml:space="preserve">une pratique </w:t>
      </w:r>
      <w:r w:rsidR="00D9653F" w:rsidRPr="00BF4BDA">
        <w:rPr>
          <w:rFonts w:ascii="Arial" w:eastAsia="SimSun" w:hAnsi="Arial" w:cs="Arial"/>
          <w:sz w:val="22"/>
          <w:szCs w:val="22"/>
          <w:lang w:val="fr-FR"/>
        </w:rPr>
        <w:t xml:space="preserve">fondamentale pour sa mission commune. Selon les mots de son prophète et poète rastafari, Bob Marley, </w:t>
      </w:r>
      <w:r w:rsidR="00D9653F">
        <w:rPr>
          <w:rFonts w:ascii="Arial" w:eastAsia="SimSun" w:hAnsi="Arial" w:cs="Arial"/>
          <w:sz w:val="22"/>
          <w:szCs w:val="22"/>
          <w:lang w:val="fr-FR"/>
        </w:rPr>
        <w:t>« </w:t>
      </w:r>
      <w:r w:rsidR="00D9653F" w:rsidRPr="00BF4BDA">
        <w:rPr>
          <w:rFonts w:ascii="Arial" w:eastAsia="SimSun" w:hAnsi="Arial" w:cs="Arial"/>
          <w:sz w:val="22"/>
          <w:szCs w:val="22"/>
          <w:lang w:val="fr-FR"/>
        </w:rPr>
        <w:t>un seul cœur</w:t>
      </w:r>
      <w:r w:rsidR="00D9653F">
        <w:rPr>
          <w:rFonts w:ascii="Arial" w:eastAsia="SimSun" w:hAnsi="Arial" w:cs="Arial"/>
          <w:sz w:val="22"/>
          <w:szCs w:val="22"/>
          <w:lang w:val="fr-FR"/>
        </w:rPr>
        <w:t> » (</w:t>
      </w:r>
      <w:r w:rsidR="00D9653F" w:rsidRPr="00DF270C">
        <w:rPr>
          <w:rFonts w:ascii="Arial" w:eastAsia="SimSun" w:hAnsi="Arial" w:cs="Arial"/>
          <w:i/>
          <w:iCs/>
          <w:sz w:val="22"/>
          <w:szCs w:val="22"/>
          <w:lang w:val="fr-FR"/>
        </w:rPr>
        <w:t xml:space="preserve">one </w:t>
      </w:r>
      <w:proofErr w:type="spellStart"/>
      <w:r w:rsidR="00D9653F" w:rsidRPr="00DF270C">
        <w:rPr>
          <w:rFonts w:ascii="Arial" w:eastAsia="SimSun" w:hAnsi="Arial" w:cs="Arial"/>
          <w:i/>
          <w:iCs/>
          <w:sz w:val="22"/>
          <w:szCs w:val="22"/>
          <w:lang w:val="fr-FR"/>
        </w:rPr>
        <w:t>heart</w:t>
      </w:r>
      <w:proofErr w:type="spellEnd"/>
      <w:r w:rsidR="00D9653F">
        <w:rPr>
          <w:rFonts w:ascii="Arial" w:eastAsia="SimSun" w:hAnsi="Arial" w:cs="Arial"/>
          <w:sz w:val="22"/>
          <w:szCs w:val="22"/>
          <w:lang w:val="fr-FR"/>
        </w:rPr>
        <w:t>)</w:t>
      </w:r>
      <w:r w:rsidR="00D9653F" w:rsidRPr="00BF4BDA">
        <w:rPr>
          <w:rFonts w:ascii="Arial" w:eastAsia="SimSun" w:hAnsi="Arial" w:cs="Arial"/>
          <w:sz w:val="22"/>
          <w:szCs w:val="22"/>
          <w:lang w:val="fr-FR"/>
        </w:rPr>
        <w:t xml:space="preserve"> </w:t>
      </w:r>
      <w:r w:rsidR="00D9653F">
        <w:rPr>
          <w:rFonts w:ascii="Arial" w:eastAsia="SimSun" w:hAnsi="Arial" w:cs="Arial"/>
          <w:sz w:val="22"/>
          <w:szCs w:val="22"/>
          <w:lang w:val="fr-FR"/>
        </w:rPr>
        <w:t>était</w:t>
      </w:r>
      <w:r w:rsidR="00D9653F" w:rsidRPr="00BF4BDA">
        <w:rPr>
          <w:rFonts w:ascii="Arial" w:eastAsia="SimSun" w:hAnsi="Arial" w:cs="Arial"/>
          <w:sz w:val="22"/>
          <w:szCs w:val="22"/>
          <w:lang w:val="fr-FR"/>
        </w:rPr>
        <w:t xml:space="preserve"> un message qui résonne </w:t>
      </w:r>
      <w:r w:rsidR="00D9653F">
        <w:rPr>
          <w:rFonts w:ascii="Arial" w:eastAsia="SimSun" w:hAnsi="Arial" w:cs="Arial"/>
          <w:sz w:val="22"/>
          <w:szCs w:val="22"/>
          <w:lang w:val="fr-FR"/>
        </w:rPr>
        <w:t xml:space="preserve">en </w:t>
      </w:r>
      <w:r w:rsidR="00D9653F" w:rsidRPr="00BF4BDA">
        <w:rPr>
          <w:rFonts w:ascii="Arial" w:eastAsia="SimSun" w:hAnsi="Arial" w:cs="Arial"/>
          <w:sz w:val="22"/>
          <w:szCs w:val="22"/>
          <w:lang w:val="fr-FR"/>
        </w:rPr>
        <w:t>nous tous et qui continuera</w:t>
      </w:r>
      <w:r w:rsidR="00D9653F">
        <w:rPr>
          <w:rFonts w:ascii="Arial" w:eastAsia="SimSun" w:hAnsi="Arial" w:cs="Arial"/>
          <w:sz w:val="22"/>
          <w:szCs w:val="22"/>
          <w:lang w:val="fr-FR"/>
        </w:rPr>
        <w:t xml:space="preserve">it </w:t>
      </w:r>
      <w:r w:rsidR="00D9653F" w:rsidRPr="00BF4BDA">
        <w:rPr>
          <w:rFonts w:ascii="Arial" w:eastAsia="SimSun" w:hAnsi="Arial" w:cs="Arial"/>
          <w:sz w:val="22"/>
          <w:szCs w:val="22"/>
          <w:lang w:val="fr-FR"/>
        </w:rPr>
        <w:t xml:space="preserve">à guider le travail de ce Comité. Elle a conclu </w:t>
      </w:r>
      <w:r w:rsidR="00D9653F">
        <w:rPr>
          <w:rFonts w:ascii="Arial" w:eastAsia="SimSun" w:hAnsi="Arial" w:cs="Arial"/>
          <w:sz w:val="22"/>
          <w:szCs w:val="22"/>
          <w:lang w:val="fr-FR"/>
        </w:rPr>
        <w:t xml:space="preserve">son </w:t>
      </w:r>
      <w:r w:rsidR="00D9653F" w:rsidRPr="0010084E">
        <w:rPr>
          <w:rFonts w:ascii="Arial" w:eastAsia="SimSun" w:hAnsi="Arial" w:cs="Arial"/>
          <w:sz w:val="22"/>
          <w:szCs w:val="22"/>
          <w:lang w:val="fr-FR"/>
        </w:rPr>
        <w:t>intervention</w:t>
      </w:r>
      <w:r w:rsidR="00D9653F">
        <w:rPr>
          <w:rFonts w:ascii="Arial" w:eastAsia="SimSun" w:hAnsi="Arial" w:cs="Arial"/>
          <w:sz w:val="22"/>
          <w:szCs w:val="22"/>
          <w:lang w:val="fr-FR"/>
        </w:rPr>
        <w:t xml:space="preserve"> </w:t>
      </w:r>
      <w:r w:rsidR="00D9653F" w:rsidRPr="00BF4BDA">
        <w:rPr>
          <w:rFonts w:ascii="Arial" w:eastAsia="SimSun" w:hAnsi="Arial" w:cs="Arial"/>
          <w:sz w:val="22"/>
          <w:szCs w:val="22"/>
          <w:lang w:val="fr-FR"/>
        </w:rPr>
        <w:t>en saluant l</w:t>
      </w:r>
      <w:r w:rsidR="008E532B">
        <w:rPr>
          <w:rFonts w:ascii="Arial" w:eastAsia="SimSun" w:hAnsi="Arial" w:cs="Arial"/>
          <w:sz w:val="22"/>
          <w:szCs w:val="22"/>
          <w:lang w:val="fr-FR"/>
        </w:rPr>
        <w:t>’</w:t>
      </w:r>
      <w:r w:rsidR="00D9653F" w:rsidRPr="00BF4BDA">
        <w:rPr>
          <w:rFonts w:ascii="Arial" w:eastAsia="SimSun" w:hAnsi="Arial" w:cs="Arial"/>
          <w:sz w:val="22"/>
          <w:szCs w:val="22"/>
          <w:lang w:val="fr-FR"/>
        </w:rPr>
        <w:t>excellent travail du Bureau et en souhaitant à l</w:t>
      </w:r>
      <w:r w:rsidR="008E532B">
        <w:rPr>
          <w:rFonts w:ascii="Arial" w:eastAsia="SimSun" w:hAnsi="Arial" w:cs="Arial"/>
          <w:sz w:val="22"/>
          <w:szCs w:val="22"/>
          <w:lang w:val="fr-FR"/>
        </w:rPr>
        <w:t>’</w:t>
      </w:r>
      <w:r w:rsidR="00D9653F">
        <w:rPr>
          <w:rFonts w:ascii="Arial" w:eastAsia="SimSun" w:hAnsi="Arial" w:cs="Arial"/>
          <w:sz w:val="22"/>
          <w:szCs w:val="22"/>
          <w:lang w:val="fr-FR"/>
        </w:rPr>
        <w:t>A</w:t>
      </w:r>
      <w:r w:rsidR="00D9653F" w:rsidRPr="00BF4BDA">
        <w:rPr>
          <w:rFonts w:ascii="Arial" w:eastAsia="SimSun" w:hAnsi="Arial" w:cs="Arial"/>
          <w:sz w:val="22"/>
          <w:szCs w:val="22"/>
          <w:lang w:val="fr-FR"/>
        </w:rPr>
        <w:t>ssemblée tout le succès possible.</w:t>
      </w:r>
    </w:p>
    <w:p w14:paraId="27BE79C5" w14:textId="7E292F1C" w:rsidR="00D9653F" w:rsidRPr="00DF270C"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DF270C">
        <w:rPr>
          <w:rFonts w:ascii="Arial" w:eastAsia="SimSun" w:hAnsi="Arial" w:cs="Arial"/>
          <w:b/>
          <w:bCs/>
          <w:sz w:val="22"/>
          <w:szCs w:val="22"/>
          <w:lang w:val="fr-FR"/>
        </w:rPr>
        <w:t>Présidente</w:t>
      </w:r>
      <w:r>
        <w:rPr>
          <w:rFonts w:ascii="Arial" w:eastAsia="SimSun" w:hAnsi="Arial" w:cs="Arial"/>
          <w:sz w:val="22"/>
          <w:szCs w:val="22"/>
          <w:lang w:val="fr-FR"/>
        </w:rPr>
        <w:t xml:space="preserve"> a remercié </w:t>
      </w:r>
      <w:r w:rsidR="008D65C3">
        <w:rPr>
          <w:rFonts w:ascii="Arial" w:eastAsia="SimSun" w:hAnsi="Arial" w:cs="Arial"/>
          <w:sz w:val="22"/>
          <w:szCs w:val="22"/>
          <w:lang w:val="fr-FR"/>
        </w:rPr>
        <w:t>Mme</w:t>
      </w:r>
      <w:r w:rsidRPr="00DF270C">
        <w:rPr>
          <w:rFonts w:ascii="Arial" w:eastAsia="SimSun" w:hAnsi="Arial" w:cs="Arial"/>
          <w:sz w:val="22"/>
          <w:szCs w:val="22"/>
          <w:lang w:val="fr-FR"/>
        </w:rPr>
        <w:t xml:space="preserve"> Joanne Archibald</w:t>
      </w:r>
      <w:r>
        <w:rPr>
          <w:rFonts w:ascii="Arial" w:eastAsia="SimSun" w:hAnsi="Arial" w:cs="Arial"/>
          <w:sz w:val="22"/>
          <w:szCs w:val="22"/>
          <w:lang w:val="fr-FR"/>
        </w:rPr>
        <w:t xml:space="preserve"> et a ajouté que, bien que la quinzième session du </w:t>
      </w:r>
      <w:r w:rsidRPr="00DF270C">
        <w:rPr>
          <w:rFonts w:ascii="Arial" w:eastAsia="SimSun" w:hAnsi="Arial" w:cs="Arial"/>
          <w:bCs/>
          <w:color w:val="000000" w:themeColor="text1"/>
          <w:sz w:val="22"/>
          <w:szCs w:val="22"/>
          <w:lang w:val="fr-FR"/>
        </w:rPr>
        <w:t>Comité</w:t>
      </w:r>
      <w:r>
        <w:rPr>
          <w:rFonts w:ascii="Arial" w:eastAsia="SimSun" w:hAnsi="Arial" w:cs="Arial"/>
          <w:bCs/>
          <w:color w:val="000000" w:themeColor="text1"/>
          <w:sz w:val="22"/>
          <w:szCs w:val="22"/>
          <w:lang w:val="fr-FR"/>
        </w:rPr>
        <w:t xml:space="preserve"> n</w:t>
      </w:r>
      <w:r w:rsidR="008E532B">
        <w:rPr>
          <w:rFonts w:ascii="Arial" w:eastAsia="SimSun" w:hAnsi="Arial" w:cs="Arial"/>
          <w:bCs/>
          <w:color w:val="000000" w:themeColor="text1"/>
          <w:sz w:val="22"/>
          <w:szCs w:val="22"/>
          <w:lang w:val="fr-FR"/>
        </w:rPr>
        <w:t>’</w:t>
      </w:r>
      <w:r>
        <w:rPr>
          <w:rFonts w:ascii="Arial" w:eastAsia="SimSun" w:hAnsi="Arial" w:cs="Arial"/>
          <w:bCs/>
          <w:color w:val="000000" w:themeColor="text1"/>
          <w:sz w:val="22"/>
          <w:szCs w:val="22"/>
          <w:lang w:val="fr-FR"/>
        </w:rPr>
        <w:t xml:space="preserve">ait pu se tenir en </w:t>
      </w:r>
      <w:r w:rsidRPr="00DF270C">
        <w:rPr>
          <w:rFonts w:ascii="Arial" w:eastAsia="SimSun" w:hAnsi="Arial" w:cs="Arial"/>
          <w:bCs/>
          <w:color w:val="000000" w:themeColor="text1"/>
          <w:sz w:val="22"/>
          <w:szCs w:val="22"/>
          <w:lang w:val="fr-FR"/>
        </w:rPr>
        <w:t>Jamaïque</w:t>
      </w:r>
      <w:r>
        <w:rPr>
          <w:rFonts w:ascii="Arial" w:eastAsia="SimSun" w:hAnsi="Arial" w:cs="Arial"/>
          <w:bCs/>
          <w:color w:val="000000" w:themeColor="text1"/>
          <w:sz w:val="22"/>
          <w:szCs w:val="22"/>
          <w:lang w:val="fr-FR"/>
        </w:rPr>
        <w:t xml:space="preserve">, les couleurs et les sons de ce pays vivant et animé avaient été transmis par les intermèdes de reggae </w:t>
      </w:r>
      <w:proofErr w:type="spellStart"/>
      <w:r>
        <w:rPr>
          <w:rFonts w:ascii="Arial" w:eastAsia="SimSun" w:hAnsi="Arial" w:cs="Arial"/>
          <w:bCs/>
          <w:color w:val="000000" w:themeColor="text1"/>
          <w:sz w:val="22"/>
          <w:szCs w:val="22"/>
          <w:lang w:val="fr-FR"/>
        </w:rPr>
        <w:t>chill</w:t>
      </w:r>
      <w:proofErr w:type="spellEnd"/>
      <w:r>
        <w:rPr>
          <w:rFonts w:ascii="Arial" w:eastAsia="SimSun" w:hAnsi="Arial" w:cs="Arial"/>
          <w:bCs/>
          <w:color w:val="000000" w:themeColor="text1"/>
          <w:sz w:val="22"/>
          <w:szCs w:val="22"/>
          <w:lang w:val="fr-FR"/>
        </w:rPr>
        <w:t xml:space="preserve"> que les participants avaient appréciés.</w:t>
      </w:r>
    </w:p>
    <w:p w14:paraId="51522FEA" w14:textId="402FC416" w:rsidR="00D9653F" w:rsidRPr="00DF270C" w:rsidRDefault="00A73EE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b/>
          <w:bCs/>
          <w:sz w:val="22"/>
          <w:szCs w:val="22"/>
          <w:lang w:val="fr-FR"/>
        </w:rPr>
        <w:t xml:space="preserve">S.Exc. </w:t>
      </w:r>
      <w:r w:rsidR="008D65C3">
        <w:rPr>
          <w:rFonts w:ascii="Arial" w:eastAsia="SimSun" w:hAnsi="Arial" w:cs="Arial"/>
          <w:b/>
          <w:bCs/>
          <w:sz w:val="22"/>
          <w:szCs w:val="22"/>
          <w:lang w:val="fr-FR"/>
        </w:rPr>
        <w:t>Mme</w:t>
      </w:r>
      <w:r w:rsidR="00D9653F" w:rsidRPr="00D838DB">
        <w:rPr>
          <w:rFonts w:ascii="Arial" w:eastAsia="SimSun" w:hAnsi="Arial" w:cs="Arial"/>
          <w:b/>
          <w:bCs/>
          <w:sz w:val="22"/>
          <w:szCs w:val="22"/>
          <w:lang w:val="fr-FR"/>
        </w:rPr>
        <w:t xml:space="preserve"> </w:t>
      </w:r>
      <w:proofErr w:type="spellStart"/>
      <w:r w:rsidR="00D9653F" w:rsidRPr="00D838DB">
        <w:rPr>
          <w:rFonts w:ascii="Arial" w:eastAsia="SimSun" w:hAnsi="Arial" w:cs="Arial"/>
          <w:b/>
          <w:bCs/>
          <w:sz w:val="22"/>
          <w:szCs w:val="22"/>
          <w:lang w:val="fr-FR"/>
        </w:rPr>
        <w:t>Kshanika</w:t>
      </w:r>
      <w:proofErr w:type="spellEnd"/>
      <w:r w:rsidR="00D9653F" w:rsidRPr="00D838DB">
        <w:rPr>
          <w:rFonts w:ascii="Arial" w:eastAsia="SimSun" w:hAnsi="Arial" w:cs="Arial"/>
          <w:b/>
          <w:bCs/>
          <w:sz w:val="22"/>
          <w:szCs w:val="22"/>
          <w:lang w:val="fr-FR"/>
        </w:rPr>
        <w:t xml:space="preserve"> </w:t>
      </w:r>
      <w:proofErr w:type="spellStart"/>
      <w:r w:rsidR="00D9653F" w:rsidRPr="00D838DB">
        <w:rPr>
          <w:rFonts w:ascii="Arial" w:eastAsia="SimSun" w:hAnsi="Arial" w:cs="Arial"/>
          <w:b/>
          <w:bCs/>
          <w:sz w:val="22"/>
          <w:szCs w:val="22"/>
          <w:lang w:val="fr-FR"/>
        </w:rPr>
        <w:t>Hirimburegama</w:t>
      </w:r>
      <w:proofErr w:type="spellEnd"/>
      <w:r w:rsidRPr="000438FF">
        <w:rPr>
          <w:rFonts w:ascii="Arial" w:eastAsia="SimSun" w:hAnsi="Arial" w:cs="Arial"/>
          <w:sz w:val="22"/>
          <w:szCs w:val="22"/>
          <w:lang w:val="fr-FR"/>
        </w:rPr>
        <w:t>, Ambassadeur et Délégué permanente auprès de l’UNESCO,</w:t>
      </w:r>
      <w:r w:rsidR="00D9653F" w:rsidRPr="00A73EEF">
        <w:rPr>
          <w:rFonts w:ascii="Arial" w:eastAsia="SimSun" w:hAnsi="Arial" w:cs="Arial"/>
          <w:sz w:val="22"/>
          <w:szCs w:val="22"/>
          <w:lang w:val="fr-FR"/>
        </w:rPr>
        <w:t xml:space="preserve"> </w:t>
      </w:r>
      <w:r w:rsidR="00D9653F" w:rsidRPr="00DF270C">
        <w:rPr>
          <w:rFonts w:ascii="Arial" w:eastAsia="SimSun" w:hAnsi="Arial" w:cs="Arial"/>
          <w:sz w:val="22"/>
          <w:szCs w:val="22"/>
          <w:lang w:val="fr-FR"/>
        </w:rPr>
        <w:t>a pris la parole au nom du Sri</w:t>
      </w:r>
      <w:r w:rsidR="00D9653F">
        <w:rPr>
          <w:rFonts w:ascii="Arial" w:eastAsia="SimSun" w:hAnsi="Arial" w:cs="Arial"/>
          <w:sz w:val="22"/>
          <w:szCs w:val="22"/>
          <w:lang w:val="fr-FR"/>
        </w:rPr>
        <w:t> </w:t>
      </w:r>
      <w:r w:rsidR="00D9653F" w:rsidRPr="00DF270C">
        <w:rPr>
          <w:rFonts w:ascii="Arial" w:eastAsia="SimSun" w:hAnsi="Arial" w:cs="Arial"/>
          <w:sz w:val="22"/>
          <w:szCs w:val="22"/>
          <w:lang w:val="fr-FR"/>
        </w:rPr>
        <w:t>Lanka pour féliciter tout d</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abord la Présidente pour son élection, ainsi que les membres du Bureau. Le Sri</w:t>
      </w:r>
      <w:r w:rsidR="00D9653F">
        <w:rPr>
          <w:rFonts w:ascii="Arial" w:eastAsia="SimSun" w:hAnsi="Arial" w:cs="Arial"/>
          <w:sz w:val="22"/>
          <w:szCs w:val="22"/>
          <w:lang w:val="fr-FR"/>
        </w:rPr>
        <w:t> </w:t>
      </w:r>
      <w:r w:rsidR="00D9653F" w:rsidRPr="00DF270C">
        <w:rPr>
          <w:rFonts w:ascii="Arial" w:eastAsia="SimSun" w:hAnsi="Arial" w:cs="Arial"/>
          <w:sz w:val="22"/>
          <w:szCs w:val="22"/>
          <w:lang w:val="fr-FR"/>
        </w:rPr>
        <w:t xml:space="preserve">Lanka </w:t>
      </w:r>
      <w:r w:rsidR="00D9653F">
        <w:rPr>
          <w:rFonts w:ascii="Arial" w:eastAsia="SimSun" w:hAnsi="Arial" w:cs="Arial"/>
          <w:sz w:val="22"/>
          <w:szCs w:val="22"/>
          <w:lang w:val="fr-FR"/>
        </w:rPr>
        <w:t xml:space="preserve">était </w:t>
      </w:r>
      <w:r w:rsidR="00D9653F" w:rsidRPr="00DF270C">
        <w:rPr>
          <w:rFonts w:ascii="Arial" w:eastAsia="SimSun" w:hAnsi="Arial" w:cs="Arial"/>
          <w:sz w:val="22"/>
          <w:szCs w:val="22"/>
          <w:lang w:val="fr-FR"/>
        </w:rPr>
        <w:t>fier d</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avoir eu l</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opportunité d</w:t>
      </w:r>
      <w:r w:rsidR="008E532B">
        <w:rPr>
          <w:rFonts w:ascii="Arial" w:eastAsia="SimSun" w:hAnsi="Arial" w:cs="Arial"/>
          <w:sz w:val="22"/>
          <w:szCs w:val="22"/>
          <w:lang w:val="fr-FR"/>
        </w:rPr>
        <w:t>’</w:t>
      </w:r>
      <w:r w:rsidR="00D9653F">
        <w:rPr>
          <w:rFonts w:ascii="Arial" w:eastAsia="SimSun" w:hAnsi="Arial" w:cs="Arial"/>
          <w:sz w:val="22"/>
          <w:szCs w:val="22"/>
          <w:lang w:val="fr-FR"/>
        </w:rPr>
        <w:t xml:space="preserve">occuper les fonctions de </w:t>
      </w:r>
      <w:r w:rsidR="00D9653F" w:rsidRPr="00DF270C">
        <w:rPr>
          <w:rFonts w:ascii="Arial" w:eastAsia="SimSun" w:hAnsi="Arial" w:cs="Arial"/>
          <w:sz w:val="22"/>
          <w:szCs w:val="22"/>
          <w:lang w:val="fr-FR"/>
        </w:rPr>
        <w:t xml:space="preserve">membre du Comité pour </w:t>
      </w:r>
      <w:r w:rsidR="00D9653F">
        <w:rPr>
          <w:rFonts w:ascii="Arial" w:eastAsia="SimSun" w:hAnsi="Arial" w:cs="Arial"/>
          <w:sz w:val="22"/>
          <w:szCs w:val="22"/>
          <w:lang w:val="fr-FR"/>
        </w:rPr>
        <w:t xml:space="preserve">un </w:t>
      </w:r>
      <w:r w:rsidR="00D9653F" w:rsidRPr="00DF270C">
        <w:rPr>
          <w:rFonts w:ascii="Arial" w:eastAsia="SimSun" w:hAnsi="Arial" w:cs="Arial"/>
          <w:sz w:val="22"/>
          <w:szCs w:val="22"/>
          <w:lang w:val="fr-FR"/>
        </w:rPr>
        <w:t xml:space="preserve">mandat </w:t>
      </w:r>
      <w:r w:rsidR="00D9653F">
        <w:rPr>
          <w:rFonts w:ascii="Arial" w:eastAsia="SimSun" w:hAnsi="Arial" w:cs="Arial"/>
          <w:sz w:val="22"/>
          <w:szCs w:val="22"/>
          <w:lang w:val="fr-FR"/>
        </w:rPr>
        <w:t xml:space="preserve">quadriennal </w:t>
      </w:r>
      <w:r w:rsidR="00D9653F" w:rsidRPr="00DF270C">
        <w:rPr>
          <w:rFonts w:ascii="Arial" w:eastAsia="SimSun" w:hAnsi="Arial" w:cs="Arial"/>
          <w:sz w:val="22"/>
          <w:szCs w:val="22"/>
          <w:lang w:val="fr-FR"/>
        </w:rPr>
        <w:t>qui prendra</w:t>
      </w:r>
      <w:r w:rsidR="00D9653F">
        <w:rPr>
          <w:rFonts w:ascii="Arial" w:eastAsia="SimSun" w:hAnsi="Arial" w:cs="Arial"/>
          <w:sz w:val="22"/>
          <w:szCs w:val="22"/>
          <w:lang w:val="fr-FR"/>
        </w:rPr>
        <w:t>it</w:t>
      </w:r>
      <w:r w:rsidR="00D9653F" w:rsidRPr="00DF270C">
        <w:rPr>
          <w:rFonts w:ascii="Arial" w:eastAsia="SimSun" w:hAnsi="Arial" w:cs="Arial"/>
          <w:sz w:val="22"/>
          <w:szCs w:val="22"/>
          <w:lang w:val="fr-FR"/>
        </w:rPr>
        <w:t xml:space="preserve"> fin ce jour. Au cours des quatre dernières années, la délégation a</w:t>
      </w:r>
      <w:r w:rsidR="00D9653F">
        <w:rPr>
          <w:rFonts w:ascii="Arial" w:eastAsia="SimSun" w:hAnsi="Arial" w:cs="Arial"/>
          <w:sz w:val="22"/>
          <w:szCs w:val="22"/>
          <w:lang w:val="fr-FR"/>
        </w:rPr>
        <w:t>vait</w:t>
      </w:r>
      <w:r w:rsidR="00D9653F" w:rsidRPr="00DF270C">
        <w:rPr>
          <w:rFonts w:ascii="Arial" w:eastAsia="SimSun" w:hAnsi="Arial" w:cs="Arial"/>
          <w:sz w:val="22"/>
          <w:szCs w:val="22"/>
          <w:lang w:val="fr-FR"/>
        </w:rPr>
        <w:t xml:space="preserve"> eu l</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occasion de travailler très étroitement avec un grand nombre de personnes, notamment le Sous-Directeur général, le Secrétaire et le personnel du Secrétariat, des délégués, des experts, des membres du Bureau, des membres de l</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Organe d</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évaluation, des observateurs et des ONG, pour traiter de questions complexes. S</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il n</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y avait pas eu la pandémie, le Sri</w:t>
      </w:r>
      <w:r w:rsidR="00D9653F">
        <w:rPr>
          <w:rFonts w:ascii="Arial" w:eastAsia="SimSun" w:hAnsi="Arial" w:cs="Arial"/>
          <w:sz w:val="22"/>
          <w:szCs w:val="22"/>
          <w:lang w:val="fr-FR"/>
        </w:rPr>
        <w:t> </w:t>
      </w:r>
      <w:r w:rsidR="00D9653F" w:rsidRPr="00DF270C">
        <w:rPr>
          <w:rFonts w:ascii="Arial" w:eastAsia="SimSun" w:hAnsi="Arial" w:cs="Arial"/>
          <w:sz w:val="22"/>
          <w:szCs w:val="22"/>
          <w:lang w:val="fr-FR"/>
        </w:rPr>
        <w:t xml:space="preserve">Lanka aurait accueilli le Comité en 2021. En tant que membre sortant du Comité, le Sri Lanka a remercié le Sous-Directeur général, le Secrétariat et le personnel du </w:t>
      </w:r>
      <w:r w:rsidR="00D9653F">
        <w:rPr>
          <w:rFonts w:ascii="Arial" w:eastAsia="SimSun" w:hAnsi="Arial" w:cs="Arial"/>
          <w:sz w:val="22"/>
          <w:szCs w:val="22"/>
          <w:lang w:val="fr-FR"/>
        </w:rPr>
        <w:t>B</w:t>
      </w:r>
      <w:r w:rsidR="00D9653F" w:rsidRPr="00DF270C">
        <w:rPr>
          <w:rFonts w:ascii="Arial" w:eastAsia="SimSun" w:hAnsi="Arial" w:cs="Arial"/>
          <w:sz w:val="22"/>
          <w:szCs w:val="22"/>
          <w:lang w:val="fr-FR"/>
        </w:rPr>
        <w:t>ureau de l</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 xml:space="preserve">UNESCO, les membres du Comité et les délégués de tous les États parties pour leur soutien et leur gentillesse pendant son mandat </w:t>
      </w:r>
      <w:r w:rsidR="00D9653F">
        <w:rPr>
          <w:rFonts w:ascii="Arial" w:eastAsia="SimSun" w:hAnsi="Arial" w:cs="Arial"/>
          <w:sz w:val="22"/>
          <w:szCs w:val="22"/>
          <w:lang w:val="fr-FR"/>
        </w:rPr>
        <w:t>quadriennal</w:t>
      </w:r>
      <w:r w:rsidR="00D9653F" w:rsidRPr="00DF270C">
        <w:rPr>
          <w:rFonts w:ascii="Arial" w:eastAsia="SimSun" w:hAnsi="Arial" w:cs="Arial"/>
          <w:sz w:val="22"/>
          <w:szCs w:val="22"/>
          <w:lang w:val="fr-FR"/>
        </w:rPr>
        <w:t>, en particulier lors de l</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 xml:space="preserve">inauguration et tout au long de la </w:t>
      </w:r>
      <w:r w:rsidR="00D9653F">
        <w:rPr>
          <w:rFonts w:ascii="Arial" w:eastAsia="SimSun" w:hAnsi="Arial" w:cs="Arial"/>
          <w:sz w:val="22"/>
          <w:szCs w:val="22"/>
          <w:lang w:val="fr-FR"/>
        </w:rPr>
        <w:t xml:space="preserve">seizième </w:t>
      </w:r>
      <w:r w:rsidR="00D9653F" w:rsidRPr="00DF270C">
        <w:rPr>
          <w:rFonts w:ascii="Arial" w:eastAsia="SimSun" w:hAnsi="Arial" w:cs="Arial"/>
          <w:sz w:val="22"/>
          <w:szCs w:val="22"/>
          <w:lang w:val="fr-FR"/>
        </w:rPr>
        <w:t xml:space="preserve">session du Comité. </w:t>
      </w:r>
      <w:r w:rsidRPr="00A73EEF">
        <w:rPr>
          <w:rFonts w:ascii="Arial" w:eastAsia="SimSun" w:hAnsi="Arial" w:cs="Arial"/>
          <w:sz w:val="22"/>
          <w:szCs w:val="22"/>
          <w:lang w:val="fr-FR"/>
        </w:rPr>
        <w:t xml:space="preserve">S.Exc. Mme </w:t>
      </w:r>
      <w:proofErr w:type="spellStart"/>
      <w:r w:rsidRPr="00A73EEF">
        <w:rPr>
          <w:rFonts w:ascii="Arial" w:eastAsia="SimSun" w:hAnsi="Arial" w:cs="Arial"/>
          <w:sz w:val="22"/>
          <w:szCs w:val="22"/>
          <w:lang w:val="fr-FR"/>
        </w:rPr>
        <w:t>Kshanika</w:t>
      </w:r>
      <w:proofErr w:type="spellEnd"/>
      <w:r w:rsidRPr="00A73EEF">
        <w:rPr>
          <w:rFonts w:ascii="Arial" w:eastAsia="SimSun" w:hAnsi="Arial" w:cs="Arial"/>
          <w:sz w:val="22"/>
          <w:szCs w:val="22"/>
          <w:lang w:val="fr-FR"/>
        </w:rPr>
        <w:t xml:space="preserve"> </w:t>
      </w:r>
      <w:proofErr w:type="spellStart"/>
      <w:r w:rsidRPr="00A73EEF">
        <w:rPr>
          <w:rFonts w:ascii="Arial" w:eastAsia="SimSun" w:hAnsi="Arial" w:cs="Arial"/>
          <w:sz w:val="22"/>
          <w:szCs w:val="22"/>
          <w:lang w:val="fr-FR"/>
        </w:rPr>
        <w:t>Hirimburegama</w:t>
      </w:r>
      <w:proofErr w:type="spellEnd"/>
      <w:r w:rsidR="00D9653F" w:rsidRPr="00DF270C">
        <w:rPr>
          <w:rFonts w:ascii="Arial" w:eastAsia="SimSun" w:hAnsi="Arial" w:cs="Arial"/>
          <w:sz w:val="22"/>
          <w:szCs w:val="22"/>
          <w:lang w:val="fr-FR"/>
        </w:rPr>
        <w:t xml:space="preserve"> a souhaité bonne chance aux nouveaux membres du Comité pour la prochaine élection, en le</w:t>
      </w:r>
      <w:r w:rsidR="00D9653F">
        <w:rPr>
          <w:rFonts w:ascii="Arial" w:eastAsia="SimSun" w:hAnsi="Arial" w:cs="Arial"/>
          <w:sz w:val="22"/>
          <w:szCs w:val="22"/>
          <w:lang w:val="fr-FR"/>
        </w:rPr>
        <w:t xml:space="preserve">s invitant à </w:t>
      </w:r>
      <w:r w:rsidR="00D9653F" w:rsidRPr="00DF270C">
        <w:rPr>
          <w:rFonts w:ascii="Arial" w:eastAsia="SimSun" w:hAnsi="Arial" w:cs="Arial"/>
          <w:sz w:val="22"/>
          <w:szCs w:val="22"/>
          <w:lang w:val="fr-FR"/>
        </w:rPr>
        <w:t>visiter le Sri</w:t>
      </w:r>
      <w:r w:rsidR="00D9653F">
        <w:rPr>
          <w:rFonts w:ascii="Arial" w:eastAsia="SimSun" w:hAnsi="Arial" w:cs="Arial"/>
          <w:sz w:val="22"/>
          <w:szCs w:val="22"/>
          <w:lang w:val="fr-FR"/>
        </w:rPr>
        <w:t> </w:t>
      </w:r>
      <w:r w:rsidR="00D9653F" w:rsidRPr="00DF270C">
        <w:rPr>
          <w:rFonts w:ascii="Arial" w:eastAsia="SimSun" w:hAnsi="Arial" w:cs="Arial"/>
          <w:sz w:val="22"/>
          <w:szCs w:val="22"/>
          <w:lang w:val="fr-FR"/>
        </w:rPr>
        <w:t>Lanka et à profiter de son patrimoine culturel, de sa riche biodiversité, de ses plages de sable, de ses traditions culinaires uniques, du thé de Ceylan mondialement connu et de l</w:t>
      </w:r>
      <w:r w:rsidR="008E532B">
        <w:rPr>
          <w:rFonts w:ascii="Arial" w:eastAsia="SimSun" w:hAnsi="Arial" w:cs="Arial"/>
          <w:sz w:val="22"/>
          <w:szCs w:val="22"/>
          <w:lang w:val="fr-FR"/>
        </w:rPr>
        <w:t>’</w:t>
      </w:r>
      <w:r w:rsidR="00D9653F" w:rsidRPr="00DF270C">
        <w:rPr>
          <w:rFonts w:ascii="Arial" w:eastAsia="SimSun" w:hAnsi="Arial" w:cs="Arial"/>
          <w:sz w:val="22"/>
          <w:szCs w:val="22"/>
          <w:lang w:val="fr-FR"/>
        </w:rPr>
        <w:t>hospitalité chaleureuse de son peuple amical.</w:t>
      </w:r>
    </w:p>
    <w:p w14:paraId="59050A6F" w14:textId="6D0214FB" w:rsidR="00D9653F" w:rsidRPr="00D838DB"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D838DB">
        <w:rPr>
          <w:rFonts w:ascii="Arial" w:eastAsia="SimSun" w:hAnsi="Arial" w:cs="Arial"/>
          <w:b/>
          <w:bCs/>
          <w:sz w:val="22"/>
          <w:szCs w:val="22"/>
          <w:lang w:val="fr-FR"/>
        </w:rPr>
        <w:t>Présidente</w:t>
      </w:r>
      <w:r>
        <w:rPr>
          <w:rFonts w:ascii="Arial" w:eastAsia="SimSun" w:hAnsi="Arial" w:cs="Arial"/>
          <w:sz w:val="22"/>
          <w:szCs w:val="22"/>
          <w:lang w:val="fr-FR"/>
        </w:rPr>
        <w:t xml:space="preserve"> a regretté de ne pas avoir eu l</w:t>
      </w:r>
      <w:r w:rsidR="008E532B">
        <w:rPr>
          <w:rFonts w:ascii="Arial" w:eastAsia="SimSun" w:hAnsi="Arial" w:cs="Arial"/>
          <w:sz w:val="22"/>
          <w:szCs w:val="22"/>
          <w:lang w:val="fr-FR"/>
        </w:rPr>
        <w:t>’</w:t>
      </w:r>
      <w:r>
        <w:rPr>
          <w:rFonts w:ascii="Arial" w:eastAsia="SimSun" w:hAnsi="Arial" w:cs="Arial"/>
          <w:sz w:val="22"/>
          <w:szCs w:val="22"/>
          <w:lang w:val="fr-FR"/>
        </w:rPr>
        <w:t>occasion de se rendre au Sri Lanka, un beau pays, à l</w:t>
      </w:r>
      <w:r w:rsidR="008E532B">
        <w:rPr>
          <w:rFonts w:ascii="Arial" w:eastAsia="SimSun" w:hAnsi="Arial" w:cs="Arial"/>
          <w:sz w:val="22"/>
          <w:szCs w:val="22"/>
          <w:lang w:val="fr-FR"/>
        </w:rPr>
        <w:t>’</w:t>
      </w:r>
      <w:r>
        <w:rPr>
          <w:rFonts w:ascii="Arial" w:eastAsia="SimSun" w:hAnsi="Arial" w:cs="Arial"/>
          <w:sz w:val="22"/>
          <w:szCs w:val="22"/>
          <w:lang w:val="fr-FR"/>
        </w:rPr>
        <w:t>occasion de la seizième session du Comité, et a ajouté que les délégations avaient été très touchées par la cérémonie de bénédiction de l</w:t>
      </w:r>
      <w:r w:rsidR="008E532B">
        <w:rPr>
          <w:rFonts w:ascii="Arial" w:eastAsia="SimSun" w:hAnsi="Arial" w:cs="Arial"/>
          <w:sz w:val="22"/>
          <w:szCs w:val="22"/>
          <w:lang w:val="fr-FR"/>
        </w:rPr>
        <w:t>’</w:t>
      </w:r>
      <w:r>
        <w:rPr>
          <w:rFonts w:ascii="Arial" w:eastAsia="SimSun" w:hAnsi="Arial" w:cs="Arial"/>
          <w:sz w:val="22"/>
          <w:szCs w:val="22"/>
          <w:lang w:val="fr-FR"/>
        </w:rPr>
        <w:t>allumage de la lampe à huile qui avait ouvert la session.</w:t>
      </w:r>
    </w:p>
    <w:p w14:paraId="316E29C7" w14:textId="21B87E1E" w:rsidR="00D9653F"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443C73">
        <w:rPr>
          <w:rFonts w:ascii="Arial" w:eastAsia="SimSun" w:hAnsi="Arial" w:cs="Arial"/>
          <w:sz w:val="22"/>
          <w:szCs w:val="22"/>
          <w:lang w:val="fr-FR"/>
        </w:rPr>
        <w:t xml:space="preserve">Le </w:t>
      </w:r>
      <w:r w:rsidRPr="00443C73">
        <w:rPr>
          <w:rFonts w:ascii="Arial" w:eastAsia="SimSun" w:hAnsi="Arial" w:cs="Arial"/>
          <w:b/>
          <w:bCs/>
          <w:sz w:val="22"/>
          <w:szCs w:val="22"/>
          <w:lang w:val="fr-FR"/>
        </w:rPr>
        <w:t>Sous-Directeur général</w:t>
      </w:r>
      <w:r w:rsidRPr="00443C73">
        <w:rPr>
          <w:rFonts w:ascii="Arial" w:eastAsia="SimSun" w:hAnsi="Arial" w:cs="Arial"/>
          <w:sz w:val="22"/>
          <w:szCs w:val="22"/>
          <w:lang w:val="fr-FR"/>
        </w:rPr>
        <w:t xml:space="preserve"> </w:t>
      </w:r>
      <w:r>
        <w:rPr>
          <w:rFonts w:ascii="Arial" w:eastAsia="SimSun" w:hAnsi="Arial" w:cs="Arial"/>
          <w:sz w:val="22"/>
          <w:szCs w:val="22"/>
          <w:lang w:val="fr-FR"/>
        </w:rPr>
        <w:t xml:space="preserve">a </w:t>
      </w:r>
      <w:r w:rsidRPr="00443C73">
        <w:rPr>
          <w:rFonts w:ascii="Arial" w:eastAsia="SimSun" w:hAnsi="Arial" w:cs="Arial"/>
          <w:sz w:val="22"/>
          <w:szCs w:val="22"/>
          <w:lang w:val="fr-FR"/>
        </w:rPr>
        <w:t>présent</w:t>
      </w:r>
      <w:r>
        <w:rPr>
          <w:rFonts w:ascii="Arial" w:eastAsia="SimSun" w:hAnsi="Arial" w:cs="Arial"/>
          <w:sz w:val="22"/>
          <w:szCs w:val="22"/>
          <w:lang w:val="fr-FR"/>
        </w:rPr>
        <w:t>é</w:t>
      </w:r>
      <w:r w:rsidRPr="00443C73">
        <w:rPr>
          <w:rFonts w:ascii="Arial" w:eastAsia="SimSun" w:hAnsi="Arial" w:cs="Arial"/>
          <w:sz w:val="22"/>
          <w:szCs w:val="22"/>
          <w:lang w:val="fr-FR"/>
        </w:rPr>
        <w:t xml:space="preserve"> le document de travail 5. Conformément à l</w:t>
      </w:r>
      <w:r w:rsidR="008E532B">
        <w:rPr>
          <w:rFonts w:ascii="Arial" w:eastAsia="SimSun" w:hAnsi="Arial" w:cs="Arial"/>
          <w:sz w:val="22"/>
          <w:szCs w:val="22"/>
          <w:lang w:val="fr-FR"/>
        </w:rPr>
        <w:t>’</w:t>
      </w:r>
      <w:r w:rsidRPr="00443C73">
        <w:rPr>
          <w:rFonts w:ascii="Arial" w:eastAsia="SimSun" w:hAnsi="Arial" w:cs="Arial"/>
          <w:sz w:val="22"/>
          <w:szCs w:val="22"/>
          <w:lang w:val="fr-FR"/>
        </w:rPr>
        <w:t>article 30</w:t>
      </w:r>
      <w:r>
        <w:rPr>
          <w:rFonts w:ascii="Arial" w:eastAsia="SimSun" w:hAnsi="Arial" w:cs="Arial"/>
          <w:sz w:val="22"/>
          <w:szCs w:val="22"/>
          <w:lang w:val="fr-FR"/>
        </w:rPr>
        <w:t>.</w:t>
      </w:r>
      <w:r w:rsidRPr="00443C73">
        <w:rPr>
          <w:rFonts w:ascii="Arial" w:eastAsia="SimSun" w:hAnsi="Arial" w:cs="Arial"/>
          <w:sz w:val="22"/>
          <w:szCs w:val="22"/>
          <w:lang w:val="fr-FR"/>
        </w:rPr>
        <w:t>1 de la Convention, le document de travail cont</w:t>
      </w:r>
      <w:r>
        <w:rPr>
          <w:rFonts w:ascii="Arial" w:eastAsia="SimSun" w:hAnsi="Arial" w:cs="Arial"/>
          <w:sz w:val="22"/>
          <w:szCs w:val="22"/>
          <w:lang w:val="fr-FR"/>
        </w:rPr>
        <w:t>enait</w:t>
      </w:r>
      <w:r w:rsidRPr="00443C73">
        <w:rPr>
          <w:rFonts w:ascii="Arial" w:eastAsia="SimSun" w:hAnsi="Arial" w:cs="Arial"/>
          <w:sz w:val="22"/>
          <w:szCs w:val="22"/>
          <w:lang w:val="fr-FR"/>
        </w:rPr>
        <w:t xml:space="preserve"> un rapport sur les activités et les décisions prises par le Comité et son Bureau au cours de sa </w:t>
      </w:r>
      <w:r>
        <w:rPr>
          <w:rFonts w:ascii="Arial" w:eastAsia="SimSun" w:hAnsi="Arial" w:cs="Arial"/>
          <w:sz w:val="22"/>
          <w:szCs w:val="22"/>
          <w:lang w:val="fr-FR"/>
        </w:rPr>
        <w:t xml:space="preserve">quinzième </w:t>
      </w:r>
      <w:r w:rsidRPr="00443C73">
        <w:rPr>
          <w:rFonts w:ascii="Arial" w:eastAsia="SimSun" w:hAnsi="Arial" w:cs="Arial"/>
          <w:sz w:val="22"/>
          <w:szCs w:val="22"/>
          <w:lang w:val="fr-FR"/>
        </w:rPr>
        <w:t xml:space="preserve">session en 2020 et de sa </w:t>
      </w:r>
      <w:r>
        <w:rPr>
          <w:rFonts w:ascii="Arial" w:eastAsia="SimSun" w:hAnsi="Arial" w:cs="Arial"/>
          <w:sz w:val="22"/>
          <w:szCs w:val="22"/>
          <w:lang w:val="fr-FR"/>
        </w:rPr>
        <w:t xml:space="preserve">seizième </w:t>
      </w:r>
      <w:r w:rsidRPr="00443C73">
        <w:rPr>
          <w:rFonts w:ascii="Arial" w:eastAsia="SimSun" w:hAnsi="Arial" w:cs="Arial"/>
          <w:sz w:val="22"/>
          <w:szCs w:val="22"/>
          <w:lang w:val="fr-FR"/>
        </w:rPr>
        <w:t>session en 2021 pendant la période considérée (janvier</w:t>
      </w:r>
      <w:r>
        <w:rPr>
          <w:rFonts w:ascii="Arial" w:eastAsia="SimSun" w:hAnsi="Arial" w:cs="Arial"/>
          <w:sz w:val="22"/>
          <w:szCs w:val="22"/>
          <w:lang w:val="fr-FR"/>
        </w:rPr>
        <w:t> </w:t>
      </w:r>
      <w:r w:rsidRPr="00443C73">
        <w:rPr>
          <w:rFonts w:ascii="Arial" w:eastAsia="SimSun" w:hAnsi="Arial" w:cs="Arial"/>
          <w:sz w:val="22"/>
          <w:szCs w:val="22"/>
          <w:lang w:val="fr-FR"/>
        </w:rPr>
        <w:t>2020 à décembre</w:t>
      </w:r>
      <w:r>
        <w:rPr>
          <w:rFonts w:ascii="Arial" w:eastAsia="SimSun" w:hAnsi="Arial" w:cs="Arial"/>
          <w:sz w:val="22"/>
          <w:szCs w:val="22"/>
          <w:lang w:val="fr-FR"/>
        </w:rPr>
        <w:t> </w:t>
      </w:r>
      <w:r w:rsidRPr="00443C73">
        <w:rPr>
          <w:rFonts w:ascii="Arial" w:eastAsia="SimSun" w:hAnsi="Arial" w:cs="Arial"/>
          <w:sz w:val="22"/>
          <w:szCs w:val="22"/>
          <w:lang w:val="fr-FR"/>
        </w:rPr>
        <w:t>2021). Une fois approuvé, le rapport sera</w:t>
      </w:r>
      <w:r>
        <w:rPr>
          <w:rFonts w:ascii="Arial" w:eastAsia="SimSun" w:hAnsi="Arial" w:cs="Arial"/>
          <w:sz w:val="22"/>
          <w:szCs w:val="22"/>
          <w:lang w:val="fr-FR"/>
        </w:rPr>
        <w:t>it</w:t>
      </w:r>
      <w:r w:rsidRPr="00443C73">
        <w:rPr>
          <w:rFonts w:ascii="Arial" w:eastAsia="SimSun" w:hAnsi="Arial" w:cs="Arial"/>
          <w:sz w:val="22"/>
          <w:szCs w:val="22"/>
          <w:lang w:val="fr-FR"/>
        </w:rPr>
        <w:t xml:space="preserve"> présenté à la </w:t>
      </w:r>
      <w:r>
        <w:rPr>
          <w:rFonts w:ascii="Arial" w:eastAsia="SimSun" w:hAnsi="Arial" w:cs="Arial"/>
          <w:sz w:val="22"/>
          <w:szCs w:val="22"/>
          <w:lang w:val="fr-FR"/>
        </w:rPr>
        <w:t>quarante-deuxième</w:t>
      </w:r>
      <w:r w:rsidRPr="00443C73">
        <w:rPr>
          <w:rFonts w:ascii="Arial" w:eastAsia="SimSun" w:hAnsi="Arial" w:cs="Arial"/>
          <w:sz w:val="22"/>
          <w:szCs w:val="22"/>
          <w:lang w:val="fr-FR"/>
        </w:rPr>
        <w:t xml:space="preserve"> session de la Conférence générale de l</w:t>
      </w:r>
      <w:r w:rsidR="008E532B">
        <w:rPr>
          <w:rFonts w:ascii="Arial" w:eastAsia="SimSun" w:hAnsi="Arial" w:cs="Arial"/>
          <w:sz w:val="22"/>
          <w:szCs w:val="22"/>
          <w:lang w:val="fr-FR"/>
        </w:rPr>
        <w:t>’</w:t>
      </w:r>
      <w:r w:rsidRPr="00443C73">
        <w:rPr>
          <w:rFonts w:ascii="Arial" w:eastAsia="SimSun" w:hAnsi="Arial" w:cs="Arial"/>
          <w:sz w:val="22"/>
          <w:szCs w:val="22"/>
          <w:lang w:val="fr-FR"/>
        </w:rPr>
        <w:t>UNESCO en 2023. C</w:t>
      </w:r>
      <w:r>
        <w:rPr>
          <w:rFonts w:ascii="Arial" w:eastAsia="SimSun" w:hAnsi="Arial" w:cs="Arial"/>
          <w:sz w:val="22"/>
          <w:szCs w:val="22"/>
          <w:lang w:val="fr-FR"/>
        </w:rPr>
        <w:t>ette</w:t>
      </w:r>
      <w:r w:rsidRPr="00443C73">
        <w:rPr>
          <w:rFonts w:ascii="Arial" w:eastAsia="SimSun" w:hAnsi="Arial" w:cs="Arial"/>
          <w:sz w:val="22"/>
          <w:szCs w:val="22"/>
          <w:lang w:val="fr-FR"/>
        </w:rPr>
        <w:t xml:space="preserve"> période </w:t>
      </w:r>
      <w:r>
        <w:rPr>
          <w:rFonts w:ascii="Arial" w:eastAsia="SimSun" w:hAnsi="Arial" w:cs="Arial"/>
          <w:sz w:val="22"/>
          <w:szCs w:val="22"/>
          <w:lang w:val="fr-FR"/>
        </w:rPr>
        <w:t xml:space="preserve">avait été </w:t>
      </w:r>
      <w:r w:rsidRPr="00443C73">
        <w:rPr>
          <w:rFonts w:ascii="Arial" w:eastAsia="SimSun" w:hAnsi="Arial" w:cs="Arial"/>
          <w:sz w:val="22"/>
          <w:szCs w:val="22"/>
          <w:lang w:val="fr-FR"/>
        </w:rPr>
        <w:t>sans précédent pour le Comité, car les deux sessions s</w:t>
      </w:r>
      <w:r w:rsidR="008E532B">
        <w:rPr>
          <w:rFonts w:ascii="Arial" w:eastAsia="SimSun" w:hAnsi="Arial" w:cs="Arial"/>
          <w:sz w:val="22"/>
          <w:szCs w:val="22"/>
          <w:lang w:val="fr-FR"/>
        </w:rPr>
        <w:t>’</w:t>
      </w:r>
      <w:r>
        <w:rPr>
          <w:rFonts w:ascii="Arial" w:eastAsia="SimSun" w:hAnsi="Arial" w:cs="Arial"/>
          <w:sz w:val="22"/>
          <w:szCs w:val="22"/>
          <w:lang w:val="fr-FR"/>
        </w:rPr>
        <w:t xml:space="preserve">étaient </w:t>
      </w:r>
      <w:r w:rsidRPr="00443C73">
        <w:rPr>
          <w:rFonts w:ascii="Arial" w:eastAsia="SimSun" w:hAnsi="Arial" w:cs="Arial"/>
          <w:sz w:val="22"/>
          <w:szCs w:val="22"/>
          <w:lang w:val="fr-FR"/>
        </w:rPr>
        <w:t xml:space="preserve">tenues en ligne en raison de la pandémie de </w:t>
      </w:r>
      <w:r w:rsidRPr="007D6A68">
        <w:rPr>
          <w:rFonts w:ascii="Arial" w:eastAsia="SimSun" w:hAnsi="Arial" w:cs="Arial"/>
          <w:sz w:val="22"/>
          <w:szCs w:val="22"/>
          <w:lang w:val="fr-FR"/>
        </w:rPr>
        <w:t>COVID</w:t>
      </w:r>
      <w:r w:rsidRPr="007D6A68">
        <w:rPr>
          <w:rFonts w:ascii="Arial" w:eastAsia="SimSun" w:hAnsi="Arial" w:cs="Arial"/>
          <w:sz w:val="22"/>
          <w:szCs w:val="22"/>
          <w:lang w:val="fr-FR"/>
        </w:rPr>
        <w:noBreakHyphen/>
        <w:t>19</w:t>
      </w:r>
      <w:r>
        <w:rPr>
          <w:rFonts w:ascii="Arial" w:eastAsia="SimSun" w:hAnsi="Arial" w:cs="Arial"/>
          <w:sz w:val="22"/>
          <w:szCs w:val="22"/>
          <w:lang w:val="fr-FR"/>
        </w:rPr>
        <w:t>.</w:t>
      </w:r>
      <w:r w:rsidRPr="00FF2770">
        <w:rPr>
          <w:rFonts w:ascii="Arial" w:eastAsia="SimSun" w:hAnsi="Arial" w:cs="Arial"/>
          <w:color w:val="FF0000"/>
          <w:sz w:val="22"/>
          <w:szCs w:val="22"/>
          <w:lang w:val="fr-FR"/>
        </w:rPr>
        <w:t xml:space="preserve"> </w:t>
      </w:r>
      <w:r w:rsidRPr="00443C73">
        <w:rPr>
          <w:rFonts w:ascii="Arial" w:eastAsia="SimSun" w:hAnsi="Arial" w:cs="Arial"/>
          <w:sz w:val="22"/>
          <w:szCs w:val="22"/>
          <w:lang w:val="fr-FR"/>
        </w:rPr>
        <w:t>Cela a</w:t>
      </w:r>
      <w:r>
        <w:rPr>
          <w:rFonts w:ascii="Arial" w:eastAsia="SimSun" w:hAnsi="Arial" w:cs="Arial"/>
          <w:sz w:val="22"/>
          <w:szCs w:val="22"/>
          <w:lang w:val="fr-FR"/>
        </w:rPr>
        <w:t>vait</w:t>
      </w:r>
      <w:r w:rsidRPr="00443C73">
        <w:rPr>
          <w:rFonts w:ascii="Arial" w:eastAsia="SimSun" w:hAnsi="Arial" w:cs="Arial"/>
          <w:sz w:val="22"/>
          <w:szCs w:val="22"/>
          <w:lang w:val="fr-FR"/>
        </w:rPr>
        <w:t xml:space="preserve"> nécessité de reprogrammer les réunions, de reporter les délais statutaires et d</w:t>
      </w:r>
      <w:r w:rsidR="008E532B">
        <w:rPr>
          <w:rFonts w:ascii="Arial" w:eastAsia="SimSun" w:hAnsi="Arial" w:cs="Arial"/>
          <w:sz w:val="22"/>
          <w:szCs w:val="22"/>
          <w:lang w:val="fr-FR"/>
        </w:rPr>
        <w:t>’</w:t>
      </w:r>
      <w:r w:rsidRPr="00443C73">
        <w:rPr>
          <w:rFonts w:ascii="Arial" w:eastAsia="SimSun" w:hAnsi="Arial" w:cs="Arial"/>
          <w:sz w:val="22"/>
          <w:szCs w:val="22"/>
          <w:lang w:val="fr-FR"/>
        </w:rPr>
        <w:t xml:space="preserve">adapter le contenu des réunions à un format en ligne. Le document de travail 5 </w:t>
      </w:r>
      <w:r>
        <w:rPr>
          <w:rFonts w:ascii="Arial" w:eastAsia="SimSun" w:hAnsi="Arial" w:cs="Arial"/>
          <w:sz w:val="22"/>
          <w:szCs w:val="22"/>
          <w:lang w:val="fr-FR"/>
        </w:rPr>
        <w:t>dressait</w:t>
      </w:r>
      <w:r w:rsidRPr="00443C73">
        <w:rPr>
          <w:rFonts w:ascii="Arial" w:eastAsia="SimSun" w:hAnsi="Arial" w:cs="Arial"/>
          <w:sz w:val="22"/>
          <w:szCs w:val="22"/>
          <w:lang w:val="fr-FR"/>
        </w:rPr>
        <w:t xml:space="preserve"> </w:t>
      </w:r>
      <w:r>
        <w:rPr>
          <w:rFonts w:ascii="Arial" w:eastAsia="SimSun" w:hAnsi="Arial" w:cs="Arial"/>
          <w:sz w:val="22"/>
          <w:szCs w:val="22"/>
          <w:lang w:val="fr-FR"/>
        </w:rPr>
        <w:t>la</w:t>
      </w:r>
      <w:r w:rsidRPr="00443C73">
        <w:rPr>
          <w:rFonts w:ascii="Arial" w:eastAsia="SimSun" w:hAnsi="Arial" w:cs="Arial"/>
          <w:sz w:val="22"/>
          <w:szCs w:val="22"/>
          <w:lang w:val="fr-FR"/>
        </w:rPr>
        <w:t xml:space="preserve"> liste complète de toutes les activités et décisions prises par le Comité et son Bureau de janvier</w:t>
      </w:r>
      <w:r>
        <w:rPr>
          <w:rFonts w:ascii="Arial" w:eastAsia="SimSun" w:hAnsi="Arial" w:cs="Arial"/>
          <w:sz w:val="22"/>
          <w:szCs w:val="22"/>
          <w:lang w:val="fr-FR"/>
        </w:rPr>
        <w:t> </w:t>
      </w:r>
      <w:r w:rsidRPr="00443C73">
        <w:rPr>
          <w:rFonts w:ascii="Arial" w:eastAsia="SimSun" w:hAnsi="Arial" w:cs="Arial"/>
          <w:sz w:val="22"/>
          <w:szCs w:val="22"/>
          <w:lang w:val="fr-FR"/>
        </w:rPr>
        <w:t>2020 à décembre</w:t>
      </w:r>
      <w:r>
        <w:rPr>
          <w:rFonts w:ascii="Arial" w:eastAsia="SimSun" w:hAnsi="Arial" w:cs="Arial"/>
          <w:sz w:val="22"/>
          <w:szCs w:val="22"/>
          <w:lang w:val="fr-FR"/>
        </w:rPr>
        <w:t> </w:t>
      </w:r>
      <w:r w:rsidRPr="00443C73">
        <w:rPr>
          <w:rFonts w:ascii="Arial" w:eastAsia="SimSun" w:hAnsi="Arial" w:cs="Arial"/>
          <w:sz w:val="22"/>
          <w:szCs w:val="22"/>
          <w:lang w:val="fr-FR"/>
        </w:rPr>
        <w:t xml:space="preserve">2021. M. </w:t>
      </w:r>
      <w:proofErr w:type="spellStart"/>
      <w:r w:rsidRPr="00443C73">
        <w:rPr>
          <w:rFonts w:ascii="Arial" w:eastAsia="SimSun" w:hAnsi="Arial" w:cs="Arial"/>
          <w:sz w:val="22"/>
          <w:szCs w:val="22"/>
          <w:lang w:val="fr-FR"/>
        </w:rPr>
        <w:t>Ottone</w:t>
      </w:r>
      <w:proofErr w:type="spellEnd"/>
      <w:r w:rsidRPr="00443C73">
        <w:rPr>
          <w:rFonts w:ascii="Arial" w:eastAsia="SimSun" w:hAnsi="Arial" w:cs="Arial"/>
          <w:sz w:val="22"/>
          <w:szCs w:val="22"/>
          <w:lang w:val="fr-FR"/>
        </w:rPr>
        <w:t xml:space="preserve"> </w:t>
      </w:r>
      <w:r>
        <w:rPr>
          <w:rFonts w:ascii="Arial" w:eastAsia="SimSun" w:hAnsi="Arial" w:cs="Arial"/>
          <w:sz w:val="22"/>
          <w:szCs w:val="22"/>
          <w:lang w:val="fr-FR"/>
        </w:rPr>
        <w:t>s</w:t>
      </w:r>
      <w:r w:rsidR="008E532B">
        <w:rPr>
          <w:rFonts w:ascii="Arial" w:eastAsia="SimSun" w:hAnsi="Arial" w:cs="Arial"/>
          <w:sz w:val="22"/>
          <w:szCs w:val="22"/>
          <w:lang w:val="fr-FR"/>
        </w:rPr>
        <w:t>’</w:t>
      </w:r>
      <w:r>
        <w:rPr>
          <w:rFonts w:ascii="Arial" w:eastAsia="SimSun" w:hAnsi="Arial" w:cs="Arial"/>
          <w:sz w:val="22"/>
          <w:szCs w:val="22"/>
          <w:lang w:val="fr-FR"/>
        </w:rPr>
        <w:t xml:space="preserve">est dit </w:t>
      </w:r>
      <w:r w:rsidRPr="00443C73">
        <w:rPr>
          <w:rFonts w:ascii="Arial" w:eastAsia="SimSun" w:hAnsi="Arial" w:cs="Arial"/>
          <w:sz w:val="22"/>
          <w:szCs w:val="22"/>
          <w:lang w:val="fr-FR"/>
        </w:rPr>
        <w:t xml:space="preserve">encouragé de </w:t>
      </w:r>
      <w:r>
        <w:rPr>
          <w:rFonts w:ascii="Arial" w:eastAsia="SimSun" w:hAnsi="Arial" w:cs="Arial"/>
          <w:sz w:val="22"/>
          <w:szCs w:val="22"/>
          <w:lang w:val="fr-FR"/>
        </w:rPr>
        <w:t>constater</w:t>
      </w:r>
      <w:r w:rsidRPr="00443C73">
        <w:rPr>
          <w:rFonts w:ascii="Arial" w:eastAsia="SimSun" w:hAnsi="Arial" w:cs="Arial"/>
          <w:sz w:val="22"/>
          <w:szCs w:val="22"/>
          <w:lang w:val="fr-FR"/>
        </w:rPr>
        <w:t xml:space="preserve"> que la Convention a</w:t>
      </w:r>
      <w:r>
        <w:rPr>
          <w:rFonts w:ascii="Arial" w:eastAsia="SimSun" w:hAnsi="Arial" w:cs="Arial"/>
          <w:sz w:val="22"/>
          <w:szCs w:val="22"/>
          <w:lang w:val="fr-FR"/>
        </w:rPr>
        <w:t>vait</w:t>
      </w:r>
      <w:r w:rsidRPr="00443C73">
        <w:rPr>
          <w:rFonts w:ascii="Arial" w:eastAsia="SimSun" w:hAnsi="Arial" w:cs="Arial"/>
          <w:sz w:val="22"/>
          <w:szCs w:val="22"/>
          <w:lang w:val="fr-FR"/>
        </w:rPr>
        <w:t xml:space="preserve"> </w:t>
      </w:r>
      <w:r>
        <w:rPr>
          <w:rFonts w:ascii="Arial" w:eastAsia="SimSun" w:hAnsi="Arial" w:cs="Arial"/>
          <w:sz w:val="22"/>
          <w:szCs w:val="22"/>
          <w:lang w:val="fr-FR"/>
        </w:rPr>
        <w:t xml:space="preserve">poursuivi son </w:t>
      </w:r>
      <w:r w:rsidRPr="002A38B8">
        <w:rPr>
          <w:rFonts w:ascii="Arial" w:eastAsia="SimSun" w:hAnsi="Arial" w:cs="Arial"/>
          <w:sz w:val="22"/>
          <w:szCs w:val="22"/>
          <w:lang w:val="fr-FR"/>
        </w:rPr>
        <w:t>développement</w:t>
      </w:r>
      <w:r>
        <w:rPr>
          <w:rFonts w:ascii="Arial" w:eastAsia="SimSun" w:hAnsi="Arial" w:cs="Arial"/>
          <w:sz w:val="22"/>
          <w:szCs w:val="22"/>
          <w:lang w:val="fr-FR"/>
        </w:rPr>
        <w:t xml:space="preserve"> </w:t>
      </w:r>
      <w:r w:rsidRPr="00443C73">
        <w:rPr>
          <w:rFonts w:ascii="Arial" w:eastAsia="SimSun" w:hAnsi="Arial" w:cs="Arial"/>
          <w:sz w:val="22"/>
          <w:szCs w:val="22"/>
          <w:lang w:val="fr-FR"/>
        </w:rPr>
        <w:t>avec la ratification de deux nouveaux États parties, l</w:t>
      </w:r>
      <w:r w:rsidR="008E532B">
        <w:rPr>
          <w:rFonts w:ascii="Arial" w:eastAsia="SimSun" w:hAnsi="Arial" w:cs="Arial"/>
          <w:sz w:val="22"/>
          <w:szCs w:val="22"/>
          <w:lang w:val="fr-FR"/>
        </w:rPr>
        <w:t>’</w:t>
      </w:r>
      <w:r w:rsidRPr="00443C73">
        <w:rPr>
          <w:rFonts w:ascii="Arial" w:eastAsia="SimSun" w:hAnsi="Arial" w:cs="Arial"/>
          <w:sz w:val="22"/>
          <w:szCs w:val="22"/>
          <w:lang w:val="fr-FR"/>
        </w:rPr>
        <w:t>Angola et la Somalie, ce qui port</w:t>
      </w:r>
      <w:r>
        <w:rPr>
          <w:rFonts w:ascii="Arial" w:eastAsia="SimSun" w:hAnsi="Arial" w:cs="Arial"/>
          <w:sz w:val="22"/>
          <w:szCs w:val="22"/>
          <w:lang w:val="fr-FR"/>
        </w:rPr>
        <w:t>ait</w:t>
      </w:r>
      <w:r w:rsidRPr="00443C73">
        <w:rPr>
          <w:rFonts w:ascii="Arial" w:eastAsia="SimSun" w:hAnsi="Arial" w:cs="Arial"/>
          <w:sz w:val="22"/>
          <w:szCs w:val="22"/>
          <w:lang w:val="fr-FR"/>
        </w:rPr>
        <w:t xml:space="preserve"> le nombre total d</w:t>
      </w:r>
      <w:r w:rsidR="008E532B">
        <w:rPr>
          <w:rFonts w:ascii="Arial" w:eastAsia="SimSun" w:hAnsi="Arial" w:cs="Arial"/>
          <w:sz w:val="22"/>
          <w:szCs w:val="22"/>
          <w:lang w:val="fr-FR"/>
        </w:rPr>
        <w:t>’</w:t>
      </w:r>
      <w:r w:rsidRPr="00443C73">
        <w:rPr>
          <w:rFonts w:ascii="Arial" w:eastAsia="SimSun" w:hAnsi="Arial" w:cs="Arial"/>
          <w:sz w:val="22"/>
          <w:szCs w:val="22"/>
          <w:lang w:val="fr-FR"/>
        </w:rPr>
        <w:t xml:space="preserve">États parties à 180. La période </w:t>
      </w:r>
      <w:r>
        <w:rPr>
          <w:rFonts w:ascii="Arial" w:eastAsia="SimSun" w:hAnsi="Arial" w:cs="Arial"/>
          <w:sz w:val="22"/>
          <w:szCs w:val="22"/>
          <w:lang w:val="fr-FR"/>
        </w:rPr>
        <w:t>concernée par le rapport</w:t>
      </w:r>
      <w:r w:rsidRPr="00443C73">
        <w:rPr>
          <w:rFonts w:ascii="Arial" w:eastAsia="SimSun" w:hAnsi="Arial" w:cs="Arial"/>
          <w:sz w:val="22"/>
          <w:szCs w:val="22"/>
          <w:lang w:val="fr-FR"/>
        </w:rPr>
        <w:t xml:space="preserve"> a</w:t>
      </w:r>
      <w:r>
        <w:rPr>
          <w:rFonts w:ascii="Arial" w:eastAsia="SimSun" w:hAnsi="Arial" w:cs="Arial"/>
          <w:sz w:val="22"/>
          <w:szCs w:val="22"/>
          <w:lang w:val="fr-FR"/>
        </w:rPr>
        <w:t>vait</w:t>
      </w:r>
      <w:r w:rsidRPr="00443C73">
        <w:rPr>
          <w:rFonts w:ascii="Arial" w:eastAsia="SimSun" w:hAnsi="Arial" w:cs="Arial"/>
          <w:sz w:val="22"/>
          <w:szCs w:val="22"/>
          <w:lang w:val="fr-FR"/>
        </w:rPr>
        <w:t xml:space="preserve"> également été marquée par la mise en œuvre réussie du premier cycle </w:t>
      </w:r>
      <w:r>
        <w:rPr>
          <w:rFonts w:ascii="Arial" w:eastAsia="SimSun" w:hAnsi="Arial" w:cs="Arial"/>
          <w:sz w:val="22"/>
          <w:szCs w:val="22"/>
          <w:lang w:val="fr-FR"/>
        </w:rPr>
        <w:t xml:space="preserve">régional </w:t>
      </w:r>
      <w:r w:rsidRPr="00443C73">
        <w:rPr>
          <w:rFonts w:ascii="Arial" w:eastAsia="SimSun" w:hAnsi="Arial" w:cs="Arial"/>
          <w:sz w:val="22"/>
          <w:szCs w:val="22"/>
          <w:lang w:val="fr-FR"/>
        </w:rPr>
        <w:t xml:space="preserve">de </w:t>
      </w:r>
      <w:r>
        <w:rPr>
          <w:rFonts w:ascii="Arial" w:eastAsia="SimSun" w:hAnsi="Arial" w:cs="Arial"/>
          <w:sz w:val="22"/>
          <w:szCs w:val="22"/>
          <w:lang w:val="fr-FR"/>
        </w:rPr>
        <w:t xml:space="preserve">présentation des </w:t>
      </w:r>
      <w:r w:rsidRPr="00443C73">
        <w:rPr>
          <w:rFonts w:ascii="Arial" w:eastAsia="SimSun" w:hAnsi="Arial" w:cs="Arial"/>
          <w:sz w:val="22"/>
          <w:szCs w:val="22"/>
          <w:lang w:val="fr-FR"/>
        </w:rPr>
        <w:t>rapports pour le mécanisme</w:t>
      </w:r>
      <w:r>
        <w:rPr>
          <w:rFonts w:ascii="Arial" w:eastAsia="SimSun" w:hAnsi="Arial" w:cs="Arial"/>
          <w:sz w:val="22"/>
          <w:szCs w:val="22"/>
          <w:lang w:val="fr-FR"/>
        </w:rPr>
        <w:t xml:space="preserve"> de </w:t>
      </w:r>
      <w:r w:rsidRPr="00443C73">
        <w:rPr>
          <w:rFonts w:ascii="Arial" w:eastAsia="SimSun" w:hAnsi="Arial" w:cs="Arial"/>
          <w:sz w:val="22"/>
          <w:szCs w:val="22"/>
          <w:lang w:val="fr-FR"/>
        </w:rPr>
        <w:t xml:space="preserve">rapports périodiques, </w:t>
      </w:r>
      <w:r>
        <w:rPr>
          <w:rFonts w:ascii="Arial" w:eastAsia="SimSun" w:hAnsi="Arial" w:cs="Arial"/>
          <w:sz w:val="22"/>
          <w:szCs w:val="22"/>
          <w:lang w:val="fr-FR"/>
        </w:rPr>
        <w:t>en s</w:t>
      </w:r>
      <w:r w:rsidR="008E532B">
        <w:rPr>
          <w:rFonts w:ascii="Arial" w:eastAsia="SimSun" w:hAnsi="Arial" w:cs="Arial"/>
          <w:sz w:val="22"/>
          <w:szCs w:val="22"/>
          <w:lang w:val="fr-FR"/>
        </w:rPr>
        <w:t>’</w:t>
      </w:r>
      <w:r>
        <w:rPr>
          <w:rFonts w:ascii="Arial" w:eastAsia="SimSun" w:hAnsi="Arial" w:cs="Arial"/>
          <w:sz w:val="22"/>
          <w:szCs w:val="22"/>
          <w:lang w:val="fr-FR"/>
        </w:rPr>
        <w:t>alignant sur</w:t>
      </w:r>
      <w:r w:rsidRPr="00443C73">
        <w:rPr>
          <w:rFonts w:ascii="Arial" w:eastAsia="SimSun" w:hAnsi="Arial" w:cs="Arial"/>
          <w:sz w:val="22"/>
          <w:szCs w:val="22"/>
          <w:lang w:val="fr-FR"/>
        </w:rPr>
        <w:t xml:space="preserve"> le cadre global de résultats</w:t>
      </w:r>
      <w:r>
        <w:rPr>
          <w:rFonts w:ascii="Arial" w:eastAsia="SimSun" w:hAnsi="Arial" w:cs="Arial"/>
          <w:sz w:val="22"/>
          <w:szCs w:val="22"/>
          <w:lang w:val="fr-FR"/>
        </w:rPr>
        <w:t xml:space="preserve"> selon un </w:t>
      </w:r>
      <w:r w:rsidRPr="00443C73">
        <w:rPr>
          <w:rFonts w:ascii="Arial" w:eastAsia="SimSun" w:hAnsi="Arial" w:cs="Arial"/>
          <w:sz w:val="22"/>
          <w:szCs w:val="22"/>
          <w:lang w:val="fr-FR"/>
        </w:rPr>
        <w:t xml:space="preserve">cycle de </w:t>
      </w:r>
      <w:r>
        <w:rPr>
          <w:rFonts w:ascii="Arial" w:eastAsia="SimSun" w:hAnsi="Arial" w:cs="Arial"/>
          <w:sz w:val="22"/>
          <w:szCs w:val="22"/>
          <w:lang w:val="fr-FR"/>
        </w:rPr>
        <w:t xml:space="preserve">soumission des </w:t>
      </w:r>
      <w:r w:rsidRPr="00443C73">
        <w:rPr>
          <w:rFonts w:ascii="Arial" w:eastAsia="SimSun" w:hAnsi="Arial" w:cs="Arial"/>
          <w:sz w:val="22"/>
          <w:szCs w:val="22"/>
          <w:lang w:val="fr-FR"/>
        </w:rPr>
        <w:t>rapports</w:t>
      </w:r>
      <w:r>
        <w:rPr>
          <w:rFonts w:ascii="Arial" w:eastAsia="SimSun" w:hAnsi="Arial" w:cs="Arial"/>
          <w:sz w:val="22"/>
          <w:szCs w:val="22"/>
          <w:lang w:val="fr-FR"/>
        </w:rPr>
        <w:t xml:space="preserve"> sur une base régionale. </w:t>
      </w:r>
      <w:r w:rsidRPr="00443C73">
        <w:rPr>
          <w:rFonts w:ascii="Arial" w:eastAsia="SimSun" w:hAnsi="Arial" w:cs="Arial"/>
          <w:sz w:val="22"/>
          <w:szCs w:val="22"/>
          <w:lang w:val="fr-FR"/>
        </w:rPr>
        <w:t>Le nouveau système a</w:t>
      </w:r>
      <w:r>
        <w:rPr>
          <w:rFonts w:ascii="Arial" w:eastAsia="SimSun" w:hAnsi="Arial" w:cs="Arial"/>
          <w:sz w:val="22"/>
          <w:szCs w:val="22"/>
          <w:lang w:val="fr-FR"/>
        </w:rPr>
        <w:t>vait</w:t>
      </w:r>
      <w:r w:rsidRPr="00443C73">
        <w:rPr>
          <w:rFonts w:ascii="Arial" w:eastAsia="SimSun" w:hAnsi="Arial" w:cs="Arial"/>
          <w:sz w:val="22"/>
          <w:szCs w:val="22"/>
          <w:lang w:val="fr-FR"/>
        </w:rPr>
        <w:t xml:space="preserve"> déjà démontré un taux de soumission grandement amélioré. En 2021, </w:t>
      </w:r>
      <w:r>
        <w:rPr>
          <w:rFonts w:ascii="Arial" w:eastAsia="SimSun" w:hAnsi="Arial" w:cs="Arial"/>
          <w:sz w:val="22"/>
          <w:szCs w:val="22"/>
          <w:lang w:val="fr-FR"/>
        </w:rPr>
        <w:t>87 %</w:t>
      </w:r>
      <w:r w:rsidRPr="00443C73">
        <w:rPr>
          <w:rFonts w:ascii="Arial" w:eastAsia="SimSun" w:hAnsi="Arial" w:cs="Arial"/>
          <w:sz w:val="22"/>
          <w:szCs w:val="22"/>
          <w:lang w:val="fr-FR"/>
        </w:rPr>
        <w:t xml:space="preserve"> des rapports </w:t>
      </w:r>
      <w:r>
        <w:rPr>
          <w:rFonts w:ascii="Arial" w:eastAsia="SimSun" w:hAnsi="Arial" w:cs="Arial"/>
          <w:sz w:val="22"/>
          <w:szCs w:val="22"/>
          <w:lang w:val="fr-FR"/>
        </w:rPr>
        <w:t>avaient</w:t>
      </w:r>
      <w:r w:rsidRPr="00443C73">
        <w:rPr>
          <w:rFonts w:ascii="Arial" w:eastAsia="SimSun" w:hAnsi="Arial" w:cs="Arial"/>
          <w:sz w:val="22"/>
          <w:szCs w:val="22"/>
          <w:lang w:val="fr-FR"/>
        </w:rPr>
        <w:t xml:space="preserve"> été soumis par la région Amérique latine et Caraïbes, c</w:t>
      </w:r>
      <w:r>
        <w:rPr>
          <w:rFonts w:ascii="Arial" w:eastAsia="SimSun" w:hAnsi="Arial" w:cs="Arial"/>
          <w:sz w:val="22"/>
          <w:szCs w:val="22"/>
          <w:lang w:val="fr-FR"/>
        </w:rPr>
        <w:t xml:space="preserve">.-à-d. </w:t>
      </w:r>
      <w:r w:rsidRPr="00443C73">
        <w:rPr>
          <w:rFonts w:ascii="Arial" w:eastAsia="SimSun" w:hAnsi="Arial" w:cs="Arial"/>
          <w:sz w:val="22"/>
          <w:szCs w:val="22"/>
          <w:lang w:val="fr-FR"/>
        </w:rPr>
        <w:t>vingt-huit rapports</w:t>
      </w:r>
      <w:r>
        <w:rPr>
          <w:rFonts w:ascii="Arial" w:eastAsia="SimSun" w:hAnsi="Arial" w:cs="Arial"/>
          <w:sz w:val="22"/>
          <w:szCs w:val="22"/>
          <w:lang w:val="fr-FR"/>
        </w:rPr>
        <w:t xml:space="preserve"> </w:t>
      </w:r>
      <w:r w:rsidRPr="00443C73">
        <w:rPr>
          <w:rFonts w:ascii="Arial" w:eastAsia="SimSun" w:hAnsi="Arial" w:cs="Arial"/>
          <w:sz w:val="22"/>
          <w:szCs w:val="22"/>
          <w:lang w:val="fr-FR"/>
        </w:rPr>
        <w:t>soumis sur un total attendu de trente</w:t>
      </w:r>
      <w:r>
        <w:rPr>
          <w:rFonts w:ascii="Arial" w:eastAsia="SimSun" w:hAnsi="Arial" w:cs="Arial"/>
          <w:sz w:val="22"/>
          <w:szCs w:val="22"/>
          <w:lang w:val="fr-FR"/>
        </w:rPr>
        <w:noBreakHyphen/>
      </w:r>
      <w:r w:rsidRPr="00443C73">
        <w:rPr>
          <w:rFonts w:ascii="Arial" w:eastAsia="SimSun" w:hAnsi="Arial" w:cs="Arial"/>
          <w:sz w:val="22"/>
          <w:szCs w:val="22"/>
          <w:lang w:val="fr-FR"/>
        </w:rPr>
        <w:t xml:space="preserve">deux. Ces rapports </w:t>
      </w:r>
      <w:r>
        <w:rPr>
          <w:rFonts w:ascii="Arial" w:eastAsia="SimSun" w:hAnsi="Arial" w:cs="Arial"/>
          <w:sz w:val="22"/>
          <w:szCs w:val="22"/>
          <w:lang w:val="fr-FR"/>
        </w:rPr>
        <w:t>avaient</w:t>
      </w:r>
      <w:r w:rsidRPr="00443C73">
        <w:rPr>
          <w:rFonts w:ascii="Arial" w:eastAsia="SimSun" w:hAnsi="Arial" w:cs="Arial"/>
          <w:sz w:val="22"/>
          <w:szCs w:val="22"/>
          <w:lang w:val="fr-FR"/>
        </w:rPr>
        <w:t xml:space="preserve"> été examinés par le Comité lors de sa </w:t>
      </w:r>
      <w:r>
        <w:rPr>
          <w:rFonts w:ascii="Arial" w:eastAsia="SimSun" w:hAnsi="Arial" w:cs="Arial"/>
          <w:sz w:val="22"/>
          <w:szCs w:val="22"/>
          <w:lang w:val="fr-FR"/>
        </w:rPr>
        <w:t xml:space="preserve">seizième </w:t>
      </w:r>
      <w:r w:rsidRPr="00443C73">
        <w:rPr>
          <w:rFonts w:ascii="Arial" w:eastAsia="SimSun" w:hAnsi="Arial" w:cs="Arial"/>
          <w:sz w:val="22"/>
          <w:szCs w:val="22"/>
          <w:lang w:val="fr-FR"/>
        </w:rPr>
        <w:t>session. Pour l</w:t>
      </w:r>
      <w:r w:rsidR="008E532B">
        <w:rPr>
          <w:rFonts w:ascii="Arial" w:eastAsia="SimSun" w:hAnsi="Arial" w:cs="Arial"/>
          <w:sz w:val="22"/>
          <w:szCs w:val="22"/>
          <w:lang w:val="fr-FR"/>
        </w:rPr>
        <w:t>’</w:t>
      </w:r>
      <w:r w:rsidRPr="00443C73">
        <w:rPr>
          <w:rFonts w:ascii="Arial" w:eastAsia="SimSun" w:hAnsi="Arial" w:cs="Arial"/>
          <w:sz w:val="22"/>
          <w:szCs w:val="22"/>
          <w:lang w:val="fr-FR"/>
        </w:rPr>
        <w:t xml:space="preserve">Europe, la situation </w:t>
      </w:r>
      <w:r>
        <w:rPr>
          <w:rFonts w:ascii="Arial" w:eastAsia="SimSun" w:hAnsi="Arial" w:cs="Arial"/>
          <w:sz w:val="22"/>
          <w:szCs w:val="22"/>
          <w:lang w:val="fr-FR"/>
        </w:rPr>
        <w:t>était</w:t>
      </w:r>
      <w:r w:rsidRPr="00443C73">
        <w:rPr>
          <w:rFonts w:ascii="Arial" w:eastAsia="SimSun" w:hAnsi="Arial" w:cs="Arial"/>
          <w:sz w:val="22"/>
          <w:szCs w:val="22"/>
          <w:lang w:val="fr-FR"/>
        </w:rPr>
        <w:t xml:space="preserve"> tout aussi encourageante puisque le taux de soumission des rapports reçus à la fin de l</w:t>
      </w:r>
      <w:r w:rsidR="008E532B">
        <w:rPr>
          <w:rFonts w:ascii="Arial" w:eastAsia="SimSun" w:hAnsi="Arial" w:cs="Arial"/>
          <w:sz w:val="22"/>
          <w:szCs w:val="22"/>
          <w:lang w:val="fr-FR"/>
        </w:rPr>
        <w:t>’</w:t>
      </w:r>
      <w:r w:rsidRPr="00443C73">
        <w:rPr>
          <w:rFonts w:ascii="Arial" w:eastAsia="SimSun" w:hAnsi="Arial" w:cs="Arial"/>
          <w:sz w:val="22"/>
          <w:szCs w:val="22"/>
          <w:lang w:val="fr-FR"/>
        </w:rPr>
        <w:t>année 2021 s</w:t>
      </w:r>
      <w:r w:rsidR="008E532B">
        <w:rPr>
          <w:rFonts w:ascii="Arial" w:eastAsia="SimSun" w:hAnsi="Arial" w:cs="Arial"/>
          <w:sz w:val="22"/>
          <w:szCs w:val="22"/>
          <w:lang w:val="fr-FR"/>
        </w:rPr>
        <w:t>’</w:t>
      </w:r>
      <w:r w:rsidRPr="00443C73">
        <w:rPr>
          <w:rFonts w:ascii="Arial" w:eastAsia="SimSun" w:hAnsi="Arial" w:cs="Arial"/>
          <w:sz w:val="22"/>
          <w:szCs w:val="22"/>
          <w:lang w:val="fr-FR"/>
        </w:rPr>
        <w:t>él</w:t>
      </w:r>
      <w:r>
        <w:rPr>
          <w:rFonts w:ascii="Arial" w:eastAsia="SimSun" w:hAnsi="Arial" w:cs="Arial"/>
          <w:sz w:val="22"/>
          <w:szCs w:val="22"/>
          <w:lang w:val="fr-FR"/>
        </w:rPr>
        <w:t>evait</w:t>
      </w:r>
      <w:r w:rsidRPr="00443C73">
        <w:rPr>
          <w:rFonts w:ascii="Arial" w:eastAsia="SimSun" w:hAnsi="Arial" w:cs="Arial"/>
          <w:sz w:val="22"/>
          <w:szCs w:val="22"/>
          <w:lang w:val="fr-FR"/>
        </w:rPr>
        <w:t xml:space="preserve"> à </w:t>
      </w:r>
      <w:r>
        <w:rPr>
          <w:rFonts w:ascii="Arial" w:eastAsia="SimSun" w:hAnsi="Arial" w:cs="Arial"/>
          <w:sz w:val="22"/>
          <w:szCs w:val="22"/>
          <w:lang w:val="fr-FR"/>
        </w:rPr>
        <w:t>95 %</w:t>
      </w:r>
      <w:r w:rsidRPr="00443C73">
        <w:rPr>
          <w:rFonts w:ascii="Arial" w:eastAsia="SimSun" w:hAnsi="Arial" w:cs="Arial"/>
          <w:sz w:val="22"/>
          <w:szCs w:val="22"/>
          <w:lang w:val="fr-FR"/>
        </w:rPr>
        <w:t>.</w:t>
      </w:r>
    </w:p>
    <w:p w14:paraId="6A458EE2" w14:textId="7D5C5987" w:rsidR="00D9653F" w:rsidRPr="008263AB"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8263AB">
        <w:rPr>
          <w:rFonts w:ascii="Arial" w:eastAsia="SimSun" w:hAnsi="Arial" w:cs="Arial"/>
          <w:sz w:val="22"/>
          <w:szCs w:val="22"/>
          <w:lang w:val="fr-FR"/>
        </w:rPr>
        <w:t xml:space="preserve">Le </w:t>
      </w:r>
      <w:r w:rsidRPr="008263AB">
        <w:rPr>
          <w:rFonts w:ascii="Arial" w:eastAsia="SimSun" w:hAnsi="Arial" w:cs="Arial"/>
          <w:b/>
          <w:bCs/>
          <w:sz w:val="22"/>
          <w:szCs w:val="22"/>
          <w:lang w:val="fr-FR"/>
        </w:rPr>
        <w:t>Sous-Directeur général</w:t>
      </w:r>
      <w:r w:rsidRPr="008263AB">
        <w:rPr>
          <w:rFonts w:ascii="Arial" w:eastAsia="SimSun" w:hAnsi="Arial" w:cs="Arial"/>
          <w:sz w:val="22"/>
          <w:szCs w:val="22"/>
          <w:lang w:val="fr-FR"/>
        </w:rPr>
        <w:t xml:space="preserve"> a également indiqué que le Comité avait examiné la recommandation du </w:t>
      </w:r>
      <w:r>
        <w:rPr>
          <w:rFonts w:ascii="Arial" w:eastAsia="SimSun" w:hAnsi="Arial" w:cs="Arial"/>
          <w:sz w:val="22"/>
          <w:szCs w:val="22"/>
          <w:lang w:val="fr-FR"/>
        </w:rPr>
        <w:t>g</w:t>
      </w:r>
      <w:r w:rsidRPr="008263AB">
        <w:rPr>
          <w:rFonts w:ascii="Arial" w:eastAsia="SimSun" w:hAnsi="Arial" w:cs="Arial"/>
          <w:sz w:val="22"/>
          <w:szCs w:val="22"/>
          <w:lang w:val="fr-FR"/>
        </w:rPr>
        <w:t xml:space="preserve">roupe de travail à composition non limitée, </w:t>
      </w:r>
      <w:r>
        <w:rPr>
          <w:rFonts w:ascii="Arial" w:eastAsia="SimSun" w:hAnsi="Arial" w:cs="Arial"/>
          <w:sz w:val="22"/>
          <w:szCs w:val="22"/>
          <w:lang w:val="fr-FR"/>
        </w:rPr>
        <w:t xml:space="preserve">établi </w:t>
      </w:r>
      <w:r w:rsidRPr="008263AB">
        <w:rPr>
          <w:rFonts w:ascii="Arial" w:eastAsia="SimSun" w:hAnsi="Arial" w:cs="Arial"/>
          <w:sz w:val="22"/>
          <w:szCs w:val="22"/>
          <w:lang w:val="fr-FR"/>
        </w:rPr>
        <w:t>dans le cadre de la réflexion globale sur les mécanismes d</w:t>
      </w:r>
      <w:r w:rsidR="008E532B">
        <w:rPr>
          <w:rFonts w:ascii="Arial" w:eastAsia="SimSun" w:hAnsi="Arial" w:cs="Arial"/>
          <w:sz w:val="22"/>
          <w:szCs w:val="22"/>
          <w:lang w:val="fr-FR"/>
        </w:rPr>
        <w:t>’</w:t>
      </w:r>
      <w:r w:rsidRPr="008263AB">
        <w:rPr>
          <w:rFonts w:ascii="Arial" w:eastAsia="SimSun" w:hAnsi="Arial" w:cs="Arial"/>
          <w:sz w:val="22"/>
          <w:szCs w:val="22"/>
          <w:lang w:val="fr-FR"/>
        </w:rPr>
        <w:t xml:space="preserve">inscription </w:t>
      </w:r>
      <w:r>
        <w:rPr>
          <w:rFonts w:ascii="Arial" w:eastAsia="SimSun" w:hAnsi="Arial" w:cs="Arial"/>
          <w:sz w:val="22"/>
          <w:szCs w:val="22"/>
          <w:lang w:val="fr-FR"/>
        </w:rPr>
        <w:t xml:space="preserve">sur les listes </w:t>
      </w:r>
      <w:r w:rsidRPr="008263AB">
        <w:rPr>
          <w:rFonts w:ascii="Arial" w:eastAsia="SimSun" w:hAnsi="Arial" w:cs="Arial"/>
          <w:sz w:val="22"/>
          <w:szCs w:val="22"/>
          <w:lang w:val="fr-FR"/>
        </w:rPr>
        <w:t xml:space="preserve">de la Convention, qui </w:t>
      </w:r>
      <w:r>
        <w:rPr>
          <w:rFonts w:ascii="Arial" w:eastAsia="SimSun" w:hAnsi="Arial" w:cs="Arial"/>
          <w:sz w:val="22"/>
          <w:szCs w:val="22"/>
          <w:lang w:val="fr-FR"/>
        </w:rPr>
        <w:t>serait</w:t>
      </w:r>
      <w:r w:rsidRPr="008263AB">
        <w:rPr>
          <w:rFonts w:ascii="Arial" w:eastAsia="SimSun" w:hAnsi="Arial" w:cs="Arial"/>
          <w:sz w:val="22"/>
          <w:szCs w:val="22"/>
          <w:lang w:val="fr-FR"/>
        </w:rPr>
        <w:t xml:space="preserve"> présentée à cette Assemblée </w:t>
      </w:r>
      <w:r>
        <w:rPr>
          <w:rFonts w:ascii="Arial" w:eastAsia="SimSun" w:hAnsi="Arial" w:cs="Arial"/>
          <w:sz w:val="22"/>
          <w:szCs w:val="22"/>
          <w:lang w:val="fr-FR"/>
        </w:rPr>
        <w:t>sous la forme d</w:t>
      </w:r>
      <w:r w:rsidR="008E532B">
        <w:rPr>
          <w:rFonts w:ascii="Arial" w:eastAsia="SimSun" w:hAnsi="Arial" w:cs="Arial"/>
          <w:sz w:val="22"/>
          <w:szCs w:val="22"/>
          <w:lang w:val="fr-FR"/>
        </w:rPr>
        <w:t>’</w:t>
      </w:r>
      <w:r>
        <w:rPr>
          <w:rFonts w:ascii="Arial" w:eastAsia="SimSun" w:hAnsi="Arial" w:cs="Arial"/>
          <w:sz w:val="22"/>
          <w:szCs w:val="22"/>
          <w:lang w:val="fr-FR"/>
        </w:rPr>
        <w:t>une</w:t>
      </w:r>
      <w:r w:rsidRPr="008263AB">
        <w:rPr>
          <w:rFonts w:ascii="Arial" w:eastAsia="SimSun" w:hAnsi="Arial" w:cs="Arial"/>
          <w:sz w:val="22"/>
          <w:szCs w:val="22"/>
          <w:lang w:val="fr-FR"/>
        </w:rPr>
        <w:t xml:space="preserve"> proposition de révision des</w:t>
      </w:r>
      <w:r>
        <w:rPr>
          <w:rFonts w:ascii="Arial" w:eastAsia="SimSun" w:hAnsi="Arial" w:cs="Arial"/>
          <w:sz w:val="22"/>
          <w:szCs w:val="22"/>
          <w:lang w:val="fr-FR"/>
        </w:rPr>
        <w:t xml:space="preserve"> Directives opérationnelles</w:t>
      </w:r>
      <w:r w:rsidRPr="008263AB">
        <w:rPr>
          <w:rFonts w:ascii="Arial" w:eastAsia="SimSun" w:hAnsi="Arial" w:cs="Arial"/>
          <w:sz w:val="22"/>
          <w:szCs w:val="22"/>
          <w:lang w:val="fr-FR"/>
        </w:rPr>
        <w:t xml:space="preserve">. Lors de sa </w:t>
      </w:r>
      <w:r>
        <w:rPr>
          <w:rFonts w:ascii="Arial" w:eastAsia="SimSun" w:hAnsi="Arial" w:cs="Arial"/>
          <w:sz w:val="22"/>
          <w:szCs w:val="22"/>
          <w:lang w:val="fr-FR"/>
        </w:rPr>
        <w:t xml:space="preserve">seizième </w:t>
      </w:r>
      <w:r w:rsidRPr="008263AB">
        <w:rPr>
          <w:rFonts w:ascii="Arial" w:eastAsia="SimSun" w:hAnsi="Arial" w:cs="Arial"/>
          <w:sz w:val="22"/>
          <w:szCs w:val="22"/>
          <w:lang w:val="fr-FR"/>
        </w:rPr>
        <w:t>session, le Comité a</w:t>
      </w:r>
      <w:r>
        <w:rPr>
          <w:rFonts w:ascii="Arial" w:eastAsia="SimSun" w:hAnsi="Arial" w:cs="Arial"/>
          <w:sz w:val="22"/>
          <w:szCs w:val="22"/>
          <w:lang w:val="fr-FR"/>
        </w:rPr>
        <w:t>vait</w:t>
      </w:r>
      <w:r w:rsidRPr="008263AB">
        <w:rPr>
          <w:rFonts w:ascii="Arial" w:eastAsia="SimSun" w:hAnsi="Arial" w:cs="Arial"/>
          <w:sz w:val="22"/>
          <w:szCs w:val="22"/>
          <w:lang w:val="fr-FR"/>
        </w:rPr>
        <w:t xml:space="preserve"> également examiné les principales conclusions et recommandations de l</w:t>
      </w:r>
      <w:r w:rsidR="008E532B">
        <w:rPr>
          <w:rFonts w:ascii="Arial" w:eastAsia="SimSun" w:hAnsi="Arial" w:cs="Arial"/>
          <w:sz w:val="22"/>
          <w:szCs w:val="22"/>
          <w:lang w:val="fr-FR"/>
        </w:rPr>
        <w:t>’</w:t>
      </w:r>
      <w:r w:rsidRPr="008263AB">
        <w:rPr>
          <w:rFonts w:ascii="Arial" w:eastAsia="SimSun" w:hAnsi="Arial" w:cs="Arial"/>
          <w:sz w:val="22"/>
          <w:szCs w:val="22"/>
          <w:lang w:val="fr-FR"/>
        </w:rPr>
        <w:t xml:space="preserve">évaluation </w:t>
      </w:r>
      <w:r>
        <w:rPr>
          <w:rFonts w:ascii="Arial" w:eastAsia="SimSun" w:hAnsi="Arial" w:cs="Arial"/>
          <w:sz w:val="22"/>
          <w:szCs w:val="22"/>
          <w:lang w:val="fr-FR"/>
        </w:rPr>
        <w:t xml:space="preserve">de </w:t>
      </w:r>
      <w:r w:rsidRPr="008263AB">
        <w:rPr>
          <w:rFonts w:ascii="Arial" w:eastAsia="SimSun" w:hAnsi="Arial" w:cs="Arial"/>
          <w:sz w:val="22"/>
          <w:szCs w:val="22"/>
          <w:lang w:val="fr-FR"/>
        </w:rPr>
        <w:t>2021 menée par le Service d</w:t>
      </w:r>
      <w:r w:rsidR="008E532B">
        <w:rPr>
          <w:rFonts w:ascii="Arial" w:eastAsia="SimSun" w:hAnsi="Arial" w:cs="Arial"/>
          <w:sz w:val="22"/>
          <w:szCs w:val="22"/>
          <w:lang w:val="fr-FR"/>
        </w:rPr>
        <w:t>’</w:t>
      </w:r>
      <w:r w:rsidRPr="008263AB">
        <w:rPr>
          <w:rFonts w:ascii="Arial" w:eastAsia="SimSun" w:hAnsi="Arial" w:cs="Arial"/>
          <w:sz w:val="22"/>
          <w:szCs w:val="22"/>
          <w:lang w:val="fr-FR"/>
        </w:rPr>
        <w:t>évaluation et d</w:t>
      </w:r>
      <w:r w:rsidR="008E532B">
        <w:rPr>
          <w:rFonts w:ascii="Arial" w:eastAsia="SimSun" w:hAnsi="Arial" w:cs="Arial"/>
          <w:sz w:val="22"/>
          <w:szCs w:val="22"/>
          <w:lang w:val="fr-FR"/>
        </w:rPr>
        <w:t>’</w:t>
      </w:r>
      <w:r w:rsidRPr="008263AB">
        <w:rPr>
          <w:rFonts w:ascii="Arial" w:eastAsia="SimSun" w:hAnsi="Arial" w:cs="Arial"/>
          <w:sz w:val="22"/>
          <w:szCs w:val="22"/>
          <w:lang w:val="fr-FR"/>
        </w:rPr>
        <w:t>audit (IOS) concernant l</w:t>
      </w:r>
      <w:r w:rsidR="008E532B">
        <w:rPr>
          <w:rFonts w:ascii="Arial" w:eastAsia="SimSun" w:hAnsi="Arial" w:cs="Arial"/>
          <w:sz w:val="22"/>
          <w:szCs w:val="22"/>
          <w:lang w:val="fr-FR"/>
        </w:rPr>
        <w:t>’</w:t>
      </w:r>
      <w:r w:rsidRPr="008263AB">
        <w:rPr>
          <w:rFonts w:ascii="Arial" w:eastAsia="SimSun" w:hAnsi="Arial" w:cs="Arial"/>
          <w:sz w:val="22"/>
          <w:szCs w:val="22"/>
          <w:lang w:val="fr-FR"/>
        </w:rPr>
        <w:t>action de l</w:t>
      </w:r>
      <w:r w:rsidR="008E532B">
        <w:rPr>
          <w:rFonts w:ascii="Arial" w:eastAsia="SimSun" w:hAnsi="Arial" w:cs="Arial"/>
          <w:sz w:val="22"/>
          <w:szCs w:val="22"/>
          <w:lang w:val="fr-FR"/>
        </w:rPr>
        <w:t>’</w:t>
      </w:r>
      <w:r w:rsidRPr="008263AB">
        <w:rPr>
          <w:rFonts w:ascii="Arial" w:eastAsia="SimSun" w:hAnsi="Arial" w:cs="Arial"/>
          <w:sz w:val="22"/>
          <w:szCs w:val="22"/>
          <w:lang w:val="fr-FR"/>
        </w:rPr>
        <w:t xml:space="preserve">UNESCO dans le cadre de la Convention. </w:t>
      </w:r>
      <w:r>
        <w:rPr>
          <w:rFonts w:ascii="Arial" w:eastAsia="SimSun" w:hAnsi="Arial" w:cs="Arial"/>
          <w:sz w:val="22"/>
          <w:szCs w:val="22"/>
          <w:lang w:val="fr-FR"/>
        </w:rPr>
        <w:t>Parallèlement</w:t>
      </w:r>
      <w:r w:rsidRPr="008263AB">
        <w:rPr>
          <w:rFonts w:ascii="Arial" w:eastAsia="SimSun" w:hAnsi="Arial" w:cs="Arial"/>
          <w:sz w:val="22"/>
          <w:szCs w:val="22"/>
          <w:lang w:val="fr-FR"/>
        </w:rPr>
        <w:t>, le Comité a</w:t>
      </w:r>
      <w:r>
        <w:rPr>
          <w:rFonts w:ascii="Arial" w:eastAsia="SimSun" w:hAnsi="Arial" w:cs="Arial"/>
          <w:sz w:val="22"/>
          <w:szCs w:val="22"/>
          <w:lang w:val="fr-FR"/>
        </w:rPr>
        <w:t>vait</w:t>
      </w:r>
      <w:r w:rsidRPr="008263AB">
        <w:rPr>
          <w:rFonts w:ascii="Arial" w:eastAsia="SimSun" w:hAnsi="Arial" w:cs="Arial"/>
          <w:sz w:val="22"/>
          <w:szCs w:val="22"/>
          <w:lang w:val="fr-FR"/>
        </w:rPr>
        <w:t xml:space="preserve"> continué </w:t>
      </w:r>
      <w:r>
        <w:rPr>
          <w:rFonts w:ascii="Arial" w:eastAsia="SimSun" w:hAnsi="Arial" w:cs="Arial"/>
          <w:sz w:val="22"/>
          <w:szCs w:val="22"/>
          <w:lang w:val="fr-FR"/>
        </w:rPr>
        <w:t>d</w:t>
      </w:r>
      <w:r w:rsidR="008E532B">
        <w:rPr>
          <w:rFonts w:ascii="Arial" w:eastAsia="SimSun" w:hAnsi="Arial" w:cs="Arial"/>
          <w:sz w:val="22"/>
          <w:szCs w:val="22"/>
          <w:lang w:val="fr-FR"/>
        </w:rPr>
        <w:t>’</w:t>
      </w:r>
      <w:r>
        <w:rPr>
          <w:rFonts w:ascii="Arial" w:eastAsia="SimSun" w:hAnsi="Arial" w:cs="Arial"/>
          <w:sz w:val="22"/>
          <w:szCs w:val="22"/>
          <w:lang w:val="fr-FR"/>
        </w:rPr>
        <w:t xml:space="preserve">envisager </w:t>
      </w:r>
      <w:r w:rsidRPr="008263AB">
        <w:rPr>
          <w:rFonts w:ascii="Arial" w:eastAsia="SimSun" w:hAnsi="Arial" w:cs="Arial"/>
          <w:sz w:val="22"/>
          <w:szCs w:val="22"/>
          <w:lang w:val="fr-FR"/>
        </w:rPr>
        <w:t xml:space="preserve">le renforcement des capacités comme un élément central du mandat de la Convention. </w:t>
      </w:r>
      <w:r>
        <w:rPr>
          <w:rFonts w:ascii="Arial" w:eastAsia="SimSun" w:hAnsi="Arial" w:cs="Arial"/>
          <w:sz w:val="22"/>
          <w:szCs w:val="22"/>
          <w:lang w:val="fr-FR"/>
        </w:rPr>
        <w:t>Il avait donc approuvé le choix du renforcement des capacités comme</w:t>
      </w:r>
      <w:r w:rsidRPr="008263AB">
        <w:rPr>
          <w:rFonts w:ascii="Arial" w:eastAsia="SimSun" w:hAnsi="Arial" w:cs="Arial"/>
          <w:sz w:val="22"/>
          <w:szCs w:val="22"/>
          <w:lang w:val="fr-FR"/>
        </w:rPr>
        <w:t xml:space="preserve"> l</w:t>
      </w:r>
      <w:r w:rsidR="008E532B">
        <w:rPr>
          <w:rFonts w:ascii="Arial" w:eastAsia="SimSun" w:hAnsi="Arial" w:cs="Arial"/>
          <w:sz w:val="22"/>
          <w:szCs w:val="22"/>
          <w:lang w:val="fr-FR"/>
        </w:rPr>
        <w:t>’</w:t>
      </w:r>
      <w:r w:rsidRPr="008263AB">
        <w:rPr>
          <w:rFonts w:ascii="Arial" w:eastAsia="SimSun" w:hAnsi="Arial" w:cs="Arial"/>
          <w:sz w:val="22"/>
          <w:szCs w:val="22"/>
          <w:lang w:val="fr-FR"/>
        </w:rPr>
        <w:t xml:space="preserve">une des deux priorités </w:t>
      </w:r>
      <w:r>
        <w:rPr>
          <w:rFonts w:ascii="Arial" w:eastAsia="SimSun" w:hAnsi="Arial" w:cs="Arial"/>
          <w:sz w:val="22"/>
          <w:szCs w:val="22"/>
          <w:lang w:val="fr-FR"/>
        </w:rPr>
        <w:t xml:space="preserve">globales </w:t>
      </w:r>
      <w:r w:rsidRPr="008263AB">
        <w:rPr>
          <w:rFonts w:ascii="Arial" w:eastAsia="SimSun" w:hAnsi="Arial" w:cs="Arial"/>
          <w:sz w:val="22"/>
          <w:szCs w:val="22"/>
          <w:lang w:val="fr-FR"/>
        </w:rPr>
        <w:t>de financement</w:t>
      </w:r>
      <w:r>
        <w:rPr>
          <w:rFonts w:ascii="Arial" w:eastAsia="SimSun" w:hAnsi="Arial" w:cs="Arial"/>
          <w:sz w:val="22"/>
          <w:szCs w:val="22"/>
          <w:lang w:val="fr-FR"/>
        </w:rPr>
        <w:t xml:space="preserve"> </w:t>
      </w:r>
      <w:r w:rsidRPr="008263AB">
        <w:rPr>
          <w:rFonts w:ascii="Arial" w:eastAsia="SimSun" w:hAnsi="Arial" w:cs="Arial"/>
          <w:sz w:val="22"/>
          <w:szCs w:val="22"/>
          <w:lang w:val="fr-FR"/>
        </w:rPr>
        <w:t xml:space="preserve">de la Convention, avec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8263AB">
        <w:rPr>
          <w:rFonts w:ascii="Arial" w:eastAsia="SimSun" w:hAnsi="Arial" w:cs="Arial"/>
          <w:sz w:val="22"/>
          <w:szCs w:val="22"/>
          <w:lang w:val="fr-FR"/>
        </w:rPr>
        <w:t>dans l</w:t>
      </w:r>
      <w:r w:rsidR="008E532B">
        <w:rPr>
          <w:rFonts w:ascii="Arial" w:eastAsia="SimSun" w:hAnsi="Arial" w:cs="Arial"/>
          <w:sz w:val="22"/>
          <w:szCs w:val="22"/>
          <w:lang w:val="fr-FR"/>
        </w:rPr>
        <w:t>’</w:t>
      </w:r>
      <w:r w:rsidRPr="008263AB">
        <w:rPr>
          <w:rFonts w:ascii="Arial" w:eastAsia="SimSun" w:hAnsi="Arial" w:cs="Arial"/>
          <w:sz w:val="22"/>
          <w:szCs w:val="22"/>
          <w:lang w:val="fr-FR"/>
        </w:rPr>
        <w:t>éducation formelle et non formelle. Enfin, au cours de la période considérée, le Comité a</w:t>
      </w:r>
      <w:r>
        <w:rPr>
          <w:rFonts w:ascii="Arial" w:eastAsia="SimSun" w:hAnsi="Arial" w:cs="Arial"/>
          <w:sz w:val="22"/>
          <w:szCs w:val="22"/>
          <w:lang w:val="fr-FR"/>
        </w:rPr>
        <w:t>vait</w:t>
      </w:r>
      <w:r w:rsidRPr="008263AB">
        <w:rPr>
          <w:rFonts w:ascii="Arial" w:eastAsia="SimSun" w:hAnsi="Arial" w:cs="Arial"/>
          <w:sz w:val="22"/>
          <w:szCs w:val="22"/>
          <w:lang w:val="fr-FR"/>
        </w:rPr>
        <w:t xml:space="preserve"> inscrit un total de soixante</w:t>
      </w:r>
      <w:r>
        <w:rPr>
          <w:rFonts w:ascii="Arial" w:eastAsia="SimSun" w:hAnsi="Arial" w:cs="Arial"/>
          <w:sz w:val="22"/>
          <w:szCs w:val="22"/>
          <w:lang w:val="fr-FR"/>
        </w:rPr>
        <w:noBreakHyphen/>
      </w:r>
      <w:r w:rsidRPr="008263AB">
        <w:rPr>
          <w:rFonts w:ascii="Arial" w:eastAsia="SimSun" w:hAnsi="Arial" w:cs="Arial"/>
          <w:sz w:val="22"/>
          <w:szCs w:val="22"/>
          <w:lang w:val="fr-FR"/>
        </w:rPr>
        <w:t xml:space="preserve">quatorze éléments sur les </w:t>
      </w:r>
      <w:r>
        <w:rPr>
          <w:rFonts w:ascii="Arial" w:eastAsia="SimSun" w:hAnsi="Arial" w:cs="Arial"/>
          <w:sz w:val="22"/>
          <w:szCs w:val="22"/>
          <w:lang w:val="fr-FR"/>
        </w:rPr>
        <w:t>l</w:t>
      </w:r>
      <w:r w:rsidRPr="008263AB">
        <w:rPr>
          <w:rFonts w:ascii="Arial" w:eastAsia="SimSun" w:hAnsi="Arial" w:cs="Arial"/>
          <w:sz w:val="22"/>
          <w:szCs w:val="22"/>
          <w:lang w:val="fr-FR"/>
        </w:rPr>
        <w:t>istes de la Convention</w:t>
      </w:r>
      <w:r>
        <w:rPr>
          <w:rFonts w:ascii="Arial" w:eastAsia="SimSun" w:hAnsi="Arial" w:cs="Arial"/>
          <w:sz w:val="22"/>
          <w:szCs w:val="22"/>
          <w:lang w:val="fr-FR"/>
        </w:rPr>
        <w:t> </w:t>
      </w:r>
      <w:r w:rsidRPr="008263AB">
        <w:rPr>
          <w:rFonts w:ascii="Arial" w:eastAsia="SimSun" w:hAnsi="Arial" w:cs="Arial"/>
          <w:sz w:val="22"/>
          <w:szCs w:val="22"/>
          <w:lang w:val="fr-FR"/>
        </w:rPr>
        <w:t>: sept sur la Liste de sauvegarde urgente et</w:t>
      </w:r>
      <w:r>
        <w:rPr>
          <w:rFonts w:ascii="Arial" w:eastAsia="SimSun" w:hAnsi="Arial" w:cs="Arial"/>
          <w:sz w:val="22"/>
          <w:szCs w:val="22"/>
          <w:lang w:val="fr-FR"/>
        </w:rPr>
        <w:t xml:space="preserve"> </w:t>
      </w:r>
      <w:r w:rsidRPr="008263AB">
        <w:rPr>
          <w:rFonts w:ascii="Arial" w:eastAsia="SimSun" w:hAnsi="Arial" w:cs="Arial"/>
          <w:sz w:val="22"/>
          <w:szCs w:val="22"/>
          <w:lang w:val="fr-FR"/>
        </w:rPr>
        <w:t>soixante</w:t>
      </w:r>
      <w:r>
        <w:rPr>
          <w:rFonts w:ascii="Arial" w:eastAsia="SimSun" w:hAnsi="Arial" w:cs="Arial"/>
          <w:sz w:val="22"/>
          <w:szCs w:val="22"/>
          <w:lang w:val="fr-FR"/>
        </w:rPr>
        <w:noBreakHyphen/>
      </w:r>
      <w:r w:rsidRPr="008263AB">
        <w:rPr>
          <w:rFonts w:ascii="Arial" w:eastAsia="SimSun" w:hAnsi="Arial" w:cs="Arial"/>
          <w:sz w:val="22"/>
          <w:szCs w:val="22"/>
          <w:lang w:val="fr-FR"/>
        </w:rPr>
        <w:t>sept sur la Liste représentative. Le Comité a</w:t>
      </w:r>
      <w:r>
        <w:rPr>
          <w:rFonts w:ascii="Arial" w:eastAsia="SimSun" w:hAnsi="Arial" w:cs="Arial"/>
          <w:sz w:val="22"/>
          <w:szCs w:val="22"/>
          <w:lang w:val="fr-FR"/>
        </w:rPr>
        <w:t>vait</w:t>
      </w:r>
      <w:r w:rsidRPr="008263AB">
        <w:rPr>
          <w:rFonts w:ascii="Arial" w:eastAsia="SimSun" w:hAnsi="Arial" w:cs="Arial"/>
          <w:sz w:val="22"/>
          <w:szCs w:val="22"/>
          <w:lang w:val="fr-FR"/>
        </w:rPr>
        <w:t xml:space="preserve"> également sélectionné sept </w:t>
      </w:r>
      <w:r>
        <w:rPr>
          <w:rFonts w:ascii="Arial" w:eastAsia="SimSun" w:hAnsi="Arial" w:cs="Arial"/>
          <w:sz w:val="22"/>
          <w:szCs w:val="22"/>
          <w:lang w:val="fr-FR"/>
        </w:rPr>
        <w:t>b</w:t>
      </w:r>
      <w:r w:rsidRPr="008263AB">
        <w:rPr>
          <w:rFonts w:ascii="Arial" w:eastAsia="SimSun" w:hAnsi="Arial" w:cs="Arial"/>
          <w:sz w:val="22"/>
          <w:szCs w:val="22"/>
          <w:lang w:val="fr-FR"/>
        </w:rPr>
        <w:t xml:space="preserve">onnes </w:t>
      </w:r>
      <w:r>
        <w:rPr>
          <w:rFonts w:ascii="Arial" w:eastAsia="SimSun" w:hAnsi="Arial" w:cs="Arial"/>
          <w:sz w:val="22"/>
          <w:szCs w:val="22"/>
          <w:lang w:val="fr-FR"/>
        </w:rPr>
        <w:t>p</w:t>
      </w:r>
      <w:r w:rsidRPr="008263AB">
        <w:rPr>
          <w:rFonts w:ascii="Arial" w:eastAsia="SimSun" w:hAnsi="Arial" w:cs="Arial"/>
          <w:sz w:val="22"/>
          <w:szCs w:val="22"/>
          <w:lang w:val="fr-FR"/>
        </w:rPr>
        <w:t xml:space="preserve">ratiques de </w:t>
      </w:r>
      <w:r>
        <w:rPr>
          <w:rFonts w:ascii="Arial" w:eastAsia="SimSun" w:hAnsi="Arial" w:cs="Arial"/>
          <w:sz w:val="22"/>
          <w:szCs w:val="22"/>
          <w:lang w:val="fr-FR"/>
        </w:rPr>
        <w:t>s</w:t>
      </w:r>
      <w:r w:rsidRPr="008263AB">
        <w:rPr>
          <w:rFonts w:ascii="Arial" w:eastAsia="SimSun" w:hAnsi="Arial" w:cs="Arial"/>
          <w:sz w:val="22"/>
          <w:szCs w:val="22"/>
          <w:lang w:val="fr-FR"/>
        </w:rPr>
        <w:t>auvegarde. En outre, quinze des vingt demandes d</w:t>
      </w:r>
      <w:r w:rsidR="008E532B">
        <w:rPr>
          <w:rFonts w:ascii="Arial" w:eastAsia="SimSun" w:hAnsi="Arial" w:cs="Arial"/>
          <w:sz w:val="22"/>
          <w:szCs w:val="22"/>
          <w:lang w:val="fr-FR"/>
        </w:rPr>
        <w:t>’</w:t>
      </w:r>
      <w:r w:rsidRPr="008263AB">
        <w:rPr>
          <w:rFonts w:ascii="Arial" w:eastAsia="SimSun" w:hAnsi="Arial" w:cs="Arial"/>
          <w:sz w:val="22"/>
          <w:szCs w:val="22"/>
          <w:lang w:val="fr-FR"/>
        </w:rPr>
        <w:t>assistance internationale a</w:t>
      </w:r>
      <w:r>
        <w:rPr>
          <w:rFonts w:ascii="Arial" w:eastAsia="SimSun" w:hAnsi="Arial" w:cs="Arial"/>
          <w:sz w:val="22"/>
          <w:szCs w:val="22"/>
          <w:lang w:val="fr-FR"/>
        </w:rPr>
        <w:t>vaient</w:t>
      </w:r>
      <w:r w:rsidRPr="008263AB">
        <w:rPr>
          <w:rFonts w:ascii="Arial" w:eastAsia="SimSun" w:hAnsi="Arial" w:cs="Arial"/>
          <w:sz w:val="22"/>
          <w:szCs w:val="22"/>
          <w:lang w:val="fr-FR"/>
        </w:rPr>
        <w:t xml:space="preserve"> été approuvé</w:t>
      </w:r>
      <w:r>
        <w:rPr>
          <w:rFonts w:ascii="Arial" w:eastAsia="SimSun" w:hAnsi="Arial" w:cs="Arial"/>
          <w:sz w:val="22"/>
          <w:szCs w:val="22"/>
          <w:lang w:val="fr-FR"/>
        </w:rPr>
        <w:t>es</w:t>
      </w:r>
      <w:r w:rsidRPr="008263AB">
        <w:rPr>
          <w:rFonts w:ascii="Arial" w:eastAsia="SimSun" w:hAnsi="Arial" w:cs="Arial"/>
          <w:sz w:val="22"/>
          <w:szCs w:val="22"/>
          <w:lang w:val="fr-FR"/>
        </w:rPr>
        <w:t xml:space="preserve"> par le Comité et par le Bureau (pour les demandes supérieures à 100</w:t>
      </w:r>
      <w:r>
        <w:rPr>
          <w:rFonts w:ascii="Arial" w:eastAsia="SimSun" w:hAnsi="Arial" w:cs="Arial"/>
          <w:sz w:val="22"/>
          <w:szCs w:val="22"/>
          <w:lang w:val="fr-FR"/>
        </w:rPr>
        <w:t> </w:t>
      </w:r>
      <w:r w:rsidRPr="008263AB">
        <w:rPr>
          <w:rFonts w:ascii="Arial" w:eastAsia="SimSun" w:hAnsi="Arial" w:cs="Arial"/>
          <w:sz w:val="22"/>
          <w:szCs w:val="22"/>
          <w:lang w:val="fr-FR"/>
        </w:rPr>
        <w:t>000</w:t>
      </w:r>
      <w:r>
        <w:rPr>
          <w:rFonts w:ascii="Arial" w:eastAsia="SimSun" w:hAnsi="Arial" w:cs="Arial"/>
          <w:sz w:val="22"/>
          <w:szCs w:val="22"/>
          <w:lang w:val="fr-FR"/>
        </w:rPr>
        <w:t> </w:t>
      </w:r>
      <w:r w:rsidRPr="00782DAA">
        <w:rPr>
          <w:rFonts w:ascii="Arial" w:eastAsia="SimSun" w:hAnsi="Arial" w:cs="Arial"/>
          <w:sz w:val="22"/>
          <w:szCs w:val="22"/>
          <w:lang w:val="fr-FR"/>
        </w:rPr>
        <w:t>dollars des États</w:t>
      </w:r>
      <w:r>
        <w:rPr>
          <w:rFonts w:ascii="Arial" w:eastAsia="SimSun" w:hAnsi="Arial" w:cs="Arial"/>
          <w:sz w:val="22"/>
          <w:szCs w:val="22"/>
          <w:lang w:val="fr-FR"/>
        </w:rPr>
        <w:noBreakHyphen/>
      </w:r>
      <w:r w:rsidRPr="00782DAA">
        <w:rPr>
          <w:rFonts w:ascii="Arial" w:eastAsia="SimSun" w:hAnsi="Arial" w:cs="Arial"/>
          <w:sz w:val="22"/>
          <w:szCs w:val="22"/>
          <w:lang w:val="fr-FR"/>
        </w:rPr>
        <w:t>Unis</w:t>
      </w:r>
      <w:r w:rsidRPr="008263AB">
        <w:rPr>
          <w:rFonts w:ascii="Arial" w:eastAsia="SimSun" w:hAnsi="Arial" w:cs="Arial"/>
          <w:sz w:val="22"/>
          <w:szCs w:val="22"/>
          <w:lang w:val="fr-FR"/>
        </w:rPr>
        <w:t>). Le montant total approuvé s</w:t>
      </w:r>
      <w:r w:rsidR="008E532B">
        <w:rPr>
          <w:rFonts w:ascii="Arial" w:eastAsia="SimSun" w:hAnsi="Arial" w:cs="Arial"/>
          <w:sz w:val="22"/>
          <w:szCs w:val="22"/>
          <w:lang w:val="fr-FR"/>
        </w:rPr>
        <w:t>’</w:t>
      </w:r>
      <w:r>
        <w:rPr>
          <w:rFonts w:ascii="Arial" w:eastAsia="SimSun" w:hAnsi="Arial" w:cs="Arial"/>
          <w:sz w:val="22"/>
          <w:szCs w:val="22"/>
          <w:lang w:val="fr-FR"/>
        </w:rPr>
        <w:t>élevait</w:t>
      </w:r>
      <w:r w:rsidRPr="008263AB">
        <w:rPr>
          <w:rFonts w:ascii="Arial" w:eastAsia="SimSun" w:hAnsi="Arial" w:cs="Arial"/>
          <w:sz w:val="22"/>
          <w:szCs w:val="22"/>
          <w:lang w:val="fr-FR"/>
        </w:rPr>
        <w:t xml:space="preserve"> à 1</w:t>
      </w:r>
      <w:r>
        <w:rPr>
          <w:rFonts w:ascii="Arial" w:eastAsia="SimSun" w:hAnsi="Arial" w:cs="Arial"/>
          <w:sz w:val="22"/>
          <w:szCs w:val="22"/>
          <w:lang w:val="fr-FR"/>
        </w:rPr>
        <w:t> </w:t>
      </w:r>
      <w:r w:rsidRPr="008263AB">
        <w:rPr>
          <w:rFonts w:ascii="Arial" w:eastAsia="SimSun" w:hAnsi="Arial" w:cs="Arial"/>
          <w:sz w:val="22"/>
          <w:szCs w:val="22"/>
          <w:lang w:val="fr-FR"/>
        </w:rPr>
        <w:t>659</w:t>
      </w:r>
      <w:r>
        <w:rPr>
          <w:rFonts w:ascii="Arial" w:eastAsia="SimSun" w:hAnsi="Arial" w:cs="Arial"/>
          <w:sz w:val="22"/>
          <w:szCs w:val="22"/>
          <w:lang w:val="fr-FR"/>
        </w:rPr>
        <w:t> </w:t>
      </w:r>
      <w:r w:rsidRPr="008263AB">
        <w:rPr>
          <w:rFonts w:ascii="Arial" w:eastAsia="SimSun" w:hAnsi="Arial" w:cs="Arial"/>
          <w:sz w:val="22"/>
          <w:szCs w:val="22"/>
          <w:lang w:val="fr-FR"/>
        </w:rPr>
        <w:t>443</w:t>
      </w:r>
      <w:r>
        <w:rPr>
          <w:rFonts w:ascii="Arial" w:eastAsia="SimSun" w:hAnsi="Arial" w:cs="Arial"/>
          <w:sz w:val="22"/>
          <w:szCs w:val="22"/>
          <w:lang w:val="fr-FR"/>
        </w:rPr>
        <w:t> </w:t>
      </w:r>
      <w:r w:rsidRPr="00782DAA">
        <w:rPr>
          <w:rFonts w:ascii="Arial" w:eastAsia="SimSun" w:hAnsi="Arial" w:cs="Arial"/>
          <w:sz w:val="22"/>
          <w:szCs w:val="22"/>
          <w:lang w:val="fr-FR"/>
        </w:rPr>
        <w:t>dollars des États</w:t>
      </w:r>
      <w:r>
        <w:rPr>
          <w:rFonts w:ascii="Arial" w:eastAsia="SimSun" w:hAnsi="Arial" w:cs="Arial"/>
          <w:sz w:val="22"/>
          <w:szCs w:val="22"/>
          <w:lang w:val="fr-FR"/>
        </w:rPr>
        <w:noBreakHyphen/>
      </w:r>
      <w:r w:rsidRPr="00782DAA">
        <w:rPr>
          <w:rFonts w:ascii="Arial" w:eastAsia="SimSun" w:hAnsi="Arial" w:cs="Arial"/>
          <w:sz w:val="22"/>
          <w:szCs w:val="22"/>
          <w:lang w:val="fr-FR"/>
        </w:rPr>
        <w:t>Unis</w:t>
      </w:r>
      <w:r>
        <w:rPr>
          <w:rFonts w:ascii="Arial" w:eastAsia="SimSun" w:hAnsi="Arial" w:cs="Arial"/>
          <w:sz w:val="22"/>
          <w:szCs w:val="22"/>
          <w:lang w:val="fr-FR"/>
        </w:rPr>
        <w:t>.</w:t>
      </w:r>
    </w:p>
    <w:p w14:paraId="09875AE8" w14:textId="388BF06D" w:rsidR="00D9653F" w:rsidRPr="00AA0D0C"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782DAA">
        <w:rPr>
          <w:rFonts w:ascii="Arial" w:eastAsia="SimSun" w:hAnsi="Arial" w:cs="Arial"/>
          <w:sz w:val="22"/>
          <w:szCs w:val="22"/>
          <w:lang w:val="fr-FR"/>
        </w:rPr>
        <w:t xml:space="preserve">La </w:t>
      </w:r>
      <w:r w:rsidRPr="00782DAA">
        <w:rPr>
          <w:rFonts w:ascii="Arial" w:eastAsia="SimSun" w:hAnsi="Arial" w:cs="Arial"/>
          <w:b/>
          <w:bCs/>
          <w:sz w:val="22"/>
          <w:szCs w:val="22"/>
          <w:lang w:val="fr-FR"/>
        </w:rPr>
        <w:t>Présidente</w:t>
      </w:r>
      <w:r w:rsidRPr="00782DAA">
        <w:rPr>
          <w:rFonts w:ascii="Arial" w:eastAsia="SimSun" w:hAnsi="Arial" w:cs="Arial"/>
          <w:sz w:val="22"/>
          <w:szCs w:val="22"/>
          <w:lang w:val="fr-FR"/>
        </w:rPr>
        <w:t xml:space="preserve"> a félicité le Comité d</w:t>
      </w:r>
      <w:r w:rsidR="008E532B">
        <w:rPr>
          <w:rFonts w:ascii="Arial" w:eastAsia="SimSun" w:hAnsi="Arial" w:cs="Arial"/>
          <w:sz w:val="22"/>
          <w:szCs w:val="22"/>
          <w:lang w:val="fr-FR"/>
        </w:rPr>
        <w:t>’</w:t>
      </w:r>
      <w:r w:rsidRPr="00782DAA">
        <w:rPr>
          <w:rFonts w:ascii="Arial" w:eastAsia="SimSun" w:hAnsi="Arial" w:cs="Arial"/>
          <w:sz w:val="22"/>
          <w:szCs w:val="22"/>
          <w:lang w:val="fr-FR"/>
        </w:rPr>
        <w:t>avoir accompli un nombre considérable de tâches et de l</w:t>
      </w:r>
      <w:r w:rsidR="008E532B">
        <w:rPr>
          <w:rFonts w:ascii="Arial" w:eastAsia="SimSun" w:hAnsi="Arial" w:cs="Arial"/>
          <w:sz w:val="22"/>
          <w:szCs w:val="22"/>
          <w:lang w:val="fr-FR"/>
        </w:rPr>
        <w:t>’</w:t>
      </w:r>
      <w:r w:rsidRPr="00782DAA">
        <w:rPr>
          <w:rFonts w:ascii="Arial" w:eastAsia="SimSun" w:hAnsi="Arial" w:cs="Arial"/>
          <w:sz w:val="22"/>
          <w:szCs w:val="22"/>
          <w:lang w:val="fr-FR"/>
        </w:rPr>
        <w:t xml:space="preserve">avoir fait dans le difficile </w:t>
      </w:r>
      <w:r>
        <w:rPr>
          <w:rFonts w:ascii="Arial" w:eastAsia="SimSun" w:hAnsi="Arial" w:cs="Arial"/>
          <w:sz w:val="22"/>
          <w:szCs w:val="22"/>
          <w:lang w:val="fr-FR"/>
        </w:rPr>
        <w:t xml:space="preserve">contexte </w:t>
      </w:r>
      <w:r w:rsidRPr="00782DAA">
        <w:rPr>
          <w:rFonts w:ascii="Arial" w:eastAsia="SimSun" w:hAnsi="Arial" w:cs="Arial"/>
          <w:sz w:val="22"/>
          <w:szCs w:val="22"/>
          <w:lang w:val="fr-FR"/>
        </w:rPr>
        <w:t>de la pandémie de COVID</w:t>
      </w:r>
      <w:r>
        <w:rPr>
          <w:rFonts w:ascii="Arial" w:eastAsia="SimSun" w:hAnsi="Arial" w:cs="Arial"/>
          <w:sz w:val="22"/>
          <w:szCs w:val="22"/>
          <w:lang w:val="fr-FR"/>
        </w:rPr>
        <w:noBreakHyphen/>
      </w:r>
      <w:r w:rsidRPr="00782DAA">
        <w:rPr>
          <w:rFonts w:ascii="Arial" w:eastAsia="SimSun" w:hAnsi="Arial" w:cs="Arial"/>
          <w:sz w:val="22"/>
          <w:szCs w:val="22"/>
          <w:lang w:val="fr-FR"/>
        </w:rPr>
        <w:t xml:space="preserve">19. Elle a </w:t>
      </w:r>
      <w:r>
        <w:rPr>
          <w:rFonts w:ascii="Arial" w:eastAsia="SimSun" w:hAnsi="Arial" w:cs="Arial"/>
          <w:sz w:val="22"/>
          <w:szCs w:val="22"/>
          <w:lang w:val="fr-FR"/>
        </w:rPr>
        <w:t>souligné</w:t>
      </w:r>
      <w:r w:rsidRPr="00782DAA">
        <w:rPr>
          <w:rFonts w:ascii="Arial" w:eastAsia="SimSun" w:hAnsi="Arial" w:cs="Arial"/>
          <w:sz w:val="22"/>
          <w:szCs w:val="22"/>
          <w:lang w:val="fr-FR"/>
        </w:rPr>
        <w:t xml:space="preserve"> la flexibilité du Comité</w:t>
      </w:r>
      <w:r>
        <w:rPr>
          <w:rFonts w:ascii="Arial" w:eastAsia="SimSun" w:hAnsi="Arial" w:cs="Arial"/>
          <w:sz w:val="22"/>
          <w:szCs w:val="22"/>
          <w:lang w:val="fr-FR"/>
        </w:rPr>
        <w:t>,</w:t>
      </w:r>
      <w:r w:rsidRPr="00782DAA">
        <w:rPr>
          <w:rFonts w:ascii="Arial" w:eastAsia="SimSun" w:hAnsi="Arial" w:cs="Arial"/>
          <w:sz w:val="22"/>
          <w:szCs w:val="22"/>
          <w:lang w:val="fr-FR"/>
        </w:rPr>
        <w:t xml:space="preserve"> </w:t>
      </w:r>
      <w:r>
        <w:rPr>
          <w:rFonts w:ascii="Arial" w:eastAsia="SimSun" w:hAnsi="Arial" w:cs="Arial"/>
          <w:sz w:val="22"/>
          <w:szCs w:val="22"/>
          <w:lang w:val="fr-FR"/>
        </w:rPr>
        <w:t xml:space="preserve">qui lui avait permis de </w:t>
      </w:r>
      <w:r w:rsidRPr="00782DAA">
        <w:rPr>
          <w:rFonts w:ascii="Arial" w:eastAsia="SimSun" w:hAnsi="Arial" w:cs="Arial"/>
          <w:sz w:val="22"/>
          <w:szCs w:val="22"/>
          <w:lang w:val="fr-FR"/>
        </w:rPr>
        <w:t xml:space="preserve">travailler </w:t>
      </w:r>
      <w:r>
        <w:rPr>
          <w:rFonts w:ascii="Arial" w:eastAsia="SimSun" w:hAnsi="Arial" w:cs="Arial"/>
          <w:sz w:val="22"/>
          <w:szCs w:val="22"/>
          <w:lang w:val="fr-FR"/>
        </w:rPr>
        <w:t>d</w:t>
      </w:r>
      <w:r w:rsidR="008E532B">
        <w:rPr>
          <w:rFonts w:ascii="Arial" w:eastAsia="SimSun" w:hAnsi="Arial" w:cs="Arial"/>
          <w:sz w:val="22"/>
          <w:szCs w:val="22"/>
          <w:lang w:val="fr-FR"/>
        </w:rPr>
        <w:t>’</w:t>
      </w:r>
      <w:r>
        <w:rPr>
          <w:rFonts w:ascii="Arial" w:eastAsia="SimSun" w:hAnsi="Arial" w:cs="Arial"/>
          <w:sz w:val="22"/>
          <w:szCs w:val="22"/>
          <w:lang w:val="fr-FR"/>
        </w:rPr>
        <w:t>une manière nouvelle,</w:t>
      </w:r>
      <w:r w:rsidRPr="00AA0D0C">
        <w:rPr>
          <w:rFonts w:ascii="Arial" w:eastAsia="SimSun" w:hAnsi="Arial" w:cs="Arial"/>
          <w:sz w:val="22"/>
          <w:szCs w:val="22"/>
          <w:lang w:val="fr-FR"/>
        </w:rPr>
        <w:t xml:space="preserve"> ainsi que l</w:t>
      </w:r>
      <w:r w:rsidR="008E532B">
        <w:rPr>
          <w:rFonts w:ascii="Arial" w:eastAsia="SimSun" w:hAnsi="Arial" w:cs="Arial"/>
          <w:sz w:val="22"/>
          <w:szCs w:val="22"/>
          <w:lang w:val="fr-FR"/>
        </w:rPr>
        <w:t>’</w:t>
      </w:r>
      <w:r w:rsidRPr="00AA0D0C">
        <w:rPr>
          <w:rFonts w:ascii="Arial" w:eastAsia="SimSun" w:hAnsi="Arial" w:cs="Arial"/>
          <w:sz w:val="22"/>
          <w:szCs w:val="22"/>
          <w:lang w:val="fr-FR"/>
        </w:rPr>
        <w:t xml:space="preserve">engagement </w:t>
      </w:r>
      <w:r>
        <w:rPr>
          <w:rFonts w:ascii="Arial" w:eastAsia="SimSun" w:hAnsi="Arial" w:cs="Arial"/>
          <w:sz w:val="22"/>
          <w:szCs w:val="22"/>
          <w:lang w:val="fr-FR"/>
        </w:rPr>
        <w:t xml:space="preserve">dont avaient fait preuve </w:t>
      </w:r>
      <w:r w:rsidRPr="00AA0D0C">
        <w:rPr>
          <w:rFonts w:ascii="Arial" w:eastAsia="SimSun" w:hAnsi="Arial" w:cs="Arial"/>
          <w:sz w:val="22"/>
          <w:szCs w:val="22"/>
          <w:lang w:val="fr-FR"/>
        </w:rPr>
        <w:t xml:space="preserve">les États parties </w:t>
      </w:r>
      <w:r>
        <w:rPr>
          <w:rFonts w:ascii="Arial" w:eastAsia="SimSun" w:hAnsi="Arial" w:cs="Arial"/>
          <w:sz w:val="22"/>
          <w:szCs w:val="22"/>
          <w:lang w:val="fr-FR"/>
        </w:rPr>
        <w:t>avec</w:t>
      </w:r>
      <w:r w:rsidRPr="00AA0D0C">
        <w:rPr>
          <w:rFonts w:ascii="Arial" w:eastAsia="SimSun" w:hAnsi="Arial" w:cs="Arial"/>
          <w:sz w:val="22"/>
          <w:szCs w:val="22"/>
          <w:lang w:val="fr-FR"/>
        </w:rPr>
        <w:t xml:space="preserve"> l</w:t>
      </w:r>
      <w:r w:rsidR="008E532B">
        <w:rPr>
          <w:rFonts w:ascii="Arial" w:eastAsia="SimSun" w:hAnsi="Arial" w:cs="Arial"/>
          <w:sz w:val="22"/>
          <w:szCs w:val="22"/>
          <w:lang w:val="fr-FR"/>
        </w:rPr>
        <w:t>’</w:t>
      </w:r>
      <w:r>
        <w:rPr>
          <w:rFonts w:ascii="Arial" w:eastAsia="SimSun" w:hAnsi="Arial" w:cs="Arial"/>
          <w:sz w:val="22"/>
          <w:szCs w:val="22"/>
          <w:lang w:val="fr-FR"/>
        </w:rPr>
        <w:t>organisation réussie d</w:t>
      </w:r>
      <w:r w:rsidRPr="00AA0D0C">
        <w:rPr>
          <w:rFonts w:ascii="Arial" w:eastAsia="SimSun" w:hAnsi="Arial" w:cs="Arial"/>
          <w:sz w:val="22"/>
          <w:szCs w:val="22"/>
          <w:lang w:val="fr-FR"/>
        </w:rPr>
        <w:t>es deux sessions en ligne.</w:t>
      </w:r>
    </w:p>
    <w:p w14:paraId="28B731DA" w14:textId="686552F9" w:rsidR="00D9653F" w:rsidRPr="00AA0D0C"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AA0D0C">
        <w:rPr>
          <w:rFonts w:ascii="Arial" w:eastAsia="SimSun" w:hAnsi="Arial" w:cs="Arial"/>
          <w:sz w:val="22"/>
          <w:szCs w:val="22"/>
          <w:lang w:val="fr-FR"/>
        </w:rPr>
        <w:t xml:space="preserve">La délégation des </w:t>
      </w:r>
      <w:r w:rsidRPr="000029CD">
        <w:rPr>
          <w:rFonts w:ascii="Arial" w:eastAsia="SimSun" w:hAnsi="Arial" w:cs="Arial"/>
          <w:b/>
          <w:bCs/>
          <w:sz w:val="22"/>
          <w:szCs w:val="22"/>
          <w:lang w:val="fr-FR"/>
        </w:rPr>
        <w:t>Pays</w:t>
      </w:r>
      <w:r w:rsidRPr="000029CD">
        <w:rPr>
          <w:rFonts w:ascii="Arial" w:eastAsia="SimSun" w:hAnsi="Arial" w:cs="Arial"/>
          <w:b/>
          <w:bCs/>
          <w:sz w:val="22"/>
          <w:szCs w:val="22"/>
          <w:lang w:val="fr-FR"/>
        </w:rPr>
        <w:noBreakHyphen/>
        <w:t>Bas</w:t>
      </w:r>
      <w:r w:rsidRPr="00AA0D0C">
        <w:rPr>
          <w:rFonts w:ascii="Arial" w:eastAsia="SimSun" w:hAnsi="Arial" w:cs="Arial"/>
          <w:sz w:val="22"/>
          <w:szCs w:val="22"/>
          <w:lang w:val="fr-FR"/>
        </w:rPr>
        <w:t xml:space="preserve"> a félicité la Présidente pour s</w:t>
      </w:r>
      <w:r>
        <w:rPr>
          <w:rFonts w:ascii="Arial" w:eastAsia="SimSun" w:hAnsi="Arial" w:cs="Arial"/>
          <w:sz w:val="22"/>
          <w:szCs w:val="22"/>
          <w:lang w:val="fr-FR"/>
        </w:rPr>
        <w:t xml:space="preserve">on élection et a </w:t>
      </w:r>
      <w:r w:rsidRPr="00AA0D0C">
        <w:rPr>
          <w:rFonts w:ascii="Arial" w:eastAsia="SimSun" w:hAnsi="Arial" w:cs="Arial"/>
          <w:sz w:val="22"/>
          <w:szCs w:val="22"/>
          <w:lang w:val="fr-FR"/>
        </w:rPr>
        <w:t>remerci</w:t>
      </w:r>
      <w:r>
        <w:rPr>
          <w:rFonts w:ascii="Arial" w:eastAsia="SimSun" w:hAnsi="Arial" w:cs="Arial"/>
          <w:sz w:val="22"/>
          <w:szCs w:val="22"/>
          <w:lang w:val="fr-FR"/>
        </w:rPr>
        <w:t>é</w:t>
      </w:r>
      <w:r w:rsidRPr="00AA0D0C">
        <w:rPr>
          <w:rFonts w:ascii="Arial" w:eastAsia="SimSun" w:hAnsi="Arial" w:cs="Arial"/>
          <w:sz w:val="22"/>
          <w:szCs w:val="22"/>
          <w:lang w:val="fr-FR"/>
        </w:rPr>
        <w:t xml:space="preserve"> le Secrétariat pour la préparation de cette réunion et pour les documents </w:t>
      </w:r>
      <w:r>
        <w:rPr>
          <w:rFonts w:ascii="Arial" w:eastAsia="SimSun" w:hAnsi="Arial" w:cs="Arial"/>
          <w:sz w:val="22"/>
          <w:szCs w:val="22"/>
          <w:lang w:val="fr-FR"/>
        </w:rPr>
        <w:t xml:space="preserve">très </w:t>
      </w:r>
      <w:r w:rsidRPr="00AA0D0C">
        <w:rPr>
          <w:rFonts w:ascii="Arial" w:eastAsia="SimSun" w:hAnsi="Arial" w:cs="Arial"/>
          <w:sz w:val="22"/>
          <w:szCs w:val="22"/>
          <w:lang w:val="fr-FR"/>
        </w:rPr>
        <w:t>clairs. Les Pays</w:t>
      </w:r>
      <w:r>
        <w:rPr>
          <w:rFonts w:ascii="Arial" w:eastAsia="SimSun" w:hAnsi="Arial" w:cs="Arial"/>
          <w:sz w:val="22"/>
          <w:szCs w:val="22"/>
          <w:lang w:val="fr-FR"/>
        </w:rPr>
        <w:noBreakHyphen/>
      </w:r>
      <w:r w:rsidRPr="00AA0D0C">
        <w:rPr>
          <w:rFonts w:ascii="Arial" w:eastAsia="SimSun" w:hAnsi="Arial" w:cs="Arial"/>
          <w:sz w:val="22"/>
          <w:szCs w:val="22"/>
          <w:lang w:val="fr-FR"/>
        </w:rPr>
        <w:t>Bas attach</w:t>
      </w:r>
      <w:r>
        <w:rPr>
          <w:rFonts w:ascii="Arial" w:eastAsia="SimSun" w:hAnsi="Arial" w:cs="Arial"/>
          <w:sz w:val="22"/>
          <w:szCs w:val="22"/>
          <w:lang w:val="fr-FR"/>
        </w:rPr>
        <w:t>ai</w:t>
      </w:r>
      <w:r w:rsidRPr="00AA0D0C">
        <w:rPr>
          <w:rFonts w:ascii="Arial" w:eastAsia="SimSun" w:hAnsi="Arial" w:cs="Arial"/>
          <w:sz w:val="22"/>
          <w:szCs w:val="22"/>
          <w:lang w:val="fr-FR"/>
        </w:rPr>
        <w:t>ent toujours une grande importance au rôle des communautés et au renforcement des capacités, notamment en ce qui concerne le développement durable, l</w:t>
      </w:r>
      <w:r w:rsidR="008E532B">
        <w:rPr>
          <w:rFonts w:ascii="Arial" w:eastAsia="SimSun" w:hAnsi="Arial" w:cs="Arial"/>
          <w:sz w:val="22"/>
          <w:szCs w:val="22"/>
          <w:lang w:val="fr-FR"/>
        </w:rPr>
        <w:t>’</w:t>
      </w:r>
      <w:r w:rsidRPr="00AA0D0C">
        <w:rPr>
          <w:rFonts w:ascii="Arial" w:eastAsia="SimSun" w:hAnsi="Arial" w:cs="Arial"/>
          <w:sz w:val="22"/>
          <w:szCs w:val="22"/>
          <w:lang w:val="fr-FR"/>
        </w:rPr>
        <w:t>éducation formelle et non formelle, et le patrimoine immatériel dans les situations d</w:t>
      </w:r>
      <w:r w:rsidR="008E532B">
        <w:rPr>
          <w:rFonts w:ascii="Arial" w:eastAsia="SimSun" w:hAnsi="Arial" w:cs="Arial"/>
          <w:sz w:val="22"/>
          <w:szCs w:val="22"/>
          <w:lang w:val="fr-FR"/>
        </w:rPr>
        <w:t>’</w:t>
      </w:r>
      <w:r w:rsidRPr="00AA0D0C">
        <w:rPr>
          <w:rFonts w:ascii="Arial" w:eastAsia="SimSun" w:hAnsi="Arial" w:cs="Arial"/>
          <w:sz w:val="22"/>
          <w:szCs w:val="22"/>
          <w:lang w:val="fr-FR"/>
        </w:rPr>
        <w:t xml:space="preserve">urgence, déclarant que le </w:t>
      </w:r>
      <w:r>
        <w:rPr>
          <w:rFonts w:ascii="Arial" w:eastAsia="SimSun" w:hAnsi="Arial" w:cs="Arial"/>
          <w:sz w:val="22"/>
          <w:szCs w:val="22"/>
          <w:lang w:val="fr-FR"/>
        </w:rPr>
        <w:t xml:space="preserve">programme global de </w:t>
      </w:r>
      <w:r w:rsidRPr="00AA0D0C">
        <w:rPr>
          <w:rFonts w:ascii="Arial" w:eastAsia="SimSun" w:hAnsi="Arial" w:cs="Arial"/>
          <w:sz w:val="22"/>
          <w:szCs w:val="22"/>
          <w:lang w:val="fr-FR"/>
        </w:rPr>
        <w:t>renforcement des capacités et les programmes d</w:t>
      </w:r>
      <w:r w:rsidR="008E532B">
        <w:rPr>
          <w:rFonts w:ascii="Arial" w:eastAsia="SimSun" w:hAnsi="Arial" w:cs="Arial"/>
          <w:sz w:val="22"/>
          <w:szCs w:val="22"/>
          <w:lang w:val="fr-FR"/>
        </w:rPr>
        <w:t>’</w:t>
      </w:r>
      <w:r w:rsidRPr="00AA0D0C">
        <w:rPr>
          <w:rFonts w:ascii="Arial" w:eastAsia="SimSun" w:hAnsi="Arial" w:cs="Arial"/>
          <w:sz w:val="22"/>
          <w:szCs w:val="22"/>
          <w:lang w:val="fr-FR"/>
        </w:rPr>
        <w:t>assistance internationale rest</w:t>
      </w:r>
      <w:r>
        <w:rPr>
          <w:rFonts w:ascii="Arial" w:eastAsia="SimSun" w:hAnsi="Arial" w:cs="Arial"/>
          <w:sz w:val="22"/>
          <w:szCs w:val="22"/>
          <w:lang w:val="fr-FR"/>
        </w:rPr>
        <w:t>ai</w:t>
      </w:r>
      <w:r w:rsidRPr="00AA0D0C">
        <w:rPr>
          <w:rFonts w:ascii="Arial" w:eastAsia="SimSun" w:hAnsi="Arial" w:cs="Arial"/>
          <w:sz w:val="22"/>
          <w:szCs w:val="22"/>
          <w:lang w:val="fr-FR"/>
        </w:rPr>
        <w:t xml:space="preserve">ent les instruments les plus importants de la Convention. </w:t>
      </w:r>
      <w:r>
        <w:rPr>
          <w:rFonts w:ascii="Arial" w:eastAsia="SimSun" w:hAnsi="Arial" w:cs="Arial"/>
          <w:sz w:val="22"/>
          <w:szCs w:val="22"/>
          <w:lang w:val="fr-FR"/>
        </w:rPr>
        <w:t>L</w:t>
      </w:r>
      <w:r w:rsidRPr="00AA0D0C">
        <w:rPr>
          <w:rFonts w:ascii="Arial" w:eastAsia="SimSun" w:hAnsi="Arial" w:cs="Arial"/>
          <w:sz w:val="22"/>
          <w:szCs w:val="22"/>
          <w:lang w:val="fr-FR"/>
        </w:rPr>
        <w:t>es Pays</w:t>
      </w:r>
      <w:r>
        <w:rPr>
          <w:rFonts w:ascii="Arial" w:eastAsia="SimSun" w:hAnsi="Arial" w:cs="Arial"/>
          <w:sz w:val="22"/>
          <w:szCs w:val="22"/>
          <w:lang w:val="fr-FR"/>
        </w:rPr>
        <w:noBreakHyphen/>
      </w:r>
      <w:r w:rsidRPr="00AA0D0C">
        <w:rPr>
          <w:rFonts w:ascii="Arial" w:eastAsia="SimSun" w:hAnsi="Arial" w:cs="Arial"/>
          <w:sz w:val="22"/>
          <w:szCs w:val="22"/>
          <w:lang w:val="fr-FR"/>
        </w:rPr>
        <w:t>Bas</w:t>
      </w:r>
      <w:r>
        <w:rPr>
          <w:rFonts w:ascii="Arial" w:eastAsia="SimSun" w:hAnsi="Arial" w:cs="Arial"/>
          <w:sz w:val="22"/>
          <w:szCs w:val="22"/>
          <w:lang w:val="fr-FR"/>
        </w:rPr>
        <w:t>, qui</w:t>
      </w:r>
      <w:r w:rsidRPr="00AA0D0C">
        <w:rPr>
          <w:rFonts w:ascii="Arial" w:eastAsia="SimSun" w:hAnsi="Arial" w:cs="Arial"/>
          <w:sz w:val="22"/>
          <w:szCs w:val="22"/>
          <w:lang w:val="fr-FR"/>
        </w:rPr>
        <w:t xml:space="preserve"> </w:t>
      </w:r>
      <w:r>
        <w:rPr>
          <w:rFonts w:ascii="Arial" w:eastAsia="SimSun" w:hAnsi="Arial" w:cs="Arial"/>
          <w:sz w:val="22"/>
          <w:szCs w:val="22"/>
          <w:lang w:val="fr-FR"/>
        </w:rPr>
        <w:t xml:space="preserve">soutenaient </w:t>
      </w:r>
      <w:r w:rsidRPr="008E2347">
        <w:rPr>
          <w:rFonts w:ascii="Arial" w:eastAsia="SimSun" w:hAnsi="Arial" w:cs="Arial"/>
          <w:color w:val="000000" w:themeColor="text1"/>
          <w:sz w:val="22"/>
          <w:szCs w:val="22"/>
          <w:lang w:val="fr-FR"/>
        </w:rPr>
        <w:t>également</w:t>
      </w:r>
      <w:r>
        <w:rPr>
          <w:rFonts w:ascii="Arial" w:eastAsia="SimSun" w:hAnsi="Arial" w:cs="Arial"/>
          <w:color w:val="000000" w:themeColor="text1"/>
          <w:sz w:val="22"/>
          <w:szCs w:val="22"/>
          <w:lang w:val="fr-FR"/>
        </w:rPr>
        <w:t xml:space="preserve"> </w:t>
      </w:r>
      <w:r>
        <w:rPr>
          <w:rFonts w:ascii="Arial" w:eastAsia="SimSun" w:hAnsi="Arial" w:cs="Arial"/>
          <w:sz w:val="22"/>
          <w:szCs w:val="22"/>
          <w:lang w:val="fr-FR"/>
        </w:rPr>
        <w:t xml:space="preserve">résolument </w:t>
      </w:r>
      <w:r w:rsidRPr="00AA0D0C">
        <w:rPr>
          <w:rFonts w:ascii="Arial" w:eastAsia="SimSun" w:hAnsi="Arial" w:cs="Arial"/>
          <w:sz w:val="22"/>
          <w:szCs w:val="22"/>
          <w:lang w:val="fr-FR"/>
        </w:rPr>
        <w:t xml:space="preserve">le travail précieux </w:t>
      </w:r>
      <w:r>
        <w:rPr>
          <w:rFonts w:ascii="Arial" w:eastAsia="SimSun" w:hAnsi="Arial" w:cs="Arial"/>
          <w:sz w:val="22"/>
          <w:szCs w:val="22"/>
          <w:lang w:val="fr-FR"/>
        </w:rPr>
        <w:t>réalisé par le</w:t>
      </w:r>
      <w:r w:rsidRPr="00AA0D0C">
        <w:rPr>
          <w:rFonts w:ascii="Arial" w:eastAsia="SimSun" w:hAnsi="Arial" w:cs="Arial"/>
          <w:sz w:val="22"/>
          <w:szCs w:val="22"/>
          <w:lang w:val="fr-FR"/>
        </w:rPr>
        <w:t xml:space="preserve"> réseau </w:t>
      </w:r>
      <w:r>
        <w:rPr>
          <w:rFonts w:ascii="Arial" w:eastAsia="SimSun" w:hAnsi="Arial" w:cs="Arial"/>
          <w:sz w:val="22"/>
          <w:szCs w:val="22"/>
          <w:lang w:val="fr-FR"/>
        </w:rPr>
        <w:t xml:space="preserve">global </w:t>
      </w:r>
      <w:r w:rsidRPr="00AA0D0C">
        <w:rPr>
          <w:rFonts w:ascii="Arial" w:eastAsia="SimSun" w:hAnsi="Arial" w:cs="Arial"/>
          <w:sz w:val="22"/>
          <w:szCs w:val="22"/>
          <w:lang w:val="fr-FR"/>
        </w:rPr>
        <w:t>de facilitateurs</w:t>
      </w:r>
      <w:r>
        <w:rPr>
          <w:rStyle w:val="FootnoteReference"/>
          <w:rFonts w:ascii="Arial" w:eastAsia="SimSun" w:hAnsi="Arial" w:cs="Arial"/>
          <w:sz w:val="22"/>
          <w:szCs w:val="22"/>
          <w:lang w:val="fr-FR"/>
        </w:rPr>
        <w:footnoteReference w:id="3"/>
      </w:r>
      <w:r w:rsidRPr="00AA0D0C">
        <w:rPr>
          <w:rFonts w:ascii="Arial" w:eastAsia="SimSun" w:hAnsi="Arial" w:cs="Arial"/>
          <w:sz w:val="22"/>
          <w:szCs w:val="22"/>
          <w:lang w:val="fr-FR"/>
        </w:rPr>
        <w:t xml:space="preserve"> et </w:t>
      </w:r>
      <w:r>
        <w:rPr>
          <w:rFonts w:ascii="Arial" w:eastAsia="SimSun" w:hAnsi="Arial" w:cs="Arial"/>
          <w:sz w:val="22"/>
          <w:szCs w:val="22"/>
          <w:lang w:val="fr-FR"/>
        </w:rPr>
        <w:t>le</w:t>
      </w:r>
      <w:r w:rsidRPr="00AA0D0C">
        <w:rPr>
          <w:rFonts w:ascii="Arial" w:eastAsia="SimSun" w:hAnsi="Arial" w:cs="Arial"/>
          <w:sz w:val="22"/>
          <w:szCs w:val="22"/>
          <w:lang w:val="fr-FR"/>
        </w:rPr>
        <w:t xml:space="preserve"> Forum des ONG</w:t>
      </w:r>
      <w:r>
        <w:rPr>
          <w:rFonts w:ascii="Arial" w:eastAsia="SimSun" w:hAnsi="Arial" w:cs="Arial"/>
          <w:sz w:val="22"/>
          <w:szCs w:val="22"/>
          <w:lang w:val="fr-FR"/>
        </w:rPr>
        <w:t xml:space="preserve">, ont appelé </w:t>
      </w:r>
      <w:r w:rsidRPr="00AA0D0C">
        <w:rPr>
          <w:rFonts w:ascii="Arial" w:eastAsia="SimSun" w:hAnsi="Arial" w:cs="Arial"/>
          <w:sz w:val="22"/>
          <w:szCs w:val="22"/>
          <w:lang w:val="fr-FR"/>
        </w:rPr>
        <w:t>à mettre davantage l</w:t>
      </w:r>
      <w:r w:rsidR="008E532B">
        <w:rPr>
          <w:rFonts w:ascii="Arial" w:eastAsia="SimSun" w:hAnsi="Arial" w:cs="Arial"/>
          <w:sz w:val="22"/>
          <w:szCs w:val="22"/>
          <w:lang w:val="fr-FR"/>
        </w:rPr>
        <w:t>’</w:t>
      </w:r>
      <w:r w:rsidRPr="00AA0D0C">
        <w:rPr>
          <w:rFonts w:ascii="Arial" w:eastAsia="SimSun" w:hAnsi="Arial" w:cs="Arial"/>
          <w:sz w:val="22"/>
          <w:szCs w:val="22"/>
          <w:lang w:val="fr-FR"/>
        </w:rPr>
        <w:t xml:space="preserve">accent sur ces </w:t>
      </w:r>
      <w:r>
        <w:rPr>
          <w:rFonts w:ascii="Arial" w:eastAsia="SimSun" w:hAnsi="Arial" w:cs="Arial"/>
          <w:sz w:val="22"/>
          <w:szCs w:val="22"/>
          <w:lang w:val="fr-FR"/>
        </w:rPr>
        <w:t xml:space="preserve">aspects </w:t>
      </w:r>
      <w:r w:rsidRPr="00AA0D0C">
        <w:rPr>
          <w:rFonts w:ascii="Arial" w:eastAsia="SimSun" w:hAnsi="Arial" w:cs="Arial"/>
          <w:sz w:val="22"/>
          <w:szCs w:val="22"/>
          <w:lang w:val="fr-FR"/>
        </w:rPr>
        <w:t xml:space="preserve">de la Convention. </w:t>
      </w:r>
      <w:r>
        <w:rPr>
          <w:rFonts w:ascii="Arial" w:eastAsia="SimSun" w:hAnsi="Arial" w:cs="Arial"/>
          <w:sz w:val="22"/>
          <w:szCs w:val="22"/>
          <w:lang w:val="fr-FR"/>
        </w:rPr>
        <w:t>En outre, i</w:t>
      </w:r>
      <w:r w:rsidRPr="00AA0D0C">
        <w:rPr>
          <w:rFonts w:ascii="Arial" w:eastAsia="SimSun" w:hAnsi="Arial" w:cs="Arial"/>
          <w:sz w:val="22"/>
          <w:szCs w:val="22"/>
          <w:lang w:val="fr-FR"/>
        </w:rPr>
        <w:t xml:space="preserve">ls </w:t>
      </w:r>
      <w:r>
        <w:rPr>
          <w:rFonts w:ascii="Arial" w:eastAsia="SimSun" w:hAnsi="Arial" w:cs="Arial"/>
          <w:sz w:val="22"/>
          <w:szCs w:val="22"/>
          <w:lang w:val="fr-FR"/>
        </w:rPr>
        <w:t xml:space="preserve">soutenaient </w:t>
      </w:r>
      <w:r w:rsidRPr="00AA0D0C">
        <w:rPr>
          <w:rFonts w:ascii="Arial" w:eastAsia="SimSun" w:hAnsi="Arial" w:cs="Arial"/>
          <w:sz w:val="22"/>
          <w:szCs w:val="22"/>
          <w:lang w:val="fr-FR"/>
        </w:rPr>
        <w:t xml:space="preserve">pleinement le repositionnement stratégique du programme </w:t>
      </w:r>
      <w:r>
        <w:rPr>
          <w:rFonts w:ascii="Arial" w:eastAsia="SimSun" w:hAnsi="Arial" w:cs="Arial"/>
          <w:sz w:val="22"/>
          <w:szCs w:val="22"/>
          <w:lang w:val="fr-FR"/>
        </w:rPr>
        <w:t xml:space="preserve">global </w:t>
      </w:r>
      <w:r w:rsidRPr="00AA0D0C">
        <w:rPr>
          <w:rFonts w:ascii="Arial" w:eastAsia="SimSun" w:hAnsi="Arial" w:cs="Arial"/>
          <w:sz w:val="22"/>
          <w:szCs w:val="22"/>
          <w:lang w:val="fr-FR"/>
        </w:rPr>
        <w:t>de renforcement des capacités vers une approche multimodale. La délégation a reconnu l</w:t>
      </w:r>
      <w:r w:rsidR="008E532B">
        <w:rPr>
          <w:rFonts w:ascii="Arial" w:eastAsia="SimSun" w:hAnsi="Arial" w:cs="Arial"/>
          <w:sz w:val="22"/>
          <w:szCs w:val="22"/>
          <w:lang w:val="fr-FR"/>
        </w:rPr>
        <w:t>’</w:t>
      </w:r>
      <w:r w:rsidRPr="00AA0D0C">
        <w:rPr>
          <w:rFonts w:ascii="Arial" w:eastAsia="SimSun" w:hAnsi="Arial" w:cs="Arial"/>
          <w:sz w:val="22"/>
          <w:szCs w:val="22"/>
          <w:lang w:val="fr-FR"/>
        </w:rPr>
        <w:t>importance de moyens nouveaux et attrayants pour partager numériquement les connaissances et impliquer les jeunes dans le patrimoine immatériel. Puisque c</w:t>
      </w:r>
      <w:r w:rsidR="008E532B">
        <w:rPr>
          <w:rFonts w:ascii="Arial" w:eastAsia="SimSun" w:hAnsi="Arial" w:cs="Arial"/>
          <w:sz w:val="22"/>
          <w:szCs w:val="22"/>
          <w:lang w:val="fr-FR"/>
        </w:rPr>
        <w:t>’</w:t>
      </w:r>
      <w:r w:rsidRPr="00AA0D0C">
        <w:rPr>
          <w:rFonts w:ascii="Arial" w:eastAsia="SimSun" w:hAnsi="Arial" w:cs="Arial"/>
          <w:sz w:val="22"/>
          <w:szCs w:val="22"/>
          <w:lang w:val="fr-FR"/>
        </w:rPr>
        <w:t xml:space="preserve">était </w:t>
      </w:r>
      <w:r>
        <w:rPr>
          <w:rFonts w:ascii="Arial" w:eastAsia="SimSun" w:hAnsi="Arial" w:cs="Arial"/>
          <w:sz w:val="22"/>
          <w:szCs w:val="22"/>
          <w:lang w:val="fr-FR"/>
        </w:rPr>
        <w:t>leur</w:t>
      </w:r>
      <w:r w:rsidRPr="00AA0D0C">
        <w:rPr>
          <w:rFonts w:ascii="Arial" w:eastAsia="SimSun" w:hAnsi="Arial" w:cs="Arial"/>
          <w:sz w:val="22"/>
          <w:szCs w:val="22"/>
          <w:lang w:val="fr-FR"/>
        </w:rPr>
        <w:t xml:space="preserve"> dernière </w:t>
      </w:r>
      <w:r>
        <w:rPr>
          <w:rFonts w:ascii="Arial" w:eastAsia="SimSun" w:hAnsi="Arial" w:cs="Arial"/>
          <w:sz w:val="22"/>
          <w:szCs w:val="22"/>
          <w:lang w:val="fr-FR"/>
        </w:rPr>
        <w:t>session</w:t>
      </w:r>
      <w:r w:rsidRPr="00AA0D0C">
        <w:rPr>
          <w:rFonts w:ascii="Arial" w:eastAsia="SimSun" w:hAnsi="Arial" w:cs="Arial"/>
          <w:sz w:val="22"/>
          <w:szCs w:val="22"/>
          <w:lang w:val="fr-FR"/>
        </w:rPr>
        <w:t xml:space="preserve"> en tant que membre du Comité, </w:t>
      </w:r>
      <w:r>
        <w:rPr>
          <w:rFonts w:ascii="Arial" w:eastAsia="SimSun" w:hAnsi="Arial" w:cs="Arial"/>
          <w:sz w:val="22"/>
          <w:szCs w:val="22"/>
          <w:lang w:val="fr-FR"/>
        </w:rPr>
        <w:t>ils ont</w:t>
      </w:r>
      <w:r w:rsidRPr="00AA0D0C">
        <w:rPr>
          <w:rFonts w:ascii="Arial" w:eastAsia="SimSun" w:hAnsi="Arial" w:cs="Arial"/>
          <w:sz w:val="22"/>
          <w:szCs w:val="22"/>
          <w:lang w:val="fr-FR"/>
        </w:rPr>
        <w:t xml:space="preserve"> exprimé </w:t>
      </w:r>
      <w:r>
        <w:rPr>
          <w:rFonts w:ascii="Arial" w:eastAsia="SimSun" w:hAnsi="Arial" w:cs="Arial"/>
          <w:sz w:val="22"/>
          <w:szCs w:val="22"/>
          <w:lang w:val="fr-FR"/>
        </w:rPr>
        <w:t>leur</w:t>
      </w:r>
      <w:r w:rsidRPr="00AA0D0C">
        <w:rPr>
          <w:rFonts w:ascii="Arial" w:eastAsia="SimSun" w:hAnsi="Arial" w:cs="Arial"/>
          <w:sz w:val="22"/>
          <w:szCs w:val="22"/>
          <w:lang w:val="fr-FR"/>
        </w:rPr>
        <w:t xml:space="preserve"> </w:t>
      </w:r>
      <w:r>
        <w:rPr>
          <w:rFonts w:ascii="Arial" w:eastAsia="SimSun" w:hAnsi="Arial" w:cs="Arial"/>
          <w:sz w:val="22"/>
          <w:szCs w:val="22"/>
          <w:lang w:val="fr-FR"/>
        </w:rPr>
        <w:t>gratitude</w:t>
      </w:r>
      <w:r w:rsidRPr="00AA0D0C">
        <w:rPr>
          <w:rFonts w:ascii="Arial" w:eastAsia="SimSun" w:hAnsi="Arial" w:cs="Arial"/>
          <w:sz w:val="22"/>
          <w:szCs w:val="22"/>
          <w:lang w:val="fr-FR"/>
        </w:rPr>
        <w:t xml:space="preserve"> pour les discussions fructueuses de ces quatre dernières années et pour les progrès réalisés</w:t>
      </w:r>
      <w:r>
        <w:rPr>
          <w:rFonts w:ascii="Arial" w:eastAsia="SimSun" w:hAnsi="Arial" w:cs="Arial"/>
          <w:sz w:val="22"/>
          <w:szCs w:val="22"/>
          <w:lang w:val="fr-FR"/>
        </w:rPr>
        <w:t xml:space="preserve"> dans la </w:t>
      </w:r>
      <w:r w:rsidRPr="00AA0D0C">
        <w:rPr>
          <w:rFonts w:ascii="Arial" w:eastAsia="SimSun" w:hAnsi="Arial" w:cs="Arial"/>
          <w:sz w:val="22"/>
          <w:szCs w:val="22"/>
          <w:lang w:val="fr-FR"/>
        </w:rPr>
        <w:t>sensibilis</w:t>
      </w:r>
      <w:r>
        <w:rPr>
          <w:rFonts w:ascii="Arial" w:eastAsia="SimSun" w:hAnsi="Arial" w:cs="Arial"/>
          <w:sz w:val="22"/>
          <w:szCs w:val="22"/>
          <w:lang w:val="fr-FR"/>
        </w:rPr>
        <w:t xml:space="preserve">ation </w:t>
      </w:r>
      <w:r w:rsidRPr="00AA0D0C">
        <w:rPr>
          <w:rFonts w:ascii="Arial" w:eastAsia="SimSun" w:hAnsi="Arial" w:cs="Arial"/>
          <w:sz w:val="22"/>
          <w:szCs w:val="22"/>
          <w:lang w:val="fr-FR"/>
        </w:rPr>
        <w:t>à la valeur du patrimoine immatériel pour la paix et la prospérité aux niveaux local, national et mondial.</w:t>
      </w:r>
    </w:p>
    <w:p w14:paraId="17003B2F" w14:textId="4583EA6A" w:rsidR="00D9653F" w:rsidRPr="00EF2B80"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8D4445">
        <w:rPr>
          <w:rFonts w:ascii="Arial" w:eastAsia="SimSun" w:hAnsi="Arial" w:cs="Arial"/>
          <w:sz w:val="22"/>
          <w:szCs w:val="22"/>
          <w:lang w:val="fr-FR"/>
        </w:rPr>
        <w:t xml:space="preserve">La </w:t>
      </w:r>
      <w:r w:rsidRPr="00DB6638">
        <w:rPr>
          <w:rFonts w:ascii="Arial" w:eastAsia="SimSun" w:hAnsi="Arial" w:cs="Arial"/>
          <w:sz w:val="22"/>
          <w:szCs w:val="22"/>
          <w:lang w:val="fr-FR"/>
        </w:rPr>
        <w:t>délégation du</w:t>
      </w:r>
      <w:r w:rsidRPr="008D4445">
        <w:rPr>
          <w:rFonts w:ascii="Arial" w:eastAsia="SimSun" w:hAnsi="Arial" w:cs="Arial"/>
          <w:b/>
          <w:bCs/>
          <w:sz w:val="22"/>
          <w:szCs w:val="22"/>
          <w:lang w:val="fr-FR"/>
        </w:rPr>
        <w:t xml:space="preserve"> Monténégro</w:t>
      </w:r>
      <w:r w:rsidRPr="008D4445">
        <w:rPr>
          <w:rFonts w:ascii="Arial" w:eastAsia="SimSun" w:hAnsi="Arial" w:cs="Arial"/>
          <w:sz w:val="22"/>
          <w:szCs w:val="22"/>
          <w:lang w:val="fr-FR"/>
        </w:rPr>
        <w:t xml:space="preserve"> a félicité la Présidente et les Vice-Président</w:t>
      </w:r>
      <w:r>
        <w:rPr>
          <w:rFonts w:ascii="Arial" w:eastAsia="SimSun" w:hAnsi="Arial" w:cs="Arial"/>
          <w:sz w:val="22"/>
          <w:szCs w:val="22"/>
          <w:lang w:val="fr-FR"/>
        </w:rPr>
        <w:t>(e)</w:t>
      </w:r>
      <w:r w:rsidRPr="008D4445">
        <w:rPr>
          <w:rFonts w:ascii="Arial" w:eastAsia="SimSun" w:hAnsi="Arial" w:cs="Arial"/>
          <w:sz w:val="22"/>
          <w:szCs w:val="22"/>
          <w:lang w:val="fr-FR"/>
        </w:rPr>
        <w:t>s pour leur élection. Au nom de l</w:t>
      </w:r>
      <w:r w:rsidR="008E532B">
        <w:rPr>
          <w:rFonts w:ascii="Arial" w:eastAsia="SimSun" w:hAnsi="Arial" w:cs="Arial"/>
          <w:sz w:val="22"/>
          <w:szCs w:val="22"/>
          <w:lang w:val="fr-FR"/>
        </w:rPr>
        <w:t>’</w:t>
      </w:r>
      <w:r w:rsidRPr="008D4445">
        <w:rPr>
          <w:rFonts w:ascii="Arial" w:eastAsia="SimSun" w:hAnsi="Arial" w:cs="Arial"/>
          <w:sz w:val="22"/>
          <w:szCs w:val="22"/>
          <w:lang w:val="fr-FR"/>
        </w:rPr>
        <w:t>Allemagne, de l</w:t>
      </w:r>
      <w:r w:rsidR="008E532B">
        <w:rPr>
          <w:rFonts w:ascii="Arial" w:eastAsia="SimSun" w:hAnsi="Arial" w:cs="Arial"/>
          <w:sz w:val="22"/>
          <w:szCs w:val="22"/>
          <w:lang w:val="fr-FR"/>
        </w:rPr>
        <w:t>’</w:t>
      </w:r>
      <w:r w:rsidRPr="008D4445">
        <w:rPr>
          <w:rFonts w:ascii="Arial" w:eastAsia="SimSun" w:hAnsi="Arial" w:cs="Arial"/>
          <w:sz w:val="22"/>
          <w:szCs w:val="22"/>
          <w:lang w:val="fr-FR"/>
        </w:rPr>
        <w:t>Autriche, de la Belgique, de la Bulgarie, de Chypre, de la Croatie, du Danemark, de l</w:t>
      </w:r>
      <w:r w:rsidR="008E532B">
        <w:rPr>
          <w:rFonts w:ascii="Arial" w:eastAsia="SimSun" w:hAnsi="Arial" w:cs="Arial"/>
          <w:sz w:val="22"/>
          <w:szCs w:val="22"/>
          <w:lang w:val="fr-FR"/>
        </w:rPr>
        <w:t>’</w:t>
      </w:r>
      <w:r w:rsidRPr="008D4445">
        <w:rPr>
          <w:rFonts w:ascii="Arial" w:eastAsia="SimSun" w:hAnsi="Arial" w:cs="Arial"/>
          <w:sz w:val="22"/>
          <w:szCs w:val="22"/>
          <w:lang w:val="fr-FR"/>
        </w:rPr>
        <w:t>Espagne, de l</w:t>
      </w:r>
      <w:r w:rsidR="008E532B">
        <w:rPr>
          <w:rFonts w:ascii="Arial" w:eastAsia="SimSun" w:hAnsi="Arial" w:cs="Arial"/>
          <w:sz w:val="22"/>
          <w:szCs w:val="22"/>
          <w:lang w:val="fr-FR"/>
        </w:rPr>
        <w:t>’</w:t>
      </w:r>
      <w:r w:rsidRPr="008D4445">
        <w:rPr>
          <w:rFonts w:ascii="Arial" w:eastAsia="SimSun" w:hAnsi="Arial" w:cs="Arial"/>
          <w:sz w:val="22"/>
          <w:szCs w:val="22"/>
          <w:lang w:val="fr-FR"/>
        </w:rPr>
        <w:t>Estonie, de la Finlande, de la France, de la Grèce, de la Hongrie, de l</w:t>
      </w:r>
      <w:r w:rsidR="008E532B">
        <w:rPr>
          <w:rFonts w:ascii="Arial" w:eastAsia="SimSun" w:hAnsi="Arial" w:cs="Arial"/>
          <w:sz w:val="22"/>
          <w:szCs w:val="22"/>
          <w:lang w:val="fr-FR"/>
        </w:rPr>
        <w:t>’</w:t>
      </w:r>
      <w:r w:rsidRPr="008D4445">
        <w:rPr>
          <w:rFonts w:ascii="Arial" w:eastAsia="SimSun" w:hAnsi="Arial" w:cs="Arial"/>
          <w:sz w:val="22"/>
          <w:szCs w:val="22"/>
          <w:lang w:val="fr-FR"/>
        </w:rPr>
        <w:t>Irlande, de l</w:t>
      </w:r>
      <w:r w:rsidR="008E532B">
        <w:rPr>
          <w:rFonts w:ascii="Arial" w:eastAsia="SimSun" w:hAnsi="Arial" w:cs="Arial"/>
          <w:sz w:val="22"/>
          <w:szCs w:val="22"/>
          <w:lang w:val="fr-FR"/>
        </w:rPr>
        <w:t>’</w:t>
      </w:r>
      <w:r w:rsidRPr="008D4445">
        <w:rPr>
          <w:rFonts w:ascii="Arial" w:eastAsia="SimSun" w:hAnsi="Arial" w:cs="Arial"/>
          <w:sz w:val="22"/>
          <w:szCs w:val="22"/>
          <w:lang w:val="fr-FR"/>
        </w:rPr>
        <w:t>Italie, de la Lettonie, de la Lituanie, du Luxembourg, de Malte, des Pays</w:t>
      </w:r>
      <w:r>
        <w:rPr>
          <w:rFonts w:ascii="Arial" w:eastAsia="SimSun" w:hAnsi="Arial" w:cs="Arial"/>
          <w:sz w:val="22"/>
          <w:szCs w:val="22"/>
          <w:lang w:val="fr-FR"/>
        </w:rPr>
        <w:noBreakHyphen/>
      </w:r>
      <w:r w:rsidRPr="008D4445">
        <w:rPr>
          <w:rFonts w:ascii="Arial" w:eastAsia="SimSun" w:hAnsi="Arial" w:cs="Arial"/>
          <w:sz w:val="22"/>
          <w:szCs w:val="22"/>
          <w:lang w:val="fr-FR"/>
        </w:rPr>
        <w:t xml:space="preserve">Bas, de la Pologne, du Portugal, de la Roumanie, de la Slovaquie, de la Slovénie, </w:t>
      </w:r>
      <w:r>
        <w:rPr>
          <w:rFonts w:ascii="Arial" w:eastAsia="SimSun" w:hAnsi="Arial" w:cs="Arial"/>
          <w:sz w:val="22"/>
          <w:szCs w:val="22"/>
          <w:lang w:val="fr-FR"/>
        </w:rPr>
        <w:t xml:space="preserve">de la Suède et </w:t>
      </w:r>
      <w:r w:rsidRPr="008D4445">
        <w:rPr>
          <w:rFonts w:ascii="Arial" w:eastAsia="SimSun" w:hAnsi="Arial" w:cs="Arial"/>
          <w:sz w:val="22"/>
          <w:szCs w:val="22"/>
          <w:lang w:val="fr-FR"/>
        </w:rPr>
        <w:t xml:space="preserve">de la Tchéquie, la délégation </w:t>
      </w:r>
      <w:r>
        <w:rPr>
          <w:rFonts w:ascii="Arial" w:eastAsia="SimSun" w:hAnsi="Arial" w:cs="Arial"/>
          <w:sz w:val="22"/>
          <w:szCs w:val="22"/>
          <w:lang w:val="fr-FR"/>
        </w:rPr>
        <w:t xml:space="preserve">a </w:t>
      </w:r>
      <w:r w:rsidRPr="008D4445">
        <w:rPr>
          <w:rFonts w:ascii="Arial" w:eastAsia="SimSun" w:hAnsi="Arial" w:cs="Arial"/>
          <w:sz w:val="22"/>
          <w:szCs w:val="22"/>
          <w:lang w:val="fr-FR"/>
        </w:rPr>
        <w:t>condamn</w:t>
      </w:r>
      <w:r>
        <w:rPr>
          <w:rFonts w:ascii="Arial" w:eastAsia="SimSun" w:hAnsi="Arial" w:cs="Arial"/>
          <w:sz w:val="22"/>
          <w:szCs w:val="22"/>
          <w:lang w:val="fr-FR"/>
        </w:rPr>
        <w:t>é</w:t>
      </w:r>
      <w:r w:rsidRPr="008D4445">
        <w:rPr>
          <w:rFonts w:ascii="Arial" w:eastAsia="SimSun" w:hAnsi="Arial" w:cs="Arial"/>
          <w:sz w:val="22"/>
          <w:szCs w:val="22"/>
          <w:lang w:val="fr-FR"/>
        </w:rPr>
        <w:t xml:space="preserve"> l</w:t>
      </w:r>
      <w:r w:rsidR="008E532B">
        <w:rPr>
          <w:rFonts w:ascii="Arial" w:eastAsia="SimSun" w:hAnsi="Arial" w:cs="Arial"/>
          <w:sz w:val="22"/>
          <w:szCs w:val="22"/>
          <w:lang w:val="fr-FR"/>
        </w:rPr>
        <w:t>’</w:t>
      </w:r>
      <w:r w:rsidRPr="008D4445">
        <w:rPr>
          <w:rFonts w:ascii="Arial" w:eastAsia="SimSun" w:hAnsi="Arial" w:cs="Arial"/>
          <w:sz w:val="22"/>
          <w:szCs w:val="22"/>
          <w:lang w:val="fr-FR"/>
        </w:rPr>
        <w:t>agression militaire de la Russie contre l</w:t>
      </w:r>
      <w:r w:rsidR="008E532B">
        <w:rPr>
          <w:rFonts w:ascii="Arial" w:eastAsia="SimSun" w:hAnsi="Arial" w:cs="Arial"/>
          <w:sz w:val="22"/>
          <w:szCs w:val="22"/>
          <w:lang w:val="fr-FR"/>
        </w:rPr>
        <w:t>’</w:t>
      </w:r>
      <w:r w:rsidRPr="008D4445">
        <w:rPr>
          <w:rFonts w:ascii="Arial" w:eastAsia="SimSun" w:hAnsi="Arial" w:cs="Arial"/>
          <w:sz w:val="22"/>
          <w:szCs w:val="22"/>
          <w:lang w:val="fr-FR"/>
        </w:rPr>
        <w:t xml:space="preserve">Ukraine. Elle </w:t>
      </w:r>
      <w:r>
        <w:rPr>
          <w:rFonts w:ascii="Arial" w:eastAsia="SimSun" w:hAnsi="Arial" w:cs="Arial"/>
          <w:sz w:val="22"/>
          <w:szCs w:val="22"/>
          <w:lang w:val="fr-FR"/>
        </w:rPr>
        <w:t xml:space="preserve">a profondément </w:t>
      </w:r>
      <w:r w:rsidRPr="008D4445">
        <w:rPr>
          <w:rFonts w:ascii="Arial" w:eastAsia="SimSun" w:hAnsi="Arial" w:cs="Arial"/>
          <w:sz w:val="22"/>
          <w:szCs w:val="22"/>
          <w:lang w:val="fr-FR"/>
        </w:rPr>
        <w:t>regrett</w:t>
      </w:r>
      <w:r>
        <w:rPr>
          <w:rFonts w:ascii="Arial" w:eastAsia="SimSun" w:hAnsi="Arial" w:cs="Arial"/>
          <w:sz w:val="22"/>
          <w:szCs w:val="22"/>
          <w:lang w:val="fr-FR"/>
        </w:rPr>
        <w:t>é</w:t>
      </w:r>
      <w:r w:rsidRPr="008D4445">
        <w:rPr>
          <w:rFonts w:ascii="Arial" w:eastAsia="SimSun" w:hAnsi="Arial" w:cs="Arial"/>
          <w:sz w:val="22"/>
          <w:szCs w:val="22"/>
          <w:lang w:val="fr-FR"/>
        </w:rPr>
        <w:t xml:space="preserve"> l</w:t>
      </w:r>
      <w:r w:rsidR="008E532B">
        <w:rPr>
          <w:rFonts w:ascii="Arial" w:eastAsia="SimSun" w:hAnsi="Arial" w:cs="Arial"/>
          <w:sz w:val="22"/>
          <w:szCs w:val="22"/>
          <w:lang w:val="fr-FR"/>
        </w:rPr>
        <w:t>’</w:t>
      </w:r>
      <w:r w:rsidRPr="008D4445">
        <w:rPr>
          <w:rFonts w:ascii="Arial" w:eastAsia="SimSun" w:hAnsi="Arial" w:cs="Arial"/>
          <w:sz w:val="22"/>
          <w:szCs w:val="22"/>
          <w:lang w:val="fr-FR"/>
        </w:rPr>
        <w:t>annexion illégale par la Russie de la République autonome de Crimée et de la ville de Sébastopol en Ukraine, ainsi que la déstabilisation d</w:t>
      </w:r>
      <w:r>
        <w:rPr>
          <w:rFonts w:ascii="Arial" w:eastAsia="SimSun" w:hAnsi="Arial" w:cs="Arial"/>
          <w:sz w:val="22"/>
          <w:szCs w:val="22"/>
          <w:lang w:val="fr-FR"/>
        </w:rPr>
        <w:t>u</w:t>
      </w:r>
      <w:r w:rsidRPr="008D4445">
        <w:rPr>
          <w:rFonts w:ascii="Arial" w:eastAsia="SimSun" w:hAnsi="Arial" w:cs="Arial"/>
          <w:sz w:val="22"/>
          <w:szCs w:val="22"/>
          <w:lang w:val="fr-FR"/>
        </w:rPr>
        <w:t xml:space="preserve"> Donbas</w:t>
      </w:r>
      <w:r>
        <w:rPr>
          <w:rFonts w:ascii="Arial" w:eastAsia="SimSun" w:hAnsi="Arial" w:cs="Arial"/>
          <w:sz w:val="22"/>
          <w:szCs w:val="22"/>
          <w:lang w:val="fr-FR"/>
        </w:rPr>
        <w:t>s</w:t>
      </w:r>
      <w:r w:rsidRPr="008D4445">
        <w:rPr>
          <w:rFonts w:ascii="Arial" w:eastAsia="SimSun" w:hAnsi="Arial" w:cs="Arial"/>
          <w:sz w:val="22"/>
          <w:szCs w:val="22"/>
          <w:lang w:val="fr-FR"/>
        </w:rPr>
        <w:t>, qui dégénér</w:t>
      </w:r>
      <w:r>
        <w:rPr>
          <w:rFonts w:ascii="Arial" w:eastAsia="SimSun" w:hAnsi="Arial" w:cs="Arial"/>
          <w:sz w:val="22"/>
          <w:szCs w:val="22"/>
          <w:lang w:val="fr-FR"/>
        </w:rPr>
        <w:t>ait</w:t>
      </w:r>
      <w:r w:rsidRPr="008D4445">
        <w:rPr>
          <w:rFonts w:ascii="Arial" w:eastAsia="SimSun" w:hAnsi="Arial" w:cs="Arial"/>
          <w:sz w:val="22"/>
          <w:szCs w:val="22"/>
          <w:lang w:val="fr-FR"/>
        </w:rPr>
        <w:t xml:space="preserve"> en guerre depuis février 2022. </w:t>
      </w:r>
      <w:r w:rsidR="006D41D6">
        <w:rPr>
          <w:rFonts w:ascii="Arial" w:eastAsia="SimSun" w:hAnsi="Arial" w:cs="Arial"/>
          <w:sz w:val="22"/>
          <w:szCs w:val="22"/>
          <w:lang w:val="fr-FR"/>
        </w:rPr>
        <w:t>La délégation a noté qu’i</w:t>
      </w:r>
      <w:r w:rsidRPr="008D4445">
        <w:rPr>
          <w:rFonts w:ascii="Arial" w:eastAsia="SimSun" w:hAnsi="Arial" w:cs="Arial"/>
          <w:sz w:val="22"/>
          <w:szCs w:val="22"/>
          <w:lang w:val="fr-FR"/>
        </w:rPr>
        <w:t>l s</w:t>
      </w:r>
      <w:r w:rsidR="008E532B">
        <w:rPr>
          <w:rFonts w:ascii="Arial" w:eastAsia="SimSun" w:hAnsi="Arial" w:cs="Arial"/>
          <w:sz w:val="22"/>
          <w:szCs w:val="22"/>
          <w:lang w:val="fr-FR"/>
        </w:rPr>
        <w:t>’</w:t>
      </w:r>
      <w:r w:rsidRPr="008D4445">
        <w:rPr>
          <w:rFonts w:ascii="Arial" w:eastAsia="SimSun" w:hAnsi="Arial" w:cs="Arial"/>
          <w:sz w:val="22"/>
          <w:szCs w:val="22"/>
          <w:lang w:val="fr-FR"/>
        </w:rPr>
        <w:t>agi</w:t>
      </w:r>
      <w:r>
        <w:rPr>
          <w:rFonts w:ascii="Arial" w:eastAsia="SimSun" w:hAnsi="Arial" w:cs="Arial"/>
          <w:sz w:val="22"/>
          <w:szCs w:val="22"/>
          <w:lang w:val="fr-FR"/>
        </w:rPr>
        <w:t>ssai</w:t>
      </w:r>
      <w:r w:rsidRPr="008D4445">
        <w:rPr>
          <w:rFonts w:ascii="Arial" w:eastAsia="SimSun" w:hAnsi="Arial" w:cs="Arial"/>
          <w:sz w:val="22"/>
          <w:szCs w:val="22"/>
          <w:lang w:val="fr-FR"/>
        </w:rPr>
        <w:t>t d</w:t>
      </w:r>
      <w:r w:rsidR="008E532B">
        <w:rPr>
          <w:rFonts w:ascii="Arial" w:eastAsia="SimSun" w:hAnsi="Arial" w:cs="Arial"/>
          <w:sz w:val="22"/>
          <w:szCs w:val="22"/>
          <w:lang w:val="fr-FR"/>
        </w:rPr>
        <w:t>’</w:t>
      </w:r>
      <w:r w:rsidRPr="008D4445">
        <w:rPr>
          <w:rFonts w:ascii="Arial" w:eastAsia="SimSun" w:hAnsi="Arial" w:cs="Arial"/>
          <w:sz w:val="22"/>
          <w:szCs w:val="22"/>
          <w:lang w:val="fr-FR"/>
        </w:rPr>
        <w:t>une violation du droit international, notamment des principes de la Charte des Nations Unies ainsi que de l</w:t>
      </w:r>
      <w:r w:rsidR="008E532B">
        <w:rPr>
          <w:rFonts w:ascii="Arial" w:eastAsia="SimSun" w:hAnsi="Arial" w:cs="Arial"/>
          <w:sz w:val="22"/>
          <w:szCs w:val="22"/>
          <w:lang w:val="fr-FR"/>
        </w:rPr>
        <w:t>’</w:t>
      </w:r>
      <w:r w:rsidRPr="008D4445">
        <w:rPr>
          <w:rFonts w:ascii="Arial" w:eastAsia="SimSun" w:hAnsi="Arial" w:cs="Arial"/>
          <w:sz w:val="22"/>
          <w:szCs w:val="22"/>
          <w:lang w:val="fr-FR"/>
        </w:rPr>
        <w:t>Acte constitutif de l</w:t>
      </w:r>
      <w:r w:rsidR="008E532B">
        <w:rPr>
          <w:rFonts w:ascii="Arial" w:eastAsia="SimSun" w:hAnsi="Arial" w:cs="Arial"/>
          <w:sz w:val="22"/>
          <w:szCs w:val="22"/>
          <w:lang w:val="fr-FR"/>
        </w:rPr>
        <w:t>’</w:t>
      </w:r>
      <w:r w:rsidRPr="008D4445">
        <w:rPr>
          <w:rFonts w:ascii="Arial" w:eastAsia="SimSun" w:hAnsi="Arial" w:cs="Arial"/>
          <w:sz w:val="22"/>
          <w:szCs w:val="22"/>
          <w:lang w:val="fr-FR"/>
        </w:rPr>
        <w:t xml:space="preserve">UNESCO. La délégation a </w:t>
      </w:r>
      <w:r w:rsidR="006D41D6">
        <w:rPr>
          <w:rFonts w:ascii="Arial" w:eastAsia="SimSun" w:hAnsi="Arial" w:cs="Arial"/>
          <w:sz w:val="22"/>
          <w:szCs w:val="22"/>
          <w:lang w:val="fr-FR"/>
        </w:rPr>
        <w:t>déploré</w:t>
      </w:r>
      <w:r w:rsidRPr="008D4445">
        <w:rPr>
          <w:rFonts w:ascii="Arial" w:eastAsia="SimSun" w:hAnsi="Arial" w:cs="Arial"/>
          <w:sz w:val="22"/>
          <w:szCs w:val="22"/>
          <w:lang w:val="fr-FR"/>
        </w:rPr>
        <w:t xml:space="preserve"> que l</w:t>
      </w:r>
      <w:r w:rsidR="008E532B">
        <w:rPr>
          <w:rFonts w:ascii="Arial" w:eastAsia="SimSun" w:hAnsi="Arial" w:cs="Arial"/>
          <w:sz w:val="22"/>
          <w:szCs w:val="22"/>
          <w:lang w:val="fr-FR"/>
        </w:rPr>
        <w:t>’</w:t>
      </w:r>
      <w:r w:rsidRPr="008D4445">
        <w:rPr>
          <w:rFonts w:ascii="Arial" w:eastAsia="SimSun" w:hAnsi="Arial" w:cs="Arial"/>
          <w:sz w:val="22"/>
          <w:szCs w:val="22"/>
          <w:lang w:val="fr-FR"/>
        </w:rPr>
        <w:t>Ukraine, ses communautés, ses groupes et ses individus, y compris en Crimée, soient contraints de rejoindre la liste croissante des zones de conflit dans le monde qui se voient refuser la possibilité d</w:t>
      </w:r>
      <w:r w:rsidR="008E532B">
        <w:rPr>
          <w:rFonts w:ascii="Arial" w:eastAsia="SimSun" w:hAnsi="Arial" w:cs="Arial"/>
          <w:sz w:val="22"/>
          <w:szCs w:val="22"/>
          <w:lang w:val="fr-FR"/>
        </w:rPr>
        <w:t>’</w:t>
      </w:r>
      <w:r w:rsidRPr="008D4445">
        <w:rPr>
          <w:rFonts w:ascii="Arial" w:eastAsia="SimSun" w:hAnsi="Arial" w:cs="Arial"/>
          <w:sz w:val="22"/>
          <w:szCs w:val="22"/>
          <w:lang w:val="fr-FR"/>
        </w:rPr>
        <w:t xml:space="preserve">exprimer leur identité culturelle et la pratique de leur patrimoine vivant. Elle a rappelé le cinquième principe des </w:t>
      </w:r>
      <w:hyperlink r:id="rId27" w:history="1">
        <w:r>
          <w:rPr>
            <w:rStyle w:val="Hyperlink"/>
            <w:rFonts w:ascii="Arial" w:eastAsia="SimSun" w:hAnsi="Arial" w:cs="Arial"/>
            <w:sz w:val="22"/>
            <w:szCs w:val="22"/>
            <w:lang w:val="fr-FR"/>
          </w:rPr>
          <w:t>principes éthiques</w:t>
        </w:r>
      </w:hyperlink>
      <w:r w:rsidRPr="008D4445">
        <w:rPr>
          <w:rFonts w:ascii="Arial" w:eastAsia="SimSun" w:hAnsi="Arial" w:cs="Arial"/>
          <w:sz w:val="22"/>
          <w:szCs w:val="22"/>
          <w:lang w:val="fr-FR"/>
        </w:rPr>
        <w:t xml:space="preserve"> pour la sauvegarde du patrimoine culturel immatériel qui stipule que</w:t>
      </w:r>
      <w:r>
        <w:rPr>
          <w:rFonts w:ascii="Arial" w:eastAsia="SimSun" w:hAnsi="Arial" w:cs="Arial"/>
          <w:sz w:val="22"/>
          <w:szCs w:val="22"/>
          <w:lang w:val="fr-FR"/>
        </w:rPr>
        <w:t> :</w:t>
      </w:r>
      <w:r w:rsidRPr="008D4445">
        <w:rPr>
          <w:rFonts w:ascii="Arial" w:eastAsia="SimSun" w:hAnsi="Arial" w:cs="Arial"/>
          <w:sz w:val="22"/>
          <w:szCs w:val="22"/>
          <w:lang w:val="fr-FR"/>
        </w:rPr>
        <w:t xml:space="preserve"> </w:t>
      </w:r>
      <w:r>
        <w:rPr>
          <w:rFonts w:ascii="Arial" w:eastAsia="SimSun" w:hAnsi="Arial" w:cs="Arial"/>
          <w:sz w:val="22"/>
          <w:szCs w:val="22"/>
          <w:lang w:val="fr-FR"/>
        </w:rPr>
        <w:t>« L</w:t>
      </w:r>
      <w:r w:rsidR="008E532B">
        <w:rPr>
          <w:rFonts w:ascii="Arial" w:eastAsia="SimSun" w:hAnsi="Arial" w:cs="Arial"/>
          <w:sz w:val="22"/>
          <w:szCs w:val="22"/>
          <w:lang w:val="fr-FR"/>
        </w:rPr>
        <w:t>’</w:t>
      </w:r>
      <w:r w:rsidRPr="008D4445">
        <w:rPr>
          <w:rFonts w:ascii="Arial" w:eastAsia="SimSun" w:hAnsi="Arial" w:cs="Arial"/>
          <w:sz w:val="22"/>
          <w:szCs w:val="22"/>
          <w:lang w:val="fr-FR"/>
        </w:rPr>
        <w:t>accès des communautés, groupes et individus aux instruments, objets, artefacts, espaces culturels et naturels et lieux de mémoire dont l</w:t>
      </w:r>
      <w:r w:rsidR="008E532B">
        <w:rPr>
          <w:rFonts w:ascii="Arial" w:eastAsia="SimSun" w:hAnsi="Arial" w:cs="Arial"/>
          <w:sz w:val="22"/>
          <w:szCs w:val="22"/>
          <w:lang w:val="fr-FR"/>
        </w:rPr>
        <w:t>’</w:t>
      </w:r>
      <w:r w:rsidRPr="008D4445">
        <w:rPr>
          <w:rFonts w:ascii="Arial" w:eastAsia="SimSun" w:hAnsi="Arial" w:cs="Arial"/>
          <w:sz w:val="22"/>
          <w:szCs w:val="22"/>
          <w:lang w:val="fr-FR"/>
        </w:rPr>
        <w:t>existence est nécessaire à l</w:t>
      </w:r>
      <w:r w:rsidR="008E532B">
        <w:rPr>
          <w:rFonts w:ascii="Arial" w:eastAsia="SimSun" w:hAnsi="Arial" w:cs="Arial"/>
          <w:sz w:val="22"/>
          <w:szCs w:val="22"/>
          <w:lang w:val="fr-FR"/>
        </w:rPr>
        <w:t>’</w:t>
      </w:r>
      <w:r w:rsidRPr="008D4445">
        <w:rPr>
          <w:rFonts w:ascii="Arial" w:eastAsia="SimSun" w:hAnsi="Arial" w:cs="Arial"/>
          <w:sz w:val="22"/>
          <w:szCs w:val="22"/>
          <w:lang w:val="fr-FR"/>
        </w:rPr>
        <w:t>expression du patrimoine culturel immatériel d</w:t>
      </w:r>
      <w:r>
        <w:rPr>
          <w:rFonts w:ascii="Arial" w:eastAsia="SimSun" w:hAnsi="Arial" w:cs="Arial"/>
          <w:sz w:val="22"/>
          <w:szCs w:val="22"/>
          <w:lang w:val="fr-FR"/>
        </w:rPr>
        <w:t>oit être garanti</w:t>
      </w:r>
      <w:r w:rsidRPr="008D4445">
        <w:rPr>
          <w:rFonts w:ascii="Arial" w:eastAsia="SimSun" w:hAnsi="Arial" w:cs="Arial"/>
          <w:sz w:val="22"/>
          <w:szCs w:val="22"/>
          <w:lang w:val="fr-FR"/>
        </w:rPr>
        <w:t xml:space="preserve">, y compris </w:t>
      </w:r>
      <w:r>
        <w:rPr>
          <w:rFonts w:ascii="Arial" w:eastAsia="SimSun" w:hAnsi="Arial" w:cs="Arial"/>
          <w:sz w:val="22"/>
          <w:szCs w:val="22"/>
          <w:lang w:val="fr-FR"/>
        </w:rPr>
        <w:t xml:space="preserve">en </w:t>
      </w:r>
      <w:r w:rsidRPr="008D4445">
        <w:rPr>
          <w:rFonts w:ascii="Arial" w:eastAsia="SimSun" w:hAnsi="Arial" w:cs="Arial"/>
          <w:sz w:val="22"/>
          <w:szCs w:val="22"/>
          <w:lang w:val="fr-FR"/>
        </w:rPr>
        <w:t>situation de conflit armé</w:t>
      </w:r>
      <w:r>
        <w:rPr>
          <w:rFonts w:ascii="Arial" w:eastAsia="SimSun" w:hAnsi="Arial" w:cs="Arial"/>
          <w:sz w:val="22"/>
          <w:szCs w:val="22"/>
          <w:lang w:val="fr-FR"/>
        </w:rPr>
        <w:t>. »</w:t>
      </w:r>
      <w:r w:rsidRPr="008D4445">
        <w:rPr>
          <w:rFonts w:ascii="Arial" w:eastAsia="SimSun" w:hAnsi="Arial" w:cs="Arial"/>
          <w:sz w:val="22"/>
          <w:szCs w:val="22"/>
          <w:lang w:val="fr-FR"/>
        </w:rPr>
        <w:t xml:space="preserve"> La délégation a également rappelé qu</w:t>
      </w:r>
      <w:r w:rsidR="008E532B">
        <w:rPr>
          <w:rFonts w:ascii="Arial" w:eastAsia="SimSun" w:hAnsi="Arial" w:cs="Arial"/>
          <w:sz w:val="22"/>
          <w:szCs w:val="22"/>
          <w:lang w:val="fr-FR"/>
        </w:rPr>
        <w:t>’</w:t>
      </w:r>
      <w:r>
        <w:rPr>
          <w:rFonts w:ascii="Arial" w:eastAsia="SimSun" w:hAnsi="Arial" w:cs="Arial"/>
          <w:sz w:val="22"/>
          <w:szCs w:val="22"/>
          <w:lang w:val="fr-FR"/>
        </w:rPr>
        <w:t>aux termes d</w:t>
      </w:r>
      <w:r w:rsidRPr="008D4445">
        <w:rPr>
          <w:rFonts w:ascii="Arial" w:eastAsia="SimSun" w:hAnsi="Arial" w:cs="Arial"/>
          <w:sz w:val="22"/>
          <w:szCs w:val="22"/>
          <w:lang w:val="fr-FR"/>
        </w:rPr>
        <w:t xml:space="preserve">es </w:t>
      </w:r>
      <w:r>
        <w:rPr>
          <w:rFonts w:ascii="Arial" w:eastAsia="SimSun" w:hAnsi="Arial" w:cs="Arial"/>
          <w:sz w:val="22"/>
          <w:szCs w:val="22"/>
          <w:lang w:val="fr-FR"/>
        </w:rPr>
        <w:t>P</w:t>
      </w:r>
      <w:r w:rsidRPr="008D4445">
        <w:rPr>
          <w:rFonts w:ascii="Arial" w:eastAsia="SimSun" w:hAnsi="Arial" w:cs="Arial"/>
          <w:sz w:val="22"/>
          <w:szCs w:val="22"/>
          <w:lang w:val="fr-FR"/>
        </w:rPr>
        <w:t>rincipes et modalités opérationnels pour la sauvegarde du patrimoine culturel immatériel</w:t>
      </w:r>
      <w:r>
        <w:rPr>
          <w:rFonts w:ascii="Arial" w:eastAsia="SimSun" w:hAnsi="Arial" w:cs="Arial"/>
          <w:sz w:val="22"/>
          <w:szCs w:val="22"/>
          <w:lang w:val="fr-FR"/>
        </w:rPr>
        <w:t xml:space="preserve"> en situations d</w:t>
      </w:r>
      <w:r w:rsidR="008E532B">
        <w:rPr>
          <w:rFonts w:ascii="Arial" w:eastAsia="SimSun" w:hAnsi="Arial" w:cs="Arial"/>
          <w:sz w:val="22"/>
          <w:szCs w:val="22"/>
          <w:lang w:val="fr-FR"/>
        </w:rPr>
        <w:t>’</w:t>
      </w:r>
      <w:r>
        <w:rPr>
          <w:rFonts w:ascii="Arial" w:eastAsia="SimSun" w:hAnsi="Arial" w:cs="Arial"/>
          <w:sz w:val="22"/>
          <w:szCs w:val="22"/>
          <w:lang w:val="fr-FR"/>
        </w:rPr>
        <w:t>urgence</w:t>
      </w:r>
      <w:r>
        <w:rPr>
          <w:rStyle w:val="FootnoteReference"/>
          <w:rFonts w:ascii="Arial" w:eastAsia="SimSun" w:hAnsi="Arial" w:cs="Arial"/>
          <w:sz w:val="22"/>
          <w:szCs w:val="22"/>
          <w:lang w:val="fr-FR"/>
        </w:rPr>
        <w:footnoteReference w:id="4"/>
      </w:r>
      <w:r>
        <w:rPr>
          <w:rFonts w:ascii="Arial" w:eastAsia="SimSun" w:hAnsi="Arial" w:cs="Arial"/>
          <w:sz w:val="22"/>
          <w:szCs w:val="22"/>
          <w:lang w:val="fr-FR"/>
        </w:rPr>
        <w:t xml:space="preserve">, </w:t>
      </w:r>
      <w:r w:rsidRPr="008D4445">
        <w:rPr>
          <w:rFonts w:ascii="Arial" w:eastAsia="SimSun" w:hAnsi="Arial" w:cs="Arial"/>
          <w:sz w:val="22"/>
          <w:szCs w:val="22"/>
          <w:lang w:val="fr-FR"/>
        </w:rPr>
        <w:t xml:space="preserve">adoptés en 2020, </w:t>
      </w:r>
      <w:r>
        <w:rPr>
          <w:rFonts w:ascii="Arial" w:eastAsia="SimSun" w:hAnsi="Arial" w:cs="Arial"/>
          <w:sz w:val="22"/>
          <w:szCs w:val="22"/>
          <w:lang w:val="fr-FR"/>
        </w:rPr>
        <w:t>« L</w:t>
      </w:r>
      <w:r w:rsidRPr="008D4445">
        <w:rPr>
          <w:rFonts w:ascii="Arial" w:eastAsia="SimSun" w:hAnsi="Arial" w:cs="Arial"/>
          <w:sz w:val="22"/>
          <w:szCs w:val="22"/>
          <w:lang w:val="fr-FR"/>
        </w:rPr>
        <w:t xml:space="preserve">e patrimoine culturel immatériel existe </w:t>
      </w:r>
      <w:r>
        <w:rPr>
          <w:rFonts w:ascii="Arial" w:eastAsia="SimSun" w:hAnsi="Arial" w:cs="Arial"/>
          <w:sz w:val="22"/>
          <w:szCs w:val="22"/>
          <w:lang w:val="fr-FR"/>
        </w:rPr>
        <w:t xml:space="preserve">uniquement </w:t>
      </w:r>
      <w:r w:rsidRPr="008D4445">
        <w:rPr>
          <w:rFonts w:ascii="Arial" w:eastAsia="SimSun" w:hAnsi="Arial" w:cs="Arial"/>
          <w:sz w:val="22"/>
          <w:szCs w:val="22"/>
          <w:lang w:val="fr-FR"/>
        </w:rPr>
        <w:t xml:space="preserve">dans </w:t>
      </w:r>
      <w:r>
        <w:rPr>
          <w:rFonts w:ascii="Arial" w:eastAsia="SimSun" w:hAnsi="Arial" w:cs="Arial"/>
          <w:sz w:val="22"/>
          <w:szCs w:val="22"/>
          <w:lang w:val="fr-FR"/>
        </w:rPr>
        <w:t xml:space="preserve">le cadre de </w:t>
      </w:r>
      <w:r w:rsidRPr="008D4445">
        <w:rPr>
          <w:rFonts w:ascii="Arial" w:eastAsia="SimSun" w:hAnsi="Arial" w:cs="Arial"/>
          <w:sz w:val="22"/>
          <w:szCs w:val="22"/>
          <w:lang w:val="fr-FR"/>
        </w:rPr>
        <w:t xml:space="preserve">sa mise en œuvre par les communautés qui le pratiquent et le transmettent, et </w:t>
      </w:r>
      <w:r>
        <w:rPr>
          <w:rFonts w:ascii="Arial" w:eastAsia="SimSun" w:hAnsi="Arial" w:cs="Arial"/>
          <w:sz w:val="22"/>
          <w:szCs w:val="22"/>
          <w:lang w:val="fr-FR"/>
        </w:rPr>
        <w:t xml:space="preserve">il </w:t>
      </w:r>
      <w:r w:rsidRPr="008D4445">
        <w:rPr>
          <w:rFonts w:ascii="Arial" w:eastAsia="SimSun" w:hAnsi="Arial" w:cs="Arial"/>
          <w:sz w:val="22"/>
          <w:szCs w:val="22"/>
          <w:lang w:val="fr-FR"/>
        </w:rPr>
        <w:t xml:space="preserve">est indissociable de leur vie sociale, culturelle et économique. </w:t>
      </w:r>
      <w:r>
        <w:rPr>
          <w:rFonts w:ascii="Arial" w:eastAsia="SimSun" w:hAnsi="Arial" w:cs="Arial"/>
          <w:sz w:val="22"/>
          <w:szCs w:val="22"/>
          <w:lang w:val="fr-FR"/>
        </w:rPr>
        <w:t xml:space="preserve">Par </w:t>
      </w:r>
      <w:r w:rsidRPr="00EB435C">
        <w:rPr>
          <w:rFonts w:ascii="Arial" w:eastAsia="SimSun" w:hAnsi="Arial" w:cs="Arial"/>
          <w:sz w:val="22"/>
          <w:szCs w:val="22"/>
          <w:lang w:val="fr-FR"/>
        </w:rPr>
        <w:t>conséquen</w:t>
      </w:r>
      <w:r>
        <w:rPr>
          <w:rFonts w:ascii="Arial" w:eastAsia="SimSun" w:hAnsi="Arial" w:cs="Arial"/>
          <w:sz w:val="22"/>
          <w:szCs w:val="22"/>
          <w:lang w:val="fr-FR"/>
        </w:rPr>
        <w:t>t, s</w:t>
      </w:r>
      <w:r w:rsidRPr="008D4445">
        <w:rPr>
          <w:rFonts w:ascii="Arial" w:eastAsia="SimSun" w:hAnsi="Arial" w:cs="Arial"/>
          <w:sz w:val="22"/>
          <w:szCs w:val="22"/>
          <w:lang w:val="fr-FR"/>
        </w:rPr>
        <w:t>a sauvegarde est</w:t>
      </w:r>
      <w:r>
        <w:rPr>
          <w:rFonts w:ascii="Arial" w:eastAsia="SimSun" w:hAnsi="Arial" w:cs="Arial"/>
          <w:sz w:val="22"/>
          <w:szCs w:val="22"/>
          <w:lang w:val="fr-FR"/>
        </w:rPr>
        <w:t xml:space="preserve"> intrinsèquement liée à </w:t>
      </w:r>
      <w:r w:rsidRPr="008D4445">
        <w:rPr>
          <w:rFonts w:ascii="Arial" w:eastAsia="SimSun" w:hAnsi="Arial" w:cs="Arial"/>
          <w:sz w:val="22"/>
          <w:szCs w:val="22"/>
          <w:lang w:val="fr-FR"/>
        </w:rPr>
        <w:t>la protection de la vie et du bien-être de ses détenteurs</w:t>
      </w:r>
      <w:r>
        <w:rPr>
          <w:rFonts w:ascii="Arial" w:eastAsia="SimSun" w:hAnsi="Arial" w:cs="Arial"/>
          <w:sz w:val="22"/>
          <w:szCs w:val="22"/>
          <w:lang w:val="fr-FR"/>
        </w:rPr>
        <w:t xml:space="preserve">. » </w:t>
      </w:r>
      <w:r w:rsidRPr="008D4445">
        <w:rPr>
          <w:rFonts w:ascii="Arial" w:eastAsia="SimSun" w:hAnsi="Arial" w:cs="Arial"/>
          <w:sz w:val="22"/>
          <w:szCs w:val="22"/>
          <w:lang w:val="fr-FR"/>
        </w:rPr>
        <w:t>[</w:t>
      </w:r>
      <w:r>
        <w:rPr>
          <w:rFonts w:ascii="Arial" w:eastAsia="SimSun" w:hAnsi="Arial" w:cs="Arial"/>
          <w:sz w:val="22"/>
          <w:szCs w:val="22"/>
          <w:lang w:val="fr-FR"/>
        </w:rPr>
        <w:t>P</w:t>
      </w:r>
      <w:r w:rsidRPr="008D4445">
        <w:rPr>
          <w:rFonts w:ascii="Arial" w:eastAsia="SimSun" w:hAnsi="Arial" w:cs="Arial"/>
          <w:sz w:val="22"/>
          <w:szCs w:val="22"/>
          <w:lang w:val="fr-FR"/>
        </w:rPr>
        <w:t>rincipe 1]</w:t>
      </w:r>
      <w:r w:rsidR="006D41D6">
        <w:rPr>
          <w:rFonts w:ascii="Arial" w:eastAsia="SimSun" w:hAnsi="Arial" w:cs="Arial"/>
          <w:sz w:val="22"/>
          <w:szCs w:val="22"/>
          <w:lang w:val="fr-FR"/>
        </w:rPr>
        <w:t>.</w:t>
      </w:r>
      <w:r w:rsidRPr="008D4445">
        <w:rPr>
          <w:rFonts w:ascii="Arial" w:eastAsia="SimSun" w:hAnsi="Arial" w:cs="Arial"/>
          <w:sz w:val="22"/>
          <w:szCs w:val="22"/>
          <w:lang w:val="fr-FR"/>
        </w:rPr>
        <w:t xml:space="preserve"> Les </w:t>
      </w:r>
      <w:r w:rsidR="002512C5">
        <w:rPr>
          <w:rFonts w:ascii="Arial" w:eastAsia="SimSun" w:hAnsi="Arial" w:cs="Arial"/>
          <w:sz w:val="22"/>
          <w:szCs w:val="22"/>
          <w:lang w:val="fr-FR"/>
        </w:rPr>
        <w:t>délégations susmentionnées</w:t>
      </w:r>
      <w:r w:rsidRPr="008D4445">
        <w:rPr>
          <w:rFonts w:ascii="Arial" w:eastAsia="SimSun" w:hAnsi="Arial" w:cs="Arial"/>
          <w:sz w:val="22"/>
          <w:szCs w:val="22"/>
          <w:lang w:val="fr-FR"/>
        </w:rPr>
        <w:t xml:space="preserve"> </w:t>
      </w:r>
      <w:r>
        <w:rPr>
          <w:rFonts w:ascii="Arial" w:eastAsia="SimSun" w:hAnsi="Arial" w:cs="Arial"/>
          <w:sz w:val="22"/>
          <w:szCs w:val="22"/>
          <w:lang w:val="fr-FR"/>
        </w:rPr>
        <w:t xml:space="preserve">priaient </w:t>
      </w:r>
      <w:r w:rsidRPr="008D4445">
        <w:rPr>
          <w:rFonts w:ascii="Arial" w:eastAsia="SimSun" w:hAnsi="Arial" w:cs="Arial"/>
          <w:sz w:val="22"/>
          <w:szCs w:val="22"/>
          <w:lang w:val="fr-FR"/>
        </w:rPr>
        <w:t>donc</w:t>
      </w:r>
      <w:r>
        <w:rPr>
          <w:rFonts w:ascii="Arial" w:eastAsia="SimSun" w:hAnsi="Arial" w:cs="Arial"/>
          <w:sz w:val="22"/>
          <w:szCs w:val="22"/>
          <w:lang w:val="fr-FR"/>
        </w:rPr>
        <w:t xml:space="preserve"> </w:t>
      </w:r>
      <w:r w:rsidRPr="008D4445">
        <w:rPr>
          <w:rFonts w:ascii="Arial" w:eastAsia="SimSun" w:hAnsi="Arial" w:cs="Arial"/>
          <w:sz w:val="22"/>
          <w:szCs w:val="22"/>
          <w:lang w:val="fr-FR"/>
        </w:rPr>
        <w:t>instamment</w:t>
      </w:r>
      <w:r>
        <w:rPr>
          <w:rFonts w:ascii="Arial" w:eastAsia="SimSun" w:hAnsi="Arial" w:cs="Arial"/>
          <w:sz w:val="22"/>
          <w:szCs w:val="22"/>
          <w:lang w:val="fr-FR"/>
        </w:rPr>
        <w:t xml:space="preserve"> </w:t>
      </w:r>
      <w:r w:rsidRPr="008D4445">
        <w:rPr>
          <w:rFonts w:ascii="Arial" w:eastAsia="SimSun" w:hAnsi="Arial" w:cs="Arial"/>
          <w:sz w:val="22"/>
          <w:szCs w:val="22"/>
          <w:lang w:val="fr-FR"/>
        </w:rPr>
        <w:t>la Russie de mettre fin à ses activités sur l</w:t>
      </w:r>
      <w:r w:rsidR="008E532B">
        <w:rPr>
          <w:rFonts w:ascii="Arial" w:eastAsia="SimSun" w:hAnsi="Arial" w:cs="Arial"/>
          <w:sz w:val="22"/>
          <w:szCs w:val="22"/>
          <w:lang w:val="fr-FR"/>
        </w:rPr>
        <w:t>’</w:t>
      </w:r>
      <w:r w:rsidRPr="008D4445">
        <w:rPr>
          <w:rFonts w:ascii="Arial" w:eastAsia="SimSun" w:hAnsi="Arial" w:cs="Arial"/>
          <w:sz w:val="22"/>
          <w:szCs w:val="22"/>
          <w:lang w:val="fr-FR"/>
        </w:rPr>
        <w:t>ensemble du territoire ukrainien, ainsi qu</w:t>
      </w:r>
      <w:r w:rsidR="008E532B">
        <w:rPr>
          <w:rFonts w:ascii="Arial" w:eastAsia="SimSun" w:hAnsi="Arial" w:cs="Arial"/>
          <w:sz w:val="22"/>
          <w:szCs w:val="22"/>
          <w:lang w:val="fr-FR"/>
        </w:rPr>
        <w:t>’</w:t>
      </w:r>
      <w:r w:rsidRPr="008D4445">
        <w:rPr>
          <w:rFonts w:ascii="Arial" w:eastAsia="SimSun" w:hAnsi="Arial" w:cs="Arial"/>
          <w:sz w:val="22"/>
          <w:szCs w:val="22"/>
          <w:lang w:val="fr-FR"/>
        </w:rPr>
        <w:t>à toute autre forme d</w:t>
      </w:r>
      <w:r w:rsidR="008E532B">
        <w:rPr>
          <w:rFonts w:ascii="Arial" w:eastAsia="SimSun" w:hAnsi="Arial" w:cs="Arial"/>
          <w:sz w:val="22"/>
          <w:szCs w:val="22"/>
          <w:lang w:val="fr-FR"/>
        </w:rPr>
        <w:t>’</w:t>
      </w:r>
      <w:r w:rsidRPr="008D4445">
        <w:rPr>
          <w:rFonts w:ascii="Arial" w:eastAsia="SimSun" w:hAnsi="Arial" w:cs="Arial"/>
          <w:sz w:val="22"/>
          <w:szCs w:val="22"/>
          <w:lang w:val="fr-FR"/>
        </w:rPr>
        <w:t xml:space="preserve">agression hostile, et de retirer ses forces et ses équipements militaires, afin de cesser sa guerre et de mettre fin aux pertes en vies humaines et en patrimoine culturel matériel et immatériel que ces attaques </w:t>
      </w:r>
      <w:r>
        <w:rPr>
          <w:rFonts w:ascii="Arial" w:eastAsia="SimSun" w:hAnsi="Arial" w:cs="Arial"/>
          <w:sz w:val="22"/>
          <w:szCs w:val="22"/>
          <w:lang w:val="fr-FR"/>
        </w:rPr>
        <w:t>avaient causées</w:t>
      </w:r>
      <w:r w:rsidRPr="008D4445">
        <w:rPr>
          <w:rFonts w:ascii="Arial" w:eastAsia="SimSun" w:hAnsi="Arial" w:cs="Arial"/>
          <w:sz w:val="22"/>
          <w:szCs w:val="22"/>
          <w:lang w:val="fr-FR"/>
        </w:rPr>
        <w:t>. Les délégations</w:t>
      </w:r>
      <w:r>
        <w:rPr>
          <w:rFonts w:ascii="Arial" w:eastAsia="SimSun" w:hAnsi="Arial" w:cs="Arial"/>
          <w:sz w:val="22"/>
          <w:szCs w:val="22"/>
          <w:lang w:val="fr-FR"/>
        </w:rPr>
        <w:t xml:space="preserve"> avaient accueilli avec satisfaction </w:t>
      </w:r>
      <w:r w:rsidRPr="008D4445">
        <w:rPr>
          <w:rFonts w:ascii="Arial" w:eastAsia="SimSun" w:hAnsi="Arial" w:cs="Arial"/>
          <w:sz w:val="22"/>
          <w:szCs w:val="22"/>
          <w:lang w:val="fr-FR"/>
        </w:rPr>
        <w:t>l</w:t>
      </w:r>
      <w:r w:rsidR="008E532B">
        <w:rPr>
          <w:rFonts w:ascii="Arial" w:eastAsia="SimSun" w:hAnsi="Arial" w:cs="Arial"/>
          <w:sz w:val="22"/>
          <w:szCs w:val="22"/>
          <w:lang w:val="fr-FR"/>
        </w:rPr>
        <w:t>’</w:t>
      </w:r>
      <w:r w:rsidRPr="008D4445">
        <w:rPr>
          <w:rFonts w:ascii="Arial" w:eastAsia="SimSun" w:hAnsi="Arial" w:cs="Arial"/>
          <w:sz w:val="22"/>
          <w:szCs w:val="22"/>
          <w:lang w:val="fr-FR"/>
        </w:rPr>
        <w:t xml:space="preserve">évaluation de la candidature de la </w:t>
      </w:r>
      <w:r>
        <w:rPr>
          <w:rFonts w:ascii="Arial" w:eastAsia="SimSun" w:hAnsi="Arial" w:cs="Arial"/>
          <w:sz w:val="22"/>
          <w:szCs w:val="22"/>
          <w:lang w:val="fr-FR"/>
        </w:rPr>
        <w:t>c</w:t>
      </w:r>
      <w:r w:rsidRPr="00BF4BDA">
        <w:rPr>
          <w:rFonts w:ascii="Arial" w:eastAsia="SimSun" w:hAnsi="Arial" w:cs="Arial"/>
          <w:sz w:val="22"/>
          <w:szCs w:val="22"/>
          <w:lang w:val="fr-FR"/>
        </w:rPr>
        <w:t xml:space="preserve">ulture de la </w:t>
      </w:r>
      <w:r>
        <w:rPr>
          <w:rFonts w:ascii="Arial" w:eastAsia="SimSun" w:hAnsi="Arial" w:cs="Arial"/>
          <w:sz w:val="22"/>
          <w:szCs w:val="22"/>
          <w:lang w:val="fr-FR"/>
        </w:rPr>
        <w:t xml:space="preserve">préparation du bortsch </w:t>
      </w:r>
      <w:r w:rsidRPr="00BF4BDA">
        <w:rPr>
          <w:rFonts w:ascii="Arial" w:eastAsia="SimSun" w:hAnsi="Arial" w:cs="Arial"/>
          <w:sz w:val="22"/>
          <w:szCs w:val="22"/>
          <w:lang w:val="fr-FR"/>
        </w:rPr>
        <w:t>ukrainien</w:t>
      </w:r>
      <w:r w:rsidRPr="008D4445">
        <w:rPr>
          <w:rFonts w:ascii="Arial" w:eastAsia="SimSun" w:hAnsi="Arial" w:cs="Arial"/>
          <w:sz w:val="22"/>
          <w:szCs w:val="22"/>
          <w:lang w:val="fr-FR"/>
        </w:rPr>
        <w:t xml:space="preserve"> </w:t>
      </w:r>
      <w:r>
        <w:rPr>
          <w:rFonts w:ascii="Arial" w:eastAsia="SimSun" w:hAnsi="Arial" w:cs="Arial"/>
          <w:sz w:val="22"/>
          <w:szCs w:val="22"/>
          <w:lang w:val="fr-FR"/>
        </w:rPr>
        <w:t>en vue</w:t>
      </w:r>
      <w:r w:rsidRPr="008D4445">
        <w:rPr>
          <w:rFonts w:ascii="Arial" w:eastAsia="SimSun" w:hAnsi="Arial" w:cs="Arial"/>
          <w:sz w:val="22"/>
          <w:szCs w:val="22"/>
          <w:lang w:val="fr-FR"/>
        </w:rPr>
        <w:t xml:space="preserve"> de son inscription sur la Liste de sauvegarde urgente en tant que cas d</w:t>
      </w:r>
      <w:r w:rsidR="008E532B">
        <w:rPr>
          <w:rFonts w:ascii="Arial" w:eastAsia="SimSun" w:hAnsi="Arial" w:cs="Arial"/>
          <w:sz w:val="22"/>
          <w:szCs w:val="22"/>
          <w:lang w:val="fr-FR"/>
        </w:rPr>
        <w:t>’</w:t>
      </w:r>
      <w:r w:rsidRPr="008D4445">
        <w:rPr>
          <w:rFonts w:ascii="Arial" w:eastAsia="SimSun" w:hAnsi="Arial" w:cs="Arial"/>
          <w:sz w:val="22"/>
          <w:szCs w:val="22"/>
          <w:lang w:val="fr-FR"/>
        </w:rPr>
        <w:t>extrême urgence au titre de l</w:t>
      </w:r>
      <w:r w:rsidR="008E532B">
        <w:rPr>
          <w:rFonts w:ascii="Arial" w:eastAsia="SimSun" w:hAnsi="Arial" w:cs="Arial"/>
          <w:sz w:val="22"/>
          <w:szCs w:val="22"/>
          <w:lang w:val="fr-FR"/>
        </w:rPr>
        <w:t>’</w:t>
      </w:r>
      <w:r w:rsidRPr="008D4445">
        <w:rPr>
          <w:rFonts w:ascii="Arial" w:eastAsia="SimSun" w:hAnsi="Arial" w:cs="Arial"/>
          <w:sz w:val="22"/>
          <w:szCs w:val="22"/>
          <w:lang w:val="fr-FR"/>
        </w:rPr>
        <w:t>article 17.3 de la Convention</w:t>
      </w:r>
      <w:r>
        <w:rPr>
          <w:rFonts w:ascii="Arial" w:eastAsia="SimSun" w:hAnsi="Arial" w:cs="Arial"/>
          <w:sz w:val="22"/>
          <w:szCs w:val="22"/>
          <w:lang w:val="fr-FR"/>
        </w:rPr>
        <w:t xml:space="preserve">. Les délégations saluaient </w:t>
      </w:r>
      <w:r w:rsidRPr="008D4445">
        <w:rPr>
          <w:rFonts w:ascii="Arial" w:eastAsia="SimSun" w:hAnsi="Arial" w:cs="Arial"/>
          <w:sz w:val="22"/>
          <w:szCs w:val="22"/>
          <w:lang w:val="fr-FR"/>
        </w:rPr>
        <w:t>l</w:t>
      </w:r>
      <w:r w:rsidR="008E532B">
        <w:rPr>
          <w:rFonts w:ascii="Arial" w:eastAsia="SimSun" w:hAnsi="Arial" w:cs="Arial"/>
          <w:sz w:val="22"/>
          <w:szCs w:val="22"/>
          <w:lang w:val="fr-FR"/>
        </w:rPr>
        <w:t>’</w:t>
      </w:r>
      <w:r>
        <w:rPr>
          <w:rFonts w:ascii="Arial" w:eastAsia="SimSun" w:hAnsi="Arial" w:cs="Arial"/>
          <w:sz w:val="22"/>
          <w:szCs w:val="22"/>
          <w:lang w:val="fr-FR"/>
        </w:rPr>
        <w:t>O</w:t>
      </w:r>
      <w:r w:rsidRPr="008D4445">
        <w:rPr>
          <w:rFonts w:ascii="Arial" w:eastAsia="SimSun" w:hAnsi="Arial" w:cs="Arial"/>
          <w:sz w:val="22"/>
          <w:szCs w:val="22"/>
          <w:lang w:val="fr-FR"/>
        </w:rPr>
        <w:t>rgane d</w:t>
      </w:r>
      <w:r w:rsidR="008E532B">
        <w:rPr>
          <w:rFonts w:ascii="Arial" w:eastAsia="SimSun" w:hAnsi="Arial" w:cs="Arial"/>
          <w:sz w:val="22"/>
          <w:szCs w:val="22"/>
          <w:lang w:val="fr-FR"/>
        </w:rPr>
        <w:t>’</w:t>
      </w:r>
      <w:r w:rsidRPr="008D4445">
        <w:rPr>
          <w:rFonts w:ascii="Arial" w:eastAsia="SimSun" w:hAnsi="Arial" w:cs="Arial"/>
          <w:sz w:val="22"/>
          <w:szCs w:val="22"/>
          <w:lang w:val="fr-FR"/>
        </w:rPr>
        <w:t>évaluation et le Secrétariat pour leur coopération efficace dans des circonstances difficiles. Les délégations</w:t>
      </w:r>
      <w:r>
        <w:rPr>
          <w:rFonts w:ascii="Arial" w:eastAsia="SimSun" w:hAnsi="Arial" w:cs="Arial"/>
          <w:sz w:val="22"/>
          <w:szCs w:val="22"/>
          <w:lang w:val="fr-FR"/>
        </w:rPr>
        <w:t xml:space="preserve"> se réjouissaient donc de</w:t>
      </w:r>
      <w:r w:rsidRPr="008D4445">
        <w:rPr>
          <w:rFonts w:ascii="Arial" w:eastAsia="SimSun" w:hAnsi="Arial" w:cs="Arial"/>
          <w:sz w:val="22"/>
          <w:szCs w:val="22"/>
          <w:lang w:val="fr-FR"/>
        </w:rPr>
        <w:t xml:space="preserve"> son inscription et remerci</w:t>
      </w:r>
      <w:r>
        <w:rPr>
          <w:rFonts w:ascii="Arial" w:eastAsia="SimSun" w:hAnsi="Arial" w:cs="Arial"/>
          <w:sz w:val="22"/>
          <w:szCs w:val="22"/>
          <w:lang w:val="fr-FR"/>
        </w:rPr>
        <w:t>aient</w:t>
      </w:r>
      <w:r w:rsidRPr="008D4445">
        <w:rPr>
          <w:rFonts w:ascii="Arial" w:eastAsia="SimSun" w:hAnsi="Arial" w:cs="Arial"/>
          <w:sz w:val="22"/>
          <w:szCs w:val="22"/>
          <w:lang w:val="fr-FR"/>
        </w:rPr>
        <w:t xml:space="preserve"> les membres du Comité pour leur décision opportune de protéger cet élément. Enfin, les délégations invit</w:t>
      </w:r>
      <w:r>
        <w:rPr>
          <w:rFonts w:ascii="Arial" w:eastAsia="SimSun" w:hAnsi="Arial" w:cs="Arial"/>
          <w:sz w:val="22"/>
          <w:szCs w:val="22"/>
          <w:lang w:val="fr-FR"/>
        </w:rPr>
        <w:t>aient</w:t>
      </w:r>
      <w:r w:rsidRPr="008D4445">
        <w:rPr>
          <w:rFonts w:ascii="Arial" w:eastAsia="SimSun" w:hAnsi="Arial" w:cs="Arial"/>
          <w:sz w:val="22"/>
          <w:szCs w:val="22"/>
          <w:lang w:val="fr-FR"/>
        </w:rPr>
        <w:t xml:space="preserve"> l</w:t>
      </w:r>
      <w:r w:rsidR="008E532B">
        <w:rPr>
          <w:rFonts w:ascii="Arial" w:eastAsia="SimSun" w:hAnsi="Arial" w:cs="Arial"/>
          <w:sz w:val="22"/>
          <w:szCs w:val="22"/>
          <w:lang w:val="fr-FR"/>
        </w:rPr>
        <w:t>’</w:t>
      </w:r>
      <w:r w:rsidRPr="008D4445">
        <w:rPr>
          <w:rFonts w:ascii="Arial" w:eastAsia="SimSun" w:hAnsi="Arial" w:cs="Arial"/>
          <w:sz w:val="22"/>
          <w:szCs w:val="22"/>
          <w:lang w:val="fr-FR"/>
        </w:rPr>
        <w:t>Ukraine, en collaboration avec les communautés concernées, à envisager de demander une assistance internationale d</w:t>
      </w:r>
      <w:r w:rsidR="008E532B">
        <w:rPr>
          <w:rFonts w:ascii="Arial" w:eastAsia="SimSun" w:hAnsi="Arial" w:cs="Arial"/>
          <w:sz w:val="22"/>
          <w:szCs w:val="22"/>
          <w:lang w:val="fr-FR"/>
        </w:rPr>
        <w:t>’</w:t>
      </w:r>
      <w:r w:rsidRPr="008D4445">
        <w:rPr>
          <w:rFonts w:ascii="Arial" w:eastAsia="SimSun" w:hAnsi="Arial" w:cs="Arial"/>
          <w:sz w:val="22"/>
          <w:szCs w:val="22"/>
          <w:lang w:val="fr-FR"/>
        </w:rPr>
        <w:t xml:space="preserve">urgence telle que définie dans la Convention. Elles </w:t>
      </w:r>
      <w:r>
        <w:rPr>
          <w:rFonts w:ascii="Arial" w:eastAsia="SimSun" w:hAnsi="Arial" w:cs="Arial"/>
          <w:sz w:val="22"/>
          <w:szCs w:val="22"/>
          <w:lang w:val="fr-FR"/>
        </w:rPr>
        <w:t xml:space="preserve">demandaient </w:t>
      </w:r>
      <w:r w:rsidRPr="008D4445">
        <w:rPr>
          <w:rFonts w:ascii="Arial" w:eastAsia="SimSun" w:hAnsi="Arial" w:cs="Arial"/>
          <w:sz w:val="22"/>
          <w:szCs w:val="22"/>
          <w:lang w:val="fr-FR"/>
        </w:rPr>
        <w:t>également à tous les États parties à la Convention, à l</w:t>
      </w:r>
      <w:r w:rsidR="008E532B">
        <w:rPr>
          <w:rFonts w:ascii="Arial" w:eastAsia="SimSun" w:hAnsi="Arial" w:cs="Arial"/>
          <w:sz w:val="22"/>
          <w:szCs w:val="22"/>
          <w:lang w:val="fr-FR"/>
        </w:rPr>
        <w:t>’</w:t>
      </w:r>
      <w:r w:rsidRPr="008D4445">
        <w:rPr>
          <w:rFonts w:ascii="Arial" w:eastAsia="SimSun" w:hAnsi="Arial" w:cs="Arial"/>
          <w:sz w:val="22"/>
          <w:szCs w:val="22"/>
          <w:lang w:val="fr-FR"/>
        </w:rPr>
        <w:t xml:space="preserve">UNESCO et à toute autre partie prenante nationale ou internationale concernée de continuer à apporter leur soutien en fonction des besoins identifiés pour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8D4445">
        <w:rPr>
          <w:rFonts w:ascii="Arial" w:eastAsia="SimSun" w:hAnsi="Arial" w:cs="Arial"/>
          <w:sz w:val="22"/>
          <w:szCs w:val="22"/>
          <w:lang w:val="fr-FR"/>
        </w:rPr>
        <w:t>de l</w:t>
      </w:r>
      <w:r w:rsidR="008E532B">
        <w:rPr>
          <w:rFonts w:ascii="Arial" w:eastAsia="SimSun" w:hAnsi="Arial" w:cs="Arial"/>
          <w:sz w:val="22"/>
          <w:szCs w:val="22"/>
          <w:lang w:val="fr-FR"/>
        </w:rPr>
        <w:t>’</w:t>
      </w:r>
      <w:r w:rsidRPr="008D4445">
        <w:rPr>
          <w:rFonts w:ascii="Arial" w:eastAsia="SimSun" w:hAnsi="Arial" w:cs="Arial"/>
          <w:sz w:val="22"/>
          <w:szCs w:val="22"/>
          <w:lang w:val="fr-FR"/>
        </w:rPr>
        <w:t>Ukraine.</w:t>
      </w:r>
    </w:p>
    <w:p w14:paraId="7EEB3C62" w14:textId="2B66D551" w:rsidR="00D9653F" w:rsidRPr="00252218"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631F21">
        <w:rPr>
          <w:rFonts w:ascii="Arial" w:eastAsia="SimSun" w:hAnsi="Arial" w:cs="Arial"/>
          <w:sz w:val="22"/>
          <w:szCs w:val="22"/>
          <w:lang w:val="fr-FR"/>
        </w:rPr>
        <w:t xml:space="preserve">La délégation du </w:t>
      </w:r>
      <w:r w:rsidRPr="00631F21">
        <w:rPr>
          <w:rFonts w:ascii="Arial" w:eastAsia="SimSun" w:hAnsi="Arial" w:cs="Arial"/>
          <w:b/>
          <w:bCs/>
          <w:sz w:val="22"/>
          <w:szCs w:val="22"/>
          <w:lang w:val="fr-FR"/>
        </w:rPr>
        <w:t>Kazakhstan</w:t>
      </w:r>
      <w:r w:rsidRPr="00631F21">
        <w:rPr>
          <w:rFonts w:ascii="Arial" w:eastAsia="SimSun" w:hAnsi="Arial" w:cs="Arial"/>
          <w:sz w:val="22"/>
          <w:szCs w:val="22"/>
          <w:lang w:val="fr-FR"/>
        </w:rPr>
        <w:t xml:space="preserve"> a félicité la Présidente pour son élection et a salué l</w:t>
      </w:r>
      <w:r w:rsidR="008E532B">
        <w:rPr>
          <w:rFonts w:ascii="Arial" w:eastAsia="SimSun" w:hAnsi="Arial" w:cs="Arial"/>
          <w:sz w:val="22"/>
          <w:szCs w:val="22"/>
          <w:lang w:val="fr-FR"/>
        </w:rPr>
        <w:t>’</w:t>
      </w:r>
      <w:r w:rsidRPr="00631F21">
        <w:rPr>
          <w:rFonts w:ascii="Arial" w:eastAsia="SimSun" w:hAnsi="Arial" w:cs="Arial"/>
          <w:sz w:val="22"/>
          <w:szCs w:val="22"/>
          <w:lang w:val="fr-FR"/>
        </w:rPr>
        <w:t>excellent travail du Secrétariat sous la direction de M. Tim Curtis, lui souhaitant un prompt rétablissement. Le Kazakhstan</w:t>
      </w:r>
      <w:r>
        <w:rPr>
          <w:rFonts w:ascii="Arial" w:eastAsia="SimSun" w:hAnsi="Arial" w:cs="Arial"/>
          <w:sz w:val="22"/>
          <w:szCs w:val="22"/>
          <w:lang w:val="fr-FR"/>
        </w:rPr>
        <w:t xml:space="preserve">, qui </w:t>
      </w:r>
      <w:r w:rsidRPr="00631F21">
        <w:rPr>
          <w:rFonts w:ascii="Arial" w:eastAsia="SimSun" w:hAnsi="Arial" w:cs="Arial"/>
          <w:sz w:val="22"/>
          <w:szCs w:val="22"/>
          <w:lang w:val="fr-FR"/>
        </w:rPr>
        <w:t>souten</w:t>
      </w:r>
      <w:r>
        <w:rPr>
          <w:rFonts w:ascii="Arial" w:eastAsia="SimSun" w:hAnsi="Arial" w:cs="Arial"/>
          <w:sz w:val="22"/>
          <w:szCs w:val="22"/>
          <w:lang w:val="fr-FR"/>
        </w:rPr>
        <w:t>ait</w:t>
      </w:r>
      <w:r w:rsidRPr="00631F21">
        <w:rPr>
          <w:rFonts w:ascii="Arial" w:eastAsia="SimSun" w:hAnsi="Arial" w:cs="Arial"/>
          <w:sz w:val="22"/>
          <w:szCs w:val="22"/>
          <w:lang w:val="fr-FR"/>
        </w:rPr>
        <w:t xml:space="preserve"> le projet d</w:t>
      </w:r>
      <w:r>
        <w:rPr>
          <w:rFonts w:ascii="Arial" w:eastAsia="SimSun" w:hAnsi="Arial" w:cs="Arial"/>
          <w:sz w:val="22"/>
          <w:szCs w:val="22"/>
          <w:lang w:val="fr-FR"/>
        </w:rPr>
        <w:t>e résolution</w:t>
      </w:r>
      <w:r w:rsidRPr="003A467B">
        <w:rPr>
          <w:rFonts w:ascii="Arial" w:eastAsia="SimSun" w:hAnsi="Arial" w:cs="Arial"/>
          <w:color w:val="FF0000"/>
          <w:sz w:val="22"/>
          <w:szCs w:val="22"/>
          <w:lang w:val="fr-FR"/>
        </w:rPr>
        <w:t xml:space="preserve"> </w:t>
      </w:r>
      <w:r w:rsidRPr="00631F21">
        <w:rPr>
          <w:rFonts w:ascii="Arial" w:eastAsia="SimSun" w:hAnsi="Arial" w:cs="Arial"/>
          <w:sz w:val="22"/>
          <w:szCs w:val="22"/>
          <w:lang w:val="fr-FR"/>
        </w:rPr>
        <w:t>proposé</w:t>
      </w:r>
      <w:r>
        <w:rPr>
          <w:rFonts w:ascii="Arial" w:eastAsia="SimSun" w:hAnsi="Arial" w:cs="Arial"/>
          <w:sz w:val="22"/>
          <w:szCs w:val="22"/>
          <w:lang w:val="fr-FR"/>
        </w:rPr>
        <w:t xml:space="preserve">, </w:t>
      </w:r>
      <w:r w:rsidRPr="00631F21">
        <w:rPr>
          <w:rFonts w:ascii="Arial" w:eastAsia="SimSun" w:hAnsi="Arial" w:cs="Arial"/>
          <w:sz w:val="22"/>
          <w:szCs w:val="22"/>
          <w:lang w:val="fr-FR"/>
        </w:rPr>
        <w:t xml:space="preserve">a exprimé sa gratitude au Secrétariat pour les progrès réalisés dans la réflexion </w:t>
      </w:r>
      <w:r>
        <w:rPr>
          <w:rFonts w:ascii="Arial" w:eastAsia="SimSun" w:hAnsi="Arial" w:cs="Arial"/>
          <w:sz w:val="22"/>
          <w:szCs w:val="22"/>
          <w:lang w:val="fr-FR"/>
        </w:rPr>
        <w:t xml:space="preserve">globale </w:t>
      </w:r>
      <w:r w:rsidRPr="00631F21">
        <w:rPr>
          <w:rFonts w:ascii="Arial" w:eastAsia="SimSun" w:hAnsi="Arial" w:cs="Arial"/>
          <w:sz w:val="22"/>
          <w:szCs w:val="22"/>
          <w:lang w:val="fr-FR"/>
        </w:rPr>
        <w:t>sur les mécanismes d</w:t>
      </w:r>
      <w:r w:rsidR="008E532B">
        <w:rPr>
          <w:rFonts w:ascii="Arial" w:eastAsia="SimSun" w:hAnsi="Arial" w:cs="Arial"/>
          <w:sz w:val="22"/>
          <w:szCs w:val="22"/>
          <w:lang w:val="fr-FR"/>
        </w:rPr>
        <w:t>’</w:t>
      </w:r>
      <w:r w:rsidRPr="00631F21">
        <w:rPr>
          <w:rFonts w:ascii="Arial" w:eastAsia="SimSun" w:hAnsi="Arial" w:cs="Arial"/>
          <w:sz w:val="22"/>
          <w:szCs w:val="22"/>
          <w:lang w:val="fr-FR"/>
        </w:rPr>
        <w:t xml:space="preserve">inscription </w:t>
      </w:r>
      <w:r>
        <w:rPr>
          <w:rFonts w:ascii="Arial" w:eastAsia="SimSun" w:hAnsi="Arial" w:cs="Arial"/>
          <w:sz w:val="22"/>
          <w:szCs w:val="22"/>
          <w:lang w:val="fr-FR"/>
        </w:rPr>
        <w:t xml:space="preserve">sur les listes </w:t>
      </w:r>
      <w:r w:rsidRPr="00631F21">
        <w:rPr>
          <w:rFonts w:ascii="Arial" w:eastAsia="SimSun" w:hAnsi="Arial" w:cs="Arial"/>
          <w:sz w:val="22"/>
          <w:szCs w:val="22"/>
          <w:lang w:val="fr-FR"/>
        </w:rPr>
        <w:t>de la Convention. Le Kazakhstan a</w:t>
      </w:r>
      <w:r>
        <w:rPr>
          <w:rFonts w:ascii="Arial" w:eastAsia="SimSun" w:hAnsi="Arial" w:cs="Arial"/>
          <w:sz w:val="22"/>
          <w:szCs w:val="22"/>
          <w:lang w:val="fr-FR"/>
        </w:rPr>
        <w:t xml:space="preserve">vait </w:t>
      </w:r>
      <w:r w:rsidRPr="00631F21">
        <w:rPr>
          <w:rFonts w:ascii="Arial" w:eastAsia="SimSun" w:hAnsi="Arial" w:cs="Arial"/>
          <w:sz w:val="22"/>
          <w:szCs w:val="22"/>
          <w:lang w:val="fr-FR"/>
        </w:rPr>
        <w:t xml:space="preserve">joué un rôle actif dans les réunions du </w:t>
      </w:r>
      <w:r>
        <w:rPr>
          <w:rFonts w:ascii="Arial" w:eastAsia="SimSun" w:hAnsi="Arial" w:cs="Arial"/>
          <w:sz w:val="22"/>
          <w:szCs w:val="22"/>
          <w:lang w:val="fr-FR"/>
        </w:rPr>
        <w:t>g</w:t>
      </w:r>
      <w:r w:rsidRPr="00631F21">
        <w:rPr>
          <w:rFonts w:ascii="Arial" w:eastAsia="SimSun" w:hAnsi="Arial" w:cs="Arial"/>
          <w:sz w:val="22"/>
          <w:szCs w:val="22"/>
          <w:lang w:val="fr-FR"/>
        </w:rPr>
        <w:t>roupe de travail intergouvernemental à composition non limitée et il esp</w:t>
      </w:r>
      <w:r>
        <w:rPr>
          <w:rFonts w:ascii="Arial" w:eastAsia="SimSun" w:hAnsi="Arial" w:cs="Arial"/>
          <w:sz w:val="22"/>
          <w:szCs w:val="22"/>
          <w:lang w:val="fr-FR"/>
        </w:rPr>
        <w:t>érait</w:t>
      </w:r>
      <w:r w:rsidRPr="00631F21">
        <w:rPr>
          <w:rFonts w:ascii="Arial" w:eastAsia="SimSun" w:hAnsi="Arial" w:cs="Arial"/>
          <w:sz w:val="22"/>
          <w:szCs w:val="22"/>
          <w:lang w:val="fr-FR"/>
        </w:rPr>
        <w:t xml:space="preserve"> que l</w:t>
      </w:r>
      <w:r w:rsidR="008E532B">
        <w:rPr>
          <w:rFonts w:ascii="Arial" w:eastAsia="SimSun" w:hAnsi="Arial" w:cs="Arial"/>
          <w:sz w:val="22"/>
          <w:szCs w:val="22"/>
          <w:lang w:val="fr-FR"/>
        </w:rPr>
        <w:t>’</w:t>
      </w:r>
      <w:r w:rsidRPr="00631F21">
        <w:rPr>
          <w:rFonts w:ascii="Arial" w:eastAsia="SimSun" w:hAnsi="Arial" w:cs="Arial"/>
          <w:sz w:val="22"/>
          <w:szCs w:val="22"/>
          <w:lang w:val="fr-FR"/>
        </w:rPr>
        <w:t>adoption des ajouts et modifications proposés par le groupe de travail et le Comité conduira</w:t>
      </w:r>
      <w:r>
        <w:rPr>
          <w:rFonts w:ascii="Arial" w:eastAsia="SimSun" w:hAnsi="Arial" w:cs="Arial"/>
          <w:sz w:val="22"/>
          <w:szCs w:val="22"/>
          <w:lang w:val="fr-FR"/>
        </w:rPr>
        <w:t>it</w:t>
      </w:r>
      <w:r w:rsidRPr="00631F21">
        <w:rPr>
          <w:rFonts w:ascii="Arial" w:eastAsia="SimSun" w:hAnsi="Arial" w:cs="Arial"/>
          <w:sz w:val="22"/>
          <w:szCs w:val="22"/>
          <w:lang w:val="fr-FR"/>
        </w:rPr>
        <w:t xml:space="preserve"> à des résultats importants pour le développement </w:t>
      </w:r>
      <w:r>
        <w:rPr>
          <w:rFonts w:ascii="Arial" w:eastAsia="SimSun" w:hAnsi="Arial" w:cs="Arial"/>
          <w:sz w:val="22"/>
          <w:szCs w:val="22"/>
          <w:lang w:val="fr-FR"/>
        </w:rPr>
        <w:t>à venir</w:t>
      </w:r>
      <w:r w:rsidRPr="00631F21">
        <w:rPr>
          <w:rFonts w:ascii="Arial" w:eastAsia="SimSun" w:hAnsi="Arial" w:cs="Arial"/>
          <w:sz w:val="22"/>
          <w:szCs w:val="22"/>
          <w:lang w:val="fr-FR"/>
        </w:rPr>
        <w:t xml:space="preserve"> de la Convention. La délégation </w:t>
      </w:r>
      <w:r>
        <w:rPr>
          <w:rFonts w:ascii="Arial" w:eastAsia="SimSun" w:hAnsi="Arial" w:cs="Arial"/>
          <w:sz w:val="22"/>
          <w:szCs w:val="22"/>
          <w:lang w:val="fr-FR"/>
        </w:rPr>
        <w:t xml:space="preserve">comprenait </w:t>
      </w:r>
      <w:r w:rsidRPr="00631F21">
        <w:rPr>
          <w:rFonts w:ascii="Arial" w:eastAsia="SimSun" w:hAnsi="Arial" w:cs="Arial"/>
          <w:sz w:val="22"/>
          <w:szCs w:val="22"/>
          <w:lang w:val="fr-FR"/>
        </w:rPr>
        <w:t xml:space="preserve">que le format des rapports présentés sur les travaux du Comité et du Secrétariat ne </w:t>
      </w:r>
      <w:r>
        <w:rPr>
          <w:rFonts w:ascii="Arial" w:eastAsia="SimSun" w:hAnsi="Arial" w:cs="Arial"/>
          <w:sz w:val="22"/>
          <w:szCs w:val="22"/>
          <w:lang w:val="fr-FR"/>
        </w:rPr>
        <w:t>permettait pas d</w:t>
      </w:r>
      <w:r w:rsidR="008E532B">
        <w:rPr>
          <w:rFonts w:ascii="Arial" w:eastAsia="SimSun" w:hAnsi="Arial" w:cs="Arial"/>
          <w:sz w:val="22"/>
          <w:szCs w:val="22"/>
          <w:lang w:val="fr-FR"/>
        </w:rPr>
        <w:t>’</w:t>
      </w:r>
      <w:r w:rsidRPr="00631F21">
        <w:rPr>
          <w:rFonts w:ascii="Arial" w:eastAsia="SimSun" w:hAnsi="Arial" w:cs="Arial"/>
          <w:sz w:val="22"/>
          <w:szCs w:val="22"/>
          <w:lang w:val="fr-FR"/>
        </w:rPr>
        <w:t xml:space="preserve">inclure toutes les différentes formes et méthodes de travail </w:t>
      </w:r>
      <w:r>
        <w:rPr>
          <w:rFonts w:ascii="Arial" w:eastAsia="SimSun" w:hAnsi="Arial" w:cs="Arial"/>
          <w:sz w:val="22"/>
          <w:szCs w:val="22"/>
          <w:lang w:val="fr-FR"/>
        </w:rPr>
        <w:t xml:space="preserve">mises en œuvre </w:t>
      </w:r>
      <w:r w:rsidRPr="00631F21">
        <w:rPr>
          <w:rFonts w:ascii="Arial" w:eastAsia="SimSun" w:hAnsi="Arial" w:cs="Arial"/>
          <w:sz w:val="22"/>
          <w:szCs w:val="22"/>
          <w:lang w:val="fr-FR"/>
        </w:rPr>
        <w:t>par les pays. À cet égard, le Kazakhstan a</w:t>
      </w:r>
      <w:r>
        <w:rPr>
          <w:rFonts w:ascii="Arial" w:eastAsia="SimSun" w:hAnsi="Arial" w:cs="Arial"/>
          <w:sz w:val="22"/>
          <w:szCs w:val="22"/>
          <w:lang w:val="fr-FR"/>
        </w:rPr>
        <w:t>vait</w:t>
      </w:r>
      <w:r w:rsidRPr="00631F21">
        <w:rPr>
          <w:rFonts w:ascii="Arial" w:eastAsia="SimSun" w:hAnsi="Arial" w:cs="Arial"/>
          <w:sz w:val="22"/>
          <w:szCs w:val="22"/>
          <w:lang w:val="fr-FR"/>
        </w:rPr>
        <w:t xml:space="preserve"> commencé à travailler activement dans deux domaines prioritaires de la Convention. Tout d</w:t>
      </w:r>
      <w:r w:rsidR="008E532B">
        <w:rPr>
          <w:rFonts w:ascii="Arial" w:eastAsia="SimSun" w:hAnsi="Arial" w:cs="Arial"/>
          <w:sz w:val="22"/>
          <w:szCs w:val="22"/>
          <w:lang w:val="fr-FR"/>
        </w:rPr>
        <w:t>’</w:t>
      </w:r>
      <w:r w:rsidRPr="00631F21">
        <w:rPr>
          <w:rFonts w:ascii="Arial" w:eastAsia="SimSun" w:hAnsi="Arial" w:cs="Arial"/>
          <w:sz w:val="22"/>
          <w:szCs w:val="22"/>
          <w:lang w:val="fr-FR"/>
        </w:rPr>
        <w:t>abord, dans la promotion de l</w:t>
      </w:r>
      <w:r w:rsidR="008E532B">
        <w:rPr>
          <w:rFonts w:ascii="Arial" w:eastAsia="SimSun" w:hAnsi="Arial" w:cs="Arial"/>
          <w:sz w:val="22"/>
          <w:szCs w:val="22"/>
          <w:lang w:val="fr-FR"/>
        </w:rPr>
        <w:t>’</w:t>
      </w:r>
      <w:r w:rsidRPr="00631F21">
        <w:rPr>
          <w:rFonts w:ascii="Arial" w:eastAsia="SimSun" w:hAnsi="Arial" w:cs="Arial"/>
          <w:sz w:val="22"/>
          <w:szCs w:val="22"/>
          <w:lang w:val="fr-FR"/>
        </w:rPr>
        <w:t xml:space="preserve">importance de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631F21">
        <w:rPr>
          <w:rFonts w:ascii="Arial" w:eastAsia="SimSun" w:hAnsi="Arial" w:cs="Arial"/>
          <w:sz w:val="22"/>
          <w:szCs w:val="22"/>
          <w:lang w:val="fr-FR"/>
        </w:rPr>
        <w:t xml:space="preserve">et de sa diffusion auprès des jeunes. Avec le soutien </w:t>
      </w:r>
      <w:r>
        <w:rPr>
          <w:rFonts w:ascii="Arial" w:eastAsia="SimSun" w:hAnsi="Arial" w:cs="Arial"/>
          <w:sz w:val="22"/>
          <w:szCs w:val="22"/>
          <w:lang w:val="fr-FR"/>
        </w:rPr>
        <w:t>de l</w:t>
      </w:r>
      <w:r w:rsidR="008E532B">
        <w:rPr>
          <w:rFonts w:ascii="Arial" w:eastAsia="SimSun" w:hAnsi="Arial" w:cs="Arial"/>
          <w:sz w:val="22"/>
          <w:szCs w:val="22"/>
          <w:lang w:val="fr-FR"/>
        </w:rPr>
        <w:t>’</w:t>
      </w:r>
      <w:r>
        <w:rPr>
          <w:rFonts w:ascii="Arial" w:eastAsia="SimSun" w:hAnsi="Arial" w:cs="Arial"/>
          <w:sz w:val="22"/>
          <w:szCs w:val="22"/>
          <w:lang w:val="fr-FR"/>
        </w:rPr>
        <w:t>ICHCAP</w:t>
      </w:r>
      <w:r>
        <w:rPr>
          <w:rStyle w:val="FootnoteReference"/>
          <w:rFonts w:ascii="Arial" w:eastAsia="SimSun" w:hAnsi="Arial" w:cs="Arial"/>
          <w:sz w:val="22"/>
          <w:szCs w:val="22"/>
          <w:lang w:val="fr-FR"/>
        </w:rPr>
        <w:footnoteReference w:id="5"/>
      </w:r>
      <w:r>
        <w:rPr>
          <w:rFonts w:ascii="Arial" w:eastAsia="SimSun" w:hAnsi="Arial" w:cs="Arial"/>
          <w:sz w:val="22"/>
          <w:szCs w:val="22"/>
          <w:lang w:val="fr-FR"/>
        </w:rPr>
        <w:t>, un</w:t>
      </w:r>
      <w:r w:rsidRPr="00631F21">
        <w:rPr>
          <w:rFonts w:ascii="Arial" w:eastAsia="SimSun" w:hAnsi="Arial" w:cs="Arial"/>
          <w:sz w:val="22"/>
          <w:szCs w:val="22"/>
          <w:lang w:val="fr-FR"/>
        </w:rPr>
        <w:t xml:space="preserve"> centre de catégorie 2, une quantité importante d</w:t>
      </w:r>
      <w:r w:rsidR="008E532B">
        <w:rPr>
          <w:rFonts w:ascii="Arial" w:eastAsia="SimSun" w:hAnsi="Arial" w:cs="Arial"/>
          <w:sz w:val="22"/>
          <w:szCs w:val="22"/>
          <w:lang w:val="fr-FR"/>
        </w:rPr>
        <w:t>’</w:t>
      </w:r>
      <w:r w:rsidRPr="00631F21">
        <w:rPr>
          <w:rFonts w:ascii="Arial" w:eastAsia="SimSun" w:hAnsi="Arial" w:cs="Arial"/>
          <w:sz w:val="22"/>
          <w:szCs w:val="22"/>
          <w:lang w:val="fr-FR"/>
        </w:rPr>
        <w:t xml:space="preserve">informations sur les éléments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631F21">
        <w:rPr>
          <w:rFonts w:ascii="Arial" w:eastAsia="SimSun" w:hAnsi="Arial" w:cs="Arial"/>
          <w:sz w:val="22"/>
          <w:szCs w:val="22"/>
          <w:lang w:val="fr-FR"/>
        </w:rPr>
        <w:t xml:space="preserve">kazakh </w:t>
      </w:r>
      <w:r>
        <w:rPr>
          <w:rFonts w:ascii="Arial" w:eastAsia="SimSun" w:hAnsi="Arial" w:cs="Arial"/>
          <w:sz w:val="22"/>
          <w:szCs w:val="22"/>
          <w:lang w:val="fr-FR"/>
        </w:rPr>
        <w:t xml:space="preserve">avait été mise à </w:t>
      </w:r>
      <w:r w:rsidRPr="00DD60F8">
        <w:rPr>
          <w:rFonts w:ascii="Arial" w:eastAsia="SimSun" w:hAnsi="Arial" w:cs="Arial"/>
          <w:sz w:val="22"/>
          <w:szCs w:val="22"/>
          <w:lang w:val="fr-FR"/>
        </w:rPr>
        <w:t>disposition</w:t>
      </w:r>
      <w:r w:rsidRPr="00631F21">
        <w:rPr>
          <w:rFonts w:ascii="Arial" w:eastAsia="SimSun" w:hAnsi="Arial" w:cs="Arial"/>
          <w:sz w:val="22"/>
          <w:szCs w:val="22"/>
          <w:lang w:val="fr-FR"/>
        </w:rPr>
        <w:t xml:space="preserve"> sur la plateforme numérique </w:t>
      </w:r>
      <w:proofErr w:type="spellStart"/>
      <w:r w:rsidRPr="00631F21">
        <w:rPr>
          <w:rFonts w:ascii="Arial" w:eastAsia="SimSun" w:hAnsi="Arial" w:cs="Arial"/>
          <w:sz w:val="22"/>
          <w:szCs w:val="22"/>
          <w:lang w:val="fr-FR"/>
        </w:rPr>
        <w:t>ichLinks</w:t>
      </w:r>
      <w:proofErr w:type="spellEnd"/>
      <w:r>
        <w:rPr>
          <w:rStyle w:val="FootnoteReference"/>
          <w:rFonts w:ascii="Arial" w:eastAsia="SimSun" w:hAnsi="Arial" w:cs="Arial"/>
          <w:sz w:val="22"/>
          <w:szCs w:val="22"/>
          <w:lang w:val="fr-FR"/>
        </w:rPr>
        <w:footnoteReference w:id="6"/>
      </w:r>
      <w:r w:rsidRPr="00631F21">
        <w:rPr>
          <w:rFonts w:ascii="Arial" w:eastAsia="SimSun" w:hAnsi="Arial" w:cs="Arial"/>
          <w:sz w:val="22"/>
          <w:szCs w:val="22"/>
          <w:lang w:val="fr-FR"/>
        </w:rPr>
        <w:t xml:space="preserve">, suscitant un grand intérêt parmi les </w:t>
      </w:r>
      <w:r>
        <w:rPr>
          <w:rFonts w:ascii="Arial" w:eastAsia="SimSun" w:hAnsi="Arial" w:cs="Arial"/>
          <w:sz w:val="22"/>
          <w:szCs w:val="22"/>
          <w:lang w:val="fr-FR"/>
        </w:rPr>
        <w:t>détent</w:t>
      </w:r>
      <w:r w:rsidRPr="00631F21">
        <w:rPr>
          <w:rFonts w:ascii="Arial" w:eastAsia="SimSun" w:hAnsi="Arial" w:cs="Arial"/>
          <w:sz w:val="22"/>
          <w:szCs w:val="22"/>
          <w:lang w:val="fr-FR"/>
        </w:rPr>
        <w:t xml:space="preserve">eurs et les communautés locales qui </w:t>
      </w:r>
      <w:r>
        <w:rPr>
          <w:rFonts w:ascii="Arial" w:eastAsia="SimSun" w:hAnsi="Arial" w:cs="Arial"/>
          <w:sz w:val="22"/>
          <w:szCs w:val="22"/>
          <w:lang w:val="fr-FR"/>
        </w:rPr>
        <w:t>avaient</w:t>
      </w:r>
      <w:r w:rsidRPr="00631F21">
        <w:rPr>
          <w:rFonts w:ascii="Arial" w:eastAsia="SimSun" w:hAnsi="Arial" w:cs="Arial"/>
          <w:sz w:val="22"/>
          <w:szCs w:val="22"/>
          <w:lang w:val="fr-FR"/>
        </w:rPr>
        <w:t xml:space="preserve"> demandé des informations supplémentaires, exprimant </w:t>
      </w:r>
      <w:r>
        <w:rPr>
          <w:rFonts w:ascii="Arial" w:eastAsia="SimSun" w:hAnsi="Arial" w:cs="Arial"/>
          <w:sz w:val="22"/>
          <w:szCs w:val="22"/>
          <w:lang w:val="fr-FR"/>
        </w:rPr>
        <w:t xml:space="preserve">ainsi </w:t>
      </w:r>
      <w:r w:rsidRPr="00631F21">
        <w:rPr>
          <w:rFonts w:ascii="Arial" w:eastAsia="SimSun" w:hAnsi="Arial" w:cs="Arial"/>
          <w:sz w:val="22"/>
          <w:szCs w:val="22"/>
          <w:lang w:val="fr-FR"/>
        </w:rPr>
        <w:t>leur intention de contribuer à la mise en œuvre de la Convention. Le Comité national kazakh a</w:t>
      </w:r>
      <w:r>
        <w:rPr>
          <w:rFonts w:ascii="Arial" w:eastAsia="SimSun" w:hAnsi="Arial" w:cs="Arial"/>
          <w:sz w:val="22"/>
          <w:szCs w:val="22"/>
          <w:lang w:val="fr-FR"/>
        </w:rPr>
        <w:t>vait</w:t>
      </w:r>
      <w:r w:rsidRPr="00631F21">
        <w:rPr>
          <w:rFonts w:ascii="Arial" w:eastAsia="SimSun" w:hAnsi="Arial" w:cs="Arial"/>
          <w:sz w:val="22"/>
          <w:szCs w:val="22"/>
          <w:lang w:val="fr-FR"/>
        </w:rPr>
        <w:t xml:space="preserve"> organisé un forum en ligne. L</w:t>
      </w:r>
      <w:r>
        <w:rPr>
          <w:rFonts w:ascii="Arial" w:eastAsia="SimSun" w:hAnsi="Arial" w:cs="Arial"/>
          <w:sz w:val="22"/>
          <w:szCs w:val="22"/>
          <w:lang w:val="fr-FR"/>
        </w:rPr>
        <w:t>a poste kazakhe</w:t>
      </w:r>
      <w:r w:rsidRPr="00631F21">
        <w:rPr>
          <w:rFonts w:ascii="Arial" w:eastAsia="SimSun" w:hAnsi="Arial" w:cs="Arial"/>
          <w:sz w:val="22"/>
          <w:szCs w:val="22"/>
          <w:lang w:val="fr-FR"/>
        </w:rPr>
        <w:t xml:space="preserve"> </w:t>
      </w:r>
      <w:r>
        <w:rPr>
          <w:rFonts w:ascii="Arial" w:eastAsia="SimSun" w:hAnsi="Arial" w:cs="Arial"/>
          <w:sz w:val="22"/>
          <w:szCs w:val="22"/>
          <w:lang w:val="fr-FR"/>
        </w:rPr>
        <w:t>avait</w:t>
      </w:r>
      <w:r w:rsidRPr="00631F21">
        <w:rPr>
          <w:rFonts w:ascii="Arial" w:eastAsia="SimSun" w:hAnsi="Arial" w:cs="Arial"/>
          <w:sz w:val="22"/>
          <w:szCs w:val="22"/>
          <w:lang w:val="fr-FR"/>
        </w:rPr>
        <w:t xml:space="preserve"> publié et distribué dans tout le pays un timbre-poste consacré au dixième anniversaire de l</w:t>
      </w:r>
      <w:r w:rsidR="008E532B">
        <w:rPr>
          <w:rFonts w:ascii="Arial" w:eastAsia="SimSun" w:hAnsi="Arial" w:cs="Arial"/>
          <w:sz w:val="22"/>
          <w:szCs w:val="22"/>
          <w:lang w:val="fr-FR"/>
        </w:rPr>
        <w:t>’</w:t>
      </w:r>
      <w:r w:rsidRPr="00631F21">
        <w:rPr>
          <w:rFonts w:ascii="Arial" w:eastAsia="SimSun" w:hAnsi="Arial" w:cs="Arial"/>
          <w:sz w:val="22"/>
          <w:szCs w:val="22"/>
          <w:lang w:val="fr-FR"/>
        </w:rPr>
        <w:t>adhésion du Kazakhstan à la Convention. Un deuxième timbre sera</w:t>
      </w:r>
      <w:r>
        <w:rPr>
          <w:rFonts w:ascii="Arial" w:eastAsia="SimSun" w:hAnsi="Arial" w:cs="Arial"/>
          <w:sz w:val="22"/>
          <w:szCs w:val="22"/>
          <w:lang w:val="fr-FR"/>
        </w:rPr>
        <w:t>it</w:t>
      </w:r>
      <w:r w:rsidRPr="00631F21">
        <w:rPr>
          <w:rFonts w:ascii="Arial" w:eastAsia="SimSun" w:hAnsi="Arial" w:cs="Arial"/>
          <w:sz w:val="22"/>
          <w:szCs w:val="22"/>
          <w:lang w:val="fr-FR"/>
        </w:rPr>
        <w:t xml:space="preserve"> émis pour commémorer le </w:t>
      </w:r>
      <w:r>
        <w:rPr>
          <w:rFonts w:ascii="Arial" w:eastAsia="SimSun" w:hAnsi="Arial" w:cs="Arial"/>
          <w:sz w:val="22"/>
          <w:szCs w:val="22"/>
          <w:lang w:val="fr-FR"/>
        </w:rPr>
        <w:t>vingtième</w:t>
      </w:r>
      <w:r w:rsidRPr="00631F21">
        <w:rPr>
          <w:rFonts w:ascii="Arial" w:eastAsia="SimSun" w:hAnsi="Arial" w:cs="Arial"/>
          <w:sz w:val="22"/>
          <w:szCs w:val="22"/>
          <w:lang w:val="fr-FR"/>
        </w:rPr>
        <w:t xml:space="preserve"> anniversaire de la Convention. En collaboration avec le ministère de la Culture et des Sports du Kazakhstan, le Comité national a</w:t>
      </w:r>
      <w:r>
        <w:rPr>
          <w:rFonts w:ascii="Arial" w:eastAsia="SimSun" w:hAnsi="Arial" w:cs="Arial"/>
          <w:sz w:val="22"/>
          <w:szCs w:val="22"/>
          <w:lang w:val="fr-FR"/>
        </w:rPr>
        <w:t>vait</w:t>
      </w:r>
      <w:r w:rsidRPr="00631F21">
        <w:rPr>
          <w:rFonts w:ascii="Arial" w:eastAsia="SimSun" w:hAnsi="Arial" w:cs="Arial"/>
          <w:sz w:val="22"/>
          <w:szCs w:val="22"/>
          <w:lang w:val="fr-FR"/>
        </w:rPr>
        <w:t xml:space="preserve"> lancé un projet pilote</w:t>
      </w:r>
      <w:r>
        <w:rPr>
          <w:rFonts w:ascii="Arial" w:eastAsia="SimSun" w:hAnsi="Arial" w:cs="Arial"/>
          <w:sz w:val="22"/>
          <w:szCs w:val="22"/>
          <w:lang w:val="fr-FR"/>
        </w:rPr>
        <w:t xml:space="preserve"> auquel avaient participé</w:t>
      </w:r>
      <w:r w:rsidRPr="00631F21">
        <w:rPr>
          <w:rFonts w:ascii="Arial" w:eastAsia="SimSun" w:hAnsi="Arial" w:cs="Arial"/>
          <w:sz w:val="22"/>
          <w:szCs w:val="22"/>
          <w:lang w:val="fr-FR"/>
        </w:rPr>
        <w:t xml:space="preserve"> </w:t>
      </w:r>
      <w:r>
        <w:rPr>
          <w:rFonts w:ascii="Arial" w:eastAsia="SimSun" w:hAnsi="Arial" w:cs="Arial"/>
          <w:sz w:val="22"/>
          <w:szCs w:val="22"/>
          <w:lang w:val="fr-FR"/>
        </w:rPr>
        <w:t xml:space="preserve">des </w:t>
      </w:r>
      <w:r w:rsidRPr="00631F21">
        <w:rPr>
          <w:rFonts w:ascii="Arial" w:eastAsia="SimSun" w:hAnsi="Arial" w:cs="Arial"/>
          <w:sz w:val="22"/>
          <w:szCs w:val="22"/>
          <w:lang w:val="fr-FR"/>
        </w:rPr>
        <w:t>équipes d</w:t>
      </w:r>
      <w:r w:rsidR="008E532B">
        <w:rPr>
          <w:rFonts w:ascii="Arial" w:eastAsia="SimSun" w:hAnsi="Arial" w:cs="Arial"/>
          <w:sz w:val="22"/>
          <w:szCs w:val="22"/>
          <w:lang w:val="fr-FR"/>
        </w:rPr>
        <w:t>’</w:t>
      </w:r>
      <w:r w:rsidRPr="00631F21">
        <w:rPr>
          <w:rFonts w:ascii="Arial" w:eastAsia="SimSun" w:hAnsi="Arial" w:cs="Arial"/>
          <w:sz w:val="22"/>
          <w:szCs w:val="22"/>
          <w:lang w:val="fr-FR"/>
        </w:rPr>
        <w:t xml:space="preserve">écoliers et des communautés locales de </w:t>
      </w:r>
      <w:r>
        <w:rPr>
          <w:rFonts w:ascii="Arial" w:eastAsia="SimSun" w:hAnsi="Arial" w:cs="Arial"/>
          <w:sz w:val="22"/>
          <w:szCs w:val="22"/>
          <w:lang w:val="fr-FR"/>
        </w:rPr>
        <w:t>détenteurs</w:t>
      </w:r>
      <w:r w:rsidRPr="00631F21">
        <w:rPr>
          <w:rFonts w:ascii="Arial" w:eastAsia="SimSun" w:hAnsi="Arial" w:cs="Arial"/>
          <w:sz w:val="22"/>
          <w:szCs w:val="22"/>
          <w:lang w:val="fr-FR"/>
        </w:rPr>
        <w:t xml:space="preserv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631F21">
        <w:rPr>
          <w:rFonts w:ascii="Arial" w:eastAsia="SimSun" w:hAnsi="Arial" w:cs="Arial"/>
          <w:sz w:val="22"/>
          <w:szCs w:val="22"/>
          <w:lang w:val="fr-FR"/>
        </w:rPr>
        <w:t xml:space="preserve">dans cinq districts ruraux du Kazakhstan, les musées historiques et ethnographiques </w:t>
      </w:r>
      <w:proofErr w:type="gramStart"/>
      <w:r w:rsidRPr="00631F21">
        <w:rPr>
          <w:rFonts w:ascii="Arial" w:eastAsia="SimSun" w:hAnsi="Arial" w:cs="Arial"/>
          <w:sz w:val="22"/>
          <w:szCs w:val="22"/>
          <w:lang w:val="fr-FR"/>
        </w:rPr>
        <w:t>locaux coordonnant</w:t>
      </w:r>
      <w:proofErr w:type="gramEnd"/>
      <w:r w:rsidRPr="00631F21">
        <w:rPr>
          <w:rFonts w:ascii="Arial" w:eastAsia="SimSun" w:hAnsi="Arial" w:cs="Arial"/>
          <w:sz w:val="22"/>
          <w:szCs w:val="22"/>
          <w:lang w:val="fr-FR"/>
        </w:rPr>
        <w:t xml:space="preserve"> et dirigeant le travail. Sur la base des résultats du projet pilote, il était prévu que le ministère de l</w:t>
      </w:r>
      <w:r w:rsidR="008E532B">
        <w:rPr>
          <w:rFonts w:ascii="Arial" w:eastAsia="SimSun" w:hAnsi="Arial" w:cs="Arial"/>
          <w:sz w:val="22"/>
          <w:szCs w:val="22"/>
          <w:lang w:val="fr-FR"/>
        </w:rPr>
        <w:t>’</w:t>
      </w:r>
      <w:r>
        <w:rPr>
          <w:rFonts w:ascii="Arial" w:eastAsia="SimSun" w:hAnsi="Arial" w:cs="Arial"/>
          <w:sz w:val="22"/>
          <w:szCs w:val="22"/>
          <w:lang w:val="fr-FR"/>
        </w:rPr>
        <w:t>É</w:t>
      </w:r>
      <w:r w:rsidRPr="00631F21">
        <w:rPr>
          <w:rFonts w:ascii="Arial" w:eastAsia="SimSun" w:hAnsi="Arial" w:cs="Arial"/>
          <w:sz w:val="22"/>
          <w:szCs w:val="22"/>
          <w:lang w:val="fr-FR"/>
        </w:rPr>
        <w:t xml:space="preserve">ducation apporte des modifications aux manuels </w:t>
      </w:r>
      <w:r>
        <w:rPr>
          <w:rFonts w:ascii="Arial" w:eastAsia="SimSun" w:hAnsi="Arial" w:cs="Arial"/>
          <w:sz w:val="22"/>
          <w:szCs w:val="22"/>
          <w:lang w:val="fr-FR"/>
        </w:rPr>
        <w:t>scolaires d</w:t>
      </w:r>
      <w:r w:rsidR="008E532B">
        <w:rPr>
          <w:rFonts w:ascii="Arial" w:eastAsia="SimSun" w:hAnsi="Arial" w:cs="Arial"/>
          <w:sz w:val="22"/>
          <w:szCs w:val="22"/>
          <w:lang w:val="fr-FR"/>
        </w:rPr>
        <w:t>’</w:t>
      </w:r>
      <w:r>
        <w:rPr>
          <w:rFonts w:ascii="Arial" w:eastAsia="SimSun" w:hAnsi="Arial" w:cs="Arial"/>
          <w:sz w:val="22"/>
          <w:szCs w:val="22"/>
          <w:lang w:val="fr-FR"/>
        </w:rPr>
        <w:t>histoire locale</w:t>
      </w:r>
      <w:r w:rsidRPr="00631F21">
        <w:rPr>
          <w:rFonts w:ascii="Arial" w:eastAsia="SimSun" w:hAnsi="Arial" w:cs="Arial"/>
          <w:sz w:val="22"/>
          <w:szCs w:val="22"/>
          <w:lang w:val="fr-FR"/>
        </w:rPr>
        <w:t xml:space="preserve">. Cela était conforme aux orientations adoptées dans </w:t>
      </w:r>
      <w:r>
        <w:rPr>
          <w:rFonts w:ascii="Arial" w:eastAsia="SimSun" w:hAnsi="Arial" w:cs="Arial"/>
          <w:sz w:val="22"/>
          <w:szCs w:val="22"/>
          <w:lang w:val="fr-FR"/>
        </w:rPr>
        <w:t xml:space="preserve">le cadre de </w:t>
      </w:r>
      <w:r w:rsidRPr="00631F21">
        <w:rPr>
          <w:rFonts w:ascii="Arial" w:eastAsia="SimSun" w:hAnsi="Arial" w:cs="Arial"/>
          <w:sz w:val="22"/>
          <w:szCs w:val="22"/>
          <w:lang w:val="fr-FR"/>
        </w:rPr>
        <w:t xml:space="preserve">la </w:t>
      </w:r>
      <w:r>
        <w:rPr>
          <w:rFonts w:ascii="Arial" w:eastAsia="SimSun" w:hAnsi="Arial" w:cs="Arial"/>
          <w:sz w:val="22"/>
          <w:szCs w:val="22"/>
          <w:lang w:val="fr-FR"/>
        </w:rPr>
        <w:t>S</w:t>
      </w:r>
      <w:r w:rsidRPr="00631F21">
        <w:rPr>
          <w:rFonts w:ascii="Arial" w:eastAsia="SimSun" w:hAnsi="Arial" w:cs="Arial"/>
          <w:sz w:val="22"/>
          <w:szCs w:val="22"/>
          <w:lang w:val="fr-FR"/>
        </w:rPr>
        <w:t xml:space="preserve">tratégie à moyen terme pour 2022-2029 </w:t>
      </w:r>
      <w:r>
        <w:rPr>
          <w:rFonts w:ascii="Arial" w:eastAsia="SimSun" w:hAnsi="Arial" w:cs="Arial"/>
          <w:sz w:val="22"/>
          <w:szCs w:val="22"/>
          <w:lang w:val="fr-FR"/>
        </w:rPr>
        <w:t>relative à</w:t>
      </w:r>
      <w:r w:rsidRPr="00252218">
        <w:rPr>
          <w:rFonts w:ascii="Arial" w:eastAsia="SimSun" w:hAnsi="Arial" w:cs="Arial"/>
          <w:sz w:val="22"/>
          <w:szCs w:val="22"/>
          <w:lang w:val="fr-FR"/>
        </w:rPr>
        <w:t xml:space="preserve"> la synergie entre les programmes d</w:t>
      </w:r>
      <w:r w:rsidR="008E532B">
        <w:rPr>
          <w:rFonts w:ascii="Arial" w:eastAsia="SimSun" w:hAnsi="Arial" w:cs="Arial"/>
          <w:sz w:val="22"/>
          <w:szCs w:val="22"/>
          <w:lang w:val="fr-FR"/>
        </w:rPr>
        <w:t>’</w:t>
      </w:r>
      <w:r w:rsidRPr="00252218">
        <w:rPr>
          <w:rFonts w:ascii="Arial" w:eastAsia="SimSun" w:hAnsi="Arial" w:cs="Arial"/>
          <w:sz w:val="22"/>
          <w:szCs w:val="22"/>
          <w:lang w:val="fr-FR"/>
        </w:rPr>
        <w:t>éducation et de patrimoine culturel. La délégation a fait remarquer que les trente dernières années de coopération fructueuse avec l</w:t>
      </w:r>
      <w:r w:rsidR="008E532B">
        <w:rPr>
          <w:rFonts w:ascii="Arial" w:eastAsia="SimSun" w:hAnsi="Arial" w:cs="Arial"/>
          <w:sz w:val="22"/>
          <w:szCs w:val="22"/>
          <w:lang w:val="fr-FR"/>
        </w:rPr>
        <w:t>’</w:t>
      </w:r>
      <w:r w:rsidRPr="00252218">
        <w:rPr>
          <w:rFonts w:ascii="Arial" w:eastAsia="SimSun" w:hAnsi="Arial" w:cs="Arial"/>
          <w:sz w:val="22"/>
          <w:szCs w:val="22"/>
          <w:lang w:val="fr-FR"/>
        </w:rPr>
        <w:t>UNESCO avaient permis au monde de découvrir la contribution du pays au développement de la culture universelle, comme le démontr</w:t>
      </w:r>
      <w:r>
        <w:rPr>
          <w:rFonts w:ascii="Arial" w:eastAsia="SimSun" w:hAnsi="Arial" w:cs="Arial"/>
          <w:sz w:val="22"/>
          <w:szCs w:val="22"/>
          <w:lang w:val="fr-FR"/>
        </w:rPr>
        <w:t>ai</w:t>
      </w:r>
      <w:r w:rsidRPr="00252218">
        <w:rPr>
          <w:rFonts w:ascii="Arial" w:eastAsia="SimSun" w:hAnsi="Arial" w:cs="Arial"/>
          <w:sz w:val="22"/>
          <w:szCs w:val="22"/>
          <w:lang w:val="fr-FR"/>
        </w:rPr>
        <w:t xml:space="preserve">ent clairement les listes mondiales du patrimoine culturel et naturel. La Convention avait donné un sens différent à la culture </w:t>
      </w:r>
      <w:r>
        <w:rPr>
          <w:rFonts w:ascii="Arial" w:eastAsia="SimSun" w:hAnsi="Arial" w:cs="Arial"/>
          <w:sz w:val="22"/>
          <w:szCs w:val="22"/>
          <w:lang w:val="fr-FR"/>
        </w:rPr>
        <w:t xml:space="preserve">des </w:t>
      </w:r>
      <w:r w:rsidRPr="00252218">
        <w:rPr>
          <w:rFonts w:ascii="Arial" w:eastAsia="SimSun" w:hAnsi="Arial" w:cs="Arial"/>
          <w:sz w:val="22"/>
          <w:szCs w:val="22"/>
          <w:lang w:val="fr-FR"/>
        </w:rPr>
        <w:t>nomade</w:t>
      </w:r>
      <w:r>
        <w:rPr>
          <w:rFonts w:ascii="Arial" w:eastAsia="SimSun" w:hAnsi="Arial" w:cs="Arial"/>
          <w:sz w:val="22"/>
          <w:szCs w:val="22"/>
          <w:lang w:val="fr-FR"/>
        </w:rPr>
        <w:t>s</w:t>
      </w:r>
      <w:r w:rsidRPr="00252218">
        <w:rPr>
          <w:rFonts w:ascii="Arial" w:eastAsia="SimSun" w:hAnsi="Arial" w:cs="Arial"/>
          <w:sz w:val="22"/>
          <w:szCs w:val="22"/>
          <w:lang w:val="fr-FR"/>
        </w:rPr>
        <w:t xml:space="preserve"> </w:t>
      </w:r>
      <w:r>
        <w:rPr>
          <w:rFonts w:ascii="Arial" w:eastAsia="SimSun" w:hAnsi="Arial" w:cs="Arial"/>
          <w:sz w:val="22"/>
          <w:szCs w:val="22"/>
          <w:lang w:val="fr-FR"/>
        </w:rPr>
        <w:t>au sein du</w:t>
      </w:r>
      <w:r w:rsidRPr="00252218">
        <w:rPr>
          <w:rFonts w:ascii="Arial" w:eastAsia="SimSun" w:hAnsi="Arial" w:cs="Arial"/>
          <w:sz w:val="22"/>
          <w:szCs w:val="22"/>
          <w:lang w:val="fr-FR"/>
        </w:rPr>
        <w:t xml:space="preserve"> patrimoine culturel universel. Cela </w:t>
      </w:r>
      <w:r>
        <w:rPr>
          <w:rFonts w:ascii="Arial" w:eastAsia="SimSun" w:hAnsi="Arial" w:cs="Arial"/>
          <w:sz w:val="22"/>
          <w:szCs w:val="22"/>
          <w:lang w:val="fr-FR"/>
        </w:rPr>
        <w:t xml:space="preserve">ne pouvait pas être </w:t>
      </w:r>
      <w:r w:rsidRPr="00252218">
        <w:rPr>
          <w:rFonts w:ascii="Arial" w:eastAsia="SimSun" w:hAnsi="Arial" w:cs="Arial"/>
          <w:sz w:val="22"/>
          <w:szCs w:val="22"/>
          <w:lang w:val="fr-FR"/>
        </w:rPr>
        <w:t>réalisé avec d</w:t>
      </w:r>
      <w:r w:rsidR="008E532B">
        <w:rPr>
          <w:rFonts w:ascii="Arial" w:eastAsia="SimSun" w:hAnsi="Arial" w:cs="Arial"/>
          <w:sz w:val="22"/>
          <w:szCs w:val="22"/>
          <w:lang w:val="fr-FR"/>
        </w:rPr>
        <w:t>’</w:t>
      </w:r>
      <w:r w:rsidRPr="00252218">
        <w:rPr>
          <w:rFonts w:ascii="Arial" w:eastAsia="SimSun" w:hAnsi="Arial" w:cs="Arial"/>
          <w:sz w:val="22"/>
          <w:szCs w:val="22"/>
          <w:lang w:val="fr-FR"/>
        </w:rPr>
        <w:t>autres mécanismes culturels et juridiques connus. Le Kazakhstan continuera</w:t>
      </w:r>
      <w:r>
        <w:rPr>
          <w:rFonts w:ascii="Arial" w:eastAsia="SimSun" w:hAnsi="Arial" w:cs="Arial"/>
          <w:sz w:val="22"/>
          <w:szCs w:val="22"/>
          <w:lang w:val="fr-FR"/>
        </w:rPr>
        <w:t>it</w:t>
      </w:r>
      <w:r w:rsidRPr="00252218">
        <w:rPr>
          <w:rFonts w:ascii="Arial" w:eastAsia="SimSun" w:hAnsi="Arial" w:cs="Arial"/>
          <w:sz w:val="22"/>
          <w:szCs w:val="22"/>
          <w:lang w:val="fr-FR"/>
        </w:rPr>
        <w:t xml:space="preserve"> donc à participer activement à la mise en œuvre de la Convention et </w:t>
      </w:r>
      <w:r>
        <w:rPr>
          <w:rFonts w:ascii="Arial" w:eastAsia="SimSun" w:hAnsi="Arial" w:cs="Arial"/>
          <w:sz w:val="22"/>
          <w:szCs w:val="22"/>
          <w:lang w:val="fr-FR"/>
        </w:rPr>
        <w:t xml:space="preserve">était </w:t>
      </w:r>
      <w:r w:rsidRPr="00252218">
        <w:rPr>
          <w:rFonts w:ascii="Arial" w:eastAsia="SimSun" w:hAnsi="Arial" w:cs="Arial"/>
          <w:sz w:val="22"/>
          <w:szCs w:val="22"/>
          <w:lang w:val="fr-FR"/>
        </w:rPr>
        <w:t>ouvert à la coopération avec tous les pays intéressés par ses projets.</w:t>
      </w:r>
    </w:p>
    <w:p w14:paraId="2178724A" w14:textId="5D37AAA3" w:rsidR="00D9653F" w:rsidRPr="0003799A"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03799A">
        <w:rPr>
          <w:rFonts w:ascii="Arial" w:eastAsia="SimSun" w:hAnsi="Arial" w:cs="Arial"/>
          <w:sz w:val="22"/>
          <w:szCs w:val="22"/>
          <w:lang w:val="fr-FR"/>
        </w:rPr>
        <w:t xml:space="preserve">La délégation du </w:t>
      </w:r>
      <w:r w:rsidRPr="0003799A">
        <w:rPr>
          <w:rFonts w:ascii="Arial" w:eastAsia="SimSun" w:hAnsi="Arial" w:cs="Arial"/>
          <w:b/>
          <w:bCs/>
          <w:sz w:val="22"/>
          <w:szCs w:val="22"/>
          <w:lang w:val="fr-FR"/>
        </w:rPr>
        <w:t>Brésil</w:t>
      </w:r>
      <w:r w:rsidRPr="0003799A">
        <w:rPr>
          <w:rFonts w:ascii="Arial" w:eastAsia="SimSun" w:hAnsi="Arial" w:cs="Arial"/>
          <w:sz w:val="22"/>
          <w:szCs w:val="22"/>
          <w:lang w:val="fr-FR"/>
        </w:rPr>
        <w:t xml:space="preserve"> a félicité la Présidente pour son élection et a reconnu la grande contribution de la Jamaïque </w:t>
      </w:r>
      <w:r>
        <w:rPr>
          <w:rFonts w:ascii="Arial" w:eastAsia="SimSun" w:hAnsi="Arial" w:cs="Arial"/>
          <w:sz w:val="22"/>
          <w:szCs w:val="22"/>
          <w:lang w:val="fr-FR"/>
        </w:rPr>
        <w:t xml:space="preserve">aux </w:t>
      </w:r>
      <w:r w:rsidRPr="0003799A">
        <w:rPr>
          <w:rFonts w:ascii="Arial" w:eastAsia="SimSun" w:hAnsi="Arial" w:cs="Arial"/>
          <w:sz w:val="22"/>
          <w:szCs w:val="22"/>
          <w:lang w:val="fr-FR"/>
        </w:rPr>
        <w:t>discussion</w:t>
      </w:r>
      <w:r>
        <w:rPr>
          <w:rFonts w:ascii="Arial" w:eastAsia="SimSun" w:hAnsi="Arial" w:cs="Arial"/>
          <w:sz w:val="22"/>
          <w:szCs w:val="22"/>
          <w:lang w:val="fr-FR"/>
        </w:rPr>
        <w:t>s</w:t>
      </w:r>
      <w:r w:rsidRPr="0003799A">
        <w:rPr>
          <w:rFonts w:ascii="Arial" w:eastAsia="SimSun" w:hAnsi="Arial" w:cs="Arial"/>
          <w:sz w:val="22"/>
          <w:szCs w:val="22"/>
          <w:lang w:val="fr-FR"/>
        </w:rPr>
        <w:t xml:space="preserve"> en</w:t>
      </w:r>
      <w:r>
        <w:rPr>
          <w:rFonts w:ascii="Arial" w:eastAsia="SimSun" w:hAnsi="Arial" w:cs="Arial"/>
          <w:sz w:val="22"/>
          <w:szCs w:val="22"/>
          <w:lang w:val="fr-FR"/>
        </w:rPr>
        <w:t xml:space="preserve">gagées </w:t>
      </w:r>
      <w:r w:rsidRPr="0003799A">
        <w:rPr>
          <w:rFonts w:ascii="Arial" w:eastAsia="SimSun" w:hAnsi="Arial" w:cs="Arial"/>
          <w:sz w:val="22"/>
          <w:szCs w:val="22"/>
          <w:lang w:val="fr-FR"/>
        </w:rPr>
        <w:t>par le Comité en 2021. Le Brésil a remercié le Secrétariat pour son rapport très détaillé sur la dernière session du Comité. En tant que membre du Comité, le Brésil</w:t>
      </w:r>
      <w:r>
        <w:rPr>
          <w:rFonts w:ascii="Arial" w:eastAsia="SimSun" w:hAnsi="Arial" w:cs="Arial"/>
          <w:sz w:val="22"/>
          <w:szCs w:val="22"/>
          <w:lang w:val="fr-FR"/>
        </w:rPr>
        <w:t xml:space="preserve"> </w:t>
      </w:r>
      <w:r w:rsidRPr="0003799A">
        <w:rPr>
          <w:rFonts w:ascii="Arial" w:eastAsia="SimSun" w:hAnsi="Arial" w:cs="Arial"/>
          <w:sz w:val="22"/>
          <w:szCs w:val="22"/>
          <w:lang w:val="fr-FR"/>
        </w:rPr>
        <w:t>souhait</w:t>
      </w:r>
      <w:r>
        <w:rPr>
          <w:rFonts w:ascii="Arial" w:eastAsia="SimSun" w:hAnsi="Arial" w:cs="Arial"/>
          <w:sz w:val="22"/>
          <w:szCs w:val="22"/>
          <w:lang w:val="fr-FR"/>
        </w:rPr>
        <w:t>ait</w:t>
      </w:r>
      <w:r w:rsidRPr="0003799A">
        <w:rPr>
          <w:rFonts w:ascii="Arial" w:eastAsia="SimSun" w:hAnsi="Arial" w:cs="Arial"/>
          <w:sz w:val="22"/>
          <w:szCs w:val="22"/>
          <w:lang w:val="fr-FR"/>
        </w:rPr>
        <w:t xml:space="preserve"> </w:t>
      </w:r>
      <w:r>
        <w:rPr>
          <w:rFonts w:ascii="Arial" w:eastAsia="SimSun" w:hAnsi="Arial" w:cs="Arial"/>
          <w:sz w:val="22"/>
          <w:szCs w:val="22"/>
          <w:lang w:val="fr-FR"/>
        </w:rPr>
        <w:t>souligner</w:t>
      </w:r>
      <w:r w:rsidRPr="0003799A">
        <w:rPr>
          <w:rFonts w:ascii="Arial" w:eastAsia="SimSun" w:hAnsi="Arial" w:cs="Arial"/>
          <w:sz w:val="22"/>
          <w:szCs w:val="22"/>
          <w:lang w:val="fr-FR"/>
        </w:rPr>
        <w:t xml:space="preserve"> quelques points clés. Premièrement, la pertinence </w:t>
      </w:r>
      <w:r>
        <w:rPr>
          <w:rFonts w:ascii="Arial" w:eastAsia="SimSun" w:hAnsi="Arial" w:cs="Arial"/>
          <w:sz w:val="22"/>
          <w:szCs w:val="22"/>
          <w:lang w:val="fr-FR"/>
        </w:rPr>
        <w:t>de l</w:t>
      </w:r>
      <w:r w:rsidR="008E532B">
        <w:rPr>
          <w:rFonts w:ascii="Arial" w:eastAsia="SimSun" w:hAnsi="Arial" w:cs="Arial"/>
          <w:sz w:val="22"/>
          <w:szCs w:val="22"/>
          <w:lang w:val="fr-FR"/>
        </w:rPr>
        <w:t>’</w:t>
      </w:r>
      <w:r>
        <w:rPr>
          <w:rFonts w:ascii="Arial" w:eastAsia="SimSun" w:hAnsi="Arial" w:cs="Arial"/>
          <w:sz w:val="22"/>
          <w:szCs w:val="22"/>
          <w:lang w:val="fr-FR"/>
        </w:rPr>
        <w:t xml:space="preserve">intérêt </w:t>
      </w:r>
      <w:r w:rsidRPr="0003799A">
        <w:rPr>
          <w:rFonts w:ascii="Arial" w:eastAsia="SimSun" w:hAnsi="Arial" w:cs="Arial"/>
          <w:sz w:val="22"/>
          <w:szCs w:val="22"/>
          <w:lang w:val="fr-FR"/>
        </w:rPr>
        <w:t xml:space="preserve">accordé par les États au </w:t>
      </w:r>
      <w:r w:rsidR="00E908E2">
        <w:rPr>
          <w:rFonts w:ascii="Arial" w:eastAsia="SimSun" w:hAnsi="Arial" w:cs="Arial"/>
          <w:bCs/>
          <w:sz w:val="22"/>
          <w:szCs w:val="22"/>
          <w:lang w:val="fr-FR" w:eastAsia="en-US"/>
        </w:rPr>
        <w:t>patrimoine culturel immatériel</w:t>
      </w:r>
      <w:r w:rsidRPr="0003799A">
        <w:rPr>
          <w:rFonts w:ascii="Arial" w:eastAsia="SimSun" w:hAnsi="Arial" w:cs="Arial"/>
          <w:sz w:val="22"/>
          <w:szCs w:val="22"/>
          <w:lang w:val="fr-FR"/>
        </w:rPr>
        <w:t>, qui constitu</w:t>
      </w:r>
      <w:r>
        <w:rPr>
          <w:rFonts w:ascii="Arial" w:eastAsia="SimSun" w:hAnsi="Arial" w:cs="Arial"/>
          <w:sz w:val="22"/>
          <w:szCs w:val="22"/>
          <w:lang w:val="fr-FR"/>
        </w:rPr>
        <w:t xml:space="preserve">ait </w:t>
      </w:r>
      <w:r w:rsidRPr="0003799A">
        <w:rPr>
          <w:rFonts w:ascii="Arial" w:eastAsia="SimSun" w:hAnsi="Arial" w:cs="Arial"/>
          <w:sz w:val="22"/>
          <w:szCs w:val="22"/>
          <w:lang w:val="fr-FR"/>
        </w:rPr>
        <w:t>une partie substantielle de leurs identités et uni</w:t>
      </w:r>
      <w:r>
        <w:rPr>
          <w:rFonts w:ascii="Arial" w:eastAsia="SimSun" w:hAnsi="Arial" w:cs="Arial"/>
          <w:sz w:val="22"/>
          <w:szCs w:val="22"/>
          <w:lang w:val="fr-FR"/>
        </w:rPr>
        <w:t>ssait</w:t>
      </w:r>
      <w:r w:rsidRPr="0003799A">
        <w:rPr>
          <w:rFonts w:ascii="Arial" w:eastAsia="SimSun" w:hAnsi="Arial" w:cs="Arial"/>
          <w:sz w:val="22"/>
          <w:szCs w:val="22"/>
          <w:lang w:val="fr-FR"/>
        </w:rPr>
        <w:t xml:space="preserve"> </w:t>
      </w:r>
      <w:r w:rsidR="00A73EEF">
        <w:rPr>
          <w:rFonts w:ascii="Arial" w:eastAsia="SimSun" w:hAnsi="Arial" w:cs="Arial"/>
          <w:sz w:val="22"/>
          <w:szCs w:val="22"/>
          <w:lang w:val="fr-FR"/>
        </w:rPr>
        <w:t>les</w:t>
      </w:r>
      <w:r w:rsidR="00A73EEF" w:rsidRPr="0003799A">
        <w:rPr>
          <w:rFonts w:ascii="Arial" w:eastAsia="SimSun" w:hAnsi="Arial" w:cs="Arial"/>
          <w:sz w:val="22"/>
          <w:szCs w:val="22"/>
          <w:lang w:val="fr-FR"/>
        </w:rPr>
        <w:t xml:space="preserve"> </w:t>
      </w:r>
      <w:r w:rsidRPr="0003799A">
        <w:rPr>
          <w:rFonts w:ascii="Arial" w:eastAsia="SimSun" w:hAnsi="Arial" w:cs="Arial"/>
          <w:sz w:val="22"/>
          <w:szCs w:val="22"/>
          <w:lang w:val="fr-FR"/>
        </w:rPr>
        <w:t>communautés. Deuxièmement, le succès et l</w:t>
      </w:r>
      <w:r w:rsidR="008E532B">
        <w:rPr>
          <w:rFonts w:ascii="Arial" w:eastAsia="SimSun" w:hAnsi="Arial" w:cs="Arial"/>
          <w:sz w:val="22"/>
          <w:szCs w:val="22"/>
          <w:lang w:val="fr-FR"/>
        </w:rPr>
        <w:t>’</w:t>
      </w:r>
      <w:r w:rsidRPr="0003799A">
        <w:rPr>
          <w:rFonts w:ascii="Arial" w:eastAsia="SimSun" w:hAnsi="Arial" w:cs="Arial"/>
          <w:sz w:val="22"/>
          <w:szCs w:val="22"/>
          <w:lang w:val="fr-FR"/>
        </w:rPr>
        <w:t>universalité de la Convention de 2003, qui v</w:t>
      </w:r>
      <w:r>
        <w:rPr>
          <w:rFonts w:ascii="Arial" w:eastAsia="SimSun" w:hAnsi="Arial" w:cs="Arial"/>
          <w:sz w:val="22"/>
          <w:szCs w:val="22"/>
          <w:lang w:val="fr-FR"/>
        </w:rPr>
        <w:t>enait</w:t>
      </w:r>
      <w:r w:rsidRPr="0003799A">
        <w:rPr>
          <w:rFonts w:ascii="Arial" w:eastAsia="SimSun" w:hAnsi="Arial" w:cs="Arial"/>
          <w:sz w:val="22"/>
          <w:szCs w:val="22"/>
          <w:lang w:val="fr-FR"/>
        </w:rPr>
        <w:t xml:space="preserve"> d</w:t>
      </w:r>
      <w:r w:rsidR="008E532B">
        <w:rPr>
          <w:rFonts w:ascii="Arial" w:eastAsia="SimSun" w:hAnsi="Arial" w:cs="Arial"/>
          <w:sz w:val="22"/>
          <w:szCs w:val="22"/>
          <w:lang w:val="fr-FR"/>
        </w:rPr>
        <w:t>’</w:t>
      </w:r>
      <w:r w:rsidRPr="0003799A">
        <w:rPr>
          <w:rFonts w:ascii="Arial" w:eastAsia="SimSun" w:hAnsi="Arial" w:cs="Arial"/>
          <w:sz w:val="22"/>
          <w:szCs w:val="22"/>
          <w:lang w:val="fr-FR"/>
        </w:rPr>
        <w:t>atteindre 180 États parties avec l</w:t>
      </w:r>
      <w:r w:rsidR="008E532B">
        <w:rPr>
          <w:rFonts w:ascii="Arial" w:eastAsia="SimSun" w:hAnsi="Arial" w:cs="Arial"/>
          <w:sz w:val="22"/>
          <w:szCs w:val="22"/>
          <w:lang w:val="fr-FR"/>
        </w:rPr>
        <w:t>’</w:t>
      </w:r>
      <w:r w:rsidRPr="0003799A">
        <w:rPr>
          <w:rFonts w:ascii="Arial" w:eastAsia="SimSun" w:hAnsi="Arial" w:cs="Arial"/>
          <w:sz w:val="22"/>
          <w:szCs w:val="22"/>
          <w:lang w:val="fr-FR"/>
        </w:rPr>
        <w:t>adhésion récente de l</w:t>
      </w:r>
      <w:r w:rsidR="008E532B">
        <w:rPr>
          <w:rFonts w:ascii="Arial" w:eastAsia="SimSun" w:hAnsi="Arial" w:cs="Arial"/>
          <w:sz w:val="22"/>
          <w:szCs w:val="22"/>
          <w:lang w:val="fr-FR"/>
        </w:rPr>
        <w:t>’</w:t>
      </w:r>
      <w:r w:rsidRPr="0003799A">
        <w:rPr>
          <w:rFonts w:ascii="Arial" w:eastAsia="SimSun" w:hAnsi="Arial" w:cs="Arial"/>
          <w:sz w:val="22"/>
          <w:szCs w:val="22"/>
          <w:lang w:val="fr-FR"/>
        </w:rPr>
        <w:t xml:space="preserve">Angola et de la Somalie. Troisièmement, la </w:t>
      </w:r>
      <w:r>
        <w:rPr>
          <w:rFonts w:ascii="Arial" w:eastAsia="SimSun" w:hAnsi="Arial" w:cs="Arial"/>
          <w:sz w:val="22"/>
          <w:szCs w:val="22"/>
          <w:lang w:val="fr-FR"/>
        </w:rPr>
        <w:t>solidité</w:t>
      </w:r>
      <w:r w:rsidRPr="0003799A">
        <w:rPr>
          <w:rFonts w:ascii="Arial" w:eastAsia="SimSun" w:hAnsi="Arial" w:cs="Arial"/>
          <w:sz w:val="22"/>
          <w:szCs w:val="22"/>
          <w:lang w:val="fr-FR"/>
        </w:rPr>
        <w:t xml:space="preserve"> et la </w:t>
      </w:r>
      <w:r>
        <w:rPr>
          <w:rFonts w:ascii="Arial" w:eastAsia="SimSun" w:hAnsi="Arial" w:cs="Arial"/>
          <w:sz w:val="22"/>
          <w:szCs w:val="22"/>
          <w:lang w:val="fr-FR"/>
        </w:rPr>
        <w:t xml:space="preserve">simplicité </w:t>
      </w:r>
      <w:r w:rsidRPr="0003799A">
        <w:rPr>
          <w:rFonts w:ascii="Arial" w:eastAsia="SimSun" w:hAnsi="Arial" w:cs="Arial"/>
          <w:sz w:val="22"/>
          <w:szCs w:val="22"/>
          <w:lang w:val="fr-FR"/>
        </w:rPr>
        <w:t>des procédures de la Convention</w:t>
      </w:r>
      <w:r>
        <w:rPr>
          <w:rFonts w:ascii="Arial" w:eastAsia="SimSun" w:hAnsi="Arial" w:cs="Arial"/>
          <w:sz w:val="22"/>
          <w:szCs w:val="22"/>
          <w:lang w:val="fr-FR"/>
        </w:rPr>
        <w:t xml:space="preserve"> </w:t>
      </w:r>
      <w:r w:rsidRPr="0003799A">
        <w:rPr>
          <w:rFonts w:ascii="Arial" w:eastAsia="SimSun" w:hAnsi="Arial" w:cs="Arial"/>
          <w:sz w:val="22"/>
          <w:szCs w:val="22"/>
          <w:lang w:val="fr-FR"/>
        </w:rPr>
        <w:t>qui permett</w:t>
      </w:r>
      <w:r>
        <w:rPr>
          <w:rFonts w:ascii="Arial" w:eastAsia="SimSun" w:hAnsi="Arial" w:cs="Arial"/>
          <w:sz w:val="22"/>
          <w:szCs w:val="22"/>
          <w:lang w:val="fr-FR"/>
        </w:rPr>
        <w:t>ai</w:t>
      </w:r>
      <w:r w:rsidRPr="0003799A">
        <w:rPr>
          <w:rFonts w:ascii="Arial" w:eastAsia="SimSun" w:hAnsi="Arial" w:cs="Arial"/>
          <w:sz w:val="22"/>
          <w:szCs w:val="22"/>
          <w:lang w:val="fr-FR"/>
        </w:rPr>
        <w:t>ent l</w:t>
      </w:r>
      <w:r w:rsidR="008E532B">
        <w:rPr>
          <w:rFonts w:ascii="Arial" w:eastAsia="SimSun" w:hAnsi="Arial" w:cs="Arial"/>
          <w:sz w:val="22"/>
          <w:szCs w:val="22"/>
          <w:lang w:val="fr-FR"/>
        </w:rPr>
        <w:t>’</w:t>
      </w:r>
      <w:r>
        <w:rPr>
          <w:rFonts w:ascii="Arial" w:eastAsia="SimSun" w:hAnsi="Arial" w:cs="Arial"/>
          <w:sz w:val="22"/>
          <w:szCs w:val="22"/>
          <w:lang w:val="fr-FR"/>
        </w:rPr>
        <w:t>inclusion</w:t>
      </w:r>
      <w:r w:rsidRPr="0003799A">
        <w:rPr>
          <w:rFonts w:ascii="Arial" w:eastAsia="SimSun" w:hAnsi="Arial" w:cs="Arial"/>
          <w:sz w:val="22"/>
          <w:szCs w:val="22"/>
          <w:lang w:val="fr-FR"/>
        </w:rPr>
        <w:t xml:space="preserve">, car de plus en plus de pays </w:t>
      </w:r>
      <w:r>
        <w:rPr>
          <w:rFonts w:ascii="Arial" w:eastAsia="SimSun" w:hAnsi="Arial" w:cs="Arial"/>
          <w:sz w:val="22"/>
          <w:szCs w:val="22"/>
          <w:lang w:val="fr-FR"/>
        </w:rPr>
        <w:t>étaient</w:t>
      </w:r>
      <w:r w:rsidRPr="0003799A">
        <w:rPr>
          <w:rFonts w:ascii="Arial" w:eastAsia="SimSun" w:hAnsi="Arial" w:cs="Arial"/>
          <w:sz w:val="22"/>
          <w:szCs w:val="22"/>
          <w:lang w:val="fr-FR"/>
        </w:rPr>
        <w:t xml:space="preserve"> en mesure d</w:t>
      </w:r>
      <w:r w:rsidR="008E532B">
        <w:rPr>
          <w:rFonts w:ascii="Arial" w:eastAsia="SimSun" w:hAnsi="Arial" w:cs="Arial"/>
          <w:sz w:val="22"/>
          <w:szCs w:val="22"/>
          <w:lang w:val="fr-FR"/>
        </w:rPr>
        <w:t>’</w:t>
      </w:r>
      <w:r w:rsidRPr="0003799A">
        <w:rPr>
          <w:rFonts w:ascii="Arial" w:eastAsia="SimSun" w:hAnsi="Arial" w:cs="Arial"/>
          <w:sz w:val="22"/>
          <w:szCs w:val="22"/>
          <w:lang w:val="fr-FR"/>
        </w:rPr>
        <w:t>inscrire leurs éléments culturels, ce qui enrichi</w:t>
      </w:r>
      <w:r>
        <w:rPr>
          <w:rFonts w:ascii="Arial" w:eastAsia="SimSun" w:hAnsi="Arial" w:cs="Arial"/>
          <w:sz w:val="22"/>
          <w:szCs w:val="22"/>
          <w:lang w:val="fr-FR"/>
        </w:rPr>
        <w:t>ssai</w:t>
      </w:r>
      <w:r w:rsidRPr="0003799A">
        <w:rPr>
          <w:rFonts w:ascii="Arial" w:eastAsia="SimSun" w:hAnsi="Arial" w:cs="Arial"/>
          <w:sz w:val="22"/>
          <w:szCs w:val="22"/>
          <w:lang w:val="fr-FR"/>
        </w:rPr>
        <w:t xml:space="preserve">t les </w:t>
      </w:r>
      <w:r>
        <w:rPr>
          <w:rFonts w:ascii="Arial" w:eastAsia="SimSun" w:hAnsi="Arial" w:cs="Arial"/>
          <w:sz w:val="22"/>
          <w:szCs w:val="22"/>
          <w:lang w:val="fr-FR"/>
        </w:rPr>
        <w:t>l</w:t>
      </w:r>
      <w:r w:rsidRPr="0003799A">
        <w:rPr>
          <w:rFonts w:ascii="Arial" w:eastAsia="SimSun" w:hAnsi="Arial" w:cs="Arial"/>
          <w:sz w:val="22"/>
          <w:szCs w:val="22"/>
          <w:lang w:val="fr-FR"/>
        </w:rPr>
        <w:t>istes et renfor</w:t>
      </w:r>
      <w:r>
        <w:rPr>
          <w:rFonts w:ascii="Arial" w:eastAsia="SimSun" w:hAnsi="Arial" w:cs="Arial"/>
          <w:sz w:val="22"/>
          <w:szCs w:val="22"/>
          <w:lang w:val="fr-FR"/>
        </w:rPr>
        <w:t xml:space="preserve">çait </w:t>
      </w:r>
      <w:r w:rsidRPr="0003799A">
        <w:rPr>
          <w:rFonts w:ascii="Arial" w:eastAsia="SimSun" w:hAnsi="Arial" w:cs="Arial"/>
          <w:sz w:val="22"/>
          <w:szCs w:val="22"/>
          <w:lang w:val="fr-FR"/>
        </w:rPr>
        <w:t>la diversité culturelle dans le monde. C</w:t>
      </w:r>
      <w:r w:rsidR="008E532B">
        <w:rPr>
          <w:rFonts w:ascii="Arial" w:eastAsia="SimSun" w:hAnsi="Arial" w:cs="Arial"/>
          <w:sz w:val="22"/>
          <w:szCs w:val="22"/>
          <w:lang w:val="fr-FR"/>
        </w:rPr>
        <w:t>’</w:t>
      </w:r>
      <w:r>
        <w:rPr>
          <w:rFonts w:ascii="Arial" w:eastAsia="SimSun" w:hAnsi="Arial" w:cs="Arial"/>
          <w:sz w:val="22"/>
          <w:szCs w:val="22"/>
          <w:lang w:val="fr-FR"/>
        </w:rPr>
        <w:t>était</w:t>
      </w:r>
      <w:r w:rsidRPr="0003799A">
        <w:rPr>
          <w:rFonts w:ascii="Arial" w:eastAsia="SimSun" w:hAnsi="Arial" w:cs="Arial"/>
          <w:sz w:val="22"/>
          <w:szCs w:val="22"/>
          <w:lang w:val="fr-FR"/>
        </w:rPr>
        <w:t xml:space="preserve"> l</w:t>
      </w:r>
      <w:r w:rsidR="008E532B">
        <w:rPr>
          <w:rFonts w:ascii="Arial" w:eastAsia="SimSun" w:hAnsi="Arial" w:cs="Arial"/>
          <w:sz w:val="22"/>
          <w:szCs w:val="22"/>
          <w:lang w:val="fr-FR"/>
        </w:rPr>
        <w:t>’</w:t>
      </w:r>
      <w:r w:rsidRPr="0003799A">
        <w:rPr>
          <w:rFonts w:ascii="Arial" w:eastAsia="SimSun" w:hAnsi="Arial" w:cs="Arial"/>
          <w:sz w:val="22"/>
          <w:szCs w:val="22"/>
          <w:lang w:val="fr-FR"/>
        </w:rPr>
        <w:t>une des principales raisons du succès de la Convention, mais aussi l</w:t>
      </w:r>
      <w:r w:rsidR="008E532B">
        <w:rPr>
          <w:rFonts w:ascii="Arial" w:eastAsia="SimSun" w:hAnsi="Arial" w:cs="Arial"/>
          <w:sz w:val="22"/>
          <w:szCs w:val="22"/>
          <w:lang w:val="fr-FR"/>
        </w:rPr>
        <w:t>’</w:t>
      </w:r>
      <w:r w:rsidRPr="0003799A">
        <w:rPr>
          <w:rFonts w:ascii="Arial" w:eastAsia="SimSun" w:hAnsi="Arial" w:cs="Arial"/>
          <w:sz w:val="22"/>
          <w:szCs w:val="22"/>
          <w:lang w:val="fr-FR"/>
        </w:rPr>
        <w:t>un des défis à relever</w:t>
      </w:r>
      <w:r>
        <w:rPr>
          <w:rFonts w:ascii="Arial" w:eastAsia="SimSun" w:hAnsi="Arial" w:cs="Arial"/>
          <w:sz w:val="22"/>
          <w:szCs w:val="22"/>
          <w:lang w:val="fr-FR"/>
        </w:rPr>
        <w:t>. P</w:t>
      </w:r>
      <w:r w:rsidRPr="0003799A">
        <w:rPr>
          <w:rFonts w:ascii="Arial" w:eastAsia="SimSun" w:hAnsi="Arial" w:cs="Arial"/>
          <w:sz w:val="22"/>
          <w:szCs w:val="22"/>
          <w:lang w:val="fr-FR"/>
        </w:rPr>
        <w:t>ar exemple, la Convention de 1972 s</w:t>
      </w:r>
      <w:r w:rsidR="008E532B">
        <w:rPr>
          <w:rFonts w:ascii="Arial" w:eastAsia="SimSun" w:hAnsi="Arial" w:cs="Arial"/>
          <w:sz w:val="22"/>
          <w:szCs w:val="22"/>
          <w:lang w:val="fr-FR"/>
        </w:rPr>
        <w:t>’</w:t>
      </w:r>
      <w:r w:rsidRPr="0003799A">
        <w:rPr>
          <w:rFonts w:ascii="Arial" w:eastAsia="SimSun" w:hAnsi="Arial" w:cs="Arial"/>
          <w:sz w:val="22"/>
          <w:szCs w:val="22"/>
          <w:lang w:val="fr-FR"/>
        </w:rPr>
        <w:t>effor</w:t>
      </w:r>
      <w:r>
        <w:rPr>
          <w:rFonts w:ascii="Arial" w:eastAsia="SimSun" w:hAnsi="Arial" w:cs="Arial"/>
          <w:sz w:val="22"/>
          <w:szCs w:val="22"/>
          <w:lang w:val="fr-FR"/>
        </w:rPr>
        <w:t>çait</w:t>
      </w:r>
      <w:r w:rsidRPr="0003799A">
        <w:rPr>
          <w:rFonts w:ascii="Arial" w:eastAsia="SimSun" w:hAnsi="Arial" w:cs="Arial"/>
          <w:sz w:val="22"/>
          <w:szCs w:val="22"/>
          <w:lang w:val="fr-FR"/>
        </w:rPr>
        <w:t xml:space="preserve"> de simplifier </w:t>
      </w:r>
      <w:r>
        <w:rPr>
          <w:rFonts w:ascii="Arial" w:eastAsia="SimSun" w:hAnsi="Arial" w:cs="Arial"/>
          <w:sz w:val="22"/>
          <w:szCs w:val="22"/>
          <w:lang w:val="fr-FR"/>
        </w:rPr>
        <w:t>s</w:t>
      </w:r>
      <w:r w:rsidRPr="0003799A">
        <w:rPr>
          <w:rFonts w:ascii="Arial" w:eastAsia="SimSun" w:hAnsi="Arial" w:cs="Arial"/>
          <w:sz w:val="22"/>
          <w:szCs w:val="22"/>
          <w:lang w:val="fr-FR"/>
        </w:rPr>
        <w:t xml:space="preserve">es procédures qui </w:t>
      </w:r>
      <w:r>
        <w:rPr>
          <w:rFonts w:ascii="Arial" w:eastAsia="SimSun" w:hAnsi="Arial" w:cs="Arial"/>
          <w:sz w:val="22"/>
          <w:szCs w:val="22"/>
          <w:lang w:val="fr-FR"/>
        </w:rPr>
        <w:t xml:space="preserve">étaient </w:t>
      </w:r>
      <w:r w:rsidRPr="0003799A">
        <w:rPr>
          <w:rFonts w:ascii="Arial" w:eastAsia="SimSun" w:hAnsi="Arial" w:cs="Arial"/>
          <w:sz w:val="22"/>
          <w:szCs w:val="22"/>
          <w:lang w:val="fr-FR"/>
        </w:rPr>
        <w:t xml:space="preserve">encore trop complexes et </w:t>
      </w:r>
      <w:r>
        <w:rPr>
          <w:rFonts w:ascii="Arial" w:eastAsia="SimSun" w:hAnsi="Arial" w:cs="Arial"/>
          <w:sz w:val="22"/>
          <w:szCs w:val="22"/>
          <w:lang w:val="fr-FR"/>
        </w:rPr>
        <w:t>fastidieuses</w:t>
      </w:r>
      <w:r w:rsidRPr="0003799A">
        <w:rPr>
          <w:rFonts w:ascii="Arial" w:eastAsia="SimSun" w:hAnsi="Arial" w:cs="Arial"/>
          <w:sz w:val="22"/>
          <w:szCs w:val="22"/>
          <w:lang w:val="fr-FR"/>
        </w:rPr>
        <w:t xml:space="preserve"> pour de nombreux pays. C</w:t>
      </w:r>
      <w:r w:rsidR="008E532B">
        <w:rPr>
          <w:rFonts w:ascii="Arial" w:eastAsia="SimSun" w:hAnsi="Arial" w:cs="Arial"/>
          <w:sz w:val="22"/>
          <w:szCs w:val="22"/>
          <w:lang w:val="fr-FR"/>
        </w:rPr>
        <w:t>’</w:t>
      </w:r>
      <w:r>
        <w:rPr>
          <w:rFonts w:ascii="Arial" w:eastAsia="SimSun" w:hAnsi="Arial" w:cs="Arial"/>
          <w:sz w:val="22"/>
          <w:szCs w:val="22"/>
          <w:lang w:val="fr-FR"/>
        </w:rPr>
        <w:t>était</w:t>
      </w:r>
      <w:r w:rsidRPr="0003799A">
        <w:rPr>
          <w:rFonts w:ascii="Arial" w:eastAsia="SimSun" w:hAnsi="Arial" w:cs="Arial"/>
          <w:sz w:val="22"/>
          <w:szCs w:val="22"/>
          <w:lang w:val="fr-FR"/>
        </w:rPr>
        <w:t xml:space="preserve"> donc l</w:t>
      </w:r>
      <w:r w:rsidR="008E532B">
        <w:rPr>
          <w:rFonts w:ascii="Arial" w:eastAsia="SimSun" w:hAnsi="Arial" w:cs="Arial"/>
          <w:sz w:val="22"/>
          <w:szCs w:val="22"/>
          <w:lang w:val="fr-FR"/>
        </w:rPr>
        <w:t>’</w:t>
      </w:r>
      <w:r w:rsidRPr="0003799A">
        <w:rPr>
          <w:rFonts w:ascii="Arial" w:eastAsia="SimSun" w:hAnsi="Arial" w:cs="Arial"/>
          <w:sz w:val="22"/>
          <w:szCs w:val="22"/>
          <w:lang w:val="fr-FR"/>
        </w:rPr>
        <w:t>un</w:t>
      </w:r>
      <w:r>
        <w:rPr>
          <w:rFonts w:ascii="Arial" w:eastAsia="SimSun" w:hAnsi="Arial" w:cs="Arial"/>
          <w:sz w:val="22"/>
          <w:szCs w:val="22"/>
          <w:lang w:val="fr-FR"/>
        </w:rPr>
        <w:t>e des forces</w:t>
      </w:r>
      <w:r w:rsidRPr="0003799A">
        <w:rPr>
          <w:rFonts w:ascii="Arial" w:eastAsia="SimSun" w:hAnsi="Arial" w:cs="Arial"/>
          <w:sz w:val="22"/>
          <w:szCs w:val="22"/>
          <w:lang w:val="fr-FR"/>
        </w:rPr>
        <w:t xml:space="preserve"> de la Convention, </w:t>
      </w:r>
      <w:r w:rsidR="00A73EEF">
        <w:rPr>
          <w:rFonts w:ascii="Arial" w:eastAsia="SimSun" w:hAnsi="Arial" w:cs="Arial"/>
          <w:sz w:val="22"/>
          <w:szCs w:val="22"/>
          <w:lang w:val="fr-FR"/>
        </w:rPr>
        <w:t>qui doit être</w:t>
      </w:r>
      <w:r w:rsidRPr="0003799A">
        <w:rPr>
          <w:rFonts w:ascii="Arial" w:eastAsia="SimSun" w:hAnsi="Arial" w:cs="Arial"/>
          <w:sz w:val="22"/>
          <w:szCs w:val="22"/>
          <w:lang w:val="fr-FR"/>
        </w:rPr>
        <w:t xml:space="preserve"> préserv</w:t>
      </w:r>
      <w:r w:rsidR="00A73EEF">
        <w:rPr>
          <w:rFonts w:ascii="Arial" w:eastAsia="SimSun" w:hAnsi="Arial" w:cs="Arial"/>
          <w:sz w:val="22"/>
          <w:szCs w:val="22"/>
          <w:lang w:val="fr-FR"/>
        </w:rPr>
        <w:t>ée</w:t>
      </w:r>
      <w:r w:rsidRPr="0003799A">
        <w:rPr>
          <w:rFonts w:ascii="Arial" w:eastAsia="SimSun" w:hAnsi="Arial" w:cs="Arial"/>
          <w:sz w:val="22"/>
          <w:szCs w:val="22"/>
          <w:lang w:val="fr-FR"/>
        </w:rPr>
        <w:t xml:space="preserve"> </w:t>
      </w:r>
      <w:r>
        <w:rPr>
          <w:rFonts w:ascii="Arial" w:eastAsia="SimSun" w:hAnsi="Arial" w:cs="Arial"/>
          <w:sz w:val="22"/>
          <w:szCs w:val="22"/>
          <w:lang w:val="fr-FR"/>
        </w:rPr>
        <w:t xml:space="preserve">dans le cadre </w:t>
      </w:r>
      <w:r w:rsidR="00A73EEF">
        <w:rPr>
          <w:rFonts w:ascii="Arial" w:eastAsia="SimSun" w:hAnsi="Arial" w:cs="Arial"/>
          <w:sz w:val="22"/>
          <w:szCs w:val="22"/>
          <w:lang w:val="fr-FR"/>
        </w:rPr>
        <w:t>du</w:t>
      </w:r>
      <w:r>
        <w:rPr>
          <w:rFonts w:ascii="Arial" w:eastAsia="SimSun" w:hAnsi="Arial" w:cs="Arial"/>
          <w:sz w:val="22"/>
          <w:szCs w:val="22"/>
          <w:lang w:val="fr-FR"/>
        </w:rPr>
        <w:t xml:space="preserve"> </w:t>
      </w:r>
      <w:r w:rsidRPr="002E0891">
        <w:rPr>
          <w:rFonts w:ascii="Arial" w:eastAsia="SimSun" w:hAnsi="Arial" w:cs="Arial"/>
          <w:sz w:val="22"/>
          <w:szCs w:val="22"/>
          <w:lang w:val="fr-FR"/>
        </w:rPr>
        <w:t>renforcement</w:t>
      </w:r>
      <w:r w:rsidRPr="0003799A">
        <w:rPr>
          <w:rFonts w:ascii="Arial" w:eastAsia="SimSun" w:hAnsi="Arial" w:cs="Arial"/>
          <w:sz w:val="22"/>
          <w:szCs w:val="22"/>
          <w:lang w:val="fr-FR"/>
        </w:rPr>
        <w:t xml:space="preserve"> </w:t>
      </w:r>
      <w:r>
        <w:rPr>
          <w:rFonts w:ascii="Arial" w:eastAsia="SimSun" w:hAnsi="Arial" w:cs="Arial"/>
          <w:sz w:val="22"/>
          <w:szCs w:val="22"/>
          <w:lang w:val="fr-FR"/>
        </w:rPr>
        <w:t>d</w:t>
      </w:r>
      <w:r w:rsidRPr="0003799A">
        <w:rPr>
          <w:rFonts w:ascii="Arial" w:eastAsia="SimSun" w:hAnsi="Arial" w:cs="Arial"/>
          <w:sz w:val="22"/>
          <w:szCs w:val="22"/>
          <w:lang w:val="fr-FR"/>
        </w:rPr>
        <w:t xml:space="preserve">es cadres de la Convention. Il </w:t>
      </w:r>
      <w:r>
        <w:rPr>
          <w:rFonts w:ascii="Arial" w:eastAsia="SimSun" w:hAnsi="Arial" w:cs="Arial"/>
          <w:sz w:val="22"/>
          <w:szCs w:val="22"/>
          <w:lang w:val="fr-FR"/>
        </w:rPr>
        <w:t xml:space="preserve">fallait </w:t>
      </w:r>
      <w:r w:rsidRPr="0003799A">
        <w:rPr>
          <w:rFonts w:ascii="Arial" w:eastAsia="SimSun" w:hAnsi="Arial" w:cs="Arial"/>
          <w:sz w:val="22"/>
          <w:szCs w:val="22"/>
          <w:lang w:val="fr-FR"/>
        </w:rPr>
        <w:t>garder cela à l</w:t>
      </w:r>
      <w:r w:rsidR="008E532B">
        <w:rPr>
          <w:rFonts w:ascii="Arial" w:eastAsia="SimSun" w:hAnsi="Arial" w:cs="Arial"/>
          <w:sz w:val="22"/>
          <w:szCs w:val="22"/>
          <w:lang w:val="fr-FR"/>
        </w:rPr>
        <w:t>’</w:t>
      </w:r>
      <w:r w:rsidRPr="0003799A">
        <w:rPr>
          <w:rFonts w:ascii="Arial" w:eastAsia="SimSun" w:hAnsi="Arial" w:cs="Arial"/>
          <w:sz w:val="22"/>
          <w:szCs w:val="22"/>
          <w:lang w:val="fr-FR"/>
        </w:rPr>
        <w:t xml:space="preserve">esprit lors de la révision des </w:t>
      </w:r>
      <w:r>
        <w:rPr>
          <w:rFonts w:ascii="Arial" w:eastAsia="SimSun" w:hAnsi="Arial" w:cs="Arial"/>
          <w:sz w:val="22"/>
          <w:szCs w:val="22"/>
          <w:lang w:val="fr-FR"/>
        </w:rPr>
        <w:t>D</w:t>
      </w:r>
      <w:r w:rsidRPr="0003799A">
        <w:rPr>
          <w:rFonts w:ascii="Arial" w:eastAsia="SimSun" w:hAnsi="Arial" w:cs="Arial"/>
          <w:sz w:val="22"/>
          <w:szCs w:val="22"/>
          <w:lang w:val="fr-FR"/>
        </w:rPr>
        <w:t>irectives opérationnelles</w:t>
      </w:r>
      <w:r>
        <w:rPr>
          <w:rFonts w:ascii="Arial" w:eastAsia="SimSun" w:hAnsi="Arial" w:cs="Arial"/>
          <w:sz w:val="22"/>
          <w:szCs w:val="22"/>
          <w:lang w:val="fr-FR"/>
        </w:rPr>
        <w:t>,</w:t>
      </w:r>
      <w:r w:rsidRPr="0003799A">
        <w:rPr>
          <w:rFonts w:ascii="Arial" w:eastAsia="SimSun" w:hAnsi="Arial" w:cs="Arial"/>
          <w:sz w:val="22"/>
          <w:szCs w:val="22"/>
          <w:lang w:val="fr-FR"/>
        </w:rPr>
        <w:t xml:space="preserve"> au </w:t>
      </w:r>
      <w:r>
        <w:rPr>
          <w:rFonts w:ascii="Arial" w:eastAsia="SimSun" w:hAnsi="Arial" w:cs="Arial"/>
          <w:sz w:val="22"/>
          <w:szCs w:val="22"/>
          <w:lang w:val="fr-FR"/>
        </w:rPr>
        <w:t xml:space="preserve">titre du </w:t>
      </w:r>
      <w:r w:rsidRPr="0003799A">
        <w:rPr>
          <w:rFonts w:ascii="Arial" w:eastAsia="SimSun" w:hAnsi="Arial" w:cs="Arial"/>
          <w:sz w:val="22"/>
          <w:szCs w:val="22"/>
          <w:lang w:val="fr-FR"/>
        </w:rPr>
        <w:t xml:space="preserve">point 9. Un autre avantage substantiel qui </w:t>
      </w:r>
      <w:r>
        <w:rPr>
          <w:rFonts w:ascii="Arial" w:eastAsia="SimSun" w:hAnsi="Arial" w:cs="Arial"/>
          <w:sz w:val="22"/>
          <w:szCs w:val="22"/>
          <w:lang w:val="fr-FR"/>
        </w:rPr>
        <w:t>résultait</w:t>
      </w:r>
      <w:r w:rsidRPr="0003799A">
        <w:rPr>
          <w:rFonts w:ascii="Arial" w:eastAsia="SimSun" w:hAnsi="Arial" w:cs="Arial"/>
          <w:sz w:val="22"/>
          <w:szCs w:val="22"/>
          <w:lang w:val="fr-FR"/>
        </w:rPr>
        <w:t xml:space="preserve"> de la </w:t>
      </w:r>
      <w:r>
        <w:rPr>
          <w:rFonts w:ascii="Arial" w:eastAsia="SimSun" w:hAnsi="Arial" w:cs="Arial"/>
          <w:sz w:val="22"/>
          <w:szCs w:val="22"/>
          <w:lang w:val="fr-FR"/>
        </w:rPr>
        <w:t xml:space="preserve">simplicité </w:t>
      </w:r>
      <w:r w:rsidRPr="0003799A">
        <w:rPr>
          <w:rFonts w:ascii="Arial" w:eastAsia="SimSun" w:hAnsi="Arial" w:cs="Arial"/>
          <w:sz w:val="22"/>
          <w:szCs w:val="22"/>
          <w:lang w:val="fr-FR"/>
        </w:rPr>
        <w:t xml:space="preserve">de la Convention </w:t>
      </w:r>
      <w:r>
        <w:rPr>
          <w:rFonts w:ascii="Arial" w:eastAsia="SimSun" w:hAnsi="Arial" w:cs="Arial"/>
          <w:sz w:val="22"/>
          <w:szCs w:val="22"/>
          <w:lang w:val="fr-FR"/>
        </w:rPr>
        <w:t xml:space="preserve">était </w:t>
      </w:r>
      <w:r w:rsidRPr="0003799A">
        <w:rPr>
          <w:rFonts w:ascii="Arial" w:eastAsia="SimSun" w:hAnsi="Arial" w:cs="Arial"/>
          <w:sz w:val="22"/>
          <w:szCs w:val="22"/>
          <w:lang w:val="fr-FR"/>
        </w:rPr>
        <w:t>sa flexibilité. Lors de sa dernière session en 2021, le Comité a</w:t>
      </w:r>
      <w:r>
        <w:rPr>
          <w:rFonts w:ascii="Arial" w:eastAsia="SimSun" w:hAnsi="Arial" w:cs="Arial"/>
          <w:sz w:val="22"/>
          <w:szCs w:val="22"/>
          <w:lang w:val="fr-FR"/>
        </w:rPr>
        <w:t>vait</w:t>
      </w:r>
      <w:r w:rsidRPr="0003799A">
        <w:rPr>
          <w:rFonts w:ascii="Arial" w:eastAsia="SimSun" w:hAnsi="Arial" w:cs="Arial"/>
          <w:sz w:val="22"/>
          <w:szCs w:val="22"/>
          <w:lang w:val="fr-FR"/>
        </w:rPr>
        <w:t xml:space="preserve"> inscrit la soupe </w:t>
      </w:r>
      <w:r>
        <w:rPr>
          <w:rFonts w:ascii="Arial" w:eastAsia="SimSun" w:hAnsi="Arial" w:cs="Arial"/>
          <w:sz w:val="22"/>
          <w:szCs w:val="22"/>
          <w:lang w:val="fr-FR"/>
        </w:rPr>
        <w:t xml:space="preserve">au giraumon </w:t>
      </w:r>
      <w:r w:rsidRPr="0003799A">
        <w:rPr>
          <w:rFonts w:ascii="Arial" w:eastAsia="SimSun" w:hAnsi="Arial" w:cs="Arial"/>
          <w:sz w:val="22"/>
          <w:szCs w:val="22"/>
          <w:lang w:val="fr-FR"/>
        </w:rPr>
        <w:t>sur la Liste représentative, une soupe traditionnelle d</w:t>
      </w:r>
      <w:r w:rsidR="008E532B">
        <w:rPr>
          <w:rFonts w:ascii="Arial" w:eastAsia="SimSun" w:hAnsi="Arial" w:cs="Arial"/>
          <w:sz w:val="22"/>
          <w:szCs w:val="22"/>
          <w:lang w:val="fr-FR"/>
        </w:rPr>
        <w:t>’</w:t>
      </w:r>
      <w:r w:rsidRPr="0003799A">
        <w:rPr>
          <w:rFonts w:ascii="Arial" w:eastAsia="SimSun" w:hAnsi="Arial" w:cs="Arial"/>
          <w:sz w:val="22"/>
          <w:szCs w:val="22"/>
          <w:lang w:val="fr-FR"/>
        </w:rPr>
        <w:t xml:space="preserve">Haïti, qui </w:t>
      </w:r>
      <w:r>
        <w:rPr>
          <w:rFonts w:ascii="Arial" w:eastAsia="SimSun" w:hAnsi="Arial" w:cs="Arial"/>
          <w:sz w:val="22"/>
          <w:szCs w:val="22"/>
          <w:lang w:val="fr-FR"/>
        </w:rPr>
        <w:t>était</w:t>
      </w:r>
      <w:r w:rsidRPr="0003799A">
        <w:rPr>
          <w:rFonts w:ascii="Arial" w:eastAsia="SimSun" w:hAnsi="Arial" w:cs="Arial"/>
          <w:sz w:val="22"/>
          <w:szCs w:val="22"/>
          <w:lang w:val="fr-FR"/>
        </w:rPr>
        <w:t xml:space="preserve"> inextricablement liée à l</w:t>
      </w:r>
      <w:r w:rsidR="008E532B">
        <w:rPr>
          <w:rFonts w:ascii="Arial" w:eastAsia="SimSun" w:hAnsi="Arial" w:cs="Arial"/>
          <w:sz w:val="22"/>
          <w:szCs w:val="22"/>
          <w:lang w:val="fr-FR"/>
        </w:rPr>
        <w:t>’</w:t>
      </w:r>
      <w:r w:rsidRPr="0003799A">
        <w:rPr>
          <w:rFonts w:ascii="Arial" w:eastAsia="SimSun" w:hAnsi="Arial" w:cs="Arial"/>
          <w:sz w:val="22"/>
          <w:szCs w:val="22"/>
          <w:lang w:val="fr-FR"/>
        </w:rPr>
        <w:t>histoire du peuple haïtien dans sa lutte pour l</w:t>
      </w:r>
      <w:r w:rsidR="008E532B">
        <w:rPr>
          <w:rFonts w:ascii="Arial" w:eastAsia="SimSun" w:hAnsi="Arial" w:cs="Arial"/>
          <w:sz w:val="22"/>
          <w:szCs w:val="22"/>
          <w:lang w:val="fr-FR"/>
        </w:rPr>
        <w:t>’</w:t>
      </w:r>
      <w:r w:rsidRPr="0003799A">
        <w:rPr>
          <w:rFonts w:ascii="Arial" w:eastAsia="SimSun" w:hAnsi="Arial" w:cs="Arial"/>
          <w:sz w:val="22"/>
          <w:szCs w:val="22"/>
          <w:lang w:val="fr-FR"/>
        </w:rPr>
        <w:t>indépendance et la libération de l</w:t>
      </w:r>
      <w:r w:rsidR="008E532B">
        <w:rPr>
          <w:rFonts w:ascii="Arial" w:eastAsia="SimSun" w:hAnsi="Arial" w:cs="Arial"/>
          <w:sz w:val="22"/>
          <w:szCs w:val="22"/>
          <w:lang w:val="fr-FR"/>
        </w:rPr>
        <w:t>’</w:t>
      </w:r>
      <w:r w:rsidRPr="0003799A">
        <w:rPr>
          <w:rFonts w:ascii="Arial" w:eastAsia="SimSun" w:hAnsi="Arial" w:cs="Arial"/>
          <w:sz w:val="22"/>
          <w:szCs w:val="22"/>
          <w:lang w:val="fr-FR"/>
        </w:rPr>
        <w:t>esclavage. Cela a</w:t>
      </w:r>
      <w:r>
        <w:rPr>
          <w:rFonts w:ascii="Arial" w:eastAsia="SimSun" w:hAnsi="Arial" w:cs="Arial"/>
          <w:sz w:val="22"/>
          <w:szCs w:val="22"/>
          <w:lang w:val="fr-FR"/>
        </w:rPr>
        <w:t>vait</w:t>
      </w:r>
      <w:r w:rsidRPr="0003799A">
        <w:rPr>
          <w:rFonts w:ascii="Arial" w:eastAsia="SimSun" w:hAnsi="Arial" w:cs="Arial"/>
          <w:sz w:val="22"/>
          <w:szCs w:val="22"/>
          <w:lang w:val="fr-FR"/>
        </w:rPr>
        <w:t xml:space="preserve"> été </w:t>
      </w:r>
      <w:r>
        <w:rPr>
          <w:rFonts w:ascii="Arial" w:eastAsia="SimSun" w:hAnsi="Arial" w:cs="Arial"/>
          <w:sz w:val="22"/>
          <w:szCs w:val="22"/>
          <w:lang w:val="fr-FR"/>
        </w:rPr>
        <w:t xml:space="preserve">rendu </w:t>
      </w:r>
      <w:r w:rsidRPr="0003799A">
        <w:rPr>
          <w:rFonts w:ascii="Arial" w:eastAsia="SimSun" w:hAnsi="Arial" w:cs="Arial"/>
          <w:sz w:val="22"/>
          <w:szCs w:val="22"/>
          <w:lang w:val="fr-FR"/>
        </w:rPr>
        <w:t>possible au moment où Haïti était confronté à une grave crise humanitaire, résultant d</w:t>
      </w:r>
      <w:r w:rsidR="008E532B">
        <w:rPr>
          <w:rFonts w:ascii="Arial" w:eastAsia="SimSun" w:hAnsi="Arial" w:cs="Arial"/>
          <w:sz w:val="22"/>
          <w:szCs w:val="22"/>
          <w:lang w:val="fr-FR"/>
        </w:rPr>
        <w:t>’</w:t>
      </w:r>
      <w:r w:rsidRPr="0003799A">
        <w:rPr>
          <w:rFonts w:ascii="Arial" w:eastAsia="SimSun" w:hAnsi="Arial" w:cs="Arial"/>
          <w:sz w:val="22"/>
          <w:szCs w:val="22"/>
          <w:lang w:val="fr-FR"/>
        </w:rPr>
        <w:t xml:space="preserve">une catastrophe naturelle survenue dans un contexte plus large de troubles politiques et sociaux. La délégation </w:t>
      </w:r>
      <w:r>
        <w:rPr>
          <w:rFonts w:ascii="Arial" w:eastAsia="SimSun" w:hAnsi="Arial" w:cs="Arial"/>
          <w:sz w:val="22"/>
          <w:szCs w:val="22"/>
          <w:lang w:val="fr-FR"/>
        </w:rPr>
        <w:t>a formulé l</w:t>
      </w:r>
      <w:r w:rsidR="008E532B">
        <w:rPr>
          <w:rFonts w:ascii="Arial" w:eastAsia="SimSun" w:hAnsi="Arial" w:cs="Arial"/>
          <w:sz w:val="22"/>
          <w:szCs w:val="22"/>
          <w:lang w:val="fr-FR"/>
        </w:rPr>
        <w:t>’</w:t>
      </w:r>
      <w:r>
        <w:rPr>
          <w:rFonts w:ascii="Arial" w:eastAsia="SimSun" w:hAnsi="Arial" w:cs="Arial"/>
          <w:sz w:val="22"/>
          <w:szCs w:val="22"/>
          <w:lang w:val="fr-FR"/>
        </w:rPr>
        <w:t>espoir</w:t>
      </w:r>
      <w:r w:rsidRPr="0003799A">
        <w:rPr>
          <w:rFonts w:ascii="Arial" w:eastAsia="SimSun" w:hAnsi="Arial" w:cs="Arial"/>
          <w:sz w:val="22"/>
          <w:szCs w:val="22"/>
          <w:lang w:val="fr-FR"/>
        </w:rPr>
        <w:t xml:space="preserve"> que l</w:t>
      </w:r>
      <w:r w:rsidR="008E532B">
        <w:rPr>
          <w:rFonts w:ascii="Arial" w:eastAsia="SimSun" w:hAnsi="Arial" w:cs="Arial"/>
          <w:sz w:val="22"/>
          <w:szCs w:val="22"/>
          <w:lang w:val="fr-FR"/>
        </w:rPr>
        <w:t>’</w:t>
      </w:r>
      <w:r w:rsidRPr="0003799A">
        <w:rPr>
          <w:rFonts w:ascii="Arial" w:eastAsia="SimSun" w:hAnsi="Arial" w:cs="Arial"/>
          <w:sz w:val="22"/>
          <w:szCs w:val="22"/>
          <w:lang w:val="fr-FR"/>
        </w:rPr>
        <w:t xml:space="preserve">Assemblée générale approuve les actions de ce Comité et renforce les expressions de solidarité </w:t>
      </w:r>
      <w:r>
        <w:rPr>
          <w:rFonts w:ascii="Arial" w:eastAsia="SimSun" w:hAnsi="Arial" w:cs="Arial"/>
          <w:sz w:val="22"/>
          <w:szCs w:val="22"/>
          <w:lang w:val="fr-FR"/>
        </w:rPr>
        <w:t>envers</w:t>
      </w:r>
      <w:r w:rsidRPr="0003799A">
        <w:rPr>
          <w:rFonts w:ascii="Arial" w:eastAsia="SimSun" w:hAnsi="Arial" w:cs="Arial"/>
          <w:sz w:val="22"/>
          <w:szCs w:val="22"/>
          <w:lang w:val="fr-FR"/>
        </w:rPr>
        <w:t xml:space="preserve"> Haïti et son peuple. Elle s</w:t>
      </w:r>
      <w:r w:rsidR="008E532B">
        <w:rPr>
          <w:rFonts w:ascii="Arial" w:eastAsia="SimSun" w:hAnsi="Arial" w:cs="Arial"/>
          <w:sz w:val="22"/>
          <w:szCs w:val="22"/>
          <w:lang w:val="fr-FR"/>
        </w:rPr>
        <w:t>’</w:t>
      </w:r>
      <w:r>
        <w:rPr>
          <w:rFonts w:ascii="Arial" w:eastAsia="SimSun" w:hAnsi="Arial" w:cs="Arial"/>
          <w:sz w:val="22"/>
          <w:szCs w:val="22"/>
          <w:lang w:val="fr-FR"/>
        </w:rPr>
        <w:t xml:space="preserve">est </w:t>
      </w:r>
      <w:r w:rsidRPr="00ED3CB6">
        <w:rPr>
          <w:rFonts w:ascii="Arial" w:eastAsia="SimSun" w:hAnsi="Arial" w:cs="Arial"/>
          <w:color w:val="000000" w:themeColor="text1"/>
          <w:sz w:val="22"/>
          <w:szCs w:val="22"/>
          <w:lang w:val="fr-FR"/>
        </w:rPr>
        <w:t>également</w:t>
      </w:r>
      <w:r w:rsidRPr="0003799A">
        <w:rPr>
          <w:rFonts w:ascii="Arial" w:eastAsia="SimSun" w:hAnsi="Arial" w:cs="Arial"/>
          <w:sz w:val="22"/>
          <w:szCs w:val="22"/>
          <w:lang w:val="fr-FR"/>
        </w:rPr>
        <w:t xml:space="preserve"> réjoui</w:t>
      </w:r>
      <w:r>
        <w:rPr>
          <w:rFonts w:ascii="Arial" w:eastAsia="SimSun" w:hAnsi="Arial" w:cs="Arial"/>
          <w:sz w:val="22"/>
          <w:szCs w:val="22"/>
          <w:lang w:val="fr-FR"/>
        </w:rPr>
        <w:t>e</w:t>
      </w:r>
      <w:r w:rsidRPr="0003799A">
        <w:rPr>
          <w:rFonts w:ascii="Arial" w:eastAsia="SimSun" w:hAnsi="Arial" w:cs="Arial"/>
          <w:sz w:val="22"/>
          <w:szCs w:val="22"/>
          <w:lang w:val="fr-FR"/>
        </w:rPr>
        <w:t xml:space="preserve"> d</w:t>
      </w:r>
      <w:r w:rsidR="008E532B">
        <w:rPr>
          <w:rFonts w:ascii="Arial" w:eastAsia="SimSun" w:hAnsi="Arial" w:cs="Arial"/>
          <w:sz w:val="22"/>
          <w:szCs w:val="22"/>
          <w:lang w:val="fr-FR"/>
        </w:rPr>
        <w:t>’</w:t>
      </w:r>
      <w:r w:rsidRPr="0003799A">
        <w:rPr>
          <w:rFonts w:ascii="Arial" w:eastAsia="SimSun" w:hAnsi="Arial" w:cs="Arial"/>
          <w:sz w:val="22"/>
          <w:szCs w:val="22"/>
          <w:lang w:val="fr-FR"/>
        </w:rPr>
        <w:t>avoir soutenu l</w:t>
      </w:r>
      <w:r w:rsidR="008E532B">
        <w:rPr>
          <w:rFonts w:ascii="Arial" w:eastAsia="SimSun" w:hAnsi="Arial" w:cs="Arial"/>
          <w:sz w:val="22"/>
          <w:szCs w:val="22"/>
          <w:lang w:val="fr-FR"/>
        </w:rPr>
        <w:t>’</w:t>
      </w:r>
      <w:r w:rsidRPr="0003799A">
        <w:rPr>
          <w:rFonts w:ascii="Arial" w:eastAsia="SimSun" w:hAnsi="Arial" w:cs="Arial"/>
          <w:sz w:val="22"/>
          <w:szCs w:val="22"/>
          <w:lang w:val="fr-FR"/>
        </w:rPr>
        <w:t xml:space="preserve">inscription de la </w:t>
      </w:r>
      <w:r>
        <w:rPr>
          <w:rFonts w:ascii="Arial" w:eastAsia="SimSun" w:hAnsi="Arial" w:cs="Arial"/>
          <w:sz w:val="22"/>
          <w:szCs w:val="22"/>
          <w:lang w:val="fr-FR"/>
        </w:rPr>
        <w:t>c</w:t>
      </w:r>
      <w:r w:rsidRPr="00BF4BDA">
        <w:rPr>
          <w:rFonts w:ascii="Arial" w:eastAsia="SimSun" w:hAnsi="Arial" w:cs="Arial"/>
          <w:sz w:val="22"/>
          <w:szCs w:val="22"/>
          <w:lang w:val="fr-FR"/>
        </w:rPr>
        <w:t xml:space="preserve">ulture de la </w:t>
      </w:r>
      <w:r>
        <w:rPr>
          <w:rFonts w:ascii="Arial" w:eastAsia="SimSun" w:hAnsi="Arial" w:cs="Arial"/>
          <w:sz w:val="22"/>
          <w:szCs w:val="22"/>
          <w:lang w:val="fr-FR"/>
        </w:rPr>
        <w:t xml:space="preserve">préparation du bortsch </w:t>
      </w:r>
      <w:r w:rsidRPr="00BF4BDA">
        <w:rPr>
          <w:rFonts w:ascii="Arial" w:eastAsia="SimSun" w:hAnsi="Arial" w:cs="Arial"/>
          <w:sz w:val="22"/>
          <w:szCs w:val="22"/>
          <w:lang w:val="fr-FR"/>
        </w:rPr>
        <w:t>ukrainien</w:t>
      </w:r>
      <w:r w:rsidRPr="008D4445">
        <w:rPr>
          <w:rFonts w:ascii="Arial" w:eastAsia="SimSun" w:hAnsi="Arial" w:cs="Arial"/>
          <w:sz w:val="22"/>
          <w:szCs w:val="22"/>
          <w:lang w:val="fr-FR"/>
        </w:rPr>
        <w:t xml:space="preserve"> </w:t>
      </w:r>
      <w:r w:rsidRPr="0003799A">
        <w:rPr>
          <w:rFonts w:ascii="Arial" w:eastAsia="SimSun" w:hAnsi="Arial" w:cs="Arial"/>
          <w:sz w:val="22"/>
          <w:szCs w:val="22"/>
          <w:lang w:val="fr-FR"/>
        </w:rPr>
        <w:t>sur la Liste de sauvegarde urgente quelques jours plus tôt, lors d</w:t>
      </w:r>
      <w:r w:rsidR="008E532B">
        <w:rPr>
          <w:rFonts w:ascii="Arial" w:eastAsia="SimSun" w:hAnsi="Arial" w:cs="Arial"/>
          <w:sz w:val="22"/>
          <w:szCs w:val="22"/>
          <w:lang w:val="fr-FR"/>
        </w:rPr>
        <w:t>’</w:t>
      </w:r>
      <w:r w:rsidRPr="0003799A">
        <w:rPr>
          <w:rFonts w:ascii="Arial" w:eastAsia="SimSun" w:hAnsi="Arial" w:cs="Arial"/>
          <w:sz w:val="22"/>
          <w:szCs w:val="22"/>
          <w:lang w:val="fr-FR"/>
        </w:rPr>
        <w:t>une session extraordinaire du Comité. Il s</w:t>
      </w:r>
      <w:r w:rsidR="008E532B">
        <w:rPr>
          <w:rFonts w:ascii="Arial" w:eastAsia="SimSun" w:hAnsi="Arial" w:cs="Arial"/>
          <w:sz w:val="22"/>
          <w:szCs w:val="22"/>
          <w:lang w:val="fr-FR"/>
        </w:rPr>
        <w:t>’</w:t>
      </w:r>
      <w:r w:rsidRPr="0003799A">
        <w:rPr>
          <w:rFonts w:ascii="Arial" w:eastAsia="SimSun" w:hAnsi="Arial" w:cs="Arial"/>
          <w:sz w:val="22"/>
          <w:szCs w:val="22"/>
          <w:lang w:val="fr-FR"/>
        </w:rPr>
        <w:t>agissait d</w:t>
      </w:r>
      <w:r w:rsidR="008E532B">
        <w:rPr>
          <w:rFonts w:ascii="Arial" w:eastAsia="SimSun" w:hAnsi="Arial" w:cs="Arial"/>
          <w:sz w:val="22"/>
          <w:szCs w:val="22"/>
          <w:lang w:val="fr-FR"/>
        </w:rPr>
        <w:t>’</w:t>
      </w:r>
      <w:r w:rsidRPr="0003799A">
        <w:rPr>
          <w:rFonts w:ascii="Arial" w:eastAsia="SimSun" w:hAnsi="Arial" w:cs="Arial"/>
          <w:sz w:val="22"/>
          <w:szCs w:val="22"/>
          <w:lang w:val="fr-FR"/>
        </w:rPr>
        <w:t>une nouvelle démonstration de la capacité de l</w:t>
      </w:r>
      <w:r w:rsidR="008E532B">
        <w:rPr>
          <w:rFonts w:ascii="Arial" w:eastAsia="SimSun" w:hAnsi="Arial" w:cs="Arial"/>
          <w:sz w:val="22"/>
          <w:szCs w:val="22"/>
          <w:lang w:val="fr-FR"/>
        </w:rPr>
        <w:t>’</w:t>
      </w:r>
      <w:r w:rsidRPr="0003799A">
        <w:rPr>
          <w:rFonts w:ascii="Arial" w:eastAsia="SimSun" w:hAnsi="Arial" w:cs="Arial"/>
          <w:sz w:val="22"/>
          <w:szCs w:val="22"/>
          <w:lang w:val="fr-FR"/>
        </w:rPr>
        <w:t>UNESCO à répondre rapidement aux situations d</w:t>
      </w:r>
      <w:r w:rsidR="008E532B">
        <w:rPr>
          <w:rFonts w:ascii="Arial" w:eastAsia="SimSun" w:hAnsi="Arial" w:cs="Arial"/>
          <w:sz w:val="22"/>
          <w:szCs w:val="22"/>
          <w:lang w:val="fr-FR"/>
        </w:rPr>
        <w:t>’</w:t>
      </w:r>
      <w:r w:rsidRPr="0003799A">
        <w:rPr>
          <w:rFonts w:ascii="Arial" w:eastAsia="SimSun" w:hAnsi="Arial" w:cs="Arial"/>
          <w:sz w:val="22"/>
          <w:szCs w:val="22"/>
          <w:lang w:val="fr-FR"/>
        </w:rPr>
        <w:t>urgence pour protéger les biens culturels, tout en insufflant un sentiment d</w:t>
      </w:r>
      <w:r w:rsidR="008E532B">
        <w:rPr>
          <w:rFonts w:ascii="Arial" w:eastAsia="SimSun" w:hAnsi="Arial" w:cs="Arial"/>
          <w:sz w:val="22"/>
          <w:szCs w:val="22"/>
          <w:lang w:val="fr-FR"/>
        </w:rPr>
        <w:t>’</w:t>
      </w:r>
      <w:r w:rsidRPr="0003799A">
        <w:rPr>
          <w:rFonts w:ascii="Arial" w:eastAsia="SimSun" w:hAnsi="Arial" w:cs="Arial"/>
          <w:sz w:val="22"/>
          <w:szCs w:val="22"/>
          <w:lang w:val="fr-FR"/>
        </w:rPr>
        <w:t>espoir aux personnes confrontées à l</w:t>
      </w:r>
      <w:r w:rsidR="008E532B">
        <w:rPr>
          <w:rFonts w:ascii="Arial" w:eastAsia="SimSun" w:hAnsi="Arial" w:cs="Arial"/>
          <w:sz w:val="22"/>
          <w:szCs w:val="22"/>
          <w:lang w:val="fr-FR"/>
        </w:rPr>
        <w:t>’</w:t>
      </w:r>
      <w:r w:rsidRPr="0003799A">
        <w:rPr>
          <w:rFonts w:ascii="Arial" w:eastAsia="SimSun" w:hAnsi="Arial" w:cs="Arial"/>
          <w:sz w:val="22"/>
          <w:szCs w:val="22"/>
          <w:lang w:val="fr-FR"/>
        </w:rPr>
        <w:t>adversité. Enfin, sur les soixante</w:t>
      </w:r>
      <w:r>
        <w:rPr>
          <w:rFonts w:ascii="Arial" w:eastAsia="SimSun" w:hAnsi="Arial" w:cs="Arial"/>
          <w:sz w:val="22"/>
          <w:szCs w:val="22"/>
          <w:lang w:val="fr-FR"/>
        </w:rPr>
        <w:noBreakHyphen/>
      </w:r>
      <w:r w:rsidRPr="0003799A">
        <w:rPr>
          <w:rFonts w:ascii="Arial" w:eastAsia="SimSun" w:hAnsi="Arial" w:cs="Arial"/>
          <w:sz w:val="22"/>
          <w:szCs w:val="22"/>
          <w:lang w:val="fr-FR"/>
        </w:rPr>
        <w:t>quatorze candidatures inscrites lors du dernier Comité, la délégation a noté que soixante</w:t>
      </w:r>
      <w:r>
        <w:rPr>
          <w:rFonts w:ascii="Arial" w:eastAsia="SimSun" w:hAnsi="Arial" w:cs="Arial"/>
          <w:sz w:val="22"/>
          <w:szCs w:val="22"/>
          <w:lang w:val="fr-FR"/>
        </w:rPr>
        <w:noBreakHyphen/>
      </w:r>
      <w:r w:rsidRPr="0003799A">
        <w:rPr>
          <w:rFonts w:ascii="Arial" w:eastAsia="SimSun" w:hAnsi="Arial" w:cs="Arial"/>
          <w:sz w:val="22"/>
          <w:szCs w:val="22"/>
          <w:lang w:val="fr-FR"/>
        </w:rPr>
        <w:t xml:space="preserve">sept avaient été inscrites sur la Liste représentative, avec seulement sept candidatures sur la Liste de sauvegarde urgente et sept dossiers sélectionnés </w:t>
      </w:r>
      <w:r>
        <w:rPr>
          <w:rFonts w:ascii="Arial" w:eastAsia="SimSun" w:hAnsi="Arial" w:cs="Arial"/>
          <w:sz w:val="22"/>
          <w:szCs w:val="22"/>
          <w:lang w:val="fr-FR"/>
        </w:rPr>
        <w:t>comme étant de b</w:t>
      </w:r>
      <w:r w:rsidRPr="0003799A">
        <w:rPr>
          <w:rFonts w:ascii="Arial" w:eastAsia="SimSun" w:hAnsi="Arial" w:cs="Arial"/>
          <w:sz w:val="22"/>
          <w:szCs w:val="22"/>
          <w:lang w:val="fr-FR"/>
        </w:rPr>
        <w:t>onnes pratiques de sauvegarde. Cela</w:t>
      </w:r>
      <w:r>
        <w:rPr>
          <w:rFonts w:ascii="Arial" w:eastAsia="SimSun" w:hAnsi="Arial" w:cs="Arial"/>
          <w:sz w:val="22"/>
          <w:szCs w:val="22"/>
          <w:lang w:val="fr-FR"/>
        </w:rPr>
        <w:t xml:space="preserve"> donnait trop d</w:t>
      </w:r>
      <w:r w:rsidR="008E532B">
        <w:rPr>
          <w:rFonts w:ascii="Arial" w:eastAsia="SimSun" w:hAnsi="Arial" w:cs="Arial"/>
          <w:sz w:val="22"/>
          <w:szCs w:val="22"/>
          <w:lang w:val="fr-FR"/>
        </w:rPr>
        <w:t>’</w:t>
      </w:r>
      <w:r w:rsidRPr="0003799A">
        <w:rPr>
          <w:rFonts w:ascii="Arial" w:eastAsia="SimSun" w:hAnsi="Arial" w:cs="Arial"/>
          <w:sz w:val="22"/>
          <w:szCs w:val="22"/>
          <w:lang w:val="fr-FR"/>
        </w:rPr>
        <w:t xml:space="preserve">importance </w:t>
      </w:r>
      <w:r>
        <w:rPr>
          <w:rFonts w:ascii="Arial" w:eastAsia="SimSun" w:hAnsi="Arial" w:cs="Arial"/>
          <w:sz w:val="22"/>
          <w:szCs w:val="22"/>
          <w:lang w:val="fr-FR"/>
        </w:rPr>
        <w:t xml:space="preserve">à </w:t>
      </w:r>
      <w:r w:rsidRPr="0003799A">
        <w:rPr>
          <w:rFonts w:ascii="Arial" w:eastAsia="SimSun" w:hAnsi="Arial" w:cs="Arial"/>
          <w:sz w:val="22"/>
          <w:szCs w:val="22"/>
          <w:lang w:val="fr-FR"/>
        </w:rPr>
        <w:t xml:space="preserve">la Liste représentative, les deux autres </w:t>
      </w:r>
      <w:r>
        <w:rPr>
          <w:rFonts w:ascii="Arial" w:eastAsia="SimSun" w:hAnsi="Arial" w:cs="Arial"/>
          <w:sz w:val="22"/>
          <w:szCs w:val="22"/>
          <w:lang w:val="fr-FR"/>
        </w:rPr>
        <w:t>l</w:t>
      </w:r>
      <w:r w:rsidRPr="0003799A">
        <w:rPr>
          <w:rFonts w:ascii="Arial" w:eastAsia="SimSun" w:hAnsi="Arial" w:cs="Arial"/>
          <w:sz w:val="22"/>
          <w:szCs w:val="22"/>
          <w:lang w:val="fr-FR"/>
        </w:rPr>
        <w:t xml:space="preserve">istes étant reléguées à un statut secondaire, ce qui ne devrait </w:t>
      </w:r>
      <w:r>
        <w:rPr>
          <w:rFonts w:ascii="Arial" w:eastAsia="SimSun" w:hAnsi="Arial" w:cs="Arial"/>
          <w:sz w:val="22"/>
          <w:szCs w:val="22"/>
          <w:lang w:val="fr-FR"/>
        </w:rPr>
        <w:t>absolument pas être</w:t>
      </w:r>
      <w:r w:rsidRPr="0003799A">
        <w:rPr>
          <w:rFonts w:ascii="Arial" w:eastAsia="SimSun" w:hAnsi="Arial" w:cs="Arial"/>
          <w:sz w:val="22"/>
          <w:szCs w:val="22"/>
          <w:lang w:val="fr-FR"/>
        </w:rPr>
        <w:t xml:space="preserve"> le cas. Les trois </w:t>
      </w:r>
      <w:r>
        <w:rPr>
          <w:rFonts w:ascii="Arial" w:eastAsia="SimSun" w:hAnsi="Arial" w:cs="Arial"/>
          <w:sz w:val="22"/>
          <w:szCs w:val="22"/>
          <w:lang w:val="fr-FR"/>
        </w:rPr>
        <w:t>l</w:t>
      </w:r>
      <w:r w:rsidRPr="0003799A">
        <w:rPr>
          <w:rFonts w:ascii="Arial" w:eastAsia="SimSun" w:hAnsi="Arial" w:cs="Arial"/>
          <w:sz w:val="22"/>
          <w:szCs w:val="22"/>
          <w:lang w:val="fr-FR"/>
        </w:rPr>
        <w:t xml:space="preserve">istes </w:t>
      </w:r>
      <w:r>
        <w:rPr>
          <w:rFonts w:ascii="Arial" w:eastAsia="SimSun" w:hAnsi="Arial" w:cs="Arial"/>
          <w:sz w:val="22"/>
          <w:szCs w:val="22"/>
          <w:lang w:val="fr-FR"/>
        </w:rPr>
        <w:t>étaient</w:t>
      </w:r>
      <w:r w:rsidRPr="0003799A">
        <w:rPr>
          <w:rFonts w:ascii="Arial" w:eastAsia="SimSun" w:hAnsi="Arial" w:cs="Arial"/>
          <w:sz w:val="22"/>
          <w:szCs w:val="22"/>
          <w:lang w:val="fr-FR"/>
        </w:rPr>
        <w:t xml:space="preserve"> toutes aussi importantes l</w:t>
      </w:r>
      <w:r w:rsidR="008E532B">
        <w:rPr>
          <w:rFonts w:ascii="Arial" w:eastAsia="SimSun" w:hAnsi="Arial" w:cs="Arial"/>
          <w:sz w:val="22"/>
          <w:szCs w:val="22"/>
          <w:lang w:val="fr-FR"/>
        </w:rPr>
        <w:t>’</w:t>
      </w:r>
      <w:r w:rsidRPr="0003799A">
        <w:rPr>
          <w:rFonts w:ascii="Arial" w:eastAsia="SimSun" w:hAnsi="Arial" w:cs="Arial"/>
          <w:sz w:val="22"/>
          <w:szCs w:val="22"/>
          <w:lang w:val="fr-FR"/>
        </w:rPr>
        <w:t>une que l</w:t>
      </w:r>
      <w:r w:rsidR="008E532B">
        <w:rPr>
          <w:rFonts w:ascii="Arial" w:eastAsia="SimSun" w:hAnsi="Arial" w:cs="Arial"/>
          <w:sz w:val="22"/>
          <w:szCs w:val="22"/>
          <w:lang w:val="fr-FR"/>
        </w:rPr>
        <w:t>’</w:t>
      </w:r>
      <w:r w:rsidRPr="0003799A">
        <w:rPr>
          <w:rFonts w:ascii="Arial" w:eastAsia="SimSun" w:hAnsi="Arial" w:cs="Arial"/>
          <w:sz w:val="22"/>
          <w:szCs w:val="22"/>
          <w:lang w:val="fr-FR"/>
        </w:rPr>
        <w:t>autre et refl</w:t>
      </w:r>
      <w:r>
        <w:rPr>
          <w:rFonts w:ascii="Arial" w:eastAsia="SimSun" w:hAnsi="Arial" w:cs="Arial"/>
          <w:sz w:val="22"/>
          <w:szCs w:val="22"/>
          <w:lang w:val="fr-FR"/>
        </w:rPr>
        <w:t>étaient</w:t>
      </w:r>
      <w:r w:rsidRPr="0003799A">
        <w:rPr>
          <w:rFonts w:ascii="Arial" w:eastAsia="SimSun" w:hAnsi="Arial" w:cs="Arial"/>
          <w:sz w:val="22"/>
          <w:szCs w:val="22"/>
          <w:lang w:val="fr-FR"/>
        </w:rPr>
        <w:t xml:space="preserve"> différents aspects du patrimoine immatériel. </w:t>
      </w:r>
      <w:r>
        <w:rPr>
          <w:rFonts w:ascii="Arial" w:eastAsia="SimSun" w:hAnsi="Arial" w:cs="Arial"/>
          <w:sz w:val="22"/>
          <w:szCs w:val="22"/>
          <w:lang w:val="fr-FR"/>
        </w:rPr>
        <w:t xml:space="preserve">On pouvait espérer </w:t>
      </w:r>
      <w:r w:rsidRPr="0003799A">
        <w:rPr>
          <w:rFonts w:ascii="Arial" w:eastAsia="SimSun" w:hAnsi="Arial" w:cs="Arial"/>
          <w:sz w:val="22"/>
          <w:szCs w:val="22"/>
          <w:lang w:val="fr-FR"/>
        </w:rPr>
        <w:t>que l</w:t>
      </w:r>
      <w:r w:rsidR="008E532B">
        <w:rPr>
          <w:rFonts w:ascii="Arial" w:eastAsia="SimSun" w:hAnsi="Arial" w:cs="Arial"/>
          <w:sz w:val="22"/>
          <w:szCs w:val="22"/>
          <w:lang w:val="fr-FR"/>
        </w:rPr>
        <w:t>’</w:t>
      </w:r>
      <w:r w:rsidRPr="0003799A">
        <w:rPr>
          <w:rFonts w:ascii="Arial" w:eastAsia="SimSun" w:hAnsi="Arial" w:cs="Arial"/>
          <w:sz w:val="22"/>
          <w:szCs w:val="22"/>
          <w:lang w:val="fr-FR"/>
        </w:rPr>
        <w:t>Assemblée</w:t>
      </w:r>
      <w:r>
        <w:rPr>
          <w:rFonts w:ascii="Arial" w:eastAsia="SimSun" w:hAnsi="Arial" w:cs="Arial"/>
          <w:sz w:val="22"/>
          <w:szCs w:val="22"/>
          <w:lang w:val="fr-FR"/>
        </w:rPr>
        <w:t xml:space="preserve"> </w:t>
      </w:r>
      <w:r w:rsidRPr="0003799A">
        <w:rPr>
          <w:rFonts w:ascii="Arial" w:eastAsia="SimSun" w:hAnsi="Arial" w:cs="Arial"/>
          <w:sz w:val="22"/>
          <w:szCs w:val="22"/>
          <w:lang w:val="fr-FR"/>
        </w:rPr>
        <w:t>réfléch</w:t>
      </w:r>
      <w:r>
        <w:rPr>
          <w:rFonts w:ascii="Arial" w:eastAsia="SimSun" w:hAnsi="Arial" w:cs="Arial"/>
          <w:sz w:val="22"/>
          <w:szCs w:val="22"/>
          <w:lang w:val="fr-FR"/>
        </w:rPr>
        <w:t>isse</w:t>
      </w:r>
      <w:r w:rsidRPr="0003799A">
        <w:rPr>
          <w:rFonts w:ascii="Arial" w:eastAsia="SimSun" w:hAnsi="Arial" w:cs="Arial"/>
          <w:sz w:val="22"/>
          <w:szCs w:val="22"/>
          <w:lang w:val="fr-FR"/>
        </w:rPr>
        <w:t xml:space="preserve"> aux moyens de trouver un nouvel équilibre entre les trois mécanismes.</w:t>
      </w:r>
    </w:p>
    <w:p w14:paraId="24C54FEF" w14:textId="0CD70288" w:rsidR="00D9653F" w:rsidRPr="00DF5A5E"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DF5A5E">
        <w:rPr>
          <w:rFonts w:ascii="Arial" w:eastAsia="SimSun" w:hAnsi="Arial" w:cs="Arial"/>
          <w:sz w:val="22"/>
          <w:szCs w:val="22"/>
          <w:lang w:val="fr-FR"/>
        </w:rPr>
        <w:t xml:space="preserve">La délégation du </w:t>
      </w:r>
      <w:r w:rsidRPr="00DF5A5E">
        <w:rPr>
          <w:rFonts w:ascii="Arial" w:eastAsia="SimSun" w:hAnsi="Arial" w:cs="Arial"/>
          <w:b/>
          <w:bCs/>
          <w:sz w:val="22"/>
          <w:szCs w:val="22"/>
          <w:lang w:val="fr-FR"/>
        </w:rPr>
        <w:t>Burkina</w:t>
      </w:r>
      <w:r>
        <w:rPr>
          <w:rFonts w:ascii="Arial" w:eastAsia="SimSun" w:hAnsi="Arial" w:cs="Arial"/>
          <w:b/>
          <w:bCs/>
          <w:sz w:val="22"/>
          <w:szCs w:val="22"/>
          <w:lang w:val="fr-FR"/>
        </w:rPr>
        <w:t> </w:t>
      </w:r>
      <w:r w:rsidRPr="00DF5A5E">
        <w:rPr>
          <w:rFonts w:ascii="Arial" w:eastAsia="SimSun" w:hAnsi="Arial" w:cs="Arial"/>
          <w:b/>
          <w:bCs/>
          <w:sz w:val="22"/>
          <w:szCs w:val="22"/>
          <w:lang w:val="fr-FR"/>
        </w:rPr>
        <w:t>Faso</w:t>
      </w:r>
      <w:r w:rsidRPr="00DF5A5E">
        <w:rPr>
          <w:rFonts w:ascii="Arial" w:eastAsia="SimSun" w:hAnsi="Arial" w:cs="Arial"/>
          <w:sz w:val="22"/>
          <w:szCs w:val="22"/>
          <w:lang w:val="fr-FR"/>
        </w:rPr>
        <w:t xml:space="preserve"> </w:t>
      </w:r>
      <w:r>
        <w:rPr>
          <w:rFonts w:ascii="Arial" w:eastAsia="SimSun" w:hAnsi="Arial" w:cs="Arial"/>
          <w:sz w:val="22"/>
          <w:szCs w:val="22"/>
          <w:lang w:val="fr-FR"/>
        </w:rPr>
        <w:t xml:space="preserve">a </w:t>
      </w:r>
      <w:r w:rsidRPr="00DF5A5E">
        <w:rPr>
          <w:rFonts w:ascii="Arial" w:eastAsia="SimSun" w:hAnsi="Arial" w:cs="Arial"/>
          <w:sz w:val="22"/>
          <w:szCs w:val="22"/>
          <w:lang w:val="fr-FR"/>
        </w:rPr>
        <w:t>félicit</w:t>
      </w:r>
      <w:r>
        <w:rPr>
          <w:rFonts w:ascii="Arial" w:eastAsia="SimSun" w:hAnsi="Arial" w:cs="Arial"/>
          <w:sz w:val="22"/>
          <w:szCs w:val="22"/>
          <w:lang w:val="fr-FR"/>
        </w:rPr>
        <w:t>é</w:t>
      </w:r>
      <w:r w:rsidRPr="00DF5A5E">
        <w:rPr>
          <w:rFonts w:ascii="Arial" w:eastAsia="SimSun" w:hAnsi="Arial" w:cs="Arial"/>
          <w:sz w:val="22"/>
          <w:szCs w:val="22"/>
          <w:lang w:val="fr-FR"/>
        </w:rPr>
        <w:t xml:space="preserve"> la Présidente pour son élection et </w:t>
      </w:r>
      <w:r>
        <w:rPr>
          <w:rFonts w:ascii="Arial" w:eastAsia="SimSun" w:hAnsi="Arial" w:cs="Arial"/>
          <w:sz w:val="22"/>
          <w:szCs w:val="22"/>
          <w:lang w:val="fr-FR"/>
        </w:rPr>
        <w:t xml:space="preserve">a </w:t>
      </w:r>
      <w:r w:rsidRPr="00DF5A5E">
        <w:rPr>
          <w:rFonts w:ascii="Arial" w:eastAsia="SimSun" w:hAnsi="Arial" w:cs="Arial"/>
          <w:sz w:val="22"/>
          <w:szCs w:val="22"/>
          <w:lang w:val="fr-FR"/>
        </w:rPr>
        <w:t>adres</w:t>
      </w:r>
      <w:r>
        <w:rPr>
          <w:rFonts w:ascii="Arial" w:eastAsia="SimSun" w:hAnsi="Arial" w:cs="Arial"/>
          <w:sz w:val="22"/>
          <w:szCs w:val="22"/>
          <w:lang w:val="fr-FR"/>
        </w:rPr>
        <w:t>sé</w:t>
      </w:r>
      <w:r w:rsidRPr="00DF5A5E">
        <w:rPr>
          <w:rFonts w:ascii="Arial" w:eastAsia="SimSun" w:hAnsi="Arial" w:cs="Arial"/>
          <w:sz w:val="22"/>
          <w:szCs w:val="22"/>
          <w:lang w:val="fr-FR"/>
        </w:rPr>
        <w:t xml:space="preserve"> ses vives félicitations aux membres du Bureau nouvellement élus, ainsi qu</w:t>
      </w:r>
      <w:r w:rsidR="008E532B">
        <w:rPr>
          <w:rFonts w:ascii="Arial" w:eastAsia="SimSun" w:hAnsi="Arial" w:cs="Arial"/>
          <w:sz w:val="22"/>
          <w:szCs w:val="22"/>
          <w:lang w:val="fr-FR"/>
        </w:rPr>
        <w:t>’</w:t>
      </w:r>
      <w:r w:rsidRPr="00DF5A5E">
        <w:rPr>
          <w:rFonts w:ascii="Arial" w:eastAsia="SimSun" w:hAnsi="Arial" w:cs="Arial"/>
          <w:sz w:val="22"/>
          <w:szCs w:val="22"/>
          <w:lang w:val="fr-FR"/>
        </w:rPr>
        <w:t>à l</w:t>
      </w:r>
      <w:r w:rsidR="008E532B">
        <w:rPr>
          <w:rFonts w:ascii="Arial" w:eastAsia="SimSun" w:hAnsi="Arial" w:cs="Arial"/>
          <w:sz w:val="22"/>
          <w:szCs w:val="22"/>
          <w:lang w:val="fr-FR"/>
        </w:rPr>
        <w:t>’</w:t>
      </w:r>
      <w:r w:rsidRPr="00DF5A5E">
        <w:rPr>
          <w:rFonts w:ascii="Arial" w:eastAsia="SimSun" w:hAnsi="Arial" w:cs="Arial"/>
          <w:sz w:val="22"/>
          <w:szCs w:val="22"/>
          <w:lang w:val="fr-FR"/>
        </w:rPr>
        <w:t xml:space="preserve">Angola et à la Somalie pour </w:t>
      </w:r>
      <w:r>
        <w:rPr>
          <w:rFonts w:ascii="Arial" w:eastAsia="SimSun" w:hAnsi="Arial" w:cs="Arial"/>
          <w:sz w:val="22"/>
          <w:szCs w:val="22"/>
          <w:lang w:val="fr-FR"/>
        </w:rPr>
        <w:t>leur adhésion</w:t>
      </w:r>
      <w:r w:rsidRPr="00DF5A5E">
        <w:rPr>
          <w:rFonts w:ascii="Arial" w:eastAsia="SimSun" w:hAnsi="Arial" w:cs="Arial"/>
          <w:sz w:val="22"/>
          <w:szCs w:val="22"/>
          <w:lang w:val="fr-FR"/>
        </w:rPr>
        <w:t xml:space="preserve"> à la Convention. Depuis 2009, soit trois ans après sa ratification, le Burkina</w:t>
      </w:r>
      <w:r>
        <w:rPr>
          <w:rFonts w:ascii="Arial" w:eastAsia="SimSun" w:hAnsi="Arial" w:cs="Arial"/>
          <w:sz w:val="22"/>
          <w:szCs w:val="22"/>
          <w:lang w:val="fr-FR"/>
        </w:rPr>
        <w:t> </w:t>
      </w:r>
      <w:r w:rsidRPr="00DF5A5E">
        <w:rPr>
          <w:rFonts w:ascii="Arial" w:eastAsia="SimSun" w:hAnsi="Arial" w:cs="Arial"/>
          <w:sz w:val="22"/>
          <w:szCs w:val="22"/>
          <w:lang w:val="fr-FR"/>
        </w:rPr>
        <w:t>Faso a</w:t>
      </w:r>
      <w:r>
        <w:rPr>
          <w:rFonts w:ascii="Arial" w:eastAsia="SimSun" w:hAnsi="Arial" w:cs="Arial"/>
          <w:sz w:val="22"/>
          <w:szCs w:val="22"/>
          <w:lang w:val="fr-FR"/>
        </w:rPr>
        <w:t>vait</w:t>
      </w:r>
      <w:r w:rsidRPr="00DF5A5E">
        <w:rPr>
          <w:rFonts w:ascii="Arial" w:eastAsia="SimSun" w:hAnsi="Arial" w:cs="Arial"/>
          <w:sz w:val="22"/>
          <w:szCs w:val="22"/>
          <w:lang w:val="fr-FR"/>
        </w:rPr>
        <w:t xml:space="preserve"> déjà entrepris des inventaires thématiques dans le domaine des arts du spectacle dans la région de Sénoufo. Ce travail a</w:t>
      </w:r>
      <w:r>
        <w:rPr>
          <w:rFonts w:ascii="Arial" w:eastAsia="SimSun" w:hAnsi="Arial" w:cs="Arial"/>
          <w:sz w:val="22"/>
          <w:szCs w:val="22"/>
          <w:lang w:val="fr-FR"/>
        </w:rPr>
        <w:t>vait</w:t>
      </w:r>
      <w:r w:rsidRPr="00DF5A5E">
        <w:rPr>
          <w:rFonts w:ascii="Arial" w:eastAsia="SimSun" w:hAnsi="Arial" w:cs="Arial"/>
          <w:sz w:val="22"/>
          <w:szCs w:val="22"/>
          <w:lang w:val="fr-FR"/>
        </w:rPr>
        <w:t xml:space="preserve"> conduit à l</w:t>
      </w:r>
      <w:r w:rsidR="008E532B">
        <w:rPr>
          <w:rFonts w:ascii="Arial" w:eastAsia="SimSun" w:hAnsi="Arial" w:cs="Arial"/>
          <w:sz w:val="22"/>
          <w:szCs w:val="22"/>
          <w:lang w:val="fr-FR"/>
        </w:rPr>
        <w:t>’</w:t>
      </w:r>
      <w:r w:rsidRPr="00DF5A5E">
        <w:rPr>
          <w:rFonts w:ascii="Arial" w:eastAsia="SimSun" w:hAnsi="Arial" w:cs="Arial"/>
          <w:sz w:val="22"/>
          <w:szCs w:val="22"/>
          <w:lang w:val="fr-FR"/>
        </w:rPr>
        <w:t>inscription des</w:t>
      </w:r>
      <w:r>
        <w:rPr>
          <w:rFonts w:ascii="Arial" w:eastAsia="SimSun" w:hAnsi="Arial" w:cs="Arial"/>
          <w:sz w:val="22"/>
          <w:szCs w:val="22"/>
          <w:lang w:val="fr-FR"/>
        </w:rPr>
        <w:t xml:space="preserve"> p</w:t>
      </w:r>
      <w:r w:rsidRPr="00DF5A5E">
        <w:rPr>
          <w:rFonts w:ascii="Arial" w:eastAsia="SimSun" w:hAnsi="Arial" w:cs="Arial"/>
          <w:sz w:val="22"/>
          <w:szCs w:val="22"/>
          <w:lang w:val="fr-FR"/>
        </w:rPr>
        <w:t>ratiques et expressions culturelles liées au balafon des communautés S</w:t>
      </w:r>
      <w:r>
        <w:rPr>
          <w:rFonts w:ascii="Arial" w:eastAsia="SimSun" w:hAnsi="Arial" w:cs="Arial"/>
          <w:sz w:val="22"/>
          <w:szCs w:val="22"/>
          <w:lang w:val="fr-FR"/>
        </w:rPr>
        <w:t>é</w:t>
      </w:r>
      <w:r w:rsidRPr="00DF5A5E">
        <w:rPr>
          <w:rFonts w:ascii="Arial" w:eastAsia="SimSun" w:hAnsi="Arial" w:cs="Arial"/>
          <w:sz w:val="22"/>
          <w:szCs w:val="22"/>
          <w:lang w:val="fr-FR"/>
        </w:rPr>
        <w:t>n</w:t>
      </w:r>
      <w:r>
        <w:rPr>
          <w:rFonts w:ascii="Arial" w:eastAsia="SimSun" w:hAnsi="Arial" w:cs="Arial"/>
          <w:sz w:val="22"/>
          <w:szCs w:val="22"/>
          <w:lang w:val="fr-FR"/>
        </w:rPr>
        <w:t>o</w:t>
      </w:r>
      <w:r w:rsidRPr="00DF5A5E">
        <w:rPr>
          <w:rFonts w:ascii="Arial" w:eastAsia="SimSun" w:hAnsi="Arial" w:cs="Arial"/>
          <w:sz w:val="22"/>
          <w:szCs w:val="22"/>
          <w:lang w:val="fr-FR"/>
        </w:rPr>
        <w:t>ufo sur la Liste représentative en 2012, un élément partagé avec deux pays limitrophes</w:t>
      </w:r>
      <w:r>
        <w:rPr>
          <w:rFonts w:ascii="Arial" w:eastAsia="SimSun" w:hAnsi="Arial" w:cs="Arial"/>
          <w:sz w:val="22"/>
          <w:szCs w:val="22"/>
          <w:lang w:val="fr-FR"/>
        </w:rPr>
        <w:t xml:space="preserve">, </w:t>
      </w:r>
      <w:r w:rsidRPr="00DF5A5E">
        <w:rPr>
          <w:rFonts w:ascii="Arial" w:eastAsia="SimSun" w:hAnsi="Arial" w:cs="Arial"/>
          <w:sz w:val="22"/>
          <w:szCs w:val="22"/>
          <w:lang w:val="fr-FR"/>
        </w:rPr>
        <w:t>la Côte</w:t>
      </w:r>
      <w:r>
        <w:rPr>
          <w:rFonts w:ascii="Arial" w:eastAsia="SimSun" w:hAnsi="Arial" w:cs="Arial"/>
          <w:sz w:val="22"/>
          <w:szCs w:val="22"/>
          <w:lang w:val="fr-FR"/>
        </w:rPr>
        <w:t> </w:t>
      </w:r>
      <w:r w:rsidRPr="00DF5A5E">
        <w:rPr>
          <w:rFonts w:ascii="Arial" w:eastAsia="SimSun" w:hAnsi="Arial" w:cs="Arial"/>
          <w:sz w:val="22"/>
          <w:szCs w:val="22"/>
          <w:lang w:val="fr-FR"/>
        </w:rPr>
        <w:t>d</w:t>
      </w:r>
      <w:r w:rsidR="008E532B">
        <w:rPr>
          <w:rFonts w:ascii="Arial" w:eastAsia="SimSun" w:hAnsi="Arial" w:cs="Arial"/>
          <w:sz w:val="22"/>
          <w:szCs w:val="22"/>
          <w:lang w:val="fr-FR"/>
        </w:rPr>
        <w:t>’</w:t>
      </w:r>
      <w:r w:rsidRPr="00DF5A5E">
        <w:rPr>
          <w:rFonts w:ascii="Arial" w:eastAsia="SimSun" w:hAnsi="Arial" w:cs="Arial"/>
          <w:sz w:val="22"/>
          <w:szCs w:val="22"/>
          <w:lang w:val="fr-FR"/>
        </w:rPr>
        <w:t xml:space="preserve">Ivoire et le Mali. </w:t>
      </w:r>
      <w:proofErr w:type="gramStart"/>
      <w:r w:rsidRPr="00DF5A5E">
        <w:rPr>
          <w:rFonts w:ascii="Arial" w:eastAsia="SimSun" w:hAnsi="Arial" w:cs="Arial"/>
          <w:sz w:val="22"/>
          <w:szCs w:val="22"/>
          <w:lang w:val="fr-FR"/>
        </w:rPr>
        <w:t>Suite à</w:t>
      </w:r>
      <w:proofErr w:type="gramEnd"/>
      <w:r w:rsidRPr="00DF5A5E">
        <w:rPr>
          <w:rFonts w:ascii="Arial" w:eastAsia="SimSun" w:hAnsi="Arial" w:cs="Arial"/>
          <w:sz w:val="22"/>
          <w:szCs w:val="22"/>
          <w:lang w:val="fr-FR"/>
        </w:rPr>
        <w:t xml:space="preserve"> cette inscription, le Burkina</w:t>
      </w:r>
      <w:r>
        <w:rPr>
          <w:rFonts w:ascii="Arial" w:eastAsia="SimSun" w:hAnsi="Arial" w:cs="Arial"/>
          <w:sz w:val="22"/>
          <w:szCs w:val="22"/>
          <w:lang w:val="fr-FR"/>
        </w:rPr>
        <w:t> </w:t>
      </w:r>
      <w:r w:rsidRPr="00DF5A5E">
        <w:rPr>
          <w:rFonts w:ascii="Arial" w:eastAsia="SimSun" w:hAnsi="Arial" w:cs="Arial"/>
          <w:sz w:val="22"/>
          <w:szCs w:val="22"/>
          <w:lang w:val="fr-FR"/>
        </w:rPr>
        <w:t>Faso a</w:t>
      </w:r>
      <w:r>
        <w:rPr>
          <w:rFonts w:ascii="Arial" w:eastAsia="SimSun" w:hAnsi="Arial" w:cs="Arial"/>
          <w:sz w:val="22"/>
          <w:szCs w:val="22"/>
          <w:lang w:val="fr-FR"/>
        </w:rPr>
        <w:t>vait</w:t>
      </w:r>
      <w:r w:rsidRPr="00DF5A5E">
        <w:rPr>
          <w:rFonts w:ascii="Arial" w:eastAsia="SimSun" w:hAnsi="Arial" w:cs="Arial"/>
          <w:sz w:val="22"/>
          <w:szCs w:val="22"/>
          <w:lang w:val="fr-FR"/>
        </w:rPr>
        <w:t xml:space="preserve"> entrepris</w:t>
      </w:r>
      <w:r>
        <w:rPr>
          <w:rFonts w:ascii="Arial" w:eastAsia="SimSun" w:hAnsi="Arial" w:cs="Arial"/>
          <w:sz w:val="22"/>
          <w:szCs w:val="22"/>
          <w:lang w:val="fr-FR"/>
        </w:rPr>
        <w:t>,</w:t>
      </w:r>
      <w:r w:rsidRPr="00DF5A5E">
        <w:rPr>
          <w:rFonts w:ascii="Arial" w:eastAsia="SimSun" w:hAnsi="Arial" w:cs="Arial"/>
          <w:sz w:val="22"/>
          <w:szCs w:val="22"/>
          <w:lang w:val="fr-FR"/>
        </w:rPr>
        <w:t xml:space="preserve"> en 2014 et 2017</w:t>
      </w:r>
      <w:r>
        <w:rPr>
          <w:rFonts w:ascii="Arial" w:eastAsia="SimSun" w:hAnsi="Arial" w:cs="Arial"/>
          <w:sz w:val="22"/>
          <w:szCs w:val="22"/>
          <w:lang w:val="fr-FR"/>
        </w:rPr>
        <w:t>,</w:t>
      </w:r>
      <w:r w:rsidRPr="00DF5A5E">
        <w:rPr>
          <w:rFonts w:ascii="Arial" w:eastAsia="SimSun" w:hAnsi="Arial" w:cs="Arial"/>
          <w:sz w:val="22"/>
          <w:szCs w:val="22"/>
          <w:lang w:val="fr-FR"/>
        </w:rPr>
        <w:t xml:space="preserve"> un inventaire général du patrimoine culturel immatériel, à la suite duquel 1</w:t>
      </w:r>
      <w:r>
        <w:rPr>
          <w:rFonts w:ascii="Arial" w:eastAsia="SimSun" w:hAnsi="Arial" w:cs="Arial"/>
          <w:sz w:val="22"/>
          <w:szCs w:val="22"/>
          <w:lang w:val="fr-FR"/>
        </w:rPr>
        <w:t> </w:t>
      </w:r>
      <w:r w:rsidRPr="00DF5A5E">
        <w:rPr>
          <w:rFonts w:ascii="Arial" w:eastAsia="SimSun" w:hAnsi="Arial" w:cs="Arial"/>
          <w:sz w:val="22"/>
          <w:szCs w:val="22"/>
          <w:lang w:val="fr-FR"/>
        </w:rPr>
        <w:t xml:space="preserve">492 éléments culturels </w:t>
      </w:r>
      <w:r>
        <w:rPr>
          <w:rFonts w:ascii="Arial" w:eastAsia="SimSun" w:hAnsi="Arial" w:cs="Arial"/>
          <w:sz w:val="22"/>
          <w:szCs w:val="22"/>
          <w:lang w:val="fr-FR"/>
        </w:rPr>
        <w:t>avaient</w:t>
      </w:r>
      <w:r w:rsidRPr="00DF5A5E">
        <w:rPr>
          <w:rFonts w:ascii="Arial" w:eastAsia="SimSun" w:hAnsi="Arial" w:cs="Arial"/>
          <w:sz w:val="22"/>
          <w:szCs w:val="22"/>
          <w:lang w:val="fr-FR"/>
        </w:rPr>
        <w:t xml:space="preserve"> été identifiés, dont 155 en attente d</w:t>
      </w:r>
      <w:r w:rsidR="008E532B">
        <w:rPr>
          <w:rFonts w:ascii="Arial" w:eastAsia="SimSun" w:hAnsi="Arial" w:cs="Arial"/>
          <w:sz w:val="22"/>
          <w:szCs w:val="22"/>
          <w:lang w:val="fr-FR"/>
        </w:rPr>
        <w:t>’</w:t>
      </w:r>
      <w:r w:rsidRPr="00DF5A5E">
        <w:rPr>
          <w:rFonts w:ascii="Arial" w:eastAsia="SimSun" w:hAnsi="Arial" w:cs="Arial"/>
          <w:sz w:val="22"/>
          <w:szCs w:val="22"/>
          <w:lang w:val="fr-FR"/>
        </w:rPr>
        <w:t xml:space="preserve">inscription sur la </w:t>
      </w:r>
      <w:r>
        <w:rPr>
          <w:rFonts w:ascii="Arial" w:eastAsia="SimSun" w:hAnsi="Arial" w:cs="Arial"/>
          <w:sz w:val="22"/>
          <w:szCs w:val="22"/>
          <w:lang w:val="fr-FR"/>
        </w:rPr>
        <w:t>l</w:t>
      </w:r>
      <w:r w:rsidRPr="00DF5A5E">
        <w:rPr>
          <w:rFonts w:ascii="Arial" w:eastAsia="SimSun" w:hAnsi="Arial" w:cs="Arial"/>
          <w:sz w:val="22"/>
          <w:szCs w:val="22"/>
          <w:lang w:val="fr-FR"/>
        </w:rPr>
        <w:t xml:space="preserve">iste du patrimoine national. Depuis 2016, ces résultats significatifs </w:t>
      </w:r>
      <w:r>
        <w:rPr>
          <w:rFonts w:ascii="Arial" w:eastAsia="SimSun" w:hAnsi="Arial" w:cs="Arial"/>
          <w:sz w:val="22"/>
          <w:szCs w:val="22"/>
          <w:lang w:val="fr-FR"/>
        </w:rPr>
        <w:t>avaient été</w:t>
      </w:r>
      <w:r w:rsidRPr="00DF5A5E">
        <w:rPr>
          <w:rFonts w:ascii="Arial" w:eastAsia="SimSun" w:hAnsi="Arial" w:cs="Arial"/>
          <w:sz w:val="22"/>
          <w:szCs w:val="22"/>
          <w:lang w:val="fr-FR"/>
        </w:rPr>
        <w:t xml:space="preserve"> pris en compte dans les politiques publiques et dans la récente adoption de la Charte des valeurs en 2022, qui place le patrimoine culturel immatériel au cœur de la gouvernance au Burkina</w:t>
      </w:r>
      <w:r>
        <w:rPr>
          <w:rFonts w:ascii="Arial" w:eastAsia="SimSun" w:hAnsi="Arial" w:cs="Arial"/>
          <w:sz w:val="22"/>
          <w:szCs w:val="22"/>
          <w:lang w:val="fr-FR"/>
        </w:rPr>
        <w:t> </w:t>
      </w:r>
      <w:r w:rsidRPr="00DF5A5E">
        <w:rPr>
          <w:rFonts w:ascii="Arial" w:eastAsia="SimSun" w:hAnsi="Arial" w:cs="Arial"/>
          <w:sz w:val="22"/>
          <w:szCs w:val="22"/>
          <w:lang w:val="fr-FR"/>
        </w:rPr>
        <w:t>Faso. La délégation a salué l</w:t>
      </w:r>
      <w:r w:rsidR="008E532B">
        <w:rPr>
          <w:rFonts w:ascii="Arial" w:eastAsia="SimSun" w:hAnsi="Arial" w:cs="Arial"/>
          <w:sz w:val="22"/>
          <w:szCs w:val="22"/>
          <w:lang w:val="fr-FR"/>
        </w:rPr>
        <w:t>’</w:t>
      </w:r>
      <w:r w:rsidRPr="00DF5A5E">
        <w:rPr>
          <w:rFonts w:ascii="Arial" w:eastAsia="SimSun" w:hAnsi="Arial" w:cs="Arial"/>
          <w:sz w:val="22"/>
          <w:szCs w:val="22"/>
          <w:lang w:val="fr-FR"/>
        </w:rPr>
        <w:t>excellent travail du Comité qui, malgré la pandémie de COVID</w:t>
      </w:r>
      <w:r>
        <w:rPr>
          <w:rFonts w:ascii="Arial" w:eastAsia="SimSun" w:hAnsi="Arial" w:cs="Arial"/>
          <w:sz w:val="22"/>
          <w:szCs w:val="22"/>
          <w:lang w:val="fr-FR"/>
        </w:rPr>
        <w:noBreakHyphen/>
      </w:r>
      <w:r w:rsidRPr="00DF5A5E">
        <w:rPr>
          <w:rFonts w:ascii="Arial" w:eastAsia="SimSun" w:hAnsi="Arial" w:cs="Arial"/>
          <w:sz w:val="22"/>
          <w:szCs w:val="22"/>
          <w:lang w:val="fr-FR"/>
        </w:rPr>
        <w:t>19, a</w:t>
      </w:r>
      <w:r>
        <w:rPr>
          <w:rFonts w:ascii="Arial" w:eastAsia="SimSun" w:hAnsi="Arial" w:cs="Arial"/>
          <w:sz w:val="22"/>
          <w:szCs w:val="22"/>
          <w:lang w:val="fr-FR"/>
        </w:rPr>
        <w:t>vait</w:t>
      </w:r>
      <w:r w:rsidRPr="00DF5A5E">
        <w:rPr>
          <w:rFonts w:ascii="Arial" w:eastAsia="SimSun" w:hAnsi="Arial" w:cs="Arial"/>
          <w:sz w:val="22"/>
          <w:szCs w:val="22"/>
          <w:lang w:val="fr-FR"/>
        </w:rPr>
        <w:t xml:space="preserve"> </w:t>
      </w:r>
      <w:r>
        <w:rPr>
          <w:rFonts w:ascii="Arial" w:eastAsia="SimSun" w:hAnsi="Arial" w:cs="Arial"/>
          <w:sz w:val="22"/>
          <w:szCs w:val="22"/>
          <w:lang w:val="fr-FR"/>
        </w:rPr>
        <w:t>réalisé</w:t>
      </w:r>
      <w:r w:rsidRPr="00DF5A5E">
        <w:rPr>
          <w:rFonts w:ascii="Arial" w:eastAsia="SimSun" w:hAnsi="Arial" w:cs="Arial"/>
          <w:sz w:val="22"/>
          <w:szCs w:val="22"/>
          <w:lang w:val="fr-FR"/>
        </w:rPr>
        <w:t xml:space="preserve"> des progrès remarquables lors du dernier cycle de rapports sur la mise en œuvre de la Convention. Le Burkina Faso respectait son engagement de soumettre son rapport avant la date limite du 15</w:t>
      </w:r>
      <w:r>
        <w:rPr>
          <w:rFonts w:ascii="Arial" w:eastAsia="SimSun" w:hAnsi="Arial" w:cs="Arial"/>
          <w:sz w:val="22"/>
          <w:szCs w:val="22"/>
          <w:lang w:val="fr-FR"/>
        </w:rPr>
        <w:t> </w:t>
      </w:r>
      <w:r w:rsidRPr="00DF5A5E">
        <w:rPr>
          <w:rFonts w:ascii="Arial" w:eastAsia="SimSun" w:hAnsi="Arial" w:cs="Arial"/>
          <w:sz w:val="22"/>
          <w:szCs w:val="22"/>
          <w:lang w:val="fr-FR"/>
        </w:rPr>
        <w:t>décembre</w:t>
      </w:r>
      <w:r>
        <w:rPr>
          <w:rFonts w:ascii="Arial" w:eastAsia="SimSun" w:hAnsi="Arial" w:cs="Arial"/>
          <w:sz w:val="22"/>
          <w:szCs w:val="22"/>
          <w:lang w:val="fr-FR"/>
        </w:rPr>
        <w:t> </w:t>
      </w:r>
      <w:r w:rsidRPr="00DF5A5E">
        <w:rPr>
          <w:rFonts w:ascii="Arial" w:eastAsia="SimSun" w:hAnsi="Arial" w:cs="Arial"/>
          <w:sz w:val="22"/>
          <w:szCs w:val="22"/>
          <w:lang w:val="fr-FR"/>
        </w:rPr>
        <w:t>2023. Le Burkina</w:t>
      </w:r>
      <w:r>
        <w:rPr>
          <w:rFonts w:ascii="Arial" w:eastAsia="SimSun" w:hAnsi="Arial" w:cs="Arial"/>
          <w:sz w:val="22"/>
          <w:szCs w:val="22"/>
          <w:lang w:val="fr-FR"/>
        </w:rPr>
        <w:t> </w:t>
      </w:r>
      <w:r w:rsidRPr="00DF5A5E">
        <w:rPr>
          <w:rFonts w:ascii="Arial" w:eastAsia="SimSun" w:hAnsi="Arial" w:cs="Arial"/>
          <w:sz w:val="22"/>
          <w:szCs w:val="22"/>
          <w:lang w:val="fr-FR"/>
        </w:rPr>
        <w:t>Faso</w:t>
      </w:r>
      <w:r>
        <w:rPr>
          <w:rFonts w:ascii="Arial" w:eastAsia="SimSun" w:hAnsi="Arial" w:cs="Arial"/>
          <w:sz w:val="22"/>
          <w:szCs w:val="22"/>
          <w:lang w:val="fr-FR"/>
        </w:rPr>
        <w:t>, qui</w:t>
      </w:r>
      <w:r w:rsidRPr="00DF5A5E">
        <w:rPr>
          <w:rFonts w:ascii="Arial" w:eastAsia="SimSun" w:hAnsi="Arial" w:cs="Arial"/>
          <w:sz w:val="22"/>
          <w:szCs w:val="22"/>
          <w:lang w:val="fr-FR"/>
        </w:rPr>
        <w:t xml:space="preserve"> adh</w:t>
      </w:r>
      <w:r>
        <w:rPr>
          <w:rFonts w:ascii="Arial" w:eastAsia="SimSun" w:hAnsi="Arial" w:cs="Arial"/>
          <w:sz w:val="22"/>
          <w:szCs w:val="22"/>
          <w:lang w:val="fr-FR"/>
        </w:rPr>
        <w:t>érait</w:t>
      </w:r>
      <w:r w:rsidRPr="00DF5A5E">
        <w:rPr>
          <w:rFonts w:ascii="Arial" w:eastAsia="SimSun" w:hAnsi="Arial" w:cs="Arial"/>
          <w:sz w:val="22"/>
          <w:szCs w:val="22"/>
          <w:lang w:val="fr-FR"/>
        </w:rPr>
        <w:t xml:space="preserve"> également aux deux priorités </w:t>
      </w:r>
      <w:r>
        <w:rPr>
          <w:rFonts w:ascii="Arial" w:eastAsia="SimSun" w:hAnsi="Arial" w:cs="Arial"/>
          <w:sz w:val="22"/>
          <w:szCs w:val="22"/>
          <w:lang w:val="fr-FR"/>
        </w:rPr>
        <w:t xml:space="preserve">globales </w:t>
      </w:r>
      <w:r w:rsidRPr="00DF5A5E">
        <w:rPr>
          <w:rFonts w:ascii="Arial" w:eastAsia="SimSun" w:hAnsi="Arial" w:cs="Arial"/>
          <w:sz w:val="22"/>
          <w:szCs w:val="22"/>
          <w:lang w:val="fr-FR"/>
        </w:rPr>
        <w:t>de financement identifiées par le Comité,</w:t>
      </w:r>
      <w:r>
        <w:rPr>
          <w:rFonts w:ascii="Arial" w:eastAsia="SimSun" w:hAnsi="Arial" w:cs="Arial"/>
          <w:sz w:val="22"/>
          <w:szCs w:val="22"/>
          <w:lang w:val="fr-FR"/>
        </w:rPr>
        <w:t xml:space="preserve"> a </w:t>
      </w:r>
      <w:r w:rsidRPr="00DF5A5E">
        <w:rPr>
          <w:rFonts w:ascii="Arial" w:eastAsia="SimSun" w:hAnsi="Arial" w:cs="Arial"/>
          <w:sz w:val="22"/>
          <w:szCs w:val="22"/>
          <w:lang w:val="fr-FR"/>
        </w:rPr>
        <w:t>félicit</w:t>
      </w:r>
      <w:r>
        <w:rPr>
          <w:rFonts w:ascii="Arial" w:eastAsia="SimSun" w:hAnsi="Arial" w:cs="Arial"/>
          <w:sz w:val="22"/>
          <w:szCs w:val="22"/>
          <w:lang w:val="fr-FR"/>
        </w:rPr>
        <w:t>é</w:t>
      </w:r>
      <w:r w:rsidRPr="00DF5A5E">
        <w:rPr>
          <w:rFonts w:ascii="Arial" w:eastAsia="SimSun" w:hAnsi="Arial" w:cs="Arial"/>
          <w:sz w:val="22"/>
          <w:szCs w:val="22"/>
          <w:lang w:val="fr-FR"/>
        </w:rPr>
        <w:t xml:space="preserve"> les États parties qui </w:t>
      </w:r>
      <w:r>
        <w:rPr>
          <w:rFonts w:ascii="Arial" w:eastAsia="SimSun" w:hAnsi="Arial" w:cs="Arial"/>
          <w:sz w:val="22"/>
          <w:szCs w:val="22"/>
          <w:lang w:val="fr-FR"/>
        </w:rPr>
        <w:t>avaient</w:t>
      </w:r>
      <w:r w:rsidRPr="00DF5A5E">
        <w:rPr>
          <w:rFonts w:ascii="Arial" w:eastAsia="SimSun" w:hAnsi="Arial" w:cs="Arial"/>
          <w:sz w:val="22"/>
          <w:szCs w:val="22"/>
          <w:lang w:val="fr-FR"/>
        </w:rPr>
        <w:t xml:space="preserve"> soutenu la mise en œuvre de la Convention par des contributions volontaires. Il a </w:t>
      </w:r>
      <w:r w:rsidRPr="007329F9">
        <w:rPr>
          <w:rFonts w:ascii="Arial" w:eastAsia="SimSun" w:hAnsi="Arial" w:cs="Arial"/>
          <w:color w:val="000000" w:themeColor="text1"/>
          <w:sz w:val="22"/>
          <w:szCs w:val="22"/>
          <w:lang w:val="fr-FR"/>
        </w:rPr>
        <w:t>également</w:t>
      </w:r>
      <w:r>
        <w:rPr>
          <w:rFonts w:ascii="Arial" w:eastAsia="SimSun" w:hAnsi="Arial" w:cs="Arial"/>
          <w:color w:val="000000" w:themeColor="text1"/>
          <w:sz w:val="22"/>
          <w:szCs w:val="22"/>
          <w:lang w:val="fr-FR"/>
        </w:rPr>
        <w:t xml:space="preserve"> </w:t>
      </w:r>
      <w:r w:rsidRPr="00DF5A5E">
        <w:rPr>
          <w:rFonts w:ascii="Arial" w:eastAsia="SimSun" w:hAnsi="Arial" w:cs="Arial"/>
          <w:sz w:val="22"/>
          <w:szCs w:val="22"/>
          <w:lang w:val="fr-FR"/>
        </w:rPr>
        <w:t>félicité le Comité pour le processus de consultation inclusif qui a</w:t>
      </w:r>
      <w:r>
        <w:rPr>
          <w:rFonts w:ascii="Arial" w:eastAsia="SimSun" w:hAnsi="Arial" w:cs="Arial"/>
          <w:sz w:val="22"/>
          <w:szCs w:val="22"/>
          <w:lang w:val="fr-FR"/>
        </w:rPr>
        <w:t>vait</w:t>
      </w:r>
      <w:r w:rsidRPr="00DF5A5E">
        <w:rPr>
          <w:rFonts w:ascii="Arial" w:eastAsia="SimSun" w:hAnsi="Arial" w:cs="Arial"/>
          <w:sz w:val="22"/>
          <w:szCs w:val="22"/>
          <w:lang w:val="fr-FR"/>
        </w:rPr>
        <w:t xml:space="preserve"> conduit à une réflexion globale sur les mécanismes d</w:t>
      </w:r>
      <w:r w:rsidR="008E532B">
        <w:rPr>
          <w:rFonts w:ascii="Arial" w:eastAsia="SimSun" w:hAnsi="Arial" w:cs="Arial"/>
          <w:sz w:val="22"/>
          <w:szCs w:val="22"/>
          <w:lang w:val="fr-FR"/>
        </w:rPr>
        <w:t>’</w:t>
      </w:r>
      <w:r w:rsidRPr="00DF5A5E">
        <w:rPr>
          <w:rFonts w:ascii="Arial" w:eastAsia="SimSun" w:hAnsi="Arial" w:cs="Arial"/>
          <w:sz w:val="22"/>
          <w:szCs w:val="22"/>
          <w:lang w:val="fr-FR"/>
        </w:rPr>
        <w:t>inscriptio</w:t>
      </w:r>
      <w:r>
        <w:rPr>
          <w:rFonts w:ascii="Arial" w:eastAsia="SimSun" w:hAnsi="Arial" w:cs="Arial"/>
          <w:sz w:val="22"/>
          <w:szCs w:val="22"/>
          <w:lang w:val="fr-FR"/>
        </w:rPr>
        <w:t>n, mise en œuvre</w:t>
      </w:r>
      <w:r w:rsidRPr="00DF5A5E">
        <w:rPr>
          <w:rFonts w:ascii="Arial" w:eastAsia="SimSun" w:hAnsi="Arial" w:cs="Arial"/>
          <w:sz w:val="22"/>
          <w:szCs w:val="22"/>
          <w:lang w:val="fr-FR"/>
        </w:rPr>
        <w:t xml:space="preserve"> </w:t>
      </w:r>
      <w:r>
        <w:rPr>
          <w:rFonts w:ascii="Arial" w:eastAsia="SimSun" w:hAnsi="Arial" w:cs="Arial"/>
          <w:sz w:val="22"/>
          <w:szCs w:val="22"/>
          <w:lang w:val="fr-FR"/>
        </w:rPr>
        <w:t>dans le cadre des</w:t>
      </w:r>
      <w:r w:rsidRPr="00DF5A5E">
        <w:rPr>
          <w:rFonts w:ascii="Arial" w:eastAsia="SimSun" w:hAnsi="Arial" w:cs="Arial"/>
          <w:sz w:val="22"/>
          <w:szCs w:val="22"/>
          <w:lang w:val="fr-FR"/>
        </w:rPr>
        <w:t xml:space="preserve"> réunions du </w:t>
      </w:r>
      <w:r>
        <w:rPr>
          <w:rFonts w:ascii="Arial" w:eastAsia="SimSun" w:hAnsi="Arial" w:cs="Arial"/>
          <w:sz w:val="22"/>
          <w:szCs w:val="22"/>
          <w:lang w:val="fr-FR"/>
        </w:rPr>
        <w:t>g</w:t>
      </w:r>
      <w:r w:rsidRPr="00DF5A5E">
        <w:rPr>
          <w:rFonts w:ascii="Arial" w:eastAsia="SimSun" w:hAnsi="Arial" w:cs="Arial"/>
          <w:sz w:val="22"/>
          <w:szCs w:val="22"/>
          <w:lang w:val="fr-FR"/>
        </w:rPr>
        <w:t>roupe de travail à composition non limitée. Le Burkina</w:t>
      </w:r>
      <w:r>
        <w:rPr>
          <w:rFonts w:ascii="Arial" w:eastAsia="SimSun" w:hAnsi="Arial" w:cs="Arial"/>
          <w:sz w:val="22"/>
          <w:szCs w:val="22"/>
          <w:lang w:val="fr-FR"/>
        </w:rPr>
        <w:t> </w:t>
      </w:r>
      <w:r w:rsidRPr="00DF5A5E">
        <w:rPr>
          <w:rFonts w:ascii="Arial" w:eastAsia="SimSun" w:hAnsi="Arial" w:cs="Arial"/>
          <w:sz w:val="22"/>
          <w:szCs w:val="22"/>
          <w:lang w:val="fr-FR"/>
        </w:rPr>
        <w:t xml:space="preserve">Faso </w:t>
      </w:r>
      <w:r>
        <w:rPr>
          <w:rFonts w:ascii="Arial" w:eastAsia="SimSun" w:hAnsi="Arial" w:cs="Arial"/>
          <w:sz w:val="22"/>
          <w:szCs w:val="22"/>
          <w:lang w:val="fr-FR"/>
        </w:rPr>
        <w:t xml:space="preserve">a </w:t>
      </w:r>
      <w:r w:rsidRPr="00DF5A5E">
        <w:rPr>
          <w:rFonts w:ascii="Arial" w:eastAsia="SimSun" w:hAnsi="Arial" w:cs="Arial"/>
          <w:sz w:val="22"/>
          <w:szCs w:val="22"/>
          <w:lang w:val="fr-FR"/>
        </w:rPr>
        <w:t>également</w:t>
      </w:r>
      <w:r>
        <w:rPr>
          <w:rFonts w:ascii="Arial" w:eastAsia="SimSun" w:hAnsi="Arial" w:cs="Arial"/>
          <w:sz w:val="22"/>
          <w:szCs w:val="22"/>
          <w:lang w:val="fr-FR"/>
        </w:rPr>
        <w:t xml:space="preserve"> exprimé son soutien au</w:t>
      </w:r>
      <w:r w:rsidRPr="00DF5A5E">
        <w:rPr>
          <w:rFonts w:ascii="Arial" w:eastAsia="SimSun" w:hAnsi="Arial" w:cs="Arial"/>
          <w:sz w:val="22"/>
          <w:szCs w:val="22"/>
          <w:lang w:val="fr-FR"/>
        </w:rPr>
        <w:t xml:space="preserve"> développement de mesures</w:t>
      </w:r>
      <w:r>
        <w:rPr>
          <w:rFonts w:ascii="Arial" w:eastAsia="SimSun" w:hAnsi="Arial" w:cs="Arial"/>
          <w:sz w:val="22"/>
          <w:szCs w:val="22"/>
          <w:lang w:val="fr-FR"/>
        </w:rPr>
        <w:t xml:space="preserve"> de </w:t>
      </w:r>
      <w:r w:rsidRPr="00DF5A5E">
        <w:rPr>
          <w:rFonts w:ascii="Arial" w:eastAsia="SimSun" w:hAnsi="Arial" w:cs="Arial"/>
          <w:sz w:val="22"/>
          <w:szCs w:val="22"/>
          <w:lang w:val="fr-FR"/>
        </w:rPr>
        <w:t xml:space="preserve">sauvegarde urgente </w:t>
      </w:r>
      <w:r>
        <w:rPr>
          <w:rFonts w:ascii="Arial" w:eastAsia="SimSun" w:hAnsi="Arial" w:cs="Arial"/>
          <w:sz w:val="22"/>
          <w:szCs w:val="22"/>
          <w:lang w:val="fr-FR"/>
        </w:rPr>
        <w:t>pour le</w:t>
      </w:r>
      <w:r w:rsidRPr="00DF5A5E">
        <w:rPr>
          <w:rFonts w:ascii="Arial" w:eastAsia="SimSun" w:hAnsi="Arial" w:cs="Arial"/>
          <w:sz w:val="22"/>
          <w:szCs w:val="22"/>
          <w:lang w:val="fr-FR"/>
        </w:rPr>
        <w:t xml:space="preserve"> patrimoine culturel dans les pays en crise.</w:t>
      </w:r>
    </w:p>
    <w:p w14:paraId="40984F81" w14:textId="6E58AE70" w:rsidR="00D9653F" w:rsidRPr="00CE2E51"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CE2E51">
        <w:rPr>
          <w:rFonts w:ascii="Arial" w:eastAsia="SimSun" w:hAnsi="Arial" w:cs="Arial"/>
          <w:sz w:val="22"/>
          <w:szCs w:val="22"/>
          <w:lang w:val="fr-FR"/>
        </w:rPr>
        <w:t xml:space="preserve">La délégation de la </w:t>
      </w:r>
      <w:r w:rsidRPr="00CE2E51">
        <w:rPr>
          <w:rFonts w:ascii="Arial" w:eastAsia="SimSun" w:hAnsi="Arial" w:cs="Arial"/>
          <w:b/>
          <w:bCs/>
          <w:sz w:val="22"/>
          <w:szCs w:val="22"/>
          <w:lang w:val="fr-FR"/>
        </w:rPr>
        <w:t>Malaisie</w:t>
      </w:r>
      <w:r w:rsidRPr="00CE2E51">
        <w:rPr>
          <w:rFonts w:ascii="Arial" w:eastAsia="SimSun" w:hAnsi="Arial" w:cs="Arial"/>
          <w:sz w:val="22"/>
          <w:szCs w:val="22"/>
          <w:lang w:val="fr-FR"/>
        </w:rPr>
        <w:t xml:space="preserve"> a félicité la Présidente pour son élection ainsi que les Vice</w:t>
      </w:r>
      <w:r>
        <w:rPr>
          <w:rFonts w:ascii="Arial" w:eastAsia="SimSun" w:hAnsi="Arial" w:cs="Arial"/>
          <w:sz w:val="22"/>
          <w:szCs w:val="22"/>
          <w:lang w:val="fr-FR"/>
        </w:rPr>
        <w:t>-</w:t>
      </w:r>
      <w:r w:rsidRPr="00CE2E51">
        <w:rPr>
          <w:rFonts w:ascii="Arial" w:eastAsia="SimSun" w:hAnsi="Arial" w:cs="Arial"/>
          <w:sz w:val="22"/>
          <w:szCs w:val="22"/>
          <w:lang w:val="fr-FR"/>
        </w:rPr>
        <w:t>Président</w:t>
      </w:r>
      <w:r>
        <w:rPr>
          <w:rFonts w:ascii="Arial" w:eastAsia="SimSun" w:hAnsi="Arial" w:cs="Arial"/>
          <w:sz w:val="22"/>
          <w:szCs w:val="22"/>
          <w:lang w:val="fr-FR"/>
        </w:rPr>
        <w:t>(e)</w:t>
      </w:r>
      <w:r w:rsidRPr="00CE2E51">
        <w:rPr>
          <w:rFonts w:ascii="Arial" w:eastAsia="SimSun" w:hAnsi="Arial" w:cs="Arial"/>
          <w:sz w:val="22"/>
          <w:szCs w:val="22"/>
          <w:lang w:val="fr-FR"/>
        </w:rPr>
        <w:t xml:space="preserve">s et le Rapporteur. Elle a remercié le Secrétariat pour sa présentation complète et a remercié tous les membres élus du Bureau de la </w:t>
      </w:r>
      <w:r>
        <w:rPr>
          <w:rFonts w:ascii="Arial" w:eastAsia="SimSun" w:hAnsi="Arial" w:cs="Arial"/>
          <w:sz w:val="22"/>
          <w:szCs w:val="22"/>
          <w:lang w:val="fr-FR"/>
        </w:rPr>
        <w:t>quinzième</w:t>
      </w:r>
      <w:r w:rsidRPr="00CE2E51">
        <w:rPr>
          <w:rFonts w:ascii="Arial" w:eastAsia="SimSun" w:hAnsi="Arial" w:cs="Arial"/>
          <w:sz w:val="22"/>
          <w:szCs w:val="22"/>
          <w:lang w:val="fr-FR"/>
        </w:rPr>
        <w:t xml:space="preserve"> session du Comité, avec des remerciements particuliers aux membres du Bureau de la </w:t>
      </w:r>
      <w:r>
        <w:rPr>
          <w:rFonts w:ascii="Arial" w:eastAsia="SimSun" w:hAnsi="Arial" w:cs="Arial"/>
          <w:sz w:val="22"/>
          <w:szCs w:val="22"/>
          <w:lang w:val="fr-FR"/>
        </w:rPr>
        <w:t xml:space="preserve">seizième </w:t>
      </w:r>
      <w:r w:rsidRPr="00CE2E51">
        <w:rPr>
          <w:rFonts w:ascii="Arial" w:eastAsia="SimSun" w:hAnsi="Arial" w:cs="Arial"/>
          <w:sz w:val="22"/>
          <w:szCs w:val="22"/>
          <w:lang w:val="fr-FR"/>
        </w:rPr>
        <w:t>session pour leur excellent travail malgré les difficultés de mise en œuvre des réunions pendant la pandémie de COVID</w:t>
      </w:r>
      <w:r>
        <w:rPr>
          <w:rFonts w:ascii="Arial" w:eastAsia="SimSun" w:hAnsi="Arial" w:cs="Arial"/>
          <w:sz w:val="22"/>
          <w:szCs w:val="22"/>
          <w:lang w:val="fr-FR"/>
        </w:rPr>
        <w:noBreakHyphen/>
      </w:r>
      <w:r w:rsidRPr="00CE2E51">
        <w:rPr>
          <w:rFonts w:ascii="Arial" w:eastAsia="SimSun" w:hAnsi="Arial" w:cs="Arial"/>
          <w:sz w:val="22"/>
          <w:szCs w:val="22"/>
          <w:lang w:val="fr-FR"/>
        </w:rPr>
        <w:t>19. La Malaisie appréci</w:t>
      </w:r>
      <w:r>
        <w:rPr>
          <w:rFonts w:ascii="Arial" w:eastAsia="SimSun" w:hAnsi="Arial" w:cs="Arial"/>
          <w:sz w:val="22"/>
          <w:szCs w:val="22"/>
          <w:lang w:val="fr-FR"/>
        </w:rPr>
        <w:t>ait</w:t>
      </w:r>
      <w:r w:rsidRPr="00CE2E51">
        <w:rPr>
          <w:rFonts w:ascii="Arial" w:eastAsia="SimSun" w:hAnsi="Arial" w:cs="Arial"/>
          <w:sz w:val="22"/>
          <w:szCs w:val="22"/>
          <w:lang w:val="fr-FR"/>
        </w:rPr>
        <w:t xml:space="preserve"> le bon travail </w:t>
      </w:r>
      <w:r>
        <w:rPr>
          <w:rFonts w:ascii="Arial" w:eastAsia="SimSun" w:hAnsi="Arial" w:cs="Arial"/>
          <w:sz w:val="22"/>
          <w:szCs w:val="22"/>
          <w:lang w:val="fr-FR"/>
        </w:rPr>
        <w:t xml:space="preserve">fait par le </w:t>
      </w:r>
      <w:r w:rsidRPr="00CE2E51">
        <w:rPr>
          <w:rFonts w:ascii="Arial" w:eastAsia="SimSun" w:hAnsi="Arial" w:cs="Arial"/>
          <w:sz w:val="22"/>
          <w:szCs w:val="22"/>
          <w:lang w:val="fr-FR"/>
        </w:rPr>
        <w:t>Comité</w:t>
      </w:r>
      <w:r>
        <w:rPr>
          <w:rFonts w:ascii="Arial" w:eastAsia="SimSun" w:hAnsi="Arial" w:cs="Arial"/>
          <w:sz w:val="22"/>
          <w:szCs w:val="22"/>
          <w:lang w:val="fr-FR"/>
        </w:rPr>
        <w:t xml:space="preserve"> pour</w:t>
      </w:r>
      <w:r w:rsidRPr="00CE2E51">
        <w:rPr>
          <w:rFonts w:ascii="Arial" w:eastAsia="SimSun" w:hAnsi="Arial" w:cs="Arial"/>
          <w:sz w:val="22"/>
          <w:szCs w:val="22"/>
          <w:lang w:val="fr-FR"/>
        </w:rPr>
        <w:t xml:space="preserve"> la réforme du mécanisme des rapports périodiques, la réflexion globale sur les mécanismes d</w:t>
      </w:r>
      <w:r w:rsidR="008E532B">
        <w:rPr>
          <w:rFonts w:ascii="Arial" w:eastAsia="SimSun" w:hAnsi="Arial" w:cs="Arial"/>
          <w:sz w:val="22"/>
          <w:szCs w:val="22"/>
          <w:lang w:val="fr-FR"/>
        </w:rPr>
        <w:t>’</w:t>
      </w:r>
      <w:r w:rsidRPr="00CE2E51">
        <w:rPr>
          <w:rFonts w:ascii="Arial" w:eastAsia="SimSun" w:hAnsi="Arial" w:cs="Arial"/>
          <w:sz w:val="22"/>
          <w:szCs w:val="22"/>
          <w:lang w:val="fr-FR"/>
        </w:rPr>
        <w:t>inscription, et l</w:t>
      </w:r>
      <w:r w:rsidR="008E532B">
        <w:rPr>
          <w:rFonts w:ascii="Arial" w:eastAsia="SimSun" w:hAnsi="Arial" w:cs="Arial"/>
          <w:sz w:val="22"/>
          <w:szCs w:val="22"/>
          <w:lang w:val="fr-FR"/>
        </w:rPr>
        <w:t>’</w:t>
      </w:r>
      <w:r w:rsidRPr="00CE2E51">
        <w:rPr>
          <w:rFonts w:ascii="Arial" w:eastAsia="SimSun" w:hAnsi="Arial" w:cs="Arial"/>
          <w:sz w:val="22"/>
          <w:szCs w:val="22"/>
          <w:lang w:val="fr-FR"/>
        </w:rPr>
        <w:t>évaluation</w:t>
      </w:r>
      <w:r>
        <w:rPr>
          <w:rFonts w:ascii="Arial" w:eastAsia="SimSun" w:hAnsi="Arial" w:cs="Arial"/>
          <w:sz w:val="22"/>
          <w:szCs w:val="22"/>
          <w:lang w:val="fr-FR"/>
        </w:rPr>
        <w:t xml:space="preserve"> </w:t>
      </w:r>
      <w:r w:rsidRPr="00CE2E51">
        <w:rPr>
          <w:rFonts w:ascii="Arial" w:eastAsia="SimSun" w:hAnsi="Arial" w:cs="Arial"/>
          <w:sz w:val="22"/>
          <w:szCs w:val="22"/>
          <w:lang w:val="fr-FR"/>
        </w:rPr>
        <w:t>de l</w:t>
      </w:r>
      <w:r w:rsidR="008E532B">
        <w:rPr>
          <w:rFonts w:ascii="Arial" w:eastAsia="SimSun" w:hAnsi="Arial" w:cs="Arial"/>
          <w:sz w:val="22"/>
          <w:szCs w:val="22"/>
          <w:lang w:val="fr-FR"/>
        </w:rPr>
        <w:t>’</w:t>
      </w:r>
      <w:r w:rsidRPr="00CE2E51">
        <w:rPr>
          <w:rFonts w:ascii="Arial" w:eastAsia="SimSun" w:hAnsi="Arial" w:cs="Arial"/>
          <w:sz w:val="22"/>
          <w:szCs w:val="22"/>
          <w:lang w:val="fr-FR"/>
        </w:rPr>
        <w:t>action de l</w:t>
      </w:r>
      <w:r w:rsidR="008E532B">
        <w:rPr>
          <w:rFonts w:ascii="Arial" w:eastAsia="SimSun" w:hAnsi="Arial" w:cs="Arial"/>
          <w:sz w:val="22"/>
          <w:szCs w:val="22"/>
          <w:lang w:val="fr-FR"/>
        </w:rPr>
        <w:t>’</w:t>
      </w:r>
      <w:r w:rsidRPr="00CE2E51">
        <w:rPr>
          <w:rFonts w:ascii="Arial" w:eastAsia="SimSun" w:hAnsi="Arial" w:cs="Arial"/>
          <w:sz w:val="22"/>
          <w:szCs w:val="22"/>
          <w:lang w:val="fr-FR"/>
        </w:rPr>
        <w:t>UNESCO dans le cadre de la Convention de 2003</w:t>
      </w:r>
      <w:r>
        <w:rPr>
          <w:rFonts w:ascii="Arial" w:eastAsia="SimSun" w:hAnsi="Arial" w:cs="Arial"/>
          <w:sz w:val="22"/>
          <w:szCs w:val="22"/>
          <w:lang w:val="fr-FR"/>
        </w:rPr>
        <w:t xml:space="preserve">, réalisée en 2020 </w:t>
      </w:r>
      <w:r w:rsidRPr="00CE2E51">
        <w:rPr>
          <w:rFonts w:ascii="Arial" w:eastAsia="SimSun" w:hAnsi="Arial" w:cs="Arial"/>
          <w:sz w:val="22"/>
          <w:szCs w:val="22"/>
          <w:lang w:val="fr-FR"/>
        </w:rPr>
        <w:t>par l</w:t>
      </w:r>
      <w:r w:rsidR="008E532B">
        <w:rPr>
          <w:rFonts w:ascii="Arial" w:eastAsia="SimSun" w:hAnsi="Arial" w:cs="Arial"/>
          <w:sz w:val="22"/>
          <w:szCs w:val="22"/>
          <w:lang w:val="fr-FR"/>
        </w:rPr>
        <w:t>’</w:t>
      </w:r>
      <w:r w:rsidRPr="00CE2E51">
        <w:rPr>
          <w:rFonts w:ascii="Arial" w:eastAsia="SimSun" w:hAnsi="Arial" w:cs="Arial"/>
          <w:sz w:val="22"/>
          <w:szCs w:val="22"/>
          <w:lang w:val="fr-FR"/>
        </w:rPr>
        <w:t xml:space="preserve">IOS. Elle a également salué les efforts déployés pour renforcer le programme de renforcement des capacités et les </w:t>
      </w:r>
      <w:r>
        <w:rPr>
          <w:rFonts w:ascii="Arial" w:eastAsia="SimSun" w:hAnsi="Arial" w:cs="Arial"/>
          <w:sz w:val="22"/>
          <w:szCs w:val="22"/>
          <w:lang w:val="fr-FR"/>
        </w:rPr>
        <w:t>D</w:t>
      </w:r>
      <w:r w:rsidRPr="00CE2E51">
        <w:rPr>
          <w:rFonts w:ascii="Arial" w:eastAsia="SimSun" w:hAnsi="Arial" w:cs="Arial"/>
          <w:sz w:val="22"/>
          <w:szCs w:val="22"/>
          <w:lang w:val="fr-FR"/>
        </w:rPr>
        <w:t>irectives sur les mesures de sauvegarde et les bonnes pratiques, l</w:t>
      </w:r>
      <w:r w:rsidR="008E532B">
        <w:rPr>
          <w:rFonts w:ascii="Arial" w:eastAsia="SimSun" w:hAnsi="Arial" w:cs="Arial"/>
          <w:sz w:val="22"/>
          <w:szCs w:val="22"/>
          <w:lang w:val="fr-FR"/>
        </w:rPr>
        <w:t>’</w:t>
      </w:r>
      <w:r w:rsidRPr="00CE2E51">
        <w:rPr>
          <w:rFonts w:ascii="Arial" w:eastAsia="SimSun" w:hAnsi="Arial" w:cs="Arial"/>
          <w:sz w:val="22"/>
          <w:szCs w:val="22"/>
          <w:lang w:val="fr-FR"/>
        </w:rPr>
        <w:t xml:space="preserve">intégration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E2E51">
        <w:rPr>
          <w:rFonts w:ascii="Arial" w:eastAsia="SimSun" w:hAnsi="Arial" w:cs="Arial"/>
          <w:sz w:val="22"/>
          <w:szCs w:val="22"/>
          <w:lang w:val="fr-FR"/>
        </w:rPr>
        <w:t xml:space="preserve">dans les plans, politiques et programmes de développement, les programmes et activités de sensibilisation et de </w:t>
      </w:r>
      <w:r>
        <w:rPr>
          <w:rFonts w:ascii="Arial" w:eastAsia="SimSun" w:hAnsi="Arial" w:cs="Arial"/>
          <w:sz w:val="22"/>
          <w:szCs w:val="22"/>
          <w:lang w:val="fr-FR"/>
        </w:rPr>
        <w:t>diffusion</w:t>
      </w:r>
      <w:r w:rsidRPr="00CE2E51">
        <w:rPr>
          <w:rFonts w:ascii="Arial" w:eastAsia="SimSun" w:hAnsi="Arial" w:cs="Arial"/>
          <w:sz w:val="22"/>
          <w:szCs w:val="22"/>
          <w:lang w:val="fr-FR"/>
        </w:rPr>
        <w:t>, et la préparation d</w:t>
      </w:r>
      <w:r w:rsidR="008E532B">
        <w:rPr>
          <w:rFonts w:ascii="Arial" w:eastAsia="SimSun" w:hAnsi="Arial" w:cs="Arial"/>
          <w:sz w:val="22"/>
          <w:szCs w:val="22"/>
          <w:lang w:val="fr-FR"/>
        </w:rPr>
        <w:t>’</w:t>
      </w:r>
      <w:r w:rsidRPr="00CE2E51">
        <w:rPr>
          <w:rFonts w:ascii="Arial" w:eastAsia="SimSun" w:hAnsi="Arial" w:cs="Arial"/>
          <w:sz w:val="22"/>
          <w:szCs w:val="22"/>
          <w:lang w:val="fr-FR"/>
        </w:rPr>
        <w:t>un projet de plan d</w:t>
      </w:r>
      <w:r w:rsidR="008E532B">
        <w:rPr>
          <w:rFonts w:ascii="Arial" w:eastAsia="SimSun" w:hAnsi="Arial" w:cs="Arial"/>
          <w:sz w:val="22"/>
          <w:szCs w:val="22"/>
          <w:lang w:val="fr-FR"/>
        </w:rPr>
        <w:t>’</w:t>
      </w:r>
      <w:r w:rsidRPr="00CE2E51">
        <w:rPr>
          <w:rFonts w:ascii="Arial" w:eastAsia="SimSun" w:hAnsi="Arial" w:cs="Arial"/>
          <w:sz w:val="22"/>
          <w:szCs w:val="22"/>
          <w:lang w:val="fr-FR"/>
        </w:rPr>
        <w:t>utilisation des ressources du Fonds du PCI. La Malaisie a également souhaité la bienvenue à l</w:t>
      </w:r>
      <w:r w:rsidR="008E532B">
        <w:rPr>
          <w:rFonts w:ascii="Arial" w:eastAsia="SimSun" w:hAnsi="Arial" w:cs="Arial"/>
          <w:sz w:val="22"/>
          <w:szCs w:val="22"/>
          <w:lang w:val="fr-FR"/>
        </w:rPr>
        <w:t>’</w:t>
      </w:r>
      <w:r w:rsidRPr="00CE2E51">
        <w:rPr>
          <w:rFonts w:ascii="Arial" w:eastAsia="SimSun" w:hAnsi="Arial" w:cs="Arial"/>
          <w:sz w:val="22"/>
          <w:szCs w:val="22"/>
          <w:lang w:val="fr-FR"/>
        </w:rPr>
        <w:t xml:space="preserve">Angola et à la Somalie. Enfin, la Malaisie a remercié le Comité et le Secrétariat des </w:t>
      </w:r>
      <w:r>
        <w:rPr>
          <w:rFonts w:ascii="Arial" w:eastAsia="SimSun" w:hAnsi="Arial" w:cs="Arial"/>
          <w:sz w:val="22"/>
          <w:szCs w:val="22"/>
          <w:lang w:val="fr-FR"/>
        </w:rPr>
        <w:t xml:space="preserve">quinzième </w:t>
      </w:r>
      <w:r w:rsidRPr="00CE2E51">
        <w:rPr>
          <w:rFonts w:ascii="Arial" w:eastAsia="SimSun" w:hAnsi="Arial" w:cs="Arial"/>
          <w:sz w:val="22"/>
          <w:szCs w:val="22"/>
          <w:lang w:val="fr-FR"/>
        </w:rPr>
        <w:t xml:space="preserve">et </w:t>
      </w:r>
      <w:proofErr w:type="gramStart"/>
      <w:r>
        <w:rPr>
          <w:rFonts w:ascii="Arial" w:eastAsia="SimSun" w:hAnsi="Arial" w:cs="Arial"/>
          <w:sz w:val="22"/>
          <w:szCs w:val="22"/>
          <w:lang w:val="fr-FR"/>
        </w:rPr>
        <w:t xml:space="preserve">seizième </w:t>
      </w:r>
      <w:r w:rsidRPr="00CE2E51">
        <w:rPr>
          <w:rFonts w:ascii="Arial" w:eastAsia="SimSun" w:hAnsi="Arial" w:cs="Arial"/>
          <w:sz w:val="22"/>
          <w:szCs w:val="22"/>
          <w:lang w:val="fr-FR"/>
        </w:rPr>
        <w:t>sessions</w:t>
      </w:r>
      <w:proofErr w:type="gramEnd"/>
      <w:r w:rsidRPr="00CE2E51">
        <w:rPr>
          <w:rFonts w:ascii="Arial" w:eastAsia="SimSun" w:hAnsi="Arial" w:cs="Arial"/>
          <w:sz w:val="22"/>
          <w:szCs w:val="22"/>
          <w:lang w:val="fr-FR"/>
        </w:rPr>
        <w:t xml:space="preserve"> pour l</w:t>
      </w:r>
      <w:r w:rsidR="008E532B">
        <w:rPr>
          <w:rFonts w:ascii="Arial" w:eastAsia="SimSun" w:hAnsi="Arial" w:cs="Arial"/>
          <w:sz w:val="22"/>
          <w:szCs w:val="22"/>
          <w:lang w:val="fr-FR"/>
        </w:rPr>
        <w:t>’</w:t>
      </w:r>
      <w:r w:rsidRPr="00CE2E51">
        <w:rPr>
          <w:rFonts w:ascii="Arial" w:eastAsia="SimSun" w:hAnsi="Arial" w:cs="Arial"/>
          <w:sz w:val="22"/>
          <w:szCs w:val="22"/>
          <w:lang w:val="fr-FR"/>
        </w:rPr>
        <w:t xml:space="preserve">inscription de ses éléments du </w:t>
      </w:r>
      <w:r w:rsidR="00E908E2">
        <w:rPr>
          <w:rFonts w:ascii="Arial" w:eastAsia="SimSun" w:hAnsi="Arial" w:cs="Arial"/>
          <w:bCs/>
          <w:sz w:val="22"/>
          <w:szCs w:val="22"/>
          <w:lang w:val="fr-FR" w:eastAsia="en-US"/>
        </w:rPr>
        <w:t>patrimoine culturel immatériel</w:t>
      </w:r>
      <w:r>
        <w:rPr>
          <w:rFonts w:ascii="Arial" w:eastAsia="SimSun" w:hAnsi="Arial" w:cs="Arial"/>
          <w:sz w:val="22"/>
          <w:szCs w:val="22"/>
          <w:lang w:val="fr-FR"/>
        </w:rPr>
        <w:t xml:space="preserve">, le </w:t>
      </w:r>
      <w:proofErr w:type="spellStart"/>
      <w:r w:rsidRPr="00CE2E51">
        <w:rPr>
          <w:rFonts w:ascii="Arial" w:eastAsia="SimSun" w:hAnsi="Arial" w:cs="Arial"/>
          <w:sz w:val="22"/>
          <w:szCs w:val="22"/>
          <w:lang w:val="fr-FR"/>
        </w:rPr>
        <w:t>Pantun</w:t>
      </w:r>
      <w:proofErr w:type="spellEnd"/>
      <w:r w:rsidRPr="00CE2E51">
        <w:rPr>
          <w:rFonts w:ascii="Arial" w:eastAsia="SimSun" w:hAnsi="Arial" w:cs="Arial"/>
          <w:sz w:val="22"/>
          <w:szCs w:val="22"/>
          <w:lang w:val="fr-FR"/>
        </w:rPr>
        <w:t xml:space="preserve"> [en 2020], une </w:t>
      </w:r>
      <w:r w:rsidRPr="0008339C">
        <w:rPr>
          <w:rFonts w:ascii="Arial" w:eastAsia="SimSun" w:hAnsi="Arial" w:cs="Arial"/>
          <w:sz w:val="22"/>
          <w:szCs w:val="22"/>
          <w:lang w:val="fr-FR"/>
        </w:rPr>
        <w:t>candidature</w:t>
      </w:r>
      <w:r>
        <w:rPr>
          <w:rFonts w:ascii="Arial" w:eastAsia="SimSun" w:hAnsi="Arial" w:cs="Arial"/>
          <w:sz w:val="22"/>
          <w:szCs w:val="22"/>
          <w:lang w:val="fr-FR"/>
        </w:rPr>
        <w:t xml:space="preserve"> </w:t>
      </w:r>
      <w:r w:rsidRPr="00CE2E51">
        <w:rPr>
          <w:rFonts w:ascii="Arial" w:eastAsia="SimSun" w:hAnsi="Arial" w:cs="Arial"/>
          <w:sz w:val="22"/>
          <w:szCs w:val="22"/>
          <w:lang w:val="fr-FR"/>
        </w:rPr>
        <w:t>multinationale avec l</w:t>
      </w:r>
      <w:r w:rsidR="008E532B">
        <w:rPr>
          <w:rFonts w:ascii="Arial" w:eastAsia="SimSun" w:hAnsi="Arial" w:cs="Arial"/>
          <w:sz w:val="22"/>
          <w:szCs w:val="22"/>
          <w:lang w:val="fr-FR"/>
        </w:rPr>
        <w:t>’</w:t>
      </w:r>
      <w:r w:rsidRPr="00CE2E51">
        <w:rPr>
          <w:rFonts w:ascii="Arial" w:eastAsia="SimSun" w:hAnsi="Arial" w:cs="Arial"/>
          <w:sz w:val="22"/>
          <w:szCs w:val="22"/>
          <w:lang w:val="fr-FR"/>
        </w:rPr>
        <w:t xml:space="preserve">Indonésie, </w:t>
      </w:r>
      <w:r>
        <w:rPr>
          <w:rFonts w:ascii="Arial" w:eastAsia="SimSun" w:hAnsi="Arial" w:cs="Arial"/>
          <w:sz w:val="22"/>
          <w:szCs w:val="22"/>
          <w:lang w:val="fr-FR"/>
        </w:rPr>
        <w:t xml:space="preserve">la cérémonie </w:t>
      </w:r>
      <w:proofErr w:type="spellStart"/>
      <w:r w:rsidRPr="00CE2E51">
        <w:rPr>
          <w:rFonts w:ascii="Arial" w:eastAsia="SimSun" w:hAnsi="Arial" w:cs="Arial"/>
          <w:sz w:val="22"/>
          <w:szCs w:val="22"/>
          <w:lang w:val="fr-FR"/>
        </w:rPr>
        <w:t>Wangkang</w:t>
      </w:r>
      <w:proofErr w:type="spellEnd"/>
      <w:r>
        <w:rPr>
          <w:rFonts w:ascii="Arial" w:eastAsia="SimSun" w:hAnsi="Arial" w:cs="Arial"/>
          <w:sz w:val="22"/>
          <w:szCs w:val="22"/>
          <w:lang w:val="fr-FR"/>
        </w:rPr>
        <w:t>,</w:t>
      </w:r>
      <w:r w:rsidRPr="00CE2E51">
        <w:rPr>
          <w:rFonts w:ascii="Arial" w:eastAsia="SimSun" w:hAnsi="Arial" w:cs="Arial"/>
          <w:sz w:val="22"/>
          <w:szCs w:val="22"/>
          <w:lang w:val="fr-FR"/>
        </w:rPr>
        <w:t xml:space="preserve"> avec la Chine [en 2020], et </w:t>
      </w:r>
      <w:r>
        <w:rPr>
          <w:rFonts w:ascii="Arial" w:eastAsia="SimSun" w:hAnsi="Arial" w:cs="Arial"/>
          <w:sz w:val="22"/>
          <w:szCs w:val="22"/>
          <w:lang w:val="fr-FR"/>
        </w:rPr>
        <w:t xml:space="preserve">le </w:t>
      </w:r>
      <w:proofErr w:type="spellStart"/>
      <w:r w:rsidRPr="00CE2E51">
        <w:rPr>
          <w:rFonts w:ascii="Arial" w:eastAsia="SimSun" w:hAnsi="Arial" w:cs="Arial"/>
          <w:sz w:val="22"/>
          <w:szCs w:val="22"/>
          <w:lang w:val="fr-FR"/>
        </w:rPr>
        <w:t>Songket</w:t>
      </w:r>
      <w:proofErr w:type="spellEnd"/>
      <w:r w:rsidRPr="00CE2E51">
        <w:rPr>
          <w:rFonts w:ascii="Arial" w:eastAsia="SimSun" w:hAnsi="Arial" w:cs="Arial"/>
          <w:sz w:val="22"/>
          <w:szCs w:val="22"/>
          <w:lang w:val="fr-FR"/>
        </w:rPr>
        <w:t xml:space="preserve"> [en 2021]. Les inscriptions conjointes </w:t>
      </w:r>
      <w:r>
        <w:rPr>
          <w:rFonts w:ascii="Arial" w:eastAsia="SimSun" w:hAnsi="Arial" w:cs="Arial"/>
          <w:sz w:val="22"/>
          <w:szCs w:val="22"/>
          <w:lang w:val="fr-FR"/>
        </w:rPr>
        <w:t xml:space="preserve">étaient </w:t>
      </w:r>
      <w:r w:rsidRPr="00CE2E51">
        <w:rPr>
          <w:rFonts w:ascii="Arial" w:eastAsia="SimSun" w:hAnsi="Arial" w:cs="Arial"/>
          <w:sz w:val="22"/>
          <w:szCs w:val="22"/>
          <w:lang w:val="fr-FR"/>
        </w:rPr>
        <w:t>particulièrement importantes pour la Malaisie, car il s</w:t>
      </w:r>
      <w:r w:rsidR="008E532B">
        <w:rPr>
          <w:rFonts w:ascii="Arial" w:eastAsia="SimSun" w:hAnsi="Arial" w:cs="Arial"/>
          <w:sz w:val="22"/>
          <w:szCs w:val="22"/>
          <w:lang w:val="fr-FR"/>
        </w:rPr>
        <w:t>’</w:t>
      </w:r>
      <w:r w:rsidRPr="00CE2E51">
        <w:rPr>
          <w:rFonts w:ascii="Arial" w:eastAsia="SimSun" w:hAnsi="Arial" w:cs="Arial"/>
          <w:sz w:val="22"/>
          <w:szCs w:val="22"/>
          <w:lang w:val="fr-FR"/>
        </w:rPr>
        <w:t>agi</w:t>
      </w:r>
      <w:r>
        <w:rPr>
          <w:rFonts w:ascii="Arial" w:eastAsia="SimSun" w:hAnsi="Arial" w:cs="Arial"/>
          <w:sz w:val="22"/>
          <w:szCs w:val="22"/>
          <w:lang w:val="fr-FR"/>
        </w:rPr>
        <w:t>ssait</w:t>
      </w:r>
      <w:r w:rsidRPr="00CE2E51">
        <w:rPr>
          <w:rFonts w:ascii="Arial" w:eastAsia="SimSun" w:hAnsi="Arial" w:cs="Arial"/>
          <w:sz w:val="22"/>
          <w:szCs w:val="22"/>
          <w:lang w:val="fr-FR"/>
        </w:rPr>
        <w:t xml:space="preserve"> de sa première </w:t>
      </w:r>
      <w:r w:rsidRPr="006D2A4A">
        <w:rPr>
          <w:rFonts w:ascii="Arial" w:eastAsia="SimSun" w:hAnsi="Arial" w:cs="Arial"/>
          <w:sz w:val="22"/>
          <w:szCs w:val="22"/>
          <w:lang w:val="fr-FR"/>
        </w:rPr>
        <w:t>candidature</w:t>
      </w:r>
      <w:r>
        <w:rPr>
          <w:rFonts w:ascii="Arial" w:eastAsia="SimSun" w:hAnsi="Arial" w:cs="Arial"/>
          <w:sz w:val="22"/>
          <w:szCs w:val="22"/>
          <w:lang w:val="fr-FR"/>
        </w:rPr>
        <w:t xml:space="preserve"> </w:t>
      </w:r>
      <w:r w:rsidRPr="00CE2E51">
        <w:rPr>
          <w:rFonts w:ascii="Arial" w:eastAsia="SimSun" w:hAnsi="Arial" w:cs="Arial"/>
          <w:sz w:val="22"/>
          <w:szCs w:val="22"/>
          <w:lang w:val="fr-FR"/>
        </w:rPr>
        <w:t>multinationale en tant qu</w:t>
      </w:r>
      <w:r w:rsidR="008E532B">
        <w:rPr>
          <w:rFonts w:ascii="Arial" w:eastAsia="SimSun" w:hAnsi="Arial" w:cs="Arial"/>
          <w:sz w:val="22"/>
          <w:szCs w:val="22"/>
          <w:lang w:val="fr-FR"/>
        </w:rPr>
        <w:t>’</w:t>
      </w:r>
      <w:r w:rsidRPr="00CE2E51">
        <w:rPr>
          <w:rFonts w:ascii="Arial" w:eastAsia="SimSun" w:hAnsi="Arial" w:cs="Arial"/>
          <w:sz w:val="22"/>
          <w:szCs w:val="22"/>
          <w:lang w:val="fr-FR"/>
        </w:rPr>
        <w:t>État partie, et elle continuera</w:t>
      </w:r>
      <w:r>
        <w:rPr>
          <w:rFonts w:ascii="Arial" w:eastAsia="SimSun" w:hAnsi="Arial" w:cs="Arial"/>
          <w:sz w:val="22"/>
          <w:szCs w:val="22"/>
          <w:lang w:val="fr-FR"/>
        </w:rPr>
        <w:t>it</w:t>
      </w:r>
      <w:r w:rsidRPr="00CE2E51">
        <w:rPr>
          <w:rFonts w:ascii="Arial" w:eastAsia="SimSun" w:hAnsi="Arial" w:cs="Arial"/>
          <w:sz w:val="22"/>
          <w:szCs w:val="22"/>
          <w:lang w:val="fr-FR"/>
        </w:rPr>
        <w:t xml:space="preserve"> à jouer un rôle actif dans la mise en œuvre de la Convention.</w:t>
      </w:r>
    </w:p>
    <w:p w14:paraId="2E2ECCE0" w14:textId="5CC5DC66" w:rsidR="00D9653F" w:rsidRPr="0008339C"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08339C">
        <w:rPr>
          <w:rFonts w:ascii="Arial" w:eastAsia="SimSun" w:hAnsi="Arial" w:cs="Arial"/>
          <w:sz w:val="22"/>
          <w:szCs w:val="22"/>
          <w:lang w:val="fr-FR"/>
        </w:rPr>
        <w:t xml:space="preserve">La </w:t>
      </w:r>
      <w:r w:rsidRPr="00EB3A23">
        <w:rPr>
          <w:rFonts w:ascii="Arial" w:eastAsia="SimSun" w:hAnsi="Arial" w:cs="Arial"/>
          <w:sz w:val="22"/>
          <w:szCs w:val="22"/>
          <w:lang w:val="fr-FR"/>
        </w:rPr>
        <w:t>délégation de la</w:t>
      </w:r>
      <w:r w:rsidRPr="0008339C">
        <w:rPr>
          <w:rFonts w:ascii="Arial" w:eastAsia="SimSun" w:hAnsi="Arial" w:cs="Arial"/>
          <w:b/>
          <w:bCs/>
          <w:sz w:val="22"/>
          <w:szCs w:val="22"/>
          <w:lang w:val="fr-FR"/>
        </w:rPr>
        <w:t xml:space="preserve"> Pologne</w:t>
      </w:r>
      <w:r w:rsidRPr="0008339C">
        <w:rPr>
          <w:rFonts w:ascii="Arial" w:eastAsia="SimSun" w:hAnsi="Arial" w:cs="Arial"/>
          <w:sz w:val="22"/>
          <w:szCs w:val="22"/>
          <w:lang w:val="fr-FR"/>
        </w:rPr>
        <w:t xml:space="preserve"> a félicité la Présidente pour sa nomination et a remercié le Secrétariat pour la préparation de cette réunion, la première </w:t>
      </w:r>
      <w:r w:rsidRPr="0008339C">
        <w:rPr>
          <w:rFonts w:ascii="Arial" w:eastAsia="SimSun" w:hAnsi="Arial" w:cs="Arial"/>
          <w:i/>
          <w:iCs/>
          <w:sz w:val="22"/>
          <w:szCs w:val="22"/>
          <w:lang w:val="fr-FR"/>
        </w:rPr>
        <w:t xml:space="preserve">in </w:t>
      </w:r>
      <w:proofErr w:type="spellStart"/>
      <w:r w:rsidRPr="0008339C">
        <w:rPr>
          <w:rFonts w:ascii="Arial" w:eastAsia="SimSun" w:hAnsi="Arial" w:cs="Arial"/>
          <w:i/>
          <w:iCs/>
          <w:sz w:val="22"/>
          <w:szCs w:val="22"/>
          <w:lang w:val="fr-FR"/>
        </w:rPr>
        <w:t>pr</w:t>
      </w:r>
      <w:r>
        <w:rPr>
          <w:rFonts w:ascii="Arial" w:eastAsia="SimSun" w:hAnsi="Arial" w:cs="Arial"/>
          <w:i/>
          <w:iCs/>
          <w:sz w:val="22"/>
          <w:szCs w:val="22"/>
          <w:lang w:val="fr-FR"/>
        </w:rPr>
        <w:t>æ</w:t>
      </w:r>
      <w:r w:rsidRPr="0008339C">
        <w:rPr>
          <w:rFonts w:ascii="Arial" w:eastAsia="SimSun" w:hAnsi="Arial" w:cs="Arial"/>
          <w:i/>
          <w:iCs/>
          <w:sz w:val="22"/>
          <w:szCs w:val="22"/>
          <w:lang w:val="fr-FR"/>
        </w:rPr>
        <w:t>sentia</w:t>
      </w:r>
      <w:proofErr w:type="spellEnd"/>
      <w:r w:rsidRPr="0008339C">
        <w:rPr>
          <w:rFonts w:ascii="Arial" w:eastAsia="SimSun" w:hAnsi="Arial" w:cs="Arial"/>
          <w:sz w:val="22"/>
          <w:szCs w:val="22"/>
          <w:lang w:val="fr-FR"/>
        </w:rPr>
        <w:t xml:space="preserve"> depuis la pandémie. En tant que membre du Comité, la Pologne a remercié la Jamaïque et le Sri Lanka pour leur excellent travail d</w:t>
      </w:r>
      <w:r w:rsidR="008E532B">
        <w:rPr>
          <w:rFonts w:ascii="Arial" w:eastAsia="SimSun" w:hAnsi="Arial" w:cs="Arial"/>
          <w:sz w:val="22"/>
          <w:szCs w:val="22"/>
          <w:lang w:val="fr-FR"/>
        </w:rPr>
        <w:t>’</w:t>
      </w:r>
      <w:r w:rsidRPr="0008339C">
        <w:rPr>
          <w:rFonts w:ascii="Arial" w:eastAsia="SimSun" w:hAnsi="Arial" w:cs="Arial"/>
          <w:sz w:val="22"/>
          <w:szCs w:val="22"/>
          <w:lang w:val="fr-FR"/>
        </w:rPr>
        <w:t xml:space="preserve">organisation de leurs sessions respectives du Comité pendant la pandémie. Les réunions </w:t>
      </w:r>
      <w:r>
        <w:rPr>
          <w:rFonts w:ascii="Arial" w:eastAsia="SimSun" w:hAnsi="Arial" w:cs="Arial"/>
          <w:sz w:val="22"/>
          <w:szCs w:val="22"/>
          <w:lang w:val="fr-FR"/>
        </w:rPr>
        <w:t>avaient</w:t>
      </w:r>
      <w:r w:rsidRPr="0008339C">
        <w:rPr>
          <w:rFonts w:ascii="Arial" w:eastAsia="SimSun" w:hAnsi="Arial" w:cs="Arial"/>
          <w:sz w:val="22"/>
          <w:szCs w:val="22"/>
          <w:lang w:val="fr-FR"/>
        </w:rPr>
        <w:t xml:space="preserve"> été difficiles, mais grâce à une détermination commune, le Comité a</w:t>
      </w:r>
      <w:r>
        <w:rPr>
          <w:rFonts w:ascii="Arial" w:eastAsia="SimSun" w:hAnsi="Arial" w:cs="Arial"/>
          <w:sz w:val="22"/>
          <w:szCs w:val="22"/>
          <w:lang w:val="fr-FR"/>
        </w:rPr>
        <w:t>vait</w:t>
      </w:r>
      <w:r w:rsidRPr="0008339C">
        <w:rPr>
          <w:rFonts w:ascii="Arial" w:eastAsia="SimSun" w:hAnsi="Arial" w:cs="Arial"/>
          <w:sz w:val="22"/>
          <w:szCs w:val="22"/>
          <w:lang w:val="fr-FR"/>
        </w:rPr>
        <w:t xml:space="preserve"> réussi à continuer </w:t>
      </w:r>
      <w:r>
        <w:rPr>
          <w:rFonts w:ascii="Arial" w:eastAsia="SimSun" w:hAnsi="Arial" w:cs="Arial"/>
          <w:sz w:val="22"/>
          <w:szCs w:val="22"/>
          <w:lang w:val="fr-FR"/>
        </w:rPr>
        <w:t>de</w:t>
      </w:r>
      <w:r w:rsidRPr="0008339C">
        <w:rPr>
          <w:rFonts w:ascii="Arial" w:eastAsia="SimSun" w:hAnsi="Arial" w:cs="Arial"/>
          <w:sz w:val="22"/>
          <w:szCs w:val="22"/>
          <w:lang w:val="fr-FR"/>
        </w:rPr>
        <w:t xml:space="preserve"> protéger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08339C">
        <w:rPr>
          <w:rFonts w:ascii="Arial" w:eastAsia="SimSun" w:hAnsi="Arial" w:cs="Arial"/>
          <w:sz w:val="22"/>
          <w:szCs w:val="22"/>
          <w:lang w:val="fr-FR"/>
        </w:rPr>
        <w:t xml:space="preserve">en ajoutant de nouvelles inscriptions aux </w:t>
      </w:r>
      <w:r>
        <w:rPr>
          <w:rFonts w:ascii="Arial" w:eastAsia="SimSun" w:hAnsi="Arial" w:cs="Arial"/>
          <w:sz w:val="22"/>
          <w:szCs w:val="22"/>
          <w:lang w:val="fr-FR"/>
        </w:rPr>
        <w:t>l</w:t>
      </w:r>
      <w:r w:rsidRPr="0008339C">
        <w:rPr>
          <w:rFonts w:ascii="Arial" w:eastAsia="SimSun" w:hAnsi="Arial" w:cs="Arial"/>
          <w:sz w:val="22"/>
          <w:szCs w:val="22"/>
          <w:lang w:val="fr-FR"/>
        </w:rPr>
        <w:t xml:space="preserve">istes et en </w:t>
      </w:r>
      <w:r>
        <w:rPr>
          <w:rFonts w:ascii="Arial" w:eastAsia="SimSun" w:hAnsi="Arial" w:cs="Arial"/>
          <w:sz w:val="22"/>
          <w:szCs w:val="22"/>
          <w:lang w:val="fr-FR"/>
        </w:rPr>
        <w:t>accordant</w:t>
      </w:r>
      <w:r w:rsidRPr="0008339C">
        <w:rPr>
          <w:rFonts w:ascii="Arial" w:eastAsia="SimSun" w:hAnsi="Arial" w:cs="Arial"/>
          <w:sz w:val="22"/>
          <w:szCs w:val="22"/>
          <w:lang w:val="fr-FR"/>
        </w:rPr>
        <w:t xml:space="preserve"> l</w:t>
      </w:r>
      <w:r w:rsidR="008E532B">
        <w:rPr>
          <w:rFonts w:ascii="Arial" w:eastAsia="SimSun" w:hAnsi="Arial" w:cs="Arial"/>
          <w:sz w:val="22"/>
          <w:szCs w:val="22"/>
          <w:lang w:val="fr-FR"/>
        </w:rPr>
        <w:t>’</w:t>
      </w:r>
      <w:r w:rsidRPr="0008339C">
        <w:rPr>
          <w:rFonts w:ascii="Arial" w:eastAsia="SimSun" w:hAnsi="Arial" w:cs="Arial"/>
          <w:sz w:val="22"/>
          <w:szCs w:val="22"/>
          <w:lang w:val="fr-FR"/>
        </w:rPr>
        <w:t xml:space="preserve">assistance nécessaire aux pays dans le besoin. Au cours des deux dernières sessions du Comité, beaucoup de choses </w:t>
      </w:r>
      <w:r>
        <w:rPr>
          <w:rFonts w:ascii="Arial" w:eastAsia="SimSun" w:hAnsi="Arial" w:cs="Arial"/>
          <w:sz w:val="22"/>
          <w:szCs w:val="22"/>
          <w:lang w:val="fr-FR"/>
        </w:rPr>
        <w:t xml:space="preserve">avaient </w:t>
      </w:r>
      <w:r w:rsidRPr="0008339C">
        <w:rPr>
          <w:rFonts w:ascii="Arial" w:eastAsia="SimSun" w:hAnsi="Arial" w:cs="Arial"/>
          <w:sz w:val="22"/>
          <w:szCs w:val="22"/>
          <w:lang w:val="fr-FR"/>
        </w:rPr>
        <w:t>été réalisées. Tout d</w:t>
      </w:r>
      <w:r w:rsidR="008E532B">
        <w:rPr>
          <w:rFonts w:ascii="Arial" w:eastAsia="SimSun" w:hAnsi="Arial" w:cs="Arial"/>
          <w:sz w:val="22"/>
          <w:szCs w:val="22"/>
          <w:lang w:val="fr-FR"/>
        </w:rPr>
        <w:t>’</w:t>
      </w:r>
      <w:r w:rsidRPr="0008339C">
        <w:rPr>
          <w:rFonts w:ascii="Arial" w:eastAsia="SimSun" w:hAnsi="Arial" w:cs="Arial"/>
          <w:sz w:val="22"/>
          <w:szCs w:val="22"/>
          <w:lang w:val="fr-FR"/>
        </w:rPr>
        <w:t xml:space="preserve">abord, le </w:t>
      </w:r>
      <w:r>
        <w:rPr>
          <w:rFonts w:ascii="Arial" w:eastAsia="SimSun" w:hAnsi="Arial" w:cs="Arial"/>
          <w:sz w:val="22"/>
          <w:szCs w:val="22"/>
          <w:lang w:val="fr-FR"/>
        </w:rPr>
        <w:t>g</w:t>
      </w:r>
      <w:r w:rsidRPr="0008339C">
        <w:rPr>
          <w:rFonts w:ascii="Arial" w:eastAsia="SimSun" w:hAnsi="Arial" w:cs="Arial"/>
          <w:sz w:val="22"/>
          <w:szCs w:val="22"/>
          <w:lang w:val="fr-FR"/>
        </w:rPr>
        <w:t>roupe de travail à composition non limitée, dont la Pologne assur</w:t>
      </w:r>
      <w:r>
        <w:rPr>
          <w:rFonts w:ascii="Arial" w:eastAsia="SimSun" w:hAnsi="Arial" w:cs="Arial"/>
          <w:sz w:val="22"/>
          <w:szCs w:val="22"/>
          <w:lang w:val="fr-FR"/>
        </w:rPr>
        <w:t>ait</w:t>
      </w:r>
      <w:r w:rsidRPr="0008339C">
        <w:rPr>
          <w:rFonts w:ascii="Arial" w:eastAsia="SimSun" w:hAnsi="Arial" w:cs="Arial"/>
          <w:sz w:val="22"/>
          <w:szCs w:val="22"/>
          <w:lang w:val="fr-FR"/>
        </w:rPr>
        <w:t xml:space="preserve"> la vice-présidence, a</w:t>
      </w:r>
      <w:r>
        <w:rPr>
          <w:rFonts w:ascii="Arial" w:eastAsia="SimSun" w:hAnsi="Arial" w:cs="Arial"/>
          <w:sz w:val="22"/>
          <w:szCs w:val="22"/>
          <w:lang w:val="fr-FR"/>
        </w:rPr>
        <w:t>vait</w:t>
      </w:r>
      <w:r w:rsidRPr="0008339C">
        <w:rPr>
          <w:rFonts w:ascii="Arial" w:eastAsia="SimSun" w:hAnsi="Arial" w:cs="Arial"/>
          <w:sz w:val="22"/>
          <w:szCs w:val="22"/>
          <w:lang w:val="fr-FR"/>
        </w:rPr>
        <w:t xml:space="preserve"> finalisé la réflexion globale sur les mécanismes d</w:t>
      </w:r>
      <w:r w:rsidR="008E532B">
        <w:rPr>
          <w:rFonts w:ascii="Arial" w:eastAsia="SimSun" w:hAnsi="Arial" w:cs="Arial"/>
          <w:sz w:val="22"/>
          <w:szCs w:val="22"/>
          <w:lang w:val="fr-FR"/>
        </w:rPr>
        <w:t>’</w:t>
      </w:r>
      <w:r w:rsidRPr="0008339C">
        <w:rPr>
          <w:rFonts w:ascii="Arial" w:eastAsia="SimSun" w:hAnsi="Arial" w:cs="Arial"/>
          <w:sz w:val="22"/>
          <w:szCs w:val="22"/>
          <w:lang w:val="fr-FR"/>
        </w:rPr>
        <w:t>inscription</w:t>
      </w:r>
      <w:r>
        <w:rPr>
          <w:rFonts w:ascii="Arial" w:eastAsia="SimSun" w:hAnsi="Arial" w:cs="Arial"/>
          <w:sz w:val="22"/>
          <w:szCs w:val="22"/>
          <w:lang w:val="fr-FR"/>
        </w:rPr>
        <w:t>. L</w:t>
      </w:r>
      <w:r w:rsidRPr="0008339C">
        <w:rPr>
          <w:rFonts w:ascii="Arial" w:eastAsia="SimSun" w:hAnsi="Arial" w:cs="Arial"/>
          <w:sz w:val="22"/>
          <w:szCs w:val="22"/>
          <w:lang w:val="fr-FR"/>
        </w:rPr>
        <w:t>es recommandations qui en résult</w:t>
      </w:r>
      <w:r>
        <w:rPr>
          <w:rFonts w:ascii="Arial" w:eastAsia="SimSun" w:hAnsi="Arial" w:cs="Arial"/>
          <w:sz w:val="22"/>
          <w:szCs w:val="22"/>
          <w:lang w:val="fr-FR"/>
        </w:rPr>
        <w:t>ai</w:t>
      </w:r>
      <w:r w:rsidRPr="0008339C">
        <w:rPr>
          <w:rFonts w:ascii="Arial" w:eastAsia="SimSun" w:hAnsi="Arial" w:cs="Arial"/>
          <w:sz w:val="22"/>
          <w:szCs w:val="22"/>
          <w:lang w:val="fr-FR"/>
        </w:rPr>
        <w:t xml:space="preserve">ent pour modifier les </w:t>
      </w:r>
      <w:r>
        <w:rPr>
          <w:rFonts w:ascii="Arial" w:eastAsia="SimSun" w:hAnsi="Arial" w:cs="Arial"/>
          <w:sz w:val="22"/>
          <w:szCs w:val="22"/>
          <w:lang w:val="fr-FR"/>
        </w:rPr>
        <w:t>D</w:t>
      </w:r>
      <w:r w:rsidRPr="0008339C">
        <w:rPr>
          <w:rFonts w:ascii="Arial" w:eastAsia="SimSun" w:hAnsi="Arial" w:cs="Arial"/>
          <w:sz w:val="22"/>
          <w:szCs w:val="22"/>
          <w:lang w:val="fr-FR"/>
        </w:rPr>
        <w:t>irectives opérationnelles ser</w:t>
      </w:r>
      <w:r>
        <w:rPr>
          <w:rFonts w:ascii="Arial" w:eastAsia="SimSun" w:hAnsi="Arial" w:cs="Arial"/>
          <w:sz w:val="22"/>
          <w:szCs w:val="22"/>
          <w:lang w:val="fr-FR"/>
        </w:rPr>
        <w:t>aient</w:t>
      </w:r>
      <w:r w:rsidRPr="0008339C">
        <w:rPr>
          <w:rFonts w:ascii="Arial" w:eastAsia="SimSun" w:hAnsi="Arial" w:cs="Arial"/>
          <w:sz w:val="22"/>
          <w:szCs w:val="22"/>
          <w:lang w:val="fr-FR"/>
        </w:rPr>
        <w:t xml:space="preserve"> présentées au </w:t>
      </w:r>
      <w:r>
        <w:rPr>
          <w:rFonts w:ascii="Arial" w:eastAsia="SimSun" w:hAnsi="Arial" w:cs="Arial"/>
          <w:sz w:val="22"/>
          <w:szCs w:val="22"/>
          <w:lang w:val="fr-FR"/>
        </w:rPr>
        <w:t xml:space="preserve">titre du </w:t>
      </w:r>
      <w:r w:rsidRPr="0008339C">
        <w:rPr>
          <w:rFonts w:ascii="Arial" w:eastAsia="SimSun" w:hAnsi="Arial" w:cs="Arial"/>
          <w:sz w:val="22"/>
          <w:szCs w:val="22"/>
          <w:lang w:val="fr-FR"/>
        </w:rPr>
        <w:t xml:space="preserve">point 9. La Pologne a remercié le </w:t>
      </w:r>
      <w:r>
        <w:rPr>
          <w:rFonts w:ascii="Arial" w:eastAsia="SimSun" w:hAnsi="Arial" w:cs="Arial"/>
          <w:sz w:val="22"/>
          <w:szCs w:val="22"/>
          <w:lang w:val="fr-FR"/>
        </w:rPr>
        <w:t>G</w:t>
      </w:r>
      <w:r w:rsidRPr="0008339C">
        <w:rPr>
          <w:rFonts w:ascii="Arial" w:eastAsia="SimSun" w:hAnsi="Arial" w:cs="Arial"/>
          <w:sz w:val="22"/>
          <w:szCs w:val="22"/>
          <w:lang w:val="fr-FR"/>
        </w:rPr>
        <w:t xml:space="preserve">ouvernement du Japon pour son soutien, en particulier </w:t>
      </w:r>
      <w:r w:rsidR="00A73EEF">
        <w:rPr>
          <w:rFonts w:ascii="Arial" w:eastAsia="SimSun" w:hAnsi="Arial" w:cs="Arial"/>
          <w:sz w:val="22"/>
          <w:szCs w:val="22"/>
          <w:lang w:val="fr-FR"/>
        </w:rPr>
        <w:t xml:space="preserve">S.Exc. </w:t>
      </w:r>
      <w:r w:rsidRPr="0008339C">
        <w:rPr>
          <w:rFonts w:ascii="Arial" w:eastAsia="SimSun" w:hAnsi="Arial" w:cs="Arial"/>
          <w:sz w:val="22"/>
          <w:szCs w:val="22"/>
          <w:lang w:val="fr-FR"/>
        </w:rPr>
        <w:t>l</w:t>
      </w:r>
      <w:r w:rsidR="008E532B">
        <w:rPr>
          <w:rFonts w:ascii="Arial" w:eastAsia="SimSun" w:hAnsi="Arial" w:cs="Arial"/>
          <w:sz w:val="22"/>
          <w:szCs w:val="22"/>
          <w:lang w:val="fr-FR"/>
        </w:rPr>
        <w:t>’</w:t>
      </w:r>
      <w:r w:rsidRPr="0008339C">
        <w:rPr>
          <w:rFonts w:ascii="Arial" w:eastAsia="SimSun" w:hAnsi="Arial" w:cs="Arial"/>
          <w:sz w:val="22"/>
          <w:szCs w:val="22"/>
          <w:lang w:val="fr-FR"/>
        </w:rPr>
        <w:t xml:space="preserve">ambassadeur </w:t>
      </w:r>
      <w:proofErr w:type="spellStart"/>
      <w:r w:rsidRPr="0008339C">
        <w:rPr>
          <w:rFonts w:ascii="Arial" w:eastAsia="SimSun" w:hAnsi="Arial" w:cs="Arial"/>
          <w:sz w:val="22"/>
          <w:szCs w:val="22"/>
          <w:lang w:val="fr-FR"/>
        </w:rPr>
        <w:t>Atsuyuki</w:t>
      </w:r>
      <w:proofErr w:type="spellEnd"/>
      <w:r w:rsidRPr="0008339C">
        <w:rPr>
          <w:rFonts w:ascii="Arial" w:eastAsia="SimSun" w:hAnsi="Arial" w:cs="Arial"/>
          <w:sz w:val="22"/>
          <w:szCs w:val="22"/>
          <w:lang w:val="fr-FR"/>
        </w:rPr>
        <w:t xml:space="preserve"> </w:t>
      </w:r>
      <w:proofErr w:type="spellStart"/>
      <w:r w:rsidRPr="0008339C">
        <w:rPr>
          <w:rFonts w:ascii="Arial" w:eastAsia="SimSun" w:hAnsi="Arial" w:cs="Arial"/>
          <w:sz w:val="22"/>
          <w:szCs w:val="22"/>
          <w:lang w:val="fr-FR"/>
        </w:rPr>
        <w:t>Oike</w:t>
      </w:r>
      <w:proofErr w:type="spellEnd"/>
      <w:r w:rsidRPr="0008339C">
        <w:rPr>
          <w:rFonts w:ascii="Arial" w:eastAsia="SimSun" w:hAnsi="Arial" w:cs="Arial"/>
          <w:sz w:val="22"/>
          <w:szCs w:val="22"/>
          <w:lang w:val="fr-FR"/>
        </w:rPr>
        <w:t xml:space="preserve"> pour son excellente présidence de ce processus</w:t>
      </w:r>
      <w:r>
        <w:rPr>
          <w:rFonts w:ascii="Arial" w:eastAsia="SimSun" w:hAnsi="Arial" w:cs="Arial"/>
          <w:sz w:val="22"/>
          <w:szCs w:val="22"/>
          <w:lang w:val="fr-FR"/>
        </w:rPr>
        <w:t>,</w:t>
      </w:r>
      <w:r w:rsidRPr="0008339C">
        <w:rPr>
          <w:rFonts w:ascii="Arial" w:eastAsia="SimSun" w:hAnsi="Arial" w:cs="Arial"/>
          <w:sz w:val="22"/>
          <w:szCs w:val="22"/>
          <w:lang w:val="fr-FR"/>
        </w:rPr>
        <w:t xml:space="preserve"> long mais très efficace. Les deux dernières années </w:t>
      </w:r>
      <w:r>
        <w:rPr>
          <w:rFonts w:ascii="Arial" w:eastAsia="SimSun" w:hAnsi="Arial" w:cs="Arial"/>
          <w:sz w:val="22"/>
          <w:szCs w:val="22"/>
          <w:lang w:val="fr-FR"/>
        </w:rPr>
        <w:t>avaient</w:t>
      </w:r>
      <w:r w:rsidRPr="0008339C">
        <w:rPr>
          <w:rFonts w:ascii="Arial" w:eastAsia="SimSun" w:hAnsi="Arial" w:cs="Arial"/>
          <w:sz w:val="22"/>
          <w:szCs w:val="22"/>
          <w:lang w:val="fr-FR"/>
        </w:rPr>
        <w:t xml:space="preserve"> été marquées par de nombreux défis. La pandémie de COVID</w:t>
      </w:r>
      <w:r>
        <w:rPr>
          <w:rFonts w:ascii="Arial" w:eastAsia="SimSun" w:hAnsi="Arial" w:cs="Arial"/>
          <w:sz w:val="22"/>
          <w:szCs w:val="22"/>
          <w:lang w:val="fr-FR"/>
        </w:rPr>
        <w:noBreakHyphen/>
      </w:r>
      <w:r w:rsidRPr="0008339C">
        <w:rPr>
          <w:rFonts w:ascii="Arial" w:eastAsia="SimSun" w:hAnsi="Arial" w:cs="Arial"/>
          <w:sz w:val="22"/>
          <w:szCs w:val="22"/>
          <w:lang w:val="fr-FR"/>
        </w:rPr>
        <w:t xml:space="preserve">19 et la </w:t>
      </w:r>
      <w:r w:rsidR="006D41D6">
        <w:rPr>
          <w:rFonts w:ascii="Arial" w:eastAsia="SimSun" w:hAnsi="Arial" w:cs="Arial"/>
          <w:sz w:val="22"/>
          <w:szCs w:val="22"/>
          <w:lang w:val="fr-FR"/>
        </w:rPr>
        <w:t xml:space="preserve">guerre en </w:t>
      </w:r>
      <w:r w:rsidRPr="0008339C">
        <w:rPr>
          <w:rFonts w:ascii="Arial" w:eastAsia="SimSun" w:hAnsi="Arial" w:cs="Arial"/>
          <w:sz w:val="22"/>
          <w:szCs w:val="22"/>
          <w:lang w:val="fr-FR"/>
        </w:rPr>
        <w:t xml:space="preserve">Ukraine avaient exigé des réactions rapides et opportunes. Pour </w:t>
      </w:r>
      <w:r>
        <w:rPr>
          <w:rFonts w:ascii="Arial" w:eastAsia="SimSun" w:hAnsi="Arial" w:cs="Arial"/>
          <w:sz w:val="22"/>
          <w:szCs w:val="22"/>
          <w:lang w:val="fr-FR"/>
        </w:rPr>
        <w:t xml:space="preserve">perpétuer </w:t>
      </w:r>
      <w:r w:rsidRPr="0008339C">
        <w:rPr>
          <w:rFonts w:ascii="Arial" w:eastAsia="SimSun" w:hAnsi="Arial" w:cs="Arial"/>
          <w:sz w:val="22"/>
          <w:szCs w:val="22"/>
          <w:lang w:val="fr-FR"/>
        </w:rPr>
        <w:t>l</w:t>
      </w:r>
      <w:r w:rsidR="008E532B">
        <w:rPr>
          <w:rFonts w:ascii="Arial" w:eastAsia="SimSun" w:hAnsi="Arial" w:cs="Arial"/>
          <w:sz w:val="22"/>
          <w:szCs w:val="22"/>
          <w:lang w:val="fr-FR"/>
        </w:rPr>
        <w:t>’</w:t>
      </w:r>
      <w:r w:rsidRPr="0008339C">
        <w:rPr>
          <w:rFonts w:ascii="Arial" w:eastAsia="SimSun" w:hAnsi="Arial" w:cs="Arial"/>
          <w:sz w:val="22"/>
          <w:szCs w:val="22"/>
          <w:lang w:val="fr-FR"/>
        </w:rPr>
        <w:t xml:space="preserve">esprit de la Convention, des procédures claires et transparentes étaient nécessaires </w:t>
      </w:r>
      <w:r>
        <w:rPr>
          <w:rFonts w:ascii="Arial" w:eastAsia="SimSun" w:hAnsi="Arial" w:cs="Arial"/>
          <w:sz w:val="22"/>
          <w:szCs w:val="22"/>
          <w:lang w:val="fr-FR"/>
        </w:rPr>
        <w:t>pour</w:t>
      </w:r>
      <w:r w:rsidRPr="0008339C">
        <w:rPr>
          <w:rFonts w:ascii="Arial" w:eastAsia="SimSun" w:hAnsi="Arial" w:cs="Arial"/>
          <w:sz w:val="22"/>
          <w:szCs w:val="22"/>
          <w:lang w:val="fr-FR"/>
        </w:rPr>
        <w:t xml:space="preserve"> la bonne application de ses dispositions. La Pologne a salué la décision du Comité d</w:t>
      </w:r>
      <w:r w:rsidR="008E532B">
        <w:rPr>
          <w:rFonts w:ascii="Arial" w:eastAsia="SimSun" w:hAnsi="Arial" w:cs="Arial"/>
          <w:sz w:val="22"/>
          <w:szCs w:val="22"/>
          <w:lang w:val="fr-FR"/>
        </w:rPr>
        <w:t>’</w:t>
      </w:r>
      <w:r w:rsidRPr="0008339C">
        <w:rPr>
          <w:rFonts w:ascii="Arial" w:eastAsia="SimSun" w:hAnsi="Arial" w:cs="Arial"/>
          <w:sz w:val="22"/>
          <w:szCs w:val="22"/>
          <w:lang w:val="fr-FR"/>
        </w:rPr>
        <w:t xml:space="preserve">inscrire la soupe </w:t>
      </w:r>
      <w:r>
        <w:rPr>
          <w:rFonts w:ascii="Arial" w:eastAsia="SimSun" w:hAnsi="Arial" w:cs="Arial"/>
          <w:sz w:val="22"/>
          <w:szCs w:val="22"/>
          <w:lang w:val="fr-FR"/>
        </w:rPr>
        <w:t xml:space="preserve">au giraumon </w:t>
      </w:r>
      <w:r w:rsidRPr="0008339C">
        <w:rPr>
          <w:rFonts w:ascii="Arial" w:eastAsia="SimSun" w:hAnsi="Arial" w:cs="Arial"/>
          <w:sz w:val="22"/>
          <w:szCs w:val="22"/>
          <w:lang w:val="fr-FR"/>
        </w:rPr>
        <w:t>d</w:t>
      </w:r>
      <w:r w:rsidR="008E532B">
        <w:rPr>
          <w:rFonts w:ascii="Arial" w:eastAsia="SimSun" w:hAnsi="Arial" w:cs="Arial"/>
          <w:sz w:val="22"/>
          <w:szCs w:val="22"/>
          <w:lang w:val="fr-FR"/>
        </w:rPr>
        <w:t>’</w:t>
      </w:r>
      <w:r w:rsidRPr="0008339C">
        <w:rPr>
          <w:rFonts w:ascii="Arial" w:eastAsia="SimSun" w:hAnsi="Arial" w:cs="Arial"/>
          <w:sz w:val="22"/>
          <w:szCs w:val="22"/>
          <w:lang w:val="fr-FR"/>
        </w:rPr>
        <w:t xml:space="preserve">Haïti sur la Liste représentative à titre exceptionnel, Haïti </w:t>
      </w:r>
      <w:r>
        <w:rPr>
          <w:rFonts w:ascii="Arial" w:eastAsia="SimSun" w:hAnsi="Arial" w:cs="Arial"/>
          <w:sz w:val="22"/>
          <w:szCs w:val="22"/>
          <w:lang w:val="fr-FR"/>
        </w:rPr>
        <w:t>étant</w:t>
      </w:r>
      <w:r w:rsidRPr="0008339C">
        <w:rPr>
          <w:rFonts w:ascii="Arial" w:eastAsia="SimSun" w:hAnsi="Arial" w:cs="Arial"/>
          <w:sz w:val="22"/>
          <w:szCs w:val="22"/>
          <w:lang w:val="fr-FR"/>
        </w:rPr>
        <w:t xml:space="preserve"> confronté à une crise humanitaire causée par des risques naturels. Elle a également salué l</w:t>
      </w:r>
      <w:r w:rsidR="008E532B">
        <w:rPr>
          <w:rFonts w:ascii="Arial" w:eastAsia="SimSun" w:hAnsi="Arial" w:cs="Arial"/>
          <w:sz w:val="22"/>
          <w:szCs w:val="22"/>
          <w:lang w:val="fr-FR"/>
        </w:rPr>
        <w:t>’</w:t>
      </w:r>
      <w:r w:rsidRPr="0008339C">
        <w:rPr>
          <w:rFonts w:ascii="Arial" w:eastAsia="SimSun" w:hAnsi="Arial" w:cs="Arial"/>
          <w:sz w:val="22"/>
          <w:szCs w:val="22"/>
          <w:lang w:val="fr-FR"/>
        </w:rPr>
        <w:t>inscription de la</w:t>
      </w:r>
      <w:r w:rsidRPr="0003799A">
        <w:rPr>
          <w:rFonts w:ascii="Arial" w:eastAsia="SimSun" w:hAnsi="Arial" w:cs="Arial"/>
          <w:sz w:val="22"/>
          <w:szCs w:val="22"/>
          <w:lang w:val="fr-FR"/>
        </w:rPr>
        <w:t xml:space="preserve"> </w:t>
      </w:r>
      <w:r>
        <w:rPr>
          <w:rFonts w:ascii="Arial" w:eastAsia="SimSun" w:hAnsi="Arial" w:cs="Arial"/>
          <w:sz w:val="22"/>
          <w:szCs w:val="22"/>
          <w:lang w:val="fr-FR"/>
        </w:rPr>
        <w:t>c</w:t>
      </w:r>
      <w:r w:rsidRPr="00BF4BDA">
        <w:rPr>
          <w:rFonts w:ascii="Arial" w:eastAsia="SimSun" w:hAnsi="Arial" w:cs="Arial"/>
          <w:sz w:val="22"/>
          <w:szCs w:val="22"/>
          <w:lang w:val="fr-FR"/>
        </w:rPr>
        <w:t xml:space="preserve">ulture de la </w:t>
      </w:r>
      <w:r>
        <w:rPr>
          <w:rFonts w:ascii="Arial" w:eastAsia="SimSun" w:hAnsi="Arial" w:cs="Arial"/>
          <w:sz w:val="22"/>
          <w:szCs w:val="22"/>
          <w:lang w:val="fr-FR"/>
        </w:rPr>
        <w:t xml:space="preserve">préparation du bortsch </w:t>
      </w:r>
      <w:r w:rsidRPr="00BF4BDA">
        <w:rPr>
          <w:rFonts w:ascii="Arial" w:eastAsia="SimSun" w:hAnsi="Arial" w:cs="Arial"/>
          <w:sz w:val="22"/>
          <w:szCs w:val="22"/>
          <w:lang w:val="fr-FR"/>
        </w:rPr>
        <w:t>ukrainien</w:t>
      </w:r>
      <w:r w:rsidRPr="008D4445">
        <w:rPr>
          <w:rFonts w:ascii="Arial" w:eastAsia="SimSun" w:hAnsi="Arial" w:cs="Arial"/>
          <w:sz w:val="22"/>
          <w:szCs w:val="22"/>
          <w:lang w:val="fr-FR"/>
        </w:rPr>
        <w:t xml:space="preserve"> </w:t>
      </w:r>
      <w:r w:rsidRPr="0008339C">
        <w:rPr>
          <w:rFonts w:ascii="Arial" w:eastAsia="SimSun" w:hAnsi="Arial" w:cs="Arial"/>
          <w:sz w:val="22"/>
          <w:szCs w:val="22"/>
          <w:lang w:val="fr-FR"/>
        </w:rPr>
        <w:t>sur la Liste de sauvegarde urgente</w:t>
      </w:r>
      <w:r>
        <w:rPr>
          <w:rFonts w:ascii="Arial" w:eastAsia="SimSun" w:hAnsi="Arial" w:cs="Arial"/>
          <w:sz w:val="22"/>
          <w:szCs w:val="22"/>
          <w:lang w:val="fr-FR"/>
        </w:rPr>
        <w:t>,</w:t>
      </w:r>
      <w:r w:rsidRPr="0008339C">
        <w:rPr>
          <w:rFonts w:ascii="Arial" w:eastAsia="SimSun" w:hAnsi="Arial" w:cs="Arial"/>
          <w:sz w:val="22"/>
          <w:szCs w:val="22"/>
          <w:lang w:val="fr-FR"/>
        </w:rPr>
        <w:t xml:space="preserve"> en tant qu</w:t>
      </w:r>
      <w:r w:rsidR="008E532B">
        <w:rPr>
          <w:rFonts w:ascii="Arial" w:eastAsia="SimSun" w:hAnsi="Arial" w:cs="Arial"/>
          <w:sz w:val="22"/>
          <w:szCs w:val="22"/>
          <w:lang w:val="fr-FR"/>
        </w:rPr>
        <w:t>’</w:t>
      </w:r>
      <w:r w:rsidRPr="0008339C">
        <w:rPr>
          <w:rFonts w:ascii="Arial" w:eastAsia="SimSun" w:hAnsi="Arial" w:cs="Arial"/>
          <w:sz w:val="22"/>
          <w:szCs w:val="22"/>
          <w:lang w:val="fr-FR"/>
        </w:rPr>
        <w:t>élément du patrimoine culturel immatériel de l</w:t>
      </w:r>
      <w:r w:rsidR="008E532B">
        <w:rPr>
          <w:rFonts w:ascii="Arial" w:eastAsia="SimSun" w:hAnsi="Arial" w:cs="Arial"/>
          <w:sz w:val="22"/>
          <w:szCs w:val="22"/>
          <w:lang w:val="fr-FR"/>
        </w:rPr>
        <w:t>’</w:t>
      </w:r>
      <w:r w:rsidRPr="0008339C">
        <w:rPr>
          <w:rFonts w:ascii="Arial" w:eastAsia="SimSun" w:hAnsi="Arial" w:cs="Arial"/>
          <w:sz w:val="22"/>
          <w:szCs w:val="22"/>
          <w:lang w:val="fr-FR"/>
        </w:rPr>
        <w:t>Ukraine inscrit dans un cas d</w:t>
      </w:r>
      <w:r w:rsidR="008E532B">
        <w:rPr>
          <w:rFonts w:ascii="Arial" w:eastAsia="SimSun" w:hAnsi="Arial" w:cs="Arial"/>
          <w:sz w:val="22"/>
          <w:szCs w:val="22"/>
          <w:lang w:val="fr-FR"/>
        </w:rPr>
        <w:t>’</w:t>
      </w:r>
      <w:r w:rsidRPr="0008339C">
        <w:rPr>
          <w:rFonts w:ascii="Arial" w:eastAsia="SimSun" w:hAnsi="Arial" w:cs="Arial"/>
          <w:sz w:val="22"/>
          <w:szCs w:val="22"/>
          <w:lang w:val="fr-FR"/>
        </w:rPr>
        <w:t xml:space="preserve">extrême urgence </w:t>
      </w:r>
      <w:r>
        <w:rPr>
          <w:rFonts w:ascii="Arial" w:eastAsia="SimSun" w:hAnsi="Arial" w:cs="Arial"/>
          <w:sz w:val="22"/>
          <w:szCs w:val="22"/>
          <w:lang w:val="fr-FR"/>
        </w:rPr>
        <w:t xml:space="preserve">au titre </w:t>
      </w:r>
      <w:r w:rsidRPr="0008339C">
        <w:rPr>
          <w:rFonts w:ascii="Arial" w:eastAsia="SimSun" w:hAnsi="Arial" w:cs="Arial"/>
          <w:sz w:val="22"/>
          <w:szCs w:val="22"/>
          <w:lang w:val="fr-FR"/>
        </w:rPr>
        <w:t>de l</w:t>
      </w:r>
      <w:r w:rsidR="008E532B">
        <w:rPr>
          <w:rFonts w:ascii="Arial" w:eastAsia="SimSun" w:hAnsi="Arial" w:cs="Arial"/>
          <w:sz w:val="22"/>
          <w:szCs w:val="22"/>
          <w:lang w:val="fr-FR"/>
        </w:rPr>
        <w:t>’</w:t>
      </w:r>
      <w:r w:rsidRPr="0008339C">
        <w:rPr>
          <w:rFonts w:ascii="Arial" w:eastAsia="SimSun" w:hAnsi="Arial" w:cs="Arial"/>
          <w:sz w:val="22"/>
          <w:szCs w:val="22"/>
          <w:lang w:val="fr-FR"/>
        </w:rPr>
        <w:t>article 17.3 de la Convention. Au cours de cette Assemblée, la Pologne remplir</w:t>
      </w:r>
      <w:r>
        <w:rPr>
          <w:rFonts w:ascii="Arial" w:eastAsia="SimSun" w:hAnsi="Arial" w:cs="Arial"/>
          <w:sz w:val="22"/>
          <w:szCs w:val="22"/>
          <w:lang w:val="fr-FR"/>
        </w:rPr>
        <w:t>ait</w:t>
      </w:r>
      <w:r w:rsidRPr="0008339C">
        <w:rPr>
          <w:rFonts w:ascii="Arial" w:eastAsia="SimSun" w:hAnsi="Arial" w:cs="Arial"/>
          <w:sz w:val="22"/>
          <w:szCs w:val="22"/>
          <w:lang w:val="fr-FR"/>
        </w:rPr>
        <w:t xml:space="preserve"> son mandat de membre du Comité</w:t>
      </w:r>
      <w:r>
        <w:rPr>
          <w:rFonts w:ascii="Arial" w:eastAsia="SimSun" w:hAnsi="Arial" w:cs="Arial"/>
          <w:sz w:val="22"/>
          <w:szCs w:val="22"/>
          <w:lang w:val="fr-FR"/>
        </w:rPr>
        <w:t>,</w:t>
      </w:r>
      <w:r w:rsidRPr="0008339C">
        <w:rPr>
          <w:rFonts w:ascii="Arial" w:eastAsia="SimSun" w:hAnsi="Arial" w:cs="Arial"/>
          <w:sz w:val="22"/>
          <w:szCs w:val="22"/>
          <w:lang w:val="fr-FR"/>
        </w:rPr>
        <w:t xml:space="preserve"> et elle </w:t>
      </w:r>
      <w:r>
        <w:rPr>
          <w:rFonts w:ascii="Arial" w:eastAsia="SimSun" w:hAnsi="Arial" w:cs="Arial"/>
          <w:sz w:val="22"/>
          <w:szCs w:val="22"/>
          <w:lang w:val="fr-FR"/>
        </w:rPr>
        <w:t xml:space="preserve">a </w:t>
      </w:r>
      <w:r w:rsidRPr="0008339C">
        <w:rPr>
          <w:rFonts w:ascii="Arial" w:eastAsia="SimSun" w:hAnsi="Arial" w:cs="Arial"/>
          <w:sz w:val="22"/>
          <w:szCs w:val="22"/>
          <w:lang w:val="fr-FR"/>
        </w:rPr>
        <w:t>remerci</w:t>
      </w:r>
      <w:r>
        <w:rPr>
          <w:rFonts w:ascii="Arial" w:eastAsia="SimSun" w:hAnsi="Arial" w:cs="Arial"/>
          <w:sz w:val="22"/>
          <w:szCs w:val="22"/>
          <w:lang w:val="fr-FR"/>
        </w:rPr>
        <w:t>é</w:t>
      </w:r>
      <w:r w:rsidRPr="0008339C">
        <w:rPr>
          <w:rFonts w:ascii="Arial" w:eastAsia="SimSun" w:hAnsi="Arial" w:cs="Arial"/>
          <w:sz w:val="22"/>
          <w:szCs w:val="22"/>
          <w:lang w:val="fr-FR"/>
        </w:rPr>
        <w:t xml:space="preserve"> ses collègues pour le travail fructueux et constructif. C</w:t>
      </w:r>
      <w:r w:rsidR="008E532B">
        <w:rPr>
          <w:rFonts w:ascii="Arial" w:eastAsia="SimSun" w:hAnsi="Arial" w:cs="Arial"/>
          <w:sz w:val="22"/>
          <w:szCs w:val="22"/>
          <w:lang w:val="fr-FR"/>
        </w:rPr>
        <w:t>’</w:t>
      </w:r>
      <w:r>
        <w:rPr>
          <w:rFonts w:ascii="Arial" w:eastAsia="SimSun" w:hAnsi="Arial" w:cs="Arial"/>
          <w:sz w:val="22"/>
          <w:szCs w:val="22"/>
          <w:lang w:val="fr-FR"/>
        </w:rPr>
        <w:t>était</w:t>
      </w:r>
      <w:r w:rsidRPr="0008339C">
        <w:rPr>
          <w:rFonts w:ascii="Arial" w:eastAsia="SimSun" w:hAnsi="Arial" w:cs="Arial"/>
          <w:sz w:val="22"/>
          <w:szCs w:val="22"/>
          <w:lang w:val="fr-FR"/>
        </w:rPr>
        <w:t xml:space="preserve"> un véritable honneur et un plaisir de contribuer à ce Comité et de travailler ensemble à la mise en œuvre de la Convention.</w:t>
      </w:r>
    </w:p>
    <w:p w14:paraId="54766C04" w14:textId="7F80B2D0" w:rsidR="00D9653F" w:rsidRPr="003E0376"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EB3A23">
        <w:rPr>
          <w:rFonts w:ascii="Arial" w:eastAsia="SimSun" w:hAnsi="Arial" w:cs="Arial"/>
          <w:sz w:val="22"/>
          <w:szCs w:val="22"/>
          <w:lang w:val="fr-FR"/>
        </w:rPr>
        <w:t xml:space="preserve">La délégation </w:t>
      </w:r>
      <w:r>
        <w:rPr>
          <w:rFonts w:ascii="Arial" w:eastAsia="SimSun" w:hAnsi="Arial" w:cs="Arial"/>
          <w:sz w:val="22"/>
          <w:szCs w:val="22"/>
          <w:lang w:val="fr-FR"/>
        </w:rPr>
        <w:t xml:space="preserve">de la </w:t>
      </w:r>
      <w:r w:rsidRPr="00EB3A23">
        <w:rPr>
          <w:rFonts w:ascii="Arial" w:eastAsia="SimSun" w:hAnsi="Arial" w:cs="Arial"/>
          <w:b/>
          <w:bCs/>
          <w:sz w:val="22"/>
          <w:szCs w:val="22"/>
          <w:lang w:val="fr-FR"/>
        </w:rPr>
        <w:t>Roumanie</w:t>
      </w:r>
      <w:r>
        <w:rPr>
          <w:rFonts w:ascii="Arial" w:eastAsia="SimSun" w:hAnsi="Arial" w:cs="Arial"/>
          <w:sz w:val="22"/>
          <w:szCs w:val="22"/>
          <w:lang w:val="fr-FR"/>
        </w:rPr>
        <w:t xml:space="preserve"> a </w:t>
      </w:r>
      <w:r w:rsidRPr="00EB3A23">
        <w:rPr>
          <w:rFonts w:ascii="Arial" w:eastAsia="SimSun" w:hAnsi="Arial" w:cs="Arial"/>
          <w:sz w:val="22"/>
          <w:szCs w:val="22"/>
          <w:lang w:val="fr-FR"/>
        </w:rPr>
        <w:t>félicit</w:t>
      </w:r>
      <w:r>
        <w:rPr>
          <w:rFonts w:ascii="Arial" w:eastAsia="SimSun" w:hAnsi="Arial" w:cs="Arial"/>
          <w:sz w:val="22"/>
          <w:szCs w:val="22"/>
          <w:lang w:val="fr-FR"/>
        </w:rPr>
        <w:t>é</w:t>
      </w:r>
      <w:r w:rsidRPr="00EB3A23">
        <w:rPr>
          <w:rFonts w:ascii="Arial" w:eastAsia="SimSun" w:hAnsi="Arial" w:cs="Arial"/>
          <w:sz w:val="22"/>
          <w:szCs w:val="22"/>
          <w:lang w:val="fr-FR"/>
        </w:rPr>
        <w:t xml:space="preserve"> la Présidente et les </w:t>
      </w:r>
      <w:r>
        <w:rPr>
          <w:rFonts w:ascii="Arial" w:eastAsia="SimSun" w:hAnsi="Arial" w:cs="Arial"/>
          <w:sz w:val="22"/>
          <w:szCs w:val="22"/>
          <w:lang w:val="fr-FR"/>
        </w:rPr>
        <w:t>m</w:t>
      </w:r>
      <w:r w:rsidRPr="00EB3A23">
        <w:rPr>
          <w:rFonts w:ascii="Arial" w:eastAsia="SimSun" w:hAnsi="Arial" w:cs="Arial"/>
          <w:sz w:val="22"/>
          <w:szCs w:val="22"/>
          <w:lang w:val="fr-FR"/>
        </w:rPr>
        <w:t xml:space="preserve">embres du Bureau pour leur élection et leur </w:t>
      </w:r>
      <w:r>
        <w:rPr>
          <w:rFonts w:ascii="Arial" w:eastAsia="SimSun" w:hAnsi="Arial" w:cs="Arial"/>
          <w:sz w:val="22"/>
          <w:szCs w:val="22"/>
          <w:lang w:val="fr-FR"/>
        </w:rPr>
        <w:t xml:space="preserve">a </w:t>
      </w:r>
      <w:r w:rsidRPr="00EB3A23">
        <w:rPr>
          <w:rFonts w:ascii="Arial" w:eastAsia="SimSun" w:hAnsi="Arial" w:cs="Arial"/>
          <w:sz w:val="22"/>
          <w:szCs w:val="22"/>
          <w:lang w:val="fr-FR"/>
        </w:rPr>
        <w:t>souhait</w:t>
      </w:r>
      <w:r>
        <w:rPr>
          <w:rFonts w:ascii="Arial" w:eastAsia="SimSun" w:hAnsi="Arial" w:cs="Arial"/>
          <w:sz w:val="22"/>
          <w:szCs w:val="22"/>
          <w:lang w:val="fr-FR"/>
        </w:rPr>
        <w:t xml:space="preserve">é beaucoup de </w:t>
      </w:r>
      <w:r w:rsidRPr="00EB3A23">
        <w:rPr>
          <w:rFonts w:ascii="Arial" w:eastAsia="SimSun" w:hAnsi="Arial" w:cs="Arial"/>
          <w:sz w:val="22"/>
          <w:szCs w:val="22"/>
          <w:lang w:val="fr-FR"/>
        </w:rPr>
        <w:t>succès. Malgré toutes les difficultés imposées par la pandémie, le Comité a</w:t>
      </w:r>
      <w:r>
        <w:rPr>
          <w:rFonts w:ascii="Arial" w:eastAsia="SimSun" w:hAnsi="Arial" w:cs="Arial"/>
          <w:sz w:val="22"/>
          <w:szCs w:val="22"/>
          <w:lang w:val="fr-FR"/>
        </w:rPr>
        <w:t xml:space="preserve">vait </w:t>
      </w:r>
      <w:r w:rsidRPr="00EB3A23">
        <w:rPr>
          <w:rFonts w:ascii="Arial" w:eastAsia="SimSun" w:hAnsi="Arial" w:cs="Arial"/>
          <w:sz w:val="22"/>
          <w:szCs w:val="22"/>
          <w:lang w:val="fr-FR"/>
        </w:rPr>
        <w:t>pu mener à bien ses activités</w:t>
      </w:r>
      <w:r>
        <w:rPr>
          <w:rFonts w:ascii="Arial" w:eastAsia="SimSun" w:hAnsi="Arial" w:cs="Arial"/>
          <w:sz w:val="22"/>
          <w:szCs w:val="22"/>
          <w:lang w:val="fr-FR"/>
        </w:rPr>
        <w:t>,</w:t>
      </w:r>
      <w:r w:rsidRPr="00EB3A23">
        <w:rPr>
          <w:rFonts w:ascii="Arial" w:eastAsia="SimSun" w:hAnsi="Arial" w:cs="Arial"/>
          <w:sz w:val="22"/>
          <w:szCs w:val="22"/>
          <w:lang w:val="fr-FR"/>
        </w:rPr>
        <w:t xml:space="preserve"> et elle a remercié tous les </w:t>
      </w:r>
      <w:r>
        <w:rPr>
          <w:rFonts w:ascii="Arial" w:eastAsia="SimSun" w:hAnsi="Arial" w:cs="Arial"/>
          <w:sz w:val="22"/>
          <w:szCs w:val="22"/>
          <w:lang w:val="fr-FR"/>
        </w:rPr>
        <w:t>m</w:t>
      </w:r>
      <w:r w:rsidRPr="00EB3A23">
        <w:rPr>
          <w:rFonts w:ascii="Arial" w:eastAsia="SimSun" w:hAnsi="Arial" w:cs="Arial"/>
          <w:sz w:val="22"/>
          <w:szCs w:val="22"/>
          <w:lang w:val="fr-FR"/>
        </w:rPr>
        <w:t xml:space="preserve">embres du Comité pour leur travail. La délégation a félicité les deux derniers pays qui </w:t>
      </w:r>
      <w:r>
        <w:rPr>
          <w:rFonts w:ascii="Arial" w:eastAsia="SimSun" w:hAnsi="Arial" w:cs="Arial"/>
          <w:sz w:val="22"/>
          <w:szCs w:val="22"/>
          <w:lang w:val="fr-FR"/>
        </w:rPr>
        <w:t>avaient</w:t>
      </w:r>
      <w:r w:rsidRPr="00EB3A23">
        <w:rPr>
          <w:rFonts w:ascii="Arial" w:eastAsia="SimSun" w:hAnsi="Arial" w:cs="Arial"/>
          <w:sz w:val="22"/>
          <w:szCs w:val="22"/>
          <w:lang w:val="fr-FR"/>
        </w:rPr>
        <w:t xml:space="preserve"> ratifié la Convention, </w:t>
      </w:r>
      <w:r>
        <w:rPr>
          <w:rFonts w:ascii="Arial" w:eastAsia="SimSun" w:hAnsi="Arial" w:cs="Arial"/>
          <w:sz w:val="22"/>
          <w:szCs w:val="22"/>
          <w:lang w:val="fr-FR"/>
        </w:rPr>
        <w:t xml:space="preserve">témoignant ainsi </w:t>
      </w:r>
      <w:r w:rsidRPr="00EB3A23">
        <w:rPr>
          <w:rFonts w:ascii="Arial" w:eastAsia="SimSun" w:hAnsi="Arial" w:cs="Arial"/>
          <w:sz w:val="22"/>
          <w:szCs w:val="22"/>
          <w:lang w:val="fr-FR"/>
        </w:rPr>
        <w:t xml:space="preserve">de la place de plus en plus importante de cet instrument parmi les autres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EB3A23">
        <w:rPr>
          <w:rFonts w:ascii="Arial" w:eastAsia="SimSun" w:hAnsi="Arial" w:cs="Arial"/>
          <w:sz w:val="22"/>
          <w:szCs w:val="22"/>
          <w:lang w:val="fr-FR"/>
        </w:rPr>
        <w:t>. La Roumanie s</w:t>
      </w:r>
      <w:r w:rsidR="008E532B">
        <w:rPr>
          <w:rFonts w:ascii="Arial" w:eastAsia="SimSun" w:hAnsi="Arial" w:cs="Arial"/>
          <w:sz w:val="22"/>
          <w:szCs w:val="22"/>
          <w:lang w:val="fr-FR"/>
        </w:rPr>
        <w:t>’</w:t>
      </w:r>
      <w:r w:rsidRPr="00EB3A23">
        <w:rPr>
          <w:rFonts w:ascii="Arial" w:eastAsia="SimSun" w:hAnsi="Arial" w:cs="Arial"/>
          <w:sz w:val="22"/>
          <w:szCs w:val="22"/>
          <w:lang w:val="fr-FR"/>
        </w:rPr>
        <w:t>est félicitée de la mise en œuvre du nouveau mécanisme d</w:t>
      </w:r>
      <w:r>
        <w:rPr>
          <w:rFonts w:ascii="Arial" w:eastAsia="SimSun" w:hAnsi="Arial" w:cs="Arial"/>
          <w:sz w:val="22"/>
          <w:szCs w:val="22"/>
          <w:lang w:val="fr-FR"/>
        </w:rPr>
        <w:t xml:space="preserve">e soumission des </w:t>
      </w:r>
      <w:r w:rsidRPr="00EB3A23">
        <w:rPr>
          <w:rFonts w:ascii="Arial" w:eastAsia="SimSun" w:hAnsi="Arial" w:cs="Arial"/>
          <w:sz w:val="22"/>
          <w:szCs w:val="22"/>
          <w:lang w:val="fr-FR"/>
        </w:rPr>
        <w:t>rapports périodiques</w:t>
      </w:r>
      <w:r>
        <w:rPr>
          <w:rFonts w:ascii="Arial" w:eastAsia="SimSun" w:hAnsi="Arial" w:cs="Arial"/>
          <w:sz w:val="22"/>
          <w:szCs w:val="22"/>
          <w:lang w:val="fr-FR"/>
        </w:rPr>
        <w:t xml:space="preserve">, </w:t>
      </w:r>
      <w:r w:rsidRPr="00EB3A23">
        <w:rPr>
          <w:rFonts w:ascii="Arial" w:eastAsia="SimSun" w:hAnsi="Arial" w:cs="Arial"/>
          <w:sz w:val="22"/>
          <w:szCs w:val="22"/>
          <w:lang w:val="fr-FR"/>
        </w:rPr>
        <w:t>du passage à un cycle d</w:t>
      </w:r>
      <w:r>
        <w:rPr>
          <w:rFonts w:ascii="Arial" w:eastAsia="SimSun" w:hAnsi="Arial" w:cs="Arial"/>
          <w:sz w:val="22"/>
          <w:szCs w:val="22"/>
          <w:lang w:val="fr-FR"/>
        </w:rPr>
        <w:t xml:space="preserve">e soumission </w:t>
      </w:r>
      <w:r w:rsidRPr="00EB3A23">
        <w:rPr>
          <w:rFonts w:ascii="Arial" w:eastAsia="SimSun" w:hAnsi="Arial" w:cs="Arial"/>
          <w:sz w:val="22"/>
          <w:szCs w:val="22"/>
          <w:lang w:val="fr-FR"/>
        </w:rPr>
        <w:t>de</w:t>
      </w:r>
      <w:r>
        <w:rPr>
          <w:rFonts w:ascii="Arial" w:eastAsia="SimSun" w:hAnsi="Arial" w:cs="Arial"/>
          <w:sz w:val="22"/>
          <w:szCs w:val="22"/>
          <w:lang w:val="fr-FR"/>
        </w:rPr>
        <w:t>s</w:t>
      </w:r>
      <w:r w:rsidRPr="00EB3A23">
        <w:rPr>
          <w:rFonts w:ascii="Arial" w:eastAsia="SimSun" w:hAnsi="Arial" w:cs="Arial"/>
          <w:sz w:val="22"/>
          <w:szCs w:val="22"/>
          <w:lang w:val="fr-FR"/>
        </w:rPr>
        <w:t xml:space="preserve"> rapports </w:t>
      </w:r>
      <w:r>
        <w:rPr>
          <w:rFonts w:ascii="Arial" w:eastAsia="SimSun" w:hAnsi="Arial" w:cs="Arial"/>
          <w:sz w:val="22"/>
          <w:szCs w:val="22"/>
          <w:lang w:val="fr-FR"/>
        </w:rPr>
        <w:t xml:space="preserve">sur une base régionale </w:t>
      </w:r>
      <w:r w:rsidRPr="00EB3A23">
        <w:rPr>
          <w:rFonts w:ascii="Arial" w:eastAsia="SimSun" w:hAnsi="Arial" w:cs="Arial"/>
          <w:sz w:val="22"/>
          <w:szCs w:val="22"/>
          <w:lang w:val="fr-FR"/>
        </w:rPr>
        <w:t xml:space="preserve">et à la rédaction de rapports axés sur les résultats, </w:t>
      </w:r>
      <w:r>
        <w:rPr>
          <w:rFonts w:ascii="Arial" w:eastAsia="SimSun" w:hAnsi="Arial" w:cs="Arial"/>
          <w:sz w:val="22"/>
          <w:szCs w:val="22"/>
          <w:lang w:val="fr-FR"/>
        </w:rPr>
        <w:t>et</w:t>
      </w:r>
      <w:r w:rsidRPr="00EB3A23">
        <w:rPr>
          <w:rFonts w:ascii="Arial" w:eastAsia="SimSun" w:hAnsi="Arial" w:cs="Arial"/>
          <w:sz w:val="22"/>
          <w:szCs w:val="22"/>
          <w:lang w:val="fr-FR"/>
        </w:rPr>
        <w:t xml:space="preserve"> des progrès</w:t>
      </w:r>
      <w:r>
        <w:rPr>
          <w:rFonts w:ascii="Arial" w:eastAsia="SimSun" w:hAnsi="Arial" w:cs="Arial"/>
          <w:sz w:val="22"/>
          <w:szCs w:val="22"/>
          <w:lang w:val="fr-FR"/>
        </w:rPr>
        <w:t xml:space="preserve"> réalisés</w:t>
      </w:r>
      <w:r w:rsidRPr="00EB3A23">
        <w:rPr>
          <w:rFonts w:ascii="Arial" w:eastAsia="SimSun" w:hAnsi="Arial" w:cs="Arial"/>
          <w:sz w:val="22"/>
          <w:szCs w:val="22"/>
          <w:lang w:val="fr-FR"/>
        </w:rPr>
        <w:t xml:space="preserve"> dans le processus consultatif concernant la réflexion globale sur les mécanismes d</w:t>
      </w:r>
      <w:r w:rsidR="008E532B">
        <w:rPr>
          <w:rFonts w:ascii="Arial" w:eastAsia="SimSun" w:hAnsi="Arial" w:cs="Arial"/>
          <w:sz w:val="22"/>
          <w:szCs w:val="22"/>
          <w:lang w:val="fr-FR"/>
        </w:rPr>
        <w:t>’</w:t>
      </w:r>
      <w:r w:rsidRPr="00EB3A23">
        <w:rPr>
          <w:rFonts w:ascii="Arial" w:eastAsia="SimSun" w:hAnsi="Arial" w:cs="Arial"/>
          <w:sz w:val="22"/>
          <w:szCs w:val="22"/>
          <w:lang w:val="fr-FR"/>
        </w:rPr>
        <w:t>inscription. Elle a souligné l</w:t>
      </w:r>
      <w:r w:rsidR="008E532B">
        <w:rPr>
          <w:rFonts w:ascii="Arial" w:eastAsia="SimSun" w:hAnsi="Arial" w:cs="Arial"/>
          <w:sz w:val="22"/>
          <w:szCs w:val="22"/>
          <w:lang w:val="fr-FR"/>
        </w:rPr>
        <w:t>’</w:t>
      </w:r>
      <w:r w:rsidRPr="00EB3A23">
        <w:rPr>
          <w:rFonts w:ascii="Arial" w:eastAsia="SimSun" w:hAnsi="Arial" w:cs="Arial"/>
          <w:sz w:val="22"/>
          <w:szCs w:val="22"/>
          <w:lang w:val="fr-FR"/>
        </w:rPr>
        <w:t>importance qu</w:t>
      </w:r>
      <w:r w:rsidR="008E532B">
        <w:rPr>
          <w:rFonts w:ascii="Arial" w:eastAsia="SimSun" w:hAnsi="Arial" w:cs="Arial"/>
          <w:sz w:val="22"/>
          <w:szCs w:val="22"/>
          <w:lang w:val="fr-FR"/>
        </w:rPr>
        <w:t>’</w:t>
      </w:r>
      <w:r w:rsidRPr="00EB3A23">
        <w:rPr>
          <w:rFonts w:ascii="Arial" w:eastAsia="SimSun" w:hAnsi="Arial" w:cs="Arial"/>
          <w:sz w:val="22"/>
          <w:szCs w:val="22"/>
          <w:lang w:val="fr-FR"/>
        </w:rPr>
        <w:t>elle attach</w:t>
      </w:r>
      <w:r>
        <w:rPr>
          <w:rFonts w:ascii="Arial" w:eastAsia="SimSun" w:hAnsi="Arial" w:cs="Arial"/>
          <w:sz w:val="22"/>
          <w:szCs w:val="22"/>
          <w:lang w:val="fr-FR"/>
        </w:rPr>
        <w:t>e</w:t>
      </w:r>
      <w:r w:rsidRPr="003E0376">
        <w:rPr>
          <w:rFonts w:ascii="Arial" w:eastAsia="SimSun" w:hAnsi="Arial" w:cs="Arial"/>
          <w:sz w:val="22"/>
          <w:szCs w:val="22"/>
          <w:lang w:val="fr-FR"/>
        </w:rPr>
        <w:t xml:space="preserve"> à la mise en œuvre de mécanismes efficaces </w:t>
      </w:r>
      <w:r>
        <w:rPr>
          <w:rFonts w:ascii="Arial" w:eastAsia="SimSun" w:hAnsi="Arial" w:cs="Arial"/>
          <w:sz w:val="22"/>
          <w:szCs w:val="22"/>
          <w:lang w:val="fr-FR"/>
        </w:rPr>
        <w:t xml:space="preserve">qui </w:t>
      </w:r>
      <w:r w:rsidRPr="003E0376">
        <w:rPr>
          <w:rFonts w:ascii="Arial" w:eastAsia="SimSun" w:hAnsi="Arial" w:cs="Arial"/>
          <w:sz w:val="22"/>
          <w:szCs w:val="22"/>
          <w:lang w:val="fr-FR"/>
        </w:rPr>
        <w:t>int</w:t>
      </w:r>
      <w:r>
        <w:rPr>
          <w:rFonts w:ascii="Arial" w:eastAsia="SimSun" w:hAnsi="Arial" w:cs="Arial"/>
          <w:sz w:val="22"/>
          <w:szCs w:val="22"/>
          <w:lang w:val="fr-FR"/>
        </w:rPr>
        <w:t>ègrent</w:t>
      </w:r>
      <w:r w:rsidRPr="003E0376">
        <w:rPr>
          <w:rFonts w:ascii="Arial" w:eastAsia="SimSun" w:hAnsi="Arial" w:cs="Arial"/>
          <w:sz w:val="22"/>
          <w:szCs w:val="22"/>
          <w:lang w:val="fr-FR"/>
        </w:rPr>
        <w:t xml:space="preserve"> le patrimoine immatériel et ses </w:t>
      </w:r>
      <w:r>
        <w:rPr>
          <w:rFonts w:ascii="Arial" w:eastAsia="SimSun" w:hAnsi="Arial" w:cs="Arial"/>
          <w:sz w:val="22"/>
          <w:szCs w:val="22"/>
          <w:lang w:val="fr-FR"/>
        </w:rPr>
        <w:t>détenteurs</w:t>
      </w:r>
      <w:r w:rsidRPr="003E0376">
        <w:rPr>
          <w:rFonts w:ascii="Arial" w:eastAsia="SimSun" w:hAnsi="Arial" w:cs="Arial"/>
          <w:sz w:val="22"/>
          <w:szCs w:val="22"/>
          <w:lang w:val="fr-FR"/>
        </w:rPr>
        <w:t xml:space="preserve">, </w:t>
      </w:r>
      <w:r>
        <w:rPr>
          <w:rFonts w:ascii="Arial" w:eastAsia="SimSun" w:hAnsi="Arial" w:cs="Arial"/>
          <w:sz w:val="22"/>
          <w:szCs w:val="22"/>
          <w:lang w:val="fr-FR"/>
        </w:rPr>
        <w:t xml:space="preserve">et au sein desquels </w:t>
      </w:r>
      <w:r w:rsidRPr="003E0376">
        <w:rPr>
          <w:rFonts w:ascii="Arial" w:eastAsia="SimSun" w:hAnsi="Arial" w:cs="Arial"/>
          <w:sz w:val="22"/>
          <w:szCs w:val="22"/>
          <w:lang w:val="fr-FR"/>
        </w:rPr>
        <w:t>l</w:t>
      </w:r>
      <w:r w:rsidR="008E532B">
        <w:rPr>
          <w:rFonts w:ascii="Arial" w:eastAsia="SimSun" w:hAnsi="Arial" w:cs="Arial"/>
          <w:sz w:val="22"/>
          <w:szCs w:val="22"/>
          <w:lang w:val="fr-FR"/>
        </w:rPr>
        <w:t>’</w:t>
      </w:r>
      <w:r w:rsidRPr="003E0376">
        <w:rPr>
          <w:rFonts w:ascii="Arial" w:eastAsia="SimSun" w:hAnsi="Arial" w:cs="Arial"/>
          <w:sz w:val="22"/>
          <w:szCs w:val="22"/>
          <w:lang w:val="fr-FR"/>
        </w:rPr>
        <w:t>accent est mis sur la paix, le développement durable, les énergies vertes</w:t>
      </w:r>
      <w:r>
        <w:rPr>
          <w:rFonts w:ascii="Arial" w:eastAsia="SimSun" w:hAnsi="Arial" w:cs="Arial"/>
          <w:sz w:val="22"/>
          <w:szCs w:val="22"/>
          <w:lang w:val="fr-FR"/>
        </w:rPr>
        <w:t xml:space="preserve"> et</w:t>
      </w:r>
      <w:r w:rsidRPr="003E0376">
        <w:rPr>
          <w:rFonts w:ascii="Arial" w:eastAsia="SimSun" w:hAnsi="Arial" w:cs="Arial"/>
          <w:sz w:val="22"/>
          <w:szCs w:val="22"/>
          <w:lang w:val="fr-FR"/>
        </w:rPr>
        <w:t xml:space="preserve"> la protection des écosystèmes, ainsi que sur l</w:t>
      </w:r>
      <w:r w:rsidR="008E532B">
        <w:rPr>
          <w:rFonts w:ascii="Arial" w:eastAsia="SimSun" w:hAnsi="Arial" w:cs="Arial"/>
          <w:sz w:val="22"/>
          <w:szCs w:val="22"/>
          <w:lang w:val="fr-FR"/>
        </w:rPr>
        <w:t>’</w:t>
      </w:r>
      <w:r w:rsidRPr="003E0376">
        <w:rPr>
          <w:rFonts w:ascii="Arial" w:eastAsia="SimSun" w:hAnsi="Arial" w:cs="Arial"/>
          <w:sz w:val="22"/>
          <w:szCs w:val="22"/>
          <w:lang w:val="fr-FR"/>
        </w:rPr>
        <w:t>éducation formelle et non formelle. L</w:t>
      </w:r>
      <w:r w:rsidR="008E532B">
        <w:rPr>
          <w:rFonts w:ascii="Arial" w:eastAsia="SimSun" w:hAnsi="Arial" w:cs="Arial"/>
          <w:sz w:val="22"/>
          <w:szCs w:val="22"/>
          <w:lang w:val="fr-FR"/>
        </w:rPr>
        <w:t>’</w:t>
      </w:r>
      <w:r w:rsidRPr="003E0376">
        <w:rPr>
          <w:rFonts w:ascii="Arial" w:eastAsia="SimSun" w:hAnsi="Arial" w:cs="Arial"/>
          <w:sz w:val="22"/>
          <w:szCs w:val="22"/>
          <w:lang w:val="fr-FR"/>
        </w:rPr>
        <w:t xml:space="preserve">Assemblée </w:t>
      </w:r>
      <w:r>
        <w:rPr>
          <w:rFonts w:ascii="Arial" w:eastAsia="SimSun" w:hAnsi="Arial" w:cs="Arial"/>
          <w:sz w:val="22"/>
          <w:szCs w:val="22"/>
          <w:lang w:val="fr-FR"/>
        </w:rPr>
        <w:t>était</w:t>
      </w:r>
      <w:r w:rsidRPr="003E0376">
        <w:rPr>
          <w:rFonts w:ascii="Arial" w:eastAsia="SimSun" w:hAnsi="Arial" w:cs="Arial"/>
          <w:sz w:val="22"/>
          <w:szCs w:val="22"/>
          <w:lang w:val="fr-FR"/>
        </w:rPr>
        <w:t xml:space="preserve"> réunie dans </w:t>
      </w:r>
      <w:r>
        <w:rPr>
          <w:rFonts w:ascii="Arial" w:eastAsia="SimSun" w:hAnsi="Arial" w:cs="Arial"/>
          <w:sz w:val="22"/>
          <w:szCs w:val="22"/>
          <w:lang w:val="fr-FR"/>
        </w:rPr>
        <w:t xml:space="preserve">le lourd </w:t>
      </w:r>
      <w:r w:rsidRPr="003E0376">
        <w:rPr>
          <w:rFonts w:ascii="Arial" w:eastAsia="SimSun" w:hAnsi="Arial" w:cs="Arial"/>
          <w:sz w:val="22"/>
          <w:szCs w:val="22"/>
          <w:lang w:val="fr-FR"/>
        </w:rPr>
        <w:t xml:space="preserve">contexte généré par </w:t>
      </w:r>
      <w:r w:rsidR="006D41D6">
        <w:rPr>
          <w:rFonts w:ascii="Arial" w:eastAsia="SimSun" w:hAnsi="Arial" w:cs="Arial"/>
          <w:sz w:val="22"/>
          <w:szCs w:val="22"/>
          <w:lang w:val="fr-FR"/>
        </w:rPr>
        <w:t>la guerre</w:t>
      </w:r>
      <w:r w:rsidRPr="003E0376">
        <w:rPr>
          <w:rFonts w:ascii="Arial" w:eastAsia="SimSun" w:hAnsi="Arial" w:cs="Arial"/>
          <w:sz w:val="22"/>
          <w:szCs w:val="22"/>
          <w:lang w:val="fr-FR"/>
        </w:rPr>
        <w:t xml:space="preserve"> en Ukraine, ce qui montr</w:t>
      </w:r>
      <w:r>
        <w:rPr>
          <w:rFonts w:ascii="Arial" w:eastAsia="SimSun" w:hAnsi="Arial" w:cs="Arial"/>
          <w:sz w:val="22"/>
          <w:szCs w:val="22"/>
          <w:lang w:val="fr-FR"/>
        </w:rPr>
        <w:t xml:space="preserve">ait </w:t>
      </w:r>
      <w:r w:rsidRPr="003E0376">
        <w:rPr>
          <w:rFonts w:ascii="Arial" w:eastAsia="SimSun" w:hAnsi="Arial" w:cs="Arial"/>
          <w:sz w:val="22"/>
          <w:szCs w:val="22"/>
          <w:lang w:val="fr-FR"/>
        </w:rPr>
        <w:t xml:space="preserve">clairement le lien indéniable entre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E0376">
        <w:rPr>
          <w:rFonts w:ascii="Arial" w:eastAsia="SimSun" w:hAnsi="Arial" w:cs="Arial"/>
          <w:sz w:val="22"/>
          <w:szCs w:val="22"/>
          <w:lang w:val="fr-FR"/>
        </w:rPr>
        <w:t xml:space="preserve">et la protection de la vie et du bien-être de ses </w:t>
      </w:r>
      <w:r>
        <w:rPr>
          <w:rFonts w:ascii="Arial" w:eastAsia="SimSun" w:hAnsi="Arial" w:cs="Arial"/>
          <w:sz w:val="22"/>
          <w:szCs w:val="22"/>
          <w:lang w:val="fr-FR"/>
        </w:rPr>
        <w:t>détenteurs</w:t>
      </w:r>
      <w:r w:rsidRPr="003E0376">
        <w:rPr>
          <w:rFonts w:ascii="Arial" w:eastAsia="SimSun" w:hAnsi="Arial" w:cs="Arial"/>
          <w:sz w:val="22"/>
          <w:szCs w:val="22"/>
          <w:lang w:val="fr-FR"/>
        </w:rPr>
        <w:t>. Dans ce contexte, la délégation a salué la récente décision prise par le Comité, lors d</w:t>
      </w:r>
      <w:r w:rsidR="008E532B">
        <w:rPr>
          <w:rFonts w:ascii="Arial" w:eastAsia="SimSun" w:hAnsi="Arial" w:cs="Arial"/>
          <w:sz w:val="22"/>
          <w:szCs w:val="22"/>
          <w:lang w:val="fr-FR"/>
        </w:rPr>
        <w:t>’</w:t>
      </w:r>
      <w:r w:rsidRPr="003E0376">
        <w:rPr>
          <w:rFonts w:ascii="Arial" w:eastAsia="SimSun" w:hAnsi="Arial" w:cs="Arial"/>
          <w:sz w:val="22"/>
          <w:szCs w:val="22"/>
          <w:lang w:val="fr-FR"/>
        </w:rPr>
        <w:t>une session extraordinaire, d</w:t>
      </w:r>
      <w:r w:rsidR="008E532B">
        <w:rPr>
          <w:rFonts w:ascii="Arial" w:eastAsia="SimSun" w:hAnsi="Arial" w:cs="Arial"/>
          <w:sz w:val="22"/>
          <w:szCs w:val="22"/>
          <w:lang w:val="fr-FR"/>
        </w:rPr>
        <w:t>’</w:t>
      </w:r>
      <w:r w:rsidRPr="003E0376">
        <w:rPr>
          <w:rFonts w:ascii="Arial" w:eastAsia="SimSun" w:hAnsi="Arial" w:cs="Arial"/>
          <w:sz w:val="22"/>
          <w:szCs w:val="22"/>
          <w:lang w:val="fr-FR"/>
        </w:rPr>
        <w:t>inscrire la</w:t>
      </w:r>
      <w:r>
        <w:rPr>
          <w:rFonts w:ascii="Arial" w:eastAsia="SimSun" w:hAnsi="Arial" w:cs="Arial"/>
          <w:sz w:val="22"/>
          <w:szCs w:val="22"/>
          <w:lang w:val="fr-FR"/>
        </w:rPr>
        <w:t xml:space="preserve"> c</w:t>
      </w:r>
      <w:r w:rsidRPr="00BF4BDA">
        <w:rPr>
          <w:rFonts w:ascii="Arial" w:eastAsia="SimSun" w:hAnsi="Arial" w:cs="Arial"/>
          <w:sz w:val="22"/>
          <w:szCs w:val="22"/>
          <w:lang w:val="fr-FR"/>
        </w:rPr>
        <w:t xml:space="preserve">ulture de la </w:t>
      </w:r>
      <w:r>
        <w:rPr>
          <w:rFonts w:ascii="Arial" w:eastAsia="SimSun" w:hAnsi="Arial" w:cs="Arial"/>
          <w:sz w:val="22"/>
          <w:szCs w:val="22"/>
          <w:lang w:val="fr-FR"/>
        </w:rPr>
        <w:t xml:space="preserve">préparation du bortsch </w:t>
      </w:r>
      <w:r w:rsidRPr="00BF4BDA">
        <w:rPr>
          <w:rFonts w:ascii="Arial" w:eastAsia="SimSun" w:hAnsi="Arial" w:cs="Arial"/>
          <w:sz w:val="22"/>
          <w:szCs w:val="22"/>
          <w:lang w:val="fr-FR"/>
        </w:rPr>
        <w:t>ukrainien</w:t>
      </w:r>
      <w:r w:rsidRPr="003E0376">
        <w:rPr>
          <w:rFonts w:ascii="Arial" w:eastAsia="SimSun" w:hAnsi="Arial" w:cs="Arial"/>
          <w:sz w:val="22"/>
          <w:szCs w:val="22"/>
          <w:lang w:val="fr-FR"/>
        </w:rPr>
        <w:t xml:space="preserve"> sur la Liste de sauvegarde urgente.</w:t>
      </w:r>
    </w:p>
    <w:p w14:paraId="5E1AA999" w14:textId="142BBE91" w:rsidR="00D9653F" w:rsidRPr="0035363F"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35363F">
        <w:rPr>
          <w:rFonts w:ascii="Arial" w:eastAsia="SimSun" w:hAnsi="Arial" w:cs="Arial"/>
          <w:sz w:val="22"/>
          <w:szCs w:val="22"/>
          <w:lang w:val="fr-FR"/>
        </w:rPr>
        <w:t xml:space="preserve">La délégation du </w:t>
      </w:r>
      <w:r w:rsidRPr="0035363F">
        <w:rPr>
          <w:rFonts w:ascii="Arial" w:eastAsia="SimSun" w:hAnsi="Arial" w:cs="Arial"/>
          <w:b/>
          <w:bCs/>
          <w:sz w:val="22"/>
          <w:szCs w:val="22"/>
          <w:lang w:val="fr-FR"/>
        </w:rPr>
        <w:t>Viet</w:t>
      </w:r>
      <w:r>
        <w:rPr>
          <w:rFonts w:ascii="Arial" w:eastAsia="SimSun" w:hAnsi="Arial" w:cs="Arial"/>
          <w:b/>
          <w:bCs/>
          <w:sz w:val="22"/>
          <w:szCs w:val="22"/>
          <w:lang w:val="fr-FR"/>
        </w:rPr>
        <w:t> </w:t>
      </w:r>
      <w:r w:rsidRPr="0035363F">
        <w:rPr>
          <w:rFonts w:ascii="Arial" w:eastAsia="SimSun" w:hAnsi="Arial" w:cs="Arial"/>
          <w:b/>
          <w:bCs/>
          <w:sz w:val="22"/>
          <w:szCs w:val="22"/>
          <w:lang w:val="fr-FR"/>
        </w:rPr>
        <w:t>Nam</w:t>
      </w:r>
      <w:r w:rsidRPr="0035363F">
        <w:rPr>
          <w:rFonts w:ascii="Arial" w:eastAsia="SimSun" w:hAnsi="Arial" w:cs="Arial"/>
          <w:sz w:val="22"/>
          <w:szCs w:val="22"/>
          <w:lang w:val="fr-FR"/>
        </w:rPr>
        <w:t xml:space="preserve"> a félicité la Présidente et les Vice-Président</w:t>
      </w:r>
      <w:r>
        <w:rPr>
          <w:rFonts w:ascii="Arial" w:eastAsia="SimSun" w:hAnsi="Arial" w:cs="Arial"/>
          <w:sz w:val="22"/>
          <w:szCs w:val="22"/>
          <w:lang w:val="fr-FR"/>
        </w:rPr>
        <w:t>(e)</w:t>
      </w:r>
      <w:r w:rsidRPr="0035363F">
        <w:rPr>
          <w:rFonts w:ascii="Arial" w:eastAsia="SimSun" w:hAnsi="Arial" w:cs="Arial"/>
          <w:sz w:val="22"/>
          <w:szCs w:val="22"/>
          <w:lang w:val="fr-FR"/>
        </w:rPr>
        <w:t xml:space="preserve">s et a remercié les membres du Comité pour leur travail efficace dans </w:t>
      </w:r>
      <w:r>
        <w:rPr>
          <w:rFonts w:ascii="Arial" w:eastAsia="SimSun" w:hAnsi="Arial" w:cs="Arial"/>
          <w:sz w:val="22"/>
          <w:szCs w:val="22"/>
          <w:lang w:val="fr-FR"/>
        </w:rPr>
        <w:t>l</w:t>
      </w:r>
      <w:r w:rsidRPr="0035363F">
        <w:rPr>
          <w:rFonts w:ascii="Arial" w:eastAsia="SimSun" w:hAnsi="Arial" w:cs="Arial"/>
          <w:sz w:val="22"/>
          <w:szCs w:val="22"/>
          <w:lang w:val="fr-FR"/>
        </w:rPr>
        <w:t>es circonstances sans précédent de la COVID</w:t>
      </w:r>
      <w:r>
        <w:rPr>
          <w:rFonts w:ascii="Arial" w:eastAsia="SimSun" w:hAnsi="Arial" w:cs="Arial"/>
          <w:sz w:val="22"/>
          <w:szCs w:val="22"/>
          <w:lang w:val="fr-FR"/>
        </w:rPr>
        <w:noBreakHyphen/>
      </w:r>
      <w:r w:rsidRPr="0035363F">
        <w:rPr>
          <w:rFonts w:ascii="Arial" w:eastAsia="SimSun" w:hAnsi="Arial" w:cs="Arial"/>
          <w:sz w:val="22"/>
          <w:szCs w:val="22"/>
          <w:lang w:val="fr-FR"/>
        </w:rPr>
        <w:t xml:space="preserve">19. </w:t>
      </w:r>
      <w:r>
        <w:rPr>
          <w:rFonts w:ascii="Arial" w:eastAsia="SimSun" w:hAnsi="Arial" w:cs="Arial"/>
          <w:sz w:val="22"/>
          <w:szCs w:val="22"/>
          <w:lang w:val="fr-FR"/>
        </w:rPr>
        <w:t>L</w:t>
      </w:r>
      <w:r w:rsidR="008E532B">
        <w:rPr>
          <w:rFonts w:ascii="Arial" w:eastAsia="SimSun" w:hAnsi="Arial" w:cs="Arial"/>
          <w:sz w:val="22"/>
          <w:szCs w:val="22"/>
          <w:lang w:val="fr-FR"/>
        </w:rPr>
        <w:t>’</w:t>
      </w:r>
      <w:r>
        <w:rPr>
          <w:rFonts w:ascii="Arial" w:eastAsia="SimSun" w:hAnsi="Arial" w:cs="Arial"/>
          <w:sz w:val="22"/>
          <w:szCs w:val="22"/>
          <w:lang w:val="fr-FR"/>
        </w:rPr>
        <w:t xml:space="preserve">Assemblée </w:t>
      </w:r>
      <w:r w:rsidRPr="0035363F">
        <w:rPr>
          <w:rFonts w:ascii="Arial" w:eastAsia="SimSun" w:hAnsi="Arial" w:cs="Arial"/>
          <w:sz w:val="22"/>
          <w:szCs w:val="22"/>
          <w:lang w:val="fr-FR"/>
        </w:rPr>
        <w:t xml:space="preserve">pouvait être fière de ce qui avait été </w:t>
      </w:r>
      <w:r>
        <w:rPr>
          <w:rFonts w:ascii="Arial" w:eastAsia="SimSun" w:hAnsi="Arial" w:cs="Arial"/>
          <w:sz w:val="22"/>
          <w:szCs w:val="22"/>
          <w:lang w:val="fr-FR"/>
        </w:rPr>
        <w:t xml:space="preserve">accompli </w:t>
      </w:r>
      <w:r w:rsidRPr="0035363F">
        <w:rPr>
          <w:rFonts w:ascii="Arial" w:eastAsia="SimSun" w:hAnsi="Arial" w:cs="Arial"/>
          <w:sz w:val="22"/>
          <w:szCs w:val="22"/>
          <w:lang w:val="fr-FR"/>
        </w:rPr>
        <w:t>pour promouvoir les objectifs de la Convention, encourager et s</w:t>
      </w:r>
      <w:r>
        <w:rPr>
          <w:rFonts w:ascii="Arial" w:eastAsia="SimSun" w:hAnsi="Arial" w:cs="Arial"/>
          <w:sz w:val="22"/>
          <w:szCs w:val="22"/>
          <w:lang w:val="fr-FR"/>
        </w:rPr>
        <w:t>uivre</w:t>
      </w:r>
      <w:r w:rsidRPr="0035363F">
        <w:rPr>
          <w:rFonts w:ascii="Arial" w:eastAsia="SimSun" w:hAnsi="Arial" w:cs="Arial"/>
          <w:sz w:val="22"/>
          <w:szCs w:val="22"/>
          <w:lang w:val="fr-FR"/>
        </w:rPr>
        <w:t xml:space="preserve"> sa mise en œuvre, et fournir des orientations, </w:t>
      </w:r>
      <w:r>
        <w:rPr>
          <w:rFonts w:ascii="Arial" w:eastAsia="SimSun" w:hAnsi="Arial" w:cs="Arial"/>
          <w:sz w:val="22"/>
          <w:szCs w:val="22"/>
          <w:lang w:val="fr-FR"/>
        </w:rPr>
        <w:t>pour consolider</w:t>
      </w:r>
      <w:r w:rsidRPr="0035363F">
        <w:rPr>
          <w:rFonts w:ascii="Arial" w:eastAsia="SimSun" w:hAnsi="Arial" w:cs="Arial"/>
          <w:sz w:val="22"/>
          <w:szCs w:val="22"/>
          <w:lang w:val="fr-FR"/>
        </w:rPr>
        <w:t xml:space="preserve"> le programme de renforcement des capacités, notamment les progrès marquants concernant la réflexion globale sur les mécanismes d</w:t>
      </w:r>
      <w:r w:rsidR="008E532B">
        <w:rPr>
          <w:rFonts w:ascii="Arial" w:eastAsia="SimSun" w:hAnsi="Arial" w:cs="Arial"/>
          <w:sz w:val="22"/>
          <w:szCs w:val="22"/>
          <w:lang w:val="fr-FR"/>
        </w:rPr>
        <w:t>’</w:t>
      </w:r>
      <w:r w:rsidRPr="0035363F">
        <w:rPr>
          <w:rFonts w:ascii="Arial" w:eastAsia="SimSun" w:hAnsi="Arial" w:cs="Arial"/>
          <w:sz w:val="22"/>
          <w:szCs w:val="22"/>
          <w:lang w:val="fr-FR"/>
        </w:rPr>
        <w:t xml:space="preserve">inscription, et pour avoir mis en œuvre avec succès le mécanisme réformé de </w:t>
      </w:r>
      <w:r>
        <w:rPr>
          <w:rFonts w:ascii="Arial" w:eastAsia="SimSun" w:hAnsi="Arial" w:cs="Arial"/>
          <w:sz w:val="22"/>
          <w:szCs w:val="22"/>
          <w:lang w:val="fr-FR"/>
        </w:rPr>
        <w:t xml:space="preserve">soumission </w:t>
      </w:r>
      <w:r w:rsidRPr="0035363F">
        <w:rPr>
          <w:rFonts w:ascii="Arial" w:eastAsia="SimSun" w:hAnsi="Arial" w:cs="Arial"/>
          <w:sz w:val="22"/>
          <w:szCs w:val="22"/>
          <w:lang w:val="fr-FR"/>
        </w:rPr>
        <w:t>de</w:t>
      </w:r>
      <w:r>
        <w:rPr>
          <w:rFonts w:ascii="Arial" w:eastAsia="SimSun" w:hAnsi="Arial" w:cs="Arial"/>
          <w:sz w:val="22"/>
          <w:szCs w:val="22"/>
          <w:lang w:val="fr-FR"/>
        </w:rPr>
        <w:t>s</w:t>
      </w:r>
      <w:r w:rsidRPr="0035363F">
        <w:rPr>
          <w:rFonts w:ascii="Arial" w:eastAsia="SimSun" w:hAnsi="Arial" w:cs="Arial"/>
          <w:sz w:val="22"/>
          <w:szCs w:val="22"/>
          <w:lang w:val="fr-FR"/>
        </w:rPr>
        <w:t xml:space="preserve"> rapports périodiques. </w:t>
      </w:r>
      <w:r>
        <w:rPr>
          <w:rFonts w:ascii="Arial" w:eastAsia="SimSun" w:hAnsi="Arial" w:cs="Arial"/>
          <w:sz w:val="22"/>
          <w:szCs w:val="22"/>
          <w:lang w:val="fr-FR"/>
        </w:rPr>
        <w:t xml:space="preserve">La </w:t>
      </w:r>
      <w:r w:rsidRPr="009F3E95">
        <w:rPr>
          <w:rFonts w:ascii="Arial" w:eastAsia="SimSun" w:hAnsi="Arial" w:cs="Arial"/>
          <w:sz w:val="22"/>
          <w:szCs w:val="22"/>
          <w:lang w:val="fr-FR"/>
        </w:rPr>
        <w:t>délégation</w:t>
      </w:r>
      <w:r w:rsidRPr="0035363F">
        <w:rPr>
          <w:rFonts w:ascii="Arial" w:eastAsia="SimSun" w:hAnsi="Arial" w:cs="Arial"/>
          <w:sz w:val="22"/>
          <w:szCs w:val="22"/>
          <w:lang w:val="fr-FR"/>
        </w:rPr>
        <w:t xml:space="preserve"> a également salué les efforts déployés par le Secrétariat pour assurer la poursuite des activités dans une situation aussi difficile.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5363F">
        <w:rPr>
          <w:rFonts w:ascii="Arial" w:eastAsia="SimSun" w:hAnsi="Arial" w:cs="Arial"/>
          <w:sz w:val="22"/>
          <w:szCs w:val="22"/>
          <w:lang w:val="fr-FR"/>
        </w:rPr>
        <w:t>n</w:t>
      </w:r>
      <w:r w:rsidR="008E532B">
        <w:rPr>
          <w:rFonts w:ascii="Arial" w:eastAsia="SimSun" w:hAnsi="Arial" w:cs="Arial"/>
          <w:sz w:val="22"/>
          <w:szCs w:val="22"/>
          <w:lang w:val="fr-FR"/>
        </w:rPr>
        <w:t>’</w:t>
      </w:r>
      <w:r>
        <w:rPr>
          <w:rFonts w:ascii="Arial" w:eastAsia="SimSun" w:hAnsi="Arial" w:cs="Arial"/>
          <w:sz w:val="22"/>
          <w:szCs w:val="22"/>
          <w:lang w:val="fr-FR"/>
        </w:rPr>
        <w:t>était</w:t>
      </w:r>
      <w:r w:rsidRPr="0035363F">
        <w:rPr>
          <w:rFonts w:ascii="Arial" w:eastAsia="SimSun" w:hAnsi="Arial" w:cs="Arial"/>
          <w:sz w:val="22"/>
          <w:szCs w:val="22"/>
          <w:lang w:val="fr-FR"/>
        </w:rPr>
        <w:t xml:space="preserve"> pas seulement une source vitale pour la diversité culturelle, la créativité, le dialogue interculturel et la cohésion sociale, il </w:t>
      </w:r>
      <w:r>
        <w:rPr>
          <w:rFonts w:ascii="Arial" w:eastAsia="SimSun" w:hAnsi="Arial" w:cs="Arial"/>
          <w:sz w:val="22"/>
          <w:szCs w:val="22"/>
          <w:lang w:val="fr-FR"/>
        </w:rPr>
        <w:t>était</w:t>
      </w:r>
      <w:r w:rsidRPr="0035363F">
        <w:rPr>
          <w:rFonts w:ascii="Arial" w:eastAsia="SimSun" w:hAnsi="Arial" w:cs="Arial"/>
          <w:sz w:val="22"/>
          <w:szCs w:val="22"/>
          <w:lang w:val="fr-FR"/>
        </w:rPr>
        <w:t xml:space="preserve"> aussi un moteur du développement durable et de la résilience. Le Viet</w:t>
      </w:r>
      <w:r>
        <w:rPr>
          <w:rFonts w:ascii="Arial" w:eastAsia="SimSun" w:hAnsi="Arial" w:cs="Arial"/>
          <w:sz w:val="22"/>
          <w:szCs w:val="22"/>
          <w:lang w:val="fr-FR"/>
        </w:rPr>
        <w:t> </w:t>
      </w:r>
      <w:r w:rsidRPr="0035363F">
        <w:rPr>
          <w:rFonts w:ascii="Arial" w:eastAsia="SimSun" w:hAnsi="Arial" w:cs="Arial"/>
          <w:sz w:val="22"/>
          <w:szCs w:val="22"/>
          <w:lang w:val="fr-FR"/>
        </w:rPr>
        <w:t xml:space="preserve">Nam </w:t>
      </w:r>
      <w:r>
        <w:rPr>
          <w:rFonts w:ascii="Arial" w:eastAsia="SimSun" w:hAnsi="Arial" w:cs="Arial"/>
          <w:sz w:val="22"/>
          <w:szCs w:val="22"/>
          <w:lang w:val="fr-FR"/>
        </w:rPr>
        <w:t>était</w:t>
      </w:r>
      <w:r w:rsidRPr="0035363F">
        <w:rPr>
          <w:rFonts w:ascii="Arial" w:eastAsia="SimSun" w:hAnsi="Arial" w:cs="Arial"/>
          <w:sz w:val="22"/>
          <w:szCs w:val="22"/>
          <w:lang w:val="fr-FR"/>
        </w:rPr>
        <w:t xml:space="preserve"> </w:t>
      </w:r>
      <w:r>
        <w:rPr>
          <w:rFonts w:ascii="Arial" w:eastAsia="SimSun" w:hAnsi="Arial" w:cs="Arial"/>
          <w:sz w:val="22"/>
          <w:szCs w:val="22"/>
          <w:lang w:val="fr-FR"/>
        </w:rPr>
        <w:t xml:space="preserve">résolument </w:t>
      </w:r>
      <w:r w:rsidRPr="0035363F">
        <w:rPr>
          <w:rFonts w:ascii="Arial" w:eastAsia="SimSun" w:hAnsi="Arial" w:cs="Arial"/>
          <w:sz w:val="22"/>
          <w:szCs w:val="22"/>
          <w:lang w:val="fr-FR"/>
        </w:rPr>
        <w:t xml:space="preserve">engagé dans la mise en œuvre </w:t>
      </w:r>
      <w:r>
        <w:rPr>
          <w:rFonts w:ascii="Arial" w:eastAsia="SimSun" w:hAnsi="Arial" w:cs="Arial"/>
          <w:sz w:val="22"/>
          <w:szCs w:val="22"/>
          <w:lang w:val="fr-FR"/>
        </w:rPr>
        <w:t>des</w:t>
      </w:r>
      <w:r w:rsidRPr="0035363F">
        <w:rPr>
          <w:rFonts w:ascii="Arial" w:eastAsia="SimSun" w:hAnsi="Arial" w:cs="Arial"/>
          <w:sz w:val="22"/>
          <w:szCs w:val="22"/>
          <w:lang w:val="fr-FR"/>
        </w:rPr>
        <w:t xml:space="preserve"> nobles objectifs de la Convention. Au cours des dernières années, il a</w:t>
      </w:r>
      <w:r>
        <w:rPr>
          <w:rFonts w:ascii="Arial" w:eastAsia="SimSun" w:hAnsi="Arial" w:cs="Arial"/>
          <w:sz w:val="22"/>
          <w:szCs w:val="22"/>
          <w:lang w:val="fr-FR"/>
        </w:rPr>
        <w:t>vait</w:t>
      </w:r>
      <w:r w:rsidRPr="0035363F">
        <w:rPr>
          <w:rFonts w:ascii="Arial" w:eastAsia="SimSun" w:hAnsi="Arial" w:cs="Arial"/>
          <w:sz w:val="22"/>
          <w:szCs w:val="22"/>
          <w:lang w:val="fr-FR"/>
        </w:rPr>
        <w:t xml:space="preserve"> fait de son mieux pour intégrer le contenu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5363F">
        <w:rPr>
          <w:rFonts w:ascii="Arial" w:eastAsia="SimSun" w:hAnsi="Arial" w:cs="Arial"/>
          <w:sz w:val="22"/>
          <w:szCs w:val="22"/>
          <w:lang w:val="fr-FR"/>
        </w:rPr>
        <w:t>dans l</w:t>
      </w:r>
      <w:r>
        <w:rPr>
          <w:rFonts w:ascii="Arial" w:eastAsia="SimSun" w:hAnsi="Arial" w:cs="Arial"/>
          <w:sz w:val="22"/>
          <w:szCs w:val="22"/>
          <w:lang w:val="fr-FR"/>
        </w:rPr>
        <w:t>a loi</w:t>
      </w:r>
      <w:r w:rsidRPr="0035363F">
        <w:rPr>
          <w:rFonts w:ascii="Arial" w:eastAsia="SimSun" w:hAnsi="Arial" w:cs="Arial"/>
          <w:sz w:val="22"/>
          <w:szCs w:val="22"/>
          <w:lang w:val="fr-FR"/>
        </w:rPr>
        <w:t>, le traduisant ainsi dans la réalité. Le Viet</w:t>
      </w:r>
      <w:r>
        <w:rPr>
          <w:rFonts w:ascii="Arial" w:eastAsia="SimSun" w:hAnsi="Arial" w:cs="Arial"/>
          <w:sz w:val="22"/>
          <w:szCs w:val="22"/>
          <w:lang w:val="fr-FR"/>
        </w:rPr>
        <w:t> </w:t>
      </w:r>
      <w:r w:rsidRPr="0035363F">
        <w:rPr>
          <w:rFonts w:ascii="Arial" w:eastAsia="SimSun" w:hAnsi="Arial" w:cs="Arial"/>
          <w:sz w:val="22"/>
          <w:szCs w:val="22"/>
          <w:lang w:val="fr-FR"/>
        </w:rPr>
        <w:t>Nam s</w:t>
      </w:r>
      <w:r w:rsidR="008E532B">
        <w:rPr>
          <w:rFonts w:ascii="Arial" w:eastAsia="SimSun" w:hAnsi="Arial" w:cs="Arial"/>
          <w:sz w:val="22"/>
          <w:szCs w:val="22"/>
          <w:lang w:val="fr-FR"/>
        </w:rPr>
        <w:t>’</w:t>
      </w:r>
      <w:r>
        <w:rPr>
          <w:rFonts w:ascii="Arial" w:eastAsia="SimSun" w:hAnsi="Arial" w:cs="Arial"/>
          <w:sz w:val="22"/>
          <w:szCs w:val="22"/>
          <w:lang w:val="fr-FR"/>
        </w:rPr>
        <w:t>était désormais</w:t>
      </w:r>
      <w:r w:rsidRPr="0035363F">
        <w:rPr>
          <w:rFonts w:ascii="Arial" w:eastAsia="SimSun" w:hAnsi="Arial" w:cs="Arial"/>
          <w:sz w:val="22"/>
          <w:szCs w:val="22"/>
          <w:lang w:val="fr-FR"/>
        </w:rPr>
        <w:t xml:space="preserve"> lancé dans la révision de la loi sur le patrimoine culturel </w:t>
      </w:r>
      <w:r>
        <w:rPr>
          <w:rFonts w:ascii="Arial" w:eastAsia="SimSun" w:hAnsi="Arial" w:cs="Arial"/>
          <w:sz w:val="22"/>
          <w:szCs w:val="22"/>
          <w:lang w:val="fr-FR"/>
        </w:rPr>
        <w:t xml:space="preserve">en vue </w:t>
      </w:r>
      <w:r w:rsidRPr="0035363F">
        <w:rPr>
          <w:rFonts w:ascii="Arial" w:eastAsia="SimSun" w:hAnsi="Arial" w:cs="Arial"/>
          <w:sz w:val="22"/>
          <w:szCs w:val="22"/>
          <w:lang w:val="fr-FR"/>
        </w:rPr>
        <w:t xml:space="preserve">de valoriser le rôle et la contribution des artisans, communautés et propriétaires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5363F">
        <w:rPr>
          <w:rFonts w:ascii="Arial" w:eastAsia="SimSun" w:hAnsi="Arial" w:cs="Arial"/>
          <w:sz w:val="22"/>
          <w:szCs w:val="22"/>
          <w:lang w:val="fr-FR"/>
        </w:rPr>
        <w:t xml:space="preserve">en </w:t>
      </w:r>
      <w:r>
        <w:rPr>
          <w:rFonts w:ascii="Arial" w:eastAsia="SimSun" w:hAnsi="Arial" w:cs="Arial"/>
          <w:sz w:val="22"/>
          <w:szCs w:val="22"/>
          <w:lang w:val="fr-FR"/>
        </w:rPr>
        <w:t>matière</w:t>
      </w:r>
      <w:r w:rsidRPr="0035363F">
        <w:rPr>
          <w:rFonts w:ascii="Arial" w:eastAsia="SimSun" w:hAnsi="Arial" w:cs="Arial"/>
          <w:sz w:val="22"/>
          <w:szCs w:val="22"/>
          <w:lang w:val="fr-FR"/>
        </w:rPr>
        <w:t xml:space="preserve"> de transmission, d</w:t>
      </w:r>
      <w:r>
        <w:rPr>
          <w:rFonts w:ascii="Arial" w:eastAsia="SimSun" w:hAnsi="Arial" w:cs="Arial"/>
          <w:sz w:val="22"/>
          <w:szCs w:val="22"/>
          <w:lang w:val="fr-FR"/>
        </w:rPr>
        <w:t>e réalisation d</w:t>
      </w:r>
      <w:r w:rsidR="008E532B">
        <w:rPr>
          <w:rFonts w:ascii="Arial" w:eastAsia="SimSun" w:hAnsi="Arial" w:cs="Arial"/>
          <w:sz w:val="22"/>
          <w:szCs w:val="22"/>
          <w:lang w:val="fr-FR"/>
        </w:rPr>
        <w:t>’</w:t>
      </w:r>
      <w:r>
        <w:rPr>
          <w:rFonts w:ascii="Arial" w:eastAsia="SimSun" w:hAnsi="Arial" w:cs="Arial"/>
          <w:sz w:val="22"/>
          <w:szCs w:val="22"/>
          <w:lang w:val="fr-FR"/>
        </w:rPr>
        <w:t>i</w:t>
      </w:r>
      <w:r w:rsidRPr="0035363F">
        <w:rPr>
          <w:rFonts w:ascii="Arial" w:eastAsia="SimSun" w:hAnsi="Arial" w:cs="Arial"/>
          <w:sz w:val="22"/>
          <w:szCs w:val="22"/>
          <w:lang w:val="fr-FR"/>
        </w:rPr>
        <w:t>nventaire</w:t>
      </w:r>
      <w:r>
        <w:rPr>
          <w:rFonts w:ascii="Arial" w:eastAsia="SimSun" w:hAnsi="Arial" w:cs="Arial"/>
          <w:sz w:val="22"/>
          <w:szCs w:val="22"/>
          <w:lang w:val="fr-FR"/>
        </w:rPr>
        <w:t>s</w:t>
      </w:r>
      <w:r w:rsidRPr="0035363F">
        <w:rPr>
          <w:rFonts w:ascii="Arial" w:eastAsia="SimSun" w:hAnsi="Arial" w:cs="Arial"/>
          <w:sz w:val="22"/>
          <w:szCs w:val="22"/>
          <w:lang w:val="fr-FR"/>
        </w:rPr>
        <w:t>, d</w:t>
      </w:r>
      <w:r w:rsidR="008E532B">
        <w:rPr>
          <w:rFonts w:ascii="Arial" w:eastAsia="SimSun" w:hAnsi="Arial" w:cs="Arial"/>
          <w:sz w:val="22"/>
          <w:szCs w:val="22"/>
          <w:lang w:val="fr-FR"/>
        </w:rPr>
        <w:t>’</w:t>
      </w:r>
      <w:r w:rsidRPr="0035363F">
        <w:rPr>
          <w:rFonts w:ascii="Arial" w:eastAsia="SimSun" w:hAnsi="Arial" w:cs="Arial"/>
          <w:sz w:val="22"/>
          <w:szCs w:val="22"/>
          <w:lang w:val="fr-FR"/>
        </w:rPr>
        <w:t xml:space="preserve">approche, de documentation et de promotion des valeurs du </w:t>
      </w:r>
      <w:r w:rsidR="00E908E2">
        <w:rPr>
          <w:rFonts w:ascii="Arial" w:eastAsia="SimSun" w:hAnsi="Arial" w:cs="Arial"/>
          <w:bCs/>
          <w:sz w:val="22"/>
          <w:szCs w:val="22"/>
          <w:lang w:val="fr-FR" w:eastAsia="en-US"/>
        </w:rPr>
        <w:t xml:space="preserve">patrimoine culturel </w:t>
      </w:r>
      <w:proofErr w:type="gramStart"/>
      <w:r w:rsidR="00E908E2">
        <w:rPr>
          <w:rFonts w:ascii="Arial" w:eastAsia="SimSun" w:hAnsi="Arial" w:cs="Arial"/>
          <w:bCs/>
          <w:sz w:val="22"/>
          <w:szCs w:val="22"/>
          <w:lang w:val="fr-FR" w:eastAsia="en-US"/>
        </w:rPr>
        <w:t>immatériel</w:t>
      </w:r>
      <w:r w:rsidR="00E908E2" w:rsidRPr="001C722F">
        <w:rPr>
          <w:rFonts w:ascii="Arial" w:eastAsia="SimSun" w:hAnsi="Arial" w:cs="Arial"/>
          <w:bCs/>
          <w:sz w:val="22"/>
          <w:szCs w:val="22"/>
          <w:lang w:val="fr-FR" w:eastAsia="en-US"/>
        </w:rPr>
        <w:t xml:space="preserve"> </w:t>
      </w:r>
      <w:r w:rsidRPr="0035363F">
        <w:rPr>
          <w:rFonts w:ascii="Arial" w:eastAsia="SimSun" w:hAnsi="Arial" w:cs="Arial"/>
          <w:sz w:val="22"/>
          <w:szCs w:val="22"/>
          <w:lang w:val="fr-FR"/>
        </w:rPr>
        <w:t>.</w:t>
      </w:r>
      <w:proofErr w:type="gramEnd"/>
      <w:r w:rsidRPr="0035363F">
        <w:rPr>
          <w:rFonts w:ascii="Arial" w:eastAsia="SimSun" w:hAnsi="Arial" w:cs="Arial"/>
          <w:sz w:val="22"/>
          <w:szCs w:val="22"/>
          <w:lang w:val="fr-FR"/>
        </w:rPr>
        <w:t xml:space="preserve"> </w:t>
      </w:r>
      <w:r>
        <w:rPr>
          <w:rFonts w:ascii="Arial" w:eastAsia="SimSun" w:hAnsi="Arial" w:cs="Arial"/>
          <w:sz w:val="22"/>
          <w:szCs w:val="22"/>
          <w:lang w:val="fr-FR"/>
        </w:rPr>
        <w:t>La loi</w:t>
      </w:r>
      <w:r w:rsidRPr="0035363F">
        <w:rPr>
          <w:rFonts w:ascii="Arial" w:eastAsia="SimSun" w:hAnsi="Arial" w:cs="Arial"/>
          <w:sz w:val="22"/>
          <w:szCs w:val="22"/>
          <w:lang w:val="fr-FR"/>
        </w:rPr>
        <w:t xml:space="preserve"> visait également à mettre l</w:t>
      </w:r>
      <w:r w:rsidR="008E532B">
        <w:rPr>
          <w:rFonts w:ascii="Arial" w:eastAsia="SimSun" w:hAnsi="Arial" w:cs="Arial"/>
          <w:sz w:val="22"/>
          <w:szCs w:val="22"/>
          <w:lang w:val="fr-FR"/>
        </w:rPr>
        <w:t>’</w:t>
      </w:r>
      <w:r w:rsidRPr="0035363F">
        <w:rPr>
          <w:rFonts w:ascii="Arial" w:eastAsia="SimSun" w:hAnsi="Arial" w:cs="Arial"/>
          <w:sz w:val="22"/>
          <w:szCs w:val="22"/>
          <w:lang w:val="fr-FR"/>
        </w:rPr>
        <w:t>accent sur le traitement préférentiel et la reconnaissance des contributions des artisans, notamment par l</w:t>
      </w:r>
      <w:r w:rsidR="008E532B">
        <w:rPr>
          <w:rFonts w:ascii="Arial" w:eastAsia="SimSun" w:hAnsi="Arial" w:cs="Arial"/>
          <w:sz w:val="22"/>
          <w:szCs w:val="22"/>
          <w:lang w:val="fr-FR"/>
        </w:rPr>
        <w:t>’</w:t>
      </w:r>
      <w:r w:rsidRPr="0035363F">
        <w:rPr>
          <w:rFonts w:ascii="Arial" w:eastAsia="SimSun" w:hAnsi="Arial" w:cs="Arial"/>
          <w:sz w:val="22"/>
          <w:szCs w:val="22"/>
          <w:lang w:val="fr-FR"/>
        </w:rPr>
        <w:t xml:space="preserve">attribution de titres, tels que </w:t>
      </w:r>
      <w:r>
        <w:rPr>
          <w:rFonts w:ascii="Arial" w:eastAsia="SimSun" w:hAnsi="Arial" w:cs="Arial"/>
          <w:sz w:val="22"/>
          <w:szCs w:val="22"/>
          <w:lang w:val="fr-FR"/>
        </w:rPr>
        <w:t>« </w:t>
      </w:r>
      <w:r w:rsidRPr="0035363F">
        <w:rPr>
          <w:rFonts w:ascii="Arial" w:eastAsia="SimSun" w:hAnsi="Arial" w:cs="Arial"/>
          <w:sz w:val="22"/>
          <w:szCs w:val="22"/>
          <w:lang w:val="fr-FR"/>
        </w:rPr>
        <w:t>artisans émérites</w:t>
      </w:r>
      <w:r>
        <w:rPr>
          <w:rFonts w:ascii="Arial" w:eastAsia="SimSun" w:hAnsi="Arial" w:cs="Arial"/>
          <w:sz w:val="22"/>
          <w:szCs w:val="22"/>
          <w:lang w:val="fr-FR"/>
        </w:rPr>
        <w:t> »</w:t>
      </w:r>
      <w:r w:rsidRPr="0035363F">
        <w:rPr>
          <w:rFonts w:ascii="Arial" w:eastAsia="SimSun" w:hAnsi="Arial" w:cs="Arial"/>
          <w:sz w:val="22"/>
          <w:szCs w:val="22"/>
          <w:lang w:val="fr-FR"/>
        </w:rPr>
        <w:t xml:space="preserve"> et </w:t>
      </w:r>
      <w:r>
        <w:rPr>
          <w:rFonts w:ascii="Arial" w:eastAsia="SimSun" w:hAnsi="Arial" w:cs="Arial"/>
          <w:sz w:val="22"/>
          <w:szCs w:val="22"/>
          <w:lang w:val="fr-FR"/>
        </w:rPr>
        <w:t>« </w:t>
      </w:r>
      <w:r w:rsidRPr="0035363F">
        <w:rPr>
          <w:rFonts w:ascii="Arial" w:eastAsia="SimSun" w:hAnsi="Arial" w:cs="Arial"/>
          <w:sz w:val="22"/>
          <w:szCs w:val="22"/>
          <w:lang w:val="fr-FR"/>
        </w:rPr>
        <w:t>artisans du peuple</w:t>
      </w:r>
      <w:r>
        <w:rPr>
          <w:rFonts w:ascii="Arial" w:eastAsia="SimSun" w:hAnsi="Arial" w:cs="Arial"/>
          <w:sz w:val="22"/>
          <w:szCs w:val="22"/>
          <w:lang w:val="fr-FR"/>
        </w:rPr>
        <w:t> »</w:t>
      </w:r>
      <w:r w:rsidRPr="0035363F">
        <w:rPr>
          <w:rFonts w:ascii="Arial" w:eastAsia="SimSun" w:hAnsi="Arial" w:cs="Arial"/>
          <w:sz w:val="22"/>
          <w:szCs w:val="22"/>
          <w:lang w:val="fr-FR"/>
        </w:rPr>
        <w:t>, et d</w:t>
      </w:r>
      <w:r w:rsidR="008E532B">
        <w:rPr>
          <w:rFonts w:ascii="Arial" w:eastAsia="SimSun" w:hAnsi="Arial" w:cs="Arial"/>
          <w:sz w:val="22"/>
          <w:szCs w:val="22"/>
          <w:lang w:val="fr-FR"/>
        </w:rPr>
        <w:t>’</w:t>
      </w:r>
      <w:r w:rsidRPr="0035363F">
        <w:rPr>
          <w:rFonts w:ascii="Arial" w:eastAsia="SimSun" w:hAnsi="Arial" w:cs="Arial"/>
          <w:sz w:val="22"/>
          <w:szCs w:val="22"/>
          <w:lang w:val="fr-FR"/>
        </w:rPr>
        <w:t xml:space="preserve">autres formes de soutien pertinentes. Elle visait également à fixer des règles </w:t>
      </w:r>
      <w:r>
        <w:rPr>
          <w:rFonts w:ascii="Arial" w:eastAsia="SimSun" w:hAnsi="Arial" w:cs="Arial"/>
          <w:sz w:val="22"/>
          <w:szCs w:val="22"/>
          <w:lang w:val="fr-FR"/>
        </w:rPr>
        <w:t>en ce qui concerne</w:t>
      </w:r>
      <w:r w:rsidRPr="0035363F">
        <w:rPr>
          <w:rFonts w:ascii="Arial" w:eastAsia="SimSun" w:hAnsi="Arial" w:cs="Arial"/>
          <w:sz w:val="22"/>
          <w:szCs w:val="22"/>
          <w:lang w:val="fr-FR"/>
        </w:rPr>
        <w:t xml:space="preserve"> </w:t>
      </w:r>
      <w:r>
        <w:rPr>
          <w:rFonts w:ascii="Arial" w:eastAsia="SimSun" w:hAnsi="Arial" w:cs="Arial"/>
          <w:sz w:val="22"/>
          <w:szCs w:val="22"/>
          <w:lang w:val="fr-FR"/>
        </w:rPr>
        <w:t>la</w:t>
      </w:r>
      <w:r w:rsidRPr="0035363F">
        <w:rPr>
          <w:rFonts w:ascii="Arial" w:eastAsia="SimSun" w:hAnsi="Arial" w:cs="Arial"/>
          <w:sz w:val="22"/>
          <w:szCs w:val="22"/>
          <w:lang w:val="fr-FR"/>
        </w:rPr>
        <w:t xml:space="preserve"> responsabilité des autorités locales pour la protection du patrimoine inscrit au niveau local et international, reflétant </w:t>
      </w:r>
      <w:r>
        <w:rPr>
          <w:rFonts w:ascii="Arial" w:eastAsia="SimSun" w:hAnsi="Arial" w:cs="Arial"/>
          <w:sz w:val="22"/>
          <w:szCs w:val="22"/>
          <w:lang w:val="fr-FR"/>
        </w:rPr>
        <w:t xml:space="preserve">ainsi </w:t>
      </w:r>
      <w:r w:rsidRPr="0035363F">
        <w:rPr>
          <w:rFonts w:ascii="Arial" w:eastAsia="SimSun" w:hAnsi="Arial" w:cs="Arial"/>
          <w:sz w:val="22"/>
          <w:szCs w:val="22"/>
          <w:lang w:val="fr-FR"/>
        </w:rPr>
        <w:t>les engagements du Viet</w:t>
      </w:r>
      <w:r>
        <w:rPr>
          <w:rFonts w:ascii="Arial" w:eastAsia="SimSun" w:hAnsi="Arial" w:cs="Arial"/>
          <w:sz w:val="22"/>
          <w:szCs w:val="22"/>
          <w:lang w:val="fr-FR"/>
        </w:rPr>
        <w:t> </w:t>
      </w:r>
      <w:r w:rsidRPr="0035363F">
        <w:rPr>
          <w:rFonts w:ascii="Arial" w:eastAsia="SimSun" w:hAnsi="Arial" w:cs="Arial"/>
          <w:sz w:val="22"/>
          <w:szCs w:val="22"/>
          <w:lang w:val="fr-FR"/>
        </w:rPr>
        <w:t>Nam envers l</w:t>
      </w:r>
      <w:r w:rsidR="008E532B">
        <w:rPr>
          <w:rFonts w:ascii="Arial" w:eastAsia="SimSun" w:hAnsi="Arial" w:cs="Arial"/>
          <w:sz w:val="22"/>
          <w:szCs w:val="22"/>
          <w:lang w:val="fr-FR"/>
        </w:rPr>
        <w:t>’</w:t>
      </w:r>
      <w:r w:rsidRPr="0035363F">
        <w:rPr>
          <w:rFonts w:ascii="Arial" w:eastAsia="SimSun" w:hAnsi="Arial" w:cs="Arial"/>
          <w:sz w:val="22"/>
          <w:szCs w:val="22"/>
          <w:lang w:val="fr-FR"/>
        </w:rPr>
        <w:t>UNESCO. Le Viet</w:t>
      </w:r>
      <w:r>
        <w:rPr>
          <w:rFonts w:ascii="Arial" w:eastAsia="SimSun" w:hAnsi="Arial" w:cs="Arial"/>
          <w:sz w:val="22"/>
          <w:szCs w:val="22"/>
          <w:lang w:val="fr-FR"/>
        </w:rPr>
        <w:t> </w:t>
      </w:r>
      <w:r w:rsidRPr="0035363F">
        <w:rPr>
          <w:rFonts w:ascii="Arial" w:eastAsia="SimSun" w:hAnsi="Arial" w:cs="Arial"/>
          <w:sz w:val="22"/>
          <w:szCs w:val="22"/>
          <w:lang w:val="fr-FR"/>
        </w:rPr>
        <w:t xml:space="preserve">Nam avait également entrepris </w:t>
      </w:r>
      <w:r>
        <w:rPr>
          <w:rFonts w:ascii="Arial" w:eastAsia="SimSun" w:hAnsi="Arial" w:cs="Arial"/>
          <w:sz w:val="22"/>
          <w:szCs w:val="22"/>
          <w:lang w:val="fr-FR"/>
        </w:rPr>
        <w:t xml:space="preserve">de mettre en œuvre </w:t>
      </w:r>
      <w:r w:rsidRPr="0035363F">
        <w:rPr>
          <w:rFonts w:ascii="Arial" w:eastAsia="SimSun" w:hAnsi="Arial" w:cs="Arial"/>
          <w:sz w:val="22"/>
          <w:szCs w:val="22"/>
          <w:lang w:val="fr-FR"/>
        </w:rPr>
        <w:t xml:space="preserve">des mesures novatrices de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Pr>
          <w:rFonts w:ascii="Arial" w:eastAsia="SimSun" w:hAnsi="Arial" w:cs="Arial"/>
          <w:sz w:val="22"/>
          <w:szCs w:val="22"/>
          <w:lang w:val="fr-FR"/>
        </w:rPr>
        <w:t>en lien avec</w:t>
      </w:r>
      <w:r w:rsidRPr="0035363F">
        <w:rPr>
          <w:rFonts w:ascii="Arial" w:eastAsia="SimSun" w:hAnsi="Arial" w:cs="Arial"/>
          <w:sz w:val="22"/>
          <w:szCs w:val="22"/>
          <w:lang w:val="fr-FR"/>
        </w:rPr>
        <w:t xml:space="preserve"> l</w:t>
      </w:r>
      <w:r w:rsidR="008E532B">
        <w:rPr>
          <w:rFonts w:ascii="Arial" w:eastAsia="SimSun" w:hAnsi="Arial" w:cs="Arial"/>
          <w:sz w:val="22"/>
          <w:szCs w:val="22"/>
          <w:lang w:val="fr-FR"/>
        </w:rPr>
        <w:t>’</w:t>
      </w:r>
      <w:r w:rsidRPr="0035363F">
        <w:rPr>
          <w:rFonts w:ascii="Arial" w:eastAsia="SimSun" w:hAnsi="Arial" w:cs="Arial"/>
          <w:sz w:val="22"/>
          <w:szCs w:val="22"/>
          <w:lang w:val="fr-FR"/>
        </w:rPr>
        <w:t>éducation, ainsi que diverses mesures visant à sensibiliser les communautés locales et à renforcer l</w:t>
      </w:r>
      <w:r w:rsidR="008E532B">
        <w:rPr>
          <w:rFonts w:ascii="Arial" w:eastAsia="SimSun" w:hAnsi="Arial" w:cs="Arial"/>
          <w:sz w:val="22"/>
          <w:szCs w:val="22"/>
          <w:lang w:val="fr-FR"/>
        </w:rPr>
        <w:t>’</w:t>
      </w:r>
      <w:r w:rsidRPr="0035363F">
        <w:rPr>
          <w:rFonts w:ascii="Arial" w:eastAsia="SimSun" w:hAnsi="Arial" w:cs="Arial"/>
          <w:sz w:val="22"/>
          <w:szCs w:val="22"/>
          <w:lang w:val="fr-FR"/>
        </w:rPr>
        <w:t xml:space="preserve">appropriation de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5363F">
        <w:rPr>
          <w:rFonts w:ascii="Arial" w:eastAsia="SimSun" w:hAnsi="Arial" w:cs="Arial"/>
          <w:sz w:val="22"/>
          <w:szCs w:val="22"/>
          <w:lang w:val="fr-FR"/>
        </w:rPr>
        <w:t>tant par les praticiens que par les communautés. Les ONG accréditées avaient activement contribué à ce processus. À l</w:t>
      </w:r>
      <w:r w:rsidR="008E532B">
        <w:rPr>
          <w:rFonts w:ascii="Arial" w:eastAsia="SimSun" w:hAnsi="Arial" w:cs="Arial"/>
          <w:sz w:val="22"/>
          <w:szCs w:val="22"/>
          <w:lang w:val="fr-FR"/>
        </w:rPr>
        <w:t>’</w:t>
      </w:r>
      <w:r w:rsidRPr="0035363F">
        <w:rPr>
          <w:rFonts w:ascii="Arial" w:eastAsia="SimSun" w:hAnsi="Arial" w:cs="Arial"/>
          <w:sz w:val="22"/>
          <w:szCs w:val="22"/>
          <w:lang w:val="fr-FR"/>
        </w:rPr>
        <w:t xml:space="preserve">approche du </w:t>
      </w:r>
      <w:r>
        <w:rPr>
          <w:rFonts w:ascii="Arial" w:eastAsia="SimSun" w:hAnsi="Arial" w:cs="Arial"/>
          <w:sz w:val="22"/>
          <w:szCs w:val="22"/>
          <w:lang w:val="fr-FR"/>
        </w:rPr>
        <w:t xml:space="preserve">vingtième </w:t>
      </w:r>
      <w:r w:rsidRPr="0035363F">
        <w:rPr>
          <w:rFonts w:ascii="Arial" w:eastAsia="SimSun" w:hAnsi="Arial" w:cs="Arial"/>
          <w:sz w:val="22"/>
          <w:szCs w:val="22"/>
          <w:lang w:val="fr-FR"/>
        </w:rPr>
        <w:t xml:space="preserve">anniversaire de la Convention et compte tenu de la pandémie et de la transformation numérique, la valeur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5363F">
        <w:rPr>
          <w:rFonts w:ascii="Arial" w:eastAsia="SimSun" w:hAnsi="Arial" w:cs="Arial"/>
          <w:sz w:val="22"/>
          <w:szCs w:val="22"/>
          <w:lang w:val="fr-FR"/>
        </w:rPr>
        <w:t>et l</w:t>
      </w:r>
      <w:r w:rsidR="008E532B">
        <w:rPr>
          <w:rFonts w:ascii="Arial" w:eastAsia="SimSun" w:hAnsi="Arial" w:cs="Arial"/>
          <w:sz w:val="22"/>
          <w:szCs w:val="22"/>
          <w:lang w:val="fr-FR"/>
        </w:rPr>
        <w:t>’</w:t>
      </w:r>
      <w:r w:rsidRPr="0035363F">
        <w:rPr>
          <w:rFonts w:ascii="Arial" w:eastAsia="SimSun" w:hAnsi="Arial" w:cs="Arial"/>
          <w:sz w:val="22"/>
          <w:szCs w:val="22"/>
          <w:lang w:val="fr-FR"/>
        </w:rPr>
        <w:t xml:space="preserve">importance et la valeur que les communautés attachent à sa pratique et à son expression continues étaient plus évidentes que jamais. </w:t>
      </w:r>
      <w:r>
        <w:rPr>
          <w:rFonts w:ascii="Arial" w:eastAsia="SimSun" w:hAnsi="Arial" w:cs="Arial"/>
          <w:sz w:val="22"/>
          <w:szCs w:val="22"/>
          <w:lang w:val="fr-FR"/>
        </w:rPr>
        <w:t>À l</w:t>
      </w:r>
      <w:r w:rsidR="008E532B">
        <w:rPr>
          <w:rFonts w:ascii="Arial" w:eastAsia="SimSun" w:hAnsi="Arial" w:cs="Arial"/>
          <w:sz w:val="22"/>
          <w:szCs w:val="22"/>
          <w:lang w:val="fr-FR"/>
        </w:rPr>
        <w:t>’</w:t>
      </w:r>
      <w:r>
        <w:rPr>
          <w:rFonts w:ascii="Arial" w:eastAsia="SimSun" w:hAnsi="Arial" w:cs="Arial"/>
          <w:sz w:val="22"/>
          <w:szCs w:val="22"/>
          <w:lang w:val="fr-FR"/>
        </w:rPr>
        <w:t xml:space="preserve">heure du lancement de </w:t>
      </w:r>
      <w:r w:rsidRPr="0035363F">
        <w:rPr>
          <w:rFonts w:ascii="Arial" w:eastAsia="SimSun" w:hAnsi="Arial" w:cs="Arial"/>
          <w:sz w:val="22"/>
          <w:szCs w:val="22"/>
          <w:lang w:val="fr-FR"/>
        </w:rPr>
        <w:t xml:space="preserve">la mise en œuvre de la Stratégie à moyen terme C/4 et C/5, en accélérant les engagements relatifs aux </w:t>
      </w:r>
      <w:r w:rsidR="00A73EEF">
        <w:rPr>
          <w:rFonts w:ascii="Arial" w:eastAsia="SimSun" w:hAnsi="Arial" w:cs="Arial"/>
          <w:sz w:val="22"/>
          <w:szCs w:val="22"/>
          <w:lang w:val="fr-FR"/>
        </w:rPr>
        <w:t>objectifs de développement durable,</w:t>
      </w:r>
      <w:r w:rsidRPr="0035363F">
        <w:rPr>
          <w:rFonts w:ascii="Arial" w:eastAsia="SimSun" w:hAnsi="Arial" w:cs="Arial"/>
          <w:sz w:val="22"/>
          <w:szCs w:val="22"/>
          <w:lang w:val="fr-FR"/>
        </w:rPr>
        <w:t xml:space="preserve"> le Viet</w:t>
      </w:r>
      <w:r>
        <w:rPr>
          <w:rFonts w:ascii="Arial" w:eastAsia="SimSun" w:hAnsi="Arial" w:cs="Arial"/>
          <w:sz w:val="22"/>
          <w:szCs w:val="22"/>
          <w:lang w:val="fr-FR"/>
        </w:rPr>
        <w:t> </w:t>
      </w:r>
      <w:r w:rsidRPr="0035363F">
        <w:rPr>
          <w:rFonts w:ascii="Arial" w:eastAsia="SimSun" w:hAnsi="Arial" w:cs="Arial"/>
          <w:sz w:val="22"/>
          <w:szCs w:val="22"/>
          <w:lang w:val="fr-FR"/>
        </w:rPr>
        <w:t xml:space="preserve">Nam </w:t>
      </w:r>
      <w:r>
        <w:rPr>
          <w:rFonts w:ascii="Arial" w:eastAsia="SimSun" w:hAnsi="Arial" w:cs="Arial"/>
          <w:sz w:val="22"/>
          <w:szCs w:val="22"/>
          <w:lang w:val="fr-FR"/>
        </w:rPr>
        <w:t>était</w:t>
      </w:r>
      <w:r w:rsidRPr="0035363F">
        <w:rPr>
          <w:rFonts w:ascii="Arial" w:eastAsia="SimSun" w:hAnsi="Arial" w:cs="Arial"/>
          <w:sz w:val="22"/>
          <w:szCs w:val="22"/>
          <w:lang w:val="fr-FR"/>
        </w:rPr>
        <w:t xml:space="preserve"> prêt à travailler en étroite collaboration avec les États parties afin de garantir </w:t>
      </w:r>
      <w:r>
        <w:rPr>
          <w:rFonts w:ascii="Arial" w:eastAsia="SimSun" w:hAnsi="Arial" w:cs="Arial"/>
          <w:sz w:val="22"/>
          <w:szCs w:val="22"/>
          <w:lang w:val="fr-FR"/>
        </w:rPr>
        <w:t>un</w:t>
      </w:r>
      <w:r w:rsidRPr="0035363F">
        <w:rPr>
          <w:rFonts w:ascii="Arial" w:eastAsia="SimSun" w:hAnsi="Arial" w:cs="Arial"/>
          <w:sz w:val="22"/>
          <w:szCs w:val="22"/>
          <w:lang w:val="fr-FR"/>
        </w:rPr>
        <w:t xml:space="preserve"> patrimoine vivant </w:t>
      </w:r>
      <w:r>
        <w:rPr>
          <w:rFonts w:ascii="Arial" w:eastAsia="SimSun" w:hAnsi="Arial" w:cs="Arial"/>
          <w:sz w:val="22"/>
          <w:szCs w:val="22"/>
          <w:lang w:val="fr-FR"/>
        </w:rPr>
        <w:t>en faveur de</w:t>
      </w:r>
      <w:r w:rsidRPr="0035363F">
        <w:rPr>
          <w:rFonts w:ascii="Arial" w:eastAsia="SimSun" w:hAnsi="Arial" w:cs="Arial"/>
          <w:sz w:val="22"/>
          <w:szCs w:val="22"/>
          <w:lang w:val="fr-FR"/>
        </w:rPr>
        <w:t xml:space="preserve"> la résilience et </w:t>
      </w:r>
      <w:r>
        <w:rPr>
          <w:rFonts w:ascii="Arial" w:eastAsia="SimSun" w:hAnsi="Arial" w:cs="Arial"/>
          <w:sz w:val="22"/>
          <w:szCs w:val="22"/>
          <w:lang w:val="fr-FR"/>
        </w:rPr>
        <w:t>du</w:t>
      </w:r>
      <w:r w:rsidRPr="0035363F">
        <w:rPr>
          <w:rFonts w:ascii="Arial" w:eastAsia="SimSun" w:hAnsi="Arial" w:cs="Arial"/>
          <w:sz w:val="22"/>
          <w:szCs w:val="22"/>
          <w:lang w:val="fr-FR"/>
        </w:rPr>
        <w:t xml:space="preserve"> développement durable, d</w:t>
      </w:r>
      <w:r w:rsidR="008E532B">
        <w:rPr>
          <w:rFonts w:ascii="Arial" w:eastAsia="SimSun" w:hAnsi="Arial" w:cs="Arial"/>
          <w:sz w:val="22"/>
          <w:szCs w:val="22"/>
          <w:lang w:val="fr-FR"/>
        </w:rPr>
        <w:t>’</w:t>
      </w:r>
      <w:r w:rsidRPr="0035363F">
        <w:rPr>
          <w:rFonts w:ascii="Arial" w:eastAsia="SimSun" w:hAnsi="Arial" w:cs="Arial"/>
          <w:sz w:val="22"/>
          <w:szCs w:val="22"/>
          <w:lang w:val="fr-FR"/>
        </w:rPr>
        <w:t>améliorer la transparence et l</w:t>
      </w:r>
      <w:r w:rsidR="008E532B">
        <w:rPr>
          <w:rFonts w:ascii="Arial" w:eastAsia="SimSun" w:hAnsi="Arial" w:cs="Arial"/>
          <w:sz w:val="22"/>
          <w:szCs w:val="22"/>
          <w:lang w:val="fr-FR"/>
        </w:rPr>
        <w:t>’</w:t>
      </w:r>
      <w:r w:rsidRPr="0035363F">
        <w:rPr>
          <w:rFonts w:ascii="Arial" w:eastAsia="SimSun" w:hAnsi="Arial" w:cs="Arial"/>
          <w:sz w:val="22"/>
          <w:szCs w:val="22"/>
          <w:lang w:val="fr-FR"/>
        </w:rPr>
        <w:t>efficacité des mécanismes d</w:t>
      </w:r>
      <w:r w:rsidR="008E532B">
        <w:rPr>
          <w:rFonts w:ascii="Arial" w:eastAsia="SimSun" w:hAnsi="Arial" w:cs="Arial"/>
          <w:sz w:val="22"/>
          <w:szCs w:val="22"/>
          <w:lang w:val="fr-FR"/>
        </w:rPr>
        <w:t>’</w:t>
      </w:r>
      <w:r w:rsidRPr="0035363F">
        <w:rPr>
          <w:rFonts w:ascii="Arial" w:eastAsia="SimSun" w:hAnsi="Arial" w:cs="Arial"/>
          <w:sz w:val="22"/>
          <w:szCs w:val="22"/>
          <w:lang w:val="fr-FR"/>
        </w:rPr>
        <w:t>inscription</w:t>
      </w:r>
      <w:r>
        <w:rPr>
          <w:rFonts w:ascii="Arial" w:eastAsia="SimSun" w:hAnsi="Arial" w:cs="Arial"/>
          <w:sz w:val="22"/>
          <w:szCs w:val="22"/>
          <w:lang w:val="fr-FR"/>
        </w:rPr>
        <w:t xml:space="preserve"> sur les listes</w:t>
      </w:r>
      <w:r w:rsidRPr="0035363F">
        <w:rPr>
          <w:rFonts w:ascii="Arial" w:eastAsia="SimSun" w:hAnsi="Arial" w:cs="Arial"/>
          <w:sz w:val="22"/>
          <w:szCs w:val="22"/>
          <w:lang w:val="fr-FR"/>
        </w:rPr>
        <w:t>, et de renforcer les priorités de l</w:t>
      </w:r>
      <w:r w:rsidR="008E532B">
        <w:rPr>
          <w:rFonts w:ascii="Arial" w:eastAsia="SimSun" w:hAnsi="Arial" w:cs="Arial"/>
          <w:sz w:val="22"/>
          <w:szCs w:val="22"/>
          <w:lang w:val="fr-FR"/>
        </w:rPr>
        <w:t>’</w:t>
      </w:r>
      <w:r w:rsidRPr="0035363F">
        <w:rPr>
          <w:rFonts w:ascii="Arial" w:eastAsia="SimSun" w:hAnsi="Arial" w:cs="Arial"/>
          <w:sz w:val="22"/>
          <w:szCs w:val="22"/>
          <w:lang w:val="fr-FR"/>
        </w:rPr>
        <w:t xml:space="preserve">UNESCO, telles que la </w:t>
      </w:r>
      <w:r>
        <w:rPr>
          <w:rFonts w:ascii="Arial" w:eastAsia="SimSun" w:hAnsi="Arial" w:cs="Arial"/>
          <w:sz w:val="22"/>
          <w:szCs w:val="22"/>
          <w:lang w:val="fr-FR"/>
        </w:rPr>
        <w:t>p</w:t>
      </w:r>
      <w:r w:rsidRPr="0035363F">
        <w:rPr>
          <w:rFonts w:ascii="Arial" w:eastAsia="SimSun" w:hAnsi="Arial" w:cs="Arial"/>
          <w:sz w:val="22"/>
          <w:szCs w:val="22"/>
          <w:lang w:val="fr-FR"/>
        </w:rPr>
        <w:t>riorité Afrique, l</w:t>
      </w:r>
      <w:r w:rsidR="008E532B">
        <w:rPr>
          <w:rFonts w:ascii="Arial" w:eastAsia="SimSun" w:hAnsi="Arial" w:cs="Arial"/>
          <w:sz w:val="22"/>
          <w:szCs w:val="22"/>
          <w:lang w:val="fr-FR"/>
        </w:rPr>
        <w:t>’</w:t>
      </w:r>
      <w:r w:rsidRPr="0035363F">
        <w:rPr>
          <w:rFonts w:ascii="Arial" w:eastAsia="SimSun" w:hAnsi="Arial" w:cs="Arial"/>
          <w:sz w:val="22"/>
          <w:szCs w:val="22"/>
          <w:lang w:val="fr-FR"/>
        </w:rPr>
        <w:t xml:space="preserve">égalité des </w:t>
      </w:r>
      <w:r>
        <w:rPr>
          <w:rFonts w:ascii="Arial" w:eastAsia="SimSun" w:hAnsi="Arial" w:cs="Arial"/>
          <w:sz w:val="22"/>
          <w:szCs w:val="22"/>
          <w:lang w:val="fr-FR"/>
        </w:rPr>
        <w:t xml:space="preserve">genres </w:t>
      </w:r>
      <w:r w:rsidRPr="0035363F">
        <w:rPr>
          <w:rFonts w:ascii="Arial" w:eastAsia="SimSun" w:hAnsi="Arial" w:cs="Arial"/>
          <w:sz w:val="22"/>
          <w:szCs w:val="22"/>
          <w:lang w:val="fr-FR"/>
        </w:rPr>
        <w:t>et la jeunesse, par le biais d</w:t>
      </w:r>
      <w:r w:rsidR="008E532B">
        <w:rPr>
          <w:rFonts w:ascii="Arial" w:eastAsia="SimSun" w:hAnsi="Arial" w:cs="Arial"/>
          <w:sz w:val="22"/>
          <w:szCs w:val="22"/>
          <w:lang w:val="fr-FR"/>
        </w:rPr>
        <w:t>’</w:t>
      </w:r>
      <w:r w:rsidRPr="009B60AF">
        <w:rPr>
          <w:rFonts w:ascii="Arial" w:eastAsia="SimSun" w:hAnsi="Arial" w:cs="Arial"/>
          <w:sz w:val="22"/>
          <w:szCs w:val="22"/>
          <w:lang w:val="fr-FR"/>
        </w:rPr>
        <w:t>initiativ</w:t>
      </w:r>
      <w:r>
        <w:rPr>
          <w:rFonts w:ascii="Arial" w:eastAsia="SimSun" w:hAnsi="Arial" w:cs="Arial"/>
          <w:sz w:val="22"/>
          <w:szCs w:val="22"/>
          <w:lang w:val="fr-FR"/>
        </w:rPr>
        <w:t>es</w:t>
      </w:r>
      <w:r w:rsidRPr="0035363F">
        <w:rPr>
          <w:rFonts w:ascii="Arial" w:eastAsia="SimSun" w:hAnsi="Arial" w:cs="Arial"/>
          <w:sz w:val="22"/>
          <w:szCs w:val="22"/>
          <w:lang w:val="fr-FR"/>
        </w:rPr>
        <w:t xml:space="preserve"> de coopération et de renforcement des capacités dans le domaine du patrimoine vivant.</w:t>
      </w:r>
    </w:p>
    <w:p w14:paraId="3FE92BBF" w14:textId="6D7CDD3E" w:rsidR="00D9653F" w:rsidRPr="006A2821"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6A2821">
        <w:rPr>
          <w:rFonts w:ascii="Arial" w:eastAsia="SimSun" w:hAnsi="Arial" w:cs="Arial"/>
          <w:sz w:val="22"/>
          <w:szCs w:val="22"/>
          <w:lang w:val="fr-FR"/>
        </w:rPr>
        <w:t>La délégation de l</w:t>
      </w:r>
      <w:r w:rsidR="008E532B">
        <w:rPr>
          <w:rFonts w:ascii="Arial" w:eastAsia="SimSun" w:hAnsi="Arial" w:cs="Arial"/>
          <w:sz w:val="22"/>
          <w:szCs w:val="22"/>
          <w:lang w:val="fr-FR"/>
        </w:rPr>
        <w:t>’</w:t>
      </w:r>
      <w:r w:rsidRPr="00830B85">
        <w:rPr>
          <w:rFonts w:ascii="Arial" w:eastAsia="SimSun" w:hAnsi="Arial" w:cs="Arial"/>
          <w:b/>
          <w:bCs/>
          <w:sz w:val="22"/>
          <w:szCs w:val="22"/>
          <w:lang w:val="fr-FR"/>
        </w:rPr>
        <w:t>Azerbaïdjan</w:t>
      </w:r>
      <w:r w:rsidRPr="006A2821">
        <w:rPr>
          <w:rFonts w:ascii="Arial" w:eastAsia="SimSun" w:hAnsi="Arial" w:cs="Arial"/>
          <w:sz w:val="22"/>
          <w:szCs w:val="22"/>
          <w:lang w:val="fr-FR"/>
        </w:rPr>
        <w:t xml:space="preserve"> a félicité la Présidente pour son élection et a salué le Secrétariat pour l</w:t>
      </w:r>
      <w:r w:rsidR="008E532B">
        <w:rPr>
          <w:rFonts w:ascii="Arial" w:eastAsia="SimSun" w:hAnsi="Arial" w:cs="Arial"/>
          <w:sz w:val="22"/>
          <w:szCs w:val="22"/>
          <w:lang w:val="fr-FR"/>
        </w:rPr>
        <w:t>’</w:t>
      </w:r>
      <w:r w:rsidRPr="006A2821">
        <w:rPr>
          <w:rFonts w:ascii="Arial" w:eastAsia="SimSun" w:hAnsi="Arial" w:cs="Arial"/>
          <w:sz w:val="22"/>
          <w:szCs w:val="22"/>
          <w:lang w:val="fr-FR"/>
        </w:rPr>
        <w:t>efficacité de son travail et de l</w:t>
      </w:r>
      <w:r w:rsidR="008E532B">
        <w:rPr>
          <w:rFonts w:ascii="Arial" w:eastAsia="SimSun" w:hAnsi="Arial" w:cs="Arial"/>
          <w:sz w:val="22"/>
          <w:szCs w:val="22"/>
          <w:lang w:val="fr-FR"/>
        </w:rPr>
        <w:t>’</w:t>
      </w:r>
      <w:r w:rsidRPr="006A2821">
        <w:rPr>
          <w:rFonts w:ascii="Arial" w:eastAsia="SimSun" w:hAnsi="Arial" w:cs="Arial"/>
          <w:sz w:val="22"/>
          <w:szCs w:val="22"/>
          <w:lang w:val="fr-FR"/>
        </w:rPr>
        <w:t>organisation de la présente session de l</w:t>
      </w:r>
      <w:r w:rsidR="008E532B">
        <w:rPr>
          <w:rFonts w:ascii="Arial" w:eastAsia="SimSun" w:hAnsi="Arial" w:cs="Arial"/>
          <w:sz w:val="22"/>
          <w:szCs w:val="22"/>
          <w:lang w:val="fr-FR"/>
        </w:rPr>
        <w:t>’</w:t>
      </w:r>
      <w:r w:rsidRPr="006A2821">
        <w:rPr>
          <w:rFonts w:ascii="Arial" w:eastAsia="SimSun" w:hAnsi="Arial" w:cs="Arial"/>
          <w:sz w:val="22"/>
          <w:szCs w:val="22"/>
          <w:lang w:val="fr-FR"/>
        </w:rPr>
        <w:t>Assemblée. Elle s</w:t>
      </w:r>
      <w:r w:rsidR="008E532B">
        <w:rPr>
          <w:rFonts w:ascii="Arial" w:eastAsia="SimSun" w:hAnsi="Arial" w:cs="Arial"/>
          <w:sz w:val="22"/>
          <w:szCs w:val="22"/>
          <w:lang w:val="fr-FR"/>
        </w:rPr>
        <w:t>’</w:t>
      </w:r>
      <w:r w:rsidRPr="006A2821">
        <w:rPr>
          <w:rFonts w:ascii="Arial" w:eastAsia="SimSun" w:hAnsi="Arial" w:cs="Arial"/>
          <w:sz w:val="22"/>
          <w:szCs w:val="22"/>
          <w:lang w:val="fr-FR"/>
        </w:rPr>
        <w:t xml:space="preserve">est également jointe aux autres </w:t>
      </w:r>
      <w:r>
        <w:rPr>
          <w:rFonts w:ascii="Arial" w:eastAsia="SimSun" w:hAnsi="Arial" w:cs="Arial"/>
          <w:sz w:val="22"/>
          <w:szCs w:val="22"/>
          <w:lang w:val="fr-FR"/>
        </w:rPr>
        <w:t xml:space="preserve">délégations </w:t>
      </w:r>
      <w:r w:rsidRPr="006A2821">
        <w:rPr>
          <w:rFonts w:ascii="Arial" w:eastAsia="SimSun" w:hAnsi="Arial" w:cs="Arial"/>
          <w:sz w:val="22"/>
          <w:szCs w:val="22"/>
          <w:lang w:val="fr-FR"/>
        </w:rPr>
        <w:t xml:space="preserve">pour souhaiter la bienvenue à deux </w:t>
      </w:r>
      <w:r>
        <w:rPr>
          <w:rFonts w:ascii="Arial" w:eastAsia="SimSun" w:hAnsi="Arial" w:cs="Arial"/>
          <w:sz w:val="22"/>
          <w:szCs w:val="22"/>
          <w:lang w:val="fr-FR"/>
        </w:rPr>
        <w:t>nouveaux</w:t>
      </w:r>
      <w:r w:rsidRPr="006A2821">
        <w:rPr>
          <w:rFonts w:ascii="Arial" w:eastAsia="SimSun" w:hAnsi="Arial" w:cs="Arial"/>
          <w:sz w:val="22"/>
          <w:szCs w:val="22"/>
          <w:lang w:val="fr-FR"/>
        </w:rPr>
        <w:t xml:space="preserve"> États parties d</w:t>
      </w:r>
      <w:r w:rsidR="008E532B">
        <w:rPr>
          <w:rFonts w:ascii="Arial" w:eastAsia="SimSun" w:hAnsi="Arial" w:cs="Arial"/>
          <w:sz w:val="22"/>
          <w:szCs w:val="22"/>
          <w:lang w:val="fr-FR"/>
        </w:rPr>
        <w:t>’</w:t>
      </w:r>
      <w:r w:rsidRPr="006A2821">
        <w:rPr>
          <w:rFonts w:ascii="Arial" w:eastAsia="SimSun" w:hAnsi="Arial" w:cs="Arial"/>
          <w:sz w:val="22"/>
          <w:szCs w:val="22"/>
          <w:lang w:val="fr-FR"/>
        </w:rPr>
        <w:t>Afrique, à savoir l</w:t>
      </w:r>
      <w:r w:rsidR="008E532B">
        <w:rPr>
          <w:rFonts w:ascii="Arial" w:eastAsia="SimSun" w:hAnsi="Arial" w:cs="Arial"/>
          <w:sz w:val="22"/>
          <w:szCs w:val="22"/>
          <w:lang w:val="fr-FR"/>
        </w:rPr>
        <w:t>’</w:t>
      </w:r>
      <w:r w:rsidRPr="006A2821">
        <w:rPr>
          <w:rFonts w:ascii="Arial" w:eastAsia="SimSun" w:hAnsi="Arial" w:cs="Arial"/>
          <w:sz w:val="22"/>
          <w:szCs w:val="22"/>
          <w:lang w:val="fr-FR"/>
        </w:rPr>
        <w:t xml:space="preserve">Angola et la Somalie. La délégation a également félicité la Jamaïque et le Sri Lanka pour avoir efficacement </w:t>
      </w:r>
      <w:r>
        <w:rPr>
          <w:rFonts w:ascii="Arial" w:eastAsia="SimSun" w:hAnsi="Arial" w:cs="Arial"/>
          <w:sz w:val="22"/>
          <w:szCs w:val="22"/>
          <w:lang w:val="fr-FR"/>
        </w:rPr>
        <w:t xml:space="preserve">dirigé </w:t>
      </w:r>
      <w:r w:rsidRPr="006A2821">
        <w:rPr>
          <w:rFonts w:ascii="Arial" w:eastAsia="SimSun" w:hAnsi="Arial" w:cs="Arial"/>
          <w:sz w:val="22"/>
          <w:szCs w:val="22"/>
          <w:lang w:val="fr-FR"/>
        </w:rPr>
        <w:t xml:space="preserve">les </w:t>
      </w:r>
      <w:r>
        <w:rPr>
          <w:rFonts w:ascii="Arial" w:eastAsia="SimSun" w:hAnsi="Arial" w:cs="Arial"/>
          <w:sz w:val="22"/>
          <w:szCs w:val="22"/>
          <w:lang w:val="fr-FR"/>
        </w:rPr>
        <w:t>quinzième</w:t>
      </w:r>
      <w:r w:rsidRPr="006A2821">
        <w:rPr>
          <w:rFonts w:ascii="Arial" w:eastAsia="SimSun" w:hAnsi="Arial" w:cs="Arial"/>
          <w:sz w:val="22"/>
          <w:szCs w:val="22"/>
          <w:lang w:val="fr-FR"/>
        </w:rPr>
        <w:t xml:space="preserve"> et </w:t>
      </w:r>
      <w:proofErr w:type="gramStart"/>
      <w:r>
        <w:rPr>
          <w:rFonts w:ascii="Arial" w:eastAsia="SimSun" w:hAnsi="Arial" w:cs="Arial"/>
          <w:sz w:val="22"/>
          <w:szCs w:val="22"/>
          <w:lang w:val="fr-FR"/>
        </w:rPr>
        <w:t>seizième</w:t>
      </w:r>
      <w:r w:rsidRPr="006A2821">
        <w:rPr>
          <w:rFonts w:ascii="Arial" w:eastAsia="SimSun" w:hAnsi="Arial" w:cs="Arial"/>
          <w:sz w:val="22"/>
          <w:szCs w:val="22"/>
          <w:lang w:val="fr-FR"/>
        </w:rPr>
        <w:t xml:space="preserve"> sessions</w:t>
      </w:r>
      <w:proofErr w:type="gramEnd"/>
      <w:r w:rsidRPr="006A2821">
        <w:rPr>
          <w:rFonts w:ascii="Arial" w:eastAsia="SimSun" w:hAnsi="Arial" w:cs="Arial"/>
          <w:sz w:val="22"/>
          <w:szCs w:val="22"/>
          <w:lang w:val="fr-FR"/>
        </w:rPr>
        <w:t xml:space="preserve"> du Comité malgré les effets néfastes de la pandémie. En tant que membre sortant, l</w:t>
      </w:r>
      <w:r w:rsidR="008E532B">
        <w:rPr>
          <w:rFonts w:ascii="Arial" w:eastAsia="SimSun" w:hAnsi="Arial" w:cs="Arial"/>
          <w:sz w:val="22"/>
          <w:szCs w:val="22"/>
          <w:lang w:val="fr-FR"/>
        </w:rPr>
        <w:t>’</w:t>
      </w:r>
      <w:r w:rsidRPr="006A2821">
        <w:rPr>
          <w:rFonts w:ascii="Arial" w:eastAsia="SimSun" w:hAnsi="Arial" w:cs="Arial"/>
          <w:sz w:val="22"/>
          <w:szCs w:val="22"/>
          <w:lang w:val="fr-FR"/>
        </w:rPr>
        <w:t xml:space="preserve">Azerbaïdjan a remercié tous les membres du Comité pour leur travail </w:t>
      </w:r>
      <w:r>
        <w:rPr>
          <w:rFonts w:ascii="Arial" w:eastAsia="SimSun" w:hAnsi="Arial" w:cs="Arial"/>
          <w:sz w:val="22"/>
          <w:szCs w:val="22"/>
          <w:lang w:val="fr-FR"/>
        </w:rPr>
        <w:t xml:space="preserve">opiniâtre </w:t>
      </w:r>
      <w:r w:rsidRPr="006A2821">
        <w:rPr>
          <w:rFonts w:ascii="Arial" w:eastAsia="SimSun" w:hAnsi="Arial" w:cs="Arial"/>
          <w:sz w:val="22"/>
          <w:szCs w:val="22"/>
          <w:lang w:val="fr-FR"/>
        </w:rPr>
        <w:t>et leurs résultats remarquables dans l</w:t>
      </w:r>
      <w:r w:rsidR="008E532B">
        <w:rPr>
          <w:rFonts w:ascii="Arial" w:eastAsia="SimSun" w:hAnsi="Arial" w:cs="Arial"/>
          <w:sz w:val="22"/>
          <w:szCs w:val="22"/>
          <w:lang w:val="fr-FR"/>
        </w:rPr>
        <w:t>’</w:t>
      </w:r>
      <w:r w:rsidRPr="006A2821">
        <w:rPr>
          <w:rFonts w:ascii="Arial" w:eastAsia="SimSun" w:hAnsi="Arial" w:cs="Arial"/>
          <w:sz w:val="22"/>
          <w:szCs w:val="22"/>
          <w:lang w:val="fr-FR"/>
        </w:rPr>
        <w:t xml:space="preserve">avancement de la mise en œuvre de la Convention, en particulier </w:t>
      </w:r>
      <w:r>
        <w:rPr>
          <w:rFonts w:ascii="Arial" w:eastAsia="SimSun" w:hAnsi="Arial" w:cs="Arial"/>
          <w:sz w:val="22"/>
          <w:szCs w:val="22"/>
          <w:lang w:val="fr-FR"/>
        </w:rPr>
        <w:t>s</w:t>
      </w:r>
      <w:r w:rsidR="008E532B">
        <w:rPr>
          <w:rFonts w:ascii="Arial" w:eastAsia="SimSun" w:hAnsi="Arial" w:cs="Arial"/>
          <w:sz w:val="22"/>
          <w:szCs w:val="22"/>
          <w:lang w:val="fr-FR"/>
        </w:rPr>
        <w:t>’</w:t>
      </w:r>
      <w:r>
        <w:rPr>
          <w:rFonts w:ascii="Arial" w:eastAsia="SimSun" w:hAnsi="Arial" w:cs="Arial"/>
          <w:sz w:val="22"/>
          <w:szCs w:val="22"/>
          <w:lang w:val="fr-FR"/>
        </w:rPr>
        <w:t>agissant du</w:t>
      </w:r>
      <w:r w:rsidRPr="006A2821">
        <w:rPr>
          <w:rFonts w:ascii="Arial" w:eastAsia="SimSun" w:hAnsi="Arial" w:cs="Arial"/>
          <w:sz w:val="22"/>
          <w:szCs w:val="22"/>
          <w:lang w:val="fr-FR"/>
        </w:rPr>
        <w:t xml:space="preserve"> mécanisme réformé de soumission des rapports périodiques et </w:t>
      </w:r>
      <w:r>
        <w:rPr>
          <w:rFonts w:ascii="Arial" w:eastAsia="SimSun" w:hAnsi="Arial" w:cs="Arial"/>
          <w:sz w:val="22"/>
          <w:szCs w:val="22"/>
          <w:lang w:val="fr-FR"/>
        </w:rPr>
        <w:t xml:space="preserve">de </w:t>
      </w:r>
      <w:r w:rsidRPr="006A2821">
        <w:rPr>
          <w:rFonts w:ascii="Arial" w:eastAsia="SimSun" w:hAnsi="Arial" w:cs="Arial"/>
          <w:sz w:val="22"/>
          <w:szCs w:val="22"/>
          <w:lang w:val="fr-FR"/>
        </w:rPr>
        <w:t>la réflexion globale sur les mécanismes d</w:t>
      </w:r>
      <w:r w:rsidR="008E532B">
        <w:rPr>
          <w:rFonts w:ascii="Arial" w:eastAsia="SimSun" w:hAnsi="Arial" w:cs="Arial"/>
          <w:sz w:val="22"/>
          <w:szCs w:val="22"/>
          <w:lang w:val="fr-FR"/>
        </w:rPr>
        <w:t>’</w:t>
      </w:r>
      <w:r w:rsidRPr="006A2821">
        <w:rPr>
          <w:rFonts w:ascii="Arial" w:eastAsia="SimSun" w:hAnsi="Arial" w:cs="Arial"/>
          <w:sz w:val="22"/>
          <w:szCs w:val="22"/>
          <w:lang w:val="fr-FR"/>
        </w:rPr>
        <w:t xml:space="preserve">inscription. </w:t>
      </w:r>
      <w:r>
        <w:rPr>
          <w:rFonts w:ascii="Arial" w:eastAsia="SimSun" w:hAnsi="Arial" w:cs="Arial"/>
          <w:sz w:val="22"/>
          <w:szCs w:val="22"/>
          <w:lang w:val="fr-FR"/>
        </w:rPr>
        <w:t>L</w:t>
      </w:r>
      <w:r w:rsidR="008E532B">
        <w:rPr>
          <w:rFonts w:ascii="Arial" w:eastAsia="SimSun" w:hAnsi="Arial" w:cs="Arial"/>
          <w:sz w:val="22"/>
          <w:szCs w:val="22"/>
          <w:lang w:val="fr-FR"/>
        </w:rPr>
        <w:t>’</w:t>
      </w:r>
      <w:r w:rsidRPr="00D67345">
        <w:rPr>
          <w:rFonts w:ascii="Arial" w:eastAsia="SimSun" w:hAnsi="Arial" w:cs="Arial"/>
          <w:sz w:val="22"/>
          <w:szCs w:val="22"/>
          <w:lang w:val="fr-FR"/>
        </w:rPr>
        <w:t>Azerbaïdjan</w:t>
      </w:r>
      <w:r w:rsidRPr="006A2821">
        <w:rPr>
          <w:rFonts w:ascii="Arial" w:eastAsia="SimSun" w:hAnsi="Arial" w:cs="Arial"/>
          <w:sz w:val="22"/>
          <w:szCs w:val="22"/>
          <w:lang w:val="fr-FR"/>
        </w:rPr>
        <w:t xml:space="preserve"> </w:t>
      </w:r>
      <w:r>
        <w:rPr>
          <w:rFonts w:ascii="Arial" w:eastAsia="SimSun" w:hAnsi="Arial" w:cs="Arial"/>
          <w:sz w:val="22"/>
          <w:szCs w:val="22"/>
          <w:lang w:val="fr-FR"/>
        </w:rPr>
        <w:t xml:space="preserve">aurait </w:t>
      </w:r>
      <w:r w:rsidRPr="006A2821">
        <w:rPr>
          <w:rFonts w:ascii="Arial" w:eastAsia="SimSun" w:hAnsi="Arial" w:cs="Arial"/>
          <w:sz w:val="22"/>
          <w:szCs w:val="22"/>
          <w:lang w:val="fr-FR"/>
        </w:rPr>
        <w:t xml:space="preserve">également </w:t>
      </w:r>
      <w:r>
        <w:rPr>
          <w:rFonts w:ascii="Arial" w:eastAsia="SimSun" w:hAnsi="Arial" w:cs="Arial"/>
          <w:sz w:val="22"/>
          <w:szCs w:val="22"/>
          <w:lang w:val="fr-FR"/>
        </w:rPr>
        <w:t xml:space="preserve">souhaité </w:t>
      </w:r>
      <w:r w:rsidRPr="006A2821">
        <w:rPr>
          <w:rFonts w:ascii="Arial" w:eastAsia="SimSun" w:hAnsi="Arial" w:cs="Arial"/>
          <w:sz w:val="22"/>
          <w:szCs w:val="22"/>
          <w:lang w:val="fr-FR"/>
        </w:rPr>
        <w:t>qu</w:t>
      </w:r>
      <w:r w:rsidR="008E532B">
        <w:rPr>
          <w:rFonts w:ascii="Arial" w:eastAsia="SimSun" w:hAnsi="Arial" w:cs="Arial"/>
          <w:sz w:val="22"/>
          <w:szCs w:val="22"/>
          <w:lang w:val="fr-FR"/>
        </w:rPr>
        <w:t>’</w:t>
      </w:r>
      <w:r w:rsidRPr="006A2821">
        <w:rPr>
          <w:rFonts w:ascii="Arial" w:eastAsia="SimSun" w:hAnsi="Arial" w:cs="Arial"/>
          <w:sz w:val="22"/>
          <w:szCs w:val="22"/>
          <w:lang w:val="fr-FR"/>
        </w:rPr>
        <w:t xml:space="preserve">une attention particulière soit accordée </w:t>
      </w:r>
      <w:r>
        <w:rPr>
          <w:rFonts w:ascii="Arial" w:eastAsia="SimSun" w:hAnsi="Arial" w:cs="Arial"/>
          <w:sz w:val="22"/>
          <w:szCs w:val="22"/>
          <w:lang w:val="fr-FR"/>
        </w:rPr>
        <w:t xml:space="preserve">à la consolidation </w:t>
      </w:r>
      <w:r w:rsidRPr="006A2821">
        <w:rPr>
          <w:rFonts w:ascii="Arial" w:eastAsia="SimSun" w:hAnsi="Arial" w:cs="Arial"/>
          <w:sz w:val="22"/>
          <w:szCs w:val="22"/>
          <w:lang w:val="fr-FR"/>
        </w:rPr>
        <w:t>du programme de renforcement des capacités et à la sensibilisation à l</w:t>
      </w:r>
      <w:r w:rsidR="008E532B">
        <w:rPr>
          <w:rFonts w:ascii="Arial" w:eastAsia="SimSun" w:hAnsi="Arial" w:cs="Arial"/>
          <w:sz w:val="22"/>
          <w:szCs w:val="22"/>
          <w:lang w:val="fr-FR"/>
        </w:rPr>
        <w:t>’</w:t>
      </w:r>
      <w:r w:rsidRPr="006A2821">
        <w:rPr>
          <w:rFonts w:ascii="Arial" w:eastAsia="SimSun" w:hAnsi="Arial" w:cs="Arial"/>
          <w:sz w:val="22"/>
          <w:szCs w:val="22"/>
          <w:lang w:val="fr-FR"/>
        </w:rPr>
        <w:t xml:space="preserve">importance de la protection du </w:t>
      </w:r>
      <w:r w:rsidR="00E908E2">
        <w:rPr>
          <w:rFonts w:ascii="Arial" w:eastAsia="SimSun" w:hAnsi="Arial" w:cs="Arial"/>
          <w:bCs/>
          <w:sz w:val="22"/>
          <w:szCs w:val="22"/>
          <w:lang w:val="fr-FR" w:eastAsia="en-US"/>
        </w:rPr>
        <w:t xml:space="preserve">patrimoine culturel </w:t>
      </w:r>
      <w:proofErr w:type="gramStart"/>
      <w:r w:rsidR="00E908E2">
        <w:rPr>
          <w:rFonts w:ascii="Arial" w:eastAsia="SimSun" w:hAnsi="Arial" w:cs="Arial"/>
          <w:bCs/>
          <w:sz w:val="22"/>
          <w:szCs w:val="22"/>
          <w:lang w:val="fr-FR" w:eastAsia="en-US"/>
        </w:rPr>
        <w:t>immatériel</w:t>
      </w:r>
      <w:r w:rsidR="00E908E2" w:rsidRPr="001C722F">
        <w:rPr>
          <w:rFonts w:ascii="Arial" w:eastAsia="SimSun" w:hAnsi="Arial" w:cs="Arial"/>
          <w:bCs/>
          <w:sz w:val="22"/>
          <w:szCs w:val="22"/>
          <w:lang w:val="fr-FR" w:eastAsia="en-US"/>
        </w:rPr>
        <w:t xml:space="preserve"> </w:t>
      </w:r>
      <w:r w:rsidRPr="006A2821">
        <w:rPr>
          <w:rFonts w:ascii="Arial" w:eastAsia="SimSun" w:hAnsi="Arial" w:cs="Arial"/>
          <w:sz w:val="22"/>
          <w:szCs w:val="22"/>
          <w:lang w:val="fr-FR"/>
        </w:rPr>
        <w:t>.</w:t>
      </w:r>
      <w:proofErr w:type="gramEnd"/>
    </w:p>
    <w:p w14:paraId="6F401E11" w14:textId="6A5B209E" w:rsidR="00D9653F" w:rsidRPr="00D67345"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D67345">
        <w:rPr>
          <w:rFonts w:ascii="Arial" w:eastAsia="SimSun" w:hAnsi="Arial" w:cs="Arial"/>
          <w:sz w:val="22"/>
          <w:szCs w:val="22"/>
          <w:lang w:val="fr-FR"/>
        </w:rPr>
        <w:t>La délégation de l</w:t>
      </w:r>
      <w:r w:rsidR="008E532B">
        <w:rPr>
          <w:rFonts w:ascii="Arial" w:eastAsia="SimSun" w:hAnsi="Arial" w:cs="Arial"/>
          <w:sz w:val="22"/>
          <w:szCs w:val="22"/>
          <w:lang w:val="fr-FR"/>
        </w:rPr>
        <w:t>’</w:t>
      </w:r>
      <w:r w:rsidRPr="00D67345">
        <w:rPr>
          <w:rFonts w:ascii="Arial" w:eastAsia="SimSun" w:hAnsi="Arial" w:cs="Arial"/>
          <w:b/>
          <w:bCs/>
          <w:sz w:val="22"/>
          <w:szCs w:val="22"/>
          <w:lang w:val="fr-FR"/>
        </w:rPr>
        <w:t>Ouzbékistan</w:t>
      </w:r>
      <w:r w:rsidRPr="00D67345">
        <w:rPr>
          <w:rFonts w:ascii="Arial" w:eastAsia="SimSun" w:hAnsi="Arial" w:cs="Arial"/>
          <w:sz w:val="22"/>
          <w:szCs w:val="22"/>
          <w:lang w:val="fr-FR"/>
        </w:rPr>
        <w:t xml:space="preserve"> </w:t>
      </w:r>
      <w:r>
        <w:rPr>
          <w:rFonts w:ascii="Arial" w:eastAsia="SimSun" w:hAnsi="Arial" w:cs="Arial"/>
          <w:sz w:val="22"/>
          <w:szCs w:val="22"/>
          <w:lang w:val="fr-FR"/>
        </w:rPr>
        <w:t>a joint sa voix à celles</w:t>
      </w:r>
      <w:r w:rsidRPr="00D67345">
        <w:rPr>
          <w:rFonts w:ascii="Arial" w:eastAsia="SimSun" w:hAnsi="Arial" w:cs="Arial"/>
          <w:sz w:val="22"/>
          <w:szCs w:val="22"/>
          <w:lang w:val="fr-FR"/>
        </w:rPr>
        <w:t xml:space="preserve"> </w:t>
      </w:r>
      <w:r>
        <w:rPr>
          <w:rFonts w:ascii="Arial" w:eastAsia="SimSun" w:hAnsi="Arial" w:cs="Arial"/>
          <w:sz w:val="22"/>
          <w:szCs w:val="22"/>
          <w:lang w:val="fr-FR"/>
        </w:rPr>
        <w:t xml:space="preserve">des précédents </w:t>
      </w:r>
      <w:r w:rsidRPr="00D67345">
        <w:rPr>
          <w:rFonts w:ascii="Arial" w:eastAsia="SimSun" w:hAnsi="Arial" w:cs="Arial"/>
          <w:sz w:val="22"/>
          <w:szCs w:val="22"/>
          <w:lang w:val="fr-FR"/>
        </w:rPr>
        <w:t>orateurs pour féliciter la Présidente, les Vice-</w:t>
      </w:r>
      <w:r>
        <w:rPr>
          <w:rFonts w:ascii="Arial" w:eastAsia="SimSun" w:hAnsi="Arial" w:cs="Arial"/>
          <w:sz w:val="22"/>
          <w:szCs w:val="22"/>
          <w:lang w:val="fr-FR"/>
        </w:rPr>
        <w:t>P</w:t>
      </w:r>
      <w:r w:rsidRPr="00D67345">
        <w:rPr>
          <w:rFonts w:ascii="Arial" w:eastAsia="SimSun" w:hAnsi="Arial" w:cs="Arial"/>
          <w:sz w:val="22"/>
          <w:szCs w:val="22"/>
          <w:lang w:val="fr-FR"/>
        </w:rPr>
        <w:t>résident</w:t>
      </w:r>
      <w:r>
        <w:rPr>
          <w:rFonts w:ascii="Arial" w:eastAsia="SimSun" w:hAnsi="Arial" w:cs="Arial"/>
          <w:sz w:val="22"/>
          <w:szCs w:val="22"/>
          <w:lang w:val="fr-FR"/>
        </w:rPr>
        <w:t>(e)</w:t>
      </w:r>
      <w:r w:rsidRPr="00D67345">
        <w:rPr>
          <w:rFonts w:ascii="Arial" w:eastAsia="SimSun" w:hAnsi="Arial" w:cs="Arial"/>
          <w:sz w:val="22"/>
          <w:szCs w:val="22"/>
          <w:lang w:val="fr-FR"/>
        </w:rPr>
        <w:t>s et le Secrétariat pour le travail accompli au cours des deux dernières années. Elle a remercié le Sous-Directeur général pour le rapport détaillé et a salué le travail du Comité malgré les récentes difficultés. L</w:t>
      </w:r>
      <w:r w:rsidR="008E532B">
        <w:rPr>
          <w:rFonts w:ascii="Arial" w:eastAsia="SimSun" w:hAnsi="Arial" w:cs="Arial"/>
          <w:sz w:val="22"/>
          <w:szCs w:val="22"/>
          <w:lang w:val="fr-FR"/>
        </w:rPr>
        <w:t>’</w:t>
      </w:r>
      <w:r w:rsidRPr="00D67345">
        <w:rPr>
          <w:rFonts w:ascii="Arial" w:eastAsia="SimSun" w:hAnsi="Arial" w:cs="Arial"/>
          <w:sz w:val="22"/>
          <w:szCs w:val="22"/>
          <w:lang w:val="fr-FR"/>
        </w:rPr>
        <w:t>Ouzbékistan sout</w:t>
      </w:r>
      <w:r>
        <w:rPr>
          <w:rFonts w:ascii="Arial" w:eastAsia="SimSun" w:hAnsi="Arial" w:cs="Arial"/>
          <w:sz w:val="22"/>
          <w:szCs w:val="22"/>
          <w:lang w:val="fr-FR"/>
        </w:rPr>
        <w:t>enait</w:t>
      </w:r>
      <w:r w:rsidRPr="00D67345">
        <w:rPr>
          <w:rFonts w:ascii="Arial" w:eastAsia="SimSun" w:hAnsi="Arial" w:cs="Arial"/>
          <w:sz w:val="22"/>
          <w:szCs w:val="22"/>
          <w:lang w:val="fr-FR"/>
        </w:rPr>
        <w:t xml:space="preserve"> tous les efforts, y compris les initiatives engagées par le Comité, ajoutant qu</w:t>
      </w:r>
      <w:r>
        <w:rPr>
          <w:rFonts w:ascii="Arial" w:eastAsia="SimSun" w:hAnsi="Arial" w:cs="Arial"/>
          <w:sz w:val="22"/>
          <w:szCs w:val="22"/>
          <w:lang w:val="fr-FR"/>
        </w:rPr>
        <w:t>e le pays</w:t>
      </w:r>
      <w:r w:rsidRPr="00D67345">
        <w:rPr>
          <w:rFonts w:ascii="Arial" w:eastAsia="SimSun" w:hAnsi="Arial" w:cs="Arial"/>
          <w:sz w:val="22"/>
          <w:szCs w:val="22"/>
          <w:lang w:val="fr-FR"/>
        </w:rPr>
        <w:t xml:space="preserve"> </w:t>
      </w:r>
      <w:r>
        <w:rPr>
          <w:rFonts w:ascii="Arial" w:eastAsia="SimSun" w:hAnsi="Arial" w:cs="Arial"/>
          <w:sz w:val="22"/>
          <w:szCs w:val="22"/>
          <w:lang w:val="fr-FR"/>
        </w:rPr>
        <w:t>était</w:t>
      </w:r>
      <w:r w:rsidRPr="00D67345">
        <w:rPr>
          <w:rFonts w:ascii="Arial" w:eastAsia="SimSun" w:hAnsi="Arial" w:cs="Arial"/>
          <w:sz w:val="22"/>
          <w:szCs w:val="22"/>
          <w:lang w:val="fr-FR"/>
        </w:rPr>
        <w:t xml:space="preserve"> un </w:t>
      </w:r>
      <w:r>
        <w:rPr>
          <w:rFonts w:ascii="Arial" w:eastAsia="SimSun" w:hAnsi="Arial" w:cs="Arial"/>
          <w:sz w:val="22"/>
          <w:szCs w:val="22"/>
          <w:lang w:val="fr-FR"/>
        </w:rPr>
        <w:t xml:space="preserve">soutien </w:t>
      </w:r>
      <w:r w:rsidRPr="00D67345">
        <w:rPr>
          <w:rFonts w:ascii="Arial" w:eastAsia="SimSun" w:hAnsi="Arial" w:cs="Arial"/>
          <w:sz w:val="22"/>
          <w:szCs w:val="22"/>
          <w:lang w:val="fr-FR"/>
        </w:rPr>
        <w:t>résolu de la Convention. Il a</w:t>
      </w:r>
      <w:r>
        <w:rPr>
          <w:rFonts w:ascii="Arial" w:eastAsia="SimSun" w:hAnsi="Arial" w:cs="Arial"/>
          <w:sz w:val="22"/>
          <w:szCs w:val="22"/>
          <w:lang w:val="fr-FR"/>
        </w:rPr>
        <w:t>vait</w:t>
      </w:r>
      <w:r w:rsidRPr="00D67345">
        <w:rPr>
          <w:rFonts w:ascii="Arial" w:eastAsia="SimSun" w:hAnsi="Arial" w:cs="Arial"/>
          <w:sz w:val="22"/>
          <w:szCs w:val="22"/>
          <w:lang w:val="fr-FR"/>
        </w:rPr>
        <w:t xml:space="preserve"> depuis longtemps pris des mesures audacieuses pour sauver et promouvoir son riche </w:t>
      </w:r>
      <w:r w:rsidR="00E908E2">
        <w:rPr>
          <w:rFonts w:ascii="Arial" w:eastAsia="SimSun" w:hAnsi="Arial" w:cs="Arial"/>
          <w:bCs/>
          <w:sz w:val="22"/>
          <w:szCs w:val="22"/>
          <w:lang w:val="fr-FR" w:eastAsia="en-US"/>
        </w:rPr>
        <w:t xml:space="preserve">patrimoine culturel </w:t>
      </w:r>
      <w:proofErr w:type="gramStart"/>
      <w:r w:rsidR="00E908E2">
        <w:rPr>
          <w:rFonts w:ascii="Arial" w:eastAsia="SimSun" w:hAnsi="Arial" w:cs="Arial"/>
          <w:bCs/>
          <w:sz w:val="22"/>
          <w:szCs w:val="22"/>
          <w:lang w:val="fr-FR" w:eastAsia="en-US"/>
        </w:rPr>
        <w:t>immatériel</w:t>
      </w:r>
      <w:r w:rsidR="00E908E2" w:rsidRPr="001C722F">
        <w:rPr>
          <w:rFonts w:ascii="Arial" w:eastAsia="SimSun" w:hAnsi="Arial" w:cs="Arial"/>
          <w:bCs/>
          <w:sz w:val="22"/>
          <w:szCs w:val="22"/>
          <w:lang w:val="fr-FR" w:eastAsia="en-US"/>
        </w:rPr>
        <w:t xml:space="preserve"> </w:t>
      </w:r>
      <w:r w:rsidRPr="00D67345">
        <w:rPr>
          <w:rFonts w:ascii="Arial" w:eastAsia="SimSun" w:hAnsi="Arial" w:cs="Arial"/>
          <w:sz w:val="22"/>
          <w:szCs w:val="22"/>
          <w:lang w:val="fr-FR"/>
        </w:rPr>
        <w:t>.</w:t>
      </w:r>
      <w:proofErr w:type="gramEnd"/>
      <w:r w:rsidRPr="00D67345">
        <w:rPr>
          <w:rFonts w:ascii="Arial" w:eastAsia="SimSun" w:hAnsi="Arial" w:cs="Arial"/>
          <w:sz w:val="22"/>
          <w:szCs w:val="22"/>
          <w:lang w:val="fr-FR"/>
        </w:rPr>
        <w:t xml:space="preserve"> Au cours des deux dernières années, </w:t>
      </w:r>
      <w:r>
        <w:rPr>
          <w:rFonts w:ascii="Arial" w:eastAsia="SimSun" w:hAnsi="Arial" w:cs="Arial"/>
          <w:sz w:val="22"/>
          <w:szCs w:val="22"/>
          <w:lang w:val="fr-FR"/>
        </w:rPr>
        <w:t>afin de</w:t>
      </w:r>
      <w:r w:rsidRPr="00D67345">
        <w:rPr>
          <w:rFonts w:ascii="Arial" w:eastAsia="SimSun" w:hAnsi="Arial" w:cs="Arial"/>
          <w:sz w:val="22"/>
          <w:szCs w:val="22"/>
          <w:lang w:val="fr-FR"/>
        </w:rPr>
        <w:t xml:space="preserve"> promouvoir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D67345">
        <w:rPr>
          <w:rFonts w:ascii="Arial" w:eastAsia="SimSun" w:hAnsi="Arial" w:cs="Arial"/>
          <w:sz w:val="22"/>
          <w:szCs w:val="22"/>
          <w:lang w:val="fr-FR"/>
        </w:rPr>
        <w:t>au niveau régional, l</w:t>
      </w:r>
      <w:r w:rsidR="008E532B">
        <w:rPr>
          <w:rFonts w:ascii="Arial" w:eastAsia="SimSun" w:hAnsi="Arial" w:cs="Arial"/>
          <w:sz w:val="22"/>
          <w:szCs w:val="22"/>
          <w:lang w:val="fr-FR"/>
        </w:rPr>
        <w:t>’</w:t>
      </w:r>
      <w:r w:rsidRPr="00D67345">
        <w:rPr>
          <w:rFonts w:ascii="Arial" w:eastAsia="SimSun" w:hAnsi="Arial" w:cs="Arial"/>
          <w:sz w:val="22"/>
          <w:szCs w:val="22"/>
          <w:lang w:val="fr-FR"/>
        </w:rPr>
        <w:t>Ouzbékistan a</w:t>
      </w:r>
      <w:r>
        <w:rPr>
          <w:rFonts w:ascii="Arial" w:eastAsia="SimSun" w:hAnsi="Arial" w:cs="Arial"/>
          <w:sz w:val="22"/>
          <w:szCs w:val="22"/>
          <w:lang w:val="fr-FR"/>
        </w:rPr>
        <w:t>vait</w:t>
      </w:r>
      <w:r w:rsidRPr="00D67345">
        <w:rPr>
          <w:rFonts w:ascii="Arial" w:eastAsia="SimSun" w:hAnsi="Arial" w:cs="Arial"/>
          <w:sz w:val="22"/>
          <w:szCs w:val="22"/>
          <w:lang w:val="fr-FR"/>
        </w:rPr>
        <w:t xml:space="preserve"> lancé le </w:t>
      </w:r>
      <w:r>
        <w:rPr>
          <w:rFonts w:ascii="Arial" w:eastAsia="SimSun" w:hAnsi="Arial" w:cs="Arial"/>
          <w:sz w:val="22"/>
          <w:szCs w:val="22"/>
          <w:lang w:val="fr-FR"/>
        </w:rPr>
        <w:t>p</w:t>
      </w:r>
      <w:r w:rsidRPr="00D67345">
        <w:rPr>
          <w:rFonts w:ascii="Arial" w:eastAsia="SimSun" w:hAnsi="Arial" w:cs="Arial"/>
          <w:sz w:val="22"/>
          <w:szCs w:val="22"/>
          <w:lang w:val="fr-FR"/>
        </w:rPr>
        <w:t>rocessus de Khiva</w:t>
      </w:r>
      <w:r>
        <w:rPr>
          <w:rStyle w:val="FootnoteReference"/>
          <w:rFonts w:ascii="Arial" w:eastAsia="SimSun" w:hAnsi="Arial" w:cs="Arial"/>
          <w:sz w:val="22"/>
          <w:szCs w:val="22"/>
          <w:lang w:val="fr-FR"/>
        </w:rPr>
        <w:footnoteReference w:id="7"/>
      </w:r>
      <w:r w:rsidRPr="00D67345">
        <w:rPr>
          <w:rFonts w:ascii="Arial" w:eastAsia="SimSun" w:hAnsi="Arial" w:cs="Arial"/>
          <w:sz w:val="22"/>
          <w:szCs w:val="22"/>
          <w:lang w:val="fr-FR"/>
        </w:rPr>
        <w:t>, qui a</w:t>
      </w:r>
      <w:r>
        <w:rPr>
          <w:rFonts w:ascii="Arial" w:eastAsia="SimSun" w:hAnsi="Arial" w:cs="Arial"/>
          <w:sz w:val="22"/>
          <w:szCs w:val="22"/>
          <w:lang w:val="fr-FR"/>
        </w:rPr>
        <w:t>vait</w:t>
      </w:r>
      <w:r w:rsidRPr="00D67345">
        <w:rPr>
          <w:rFonts w:ascii="Arial" w:eastAsia="SimSun" w:hAnsi="Arial" w:cs="Arial"/>
          <w:sz w:val="22"/>
          <w:szCs w:val="22"/>
          <w:lang w:val="fr-FR"/>
        </w:rPr>
        <w:t xml:space="preserve"> été adopté par la Conférence générale et le </w:t>
      </w:r>
      <w:r>
        <w:rPr>
          <w:rFonts w:ascii="Arial" w:eastAsia="SimSun" w:hAnsi="Arial" w:cs="Arial"/>
          <w:sz w:val="22"/>
          <w:szCs w:val="22"/>
          <w:lang w:val="fr-FR"/>
        </w:rPr>
        <w:t>Conseil</w:t>
      </w:r>
      <w:r w:rsidRPr="00D67345">
        <w:rPr>
          <w:rFonts w:ascii="Arial" w:eastAsia="SimSun" w:hAnsi="Arial" w:cs="Arial"/>
          <w:sz w:val="22"/>
          <w:szCs w:val="22"/>
          <w:lang w:val="fr-FR"/>
        </w:rPr>
        <w:t xml:space="preserve"> exécutif. Il visait à renforcer l</w:t>
      </w:r>
      <w:r w:rsidR="008E532B">
        <w:rPr>
          <w:rFonts w:ascii="Arial" w:eastAsia="SimSun" w:hAnsi="Arial" w:cs="Arial"/>
          <w:sz w:val="22"/>
          <w:szCs w:val="22"/>
          <w:lang w:val="fr-FR"/>
        </w:rPr>
        <w:t>’</w:t>
      </w:r>
      <w:r w:rsidRPr="00D67345">
        <w:rPr>
          <w:rFonts w:ascii="Arial" w:eastAsia="SimSun" w:hAnsi="Arial" w:cs="Arial"/>
          <w:sz w:val="22"/>
          <w:szCs w:val="22"/>
          <w:lang w:val="fr-FR"/>
        </w:rPr>
        <w:t xml:space="preserve">unité des communautés et des nations et serait un atout pour la Convention. </w:t>
      </w:r>
      <w:r>
        <w:rPr>
          <w:rFonts w:ascii="Arial" w:eastAsia="SimSun" w:hAnsi="Arial" w:cs="Arial"/>
          <w:sz w:val="22"/>
          <w:szCs w:val="22"/>
          <w:lang w:val="fr-FR"/>
        </w:rPr>
        <w:t>L</w:t>
      </w:r>
      <w:r w:rsidR="008E532B">
        <w:rPr>
          <w:rFonts w:ascii="Arial" w:eastAsia="SimSun" w:hAnsi="Arial" w:cs="Arial"/>
          <w:sz w:val="22"/>
          <w:szCs w:val="22"/>
          <w:lang w:val="fr-FR"/>
        </w:rPr>
        <w:t>’</w:t>
      </w:r>
      <w:r>
        <w:rPr>
          <w:rFonts w:ascii="Arial" w:eastAsia="SimSun" w:hAnsi="Arial" w:cs="Arial"/>
          <w:sz w:val="22"/>
          <w:szCs w:val="22"/>
          <w:lang w:val="fr-FR"/>
        </w:rPr>
        <w:t xml:space="preserve">Ouzbékistan </w:t>
      </w:r>
      <w:r w:rsidRPr="00D67345">
        <w:rPr>
          <w:rFonts w:ascii="Arial" w:eastAsia="SimSun" w:hAnsi="Arial" w:cs="Arial"/>
          <w:sz w:val="22"/>
          <w:szCs w:val="22"/>
          <w:lang w:val="fr-FR"/>
        </w:rPr>
        <w:t xml:space="preserve">était également en train de modifier sa Constitution et, dans les projets de propositions, il y avait plusieurs articles visant à renforcer les activités des parties prenantes pour sauvegarder le riche patrimoine culturel du pays, y compris le </w:t>
      </w:r>
      <w:r w:rsidR="00E908E2">
        <w:rPr>
          <w:rFonts w:ascii="Arial" w:eastAsia="SimSun" w:hAnsi="Arial" w:cs="Arial"/>
          <w:bCs/>
          <w:sz w:val="22"/>
          <w:szCs w:val="22"/>
          <w:lang w:val="fr-FR" w:eastAsia="en-US"/>
        </w:rPr>
        <w:t xml:space="preserve">patrimoine culturel </w:t>
      </w:r>
      <w:proofErr w:type="gramStart"/>
      <w:r w:rsidR="00E908E2">
        <w:rPr>
          <w:rFonts w:ascii="Arial" w:eastAsia="SimSun" w:hAnsi="Arial" w:cs="Arial"/>
          <w:bCs/>
          <w:sz w:val="22"/>
          <w:szCs w:val="22"/>
          <w:lang w:val="fr-FR" w:eastAsia="en-US"/>
        </w:rPr>
        <w:t>immatériel</w:t>
      </w:r>
      <w:r w:rsidR="00E908E2" w:rsidRPr="001C722F">
        <w:rPr>
          <w:rFonts w:ascii="Arial" w:eastAsia="SimSun" w:hAnsi="Arial" w:cs="Arial"/>
          <w:bCs/>
          <w:sz w:val="22"/>
          <w:szCs w:val="22"/>
          <w:lang w:val="fr-FR" w:eastAsia="en-US"/>
        </w:rPr>
        <w:t xml:space="preserve"> </w:t>
      </w:r>
      <w:r w:rsidRPr="00D67345">
        <w:rPr>
          <w:rFonts w:ascii="Arial" w:eastAsia="SimSun" w:hAnsi="Arial" w:cs="Arial"/>
          <w:sz w:val="22"/>
          <w:szCs w:val="22"/>
          <w:lang w:val="fr-FR"/>
        </w:rPr>
        <w:t>.</w:t>
      </w:r>
      <w:proofErr w:type="gramEnd"/>
      <w:r w:rsidRPr="00D67345">
        <w:rPr>
          <w:rFonts w:ascii="Arial" w:eastAsia="SimSun" w:hAnsi="Arial" w:cs="Arial"/>
          <w:sz w:val="22"/>
          <w:szCs w:val="22"/>
          <w:lang w:val="fr-FR"/>
        </w:rPr>
        <w:t xml:space="preserve"> En outre, l</w:t>
      </w:r>
      <w:r w:rsidR="008E532B">
        <w:rPr>
          <w:rFonts w:ascii="Arial" w:eastAsia="SimSun" w:hAnsi="Arial" w:cs="Arial"/>
          <w:sz w:val="22"/>
          <w:szCs w:val="22"/>
          <w:lang w:val="fr-FR"/>
        </w:rPr>
        <w:t>’</w:t>
      </w:r>
      <w:r w:rsidRPr="00D67345">
        <w:rPr>
          <w:rFonts w:ascii="Arial" w:eastAsia="SimSun" w:hAnsi="Arial" w:cs="Arial"/>
          <w:sz w:val="22"/>
          <w:szCs w:val="22"/>
          <w:lang w:val="fr-FR"/>
        </w:rPr>
        <w:t xml:space="preserve">Ouzbékistan était, pour la première fois, candidat </w:t>
      </w:r>
      <w:r>
        <w:rPr>
          <w:rFonts w:ascii="Arial" w:eastAsia="SimSun" w:hAnsi="Arial" w:cs="Arial"/>
          <w:sz w:val="22"/>
          <w:szCs w:val="22"/>
          <w:lang w:val="fr-FR"/>
        </w:rPr>
        <w:t>pour être membre d</w:t>
      </w:r>
      <w:r w:rsidRPr="00D67345">
        <w:rPr>
          <w:rFonts w:ascii="Arial" w:eastAsia="SimSun" w:hAnsi="Arial" w:cs="Arial"/>
          <w:sz w:val="22"/>
          <w:szCs w:val="22"/>
          <w:lang w:val="fr-FR"/>
        </w:rPr>
        <w:t>u Comité</w:t>
      </w:r>
      <w:r>
        <w:rPr>
          <w:rFonts w:ascii="Arial" w:eastAsia="SimSun" w:hAnsi="Arial" w:cs="Arial"/>
          <w:sz w:val="22"/>
          <w:szCs w:val="22"/>
          <w:lang w:val="fr-FR"/>
        </w:rPr>
        <w:t xml:space="preserve"> lors de </w:t>
      </w:r>
      <w:r w:rsidRPr="00D67345">
        <w:rPr>
          <w:rFonts w:ascii="Arial" w:eastAsia="SimSun" w:hAnsi="Arial" w:cs="Arial"/>
          <w:sz w:val="22"/>
          <w:szCs w:val="22"/>
          <w:lang w:val="fr-FR"/>
        </w:rPr>
        <w:t>ce cycle électoral. Le pays a</w:t>
      </w:r>
      <w:r>
        <w:rPr>
          <w:rFonts w:ascii="Arial" w:eastAsia="SimSun" w:hAnsi="Arial" w:cs="Arial"/>
          <w:sz w:val="22"/>
          <w:szCs w:val="22"/>
          <w:lang w:val="fr-FR"/>
        </w:rPr>
        <w:t>vait</w:t>
      </w:r>
      <w:r w:rsidRPr="00D67345">
        <w:rPr>
          <w:rFonts w:ascii="Arial" w:eastAsia="SimSun" w:hAnsi="Arial" w:cs="Arial"/>
          <w:sz w:val="22"/>
          <w:szCs w:val="22"/>
          <w:lang w:val="fr-FR"/>
        </w:rPr>
        <w:t xml:space="preserve"> un immense potentiel avec douze éléments </w:t>
      </w:r>
      <w:r>
        <w:rPr>
          <w:rFonts w:ascii="Arial" w:eastAsia="SimSun" w:hAnsi="Arial" w:cs="Arial"/>
          <w:sz w:val="22"/>
          <w:szCs w:val="22"/>
          <w:lang w:val="fr-FR"/>
        </w:rPr>
        <w:t xml:space="preserve">inscrits </w:t>
      </w:r>
      <w:r w:rsidRPr="00D67345">
        <w:rPr>
          <w:rFonts w:ascii="Arial" w:eastAsia="SimSun" w:hAnsi="Arial" w:cs="Arial"/>
          <w:sz w:val="22"/>
          <w:szCs w:val="22"/>
          <w:lang w:val="fr-FR"/>
        </w:rPr>
        <w:t xml:space="preserve">sur la </w:t>
      </w:r>
      <w:r>
        <w:rPr>
          <w:rFonts w:ascii="Arial" w:eastAsia="SimSun" w:hAnsi="Arial" w:cs="Arial"/>
          <w:sz w:val="22"/>
          <w:szCs w:val="22"/>
          <w:lang w:val="fr-FR"/>
        </w:rPr>
        <w:t>L</w:t>
      </w:r>
      <w:r w:rsidRPr="00D67345">
        <w:rPr>
          <w:rFonts w:ascii="Arial" w:eastAsia="SimSun" w:hAnsi="Arial" w:cs="Arial"/>
          <w:sz w:val="22"/>
          <w:szCs w:val="22"/>
          <w:lang w:val="fr-FR"/>
        </w:rPr>
        <w:t>iste représentative et beaucoup d</w:t>
      </w:r>
      <w:r w:rsidR="008E532B">
        <w:rPr>
          <w:rFonts w:ascii="Arial" w:eastAsia="SimSun" w:hAnsi="Arial" w:cs="Arial"/>
          <w:sz w:val="22"/>
          <w:szCs w:val="22"/>
          <w:lang w:val="fr-FR"/>
        </w:rPr>
        <w:t>’</w:t>
      </w:r>
      <w:r w:rsidRPr="00D67345">
        <w:rPr>
          <w:rFonts w:ascii="Arial" w:eastAsia="SimSun" w:hAnsi="Arial" w:cs="Arial"/>
          <w:sz w:val="22"/>
          <w:szCs w:val="22"/>
          <w:lang w:val="fr-FR"/>
        </w:rPr>
        <w:t>autres sur la liste d</w:t>
      </w:r>
      <w:r w:rsidR="008E532B">
        <w:rPr>
          <w:rFonts w:ascii="Arial" w:eastAsia="SimSun" w:hAnsi="Arial" w:cs="Arial"/>
          <w:sz w:val="22"/>
          <w:szCs w:val="22"/>
          <w:lang w:val="fr-FR"/>
        </w:rPr>
        <w:t>’</w:t>
      </w:r>
      <w:r w:rsidRPr="00D67345">
        <w:rPr>
          <w:rFonts w:ascii="Arial" w:eastAsia="SimSun" w:hAnsi="Arial" w:cs="Arial"/>
          <w:sz w:val="22"/>
          <w:szCs w:val="22"/>
          <w:lang w:val="fr-FR"/>
        </w:rPr>
        <w:t>attente. Fort de son expérience et de ses connaissances, il pourrait contribuer de manière substantielle à la promotion de la Convention au niveau régional et mondial, notamment en aidant à la préparation des candidatures, en renforçant le développement des capacités et en améliorant les politiques et les pratiques.</w:t>
      </w:r>
    </w:p>
    <w:p w14:paraId="09CE70A9" w14:textId="06A9BA33" w:rsidR="00D9653F" w:rsidRPr="003E2AFB"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3E2AFB">
        <w:rPr>
          <w:rFonts w:ascii="Arial" w:eastAsia="SimSun" w:hAnsi="Arial" w:cs="Arial"/>
          <w:sz w:val="22"/>
          <w:szCs w:val="22"/>
          <w:lang w:val="fr-FR"/>
        </w:rPr>
        <w:t xml:space="preserve">La délégation de la </w:t>
      </w:r>
      <w:r w:rsidRPr="00F97283">
        <w:rPr>
          <w:rFonts w:ascii="Arial" w:eastAsia="SimSun" w:hAnsi="Arial" w:cs="Arial"/>
          <w:b/>
          <w:bCs/>
          <w:sz w:val="22"/>
          <w:szCs w:val="22"/>
          <w:lang w:val="fr-FR"/>
        </w:rPr>
        <w:t>Li</w:t>
      </w:r>
      <w:r w:rsidRPr="003E2AFB">
        <w:rPr>
          <w:rFonts w:ascii="Arial" w:eastAsia="SimSun" w:hAnsi="Arial" w:cs="Arial"/>
          <w:b/>
          <w:bCs/>
          <w:sz w:val="22"/>
          <w:szCs w:val="22"/>
          <w:lang w:val="fr-FR"/>
        </w:rPr>
        <w:t>tuanie</w:t>
      </w:r>
      <w:r w:rsidRPr="003E2AFB">
        <w:rPr>
          <w:rFonts w:ascii="Arial" w:eastAsia="SimSun" w:hAnsi="Arial" w:cs="Arial"/>
          <w:sz w:val="22"/>
          <w:szCs w:val="22"/>
          <w:lang w:val="fr-FR"/>
        </w:rPr>
        <w:t xml:space="preserve"> a félicité la Présidente pour son élection et a accueilli </w:t>
      </w:r>
      <w:r>
        <w:rPr>
          <w:rFonts w:ascii="Arial" w:eastAsia="SimSun" w:hAnsi="Arial" w:cs="Arial"/>
          <w:sz w:val="22"/>
          <w:szCs w:val="22"/>
          <w:lang w:val="fr-FR"/>
        </w:rPr>
        <w:t xml:space="preserve">avec </w:t>
      </w:r>
      <w:r w:rsidRPr="003E2AFB">
        <w:rPr>
          <w:rFonts w:ascii="Arial" w:eastAsia="SimSun" w:hAnsi="Arial" w:cs="Arial"/>
          <w:sz w:val="22"/>
          <w:szCs w:val="22"/>
          <w:lang w:val="fr-FR"/>
        </w:rPr>
        <w:t>satisfaction</w:t>
      </w:r>
      <w:r>
        <w:rPr>
          <w:rFonts w:ascii="Arial" w:eastAsia="SimSun" w:hAnsi="Arial" w:cs="Arial"/>
          <w:sz w:val="22"/>
          <w:szCs w:val="22"/>
          <w:lang w:val="fr-FR"/>
        </w:rPr>
        <w:t xml:space="preserve"> </w:t>
      </w:r>
      <w:r w:rsidRPr="003E2AFB">
        <w:rPr>
          <w:rFonts w:ascii="Arial" w:eastAsia="SimSun" w:hAnsi="Arial" w:cs="Arial"/>
          <w:sz w:val="22"/>
          <w:szCs w:val="22"/>
          <w:lang w:val="fr-FR"/>
        </w:rPr>
        <w:t>le rapport du Comité, qui présent</w:t>
      </w:r>
      <w:r>
        <w:rPr>
          <w:rFonts w:ascii="Arial" w:eastAsia="SimSun" w:hAnsi="Arial" w:cs="Arial"/>
          <w:sz w:val="22"/>
          <w:szCs w:val="22"/>
          <w:lang w:val="fr-FR"/>
        </w:rPr>
        <w:t>ait</w:t>
      </w:r>
      <w:r w:rsidRPr="003E2AFB">
        <w:rPr>
          <w:rFonts w:ascii="Arial" w:eastAsia="SimSun" w:hAnsi="Arial" w:cs="Arial"/>
          <w:sz w:val="22"/>
          <w:szCs w:val="22"/>
          <w:lang w:val="fr-FR"/>
        </w:rPr>
        <w:t xml:space="preserve"> </w:t>
      </w:r>
      <w:r>
        <w:rPr>
          <w:rFonts w:ascii="Arial" w:eastAsia="SimSun" w:hAnsi="Arial" w:cs="Arial"/>
          <w:sz w:val="22"/>
          <w:szCs w:val="22"/>
          <w:lang w:val="fr-FR"/>
        </w:rPr>
        <w:t>un vaste ensemble d</w:t>
      </w:r>
      <w:r w:rsidR="008E532B">
        <w:rPr>
          <w:rFonts w:ascii="Arial" w:eastAsia="SimSun" w:hAnsi="Arial" w:cs="Arial"/>
          <w:sz w:val="22"/>
          <w:szCs w:val="22"/>
          <w:lang w:val="fr-FR"/>
        </w:rPr>
        <w:t>’</w:t>
      </w:r>
      <w:r w:rsidRPr="003E2AFB">
        <w:rPr>
          <w:rFonts w:ascii="Arial" w:eastAsia="SimSun" w:hAnsi="Arial" w:cs="Arial"/>
          <w:sz w:val="22"/>
          <w:szCs w:val="22"/>
          <w:lang w:val="fr-FR"/>
        </w:rPr>
        <w:t xml:space="preserve">activités menées au cours de la période considérée, notamment un nombre important de candidatures examinées, une augmentation des inscriptions multinationales, une analyse des rapports périodiques et de nombreux documents de travail approuvés. La Lituanie a également félicité les deux nouveaux </w:t>
      </w:r>
      <w:r>
        <w:rPr>
          <w:rFonts w:ascii="Arial" w:eastAsia="SimSun" w:hAnsi="Arial" w:cs="Arial"/>
          <w:sz w:val="22"/>
          <w:szCs w:val="22"/>
          <w:lang w:val="fr-FR"/>
        </w:rPr>
        <w:t>É</w:t>
      </w:r>
      <w:r w:rsidRPr="003E2AFB">
        <w:rPr>
          <w:rFonts w:ascii="Arial" w:eastAsia="SimSun" w:hAnsi="Arial" w:cs="Arial"/>
          <w:sz w:val="22"/>
          <w:szCs w:val="22"/>
          <w:lang w:val="fr-FR"/>
        </w:rPr>
        <w:t>tats parties</w:t>
      </w:r>
      <w:r>
        <w:rPr>
          <w:rFonts w:ascii="Arial" w:eastAsia="SimSun" w:hAnsi="Arial" w:cs="Arial"/>
          <w:sz w:val="22"/>
          <w:szCs w:val="22"/>
          <w:lang w:val="fr-FR"/>
        </w:rPr>
        <w:t xml:space="preserve">, </w:t>
      </w:r>
      <w:r w:rsidRPr="003E2AFB">
        <w:rPr>
          <w:rFonts w:ascii="Arial" w:eastAsia="SimSun" w:hAnsi="Arial" w:cs="Arial"/>
          <w:sz w:val="22"/>
          <w:szCs w:val="22"/>
          <w:lang w:val="fr-FR"/>
        </w:rPr>
        <w:t>l</w:t>
      </w:r>
      <w:r w:rsidR="008E532B">
        <w:rPr>
          <w:rFonts w:ascii="Arial" w:eastAsia="SimSun" w:hAnsi="Arial" w:cs="Arial"/>
          <w:sz w:val="22"/>
          <w:szCs w:val="22"/>
          <w:lang w:val="fr-FR"/>
        </w:rPr>
        <w:t>’</w:t>
      </w:r>
      <w:r w:rsidRPr="003E2AFB">
        <w:rPr>
          <w:rFonts w:ascii="Arial" w:eastAsia="SimSun" w:hAnsi="Arial" w:cs="Arial"/>
          <w:sz w:val="22"/>
          <w:szCs w:val="22"/>
          <w:lang w:val="fr-FR"/>
        </w:rPr>
        <w:t>Angola et la Somalie. Elle appréci</w:t>
      </w:r>
      <w:r>
        <w:rPr>
          <w:rFonts w:ascii="Arial" w:eastAsia="SimSun" w:hAnsi="Arial" w:cs="Arial"/>
          <w:sz w:val="22"/>
          <w:szCs w:val="22"/>
          <w:lang w:val="fr-FR"/>
        </w:rPr>
        <w:t>ait</w:t>
      </w:r>
      <w:r w:rsidRPr="003E2AFB">
        <w:rPr>
          <w:rFonts w:ascii="Arial" w:eastAsia="SimSun" w:hAnsi="Arial" w:cs="Arial"/>
          <w:sz w:val="22"/>
          <w:szCs w:val="22"/>
          <w:lang w:val="fr-FR"/>
        </w:rPr>
        <w:t xml:space="preserve"> les grands progrès réalisés dans l</w:t>
      </w:r>
      <w:r w:rsidR="008E532B">
        <w:rPr>
          <w:rFonts w:ascii="Arial" w:eastAsia="SimSun" w:hAnsi="Arial" w:cs="Arial"/>
          <w:sz w:val="22"/>
          <w:szCs w:val="22"/>
          <w:lang w:val="fr-FR"/>
        </w:rPr>
        <w:t>’</w:t>
      </w:r>
      <w:r w:rsidRPr="003E2AFB">
        <w:rPr>
          <w:rFonts w:ascii="Arial" w:eastAsia="SimSun" w:hAnsi="Arial" w:cs="Arial"/>
          <w:sz w:val="22"/>
          <w:szCs w:val="22"/>
          <w:lang w:val="fr-FR"/>
        </w:rPr>
        <w:t>utilisation des mécanismes de dialogue et l</w:t>
      </w:r>
      <w:r w:rsidR="008E532B">
        <w:rPr>
          <w:rFonts w:ascii="Arial" w:eastAsia="SimSun" w:hAnsi="Arial" w:cs="Arial"/>
          <w:sz w:val="22"/>
          <w:szCs w:val="22"/>
          <w:lang w:val="fr-FR"/>
        </w:rPr>
        <w:t>’</w:t>
      </w:r>
      <w:r w:rsidRPr="003E2AFB">
        <w:rPr>
          <w:rFonts w:ascii="Arial" w:eastAsia="SimSun" w:hAnsi="Arial" w:cs="Arial"/>
          <w:sz w:val="22"/>
          <w:szCs w:val="22"/>
          <w:lang w:val="fr-FR"/>
        </w:rPr>
        <w:t>adaptation aux conditions de travail en ligne en raison de la pandémie. La délégation s</w:t>
      </w:r>
      <w:r w:rsidR="008E532B">
        <w:rPr>
          <w:rFonts w:ascii="Arial" w:eastAsia="SimSun" w:hAnsi="Arial" w:cs="Arial"/>
          <w:sz w:val="22"/>
          <w:szCs w:val="22"/>
          <w:lang w:val="fr-FR"/>
        </w:rPr>
        <w:t>’</w:t>
      </w:r>
      <w:r w:rsidRPr="003E2AFB">
        <w:rPr>
          <w:rFonts w:ascii="Arial" w:eastAsia="SimSun" w:hAnsi="Arial" w:cs="Arial"/>
          <w:sz w:val="22"/>
          <w:szCs w:val="22"/>
          <w:lang w:val="fr-FR"/>
        </w:rPr>
        <w:t xml:space="preserve">est particulièrement réjouie des résultats de la </w:t>
      </w:r>
      <w:r>
        <w:rPr>
          <w:rFonts w:ascii="Arial" w:eastAsia="SimSun" w:hAnsi="Arial" w:cs="Arial"/>
          <w:sz w:val="22"/>
          <w:szCs w:val="22"/>
          <w:lang w:val="fr-FR"/>
        </w:rPr>
        <w:t>cinquième</w:t>
      </w:r>
      <w:r w:rsidRPr="003E2AFB">
        <w:rPr>
          <w:rFonts w:ascii="Arial" w:eastAsia="SimSun" w:hAnsi="Arial" w:cs="Arial"/>
          <w:sz w:val="22"/>
          <w:szCs w:val="22"/>
          <w:lang w:val="fr-FR"/>
        </w:rPr>
        <w:t xml:space="preserve"> session extraordinaire du Comité, qui a</w:t>
      </w:r>
      <w:r>
        <w:rPr>
          <w:rFonts w:ascii="Arial" w:eastAsia="SimSun" w:hAnsi="Arial" w:cs="Arial"/>
          <w:sz w:val="22"/>
          <w:szCs w:val="22"/>
          <w:lang w:val="fr-FR"/>
        </w:rPr>
        <w:t>vait</w:t>
      </w:r>
      <w:r w:rsidRPr="003E2AFB">
        <w:rPr>
          <w:rFonts w:ascii="Arial" w:eastAsia="SimSun" w:hAnsi="Arial" w:cs="Arial"/>
          <w:sz w:val="22"/>
          <w:szCs w:val="22"/>
          <w:lang w:val="fr-FR"/>
        </w:rPr>
        <w:t xml:space="preserve"> approuvé les propositions pertinentes pour la révision des </w:t>
      </w:r>
      <w:r>
        <w:rPr>
          <w:rFonts w:ascii="Arial" w:eastAsia="SimSun" w:hAnsi="Arial" w:cs="Arial"/>
          <w:sz w:val="22"/>
          <w:szCs w:val="22"/>
          <w:lang w:val="fr-FR"/>
        </w:rPr>
        <w:t>D</w:t>
      </w:r>
      <w:r w:rsidRPr="003E2AFB">
        <w:rPr>
          <w:rFonts w:ascii="Arial" w:eastAsia="SimSun" w:hAnsi="Arial" w:cs="Arial"/>
          <w:sz w:val="22"/>
          <w:szCs w:val="22"/>
          <w:lang w:val="fr-FR"/>
        </w:rPr>
        <w:t>irectives opérationnelles à présenter à cette Assemblée. Elle s</w:t>
      </w:r>
      <w:r w:rsidR="008E532B">
        <w:rPr>
          <w:rFonts w:ascii="Arial" w:eastAsia="SimSun" w:hAnsi="Arial" w:cs="Arial"/>
          <w:sz w:val="22"/>
          <w:szCs w:val="22"/>
          <w:lang w:val="fr-FR"/>
        </w:rPr>
        <w:t>’</w:t>
      </w:r>
      <w:r w:rsidRPr="003E2AFB">
        <w:rPr>
          <w:rFonts w:ascii="Arial" w:eastAsia="SimSun" w:hAnsi="Arial" w:cs="Arial"/>
          <w:sz w:val="22"/>
          <w:szCs w:val="22"/>
          <w:lang w:val="fr-FR"/>
        </w:rPr>
        <w:t>est notamment félicitée de l</w:t>
      </w:r>
      <w:r w:rsidR="008E532B">
        <w:rPr>
          <w:rFonts w:ascii="Arial" w:eastAsia="SimSun" w:hAnsi="Arial" w:cs="Arial"/>
          <w:sz w:val="22"/>
          <w:szCs w:val="22"/>
          <w:lang w:val="fr-FR"/>
        </w:rPr>
        <w:t>’</w:t>
      </w:r>
      <w:r w:rsidRPr="003E2AFB">
        <w:rPr>
          <w:rFonts w:ascii="Arial" w:eastAsia="SimSun" w:hAnsi="Arial" w:cs="Arial"/>
          <w:sz w:val="22"/>
          <w:szCs w:val="22"/>
          <w:lang w:val="fr-FR"/>
        </w:rPr>
        <w:t>inscription de l</w:t>
      </w:r>
      <w:r w:rsidR="008E532B">
        <w:rPr>
          <w:rFonts w:ascii="Arial" w:eastAsia="SimSun" w:hAnsi="Arial" w:cs="Arial"/>
          <w:sz w:val="22"/>
          <w:szCs w:val="22"/>
          <w:lang w:val="fr-FR"/>
        </w:rPr>
        <w:t>’</w:t>
      </w:r>
      <w:r w:rsidRPr="003E2AFB">
        <w:rPr>
          <w:rFonts w:ascii="Arial" w:eastAsia="SimSun" w:hAnsi="Arial" w:cs="Arial"/>
          <w:sz w:val="22"/>
          <w:szCs w:val="22"/>
          <w:lang w:val="fr-FR"/>
        </w:rPr>
        <w:t xml:space="preserve">Ukraine, </w:t>
      </w:r>
      <w:r w:rsidRPr="00BF4BDA">
        <w:rPr>
          <w:rFonts w:ascii="Arial" w:eastAsia="SimSun" w:hAnsi="Arial" w:cs="Arial"/>
          <w:sz w:val="22"/>
          <w:szCs w:val="22"/>
          <w:lang w:val="fr-FR"/>
        </w:rPr>
        <w:t xml:space="preserve">la </w:t>
      </w:r>
      <w:r>
        <w:rPr>
          <w:rFonts w:ascii="Arial" w:eastAsia="SimSun" w:hAnsi="Arial" w:cs="Arial"/>
          <w:sz w:val="22"/>
          <w:szCs w:val="22"/>
          <w:lang w:val="fr-FR"/>
        </w:rPr>
        <w:t>c</w:t>
      </w:r>
      <w:r w:rsidRPr="00BF4BDA">
        <w:rPr>
          <w:rFonts w:ascii="Arial" w:eastAsia="SimSun" w:hAnsi="Arial" w:cs="Arial"/>
          <w:sz w:val="22"/>
          <w:szCs w:val="22"/>
          <w:lang w:val="fr-FR"/>
        </w:rPr>
        <w:t xml:space="preserve">ulture de la </w:t>
      </w:r>
      <w:r>
        <w:rPr>
          <w:rFonts w:ascii="Arial" w:eastAsia="SimSun" w:hAnsi="Arial" w:cs="Arial"/>
          <w:sz w:val="22"/>
          <w:szCs w:val="22"/>
          <w:lang w:val="fr-FR"/>
        </w:rPr>
        <w:t xml:space="preserve">préparation du bortsch </w:t>
      </w:r>
      <w:r w:rsidRPr="00BF4BDA">
        <w:rPr>
          <w:rFonts w:ascii="Arial" w:eastAsia="SimSun" w:hAnsi="Arial" w:cs="Arial"/>
          <w:sz w:val="22"/>
          <w:szCs w:val="22"/>
          <w:lang w:val="fr-FR"/>
        </w:rPr>
        <w:t>ukrainien</w:t>
      </w:r>
      <w:r w:rsidRPr="003E2AFB">
        <w:rPr>
          <w:rFonts w:ascii="Arial" w:eastAsia="SimSun" w:hAnsi="Arial" w:cs="Arial"/>
          <w:sz w:val="22"/>
          <w:szCs w:val="22"/>
          <w:lang w:val="fr-FR"/>
        </w:rPr>
        <w:t>. La délégation était d</w:t>
      </w:r>
      <w:r w:rsidR="008E532B">
        <w:rPr>
          <w:rFonts w:ascii="Arial" w:eastAsia="SimSun" w:hAnsi="Arial" w:cs="Arial"/>
          <w:sz w:val="22"/>
          <w:szCs w:val="22"/>
          <w:lang w:val="fr-FR"/>
        </w:rPr>
        <w:t>’</w:t>
      </w:r>
      <w:r w:rsidRPr="003E2AFB">
        <w:rPr>
          <w:rFonts w:ascii="Arial" w:eastAsia="SimSun" w:hAnsi="Arial" w:cs="Arial"/>
          <w:sz w:val="22"/>
          <w:szCs w:val="22"/>
          <w:lang w:val="fr-FR"/>
        </w:rPr>
        <w:t>avis que le recours à l</w:t>
      </w:r>
      <w:r w:rsidR="008E532B">
        <w:rPr>
          <w:rFonts w:ascii="Arial" w:eastAsia="SimSun" w:hAnsi="Arial" w:cs="Arial"/>
          <w:sz w:val="22"/>
          <w:szCs w:val="22"/>
          <w:lang w:val="fr-FR"/>
        </w:rPr>
        <w:t>’</w:t>
      </w:r>
      <w:r w:rsidRPr="003E2AFB">
        <w:rPr>
          <w:rFonts w:ascii="Arial" w:eastAsia="SimSun" w:hAnsi="Arial" w:cs="Arial"/>
          <w:sz w:val="22"/>
          <w:szCs w:val="22"/>
          <w:lang w:val="fr-FR"/>
        </w:rPr>
        <w:t>article 17.3 de la Convention était justifié</w:t>
      </w:r>
      <w:r>
        <w:rPr>
          <w:rFonts w:ascii="Arial" w:eastAsia="SimSun" w:hAnsi="Arial" w:cs="Arial"/>
          <w:sz w:val="22"/>
          <w:szCs w:val="22"/>
          <w:lang w:val="fr-FR"/>
        </w:rPr>
        <w:t>,</w:t>
      </w:r>
      <w:r w:rsidRPr="003E2AFB">
        <w:rPr>
          <w:rFonts w:ascii="Arial" w:eastAsia="SimSun" w:hAnsi="Arial" w:cs="Arial"/>
          <w:sz w:val="22"/>
          <w:szCs w:val="22"/>
          <w:lang w:val="fr-FR"/>
        </w:rPr>
        <w:t xml:space="preserve"> car l</w:t>
      </w:r>
      <w:r w:rsidR="008E532B">
        <w:rPr>
          <w:rFonts w:ascii="Arial" w:eastAsia="SimSun" w:hAnsi="Arial" w:cs="Arial"/>
          <w:sz w:val="22"/>
          <w:szCs w:val="22"/>
          <w:lang w:val="fr-FR"/>
        </w:rPr>
        <w:t>’</w:t>
      </w:r>
      <w:r w:rsidRPr="003E2AFB">
        <w:rPr>
          <w:rFonts w:ascii="Arial" w:eastAsia="SimSun" w:hAnsi="Arial" w:cs="Arial"/>
          <w:sz w:val="22"/>
          <w:szCs w:val="22"/>
          <w:lang w:val="fr-FR"/>
        </w:rPr>
        <w:t>Ukraine et toutes ses communautés culturelles souffr</w:t>
      </w:r>
      <w:r>
        <w:rPr>
          <w:rFonts w:ascii="Arial" w:eastAsia="SimSun" w:hAnsi="Arial" w:cs="Arial"/>
          <w:sz w:val="22"/>
          <w:szCs w:val="22"/>
          <w:lang w:val="fr-FR"/>
        </w:rPr>
        <w:t>aient</w:t>
      </w:r>
      <w:r w:rsidRPr="003E2AFB">
        <w:rPr>
          <w:rFonts w:ascii="Arial" w:eastAsia="SimSun" w:hAnsi="Arial" w:cs="Arial"/>
          <w:sz w:val="22"/>
          <w:szCs w:val="22"/>
          <w:lang w:val="fr-FR"/>
        </w:rPr>
        <w:t xml:space="preserve"> énormément de </w:t>
      </w:r>
      <w:r w:rsidR="006D41D6">
        <w:rPr>
          <w:rFonts w:ascii="Arial" w:eastAsia="SimSun" w:hAnsi="Arial" w:cs="Arial"/>
          <w:sz w:val="22"/>
          <w:szCs w:val="22"/>
          <w:lang w:val="fr-FR"/>
        </w:rPr>
        <w:t>la guerre en Ukraine</w:t>
      </w:r>
      <w:r w:rsidRPr="003E2AFB">
        <w:rPr>
          <w:rFonts w:ascii="Arial" w:eastAsia="SimSun" w:hAnsi="Arial" w:cs="Arial"/>
          <w:sz w:val="22"/>
          <w:szCs w:val="22"/>
          <w:lang w:val="fr-FR"/>
        </w:rPr>
        <w:t>, qui non seulement mena</w:t>
      </w:r>
      <w:r>
        <w:rPr>
          <w:rFonts w:ascii="Arial" w:eastAsia="SimSun" w:hAnsi="Arial" w:cs="Arial"/>
          <w:sz w:val="22"/>
          <w:szCs w:val="22"/>
          <w:lang w:val="fr-FR"/>
        </w:rPr>
        <w:t>çait</w:t>
      </w:r>
      <w:r w:rsidRPr="003E2AFB">
        <w:rPr>
          <w:rFonts w:ascii="Arial" w:eastAsia="SimSun" w:hAnsi="Arial" w:cs="Arial"/>
          <w:sz w:val="22"/>
          <w:szCs w:val="22"/>
          <w:lang w:val="fr-FR"/>
        </w:rPr>
        <w:t xml:space="preserve"> la viabilité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E2AFB">
        <w:rPr>
          <w:rFonts w:ascii="Arial" w:eastAsia="SimSun" w:hAnsi="Arial" w:cs="Arial"/>
          <w:sz w:val="22"/>
          <w:szCs w:val="22"/>
          <w:lang w:val="fr-FR"/>
        </w:rPr>
        <w:t>mais met</w:t>
      </w:r>
      <w:r>
        <w:rPr>
          <w:rFonts w:ascii="Arial" w:eastAsia="SimSun" w:hAnsi="Arial" w:cs="Arial"/>
          <w:sz w:val="22"/>
          <w:szCs w:val="22"/>
          <w:lang w:val="fr-FR"/>
        </w:rPr>
        <w:t>tait</w:t>
      </w:r>
      <w:r w:rsidRPr="003E2AFB">
        <w:rPr>
          <w:rFonts w:ascii="Arial" w:eastAsia="SimSun" w:hAnsi="Arial" w:cs="Arial"/>
          <w:sz w:val="22"/>
          <w:szCs w:val="22"/>
          <w:lang w:val="fr-FR"/>
        </w:rPr>
        <w:t xml:space="preserve"> également en danger la créativité et les droits de l</w:t>
      </w:r>
      <w:r w:rsidR="008E532B">
        <w:rPr>
          <w:rFonts w:ascii="Arial" w:eastAsia="SimSun" w:hAnsi="Arial" w:cs="Arial"/>
          <w:sz w:val="22"/>
          <w:szCs w:val="22"/>
          <w:lang w:val="fr-FR"/>
        </w:rPr>
        <w:t>’</w:t>
      </w:r>
      <w:r w:rsidRPr="003E2AFB">
        <w:rPr>
          <w:rFonts w:ascii="Arial" w:eastAsia="SimSun" w:hAnsi="Arial" w:cs="Arial"/>
          <w:sz w:val="22"/>
          <w:szCs w:val="22"/>
          <w:lang w:val="fr-FR"/>
        </w:rPr>
        <w:t>homme. La Lituanie souten</w:t>
      </w:r>
      <w:r>
        <w:rPr>
          <w:rFonts w:ascii="Arial" w:eastAsia="SimSun" w:hAnsi="Arial" w:cs="Arial"/>
          <w:sz w:val="22"/>
          <w:szCs w:val="22"/>
          <w:lang w:val="fr-FR"/>
        </w:rPr>
        <w:t>ait</w:t>
      </w:r>
      <w:r w:rsidRPr="003E2AFB">
        <w:rPr>
          <w:rFonts w:ascii="Arial" w:eastAsia="SimSun" w:hAnsi="Arial" w:cs="Arial"/>
          <w:sz w:val="22"/>
          <w:szCs w:val="22"/>
          <w:lang w:val="fr-FR"/>
        </w:rPr>
        <w:t xml:space="preserve"> la déclaration concernant la situation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E2AFB">
        <w:rPr>
          <w:rFonts w:ascii="Arial" w:eastAsia="SimSun" w:hAnsi="Arial" w:cs="Arial"/>
          <w:sz w:val="22"/>
          <w:szCs w:val="22"/>
          <w:lang w:val="fr-FR"/>
        </w:rPr>
        <w:t>en Ukraine</w:t>
      </w:r>
      <w:r>
        <w:rPr>
          <w:rFonts w:ascii="Arial" w:eastAsia="SimSun" w:hAnsi="Arial" w:cs="Arial"/>
          <w:sz w:val="22"/>
          <w:szCs w:val="22"/>
          <w:lang w:val="fr-FR"/>
        </w:rPr>
        <w:t xml:space="preserve">, </w:t>
      </w:r>
      <w:r w:rsidRPr="003E2AFB">
        <w:rPr>
          <w:rFonts w:ascii="Arial" w:eastAsia="SimSun" w:hAnsi="Arial" w:cs="Arial"/>
          <w:sz w:val="22"/>
          <w:szCs w:val="22"/>
          <w:lang w:val="fr-FR"/>
        </w:rPr>
        <w:t>qui a</w:t>
      </w:r>
      <w:r>
        <w:rPr>
          <w:rFonts w:ascii="Arial" w:eastAsia="SimSun" w:hAnsi="Arial" w:cs="Arial"/>
          <w:sz w:val="22"/>
          <w:szCs w:val="22"/>
          <w:lang w:val="fr-FR"/>
        </w:rPr>
        <w:t>vait</w:t>
      </w:r>
      <w:r w:rsidRPr="003E2AFB">
        <w:rPr>
          <w:rFonts w:ascii="Arial" w:eastAsia="SimSun" w:hAnsi="Arial" w:cs="Arial"/>
          <w:sz w:val="22"/>
          <w:szCs w:val="22"/>
          <w:lang w:val="fr-FR"/>
        </w:rPr>
        <w:t xml:space="preserve"> été prononcée par le Monténégro au nom de plusieurs pays. Elle </w:t>
      </w:r>
      <w:r>
        <w:rPr>
          <w:rFonts w:ascii="Arial" w:eastAsia="SimSun" w:hAnsi="Arial" w:cs="Arial"/>
          <w:sz w:val="22"/>
          <w:szCs w:val="22"/>
          <w:lang w:val="fr-FR"/>
        </w:rPr>
        <w:t xml:space="preserve">soutenait </w:t>
      </w:r>
      <w:r w:rsidRPr="003E2AFB">
        <w:rPr>
          <w:rFonts w:ascii="Arial" w:eastAsia="SimSun" w:hAnsi="Arial" w:cs="Arial"/>
          <w:sz w:val="22"/>
          <w:szCs w:val="22"/>
          <w:lang w:val="fr-FR"/>
        </w:rPr>
        <w:t>également</w:t>
      </w:r>
      <w:r>
        <w:rPr>
          <w:rFonts w:ascii="Arial" w:eastAsia="SimSun" w:hAnsi="Arial" w:cs="Arial"/>
          <w:sz w:val="22"/>
          <w:szCs w:val="22"/>
          <w:lang w:val="fr-FR"/>
        </w:rPr>
        <w:t xml:space="preserve"> </w:t>
      </w:r>
      <w:r w:rsidRPr="003E2AFB">
        <w:rPr>
          <w:rFonts w:ascii="Arial" w:eastAsia="SimSun" w:hAnsi="Arial" w:cs="Arial"/>
          <w:sz w:val="22"/>
          <w:szCs w:val="22"/>
          <w:lang w:val="fr-FR"/>
        </w:rPr>
        <w:t>le projet de décision approuvant le rapport du Comité</w:t>
      </w:r>
      <w:r>
        <w:rPr>
          <w:rFonts w:ascii="Arial" w:eastAsia="SimSun" w:hAnsi="Arial" w:cs="Arial"/>
          <w:sz w:val="22"/>
          <w:szCs w:val="22"/>
          <w:lang w:val="fr-FR"/>
        </w:rPr>
        <w:t>,</w:t>
      </w:r>
      <w:r w:rsidRPr="003E2AFB">
        <w:rPr>
          <w:rFonts w:ascii="Arial" w:eastAsia="SimSun" w:hAnsi="Arial" w:cs="Arial"/>
          <w:sz w:val="22"/>
          <w:szCs w:val="22"/>
          <w:lang w:val="fr-FR"/>
        </w:rPr>
        <w:t xml:space="preserve"> et elle a sincèrement remercié tous les membres du Comité pour l</w:t>
      </w:r>
      <w:r w:rsidR="008E532B">
        <w:rPr>
          <w:rFonts w:ascii="Arial" w:eastAsia="SimSun" w:hAnsi="Arial" w:cs="Arial"/>
          <w:sz w:val="22"/>
          <w:szCs w:val="22"/>
          <w:lang w:val="fr-FR"/>
        </w:rPr>
        <w:t>’</w:t>
      </w:r>
      <w:r w:rsidRPr="003E2AFB">
        <w:rPr>
          <w:rFonts w:ascii="Arial" w:eastAsia="SimSun" w:hAnsi="Arial" w:cs="Arial"/>
          <w:sz w:val="22"/>
          <w:szCs w:val="22"/>
          <w:lang w:val="fr-FR"/>
        </w:rPr>
        <w:t>excellent travail effectué et tous les efforts déployés dans la mise en œuvre de la Convention.</w:t>
      </w:r>
    </w:p>
    <w:p w14:paraId="4FC4A7E2" w14:textId="2E0BB9B7" w:rsidR="00D9653F" w:rsidRPr="00C1180E"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C1180E">
        <w:rPr>
          <w:rFonts w:ascii="Arial" w:eastAsia="SimSun" w:hAnsi="Arial" w:cs="Arial"/>
          <w:sz w:val="22"/>
          <w:szCs w:val="22"/>
          <w:lang w:val="fr-FR"/>
        </w:rPr>
        <w:t xml:space="preserve">La délégation de la </w:t>
      </w:r>
      <w:r w:rsidRPr="00C1180E">
        <w:rPr>
          <w:rFonts w:ascii="Arial" w:eastAsia="SimSun" w:hAnsi="Arial" w:cs="Arial"/>
          <w:b/>
          <w:bCs/>
          <w:sz w:val="22"/>
          <w:szCs w:val="22"/>
          <w:lang w:val="fr-FR"/>
        </w:rPr>
        <w:t>Lettonie</w:t>
      </w:r>
      <w:r w:rsidRPr="00C1180E">
        <w:rPr>
          <w:rFonts w:ascii="Arial" w:eastAsia="SimSun" w:hAnsi="Arial" w:cs="Arial"/>
          <w:sz w:val="22"/>
          <w:szCs w:val="22"/>
          <w:lang w:val="fr-FR"/>
        </w:rPr>
        <w:t xml:space="preserve"> a félicité la Présidente pour son élection et a remercié le Secrétariat pour son travail de préparation de cette Assemblée. Elle </w:t>
      </w:r>
      <w:r>
        <w:rPr>
          <w:rFonts w:ascii="Arial" w:eastAsia="SimSun" w:hAnsi="Arial" w:cs="Arial"/>
          <w:sz w:val="22"/>
          <w:szCs w:val="22"/>
          <w:lang w:val="fr-FR"/>
        </w:rPr>
        <w:t>s</w:t>
      </w:r>
      <w:r w:rsidR="008E532B">
        <w:rPr>
          <w:rFonts w:ascii="Arial" w:eastAsia="SimSun" w:hAnsi="Arial" w:cs="Arial"/>
          <w:sz w:val="22"/>
          <w:szCs w:val="22"/>
          <w:lang w:val="fr-FR"/>
        </w:rPr>
        <w:t>’</w:t>
      </w:r>
      <w:r>
        <w:rPr>
          <w:rFonts w:ascii="Arial" w:eastAsia="SimSun" w:hAnsi="Arial" w:cs="Arial"/>
          <w:sz w:val="22"/>
          <w:szCs w:val="22"/>
          <w:lang w:val="fr-FR"/>
        </w:rPr>
        <w:t>est félicitée du</w:t>
      </w:r>
      <w:r w:rsidRPr="00C1180E">
        <w:rPr>
          <w:rFonts w:ascii="Arial" w:eastAsia="SimSun" w:hAnsi="Arial" w:cs="Arial"/>
          <w:sz w:val="22"/>
          <w:szCs w:val="22"/>
          <w:lang w:val="fr-FR"/>
        </w:rPr>
        <w:t xml:space="preserve"> travail très efficace du Comité, y compris son travail sur la réflexion globale sur les mécanismes d</w:t>
      </w:r>
      <w:r w:rsidR="008E532B">
        <w:rPr>
          <w:rFonts w:ascii="Arial" w:eastAsia="SimSun" w:hAnsi="Arial" w:cs="Arial"/>
          <w:sz w:val="22"/>
          <w:szCs w:val="22"/>
          <w:lang w:val="fr-FR"/>
        </w:rPr>
        <w:t>’</w:t>
      </w:r>
      <w:r w:rsidRPr="00C1180E">
        <w:rPr>
          <w:rFonts w:ascii="Arial" w:eastAsia="SimSun" w:hAnsi="Arial" w:cs="Arial"/>
          <w:sz w:val="22"/>
          <w:szCs w:val="22"/>
          <w:lang w:val="fr-FR"/>
        </w:rPr>
        <w:t>inscription</w:t>
      </w:r>
      <w:r>
        <w:rPr>
          <w:rFonts w:ascii="Arial" w:eastAsia="SimSun" w:hAnsi="Arial" w:cs="Arial"/>
          <w:sz w:val="22"/>
          <w:szCs w:val="22"/>
          <w:lang w:val="fr-FR"/>
        </w:rPr>
        <w:t>, entrepris</w:t>
      </w:r>
      <w:r w:rsidRPr="00C1180E">
        <w:rPr>
          <w:rFonts w:ascii="Arial" w:eastAsia="SimSun" w:hAnsi="Arial" w:cs="Arial"/>
          <w:sz w:val="22"/>
          <w:szCs w:val="22"/>
          <w:lang w:val="fr-FR"/>
        </w:rPr>
        <w:t xml:space="preserve"> malgré les conditions restrictives </w:t>
      </w:r>
      <w:r>
        <w:rPr>
          <w:rFonts w:ascii="Arial" w:eastAsia="SimSun" w:hAnsi="Arial" w:cs="Arial"/>
          <w:sz w:val="22"/>
          <w:szCs w:val="22"/>
          <w:lang w:val="fr-FR"/>
        </w:rPr>
        <w:t xml:space="preserve">liées à la </w:t>
      </w:r>
      <w:r w:rsidRPr="00C1180E">
        <w:rPr>
          <w:rFonts w:ascii="Arial" w:eastAsia="SimSun" w:hAnsi="Arial" w:cs="Arial"/>
          <w:sz w:val="22"/>
          <w:szCs w:val="22"/>
          <w:lang w:val="fr-FR"/>
        </w:rPr>
        <w:t>COVID</w:t>
      </w:r>
      <w:r>
        <w:rPr>
          <w:rFonts w:ascii="Arial" w:eastAsia="SimSun" w:hAnsi="Arial" w:cs="Arial"/>
          <w:sz w:val="22"/>
          <w:szCs w:val="22"/>
          <w:lang w:val="fr-FR"/>
        </w:rPr>
        <w:noBreakHyphen/>
      </w:r>
      <w:r w:rsidRPr="00C1180E">
        <w:rPr>
          <w:rFonts w:ascii="Arial" w:eastAsia="SimSun" w:hAnsi="Arial" w:cs="Arial"/>
          <w:sz w:val="22"/>
          <w:szCs w:val="22"/>
          <w:lang w:val="fr-FR"/>
        </w:rPr>
        <w:t xml:space="preserve">19 </w:t>
      </w:r>
      <w:r>
        <w:rPr>
          <w:rFonts w:ascii="Arial" w:eastAsia="SimSun" w:hAnsi="Arial" w:cs="Arial"/>
          <w:sz w:val="22"/>
          <w:szCs w:val="22"/>
          <w:lang w:val="fr-FR"/>
        </w:rPr>
        <w:t xml:space="preserve">connues </w:t>
      </w:r>
      <w:r w:rsidRPr="00C1180E">
        <w:rPr>
          <w:rFonts w:ascii="Arial" w:eastAsia="SimSun" w:hAnsi="Arial" w:cs="Arial"/>
          <w:sz w:val="22"/>
          <w:szCs w:val="22"/>
          <w:lang w:val="fr-FR"/>
        </w:rPr>
        <w:t xml:space="preserve">pendant la période </w:t>
      </w:r>
      <w:r>
        <w:rPr>
          <w:rFonts w:ascii="Arial" w:eastAsia="SimSun" w:hAnsi="Arial" w:cs="Arial"/>
          <w:sz w:val="22"/>
          <w:szCs w:val="22"/>
          <w:lang w:val="fr-FR"/>
        </w:rPr>
        <w:t>concernée</w:t>
      </w:r>
      <w:r w:rsidRPr="00C1180E">
        <w:rPr>
          <w:rFonts w:ascii="Arial" w:eastAsia="SimSun" w:hAnsi="Arial" w:cs="Arial"/>
          <w:sz w:val="22"/>
          <w:szCs w:val="22"/>
          <w:lang w:val="fr-FR"/>
        </w:rPr>
        <w:t>. La Lettonie a exprimé son soutien, en particulier</w:t>
      </w:r>
      <w:r>
        <w:rPr>
          <w:rFonts w:ascii="Arial" w:eastAsia="SimSun" w:hAnsi="Arial" w:cs="Arial"/>
          <w:sz w:val="22"/>
          <w:szCs w:val="22"/>
          <w:lang w:val="fr-FR"/>
        </w:rPr>
        <w:t>,</w:t>
      </w:r>
      <w:r w:rsidRPr="00C1180E">
        <w:rPr>
          <w:rFonts w:ascii="Arial" w:eastAsia="SimSun" w:hAnsi="Arial" w:cs="Arial"/>
          <w:sz w:val="22"/>
          <w:szCs w:val="22"/>
          <w:lang w:val="fr-FR"/>
        </w:rPr>
        <w:t xml:space="preserve"> à la poursuite du processus de réflexion sur les fonctions consultatives à </w:t>
      </w:r>
      <w:r>
        <w:rPr>
          <w:rFonts w:ascii="Arial" w:eastAsia="SimSun" w:hAnsi="Arial" w:cs="Arial"/>
          <w:sz w:val="22"/>
          <w:szCs w:val="22"/>
          <w:lang w:val="fr-FR"/>
        </w:rPr>
        <w:t>exercer</w:t>
      </w:r>
      <w:r w:rsidRPr="00C1180E">
        <w:rPr>
          <w:rFonts w:ascii="Arial" w:eastAsia="SimSun" w:hAnsi="Arial" w:cs="Arial"/>
          <w:sz w:val="22"/>
          <w:szCs w:val="22"/>
          <w:lang w:val="fr-FR"/>
        </w:rPr>
        <w:t xml:space="preserve"> par les ONG accréditées. La Lettonie a fait part de son engagement continu en faveur du rôle important que jouent les ONG dans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1180E">
        <w:rPr>
          <w:rFonts w:ascii="Arial" w:eastAsia="SimSun" w:hAnsi="Arial" w:cs="Arial"/>
          <w:sz w:val="22"/>
          <w:szCs w:val="22"/>
          <w:lang w:val="fr-FR"/>
        </w:rPr>
        <w:t>et de leur coopération aux niveaux international, national et local. La Lettonie a également souligné l</w:t>
      </w:r>
      <w:r w:rsidR="008E532B">
        <w:rPr>
          <w:rFonts w:ascii="Arial" w:eastAsia="SimSun" w:hAnsi="Arial" w:cs="Arial"/>
          <w:sz w:val="22"/>
          <w:szCs w:val="22"/>
          <w:lang w:val="fr-FR"/>
        </w:rPr>
        <w:t>’</w:t>
      </w:r>
      <w:r w:rsidRPr="00C1180E">
        <w:rPr>
          <w:rFonts w:ascii="Arial" w:eastAsia="SimSun" w:hAnsi="Arial" w:cs="Arial"/>
          <w:sz w:val="22"/>
          <w:szCs w:val="22"/>
          <w:lang w:val="fr-FR"/>
        </w:rPr>
        <w:t xml:space="preserve">importance de la sensibilisation </w:t>
      </w:r>
      <w:r>
        <w:rPr>
          <w:rFonts w:ascii="Arial" w:eastAsia="SimSun" w:hAnsi="Arial" w:cs="Arial"/>
          <w:sz w:val="22"/>
          <w:szCs w:val="22"/>
          <w:lang w:val="fr-FR"/>
        </w:rPr>
        <w:t xml:space="preserve">au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1180E">
        <w:rPr>
          <w:rFonts w:ascii="Arial" w:eastAsia="SimSun" w:hAnsi="Arial" w:cs="Arial"/>
          <w:sz w:val="22"/>
          <w:szCs w:val="22"/>
          <w:lang w:val="fr-FR"/>
        </w:rPr>
        <w:t>et de</w:t>
      </w:r>
      <w:r>
        <w:rPr>
          <w:rFonts w:ascii="Arial" w:eastAsia="SimSun" w:hAnsi="Arial" w:cs="Arial"/>
          <w:sz w:val="22"/>
          <w:szCs w:val="22"/>
          <w:lang w:val="fr-FR"/>
        </w:rPr>
        <w:t xml:space="preserve"> la diffusion de</w:t>
      </w:r>
      <w:r w:rsidRPr="00C1180E">
        <w:rPr>
          <w:rFonts w:ascii="Arial" w:eastAsia="SimSun" w:hAnsi="Arial" w:cs="Arial"/>
          <w:sz w:val="22"/>
          <w:szCs w:val="22"/>
          <w:lang w:val="fr-FR"/>
        </w:rPr>
        <w:t xml:space="preserve"> l</w:t>
      </w:r>
      <w:r w:rsidR="008E532B">
        <w:rPr>
          <w:rFonts w:ascii="Arial" w:eastAsia="SimSun" w:hAnsi="Arial" w:cs="Arial"/>
          <w:sz w:val="22"/>
          <w:szCs w:val="22"/>
          <w:lang w:val="fr-FR"/>
        </w:rPr>
        <w:t>’</w:t>
      </w:r>
      <w:r w:rsidRPr="00C1180E">
        <w:rPr>
          <w:rFonts w:ascii="Arial" w:eastAsia="SimSun" w:hAnsi="Arial" w:cs="Arial"/>
          <w:sz w:val="22"/>
          <w:szCs w:val="22"/>
          <w:lang w:val="fr-FR"/>
        </w:rPr>
        <w:t xml:space="preserve">information </w:t>
      </w:r>
      <w:r>
        <w:rPr>
          <w:rFonts w:ascii="Arial" w:eastAsia="SimSun" w:hAnsi="Arial" w:cs="Arial"/>
          <w:sz w:val="22"/>
          <w:szCs w:val="22"/>
          <w:lang w:val="fr-FR"/>
        </w:rPr>
        <w:t>à son sujet</w:t>
      </w:r>
      <w:r w:rsidRPr="00C1180E">
        <w:rPr>
          <w:rFonts w:ascii="Arial" w:eastAsia="SimSun" w:hAnsi="Arial" w:cs="Arial"/>
          <w:sz w:val="22"/>
          <w:szCs w:val="22"/>
          <w:lang w:val="fr-FR"/>
        </w:rPr>
        <w:t xml:space="preserve"> auprès de publics plus larges pour lesquels le concept de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1180E">
        <w:rPr>
          <w:rFonts w:ascii="Arial" w:eastAsia="SimSun" w:hAnsi="Arial" w:cs="Arial"/>
          <w:sz w:val="22"/>
          <w:szCs w:val="22"/>
          <w:lang w:val="fr-FR"/>
        </w:rPr>
        <w:t xml:space="preserve">et son lien avec le développement durable </w:t>
      </w:r>
      <w:r>
        <w:rPr>
          <w:rFonts w:ascii="Arial" w:eastAsia="SimSun" w:hAnsi="Arial" w:cs="Arial"/>
          <w:sz w:val="22"/>
          <w:szCs w:val="22"/>
          <w:lang w:val="fr-FR"/>
        </w:rPr>
        <w:t xml:space="preserve">étaient </w:t>
      </w:r>
      <w:r w:rsidRPr="00C1180E">
        <w:rPr>
          <w:rFonts w:ascii="Arial" w:eastAsia="SimSun" w:hAnsi="Arial" w:cs="Arial"/>
          <w:sz w:val="22"/>
          <w:szCs w:val="22"/>
          <w:lang w:val="fr-FR"/>
        </w:rPr>
        <w:t xml:space="preserve">encore nouveaux. Elle </w:t>
      </w:r>
      <w:r>
        <w:rPr>
          <w:rFonts w:ascii="Arial" w:eastAsia="SimSun" w:hAnsi="Arial" w:cs="Arial"/>
          <w:sz w:val="22"/>
          <w:szCs w:val="22"/>
          <w:lang w:val="fr-FR"/>
        </w:rPr>
        <w:t>voyait</w:t>
      </w:r>
      <w:r w:rsidRPr="00C1180E">
        <w:rPr>
          <w:rFonts w:ascii="Arial" w:eastAsia="SimSun" w:hAnsi="Arial" w:cs="Arial"/>
          <w:sz w:val="22"/>
          <w:szCs w:val="22"/>
          <w:lang w:val="fr-FR"/>
        </w:rPr>
        <w:t xml:space="preserve"> l</w:t>
      </w:r>
      <w:r w:rsidR="008E532B">
        <w:rPr>
          <w:rFonts w:ascii="Arial" w:eastAsia="SimSun" w:hAnsi="Arial" w:cs="Arial"/>
          <w:sz w:val="22"/>
          <w:szCs w:val="22"/>
          <w:lang w:val="fr-FR"/>
        </w:rPr>
        <w:t>’</w:t>
      </w:r>
      <w:r w:rsidRPr="00C1180E">
        <w:rPr>
          <w:rFonts w:ascii="Arial" w:eastAsia="SimSun" w:hAnsi="Arial" w:cs="Arial"/>
          <w:sz w:val="22"/>
          <w:szCs w:val="22"/>
          <w:lang w:val="fr-FR"/>
        </w:rPr>
        <w:t>importance des réseaux dans l</w:t>
      </w:r>
      <w:r w:rsidR="008E532B">
        <w:rPr>
          <w:rFonts w:ascii="Arial" w:eastAsia="SimSun" w:hAnsi="Arial" w:cs="Arial"/>
          <w:sz w:val="22"/>
          <w:szCs w:val="22"/>
          <w:lang w:val="fr-FR"/>
        </w:rPr>
        <w:t>’</w:t>
      </w:r>
      <w:r w:rsidRPr="00C1180E">
        <w:rPr>
          <w:rFonts w:ascii="Arial" w:eastAsia="SimSun" w:hAnsi="Arial" w:cs="Arial"/>
          <w:sz w:val="22"/>
          <w:szCs w:val="22"/>
          <w:lang w:val="fr-FR"/>
        </w:rPr>
        <w:t>accomplissement de cette mission, notamment le rôle des ONG, qui travaillent directement avec les communautés locales.</w:t>
      </w:r>
    </w:p>
    <w:p w14:paraId="4669748C" w14:textId="621E4A50" w:rsidR="00D9653F" w:rsidRPr="007B2BC2"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7B2BC2">
        <w:rPr>
          <w:rFonts w:ascii="Arial" w:eastAsia="SimSun" w:hAnsi="Arial" w:cs="Arial"/>
          <w:sz w:val="22"/>
          <w:szCs w:val="22"/>
          <w:lang w:val="fr-FR"/>
        </w:rPr>
        <w:t xml:space="preserve">La délégation de la </w:t>
      </w:r>
      <w:r w:rsidRPr="007B2BC2">
        <w:rPr>
          <w:rFonts w:ascii="Arial" w:eastAsia="SimSun" w:hAnsi="Arial" w:cs="Arial"/>
          <w:b/>
          <w:bCs/>
          <w:sz w:val="22"/>
          <w:szCs w:val="22"/>
          <w:lang w:val="fr-FR"/>
        </w:rPr>
        <w:t>Colombie</w:t>
      </w:r>
      <w:r w:rsidRPr="007B2BC2">
        <w:rPr>
          <w:rFonts w:ascii="Arial" w:eastAsia="SimSun" w:hAnsi="Arial" w:cs="Arial"/>
          <w:sz w:val="22"/>
          <w:szCs w:val="22"/>
          <w:lang w:val="fr-FR"/>
        </w:rPr>
        <w:t xml:space="preserve"> a félicité la Présidente et les Vice-</w:t>
      </w:r>
      <w:r>
        <w:rPr>
          <w:rFonts w:ascii="Arial" w:eastAsia="SimSun" w:hAnsi="Arial" w:cs="Arial"/>
          <w:sz w:val="22"/>
          <w:szCs w:val="22"/>
          <w:lang w:val="fr-FR"/>
        </w:rPr>
        <w:t>P</w:t>
      </w:r>
      <w:r w:rsidRPr="007B2BC2">
        <w:rPr>
          <w:rFonts w:ascii="Arial" w:eastAsia="SimSun" w:hAnsi="Arial" w:cs="Arial"/>
          <w:sz w:val="22"/>
          <w:szCs w:val="22"/>
          <w:lang w:val="fr-FR"/>
        </w:rPr>
        <w:t>résident</w:t>
      </w:r>
      <w:r>
        <w:rPr>
          <w:rFonts w:ascii="Arial" w:eastAsia="SimSun" w:hAnsi="Arial" w:cs="Arial"/>
          <w:sz w:val="22"/>
          <w:szCs w:val="22"/>
          <w:lang w:val="fr-FR"/>
        </w:rPr>
        <w:t>(e)</w:t>
      </w:r>
      <w:r w:rsidRPr="007B2BC2">
        <w:rPr>
          <w:rFonts w:ascii="Arial" w:eastAsia="SimSun" w:hAnsi="Arial" w:cs="Arial"/>
          <w:sz w:val="22"/>
          <w:szCs w:val="22"/>
          <w:lang w:val="fr-FR"/>
        </w:rPr>
        <w:t xml:space="preserve">s pour leur élection, et a remercié les délégations pour leur vote de confiance en élisant </w:t>
      </w:r>
      <w:r w:rsidR="008D65C3">
        <w:rPr>
          <w:rFonts w:ascii="Arial" w:eastAsia="SimSun" w:hAnsi="Arial" w:cs="Arial"/>
          <w:sz w:val="22"/>
          <w:szCs w:val="22"/>
          <w:lang w:val="fr-FR"/>
        </w:rPr>
        <w:t>Mme</w:t>
      </w:r>
      <w:r>
        <w:rPr>
          <w:rFonts w:ascii="Arial" w:eastAsia="SimSun" w:hAnsi="Arial" w:cs="Arial"/>
          <w:sz w:val="22"/>
          <w:szCs w:val="22"/>
          <w:lang w:val="fr-FR"/>
        </w:rPr>
        <w:t> </w:t>
      </w:r>
      <w:r w:rsidRPr="007B2BC2">
        <w:rPr>
          <w:rFonts w:ascii="Arial" w:eastAsia="SimSun" w:hAnsi="Arial" w:cs="Arial"/>
          <w:sz w:val="22"/>
          <w:szCs w:val="22"/>
          <w:lang w:val="fr-FR"/>
        </w:rPr>
        <w:t>Daniela Rodriguez Uribe [à titre personnel] au poste de Rapporteur. La délégation a également remercié le Secrétariat pour sa préparation très minutieuse de cette session et le Comité pour son travail. À l</w:t>
      </w:r>
      <w:r w:rsidR="008E532B">
        <w:rPr>
          <w:rFonts w:ascii="Arial" w:eastAsia="SimSun" w:hAnsi="Arial" w:cs="Arial"/>
          <w:sz w:val="22"/>
          <w:szCs w:val="22"/>
          <w:lang w:val="fr-FR"/>
        </w:rPr>
        <w:t>’</w:t>
      </w:r>
      <w:r w:rsidRPr="007B2BC2">
        <w:rPr>
          <w:rFonts w:ascii="Arial" w:eastAsia="SimSun" w:hAnsi="Arial" w:cs="Arial"/>
          <w:sz w:val="22"/>
          <w:szCs w:val="22"/>
          <w:lang w:val="fr-FR"/>
        </w:rPr>
        <w:t xml:space="preserve">approche du </w:t>
      </w:r>
      <w:r>
        <w:rPr>
          <w:rFonts w:ascii="Arial" w:eastAsia="SimSun" w:hAnsi="Arial" w:cs="Arial"/>
          <w:sz w:val="22"/>
          <w:szCs w:val="22"/>
          <w:lang w:val="fr-FR"/>
        </w:rPr>
        <w:t>vingtième</w:t>
      </w:r>
      <w:r w:rsidRPr="007B2BC2">
        <w:rPr>
          <w:rFonts w:ascii="Arial" w:eastAsia="SimSun" w:hAnsi="Arial" w:cs="Arial"/>
          <w:sz w:val="22"/>
          <w:szCs w:val="22"/>
          <w:lang w:val="fr-FR"/>
        </w:rPr>
        <w:t xml:space="preserve"> anniversaire de la Convention, la délégation a </w:t>
      </w:r>
      <w:r>
        <w:rPr>
          <w:rFonts w:ascii="Arial" w:eastAsia="SimSun" w:hAnsi="Arial" w:cs="Arial"/>
          <w:sz w:val="22"/>
          <w:szCs w:val="22"/>
          <w:lang w:val="fr-FR"/>
        </w:rPr>
        <w:t>souligné</w:t>
      </w:r>
      <w:r w:rsidRPr="007B2BC2">
        <w:rPr>
          <w:rFonts w:ascii="Arial" w:eastAsia="SimSun" w:hAnsi="Arial" w:cs="Arial"/>
          <w:sz w:val="22"/>
          <w:szCs w:val="22"/>
          <w:lang w:val="fr-FR"/>
        </w:rPr>
        <w:t xml:space="preserve"> l</w:t>
      </w:r>
      <w:r w:rsidR="008E532B">
        <w:rPr>
          <w:rFonts w:ascii="Arial" w:eastAsia="SimSun" w:hAnsi="Arial" w:cs="Arial"/>
          <w:sz w:val="22"/>
          <w:szCs w:val="22"/>
          <w:lang w:val="fr-FR"/>
        </w:rPr>
        <w:t>’</w:t>
      </w:r>
      <w:r w:rsidRPr="007B2BC2">
        <w:rPr>
          <w:rFonts w:ascii="Arial" w:eastAsia="SimSun" w:hAnsi="Arial" w:cs="Arial"/>
          <w:sz w:val="22"/>
          <w:szCs w:val="22"/>
          <w:lang w:val="fr-FR"/>
        </w:rPr>
        <w:t>importance d</w:t>
      </w:r>
      <w:r w:rsidR="008E532B">
        <w:rPr>
          <w:rFonts w:ascii="Arial" w:eastAsia="SimSun" w:hAnsi="Arial" w:cs="Arial"/>
          <w:sz w:val="22"/>
          <w:szCs w:val="22"/>
          <w:lang w:val="fr-FR"/>
        </w:rPr>
        <w:t>’</w:t>
      </w:r>
      <w:r w:rsidRPr="007B2BC2">
        <w:rPr>
          <w:rFonts w:ascii="Arial" w:eastAsia="SimSun" w:hAnsi="Arial" w:cs="Arial"/>
          <w:sz w:val="22"/>
          <w:szCs w:val="22"/>
          <w:lang w:val="fr-FR"/>
        </w:rPr>
        <w:t>atteindre une quasi-universalité et de continuer à promouvoir la science et la sensibilisation lorsqu</w:t>
      </w:r>
      <w:r w:rsidR="008E532B">
        <w:rPr>
          <w:rFonts w:ascii="Arial" w:eastAsia="SimSun" w:hAnsi="Arial" w:cs="Arial"/>
          <w:sz w:val="22"/>
          <w:szCs w:val="22"/>
          <w:lang w:val="fr-FR"/>
        </w:rPr>
        <w:t>’</w:t>
      </w:r>
      <w:r w:rsidRPr="007B2BC2">
        <w:rPr>
          <w:rFonts w:ascii="Arial" w:eastAsia="SimSun" w:hAnsi="Arial" w:cs="Arial"/>
          <w:sz w:val="22"/>
          <w:szCs w:val="22"/>
          <w:lang w:val="fr-FR"/>
        </w:rPr>
        <w:t>il s</w:t>
      </w:r>
      <w:r w:rsidR="008E532B">
        <w:rPr>
          <w:rFonts w:ascii="Arial" w:eastAsia="SimSun" w:hAnsi="Arial" w:cs="Arial"/>
          <w:sz w:val="22"/>
          <w:szCs w:val="22"/>
          <w:lang w:val="fr-FR"/>
        </w:rPr>
        <w:t>’</w:t>
      </w:r>
      <w:r w:rsidRPr="007B2BC2">
        <w:rPr>
          <w:rFonts w:ascii="Arial" w:eastAsia="SimSun" w:hAnsi="Arial" w:cs="Arial"/>
          <w:sz w:val="22"/>
          <w:szCs w:val="22"/>
          <w:lang w:val="fr-FR"/>
        </w:rPr>
        <w:t>agit d</w:t>
      </w:r>
      <w:r>
        <w:rPr>
          <w:rFonts w:ascii="Arial" w:eastAsia="SimSun" w:hAnsi="Arial" w:cs="Arial"/>
          <w:sz w:val="22"/>
          <w:szCs w:val="22"/>
          <w:lang w:val="fr-FR"/>
        </w:rPr>
        <w:t>e contribuer à</w:t>
      </w:r>
      <w:r w:rsidRPr="007B2BC2">
        <w:rPr>
          <w:rFonts w:ascii="Arial" w:eastAsia="SimSun" w:hAnsi="Arial" w:cs="Arial"/>
          <w:sz w:val="22"/>
          <w:szCs w:val="22"/>
          <w:lang w:val="fr-FR"/>
        </w:rPr>
        <w:t xml:space="preserve"> la politique culturelle dans tous </w:t>
      </w:r>
      <w:r w:rsidR="00A73EEF">
        <w:rPr>
          <w:rFonts w:ascii="Arial" w:eastAsia="SimSun" w:hAnsi="Arial" w:cs="Arial"/>
          <w:sz w:val="22"/>
          <w:szCs w:val="22"/>
          <w:lang w:val="fr-FR"/>
        </w:rPr>
        <w:t>les</w:t>
      </w:r>
      <w:r w:rsidR="00A73EEF" w:rsidRPr="007B2BC2">
        <w:rPr>
          <w:rFonts w:ascii="Arial" w:eastAsia="SimSun" w:hAnsi="Arial" w:cs="Arial"/>
          <w:sz w:val="22"/>
          <w:szCs w:val="22"/>
          <w:lang w:val="fr-FR"/>
        </w:rPr>
        <w:t xml:space="preserve"> </w:t>
      </w:r>
      <w:r w:rsidRPr="007B2BC2">
        <w:rPr>
          <w:rFonts w:ascii="Arial" w:eastAsia="SimSun" w:hAnsi="Arial" w:cs="Arial"/>
          <w:sz w:val="22"/>
          <w:szCs w:val="22"/>
          <w:lang w:val="fr-FR"/>
        </w:rPr>
        <w:t>pays. De même, la Convention entr</w:t>
      </w:r>
      <w:r>
        <w:rPr>
          <w:rFonts w:ascii="Arial" w:eastAsia="SimSun" w:hAnsi="Arial" w:cs="Arial"/>
          <w:sz w:val="22"/>
          <w:szCs w:val="22"/>
          <w:lang w:val="fr-FR"/>
        </w:rPr>
        <w:t>ait</w:t>
      </w:r>
      <w:r w:rsidRPr="007B2BC2">
        <w:rPr>
          <w:rFonts w:ascii="Arial" w:eastAsia="SimSun" w:hAnsi="Arial" w:cs="Arial"/>
          <w:sz w:val="22"/>
          <w:szCs w:val="22"/>
          <w:lang w:val="fr-FR"/>
        </w:rPr>
        <w:t xml:space="preserve"> dans une période d</w:t>
      </w:r>
      <w:r w:rsidR="008E532B">
        <w:rPr>
          <w:rFonts w:ascii="Arial" w:eastAsia="SimSun" w:hAnsi="Arial" w:cs="Arial"/>
          <w:sz w:val="22"/>
          <w:szCs w:val="22"/>
          <w:lang w:val="fr-FR"/>
        </w:rPr>
        <w:t>’</w:t>
      </w:r>
      <w:r w:rsidRPr="007B2BC2">
        <w:rPr>
          <w:rFonts w:ascii="Arial" w:eastAsia="SimSun" w:hAnsi="Arial" w:cs="Arial"/>
          <w:sz w:val="22"/>
          <w:szCs w:val="22"/>
          <w:lang w:val="fr-FR"/>
        </w:rPr>
        <w:t>optimisme car le mécanisme réformé de soumission des rapports périodiques permettra</w:t>
      </w:r>
      <w:r>
        <w:rPr>
          <w:rFonts w:ascii="Arial" w:eastAsia="SimSun" w:hAnsi="Arial" w:cs="Arial"/>
          <w:sz w:val="22"/>
          <w:szCs w:val="22"/>
          <w:lang w:val="fr-FR"/>
        </w:rPr>
        <w:t>it</w:t>
      </w:r>
      <w:r w:rsidRPr="007B2BC2">
        <w:rPr>
          <w:rFonts w:ascii="Arial" w:eastAsia="SimSun" w:hAnsi="Arial" w:cs="Arial"/>
          <w:sz w:val="22"/>
          <w:szCs w:val="22"/>
          <w:lang w:val="fr-FR"/>
        </w:rPr>
        <w:t xml:space="preserve"> d</w:t>
      </w:r>
      <w:r>
        <w:rPr>
          <w:rFonts w:ascii="Arial" w:eastAsia="SimSun" w:hAnsi="Arial" w:cs="Arial"/>
          <w:sz w:val="22"/>
          <w:szCs w:val="22"/>
          <w:lang w:val="fr-FR"/>
        </w:rPr>
        <w:t>e soumettre, à l</w:t>
      </w:r>
      <w:r w:rsidR="008E532B">
        <w:rPr>
          <w:rFonts w:ascii="Arial" w:eastAsia="SimSun" w:hAnsi="Arial" w:cs="Arial"/>
          <w:sz w:val="22"/>
          <w:szCs w:val="22"/>
          <w:lang w:val="fr-FR"/>
        </w:rPr>
        <w:t>’</w:t>
      </w:r>
      <w:r>
        <w:rPr>
          <w:rFonts w:ascii="Arial" w:eastAsia="SimSun" w:hAnsi="Arial" w:cs="Arial"/>
          <w:sz w:val="22"/>
          <w:szCs w:val="22"/>
          <w:lang w:val="fr-FR"/>
        </w:rPr>
        <w:t xml:space="preserve">avenir, </w:t>
      </w:r>
      <w:r w:rsidRPr="007B2BC2">
        <w:rPr>
          <w:rFonts w:ascii="Arial" w:eastAsia="SimSun" w:hAnsi="Arial" w:cs="Arial"/>
          <w:sz w:val="22"/>
          <w:szCs w:val="22"/>
          <w:lang w:val="fr-FR"/>
        </w:rPr>
        <w:t>des rapports plus solides afin de mieux comprendre le rôle des parties prenantes de la Convention</w:t>
      </w:r>
      <w:r>
        <w:rPr>
          <w:rFonts w:ascii="Arial" w:eastAsia="SimSun" w:hAnsi="Arial" w:cs="Arial"/>
          <w:sz w:val="22"/>
          <w:szCs w:val="22"/>
          <w:lang w:val="fr-FR"/>
        </w:rPr>
        <w:t> ;</w:t>
      </w:r>
      <w:r w:rsidRPr="007B2BC2">
        <w:rPr>
          <w:rFonts w:ascii="Arial" w:eastAsia="SimSun" w:hAnsi="Arial" w:cs="Arial"/>
          <w:sz w:val="22"/>
          <w:szCs w:val="22"/>
          <w:lang w:val="fr-FR"/>
        </w:rPr>
        <w:t xml:space="preserve"> la Colombie étant </w:t>
      </w:r>
      <w:r>
        <w:rPr>
          <w:rFonts w:ascii="Arial" w:eastAsia="SimSun" w:hAnsi="Arial" w:cs="Arial"/>
          <w:sz w:val="22"/>
          <w:szCs w:val="22"/>
          <w:lang w:val="fr-FR"/>
        </w:rPr>
        <w:t xml:space="preserve">elle-même </w:t>
      </w:r>
      <w:r w:rsidRPr="007B2BC2">
        <w:rPr>
          <w:rFonts w:ascii="Arial" w:eastAsia="SimSun" w:hAnsi="Arial" w:cs="Arial"/>
          <w:sz w:val="22"/>
          <w:szCs w:val="22"/>
          <w:lang w:val="fr-FR"/>
        </w:rPr>
        <w:t xml:space="preserve">fortement engagée </w:t>
      </w:r>
      <w:r>
        <w:rPr>
          <w:rFonts w:ascii="Arial" w:eastAsia="SimSun" w:hAnsi="Arial" w:cs="Arial"/>
          <w:sz w:val="22"/>
          <w:szCs w:val="22"/>
          <w:lang w:val="fr-FR"/>
        </w:rPr>
        <w:t>en faveur du</w:t>
      </w:r>
      <w:r w:rsidRPr="007B2BC2">
        <w:rPr>
          <w:rFonts w:ascii="Arial" w:eastAsia="SimSun" w:hAnsi="Arial" w:cs="Arial"/>
          <w:sz w:val="22"/>
          <w:szCs w:val="22"/>
          <w:lang w:val="fr-FR"/>
        </w:rPr>
        <w:t xml:space="preserve"> développement durable.</w:t>
      </w:r>
      <w:r>
        <w:rPr>
          <w:rFonts w:ascii="Arial" w:eastAsia="SimSun" w:hAnsi="Arial" w:cs="Arial"/>
          <w:sz w:val="22"/>
          <w:szCs w:val="22"/>
          <w:lang w:val="fr-FR"/>
        </w:rPr>
        <w:t xml:space="preserve"> S</w:t>
      </w:r>
      <w:r w:rsidR="008E532B">
        <w:rPr>
          <w:rFonts w:ascii="Arial" w:eastAsia="SimSun" w:hAnsi="Arial" w:cs="Arial"/>
          <w:sz w:val="22"/>
          <w:szCs w:val="22"/>
          <w:lang w:val="fr-FR"/>
        </w:rPr>
        <w:t>’</w:t>
      </w:r>
      <w:r>
        <w:rPr>
          <w:rFonts w:ascii="Arial" w:eastAsia="SimSun" w:hAnsi="Arial" w:cs="Arial"/>
          <w:sz w:val="22"/>
          <w:szCs w:val="22"/>
          <w:lang w:val="fr-FR"/>
        </w:rPr>
        <w:t xml:space="preserve">agissant de </w:t>
      </w:r>
      <w:r w:rsidRPr="007B2BC2">
        <w:rPr>
          <w:rFonts w:ascii="Arial" w:eastAsia="SimSun" w:hAnsi="Arial" w:cs="Arial"/>
          <w:sz w:val="22"/>
          <w:szCs w:val="22"/>
          <w:lang w:val="fr-FR"/>
        </w:rPr>
        <w:t xml:space="preserve">la sensibilisation </w:t>
      </w:r>
      <w:r>
        <w:rPr>
          <w:rFonts w:ascii="Arial" w:eastAsia="SimSun" w:hAnsi="Arial" w:cs="Arial"/>
          <w:sz w:val="22"/>
          <w:szCs w:val="22"/>
          <w:lang w:val="fr-FR"/>
        </w:rPr>
        <w:t xml:space="preserve">à la </w:t>
      </w:r>
      <w:r w:rsidRPr="006F2683">
        <w:rPr>
          <w:rFonts w:ascii="Arial" w:eastAsia="SimSun" w:hAnsi="Arial" w:cs="Arial"/>
          <w:sz w:val="22"/>
          <w:szCs w:val="22"/>
          <w:lang w:val="fr-FR"/>
        </w:rPr>
        <w:t>Convention</w:t>
      </w:r>
      <w:r>
        <w:rPr>
          <w:rFonts w:ascii="Arial" w:eastAsia="SimSun" w:hAnsi="Arial" w:cs="Arial"/>
          <w:sz w:val="22"/>
          <w:szCs w:val="22"/>
          <w:lang w:val="fr-FR"/>
        </w:rPr>
        <w:t xml:space="preserve"> </w:t>
      </w:r>
      <w:r w:rsidRPr="007B2BC2">
        <w:rPr>
          <w:rFonts w:ascii="Arial" w:eastAsia="SimSun" w:hAnsi="Arial" w:cs="Arial"/>
          <w:sz w:val="22"/>
          <w:szCs w:val="22"/>
          <w:lang w:val="fr-FR"/>
        </w:rPr>
        <w:t xml:space="preserve">et </w:t>
      </w:r>
      <w:r>
        <w:rPr>
          <w:rFonts w:ascii="Arial" w:eastAsia="SimSun" w:hAnsi="Arial" w:cs="Arial"/>
          <w:sz w:val="22"/>
          <w:szCs w:val="22"/>
          <w:lang w:val="fr-FR"/>
        </w:rPr>
        <w:t xml:space="preserve">de la diffusion de </w:t>
      </w:r>
      <w:r w:rsidRPr="007B2BC2">
        <w:rPr>
          <w:rFonts w:ascii="Arial" w:eastAsia="SimSun" w:hAnsi="Arial" w:cs="Arial"/>
          <w:sz w:val="22"/>
          <w:szCs w:val="22"/>
          <w:lang w:val="fr-FR"/>
        </w:rPr>
        <w:t>l</w:t>
      </w:r>
      <w:r w:rsidR="008E532B">
        <w:rPr>
          <w:rFonts w:ascii="Arial" w:eastAsia="SimSun" w:hAnsi="Arial" w:cs="Arial"/>
          <w:sz w:val="22"/>
          <w:szCs w:val="22"/>
          <w:lang w:val="fr-FR"/>
        </w:rPr>
        <w:t>’</w:t>
      </w:r>
      <w:r w:rsidRPr="007B2BC2">
        <w:rPr>
          <w:rFonts w:ascii="Arial" w:eastAsia="SimSun" w:hAnsi="Arial" w:cs="Arial"/>
          <w:sz w:val="22"/>
          <w:szCs w:val="22"/>
          <w:lang w:val="fr-FR"/>
        </w:rPr>
        <w:t xml:space="preserve">information </w:t>
      </w:r>
      <w:r>
        <w:rPr>
          <w:rFonts w:ascii="Arial" w:eastAsia="SimSun" w:hAnsi="Arial" w:cs="Arial"/>
          <w:sz w:val="22"/>
          <w:szCs w:val="22"/>
          <w:lang w:val="fr-FR"/>
        </w:rPr>
        <w:t>à son sujet</w:t>
      </w:r>
      <w:r w:rsidRPr="007B2BC2">
        <w:rPr>
          <w:rFonts w:ascii="Arial" w:eastAsia="SimSun" w:hAnsi="Arial" w:cs="Arial"/>
          <w:sz w:val="22"/>
          <w:szCs w:val="22"/>
          <w:lang w:val="fr-FR"/>
        </w:rPr>
        <w:t>, la délégation souhait</w:t>
      </w:r>
      <w:r>
        <w:rPr>
          <w:rFonts w:ascii="Arial" w:eastAsia="SimSun" w:hAnsi="Arial" w:cs="Arial"/>
          <w:sz w:val="22"/>
          <w:szCs w:val="22"/>
          <w:lang w:val="fr-FR"/>
        </w:rPr>
        <w:t>ait</w:t>
      </w:r>
      <w:r w:rsidRPr="007B2BC2">
        <w:rPr>
          <w:rFonts w:ascii="Arial" w:eastAsia="SimSun" w:hAnsi="Arial" w:cs="Arial"/>
          <w:sz w:val="22"/>
          <w:szCs w:val="22"/>
          <w:lang w:val="fr-FR"/>
        </w:rPr>
        <w:t xml:space="preserve"> en savoir plus sur l</w:t>
      </w:r>
      <w:r w:rsidR="008E532B">
        <w:rPr>
          <w:rFonts w:ascii="Arial" w:eastAsia="SimSun" w:hAnsi="Arial" w:cs="Arial"/>
          <w:sz w:val="22"/>
          <w:szCs w:val="22"/>
          <w:lang w:val="fr-FR"/>
        </w:rPr>
        <w:t>’</w:t>
      </w:r>
      <w:r w:rsidRPr="007B2BC2">
        <w:rPr>
          <w:rFonts w:ascii="Arial" w:eastAsia="SimSun" w:hAnsi="Arial" w:cs="Arial"/>
          <w:sz w:val="22"/>
          <w:szCs w:val="22"/>
          <w:lang w:val="fr-FR"/>
        </w:rPr>
        <w:t>engagement des personnes sur ces plateformes et la forme qu</w:t>
      </w:r>
      <w:r w:rsidR="008E532B">
        <w:rPr>
          <w:rFonts w:ascii="Arial" w:eastAsia="SimSun" w:hAnsi="Arial" w:cs="Arial"/>
          <w:sz w:val="22"/>
          <w:szCs w:val="22"/>
          <w:lang w:val="fr-FR"/>
        </w:rPr>
        <w:t>’</w:t>
      </w:r>
      <w:r w:rsidRPr="007B2BC2">
        <w:rPr>
          <w:rFonts w:ascii="Arial" w:eastAsia="SimSun" w:hAnsi="Arial" w:cs="Arial"/>
          <w:sz w:val="22"/>
          <w:szCs w:val="22"/>
          <w:lang w:val="fr-FR"/>
        </w:rPr>
        <w:t>elles prendr</w:t>
      </w:r>
      <w:r>
        <w:rPr>
          <w:rFonts w:ascii="Arial" w:eastAsia="SimSun" w:hAnsi="Arial" w:cs="Arial"/>
          <w:sz w:val="22"/>
          <w:szCs w:val="22"/>
          <w:lang w:val="fr-FR"/>
        </w:rPr>
        <w:t>aie</w:t>
      </w:r>
      <w:r w:rsidRPr="007B2BC2">
        <w:rPr>
          <w:rFonts w:ascii="Arial" w:eastAsia="SimSun" w:hAnsi="Arial" w:cs="Arial"/>
          <w:sz w:val="22"/>
          <w:szCs w:val="22"/>
          <w:lang w:val="fr-FR"/>
        </w:rPr>
        <w:t>nt, ainsi que sur les résultats</w:t>
      </w:r>
      <w:r>
        <w:rPr>
          <w:rFonts w:ascii="Arial" w:eastAsia="SimSun" w:hAnsi="Arial" w:cs="Arial"/>
          <w:sz w:val="22"/>
          <w:szCs w:val="22"/>
          <w:lang w:val="fr-FR"/>
        </w:rPr>
        <w:t xml:space="preserve"> obtenus</w:t>
      </w:r>
      <w:r w:rsidRPr="007B2BC2">
        <w:rPr>
          <w:rFonts w:ascii="Arial" w:eastAsia="SimSun" w:hAnsi="Arial" w:cs="Arial"/>
          <w:sz w:val="22"/>
          <w:szCs w:val="22"/>
          <w:lang w:val="fr-FR"/>
        </w:rPr>
        <w:t xml:space="preserve">. La délégation a remercié tout particulièrement le </w:t>
      </w:r>
      <w:r>
        <w:rPr>
          <w:rFonts w:ascii="Arial" w:eastAsia="SimSun" w:hAnsi="Arial" w:cs="Arial"/>
          <w:sz w:val="22"/>
          <w:szCs w:val="22"/>
          <w:lang w:val="fr-FR"/>
        </w:rPr>
        <w:t>G</w:t>
      </w:r>
      <w:r w:rsidRPr="007B2BC2">
        <w:rPr>
          <w:rFonts w:ascii="Arial" w:eastAsia="SimSun" w:hAnsi="Arial" w:cs="Arial"/>
          <w:sz w:val="22"/>
          <w:szCs w:val="22"/>
          <w:lang w:val="fr-FR"/>
        </w:rPr>
        <w:t xml:space="preserve">ouvernement du Japon pour son généreux </w:t>
      </w:r>
      <w:r>
        <w:rPr>
          <w:rFonts w:ascii="Arial" w:eastAsia="SimSun" w:hAnsi="Arial" w:cs="Arial"/>
          <w:sz w:val="22"/>
          <w:szCs w:val="22"/>
          <w:lang w:val="fr-FR"/>
        </w:rPr>
        <w:t xml:space="preserve">soutien </w:t>
      </w:r>
      <w:r w:rsidRPr="007B2BC2">
        <w:rPr>
          <w:rFonts w:ascii="Arial" w:eastAsia="SimSun" w:hAnsi="Arial" w:cs="Arial"/>
          <w:sz w:val="22"/>
          <w:szCs w:val="22"/>
          <w:lang w:val="fr-FR"/>
        </w:rPr>
        <w:t xml:space="preserve">au travail accompli au sein du </w:t>
      </w:r>
      <w:r>
        <w:rPr>
          <w:rFonts w:ascii="Arial" w:eastAsia="SimSun" w:hAnsi="Arial" w:cs="Arial"/>
          <w:sz w:val="22"/>
          <w:szCs w:val="22"/>
          <w:lang w:val="fr-FR"/>
        </w:rPr>
        <w:t>g</w:t>
      </w:r>
      <w:r w:rsidRPr="007B2BC2">
        <w:rPr>
          <w:rFonts w:ascii="Arial" w:eastAsia="SimSun" w:hAnsi="Arial" w:cs="Arial"/>
          <w:sz w:val="22"/>
          <w:szCs w:val="22"/>
          <w:lang w:val="fr-FR"/>
        </w:rPr>
        <w:t xml:space="preserve">roupe de travail à composition non limitée </w:t>
      </w:r>
      <w:r>
        <w:rPr>
          <w:rFonts w:ascii="Arial" w:eastAsia="SimSun" w:hAnsi="Arial" w:cs="Arial"/>
          <w:sz w:val="22"/>
          <w:szCs w:val="22"/>
          <w:lang w:val="fr-FR"/>
        </w:rPr>
        <w:t>consacré à</w:t>
      </w:r>
      <w:r w:rsidRPr="007B2BC2">
        <w:rPr>
          <w:rFonts w:ascii="Arial" w:eastAsia="SimSun" w:hAnsi="Arial" w:cs="Arial"/>
          <w:sz w:val="22"/>
          <w:szCs w:val="22"/>
          <w:lang w:val="fr-FR"/>
        </w:rPr>
        <w:t xml:space="preserve"> la réflexion globale sur les mécanismes d</w:t>
      </w:r>
      <w:r w:rsidR="008E532B">
        <w:rPr>
          <w:rFonts w:ascii="Arial" w:eastAsia="SimSun" w:hAnsi="Arial" w:cs="Arial"/>
          <w:sz w:val="22"/>
          <w:szCs w:val="22"/>
          <w:lang w:val="fr-FR"/>
        </w:rPr>
        <w:t>’</w:t>
      </w:r>
      <w:r w:rsidRPr="007B2BC2">
        <w:rPr>
          <w:rFonts w:ascii="Arial" w:eastAsia="SimSun" w:hAnsi="Arial" w:cs="Arial"/>
          <w:sz w:val="22"/>
          <w:szCs w:val="22"/>
          <w:lang w:val="fr-FR"/>
        </w:rPr>
        <w:t xml:space="preserve">inscription qui concernent les États parties, les ONG et les autres parties prenantes à la mise en œuvre de la Convention. Elle </w:t>
      </w:r>
      <w:r>
        <w:rPr>
          <w:rFonts w:ascii="Arial" w:eastAsia="SimSun" w:hAnsi="Arial" w:cs="Arial"/>
          <w:sz w:val="22"/>
          <w:szCs w:val="22"/>
          <w:lang w:val="fr-FR"/>
        </w:rPr>
        <w:t xml:space="preserve">pensait </w:t>
      </w:r>
      <w:r w:rsidRPr="007B2BC2">
        <w:rPr>
          <w:rFonts w:ascii="Arial" w:eastAsia="SimSun" w:hAnsi="Arial" w:cs="Arial"/>
          <w:sz w:val="22"/>
          <w:szCs w:val="22"/>
          <w:lang w:val="fr-FR"/>
        </w:rPr>
        <w:t>que les décisions qui ser</w:t>
      </w:r>
      <w:r>
        <w:rPr>
          <w:rFonts w:ascii="Arial" w:eastAsia="SimSun" w:hAnsi="Arial" w:cs="Arial"/>
          <w:sz w:val="22"/>
          <w:szCs w:val="22"/>
          <w:lang w:val="fr-FR"/>
        </w:rPr>
        <w:t>aie</w:t>
      </w:r>
      <w:r w:rsidRPr="007B2BC2">
        <w:rPr>
          <w:rFonts w:ascii="Arial" w:eastAsia="SimSun" w:hAnsi="Arial" w:cs="Arial"/>
          <w:sz w:val="22"/>
          <w:szCs w:val="22"/>
          <w:lang w:val="fr-FR"/>
        </w:rPr>
        <w:t xml:space="preserve">nt prises et discutées au </w:t>
      </w:r>
      <w:r>
        <w:rPr>
          <w:rFonts w:ascii="Arial" w:eastAsia="SimSun" w:hAnsi="Arial" w:cs="Arial"/>
          <w:sz w:val="22"/>
          <w:szCs w:val="22"/>
          <w:lang w:val="fr-FR"/>
        </w:rPr>
        <w:t xml:space="preserve">titre du </w:t>
      </w:r>
      <w:r w:rsidRPr="007B2BC2">
        <w:rPr>
          <w:rFonts w:ascii="Arial" w:eastAsia="SimSun" w:hAnsi="Arial" w:cs="Arial"/>
          <w:sz w:val="22"/>
          <w:szCs w:val="22"/>
          <w:lang w:val="fr-FR"/>
        </w:rPr>
        <w:t>point 9 [sur la réflexion globale] renouveller</w:t>
      </w:r>
      <w:r>
        <w:rPr>
          <w:rFonts w:ascii="Arial" w:eastAsia="SimSun" w:hAnsi="Arial" w:cs="Arial"/>
          <w:sz w:val="22"/>
          <w:szCs w:val="22"/>
          <w:lang w:val="fr-FR"/>
        </w:rPr>
        <w:t>aie</w:t>
      </w:r>
      <w:r w:rsidRPr="007B2BC2">
        <w:rPr>
          <w:rFonts w:ascii="Arial" w:eastAsia="SimSun" w:hAnsi="Arial" w:cs="Arial"/>
          <w:sz w:val="22"/>
          <w:szCs w:val="22"/>
          <w:lang w:val="fr-FR"/>
        </w:rPr>
        <w:t>nt l</w:t>
      </w:r>
      <w:r w:rsidR="008E532B">
        <w:rPr>
          <w:rFonts w:ascii="Arial" w:eastAsia="SimSun" w:hAnsi="Arial" w:cs="Arial"/>
          <w:sz w:val="22"/>
          <w:szCs w:val="22"/>
          <w:lang w:val="fr-FR"/>
        </w:rPr>
        <w:t>’</w:t>
      </w:r>
      <w:r w:rsidRPr="007B2BC2">
        <w:rPr>
          <w:rFonts w:ascii="Arial" w:eastAsia="SimSun" w:hAnsi="Arial" w:cs="Arial"/>
          <w:sz w:val="22"/>
          <w:szCs w:val="22"/>
          <w:lang w:val="fr-FR"/>
        </w:rPr>
        <w:t xml:space="preserve">engagement envers les communautés de </w:t>
      </w:r>
      <w:r>
        <w:rPr>
          <w:rFonts w:ascii="Arial" w:eastAsia="SimSun" w:hAnsi="Arial" w:cs="Arial"/>
          <w:sz w:val="22"/>
          <w:szCs w:val="22"/>
          <w:lang w:val="fr-FR"/>
        </w:rPr>
        <w:t>détenteurs</w:t>
      </w:r>
      <w:r w:rsidRPr="007B2BC2">
        <w:rPr>
          <w:rFonts w:ascii="Arial" w:eastAsia="SimSun" w:hAnsi="Arial" w:cs="Arial"/>
          <w:sz w:val="22"/>
          <w:szCs w:val="22"/>
          <w:lang w:val="fr-FR"/>
        </w:rPr>
        <w:t xml:space="preserve"> et tous les acteurs impliqués dans la sauvegarde du </w:t>
      </w:r>
      <w:r w:rsidR="00E908E2">
        <w:rPr>
          <w:rFonts w:ascii="Arial" w:eastAsia="SimSun" w:hAnsi="Arial" w:cs="Arial"/>
          <w:bCs/>
          <w:sz w:val="22"/>
          <w:szCs w:val="22"/>
          <w:lang w:val="fr-FR" w:eastAsia="en-US"/>
        </w:rPr>
        <w:t>patrimoine culturel immatériel</w:t>
      </w:r>
      <w:r w:rsidRPr="007B2BC2">
        <w:rPr>
          <w:rFonts w:ascii="Arial" w:eastAsia="SimSun" w:hAnsi="Arial" w:cs="Arial"/>
          <w:sz w:val="22"/>
          <w:szCs w:val="22"/>
          <w:lang w:val="fr-FR"/>
        </w:rPr>
        <w:t>.</w:t>
      </w:r>
    </w:p>
    <w:p w14:paraId="56A90AD4" w14:textId="12A33483" w:rsidR="00D9653F" w:rsidRPr="00F10F23"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5A0E83">
        <w:rPr>
          <w:rFonts w:ascii="Arial" w:eastAsia="SimSun" w:hAnsi="Arial" w:cs="Arial"/>
          <w:sz w:val="22"/>
          <w:szCs w:val="22"/>
          <w:lang w:val="fr-FR"/>
        </w:rPr>
        <w:t xml:space="preserve">La délégation </w:t>
      </w:r>
      <w:r>
        <w:rPr>
          <w:rFonts w:ascii="Arial" w:eastAsia="SimSun" w:hAnsi="Arial" w:cs="Arial"/>
          <w:sz w:val="22"/>
          <w:szCs w:val="22"/>
          <w:lang w:val="fr-FR"/>
        </w:rPr>
        <w:t xml:space="preserve">de la </w:t>
      </w:r>
      <w:r w:rsidRPr="005A0E83">
        <w:rPr>
          <w:rFonts w:ascii="Arial" w:eastAsia="SimSun" w:hAnsi="Arial" w:cs="Arial"/>
          <w:b/>
          <w:bCs/>
          <w:sz w:val="22"/>
          <w:szCs w:val="22"/>
          <w:lang w:val="fr-FR"/>
        </w:rPr>
        <w:t>Colombie</w:t>
      </w:r>
      <w:r>
        <w:rPr>
          <w:rFonts w:ascii="Arial" w:eastAsia="SimSun" w:hAnsi="Arial" w:cs="Arial"/>
          <w:sz w:val="22"/>
          <w:szCs w:val="22"/>
          <w:lang w:val="fr-FR"/>
        </w:rPr>
        <w:t xml:space="preserve"> estimait </w:t>
      </w:r>
      <w:r w:rsidRPr="005A0E83">
        <w:rPr>
          <w:rFonts w:ascii="Arial" w:eastAsia="SimSun" w:hAnsi="Arial" w:cs="Arial"/>
          <w:sz w:val="22"/>
          <w:szCs w:val="22"/>
          <w:lang w:val="fr-FR"/>
        </w:rPr>
        <w:t>également qu</w:t>
      </w:r>
      <w:r w:rsidR="008E532B">
        <w:rPr>
          <w:rFonts w:ascii="Arial" w:eastAsia="SimSun" w:hAnsi="Arial" w:cs="Arial"/>
          <w:sz w:val="22"/>
          <w:szCs w:val="22"/>
          <w:lang w:val="fr-FR"/>
        </w:rPr>
        <w:t>’</w:t>
      </w:r>
      <w:r w:rsidRPr="005A0E83">
        <w:rPr>
          <w:rFonts w:ascii="Arial" w:eastAsia="SimSun" w:hAnsi="Arial" w:cs="Arial"/>
          <w:sz w:val="22"/>
          <w:szCs w:val="22"/>
          <w:lang w:val="fr-FR"/>
        </w:rPr>
        <w:t>il était important d</w:t>
      </w:r>
      <w:r w:rsidR="008E532B">
        <w:rPr>
          <w:rFonts w:ascii="Arial" w:eastAsia="SimSun" w:hAnsi="Arial" w:cs="Arial"/>
          <w:sz w:val="22"/>
          <w:szCs w:val="22"/>
          <w:lang w:val="fr-FR"/>
        </w:rPr>
        <w:t>’</w:t>
      </w:r>
      <w:r w:rsidRPr="005A0E83">
        <w:rPr>
          <w:rFonts w:ascii="Arial" w:eastAsia="SimSun" w:hAnsi="Arial" w:cs="Arial"/>
          <w:sz w:val="22"/>
          <w:szCs w:val="22"/>
          <w:lang w:val="fr-FR"/>
        </w:rPr>
        <w:t xml:space="preserve">améliorer le dialogue et de renforcer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5A0E83">
        <w:rPr>
          <w:rFonts w:ascii="Arial" w:eastAsia="SimSun" w:hAnsi="Arial" w:cs="Arial"/>
          <w:sz w:val="22"/>
          <w:szCs w:val="22"/>
          <w:lang w:val="fr-FR"/>
        </w:rPr>
        <w:t>dans l</w:t>
      </w:r>
      <w:r w:rsidR="008E532B">
        <w:rPr>
          <w:rFonts w:ascii="Arial" w:eastAsia="SimSun" w:hAnsi="Arial" w:cs="Arial"/>
          <w:sz w:val="22"/>
          <w:szCs w:val="22"/>
          <w:lang w:val="fr-FR"/>
        </w:rPr>
        <w:t>’</w:t>
      </w:r>
      <w:r w:rsidRPr="005A0E83">
        <w:rPr>
          <w:rFonts w:ascii="Arial" w:eastAsia="SimSun" w:hAnsi="Arial" w:cs="Arial"/>
          <w:sz w:val="22"/>
          <w:szCs w:val="22"/>
          <w:lang w:val="fr-FR"/>
        </w:rPr>
        <w:t>éducation formelle et non formelle. L</w:t>
      </w:r>
      <w:r w:rsidR="008E532B">
        <w:rPr>
          <w:rFonts w:ascii="Arial" w:eastAsia="SimSun" w:hAnsi="Arial" w:cs="Arial"/>
          <w:sz w:val="22"/>
          <w:szCs w:val="22"/>
          <w:lang w:val="fr-FR"/>
        </w:rPr>
        <w:t>’</w:t>
      </w:r>
      <w:r w:rsidRPr="005A0E83">
        <w:rPr>
          <w:rFonts w:ascii="Arial" w:eastAsia="SimSun" w:hAnsi="Arial" w:cs="Arial"/>
          <w:sz w:val="22"/>
          <w:szCs w:val="22"/>
          <w:lang w:val="fr-FR"/>
        </w:rPr>
        <w:t xml:space="preserve">éducation </w:t>
      </w:r>
      <w:r>
        <w:rPr>
          <w:rFonts w:ascii="Arial" w:eastAsia="SimSun" w:hAnsi="Arial" w:cs="Arial"/>
          <w:sz w:val="22"/>
          <w:szCs w:val="22"/>
          <w:lang w:val="fr-FR"/>
        </w:rPr>
        <w:t>était</w:t>
      </w:r>
      <w:r w:rsidRPr="005A0E83">
        <w:rPr>
          <w:rFonts w:ascii="Arial" w:eastAsia="SimSun" w:hAnsi="Arial" w:cs="Arial"/>
          <w:sz w:val="22"/>
          <w:szCs w:val="22"/>
          <w:lang w:val="fr-FR"/>
        </w:rPr>
        <w:t xml:space="preserve"> extrêmement importante pour reconnaître et promouvoir les différentes formes de production et de transmission des savoirs traditionnels et des valeurs culturelles des communautés du monde entier, en aidant à comprendre comment ils sont utilisés pour promouvoir et assurer le bien-être des détenteurs. La Colombie </w:t>
      </w:r>
      <w:r>
        <w:rPr>
          <w:rFonts w:ascii="Arial" w:eastAsia="SimSun" w:hAnsi="Arial" w:cs="Arial"/>
          <w:sz w:val="22"/>
          <w:szCs w:val="22"/>
          <w:lang w:val="fr-FR"/>
        </w:rPr>
        <w:t>était</w:t>
      </w:r>
      <w:r w:rsidRPr="005A0E83">
        <w:rPr>
          <w:rFonts w:ascii="Arial" w:eastAsia="SimSun" w:hAnsi="Arial" w:cs="Arial"/>
          <w:sz w:val="22"/>
          <w:szCs w:val="22"/>
          <w:lang w:val="fr-FR"/>
        </w:rPr>
        <w:t xml:space="preserve"> pleinement convaincue que la formation professionnelle et universitaire d</w:t>
      </w:r>
      <w:r>
        <w:rPr>
          <w:rFonts w:ascii="Arial" w:eastAsia="SimSun" w:hAnsi="Arial" w:cs="Arial"/>
          <w:sz w:val="22"/>
          <w:szCs w:val="22"/>
          <w:lang w:val="fr-FR"/>
        </w:rPr>
        <w:t xml:space="preserve">oit </w:t>
      </w:r>
      <w:r w:rsidRPr="005A0E83">
        <w:rPr>
          <w:rFonts w:ascii="Arial" w:eastAsia="SimSun" w:hAnsi="Arial" w:cs="Arial"/>
          <w:sz w:val="22"/>
          <w:szCs w:val="22"/>
          <w:lang w:val="fr-FR"/>
        </w:rPr>
        <w:t xml:space="preserve">avoir des liens avec la sauvegarde du </w:t>
      </w:r>
      <w:r w:rsidR="00E908E2">
        <w:rPr>
          <w:rFonts w:ascii="Arial" w:eastAsia="SimSun" w:hAnsi="Arial" w:cs="Arial"/>
          <w:bCs/>
          <w:sz w:val="22"/>
          <w:szCs w:val="22"/>
          <w:lang w:val="fr-FR" w:eastAsia="en-US"/>
        </w:rPr>
        <w:t>patrimoine culturel immatériel</w:t>
      </w:r>
      <w:r w:rsidRPr="005A0E83">
        <w:rPr>
          <w:rFonts w:ascii="Arial" w:eastAsia="SimSun" w:hAnsi="Arial" w:cs="Arial"/>
          <w:sz w:val="22"/>
          <w:szCs w:val="22"/>
          <w:lang w:val="fr-FR"/>
        </w:rPr>
        <w:t>. Au cours des trois dernières années, la Colombie s</w:t>
      </w:r>
      <w:r w:rsidR="008E532B">
        <w:rPr>
          <w:rFonts w:ascii="Arial" w:eastAsia="SimSun" w:hAnsi="Arial" w:cs="Arial"/>
          <w:sz w:val="22"/>
          <w:szCs w:val="22"/>
          <w:lang w:val="fr-FR"/>
        </w:rPr>
        <w:t>’</w:t>
      </w:r>
      <w:r>
        <w:rPr>
          <w:rFonts w:ascii="Arial" w:eastAsia="SimSun" w:hAnsi="Arial" w:cs="Arial"/>
          <w:sz w:val="22"/>
          <w:szCs w:val="22"/>
          <w:lang w:val="fr-FR"/>
        </w:rPr>
        <w:t>était</w:t>
      </w:r>
      <w:r w:rsidRPr="005A0E83">
        <w:rPr>
          <w:rFonts w:ascii="Arial" w:eastAsia="SimSun" w:hAnsi="Arial" w:cs="Arial"/>
          <w:sz w:val="22"/>
          <w:szCs w:val="22"/>
          <w:lang w:val="fr-FR"/>
        </w:rPr>
        <w:t xml:space="preserve"> concentrée sur les institutions impliquées dans la sauvegarde du </w:t>
      </w:r>
      <w:r w:rsidR="00E908E2">
        <w:rPr>
          <w:rFonts w:ascii="Arial" w:eastAsia="SimSun" w:hAnsi="Arial" w:cs="Arial"/>
          <w:bCs/>
          <w:sz w:val="22"/>
          <w:szCs w:val="22"/>
          <w:lang w:val="fr-FR" w:eastAsia="en-US"/>
        </w:rPr>
        <w:t>patrimoine culturel immatériel</w:t>
      </w:r>
      <w:r>
        <w:rPr>
          <w:rFonts w:ascii="Arial" w:eastAsia="SimSun" w:hAnsi="Arial" w:cs="Arial"/>
          <w:sz w:val="22"/>
          <w:szCs w:val="22"/>
          <w:lang w:val="fr-FR"/>
        </w:rPr>
        <w:t>,</w:t>
      </w:r>
      <w:r w:rsidRPr="005A0E83">
        <w:rPr>
          <w:rFonts w:ascii="Arial" w:eastAsia="SimSun" w:hAnsi="Arial" w:cs="Arial"/>
          <w:sz w:val="22"/>
          <w:szCs w:val="22"/>
          <w:lang w:val="fr-FR"/>
        </w:rPr>
        <w:t xml:space="preserve"> en favorisant un meilleur accès aux pratiques et techniques du patrimoine culturel</w:t>
      </w:r>
      <w:r>
        <w:rPr>
          <w:rFonts w:ascii="Arial" w:eastAsia="SimSun" w:hAnsi="Arial" w:cs="Arial"/>
          <w:sz w:val="22"/>
          <w:szCs w:val="22"/>
          <w:lang w:val="fr-FR"/>
        </w:rPr>
        <w:t xml:space="preserve"> et en mettant l</w:t>
      </w:r>
      <w:r w:rsidR="008E532B">
        <w:rPr>
          <w:rFonts w:ascii="Arial" w:eastAsia="SimSun" w:hAnsi="Arial" w:cs="Arial"/>
          <w:sz w:val="22"/>
          <w:szCs w:val="22"/>
          <w:lang w:val="fr-FR"/>
        </w:rPr>
        <w:t>’</w:t>
      </w:r>
      <w:r>
        <w:rPr>
          <w:rFonts w:ascii="Arial" w:eastAsia="SimSun" w:hAnsi="Arial" w:cs="Arial"/>
          <w:sz w:val="22"/>
          <w:szCs w:val="22"/>
          <w:lang w:val="fr-FR"/>
        </w:rPr>
        <w:t>accent sur</w:t>
      </w:r>
      <w:r w:rsidRPr="005A0E83">
        <w:rPr>
          <w:rFonts w:ascii="Arial" w:eastAsia="SimSun" w:hAnsi="Arial" w:cs="Arial"/>
          <w:sz w:val="22"/>
          <w:szCs w:val="22"/>
          <w:lang w:val="fr-FR"/>
        </w:rPr>
        <w:t xml:space="preserve"> la manière dont les détenteurs p</w:t>
      </w:r>
      <w:r>
        <w:rPr>
          <w:rFonts w:ascii="Arial" w:eastAsia="SimSun" w:hAnsi="Arial" w:cs="Arial"/>
          <w:sz w:val="22"/>
          <w:szCs w:val="22"/>
          <w:lang w:val="fr-FR"/>
        </w:rPr>
        <w:t>ouvaient</w:t>
      </w:r>
      <w:r w:rsidRPr="005A0E83">
        <w:rPr>
          <w:rFonts w:ascii="Arial" w:eastAsia="SimSun" w:hAnsi="Arial" w:cs="Arial"/>
          <w:sz w:val="22"/>
          <w:szCs w:val="22"/>
          <w:lang w:val="fr-FR"/>
        </w:rPr>
        <w:t xml:space="preserve"> transmettre leurs connaissances à la jeune génération en </w:t>
      </w:r>
      <w:r>
        <w:rPr>
          <w:rFonts w:ascii="Arial" w:eastAsia="SimSun" w:hAnsi="Arial" w:cs="Arial"/>
          <w:sz w:val="22"/>
          <w:szCs w:val="22"/>
          <w:lang w:val="fr-FR"/>
        </w:rPr>
        <w:t>tirant parti</w:t>
      </w:r>
      <w:r w:rsidRPr="005A0E83">
        <w:rPr>
          <w:rFonts w:ascii="Arial" w:eastAsia="SimSun" w:hAnsi="Arial" w:cs="Arial"/>
          <w:sz w:val="22"/>
          <w:szCs w:val="22"/>
          <w:lang w:val="fr-FR"/>
        </w:rPr>
        <w:t xml:space="preserve"> de nouveaux instruments dans leur contexte culturel. Ces efforts </w:t>
      </w:r>
      <w:r>
        <w:rPr>
          <w:rFonts w:ascii="Arial" w:eastAsia="SimSun" w:hAnsi="Arial" w:cs="Arial"/>
          <w:sz w:val="22"/>
          <w:szCs w:val="22"/>
          <w:lang w:val="fr-FR"/>
        </w:rPr>
        <w:t xml:space="preserve">avaient </w:t>
      </w:r>
      <w:r w:rsidRPr="005A0E83">
        <w:rPr>
          <w:rFonts w:ascii="Arial" w:eastAsia="SimSun" w:hAnsi="Arial" w:cs="Arial"/>
          <w:sz w:val="22"/>
          <w:szCs w:val="22"/>
          <w:lang w:val="fr-FR"/>
        </w:rPr>
        <w:t>été entrepris dans le cadre de la reconnaissance par la Colombie de son capital humain et de l</w:t>
      </w:r>
      <w:r w:rsidR="008E532B">
        <w:rPr>
          <w:rFonts w:ascii="Arial" w:eastAsia="SimSun" w:hAnsi="Arial" w:cs="Arial"/>
          <w:sz w:val="22"/>
          <w:szCs w:val="22"/>
          <w:lang w:val="fr-FR"/>
        </w:rPr>
        <w:t>’</w:t>
      </w:r>
      <w:r w:rsidRPr="005A0E83">
        <w:rPr>
          <w:rFonts w:ascii="Arial" w:eastAsia="SimSun" w:hAnsi="Arial" w:cs="Arial"/>
          <w:sz w:val="22"/>
          <w:szCs w:val="22"/>
          <w:lang w:val="fr-FR"/>
        </w:rPr>
        <w:t xml:space="preserve">importance du bien-être spirituel et collectif de tous les différents aspects de la société colombienne, </w:t>
      </w:r>
      <w:r>
        <w:rPr>
          <w:rFonts w:ascii="Arial" w:eastAsia="SimSun" w:hAnsi="Arial" w:cs="Arial"/>
          <w:sz w:val="22"/>
          <w:szCs w:val="22"/>
          <w:lang w:val="fr-FR"/>
        </w:rPr>
        <w:t>un élément</w:t>
      </w:r>
      <w:r w:rsidRPr="005A0E83">
        <w:rPr>
          <w:rFonts w:ascii="Arial" w:eastAsia="SimSun" w:hAnsi="Arial" w:cs="Arial"/>
          <w:sz w:val="22"/>
          <w:szCs w:val="22"/>
          <w:lang w:val="fr-FR"/>
        </w:rPr>
        <w:t xml:space="preserve"> fondamental pour le développement du pays. </w:t>
      </w:r>
      <w:r>
        <w:rPr>
          <w:rFonts w:ascii="Arial" w:eastAsia="SimSun" w:hAnsi="Arial" w:cs="Arial"/>
          <w:sz w:val="22"/>
          <w:szCs w:val="22"/>
          <w:lang w:val="fr-FR"/>
        </w:rPr>
        <w:t>Outre une</w:t>
      </w:r>
      <w:r w:rsidRPr="005A0E83">
        <w:rPr>
          <w:rFonts w:ascii="Arial" w:eastAsia="SimSun" w:hAnsi="Arial" w:cs="Arial"/>
          <w:sz w:val="22"/>
          <w:szCs w:val="22"/>
          <w:lang w:val="fr-FR"/>
        </w:rPr>
        <w:t xml:space="preserve"> politique culturelle très solide, </w:t>
      </w:r>
      <w:r>
        <w:rPr>
          <w:rFonts w:ascii="Arial" w:eastAsia="SimSun" w:hAnsi="Arial" w:cs="Arial"/>
          <w:sz w:val="22"/>
          <w:szCs w:val="22"/>
          <w:lang w:val="fr-FR"/>
        </w:rPr>
        <w:t>la Colombie</w:t>
      </w:r>
      <w:r w:rsidRPr="005A0E83">
        <w:rPr>
          <w:rFonts w:ascii="Arial" w:eastAsia="SimSun" w:hAnsi="Arial" w:cs="Arial"/>
          <w:sz w:val="22"/>
          <w:szCs w:val="22"/>
          <w:lang w:val="fr-FR"/>
        </w:rPr>
        <w:t xml:space="preserve"> dispos</w:t>
      </w:r>
      <w:r>
        <w:rPr>
          <w:rFonts w:ascii="Arial" w:eastAsia="SimSun" w:hAnsi="Arial" w:cs="Arial"/>
          <w:sz w:val="22"/>
          <w:szCs w:val="22"/>
          <w:lang w:val="fr-FR"/>
        </w:rPr>
        <w:t>ait</w:t>
      </w:r>
      <w:r w:rsidRPr="005A0E83">
        <w:rPr>
          <w:rFonts w:ascii="Arial" w:eastAsia="SimSun" w:hAnsi="Arial" w:cs="Arial"/>
          <w:sz w:val="22"/>
          <w:szCs w:val="22"/>
          <w:lang w:val="fr-FR"/>
        </w:rPr>
        <w:t xml:space="preserve"> également d</w:t>
      </w:r>
      <w:r w:rsidR="008E532B">
        <w:rPr>
          <w:rFonts w:ascii="Arial" w:eastAsia="SimSun" w:hAnsi="Arial" w:cs="Arial"/>
          <w:sz w:val="22"/>
          <w:szCs w:val="22"/>
          <w:lang w:val="fr-FR"/>
        </w:rPr>
        <w:t>’</w:t>
      </w:r>
      <w:r w:rsidRPr="005A0E83">
        <w:rPr>
          <w:rFonts w:ascii="Arial" w:eastAsia="SimSun" w:hAnsi="Arial" w:cs="Arial"/>
          <w:sz w:val="22"/>
          <w:szCs w:val="22"/>
          <w:lang w:val="fr-FR"/>
        </w:rPr>
        <w:t xml:space="preserve">un nouveau cadre juridique </w:t>
      </w:r>
      <w:r>
        <w:rPr>
          <w:rFonts w:ascii="Arial" w:eastAsia="SimSun" w:hAnsi="Arial" w:cs="Arial"/>
          <w:sz w:val="22"/>
          <w:szCs w:val="22"/>
          <w:lang w:val="fr-FR"/>
        </w:rPr>
        <w:t xml:space="preserve">autour des </w:t>
      </w:r>
      <w:r w:rsidRPr="005A0E83">
        <w:rPr>
          <w:rFonts w:ascii="Arial" w:eastAsia="SimSun" w:hAnsi="Arial" w:cs="Arial"/>
          <w:sz w:val="22"/>
          <w:szCs w:val="22"/>
          <w:lang w:val="fr-FR"/>
        </w:rPr>
        <w:t>métiers traditionnels qui reconna</w:t>
      </w:r>
      <w:r>
        <w:rPr>
          <w:rFonts w:ascii="Arial" w:eastAsia="SimSun" w:hAnsi="Arial" w:cs="Arial"/>
          <w:sz w:val="22"/>
          <w:szCs w:val="22"/>
          <w:lang w:val="fr-FR"/>
        </w:rPr>
        <w:t>issait</w:t>
      </w:r>
      <w:r w:rsidRPr="005A0E83">
        <w:rPr>
          <w:rFonts w:ascii="Arial" w:eastAsia="SimSun" w:hAnsi="Arial" w:cs="Arial"/>
          <w:sz w:val="22"/>
          <w:szCs w:val="22"/>
          <w:lang w:val="fr-FR"/>
        </w:rPr>
        <w:t xml:space="preserve"> l</w:t>
      </w:r>
      <w:r w:rsidR="008E532B">
        <w:rPr>
          <w:rFonts w:ascii="Arial" w:eastAsia="SimSun" w:hAnsi="Arial" w:cs="Arial"/>
          <w:sz w:val="22"/>
          <w:szCs w:val="22"/>
          <w:lang w:val="fr-FR"/>
        </w:rPr>
        <w:t>’</w:t>
      </w:r>
      <w:r w:rsidRPr="005A0E83">
        <w:rPr>
          <w:rFonts w:ascii="Arial" w:eastAsia="SimSun" w:hAnsi="Arial" w:cs="Arial"/>
          <w:sz w:val="22"/>
          <w:szCs w:val="22"/>
          <w:lang w:val="fr-FR"/>
        </w:rPr>
        <w:t>importance de l</w:t>
      </w:r>
      <w:r w:rsidR="008E532B">
        <w:rPr>
          <w:rFonts w:ascii="Arial" w:eastAsia="SimSun" w:hAnsi="Arial" w:cs="Arial"/>
          <w:sz w:val="22"/>
          <w:szCs w:val="22"/>
          <w:lang w:val="fr-FR"/>
        </w:rPr>
        <w:t>’</w:t>
      </w:r>
      <w:r w:rsidRPr="005A0E83">
        <w:rPr>
          <w:rFonts w:ascii="Arial" w:eastAsia="SimSun" w:hAnsi="Arial" w:cs="Arial"/>
          <w:sz w:val="22"/>
          <w:szCs w:val="22"/>
          <w:lang w:val="fr-FR"/>
        </w:rPr>
        <w:t>apprentissage des connaissances traditionnelles. Cela ne concern</w:t>
      </w:r>
      <w:r>
        <w:rPr>
          <w:rFonts w:ascii="Arial" w:eastAsia="SimSun" w:hAnsi="Arial" w:cs="Arial"/>
          <w:sz w:val="22"/>
          <w:szCs w:val="22"/>
          <w:lang w:val="fr-FR"/>
        </w:rPr>
        <w:t>ait</w:t>
      </w:r>
      <w:r w:rsidRPr="005A0E83">
        <w:rPr>
          <w:rFonts w:ascii="Arial" w:eastAsia="SimSun" w:hAnsi="Arial" w:cs="Arial"/>
          <w:sz w:val="22"/>
          <w:szCs w:val="22"/>
          <w:lang w:val="fr-FR"/>
        </w:rPr>
        <w:t xml:space="preserve"> pas seulement le secteur culturel</w:t>
      </w:r>
      <w:r>
        <w:rPr>
          <w:rFonts w:ascii="Arial" w:eastAsia="SimSun" w:hAnsi="Arial" w:cs="Arial"/>
          <w:sz w:val="22"/>
          <w:szCs w:val="22"/>
          <w:lang w:val="fr-FR"/>
        </w:rPr>
        <w:t>,</w:t>
      </w:r>
      <w:r w:rsidRPr="005A0E83">
        <w:rPr>
          <w:rFonts w:ascii="Arial" w:eastAsia="SimSun" w:hAnsi="Arial" w:cs="Arial"/>
          <w:sz w:val="22"/>
          <w:szCs w:val="22"/>
          <w:lang w:val="fr-FR"/>
        </w:rPr>
        <w:t xml:space="preserve"> mais l</w:t>
      </w:r>
      <w:r w:rsidR="008E532B">
        <w:rPr>
          <w:rFonts w:ascii="Arial" w:eastAsia="SimSun" w:hAnsi="Arial" w:cs="Arial"/>
          <w:sz w:val="22"/>
          <w:szCs w:val="22"/>
          <w:lang w:val="fr-FR"/>
        </w:rPr>
        <w:t>’</w:t>
      </w:r>
      <w:r w:rsidRPr="005A0E83">
        <w:rPr>
          <w:rFonts w:ascii="Arial" w:eastAsia="SimSun" w:hAnsi="Arial" w:cs="Arial"/>
          <w:sz w:val="22"/>
          <w:szCs w:val="22"/>
          <w:lang w:val="fr-FR"/>
        </w:rPr>
        <w:t xml:space="preserve">ensemble du droit du travail </w:t>
      </w:r>
      <w:r>
        <w:rPr>
          <w:rFonts w:ascii="Arial" w:eastAsia="SimSun" w:hAnsi="Arial" w:cs="Arial"/>
          <w:sz w:val="22"/>
          <w:szCs w:val="22"/>
          <w:lang w:val="fr-FR"/>
        </w:rPr>
        <w:t>national</w:t>
      </w:r>
      <w:r w:rsidRPr="005A0E83">
        <w:rPr>
          <w:rFonts w:ascii="Arial" w:eastAsia="SimSun" w:hAnsi="Arial" w:cs="Arial"/>
          <w:sz w:val="22"/>
          <w:szCs w:val="22"/>
          <w:lang w:val="fr-FR"/>
        </w:rPr>
        <w:t xml:space="preserve">. De plus, la loi </w:t>
      </w:r>
      <w:proofErr w:type="spellStart"/>
      <w:r>
        <w:rPr>
          <w:rFonts w:ascii="Arial" w:eastAsia="SimSun" w:hAnsi="Arial" w:cs="Arial"/>
          <w:i/>
          <w:iCs/>
          <w:sz w:val="22"/>
          <w:szCs w:val="22"/>
          <w:lang w:val="fr-FR"/>
        </w:rPr>
        <w:t>V</w:t>
      </w:r>
      <w:r w:rsidRPr="0013669F">
        <w:rPr>
          <w:rFonts w:ascii="Arial" w:eastAsia="SimSun" w:hAnsi="Arial" w:cs="Arial"/>
          <w:i/>
          <w:iCs/>
          <w:sz w:val="22"/>
          <w:szCs w:val="22"/>
          <w:lang w:val="fr-FR"/>
        </w:rPr>
        <w:t>iche</w:t>
      </w:r>
      <w:proofErr w:type="spellEnd"/>
      <w:r w:rsidRPr="005A0E83">
        <w:rPr>
          <w:rFonts w:ascii="Arial" w:eastAsia="SimSun" w:hAnsi="Arial" w:cs="Arial"/>
          <w:sz w:val="22"/>
          <w:szCs w:val="22"/>
          <w:lang w:val="fr-FR"/>
        </w:rPr>
        <w:t xml:space="preserve"> </w:t>
      </w:r>
      <w:r>
        <w:rPr>
          <w:rFonts w:ascii="Arial" w:eastAsia="SimSun" w:hAnsi="Arial" w:cs="Arial"/>
          <w:sz w:val="22"/>
          <w:szCs w:val="22"/>
          <w:lang w:val="fr-FR"/>
        </w:rPr>
        <w:t xml:space="preserve">avait </w:t>
      </w:r>
      <w:r w:rsidRPr="005A0E83">
        <w:rPr>
          <w:rFonts w:ascii="Arial" w:eastAsia="SimSun" w:hAnsi="Arial" w:cs="Arial"/>
          <w:sz w:val="22"/>
          <w:szCs w:val="22"/>
          <w:lang w:val="fr-FR"/>
        </w:rPr>
        <w:t>reconn</w:t>
      </w:r>
      <w:r>
        <w:rPr>
          <w:rFonts w:ascii="Arial" w:eastAsia="SimSun" w:hAnsi="Arial" w:cs="Arial"/>
          <w:sz w:val="22"/>
          <w:szCs w:val="22"/>
          <w:lang w:val="fr-FR"/>
        </w:rPr>
        <w:t>u</w:t>
      </w:r>
      <w:r w:rsidRPr="005A0E83">
        <w:rPr>
          <w:rFonts w:ascii="Arial" w:eastAsia="SimSun" w:hAnsi="Arial" w:cs="Arial"/>
          <w:sz w:val="22"/>
          <w:szCs w:val="22"/>
          <w:lang w:val="fr-FR"/>
        </w:rPr>
        <w:t xml:space="preserve"> le savoir traditionnel des peuples de Colombie</w:t>
      </w:r>
      <w:r>
        <w:rPr>
          <w:rFonts w:ascii="Arial" w:eastAsia="SimSun" w:hAnsi="Arial" w:cs="Arial"/>
          <w:sz w:val="22"/>
          <w:szCs w:val="22"/>
          <w:lang w:val="fr-FR"/>
        </w:rPr>
        <w:t xml:space="preserve">, en rendant </w:t>
      </w:r>
      <w:r w:rsidRPr="005A0E83">
        <w:rPr>
          <w:rFonts w:ascii="Arial" w:eastAsia="SimSun" w:hAnsi="Arial" w:cs="Arial"/>
          <w:sz w:val="22"/>
          <w:szCs w:val="22"/>
          <w:lang w:val="fr-FR"/>
        </w:rPr>
        <w:t xml:space="preserve">hommage à la boisson ancestrale, le </w:t>
      </w:r>
      <w:proofErr w:type="spellStart"/>
      <w:r w:rsidRPr="0013669F">
        <w:rPr>
          <w:rFonts w:ascii="Arial" w:eastAsia="SimSun" w:hAnsi="Arial" w:cs="Arial"/>
          <w:i/>
          <w:iCs/>
          <w:sz w:val="22"/>
          <w:szCs w:val="22"/>
          <w:lang w:val="fr-FR"/>
        </w:rPr>
        <w:t>viche</w:t>
      </w:r>
      <w:proofErr w:type="spellEnd"/>
      <w:r>
        <w:rPr>
          <w:rFonts w:ascii="Arial" w:eastAsia="SimSun" w:hAnsi="Arial" w:cs="Arial"/>
          <w:sz w:val="22"/>
          <w:szCs w:val="22"/>
          <w:lang w:val="fr-FR"/>
        </w:rPr>
        <w:t>. Cette loi, qui réunissait</w:t>
      </w:r>
      <w:r w:rsidRPr="005A0E83">
        <w:rPr>
          <w:rFonts w:ascii="Arial" w:eastAsia="SimSun" w:hAnsi="Arial" w:cs="Arial"/>
          <w:sz w:val="22"/>
          <w:szCs w:val="22"/>
          <w:lang w:val="fr-FR"/>
        </w:rPr>
        <w:t xml:space="preserve"> les secteurs de la culture et de la santé, a</w:t>
      </w:r>
      <w:r>
        <w:rPr>
          <w:rFonts w:ascii="Arial" w:eastAsia="SimSun" w:hAnsi="Arial" w:cs="Arial"/>
          <w:sz w:val="22"/>
          <w:szCs w:val="22"/>
          <w:lang w:val="fr-FR"/>
        </w:rPr>
        <w:t>vait</w:t>
      </w:r>
      <w:r w:rsidRPr="005A0E83">
        <w:rPr>
          <w:rFonts w:ascii="Arial" w:eastAsia="SimSun" w:hAnsi="Arial" w:cs="Arial"/>
          <w:sz w:val="22"/>
          <w:szCs w:val="22"/>
          <w:lang w:val="fr-FR"/>
        </w:rPr>
        <w:t xml:space="preserve"> conduit à l</w:t>
      </w:r>
      <w:r w:rsidR="008E532B">
        <w:rPr>
          <w:rFonts w:ascii="Arial" w:eastAsia="SimSun" w:hAnsi="Arial" w:cs="Arial"/>
          <w:sz w:val="22"/>
          <w:szCs w:val="22"/>
          <w:lang w:val="fr-FR"/>
        </w:rPr>
        <w:t>’</w:t>
      </w:r>
      <w:r w:rsidRPr="005A0E83">
        <w:rPr>
          <w:rFonts w:ascii="Arial" w:eastAsia="SimSun" w:hAnsi="Arial" w:cs="Arial"/>
          <w:sz w:val="22"/>
          <w:szCs w:val="22"/>
          <w:lang w:val="fr-FR"/>
        </w:rPr>
        <w:t xml:space="preserve">adoption de bonnes pratiques </w:t>
      </w:r>
      <w:r>
        <w:rPr>
          <w:rFonts w:ascii="Arial" w:eastAsia="SimSun" w:hAnsi="Arial" w:cs="Arial"/>
          <w:sz w:val="22"/>
          <w:szCs w:val="22"/>
          <w:lang w:val="fr-FR"/>
        </w:rPr>
        <w:t>concernant, entre autres,</w:t>
      </w:r>
      <w:r w:rsidRPr="005A0E83">
        <w:rPr>
          <w:rFonts w:ascii="Arial" w:eastAsia="SimSun" w:hAnsi="Arial" w:cs="Arial"/>
          <w:sz w:val="22"/>
          <w:szCs w:val="22"/>
          <w:lang w:val="fr-FR"/>
        </w:rPr>
        <w:t xml:space="preserve"> la cuisine colombienne. La Colombie dispos</w:t>
      </w:r>
      <w:r>
        <w:rPr>
          <w:rFonts w:ascii="Arial" w:eastAsia="SimSun" w:hAnsi="Arial" w:cs="Arial"/>
          <w:sz w:val="22"/>
          <w:szCs w:val="22"/>
          <w:lang w:val="fr-FR"/>
        </w:rPr>
        <w:t>ait</w:t>
      </w:r>
      <w:r w:rsidRPr="005A0E83">
        <w:rPr>
          <w:rFonts w:ascii="Arial" w:eastAsia="SimSun" w:hAnsi="Arial" w:cs="Arial"/>
          <w:sz w:val="22"/>
          <w:szCs w:val="22"/>
          <w:lang w:val="fr-FR"/>
        </w:rPr>
        <w:t xml:space="preserve"> également d</w:t>
      </w:r>
      <w:r w:rsidR="008E532B">
        <w:rPr>
          <w:rFonts w:ascii="Arial" w:eastAsia="SimSun" w:hAnsi="Arial" w:cs="Arial"/>
          <w:sz w:val="22"/>
          <w:szCs w:val="22"/>
          <w:lang w:val="fr-FR"/>
        </w:rPr>
        <w:t>’</w:t>
      </w:r>
      <w:r w:rsidRPr="005A0E83">
        <w:rPr>
          <w:rFonts w:ascii="Arial" w:eastAsia="SimSun" w:hAnsi="Arial" w:cs="Arial"/>
          <w:sz w:val="22"/>
          <w:szCs w:val="22"/>
          <w:lang w:val="fr-FR"/>
        </w:rPr>
        <w:t>une nouvelle législation sur la construction de ses logements traditionnels. C</w:t>
      </w:r>
      <w:r w:rsidR="008E532B">
        <w:rPr>
          <w:rFonts w:ascii="Arial" w:eastAsia="SimSun" w:hAnsi="Arial" w:cs="Arial"/>
          <w:sz w:val="22"/>
          <w:szCs w:val="22"/>
          <w:lang w:val="fr-FR"/>
        </w:rPr>
        <w:t>’</w:t>
      </w:r>
      <w:r>
        <w:rPr>
          <w:rFonts w:ascii="Arial" w:eastAsia="SimSun" w:hAnsi="Arial" w:cs="Arial"/>
          <w:sz w:val="22"/>
          <w:szCs w:val="22"/>
          <w:lang w:val="fr-FR"/>
        </w:rPr>
        <w:t>est la raison pour laquelle</w:t>
      </w:r>
      <w:r w:rsidRPr="005A0E83">
        <w:rPr>
          <w:rFonts w:ascii="Arial" w:eastAsia="SimSun" w:hAnsi="Arial" w:cs="Arial"/>
          <w:sz w:val="22"/>
          <w:szCs w:val="22"/>
          <w:lang w:val="fr-FR"/>
        </w:rPr>
        <w:t xml:space="preserve"> la Colombie encourage</w:t>
      </w:r>
      <w:r>
        <w:rPr>
          <w:rFonts w:ascii="Arial" w:eastAsia="SimSun" w:hAnsi="Arial" w:cs="Arial"/>
          <w:sz w:val="22"/>
          <w:szCs w:val="22"/>
          <w:lang w:val="fr-FR"/>
        </w:rPr>
        <w:t>ait</w:t>
      </w:r>
      <w:r w:rsidRPr="005A0E83">
        <w:rPr>
          <w:rFonts w:ascii="Arial" w:eastAsia="SimSun" w:hAnsi="Arial" w:cs="Arial"/>
          <w:sz w:val="22"/>
          <w:szCs w:val="22"/>
          <w:lang w:val="fr-FR"/>
        </w:rPr>
        <w:t xml:space="preserve"> les États parties à intégrer la Convention</w:t>
      </w:r>
      <w:r>
        <w:rPr>
          <w:rFonts w:ascii="Arial" w:eastAsia="SimSun" w:hAnsi="Arial" w:cs="Arial"/>
          <w:sz w:val="22"/>
          <w:szCs w:val="22"/>
          <w:lang w:val="fr-FR"/>
        </w:rPr>
        <w:t>, par exemple,</w:t>
      </w:r>
      <w:r w:rsidRPr="005A0E83">
        <w:rPr>
          <w:rFonts w:ascii="Arial" w:eastAsia="SimSun" w:hAnsi="Arial" w:cs="Arial"/>
          <w:sz w:val="22"/>
          <w:szCs w:val="22"/>
          <w:lang w:val="fr-FR"/>
        </w:rPr>
        <w:t xml:space="preserve"> dans leurs secteurs de l</w:t>
      </w:r>
      <w:r w:rsidR="008E532B">
        <w:rPr>
          <w:rFonts w:ascii="Arial" w:eastAsia="SimSun" w:hAnsi="Arial" w:cs="Arial"/>
          <w:sz w:val="22"/>
          <w:szCs w:val="22"/>
          <w:lang w:val="fr-FR"/>
        </w:rPr>
        <w:t>’</w:t>
      </w:r>
      <w:r w:rsidRPr="005A0E83">
        <w:rPr>
          <w:rFonts w:ascii="Arial" w:eastAsia="SimSun" w:hAnsi="Arial" w:cs="Arial"/>
          <w:sz w:val="22"/>
          <w:szCs w:val="22"/>
          <w:lang w:val="fr-FR"/>
        </w:rPr>
        <w:t>éducation, de la santé et du logement. La délégation a réitéré l</w:t>
      </w:r>
      <w:r w:rsidR="008E532B">
        <w:rPr>
          <w:rFonts w:ascii="Arial" w:eastAsia="SimSun" w:hAnsi="Arial" w:cs="Arial"/>
          <w:sz w:val="22"/>
          <w:szCs w:val="22"/>
          <w:lang w:val="fr-FR"/>
        </w:rPr>
        <w:t>’</w:t>
      </w:r>
      <w:r w:rsidRPr="005A0E83">
        <w:rPr>
          <w:rFonts w:ascii="Arial" w:eastAsia="SimSun" w:hAnsi="Arial" w:cs="Arial"/>
          <w:sz w:val="22"/>
          <w:szCs w:val="22"/>
          <w:lang w:val="fr-FR"/>
        </w:rPr>
        <w:t xml:space="preserve">importance du travail entrepris par les </w:t>
      </w:r>
      <w:r>
        <w:rPr>
          <w:rFonts w:ascii="Arial" w:eastAsia="SimSun" w:hAnsi="Arial" w:cs="Arial"/>
          <w:sz w:val="22"/>
          <w:szCs w:val="22"/>
          <w:lang w:val="fr-FR"/>
        </w:rPr>
        <w:t>É</w:t>
      </w:r>
      <w:r w:rsidRPr="005A0E83">
        <w:rPr>
          <w:rFonts w:ascii="Arial" w:eastAsia="SimSun" w:hAnsi="Arial" w:cs="Arial"/>
          <w:sz w:val="22"/>
          <w:szCs w:val="22"/>
          <w:lang w:val="fr-FR"/>
        </w:rPr>
        <w:t xml:space="preserve">tats parties et le Secrétariat pour </w:t>
      </w:r>
      <w:r>
        <w:rPr>
          <w:rFonts w:ascii="Arial" w:eastAsia="SimSun" w:hAnsi="Arial" w:cs="Arial"/>
          <w:sz w:val="22"/>
          <w:szCs w:val="22"/>
          <w:lang w:val="fr-FR"/>
        </w:rPr>
        <w:t xml:space="preserve">faire de </w:t>
      </w:r>
      <w:r w:rsidRPr="00F10F23">
        <w:rPr>
          <w:rFonts w:ascii="Arial" w:eastAsia="SimSun" w:hAnsi="Arial" w:cs="Arial"/>
          <w:sz w:val="22"/>
          <w:szCs w:val="22"/>
          <w:lang w:val="fr-FR"/>
        </w:rPr>
        <w:t>la Convention un outil de dialogue et un levier pour la paix. Elle a souhaité au Bureau de l</w:t>
      </w:r>
      <w:r w:rsidR="008E532B">
        <w:rPr>
          <w:rFonts w:ascii="Arial" w:eastAsia="SimSun" w:hAnsi="Arial" w:cs="Arial"/>
          <w:sz w:val="22"/>
          <w:szCs w:val="22"/>
          <w:lang w:val="fr-FR"/>
        </w:rPr>
        <w:t>’</w:t>
      </w:r>
      <w:r w:rsidRPr="00F10F23">
        <w:rPr>
          <w:rFonts w:ascii="Arial" w:eastAsia="SimSun" w:hAnsi="Arial" w:cs="Arial"/>
          <w:sz w:val="22"/>
          <w:szCs w:val="22"/>
          <w:lang w:val="fr-FR"/>
        </w:rPr>
        <w:t>Assemblée tout le succès possible pour l</w:t>
      </w:r>
      <w:r w:rsidR="008E532B">
        <w:rPr>
          <w:rFonts w:ascii="Arial" w:eastAsia="SimSun" w:hAnsi="Arial" w:cs="Arial"/>
          <w:sz w:val="22"/>
          <w:szCs w:val="22"/>
          <w:lang w:val="fr-FR"/>
        </w:rPr>
        <w:t>’</w:t>
      </w:r>
      <w:r w:rsidRPr="00F10F23">
        <w:rPr>
          <w:rFonts w:ascii="Arial" w:eastAsia="SimSun" w:hAnsi="Arial" w:cs="Arial"/>
          <w:sz w:val="22"/>
          <w:szCs w:val="22"/>
          <w:lang w:val="fr-FR"/>
        </w:rPr>
        <w:t>avenir.</w:t>
      </w:r>
    </w:p>
    <w:p w14:paraId="2E115D67" w14:textId="68B8A5F2" w:rsidR="00D9653F" w:rsidRPr="008B15E2"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8B15E2">
        <w:rPr>
          <w:rFonts w:ascii="Arial" w:eastAsia="SimSun" w:hAnsi="Arial" w:cs="Arial"/>
          <w:sz w:val="22"/>
          <w:szCs w:val="22"/>
          <w:lang w:val="fr-FR"/>
        </w:rPr>
        <w:t xml:space="preserve">La délégation de la </w:t>
      </w:r>
      <w:r w:rsidRPr="008B15E2">
        <w:rPr>
          <w:rFonts w:ascii="Arial" w:eastAsia="SimSun" w:hAnsi="Arial" w:cs="Arial"/>
          <w:b/>
          <w:bCs/>
          <w:sz w:val="22"/>
          <w:szCs w:val="22"/>
          <w:lang w:val="fr-FR"/>
        </w:rPr>
        <w:t>Grenade</w:t>
      </w:r>
      <w:r w:rsidRPr="008B15E2">
        <w:rPr>
          <w:rFonts w:ascii="Arial" w:eastAsia="SimSun" w:hAnsi="Arial" w:cs="Arial"/>
          <w:sz w:val="22"/>
          <w:szCs w:val="22"/>
          <w:lang w:val="fr-FR"/>
        </w:rPr>
        <w:t xml:space="preserve"> a félicité la Présidente et les membres du Bureau, et a souhaité la bienvenue à l</w:t>
      </w:r>
      <w:r w:rsidR="008E532B">
        <w:rPr>
          <w:rFonts w:ascii="Arial" w:eastAsia="SimSun" w:hAnsi="Arial" w:cs="Arial"/>
          <w:sz w:val="22"/>
          <w:szCs w:val="22"/>
          <w:lang w:val="fr-FR"/>
        </w:rPr>
        <w:t>’</w:t>
      </w:r>
      <w:r w:rsidRPr="008B15E2">
        <w:rPr>
          <w:rFonts w:ascii="Arial" w:eastAsia="SimSun" w:hAnsi="Arial" w:cs="Arial"/>
          <w:sz w:val="22"/>
          <w:szCs w:val="22"/>
          <w:lang w:val="fr-FR"/>
        </w:rPr>
        <w:t xml:space="preserve">Angola et à la Somalie au sein de la Convention. Elle a félicité le Secrétariat pour </w:t>
      </w:r>
      <w:r>
        <w:rPr>
          <w:rFonts w:ascii="Arial" w:eastAsia="SimSun" w:hAnsi="Arial" w:cs="Arial"/>
          <w:sz w:val="22"/>
          <w:szCs w:val="22"/>
          <w:lang w:val="fr-FR"/>
        </w:rPr>
        <w:t>les</w:t>
      </w:r>
      <w:r w:rsidRPr="008B15E2">
        <w:rPr>
          <w:rFonts w:ascii="Arial" w:eastAsia="SimSun" w:hAnsi="Arial" w:cs="Arial"/>
          <w:sz w:val="22"/>
          <w:szCs w:val="22"/>
          <w:lang w:val="fr-FR"/>
        </w:rPr>
        <w:t xml:space="preserve"> efforts </w:t>
      </w:r>
      <w:r>
        <w:rPr>
          <w:rFonts w:ascii="Arial" w:eastAsia="SimSun" w:hAnsi="Arial" w:cs="Arial"/>
          <w:sz w:val="22"/>
          <w:szCs w:val="22"/>
          <w:lang w:val="fr-FR"/>
        </w:rPr>
        <w:t>entrepris afin de préparer</w:t>
      </w:r>
      <w:r w:rsidRPr="008B15E2">
        <w:rPr>
          <w:rFonts w:ascii="Arial" w:eastAsia="SimSun" w:hAnsi="Arial" w:cs="Arial"/>
          <w:sz w:val="22"/>
          <w:szCs w:val="22"/>
          <w:lang w:val="fr-FR"/>
        </w:rPr>
        <w:t xml:space="preserve"> l</w:t>
      </w:r>
      <w:r w:rsidR="008E532B">
        <w:rPr>
          <w:rFonts w:ascii="Arial" w:eastAsia="SimSun" w:hAnsi="Arial" w:cs="Arial"/>
          <w:sz w:val="22"/>
          <w:szCs w:val="22"/>
          <w:lang w:val="fr-FR"/>
        </w:rPr>
        <w:t>’</w:t>
      </w:r>
      <w:r w:rsidRPr="008B15E2">
        <w:rPr>
          <w:rFonts w:ascii="Arial" w:eastAsia="SimSun" w:hAnsi="Arial" w:cs="Arial"/>
          <w:sz w:val="22"/>
          <w:szCs w:val="22"/>
          <w:lang w:val="fr-FR"/>
        </w:rPr>
        <w:t>Assemblée et pour son soutien au Comité. La délégation a également remercié la Jamaïque et le Sri</w:t>
      </w:r>
      <w:r>
        <w:rPr>
          <w:rFonts w:ascii="Arial" w:eastAsia="SimSun" w:hAnsi="Arial" w:cs="Arial"/>
          <w:sz w:val="22"/>
          <w:szCs w:val="22"/>
          <w:lang w:val="fr-FR"/>
        </w:rPr>
        <w:t> </w:t>
      </w:r>
      <w:r w:rsidRPr="008B15E2">
        <w:rPr>
          <w:rFonts w:ascii="Arial" w:eastAsia="SimSun" w:hAnsi="Arial" w:cs="Arial"/>
          <w:sz w:val="22"/>
          <w:szCs w:val="22"/>
          <w:lang w:val="fr-FR"/>
        </w:rPr>
        <w:t xml:space="preserve">Lanka pour leurs rapports, félicitant le Comité </w:t>
      </w:r>
      <w:r>
        <w:rPr>
          <w:rFonts w:ascii="Arial" w:eastAsia="SimSun" w:hAnsi="Arial" w:cs="Arial"/>
          <w:sz w:val="22"/>
          <w:szCs w:val="22"/>
          <w:lang w:val="fr-FR"/>
        </w:rPr>
        <w:t>d</w:t>
      </w:r>
      <w:r w:rsidR="008E532B">
        <w:rPr>
          <w:rFonts w:ascii="Arial" w:eastAsia="SimSun" w:hAnsi="Arial" w:cs="Arial"/>
          <w:sz w:val="22"/>
          <w:szCs w:val="22"/>
          <w:lang w:val="fr-FR"/>
        </w:rPr>
        <w:t>’</w:t>
      </w:r>
      <w:r w:rsidRPr="008B15E2">
        <w:rPr>
          <w:rFonts w:ascii="Arial" w:eastAsia="SimSun" w:hAnsi="Arial" w:cs="Arial"/>
          <w:sz w:val="22"/>
          <w:szCs w:val="22"/>
          <w:lang w:val="fr-FR"/>
        </w:rPr>
        <w:t xml:space="preserve">avoir assuré la continuité de ses travaux malgré les circonstances difficiles </w:t>
      </w:r>
      <w:r>
        <w:rPr>
          <w:rFonts w:ascii="Arial" w:eastAsia="SimSun" w:hAnsi="Arial" w:cs="Arial"/>
          <w:sz w:val="22"/>
          <w:szCs w:val="22"/>
          <w:lang w:val="fr-FR"/>
        </w:rPr>
        <w:t>liées à</w:t>
      </w:r>
      <w:r w:rsidRPr="008B15E2">
        <w:rPr>
          <w:rFonts w:ascii="Arial" w:eastAsia="SimSun" w:hAnsi="Arial" w:cs="Arial"/>
          <w:sz w:val="22"/>
          <w:szCs w:val="22"/>
          <w:lang w:val="fr-FR"/>
        </w:rPr>
        <w:t xml:space="preserve"> la pandémie mondiale. Elle a notamment salué les efforts déployés pour renforcer le programme de renforcement des capacités, qui est fondamental pour le mandat de la Convention, ainsi que toutes les activités visant à sauvegarder le patrimoine vivant dans le cadre de la réduction des risques de catastrophe. Mises en œuvre en ligne aux Philippines et au Honduras, ces activités </w:t>
      </w:r>
      <w:r>
        <w:rPr>
          <w:rFonts w:ascii="Arial" w:eastAsia="SimSun" w:hAnsi="Arial" w:cs="Arial"/>
          <w:sz w:val="22"/>
          <w:szCs w:val="22"/>
          <w:lang w:val="fr-FR"/>
        </w:rPr>
        <w:t>étaient</w:t>
      </w:r>
      <w:r w:rsidRPr="008B15E2">
        <w:rPr>
          <w:rFonts w:ascii="Arial" w:eastAsia="SimSun" w:hAnsi="Arial" w:cs="Arial"/>
          <w:sz w:val="22"/>
          <w:szCs w:val="22"/>
          <w:lang w:val="fr-FR"/>
        </w:rPr>
        <w:t xml:space="preserve"> également importantes pour les PEID. La délégation a remercié les donateurs pour leurs contributions volontaires supplémentaires et a noté avec satisfaction qu</w:t>
      </w:r>
      <w:r w:rsidR="008E532B">
        <w:rPr>
          <w:rFonts w:ascii="Arial" w:eastAsia="SimSun" w:hAnsi="Arial" w:cs="Arial"/>
          <w:sz w:val="22"/>
          <w:szCs w:val="22"/>
          <w:lang w:val="fr-FR"/>
        </w:rPr>
        <w:t>’</w:t>
      </w:r>
      <w:r w:rsidRPr="008B15E2">
        <w:rPr>
          <w:rFonts w:ascii="Arial" w:eastAsia="SimSun" w:hAnsi="Arial" w:cs="Arial"/>
          <w:sz w:val="22"/>
          <w:szCs w:val="22"/>
          <w:lang w:val="fr-FR"/>
        </w:rPr>
        <w:t>un total de trente</w:t>
      </w:r>
      <w:r>
        <w:rPr>
          <w:rFonts w:ascii="Arial" w:eastAsia="SimSun" w:hAnsi="Arial" w:cs="Arial"/>
          <w:sz w:val="22"/>
          <w:szCs w:val="22"/>
          <w:lang w:val="fr-FR"/>
        </w:rPr>
        <w:t> </w:t>
      </w:r>
      <w:r w:rsidRPr="008B15E2">
        <w:rPr>
          <w:rFonts w:ascii="Arial" w:eastAsia="SimSun" w:hAnsi="Arial" w:cs="Arial"/>
          <w:sz w:val="22"/>
          <w:szCs w:val="22"/>
          <w:lang w:val="fr-FR"/>
        </w:rPr>
        <w:t>et</w:t>
      </w:r>
      <w:r>
        <w:rPr>
          <w:rFonts w:ascii="Arial" w:eastAsia="SimSun" w:hAnsi="Arial" w:cs="Arial"/>
          <w:sz w:val="22"/>
          <w:szCs w:val="22"/>
          <w:lang w:val="fr-FR"/>
        </w:rPr>
        <w:t> </w:t>
      </w:r>
      <w:r w:rsidRPr="008B15E2">
        <w:rPr>
          <w:rFonts w:ascii="Arial" w:eastAsia="SimSun" w:hAnsi="Arial" w:cs="Arial"/>
          <w:sz w:val="22"/>
          <w:szCs w:val="22"/>
          <w:lang w:val="fr-FR"/>
        </w:rPr>
        <w:t xml:space="preserve">un pays avaient reçu une aide financière du Fonds pendant la période </w:t>
      </w:r>
      <w:r>
        <w:rPr>
          <w:rFonts w:ascii="Arial" w:eastAsia="SimSun" w:hAnsi="Arial" w:cs="Arial"/>
          <w:sz w:val="22"/>
          <w:szCs w:val="22"/>
          <w:lang w:val="fr-FR"/>
        </w:rPr>
        <w:t>concernée par le rapport</w:t>
      </w:r>
      <w:r w:rsidRPr="008B15E2">
        <w:rPr>
          <w:rFonts w:ascii="Arial" w:eastAsia="SimSun" w:hAnsi="Arial" w:cs="Arial"/>
          <w:sz w:val="22"/>
          <w:szCs w:val="22"/>
          <w:lang w:val="fr-FR"/>
        </w:rPr>
        <w:t>. Elle a remercié le Comité d</w:t>
      </w:r>
      <w:r w:rsidR="008E532B">
        <w:rPr>
          <w:rFonts w:ascii="Arial" w:eastAsia="SimSun" w:hAnsi="Arial" w:cs="Arial"/>
          <w:sz w:val="22"/>
          <w:szCs w:val="22"/>
          <w:lang w:val="fr-FR"/>
        </w:rPr>
        <w:t>’</w:t>
      </w:r>
      <w:r w:rsidRPr="008B15E2">
        <w:rPr>
          <w:rFonts w:ascii="Arial" w:eastAsia="SimSun" w:hAnsi="Arial" w:cs="Arial"/>
          <w:sz w:val="22"/>
          <w:szCs w:val="22"/>
          <w:lang w:val="fr-FR"/>
        </w:rPr>
        <w:t xml:space="preserve">avoir approuvé le projet de la Grenade, </w:t>
      </w:r>
      <w:r>
        <w:rPr>
          <w:rFonts w:ascii="Arial" w:eastAsia="SimSun" w:hAnsi="Arial" w:cs="Arial"/>
          <w:sz w:val="22"/>
          <w:szCs w:val="22"/>
          <w:lang w:val="fr-FR"/>
        </w:rPr>
        <w:t>« </w:t>
      </w:r>
      <w:r w:rsidRPr="008B15E2">
        <w:rPr>
          <w:rFonts w:ascii="Arial" w:eastAsia="SimSun" w:hAnsi="Arial" w:cs="Arial"/>
          <w:sz w:val="22"/>
          <w:szCs w:val="22"/>
          <w:lang w:val="fr-FR"/>
        </w:rPr>
        <w:t>Fier de mon patrimoine</w:t>
      </w:r>
      <w:r>
        <w:rPr>
          <w:rFonts w:ascii="Arial" w:eastAsia="SimSun" w:hAnsi="Arial" w:cs="Arial"/>
          <w:sz w:val="22"/>
          <w:szCs w:val="22"/>
          <w:lang w:val="fr-FR"/>
        </w:rPr>
        <w:t> »</w:t>
      </w:r>
      <w:r w:rsidRPr="008B15E2">
        <w:rPr>
          <w:rFonts w:ascii="Arial" w:eastAsia="SimSun" w:hAnsi="Arial" w:cs="Arial"/>
          <w:sz w:val="22"/>
          <w:szCs w:val="22"/>
          <w:lang w:val="fr-FR"/>
        </w:rPr>
        <w:t xml:space="preserve"> : transmission et sauvegarde du patrimoine culturel immatériel </w:t>
      </w:r>
      <w:r>
        <w:rPr>
          <w:rFonts w:ascii="Arial" w:eastAsia="SimSun" w:hAnsi="Arial" w:cs="Arial"/>
          <w:sz w:val="22"/>
          <w:szCs w:val="22"/>
          <w:lang w:val="fr-FR"/>
        </w:rPr>
        <w:t>de</w:t>
      </w:r>
      <w:r w:rsidRPr="008B15E2">
        <w:rPr>
          <w:rFonts w:ascii="Arial" w:eastAsia="SimSun" w:hAnsi="Arial" w:cs="Arial"/>
          <w:sz w:val="22"/>
          <w:szCs w:val="22"/>
          <w:lang w:val="fr-FR"/>
        </w:rPr>
        <w:t xml:space="preserve"> la Grenade </w:t>
      </w:r>
      <w:r>
        <w:rPr>
          <w:rFonts w:ascii="Arial" w:eastAsia="SimSun" w:hAnsi="Arial" w:cs="Arial"/>
          <w:sz w:val="22"/>
          <w:szCs w:val="22"/>
          <w:lang w:val="fr-FR"/>
        </w:rPr>
        <w:t>via</w:t>
      </w:r>
      <w:r w:rsidRPr="008B15E2">
        <w:rPr>
          <w:rFonts w:ascii="Arial" w:eastAsia="SimSun" w:hAnsi="Arial" w:cs="Arial"/>
          <w:sz w:val="22"/>
          <w:szCs w:val="22"/>
          <w:lang w:val="fr-FR"/>
        </w:rPr>
        <w:t xml:space="preserve"> des initiatives d</w:t>
      </w:r>
      <w:r w:rsidR="008E532B">
        <w:rPr>
          <w:rFonts w:ascii="Arial" w:eastAsia="SimSun" w:hAnsi="Arial" w:cs="Arial"/>
          <w:sz w:val="22"/>
          <w:szCs w:val="22"/>
          <w:lang w:val="fr-FR"/>
        </w:rPr>
        <w:t>’</w:t>
      </w:r>
      <w:r w:rsidRPr="008B15E2">
        <w:rPr>
          <w:rFonts w:ascii="Arial" w:eastAsia="SimSun" w:hAnsi="Arial" w:cs="Arial"/>
          <w:sz w:val="22"/>
          <w:szCs w:val="22"/>
          <w:lang w:val="fr-FR"/>
        </w:rPr>
        <w:t>inventaire et d</w:t>
      </w:r>
      <w:r w:rsidR="008E532B">
        <w:rPr>
          <w:rFonts w:ascii="Arial" w:eastAsia="SimSun" w:hAnsi="Arial" w:cs="Arial"/>
          <w:sz w:val="22"/>
          <w:szCs w:val="22"/>
          <w:lang w:val="fr-FR"/>
        </w:rPr>
        <w:t>’</w:t>
      </w:r>
      <w:r w:rsidRPr="008B15E2">
        <w:rPr>
          <w:rFonts w:ascii="Arial" w:eastAsia="SimSun" w:hAnsi="Arial" w:cs="Arial"/>
          <w:sz w:val="22"/>
          <w:szCs w:val="22"/>
          <w:lang w:val="fr-FR"/>
        </w:rPr>
        <w:t>éducation</w:t>
      </w:r>
      <w:r>
        <w:rPr>
          <w:rStyle w:val="FootnoteReference"/>
          <w:rFonts w:ascii="Arial" w:eastAsia="SimSun" w:hAnsi="Arial" w:cs="Arial"/>
          <w:sz w:val="22"/>
          <w:szCs w:val="22"/>
          <w:lang w:val="fr-FR"/>
        </w:rPr>
        <w:footnoteReference w:id="8"/>
      </w:r>
      <w:r w:rsidRPr="008B15E2">
        <w:rPr>
          <w:rFonts w:ascii="Arial" w:eastAsia="SimSun" w:hAnsi="Arial" w:cs="Arial"/>
          <w:sz w:val="22"/>
          <w:szCs w:val="22"/>
          <w:lang w:val="fr-FR"/>
        </w:rPr>
        <w:t>. Ce projet a</w:t>
      </w:r>
      <w:r>
        <w:rPr>
          <w:rFonts w:ascii="Arial" w:eastAsia="SimSun" w:hAnsi="Arial" w:cs="Arial"/>
          <w:sz w:val="22"/>
          <w:szCs w:val="22"/>
          <w:lang w:val="fr-FR"/>
        </w:rPr>
        <w:t>vait</w:t>
      </w:r>
      <w:r w:rsidRPr="008B15E2">
        <w:rPr>
          <w:rFonts w:ascii="Arial" w:eastAsia="SimSun" w:hAnsi="Arial" w:cs="Arial"/>
          <w:sz w:val="22"/>
          <w:szCs w:val="22"/>
          <w:lang w:val="fr-FR"/>
        </w:rPr>
        <w:t xml:space="preserve"> été officiellement lancé en février</w:t>
      </w:r>
      <w:r>
        <w:rPr>
          <w:rFonts w:ascii="Arial" w:eastAsia="SimSun" w:hAnsi="Arial" w:cs="Arial"/>
          <w:sz w:val="22"/>
          <w:szCs w:val="22"/>
          <w:lang w:val="fr-FR"/>
        </w:rPr>
        <w:t> </w:t>
      </w:r>
      <w:r w:rsidRPr="008B15E2">
        <w:rPr>
          <w:rFonts w:ascii="Arial" w:eastAsia="SimSun" w:hAnsi="Arial" w:cs="Arial"/>
          <w:sz w:val="22"/>
          <w:szCs w:val="22"/>
          <w:lang w:val="fr-FR"/>
        </w:rPr>
        <w:t>2022 par le biais d</w:t>
      </w:r>
      <w:r w:rsidR="008E532B">
        <w:rPr>
          <w:rFonts w:ascii="Arial" w:eastAsia="SimSun" w:hAnsi="Arial" w:cs="Arial"/>
          <w:sz w:val="22"/>
          <w:szCs w:val="22"/>
          <w:lang w:val="fr-FR"/>
        </w:rPr>
        <w:t>’</w:t>
      </w:r>
      <w:r w:rsidRPr="008B15E2">
        <w:rPr>
          <w:rFonts w:ascii="Arial" w:eastAsia="SimSun" w:hAnsi="Arial" w:cs="Arial"/>
          <w:sz w:val="22"/>
          <w:szCs w:val="22"/>
          <w:lang w:val="fr-FR"/>
        </w:rPr>
        <w:t>un événement en ligne et se poursuivrait jusqu</w:t>
      </w:r>
      <w:r w:rsidR="008E532B">
        <w:rPr>
          <w:rFonts w:ascii="Arial" w:eastAsia="SimSun" w:hAnsi="Arial" w:cs="Arial"/>
          <w:sz w:val="22"/>
          <w:szCs w:val="22"/>
          <w:lang w:val="fr-FR"/>
        </w:rPr>
        <w:t>’</w:t>
      </w:r>
      <w:r w:rsidRPr="008B15E2">
        <w:rPr>
          <w:rFonts w:ascii="Arial" w:eastAsia="SimSun" w:hAnsi="Arial" w:cs="Arial"/>
          <w:sz w:val="22"/>
          <w:szCs w:val="22"/>
          <w:lang w:val="fr-FR"/>
        </w:rPr>
        <w:t>en janvier</w:t>
      </w:r>
      <w:r>
        <w:rPr>
          <w:rFonts w:ascii="Arial" w:eastAsia="SimSun" w:hAnsi="Arial" w:cs="Arial"/>
          <w:sz w:val="22"/>
          <w:szCs w:val="22"/>
          <w:lang w:val="fr-FR"/>
        </w:rPr>
        <w:t> </w:t>
      </w:r>
      <w:r w:rsidRPr="008B15E2">
        <w:rPr>
          <w:rFonts w:ascii="Arial" w:eastAsia="SimSun" w:hAnsi="Arial" w:cs="Arial"/>
          <w:sz w:val="22"/>
          <w:szCs w:val="22"/>
          <w:lang w:val="fr-FR"/>
        </w:rPr>
        <w:t xml:space="preserve">2023, donnant lieu à un programme éducatif intitulé </w:t>
      </w:r>
      <w:r>
        <w:rPr>
          <w:rFonts w:ascii="Arial" w:eastAsia="SimSun" w:hAnsi="Arial" w:cs="Arial"/>
          <w:sz w:val="22"/>
          <w:szCs w:val="22"/>
          <w:lang w:val="fr-FR"/>
        </w:rPr>
        <w:t>« Fier de mon patrimoine »</w:t>
      </w:r>
      <w:r w:rsidRPr="008B15E2">
        <w:rPr>
          <w:rFonts w:ascii="Arial" w:eastAsia="SimSun" w:hAnsi="Arial" w:cs="Arial"/>
          <w:sz w:val="22"/>
          <w:szCs w:val="22"/>
          <w:lang w:val="fr-FR"/>
        </w:rPr>
        <w:t>. Les écoles et les communautés participantes prendr</w:t>
      </w:r>
      <w:r>
        <w:rPr>
          <w:rFonts w:ascii="Arial" w:eastAsia="SimSun" w:hAnsi="Arial" w:cs="Arial"/>
          <w:sz w:val="22"/>
          <w:szCs w:val="22"/>
          <w:lang w:val="fr-FR"/>
        </w:rPr>
        <w:t>aie</w:t>
      </w:r>
      <w:r w:rsidRPr="008B15E2">
        <w:rPr>
          <w:rFonts w:ascii="Arial" w:eastAsia="SimSun" w:hAnsi="Arial" w:cs="Arial"/>
          <w:sz w:val="22"/>
          <w:szCs w:val="22"/>
          <w:lang w:val="fr-FR"/>
        </w:rPr>
        <w:t>nt part à des exercices d</w:t>
      </w:r>
      <w:r w:rsidR="008E532B">
        <w:rPr>
          <w:rFonts w:ascii="Arial" w:eastAsia="SimSun" w:hAnsi="Arial" w:cs="Arial"/>
          <w:sz w:val="22"/>
          <w:szCs w:val="22"/>
          <w:lang w:val="fr-FR"/>
        </w:rPr>
        <w:t>’</w:t>
      </w:r>
      <w:r w:rsidRPr="008B15E2">
        <w:rPr>
          <w:rFonts w:ascii="Arial" w:eastAsia="SimSun" w:hAnsi="Arial" w:cs="Arial"/>
          <w:sz w:val="22"/>
          <w:szCs w:val="22"/>
          <w:lang w:val="fr-FR"/>
        </w:rPr>
        <w:t xml:space="preserve">inventaire sur mesure, et le </w:t>
      </w:r>
      <w:r>
        <w:rPr>
          <w:rFonts w:ascii="Arial" w:eastAsia="SimSun" w:hAnsi="Arial" w:cs="Arial"/>
          <w:sz w:val="22"/>
          <w:szCs w:val="22"/>
          <w:lang w:val="fr-FR"/>
        </w:rPr>
        <w:t>« </w:t>
      </w:r>
      <w:r w:rsidRPr="008B15E2">
        <w:rPr>
          <w:rFonts w:ascii="Arial" w:eastAsia="SimSun" w:hAnsi="Arial" w:cs="Arial"/>
          <w:sz w:val="22"/>
          <w:szCs w:val="22"/>
          <w:lang w:val="fr-FR"/>
        </w:rPr>
        <w:t>patrimoine vivant</w:t>
      </w:r>
      <w:r>
        <w:rPr>
          <w:rFonts w:ascii="Arial" w:eastAsia="SimSun" w:hAnsi="Arial" w:cs="Arial"/>
          <w:sz w:val="22"/>
          <w:szCs w:val="22"/>
          <w:lang w:val="fr-FR"/>
        </w:rPr>
        <w:t> »</w:t>
      </w:r>
      <w:r w:rsidRPr="008B15E2">
        <w:rPr>
          <w:rFonts w:ascii="Arial" w:eastAsia="SimSun" w:hAnsi="Arial" w:cs="Arial"/>
          <w:sz w:val="22"/>
          <w:szCs w:val="22"/>
          <w:lang w:val="fr-FR"/>
        </w:rPr>
        <w:t xml:space="preserve"> sera</w:t>
      </w:r>
      <w:r>
        <w:rPr>
          <w:rFonts w:ascii="Arial" w:eastAsia="SimSun" w:hAnsi="Arial" w:cs="Arial"/>
          <w:sz w:val="22"/>
          <w:szCs w:val="22"/>
          <w:lang w:val="fr-FR"/>
        </w:rPr>
        <w:t>it</w:t>
      </w:r>
      <w:r w:rsidRPr="008B15E2">
        <w:rPr>
          <w:rFonts w:ascii="Arial" w:eastAsia="SimSun" w:hAnsi="Arial" w:cs="Arial"/>
          <w:sz w:val="22"/>
          <w:szCs w:val="22"/>
          <w:lang w:val="fr-FR"/>
        </w:rPr>
        <w:t xml:space="preserve"> intégré au programme scolaire. </w:t>
      </w:r>
      <w:r>
        <w:rPr>
          <w:rFonts w:ascii="Arial" w:eastAsia="SimSun" w:hAnsi="Arial" w:cs="Arial"/>
          <w:sz w:val="22"/>
          <w:szCs w:val="22"/>
          <w:lang w:val="fr-FR"/>
        </w:rPr>
        <w:t>« </w:t>
      </w:r>
      <w:r w:rsidRPr="008B15E2">
        <w:rPr>
          <w:rFonts w:ascii="Arial" w:eastAsia="SimSun" w:hAnsi="Arial" w:cs="Arial"/>
          <w:sz w:val="22"/>
          <w:szCs w:val="22"/>
          <w:lang w:val="fr-FR"/>
        </w:rPr>
        <w:t>Fier de mon patrimoine</w:t>
      </w:r>
      <w:r>
        <w:rPr>
          <w:rFonts w:ascii="Arial" w:eastAsia="SimSun" w:hAnsi="Arial" w:cs="Arial"/>
          <w:sz w:val="22"/>
          <w:szCs w:val="22"/>
          <w:lang w:val="fr-FR"/>
        </w:rPr>
        <w:t> »</w:t>
      </w:r>
      <w:r w:rsidRPr="008B15E2">
        <w:rPr>
          <w:rFonts w:ascii="Arial" w:eastAsia="SimSun" w:hAnsi="Arial" w:cs="Arial"/>
          <w:sz w:val="22"/>
          <w:szCs w:val="22"/>
          <w:lang w:val="fr-FR"/>
        </w:rPr>
        <w:t xml:space="preserve"> </w:t>
      </w:r>
      <w:r>
        <w:rPr>
          <w:rFonts w:ascii="Arial" w:eastAsia="SimSun" w:hAnsi="Arial" w:cs="Arial"/>
          <w:sz w:val="22"/>
          <w:szCs w:val="22"/>
          <w:lang w:val="fr-FR"/>
        </w:rPr>
        <w:t>était</w:t>
      </w:r>
      <w:r w:rsidRPr="008B15E2">
        <w:rPr>
          <w:rFonts w:ascii="Arial" w:eastAsia="SimSun" w:hAnsi="Arial" w:cs="Arial"/>
          <w:sz w:val="22"/>
          <w:szCs w:val="22"/>
          <w:lang w:val="fr-FR"/>
        </w:rPr>
        <w:t xml:space="preserve"> également le nom d</w:t>
      </w:r>
      <w:r w:rsidR="008E532B">
        <w:rPr>
          <w:rFonts w:ascii="Arial" w:eastAsia="SimSun" w:hAnsi="Arial" w:cs="Arial"/>
          <w:sz w:val="22"/>
          <w:szCs w:val="22"/>
          <w:lang w:val="fr-FR"/>
        </w:rPr>
        <w:t>’</w:t>
      </w:r>
      <w:r w:rsidRPr="008B15E2">
        <w:rPr>
          <w:rFonts w:ascii="Arial" w:eastAsia="SimSun" w:hAnsi="Arial" w:cs="Arial"/>
          <w:sz w:val="22"/>
          <w:szCs w:val="22"/>
          <w:lang w:val="fr-FR"/>
        </w:rPr>
        <w:t>une campagne de sensibilisation nationale, qui sera</w:t>
      </w:r>
      <w:r>
        <w:rPr>
          <w:rFonts w:ascii="Arial" w:eastAsia="SimSun" w:hAnsi="Arial" w:cs="Arial"/>
          <w:sz w:val="22"/>
          <w:szCs w:val="22"/>
          <w:lang w:val="fr-FR"/>
        </w:rPr>
        <w:t>it</w:t>
      </w:r>
      <w:r w:rsidRPr="008B15E2">
        <w:rPr>
          <w:rFonts w:ascii="Arial" w:eastAsia="SimSun" w:hAnsi="Arial" w:cs="Arial"/>
          <w:sz w:val="22"/>
          <w:szCs w:val="22"/>
          <w:lang w:val="fr-FR"/>
        </w:rPr>
        <w:t xml:space="preserve"> également diffusée par le biais de plateformes médiatiques dédiées.</w:t>
      </w:r>
    </w:p>
    <w:p w14:paraId="6B3911F4" w14:textId="3A52B853" w:rsidR="00D9653F" w:rsidRPr="00B63DB2"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B63DB2">
        <w:rPr>
          <w:rFonts w:ascii="Arial" w:eastAsia="SimSun" w:hAnsi="Arial" w:cs="Arial"/>
          <w:sz w:val="22"/>
          <w:szCs w:val="22"/>
          <w:lang w:val="fr-FR"/>
        </w:rPr>
        <w:t xml:space="preserve">La délégation de la </w:t>
      </w:r>
      <w:r w:rsidRPr="00B63DB2">
        <w:rPr>
          <w:rFonts w:ascii="Arial" w:eastAsia="SimSun" w:hAnsi="Arial" w:cs="Arial"/>
          <w:b/>
          <w:bCs/>
          <w:sz w:val="22"/>
          <w:szCs w:val="22"/>
          <w:lang w:val="fr-FR"/>
        </w:rPr>
        <w:t>Mauritanie</w:t>
      </w:r>
      <w:r w:rsidRPr="00B63DB2">
        <w:rPr>
          <w:rFonts w:ascii="Arial" w:eastAsia="SimSun" w:hAnsi="Arial" w:cs="Arial"/>
          <w:sz w:val="22"/>
          <w:szCs w:val="22"/>
          <w:lang w:val="fr-FR"/>
        </w:rPr>
        <w:t xml:space="preserve"> a </w:t>
      </w:r>
      <w:r>
        <w:rPr>
          <w:rFonts w:ascii="Arial" w:eastAsia="SimSun" w:hAnsi="Arial" w:cs="Arial"/>
          <w:sz w:val="22"/>
          <w:szCs w:val="22"/>
          <w:lang w:val="fr-FR"/>
        </w:rPr>
        <w:t>adressé</w:t>
      </w:r>
      <w:r w:rsidRPr="00B63DB2">
        <w:rPr>
          <w:rFonts w:ascii="Arial" w:eastAsia="SimSun" w:hAnsi="Arial" w:cs="Arial"/>
          <w:sz w:val="22"/>
          <w:szCs w:val="22"/>
          <w:lang w:val="fr-FR"/>
        </w:rPr>
        <w:t xml:space="preserve"> ses remerciements à la Présidente, au Sous-Directeur général et au Secrétariat pour l</w:t>
      </w:r>
      <w:r w:rsidR="008E532B">
        <w:rPr>
          <w:rFonts w:ascii="Arial" w:eastAsia="SimSun" w:hAnsi="Arial" w:cs="Arial"/>
          <w:sz w:val="22"/>
          <w:szCs w:val="22"/>
          <w:lang w:val="fr-FR"/>
        </w:rPr>
        <w:t>’</w:t>
      </w:r>
      <w:r w:rsidRPr="00B63DB2">
        <w:rPr>
          <w:rFonts w:ascii="Arial" w:eastAsia="SimSun" w:hAnsi="Arial" w:cs="Arial"/>
          <w:sz w:val="22"/>
          <w:szCs w:val="22"/>
          <w:lang w:val="fr-FR"/>
        </w:rPr>
        <w:t xml:space="preserve">excellent travail accompli. </w:t>
      </w:r>
      <w:r>
        <w:rPr>
          <w:rFonts w:ascii="Arial" w:eastAsia="SimSun" w:hAnsi="Arial" w:cs="Arial"/>
          <w:sz w:val="22"/>
          <w:szCs w:val="22"/>
          <w:lang w:val="fr-FR"/>
        </w:rPr>
        <w:t>L</w:t>
      </w:r>
      <w:r w:rsidRPr="00B63DB2">
        <w:rPr>
          <w:rFonts w:ascii="Arial" w:eastAsia="SimSun" w:hAnsi="Arial" w:cs="Arial"/>
          <w:sz w:val="22"/>
          <w:szCs w:val="22"/>
          <w:lang w:val="fr-FR"/>
        </w:rPr>
        <w:t xml:space="preserve">e monde </w:t>
      </w:r>
      <w:r>
        <w:rPr>
          <w:rFonts w:ascii="Arial" w:eastAsia="SimSun" w:hAnsi="Arial" w:cs="Arial"/>
          <w:sz w:val="22"/>
          <w:szCs w:val="22"/>
          <w:lang w:val="fr-FR"/>
        </w:rPr>
        <w:t>était</w:t>
      </w:r>
      <w:r w:rsidRPr="00B63DB2">
        <w:rPr>
          <w:rFonts w:ascii="Arial" w:eastAsia="SimSun" w:hAnsi="Arial" w:cs="Arial"/>
          <w:sz w:val="22"/>
          <w:szCs w:val="22"/>
          <w:lang w:val="fr-FR"/>
        </w:rPr>
        <w:t xml:space="preserve"> confronté à un certain nombre de défis sérieux à de nombreux niveaux, le renforcement de la paix </w:t>
      </w:r>
      <w:r>
        <w:rPr>
          <w:rFonts w:ascii="Arial" w:eastAsia="SimSun" w:hAnsi="Arial" w:cs="Arial"/>
          <w:sz w:val="22"/>
          <w:szCs w:val="22"/>
          <w:lang w:val="fr-FR"/>
        </w:rPr>
        <w:t xml:space="preserve">était </w:t>
      </w:r>
      <w:r w:rsidRPr="00B63DB2">
        <w:rPr>
          <w:rFonts w:ascii="Arial" w:eastAsia="SimSun" w:hAnsi="Arial" w:cs="Arial"/>
          <w:sz w:val="22"/>
          <w:szCs w:val="22"/>
          <w:lang w:val="fr-FR"/>
        </w:rPr>
        <w:t>donc plus important que jamais et la seule façon d</w:t>
      </w:r>
      <w:r w:rsidR="008E532B">
        <w:rPr>
          <w:rFonts w:ascii="Arial" w:eastAsia="SimSun" w:hAnsi="Arial" w:cs="Arial"/>
          <w:sz w:val="22"/>
          <w:szCs w:val="22"/>
          <w:lang w:val="fr-FR"/>
        </w:rPr>
        <w:t>’</w:t>
      </w:r>
      <w:r w:rsidRPr="00B63DB2">
        <w:rPr>
          <w:rFonts w:ascii="Arial" w:eastAsia="SimSun" w:hAnsi="Arial" w:cs="Arial"/>
          <w:sz w:val="22"/>
          <w:szCs w:val="22"/>
          <w:lang w:val="fr-FR"/>
        </w:rPr>
        <w:t xml:space="preserve">y parvenir </w:t>
      </w:r>
      <w:r>
        <w:rPr>
          <w:rFonts w:ascii="Arial" w:eastAsia="SimSun" w:hAnsi="Arial" w:cs="Arial"/>
          <w:sz w:val="22"/>
          <w:szCs w:val="22"/>
          <w:lang w:val="fr-FR"/>
        </w:rPr>
        <w:t xml:space="preserve">était </w:t>
      </w:r>
      <w:r w:rsidRPr="00B63DB2">
        <w:rPr>
          <w:rFonts w:ascii="Arial" w:eastAsia="SimSun" w:hAnsi="Arial" w:cs="Arial"/>
          <w:sz w:val="22"/>
          <w:szCs w:val="22"/>
          <w:lang w:val="fr-FR"/>
        </w:rPr>
        <w:t xml:space="preserve">de respecter la diversité culturelle de tous les peuples et nations. Nous </w:t>
      </w:r>
      <w:r>
        <w:rPr>
          <w:rFonts w:ascii="Arial" w:eastAsia="SimSun" w:hAnsi="Arial" w:cs="Arial"/>
          <w:sz w:val="22"/>
          <w:szCs w:val="22"/>
          <w:lang w:val="fr-FR"/>
        </w:rPr>
        <w:t xml:space="preserve">nous </w:t>
      </w:r>
      <w:r w:rsidRPr="00B63DB2">
        <w:rPr>
          <w:rFonts w:ascii="Arial" w:eastAsia="SimSun" w:hAnsi="Arial" w:cs="Arial"/>
          <w:sz w:val="22"/>
          <w:szCs w:val="22"/>
          <w:lang w:val="fr-FR"/>
        </w:rPr>
        <w:t>dev</w:t>
      </w:r>
      <w:r>
        <w:rPr>
          <w:rFonts w:ascii="Arial" w:eastAsia="SimSun" w:hAnsi="Arial" w:cs="Arial"/>
          <w:sz w:val="22"/>
          <w:szCs w:val="22"/>
          <w:lang w:val="fr-FR"/>
        </w:rPr>
        <w:t>i</w:t>
      </w:r>
      <w:r w:rsidRPr="00B63DB2">
        <w:rPr>
          <w:rFonts w:ascii="Arial" w:eastAsia="SimSun" w:hAnsi="Arial" w:cs="Arial"/>
          <w:sz w:val="22"/>
          <w:szCs w:val="22"/>
          <w:lang w:val="fr-FR"/>
        </w:rPr>
        <w:t xml:space="preserve">ons </w:t>
      </w:r>
      <w:r>
        <w:rPr>
          <w:rFonts w:ascii="Arial" w:eastAsia="SimSun" w:hAnsi="Arial" w:cs="Arial"/>
          <w:sz w:val="22"/>
          <w:szCs w:val="22"/>
          <w:lang w:val="fr-FR"/>
        </w:rPr>
        <w:t xml:space="preserve">de </w:t>
      </w:r>
      <w:r w:rsidRPr="00B63DB2">
        <w:rPr>
          <w:rFonts w:ascii="Arial" w:eastAsia="SimSun" w:hAnsi="Arial" w:cs="Arial"/>
          <w:sz w:val="22"/>
          <w:szCs w:val="22"/>
          <w:lang w:val="fr-FR"/>
        </w:rPr>
        <w:t xml:space="preserve">préserver et protéger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B63DB2">
        <w:rPr>
          <w:rFonts w:ascii="Arial" w:eastAsia="SimSun" w:hAnsi="Arial" w:cs="Arial"/>
          <w:sz w:val="22"/>
          <w:szCs w:val="22"/>
          <w:lang w:val="fr-FR"/>
        </w:rPr>
        <w:t>car il représente les identités, les coutumes et les traditions des peuples, ainsi que les diverses modalités de coexistence dans les différents pays</w:t>
      </w:r>
      <w:r>
        <w:rPr>
          <w:rFonts w:ascii="Arial" w:eastAsia="SimSun" w:hAnsi="Arial" w:cs="Arial"/>
          <w:sz w:val="22"/>
          <w:szCs w:val="22"/>
          <w:lang w:val="fr-FR"/>
        </w:rPr>
        <w:t> ; l</w:t>
      </w:r>
      <w:r w:rsidRPr="00B63DB2">
        <w:rPr>
          <w:rFonts w:ascii="Arial" w:eastAsia="SimSun" w:hAnsi="Arial" w:cs="Arial"/>
          <w:sz w:val="22"/>
          <w:szCs w:val="22"/>
          <w:lang w:val="fr-FR"/>
        </w:rPr>
        <w:t xml:space="preserve">a protection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Pr>
          <w:rFonts w:ascii="Arial" w:eastAsia="SimSun" w:hAnsi="Arial" w:cs="Arial"/>
          <w:sz w:val="22"/>
          <w:szCs w:val="22"/>
          <w:lang w:val="fr-FR"/>
        </w:rPr>
        <w:t xml:space="preserve">étant </w:t>
      </w:r>
      <w:r w:rsidRPr="00B63DB2">
        <w:rPr>
          <w:rFonts w:ascii="Arial" w:eastAsia="SimSun" w:hAnsi="Arial" w:cs="Arial"/>
          <w:sz w:val="22"/>
          <w:szCs w:val="22"/>
          <w:lang w:val="fr-FR"/>
        </w:rPr>
        <w:t>l</w:t>
      </w:r>
      <w:r w:rsidR="008E532B">
        <w:rPr>
          <w:rFonts w:ascii="Arial" w:eastAsia="SimSun" w:hAnsi="Arial" w:cs="Arial"/>
          <w:sz w:val="22"/>
          <w:szCs w:val="22"/>
          <w:lang w:val="fr-FR"/>
        </w:rPr>
        <w:t>’</w:t>
      </w:r>
      <w:r w:rsidRPr="00B63DB2">
        <w:rPr>
          <w:rFonts w:ascii="Arial" w:eastAsia="SimSun" w:hAnsi="Arial" w:cs="Arial"/>
          <w:sz w:val="22"/>
          <w:szCs w:val="22"/>
          <w:lang w:val="fr-FR"/>
        </w:rPr>
        <w:t>un des nobles objectifs de l</w:t>
      </w:r>
      <w:r w:rsidR="008E532B">
        <w:rPr>
          <w:rFonts w:ascii="Arial" w:eastAsia="SimSun" w:hAnsi="Arial" w:cs="Arial"/>
          <w:sz w:val="22"/>
          <w:szCs w:val="22"/>
          <w:lang w:val="fr-FR"/>
        </w:rPr>
        <w:t>’</w:t>
      </w:r>
      <w:r w:rsidRPr="00B63DB2">
        <w:rPr>
          <w:rFonts w:ascii="Arial" w:eastAsia="SimSun" w:hAnsi="Arial" w:cs="Arial"/>
          <w:sz w:val="22"/>
          <w:szCs w:val="22"/>
          <w:lang w:val="fr-FR"/>
        </w:rPr>
        <w:t xml:space="preserve">UNESCO. Nous </w:t>
      </w:r>
      <w:r>
        <w:rPr>
          <w:rFonts w:ascii="Arial" w:eastAsia="SimSun" w:hAnsi="Arial" w:cs="Arial"/>
          <w:sz w:val="22"/>
          <w:szCs w:val="22"/>
          <w:lang w:val="fr-FR"/>
        </w:rPr>
        <w:t xml:space="preserve">nous </w:t>
      </w:r>
      <w:r w:rsidRPr="00B63DB2">
        <w:rPr>
          <w:rFonts w:ascii="Arial" w:eastAsia="SimSun" w:hAnsi="Arial" w:cs="Arial"/>
          <w:sz w:val="22"/>
          <w:szCs w:val="22"/>
          <w:lang w:val="fr-FR"/>
        </w:rPr>
        <w:t>dev</w:t>
      </w:r>
      <w:r>
        <w:rPr>
          <w:rFonts w:ascii="Arial" w:eastAsia="SimSun" w:hAnsi="Arial" w:cs="Arial"/>
          <w:sz w:val="22"/>
          <w:szCs w:val="22"/>
          <w:lang w:val="fr-FR"/>
        </w:rPr>
        <w:t>i</w:t>
      </w:r>
      <w:r w:rsidRPr="00B63DB2">
        <w:rPr>
          <w:rFonts w:ascii="Arial" w:eastAsia="SimSun" w:hAnsi="Arial" w:cs="Arial"/>
          <w:sz w:val="22"/>
          <w:szCs w:val="22"/>
          <w:lang w:val="fr-FR"/>
        </w:rPr>
        <w:t xml:space="preserve">ons </w:t>
      </w:r>
      <w:r w:rsidRPr="00F16CA5">
        <w:rPr>
          <w:rFonts w:ascii="Arial" w:eastAsia="SimSun" w:hAnsi="Arial" w:cs="Arial"/>
          <w:color w:val="000000" w:themeColor="text1"/>
          <w:sz w:val="22"/>
          <w:szCs w:val="22"/>
          <w:lang w:val="fr-FR"/>
        </w:rPr>
        <w:t>également</w:t>
      </w:r>
      <w:r>
        <w:rPr>
          <w:rFonts w:ascii="Arial" w:eastAsia="SimSun" w:hAnsi="Arial" w:cs="Arial"/>
          <w:color w:val="000000" w:themeColor="text1"/>
          <w:sz w:val="22"/>
          <w:szCs w:val="22"/>
          <w:lang w:val="fr-FR"/>
        </w:rPr>
        <w:t xml:space="preserve"> </w:t>
      </w:r>
      <w:r>
        <w:rPr>
          <w:rFonts w:ascii="Arial" w:eastAsia="SimSun" w:hAnsi="Arial" w:cs="Arial"/>
          <w:sz w:val="22"/>
          <w:szCs w:val="22"/>
          <w:lang w:val="fr-FR"/>
        </w:rPr>
        <w:t xml:space="preserve">de </w:t>
      </w:r>
      <w:r w:rsidRPr="00B63DB2">
        <w:rPr>
          <w:rFonts w:ascii="Arial" w:eastAsia="SimSun" w:hAnsi="Arial" w:cs="Arial"/>
          <w:sz w:val="22"/>
          <w:szCs w:val="22"/>
          <w:lang w:val="fr-FR"/>
        </w:rPr>
        <w:t>protéger les spécificités culturelles d</w:t>
      </w:r>
      <w:r>
        <w:rPr>
          <w:rFonts w:ascii="Arial" w:eastAsia="SimSun" w:hAnsi="Arial" w:cs="Arial"/>
          <w:sz w:val="22"/>
          <w:szCs w:val="22"/>
          <w:lang w:val="fr-FR"/>
        </w:rPr>
        <w:t>u danger de</w:t>
      </w:r>
      <w:r w:rsidRPr="00B63DB2">
        <w:rPr>
          <w:rFonts w:ascii="Arial" w:eastAsia="SimSun" w:hAnsi="Arial" w:cs="Arial"/>
          <w:sz w:val="22"/>
          <w:szCs w:val="22"/>
          <w:lang w:val="fr-FR"/>
        </w:rPr>
        <w:t xml:space="preserve"> la mondialisation qui dépouille ces civilisations des systèmes éthiques et moraux de certains pays, notamment dans le monde en développement. Le Comité d</w:t>
      </w:r>
      <w:r>
        <w:rPr>
          <w:rFonts w:ascii="Arial" w:eastAsia="SimSun" w:hAnsi="Arial" w:cs="Arial"/>
          <w:sz w:val="22"/>
          <w:szCs w:val="22"/>
          <w:lang w:val="fr-FR"/>
        </w:rPr>
        <w:t>evait</w:t>
      </w:r>
      <w:r w:rsidRPr="00B63DB2">
        <w:rPr>
          <w:rFonts w:ascii="Arial" w:eastAsia="SimSun" w:hAnsi="Arial" w:cs="Arial"/>
          <w:sz w:val="22"/>
          <w:szCs w:val="22"/>
          <w:lang w:val="fr-FR"/>
        </w:rPr>
        <w:t xml:space="preserve"> utiliser son mandat </w:t>
      </w:r>
      <w:r>
        <w:rPr>
          <w:rFonts w:ascii="Arial" w:eastAsia="SimSun" w:hAnsi="Arial" w:cs="Arial"/>
          <w:sz w:val="22"/>
          <w:szCs w:val="22"/>
          <w:lang w:val="fr-FR"/>
        </w:rPr>
        <w:t>de façon courageuse afin d</w:t>
      </w:r>
      <w:r w:rsidR="008E532B">
        <w:rPr>
          <w:rFonts w:ascii="Arial" w:eastAsia="SimSun" w:hAnsi="Arial" w:cs="Arial"/>
          <w:sz w:val="22"/>
          <w:szCs w:val="22"/>
          <w:lang w:val="fr-FR"/>
        </w:rPr>
        <w:t>’</w:t>
      </w:r>
      <w:r w:rsidRPr="00B63DB2">
        <w:rPr>
          <w:rFonts w:ascii="Arial" w:eastAsia="SimSun" w:hAnsi="Arial" w:cs="Arial"/>
          <w:sz w:val="22"/>
          <w:szCs w:val="22"/>
          <w:lang w:val="fr-FR"/>
        </w:rPr>
        <w:t xml:space="preserve">aider à prévenir les conflits et les dommages causés à la richesse du </w:t>
      </w:r>
      <w:r w:rsidR="00E908E2">
        <w:rPr>
          <w:rFonts w:ascii="Arial" w:eastAsia="SimSun" w:hAnsi="Arial" w:cs="Arial"/>
          <w:bCs/>
          <w:sz w:val="22"/>
          <w:szCs w:val="22"/>
          <w:lang w:val="fr-FR" w:eastAsia="en-US"/>
        </w:rPr>
        <w:t>patrimoine culturel immatériel</w:t>
      </w:r>
      <w:r w:rsidRPr="00B63DB2">
        <w:rPr>
          <w:rFonts w:ascii="Arial" w:eastAsia="SimSun" w:hAnsi="Arial" w:cs="Arial"/>
          <w:sz w:val="22"/>
          <w:szCs w:val="22"/>
          <w:lang w:val="fr-FR"/>
        </w:rPr>
        <w:t>, qui représente des cultures vivantes depuis des siècles. Cette Assemblée d</w:t>
      </w:r>
      <w:r>
        <w:rPr>
          <w:rFonts w:ascii="Arial" w:eastAsia="SimSun" w:hAnsi="Arial" w:cs="Arial"/>
          <w:sz w:val="22"/>
          <w:szCs w:val="22"/>
          <w:lang w:val="fr-FR"/>
        </w:rPr>
        <w:t>evait</w:t>
      </w:r>
      <w:r w:rsidRPr="00B63DB2">
        <w:rPr>
          <w:rFonts w:ascii="Arial" w:eastAsia="SimSun" w:hAnsi="Arial" w:cs="Arial"/>
          <w:sz w:val="22"/>
          <w:szCs w:val="22"/>
          <w:lang w:val="fr-FR"/>
        </w:rPr>
        <w:t xml:space="preserve"> donc réfléchir de manière globale pour apporter les modifications nécessaires aux Directives opérationnelles et au Règlement intérieur. Cette Convention d</w:t>
      </w:r>
      <w:r>
        <w:rPr>
          <w:rFonts w:ascii="Arial" w:eastAsia="SimSun" w:hAnsi="Arial" w:cs="Arial"/>
          <w:sz w:val="22"/>
          <w:szCs w:val="22"/>
          <w:lang w:val="fr-FR"/>
        </w:rPr>
        <w:t xml:space="preserve">evait </w:t>
      </w:r>
      <w:r w:rsidRPr="00B63DB2">
        <w:rPr>
          <w:rFonts w:ascii="Arial" w:eastAsia="SimSun" w:hAnsi="Arial" w:cs="Arial"/>
          <w:sz w:val="22"/>
          <w:szCs w:val="22"/>
          <w:lang w:val="fr-FR"/>
        </w:rPr>
        <w:t xml:space="preserve">être cohérente avec les autres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B63DB2">
        <w:rPr>
          <w:rFonts w:ascii="Arial" w:eastAsia="SimSun" w:hAnsi="Arial" w:cs="Arial"/>
          <w:sz w:val="22"/>
          <w:szCs w:val="22"/>
          <w:lang w:val="fr-FR"/>
        </w:rPr>
        <w:t>. Afin de mettre en œuvre les véritables objectifs de la Convention, les États parties d</w:t>
      </w:r>
      <w:r>
        <w:rPr>
          <w:rFonts w:ascii="Arial" w:eastAsia="SimSun" w:hAnsi="Arial" w:cs="Arial"/>
          <w:sz w:val="22"/>
          <w:szCs w:val="22"/>
          <w:lang w:val="fr-FR"/>
        </w:rPr>
        <w:t>evaient</w:t>
      </w:r>
      <w:r w:rsidRPr="00B63DB2">
        <w:rPr>
          <w:rFonts w:ascii="Arial" w:eastAsia="SimSun" w:hAnsi="Arial" w:cs="Arial"/>
          <w:sz w:val="22"/>
          <w:szCs w:val="22"/>
          <w:lang w:val="fr-FR"/>
        </w:rPr>
        <w:t xml:space="preserve"> avoir le sentiment d</w:t>
      </w:r>
      <w:r w:rsidR="008E532B">
        <w:rPr>
          <w:rFonts w:ascii="Arial" w:eastAsia="SimSun" w:hAnsi="Arial" w:cs="Arial"/>
          <w:sz w:val="22"/>
          <w:szCs w:val="22"/>
          <w:lang w:val="fr-FR"/>
        </w:rPr>
        <w:t>’</w:t>
      </w:r>
      <w:r w:rsidRPr="00B63DB2">
        <w:rPr>
          <w:rFonts w:ascii="Arial" w:eastAsia="SimSun" w:hAnsi="Arial" w:cs="Arial"/>
          <w:sz w:val="22"/>
          <w:szCs w:val="22"/>
          <w:lang w:val="fr-FR"/>
        </w:rPr>
        <w:t>appartenir à une seule famille internationale et d</w:t>
      </w:r>
      <w:r>
        <w:rPr>
          <w:rFonts w:ascii="Arial" w:eastAsia="SimSun" w:hAnsi="Arial" w:cs="Arial"/>
          <w:sz w:val="22"/>
          <w:szCs w:val="22"/>
          <w:lang w:val="fr-FR"/>
        </w:rPr>
        <w:t>evaient</w:t>
      </w:r>
      <w:r w:rsidRPr="00B63DB2">
        <w:rPr>
          <w:rFonts w:ascii="Arial" w:eastAsia="SimSun" w:hAnsi="Arial" w:cs="Arial"/>
          <w:sz w:val="22"/>
          <w:szCs w:val="22"/>
          <w:lang w:val="fr-FR"/>
        </w:rPr>
        <w:t xml:space="preserve"> tous participer à la protection et à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B63DB2">
        <w:rPr>
          <w:rFonts w:ascii="Arial" w:eastAsia="SimSun" w:hAnsi="Arial" w:cs="Arial"/>
          <w:sz w:val="22"/>
          <w:szCs w:val="22"/>
          <w:lang w:val="fr-FR"/>
        </w:rPr>
        <w:t>avec une vision éclairée.</w:t>
      </w:r>
      <w:r>
        <w:rPr>
          <w:rFonts w:ascii="Arial" w:eastAsia="SimSun" w:hAnsi="Arial" w:cs="Arial"/>
          <w:sz w:val="22"/>
          <w:szCs w:val="22"/>
          <w:lang w:val="fr-FR"/>
        </w:rPr>
        <w:t xml:space="preserve"> T</w:t>
      </w:r>
      <w:r w:rsidRPr="00B63DB2">
        <w:rPr>
          <w:rFonts w:ascii="Arial" w:eastAsia="SimSun" w:hAnsi="Arial" w:cs="Arial"/>
          <w:sz w:val="22"/>
          <w:szCs w:val="22"/>
          <w:lang w:val="fr-FR"/>
        </w:rPr>
        <w:t>ous les pays</w:t>
      </w:r>
      <w:r>
        <w:rPr>
          <w:rFonts w:ascii="Arial" w:eastAsia="SimSun" w:hAnsi="Arial" w:cs="Arial"/>
          <w:sz w:val="22"/>
          <w:szCs w:val="22"/>
          <w:lang w:val="fr-FR"/>
        </w:rPr>
        <w:t xml:space="preserve"> devaient être traités sur un pied d</w:t>
      </w:r>
      <w:r w:rsidR="008E532B">
        <w:rPr>
          <w:rFonts w:ascii="Arial" w:eastAsia="SimSun" w:hAnsi="Arial" w:cs="Arial"/>
          <w:sz w:val="22"/>
          <w:szCs w:val="22"/>
          <w:lang w:val="fr-FR"/>
        </w:rPr>
        <w:t>’</w:t>
      </w:r>
      <w:r>
        <w:rPr>
          <w:rFonts w:ascii="Arial" w:eastAsia="SimSun" w:hAnsi="Arial" w:cs="Arial"/>
          <w:sz w:val="22"/>
          <w:szCs w:val="22"/>
          <w:lang w:val="fr-FR"/>
        </w:rPr>
        <w:t>égalité</w:t>
      </w:r>
      <w:r w:rsidRPr="00B63DB2">
        <w:rPr>
          <w:rFonts w:ascii="Arial" w:eastAsia="SimSun" w:hAnsi="Arial" w:cs="Arial"/>
          <w:sz w:val="22"/>
          <w:szCs w:val="22"/>
          <w:lang w:val="fr-FR"/>
        </w:rPr>
        <w:t xml:space="preserve">, sans aucune exception et sans aucune discrimination, sur la base des principes du processus démocratique et de la </w:t>
      </w:r>
      <w:r w:rsidR="002512C5">
        <w:rPr>
          <w:rFonts w:ascii="Arial" w:eastAsia="SimSun" w:hAnsi="Arial" w:cs="Arial"/>
          <w:sz w:val="22"/>
          <w:szCs w:val="22"/>
          <w:lang w:val="fr-FR"/>
        </w:rPr>
        <w:t>distribution</w:t>
      </w:r>
      <w:r w:rsidRPr="00B63DB2">
        <w:rPr>
          <w:rFonts w:ascii="Arial" w:eastAsia="SimSun" w:hAnsi="Arial" w:cs="Arial"/>
          <w:sz w:val="22"/>
          <w:szCs w:val="22"/>
          <w:lang w:val="fr-FR"/>
        </w:rPr>
        <w:t xml:space="preserve"> géographique égale, afin qu</w:t>
      </w:r>
      <w:r w:rsidR="008E532B">
        <w:rPr>
          <w:rFonts w:ascii="Arial" w:eastAsia="SimSun" w:hAnsi="Arial" w:cs="Arial"/>
          <w:sz w:val="22"/>
          <w:szCs w:val="22"/>
          <w:lang w:val="fr-FR"/>
        </w:rPr>
        <w:t>’</w:t>
      </w:r>
      <w:r w:rsidRPr="00B63DB2">
        <w:rPr>
          <w:rFonts w:ascii="Arial" w:eastAsia="SimSun" w:hAnsi="Arial" w:cs="Arial"/>
          <w:sz w:val="22"/>
          <w:szCs w:val="22"/>
          <w:lang w:val="fr-FR"/>
        </w:rPr>
        <w:t>une plus grande importance ne soit pas accordée à un pays ou à une région au détriment des autres. En tant que pays souverains indépendants, les décisions d</w:t>
      </w:r>
      <w:r>
        <w:rPr>
          <w:rFonts w:ascii="Arial" w:eastAsia="SimSun" w:hAnsi="Arial" w:cs="Arial"/>
          <w:sz w:val="22"/>
          <w:szCs w:val="22"/>
          <w:lang w:val="fr-FR"/>
        </w:rPr>
        <w:t xml:space="preserve">evaient </w:t>
      </w:r>
      <w:r w:rsidRPr="00B63DB2">
        <w:rPr>
          <w:rFonts w:ascii="Arial" w:eastAsia="SimSun" w:hAnsi="Arial" w:cs="Arial"/>
          <w:sz w:val="22"/>
          <w:szCs w:val="22"/>
          <w:lang w:val="fr-FR"/>
        </w:rPr>
        <w:t xml:space="preserve">être appropriées et prises dans un esprit de coopération afin de représenter la diversité culturelle de tous les pays. </w:t>
      </w:r>
      <w:r w:rsidRPr="00E8321F">
        <w:rPr>
          <w:rFonts w:ascii="Arial" w:eastAsia="SimSun" w:hAnsi="Arial" w:cs="Arial"/>
          <w:sz w:val="22"/>
          <w:szCs w:val="22"/>
          <w:lang w:val="fr-FR"/>
        </w:rPr>
        <w:t xml:space="preserve">Nous </w:t>
      </w:r>
      <w:r>
        <w:rPr>
          <w:rFonts w:ascii="Arial" w:eastAsia="SimSun" w:hAnsi="Arial" w:cs="Arial"/>
          <w:sz w:val="22"/>
          <w:szCs w:val="22"/>
          <w:lang w:val="fr-FR"/>
        </w:rPr>
        <w:t xml:space="preserve">nous </w:t>
      </w:r>
      <w:r w:rsidRPr="00E8321F">
        <w:rPr>
          <w:rFonts w:ascii="Arial" w:eastAsia="SimSun" w:hAnsi="Arial" w:cs="Arial"/>
          <w:sz w:val="22"/>
          <w:szCs w:val="22"/>
          <w:lang w:val="fr-FR"/>
        </w:rPr>
        <w:t>devions</w:t>
      </w:r>
      <w:r>
        <w:rPr>
          <w:rFonts w:ascii="Arial" w:eastAsia="SimSun" w:hAnsi="Arial" w:cs="Arial"/>
          <w:sz w:val="22"/>
          <w:szCs w:val="22"/>
          <w:lang w:val="fr-FR"/>
        </w:rPr>
        <w:t xml:space="preserve"> de</w:t>
      </w:r>
      <w:r w:rsidRPr="00E8321F">
        <w:rPr>
          <w:rFonts w:ascii="Arial" w:eastAsia="SimSun" w:hAnsi="Arial" w:cs="Arial"/>
          <w:sz w:val="22"/>
          <w:szCs w:val="22"/>
          <w:lang w:val="fr-FR"/>
        </w:rPr>
        <w:t xml:space="preserve"> jeter des ponts entre les cultures</w:t>
      </w:r>
      <w:r w:rsidRPr="00101AA8">
        <w:rPr>
          <w:rFonts w:ascii="Arial" w:eastAsia="SimSun" w:hAnsi="Arial" w:cs="Arial"/>
          <w:color w:val="FF0000"/>
          <w:sz w:val="22"/>
          <w:szCs w:val="22"/>
          <w:lang w:val="fr-FR"/>
        </w:rPr>
        <w:t xml:space="preserve"> </w:t>
      </w:r>
      <w:r w:rsidRPr="00B63DB2">
        <w:rPr>
          <w:rFonts w:ascii="Arial" w:eastAsia="SimSun" w:hAnsi="Arial" w:cs="Arial"/>
          <w:sz w:val="22"/>
          <w:szCs w:val="22"/>
          <w:lang w:val="fr-FR"/>
        </w:rPr>
        <w:t xml:space="preserve">et les civilisations afin </w:t>
      </w:r>
      <w:r>
        <w:rPr>
          <w:rFonts w:ascii="Arial" w:eastAsia="SimSun" w:hAnsi="Arial" w:cs="Arial"/>
          <w:sz w:val="22"/>
          <w:szCs w:val="22"/>
          <w:lang w:val="fr-FR"/>
        </w:rPr>
        <w:t xml:space="preserve">de travailler </w:t>
      </w:r>
      <w:r w:rsidRPr="00B63DB2">
        <w:rPr>
          <w:rFonts w:ascii="Arial" w:eastAsia="SimSun" w:hAnsi="Arial" w:cs="Arial"/>
          <w:sz w:val="22"/>
          <w:szCs w:val="22"/>
          <w:lang w:val="fr-FR"/>
        </w:rPr>
        <w:t>ensemble</w:t>
      </w:r>
      <w:r>
        <w:rPr>
          <w:rFonts w:ascii="Arial" w:eastAsia="SimSun" w:hAnsi="Arial" w:cs="Arial"/>
          <w:sz w:val="22"/>
          <w:szCs w:val="22"/>
          <w:lang w:val="fr-FR"/>
        </w:rPr>
        <w:t xml:space="preserve"> à la transmission du</w:t>
      </w:r>
      <w:r w:rsidRPr="00B63DB2">
        <w:rPr>
          <w:rFonts w:ascii="Arial" w:eastAsia="SimSun" w:hAnsi="Arial" w:cs="Arial"/>
          <w:sz w:val="22"/>
          <w:szCs w:val="22"/>
          <w:lang w:val="fr-FR"/>
        </w:rPr>
        <w:t xml:space="preserv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B63DB2">
        <w:rPr>
          <w:rFonts w:ascii="Arial" w:eastAsia="SimSun" w:hAnsi="Arial" w:cs="Arial"/>
          <w:sz w:val="22"/>
          <w:szCs w:val="22"/>
          <w:lang w:val="fr-FR"/>
        </w:rPr>
        <w:t>d</w:t>
      </w:r>
      <w:r w:rsidR="008E532B">
        <w:rPr>
          <w:rFonts w:ascii="Arial" w:eastAsia="SimSun" w:hAnsi="Arial" w:cs="Arial"/>
          <w:sz w:val="22"/>
          <w:szCs w:val="22"/>
          <w:lang w:val="fr-FR"/>
        </w:rPr>
        <w:t>’</w:t>
      </w:r>
      <w:r w:rsidRPr="00B63DB2">
        <w:rPr>
          <w:rFonts w:ascii="Arial" w:eastAsia="SimSun" w:hAnsi="Arial" w:cs="Arial"/>
          <w:sz w:val="22"/>
          <w:szCs w:val="22"/>
          <w:lang w:val="fr-FR"/>
        </w:rPr>
        <w:t xml:space="preserve">une manière qui mette en œuvre la Convention plus efficacement et qui profite à tous les pays avec une représentation et </w:t>
      </w:r>
      <w:proofErr w:type="gramStart"/>
      <w:r w:rsidRPr="00B63DB2">
        <w:rPr>
          <w:rFonts w:ascii="Arial" w:eastAsia="SimSun" w:hAnsi="Arial" w:cs="Arial"/>
          <w:sz w:val="22"/>
          <w:szCs w:val="22"/>
          <w:lang w:val="fr-FR"/>
        </w:rPr>
        <w:t>une participation égales</w:t>
      </w:r>
      <w:proofErr w:type="gramEnd"/>
      <w:r w:rsidRPr="00B63DB2">
        <w:rPr>
          <w:rFonts w:ascii="Arial" w:eastAsia="SimSun" w:hAnsi="Arial" w:cs="Arial"/>
          <w:sz w:val="22"/>
          <w:szCs w:val="22"/>
          <w:lang w:val="fr-FR"/>
        </w:rPr>
        <w:t xml:space="preserve"> dans la recherche de la paix et de la fraternité afin de faire face aux problèmes du passé et aux défis du présent et du futur. La Mauritanie </w:t>
      </w:r>
      <w:r>
        <w:rPr>
          <w:rFonts w:ascii="Arial" w:eastAsia="SimSun" w:hAnsi="Arial" w:cs="Arial"/>
          <w:sz w:val="22"/>
          <w:szCs w:val="22"/>
          <w:lang w:val="fr-FR"/>
        </w:rPr>
        <w:t>était</w:t>
      </w:r>
      <w:r w:rsidRPr="00B63DB2">
        <w:rPr>
          <w:rFonts w:ascii="Arial" w:eastAsia="SimSun" w:hAnsi="Arial" w:cs="Arial"/>
          <w:sz w:val="22"/>
          <w:szCs w:val="22"/>
          <w:lang w:val="fr-FR"/>
        </w:rPr>
        <w:t xml:space="preserve"> candidate pour </w:t>
      </w:r>
      <w:r>
        <w:rPr>
          <w:rFonts w:ascii="Arial" w:eastAsia="SimSun" w:hAnsi="Arial" w:cs="Arial"/>
          <w:sz w:val="22"/>
          <w:szCs w:val="22"/>
          <w:lang w:val="fr-FR"/>
        </w:rPr>
        <w:t>participer au</w:t>
      </w:r>
      <w:r w:rsidRPr="00B63DB2">
        <w:rPr>
          <w:rFonts w:ascii="Arial" w:eastAsia="SimSun" w:hAnsi="Arial" w:cs="Arial"/>
          <w:sz w:val="22"/>
          <w:szCs w:val="22"/>
          <w:lang w:val="fr-FR"/>
        </w:rPr>
        <w:t xml:space="preserve"> Comité pour le mandat 2022</w:t>
      </w:r>
      <w:r>
        <w:rPr>
          <w:rFonts w:ascii="Arial" w:eastAsia="SimSun" w:hAnsi="Arial" w:cs="Arial"/>
          <w:sz w:val="22"/>
          <w:szCs w:val="22"/>
          <w:lang w:val="fr-FR"/>
        </w:rPr>
        <w:noBreakHyphen/>
      </w:r>
      <w:r w:rsidRPr="00B63DB2">
        <w:rPr>
          <w:rFonts w:ascii="Arial" w:eastAsia="SimSun" w:hAnsi="Arial" w:cs="Arial"/>
          <w:sz w:val="22"/>
          <w:szCs w:val="22"/>
          <w:lang w:val="fr-FR"/>
        </w:rPr>
        <w:t>2026, porteuse de sa forte identité arabe et africaine et de ses liens commerciaux étroits avec l</w:t>
      </w:r>
      <w:r w:rsidR="008E532B">
        <w:rPr>
          <w:rFonts w:ascii="Arial" w:eastAsia="SimSun" w:hAnsi="Arial" w:cs="Arial"/>
          <w:sz w:val="22"/>
          <w:szCs w:val="22"/>
          <w:lang w:val="fr-FR"/>
        </w:rPr>
        <w:t>’</w:t>
      </w:r>
      <w:r w:rsidRPr="00B63DB2">
        <w:rPr>
          <w:rFonts w:ascii="Arial" w:eastAsia="SimSun" w:hAnsi="Arial" w:cs="Arial"/>
          <w:sz w:val="22"/>
          <w:szCs w:val="22"/>
          <w:lang w:val="fr-FR"/>
        </w:rPr>
        <w:t>Europe, l</w:t>
      </w:r>
      <w:r w:rsidR="008E532B">
        <w:rPr>
          <w:rFonts w:ascii="Arial" w:eastAsia="SimSun" w:hAnsi="Arial" w:cs="Arial"/>
          <w:sz w:val="22"/>
          <w:szCs w:val="22"/>
          <w:lang w:val="fr-FR"/>
        </w:rPr>
        <w:t>’</w:t>
      </w:r>
      <w:r w:rsidRPr="00B63DB2">
        <w:rPr>
          <w:rFonts w:ascii="Arial" w:eastAsia="SimSun" w:hAnsi="Arial" w:cs="Arial"/>
          <w:sz w:val="22"/>
          <w:szCs w:val="22"/>
          <w:lang w:val="fr-FR"/>
        </w:rPr>
        <w:t>Asie et les Amériques grâce à son long littoral. C</w:t>
      </w:r>
      <w:r w:rsidR="008E532B">
        <w:rPr>
          <w:rFonts w:ascii="Arial" w:eastAsia="SimSun" w:hAnsi="Arial" w:cs="Arial"/>
          <w:sz w:val="22"/>
          <w:szCs w:val="22"/>
          <w:lang w:val="fr-FR"/>
        </w:rPr>
        <w:t>’</w:t>
      </w:r>
      <w:r>
        <w:rPr>
          <w:rFonts w:ascii="Arial" w:eastAsia="SimSun" w:hAnsi="Arial" w:cs="Arial"/>
          <w:sz w:val="22"/>
          <w:szCs w:val="22"/>
          <w:lang w:val="fr-FR"/>
        </w:rPr>
        <w:t>était</w:t>
      </w:r>
      <w:r w:rsidRPr="00B63DB2">
        <w:rPr>
          <w:rFonts w:ascii="Arial" w:eastAsia="SimSun" w:hAnsi="Arial" w:cs="Arial"/>
          <w:sz w:val="22"/>
          <w:szCs w:val="22"/>
          <w:lang w:val="fr-FR"/>
        </w:rPr>
        <w:t xml:space="preserve"> un pays culturellement et ethniquement diversifié, et </w:t>
      </w:r>
      <w:r>
        <w:rPr>
          <w:rFonts w:ascii="Arial" w:eastAsia="SimSun" w:hAnsi="Arial" w:cs="Arial"/>
          <w:sz w:val="22"/>
          <w:szCs w:val="22"/>
          <w:lang w:val="fr-FR"/>
        </w:rPr>
        <w:t>elle</w:t>
      </w:r>
      <w:r w:rsidRPr="00B63DB2">
        <w:rPr>
          <w:rFonts w:ascii="Arial" w:eastAsia="SimSun" w:hAnsi="Arial" w:cs="Arial"/>
          <w:sz w:val="22"/>
          <w:szCs w:val="22"/>
          <w:lang w:val="fr-FR"/>
        </w:rPr>
        <w:t xml:space="preserve"> se réjoui</w:t>
      </w:r>
      <w:r>
        <w:rPr>
          <w:rFonts w:ascii="Arial" w:eastAsia="SimSun" w:hAnsi="Arial" w:cs="Arial"/>
          <w:sz w:val="22"/>
          <w:szCs w:val="22"/>
          <w:lang w:val="fr-FR"/>
        </w:rPr>
        <w:t>ssai</w:t>
      </w:r>
      <w:r w:rsidRPr="00B63DB2">
        <w:rPr>
          <w:rFonts w:ascii="Arial" w:eastAsia="SimSun" w:hAnsi="Arial" w:cs="Arial"/>
          <w:sz w:val="22"/>
          <w:szCs w:val="22"/>
          <w:lang w:val="fr-FR"/>
        </w:rPr>
        <w:t xml:space="preserve">t de travailler avec toutes les </w:t>
      </w:r>
      <w:r>
        <w:rPr>
          <w:rFonts w:ascii="Arial" w:eastAsia="SimSun" w:hAnsi="Arial" w:cs="Arial"/>
          <w:sz w:val="22"/>
          <w:szCs w:val="22"/>
          <w:lang w:val="fr-FR"/>
        </w:rPr>
        <w:t>p</w:t>
      </w:r>
      <w:r w:rsidRPr="00B63DB2">
        <w:rPr>
          <w:rFonts w:ascii="Arial" w:eastAsia="SimSun" w:hAnsi="Arial" w:cs="Arial"/>
          <w:sz w:val="22"/>
          <w:szCs w:val="22"/>
          <w:lang w:val="fr-FR"/>
        </w:rPr>
        <w:t>arties pour réaliser un saut qualitatif en vue d</w:t>
      </w:r>
      <w:r w:rsidR="008E532B">
        <w:rPr>
          <w:rFonts w:ascii="Arial" w:eastAsia="SimSun" w:hAnsi="Arial" w:cs="Arial"/>
          <w:sz w:val="22"/>
          <w:szCs w:val="22"/>
          <w:lang w:val="fr-FR"/>
        </w:rPr>
        <w:t>’</w:t>
      </w:r>
      <w:r w:rsidRPr="00B63DB2">
        <w:rPr>
          <w:rFonts w:ascii="Arial" w:eastAsia="SimSun" w:hAnsi="Arial" w:cs="Arial"/>
          <w:sz w:val="22"/>
          <w:szCs w:val="22"/>
          <w:lang w:val="fr-FR"/>
        </w:rPr>
        <w:t>accorder une importance égale aux cultures et aux civilisations, en particulier aux pays africains et aux PEID ainsi qu</w:t>
      </w:r>
      <w:r w:rsidR="008E532B">
        <w:rPr>
          <w:rFonts w:ascii="Arial" w:eastAsia="SimSun" w:hAnsi="Arial" w:cs="Arial"/>
          <w:sz w:val="22"/>
          <w:szCs w:val="22"/>
          <w:lang w:val="fr-FR"/>
        </w:rPr>
        <w:t>’</w:t>
      </w:r>
      <w:r w:rsidRPr="00B63DB2">
        <w:rPr>
          <w:rFonts w:ascii="Arial" w:eastAsia="SimSun" w:hAnsi="Arial" w:cs="Arial"/>
          <w:sz w:val="22"/>
          <w:szCs w:val="22"/>
          <w:lang w:val="fr-FR"/>
        </w:rPr>
        <w:t>aux pays en développement. Les pays en développement d</w:t>
      </w:r>
      <w:r>
        <w:rPr>
          <w:rFonts w:ascii="Arial" w:eastAsia="SimSun" w:hAnsi="Arial" w:cs="Arial"/>
          <w:sz w:val="22"/>
          <w:szCs w:val="22"/>
          <w:lang w:val="fr-FR"/>
        </w:rPr>
        <w:t>evaient</w:t>
      </w:r>
      <w:r w:rsidRPr="00B63DB2">
        <w:rPr>
          <w:rFonts w:ascii="Arial" w:eastAsia="SimSun" w:hAnsi="Arial" w:cs="Arial"/>
          <w:sz w:val="22"/>
          <w:szCs w:val="22"/>
          <w:lang w:val="fr-FR"/>
        </w:rPr>
        <w:t xml:space="preserve"> être prioritaires </w:t>
      </w:r>
      <w:r>
        <w:rPr>
          <w:rFonts w:ascii="Arial" w:eastAsia="SimSun" w:hAnsi="Arial" w:cs="Arial"/>
          <w:sz w:val="22"/>
          <w:szCs w:val="22"/>
          <w:lang w:val="fr-FR"/>
        </w:rPr>
        <w:t>dans l</w:t>
      </w:r>
      <w:r w:rsidR="008E532B">
        <w:rPr>
          <w:rFonts w:ascii="Arial" w:eastAsia="SimSun" w:hAnsi="Arial" w:cs="Arial"/>
          <w:sz w:val="22"/>
          <w:szCs w:val="22"/>
          <w:lang w:val="fr-FR"/>
        </w:rPr>
        <w:t>’</w:t>
      </w:r>
      <w:r>
        <w:rPr>
          <w:rFonts w:ascii="Arial" w:eastAsia="SimSun" w:hAnsi="Arial" w:cs="Arial"/>
          <w:sz w:val="22"/>
          <w:szCs w:val="22"/>
          <w:lang w:val="fr-FR"/>
        </w:rPr>
        <w:t xml:space="preserve">aide à la protection de </w:t>
      </w:r>
      <w:r w:rsidRPr="00B63DB2">
        <w:rPr>
          <w:rFonts w:ascii="Arial" w:eastAsia="SimSun" w:hAnsi="Arial" w:cs="Arial"/>
          <w:sz w:val="22"/>
          <w:szCs w:val="22"/>
          <w:lang w:val="fr-FR"/>
        </w:rPr>
        <w:t xml:space="preserve">leur </w:t>
      </w:r>
      <w:r w:rsidR="00E908E2">
        <w:rPr>
          <w:rFonts w:ascii="Arial" w:eastAsia="SimSun" w:hAnsi="Arial" w:cs="Arial"/>
          <w:bCs/>
          <w:sz w:val="22"/>
          <w:szCs w:val="22"/>
          <w:lang w:val="fr-FR" w:eastAsia="en-US"/>
        </w:rPr>
        <w:t>patrimoine culturel immatériel</w:t>
      </w:r>
      <w:r w:rsidRPr="00B63DB2">
        <w:rPr>
          <w:rFonts w:ascii="Arial" w:eastAsia="SimSun" w:hAnsi="Arial" w:cs="Arial"/>
          <w:sz w:val="22"/>
          <w:szCs w:val="22"/>
          <w:lang w:val="fr-FR"/>
        </w:rPr>
        <w:t>. L</w:t>
      </w:r>
      <w:r w:rsidR="008E532B">
        <w:rPr>
          <w:rFonts w:ascii="Arial" w:eastAsia="SimSun" w:hAnsi="Arial" w:cs="Arial"/>
          <w:sz w:val="22"/>
          <w:szCs w:val="22"/>
          <w:lang w:val="fr-FR"/>
        </w:rPr>
        <w:t>’</w:t>
      </w:r>
      <w:r w:rsidRPr="00B63DB2">
        <w:rPr>
          <w:rFonts w:ascii="Arial" w:eastAsia="SimSun" w:hAnsi="Arial" w:cs="Arial"/>
          <w:sz w:val="22"/>
          <w:szCs w:val="22"/>
          <w:lang w:val="fr-FR"/>
        </w:rPr>
        <w:t>UNESCO rassembl</w:t>
      </w:r>
      <w:r>
        <w:rPr>
          <w:rFonts w:ascii="Arial" w:eastAsia="SimSun" w:hAnsi="Arial" w:cs="Arial"/>
          <w:sz w:val="22"/>
          <w:szCs w:val="22"/>
          <w:lang w:val="fr-FR"/>
        </w:rPr>
        <w:t>ait</w:t>
      </w:r>
      <w:r w:rsidRPr="00B63DB2">
        <w:rPr>
          <w:rFonts w:ascii="Arial" w:eastAsia="SimSun" w:hAnsi="Arial" w:cs="Arial"/>
          <w:sz w:val="22"/>
          <w:szCs w:val="22"/>
          <w:lang w:val="fr-FR"/>
        </w:rPr>
        <w:t xml:space="preserve"> tous les États et défend</w:t>
      </w:r>
      <w:r>
        <w:rPr>
          <w:rFonts w:ascii="Arial" w:eastAsia="SimSun" w:hAnsi="Arial" w:cs="Arial"/>
          <w:sz w:val="22"/>
          <w:szCs w:val="22"/>
          <w:lang w:val="fr-FR"/>
        </w:rPr>
        <w:t>ait</w:t>
      </w:r>
      <w:r w:rsidRPr="00B63DB2">
        <w:rPr>
          <w:rFonts w:ascii="Arial" w:eastAsia="SimSun" w:hAnsi="Arial" w:cs="Arial"/>
          <w:sz w:val="22"/>
          <w:szCs w:val="22"/>
          <w:lang w:val="fr-FR"/>
        </w:rPr>
        <w:t xml:space="preserve"> la diversité culturelle et </w:t>
      </w:r>
      <w:r>
        <w:rPr>
          <w:rFonts w:ascii="Arial" w:eastAsia="SimSun" w:hAnsi="Arial" w:cs="Arial"/>
          <w:sz w:val="22"/>
          <w:szCs w:val="22"/>
          <w:lang w:val="fr-FR"/>
        </w:rPr>
        <w:t>de</w:t>
      </w:r>
      <w:r w:rsidRPr="00B63DB2">
        <w:rPr>
          <w:rFonts w:ascii="Arial" w:eastAsia="SimSun" w:hAnsi="Arial" w:cs="Arial"/>
          <w:sz w:val="22"/>
          <w:szCs w:val="22"/>
          <w:lang w:val="fr-FR"/>
        </w:rPr>
        <w:t xml:space="preserve"> nobles idéaux afin que la diversité culturelle puisse perdurer.</w:t>
      </w:r>
    </w:p>
    <w:p w14:paraId="0772C02B" w14:textId="2130490B" w:rsidR="00D9653F" w:rsidRPr="00511B25"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1A154A">
        <w:rPr>
          <w:rFonts w:ascii="Arial" w:eastAsia="SimSun" w:hAnsi="Arial" w:cs="Arial"/>
          <w:sz w:val="22"/>
          <w:szCs w:val="22"/>
          <w:lang w:val="fr-FR"/>
        </w:rPr>
        <w:t xml:space="preserve">La délégation de la </w:t>
      </w:r>
      <w:r w:rsidRPr="001A154A">
        <w:rPr>
          <w:rFonts w:ascii="Arial" w:eastAsia="SimSun" w:hAnsi="Arial" w:cs="Arial"/>
          <w:b/>
          <w:bCs/>
          <w:sz w:val="22"/>
          <w:szCs w:val="22"/>
          <w:lang w:val="fr-FR"/>
        </w:rPr>
        <w:t>Barbade</w:t>
      </w:r>
      <w:r w:rsidRPr="001A154A">
        <w:rPr>
          <w:rFonts w:ascii="Arial" w:eastAsia="SimSun" w:hAnsi="Arial" w:cs="Arial"/>
          <w:sz w:val="22"/>
          <w:szCs w:val="22"/>
          <w:lang w:val="fr-FR"/>
        </w:rPr>
        <w:t xml:space="preserve"> </w:t>
      </w:r>
      <w:r>
        <w:rPr>
          <w:rFonts w:ascii="Arial" w:eastAsia="SimSun" w:hAnsi="Arial" w:cs="Arial"/>
          <w:sz w:val="22"/>
          <w:szCs w:val="22"/>
          <w:lang w:val="fr-FR"/>
        </w:rPr>
        <w:t xml:space="preserve">a </w:t>
      </w:r>
      <w:r w:rsidRPr="001A154A">
        <w:rPr>
          <w:rFonts w:ascii="Arial" w:eastAsia="SimSun" w:hAnsi="Arial" w:cs="Arial"/>
          <w:sz w:val="22"/>
          <w:szCs w:val="22"/>
          <w:lang w:val="fr-FR"/>
        </w:rPr>
        <w:t>félicit</w:t>
      </w:r>
      <w:r>
        <w:rPr>
          <w:rFonts w:ascii="Arial" w:eastAsia="SimSun" w:hAnsi="Arial" w:cs="Arial"/>
          <w:sz w:val="22"/>
          <w:szCs w:val="22"/>
          <w:lang w:val="fr-FR"/>
        </w:rPr>
        <w:t>é</w:t>
      </w:r>
      <w:r w:rsidRPr="001A154A">
        <w:rPr>
          <w:rFonts w:ascii="Arial" w:eastAsia="SimSun" w:hAnsi="Arial" w:cs="Arial"/>
          <w:sz w:val="22"/>
          <w:szCs w:val="22"/>
          <w:lang w:val="fr-FR"/>
        </w:rPr>
        <w:t xml:space="preserve"> la Présidente pour son élection</w:t>
      </w:r>
      <w:r>
        <w:rPr>
          <w:rFonts w:ascii="Arial" w:eastAsia="SimSun" w:hAnsi="Arial" w:cs="Arial"/>
          <w:sz w:val="22"/>
          <w:szCs w:val="22"/>
          <w:lang w:val="fr-FR"/>
        </w:rPr>
        <w:t xml:space="preserve">, ainsi que </w:t>
      </w:r>
      <w:r w:rsidRPr="001A154A">
        <w:rPr>
          <w:rFonts w:ascii="Arial" w:eastAsia="SimSun" w:hAnsi="Arial" w:cs="Arial"/>
          <w:sz w:val="22"/>
          <w:szCs w:val="22"/>
          <w:lang w:val="fr-FR"/>
        </w:rPr>
        <w:t>le Secrétariat et le Comité pour leur travail et leur engagement en faveur de la mise en œuvre réussie de la Convention. La Barbade</w:t>
      </w:r>
      <w:r>
        <w:rPr>
          <w:rFonts w:ascii="Arial" w:eastAsia="SimSun" w:hAnsi="Arial" w:cs="Arial"/>
          <w:sz w:val="22"/>
          <w:szCs w:val="22"/>
          <w:lang w:val="fr-FR"/>
        </w:rPr>
        <w:t xml:space="preserve"> apportait son soutien aux </w:t>
      </w:r>
      <w:r w:rsidRPr="001A154A">
        <w:rPr>
          <w:rFonts w:ascii="Arial" w:eastAsia="SimSun" w:hAnsi="Arial" w:cs="Arial"/>
          <w:sz w:val="22"/>
          <w:szCs w:val="22"/>
          <w:lang w:val="fr-FR"/>
        </w:rPr>
        <w:t>travaux de la Convention</w:t>
      </w:r>
      <w:r>
        <w:rPr>
          <w:rFonts w:ascii="Arial" w:eastAsia="SimSun" w:hAnsi="Arial" w:cs="Arial"/>
          <w:sz w:val="22"/>
          <w:szCs w:val="22"/>
          <w:lang w:val="fr-FR"/>
        </w:rPr>
        <w:t xml:space="preserve"> et </w:t>
      </w:r>
      <w:r w:rsidRPr="001A154A">
        <w:rPr>
          <w:rFonts w:ascii="Arial" w:eastAsia="SimSun" w:hAnsi="Arial" w:cs="Arial"/>
          <w:sz w:val="22"/>
          <w:szCs w:val="22"/>
          <w:lang w:val="fr-FR"/>
        </w:rPr>
        <w:t>reconn</w:t>
      </w:r>
      <w:r>
        <w:rPr>
          <w:rFonts w:ascii="Arial" w:eastAsia="SimSun" w:hAnsi="Arial" w:cs="Arial"/>
          <w:sz w:val="22"/>
          <w:szCs w:val="22"/>
          <w:lang w:val="fr-FR"/>
        </w:rPr>
        <w:t xml:space="preserve">aissait </w:t>
      </w:r>
      <w:r w:rsidRPr="001A154A">
        <w:rPr>
          <w:rFonts w:ascii="Arial" w:eastAsia="SimSun" w:hAnsi="Arial" w:cs="Arial"/>
          <w:sz w:val="22"/>
          <w:szCs w:val="22"/>
          <w:lang w:val="fr-FR"/>
        </w:rPr>
        <w:t>les progrès et les réalisations accomplis au fil des ans, en particulier alors que la Convention s</w:t>
      </w:r>
      <w:r w:rsidR="008E532B">
        <w:rPr>
          <w:rFonts w:ascii="Arial" w:eastAsia="SimSun" w:hAnsi="Arial" w:cs="Arial"/>
          <w:sz w:val="22"/>
          <w:szCs w:val="22"/>
          <w:lang w:val="fr-FR"/>
        </w:rPr>
        <w:t>’</w:t>
      </w:r>
      <w:r w:rsidRPr="001A154A">
        <w:rPr>
          <w:rFonts w:ascii="Arial" w:eastAsia="SimSun" w:hAnsi="Arial" w:cs="Arial"/>
          <w:sz w:val="22"/>
          <w:szCs w:val="22"/>
          <w:lang w:val="fr-FR"/>
        </w:rPr>
        <w:t>apprêt</w:t>
      </w:r>
      <w:r>
        <w:rPr>
          <w:rFonts w:ascii="Arial" w:eastAsia="SimSun" w:hAnsi="Arial" w:cs="Arial"/>
          <w:sz w:val="22"/>
          <w:szCs w:val="22"/>
          <w:lang w:val="fr-FR"/>
        </w:rPr>
        <w:t>ait</w:t>
      </w:r>
      <w:r w:rsidRPr="001A154A">
        <w:rPr>
          <w:rFonts w:ascii="Arial" w:eastAsia="SimSun" w:hAnsi="Arial" w:cs="Arial"/>
          <w:sz w:val="22"/>
          <w:szCs w:val="22"/>
          <w:lang w:val="fr-FR"/>
        </w:rPr>
        <w:t xml:space="preserve"> à célébrer son vingtième anniversaire. En 2021, la Barbade a</w:t>
      </w:r>
      <w:r>
        <w:rPr>
          <w:rFonts w:ascii="Arial" w:eastAsia="SimSun" w:hAnsi="Arial" w:cs="Arial"/>
          <w:sz w:val="22"/>
          <w:szCs w:val="22"/>
          <w:lang w:val="fr-FR"/>
        </w:rPr>
        <w:t>vait</w:t>
      </w:r>
      <w:r w:rsidRPr="001A154A">
        <w:rPr>
          <w:rFonts w:ascii="Arial" w:eastAsia="SimSun" w:hAnsi="Arial" w:cs="Arial"/>
          <w:sz w:val="22"/>
          <w:szCs w:val="22"/>
          <w:lang w:val="fr-FR"/>
        </w:rPr>
        <w:t xml:space="preserve"> créé son </w:t>
      </w:r>
      <w:r>
        <w:rPr>
          <w:rFonts w:ascii="Arial" w:eastAsia="SimSun" w:hAnsi="Arial" w:cs="Arial"/>
          <w:sz w:val="22"/>
          <w:szCs w:val="22"/>
          <w:lang w:val="fr-FR"/>
        </w:rPr>
        <w:t>C</w:t>
      </w:r>
      <w:r w:rsidRPr="001A154A">
        <w:rPr>
          <w:rFonts w:ascii="Arial" w:eastAsia="SimSun" w:hAnsi="Arial" w:cs="Arial"/>
          <w:sz w:val="22"/>
          <w:szCs w:val="22"/>
          <w:lang w:val="fr-FR"/>
        </w:rPr>
        <w:t>omité national du patrimoine culturel immatériel, présidé par M.</w:t>
      </w:r>
      <w:r>
        <w:rPr>
          <w:rFonts w:ascii="Arial" w:eastAsia="SimSun" w:hAnsi="Arial" w:cs="Arial"/>
          <w:sz w:val="22"/>
          <w:szCs w:val="22"/>
          <w:lang w:val="fr-FR"/>
        </w:rPr>
        <w:t> </w:t>
      </w:r>
      <w:r w:rsidRPr="001A154A">
        <w:rPr>
          <w:rFonts w:ascii="Arial" w:eastAsia="SimSun" w:hAnsi="Arial" w:cs="Arial"/>
          <w:sz w:val="22"/>
          <w:szCs w:val="22"/>
          <w:lang w:val="fr-FR"/>
        </w:rPr>
        <w:t>Rodney Grant. Dès sa création, le comité national a</w:t>
      </w:r>
      <w:r>
        <w:rPr>
          <w:rFonts w:ascii="Arial" w:eastAsia="SimSun" w:hAnsi="Arial" w:cs="Arial"/>
          <w:sz w:val="22"/>
          <w:szCs w:val="22"/>
          <w:lang w:val="fr-FR"/>
        </w:rPr>
        <w:t>vait</w:t>
      </w:r>
      <w:r w:rsidRPr="001A154A">
        <w:rPr>
          <w:rFonts w:ascii="Arial" w:eastAsia="SimSun" w:hAnsi="Arial" w:cs="Arial"/>
          <w:sz w:val="22"/>
          <w:szCs w:val="22"/>
          <w:lang w:val="fr-FR"/>
        </w:rPr>
        <w:t xml:space="preserve"> </w:t>
      </w:r>
      <w:r>
        <w:rPr>
          <w:rFonts w:ascii="Arial" w:eastAsia="SimSun" w:hAnsi="Arial" w:cs="Arial"/>
          <w:sz w:val="22"/>
          <w:szCs w:val="22"/>
          <w:lang w:val="fr-FR"/>
        </w:rPr>
        <w:t>conçu</w:t>
      </w:r>
      <w:r w:rsidRPr="001A154A">
        <w:rPr>
          <w:rFonts w:ascii="Arial" w:eastAsia="SimSun" w:hAnsi="Arial" w:cs="Arial"/>
          <w:sz w:val="22"/>
          <w:szCs w:val="22"/>
          <w:lang w:val="fr-FR"/>
        </w:rPr>
        <w:t xml:space="preserve"> et mis en œuvre un </w:t>
      </w:r>
      <w:r>
        <w:rPr>
          <w:rFonts w:ascii="Arial" w:eastAsia="SimSun" w:hAnsi="Arial" w:cs="Arial"/>
          <w:sz w:val="22"/>
          <w:szCs w:val="22"/>
          <w:lang w:val="fr-FR"/>
        </w:rPr>
        <w:t>P</w:t>
      </w:r>
      <w:r w:rsidRPr="001A154A">
        <w:rPr>
          <w:rFonts w:ascii="Arial" w:eastAsia="SimSun" w:hAnsi="Arial" w:cs="Arial"/>
          <w:sz w:val="22"/>
          <w:szCs w:val="22"/>
          <w:lang w:val="fr-FR"/>
        </w:rPr>
        <w:t xml:space="preserve">rogramme national du </w:t>
      </w:r>
      <w:r w:rsidR="00E908E2">
        <w:rPr>
          <w:rFonts w:ascii="Arial" w:eastAsia="SimSun" w:hAnsi="Arial" w:cs="Arial"/>
          <w:bCs/>
          <w:sz w:val="22"/>
          <w:szCs w:val="22"/>
          <w:lang w:val="fr-FR" w:eastAsia="en-US"/>
        </w:rPr>
        <w:t>patrimoine culturel immatériel</w:t>
      </w:r>
      <w:r w:rsidRPr="001A154A">
        <w:rPr>
          <w:rFonts w:ascii="Arial" w:eastAsia="SimSun" w:hAnsi="Arial" w:cs="Arial"/>
          <w:sz w:val="22"/>
          <w:szCs w:val="22"/>
          <w:lang w:val="fr-FR"/>
        </w:rPr>
        <w:t xml:space="preserve">, qui </w:t>
      </w:r>
      <w:r>
        <w:rPr>
          <w:rFonts w:ascii="Arial" w:eastAsia="SimSun" w:hAnsi="Arial" w:cs="Arial"/>
          <w:sz w:val="22"/>
          <w:szCs w:val="22"/>
          <w:lang w:val="fr-FR"/>
        </w:rPr>
        <w:t xml:space="preserve">comprend </w:t>
      </w:r>
      <w:r w:rsidRPr="001A154A">
        <w:rPr>
          <w:rFonts w:ascii="Arial" w:eastAsia="SimSun" w:hAnsi="Arial" w:cs="Arial"/>
          <w:sz w:val="22"/>
          <w:szCs w:val="22"/>
          <w:lang w:val="fr-FR"/>
        </w:rPr>
        <w:t>l</w:t>
      </w:r>
      <w:r>
        <w:rPr>
          <w:rFonts w:ascii="Arial" w:eastAsia="SimSun" w:hAnsi="Arial" w:cs="Arial"/>
          <w:sz w:val="22"/>
          <w:szCs w:val="22"/>
          <w:lang w:val="fr-FR"/>
        </w:rPr>
        <w:t>a réalisation</w:t>
      </w:r>
      <w:r w:rsidRPr="001A154A">
        <w:rPr>
          <w:rFonts w:ascii="Arial" w:eastAsia="SimSun" w:hAnsi="Arial" w:cs="Arial"/>
          <w:sz w:val="22"/>
          <w:szCs w:val="22"/>
          <w:lang w:val="fr-FR"/>
        </w:rPr>
        <w:t xml:space="preserve"> d</w:t>
      </w:r>
      <w:r w:rsidR="008E532B">
        <w:rPr>
          <w:rFonts w:ascii="Arial" w:eastAsia="SimSun" w:hAnsi="Arial" w:cs="Arial"/>
          <w:sz w:val="22"/>
          <w:szCs w:val="22"/>
          <w:lang w:val="fr-FR"/>
        </w:rPr>
        <w:t>’</w:t>
      </w:r>
      <w:r w:rsidRPr="001A154A">
        <w:rPr>
          <w:rFonts w:ascii="Arial" w:eastAsia="SimSun" w:hAnsi="Arial" w:cs="Arial"/>
          <w:sz w:val="22"/>
          <w:szCs w:val="22"/>
          <w:lang w:val="fr-FR"/>
        </w:rPr>
        <w:t xml:space="preserve">une série vidéo en douze parties intitulée </w:t>
      </w:r>
      <w:r>
        <w:rPr>
          <w:rFonts w:ascii="Arial" w:eastAsia="SimSun" w:hAnsi="Arial" w:cs="Arial"/>
          <w:sz w:val="22"/>
          <w:szCs w:val="22"/>
          <w:lang w:val="fr-FR"/>
        </w:rPr>
        <w:t>« </w:t>
      </w:r>
      <w:r w:rsidRPr="001A154A">
        <w:rPr>
          <w:rFonts w:ascii="Arial" w:eastAsia="SimSun" w:hAnsi="Arial" w:cs="Arial"/>
          <w:sz w:val="22"/>
          <w:szCs w:val="22"/>
          <w:lang w:val="fr-FR"/>
        </w:rPr>
        <w:t xml:space="preserve">Notre </w:t>
      </w:r>
      <w:r>
        <w:rPr>
          <w:rFonts w:ascii="Arial" w:eastAsia="SimSun" w:hAnsi="Arial" w:cs="Arial"/>
          <w:sz w:val="22"/>
          <w:szCs w:val="22"/>
          <w:lang w:val="fr-FR"/>
        </w:rPr>
        <w:t>t</w:t>
      </w:r>
      <w:r w:rsidRPr="001A154A">
        <w:rPr>
          <w:rFonts w:ascii="Arial" w:eastAsia="SimSun" w:hAnsi="Arial" w:cs="Arial"/>
          <w:sz w:val="22"/>
          <w:szCs w:val="22"/>
          <w:lang w:val="fr-FR"/>
        </w:rPr>
        <w:t>erre et notre patrimoine culturel immatériel</w:t>
      </w:r>
      <w:r>
        <w:rPr>
          <w:rFonts w:ascii="Arial" w:eastAsia="SimSun" w:hAnsi="Arial" w:cs="Arial"/>
          <w:sz w:val="22"/>
          <w:szCs w:val="22"/>
          <w:lang w:val="fr-FR"/>
        </w:rPr>
        <w:t> »</w:t>
      </w:r>
      <w:r w:rsidRPr="001A154A">
        <w:rPr>
          <w:rFonts w:ascii="Arial" w:eastAsia="SimSun" w:hAnsi="Arial" w:cs="Arial"/>
          <w:sz w:val="22"/>
          <w:szCs w:val="22"/>
          <w:lang w:val="fr-FR"/>
        </w:rPr>
        <w:t xml:space="preserve">, </w:t>
      </w:r>
      <w:r>
        <w:rPr>
          <w:rFonts w:ascii="Arial" w:eastAsia="SimSun" w:hAnsi="Arial" w:cs="Arial"/>
          <w:sz w:val="22"/>
          <w:szCs w:val="22"/>
          <w:lang w:val="fr-FR"/>
        </w:rPr>
        <w:t xml:space="preserve">diffusée auprès du </w:t>
      </w:r>
      <w:r w:rsidRPr="001A154A">
        <w:rPr>
          <w:rFonts w:ascii="Arial" w:eastAsia="SimSun" w:hAnsi="Arial" w:cs="Arial"/>
          <w:sz w:val="22"/>
          <w:szCs w:val="22"/>
          <w:lang w:val="fr-FR"/>
        </w:rPr>
        <w:t xml:space="preserve">public barbadien </w:t>
      </w:r>
      <w:r>
        <w:rPr>
          <w:rFonts w:ascii="Arial" w:eastAsia="SimSun" w:hAnsi="Arial" w:cs="Arial"/>
          <w:sz w:val="22"/>
          <w:szCs w:val="22"/>
          <w:lang w:val="fr-FR"/>
        </w:rPr>
        <w:t>par</w:t>
      </w:r>
      <w:r w:rsidRPr="001A154A">
        <w:rPr>
          <w:rFonts w:ascii="Arial" w:eastAsia="SimSun" w:hAnsi="Arial" w:cs="Arial"/>
          <w:sz w:val="22"/>
          <w:szCs w:val="22"/>
          <w:lang w:val="fr-FR"/>
        </w:rPr>
        <w:t xml:space="preserve"> la télévision nationale. Cette série reconn</w:t>
      </w:r>
      <w:r>
        <w:rPr>
          <w:rFonts w:ascii="Arial" w:eastAsia="SimSun" w:hAnsi="Arial" w:cs="Arial"/>
          <w:sz w:val="22"/>
          <w:szCs w:val="22"/>
          <w:lang w:val="fr-FR"/>
        </w:rPr>
        <w:t>aissait</w:t>
      </w:r>
      <w:r w:rsidRPr="001A154A">
        <w:rPr>
          <w:rFonts w:ascii="Arial" w:eastAsia="SimSun" w:hAnsi="Arial" w:cs="Arial"/>
          <w:sz w:val="22"/>
          <w:szCs w:val="22"/>
          <w:lang w:val="fr-FR"/>
        </w:rPr>
        <w:t xml:space="preserve"> le public barbadien et la diaspora barbadienne comme </w:t>
      </w:r>
      <w:r>
        <w:rPr>
          <w:rFonts w:ascii="Arial" w:eastAsia="SimSun" w:hAnsi="Arial" w:cs="Arial"/>
          <w:sz w:val="22"/>
          <w:szCs w:val="22"/>
          <w:lang w:val="fr-FR"/>
        </w:rPr>
        <w:t xml:space="preserve">étant </w:t>
      </w:r>
      <w:r w:rsidRPr="001A154A">
        <w:rPr>
          <w:rFonts w:ascii="Arial" w:eastAsia="SimSun" w:hAnsi="Arial" w:cs="Arial"/>
          <w:sz w:val="22"/>
          <w:szCs w:val="22"/>
          <w:lang w:val="fr-FR"/>
        </w:rPr>
        <w:t xml:space="preserve">les </w:t>
      </w:r>
      <w:r>
        <w:rPr>
          <w:rFonts w:ascii="Arial" w:eastAsia="SimSun" w:hAnsi="Arial" w:cs="Arial"/>
          <w:sz w:val="22"/>
          <w:szCs w:val="22"/>
          <w:lang w:val="fr-FR"/>
        </w:rPr>
        <w:t xml:space="preserve">acteurs </w:t>
      </w:r>
      <w:r w:rsidRPr="001A154A">
        <w:rPr>
          <w:rFonts w:ascii="Arial" w:eastAsia="SimSun" w:hAnsi="Arial" w:cs="Arial"/>
          <w:sz w:val="22"/>
          <w:szCs w:val="22"/>
          <w:lang w:val="fr-FR"/>
        </w:rPr>
        <w:t xml:space="preserve">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1A154A">
        <w:rPr>
          <w:rFonts w:ascii="Arial" w:eastAsia="SimSun" w:hAnsi="Arial" w:cs="Arial"/>
          <w:sz w:val="22"/>
          <w:szCs w:val="22"/>
          <w:lang w:val="fr-FR"/>
        </w:rPr>
        <w:t>de la nation. La série s</w:t>
      </w:r>
      <w:r>
        <w:rPr>
          <w:rFonts w:ascii="Arial" w:eastAsia="SimSun" w:hAnsi="Arial" w:cs="Arial"/>
          <w:sz w:val="22"/>
          <w:szCs w:val="22"/>
          <w:lang w:val="fr-FR"/>
        </w:rPr>
        <w:t xml:space="preserve">e concentrait </w:t>
      </w:r>
      <w:r w:rsidRPr="001A154A">
        <w:rPr>
          <w:rFonts w:ascii="Arial" w:eastAsia="SimSun" w:hAnsi="Arial" w:cs="Arial"/>
          <w:sz w:val="22"/>
          <w:szCs w:val="22"/>
          <w:lang w:val="fr-FR"/>
        </w:rPr>
        <w:t>principalement sur la sensibilisation et l</w:t>
      </w:r>
      <w:r w:rsidR="008E532B">
        <w:rPr>
          <w:rFonts w:ascii="Arial" w:eastAsia="SimSun" w:hAnsi="Arial" w:cs="Arial"/>
          <w:sz w:val="22"/>
          <w:szCs w:val="22"/>
          <w:lang w:val="fr-FR"/>
        </w:rPr>
        <w:t>’</w:t>
      </w:r>
      <w:r w:rsidRPr="001A154A">
        <w:rPr>
          <w:rFonts w:ascii="Arial" w:eastAsia="SimSun" w:hAnsi="Arial" w:cs="Arial"/>
          <w:sz w:val="22"/>
          <w:szCs w:val="22"/>
          <w:lang w:val="fr-FR"/>
        </w:rPr>
        <w:t xml:space="preserve">engagement du public, ainsi que sur la documentation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1A154A">
        <w:rPr>
          <w:rFonts w:ascii="Arial" w:eastAsia="SimSun" w:hAnsi="Arial" w:cs="Arial"/>
          <w:sz w:val="22"/>
          <w:szCs w:val="22"/>
          <w:lang w:val="fr-FR"/>
        </w:rPr>
        <w:t>par les détenteurs de connaissances. Chaque session abord</w:t>
      </w:r>
      <w:r>
        <w:rPr>
          <w:rFonts w:ascii="Arial" w:eastAsia="SimSun" w:hAnsi="Arial" w:cs="Arial"/>
          <w:sz w:val="22"/>
          <w:szCs w:val="22"/>
          <w:lang w:val="fr-FR"/>
        </w:rPr>
        <w:t>ait</w:t>
      </w:r>
      <w:r w:rsidRPr="001A154A">
        <w:rPr>
          <w:rFonts w:ascii="Arial" w:eastAsia="SimSun" w:hAnsi="Arial" w:cs="Arial"/>
          <w:sz w:val="22"/>
          <w:szCs w:val="22"/>
          <w:lang w:val="fr-FR"/>
        </w:rPr>
        <w:t xml:space="preserve"> un domaine particulier du </w:t>
      </w:r>
      <w:r w:rsidR="00E908E2">
        <w:rPr>
          <w:rFonts w:ascii="Arial" w:eastAsia="SimSun" w:hAnsi="Arial" w:cs="Arial"/>
          <w:bCs/>
          <w:sz w:val="22"/>
          <w:szCs w:val="22"/>
          <w:lang w:val="fr-FR" w:eastAsia="en-US"/>
        </w:rPr>
        <w:t>patrimoine culturel immatériel</w:t>
      </w:r>
      <w:r w:rsidRPr="001A154A">
        <w:rPr>
          <w:rFonts w:ascii="Arial" w:eastAsia="SimSun" w:hAnsi="Arial" w:cs="Arial"/>
          <w:sz w:val="22"/>
          <w:szCs w:val="22"/>
          <w:lang w:val="fr-FR"/>
        </w:rPr>
        <w:t xml:space="preserve">. Le programme de sensibilisation du public comprenait un autre projet destiné aux jeunes. En consultation avec le </w:t>
      </w:r>
      <w:r>
        <w:rPr>
          <w:rFonts w:ascii="Arial" w:eastAsia="SimSun" w:hAnsi="Arial" w:cs="Arial"/>
          <w:sz w:val="22"/>
          <w:szCs w:val="22"/>
          <w:lang w:val="fr-FR"/>
        </w:rPr>
        <w:t>B</w:t>
      </w:r>
      <w:r w:rsidRPr="001A154A">
        <w:rPr>
          <w:rFonts w:ascii="Arial" w:eastAsia="SimSun" w:hAnsi="Arial" w:cs="Arial"/>
          <w:sz w:val="22"/>
          <w:szCs w:val="22"/>
          <w:lang w:val="fr-FR"/>
        </w:rPr>
        <w:t>ureau de l</w:t>
      </w:r>
      <w:r w:rsidR="008E532B">
        <w:rPr>
          <w:rFonts w:ascii="Arial" w:eastAsia="SimSun" w:hAnsi="Arial" w:cs="Arial"/>
          <w:sz w:val="22"/>
          <w:szCs w:val="22"/>
          <w:lang w:val="fr-FR"/>
        </w:rPr>
        <w:t>’</w:t>
      </w:r>
      <w:r w:rsidRPr="001A154A">
        <w:rPr>
          <w:rFonts w:ascii="Arial" w:eastAsia="SimSun" w:hAnsi="Arial" w:cs="Arial"/>
          <w:sz w:val="22"/>
          <w:szCs w:val="22"/>
          <w:lang w:val="fr-FR"/>
        </w:rPr>
        <w:t>UNESCO à Kingston, la Barbade a</w:t>
      </w:r>
      <w:r>
        <w:rPr>
          <w:rFonts w:ascii="Arial" w:eastAsia="SimSun" w:hAnsi="Arial" w:cs="Arial"/>
          <w:sz w:val="22"/>
          <w:szCs w:val="22"/>
          <w:lang w:val="fr-FR"/>
        </w:rPr>
        <w:t>vait</w:t>
      </w:r>
      <w:r w:rsidRPr="001A154A">
        <w:rPr>
          <w:rFonts w:ascii="Arial" w:eastAsia="SimSun" w:hAnsi="Arial" w:cs="Arial"/>
          <w:sz w:val="22"/>
          <w:szCs w:val="22"/>
          <w:lang w:val="fr-FR"/>
        </w:rPr>
        <w:t xml:space="preserve"> élaboré une approche conceptuelle</w:t>
      </w:r>
      <w:r>
        <w:rPr>
          <w:rFonts w:ascii="Arial" w:eastAsia="SimSun" w:hAnsi="Arial" w:cs="Arial"/>
          <w:sz w:val="22"/>
          <w:szCs w:val="22"/>
          <w:lang w:val="fr-FR"/>
        </w:rPr>
        <w:t>,</w:t>
      </w:r>
      <w:r w:rsidRPr="001A154A">
        <w:rPr>
          <w:rFonts w:ascii="Arial" w:eastAsia="SimSun" w:hAnsi="Arial" w:cs="Arial"/>
          <w:sz w:val="22"/>
          <w:szCs w:val="22"/>
          <w:lang w:val="fr-FR"/>
        </w:rPr>
        <w:t xml:space="preserve"> </w:t>
      </w:r>
      <w:r>
        <w:rPr>
          <w:rFonts w:ascii="Arial" w:eastAsia="SimSun" w:hAnsi="Arial" w:cs="Arial"/>
          <w:sz w:val="22"/>
          <w:szCs w:val="22"/>
          <w:lang w:val="fr-FR"/>
        </w:rPr>
        <w:t>« Le patrimoine culturel immatériel en mouvement »</w:t>
      </w:r>
      <w:r w:rsidRPr="001A154A">
        <w:rPr>
          <w:rFonts w:ascii="Arial" w:eastAsia="SimSun" w:hAnsi="Arial" w:cs="Arial"/>
          <w:sz w:val="22"/>
          <w:szCs w:val="22"/>
          <w:lang w:val="fr-FR"/>
        </w:rPr>
        <w:t>, avec le financement de l</w:t>
      </w:r>
      <w:r w:rsidR="008E532B">
        <w:rPr>
          <w:rFonts w:ascii="Arial" w:eastAsia="SimSun" w:hAnsi="Arial" w:cs="Arial"/>
          <w:sz w:val="22"/>
          <w:szCs w:val="22"/>
          <w:lang w:val="fr-FR"/>
        </w:rPr>
        <w:t>’</w:t>
      </w:r>
      <w:r w:rsidRPr="001A154A">
        <w:rPr>
          <w:rFonts w:ascii="Arial" w:eastAsia="SimSun" w:hAnsi="Arial" w:cs="Arial"/>
          <w:sz w:val="22"/>
          <w:szCs w:val="22"/>
          <w:lang w:val="fr-FR"/>
        </w:rPr>
        <w:t>UNESCO. Le projet a</w:t>
      </w:r>
      <w:r>
        <w:rPr>
          <w:rFonts w:ascii="Arial" w:eastAsia="SimSun" w:hAnsi="Arial" w:cs="Arial"/>
          <w:sz w:val="22"/>
          <w:szCs w:val="22"/>
          <w:lang w:val="fr-FR"/>
        </w:rPr>
        <w:t>vait</w:t>
      </w:r>
      <w:r w:rsidRPr="001A154A">
        <w:rPr>
          <w:rFonts w:ascii="Arial" w:eastAsia="SimSun" w:hAnsi="Arial" w:cs="Arial"/>
          <w:sz w:val="22"/>
          <w:szCs w:val="22"/>
          <w:lang w:val="fr-FR"/>
        </w:rPr>
        <w:t xml:space="preserve"> été </w:t>
      </w:r>
      <w:r>
        <w:rPr>
          <w:rFonts w:ascii="Arial" w:eastAsia="SimSun" w:hAnsi="Arial" w:cs="Arial"/>
          <w:sz w:val="22"/>
          <w:szCs w:val="22"/>
          <w:lang w:val="fr-FR"/>
        </w:rPr>
        <w:t xml:space="preserve">élaboré </w:t>
      </w:r>
      <w:r w:rsidRPr="001A154A">
        <w:rPr>
          <w:rFonts w:ascii="Arial" w:eastAsia="SimSun" w:hAnsi="Arial" w:cs="Arial"/>
          <w:sz w:val="22"/>
          <w:szCs w:val="22"/>
          <w:lang w:val="fr-FR"/>
        </w:rPr>
        <w:t xml:space="preserve">pour répondre aux recommandations </w:t>
      </w:r>
      <w:r>
        <w:rPr>
          <w:rFonts w:ascii="Arial" w:eastAsia="SimSun" w:hAnsi="Arial" w:cs="Arial"/>
          <w:sz w:val="22"/>
          <w:szCs w:val="22"/>
          <w:lang w:val="fr-FR"/>
        </w:rPr>
        <w:t xml:space="preserve">extraites </w:t>
      </w:r>
      <w:r w:rsidRPr="001A154A">
        <w:rPr>
          <w:rFonts w:ascii="Arial" w:eastAsia="SimSun" w:hAnsi="Arial" w:cs="Arial"/>
          <w:sz w:val="22"/>
          <w:szCs w:val="22"/>
          <w:lang w:val="fr-FR"/>
        </w:rPr>
        <w:t>du rapport de l</w:t>
      </w:r>
      <w:r w:rsidR="008E532B">
        <w:rPr>
          <w:rFonts w:ascii="Arial" w:eastAsia="SimSun" w:hAnsi="Arial" w:cs="Arial"/>
          <w:sz w:val="22"/>
          <w:szCs w:val="22"/>
          <w:lang w:val="fr-FR"/>
        </w:rPr>
        <w:t>’</w:t>
      </w:r>
      <w:r w:rsidRPr="001A154A">
        <w:rPr>
          <w:rFonts w:ascii="Arial" w:eastAsia="SimSun" w:hAnsi="Arial" w:cs="Arial"/>
          <w:sz w:val="22"/>
          <w:szCs w:val="22"/>
          <w:lang w:val="fr-FR"/>
        </w:rPr>
        <w:t>UNESCO</w:t>
      </w:r>
      <w:r>
        <w:rPr>
          <w:rFonts w:ascii="Arial" w:eastAsia="SimSun" w:hAnsi="Arial" w:cs="Arial"/>
          <w:sz w:val="22"/>
          <w:szCs w:val="22"/>
          <w:lang w:val="fr-FR"/>
        </w:rPr>
        <w:t xml:space="preserve">, </w:t>
      </w:r>
      <w:r w:rsidRPr="00BC0E10">
        <w:rPr>
          <w:rFonts w:ascii="Arial" w:eastAsia="SimSun" w:hAnsi="Arial" w:cs="Arial"/>
          <w:i/>
          <w:iCs/>
          <w:sz w:val="22"/>
          <w:szCs w:val="22"/>
          <w:lang w:val="fr-FR"/>
        </w:rPr>
        <w:t>Le patrimoine vivant face à la COVID</w:t>
      </w:r>
      <w:r>
        <w:rPr>
          <w:rFonts w:ascii="Arial" w:eastAsia="SimSun" w:hAnsi="Arial" w:cs="Arial"/>
          <w:i/>
          <w:iCs/>
          <w:sz w:val="22"/>
          <w:szCs w:val="22"/>
          <w:lang w:val="fr-FR"/>
        </w:rPr>
        <w:noBreakHyphen/>
      </w:r>
      <w:r w:rsidRPr="00BC0E10">
        <w:rPr>
          <w:rFonts w:ascii="Arial" w:eastAsia="SimSun" w:hAnsi="Arial" w:cs="Arial"/>
          <w:i/>
          <w:iCs/>
          <w:sz w:val="22"/>
          <w:szCs w:val="22"/>
          <w:lang w:val="fr-FR"/>
        </w:rPr>
        <w:t>19</w:t>
      </w:r>
      <w:r>
        <w:rPr>
          <w:rStyle w:val="FootnoteReference"/>
          <w:rFonts w:ascii="Arial" w:eastAsia="SimSun" w:hAnsi="Arial" w:cs="Arial"/>
          <w:i/>
          <w:iCs/>
          <w:sz w:val="22"/>
          <w:szCs w:val="22"/>
          <w:lang w:val="fr-FR"/>
        </w:rPr>
        <w:footnoteReference w:id="9"/>
      </w:r>
      <w:r w:rsidRPr="001A154A">
        <w:rPr>
          <w:rFonts w:ascii="Arial" w:eastAsia="SimSun" w:hAnsi="Arial" w:cs="Arial"/>
          <w:sz w:val="22"/>
          <w:szCs w:val="22"/>
          <w:lang w:val="fr-FR"/>
        </w:rPr>
        <w:t>. L</w:t>
      </w:r>
      <w:r w:rsidR="008E532B">
        <w:rPr>
          <w:rFonts w:ascii="Arial" w:eastAsia="SimSun" w:hAnsi="Arial" w:cs="Arial"/>
          <w:sz w:val="22"/>
          <w:szCs w:val="22"/>
          <w:lang w:val="fr-FR"/>
        </w:rPr>
        <w:t>’</w:t>
      </w:r>
      <w:r w:rsidRPr="001A154A">
        <w:rPr>
          <w:rFonts w:ascii="Arial" w:eastAsia="SimSun" w:hAnsi="Arial" w:cs="Arial"/>
          <w:sz w:val="22"/>
          <w:szCs w:val="22"/>
          <w:lang w:val="fr-FR"/>
        </w:rPr>
        <w:t xml:space="preserve">activité visait à promouvoir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1A154A">
        <w:rPr>
          <w:rFonts w:ascii="Arial" w:eastAsia="SimSun" w:hAnsi="Arial" w:cs="Arial"/>
          <w:sz w:val="22"/>
          <w:szCs w:val="22"/>
          <w:lang w:val="fr-FR"/>
        </w:rPr>
        <w:t xml:space="preserve">du pays auprès de la jeune génération. </w:t>
      </w:r>
      <w:r>
        <w:rPr>
          <w:rFonts w:ascii="Arial" w:eastAsia="SimSun" w:hAnsi="Arial" w:cs="Arial"/>
          <w:sz w:val="22"/>
          <w:szCs w:val="22"/>
          <w:lang w:val="fr-FR"/>
        </w:rPr>
        <w:t>La première composante de c</w:t>
      </w:r>
      <w:r w:rsidRPr="001A154A">
        <w:rPr>
          <w:rFonts w:ascii="Arial" w:eastAsia="SimSun" w:hAnsi="Arial" w:cs="Arial"/>
          <w:sz w:val="22"/>
          <w:szCs w:val="22"/>
          <w:lang w:val="fr-FR"/>
        </w:rPr>
        <w:t>e projet en deux parties</w:t>
      </w:r>
      <w:r>
        <w:rPr>
          <w:rFonts w:ascii="Arial" w:eastAsia="SimSun" w:hAnsi="Arial" w:cs="Arial"/>
          <w:sz w:val="22"/>
          <w:szCs w:val="22"/>
          <w:lang w:val="fr-FR"/>
        </w:rPr>
        <w:t xml:space="preserve"> avait été lancée </w:t>
      </w:r>
      <w:r w:rsidRPr="001A154A">
        <w:rPr>
          <w:rFonts w:ascii="Arial" w:eastAsia="SimSun" w:hAnsi="Arial" w:cs="Arial"/>
          <w:sz w:val="22"/>
          <w:szCs w:val="22"/>
          <w:lang w:val="fr-FR"/>
        </w:rPr>
        <w:t>le 30</w:t>
      </w:r>
      <w:r>
        <w:rPr>
          <w:rFonts w:ascii="Arial" w:eastAsia="SimSun" w:hAnsi="Arial" w:cs="Arial"/>
          <w:sz w:val="22"/>
          <w:szCs w:val="22"/>
          <w:lang w:val="fr-FR"/>
        </w:rPr>
        <w:t> </w:t>
      </w:r>
      <w:r w:rsidRPr="001A154A">
        <w:rPr>
          <w:rFonts w:ascii="Arial" w:eastAsia="SimSun" w:hAnsi="Arial" w:cs="Arial"/>
          <w:sz w:val="22"/>
          <w:szCs w:val="22"/>
          <w:lang w:val="fr-FR"/>
        </w:rPr>
        <w:t>décembre</w:t>
      </w:r>
      <w:r>
        <w:rPr>
          <w:rFonts w:ascii="Arial" w:eastAsia="SimSun" w:hAnsi="Arial" w:cs="Arial"/>
          <w:sz w:val="22"/>
          <w:szCs w:val="22"/>
          <w:lang w:val="fr-FR"/>
        </w:rPr>
        <w:t> </w:t>
      </w:r>
      <w:r w:rsidRPr="001A154A">
        <w:rPr>
          <w:rFonts w:ascii="Arial" w:eastAsia="SimSun" w:hAnsi="Arial" w:cs="Arial"/>
          <w:sz w:val="22"/>
          <w:szCs w:val="22"/>
          <w:lang w:val="fr-FR"/>
        </w:rPr>
        <w:t>2021 lors d</w:t>
      </w:r>
      <w:r w:rsidR="008E532B">
        <w:rPr>
          <w:rFonts w:ascii="Arial" w:eastAsia="SimSun" w:hAnsi="Arial" w:cs="Arial"/>
          <w:sz w:val="22"/>
          <w:szCs w:val="22"/>
          <w:lang w:val="fr-FR"/>
        </w:rPr>
        <w:t>’</w:t>
      </w:r>
      <w:r w:rsidRPr="001A154A">
        <w:rPr>
          <w:rFonts w:ascii="Arial" w:eastAsia="SimSun" w:hAnsi="Arial" w:cs="Arial"/>
          <w:sz w:val="22"/>
          <w:szCs w:val="22"/>
          <w:lang w:val="fr-FR"/>
        </w:rPr>
        <w:t>une session diffusée en ligne. Le lancement a</w:t>
      </w:r>
      <w:r>
        <w:rPr>
          <w:rFonts w:ascii="Arial" w:eastAsia="SimSun" w:hAnsi="Arial" w:cs="Arial"/>
          <w:sz w:val="22"/>
          <w:szCs w:val="22"/>
          <w:lang w:val="fr-FR"/>
        </w:rPr>
        <w:t>vait</w:t>
      </w:r>
      <w:r w:rsidRPr="001A154A">
        <w:rPr>
          <w:rFonts w:ascii="Arial" w:eastAsia="SimSun" w:hAnsi="Arial" w:cs="Arial"/>
          <w:sz w:val="22"/>
          <w:szCs w:val="22"/>
          <w:lang w:val="fr-FR"/>
        </w:rPr>
        <w:t xml:space="preserve"> mis en avant la série de documentaires sur la culture immatérielle</w:t>
      </w:r>
      <w:r>
        <w:rPr>
          <w:rFonts w:ascii="Arial" w:eastAsia="SimSun" w:hAnsi="Arial" w:cs="Arial"/>
          <w:sz w:val="22"/>
          <w:szCs w:val="22"/>
          <w:lang w:val="fr-FR"/>
        </w:rPr>
        <w:t>,</w:t>
      </w:r>
      <w:r w:rsidRPr="001A154A">
        <w:rPr>
          <w:rFonts w:ascii="Arial" w:eastAsia="SimSun" w:hAnsi="Arial" w:cs="Arial"/>
          <w:sz w:val="22"/>
          <w:szCs w:val="22"/>
          <w:lang w:val="fr-FR"/>
        </w:rPr>
        <w:t xml:space="preserve"> </w:t>
      </w:r>
      <w:r>
        <w:rPr>
          <w:rFonts w:ascii="Arial" w:eastAsia="SimSun" w:hAnsi="Arial" w:cs="Arial"/>
          <w:sz w:val="22"/>
          <w:szCs w:val="22"/>
          <w:lang w:val="fr-FR"/>
        </w:rPr>
        <w:t>produite par le</w:t>
      </w:r>
      <w:r w:rsidRPr="001A154A">
        <w:rPr>
          <w:rFonts w:ascii="Arial" w:eastAsia="SimSun" w:hAnsi="Arial" w:cs="Arial"/>
          <w:sz w:val="22"/>
          <w:szCs w:val="22"/>
          <w:lang w:val="fr-FR"/>
        </w:rPr>
        <w:t xml:space="preserve"> comité</w:t>
      </w:r>
      <w:r>
        <w:rPr>
          <w:rFonts w:ascii="Arial" w:eastAsia="SimSun" w:hAnsi="Arial" w:cs="Arial"/>
          <w:sz w:val="22"/>
          <w:szCs w:val="22"/>
          <w:lang w:val="fr-FR"/>
        </w:rPr>
        <w:t xml:space="preserve"> national</w:t>
      </w:r>
      <w:r w:rsidRPr="001A154A">
        <w:rPr>
          <w:rFonts w:ascii="Arial" w:eastAsia="SimSun" w:hAnsi="Arial" w:cs="Arial"/>
          <w:sz w:val="22"/>
          <w:szCs w:val="22"/>
          <w:lang w:val="fr-FR"/>
        </w:rPr>
        <w:t xml:space="preserve">. La deuxième composante du projet était une série de forums en ligne intitulée </w:t>
      </w:r>
      <w:r>
        <w:rPr>
          <w:rFonts w:ascii="Arial" w:eastAsia="SimSun" w:hAnsi="Arial" w:cs="Arial"/>
          <w:sz w:val="22"/>
          <w:szCs w:val="22"/>
          <w:lang w:val="fr-FR"/>
        </w:rPr>
        <w:t xml:space="preserve">« Voix de la Barbade,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Pr>
          <w:rFonts w:ascii="Arial" w:eastAsia="SimSun" w:hAnsi="Arial" w:cs="Arial"/>
          <w:sz w:val="22"/>
          <w:szCs w:val="22"/>
          <w:lang w:val="fr-FR"/>
        </w:rPr>
        <w:t>en mouvement »</w:t>
      </w:r>
      <w:r w:rsidRPr="001A154A">
        <w:rPr>
          <w:rFonts w:ascii="Arial" w:eastAsia="SimSun" w:hAnsi="Arial" w:cs="Arial"/>
          <w:sz w:val="22"/>
          <w:szCs w:val="22"/>
          <w:lang w:val="fr-FR"/>
        </w:rPr>
        <w:t>. Cette composante présentait au public barbadien des informations provenant des principaux détenteurs de connaissances barbadiens. L</w:t>
      </w:r>
      <w:r>
        <w:rPr>
          <w:rFonts w:ascii="Arial" w:eastAsia="SimSun" w:hAnsi="Arial" w:cs="Arial"/>
          <w:sz w:val="22"/>
          <w:szCs w:val="22"/>
          <w:lang w:val="fr-FR"/>
        </w:rPr>
        <w:t>es forums</w:t>
      </w:r>
      <w:r w:rsidRPr="001A154A">
        <w:rPr>
          <w:rFonts w:ascii="Arial" w:eastAsia="SimSun" w:hAnsi="Arial" w:cs="Arial"/>
          <w:sz w:val="22"/>
          <w:szCs w:val="22"/>
          <w:lang w:val="fr-FR"/>
        </w:rPr>
        <w:t xml:space="preserve"> étai</w:t>
      </w:r>
      <w:r>
        <w:rPr>
          <w:rFonts w:ascii="Arial" w:eastAsia="SimSun" w:hAnsi="Arial" w:cs="Arial"/>
          <w:sz w:val="22"/>
          <w:szCs w:val="22"/>
          <w:lang w:val="fr-FR"/>
        </w:rPr>
        <w:t>en</w:t>
      </w:r>
      <w:r w:rsidRPr="001A154A">
        <w:rPr>
          <w:rFonts w:ascii="Arial" w:eastAsia="SimSun" w:hAnsi="Arial" w:cs="Arial"/>
          <w:sz w:val="22"/>
          <w:szCs w:val="22"/>
          <w:lang w:val="fr-FR"/>
        </w:rPr>
        <w:t>t principalement axé</w:t>
      </w:r>
      <w:r>
        <w:rPr>
          <w:rFonts w:ascii="Arial" w:eastAsia="SimSun" w:hAnsi="Arial" w:cs="Arial"/>
          <w:sz w:val="22"/>
          <w:szCs w:val="22"/>
          <w:lang w:val="fr-FR"/>
        </w:rPr>
        <w:t>s</w:t>
      </w:r>
      <w:r w:rsidRPr="001A154A">
        <w:rPr>
          <w:rFonts w:ascii="Arial" w:eastAsia="SimSun" w:hAnsi="Arial" w:cs="Arial"/>
          <w:sz w:val="22"/>
          <w:szCs w:val="22"/>
          <w:lang w:val="fr-FR"/>
        </w:rPr>
        <w:t xml:space="preserve"> sur la sensibilisation et l</w:t>
      </w:r>
      <w:r w:rsidR="008E532B">
        <w:rPr>
          <w:rFonts w:ascii="Arial" w:eastAsia="SimSun" w:hAnsi="Arial" w:cs="Arial"/>
          <w:sz w:val="22"/>
          <w:szCs w:val="22"/>
          <w:lang w:val="fr-FR"/>
        </w:rPr>
        <w:t>’</w:t>
      </w:r>
      <w:r w:rsidRPr="001A154A">
        <w:rPr>
          <w:rFonts w:ascii="Arial" w:eastAsia="SimSun" w:hAnsi="Arial" w:cs="Arial"/>
          <w:sz w:val="22"/>
          <w:szCs w:val="22"/>
          <w:lang w:val="fr-FR"/>
        </w:rPr>
        <w:t xml:space="preserve">engagement du public, ainsi que sur la documentation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1A154A">
        <w:rPr>
          <w:rFonts w:ascii="Arial" w:eastAsia="SimSun" w:hAnsi="Arial" w:cs="Arial"/>
          <w:sz w:val="22"/>
          <w:szCs w:val="22"/>
          <w:lang w:val="fr-FR"/>
        </w:rPr>
        <w:t xml:space="preserve">par les participants </w:t>
      </w:r>
      <w:r>
        <w:rPr>
          <w:rFonts w:ascii="Arial" w:eastAsia="SimSun" w:hAnsi="Arial" w:cs="Arial"/>
          <w:sz w:val="22"/>
          <w:szCs w:val="22"/>
          <w:lang w:val="fr-FR"/>
        </w:rPr>
        <w:t xml:space="preserve">aux </w:t>
      </w:r>
      <w:r w:rsidRPr="001A154A">
        <w:rPr>
          <w:rFonts w:ascii="Arial" w:eastAsia="SimSun" w:hAnsi="Arial" w:cs="Arial"/>
          <w:sz w:val="22"/>
          <w:szCs w:val="22"/>
          <w:lang w:val="fr-FR"/>
        </w:rPr>
        <w:t>cinq forums en ligne</w:t>
      </w:r>
      <w:r>
        <w:rPr>
          <w:rFonts w:ascii="Arial" w:eastAsia="SimSun" w:hAnsi="Arial" w:cs="Arial"/>
          <w:sz w:val="22"/>
          <w:szCs w:val="22"/>
          <w:lang w:val="fr-FR"/>
        </w:rPr>
        <w:t xml:space="preserve"> et par les personnes les ayant appelés</w:t>
      </w:r>
      <w:r w:rsidRPr="001A154A">
        <w:rPr>
          <w:rFonts w:ascii="Arial" w:eastAsia="SimSun" w:hAnsi="Arial" w:cs="Arial"/>
          <w:sz w:val="22"/>
          <w:szCs w:val="22"/>
          <w:lang w:val="fr-FR"/>
        </w:rPr>
        <w:t xml:space="preserve">. Chaque session en ligne abordait un domaine particulier, </w:t>
      </w:r>
      <w:r>
        <w:rPr>
          <w:rFonts w:ascii="Arial" w:eastAsia="SimSun" w:hAnsi="Arial" w:cs="Arial"/>
          <w:sz w:val="22"/>
          <w:szCs w:val="22"/>
          <w:lang w:val="fr-FR"/>
        </w:rPr>
        <w:t xml:space="preserve">en </w:t>
      </w:r>
      <w:r w:rsidRPr="001A154A">
        <w:rPr>
          <w:rFonts w:ascii="Arial" w:eastAsia="SimSun" w:hAnsi="Arial" w:cs="Arial"/>
          <w:sz w:val="22"/>
          <w:szCs w:val="22"/>
          <w:lang w:val="fr-FR"/>
        </w:rPr>
        <w:t>commençant par les arts du spectacle et se terminant par l</w:t>
      </w:r>
      <w:r w:rsidR="008E532B">
        <w:rPr>
          <w:rFonts w:ascii="Arial" w:eastAsia="SimSun" w:hAnsi="Arial" w:cs="Arial"/>
          <w:sz w:val="22"/>
          <w:szCs w:val="22"/>
          <w:lang w:val="fr-FR"/>
        </w:rPr>
        <w:t>’</w:t>
      </w:r>
      <w:r w:rsidRPr="001A154A">
        <w:rPr>
          <w:rFonts w:ascii="Arial" w:eastAsia="SimSun" w:hAnsi="Arial" w:cs="Arial"/>
          <w:sz w:val="22"/>
          <w:szCs w:val="22"/>
          <w:lang w:val="fr-FR"/>
        </w:rPr>
        <w:t>artisanat traditionnel. La Barbade a</w:t>
      </w:r>
      <w:r>
        <w:rPr>
          <w:rFonts w:ascii="Arial" w:eastAsia="SimSun" w:hAnsi="Arial" w:cs="Arial"/>
          <w:sz w:val="22"/>
          <w:szCs w:val="22"/>
          <w:lang w:val="fr-FR"/>
        </w:rPr>
        <w:t>vait</w:t>
      </w:r>
      <w:r w:rsidRPr="001A154A">
        <w:rPr>
          <w:rFonts w:ascii="Arial" w:eastAsia="SimSun" w:hAnsi="Arial" w:cs="Arial"/>
          <w:sz w:val="22"/>
          <w:szCs w:val="22"/>
          <w:lang w:val="fr-FR"/>
        </w:rPr>
        <w:t xml:space="preserve"> l</w:t>
      </w:r>
      <w:r w:rsidR="008E532B">
        <w:rPr>
          <w:rFonts w:ascii="Arial" w:eastAsia="SimSun" w:hAnsi="Arial" w:cs="Arial"/>
          <w:sz w:val="22"/>
          <w:szCs w:val="22"/>
          <w:lang w:val="fr-FR"/>
        </w:rPr>
        <w:t>’</w:t>
      </w:r>
      <w:r w:rsidRPr="001A154A">
        <w:rPr>
          <w:rFonts w:ascii="Arial" w:eastAsia="SimSun" w:hAnsi="Arial" w:cs="Arial"/>
          <w:sz w:val="22"/>
          <w:szCs w:val="22"/>
          <w:lang w:val="fr-FR"/>
        </w:rPr>
        <w:t>intention d</w:t>
      </w:r>
      <w:r w:rsidR="008E532B">
        <w:rPr>
          <w:rFonts w:ascii="Arial" w:eastAsia="SimSun" w:hAnsi="Arial" w:cs="Arial"/>
          <w:sz w:val="22"/>
          <w:szCs w:val="22"/>
          <w:lang w:val="fr-FR"/>
        </w:rPr>
        <w:t>’</w:t>
      </w:r>
      <w:r w:rsidRPr="001A154A">
        <w:rPr>
          <w:rFonts w:ascii="Arial" w:eastAsia="SimSun" w:hAnsi="Arial" w:cs="Arial"/>
          <w:sz w:val="22"/>
          <w:szCs w:val="22"/>
          <w:lang w:val="fr-FR"/>
        </w:rPr>
        <w:t>accélérer sa campagne de sensibilisation des jeunes par le biais d</w:t>
      </w:r>
      <w:r w:rsidR="008E532B">
        <w:rPr>
          <w:rFonts w:ascii="Arial" w:eastAsia="SimSun" w:hAnsi="Arial" w:cs="Arial"/>
          <w:sz w:val="22"/>
          <w:szCs w:val="22"/>
          <w:lang w:val="fr-FR"/>
        </w:rPr>
        <w:t>’</w:t>
      </w:r>
      <w:r w:rsidRPr="001A154A">
        <w:rPr>
          <w:rFonts w:ascii="Arial" w:eastAsia="SimSun" w:hAnsi="Arial" w:cs="Arial"/>
          <w:sz w:val="22"/>
          <w:szCs w:val="22"/>
          <w:lang w:val="fr-FR"/>
        </w:rPr>
        <w:t>un partenariat du ministère de l</w:t>
      </w:r>
      <w:r w:rsidR="008E532B">
        <w:rPr>
          <w:rFonts w:ascii="Arial" w:eastAsia="SimSun" w:hAnsi="Arial" w:cs="Arial"/>
          <w:sz w:val="22"/>
          <w:szCs w:val="22"/>
          <w:lang w:val="fr-FR"/>
        </w:rPr>
        <w:t>’</w:t>
      </w:r>
      <w:r w:rsidRPr="001A154A">
        <w:rPr>
          <w:rFonts w:ascii="Arial" w:eastAsia="SimSun" w:hAnsi="Arial" w:cs="Arial"/>
          <w:sz w:val="22"/>
          <w:szCs w:val="22"/>
          <w:lang w:val="fr-FR"/>
        </w:rPr>
        <w:t>Éducation avec des établissements d</w:t>
      </w:r>
      <w:r w:rsidR="008E532B">
        <w:rPr>
          <w:rFonts w:ascii="Arial" w:eastAsia="SimSun" w:hAnsi="Arial" w:cs="Arial"/>
          <w:sz w:val="22"/>
          <w:szCs w:val="22"/>
          <w:lang w:val="fr-FR"/>
        </w:rPr>
        <w:t>’</w:t>
      </w:r>
      <w:r w:rsidRPr="001A154A">
        <w:rPr>
          <w:rFonts w:ascii="Arial" w:eastAsia="SimSun" w:hAnsi="Arial" w:cs="Arial"/>
          <w:sz w:val="22"/>
          <w:szCs w:val="22"/>
          <w:lang w:val="fr-FR"/>
        </w:rPr>
        <w:t>enseignement supérieur</w:t>
      </w:r>
      <w:r>
        <w:rPr>
          <w:rFonts w:ascii="Arial" w:eastAsia="SimSun" w:hAnsi="Arial" w:cs="Arial"/>
          <w:sz w:val="22"/>
          <w:szCs w:val="22"/>
          <w:lang w:val="fr-FR"/>
        </w:rPr>
        <w:t xml:space="preserve"> ; </w:t>
      </w:r>
      <w:r w:rsidRPr="001A154A">
        <w:rPr>
          <w:rFonts w:ascii="Arial" w:eastAsia="SimSun" w:hAnsi="Arial" w:cs="Arial"/>
          <w:sz w:val="22"/>
          <w:szCs w:val="22"/>
          <w:lang w:val="fr-FR"/>
        </w:rPr>
        <w:t xml:space="preserve">les détails </w:t>
      </w:r>
      <w:r>
        <w:rPr>
          <w:rFonts w:ascii="Arial" w:eastAsia="SimSun" w:hAnsi="Arial" w:cs="Arial"/>
          <w:sz w:val="22"/>
          <w:szCs w:val="22"/>
          <w:lang w:val="fr-FR"/>
        </w:rPr>
        <w:t xml:space="preserve">de la campagne </w:t>
      </w:r>
      <w:r w:rsidRPr="001A154A">
        <w:rPr>
          <w:rFonts w:ascii="Arial" w:eastAsia="SimSun" w:hAnsi="Arial" w:cs="Arial"/>
          <w:sz w:val="22"/>
          <w:szCs w:val="22"/>
          <w:lang w:val="fr-FR"/>
        </w:rPr>
        <w:t>ser</w:t>
      </w:r>
      <w:r>
        <w:rPr>
          <w:rFonts w:ascii="Arial" w:eastAsia="SimSun" w:hAnsi="Arial" w:cs="Arial"/>
          <w:sz w:val="22"/>
          <w:szCs w:val="22"/>
          <w:lang w:val="fr-FR"/>
        </w:rPr>
        <w:t>aie</w:t>
      </w:r>
      <w:r w:rsidRPr="001A154A">
        <w:rPr>
          <w:rFonts w:ascii="Arial" w:eastAsia="SimSun" w:hAnsi="Arial" w:cs="Arial"/>
          <w:sz w:val="22"/>
          <w:szCs w:val="22"/>
          <w:lang w:val="fr-FR"/>
        </w:rPr>
        <w:t>nt partagés avec les p</w:t>
      </w:r>
      <w:r>
        <w:rPr>
          <w:rFonts w:ascii="Arial" w:eastAsia="SimSun" w:hAnsi="Arial" w:cs="Arial"/>
          <w:sz w:val="22"/>
          <w:szCs w:val="22"/>
          <w:lang w:val="fr-FR"/>
        </w:rPr>
        <w:t>rojets</w:t>
      </w:r>
      <w:r w:rsidRPr="001A154A">
        <w:rPr>
          <w:rFonts w:ascii="Arial" w:eastAsia="SimSun" w:hAnsi="Arial" w:cs="Arial"/>
          <w:sz w:val="22"/>
          <w:szCs w:val="22"/>
          <w:lang w:val="fr-FR"/>
        </w:rPr>
        <w:t xml:space="preserve"> de célébration du vingtième anniversaire de la Convention. La Barbade a remercié le </w:t>
      </w:r>
      <w:r>
        <w:rPr>
          <w:rFonts w:ascii="Arial" w:eastAsia="SimSun" w:hAnsi="Arial" w:cs="Arial"/>
          <w:sz w:val="22"/>
          <w:szCs w:val="22"/>
          <w:lang w:val="fr-FR"/>
        </w:rPr>
        <w:t>B</w:t>
      </w:r>
      <w:r w:rsidRPr="001A154A">
        <w:rPr>
          <w:rFonts w:ascii="Arial" w:eastAsia="SimSun" w:hAnsi="Arial" w:cs="Arial"/>
          <w:sz w:val="22"/>
          <w:szCs w:val="22"/>
          <w:lang w:val="fr-FR"/>
        </w:rPr>
        <w:t xml:space="preserve">ureau </w:t>
      </w:r>
      <w:proofErr w:type="spellStart"/>
      <w:r w:rsidRPr="001A154A">
        <w:rPr>
          <w:rFonts w:ascii="Arial" w:eastAsia="SimSun" w:hAnsi="Arial" w:cs="Arial"/>
          <w:sz w:val="22"/>
          <w:szCs w:val="22"/>
          <w:lang w:val="fr-FR"/>
        </w:rPr>
        <w:t>multipays</w:t>
      </w:r>
      <w:proofErr w:type="spellEnd"/>
      <w:r w:rsidRPr="001A154A">
        <w:rPr>
          <w:rFonts w:ascii="Arial" w:eastAsia="SimSun" w:hAnsi="Arial" w:cs="Arial"/>
          <w:sz w:val="22"/>
          <w:szCs w:val="22"/>
          <w:lang w:val="fr-FR"/>
        </w:rPr>
        <w:t xml:space="preserve"> de l</w:t>
      </w:r>
      <w:r w:rsidR="008E532B">
        <w:rPr>
          <w:rFonts w:ascii="Arial" w:eastAsia="SimSun" w:hAnsi="Arial" w:cs="Arial"/>
          <w:sz w:val="22"/>
          <w:szCs w:val="22"/>
          <w:lang w:val="fr-FR"/>
        </w:rPr>
        <w:t>’</w:t>
      </w:r>
      <w:r w:rsidRPr="001A154A">
        <w:rPr>
          <w:rFonts w:ascii="Arial" w:eastAsia="SimSun" w:hAnsi="Arial" w:cs="Arial"/>
          <w:sz w:val="22"/>
          <w:szCs w:val="22"/>
          <w:lang w:val="fr-FR"/>
        </w:rPr>
        <w:t xml:space="preserve">UNESCO pour son soutien au Comité national du patrimoine culturel immatériel. Elle a également </w:t>
      </w:r>
      <w:r>
        <w:rPr>
          <w:rFonts w:ascii="Arial" w:eastAsia="SimSun" w:hAnsi="Arial" w:cs="Arial"/>
          <w:sz w:val="22"/>
          <w:szCs w:val="22"/>
          <w:lang w:val="fr-FR"/>
        </w:rPr>
        <w:t>adressé</w:t>
      </w:r>
      <w:r w:rsidRPr="001A154A">
        <w:rPr>
          <w:rFonts w:ascii="Arial" w:eastAsia="SimSun" w:hAnsi="Arial" w:cs="Arial"/>
          <w:sz w:val="22"/>
          <w:szCs w:val="22"/>
          <w:lang w:val="fr-FR"/>
        </w:rPr>
        <w:t xml:space="preserve"> ses remerciements au Maroc et à la Jamaïque </w:t>
      </w:r>
      <w:r>
        <w:rPr>
          <w:rFonts w:ascii="Arial" w:eastAsia="SimSun" w:hAnsi="Arial" w:cs="Arial"/>
          <w:sz w:val="22"/>
          <w:szCs w:val="22"/>
          <w:lang w:val="fr-FR"/>
        </w:rPr>
        <w:t>d</w:t>
      </w:r>
      <w:r w:rsidR="008E532B">
        <w:rPr>
          <w:rFonts w:ascii="Arial" w:eastAsia="SimSun" w:hAnsi="Arial" w:cs="Arial"/>
          <w:sz w:val="22"/>
          <w:szCs w:val="22"/>
          <w:lang w:val="fr-FR"/>
        </w:rPr>
        <w:t>’</w:t>
      </w:r>
      <w:r w:rsidRPr="001A154A">
        <w:rPr>
          <w:rFonts w:ascii="Arial" w:eastAsia="SimSun" w:hAnsi="Arial" w:cs="Arial"/>
          <w:sz w:val="22"/>
          <w:szCs w:val="22"/>
          <w:lang w:val="fr-FR"/>
        </w:rPr>
        <w:t>avoir partagé des informations relatives à la préparation d</w:t>
      </w:r>
      <w:r w:rsidR="008E532B">
        <w:rPr>
          <w:rFonts w:ascii="Arial" w:eastAsia="SimSun" w:hAnsi="Arial" w:cs="Arial"/>
          <w:sz w:val="22"/>
          <w:szCs w:val="22"/>
          <w:lang w:val="fr-FR"/>
        </w:rPr>
        <w:t>’</w:t>
      </w:r>
      <w:r w:rsidRPr="001A154A">
        <w:rPr>
          <w:rFonts w:ascii="Arial" w:eastAsia="SimSun" w:hAnsi="Arial" w:cs="Arial"/>
          <w:sz w:val="22"/>
          <w:szCs w:val="22"/>
          <w:lang w:val="fr-FR"/>
        </w:rPr>
        <w:t>inventaires et de programmes de sensibilisation des communautés. La délégation a également exprimé sa gratitude au</w:t>
      </w:r>
      <w:r>
        <w:rPr>
          <w:rFonts w:ascii="Arial" w:eastAsia="SimSun" w:hAnsi="Arial" w:cs="Arial"/>
          <w:sz w:val="22"/>
          <w:szCs w:val="22"/>
          <w:lang w:val="fr-FR"/>
        </w:rPr>
        <w:t xml:space="preserve"> G</w:t>
      </w:r>
      <w:r w:rsidRPr="001A154A">
        <w:rPr>
          <w:rFonts w:ascii="Arial" w:eastAsia="SimSun" w:hAnsi="Arial" w:cs="Arial"/>
          <w:sz w:val="22"/>
          <w:szCs w:val="22"/>
          <w:lang w:val="fr-FR"/>
        </w:rPr>
        <w:t xml:space="preserve">ouvernement du Japon pour sa généreuse contribution au </w:t>
      </w:r>
      <w:r>
        <w:rPr>
          <w:rFonts w:ascii="Arial" w:eastAsia="SimSun" w:hAnsi="Arial" w:cs="Arial"/>
          <w:sz w:val="22"/>
          <w:szCs w:val="22"/>
          <w:lang w:val="fr-FR"/>
        </w:rPr>
        <w:t>g</w:t>
      </w:r>
      <w:r w:rsidRPr="001A154A">
        <w:rPr>
          <w:rFonts w:ascii="Arial" w:eastAsia="SimSun" w:hAnsi="Arial" w:cs="Arial"/>
          <w:sz w:val="22"/>
          <w:szCs w:val="22"/>
          <w:lang w:val="fr-FR"/>
        </w:rPr>
        <w:t>roupe de travail à composition non limitée</w:t>
      </w:r>
      <w:r w:rsidR="00F43511">
        <w:rPr>
          <w:rFonts w:ascii="Arial" w:eastAsia="SimSun" w:hAnsi="Arial" w:cs="Arial"/>
          <w:sz w:val="22"/>
          <w:szCs w:val="22"/>
          <w:lang w:val="fr-FR"/>
        </w:rPr>
        <w:t xml:space="preserve"> [sur les mécanismes d’inscription sur les listes de la Convention]</w:t>
      </w:r>
      <w:r w:rsidRPr="001A154A">
        <w:rPr>
          <w:rFonts w:ascii="Arial" w:eastAsia="SimSun" w:hAnsi="Arial" w:cs="Arial"/>
          <w:sz w:val="22"/>
          <w:szCs w:val="22"/>
          <w:lang w:val="fr-FR"/>
        </w:rPr>
        <w:t>. La Barbade poursuivra</w:t>
      </w:r>
      <w:r>
        <w:rPr>
          <w:rFonts w:ascii="Arial" w:eastAsia="SimSun" w:hAnsi="Arial" w:cs="Arial"/>
          <w:sz w:val="22"/>
          <w:szCs w:val="22"/>
          <w:lang w:val="fr-FR"/>
        </w:rPr>
        <w:t>it</w:t>
      </w:r>
      <w:r w:rsidRPr="001A154A">
        <w:rPr>
          <w:rFonts w:ascii="Arial" w:eastAsia="SimSun" w:hAnsi="Arial" w:cs="Arial"/>
          <w:sz w:val="22"/>
          <w:szCs w:val="22"/>
          <w:lang w:val="fr-FR"/>
        </w:rPr>
        <w:t xml:space="preserve"> son engagement en faveur des partenariats afin de promouvoir les buts et objectifs de la Convention.</w:t>
      </w:r>
    </w:p>
    <w:p w14:paraId="5842F548" w14:textId="777847E0" w:rsidR="00D9653F" w:rsidRPr="002D07F6"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2D07F6">
        <w:rPr>
          <w:rFonts w:ascii="Arial" w:eastAsia="SimSun" w:hAnsi="Arial" w:cs="Arial"/>
          <w:sz w:val="22"/>
          <w:szCs w:val="22"/>
          <w:lang w:val="fr-FR"/>
        </w:rPr>
        <w:t>La délégation de l</w:t>
      </w:r>
      <w:r w:rsidR="008E532B">
        <w:rPr>
          <w:rFonts w:ascii="Arial" w:eastAsia="SimSun" w:hAnsi="Arial" w:cs="Arial"/>
          <w:sz w:val="22"/>
          <w:szCs w:val="22"/>
          <w:lang w:val="fr-FR"/>
        </w:rPr>
        <w:t>’</w:t>
      </w:r>
      <w:r w:rsidRPr="002D07F6">
        <w:rPr>
          <w:rFonts w:ascii="Arial" w:eastAsia="SimSun" w:hAnsi="Arial" w:cs="Arial"/>
          <w:b/>
          <w:bCs/>
          <w:sz w:val="22"/>
          <w:szCs w:val="22"/>
          <w:lang w:val="fr-FR"/>
        </w:rPr>
        <w:t>Éthiopie</w:t>
      </w:r>
      <w:r w:rsidRPr="002D07F6">
        <w:rPr>
          <w:rFonts w:ascii="Arial" w:eastAsia="SimSun" w:hAnsi="Arial" w:cs="Arial"/>
          <w:sz w:val="22"/>
          <w:szCs w:val="22"/>
          <w:lang w:val="fr-FR"/>
        </w:rPr>
        <w:t xml:space="preserve"> a félicité la Présidente et remercié les membres sortants du Comité, en particulier le </w:t>
      </w:r>
      <w:r>
        <w:rPr>
          <w:rFonts w:ascii="Arial" w:eastAsia="SimSun" w:hAnsi="Arial" w:cs="Arial"/>
          <w:sz w:val="22"/>
          <w:szCs w:val="22"/>
          <w:lang w:val="fr-FR"/>
        </w:rPr>
        <w:t>g</w:t>
      </w:r>
      <w:r w:rsidRPr="002D07F6">
        <w:rPr>
          <w:rFonts w:ascii="Arial" w:eastAsia="SimSun" w:hAnsi="Arial" w:cs="Arial"/>
          <w:sz w:val="22"/>
          <w:szCs w:val="22"/>
          <w:lang w:val="fr-FR"/>
        </w:rPr>
        <w:t xml:space="preserve">roupe </w:t>
      </w:r>
      <w:r>
        <w:rPr>
          <w:rFonts w:ascii="Arial" w:eastAsia="SimSun" w:hAnsi="Arial" w:cs="Arial"/>
          <w:sz w:val="22"/>
          <w:szCs w:val="22"/>
          <w:lang w:val="fr-FR"/>
        </w:rPr>
        <w:t>A</w:t>
      </w:r>
      <w:r w:rsidRPr="002D07F6">
        <w:rPr>
          <w:rFonts w:ascii="Arial" w:eastAsia="SimSun" w:hAnsi="Arial" w:cs="Arial"/>
          <w:sz w:val="22"/>
          <w:szCs w:val="22"/>
          <w:lang w:val="fr-FR"/>
        </w:rPr>
        <w:t>fri</w:t>
      </w:r>
      <w:r>
        <w:rPr>
          <w:rFonts w:ascii="Arial" w:eastAsia="SimSun" w:hAnsi="Arial" w:cs="Arial"/>
          <w:sz w:val="22"/>
          <w:szCs w:val="22"/>
          <w:lang w:val="fr-FR"/>
        </w:rPr>
        <w:t>que</w:t>
      </w:r>
      <w:r w:rsidRPr="002D07F6">
        <w:rPr>
          <w:rFonts w:ascii="Arial" w:eastAsia="SimSun" w:hAnsi="Arial" w:cs="Arial"/>
          <w:sz w:val="22"/>
          <w:szCs w:val="22"/>
          <w:lang w:val="fr-FR"/>
        </w:rPr>
        <w:t>. Elle a également félicité l</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Angola et la Somalie </w:t>
      </w:r>
      <w:r>
        <w:rPr>
          <w:rFonts w:ascii="Arial" w:eastAsia="SimSun" w:hAnsi="Arial" w:cs="Arial"/>
          <w:sz w:val="22"/>
          <w:szCs w:val="22"/>
          <w:lang w:val="fr-FR"/>
        </w:rPr>
        <w:t>d</w:t>
      </w:r>
      <w:r w:rsidR="008E532B">
        <w:rPr>
          <w:rFonts w:ascii="Arial" w:eastAsia="SimSun" w:hAnsi="Arial" w:cs="Arial"/>
          <w:sz w:val="22"/>
          <w:szCs w:val="22"/>
          <w:lang w:val="fr-FR"/>
        </w:rPr>
        <w:t>’</w:t>
      </w:r>
      <w:r>
        <w:rPr>
          <w:rFonts w:ascii="Arial" w:eastAsia="SimSun" w:hAnsi="Arial" w:cs="Arial"/>
          <w:sz w:val="22"/>
          <w:szCs w:val="22"/>
          <w:lang w:val="fr-FR"/>
        </w:rPr>
        <w:t>avoir rejoint la</w:t>
      </w:r>
      <w:r w:rsidRPr="002D07F6">
        <w:rPr>
          <w:rFonts w:ascii="Arial" w:eastAsia="SimSun" w:hAnsi="Arial" w:cs="Arial"/>
          <w:sz w:val="22"/>
          <w:szCs w:val="22"/>
          <w:lang w:val="fr-FR"/>
        </w:rPr>
        <w:t xml:space="preserve"> Convention, et a remercié la Jamaïque et le Sri Lanka pour l</w:t>
      </w:r>
      <w:r w:rsidR="008E532B">
        <w:rPr>
          <w:rFonts w:ascii="Arial" w:eastAsia="SimSun" w:hAnsi="Arial" w:cs="Arial"/>
          <w:sz w:val="22"/>
          <w:szCs w:val="22"/>
          <w:lang w:val="fr-FR"/>
        </w:rPr>
        <w:t>’</w:t>
      </w:r>
      <w:r w:rsidRPr="002D07F6">
        <w:rPr>
          <w:rFonts w:ascii="Arial" w:eastAsia="SimSun" w:hAnsi="Arial" w:cs="Arial"/>
          <w:sz w:val="22"/>
          <w:szCs w:val="22"/>
          <w:lang w:val="fr-FR"/>
        </w:rPr>
        <w:t>excellent travail qu</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ils </w:t>
      </w:r>
      <w:r>
        <w:rPr>
          <w:rFonts w:ascii="Arial" w:eastAsia="SimSun" w:hAnsi="Arial" w:cs="Arial"/>
          <w:sz w:val="22"/>
          <w:szCs w:val="22"/>
          <w:lang w:val="fr-FR"/>
        </w:rPr>
        <w:t>avaient</w:t>
      </w:r>
      <w:r w:rsidRPr="002D07F6">
        <w:rPr>
          <w:rFonts w:ascii="Arial" w:eastAsia="SimSun" w:hAnsi="Arial" w:cs="Arial"/>
          <w:sz w:val="22"/>
          <w:szCs w:val="22"/>
          <w:lang w:val="fr-FR"/>
        </w:rPr>
        <w:t xml:space="preserve"> accompli en dirigeant leurs sessions respectives du Comité, en particulier la Jamaïque avec la devise </w:t>
      </w:r>
      <w:r>
        <w:rPr>
          <w:rFonts w:ascii="Arial" w:eastAsia="SimSun" w:hAnsi="Arial" w:cs="Arial"/>
          <w:sz w:val="22"/>
          <w:szCs w:val="22"/>
          <w:lang w:val="fr-FR"/>
        </w:rPr>
        <w:t>« o</w:t>
      </w:r>
      <w:r w:rsidRPr="002D07F6">
        <w:rPr>
          <w:rFonts w:ascii="Arial" w:eastAsia="SimSun" w:hAnsi="Arial" w:cs="Arial"/>
          <w:sz w:val="22"/>
          <w:szCs w:val="22"/>
          <w:lang w:val="fr-FR"/>
        </w:rPr>
        <w:t>ne love</w:t>
      </w:r>
      <w:r>
        <w:rPr>
          <w:rFonts w:ascii="Arial" w:eastAsia="SimSun" w:hAnsi="Arial" w:cs="Arial"/>
          <w:sz w:val="22"/>
          <w:szCs w:val="22"/>
          <w:lang w:val="fr-FR"/>
        </w:rPr>
        <w:t> », symbole d</w:t>
      </w:r>
      <w:r w:rsidRPr="002D07F6">
        <w:rPr>
          <w:rFonts w:ascii="Arial" w:eastAsia="SimSun" w:hAnsi="Arial" w:cs="Arial"/>
          <w:sz w:val="22"/>
          <w:szCs w:val="22"/>
          <w:lang w:val="fr-FR"/>
        </w:rPr>
        <w:t xml:space="preserve">es objectifs et </w:t>
      </w:r>
      <w:r>
        <w:rPr>
          <w:rFonts w:ascii="Arial" w:eastAsia="SimSun" w:hAnsi="Arial" w:cs="Arial"/>
          <w:sz w:val="22"/>
          <w:szCs w:val="22"/>
          <w:lang w:val="fr-FR"/>
        </w:rPr>
        <w:t>d</w:t>
      </w:r>
      <w:r w:rsidRPr="002D07F6">
        <w:rPr>
          <w:rFonts w:ascii="Arial" w:eastAsia="SimSun" w:hAnsi="Arial" w:cs="Arial"/>
          <w:sz w:val="22"/>
          <w:szCs w:val="22"/>
          <w:lang w:val="fr-FR"/>
        </w:rPr>
        <w:t xml:space="preserve">es aspirations de cette Convention. La délégation </w:t>
      </w:r>
      <w:r>
        <w:rPr>
          <w:rFonts w:ascii="Arial" w:eastAsia="SimSun" w:hAnsi="Arial" w:cs="Arial"/>
          <w:sz w:val="22"/>
          <w:szCs w:val="22"/>
          <w:lang w:val="fr-FR"/>
        </w:rPr>
        <w:t xml:space="preserve">appréciait </w:t>
      </w:r>
      <w:r w:rsidRPr="002D07F6">
        <w:rPr>
          <w:rFonts w:ascii="Arial" w:eastAsia="SimSun" w:hAnsi="Arial" w:cs="Arial"/>
          <w:sz w:val="22"/>
          <w:szCs w:val="22"/>
          <w:lang w:val="fr-FR"/>
        </w:rPr>
        <w:t xml:space="preserve">également </w:t>
      </w:r>
      <w:r>
        <w:rPr>
          <w:rFonts w:ascii="Arial" w:eastAsia="SimSun" w:hAnsi="Arial" w:cs="Arial"/>
          <w:sz w:val="22"/>
          <w:szCs w:val="22"/>
          <w:lang w:val="fr-FR"/>
        </w:rPr>
        <w:t xml:space="preserve">vivement </w:t>
      </w:r>
      <w:r w:rsidRPr="002D07F6">
        <w:rPr>
          <w:rFonts w:ascii="Arial" w:eastAsia="SimSun" w:hAnsi="Arial" w:cs="Arial"/>
          <w:sz w:val="22"/>
          <w:szCs w:val="22"/>
          <w:lang w:val="fr-FR"/>
        </w:rPr>
        <w:t xml:space="preserve">le travail </w:t>
      </w:r>
      <w:r>
        <w:rPr>
          <w:rFonts w:ascii="Arial" w:eastAsia="SimSun" w:hAnsi="Arial" w:cs="Arial"/>
          <w:sz w:val="22"/>
          <w:szCs w:val="22"/>
          <w:lang w:val="fr-FR"/>
        </w:rPr>
        <w:t xml:space="preserve">réalisé par le </w:t>
      </w:r>
      <w:r w:rsidRPr="002D07F6">
        <w:rPr>
          <w:rFonts w:ascii="Arial" w:eastAsia="SimSun" w:hAnsi="Arial" w:cs="Arial"/>
          <w:sz w:val="22"/>
          <w:szCs w:val="22"/>
          <w:lang w:val="fr-FR"/>
        </w:rPr>
        <w:t>Secrétariat au cours des deux dernières années de la pandémie, qui</w:t>
      </w:r>
      <w:r>
        <w:rPr>
          <w:rFonts w:ascii="Arial" w:eastAsia="SimSun" w:hAnsi="Arial" w:cs="Arial"/>
          <w:sz w:val="22"/>
          <w:szCs w:val="22"/>
          <w:lang w:val="fr-FR"/>
        </w:rPr>
        <w:t xml:space="preserve"> démontrait</w:t>
      </w:r>
      <w:r w:rsidRPr="002D07F6">
        <w:rPr>
          <w:rFonts w:ascii="Arial" w:eastAsia="SimSun" w:hAnsi="Arial" w:cs="Arial"/>
          <w:sz w:val="22"/>
          <w:szCs w:val="22"/>
          <w:lang w:val="fr-FR"/>
        </w:rPr>
        <w:t xml:space="preserve"> sa passion et son dévouement pour la Convention et la préservation et la transmission du </w:t>
      </w:r>
      <w:r w:rsidR="00E908E2">
        <w:rPr>
          <w:rFonts w:ascii="Arial" w:eastAsia="SimSun" w:hAnsi="Arial" w:cs="Arial"/>
          <w:bCs/>
          <w:sz w:val="22"/>
          <w:szCs w:val="22"/>
          <w:lang w:val="fr-FR" w:eastAsia="en-US"/>
        </w:rPr>
        <w:t>patrimoine culturel immatériel</w:t>
      </w:r>
      <w:r w:rsidRPr="002D07F6">
        <w:rPr>
          <w:rFonts w:ascii="Arial" w:eastAsia="SimSun" w:hAnsi="Arial" w:cs="Arial"/>
          <w:sz w:val="22"/>
          <w:szCs w:val="22"/>
          <w:lang w:val="fr-FR"/>
        </w:rPr>
        <w:t>. Toutefois, la délégation s</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est inquiétée du fait que de nombreux dossiers de candidature rejetés </w:t>
      </w:r>
      <w:r>
        <w:rPr>
          <w:rFonts w:ascii="Arial" w:eastAsia="SimSun" w:hAnsi="Arial" w:cs="Arial"/>
          <w:sz w:val="22"/>
          <w:szCs w:val="22"/>
          <w:lang w:val="fr-FR"/>
        </w:rPr>
        <w:t xml:space="preserve">au cours </w:t>
      </w:r>
      <w:r w:rsidRPr="002D07F6">
        <w:rPr>
          <w:rFonts w:ascii="Arial" w:eastAsia="SimSun" w:hAnsi="Arial" w:cs="Arial"/>
          <w:sz w:val="22"/>
          <w:szCs w:val="22"/>
          <w:lang w:val="fr-FR"/>
        </w:rPr>
        <w:t>des deux dernières réunions [du Comité] provenaient d</w:t>
      </w:r>
      <w:r w:rsidR="008E532B">
        <w:rPr>
          <w:rFonts w:ascii="Arial" w:eastAsia="SimSun" w:hAnsi="Arial" w:cs="Arial"/>
          <w:sz w:val="22"/>
          <w:szCs w:val="22"/>
          <w:lang w:val="fr-FR"/>
        </w:rPr>
        <w:t>’</w:t>
      </w:r>
      <w:r w:rsidRPr="002D07F6">
        <w:rPr>
          <w:rFonts w:ascii="Arial" w:eastAsia="SimSun" w:hAnsi="Arial" w:cs="Arial"/>
          <w:sz w:val="22"/>
          <w:szCs w:val="22"/>
          <w:lang w:val="fr-FR"/>
        </w:rPr>
        <w:t>Afrique. Bien qu</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ils aient été rejetés pour des raisons techniques, cela </w:t>
      </w:r>
      <w:r>
        <w:rPr>
          <w:rFonts w:ascii="Arial" w:eastAsia="SimSun" w:hAnsi="Arial" w:cs="Arial"/>
          <w:sz w:val="22"/>
          <w:szCs w:val="22"/>
          <w:lang w:val="fr-FR"/>
        </w:rPr>
        <w:t xml:space="preserve">mettait </w:t>
      </w:r>
      <w:r w:rsidRPr="002D07F6">
        <w:rPr>
          <w:rFonts w:ascii="Arial" w:eastAsia="SimSun" w:hAnsi="Arial" w:cs="Arial"/>
          <w:sz w:val="22"/>
          <w:szCs w:val="22"/>
          <w:lang w:val="fr-FR"/>
        </w:rPr>
        <w:t>néanmoins</w:t>
      </w:r>
      <w:r>
        <w:rPr>
          <w:rFonts w:ascii="Arial" w:eastAsia="SimSun" w:hAnsi="Arial" w:cs="Arial"/>
          <w:sz w:val="22"/>
          <w:szCs w:val="22"/>
          <w:lang w:val="fr-FR"/>
        </w:rPr>
        <w:t xml:space="preserve"> </w:t>
      </w:r>
      <w:r w:rsidRPr="002D07F6">
        <w:rPr>
          <w:rFonts w:ascii="Arial" w:eastAsia="SimSun" w:hAnsi="Arial" w:cs="Arial"/>
          <w:sz w:val="22"/>
          <w:szCs w:val="22"/>
          <w:lang w:val="fr-FR"/>
        </w:rPr>
        <w:t>en évidence la nécessité d</w:t>
      </w:r>
      <w:r w:rsidR="008E532B">
        <w:rPr>
          <w:rFonts w:ascii="Arial" w:eastAsia="SimSun" w:hAnsi="Arial" w:cs="Arial"/>
          <w:sz w:val="22"/>
          <w:szCs w:val="22"/>
          <w:lang w:val="fr-FR"/>
        </w:rPr>
        <w:t>’</w:t>
      </w:r>
      <w:r w:rsidRPr="002D07F6">
        <w:rPr>
          <w:rFonts w:ascii="Arial" w:eastAsia="SimSun" w:hAnsi="Arial" w:cs="Arial"/>
          <w:sz w:val="22"/>
          <w:szCs w:val="22"/>
          <w:lang w:val="fr-FR"/>
        </w:rPr>
        <w:t>une synergie entre l</w:t>
      </w:r>
      <w:r>
        <w:rPr>
          <w:rFonts w:ascii="Arial" w:eastAsia="SimSun" w:hAnsi="Arial" w:cs="Arial"/>
          <w:sz w:val="22"/>
          <w:szCs w:val="22"/>
          <w:lang w:val="fr-FR"/>
        </w:rPr>
        <w:t>a p</w:t>
      </w:r>
      <w:r w:rsidRPr="002D07F6">
        <w:rPr>
          <w:rFonts w:ascii="Arial" w:eastAsia="SimSun" w:hAnsi="Arial" w:cs="Arial"/>
          <w:sz w:val="22"/>
          <w:szCs w:val="22"/>
          <w:lang w:val="fr-FR"/>
        </w:rPr>
        <w:t>riorité Afrique de l</w:t>
      </w:r>
      <w:r w:rsidR="008E532B">
        <w:rPr>
          <w:rFonts w:ascii="Arial" w:eastAsia="SimSun" w:hAnsi="Arial" w:cs="Arial"/>
          <w:sz w:val="22"/>
          <w:szCs w:val="22"/>
          <w:lang w:val="fr-FR"/>
        </w:rPr>
        <w:t>’</w:t>
      </w:r>
      <w:r w:rsidRPr="002D07F6">
        <w:rPr>
          <w:rFonts w:ascii="Arial" w:eastAsia="SimSun" w:hAnsi="Arial" w:cs="Arial"/>
          <w:sz w:val="22"/>
          <w:szCs w:val="22"/>
          <w:lang w:val="fr-FR"/>
        </w:rPr>
        <w:t>UNESCO et les objectifs de la Convention</w:t>
      </w:r>
      <w:r>
        <w:rPr>
          <w:rFonts w:ascii="Arial" w:eastAsia="SimSun" w:hAnsi="Arial" w:cs="Arial"/>
          <w:sz w:val="22"/>
          <w:szCs w:val="22"/>
          <w:lang w:val="fr-FR"/>
        </w:rPr>
        <w:t xml:space="preserve">. Celle-ci </w:t>
      </w:r>
      <w:r w:rsidRPr="002D07F6">
        <w:rPr>
          <w:rFonts w:ascii="Arial" w:eastAsia="SimSun" w:hAnsi="Arial" w:cs="Arial"/>
          <w:sz w:val="22"/>
          <w:szCs w:val="22"/>
          <w:lang w:val="fr-FR"/>
        </w:rPr>
        <w:t>d</w:t>
      </w:r>
      <w:r>
        <w:rPr>
          <w:rFonts w:ascii="Arial" w:eastAsia="SimSun" w:hAnsi="Arial" w:cs="Arial"/>
          <w:sz w:val="22"/>
          <w:szCs w:val="22"/>
          <w:lang w:val="fr-FR"/>
        </w:rPr>
        <w:t>evait</w:t>
      </w:r>
      <w:r w:rsidRPr="002D07F6">
        <w:rPr>
          <w:rFonts w:ascii="Arial" w:eastAsia="SimSun" w:hAnsi="Arial" w:cs="Arial"/>
          <w:sz w:val="22"/>
          <w:szCs w:val="22"/>
          <w:lang w:val="fr-FR"/>
        </w:rPr>
        <w:t xml:space="preserve"> être véritablement représentati</w:t>
      </w:r>
      <w:r>
        <w:rPr>
          <w:rFonts w:ascii="Arial" w:eastAsia="SimSun" w:hAnsi="Arial" w:cs="Arial"/>
          <w:sz w:val="22"/>
          <w:szCs w:val="22"/>
          <w:lang w:val="fr-FR"/>
        </w:rPr>
        <w:t>ve</w:t>
      </w:r>
      <w:r w:rsidRPr="002D07F6">
        <w:rPr>
          <w:rFonts w:ascii="Arial" w:eastAsia="SimSun" w:hAnsi="Arial" w:cs="Arial"/>
          <w:sz w:val="22"/>
          <w:szCs w:val="22"/>
          <w:lang w:val="fr-FR"/>
        </w:rPr>
        <w:t xml:space="preserve"> de toutes les régions, en particulier de l</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Afrique. Le but de la Convention </w:t>
      </w:r>
      <w:r>
        <w:rPr>
          <w:rFonts w:ascii="Arial" w:eastAsia="SimSun" w:hAnsi="Arial" w:cs="Arial"/>
          <w:sz w:val="22"/>
          <w:szCs w:val="22"/>
          <w:lang w:val="fr-FR"/>
        </w:rPr>
        <w:t>était</w:t>
      </w:r>
      <w:r w:rsidRPr="002D07F6">
        <w:rPr>
          <w:rFonts w:ascii="Arial" w:eastAsia="SimSun" w:hAnsi="Arial" w:cs="Arial"/>
          <w:sz w:val="22"/>
          <w:szCs w:val="22"/>
          <w:lang w:val="fr-FR"/>
        </w:rPr>
        <w:t xml:space="preserve"> bien sûr de préserver le patrimoine de toute l</w:t>
      </w:r>
      <w:r w:rsidR="008E532B">
        <w:rPr>
          <w:rFonts w:ascii="Arial" w:eastAsia="SimSun" w:hAnsi="Arial" w:cs="Arial"/>
          <w:sz w:val="22"/>
          <w:szCs w:val="22"/>
          <w:lang w:val="fr-FR"/>
        </w:rPr>
        <w:t>’</w:t>
      </w:r>
      <w:r w:rsidRPr="002D07F6">
        <w:rPr>
          <w:rFonts w:ascii="Arial" w:eastAsia="SimSun" w:hAnsi="Arial" w:cs="Arial"/>
          <w:sz w:val="22"/>
          <w:szCs w:val="22"/>
          <w:lang w:val="fr-FR"/>
        </w:rPr>
        <w:t>humanité</w:t>
      </w:r>
      <w:r>
        <w:rPr>
          <w:rFonts w:ascii="Arial" w:eastAsia="SimSun" w:hAnsi="Arial" w:cs="Arial"/>
          <w:sz w:val="22"/>
          <w:szCs w:val="22"/>
          <w:lang w:val="fr-FR"/>
        </w:rPr>
        <w:t> ;</w:t>
      </w:r>
      <w:r w:rsidRPr="002D07F6">
        <w:rPr>
          <w:rFonts w:ascii="Arial" w:eastAsia="SimSun" w:hAnsi="Arial" w:cs="Arial"/>
          <w:sz w:val="22"/>
          <w:szCs w:val="22"/>
          <w:lang w:val="fr-FR"/>
        </w:rPr>
        <w:t xml:space="preserve"> la préservation et la transmission du patrimoine créant une plus grande compréhension entre les pays et les peuples</w:t>
      </w:r>
      <w:r>
        <w:rPr>
          <w:rFonts w:ascii="Arial" w:eastAsia="SimSun" w:hAnsi="Arial" w:cs="Arial"/>
          <w:sz w:val="22"/>
          <w:szCs w:val="22"/>
          <w:lang w:val="fr-FR"/>
        </w:rPr>
        <w:t>,</w:t>
      </w:r>
      <w:r w:rsidRPr="002D07F6">
        <w:rPr>
          <w:rFonts w:ascii="Arial" w:eastAsia="SimSun" w:hAnsi="Arial" w:cs="Arial"/>
          <w:sz w:val="22"/>
          <w:szCs w:val="22"/>
          <w:lang w:val="fr-FR"/>
        </w:rPr>
        <w:t xml:space="preserve"> construisant ainsi la paix dans l</w:t>
      </w:r>
      <w:r w:rsidR="008E532B">
        <w:rPr>
          <w:rFonts w:ascii="Arial" w:eastAsia="SimSun" w:hAnsi="Arial" w:cs="Arial"/>
          <w:sz w:val="22"/>
          <w:szCs w:val="22"/>
          <w:lang w:val="fr-FR"/>
        </w:rPr>
        <w:t>’</w:t>
      </w:r>
      <w:r w:rsidRPr="002D07F6">
        <w:rPr>
          <w:rFonts w:ascii="Arial" w:eastAsia="SimSun" w:hAnsi="Arial" w:cs="Arial"/>
          <w:sz w:val="22"/>
          <w:szCs w:val="22"/>
          <w:lang w:val="fr-FR"/>
        </w:rPr>
        <w:t>esprit et le cœur de l</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humanité. La délégation a donc demandé au Secrétariat et aux États parties de </w:t>
      </w:r>
      <w:r>
        <w:rPr>
          <w:rFonts w:ascii="Arial" w:eastAsia="SimSun" w:hAnsi="Arial" w:cs="Arial"/>
          <w:sz w:val="22"/>
          <w:szCs w:val="22"/>
          <w:lang w:val="fr-FR"/>
        </w:rPr>
        <w:t>mettre l</w:t>
      </w:r>
      <w:r w:rsidR="008E532B">
        <w:rPr>
          <w:rFonts w:ascii="Arial" w:eastAsia="SimSun" w:hAnsi="Arial" w:cs="Arial"/>
          <w:sz w:val="22"/>
          <w:szCs w:val="22"/>
          <w:lang w:val="fr-FR"/>
        </w:rPr>
        <w:t>’</w:t>
      </w:r>
      <w:r>
        <w:rPr>
          <w:rFonts w:ascii="Arial" w:eastAsia="SimSun" w:hAnsi="Arial" w:cs="Arial"/>
          <w:sz w:val="22"/>
          <w:szCs w:val="22"/>
          <w:lang w:val="fr-FR"/>
        </w:rPr>
        <w:t xml:space="preserve">accent </w:t>
      </w:r>
      <w:r w:rsidRPr="002D07F6">
        <w:rPr>
          <w:rFonts w:ascii="Arial" w:eastAsia="SimSun" w:hAnsi="Arial" w:cs="Arial"/>
          <w:sz w:val="22"/>
          <w:szCs w:val="22"/>
          <w:lang w:val="fr-FR"/>
        </w:rPr>
        <w:t xml:space="preserve">sur le renforcement des capacités, en travaillant avec les États membres </w:t>
      </w:r>
      <w:r>
        <w:rPr>
          <w:rFonts w:ascii="Arial" w:eastAsia="SimSun" w:hAnsi="Arial" w:cs="Arial"/>
          <w:sz w:val="22"/>
          <w:szCs w:val="22"/>
          <w:lang w:val="fr-FR"/>
        </w:rPr>
        <w:t xml:space="preserve">afin de </w:t>
      </w:r>
      <w:r w:rsidRPr="002D07F6">
        <w:rPr>
          <w:rFonts w:ascii="Arial" w:eastAsia="SimSun" w:hAnsi="Arial" w:cs="Arial"/>
          <w:sz w:val="22"/>
          <w:szCs w:val="22"/>
          <w:lang w:val="fr-FR"/>
        </w:rPr>
        <w:t>permettre l</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inscription de tous les </w:t>
      </w:r>
      <w:r w:rsidR="00E908E2">
        <w:rPr>
          <w:rFonts w:ascii="Arial" w:eastAsia="SimSun" w:hAnsi="Arial" w:cs="Arial"/>
          <w:bCs/>
          <w:sz w:val="22"/>
          <w:szCs w:val="22"/>
          <w:lang w:val="fr-FR" w:eastAsia="en-US"/>
        </w:rPr>
        <w:t>patrimoines culturels immatériels</w:t>
      </w:r>
      <w:r w:rsidRPr="002D07F6">
        <w:rPr>
          <w:rFonts w:ascii="Arial" w:eastAsia="SimSun" w:hAnsi="Arial" w:cs="Arial"/>
          <w:sz w:val="22"/>
          <w:szCs w:val="22"/>
          <w:lang w:val="fr-FR"/>
        </w:rPr>
        <w:t xml:space="preserve">. Dans cette optique, la délégation </w:t>
      </w:r>
      <w:r>
        <w:rPr>
          <w:rFonts w:ascii="Arial" w:eastAsia="SimSun" w:hAnsi="Arial" w:cs="Arial"/>
          <w:sz w:val="22"/>
          <w:szCs w:val="22"/>
          <w:lang w:val="fr-FR"/>
        </w:rPr>
        <w:t xml:space="preserve">soutenait </w:t>
      </w:r>
      <w:r w:rsidRPr="002D07F6">
        <w:rPr>
          <w:rFonts w:ascii="Arial" w:eastAsia="SimSun" w:hAnsi="Arial" w:cs="Arial"/>
          <w:sz w:val="22"/>
          <w:szCs w:val="22"/>
          <w:lang w:val="fr-FR"/>
        </w:rPr>
        <w:t>pleinement l</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approche adoptée pour sauvegarder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2D07F6">
        <w:rPr>
          <w:rFonts w:ascii="Arial" w:eastAsia="SimSun" w:hAnsi="Arial" w:cs="Arial"/>
          <w:sz w:val="22"/>
          <w:szCs w:val="22"/>
          <w:lang w:val="fr-FR"/>
        </w:rPr>
        <w:t>en danger, qui nécessit</w:t>
      </w:r>
      <w:r>
        <w:rPr>
          <w:rFonts w:ascii="Arial" w:eastAsia="SimSun" w:hAnsi="Arial" w:cs="Arial"/>
          <w:sz w:val="22"/>
          <w:szCs w:val="22"/>
          <w:lang w:val="fr-FR"/>
        </w:rPr>
        <w:t>ait</w:t>
      </w:r>
      <w:r w:rsidRPr="002D07F6">
        <w:rPr>
          <w:rFonts w:ascii="Arial" w:eastAsia="SimSun" w:hAnsi="Arial" w:cs="Arial"/>
          <w:sz w:val="22"/>
          <w:szCs w:val="22"/>
          <w:lang w:val="fr-FR"/>
        </w:rPr>
        <w:t xml:space="preserve"> des mesures exceptionnelles. À ce</w:t>
      </w:r>
      <w:r>
        <w:rPr>
          <w:rFonts w:ascii="Arial" w:eastAsia="SimSun" w:hAnsi="Arial" w:cs="Arial"/>
          <w:sz w:val="22"/>
          <w:szCs w:val="22"/>
          <w:lang w:val="fr-FR"/>
        </w:rPr>
        <w:t xml:space="preserve"> sujet</w:t>
      </w:r>
      <w:r w:rsidRPr="002D07F6">
        <w:rPr>
          <w:rFonts w:ascii="Arial" w:eastAsia="SimSun" w:hAnsi="Arial" w:cs="Arial"/>
          <w:sz w:val="22"/>
          <w:szCs w:val="22"/>
          <w:lang w:val="fr-FR"/>
        </w:rPr>
        <w:t xml:space="preserve">, elle </w:t>
      </w:r>
      <w:r>
        <w:rPr>
          <w:rFonts w:ascii="Arial" w:eastAsia="SimSun" w:hAnsi="Arial" w:cs="Arial"/>
          <w:sz w:val="22"/>
          <w:szCs w:val="22"/>
          <w:lang w:val="fr-FR"/>
        </w:rPr>
        <w:t>a accordé son soutien</w:t>
      </w:r>
      <w:r w:rsidRPr="002D07F6">
        <w:rPr>
          <w:rFonts w:ascii="Arial" w:eastAsia="SimSun" w:hAnsi="Arial" w:cs="Arial"/>
          <w:sz w:val="22"/>
          <w:szCs w:val="22"/>
          <w:lang w:val="fr-FR"/>
        </w:rPr>
        <w:t xml:space="preserve"> </w:t>
      </w:r>
      <w:r>
        <w:rPr>
          <w:rFonts w:ascii="Arial" w:eastAsia="SimSun" w:hAnsi="Arial" w:cs="Arial"/>
          <w:sz w:val="22"/>
          <w:szCs w:val="22"/>
          <w:lang w:val="fr-FR"/>
        </w:rPr>
        <w:t>résolu</w:t>
      </w:r>
      <w:r w:rsidRPr="002D07F6">
        <w:rPr>
          <w:rFonts w:ascii="Arial" w:eastAsia="SimSun" w:hAnsi="Arial" w:cs="Arial"/>
          <w:sz w:val="22"/>
          <w:szCs w:val="22"/>
          <w:lang w:val="fr-FR"/>
        </w:rPr>
        <w:t xml:space="preserve"> </w:t>
      </w:r>
      <w:r>
        <w:rPr>
          <w:rFonts w:ascii="Arial" w:eastAsia="SimSun" w:hAnsi="Arial" w:cs="Arial"/>
          <w:sz w:val="22"/>
          <w:szCs w:val="22"/>
          <w:lang w:val="fr-FR"/>
        </w:rPr>
        <w:t xml:space="preserve">à </w:t>
      </w:r>
      <w:r w:rsidRPr="002D07F6">
        <w:rPr>
          <w:rFonts w:ascii="Arial" w:eastAsia="SimSun" w:hAnsi="Arial" w:cs="Arial"/>
          <w:sz w:val="22"/>
          <w:szCs w:val="22"/>
          <w:lang w:val="fr-FR"/>
        </w:rPr>
        <w:t>l</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inscription de la soupe </w:t>
      </w:r>
      <w:r>
        <w:rPr>
          <w:rFonts w:ascii="Arial" w:eastAsia="SimSun" w:hAnsi="Arial" w:cs="Arial"/>
          <w:sz w:val="22"/>
          <w:szCs w:val="22"/>
          <w:lang w:val="fr-FR"/>
        </w:rPr>
        <w:t>au giraumon</w:t>
      </w:r>
      <w:r w:rsidRPr="002D07F6">
        <w:rPr>
          <w:rFonts w:ascii="Arial" w:eastAsia="SimSun" w:hAnsi="Arial" w:cs="Arial"/>
          <w:sz w:val="22"/>
          <w:szCs w:val="22"/>
          <w:lang w:val="fr-FR"/>
        </w:rPr>
        <w:t xml:space="preserve"> soumise par Haïti. Haïti occup</w:t>
      </w:r>
      <w:r>
        <w:rPr>
          <w:rFonts w:ascii="Arial" w:eastAsia="SimSun" w:hAnsi="Arial" w:cs="Arial"/>
          <w:sz w:val="22"/>
          <w:szCs w:val="22"/>
          <w:lang w:val="fr-FR"/>
        </w:rPr>
        <w:t>ait</w:t>
      </w:r>
      <w:r w:rsidRPr="002D07F6">
        <w:rPr>
          <w:rFonts w:ascii="Arial" w:eastAsia="SimSun" w:hAnsi="Arial" w:cs="Arial"/>
          <w:sz w:val="22"/>
          <w:szCs w:val="22"/>
          <w:lang w:val="fr-FR"/>
        </w:rPr>
        <w:t xml:space="preserve"> une place </w:t>
      </w:r>
      <w:r>
        <w:rPr>
          <w:rFonts w:ascii="Arial" w:eastAsia="SimSun" w:hAnsi="Arial" w:cs="Arial"/>
          <w:sz w:val="22"/>
          <w:szCs w:val="22"/>
          <w:lang w:val="fr-FR"/>
        </w:rPr>
        <w:t xml:space="preserve">très particulière </w:t>
      </w:r>
      <w:r w:rsidRPr="002D07F6">
        <w:rPr>
          <w:rFonts w:ascii="Arial" w:eastAsia="SimSun" w:hAnsi="Arial" w:cs="Arial"/>
          <w:sz w:val="22"/>
          <w:szCs w:val="22"/>
          <w:lang w:val="fr-FR"/>
        </w:rPr>
        <w:t>dans le cœur des Africains, un morceau d</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Afrique </w:t>
      </w:r>
      <w:r>
        <w:rPr>
          <w:rFonts w:ascii="Arial" w:eastAsia="SimSun" w:hAnsi="Arial" w:cs="Arial"/>
          <w:sz w:val="22"/>
          <w:szCs w:val="22"/>
          <w:lang w:val="fr-FR"/>
        </w:rPr>
        <w:t>aux</w:t>
      </w:r>
      <w:r w:rsidRPr="002D07F6">
        <w:rPr>
          <w:rFonts w:ascii="Arial" w:eastAsia="SimSun" w:hAnsi="Arial" w:cs="Arial"/>
          <w:sz w:val="22"/>
          <w:szCs w:val="22"/>
          <w:lang w:val="fr-FR"/>
        </w:rPr>
        <w:t xml:space="preserve"> Amériques. La soupe </w:t>
      </w:r>
      <w:r>
        <w:rPr>
          <w:rFonts w:ascii="Arial" w:eastAsia="SimSun" w:hAnsi="Arial" w:cs="Arial"/>
          <w:sz w:val="22"/>
          <w:szCs w:val="22"/>
          <w:lang w:val="fr-FR"/>
        </w:rPr>
        <w:t>au giraumon</w:t>
      </w:r>
      <w:r w:rsidRPr="002D07F6">
        <w:rPr>
          <w:rFonts w:ascii="Arial" w:eastAsia="SimSun" w:hAnsi="Arial" w:cs="Arial"/>
          <w:sz w:val="22"/>
          <w:szCs w:val="22"/>
          <w:lang w:val="fr-FR"/>
        </w:rPr>
        <w:t xml:space="preserve"> symbolis</w:t>
      </w:r>
      <w:r>
        <w:rPr>
          <w:rFonts w:ascii="Arial" w:eastAsia="SimSun" w:hAnsi="Arial" w:cs="Arial"/>
          <w:sz w:val="22"/>
          <w:szCs w:val="22"/>
          <w:lang w:val="fr-FR"/>
        </w:rPr>
        <w:t>ait</w:t>
      </w:r>
      <w:r w:rsidRPr="002D07F6">
        <w:rPr>
          <w:rFonts w:ascii="Arial" w:eastAsia="SimSun" w:hAnsi="Arial" w:cs="Arial"/>
          <w:sz w:val="22"/>
          <w:szCs w:val="22"/>
          <w:lang w:val="fr-FR"/>
        </w:rPr>
        <w:t xml:space="preserve"> le combat d</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Haïti pour la liberté et la dignité de son peuple, non seulement pour le peuple haïtien mais pour tous les Africains. La délégation </w:t>
      </w:r>
      <w:r>
        <w:rPr>
          <w:rFonts w:ascii="Arial" w:eastAsia="SimSun" w:hAnsi="Arial" w:cs="Arial"/>
          <w:sz w:val="22"/>
          <w:szCs w:val="22"/>
          <w:lang w:val="fr-FR"/>
        </w:rPr>
        <w:t xml:space="preserve">a estimé </w:t>
      </w:r>
      <w:r w:rsidRPr="002D07F6">
        <w:rPr>
          <w:rFonts w:ascii="Arial" w:eastAsia="SimSun" w:hAnsi="Arial" w:cs="Arial"/>
          <w:sz w:val="22"/>
          <w:szCs w:val="22"/>
          <w:lang w:val="fr-FR"/>
        </w:rPr>
        <w:t xml:space="preserve">que la préservation et la transmission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2D07F6">
        <w:rPr>
          <w:rFonts w:ascii="Arial" w:eastAsia="SimSun" w:hAnsi="Arial" w:cs="Arial"/>
          <w:sz w:val="22"/>
          <w:szCs w:val="22"/>
          <w:lang w:val="fr-FR"/>
        </w:rPr>
        <w:t>f</w:t>
      </w:r>
      <w:r>
        <w:rPr>
          <w:rFonts w:ascii="Arial" w:eastAsia="SimSun" w:hAnsi="Arial" w:cs="Arial"/>
          <w:sz w:val="22"/>
          <w:szCs w:val="22"/>
          <w:lang w:val="fr-FR"/>
        </w:rPr>
        <w:t>ont</w:t>
      </w:r>
      <w:r w:rsidRPr="002D07F6">
        <w:rPr>
          <w:rFonts w:ascii="Arial" w:eastAsia="SimSun" w:hAnsi="Arial" w:cs="Arial"/>
          <w:sz w:val="22"/>
          <w:szCs w:val="22"/>
          <w:lang w:val="fr-FR"/>
        </w:rPr>
        <w:t xml:space="preserve"> partie intégrante des politiques globales de développement. L</w:t>
      </w:r>
      <w:r w:rsidR="008E532B">
        <w:rPr>
          <w:rFonts w:ascii="Arial" w:eastAsia="SimSun" w:hAnsi="Arial" w:cs="Arial"/>
          <w:sz w:val="22"/>
          <w:szCs w:val="22"/>
          <w:lang w:val="fr-FR"/>
        </w:rPr>
        <w:t>’</w:t>
      </w:r>
      <w:r w:rsidRPr="002D07F6">
        <w:rPr>
          <w:rFonts w:ascii="Arial" w:eastAsia="SimSun" w:hAnsi="Arial" w:cs="Arial"/>
          <w:sz w:val="22"/>
          <w:szCs w:val="22"/>
          <w:lang w:val="fr-FR"/>
        </w:rPr>
        <w:t>Éthiopie avait inscrit et inventorié 95</w:t>
      </w:r>
      <w:r>
        <w:rPr>
          <w:rFonts w:ascii="Arial" w:eastAsia="SimSun" w:hAnsi="Arial" w:cs="Arial"/>
          <w:sz w:val="22"/>
          <w:szCs w:val="22"/>
          <w:lang w:val="fr-FR"/>
        </w:rPr>
        <w:t xml:space="preserve"> % </w:t>
      </w:r>
      <w:r w:rsidRPr="002D07F6">
        <w:rPr>
          <w:rFonts w:ascii="Arial" w:eastAsia="SimSun" w:hAnsi="Arial" w:cs="Arial"/>
          <w:sz w:val="22"/>
          <w:szCs w:val="22"/>
          <w:lang w:val="fr-FR"/>
        </w:rPr>
        <w:t xml:space="preserve">de son </w:t>
      </w:r>
      <w:r w:rsidR="00E908E2">
        <w:rPr>
          <w:rFonts w:ascii="Arial" w:eastAsia="SimSun" w:hAnsi="Arial" w:cs="Arial"/>
          <w:bCs/>
          <w:sz w:val="22"/>
          <w:szCs w:val="22"/>
          <w:lang w:val="fr-FR" w:eastAsia="en-US"/>
        </w:rPr>
        <w:t>patrimoine culturel immatériel</w:t>
      </w:r>
      <w:r w:rsidRPr="002D07F6">
        <w:rPr>
          <w:rFonts w:ascii="Arial" w:eastAsia="SimSun" w:hAnsi="Arial" w:cs="Arial"/>
          <w:sz w:val="22"/>
          <w:szCs w:val="22"/>
          <w:lang w:val="fr-FR"/>
        </w:rPr>
        <w:t xml:space="preserve">. Quatre </w:t>
      </w:r>
      <w:r>
        <w:rPr>
          <w:rFonts w:ascii="Arial" w:eastAsia="SimSun" w:hAnsi="Arial" w:cs="Arial"/>
          <w:sz w:val="22"/>
          <w:szCs w:val="22"/>
          <w:lang w:val="fr-FR"/>
        </w:rPr>
        <w:t xml:space="preserve">éléments </w:t>
      </w:r>
      <w:r w:rsidRPr="002D07F6">
        <w:rPr>
          <w:rFonts w:ascii="Arial" w:eastAsia="SimSun" w:hAnsi="Arial" w:cs="Arial"/>
          <w:sz w:val="22"/>
          <w:szCs w:val="22"/>
          <w:lang w:val="fr-FR"/>
        </w:rPr>
        <w:t xml:space="preserve">avaient été inscrits au niveau mondial et elle </w:t>
      </w:r>
      <w:r>
        <w:rPr>
          <w:rFonts w:ascii="Arial" w:eastAsia="SimSun" w:hAnsi="Arial" w:cs="Arial"/>
          <w:sz w:val="22"/>
          <w:szCs w:val="22"/>
          <w:lang w:val="fr-FR"/>
        </w:rPr>
        <w:t xml:space="preserve">œuvrait </w:t>
      </w:r>
      <w:r w:rsidRPr="002D07F6">
        <w:rPr>
          <w:rFonts w:ascii="Arial" w:eastAsia="SimSun" w:hAnsi="Arial" w:cs="Arial"/>
          <w:sz w:val="22"/>
          <w:szCs w:val="22"/>
          <w:lang w:val="fr-FR"/>
        </w:rPr>
        <w:t>à en inscrire beaucoup d</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autres. La délégation </w:t>
      </w:r>
      <w:r>
        <w:rPr>
          <w:rFonts w:ascii="Arial" w:eastAsia="SimSun" w:hAnsi="Arial" w:cs="Arial"/>
          <w:sz w:val="22"/>
          <w:szCs w:val="22"/>
          <w:lang w:val="fr-FR"/>
        </w:rPr>
        <w:t>s</w:t>
      </w:r>
      <w:r w:rsidR="008E532B">
        <w:rPr>
          <w:rFonts w:ascii="Arial" w:eastAsia="SimSun" w:hAnsi="Arial" w:cs="Arial"/>
          <w:sz w:val="22"/>
          <w:szCs w:val="22"/>
          <w:lang w:val="fr-FR"/>
        </w:rPr>
        <w:t>’</w:t>
      </w:r>
      <w:r>
        <w:rPr>
          <w:rFonts w:ascii="Arial" w:eastAsia="SimSun" w:hAnsi="Arial" w:cs="Arial"/>
          <w:sz w:val="22"/>
          <w:szCs w:val="22"/>
          <w:lang w:val="fr-FR"/>
        </w:rPr>
        <w:t xml:space="preserve">est réjouie </w:t>
      </w:r>
      <w:r w:rsidRPr="002D07F6">
        <w:rPr>
          <w:rFonts w:ascii="Arial" w:eastAsia="SimSun" w:hAnsi="Arial" w:cs="Arial"/>
          <w:sz w:val="22"/>
          <w:szCs w:val="22"/>
          <w:lang w:val="fr-FR"/>
        </w:rPr>
        <w:t>d</w:t>
      </w:r>
      <w:r>
        <w:rPr>
          <w:rFonts w:ascii="Arial" w:eastAsia="SimSun" w:hAnsi="Arial" w:cs="Arial"/>
          <w:sz w:val="22"/>
          <w:szCs w:val="22"/>
          <w:lang w:val="fr-FR"/>
        </w:rPr>
        <w:t>e bénéficier</w:t>
      </w:r>
      <w:r w:rsidRPr="002D07F6">
        <w:rPr>
          <w:rFonts w:ascii="Arial" w:eastAsia="SimSun" w:hAnsi="Arial" w:cs="Arial"/>
          <w:sz w:val="22"/>
          <w:szCs w:val="22"/>
          <w:lang w:val="fr-FR"/>
        </w:rPr>
        <w:t xml:space="preserve"> </w:t>
      </w:r>
      <w:r>
        <w:rPr>
          <w:rFonts w:ascii="Arial" w:eastAsia="SimSun" w:hAnsi="Arial" w:cs="Arial"/>
          <w:sz w:val="22"/>
          <w:szCs w:val="22"/>
          <w:lang w:val="fr-FR"/>
        </w:rPr>
        <w:t>d</w:t>
      </w:r>
      <w:r w:rsidR="008E532B">
        <w:rPr>
          <w:rFonts w:ascii="Arial" w:eastAsia="SimSun" w:hAnsi="Arial" w:cs="Arial"/>
          <w:sz w:val="22"/>
          <w:szCs w:val="22"/>
          <w:lang w:val="fr-FR"/>
        </w:rPr>
        <w:t>’</w:t>
      </w:r>
      <w:r w:rsidRPr="002D07F6">
        <w:rPr>
          <w:rFonts w:ascii="Arial" w:eastAsia="SimSun" w:hAnsi="Arial" w:cs="Arial"/>
          <w:sz w:val="22"/>
          <w:szCs w:val="22"/>
          <w:lang w:val="fr-FR"/>
        </w:rPr>
        <w:t>un soutien dans le domaine technique, en collaboration avec le Secrétariat, pour les pays d</w:t>
      </w:r>
      <w:r w:rsidR="008E532B">
        <w:rPr>
          <w:rFonts w:ascii="Arial" w:eastAsia="SimSun" w:hAnsi="Arial" w:cs="Arial"/>
          <w:sz w:val="22"/>
          <w:szCs w:val="22"/>
          <w:lang w:val="fr-FR"/>
        </w:rPr>
        <w:t>’</w:t>
      </w:r>
      <w:r w:rsidRPr="002D07F6">
        <w:rPr>
          <w:rFonts w:ascii="Arial" w:eastAsia="SimSun" w:hAnsi="Arial" w:cs="Arial"/>
          <w:sz w:val="22"/>
          <w:szCs w:val="22"/>
          <w:lang w:val="fr-FR"/>
        </w:rPr>
        <w:t xml:space="preserve">Afrique. </w:t>
      </w:r>
      <w:r>
        <w:rPr>
          <w:rFonts w:ascii="Arial" w:eastAsia="SimSun" w:hAnsi="Arial" w:cs="Arial"/>
          <w:sz w:val="22"/>
          <w:szCs w:val="22"/>
          <w:lang w:val="fr-FR"/>
        </w:rPr>
        <w:t xml:space="preserve">Étant </w:t>
      </w:r>
      <w:r w:rsidRPr="0016369E">
        <w:rPr>
          <w:rFonts w:ascii="Arial" w:eastAsia="SimSun" w:hAnsi="Arial" w:cs="Arial"/>
          <w:sz w:val="22"/>
          <w:szCs w:val="22"/>
          <w:lang w:val="fr-FR"/>
        </w:rPr>
        <w:t>candidat</w:t>
      </w:r>
      <w:r>
        <w:rPr>
          <w:rFonts w:ascii="Arial" w:eastAsia="SimSun" w:hAnsi="Arial" w:cs="Arial"/>
          <w:sz w:val="22"/>
          <w:szCs w:val="22"/>
          <w:lang w:val="fr-FR"/>
        </w:rPr>
        <w:t>e, e</w:t>
      </w:r>
      <w:r w:rsidRPr="002D07F6">
        <w:rPr>
          <w:rFonts w:ascii="Arial" w:eastAsia="SimSun" w:hAnsi="Arial" w:cs="Arial"/>
          <w:sz w:val="22"/>
          <w:szCs w:val="22"/>
          <w:lang w:val="fr-FR"/>
        </w:rPr>
        <w:t>lle serait bien sûr honorée d</w:t>
      </w:r>
      <w:r w:rsidR="008E532B">
        <w:rPr>
          <w:rFonts w:ascii="Arial" w:eastAsia="SimSun" w:hAnsi="Arial" w:cs="Arial"/>
          <w:sz w:val="22"/>
          <w:szCs w:val="22"/>
          <w:lang w:val="fr-FR"/>
        </w:rPr>
        <w:t>’</w:t>
      </w:r>
      <w:r w:rsidRPr="002D07F6">
        <w:rPr>
          <w:rFonts w:ascii="Arial" w:eastAsia="SimSun" w:hAnsi="Arial" w:cs="Arial"/>
          <w:sz w:val="22"/>
          <w:szCs w:val="22"/>
          <w:lang w:val="fr-FR"/>
        </w:rPr>
        <w:t>être élue</w:t>
      </w:r>
      <w:r>
        <w:rPr>
          <w:rFonts w:ascii="Arial" w:eastAsia="SimSun" w:hAnsi="Arial" w:cs="Arial"/>
          <w:sz w:val="22"/>
          <w:szCs w:val="22"/>
          <w:lang w:val="fr-FR"/>
        </w:rPr>
        <w:t xml:space="preserve"> </w:t>
      </w:r>
      <w:r w:rsidRPr="002D07F6">
        <w:rPr>
          <w:rFonts w:ascii="Arial" w:eastAsia="SimSun" w:hAnsi="Arial" w:cs="Arial"/>
          <w:sz w:val="22"/>
          <w:szCs w:val="22"/>
          <w:lang w:val="fr-FR"/>
        </w:rPr>
        <w:t xml:space="preserve">au Comité </w:t>
      </w:r>
      <w:r>
        <w:rPr>
          <w:rFonts w:ascii="Arial" w:eastAsia="SimSun" w:hAnsi="Arial" w:cs="Arial"/>
          <w:sz w:val="22"/>
          <w:szCs w:val="22"/>
          <w:lang w:val="fr-FR"/>
        </w:rPr>
        <w:t xml:space="preserve">pour le </w:t>
      </w:r>
      <w:r w:rsidRPr="002D07F6">
        <w:rPr>
          <w:rFonts w:ascii="Arial" w:eastAsia="SimSun" w:hAnsi="Arial" w:cs="Arial"/>
          <w:sz w:val="22"/>
          <w:szCs w:val="22"/>
          <w:lang w:val="fr-FR"/>
        </w:rPr>
        <w:t>Groupe V(a)</w:t>
      </w:r>
      <w:r>
        <w:rPr>
          <w:rFonts w:ascii="Arial" w:eastAsia="SimSun" w:hAnsi="Arial" w:cs="Arial"/>
          <w:sz w:val="22"/>
          <w:szCs w:val="22"/>
          <w:lang w:val="fr-FR"/>
        </w:rPr>
        <w:t xml:space="preserve">, afin de </w:t>
      </w:r>
      <w:r w:rsidRPr="002D07F6">
        <w:rPr>
          <w:rFonts w:ascii="Arial" w:eastAsia="SimSun" w:hAnsi="Arial" w:cs="Arial"/>
          <w:sz w:val="22"/>
          <w:szCs w:val="22"/>
          <w:lang w:val="fr-FR"/>
        </w:rPr>
        <w:t>représenter l</w:t>
      </w:r>
      <w:r w:rsidR="008E532B">
        <w:rPr>
          <w:rFonts w:ascii="Arial" w:eastAsia="SimSun" w:hAnsi="Arial" w:cs="Arial"/>
          <w:sz w:val="22"/>
          <w:szCs w:val="22"/>
          <w:lang w:val="fr-FR"/>
        </w:rPr>
        <w:t>’</w:t>
      </w:r>
      <w:r w:rsidRPr="002D07F6">
        <w:rPr>
          <w:rFonts w:ascii="Arial" w:eastAsia="SimSun" w:hAnsi="Arial" w:cs="Arial"/>
          <w:sz w:val="22"/>
          <w:szCs w:val="22"/>
          <w:lang w:val="fr-FR"/>
        </w:rPr>
        <w:t>Afrique.</w:t>
      </w:r>
    </w:p>
    <w:p w14:paraId="1BC8A5D2" w14:textId="19776F01" w:rsidR="00D9653F" w:rsidRPr="00644972"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644972">
        <w:rPr>
          <w:rFonts w:ascii="Arial" w:eastAsia="SimSun" w:hAnsi="Arial" w:cs="Arial"/>
          <w:sz w:val="22"/>
          <w:szCs w:val="22"/>
          <w:lang w:val="fr-FR"/>
        </w:rPr>
        <w:t xml:space="preserve">La délégation du </w:t>
      </w:r>
      <w:r w:rsidRPr="00644972">
        <w:rPr>
          <w:rFonts w:ascii="Arial" w:eastAsia="SimSun" w:hAnsi="Arial" w:cs="Arial"/>
          <w:b/>
          <w:bCs/>
          <w:sz w:val="22"/>
          <w:szCs w:val="22"/>
          <w:lang w:val="fr-FR"/>
        </w:rPr>
        <w:t>Cameroun</w:t>
      </w:r>
      <w:r w:rsidRPr="00644972">
        <w:rPr>
          <w:rFonts w:ascii="Arial" w:eastAsia="SimSun" w:hAnsi="Arial" w:cs="Arial"/>
          <w:sz w:val="22"/>
          <w:szCs w:val="22"/>
          <w:lang w:val="fr-FR"/>
        </w:rPr>
        <w:t xml:space="preserve"> a remercié le Sous-Directeur général pour le travail effectué dans le cadre de la mise en œuvre de la Convention. Au nom du Gouvernement, la délégation a félicité la Présidente pour son élection et a réaffirmé l</w:t>
      </w:r>
      <w:r w:rsidR="008E532B">
        <w:rPr>
          <w:rFonts w:ascii="Arial" w:eastAsia="SimSun" w:hAnsi="Arial" w:cs="Arial"/>
          <w:sz w:val="22"/>
          <w:szCs w:val="22"/>
          <w:lang w:val="fr-FR"/>
        </w:rPr>
        <w:t>’</w:t>
      </w:r>
      <w:r w:rsidRPr="00644972">
        <w:rPr>
          <w:rFonts w:ascii="Arial" w:eastAsia="SimSun" w:hAnsi="Arial" w:cs="Arial"/>
          <w:sz w:val="22"/>
          <w:szCs w:val="22"/>
          <w:lang w:val="fr-FR"/>
        </w:rPr>
        <w:t xml:space="preserve">intérêt exprimé par </w:t>
      </w:r>
      <w:r w:rsidR="008D65C3">
        <w:rPr>
          <w:rFonts w:ascii="Arial" w:eastAsia="SimSun" w:hAnsi="Arial" w:cs="Arial"/>
          <w:sz w:val="22"/>
          <w:szCs w:val="22"/>
          <w:lang w:val="fr-FR"/>
        </w:rPr>
        <w:t xml:space="preserve">S.Exc. </w:t>
      </w:r>
      <w:r>
        <w:rPr>
          <w:rFonts w:ascii="Arial" w:eastAsia="SimSun" w:hAnsi="Arial" w:cs="Arial"/>
          <w:sz w:val="22"/>
          <w:szCs w:val="22"/>
          <w:lang w:val="fr-FR"/>
        </w:rPr>
        <w:t>M. </w:t>
      </w:r>
      <w:r w:rsidRPr="00644972">
        <w:rPr>
          <w:rFonts w:ascii="Arial" w:eastAsia="SimSun" w:hAnsi="Arial" w:cs="Arial"/>
          <w:sz w:val="22"/>
          <w:szCs w:val="22"/>
          <w:lang w:val="fr-FR"/>
        </w:rPr>
        <w:t xml:space="preserve">Paul Biya, </w:t>
      </w:r>
      <w:r>
        <w:rPr>
          <w:rFonts w:ascii="Arial" w:eastAsia="SimSun" w:hAnsi="Arial" w:cs="Arial"/>
          <w:sz w:val="22"/>
          <w:szCs w:val="22"/>
          <w:lang w:val="fr-FR"/>
        </w:rPr>
        <w:t>P</w:t>
      </w:r>
      <w:r w:rsidRPr="00644972">
        <w:rPr>
          <w:rFonts w:ascii="Arial" w:eastAsia="SimSun" w:hAnsi="Arial" w:cs="Arial"/>
          <w:sz w:val="22"/>
          <w:szCs w:val="22"/>
          <w:lang w:val="fr-FR"/>
        </w:rPr>
        <w:t xml:space="preserve">résident de la République du Cameroun, pour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644972">
        <w:rPr>
          <w:rFonts w:ascii="Arial" w:eastAsia="SimSun" w:hAnsi="Arial" w:cs="Arial"/>
          <w:sz w:val="22"/>
          <w:szCs w:val="22"/>
          <w:lang w:val="fr-FR"/>
        </w:rPr>
        <w:t>de l</w:t>
      </w:r>
      <w:r w:rsidR="008E532B">
        <w:rPr>
          <w:rFonts w:ascii="Arial" w:eastAsia="SimSun" w:hAnsi="Arial" w:cs="Arial"/>
          <w:sz w:val="22"/>
          <w:szCs w:val="22"/>
          <w:lang w:val="fr-FR"/>
        </w:rPr>
        <w:t>’</w:t>
      </w:r>
      <w:r w:rsidRPr="00644972">
        <w:rPr>
          <w:rFonts w:ascii="Arial" w:eastAsia="SimSun" w:hAnsi="Arial" w:cs="Arial"/>
          <w:sz w:val="22"/>
          <w:szCs w:val="22"/>
          <w:lang w:val="fr-FR"/>
        </w:rPr>
        <w:t>humanité, qui définit la culture comme le ciment qui unifie le pays. C</w:t>
      </w:r>
      <w:r w:rsidR="008E532B">
        <w:rPr>
          <w:rFonts w:ascii="Arial" w:eastAsia="SimSun" w:hAnsi="Arial" w:cs="Arial"/>
          <w:sz w:val="22"/>
          <w:szCs w:val="22"/>
          <w:lang w:val="fr-FR"/>
        </w:rPr>
        <w:t>’</w:t>
      </w:r>
      <w:r w:rsidRPr="00644972">
        <w:rPr>
          <w:rFonts w:ascii="Arial" w:eastAsia="SimSun" w:hAnsi="Arial" w:cs="Arial"/>
          <w:sz w:val="22"/>
          <w:szCs w:val="22"/>
          <w:lang w:val="fr-FR"/>
        </w:rPr>
        <w:t>est par cette volonté et cette foi en la coopération, outil universel de rapprochement des hommes et des peuples, que le Cameroun a</w:t>
      </w:r>
      <w:r>
        <w:rPr>
          <w:rFonts w:ascii="Arial" w:eastAsia="SimSun" w:hAnsi="Arial" w:cs="Arial"/>
          <w:sz w:val="22"/>
          <w:szCs w:val="22"/>
          <w:lang w:val="fr-FR"/>
        </w:rPr>
        <w:t>vait</w:t>
      </w:r>
      <w:r w:rsidRPr="00644972">
        <w:rPr>
          <w:rFonts w:ascii="Arial" w:eastAsia="SimSun" w:hAnsi="Arial" w:cs="Arial"/>
          <w:sz w:val="22"/>
          <w:szCs w:val="22"/>
          <w:lang w:val="fr-FR"/>
        </w:rPr>
        <w:t xml:space="preserve"> ratifié la Convention le 9</w:t>
      </w:r>
      <w:r>
        <w:rPr>
          <w:rFonts w:ascii="Arial" w:eastAsia="SimSun" w:hAnsi="Arial" w:cs="Arial"/>
          <w:sz w:val="22"/>
          <w:szCs w:val="22"/>
          <w:lang w:val="fr-FR"/>
        </w:rPr>
        <w:t> </w:t>
      </w:r>
      <w:r w:rsidRPr="00644972">
        <w:rPr>
          <w:rFonts w:ascii="Arial" w:eastAsia="SimSun" w:hAnsi="Arial" w:cs="Arial"/>
          <w:sz w:val="22"/>
          <w:szCs w:val="22"/>
          <w:lang w:val="fr-FR"/>
        </w:rPr>
        <w:t>octobre</w:t>
      </w:r>
      <w:r>
        <w:rPr>
          <w:rFonts w:ascii="Arial" w:eastAsia="SimSun" w:hAnsi="Arial" w:cs="Arial"/>
          <w:sz w:val="22"/>
          <w:szCs w:val="22"/>
          <w:lang w:val="fr-FR"/>
        </w:rPr>
        <w:t> </w:t>
      </w:r>
      <w:r w:rsidRPr="00644972">
        <w:rPr>
          <w:rFonts w:ascii="Arial" w:eastAsia="SimSun" w:hAnsi="Arial" w:cs="Arial"/>
          <w:sz w:val="22"/>
          <w:szCs w:val="22"/>
          <w:lang w:val="fr-FR"/>
        </w:rPr>
        <w:t xml:space="preserve">2012.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Pr>
          <w:rFonts w:ascii="Arial" w:eastAsia="SimSun" w:hAnsi="Arial" w:cs="Arial"/>
          <w:sz w:val="22"/>
          <w:szCs w:val="22"/>
          <w:lang w:val="fr-FR"/>
        </w:rPr>
        <w:t>était</w:t>
      </w:r>
      <w:r w:rsidRPr="00644972">
        <w:rPr>
          <w:rFonts w:ascii="Arial" w:eastAsia="SimSun" w:hAnsi="Arial" w:cs="Arial"/>
          <w:sz w:val="22"/>
          <w:szCs w:val="22"/>
          <w:lang w:val="fr-FR"/>
        </w:rPr>
        <w:t xml:space="preserve"> un maillon essentiel de la vision du Cameroun dans sa Stratégie nationale de développement et de transformation structurelle à l</w:t>
      </w:r>
      <w:r w:rsidR="008E532B">
        <w:rPr>
          <w:rFonts w:ascii="Arial" w:eastAsia="SimSun" w:hAnsi="Arial" w:cs="Arial"/>
          <w:sz w:val="22"/>
          <w:szCs w:val="22"/>
          <w:lang w:val="fr-FR"/>
        </w:rPr>
        <w:t>’</w:t>
      </w:r>
      <w:r w:rsidRPr="00644972">
        <w:rPr>
          <w:rFonts w:ascii="Arial" w:eastAsia="SimSun" w:hAnsi="Arial" w:cs="Arial"/>
          <w:sz w:val="22"/>
          <w:szCs w:val="22"/>
          <w:lang w:val="fr-FR"/>
        </w:rPr>
        <w:t>horizon 2030</w:t>
      </w:r>
      <w:r>
        <w:rPr>
          <w:rFonts w:ascii="Arial" w:eastAsia="SimSun" w:hAnsi="Arial" w:cs="Arial"/>
          <w:sz w:val="22"/>
          <w:szCs w:val="22"/>
          <w:lang w:val="fr-FR"/>
        </w:rPr>
        <w:t>,</w:t>
      </w:r>
      <w:r w:rsidRPr="00644972">
        <w:rPr>
          <w:rFonts w:ascii="Arial" w:eastAsia="SimSun" w:hAnsi="Arial" w:cs="Arial"/>
          <w:sz w:val="22"/>
          <w:szCs w:val="22"/>
          <w:lang w:val="fr-FR"/>
        </w:rPr>
        <w:t xml:space="preserve"> au regard des objectifs de l</w:t>
      </w:r>
      <w:r w:rsidR="008E532B">
        <w:rPr>
          <w:rFonts w:ascii="Arial" w:eastAsia="SimSun" w:hAnsi="Arial" w:cs="Arial"/>
          <w:sz w:val="22"/>
          <w:szCs w:val="22"/>
          <w:lang w:val="fr-FR"/>
        </w:rPr>
        <w:t>’</w:t>
      </w:r>
      <w:r w:rsidRPr="00644972">
        <w:rPr>
          <w:rFonts w:ascii="Arial" w:eastAsia="SimSun" w:hAnsi="Arial" w:cs="Arial"/>
          <w:sz w:val="22"/>
          <w:szCs w:val="22"/>
          <w:lang w:val="fr-FR"/>
        </w:rPr>
        <w:t>Agenda 2063 de l</w:t>
      </w:r>
      <w:r w:rsidR="008E532B">
        <w:rPr>
          <w:rFonts w:ascii="Arial" w:eastAsia="SimSun" w:hAnsi="Arial" w:cs="Arial"/>
          <w:sz w:val="22"/>
          <w:szCs w:val="22"/>
          <w:lang w:val="fr-FR"/>
        </w:rPr>
        <w:t>’</w:t>
      </w:r>
      <w:r w:rsidRPr="00644972">
        <w:rPr>
          <w:rFonts w:ascii="Arial" w:eastAsia="SimSun" w:hAnsi="Arial" w:cs="Arial"/>
          <w:sz w:val="22"/>
          <w:szCs w:val="22"/>
          <w:lang w:val="fr-FR"/>
        </w:rPr>
        <w:t xml:space="preserve">Union </w:t>
      </w:r>
      <w:r>
        <w:rPr>
          <w:rFonts w:ascii="Arial" w:eastAsia="SimSun" w:hAnsi="Arial" w:cs="Arial"/>
          <w:sz w:val="22"/>
          <w:szCs w:val="22"/>
          <w:lang w:val="fr-FR"/>
        </w:rPr>
        <w:t>A</w:t>
      </w:r>
      <w:r w:rsidRPr="00644972">
        <w:rPr>
          <w:rFonts w:ascii="Arial" w:eastAsia="SimSun" w:hAnsi="Arial" w:cs="Arial"/>
          <w:sz w:val="22"/>
          <w:szCs w:val="22"/>
          <w:lang w:val="fr-FR"/>
        </w:rPr>
        <w:t>fricaine et du Programme</w:t>
      </w:r>
      <w:r>
        <w:rPr>
          <w:rFonts w:ascii="Arial" w:eastAsia="SimSun" w:hAnsi="Arial" w:cs="Arial"/>
          <w:sz w:val="22"/>
          <w:szCs w:val="22"/>
          <w:lang w:val="fr-FR"/>
        </w:rPr>
        <w:t xml:space="preserve"> </w:t>
      </w:r>
      <w:r w:rsidRPr="00644972">
        <w:rPr>
          <w:rFonts w:ascii="Arial" w:eastAsia="SimSun" w:hAnsi="Arial" w:cs="Arial"/>
          <w:sz w:val="22"/>
          <w:szCs w:val="22"/>
          <w:lang w:val="fr-FR"/>
        </w:rPr>
        <w:t>de développement durable</w:t>
      </w:r>
      <w:r>
        <w:rPr>
          <w:rFonts w:ascii="Arial" w:eastAsia="SimSun" w:hAnsi="Arial" w:cs="Arial"/>
          <w:sz w:val="22"/>
          <w:szCs w:val="22"/>
          <w:lang w:val="fr-FR"/>
        </w:rPr>
        <w:t xml:space="preserve"> à l</w:t>
      </w:r>
      <w:r w:rsidR="008E532B">
        <w:rPr>
          <w:rFonts w:ascii="Arial" w:eastAsia="SimSun" w:hAnsi="Arial" w:cs="Arial"/>
          <w:sz w:val="22"/>
          <w:szCs w:val="22"/>
          <w:lang w:val="fr-FR"/>
        </w:rPr>
        <w:t>’</w:t>
      </w:r>
      <w:r>
        <w:rPr>
          <w:rFonts w:ascii="Arial" w:eastAsia="SimSun" w:hAnsi="Arial" w:cs="Arial"/>
          <w:sz w:val="22"/>
          <w:szCs w:val="22"/>
          <w:lang w:val="fr-FR"/>
        </w:rPr>
        <w:t>horizon 2030</w:t>
      </w:r>
      <w:r w:rsidRPr="00644972">
        <w:rPr>
          <w:rFonts w:ascii="Arial" w:eastAsia="SimSun" w:hAnsi="Arial" w:cs="Arial"/>
          <w:sz w:val="22"/>
          <w:szCs w:val="22"/>
          <w:lang w:val="fr-FR"/>
        </w:rPr>
        <w:t xml:space="preserve"> des Nations </w:t>
      </w:r>
      <w:r>
        <w:rPr>
          <w:rFonts w:ascii="Arial" w:eastAsia="SimSun" w:hAnsi="Arial" w:cs="Arial"/>
          <w:sz w:val="22"/>
          <w:szCs w:val="22"/>
          <w:lang w:val="fr-FR"/>
        </w:rPr>
        <w:t>U</w:t>
      </w:r>
      <w:r w:rsidRPr="00644972">
        <w:rPr>
          <w:rFonts w:ascii="Arial" w:eastAsia="SimSun" w:hAnsi="Arial" w:cs="Arial"/>
          <w:sz w:val="22"/>
          <w:szCs w:val="22"/>
          <w:lang w:val="fr-FR"/>
        </w:rPr>
        <w:t xml:space="preserve">nies.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644972">
        <w:rPr>
          <w:rFonts w:ascii="Arial" w:eastAsia="SimSun" w:hAnsi="Arial" w:cs="Arial"/>
          <w:sz w:val="22"/>
          <w:szCs w:val="22"/>
          <w:lang w:val="fr-FR"/>
        </w:rPr>
        <w:t>permet</w:t>
      </w:r>
      <w:r>
        <w:rPr>
          <w:rFonts w:ascii="Arial" w:eastAsia="SimSun" w:hAnsi="Arial" w:cs="Arial"/>
          <w:sz w:val="22"/>
          <w:szCs w:val="22"/>
          <w:lang w:val="fr-FR"/>
        </w:rPr>
        <w:t>tait</w:t>
      </w:r>
      <w:r w:rsidRPr="00644972">
        <w:rPr>
          <w:rFonts w:ascii="Arial" w:eastAsia="SimSun" w:hAnsi="Arial" w:cs="Arial"/>
          <w:sz w:val="22"/>
          <w:szCs w:val="22"/>
          <w:lang w:val="fr-FR"/>
        </w:rPr>
        <w:t xml:space="preserve"> à l</w:t>
      </w:r>
      <w:r w:rsidR="008E532B">
        <w:rPr>
          <w:rFonts w:ascii="Arial" w:eastAsia="SimSun" w:hAnsi="Arial" w:cs="Arial"/>
          <w:sz w:val="22"/>
          <w:szCs w:val="22"/>
          <w:lang w:val="fr-FR"/>
        </w:rPr>
        <w:t>’</w:t>
      </w:r>
      <w:r w:rsidRPr="00644972">
        <w:rPr>
          <w:rFonts w:ascii="Arial" w:eastAsia="SimSun" w:hAnsi="Arial" w:cs="Arial"/>
          <w:sz w:val="22"/>
          <w:szCs w:val="22"/>
          <w:lang w:val="fr-FR"/>
        </w:rPr>
        <w:t>humanité d</w:t>
      </w:r>
      <w:r w:rsidR="008E532B">
        <w:rPr>
          <w:rFonts w:ascii="Arial" w:eastAsia="SimSun" w:hAnsi="Arial" w:cs="Arial"/>
          <w:sz w:val="22"/>
          <w:szCs w:val="22"/>
          <w:lang w:val="fr-FR"/>
        </w:rPr>
        <w:t>’</w:t>
      </w:r>
      <w:r w:rsidRPr="00644972">
        <w:rPr>
          <w:rFonts w:ascii="Arial" w:eastAsia="SimSun" w:hAnsi="Arial" w:cs="Arial"/>
          <w:sz w:val="22"/>
          <w:szCs w:val="22"/>
          <w:lang w:val="fr-FR"/>
        </w:rPr>
        <w:t>utiliser la diversité intrinsèque de ses ressources et les pouvoirs de transformation sociale, économique et éthique des sociétés pour offrir d</w:t>
      </w:r>
      <w:r w:rsidR="008E532B">
        <w:rPr>
          <w:rFonts w:ascii="Arial" w:eastAsia="SimSun" w:hAnsi="Arial" w:cs="Arial"/>
          <w:sz w:val="22"/>
          <w:szCs w:val="22"/>
          <w:lang w:val="fr-FR"/>
        </w:rPr>
        <w:t>’</w:t>
      </w:r>
      <w:r w:rsidRPr="00644972">
        <w:rPr>
          <w:rFonts w:ascii="Arial" w:eastAsia="SimSun" w:hAnsi="Arial" w:cs="Arial"/>
          <w:sz w:val="22"/>
          <w:szCs w:val="22"/>
          <w:lang w:val="fr-FR"/>
        </w:rPr>
        <w:t>immenses possibilités de rapprochement entre les peuples de divers pays et communautés, en apportant des solutions locales aux problèmes de développement. Bien que le Cameroun n</w:t>
      </w:r>
      <w:r w:rsidR="008E532B">
        <w:rPr>
          <w:rFonts w:ascii="Arial" w:eastAsia="SimSun" w:hAnsi="Arial" w:cs="Arial"/>
          <w:sz w:val="22"/>
          <w:szCs w:val="22"/>
          <w:lang w:val="fr-FR"/>
        </w:rPr>
        <w:t>’</w:t>
      </w:r>
      <w:r>
        <w:rPr>
          <w:rFonts w:ascii="Arial" w:eastAsia="SimSun" w:hAnsi="Arial" w:cs="Arial"/>
          <w:sz w:val="22"/>
          <w:szCs w:val="22"/>
          <w:lang w:val="fr-FR"/>
        </w:rPr>
        <w:t xml:space="preserve">ait </w:t>
      </w:r>
      <w:r w:rsidRPr="00644972">
        <w:rPr>
          <w:rFonts w:ascii="Arial" w:eastAsia="SimSun" w:hAnsi="Arial" w:cs="Arial"/>
          <w:sz w:val="22"/>
          <w:szCs w:val="22"/>
          <w:lang w:val="fr-FR"/>
        </w:rPr>
        <w:t>pas encore d</w:t>
      </w:r>
      <w:r w:rsidR="008E532B">
        <w:rPr>
          <w:rFonts w:ascii="Arial" w:eastAsia="SimSun" w:hAnsi="Arial" w:cs="Arial"/>
          <w:sz w:val="22"/>
          <w:szCs w:val="22"/>
          <w:lang w:val="fr-FR"/>
        </w:rPr>
        <w:t>’</w:t>
      </w:r>
      <w:r w:rsidRPr="00644972">
        <w:rPr>
          <w:rFonts w:ascii="Arial" w:eastAsia="SimSun" w:hAnsi="Arial" w:cs="Arial"/>
          <w:sz w:val="22"/>
          <w:szCs w:val="22"/>
          <w:lang w:val="fr-FR"/>
        </w:rPr>
        <w:t xml:space="preserve">élément </w:t>
      </w:r>
      <w:r>
        <w:rPr>
          <w:rFonts w:ascii="Arial" w:eastAsia="SimSun" w:hAnsi="Arial" w:cs="Arial"/>
          <w:sz w:val="22"/>
          <w:szCs w:val="22"/>
          <w:lang w:val="fr-FR"/>
        </w:rPr>
        <w:t xml:space="preserve">inscrit </w:t>
      </w:r>
      <w:r w:rsidRPr="00644972">
        <w:rPr>
          <w:rFonts w:ascii="Arial" w:eastAsia="SimSun" w:hAnsi="Arial" w:cs="Arial"/>
          <w:sz w:val="22"/>
          <w:szCs w:val="22"/>
          <w:lang w:val="fr-FR"/>
        </w:rPr>
        <w:t>sur les listes de la Convention</w:t>
      </w:r>
      <w:r>
        <w:rPr>
          <w:rFonts w:ascii="Arial" w:eastAsia="SimSun" w:hAnsi="Arial" w:cs="Arial"/>
          <w:sz w:val="22"/>
          <w:szCs w:val="22"/>
          <w:lang w:val="fr-FR"/>
        </w:rPr>
        <w:t xml:space="preserve">, il espérait, fort de </w:t>
      </w:r>
      <w:r w:rsidRPr="00644972">
        <w:rPr>
          <w:rFonts w:ascii="Arial" w:eastAsia="SimSun" w:hAnsi="Arial" w:cs="Arial"/>
          <w:sz w:val="22"/>
          <w:szCs w:val="22"/>
          <w:lang w:val="fr-FR"/>
        </w:rPr>
        <w:t xml:space="preserve">sa détermination et </w:t>
      </w:r>
      <w:r>
        <w:rPr>
          <w:rFonts w:ascii="Arial" w:eastAsia="SimSun" w:hAnsi="Arial" w:cs="Arial"/>
          <w:sz w:val="22"/>
          <w:szCs w:val="22"/>
          <w:lang w:val="fr-FR"/>
        </w:rPr>
        <w:t xml:space="preserve">de </w:t>
      </w:r>
      <w:r w:rsidRPr="00644972">
        <w:rPr>
          <w:rFonts w:ascii="Arial" w:eastAsia="SimSun" w:hAnsi="Arial" w:cs="Arial"/>
          <w:sz w:val="22"/>
          <w:szCs w:val="22"/>
          <w:lang w:val="fr-FR"/>
        </w:rPr>
        <w:t>sa résilience</w:t>
      </w:r>
      <w:r>
        <w:rPr>
          <w:rFonts w:ascii="Arial" w:eastAsia="SimSun" w:hAnsi="Arial" w:cs="Arial"/>
          <w:sz w:val="22"/>
          <w:szCs w:val="22"/>
          <w:lang w:val="fr-FR"/>
        </w:rPr>
        <w:t xml:space="preserve">, </w:t>
      </w:r>
      <w:r w:rsidRPr="00644972">
        <w:rPr>
          <w:rFonts w:ascii="Arial" w:eastAsia="SimSun" w:hAnsi="Arial" w:cs="Arial"/>
          <w:sz w:val="22"/>
          <w:szCs w:val="22"/>
          <w:lang w:val="fr-FR"/>
        </w:rPr>
        <w:t>que ce souhait deviendra</w:t>
      </w:r>
      <w:r>
        <w:rPr>
          <w:rFonts w:ascii="Arial" w:eastAsia="SimSun" w:hAnsi="Arial" w:cs="Arial"/>
          <w:sz w:val="22"/>
          <w:szCs w:val="22"/>
          <w:lang w:val="fr-FR"/>
        </w:rPr>
        <w:t>it</w:t>
      </w:r>
      <w:r w:rsidRPr="00644972">
        <w:rPr>
          <w:rFonts w:ascii="Arial" w:eastAsia="SimSun" w:hAnsi="Arial" w:cs="Arial"/>
          <w:sz w:val="22"/>
          <w:szCs w:val="22"/>
          <w:lang w:val="fr-FR"/>
        </w:rPr>
        <w:t xml:space="preserve"> bientôt une réalité. À ce</w:t>
      </w:r>
      <w:r>
        <w:rPr>
          <w:rFonts w:ascii="Arial" w:eastAsia="SimSun" w:hAnsi="Arial" w:cs="Arial"/>
          <w:sz w:val="22"/>
          <w:szCs w:val="22"/>
          <w:lang w:val="fr-FR"/>
        </w:rPr>
        <w:t xml:space="preserve"> sujet</w:t>
      </w:r>
      <w:r w:rsidRPr="00644972">
        <w:rPr>
          <w:rFonts w:ascii="Arial" w:eastAsia="SimSun" w:hAnsi="Arial" w:cs="Arial"/>
          <w:sz w:val="22"/>
          <w:szCs w:val="22"/>
          <w:lang w:val="fr-FR"/>
        </w:rPr>
        <w:t>, alors que son mandat au sein du Comité touch</w:t>
      </w:r>
      <w:r>
        <w:rPr>
          <w:rFonts w:ascii="Arial" w:eastAsia="SimSun" w:hAnsi="Arial" w:cs="Arial"/>
          <w:sz w:val="22"/>
          <w:szCs w:val="22"/>
          <w:lang w:val="fr-FR"/>
        </w:rPr>
        <w:t>ait</w:t>
      </w:r>
      <w:r w:rsidRPr="00644972">
        <w:rPr>
          <w:rFonts w:ascii="Arial" w:eastAsia="SimSun" w:hAnsi="Arial" w:cs="Arial"/>
          <w:sz w:val="22"/>
          <w:szCs w:val="22"/>
          <w:lang w:val="fr-FR"/>
        </w:rPr>
        <w:t xml:space="preserve"> à sa fin, le </w:t>
      </w:r>
      <w:r>
        <w:rPr>
          <w:rFonts w:ascii="Arial" w:eastAsia="SimSun" w:hAnsi="Arial" w:cs="Arial"/>
          <w:sz w:val="22"/>
          <w:szCs w:val="22"/>
          <w:lang w:val="fr-FR"/>
        </w:rPr>
        <w:t>G</w:t>
      </w:r>
      <w:r w:rsidRPr="00644972">
        <w:rPr>
          <w:rFonts w:ascii="Arial" w:eastAsia="SimSun" w:hAnsi="Arial" w:cs="Arial"/>
          <w:sz w:val="22"/>
          <w:szCs w:val="22"/>
          <w:lang w:val="fr-FR"/>
        </w:rPr>
        <w:t xml:space="preserve">ouvernement camerounais a remercié le Sous-Directeur général et le Secrétariat pour leur professionnalisme et </w:t>
      </w:r>
      <w:r>
        <w:rPr>
          <w:rFonts w:ascii="Arial" w:eastAsia="SimSun" w:hAnsi="Arial" w:cs="Arial"/>
          <w:sz w:val="22"/>
          <w:szCs w:val="22"/>
          <w:lang w:val="fr-FR"/>
        </w:rPr>
        <w:t xml:space="preserve">leur </w:t>
      </w:r>
      <w:r w:rsidRPr="00644972">
        <w:rPr>
          <w:rFonts w:ascii="Arial" w:eastAsia="SimSun" w:hAnsi="Arial" w:cs="Arial"/>
          <w:sz w:val="22"/>
          <w:szCs w:val="22"/>
          <w:lang w:val="fr-FR"/>
        </w:rPr>
        <w:t>accompagn</w:t>
      </w:r>
      <w:r>
        <w:rPr>
          <w:rFonts w:ascii="Arial" w:eastAsia="SimSun" w:hAnsi="Arial" w:cs="Arial"/>
          <w:sz w:val="22"/>
          <w:szCs w:val="22"/>
          <w:lang w:val="fr-FR"/>
        </w:rPr>
        <w:t>ement du</w:t>
      </w:r>
      <w:r w:rsidRPr="00644972">
        <w:rPr>
          <w:rFonts w:ascii="Arial" w:eastAsia="SimSun" w:hAnsi="Arial" w:cs="Arial"/>
          <w:sz w:val="22"/>
          <w:szCs w:val="22"/>
          <w:lang w:val="fr-FR"/>
        </w:rPr>
        <w:t xml:space="preserve"> Cameroun [pendant son mandat]. La délégation a renouvelé son engagement à revitaliser son partenariat avec l</w:t>
      </w:r>
      <w:r w:rsidR="008E532B">
        <w:rPr>
          <w:rFonts w:ascii="Arial" w:eastAsia="SimSun" w:hAnsi="Arial" w:cs="Arial"/>
          <w:sz w:val="22"/>
          <w:szCs w:val="22"/>
          <w:lang w:val="fr-FR"/>
        </w:rPr>
        <w:t>’</w:t>
      </w:r>
      <w:r w:rsidRPr="00644972">
        <w:rPr>
          <w:rFonts w:ascii="Arial" w:eastAsia="SimSun" w:hAnsi="Arial" w:cs="Arial"/>
          <w:sz w:val="22"/>
          <w:szCs w:val="22"/>
          <w:lang w:val="fr-FR"/>
        </w:rPr>
        <w:t>UNESCO en identifiant les priorités essentielles pour la mise en œuvre de la Convention, ainsi que les différents programmes et fonctions tels que définis à l</w:t>
      </w:r>
      <w:r w:rsidR="008E532B">
        <w:rPr>
          <w:rFonts w:ascii="Arial" w:eastAsia="SimSun" w:hAnsi="Arial" w:cs="Arial"/>
          <w:sz w:val="22"/>
          <w:szCs w:val="22"/>
          <w:lang w:val="fr-FR"/>
        </w:rPr>
        <w:t>’</w:t>
      </w:r>
      <w:r w:rsidRPr="00644972">
        <w:rPr>
          <w:rFonts w:ascii="Arial" w:eastAsia="SimSun" w:hAnsi="Arial" w:cs="Arial"/>
          <w:sz w:val="22"/>
          <w:szCs w:val="22"/>
          <w:lang w:val="fr-FR"/>
        </w:rPr>
        <w:t xml:space="preserve">article 5 de la Convention. Le Cameroun </w:t>
      </w:r>
      <w:r>
        <w:rPr>
          <w:rFonts w:ascii="Arial" w:eastAsia="SimSun" w:hAnsi="Arial" w:cs="Arial"/>
          <w:sz w:val="22"/>
          <w:szCs w:val="22"/>
          <w:lang w:val="fr-FR"/>
        </w:rPr>
        <w:t xml:space="preserve">soutenait </w:t>
      </w:r>
      <w:r w:rsidRPr="00644972">
        <w:rPr>
          <w:rFonts w:ascii="Arial" w:eastAsia="SimSun" w:hAnsi="Arial" w:cs="Arial"/>
          <w:sz w:val="22"/>
          <w:szCs w:val="22"/>
          <w:lang w:val="fr-FR"/>
        </w:rPr>
        <w:t xml:space="preserve">également les réflexions </w:t>
      </w:r>
      <w:r>
        <w:rPr>
          <w:rFonts w:ascii="Arial" w:eastAsia="SimSun" w:hAnsi="Arial" w:cs="Arial"/>
          <w:sz w:val="22"/>
          <w:szCs w:val="22"/>
          <w:lang w:val="fr-FR"/>
        </w:rPr>
        <w:t xml:space="preserve">menées </w:t>
      </w:r>
      <w:r w:rsidRPr="00644972">
        <w:rPr>
          <w:rFonts w:ascii="Arial" w:eastAsia="SimSun" w:hAnsi="Arial" w:cs="Arial"/>
          <w:sz w:val="22"/>
          <w:szCs w:val="22"/>
          <w:lang w:val="fr-FR"/>
        </w:rPr>
        <w:t>pour améliorer les critères d</w:t>
      </w:r>
      <w:r w:rsidR="008E532B">
        <w:rPr>
          <w:rFonts w:ascii="Arial" w:eastAsia="SimSun" w:hAnsi="Arial" w:cs="Arial"/>
          <w:sz w:val="22"/>
          <w:szCs w:val="22"/>
          <w:lang w:val="fr-FR"/>
        </w:rPr>
        <w:t>’</w:t>
      </w:r>
      <w:r w:rsidRPr="00644972">
        <w:rPr>
          <w:rFonts w:ascii="Arial" w:eastAsia="SimSun" w:hAnsi="Arial" w:cs="Arial"/>
          <w:sz w:val="22"/>
          <w:szCs w:val="22"/>
          <w:lang w:val="fr-FR"/>
        </w:rPr>
        <w:t xml:space="preserve">inscription sur les différentes listes de la Convention, qui </w:t>
      </w:r>
      <w:r>
        <w:rPr>
          <w:rFonts w:ascii="Arial" w:eastAsia="SimSun" w:hAnsi="Arial" w:cs="Arial"/>
          <w:sz w:val="22"/>
          <w:szCs w:val="22"/>
          <w:lang w:val="fr-FR"/>
        </w:rPr>
        <w:t xml:space="preserve">étaient </w:t>
      </w:r>
      <w:r w:rsidRPr="00644972">
        <w:rPr>
          <w:rFonts w:ascii="Arial" w:eastAsia="SimSun" w:hAnsi="Arial" w:cs="Arial"/>
          <w:sz w:val="22"/>
          <w:szCs w:val="22"/>
          <w:lang w:val="fr-FR"/>
        </w:rPr>
        <w:t>soumis à l</w:t>
      </w:r>
      <w:r w:rsidR="008E532B">
        <w:rPr>
          <w:rFonts w:ascii="Arial" w:eastAsia="SimSun" w:hAnsi="Arial" w:cs="Arial"/>
          <w:sz w:val="22"/>
          <w:szCs w:val="22"/>
          <w:lang w:val="fr-FR"/>
        </w:rPr>
        <w:t>’</w:t>
      </w:r>
      <w:r w:rsidRPr="00644972">
        <w:rPr>
          <w:rFonts w:ascii="Arial" w:eastAsia="SimSun" w:hAnsi="Arial" w:cs="Arial"/>
          <w:sz w:val="22"/>
          <w:szCs w:val="22"/>
          <w:lang w:val="fr-FR"/>
        </w:rPr>
        <w:t>approbation de l</w:t>
      </w:r>
      <w:r w:rsidR="008E532B">
        <w:rPr>
          <w:rFonts w:ascii="Arial" w:eastAsia="SimSun" w:hAnsi="Arial" w:cs="Arial"/>
          <w:sz w:val="22"/>
          <w:szCs w:val="22"/>
          <w:lang w:val="fr-FR"/>
        </w:rPr>
        <w:t>’</w:t>
      </w:r>
      <w:r w:rsidRPr="00644972">
        <w:rPr>
          <w:rFonts w:ascii="Arial" w:eastAsia="SimSun" w:hAnsi="Arial" w:cs="Arial"/>
          <w:sz w:val="22"/>
          <w:szCs w:val="22"/>
          <w:lang w:val="fr-FR"/>
        </w:rPr>
        <w:t>Assemblée générale. Il a souhaité que l</w:t>
      </w:r>
      <w:r w:rsidR="008E532B">
        <w:rPr>
          <w:rFonts w:ascii="Arial" w:eastAsia="SimSun" w:hAnsi="Arial" w:cs="Arial"/>
          <w:sz w:val="22"/>
          <w:szCs w:val="22"/>
          <w:lang w:val="fr-FR"/>
        </w:rPr>
        <w:t>’</w:t>
      </w:r>
      <w:r w:rsidRPr="00644972">
        <w:rPr>
          <w:rFonts w:ascii="Arial" w:eastAsia="SimSun" w:hAnsi="Arial" w:cs="Arial"/>
          <w:sz w:val="22"/>
          <w:szCs w:val="22"/>
          <w:lang w:val="fr-FR"/>
        </w:rPr>
        <w:t>élaboration des Directives opérationnelles permette de mieux intégrer les spécificités des pays les moins représentés, notamment l</w:t>
      </w:r>
      <w:r w:rsidR="008E532B">
        <w:rPr>
          <w:rFonts w:ascii="Arial" w:eastAsia="SimSun" w:hAnsi="Arial" w:cs="Arial"/>
          <w:sz w:val="22"/>
          <w:szCs w:val="22"/>
          <w:lang w:val="fr-FR"/>
        </w:rPr>
        <w:t>’</w:t>
      </w:r>
      <w:r w:rsidRPr="00644972">
        <w:rPr>
          <w:rFonts w:ascii="Arial" w:eastAsia="SimSun" w:hAnsi="Arial" w:cs="Arial"/>
          <w:sz w:val="22"/>
          <w:szCs w:val="22"/>
          <w:lang w:val="fr-FR"/>
        </w:rPr>
        <w:t>Afrique. Le Cameroun a réaffirmé son attachement indéfectible aux nobles principes et valeurs de la Convention.</w:t>
      </w:r>
    </w:p>
    <w:p w14:paraId="7B8E3AE2" w14:textId="4B5ABFB0" w:rsidR="00D9653F" w:rsidRPr="00264EBB"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264EBB">
        <w:rPr>
          <w:rFonts w:ascii="Arial" w:eastAsia="SimSun" w:hAnsi="Arial" w:cs="Arial"/>
          <w:sz w:val="22"/>
          <w:szCs w:val="22"/>
          <w:lang w:val="fr-FR"/>
        </w:rPr>
        <w:t xml:space="preserve">La délégation </w:t>
      </w:r>
      <w:r>
        <w:rPr>
          <w:rFonts w:ascii="Arial" w:eastAsia="SimSun" w:hAnsi="Arial" w:cs="Arial"/>
          <w:sz w:val="22"/>
          <w:szCs w:val="22"/>
          <w:lang w:val="fr-FR"/>
        </w:rPr>
        <w:t>de l</w:t>
      </w:r>
      <w:r w:rsidR="008E532B">
        <w:rPr>
          <w:rFonts w:ascii="Arial" w:eastAsia="SimSun" w:hAnsi="Arial" w:cs="Arial"/>
          <w:sz w:val="22"/>
          <w:szCs w:val="22"/>
          <w:lang w:val="fr-FR"/>
        </w:rPr>
        <w:t>’</w:t>
      </w:r>
      <w:r w:rsidRPr="00264EBB">
        <w:rPr>
          <w:rFonts w:ascii="Arial" w:eastAsia="SimSun" w:hAnsi="Arial" w:cs="Arial"/>
          <w:b/>
          <w:bCs/>
          <w:sz w:val="22"/>
          <w:szCs w:val="22"/>
          <w:lang w:val="fr-FR"/>
        </w:rPr>
        <w:t>Arménie</w:t>
      </w:r>
      <w:r w:rsidRPr="00264EBB">
        <w:rPr>
          <w:rFonts w:ascii="Arial" w:eastAsia="SimSun" w:hAnsi="Arial" w:cs="Arial"/>
          <w:sz w:val="22"/>
          <w:szCs w:val="22"/>
          <w:lang w:val="fr-FR"/>
        </w:rPr>
        <w:t xml:space="preserve"> a félicité la Présidente pour son élection ainsi que les membres du Bureau, et a souhaité la bienvenue à l</w:t>
      </w:r>
      <w:r w:rsidR="008E532B">
        <w:rPr>
          <w:rFonts w:ascii="Arial" w:eastAsia="SimSun" w:hAnsi="Arial" w:cs="Arial"/>
          <w:sz w:val="22"/>
          <w:szCs w:val="22"/>
          <w:lang w:val="fr-FR"/>
        </w:rPr>
        <w:t>’</w:t>
      </w:r>
      <w:r w:rsidRPr="00264EBB">
        <w:rPr>
          <w:rFonts w:ascii="Arial" w:eastAsia="SimSun" w:hAnsi="Arial" w:cs="Arial"/>
          <w:sz w:val="22"/>
          <w:szCs w:val="22"/>
          <w:lang w:val="fr-FR"/>
        </w:rPr>
        <w:t>Angola et à la Somalie au sein de la Convention. La délégation a remercié le Secrétariat d</w:t>
      </w:r>
      <w:r w:rsidR="008E532B">
        <w:rPr>
          <w:rFonts w:ascii="Arial" w:eastAsia="SimSun" w:hAnsi="Arial" w:cs="Arial"/>
          <w:sz w:val="22"/>
          <w:szCs w:val="22"/>
          <w:lang w:val="fr-FR"/>
        </w:rPr>
        <w:t>’</w:t>
      </w:r>
      <w:r w:rsidRPr="00264EBB">
        <w:rPr>
          <w:rFonts w:ascii="Arial" w:eastAsia="SimSun" w:hAnsi="Arial" w:cs="Arial"/>
          <w:sz w:val="22"/>
          <w:szCs w:val="22"/>
          <w:lang w:val="fr-FR"/>
        </w:rPr>
        <w:t>avoir assuré pleinement ses activités pendant la pandémie de COVID</w:t>
      </w:r>
      <w:r>
        <w:rPr>
          <w:rFonts w:ascii="Arial" w:eastAsia="SimSun" w:hAnsi="Arial" w:cs="Arial"/>
          <w:sz w:val="22"/>
          <w:szCs w:val="22"/>
          <w:lang w:val="fr-FR"/>
        </w:rPr>
        <w:noBreakHyphen/>
      </w:r>
      <w:r w:rsidRPr="00264EBB">
        <w:rPr>
          <w:rFonts w:ascii="Arial" w:eastAsia="SimSun" w:hAnsi="Arial" w:cs="Arial"/>
          <w:sz w:val="22"/>
          <w:szCs w:val="22"/>
          <w:lang w:val="fr-FR"/>
        </w:rPr>
        <w:t>19, soulignant l</w:t>
      </w:r>
      <w:r w:rsidR="008E532B">
        <w:rPr>
          <w:rFonts w:ascii="Arial" w:eastAsia="SimSun" w:hAnsi="Arial" w:cs="Arial"/>
          <w:sz w:val="22"/>
          <w:szCs w:val="22"/>
          <w:lang w:val="fr-FR"/>
        </w:rPr>
        <w:t>’</w:t>
      </w:r>
      <w:r w:rsidRPr="00264EBB">
        <w:rPr>
          <w:rFonts w:ascii="Arial" w:eastAsia="SimSun" w:hAnsi="Arial" w:cs="Arial"/>
          <w:sz w:val="22"/>
          <w:szCs w:val="22"/>
          <w:lang w:val="fr-FR"/>
        </w:rPr>
        <w:t xml:space="preserve">importance de ce soutien pour renforcer les capacités des </w:t>
      </w:r>
      <w:r>
        <w:rPr>
          <w:rFonts w:ascii="Arial" w:eastAsia="SimSun" w:hAnsi="Arial" w:cs="Arial"/>
          <w:sz w:val="22"/>
          <w:szCs w:val="22"/>
          <w:lang w:val="fr-FR"/>
        </w:rPr>
        <w:t>É</w:t>
      </w:r>
      <w:r w:rsidRPr="00264EBB">
        <w:rPr>
          <w:rFonts w:ascii="Arial" w:eastAsia="SimSun" w:hAnsi="Arial" w:cs="Arial"/>
          <w:sz w:val="22"/>
          <w:szCs w:val="22"/>
          <w:lang w:val="fr-FR"/>
        </w:rPr>
        <w:t>tats parties et les accompagner dans la présentation de leurs rapports nationaux. Elle a également remercié le Secrétariat d</w:t>
      </w:r>
      <w:r w:rsidR="008E532B">
        <w:rPr>
          <w:rFonts w:ascii="Arial" w:eastAsia="SimSun" w:hAnsi="Arial" w:cs="Arial"/>
          <w:sz w:val="22"/>
          <w:szCs w:val="22"/>
          <w:lang w:val="fr-FR"/>
        </w:rPr>
        <w:t>’</w:t>
      </w:r>
      <w:r w:rsidRPr="00264EBB">
        <w:rPr>
          <w:rFonts w:ascii="Arial" w:eastAsia="SimSun" w:hAnsi="Arial" w:cs="Arial"/>
          <w:sz w:val="22"/>
          <w:szCs w:val="22"/>
          <w:lang w:val="fr-FR"/>
        </w:rPr>
        <w:t>avoir soutenu les efforts de sauvegarde au niveau national par le biais des mécanismes d</w:t>
      </w:r>
      <w:r w:rsidR="008E532B">
        <w:rPr>
          <w:rFonts w:ascii="Arial" w:eastAsia="SimSun" w:hAnsi="Arial" w:cs="Arial"/>
          <w:sz w:val="22"/>
          <w:szCs w:val="22"/>
          <w:lang w:val="fr-FR"/>
        </w:rPr>
        <w:t>’</w:t>
      </w:r>
      <w:r w:rsidRPr="00264EBB">
        <w:rPr>
          <w:rFonts w:ascii="Arial" w:eastAsia="SimSun" w:hAnsi="Arial" w:cs="Arial"/>
          <w:sz w:val="22"/>
          <w:szCs w:val="22"/>
          <w:lang w:val="fr-FR"/>
        </w:rPr>
        <w:t>assistance internationale. À cet égard, la délégation s</w:t>
      </w:r>
      <w:r w:rsidR="008E532B">
        <w:rPr>
          <w:rFonts w:ascii="Arial" w:eastAsia="SimSun" w:hAnsi="Arial" w:cs="Arial"/>
          <w:sz w:val="22"/>
          <w:szCs w:val="22"/>
          <w:lang w:val="fr-FR"/>
        </w:rPr>
        <w:t>’</w:t>
      </w:r>
      <w:r w:rsidRPr="00264EBB">
        <w:rPr>
          <w:rFonts w:ascii="Arial" w:eastAsia="SimSun" w:hAnsi="Arial" w:cs="Arial"/>
          <w:sz w:val="22"/>
          <w:szCs w:val="22"/>
          <w:lang w:val="fr-FR"/>
        </w:rPr>
        <w:t xml:space="preserve">est </w:t>
      </w:r>
      <w:proofErr w:type="gramStart"/>
      <w:r w:rsidRPr="00264EBB">
        <w:rPr>
          <w:rFonts w:ascii="Arial" w:eastAsia="SimSun" w:hAnsi="Arial" w:cs="Arial"/>
          <w:sz w:val="22"/>
          <w:szCs w:val="22"/>
          <w:lang w:val="fr-FR"/>
        </w:rPr>
        <w:t>réjoui</w:t>
      </w:r>
      <w:r>
        <w:rPr>
          <w:rFonts w:ascii="Arial" w:eastAsia="SimSun" w:hAnsi="Arial" w:cs="Arial"/>
          <w:sz w:val="22"/>
          <w:szCs w:val="22"/>
          <w:lang w:val="fr-FR"/>
        </w:rPr>
        <w:t>e</w:t>
      </w:r>
      <w:proofErr w:type="gramEnd"/>
      <w:r w:rsidRPr="00264EBB">
        <w:rPr>
          <w:rFonts w:ascii="Arial" w:eastAsia="SimSun" w:hAnsi="Arial" w:cs="Arial"/>
          <w:sz w:val="22"/>
          <w:szCs w:val="22"/>
          <w:lang w:val="fr-FR"/>
        </w:rPr>
        <w:t xml:space="preserve"> qu</w:t>
      </w:r>
      <w:r w:rsidR="008E532B">
        <w:rPr>
          <w:rFonts w:ascii="Arial" w:eastAsia="SimSun" w:hAnsi="Arial" w:cs="Arial"/>
          <w:sz w:val="22"/>
          <w:szCs w:val="22"/>
          <w:lang w:val="fr-FR"/>
        </w:rPr>
        <w:t>’</w:t>
      </w:r>
      <w:r w:rsidRPr="00264EBB">
        <w:rPr>
          <w:rFonts w:ascii="Arial" w:eastAsia="SimSun" w:hAnsi="Arial" w:cs="Arial"/>
          <w:sz w:val="22"/>
          <w:szCs w:val="22"/>
          <w:lang w:val="fr-FR"/>
        </w:rPr>
        <w:t>une attention particulière ait été accordée à l</w:t>
      </w:r>
      <w:r w:rsidR="008E532B">
        <w:rPr>
          <w:rFonts w:ascii="Arial" w:eastAsia="SimSun" w:hAnsi="Arial" w:cs="Arial"/>
          <w:sz w:val="22"/>
          <w:szCs w:val="22"/>
          <w:lang w:val="fr-FR"/>
        </w:rPr>
        <w:t>’</w:t>
      </w:r>
      <w:r w:rsidRPr="00264EBB">
        <w:rPr>
          <w:rFonts w:ascii="Arial" w:eastAsia="SimSun" w:hAnsi="Arial" w:cs="Arial"/>
          <w:sz w:val="22"/>
          <w:szCs w:val="22"/>
          <w:lang w:val="fr-FR"/>
        </w:rPr>
        <w:t>Afrique ainsi qu</w:t>
      </w:r>
      <w:r w:rsidR="008E532B">
        <w:rPr>
          <w:rFonts w:ascii="Arial" w:eastAsia="SimSun" w:hAnsi="Arial" w:cs="Arial"/>
          <w:sz w:val="22"/>
          <w:szCs w:val="22"/>
          <w:lang w:val="fr-FR"/>
        </w:rPr>
        <w:t>’</w:t>
      </w:r>
      <w:r w:rsidRPr="00264EBB">
        <w:rPr>
          <w:rFonts w:ascii="Arial" w:eastAsia="SimSun" w:hAnsi="Arial" w:cs="Arial"/>
          <w:sz w:val="22"/>
          <w:szCs w:val="22"/>
          <w:lang w:val="fr-FR"/>
        </w:rPr>
        <w:t>aux PEID. L</w:t>
      </w:r>
      <w:r w:rsidR="008E532B">
        <w:rPr>
          <w:rFonts w:ascii="Arial" w:eastAsia="SimSun" w:hAnsi="Arial" w:cs="Arial"/>
          <w:sz w:val="22"/>
          <w:szCs w:val="22"/>
          <w:lang w:val="fr-FR"/>
        </w:rPr>
        <w:t>’</w:t>
      </w:r>
      <w:r w:rsidRPr="00264EBB">
        <w:rPr>
          <w:rFonts w:ascii="Arial" w:eastAsia="SimSun" w:hAnsi="Arial" w:cs="Arial"/>
          <w:sz w:val="22"/>
          <w:szCs w:val="22"/>
          <w:lang w:val="fr-FR"/>
        </w:rPr>
        <w:t>Arménie s</w:t>
      </w:r>
      <w:r w:rsidR="008E532B">
        <w:rPr>
          <w:rFonts w:ascii="Arial" w:eastAsia="SimSun" w:hAnsi="Arial" w:cs="Arial"/>
          <w:sz w:val="22"/>
          <w:szCs w:val="22"/>
          <w:lang w:val="fr-FR"/>
        </w:rPr>
        <w:t>’</w:t>
      </w:r>
      <w:r w:rsidRPr="00264EBB">
        <w:rPr>
          <w:rFonts w:ascii="Arial" w:eastAsia="SimSun" w:hAnsi="Arial" w:cs="Arial"/>
          <w:sz w:val="22"/>
          <w:szCs w:val="22"/>
          <w:lang w:val="fr-FR"/>
        </w:rPr>
        <w:t>est félicitée de la décision d</w:t>
      </w:r>
      <w:r w:rsidR="008E532B">
        <w:rPr>
          <w:rFonts w:ascii="Arial" w:eastAsia="SimSun" w:hAnsi="Arial" w:cs="Arial"/>
          <w:sz w:val="22"/>
          <w:szCs w:val="22"/>
          <w:lang w:val="fr-FR"/>
        </w:rPr>
        <w:t>’</w:t>
      </w:r>
      <w:r w:rsidRPr="00264EBB">
        <w:rPr>
          <w:rFonts w:ascii="Arial" w:eastAsia="SimSun" w:hAnsi="Arial" w:cs="Arial"/>
          <w:sz w:val="22"/>
          <w:szCs w:val="22"/>
          <w:lang w:val="fr-FR"/>
        </w:rPr>
        <w:t>accéder à sa demande d</w:t>
      </w:r>
      <w:r w:rsidR="008E532B">
        <w:rPr>
          <w:rFonts w:ascii="Arial" w:eastAsia="SimSun" w:hAnsi="Arial" w:cs="Arial"/>
          <w:sz w:val="22"/>
          <w:szCs w:val="22"/>
          <w:lang w:val="fr-FR"/>
        </w:rPr>
        <w:t>’</w:t>
      </w:r>
      <w:r w:rsidRPr="00264EBB">
        <w:rPr>
          <w:rFonts w:ascii="Arial" w:eastAsia="SimSun" w:hAnsi="Arial" w:cs="Arial"/>
          <w:sz w:val="22"/>
          <w:szCs w:val="22"/>
          <w:lang w:val="fr-FR"/>
        </w:rPr>
        <w:t xml:space="preserve">assistance internationale pour le projet </w:t>
      </w:r>
      <w:r>
        <w:rPr>
          <w:rFonts w:ascii="Arial" w:eastAsia="SimSun" w:hAnsi="Arial" w:cs="Arial"/>
          <w:sz w:val="22"/>
          <w:szCs w:val="22"/>
          <w:lang w:val="fr-FR"/>
        </w:rPr>
        <w:t>« </w:t>
      </w:r>
      <w:r w:rsidRPr="00264EBB">
        <w:rPr>
          <w:rFonts w:ascii="Arial" w:eastAsia="SimSun" w:hAnsi="Arial" w:cs="Arial"/>
          <w:sz w:val="22"/>
          <w:szCs w:val="22"/>
          <w:lang w:val="fr-FR"/>
        </w:rPr>
        <w:t>Inventaire communautaire</w:t>
      </w:r>
      <w:r>
        <w:rPr>
          <w:rFonts w:ascii="Arial" w:eastAsia="SimSun" w:hAnsi="Arial" w:cs="Arial"/>
          <w:sz w:val="22"/>
          <w:szCs w:val="22"/>
          <w:lang w:val="fr-FR"/>
        </w:rPr>
        <w:t xml:space="preserve">, </w:t>
      </w:r>
      <w:r w:rsidRPr="00264EBB">
        <w:rPr>
          <w:rFonts w:ascii="Arial" w:eastAsia="SimSun" w:hAnsi="Arial" w:cs="Arial"/>
          <w:sz w:val="22"/>
          <w:szCs w:val="22"/>
          <w:lang w:val="fr-FR"/>
        </w:rPr>
        <w:t>document</w:t>
      </w:r>
      <w:r>
        <w:rPr>
          <w:rFonts w:ascii="Arial" w:eastAsia="SimSun" w:hAnsi="Arial" w:cs="Arial"/>
          <w:sz w:val="22"/>
          <w:szCs w:val="22"/>
          <w:lang w:val="fr-FR"/>
        </w:rPr>
        <w:t>ation</w:t>
      </w:r>
      <w:r w:rsidRPr="00264EBB">
        <w:rPr>
          <w:rFonts w:ascii="Arial" w:eastAsia="SimSun" w:hAnsi="Arial" w:cs="Arial"/>
          <w:sz w:val="22"/>
          <w:szCs w:val="22"/>
          <w:lang w:val="fr-FR"/>
        </w:rPr>
        <w:t xml:space="preserve"> et sauvegarde</w:t>
      </w:r>
      <w:r>
        <w:rPr>
          <w:rFonts w:ascii="Arial" w:eastAsia="SimSun" w:hAnsi="Arial" w:cs="Arial"/>
          <w:sz w:val="22"/>
          <w:szCs w:val="22"/>
          <w:lang w:val="fr-FR"/>
        </w:rPr>
        <w:t xml:space="preserve"> du</w:t>
      </w:r>
      <w:r w:rsidRPr="00264EBB">
        <w:rPr>
          <w:rFonts w:ascii="Arial" w:eastAsia="SimSun" w:hAnsi="Arial" w:cs="Arial"/>
          <w:sz w:val="22"/>
          <w:szCs w:val="22"/>
          <w:lang w:val="fr-FR"/>
        </w:rPr>
        <w:t xml:space="preserve"> folklore de la région de </w:t>
      </w:r>
      <w:proofErr w:type="spellStart"/>
      <w:r w:rsidRPr="00264EBB">
        <w:rPr>
          <w:rFonts w:ascii="Arial" w:eastAsia="SimSun" w:hAnsi="Arial" w:cs="Arial"/>
          <w:sz w:val="22"/>
          <w:szCs w:val="22"/>
          <w:lang w:val="fr-FR"/>
        </w:rPr>
        <w:t>Syunik</w:t>
      </w:r>
      <w:proofErr w:type="spellEnd"/>
      <w:r w:rsidRPr="00264EBB">
        <w:rPr>
          <w:rFonts w:ascii="Arial" w:eastAsia="SimSun" w:hAnsi="Arial" w:cs="Arial"/>
          <w:sz w:val="22"/>
          <w:szCs w:val="22"/>
          <w:lang w:val="fr-FR"/>
        </w:rPr>
        <w:t xml:space="preserve"> en Arménie</w:t>
      </w:r>
      <w:r>
        <w:rPr>
          <w:rFonts w:ascii="Arial" w:eastAsia="SimSun" w:hAnsi="Arial" w:cs="Arial"/>
          <w:sz w:val="22"/>
          <w:szCs w:val="22"/>
          <w:lang w:val="fr-FR"/>
        </w:rPr>
        <w:t> »</w:t>
      </w:r>
      <w:r>
        <w:rPr>
          <w:rStyle w:val="FootnoteReference"/>
          <w:rFonts w:ascii="Arial" w:eastAsia="SimSun" w:hAnsi="Arial" w:cs="Arial"/>
          <w:sz w:val="22"/>
          <w:szCs w:val="22"/>
          <w:lang w:val="fr-FR"/>
        </w:rPr>
        <w:footnoteReference w:id="10"/>
      </w:r>
      <w:r w:rsidRPr="00264EBB">
        <w:rPr>
          <w:rFonts w:ascii="Arial" w:eastAsia="SimSun" w:hAnsi="Arial" w:cs="Arial"/>
          <w:sz w:val="22"/>
          <w:szCs w:val="22"/>
          <w:lang w:val="fr-FR"/>
        </w:rPr>
        <w:t xml:space="preserve">. Elle </w:t>
      </w:r>
      <w:r w:rsidR="006D41D6">
        <w:rPr>
          <w:rFonts w:ascii="Arial" w:eastAsia="SimSun" w:hAnsi="Arial" w:cs="Arial"/>
          <w:sz w:val="22"/>
          <w:szCs w:val="22"/>
          <w:lang w:val="fr-FR"/>
        </w:rPr>
        <w:t xml:space="preserve">a noté qu’elle </w:t>
      </w:r>
      <w:r w:rsidRPr="00264EBB">
        <w:rPr>
          <w:rFonts w:ascii="Arial" w:eastAsia="SimSun" w:hAnsi="Arial" w:cs="Arial"/>
          <w:sz w:val="22"/>
          <w:szCs w:val="22"/>
          <w:lang w:val="fr-FR"/>
        </w:rPr>
        <w:t>attach</w:t>
      </w:r>
      <w:r>
        <w:rPr>
          <w:rFonts w:ascii="Arial" w:eastAsia="SimSun" w:hAnsi="Arial" w:cs="Arial"/>
          <w:sz w:val="22"/>
          <w:szCs w:val="22"/>
          <w:lang w:val="fr-FR"/>
        </w:rPr>
        <w:t>ait</w:t>
      </w:r>
      <w:r w:rsidRPr="00264EBB">
        <w:rPr>
          <w:rFonts w:ascii="Arial" w:eastAsia="SimSun" w:hAnsi="Arial" w:cs="Arial"/>
          <w:sz w:val="22"/>
          <w:szCs w:val="22"/>
          <w:lang w:val="fr-FR"/>
        </w:rPr>
        <w:t xml:space="preserve"> une grande importance à la préservation du patrimoine dans cette région, qui conserve des traces de l</w:t>
      </w:r>
      <w:r w:rsidR="008E532B">
        <w:rPr>
          <w:rFonts w:ascii="Arial" w:eastAsia="SimSun" w:hAnsi="Arial" w:cs="Arial"/>
          <w:sz w:val="22"/>
          <w:szCs w:val="22"/>
          <w:lang w:val="fr-FR"/>
        </w:rPr>
        <w:t>’</w:t>
      </w:r>
      <w:r w:rsidRPr="00264EBB">
        <w:rPr>
          <w:rFonts w:ascii="Arial" w:eastAsia="SimSun" w:hAnsi="Arial" w:cs="Arial"/>
          <w:sz w:val="22"/>
          <w:szCs w:val="22"/>
          <w:lang w:val="fr-FR"/>
        </w:rPr>
        <w:t>histoire millénaire de l</w:t>
      </w:r>
      <w:r w:rsidR="008E532B">
        <w:rPr>
          <w:rFonts w:ascii="Arial" w:eastAsia="SimSun" w:hAnsi="Arial" w:cs="Arial"/>
          <w:sz w:val="22"/>
          <w:szCs w:val="22"/>
          <w:lang w:val="fr-FR"/>
        </w:rPr>
        <w:t>’</w:t>
      </w:r>
      <w:r w:rsidRPr="00264EBB">
        <w:rPr>
          <w:rFonts w:ascii="Arial" w:eastAsia="SimSun" w:hAnsi="Arial" w:cs="Arial"/>
          <w:sz w:val="22"/>
          <w:szCs w:val="22"/>
          <w:lang w:val="fr-FR"/>
        </w:rPr>
        <w:t xml:space="preserve">Arménie. </w:t>
      </w:r>
      <w:r>
        <w:rPr>
          <w:rFonts w:ascii="Arial" w:eastAsia="SimSun" w:hAnsi="Arial" w:cs="Arial"/>
          <w:sz w:val="22"/>
          <w:szCs w:val="22"/>
          <w:lang w:val="fr-FR"/>
        </w:rPr>
        <w:t>S</w:t>
      </w:r>
      <w:r w:rsidR="008E532B">
        <w:rPr>
          <w:rFonts w:ascii="Arial" w:eastAsia="SimSun" w:hAnsi="Arial" w:cs="Arial"/>
          <w:sz w:val="22"/>
          <w:szCs w:val="22"/>
          <w:lang w:val="fr-FR"/>
        </w:rPr>
        <w:t>’</w:t>
      </w:r>
      <w:r>
        <w:rPr>
          <w:rFonts w:ascii="Arial" w:eastAsia="SimSun" w:hAnsi="Arial" w:cs="Arial"/>
          <w:sz w:val="22"/>
          <w:szCs w:val="22"/>
          <w:lang w:val="fr-FR"/>
        </w:rPr>
        <w:t xml:space="preserve">agissant de </w:t>
      </w:r>
      <w:r w:rsidRPr="00264EBB">
        <w:rPr>
          <w:rFonts w:ascii="Arial" w:eastAsia="SimSun" w:hAnsi="Arial" w:cs="Arial"/>
          <w:sz w:val="22"/>
          <w:szCs w:val="22"/>
          <w:lang w:val="fr-FR"/>
        </w:rPr>
        <w:t xml:space="preserve">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264EBB">
        <w:rPr>
          <w:rFonts w:ascii="Arial" w:eastAsia="SimSun" w:hAnsi="Arial" w:cs="Arial"/>
          <w:sz w:val="22"/>
          <w:szCs w:val="22"/>
          <w:lang w:val="fr-FR"/>
        </w:rPr>
        <w:t>dans les situations d</w:t>
      </w:r>
      <w:r w:rsidR="008E532B">
        <w:rPr>
          <w:rFonts w:ascii="Arial" w:eastAsia="SimSun" w:hAnsi="Arial" w:cs="Arial"/>
          <w:sz w:val="22"/>
          <w:szCs w:val="22"/>
          <w:lang w:val="fr-FR"/>
        </w:rPr>
        <w:t>’</w:t>
      </w:r>
      <w:r w:rsidRPr="00264EBB">
        <w:rPr>
          <w:rFonts w:ascii="Arial" w:eastAsia="SimSun" w:hAnsi="Arial" w:cs="Arial"/>
          <w:sz w:val="22"/>
          <w:szCs w:val="22"/>
          <w:lang w:val="fr-FR"/>
        </w:rPr>
        <w:t>urgence, la délégation s</w:t>
      </w:r>
      <w:r w:rsidR="008E532B">
        <w:rPr>
          <w:rFonts w:ascii="Arial" w:eastAsia="SimSun" w:hAnsi="Arial" w:cs="Arial"/>
          <w:sz w:val="22"/>
          <w:szCs w:val="22"/>
          <w:lang w:val="fr-FR"/>
        </w:rPr>
        <w:t>’</w:t>
      </w:r>
      <w:r w:rsidRPr="00264EBB">
        <w:rPr>
          <w:rFonts w:ascii="Arial" w:eastAsia="SimSun" w:hAnsi="Arial" w:cs="Arial"/>
          <w:sz w:val="22"/>
          <w:szCs w:val="22"/>
          <w:lang w:val="fr-FR"/>
        </w:rPr>
        <w:t xml:space="preserve">est félicitée que le Secrétariat ait poursuivi sa collaboration avec le Secrétariat de la Convention de La Haye de 1954 et ses deux </w:t>
      </w:r>
      <w:r>
        <w:rPr>
          <w:rFonts w:ascii="Arial" w:eastAsia="SimSun" w:hAnsi="Arial" w:cs="Arial"/>
          <w:sz w:val="22"/>
          <w:szCs w:val="22"/>
          <w:lang w:val="fr-FR"/>
        </w:rPr>
        <w:t>P</w:t>
      </w:r>
      <w:r w:rsidRPr="00264EBB">
        <w:rPr>
          <w:rFonts w:ascii="Arial" w:eastAsia="SimSun" w:hAnsi="Arial" w:cs="Arial"/>
          <w:sz w:val="22"/>
          <w:szCs w:val="22"/>
          <w:lang w:val="fr-FR"/>
        </w:rPr>
        <w:t xml:space="preserve">rotocoles en vue de préparer un document de réflexion sur les synergies dans ce domaine. Néanmoins, la délégation a </w:t>
      </w:r>
      <w:r>
        <w:rPr>
          <w:rFonts w:ascii="Arial" w:eastAsia="SimSun" w:hAnsi="Arial" w:cs="Arial"/>
          <w:sz w:val="22"/>
          <w:szCs w:val="22"/>
          <w:lang w:val="fr-FR"/>
        </w:rPr>
        <w:t>observé</w:t>
      </w:r>
      <w:r w:rsidRPr="00264EBB">
        <w:rPr>
          <w:rFonts w:ascii="Arial" w:eastAsia="SimSun" w:hAnsi="Arial" w:cs="Arial"/>
          <w:sz w:val="22"/>
          <w:szCs w:val="22"/>
          <w:lang w:val="fr-FR"/>
        </w:rPr>
        <w:t xml:space="preserve"> que les dispositions en vigueur restent malheureusement - dans certains cas - inefficaces face aux faits, notamment en ce qui concerne la sauvegarde de ce patrimoine dans les situations de conflit. La délégation </w:t>
      </w:r>
      <w:r w:rsidR="006D41D6">
        <w:rPr>
          <w:rFonts w:ascii="Arial" w:eastAsia="SimSun" w:hAnsi="Arial" w:cs="Arial"/>
          <w:sz w:val="22"/>
          <w:szCs w:val="22"/>
          <w:lang w:val="fr-FR"/>
        </w:rPr>
        <w:t xml:space="preserve">a noté qu’elle </w:t>
      </w:r>
      <w:r>
        <w:rPr>
          <w:rFonts w:ascii="Arial" w:eastAsia="SimSun" w:hAnsi="Arial" w:cs="Arial"/>
          <w:sz w:val="22"/>
          <w:szCs w:val="22"/>
          <w:lang w:val="fr-FR"/>
        </w:rPr>
        <w:t xml:space="preserve">était </w:t>
      </w:r>
      <w:r w:rsidRPr="00264EBB">
        <w:rPr>
          <w:rFonts w:ascii="Arial" w:eastAsia="SimSun" w:hAnsi="Arial" w:cs="Arial"/>
          <w:sz w:val="22"/>
          <w:szCs w:val="22"/>
          <w:lang w:val="fr-FR"/>
        </w:rPr>
        <w:t>particulièrement préoccupée par les conséquences de l</w:t>
      </w:r>
      <w:r w:rsidR="008E532B">
        <w:rPr>
          <w:rFonts w:ascii="Arial" w:eastAsia="SimSun" w:hAnsi="Arial" w:cs="Arial"/>
          <w:sz w:val="22"/>
          <w:szCs w:val="22"/>
          <w:lang w:val="fr-FR"/>
        </w:rPr>
        <w:t>’</w:t>
      </w:r>
      <w:r w:rsidRPr="00264EBB">
        <w:rPr>
          <w:rFonts w:ascii="Arial" w:eastAsia="SimSun" w:hAnsi="Arial" w:cs="Arial"/>
          <w:sz w:val="22"/>
          <w:szCs w:val="22"/>
          <w:lang w:val="fr-FR"/>
        </w:rPr>
        <w:t>agression de l</w:t>
      </w:r>
      <w:r w:rsidR="008E532B">
        <w:rPr>
          <w:rFonts w:ascii="Arial" w:eastAsia="SimSun" w:hAnsi="Arial" w:cs="Arial"/>
          <w:sz w:val="22"/>
          <w:szCs w:val="22"/>
          <w:lang w:val="fr-FR"/>
        </w:rPr>
        <w:t>’</w:t>
      </w:r>
      <w:r w:rsidRPr="00264EBB">
        <w:rPr>
          <w:rFonts w:ascii="Arial" w:eastAsia="SimSun" w:hAnsi="Arial" w:cs="Arial"/>
          <w:sz w:val="22"/>
          <w:szCs w:val="22"/>
          <w:lang w:val="fr-FR"/>
        </w:rPr>
        <w:t>Azerbaïdjan contre le Haut-Karabakh à l</w:t>
      </w:r>
      <w:r w:rsidR="008E532B">
        <w:rPr>
          <w:rFonts w:ascii="Arial" w:eastAsia="SimSun" w:hAnsi="Arial" w:cs="Arial"/>
          <w:sz w:val="22"/>
          <w:szCs w:val="22"/>
          <w:lang w:val="fr-FR"/>
        </w:rPr>
        <w:t>’</w:t>
      </w:r>
      <w:r w:rsidRPr="00264EBB">
        <w:rPr>
          <w:rFonts w:ascii="Arial" w:eastAsia="SimSun" w:hAnsi="Arial" w:cs="Arial"/>
          <w:sz w:val="22"/>
          <w:szCs w:val="22"/>
          <w:lang w:val="fr-FR"/>
        </w:rPr>
        <w:t>automne 2020, qui a</w:t>
      </w:r>
      <w:r>
        <w:rPr>
          <w:rFonts w:ascii="Arial" w:eastAsia="SimSun" w:hAnsi="Arial" w:cs="Arial"/>
          <w:sz w:val="22"/>
          <w:szCs w:val="22"/>
          <w:lang w:val="fr-FR"/>
        </w:rPr>
        <w:t>vait</w:t>
      </w:r>
      <w:r w:rsidRPr="00264EBB">
        <w:rPr>
          <w:rFonts w:ascii="Arial" w:eastAsia="SimSun" w:hAnsi="Arial" w:cs="Arial"/>
          <w:sz w:val="22"/>
          <w:szCs w:val="22"/>
          <w:lang w:val="fr-FR"/>
        </w:rPr>
        <w:t xml:space="preserve"> vu le nettoyage ethnique des populations arméniennes dans certains territoires du Haut-Karabakh, notamment dans la région de </w:t>
      </w:r>
      <w:proofErr w:type="spellStart"/>
      <w:r w:rsidRPr="00264EBB">
        <w:rPr>
          <w:rFonts w:ascii="Arial" w:eastAsia="SimSun" w:hAnsi="Arial" w:cs="Arial"/>
          <w:sz w:val="22"/>
          <w:szCs w:val="22"/>
          <w:lang w:val="fr-FR"/>
        </w:rPr>
        <w:t>Hadrout</w:t>
      </w:r>
      <w:proofErr w:type="spellEnd"/>
      <w:r w:rsidRPr="00264EBB">
        <w:rPr>
          <w:rFonts w:ascii="Arial" w:eastAsia="SimSun" w:hAnsi="Arial" w:cs="Arial"/>
          <w:sz w:val="22"/>
          <w:szCs w:val="22"/>
          <w:lang w:val="fr-FR"/>
        </w:rPr>
        <w:t xml:space="preserve"> et </w:t>
      </w:r>
      <w:proofErr w:type="spellStart"/>
      <w:r w:rsidRPr="00264EBB">
        <w:rPr>
          <w:rFonts w:ascii="Arial" w:eastAsia="SimSun" w:hAnsi="Arial" w:cs="Arial"/>
          <w:sz w:val="22"/>
          <w:szCs w:val="22"/>
          <w:lang w:val="fr-FR"/>
        </w:rPr>
        <w:t>Chouchi</w:t>
      </w:r>
      <w:proofErr w:type="spellEnd"/>
      <w:r w:rsidRPr="00264EBB">
        <w:rPr>
          <w:rFonts w:ascii="Arial" w:eastAsia="SimSun" w:hAnsi="Arial" w:cs="Arial"/>
          <w:sz w:val="22"/>
          <w:szCs w:val="22"/>
          <w:lang w:val="fr-FR"/>
        </w:rPr>
        <w:t xml:space="preserve">. </w:t>
      </w:r>
      <w:r w:rsidR="006D41D6">
        <w:rPr>
          <w:rFonts w:ascii="Arial" w:eastAsia="SimSun" w:hAnsi="Arial" w:cs="Arial"/>
          <w:sz w:val="22"/>
          <w:szCs w:val="22"/>
          <w:lang w:val="fr-FR"/>
        </w:rPr>
        <w:t>Elle a noté que l</w:t>
      </w:r>
      <w:r w:rsidR="008E532B">
        <w:rPr>
          <w:rFonts w:ascii="Arial" w:eastAsia="SimSun" w:hAnsi="Arial" w:cs="Arial"/>
          <w:sz w:val="22"/>
          <w:szCs w:val="22"/>
          <w:lang w:val="fr-FR"/>
        </w:rPr>
        <w:t>’</w:t>
      </w:r>
      <w:r w:rsidRPr="00264EBB">
        <w:rPr>
          <w:rFonts w:ascii="Arial" w:eastAsia="SimSun" w:hAnsi="Arial" w:cs="Arial"/>
          <w:sz w:val="22"/>
          <w:szCs w:val="22"/>
          <w:lang w:val="fr-FR"/>
        </w:rPr>
        <w:t>expulsion de ces communautés fai</w:t>
      </w:r>
      <w:r>
        <w:rPr>
          <w:rFonts w:ascii="Arial" w:eastAsia="SimSun" w:hAnsi="Arial" w:cs="Arial"/>
          <w:sz w:val="22"/>
          <w:szCs w:val="22"/>
          <w:lang w:val="fr-FR"/>
        </w:rPr>
        <w:t>sait</w:t>
      </w:r>
      <w:r w:rsidRPr="00264EBB">
        <w:rPr>
          <w:rFonts w:ascii="Arial" w:eastAsia="SimSun" w:hAnsi="Arial" w:cs="Arial"/>
          <w:sz w:val="22"/>
          <w:szCs w:val="22"/>
          <w:lang w:val="fr-FR"/>
        </w:rPr>
        <w:t xml:space="preserve"> peser de graves menaces sur le </w:t>
      </w:r>
      <w:r w:rsidR="00E908E2">
        <w:rPr>
          <w:rFonts w:ascii="Arial" w:eastAsia="SimSun" w:hAnsi="Arial" w:cs="Arial"/>
          <w:bCs/>
          <w:sz w:val="22"/>
          <w:szCs w:val="22"/>
          <w:lang w:val="fr-FR" w:eastAsia="en-US"/>
        </w:rPr>
        <w:t>patrimoine culturel immatériel</w:t>
      </w:r>
      <w:r w:rsidRPr="00264EBB">
        <w:rPr>
          <w:rFonts w:ascii="Arial" w:eastAsia="SimSun" w:hAnsi="Arial" w:cs="Arial"/>
          <w:sz w:val="22"/>
          <w:szCs w:val="22"/>
          <w:lang w:val="fr-FR"/>
        </w:rPr>
        <w:t>, les empêchant de le transmettre ou d</w:t>
      </w:r>
      <w:r w:rsidR="008E532B">
        <w:rPr>
          <w:rFonts w:ascii="Arial" w:eastAsia="SimSun" w:hAnsi="Arial" w:cs="Arial"/>
          <w:sz w:val="22"/>
          <w:szCs w:val="22"/>
          <w:lang w:val="fr-FR"/>
        </w:rPr>
        <w:t>’</w:t>
      </w:r>
      <w:r w:rsidRPr="00264EBB">
        <w:rPr>
          <w:rFonts w:ascii="Arial" w:eastAsia="SimSun" w:hAnsi="Arial" w:cs="Arial"/>
          <w:sz w:val="22"/>
          <w:szCs w:val="22"/>
          <w:lang w:val="fr-FR"/>
        </w:rPr>
        <w:t xml:space="preserve">en assurer la viabilité et la sauvegarde. </w:t>
      </w:r>
      <w:r w:rsidR="006D41D6">
        <w:rPr>
          <w:rFonts w:ascii="Arial" w:eastAsia="SimSun" w:hAnsi="Arial" w:cs="Arial"/>
          <w:sz w:val="22"/>
          <w:szCs w:val="22"/>
          <w:lang w:val="fr-FR"/>
        </w:rPr>
        <w:t>La délégation a aussi souligné que l</w:t>
      </w:r>
      <w:r w:rsidRPr="00264EBB">
        <w:rPr>
          <w:rFonts w:ascii="Arial" w:eastAsia="SimSun" w:hAnsi="Arial" w:cs="Arial"/>
          <w:sz w:val="22"/>
          <w:szCs w:val="22"/>
          <w:lang w:val="fr-FR"/>
        </w:rPr>
        <w:t xml:space="preserve">a question de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264EBB">
        <w:rPr>
          <w:rFonts w:ascii="Arial" w:eastAsia="SimSun" w:hAnsi="Arial" w:cs="Arial"/>
          <w:sz w:val="22"/>
          <w:szCs w:val="22"/>
          <w:lang w:val="fr-FR"/>
        </w:rPr>
        <w:t>du peuple arménien du Haut-Karabakh restera</w:t>
      </w:r>
      <w:r>
        <w:rPr>
          <w:rFonts w:ascii="Arial" w:eastAsia="SimSun" w:hAnsi="Arial" w:cs="Arial"/>
          <w:sz w:val="22"/>
          <w:szCs w:val="22"/>
          <w:lang w:val="fr-FR"/>
        </w:rPr>
        <w:t>it</w:t>
      </w:r>
      <w:r w:rsidRPr="00264EBB">
        <w:rPr>
          <w:rFonts w:ascii="Arial" w:eastAsia="SimSun" w:hAnsi="Arial" w:cs="Arial"/>
          <w:sz w:val="22"/>
          <w:szCs w:val="22"/>
          <w:lang w:val="fr-FR"/>
        </w:rPr>
        <w:t xml:space="preserve"> au centre de l</w:t>
      </w:r>
      <w:r w:rsidR="008E532B">
        <w:rPr>
          <w:rFonts w:ascii="Arial" w:eastAsia="SimSun" w:hAnsi="Arial" w:cs="Arial"/>
          <w:sz w:val="22"/>
          <w:szCs w:val="22"/>
          <w:lang w:val="fr-FR"/>
        </w:rPr>
        <w:t>’</w:t>
      </w:r>
      <w:r w:rsidRPr="00264EBB">
        <w:rPr>
          <w:rFonts w:ascii="Arial" w:eastAsia="SimSun" w:hAnsi="Arial" w:cs="Arial"/>
          <w:sz w:val="22"/>
          <w:szCs w:val="22"/>
          <w:lang w:val="fr-FR"/>
        </w:rPr>
        <w:t>attention de l</w:t>
      </w:r>
      <w:r w:rsidR="008E532B">
        <w:rPr>
          <w:rFonts w:ascii="Arial" w:eastAsia="SimSun" w:hAnsi="Arial" w:cs="Arial"/>
          <w:sz w:val="22"/>
          <w:szCs w:val="22"/>
          <w:lang w:val="fr-FR"/>
        </w:rPr>
        <w:t>’</w:t>
      </w:r>
      <w:r w:rsidRPr="00264EBB">
        <w:rPr>
          <w:rFonts w:ascii="Arial" w:eastAsia="SimSun" w:hAnsi="Arial" w:cs="Arial"/>
          <w:sz w:val="22"/>
          <w:szCs w:val="22"/>
          <w:lang w:val="fr-FR"/>
        </w:rPr>
        <w:t>Arménie. L</w:t>
      </w:r>
      <w:r w:rsidR="008E532B">
        <w:rPr>
          <w:rFonts w:ascii="Arial" w:eastAsia="SimSun" w:hAnsi="Arial" w:cs="Arial"/>
          <w:sz w:val="22"/>
          <w:szCs w:val="22"/>
          <w:lang w:val="fr-FR"/>
        </w:rPr>
        <w:t>’</w:t>
      </w:r>
      <w:r w:rsidRPr="00264EBB">
        <w:rPr>
          <w:rFonts w:ascii="Arial" w:eastAsia="SimSun" w:hAnsi="Arial" w:cs="Arial"/>
          <w:sz w:val="22"/>
          <w:szCs w:val="22"/>
          <w:lang w:val="fr-FR"/>
        </w:rPr>
        <w:t xml:space="preserve">Arménie </w:t>
      </w:r>
      <w:r>
        <w:rPr>
          <w:rFonts w:ascii="Arial" w:eastAsia="SimSun" w:hAnsi="Arial" w:cs="Arial"/>
          <w:sz w:val="22"/>
          <w:szCs w:val="22"/>
          <w:lang w:val="fr-FR"/>
        </w:rPr>
        <w:t>était</w:t>
      </w:r>
      <w:r w:rsidRPr="00264EBB">
        <w:rPr>
          <w:rFonts w:ascii="Arial" w:eastAsia="SimSun" w:hAnsi="Arial" w:cs="Arial"/>
          <w:sz w:val="22"/>
          <w:szCs w:val="22"/>
          <w:lang w:val="fr-FR"/>
        </w:rPr>
        <w:t xml:space="preserve"> également attentive au programme de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264EBB">
        <w:rPr>
          <w:rFonts w:ascii="Arial" w:eastAsia="SimSun" w:hAnsi="Arial" w:cs="Arial"/>
          <w:sz w:val="22"/>
          <w:szCs w:val="22"/>
          <w:lang w:val="fr-FR"/>
        </w:rPr>
        <w:t>dans l</w:t>
      </w:r>
      <w:r w:rsidR="008E532B">
        <w:rPr>
          <w:rFonts w:ascii="Arial" w:eastAsia="SimSun" w:hAnsi="Arial" w:cs="Arial"/>
          <w:sz w:val="22"/>
          <w:szCs w:val="22"/>
          <w:lang w:val="fr-FR"/>
        </w:rPr>
        <w:t>’</w:t>
      </w:r>
      <w:r w:rsidRPr="00264EBB">
        <w:rPr>
          <w:rFonts w:ascii="Arial" w:eastAsia="SimSun" w:hAnsi="Arial" w:cs="Arial"/>
          <w:sz w:val="22"/>
          <w:szCs w:val="22"/>
          <w:lang w:val="fr-FR"/>
        </w:rPr>
        <w:t xml:space="preserve">éducation formelle et non formelle. Il </w:t>
      </w:r>
      <w:r>
        <w:rPr>
          <w:rFonts w:ascii="Arial" w:eastAsia="SimSun" w:hAnsi="Arial" w:cs="Arial"/>
          <w:sz w:val="22"/>
          <w:szCs w:val="22"/>
          <w:lang w:val="fr-FR"/>
        </w:rPr>
        <w:t>était</w:t>
      </w:r>
      <w:r w:rsidRPr="00264EBB">
        <w:rPr>
          <w:rFonts w:ascii="Arial" w:eastAsia="SimSun" w:hAnsi="Arial" w:cs="Arial"/>
          <w:sz w:val="22"/>
          <w:szCs w:val="22"/>
          <w:lang w:val="fr-FR"/>
        </w:rPr>
        <w:t xml:space="preserve"> en effet important de souligner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264EBB">
        <w:rPr>
          <w:rFonts w:ascii="Arial" w:eastAsia="SimSun" w:hAnsi="Arial" w:cs="Arial"/>
          <w:sz w:val="22"/>
          <w:szCs w:val="22"/>
          <w:lang w:val="fr-FR"/>
        </w:rPr>
        <w:t>dans le cadre de l</w:t>
      </w:r>
      <w:r w:rsidR="008E532B">
        <w:rPr>
          <w:rFonts w:ascii="Arial" w:eastAsia="SimSun" w:hAnsi="Arial" w:cs="Arial"/>
          <w:sz w:val="22"/>
          <w:szCs w:val="22"/>
          <w:lang w:val="fr-FR"/>
        </w:rPr>
        <w:t>’</w:t>
      </w:r>
      <w:r w:rsidRPr="00264EBB">
        <w:rPr>
          <w:rFonts w:ascii="Arial" w:eastAsia="SimSun" w:hAnsi="Arial" w:cs="Arial"/>
          <w:sz w:val="22"/>
          <w:szCs w:val="22"/>
          <w:lang w:val="fr-FR"/>
        </w:rPr>
        <w:t xml:space="preserve">éducation à la citoyenneté mondiale, et que les jeunes - qui en sont les principaux bénéficiaires - soient mobilisés sur cette question. La délégation a conclu </w:t>
      </w:r>
      <w:r>
        <w:rPr>
          <w:rFonts w:ascii="Arial" w:eastAsia="SimSun" w:hAnsi="Arial" w:cs="Arial"/>
          <w:sz w:val="22"/>
          <w:szCs w:val="22"/>
          <w:lang w:val="fr-FR"/>
        </w:rPr>
        <w:t xml:space="preserve">son </w:t>
      </w:r>
      <w:r w:rsidRPr="00B86E68">
        <w:rPr>
          <w:rFonts w:ascii="Arial" w:eastAsia="SimSun" w:hAnsi="Arial" w:cs="Arial"/>
          <w:sz w:val="22"/>
          <w:szCs w:val="22"/>
          <w:lang w:val="fr-FR"/>
        </w:rPr>
        <w:t>intervention</w:t>
      </w:r>
      <w:r>
        <w:rPr>
          <w:rFonts w:ascii="Arial" w:eastAsia="SimSun" w:hAnsi="Arial" w:cs="Arial"/>
          <w:sz w:val="22"/>
          <w:szCs w:val="22"/>
          <w:lang w:val="fr-FR"/>
        </w:rPr>
        <w:t xml:space="preserve"> </w:t>
      </w:r>
      <w:r w:rsidRPr="00264EBB">
        <w:rPr>
          <w:rFonts w:ascii="Arial" w:eastAsia="SimSun" w:hAnsi="Arial" w:cs="Arial"/>
          <w:sz w:val="22"/>
          <w:szCs w:val="22"/>
          <w:lang w:val="fr-FR"/>
        </w:rPr>
        <w:t>en mentionnant le changement climatique et son impact sur les personnes et l</w:t>
      </w:r>
      <w:r w:rsidR="008E532B">
        <w:rPr>
          <w:rFonts w:ascii="Arial" w:eastAsia="SimSun" w:hAnsi="Arial" w:cs="Arial"/>
          <w:sz w:val="22"/>
          <w:szCs w:val="22"/>
          <w:lang w:val="fr-FR"/>
        </w:rPr>
        <w:t>’</w:t>
      </w:r>
      <w:r w:rsidRPr="00264EBB">
        <w:rPr>
          <w:rFonts w:ascii="Arial" w:eastAsia="SimSun" w:hAnsi="Arial" w:cs="Arial"/>
          <w:sz w:val="22"/>
          <w:szCs w:val="22"/>
          <w:lang w:val="fr-FR"/>
        </w:rPr>
        <w:t>environnement, qui reste l</w:t>
      </w:r>
      <w:r w:rsidR="008E532B">
        <w:rPr>
          <w:rFonts w:ascii="Arial" w:eastAsia="SimSun" w:hAnsi="Arial" w:cs="Arial"/>
          <w:sz w:val="22"/>
          <w:szCs w:val="22"/>
          <w:lang w:val="fr-FR"/>
        </w:rPr>
        <w:t>’</w:t>
      </w:r>
      <w:r w:rsidRPr="00264EBB">
        <w:rPr>
          <w:rFonts w:ascii="Arial" w:eastAsia="SimSun" w:hAnsi="Arial" w:cs="Arial"/>
          <w:sz w:val="22"/>
          <w:szCs w:val="22"/>
          <w:lang w:val="fr-FR"/>
        </w:rPr>
        <w:t>une des principales préoccupations de l</w:t>
      </w:r>
      <w:r w:rsidR="008E532B">
        <w:rPr>
          <w:rFonts w:ascii="Arial" w:eastAsia="SimSun" w:hAnsi="Arial" w:cs="Arial"/>
          <w:sz w:val="22"/>
          <w:szCs w:val="22"/>
          <w:lang w:val="fr-FR"/>
        </w:rPr>
        <w:t>’</w:t>
      </w:r>
      <w:r w:rsidRPr="00264EBB">
        <w:rPr>
          <w:rFonts w:ascii="Arial" w:eastAsia="SimSun" w:hAnsi="Arial" w:cs="Arial"/>
          <w:sz w:val="22"/>
          <w:szCs w:val="22"/>
          <w:lang w:val="fr-FR"/>
        </w:rPr>
        <w:t>Arménie. À ce</w:t>
      </w:r>
      <w:r>
        <w:rPr>
          <w:rFonts w:ascii="Arial" w:eastAsia="SimSun" w:hAnsi="Arial" w:cs="Arial"/>
          <w:sz w:val="22"/>
          <w:szCs w:val="22"/>
          <w:lang w:val="fr-FR"/>
        </w:rPr>
        <w:t xml:space="preserve"> sujet</w:t>
      </w:r>
      <w:r w:rsidRPr="00264EBB">
        <w:rPr>
          <w:rFonts w:ascii="Arial" w:eastAsia="SimSun" w:hAnsi="Arial" w:cs="Arial"/>
          <w:sz w:val="22"/>
          <w:szCs w:val="22"/>
          <w:lang w:val="fr-FR"/>
        </w:rPr>
        <w:t xml:space="preserve">, il </w:t>
      </w:r>
      <w:r>
        <w:rPr>
          <w:rFonts w:ascii="Arial" w:eastAsia="SimSun" w:hAnsi="Arial" w:cs="Arial"/>
          <w:sz w:val="22"/>
          <w:szCs w:val="22"/>
          <w:lang w:val="fr-FR"/>
        </w:rPr>
        <w:t xml:space="preserve">était </w:t>
      </w:r>
      <w:r w:rsidRPr="00264EBB">
        <w:rPr>
          <w:rFonts w:ascii="Arial" w:eastAsia="SimSun" w:hAnsi="Arial" w:cs="Arial"/>
          <w:sz w:val="22"/>
          <w:szCs w:val="22"/>
          <w:lang w:val="fr-FR"/>
        </w:rPr>
        <w:t xml:space="preserve">essentiel de </w:t>
      </w:r>
      <w:r>
        <w:rPr>
          <w:rFonts w:ascii="Arial" w:eastAsia="SimSun" w:hAnsi="Arial" w:cs="Arial"/>
          <w:sz w:val="22"/>
          <w:szCs w:val="22"/>
          <w:lang w:val="fr-FR"/>
        </w:rPr>
        <w:t xml:space="preserve">poursuivre le travail </w:t>
      </w:r>
      <w:r w:rsidRPr="00264EBB">
        <w:rPr>
          <w:rFonts w:ascii="Arial" w:eastAsia="SimSun" w:hAnsi="Arial" w:cs="Arial"/>
          <w:sz w:val="22"/>
          <w:szCs w:val="22"/>
          <w:lang w:val="fr-FR"/>
        </w:rPr>
        <w:t xml:space="preserve">sur la relation entre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264EBB">
        <w:rPr>
          <w:rFonts w:ascii="Arial" w:eastAsia="SimSun" w:hAnsi="Arial" w:cs="Arial"/>
          <w:sz w:val="22"/>
          <w:szCs w:val="22"/>
          <w:lang w:val="fr-FR"/>
        </w:rPr>
        <w:t>et le changement climatique.</w:t>
      </w:r>
    </w:p>
    <w:p w14:paraId="1A75E8E3" w14:textId="2846A114" w:rsidR="00D9653F" w:rsidRPr="00B86E68"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B86E68">
        <w:rPr>
          <w:rFonts w:ascii="Arial" w:eastAsia="SimSun" w:hAnsi="Arial" w:cs="Arial"/>
          <w:sz w:val="22"/>
          <w:szCs w:val="22"/>
          <w:lang w:val="fr-FR"/>
        </w:rPr>
        <w:t>La délégation de l</w:t>
      </w:r>
      <w:r w:rsidR="008E532B">
        <w:rPr>
          <w:rFonts w:ascii="Arial" w:eastAsia="SimSun" w:hAnsi="Arial" w:cs="Arial"/>
          <w:sz w:val="22"/>
          <w:szCs w:val="22"/>
          <w:lang w:val="fr-FR"/>
        </w:rPr>
        <w:t>’</w:t>
      </w:r>
      <w:r w:rsidRPr="00B86E68">
        <w:rPr>
          <w:rFonts w:ascii="Arial" w:eastAsia="SimSun" w:hAnsi="Arial" w:cs="Arial"/>
          <w:b/>
          <w:bCs/>
          <w:sz w:val="22"/>
          <w:szCs w:val="22"/>
          <w:lang w:val="fr-FR"/>
        </w:rPr>
        <w:t>Ukraine</w:t>
      </w:r>
      <w:r w:rsidRPr="00B86E68">
        <w:rPr>
          <w:rFonts w:ascii="Arial" w:eastAsia="SimSun" w:hAnsi="Arial" w:cs="Arial"/>
          <w:sz w:val="22"/>
          <w:szCs w:val="22"/>
          <w:lang w:val="fr-FR"/>
        </w:rPr>
        <w:t xml:space="preserve"> a félicité la Présidente pour son élection et a remercié le Secrétariat, le Bureau et le Comité pour l</w:t>
      </w:r>
      <w:r w:rsidR="008E532B">
        <w:rPr>
          <w:rFonts w:ascii="Arial" w:eastAsia="SimSun" w:hAnsi="Arial" w:cs="Arial"/>
          <w:sz w:val="22"/>
          <w:szCs w:val="22"/>
          <w:lang w:val="fr-FR"/>
        </w:rPr>
        <w:t>’</w:t>
      </w:r>
      <w:r w:rsidRPr="00B86E68">
        <w:rPr>
          <w:rFonts w:ascii="Arial" w:eastAsia="SimSun" w:hAnsi="Arial" w:cs="Arial"/>
          <w:sz w:val="22"/>
          <w:szCs w:val="22"/>
          <w:lang w:val="fr-FR"/>
        </w:rPr>
        <w:t>excellent travail d</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assistance aux </w:t>
      </w:r>
      <w:r>
        <w:rPr>
          <w:rFonts w:ascii="Arial" w:eastAsia="SimSun" w:hAnsi="Arial" w:cs="Arial"/>
          <w:sz w:val="22"/>
          <w:szCs w:val="22"/>
          <w:lang w:val="fr-FR"/>
        </w:rPr>
        <w:t>É</w:t>
      </w:r>
      <w:r w:rsidRPr="00B86E68">
        <w:rPr>
          <w:rFonts w:ascii="Arial" w:eastAsia="SimSun" w:hAnsi="Arial" w:cs="Arial"/>
          <w:sz w:val="22"/>
          <w:szCs w:val="22"/>
          <w:lang w:val="fr-FR"/>
        </w:rPr>
        <w:t>tats parties dans la mise en œuvre de la Convention. Elle a également souligné l</w:t>
      </w:r>
      <w:r w:rsidR="008E532B">
        <w:rPr>
          <w:rFonts w:ascii="Arial" w:eastAsia="SimSun" w:hAnsi="Arial" w:cs="Arial"/>
          <w:sz w:val="22"/>
          <w:szCs w:val="22"/>
          <w:lang w:val="fr-FR"/>
        </w:rPr>
        <w:t>’</w:t>
      </w:r>
      <w:r w:rsidRPr="00B86E68">
        <w:rPr>
          <w:rFonts w:ascii="Arial" w:eastAsia="SimSun" w:hAnsi="Arial" w:cs="Arial"/>
          <w:sz w:val="22"/>
          <w:szCs w:val="22"/>
          <w:lang w:val="fr-FR"/>
        </w:rPr>
        <w:t>importance des processus et décisions m</w:t>
      </w:r>
      <w:r>
        <w:rPr>
          <w:rFonts w:ascii="Arial" w:eastAsia="SimSun" w:hAnsi="Arial" w:cs="Arial"/>
          <w:sz w:val="22"/>
          <w:szCs w:val="22"/>
          <w:lang w:val="fr-FR"/>
        </w:rPr>
        <w:t xml:space="preserve">is en œuvre </w:t>
      </w:r>
      <w:r w:rsidRPr="00B86E68">
        <w:rPr>
          <w:rFonts w:ascii="Arial" w:eastAsia="SimSun" w:hAnsi="Arial" w:cs="Arial"/>
          <w:sz w:val="22"/>
          <w:szCs w:val="22"/>
          <w:lang w:val="fr-FR"/>
        </w:rPr>
        <w:t xml:space="preserve">pour renforcer la Convention dans son rôle de protection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B86E68">
        <w:rPr>
          <w:rFonts w:ascii="Arial" w:eastAsia="SimSun" w:hAnsi="Arial" w:cs="Arial"/>
          <w:sz w:val="22"/>
          <w:szCs w:val="22"/>
          <w:lang w:val="fr-FR"/>
        </w:rPr>
        <w:t xml:space="preserve">et, à cet égard, le grand travail récemment </w:t>
      </w:r>
      <w:r>
        <w:rPr>
          <w:rFonts w:ascii="Arial" w:eastAsia="SimSun" w:hAnsi="Arial" w:cs="Arial"/>
          <w:sz w:val="22"/>
          <w:szCs w:val="22"/>
          <w:lang w:val="fr-FR"/>
        </w:rPr>
        <w:t xml:space="preserve">réalisé </w:t>
      </w:r>
      <w:r w:rsidRPr="00B86E68">
        <w:rPr>
          <w:rFonts w:ascii="Arial" w:eastAsia="SimSun" w:hAnsi="Arial" w:cs="Arial"/>
          <w:sz w:val="22"/>
          <w:szCs w:val="22"/>
          <w:lang w:val="fr-FR"/>
        </w:rPr>
        <w:t>pour améliorer la procédure d</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inscription. La délégation a remercié tous les pays qui </w:t>
      </w:r>
      <w:r>
        <w:rPr>
          <w:rFonts w:ascii="Arial" w:eastAsia="SimSun" w:hAnsi="Arial" w:cs="Arial"/>
          <w:sz w:val="22"/>
          <w:szCs w:val="22"/>
          <w:lang w:val="fr-FR"/>
        </w:rPr>
        <w:t>avaient</w:t>
      </w:r>
      <w:r w:rsidRPr="00B86E68">
        <w:rPr>
          <w:rFonts w:ascii="Arial" w:eastAsia="SimSun" w:hAnsi="Arial" w:cs="Arial"/>
          <w:sz w:val="22"/>
          <w:szCs w:val="22"/>
          <w:lang w:val="fr-FR"/>
        </w:rPr>
        <w:t xml:space="preserve"> soutenu l</w:t>
      </w:r>
      <w:r w:rsidR="008E532B">
        <w:rPr>
          <w:rFonts w:ascii="Arial" w:eastAsia="SimSun" w:hAnsi="Arial" w:cs="Arial"/>
          <w:sz w:val="22"/>
          <w:szCs w:val="22"/>
          <w:lang w:val="fr-FR"/>
        </w:rPr>
        <w:t>’</w:t>
      </w:r>
      <w:r w:rsidRPr="00B86E68">
        <w:rPr>
          <w:rFonts w:ascii="Arial" w:eastAsia="SimSun" w:hAnsi="Arial" w:cs="Arial"/>
          <w:sz w:val="22"/>
          <w:szCs w:val="22"/>
          <w:lang w:val="fr-FR"/>
        </w:rPr>
        <w:t>inscription de la</w:t>
      </w:r>
      <w:r>
        <w:rPr>
          <w:rFonts w:ascii="Arial" w:eastAsia="SimSun" w:hAnsi="Arial" w:cs="Arial"/>
          <w:sz w:val="22"/>
          <w:szCs w:val="22"/>
          <w:lang w:val="fr-FR"/>
        </w:rPr>
        <w:t xml:space="preserve"> c</w:t>
      </w:r>
      <w:r w:rsidRPr="00BF4BDA">
        <w:rPr>
          <w:rFonts w:ascii="Arial" w:eastAsia="SimSun" w:hAnsi="Arial" w:cs="Arial"/>
          <w:sz w:val="22"/>
          <w:szCs w:val="22"/>
          <w:lang w:val="fr-FR"/>
        </w:rPr>
        <w:t xml:space="preserve">ulture de la </w:t>
      </w:r>
      <w:r>
        <w:rPr>
          <w:rFonts w:ascii="Arial" w:eastAsia="SimSun" w:hAnsi="Arial" w:cs="Arial"/>
          <w:sz w:val="22"/>
          <w:szCs w:val="22"/>
          <w:lang w:val="fr-FR"/>
        </w:rPr>
        <w:t xml:space="preserve">préparation du bortsch </w:t>
      </w:r>
      <w:r w:rsidRPr="00BF4BDA">
        <w:rPr>
          <w:rFonts w:ascii="Arial" w:eastAsia="SimSun" w:hAnsi="Arial" w:cs="Arial"/>
          <w:sz w:val="22"/>
          <w:szCs w:val="22"/>
          <w:lang w:val="fr-FR"/>
        </w:rPr>
        <w:t>ukrainien</w:t>
      </w:r>
      <w:r w:rsidRPr="00B86E68">
        <w:rPr>
          <w:rFonts w:ascii="Arial" w:eastAsia="SimSun" w:hAnsi="Arial" w:cs="Arial"/>
          <w:sz w:val="22"/>
          <w:szCs w:val="22"/>
          <w:lang w:val="fr-FR"/>
        </w:rPr>
        <w:t xml:space="preserve"> sur la </w:t>
      </w:r>
      <w:r>
        <w:rPr>
          <w:rFonts w:ascii="Arial" w:eastAsia="SimSun" w:hAnsi="Arial" w:cs="Arial"/>
          <w:sz w:val="22"/>
          <w:szCs w:val="22"/>
          <w:lang w:val="fr-FR"/>
        </w:rPr>
        <w:t>L</w:t>
      </w:r>
      <w:r w:rsidRPr="00B86E68">
        <w:rPr>
          <w:rFonts w:ascii="Arial" w:eastAsia="SimSun" w:hAnsi="Arial" w:cs="Arial"/>
          <w:sz w:val="22"/>
          <w:szCs w:val="22"/>
          <w:lang w:val="fr-FR"/>
        </w:rPr>
        <w:t>iste de sauvegarde urgente</w:t>
      </w:r>
      <w:r>
        <w:rPr>
          <w:rFonts w:ascii="Arial" w:eastAsia="SimSun" w:hAnsi="Arial" w:cs="Arial"/>
          <w:sz w:val="22"/>
          <w:szCs w:val="22"/>
          <w:lang w:val="fr-FR"/>
        </w:rPr>
        <w:t>,</w:t>
      </w:r>
      <w:r w:rsidRPr="00B86E68">
        <w:rPr>
          <w:rFonts w:ascii="Arial" w:eastAsia="SimSun" w:hAnsi="Arial" w:cs="Arial"/>
          <w:sz w:val="22"/>
          <w:szCs w:val="22"/>
          <w:lang w:val="fr-FR"/>
        </w:rPr>
        <w:t xml:space="preserve"> en tant que cas d</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extrême urgence. Elle a également remercié les États membres qui </w:t>
      </w:r>
      <w:r>
        <w:rPr>
          <w:rFonts w:ascii="Arial" w:eastAsia="SimSun" w:hAnsi="Arial" w:cs="Arial"/>
          <w:sz w:val="22"/>
          <w:szCs w:val="22"/>
          <w:lang w:val="fr-FR"/>
        </w:rPr>
        <w:t>aidaient</w:t>
      </w:r>
      <w:r w:rsidRPr="00B86E68">
        <w:rPr>
          <w:rFonts w:ascii="Arial" w:eastAsia="SimSun" w:hAnsi="Arial" w:cs="Arial"/>
          <w:sz w:val="22"/>
          <w:szCs w:val="22"/>
          <w:lang w:val="fr-FR"/>
        </w:rPr>
        <w:t xml:space="preserve"> et contribu</w:t>
      </w:r>
      <w:r>
        <w:rPr>
          <w:rFonts w:ascii="Arial" w:eastAsia="SimSun" w:hAnsi="Arial" w:cs="Arial"/>
          <w:sz w:val="22"/>
          <w:szCs w:val="22"/>
          <w:lang w:val="fr-FR"/>
        </w:rPr>
        <w:t>aient</w:t>
      </w:r>
      <w:r w:rsidRPr="00B86E68">
        <w:rPr>
          <w:rFonts w:ascii="Arial" w:eastAsia="SimSun" w:hAnsi="Arial" w:cs="Arial"/>
          <w:sz w:val="22"/>
          <w:szCs w:val="22"/>
          <w:lang w:val="fr-FR"/>
        </w:rPr>
        <w:t xml:space="preserve"> aux projets et programmes visant à préserver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B86E68">
        <w:rPr>
          <w:rFonts w:ascii="Arial" w:eastAsia="SimSun" w:hAnsi="Arial" w:cs="Arial"/>
          <w:sz w:val="22"/>
          <w:szCs w:val="22"/>
          <w:lang w:val="fr-FR"/>
        </w:rPr>
        <w:t>de l</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Ukraine. Cela </w:t>
      </w:r>
      <w:r>
        <w:rPr>
          <w:rFonts w:ascii="Arial" w:eastAsia="SimSun" w:hAnsi="Arial" w:cs="Arial"/>
          <w:sz w:val="22"/>
          <w:szCs w:val="22"/>
          <w:lang w:val="fr-FR"/>
        </w:rPr>
        <w:t>montrait</w:t>
      </w:r>
      <w:r w:rsidRPr="00B86E68">
        <w:rPr>
          <w:rFonts w:ascii="Arial" w:eastAsia="SimSun" w:hAnsi="Arial" w:cs="Arial"/>
          <w:sz w:val="22"/>
          <w:szCs w:val="22"/>
          <w:lang w:val="fr-FR"/>
        </w:rPr>
        <w:t xml:space="preserve"> l</w:t>
      </w:r>
      <w:r w:rsidR="008E532B">
        <w:rPr>
          <w:rFonts w:ascii="Arial" w:eastAsia="SimSun" w:hAnsi="Arial" w:cs="Arial"/>
          <w:sz w:val="22"/>
          <w:szCs w:val="22"/>
          <w:lang w:val="fr-FR"/>
        </w:rPr>
        <w:t>’</w:t>
      </w:r>
      <w:r w:rsidRPr="00B86E68">
        <w:rPr>
          <w:rFonts w:ascii="Arial" w:eastAsia="SimSun" w:hAnsi="Arial" w:cs="Arial"/>
          <w:sz w:val="22"/>
          <w:szCs w:val="22"/>
          <w:lang w:val="fr-FR"/>
        </w:rPr>
        <w:t>importance des efforts communs qui p</w:t>
      </w:r>
      <w:r>
        <w:rPr>
          <w:rFonts w:ascii="Arial" w:eastAsia="SimSun" w:hAnsi="Arial" w:cs="Arial"/>
          <w:sz w:val="22"/>
          <w:szCs w:val="22"/>
          <w:lang w:val="fr-FR"/>
        </w:rPr>
        <w:t>ouvaient</w:t>
      </w:r>
      <w:r w:rsidRPr="00B86E68">
        <w:rPr>
          <w:rFonts w:ascii="Arial" w:eastAsia="SimSun" w:hAnsi="Arial" w:cs="Arial"/>
          <w:sz w:val="22"/>
          <w:szCs w:val="22"/>
          <w:lang w:val="fr-FR"/>
        </w:rPr>
        <w:t xml:space="preserve"> être </w:t>
      </w:r>
      <w:r>
        <w:rPr>
          <w:rFonts w:ascii="Arial" w:eastAsia="SimSun" w:hAnsi="Arial" w:cs="Arial"/>
          <w:sz w:val="22"/>
          <w:szCs w:val="22"/>
          <w:lang w:val="fr-FR"/>
        </w:rPr>
        <w:t xml:space="preserve">entrepris </w:t>
      </w:r>
      <w:r w:rsidRPr="00B86E68">
        <w:rPr>
          <w:rFonts w:ascii="Arial" w:eastAsia="SimSun" w:hAnsi="Arial" w:cs="Arial"/>
          <w:sz w:val="22"/>
          <w:szCs w:val="22"/>
          <w:lang w:val="fr-FR"/>
        </w:rPr>
        <w:t>dans le cadre de la Convention</w:t>
      </w:r>
      <w:r>
        <w:rPr>
          <w:rFonts w:ascii="Arial" w:eastAsia="SimSun" w:hAnsi="Arial" w:cs="Arial"/>
          <w:sz w:val="22"/>
          <w:szCs w:val="22"/>
          <w:lang w:val="fr-FR"/>
        </w:rPr>
        <w:t xml:space="preserve"> </w:t>
      </w:r>
      <w:r w:rsidRPr="00B86E68">
        <w:rPr>
          <w:rFonts w:ascii="Arial" w:eastAsia="SimSun" w:hAnsi="Arial" w:cs="Arial"/>
          <w:sz w:val="22"/>
          <w:szCs w:val="22"/>
          <w:lang w:val="fr-FR"/>
        </w:rPr>
        <w:t>dans les situations d</w:t>
      </w:r>
      <w:r w:rsidR="008E532B">
        <w:rPr>
          <w:rFonts w:ascii="Arial" w:eastAsia="SimSun" w:hAnsi="Arial" w:cs="Arial"/>
          <w:sz w:val="22"/>
          <w:szCs w:val="22"/>
          <w:lang w:val="fr-FR"/>
        </w:rPr>
        <w:t>’</w:t>
      </w:r>
      <w:r w:rsidRPr="00B86E68">
        <w:rPr>
          <w:rFonts w:ascii="Arial" w:eastAsia="SimSun" w:hAnsi="Arial" w:cs="Arial"/>
          <w:sz w:val="22"/>
          <w:szCs w:val="22"/>
          <w:lang w:val="fr-FR"/>
        </w:rPr>
        <w:t>urgence. L</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inscription de la </w:t>
      </w:r>
      <w:r>
        <w:rPr>
          <w:rFonts w:ascii="Arial" w:eastAsia="SimSun" w:hAnsi="Arial" w:cs="Arial"/>
          <w:sz w:val="22"/>
          <w:szCs w:val="22"/>
          <w:lang w:val="fr-FR"/>
        </w:rPr>
        <w:t>c</w:t>
      </w:r>
      <w:r w:rsidRPr="00BF4BDA">
        <w:rPr>
          <w:rFonts w:ascii="Arial" w:eastAsia="SimSun" w:hAnsi="Arial" w:cs="Arial"/>
          <w:sz w:val="22"/>
          <w:szCs w:val="22"/>
          <w:lang w:val="fr-FR"/>
        </w:rPr>
        <w:t xml:space="preserve">ulture de la </w:t>
      </w:r>
      <w:r>
        <w:rPr>
          <w:rFonts w:ascii="Arial" w:eastAsia="SimSun" w:hAnsi="Arial" w:cs="Arial"/>
          <w:sz w:val="22"/>
          <w:szCs w:val="22"/>
          <w:lang w:val="fr-FR"/>
        </w:rPr>
        <w:t xml:space="preserve">préparation du bortsch </w:t>
      </w:r>
      <w:r w:rsidRPr="00BF4BDA">
        <w:rPr>
          <w:rFonts w:ascii="Arial" w:eastAsia="SimSun" w:hAnsi="Arial" w:cs="Arial"/>
          <w:sz w:val="22"/>
          <w:szCs w:val="22"/>
          <w:lang w:val="fr-FR"/>
        </w:rPr>
        <w:t>ukrainien</w:t>
      </w:r>
      <w:r w:rsidRPr="00B86E68">
        <w:rPr>
          <w:rFonts w:ascii="Arial" w:eastAsia="SimSun" w:hAnsi="Arial" w:cs="Arial"/>
          <w:sz w:val="22"/>
          <w:szCs w:val="22"/>
          <w:lang w:val="fr-FR"/>
        </w:rPr>
        <w:t xml:space="preserve"> </w:t>
      </w:r>
      <w:r>
        <w:rPr>
          <w:rFonts w:ascii="Arial" w:eastAsia="SimSun" w:hAnsi="Arial" w:cs="Arial"/>
          <w:sz w:val="22"/>
          <w:szCs w:val="22"/>
          <w:lang w:val="fr-FR"/>
        </w:rPr>
        <w:t>était</w:t>
      </w:r>
      <w:r w:rsidRPr="00B86E68">
        <w:rPr>
          <w:rFonts w:ascii="Arial" w:eastAsia="SimSun" w:hAnsi="Arial" w:cs="Arial"/>
          <w:sz w:val="22"/>
          <w:szCs w:val="22"/>
          <w:lang w:val="fr-FR"/>
        </w:rPr>
        <w:t xml:space="preserve"> très significative et constitu</w:t>
      </w:r>
      <w:r>
        <w:rPr>
          <w:rFonts w:ascii="Arial" w:eastAsia="SimSun" w:hAnsi="Arial" w:cs="Arial"/>
          <w:sz w:val="22"/>
          <w:szCs w:val="22"/>
          <w:lang w:val="fr-FR"/>
        </w:rPr>
        <w:t>ait</w:t>
      </w:r>
      <w:r w:rsidRPr="00B86E68">
        <w:rPr>
          <w:rFonts w:ascii="Arial" w:eastAsia="SimSun" w:hAnsi="Arial" w:cs="Arial"/>
          <w:sz w:val="22"/>
          <w:szCs w:val="22"/>
          <w:lang w:val="fr-FR"/>
        </w:rPr>
        <w:t xml:space="preserve"> un événement important pour l</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Ukraine. </w:t>
      </w:r>
      <w:r w:rsidR="006D41D6">
        <w:rPr>
          <w:rFonts w:ascii="Arial" w:eastAsia="SimSun" w:hAnsi="Arial" w:cs="Arial"/>
          <w:sz w:val="22"/>
          <w:szCs w:val="22"/>
          <w:lang w:val="fr-FR"/>
        </w:rPr>
        <w:t>La délégation a noté que m</w:t>
      </w:r>
      <w:r w:rsidRPr="00B86E68">
        <w:rPr>
          <w:rFonts w:ascii="Arial" w:eastAsia="SimSun" w:hAnsi="Arial" w:cs="Arial"/>
          <w:sz w:val="22"/>
          <w:szCs w:val="22"/>
          <w:lang w:val="fr-FR"/>
        </w:rPr>
        <w:t>algré toutes les menaces sociales et humanitaires résultant de la guerre totale menée par la Russie contre l</w:t>
      </w:r>
      <w:r w:rsidR="008E532B">
        <w:rPr>
          <w:rFonts w:ascii="Arial" w:eastAsia="SimSun" w:hAnsi="Arial" w:cs="Arial"/>
          <w:sz w:val="22"/>
          <w:szCs w:val="22"/>
          <w:lang w:val="fr-FR"/>
        </w:rPr>
        <w:t>’</w:t>
      </w:r>
      <w:r w:rsidRPr="00B86E68">
        <w:rPr>
          <w:rFonts w:ascii="Arial" w:eastAsia="SimSun" w:hAnsi="Arial" w:cs="Arial"/>
          <w:sz w:val="22"/>
          <w:szCs w:val="22"/>
          <w:lang w:val="fr-FR"/>
        </w:rPr>
        <w:t>Ukraine, de nombreuses familles ukrainiennes mang</w:t>
      </w:r>
      <w:r>
        <w:rPr>
          <w:rFonts w:ascii="Arial" w:eastAsia="SimSun" w:hAnsi="Arial" w:cs="Arial"/>
          <w:sz w:val="22"/>
          <w:szCs w:val="22"/>
          <w:lang w:val="fr-FR"/>
        </w:rPr>
        <w:t>eaient</w:t>
      </w:r>
      <w:r w:rsidRPr="00B86E68">
        <w:rPr>
          <w:rFonts w:ascii="Arial" w:eastAsia="SimSun" w:hAnsi="Arial" w:cs="Arial"/>
          <w:sz w:val="22"/>
          <w:szCs w:val="22"/>
          <w:lang w:val="fr-FR"/>
        </w:rPr>
        <w:t xml:space="preserve"> du bortsch</w:t>
      </w:r>
      <w:r>
        <w:rPr>
          <w:rFonts w:ascii="Arial" w:eastAsia="SimSun" w:hAnsi="Arial" w:cs="Arial"/>
          <w:sz w:val="22"/>
          <w:szCs w:val="22"/>
          <w:lang w:val="fr-FR"/>
        </w:rPr>
        <w:t>,</w:t>
      </w:r>
      <w:r w:rsidRPr="00B86E68">
        <w:rPr>
          <w:rFonts w:ascii="Arial" w:eastAsia="SimSun" w:hAnsi="Arial" w:cs="Arial"/>
          <w:sz w:val="22"/>
          <w:szCs w:val="22"/>
          <w:lang w:val="fr-FR"/>
        </w:rPr>
        <w:t xml:space="preserve"> hier,</w:t>
      </w:r>
      <w:r>
        <w:rPr>
          <w:rFonts w:ascii="Arial" w:eastAsia="SimSun" w:hAnsi="Arial" w:cs="Arial"/>
          <w:sz w:val="22"/>
          <w:szCs w:val="22"/>
          <w:lang w:val="fr-FR"/>
        </w:rPr>
        <w:t xml:space="preserve"> </w:t>
      </w:r>
      <w:r w:rsidRPr="00B86E68">
        <w:rPr>
          <w:rFonts w:ascii="Arial" w:eastAsia="SimSun" w:hAnsi="Arial" w:cs="Arial"/>
          <w:sz w:val="22"/>
          <w:szCs w:val="22"/>
          <w:lang w:val="fr-FR"/>
        </w:rPr>
        <w:t>aujourd</w:t>
      </w:r>
      <w:r w:rsidR="008E532B">
        <w:rPr>
          <w:rFonts w:ascii="Arial" w:eastAsia="SimSun" w:hAnsi="Arial" w:cs="Arial"/>
          <w:sz w:val="22"/>
          <w:szCs w:val="22"/>
          <w:lang w:val="fr-FR"/>
        </w:rPr>
        <w:t>’</w:t>
      </w:r>
      <w:r w:rsidRPr="00B86E68">
        <w:rPr>
          <w:rFonts w:ascii="Arial" w:eastAsia="SimSun" w:hAnsi="Arial" w:cs="Arial"/>
          <w:sz w:val="22"/>
          <w:szCs w:val="22"/>
          <w:lang w:val="fr-FR"/>
        </w:rPr>
        <w:t>hui et pour toujours sur le territoire ukrainien. Dans les villes détruites, sur la ligne de front</w:t>
      </w:r>
      <w:r>
        <w:rPr>
          <w:rFonts w:ascii="Arial" w:eastAsia="SimSun" w:hAnsi="Arial" w:cs="Arial"/>
          <w:sz w:val="22"/>
          <w:szCs w:val="22"/>
          <w:lang w:val="fr-FR"/>
        </w:rPr>
        <w:t xml:space="preserve"> et </w:t>
      </w:r>
      <w:r w:rsidRPr="00B86E68">
        <w:rPr>
          <w:rFonts w:ascii="Arial" w:eastAsia="SimSun" w:hAnsi="Arial" w:cs="Arial"/>
          <w:sz w:val="22"/>
          <w:szCs w:val="22"/>
          <w:lang w:val="fr-FR"/>
        </w:rPr>
        <w:t>dans d</w:t>
      </w:r>
      <w:r w:rsidR="008E532B">
        <w:rPr>
          <w:rFonts w:ascii="Arial" w:eastAsia="SimSun" w:hAnsi="Arial" w:cs="Arial"/>
          <w:sz w:val="22"/>
          <w:szCs w:val="22"/>
          <w:lang w:val="fr-FR"/>
        </w:rPr>
        <w:t>’</w:t>
      </w:r>
      <w:r w:rsidRPr="00B86E68">
        <w:rPr>
          <w:rFonts w:ascii="Arial" w:eastAsia="SimSun" w:hAnsi="Arial" w:cs="Arial"/>
          <w:sz w:val="22"/>
          <w:szCs w:val="22"/>
          <w:lang w:val="fr-FR"/>
        </w:rPr>
        <w:t>autres pays qui</w:t>
      </w:r>
      <w:r>
        <w:rPr>
          <w:rFonts w:ascii="Arial" w:eastAsia="SimSun" w:hAnsi="Arial" w:cs="Arial"/>
          <w:sz w:val="22"/>
          <w:szCs w:val="22"/>
          <w:lang w:val="fr-FR"/>
        </w:rPr>
        <w:t xml:space="preserve"> offraient chaleureusement l</w:t>
      </w:r>
      <w:r w:rsidR="008E532B">
        <w:rPr>
          <w:rFonts w:ascii="Arial" w:eastAsia="SimSun" w:hAnsi="Arial" w:cs="Arial"/>
          <w:sz w:val="22"/>
          <w:szCs w:val="22"/>
          <w:lang w:val="fr-FR"/>
        </w:rPr>
        <w:t>’</w:t>
      </w:r>
      <w:r>
        <w:rPr>
          <w:rFonts w:ascii="Arial" w:eastAsia="SimSun" w:hAnsi="Arial" w:cs="Arial"/>
          <w:sz w:val="22"/>
          <w:szCs w:val="22"/>
          <w:lang w:val="fr-FR"/>
        </w:rPr>
        <w:t>hospitalité aux</w:t>
      </w:r>
      <w:r w:rsidRPr="00B86E68">
        <w:rPr>
          <w:rFonts w:ascii="Arial" w:eastAsia="SimSun" w:hAnsi="Arial" w:cs="Arial"/>
          <w:sz w:val="22"/>
          <w:szCs w:val="22"/>
          <w:lang w:val="fr-FR"/>
        </w:rPr>
        <w:t xml:space="preserve"> Ukrainiens, le bortsch ukrainien </w:t>
      </w:r>
      <w:r>
        <w:rPr>
          <w:rFonts w:ascii="Arial" w:eastAsia="SimSun" w:hAnsi="Arial" w:cs="Arial"/>
          <w:sz w:val="22"/>
          <w:szCs w:val="22"/>
          <w:lang w:val="fr-FR"/>
        </w:rPr>
        <w:t>était</w:t>
      </w:r>
      <w:r w:rsidRPr="00B86E68">
        <w:rPr>
          <w:rFonts w:ascii="Arial" w:eastAsia="SimSun" w:hAnsi="Arial" w:cs="Arial"/>
          <w:sz w:val="22"/>
          <w:szCs w:val="22"/>
          <w:lang w:val="fr-FR"/>
        </w:rPr>
        <w:t xml:space="preserve"> </w:t>
      </w:r>
      <w:r>
        <w:rPr>
          <w:rFonts w:ascii="Arial" w:eastAsia="SimSun" w:hAnsi="Arial" w:cs="Arial"/>
          <w:sz w:val="22"/>
          <w:szCs w:val="22"/>
          <w:lang w:val="fr-FR"/>
        </w:rPr>
        <w:t>l</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unique symbole gastronomique et un marqueur de </w:t>
      </w:r>
      <w:r>
        <w:rPr>
          <w:rFonts w:ascii="Arial" w:eastAsia="SimSun" w:hAnsi="Arial" w:cs="Arial"/>
          <w:sz w:val="22"/>
          <w:szCs w:val="22"/>
          <w:lang w:val="fr-FR"/>
        </w:rPr>
        <w:t>l</w:t>
      </w:r>
      <w:r w:rsidR="008E532B">
        <w:rPr>
          <w:rFonts w:ascii="Arial" w:eastAsia="SimSun" w:hAnsi="Arial" w:cs="Arial"/>
          <w:sz w:val="22"/>
          <w:szCs w:val="22"/>
          <w:lang w:val="fr-FR"/>
        </w:rPr>
        <w:t>’</w:t>
      </w:r>
      <w:r w:rsidRPr="00B86E68">
        <w:rPr>
          <w:rFonts w:ascii="Arial" w:eastAsia="SimSun" w:hAnsi="Arial" w:cs="Arial"/>
          <w:sz w:val="22"/>
          <w:szCs w:val="22"/>
          <w:lang w:val="fr-FR"/>
        </w:rPr>
        <w:t>identité nationale</w:t>
      </w:r>
      <w:r>
        <w:rPr>
          <w:rFonts w:ascii="Arial" w:eastAsia="SimSun" w:hAnsi="Arial" w:cs="Arial"/>
          <w:sz w:val="22"/>
          <w:szCs w:val="22"/>
          <w:lang w:val="fr-FR"/>
        </w:rPr>
        <w:t xml:space="preserve"> de l</w:t>
      </w:r>
      <w:r w:rsidR="008E532B">
        <w:rPr>
          <w:rFonts w:ascii="Arial" w:eastAsia="SimSun" w:hAnsi="Arial" w:cs="Arial"/>
          <w:sz w:val="22"/>
          <w:szCs w:val="22"/>
          <w:lang w:val="fr-FR"/>
        </w:rPr>
        <w:t>’</w:t>
      </w:r>
      <w:r>
        <w:rPr>
          <w:rFonts w:ascii="Arial" w:eastAsia="SimSun" w:hAnsi="Arial" w:cs="Arial"/>
          <w:sz w:val="22"/>
          <w:szCs w:val="22"/>
          <w:lang w:val="fr-FR"/>
        </w:rPr>
        <w:t>Ukraine</w:t>
      </w:r>
      <w:r w:rsidRPr="00B86E68">
        <w:rPr>
          <w:rFonts w:ascii="Arial" w:eastAsia="SimSun" w:hAnsi="Arial" w:cs="Arial"/>
          <w:sz w:val="22"/>
          <w:szCs w:val="22"/>
          <w:lang w:val="fr-FR"/>
        </w:rPr>
        <w:t xml:space="preserve">. </w:t>
      </w:r>
      <w:r>
        <w:rPr>
          <w:rFonts w:ascii="Arial" w:eastAsia="SimSun" w:hAnsi="Arial" w:cs="Arial"/>
          <w:sz w:val="22"/>
          <w:szCs w:val="22"/>
          <w:lang w:val="fr-FR"/>
        </w:rPr>
        <w:t>La c</w:t>
      </w:r>
      <w:r w:rsidRPr="00BF4BDA">
        <w:rPr>
          <w:rFonts w:ascii="Arial" w:eastAsia="SimSun" w:hAnsi="Arial" w:cs="Arial"/>
          <w:sz w:val="22"/>
          <w:szCs w:val="22"/>
          <w:lang w:val="fr-FR"/>
        </w:rPr>
        <w:t xml:space="preserve">ulture de la </w:t>
      </w:r>
      <w:r>
        <w:rPr>
          <w:rFonts w:ascii="Arial" w:eastAsia="SimSun" w:hAnsi="Arial" w:cs="Arial"/>
          <w:sz w:val="22"/>
          <w:szCs w:val="22"/>
          <w:lang w:val="fr-FR"/>
        </w:rPr>
        <w:t xml:space="preserve">préparation du bortsch </w:t>
      </w:r>
      <w:r w:rsidRPr="00BF4BDA">
        <w:rPr>
          <w:rFonts w:ascii="Arial" w:eastAsia="SimSun" w:hAnsi="Arial" w:cs="Arial"/>
          <w:sz w:val="22"/>
          <w:szCs w:val="22"/>
          <w:lang w:val="fr-FR"/>
        </w:rPr>
        <w:t>ukrainien</w:t>
      </w:r>
      <w:r w:rsidRPr="00B86E68">
        <w:rPr>
          <w:rFonts w:ascii="Arial" w:eastAsia="SimSun" w:hAnsi="Arial" w:cs="Arial"/>
          <w:sz w:val="22"/>
          <w:szCs w:val="22"/>
          <w:lang w:val="fr-FR"/>
        </w:rPr>
        <w:t xml:space="preserve"> n</w:t>
      </w:r>
      <w:r w:rsidR="008E532B">
        <w:rPr>
          <w:rFonts w:ascii="Arial" w:eastAsia="SimSun" w:hAnsi="Arial" w:cs="Arial"/>
          <w:sz w:val="22"/>
          <w:szCs w:val="22"/>
          <w:lang w:val="fr-FR"/>
        </w:rPr>
        <w:t>’</w:t>
      </w:r>
      <w:r>
        <w:rPr>
          <w:rFonts w:ascii="Arial" w:eastAsia="SimSun" w:hAnsi="Arial" w:cs="Arial"/>
          <w:sz w:val="22"/>
          <w:szCs w:val="22"/>
          <w:lang w:val="fr-FR"/>
        </w:rPr>
        <w:t>était</w:t>
      </w:r>
      <w:r w:rsidRPr="00B86E68">
        <w:rPr>
          <w:rFonts w:ascii="Arial" w:eastAsia="SimSun" w:hAnsi="Arial" w:cs="Arial"/>
          <w:sz w:val="22"/>
          <w:szCs w:val="22"/>
          <w:lang w:val="fr-FR"/>
        </w:rPr>
        <w:t xml:space="preserve"> pas seulement un élément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B86E68">
        <w:rPr>
          <w:rFonts w:ascii="Arial" w:eastAsia="SimSun" w:hAnsi="Arial" w:cs="Arial"/>
          <w:sz w:val="22"/>
          <w:szCs w:val="22"/>
          <w:lang w:val="fr-FR"/>
        </w:rPr>
        <w:t>mais aussi un mode de vie. Elle contribu</w:t>
      </w:r>
      <w:r>
        <w:rPr>
          <w:rFonts w:ascii="Arial" w:eastAsia="SimSun" w:hAnsi="Arial" w:cs="Arial"/>
          <w:sz w:val="22"/>
          <w:szCs w:val="22"/>
          <w:lang w:val="fr-FR"/>
        </w:rPr>
        <w:t>ait</w:t>
      </w:r>
      <w:r w:rsidRPr="00B86E68">
        <w:rPr>
          <w:rFonts w:ascii="Arial" w:eastAsia="SimSun" w:hAnsi="Arial" w:cs="Arial"/>
          <w:sz w:val="22"/>
          <w:szCs w:val="22"/>
          <w:lang w:val="fr-FR"/>
        </w:rPr>
        <w:t xml:space="preserve"> à un dialogue social fort et à une interaction entre tous les groupes sociaux de la société ukrainienne. La </w:t>
      </w:r>
      <w:r>
        <w:rPr>
          <w:rFonts w:ascii="Arial" w:eastAsia="SimSun" w:hAnsi="Arial" w:cs="Arial"/>
          <w:sz w:val="22"/>
          <w:szCs w:val="22"/>
          <w:lang w:val="fr-FR"/>
        </w:rPr>
        <w:t>préparation</w:t>
      </w:r>
      <w:r w:rsidRPr="00B86E68">
        <w:rPr>
          <w:rFonts w:ascii="Arial" w:eastAsia="SimSun" w:hAnsi="Arial" w:cs="Arial"/>
          <w:sz w:val="22"/>
          <w:szCs w:val="22"/>
          <w:lang w:val="fr-FR"/>
        </w:rPr>
        <w:t xml:space="preserve"> de ce plat national et l</w:t>
      </w:r>
      <w:r w:rsidR="008E532B">
        <w:rPr>
          <w:rFonts w:ascii="Arial" w:eastAsia="SimSun" w:hAnsi="Arial" w:cs="Arial"/>
          <w:sz w:val="22"/>
          <w:szCs w:val="22"/>
          <w:lang w:val="fr-FR"/>
        </w:rPr>
        <w:t>’</w:t>
      </w:r>
      <w:r w:rsidRPr="00B86E68">
        <w:rPr>
          <w:rFonts w:ascii="Arial" w:eastAsia="SimSun" w:hAnsi="Arial" w:cs="Arial"/>
          <w:sz w:val="22"/>
          <w:szCs w:val="22"/>
          <w:lang w:val="fr-FR"/>
        </w:rPr>
        <w:t>amour qu</w:t>
      </w:r>
      <w:r>
        <w:rPr>
          <w:rFonts w:ascii="Arial" w:eastAsia="SimSun" w:hAnsi="Arial" w:cs="Arial"/>
          <w:sz w:val="22"/>
          <w:szCs w:val="22"/>
          <w:lang w:val="fr-FR"/>
        </w:rPr>
        <w:t>i lui est</w:t>
      </w:r>
      <w:r w:rsidRPr="00B86E68">
        <w:rPr>
          <w:rFonts w:ascii="Arial" w:eastAsia="SimSun" w:hAnsi="Arial" w:cs="Arial"/>
          <w:sz w:val="22"/>
          <w:szCs w:val="22"/>
          <w:lang w:val="fr-FR"/>
        </w:rPr>
        <w:t xml:space="preserve"> port</w:t>
      </w:r>
      <w:r>
        <w:rPr>
          <w:rFonts w:ascii="Arial" w:eastAsia="SimSun" w:hAnsi="Arial" w:cs="Arial"/>
          <w:sz w:val="22"/>
          <w:szCs w:val="22"/>
          <w:lang w:val="fr-FR"/>
        </w:rPr>
        <w:t>é</w:t>
      </w:r>
      <w:r w:rsidRPr="00B86E68">
        <w:rPr>
          <w:rFonts w:ascii="Arial" w:eastAsia="SimSun" w:hAnsi="Arial" w:cs="Arial"/>
          <w:sz w:val="22"/>
          <w:szCs w:val="22"/>
          <w:lang w:val="fr-FR"/>
        </w:rPr>
        <w:t xml:space="preserve"> uniss</w:t>
      </w:r>
      <w:r>
        <w:rPr>
          <w:rFonts w:ascii="Arial" w:eastAsia="SimSun" w:hAnsi="Arial" w:cs="Arial"/>
          <w:sz w:val="22"/>
          <w:szCs w:val="22"/>
          <w:lang w:val="fr-FR"/>
        </w:rPr>
        <w:t>ai</w:t>
      </w:r>
      <w:r w:rsidRPr="00B86E68">
        <w:rPr>
          <w:rFonts w:ascii="Arial" w:eastAsia="SimSun" w:hAnsi="Arial" w:cs="Arial"/>
          <w:sz w:val="22"/>
          <w:szCs w:val="22"/>
          <w:lang w:val="fr-FR"/>
        </w:rPr>
        <w:t>ent les gens, tout en soulignant le caractère unique de chaque région. La nourriture uni</w:t>
      </w:r>
      <w:r>
        <w:rPr>
          <w:rFonts w:ascii="Arial" w:eastAsia="SimSun" w:hAnsi="Arial" w:cs="Arial"/>
          <w:sz w:val="22"/>
          <w:szCs w:val="22"/>
          <w:lang w:val="fr-FR"/>
        </w:rPr>
        <w:t>ssai</w:t>
      </w:r>
      <w:r w:rsidRPr="00B86E68">
        <w:rPr>
          <w:rFonts w:ascii="Arial" w:eastAsia="SimSun" w:hAnsi="Arial" w:cs="Arial"/>
          <w:sz w:val="22"/>
          <w:szCs w:val="22"/>
          <w:lang w:val="fr-FR"/>
        </w:rPr>
        <w:t>t toujours les gens</w:t>
      </w:r>
      <w:r>
        <w:rPr>
          <w:rFonts w:ascii="Arial" w:eastAsia="SimSun" w:hAnsi="Arial" w:cs="Arial"/>
          <w:sz w:val="22"/>
          <w:szCs w:val="22"/>
          <w:lang w:val="fr-FR"/>
        </w:rPr>
        <w:t>,</w:t>
      </w:r>
      <w:r w:rsidRPr="00B86E68">
        <w:rPr>
          <w:rFonts w:ascii="Arial" w:eastAsia="SimSun" w:hAnsi="Arial" w:cs="Arial"/>
          <w:sz w:val="22"/>
          <w:szCs w:val="22"/>
          <w:lang w:val="fr-FR"/>
        </w:rPr>
        <w:t xml:space="preserve"> et il exist</w:t>
      </w:r>
      <w:r>
        <w:rPr>
          <w:rFonts w:ascii="Arial" w:eastAsia="SimSun" w:hAnsi="Arial" w:cs="Arial"/>
          <w:sz w:val="22"/>
          <w:szCs w:val="22"/>
          <w:lang w:val="fr-FR"/>
        </w:rPr>
        <w:t>ait</w:t>
      </w:r>
      <w:r w:rsidRPr="00B86E68">
        <w:rPr>
          <w:rFonts w:ascii="Arial" w:eastAsia="SimSun" w:hAnsi="Arial" w:cs="Arial"/>
          <w:sz w:val="22"/>
          <w:szCs w:val="22"/>
          <w:lang w:val="fr-FR"/>
        </w:rPr>
        <w:t xml:space="preserve"> un lien entre la nourriture, la tradition et la mémoire. Le bortsch ukrainien </w:t>
      </w:r>
      <w:r>
        <w:rPr>
          <w:rFonts w:ascii="Arial" w:eastAsia="SimSun" w:hAnsi="Arial" w:cs="Arial"/>
          <w:sz w:val="22"/>
          <w:szCs w:val="22"/>
          <w:lang w:val="fr-FR"/>
        </w:rPr>
        <w:t xml:space="preserve">était </w:t>
      </w:r>
      <w:r w:rsidRPr="00B86E68">
        <w:rPr>
          <w:rFonts w:ascii="Arial" w:eastAsia="SimSun" w:hAnsi="Arial" w:cs="Arial"/>
          <w:sz w:val="22"/>
          <w:szCs w:val="22"/>
          <w:lang w:val="fr-FR"/>
        </w:rPr>
        <w:t>un élément obligatoire des cultures rituelles ukrainiennes. Cependant, les Ukrainiens v</w:t>
      </w:r>
      <w:r>
        <w:rPr>
          <w:rFonts w:ascii="Arial" w:eastAsia="SimSun" w:hAnsi="Arial" w:cs="Arial"/>
          <w:sz w:val="22"/>
          <w:szCs w:val="22"/>
          <w:lang w:val="fr-FR"/>
        </w:rPr>
        <w:t xml:space="preserve">oulaient </w:t>
      </w:r>
      <w:r w:rsidRPr="00B86E68">
        <w:rPr>
          <w:rFonts w:ascii="Arial" w:eastAsia="SimSun" w:hAnsi="Arial" w:cs="Arial"/>
          <w:sz w:val="22"/>
          <w:szCs w:val="22"/>
          <w:lang w:val="fr-FR"/>
        </w:rPr>
        <w:t>que le bortsch continue d</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être associé aux merveilleuses traditions ukrainiennes, et non à la famine et à la guerre. </w:t>
      </w:r>
      <w:r w:rsidR="006D41D6">
        <w:rPr>
          <w:rFonts w:ascii="Arial" w:eastAsia="SimSun" w:hAnsi="Arial" w:cs="Arial"/>
          <w:sz w:val="22"/>
          <w:szCs w:val="22"/>
          <w:lang w:val="fr-FR"/>
        </w:rPr>
        <w:t>La délégation a noté que l</w:t>
      </w:r>
      <w:r w:rsidRPr="00B86E68">
        <w:rPr>
          <w:rFonts w:ascii="Arial" w:eastAsia="SimSun" w:hAnsi="Arial" w:cs="Arial"/>
          <w:sz w:val="22"/>
          <w:szCs w:val="22"/>
          <w:lang w:val="fr-FR"/>
        </w:rPr>
        <w:t xml:space="preserve">a guerre </w:t>
      </w:r>
      <w:r>
        <w:rPr>
          <w:rFonts w:ascii="Arial" w:eastAsia="SimSun" w:hAnsi="Arial" w:cs="Arial"/>
          <w:sz w:val="22"/>
          <w:szCs w:val="22"/>
          <w:lang w:val="fr-FR"/>
        </w:rPr>
        <w:t xml:space="preserve">totale menée par la Russie </w:t>
      </w:r>
      <w:r w:rsidRPr="00B86E68">
        <w:rPr>
          <w:rFonts w:ascii="Arial" w:eastAsia="SimSun" w:hAnsi="Arial" w:cs="Arial"/>
          <w:sz w:val="22"/>
          <w:szCs w:val="22"/>
          <w:lang w:val="fr-FR"/>
        </w:rPr>
        <w:t>contre l</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Ukraine </w:t>
      </w:r>
      <w:r>
        <w:rPr>
          <w:rFonts w:ascii="Arial" w:eastAsia="SimSun" w:hAnsi="Arial" w:cs="Arial"/>
          <w:sz w:val="22"/>
          <w:szCs w:val="22"/>
          <w:lang w:val="fr-FR"/>
        </w:rPr>
        <w:t xml:space="preserve">modifiait </w:t>
      </w:r>
      <w:r w:rsidRPr="00B86E68">
        <w:rPr>
          <w:rFonts w:ascii="Arial" w:eastAsia="SimSun" w:hAnsi="Arial" w:cs="Arial"/>
          <w:sz w:val="22"/>
          <w:szCs w:val="22"/>
          <w:lang w:val="fr-FR"/>
        </w:rPr>
        <w:t xml:space="preserve">complètement </w:t>
      </w:r>
      <w:r w:rsidR="00A73EEF">
        <w:rPr>
          <w:rFonts w:ascii="Arial" w:eastAsia="SimSun" w:hAnsi="Arial" w:cs="Arial"/>
          <w:sz w:val="22"/>
          <w:szCs w:val="22"/>
          <w:lang w:val="fr-FR"/>
        </w:rPr>
        <w:t>sa</w:t>
      </w:r>
      <w:r w:rsidR="00A73EEF" w:rsidRPr="00B86E68">
        <w:rPr>
          <w:rFonts w:ascii="Arial" w:eastAsia="SimSun" w:hAnsi="Arial" w:cs="Arial"/>
          <w:sz w:val="22"/>
          <w:szCs w:val="22"/>
          <w:lang w:val="fr-FR"/>
        </w:rPr>
        <w:t xml:space="preserve"> </w:t>
      </w:r>
      <w:r w:rsidRPr="00B86E68">
        <w:rPr>
          <w:rFonts w:ascii="Arial" w:eastAsia="SimSun" w:hAnsi="Arial" w:cs="Arial"/>
          <w:sz w:val="22"/>
          <w:szCs w:val="22"/>
          <w:lang w:val="fr-FR"/>
        </w:rPr>
        <w:t>compréhension du monde mais aussi notre attitude envers les valeurs et les traditions. Le fait de savoir que la culture p</w:t>
      </w:r>
      <w:r>
        <w:rPr>
          <w:rFonts w:ascii="Arial" w:eastAsia="SimSun" w:hAnsi="Arial" w:cs="Arial"/>
          <w:sz w:val="22"/>
          <w:szCs w:val="22"/>
          <w:lang w:val="fr-FR"/>
        </w:rPr>
        <w:t xml:space="preserve">eut </w:t>
      </w:r>
      <w:r w:rsidRPr="00B86E68">
        <w:rPr>
          <w:rFonts w:ascii="Arial" w:eastAsia="SimSun" w:hAnsi="Arial" w:cs="Arial"/>
          <w:sz w:val="22"/>
          <w:szCs w:val="22"/>
          <w:lang w:val="fr-FR"/>
        </w:rPr>
        <w:t>se perdre à tout moment oblige</w:t>
      </w:r>
      <w:r>
        <w:rPr>
          <w:rFonts w:ascii="Arial" w:eastAsia="SimSun" w:hAnsi="Arial" w:cs="Arial"/>
          <w:sz w:val="22"/>
          <w:szCs w:val="22"/>
          <w:lang w:val="fr-FR"/>
        </w:rPr>
        <w:t>ait</w:t>
      </w:r>
      <w:r w:rsidR="00A73EEF">
        <w:rPr>
          <w:rFonts w:ascii="Arial" w:eastAsia="SimSun" w:hAnsi="Arial" w:cs="Arial"/>
          <w:sz w:val="22"/>
          <w:szCs w:val="22"/>
          <w:lang w:val="fr-FR"/>
        </w:rPr>
        <w:t xml:space="preserve"> les communautés</w:t>
      </w:r>
      <w:r w:rsidRPr="00B86E68">
        <w:rPr>
          <w:rFonts w:ascii="Arial" w:eastAsia="SimSun" w:hAnsi="Arial" w:cs="Arial"/>
          <w:sz w:val="22"/>
          <w:szCs w:val="22"/>
          <w:lang w:val="fr-FR"/>
        </w:rPr>
        <w:t xml:space="preserve"> à prendre encore plus au sérieux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B86E68">
        <w:rPr>
          <w:rFonts w:ascii="Arial" w:eastAsia="SimSun" w:hAnsi="Arial" w:cs="Arial"/>
          <w:sz w:val="22"/>
          <w:szCs w:val="22"/>
          <w:lang w:val="fr-FR"/>
        </w:rPr>
        <w:t>national. Dans un sentiment d</w:t>
      </w:r>
      <w:r w:rsidR="008E532B">
        <w:rPr>
          <w:rFonts w:ascii="Arial" w:eastAsia="SimSun" w:hAnsi="Arial" w:cs="Arial"/>
          <w:sz w:val="22"/>
          <w:szCs w:val="22"/>
          <w:lang w:val="fr-FR"/>
        </w:rPr>
        <w:t>’</w:t>
      </w:r>
      <w:r w:rsidRPr="00B86E68">
        <w:rPr>
          <w:rFonts w:ascii="Arial" w:eastAsia="SimSun" w:hAnsi="Arial" w:cs="Arial"/>
          <w:sz w:val="22"/>
          <w:szCs w:val="22"/>
          <w:lang w:val="fr-FR"/>
        </w:rPr>
        <w:t>unité sans précédent, tous les Ukrainiens s</w:t>
      </w:r>
      <w:r>
        <w:rPr>
          <w:rFonts w:ascii="Arial" w:eastAsia="SimSun" w:hAnsi="Arial" w:cs="Arial"/>
          <w:sz w:val="22"/>
          <w:szCs w:val="22"/>
          <w:lang w:val="fr-FR"/>
        </w:rPr>
        <w:t xml:space="preserve">e </w:t>
      </w:r>
      <w:r w:rsidRPr="00B86E68">
        <w:rPr>
          <w:rFonts w:ascii="Arial" w:eastAsia="SimSun" w:hAnsi="Arial" w:cs="Arial"/>
          <w:sz w:val="22"/>
          <w:szCs w:val="22"/>
          <w:lang w:val="fr-FR"/>
        </w:rPr>
        <w:t>mobilis</w:t>
      </w:r>
      <w:r>
        <w:rPr>
          <w:rFonts w:ascii="Arial" w:eastAsia="SimSun" w:hAnsi="Arial" w:cs="Arial"/>
          <w:sz w:val="22"/>
          <w:szCs w:val="22"/>
          <w:lang w:val="fr-FR"/>
        </w:rPr>
        <w:t>aient</w:t>
      </w:r>
      <w:r w:rsidRPr="00B86E68">
        <w:rPr>
          <w:rFonts w:ascii="Arial" w:eastAsia="SimSun" w:hAnsi="Arial" w:cs="Arial"/>
          <w:sz w:val="22"/>
          <w:szCs w:val="22"/>
          <w:lang w:val="fr-FR"/>
        </w:rPr>
        <w:t xml:space="preserve"> pour la liberté, le territoire, l</w:t>
      </w:r>
      <w:r w:rsidR="008E532B">
        <w:rPr>
          <w:rFonts w:ascii="Arial" w:eastAsia="SimSun" w:hAnsi="Arial" w:cs="Arial"/>
          <w:sz w:val="22"/>
          <w:szCs w:val="22"/>
          <w:lang w:val="fr-FR"/>
        </w:rPr>
        <w:t>’</w:t>
      </w:r>
      <w:r w:rsidRPr="00B86E68">
        <w:rPr>
          <w:rFonts w:ascii="Arial" w:eastAsia="SimSun" w:hAnsi="Arial" w:cs="Arial"/>
          <w:sz w:val="22"/>
          <w:szCs w:val="22"/>
          <w:lang w:val="fr-FR"/>
        </w:rPr>
        <w:t>intégrité et la culture de l</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Ukraine. Les communautés </w:t>
      </w:r>
      <w:r>
        <w:rPr>
          <w:rFonts w:ascii="Arial" w:eastAsia="SimSun" w:hAnsi="Arial" w:cs="Arial"/>
          <w:sz w:val="22"/>
          <w:szCs w:val="22"/>
          <w:lang w:val="fr-FR"/>
        </w:rPr>
        <w:t xml:space="preserve">détentrices </w:t>
      </w:r>
      <w:r w:rsidRPr="00B86E68">
        <w:rPr>
          <w:rFonts w:ascii="Arial" w:eastAsia="SimSun" w:hAnsi="Arial" w:cs="Arial"/>
          <w:sz w:val="22"/>
          <w:szCs w:val="22"/>
          <w:lang w:val="fr-FR"/>
        </w:rPr>
        <w:t>continuer</w:t>
      </w:r>
      <w:r>
        <w:rPr>
          <w:rFonts w:ascii="Arial" w:eastAsia="SimSun" w:hAnsi="Arial" w:cs="Arial"/>
          <w:sz w:val="22"/>
          <w:szCs w:val="22"/>
          <w:lang w:val="fr-FR"/>
        </w:rPr>
        <w:t>aie</w:t>
      </w:r>
      <w:r w:rsidRPr="00B86E68">
        <w:rPr>
          <w:rFonts w:ascii="Arial" w:eastAsia="SimSun" w:hAnsi="Arial" w:cs="Arial"/>
          <w:sz w:val="22"/>
          <w:szCs w:val="22"/>
          <w:lang w:val="fr-FR"/>
        </w:rPr>
        <w:t>nt à faire tout leur possible pour que l</w:t>
      </w:r>
      <w:r w:rsidR="008E532B">
        <w:rPr>
          <w:rFonts w:ascii="Arial" w:eastAsia="SimSun" w:hAnsi="Arial" w:cs="Arial"/>
          <w:sz w:val="22"/>
          <w:szCs w:val="22"/>
          <w:lang w:val="fr-FR"/>
        </w:rPr>
        <w:t>’</w:t>
      </w:r>
      <w:r w:rsidRPr="00B86E68">
        <w:rPr>
          <w:rFonts w:ascii="Arial" w:eastAsia="SimSun" w:hAnsi="Arial" w:cs="Arial"/>
          <w:sz w:val="22"/>
          <w:szCs w:val="22"/>
          <w:lang w:val="fr-FR"/>
        </w:rPr>
        <w:t xml:space="preserve">élément se développe et </w:t>
      </w:r>
      <w:r>
        <w:rPr>
          <w:rFonts w:ascii="Arial" w:eastAsia="SimSun" w:hAnsi="Arial" w:cs="Arial"/>
          <w:sz w:val="22"/>
          <w:szCs w:val="22"/>
          <w:lang w:val="fr-FR"/>
        </w:rPr>
        <w:t xml:space="preserve">pour repousser les </w:t>
      </w:r>
      <w:r w:rsidRPr="00B86E68">
        <w:rPr>
          <w:rFonts w:ascii="Arial" w:eastAsia="SimSun" w:hAnsi="Arial" w:cs="Arial"/>
          <w:sz w:val="22"/>
          <w:szCs w:val="22"/>
          <w:lang w:val="fr-FR"/>
        </w:rPr>
        <w:t xml:space="preserve">menaces </w:t>
      </w:r>
      <w:r>
        <w:rPr>
          <w:rFonts w:ascii="Arial" w:eastAsia="SimSun" w:hAnsi="Arial" w:cs="Arial"/>
          <w:sz w:val="22"/>
          <w:szCs w:val="22"/>
          <w:lang w:val="fr-FR"/>
        </w:rPr>
        <w:t xml:space="preserve">sur </w:t>
      </w:r>
      <w:r w:rsidRPr="00B86E68">
        <w:rPr>
          <w:rFonts w:ascii="Arial" w:eastAsia="SimSun" w:hAnsi="Arial" w:cs="Arial"/>
          <w:sz w:val="22"/>
          <w:szCs w:val="22"/>
          <w:lang w:val="fr-FR"/>
        </w:rPr>
        <w:t xml:space="preserve">son existence. </w:t>
      </w:r>
      <w:r w:rsidR="00D90F4C">
        <w:rPr>
          <w:rFonts w:ascii="Arial" w:eastAsia="SimSun" w:hAnsi="Arial" w:cs="Arial"/>
          <w:sz w:val="22"/>
          <w:szCs w:val="22"/>
          <w:lang w:val="fr-FR"/>
        </w:rPr>
        <w:t>Enfin, la délégation a conclu en disant que c</w:t>
      </w:r>
      <w:r w:rsidRPr="00B86E68">
        <w:rPr>
          <w:rFonts w:ascii="Arial" w:eastAsia="SimSun" w:hAnsi="Arial" w:cs="Arial"/>
          <w:sz w:val="22"/>
          <w:szCs w:val="22"/>
          <w:lang w:val="fr-FR"/>
        </w:rPr>
        <w:t>ette inscription montr</w:t>
      </w:r>
      <w:r>
        <w:rPr>
          <w:rFonts w:ascii="Arial" w:eastAsia="SimSun" w:hAnsi="Arial" w:cs="Arial"/>
          <w:sz w:val="22"/>
          <w:szCs w:val="22"/>
          <w:lang w:val="fr-FR"/>
        </w:rPr>
        <w:t>ait</w:t>
      </w:r>
      <w:r w:rsidRPr="00B86E68">
        <w:rPr>
          <w:rFonts w:ascii="Arial" w:eastAsia="SimSun" w:hAnsi="Arial" w:cs="Arial"/>
          <w:sz w:val="22"/>
          <w:szCs w:val="22"/>
          <w:lang w:val="fr-FR"/>
        </w:rPr>
        <w:t xml:space="preserve"> l</w:t>
      </w:r>
      <w:r w:rsidR="008E532B">
        <w:rPr>
          <w:rFonts w:ascii="Arial" w:eastAsia="SimSun" w:hAnsi="Arial" w:cs="Arial"/>
          <w:sz w:val="22"/>
          <w:szCs w:val="22"/>
          <w:lang w:val="fr-FR"/>
        </w:rPr>
        <w:t>’</w:t>
      </w:r>
      <w:r w:rsidRPr="00B86E68">
        <w:rPr>
          <w:rFonts w:ascii="Arial" w:eastAsia="SimSun" w:hAnsi="Arial" w:cs="Arial"/>
          <w:sz w:val="22"/>
          <w:szCs w:val="22"/>
          <w:lang w:val="fr-FR"/>
        </w:rPr>
        <w:t>importance de la sauvegarde des traditions ukrainiennes, et les Ukrainiens se battr</w:t>
      </w:r>
      <w:r>
        <w:rPr>
          <w:rFonts w:ascii="Arial" w:eastAsia="SimSun" w:hAnsi="Arial" w:cs="Arial"/>
          <w:sz w:val="22"/>
          <w:szCs w:val="22"/>
          <w:lang w:val="fr-FR"/>
        </w:rPr>
        <w:t>aie</w:t>
      </w:r>
      <w:r w:rsidRPr="00B86E68">
        <w:rPr>
          <w:rFonts w:ascii="Arial" w:eastAsia="SimSun" w:hAnsi="Arial" w:cs="Arial"/>
          <w:sz w:val="22"/>
          <w:szCs w:val="22"/>
          <w:lang w:val="fr-FR"/>
        </w:rPr>
        <w:t>nt pour mettre fin à l</w:t>
      </w:r>
      <w:r w:rsidR="008E532B">
        <w:rPr>
          <w:rFonts w:ascii="Arial" w:eastAsia="SimSun" w:hAnsi="Arial" w:cs="Arial"/>
          <w:sz w:val="22"/>
          <w:szCs w:val="22"/>
          <w:lang w:val="fr-FR"/>
        </w:rPr>
        <w:t>’</w:t>
      </w:r>
      <w:r w:rsidRPr="00B86E68">
        <w:rPr>
          <w:rFonts w:ascii="Arial" w:eastAsia="SimSun" w:hAnsi="Arial" w:cs="Arial"/>
          <w:sz w:val="22"/>
          <w:szCs w:val="22"/>
          <w:lang w:val="fr-FR"/>
        </w:rPr>
        <w:t>agression russe.</w:t>
      </w:r>
    </w:p>
    <w:p w14:paraId="38741ED0" w14:textId="277380CB" w:rsidR="00D9653F" w:rsidRPr="00751F5A"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751F5A">
        <w:rPr>
          <w:rFonts w:ascii="Arial" w:eastAsia="SimSun" w:hAnsi="Arial" w:cs="Arial"/>
          <w:sz w:val="22"/>
          <w:szCs w:val="22"/>
          <w:lang w:val="fr-FR"/>
        </w:rPr>
        <w:t>La délégation de l</w:t>
      </w:r>
      <w:r w:rsidR="008E532B">
        <w:rPr>
          <w:rFonts w:ascii="Arial" w:eastAsia="SimSun" w:hAnsi="Arial" w:cs="Arial"/>
          <w:sz w:val="22"/>
          <w:szCs w:val="22"/>
          <w:lang w:val="fr-FR"/>
        </w:rPr>
        <w:t>’</w:t>
      </w:r>
      <w:r w:rsidRPr="00751F5A">
        <w:rPr>
          <w:rFonts w:ascii="Arial" w:eastAsia="SimSun" w:hAnsi="Arial" w:cs="Arial"/>
          <w:b/>
          <w:bCs/>
          <w:sz w:val="22"/>
          <w:szCs w:val="22"/>
          <w:lang w:val="fr-FR"/>
        </w:rPr>
        <w:t>Égypte</w:t>
      </w:r>
      <w:r w:rsidRPr="00751F5A">
        <w:rPr>
          <w:rFonts w:ascii="Arial" w:eastAsia="SimSun" w:hAnsi="Arial" w:cs="Arial"/>
          <w:sz w:val="22"/>
          <w:szCs w:val="22"/>
          <w:lang w:val="fr-FR"/>
        </w:rPr>
        <w:t xml:space="preserve"> a félicité la Présidente pour son élection, ainsi que l</w:t>
      </w:r>
      <w:r w:rsidR="008E532B">
        <w:rPr>
          <w:rFonts w:ascii="Arial" w:eastAsia="SimSun" w:hAnsi="Arial" w:cs="Arial"/>
          <w:sz w:val="22"/>
          <w:szCs w:val="22"/>
          <w:lang w:val="fr-FR"/>
        </w:rPr>
        <w:t>’</w:t>
      </w:r>
      <w:r w:rsidRPr="00751F5A">
        <w:rPr>
          <w:rFonts w:ascii="Arial" w:eastAsia="SimSun" w:hAnsi="Arial" w:cs="Arial"/>
          <w:sz w:val="22"/>
          <w:szCs w:val="22"/>
          <w:lang w:val="fr-FR"/>
        </w:rPr>
        <w:t>Angola et la Somalie pour leur ratification. Elle a salué le rapport sur les deux sessions du Comité, qui</w:t>
      </w:r>
      <w:r>
        <w:rPr>
          <w:rFonts w:ascii="Arial" w:eastAsia="SimSun" w:hAnsi="Arial" w:cs="Arial"/>
          <w:sz w:val="22"/>
          <w:szCs w:val="22"/>
          <w:lang w:val="fr-FR"/>
        </w:rPr>
        <w:t xml:space="preserve">, </w:t>
      </w:r>
      <w:r w:rsidRPr="00751F5A">
        <w:rPr>
          <w:rFonts w:ascii="Arial" w:eastAsia="SimSun" w:hAnsi="Arial" w:cs="Arial"/>
          <w:sz w:val="22"/>
          <w:szCs w:val="22"/>
          <w:lang w:val="fr-FR"/>
        </w:rPr>
        <w:t>dans de nombreux cas</w:t>
      </w:r>
      <w:r>
        <w:rPr>
          <w:rFonts w:ascii="Arial" w:eastAsia="SimSun" w:hAnsi="Arial" w:cs="Arial"/>
          <w:sz w:val="22"/>
          <w:szCs w:val="22"/>
          <w:lang w:val="fr-FR"/>
        </w:rPr>
        <w:t>, mettait en évidence</w:t>
      </w:r>
      <w:r w:rsidRPr="00751F5A">
        <w:rPr>
          <w:rFonts w:ascii="Arial" w:eastAsia="SimSun" w:hAnsi="Arial" w:cs="Arial"/>
          <w:sz w:val="22"/>
          <w:szCs w:val="22"/>
          <w:lang w:val="fr-FR"/>
        </w:rPr>
        <w:t xml:space="preserve"> l</w:t>
      </w:r>
      <w:r>
        <w:rPr>
          <w:rFonts w:ascii="Arial" w:eastAsia="SimSun" w:hAnsi="Arial" w:cs="Arial"/>
          <w:sz w:val="22"/>
          <w:szCs w:val="22"/>
          <w:lang w:val="fr-FR"/>
        </w:rPr>
        <w:t>a réussite</w:t>
      </w:r>
      <w:r w:rsidRPr="00751F5A">
        <w:rPr>
          <w:rFonts w:ascii="Arial" w:eastAsia="SimSun" w:hAnsi="Arial" w:cs="Arial"/>
          <w:sz w:val="22"/>
          <w:szCs w:val="22"/>
          <w:lang w:val="fr-FR"/>
        </w:rPr>
        <w:t xml:space="preserve"> de la Convention. La délégation a</w:t>
      </w:r>
      <w:r>
        <w:rPr>
          <w:rFonts w:ascii="Arial" w:eastAsia="SimSun" w:hAnsi="Arial" w:cs="Arial"/>
          <w:sz w:val="22"/>
          <w:szCs w:val="22"/>
          <w:lang w:val="fr-FR"/>
        </w:rPr>
        <w:t>vait</w:t>
      </w:r>
      <w:r w:rsidRPr="00751F5A">
        <w:rPr>
          <w:rFonts w:ascii="Arial" w:eastAsia="SimSun" w:hAnsi="Arial" w:cs="Arial"/>
          <w:sz w:val="22"/>
          <w:szCs w:val="22"/>
          <w:lang w:val="fr-FR"/>
        </w:rPr>
        <w:t xml:space="preserve"> coopéré avec les deux Comités afin de renforcer la protection du </w:t>
      </w:r>
      <w:r w:rsidR="00E908E2">
        <w:rPr>
          <w:rFonts w:ascii="Arial" w:eastAsia="SimSun" w:hAnsi="Arial" w:cs="Arial"/>
          <w:bCs/>
          <w:sz w:val="22"/>
          <w:szCs w:val="22"/>
          <w:lang w:val="fr-FR" w:eastAsia="en-US"/>
        </w:rPr>
        <w:t>patrimoine culturel immatériel</w:t>
      </w:r>
      <w:r w:rsidRPr="00751F5A">
        <w:rPr>
          <w:rFonts w:ascii="Arial" w:eastAsia="SimSun" w:hAnsi="Arial" w:cs="Arial"/>
          <w:sz w:val="22"/>
          <w:szCs w:val="22"/>
          <w:lang w:val="fr-FR"/>
        </w:rPr>
        <w:t>. Elle s</w:t>
      </w:r>
      <w:r w:rsidR="008E532B">
        <w:rPr>
          <w:rFonts w:ascii="Arial" w:eastAsia="SimSun" w:hAnsi="Arial" w:cs="Arial"/>
          <w:sz w:val="22"/>
          <w:szCs w:val="22"/>
          <w:lang w:val="fr-FR"/>
        </w:rPr>
        <w:t>’</w:t>
      </w:r>
      <w:r w:rsidRPr="00751F5A">
        <w:rPr>
          <w:rFonts w:ascii="Arial" w:eastAsia="SimSun" w:hAnsi="Arial" w:cs="Arial"/>
          <w:sz w:val="22"/>
          <w:szCs w:val="22"/>
          <w:lang w:val="fr-FR"/>
        </w:rPr>
        <w:t>est félicitée du soutien qu</w:t>
      </w:r>
      <w:r w:rsidR="008E532B">
        <w:rPr>
          <w:rFonts w:ascii="Arial" w:eastAsia="SimSun" w:hAnsi="Arial" w:cs="Arial"/>
          <w:sz w:val="22"/>
          <w:szCs w:val="22"/>
          <w:lang w:val="fr-FR"/>
        </w:rPr>
        <w:t>’</w:t>
      </w:r>
      <w:r w:rsidRPr="00751F5A">
        <w:rPr>
          <w:rFonts w:ascii="Arial" w:eastAsia="SimSun" w:hAnsi="Arial" w:cs="Arial"/>
          <w:sz w:val="22"/>
          <w:szCs w:val="22"/>
          <w:lang w:val="fr-FR"/>
        </w:rPr>
        <w:t>elle a</w:t>
      </w:r>
      <w:r>
        <w:rPr>
          <w:rFonts w:ascii="Arial" w:eastAsia="SimSun" w:hAnsi="Arial" w:cs="Arial"/>
          <w:sz w:val="22"/>
          <w:szCs w:val="22"/>
          <w:lang w:val="fr-FR"/>
        </w:rPr>
        <w:t>vait</w:t>
      </w:r>
      <w:r w:rsidRPr="00751F5A">
        <w:rPr>
          <w:rFonts w:ascii="Arial" w:eastAsia="SimSun" w:hAnsi="Arial" w:cs="Arial"/>
          <w:sz w:val="22"/>
          <w:szCs w:val="22"/>
          <w:lang w:val="fr-FR"/>
        </w:rPr>
        <w:t xml:space="preserve"> reçu pour documenter l</w:t>
      </w:r>
      <w:r w:rsidR="008E532B">
        <w:rPr>
          <w:rFonts w:ascii="Arial" w:eastAsia="SimSun" w:hAnsi="Arial" w:cs="Arial"/>
          <w:sz w:val="22"/>
          <w:szCs w:val="22"/>
          <w:lang w:val="fr-FR"/>
        </w:rPr>
        <w:t>’</w:t>
      </w:r>
      <w:r w:rsidRPr="00751F5A">
        <w:rPr>
          <w:rFonts w:ascii="Arial" w:eastAsia="SimSun" w:hAnsi="Arial" w:cs="Arial"/>
          <w:sz w:val="22"/>
          <w:szCs w:val="22"/>
          <w:lang w:val="fr-FR"/>
        </w:rPr>
        <w:t>artisanat dans une région du sud de l</w:t>
      </w:r>
      <w:r w:rsidR="008E532B">
        <w:rPr>
          <w:rFonts w:ascii="Arial" w:eastAsia="SimSun" w:hAnsi="Arial" w:cs="Arial"/>
          <w:sz w:val="22"/>
          <w:szCs w:val="22"/>
          <w:lang w:val="fr-FR"/>
        </w:rPr>
        <w:t>’</w:t>
      </w:r>
      <w:r w:rsidRPr="00751F5A">
        <w:rPr>
          <w:rFonts w:ascii="Arial" w:eastAsia="SimSun" w:hAnsi="Arial" w:cs="Arial"/>
          <w:sz w:val="22"/>
          <w:szCs w:val="22"/>
          <w:lang w:val="fr-FR"/>
        </w:rPr>
        <w:t xml:space="preserve">Égypte. Les activités visant à renforcer ces éléments </w:t>
      </w:r>
      <w:r>
        <w:rPr>
          <w:rFonts w:ascii="Arial" w:eastAsia="SimSun" w:hAnsi="Arial" w:cs="Arial"/>
          <w:sz w:val="22"/>
          <w:szCs w:val="22"/>
          <w:lang w:val="fr-FR"/>
        </w:rPr>
        <w:t>étaient</w:t>
      </w:r>
      <w:r w:rsidRPr="00751F5A">
        <w:rPr>
          <w:rFonts w:ascii="Arial" w:eastAsia="SimSun" w:hAnsi="Arial" w:cs="Arial"/>
          <w:sz w:val="22"/>
          <w:szCs w:val="22"/>
          <w:lang w:val="fr-FR"/>
        </w:rPr>
        <w:t xml:space="preserve"> très importantes, notamment </w:t>
      </w:r>
      <w:r>
        <w:rPr>
          <w:rFonts w:ascii="Arial" w:eastAsia="SimSun" w:hAnsi="Arial" w:cs="Arial"/>
          <w:sz w:val="22"/>
          <w:szCs w:val="22"/>
          <w:lang w:val="fr-FR"/>
        </w:rPr>
        <w:t xml:space="preserve">en matière de </w:t>
      </w:r>
      <w:r w:rsidRPr="00751F5A">
        <w:rPr>
          <w:rFonts w:ascii="Arial" w:eastAsia="SimSun" w:hAnsi="Arial" w:cs="Arial"/>
          <w:sz w:val="22"/>
          <w:szCs w:val="22"/>
          <w:lang w:val="fr-FR"/>
        </w:rPr>
        <w:t xml:space="preserve">soutien apporté aux </w:t>
      </w:r>
      <w:r>
        <w:rPr>
          <w:rFonts w:ascii="Arial" w:eastAsia="SimSun" w:hAnsi="Arial" w:cs="Arial"/>
          <w:sz w:val="22"/>
          <w:szCs w:val="22"/>
          <w:lang w:val="fr-FR"/>
        </w:rPr>
        <w:t>détenteurs</w:t>
      </w:r>
      <w:r w:rsidRPr="00751F5A">
        <w:rPr>
          <w:rFonts w:ascii="Arial" w:eastAsia="SimSun" w:hAnsi="Arial" w:cs="Arial"/>
          <w:sz w:val="22"/>
          <w:szCs w:val="22"/>
          <w:lang w:val="fr-FR"/>
        </w:rPr>
        <w:t xml:space="preserve"> de ces éléments. Cependant, étant donné le nombre élevé de candidatures, l</w:t>
      </w:r>
      <w:r w:rsidR="008E532B">
        <w:rPr>
          <w:rFonts w:ascii="Arial" w:eastAsia="SimSun" w:hAnsi="Arial" w:cs="Arial"/>
          <w:sz w:val="22"/>
          <w:szCs w:val="22"/>
          <w:lang w:val="fr-FR"/>
        </w:rPr>
        <w:t>’</w:t>
      </w:r>
      <w:r w:rsidRPr="00751F5A">
        <w:rPr>
          <w:rFonts w:ascii="Arial" w:eastAsia="SimSun" w:hAnsi="Arial" w:cs="Arial"/>
          <w:sz w:val="22"/>
          <w:szCs w:val="22"/>
          <w:lang w:val="fr-FR"/>
        </w:rPr>
        <w:t>Assemblée d</w:t>
      </w:r>
      <w:r>
        <w:rPr>
          <w:rFonts w:ascii="Arial" w:eastAsia="SimSun" w:hAnsi="Arial" w:cs="Arial"/>
          <w:sz w:val="22"/>
          <w:szCs w:val="22"/>
          <w:lang w:val="fr-FR"/>
        </w:rPr>
        <w:t>evait</w:t>
      </w:r>
      <w:r w:rsidRPr="00751F5A">
        <w:rPr>
          <w:rFonts w:ascii="Arial" w:eastAsia="SimSun" w:hAnsi="Arial" w:cs="Arial"/>
          <w:sz w:val="22"/>
          <w:szCs w:val="22"/>
          <w:lang w:val="fr-FR"/>
        </w:rPr>
        <w:t xml:space="preserve"> revoir les critères et les Directives opérationnelles afin de gérer ces dossiers. Elle d</w:t>
      </w:r>
      <w:r>
        <w:rPr>
          <w:rFonts w:ascii="Arial" w:eastAsia="SimSun" w:hAnsi="Arial" w:cs="Arial"/>
          <w:sz w:val="22"/>
          <w:szCs w:val="22"/>
          <w:lang w:val="fr-FR"/>
        </w:rPr>
        <w:t xml:space="preserve">evait </w:t>
      </w:r>
      <w:r w:rsidRPr="00751F5A">
        <w:rPr>
          <w:rFonts w:ascii="Arial" w:eastAsia="SimSun" w:hAnsi="Arial" w:cs="Arial"/>
          <w:sz w:val="22"/>
          <w:szCs w:val="22"/>
          <w:lang w:val="fr-FR"/>
        </w:rPr>
        <w:t xml:space="preserve">également revoir la manière dont les ONG </w:t>
      </w:r>
      <w:r>
        <w:rPr>
          <w:rFonts w:ascii="Arial" w:eastAsia="SimSun" w:hAnsi="Arial" w:cs="Arial"/>
          <w:sz w:val="22"/>
          <w:szCs w:val="22"/>
          <w:lang w:val="fr-FR"/>
        </w:rPr>
        <w:t xml:space="preserve">étaient </w:t>
      </w:r>
      <w:r w:rsidRPr="00751F5A">
        <w:rPr>
          <w:rFonts w:ascii="Arial" w:eastAsia="SimSun" w:hAnsi="Arial" w:cs="Arial"/>
          <w:sz w:val="22"/>
          <w:szCs w:val="22"/>
          <w:lang w:val="fr-FR"/>
        </w:rPr>
        <w:t xml:space="preserve">accréditées et </w:t>
      </w:r>
      <w:r>
        <w:rPr>
          <w:rFonts w:ascii="Arial" w:eastAsia="SimSun" w:hAnsi="Arial" w:cs="Arial"/>
          <w:sz w:val="22"/>
          <w:szCs w:val="22"/>
          <w:lang w:val="fr-FR"/>
        </w:rPr>
        <w:t xml:space="preserve">les modalités de leur </w:t>
      </w:r>
      <w:r w:rsidRPr="00C94B75">
        <w:rPr>
          <w:rFonts w:ascii="Arial" w:eastAsia="SimSun" w:hAnsi="Arial" w:cs="Arial"/>
          <w:sz w:val="22"/>
          <w:szCs w:val="22"/>
          <w:lang w:val="fr-FR"/>
        </w:rPr>
        <w:t>coopération</w:t>
      </w:r>
      <w:r>
        <w:rPr>
          <w:rFonts w:ascii="Arial" w:eastAsia="SimSun" w:hAnsi="Arial" w:cs="Arial"/>
          <w:sz w:val="22"/>
          <w:szCs w:val="22"/>
          <w:lang w:val="fr-FR"/>
        </w:rPr>
        <w:t xml:space="preserve"> </w:t>
      </w:r>
      <w:r w:rsidRPr="00751F5A">
        <w:rPr>
          <w:rFonts w:ascii="Arial" w:eastAsia="SimSun" w:hAnsi="Arial" w:cs="Arial"/>
          <w:sz w:val="22"/>
          <w:szCs w:val="22"/>
          <w:lang w:val="fr-FR"/>
        </w:rPr>
        <w:t>avec l</w:t>
      </w:r>
      <w:r w:rsidR="008E532B">
        <w:rPr>
          <w:rFonts w:ascii="Arial" w:eastAsia="SimSun" w:hAnsi="Arial" w:cs="Arial"/>
          <w:sz w:val="22"/>
          <w:szCs w:val="22"/>
          <w:lang w:val="fr-FR"/>
        </w:rPr>
        <w:t>’</w:t>
      </w:r>
      <w:r w:rsidRPr="00751F5A">
        <w:rPr>
          <w:rFonts w:ascii="Arial" w:eastAsia="SimSun" w:hAnsi="Arial" w:cs="Arial"/>
          <w:sz w:val="22"/>
          <w:szCs w:val="22"/>
          <w:lang w:val="fr-FR"/>
        </w:rPr>
        <w:t xml:space="preserve">Organisation, en </w:t>
      </w:r>
      <w:r>
        <w:rPr>
          <w:rFonts w:ascii="Arial" w:eastAsia="SimSun" w:hAnsi="Arial" w:cs="Arial"/>
          <w:sz w:val="22"/>
          <w:szCs w:val="22"/>
          <w:lang w:val="fr-FR"/>
        </w:rPr>
        <w:t xml:space="preserve">prenant en </w:t>
      </w:r>
      <w:r w:rsidRPr="00C94B75">
        <w:rPr>
          <w:rFonts w:ascii="Arial" w:eastAsia="SimSun" w:hAnsi="Arial" w:cs="Arial"/>
          <w:sz w:val="22"/>
          <w:szCs w:val="22"/>
          <w:lang w:val="fr-FR"/>
        </w:rPr>
        <w:t>considération</w:t>
      </w:r>
      <w:r>
        <w:rPr>
          <w:rFonts w:ascii="Arial" w:eastAsia="SimSun" w:hAnsi="Arial" w:cs="Arial"/>
          <w:sz w:val="22"/>
          <w:szCs w:val="22"/>
          <w:lang w:val="fr-FR"/>
        </w:rPr>
        <w:t xml:space="preserve"> les</w:t>
      </w:r>
      <w:r w:rsidRPr="00751F5A">
        <w:rPr>
          <w:rFonts w:ascii="Arial" w:eastAsia="SimSun" w:hAnsi="Arial" w:cs="Arial"/>
          <w:sz w:val="22"/>
          <w:szCs w:val="22"/>
          <w:lang w:val="fr-FR"/>
        </w:rPr>
        <w:t xml:space="preserve"> circonstances spécifiques de chaque pays.</w:t>
      </w:r>
    </w:p>
    <w:p w14:paraId="59CEDCF0" w14:textId="42BB641D" w:rsidR="00D9653F" w:rsidRPr="00C94B75"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C94B75">
        <w:rPr>
          <w:rFonts w:ascii="Arial" w:eastAsia="SimSun" w:hAnsi="Arial" w:cs="Arial"/>
          <w:sz w:val="22"/>
          <w:szCs w:val="22"/>
          <w:lang w:val="fr-FR"/>
        </w:rPr>
        <w:t xml:space="preserve">La délégation de la </w:t>
      </w:r>
      <w:r w:rsidRPr="00C94B75">
        <w:rPr>
          <w:rFonts w:ascii="Arial" w:eastAsia="SimSun" w:hAnsi="Arial" w:cs="Arial"/>
          <w:b/>
          <w:bCs/>
          <w:sz w:val="22"/>
          <w:szCs w:val="22"/>
          <w:lang w:val="fr-FR"/>
        </w:rPr>
        <w:t>République arabe syrienne</w:t>
      </w:r>
      <w:r w:rsidRPr="00C94B75">
        <w:rPr>
          <w:rFonts w:ascii="Arial" w:eastAsia="SimSun" w:hAnsi="Arial" w:cs="Arial"/>
          <w:sz w:val="22"/>
          <w:szCs w:val="22"/>
          <w:lang w:val="fr-FR"/>
        </w:rPr>
        <w:t xml:space="preserve"> a félicité la Présidente pour son élection et a remercié les membres sortants du Comité et l</w:t>
      </w:r>
      <w:r w:rsidR="008E532B">
        <w:rPr>
          <w:rFonts w:ascii="Arial" w:eastAsia="SimSun" w:hAnsi="Arial" w:cs="Arial"/>
          <w:sz w:val="22"/>
          <w:szCs w:val="22"/>
          <w:lang w:val="fr-FR"/>
        </w:rPr>
        <w:t>’</w:t>
      </w:r>
      <w:r w:rsidRPr="00C94B75">
        <w:rPr>
          <w:rFonts w:ascii="Arial" w:eastAsia="SimSun" w:hAnsi="Arial" w:cs="Arial"/>
          <w:sz w:val="22"/>
          <w:szCs w:val="22"/>
          <w:lang w:val="fr-FR"/>
        </w:rPr>
        <w:t>Égypte, en tant que Vice-</w:t>
      </w:r>
      <w:r>
        <w:rPr>
          <w:rFonts w:ascii="Arial" w:eastAsia="SimSun" w:hAnsi="Arial" w:cs="Arial"/>
          <w:sz w:val="22"/>
          <w:szCs w:val="22"/>
          <w:lang w:val="fr-FR"/>
        </w:rPr>
        <w:t>P</w:t>
      </w:r>
      <w:r w:rsidRPr="00C94B75">
        <w:rPr>
          <w:rFonts w:ascii="Arial" w:eastAsia="SimSun" w:hAnsi="Arial" w:cs="Arial"/>
          <w:sz w:val="22"/>
          <w:szCs w:val="22"/>
          <w:lang w:val="fr-FR"/>
        </w:rPr>
        <w:t>résidente, au nom du Groupe V(b), réaffirmant que la Syrie continuera</w:t>
      </w:r>
      <w:r>
        <w:rPr>
          <w:rFonts w:ascii="Arial" w:eastAsia="SimSun" w:hAnsi="Arial" w:cs="Arial"/>
          <w:sz w:val="22"/>
          <w:szCs w:val="22"/>
          <w:lang w:val="fr-FR"/>
        </w:rPr>
        <w:t>it</w:t>
      </w:r>
      <w:r w:rsidRPr="00C94B75">
        <w:rPr>
          <w:rFonts w:ascii="Arial" w:eastAsia="SimSun" w:hAnsi="Arial" w:cs="Arial"/>
          <w:sz w:val="22"/>
          <w:szCs w:val="22"/>
          <w:lang w:val="fr-FR"/>
        </w:rPr>
        <w:t xml:space="preserve"> à soutenir la Convention. La délégation a remercié le </w:t>
      </w:r>
      <w:r>
        <w:rPr>
          <w:rFonts w:ascii="Arial" w:eastAsia="SimSun" w:hAnsi="Arial" w:cs="Arial"/>
          <w:sz w:val="22"/>
          <w:szCs w:val="22"/>
          <w:lang w:val="fr-FR"/>
        </w:rPr>
        <w:t>S</w:t>
      </w:r>
      <w:r w:rsidRPr="00C94B75">
        <w:rPr>
          <w:rFonts w:ascii="Arial" w:eastAsia="SimSun" w:hAnsi="Arial" w:cs="Arial"/>
          <w:sz w:val="22"/>
          <w:szCs w:val="22"/>
          <w:lang w:val="fr-FR"/>
        </w:rPr>
        <w:t>ecteur de la culture et le Secrétariat pour leurs efforts et a salué la ratification de la Somalie et de l</w:t>
      </w:r>
      <w:r w:rsidR="008E532B">
        <w:rPr>
          <w:rFonts w:ascii="Arial" w:eastAsia="SimSun" w:hAnsi="Arial" w:cs="Arial"/>
          <w:sz w:val="22"/>
          <w:szCs w:val="22"/>
          <w:lang w:val="fr-FR"/>
        </w:rPr>
        <w:t>’</w:t>
      </w:r>
      <w:r w:rsidRPr="00C94B75">
        <w:rPr>
          <w:rFonts w:ascii="Arial" w:eastAsia="SimSun" w:hAnsi="Arial" w:cs="Arial"/>
          <w:sz w:val="22"/>
          <w:szCs w:val="22"/>
          <w:lang w:val="fr-FR"/>
        </w:rPr>
        <w:t>Angola. En tant qu</w:t>
      </w:r>
      <w:r w:rsidR="008E532B">
        <w:rPr>
          <w:rFonts w:ascii="Arial" w:eastAsia="SimSun" w:hAnsi="Arial" w:cs="Arial"/>
          <w:sz w:val="22"/>
          <w:szCs w:val="22"/>
          <w:lang w:val="fr-FR"/>
        </w:rPr>
        <w:t>’</w:t>
      </w:r>
      <w:r w:rsidRPr="00C94B75">
        <w:rPr>
          <w:rFonts w:ascii="Arial" w:eastAsia="SimSun" w:hAnsi="Arial" w:cs="Arial"/>
          <w:sz w:val="22"/>
          <w:szCs w:val="22"/>
          <w:lang w:val="fr-FR"/>
        </w:rPr>
        <w:t xml:space="preserve">États parties, individus et ONG, tous avaient apporté leur expertise et collaboré pour renforcer les objectifs communs, </w:t>
      </w:r>
      <w:r>
        <w:rPr>
          <w:rFonts w:ascii="Arial" w:eastAsia="SimSun" w:hAnsi="Arial" w:cs="Arial"/>
          <w:sz w:val="22"/>
          <w:szCs w:val="22"/>
          <w:lang w:val="fr-FR"/>
        </w:rPr>
        <w:t>c</w:t>
      </w:r>
      <w:r w:rsidR="008E532B">
        <w:rPr>
          <w:rFonts w:ascii="Arial" w:eastAsia="SimSun" w:hAnsi="Arial" w:cs="Arial"/>
          <w:sz w:val="22"/>
          <w:szCs w:val="22"/>
          <w:lang w:val="fr-FR"/>
        </w:rPr>
        <w:t>’</w:t>
      </w:r>
      <w:r>
        <w:rPr>
          <w:rFonts w:ascii="Arial" w:eastAsia="SimSun" w:hAnsi="Arial" w:cs="Arial"/>
          <w:sz w:val="22"/>
          <w:szCs w:val="22"/>
          <w:lang w:val="fr-FR"/>
        </w:rPr>
        <w:t xml:space="preserve">est la raison pour laquelle </w:t>
      </w:r>
      <w:r w:rsidRPr="00C94B75">
        <w:rPr>
          <w:rFonts w:ascii="Arial" w:eastAsia="SimSun" w:hAnsi="Arial" w:cs="Arial"/>
          <w:sz w:val="22"/>
          <w:szCs w:val="22"/>
          <w:lang w:val="fr-FR"/>
        </w:rPr>
        <w:t>la Convention était désormais presque universelle. Ce succès avait été obtenu en dépit de la pandémie et témoign</w:t>
      </w:r>
      <w:r>
        <w:rPr>
          <w:rFonts w:ascii="Arial" w:eastAsia="SimSun" w:hAnsi="Arial" w:cs="Arial"/>
          <w:sz w:val="22"/>
          <w:szCs w:val="22"/>
          <w:lang w:val="fr-FR"/>
        </w:rPr>
        <w:t>ait</w:t>
      </w:r>
      <w:r w:rsidRPr="00C94B75">
        <w:rPr>
          <w:rFonts w:ascii="Arial" w:eastAsia="SimSun" w:hAnsi="Arial" w:cs="Arial"/>
          <w:sz w:val="22"/>
          <w:szCs w:val="22"/>
          <w:lang w:val="fr-FR"/>
        </w:rPr>
        <w:t xml:space="preserve"> des efforts d</w:t>
      </w:r>
      <w:r>
        <w:rPr>
          <w:rFonts w:ascii="Arial" w:eastAsia="SimSun" w:hAnsi="Arial" w:cs="Arial"/>
          <w:sz w:val="22"/>
          <w:szCs w:val="22"/>
          <w:lang w:val="fr-FR"/>
        </w:rPr>
        <w:t>éployés par le</w:t>
      </w:r>
      <w:r w:rsidRPr="00C94B75">
        <w:rPr>
          <w:rFonts w:ascii="Arial" w:eastAsia="SimSun" w:hAnsi="Arial" w:cs="Arial"/>
          <w:sz w:val="22"/>
          <w:szCs w:val="22"/>
          <w:lang w:val="fr-FR"/>
        </w:rPr>
        <w:t xml:space="preserve"> Comité et des réformes réalisées pour mettre en œuvre avec succès les objectifs de la Convention, notamment </w:t>
      </w:r>
      <w:r w:rsidRPr="001709EE">
        <w:rPr>
          <w:rFonts w:ascii="Arial" w:eastAsia="SimSun" w:hAnsi="Arial" w:cs="Arial"/>
          <w:sz w:val="22"/>
          <w:szCs w:val="22"/>
          <w:lang w:val="fr-FR"/>
        </w:rPr>
        <w:t>en ce qui concerne</w:t>
      </w:r>
      <w:r>
        <w:rPr>
          <w:rFonts w:ascii="Arial" w:eastAsia="SimSun" w:hAnsi="Arial" w:cs="Arial"/>
          <w:sz w:val="22"/>
          <w:szCs w:val="22"/>
          <w:lang w:val="fr-FR"/>
        </w:rPr>
        <w:t xml:space="preserve"> l</w:t>
      </w:r>
      <w:r w:rsidR="008E532B">
        <w:rPr>
          <w:rFonts w:ascii="Arial" w:eastAsia="SimSun" w:hAnsi="Arial" w:cs="Arial"/>
          <w:sz w:val="22"/>
          <w:szCs w:val="22"/>
          <w:lang w:val="fr-FR"/>
        </w:rPr>
        <w:t>’</w:t>
      </w:r>
      <w:r>
        <w:rPr>
          <w:rFonts w:ascii="Arial" w:eastAsia="SimSun" w:hAnsi="Arial" w:cs="Arial"/>
          <w:sz w:val="22"/>
          <w:szCs w:val="22"/>
          <w:lang w:val="fr-FR"/>
        </w:rPr>
        <w:t>augmentation du</w:t>
      </w:r>
      <w:r w:rsidRPr="00C94B75">
        <w:rPr>
          <w:rFonts w:ascii="Arial" w:eastAsia="SimSun" w:hAnsi="Arial" w:cs="Arial"/>
          <w:sz w:val="22"/>
          <w:szCs w:val="22"/>
          <w:lang w:val="fr-FR"/>
        </w:rPr>
        <w:t xml:space="preserve"> taux</w:t>
      </w:r>
      <w:r>
        <w:rPr>
          <w:rFonts w:ascii="Arial" w:eastAsia="SimSun" w:hAnsi="Arial" w:cs="Arial"/>
          <w:sz w:val="22"/>
          <w:szCs w:val="22"/>
          <w:lang w:val="fr-FR"/>
        </w:rPr>
        <w:t xml:space="preserve"> </w:t>
      </w:r>
      <w:r w:rsidRPr="00C94B75">
        <w:rPr>
          <w:rFonts w:ascii="Arial" w:eastAsia="SimSun" w:hAnsi="Arial" w:cs="Arial"/>
          <w:sz w:val="22"/>
          <w:szCs w:val="22"/>
          <w:lang w:val="fr-FR"/>
        </w:rPr>
        <w:t>de soumission des rapports nationaux. La délégation a salué les réformes, notamment la gouvernance de la Convention et le travail du groupe de travail à composition non limitée sur les critères d</w:t>
      </w:r>
      <w:r w:rsidR="008E532B">
        <w:rPr>
          <w:rFonts w:ascii="Arial" w:eastAsia="SimSun" w:hAnsi="Arial" w:cs="Arial"/>
          <w:sz w:val="22"/>
          <w:szCs w:val="22"/>
          <w:lang w:val="fr-FR"/>
        </w:rPr>
        <w:t>’</w:t>
      </w:r>
      <w:r w:rsidRPr="00C94B75">
        <w:rPr>
          <w:rFonts w:ascii="Arial" w:eastAsia="SimSun" w:hAnsi="Arial" w:cs="Arial"/>
          <w:sz w:val="22"/>
          <w:szCs w:val="22"/>
          <w:lang w:val="fr-FR"/>
        </w:rPr>
        <w:t xml:space="preserve">inscription et les </w:t>
      </w:r>
      <w:r>
        <w:rPr>
          <w:rFonts w:ascii="Arial" w:eastAsia="SimSun" w:hAnsi="Arial" w:cs="Arial"/>
          <w:sz w:val="22"/>
          <w:szCs w:val="22"/>
          <w:lang w:val="fr-FR"/>
        </w:rPr>
        <w:t>D</w:t>
      </w:r>
      <w:r w:rsidRPr="00C94B75">
        <w:rPr>
          <w:rFonts w:ascii="Arial" w:eastAsia="SimSun" w:hAnsi="Arial" w:cs="Arial"/>
          <w:sz w:val="22"/>
          <w:szCs w:val="22"/>
          <w:lang w:val="fr-FR"/>
        </w:rPr>
        <w:t>irectives opérationnelles. Ces efforts d</w:t>
      </w:r>
      <w:r>
        <w:rPr>
          <w:rFonts w:ascii="Arial" w:eastAsia="SimSun" w:hAnsi="Arial" w:cs="Arial"/>
          <w:sz w:val="22"/>
          <w:szCs w:val="22"/>
          <w:lang w:val="fr-FR"/>
        </w:rPr>
        <w:t>evaient</w:t>
      </w:r>
      <w:r w:rsidRPr="00C94B75">
        <w:rPr>
          <w:rFonts w:ascii="Arial" w:eastAsia="SimSun" w:hAnsi="Arial" w:cs="Arial"/>
          <w:sz w:val="22"/>
          <w:szCs w:val="22"/>
          <w:lang w:val="fr-FR"/>
        </w:rPr>
        <w:t xml:space="preserve"> se poursuivre pour protéger </w:t>
      </w:r>
      <w:r w:rsidR="00A73EEF">
        <w:rPr>
          <w:rFonts w:ascii="Arial" w:eastAsia="SimSun" w:hAnsi="Arial" w:cs="Arial"/>
          <w:sz w:val="22"/>
          <w:szCs w:val="22"/>
          <w:lang w:val="fr-FR"/>
        </w:rPr>
        <w:t>le</w:t>
      </w:r>
      <w:r w:rsidR="00A73EEF" w:rsidRPr="00C94B75">
        <w:rPr>
          <w:rFonts w:ascii="Arial" w:eastAsia="SimSun" w:hAnsi="Arial" w:cs="Arial"/>
          <w:sz w:val="22"/>
          <w:szCs w:val="22"/>
          <w:lang w:val="fr-FR"/>
        </w:rPr>
        <w:t xml:space="preserve"> </w:t>
      </w:r>
      <w:r w:rsidRPr="00C94B75">
        <w:rPr>
          <w:rFonts w:ascii="Arial" w:eastAsia="SimSun" w:hAnsi="Arial" w:cs="Arial"/>
          <w:sz w:val="22"/>
          <w:szCs w:val="22"/>
          <w:lang w:val="fr-FR"/>
        </w:rPr>
        <w:t xml:space="preserve">patrimoine immatériel. En effet, les documents présentés, notamment </w:t>
      </w:r>
      <w:r>
        <w:rPr>
          <w:rFonts w:ascii="Arial" w:eastAsia="SimSun" w:hAnsi="Arial" w:cs="Arial"/>
          <w:sz w:val="22"/>
          <w:szCs w:val="22"/>
          <w:lang w:val="fr-FR"/>
        </w:rPr>
        <w:t>ceux destinés à</w:t>
      </w:r>
      <w:r w:rsidRPr="00C94B75">
        <w:rPr>
          <w:rFonts w:ascii="Arial" w:eastAsia="SimSun" w:hAnsi="Arial" w:cs="Arial"/>
          <w:sz w:val="22"/>
          <w:szCs w:val="22"/>
          <w:lang w:val="fr-FR"/>
        </w:rPr>
        <w:t xml:space="preserve"> aligner le Règlement intérieur de cette Convention </w:t>
      </w:r>
      <w:r>
        <w:rPr>
          <w:rFonts w:ascii="Arial" w:eastAsia="SimSun" w:hAnsi="Arial" w:cs="Arial"/>
          <w:sz w:val="22"/>
          <w:szCs w:val="22"/>
          <w:lang w:val="fr-FR"/>
        </w:rPr>
        <w:t xml:space="preserve">sur </w:t>
      </w:r>
      <w:r w:rsidRPr="00C94B75">
        <w:rPr>
          <w:rFonts w:ascii="Arial" w:eastAsia="SimSun" w:hAnsi="Arial" w:cs="Arial"/>
          <w:sz w:val="22"/>
          <w:szCs w:val="22"/>
          <w:lang w:val="fr-FR"/>
        </w:rPr>
        <w:t xml:space="preserve">le Règlement intérieur </w:t>
      </w:r>
      <w:r>
        <w:rPr>
          <w:rFonts w:ascii="Arial" w:eastAsia="SimSun" w:hAnsi="Arial" w:cs="Arial"/>
          <w:sz w:val="22"/>
          <w:szCs w:val="22"/>
          <w:lang w:val="fr-FR"/>
        </w:rPr>
        <w:t>modèle</w:t>
      </w:r>
      <w:r w:rsidRPr="00C94B75">
        <w:rPr>
          <w:rFonts w:ascii="Arial" w:eastAsia="SimSun" w:hAnsi="Arial" w:cs="Arial"/>
          <w:sz w:val="22"/>
          <w:szCs w:val="22"/>
          <w:lang w:val="fr-FR"/>
        </w:rPr>
        <w:t xml:space="preserve">, </w:t>
      </w:r>
      <w:r>
        <w:rPr>
          <w:rFonts w:ascii="Arial" w:eastAsia="SimSun" w:hAnsi="Arial" w:cs="Arial"/>
          <w:sz w:val="22"/>
          <w:szCs w:val="22"/>
          <w:lang w:val="fr-FR"/>
        </w:rPr>
        <w:t>étaient</w:t>
      </w:r>
      <w:r w:rsidRPr="00C94B75">
        <w:rPr>
          <w:rFonts w:ascii="Arial" w:eastAsia="SimSun" w:hAnsi="Arial" w:cs="Arial"/>
          <w:sz w:val="22"/>
          <w:szCs w:val="22"/>
          <w:lang w:val="fr-FR"/>
        </w:rPr>
        <w:t xml:space="preserve"> extrêmement importants. La délégation a salué la réponse rapide et innovante du Secteur de la culture de l</w:t>
      </w:r>
      <w:r w:rsidR="008E532B">
        <w:rPr>
          <w:rFonts w:ascii="Arial" w:eastAsia="SimSun" w:hAnsi="Arial" w:cs="Arial"/>
          <w:sz w:val="22"/>
          <w:szCs w:val="22"/>
          <w:lang w:val="fr-FR"/>
        </w:rPr>
        <w:t>’</w:t>
      </w:r>
      <w:r w:rsidRPr="00C94B75">
        <w:rPr>
          <w:rFonts w:ascii="Arial" w:eastAsia="SimSun" w:hAnsi="Arial" w:cs="Arial"/>
          <w:sz w:val="22"/>
          <w:szCs w:val="22"/>
          <w:lang w:val="fr-FR"/>
        </w:rPr>
        <w:t xml:space="preserve">UNESCO et du Secrétariat pour protéger le patrimoine vivant, </w:t>
      </w:r>
      <w:r w:rsidRPr="001709EE">
        <w:rPr>
          <w:rFonts w:ascii="Arial" w:eastAsia="SimSun" w:hAnsi="Arial" w:cs="Arial"/>
          <w:sz w:val="22"/>
          <w:szCs w:val="22"/>
          <w:lang w:val="fr-FR"/>
        </w:rPr>
        <w:t>en particulier</w:t>
      </w:r>
      <w:r w:rsidRPr="00C94B75">
        <w:rPr>
          <w:rFonts w:ascii="Arial" w:eastAsia="SimSun" w:hAnsi="Arial" w:cs="Arial"/>
          <w:sz w:val="22"/>
          <w:szCs w:val="22"/>
          <w:lang w:val="fr-FR"/>
        </w:rPr>
        <w:t xml:space="preserve"> dans les situations d</w:t>
      </w:r>
      <w:r w:rsidR="008E532B">
        <w:rPr>
          <w:rFonts w:ascii="Arial" w:eastAsia="SimSun" w:hAnsi="Arial" w:cs="Arial"/>
          <w:sz w:val="22"/>
          <w:szCs w:val="22"/>
          <w:lang w:val="fr-FR"/>
        </w:rPr>
        <w:t>’</w:t>
      </w:r>
      <w:r w:rsidRPr="00C94B75">
        <w:rPr>
          <w:rFonts w:ascii="Arial" w:eastAsia="SimSun" w:hAnsi="Arial" w:cs="Arial"/>
          <w:sz w:val="22"/>
          <w:szCs w:val="22"/>
          <w:lang w:val="fr-FR"/>
        </w:rPr>
        <w:t xml:space="preserve">urgence, ajoutant que le patrimoine vivant </w:t>
      </w:r>
      <w:r>
        <w:rPr>
          <w:rFonts w:ascii="Arial" w:eastAsia="SimSun" w:hAnsi="Arial" w:cs="Arial"/>
          <w:sz w:val="22"/>
          <w:szCs w:val="22"/>
          <w:lang w:val="fr-FR"/>
        </w:rPr>
        <w:t>est</w:t>
      </w:r>
      <w:r w:rsidRPr="00C94B75">
        <w:rPr>
          <w:rFonts w:ascii="Arial" w:eastAsia="SimSun" w:hAnsi="Arial" w:cs="Arial"/>
          <w:sz w:val="22"/>
          <w:szCs w:val="22"/>
          <w:lang w:val="fr-FR"/>
        </w:rPr>
        <w:t xml:space="preserve"> un outil de renforcement des capacités nationales pour accroître la résilience. </w:t>
      </w:r>
      <w:r>
        <w:rPr>
          <w:rFonts w:ascii="Arial" w:eastAsia="SimSun" w:hAnsi="Arial" w:cs="Arial"/>
          <w:sz w:val="22"/>
          <w:szCs w:val="22"/>
          <w:lang w:val="fr-FR"/>
        </w:rPr>
        <w:t>C</w:t>
      </w:r>
      <w:r w:rsidR="008E532B">
        <w:rPr>
          <w:rFonts w:ascii="Arial" w:eastAsia="SimSun" w:hAnsi="Arial" w:cs="Arial"/>
          <w:sz w:val="22"/>
          <w:szCs w:val="22"/>
          <w:lang w:val="fr-FR"/>
        </w:rPr>
        <w:t>’</w:t>
      </w:r>
      <w:r>
        <w:rPr>
          <w:rFonts w:ascii="Arial" w:eastAsia="SimSun" w:hAnsi="Arial" w:cs="Arial"/>
          <w:sz w:val="22"/>
          <w:szCs w:val="22"/>
          <w:lang w:val="fr-FR"/>
        </w:rPr>
        <w:t xml:space="preserve">est la raison pour laquelle elle avait soutenu </w:t>
      </w:r>
      <w:r w:rsidRPr="00C94B75">
        <w:rPr>
          <w:rFonts w:ascii="Arial" w:eastAsia="SimSun" w:hAnsi="Arial" w:cs="Arial"/>
          <w:sz w:val="22"/>
          <w:szCs w:val="22"/>
          <w:lang w:val="fr-FR"/>
        </w:rPr>
        <w:t>l</w:t>
      </w:r>
      <w:r w:rsidR="008E532B">
        <w:rPr>
          <w:rFonts w:ascii="Arial" w:eastAsia="SimSun" w:hAnsi="Arial" w:cs="Arial"/>
          <w:sz w:val="22"/>
          <w:szCs w:val="22"/>
          <w:lang w:val="fr-FR"/>
        </w:rPr>
        <w:t>’</w:t>
      </w:r>
      <w:r w:rsidRPr="00C94B75">
        <w:rPr>
          <w:rFonts w:ascii="Arial" w:eastAsia="SimSun" w:hAnsi="Arial" w:cs="Arial"/>
          <w:sz w:val="22"/>
          <w:szCs w:val="22"/>
          <w:lang w:val="fr-FR"/>
        </w:rPr>
        <w:t xml:space="preserve">inscription de la </w:t>
      </w:r>
      <w:r>
        <w:rPr>
          <w:rFonts w:ascii="Arial" w:eastAsia="SimSun" w:hAnsi="Arial" w:cs="Arial"/>
          <w:sz w:val="22"/>
          <w:szCs w:val="22"/>
          <w:lang w:val="fr-FR"/>
        </w:rPr>
        <w:t xml:space="preserve">soupe au giraumon </w:t>
      </w:r>
      <w:r w:rsidRPr="00C94B75">
        <w:rPr>
          <w:rFonts w:ascii="Arial" w:eastAsia="SimSun" w:hAnsi="Arial" w:cs="Arial"/>
          <w:sz w:val="22"/>
          <w:szCs w:val="22"/>
          <w:lang w:val="fr-FR"/>
        </w:rPr>
        <w:t>proposée par Haïti. La Convention d</w:t>
      </w:r>
      <w:r>
        <w:rPr>
          <w:rFonts w:ascii="Arial" w:eastAsia="SimSun" w:hAnsi="Arial" w:cs="Arial"/>
          <w:sz w:val="22"/>
          <w:szCs w:val="22"/>
          <w:lang w:val="fr-FR"/>
        </w:rPr>
        <w:t>evait</w:t>
      </w:r>
      <w:r w:rsidRPr="00C94B75">
        <w:rPr>
          <w:rFonts w:ascii="Arial" w:eastAsia="SimSun" w:hAnsi="Arial" w:cs="Arial"/>
          <w:sz w:val="22"/>
          <w:szCs w:val="22"/>
          <w:lang w:val="fr-FR"/>
        </w:rPr>
        <w:t xml:space="preserve"> s</w:t>
      </w:r>
      <w:r w:rsidR="008E532B">
        <w:rPr>
          <w:rFonts w:ascii="Arial" w:eastAsia="SimSun" w:hAnsi="Arial" w:cs="Arial"/>
          <w:sz w:val="22"/>
          <w:szCs w:val="22"/>
          <w:lang w:val="fr-FR"/>
        </w:rPr>
        <w:t>’</w:t>
      </w:r>
      <w:r w:rsidRPr="00C94B75">
        <w:rPr>
          <w:rFonts w:ascii="Arial" w:eastAsia="SimSun" w:hAnsi="Arial" w:cs="Arial"/>
          <w:sz w:val="22"/>
          <w:szCs w:val="22"/>
          <w:lang w:val="fr-FR"/>
        </w:rPr>
        <w:t xml:space="preserve">éloigner de toute politisation et du </w:t>
      </w:r>
      <w:r>
        <w:rPr>
          <w:rFonts w:ascii="Arial" w:eastAsia="SimSun" w:hAnsi="Arial" w:cs="Arial"/>
          <w:sz w:val="22"/>
          <w:szCs w:val="22"/>
          <w:lang w:val="fr-FR"/>
        </w:rPr>
        <w:t>« </w:t>
      </w:r>
      <w:r w:rsidRPr="00C94B75">
        <w:rPr>
          <w:rFonts w:ascii="Arial" w:eastAsia="SimSun" w:hAnsi="Arial" w:cs="Arial"/>
          <w:sz w:val="22"/>
          <w:szCs w:val="22"/>
          <w:lang w:val="fr-FR"/>
        </w:rPr>
        <w:t>deux poids, deux mesures</w:t>
      </w:r>
      <w:r>
        <w:rPr>
          <w:rFonts w:ascii="Arial" w:eastAsia="SimSun" w:hAnsi="Arial" w:cs="Arial"/>
          <w:sz w:val="22"/>
          <w:szCs w:val="22"/>
          <w:lang w:val="fr-FR"/>
        </w:rPr>
        <w:t> »</w:t>
      </w:r>
      <w:r w:rsidRPr="00C94B75">
        <w:rPr>
          <w:rFonts w:ascii="Arial" w:eastAsia="SimSun" w:hAnsi="Arial" w:cs="Arial"/>
          <w:sz w:val="22"/>
          <w:szCs w:val="22"/>
          <w:lang w:val="fr-FR"/>
        </w:rPr>
        <w:t xml:space="preserve"> afin que tous les États membres aient les mêmes chances et appliquent les mêmes décisions. La Syrie respect</w:t>
      </w:r>
      <w:r>
        <w:rPr>
          <w:rFonts w:ascii="Arial" w:eastAsia="SimSun" w:hAnsi="Arial" w:cs="Arial"/>
          <w:sz w:val="22"/>
          <w:szCs w:val="22"/>
          <w:lang w:val="fr-FR"/>
        </w:rPr>
        <w:t>ait</w:t>
      </w:r>
      <w:r w:rsidRPr="00C94B75">
        <w:rPr>
          <w:rFonts w:ascii="Arial" w:eastAsia="SimSun" w:hAnsi="Arial" w:cs="Arial"/>
          <w:sz w:val="22"/>
          <w:szCs w:val="22"/>
          <w:lang w:val="fr-FR"/>
        </w:rPr>
        <w:t xml:space="preserve"> les décisions adoptées qui respect</w:t>
      </w:r>
      <w:r>
        <w:rPr>
          <w:rFonts w:ascii="Arial" w:eastAsia="SimSun" w:hAnsi="Arial" w:cs="Arial"/>
          <w:sz w:val="22"/>
          <w:szCs w:val="22"/>
          <w:lang w:val="fr-FR"/>
        </w:rPr>
        <w:t>ai</w:t>
      </w:r>
      <w:r w:rsidRPr="00C94B75">
        <w:rPr>
          <w:rFonts w:ascii="Arial" w:eastAsia="SimSun" w:hAnsi="Arial" w:cs="Arial"/>
          <w:sz w:val="22"/>
          <w:szCs w:val="22"/>
          <w:lang w:val="fr-FR"/>
        </w:rPr>
        <w:t xml:space="preserve">ent </w:t>
      </w:r>
      <w:r>
        <w:rPr>
          <w:rFonts w:ascii="Arial" w:eastAsia="SimSun" w:hAnsi="Arial" w:cs="Arial"/>
          <w:sz w:val="22"/>
          <w:szCs w:val="22"/>
          <w:lang w:val="fr-FR"/>
        </w:rPr>
        <w:t xml:space="preserve">elles-mêmes </w:t>
      </w:r>
      <w:r w:rsidRPr="00C94B75">
        <w:rPr>
          <w:rFonts w:ascii="Arial" w:eastAsia="SimSun" w:hAnsi="Arial" w:cs="Arial"/>
          <w:sz w:val="22"/>
          <w:szCs w:val="22"/>
          <w:lang w:val="fr-FR"/>
        </w:rPr>
        <w:t>les principes nationaux. Elle sout</w:t>
      </w:r>
      <w:r>
        <w:rPr>
          <w:rFonts w:ascii="Arial" w:eastAsia="SimSun" w:hAnsi="Arial" w:cs="Arial"/>
          <w:sz w:val="22"/>
          <w:szCs w:val="22"/>
          <w:lang w:val="fr-FR"/>
        </w:rPr>
        <w:t xml:space="preserve">enait </w:t>
      </w:r>
      <w:r w:rsidRPr="00C94B75">
        <w:rPr>
          <w:rFonts w:ascii="Arial" w:eastAsia="SimSun" w:hAnsi="Arial" w:cs="Arial"/>
          <w:sz w:val="22"/>
          <w:szCs w:val="22"/>
          <w:lang w:val="fr-FR"/>
        </w:rPr>
        <w:t xml:space="preserve">pleinement la Convention, </w:t>
      </w:r>
      <w:r>
        <w:rPr>
          <w:rFonts w:ascii="Arial" w:eastAsia="SimSun" w:hAnsi="Arial" w:cs="Arial"/>
          <w:sz w:val="22"/>
          <w:szCs w:val="22"/>
          <w:lang w:val="fr-FR"/>
        </w:rPr>
        <w:t xml:space="preserve">un soutien né </w:t>
      </w:r>
      <w:r w:rsidRPr="00C94B75">
        <w:rPr>
          <w:rFonts w:ascii="Arial" w:eastAsia="SimSun" w:hAnsi="Arial" w:cs="Arial"/>
          <w:sz w:val="22"/>
          <w:szCs w:val="22"/>
          <w:lang w:val="fr-FR"/>
        </w:rPr>
        <w:t>de son attachement à son patrimoine</w:t>
      </w:r>
      <w:r>
        <w:rPr>
          <w:rFonts w:ascii="Arial" w:eastAsia="SimSun" w:hAnsi="Arial" w:cs="Arial"/>
          <w:sz w:val="22"/>
          <w:szCs w:val="22"/>
          <w:lang w:val="fr-FR"/>
        </w:rPr>
        <w:t xml:space="preserve"> </w:t>
      </w:r>
      <w:r w:rsidRPr="00C94B75">
        <w:rPr>
          <w:rFonts w:ascii="Arial" w:eastAsia="SimSun" w:hAnsi="Arial" w:cs="Arial"/>
          <w:sz w:val="22"/>
          <w:szCs w:val="22"/>
          <w:lang w:val="fr-FR"/>
        </w:rPr>
        <w:t>qui fait partie de son identité et de son histoire millénaire. Le ministère de la Culture a</w:t>
      </w:r>
      <w:r>
        <w:rPr>
          <w:rFonts w:ascii="Arial" w:eastAsia="SimSun" w:hAnsi="Arial" w:cs="Arial"/>
          <w:sz w:val="22"/>
          <w:szCs w:val="22"/>
          <w:lang w:val="fr-FR"/>
        </w:rPr>
        <w:t>vait</w:t>
      </w:r>
      <w:r w:rsidRPr="00C94B75">
        <w:rPr>
          <w:rFonts w:ascii="Arial" w:eastAsia="SimSun" w:hAnsi="Arial" w:cs="Arial"/>
          <w:sz w:val="22"/>
          <w:szCs w:val="22"/>
          <w:lang w:val="fr-FR"/>
        </w:rPr>
        <w:t xml:space="preserve"> créé un département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94B75">
        <w:rPr>
          <w:rFonts w:ascii="Arial" w:eastAsia="SimSun" w:hAnsi="Arial" w:cs="Arial"/>
          <w:sz w:val="22"/>
          <w:szCs w:val="22"/>
          <w:lang w:val="fr-FR"/>
        </w:rPr>
        <w:t>et il particip</w:t>
      </w:r>
      <w:r>
        <w:rPr>
          <w:rFonts w:ascii="Arial" w:eastAsia="SimSun" w:hAnsi="Arial" w:cs="Arial"/>
          <w:sz w:val="22"/>
          <w:szCs w:val="22"/>
          <w:lang w:val="fr-FR"/>
        </w:rPr>
        <w:t>ait</w:t>
      </w:r>
      <w:r w:rsidRPr="00C94B75">
        <w:rPr>
          <w:rFonts w:ascii="Arial" w:eastAsia="SimSun" w:hAnsi="Arial" w:cs="Arial"/>
          <w:sz w:val="22"/>
          <w:szCs w:val="22"/>
          <w:lang w:val="fr-FR"/>
        </w:rPr>
        <w:t xml:space="preserve"> à toutes les manifestations internationales sur ce sujet, mettant en œuvre des mesures importantes pour protéger l</w:t>
      </w:r>
      <w:r w:rsidR="008E532B">
        <w:rPr>
          <w:rFonts w:ascii="Arial" w:eastAsia="SimSun" w:hAnsi="Arial" w:cs="Arial"/>
          <w:sz w:val="22"/>
          <w:szCs w:val="22"/>
          <w:lang w:val="fr-FR"/>
        </w:rPr>
        <w:t>’</w:t>
      </w:r>
      <w:r w:rsidRPr="00C94B75">
        <w:rPr>
          <w:rFonts w:ascii="Arial" w:eastAsia="SimSun" w:hAnsi="Arial" w:cs="Arial"/>
          <w:sz w:val="22"/>
          <w:szCs w:val="22"/>
          <w:lang w:val="fr-FR"/>
        </w:rPr>
        <w:t xml:space="preserve">artisanat syrien. </w:t>
      </w:r>
      <w:r>
        <w:rPr>
          <w:rFonts w:ascii="Arial" w:eastAsia="SimSun" w:hAnsi="Arial" w:cs="Arial"/>
          <w:sz w:val="22"/>
          <w:szCs w:val="22"/>
          <w:lang w:val="fr-FR"/>
        </w:rPr>
        <w:t xml:space="preserve">Il avait, par exemple, </w:t>
      </w:r>
      <w:r w:rsidRPr="00C94B75">
        <w:rPr>
          <w:rFonts w:ascii="Arial" w:eastAsia="SimSun" w:hAnsi="Arial" w:cs="Arial"/>
          <w:sz w:val="22"/>
          <w:szCs w:val="22"/>
          <w:lang w:val="fr-FR"/>
        </w:rPr>
        <w:t>contribué à l</w:t>
      </w:r>
      <w:r w:rsidR="008E532B">
        <w:rPr>
          <w:rFonts w:ascii="Arial" w:eastAsia="SimSun" w:hAnsi="Arial" w:cs="Arial"/>
          <w:sz w:val="22"/>
          <w:szCs w:val="22"/>
          <w:lang w:val="fr-FR"/>
        </w:rPr>
        <w:t>’</w:t>
      </w:r>
      <w:r w:rsidRPr="00C94B75">
        <w:rPr>
          <w:rFonts w:ascii="Arial" w:eastAsia="SimSun" w:hAnsi="Arial" w:cs="Arial"/>
          <w:sz w:val="22"/>
          <w:szCs w:val="22"/>
          <w:lang w:val="fr-FR"/>
        </w:rPr>
        <w:t>inscription d</w:t>
      </w:r>
      <w:r>
        <w:rPr>
          <w:rFonts w:ascii="Arial" w:eastAsia="SimSun" w:hAnsi="Arial" w:cs="Arial"/>
          <w:sz w:val="22"/>
          <w:szCs w:val="22"/>
          <w:lang w:val="fr-FR"/>
        </w:rPr>
        <w:t>u théâtre d</w:t>
      </w:r>
      <w:r w:rsidR="008E532B">
        <w:rPr>
          <w:rFonts w:ascii="Arial" w:eastAsia="SimSun" w:hAnsi="Arial" w:cs="Arial"/>
          <w:sz w:val="22"/>
          <w:szCs w:val="22"/>
          <w:lang w:val="fr-FR"/>
        </w:rPr>
        <w:t>’</w:t>
      </w:r>
      <w:r>
        <w:rPr>
          <w:rFonts w:ascii="Arial" w:eastAsia="SimSun" w:hAnsi="Arial" w:cs="Arial"/>
          <w:sz w:val="22"/>
          <w:szCs w:val="22"/>
          <w:lang w:val="fr-FR"/>
        </w:rPr>
        <w:t>ombres</w:t>
      </w:r>
      <w:r w:rsidRPr="00C94B75">
        <w:rPr>
          <w:rFonts w:ascii="Arial" w:eastAsia="SimSun" w:hAnsi="Arial" w:cs="Arial"/>
          <w:sz w:val="22"/>
          <w:szCs w:val="22"/>
          <w:lang w:val="fr-FR"/>
        </w:rPr>
        <w:t xml:space="preserve"> sur la </w:t>
      </w:r>
      <w:r>
        <w:rPr>
          <w:rFonts w:ascii="Arial" w:eastAsia="SimSun" w:hAnsi="Arial" w:cs="Arial"/>
          <w:sz w:val="22"/>
          <w:szCs w:val="22"/>
          <w:lang w:val="fr-FR"/>
        </w:rPr>
        <w:t>Li</w:t>
      </w:r>
      <w:r w:rsidRPr="00C94B75">
        <w:rPr>
          <w:rFonts w:ascii="Arial" w:eastAsia="SimSun" w:hAnsi="Arial" w:cs="Arial"/>
          <w:sz w:val="22"/>
          <w:szCs w:val="22"/>
          <w:lang w:val="fr-FR"/>
        </w:rPr>
        <w:t>ste de sauvegarde urgente</w:t>
      </w:r>
      <w:r>
        <w:rPr>
          <w:rStyle w:val="FootnoteReference"/>
          <w:rFonts w:ascii="Arial" w:eastAsia="SimSun" w:hAnsi="Arial" w:cs="Arial"/>
          <w:sz w:val="22"/>
          <w:szCs w:val="22"/>
          <w:lang w:val="fr-FR"/>
        </w:rPr>
        <w:footnoteReference w:id="11"/>
      </w:r>
      <w:r w:rsidRPr="00C94B75">
        <w:rPr>
          <w:rFonts w:ascii="Arial" w:eastAsia="SimSun" w:hAnsi="Arial" w:cs="Arial"/>
          <w:sz w:val="22"/>
          <w:szCs w:val="22"/>
          <w:lang w:val="fr-FR"/>
        </w:rPr>
        <w:t>. Le pays a</w:t>
      </w:r>
      <w:r>
        <w:rPr>
          <w:rFonts w:ascii="Arial" w:eastAsia="SimSun" w:hAnsi="Arial" w:cs="Arial"/>
          <w:sz w:val="22"/>
          <w:szCs w:val="22"/>
          <w:lang w:val="fr-FR"/>
        </w:rPr>
        <w:t>vait</w:t>
      </w:r>
      <w:r w:rsidRPr="00C94B75">
        <w:rPr>
          <w:rFonts w:ascii="Arial" w:eastAsia="SimSun" w:hAnsi="Arial" w:cs="Arial"/>
          <w:sz w:val="22"/>
          <w:szCs w:val="22"/>
          <w:lang w:val="fr-FR"/>
        </w:rPr>
        <w:t xml:space="preserve"> entamé un grand débat national avec toutes les parties prenantes pour adopter la première Stratégie nationale pour la protection et la sauvegarde du patrimoine culturel immatériel et, grâce à ce dialogue national, de nombreuses recommandations </w:t>
      </w:r>
      <w:r>
        <w:rPr>
          <w:rFonts w:ascii="Arial" w:eastAsia="SimSun" w:hAnsi="Arial" w:cs="Arial"/>
          <w:sz w:val="22"/>
          <w:szCs w:val="22"/>
          <w:lang w:val="fr-FR"/>
        </w:rPr>
        <w:t>avaient</w:t>
      </w:r>
      <w:r w:rsidRPr="00C94B75">
        <w:rPr>
          <w:rFonts w:ascii="Arial" w:eastAsia="SimSun" w:hAnsi="Arial" w:cs="Arial"/>
          <w:sz w:val="22"/>
          <w:szCs w:val="22"/>
          <w:lang w:val="fr-FR"/>
        </w:rPr>
        <w:t xml:space="preserve"> été adoptées, s</w:t>
      </w:r>
      <w:r w:rsidR="008E532B">
        <w:rPr>
          <w:rFonts w:ascii="Arial" w:eastAsia="SimSun" w:hAnsi="Arial" w:cs="Arial"/>
          <w:sz w:val="22"/>
          <w:szCs w:val="22"/>
          <w:lang w:val="fr-FR"/>
        </w:rPr>
        <w:t>’</w:t>
      </w:r>
      <w:r w:rsidRPr="00C94B75">
        <w:rPr>
          <w:rFonts w:ascii="Arial" w:eastAsia="SimSun" w:hAnsi="Arial" w:cs="Arial"/>
          <w:sz w:val="22"/>
          <w:szCs w:val="22"/>
          <w:lang w:val="fr-FR"/>
        </w:rPr>
        <w:t xml:space="preserve">inspirant des principes de la Convention. Un débat constructif était attendu au cours de cette session, notamment pour protéger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94B75">
        <w:rPr>
          <w:rFonts w:ascii="Arial" w:eastAsia="SimSun" w:hAnsi="Arial" w:cs="Arial"/>
          <w:sz w:val="22"/>
          <w:szCs w:val="22"/>
          <w:lang w:val="fr-FR"/>
        </w:rPr>
        <w:t>dans les situations d</w:t>
      </w:r>
      <w:r w:rsidR="008E532B">
        <w:rPr>
          <w:rFonts w:ascii="Arial" w:eastAsia="SimSun" w:hAnsi="Arial" w:cs="Arial"/>
          <w:sz w:val="22"/>
          <w:szCs w:val="22"/>
          <w:lang w:val="fr-FR"/>
        </w:rPr>
        <w:t>’</w:t>
      </w:r>
      <w:r w:rsidRPr="00C94B75">
        <w:rPr>
          <w:rFonts w:ascii="Arial" w:eastAsia="SimSun" w:hAnsi="Arial" w:cs="Arial"/>
          <w:sz w:val="22"/>
          <w:szCs w:val="22"/>
          <w:lang w:val="fr-FR"/>
        </w:rPr>
        <w:t>urgence, et</w:t>
      </w:r>
      <w:r>
        <w:rPr>
          <w:rFonts w:ascii="Arial" w:eastAsia="SimSun" w:hAnsi="Arial" w:cs="Arial"/>
          <w:sz w:val="22"/>
          <w:szCs w:val="22"/>
          <w:lang w:val="fr-FR"/>
        </w:rPr>
        <w:t xml:space="preserve"> </w:t>
      </w:r>
      <w:r w:rsidRPr="00C94B75">
        <w:rPr>
          <w:rFonts w:ascii="Arial" w:eastAsia="SimSun" w:hAnsi="Arial" w:cs="Arial"/>
          <w:sz w:val="22"/>
          <w:szCs w:val="22"/>
          <w:lang w:val="fr-FR"/>
        </w:rPr>
        <w:t xml:space="preserve">on </w:t>
      </w:r>
      <w:r>
        <w:rPr>
          <w:rFonts w:ascii="Arial" w:eastAsia="SimSun" w:hAnsi="Arial" w:cs="Arial"/>
          <w:sz w:val="22"/>
          <w:szCs w:val="22"/>
          <w:lang w:val="fr-FR"/>
        </w:rPr>
        <w:t xml:space="preserve">pouvait </w:t>
      </w:r>
      <w:r w:rsidRPr="00C94B75">
        <w:rPr>
          <w:rFonts w:ascii="Arial" w:eastAsia="SimSun" w:hAnsi="Arial" w:cs="Arial"/>
          <w:sz w:val="22"/>
          <w:szCs w:val="22"/>
          <w:lang w:val="fr-FR"/>
        </w:rPr>
        <w:t>espér</w:t>
      </w:r>
      <w:r>
        <w:rPr>
          <w:rFonts w:ascii="Arial" w:eastAsia="SimSun" w:hAnsi="Arial" w:cs="Arial"/>
          <w:sz w:val="22"/>
          <w:szCs w:val="22"/>
          <w:lang w:val="fr-FR"/>
        </w:rPr>
        <w:t>er</w:t>
      </w:r>
      <w:r w:rsidRPr="00C94B75">
        <w:rPr>
          <w:rFonts w:ascii="Arial" w:eastAsia="SimSun" w:hAnsi="Arial" w:cs="Arial"/>
          <w:sz w:val="22"/>
          <w:szCs w:val="22"/>
          <w:lang w:val="fr-FR"/>
        </w:rPr>
        <w:t xml:space="preserve"> qu</w:t>
      </w:r>
      <w:r w:rsidR="008E532B">
        <w:rPr>
          <w:rFonts w:ascii="Arial" w:eastAsia="SimSun" w:hAnsi="Arial" w:cs="Arial"/>
          <w:sz w:val="22"/>
          <w:szCs w:val="22"/>
          <w:lang w:val="fr-FR"/>
        </w:rPr>
        <w:t>’</w:t>
      </w:r>
      <w:r w:rsidRPr="00C94B75">
        <w:rPr>
          <w:rFonts w:ascii="Arial" w:eastAsia="SimSun" w:hAnsi="Arial" w:cs="Arial"/>
          <w:sz w:val="22"/>
          <w:szCs w:val="22"/>
          <w:lang w:val="fr-FR"/>
        </w:rPr>
        <w:t>il y aurait des possibilités de coopération internationale.</w:t>
      </w:r>
    </w:p>
    <w:p w14:paraId="6FFED90C" w14:textId="346534BC" w:rsidR="00D9653F" w:rsidRPr="009F0F85"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rPr>
      </w:pPr>
      <w:r w:rsidRPr="009F0F85">
        <w:rPr>
          <w:rFonts w:ascii="Arial" w:eastAsia="SimSun" w:hAnsi="Arial" w:cs="Arial"/>
          <w:bCs/>
          <w:sz w:val="22"/>
          <w:szCs w:val="22"/>
          <w:lang w:val="fr-FR"/>
        </w:rPr>
        <w:t xml:space="preserve">La délégation de la </w:t>
      </w:r>
      <w:r w:rsidRPr="009F0F85">
        <w:rPr>
          <w:rFonts w:ascii="Arial" w:eastAsia="SimSun" w:hAnsi="Arial" w:cs="Arial"/>
          <w:b/>
          <w:sz w:val="22"/>
          <w:szCs w:val="22"/>
          <w:lang w:val="fr-FR"/>
        </w:rPr>
        <w:t>République démocratique du Congo</w:t>
      </w:r>
      <w:r w:rsidRPr="009F0F85">
        <w:rPr>
          <w:rFonts w:ascii="Arial" w:eastAsia="SimSun" w:hAnsi="Arial" w:cs="Arial"/>
          <w:bCs/>
          <w:sz w:val="22"/>
          <w:szCs w:val="22"/>
          <w:lang w:val="fr-FR"/>
        </w:rPr>
        <w:t xml:space="preserve"> a félicité la Présidente et les autres membres élus du Bureau, ainsi que le Secrétariat</w:t>
      </w:r>
      <w:r>
        <w:rPr>
          <w:rFonts w:ascii="Arial" w:eastAsia="SimSun" w:hAnsi="Arial" w:cs="Arial"/>
          <w:bCs/>
          <w:sz w:val="22"/>
          <w:szCs w:val="22"/>
          <w:lang w:val="fr-FR"/>
        </w:rPr>
        <w:t>,</w:t>
      </w:r>
      <w:r w:rsidRPr="009F0F85">
        <w:rPr>
          <w:rFonts w:ascii="Arial" w:eastAsia="SimSun" w:hAnsi="Arial" w:cs="Arial"/>
          <w:bCs/>
          <w:sz w:val="22"/>
          <w:szCs w:val="22"/>
          <w:lang w:val="fr-FR"/>
        </w:rPr>
        <w:t xml:space="preserve"> pour le travail accompli au cours des deux dernières années et pour la présentation de son rapport. La République démocratique du Congo </w:t>
      </w:r>
      <w:r>
        <w:rPr>
          <w:rFonts w:ascii="Arial" w:eastAsia="SimSun" w:hAnsi="Arial" w:cs="Arial"/>
          <w:bCs/>
          <w:sz w:val="22"/>
          <w:szCs w:val="22"/>
          <w:lang w:val="fr-FR"/>
        </w:rPr>
        <w:t>s</w:t>
      </w:r>
      <w:r w:rsidR="008E532B">
        <w:rPr>
          <w:rFonts w:ascii="Arial" w:eastAsia="SimSun" w:hAnsi="Arial" w:cs="Arial"/>
          <w:bCs/>
          <w:sz w:val="22"/>
          <w:szCs w:val="22"/>
          <w:lang w:val="fr-FR"/>
        </w:rPr>
        <w:t>’</w:t>
      </w:r>
      <w:r>
        <w:rPr>
          <w:rFonts w:ascii="Arial" w:eastAsia="SimSun" w:hAnsi="Arial" w:cs="Arial"/>
          <w:bCs/>
          <w:sz w:val="22"/>
          <w:szCs w:val="22"/>
          <w:lang w:val="fr-FR"/>
        </w:rPr>
        <w:t>est félicitée de</w:t>
      </w:r>
      <w:r w:rsidRPr="009F0F85">
        <w:rPr>
          <w:rFonts w:ascii="Arial" w:eastAsia="SimSun" w:hAnsi="Arial" w:cs="Arial"/>
          <w:bCs/>
          <w:sz w:val="22"/>
          <w:szCs w:val="22"/>
          <w:lang w:val="fr-FR"/>
        </w:rPr>
        <w:t xml:space="preserve"> l</w:t>
      </w:r>
      <w:r w:rsidR="008E532B">
        <w:rPr>
          <w:rFonts w:ascii="Arial" w:eastAsia="SimSun" w:hAnsi="Arial" w:cs="Arial"/>
          <w:bCs/>
          <w:sz w:val="22"/>
          <w:szCs w:val="22"/>
          <w:lang w:val="fr-FR"/>
        </w:rPr>
        <w:t>’</w:t>
      </w:r>
      <w:r w:rsidRPr="009F0F85">
        <w:rPr>
          <w:rFonts w:ascii="Arial" w:eastAsia="SimSun" w:hAnsi="Arial" w:cs="Arial"/>
          <w:bCs/>
          <w:sz w:val="22"/>
          <w:szCs w:val="22"/>
          <w:lang w:val="fr-FR"/>
        </w:rPr>
        <w:t>inscription multinationale en décembre 2021, avec la République du Congo, de la rumba congolaise</w:t>
      </w:r>
      <w:r>
        <w:rPr>
          <w:rFonts w:ascii="Arial" w:eastAsia="SimSun" w:hAnsi="Arial" w:cs="Arial"/>
          <w:bCs/>
          <w:sz w:val="22"/>
          <w:szCs w:val="22"/>
          <w:lang w:val="fr-FR"/>
        </w:rPr>
        <w:t xml:space="preserve"> </w:t>
      </w:r>
      <w:r w:rsidRPr="009F0F85">
        <w:rPr>
          <w:rFonts w:ascii="Arial" w:eastAsia="SimSun" w:hAnsi="Arial" w:cs="Arial"/>
          <w:bCs/>
          <w:sz w:val="22"/>
          <w:szCs w:val="22"/>
          <w:lang w:val="fr-FR"/>
        </w:rPr>
        <w:t>sur la Liste représentative. La délégation a remercié l</w:t>
      </w:r>
      <w:r w:rsidR="008E532B">
        <w:rPr>
          <w:rFonts w:ascii="Arial" w:eastAsia="SimSun" w:hAnsi="Arial" w:cs="Arial"/>
          <w:bCs/>
          <w:sz w:val="22"/>
          <w:szCs w:val="22"/>
          <w:lang w:val="fr-FR"/>
        </w:rPr>
        <w:t>’</w:t>
      </w:r>
      <w:r w:rsidRPr="009F0F85">
        <w:rPr>
          <w:rFonts w:ascii="Arial" w:eastAsia="SimSun" w:hAnsi="Arial" w:cs="Arial"/>
          <w:bCs/>
          <w:sz w:val="22"/>
          <w:szCs w:val="22"/>
          <w:lang w:val="fr-FR"/>
        </w:rPr>
        <w:t>UNESCO pour son soutien au processus d</w:t>
      </w:r>
      <w:r w:rsidR="008E532B">
        <w:rPr>
          <w:rFonts w:ascii="Arial" w:eastAsia="SimSun" w:hAnsi="Arial" w:cs="Arial"/>
          <w:bCs/>
          <w:sz w:val="22"/>
          <w:szCs w:val="22"/>
          <w:lang w:val="fr-FR"/>
        </w:rPr>
        <w:t>’</w:t>
      </w:r>
      <w:r w:rsidRPr="009F0F85">
        <w:rPr>
          <w:rFonts w:ascii="Arial" w:eastAsia="SimSun" w:hAnsi="Arial" w:cs="Arial"/>
          <w:bCs/>
          <w:sz w:val="22"/>
          <w:szCs w:val="22"/>
          <w:lang w:val="fr-FR"/>
        </w:rPr>
        <w:t>inscription par l</w:t>
      </w:r>
      <w:r w:rsidR="008E532B">
        <w:rPr>
          <w:rFonts w:ascii="Arial" w:eastAsia="SimSun" w:hAnsi="Arial" w:cs="Arial"/>
          <w:bCs/>
          <w:sz w:val="22"/>
          <w:szCs w:val="22"/>
          <w:lang w:val="fr-FR"/>
        </w:rPr>
        <w:t>’</w:t>
      </w:r>
      <w:r w:rsidRPr="009F0F85">
        <w:rPr>
          <w:rFonts w:ascii="Arial" w:eastAsia="SimSun" w:hAnsi="Arial" w:cs="Arial"/>
          <w:bCs/>
          <w:sz w:val="22"/>
          <w:szCs w:val="22"/>
          <w:lang w:val="fr-FR"/>
        </w:rPr>
        <w:t>intermédiaire de son Bureau sous-régional à Yaoundé et du Bureau de l</w:t>
      </w:r>
      <w:r w:rsidR="008E532B">
        <w:rPr>
          <w:rFonts w:ascii="Arial" w:eastAsia="SimSun" w:hAnsi="Arial" w:cs="Arial"/>
          <w:bCs/>
          <w:sz w:val="22"/>
          <w:szCs w:val="22"/>
          <w:lang w:val="fr-FR"/>
        </w:rPr>
        <w:t>’</w:t>
      </w:r>
      <w:r w:rsidRPr="009F0F85">
        <w:rPr>
          <w:rFonts w:ascii="Arial" w:eastAsia="SimSun" w:hAnsi="Arial" w:cs="Arial"/>
          <w:bCs/>
          <w:sz w:val="22"/>
          <w:szCs w:val="22"/>
          <w:lang w:val="fr-FR"/>
        </w:rPr>
        <w:t>UNESCO à Kinshasa. Elle esp</w:t>
      </w:r>
      <w:r>
        <w:rPr>
          <w:rFonts w:ascii="Arial" w:eastAsia="SimSun" w:hAnsi="Arial" w:cs="Arial"/>
          <w:bCs/>
          <w:sz w:val="22"/>
          <w:szCs w:val="22"/>
          <w:lang w:val="fr-FR"/>
        </w:rPr>
        <w:t>érait</w:t>
      </w:r>
      <w:r w:rsidRPr="009F0F85">
        <w:rPr>
          <w:rFonts w:ascii="Arial" w:eastAsia="SimSun" w:hAnsi="Arial" w:cs="Arial"/>
          <w:bCs/>
          <w:sz w:val="22"/>
          <w:szCs w:val="22"/>
          <w:lang w:val="fr-FR"/>
        </w:rPr>
        <w:t xml:space="preserve"> une inscription élargie de cet élément</w:t>
      </w:r>
      <w:r>
        <w:rPr>
          <w:rFonts w:ascii="Arial" w:eastAsia="SimSun" w:hAnsi="Arial" w:cs="Arial"/>
          <w:bCs/>
          <w:sz w:val="22"/>
          <w:szCs w:val="22"/>
          <w:lang w:val="fr-FR"/>
        </w:rPr>
        <w:t>, dans un futur proche,</w:t>
      </w:r>
      <w:r w:rsidRPr="009F0F85">
        <w:rPr>
          <w:rFonts w:ascii="Arial" w:eastAsia="SimSun" w:hAnsi="Arial" w:cs="Arial"/>
          <w:bCs/>
          <w:sz w:val="22"/>
          <w:szCs w:val="22"/>
          <w:lang w:val="fr-FR"/>
        </w:rPr>
        <w:t xml:space="preserve"> avec l</w:t>
      </w:r>
      <w:r w:rsidR="008E532B">
        <w:rPr>
          <w:rFonts w:ascii="Arial" w:eastAsia="SimSun" w:hAnsi="Arial" w:cs="Arial"/>
          <w:bCs/>
          <w:sz w:val="22"/>
          <w:szCs w:val="22"/>
          <w:lang w:val="fr-FR"/>
        </w:rPr>
        <w:t>’</w:t>
      </w:r>
      <w:r w:rsidRPr="009F0F85">
        <w:rPr>
          <w:rFonts w:ascii="Arial" w:eastAsia="SimSun" w:hAnsi="Arial" w:cs="Arial"/>
          <w:bCs/>
          <w:sz w:val="22"/>
          <w:szCs w:val="22"/>
          <w:lang w:val="fr-FR"/>
        </w:rPr>
        <w:t>Angola</w:t>
      </w:r>
      <w:r>
        <w:rPr>
          <w:rFonts w:ascii="Arial" w:eastAsia="SimSun" w:hAnsi="Arial" w:cs="Arial"/>
          <w:bCs/>
          <w:sz w:val="22"/>
          <w:szCs w:val="22"/>
          <w:lang w:val="fr-FR"/>
        </w:rPr>
        <w:t xml:space="preserve"> </w:t>
      </w:r>
      <w:r w:rsidRPr="009F0F85">
        <w:rPr>
          <w:rFonts w:ascii="Arial" w:eastAsia="SimSun" w:hAnsi="Arial" w:cs="Arial"/>
          <w:bCs/>
          <w:sz w:val="22"/>
          <w:szCs w:val="22"/>
          <w:lang w:val="fr-FR"/>
        </w:rPr>
        <w:t>qui v</w:t>
      </w:r>
      <w:r>
        <w:rPr>
          <w:rFonts w:ascii="Arial" w:eastAsia="SimSun" w:hAnsi="Arial" w:cs="Arial"/>
          <w:bCs/>
          <w:sz w:val="22"/>
          <w:szCs w:val="22"/>
          <w:lang w:val="fr-FR"/>
        </w:rPr>
        <w:t>enait</w:t>
      </w:r>
      <w:r w:rsidRPr="009F0F85">
        <w:rPr>
          <w:rFonts w:ascii="Arial" w:eastAsia="SimSun" w:hAnsi="Arial" w:cs="Arial"/>
          <w:bCs/>
          <w:sz w:val="22"/>
          <w:szCs w:val="22"/>
          <w:lang w:val="fr-FR"/>
        </w:rPr>
        <w:t xml:space="preserve"> de ratifier la Convention. La délégation a félicité l</w:t>
      </w:r>
      <w:r w:rsidR="008E532B">
        <w:rPr>
          <w:rFonts w:ascii="Arial" w:eastAsia="SimSun" w:hAnsi="Arial" w:cs="Arial"/>
          <w:bCs/>
          <w:sz w:val="22"/>
          <w:szCs w:val="22"/>
          <w:lang w:val="fr-FR"/>
        </w:rPr>
        <w:t>’</w:t>
      </w:r>
      <w:r w:rsidRPr="009F0F85">
        <w:rPr>
          <w:rFonts w:ascii="Arial" w:eastAsia="SimSun" w:hAnsi="Arial" w:cs="Arial"/>
          <w:bCs/>
          <w:sz w:val="22"/>
          <w:szCs w:val="22"/>
          <w:lang w:val="fr-FR"/>
        </w:rPr>
        <w:t>UNESCO pour le lancement du MOOC sur le patrimoine vivant et le développement durable, qui contribue au renforcement des capacités par l</w:t>
      </w:r>
      <w:r w:rsidR="008E532B">
        <w:rPr>
          <w:rFonts w:ascii="Arial" w:eastAsia="SimSun" w:hAnsi="Arial" w:cs="Arial"/>
          <w:bCs/>
          <w:sz w:val="22"/>
          <w:szCs w:val="22"/>
          <w:lang w:val="fr-FR"/>
        </w:rPr>
        <w:t>’</w:t>
      </w:r>
      <w:r w:rsidRPr="009F0F85">
        <w:rPr>
          <w:rFonts w:ascii="Arial" w:eastAsia="SimSun" w:hAnsi="Arial" w:cs="Arial"/>
          <w:bCs/>
          <w:sz w:val="22"/>
          <w:szCs w:val="22"/>
          <w:lang w:val="fr-FR"/>
        </w:rPr>
        <w:t>utilisation des technologies de l</w:t>
      </w:r>
      <w:r w:rsidR="008E532B">
        <w:rPr>
          <w:rFonts w:ascii="Arial" w:eastAsia="SimSun" w:hAnsi="Arial" w:cs="Arial"/>
          <w:bCs/>
          <w:sz w:val="22"/>
          <w:szCs w:val="22"/>
          <w:lang w:val="fr-FR"/>
        </w:rPr>
        <w:t>’</w:t>
      </w:r>
      <w:r w:rsidRPr="009F0F85">
        <w:rPr>
          <w:rFonts w:ascii="Arial" w:eastAsia="SimSun" w:hAnsi="Arial" w:cs="Arial"/>
          <w:bCs/>
          <w:sz w:val="22"/>
          <w:szCs w:val="22"/>
          <w:lang w:val="fr-FR"/>
        </w:rPr>
        <w:t xml:space="preserve">information et de la communication, ainsi que pour le programme international de renforcement des capacités et le réseau </w:t>
      </w:r>
      <w:r>
        <w:rPr>
          <w:rFonts w:ascii="Arial" w:eastAsia="SimSun" w:hAnsi="Arial" w:cs="Arial"/>
          <w:bCs/>
          <w:sz w:val="22"/>
          <w:szCs w:val="22"/>
          <w:lang w:val="fr-FR"/>
        </w:rPr>
        <w:t xml:space="preserve">global </w:t>
      </w:r>
      <w:r w:rsidRPr="009F0F85">
        <w:rPr>
          <w:rFonts w:ascii="Arial" w:eastAsia="SimSun" w:hAnsi="Arial" w:cs="Arial"/>
          <w:bCs/>
          <w:sz w:val="22"/>
          <w:szCs w:val="22"/>
          <w:lang w:val="fr-FR"/>
        </w:rPr>
        <w:t>de facilitateurs. La délégation souten</w:t>
      </w:r>
      <w:r>
        <w:rPr>
          <w:rFonts w:ascii="Arial" w:eastAsia="SimSun" w:hAnsi="Arial" w:cs="Arial"/>
          <w:bCs/>
          <w:sz w:val="22"/>
          <w:szCs w:val="22"/>
          <w:lang w:val="fr-FR"/>
        </w:rPr>
        <w:t>ait</w:t>
      </w:r>
      <w:r w:rsidRPr="009F0F85">
        <w:rPr>
          <w:rFonts w:ascii="Arial" w:eastAsia="SimSun" w:hAnsi="Arial" w:cs="Arial"/>
          <w:bCs/>
          <w:sz w:val="22"/>
          <w:szCs w:val="22"/>
          <w:lang w:val="fr-FR"/>
        </w:rPr>
        <w:t xml:space="preserve"> un renforcement des capacités institutionnelles véritablement mondial, au-delà du renforcement des capacités humaines. Elle a </w:t>
      </w:r>
      <w:r>
        <w:rPr>
          <w:rFonts w:ascii="Arial" w:eastAsia="SimSun" w:hAnsi="Arial" w:cs="Arial"/>
          <w:bCs/>
          <w:sz w:val="22"/>
          <w:szCs w:val="22"/>
          <w:lang w:val="fr-FR"/>
        </w:rPr>
        <w:t xml:space="preserve">déclaré </w:t>
      </w:r>
      <w:r w:rsidRPr="009F0F85">
        <w:rPr>
          <w:rFonts w:ascii="Arial" w:eastAsia="SimSun" w:hAnsi="Arial" w:cs="Arial"/>
          <w:bCs/>
          <w:sz w:val="22"/>
          <w:szCs w:val="22"/>
          <w:lang w:val="fr-FR"/>
        </w:rPr>
        <w:t>ap</w:t>
      </w:r>
      <w:r>
        <w:rPr>
          <w:rFonts w:ascii="Arial" w:eastAsia="SimSun" w:hAnsi="Arial" w:cs="Arial"/>
          <w:bCs/>
          <w:sz w:val="22"/>
          <w:szCs w:val="22"/>
          <w:lang w:val="fr-FR"/>
        </w:rPr>
        <w:t>pr</w:t>
      </w:r>
      <w:r w:rsidRPr="009F0F85">
        <w:rPr>
          <w:rFonts w:ascii="Arial" w:eastAsia="SimSun" w:hAnsi="Arial" w:cs="Arial"/>
          <w:bCs/>
          <w:sz w:val="22"/>
          <w:szCs w:val="22"/>
          <w:lang w:val="fr-FR"/>
        </w:rPr>
        <w:t>ouv</w:t>
      </w:r>
      <w:r>
        <w:rPr>
          <w:rFonts w:ascii="Arial" w:eastAsia="SimSun" w:hAnsi="Arial" w:cs="Arial"/>
          <w:bCs/>
          <w:sz w:val="22"/>
          <w:szCs w:val="22"/>
          <w:lang w:val="fr-FR"/>
        </w:rPr>
        <w:t>er</w:t>
      </w:r>
      <w:r w:rsidRPr="009F0F85">
        <w:rPr>
          <w:rFonts w:ascii="Arial" w:eastAsia="SimSun" w:hAnsi="Arial" w:cs="Arial"/>
          <w:bCs/>
          <w:sz w:val="22"/>
          <w:szCs w:val="22"/>
          <w:lang w:val="fr-FR"/>
        </w:rPr>
        <w:t xml:space="preserve"> le projet de décision.</w:t>
      </w:r>
    </w:p>
    <w:p w14:paraId="1ED996D9" w14:textId="0E9EDB77" w:rsidR="00D9653F" w:rsidRPr="00BA365F"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BA365F">
        <w:rPr>
          <w:rFonts w:ascii="Arial" w:eastAsia="SimSun" w:hAnsi="Arial" w:cs="Arial"/>
          <w:sz w:val="22"/>
          <w:szCs w:val="22"/>
          <w:lang w:val="fr-FR"/>
        </w:rPr>
        <w:t>La délégation de l</w:t>
      </w:r>
      <w:r w:rsidR="008E532B">
        <w:rPr>
          <w:rFonts w:ascii="Arial" w:eastAsia="SimSun" w:hAnsi="Arial" w:cs="Arial"/>
          <w:sz w:val="22"/>
          <w:szCs w:val="22"/>
          <w:lang w:val="fr-FR"/>
        </w:rPr>
        <w:t>’</w:t>
      </w:r>
      <w:r w:rsidRPr="00BA365F">
        <w:rPr>
          <w:rFonts w:ascii="Arial" w:eastAsia="SimSun" w:hAnsi="Arial" w:cs="Arial"/>
          <w:b/>
          <w:bCs/>
          <w:sz w:val="22"/>
          <w:szCs w:val="22"/>
          <w:lang w:val="fr-FR"/>
        </w:rPr>
        <w:t>Algérie</w:t>
      </w:r>
      <w:r w:rsidRPr="00BA365F">
        <w:rPr>
          <w:rFonts w:ascii="Arial" w:eastAsia="SimSun" w:hAnsi="Arial" w:cs="Arial"/>
          <w:sz w:val="22"/>
          <w:szCs w:val="22"/>
          <w:lang w:val="fr-FR"/>
        </w:rPr>
        <w:t xml:space="preserve"> a félicité la Présidente et le Bureau. Cette</w:t>
      </w:r>
      <w:r>
        <w:rPr>
          <w:rFonts w:ascii="Arial" w:eastAsia="SimSun" w:hAnsi="Arial" w:cs="Arial"/>
          <w:sz w:val="22"/>
          <w:szCs w:val="22"/>
          <w:lang w:val="fr-FR"/>
        </w:rPr>
        <w:t xml:space="preserve"> neuvième</w:t>
      </w:r>
      <w:r w:rsidRPr="00BA365F">
        <w:rPr>
          <w:rFonts w:ascii="Arial" w:eastAsia="SimSun" w:hAnsi="Arial" w:cs="Arial"/>
          <w:sz w:val="22"/>
          <w:szCs w:val="22"/>
          <w:lang w:val="fr-FR"/>
        </w:rPr>
        <w:t xml:space="preserve"> session marquait le retour des réunions en face à face et c</w:t>
      </w:r>
      <w:r w:rsidR="008E532B">
        <w:rPr>
          <w:rFonts w:ascii="Arial" w:eastAsia="SimSun" w:hAnsi="Arial" w:cs="Arial"/>
          <w:sz w:val="22"/>
          <w:szCs w:val="22"/>
          <w:lang w:val="fr-FR"/>
        </w:rPr>
        <w:t>’</w:t>
      </w:r>
      <w:r w:rsidRPr="00BA365F">
        <w:rPr>
          <w:rFonts w:ascii="Arial" w:eastAsia="SimSun" w:hAnsi="Arial" w:cs="Arial"/>
          <w:sz w:val="22"/>
          <w:szCs w:val="22"/>
          <w:lang w:val="fr-FR"/>
        </w:rPr>
        <w:t>était l</w:t>
      </w:r>
      <w:r w:rsidR="008E532B">
        <w:rPr>
          <w:rFonts w:ascii="Arial" w:eastAsia="SimSun" w:hAnsi="Arial" w:cs="Arial"/>
          <w:sz w:val="22"/>
          <w:szCs w:val="22"/>
          <w:lang w:val="fr-FR"/>
        </w:rPr>
        <w:t>’</w:t>
      </w:r>
      <w:r w:rsidRPr="00BA365F">
        <w:rPr>
          <w:rFonts w:ascii="Arial" w:eastAsia="SimSun" w:hAnsi="Arial" w:cs="Arial"/>
          <w:sz w:val="22"/>
          <w:szCs w:val="22"/>
          <w:lang w:val="fr-FR"/>
        </w:rPr>
        <w:t>occasion de remercier et de féliciter la Jamaïque et le Sri Lanka pour la qualité des sessions organisées dans des conditions de pandémie. La délégation a également félicité et accueilli la Somalie et l</w:t>
      </w:r>
      <w:r w:rsidR="008E532B">
        <w:rPr>
          <w:rFonts w:ascii="Arial" w:eastAsia="SimSun" w:hAnsi="Arial" w:cs="Arial"/>
          <w:sz w:val="22"/>
          <w:szCs w:val="22"/>
          <w:lang w:val="fr-FR"/>
        </w:rPr>
        <w:t>’</w:t>
      </w:r>
      <w:r w:rsidRPr="00BA365F">
        <w:rPr>
          <w:rFonts w:ascii="Arial" w:eastAsia="SimSun" w:hAnsi="Arial" w:cs="Arial"/>
          <w:sz w:val="22"/>
          <w:szCs w:val="22"/>
          <w:lang w:val="fr-FR"/>
        </w:rPr>
        <w:t xml:space="preserve">Angola, deux États africains, </w:t>
      </w:r>
      <w:r>
        <w:rPr>
          <w:rFonts w:ascii="Arial" w:eastAsia="SimSun" w:hAnsi="Arial" w:cs="Arial"/>
          <w:sz w:val="22"/>
          <w:szCs w:val="22"/>
          <w:lang w:val="fr-FR"/>
        </w:rPr>
        <w:t xml:space="preserve">accroissant </w:t>
      </w:r>
      <w:r w:rsidRPr="00BA365F">
        <w:rPr>
          <w:rFonts w:ascii="Arial" w:eastAsia="SimSun" w:hAnsi="Arial" w:cs="Arial"/>
          <w:sz w:val="22"/>
          <w:szCs w:val="22"/>
          <w:lang w:val="fr-FR"/>
        </w:rPr>
        <w:t>ainsi la présence de l</w:t>
      </w:r>
      <w:r w:rsidR="008E532B">
        <w:rPr>
          <w:rFonts w:ascii="Arial" w:eastAsia="SimSun" w:hAnsi="Arial" w:cs="Arial"/>
          <w:sz w:val="22"/>
          <w:szCs w:val="22"/>
          <w:lang w:val="fr-FR"/>
        </w:rPr>
        <w:t>’</w:t>
      </w:r>
      <w:r w:rsidRPr="00BA365F">
        <w:rPr>
          <w:rFonts w:ascii="Arial" w:eastAsia="SimSun" w:hAnsi="Arial" w:cs="Arial"/>
          <w:sz w:val="22"/>
          <w:szCs w:val="22"/>
          <w:lang w:val="fr-FR"/>
        </w:rPr>
        <w:t xml:space="preserve">Afrique au sein de la Convention, conformément à la </w:t>
      </w:r>
      <w:r>
        <w:rPr>
          <w:rFonts w:ascii="Arial" w:eastAsia="SimSun" w:hAnsi="Arial" w:cs="Arial"/>
          <w:sz w:val="22"/>
          <w:szCs w:val="22"/>
          <w:lang w:val="fr-FR"/>
        </w:rPr>
        <w:t>p</w:t>
      </w:r>
      <w:r w:rsidRPr="00BA365F">
        <w:rPr>
          <w:rFonts w:ascii="Arial" w:eastAsia="SimSun" w:hAnsi="Arial" w:cs="Arial"/>
          <w:sz w:val="22"/>
          <w:szCs w:val="22"/>
          <w:lang w:val="fr-FR"/>
        </w:rPr>
        <w:t>riorité Afrique de l</w:t>
      </w:r>
      <w:r w:rsidR="008E532B">
        <w:rPr>
          <w:rFonts w:ascii="Arial" w:eastAsia="SimSun" w:hAnsi="Arial" w:cs="Arial"/>
          <w:sz w:val="22"/>
          <w:szCs w:val="22"/>
          <w:lang w:val="fr-FR"/>
        </w:rPr>
        <w:t>’</w:t>
      </w:r>
      <w:r w:rsidRPr="00BA365F">
        <w:rPr>
          <w:rFonts w:ascii="Arial" w:eastAsia="SimSun" w:hAnsi="Arial" w:cs="Arial"/>
          <w:sz w:val="22"/>
          <w:szCs w:val="22"/>
          <w:lang w:val="fr-FR"/>
        </w:rPr>
        <w:t>UNESCO. La délégation était certaine que la présence de l</w:t>
      </w:r>
      <w:r w:rsidR="008E532B">
        <w:rPr>
          <w:rFonts w:ascii="Arial" w:eastAsia="SimSun" w:hAnsi="Arial" w:cs="Arial"/>
          <w:sz w:val="22"/>
          <w:szCs w:val="22"/>
          <w:lang w:val="fr-FR"/>
        </w:rPr>
        <w:t>’</w:t>
      </w:r>
      <w:r w:rsidRPr="00BA365F">
        <w:rPr>
          <w:rFonts w:ascii="Arial" w:eastAsia="SimSun" w:hAnsi="Arial" w:cs="Arial"/>
          <w:sz w:val="22"/>
          <w:szCs w:val="22"/>
          <w:lang w:val="fr-FR"/>
        </w:rPr>
        <w:t>Afrique serait renforcée par ces nouveaux États car l</w:t>
      </w:r>
      <w:r w:rsidR="008E532B">
        <w:rPr>
          <w:rFonts w:ascii="Arial" w:eastAsia="SimSun" w:hAnsi="Arial" w:cs="Arial"/>
          <w:sz w:val="22"/>
          <w:szCs w:val="22"/>
          <w:lang w:val="fr-FR"/>
        </w:rPr>
        <w:t>’</w:t>
      </w:r>
      <w:r w:rsidRPr="00BA365F">
        <w:rPr>
          <w:rFonts w:ascii="Arial" w:eastAsia="SimSun" w:hAnsi="Arial" w:cs="Arial"/>
          <w:sz w:val="22"/>
          <w:szCs w:val="22"/>
          <w:lang w:val="fr-FR"/>
        </w:rPr>
        <w:t xml:space="preserve">Afrique pouvait considérablement augmenter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BA365F">
        <w:rPr>
          <w:rFonts w:ascii="Arial" w:eastAsia="SimSun" w:hAnsi="Arial" w:cs="Arial"/>
          <w:sz w:val="22"/>
          <w:szCs w:val="22"/>
          <w:lang w:val="fr-FR"/>
        </w:rPr>
        <w:t>mond</w:t>
      </w:r>
      <w:r>
        <w:rPr>
          <w:rFonts w:ascii="Arial" w:eastAsia="SimSun" w:hAnsi="Arial" w:cs="Arial"/>
          <w:sz w:val="22"/>
          <w:szCs w:val="22"/>
          <w:lang w:val="fr-FR"/>
        </w:rPr>
        <w:t>ial</w:t>
      </w:r>
      <w:r w:rsidRPr="00BA365F">
        <w:rPr>
          <w:rFonts w:ascii="Arial" w:eastAsia="SimSun" w:hAnsi="Arial" w:cs="Arial"/>
          <w:sz w:val="22"/>
          <w:szCs w:val="22"/>
          <w:lang w:val="fr-FR"/>
        </w:rPr>
        <w:t xml:space="preserve"> et, en même temps, l</w:t>
      </w:r>
      <w:r w:rsidR="008E532B">
        <w:rPr>
          <w:rFonts w:ascii="Arial" w:eastAsia="SimSun" w:hAnsi="Arial" w:cs="Arial"/>
          <w:sz w:val="22"/>
          <w:szCs w:val="22"/>
          <w:lang w:val="fr-FR"/>
        </w:rPr>
        <w:t>’</w:t>
      </w:r>
      <w:r w:rsidRPr="00BA365F">
        <w:rPr>
          <w:rFonts w:ascii="Arial" w:eastAsia="SimSun" w:hAnsi="Arial" w:cs="Arial"/>
          <w:sz w:val="22"/>
          <w:szCs w:val="22"/>
          <w:lang w:val="fr-FR"/>
        </w:rPr>
        <w:t>Afrique était le continent qui attendait le plus de cette Convention. Enfin, à l</w:t>
      </w:r>
      <w:r w:rsidR="008E532B">
        <w:rPr>
          <w:rFonts w:ascii="Arial" w:eastAsia="SimSun" w:hAnsi="Arial" w:cs="Arial"/>
          <w:sz w:val="22"/>
          <w:szCs w:val="22"/>
          <w:lang w:val="fr-FR"/>
        </w:rPr>
        <w:t>’</w:t>
      </w:r>
      <w:r w:rsidRPr="00BA365F">
        <w:rPr>
          <w:rFonts w:ascii="Arial" w:eastAsia="SimSun" w:hAnsi="Arial" w:cs="Arial"/>
          <w:sz w:val="22"/>
          <w:szCs w:val="22"/>
          <w:lang w:val="fr-FR"/>
        </w:rPr>
        <w:t xml:space="preserve">occasion de cette </w:t>
      </w:r>
      <w:r>
        <w:rPr>
          <w:rFonts w:ascii="Arial" w:eastAsia="SimSun" w:hAnsi="Arial" w:cs="Arial"/>
          <w:sz w:val="22"/>
          <w:szCs w:val="22"/>
          <w:lang w:val="fr-FR"/>
        </w:rPr>
        <w:t>neuvième</w:t>
      </w:r>
      <w:r w:rsidRPr="00BA365F">
        <w:rPr>
          <w:rFonts w:ascii="Arial" w:eastAsia="SimSun" w:hAnsi="Arial" w:cs="Arial"/>
          <w:sz w:val="22"/>
          <w:szCs w:val="22"/>
          <w:lang w:val="fr-FR"/>
        </w:rPr>
        <w:t xml:space="preserve"> session, la délégation a rappelé que le 5 juillet correspond au soixantième anniversaire de l</w:t>
      </w:r>
      <w:r w:rsidR="008E532B">
        <w:rPr>
          <w:rFonts w:ascii="Arial" w:eastAsia="SimSun" w:hAnsi="Arial" w:cs="Arial"/>
          <w:sz w:val="22"/>
          <w:szCs w:val="22"/>
          <w:lang w:val="fr-FR"/>
        </w:rPr>
        <w:t>’</w:t>
      </w:r>
      <w:r w:rsidRPr="00BA365F">
        <w:rPr>
          <w:rFonts w:ascii="Arial" w:eastAsia="SimSun" w:hAnsi="Arial" w:cs="Arial"/>
          <w:sz w:val="22"/>
          <w:szCs w:val="22"/>
          <w:lang w:val="fr-FR"/>
        </w:rPr>
        <w:t>indépendance de l</w:t>
      </w:r>
      <w:r w:rsidR="008E532B">
        <w:rPr>
          <w:rFonts w:ascii="Arial" w:eastAsia="SimSun" w:hAnsi="Arial" w:cs="Arial"/>
          <w:sz w:val="22"/>
          <w:szCs w:val="22"/>
          <w:lang w:val="fr-FR"/>
        </w:rPr>
        <w:t>’</w:t>
      </w:r>
      <w:r w:rsidRPr="00BA365F">
        <w:rPr>
          <w:rFonts w:ascii="Arial" w:eastAsia="SimSun" w:hAnsi="Arial" w:cs="Arial"/>
          <w:sz w:val="22"/>
          <w:szCs w:val="22"/>
          <w:lang w:val="fr-FR"/>
        </w:rPr>
        <w:t>Algérie après une longue et âpre lutte pour la liberté.</w:t>
      </w:r>
    </w:p>
    <w:p w14:paraId="1C7CD57B" w14:textId="274C44E4" w:rsidR="00D9653F" w:rsidRPr="00020CE2"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020CE2">
        <w:rPr>
          <w:rFonts w:ascii="Arial" w:eastAsia="SimSun" w:hAnsi="Arial" w:cs="Arial"/>
          <w:sz w:val="22"/>
          <w:szCs w:val="22"/>
          <w:lang w:val="fr-FR"/>
        </w:rPr>
        <w:t xml:space="preserve">La délégation du </w:t>
      </w:r>
      <w:r w:rsidRPr="00020CE2">
        <w:rPr>
          <w:rFonts w:ascii="Arial" w:eastAsia="SimSun" w:hAnsi="Arial" w:cs="Arial"/>
          <w:b/>
          <w:bCs/>
          <w:sz w:val="22"/>
          <w:szCs w:val="22"/>
          <w:lang w:val="fr-FR"/>
        </w:rPr>
        <w:t>Mali</w:t>
      </w:r>
      <w:r w:rsidRPr="00020CE2">
        <w:rPr>
          <w:rFonts w:ascii="Arial" w:eastAsia="SimSun" w:hAnsi="Arial" w:cs="Arial"/>
          <w:sz w:val="22"/>
          <w:szCs w:val="22"/>
          <w:lang w:val="fr-FR"/>
        </w:rPr>
        <w:t xml:space="preserve"> a </w:t>
      </w:r>
      <w:r>
        <w:rPr>
          <w:rFonts w:ascii="Arial" w:eastAsia="SimSun" w:hAnsi="Arial" w:cs="Arial"/>
          <w:sz w:val="22"/>
          <w:szCs w:val="22"/>
          <w:lang w:val="fr-FR"/>
        </w:rPr>
        <w:t>adressé</w:t>
      </w:r>
      <w:r w:rsidRPr="00020CE2">
        <w:rPr>
          <w:rFonts w:ascii="Arial" w:eastAsia="SimSun" w:hAnsi="Arial" w:cs="Arial"/>
          <w:sz w:val="22"/>
          <w:szCs w:val="22"/>
          <w:lang w:val="fr-FR"/>
        </w:rPr>
        <w:t xml:space="preserve"> ses félicitations à la Présidente et aux membres du Bureau pour leur élection ainsi qu</w:t>
      </w:r>
      <w:r w:rsidR="008E532B">
        <w:rPr>
          <w:rFonts w:ascii="Arial" w:eastAsia="SimSun" w:hAnsi="Arial" w:cs="Arial"/>
          <w:sz w:val="22"/>
          <w:szCs w:val="22"/>
          <w:lang w:val="fr-FR"/>
        </w:rPr>
        <w:t>’</w:t>
      </w:r>
      <w:r w:rsidRPr="00020CE2">
        <w:rPr>
          <w:rFonts w:ascii="Arial" w:eastAsia="SimSun" w:hAnsi="Arial" w:cs="Arial"/>
          <w:sz w:val="22"/>
          <w:szCs w:val="22"/>
          <w:lang w:val="fr-FR"/>
        </w:rPr>
        <w:t xml:space="preserve">au Secrétariat pour la préparation de la documentation de cette </w:t>
      </w:r>
      <w:r>
        <w:rPr>
          <w:rFonts w:ascii="Arial" w:eastAsia="SimSun" w:hAnsi="Arial" w:cs="Arial"/>
          <w:sz w:val="22"/>
          <w:szCs w:val="22"/>
          <w:lang w:val="fr-FR"/>
        </w:rPr>
        <w:t xml:space="preserve">neuvième </w:t>
      </w:r>
      <w:r w:rsidRPr="00020CE2">
        <w:rPr>
          <w:rFonts w:ascii="Arial" w:eastAsia="SimSun" w:hAnsi="Arial" w:cs="Arial"/>
          <w:sz w:val="22"/>
          <w:szCs w:val="22"/>
          <w:lang w:val="fr-FR"/>
        </w:rPr>
        <w:t>session, et à l</w:t>
      </w:r>
      <w:r w:rsidR="008E532B">
        <w:rPr>
          <w:rFonts w:ascii="Arial" w:eastAsia="SimSun" w:hAnsi="Arial" w:cs="Arial"/>
          <w:sz w:val="22"/>
          <w:szCs w:val="22"/>
          <w:lang w:val="fr-FR"/>
        </w:rPr>
        <w:t>’</w:t>
      </w:r>
      <w:r w:rsidRPr="00020CE2">
        <w:rPr>
          <w:rFonts w:ascii="Arial" w:eastAsia="SimSun" w:hAnsi="Arial" w:cs="Arial"/>
          <w:sz w:val="22"/>
          <w:szCs w:val="22"/>
          <w:lang w:val="fr-FR"/>
        </w:rPr>
        <w:t xml:space="preserve">Angola et la Somalie pour avoir </w:t>
      </w:r>
      <w:r>
        <w:rPr>
          <w:rFonts w:ascii="Arial" w:eastAsia="SimSun" w:hAnsi="Arial" w:cs="Arial"/>
          <w:sz w:val="22"/>
          <w:szCs w:val="22"/>
          <w:lang w:val="fr-FR"/>
        </w:rPr>
        <w:t>rejoint</w:t>
      </w:r>
      <w:r w:rsidRPr="00020CE2">
        <w:rPr>
          <w:rFonts w:ascii="Arial" w:eastAsia="SimSun" w:hAnsi="Arial" w:cs="Arial"/>
          <w:sz w:val="22"/>
          <w:szCs w:val="22"/>
          <w:lang w:val="fr-FR"/>
        </w:rPr>
        <w:t xml:space="preserve"> la Convention. Le Mali s</w:t>
      </w:r>
      <w:r w:rsidR="008E532B">
        <w:rPr>
          <w:rFonts w:ascii="Arial" w:eastAsia="SimSun" w:hAnsi="Arial" w:cs="Arial"/>
          <w:sz w:val="22"/>
          <w:szCs w:val="22"/>
          <w:lang w:val="fr-FR"/>
        </w:rPr>
        <w:t>’</w:t>
      </w:r>
      <w:r w:rsidRPr="00020CE2">
        <w:rPr>
          <w:rFonts w:ascii="Arial" w:eastAsia="SimSun" w:hAnsi="Arial" w:cs="Arial"/>
          <w:sz w:val="22"/>
          <w:szCs w:val="22"/>
          <w:lang w:val="fr-FR"/>
        </w:rPr>
        <w:t>est réjoui de l</w:t>
      </w:r>
      <w:r w:rsidR="008E532B">
        <w:rPr>
          <w:rFonts w:ascii="Arial" w:eastAsia="SimSun" w:hAnsi="Arial" w:cs="Arial"/>
          <w:sz w:val="22"/>
          <w:szCs w:val="22"/>
          <w:lang w:val="fr-FR"/>
        </w:rPr>
        <w:t>’</w:t>
      </w:r>
      <w:r w:rsidRPr="00020CE2">
        <w:rPr>
          <w:rFonts w:ascii="Arial" w:eastAsia="SimSun" w:hAnsi="Arial" w:cs="Arial"/>
          <w:sz w:val="22"/>
          <w:szCs w:val="22"/>
          <w:lang w:val="fr-FR"/>
        </w:rPr>
        <w:t>immense soutien a</w:t>
      </w:r>
      <w:r>
        <w:rPr>
          <w:rFonts w:ascii="Arial" w:eastAsia="SimSun" w:hAnsi="Arial" w:cs="Arial"/>
          <w:sz w:val="22"/>
          <w:szCs w:val="22"/>
          <w:lang w:val="fr-FR"/>
        </w:rPr>
        <w:t>ccordé</w:t>
      </w:r>
      <w:r w:rsidRPr="00020CE2">
        <w:rPr>
          <w:rFonts w:ascii="Arial" w:eastAsia="SimSun" w:hAnsi="Arial" w:cs="Arial"/>
          <w:sz w:val="22"/>
          <w:szCs w:val="22"/>
          <w:lang w:val="fr-FR"/>
        </w:rPr>
        <w:t xml:space="preserve"> par le Comité </w:t>
      </w:r>
      <w:r>
        <w:rPr>
          <w:rFonts w:ascii="Arial" w:eastAsia="SimSun" w:hAnsi="Arial" w:cs="Arial"/>
          <w:sz w:val="22"/>
          <w:szCs w:val="22"/>
          <w:lang w:val="fr-FR"/>
        </w:rPr>
        <w:t>à</w:t>
      </w:r>
      <w:r w:rsidRPr="00020CE2">
        <w:rPr>
          <w:rFonts w:ascii="Arial" w:eastAsia="SimSun" w:hAnsi="Arial" w:cs="Arial"/>
          <w:sz w:val="22"/>
          <w:szCs w:val="22"/>
          <w:lang w:val="fr-FR"/>
        </w:rPr>
        <w:t xml:space="preserve"> l</w:t>
      </w:r>
      <w:r w:rsidR="008E532B">
        <w:rPr>
          <w:rFonts w:ascii="Arial" w:eastAsia="SimSun" w:hAnsi="Arial" w:cs="Arial"/>
          <w:sz w:val="22"/>
          <w:szCs w:val="22"/>
          <w:lang w:val="fr-FR"/>
        </w:rPr>
        <w:t>’</w:t>
      </w:r>
      <w:r w:rsidRPr="00020CE2">
        <w:rPr>
          <w:rFonts w:ascii="Arial" w:eastAsia="SimSun" w:hAnsi="Arial" w:cs="Arial"/>
          <w:sz w:val="22"/>
          <w:szCs w:val="22"/>
          <w:lang w:val="fr-FR"/>
        </w:rPr>
        <w:t>ins</w:t>
      </w:r>
      <w:r>
        <w:rPr>
          <w:rFonts w:ascii="Arial" w:eastAsia="SimSun" w:hAnsi="Arial" w:cs="Arial"/>
          <w:sz w:val="22"/>
          <w:szCs w:val="22"/>
          <w:lang w:val="fr-FR"/>
        </w:rPr>
        <w:t>crip</w:t>
      </w:r>
      <w:r w:rsidRPr="00020CE2">
        <w:rPr>
          <w:rFonts w:ascii="Arial" w:eastAsia="SimSun" w:hAnsi="Arial" w:cs="Arial"/>
          <w:sz w:val="22"/>
          <w:szCs w:val="22"/>
          <w:lang w:val="fr-FR"/>
        </w:rPr>
        <w:t>tion d</w:t>
      </w:r>
      <w:r w:rsidR="008E532B">
        <w:rPr>
          <w:rFonts w:ascii="Arial" w:eastAsia="SimSun" w:hAnsi="Arial" w:cs="Arial"/>
          <w:sz w:val="22"/>
          <w:szCs w:val="22"/>
          <w:lang w:val="fr-FR"/>
        </w:rPr>
        <w:t>’</w:t>
      </w:r>
      <w:r w:rsidRPr="00020CE2">
        <w:rPr>
          <w:rFonts w:ascii="Arial" w:eastAsia="SimSun" w:hAnsi="Arial" w:cs="Arial"/>
          <w:sz w:val="22"/>
          <w:szCs w:val="22"/>
          <w:lang w:val="fr-FR"/>
        </w:rPr>
        <w:t xml:space="preserve">urgence des pratiques et expressions culturelles liées au </w:t>
      </w:r>
      <w:r>
        <w:rPr>
          <w:rFonts w:ascii="Arial" w:eastAsia="SimSun" w:hAnsi="Arial" w:cs="Arial"/>
          <w:sz w:val="22"/>
          <w:szCs w:val="22"/>
          <w:lang w:val="fr-FR"/>
        </w:rPr>
        <w:t>« </w:t>
      </w:r>
      <w:r w:rsidRPr="00020CE2">
        <w:rPr>
          <w:rFonts w:ascii="Arial" w:eastAsia="SimSun" w:hAnsi="Arial" w:cs="Arial"/>
          <w:sz w:val="22"/>
          <w:szCs w:val="22"/>
          <w:lang w:val="fr-FR"/>
        </w:rPr>
        <w:t>M</w:t>
      </w:r>
      <w:r w:rsidR="008E532B">
        <w:rPr>
          <w:rFonts w:ascii="Arial" w:eastAsia="SimSun" w:hAnsi="Arial" w:cs="Arial"/>
          <w:sz w:val="22"/>
          <w:szCs w:val="22"/>
          <w:lang w:val="fr-FR"/>
        </w:rPr>
        <w:t>’</w:t>
      </w:r>
      <w:proofErr w:type="spellStart"/>
      <w:r>
        <w:rPr>
          <w:rFonts w:ascii="Arial" w:eastAsia="SimSun" w:hAnsi="Arial" w:cs="Arial"/>
          <w:sz w:val="22"/>
          <w:szCs w:val="22"/>
          <w:lang w:val="fr-FR"/>
        </w:rPr>
        <w:t>b</w:t>
      </w:r>
      <w:r w:rsidRPr="00020CE2">
        <w:rPr>
          <w:rFonts w:ascii="Arial" w:eastAsia="SimSun" w:hAnsi="Arial" w:cs="Arial"/>
          <w:sz w:val="22"/>
          <w:szCs w:val="22"/>
          <w:lang w:val="fr-FR"/>
        </w:rPr>
        <w:t>olon</w:t>
      </w:r>
      <w:proofErr w:type="spellEnd"/>
      <w:r>
        <w:rPr>
          <w:rFonts w:ascii="Arial" w:eastAsia="SimSun" w:hAnsi="Arial" w:cs="Arial"/>
          <w:sz w:val="22"/>
          <w:szCs w:val="22"/>
          <w:lang w:val="fr-FR"/>
        </w:rPr>
        <w:t> »</w:t>
      </w:r>
      <w:r w:rsidRPr="00020CE2">
        <w:rPr>
          <w:rFonts w:ascii="Arial" w:eastAsia="SimSun" w:hAnsi="Arial" w:cs="Arial"/>
          <w:sz w:val="22"/>
          <w:szCs w:val="22"/>
          <w:lang w:val="fr-FR"/>
        </w:rPr>
        <w:t xml:space="preserve">, instrument de </w:t>
      </w:r>
      <w:r>
        <w:rPr>
          <w:rFonts w:ascii="Arial" w:eastAsia="SimSun" w:hAnsi="Arial" w:cs="Arial"/>
          <w:sz w:val="22"/>
          <w:szCs w:val="22"/>
          <w:lang w:val="fr-FR"/>
        </w:rPr>
        <w:t xml:space="preserve">musique </w:t>
      </w:r>
      <w:r w:rsidRPr="00020CE2">
        <w:rPr>
          <w:rFonts w:ascii="Arial" w:eastAsia="SimSun" w:hAnsi="Arial" w:cs="Arial"/>
          <w:sz w:val="22"/>
          <w:szCs w:val="22"/>
          <w:lang w:val="fr-FR"/>
        </w:rPr>
        <w:t>traditionnel</w:t>
      </w:r>
      <w:r>
        <w:rPr>
          <w:rFonts w:ascii="Arial" w:eastAsia="SimSun" w:hAnsi="Arial" w:cs="Arial"/>
          <w:sz w:val="22"/>
          <w:szCs w:val="22"/>
          <w:lang w:val="fr-FR"/>
        </w:rPr>
        <w:t xml:space="preserve"> à </w:t>
      </w:r>
      <w:r w:rsidRPr="00020CE2">
        <w:rPr>
          <w:rFonts w:ascii="Arial" w:eastAsia="SimSun" w:hAnsi="Arial" w:cs="Arial"/>
          <w:sz w:val="22"/>
          <w:szCs w:val="22"/>
          <w:lang w:val="fr-FR"/>
        </w:rPr>
        <w:t>percussion</w:t>
      </w:r>
      <w:r>
        <w:rPr>
          <w:rFonts w:ascii="Arial" w:eastAsia="SimSun" w:hAnsi="Arial" w:cs="Arial"/>
          <w:sz w:val="22"/>
          <w:szCs w:val="22"/>
          <w:lang w:val="fr-FR"/>
        </w:rPr>
        <w:t xml:space="preserve"> </w:t>
      </w:r>
      <w:r w:rsidRPr="00020CE2">
        <w:rPr>
          <w:rFonts w:ascii="Arial" w:eastAsia="SimSun" w:hAnsi="Arial" w:cs="Arial"/>
          <w:sz w:val="22"/>
          <w:szCs w:val="22"/>
          <w:lang w:val="fr-FR"/>
        </w:rPr>
        <w:t xml:space="preserve">[sur la Liste de sauvegarde urgente en 2021], ajoutant que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Pr>
          <w:rFonts w:ascii="Arial" w:eastAsia="SimSun" w:hAnsi="Arial" w:cs="Arial"/>
          <w:sz w:val="22"/>
          <w:szCs w:val="22"/>
          <w:lang w:val="fr-FR"/>
        </w:rPr>
        <w:t>est</w:t>
      </w:r>
      <w:r w:rsidRPr="00020CE2">
        <w:rPr>
          <w:rFonts w:ascii="Arial" w:eastAsia="SimSun" w:hAnsi="Arial" w:cs="Arial"/>
          <w:sz w:val="22"/>
          <w:szCs w:val="22"/>
          <w:lang w:val="fr-FR"/>
        </w:rPr>
        <w:t xml:space="preserve"> vital </w:t>
      </w:r>
      <w:r w:rsidRPr="007927EC">
        <w:rPr>
          <w:rFonts w:ascii="Arial" w:eastAsia="SimSun" w:hAnsi="Arial" w:cs="Arial"/>
          <w:sz w:val="22"/>
          <w:szCs w:val="22"/>
          <w:lang w:val="fr-FR"/>
        </w:rPr>
        <w:t>pour les communautés du Mali. Ses neuf éléments inscrits sur les listes en témoignaient. En juin [</w:t>
      </w:r>
      <w:r w:rsidRPr="009F6BC9">
        <w:rPr>
          <w:rFonts w:ascii="Arial" w:eastAsia="SimSun" w:hAnsi="Arial" w:cs="Arial"/>
          <w:sz w:val="22"/>
          <w:szCs w:val="22"/>
          <w:lang w:val="fr-FR"/>
        </w:rPr>
        <w:t>2022</w:t>
      </w:r>
      <w:r w:rsidRPr="007927EC">
        <w:rPr>
          <w:rFonts w:ascii="Arial" w:eastAsia="SimSun" w:hAnsi="Arial" w:cs="Arial"/>
          <w:sz w:val="22"/>
          <w:szCs w:val="22"/>
          <w:lang w:val="fr-FR"/>
        </w:rPr>
        <w:t>], le Gouvernement du Mali avait institué les Journées du patrimoine culturel, matériel et immatériel, qui doivent être célébrées chaque année au mois de mai. Auparavant, toutes</w:t>
      </w:r>
      <w:r w:rsidRPr="00020CE2">
        <w:rPr>
          <w:rFonts w:ascii="Arial" w:eastAsia="SimSun" w:hAnsi="Arial" w:cs="Arial"/>
          <w:sz w:val="22"/>
          <w:szCs w:val="22"/>
          <w:lang w:val="fr-FR"/>
        </w:rPr>
        <w:t xml:space="preserve"> les autorités du pays s</w:t>
      </w:r>
      <w:r w:rsidR="008E532B">
        <w:rPr>
          <w:rFonts w:ascii="Arial" w:eastAsia="SimSun" w:hAnsi="Arial" w:cs="Arial"/>
          <w:sz w:val="22"/>
          <w:szCs w:val="22"/>
          <w:lang w:val="fr-FR"/>
        </w:rPr>
        <w:t>’</w:t>
      </w:r>
      <w:r>
        <w:rPr>
          <w:rFonts w:ascii="Arial" w:eastAsia="SimSun" w:hAnsi="Arial" w:cs="Arial"/>
          <w:sz w:val="22"/>
          <w:szCs w:val="22"/>
          <w:lang w:val="fr-FR"/>
        </w:rPr>
        <w:t>étaient</w:t>
      </w:r>
      <w:r w:rsidRPr="00020CE2">
        <w:rPr>
          <w:rFonts w:ascii="Arial" w:eastAsia="SimSun" w:hAnsi="Arial" w:cs="Arial"/>
          <w:sz w:val="22"/>
          <w:szCs w:val="22"/>
          <w:lang w:val="fr-FR"/>
        </w:rPr>
        <w:t xml:space="preserve"> récemment réunies dans le centre du Mali pour célébrer le </w:t>
      </w:r>
      <w:proofErr w:type="spellStart"/>
      <w:r w:rsidRPr="00020CE2">
        <w:rPr>
          <w:rFonts w:ascii="Arial" w:eastAsia="SimSun" w:hAnsi="Arial" w:cs="Arial"/>
          <w:sz w:val="22"/>
          <w:szCs w:val="22"/>
          <w:lang w:val="fr-FR"/>
        </w:rPr>
        <w:t>Sanké</w:t>
      </w:r>
      <w:proofErr w:type="spellEnd"/>
      <w:r w:rsidRPr="00020CE2">
        <w:rPr>
          <w:rFonts w:ascii="Arial" w:eastAsia="SimSun" w:hAnsi="Arial" w:cs="Arial"/>
          <w:sz w:val="22"/>
          <w:szCs w:val="22"/>
          <w:lang w:val="fr-FR"/>
        </w:rPr>
        <w:t xml:space="preserve"> mon, l</w:t>
      </w:r>
      <w:r w:rsidR="008E532B">
        <w:rPr>
          <w:rFonts w:ascii="Arial" w:eastAsia="SimSun" w:hAnsi="Arial" w:cs="Arial"/>
          <w:sz w:val="22"/>
          <w:szCs w:val="22"/>
          <w:lang w:val="fr-FR"/>
        </w:rPr>
        <w:t>’</w:t>
      </w:r>
      <w:r w:rsidRPr="00020CE2">
        <w:rPr>
          <w:rFonts w:ascii="Arial" w:eastAsia="SimSun" w:hAnsi="Arial" w:cs="Arial"/>
          <w:sz w:val="22"/>
          <w:szCs w:val="22"/>
          <w:lang w:val="fr-FR"/>
        </w:rPr>
        <w:t xml:space="preserve">un des éléments inscrits sur la Liste de sauvegarde urgente en 2009, </w:t>
      </w:r>
      <w:r>
        <w:rPr>
          <w:rFonts w:ascii="Arial" w:eastAsia="SimSun" w:hAnsi="Arial" w:cs="Arial"/>
          <w:sz w:val="22"/>
          <w:szCs w:val="22"/>
          <w:lang w:val="fr-FR"/>
        </w:rPr>
        <w:t>une manifestation de</w:t>
      </w:r>
      <w:r w:rsidRPr="00020CE2">
        <w:rPr>
          <w:rFonts w:ascii="Arial" w:eastAsia="SimSun" w:hAnsi="Arial" w:cs="Arial"/>
          <w:sz w:val="22"/>
          <w:szCs w:val="22"/>
          <w:lang w:val="fr-FR"/>
        </w:rPr>
        <w:t xml:space="preserve"> pêche collective datant de plus de sept siècles. </w:t>
      </w:r>
      <w:r w:rsidR="00D90F4C">
        <w:rPr>
          <w:rFonts w:ascii="Arial" w:eastAsia="SimSun" w:hAnsi="Arial" w:cs="Arial"/>
          <w:sz w:val="22"/>
          <w:szCs w:val="22"/>
          <w:lang w:val="fr-FR"/>
        </w:rPr>
        <w:t>La délégation a noté que c</w:t>
      </w:r>
      <w:r w:rsidRPr="00020CE2">
        <w:rPr>
          <w:rFonts w:ascii="Arial" w:eastAsia="SimSun" w:hAnsi="Arial" w:cs="Arial"/>
          <w:sz w:val="22"/>
          <w:szCs w:val="22"/>
          <w:lang w:val="fr-FR"/>
        </w:rPr>
        <w:t xml:space="preserve">es avancées ne </w:t>
      </w:r>
      <w:r>
        <w:rPr>
          <w:rFonts w:ascii="Arial" w:eastAsia="SimSun" w:hAnsi="Arial" w:cs="Arial"/>
          <w:sz w:val="22"/>
          <w:szCs w:val="22"/>
          <w:lang w:val="fr-FR"/>
        </w:rPr>
        <w:t>pouvaient</w:t>
      </w:r>
      <w:r w:rsidRPr="00020CE2">
        <w:rPr>
          <w:rFonts w:ascii="Arial" w:eastAsia="SimSun" w:hAnsi="Arial" w:cs="Arial"/>
          <w:sz w:val="22"/>
          <w:szCs w:val="22"/>
          <w:lang w:val="fr-FR"/>
        </w:rPr>
        <w:t xml:space="preserve"> pas cacher l</w:t>
      </w:r>
      <w:r w:rsidR="008E532B">
        <w:rPr>
          <w:rFonts w:ascii="Arial" w:eastAsia="SimSun" w:hAnsi="Arial" w:cs="Arial"/>
          <w:sz w:val="22"/>
          <w:szCs w:val="22"/>
          <w:lang w:val="fr-FR"/>
        </w:rPr>
        <w:t>’</w:t>
      </w:r>
      <w:r w:rsidRPr="00020CE2">
        <w:rPr>
          <w:rFonts w:ascii="Arial" w:eastAsia="SimSun" w:hAnsi="Arial" w:cs="Arial"/>
          <w:sz w:val="22"/>
          <w:szCs w:val="22"/>
          <w:lang w:val="fr-FR"/>
        </w:rPr>
        <w:t>horrible vérité qui s</w:t>
      </w:r>
      <w:r w:rsidR="008E532B">
        <w:rPr>
          <w:rFonts w:ascii="Arial" w:eastAsia="SimSun" w:hAnsi="Arial" w:cs="Arial"/>
          <w:sz w:val="22"/>
          <w:szCs w:val="22"/>
          <w:lang w:val="fr-FR"/>
        </w:rPr>
        <w:t>’</w:t>
      </w:r>
      <w:r w:rsidRPr="00020CE2">
        <w:rPr>
          <w:rFonts w:ascii="Arial" w:eastAsia="SimSun" w:hAnsi="Arial" w:cs="Arial"/>
          <w:sz w:val="22"/>
          <w:szCs w:val="22"/>
          <w:lang w:val="fr-FR"/>
        </w:rPr>
        <w:t>impos</w:t>
      </w:r>
      <w:r>
        <w:rPr>
          <w:rFonts w:ascii="Arial" w:eastAsia="SimSun" w:hAnsi="Arial" w:cs="Arial"/>
          <w:sz w:val="22"/>
          <w:szCs w:val="22"/>
          <w:lang w:val="fr-FR"/>
        </w:rPr>
        <w:t>ait</w:t>
      </w:r>
      <w:r w:rsidRPr="00020CE2">
        <w:rPr>
          <w:rFonts w:ascii="Arial" w:eastAsia="SimSun" w:hAnsi="Arial" w:cs="Arial"/>
          <w:sz w:val="22"/>
          <w:szCs w:val="22"/>
          <w:lang w:val="fr-FR"/>
        </w:rPr>
        <w:t xml:space="preserve"> aux communautés du centre du pays où une grande partie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020CE2">
        <w:rPr>
          <w:rFonts w:ascii="Arial" w:eastAsia="SimSun" w:hAnsi="Arial" w:cs="Arial"/>
          <w:sz w:val="22"/>
          <w:szCs w:val="22"/>
          <w:lang w:val="fr-FR"/>
        </w:rPr>
        <w:t>continu</w:t>
      </w:r>
      <w:r>
        <w:rPr>
          <w:rFonts w:ascii="Arial" w:eastAsia="SimSun" w:hAnsi="Arial" w:cs="Arial"/>
          <w:sz w:val="22"/>
          <w:szCs w:val="22"/>
          <w:lang w:val="fr-FR"/>
        </w:rPr>
        <w:t>ait</w:t>
      </w:r>
      <w:r w:rsidRPr="00020CE2">
        <w:rPr>
          <w:rFonts w:ascii="Arial" w:eastAsia="SimSun" w:hAnsi="Arial" w:cs="Arial"/>
          <w:sz w:val="22"/>
          <w:szCs w:val="22"/>
          <w:lang w:val="fr-FR"/>
        </w:rPr>
        <w:t xml:space="preserve"> d</w:t>
      </w:r>
      <w:r w:rsidR="008E532B">
        <w:rPr>
          <w:rFonts w:ascii="Arial" w:eastAsia="SimSun" w:hAnsi="Arial" w:cs="Arial"/>
          <w:sz w:val="22"/>
          <w:szCs w:val="22"/>
          <w:lang w:val="fr-FR"/>
        </w:rPr>
        <w:t>’</w:t>
      </w:r>
      <w:r w:rsidRPr="00020CE2">
        <w:rPr>
          <w:rFonts w:ascii="Arial" w:eastAsia="SimSun" w:hAnsi="Arial" w:cs="Arial"/>
          <w:sz w:val="22"/>
          <w:szCs w:val="22"/>
          <w:lang w:val="fr-FR"/>
        </w:rPr>
        <w:t>être menacée en raison de l</w:t>
      </w:r>
      <w:r w:rsidR="008E532B">
        <w:rPr>
          <w:rFonts w:ascii="Arial" w:eastAsia="SimSun" w:hAnsi="Arial" w:cs="Arial"/>
          <w:sz w:val="22"/>
          <w:szCs w:val="22"/>
          <w:lang w:val="fr-FR"/>
        </w:rPr>
        <w:t>’</w:t>
      </w:r>
      <w:r w:rsidRPr="00020CE2">
        <w:rPr>
          <w:rFonts w:ascii="Arial" w:eastAsia="SimSun" w:hAnsi="Arial" w:cs="Arial"/>
          <w:sz w:val="22"/>
          <w:szCs w:val="22"/>
          <w:lang w:val="fr-FR"/>
        </w:rPr>
        <w:t xml:space="preserve">abandon des villages et des communautés sous la pression des groupes terroristes. En 2027, la </w:t>
      </w:r>
      <w:r>
        <w:rPr>
          <w:rFonts w:ascii="Arial" w:eastAsia="SimSun" w:hAnsi="Arial" w:cs="Arial"/>
          <w:sz w:val="22"/>
          <w:szCs w:val="22"/>
          <w:lang w:val="fr-FR"/>
        </w:rPr>
        <w:t xml:space="preserve">sortie </w:t>
      </w:r>
      <w:r w:rsidRPr="00020CE2">
        <w:rPr>
          <w:rFonts w:ascii="Arial" w:eastAsia="SimSun" w:hAnsi="Arial" w:cs="Arial"/>
          <w:sz w:val="22"/>
          <w:szCs w:val="22"/>
          <w:lang w:val="fr-FR"/>
        </w:rPr>
        <w:t>des masques sera</w:t>
      </w:r>
      <w:r>
        <w:rPr>
          <w:rFonts w:ascii="Arial" w:eastAsia="SimSun" w:hAnsi="Arial" w:cs="Arial"/>
          <w:sz w:val="22"/>
          <w:szCs w:val="22"/>
          <w:lang w:val="fr-FR"/>
        </w:rPr>
        <w:t>it</w:t>
      </w:r>
      <w:r w:rsidRPr="00020CE2">
        <w:rPr>
          <w:rFonts w:ascii="Arial" w:eastAsia="SimSun" w:hAnsi="Arial" w:cs="Arial"/>
          <w:sz w:val="22"/>
          <w:szCs w:val="22"/>
          <w:lang w:val="fr-FR"/>
        </w:rPr>
        <w:t xml:space="preserve"> célébrée au pays Dogon, une célébration qui a</w:t>
      </w:r>
      <w:r>
        <w:rPr>
          <w:rFonts w:ascii="Arial" w:eastAsia="SimSun" w:hAnsi="Arial" w:cs="Arial"/>
          <w:sz w:val="22"/>
          <w:szCs w:val="22"/>
          <w:lang w:val="fr-FR"/>
        </w:rPr>
        <w:t>vait</w:t>
      </w:r>
      <w:r w:rsidRPr="00020CE2">
        <w:rPr>
          <w:rFonts w:ascii="Arial" w:eastAsia="SimSun" w:hAnsi="Arial" w:cs="Arial"/>
          <w:sz w:val="22"/>
          <w:szCs w:val="22"/>
          <w:lang w:val="fr-FR"/>
        </w:rPr>
        <w:t xml:space="preserve"> lieu tous les soixante ans. La dernière célébration </w:t>
      </w:r>
      <w:r>
        <w:rPr>
          <w:rFonts w:ascii="Arial" w:eastAsia="SimSun" w:hAnsi="Arial" w:cs="Arial"/>
          <w:sz w:val="22"/>
          <w:szCs w:val="22"/>
          <w:lang w:val="fr-FR"/>
        </w:rPr>
        <w:t>s</w:t>
      </w:r>
      <w:r w:rsidR="008E532B">
        <w:rPr>
          <w:rFonts w:ascii="Arial" w:eastAsia="SimSun" w:hAnsi="Arial" w:cs="Arial"/>
          <w:sz w:val="22"/>
          <w:szCs w:val="22"/>
          <w:lang w:val="fr-FR"/>
        </w:rPr>
        <w:t>’</w:t>
      </w:r>
      <w:r>
        <w:rPr>
          <w:rFonts w:ascii="Arial" w:eastAsia="SimSun" w:hAnsi="Arial" w:cs="Arial"/>
          <w:sz w:val="22"/>
          <w:szCs w:val="22"/>
          <w:lang w:val="fr-FR"/>
        </w:rPr>
        <w:t xml:space="preserve">était déroulée </w:t>
      </w:r>
      <w:r w:rsidRPr="00020CE2">
        <w:rPr>
          <w:rFonts w:ascii="Arial" w:eastAsia="SimSun" w:hAnsi="Arial" w:cs="Arial"/>
          <w:sz w:val="22"/>
          <w:szCs w:val="22"/>
          <w:lang w:val="fr-FR"/>
        </w:rPr>
        <w:t>en 1967 en présence de Marcel Griaule [un anthropologue français] et c</w:t>
      </w:r>
      <w:r w:rsidR="008E532B">
        <w:rPr>
          <w:rFonts w:ascii="Arial" w:eastAsia="SimSun" w:hAnsi="Arial" w:cs="Arial"/>
          <w:sz w:val="22"/>
          <w:szCs w:val="22"/>
          <w:lang w:val="fr-FR"/>
        </w:rPr>
        <w:t>’</w:t>
      </w:r>
      <w:r>
        <w:rPr>
          <w:rFonts w:ascii="Arial" w:eastAsia="SimSun" w:hAnsi="Arial" w:cs="Arial"/>
          <w:sz w:val="22"/>
          <w:szCs w:val="22"/>
          <w:lang w:val="fr-FR"/>
        </w:rPr>
        <w:t>était</w:t>
      </w:r>
      <w:r w:rsidRPr="00020CE2">
        <w:rPr>
          <w:rFonts w:ascii="Arial" w:eastAsia="SimSun" w:hAnsi="Arial" w:cs="Arial"/>
          <w:sz w:val="22"/>
          <w:szCs w:val="22"/>
          <w:lang w:val="fr-FR"/>
        </w:rPr>
        <w:t xml:space="preserve"> précisément dans cette région que sévit l</w:t>
      </w:r>
      <w:r w:rsidR="008E532B">
        <w:rPr>
          <w:rFonts w:ascii="Arial" w:eastAsia="SimSun" w:hAnsi="Arial" w:cs="Arial"/>
          <w:sz w:val="22"/>
          <w:szCs w:val="22"/>
          <w:lang w:val="fr-FR"/>
        </w:rPr>
        <w:t>’</w:t>
      </w:r>
      <w:r w:rsidRPr="00020CE2">
        <w:rPr>
          <w:rFonts w:ascii="Arial" w:eastAsia="SimSun" w:hAnsi="Arial" w:cs="Arial"/>
          <w:sz w:val="22"/>
          <w:szCs w:val="22"/>
          <w:lang w:val="fr-FR"/>
        </w:rPr>
        <w:t>insécurité. D</w:t>
      </w:r>
      <w:r w:rsidR="008E532B">
        <w:rPr>
          <w:rFonts w:ascii="Arial" w:eastAsia="SimSun" w:hAnsi="Arial" w:cs="Arial"/>
          <w:sz w:val="22"/>
          <w:szCs w:val="22"/>
          <w:lang w:val="fr-FR"/>
        </w:rPr>
        <w:t>’</w:t>
      </w:r>
      <w:r w:rsidRPr="00020CE2">
        <w:rPr>
          <w:rFonts w:ascii="Arial" w:eastAsia="SimSun" w:hAnsi="Arial" w:cs="Arial"/>
          <w:sz w:val="22"/>
          <w:szCs w:val="22"/>
          <w:lang w:val="fr-FR"/>
        </w:rPr>
        <w:t>où l</w:t>
      </w:r>
      <w:r w:rsidR="008E532B">
        <w:rPr>
          <w:rFonts w:ascii="Arial" w:eastAsia="SimSun" w:hAnsi="Arial" w:cs="Arial"/>
          <w:sz w:val="22"/>
          <w:szCs w:val="22"/>
          <w:lang w:val="fr-FR"/>
        </w:rPr>
        <w:t>’</w:t>
      </w:r>
      <w:r w:rsidRPr="00020CE2">
        <w:rPr>
          <w:rFonts w:ascii="Arial" w:eastAsia="SimSun" w:hAnsi="Arial" w:cs="Arial"/>
          <w:sz w:val="22"/>
          <w:szCs w:val="22"/>
          <w:lang w:val="fr-FR"/>
        </w:rPr>
        <w:t>appel pressant à encore plus de dynamisme et de soutien de la part de l</w:t>
      </w:r>
      <w:r w:rsidR="008E532B">
        <w:rPr>
          <w:rFonts w:ascii="Arial" w:eastAsia="SimSun" w:hAnsi="Arial" w:cs="Arial"/>
          <w:sz w:val="22"/>
          <w:szCs w:val="22"/>
          <w:lang w:val="fr-FR"/>
        </w:rPr>
        <w:t>’</w:t>
      </w:r>
      <w:r w:rsidRPr="00020CE2">
        <w:rPr>
          <w:rFonts w:ascii="Arial" w:eastAsia="SimSun" w:hAnsi="Arial" w:cs="Arial"/>
          <w:sz w:val="22"/>
          <w:szCs w:val="22"/>
          <w:lang w:val="fr-FR"/>
        </w:rPr>
        <w:t>UNESCO et de tous ses acteurs. Face à cette situation, le Mali souhait</w:t>
      </w:r>
      <w:r>
        <w:rPr>
          <w:rFonts w:ascii="Arial" w:eastAsia="SimSun" w:hAnsi="Arial" w:cs="Arial"/>
          <w:sz w:val="22"/>
          <w:szCs w:val="22"/>
          <w:lang w:val="fr-FR"/>
        </w:rPr>
        <w:t>ait</w:t>
      </w:r>
      <w:r w:rsidRPr="00020CE2">
        <w:rPr>
          <w:rFonts w:ascii="Arial" w:eastAsia="SimSun" w:hAnsi="Arial" w:cs="Arial"/>
          <w:sz w:val="22"/>
          <w:szCs w:val="22"/>
          <w:lang w:val="fr-FR"/>
        </w:rPr>
        <w:t xml:space="preserve"> adhérer au Comité à partir de 2023 pour mieux faire passer le message des nouvelles menaces qui pèsent sur le patrimoine culturel au Mali et ailleurs.</w:t>
      </w:r>
    </w:p>
    <w:p w14:paraId="7C169091" w14:textId="79899677" w:rsidR="00D9653F" w:rsidRPr="008816CF"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8816CF">
        <w:rPr>
          <w:rFonts w:ascii="Arial" w:eastAsia="SimSun" w:hAnsi="Arial" w:cs="Arial"/>
          <w:sz w:val="22"/>
          <w:szCs w:val="22"/>
          <w:lang w:val="fr-FR"/>
        </w:rPr>
        <w:t>La délégation de l</w:t>
      </w:r>
      <w:r w:rsidR="008E532B">
        <w:rPr>
          <w:rFonts w:ascii="Arial" w:eastAsia="SimSun" w:hAnsi="Arial" w:cs="Arial"/>
          <w:sz w:val="22"/>
          <w:szCs w:val="22"/>
          <w:lang w:val="fr-FR"/>
        </w:rPr>
        <w:t>’</w:t>
      </w:r>
      <w:r w:rsidRPr="008816CF">
        <w:rPr>
          <w:rFonts w:ascii="Arial" w:eastAsia="SimSun" w:hAnsi="Arial" w:cs="Arial"/>
          <w:b/>
          <w:bCs/>
          <w:sz w:val="22"/>
          <w:szCs w:val="22"/>
          <w:lang w:val="fr-FR"/>
        </w:rPr>
        <w:t>Inde</w:t>
      </w:r>
      <w:r w:rsidRPr="008816CF">
        <w:rPr>
          <w:rFonts w:ascii="Arial" w:eastAsia="SimSun" w:hAnsi="Arial" w:cs="Arial"/>
          <w:sz w:val="22"/>
          <w:szCs w:val="22"/>
          <w:lang w:val="fr-FR"/>
        </w:rPr>
        <w:t xml:space="preserve"> a félicité la Présidente pour son élection et a remercié le Sous-Directeur général et le Secrétariat pour l</w:t>
      </w:r>
      <w:r w:rsidR="008E532B">
        <w:rPr>
          <w:rFonts w:ascii="Arial" w:eastAsia="SimSun" w:hAnsi="Arial" w:cs="Arial"/>
          <w:sz w:val="22"/>
          <w:szCs w:val="22"/>
          <w:lang w:val="fr-FR"/>
        </w:rPr>
        <w:t>’</w:t>
      </w:r>
      <w:r w:rsidRPr="008816CF">
        <w:rPr>
          <w:rFonts w:ascii="Arial" w:eastAsia="SimSun" w:hAnsi="Arial" w:cs="Arial"/>
          <w:sz w:val="22"/>
          <w:szCs w:val="22"/>
          <w:lang w:val="fr-FR"/>
        </w:rPr>
        <w:t xml:space="preserve">organisation de cette </w:t>
      </w:r>
      <w:r>
        <w:rPr>
          <w:rFonts w:ascii="Arial" w:eastAsia="SimSun" w:hAnsi="Arial" w:cs="Arial"/>
          <w:sz w:val="22"/>
          <w:szCs w:val="22"/>
          <w:lang w:val="fr-FR"/>
        </w:rPr>
        <w:t>neuvième</w:t>
      </w:r>
      <w:r w:rsidRPr="008816CF">
        <w:rPr>
          <w:rFonts w:ascii="Arial" w:eastAsia="SimSun" w:hAnsi="Arial" w:cs="Arial"/>
          <w:sz w:val="22"/>
          <w:szCs w:val="22"/>
          <w:lang w:val="fr-FR"/>
        </w:rPr>
        <w:t xml:space="preserve"> session de l</w:t>
      </w:r>
      <w:r w:rsidR="008E532B">
        <w:rPr>
          <w:rFonts w:ascii="Arial" w:eastAsia="SimSun" w:hAnsi="Arial" w:cs="Arial"/>
          <w:sz w:val="22"/>
          <w:szCs w:val="22"/>
          <w:lang w:val="fr-FR"/>
        </w:rPr>
        <w:t>’</w:t>
      </w:r>
      <w:r w:rsidRPr="008816CF">
        <w:rPr>
          <w:rFonts w:ascii="Arial" w:eastAsia="SimSun" w:hAnsi="Arial" w:cs="Arial"/>
          <w:sz w:val="22"/>
          <w:szCs w:val="22"/>
          <w:lang w:val="fr-FR"/>
        </w:rPr>
        <w:t>Assemblée générale. L</w:t>
      </w:r>
      <w:r w:rsidR="008E532B">
        <w:rPr>
          <w:rFonts w:ascii="Arial" w:eastAsia="SimSun" w:hAnsi="Arial" w:cs="Arial"/>
          <w:sz w:val="22"/>
          <w:szCs w:val="22"/>
          <w:lang w:val="fr-FR"/>
        </w:rPr>
        <w:t>’</w:t>
      </w:r>
      <w:r w:rsidRPr="008816CF">
        <w:rPr>
          <w:rFonts w:ascii="Arial" w:eastAsia="SimSun" w:hAnsi="Arial" w:cs="Arial"/>
          <w:sz w:val="22"/>
          <w:szCs w:val="22"/>
          <w:lang w:val="fr-FR"/>
        </w:rPr>
        <w:t>Inde a souhaité la bienvenue à l</w:t>
      </w:r>
      <w:r w:rsidR="008E532B">
        <w:rPr>
          <w:rFonts w:ascii="Arial" w:eastAsia="SimSun" w:hAnsi="Arial" w:cs="Arial"/>
          <w:sz w:val="22"/>
          <w:szCs w:val="22"/>
          <w:lang w:val="fr-FR"/>
        </w:rPr>
        <w:t>’</w:t>
      </w:r>
      <w:r w:rsidRPr="008816CF">
        <w:rPr>
          <w:rFonts w:ascii="Arial" w:eastAsia="SimSun" w:hAnsi="Arial" w:cs="Arial"/>
          <w:sz w:val="22"/>
          <w:szCs w:val="22"/>
          <w:lang w:val="fr-FR"/>
        </w:rPr>
        <w:t xml:space="preserve">Angola et à la Somalie au sein de la Convention. Elle a également remercié le Sri Lanka pour sa précieuse contribution à la présidence du Comité dans les moments difficiles de la pandémie. </w:t>
      </w:r>
      <w:r>
        <w:rPr>
          <w:rFonts w:ascii="Arial" w:eastAsia="SimSun" w:hAnsi="Arial" w:cs="Arial"/>
          <w:sz w:val="22"/>
          <w:szCs w:val="22"/>
          <w:lang w:val="fr-FR"/>
        </w:rPr>
        <w:t>En 2022, l</w:t>
      </w:r>
      <w:r w:rsidR="008E532B">
        <w:rPr>
          <w:rFonts w:ascii="Arial" w:eastAsia="SimSun" w:hAnsi="Arial" w:cs="Arial"/>
          <w:sz w:val="22"/>
          <w:szCs w:val="22"/>
          <w:lang w:val="fr-FR"/>
        </w:rPr>
        <w:t>’</w:t>
      </w:r>
      <w:r w:rsidRPr="008816CF">
        <w:rPr>
          <w:rFonts w:ascii="Arial" w:eastAsia="SimSun" w:hAnsi="Arial" w:cs="Arial"/>
          <w:sz w:val="22"/>
          <w:szCs w:val="22"/>
          <w:lang w:val="fr-FR"/>
        </w:rPr>
        <w:t xml:space="preserve">Inde </w:t>
      </w:r>
      <w:r>
        <w:rPr>
          <w:rFonts w:ascii="Arial" w:eastAsia="SimSun" w:hAnsi="Arial" w:cs="Arial"/>
          <w:sz w:val="22"/>
          <w:szCs w:val="22"/>
          <w:lang w:val="fr-FR"/>
        </w:rPr>
        <w:t>entrait</w:t>
      </w:r>
      <w:r w:rsidRPr="008816CF">
        <w:rPr>
          <w:rFonts w:ascii="Arial" w:eastAsia="SimSun" w:hAnsi="Arial" w:cs="Arial"/>
          <w:sz w:val="22"/>
          <w:szCs w:val="22"/>
          <w:lang w:val="fr-FR"/>
        </w:rPr>
        <w:t xml:space="preserve"> dans la </w:t>
      </w:r>
      <w:r>
        <w:rPr>
          <w:rFonts w:ascii="Arial" w:eastAsia="SimSun" w:hAnsi="Arial" w:cs="Arial"/>
          <w:sz w:val="22"/>
          <w:szCs w:val="22"/>
          <w:lang w:val="fr-FR"/>
        </w:rPr>
        <w:t>soixante</w:t>
      </w:r>
      <w:r>
        <w:rPr>
          <w:rFonts w:ascii="Arial" w:eastAsia="SimSun" w:hAnsi="Arial" w:cs="Arial"/>
          <w:sz w:val="22"/>
          <w:szCs w:val="22"/>
          <w:lang w:val="fr-FR"/>
        </w:rPr>
        <w:noBreakHyphen/>
        <w:t>quinzième</w:t>
      </w:r>
      <w:r w:rsidRPr="008816CF">
        <w:rPr>
          <w:rFonts w:ascii="Arial" w:eastAsia="SimSun" w:hAnsi="Arial" w:cs="Arial"/>
          <w:sz w:val="22"/>
          <w:szCs w:val="22"/>
          <w:lang w:val="fr-FR"/>
        </w:rPr>
        <w:t xml:space="preserve"> année de son indépendance et dans la célébration de l</w:t>
      </w:r>
      <w:r w:rsidR="008E532B">
        <w:rPr>
          <w:rFonts w:ascii="Arial" w:eastAsia="SimSun" w:hAnsi="Arial" w:cs="Arial"/>
          <w:sz w:val="22"/>
          <w:szCs w:val="22"/>
          <w:lang w:val="fr-FR"/>
        </w:rPr>
        <w:t>’</w:t>
      </w:r>
      <w:proofErr w:type="spellStart"/>
      <w:r w:rsidRPr="008816CF">
        <w:rPr>
          <w:rFonts w:ascii="Arial" w:eastAsia="SimSun" w:hAnsi="Arial" w:cs="Arial"/>
          <w:sz w:val="22"/>
          <w:szCs w:val="22"/>
          <w:lang w:val="fr-FR"/>
        </w:rPr>
        <w:t>Azadi</w:t>
      </w:r>
      <w:proofErr w:type="spellEnd"/>
      <w:r w:rsidRPr="008816CF">
        <w:rPr>
          <w:rFonts w:ascii="Arial" w:eastAsia="SimSun" w:hAnsi="Arial" w:cs="Arial"/>
          <w:sz w:val="22"/>
          <w:szCs w:val="22"/>
          <w:lang w:val="fr-FR"/>
        </w:rPr>
        <w:t xml:space="preserve"> Ka Amrit </w:t>
      </w:r>
      <w:proofErr w:type="spellStart"/>
      <w:r w:rsidRPr="008816CF">
        <w:rPr>
          <w:rFonts w:ascii="Arial" w:eastAsia="SimSun" w:hAnsi="Arial" w:cs="Arial"/>
          <w:sz w:val="22"/>
          <w:szCs w:val="22"/>
          <w:lang w:val="fr-FR"/>
        </w:rPr>
        <w:t>Mahotsav</w:t>
      </w:r>
      <w:proofErr w:type="spellEnd"/>
      <w:r w:rsidRPr="008816CF">
        <w:rPr>
          <w:rFonts w:ascii="Arial" w:eastAsia="SimSun" w:hAnsi="Arial" w:cs="Arial"/>
          <w:sz w:val="22"/>
          <w:szCs w:val="22"/>
          <w:lang w:val="fr-FR"/>
        </w:rPr>
        <w:t>, une commémoration nationale de l</w:t>
      </w:r>
      <w:r w:rsidR="008E532B">
        <w:rPr>
          <w:rFonts w:ascii="Arial" w:eastAsia="SimSun" w:hAnsi="Arial" w:cs="Arial"/>
          <w:sz w:val="22"/>
          <w:szCs w:val="22"/>
          <w:lang w:val="fr-FR"/>
        </w:rPr>
        <w:t>’</w:t>
      </w:r>
      <w:r w:rsidRPr="008816CF">
        <w:rPr>
          <w:rFonts w:ascii="Arial" w:eastAsia="SimSun" w:hAnsi="Arial" w:cs="Arial"/>
          <w:sz w:val="22"/>
          <w:szCs w:val="22"/>
          <w:lang w:val="fr-FR"/>
        </w:rPr>
        <w:t>histoire glorieuse de son peuple, de sa culture et de ses réalisations. Avec plus de 5</w:t>
      </w:r>
      <w:r>
        <w:rPr>
          <w:rFonts w:ascii="Arial" w:eastAsia="SimSun" w:hAnsi="Arial" w:cs="Arial"/>
          <w:sz w:val="22"/>
          <w:szCs w:val="22"/>
          <w:lang w:val="fr-FR"/>
        </w:rPr>
        <w:t> </w:t>
      </w:r>
      <w:r w:rsidRPr="008816CF">
        <w:rPr>
          <w:rFonts w:ascii="Arial" w:eastAsia="SimSun" w:hAnsi="Arial" w:cs="Arial"/>
          <w:sz w:val="22"/>
          <w:szCs w:val="22"/>
          <w:lang w:val="fr-FR"/>
        </w:rPr>
        <w:t xml:space="preserve">000 ans de civilisation, les diverses expressions de la culture immatérielle </w:t>
      </w:r>
      <w:r>
        <w:rPr>
          <w:rFonts w:ascii="Arial" w:eastAsia="SimSun" w:hAnsi="Arial" w:cs="Arial"/>
          <w:sz w:val="22"/>
          <w:szCs w:val="22"/>
          <w:lang w:val="fr-FR"/>
        </w:rPr>
        <w:t xml:space="preserve">étaient </w:t>
      </w:r>
      <w:r w:rsidRPr="008816CF">
        <w:rPr>
          <w:rFonts w:ascii="Arial" w:eastAsia="SimSun" w:hAnsi="Arial" w:cs="Arial"/>
          <w:sz w:val="22"/>
          <w:szCs w:val="22"/>
          <w:lang w:val="fr-FR"/>
        </w:rPr>
        <w:t xml:space="preserve">représentées par des idées, des pratiques, des croyances, des systèmes de connaissances </w:t>
      </w:r>
      <w:r>
        <w:rPr>
          <w:rFonts w:ascii="Arial" w:eastAsia="SimSun" w:hAnsi="Arial" w:cs="Arial"/>
          <w:sz w:val="22"/>
          <w:szCs w:val="22"/>
          <w:lang w:val="fr-FR"/>
        </w:rPr>
        <w:t>autochtones</w:t>
      </w:r>
      <w:r w:rsidRPr="008816CF">
        <w:rPr>
          <w:rFonts w:ascii="Arial" w:eastAsia="SimSun" w:hAnsi="Arial" w:cs="Arial"/>
          <w:sz w:val="22"/>
          <w:szCs w:val="22"/>
          <w:lang w:val="fr-FR"/>
        </w:rPr>
        <w:t xml:space="preserve"> et des valeurs partagées par ses </w:t>
      </w:r>
      <w:r>
        <w:rPr>
          <w:rFonts w:ascii="Arial" w:eastAsia="SimSun" w:hAnsi="Arial" w:cs="Arial"/>
          <w:sz w:val="22"/>
          <w:szCs w:val="22"/>
          <w:lang w:val="fr-FR"/>
        </w:rPr>
        <w:t xml:space="preserve">innombrables </w:t>
      </w:r>
      <w:r w:rsidRPr="008816CF">
        <w:rPr>
          <w:rFonts w:ascii="Arial" w:eastAsia="SimSun" w:hAnsi="Arial" w:cs="Arial"/>
          <w:sz w:val="22"/>
          <w:szCs w:val="22"/>
          <w:lang w:val="fr-FR"/>
        </w:rPr>
        <w:t>communautés. La délégation a ré</w:t>
      </w:r>
      <w:r>
        <w:rPr>
          <w:rFonts w:ascii="Arial" w:eastAsia="SimSun" w:hAnsi="Arial" w:cs="Arial"/>
          <w:sz w:val="22"/>
          <w:szCs w:val="22"/>
          <w:lang w:val="fr-FR"/>
        </w:rPr>
        <w:t>affirmé</w:t>
      </w:r>
      <w:r w:rsidRPr="008816CF">
        <w:rPr>
          <w:rFonts w:ascii="Arial" w:eastAsia="SimSun" w:hAnsi="Arial" w:cs="Arial"/>
          <w:sz w:val="22"/>
          <w:szCs w:val="22"/>
          <w:lang w:val="fr-FR"/>
        </w:rPr>
        <w:t xml:space="preserve"> l</w:t>
      </w:r>
      <w:r w:rsidR="008E532B">
        <w:rPr>
          <w:rFonts w:ascii="Arial" w:eastAsia="SimSun" w:hAnsi="Arial" w:cs="Arial"/>
          <w:sz w:val="22"/>
          <w:szCs w:val="22"/>
          <w:lang w:val="fr-FR"/>
        </w:rPr>
        <w:t>’</w:t>
      </w:r>
      <w:r w:rsidRPr="008816CF">
        <w:rPr>
          <w:rFonts w:ascii="Arial" w:eastAsia="SimSun" w:hAnsi="Arial" w:cs="Arial"/>
          <w:sz w:val="22"/>
          <w:szCs w:val="22"/>
          <w:lang w:val="fr-FR"/>
        </w:rPr>
        <w:t>engagement continu de l</w:t>
      </w:r>
      <w:r w:rsidR="008E532B">
        <w:rPr>
          <w:rFonts w:ascii="Arial" w:eastAsia="SimSun" w:hAnsi="Arial" w:cs="Arial"/>
          <w:sz w:val="22"/>
          <w:szCs w:val="22"/>
          <w:lang w:val="fr-FR"/>
        </w:rPr>
        <w:t>’</w:t>
      </w:r>
      <w:r w:rsidRPr="008816CF">
        <w:rPr>
          <w:rFonts w:ascii="Arial" w:eastAsia="SimSun" w:hAnsi="Arial" w:cs="Arial"/>
          <w:sz w:val="22"/>
          <w:szCs w:val="22"/>
          <w:lang w:val="fr-FR"/>
        </w:rPr>
        <w:t>Inde envers la Convention et envers la continuité culturelle des sociétés et sa transmission aux générations futures. Au niveau national, l</w:t>
      </w:r>
      <w:r w:rsidR="008E532B">
        <w:rPr>
          <w:rFonts w:ascii="Arial" w:eastAsia="SimSun" w:hAnsi="Arial" w:cs="Arial"/>
          <w:sz w:val="22"/>
          <w:szCs w:val="22"/>
          <w:lang w:val="fr-FR"/>
        </w:rPr>
        <w:t>’</w:t>
      </w:r>
      <w:r w:rsidRPr="008816CF">
        <w:rPr>
          <w:rFonts w:ascii="Arial" w:eastAsia="SimSun" w:hAnsi="Arial" w:cs="Arial"/>
          <w:sz w:val="22"/>
          <w:szCs w:val="22"/>
          <w:lang w:val="fr-FR"/>
        </w:rPr>
        <w:t>Inde a</w:t>
      </w:r>
      <w:r>
        <w:rPr>
          <w:rFonts w:ascii="Arial" w:eastAsia="SimSun" w:hAnsi="Arial" w:cs="Arial"/>
          <w:sz w:val="22"/>
          <w:szCs w:val="22"/>
          <w:lang w:val="fr-FR"/>
        </w:rPr>
        <w:t>vait</w:t>
      </w:r>
      <w:r w:rsidRPr="008816CF">
        <w:rPr>
          <w:rFonts w:ascii="Arial" w:eastAsia="SimSun" w:hAnsi="Arial" w:cs="Arial"/>
          <w:sz w:val="22"/>
          <w:szCs w:val="22"/>
          <w:lang w:val="fr-FR"/>
        </w:rPr>
        <w:t xml:space="preserve"> mis en place un mécanisme solide pour soutenir et sauvegarder le patrimoine en facilitant régulièrement la participation démocratique de toutes les parties prenantes. Dans le cadre de son programme national de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8816CF">
        <w:rPr>
          <w:rFonts w:ascii="Arial" w:eastAsia="SimSun" w:hAnsi="Arial" w:cs="Arial"/>
          <w:sz w:val="22"/>
          <w:szCs w:val="22"/>
          <w:lang w:val="fr-FR"/>
        </w:rPr>
        <w:t>et des diverses traditions culturelles de l</w:t>
      </w:r>
      <w:r w:rsidR="008E532B">
        <w:rPr>
          <w:rFonts w:ascii="Arial" w:eastAsia="SimSun" w:hAnsi="Arial" w:cs="Arial"/>
          <w:sz w:val="22"/>
          <w:szCs w:val="22"/>
          <w:lang w:val="fr-FR"/>
        </w:rPr>
        <w:t>’</w:t>
      </w:r>
      <w:r w:rsidRPr="008816CF">
        <w:rPr>
          <w:rFonts w:ascii="Arial" w:eastAsia="SimSun" w:hAnsi="Arial" w:cs="Arial"/>
          <w:sz w:val="22"/>
          <w:szCs w:val="22"/>
          <w:lang w:val="fr-FR"/>
        </w:rPr>
        <w:t>Inde, elle avait entrepris plus de 300 projets de recherche dirigés par des experts culturels, des universitaires et des praticiens locaux. Entre 2016 et 2022, l</w:t>
      </w:r>
      <w:r w:rsidR="008E532B">
        <w:rPr>
          <w:rFonts w:ascii="Arial" w:eastAsia="SimSun" w:hAnsi="Arial" w:cs="Arial"/>
          <w:sz w:val="22"/>
          <w:szCs w:val="22"/>
          <w:lang w:val="fr-FR"/>
        </w:rPr>
        <w:t>’</w:t>
      </w:r>
      <w:r w:rsidRPr="008816CF">
        <w:rPr>
          <w:rFonts w:ascii="Arial" w:eastAsia="SimSun" w:hAnsi="Arial" w:cs="Arial"/>
          <w:sz w:val="22"/>
          <w:szCs w:val="22"/>
          <w:lang w:val="fr-FR"/>
        </w:rPr>
        <w:t>Inde avait signé plus de cinquante accords culturels bilatéraux couvrant divers aspects de la culture, de la transmission et de la sauvegarde. La délégation s</w:t>
      </w:r>
      <w:r w:rsidR="008E532B">
        <w:rPr>
          <w:rFonts w:ascii="Arial" w:eastAsia="SimSun" w:hAnsi="Arial" w:cs="Arial"/>
          <w:sz w:val="22"/>
          <w:szCs w:val="22"/>
          <w:lang w:val="fr-FR"/>
        </w:rPr>
        <w:t>’</w:t>
      </w:r>
      <w:r>
        <w:rPr>
          <w:rFonts w:ascii="Arial" w:eastAsia="SimSun" w:hAnsi="Arial" w:cs="Arial"/>
          <w:sz w:val="22"/>
          <w:szCs w:val="22"/>
          <w:lang w:val="fr-FR"/>
        </w:rPr>
        <w:t xml:space="preserve">est réjouie </w:t>
      </w:r>
      <w:r w:rsidRPr="008816CF">
        <w:rPr>
          <w:rFonts w:ascii="Arial" w:eastAsia="SimSun" w:hAnsi="Arial" w:cs="Arial"/>
          <w:sz w:val="22"/>
          <w:szCs w:val="22"/>
          <w:lang w:val="fr-FR"/>
        </w:rPr>
        <w:t>de travailler avec les autres États parties et de contribuer à renforcer et à faire évoluer la Convention de manière significative.</w:t>
      </w:r>
    </w:p>
    <w:p w14:paraId="08B5166C" w14:textId="58A04BC3" w:rsidR="00D9653F" w:rsidRPr="00A5246E"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A5246E">
        <w:rPr>
          <w:rFonts w:ascii="Arial" w:eastAsia="SimSun" w:hAnsi="Arial" w:cs="Arial"/>
          <w:sz w:val="22"/>
          <w:szCs w:val="22"/>
          <w:lang w:val="fr-FR"/>
        </w:rPr>
        <w:t>La délégation de l</w:t>
      </w:r>
      <w:r w:rsidR="008E532B">
        <w:rPr>
          <w:rFonts w:ascii="Arial" w:eastAsia="SimSun" w:hAnsi="Arial" w:cs="Arial"/>
          <w:sz w:val="22"/>
          <w:szCs w:val="22"/>
          <w:lang w:val="fr-FR"/>
        </w:rPr>
        <w:t>’</w:t>
      </w:r>
      <w:r w:rsidRPr="00A5246E">
        <w:rPr>
          <w:rFonts w:ascii="Arial" w:eastAsia="SimSun" w:hAnsi="Arial" w:cs="Arial"/>
          <w:b/>
          <w:bCs/>
          <w:sz w:val="22"/>
          <w:szCs w:val="22"/>
          <w:lang w:val="fr-FR"/>
        </w:rPr>
        <w:t>Azerbaïdjan</w:t>
      </w:r>
      <w:r w:rsidRPr="00A5246E">
        <w:rPr>
          <w:rFonts w:ascii="Arial" w:eastAsia="SimSun" w:hAnsi="Arial" w:cs="Arial"/>
          <w:sz w:val="22"/>
          <w:szCs w:val="22"/>
          <w:lang w:val="fr-FR"/>
        </w:rPr>
        <w:t xml:space="preserve"> </w:t>
      </w:r>
      <w:r w:rsidR="00D90F4C">
        <w:rPr>
          <w:rFonts w:ascii="Arial" w:eastAsia="SimSun" w:hAnsi="Arial" w:cs="Arial"/>
          <w:sz w:val="22"/>
          <w:szCs w:val="22"/>
          <w:lang w:val="fr-FR"/>
        </w:rPr>
        <w:t>a pris</w:t>
      </w:r>
      <w:r w:rsidRPr="00A5246E">
        <w:rPr>
          <w:rFonts w:ascii="Arial" w:eastAsia="SimSun" w:hAnsi="Arial" w:cs="Arial"/>
          <w:sz w:val="22"/>
          <w:szCs w:val="22"/>
          <w:lang w:val="fr-FR"/>
        </w:rPr>
        <w:t xml:space="preserve"> la parole pour répondre à la déclaration de l</w:t>
      </w:r>
      <w:r w:rsidR="008E532B">
        <w:rPr>
          <w:rFonts w:ascii="Arial" w:eastAsia="SimSun" w:hAnsi="Arial" w:cs="Arial"/>
          <w:sz w:val="22"/>
          <w:szCs w:val="22"/>
          <w:lang w:val="fr-FR"/>
        </w:rPr>
        <w:t>’</w:t>
      </w:r>
      <w:r w:rsidRPr="00A5246E">
        <w:rPr>
          <w:rFonts w:ascii="Arial" w:eastAsia="SimSun" w:hAnsi="Arial" w:cs="Arial"/>
          <w:sz w:val="22"/>
          <w:szCs w:val="22"/>
          <w:lang w:val="fr-FR"/>
        </w:rPr>
        <w:t xml:space="preserve">Arménie, </w:t>
      </w:r>
      <w:r w:rsidR="00D90F4C">
        <w:rPr>
          <w:rFonts w:ascii="Arial" w:eastAsia="SimSun" w:hAnsi="Arial" w:cs="Arial"/>
          <w:sz w:val="22"/>
          <w:szCs w:val="22"/>
          <w:lang w:val="fr-FR"/>
        </w:rPr>
        <w:t xml:space="preserve">que la délégation a jugé comme </w:t>
      </w:r>
      <w:r w:rsidRPr="00A5246E">
        <w:rPr>
          <w:rFonts w:ascii="Arial" w:eastAsia="SimSun" w:hAnsi="Arial" w:cs="Arial"/>
          <w:sz w:val="22"/>
          <w:szCs w:val="22"/>
          <w:lang w:val="fr-FR"/>
        </w:rPr>
        <w:t>une tentative ratée de détourner l</w:t>
      </w:r>
      <w:r w:rsidR="008E532B">
        <w:rPr>
          <w:rFonts w:ascii="Arial" w:eastAsia="SimSun" w:hAnsi="Arial" w:cs="Arial"/>
          <w:sz w:val="22"/>
          <w:szCs w:val="22"/>
          <w:lang w:val="fr-FR"/>
        </w:rPr>
        <w:t>’</w:t>
      </w:r>
      <w:r w:rsidRPr="00A5246E">
        <w:rPr>
          <w:rFonts w:ascii="Arial" w:eastAsia="SimSun" w:hAnsi="Arial" w:cs="Arial"/>
          <w:sz w:val="22"/>
          <w:szCs w:val="22"/>
          <w:lang w:val="fr-FR"/>
        </w:rPr>
        <w:t>attention de la communauté internationale des faits aggravés de crimes culturels commis par l</w:t>
      </w:r>
      <w:r w:rsidR="008E532B">
        <w:rPr>
          <w:rFonts w:ascii="Arial" w:eastAsia="SimSun" w:hAnsi="Arial" w:cs="Arial"/>
          <w:sz w:val="22"/>
          <w:szCs w:val="22"/>
          <w:lang w:val="fr-FR"/>
        </w:rPr>
        <w:t>’</w:t>
      </w:r>
      <w:r w:rsidRPr="00A5246E">
        <w:rPr>
          <w:rFonts w:ascii="Arial" w:eastAsia="SimSun" w:hAnsi="Arial" w:cs="Arial"/>
          <w:sz w:val="22"/>
          <w:szCs w:val="22"/>
          <w:lang w:val="fr-FR"/>
        </w:rPr>
        <w:t>Arménie dans les territoires précédemment occupés de l</w:t>
      </w:r>
      <w:r w:rsidR="008E532B">
        <w:rPr>
          <w:rFonts w:ascii="Arial" w:eastAsia="SimSun" w:hAnsi="Arial" w:cs="Arial"/>
          <w:sz w:val="22"/>
          <w:szCs w:val="22"/>
          <w:lang w:val="fr-FR"/>
        </w:rPr>
        <w:t>’</w:t>
      </w:r>
      <w:r w:rsidRPr="00A5246E">
        <w:rPr>
          <w:rFonts w:ascii="Arial" w:eastAsia="SimSun" w:hAnsi="Arial" w:cs="Arial"/>
          <w:sz w:val="22"/>
          <w:szCs w:val="22"/>
          <w:lang w:val="fr-FR"/>
        </w:rPr>
        <w:t xml:space="preserve">Azerbaïdjan. </w:t>
      </w:r>
      <w:r w:rsidR="00D90F4C">
        <w:rPr>
          <w:rFonts w:ascii="Arial" w:eastAsia="SimSun" w:hAnsi="Arial" w:cs="Arial"/>
          <w:sz w:val="22"/>
          <w:szCs w:val="22"/>
          <w:lang w:val="fr-FR"/>
        </w:rPr>
        <w:t>La délégation a noté qu’u</w:t>
      </w:r>
      <w:r w:rsidRPr="00A5246E">
        <w:rPr>
          <w:rFonts w:ascii="Arial" w:eastAsia="SimSun" w:hAnsi="Arial" w:cs="Arial"/>
          <w:sz w:val="22"/>
          <w:szCs w:val="22"/>
          <w:lang w:val="fr-FR"/>
        </w:rPr>
        <w:t>n millier de biens culturels et religieux d</w:t>
      </w:r>
      <w:r w:rsidR="008E532B">
        <w:rPr>
          <w:rFonts w:ascii="Arial" w:eastAsia="SimSun" w:hAnsi="Arial" w:cs="Arial"/>
          <w:sz w:val="22"/>
          <w:szCs w:val="22"/>
          <w:lang w:val="fr-FR"/>
        </w:rPr>
        <w:t>’</w:t>
      </w:r>
      <w:r w:rsidRPr="00A5246E">
        <w:rPr>
          <w:rFonts w:ascii="Arial" w:eastAsia="SimSun" w:hAnsi="Arial" w:cs="Arial"/>
          <w:sz w:val="22"/>
          <w:szCs w:val="22"/>
          <w:lang w:val="fr-FR"/>
        </w:rPr>
        <w:t>Azerbaïdjan</w:t>
      </w:r>
      <w:r>
        <w:rPr>
          <w:rFonts w:ascii="Arial" w:eastAsia="SimSun" w:hAnsi="Arial" w:cs="Arial"/>
          <w:sz w:val="22"/>
          <w:szCs w:val="22"/>
          <w:lang w:val="fr-FR"/>
        </w:rPr>
        <w:t>,</w:t>
      </w:r>
      <w:r w:rsidRPr="00A5246E">
        <w:rPr>
          <w:rFonts w:ascii="Arial" w:eastAsia="SimSun" w:hAnsi="Arial" w:cs="Arial"/>
          <w:sz w:val="22"/>
          <w:szCs w:val="22"/>
          <w:lang w:val="fr-FR"/>
        </w:rPr>
        <w:t xml:space="preserve"> situés dans les territoires libérés</w:t>
      </w:r>
      <w:r>
        <w:rPr>
          <w:rFonts w:ascii="Arial" w:eastAsia="SimSun" w:hAnsi="Arial" w:cs="Arial"/>
          <w:sz w:val="22"/>
          <w:szCs w:val="22"/>
          <w:lang w:val="fr-FR"/>
        </w:rPr>
        <w:t>,</w:t>
      </w:r>
      <w:r w:rsidRPr="00A5246E">
        <w:rPr>
          <w:rFonts w:ascii="Arial" w:eastAsia="SimSun" w:hAnsi="Arial" w:cs="Arial"/>
          <w:sz w:val="22"/>
          <w:szCs w:val="22"/>
          <w:lang w:val="fr-FR"/>
        </w:rPr>
        <w:t xml:space="preserve"> </w:t>
      </w:r>
      <w:r>
        <w:rPr>
          <w:rFonts w:ascii="Arial" w:eastAsia="SimSun" w:hAnsi="Arial" w:cs="Arial"/>
          <w:sz w:val="22"/>
          <w:szCs w:val="22"/>
          <w:lang w:val="fr-FR"/>
        </w:rPr>
        <w:t>avaient</w:t>
      </w:r>
      <w:r w:rsidRPr="00A5246E">
        <w:rPr>
          <w:rFonts w:ascii="Arial" w:eastAsia="SimSun" w:hAnsi="Arial" w:cs="Arial"/>
          <w:sz w:val="22"/>
          <w:szCs w:val="22"/>
          <w:lang w:val="fr-FR"/>
        </w:rPr>
        <w:t xml:space="preserve"> été complètement détruits et rasés par l</w:t>
      </w:r>
      <w:r w:rsidR="008E532B">
        <w:rPr>
          <w:rFonts w:ascii="Arial" w:eastAsia="SimSun" w:hAnsi="Arial" w:cs="Arial"/>
          <w:sz w:val="22"/>
          <w:szCs w:val="22"/>
          <w:lang w:val="fr-FR"/>
        </w:rPr>
        <w:t>’</w:t>
      </w:r>
      <w:r w:rsidRPr="00A5246E">
        <w:rPr>
          <w:rFonts w:ascii="Arial" w:eastAsia="SimSun" w:hAnsi="Arial" w:cs="Arial"/>
          <w:sz w:val="22"/>
          <w:szCs w:val="22"/>
          <w:lang w:val="fr-FR"/>
        </w:rPr>
        <w:t xml:space="preserve">Arménie. </w:t>
      </w:r>
      <w:r w:rsidR="00D90F4C">
        <w:rPr>
          <w:rFonts w:ascii="Arial" w:eastAsia="SimSun" w:hAnsi="Arial" w:cs="Arial"/>
          <w:sz w:val="22"/>
          <w:szCs w:val="22"/>
          <w:lang w:val="fr-FR"/>
        </w:rPr>
        <w:t>Elle a dit que l</w:t>
      </w:r>
      <w:r w:rsidR="008E532B">
        <w:rPr>
          <w:rFonts w:ascii="Arial" w:eastAsia="SimSun" w:hAnsi="Arial" w:cs="Arial"/>
          <w:sz w:val="22"/>
          <w:szCs w:val="22"/>
          <w:lang w:val="fr-FR"/>
        </w:rPr>
        <w:t>’</w:t>
      </w:r>
      <w:r w:rsidRPr="00A5246E">
        <w:rPr>
          <w:rFonts w:ascii="Arial" w:eastAsia="SimSun" w:hAnsi="Arial" w:cs="Arial"/>
          <w:sz w:val="22"/>
          <w:szCs w:val="22"/>
          <w:lang w:val="fr-FR"/>
        </w:rPr>
        <w:t>Arménie avait également détruit le patrimoine culturel du peuple azerbaïdjanais en Arménie</w:t>
      </w:r>
      <w:r>
        <w:rPr>
          <w:rFonts w:ascii="Arial" w:eastAsia="SimSun" w:hAnsi="Arial" w:cs="Arial"/>
          <w:sz w:val="22"/>
          <w:szCs w:val="22"/>
          <w:lang w:val="fr-FR"/>
        </w:rPr>
        <w:t>,</w:t>
      </w:r>
      <w:r w:rsidRPr="00A5246E">
        <w:rPr>
          <w:rFonts w:ascii="Arial" w:eastAsia="SimSun" w:hAnsi="Arial" w:cs="Arial"/>
          <w:sz w:val="22"/>
          <w:szCs w:val="22"/>
          <w:lang w:val="fr-FR"/>
        </w:rPr>
        <w:t xml:space="preserve"> dans le but d</w:t>
      </w:r>
      <w:r w:rsidR="008E532B">
        <w:rPr>
          <w:rFonts w:ascii="Arial" w:eastAsia="SimSun" w:hAnsi="Arial" w:cs="Arial"/>
          <w:sz w:val="22"/>
          <w:szCs w:val="22"/>
          <w:lang w:val="fr-FR"/>
        </w:rPr>
        <w:t>’</w:t>
      </w:r>
      <w:r w:rsidRPr="00A5246E">
        <w:rPr>
          <w:rFonts w:ascii="Arial" w:eastAsia="SimSun" w:hAnsi="Arial" w:cs="Arial"/>
          <w:sz w:val="22"/>
          <w:szCs w:val="22"/>
          <w:lang w:val="fr-FR"/>
        </w:rPr>
        <w:t>effacer les traces du peuple azerbaïdjanais vivant dans ces territoires depuis des siècles. La délégation a rappelé à l</w:t>
      </w:r>
      <w:r w:rsidR="008E532B">
        <w:rPr>
          <w:rFonts w:ascii="Arial" w:eastAsia="SimSun" w:hAnsi="Arial" w:cs="Arial"/>
          <w:sz w:val="22"/>
          <w:szCs w:val="22"/>
          <w:lang w:val="fr-FR"/>
        </w:rPr>
        <w:t>’</w:t>
      </w:r>
      <w:r w:rsidRPr="00A5246E">
        <w:rPr>
          <w:rFonts w:ascii="Arial" w:eastAsia="SimSun" w:hAnsi="Arial" w:cs="Arial"/>
          <w:sz w:val="22"/>
          <w:szCs w:val="22"/>
          <w:lang w:val="fr-FR"/>
        </w:rPr>
        <w:t>Arménie qu</w:t>
      </w:r>
      <w:r w:rsidR="008E532B">
        <w:rPr>
          <w:rFonts w:ascii="Arial" w:eastAsia="SimSun" w:hAnsi="Arial" w:cs="Arial"/>
          <w:sz w:val="22"/>
          <w:szCs w:val="22"/>
          <w:lang w:val="fr-FR"/>
        </w:rPr>
        <w:t>’</w:t>
      </w:r>
      <w:r w:rsidRPr="00A5246E">
        <w:rPr>
          <w:rFonts w:ascii="Arial" w:eastAsia="SimSun" w:hAnsi="Arial" w:cs="Arial"/>
          <w:sz w:val="22"/>
          <w:szCs w:val="22"/>
          <w:lang w:val="fr-FR"/>
        </w:rPr>
        <w:t>en raison de l</w:t>
      </w:r>
      <w:r w:rsidR="008E532B">
        <w:rPr>
          <w:rFonts w:ascii="Arial" w:eastAsia="SimSun" w:hAnsi="Arial" w:cs="Arial"/>
          <w:sz w:val="22"/>
          <w:szCs w:val="22"/>
          <w:lang w:val="fr-FR"/>
        </w:rPr>
        <w:t>’</w:t>
      </w:r>
      <w:r w:rsidRPr="00A5246E">
        <w:rPr>
          <w:rFonts w:ascii="Arial" w:eastAsia="SimSun" w:hAnsi="Arial" w:cs="Arial"/>
          <w:sz w:val="22"/>
          <w:szCs w:val="22"/>
          <w:lang w:val="fr-FR"/>
        </w:rPr>
        <w:t xml:space="preserve">occupation des territoires azerbaïdjanais internationalement reconnus, un million de réfugiés </w:t>
      </w:r>
      <w:r>
        <w:rPr>
          <w:rFonts w:ascii="Arial" w:eastAsia="SimSun" w:hAnsi="Arial" w:cs="Arial"/>
          <w:sz w:val="22"/>
          <w:szCs w:val="22"/>
          <w:lang w:val="fr-FR"/>
        </w:rPr>
        <w:t>avaient</w:t>
      </w:r>
      <w:r w:rsidRPr="00A5246E">
        <w:rPr>
          <w:rFonts w:ascii="Arial" w:eastAsia="SimSun" w:hAnsi="Arial" w:cs="Arial"/>
          <w:sz w:val="22"/>
          <w:szCs w:val="22"/>
          <w:lang w:val="fr-FR"/>
        </w:rPr>
        <w:t xml:space="preserve"> été privés de l</w:t>
      </w:r>
      <w:r w:rsidR="008E532B">
        <w:rPr>
          <w:rFonts w:ascii="Arial" w:eastAsia="SimSun" w:hAnsi="Arial" w:cs="Arial"/>
          <w:sz w:val="22"/>
          <w:szCs w:val="22"/>
          <w:lang w:val="fr-FR"/>
        </w:rPr>
        <w:t>’</w:t>
      </w:r>
      <w:r w:rsidRPr="00A5246E">
        <w:rPr>
          <w:rFonts w:ascii="Arial" w:eastAsia="SimSun" w:hAnsi="Arial" w:cs="Arial"/>
          <w:sz w:val="22"/>
          <w:szCs w:val="22"/>
          <w:lang w:val="fr-FR"/>
        </w:rPr>
        <w:t xml:space="preserve">exercice de leurs droits fondamentaux, y compris de leurs droits au </w:t>
      </w:r>
      <w:r w:rsidR="00E908E2">
        <w:rPr>
          <w:rFonts w:ascii="Arial" w:eastAsia="SimSun" w:hAnsi="Arial" w:cs="Arial"/>
          <w:bCs/>
          <w:sz w:val="22"/>
          <w:szCs w:val="22"/>
          <w:lang w:val="fr-FR" w:eastAsia="en-US"/>
        </w:rPr>
        <w:t>patrimoine culturel immatériel</w:t>
      </w:r>
      <w:r w:rsidRPr="00A5246E">
        <w:rPr>
          <w:rFonts w:ascii="Arial" w:eastAsia="SimSun" w:hAnsi="Arial" w:cs="Arial"/>
          <w:sz w:val="22"/>
          <w:szCs w:val="22"/>
          <w:lang w:val="fr-FR"/>
        </w:rPr>
        <w:t xml:space="preserve">, pendant près de trente ans. </w:t>
      </w:r>
      <w:r w:rsidR="00D90F4C">
        <w:rPr>
          <w:rFonts w:ascii="Arial" w:eastAsia="SimSun" w:hAnsi="Arial" w:cs="Arial"/>
          <w:sz w:val="22"/>
          <w:szCs w:val="22"/>
          <w:lang w:val="fr-FR"/>
        </w:rPr>
        <w:t>La délégation a noté que l</w:t>
      </w:r>
      <w:r w:rsidR="008E532B">
        <w:rPr>
          <w:rFonts w:ascii="Arial" w:eastAsia="SimSun" w:hAnsi="Arial" w:cs="Arial"/>
          <w:sz w:val="22"/>
          <w:szCs w:val="22"/>
          <w:lang w:val="fr-FR"/>
        </w:rPr>
        <w:t>’</w:t>
      </w:r>
      <w:r w:rsidRPr="00A5246E">
        <w:rPr>
          <w:rFonts w:ascii="Arial" w:eastAsia="SimSun" w:hAnsi="Arial" w:cs="Arial"/>
          <w:sz w:val="22"/>
          <w:szCs w:val="22"/>
          <w:lang w:val="fr-FR"/>
        </w:rPr>
        <w:t>Azerbaïdjan a</w:t>
      </w:r>
      <w:r>
        <w:rPr>
          <w:rFonts w:ascii="Arial" w:eastAsia="SimSun" w:hAnsi="Arial" w:cs="Arial"/>
          <w:sz w:val="22"/>
          <w:szCs w:val="22"/>
          <w:lang w:val="fr-FR"/>
        </w:rPr>
        <w:t>vait</w:t>
      </w:r>
      <w:r w:rsidRPr="00A5246E">
        <w:rPr>
          <w:rFonts w:ascii="Arial" w:eastAsia="SimSun" w:hAnsi="Arial" w:cs="Arial"/>
          <w:sz w:val="22"/>
          <w:szCs w:val="22"/>
          <w:lang w:val="fr-FR"/>
        </w:rPr>
        <w:t xml:space="preserve"> déclaré à plusieurs reprises que les monuments historiques et religieux situés dans les territoires libérés f</w:t>
      </w:r>
      <w:r>
        <w:rPr>
          <w:rFonts w:ascii="Arial" w:eastAsia="SimSun" w:hAnsi="Arial" w:cs="Arial"/>
          <w:sz w:val="22"/>
          <w:szCs w:val="22"/>
          <w:lang w:val="fr-FR"/>
        </w:rPr>
        <w:t>ont</w:t>
      </w:r>
      <w:r w:rsidRPr="00A5246E">
        <w:rPr>
          <w:rFonts w:ascii="Arial" w:eastAsia="SimSun" w:hAnsi="Arial" w:cs="Arial"/>
          <w:sz w:val="22"/>
          <w:szCs w:val="22"/>
          <w:lang w:val="fr-FR"/>
        </w:rPr>
        <w:t xml:space="preserve"> partie du patrimoine azerbaïdjanais et rel</w:t>
      </w:r>
      <w:r>
        <w:rPr>
          <w:rFonts w:ascii="Arial" w:eastAsia="SimSun" w:hAnsi="Arial" w:cs="Arial"/>
          <w:sz w:val="22"/>
          <w:szCs w:val="22"/>
          <w:lang w:val="fr-FR"/>
        </w:rPr>
        <w:t>èvent</w:t>
      </w:r>
      <w:r w:rsidRPr="00A5246E">
        <w:rPr>
          <w:rFonts w:ascii="Arial" w:eastAsia="SimSun" w:hAnsi="Arial" w:cs="Arial"/>
          <w:sz w:val="22"/>
          <w:szCs w:val="22"/>
          <w:lang w:val="fr-FR"/>
        </w:rPr>
        <w:t xml:space="preserve"> donc de la protection et de la responsabilité de l</w:t>
      </w:r>
      <w:r w:rsidR="008E532B">
        <w:rPr>
          <w:rFonts w:ascii="Arial" w:eastAsia="SimSun" w:hAnsi="Arial" w:cs="Arial"/>
          <w:sz w:val="22"/>
          <w:szCs w:val="22"/>
          <w:lang w:val="fr-FR"/>
        </w:rPr>
        <w:t>’</w:t>
      </w:r>
      <w:r w:rsidRPr="00A5246E">
        <w:rPr>
          <w:rFonts w:ascii="Arial" w:eastAsia="SimSun" w:hAnsi="Arial" w:cs="Arial"/>
          <w:sz w:val="22"/>
          <w:szCs w:val="22"/>
          <w:lang w:val="fr-FR"/>
        </w:rPr>
        <w:t xml:space="preserve">État azerbaïdjanais. </w:t>
      </w:r>
      <w:r w:rsidR="00D90F4C">
        <w:rPr>
          <w:rFonts w:ascii="Arial" w:eastAsia="SimSun" w:hAnsi="Arial" w:cs="Arial"/>
          <w:sz w:val="22"/>
          <w:szCs w:val="22"/>
          <w:lang w:val="fr-FR"/>
        </w:rPr>
        <w:t>Elle a noté que l</w:t>
      </w:r>
      <w:r w:rsidR="008E532B">
        <w:rPr>
          <w:rFonts w:ascii="Arial" w:eastAsia="SimSun" w:hAnsi="Arial" w:cs="Arial"/>
          <w:sz w:val="22"/>
          <w:szCs w:val="22"/>
          <w:lang w:val="fr-FR"/>
        </w:rPr>
        <w:t>’</w:t>
      </w:r>
      <w:r w:rsidRPr="00A5246E">
        <w:rPr>
          <w:rFonts w:ascii="Arial" w:eastAsia="SimSun" w:hAnsi="Arial" w:cs="Arial"/>
          <w:sz w:val="22"/>
          <w:szCs w:val="22"/>
          <w:lang w:val="fr-FR"/>
        </w:rPr>
        <w:t>Azerbaïdjan ne discrimin</w:t>
      </w:r>
      <w:r>
        <w:rPr>
          <w:rFonts w:ascii="Arial" w:eastAsia="SimSun" w:hAnsi="Arial" w:cs="Arial"/>
          <w:sz w:val="22"/>
          <w:szCs w:val="22"/>
          <w:lang w:val="fr-FR"/>
        </w:rPr>
        <w:t>ait</w:t>
      </w:r>
      <w:r w:rsidRPr="00A5246E">
        <w:rPr>
          <w:rFonts w:ascii="Arial" w:eastAsia="SimSun" w:hAnsi="Arial" w:cs="Arial"/>
          <w:sz w:val="22"/>
          <w:szCs w:val="22"/>
          <w:lang w:val="fr-FR"/>
        </w:rPr>
        <w:t xml:space="preserve"> pas son patrimoine historique et culturel en fonction de son origine religieuse et ethnique et s</w:t>
      </w:r>
      <w:r w:rsidR="008E532B">
        <w:rPr>
          <w:rFonts w:ascii="Arial" w:eastAsia="SimSun" w:hAnsi="Arial" w:cs="Arial"/>
          <w:sz w:val="22"/>
          <w:szCs w:val="22"/>
          <w:lang w:val="fr-FR"/>
        </w:rPr>
        <w:t>’</w:t>
      </w:r>
      <w:r w:rsidRPr="00A5246E">
        <w:rPr>
          <w:rFonts w:ascii="Arial" w:eastAsia="SimSun" w:hAnsi="Arial" w:cs="Arial"/>
          <w:sz w:val="22"/>
          <w:szCs w:val="22"/>
          <w:lang w:val="fr-FR"/>
        </w:rPr>
        <w:t>engage</w:t>
      </w:r>
      <w:r>
        <w:rPr>
          <w:rFonts w:ascii="Arial" w:eastAsia="SimSun" w:hAnsi="Arial" w:cs="Arial"/>
          <w:sz w:val="22"/>
          <w:szCs w:val="22"/>
          <w:lang w:val="fr-FR"/>
        </w:rPr>
        <w:t>ait</w:t>
      </w:r>
      <w:r w:rsidRPr="00A5246E">
        <w:rPr>
          <w:rFonts w:ascii="Arial" w:eastAsia="SimSun" w:hAnsi="Arial" w:cs="Arial"/>
          <w:sz w:val="22"/>
          <w:szCs w:val="22"/>
          <w:lang w:val="fr-FR"/>
        </w:rPr>
        <w:t xml:space="preserve"> à respecter ses obligations en vertu des conventions internationales, y compris celles de l</w:t>
      </w:r>
      <w:r w:rsidR="008E532B">
        <w:rPr>
          <w:rFonts w:ascii="Arial" w:eastAsia="SimSun" w:hAnsi="Arial" w:cs="Arial"/>
          <w:sz w:val="22"/>
          <w:szCs w:val="22"/>
          <w:lang w:val="fr-FR"/>
        </w:rPr>
        <w:t>’</w:t>
      </w:r>
      <w:r w:rsidRPr="00A5246E">
        <w:rPr>
          <w:rFonts w:ascii="Arial" w:eastAsia="SimSun" w:hAnsi="Arial" w:cs="Arial"/>
          <w:sz w:val="22"/>
          <w:szCs w:val="22"/>
          <w:lang w:val="fr-FR"/>
        </w:rPr>
        <w:t>UNESCO. La délégation a conseillé à l</w:t>
      </w:r>
      <w:r w:rsidR="008E532B">
        <w:rPr>
          <w:rFonts w:ascii="Arial" w:eastAsia="SimSun" w:hAnsi="Arial" w:cs="Arial"/>
          <w:sz w:val="22"/>
          <w:szCs w:val="22"/>
          <w:lang w:val="fr-FR"/>
        </w:rPr>
        <w:t>’</w:t>
      </w:r>
      <w:r w:rsidRPr="00A5246E">
        <w:rPr>
          <w:rFonts w:ascii="Arial" w:eastAsia="SimSun" w:hAnsi="Arial" w:cs="Arial"/>
          <w:sz w:val="22"/>
          <w:szCs w:val="22"/>
          <w:lang w:val="fr-FR"/>
        </w:rPr>
        <w:t>Arménie d</w:t>
      </w:r>
      <w:r w:rsidR="008E532B">
        <w:rPr>
          <w:rFonts w:ascii="Arial" w:eastAsia="SimSun" w:hAnsi="Arial" w:cs="Arial"/>
          <w:sz w:val="22"/>
          <w:szCs w:val="22"/>
          <w:lang w:val="fr-FR"/>
        </w:rPr>
        <w:t>’</w:t>
      </w:r>
      <w:r w:rsidRPr="00A5246E">
        <w:rPr>
          <w:rFonts w:ascii="Arial" w:eastAsia="SimSun" w:hAnsi="Arial" w:cs="Arial"/>
          <w:sz w:val="22"/>
          <w:szCs w:val="22"/>
          <w:lang w:val="fr-FR"/>
        </w:rPr>
        <w:t>accepter les nouvelles réalités sur le terrain et de se concentrer sur les perspectives de paix et de coopération régionales fondées sur le respect de l</w:t>
      </w:r>
      <w:r w:rsidR="008E532B">
        <w:rPr>
          <w:rFonts w:ascii="Arial" w:eastAsia="SimSun" w:hAnsi="Arial" w:cs="Arial"/>
          <w:sz w:val="22"/>
          <w:szCs w:val="22"/>
          <w:lang w:val="fr-FR"/>
        </w:rPr>
        <w:t>’</w:t>
      </w:r>
      <w:r w:rsidRPr="00A5246E">
        <w:rPr>
          <w:rFonts w:ascii="Arial" w:eastAsia="SimSun" w:hAnsi="Arial" w:cs="Arial"/>
          <w:sz w:val="22"/>
          <w:szCs w:val="22"/>
          <w:lang w:val="fr-FR"/>
        </w:rPr>
        <w:t>intégrité et de la souveraineté territoriales, ajoutant qu</w:t>
      </w:r>
      <w:r w:rsidR="008E532B">
        <w:rPr>
          <w:rFonts w:ascii="Arial" w:eastAsia="SimSun" w:hAnsi="Arial" w:cs="Arial"/>
          <w:sz w:val="22"/>
          <w:szCs w:val="22"/>
          <w:lang w:val="fr-FR"/>
        </w:rPr>
        <w:t>’</w:t>
      </w:r>
      <w:r w:rsidRPr="00A5246E">
        <w:rPr>
          <w:rFonts w:ascii="Arial" w:eastAsia="SimSun" w:hAnsi="Arial" w:cs="Arial"/>
          <w:sz w:val="22"/>
          <w:szCs w:val="22"/>
          <w:lang w:val="fr-FR"/>
        </w:rPr>
        <w:t>il n</w:t>
      </w:r>
      <w:r w:rsidR="008E532B">
        <w:rPr>
          <w:rFonts w:ascii="Arial" w:eastAsia="SimSun" w:hAnsi="Arial" w:cs="Arial"/>
          <w:sz w:val="22"/>
          <w:szCs w:val="22"/>
          <w:lang w:val="fr-FR"/>
        </w:rPr>
        <w:t>’</w:t>
      </w:r>
      <w:r w:rsidRPr="00A5246E">
        <w:rPr>
          <w:rFonts w:ascii="Arial" w:eastAsia="SimSun" w:hAnsi="Arial" w:cs="Arial"/>
          <w:sz w:val="22"/>
          <w:szCs w:val="22"/>
          <w:lang w:val="fr-FR"/>
        </w:rPr>
        <w:t>exist</w:t>
      </w:r>
      <w:r>
        <w:rPr>
          <w:rFonts w:ascii="Arial" w:eastAsia="SimSun" w:hAnsi="Arial" w:cs="Arial"/>
          <w:sz w:val="22"/>
          <w:szCs w:val="22"/>
          <w:lang w:val="fr-FR"/>
        </w:rPr>
        <w:t>ait</w:t>
      </w:r>
      <w:r w:rsidRPr="00A5246E">
        <w:rPr>
          <w:rFonts w:ascii="Arial" w:eastAsia="SimSun" w:hAnsi="Arial" w:cs="Arial"/>
          <w:sz w:val="22"/>
          <w:szCs w:val="22"/>
          <w:lang w:val="fr-FR"/>
        </w:rPr>
        <w:t xml:space="preserve"> pas d</w:t>
      </w:r>
      <w:r w:rsidR="008E532B">
        <w:rPr>
          <w:rFonts w:ascii="Arial" w:eastAsia="SimSun" w:hAnsi="Arial" w:cs="Arial"/>
          <w:sz w:val="22"/>
          <w:szCs w:val="22"/>
          <w:lang w:val="fr-FR"/>
        </w:rPr>
        <w:t>’</w:t>
      </w:r>
      <w:r w:rsidRPr="00A5246E">
        <w:rPr>
          <w:rFonts w:ascii="Arial" w:eastAsia="SimSun" w:hAnsi="Arial" w:cs="Arial"/>
          <w:sz w:val="22"/>
          <w:szCs w:val="22"/>
          <w:lang w:val="fr-FR"/>
        </w:rPr>
        <w:t xml:space="preserve">unité territoriale telle que le Haut-Karabakh en Azerbaïdjan, mais uniquement les régions du Karabakh et du </w:t>
      </w:r>
      <w:proofErr w:type="spellStart"/>
      <w:r w:rsidRPr="00A5246E">
        <w:rPr>
          <w:rFonts w:ascii="Arial" w:eastAsia="SimSun" w:hAnsi="Arial" w:cs="Arial"/>
          <w:sz w:val="22"/>
          <w:szCs w:val="22"/>
          <w:lang w:val="fr-FR"/>
        </w:rPr>
        <w:t>Zang</w:t>
      </w:r>
      <w:r>
        <w:rPr>
          <w:rFonts w:ascii="Arial" w:eastAsia="SimSun" w:hAnsi="Arial" w:cs="Arial"/>
          <w:sz w:val="22"/>
          <w:szCs w:val="22"/>
          <w:lang w:val="fr-FR"/>
        </w:rPr>
        <w:t>u</w:t>
      </w:r>
      <w:r w:rsidRPr="00A5246E">
        <w:rPr>
          <w:rFonts w:ascii="Arial" w:eastAsia="SimSun" w:hAnsi="Arial" w:cs="Arial"/>
          <w:sz w:val="22"/>
          <w:szCs w:val="22"/>
          <w:lang w:val="fr-FR"/>
        </w:rPr>
        <w:t>ez</w:t>
      </w:r>
      <w:r>
        <w:rPr>
          <w:rFonts w:ascii="Arial" w:eastAsia="SimSun" w:hAnsi="Arial" w:cs="Arial"/>
          <w:sz w:val="22"/>
          <w:szCs w:val="22"/>
          <w:lang w:val="fr-FR"/>
        </w:rPr>
        <w:t>o</w:t>
      </w:r>
      <w:r w:rsidRPr="00A5246E">
        <w:rPr>
          <w:rFonts w:ascii="Arial" w:eastAsia="SimSun" w:hAnsi="Arial" w:cs="Arial"/>
          <w:sz w:val="22"/>
          <w:szCs w:val="22"/>
          <w:lang w:val="fr-FR"/>
        </w:rPr>
        <w:t>ur</w:t>
      </w:r>
      <w:proofErr w:type="spellEnd"/>
      <w:r w:rsidRPr="00A5246E">
        <w:rPr>
          <w:rFonts w:ascii="Arial" w:eastAsia="SimSun" w:hAnsi="Arial" w:cs="Arial"/>
          <w:sz w:val="22"/>
          <w:szCs w:val="22"/>
          <w:lang w:val="fr-FR"/>
        </w:rPr>
        <w:t xml:space="preserve"> oriental. L</w:t>
      </w:r>
      <w:r w:rsidR="008E532B">
        <w:rPr>
          <w:rFonts w:ascii="Arial" w:eastAsia="SimSun" w:hAnsi="Arial" w:cs="Arial"/>
          <w:sz w:val="22"/>
          <w:szCs w:val="22"/>
          <w:lang w:val="fr-FR"/>
        </w:rPr>
        <w:t>’</w:t>
      </w:r>
      <w:r w:rsidRPr="00A5246E">
        <w:rPr>
          <w:rFonts w:ascii="Arial" w:eastAsia="SimSun" w:hAnsi="Arial" w:cs="Arial"/>
          <w:sz w:val="22"/>
          <w:szCs w:val="22"/>
          <w:lang w:val="fr-FR"/>
        </w:rPr>
        <w:t>objectif d</w:t>
      </w:r>
      <w:r w:rsidR="008E532B">
        <w:rPr>
          <w:rFonts w:ascii="Arial" w:eastAsia="SimSun" w:hAnsi="Arial" w:cs="Arial"/>
          <w:sz w:val="22"/>
          <w:szCs w:val="22"/>
          <w:lang w:val="fr-FR"/>
        </w:rPr>
        <w:t>’</w:t>
      </w:r>
      <w:r w:rsidRPr="00A5246E">
        <w:rPr>
          <w:rFonts w:ascii="Arial" w:eastAsia="SimSun" w:hAnsi="Arial" w:cs="Arial"/>
          <w:sz w:val="22"/>
          <w:szCs w:val="22"/>
          <w:lang w:val="fr-FR"/>
        </w:rPr>
        <w:t>un développement pacifique et durable ne p</w:t>
      </w:r>
      <w:r>
        <w:rPr>
          <w:rFonts w:ascii="Arial" w:eastAsia="SimSun" w:hAnsi="Arial" w:cs="Arial"/>
          <w:sz w:val="22"/>
          <w:szCs w:val="22"/>
          <w:lang w:val="fr-FR"/>
        </w:rPr>
        <w:t>ouvait</w:t>
      </w:r>
      <w:r w:rsidRPr="00A5246E">
        <w:rPr>
          <w:rFonts w:ascii="Arial" w:eastAsia="SimSun" w:hAnsi="Arial" w:cs="Arial"/>
          <w:sz w:val="22"/>
          <w:szCs w:val="22"/>
          <w:lang w:val="fr-FR"/>
        </w:rPr>
        <w:t xml:space="preserve"> être atteint en reproduisant de faux récits, en interprétant</w:t>
      </w:r>
      <w:r>
        <w:rPr>
          <w:rFonts w:ascii="Arial" w:eastAsia="SimSun" w:hAnsi="Arial" w:cs="Arial"/>
          <w:sz w:val="22"/>
          <w:szCs w:val="22"/>
          <w:lang w:val="fr-FR"/>
        </w:rPr>
        <w:t xml:space="preserve"> de façon erronée</w:t>
      </w:r>
      <w:r w:rsidRPr="00A5246E">
        <w:rPr>
          <w:rFonts w:ascii="Arial" w:eastAsia="SimSun" w:hAnsi="Arial" w:cs="Arial"/>
          <w:sz w:val="22"/>
          <w:szCs w:val="22"/>
          <w:lang w:val="fr-FR"/>
        </w:rPr>
        <w:t xml:space="preserve"> le droit international et en poursuivant la politique de haine, d</w:t>
      </w:r>
      <w:r w:rsidR="008E532B">
        <w:rPr>
          <w:rFonts w:ascii="Arial" w:eastAsia="SimSun" w:hAnsi="Arial" w:cs="Arial"/>
          <w:sz w:val="22"/>
          <w:szCs w:val="22"/>
          <w:lang w:val="fr-FR"/>
        </w:rPr>
        <w:t>’</w:t>
      </w:r>
      <w:r w:rsidRPr="00A5246E">
        <w:rPr>
          <w:rFonts w:ascii="Arial" w:eastAsia="SimSun" w:hAnsi="Arial" w:cs="Arial"/>
          <w:sz w:val="22"/>
          <w:szCs w:val="22"/>
          <w:lang w:val="fr-FR"/>
        </w:rPr>
        <w:t>animosité et de revendications territoriales.</w:t>
      </w:r>
    </w:p>
    <w:p w14:paraId="2629D792" w14:textId="27B844CA" w:rsidR="00D9653F" w:rsidRPr="00CE449E"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CE449E">
        <w:rPr>
          <w:rFonts w:ascii="Arial" w:eastAsia="SimSun" w:hAnsi="Arial" w:cs="Arial"/>
          <w:sz w:val="22"/>
          <w:szCs w:val="22"/>
          <w:lang w:val="fr-FR"/>
        </w:rPr>
        <w:t>La délégation d</w:t>
      </w:r>
      <w:r w:rsidR="008E532B">
        <w:rPr>
          <w:rFonts w:ascii="Arial" w:eastAsia="SimSun" w:hAnsi="Arial" w:cs="Arial"/>
          <w:sz w:val="22"/>
          <w:szCs w:val="22"/>
          <w:lang w:val="fr-FR"/>
        </w:rPr>
        <w:t>’</w:t>
      </w:r>
      <w:r w:rsidRPr="00CE449E">
        <w:rPr>
          <w:rFonts w:ascii="Arial" w:eastAsia="SimSun" w:hAnsi="Arial" w:cs="Arial"/>
          <w:b/>
          <w:bCs/>
          <w:sz w:val="22"/>
          <w:szCs w:val="22"/>
          <w:lang w:val="fr-FR"/>
        </w:rPr>
        <w:t>Haïti</w:t>
      </w:r>
      <w:r w:rsidRPr="00CE449E">
        <w:rPr>
          <w:rFonts w:ascii="Arial" w:eastAsia="SimSun" w:hAnsi="Arial" w:cs="Arial"/>
          <w:sz w:val="22"/>
          <w:szCs w:val="22"/>
          <w:lang w:val="fr-FR"/>
        </w:rPr>
        <w:t xml:space="preserve"> a remercié tous les États parties qui </w:t>
      </w:r>
      <w:r>
        <w:rPr>
          <w:rFonts w:ascii="Arial" w:eastAsia="SimSun" w:hAnsi="Arial" w:cs="Arial"/>
          <w:sz w:val="22"/>
          <w:szCs w:val="22"/>
          <w:lang w:val="fr-FR"/>
        </w:rPr>
        <w:t>avaient</w:t>
      </w:r>
      <w:r w:rsidRPr="00CE449E">
        <w:rPr>
          <w:rFonts w:ascii="Arial" w:eastAsia="SimSun" w:hAnsi="Arial" w:cs="Arial"/>
          <w:sz w:val="22"/>
          <w:szCs w:val="22"/>
          <w:lang w:val="fr-FR"/>
        </w:rPr>
        <w:t xml:space="preserve"> pris la parole pour exprimer leur soutien à la soupe </w:t>
      </w:r>
      <w:r>
        <w:rPr>
          <w:rFonts w:ascii="Arial" w:eastAsia="SimSun" w:hAnsi="Arial" w:cs="Arial"/>
          <w:sz w:val="22"/>
          <w:szCs w:val="22"/>
          <w:lang w:val="fr-FR"/>
        </w:rPr>
        <w:t>au giraumon et a</w:t>
      </w:r>
      <w:r w:rsidRPr="00CE449E">
        <w:rPr>
          <w:rFonts w:ascii="Arial" w:eastAsia="SimSun" w:hAnsi="Arial" w:cs="Arial"/>
          <w:sz w:val="22"/>
          <w:szCs w:val="22"/>
          <w:lang w:val="fr-FR"/>
        </w:rPr>
        <w:t xml:space="preserve"> félicit</w:t>
      </w:r>
      <w:r>
        <w:rPr>
          <w:rFonts w:ascii="Arial" w:eastAsia="SimSun" w:hAnsi="Arial" w:cs="Arial"/>
          <w:sz w:val="22"/>
          <w:szCs w:val="22"/>
          <w:lang w:val="fr-FR"/>
        </w:rPr>
        <w:t>é</w:t>
      </w:r>
      <w:r w:rsidRPr="00CE449E">
        <w:rPr>
          <w:rFonts w:ascii="Arial" w:eastAsia="SimSun" w:hAnsi="Arial" w:cs="Arial"/>
          <w:sz w:val="22"/>
          <w:szCs w:val="22"/>
          <w:lang w:val="fr-FR"/>
        </w:rPr>
        <w:t xml:space="preserve"> la Présidente pour son élection. Au nom de la République d</w:t>
      </w:r>
      <w:r w:rsidR="008E532B">
        <w:rPr>
          <w:rFonts w:ascii="Arial" w:eastAsia="SimSun" w:hAnsi="Arial" w:cs="Arial"/>
          <w:sz w:val="22"/>
          <w:szCs w:val="22"/>
          <w:lang w:val="fr-FR"/>
        </w:rPr>
        <w:t>’</w:t>
      </w:r>
      <w:r w:rsidRPr="00CE449E">
        <w:rPr>
          <w:rFonts w:ascii="Arial" w:eastAsia="SimSun" w:hAnsi="Arial" w:cs="Arial"/>
          <w:sz w:val="22"/>
          <w:szCs w:val="22"/>
          <w:lang w:val="fr-FR"/>
        </w:rPr>
        <w:t>Haïti et de la Commission nationale de coopération avec l</w:t>
      </w:r>
      <w:r w:rsidR="008E532B">
        <w:rPr>
          <w:rFonts w:ascii="Arial" w:eastAsia="SimSun" w:hAnsi="Arial" w:cs="Arial"/>
          <w:sz w:val="22"/>
          <w:szCs w:val="22"/>
          <w:lang w:val="fr-FR"/>
        </w:rPr>
        <w:t>’</w:t>
      </w:r>
      <w:r w:rsidRPr="00CE449E">
        <w:rPr>
          <w:rFonts w:ascii="Arial" w:eastAsia="SimSun" w:hAnsi="Arial" w:cs="Arial"/>
          <w:sz w:val="22"/>
          <w:szCs w:val="22"/>
          <w:lang w:val="fr-FR"/>
        </w:rPr>
        <w:t xml:space="preserve">UNESCO, la délégation a exprimé sa grande et profonde gratitude aux membres du Comité pour leur </w:t>
      </w:r>
      <w:r>
        <w:rPr>
          <w:rFonts w:ascii="Arial" w:eastAsia="SimSun" w:hAnsi="Arial" w:cs="Arial"/>
          <w:sz w:val="22"/>
          <w:szCs w:val="22"/>
          <w:lang w:val="fr-FR"/>
        </w:rPr>
        <w:t xml:space="preserve">excellent </w:t>
      </w:r>
      <w:r w:rsidRPr="00CE449E">
        <w:rPr>
          <w:rFonts w:ascii="Arial" w:eastAsia="SimSun" w:hAnsi="Arial" w:cs="Arial"/>
          <w:sz w:val="22"/>
          <w:szCs w:val="22"/>
          <w:lang w:val="fr-FR"/>
        </w:rPr>
        <w:t>travail lors de la dernière session et leur décision d</w:t>
      </w:r>
      <w:r w:rsidR="008E532B">
        <w:rPr>
          <w:rFonts w:ascii="Arial" w:eastAsia="SimSun" w:hAnsi="Arial" w:cs="Arial"/>
          <w:sz w:val="22"/>
          <w:szCs w:val="22"/>
          <w:lang w:val="fr-FR"/>
        </w:rPr>
        <w:t>’</w:t>
      </w:r>
      <w:r w:rsidRPr="00CE449E">
        <w:rPr>
          <w:rFonts w:ascii="Arial" w:eastAsia="SimSun" w:hAnsi="Arial" w:cs="Arial"/>
          <w:sz w:val="22"/>
          <w:szCs w:val="22"/>
          <w:lang w:val="fr-FR"/>
        </w:rPr>
        <w:t xml:space="preserve">inscrire la soupe </w:t>
      </w:r>
      <w:r>
        <w:rPr>
          <w:rFonts w:ascii="Arial" w:eastAsia="SimSun" w:hAnsi="Arial" w:cs="Arial"/>
          <w:sz w:val="22"/>
          <w:szCs w:val="22"/>
          <w:lang w:val="fr-FR"/>
        </w:rPr>
        <w:t>au giraumon</w:t>
      </w:r>
      <w:r w:rsidRPr="00CE449E">
        <w:rPr>
          <w:rFonts w:ascii="Arial" w:eastAsia="SimSun" w:hAnsi="Arial" w:cs="Arial"/>
          <w:sz w:val="22"/>
          <w:szCs w:val="22"/>
          <w:lang w:val="fr-FR"/>
        </w:rPr>
        <w:t xml:space="preserve"> sur la Liste représentative. Elle a également remercié l</w:t>
      </w:r>
      <w:r w:rsidR="008E532B">
        <w:rPr>
          <w:rFonts w:ascii="Arial" w:eastAsia="SimSun" w:hAnsi="Arial" w:cs="Arial"/>
          <w:sz w:val="22"/>
          <w:szCs w:val="22"/>
          <w:lang w:val="fr-FR"/>
        </w:rPr>
        <w:t>’</w:t>
      </w:r>
      <w:r w:rsidRPr="00CE449E">
        <w:rPr>
          <w:rFonts w:ascii="Arial" w:eastAsia="SimSun" w:hAnsi="Arial" w:cs="Arial"/>
          <w:sz w:val="22"/>
          <w:szCs w:val="22"/>
          <w:lang w:val="fr-FR"/>
        </w:rPr>
        <w:t>Organe d</w:t>
      </w:r>
      <w:r w:rsidR="008E532B">
        <w:rPr>
          <w:rFonts w:ascii="Arial" w:eastAsia="SimSun" w:hAnsi="Arial" w:cs="Arial"/>
          <w:sz w:val="22"/>
          <w:szCs w:val="22"/>
          <w:lang w:val="fr-FR"/>
        </w:rPr>
        <w:t>’</w:t>
      </w:r>
      <w:r w:rsidRPr="00CE449E">
        <w:rPr>
          <w:rFonts w:ascii="Arial" w:eastAsia="SimSun" w:hAnsi="Arial" w:cs="Arial"/>
          <w:sz w:val="22"/>
          <w:szCs w:val="22"/>
          <w:lang w:val="fr-FR"/>
        </w:rPr>
        <w:t xml:space="preserve">évaluation pour sa recommandation technique favorable et </w:t>
      </w:r>
      <w:r>
        <w:rPr>
          <w:rFonts w:ascii="Arial" w:eastAsia="SimSun" w:hAnsi="Arial" w:cs="Arial"/>
          <w:sz w:val="22"/>
          <w:szCs w:val="22"/>
          <w:lang w:val="fr-FR"/>
        </w:rPr>
        <w:t>pour les</w:t>
      </w:r>
      <w:r w:rsidRPr="00CE449E">
        <w:rPr>
          <w:rFonts w:ascii="Arial" w:eastAsia="SimSun" w:hAnsi="Arial" w:cs="Arial"/>
          <w:sz w:val="22"/>
          <w:szCs w:val="22"/>
          <w:lang w:val="fr-FR"/>
        </w:rPr>
        <w:t xml:space="preserve"> félicit</w:t>
      </w:r>
      <w:r>
        <w:rPr>
          <w:rFonts w:ascii="Arial" w:eastAsia="SimSun" w:hAnsi="Arial" w:cs="Arial"/>
          <w:sz w:val="22"/>
          <w:szCs w:val="22"/>
          <w:lang w:val="fr-FR"/>
        </w:rPr>
        <w:t>ations qu</w:t>
      </w:r>
      <w:r w:rsidR="008E532B">
        <w:rPr>
          <w:rFonts w:ascii="Arial" w:eastAsia="SimSun" w:hAnsi="Arial" w:cs="Arial"/>
          <w:sz w:val="22"/>
          <w:szCs w:val="22"/>
          <w:lang w:val="fr-FR"/>
        </w:rPr>
        <w:t>’</w:t>
      </w:r>
      <w:r>
        <w:rPr>
          <w:rFonts w:ascii="Arial" w:eastAsia="SimSun" w:hAnsi="Arial" w:cs="Arial"/>
          <w:sz w:val="22"/>
          <w:szCs w:val="22"/>
          <w:lang w:val="fr-FR"/>
        </w:rPr>
        <w:t xml:space="preserve">il avait adressées à </w:t>
      </w:r>
      <w:r w:rsidRPr="00CE449E">
        <w:rPr>
          <w:rFonts w:ascii="Arial" w:eastAsia="SimSun" w:hAnsi="Arial" w:cs="Arial"/>
          <w:sz w:val="22"/>
          <w:szCs w:val="22"/>
          <w:lang w:val="fr-FR"/>
        </w:rPr>
        <w:t xml:space="preserve">Haïti </w:t>
      </w:r>
      <w:proofErr w:type="gramStart"/>
      <w:r>
        <w:rPr>
          <w:rFonts w:ascii="Arial" w:eastAsia="SimSun" w:hAnsi="Arial" w:cs="Arial"/>
          <w:sz w:val="22"/>
          <w:szCs w:val="22"/>
          <w:lang w:val="fr-FR"/>
        </w:rPr>
        <w:t>suite à</w:t>
      </w:r>
      <w:proofErr w:type="gramEnd"/>
      <w:r>
        <w:rPr>
          <w:rFonts w:ascii="Arial" w:eastAsia="SimSun" w:hAnsi="Arial" w:cs="Arial"/>
          <w:sz w:val="22"/>
          <w:szCs w:val="22"/>
          <w:lang w:val="fr-FR"/>
        </w:rPr>
        <w:t xml:space="preserve"> la constitution d</w:t>
      </w:r>
      <w:r w:rsidR="008E532B">
        <w:rPr>
          <w:rFonts w:ascii="Arial" w:eastAsia="SimSun" w:hAnsi="Arial" w:cs="Arial"/>
          <w:sz w:val="22"/>
          <w:szCs w:val="22"/>
          <w:lang w:val="fr-FR"/>
        </w:rPr>
        <w:t>’</w:t>
      </w:r>
      <w:r>
        <w:rPr>
          <w:rFonts w:ascii="Arial" w:eastAsia="SimSun" w:hAnsi="Arial" w:cs="Arial"/>
          <w:sz w:val="22"/>
          <w:szCs w:val="22"/>
          <w:lang w:val="fr-FR"/>
        </w:rPr>
        <w:t xml:space="preserve">une </w:t>
      </w:r>
      <w:r w:rsidRPr="00CE449E">
        <w:rPr>
          <w:rFonts w:ascii="Arial" w:eastAsia="SimSun" w:hAnsi="Arial" w:cs="Arial"/>
          <w:sz w:val="22"/>
          <w:szCs w:val="22"/>
          <w:lang w:val="fr-FR"/>
        </w:rPr>
        <w:t>candidature exemplaire pour sa première soumission, qui</w:t>
      </w:r>
      <w:r>
        <w:rPr>
          <w:rFonts w:ascii="Arial" w:eastAsia="SimSun" w:hAnsi="Arial" w:cs="Arial"/>
          <w:sz w:val="22"/>
          <w:szCs w:val="22"/>
          <w:lang w:val="fr-FR"/>
        </w:rPr>
        <w:t xml:space="preserve"> satisfaisait aux </w:t>
      </w:r>
      <w:r w:rsidRPr="00CE449E">
        <w:rPr>
          <w:rFonts w:ascii="Arial" w:eastAsia="SimSun" w:hAnsi="Arial" w:cs="Arial"/>
          <w:sz w:val="22"/>
          <w:szCs w:val="22"/>
          <w:lang w:val="fr-FR"/>
        </w:rPr>
        <w:t>cinq critères d</w:t>
      </w:r>
      <w:r w:rsidR="008E532B">
        <w:rPr>
          <w:rFonts w:ascii="Arial" w:eastAsia="SimSun" w:hAnsi="Arial" w:cs="Arial"/>
          <w:sz w:val="22"/>
          <w:szCs w:val="22"/>
          <w:lang w:val="fr-FR"/>
        </w:rPr>
        <w:t>’</w:t>
      </w:r>
      <w:r w:rsidRPr="00CE449E">
        <w:rPr>
          <w:rFonts w:ascii="Arial" w:eastAsia="SimSun" w:hAnsi="Arial" w:cs="Arial"/>
          <w:sz w:val="22"/>
          <w:szCs w:val="22"/>
          <w:lang w:val="fr-FR"/>
        </w:rPr>
        <w:t xml:space="preserve">inscription. La délégation a également renouvelé sa gratitude envers tous les </w:t>
      </w:r>
      <w:r>
        <w:rPr>
          <w:rFonts w:ascii="Arial" w:eastAsia="SimSun" w:hAnsi="Arial" w:cs="Arial"/>
          <w:sz w:val="22"/>
          <w:szCs w:val="22"/>
          <w:lang w:val="fr-FR"/>
        </w:rPr>
        <w:t>É</w:t>
      </w:r>
      <w:r w:rsidRPr="00CE449E">
        <w:rPr>
          <w:rFonts w:ascii="Arial" w:eastAsia="SimSun" w:hAnsi="Arial" w:cs="Arial"/>
          <w:sz w:val="22"/>
          <w:szCs w:val="22"/>
          <w:lang w:val="fr-FR"/>
        </w:rPr>
        <w:t>tats membres de l</w:t>
      </w:r>
      <w:r w:rsidR="008E532B">
        <w:rPr>
          <w:rFonts w:ascii="Arial" w:eastAsia="SimSun" w:hAnsi="Arial" w:cs="Arial"/>
          <w:sz w:val="22"/>
          <w:szCs w:val="22"/>
          <w:lang w:val="fr-FR"/>
        </w:rPr>
        <w:t>’</w:t>
      </w:r>
      <w:r w:rsidRPr="00CE449E">
        <w:rPr>
          <w:rFonts w:ascii="Arial" w:eastAsia="SimSun" w:hAnsi="Arial" w:cs="Arial"/>
          <w:sz w:val="22"/>
          <w:szCs w:val="22"/>
          <w:lang w:val="fr-FR"/>
        </w:rPr>
        <w:t>UNESCO et les amis d</w:t>
      </w:r>
      <w:r w:rsidR="008E532B">
        <w:rPr>
          <w:rFonts w:ascii="Arial" w:eastAsia="SimSun" w:hAnsi="Arial" w:cs="Arial"/>
          <w:sz w:val="22"/>
          <w:szCs w:val="22"/>
          <w:lang w:val="fr-FR"/>
        </w:rPr>
        <w:t>’</w:t>
      </w:r>
      <w:r w:rsidRPr="00CE449E">
        <w:rPr>
          <w:rFonts w:ascii="Arial" w:eastAsia="SimSun" w:hAnsi="Arial" w:cs="Arial"/>
          <w:sz w:val="22"/>
          <w:szCs w:val="22"/>
          <w:lang w:val="fr-FR"/>
        </w:rPr>
        <w:t>Haïti pour leur solidarité sans équivoque, ainsi qu</w:t>
      </w:r>
      <w:r w:rsidR="008E532B">
        <w:rPr>
          <w:rFonts w:ascii="Arial" w:eastAsia="SimSun" w:hAnsi="Arial" w:cs="Arial"/>
          <w:sz w:val="22"/>
          <w:szCs w:val="22"/>
          <w:lang w:val="fr-FR"/>
        </w:rPr>
        <w:t>’</w:t>
      </w:r>
      <w:r w:rsidRPr="00CE449E">
        <w:rPr>
          <w:rFonts w:ascii="Arial" w:eastAsia="SimSun" w:hAnsi="Arial" w:cs="Arial"/>
          <w:sz w:val="22"/>
          <w:szCs w:val="22"/>
          <w:lang w:val="fr-FR"/>
        </w:rPr>
        <w:t xml:space="preserve">envers le Secrétariat pour son soutien à cette inscription historique. La soupe </w:t>
      </w:r>
      <w:r>
        <w:rPr>
          <w:rFonts w:ascii="Arial" w:eastAsia="SimSun" w:hAnsi="Arial" w:cs="Arial"/>
          <w:sz w:val="22"/>
          <w:szCs w:val="22"/>
          <w:lang w:val="fr-FR"/>
        </w:rPr>
        <w:t xml:space="preserve">au giraumon </w:t>
      </w:r>
      <w:r w:rsidRPr="00CE449E">
        <w:rPr>
          <w:rFonts w:ascii="Arial" w:eastAsia="SimSun" w:hAnsi="Arial" w:cs="Arial"/>
          <w:sz w:val="22"/>
          <w:szCs w:val="22"/>
          <w:lang w:val="fr-FR"/>
        </w:rPr>
        <w:t>appart</w:t>
      </w:r>
      <w:r>
        <w:rPr>
          <w:rFonts w:ascii="Arial" w:eastAsia="SimSun" w:hAnsi="Arial" w:cs="Arial"/>
          <w:sz w:val="22"/>
          <w:szCs w:val="22"/>
          <w:lang w:val="fr-FR"/>
        </w:rPr>
        <w:t>enait</w:t>
      </w:r>
      <w:r w:rsidRPr="00CE449E">
        <w:rPr>
          <w:rFonts w:ascii="Arial" w:eastAsia="SimSun" w:hAnsi="Arial" w:cs="Arial"/>
          <w:sz w:val="22"/>
          <w:szCs w:val="22"/>
          <w:lang w:val="fr-FR"/>
        </w:rPr>
        <w:t xml:space="preserve"> à tout le pays haïtien, </w:t>
      </w:r>
      <w:r>
        <w:rPr>
          <w:rFonts w:ascii="Arial" w:eastAsia="SimSun" w:hAnsi="Arial" w:cs="Arial"/>
          <w:sz w:val="22"/>
          <w:szCs w:val="22"/>
          <w:lang w:val="fr-FR"/>
        </w:rPr>
        <w:t xml:space="preserve">détenteur et </w:t>
      </w:r>
      <w:r w:rsidRPr="00CE449E">
        <w:rPr>
          <w:rFonts w:ascii="Arial" w:eastAsia="SimSun" w:hAnsi="Arial" w:cs="Arial"/>
          <w:sz w:val="22"/>
          <w:szCs w:val="22"/>
          <w:lang w:val="fr-FR"/>
        </w:rPr>
        <w:t>gardien de ce patrimoine</w:t>
      </w:r>
      <w:r>
        <w:rPr>
          <w:rFonts w:ascii="Arial" w:eastAsia="SimSun" w:hAnsi="Arial" w:cs="Arial"/>
          <w:sz w:val="22"/>
          <w:szCs w:val="22"/>
          <w:lang w:val="fr-FR"/>
        </w:rPr>
        <w:t xml:space="preserve"> </w:t>
      </w:r>
      <w:r w:rsidRPr="00CE449E">
        <w:rPr>
          <w:rFonts w:ascii="Arial" w:eastAsia="SimSun" w:hAnsi="Arial" w:cs="Arial"/>
          <w:sz w:val="22"/>
          <w:szCs w:val="22"/>
          <w:lang w:val="fr-FR"/>
        </w:rPr>
        <w:t xml:space="preserve">tissé dans son ADN. La soupe </w:t>
      </w:r>
      <w:r>
        <w:rPr>
          <w:rFonts w:ascii="Arial" w:eastAsia="SimSun" w:hAnsi="Arial" w:cs="Arial"/>
          <w:sz w:val="22"/>
          <w:szCs w:val="22"/>
          <w:lang w:val="fr-FR"/>
        </w:rPr>
        <w:t>au giraumon était</w:t>
      </w:r>
      <w:r w:rsidRPr="00CE449E">
        <w:rPr>
          <w:rFonts w:ascii="Arial" w:eastAsia="SimSun" w:hAnsi="Arial" w:cs="Arial"/>
          <w:sz w:val="22"/>
          <w:szCs w:val="22"/>
          <w:lang w:val="fr-FR"/>
        </w:rPr>
        <w:t xml:space="preserve"> le symbole ultime de la lutte contre l</w:t>
      </w:r>
      <w:r w:rsidR="008E532B">
        <w:rPr>
          <w:rFonts w:ascii="Arial" w:eastAsia="SimSun" w:hAnsi="Arial" w:cs="Arial"/>
          <w:sz w:val="22"/>
          <w:szCs w:val="22"/>
          <w:lang w:val="fr-FR"/>
        </w:rPr>
        <w:t>’</w:t>
      </w:r>
      <w:r w:rsidRPr="00CE449E">
        <w:rPr>
          <w:rFonts w:ascii="Arial" w:eastAsia="SimSun" w:hAnsi="Arial" w:cs="Arial"/>
          <w:sz w:val="22"/>
          <w:szCs w:val="22"/>
          <w:lang w:val="fr-FR"/>
        </w:rPr>
        <w:t xml:space="preserve">esclavage, le colonialisme et le racisme. Cet héritage </w:t>
      </w:r>
      <w:r>
        <w:rPr>
          <w:rFonts w:ascii="Arial" w:eastAsia="SimSun" w:hAnsi="Arial" w:cs="Arial"/>
          <w:sz w:val="22"/>
          <w:szCs w:val="22"/>
          <w:lang w:val="fr-FR"/>
        </w:rPr>
        <w:t>était</w:t>
      </w:r>
      <w:r w:rsidRPr="00CE449E">
        <w:rPr>
          <w:rFonts w:ascii="Arial" w:eastAsia="SimSun" w:hAnsi="Arial" w:cs="Arial"/>
          <w:sz w:val="22"/>
          <w:szCs w:val="22"/>
          <w:lang w:val="fr-FR"/>
        </w:rPr>
        <w:t xml:space="preserve"> précieux pour tous les peuples anciennement colonisés. Grâce à ce symbole, les Haïtiens d</w:t>
      </w:r>
      <w:r w:rsidR="008E532B">
        <w:rPr>
          <w:rFonts w:ascii="Arial" w:eastAsia="SimSun" w:hAnsi="Arial" w:cs="Arial"/>
          <w:sz w:val="22"/>
          <w:szCs w:val="22"/>
          <w:lang w:val="fr-FR"/>
        </w:rPr>
        <w:t>’</w:t>
      </w:r>
      <w:r w:rsidRPr="00CE449E">
        <w:rPr>
          <w:rFonts w:ascii="Arial" w:eastAsia="SimSun" w:hAnsi="Arial" w:cs="Arial"/>
          <w:sz w:val="22"/>
          <w:szCs w:val="22"/>
          <w:lang w:val="fr-FR"/>
        </w:rPr>
        <w:t>aujourd</w:t>
      </w:r>
      <w:r w:rsidR="008E532B">
        <w:rPr>
          <w:rFonts w:ascii="Arial" w:eastAsia="SimSun" w:hAnsi="Arial" w:cs="Arial"/>
          <w:sz w:val="22"/>
          <w:szCs w:val="22"/>
          <w:lang w:val="fr-FR"/>
        </w:rPr>
        <w:t>’</w:t>
      </w:r>
      <w:r w:rsidRPr="00CE449E">
        <w:rPr>
          <w:rFonts w:ascii="Arial" w:eastAsia="SimSun" w:hAnsi="Arial" w:cs="Arial"/>
          <w:sz w:val="22"/>
          <w:szCs w:val="22"/>
          <w:lang w:val="fr-FR"/>
        </w:rPr>
        <w:t>hui, jeunes et vieux, où qu</w:t>
      </w:r>
      <w:r w:rsidR="008E532B">
        <w:rPr>
          <w:rFonts w:ascii="Arial" w:eastAsia="SimSun" w:hAnsi="Arial" w:cs="Arial"/>
          <w:sz w:val="22"/>
          <w:szCs w:val="22"/>
          <w:lang w:val="fr-FR"/>
        </w:rPr>
        <w:t>’</w:t>
      </w:r>
      <w:r w:rsidRPr="00CE449E">
        <w:rPr>
          <w:rFonts w:ascii="Arial" w:eastAsia="SimSun" w:hAnsi="Arial" w:cs="Arial"/>
          <w:sz w:val="22"/>
          <w:szCs w:val="22"/>
          <w:lang w:val="fr-FR"/>
        </w:rPr>
        <w:t>ils soient, p</w:t>
      </w:r>
      <w:r>
        <w:rPr>
          <w:rFonts w:ascii="Arial" w:eastAsia="SimSun" w:hAnsi="Arial" w:cs="Arial"/>
          <w:sz w:val="22"/>
          <w:szCs w:val="22"/>
          <w:lang w:val="fr-FR"/>
        </w:rPr>
        <w:t xml:space="preserve">ouvaient </w:t>
      </w:r>
      <w:r w:rsidRPr="00CE449E">
        <w:rPr>
          <w:rFonts w:ascii="Arial" w:eastAsia="SimSun" w:hAnsi="Arial" w:cs="Arial"/>
          <w:sz w:val="22"/>
          <w:szCs w:val="22"/>
          <w:lang w:val="fr-FR"/>
        </w:rPr>
        <w:t>savoir que leur contribution à l</w:t>
      </w:r>
      <w:r w:rsidR="008E532B">
        <w:rPr>
          <w:rFonts w:ascii="Arial" w:eastAsia="SimSun" w:hAnsi="Arial" w:cs="Arial"/>
          <w:sz w:val="22"/>
          <w:szCs w:val="22"/>
          <w:lang w:val="fr-FR"/>
        </w:rPr>
        <w:t>’</w:t>
      </w:r>
      <w:r w:rsidRPr="00CE449E">
        <w:rPr>
          <w:rFonts w:ascii="Arial" w:eastAsia="SimSun" w:hAnsi="Arial" w:cs="Arial"/>
          <w:sz w:val="22"/>
          <w:szCs w:val="22"/>
          <w:lang w:val="fr-FR"/>
        </w:rPr>
        <w:t>histoire du monde, leur voix et leur dignité, ne ser</w:t>
      </w:r>
      <w:r>
        <w:rPr>
          <w:rFonts w:ascii="Arial" w:eastAsia="SimSun" w:hAnsi="Arial" w:cs="Arial"/>
          <w:sz w:val="22"/>
          <w:szCs w:val="22"/>
          <w:lang w:val="fr-FR"/>
        </w:rPr>
        <w:t>aie</w:t>
      </w:r>
      <w:r w:rsidRPr="00CE449E">
        <w:rPr>
          <w:rFonts w:ascii="Arial" w:eastAsia="SimSun" w:hAnsi="Arial" w:cs="Arial"/>
          <w:sz w:val="22"/>
          <w:szCs w:val="22"/>
          <w:lang w:val="fr-FR"/>
        </w:rPr>
        <w:t>nt plus jamais invisible</w:t>
      </w:r>
      <w:r>
        <w:rPr>
          <w:rFonts w:ascii="Arial" w:eastAsia="SimSun" w:hAnsi="Arial" w:cs="Arial"/>
          <w:sz w:val="22"/>
          <w:szCs w:val="22"/>
          <w:lang w:val="fr-FR"/>
        </w:rPr>
        <w:t>s</w:t>
      </w:r>
      <w:r w:rsidRPr="00CE449E">
        <w:rPr>
          <w:rFonts w:ascii="Arial" w:eastAsia="SimSun" w:hAnsi="Arial" w:cs="Arial"/>
          <w:sz w:val="22"/>
          <w:szCs w:val="22"/>
          <w:lang w:val="fr-FR"/>
        </w:rPr>
        <w:t xml:space="preserve">. Cette inscription </w:t>
      </w:r>
      <w:r>
        <w:rPr>
          <w:rFonts w:ascii="Arial" w:eastAsia="SimSun" w:hAnsi="Arial" w:cs="Arial"/>
          <w:sz w:val="22"/>
          <w:szCs w:val="22"/>
          <w:lang w:val="fr-FR"/>
        </w:rPr>
        <w:t>était</w:t>
      </w:r>
      <w:r w:rsidRPr="00CE449E">
        <w:rPr>
          <w:rFonts w:ascii="Arial" w:eastAsia="SimSun" w:hAnsi="Arial" w:cs="Arial"/>
          <w:sz w:val="22"/>
          <w:szCs w:val="22"/>
          <w:lang w:val="fr-FR"/>
        </w:rPr>
        <w:t xml:space="preserve"> une lueur d</w:t>
      </w:r>
      <w:r w:rsidR="008E532B">
        <w:rPr>
          <w:rFonts w:ascii="Arial" w:eastAsia="SimSun" w:hAnsi="Arial" w:cs="Arial"/>
          <w:sz w:val="22"/>
          <w:szCs w:val="22"/>
          <w:lang w:val="fr-FR"/>
        </w:rPr>
        <w:t>’</w:t>
      </w:r>
      <w:r w:rsidRPr="00CE449E">
        <w:rPr>
          <w:rFonts w:ascii="Arial" w:eastAsia="SimSun" w:hAnsi="Arial" w:cs="Arial"/>
          <w:sz w:val="22"/>
          <w:szCs w:val="22"/>
          <w:lang w:val="fr-FR"/>
        </w:rPr>
        <w:t xml:space="preserve">espoir en ce moment sombre </w:t>
      </w:r>
      <w:r>
        <w:rPr>
          <w:rFonts w:ascii="Arial" w:eastAsia="SimSun" w:hAnsi="Arial" w:cs="Arial"/>
          <w:sz w:val="22"/>
          <w:szCs w:val="22"/>
          <w:lang w:val="fr-FR"/>
        </w:rPr>
        <w:t>du</w:t>
      </w:r>
      <w:r w:rsidRPr="00CE449E">
        <w:rPr>
          <w:rFonts w:ascii="Arial" w:eastAsia="SimSun" w:hAnsi="Arial" w:cs="Arial"/>
          <w:sz w:val="22"/>
          <w:szCs w:val="22"/>
          <w:lang w:val="fr-FR"/>
        </w:rPr>
        <w:t xml:space="preserve"> parcours </w:t>
      </w:r>
      <w:r>
        <w:rPr>
          <w:rFonts w:ascii="Arial" w:eastAsia="SimSun" w:hAnsi="Arial" w:cs="Arial"/>
          <w:sz w:val="22"/>
          <w:szCs w:val="22"/>
          <w:lang w:val="fr-FR"/>
        </w:rPr>
        <w:t>des Haïtiens en tant que</w:t>
      </w:r>
      <w:r w:rsidRPr="00CE449E">
        <w:rPr>
          <w:rFonts w:ascii="Arial" w:eastAsia="SimSun" w:hAnsi="Arial" w:cs="Arial"/>
          <w:sz w:val="22"/>
          <w:szCs w:val="22"/>
          <w:lang w:val="fr-FR"/>
        </w:rPr>
        <w:t xml:space="preserve"> peuple</w:t>
      </w:r>
      <w:r>
        <w:rPr>
          <w:rFonts w:ascii="Arial" w:eastAsia="SimSun" w:hAnsi="Arial" w:cs="Arial"/>
          <w:sz w:val="22"/>
          <w:szCs w:val="22"/>
          <w:lang w:val="fr-FR"/>
        </w:rPr>
        <w:t>,</w:t>
      </w:r>
      <w:r w:rsidRPr="00CE449E">
        <w:rPr>
          <w:rFonts w:ascii="Arial" w:eastAsia="SimSun" w:hAnsi="Arial" w:cs="Arial"/>
          <w:sz w:val="22"/>
          <w:szCs w:val="22"/>
          <w:lang w:val="fr-FR"/>
        </w:rPr>
        <w:t xml:space="preserve"> en ces temps difficiles ; le seul symbole capable de rallumer un nouveau flambeau, un nouvel esprit de solidarité et de foi en un lendemain meilleur. Haïti a remercié l</w:t>
      </w:r>
      <w:r w:rsidR="008E532B">
        <w:rPr>
          <w:rFonts w:ascii="Arial" w:eastAsia="SimSun" w:hAnsi="Arial" w:cs="Arial"/>
          <w:sz w:val="22"/>
          <w:szCs w:val="22"/>
          <w:lang w:val="fr-FR"/>
        </w:rPr>
        <w:t>’</w:t>
      </w:r>
      <w:r w:rsidRPr="00CE449E">
        <w:rPr>
          <w:rFonts w:ascii="Arial" w:eastAsia="SimSun" w:hAnsi="Arial" w:cs="Arial"/>
          <w:sz w:val="22"/>
          <w:szCs w:val="22"/>
          <w:lang w:val="fr-FR"/>
        </w:rPr>
        <w:t>UNESCO et l</w:t>
      </w:r>
      <w:r w:rsidR="008E532B">
        <w:rPr>
          <w:rFonts w:ascii="Arial" w:eastAsia="SimSun" w:hAnsi="Arial" w:cs="Arial"/>
          <w:sz w:val="22"/>
          <w:szCs w:val="22"/>
          <w:lang w:val="fr-FR"/>
        </w:rPr>
        <w:t>’</w:t>
      </w:r>
      <w:r w:rsidRPr="00CE449E">
        <w:rPr>
          <w:rFonts w:ascii="Arial" w:eastAsia="SimSun" w:hAnsi="Arial" w:cs="Arial"/>
          <w:sz w:val="22"/>
          <w:szCs w:val="22"/>
          <w:lang w:val="fr-FR"/>
        </w:rPr>
        <w:t>Assemblée générale.</w:t>
      </w:r>
    </w:p>
    <w:p w14:paraId="2E3FC791" w14:textId="57EE49B9" w:rsidR="00D9653F" w:rsidRPr="00FD1043"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FD1043">
        <w:rPr>
          <w:rFonts w:ascii="Arial" w:eastAsia="SimSun" w:hAnsi="Arial" w:cs="Arial"/>
          <w:b/>
          <w:bCs/>
          <w:sz w:val="22"/>
          <w:szCs w:val="22"/>
          <w:lang w:val="fr-FR"/>
        </w:rPr>
        <w:t>Présidente</w:t>
      </w:r>
      <w:r>
        <w:rPr>
          <w:rFonts w:ascii="Arial" w:eastAsia="SimSun" w:hAnsi="Arial" w:cs="Arial"/>
          <w:sz w:val="22"/>
          <w:szCs w:val="22"/>
          <w:lang w:val="fr-FR"/>
        </w:rPr>
        <w:t xml:space="preserve"> a félicité Haïti et, en l</w:t>
      </w:r>
      <w:r w:rsidR="008E532B">
        <w:rPr>
          <w:rFonts w:ascii="Arial" w:eastAsia="SimSun" w:hAnsi="Arial" w:cs="Arial"/>
          <w:sz w:val="22"/>
          <w:szCs w:val="22"/>
          <w:lang w:val="fr-FR"/>
        </w:rPr>
        <w:t>’</w:t>
      </w:r>
      <w:r>
        <w:rPr>
          <w:rFonts w:ascii="Arial" w:eastAsia="SimSun" w:hAnsi="Arial" w:cs="Arial"/>
          <w:sz w:val="22"/>
          <w:szCs w:val="22"/>
          <w:lang w:val="fr-FR"/>
        </w:rPr>
        <w:t>absence d</w:t>
      </w:r>
      <w:r w:rsidR="008E532B">
        <w:rPr>
          <w:rFonts w:ascii="Arial" w:eastAsia="SimSun" w:hAnsi="Arial" w:cs="Arial"/>
          <w:sz w:val="22"/>
          <w:szCs w:val="22"/>
          <w:lang w:val="fr-FR"/>
        </w:rPr>
        <w:t>’</w:t>
      </w:r>
      <w:r>
        <w:rPr>
          <w:rFonts w:ascii="Arial" w:eastAsia="SimSun" w:hAnsi="Arial" w:cs="Arial"/>
          <w:sz w:val="22"/>
          <w:szCs w:val="22"/>
          <w:lang w:val="fr-FR"/>
        </w:rPr>
        <w:t xml:space="preserve">autres demandes de prise de parole, est passée au projet de résolution. </w:t>
      </w:r>
      <w:r w:rsidRPr="00FD1043">
        <w:rPr>
          <w:rFonts w:ascii="Arial" w:eastAsia="SimSun" w:hAnsi="Arial" w:cs="Arial"/>
          <w:sz w:val="22"/>
          <w:szCs w:val="22"/>
          <w:lang w:val="fr-FR"/>
        </w:rPr>
        <w:t>En l</w:t>
      </w:r>
      <w:r w:rsidR="008E532B">
        <w:rPr>
          <w:rFonts w:ascii="Arial" w:eastAsia="SimSun" w:hAnsi="Arial" w:cs="Arial"/>
          <w:sz w:val="22"/>
          <w:szCs w:val="22"/>
          <w:lang w:val="fr-FR"/>
        </w:rPr>
        <w:t>’</w:t>
      </w:r>
      <w:r w:rsidRPr="00FD1043">
        <w:rPr>
          <w:rFonts w:ascii="Arial" w:eastAsia="SimSun" w:hAnsi="Arial" w:cs="Arial"/>
          <w:sz w:val="22"/>
          <w:szCs w:val="22"/>
          <w:lang w:val="fr-FR"/>
        </w:rPr>
        <w:t>absence</w:t>
      </w:r>
      <w:r>
        <w:rPr>
          <w:rFonts w:ascii="Arial" w:eastAsia="SimSun" w:hAnsi="Arial" w:cs="Arial"/>
          <w:sz w:val="22"/>
          <w:szCs w:val="22"/>
          <w:lang w:val="fr-FR"/>
        </w:rPr>
        <w:t xml:space="preserve"> de </w:t>
      </w:r>
      <w:r w:rsidRPr="00FD1043">
        <w:rPr>
          <w:rFonts w:ascii="Arial" w:eastAsia="SimSun" w:hAnsi="Arial" w:cs="Arial"/>
          <w:sz w:val="22"/>
          <w:szCs w:val="22"/>
          <w:lang w:val="fr-FR"/>
        </w:rPr>
        <w:t>commentaires</w:t>
      </w:r>
      <w:r>
        <w:rPr>
          <w:rFonts w:ascii="Arial" w:eastAsia="SimSun" w:hAnsi="Arial" w:cs="Arial"/>
          <w:sz w:val="22"/>
          <w:szCs w:val="22"/>
          <w:lang w:val="fr-FR"/>
        </w:rPr>
        <w:t xml:space="preserve"> ou d</w:t>
      </w:r>
      <w:r w:rsidR="008E532B">
        <w:rPr>
          <w:rFonts w:ascii="Arial" w:eastAsia="SimSun" w:hAnsi="Arial" w:cs="Arial"/>
          <w:sz w:val="22"/>
          <w:szCs w:val="22"/>
          <w:lang w:val="fr-FR"/>
        </w:rPr>
        <w:t>’</w:t>
      </w:r>
      <w:r w:rsidRPr="00FD1043">
        <w:rPr>
          <w:rFonts w:ascii="Arial" w:eastAsia="SimSun" w:hAnsi="Arial" w:cs="Arial"/>
          <w:sz w:val="22"/>
          <w:szCs w:val="22"/>
          <w:lang w:val="fr-FR"/>
        </w:rPr>
        <w:t>objections</w:t>
      </w:r>
      <w:r>
        <w:rPr>
          <w:rFonts w:ascii="Arial" w:eastAsia="SimSun" w:hAnsi="Arial" w:cs="Arial"/>
          <w:sz w:val="22"/>
          <w:szCs w:val="22"/>
          <w:lang w:val="fr-FR"/>
        </w:rPr>
        <w:t xml:space="preserve">, la </w:t>
      </w:r>
      <w:r w:rsidRPr="00FD1043">
        <w:rPr>
          <w:rFonts w:ascii="Arial" w:eastAsia="SimSun" w:hAnsi="Arial" w:cs="Arial"/>
          <w:b/>
          <w:bCs/>
          <w:sz w:val="22"/>
          <w:szCs w:val="22"/>
          <w:lang w:val="fr-FR"/>
        </w:rPr>
        <w:t>Présidente a déclaré la résolution 9.GA 5 adoptée</w:t>
      </w:r>
      <w:r>
        <w:rPr>
          <w:rFonts w:ascii="Arial" w:eastAsia="SimSun" w:hAnsi="Arial" w:cs="Arial"/>
          <w:sz w:val="22"/>
          <w:szCs w:val="22"/>
          <w:lang w:val="fr-FR"/>
        </w:rPr>
        <w:t xml:space="preserve">. </w:t>
      </w:r>
    </w:p>
    <w:p w14:paraId="7830966A" w14:textId="6B8F13D9" w:rsidR="00D9653F" w:rsidRPr="00A96116" w:rsidRDefault="00D9653F" w:rsidP="00D76503">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val="fr-FR" w:eastAsia="en-GB"/>
        </w:rPr>
      </w:pPr>
      <w:r w:rsidRPr="00A96116">
        <w:rPr>
          <w:rFonts w:eastAsiaTheme="minorEastAsia" w:cs="Arial"/>
          <w:b/>
          <w:color w:val="000000" w:themeColor="text1"/>
          <w:szCs w:val="22"/>
          <w:u w:val="single"/>
          <w:lang w:val="fr-FR" w:eastAsia="en-GB"/>
        </w:rPr>
        <w:t>POINT 6 DE L</w:t>
      </w:r>
      <w:r w:rsidR="008E532B">
        <w:rPr>
          <w:rFonts w:eastAsiaTheme="minorEastAsia" w:cs="Arial"/>
          <w:b/>
          <w:color w:val="000000" w:themeColor="text1"/>
          <w:szCs w:val="22"/>
          <w:u w:val="single"/>
          <w:lang w:val="fr-FR" w:eastAsia="en-GB"/>
        </w:rPr>
        <w:t>’</w:t>
      </w:r>
      <w:r w:rsidRPr="00A96116">
        <w:rPr>
          <w:rFonts w:eastAsiaTheme="minorEastAsia" w:cs="Arial"/>
          <w:b/>
          <w:color w:val="000000" w:themeColor="text1"/>
          <w:szCs w:val="22"/>
          <w:u w:val="single"/>
          <w:lang w:val="fr-FR" w:eastAsia="en-GB"/>
        </w:rPr>
        <w:t>ORDRE DU JOUR :</w:t>
      </w:r>
    </w:p>
    <w:p w14:paraId="641EC2FC" w14:textId="684023B6" w:rsidR="00D9653F" w:rsidRPr="00A96116" w:rsidRDefault="00D9653F" w:rsidP="00D76503">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val="fr-FR"/>
        </w:rPr>
      </w:pPr>
      <w:r w:rsidRPr="00A96116">
        <w:rPr>
          <w:rFonts w:eastAsiaTheme="minorHAnsi"/>
          <w:b/>
          <w:color w:val="000000" w:themeColor="text1"/>
          <w:lang w:val="fr-FR"/>
        </w:rPr>
        <w:t>RAPPORT DU SECRÉTARIAT SUR SES ACTIVITÉS (</w:t>
      </w:r>
      <w:r w:rsidR="00A73EEF">
        <w:rPr>
          <w:rFonts w:eastAsiaTheme="minorHAnsi"/>
          <w:b/>
          <w:color w:val="000000" w:themeColor="text1"/>
          <w:lang w:val="fr-FR"/>
        </w:rPr>
        <w:t xml:space="preserve">DE </w:t>
      </w:r>
      <w:r w:rsidRPr="00A96116">
        <w:rPr>
          <w:rFonts w:eastAsiaTheme="minorHAnsi"/>
          <w:b/>
          <w:color w:val="000000" w:themeColor="text1"/>
          <w:lang w:val="fr-FR"/>
        </w:rPr>
        <w:t>JANVIER 2020 À DÉCEMBRE 2021)</w:t>
      </w:r>
    </w:p>
    <w:p w14:paraId="0B2B2720" w14:textId="63FA484B" w:rsidR="00D9653F" w:rsidRPr="00EB375C" w:rsidRDefault="00D9653F" w:rsidP="000438FF">
      <w:pPr>
        <w:tabs>
          <w:tab w:val="left" w:pos="567"/>
          <w:tab w:val="left" w:pos="2127"/>
        </w:tabs>
        <w:suppressAutoHyphens/>
        <w:autoSpaceDE w:val="0"/>
        <w:spacing w:after="120"/>
        <w:jc w:val="both"/>
        <w:rPr>
          <w:rFonts w:ascii="Arial" w:hAnsi="Arial" w:cs="Arial"/>
          <w:bCs/>
          <w:i/>
          <w:iCs/>
          <w:sz w:val="22"/>
          <w:szCs w:val="22"/>
          <w:lang w:val="fr-FR"/>
        </w:rPr>
      </w:pPr>
      <w:r w:rsidRPr="00EB375C">
        <w:rPr>
          <w:rFonts w:ascii="Arial" w:hAnsi="Arial" w:cs="Arial"/>
          <w:b/>
          <w:sz w:val="22"/>
          <w:szCs w:val="22"/>
          <w:lang w:val="fr-FR"/>
        </w:rPr>
        <w:tab/>
      </w:r>
      <w:r>
        <w:rPr>
          <w:rFonts w:ascii="Arial" w:hAnsi="Arial" w:cs="Arial"/>
          <w:b/>
          <w:sz w:val="22"/>
          <w:szCs w:val="22"/>
          <w:lang w:val="fr-FR"/>
        </w:rPr>
        <w:t>Document</w:t>
      </w:r>
      <w:r w:rsidR="00A73EEF">
        <w:rPr>
          <w:rFonts w:ascii="Arial" w:hAnsi="Arial" w:cs="Arial"/>
          <w:b/>
          <w:sz w:val="22"/>
          <w:szCs w:val="22"/>
          <w:lang w:val="fr-FR"/>
        </w:rPr>
        <w:t> </w:t>
      </w:r>
      <w:r>
        <w:rPr>
          <w:rFonts w:ascii="Arial" w:hAnsi="Arial" w:cs="Arial"/>
          <w:b/>
          <w:sz w:val="22"/>
          <w:szCs w:val="22"/>
          <w:lang w:val="fr-FR"/>
        </w:rPr>
        <w:t>:</w:t>
      </w:r>
      <w:r w:rsidR="00A73EEF">
        <w:rPr>
          <w:rFonts w:ascii="Arial" w:hAnsi="Arial" w:cs="Arial"/>
          <w:b/>
          <w:sz w:val="22"/>
          <w:szCs w:val="22"/>
          <w:lang w:val="fr-FR"/>
        </w:rPr>
        <w:tab/>
      </w:r>
      <w:hyperlink r:id="rId28" w:history="1">
        <w:r w:rsidRPr="00EB375C">
          <w:rPr>
            <w:rStyle w:val="Hyperlink"/>
            <w:rFonts w:ascii="Arial" w:hAnsi="Arial" w:cs="Arial"/>
            <w:bCs/>
            <w:i/>
            <w:iCs/>
            <w:sz w:val="22"/>
            <w:szCs w:val="22"/>
            <w:lang w:val="fr-FR"/>
          </w:rPr>
          <w:t>LHE/22/9.GA/6</w:t>
        </w:r>
      </w:hyperlink>
    </w:p>
    <w:p w14:paraId="428DDDA5" w14:textId="13B45B90" w:rsidR="00D9653F" w:rsidRPr="00EB375C" w:rsidRDefault="00D9653F" w:rsidP="000438FF">
      <w:pPr>
        <w:tabs>
          <w:tab w:val="left" w:pos="567"/>
          <w:tab w:val="left" w:pos="709"/>
          <w:tab w:val="left" w:pos="2127"/>
        </w:tabs>
        <w:suppressAutoHyphens/>
        <w:autoSpaceDE w:val="0"/>
        <w:spacing w:before="120" w:after="240"/>
        <w:jc w:val="both"/>
        <w:rPr>
          <w:rFonts w:ascii="Arial" w:hAnsi="Arial" w:cs="Arial"/>
          <w:b/>
          <w:sz w:val="22"/>
          <w:szCs w:val="22"/>
          <w:lang w:val="fr-FR"/>
        </w:rPr>
      </w:pPr>
      <w:r w:rsidRPr="00EB375C">
        <w:rPr>
          <w:rFonts w:ascii="Arial" w:hAnsi="Arial" w:cs="Arial"/>
          <w:bCs/>
          <w:i/>
          <w:iCs/>
          <w:sz w:val="22"/>
          <w:szCs w:val="22"/>
          <w:lang w:val="fr-FR"/>
        </w:rPr>
        <w:tab/>
      </w:r>
      <w:r w:rsidRPr="000438FF">
        <w:rPr>
          <w:rFonts w:ascii="Arial" w:eastAsiaTheme="minorEastAsia" w:hAnsi="Arial" w:cs="Arial"/>
          <w:b/>
          <w:snapToGrid w:val="0"/>
          <w:color w:val="000000" w:themeColor="text1"/>
          <w:sz w:val="22"/>
          <w:szCs w:val="22"/>
          <w:lang w:val="fr-FR" w:eastAsia="en-GB"/>
        </w:rPr>
        <w:t>Résolution :</w:t>
      </w:r>
      <w:r w:rsidRPr="00EB375C">
        <w:rPr>
          <w:rFonts w:ascii="Arial" w:hAnsi="Arial" w:cs="Arial"/>
          <w:b/>
          <w:sz w:val="22"/>
          <w:szCs w:val="22"/>
          <w:lang w:val="fr-FR"/>
        </w:rPr>
        <w:t xml:space="preserve"> </w:t>
      </w:r>
      <w:r w:rsidR="00A73EEF">
        <w:rPr>
          <w:rFonts w:ascii="Arial" w:hAnsi="Arial" w:cs="Arial"/>
          <w:b/>
          <w:sz w:val="22"/>
          <w:szCs w:val="22"/>
          <w:lang w:val="fr-FR"/>
        </w:rPr>
        <w:tab/>
      </w:r>
      <w:hyperlink r:id="rId29" w:history="1">
        <w:r w:rsidRPr="00EB375C">
          <w:rPr>
            <w:rStyle w:val="Hyperlink"/>
            <w:rFonts w:ascii="Arial" w:hAnsi="Arial" w:cs="Arial"/>
            <w:bCs/>
            <w:i/>
            <w:iCs/>
            <w:sz w:val="22"/>
            <w:szCs w:val="22"/>
            <w:lang w:val="fr-FR"/>
          </w:rPr>
          <w:t>9.GA 6</w:t>
        </w:r>
      </w:hyperlink>
      <w:r w:rsidRPr="00EB375C">
        <w:rPr>
          <w:rFonts w:ascii="Arial" w:hAnsi="Arial" w:cs="Arial"/>
          <w:b/>
          <w:sz w:val="22"/>
          <w:szCs w:val="22"/>
          <w:lang w:val="fr-FR"/>
        </w:rPr>
        <w:t xml:space="preserve"> </w:t>
      </w:r>
    </w:p>
    <w:p w14:paraId="577CD31D" w14:textId="701E3162" w:rsidR="00D9653F" w:rsidRPr="00AD6A20" w:rsidRDefault="00D9653F" w:rsidP="00D76503">
      <w:pPr>
        <w:numPr>
          <w:ilvl w:val="0"/>
          <w:numId w:val="19"/>
        </w:numPr>
        <w:suppressAutoHyphens/>
        <w:autoSpaceDE w:val="0"/>
        <w:spacing w:before="120"/>
        <w:ind w:left="567" w:hanging="567"/>
        <w:jc w:val="both"/>
        <w:rPr>
          <w:rFonts w:ascii="Arial" w:eastAsia="SimSun" w:hAnsi="Arial" w:cs="Arial"/>
          <w:sz w:val="22"/>
          <w:szCs w:val="22"/>
          <w:lang w:val="fr-FR"/>
        </w:rPr>
      </w:pPr>
      <w:r w:rsidRPr="00AD6A20">
        <w:rPr>
          <w:rFonts w:ascii="Arial" w:eastAsia="SimSun" w:hAnsi="Arial" w:cs="Arial"/>
          <w:sz w:val="22"/>
          <w:szCs w:val="22"/>
          <w:lang w:val="fr-FR"/>
        </w:rPr>
        <w:t xml:space="preserve">Le </w:t>
      </w:r>
      <w:r w:rsidRPr="00AD6A20">
        <w:rPr>
          <w:rFonts w:ascii="Arial" w:eastAsia="SimSun" w:hAnsi="Arial" w:cs="Arial"/>
          <w:b/>
          <w:bCs/>
          <w:sz w:val="22"/>
          <w:szCs w:val="22"/>
          <w:lang w:val="fr-FR"/>
        </w:rPr>
        <w:t>Sous-Directeur général</w:t>
      </w:r>
      <w:r w:rsidRPr="00AD6A20">
        <w:rPr>
          <w:rFonts w:ascii="Arial" w:eastAsia="SimSun" w:hAnsi="Arial" w:cs="Arial"/>
          <w:sz w:val="22"/>
          <w:szCs w:val="22"/>
          <w:lang w:val="fr-FR"/>
        </w:rPr>
        <w:t xml:space="preserve"> a présenté les activités du Secrétariat pendant la période allant de janvier</w:t>
      </w:r>
      <w:r>
        <w:rPr>
          <w:rFonts w:ascii="Arial" w:eastAsia="SimSun" w:hAnsi="Arial" w:cs="Arial"/>
          <w:sz w:val="22"/>
          <w:szCs w:val="22"/>
          <w:lang w:val="fr-FR"/>
        </w:rPr>
        <w:t> </w:t>
      </w:r>
      <w:r w:rsidRPr="00AD6A20">
        <w:rPr>
          <w:rFonts w:ascii="Arial" w:eastAsia="SimSun" w:hAnsi="Arial" w:cs="Arial"/>
          <w:sz w:val="22"/>
          <w:szCs w:val="22"/>
          <w:lang w:val="fr-FR"/>
        </w:rPr>
        <w:t>2020 à décembre</w:t>
      </w:r>
      <w:r>
        <w:rPr>
          <w:rFonts w:ascii="Arial" w:eastAsia="SimSun" w:hAnsi="Arial" w:cs="Arial"/>
          <w:sz w:val="22"/>
          <w:szCs w:val="22"/>
          <w:lang w:val="fr-FR"/>
        </w:rPr>
        <w:t> </w:t>
      </w:r>
      <w:r w:rsidRPr="00AD6A20">
        <w:rPr>
          <w:rFonts w:ascii="Arial" w:eastAsia="SimSun" w:hAnsi="Arial" w:cs="Arial"/>
          <w:sz w:val="22"/>
          <w:szCs w:val="22"/>
          <w:lang w:val="fr-FR"/>
        </w:rPr>
        <w:t xml:space="preserve">2021. Comme </w:t>
      </w:r>
      <w:r>
        <w:rPr>
          <w:rFonts w:ascii="Arial" w:eastAsia="SimSun" w:hAnsi="Arial" w:cs="Arial"/>
          <w:sz w:val="22"/>
          <w:szCs w:val="22"/>
          <w:lang w:val="fr-FR"/>
        </w:rPr>
        <w:t xml:space="preserve">en témoignait </w:t>
      </w:r>
      <w:r w:rsidRPr="00AD6A20">
        <w:rPr>
          <w:rFonts w:ascii="Arial" w:eastAsia="SimSun" w:hAnsi="Arial" w:cs="Arial"/>
          <w:sz w:val="22"/>
          <w:szCs w:val="22"/>
          <w:lang w:val="fr-FR"/>
        </w:rPr>
        <w:t>le document de travail, le Secrétariat a</w:t>
      </w:r>
      <w:r>
        <w:rPr>
          <w:rFonts w:ascii="Arial" w:eastAsia="SimSun" w:hAnsi="Arial" w:cs="Arial"/>
          <w:sz w:val="22"/>
          <w:szCs w:val="22"/>
          <w:lang w:val="fr-FR"/>
        </w:rPr>
        <w:t>vait</w:t>
      </w:r>
      <w:r w:rsidRPr="00AD6A20">
        <w:rPr>
          <w:rFonts w:ascii="Arial" w:eastAsia="SimSun" w:hAnsi="Arial" w:cs="Arial"/>
          <w:sz w:val="22"/>
          <w:szCs w:val="22"/>
          <w:lang w:val="fr-FR"/>
        </w:rPr>
        <w:t xml:space="preserve"> </w:t>
      </w:r>
      <w:r>
        <w:rPr>
          <w:rFonts w:ascii="Arial" w:eastAsia="SimSun" w:hAnsi="Arial" w:cs="Arial"/>
          <w:sz w:val="22"/>
          <w:szCs w:val="22"/>
          <w:lang w:val="fr-FR"/>
        </w:rPr>
        <w:t>réalisé</w:t>
      </w:r>
      <w:r w:rsidRPr="00AD6A20">
        <w:rPr>
          <w:rFonts w:ascii="Arial" w:eastAsia="SimSun" w:hAnsi="Arial" w:cs="Arial"/>
          <w:sz w:val="22"/>
          <w:szCs w:val="22"/>
          <w:lang w:val="fr-FR"/>
        </w:rPr>
        <w:t xml:space="preserve"> des progrès dans de nombreux domaines importants pour la vie de la Convention, malgré certains défis posés par la pandémie </w:t>
      </w:r>
      <w:r>
        <w:rPr>
          <w:rFonts w:ascii="Arial" w:eastAsia="SimSun" w:hAnsi="Arial" w:cs="Arial"/>
          <w:sz w:val="22"/>
          <w:szCs w:val="22"/>
          <w:lang w:val="fr-FR"/>
        </w:rPr>
        <w:t xml:space="preserve">de </w:t>
      </w:r>
      <w:r w:rsidRPr="00AD6A20">
        <w:rPr>
          <w:rFonts w:ascii="Arial" w:eastAsia="SimSun" w:hAnsi="Arial" w:cs="Arial"/>
          <w:sz w:val="22"/>
          <w:szCs w:val="22"/>
          <w:lang w:val="fr-FR"/>
        </w:rPr>
        <w:t>COVID</w:t>
      </w:r>
      <w:r>
        <w:rPr>
          <w:rFonts w:ascii="Arial" w:eastAsia="SimSun" w:hAnsi="Arial" w:cs="Arial"/>
          <w:sz w:val="22"/>
          <w:szCs w:val="22"/>
          <w:lang w:val="fr-FR"/>
        </w:rPr>
        <w:noBreakHyphen/>
      </w:r>
      <w:r w:rsidRPr="00AD6A20">
        <w:rPr>
          <w:rFonts w:ascii="Arial" w:eastAsia="SimSun" w:hAnsi="Arial" w:cs="Arial"/>
          <w:sz w:val="22"/>
          <w:szCs w:val="22"/>
          <w:lang w:val="fr-FR"/>
        </w:rPr>
        <w:t xml:space="preserve">19, comme indiqué en détail dans le document de travail. En se concentrant sur les points clés, M. </w:t>
      </w:r>
      <w:proofErr w:type="spellStart"/>
      <w:r w:rsidRPr="00AD6A20">
        <w:rPr>
          <w:rFonts w:ascii="Arial" w:eastAsia="SimSun" w:hAnsi="Arial" w:cs="Arial"/>
          <w:sz w:val="22"/>
          <w:szCs w:val="22"/>
          <w:lang w:val="fr-FR"/>
        </w:rPr>
        <w:t>Ottone</w:t>
      </w:r>
      <w:proofErr w:type="spellEnd"/>
      <w:r w:rsidRPr="00AD6A20">
        <w:rPr>
          <w:rFonts w:ascii="Arial" w:eastAsia="SimSun" w:hAnsi="Arial" w:cs="Arial"/>
          <w:sz w:val="22"/>
          <w:szCs w:val="22"/>
          <w:lang w:val="fr-FR"/>
        </w:rPr>
        <w:t xml:space="preserve"> a commencé </w:t>
      </w:r>
      <w:r>
        <w:rPr>
          <w:rFonts w:ascii="Arial" w:eastAsia="SimSun" w:hAnsi="Arial" w:cs="Arial"/>
          <w:sz w:val="22"/>
          <w:szCs w:val="22"/>
          <w:lang w:val="fr-FR"/>
        </w:rPr>
        <w:t xml:space="preserve">son </w:t>
      </w:r>
      <w:r w:rsidRPr="00E7293E">
        <w:rPr>
          <w:rFonts w:ascii="Arial" w:eastAsia="SimSun" w:hAnsi="Arial" w:cs="Arial"/>
          <w:sz w:val="22"/>
          <w:szCs w:val="22"/>
          <w:lang w:val="fr-FR"/>
        </w:rPr>
        <w:t>intervention</w:t>
      </w:r>
      <w:r>
        <w:rPr>
          <w:rFonts w:ascii="Arial" w:eastAsia="SimSun" w:hAnsi="Arial" w:cs="Arial"/>
          <w:sz w:val="22"/>
          <w:szCs w:val="22"/>
          <w:lang w:val="fr-FR"/>
        </w:rPr>
        <w:t xml:space="preserve"> </w:t>
      </w:r>
      <w:r w:rsidRPr="00AD6A20">
        <w:rPr>
          <w:rFonts w:ascii="Arial" w:eastAsia="SimSun" w:hAnsi="Arial" w:cs="Arial"/>
          <w:sz w:val="22"/>
          <w:szCs w:val="22"/>
          <w:lang w:val="fr-FR"/>
        </w:rPr>
        <w:t>par la réponse du Secrétariat à la COVID</w:t>
      </w:r>
      <w:r>
        <w:rPr>
          <w:rFonts w:ascii="Arial" w:eastAsia="SimSun" w:hAnsi="Arial" w:cs="Arial"/>
          <w:sz w:val="22"/>
          <w:szCs w:val="22"/>
          <w:lang w:val="fr-FR"/>
        </w:rPr>
        <w:noBreakHyphen/>
      </w:r>
      <w:r w:rsidRPr="00AD6A20">
        <w:rPr>
          <w:rFonts w:ascii="Arial" w:eastAsia="SimSun" w:hAnsi="Arial" w:cs="Arial"/>
          <w:sz w:val="22"/>
          <w:szCs w:val="22"/>
          <w:lang w:val="fr-FR"/>
        </w:rPr>
        <w:t>19, qui a</w:t>
      </w:r>
      <w:r>
        <w:rPr>
          <w:rFonts w:ascii="Arial" w:eastAsia="SimSun" w:hAnsi="Arial" w:cs="Arial"/>
          <w:sz w:val="22"/>
          <w:szCs w:val="22"/>
          <w:lang w:val="fr-FR"/>
        </w:rPr>
        <w:t>vait</w:t>
      </w:r>
      <w:r w:rsidRPr="00AD6A20">
        <w:rPr>
          <w:rFonts w:ascii="Arial" w:eastAsia="SimSun" w:hAnsi="Arial" w:cs="Arial"/>
          <w:sz w:val="22"/>
          <w:szCs w:val="22"/>
          <w:lang w:val="fr-FR"/>
        </w:rPr>
        <w:t xml:space="preserve"> façonné une grande partie de son travail au cours de la période de référence. Il a été heureux d</w:t>
      </w:r>
      <w:r w:rsidR="008E532B">
        <w:rPr>
          <w:rFonts w:ascii="Arial" w:eastAsia="SimSun" w:hAnsi="Arial" w:cs="Arial"/>
          <w:sz w:val="22"/>
          <w:szCs w:val="22"/>
          <w:lang w:val="fr-FR"/>
        </w:rPr>
        <w:t>’</w:t>
      </w:r>
      <w:r w:rsidRPr="00AD6A20">
        <w:rPr>
          <w:rFonts w:ascii="Arial" w:eastAsia="SimSun" w:hAnsi="Arial" w:cs="Arial"/>
          <w:sz w:val="22"/>
          <w:szCs w:val="22"/>
          <w:lang w:val="fr-FR"/>
        </w:rPr>
        <w:t>annoncer que la Convention a</w:t>
      </w:r>
      <w:r>
        <w:rPr>
          <w:rFonts w:ascii="Arial" w:eastAsia="SimSun" w:hAnsi="Arial" w:cs="Arial"/>
          <w:sz w:val="22"/>
          <w:szCs w:val="22"/>
          <w:lang w:val="fr-FR"/>
        </w:rPr>
        <w:t>vait</w:t>
      </w:r>
      <w:r w:rsidRPr="00AD6A20">
        <w:rPr>
          <w:rFonts w:ascii="Arial" w:eastAsia="SimSun" w:hAnsi="Arial" w:cs="Arial"/>
          <w:sz w:val="22"/>
          <w:szCs w:val="22"/>
          <w:lang w:val="fr-FR"/>
        </w:rPr>
        <w:t xml:space="preserve"> été largement en mesure de poursuivre s</w:t>
      </w:r>
      <w:r>
        <w:rPr>
          <w:rFonts w:ascii="Arial" w:eastAsia="SimSun" w:hAnsi="Arial" w:cs="Arial"/>
          <w:sz w:val="22"/>
          <w:szCs w:val="22"/>
          <w:lang w:val="fr-FR"/>
        </w:rPr>
        <w:t>es activités statutaires</w:t>
      </w:r>
      <w:r w:rsidRPr="00AD6A20">
        <w:rPr>
          <w:rFonts w:ascii="Arial" w:eastAsia="SimSun" w:hAnsi="Arial" w:cs="Arial"/>
          <w:sz w:val="22"/>
          <w:szCs w:val="22"/>
          <w:lang w:val="fr-FR"/>
        </w:rPr>
        <w:t xml:space="preserve"> sans interruption pendant cette période. Cela </w:t>
      </w:r>
      <w:r>
        <w:rPr>
          <w:rFonts w:ascii="Arial" w:eastAsia="SimSun" w:hAnsi="Arial" w:cs="Arial"/>
          <w:sz w:val="22"/>
          <w:szCs w:val="22"/>
          <w:lang w:val="fr-FR"/>
        </w:rPr>
        <w:t>dé</w:t>
      </w:r>
      <w:r w:rsidRPr="00AD6A20">
        <w:rPr>
          <w:rFonts w:ascii="Arial" w:eastAsia="SimSun" w:hAnsi="Arial" w:cs="Arial"/>
          <w:sz w:val="22"/>
          <w:szCs w:val="22"/>
          <w:lang w:val="fr-FR"/>
        </w:rPr>
        <w:t>montr</w:t>
      </w:r>
      <w:r>
        <w:rPr>
          <w:rFonts w:ascii="Arial" w:eastAsia="SimSun" w:hAnsi="Arial" w:cs="Arial"/>
          <w:sz w:val="22"/>
          <w:szCs w:val="22"/>
          <w:lang w:val="fr-FR"/>
        </w:rPr>
        <w:t>ait</w:t>
      </w:r>
      <w:r w:rsidRPr="00AD6A20">
        <w:rPr>
          <w:rFonts w:ascii="Arial" w:eastAsia="SimSun" w:hAnsi="Arial" w:cs="Arial"/>
          <w:sz w:val="22"/>
          <w:szCs w:val="22"/>
          <w:lang w:val="fr-FR"/>
        </w:rPr>
        <w:t xml:space="preserve"> la capacité des mécanismes de la Convention à résister au changement et </w:t>
      </w:r>
      <w:r>
        <w:rPr>
          <w:rFonts w:ascii="Arial" w:eastAsia="SimSun" w:hAnsi="Arial" w:cs="Arial"/>
          <w:sz w:val="22"/>
          <w:szCs w:val="22"/>
          <w:lang w:val="fr-FR"/>
        </w:rPr>
        <w:t>leur</w:t>
      </w:r>
      <w:r w:rsidRPr="00AD6A20">
        <w:rPr>
          <w:rFonts w:ascii="Arial" w:eastAsia="SimSun" w:hAnsi="Arial" w:cs="Arial"/>
          <w:sz w:val="22"/>
          <w:szCs w:val="22"/>
          <w:lang w:val="fr-FR"/>
        </w:rPr>
        <w:t xml:space="preserve"> capacité à s</w:t>
      </w:r>
      <w:r w:rsidR="008E532B">
        <w:rPr>
          <w:rFonts w:ascii="Arial" w:eastAsia="SimSun" w:hAnsi="Arial" w:cs="Arial"/>
          <w:sz w:val="22"/>
          <w:szCs w:val="22"/>
          <w:lang w:val="fr-FR"/>
        </w:rPr>
        <w:t>’</w:t>
      </w:r>
      <w:r w:rsidRPr="00AD6A20">
        <w:rPr>
          <w:rFonts w:ascii="Arial" w:eastAsia="SimSun" w:hAnsi="Arial" w:cs="Arial"/>
          <w:sz w:val="22"/>
          <w:szCs w:val="22"/>
          <w:lang w:val="fr-FR"/>
        </w:rPr>
        <w:t xml:space="preserve">adapter à des modalités de travail plus flexibles. </w:t>
      </w:r>
      <w:r>
        <w:rPr>
          <w:rFonts w:ascii="Arial" w:eastAsia="SimSun" w:hAnsi="Arial" w:cs="Arial"/>
          <w:sz w:val="22"/>
          <w:szCs w:val="22"/>
          <w:lang w:val="fr-FR"/>
        </w:rPr>
        <w:t>En 2021, l</w:t>
      </w:r>
      <w:r w:rsidRPr="00AD6A20">
        <w:rPr>
          <w:rFonts w:ascii="Arial" w:eastAsia="SimSun" w:hAnsi="Arial" w:cs="Arial"/>
          <w:sz w:val="22"/>
          <w:szCs w:val="22"/>
          <w:lang w:val="fr-FR"/>
        </w:rPr>
        <w:t xml:space="preserve">e Secrétariat avait entrepris une enquête et publié un rapport, </w:t>
      </w:r>
      <w:r w:rsidRPr="006D082C">
        <w:rPr>
          <w:rFonts w:ascii="Arial" w:eastAsia="SimSun" w:hAnsi="Arial" w:cs="Arial"/>
          <w:i/>
          <w:iCs/>
          <w:sz w:val="22"/>
          <w:szCs w:val="22"/>
          <w:lang w:val="fr-FR"/>
        </w:rPr>
        <w:t>Le patrimoine vivant face à la COVID-19</w:t>
      </w:r>
      <w:r w:rsidRPr="00AD6A20">
        <w:rPr>
          <w:rFonts w:ascii="Arial" w:eastAsia="SimSun" w:hAnsi="Arial" w:cs="Arial"/>
          <w:sz w:val="22"/>
          <w:szCs w:val="22"/>
          <w:lang w:val="fr-FR"/>
        </w:rPr>
        <w:t>. Sur la base des recommandations de ce rapport, l</w:t>
      </w:r>
      <w:r w:rsidR="008E532B">
        <w:rPr>
          <w:rFonts w:ascii="Arial" w:eastAsia="SimSun" w:hAnsi="Arial" w:cs="Arial"/>
          <w:sz w:val="22"/>
          <w:szCs w:val="22"/>
          <w:lang w:val="fr-FR"/>
        </w:rPr>
        <w:t>’</w:t>
      </w:r>
      <w:r w:rsidRPr="00AD6A20">
        <w:rPr>
          <w:rFonts w:ascii="Arial" w:eastAsia="SimSun" w:hAnsi="Arial" w:cs="Arial"/>
          <w:sz w:val="22"/>
          <w:szCs w:val="22"/>
          <w:lang w:val="fr-FR"/>
        </w:rPr>
        <w:t>UNESCO a</w:t>
      </w:r>
      <w:r>
        <w:rPr>
          <w:rFonts w:ascii="Arial" w:eastAsia="SimSun" w:hAnsi="Arial" w:cs="Arial"/>
          <w:sz w:val="22"/>
          <w:szCs w:val="22"/>
          <w:lang w:val="fr-FR"/>
        </w:rPr>
        <w:t>vait</w:t>
      </w:r>
      <w:r w:rsidRPr="00AD6A20">
        <w:rPr>
          <w:rFonts w:ascii="Arial" w:eastAsia="SimSun" w:hAnsi="Arial" w:cs="Arial"/>
          <w:sz w:val="22"/>
          <w:szCs w:val="22"/>
          <w:lang w:val="fr-FR"/>
        </w:rPr>
        <w:t xml:space="preserve"> proposé des activités de suivi dans huit pays, démontrant le rôle du patrimoine vivant pour </w:t>
      </w:r>
      <w:r>
        <w:rPr>
          <w:rFonts w:ascii="Arial" w:eastAsia="SimSun" w:hAnsi="Arial" w:cs="Arial"/>
          <w:sz w:val="22"/>
          <w:szCs w:val="22"/>
          <w:lang w:val="fr-FR"/>
        </w:rPr>
        <w:t>« </w:t>
      </w:r>
      <w:r w:rsidRPr="00AD6A20">
        <w:rPr>
          <w:rFonts w:ascii="Arial" w:eastAsia="SimSun" w:hAnsi="Arial" w:cs="Arial"/>
          <w:sz w:val="22"/>
          <w:szCs w:val="22"/>
          <w:lang w:val="fr-FR"/>
        </w:rPr>
        <w:t>reconstruire en mieux</w:t>
      </w:r>
      <w:r>
        <w:rPr>
          <w:rFonts w:ascii="Arial" w:eastAsia="SimSun" w:hAnsi="Arial" w:cs="Arial"/>
          <w:sz w:val="22"/>
          <w:szCs w:val="22"/>
          <w:lang w:val="fr-FR"/>
        </w:rPr>
        <w:t> »</w:t>
      </w:r>
      <w:r>
        <w:rPr>
          <w:rStyle w:val="FootnoteReference"/>
          <w:rFonts w:ascii="Arial" w:eastAsia="SimSun" w:hAnsi="Arial" w:cs="Arial"/>
          <w:sz w:val="22"/>
          <w:szCs w:val="22"/>
          <w:lang w:val="fr-FR"/>
        </w:rPr>
        <w:footnoteReference w:id="12"/>
      </w:r>
      <w:r w:rsidRPr="00AD6A20">
        <w:rPr>
          <w:rFonts w:ascii="Arial" w:eastAsia="SimSun" w:hAnsi="Arial" w:cs="Arial"/>
          <w:sz w:val="22"/>
          <w:szCs w:val="22"/>
          <w:lang w:val="fr-FR"/>
        </w:rPr>
        <w:t xml:space="preserve">. Des résultats prometteurs </w:t>
      </w:r>
      <w:r>
        <w:rPr>
          <w:rFonts w:ascii="Arial" w:eastAsia="SimSun" w:hAnsi="Arial" w:cs="Arial"/>
          <w:sz w:val="22"/>
          <w:szCs w:val="22"/>
          <w:lang w:val="fr-FR"/>
        </w:rPr>
        <w:t>avaient</w:t>
      </w:r>
      <w:r w:rsidRPr="00AD6A20">
        <w:rPr>
          <w:rFonts w:ascii="Arial" w:eastAsia="SimSun" w:hAnsi="Arial" w:cs="Arial"/>
          <w:sz w:val="22"/>
          <w:szCs w:val="22"/>
          <w:lang w:val="fr-FR"/>
        </w:rPr>
        <w:t xml:space="preserve"> été obtenus </w:t>
      </w:r>
      <w:r w:rsidRPr="00625369">
        <w:rPr>
          <w:rFonts w:ascii="Arial" w:eastAsia="SimSun" w:hAnsi="Arial" w:cs="Arial"/>
          <w:sz w:val="22"/>
          <w:szCs w:val="22"/>
          <w:lang w:val="fr-FR"/>
        </w:rPr>
        <w:t>en ce qui concerne</w:t>
      </w:r>
      <w:r>
        <w:rPr>
          <w:rFonts w:ascii="Arial" w:eastAsia="SimSun" w:hAnsi="Arial" w:cs="Arial"/>
          <w:sz w:val="22"/>
          <w:szCs w:val="22"/>
          <w:lang w:val="fr-FR"/>
        </w:rPr>
        <w:t xml:space="preserve"> le</w:t>
      </w:r>
      <w:r w:rsidRPr="00AD6A20">
        <w:rPr>
          <w:rFonts w:ascii="Arial" w:eastAsia="SimSun" w:hAnsi="Arial" w:cs="Arial"/>
          <w:sz w:val="22"/>
          <w:szCs w:val="22"/>
          <w:lang w:val="fr-FR"/>
        </w:rPr>
        <w:t xml:space="preserve"> mécanisme d</w:t>
      </w:r>
      <w:r w:rsidR="008E532B">
        <w:rPr>
          <w:rFonts w:ascii="Arial" w:eastAsia="SimSun" w:hAnsi="Arial" w:cs="Arial"/>
          <w:sz w:val="22"/>
          <w:szCs w:val="22"/>
          <w:lang w:val="fr-FR"/>
        </w:rPr>
        <w:t>’</w:t>
      </w:r>
      <w:r w:rsidRPr="00AD6A20">
        <w:rPr>
          <w:rFonts w:ascii="Arial" w:eastAsia="SimSun" w:hAnsi="Arial" w:cs="Arial"/>
          <w:sz w:val="22"/>
          <w:szCs w:val="22"/>
          <w:lang w:val="fr-FR"/>
        </w:rPr>
        <w:t>assistance internationale de la Convention au cours de la période concernée. Les dépenses liées à l</w:t>
      </w:r>
      <w:r w:rsidR="008E532B">
        <w:rPr>
          <w:rFonts w:ascii="Arial" w:eastAsia="SimSun" w:hAnsi="Arial" w:cs="Arial"/>
          <w:sz w:val="22"/>
          <w:szCs w:val="22"/>
          <w:lang w:val="fr-FR"/>
        </w:rPr>
        <w:t>’</w:t>
      </w:r>
      <w:r w:rsidRPr="00AD6A20">
        <w:rPr>
          <w:rFonts w:ascii="Arial" w:eastAsia="SimSun" w:hAnsi="Arial" w:cs="Arial"/>
          <w:sz w:val="22"/>
          <w:szCs w:val="22"/>
          <w:lang w:val="fr-FR"/>
        </w:rPr>
        <w:t xml:space="preserve">assistance internationale </w:t>
      </w:r>
      <w:r>
        <w:rPr>
          <w:rFonts w:ascii="Arial" w:eastAsia="SimSun" w:hAnsi="Arial" w:cs="Arial"/>
          <w:sz w:val="22"/>
          <w:szCs w:val="22"/>
          <w:lang w:val="fr-FR"/>
        </w:rPr>
        <w:t>avaient</w:t>
      </w:r>
      <w:r w:rsidRPr="00AD6A20">
        <w:rPr>
          <w:rFonts w:ascii="Arial" w:eastAsia="SimSun" w:hAnsi="Arial" w:cs="Arial"/>
          <w:sz w:val="22"/>
          <w:szCs w:val="22"/>
          <w:lang w:val="fr-FR"/>
        </w:rPr>
        <w:t xml:space="preserve"> atteint 2,2</w:t>
      </w:r>
      <w:r>
        <w:rPr>
          <w:rFonts w:ascii="Arial" w:eastAsia="SimSun" w:hAnsi="Arial" w:cs="Arial"/>
          <w:sz w:val="22"/>
          <w:szCs w:val="22"/>
          <w:lang w:val="fr-FR"/>
        </w:rPr>
        <w:t> </w:t>
      </w:r>
      <w:r w:rsidRPr="00AD6A20">
        <w:rPr>
          <w:rFonts w:ascii="Arial" w:eastAsia="SimSun" w:hAnsi="Arial" w:cs="Arial"/>
          <w:sz w:val="22"/>
          <w:szCs w:val="22"/>
          <w:lang w:val="fr-FR"/>
        </w:rPr>
        <w:t xml:space="preserve">millions de </w:t>
      </w:r>
      <w:r w:rsidRPr="00625369">
        <w:rPr>
          <w:rFonts w:ascii="Arial" w:eastAsia="SimSun" w:hAnsi="Arial" w:cs="Arial"/>
          <w:sz w:val="22"/>
          <w:szCs w:val="22"/>
          <w:lang w:val="fr-FR"/>
        </w:rPr>
        <w:t>dollars</w:t>
      </w:r>
      <w:r>
        <w:rPr>
          <w:rFonts w:ascii="Arial" w:eastAsia="SimSun" w:hAnsi="Arial" w:cs="Arial"/>
          <w:sz w:val="22"/>
          <w:szCs w:val="22"/>
          <w:lang w:val="fr-FR"/>
        </w:rPr>
        <w:t> </w:t>
      </w:r>
      <w:r w:rsidRPr="00625369">
        <w:rPr>
          <w:rFonts w:ascii="Arial" w:eastAsia="SimSun" w:hAnsi="Arial" w:cs="Arial"/>
          <w:sz w:val="22"/>
          <w:szCs w:val="22"/>
          <w:lang w:val="fr-FR"/>
        </w:rPr>
        <w:t>des</w:t>
      </w:r>
      <w:r>
        <w:rPr>
          <w:rFonts w:ascii="Arial" w:eastAsia="SimSun" w:hAnsi="Arial" w:cs="Arial"/>
          <w:sz w:val="22"/>
          <w:szCs w:val="22"/>
          <w:lang w:val="fr-FR"/>
        </w:rPr>
        <w:t> </w:t>
      </w:r>
      <w:r w:rsidRPr="00625369">
        <w:rPr>
          <w:rFonts w:ascii="Arial" w:eastAsia="SimSun" w:hAnsi="Arial" w:cs="Arial"/>
          <w:sz w:val="22"/>
          <w:szCs w:val="22"/>
          <w:lang w:val="fr-FR"/>
        </w:rPr>
        <w:t>États-Unis</w:t>
      </w:r>
      <w:r w:rsidRPr="00AD6A20">
        <w:rPr>
          <w:rFonts w:ascii="Arial" w:eastAsia="SimSun" w:hAnsi="Arial" w:cs="Arial"/>
          <w:sz w:val="22"/>
          <w:szCs w:val="22"/>
          <w:lang w:val="fr-FR"/>
        </w:rPr>
        <w:t>, avec une attention particulière accordée à l</w:t>
      </w:r>
      <w:r w:rsidR="008E532B">
        <w:rPr>
          <w:rFonts w:ascii="Arial" w:eastAsia="SimSun" w:hAnsi="Arial" w:cs="Arial"/>
          <w:sz w:val="22"/>
          <w:szCs w:val="22"/>
          <w:lang w:val="fr-FR"/>
        </w:rPr>
        <w:t>’</w:t>
      </w:r>
      <w:r w:rsidRPr="00AD6A20">
        <w:rPr>
          <w:rFonts w:ascii="Arial" w:eastAsia="SimSun" w:hAnsi="Arial" w:cs="Arial"/>
          <w:sz w:val="22"/>
          <w:szCs w:val="22"/>
          <w:lang w:val="fr-FR"/>
        </w:rPr>
        <w:t xml:space="preserve">Afrique et aux PEID. Neuf États parties </w:t>
      </w:r>
      <w:r>
        <w:rPr>
          <w:rFonts w:ascii="Arial" w:eastAsia="SimSun" w:hAnsi="Arial" w:cs="Arial"/>
          <w:sz w:val="22"/>
          <w:szCs w:val="22"/>
          <w:lang w:val="fr-FR"/>
        </w:rPr>
        <w:t>avaient</w:t>
      </w:r>
      <w:r w:rsidRPr="00AD6A20">
        <w:rPr>
          <w:rFonts w:ascii="Arial" w:eastAsia="SimSun" w:hAnsi="Arial" w:cs="Arial"/>
          <w:sz w:val="22"/>
          <w:szCs w:val="22"/>
          <w:lang w:val="fr-FR"/>
        </w:rPr>
        <w:t xml:space="preserve"> bénéficié d</w:t>
      </w:r>
      <w:r w:rsidR="008E532B">
        <w:rPr>
          <w:rFonts w:ascii="Arial" w:eastAsia="SimSun" w:hAnsi="Arial" w:cs="Arial"/>
          <w:sz w:val="22"/>
          <w:szCs w:val="22"/>
          <w:lang w:val="fr-FR"/>
        </w:rPr>
        <w:t>’</w:t>
      </w:r>
      <w:r w:rsidRPr="00AD6A20">
        <w:rPr>
          <w:rFonts w:ascii="Arial" w:eastAsia="SimSun" w:hAnsi="Arial" w:cs="Arial"/>
          <w:sz w:val="22"/>
          <w:szCs w:val="22"/>
          <w:lang w:val="fr-FR"/>
        </w:rPr>
        <w:t>une assistance pour la toute première fois, ce qui indiqu</w:t>
      </w:r>
      <w:r>
        <w:rPr>
          <w:rFonts w:ascii="Arial" w:eastAsia="SimSun" w:hAnsi="Arial" w:cs="Arial"/>
          <w:sz w:val="22"/>
          <w:szCs w:val="22"/>
          <w:lang w:val="fr-FR"/>
        </w:rPr>
        <w:t>ait</w:t>
      </w:r>
      <w:r w:rsidRPr="00AD6A20">
        <w:rPr>
          <w:rFonts w:ascii="Arial" w:eastAsia="SimSun" w:hAnsi="Arial" w:cs="Arial"/>
          <w:sz w:val="22"/>
          <w:szCs w:val="22"/>
          <w:lang w:val="fr-FR"/>
        </w:rPr>
        <w:t xml:space="preserve"> une expansion constante de la portée géographique de ce mécanisme, puisque ces États représent</w:t>
      </w:r>
      <w:r>
        <w:rPr>
          <w:rFonts w:ascii="Arial" w:eastAsia="SimSun" w:hAnsi="Arial" w:cs="Arial"/>
          <w:sz w:val="22"/>
          <w:szCs w:val="22"/>
          <w:lang w:val="fr-FR"/>
        </w:rPr>
        <w:t>ai</w:t>
      </w:r>
      <w:r w:rsidRPr="00AD6A20">
        <w:rPr>
          <w:rFonts w:ascii="Arial" w:eastAsia="SimSun" w:hAnsi="Arial" w:cs="Arial"/>
          <w:sz w:val="22"/>
          <w:szCs w:val="22"/>
          <w:lang w:val="fr-FR"/>
        </w:rPr>
        <w:t>ent 56</w:t>
      </w:r>
      <w:r>
        <w:rPr>
          <w:rFonts w:ascii="Arial" w:eastAsia="SimSun" w:hAnsi="Arial" w:cs="Arial"/>
          <w:sz w:val="22"/>
          <w:szCs w:val="22"/>
          <w:lang w:val="fr-FR"/>
        </w:rPr>
        <w:t> %</w:t>
      </w:r>
      <w:r w:rsidRPr="00AD6A20">
        <w:rPr>
          <w:rFonts w:ascii="Arial" w:eastAsia="SimSun" w:hAnsi="Arial" w:cs="Arial"/>
          <w:sz w:val="22"/>
          <w:szCs w:val="22"/>
          <w:lang w:val="fr-FR"/>
        </w:rPr>
        <w:t xml:space="preserve"> des demandes accordées au cours de la période concernée. Le Secrétariat a</w:t>
      </w:r>
      <w:r>
        <w:rPr>
          <w:rFonts w:ascii="Arial" w:eastAsia="SimSun" w:hAnsi="Arial" w:cs="Arial"/>
          <w:sz w:val="22"/>
          <w:szCs w:val="22"/>
          <w:lang w:val="fr-FR"/>
        </w:rPr>
        <w:t>vait</w:t>
      </w:r>
      <w:r w:rsidRPr="00AD6A20">
        <w:rPr>
          <w:rFonts w:ascii="Arial" w:eastAsia="SimSun" w:hAnsi="Arial" w:cs="Arial"/>
          <w:sz w:val="22"/>
          <w:szCs w:val="22"/>
          <w:lang w:val="fr-FR"/>
        </w:rPr>
        <w:t xml:space="preserve"> également pris un certain nombre de mesures pour stimuler l</w:t>
      </w:r>
      <w:r w:rsidR="008E532B">
        <w:rPr>
          <w:rFonts w:ascii="Arial" w:eastAsia="SimSun" w:hAnsi="Arial" w:cs="Arial"/>
          <w:sz w:val="22"/>
          <w:szCs w:val="22"/>
          <w:lang w:val="fr-FR"/>
        </w:rPr>
        <w:t>’</w:t>
      </w:r>
      <w:r w:rsidRPr="00AD6A20">
        <w:rPr>
          <w:rFonts w:ascii="Arial" w:eastAsia="SimSun" w:hAnsi="Arial" w:cs="Arial"/>
          <w:sz w:val="22"/>
          <w:szCs w:val="22"/>
          <w:lang w:val="fr-FR"/>
        </w:rPr>
        <w:t>utilisation du mécanisme d</w:t>
      </w:r>
      <w:r w:rsidR="008E532B">
        <w:rPr>
          <w:rFonts w:ascii="Arial" w:eastAsia="SimSun" w:hAnsi="Arial" w:cs="Arial"/>
          <w:sz w:val="22"/>
          <w:szCs w:val="22"/>
          <w:lang w:val="fr-FR"/>
        </w:rPr>
        <w:t>’</w:t>
      </w:r>
      <w:r w:rsidRPr="00AD6A20">
        <w:rPr>
          <w:rFonts w:ascii="Arial" w:eastAsia="SimSun" w:hAnsi="Arial" w:cs="Arial"/>
          <w:sz w:val="22"/>
          <w:szCs w:val="22"/>
          <w:lang w:val="fr-FR"/>
        </w:rPr>
        <w:t xml:space="preserve">assistance internationale par les États parties, notamment </w:t>
      </w:r>
      <w:r>
        <w:rPr>
          <w:rFonts w:ascii="Arial" w:eastAsia="SimSun" w:hAnsi="Arial" w:cs="Arial"/>
          <w:sz w:val="22"/>
          <w:szCs w:val="22"/>
          <w:lang w:val="fr-FR"/>
        </w:rPr>
        <w:t>la réalisation d</w:t>
      </w:r>
      <w:r w:rsidR="008E532B">
        <w:rPr>
          <w:rFonts w:ascii="Arial" w:eastAsia="SimSun" w:hAnsi="Arial" w:cs="Arial"/>
          <w:sz w:val="22"/>
          <w:szCs w:val="22"/>
          <w:lang w:val="fr-FR"/>
        </w:rPr>
        <w:t>’</w:t>
      </w:r>
      <w:r w:rsidRPr="00AD6A20">
        <w:rPr>
          <w:rFonts w:ascii="Arial" w:eastAsia="SimSun" w:hAnsi="Arial" w:cs="Arial"/>
          <w:sz w:val="22"/>
          <w:szCs w:val="22"/>
          <w:lang w:val="fr-FR"/>
        </w:rPr>
        <w:t xml:space="preserve">une vidéo dédiée et </w:t>
      </w:r>
      <w:r>
        <w:rPr>
          <w:rFonts w:ascii="Arial" w:eastAsia="SimSun" w:hAnsi="Arial" w:cs="Arial"/>
          <w:sz w:val="22"/>
          <w:szCs w:val="22"/>
          <w:lang w:val="fr-FR"/>
        </w:rPr>
        <w:t>d</w:t>
      </w:r>
      <w:r w:rsidR="008E532B">
        <w:rPr>
          <w:rFonts w:ascii="Arial" w:eastAsia="SimSun" w:hAnsi="Arial" w:cs="Arial"/>
          <w:sz w:val="22"/>
          <w:szCs w:val="22"/>
          <w:lang w:val="fr-FR"/>
        </w:rPr>
        <w:t>’</w:t>
      </w:r>
      <w:r w:rsidRPr="00AD6A20">
        <w:rPr>
          <w:rFonts w:ascii="Arial" w:eastAsia="SimSun" w:hAnsi="Arial" w:cs="Arial"/>
          <w:sz w:val="22"/>
          <w:szCs w:val="22"/>
          <w:lang w:val="fr-FR"/>
        </w:rPr>
        <w:t>un</w:t>
      </w:r>
      <w:r>
        <w:rPr>
          <w:rFonts w:ascii="Arial" w:eastAsia="SimSun" w:hAnsi="Arial" w:cs="Arial"/>
          <w:sz w:val="22"/>
          <w:szCs w:val="22"/>
          <w:lang w:val="fr-FR"/>
        </w:rPr>
        <w:t xml:space="preserve"> </w:t>
      </w:r>
      <w:r w:rsidRPr="00BA4BAE">
        <w:rPr>
          <w:rFonts w:ascii="Arial" w:eastAsia="SimSun" w:hAnsi="Arial" w:cs="Arial"/>
          <w:i/>
          <w:iCs/>
          <w:sz w:val="22"/>
          <w:szCs w:val="22"/>
          <w:lang w:val="fr-FR"/>
        </w:rPr>
        <w:t>Guide pour faire une demande d</w:t>
      </w:r>
      <w:r w:rsidR="008E532B">
        <w:rPr>
          <w:rFonts w:ascii="Arial" w:eastAsia="SimSun" w:hAnsi="Arial" w:cs="Arial"/>
          <w:i/>
          <w:iCs/>
          <w:sz w:val="22"/>
          <w:szCs w:val="22"/>
          <w:lang w:val="fr-FR"/>
        </w:rPr>
        <w:t>’</w:t>
      </w:r>
      <w:r w:rsidRPr="00BA4BAE">
        <w:rPr>
          <w:rFonts w:ascii="Arial" w:eastAsia="SimSun" w:hAnsi="Arial" w:cs="Arial"/>
          <w:i/>
          <w:iCs/>
          <w:sz w:val="22"/>
          <w:szCs w:val="22"/>
          <w:lang w:val="fr-FR"/>
        </w:rPr>
        <w:t>assistance internationale</w:t>
      </w:r>
      <w:r>
        <w:rPr>
          <w:rStyle w:val="FootnoteReference"/>
          <w:rFonts w:ascii="Arial" w:eastAsia="SimSun" w:hAnsi="Arial" w:cs="Arial"/>
          <w:sz w:val="22"/>
          <w:szCs w:val="22"/>
          <w:lang w:val="fr-FR"/>
        </w:rPr>
        <w:footnoteReference w:id="13"/>
      </w:r>
      <w:r w:rsidRPr="00AD6A20">
        <w:rPr>
          <w:rFonts w:ascii="Arial" w:eastAsia="SimSun" w:hAnsi="Arial" w:cs="Arial"/>
          <w:sz w:val="22"/>
          <w:szCs w:val="22"/>
          <w:lang w:val="fr-FR"/>
        </w:rPr>
        <w:t>. U</w:t>
      </w:r>
      <w:r>
        <w:rPr>
          <w:rFonts w:ascii="Arial" w:eastAsia="SimSun" w:hAnsi="Arial" w:cs="Arial"/>
          <w:sz w:val="22"/>
          <w:szCs w:val="22"/>
          <w:lang w:val="fr-FR"/>
        </w:rPr>
        <w:t xml:space="preserve">ne manifestation </w:t>
      </w:r>
      <w:r w:rsidRPr="00AD6A20">
        <w:rPr>
          <w:rFonts w:ascii="Arial" w:eastAsia="SimSun" w:hAnsi="Arial" w:cs="Arial"/>
          <w:sz w:val="22"/>
          <w:szCs w:val="22"/>
          <w:lang w:val="fr-FR"/>
        </w:rPr>
        <w:t xml:space="preserve">parallèle </w:t>
      </w:r>
      <w:r>
        <w:rPr>
          <w:rFonts w:ascii="Arial" w:eastAsia="SimSun" w:hAnsi="Arial" w:cs="Arial"/>
          <w:sz w:val="22"/>
          <w:szCs w:val="22"/>
          <w:lang w:val="fr-FR"/>
        </w:rPr>
        <w:t>était</w:t>
      </w:r>
      <w:r w:rsidRPr="00AD6A20">
        <w:rPr>
          <w:rFonts w:ascii="Arial" w:eastAsia="SimSun" w:hAnsi="Arial" w:cs="Arial"/>
          <w:sz w:val="22"/>
          <w:szCs w:val="22"/>
          <w:lang w:val="fr-FR"/>
        </w:rPr>
        <w:t xml:space="preserve"> organisé</w:t>
      </w:r>
      <w:r>
        <w:rPr>
          <w:rFonts w:ascii="Arial" w:eastAsia="SimSun" w:hAnsi="Arial" w:cs="Arial"/>
          <w:sz w:val="22"/>
          <w:szCs w:val="22"/>
          <w:lang w:val="fr-FR"/>
        </w:rPr>
        <w:t>e</w:t>
      </w:r>
      <w:r w:rsidRPr="00AD6A20">
        <w:rPr>
          <w:rFonts w:ascii="Arial" w:eastAsia="SimSun" w:hAnsi="Arial" w:cs="Arial"/>
          <w:sz w:val="22"/>
          <w:szCs w:val="22"/>
          <w:lang w:val="fr-FR"/>
        </w:rPr>
        <w:t xml:space="preserve"> pendant l</w:t>
      </w:r>
      <w:r w:rsidR="008E532B">
        <w:rPr>
          <w:rFonts w:ascii="Arial" w:eastAsia="SimSun" w:hAnsi="Arial" w:cs="Arial"/>
          <w:sz w:val="22"/>
          <w:szCs w:val="22"/>
          <w:lang w:val="fr-FR"/>
        </w:rPr>
        <w:t>’</w:t>
      </w:r>
      <w:r w:rsidRPr="00AD6A20">
        <w:rPr>
          <w:rFonts w:ascii="Arial" w:eastAsia="SimSun" w:hAnsi="Arial" w:cs="Arial"/>
          <w:sz w:val="22"/>
          <w:szCs w:val="22"/>
          <w:lang w:val="fr-FR"/>
        </w:rPr>
        <w:t>Assemblée pour présenter l</w:t>
      </w:r>
      <w:r>
        <w:rPr>
          <w:rFonts w:ascii="Arial" w:eastAsia="SimSun" w:hAnsi="Arial" w:cs="Arial"/>
          <w:sz w:val="22"/>
          <w:szCs w:val="22"/>
          <w:lang w:val="fr-FR"/>
        </w:rPr>
        <w:t>e guide</w:t>
      </w:r>
      <w:r w:rsidRPr="00AD6A20">
        <w:rPr>
          <w:rFonts w:ascii="Arial" w:eastAsia="SimSun" w:hAnsi="Arial" w:cs="Arial"/>
          <w:sz w:val="22"/>
          <w:szCs w:val="22"/>
          <w:lang w:val="fr-FR"/>
        </w:rPr>
        <w:t xml:space="preserve">. Une réalisation importante de la période </w:t>
      </w:r>
      <w:r>
        <w:rPr>
          <w:rFonts w:ascii="Arial" w:eastAsia="SimSun" w:hAnsi="Arial" w:cs="Arial"/>
          <w:sz w:val="22"/>
          <w:szCs w:val="22"/>
          <w:lang w:val="fr-FR"/>
        </w:rPr>
        <w:t>concernée par le rapport</w:t>
      </w:r>
      <w:r w:rsidRPr="00AD6A20">
        <w:rPr>
          <w:rFonts w:ascii="Arial" w:eastAsia="SimSun" w:hAnsi="Arial" w:cs="Arial"/>
          <w:sz w:val="22"/>
          <w:szCs w:val="22"/>
          <w:lang w:val="fr-FR"/>
        </w:rPr>
        <w:t xml:space="preserve"> </w:t>
      </w:r>
      <w:r>
        <w:rPr>
          <w:rFonts w:ascii="Arial" w:eastAsia="SimSun" w:hAnsi="Arial" w:cs="Arial"/>
          <w:sz w:val="22"/>
          <w:szCs w:val="22"/>
          <w:lang w:val="fr-FR"/>
        </w:rPr>
        <w:t>était</w:t>
      </w:r>
      <w:r w:rsidRPr="00AD6A20">
        <w:rPr>
          <w:rFonts w:ascii="Arial" w:eastAsia="SimSun" w:hAnsi="Arial" w:cs="Arial"/>
          <w:sz w:val="22"/>
          <w:szCs w:val="22"/>
          <w:lang w:val="fr-FR"/>
        </w:rPr>
        <w:t xml:space="preserve"> l</w:t>
      </w:r>
      <w:r>
        <w:rPr>
          <w:rFonts w:ascii="Arial" w:eastAsia="SimSun" w:hAnsi="Arial" w:cs="Arial"/>
          <w:sz w:val="22"/>
          <w:szCs w:val="22"/>
          <w:lang w:val="fr-FR"/>
        </w:rPr>
        <w:t>es progrès réalisés dans</w:t>
      </w:r>
      <w:r w:rsidRPr="00AD6A20">
        <w:rPr>
          <w:rFonts w:ascii="Arial" w:eastAsia="SimSun" w:hAnsi="Arial" w:cs="Arial"/>
          <w:sz w:val="22"/>
          <w:szCs w:val="22"/>
          <w:lang w:val="fr-FR"/>
        </w:rPr>
        <w:t xml:space="preserve"> la réflexion </w:t>
      </w:r>
      <w:r>
        <w:rPr>
          <w:rFonts w:ascii="Arial" w:eastAsia="SimSun" w:hAnsi="Arial" w:cs="Arial"/>
          <w:sz w:val="22"/>
          <w:szCs w:val="22"/>
          <w:lang w:val="fr-FR"/>
        </w:rPr>
        <w:t xml:space="preserve">globale </w:t>
      </w:r>
      <w:r w:rsidRPr="00AD6A20">
        <w:rPr>
          <w:rFonts w:ascii="Arial" w:eastAsia="SimSun" w:hAnsi="Arial" w:cs="Arial"/>
          <w:sz w:val="22"/>
          <w:szCs w:val="22"/>
          <w:lang w:val="fr-FR"/>
        </w:rPr>
        <w:t>sur les mécanismes d</w:t>
      </w:r>
      <w:r w:rsidR="008E532B">
        <w:rPr>
          <w:rFonts w:ascii="Arial" w:eastAsia="SimSun" w:hAnsi="Arial" w:cs="Arial"/>
          <w:sz w:val="22"/>
          <w:szCs w:val="22"/>
          <w:lang w:val="fr-FR"/>
        </w:rPr>
        <w:t>’</w:t>
      </w:r>
      <w:r w:rsidRPr="00AD6A20">
        <w:rPr>
          <w:rFonts w:ascii="Arial" w:eastAsia="SimSun" w:hAnsi="Arial" w:cs="Arial"/>
          <w:sz w:val="22"/>
          <w:szCs w:val="22"/>
          <w:lang w:val="fr-FR"/>
        </w:rPr>
        <w:t>inscription sur les listes. Au cours des deux dernières années, des consultations approfondies avaient été entreprises, aboutissant à la présente session où l</w:t>
      </w:r>
      <w:r w:rsidR="008E532B">
        <w:rPr>
          <w:rFonts w:ascii="Arial" w:eastAsia="SimSun" w:hAnsi="Arial" w:cs="Arial"/>
          <w:sz w:val="22"/>
          <w:szCs w:val="22"/>
          <w:lang w:val="fr-FR"/>
        </w:rPr>
        <w:t>’</w:t>
      </w:r>
      <w:r w:rsidRPr="00AD6A20">
        <w:rPr>
          <w:rFonts w:ascii="Arial" w:eastAsia="SimSun" w:hAnsi="Arial" w:cs="Arial"/>
          <w:sz w:val="22"/>
          <w:szCs w:val="22"/>
          <w:lang w:val="fr-FR"/>
        </w:rPr>
        <w:t xml:space="preserve">Assemblée serait invitée à approuver les révisions des </w:t>
      </w:r>
      <w:r>
        <w:rPr>
          <w:rFonts w:ascii="Arial" w:eastAsia="SimSun" w:hAnsi="Arial" w:cs="Arial"/>
          <w:sz w:val="22"/>
          <w:szCs w:val="22"/>
          <w:lang w:val="fr-FR"/>
        </w:rPr>
        <w:t>D</w:t>
      </w:r>
      <w:r w:rsidRPr="00AD6A20">
        <w:rPr>
          <w:rFonts w:ascii="Arial" w:eastAsia="SimSun" w:hAnsi="Arial" w:cs="Arial"/>
          <w:sz w:val="22"/>
          <w:szCs w:val="22"/>
          <w:lang w:val="fr-FR"/>
        </w:rPr>
        <w:t xml:space="preserve">irectives opérationnelles (au </w:t>
      </w:r>
      <w:r>
        <w:rPr>
          <w:rFonts w:ascii="Arial" w:eastAsia="SimSun" w:hAnsi="Arial" w:cs="Arial"/>
          <w:sz w:val="22"/>
          <w:szCs w:val="22"/>
          <w:lang w:val="fr-FR"/>
        </w:rPr>
        <w:t xml:space="preserve">titre du </w:t>
      </w:r>
      <w:r w:rsidRPr="00AD6A20">
        <w:rPr>
          <w:rFonts w:ascii="Arial" w:eastAsia="SimSun" w:hAnsi="Arial" w:cs="Arial"/>
          <w:sz w:val="22"/>
          <w:szCs w:val="22"/>
          <w:lang w:val="fr-FR"/>
        </w:rPr>
        <w:t xml:space="preserve">point 9), ce qui conclurait le processus de réflexion </w:t>
      </w:r>
      <w:r>
        <w:rPr>
          <w:rFonts w:ascii="Arial" w:eastAsia="SimSun" w:hAnsi="Arial" w:cs="Arial"/>
          <w:sz w:val="22"/>
          <w:szCs w:val="22"/>
          <w:lang w:val="fr-FR"/>
        </w:rPr>
        <w:t xml:space="preserve">globale </w:t>
      </w:r>
      <w:r w:rsidRPr="00AD6A20">
        <w:rPr>
          <w:rFonts w:ascii="Arial" w:eastAsia="SimSun" w:hAnsi="Arial" w:cs="Arial"/>
          <w:sz w:val="22"/>
          <w:szCs w:val="22"/>
          <w:lang w:val="fr-FR"/>
        </w:rPr>
        <w:t>initié</w:t>
      </w:r>
      <w:r>
        <w:rPr>
          <w:rFonts w:ascii="Arial" w:eastAsia="SimSun" w:hAnsi="Arial" w:cs="Arial"/>
          <w:sz w:val="22"/>
          <w:szCs w:val="22"/>
          <w:lang w:val="fr-FR"/>
        </w:rPr>
        <w:t xml:space="preserve"> </w:t>
      </w:r>
      <w:r w:rsidRPr="00AD6A20">
        <w:rPr>
          <w:rFonts w:ascii="Arial" w:eastAsia="SimSun" w:hAnsi="Arial" w:cs="Arial"/>
          <w:sz w:val="22"/>
          <w:szCs w:val="22"/>
          <w:lang w:val="fr-FR"/>
        </w:rPr>
        <w:t xml:space="preserve">lors de la </w:t>
      </w:r>
      <w:r>
        <w:rPr>
          <w:rFonts w:ascii="Arial" w:eastAsia="SimSun" w:hAnsi="Arial" w:cs="Arial"/>
          <w:sz w:val="22"/>
          <w:szCs w:val="22"/>
          <w:lang w:val="fr-FR"/>
        </w:rPr>
        <w:t>douzième</w:t>
      </w:r>
      <w:r w:rsidRPr="00AD6A20">
        <w:rPr>
          <w:rFonts w:ascii="Arial" w:eastAsia="SimSun" w:hAnsi="Arial" w:cs="Arial"/>
          <w:sz w:val="22"/>
          <w:szCs w:val="22"/>
          <w:lang w:val="fr-FR"/>
        </w:rPr>
        <w:t xml:space="preserve"> session du Comité en 2017 et </w:t>
      </w:r>
      <w:r>
        <w:rPr>
          <w:rFonts w:ascii="Arial" w:eastAsia="SimSun" w:hAnsi="Arial" w:cs="Arial"/>
          <w:sz w:val="22"/>
          <w:szCs w:val="22"/>
          <w:lang w:val="fr-FR"/>
        </w:rPr>
        <w:t>ayant bénéficié du généreux soutien du</w:t>
      </w:r>
      <w:r w:rsidRPr="00AD6A20">
        <w:rPr>
          <w:rFonts w:ascii="Arial" w:eastAsia="SimSun" w:hAnsi="Arial" w:cs="Arial"/>
          <w:sz w:val="22"/>
          <w:szCs w:val="22"/>
          <w:lang w:val="fr-FR"/>
        </w:rPr>
        <w:t xml:space="preserve"> </w:t>
      </w:r>
      <w:r>
        <w:rPr>
          <w:rFonts w:ascii="Arial" w:eastAsia="SimSun" w:hAnsi="Arial" w:cs="Arial"/>
          <w:sz w:val="22"/>
          <w:szCs w:val="22"/>
          <w:lang w:val="fr-FR"/>
        </w:rPr>
        <w:t>G</w:t>
      </w:r>
      <w:r w:rsidRPr="00AD6A20">
        <w:rPr>
          <w:rFonts w:ascii="Arial" w:eastAsia="SimSun" w:hAnsi="Arial" w:cs="Arial"/>
          <w:sz w:val="22"/>
          <w:szCs w:val="22"/>
          <w:lang w:val="fr-FR"/>
        </w:rPr>
        <w:t>ouvernement du Japon.</w:t>
      </w:r>
    </w:p>
    <w:p w14:paraId="6ABBE702" w14:textId="6785B498" w:rsidR="00D9653F" w:rsidRPr="00C5692C"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7B72DB">
        <w:rPr>
          <w:rFonts w:ascii="Arial" w:eastAsia="SimSun" w:hAnsi="Arial" w:cs="Arial"/>
          <w:sz w:val="22"/>
          <w:szCs w:val="22"/>
          <w:lang w:val="fr-FR"/>
        </w:rPr>
        <w:t xml:space="preserve">Le </w:t>
      </w:r>
      <w:r w:rsidRPr="007B72DB">
        <w:rPr>
          <w:rFonts w:ascii="Arial" w:eastAsia="SimSun" w:hAnsi="Arial" w:cs="Arial"/>
          <w:b/>
          <w:bCs/>
          <w:sz w:val="22"/>
          <w:szCs w:val="22"/>
          <w:lang w:val="fr-FR"/>
        </w:rPr>
        <w:t>Sous-Directeur général</w:t>
      </w:r>
      <w:r w:rsidRPr="007B72DB">
        <w:rPr>
          <w:rFonts w:ascii="Arial" w:eastAsia="SimSun" w:hAnsi="Arial" w:cs="Arial"/>
          <w:sz w:val="22"/>
          <w:szCs w:val="22"/>
          <w:lang w:val="fr-FR"/>
        </w:rPr>
        <w:t xml:space="preserve"> a </w:t>
      </w:r>
      <w:r>
        <w:rPr>
          <w:rFonts w:ascii="Arial" w:eastAsia="SimSun" w:hAnsi="Arial" w:cs="Arial"/>
          <w:sz w:val="22"/>
          <w:szCs w:val="22"/>
          <w:lang w:val="fr-FR"/>
        </w:rPr>
        <w:t xml:space="preserve">évoqué </w:t>
      </w:r>
      <w:r w:rsidRPr="007B72DB">
        <w:rPr>
          <w:rFonts w:ascii="Arial" w:eastAsia="SimSun" w:hAnsi="Arial" w:cs="Arial"/>
          <w:sz w:val="22"/>
          <w:szCs w:val="22"/>
          <w:lang w:val="fr-FR"/>
        </w:rPr>
        <w:t>une autre réforme importante, le système de rapports périodiques, qui a</w:t>
      </w:r>
      <w:r>
        <w:rPr>
          <w:rFonts w:ascii="Arial" w:eastAsia="SimSun" w:hAnsi="Arial" w:cs="Arial"/>
          <w:sz w:val="22"/>
          <w:szCs w:val="22"/>
          <w:lang w:val="fr-FR"/>
        </w:rPr>
        <w:t>vait</w:t>
      </w:r>
      <w:r w:rsidRPr="007B72DB">
        <w:rPr>
          <w:rFonts w:ascii="Arial" w:eastAsia="SimSun" w:hAnsi="Arial" w:cs="Arial"/>
          <w:sz w:val="22"/>
          <w:szCs w:val="22"/>
          <w:lang w:val="fr-FR"/>
        </w:rPr>
        <w:t xml:space="preserve"> déjà révélé des résultats prometteurs. Au cours de la période couverte par le rapport, le taux de soumission parmi les États parties de la </w:t>
      </w:r>
      <w:r>
        <w:rPr>
          <w:rFonts w:ascii="Arial" w:eastAsia="SimSun" w:hAnsi="Arial" w:cs="Arial"/>
          <w:sz w:val="22"/>
          <w:szCs w:val="22"/>
          <w:lang w:val="fr-FR"/>
        </w:rPr>
        <w:t xml:space="preserve">première </w:t>
      </w:r>
      <w:r w:rsidRPr="007B72DB">
        <w:rPr>
          <w:rFonts w:ascii="Arial" w:eastAsia="SimSun" w:hAnsi="Arial" w:cs="Arial"/>
          <w:sz w:val="22"/>
          <w:szCs w:val="22"/>
          <w:lang w:val="fr-FR"/>
        </w:rPr>
        <w:t>régio</w:t>
      </w:r>
      <w:r>
        <w:rPr>
          <w:rFonts w:ascii="Arial" w:eastAsia="SimSun" w:hAnsi="Arial" w:cs="Arial"/>
          <w:sz w:val="22"/>
          <w:szCs w:val="22"/>
          <w:lang w:val="fr-FR"/>
        </w:rPr>
        <w:t>n invitée à soumettre des r</w:t>
      </w:r>
      <w:r w:rsidRPr="007B72DB">
        <w:rPr>
          <w:rFonts w:ascii="Arial" w:eastAsia="SimSun" w:hAnsi="Arial" w:cs="Arial"/>
          <w:sz w:val="22"/>
          <w:szCs w:val="22"/>
          <w:lang w:val="fr-FR"/>
        </w:rPr>
        <w:t>apport</w:t>
      </w:r>
      <w:r>
        <w:rPr>
          <w:rFonts w:ascii="Arial" w:eastAsia="SimSun" w:hAnsi="Arial" w:cs="Arial"/>
          <w:sz w:val="22"/>
          <w:szCs w:val="22"/>
          <w:lang w:val="fr-FR"/>
        </w:rPr>
        <w:t>s</w:t>
      </w:r>
      <w:r w:rsidRPr="007B72DB">
        <w:rPr>
          <w:rFonts w:ascii="Arial" w:eastAsia="SimSun" w:hAnsi="Arial" w:cs="Arial"/>
          <w:sz w:val="22"/>
          <w:szCs w:val="22"/>
          <w:lang w:val="fr-FR"/>
        </w:rPr>
        <w:t xml:space="preserve"> a</w:t>
      </w:r>
      <w:r>
        <w:rPr>
          <w:rFonts w:ascii="Arial" w:eastAsia="SimSun" w:hAnsi="Arial" w:cs="Arial"/>
          <w:sz w:val="22"/>
          <w:szCs w:val="22"/>
          <w:lang w:val="fr-FR"/>
        </w:rPr>
        <w:t>vait</w:t>
      </w:r>
      <w:r w:rsidRPr="007B72DB">
        <w:rPr>
          <w:rFonts w:ascii="Arial" w:eastAsia="SimSun" w:hAnsi="Arial" w:cs="Arial"/>
          <w:sz w:val="22"/>
          <w:szCs w:val="22"/>
          <w:lang w:val="fr-FR"/>
        </w:rPr>
        <w:t xml:space="preserve"> connu une nette amélioration</w:t>
      </w:r>
      <w:r>
        <w:rPr>
          <w:rFonts w:ascii="Arial" w:eastAsia="SimSun" w:hAnsi="Arial" w:cs="Arial"/>
          <w:sz w:val="22"/>
          <w:szCs w:val="22"/>
          <w:lang w:val="fr-FR"/>
        </w:rPr>
        <w:t> </w:t>
      </w:r>
      <w:r w:rsidRPr="007B72DB">
        <w:rPr>
          <w:rFonts w:ascii="Arial" w:eastAsia="SimSun" w:hAnsi="Arial" w:cs="Arial"/>
          <w:sz w:val="22"/>
          <w:szCs w:val="22"/>
          <w:lang w:val="fr-FR"/>
        </w:rPr>
        <w:t>: 8</w:t>
      </w:r>
      <w:r>
        <w:rPr>
          <w:rFonts w:ascii="Arial" w:eastAsia="SimSun" w:hAnsi="Arial" w:cs="Arial"/>
          <w:sz w:val="22"/>
          <w:szCs w:val="22"/>
          <w:lang w:val="fr-FR"/>
        </w:rPr>
        <w:t>7,5 %</w:t>
      </w:r>
      <w:r w:rsidRPr="007B72DB">
        <w:rPr>
          <w:rFonts w:ascii="Arial" w:eastAsia="SimSun" w:hAnsi="Arial" w:cs="Arial"/>
          <w:sz w:val="22"/>
          <w:szCs w:val="22"/>
          <w:lang w:val="fr-FR"/>
        </w:rPr>
        <w:t xml:space="preserve"> pour l</w:t>
      </w:r>
      <w:r w:rsidR="008E532B">
        <w:rPr>
          <w:rFonts w:ascii="Arial" w:eastAsia="SimSun" w:hAnsi="Arial" w:cs="Arial"/>
          <w:sz w:val="22"/>
          <w:szCs w:val="22"/>
          <w:lang w:val="fr-FR"/>
        </w:rPr>
        <w:t>’</w:t>
      </w:r>
      <w:r w:rsidRPr="007B72DB">
        <w:rPr>
          <w:rFonts w:ascii="Arial" w:eastAsia="SimSun" w:hAnsi="Arial" w:cs="Arial"/>
          <w:sz w:val="22"/>
          <w:szCs w:val="22"/>
          <w:lang w:val="fr-FR"/>
        </w:rPr>
        <w:t>Amérique latine et les Caraïbes et 95,4</w:t>
      </w:r>
      <w:r>
        <w:rPr>
          <w:rFonts w:ascii="Arial" w:eastAsia="SimSun" w:hAnsi="Arial" w:cs="Arial"/>
          <w:sz w:val="22"/>
          <w:szCs w:val="22"/>
          <w:lang w:val="fr-FR"/>
        </w:rPr>
        <w:t xml:space="preserve"> % </w:t>
      </w:r>
      <w:r w:rsidRPr="007B72DB">
        <w:rPr>
          <w:rFonts w:ascii="Arial" w:eastAsia="SimSun" w:hAnsi="Arial" w:cs="Arial"/>
          <w:sz w:val="22"/>
          <w:szCs w:val="22"/>
          <w:lang w:val="fr-FR"/>
        </w:rPr>
        <w:t>pour l</w:t>
      </w:r>
      <w:r w:rsidR="008E532B">
        <w:rPr>
          <w:rFonts w:ascii="Arial" w:eastAsia="SimSun" w:hAnsi="Arial" w:cs="Arial"/>
          <w:sz w:val="22"/>
          <w:szCs w:val="22"/>
          <w:lang w:val="fr-FR"/>
        </w:rPr>
        <w:t>’</w:t>
      </w:r>
      <w:r w:rsidRPr="007B72DB">
        <w:rPr>
          <w:rFonts w:ascii="Arial" w:eastAsia="SimSun" w:hAnsi="Arial" w:cs="Arial"/>
          <w:sz w:val="22"/>
          <w:szCs w:val="22"/>
          <w:lang w:val="fr-FR"/>
        </w:rPr>
        <w:t xml:space="preserve">Europe. </w:t>
      </w:r>
      <w:r>
        <w:rPr>
          <w:rFonts w:ascii="Arial" w:eastAsia="SimSun" w:hAnsi="Arial" w:cs="Arial"/>
          <w:sz w:val="22"/>
          <w:szCs w:val="22"/>
          <w:lang w:val="fr-FR"/>
        </w:rPr>
        <w:t>C</w:t>
      </w:r>
      <w:r w:rsidR="008E532B">
        <w:rPr>
          <w:rFonts w:ascii="Arial" w:eastAsia="SimSun" w:hAnsi="Arial" w:cs="Arial"/>
          <w:sz w:val="22"/>
          <w:szCs w:val="22"/>
          <w:lang w:val="fr-FR"/>
        </w:rPr>
        <w:t>’</w:t>
      </w:r>
      <w:r>
        <w:rPr>
          <w:rFonts w:ascii="Arial" w:eastAsia="SimSun" w:hAnsi="Arial" w:cs="Arial"/>
          <w:sz w:val="22"/>
          <w:szCs w:val="22"/>
          <w:lang w:val="fr-FR"/>
        </w:rPr>
        <w:t xml:space="preserve">était </w:t>
      </w:r>
      <w:r w:rsidRPr="007B72DB">
        <w:rPr>
          <w:rFonts w:ascii="Arial" w:eastAsia="SimSun" w:hAnsi="Arial" w:cs="Arial"/>
          <w:sz w:val="22"/>
          <w:szCs w:val="22"/>
          <w:lang w:val="fr-FR"/>
        </w:rPr>
        <w:t>une évolution extrêmement positive, qui témoign</w:t>
      </w:r>
      <w:r>
        <w:rPr>
          <w:rFonts w:ascii="Arial" w:eastAsia="SimSun" w:hAnsi="Arial" w:cs="Arial"/>
          <w:sz w:val="22"/>
          <w:szCs w:val="22"/>
          <w:lang w:val="fr-FR"/>
        </w:rPr>
        <w:t>ait</w:t>
      </w:r>
      <w:r w:rsidRPr="007B72DB">
        <w:rPr>
          <w:rFonts w:ascii="Arial" w:eastAsia="SimSun" w:hAnsi="Arial" w:cs="Arial"/>
          <w:sz w:val="22"/>
          <w:szCs w:val="22"/>
          <w:lang w:val="fr-FR"/>
        </w:rPr>
        <w:t xml:space="preserve"> du succès de ces réformes dans le renforcement du suivi de la mise en œuvre de la Convention à tous les niveaux. La mise en œuvre de la réforme du système de rapports périodiques a</w:t>
      </w:r>
      <w:r>
        <w:rPr>
          <w:rFonts w:ascii="Arial" w:eastAsia="SimSun" w:hAnsi="Arial" w:cs="Arial"/>
          <w:sz w:val="22"/>
          <w:szCs w:val="22"/>
          <w:lang w:val="fr-FR"/>
        </w:rPr>
        <w:t>vait</w:t>
      </w:r>
      <w:r w:rsidRPr="007B72DB">
        <w:rPr>
          <w:rFonts w:ascii="Arial" w:eastAsia="SimSun" w:hAnsi="Arial" w:cs="Arial"/>
          <w:sz w:val="22"/>
          <w:szCs w:val="22"/>
          <w:lang w:val="fr-FR"/>
        </w:rPr>
        <w:t xml:space="preserve"> déjà été grandement facilitée par le programme </w:t>
      </w:r>
      <w:r>
        <w:rPr>
          <w:rFonts w:ascii="Arial" w:eastAsia="SimSun" w:hAnsi="Arial" w:cs="Arial"/>
          <w:sz w:val="22"/>
          <w:szCs w:val="22"/>
          <w:lang w:val="fr-FR"/>
        </w:rPr>
        <w:t xml:space="preserve">global </w:t>
      </w:r>
      <w:r w:rsidRPr="007B72DB">
        <w:rPr>
          <w:rFonts w:ascii="Arial" w:eastAsia="SimSun" w:hAnsi="Arial" w:cs="Arial"/>
          <w:sz w:val="22"/>
          <w:szCs w:val="22"/>
          <w:lang w:val="fr-FR"/>
        </w:rPr>
        <w:t xml:space="preserve">de renforcement des capacités de la Convention, qui en </w:t>
      </w:r>
      <w:r>
        <w:rPr>
          <w:rFonts w:ascii="Arial" w:eastAsia="SimSun" w:hAnsi="Arial" w:cs="Arial"/>
          <w:sz w:val="22"/>
          <w:szCs w:val="22"/>
          <w:lang w:val="fr-FR"/>
        </w:rPr>
        <w:t>était</w:t>
      </w:r>
      <w:r w:rsidRPr="007B72DB">
        <w:rPr>
          <w:rFonts w:ascii="Arial" w:eastAsia="SimSun" w:hAnsi="Arial" w:cs="Arial"/>
          <w:sz w:val="22"/>
          <w:szCs w:val="22"/>
          <w:lang w:val="fr-FR"/>
        </w:rPr>
        <w:t xml:space="preserve"> à sa onzième année de mise en œuvre et qui continu</w:t>
      </w:r>
      <w:r>
        <w:rPr>
          <w:rFonts w:ascii="Arial" w:eastAsia="SimSun" w:hAnsi="Arial" w:cs="Arial"/>
          <w:sz w:val="22"/>
          <w:szCs w:val="22"/>
          <w:lang w:val="fr-FR"/>
        </w:rPr>
        <w:t>ait</w:t>
      </w:r>
      <w:r w:rsidRPr="007B72DB">
        <w:rPr>
          <w:rFonts w:ascii="Arial" w:eastAsia="SimSun" w:hAnsi="Arial" w:cs="Arial"/>
          <w:sz w:val="22"/>
          <w:szCs w:val="22"/>
          <w:lang w:val="fr-FR"/>
        </w:rPr>
        <w:t xml:space="preserve"> de </w:t>
      </w:r>
      <w:r>
        <w:rPr>
          <w:rFonts w:ascii="Arial" w:eastAsia="SimSun" w:hAnsi="Arial" w:cs="Arial"/>
          <w:sz w:val="22"/>
          <w:szCs w:val="22"/>
          <w:lang w:val="fr-FR"/>
        </w:rPr>
        <w:t>se développer</w:t>
      </w:r>
      <w:r w:rsidRPr="007B72DB">
        <w:rPr>
          <w:rFonts w:ascii="Arial" w:eastAsia="SimSun" w:hAnsi="Arial" w:cs="Arial"/>
          <w:sz w:val="22"/>
          <w:szCs w:val="22"/>
          <w:lang w:val="fr-FR"/>
        </w:rPr>
        <w:t xml:space="preserve"> et d</w:t>
      </w:r>
      <w:r w:rsidR="008E532B">
        <w:rPr>
          <w:rFonts w:ascii="Arial" w:eastAsia="SimSun" w:hAnsi="Arial" w:cs="Arial"/>
          <w:sz w:val="22"/>
          <w:szCs w:val="22"/>
          <w:lang w:val="fr-FR"/>
        </w:rPr>
        <w:t>’</w:t>
      </w:r>
      <w:r w:rsidRPr="007B72DB">
        <w:rPr>
          <w:rFonts w:ascii="Arial" w:eastAsia="SimSun" w:hAnsi="Arial" w:cs="Arial"/>
          <w:sz w:val="22"/>
          <w:szCs w:val="22"/>
          <w:lang w:val="fr-FR"/>
        </w:rPr>
        <w:t>évoluer en fonction des besoins des parties prenantes. Le renforcement des capacités en matière de rapports périodiques était généreusement soutenu par des partenaires tels que les centres de catégorie 2</w:t>
      </w:r>
      <w:r>
        <w:rPr>
          <w:rStyle w:val="FootnoteReference"/>
          <w:rFonts w:ascii="Arial" w:eastAsia="SimSun" w:hAnsi="Arial" w:cs="Arial"/>
          <w:sz w:val="22"/>
          <w:szCs w:val="22"/>
          <w:lang w:val="fr-FR"/>
        </w:rPr>
        <w:footnoteReference w:id="14"/>
      </w:r>
      <w:r w:rsidRPr="007B72DB">
        <w:rPr>
          <w:rFonts w:ascii="Arial" w:eastAsia="SimSun" w:hAnsi="Arial" w:cs="Arial"/>
          <w:sz w:val="22"/>
          <w:szCs w:val="22"/>
          <w:lang w:val="fr-FR"/>
        </w:rPr>
        <w:t xml:space="preserve"> sous l</w:t>
      </w:r>
      <w:r w:rsidR="008E532B">
        <w:rPr>
          <w:rFonts w:ascii="Arial" w:eastAsia="SimSun" w:hAnsi="Arial" w:cs="Arial"/>
          <w:sz w:val="22"/>
          <w:szCs w:val="22"/>
          <w:lang w:val="fr-FR"/>
        </w:rPr>
        <w:t>’</w:t>
      </w:r>
      <w:r w:rsidRPr="007B72DB">
        <w:rPr>
          <w:rFonts w:ascii="Arial" w:eastAsia="SimSun" w:hAnsi="Arial" w:cs="Arial"/>
          <w:sz w:val="22"/>
          <w:szCs w:val="22"/>
          <w:lang w:val="fr-FR"/>
        </w:rPr>
        <w:t>égide de l</w:t>
      </w:r>
      <w:r w:rsidR="008E532B">
        <w:rPr>
          <w:rFonts w:ascii="Arial" w:eastAsia="SimSun" w:hAnsi="Arial" w:cs="Arial"/>
          <w:sz w:val="22"/>
          <w:szCs w:val="22"/>
          <w:lang w:val="fr-FR"/>
        </w:rPr>
        <w:t>’</w:t>
      </w:r>
      <w:r w:rsidRPr="007B72DB">
        <w:rPr>
          <w:rFonts w:ascii="Arial" w:eastAsia="SimSun" w:hAnsi="Arial" w:cs="Arial"/>
          <w:sz w:val="22"/>
          <w:szCs w:val="22"/>
          <w:lang w:val="fr-FR"/>
        </w:rPr>
        <w:t>UNESCO. Dans le contexte d</w:t>
      </w:r>
      <w:r>
        <w:rPr>
          <w:rFonts w:ascii="Arial" w:eastAsia="SimSun" w:hAnsi="Arial" w:cs="Arial"/>
          <w:sz w:val="22"/>
          <w:szCs w:val="22"/>
          <w:lang w:val="fr-FR"/>
        </w:rPr>
        <w:t>e la</w:t>
      </w:r>
      <w:r w:rsidRPr="007B72DB">
        <w:rPr>
          <w:rFonts w:ascii="Arial" w:eastAsia="SimSun" w:hAnsi="Arial" w:cs="Arial"/>
          <w:sz w:val="22"/>
          <w:szCs w:val="22"/>
          <w:lang w:val="fr-FR"/>
        </w:rPr>
        <w:t xml:space="preserve"> COVID</w:t>
      </w:r>
      <w:r>
        <w:rPr>
          <w:rFonts w:ascii="Arial" w:eastAsia="SimSun" w:hAnsi="Arial" w:cs="Arial"/>
          <w:sz w:val="22"/>
          <w:szCs w:val="22"/>
          <w:lang w:val="fr-FR"/>
        </w:rPr>
        <w:noBreakHyphen/>
      </w:r>
      <w:r w:rsidRPr="007B72DB">
        <w:rPr>
          <w:rFonts w:ascii="Arial" w:eastAsia="SimSun" w:hAnsi="Arial" w:cs="Arial"/>
          <w:sz w:val="22"/>
          <w:szCs w:val="22"/>
          <w:lang w:val="fr-FR"/>
        </w:rPr>
        <w:t>19, le programme avait acquis une expérience précieuse en matière d</w:t>
      </w:r>
      <w:r w:rsidR="008E532B">
        <w:rPr>
          <w:rFonts w:ascii="Arial" w:eastAsia="SimSun" w:hAnsi="Arial" w:cs="Arial"/>
          <w:sz w:val="22"/>
          <w:szCs w:val="22"/>
          <w:lang w:val="fr-FR"/>
        </w:rPr>
        <w:t>’</w:t>
      </w:r>
      <w:r w:rsidRPr="007B72DB">
        <w:rPr>
          <w:rFonts w:ascii="Arial" w:eastAsia="SimSun" w:hAnsi="Arial" w:cs="Arial"/>
          <w:sz w:val="22"/>
          <w:szCs w:val="22"/>
          <w:lang w:val="fr-FR"/>
        </w:rPr>
        <w:t>apprentissage en ligne. Le Secrétariat s</w:t>
      </w:r>
      <w:r w:rsidR="008E532B">
        <w:rPr>
          <w:rFonts w:ascii="Arial" w:eastAsia="SimSun" w:hAnsi="Arial" w:cs="Arial"/>
          <w:sz w:val="22"/>
          <w:szCs w:val="22"/>
          <w:lang w:val="fr-FR"/>
        </w:rPr>
        <w:t>’</w:t>
      </w:r>
      <w:r>
        <w:rPr>
          <w:rFonts w:ascii="Arial" w:eastAsia="SimSun" w:hAnsi="Arial" w:cs="Arial"/>
          <w:sz w:val="22"/>
          <w:szCs w:val="22"/>
          <w:lang w:val="fr-FR"/>
        </w:rPr>
        <w:t xml:space="preserve">était </w:t>
      </w:r>
      <w:r w:rsidRPr="007B72DB">
        <w:rPr>
          <w:rFonts w:ascii="Arial" w:eastAsia="SimSun" w:hAnsi="Arial" w:cs="Arial"/>
          <w:sz w:val="22"/>
          <w:szCs w:val="22"/>
          <w:lang w:val="fr-FR"/>
        </w:rPr>
        <w:t>appuy</w:t>
      </w:r>
      <w:r>
        <w:rPr>
          <w:rFonts w:ascii="Arial" w:eastAsia="SimSun" w:hAnsi="Arial" w:cs="Arial"/>
          <w:sz w:val="22"/>
          <w:szCs w:val="22"/>
          <w:lang w:val="fr-FR"/>
        </w:rPr>
        <w:t>é</w:t>
      </w:r>
      <w:r w:rsidRPr="007B72DB">
        <w:rPr>
          <w:rFonts w:ascii="Arial" w:eastAsia="SimSun" w:hAnsi="Arial" w:cs="Arial"/>
          <w:sz w:val="22"/>
          <w:szCs w:val="22"/>
          <w:lang w:val="fr-FR"/>
        </w:rPr>
        <w:t xml:space="preserve"> sur les </w:t>
      </w:r>
      <w:r>
        <w:rPr>
          <w:rFonts w:ascii="Arial" w:eastAsia="SimSun" w:hAnsi="Arial" w:cs="Arial"/>
          <w:sz w:val="22"/>
          <w:szCs w:val="22"/>
          <w:lang w:val="fr-FR"/>
        </w:rPr>
        <w:t>enseignements tirés de ce type d</w:t>
      </w:r>
      <w:r w:rsidR="008E532B">
        <w:rPr>
          <w:rFonts w:ascii="Arial" w:eastAsia="SimSun" w:hAnsi="Arial" w:cs="Arial"/>
          <w:sz w:val="22"/>
          <w:szCs w:val="22"/>
          <w:lang w:val="fr-FR"/>
        </w:rPr>
        <w:t>’</w:t>
      </w:r>
      <w:r>
        <w:rPr>
          <w:rFonts w:ascii="Arial" w:eastAsia="SimSun" w:hAnsi="Arial" w:cs="Arial"/>
          <w:sz w:val="22"/>
          <w:szCs w:val="22"/>
          <w:lang w:val="fr-FR"/>
        </w:rPr>
        <w:t xml:space="preserve">apprentissage pour </w:t>
      </w:r>
      <w:r w:rsidRPr="007B72DB">
        <w:rPr>
          <w:rFonts w:ascii="Arial" w:eastAsia="SimSun" w:hAnsi="Arial" w:cs="Arial"/>
          <w:sz w:val="22"/>
          <w:szCs w:val="22"/>
          <w:lang w:val="fr-FR"/>
        </w:rPr>
        <w:t>réorient</w:t>
      </w:r>
      <w:r>
        <w:rPr>
          <w:rFonts w:ascii="Arial" w:eastAsia="SimSun" w:hAnsi="Arial" w:cs="Arial"/>
          <w:sz w:val="22"/>
          <w:szCs w:val="22"/>
          <w:lang w:val="fr-FR"/>
        </w:rPr>
        <w:t>er</w:t>
      </w:r>
      <w:r w:rsidRPr="007B72DB">
        <w:rPr>
          <w:rFonts w:ascii="Arial" w:eastAsia="SimSun" w:hAnsi="Arial" w:cs="Arial"/>
          <w:sz w:val="22"/>
          <w:szCs w:val="22"/>
          <w:lang w:val="fr-FR"/>
        </w:rPr>
        <w:t xml:space="preserve"> stratégique</w:t>
      </w:r>
      <w:r>
        <w:rPr>
          <w:rFonts w:ascii="Arial" w:eastAsia="SimSun" w:hAnsi="Arial" w:cs="Arial"/>
          <w:sz w:val="22"/>
          <w:szCs w:val="22"/>
          <w:lang w:val="fr-FR"/>
        </w:rPr>
        <w:t>ment</w:t>
      </w:r>
      <w:r w:rsidRPr="007B72DB">
        <w:rPr>
          <w:rFonts w:ascii="Arial" w:eastAsia="SimSun" w:hAnsi="Arial" w:cs="Arial"/>
          <w:sz w:val="22"/>
          <w:szCs w:val="22"/>
          <w:lang w:val="fr-FR"/>
        </w:rPr>
        <w:t xml:space="preserve"> </w:t>
      </w:r>
      <w:r>
        <w:rPr>
          <w:rFonts w:ascii="Arial" w:eastAsia="SimSun" w:hAnsi="Arial" w:cs="Arial"/>
          <w:sz w:val="22"/>
          <w:szCs w:val="22"/>
          <w:lang w:val="fr-FR"/>
        </w:rPr>
        <w:t>le</w:t>
      </w:r>
      <w:r w:rsidRPr="007B72DB">
        <w:rPr>
          <w:rFonts w:ascii="Arial" w:eastAsia="SimSun" w:hAnsi="Arial" w:cs="Arial"/>
          <w:sz w:val="22"/>
          <w:szCs w:val="22"/>
          <w:lang w:val="fr-FR"/>
        </w:rPr>
        <w:t xml:space="preserve"> programme en cours </w:t>
      </w:r>
      <w:r>
        <w:rPr>
          <w:rFonts w:ascii="Arial" w:eastAsia="SimSun" w:hAnsi="Arial" w:cs="Arial"/>
          <w:sz w:val="22"/>
          <w:szCs w:val="22"/>
          <w:lang w:val="fr-FR"/>
        </w:rPr>
        <w:t>afin d</w:t>
      </w:r>
      <w:r w:rsidR="008E532B">
        <w:rPr>
          <w:rFonts w:ascii="Arial" w:eastAsia="SimSun" w:hAnsi="Arial" w:cs="Arial"/>
          <w:sz w:val="22"/>
          <w:szCs w:val="22"/>
          <w:lang w:val="fr-FR"/>
        </w:rPr>
        <w:t>’</w:t>
      </w:r>
      <w:r w:rsidRPr="007B72DB">
        <w:rPr>
          <w:rFonts w:ascii="Arial" w:eastAsia="SimSun" w:hAnsi="Arial" w:cs="Arial"/>
          <w:sz w:val="22"/>
          <w:szCs w:val="22"/>
          <w:lang w:val="fr-FR"/>
        </w:rPr>
        <w:t xml:space="preserve">intégrer des approches de </w:t>
      </w:r>
      <w:r>
        <w:rPr>
          <w:rFonts w:ascii="Arial" w:eastAsia="SimSun" w:hAnsi="Arial" w:cs="Arial"/>
          <w:sz w:val="22"/>
          <w:szCs w:val="22"/>
          <w:lang w:val="fr-FR"/>
        </w:rPr>
        <w:t xml:space="preserve">formation </w:t>
      </w:r>
      <w:r w:rsidRPr="007B72DB">
        <w:rPr>
          <w:rFonts w:ascii="Arial" w:eastAsia="SimSun" w:hAnsi="Arial" w:cs="Arial"/>
          <w:sz w:val="22"/>
          <w:szCs w:val="22"/>
          <w:lang w:val="fr-FR"/>
        </w:rPr>
        <w:t>combin</w:t>
      </w:r>
      <w:r>
        <w:rPr>
          <w:rFonts w:ascii="Arial" w:eastAsia="SimSun" w:hAnsi="Arial" w:cs="Arial"/>
          <w:sz w:val="22"/>
          <w:szCs w:val="22"/>
          <w:lang w:val="fr-FR"/>
        </w:rPr>
        <w:t>a</w:t>
      </w:r>
      <w:r w:rsidRPr="007B72DB">
        <w:rPr>
          <w:rFonts w:ascii="Arial" w:eastAsia="SimSun" w:hAnsi="Arial" w:cs="Arial"/>
          <w:sz w:val="22"/>
          <w:szCs w:val="22"/>
          <w:lang w:val="fr-FR"/>
        </w:rPr>
        <w:t xml:space="preserve">nt des modalités en </w:t>
      </w:r>
      <w:r>
        <w:rPr>
          <w:rFonts w:ascii="Arial" w:eastAsia="SimSun" w:hAnsi="Arial" w:cs="Arial"/>
          <w:sz w:val="22"/>
          <w:szCs w:val="22"/>
          <w:lang w:val="fr-FR"/>
        </w:rPr>
        <w:t>présentiel</w:t>
      </w:r>
      <w:r w:rsidRPr="007B72DB">
        <w:rPr>
          <w:rFonts w:ascii="Arial" w:eastAsia="SimSun" w:hAnsi="Arial" w:cs="Arial"/>
          <w:sz w:val="22"/>
          <w:szCs w:val="22"/>
          <w:lang w:val="fr-FR"/>
        </w:rPr>
        <w:t>, hybrides et entièrement en ligne, tout en s</w:t>
      </w:r>
      <w:r w:rsidR="008E532B">
        <w:rPr>
          <w:rFonts w:ascii="Arial" w:eastAsia="SimSun" w:hAnsi="Arial" w:cs="Arial"/>
          <w:sz w:val="22"/>
          <w:szCs w:val="22"/>
          <w:lang w:val="fr-FR"/>
        </w:rPr>
        <w:t>’</w:t>
      </w:r>
      <w:r w:rsidRPr="007B72DB">
        <w:rPr>
          <w:rFonts w:ascii="Arial" w:eastAsia="SimSun" w:hAnsi="Arial" w:cs="Arial"/>
          <w:sz w:val="22"/>
          <w:szCs w:val="22"/>
          <w:lang w:val="fr-FR"/>
        </w:rPr>
        <w:t xml:space="preserve">appuyant sur une plateforme interactive. </w:t>
      </w:r>
      <w:r>
        <w:rPr>
          <w:rFonts w:ascii="Arial" w:eastAsia="SimSun" w:hAnsi="Arial" w:cs="Arial"/>
          <w:sz w:val="22"/>
          <w:szCs w:val="22"/>
          <w:lang w:val="fr-FR"/>
        </w:rPr>
        <w:t xml:space="preserve">Parmi les </w:t>
      </w:r>
      <w:r w:rsidRPr="007B72DB">
        <w:rPr>
          <w:rFonts w:ascii="Arial" w:eastAsia="SimSun" w:hAnsi="Arial" w:cs="Arial"/>
          <w:sz w:val="22"/>
          <w:szCs w:val="22"/>
          <w:lang w:val="fr-FR"/>
        </w:rPr>
        <w:t>exemple</w:t>
      </w:r>
      <w:r>
        <w:rPr>
          <w:rFonts w:ascii="Arial" w:eastAsia="SimSun" w:hAnsi="Arial" w:cs="Arial"/>
          <w:sz w:val="22"/>
          <w:szCs w:val="22"/>
          <w:lang w:val="fr-FR"/>
        </w:rPr>
        <w:t>s, on pouvait citer</w:t>
      </w:r>
      <w:r w:rsidRPr="007B72DB">
        <w:rPr>
          <w:rFonts w:ascii="Arial" w:eastAsia="SimSun" w:hAnsi="Arial" w:cs="Arial"/>
          <w:sz w:val="22"/>
          <w:szCs w:val="22"/>
          <w:lang w:val="fr-FR"/>
        </w:rPr>
        <w:t xml:space="preserve"> l</w:t>
      </w:r>
      <w:r>
        <w:rPr>
          <w:rFonts w:ascii="Arial" w:eastAsia="SimSun" w:hAnsi="Arial" w:cs="Arial"/>
          <w:sz w:val="22"/>
          <w:szCs w:val="22"/>
          <w:lang w:val="fr-FR"/>
        </w:rPr>
        <w:t>a</w:t>
      </w:r>
      <w:r w:rsidRPr="007B72DB">
        <w:rPr>
          <w:rFonts w:ascii="Arial" w:eastAsia="SimSun" w:hAnsi="Arial" w:cs="Arial"/>
          <w:sz w:val="22"/>
          <w:szCs w:val="22"/>
          <w:lang w:val="fr-FR"/>
        </w:rPr>
        <w:t xml:space="preserve"> premi</w:t>
      </w:r>
      <w:r>
        <w:rPr>
          <w:rFonts w:ascii="Arial" w:eastAsia="SimSun" w:hAnsi="Arial" w:cs="Arial"/>
          <w:sz w:val="22"/>
          <w:szCs w:val="22"/>
          <w:lang w:val="fr-FR"/>
        </w:rPr>
        <w:t>ère</w:t>
      </w:r>
      <w:r w:rsidRPr="007B72DB">
        <w:rPr>
          <w:rFonts w:ascii="Arial" w:eastAsia="SimSun" w:hAnsi="Arial" w:cs="Arial"/>
          <w:sz w:val="22"/>
          <w:szCs w:val="22"/>
          <w:lang w:val="fr-FR"/>
        </w:rPr>
        <w:t xml:space="preserve"> </w:t>
      </w:r>
      <w:r>
        <w:rPr>
          <w:rFonts w:ascii="Arial" w:eastAsia="SimSun" w:hAnsi="Arial" w:cs="Arial"/>
          <w:sz w:val="22"/>
          <w:szCs w:val="22"/>
          <w:lang w:val="fr-FR"/>
        </w:rPr>
        <w:t xml:space="preserve">formation </w:t>
      </w:r>
      <w:r w:rsidRPr="007B72DB">
        <w:rPr>
          <w:rFonts w:ascii="Arial" w:eastAsia="SimSun" w:hAnsi="Arial" w:cs="Arial"/>
          <w:sz w:val="22"/>
          <w:szCs w:val="22"/>
          <w:lang w:val="fr-FR"/>
        </w:rPr>
        <w:t>en ligne ouvert</w:t>
      </w:r>
      <w:r>
        <w:rPr>
          <w:rFonts w:ascii="Arial" w:eastAsia="SimSun" w:hAnsi="Arial" w:cs="Arial"/>
          <w:sz w:val="22"/>
          <w:szCs w:val="22"/>
          <w:lang w:val="fr-FR"/>
        </w:rPr>
        <w:t>e</w:t>
      </w:r>
      <w:r w:rsidRPr="007B72DB">
        <w:rPr>
          <w:rFonts w:ascii="Arial" w:eastAsia="SimSun" w:hAnsi="Arial" w:cs="Arial"/>
          <w:sz w:val="22"/>
          <w:szCs w:val="22"/>
          <w:lang w:val="fr-FR"/>
        </w:rPr>
        <w:t xml:space="preserve"> </w:t>
      </w:r>
      <w:r>
        <w:rPr>
          <w:rFonts w:ascii="Arial" w:eastAsia="SimSun" w:hAnsi="Arial" w:cs="Arial"/>
          <w:sz w:val="22"/>
          <w:szCs w:val="22"/>
          <w:lang w:val="fr-FR"/>
        </w:rPr>
        <w:t>à tous</w:t>
      </w:r>
      <w:r w:rsidRPr="007B72DB">
        <w:rPr>
          <w:rFonts w:ascii="Arial" w:eastAsia="SimSun" w:hAnsi="Arial" w:cs="Arial"/>
          <w:sz w:val="22"/>
          <w:szCs w:val="22"/>
          <w:lang w:val="fr-FR"/>
        </w:rPr>
        <w:t xml:space="preserve"> (</w:t>
      </w:r>
      <w:r>
        <w:rPr>
          <w:rFonts w:ascii="Arial" w:eastAsia="SimSun" w:hAnsi="Arial" w:cs="Arial"/>
          <w:sz w:val="22"/>
          <w:szCs w:val="22"/>
          <w:lang w:val="fr-FR"/>
        </w:rPr>
        <w:t xml:space="preserve">un </w:t>
      </w:r>
      <w:r w:rsidRPr="007B72DB">
        <w:rPr>
          <w:rFonts w:ascii="Arial" w:eastAsia="SimSun" w:hAnsi="Arial" w:cs="Arial"/>
          <w:sz w:val="22"/>
          <w:szCs w:val="22"/>
          <w:lang w:val="fr-FR"/>
        </w:rPr>
        <w:t xml:space="preserve">MOOC) sur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7B72DB">
        <w:rPr>
          <w:rFonts w:ascii="Arial" w:eastAsia="SimSun" w:hAnsi="Arial" w:cs="Arial"/>
          <w:sz w:val="22"/>
          <w:szCs w:val="22"/>
          <w:lang w:val="fr-FR"/>
        </w:rPr>
        <w:t>et le développement durable</w:t>
      </w:r>
      <w:r>
        <w:rPr>
          <w:rStyle w:val="FootnoteReference"/>
          <w:rFonts w:ascii="Arial" w:eastAsia="SimSun" w:hAnsi="Arial" w:cs="Arial"/>
          <w:sz w:val="22"/>
          <w:szCs w:val="22"/>
          <w:lang w:val="fr-FR"/>
        </w:rPr>
        <w:footnoteReference w:id="15"/>
      </w:r>
      <w:r w:rsidRPr="007B72DB">
        <w:rPr>
          <w:rFonts w:ascii="Arial" w:eastAsia="SimSun" w:hAnsi="Arial" w:cs="Arial"/>
          <w:sz w:val="22"/>
          <w:szCs w:val="22"/>
          <w:lang w:val="fr-FR"/>
        </w:rPr>
        <w:t xml:space="preserve">. Une exposition </w:t>
      </w:r>
      <w:r>
        <w:rPr>
          <w:rFonts w:ascii="Arial" w:eastAsia="SimSun" w:hAnsi="Arial" w:cs="Arial"/>
          <w:sz w:val="22"/>
          <w:szCs w:val="22"/>
          <w:lang w:val="fr-FR"/>
        </w:rPr>
        <w:t>consacrée à ce</w:t>
      </w:r>
      <w:r w:rsidRPr="007B72DB">
        <w:rPr>
          <w:rFonts w:ascii="Arial" w:eastAsia="SimSun" w:hAnsi="Arial" w:cs="Arial"/>
          <w:sz w:val="22"/>
          <w:szCs w:val="22"/>
          <w:lang w:val="fr-FR"/>
        </w:rPr>
        <w:t xml:space="preserve"> MOOC </w:t>
      </w:r>
      <w:r>
        <w:rPr>
          <w:rFonts w:ascii="Arial" w:eastAsia="SimSun" w:hAnsi="Arial" w:cs="Arial"/>
          <w:sz w:val="22"/>
          <w:szCs w:val="22"/>
          <w:lang w:val="fr-FR"/>
        </w:rPr>
        <w:t xml:space="preserve">était </w:t>
      </w:r>
      <w:r w:rsidRPr="007B72DB">
        <w:rPr>
          <w:rFonts w:ascii="Arial" w:eastAsia="SimSun" w:hAnsi="Arial" w:cs="Arial"/>
          <w:sz w:val="22"/>
          <w:szCs w:val="22"/>
          <w:lang w:val="fr-FR"/>
        </w:rPr>
        <w:t>organisée pendant l</w:t>
      </w:r>
      <w:r w:rsidR="008E532B">
        <w:rPr>
          <w:rFonts w:ascii="Arial" w:eastAsia="SimSun" w:hAnsi="Arial" w:cs="Arial"/>
          <w:sz w:val="22"/>
          <w:szCs w:val="22"/>
          <w:lang w:val="fr-FR"/>
        </w:rPr>
        <w:t>’</w:t>
      </w:r>
      <w:r w:rsidRPr="007B72DB">
        <w:rPr>
          <w:rFonts w:ascii="Arial" w:eastAsia="SimSun" w:hAnsi="Arial" w:cs="Arial"/>
          <w:sz w:val="22"/>
          <w:szCs w:val="22"/>
          <w:lang w:val="fr-FR"/>
        </w:rPr>
        <w:t>Assemblée. Ce MOOC a</w:t>
      </w:r>
      <w:r>
        <w:rPr>
          <w:rFonts w:ascii="Arial" w:eastAsia="SimSun" w:hAnsi="Arial" w:cs="Arial"/>
          <w:sz w:val="22"/>
          <w:szCs w:val="22"/>
          <w:lang w:val="fr-FR"/>
        </w:rPr>
        <w:t>vait</w:t>
      </w:r>
      <w:r w:rsidRPr="007B72DB">
        <w:rPr>
          <w:rFonts w:ascii="Arial" w:eastAsia="SimSun" w:hAnsi="Arial" w:cs="Arial"/>
          <w:sz w:val="22"/>
          <w:szCs w:val="22"/>
          <w:lang w:val="fr-FR"/>
        </w:rPr>
        <w:t xml:space="preserve"> été </w:t>
      </w:r>
      <w:r>
        <w:rPr>
          <w:rFonts w:ascii="Arial" w:eastAsia="SimSun" w:hAnsi="Arial" w:cs="Arial"/>
          <w:sz w:val="22"/>
          <w:szCs w:val="22"/>
          <w:lang w:val="fr-FR"/>
        </w:rPr>
        <w:t>élaboré</w:t>
      </w:r>
      <w:r w:rsidRPr="007B72DB">
        <w:rPr>
          <w:rFonts w:ascii="Arial" w:eastAsia="SimSun" w:hAnsi="Arial" w:cs="Arial"/>
          <w:sz w:val="22"/>
          <w:szCs w:val="22"/>
          <w:lang w:val="fr-FR"/>
        </w:rPr>
        <w:t xml:space="preserve"> par l</w:t>
      </w:r>
      <w:r w:rsidR="008E532B">
        <w:rPr>
          <w:rFonts w:ascii="Arial" w:eastAsia="SimSun" w:hAnsi="Arial" w:cs="Arial"/>
          <w:sz w:val="22"/>
          <w:szCs w:val="22"/>
          <w:lang w:val="fr-FR"/>
        </w:rPr>
        <w:t>’</w:t>
      </w:r>
      <w:r w:rsidRPr="007B72DB">
        <w:rPr>
          <w:rFonts w:ascii="Arial" w:eastAsia="SimSun" w:hAnsi="Arial" w:cs="Arial"/>
          <w:sz w:val="22"/>
          <w:szCs w:val="22"/>
          <w:lang w:val="fr-FR"/>
        </w:rPr>
        <w:t>UNESCO en collaboration avec le Centre international d</w:t>
      </w:r>
      <w:r w:rsidR="008E532B">
        <w:rPr>
          <w:rFonts w:ascii="Arial" w:eastAsia="SimSun" w:hAnsi="Arial" w:cs="Arial"/>
          <w:sz w:val="22"/>
          <w:szCs w:val="22"/>
          <w:lang w:val="fr-FR"/>
        </w:rPr>
        <w:t>’</w:t>
      </w:r>
      <w:r w:rsidRPr="007B72DB">
        <w:rPr>
          <w:rFonts w:ascii="Arial" w:eastAsia="SimSun" w:hAnsi="Arial" w:cs="Arial"/>
          <w:sz w:val="22"/>
          <w:szCs w:val="22"/>
          <w:lang w:val="fr-FR"/>
        </w:rPr>
        <w:t xml:space="preserve">information et de </w:t>
      </w:r>
      <w:r>
        <w:rPr>
          <w:rFonts w:ascii="Arial" w:eastAsia="SimSun" w:hAnsi="Arial" w:cs="Arial"/>
          <w:sz w:val="22"/>
          <w:szCs w:val="22"/>
          <w:lang w:val="fr-FR"/>
        </w:rPr>
        <w:t>travail en réseau sur le patrimoine culturel immatériel dans la région</w:t>
      </w:r>
      <w:r w:rsidRPr="007B72DB">
        <w:rPr>
          <w:rFonts w:ascii="Arial" w:eastAsia="SimSun" w:hAnsi="Arial" w:cs="Arial"/>
          <w:sz w:val="22"/>
          <w:szCs w:val="22"/>
          <w:lang w:val="fr-FR"/>
        </w:rPr>
        <w:t xml:space="preserve"> Asie</w:t>
      </w:r>
      <w:r>
        <w:rPr>
          <w:rFonts w:ascii="Arial" w:eastAsia="SimSun" w:hAnsi="Arial" w:cs="Arial"/>
          <w:sz w:val="22"/>
          <w:szCs w:val="22"/>
          <w:lang w:val="fr-FR"/>
        </w:rPr>
        <w:t>-</w:t>
      </w:r>
      <w:r w:rsidRPr="007B72DB">
        <w:rPr>
          <w:rFonts w:ascii="Arial" w:eastAsia="SimSun" w:hAnsi="Arial" w:cs="Arial"/>
          <w:sz w:val="22"/>
          <w:szCs w:val="22"/>
          <w:lang w:val="fr-FR"/>
        </w:rPr>
        <w:t xml:space="preserve">Pacifique </w:t>
      </w:r>
      <w:r>
        <w:rPr>
          <w:rFonts w:ascii="Arial" w:eastAsia="SimSun" w:hAnsi="Arial" w:cs="Arial"/>
          <w:sz w:val="22"/>
          <w:szCs w:val="22"/>
          <w:lang w:val="fr-FR"/>
        </w:rPr>
        <w:t xml:space="preserve">(ICHCAP) </w:t>
      </w:r>
      <w:r w:rsidRPr="007B72DB">
        <w:rPr>
          <w:rFonts w:ascii="Arial" w:eastAsia="SimSun" w:hAnsi="Arial" w:cs="Arial"/>
          <w:sz w:val="22"/>
          <w:szCs w:val="22"/>
          <w:lang w:val="fr-FR"/>
        </w:rPr>
        <w:t>sous l</w:t>
      </w:r>
      <w:r w:rsidR="008E532B">
        <w:rPr>
          <w:rFonts w:ascii="Arial" w:eastAsia="SimSun" w:hAnsi="Arial" w:cs="Arial"/>
          <w:sz w:val="22"/>
          <w:szCs w:val="22"/>
          <w:lang w:val="fr-FR"/>
        </w:rPr>
        <w:t>’</w:t>
      </w:r>
      <w:r>
        <w:rPr>
          <w:rFonts w:ascii="Arial" w:eastAsia="SimSun" w:hAnsi="Arial" w:cs="Arial"/>
          <w:sz w:val="22"/>
          <w:szCs w:val="22"/>
          <w:lang w:val="fr-FR"/>
        </w:rPr>
        <w:t>égide</w:t>
      </w:r>
      <w:r w:rsidRPr="007B72DB">
        <w:rPr>
          <w:rFonts w:ascii="Arial" w:eastAsia="SimSun" w:hAnsi="Arial" w:cs="Arial"/>
          <w:sz w:val="22"/>
          <w:szCs w:val="22"/>
          <w:lang w:val="fr-FR"/>
        </w:rPr>
        <w:t xml:space="preserve"> de l</w:t>
      </w:r>
      <w:r w:rsidR="008E532B">
        <w:rPr>
          <w:rFonts w:ascii="Arial" w:eastAsia="SimSun" w:hAnsi="Arial" w:cs="Arial"/>
          <w:sz w:val="22"/>
          <w:szCs w:val="22"/>
          <w:lang w:val="fr-FR"/>
        </w:rPr>
        <w:t>’</w:t>
      </w:r>
      <w:r w:rsidRPr="007B72DB">
        <w:rPr>
          <w:rFonts w:ascii="Arial" w:eastAsia="SimSun" w:hAnsi="Arial" w:cs="Arial"/>
          <w:sz w:val="22"/>
          <w:szCs w:val="22"/>
          <w:lang w:val="fr-FR"/>
        </w:rPr>
        <w:t>UNESCO</w:t>
      </w:r>
      <w:r>
        <w:rPr>
          <w:rFonts w:ascii="Arial" w:eastAsia="SimSun" w:hAnsi="Arial" w:cs="Arial"/>
          <w:sz w:val="22"/>
          <w:szCs w:val="22"/>
          <w:lang w:val="fr-FR"/>
        </w:rPr>
        <w:t xml:space="preserve"> </w:t>
      </w:r>
      <w:r w:rsidRPr="007B72DB">
        <w:rPr>
          <w:rFonts w:ascii="Arial" w:eastAsia="SimSun" w:hAnsi="Arial" w:cs="Arial"/>
          <w:sz w:val="22"/>
          <w:szCs w:val="22"/>
          <w:lang w:val="fr-FR"/>
        </w:rPr>
        <w:t xml:space="preserve">et la SDG </w:t>
      </w:r>
      <w:proofErr w:type="spellStart"/>
      <w:r w:rsidRPr="007B72DB">
        <w:rPr>
          <w:rFonts w:ascii="Arial" w:eastAsia="SimSun" w:hAnsi="Arial" w:cs="Arial"/>
          <w:sz w:val="22"/>
          <w:szCs w:val="22"/>
          <w:lang w:val="fr-FR"/>
        </w:rPr>
        <w:t>Academy</w:t>
      </w:r>
      <w:proofErr w:type="spellEnd"/>
      <w:r w:rsidRPr="007B72DB">
        <w:rPr>
          <w:rFonts w:ascii="Arial" w:eastAsia="SimSun" w:hAnsi="Arial" w:cs="Arial"/>
          <w:sz w:val="22"/>
          <w:szCs w:val="22"/>
          <w:lang w:val="fr-FR"/>
        </w:rPr>
        <w:t>. Le cours et l</w:t>
      </w:r>
      <w:r w:rsidR="008E532B">
        <w:rPr>
          <w:rFonts w:ascii="Arial" w:eastAsia="SimSun" w:hAnsi="Arial" w:cs="Arial"/>
          <w:sz w:val="22"/>
          <w:szCs w:val="22"/>
          <w:lang w:val="fr-FR"/>
        </w:rPr>
        <w:t>’</w:t>
      </w:r>
      <w:r w:rsidRPr="007B72DB">
        <w:rPr>
          <w:rFonts w:ascii="Arial" w:eastAsia="SimSun" w:hAnsi="Arial" w:cs="Arial"/>
          <w:sz w:val="22"/>
          <w:szCs w:val="22"/>
          <w:lang w:val="fr-FR"/>
        </w:rPr>
        <w:t>exposition</w:t>
      </w:r>
      <w:r>
        <w:rPr>
          <w:rFonts w:ascii="Arial" w:eastAsia="SimSun" w:hAnsi="Arial" w:cs="Arial"/>
          <w:sz w:val="22"/>
          <w:szCs w:val="22"/>
          <w:lang w:val="fr-FR"/>
        </w:rPr>
        <w:t xml:space="preserve"> avaient été réalisés</w:t>
      </w:r>
      <w:r w:rsidRPr="007B72DB">
        <w:rPr>
          <w:rFonts w:ascii="Arial" w:eastAsia="SimSun" w:hAnsi="Arial" w:cs="Arial"/>
          <w:sz w:val="22"/>
          <w:szCs w:val="22"/>
          <w:lang w:val="fr-FR"/>
        </w:rPr>
        <w:t xml:space="preserve"> avec le généreux soutien de l</w:t>
      </w:r>
      <w:r w:rsidR="008E532B">
        <w:rPr>
          <w:rFonts w:ascii="Arial" w:eastAsia="SimSun" w:hAnsi="Arial" w:cs="Arial"/>
          <w:sz w:val="22"/>
          <w:szCs w:val="22"/>
          <w:lang w:val="fr-FR"/>
        </w:rPr>
        <w:t>’</w:t>
      </w:r>
      <w:r w:rsidRPr="007B72DB">
        <w:rPr>
          <w:rFonts w:ascii="Arial" w:eastAsia="SimSun" w:hAnsi="Arial" w:cs="Arial"/>
          <w:sz w:val="22"/>
          <w:szCs w:val="22"/>
          <w:lang w:val="fr-FR"/>
        </w:rPr>
        <w:t xml:space="preserve">Administration du patrimoine culturel de la République de Corée. </w:t>
      </w:r>
      <w:r>
        <w:rPr>
          <w:rFonts w:ascii="Arial" w:eastAsia="SimSun" w:hAnsi="Arial" w:cs="Arial"/>
          <w:sz w:val="22"/>
          <w:szCs w:val="22"/>
          <w:lang w:val="fr-FR"/>
        </w:rPr>
        <w:t>[</w:t>
      </w:r>
      <w:r w:rsidRPr="00E8321F">
        <w:rPr>
          <w:rFonts w:ascii="Arial" w:eastAsia="SimSun" w:hAnsi="Arial" w:cs="Arial"/>
          <w:sz w:val="22"/>
          <w:szCs w:val="22"/>
          <w:lang w:val="fr-FR"/>
        </w:rPr>
        <w:t>Une courte vidéo a été diffusée pour présenter l</w:t>
      </w:r>
      <w:r w:rsidR="008E532B">
        <w:rPr>
          <w:rFonts w:ascii="Arial" w:eastAsia="SimSun" w:hAnsi="Arial" w:cs="Arial"/>
          <w:sz w:val="22"/>
          <w:szCs w:val="22"/>
          <w:lang w:val="fr-FR"/>
        </w:rPr>
        <w:t>’</w:t>
      </w:r>
      <w:r w:rsidRPr="00E8321F">
        <w:rPr>
          <w:rFonts w:ascii="Arial" w:eastAsia="SimSun" w:hAnsi="Arial" w:cs="Arial"/>
          <w:sz w:val="22"/>
          <w:szCs w:val="22"/>
          <w:lang w:val="fr-FR"/>
        </w:rPr>
        <w:t>exposition</w:t>
      </w:r>
      <w:r>
        <w:rPr>
          <w:rFonts w:ascii="Arial" w:eastAsia="SimSun" w:hAnsi="Arial" w:cs="Arial"/>
          <w:sz w:val="22"/>
          <w:szCs w:val="22"/>
          <w:lang w:val="fr-FR"/>
        </w:rPr>
        <w:t>].</w:t>
      </w:r>
      <w:r w:rsidRPr="007B72DB">
        <w:rPr>
          <w:rFonts w:ascii="Arial" w:eastAsia="SimSun" w:hAnsi="Arial" w:cs="Arial"/>
          <w:sz w:val="22"/>
          <w:szCs w:val="22"/>
          <w:lang w:val="fr-FR"/>
        </w:rPr>
        <w:t xml:space="preserve"> Au cours des deux dernières années, le programme </w:t>
      </w:r>
      <w:r>
        <w:rPr>
          <w:rFonts w:ascii="Arial" w:eastAsia="SimSun" w:hAnsi="Arial" w:cs="Arial"/>
          <w:sz w:val="22"/>
          <w:szCs w:val="22"/>
          <w:lang w:val="fr-FR"/>
        </w:rPr>
        <w:t xml:space="preserve">global </w:t>
      </w:r>
      <w:r w:rsidRPr="007B72DB">
        <w:rPr>
          <w:rFonts w:ascii="Arial" w:eastAsia="SimSun" w:hAnsi="Arial" w:cs="Arial"/>
          <w:sz w:val="22"/>
          <w:szCs w:val="22"/>
          <w:lang w:val="fr-FR"/>
        </w:rPr>
        <w:t>de renforcement des capacités a</w:t>
      </w:r>
      <w:r>
        <w:rPr>
          <w:rFonts w:ascii="Arial" w:eastAsia="SimSun" w:hAnsi="Arial" w:cs="Arial"/>
          <w:sz w:val="22"/>
          <w:szCs w:val="22"/>
          <w:lang w:val="fr-FR"/>
        </w:rPr>
        <w:t>vait</w:t>
      </w:r>
      <w:r w:rsidRPr="007B72DB">
        <w:rPr>
          <w:rFonts w:ascii="Arial" w:eastAsia="SimSun" w:hAnsi="Arial" w:cs="Arial"/>
          <w:sz w:val="22"/>
          <w:szCs w:val="22"/>
          <w:lang w:val="fr-FR"/>
        </w:rPr>
        <w:t xml:space="preserve"> encore élargi son champ d</w:t>
      </w:r>
      <w:r w:rsidR="008E532B">
        <w:rPr>
          <w:rFonts w:ascii="Arial" w:eastAsia="SimSun" w:hAnsi="Arial" w:cs="Arial"/>
          <w:sz w:val="22"/>
          <w:szCs w:val="22"/>
          <w:lang w:val="fr-FR"/>
        </w:rPr>
        <w:t>’</w:t>
      </w:r>
      <w:r w:rsidRPr="007B72DB">
        <w:rPr>
          <w:rFonts w:ascii="Arial" w:eastAsia="SimSun" w:hAnsi="Arial" w:cs="Arial"/>
          <w:sz w:val="22"/>
          <w:szCs w:val="22"/>
          <w:lang w:val="fr-FR"/>
        </w:rPr>
        <w:t>expertise thématique à de nouveaux domaines, tels que le patrimoine culturel immatériel et la réduction des risques de catastrophe. Une nouvelle approche a</w:t>
      </w:r>
      <w:r>
        <w:rPr>
          <w:rFonts w:ascii="Arial" w:eastAsia="SimSun" w:hAnsi="Arial" w:cs="Arial"/>
          <w:sz w:val="22"/>
          <w:szCs w:val="22"/>
          <w:lang w:val="fr-FR"/>
        </w:rPr>
        <w:t>vait</w:t>
      </w:r>
      <w:r w:rsidRPr="007B72DB">
        <w:rPr>
          <w:rFonts w:ascii="Arial" w:eastAsia="SimSun" w:hAnsi="Arial" w:cs="Arial"/>
          <w:sz w:val="22"/>
          <w:szCs w:val="22"/>
          <w:lang w:val="fr-FR"/>
        </w:rPr>
        <w:t xml:space="preserve"> été élaborée et </w:t>
      </w:r>
      <w:r>
        <w:rPr>
          <w:rFonts w:ascii="Arial" w:eastAsia="SimSun" w:hAnsi="Arial" w:cs="Arial"/>
          <w:sz w:val="22"/>
          <w:szCs w:val="22"/>
          <w:lang w:val="fr-FR"/>
        </w:rPr>
        <w:t xml:space="preserve">était alors en cours de </w:t>
      </w:r>
      <w:r w:rsidRPr="007B72DB">
        <w:rPr>
          <w:rFonts w:ascii="Arial" w:eastAsia="SimSun" w:hAnsi="Arial" w:cs="Arial"/>
          <w:sz w:val="22"/>
          <w:szCs w:val="22"/>
          <w:lang w:val="fr-FR"/>
        </w:rPr>
        <w:t xml:space="preserve">mise en œuvre dans cinq PEID, réunissant des praticiens de la culture, des décideurs politiques et des spécialistes de la réduction des risques de catastrophe. Face à une forte demande de renforcement des capacités dans toutes les régions du monde, M. </w:t>
      </w:r>
      <w:proofErr w:type="spellStart"/>
      <w:r w:rsidRPr="007B72DB">
        <w:rPr>
          <w:rFonts w:ascii="Arial" w:eastAsia="SimSun" w:hAnsi="Arial" w:cs="Arial"/>
          <w:sz w:val="22"/>
          <w:szCs w:val="22"/>
          <w:lang w:val="fr-FR"/>
        </w:rPr>
        <w:t>Ottone</w:t>
      </w:r>
      <w:proofErr w:type="spellEnd"/>
      <w:r w:rsidRPr="007B72DB">
        <w:rPr>
          <w:rFonts w:ascii="Arial" w:eastAsia="SimSun" w:hAnsi="Arial" w:cs="Arial"/>
          <w:sz w:val="22"/>
          <w:szCs w:val="22"/>
          <w:lang w:val="fr-FR"/>
        </w:rPr>
        <w:t xml:space="preserve"> a eu le plaisir d</w:t>
      </w:r>
      <w:r w:rsidR="008E532B">
        <w:rPr>
          <w:rFonts w:ascii="Arial" w:eastAsia="SimSun" w:hAnsi="Arial" w:cs="Arial"/>
          <w:sz w:val="22"/>
          <w:szCs w:val="22"/>
          <w:lang w:val="fr-FR"/>
        </w:rPr>
        <w:t>’</w:t>
      </w:r>
      <w:r w:rsidRPr="007B72DB">
        <w:rPr>
          <w:rFonts w:ascii="Arial" w:eastAsia="SimSun" w:hAnsi="Arial" w:cs="Arial"/>
          <w:sz w:val="22"/>
          <w:szCs w:val="22"/>
          <w:lang w:val="fr-FR"/>
        </w:rPr>
        <w:t xml:space="preserve">annoncer que le Secrétariat lançait un appel pour étendre le réseau </w:t>
      </w:r>
      <w:r>
        <w:rPr>
          <w:rFonts w:ascii="Arial" w:eastAsia="SimSun" w:hAnsi="Arial" w:cs="Arial"/>
          <w:sz w:val="22"/>
          <w:szCs w:val="22"/>
          <w:lang w:val="fr-FR"/>
        </w:rPr>
        <w:t xml:space="preserve">global </w:t>
      </w:r>
      <w:r w:rsidRPr="007B72DB">
        <w:rPr>
          <w:rFonts w:ascii="Arial" w:eastAsia="SimSun" w:hAnsi="Arial" w:cs="Arial"/>
          <w:sz w:val="22"/>
          <w:szCs w:val="22"/>
          <w:lang w:val="fr-FR"/>
        </w:rPr>
        <w:t>de facilitateurs</w:t>
      </w:r>
      <w:r>
        <w:rPr>
          <w:rStyle w:val="FootnoteReference"/>
          <w:rFonts w:ascii="Arial" w:eastAsia="SimSun" w:hAnsi="Arial" w:cs="Arial"/>
          <w:sz w:val="22"/>
          <w:szCs w:val="22"/>
          <w:lang w:val="fr-FR"/>
        </w:rPr>
        <w:footnoteReference w:id="16"/>
      </w:r>
      <w:r w:rsidRPr="007B72DB">
        <w:rPr>
          <w:rFonts w:ascii="Arial" w:eastAsia="SimSun" w:hAnsi="Arial" w:cs="Arial"/>
          <w:sz w:val="22"/>
          <w:szCs w:val="22"/>
          <w:lang w:val="fr-FR"/>
        </w:rPr>
        <w:t>, une ressource qui a</w:t>
      </w:r>
      <w:r>
        <w:rPr>
          <w:rFonts w:ascii="Arial" w:eastAsia="SimSun" w:hAnsi="Arial" w:cs="Arial"/>
          <w:sz w:val="22"/>
          <w:szCs w:val="22"/>
          <w:lang w:val="fr-FR"/>
        </w:rPr>
        <w:t>vait</w:t>
      </w:r>
      <w:r w:rsidRPr="007B72DB">
        <w:rPr>
          <w:rFonts w:ascii="Arial" w:eastAsia="SimSun" w:hAnsi="Arial" w:cs="Arial"/>
          <w:sz w:val="22"/>
          <w:szCs w:val="22"/>
          <w:lang w:val="fr-FR"/>
        </w:rPr>
        <w:t xml:space="preserve"> été la clé du succès du programme au fil des ans.</w:t>
      </w:r>
    </w:p>
    <w:p w14:paraId="459A3202" w14:textId="3FE2D484" w:rsidR="00D9653F" w:rsidRPr="00C5692C"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C5692C">
        <w:rPr>
          <w:rFonts w:ascii="Arial" w:eastAsia="SimSun" w:hAnsi="Arial" w:cs="Arial"/>
          <w:sz w:val="22"/>
          <w:szCs w:val="22"/>
          <w:lang w:val="fr-FR"/>
        </w:rPr>
        <w:t xml:space="preserve">Le </w:t>
      </w:r>
      <w:r w:rsidRPr="00C5692C">
        <w:rPr>
          <w:rFonts w:ascii="Arial" w:eastAsia="SimSun" w:hAnsi="Arial" w:cs="Arial"/>
          <w:b/>
          <w:bCs/>
          <w:sz w:val="22"/>
          <w:szCs w:val="22"/>
          <w:lang w:val="fr-FR"/>
        </w:rPr>
        <w:t>Sous-Directeur général</w:t>
      </w:r>
      <w:r w:rsidRPr="00C5692C">
        <w:rPr>
          <w:rFonts w:ascii="Arial" w:eastAsia="SimSun" w:hAnsi="Arial" w:cs="Arial"/>
          <w:sz w:val="22"/>
          <w:szCs w:val="22"/>
          <w:lang w:val="fr-FR"/>
        </w:rPr>
        <w:t xml:space="preserve"> a ensuite </w:t>
      </w:r>
      <w:r>
        <w:rPr>
          <w:rFonts w:ascii="Arial" w:eastAsia="SimSun" w:hAnsi="Arial" w:cs="Arial"/>
          <w:sz w:val="22"/>
          <w:szCs w:val="22"/>
          <w:lang w:val="fr-FR"/>
        </w:rPr>
        <w:t xml:space="preserve">abordé </w:t>
      </w:r>
      <w:r w:rsidRPr="00C5692C">
        <w:rPr>
          <w:rFonts w:ascii="Arial" w:eastAsia="SimSun" w:hAnsi="Arial" w:cs="Arial"/>
          <w:sz w:val="22"/>
          <w:szCs w:val="22"/>
          <w:lang w:val="fr-FR"/>
        </w:rPr>
        <w:t>la deuxième priorité de financement de la Convention</w:t>
      </w:r>
      <w:r>
        <w:rPr>
          <w:rFonts w:ascii="Arial" w:eastAsia="SimSun" w:hAnsi="Arial" w:cs="Arial"/>
          <w:sz w:val="22"/>
          <w:szCs w:val="22"/>
          <w:lang w:val="fr-FR"/>
        </w:rPr>
        <w:t> </w:t>
      </w:r>
      <w:r w:rsidRPr="00C5692C">
        <w:rPr>
          <w:rFonts w:ascii="Arial" w:eastAsia="SimSun" w:hAnsi="Arial" w:cs="Arial"/>
          <w:sz w:val="22"/>
          <w:szCs w:val="22"/>
          <w:lang w:val="fr-FR"/>
        </w:rPr>
        <w:t xml:space="preserve">: le programme de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5692C">
        <w:rPr>
          <w:rFonts w:ascii="Arial" w:eastAsia="SimSun" w:hAnsi="Arial" w:cs="Arial"/>
          <w:sz w:val="22"/>
          <w:szCs w:val="22"/>
          <w:lang w:val="fr-FR"/>
        </w:rPr>
        <w:t>dans l</w:t>
      </w:r>
      <w:r w:rsidR="008E532B">
        <w:rPr>
          <w:rFonts w:ascii="Arial" w:eastAsia="SimSun" w:hAnsi="Arial" w:cs="Arial"/>
          <w:sz w:val="22"/>
          <w:szCs w:val="22"/>
          <w:lang w:val="fr-FR"/>
        </w:rPr>
        <w:t>’</w:t>
      </w:r>
      <w:r w:rsidRPr="00C5692C">
        <w:rPr>
          <w:rFonts w:ascii="Arial" w:eastAsia="SimSun" w:hAnsi="Arial" w:cs="Arial"/>
          <w:sz w:val="22"/>
          <w:szCs w:val="22"/>
          <w:lang w:val="fr-FR"/>
        </w:rPr>
        <w:t>éducation formelle et non formelle, qui a</w:t>
      </w:r>
      <w:r>
        <w:rPr>
          <w:rFonts w:ascii="Arial" w:eastAsia="SimSun" w:hAnsi="Arial" w:cs="Arial"/>
          <w:sz w:val="22"/>
          <w:szCs w:val="22"/>
          <w:lang w:val="fr-FR"/>
        </w:rPr>
        <w:t>vait</w:t>
      </w:r>
      <w:r w:rsidRPr="00C5692C">
        <w:rPr>
          <w:rFonts w:ascii="Arial" w:eastAsia="SimSun" w:hAnsi="Arial" w:cs="Arial"/>
          <w:sz w:val="22"/>
          <w:szCs w:val="22"/>
          <w:lang w:val="fr-FR"/>
        </w:rPr>
        <w:t xml:space="preserve"> également </w:t>
      </w:r>
      <w:r>
        <w:rPr>
          <w:rFonts w:ascii="Arial" w:eastAsia="SimSun" w:hAnsi="Arial" w:cs="Arial"/>
          <w:sz w:val="22"/>
          <w:szCs w:val="22"/>
          <w:lang w:val="fr-FR"/>
        </w:rPr>
        <w:t>réalisé</w:t>
      </w:r>
      <w:r w:rsidRPr="00C5692C">
        <w:rPr>
          <w:rFonts w:ascii="Arial" w:eastAsia="SimSun" w:hAnsi="Arial" w:cs="Arial"/>
          <w:sz w:val="22"/>
          <w:szCs w:val="22"/>
          <w:lang w:val="fr-FR"/>
        </w:rPr>
        <w:t xml:space="preserve"> des progrès significatifs au cours des deux dernières années. Depuis son lancement en 2018, ce programme </w:t>
      </w:r>
      <w:r>
        <w:rPr>
          <w:rFonts w:ascii="Arial" w:eastAsia="SimSun" w:hAnsi="Arial" w:cs="Arial"/>
          <w:sz w:val="22"/>
          <w:szCs w:val="22"/>
          <w:lang w:val="fr-FR"/>
        </w:rPr>
        <w:t>s</w:t>
      </w:r>
      <w:r w:rsidR="008E532B">
        <w:rPr>
          <w:rFonts w:ascii="Arial" w:eastAsia="SimSun" w:hAnsi="Arial" w:cs="Arial"/>
          <w:sz w:val="22"/>
          <w:szCs w:val="22"/>
          <w:lang w:val="fr-FR"/>
        </w:rPr>
        <w:t>’</w:t>
      </w:r>
      <w:r>
        <w:rPr>
          <w:rFonts w:ascii="Arial" w:eastAsia="SimSun" w:hAnsi="Arial" w:cs="Arial"/>
          <w:sz w:val="22"/>
          <w:szCs w:val="22"/>
          <w:lang w:val="fr-FR"/>
        </w:rPr>
        <w:t>était développé</w:t>
      </w:r>
      <w:r w:rsidRPr="00C5692C">
        <w:rPr>
          <w:rFonts w:ascii="Arial" w:eastAsia="SimSun" w:hAnsi="Arial" w:cs="Arial"/>
          <w:sz w:val="22"/>
          <w:szCs w:val="22"/>
          <w:lang w:val="fr-FR"/>
        </w:rPr>
        <w:t xml:space="preserve">, avec des </w:t>
      </w:r>
      <w:r>
        <w:rPr>
          <w:rFonts w:ascii="Arial" w:eastAsia="SimSun" w:hAnsi="Arial" w:cs="Arial"/>
          <w:sz w:val="22"/>
          <w:szCs w:val="22"/>
          <w:lang w:val="fr-FR"/>
        </w:rPr>
        <w:t xml:space="preserve">activités et des </w:t>
      </w:r>
      <w:r w:rsidRPr="00C5692C">
        <w:rPr>
          <w:rFonts w:ascii="Arial" w:eastAsia="SimSun" w:hAnsi="Arial" w:cs="Arial"/>
          <w:sz w:val="22"/>
          <w:szCs w:val="22"/>
          <w:lang w:val="fr-FR"/>
        </w:rPr>
        <w:t>projets</w:t>
      </w:r>
      <w:r>
        <w:rPr>
          <w:rFonts w:ascii="Arial" w:eastAsia="SimSun" w:hAnsi="Arial" w:cs="Arial"/>
          <w:sz w:val="22"/>
          <w:szCs w:val="22"/>
          <w:lang w:val="fr-FR"/>
        </w:rPr>
        <w:t xml:space="preserve"> </w:t>
      </w:r>
      <w:r w:rsidRPr="00C5692C">
        <w:rPr>
          <w:rFonts w:ascii="Arial" w:eastAsia="SimSun" w:hAnsi="Arial" w:cs="Arial"/>
          <w:sz w:val="22"/>
          <w:szCs w:val="22"/>
          <w:lang w:val="fr-FR"/>
        </w:rPr>
        <w:t>mis en œuvre dans plus de cinquante pays. L</w:t>
      </w:r>
      <w:r w:rsidR="008E532B">
        <w:rPr>
          <w:rFonts w:ascii="Arial" w:eastAsia="SimSun" w:hAnsi="Arial" w:cs="Arial"/>
          <w:sz w:val="22"/>
          <w:szCs w:val="22"/>
          <w:lang w:val="fr-FR"/>
        </w:rPr>
        <w:t>’</w:t>
      </w:r>
      <w:r w:rsidRPr="00C5692C">
        <w:rPr>
          <w:rFonts w:ascii="Arial" w:eastAsia="SimSun" w:hAnsi="Arial" w:cs="Arial"/>
          <w:sz w:val="22"/>
          <w:szCs w:val="22"/>
          <w:lang w:val="fr-FR"/>
        </w:rPr>
        <w:t>évaluation d</w:t>
      </w:r>
      <w:r>
        <w:rPr>
          <w:rFonts w:ascii="Arial" w:eastAsia="SimSun" w:hAnsi="Arial" w:cs="Arial"/>
          <w:sz w:val="22"/>
          <w:szCs w:val="22"/>
          <w:lang w:val="fr-FR"/>
        </w:rPr>
        <w:t>e l</w:t>
      </w:r>
      <w:r w:rsidR="008E532B">
        <w:rPr>
          <w:rFonts w:ascii="Arial" w:eastAsia="SimSun" w:hAnsi="Arial" w:cs="Arial"/>
          <w:sz w:val="22"/>
          <w:szCs w:val="22"/>
          <w:lang w:val="fr-FR"/>
        </w:rPr>
        <w:t>’</w:t>
      </w:r>
      <w:r>
        <w:rPr>
          <w:rFonts w:ascii="Arial" w:eastAsia="SimSun" w:hAnsi="Arial" w:cs="Arial"/>
          <w:sz w:val="22"/>
          <w:szCs w:val="22"/>
          <w:lang w:val="fr-FR"/>
        </w:rPr>
        <w:t>IOS</w:t>
      </w:r>
      <w:r w:rsidRPr="00C5692C">
        <w:rPr>
          <w:rFonts w:ascii="Arial" w:eastAsia="SimSun" w:hAnsi="Arial" w:cs="Arial"/>
          <w:sz w:val="22"/>
          <w:szCs w:val="22"/>
          <w:lang w:val="fr-FR"/>
        </w:rPr>
        <w:t xml:space="preserve"> avait pris note de ses réalisations en matière de sensibilisation et de respect du patrimoine vivant parmi les jeunes et la communauté</w:t>
      </w:r>
      <w:r>
        <w:rPr>
          <w:rFonts w:ascii="Arial" w:eastAsia="SimSun" w:hAnsi="Arial" w:cs="Arial"/>
          <w:sz w:val="22"/>
          <w:szCs w:val="22"/>
          <w:lang w:val="fr-FR"/>
        </w:rPr>
        <w:t xml:space="preserve"> </w:t>
      </w:r>
      <w:r w:rsidRPr="00C5692C">
        <w:rPr>
          <w:rFonts w:ascii="Arial" w:eastAsia="SimSun" w:hAnsi="Arial" w:cs="Arial"/>
          <w:sz w:val="22"/>
          <w:szCs w:val="22"/>
          <w:lang w:val="fr-FR"/>
        </w:rPr>
        <w:t>au sens large. Le programme était basé sur une étroite collaboration avec le secteur de l</w:t>
      </w:r>
      <w:r w:rsidR="008E532B">
        <w:rPr>
          <w:rFonts w:ascii="Arial" w:eastAsia="SimSun" w:hAnsi="Arial" w:cs="Arial"/>
          <w:sz w:val="22"/>
          <w:szCs w:val="22"/>
          <w:lang w:val="fr-FR"/>
        </w:rPr>
        <w:t>’</w:t>
      </w:r>
      <w:r w:rsidRPr="00C5692C">
        <w:rPr>
          <w:rFonts w:ascii="Arial" w:eastAsia="SimSun" w:hAnsi="Arial" w:cs="Arial"/>
          <w:sz w:val="22"/>
          <w:szCs w:val="22"/>
          <w:lang w:val="fr-FR"/>
        </w:rPr>
        <w:t xml:space="preserve">éducation et il serait </w:t>
      </w:r>
      <w:r>
        <w:rPr>
          <w:rFonts w:ascii="Arial" w:eastAsia="SimSun" w:hAnsi="Arial" w:cs="Arial"/>
          <w:sz w:val="22"/>
          <w:szCs w:val="22"/>
          <w:lang w:val="fr-FR"/>
        </w:rPr>
        <w:t>essentiel</w:t>
      </w:r>
      <w:r w:rsidRPr="00C5692C">
        <w:rPr>
          <w:rFonts w:ascii="Arial" w:eastAsia="SimSun" w:hAnsi="Arial" w:cs="Arial"/>
          <w:sz w:val="22"/>
          <w:szCs w:val="22"/>
          <w:lang w:val="fr-FR"/>
        </w:rPr>
        <w:t xml:space="preserve"> de renforcer ce travail intersectoriel au fur et à mesure que le Secrétariat </w:t>
      </w:r>
      <w:r>
        <w:rPr>
          <w:rFonts w:ascii="Arial" w:eastAsia="SimSun" w:hAnsi="Arial" w:cs="Arial"/>
          <w:sz w:val="22"/>
          <w:szCs w:val="22"/>
          <w:lang w:val="fr-FR"/>
        </w:rPr>
        <w:t>amplifierait</w:t>
      </w:r>
      <w:r w:rsidRPr="00C5692C">
        <w:rPr>
          <w:rFonts w:ascii="Arial" w:eastAsia="SimSun" w:hAnsi="Arial" w:cs="Arial"/>
          <w:sz w:val="22"/>
          <w:szCs w:val="22"/>
          <w:lang w:val="fr-FR"/>
        </w:rPr>
        <w:t xml:space="preserve"> le programme pour </w:t>
      </w:r>
      <w:r>
        <w:rPr>
          <w:rFonts w:ascii="Arial" w:eastAsia="SimSun" w:hAnsi="Arial" w:cs="Arial"/>
          <w:sz w:val="22"/>
          <w:szCs w:val="22"/>
          <w:lang w:val="fr-FR"/>
        </w:rPr>
        <w:t xml:space="preserve">parvenir à </w:t>
      </w:r>
      <w:r w:rsidRPr="00C5692C">
        <w:rPr>
          <w:rFonts w:ascii="Arial" w:eastAsia="SimSun" w:hAnsi="Arial" w:cs="Arial"/>
          <w:sz w:val="22"/>
          <w:szCs w:val="22"/>
          <w:lang w:val="fr-FR"/>
        </w:rPr>
        <w:t xml:space="preserve">un plus grand impact. Le Secrétariat </w:t>
      </w:r>
      <w:r>
        <w:rPr>
          <w:rFonts w:ascii="Arial" w:eastAsia="SimSun" w:hAnsi="Arial" w:cs="Arial"/>
          <w:sz w:val="22"/>
          <w:szCs w:val="22"/>
          <w:lang w:val="fr-FR"/>
        </w:rPr>
        <w:t>continuait</w:t>
      </w:r>
      <w:r w:rsidRPr="00C5692C">
        <w:rPr>
          <w:rFonts w:ascii="Arial" w:eastAsia="SimSun" w:hAnsi="Arial" w:cs="Arial"/>
          <w:sz w:val="22"/>
          <w:szCs w:val="22"/>
          <w:lang w:val="fr-FR"/>
        </w:rPr>
        <w:t xml:space="preserve"> également</w:t>
      </w:r>
      <w:r>
        <w:rPr>
          <w:rFonts w:ascii="Arial" w:eastAsia="SimSun" w:hAnsi="Arial" w:cs="Arial"/>
          <w:sz w:val="22"/>
          <w:szCs w:val="22"/>
          <w:lang w:val="fr-FR"/>
        </w:rPr>
        <w:t xml:space="preserve"> de</w:t>
      </w:r>
      <w:r w:rsidRPr="00C5692C">
        <w:rPr>
          <w:rFonts w:ascii="Arial" w:eastAsia="SimSun" w:hAnsi="Arial" w:cs="Arial"/>
          <w:sz w:val="22"/>
          <w:szCs w:val="22"/>
          <w:lang w:val="fr-FR"/>
        </w:rPr>
        <w:t xml:space="preserve"> relever les défis du développement durable en promouvant des approches intégratives, qui appréci</w:t>
      </w:r>
      <w:r>
        <w:rPr>
          <w:rFonts w:ascii="Arial" w:eastAsia="SimSun" w:hAnsi="Arial" w:cs="Arial"/>
          <w:sz w:val="22"/>
          <w:szCs w:val="22"/>
          <w:lang w:val="fr-FR"/>
        </w:rPr>
        <w:t>ent</w:t>
      </w:r>
      <w:r w:rsidRPr="00C5692C">
        <w:rPr>
          <w:rFonts w:ascii="Arial" w:eastAsia="SimSun" w:hAnsi="Arial" w:cs="Arial"/>
          <w:sz w:val="22"/>
          <w:szCs w:val="22"/>
          <w:lang w:val="fr-FR"/>
        </w:rPr>
        <w:t xml:space="preserve"> le rôle de la culture, y compris du </w:t>
      </w:r>
      <w:r w:rsidR="00E908E2">
        <w:rPr>
          <w:rFonts w:ascii="Arial" w:eastAsia="SimSun" w:hAnsi="Arial" w:cs="Arial"/>
          <w:bCs/>
          <w:sz w:val="22"/>
          <w:szCs w:val="22"/>
          <w:lang w:val="fr-FR" w:eastAsia="en-US"/>
        </w:rPr>
        <w:t>patrimoine culturel immatériel</w:t>
      </w:r>
      <w:r w:rsidRPr="00C5692C">
        <w:rPr>
          <w:rFonts w:ascii="Arial" w:eastAsia="SimSun" w:hAnsi="Arial" w:cs="Arial"/>
          <w:sz w:val="22"/>
          <w:szCs w:val="22"/>
          <w:lang w:val="fr-FR"/>
        </w:rPr>
        <w:t>, pour des sociétés durables et résilientes. À ce</w:t>
      </w:r>
      <w:r>
        <w:rPr>
          <w:rFonts w:ascii="Arial" w:eastAsia="SimSun" w:hAnsi="Arial" w:cs="Arial"/>
          <w:sz w:val="22"/>
          <w:szCs w:val="22"/>
          <w:lang w:val="fr-FR"/>
        </w:rPr>
        <w:t xml:space="preserve"> sujet</w:t>
      </w:r>
      <w:r w:rsidRPr="00C5692C">
        <w:rPr>
          <w:rFonts w:ascii="Arial" w:eastAsia="SimSun" w:hAnsi="Arial" w:cs="Arial"/>
          <w:sz w:val="22"/>
          <w:szCs w:val="22"/>
          <w:lang w:val="fr-FR"/>
        </w:rPr>
        <w:t xml:space="preserve">, M. </w:t>
      </w:r>
      <w:proofErr w:type="spellStart"/>
      <w:r w:rsidRPr="00C5692C">
        <w:rPr>
          <w:rFonts w:ascii="Arial" w:eastAsia="SimSun" w:hAnsi="Arial" w:cs="Arial"/>
          <w:sz w:val="22"/>
          <w:szCs w:val="22"/>
          <w:lang w:val="fr-FR"/>
        </w:rPr>
        <w:t>Ottone</w:t>
      </w:r>
      <w:proofErr w:type="spellEnd"/>
      <w:r w:rsidRPr="00C5692C">
        <w:rPr>
          <w:rFonts w:ascii="Arial" w:eastAsia="SimSun" w:hAnsi="Arial" w:cs="Arial"/>
          <w:sz w:val="22"/>
          <w:szCs w:val="22"/>
          <w:lang w:val="fr-FR"/>
        </w:rPr>
        <w:t xml:space="preserve"> a eu le plaisir d</w:t>
      </w:r>
      <w:r w:rsidR="008E532B">
        <w:rPr>
          <w:rFonts w:ascii="Arial" w:eastAsia="SimSun" w:hAnsi="Arial" w:cs="Arial"/>
          <w:sz w:val="22"/>
          <w:szCs w:val="22"/>
          <w:lang w:val="fr-FR"/>
        </w:rPr>
        <w:t>’</w:t>
      </w:r>
      <w:r w:rsidRPr="00C5692C">
        <w:rPr>
          <w:rFonts w:ascii="Arial" w:eastAsia="SimSun" w:hAnsi="Arial" w:cs="Arial"/>
          <w:sz w:val="22"/>
          <w:szCs w:val="22"/>
          <w:lang w:val="fr-FR"/>
        </w:rPr>
        <w:t xml:space="preserve">annoncer que le Secrétariat étendrait son travail à des domaines thématiques émergents, </w:t>
      </w:r>
      <w:r>
        <w:rPr>
          <w:rFonts w:ascii="Arial" w:eastAsia="SimSun" w:hAnsi="Arial" w:cs="Arial"/>
          <w:sz w:val="22"/>
          <w:szCs w:val="22"/>
          <w:lang w:val="fr-FR"/>
        </w:rPr>
        <w:t>auxquels</w:t>
      </w:r>
      <w:r w:rsidRPr="00C5692C">
        <w:rPr>
          <w:rFonts w:ascii="Arial" w:eastAsia="SimSun" w:hAnsi="Arial" w:cs="Arial"/>
          <w:sz w:val="22"/>
          <w:szCs w:val="22"/>
          <w:lang w:val="fr-FR"/>
        </w:rPr>
        <w:t xml:space="preserve">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5692C">
        <w:rPr>
          <w:rFonts w:ascii="Arial" w:eastAsia="SimSun" w:hAnsi="Arial" w:cs="Arial"/>
          <w:sz w:val="22"/>
          <w:szCs w:val="22"/>
          <w:lang w:val="fr-FR"/>
        </w:rPr>
        <w:t xml:space="preserve">pourrait apporter une contribution particulièrement précieuse. Ces domaines </w:t>
      </w:r>
      <w:r>
        <w:rPr>
          <w:rFonts w:ascii="Arial" w:eastAsia="SimSun" w:hAnsi="Arial" w:cs="Arial"/>
          <w:sz w:val="22"/>
          <w:szCs w:val="22"/>
          <w:lang w:val="fr-FR"/>
        </w:rPr>
        <w:t>étaient</w:t>
      </w:r>
      <w:r w:rsidRPr="00C5692C">
        <w:rPr>
          <w:rFonts w:ascii="Arial" w:eastAsia="SimSun" w:hAnsi="Arial" w:cs="Arial"/>
          <w:sz w:val="22"/>
          <w:szCs w:val="22"/>
          <w:lang w:val="fr-FR"/>
        </w:rPr>
        <w:t xml:space="preserv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5692C">
        <w:rPr>
          <w:rFonts w:ascii="Arial" w:eastAsia="SimSun" w:hAnsi="Arial" w:cs="Arial"/>
          <w:sz w:val="22"/>
          <w:szCs w:val="22"/>
          <w:lang w:val="fr-FR"/>
        </w:rPr>
        <w:t xml:space="preserve">et le changement climatique,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5692C">
        <w:rPr>
          <w:rFonts w:ascii="Arial" w:eastAsia="SimSun" w:hAnsi="Arial" w:cs="Arial"/>
          <w:sz w:val="22"/>
          <w:szCs w:val="22"/>
          <w:lang w:val="fr-FR"/>
        </w:rPr>
        <w:t xml:space="preserve">dans les contextes urbains, et la relation entre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5692C">
        <w:rPr>
          <w:rFonts w:ascii="Arial" w:eastAsia="SimSun" w:hAnsi="Arial" w:cs="Arial"/>
          <w:sz w:val="22"/>
          <w:szCs w:val="22"/>
          <w:lang w:val="fr-FR"/>
        </w:rPr>
        <w:t>et la commercialisation. Cela démontr</w:t>
      </w:r>
      <w:r>
        <w:rPr>
          <w:rFonts w:ascii="Arial" w:eastAsia="SimSun" w:hAnsi="Arial" w:cs="Arial"/>
          <w:sz w:val="22"/>
          <w:szCs w:val="22"/>
          <w:lang w:val="fr-FR"/>
        </w:rPr>
        <w:t>ait</w:t>
      </w:r>
      <w:r w:rsidRPr="00C5692C">
        <w:rPr>
          <w:rFonts w:ascii="Arial" w:eastAsia="SimSun" w:hAnsi="Arial" w:cs="Arial"/>
          <w:sz w:val="22"/>
          <w:szCs w:val="22"/>
          <w:lang w:val="fr-FR"/>
        </w:rPr>
        <w:t xml:space="preserve"> la nature en constante évolution de la Convention, près de vingt ans après son entrée en vigueur. Une évaluation majeure a</w:t>
      </w:r>
      <w:r>
        <w:rPr>
          <w:rFonts w:ascii="Arial" w:eastAsia="SimSun" w:hAnsi="Arial" w:cs="Arial"/>
          <w:sz w:val="22"/>
          <w:szCs w:val="22"/>
          <w:lang w:val="fr-FR"/>
        </w:rPr>
        <w:t>vait</w:t>
      </w:r>
      <w:r w:rsidRPr="00C5692C">
        <w:rPr>
          <w:rFonts w:ascii="Arial" w:eastAsia="SimSun" w:hAnsi="Arial" w:cs="Arial"/>
          <w:sz w:val="22"/>
          <w:szCs w:val="22"/>
          <w:lang w:val="fr-FR"/>
        </w:rPr>
        <w:t xml:space="preserve"> été entreprise l</w:t>
      </w:r>
      <w:r w:rsidR="008E532B">
        <w:rPr>
          <w:rFonts w:ascii="Arial" w:eastAsia="SimSun" w:hAnsi="Arial" w:cs="Arial"/>
          <w:sz w:val="22"/>
          <w:szCs w:val="22"/>
          <w:lang w:val="fr-FR"/>
        </w:rPr>
        <w:t>’</w:t>
      </w:r>
      <w:r w:rsidRPr="00C5692C">
        <w:rPr>
          <w:rFonts w:ascii="Arial" w:eastAsia="SimSun" w:hAnsi="Arial" w:cs="Arial"/>
          <w:sz w:val="22"/>
          <w:szCs w:val="22"/>
          <w:lang w:val="fr-FR"/>
        </w:rPr>
        <w:t xml:space="preserve">année </w:t>
      </w:r>
      <w:r>
        <w:rPr>
          <w:rFonts w:ascii="Arial" w:eastAsia="SimSun" w:hAnsi="Arial" w:cs="Arial"/>
          <w:sz w:val="22"/>
          <w:szCs w:val="22"/>
          <w:lang w:val="fr-FR"/>
        </w:rPr>
        <w:t xml:space="preserve">précédente </w:t>
      </w:r>
      <w:r w:rsidRPr="00C5692C">
        <w:rPr>
          <w:rFonts w:ascii="Arial" w:eastAsia="SimSun" w:hAnsi="Arial" w:cs="Arial"/>
          <w:sz w:val="22"/>
          <w:szCs w:val="22"/>
          <w:lang w:val="fr-FR"/>
        </w:rPr>
        <w:t xml:space="preserve">par </w:t>
      </w:r>
      <w:r>
        <w:rPr>
          <w:rFonts w:ascii="Arial" w:eastAsia="SimSun" w:hAnsi="Arial" w:cs="Arial"/>
          <w:sz w:val="22"/>
          <w:szCs w:val="22"/>
          <w:lang w:val="fr-FR"/>
        </w:rPr>
        <w:t>l</w:t>
      </w:r>
      <w:r w:rsidR="008E532B">
        <w:rPr>
          <w:rFonts w:ascii="Arial" w:eastAsia="SimSun" w:hAnsi="Arial" w:cs="Arial"/>
          <w:sz w:val="22"/>
          <w:szCs w:val="22"/>
          <w:lang w:val="fr-FR"/>
        </w:rPr>
        <w:t>’</w:t>
      </w:r>
      <w:r>
        <w:rPr>
          <w:rFonts w:ascii="Arial" w:eastAsia="SimSun" w:hAnsi="Arial" w:cs="Arial"/>
          <w:sz w:val="22"/>
          <w:szCs w:val="22"/>
          <w:lang w:val="fr-FR"/>
        </w:rPr>
        <w:t xml:space="preserve">IOS </w:t>
      </w:r>
      <w:r w:rsidRPr="00C5692C">
        <w:rPr>
          <w:rFonts w:ascii="Arial" w:eastAsia="SimSun" w:hAnsi="Arial" w:cs="Arial"/>
          <w:sz w:val="22"/>
          <w:szCs w:val="22"/>
          <w:lang w:val="fr-FR"/>
        </w:rPr>
        <w:t>sur la pertinence et l</w:t>
      </w:r>
      <w:r w:rsidR="008E532B">
        <w:rPr>
          <w:rFonts w:ascii="Arial" w:eastAsia="SimSun" w:hAnsi="Arial" w:cs="Arial"/>
          <w:sz w:val="22"/>
          <w:szCs w:val="22"/>
          <w:lang w:val="fr-FR"/>
        </w:rPr>
        <w:t>’</w:t>
      </w:r>
      <w:r w:rsidRPr="00C5692C">
        <w:rPr>
          <w:rFonts w:ascii="Arial" w:eastAsia="SimSun" w:hAnsi="Arial" w:cs="Arial"/>
          <w:sz w:val="22"/>
          <w:szCs w:val="22"/>
          <w:lang w:val="fr-FR"/>
        </w:rPr>
        <w:t>efficacité de l</w:t>
      </w:r>
      <w:r w:rsidR="008E532B">
        <w:rPr>
          <w:rFonts w:ascii="Arial" w:eastAsia="SimSun" w:hAnsi="Arial" w:cs="Arial"/>
          <w:sz w:val="22"/>
          <w:szCs w:val="22"/>
          <w:lang w:val="fr-FR"/>
        </w:rPr>
        <w:t>’</w:t>
      </w:r>
      <w:r w:rsidRPr="00C5692C">
        <w:rPr>
          <w:rFonts w:ascii="Arial" w:eastAsia="SimSun" w:hAnsi="Arial" w:cs="Arial"/>
          <w:sz w:val="22"/>
          <w:szCs w:val="22"/>
          <w:lang w:val="fr-FR"/>
        </w:rPr>
        <w:t>action de l</w:t>
      </w:r>
      <w:r w:rsidR="008E532B">
        <w:rPr>
          <w:rFonts w:ascii="Arial" w:eastAsia="SimSun" w:hAnsi="Arial" w:cs="Arial"/>
          <w:sz w:val="22"/>
          <w:szCs w:val="22"/>
          <w:lang w:val="fr-FR"/>
        </w:rPr>
        <w:t>’</w:t>
      </w:r>
      <w:r w:rsidRPr="00C5692C">
        <w:rPr>
          <w:rFonts w:ascii="Arial" w:eastAsia="SimSun" w:hAnsi="Arial" w:cs="Arial"/>
          <w:sz w:val="22"/>
          <w:szCs w:val="22"/>
          <w:lang w:val="fr-FR"/>
        </w:rPr>
        <w:t>UNESCO dans le cadre de la Convention de 2003. L</w:t>
      </w:r>
      <w:r w:rsidR="008E532B">
        <w:rPr>
          <w:rFonts w:ascii="Arial" w:eastAsia="SimSun" w:hAnsi="Arial" w:cs="Arial"/>
          <w:sz w:val="22"/>
          <w:szCs w:val="22"/>
          <w:lang w:val="fr-FR"/>
        </w:rPr>
        <w:t>’</w:t>
      </w:r>
      <w:r w:rsidRPr="00C5692C">
        <w:rPr>
          <w:rFonts w:ascii="Arial" w:eastAsia="SimSun" w:hAnsi="Arial" w:cs="Arial"/>
          <w:sz w:val="22"/>
          <w:szCs w:val="22"/>
          <w:lang w:val="fr-FR"/>
        </w:rPr>
        <w:t>évaluation a</w:t>
      </w:r>
      <w:r>
        <w:rPr>
          <w:rFonts w:ascii="Arial" w:eastAsia="SimSun" w:hAnsi="Arial" w:cs="Arial"/>
          <w:sz w:val="22"/>
          <w:szCs w:val="22"/>
          <w:lang w:val="fr-FR"/>
        </w:rPr>
        <w:t>vait</w:t>
      </w:r>
      <w:r w:rsidRPr="00C5692C">
        <w:rPr>
          <w:rFonts w:ascii="Arial" w:eastAsia="SimSun" w:hAnsi="Arial" w:cs="Arial"/>
          <w:sz w:val="22"/>
          <w:szCs w:val="22"/>
          <w:lang w:val="fr-FR"/>
        </w:rPr>
        <w:t xml:space="preserve"> révélé qu</w:t>
      </w:r>
      <w:r w:rsidR="008E532B">
        <w:rPr>
          <w:rFonts w:ascii="Arial" w:eastAsia="SimSun" w:hAnsi="Arial" w:cs="Arial"/>
          <w:sz w:val="22"/>
          <w:szCs w:val="22"/>
          <w:lang w:val="fr-FR"/>
        </w:rPr>
        <w:t>’</w:t>
      </w:r>
      <w:r w:rsidRPr="00C5692C">
        <w:rPr>
          <w:rFonts w:ascii="Arial" w:eastAsia="SimSun" w:hAnsi="Arial" w:cs="Arial"/>
          <w:sz w:val="22"/>
          <w:szCs w:val="22"/>
          <w:lang w:val="fr-FR"/>
        </w:rPr>
        <w:t xml:space="preserve">en tant que deuxième plus jeune </w:t>
      </w:r>
      <w:r>
        <w:rPr>
          <w:rFonts w:ascii="Arial" w:eastAsia="SimSun" w:hAnsi="Arial" w:cs="Arial"/>
          <w:sz w:val="22"/>
          <w:szCs w:val="22"/>
          <w:lang w:val="fr-FR"/>
        </w:rPr>
        <w:t>c</w:t>
      </w:r>
      <w:r w:rsidRPr="00C5692C">
        <w:rPr>
          <w:rFonts w:ascii="Arial" w:eastAsia="SimSun" w:hAnsi="Arial" w:cs="Arial"/>
          <w:sz w:val="22"/>
          <w:szCs w:val="22"/>
          <w:lang w:val="fr-FR"/>
        </w:rPr>
        <w:t>onvention culturelle, elle était l</w:t>
      </w:r>
      <w:r w:rsidR="008E532B">
        <w:rPr>
          <w:rFonts w:ascii="Arial" w:eastAsia="SimSun" w:hAnsi="Arial" w:cs="Arial"/>
          <w:sz w:val="22"/>
          <w:szCs w:val="22"/>
          <w:lang w:val="fr-FR"/>
        </w:rPr>
        <w:t>’</w:t>
      </w:r>
      <w:r w:rsidRPr="00C5692C">
        <w:rPr>
          <w:rFonts w:ascii="Arial" w:eastAsia="SimSun" w:hAnsi="Arial" w:cs="Arial"/>
          <w:sz w:val="22"/>
          <w:szCs w:val="22"/>
          <w:lang w:val="fr-FR"/>
        </w:rPr>
        <w:t xml:space="preserve">une des plus </w:t>
      </w:r>
      <w:r>
        <w:rPr>
          <w:rFonts w:ascii="Arial" w:eastAsia="SimSun" w:hAnsi="Arial" w:cs="Arial"/>
          <w:sz w:val="22"/>
          <w:szCs w:val="22"/>
          <w:lang w:val="fr-FR"/>
        </w:rPr>
        <w:t>couronnées de succès</w:t>
      </w:r>
      <w:r w:rsidRPr="00C5692C">
        <w:rPr>
          <w:rFonts w:ascii="Arial" w:eastAsia="SimSun" w:hAnsi="Arial" w:cs="Arial"/>
          <w:sz w:val="22"/>
          <w:szCs w:val="22"/>
          <w:lang w:val="fr-FR"/>
        </w:rPr>
        <w:t>, notamment parce qu</w:t>
      </w:r>
      <w:r w:rsidR="008E532B">
        <w:rPr>
          <w:rFonts w:ascii="Arial" w:eastAsia="SimSun" w:hAnsi="Arial" w:cs="Arial"/>
          <w:sz w:val="22"/>
          <w:szCs w:val="22"/>
          <w:lang w:val="fr-FR"/>
        </w:rPr>
        <w:t>’</w:t>
      </w:r>
      <w:r w:rsidRPr="00C5692C">
        <w:rPr>
          <w:rFonts w:ascii="Arial" w:eastAsia="SimSun" w:hAnsi="Arial" w:cs="Arial"/>
          <w:sz w:val="22"/>
          <w:szCs w:val="22"/>
          <w:lang w:val="fr-FR"/>
        </w:rPr>
        <w:t>elle avait réussi à sensibiliser à la nature distincte et à l</w:t>
      </w:r>
      <w:r w:rsidR="008E532B">
        <w:rPr>
          <w:rFonts w:ascii="Arial" w:eastAsia="SimSun" w:hAnsi="Arial" w:cs="Arial"/>
          <w:sz w:val="22"/>
          <w:szCs w:val="22"/>
          <w:lang w:val="fr-FR"/>
        </w:rPr>
        <w:t>’</w:t>
      </w:r>
      <w:r w:rsidRPr="00C5692C">
        <w:rPr>
          <w:rFonts w:ascii="Arial" w:eastAsia="SimSun" w:hAnsi="Arial" w:cs="Arial"/>
          <w:sz w:val="22"/>
          <w:szCs w:val="22"/>
          <w:lang w:val="fr-FR"/>
        </w:rPr>
        <w:t xml:space="preserve">importance du patrimoine vivant. Cependant, </w:t>
      </w:r>
      <w:r>
        <w:rPr>
          <w:rFonts w:ascii="Arial" w:eastAsia="SimSun" w:hAnsi="Arial" w:cs="Arial"/>
          <w:sz w:val="22"/>
          <w:szCs w:val="22"/>
          <w:lang w:val="fr-FR"/>
        </w:rPr>
        <w:t>l</w:t>
      </w:r>
      <w:r w:rsidR="008E532B">
        <w:rPr>
          <w:rFonts w:ascii="Arial" w:eastAsia="SimSun" w:hAnsi="Arial" w:cs="Arial"/>
          <w:sz w:val="22"/>
          <w:szCs w:val="22"/>
          <w:lang w:val="fr-FR"/>
        </w:rPr>
        <w:t>’</w:t>
      </w:r>
      <w:r w:rsidRPr="0041687C">
        <w:rPr>
          <w:rFonts w:ascii="Arial" w:eastAsia="SimSun" w:hAnsi="Arial" w:cs="Arial"/>
          <w:sz w:val="22"/>
          <w:szCs w:val="22"/>
          <w:lang w:val="fr-FR"/>
        </w:rPr>
        <w:t>évaluation</w:t>
      </w:r>
      <w:r w:rsidRPr="00C5692C">
        <w:rPr>
          <w:rFonts w:ascii="Arial" w:eastAsia="SimSun" w:hAnsi="Arial" w:cs="Arial"/>
          <w:sz w:val="22"/>
          <w:szCs w:val="22"/>
          <w:lang w:val="fr-FR"/>
        </w:rPr>
        <w:t xml:space="preserve"> a</w:t>
      </w:r>
      <w:r>
        <w:rPr>
          <w:rFonts w:ascii="Arial" w:eastAsia="SimSun" w:hAnsi="Arial" w:cs="Arial"/>
          <w:sz w:val="22"/>
          <w:szCs w:val="22"/>
          <w:lang w:val="fr-FR"/>
        </w:rPr>
        <w:t>vait</w:t>
      </w:r>
      <w:r w:rsidRPr="00C5692C">
        <w:rPr>
          <w:rFonts w:ascii="Arial" w:eastAsia="SimSun" w:hAnsi="Arial" w:cs="Arial"/>
          <w:sz w:val="22"/>
          <w:szCs w:val="22"/>
          <w:lang w:val="fr-FR"/>
        </w:rPr>
        <w:t xml:space="preserve"> également montré que la Convention </w:t>
      </w:r>
      <w:r w:rsidR="00D90F4C">
        <w:rPr>
          <w:rFonts w:ascii="Arial" w:eastAsia="SimSun" w:hAnsi="Arial" w:cs="Arial"/>
          <w:sz w:val="22"/>
          <w:szCs w:val="22"/>
          <w:lang w:val="fr-FR"/>
        </w:rPr>
        <w:t>faisait face à</w:t>
      </w:r>
      <w:r w:rsidRPr="00C5692C">
        <w:rPr>
          <w:rFonts w:ascii="Arial" w:eastAsia="SimSun" w:hAnsi="Arial" w:cs="Arial"/>
          <w:sz w:val="22"/>
          <w:szCs w:val="22"/>
          <w:lang w:val="fr-FR"/>
        </w:rPr>
        <w:t xml:space="preserve"> </w:t>
      </w:r>
      <w:r w:rsidR="00D90F4C">
        <w:rPr>
          <w:rFonts w:ascii="Arial" w:eastAsia="SimSun" w:hAnsi="Arial" w:cs="Arial"/>
          <w:sz w:val="22"/>
          <w:szCs w:val="22"/>
          <w:lang w:val="fr-FR"/>
        </w:rPr>
        <w:t>un</w:t>
      </w:r>
      <w:r w:rsidRPr="00C5692C">
        <w:rPr>
          <w:rFonts w:ascii="Arial" w:eastAsia="SimSun" w:hAnsi="Arial" w:cs="Arial"/>
          <w:sz w:val="22"/>
          <w:szCs w:val="22"/>
          <w:lang w:val="fr-FR"/>
        </w:rPr>
        <w:t xml:space="preserve"> nombre </w:t>
      </w:r>
      <w:r w:rsidR="00D90F4C">
        <w:rPr>
          <w:rFonts w:ascii="Arial" w:eastAsia="SimSun" w:hAnsi="Arial" w:cs="Arial"/>
          <w:sz w:val="22"/>
          <w:szCs w:val="22"/>
          <w:lang w:val="fr-FR"/>
        </w:rPr>
        <w:t xml:space="preserve">croissant </w:t>
      </w:r>
      <w:r w:rsidRPr="00C5692C">
        <w:rPr>
          <w:rFonts w:ascii="Arial" w:eastAsia="SimSun" w:hAnsi="Arial" w:cs="Arial"/>
          <w:sz w:val="22"/>
          <w:szCs w:val="22"/>
          <w:lang w:val="fr-FR"/>
        </w:rPr>
        <w:t xml:space="preserve">de demandes </w:t>
      </w:r>
      <w:r w:rsidR="00FD65C3">
        <w:rPr>
          <w:rFonts w:ascii="Arial" w:eastAsia="SimSun" w:hAnsi="Arial" w:cs="Arial"/>
          <w:sz w:val="22"/>
          <w:szCs w:val="22"/>
          <w:lang w:val="fr-FR"/>
        </w:rPr>
        <w:t xml:space="preserve">liées à une somme élevée de d’exigences </w:t>
      </w:r>
      <w:r w:rsidRPr="00C5692C">
        <w:rPr>
          <w:rFonts w:ascii="Arial" w:eastAsia="SimSun" w:hAnsi="Arial" w:cs="Arial"/>
          <w:sz w:val="22"/>
          <w:szCs w:val="22"/>
          <w:lang w:val="fr-FR"/>
        </w:rPr>
        <w:t>statutaires, ce qui mettait encore plus de pression sur le Secrétariat. À ce</w:t>
      </w:r>
      <w:r>
        <w:rPr>
          <w:rFonts w:ascii="Arial" w:eastAsia="SimSun" w:hAnsi="Arial" w:cs="Arial"/>
          <w:sz w:val="22"/>
          <w:szCs w:val="22"/>
          <w:lang w:val="fr-FR"/>
        </w:rPr>
        <w:t xml:space="preserve"> sujet</w:t>
      </w:r>
      <w:r w:rsidRPr="00C5692C">
        <w:rPr>
          <w:rFonts w:ascii="Arial" w:eastAsia="SimSun" w:hAnsi="Arial" w:cs="Arial"/>
          <w:sz w:val="22"/>
          <w:szCs w:val="22"/>
          <w:lang w:val="fr-FR"/>
        </w:rPr>
        <w:t>, l</w:t>
      </w:r>
      <w:r w:rsidR="008E532B">
        <w:rPr>
          <w:rFonts w:ascii="Arial" w:eastAsia="SimSun" w:hAnsi="Arial" w:cs="Arial"/>
          <w:sz w:val="22"/>
          <w:szCs w:val="22"/>
          <w:lang w:val="fr-FR"/>
        </w:rPr>
        <w:t>’</w:t>
      </w:r>
      <w:r w:rsidRPr="00C5692C">
        <w:rPr>
          <w:rFonts w:ascii="Arial" w:eastAsia="SimSun" w:hAnsi="Arial" w:cs="Arial"/>
          <w:sz w:val="22"/>
          <w:szCs w:val="22"/>
          <w:lang w:val="fr-FR"/>
        </w:rPr>
        <w:t xml:space="preserve">évaluation </w:t>
      </w:r>
      <w:r>
        <w:rPr>
          <w:rFonts w:ascii="Arial" w:eastAsia="SimSun" w:hAnsi="Arial" w:cs="Arial"/>
          <w:sz w:val="22"/>
          <w:szCs w:val="22"/>
          <w:lang w:val="fr-FR"/>
        </w:rPr>
        <w:t xml:space="preserve">avait </w:t>
      </w:r>
      <w:r w:rsidRPr="00C5692C">
        <w:rPr>
          <w:rFonts w:ascii="Arial" w:eastAsia="SimSun" w:hAnsi="Arial" w:cs="Arial"/>
          <w:sz w:val="22"/>
          <w:szCs w:val="22"/>
          <w:lang w:val="fr-FR"/>
        </w:rPr>
        <w:t>recommand</w:t>
      </w:r>
      <w:r>
        <w:rPr>
          <w:rFonts w:ascii="Arial" w:eastAsia="SimSun" w:hAnsi="Arial" w:cs="Arial"/>
          <w:sz w:val="22"/>
          <w:szCs w:val="22"/>
          <w:lang w:val="fr-FR"/>
        </w:rPr>
        <w:t>é</w:t>
      </w:r>
      <w:r w:rsidRPr="00C5692C">
        <w:rPr>
          <w:rFonts w:ascii="Arial" w:eastAsia="SimSun" w:hAnsi="Arial" w:cs="Arial"/>
          <w:sz w:val="22"/>
          <w:szCs w:val="22"/>
          <w:lang w:val="fr-FR"/>
        </w:rPr>
        <w:t xml:space="preserve"> d</w:t>
      </w:r>
      <w:r w:rsidR="008E532B">
        <w:rPr>
          <w:rFonts w:ascii="Arial" w:eastAsia="SimSun" w:hAnsi="Arial" w:cs="Arial"/>
          <w:sz w:val="22"/>
          <w:szCs w:val="22"/>
          <w:lang w:val="fr-FR"/>
        </w:rPr>
        <w:t>’</w:t>
      </w:r>
      <w:r w:rsidRPr="00C5692C">
        <w:rPr>
          <w:rFonts w:ascii="Arial" w:eastAsia="SimSun" w:hAnsi="Arial" w:cs="Arial"/>
          <w:sz w:val="22"/>
          <w:szCs w:val="22"/>
          <w:lang w:val="fr-FR"/>
        </w:rPr>
        <w:t>établir des priorités pour l</w:t>
      </w:r>
      <w:r w:rsidR="008E532B">
        <w:rPr>
          <w:rFonts w:ascii="Arial" w:eastAsia="SimSun" w:hAnsi="Arial" w:cs="Arial"/>
          <w:sz w:val="22"/>
          <w:szCs w:val="22"/>
          <w:lang w:val="fr-FR"/>
        </w:rPr>
        <w:t>’</w:t>
      </w:r>
      <w:r w:rsidRPr="00C5692C">
        <w:rPr>
          <w:rFonts w:ascii="Arial" w:eastAsia="SimSun" w:hAnsi="Arial" w:cs="Arial"/>
          <w:sz w:val="22"/>
          <w:szCs w:val="22"/>
          <w:lang w:val="fr-FR"/>
        </w:rPr>
        <w:t xml:space="preserve">utilisation des ressources limitées du Secrétariat, ce dont il était très important de tenir compte. </w:t>
      </w:r>
      <w:r>
        <w:rPr>
          <w:rFonts w:ascii="Arial" w:eastAsia="SimSun" w:hAnsi="Arial" w:cs="Arial"/>
          <w:sz w:val="22"/>
          <w:szCs w:val="22"/>
          <w:lang w:val="fr-FR"/>
        </w:rPr>
        <w:t>Le moment était venu</w:t>
      </w:r>
      <w:r w:rsidRPr="00C5692C">
        <w:rPr>
          <w:rFonts w:ascii="Arial" w:eastAsia="SimSun" w:hAnsi="Arial" w:cs="Arial"/>
          <w:sz w:val="22"/>
          <w:szCs w:val="22"/>
          <w:lang w:val="fr-FR"/>
        </w:rPr>
        <w:t xml:space="preserve"> de faire le point sur les réalisations de la Convention à ce jour et de réfléchir à ses priorités pour l</w:t>
      </w:r>
      <w:r w:rsidR="008E532B">
        <w:rPr>
          <w:rFonts w:ascii="Arial" w:eastAsia="SimSun" w:hAnsi="Arial" w:cs="Arial"/>
          <w:sz w:val="22"/>
          <w:szCs w:val="22"/>
          <w:lang w:val="fr-FR"/>
        </w:rPr>
        <w:t>’</w:t>
      </w:r>
      <w:r w:rsidRPr="00C5692C">
        <w:rPr>
          <w:rFonts w:ascii="Arial" w:eastAsia="SimSun" w:hAnsi="Arial" w:cs="Arial"/>
          <w:sz w:val="22"/>
          <w:szCs w:val="22"/>
          <w:lang w:val="fr-FR"/>
        </w:rPr>
        <w:t>avenir afin qu</w:t>
      </w:r>
      <w:r w:rsidR="008E532B">
        <w:rPr>
          <w:rFonts w:ascii="Arial" w:eastAsia="SimSun" w:hAnsi="Arial" w:cs="Arial"/>
          <w:sz w:val="22"/>
          <w:szCs w:val="22"/>
          <w:lang w:val="fr-FR"/>
        </w:rPr>
        <w:t>’</w:t>
      </w:r>
      <w:r w:rsidRPr="00C5692C">
        <w:rPr>
          <w:rFonts w:ascii="Arial" w:eastAsia="SimSun" w:hAnsi="Arial" w:cs="Arial"/>
          <w:sz w:val="22"/>
          <w:szCs w:val="22"/>
          <w:lang w:val="fr-FR"/>
        </w:rPr>
        <w:t>elle puisse continuer à se développer et à répondre aux besoins de ses États parties et des parties prenantes pour la sauvegarde efficace du patrimoine vivant à l</w:t>
      </w:r>
      <w:r w:rsidR="008E532B">
        <w:rPr>
          <w:rFonts w:ascii="Arial" w:eastAsia="SimSun" w:hAnsi="Arial" w:cs="Arial"/>
          <w:sz w:val="22"/>
          <w:szCs w:val="22"/>
          <w:lang w:val="fr-FR"/>
        </w:rPr>
        <w:t>’</w:t>
      </w:r>
      <w:r w:rsidRPr="00C5692C">
        <w:rPr>
          <w:rFonts w:ascii="Arial" w:eastAsia="SimSun" w:hAnsi="Arial" w:cs="Arial"/>
          <w:sz w:val="22"/>
          <w:szCs w:val="22"/>
          <w:lang w:val="fr-FR"/>
        </w:rPr>
        <w:t>échelle mondiale.</w:t>
      </w:r>
    </w:p>
    <w:p w14:paraId="477D6159" w14:textId="49227955" w:rsidR="00D9653F" w:rsidRPr="00C44CE4"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rPr>
      </w:pPr>
      <w:r w:rsidRPr="00C44CE4">
        <w:rPr>
          <w:rFonts w:ascii="Arial" w:eastAsia="SimSun" w:hAnsi="Arial" w:cs="Arial"/>
          <w:sz w:val="22"/>
          <w:szCs w:val="22"/>
          <w:lang w:val="fr-FR"/>
        </w:rPr>
        <w:t xml:space="preserve">Le </w:t>
      </w:r>
      <w:r w:rsidRPr="00C44CE4">
        <w:rPr>
          <w:rFonts w:ascii="Arial" w:eastAsia="SimSun" w:hAnsi="Arial" w:cs="Arial"/>
          <w:b/>
          <w:bCs/>
          <w:sz w:val="22"/>
          <w:szCs w:val="22"/>
          <w:lang w:val="fr-FR"/>
        </w:rPr>
        <w:t>Sous-Directeur général</w:t>
      </w:r>
      <w:r w:rsidRPr="00C44CE4">
        <w:rPr>
          <w:rFonts w:ascii="Arial" w:eastAsia="SimSun" w:hAnsi="Arial" w:cs="Arial"/>
          <w:sz w:val="22"/>
          <w:szCs w:val="22"/>
          <w:lang w:val="fr-FR"/>
        </w:rPr>
        <w:t xml:space="preserve"> a rappelé certaines des réalisations les plus notables </w:t>
      </w:r>
      <w:r>
        <w:rPr>
          <w:rFonts w:ascii="Arial" w:eastAsia="SimSun" w:hAnsi="Arial" w:cs="Arial"/>
          <w:sz w:val="22"/>
          <w:szCs w:val="22"/>
          <w:lang w:val="fr-FR"/>
        </w:rPr>
        <w:t xml:space="preserve">au cours </w:t>
      </w:r>
      <w:r w:rsidRPr="00C44CE4">
        <w:rPr>
          <w:rFonts w:ascii="Arial" w:eastAsia="SimSun" w:hAnsi="Arial" w:cs="Arial"/>
          <w:sz w:val="22"/>
          <w:szCs w:val="22"/>
          <w:lang w:val="fr-FR"/>
        </w:rPr>
        <w:t xml:space="preserve">de </w:t>
      </w:r>
      <w:r>
        <w:rPr>
          <w:rFonts w:ascii="Arial" w:eastAsia="SimSun" w:hAnsi="Arial" w:cs="Arial"/>
          <w:sz w:val="22"/>
          <w:szCs w:val="22"/>
          <w:lang w:val="fr-FR"/>
        </w:rPr>
        <w:t xml:space="preserve">la </w:t>
      </w:r>
      <w:r w:rsidRPr="00C44CE4">
        <w:rPr>
          <w:rFonts w:ascii="Arial" w:eastAsia="SimSun" w:hAnsi="Arial" w:cs="Arial"/>
          <w:sz w:val="22"/>
          <w:szCs w:val="22"/>
          <w:lang w:val="fr-FR"/>
        </w:rPr>
        <w:t>période</w:t>
      </w:r>
      <w:r>
        <w:rPr>
          <w:rFonts w:ascii="Arial" w:eastAsia="SimSun" w:hAnsi="Arial" w:cs="Arial"/>
          <w:sz w:val="22"/>
          <w:szCs w:val="22"/>
          <w:lang w:val="fr-FR"/>
        </w:rPr>
        <w:t xml:space="preserve"> concernée par le rapport</w:t>
      </w:r>
      <w:r w:rsidRPr="00C44CE4">
        <w:rPr>
          <w:rFonts w:ascii="Arial" w:eastAsia="SimSun" w:hAnsi="Arial" w:cs="Arial"/>
          <w:sz w:val="22"/>
          <w:szCs w:val="22"/>
          <w:lang w:val="fr-FR"/>
        </w:rPr>
        <w:t>. Le Secrétariat a</w:t>
      </w:r>
      <w:r>
        <w:rPr>
          <w:rFonts w:ascii="Arial" w:eastAsia="SimSun" w:hAnsi="Arial" w:cs="Arial"/>
          <w:sz w:val="22"/>
          <w:szCs w:val="22"/>
          <w:lang w:val="fr-FR"/>
        </w:rPr>
        <w:t>vait </w:t>
      </w:r>
      <w:r w:rsidRPr="00C44CE4">
        <w:rPr>
          <w:rFonts w:ascii="Arial" w:eastAsia="SimSun" w:hAnsi="Arial" w:cs="Arial"/>
          <w:sz w:val="22"/>
          <w:szCs w:val="22"/>
          <w:lang w:val="fr-FR"/>
        </w:rPr>
        <w:t xml:space="preserve">: i) organisé </w:t>
      </w:r>
      <w:r>
        <w:rPr>
          <w:rFonts w:ascii="Arial" w:eastAsia="SimSun" w:hAnsi="Arial" w:cs="Arial"/>
          <w:sz w:val="22"/>
          <w:szCs w:val="22"/>
          <w:lang w:val="fr-FR"/>
        </w:rPr>
        <w:t>vingt</w:t>
      </w:r>
      <w:r w:rsidRPr="00C44CE4">
        <w:rPr>
          <w:rFonts w:ascii="Arial" w:eastAsia="SimSun" w:hAnsi="Arial" w:cs="Arial"/>
          <w:sz w:val="22"/>
          <w:szCs w:val="22"/>
          <w:lang w:val="fr-FR"/>
        </w:rPr>
        <w:t xml:space="preserve"> réunions statutaires pour l</w:t>
      </w:r>
      <w:r w:rsidR="008E532B">
        <w:rPr>
          <w:rFonts w:ascii="Arial" w:eastAsia="SimSun" w:hAnsi="Arial" w:cs="Arial"/>
          <w:sz w:val="22"/>
          <w:szCs w:val="22"/>
          <w:lang w:val="fr-FR"/>
        </w:rPr>
        <w:t>’</w:t>
      </w:r>
      <w:r w:rsidRPr="00C44CE4">
        <w:rPr>
          <w:rFonts w:ascii="Arial" w:eastAsia="SimSun" w:hAnsi="Arial" w:cs="Arial"/>
          <w:sz w:val="22"/>
          <w:szCs w:val="22"/>
          <w:lang w:val="fr-FR"/>
        </w:rPr>
        <w:t>Assemblée générale, le Comité, le Bureau et l</w:t>
      </w:r>
      <w:r w:rsidR="008E532B">
        <w:rPr>
          <w:rFonts w:ascii="Arial" w:eastAsia="SimSun" w:hAnsi="Arial" w:cs="Arial"/>
          <w:sz w:val="22"/>
          <w:szCs w:val="22"/>
          <w:lang w:val="fr-FR"/>
        </w:rPr>
        <w:t>’</w:t>
      </w:r>
      <w:r w:rsidRPr="00C44CE4">
        <w:rPr>
          <w:rFonts w:ascii="Arial" w:eastAsia="SimSun" w:hAnsi="Arial" w:cs="Arial"/>
          <w:sz w:val="22"/>
          <w:szCs w:val="22"/>
          <w:lang w:val="fr-FR"/>
        </w:rPr>
        <w:t>Organe d</w:t>
      </w:r>
      <w:r w:rsidR="008E532B">
        <w:rPr>
          <w:rFonts w:ascii="Arial" w:eastAsia="SimSun" w:hAnsi="Arial" w:cs="Arial"/>
          <w:sz w:val="22"/>
          <w:szCs w:val="22"/>
          <w:lang w:val="fr-FR"/>
        </w:rPr>
        <w:t>’</w:t>
      </w:r>
      <w:r w:rsidRPr="00C44CE4">
        <w:rPr>
          <w:rFonts w:ascii="Arial" w:eastAsia="SimSun" w:hAnsi="Arial" w:cs="Arial"/>
          <w:sz w:val="22"/>
          <w:szCs w:val="22"/>
          <w:lang w:val="fr-FR"/>
        </w:rPr>
        <w:t>évaluation</w:t>
      </w:r>
      <w:r>
        <w:rPr>
          <w:rFonts w:ascii="Arial" w:eastAsia="SimSun" w:hAnsi="Arial" w:cs="Arial"/>
          <w:sz w:val="22"/>
          <w:szCs w:val="22"/>
          <w:lang w:val="fr-FR"/>
        </w:rPr>
        <w:t> </w:t>
      </w:r>
      <w:r w:rsidRPr="00C44CE4">
        <w:rPr>
          <w:rFonts w:ascii="Arial" w:eastAsia="SimSun" w:hAnsi="Arial" w:cs="Arial"/>
          <w:sz w:val="22"/>
          <w:szCs w:val="22"/>
          <w:lang w:val="fr-FR"/>
        </w:rPr>
        <w:t>; ii) lancé une consultation auprès de 200 experts, tenu trois réunions d</w:t>
      </w:r>
      <w:r w:rsidR="008E532B">
        <w:rPr>
          <w:rFonts w:ascii="Arial" w:eastAsia="SimSun" w:hAnsi="Arial" w:cs="Arial"/>
          <w:sz w:val="22"/>
          <w:szCs w:val="22"/>
          <w:lang w:val="fr-FR"/>
        </w:rPr>
        <w:t>’</w:t>
      </w:r>
      <w:r w:rsidRPr="00C44CE4">
        <w:rPr>
          <w:rFonts w:ascii="Arial" w:eastAsia="SimSun" w:hAnsi="Arial" w:cs="Arial"/>
          <w:sz w:val="22"/>
          <w:szCs w:val="22"/>
          <w:lang w:val="fr-FR"/>
        </w:rPr>
        <w:t xml:space="preserve">experts avec </w:t>
      </w:r>
      <w:r>
        <w:rPr>
          <w:rFonts w:ascii="Arial" w:eastAsia="SimSun" w:hAnsi="Arial" w:cs="Arial"/>
          <w:sz w:val="22"/>
          <w:szCs w:val="22"/>
          <w:lang w:val="fr-FR"/>
        </w:rPr>
        <w:t>trente</w:t>
      </w:r>
      <w:r>
        <w:rPr>
          <w:rFonts w:ascii="Arial" w:eastAsia="SimSun" w:hAnsi="Arial" w:cs="Arial"/>
          <w:sz w:val="22"/>
          <w:szCs w:val="22"/>
          <w:lang w:val="fr-FR"/>
        </w:rPr>
        <w:noBreakHyphen/>
        <w:t>quatre</w:t>
      </w:r>
      <w:r w:rsidRPr="00C44CE4">
        <w:rPr>
          <w:rFonts w:ascii="Arial" w:eastAsia="SimSun" w:hAnsi="Arial" w:cs="Arial"/>
          <w:sz w:val="22"/>
          <w:szCs w:val="22"/>
          <w:lang w:val="fr-FR"/>
        </w:rPr>
        <w:t xml:space="preserve"> participants et trois sessions des réunions intergouvernementales à composition non limitée (avec la participation de </w:t>
      </w:r>
      <w:r>
        <w:rPr>
          <w:rFonts w:ascii="Arial" w:eastAsia="SimSun" w:hAnsi="Arial" w:cs="Arial"/>
          <w:sz w:val="22"/>
          <w:szCs w:val="22"/>
          <w:lang w:val="fr-FR"/>
        </w:rPr>
        <w:t>quatre</w:t>
      </w:r>
      <w:r>
        <w:rPr>
          <w:rFonts w:ascii="Arial" w:eastAsia="SimSun" w:hAnsi="Arial" w:cs="Arial"/>
          <w:sz w:val="22"/>
          <w:szCs w:val="22"/>
          <w:lang w:val="fr-FR"/>
        </w:rPr>
        <w:noBreakHyphen/>
        <w:t>vingt</w:t>
      </w:r>
      <w:r>
        <w:rPr>
          <w:rFonts w:ascii="Arial" w:eastAsia="SimSun" w:hAnsi="Arial" w:cs="Arial"/>
          <w:sz w:val="22"/>
          <w:szCs w:val="22"/>
          <w:lang w:val="fr-FR"/>
        </w:rPr>
        <w:noBreakHyphen/>
        <w:t>dix</w:t>
      </w:r>
      <w:r>
        <w:rPr>
          <w:rFonts w:ascii="Arial" w:eastAsia="SimSun" w:hAnsi="Arial" w:cs="Arial"/>
          <w:sz w:val="22"/>
          <w:szCs w:val="22"/>
          <w:lang w:val="fr-FR"/>
        </w:rPr>
        <w:noBreakHyphen/>
        <w:t>sept</w:t>
      </w:r>
      <w:r w:rsidRPr="00C44CE4">
        <w:rPr>
          <w:rFonts w:ascii="Arial" w:eastAsia="SimSun" w:hAnsi="Arial" w:cs="Arial"/>
          <w:sz w:val="22"/>
          <w:szCs w:val="22"/>
          <w:lang w:val="fr-FR"/>
        </w:rPr>
        <w:t xml:space="preserve"> pays) pour proposer des ajustements aux mécanismes d</w:t>
      </w:r>
      <w:r w:rsidR="008E532B">
        <w:rPr>
          <w:rFonts w:ascii="Arial" w:eastAsia="SimSun" w:hAnsi="Arial" w:cs="Arial"/>
          <w:sz w:val="22"/>
          <w:szCs w:val="22"/>
          <w:lang w:val="fr-FR"/>
        </w:rPr>
        <w:t>’</w:t>
      </w:r>
      <w:r w:rsidRPr="00C44CE4">
        <w:rPr>
          <w:rFonts w:ascii="Arial" w:eastAsia="SimSun" w:hAnsi="Arial" w:cs="Arial"/>
          <w:sz w:val="22"/>
          <w:szCs w:val="22"/>
          <w:lang w:val="fr-FR"/>
        </w:rPr>
        <w:t>inscription</w:t>
      </w:r>
      <w:r>
        <w:rPr>
          <w:rFonts w:ascii="Arial" w:eastAsia="SimSun" w:hAnsi="Arial" w:cs="Arial"/>
          <w:sz w:val="22"/>
          <w:szCs w:val="22"/>
          <w:lang w:val="fr-FR"/>
        </w:rPr>
        <w:t xml:space="preserve"> sur les listes </w:t>
      </w:r>
      <w:r w:rsidRPr="00C44CE4">
        <w:rPr>
          <w:rFonts w:ascii="Arial" w:eastAsia="SimSun" w:hAnsi="Arial" w:cs="Arial"/>
          <w:sz w:val="22"/>
          <w:szCs w:val="22"/>
          <w:lang w:val="fr-FR"/>
        </w:rPr>
        <w:t xml:space="preserve">; iii) mis en œuvre le premier cycle régional de </w:t>
      </w:r>
      <w:r>
        <w:rPr>
          <w:rFonts w:ascii="Arial" w:eastAsia="SimSun" w:hAnsi="Arial" w:cs="Arial"/>
          <w:sz w:val="22"/>
          <w:szCs w:val="22"/>
          <w:lang w:val="fr-FR"/>
        </w:rPr>
        <w:t xml:space="preserve">soumission de </w:t>
      </w:r>
      <w:r w:rsidRPr="00C44CE4">
        <w:rPr>
          <w:rFonts w:ascii="Arial" w:eastAsia="SimSun" w:hAnsi="Arial" w:cs="Arial"/>
          <w:sz w:val="22"/>
          <w:szCs w:val="22"/>
          <w:lang w:val="fr-FR"/>
        </w:rPr>
        <w:t>rapports périodiques dans deux régions</w:t>
      </w:r>
      <w:r>
        <w:rPr>
          <w:rFonts w:ascii="Arial" w:eastAsia="SimSun" w:hAnsi="Arial" w:cs="Arial"/>
          <w:sz w:val="22"/>
          <w:szCs w:val="22"/>
          <w:lang w:val="fr-FR"/>
        </w:rPr>
        <w:t> </w:t>
      </w:r>
      <w:r w:rsidRPr="00C44CE4">
        <w:rPr>
          <w:rFonts w:ascii="Arial" w:eastAsia="SimSun" w:hAnsi="Arial" w:cs="Arial"/>
          <w:sz w:val="22"/>
          <w:szCs w:val="22"/>
          <w:lang w:val="fr-FR"/>
        </w:rPr>
        <w:t xml:space="preserve">; iv) reçu et analysé </w:t>
      </w:r>
      <w:r>
        <w:rPr>
          <w:rFonts w:ascii="Arial" w:eastAsia="SimSun" w:hAnsi="Arial" w:cs="Arial"/>
          <w:sz w:val="22"/>
          <w:szCs w:val="22"/>
          <w:lang w:val="fr-FR"/>
        </w:rPr>
        <w:t>vingt</w:t>
      </w:r>
      <w:r>
        <w:rPr>
          <w:rFonts w:ascii="Arial" w:eastAsia="SimSun" w:hAnsi="Arial" w:cs="Arial"/>
          <w:sz w:val="22"/>
          <w:szCs w:val="22"/>
          <w:lang w:val="fr-FR"/>
        </w:rPr>
        <w:noBreakHyphen/>
        <w:t>huit</w:t>
      </w:r>
      <w:r w:rsidRPr="00C44CE4">
        <w:rPr>
          <w:rFonts w:ascii="Arial" w:eastAsia="SimSun" w:hAnsi="Arial" w:cs="Arial"/>
          <w:sz w:val="22"/>
          <w:szCs w:val="22"/>
          <w:lang w:val="fr-FR"/>
        </w:rPr>
        <w:t xml:space="preserve"> rapports en Amérique latine et </w:t>
      </w:r>
      <w:r>
        <w:rPr>
          <w:rFonts w:ascii="Arial" w:eastAsia="SimSun" w:hAnsi="Arial" w:cs="Arial"/>
          <w:sz w:val="22"/>
          <w:szCs w:val="22"/>
          <w:lang w:val="fr-FR"/>
        </w:rPr>
        <w:t>quarante</w:t>
      </w:r>
      <w:r>
        <w:rPr>
          <w:rFonts w:ascii="Arial" w:eastAsia="SimSun" w:hAnsi="Arial" w:cs="Arial"/>
          <w:sz w:val="22"/>
          <w:szCs w:val="22"/>
          <w:lang w:val="fr-FR"/>
        </w:rPr>
        <w:noBreakHyphen/>
        <w:t>trois</w:t>
      </w:r>
      <w:r w:rsidRPr="00C44CE4">
        <w:rPr>
          <w:rFonts w:ascii="Arial" w:eastAsia="SimSun" w:hAnsi="Arial" w:cs="Arial"/>
          <w:sz w:val="22"/>
          <w:szCs w:val="22"/>
          <w:lang w:val="fr-FR"/>
        </w:rPr>
        <w:t xml:space="preserve"> rapports sur les </w:t>
      </w:r>
      <w:r>
        <w:rPr>
          <w:rFonts w:ascii="Arial" w:eastAsia="SimSun" w:hAnsi="Arial" w:cs="Arial"/>
          <w:sz w:val="22"/>
          <w:szCs w:val="22"/>
          <w:lang w:val="fr-FR"/>
        </w:rPr>
        <w:t>quarante</w:t>
      </w:r>
      <w:r>
        <w:rPr>
          <w:rFonts w:ascii="Arial" w:eastAsia="SimSun" w:hAnsi="Arial" w:cs="Arial"/>
          <w:sz w:val="22"/>
          <w:szCs w:val="22"/>
          <w:lang w:val="fr-FR"/>
        </w:rPr>
        <w:noBreakHyphen/>
        <w:t>quatre</w:t>
      </w:r>
      <w:r w:rsidRPr="00C44CE4">
        <w:rPr>
          <w:rFonts w:ascii="Arial" w:eastAsia="SimSun" w:hAnsi="Arial" w:cs="Arial"/>
          <w:sz w:val="22"/>
          <w:szCs w:val="22"/>
          <w:lang w:val="fr-FR"/>
        </w:rPr>
        <w:t xml:space="preserve"> attendus de la région européenne</w:t>
      </w:r>
      <w:r>
        <w:rPr>
          <w:rFonts w:ascii="Arial" w:eastAsia="SimSun" w:hAnsi="Arial" w:cs="Arial"/>
          <w:sz w:val="22"/>
          <w:szCs w:val="22"/>
          <w:lang w:val="fr-FR"/>
        </w:rPr>
        <w:t> </w:t>
      </w:r>
      <w:r w:rsidRPr="00C44CE4">
        <w:rPr>
          <w:rFonts w:ascii="Arial" w:eastAsia="SimSun" w:hAnsi="Arial" w:cs="Arial"/>
          <w:sz w:val="22"/>
          <w:szCs w:val="22"/>
          <w:lang w:val="fr-FR"/>
        </w:rPr>
        <w:t xml:space="preserve">; v) formé </w:t>
      </w:r>
      <w:r>
        <w:rPr>
          <w:rFonts w:ascii="Arial" w:eastAsia="SimSun" w:hAnsi="Arial" w:cs="Arial"/>
          <w:sz w:val="22"/>
          <w:szCs w:val="22"/>
          <w:lang w:val="fr-FR"/>
        </w:rPr>
        <w:t>soixante</w:t>
      </w:r>
      <w:r>
        <w:rPr>
          <w:rFonts w:ascii="Arial" w:eastAsia="SimSun" w:hAnsi="Arial" w:cs="Arial"/>
          <w:sz w:val="22"/>
          <w:szCs w:val="22"/>
          <w:lang w:val="fr-FR"/>
        </w:rPr>
        <w:noBreakHyphen/>
        <w:t>dix</w:t>
      </w:r>
      <w:r>
        <w:rPr>
          <w:rFonts w:ascii="Arial" w:eastAsia="SimSun" w:hAnsi="Arial" w:cs="Arial"/>
          <w:sz w:val="22"/>
          <w:szCs w:val="22"/>
          <w:lang w:val="fr-FR"/>
        </w:rPr>
        <w:noBreakHyphen/>
        <w:t>huit</w:t>
      </w:r>
      <w:r w:rsidRPr="00C44CE4">
        <w:rPr>
          <w:rFonts w:ascii="Arial" w:eastAsia="SimSun" w:hAnsi="Arial" w:cs="Arial"/>
          <w:sz w:val="22"/>
          <w:szCs w:val="22"/>
          <w:lang w:val="fr-FR"/>
        </w:rPr>
        <w:t xml:space="preserve"> points focaux nationaux pour les rapports périodiques dans deux régions</w:t>
      </w:r>
      <w:r>
        <w:rPr>
          <w:rFonts w:ascii="Arial" w:eastAsia="SimSun" w:hAnsi="Arial" w:cs="Arial"/>
          <w:sz w:val="22"/>
          <w:szCs w:val="22"/>
          <w:lang w:val="fr-FR"/>
        </w:rPr>
        <w:t> </w:t>
      </w:r>
      <w:r w:rsidRPr="00C44CE4">
        <w:rPr>
          <w:rFonts w:ascii="Arial" w:eastAsia="SimSun" w:hAnsi="Arial" w:cs="Arial"/>
          <w:sz w:val="22"/>
          <w:szCs w:val="22"/>
          <w:lang w:val="fr-FR"/>
        </w:rPr>
        <w:t xml:space="preserve">; vi) traité </w:t>
      </w:r>
      <w:r>
        <w:rPr>
          <w:rFonts w:ascii="Arial" w:eastAsia="SimSun" w:hAnsi="Arial" w:cs="Arial"/>
          <w:sz w:val="22"/>
          <w:szCs w:val="22"/>
          <w:lang w:val="fr-FR"/>
        </w:rPr>
        <w:t>trente</w:t>
      </w:r>
      <w:r>
        <w:rPr>
          <w:rFonts w:ascii="Arial" w:eastAsia="SimSun" w:hAnsi="Arial" w:cs="Arial"/>
          <w:sz w:val="22"/>
          <w:szCs w:val="22"/>
          <w:lang w:val="fr-FR"/>
        </w:rPr>
        <w:noBreakHyphen/>
        <w:t>quatre</w:t>
      </w:r>
      <w:r w:rsidRPr="00C44CE4">
        <w:rPr>
          <w:rFonts w:ascii="Arial" w:eastAsia="SimSun" w:hAnsi="Arial" w:cs="Arial"/>
          <w:sz w:val="22"/>
          <w:szCs w:val="22"/>
          <w:lang w:val="fr-FR"/>
        </w:rPr>
        <w:t xml:space="preserve"> demandes d</w:t>
      </w:r>
      <w:r w:rsidR="008E532B">
        <w:rPr>
          <w:rFonts w:ascii="Arial" w:eastAsia="SimSun" w:hAnsi="Arial" w:cs="Arial"/>
          <w:sz w:val="22"/>
          <w:szCs w:val="22"/>
          <w:lang w:val="fr-FR"/>
        </w:rPr>
        <w:t>’</w:t>
      </w:r>
      <w:r w:rsidRPr="00C44CE4">
        <w:rPr>
          <w:rFonts w:ascii="Arial" w:eastAsia="SimSun" w:hAnsi="Arial" w:cs="Arial"/>
          <w:sz w:val="22"/>
          <w:szCs w:val="22"/>
          <w:lang w:val="fr-FR"/>
        </w:rPr>
        <w:t xml:space="preserve">assistance internationale, dont </w:t>
      </w:r>
      <w:r>
        <w:rPr>
          <w:rFonts w:ascii="Arial" w:eastAsia="SimSun" w:hAnsi="Arial" w:cs="Arial"/>
          <w:sz w:val="22"/>
          <w:szCs w:val="22"/>
          <w:lang w:val="fr-FR"/>
        </w:rPr>
        <w:t>seize</w:t>
      </w:r>
      <w:r w:rsidRPr="00C44CE4">
        <w:rPr>
          <w:rFonts w:ascii="Arial" w:eastAsia="SimSun" w:hAnsi="Arial" w:cs="Arial"/>
          <w:sz w:val="22"/>
          <w:szCs w:val="22"/>
          <w:lang w:val="fr-FR"/>
        </w:rPr>
        <w:t xml:space="preserve"> </w:t>
      </w:r>
      <w:r>
        <w:rPr>
          <w:rFonts w:ascii="Arial" w:eastAsia="SimSun" w:hAnsi="Arial" w:cs="Arial"/>
          <w:sz w:val="22"/>
          <w:szCs w:val="22"/>
          <w:lang w:val="fr-FR"/>
        </w:rPr>
        <w:t>avaient</w:t>
      </w:r>
      <w:r w:rsidRPr="00C44CE4">
        <w:rPr>
          <w:rFonts w:ascii="Arial" w:eastAsia="SimSun" w:hAnsi="Arial" w:cs="Arial"/>
          <w:sz w:val="22"/>
          <w:szCs w:val="22"/>
          <w:lang w:val="fr-FR"/>
        </w:rPr>
        <w:t xml:space="preserve"> été approuvées au cours de l</w:t>
      </w:r>
      <w:r w:rsidR="008E532B">
        <w:rPr>
          <w:rFonts w:ascii="Arial" w:eastAsia="SimSun" w:hAnsi="Arial" w:cs="Arial"/>
          <w:sz w:val="22"/>
          <w:szCs w:val="22"/>
          <w:lang w:val="fr-FR"/>
        </w:rPr>
        <w:t>’</w:t>
      </w:r>
      <w:r w:rsidRPr="00C44CE4">
        <w:rPr>
          <w:rFonts w:ascii="Arial" w:eastAsia="SimSun" w:hAnsi="Arial" w:cs="Arial"/>
          <w:sz w:val="22"/>
          <w:szCs w:val="22"/>
          <w:lang w:val="fr-FR"/>
        </w:rPr>
        <w:t>exercice biennal</w:t>
      </w:r>
      <w:r>
        <w:rPr>
          <w:rFonts w:ascii="Arial" w:eastAsia="SimSun" w:hAnsi="Arial" w:cs="Arial"/>
          <w:sz w:val="22"/>
          <w:szCs w:val="22"/>
          <w:lang w:val="fr-FR"/>
        </w:rPr>
        <w:t> </w:t>
      </w:r>
      <w:r w:rsidRPr="00C44CE4">
        <w:rPr>
          <w:rFonts w:ascii="Arial" w:eastAsia="SimSun" w:hAnsi="Arial" w:cs="Arial"/>
          <w:sz w:val="22"/>
          <w:szCs w:val="22"/>
          <w:lang w:val="fr-FR"/>
        </w:rPr>
        <w:t xml:space="preserve">; vii) adopté </w:t>
      </w:r>
      <w:r>
        <w:rPr>
          <w:rFonts w:ascii="Arial" w:eastAsia="SimSun" w:hAnsi="Arial" w:cs="Arial"/>
          <w:sz w:val="22"/>
          <w:szCs w:val="22"/>
          <w:lang w:val="fr-FR"/>
        </w:rPr>
        <w:t>l</w:t>
      </w:r>
      <w:r w:rsidRPr="00C44CE4">
        <w:rPr>
          <w:rFonts w:ascii="Arial" w:eastAsia="SimSun" w:hAnsi="Arial" w:cs="Arial"/>
          <w:sz w:val="22"/>
          <w:szCs w:val="22"/>
          <w:lang w:val="fr-FR"/>
        </w:rPr>
        <w:t xml:space="preserve">es </w:t>
      </w:r>
      <w:r>
        <w:rPr>
          <w:rFonts w:ascii="Arial" w:eastAsia="SimSun" w:hAnsi="Arial" w:cs="Arial"/>
          <w:sz w:val="22"/>
          <w:szCs w:val="22"/>
          <w:lang w:val="fr-FR"/>
        </w:rPr>
        <w:t>P</w:t>
      </w:r>
      <w:r w:rsidRPr="00C44CE4">
        <w:rPr>
          <w:rFonts w:ascii="Arial" w:eastAsia="SimSun" w:hAnsi="Arial" w:cs="Arial"/>
          <w:sz w:val="22"/>
          <w:szCs w:val="22"/>
          <w:lang w:val="fr-FR"/>
        </w:rPr>
        <w:t xml:space="preserve">rincipes et modalités opérationnels pour la sauvegarde du patrimoine culturel immatériel </w:t>
      </w:r>
      <w:r>
        <w:rPr>
          <w:rFonts w:ascii="Arial" w:eastAsia="SimSun" w:hAnsi="Arial" w:cs="Arial"/>
          <w:sz w:val="22"/>
          <w:szCs w:val="22"/>
          <w:lang w:val="fr-FR"/>
        </w:rPr>
        <w:t xml:space="preserve">en </w:t>
      </w:r>
      <w:r w:rsidRPr="00C44CE4">
        <w:rPr>
          <w:rFonts w:ascii="Arial" w:eastAsia="SimSun" w:hAnsi="Arial" w:cs="Arial"/>
          <w:sz w:val="22"/>
          <w:szCs w:val="22"/>
          <w:lang w:val="fr-FR"/>
        </w:rPr>
        <w:t>situations d</w:t>
      </w:r>
      <w:r w:rsidR="008E532B">
        <w:rPr>
          <w:rFonts w:ascii="Arial" w:eastAsia="SimSun" w:hAnsi="Arial" w:cs="Arial"/>
          <w:sz w:val="22"/>
          <w:szCs w:val="22"/>
          <w:lang w:val="fr-FR"/>
        </w:rPr>
        <w:t>’</w:t>
      </w:r>
      <w:r w:rsidRPr="00C44CE4">
        <w:rPr>
          <w:rFonts w:ascii="Arial" w:eastAsia="SimSun" w:hAnsi="Arial" w:cs="Arial"/>
          <w:sz w:val="22"/>
          <w:szCs w:val="22"/>
          <w:lang w:val="fr-FR"/>
        </w:rPr>
        <w:t>urgence</w:t>
      </w:r>
      <w:r>
        <w:rPr>
          <w:rFonts w:ascii="Arial" w:eastAsia="SimSun" w:hAnsi="Arial" w:cs="Arial"/>
          <w:sz w:val="22"/>
          <w:szCs w:val="22"/>
          <w:lang w:val="fr-FR"/>
        </w:rPr>
        <w:t> </w:t>
      </w:r>
      <w:r w:rsidRPr="00C44CE4">
        <w:rPr>
          <w:rFonts w:ascii="Arial" w:eastAsia="SimSun" w:hAnsi="Arial" w:cs="Arial"/>
          <w:sz w:val="22"/>
          <w:szCs w:val="22"/>
          <w:lang w:val="fr-FR"/>
        </w:rPr>
        <w:t xml:space="preserve">; viii) renforcé la collaboration avec le Forum des ONG du </w:t>
      </w:r>
      <w:r>
        <w:rPr>
          <w:rFonts w:ascii="Arial" w:eastAsia="SimSun" w:hAnsi="Arial" w:cs="Arial"/>
          <w:sz w:val="22"/>
          <w:szCs w:val="22"/>
          <w:lang w:val="fr-FR"/>
        </w:rPr>
        <w:t>patrimoine culturel immatériel </w:t>
      </w:r>
      <w:r w:rsidRPr="00C44CE4">
        <w:rPr>
          <w:rFonts w:ascii="Arial" w:eastAsia="SimSun" w:hAnsi="Arial" w:cs="Arial"/>
          <w:sz w:val="22"/>
          <w:szCs w:val="22"/>
          <w:lang w:val="fr-FR"/>
        </w:rPr>
        <w:t xml:space="preserve">; ix) traité </w:t>
      </w:r>
      <w:r>
        <w:rPr>
          <w:rFonts w:ascii="Arial" w:eastAsia="SimSun" w:hAnsi="Arial" w:cs="Arial"/>
          <w:sz w:val="22"/>
          <w:szCs w:val="22"/>
          <w:lang w:val="fr-FR"/>
        </w:rPr>
        <w:t>quarante</w:t>
      </w:r>
      <w:r>
        <w:rPr>
          <w:rFonts w:ascii="Arial" w:eastAsia="SimSun" w:hAnsi="Arial" w:cs="Arial"/>
          <w:sz w:val="22"/>
          <w:szCs w:val="22"/>
          <w:lang w:val="fr-FR"/>
        </w:rPr>
        <w:noBreakHyphen/>
        <w:t>six</w:t>
      </w:r>
      <w:r w:rsidRPr="00C44CE4">
        <w:rPr>
          <w:rFonts w:ascii="Arial" w:eastAsia="SimSun" w:hAnsi="Arial" w:cs="Arial"/>
          <w:sz w:val="22"/>
          <w:szCs w:val="22"/>
          <w:lang w:val="fr-FR"/>
        </w:rPr>
        <w:t xml:space="preserve"> nouvelles demandes d</w:t>
      </w:r>
      <w:r w:rsidR="008E532B">
        <w:rPr>
          <w:rFonts w:ascii="Arial" w:eastAsia="SimSun" w:hAnsi="Arial" w:cs="Arial"/>
          <w:sz w:val="22"/>
          <w:szCs w:val="22"/>
          <w:lang w:val="fr-FR"/>
        </w:rPr>
        <w:t>’</w:t>
      </w:r>
      <w:r w:rsidRPr="00C44CE4">
        <w:rPr>
          <w:rFonts w:ascii="Arial" w:eastAsia="SimSun" w:hAnsi="Arial" w:cs="Arial"/>
          <w:sz w:val="22"/>
          <w:szCs w:val="22"/>
          <w:lang w:val="fr-FR"/>
        </w:rPr>
        <w:t>accréditation</w:t>
      </w:r>
      <w:r>
        <w:rPr>
          <w:rFonts w:ascii="Arial" w:eastAsia="SimSun" w:hAnsi="Arial" w:cs="Arial"/>
          <w:sz w:val="22"/>
          <w:szCs w:val="22"/>
          <w:lang w:val="fr-FR"/>
        </w:rPr>
        <w:t> </w:t>
      </w:r>
      <w:r w:rsidRPr="00C44CE4">
        <w:rPr>
          <w:rFonts w:ascii="Arial" w:eastAsia="SimSun" w:hAnsi="Arial" w:cs="Arial"/>
          <w:sz w:val="22"/>
          <w:szCs w:val="22"/>
          <w:lang w:val="fr-FR"/>
        </w:rPr>
        <w:t xml:space="preserve">; x) fourni un soutien au renforcement des capacités à 162 États membres, dont </w:t>
      </w:r>
      <w:r>
        <w:rPr>
          <w:rFonts w:ascii="Arial" w:eastAsia="SimSun" w:hAnsi="Arial" w:cs="Arial"/>
          <w:sz w:val="22"/>
          <w:szCs w:val="22"/>
          <w:lang w:val="fr-FR"/>
        </w:rPr>
        <w:t>trente</w:t>
      </w:r>
      <w:r>
        <w:rPr>
          <w:rFonts w:ascii="Arial" w:eastAsia="SimSun" w:hAnsi="Arial" w:cs="Arial"/>
          <w:sz w:val="22"/>
          <w:szCs w:val="22"/>
          <w:lang w:val="fr-FR"/>
        </w:rPr>
        <w:noBreakHyphen/>
        <w:t>trois</w:t>
      </w:r>
      <w:r w:rsidRPr="00C44CE4">
        <w:rPr>
          <w:rFonts w:ascii="Arial" w:eastAsia="SimSun" w:hAnsi="Arial" w:cs="Arial"/>
          <w:sz w:val="22"/>
          <w:szCs w:val="22"/>
          <w:lang w:val="fr-FR"/>
        </w:rPr>
        <w:t xml:space="preserve"> en Afrique et </w:t>
      </w:r>
      <w:r>
        <w:rPr>
          <w:rFonts w:ascii="Arial" w:eastAsia="SimSun" w:hAnsi="Arial" w:cs="Arial"/>
          <w:sz w:val="22"/>
          <w:szCs w:val="22"/>
          <w:lang w:val="fr-FR"/>
        </w:rPr>
        <w:t>trente</w:t>
      </w:r>
      <w:r w:rsidRPr="00C44CE4">
        <w:rPr>
          <w:rFonts w:ascii="Arial" w:eastAsia="SimSun" w:hAnsi="Arial" w:cs="Arial"/>
          <w:sz w:val="22"/>
          <w:szCs w:val="22"/>
          <w:lang w:val="fr-FR"/>
        </w:rPr>
        <w:t xml:space="preserve"> dans les </w:t>
      </w:r>
      <w:r>
        <w:rPr>
          <w:rFonts w:ascii="Arial" w:eastAsia="SimSun" w:hAnsi="Arial" w:cs="Arial"/>
          <w:sz w:val="22"/>
          <w:szCs w:val="22"/>
          <w:lang w:val="fr-FR"/>
        </w:rPr>
        <w:t>PEID </w:t>
      </w:r>
      <w:r w:rsidRPr="00C44CE4">
        <w:rPr>
          <w:rFonts w:ascii="Arial" w:eastAsia="SimSun" w:hAnsi="Arial" w:cs="Arial"/>
          <w:sz w:val="22"/>
          <w:szCs w:val="22"/>
          <w:lang w:val="fr-FR"/>
        </w:rPr>
        <w:t>; xi) formé</w:t>
      </w:r>
      <w:r>
        <w:rPr>
          <w:rFonts w:ascii="Arial" w:eastAsia="SimSun" w:hAnsi="Arial" w:cs="Arial"/>
          <w:sz w:val="22"/>
          <w:szCs w:val="22"/>
          <w:lang w:val="fr-FR"/>
        </w:rPr>
        <w:t xml:space="preserve"> quatre</w:t>
      </w:r>
      <w:r>
        <w:rPr>
          <w:rFonts w:ascii="Arial" w:eastAsia="SimSun" w:hAnsi="Arial" w:cs="Arial"/>
          <w:sz w:val="22"/>
          <w:szCs w:val="22"/>
          <w:lang w:val="fr-FR"/>
        </w:rPr>
        <w:noBreakHyphen/>
        <w:t xml:space="preserve">vingt-trois </w:t>
      </w:r>
      <w:r w:rsidRPr="00C44CE4">
        <w:rPr>
          <w:rFonts w:ascii="Arial" w:eastAsia="SimSun" w:hAnsi="Arial" w:cs="Arial"/>
          <w:sz w:val="22"/>
          <w:szCs w:val="22"/>
          <w:lang w:val="fr-FR"/>
        </w:rPr>
        <w:t>membres du réseau de facilitateurs, dont plus de la moitié étaient des femmes</w:t>
      </w:r>
      <w:r>
        <w:rPr>
          <w:rFonts w:ascii="Arial" w:eastAsia="SimSun" w:hAnsi="Arial" w:cs="Arial"/>
          <w:sz w:val="22"/>
          <w:szCs w:val="22"/>
          <w:lang w:val="fr-FR"/>
        </w:rPr>
        <w:t> </w:t>
      </w:r>
      <w:r w:rsidRPr="00C44CE4">
        <w:rPr>
          <w:rFonts w:ascii="Arial" w:eastAsia="SimSun" w:hAnsi="Arial" w:cs="Arial"/>
          <w:sz w:val="22"/>
          <w:szCs w:val="22"/>
          <w:lang w:val="fr-FR"/>
        </w:rPr>
        <w:t xml:space="preserve">; xii) engagé 140 universités dans des activités de mise en réseau pour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44CE4">
        <w:rPr>
          <w:rFonts w:ascii="Arial" w:eastAsia="SimSun" w:hAnsi="Arial" w:cs="Arial"/>
          <w:sz w:val="22"/>
          <w:szCs w:val="22"/>
          <w:lang w:val="fr-FR"/>
        </w:rPr>
        <w:t>dans quatre régions</w:t>
      </w:r>
      <w:r>
        <w:rPr>
          <w:rFonts w:ascii="Arial" w:eastAsia="SimSun" w:hAnsi="Arial" w:cs="Arial"/>
          <w:sz w:val="22"/>
          <w:szCs w:val="22"/>
          <w:lang w:val="fr-FR"/>
        </w:rPr>
        <w:t> </w:t>
      </w:r>
      <w:r w:rsidRPr="00C44CE4">
        <w:rPr>
          <w:rFonts w:ascii="Arial" w:eastAsia="SimSun" w:hAnsi="Arial" w:cs="Arial"/>
          <w:sz w:val="22"/>
          <w:szCs w:val="22"/>
          <w:lang w:val="fr-FR"/>
        </w:rPr>
        <w:t>; et xiii) lancé un centre d</w:t>
      </w:r>
      <w:r w:rsidR="008E532B">
        <w:rPr>
          <w:rFonts w:ascii="Arial" w:eastAsia="SimSun" w:hAnsi="Arial" w:cs="Arial"/>
          <w:sz w:val="22"/>
          <w:szCs w:val="22"/>
          <w:lang w:val="fr-FR"/>
        </w:rPr>
        <w:t>’</w:t>
      </w:r>
      <w:r w:rsidRPr="00C44CE4">
        <w:rPr>
          <w:rFonts w:ascii="Arial" w:eastAsia="SimSun" w:hAnsi="Arial" w:cs="Arial"/>
          <w:sz w:val="22"/>
          <w:szCs w:val="22"/>
          <w:lang w:val="fr-FR"/>
        </w:rPr>
        <w:t xml:space="preserve">échange pour le partage des connaissances sur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44CE4">
        <w:rPr>
          <w:rFonts w:ascii="Arial" w:eastAsia="SimSun" w:hAnsi="Arial" w:cs="Arial"/>
          <w:sz w:val="22"/>
          <w:szCs w:val="22"/>
          <w:lang w:val="fr-FR"/>
        </w:rPr>
        <w:t>et l</w:t>
      </w:r>
      <w:r w:rsidR="008E532B">
        <w:rPr>
          <w:rFonts w:ascii="Arial" w:eastAsia="SimSun" w:hAnsi="Arial" w:cs="Arial"/>
          <w:sz w:val="22"/>
          <w:szCs w:val="22"/>
          <w:lang w:val="fr-FR"/>
        </w:rPr>
        <w:t>’</w:t>
      </w:r>
      <w:r w:rsidRPr="00C44CE4">
        <w:rPr>
          <w:rFonts w:ascii="Arial" w:eastAsia="SimSun" w:hAnsi="Arial" w:cs="Arial"/>
          <w:sz w:val="22"/>
          <w:szCs w:val="22"/>
          <w:lang w:val="fr-FR"/>
        </w:rPr>
        <w:t>éducation. Ceci donn</w:t>
      </w:r>
      <w:r>
        <w:rPr>
          <w:rFonts w:ascii="Arial" w:eastAsia="SimSun" w:hAnsi="Arial" w:cs="Arial"/>
          <w:sz w:val="22"/>
          <w:szCs w:val="22"/>
          <w:lang w:val="fr-FR"/>
        </w:rPr>
        <w:t>ait</w:t>
      </w:r>
      <w:r w:rsidRPr="00C44CE4">
        <w:rPr>
          <w:rFonts w:ascii="Arial" w:eastAsia="SimSun" w:hAnsi="Arial" w:cs="Arial"/>
          <w:sz w:val="22"/>
          <w:szCs w:val="22"/>
          <w:lang w:val="fr-FR"/>
        </w:rPr>
        <w:t xml:space="preserve"> un aperçu de l</w:t>
      </w:r>
      <w:r w:rsidR="008E532B">
        <w:rPr>
          <w:rFonts w:ascii="Arial" w:eastAsia="SimSun" w:hAnsi="Arial" w:cs="Arial"/>
          <w:sz w:val="22"/>
          <w:szCs w:val="22"/>
          <w:lang w:val="fr-FR"/>
        </w:rPr>
        <w:t>’</w:t>
      </w:r>
      <w:r w:rsidRPr="00C44CE4">
        <w:rPr>
          <w:rFonts w:ascii="Arial" w:eastAsia="SimSun" w:hAnsi="Arial" w:cs="Arial"/>
          <w:sz w:val="22"/>
          <w:szCs w:val="22"/>
          <w:lang w:val="fr-FR"/>
        </w:rPr>
        <w:t>étendue et de la portée du travail du Secrétariat au cours des deux dernières années et de tout ce qu</w:t>
      </w:r>
      <w:r w:rsidR="008E532B">
        <w:rPr>
          <w:rFonts w:ascii="Arial" w:eastAsia="SimSun" w:hAnsi="Arial" w:cs="Arial"/>
          <w:sz w:val="22"/>
          <w:szCs w:val="22"/>
          <w:lang w:val="fr-FR"/>
        </w:rPr>
        <w:t>’</w:t>
      </w:r>
      <w:r w:rsidRPr="00C44CE4">
        <w:rPr>
          <w:rFonts w:ascii="Arial" w:eastAsia="SimSun" w:hAnsi="Arial" w:cs="Arial"/>
          <w:sz w:val="22"/>
          <w:szCs w:val="22"/>
          <w:lang w:val="fr-FR"/>
        </w:rPr>
        <w:t>il a</w:t>
      </w:r>
      <w:r>
        <w:rPr>
          <w:rFonts w:ascii="Arial" w:eastAsia="SimSun" w:hAnsi="Arial" w:cs="Arial"/>
          <w:sz w:val="22"/>
          <w:szCs w:val="22"/>
          <w:lang w:val="fr-FR"/>
        </w:rPr>
        <w:t>vait</w:t>
      </w:r>
      <w:r w:rsidRPr="00C44CE4">
        <w:rPr>
          <w:rFonts w:ascii="Arial" w:eastAsia="SimSun" w:hAnsi="Arial" w:cs="Arial"/>
          <w:sz w:val="22"/>
          <w:szCs w:val="22"/>
          <w:lang w:val="fr-FR"/>
        </w:rPr>
        <w:t xml:space="preserve"> réalisé dans le contexte évolutif de la pandémie de COVID</w:t>
      </w:r>
      <w:r>
        <w:rPr>
          <w:rFonts w:ascii="Arial" w:eastAsia="SimSun" w:hAnsi="Arial" w:cs="Arial"/>
          <w:sz w:val="22"/>
          <w:szCs w:val="22"/>
          <w:lang w:val="fr-FR"/>
        </w:rPr>
        <w:noBreakHyphen/>
      </w:r>
      <w:r w:rsidRPr="00C44CE4">
        <w:rPr>
          <w:rFonts w:ascii="Arial" w:eastAsia="SimSun" w:hAnsi="Arial" w:cs="Arial"/>
          <w:sz w:val="22"/>
          <w:szCs w:val="22"/>
          <w:lang w:val="fr-FR"/>
        </w:rPr>
        <w:t>19.</w:t>
      </w:r>
    </w:p>
    <w:p w14:paraId="6A7F833A" w14:textId="203EBCF7" w:rsidR="00D9653F" w:rsidRPr="00D76503" w:rsidRDefault="00D9653F" w:rsidP="00D76503">
      <w:pPr>
        <w:numPr>
          <w:ilvl w:val="0"/>
          <w:numId w:val="19"/>
        </w:numPr>
        <w:suppressAutoHyphens/>
        <w:autoSpaceDE w:val="0"/>
        <w:spacing w:before="120"/>
        <w:ind w:left="567" w:hanging="567"/>
        <w:jc w:val="both"/>
        <w:rPr>
          <w:rFonts w:ascii="Arial" w:eastAsia="SimSun" w:hAnsi="Arial" w:cs="Arial"/>
          <w:sz w:val="22"/>
          <w:szCs w:val="22"/>
          <w:lang w:val="fr-FR"/>
        </w:rPr>
      </w:pPr>
      <w:r>
        <w:rPr>
          <w:rFonts w:ascii="Arial" w:eastAsia="SimSun" w:hAnsi="Arial" w:cs="Arial"/>
          <w:sz w:val="22"/>
          <w:szCs w:val="22"/>
          <w:lang w:val="fr-FR"/>
        </w:rPr>
        <w:t xml:space="preserve">La </w:t>
      </w:r>
      <w:r w:rsidRPr="006C60C3">
        <w:rPr>
          <w:rFonts w:ascii="Arial" w:eastAsia="SimSun" w:hAnsi="Arial" w:cs="Arial"/>
          <w:b/>
          <w:bCs/>
          <w:sz w:val="22"/>
          <w:szCs w:val="22"/>
          <w:lang w:val="fr-FR"/>
        </w:rPr>
        <w:t>Présidente</w:t>
      </w:r>
      <w:r>
        <w:rPr>
          <w:rFonts w:ascii="Arial" w:eastAsia="SimSun" w:hAnsi="Arial" w:cs="Arial"/>
          <w:sz w:val="22"/>
          <w:szCs w:val="22"/>
          <w:lang w:val="fr-FR"/>
        </w:rPr>
        <w:t xml:space="preserve"> a </w:t>
      </w:r>
      <w:r w:rsidRPr="006C60C3">
        <w:rPr>
          <w:rFonts w:ascii="Arial" w:eastAsia="SimSun" w:hAnsi="Arial" w:cs="Arial"/>
          <w:sz w:val="22"/>
          <w:szCs w:val="22"/>
          <w:lang w:val="fr-FR"/>
        </w:rPr>
        <w:t>remerci</w:t>
      </w:r>
      <w:r>
        <w:rPr>
          <w:rFonts w:ascii="Arial" w:eastAsia="SimSun" w:hAnsi="Arial" w:cs="Arial"/>
          <w:sz w:val="22"/>
          <w:szCs w:val="22"/>
          <w:lang w:val="fr-FR"/>
        </w:rPr>
        <w:t>é</w:t>
      </w:r>
      <w:r w:rsidRPr="006C60C3">
        <w:rPr>
          <w:rFonts w:ascii="Arial" w:eastAsia="SimSun" w:hAnsi="Arial" w:cs="Arial"/>
          <w:sz w:val="22"/>
          <w:szCs w:val="22"/>
          <w:lang w:val="fr-FR"/>
        </w:rPr>
        <w:t xml:space="preserve"> M. </w:t>
      </w:r>
      <w:proofErr w:type="spellStart"/>
      <w:r w:rsidRPr="006C60C3">
        <w:rPr>
          <w:rFonts w:ascii="Arial" w:eastAsia="SimSun" w:hAnsi="Arial" w:cs="Arial"/>
          <w:sz w:val="22"/>
          <w:szCs w:val="22"/>
          <w:lang w:val="fr-FR"/>
        </w:rPr>
        <w:t>Ottone</w:t>
      </w:r>
      <w:proofErr w:type="spellEnd"/>
      <w:r w:rsidRPr="006C60C3">
        <w:rPr>
          <w:rFonts w:ascii="Arial" w:eastAsia="SimSun" w:hAnsi="Arial" w:cs="Arial"/>
          <w:sz w:val="22"/>
          <w:szCs w:val="22"/>
          <w:lang w:val="fr-FR"/>
        </w:rPr>
        <w:t xml:space="preserve"> </w:t>
      </w:r>
      <w:r>
        <w:rPr>
          <w:rFonts w:ascii="Arial" w:eastAsia="SimSun" w:hAnsi="Arial" w:cs="Arial"/>
          <w:sz w:val="22"/>
          <w:szCs w:val="22"/>
          <w:lang w:val="fr-FR"/>
        </w:rPr>
        <w:t>pour</w:t>
      </w:r>
      <w:r w:rsidRPr="006C60C3">
        <w:rPr>
          <w:rFonts w:ascii="Arial" w:eastAsia="SimSun" w:hAnsi="Arial" w:cs="Arial"/>
          <w:sz w:val="22"/>
          <w:szCs w:val="22"/>
          <w:lang w:val="fr-FR"/>
        </w:rPr>
        <w:t xml:space="preserve"> son exposé</w:t>
      </w:r>
      <w:r>
        <w:rPr>
          <w:rFonts w:ascii="Arial" w:eastAsia="SimSun" w:hAnsi="Arial" w:cs="Arial"/>
          <w:sz w:val="22"/>
          <w:szCs w:val="22"/>
          <w:lang w:val="fr-FR"/>
        </w:rPr>
        <w:t xml:space="preserve"> très pertinent</w:t>
      </w:r>
      <w:r w:rsidRPr="006C60C3">
        <w:rPr>
          <w:rFonts w:ascii="Arial" w:eastAsia="SimSun" w:hAnsi="Arial" w:cs="Arial"/>
          <w:sz w:val="22"/>
          <w:szCs w:val="22"/>
          <w:lang w:val="fr-FR"/>
        </w:rPr>
        <w:t>, ajoutant que la discussion se poursuivra</w:t>
      </w:r>
      <w:r>
        <w:rPr>
          <w:rFonts w:ascii="Arial" w:eastAsia="SimSun" w:hAnsi="Arial" w:cs="Arial"/>
          <w:sz w:val="22"/>
          <w:szCs w:val="22"/>
          <w:lang w:val="fr-FR"/>
        </w:rPr>
        <w:t>it</w:t>
      </w:r>
      <w:r w:rsidRPr="006C60C3">
        <w:rPr>
          <w:rFonts w:ascii="Arial" w:eastAsia="SimSun" w:hAnsi="Arial" w:cs="Arial"/>
          <w:sz w:val="22"/>
          <w:szCs w:val="22"/>
          <w:lang w:val="fr-FR"/>
        </w:rPr>
        <w:t xml:space="preserve"> après le </w:t>
      </w:r>
      <w:r>
        <w:rPr>
          <w:rFonts w:ascii="Arial" w:eastAsia="SimSun" w:hAnsi="Arial" w:cs="Arial"/>
          <w:sz w:val="22"/>
          <w:szCs w:val="22"/>
          <w:lang w:val="fr-FR"/>
        </w:rPr>
        <w:t>déjeuner</w:t>
      </w:r>
      <w:r w:rsidRPr="006C60C3">
        <w:rPr>
          <w:rFonts w:ascii="Arial" w:eastAsia="SimSun" w:hAnsi="Arial" w:cs="Arial"/>
          <w:sz w:val="22"/>
          <w:szCs w:val="22"/>
          <w:lang w:val="fr-FR"/>
        </w:rPr>
        <w:t xml:space="preserve">. La séance du matin a été </w:t>
      </w:r>
      <w:r>
        <w:rPr>
          <w:rFonts w:ascii="Arial" w:eastAsia="SimSun" w:hAnsi="Arial" w:cs="Arial"/>
          <w:sz w:val="22"/>
          <w:szCs w:val="22"/>
          <w:lang w:val="fr-FR"/>
        </w:rPr>
        <w:t>levée</w:t>
      </w:r>
      <w:r w:rsidRPr="006C60C3">
        <w:rPr>
          <w:rFonts w:ascii="Arial" w:eastAsia="SimSun" w:hAnsi="Arial" w:cs="Arial"/>
          <w:sz w:val="22"/>
          <w:szCs w:val="22"/>
          <w:lang w:val="fr-FR"/>
        </w:rPr>
        <w:t>.</w:t>
      </w:r>
    </w:p>
    <w:p w14:paraId="1202D902" w14:textId="4A958D11" w:rsidR="00D9653F" w:rsidRPr="00D76503" w:rsidRDefault="00D9653F" w:rsidP="00D76503">
      <w:pPr>
        <w:autoSpaceDE w:val="0"/>
        <w:spacing w:before="240" w:after="240"/>
        <w:ind w:left="709" w:hanging="709"/>
        <w:jc w:val="center"/>
        <w:outlineLvl w:val="0"/>
        <w:rPr>
          <w:rFonts w:ascii="Arial" w:eastAsia="SimSun" w:hAnsi="Arial" w:cs="Arial"/>
          <w:i/>
          <w:iCs/>
          <w:sz w:val="22"/>
          <w:szCs w:val="22"/>
          <w:lang w:val="fr-FR"/>
        </w:rPr>
      </w:pPr>
      <w:r w:rsidRPr="00D76503">
        <w:rPr>
          <w:rFonts w:ascii="Arial" w:eastAsia="SimSun" w:hAnsi="Arial" w:cs="Arial"/>
          <w:i/>
          <w:iCs/>
          <w:sz w:val="22"/>
          <w:szCs w:val="22"/>
          <w:lang w:val="fr-FR"/>
        </w:rPr>
        <w:t>[Mardi 5 juillet, séance de l</w:t>
      </w:r>
      <w:r w:rsidR="008E532B">
        <w:rPr>
          <w:rFonts w:ascii="Arial" w:eastAsia="SimSun" w:hAnsi="Arial" w:cs="Arial"/>
          <w:i/>
          <w:iCs/>
          <w:sz w:val="22"/>
          <w:szCs w:val="22"/>
          <w:lang w:val="fr-FR"/>
        </w:rPr>
        <w:t>’</w:t>
      </w:r>
      <w:r w:rsidRPr="00D76503">
        <w:rPr>
          <w:rFonts w:ascii="Arial" w:eastAsia="SimSun" w:hAnsi="Arial" w:cs="Arial"/>
          <w:i/>
          <w:iCs/>
          <w:sz w:val="22"/>
          <w:szCs w:val="22"/>
          <w:lang w:val="fr-FR"/>
        </w:rPr>
        <w:t>après-midi]</w:t>
      </w:r>
    </w:p>
    <w:p w14:paraId="0286E5D6" w14:textId="6651A130" w:rsidR="00D9653F" w:rsidRPr="00F57BFB" w:rsidRDefault="00D9653F" w:rsidP="00D76503">
      <w:pPr>
        <w:pStyle w:val="Marge"/>
        <w:keepNext/>
        <w:tabs>
          <w:tab w:val="clear" w:pos="567"/>
          <w:tab w:val="left" w:pos="709"/>
          <w:tab w:val="left" w:pos="1418"/>
          <w:tab w:val="left" w:pos="2126"/>
          <w:tab w:val="left" w:pos="2835"/>
        </w:tabs>
        <w:spacing w:after="0"/>
        <w:ind w:left="567" w:hanging="567"/>
        <w:jc w:val="left"/>
        <w:outlineLvl w:val="1"/>
        <w:rPr>
          <w:rFonts w:cs="Arial"/>
          <w:b/>
          <w:szCs w:val="22"/>
          <w:u w:val="single"/>
          <w:lang w:val="fr-FR"/>
        </w:rPr>
      </w:pPr>
      <w:r>
        <w:rPr>
          <w:rFonts w:cs="Arial"/>
          <w:b/>
          <w:szCs w:val="22"/>
          <w:u w:val="single"/>
          <w:lang w:val="fr-FR"/>
        </w:rPr>
        <w:t>POINT 6 DE L</w:t>
      </w:r>
      <w:r w:rsidR="008E532B">
        <w:rPr>
          <w:rFonts w:cs="Arial"/>
          <w:b/>
          <w:szCs w:val="22"/>
          <w:u w:val="single"/>
          <w:lang w:val="fr-FR"/>
        </w:rPr>
        <w:t>’</w:t>
      </w:r>
      <w:r w:rsidRPr="00F57BFB">
        <w:rPr>
          <w:rFonts w:cs="Arial"/>
          <w:b/>
          <w:szCs w:val="22"/>
          <w:u w:val="single"/>
          <w:lang w:val="fr-FR"/>
        </w:rPr>
        <w:t>ORDRE DU JOUR</w:t>
      </w:r>
      <w:r>
        <w:rPr>
          <w:rFonts w:cs="Arial"/>
          <w:b/>
          <w:szCs w:val="22"/>
          <w:u w:val="single"/>
          <w:lang w:val="fr-FR"/>
        </w:rPr>
        <w:t xml:space="preserve"> </w:t>
      </w:r>
      <w:r w:rsidRPr="00F57BFB">
        <w:rPr>
          <w:rFonts w:cs="Arial"/>
          <w:b/>
          <w:szCs w:val="22"/>
          <w:u w:val="single"/>
          <w:lang w:val="fr-FR"/>
        </w:rPr>
        <w:t>[</w:t>
      </w:r>
      <w:r>
        <w:rPr>
          <w:rFonts w:cs="Arial"/>
          <w:b/>
          <w:szCs w:val="22"/>
          <w:u w:val="single"/>
          <w:lang w:val="fr-FR"/>
        </w:rPr>
        <w:t>SUITE</w:t>
      </w:r>
      <w:r w:rsidRPr="00F57BFB">
        <w:rPr>
          <w:rFonts w:cs="Arial"/>
          <w:b/>
          <w:szCs w:val="22"/>
          <w:u w:val="single"/>
          <w:lang w:val="fr-FR"/>
        </w:rPr>
        <w:t xml:space="preserve">] : </w:t>
      </w:r>
    </w:p>
    <w:p w14:paraId="0BC158E8" w14:textId="4401350D" w:rsidR="00D9653F" w:rsidRPr="00A96116" w:rsidRDefault="00D9653F" w:rsidP="00D76503">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lang w:val="fr-FR"/>
        </w:rPr>
      </w:pPr>
      <w:r w:rsidRPr="00A96116">
        <w:rPr>
          <w:rFonts w:eastAsiaTheme="minorHAnsi"/>
          <w:b/>
          <w:color w:val="000000" w:themeColor="text1"/>
          <w:lang w:val="fr-FR"/>
        </w:rPr>
        <w:t>RAPPORT DU SECRÉTARIAT SUR SES ACTIVITÉS (JANVIER 2020 À DÉCEMBRE 2021)</w:t>
      </w:r>
    </w:p>
    <w:p w14:paraId="137C807F" w14:textId="39F18C8F" w:rsidR="00D9653F" w:rsidRPr="002F6E2F" w:rsidRDefault="00D9653F" w:rsidP="00D9653F">
      <w:pPr>
        <w:numPr>
          <w:ilvl w:val="0"/>
          <w:numId w:val="19"/>
        </w:numPr>
        <w:suppressAutoHyphens/>
        <w:autoSpaceDE w:val="0"/>
        <w:ind w:left="567" w:hanging="567"/>
        <w:jc w:val="both"/>
        <w:rPr>
          <w:rFonts w:ascii="Arial" w:eastAsia="SimSun" w:hAnsi="Arial" w:cs="Arial"/>
          <w:bCs/>
          <w:sz w:val="22"/>
          <w:szCs w:val="22"/>
          <w:lang w:val="fr-FR" w:eastAsia="en-US"/>
        </w:rPr>
      </w:pPr>
      <w:r w:rsidRPr="002F6E2F">
        <w:rPr>
          <w:rFonts w:ascii="Arial" w:eastAsia="SimSun" w:hAnsi="Arial" w:cs="Arial"/>
          <w:bCs/>
          <w:sz w:val="22"/>
          <w:szCs w:val="22"/>
          <w:lang w:val="fr-FR" w:eastAsia="en-US"/>
        </w:rPr>
        <w:t xml:space="preserve">La </w:t>
      </w:r>
      <w:r w:rsidRPr="002F6E2F">
        <w:rPr>
          <w:rFonts w:ascii="Arial" w:eastAsia="SimSun" w:hAnsi="Arial" w:cs="Arial"/>
          <w:b/>
          <w:sz w:val="22"/>
          <w:szCs w:val="22"/>
          <w:lang w:val="fr-FR" w:eastAsia="en-US"/>
        </w:rPr>
        <w:t>Présidente</w:t>
      </w:r>
      <w:r w:rsidRPr="002F6E2F">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a </w:t>
      </w:r>
      <w:r w:rsidRPr="002F6E2F">
        <w:rPr>
          <w:rFonts w:ascii="Arial" w:eastAsia="SimSun" w:hAnsi="Arial" w:cs="Arial"/>
          <w:bCs/>
          <w:sz w:val="22"/>
          <w:szCs w:val="22"/>
          <w:lang w:val="fr-FR" w:eastAsia="en-US"/>
        </w:rPr>
        <w:t>souhait</w:t>
      </w:r>
      <w:r>
        <w:rPr>
          <w:rFonts w:ascii="Arial" w:eastAsia="SimSun" w:hAnsi="Arial" w:cs="Arial"/>
          <w:bCs/>
          <w:sz w:val="22"/>
          <w:szCs w:val="22"/>
          <w:lang w:val="fr-FR" w:eastAsia="en-US"/>
        </w:rPr>
        <w:t>é</w:t>
      </w:r>
      <w:r w:rsidRPr="002F6E2F">
        <w:rPr>
          <w:rFonts w:ascii="Arial" w:eastAsia="SimSun" w:hAnsi="Arial" w:cs="Arial"/>
          <w:bCs/>
          <w:sz w:val="22"/>
          <w:szCs w:val="22"/>
          <w:lang w:val="fr-FR" w:eastAsia="en-US"/>
        </w:rPr>
        <w:t xml:space="preserve"> la bienvenue aux délégations à la s</w:t>
      </w:r>
      <w:r>
        <w:rPr>
          <w:rFonts w:ascii="Arial" w:eastAsia="SimSun" w:hAnsi="Arial" w:cs="Arial"/>
          <w:bCs/>
          <w:sz w:val="22"/>
          <w:szCs w:val="22"/>
          <w:lang w:val="fr-FR" w:eastAsia="en-US"/>
        </w:rPr>
        <w:t>éance</w:t>
      </w:r>
      <w:r w:rsidRPr="002F6E2F">
        <w:rPr>
          <w:rFonts w:ascii="Arial" w:eastAsia="SimSun" w:hAnsi="Arial" w:cs="Arial"/>
          <w:bCs/>
          <w:sz w:val="22"/>
          <w:szCs w:val="22"/>
          <w:lang w:val="fr-FR" w:eastAsia="en-US"/>
        </w:rPr>
        <w:t xml:space="preserve"> de l</w:t>
      </w:r>
      <w:r w:rsidR="008E532B">
        <w:rPr>
          <w:rFonts w:ascii="Arial" w:eastAsia="SimSun" w:hAnsi="Arial" w:cs="Arial"/>
          <w:bCs/>
          <w:sz w:val="22"/>
          <w:szCs w:val="22"/>
          <w:lang w:val="fr-FR" w:eastAsia="en-US"/>
        </w:rPr>
        <w:t>’</w:t>
      </w:r>
      <w:r w:rsidRPr="002F6E2F">
        <w:rPr>
          <w:rFonts w:ascii="Arial" w:eastAsia="SimSun" w:hAnsi="Arial" w:cs="Arial"/>
          <w:bCs/>
          <w:sz w:val="22"/>
          <w:szCs w:val="22"/>
          <w:lang w:val="fr-FR" w:eastAsia="en-US"/>
        </w:rPr>
        <w:t xml:space="preserve">après-midi et </w:t>
      </w:r>
      <w:r>
        <w:rPr>
          <w:rFonts w:ascii="Arial" w:eastAsia="SimSun" w:hAnsi="Arial" w:cs="Arial"/>
          <w:bCs/>
          <w:sz w:val="22"/>
          <w:szCs w:val="22"/>
          <w:lang w:val="fr-FR" w:eastAsia="en-US"/>
        </w:rPr>
        <w:t xml:space="preserve">a pris </w:t>
      </w:r>
      <w:r w:rsidRPr="002F6E2F">
        <w:rPr>
          <w:rFonts w:ascii="Arial" w:eastAsia="SimSun" w:hAnsi="Arial" w:cs="Arial"/>
          <w:bCs/>
          <w:sz w:val="22"/>
          <w:szCs w:val="22"/>
          <w:lang w:val="fr-FR" w:eastAsia="en-US"/>
        </w:rPr>
        <w:t>note des progrès</w:t>
      </w:r>
      <w:r>
        <w:rPr>
          <w:rFonts w:ascii="Arial" w:eastAsia="SimSun" w:hAnsi="Arial" w:cs="Arial"/>
          <w:bCs/>
          <w:sz w:val="22"/>
          <w:szCs w:val="22"/>
          <w:lang w:val="fr-FR" w:eastAsia="en-US"/>
        </w:rPr>
        <w:t xml:space="preserve"> réalisés</w:t>
      </w:r>
      <w:r w:rsidRPr="002F6E2F">
        <w:rPr>
          <w:rFonts w:ascii="Arial" w:eastAsia="SimSun" w:hAnsi="Arial" w:cs="Arial"/>
          <w:bCs/>
          <w:sz w:val="22"/>
          <w:szCs w:val="22"/>
          <w:lang w:val="fr-FR" w:eastAsia="en-US"/>
        </w:rPr>
        <w:t>. L</w:t>
      </w:r>
      <w:r w:rsidR="008E532B">
        <w:rPr>
          <w:rFonts w:ascii="Arial" w:eastAsia="SimSun" w:hAnsi="Arial" w:cs="Arial"/>
          <w:bCs/>
          <w:sz w:val="22"/>
          <w:szCs w:val="22"/>
          <w:lang w:val="fr-FR" w:eastAsia="en-US"/>
        </w:rPr>
        <w:t>’</w:t>
      </w:r>
      <w:r w:rsidRPr="002F6E2F">
        <w:rPr>
          <w:rFonts w:ascii="Arial" w:eastAsia="SimSun" w:hAnsi="Arial" w:cs="Arial"/>
          <w:bCs/>
          <w:sz w:val="22"/>
          <w:szCs w:val="22"/>
          <w:lang w:val="fr-FR" w:eastAsia="en-US"/>
        </w:rPr>
        <w:t xml:space="preserve">Assemblée </w:t>
      </w:r>
      <w:r>
        <w:rPr>
          <w:rFonts w:ascii="Arial" w:eastAsia="SimSun" w:hAnsi="Arial" w:cs="Arial"/>
          <w:bCs/>
          <w:sz w:val="22"/>
          <w:szCs w:val="22"/>
          <w:lang w:val="fr-FR" w:eastAsia="en-US"/>
        </w:rPr>
        <w:t xml:space="preserve">se </w:t>
      </w:r>
      <w:r w:rsidRPr="002F6E2F">
        <w:rPr>
          <w:rFonts w:ascii="Arial" w:eastAsia="SimSun" w:hAnsi="Arial" w:cs="Arial"/>
          <w:bCs/>
          <w:sz w:val="22"/>
          <w:szCs w:val="22"/>
          <w:lang w:val="fr-FR" w:eastAsia="en-US"/>
        </w:rPr>
        <w:t>poursui</w:t>
      </w:r>
      <w:r>
        <w:rPr>
          <w:rFonts w:ascii="Arial" w:eastAsia="SimSun" w:hAnsi="Arial" w:cs="Arial"/>
          <w:bCs/>
          <w:sz w:val="22"/>
          <w:szCs w:val="22"/>
          <w:lang w:val="fr-FR" w:eastAsia="en-US"/>
        </w:rPr>
        <w:t>vrait</w:t>
      </w:r>
      <w:r w:rsidRPr="002F6E2F">
        <w:rPr>
          <w:rFonts w:ascii="Arial" w:eastAsia="SimSun" w:hAnsi="Arial" w:cs="Arial"/>
          <w:bCs/>
          <w:sz w:val="22"/>
          <w:szCs w:val="22"/>
          <w:lang w:val="fr-FR" w:eastAsia="en-US"/>
        </w:rPr>
        <w:t xml:space="preserve"> avec le point 6 et l</w:t>
      </w:r>
      <w:r w:rsidR="008E532B">
        <w:rPr>
          <w:rFonts w:ascii="Arial" w:eastAsia="SimSun" w:hAnsi="Arial" w:cs="Arial"/>
          <w:bCs/>
          <w:sz w:val="22"/>
          <w:szCs w:val="22"/>
          <w:lang w:val="fr-FR" w:eastAsia="en-US"/>
        </w:rPr>
        <w:t>’</w:t>
      </w:r>
      <w:r w:rsidRPr="002F6E2F">
        <w:rPr>
          <w:rFonts w:ascii="Arial" w:eastAsia="SimSun" w:hAnsi="Arial" w:cs="Arial"/>
          <w:bCs/>
          <w:sz w:val="22"/>
          <w:szCs w:val="22"/>
          <w:lang w:val="fr-FR" w:eastAsia="en-US"/>
        </w:rPr>
        <w:t>examen du rapport du Secrétariat sur ses activités.</w:t>
      </w:r>
    </w:p>
    <w:p w14:paraId="2A5A4E43" w14:textId="451E9D67" w:rsidR="00D9653F" w:rsidRPr="00E07A89"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E07A89">
        <w:rPr>
          <w:rFonts w:ascii="Arial" w:eastAsia="SimSun" w:hAnsi="Arial" w:cs="Arial"/>
          <w:bCs/>
          <w:sz w:val="22"/>
          <w:szCs w:val="22"/>
          <w:lang w:val="fr-FR" w:eastAsia="en-US"/>
        </w:rPr>
        <w:t>La délégation de l</w:t>
      </w:r>
      <w:r w:rsidR="008E532B">
        <w:rPr>
          <w:rFonts w:ascii="Arial" w:eastAsia="SimSun" w:hAnsi="Arial" w:cs="Arial"/>
          <w:bCs/>
          <w:sz w:val="22"/>
          <w:szCs w:val="22"/>
          <w:lang w:val="fr-FR" w:eastAsia="en-US"/>
        </w:rPr>
        <w:t>’</w:t>
      </w:r>
      <w:r w:rsidRPr="00E07A89">
        <w:rPr>
          <w:rFonts w:ascii="Arial" w:eastAsia="SimSun" w:hAnsi="Arial" w:cs="Arial"/>
          <w:b/>
          <w:sz w:val="22"/>
          <w:szCs w:val="22"/>
          <w:lang w:val="fr-FR" w:eastAsia="en-US"/>
        </w:rPr>
        <w:t>Estonie</w:t>
      </w:r>
      <w:r w:rsidRPr="00E07A89">
        <w:rPr>
          <w:rFonts w:ascii="Arial" w:eastAsia="SimSun" w:hAnsi="Arial" w:cs="Arial"/>
          <w:bCs/>
          <w:sz w:val="22"/>
          <w:szCs w:val="22"/>
          <w:lang w:val="fr-FR" w:eastAsia="en-US"/>
        </w:rPr>
        <w:t xml:space="preserve"> a remercié le Secrétariat pour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aperçu détaillé du large éventail d</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 xml:space="preserve">activités que le Comité et le Secrétariat </w:t>
      </w:r>
      <w:r>
        <w:rPr>
          <w:rFonts w:ascii="Arial" w:eastAsia="SimSun" w:hAnsi="Arial" w:cs="Arial"/>
          <w:bCs/>
          <w:sz w:val="22"/>
          <w:szCs w:val="22"/>
          <w:lang w:val="fr-FR" w:eastAsia="en-US"/>
        </w:rPr>
        <w:t>avaient</w:t>
      </w:r>
      <w:r w:rsidRPr="00E07A89">
        <w:rPr>
          <w:rFonts w:ascii="Arial" w:eastAsia="SimSun" w:hAnsi="Arial" w:cs="Arial"/>
          <w:bCs/>
          <w:sz w:val="22"/>
          <w:szCs w:val="22"/>
          <w:lang w:val="fr-FR" w:eastAsia="en-US"/>
        </w:rPr>
        <w:t xml:space="preserve"> entrepris</w:t>
      </w:r>
      <w:r>
        <w:rPr>
          <w:rFonts w:ascii="Arial" w:eastAsia="SimSun" w:hAnsi="Arial" w:cs="Arial"/>
          <w:bCs/>
          <w:sz w:val="22"/>
          <w:szCs w:val="22"/>
          <w:lang w:val="fr-FR" w:eastAsia="en-US"/>
        </w:rPr>
        <w:t>es</w:t>
      </w:r>
      <w:r w:rsidRPr="00E07A89">
        <w:rPr>
          <w:rFonts w:ascii="Arial" w:eastAsia="SimSun" w:hAnsi="Arial" w:cs="Arial"/>
          <w:bCs/>
          <w:sz w:val="22"/>
          <w:szCs w:val="22"/>
          <w:lang w:val="fr-FR" w:eastAsia="en-US"/>
        </w:rPr>
        <w:t xml:space="preserve"> au cours de la période </w:t>
      </w:r>
      <w:r>
        <w:rPr>
          <w:rFonts w:ascii="Arial" w:eastAsia="SimSun" w:hAnsi="Arial" w:cs="Arial"/>
          <w:bCs/>
          <w:sz w:val="22"/>
          <w:szCs w:val="22"/>
          <w:lang w:val="fr-FR" w:eastAsia="en-US"/>
        </w:rPr>
        <w:t xml:space="preserve">concernée par le rapport </w:t>
      </w:r>
      <w:r w:rsidRPr="00E07A89">
        <w:rPr>
          <w:rFonts w:ascii="Arial" w:eastAsia="SimSun" w:hAnsi="Arial" w:cs="Arial"/>
          <w:bCs/>
          <w:sz w:val="22"/>
          <w:szCs w:val="22"/>
          <w:lang w:val="fr-FR" w:eastAsia="en-US"/>
        </w:rPr>
        <w:t>pour soutenir les États dans la mise en œuvre de la Convention. Les deux dernières années avaient été caractérisées non seulement par la pandémie de COVID</w:t>
      </w:r>
      <w:r>
        <w:rPr>
          <w:rFonts w:ascii="Arial" w:eastAsia="SimSun" w:hAnsi="Arial" w:cs="Arial"/>
          <w:bCs/>
          <w:sz w:val="22"/>
          <w:szCs w:val="22"/>
          <w:lang w:val="fr-FR" w:eastAsia="en-US"/>
        </w:rPr>
        <w:noBreakHyphen/>
      </w:r>
      <w:r w:rsidRPr="00E07A89">
        <w:rPr>
          <w:rFonts w:ascii="Arial" w:eastAsia="SimSun" w:hAnsi="Arial" w:cs="Arial"/>
          <w:bCs/>
          <w:sz w:val="22"/>
          <w:szCs w:val="22"/>
          <w:lang w:val="fr-FR" w:eastAsia="en-US"/>
        </w:rPr>
        <w:t xml:space="preserve">19 mais </w:t>
      </w:r>
      <w:r w:rsidRPr="00A36EAC">
        <w:rPr>
          <w:rFonts w:ascii="Arial" w:eastAsia="SimSun" w:hAnsi="Arial" w:cs="Arial"/>
          <w:bCs/>
          <w:color w:val="000000" w:themeColor="text1"/>
          <w:sz w:val="22"/>
          <w:szCs w:val="22"/>
          <w:lang w:val="fr-FR" w:eastAsia="en-US"/>
        </w:rPr>
        <w:t>également</w:t>
      </w:r>
      <w:r>
        <w:rPr>
          <w:rFonts w:ascii="Arial" w:eastAsia="SimSun" w:hAnsi="Arial" w:cs="Arial"/>
          <w:bCs/>
          <w:color w:val="000000" w:themeColor="text1"/>
          <w:sz w:val="22"/>
          <w:szCs w:val="22"/>
          <w:lang w:val="fr-FR" w:eastAsia="en-US"/>
        </w:rPr>
        <w:t xml:space="preserve"> </w:t>
      </w:r>
      <w:r w:rsidRPr="00E07A89">
        <w:rPr>
          <w:rFonts w:ascii="Arial" w:eastAsia="SimSun" w:hAnsi="Arial" w:cs="Arial"/>
          <w:bCs/>
          <w:sz w:val="22"/>
          <w:szCs w:val="22"/>
          <w:lang w:val="fr-FR" w:eastAsia="en-US"/>
        </w:rPr>
        <w:t>par la réussite de la réflexion globale sur les mécanismes d</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inscription sur les listes de la Convention et les premiers résultats de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ambitieuse réforme des rapports périodiques.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 xml:space="preserve">Estonie a souligné le travail précieux réalisé </w:t>
      </w:r>
      <w:r w:rsidRPr="00A36EAC">
        <w:rPr>
          <w:rFonts w:ascii="Arial" w:eastAsia="SimSun" w:hAnsi="Arial" w:cs="Arial"/>
          <w:bCs/>
          <w:sz w:val="22"/>
          <w:szCs w:val="22"/>
          <w:lang w:val="fr-FR" w:eastAsia="en-US"/>
        </w:rPr>
        <w:t>en ce qui concerne</w:t>
      </w:r>
      <w:r>
        <w:rPr>
          <w:rFonts w:ascii="Arial" w:eastAsia="SimSun" w:hAnsi="Arial" w:cs="Arial"/>
          <w:bCs/>
          <w:sz w:val="22"/>
          <w:szCs w:val="22"/>
          <w:lang w:val="fr-FR" w:eastAsia="en-US"/>
        </w:rPr>
        <w:t xml:space="preserve"> le</w:t>
      </w:r>
      <w:r w:rsidRPr="00E07A89">
        <w:rPr>
          <w:rFonts w:ascii="Arial" w:eastAsia="SimSun" w:hAnsi="Arial" w:cs="Arial"/>
          <w:bCs/>
          <w:sz w:val="22"/>
          <w:szCs w:val="22"/>
          <w:lang w:val="fr-FR" w:eastAsia="en-US"/>
        </w:rPr>
        <w:t xml:space="preserve"> renforcement des capacités et les nouveaux domaines thématiques tels que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E07A89">
        <w:rPr>
          <w:rFonts w:ascii="Arial" w:eastAsia="SimSun" w:hAnsi="Arial" w:cs="Arial"/>
          <w:bCs/>
          <w:sz w:val="22"/>
          <w:szCs w:val="22"/>
          <w:lang w:val="fr-FR" w:eastAsia="en-US"/>
        </w:rPr>
        <w:t xml:space="preserve">et le changement climatique,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E07A89">
        <w:rPr>
          <w:rFonts w:ascii="Arial" w:eastAsia="SimSun" w:hAnsi="Arial" w:cs="Arial"/>
          <w:bCs/>
          <w:sz w:val="22"/>
          <w:szCs w:val="22"/>
          <w:lang w:val="fr-FR" w:eastAsia="en-US"/>
        </w:rPr>
        <w:t xml:space="preserve">et la commercialisation et le patrimoine vivant dans les contextes urbains. Le nouvel outil </w:t>
      </w:r>
      <w:r>
        <w:rPr>
          <w:rFonts w:ascii="Arial" w:eastAsia="SimSun" w:hAnsi="Arial" w:cs="Arial"/>
          <w:bCs/>
          <w:sz w:val="22"/>
          <w:szCs w:val="22"/>
          <w:lang w:val="fr-FR" w:eastAsia="en-US"/>
        </w:rPr>
        <w:t>« </w:t>
      </w:r>
      <w:r w:rsidRPr="00E07A89">
        <w:rPr>
          <w:rFonts w:ascii="Arial" w:eastAsia="SimSun" w:hAnsi="Arial" w:cs="Arial"/>
          <w:bCs/>
          <w:sz w:val="22"/>
          <w:szCs w:val="22"/>
          <w:lang w:val="fr-FR" w:eastAsia="en-US"/>
        </w:rPr>
        <w:t>Plongez dans le patrimoine vivant</w:t>
      </w:r>
      <w:r>
        <w:rPr>
          <w:rFonts w:ascii="Arial" w:eastAsia="SimSun" w:hAnsi="Arial" w:cs="Arial"/>
          <w:bCs/>
          <w:sz w:val="22"/>
          <w:szCs w:val="22"/>
          <w:lang w:val="fr-FR" w:eastAsia="en-US"/>
        </w:rPr>
        <w:t> </w:t>
      </w:r>
      <w:r w:rsidRPr="00E07A89">
        <w:rPr>
          <w:rFonts w:ascii="Arial" w:eastAsia="SimSun" w:hAnsi="Arial" w:cs="Arial"/>
          <w:bCs/>
          <w:sz w:val="22"/>
          <w:szCs w:val="22"/>
          <w:lang w:val="fr-FR" w:eastAsia="en-US"/>
        </w:rPr>
        <w:t>!</w:t>
      </w:r>
      <w:r>
        <w:rPr>
          <w:rFonts w:ascii="Arial" w:eastAsia="SimSun" w:hAnsi="Arial" w:cs="Arial"/>
          <w:bCs/>
          <w:sz w:val="22"/>
          <w:szCs w:val="22"/>
          <w:lang w:val="fr-FR" w:eastAsia="en-US"/>
        </w:rPr>
        <w:t> »</w:t>
      </w:r>
      <w:r>
        <w:rPr>
          <w:rStyle w:val="FootnoteReference"/>
          <w:rFonts w:ascii="Arial" w:eastAsia="SimSun" w:hAnsi="Arial" w:cs="Arial"/>
          <w:bCs/>
          <w:sz w:val="22"/>
          <w:szCs w:val="22"/>
          <w:lang w:val="fr-FR" w:eastAsia="en-US"/>
        </w:rPr>
        <w:footnoteReference w:id="17"/>
      </w:r>
      <w:r w:rsidRPr="00E07A89">
        <w:rPr>
          <w:rFonts w:ascii="Arial" w:eastAsia="SimSun" w:hAnsi="Arial" w:cs="Arial"/>
          <w:bCs/>
          <w:sz w:val="22"/>
          <w:szCs w:val="22"/>
          <w:lang w:val="fr-FR" w:eastAsia="en-US"/>
        </w:rPr>
        <w:t xml:space="preserve"> et le développement durable</w:t>
      </w:r>
      <w:r>
        <w:rPr>
          <w:rFonts w:ascii="Arial" w:eastAsia="SimSun" w:hAnsi="Arial" w:cs="Arial"/>
          <w:bCs/>
          <w:sz w:val="22"/>
          <w:szCs w:val="22"/>
          <w:lang w:val="fr-FR" w:eastAsia="en-US"/>
        </w:rPr>
        <w:t xml:space="preserve"> ainsi que</w:t>
      </w:r>
      <w:r w:rsidRPr="00E07A89">
        <w:rPr>
          <w:rFonts w:ascii="Arial" w:eastAsia="SimSun" w:hAnsi="Arial" w:cs="Arial"/>
          <w:bCs/>
          <w:sz w:val="22"/>
          <w:szCs w:val="22"/>
          <w:lang w:val="fr-FR" w:eastAsia="en-US"/>
        </w:rPr>
        <w:t xml:space="preserve"> le premier MOOC sur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E07A89">
        <w:rPr>
          <w:rFonts w:ascii="Arial" w:eastAsia="SimSun" w:hAnsi="Arial" w:cs="Arial"/>
          <w:bCs/>
          <w:sz w:val="22"/>
          <w:szCs w:val="22"/>
          <w:lang w:val="fr-FR" w:eastAsia="en-US"/>
        </w:rPr>
        <w:t>et le développement durable démontr</w:t>
      </w:r>
      <w:r>
        <w:rPr>
          <w:rFonts w:ascii="Arial" w:eastAsia="SimSun" w:hAnsi="Arial" w:cs="Arial"/>
          <w:bCs/>
          <w:sz w:val="22"/>
          <w:szCs w:val="22"/>
          <w:lang w:val="fr-FR" w:eastAsia="en-US"/>
        </w:rPr>
        <w:t>aient</w:t>
      </w:r>
      <w:r w:rsidRPr="00E07A89">
        <w:rPr>
          <w:rFonts w:ascii="Arial" w:eastAsia="SimSun" w:hAnsi="Arial" w:cs="Arial"/>
          <w:bCs/>
          <w:sz w:val="22"/>
          <w:szCs w:val="22"/>
          <w:lang w:val="fr-FR" w:eastAsia="en-US"/>
        </w:rPr>
        <w:t xml:space="preserve"> avec succès les liens </w:t>
      </w:r>
      <w:r>
        <w:rPr>
          <w:rFonts w:ascii="Arial" w:eastAsia="SimSun" w:hAnsi="Arial" w:cs="Arial"/>
          <w:bCs/>
          <w:sz w:val="22"/>
          <w:szCs w:val="22"/>
          <w:lang w:val="fr-FR" w:eastAsia="en-US"/>
        </w:rPr>
        <w:t xml:space="preserve">nombreux et variés </w:t>
      </w:r>
      <w:r w:rsidRPr="00E07A89">
        <w:rPr>
          <w:rFonts w:ascii="Arial" w:eastAsia="SimSun" w:hAnsi="Arial" w:cs="Arial"/>
          <w:bCs/>
          <w:sz w:val="22"/>
          <w:szCs w:val="22"/>
          <w:lang w:val="fr-FR" w:eastAsia="en-US"/>
        </w:rPr>
        <w:t xml:space="preserve">entre le patrimoine vivant et le développement durable. Le rapport </w:t>
      </w:r>
      <w:r>
        <w:rPr>
          <w:rFonts w:ascii="Arial" w:eastAsia="SimSun" w:hAnsi="Arial" w:cs="Arial"/>
          <w:bCs/>
          <w:sz w:val="22"/>
          <w:szCs w:val="22"/>
          <w:lang w:val="fr-FR" w:eastAsia="en-US"/>
        </w:rPr>
        <w:t xml:space="preserve">montrait aussi </w:t>
      </w:r>
      <w:r w:rsidRPr="00E07A89">
        <w:rPr>
          <w:rFonts w:ascii="Arial" w:eastAsia="SimSun" w:hAnsi="Arial" w:cs="Arial"/>
          <w:bCs/>
          <w:sz w:val="22"/>
          <w:szCs w:val="22"/>
          <w:lang w:val="fr-FR" w:eastAsia="en-US"/>
        </w:rPr>
        <w:t>clairement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augmentation des demandes statutaires, mais le budget et l</w:t>
      </w:r>
      <w:r>
        <w:rPr>
          <w:rFonts w:ascii="Arial" w:eastAsia="SimSun" w:hAnsi="Arial" w:cs="Arial"/>
          <w:bCs/>
          <w:sz w:val="22"/>
          <w:szCs w:val="22"/>
          <w:lang w:val="fr-FR" w:eastAsia="en-US"/>
        </w:rPr>
        <w:t xml:space="preserve">e niveau </w:t>
      </w:r>
      <w:r w:rsidRPr="00E07A89">
        <w:rPr>
          <w:rFonts w:ascii="Arial" w:eastAsia="SimSun" w:hAnsi="Arial" w:cs="Arial"/>
          <w:bCs/>
          <w:sz w:val="22"/>
          <w:szCs w:val="22"/>
          <w:lang w:val="fr-FR" w:eastAsia="en-US"/>
        </w:rPr>
        <w:t>d</w:t>
      </w:r>
      <w:r>
        <w:rPr>
          <w:rFonts w:ascii="Arial" w:eastAsia="SimSun" w:hAnsi="Arial" w:cs="Arial"/>
          <w:bCs/>
          <w:sz w:val="22"/>
          <w:szCs w:val="22"/>
          <w:lang w:val="fr-FR" w:eastAsia="en-US"/>
        </w:rPr>
        <w:t>e</w:t>
      </w:r>
      <w:r w:rsidRPr="00E07A89">
        <w:rPr>
          <w:rFonts w:ascii="Arial" w:eastAsia="SimSun" w:hAnsi="Arial" w:cs="Arial"/>
          <w:bCs/>
          <w:sz w:val="22"/>
          <w:szCs w:val="22"/>
          <w:lang w:val="fr-FR" w:eastAsia="en-US"/>
        </w:rPr>
        <w:t xml:space="preserve"> personnel du Secrétariat n</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avaient</w:t>
      </w:r>
      <w:r w:rsidRPr="00E07A89">
        <w:rPr>
          <w:rFonts w:ascii="Arial" w:eastAsia="SimSun" w:hAnsi="Arial" w:cs="Arial"/>
          <w:bCs/>
          <w:sz w:val="22"/>
          <w:szCs w:val="22"/>
          <w:lang w:val="fr-FR" w:eastAsia="en-US"/>
        </w:rPr>
        <w:t xml:space="preserve"> pas suivi, ce qui signifi</w:t>
      </w:r>
      <w:r>
        <w:rPr>
          <w:rFonts w:ascii="Arial" w:eastAsia="SimSun" w:hAnsi="Arial" w:cs="Arial"/>
          <w:bCs/>
          <w:sz w:val="22"/>
          <w:szCs w:val="22"/>
          <w:lang w:val="fr-FR" w:eastAsia="en-US"/>
        </w:rPr>
        <w:t>ait</w:t>
      </w:r>
      <w:r w:rsidRPr="00E07A89">
        <w:rPr>
          <w:rFonts w:ascii="Arial" w:eastAsia="SimSun" w:hAnsi="Arial" w:cs="Arial"/>
          <w:bCs/>
          <w:sz w:val="22"/>
          <w:szCs w:val="22"/>
          <w:lang w:val="fr-FR" w:eastAsia="en-US"/>
        </w:rPr>
        <w:t xml:space="preserve"> que le Secrétariat n</w:t>
      </w:r>
      <w:r>
        <w:rPr>
          <w:rFonts w:ascii="Arial" w:eastAsia="SimSun" w:hAnsi="Arial" w:cs="Arial"/>
          <w:bCs/>
          <w:sz w:val="22"/>
          <w:szCs w:val="22"/>
          <w:lang w:val="fr-FR" w:eastAsia="en-US"/>
        </w:rPr>
        <w:t>e pouvait</w:t>
      </w:r>
      <w:r w:rsidRPr="00E07A89">
        <w:rPr>
          <w:rFonts w:ascii="Arial" w:eastAsia="SimSun" w:hAnsi="Arial" w:cs="Arial"/>
          <w:bCs/>
          <w:sz w:val="22"/>
          <w:szCs w:val="22"/>
          <w:lang w:val="fr-FR" w:eastAsia="en-US"/>
        </w:rPr>
        <w:t xml:space="preserve"> répondre de manière adéquate à toutes les demandes, comme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a</w:t>
      </w:r>
      <w:r>
        <w:rPr>
          <w:rFonts w:ascii="Arial" w:eastAsia="SimSun" w:hAnsi="Arial" w:cs="Arial"/>
          <w:bCs/>
          <w:sz w:val="22"/>
          <w:szCs w:val="22"/>
          <w:lang w:val="fr-FR" w:eastAsia="en-US"/>
        </w:rPr>
        <w:t>vait</w:t>
      </w:r>
      <w:r w:rsidRPr="00E07A89">
        <w:rPr>
          <w:rFonts w:ascii="Arial" w:eastAsia="SimSun" w:hAnsi="Arial" w:cs="Arial"/>
          <w:bCs/>
          <w:sz w:val="22"/>
          <w:szCs w:val="22"/>
          <w:lang w:val="fr-FR" w:eastAsia="en-US"/>
        </w:rPr>
        <w:t xml:space="preserve"> souligné la récente évaluation d</w:t>
      </w:r>
      <w:r>
        <w:rPr>
          <w:rFonts w:ascii="Arial" w:eastAsia="SimSun" w:hAnsi="Arial" w:cs="Arial"/>
          <w:bCs/>
          <w:sz w:val="22"/>
          <w:szCs w:val="22"/>
          <w:lang w:val="fr-FR" w:eastAsia="en-US"/>
        </w:rPr>
        <w:t>e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IOS.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IOS recommand</w:t>
      </w:r>
      <w:r>
        <w:rPr>
          <w:rFonts w:ascii="Arial" w:eastAsia="SimSun" w:hAnsi="Arial" w:cs="Arial"/>
          <w:bCs/>
          <w:sz w:val="22"/>
          <w:szCs w:val="22"/>
          <w:lang w:val="fr-FR" w:eastAsia="en-US"/>
        </w:rPr>
        <w:t>ait donc</w:t>
      </w:r>
      <w:r w:rsidRPr="00E07A89">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établir des priorités pour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 xml:space="preserve">utilisation des ressources limitées du Secrétariat. </w:t>
      </w:r>
      <w:r>
        <w:rPr>
          <w:rFonts w:ascii="Arial" w:eastAsia="SimSun" w:hAnsi="Arial" w:cs="Arial"/>
          <w:bCs/>
          <w:sz w:val="22"/>
          <w:szCs w:val="22"/>
          <w:lang w:val="fr-FR" w:eastAsia="en-US"/>
        </w:rPr>
        <w:t xml:space="preserve">Il revenait </w:t>
      </w:r>
      <w:r w:rsidRPr="006968C4">
        <w:rPr>
          <w:rFonts w:ascii="Arial" w:eastAsia="SimSun" w:hAnsi="Arial" w:cs="Arial"/>
          <w:bCs/>
          <w:color w:val="000000" w:themeColor="text1"/>
          <w:sz w:val="22"/>
          <w:szCs w:val="22"/>
          <w:lang w:val="fr-FR" w:eastAsia="en-US"/>
        </w:rPr>
        <w:t>désormais</w:t>
      </w:r>
      <w:r>
        <w:rPr>
          <w:rFonts w:ascii="Arial" w:eastAsia="SimSun" w:hAnsi="Arial" w:cs="Arial"/>
          <w:bCs/>
          <w:color w:val="000000" w:themeColor="text1"/>
          <w:sz w:val="22"/>
          <w:szCs w:val="22"/>
          <w:lang w:val="fr-FR" w:eastAsia="en-US"/>
        </w:rPr>
        <w:t xml:space="preserve"> </w:t>
      </w:r>
      <w:r w:rsidRPr="00E07A89">
        <w:rPr>
          <w:rFonts w:ascii="Arial" w:eastAsia="SimSun" w:hAnsi="Arial" w:cs="Arial"/>
          <w:bCs/>
          <w:sz w:val="22"/>
          <w:szCs w:val="22"/>
          <w:lang w:val="fr-FR" w:eastAsia="en-US"/>
        </w:rPr>
        <w:t xml:space="preserve">aux </w:t>
      </w:r>
      <w:r>
        <w:rPr>
          <w:rFonts w:ascii="Arial" w:eastAsia="SimSun" w:hAnsi="Arial" w:cs="Arial"/>
          <w:bCs/>
          <w:sz w:val="22"/>
          <w:szCs w:val="22"/>
          <w:lang w:val="fr-FR" w:eastAsia="en-US"/>
        </w:rPr>
        <w:t>É</w:t>
      </w:r>
      <w:r w:rsidRPr="00E07A89">
        <w:rPr>
          <w:rFonts w:ascii="Arial" w:eastAsia="SimSun" w:hAnsi="Arial" w:cs="Arial"/>
          <w:bCs/>
          <w:sz w:val="22"/>
          <w:szCs w:val="22"/>
          <w:lang w:val="fr-FR" w:eastAsia="en-US"/>
        </w:rPr>
        <w:t xml:space="preserve">tats parties de guider le Secrétariat sur la </w:t>
      </w:r>
      <w:r>
        <w:rPr>
          <w:rFonts w:ascii="Arial" w:eastAsia="SimSun" w:hAnsi="Arial" w:cs="Arial"/>
          <w:bCs/>
          <w:sz w:val="22"/>
          <w:szCs w:val="22"/>
          <w:lang w:val="fr-FR" w:eastAsia="en-US"/>
        </w:rPr>
        <w:t>définition</w:t>
      </w:r>
      <w:r w:rsidRPr="00E07A89">
        <w:rPr>
          <w:rFonts w:ascii="Arial" w:eastAsia="SimSun" w:hAnsi="Arial" w:cs="Arial"/>
          <w:bCs/>
          <w:sz w:val="22"/>
          <w:szCs w:val="22"/>
          <w:lang w:val="fr-FR" w:eastAsia="en-US"/>
        </w:rPr>
        <w:t xml:space="preserve"> des priorités.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Estonie a</w:t>
      </w:r>
      <w:r>
        <w:rPr>
          <w:rFonts w:ascii="Arial" w:eastAsia="SimSun" w:hAnsi="Arial" w:cs="Arial"/>
          <w:bCs/>
          <w:sz w:val="22"/>
          <w:szCs w:val="22"/>
          <w:lang w:val="fr-FR" w:eastAsia="en-US"/>
        </w:rPr>
        <w:t>vait</w:t>
      </w:r>
      <w:r w:rsidRPr="00E07A89">
        <w:rPr>
          <w:rFonts w:ascii="Arial" w:eastAsia="SimSun" w:hAnsi="Arial" w:cs="Arial"/>
          <w:bCs/>
          <w:sz w:val="22"/>
          <w:szCs w:val="22"/>
          <w:lang w:val="fr-FR" w:eastAsia="en-US"/>
        </w:rPr>
        <w:t xml:space="preserve"> participé au groupe de travail à composition non limitée sur la réflexion globale sur les mécanismes d</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 xml:space="preserve">inscription, sous la direction </w:t>
      </w:r>
      <w:r>
        <w:rPr>
          <w:rFonts w:ascii="Arial" w:eastAsia="SimSun" w:hAnsi="Arial" w:cs="Arial"/>
          <w:bCs/>
          <w:sz w:val="22"/>
          <w:szCs w:val="22"/>
          <w:lang w:val="fr-FR" w:eastAsia="en-US"/>
        </w:rPr>
        <w:t xml:space="preserve">éclairée </w:t>
      </w:r>
      <w:r w:rsidRPr="00E07A89">
        <w:rPr>
          <w:rFonts w:ascii="Arial" w:eastAsia="SimSun" w:hAnsi="Arial" w:cs="Arial"/>
          <w:bCs/>
          <w:sz w:val="22"/>
          <w:szCs w:val="22"/>
          <w:lang w:val="fr-FR" w:eastAsia="en-US"/>
        </w:rPr>
        <w:t>de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w:t>
      </w:r>
      <w:r w:rsidRPr="00E07A89">
        <w:rPr>
          <w:rFonts w:ascii="Arial" w:eastAsia="SimSun" w:hAnsi="Arial" w:cs="Arial"/>
          <w:bCs/>
          <w:sz w:val="22"/>
          <w:szCs w:val="22"/>
          <w:lang w:val="fr-FR" w:eastAsia="en-US"/>
        </w:rPr>
        <w:t xml:space="preserve">mbassadeur du Japon. </w:t>
      </w:r>
      <w:r w:rsidRPr="00F141A2">
        <w:rPr>
          <w:rFonts w:ascii="Arial" w:eastAsia="SimSun" w:hAnsi="Arial" w:cs="Arial"/>
          <w:bCs/>
          <w:sz w:val="22"/>
          <w:szCs w:val="22"/>
          <w:lang w:val="fr-FR" w:eastAsia="en-US"/>
        </w:rPr>
        <w:t xml:space="preserve">Elle avait pu constater la quantité de temps et le nombre de négociations et de considérations nécessaires aux révisions des Directives opérationnelles, </w:t>
      </w:r>
      <w:r w:rsidRPr="00E07A89">
        <w:rPr>
          <w:rFonts w:ascii="Arial" w:eastAsia="SimSun" w:hAnsi="Arial" w:cs="Arial"/>
          <w:bCs/>
          <w:sz w:val="22"/>
          <w:szCs w:val="22"/>
          <w:lang w:val="fr-FR" w:eastAsia="en-US"/>
        </w:rPr>
        <w:t xml:space="preserve">qui </w:t>
      </w:r>
      <w:r>
        <w:rPr>
          <w:rFonts w:ascii="Arial" w:eastAsia="SimSun" w:hAnsi="Arial" w:cs="Arial"/>
          <w:bCs/>
          <w:sz w:val="22"/>
          <w:szCs w:val="22"/>
          <w:lang w:val="fr-FR" w:eastAsia="en-US"/>
        </w:rPr>
        <w:t>étaient</w:t>
      </w:r>
      <w:r w:rsidRPr="00E07A89">
        <w:rPr>
          <w:rFonts w:ascii="Arial" w:eastAsia="SimSun" w:hAnsi="Arial" w:cs="Arial"/>
          <w:bCs/>
          <w:sz w:val="22"/>
          <w:szCs w:val="22"/>
          <w:lang w:val="fr-FR" w:eastAsia="en-US"/>
        </w:rPr>
        <w:t xml:space="preserve"> présentées à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Assemblée pour adoption. Il s</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agissait de propositions solides et constructives dont la délégation espérait qu</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elles seraient adoptées dans leur intégralité. La réforme des rapports périodiques avait également montré un taux élevé de soumissions.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un des secrets de ce succè</w:t>
      </w:r>
      <w:r>
        <w:rPr>
          <w:rFonts w:ascii="Arial" w:eastAsia="SimSun" w:hAnsi="Arial" w:cs="Arial"/>
          <w:bCs/>
          <w:sz w:val="22"/>
          <w:szCs w:val="22"/>
          <w:lang w:val="fr-FR" w:eastAsia="en-US"/>
        </w:rPr>
        <w:t>s</w:t>
      </w:r>
      <w:r w:rsidRPr="00E07A89">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était</w:t>
      </w:r>
      <w:r w:rsidRPr="00E07A89">
        <w:rPr>
          <w:rFonts w:ascii="Arial" w:eastAsia="SimSun" w:hAnsi="Arial" w:cs="Arial"/>
          <w:bCs/>
          <w:sz w:val="22"/>
          <w:szCs w:val="22"/>
          <w:lang w:val="fr-FR" w:eastAsia="en-US"/>
        </w:rPr>
        <w:t xml:space="preserve"> le cours de formation en ligne complet proposé par le Secrétariat</w:t>
      </w:r>
      <w:r>
        <w:rPr>
          <w:rFonts w:ascii="Arial" w:eastAsia="SimSun" w:hAnsi="Arial" w:cs="Arial"/>
          <w:bCs/>
          <w:sz w:val="22"/>
          <w:szCs w:val="22"/>
          <w:lang w:val="fr-FR" w:eastAsia="en-US"/>
        </w:rPr>
        <w:t xml:space="preserve">, qui avait permis </w:t>
      </w:r>
      <w:r w:rsidRPr="00E07A89">
        <w:rPr>
          <w:rFonts w:ascii="Arial" w:eastAsia="SimSun" w:hAnsi="Arial" w:cs="Arial"/>
          <w:bCs/>
          <w:sz w:val="22"/>
          <w:szCs w:val="22"/>
          <w:lang w:val="fr-FR" w:eastAsia="en-US"/>
        </w:rPr>
        <w:t xml:space="preserve">aux points focaux de favoriser des échanges </w:t>
      </w:r>
      <w:r>
        <w:rPr>
          <w:rFonts w:ascii="Arial" w:eastAsia="SimSun" w:hAnsi="Arial" w:cs="Arial"/>
          <w:bCs/>
          <w:sz w:val="22"/>
          <w:szCs w:val="22"/>
          <w:lang w:val="fr-FR" w:eastAsia="en-US"/>
        </w:rPr>
        <w:t xml:space="preserve">et un apprentissage </w:t>
      </w:r>
      <w:r w:rsidRPr="00E07A89">
        <w:rPr>
          <w:rFonts w:ascii="Arial" w:eastAsia="SimSun" w:hAnsi="Arial" w:cs="Arial"/>
          <w:bCs/>
          <w:sz w:val="22"/>
          <w:szCs w:val="22"/>
          <w:lang w:val="fr-FR" w:eastAsia="en-US"/>
        </w:rPr>
        <w:t xml:space="preserve">entre pairs </w:t>
      </w:r>
      <w:r>
        <w:rPr>
          <w:rFonts w:ascii="Arial" w:eastAsia="SimSun" w:hAnsi="Arial" w:cs="Arial"/>
          <w:bCs/>
          <w:sz w:val="22"/>
          <w:szCs w:val="22"/>
          <w:lang w:val="fr-FR" w:eastAsia="en-US"/>
        </w:rPr>
        <w:t>très approfondis</w:t>
      </w:r>
      <w:r w:rsidRPr="00E07A89">
        <w:rPr>
          <w:rFonts w:ascii="Arial" w:eastAsia="SimSun" w:hAnsi="Arial" w:cs="Arial"/>
          <w:bCs/>
          <w:sz w:val="22"/>
          <w:szCs w:val="22"/>
          <w:lang w:val="fr-FR" w:eastAsia="en-US"/>
        </w:rPr>
        <w:t>. Cependant, le formulaire de rapport</w:t>
      </w:r>
      <w:r>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 xml:space="preserve"> dans son état actuel</w:t>
      </w:r>
      <w:r>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 xml:space="preserve"> restait assez difficil</w:t>
      </w:r>
      <w:r>
        <w:rPr>
          <w:rFonts w:ascii="Arial" w:eastAsia="SimSun" w:hAnsi="Arial" w:cs="Arial"/>
          <w:bCs/>
          <w:sz w:val="22"/>
          <w:szCs w:val="22"/>
          <w:lang w:val="fr-FR" w:eastAsia="en-US"/>
        </w:rPr>
        <w:t>e à remplir</w:t>
      </w:r>
      <w:r w:rsidRPr="00E07A89">
        <w:rPr>
          <w:rFonts w:ascii="Arial" w:eastAsia="SimSun" w:hAnsi="Arial" w:cs="Arial"/>
          <w:bCs/>
          <w:sz w:val="22"/>
          <w:szCs w:val="22"/>
          <w:lang w:val="fr-FR" w:eastAsia="en-US"/>
        </w:rPr>
        <w:t xml:space="preserve"> et le processus prenait énormément de temps. Afin de faciliter un engagement significatif des praticiens, le langage utilisé dans le formulaire devait être moins bureaucratique et abstrait. Le formulaire gagnerait donc à être révisé pour le prochain cycle de</w:t>
      </w:r>
      <w:r>
        <w:rPr>
          <w:rFonts w:ascii="Arial" w:eastAsia="SimSun" w:hAnsi="Arial" w:cs="Arial"/>
          <w:bCs/>
          <w:sz w:val="22"/>
          <w:szCs w:val="22"/>
          <w:lang w:val="fr-FR" w:eastAsia="en-US"/>
        </w:rPr>
        <w:t xml:space="preserve"> soumission de rapports</w:t>
      </w:r>
      <w:r w:rsidRPr="00E07A89">
        <w:rPr>
          <w:rFonts w:ascii="Arial" w:eastAsia="SimSun" w:hAnsi="Arial" w:cs="Arial"/>
          <w:bCs/>
          <w:sz w:val="22"/>
          <w:szCs w:val="22"/>
          <w:lang w:val="fr-FR" w:eastAsia="en-US"/>
        </w:rPr>
        <w:t>, car cela renforcerait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 xml:space="preserve">impact réel de ce processus en </w:t>
      </w:r>
      <w:r>
        <w:rPr>
          <w:rFonts w:ascii="Arial" w:eastAsia="SimSun" w:hAnsi="Arial" w:cs="Arial"/>
          <w:bCs/>
          <w:sz w:val="22"/>
          <w:szCs w:val="22"/>
          <w:lang w:val="fr-FR" w:eastAsia="en-US"/>
        </w:rPr>
        <w:t>matière</w:t>
      </w:r>
      <w:r w:rsidRPr="00E07A89">
        <w:rPr>
          <w:rFonts w:ascii="Arial" w:eastAsia="SimSun" w:hAnsi="Arial" w:cs="Arial"/>
          <w:bCs/>
          <w:sz w:val="22"/>
          <w:szCs w:val="22"/>
          <w:lang w:val="fr-FR" w:eastAsia="en-US"/>
        </w:rPr>
        <w:t xml:space="preserve"> de sauvegarde du </w:t>
      </w:r>
      <w:r w:rsidR="00E908E2">
        <w:rPr>
          <w:rFonts w:ascii="Arial" w:eastAsia="SimSun" w:hAnsi="Arial" w:cs="Arial"/>
          <w:bCs/>
          <w:sz w:val="22"/>
          <w:szCs w:val="22"/>
          <w:lang w:val="fr-FR" w:eastAsia="en-US"/>
        </w:rPr>
        <w:t>patrimoine culturel immatériel</w:t>
      </w:r>
      <w:r w:rsidRPr="00E07A89">
        <w:rPr>
          <w:rFonts w:ascii="Arial" w:eastAsia="SimSun" w:hAnsi="Arial" w:cs="Arial"/>
          <w:bCs/>
          <w:sz w:val="22"/>
          <w:szCs w:val="22"/>
          <w:lang w:val="fr-FR" w:eastAsia="en-US"/>
        </w:rPr>
        <w:t xml:space="preserve">. La délégation </w:t>
      </w:r>
      <w:r>
        <w:rPr>
          <w:rFonts w:ascii="Arial" w:eastAsia="SimSun" w:hAnsi="Arial" w:cs="Arial"/>
          <w:bCs/>
          <w:sz w:val="22"/>
          <w:szCs w:val="22"/>
          <w:lang w:val="fr-FR" w:eastAsia="en-US"/>
        </w:rPr>
        <w:t>voyait</w:t>
      </w:r>
      <w:r w:rsidRPr="00E07A89">
        <w:rPr>
          <w:rFonts w:ascii="Arial" w:eastAsia="SimSun" w:hAnsi="Arial" w:cs="Arial"/>
          <w:bCs/>
          <w:sz w:val="22"/>
          <w:szCs w:val="22"/>
          <w:lang w:val="fr-FR" w:eastAsia="en-US"/>
        </w:rPr>
        <w:t xml:space="preserve"> également</w:t>
      </w:r>
      <w:r>
        <w:rPr>
          <w:rFonts w:ascii="Arial" w:eastAsia="SimSun" w:hAnsi="Arial" w:cs="Arial"/>
          <w:bCs/>
          <w:sz w:val="22"/>
          <w:szCs w:val="22"/>
          <w:lang w:val="fr-FR" w:eastAsia="en-US"/>
        </w:rPr>
        <w:t xml:space="preserve"> du</w:t>
      </w:r>
      <w:r w:rsidRPr="00E07A89">
        <w:rPr>
          <w:rFonts w:ascii="Arial" w:eastAsia="SimSun" w:hAnsi="Arial" w:cs="Arial"/>
          <w:bCs/>
          <w:sz w:val="22"/>
          <w:szCs w:val="22"/>
          <w:lang w:val="fr-FR" w:eastAsia="en-US"/>
        </w:rPr>
        <w:t xml:space="preserve"> potentiel dans le renforcement de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engagement avec les partenaires, tels que les ONG accréditées, les chaires UNESCO et les centres de catégorie 2, dont le travail important contribuerait au programme de renforcement des capacités du Secrétariat en matière de recherche, de projets de sauvegarde sur le terrain ainsi que de rapports périodiques. Le rapport d</w:t>
      </w:r>
      <w:r>
        <w:rPr>
          <w:rFonts w:ascii="Arial" w:eastAsia="SimSun" w:hAnsi="Arial" w:cs="Arial"/>
          <w:bCs/>
          <w:sz w:val="22"/>
          <w:szCs w:val="22"/>
          <w:lang w:val="fr-FR" w:eastAsia="en-US"/>
        </w:rPr>
        <w:t>e l</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 xml:space="preserve">IOS </w:t>
      </w:r>
      <w:r>
        <w:rPr>
          <w:rFonts w:ascii="Arial" w:eastAsia="SimSun" w:hAnsi="Arial" w:cs="Arial"/>
          <w:bCs/>
          <w:sz w:val="22"/>
          <w:szCs w:val="22"/>
          <w:lang w:val="fr-FR" w:eastAsia="en-US"/>
        </w:rPr>
        <w:t>avait</w:t>
      </w:r>
      <w:r w:rsidRPr="00E07A89">
        <w:rPr>
          <w:rFonts w:ascii="Arial" w:eastAsia="SimSun" w:hAnsi="Arial" w:cs="Arial"/>
          <w:bCs/>
          <w:sz w:val="22"/>
          <w:szCs w:val="22"/>
          <w:lang w:val="fr-FR" w:eastAsia="en-US"/>
        </w:rPr>
        <w:t xml:space="preserve"> constaté que ces partenaires étaient actuellement sous-utilisés et que leur travail n</w:t>
      </w:r>
      <w:r w:rsidR="008E532B">
        <w:rPr>
          <w:rFonts w:ascii="Arial" w:eastAsia="SimSun" w:hAnsi="Arial" w:cs="Arial"/>
          <w:bCs/>
          <w:sz w:val="22"/>
          <w:szCs w:val="22"/>
          <w:lang w:val="fr-FR" w:eastAsia="en-US"/>
        </w:rPr>
        <w:t>’</w:t>
      </w:r>
      <w:r w:rsidRPr="00E07A89">
        <w:rPr>
          <w:rFonts w:ascii="Arial" w:eastAsia="SimSun" w:hAnsi="Arial" w:cs="Arial"/>
          <w:bCs/>
          <w:sz w:val="22"/>
          <w:szCs w:val="22"/>
          <w:lang w:val="fr-FR" w:eastAsia="en-US"/>
        </w:rPr>
        <w:t>était pas suffisamment visible. Il conv</w:t>
      </w:r>
      <w:r>
        <w:rPr>
          <w:rFonts w:ascii="Arial" w:eastAsia="SimSun" w:hAnsi="Arial" w:cs="Arial"/>
          <w:bCs/>
          <w:sz w:val="22"/>
          <w:szCs w:val="22"/>
          <w:lang w:val="fr-FR" w:eastAsia="en-US"/>
        </w:rPr>
        <w:t>enait</w:t>
      </w:r>
      <w:r w:rsidRPr="00E07A89">
        <w:rPr>
          <w:rFonts w:ascii="Arial" w:eastAsia="SimSun" w:hAnsi="Arial" w:cs="Arial"/>
          <w:bCs/>
          <w:sz w:val="22"/>
          <w:szCs w:val="22"/>
          <w:lang w:val="fr-FR" w:eastAsia="en-US"/>
        </w:rPr>
        <w:t xml:space="preserve"> donc de poursuivre la réflexion sur la manière de renforcer la collaboration avec ces partenaires importants.</w:t>
      </w:r>
      <w:r>
        <w:rPr>
          <w:rFonts w:ascii="Arial" w:eastAsia="SimSun" w:hAnsi="Arial" w:cs="Arial"/>
          <w:bCs/>
          <w:sz w:val="22"/>
          <w:szCs w:val="22"/>
          <w:lang w:val="fr-FR" w:eastAsia="en-US"/>
        </w:rPr>
        <w:t xml:space="preserve"> </w:t>
      </w:r>
    </w:p>
    <w:p w14:paraId="65792B87" w14:textId="6CC08549" w:rsidR="00D9653F" w:rsidRPr="00865C52"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865C52">
        <w:rPr>
          <w:rFonts w:ascii="Arial" w:eastAsia="SimSun" w:hAnsi="Arial" w:cs="Arial"/>
          <w:bCs/>
          <w:sz w:val="22"/>
          <w:szCs w:val="22"/>
          <w:lang w:val="fr-FR" w:eastAsia="en-US"/>
        </w:rPr>
        <w:t xml:space="preserve">La délégation de la </w:t>
      </w:r>
      <w:r w:rsidRPr="00865C52">
        <w:rPr>
          <w:rFonts w:ascii="Arial" w:eastAsia="SimSun" w:hAnsi="Arial" w:cs="Arial"/>
          <w:b/>
          <w:sz w:val="22"/>
          <w:szCs w:val="22"/>
          <w:lang w:val="fr-FR" w:eastAsia="en-US"/>
        </w:rPr>
        <w:t>Lituanie</w:t>
      </w:r>
      <w:r w:rsidRPr="00865C52">
        <w:rPr>
          <w:rFonts w:ascii="Arial" w:eastAsia="SimSun" w:hAnsi="Arial" w:cs="Arial"/>
          <w:bCs/>
          <w:sz w:val="22"/>
          <w:szCs w:val="22"/>
          <w:lang w:val="fr-FR" w:eastAsia="en-US"/>
        </w:rPr>
        <w:t xml:space="preserve"> a remercié le Secrétariat pour le soutien </w:t>
      </w:r>
      <w:r>
        <w:rPr>
          <w:rFonts w:ascii="Arial" w:eastAsia="SimSun" w:hAnsi="Arial" w:cs="Arial"/>
          <w:bCs/>
          <w:sz w:val="22"/>
          <w:szCs w:val="22"/>
          <w:lang w:val="fr-FR" w:eastAsia="en-US"/>
        </w:rPr>
        <w:t xml:space="preserve">considérable </w:t>
      </w:r>
      <w:r w:rsidRPr="00865C52">
        <w:rPr>
          <w:rFonts w:ascii="Arial" w:eastAsia="SimSun" w:hAnsi="Arial" w:cs="Arial"/>
          <w:bCs/>
          <w:sz w:val="22"/>
          <w:szCs w:val="22"/>
          <w:lang w:val="fr-FR" w:eastAsia="en-US"/>
        </w:rPr>
        <w:t xml:space="preserve">apporté aux travaux des organes directeurs et pour toute la communication </w:t>
      </w:r>
      <w:r>
        <w:rPr>
          <w:rFonts w:ascii="Arial" w:eastAsia="SimSun" w:hAnsi="Arial" w:cs="Arial"/>
          <w:bCs/>
          <w:sz w:val="22"/>
          <w:szCs w:val="22"/>
          <w:lang w:val="fr-FR" w:eastAsia="en-US"/>
        </w:rPr>
        <w:t xml:space="preserve">réalisée </w:t>
      </w:r>
      <w:r w:rsidRPr="00865C52">
        <w:rPr>
          <w:rFonts w:ascii="Arial" w:eastAsia="SimSun" w:hAnsi="Arial" w:cs="Arial"/>
          <w:bCs/>
          <w:sz w:val="22"/>
          <w:szCs w:val="22"/>
          <w:lang w:val="fr-FR" w:eastAsia="en-US"/>
        </w:rPr>
        <w:t xml:space="preserve">pendant la période </w:t>
      </w:r>
      <w:r>
        <w:rPr>
          <w:rFonts w:ascii="Arial" w:eastAsia="SimSun" w:hAnsi="Arial" w:cs="Arial"/>
          <w:bCs/>
          <w:sz w:val="22"/>
          <w:szCs w:val="22"/>
          <w:lang w:val="fr-FR" w:eastAsia="en-US"/>
        </w:rPr>
        <w:t>concernée par le rapport</w:t>
      </w:r>
      <w:r w:rsidRPr="00865C52">
        <w:rPr>
          <w:rFonts w:ascii="Arial" w:eastAsia="SimSun" w:hAnsi="Arial" w:cs="Arial"/>
          <w:bCs/>
          <w:sz w:val="22"/>
          <w:szCs w:val="22"/>
          <w:lang w:val="fr-FR" w:eastAsia="en-US"/>
        </w:rPr>
        <w:t>. Les travaux réalisés lors des réunions du groupe de travail à composition non limitée sur les mécanismes d</w:t>
      </w:r>
      <w:r w:rsidR="008E532B">
        <w:rPr>
          <w:rFonts w:ascii="Arial" w:eastAsia="SimSun" w:hAnsi="Arial" w:cs="Arial"/>
          <w:bCs/>
          <w:sz w:val="22"/>
          <w:szCs w:val="22"/>
          <w:lang w:val="fr-FR" w:eastAsia="en-US"/>
        </w:rPr>
        <w:t>’</w:t>
      </w:r>
      <w:r w:rsidRPr="00865C52">
        <w:rPr>
          <w:rFonts w:ascii="Arial" w:eastAsia="SimSun" w:hAnsi="Arial" w:cs="Arial"/>
          <w:bCs/>
          <w:sz w:val="22"/>
          <w:szCs w:val="22"/>
          <w:lang w:val="fr-FR" w:eastAsia="en-US"/>
        </w:rPr>
        <w:t xml:space="preserve">inscription sur les listes </w:t>
      </w:r>
      <w:r>
        <w:rPr>
          <w:rFonts w:ascii="Arial" w:eastAsia="SimSun" w:hAnsi="Arial" w:cs="Arial"/>
          <w:bCs/>
          <w:sz w:val="22"/>
          <w:szCs w:val="22"/>
          <w:lang w:val="fr-FR" w:eastAsia="en-US"/>
        </w:rPr>
        <w:t>étaient</w:t>
      </w:r>
      <w:r w:rsidRPr="00865C52">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865C52">
        <w:rPr>
          <w:rFonts w:ascii="Arial" w:eastAsia="SimSun" w:hAnsi="Arial" w:cs="Arial"/>
          <w:bCs/>
          <w:sz w:val="22"/>
          <w:szCs w:val="22"/>
          <w:lang w:val="fr-FR" w:eastAsia="en-US"/>
        </w:rPr>
        <w:t>une grande importance, et n</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avaient</w:t>
      </w:r>
      <w:r w:rsidRPr="00865C52">
        <w:rPr>
          <w:rFonts w:ascii="Arial" w:eastAsia="SimSun" w:hAnsi="Arial" w:cs="Arial"/>
          <w:bCs/>
          <w:sz w:val="22"/>
          <w:szCs w:val="22"/>
          <w:lang w:val="fr-FR" w:eastAsia="en-US"/>
        </w:rPr>
        <w:t xml:space="preserve"> pu avoir lieu que grâce aux efforts, au professionnalisme et </w:t>
      </w:r>
      <w:r>
        <w:rPr>
          <w:rFonts w:ascii="Arial" w:eastAsia="SimSun" w:hAnsi="Arial" w:cs="Arial"/>
          <w:bCs/>
          <w:sz w:val="22"/>
          <w:szCs w:val="22"/>
          <w:lang w:val="fr-FR" w:eastAsia="en-US"/>
        </w:rPr>
        <w:t>à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aide </w:t>
      </w:r>
      <w:r w:rsidRPr="00865C52">
        <w:rPr>
          <w:rFonts w:ascii="Arial" w:eastAsia="SimSun" w:hAnsi="Arial" w:cs="Arial"/>
          <w:bCs/>
          <w:sz w:val="22"/>
          <w:szCs w:val="22"/>
          <w:lang w:val="fr-FR" w:eastAsia="en-US"/>
        </w:rPr>
        <w:t xml:space="preserve">du Secrétariat et </w:t>
      </w:r>
      <w:r>
        <w:rPr>
          <w:rFonts w:ascii="Arial" w:eastAsia="SimSun" w:hAnsi="Arial" w:cs="Arial"/>
          <w:bCs/>
          <w:sz w:val="22"/>
          <w:szCs w:val="22"/>
          <w:lang w:val="fr-FR" w:eastAsia="en-US"/>
        </w:rPr>
        <w:t xml:space="preserve">au </w:t>
      </w:r>
      <w:r w:rsidRPr="00865C52">
        <w:rPr>
          <w:rFonts w:ascii="Arial" w:eastAsia="SimSun" w:hAnsi="Arial" w:cs="Arial"/>
          <w:bCs/>
          <w:sz w:val="22"/>
          <w:szCs w:val="22"/>
          <w:lang w:val="fr-FR" w:eastAsia="en-US"/>
        </w:rPr>
        <w:t xml:space="preserve">généreux </w:t>
      </w:r>
      <w:r>
        <w:rPr>
          <w:rFonts w:ascii="Arial" w:eastAsia="SimSun" w:hAnsi="Arial" w:cs="Arial"/>
          <w:bCs/>
          <w:sz w:val="22"/>
          <w:szCs w:val="22"/>
          <w:lang w:val="fr-FR" w:eastAsia="en-US"/>
        </w:rPr>
        <w:t xml:space="preserve">soutien </w:t>
      </w:r>
      <w:r w:rsidRPr="00865C52">
        <w:rPr>
          <w:rFonts w:ascii="Arial" w:eastAsia="SimSun" w:hAnsi="Arial" w:cs="Arial"/>
          <w:bCs/>
          <w:sz w:val="22"/>
          <w:szCs w:val="22"/>
          <w:lang w:val="fr-FR" w:eastAsia="en-US"/>
        </w:rPr>
        <w:t xml:space="preserve">du </w:t>
      </w:r>
      <w:r>
        <w:rPr>
          <w:rFonts w:ascii="Arial" w:eastAsia="SimSun" w:hAnsi="Arial" w:cs="Arial"/>
          <w:bCs/>
          <w:sz w:val="22"/>
          <w:szCs w:val="22"/>
          <w:lang w:val="fr-FR" w:eastAsia="en-US"/>
        </w:rPr>
        <w:t>G</w:t>
      </w:r>
      <w:r w:rsidRPr="00865C52">
        <w:rPr>
          <w:rFonts w:ascii="Arial" w:eastAsia="SimSun" w:hAnsi="Arial" w:cs="Arial"/>
          <w:bCs/>
          <w:sz w:val="22"/>
          <w:szCs w:val="22"/>
          <w:lang w:val="fr-FR" w:eastAsia="en-US"/>
        </w:rPr>
        <w:t>ouvernement</w:t>
      </w:r>
      <w:r>
        <w:rPr>
          <w:rFonts w:ascii="Arial" w:eastAsia="SimSun" w:hAnsi="Arial" w:cs="Arial"/>
          <w:bCs/>
          <w:sz w:val="22"/>
          <w:szCs w:val="22"/>
          <w:lang w:val="fr-FR" w:eastAsia="en-US"/>
        </w:rPr>
        <w:t xml:space="preserve"> du Japon</w:t>
      </w:r>
      <w:r w:rsidRPr="00865C52">
        <w:rPr>
          <w:rFonts w:ascii="Arial" w:eastAsia="SimSun" w:hAnsi="Arial" w:cs="Arial"/>
          <w:bCs/>
          <w:sz w:val="22"/>
          <w:szCs w:val="22"/>
          <w:lang w:val="fr-FR" w:eastAsia="en-US"/>
        </w:rPr>
        <w:t xml:space="preserve">. La délégation </w:t>
      </w:r>
      <w:r>
        <w:rPr>
          <w:rFonts w:ascii="Arial" w:eastAsia="SimSun" w:hAnsi="Arial" w:cs="Arial"/>
          <w:bCs/>
          <w:sz w:val="22"/>
          <w:szCs w:val="22"/>
          <w:lang w:val="fr-FR" w:eastAsia="en-US"/>
        </w:rPr>
        <w:t xml:space="preserve">appréciait </w:t>
      </w:r>
      <w:r w:rsidRPr="00865C52">
        <w:rPr>
          <w:rFonts w:ascii="Arial" w:eastAsia="SimSun" w:hAnsi="Arial" w:cs="Arial"/>
          <w:bCs/>
          <w:sz w:val="22"/>
          <w:szCs w:val="22"/>
          <w:lang w:val="fr-FR" w:eastAsia="en-US"/>
        </w:rPr>
        <w:t xml:space="preserve">grandement les nombreuses activités entreprises par le Secrétariat pour soutenir les États parties qui </w:t>
      </w:r>
      <w:r>
        <w:rPr>
          <w:rFonts w:ascii="Arial" w:eastAsia="SimSun" w:hAnsi="Arial" w:cs="Arial"/>
          <w:bCs/>
          <w:sz w:val="22"/>
          <w:szCs w:val="22"/>
          <w:lang w:val="fr-FR" w:eastAsia="en-US"/>
        </w:rPr>
        <w:t>avaient</w:t>
      </w:r>
      <w:r w:rsidRPr="00865C52">
        <w:rPr>
          <w:rFonts w:ascii="Arial" w:eastAsia="SimSun" w:hAnsi="Arial" w:cs="Arial"/>
          <w:bCs/>
          <w:sz w:val="22"/>
          <w:szCs w:val="22"/>
          <w:lang w:val="fr-FR" w:eastAsia="en-US"/>
        </w:rPr>
        <w:t xml:space="preserve"> participé à deux cycles de </w:t>
      </w:r>
      <w:r>
        <w:rPr>
          <w:rFonts w:ascii="Arial" w:eastAsia="SimSun" w:hAnsi="Arial" w:cs="Arial"/>
          <w:bCs/>
          <w:sz w:val="22"/>
          <w:szCs w:val="22"/>
          <w:lang w:val="fr-FR" w:eastAsia="en-US"/>
        </w:rPr>
        <w:t xml:space="preserve">soumission de </w:t>
      </w:r>
      <w:r w:rsidRPr="00865C52">
        <w:rPr>
          <w:rFonts w:ascii="Arial" w:eastAsia="SimSun" w:hAnsi="Arial" w:cs="Arial"/>
          <w:bCs/>
          <w:sz w:val="22"/>
          <w:szCs w:val="22"/>
          <w:lang w:val="fr-FR" w:eastAsia="en-US"/>
        </w:rPr>
        <w:t xml:space="preserve">rapports périodiques </w:t>
      </w:r>
      <w:proofErr w:type="gramStart"/>
      <w:r w:rsidRPr="00865C52">
        <w:rPr>
          <w:rFonts w:ascii="Arial" w:eastAsia="SimSun" w:hAnsi="Arial" w:cs="Arial"/>
          <w:bCs/>
          <w:sz w:val="22"/>
          <w:szCs w:val="22"/>
          <w:lang w:val="fr-FR" w:eastAsia="en-US"/>
        </w:rPr>
        <w:t>suite à</w:t>
      </w:r>
      <w:proofErr w:type="gramEnd"/>
      <w:r w:rsidRPr="00865C52">
        <w:rPr>
          <w:rFonts w:ascii="Arial" w:eastAsia="SimSun" w:hAnsi="Arial" w:cs="Arial"/>
          <w:bCs/>
          <w:sz w:val="22"/>
          <w:szCs w:val="22"/>
          <w:lang w:val="fr-FR" w:eastAsia="en-US"/>
        </w:rPr>
        <w:t xml:space="preserve"> la réforme, y compris les cours de formation, qui </w:t>
      </w:r>
      <w:r>
        <w:rPr>
          <w:rFonts w:ascii="Arial" w:eastAsia="SimSun" w:hAnsi="Arial" w:cs="Arial"/>
          <w:bCs/>
          <w:sz w:val="22"/>
          <w:szCs w:val="22"/>
          <w:lang w:val="fr-FR" w:eastAsia="en-US"/>
        </w:rPr>
        <w:t>avaient</w:t>
      </w:r>
      <w:r w:rsidRPr="00865C52">
        <w:rPr>
          <w:rFonts w:ascii="Arial" w:eastAsia="SimSun" w:hAnsi="Arial" w:cs="Arial"/>
          <w:bCs/>
          <w:sz w:val="22"/>
          <w:szCs w:val="22"/>
          <w:lang w:val="fr-FR" w:eastAsia="en-US"/>
        </w:rPr>
        <w:t xml:space="preserve"> considérablement amélioré le taux de soumission des rapports. La Lituanie a</w:t>
      </w:r>
      <w:r>
        <w:rPr>
          <w:rFonts w:ascii="Arial" w:eastAsia="SimSun" w:hAnsi="Arial" w:cs="Arial"/>
          <w:bCs/>
          <w:sz w:val="22"/>
          <w:szCs w:val="22"/>
          <w:lang w:val="fr-FR" w:eastAsia="en-US"/>
        </w:rPr>
        <w:t>vait</w:t>
      </w:r>
      <w:r w:rsidRPr="00865C52">
        <w:rPr>
          <w:rFonts w:ascii="Arial" w:eastAsia="SimSun" w:hAnsi="Arial" w:cs="Arial"/>
          <w:bCs/>
          <w:sz w:val="22"/>
          <w:szCs w:val="22"/>
          <w:lang w:val="fr-FR" w:eastAsia="en-US"/>
        </w:rPr>
        <w:t xml:space="preserve"> soumis son troisième rapport en 2021, après avoir ratifié la Convention en 2004, ce qui, il est vrai, a</w:t>
      </w:r>
      <w:r>
        <w:rPr>
          <w:rFonts w:ascii="Arial" w:eastAsia="SimSun" w:hAnsi="Arial" w:cs="Arial"/>
          <w:bCs/>
          <w:sz w:val="22"/>
          <w:szCs w:val="22"/>
          <w:lang w:val="fr-FR" w:eastAsia="en-US"/>
        </w:rPr>
        <w:t>vait</w:t>
      </w:r>
      <w:r w:rsidRPr="00865C52">
        <w:rPr>
          <w:rFonts w:ascii="Arial" w:eastAsia="SimSun" w:hAnsi="Arial" w:cs="Arial"/>
          <w:bCs/>
          <w:sz w:val="22"/>
          <w:szCs w:val="22"/>
          <w:lang w:val="fr-FR" w:eastAsia="en-US"/>
        </w:rPr>
        <w:t xml:space="preserve"> exigé beaucoup d</w:t>
      </w:r>
      <w:r w:rsidR="008E532B">
        <w:rPr>
          <w:rFonts w:ascii="Arial" w:eastAsia="SimSun" w:hAnsi="Arial" w:cs="Arial"/>
          <w:bCs/>
          <w:sz w:val="22"/>
          <w:szCs w:val="22"/>
          <w:lang w:val="fr-FR" w:eastAsia="en-US"/>
        </w:rPr>
        <w:t>’</w:t>
      </w:r>
      <w:r w:rsidRPr="00865C52">
        <w:rPr>
          <w:rFonts w:ascii="Arial" w:eastAsia="SimSun" w:hAnsi="Arial" w:cs="Arial"/>
          <w:bCs/>
          <w:sz w:val="22"/>
          <w:szCs w:val="22"/>
          <w:lang w:val="fr-FR" w:eastAsia="en-US"/>
        </w:rPr>
        <w:t xml:space="preserve">efforts et de ressources, peut-être même </w:t>
      </w:r>
      <w:r>
        <w:rPr>
          <w:rFonts w:ascii="Arial" w:eastAsia="SimSun" w:hAnsi="Arial" w:cs="Arial"/>
          <w:bCs/>
          <w:sz w:val="22"/>
          <w:szCs w:val="22"/>
          <w:lang w:val="fr-FR" w:eastAsia="en-US"/>
        </w:rPr>
        <w:t xml:space="preserve">trop </w:t>
      </w:r>
      <w:r w:rsidRPr="00865C52">
        <w:rPr>
          <w:rFonts w:ascii="Arial" w:eastAsia="SimSun" w:hAnsi="Arial" w:cs="Arial"/>
          <w:bCs/>
          <w:sz w:val="22"/>
          <w:szCs w:val="22"/>
          <w:lang w:val="fr-FR" w:eastAsia="en-US"/>
        </w:rPr>
        <w:t xml:space="preserve">au niveau national. Il a été noté que certaines questions du formulaire </w:t>
      </w:r>
      <w:r>
        <w:rPr>
          <w:rFonts w:ascii="Arial" w:eastAsia="SimSun" w:hAnsi="Arial" w:cs="Arial"/>
          <w:bCs/>
          <w:sz w:val="22"/>
          <w:szCs w:val="22"/>
          <w:lang w:val="fr-FR" w:eastAsia="en-US"/>
        </w:rPr>
        <w:t xml:space="preserve">sont </w:t>
      </w:r>
      <w:r w:rsidRPr="00865C52">
        <w:rPr>
          <w:rFonts w:ascii="Arial" w:eastAsia="SimSun" w:hAnsi="Arial" w:cs="Arial"/>
          <w:bCs/>
          <w:sz w:val="22"/>
          <w:szCs w:val="22"/>
          <w:lang w:val="fr-FR" w:eastAsia="en-US"/>
        </w:rPr>
        <w:t xml:space="preserve">peut-être trop déclaratives ou formelles, même si elles </w:t>
      </w:r>
      <w:r>
        <w:rPr>
          <w:rFonts w:ascii="Arial" w:eastAsia="SimSun" w:hAnsi="Arial" w:cs="Arial"/>
          <w:bCs/>
          <w:sz w:val="22"/>
          <w:szCs w:val="22"/>
          <w:lang w:val="fr-FR" w:eastAsia="en-US"/>
        </w:rPr>
        <w:t xml:space="preserve">peuvent </w:t>
      </w:r>
      <w:r w:rsidRPr="00865C52">
        <w:rPr>
          <w:rFonts w:ascii="Arial" w:eastAsia="SimSun" w:hAnsi="Arial" w:cs="Arial"/>
          <w:bCs/>
          <w:sz w:val="22"/>
          <w:szCs w:val="22"/>
          <w:lang w:val="fr-FR" w:eastAsia="en-US"/>
        </w:rPr>
        <w:t>être considérées comme des sujets de réflexion importants, tandis que l</w:t>
      </w:r>
      <w:r w:rsidR="008E532B">
        <w:rPr>
          <w:rFonts w:ascii="Arial" w:eastAsia="SimSun" w:hAnsi="Arial" w:cs="Arial"/>
          <w:bCs/>
          <w:sz w:val="22"/>
          <w:szCs w:val="22"/>
          <w:lang w:val="fr-FR" w:eastAsia="en-US"/>
        </w:rPr>
        <w:t>’</w:t>
      </w:r>
      <w:r w:rsidRPr="00865C52">
        <w:rPr>
          <w:rFonts w:ascii="Arial" w:eastAsia="SimSun" w:hAnsi="Arial" w:cs="Arial"/>
          <w:bCs/>
          <w:sz w:val="22"/>
          <w:szCs w:val="22"/>
          <w:lang w:val="fr-FR" w:eastAsia="en-US"/>
        </w:rPr>
        <w:t xml:space="preserve">évaluation des données par rapport aux indicateurs </w:t>
      </w:r>
      <w:r>
        <w:rPr>
          <w:rFonts w:ascii="Arial" w:eastAsia="SimSun" w:hAnsi="Arial" w:cs="Arial"/>
          <w:bCs/>
          <w:sz w:val="22"/>
          <w:szCs w:val="22"/>
          <w:lang w:val="fr-FR" w:eastAsia="en-US"/>
        </w:rPr>
        <w:t>est</w:t>
      </w:r>
      <w:r w:rsidRPr="00865C52">
        <w:rPr>
          <w:rFonts w:ascii="Arial" w:eastAsia="SimSun" w:hAnsi="Arial" w:cs="Arial"/>
          <w:bCs/>
          <w:sz w:val="22"/>
          <w:szCs w:val="22"/>
          <w:lang w:val="fr-FR" w:eastAsia="en-US"/>
        </w:rPr>
        <w:t xml:space="preserve"> plutôt relative, voire subjective. La délégation </w:t>
      </w:r>
      <w:r>
        <w:rPr>
          <w:rFonts w:ascii="Arial" w:eastAsia="SimSun" w:hAnsi="Arial" w:cs="Arial"/>
          <w:bCs/>
          <w:sz w:val="22"/>
          <w:szCs w:val="22"/>
          <w:lang w:val="fr-FR" w:eastAsia="en-US"/>
        </w:rPr>
        <w:t xml:space="preserve">a </w:t>
      </w:r>
      <w:r w:rsidRPr="00865C52">
        <w:rPr>
          <w:rFonts w:ascii="Arial" w:eastAsia="SimSun" w:hAnsi="Arial" w:cs="Arial"/>
          <w:bCs/>
          <w:sz w:val="22"/>
          <w:szCs w:val="22"/>
          <w:lang w:val="fr-FR" w:eastAsia="en-US"/>
        </w:rPr>
        <w:t>estim</w:t>
      </w:r>
      <w:r>
        <w:rPr>
          <w:rFonts w:ascii="Arial" w:eastAsia="SimSun" w:hAnsi="Arial" w:cs="Arial"/>
          <w:bCs/>
          <w:sz w:val="22"/>
          <w:szCs w:val="22"/>
          <w:lang w:val="fr-FR" w:eastAsia="en-US"/>
        </w:rPr>
        <w:t xml:space="preserve">é </w:t>
      </w:r>
      <w:r w:rsidRPr="00865C52">
        <w:rPr>
          <w:rFonts w:ascii="Arial" w:eastAsia="SimSun" w:hAnsi="Arial" w:cs="Arial"/>
          <w:bCs/>
          <w:sz w:val="22"/>
          <w:szCs w:val="22"/>
          <w:lang w:val="fr-FR" w:eastAsia="en-US"/>
        </w:rPr>
        <w:t>que le formulaire et ses questions pourraient être simplifiés à l</w:t>
      </w:r>
      <w:r w:rsidR="008E532B">
        <w:rPr>
          <w:rFonts w:ascii="Arial" w:eastAsia="SimSun" w:hAnsi="Arial" w:cs="Arial"/>
          <w:bCs/>
          <w:sz w:val="22"/>
          <w:szCs w:val="22"/>
          <w:lang w:val="fr-FR" w:eastAsia="en-US"/>
        </w:rPr>
        <w:t>’</w:t>
      </w:r>
      <w:r w:rsidRPr="00865C52">
        <w:rPr>
          <w:rFonts w:ascii="Arial" w:eastAsia="SimSun" w:hAnsi="Arial" w:cs="Arial"/>
          <w:bCs/>
          <w:sz w:val="22"/>
          <w:szCs w:val="22"/>
          <w:lang w:val="fr-FR" w:eastAsia="en-US"/>
        </w:rPr>
        <w:t>avenir, et qu</w:t>
      </w:r>
      <w:r w:rsidR="008E532B">
        <w:rPr>
          <w:rFonts w:ascii="Arial" w:eastAsia="SimSun" w:hAnsi="Arial" w:cs="Arial"/>
          <w:bCs/>
          <w:sz w:val="22"/>
          <w:szCs w:val="22"/>
          <w:lang w:val="fr-FR" w:eastAsia="en-US"/>
        </w:rPr>
        <w:t>’</w:t>
      </w:r>
      <w:r w:rsidRPr="00865C52">
        <w:rPr>
          <w:rFonts w:ascii="Arial" w:eastAsia="SimSun" w:hAnsi="Arial" w:cs="Arial"/>
          <w:bCs/>
          <w:sz w:val="22"/>
          <w:szCs w:val="22"/>
          <w:lang w:val="fr-FR" w:eastAsia="en-US"/>
        </w:rPr>
        <w:t>une réflexion sur cette question pourrait être utile.</w:t>
      </w:r>
    </w:p>
    <w:p w14:paraId="7487D1AA" w14:textId="5B87374E" w:rsidR="00D9653F" w:rsidRPr="00C546FE"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C546FE">
        <w:rPr>
          <w:rFonts w:ascii="Arial" w:eastAsia="SimSun" w:hAnsi="Arial" w:cs="Arial"/>
          <w:bCs/>
          <w:sz w:val="22"/>
          <w:szCs w:val="22"/>
          <w:lang w:val="fr-FR" w:eastAsia="en-US"/>
        </w:rPr>
        <w:t xml:space="preserve">La délégation de la </w:t>
      </w:r>
      <w:r w:rsidRPr="00C546FE">
        <w:rPr>
          <w:rFonts w:ascii="Arial" w:eastAsia="SimSun" w:hAnsi="Arial" w:cs="Arial"/>
          <w:b/>
          <w:sz w:val="22"/>
          <w:szCs w:val="22"/>
          <w:lang w:val="fr-FR" w:eastAsia="en-US"/>
        </w:rPr>
        <w:t>Lituanie</w:t>
      </w:r>
      <w:r w:rsidRPr="00C546FE">
        <w:rPr>
          <w:rFonts w:ascii="Arial" w:eastAsia="SimSun" w:hAnsi="Arial" w:cs="Arial"/>
          <w:bCs/>
          <w:sz w:val="22"/>
          <w:szCs w:val="22"/>
          <w:lang w:val="fr-FR" w:eastAsia="en-US"/>
        </w:rPr>
        <w:t xml:space="preserve"> a </w:t>
      </w:r>
      <w:r>
        <w:rPr>
          <w:rFonts w:ascii="Arial" w:eastAsia="SimSun" w:hAnsi="Arial" w:cs="Arial"/>
          <w:bCs/>
          <w:sz w:val="22"/>
          <w:szCs w:val="22"/>
          <w:lang w:val="fr-FR" w:eastAsia="en-US"/>
        </w:rPr>
        <w:t>abordé</w:t>
      </w:r>
      <w:r w:rsidRPr="00C546FE">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un</w:t>
      </w:r>
      <w:r w:rsidRPr="00C546FE">
        <w:rPr>
          <w:rFonts w:ascii="Arial" w:eastAsia="SimSun" w:hAnsi="Arial" w:cs="Arial"/>
          <w:bCs/>
          <w:sz w:val="22"/>
          <w:szCs w:val="22"/>
          <w:lang w:val="fr-FR" w:eastAsia="en-US"/>
        </w:rPr>
        <w:t xml:space="preserve"> deuxième point relatif à la question de la terminologie, notamment l</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 xml:space="preserve">utilisation des </w:t>
      </w:r>
      <w:r>
        <w:rPr>
          <w:rFonts w:ascii="Arial" w:eastAsia="SimSun" w:hAnsi="Arial" w:cs="Arial"/>
          <w:bCs/>
          <w:sz w:val="22"/>
          <w:szCs w:val="22"/>
          <w:lang w:val="fr-FR" w:eastAsia="en-US"/>
        </w:rPr>
        <w:t>« </w:t>
      </w:r>
      <w:r w:rsidRPr="00C546FE">
        <w:rPr>
          <w:rFonts w:ascii="Arial" w:eastAsia="SimSun" w:hAnsi="Arial" w:cs="Arial"/>
          <w:bCs/>
          <w:sz w:val="22"/>
          <w:szCs w:val="22"/>
          <w:lang w:val="fr-FR" w:eastAsia="en-US"/>
        </w:rPr>
        <w:t>points focaux</w:t>
      </w:r>
      <w:r>
        <w:rPr>
          <w:rFonts w:ascii="Arial" w:eastAsia="SimSun" w:hAnsi="Arial" w:cs="Arial"/>
          <w:bCs/>
          <w:sz w:val="22"/>
          <w:szCs w:val="22"/>
          <w:lang w:val="fr-FR" w:eastAsia="en-US"/>
        </w:rPr>
        <w:t> »</w:t>
      </w:r>
      <w:r w:rsidRPr="00C546FE">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On</w:t>
      </w:r>
      <w:r w:rsidRPr="00C546FE">
        <w:rPr>
          <w:rFonts w:ascii="Arial" w:eastAsia="SimSun" w:hAnsi="Arial" w:cs="Arial"/>
          <w:bCs/>
          <w:sz w:val="22"/>
          <w:szCs w:val="22"/>
          <w:lang w:val="fr-FR" w:eastAsia="en-US"/>
        </w:rPr>
        <w:t xml:space="preserve"> rencontr</w:t>
      </w:r>
      <w:r>
        <w:rPr>
          <w:rFonts w:ascii="Arial" w:eastAsia="SimSun" w:hAnsi="Arial" w:cs="Arial"/>
          <w:bCs/>
          <w:sz w:val="22"/>
          <w:szCs w:val="22"/>
          <w:lang w:val="fr-FR" w:eastAsia="en-US"/>
        </w:rPr>
        <w:t>ait ce terme</w:t>
      </w:r>
      <w:r w:rsidRPr="00C546FE">
        <w:rPr>
          <w:rFonts w:ascii="Arial" w:eastAsia="SimSun" w:hAnsi="Arial" w:cs="Arial"/>
          <w:bCs/>
          <w:sz w:val="22"/>
          <w:szCs w:val="22"/>
          <w:lang w:val="fr-FR" w:eastAsia="en-US"/>
        </w:rPr>
        <w:t xml:space="preserve"> dans le contexte d</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 xml:space="preserve">autres </w:t>
      </w:r>
      <w:r>
        <w:rPr>
          <w:rFonts w:ascii="Arial" w:eastAsia="SimSun" w:hAnsi="Arial" w:cs="Arial"/>
          <w:bCs/>
          <w:sz w:val="22"/>
          <w:szCs w:val="22"/>
          <w:lang w:val="fr-FR" w:eastAsia="en-US"/>
        </w:rPr>
        <w:t>c</w:t>
      </w:r>
      <w:r w:rsidRPr="00C546FE">
        <w:rPr>
          <w:rFonts w:ascii="Arial" w:eastAsia="SimSun" w:hAnsi="Arial" w:cs="Arial"/>
          <w:bCs/>
          <w:sz w:val="22"/>
          <w:szCs w:val="22"/>
          <w:lang w:val="fr-FR" w:eastAsia="en-US"/>
        </w:rPr>
        <w:t>onventions, mais il n</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était</w:t>
      </w:r>
      <w:r w:rsidRPr="00C546FE">
        <w:rPr>
          <w:rFonts w:ascii="Arial" w:eastAsia="SimSun" w:hAnsi="Arial" w:cs="Arial"/>
          <w:bCs/>
          <w:sz w:val="22"/>
          <w:szCs w:val="22"/>
          <w:lang w:val="fr-FR" w:eastAsia="en-US"/>
        </w:rPr>
        <w:t xml:space="preserve"> mentionné ni dans le texte de la Convention</w:t>
      </w:r>
      <w:r>
        <w:rPr>
          <w:rFonts w:ascii="Arial" w:eastAsia="SimSun" w:hAnsi="Arial" w:cs="Arial"/>
          <w:bCs/>
          <w:sz w:val="22"/>
          <w:szCs w:val="22"/>
          <w:lang w:val="fr-FR" w:eastAsia="en-US"/>
        </w:rPr>
        <w:t xml:space="preserve"> </w:t>
      </w:r>
      <w:r w:rsidRPr="00C546FE">
        <w:rPr>
          <w:rFonts w:ascii="Arial" w:eastAsia="SimSun" w:hAnsi="Arial" w:cs="Arial"/>
          <w:bCs/>
          <w:sz w:val="22"/>
          <w:szCs w:val="22"/>
          <w:lang w:val="fr-FR" w:eastAsia="en-US"/>
        </w:rPr>
        <w:t>de</w:t>
      </w:r>
      <w:r>
        <w:rPr>
          <w:rFonts w:ascii="Arial" w:eastAsia="SimSun" w:hAnsi="Arial" w:cs="Arial"/>
          <w:bCs/>
          <w:sz w:val="22"/>
          <w:szCs w:val="22"/>
          <w:lang w:val="fr-FR" w:eastAsia="en-US"/>
        </w:rPr>
        <w:t> </w:t>
      </w:r>
      <w:r w:rsidRPr="00C546FE">
        <w:rPr>
          <w:rFonts w:ascii="Arial" w:eastAsia="SimSun" w:hAnsi="Arial" w:cs="Arial"/>
          <w:bCs/>
          <w:sz w:val="22"/>
          <w:szCs w:val="22"/>
          <w:lang w:val="fr-FR" w:eastAsia="en-US"/>
        </w:rPr>
        <w:t>2003 ni dans ses Directives opérationnelles. Il n</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était</w:t>
      </w:r>
      <w:r w:rsidRPr="00C546FE">
        <w:rPr>
          <w:rFonts w:ascii="Arial" w:eastAsia="SimSun" w:hAnsi="Arial" w:cs="Arial"/>
          <w:bCs/>
          <w:sz w:val="22"/>
          <w:szCs w:val="22"/>
          <w:lang w:val="fr-FR" w:eastAsia="en-US"/>
        </w:rPr>
        <w:t xml:space="preserve"> apparu que ces dernières années et il sembl</w:t>
      </w:r>
      <w:r>
        <w:rPr>
          <w:rFonts w:ascii="Arial" w:eastAsia="SimSun" w:hAnsi="Arial" w:cs="Arial"/>
          <w:bCs/>
          <w:sz w:val="22"/>
          <w:szCs w:val="22"/>
          <w:lang w:val="fr-FR" w:eastAsia="en-US"/>
        </w:rPr>
        <w:t>ait</w:t>
      </w:r>
      <w:r w:rsidRPr="00C546FE">
        <w:rPr>
          <w:rFonts w:ascii="Arial" w:eastAsia="SimSun" w:hAnsi="Arial" w:cs="Arial"/>
          <w:bCs/>
          <w:sz w:val="22"/>
          <w:szCs w:val="22"/>
          <w:lang w:val="fr-FR" w:eastAsia="en-US"/>
        </w:rPr>
        <w:t xml:space="preserve"> y avoir une incertitude quant à son utilisation</w:t>
      </w:r>
      <w:r>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 xml:space="preserve"> car il </w:t>
      </w:r>
      <w:r>
        <w:rPr>
          <w:rFonts w:ascii="Arial" w:eastAsia="SimSun" w:hAnsi="Arial" w:cs="Arial"/>
          <w:bCs/>
          <w:sz w:val="22"/>
          <w:szCs w:val="22"/>
          <w:lang w:val="fr-FR" w:eastAsia="en-US"/>
        </w:rPr>
        <w:t xml:space="preserve">était </w:t>
      </w:r>
      <w:r w:rsidRPr="00C546FE">
        <w:rPr>
          <w:rFonts w:ascii="Arial" w:eastAsia="SimSun" w:hAnsi="Arial" w:cs="Arial"/>
          <w:bCs/>
          <w:sz w:val="22"/>
          <w:szCs w:val="22"/>
          <w:lang w:val="fr-FR" w:eastAsia="en-US"/>
        </w:rPr>
        <w:t>écrit entre guillemets dans les documents de travail. Il serait donc utile de définir les termes qui apparaissent dans le champ d</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 xml:space="preserve">application de la Convention afin de comprendre réellement quelles responsabilités </w:t>
      </w:r>
      <w:r>
        <w:rPr>
          <w:rFonts w:ascii="Arial" w:eastAsia="SimSun" w:hAnsi="Arial" w:cs="Arial"/>
          <w:bCs/>
          <w:sz w:val="22"/>
          <w:szCs w:val="22"/>
          <w:lang w:val="fr-FR" w:eastAsia="en-US"/>
        </w:rPr>
        <w:t xml:space="preserve">sont </w:t>
      </w:r>
      <w:r w:rsidRPr="00C546FE">
        <w:rPr>
          <w:rFonts w:ascii="Arial" w:eastAsia="SimSun" w:hAnsi="Arial" w:cs="Arial"/>
          <w:bCs/>
          <w:sz w:val="22"/>
          <w:szCs w:val="22"/>
          <w:lang w:val="fr-FR" w:eastAsia="en-US"/>
        </w:rPr>
        <w:t>impliquées par ce terme, qui pourrait faire partie des Directives opérationnelles. L</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importance de la Conférence mondiale de l</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UNESCO sur les politiques culturelles et le développement durable</w:t>
      </w:r>
      <w:r>
        <w:rPr>
          <w:rFonts w:ascii="Arial" w:eastAsia="SimSun" w:hAnsi="Arial" w:cs="Arial"/>
          <w:bCs/>
          <w:sz w:val="22"/>
          <w:szCs w:val="22"/>
          <w:lang w:val="fr-FR" w:eastAsia="en-US"/>
        </w:rPr>
        <w:t xml:space="preserve">, </w:t>
      </w:r>
      <w:r w:rsidRPr="00C546FE">
        <w:rPr>
          <w:rFonts w:ascii="Arial" w:eastAsia="SimSun" w:hAnsi="Arial" w:cs="Arial"/>
          <w:bCs/>
          <w:sz w:val="22"/>
          <w:szCs w:val="22"/>
          <w:lang w:val="fr-FR" w:eastAsia="en-US"/>
        </w:rPr>
        <w:t>MONDIACULT 2022</w:t>
      </w:r>
      <w:r>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 xml:space="preserve"> a été soulignée. </w:t>
      </w:r>
      <w:r>
        <w:rPr>
          <w:rFonts w:ascii="Arial" w:eastAsia="SimSun" w:hAnsi="Arial" w:cs="Arial"/>
          <w:bCs/>
          <w:sz w:val="22"/>
          <w:szCs w:val="22"/>
          <w:lang w:val="fr-FR" w:eastAsia="en-US"/>
        </w:rPr>
        <w:t>Organisée</w:t>
      </w:r>
      <w:r w:rsidRPr="00C546FE">
        <w:rPr>
          <w:rFonts w:ascii="Arial" w:eastAsia="SimSun" w:hAnsi="Arial" w:cs="Arial"/>
          <w:bCs/>
          <w:sz w:val="22"/>
          <w:szCs w:val="22"/>
          <w:lang w:val="fr-FR" w:eastAsia="en-US"/>
        </w:rPr>
        <w:t xml:space="preserve"> en septembre, elle </w:t>
      </w:r>
      <w:r>
        <w:rPr>
          <w:rFonts w:ascii="Arial" w:eastAsia="SimSun" w:hAnsi="Arial" w:cs="Arial"/>
          <w:bCs/>
          <w:sz w:val="22"/>
          <w:szCs w:val="22"/>
          <w:lang w:val="fr-FR" w:eastAsia="en-US"/>
        </w:rPr>
        <w:t xml:space="preserve">avait </w:t>
      </w:r>
      <w:r w:rsidRPr="00C546FE">
        <w:rPr>
          <w:rFonts w:ascii="Arial" w:eastAsia="SimSun" w:hAnsi="Arial" w:cs="Arial"/>
          <w:bCs/>
          <w:sz w:val="22"/>
          <w:szCs w:val="22"/>
          <w:lang w:val="fr-FR" w:eastAsia="en-US"/>
        </w:rPr>
        <w:t>soul</w:t>
      </w:r>
      <w:r>
        <w:rPr>
          <w:rFonts w:ascii="Arial" w:eastAsia="SimSun" w:hAnsi="Arial" w:cs="Arial"/>
          <w:bCs/>
          <w:sz w:val="22"/>
          <w:szCs w:val="22"/>
          <w:lang w:val="fr-FR" w:eastAsia="en-US"/>
        </w:rPr>
        <w:t>evé</w:t>
      </w:r>
      <w:r w:rsidRPr="00C546FE">
        <w:rPr>
          <w:rFonts w:ascii="Arial" w:eastAsia="SimSun" w:hAnsi="Arial" w:cs="Arial"/>
          <w:bCs/>
          <w:sz w:val="22"/>
          <w:szCs w:val="22"/>
          <w:lang w:val="fr-FR" w:eastAsia="en-US"/>
        </w:rPr>
        <w:t xml:space="preserve"> des questions très pertinentes, notamment sur le patrimoine et la créativité en temps de crise. </w:t>
      </w:r>
      <w:r>
        <w:rPr>
          <w:rFonts w:ascii="Arial" w:eastAsia="SimSun" w:hAnsi="Arial" w:cs="Arial"/>
          <w:bCs/>
          <w:sz w:val="22"/>
          <w:szCs w:val="22"/>
          <w:lang w:val="fr-FR" w:eastAsia="en-US"/>
        </w:rPr>
        <w:t xml:space="preserve">On pouvait </w:t>
      </w:r>
      <w:r w:rsidRPr="00C546FE">
        <w:rPr>
          <w:rFonts w:ascii="Arial" w:eastAsia="SimSun" w:hAnsi="Arial" w:cs="Arial"/>
          <w:bCs/>
          <w:sz w:val="22"/>
          <w:szCs w:val="22"/>
          <w:lang w:val="fr-FR" w:eastAsia="en-US"/>
        </w:rPr>
        <w:t>espér</w:t>
      </w:r>
      <w:r>
        <w:rPr>
          <w:rFonts w:ascii="Arial" w:eastAsia="SimSun" w:hAnsi="Arial" w:cs="Arial"/>
          <w:bCs/>
          <w:sz w:val="22"/>
          <w:szCs w:val="22"/>
          <w:lang w:val="fr-FR" w:eastAsia="en-US"/>
        </w:rPr>
        <w:t>er</w:t>
      </w:r>
      <w:r w:rsidRPr="00C546FE">
        <w:rPr>
          <w:rFonts w:ascii="Arial" w:eastAsia="SimSun" w:hAnsi="Arial" w:cs="Arial"/>
          <w:bCs/>
          <w:sz w:val="22"/>
          <w:szCs w:val="22"/>
          <w:lang w:val="fr-FR" w:eastAsia="en-US"/>
        </w:rPr>
        <w:t xml:space="preserve"> que les compétences et les ressources du Secrétariat et de l</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 xml:space="preserve">Entité </w:t>
      </w:r>
      <w:r>
        <w:rPr>
          <w:rFonts w:ascii="Arial" w:eastAsia="SimSun" w:hAnsi="Arial" w:cs="Arial"/>
          <w:bCs/>
          <w:sz w:val="22"/>
          <w:szCs w:val="22"/>
          <w:lang w:val="fr-FR" w:eastAsia="en-US"/>
        </w:rPr>
        <w:t>du p</w:t>
      </w:r>
      <w:r w:rsidRPr="00C546FE">
        <w:rPr>
          <w:rFonts w:ascii="Arial" w:eastAsia="SimSun" w:hAnsi="Arial" w:cs="Arial"/>
          <w:bCs/>
          <w:sz w:val="22"/>
          <w:szCs w:val="22"/>
          <w:lang w:val="fr-FR" w:eastAsia="en-US"/>
        </w:rPr>
        <w:t xml:space="preserve">atrimoine </w:t>
      </w:r>
      <w:r>
        <w:rPr>
          <w:rFonts w:ascii="Arial" w:eastAsia="SimSun" w:hAnsi="Arial" w:cs="Arial"/>
          <w:bCs/>
          <w:sz w:val="22"/>
          <w:szCs w:val="22"/>
          <w:lang w:val="fr-FR" w:eastAsia="en-US"/>
        </w:rPr>
        <w:t>v</w:t>
      </w:r>
      <w:r w:rsidRPr="00C546FE">
        <w:rPr>
          <w:rFonts w:ascii="Arial" w:eastAsia="SimSun" w:hAnsi="Arial" w:cs="Arial"/>
          <w:bCs/>
          <w:sz w:val="22"/>
          <w:szCs w:val="22"/>
          <w:lang w:val="fr-FR" w:eastAsia="en-US"/>
        </w:rPr>
        <w:t xml:space="preserve">ivant </w:t>
      </w:r>
      <w:r>
        <w:rPr>
          <w:rFonts w:ascii="Arial" w:eastAsia="SimSun" w:hAnsi="Arial" w:cs="Arial"/>
          <w:bCs/>
          <w:sz w:val="22"/>
          <w:szCs w:val="22"/>
          <w:lang w:val="fr-FR" w:eastAsia="en-US"/>
        </w:rPr>
        <w:t>étaient</w:t>
      </w:r>
      <w:r w:rsidRPr="00C546FE">
        <w:rPr>
          <w:rFonts w:ascii="Arial" w:eastAsia="SimSun" w:hAnsi="Arial" w:cs="Arial"/>
          <w:bCs/>
          <w:sz w:val="22"/>
          <w:szCs w:val="22"/>
          <w:lang w:val="fr-FR" w:eastAsia="en-US"/>
        </w:rPr>
        <w:t xml:space="preserve"> ou ser</w:t>
      </w:r>
      <w:r>
        <w:rPr>
          <w:rFonts w:ascii="Arial" w:eastAsia="SimSun" w:hAnsi="Arial" w:cs="Arial"/>
          <w:bCs/>
          <w:sz w:val="22"/>
          <w:szCs w:val="22"/>
          <w:lang w:val="fr-FR" w:eastAsia="en-US"/>
        </w:rPr>
        <w:t>aie</w:t>
      </w:r>
      <w:r w:rsidRPr="00C546FE">
        <w:rPr>
          <w:rFonts w:ascii="Arial" w:eastAsia="SimSun" w:hAnsi="Arial" w:cs="Arial"/>
          <w:bCs/>
          <w:sz w:val="22"/>
          <w:szCs w:val="22"/>
          <w:lang w:val="fr-FR" w:eastAsia="en-US"/>
        </w:rPr>
        <w:t>nt déployées dans la mise en œuvre de cet événement très important, car la sauvegarde du patrimoine immatériel représent</w:t>
      </w:r>
      <w:r>
        <w:rPr>
          <w:rFonts w:ascii="Arial" w:eastAsia="SimSun" w:hAnsi="Arial" w:cs="Arial"/>
          <w:bCs/>
          <w:sz w:val="22"/>
          <w:szCs w:val="22"/>
          <w:lang w:val="fr-FR" w:eastAsia="en-US"/>
        </w:rPr>
        <w:t>ait</w:t>
      </w:r>
      <w:r w:rsidRPr="00C546FE">
        <w:rPr>
          <w:rFonts w:ascii="Arial" w:eastAsia="SimSun" w:hAnsi="Arial" w:cs="Arial"/>
          <w:bCs/>
          <w:sz w:val="22"/>
          <w:szCs w:val="22"/>
          <w:lang w:val="fr-FR" w:eastAsia="en-US"/>
        </w:rPr>
        <w:t xml:space="preserve"> un domaine très important de la politique culturelle. Comme cela n</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était</w:t>
      </w:r>
      <w:r w:rsidRPr="00C546FE">
        <w:rPr>
          <w:rFonts w:ascii="Arial" w:eastAsia="SimSun" w:hAnsi="Arial" w:cs="Arial"/>
          <w:bCs/>
          <w:sz w:val="22"/>
          <w:szCs w:val="22"/>
          <w:lang w:val="fr-FR" w:eastAsia="en-US"/>
        </w:rPr>
        <w:t xml:space="preserve"> pas vraiment reflété dans le rapport du Secrétariat, la délégation a demandé au Secrétariat quelques informations sur sa contribution à la </w:t>
      </w:r>
      <w:r>
        <w:rPr>
          <w:rFonts w:ascii="Arial" w:eastAsia="SimSun" w:hAnsi="Arial" w:cs="Arial"/>
          <w:bCs/>
          <w:sz w:val="22"/>
          <w:szCs w:val="22"/>
          <w:lang w:val="fr-FR" w:eastAsia="en-US"/>
        </w:rPr>
        <w:t>c</w:t>
      </w:r>
      <w:r w:rsidRPr="00C546FE">
        <w:rPr>
          <w:rFonts w:ascii="Arial" w:eastAsia="SimSun" w:hAnsi="Arial" w:cs="Arial"/>
          <w:bCs/>
          <w:sz w:val="22"/>
          <w:szCs w:val="22"/>
          <w:lang w:val="fr-FR" w:eastAsia="en-US"/>
        </w:rPr>
        <w:t>onférence MONDIACULT. En général, le nombre de documents de travail préparés par le Secrétariat était impressionnant. La délégation s</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 xml:space="preserve">est félicitée de plusieurs des actions et documents produits au cours de la période de référence, notamment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agissant du</w:t>
      </w:r>
      <w:r w:rsidRPr="00C546FE">
        <w:rPr>
          <w:rFonts w:ascii="Arial" w:eastAsia="SimSun" w:hAnsi="Arial" w:cs="Arial"/>
          <w:bCs/>
          <w:sz w:val="22"/>
          <w:szCs w:val="22"/>
          <w:lang w:val="fr-FR" w:eastAsia="en-US"/>
        </w:rPr>
        <w:t xml:space="preserve"> soutien au mécanisme d</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 xml:space="preserve">assistance internationale, </w:t>
      </w:r>
      <w:r>
        <w:rPr>
          <w:rFonts w:ascii="Arial" w:eastAsia="SimSun" w:hAnsi="Arial" w:cs="Arial"/>
          <w:bCs/>
          <w:sz w:val="22"/>
          <w:szCs w:val="22"/>
          <w:lang w:val="fr-FR" w:eastAsia="en-US"/>
        </w:rPr>
        <w:t>d</w:t>
      </w:r>
      <w:r w:rsidRPr="00C546FE">
        <w:rPr>
          <w:rFonts w:ascii="Arial" w:eastAsia="SimSun" w:hAnsi="Arial" w:cs="Arial"/>
          <w:bCs/>
          <w:sz w:val="22"/>
          <w:szCs w:val="22"/>
          <w:lang w:val="fr-FR" w:eastAsia="en-US"/>
        </w:rPr>
        <w:t>es synergies avec d</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autres</w:t>
      </w:r>
      <w:r>
        <w:rPr>
          <w:rFonts w:ascii="Arial" w:eastAsia="SimSun" w:hAnsi="Arial" w:cs="Arial"/>
          <w:bCs/>
          <w:sz w:val="22"/>
          <w:szCs w:val="22"/>
          <w:lang w:val="fr-FR" w:eastAsia="en-US"/>
        </w:rPr>
        <w:t xml:space="preserve">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C546FE">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d</w:t>
      </w:r>
      <w:r w:rsidRPr="00C546FE">
        <w:rPr>
          <w:rFonts w:ascii="Arial" w:eastAsia="SimSun" w:hAnsi="Arial" w:cs="Arial"/>
          <w:bCs/>
          <w:sz w:val="22"/>
          <w:szCs w:val="22"/>
          <w:lang w:val="fr-FR" w:eastAsia="en-US"/>
        </w:rPr>
        <w:t>es activités liées à l</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 xml:space="preserve">intégration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C546FE">
        <w:rPr>
          <w:rFonts w:ascii="Arial" w:eastAsia="SimSun" w:hAnsi="Arial" w:cs="Arial"/>
          <w:bCs/>
          <w:sz w:val="22"/>
          <w:szCs w:val="22"/>
          <w:lang w:val="fr-FR" w:eastAsia="en-US"/>
        </w:rPr>
        <w:t>dans l</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 xml:space="preserve">éducation formelle et non formelle, ainsi que </w:t>
      </w:r>
      <w:r>
        <w:rPr>
          <w:rFonts w:ascii="Arial" w:eastAsia="SimSun" w:hAnsi="Arial" w:cs="Arial"/>
          <w:bCs/>
          <w:sz w:val="22"/>
          <w:szCs w:val="22"/>
          <w:lang w:val="fr-FR" w:eastAsia="en-US"/>
        </w:rPr>
        <w:t>d</w:t>
      </w:r>
      <w:r w:rsidRPr="00C546FE">
        <w:rPr>
          <w:rFonts w:ascii="Arial" w:eastAsia="SimSun" w:hAnsi="Arial" w:cs="Arial"/>
          <w:bCs/>
          <w:sz w:val="22"/>
          <w:szCs w:val="22"/>
          <w:lang w:val="fr-FR" w:eastAsia="en-US"/>
        </w:rPr>
        <w:t>es contributions du patrimoine vivant au développement durable, parmi beaucoup d</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autres</w:t>
      </w:r>
      <w:r>
        <w:rPr>
          <w:rFonts w:ascii="Arial" w:eastAsia="SimSun" w:hAnsi="Arial" w:cs="Arial"/>
          <w:bCs/>
          <w:sz w:val="22"/>
          <w:szCs w:val="22"/>
          <w:lang w:val="fr-FR" w:eastAsia="en-US"/>
        </w:rPr>
        <w:t xml:space="preserve"> sujets</w:t>
      </w:r>
      <w:r w:rsidRPr="00C546FE">
        <w:rPr>
          <w:rFonts w:ascii="Arial" w:eastAsia="SimSun" w:hAnsi="Arial" w:cs="Arial"/>
          <w:bCs/>
          <w:sz w:val="22"/>
          <w:szCs w:val="22"/>
          <w:lang w:val="fr-FR" w:eastAsia="en-US"/>
        </w:rPr>
        <w:t>. Elle accueill</w:t>
      </w:r>
      <w:r>
        <w:rPr>
          <w:rFonts w:ascii="Arial" w:eastAsia="SimSun" w:hAnsi="Arial" w:cs="Arial"/>
          <w:bCs/>
          <w:sz w:val="22"/>
          <w:szCs w:val="22"/>
          <w:lang w:val="fr-FR" w:eastAsia="en-US"/>
        </w:rPr>
        <w:t>ait</w:t>
      </w:r>
      <w:r w:rsidRPr="00C546FE">
        <w:rPr>
          <w:rFonts w:ascii="Arial" w:eastAsia="SimSun" w:hAnsi="Arial" w:cs="Arial"/>
          <w:bCs/>
          <w:sz w:val="22"/>
          <w:szCs w:val="22"/>
          <w:lang w:val="fr-FR" w:eastAsia="en-US"/>
        </w:rPr>
        <w:t xml:space="preserve"> favorablement le projet de résolution et a remercié le Secrétariat pour son travail considérable, qu</w:t>
      </w:r>
      <w:r w:rsidR="008E532B">
        <w:rPr>
          <w:rFonts w:ascii="Arial" w:eastAsia="SimSun" w:hAnsi="Arial" w:cs="Arial"/>
          <w:bCs/>
          <w:sz w:val="22"/>
          <w:szCs w:val="22"/>
          <w:lang w:val="fr-FR" w:eastAsia="en-US"/>
        </w:rPr>
        <w:t>’</w:t>
      </w:r>
      <w:r w:rsidRPr="00C546FE">
        <w:rPr>
          <w:rFonts w:ascii="Arial" w:eastAsia="SimSun" w:hAnsi="Arial" w:cs="Arial"/>
          <w:bCs/>
          <w:sz w:val="22"/>
          <w:szCs w:val="22"/>
          <w:lang w:val="fr-FR" w:eastAsia="en-US"/>
        </w:rPr>
        <w:t>elle esp</w:t>
      </w:r>
      <w:r>
        <w:rPr>
          <w:rFonts w:ascii="Arial" w:eastAsia="SimSun" w:hAnsi="Arial" w:cs="Arial"/>
          <w:bCs/>
          <w:sz w:val="22"/>
          <w:szCs w:val="22"/>
          <w:lang w:val="fr-FR" w:eastAsia="en-US"/>
        </w:rPr>
        <w:t>érait</w:t>
      </w:r>
      <w:r w:rsidRPr="00C546FE">
        <w:rPr>
          <w:rFonts w:ascii="Arial" w:eastAsia="SimSun" w:hAnsi="Arial" w:cs="Arial"/>
          <w:bCs/>
          <w:sz w:val="22"/>
          <w:szCs w:val="22"/>
          <w:lang w:val="fr-FR" w:eastAsia="en-US"/>
        </w:rPr>
        <w:t xml:space="preserve"> voir se poursuivre.</w:t>
      </w:r>
    </w:p>
    <w:p w14:paraId="19835368" w14:textId="6C456E96" w:rsidR="00D9653F" w:rsidRPr="00911008"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911008">
        <w:rPr>
          <w:rFonts w:ascii="Arial" w:eastAsia="SimSun" w:hAnsi="Arial" w:cs="Arial"/>
          <w:bCs/>
          <w:sz w:val="22"/>
          <w:szCs w:val="22"/>
          <w:lang w:val="fr-FR" w:eastAsia="en-US"/>
        </w:rPr>
        <w:t xml:space="preserve">La délégation du </w:t>
      </w:r>
      <w:r w:rsidRPr="00911008">
        <w:rPr>
          <w:rFonts w:ascii="Arial" w:eastAsia="SimSun" w:hAnsi="Arial" w:cs="Arial"/>
          <w:b/>
          <w:sz w:val="22"/>
          <w:szCs w:val="22"/>
          <w:lang w:val="fr-FR" w:eastAsia="en-US"/>
        </w:rPr>
        <w:t>Japon</w:t>
      </w:r>
      <w:r w:rsidRPr="00911008">
        <w:rPr>
          <w:rFonts w:ascii="Arial" w:eastAsia="SimSun" w:hAnsi="Arial" w:cs="Arial"/>
          <w:bCs/>
          <w:sz w:val="22"/>
          <w:szCs w:val="22"/>
          <w:lang w:val="fr-FR" w:eastAsia="en-US"/>
        </w:rPr>
        <w:t xml:space="preserve"> a félicité la Présidente pour son élection et a salué le Secrétariat et le Comité</w:t>
      </w:r>
      <w:r>
        <w:rPr>
          <w:rFonts w:ascii="Arial" w:eastAsia="SimSun" w:hAnsi="Arial" w:cs="Arial"/>
          <w:bCs/>
          <w:sz w:val="22"/>
          <w:szCs w:val="22"/>
          <w:lang w:val="fr-FR" w:eastAsia="en-US"/>
        </w:rPr>
        <w:t>,</w:t>
      </w:r>
      <w:r w:rsidRPr="00911008">
        <w:rPr>
          <w:rFonts w:ascii="Arial" w:eastAsia="SimSun" w:hAnsi="Arial" w:cs="Arial"/>
          <w:bCs/>
          <w:sz w:val="22"/>
          <w:szCs w:val="22"/>
          <w:lang w:val="fr-FR" w:eastAsia="en-US"/>
        </w:rPr>
        <w:t xml:space="preserve"> pour son travail au cours de la période 2020-2022</w:t>
      </w:r>
      <w:r>
        <w:rPr>
          <w:rFonts w:ascii="Arial" w:eastAsia="SimSun" w:hAnsi="Arial" w:cs="Arial"/>
          <w:bCs/>
          <w:sz w:val="22"/>
          <w:szCs w:val="22"/>
          <w:lang w:val="fr-FR" w:eastAsia="en-US"/>
        </w:rPr>
        <w:t xml:space="preserve">. Elle a </w:t>
      </w:r>
      <w:r w:rsidRPr="00911008">
        <w:rPr>
          <w:rFonts w:ascii="Arial" w:eastAsia="SimSun" w:hAnsi="Arial" w:cs="Arial"/>
          <w:bCs/>
          <w:color w:val="000000" w:themeColor="text1"/>
          <w:sz w:val="22"/>
          <w:szCs w:val="22"/>
          <w:lang w:val="fr-FR" w:eastAsia="en-US"/>
        </w:rPr>
        <w:t>également</w:t>
      </w:r>
      <w:r>
        <w:rPr>
          <w:rFonts w:ascii="Arial" w:eastAsia="SimSun" w:hAnsi="Arial" w:cs="Arial"/>
          <w:bCs/>
          <w:color w:val="000000" w:themeColor="text1"/>
          <w:sz w:val="22"/>
          <w:szCs w:val="22"/>
          <w:lang w:val="fr-FR" w:eastAsia="en-US"/>
        </w:rPr>
        <w:t xml:space="preserve"> </w:t>
      </w:r>
      <w:r>
        <w:rPr>
          <w:rFonts w:ascii="Arial" w:eastAsia="SimSun" w:hAnsi="Arial" w:cs="Arial"/>
          <w:bCs/>
          <w:sz w:val="22"/>
          <w:szCs w:val="22"/>
          <w:lang w:val="fr-FR" w:eastAsia="en-US"/>
        </w:rPr>
        <w:t xml:space="preserve">souhaité la bienvenue à </w:t>
      </w:r>
      <w:r w:rsidRPr="00911008">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Pr="00911008">
        <w:rPr>
          <w:rFonts w:ascii="Arial" w:eastAsia="SimSun" w:hAnsi="Arial" w:cs="Arial"/>
          <w:bCs/>
          <w:sz w:val="22"/>
          <w:szCs w:val="22"/>
          <w:lang w:val="fr-FR" w:eastAsia="en-US"/>
        </w:rPr>
        <w:t xml:space="preserve">Angola et </w:t>
      </w:r>
      <w:r>
        <w:rPr>
          <w:rFonts w:ascii="Arial" w:eastAsia="SimSun" w:hAnsi="Arial" w:cs="Arial"/>
          <w:bCs/>
          <w:sz w:val="22"/>
          <w:szCs w:val="22"/>
          <w:lang w:val="fr-FR" w:eastAsia="en-US"/>
        </w:rPr>
        <w:t xml:space="preserve">à </w:t>
      </w:r>
      <w:r w:rsidRPr="00911008">
        <w:rPr>
          <w:rFonts w:ascii="Arial" w:eastAsia="SimSun" w:hAnsi="Arial" w:cs="Arial"/>
          <w:bCs/>
          <w:sz w:val="22"/>
          <w:szCs w:val="22"/>
          <w:lang w:val="fr-FR" w:eastAsia="en-US"/>
        </w:rPr>
        <w:t>la Somalie</w:t>
      </w:r>
      <w:r>
        <w:rPr>
          <w:rFonts w:ascii="Arial" w:eastAsia="SimSun" w:hAnsi="Arial" w:cs="Arial"/>
          <w:bCs/>
          <w:sz w:val="22"/>
          <w:szCs w:val="22"/>
          <w:lang w:val="fr-FR" w:eastAsia="en-US"/>
        </w:rPr>
        <w:t xml:space="preserve"> en tant que </w:t>
      </w:r>
      <w:r w:rsidRPr="00911008">
        <w:rPr>
          <w:rFonts w:ascii="Arial" w:eastAsia="SimSun" w:hAnsi="Arial" w:cs="Arial"/>
          <w:bCs/>
          <w:sz w:val="22"/>
          <w:szCs w:val="22"/>
          <w:lang w:val="fr-FR" w:eastAsia="en-US"/>
        </w:rPr>
        <w:t xml:space="preserve">nouveaux membres de la Convention. Il </w:t>
      </w:r>
      <w:r>
        <w:rPr>
          <w:rFonts w:ascii="Arial" w:eastAsia="SimSun" w:hAnsi="Arial" w:cs="Arial"/>
          <w:bCs/>
          <w:sz w:val="22"/>
          <w:szCs w:val="22"/>
          <w:lang w:val="fr-FR" w:eastAsia="en-US"/>
        </w:rPr>
        <w:t>était</w:t>
      </w:r>
      <w:r w:rsidRPr="00911008">
        <w:rPr>
          <w:rFonts w:ascii="Arial" w:eastAsia="SimSun" w:hAnsi="Arial" w:cs="Arial"/>
          <w:bCs/>
          <w:sz w:val="22"/>
          <w:szCs w:val="22"/>
          <w:lang w:val="fr-FR" w:eastAsia="en-US"/>
        </w:rPr>
        <w:t xml:space="preserve"> en effet émouvant de penser que 2023 marquera</w:t>
      </w:r>
      <w:r>
        <w:rPr>
          <w:rFonts w:ascii="Arial" w:eastAsia="SimSun" w:hAnsi="Arial" w:cs="Arial"/>
          <w:bCs/>
          <w:sz w:val="22"/>
          <w:szCs w:val="22"/>
          <w:lang w:val="fr-FR" w:eastAsia="en-US"/>
        </w:rPr>
        <w:t>it</w:t>
      </w:r>
      <w:r w:rsidRPr="00911008">
        <w:rPr>
          <w:rFonts w:ascii="Arial" w:eastAsia="SimSun" w:hAnsi="Arial" w:cs="Arial"/>
          <w:bCs/>
          <w:sz w:val="22"/>
          <w:szCs w:val="22"/>
          <w:lang w:val="fr-FR" w:eastAsia="en-US"/>
        </w:rPr>
        <w:t xml:space="preserve"> le vingtième anniversaire de cette importante Convention. Au cours de ces </w:t>
      </w:r>
      <w:r>
        <w:rPr>
          <w:rFonts w:ascii="Arial" w:eastAsia="SimSun" w:hAnsi="Arial" w:cs="Arial"/>
          <w:bCs/>
          <w:sz w:val="22"/>
          <w:szCs w:val="22"/>
          <w:lang w:val="fr-FR" w:eastAsia="en-US"/>
        </w:rPr>
        <w:t>vingt années</w:t>
      </w:r>
      <w:r w:rsidRPr="00911008">
        <w:rPr>
          <w:rFonts w:ascii="Arial" w:eastAsia="SimSun" w:hAnsi="Arial" w:cs="Arial"/>
          <w:bCs/>
          <w:sz w:val="22"/>
          <w:szCs w:val="22"/>
          <w:lang w:val="fr-FR" w:eastAsia="en-US"/>
        </w:rPr>
        <w:t>, la Convention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était</w:t>
      </w:r>
      <w:r w:rsidRPr="00911008">
        <w:rPr>
          <w:rFonts w:ascii="Arial" w:eastAsia="SimSun" w:hAnsi="Arial" w:cs="Arial"/>
          <w:bCs/>
          <w:sz w:val="22"/>
          <w:szCs w:val="22"/>
          <w:lang w:val="fr-FR" w:eastAsia="en-US"/>
        </w:rPr>
        <w:t xml:space="preserve"> transformée en une convention très </w:t>
      </w:r>
      <w:r>
        <w:rPr>
          <w:rFonts w:ascii="Arial" w:eastAsia="SimSun" w:hAnsi="Arial" w:cs="Arial"/>
          <w:bCs/>
          <w:sz w:val="22"/>
          <w:szCs w:val="22"/>
          <w:lang w:val="fr-FR" w:eastAsia="en-US"/>
        </w:rPr>
        <w:t>matérielle</w:t>
      </w:r>
      <w:r w:rsidRPr="00911008">
        <w:rPr>
          <w:rFonts w:ascii="Arial" w:eastAsia="SimSun" w:hAnsi="Arial" w:cs="Arial"/>
          <w:bCs/>
          <w:sz w:val="22"/>
          <w:szCs w:val="22"/>
          <w:lang w:val="fr-FR" w:eastAsia="en-US"/>
        </w:rPr>
        <w:t xml:space="preserve"> et visible </w:t>
      </w:r>
      <w:r>
        <w:rPr>
          <w:rFonts w:ascii="Arial" w:eastAsia="SimSun" w:hAnsi="Arial" w:cs="Arial"/>
          <w:bCs/>
          <w:sz w:val="22"/>
          <w:szCs w:val="22"/>
          <w:lang w:val="fr-FR" w:eastAsia="en-US"/>
        </w:rPr>
        <w:t xml:space="preserve">que </w:t>
      </w:r>
      <w:r w:rsidRPr="00911008">
        <w:rPr>
          <w:rFonts w:ascii="Arial" w:eastAsia="SimSun" w:hAnsi="Arial" w:cs="Arial"/>
          <w:bCs/>
          <w:sz w:val="22"/>
          <w:szCs w:val="22"/>
          <w:lang w:val="fr-FR" w:eastAsia="en-US"/>
        </w:rPr>
        <w:t>180 États parties</w:t>
      </w:r>
      <w:r>
        <w:rPr>
          <w:rFonts w:ascii="Arial" w:eastAsia="SimSun" w:hAnsi="Arial" w:cs="Arial"/>
          <w:bCs/>
          <w:sz w:val="22"/>
          <w:szCs w:val="22"/>
          <w:lang w:val="fr-FR" w:eastAsia="en-US"/>
        </w:rPr>
        <w:t xml:space="preserve"> avaient désormais adoptée</w:t>
      </w:r>
      <w:r w:rsidRPr="00911008">
        <w:rPr>
          <w:rFonts w:ascii="Arial" w:eastAsia="SimSun" w:hAnsi="Arial" w:cs="Arial"/>
          <w:bCs/>
          <w:sz w:val="22"/>
          <w:szCs w:val="22"/>
          <w:lang w:val="fr-FR" w:eastAsia="en-US"/>
        </w:rPr>
        <w:t>. C</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était </w:t>
      </w:r>
      <w:r w:rsidRPr="00911008">
        <w:rPr>
          <w:rFonts w:ascii="Arial" w:eastAsia="SimSun" w:hAnsi="Arial" w:cs="Arial"/>
          <w:bCs/>
          <w:sz w:val="22"/>
          <w:szCs w:val="22"/>
          <w:lang w:val="fr-FR" w:eastAsia="en-US"/>
        </w:rPr>
        <w:t xml:space="preserve">une grande réussite. La délégation </w:t>
      </w:r>
      <w:r>
        <w:rPr>
          <w:rFonts w:ascii="Arial" w:eastAsia="SimSun" w:hAnsi="Arial" w:cs="Arial"/>
          <w:bCs/>
          <w:sz w:val="22"/>
          <w:szCs w:val="22"/>
          <w:lang w:val="fr-FR" w:eastAsia="en-US"/>
        </w:rPr>
        <w:t xml:space="preserve">a </w:t>
      </w:r>
      <w:r w:rsidRPr="00911008">
        <w:rPr>
          <w:rFonts w:ascii="Arial" w:eastAsia="SimSun" w:hAnsi="Arial" w:cs="Arial"/>
          <w:bCs/>
          <w:sz w:val="22"/>
          <w:szCs w:val="22"/>
          <w:lang w:val="fr-FR" w:eastAsia="en-US"/>
        </w:rPr>
        <w:t>estim</w:t>
      </w:r>
      <w:r>
        <w:rPr>
          <w:rFonts w:ascii="Arial" w:eastAsia="SimSun" w:hAnsi="Arial" w:cs="Arial"/>
          <w:bCs/>
          <w:sz w:val="22"/>
          <w:szCs w:val="22"/>
          <w:lang w:val="fr-FR" w:eastAsia="en-US"/>
        </w:rPr>
        <w:t>é</w:t>
      </w:r>
      <w:r w:rsidRPr="00911008">
        <w:rPr>
          <w:rFonts w:ascii="Arial" w:eastAsia="SimSun" w:hAnsi="Arial" w:cs="Arial"/>
          <w:bCs/>
          <w:sz w:val="22"/>
          <w:szCs w:val="22"/>
          <w:lang w:val="fr-FR" w:eastAsia="en-US"/>
        </w:rPr>
        <w:t xml:space="preserve"> que le renforcement des capacités </w:t>
      </w:r>
      <w:r>
        <w:rPr>
          <w:rFonts w:ascii="Arial" w:eastAsia="SimSun" w:hAnsi="Arial" w:cs="Arial"/>
          <w:bCs/>
          <w:sz w:val="22"/>
          <w:szCs w:val="22"/>
          <w:lang w:val="fr-FR" w:eastAsia="en-US"/>
        </w:rPr>
        <w:t>est</w:t>
      </w:r>
      <w:r w:rsidRPr="00911008">
        <w:rPr>
          <w:rFonts w:ascii="Arial" w:eastAsia="SimSun" w:hAnsi="Arial" w:cs="Arial"/>
          <w:bCs/>
          <w:sz w:val="22"/>
          <w:szCs w:val="22"/>
          <w:lang w:val="fr-FR" w:eastAsia="en-US"/>
        </w:rPr>
        <w:t xml:space="preserve"> très important pour la protection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911008">
        <w:rPr>
          <w:rFonts w:ascii="Arial" w:eastAsia="SimSun" w:hAnsi="Arial" w:cs="Arial"/>
          <w:bCs/>
          <w:sz w:val="22"/>
          <w:szCs w:val="22"/>
          <w:lang w:val="fr-FR" w:eastAsia="en-US"/>
        </w:rPr>
        <w:t xml:space="preserve">et elle </w:t>
      </w:r>
      <w:r>
        <w:rPr>
          <w:rFonts w:ascii="Arial" w:eastAsia="SimSun" w:hAnsi="Arial" w:cs="Arial"/>
          <w:bCs/>
          <w:sz w:val="22"/>
          <w:szCs w:val="22"/>
          <w:lang w:val="fr-FR" w:eastAsia="en-US"/>
        </w:rPr>
        <w:t xml:space="preserve">a </w:t>
      </w:r>
      <w:r w:rsidRPr="00911008">
        <w:rPr>
          <w:rFonts w:ascii="Arial" w:eastAsia="SimSun" w:hAnsi="Arial" w:cs="Arial"/>
          <w:bCs/>
          <w:sz w:val="22"/>
          <w:szCs w:val="22"/>
          <w:lang w:val="fr-FR" w:eastAsia="en-US"/>
        </w:rPr>
        <w:t>remerci</w:t>
      </w:r>
      <w:r>
        <w:rPr>
          <w:rFonts w:ascii="Arial" w:eastAsia="SimSun" w:hAnsi="Arial" w:cs="Arial"/>
          <w:bCs/>
          <w:sz w:val="22"/>
          <w:szCs w:val="22"/>
          <w:lang w:val="fr-FR" w:eastAsia="en-US"/>
        </w:rPr>
        <w:t>é</w:t>
      </w:r>
      <w:r w:rsidRPr="00911008">
        <w:rPr>
          <w:rFonts w:ascii="Arial" w:eastAsia="SimSun" w:hAnsi="Arial" w:cs="Arial"/>
          <w:bCs/>
          <w:sz w:val="22"/>
          <w:szCs w:val="22"/>
          <w:lang w:val="fr-FR" w:eastAsia="en-US"/>
        </w:rPr>
        <w:t xml:space="preserve"> le Secrétariat pour ses efforts dans ce domaine. Le Japon </w:t>
      </w:r>
      <w:r>
        <w:rPr>
          <w:rFonts w:ascii="Arial" w:eastAsia="SimSun" w:hAnsi="Arial" w:cs="Arial"/>
          <w:bCs/>
          <w:sz w:val="22"/>
          <w:szCs w:val="22"/>
          <w:lang w:val="fr-FR" w:eastAsia="en-US"/>
        </w:rPr>
        <w:t xml:space="preserve">appréciait </w:t>
      </w:r>
      <w:r w:rsidRPr="00911008">
        <w:rPr>
          <w:rFonts w:ascii="Arial" w:eastAsia="SimSun" w:hAnsi="Arial" w:cs="Arial"/>
          <w:bCs/>
          <w:sz w:val="22"/>
          <w:szCs w:val="22"/>
          <w:lang w:val="fr-FR" w:eastAsia="en-US"/>
        </w:rPr>
        <w:t>également l</w:t>
      </w:r>
      <w:r w:rsidR="008E532B">
        <w:rPr>
          <w:rFonts w:ascii="Arial" w:eastAsia="SimSun" w:hAnsi="Arial" w:cs="Arial"/>
          <w:bCs/>
          <w:sz w:val="22"/>
          <w:szCs w:val="22"/>
          <w:lang w:val="fr-FR" w:eastAsia="en-US"/>
        </w:rPr>
        <w:t>’</w:t>
      </w:r>
      <w:r w:rsidRPr="00911008">
        <w:rPr>
          <w:rFonts w:ascii="Arial" w:eastAsia="SimSun" w:hAnsi="Arial" w:cs="Arial"/>
          <w:bCs/>
          <w:sz w:val="22"/>
          <w:szCs w:val="22"/>
          <w:lang w:val="fr-FR" w:eastAsia="en-US"/>
        </w:rPr>
        <w:t xml:space="preserve">étroite collaboration sectorielle avec le </w:t>
      </w:r>
      <w:r>
        <w:rPr>
          <w:rFonts w:ascii="Arial" w:eastAsia="SimSun" w:hAnsi="Arial" w:cs="Arial"/>
          <w:bCs/>
          <w:sz w:val="22"/>
          <w:szCs w:val="22"/>
          <w:lang w:val="fr-FR" w:eastAsia="en-US"/>
        </w:rPr>
        <w:t>S</w:t>
      </w:r>
      <w:r w:rsidRPr="00911008">
        <w:rPr>
          <w:rFonts w:ascii="Arial" w:eastAsia="SimSun" w:hAnsi="Arial" w:cs="Arial"/>
          <w:bCs/>
          <w:sz w:val="22"/>
          <w:szCs w:val="22"/>
          <w:lang w:val="fr-FR" w:eastAsia="en-US"/>
        </w:rPr>
        <w:t>ecteur de l</w:t>
      </w:r>
      <w:r w:rsidR="008E532B">
        <w:rPr>
          <w:rFonts w:ascii="Arial" w:eastAsia="SimSun" w:hAnsi="Arial" w:cs="Arial"/>
          <w:bCs/>
          <w:sz w:val="22"/>
          <w:szCs w:val="22"/>
          <w:lang w:val="fr-FR" w:eastAsia="en-US"/>
        </w:rPr>
        <w:t>’</w:t>
      </w:r>
      <w:r w:rsidRPr="00911008">
        <w:rPr>
          <w:rFonts w:ascii="Arial" w:eastAsia="SimSun" w:hAnsi="Arial" w:cs="Arial"/>
          <w:bCs/>
          <w:sz w:val="22"/>
          <w:szCs w:val="22"/>
          <w:lang w:val="fr-FR" w:eastAsia="en-US"/>
        </w:rPr>
        <w:t xml:space="preserve">éducation pour promouvoir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911008">
        <w:rPr>
          <w:rFonts w:ascii="Arial" w:eastAsia="SimSun" w:hAnsi="Arial" w:cs="Arial"/>
          <w:bCs/>
          <w:sz w:val="22"/>
          <w:szCs w:val="22"/>
          <w:lang w:val="fr-FR" w:eastAsia="en-US"/>
        </w:rPr>
        <w:t>dans l</w:t>
      </w:r>
      <w:r w:rsidR="008E532B">
        <w:rPr>
          <w:rFonts w:ascii="Arial" w:eastAsia="SimSun" w:hAnsi="Arial" w:cs="Arial"/>
          <w:bCs/>
          <w:sz w:val="22"/>
          <w:szCs w:val="22"/>
          <w:lang w:val="fr-FR" w:eastAsia="en-US"/>
        </w:rPr>
        <w:t>’</w:t>
      </w:r>
      <w:r w:rsidRPr="00911008">
        <w:rPr>
          <w:rFonts w:ascii="Arial" w:eastAsia="SimSun" w:hAnsi="Arial" w:cs="Arial"/>
          <w:bCs/>
          <w:sz w:val="22"/>
          <w:szCs w:val="22"/>
          <w:lang w:val="fr-FR" w:eastAsia="en-US"/>
        </w:rPr>
        <w:t xml:space="preserve">éducation formelle et non formelle, ainsi que ses efforts </w:t>
      </w:r>
      <w:r>
        <w:rPr>
          <w:rFonts w:ascii="Arial" w:eastAsia="SimSun" w:hAnsi="Arial" w:cs="Arial"/>
          <w:bCs/>
          <w:sz w:val="22"/>
          <w:szCs w:val="22"/>
          <w:lang w:val="fr-FR" w:eastAsia="en-US"/>
        </w:rPr>
        <w:t>dans le domaine</w:t>
      </w:r>
      <w:r w:rsidRPr="00911008">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du</w:t>
      </w:r>
      <w:r w:rsidRPr="00911008">
        <w:rPr>
          <w:rFonts w:ascii="Arial" w:eastAsia="SimSun" w:hAnsi="Arial" w:cs="Arial"/>
          <w:bCs/>
          <w:sz w:val="22"/>
          <w:szCs w:val="22"/>
          <w:lang w:val="fr-FR" w:eastAsia="en-US"/>
        </w:rPr>
        <w:t xml:space="preserv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911008">
        <w:rPr>
          <w:rFonts w:ascii="Arial" w:eastAsia="SimSun" w:hAnsi="Arial" w:cs="Arial"/>
          <w:bCs/>
          <w:sz w:val="22"/>
          <w:szCs w:val="22"/>
          <w:lang w:val="fr-FR" w:eastAsia="en-US"/>
        </w:rPr>
        <w:t xml:space="preserve">et </w:t>
      </w:r>
      <w:r>
        <w:rPr>
          <w:rFonts w:ascii="Arial" w:eastAsia="SimSun" w:hAnsi="Arial" w:cs="Arial"/>
          <w:bCs/>
          <w:sz w:val="22"/>
          <w:szCs w:val="22"/>
          <w:lang w:val="fr-FR" w:eastAsia="en-US"/>
        </w:rPr>
        <w:t>du</w:t>
      </w:r>
      <w:r w:rsidRPr="00911008">
        <w:rPr>
          <w:rFonts w:ascii="Arial" w:eastAsia="SimSun" w:hAnsi="Arial" w:cs="Arial"/>
          <w:bCs/>
          <w:sz w:val="22"/>
          <w:szCs w:val="22"/>
          <w:lang w:val="fr-FR" w:eastAsia="en-US"/>
        </w:rPr>
        <w:t xml:space="preserve"> changement climatique, un autre sujet important pour le Japon. Le Japon </w:t>
      </w:r>
      <w:r>
        <w:rPr>
          <w:rFonts w:ascii="Arial" w:eastAsia="SimSun" w:hAnsi="Arial" w:cs="Arial"/>
          <w:bCs/>
          <w:sz w:val="22"/>
          <w:szCs w:val="22"/>
          <w:lang w:val="fr-FR" w:eastAsia="en-US"/>
        </w:rPr>
        <w:t xml:space="preserve">avait </w:t>
      </w:r>
      <w:r w:rsidRPr="00911008">
        <w:rPr>
          <w:rFonts w:ascii="Arial" w:eastAsia="SimSun" w:hAnsi="Arial" w:cs="Arial"/>
          <w:bCs/>
          <w:sz w:val="22"/>
          <w:szCs w:val="22"/>
          <w:lang w:val="fr-FR" w:eastAsia="en-US"/>
        </w:rPr>
        <w:t>soutenu le groupe de travail à composition non limitée sur les mécanismes d</w:t>
      </w:r>
      <w:r w:rsidR="008E532B">
        <w:rPr>
          <w:rFonts w:ascii="Arial" w:eastAsia="SimSun" w:hAnsi="Arial" w:cs="Arial"/>
          <w:bCs/>
          <w:sz w:val="22"/>
          <w:szCs w:val="22"/>
          <w:lang w:val="fr-FR" w:eastAsia="en-US"/>
        </w:rPr>
        <w:t>’</w:t>
      </w:r>
      <w:r w:rsidRPr="00911008">
        <w:rPr>
          <w:rFonts w:ascii="Arial" w:eastAsia="SimSun" w:hAnsi="Arial" w:cs="Arial"/>
          <w:bCs/>
          <w:sz w:val="22"/>
          <w:szCs w:val="22"/>
          <w:lang w:val="fr-FR" w:eastAsia="en-US"/>
        </w:rPr>
        <w:t>inscription</w:t>
      </w:r>
      <w:r>
        <w:rPr>
          <w:rFonts w:ascii="Arial" w:eastAsia="SimSun" w:hAnsi="Arial" w:cs="Arial"/>
          <w:bCs/>
          <w:sz w:val="22"/>
          <w:szCs w:val="22"/>
          <w:lang w:val="fr-FR" w:eastAsia="en-US"/>
        </w:rPr>
        <w:t>,</w:t>
      </w:r>
      <w:r w:rsidRPr="00911008">
        <w:rPr>
          <w:rFonts w:ascii="Arial" w:eastAsia="SimSun" w:hAnsi="Arial" w:cs="Arial"/>
          <w:bCs/>
          <w:sz w:val="22"/>
          <w:szCs w:val="22"/>
          <w:lang w:val="fr-FR" w:eastAsia="en-US"/>
        </w:rPr>
        <w:t xml:space="preserve"> et c</w:t>
      </w:r>
      <w:r>
        <w:rPr>
          <w:rFonts w:ascii="Arial" w:eastAsia="SimSun" w:hAnsi="Arial" w:cs="Arial"/>
          <w:bCs/>
          <w:sz w:val="22"/>
          <w:szCs w:val="22"/>
          <w:lang w:val="fr-FR" w:eastAsia="en-US"/>
        </w:rPr>
        <w:t>ela avait été</w:t>
      </w:r>
      <w:r w:rsidRPr="00911008">
        <w:rPr>
          <w:rFonts w:ascii="Arial" w:eastAsia="SimSun" w:hAnsi="Arial" w:cs="Arial"/>
          <w:bCs/>
          <w:sz w:val="22"/>
          <w:szCs w:val="22"/>
          <w:lang w:val="fr-FR" w:eastAsia="en-US"/>
        </w:rPr>
        <w:t xml:space="preserve"> un grand honneur personnel pour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w:t>
      </w:r>
      <w:r w:rsidRPr="00911008">
        <w:rPr>
          <w:rFonts w:ascii="Arial" w:eastAsia="SimSun" w:hAnsi="Arial" w:cs="Arial"/>
          <w:bCs/>
          <w:sz w:val="22"/>
          <w:szCs w:val="22"/>
          <w:lang w:val="fr-FR" w:eastAsia="en-US"/>
        </w:rPr>
        <w:t>mbassadeur de présider cette réunion. Le Japon a</w:t>
      </w:r>
      <w:r>
        <w:rPr>
          <w:rFonts w:ascii="Arial" w:eastAsia="SimSun" w:hAnsi="Arial" w:cs="Arial"/>
          <w:bCs/>
          <w:sz w:val="22"/>
          <w:szCs w:val="22"/>
          <w:lang w:val="fr-FR" w:eastAsia="en-US"/>
        </w:rPr>
        <w:t>vait</w:t>
      </w:r>
      <w:r w:rsidRPr="00911008">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achevé</w:t>
      </w:r>
      <w:r w:rsidRPr="00911008">
        <w:rPr>
          <w:rFonts w:ascii="Arial" w:eastAsia="SimSun" w:hAnsi="Arial" w:cs="Arial"/>
          <w:bCs/>
          <w:sz w:val="22"/>
          <w:szCs w:val="22"/>
          <w:lang w:val="fr-FR" w:eastAsia="en-US"/>
        </w:rPr>
        <w:t xml:space="preserve"> son mandat en tant que membre du Comité mais continuera</w:t>
      </w:r>
      <w:r>
        <w:rPr>
          <w:rFonts w:ascii="Arial" w:eastAsia="SimSun" w:hAnsi="Arial" w:cs="Arial"/>
          <w:bCs/>
          <w:sz w:val="22"/>
          <w:szCs w:val="22"/>
          <w:lang w:val="fr-FR" w:eastAsia="en-US"/>
        </w:rPr>
        <w:t>it</w:t>
      </w:r>
      <w:r w:rsidRPr="00911008">
        <w:rPr>
          <w:rFonts w:ascii="Arial" w:eastAsia="SimSun" w:hAnsi="Arial" w:cs="Arial"/>
          <w:bCs/>
          <w:sz w:val="22"/>
          <w:szCs w:val="22"/>
          <w:lang w:val="fr-FR" w:eastAsia="en-US"/>
        </w:rPr>
        <w:t xml:space="preserve"> à s</w:t>
      </w:r>
      <w:r w:rsidR="008E532B">
        <w:rPr>
          <w:rFonts w:ascii="Arial" w:eastAsia="SimSun" w:hAnsi="Arial" w:cs="Arial"/>
          <w:bCs/>
          <w:sz w:val="22"/>
          <w:szCs w:val="22"/>
          <w:lang w:val="fr-FR" w:eastAsia="en-US"/>
        </w:rPr>
        <w:t>’</w:t>
      </w:r>
      <w:r w:rsidRPr="00911008">
        <w:rPr>
          <w:rFonts w:ascii="Arial" w:eastAsia="SimSun" w:hAnsi="Arial" w:cs="Arial"/>
          <w:bCs/>
          <w:sz w:val="22"/>
          <w:szCs w:val="22"/>
          <w:lang w:val="fr-FR" w:eastAsia="en-US"/>
        </w:rPr>
        <w:t>impliquer activement dans le Comité</w:t>
      </w:r>
      <w:r>
        <w:rPr>
          <w:rFonts w:ascii="Arial" w:eastAsia="SimSun" w:hAnsi="Arial" w:cs="Arial"/>
          <w:bCs/>
          <w:sz w:val="22"/>
          <w:szCs w:val="22"/>
          <w:lang w:val="fr-FR" w:eastAsia="en-US"/>
        </w:rPr>
        <w:t>,</w:t>
      </w:r>
      <w:r w:rsidRPr="00911008">
        <w:rPr>
          <w:rFonts w:ascii="Arial" w:eastAsia="SimSun" w:hAnsi="Arial" w:cs="Arial"/>
          <w:bCs/>
          <w:sz w:val="22"/>
          <w:szCs w:val="22"/>
          <w:lang w:val="fr-FR" w:eastAsia="en-US"/>
        </w:rPr>
        <w:t xml:space="preserve"> car il esp</w:t>
      </w:r>
      <w:r>
        <w:rPr>
          <w:rFonts w:ascii="Arial" w:eastAsia="SimSun" w:hAnsi="Arial" w:cs="Arial"/>
          <w:bCs/>
          <w:sz w:val="22"/>
          <w:szCs w:val="22"/>
          <w:lang w:val="fr-FR" w:eastAsia="en-US"/>
        </w:rPr>
        <w:t>érait</w:t>
      </w:r>
      <w:r w:rsidRPr="00911008">
        <w:rPr>
          <w:rFonts w:ascii="Arial" w:eastAsia="SimSun" w:hAnsi="Arial" w:cs="Arial"/>
          <w:bCs/>
          <w:sz w:val="22"/>
          <w:szCs w:val="22"/>
          <w:lang w:val="fr-FR" w:eastAsia="en-US"/>
        </w:rPr>
        <w:t xml:space="preserve"> que les discussions de cette session ser</w:t>
      </w:r>
      <w:r>
        <w:rPr>
          <w:rFonts w:ascii="Arial" w:eastAsia="SimSun" w:hAnsi="Arial" w:cs="Arial"/>
          <w:bCs/>
          <w:sz w:val="22"/>
          <w:szCs w:val="22"/>
          <w:lang w:val="fr-FR" w:eastAsia="en-US"/>
        </w:rPr>
        <w:t>aie</w:t>
      </w:r>
      <w:r w:rsidRPr="00911008">
        <w:rPr>
          <w:rFonts w:ascii="Arial" w:eastAsia="SimSun" w:hAnsi="Arial" w:cs="Arial"/>
          <w:bCs/>
          <w:sz w:val="22"/>
          <w:szCs w:val="22"/>
          <w:lang w:val="fr-FR" w:eastAsia="en-US"/>
        </w:rPr>
        <w:t>nt fructueuses.</w:t>
      </w:r>
    </w:p>
    <w:p w14:paraId="5E237EF1" w14:textId="0D04B276" w:rsidR="00D9653F" w:rsidRPr="00FD16CF"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FD16CF">
        <w:rPr>
          <w:rFonts w:ascii="Arial" w:eastAsia="SimSun" w:hAnsi="Arial" w:cs="Arial"/>
          <w:bCs/>
          <w:sz w:val="22"/>
          <w:szCs w:val="22"/>
          <w:lang w:val="fr-FR" w:eastAsia="en-US"/>
        </w:rPr>
        <w:t xml:space="preserve">La délégation </w:t>
      </w:r>
      <w:r>
        <w:rPr>
          <w:rFonts w:ascii="Arial" w:eastAsia="SimSun" w:hAnsi="Arial" w:cs="Arial"/>
          <w:bCs/>
          <w:sz w:val="22"/>
          <w:szCs w:val="22"/>
          <w:lang w:val="fr-FR" w:eastAsia="en-US"/>
        </w:rPr>
        <w:t xml:space="preserve">de la </w:t>
      </w:r>
      <w:r w:rsidRPr="00FD16CF">
        <w:rPr>
          <w:rFonts w:ascii="Arial" w:eastAsia="SimSun" w:hAnsi="Arial" w:cs="Arial"/>
          <w:b/>
          <w:sz w:val="22"/>
          <w:szCs w:val="22"/>
          <w:lang w:val="fr-FR" w:eastAsia="en-US"/>
        </w:rPr>
        <w:t>Finlande</w:t>
      </w:r>
      <w:r>
        <w:rPr>
          <w:rFonts w:ascii="Arial" w:eastAsia="SimSun" w:hAnsi="Arial" w:cs="Arial"/>
          <w:bCs/>
          <w:sz w:val="22"/>
          <w:szCs w:val="22"/>
          <w:lang w:val="fr-FR" w:eastAsia="en-US"/>
        </w:rPr>
        <w:t xml:space="preserve"> </w:t>
      </w:r>
      <w:r w:rsidRPr="00FD16CF">
        <w:rPr>
          <w:rFonts w:ascii="Arial" w:eastAsia="SimSun" w:hAnsi="Arial" w:cs="Arial"/>
          <w:bCs/>
          <w:sz w:val="22"/>
          <w:szCs w:val="22"/>
          <w:lang w:val="fr-FR" w:eastAsia="en-US"/>
        </w:rPr>
        <w:t>a remercié le Secrétariat pour l</w:t>
      </w:r>
      <w:r w:rsidR="008E532B">
        <w:rPr>
          <w:rFonts w:ascii="Arial" w:eastAsia="SimSun" w:hAnsi="Arial" w:cs="Arial"/>
          <w:bCs/>
          <w:sz w:val="22"/>
          <w:szCs w:val="22"/>
          <w:lang w:val="fr-FR" w:eastAsia="en-US"/>
        </w:rPr>
        <w:t>’</w:t>
      </w:r>
      <w:r w:rsidRPr="00FD16CF">
        <w:rPr>
          <w:rFonts w:ascii="Arial" w:eastAsia="SimSun" w:hAnsi="Arial" w:cs="Arial"/>
          <w:bCs/>
          <w:sz w:val="22"/>
          <w:szCs w:val="22"/>
          <w:lang w:val="fr-FR" w:eastAsia="en-US"/>
        </w:rPr>
        <w:t xml:space="preserve">organisation de cette réunion ainsi que le Secrétariat et le Comité pour le bon travail accompli ces dernières années malgré les circonstances difficiles. En même temps, de nouvelles façons de travailler ensemble, principalement en ligne, </w:t>
      </w:r>
      <w:r>
        <w:rPr>
          <w:rFonts w:ascii="Arial" w:eastAsia="SimSun" w:hAnsi="Arial" w:cs="Arial"/>
          <w:bCs/>
          <w:sz w:val="22"/>
          <w:szCs w:val="22"/>
          <w:lang w:val="fr-FR" w:eastAsia="en-US"/>
        </w:rPr>
        <w:t>avaient</w:t>
      </w:r>
      <w:r w:rsidRPr="00FD16CF">
        <w:rPr>
          <w:rFonts w:ascii="Arial" w:eastAsia="SimSun" w:hAnsi="Arial" w:cs="Arial"/>
          <w:bCs/>
          <w:sz w:val="22"/>
          <w:szCs w:val="22"/>
          <w:lang w:val="fr-FR" w:eastAsia="en-US"/>
        </w:rPr>
        <w:t xml:space="preserve"> été introduites et le Secrétariat a</w:t>
      </w:r>
      <w:r>
        <w:rPr>
          <w:rFonts w:ascii="Arial" w:eastAsia="SimSun" w:hAnsi="Arial" w:cs="Arial"/>
          <w:bCs/>
          <w:sz w:val="22"/>
          <w:szCs w:val="22"/>
          <w:lang w:val="fr-FR" w:eastAsia="en-US"/>
        </w:rPr>
        <w:t>vait</w:t>
      </w:r>
      <w:r w:rsidRPr="00FD16CF">
        <w:rPr>
          <w:rFonts w:ascii="Arial" w:eastAsia="SimSun" w:hAnsi="Arial" w:cs="Arial"/>
          <w:bCs/>
          <w:sz w:val="22"/>
          <w:szCs w:val="22"/>
          <w:lang w:val="fr-FR" w:eastAsia="en-US"/>
        </w:rPr>
        <w:t xml:space="preserve"> réagi rapidement à la pandémie et introduit des outils numériques qui améliorer</w:t>
      </w:r>
      <w:r>
        <w:rPr>
          <w:rFonts w:ascii="Arial" w:eastAsia="SimSun" w:hAnsi="Arial" w:cs="Arial"/>
          <w:bCs/>
          <w:sz w:val="22"/>
          <w:szCs w:val="22"/>
          <w:lang w:val="fr-FR" w:eastAsia="en-US"/>
        </w:rPr>
        <w:t>aie</w:t>
      </w:r>
      <w:r w:rsidRPr="00FD16CF">
        <w:rPr>
          <w:rFonts w:ascii="Arial" w:eastAsia="SimSun" w:hAnsi="Arial" w:cs="Arial"/>
          <w:bCs/>
          <w:sz w:val="22"/>
          <w:szCs w:val="22"/>
          <w:lang w:val="fr-FR" w:eastAsia="en-US"/>
        </w:rPr>
        <w:t>nt le travail de la Convention à l</w:t>
      </w:r>
      <w:r w:rsidR="008E532B">
        <w:rPr>
          <w:rFonts w:ascii="Arial" w:eastAsia="SimSun" w:hAnsi="Arial" w:cs="Arial"/>
          <w:bCs/>
          <w:sz w:val="22"/>
          <w:szCs w:val="22"/>
          <w:lang w:val="fr-FR" w:eastAsia="en-US"/>
        </w:rPr>
        <w:t>’</w:t>
      </w:r>
      <w:r w:rsidRPr="00FD16CF">
        <w:rPr>
          <w:rFonts w:ascii="Arial" w:eastAsia="SimSun" w:hAnsi="Arial" w:cs="Arial"/>
          <w:bCs/>
          <w:sz w:val="22"/>
          <w:szCs w:val="22"/>
          <w:lang w:val="fr-FR" w:eastAsia="en-US"/>
        </w:rPr>
        <w:t>avenir. Ces nouvelles possibilités rend</w:t>
      </w:r>
      <w:r>
        <w:rPr>
          <w:rFonts w:ascii="Arial" w:eastAsia="SimSun" w:hAnsi="Arial" w:cs="Arial"/>
          <w:bCs/>
          <w:sz w:val="22"/>
          <w:szCs w:val="22"/>
          <w:lang w:val="fr-FR" w:eastAsia="en-US"/>
        </w:rPr>
        <w:t>ai</w:t>
      </w:r>
      <w:r w:rsidRPr="00FD16CF">
        <w:rPr>
          <w:rFonts w:ascii="Arial" w:eastAsia="SimSun" w:hAnsi="Arial" w:cs="Arial"/>
          <w:bCs/>
          <w:sz w:val="22"/>
          <w:szCs w:val="22"/>
          <w:lang w:val="fr-FR" w:eastAsia="en-US"/>
        </w:rPr>
        <w:t>ent le monde plus petit et contribu</w:t>
      </w:r>
      <w:r>
        <w:rPr>
          <w:rFonts w:ascii="Arial" w:eastAsia="SimSun" w:hAnsi="Arial" w:cs="Arial"/>
          <w:bCs/>
          <w:sz w:val="22"/>
          <w:szCs w:val="22"/>
          <w:lang w:val="fr-FR" w:eastAsia="en-US"/>
        </w:rPr>
        <w:t>ai</w:t>
      </w:r>
      <w:r w:rsidRPr="00FD16CF">
        <w:rPr>
          <w:rFonts w:ascii="Arial" w:eastAsia="SimSun" w:hAnsi="Arial" w:cs="Arial"/>
          <w:bCs/>
          <w:sz w:val="22"/>
          <w:szCs w:val="22"/>
          <w:lang w:val="fr-FR" w:eastAsia="en-US"/>
        </w:rPr>
        <w:t>ent à stimuler la mise en œuvre de la Convention à de nombreux niveaux. La délégation a remercié le Secrétariat pour son rapport détaillé qui</w:t>
      </w:r>
      <w:r>
        <w:rPr>
          <w:rFonts w:ascii="Arial" w:eastAsia="SimSun" w:hAnsi="Arial" w:cs="Arial"/>
          <w:bCs/>
          <w:sz w:val="22"/>
          <w:szCs w:val="22"/>
          <w:lang w:val="fr-FR" w:eastAsia="en-US"/>
        </w:rPr>
        <w:t xml:space="preserve"> </w:t>
      </w:r>
      <w:r w:rsidRPr="00FD16CF">
        <w:rPr>
          <w:rFonts w:ascii="Arial" w:eastAsia="SimSun" w:hAnsi="Arial" w:cs="Arial"/>
          <w:bCs/>
          <w:sz w:val="22"/>
          <w:szCs w:val="22"/>
          <w:lang w:val="fr-FR" w:eastAsia="en-US"/>
        </w:rPr>
        <w:t>révél</w:t>
      </w:r>
      <w:r>
        <w:rPr>
          <w:rFonts w:ascii="Arial" w:eastAsia="SimSun" w:hAnsi="Arial" w:cs="Arial"/>
          <w:bCs/>
          <w:sz w:val="22"/>
          <w:szCs w:val="22"/>
          <w:lang w:val="fr-FR" w:eastAsia="en-US"/>
        </w:rPr>
        <w:t>ait</w:t>
      </w:r>
      <w:r w:rsidRPr="00FD16CF">
        <w:rPr>
          <w:rFonts w:ascii="Arial" w:eastAsia="SimSun" w:hAnsi="Arial" w:cs="Arial"/>
          <w:bCs/>
          <w:sz w:val="22"/>
          <w:szCs w:val="22"/>
          <w:lang w:val="fr-FR" w:eastAsia="en-US"/>
        </w:rPr>
        <w:t xml:space="preserve"> son travail </w:t>
      </w:r>
      <w:r>
        <w:rPr>
          <w:rFonts w:ascii="Arial" w:eastAsia="SimSun" w:hAnsi="Arial" w:cs="Arial"/>
          <w:bCs/>
          <w:sz w:val="22"/>
          <w:szCs w:val="22"/>
          <w:lang w:val="fr-FR" w:eastAsia="en-US"/>
        </w:rPr>
        <w:t>ambitieux et très varié</w:t>
      </w:r>
      <w:r w:rsidRPr="00FD16CF">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Elle</w:t>
      </w:r>
      <w:r w:rsidRPr="00FD16CF">
        <w:rPr>
          <w:rFonts w:ascii="Arial" w:eastAsia="SimSun" w:hAnsi="Arial" w:cs="Arial"/>
          <w:bCs/>
          <w:sz w:val="22"/>
          <w:szCs w:val="22"/>
          <w:lang w:val="fr-FR" w:eastAsia="en-US"/>
        </w:rPr>
        <w:t xml:space="preserve"> a également souligné </w:t>
      </w:r>
      <w:r>
        <w:rPr>
          <w:rFonts w:ascii="Arial" w:eastAsia="SimSun" w:hAnsi="Arial" w:cs="Arial"/>
          <w:bCs/>
          <w:sz w:val="22"/>
          <w:szCs w:val="22"/>
          <w:lang w:val="fr-FR" w:eastAsia="en-US"/>
        </w:rPr>
        <w:t>le</w:t>
      </w:r>
      <w:r w:rsidRPr="00FD16CF">
        <w:rPr>
          <w:rFonts w:ascii="Arial" w:eastAsia="SimSun" w:hAnsi="Arial" w:cs="Arial"/>
          <w:bCs/>
          <w:sz w:val="22"/>
          <w:szCs w:val="22"/>
          <w:lang w:val="fr-FR" w:eastAsia="en-US"/>
        </w:rPr>
        <w:t xml:space="preserve"> rôle important </w:t>
      </w:r>
      <w:r>
        <w:rPr>
          <w:rFonts w:ascii="Arial" w:eastAsia="SimSun" w:hAnsi="Arial" w:cs="Arial"/>
          <w:bCs/>
          <w:sz w:val="22"/>
          <w:szCs w:val="22"/>
          <w:lang w:val="fr-FR" w:eastAsia="en-US"/>
        </w:rPr>
        <w:t xml:space="preserve">du </w:t>
      </w:r>
      <w:r w:rsidRPr="00FD16CF">
        <w:rPr>
          <w:rFonts w:ascii="Arial" w:eastAsia="SimSun" w:hAnsi="Arial" w:cs="Arial"/>
          <w:bCs/>
          <w:sz w:val="22"/>
          <w:szCs w:val="22"/>
          <w:lang w:val="fr-FR" w:eastAsia="en-US"/>
        </w:rPr>
        <w:t>Secréta</w:t>
      </w:r>
      <w:r>
        <w:rPr>
          <w:rFonts w:ascii="Arial" w:eastAsia="SimSun" w:hAnsi="Arial" w:cs="Arial"/>
          <w:bCs/>
          <w:sz w:val="22"/>
          <w:szCs w:val="22"/>
          <w:lang w:val="fr-FR" w:eastAsia="en-US"/>
        </w:rPr>
        <w:t xml:space="preserve">riat </w:t>
      </w:r>
      <w:r w:rsidRPr="00FD16CF">
        <w:rPr>
          <w:rFonts w:ascii="Arial" w:eastAsia="SimSun" w:hAnsi="Arial" w:cs="Arial"/>
          <w:bCs/>
          <w:sz w:val="22"/>
          <w:szCs w:val="22"/>
          <w:lang w:val="fr-FR" w:eastAsia="en-US"/>
        </w:rPr>
        <w:t xml:space="preserve">dans le soutien </w:t>
      </w:r>
      <w:r>
        <w:rPr>
          <w:rFonts w:ascii="Arial" w:eastAsia="SimSun" w:hAnsi="Arial" w:cs="Arial"/>
          <w:bCs/>
          <w:sz w:val="22"/>
          <w:szCs w:val="22"/>
          <w:lang w:val="fr-FR" w:eastAsia="en-US"/>
        </w:rPr>
        <w:t>à</w:t>
      </w:r>
      <w:r w:rsidRPr="00FD16CF">
        <w:rPr>
          <w:rFonts w:ascii="Arial" w:eastAsia="SimSun" w:hAnsi="Arial" w:cs="Arial"/>
          <w:bCs/>
          <w:sz w:val="22"/>
          <w:szCs w:val="22"/>
          <w:lang w:val="fr-FR" w:eastAsia="en-US"/>
        </w:rPr>
        <w:t xml:space="preserve"> la mise en œuvre de la Convention, et la délégation appréci</w:t>
      </w:r>
      <w:r>
        <w:rPr>
          <w:rFonts w:ascii="Arial" w:eastAsia="SimSun" w:hAnsi="Arial" w:cs="Arial"/>
          <w:bCs/>
          <w:sz w:val="22"/>
          <w:szCs w:val="22"/>
          <w:lang w:val="fr-FR" w:eastAsia="en-US"/>
        </w:rPr>
        <w:t>ait tout particulièrement</w:t>
      </w:r>
      <w:r w:rsidRPr="00FD16CF">
        <w:rPr>
          <w:rFonts w:ascii="Arial" w:eastAsia="SimSun" w:hAnsi="Arial" w:cs="Arial"/>
          <w:bCs/>
          <w:sz w:val="22"/>
          <w:szCs w:val="22"/>
          <w:lang w:val="fr-FR" w:eastAsia="en-US"/>
        </w:rPr>
        <w:t xml:space="preserve"> le travail </w:t>
      </w:r>
      <w:r>
        <w:rPr>
          <w:rFonts w:ascii="Arial" w:eastAsia="SimSun" w:hAnsi="Arial" w:cs="Arial"/>
          <w:bCs/>
          <w:sz w:val="22"/>
          <w:szCs w:val="22"/>
          <w:lang w:val="fr-FR" w:eastAsia="en-US"/>
        </w:rPr>
        <w:t xml:space="preserve">réalisé </w:t>
      </w:r>
      <w:r w:rsidRPr="00FD16CF">
        <w:rPr>
          <w:rFonts w:ascii="Arial" w:eastAsia="SimSun" w:hAnsi="Arial" w:cs="Arial"/>
          <w:bCs/>
          <w:sz w:val="22"/>
          <w:szCs w:val="22"/>
          <w:lang w:val="fr-FR" w:eastAsia="en-US"/>
        </w:rPr>
        <w:t>sur les rapports périodiques. Les résultats et les taux de soumission impressionnants, proches de 90</w:t>
      </w:r>
      <w:r>
        <w:rPr>
          <w:rFonts w:ascii="Arial" w:eastAsia="SimSun" w:hAnsi="Arial" w:cs="Arial"/>
          <w:bCs/>
          <w:sz w:val="22"/>
          <w:szCs w:val="22"/>
          <w:lang w:val="fr-FR" w:eastAsia="en-US"/>
        </w:rPr>
        <w:t> %</w:t>
      </w:r>
      <w:r w:rsidRPr="00FD16CF">
        <w:rPr>
          <w:rFonts w:ascii="Arial" w:eastAsia="SimSun" w:hAnsi="Arial" w:cs="Arial"/>
          <w:bCs/>
          <w:sz w:val="22"/>
          <w:szCs w:val="22"/>
          <w:lang w:val="fr-FR" w:eastAsia="en-US"/>
        </w:rPr>
        <w:t>, montr</w:t>
      </w:r>
      <w:r>
        <w:rPr>
          <w:rFonts w:ascii="Arial" w:eastAsia="SimSun" w:hAnsi="Arial" w:cs="Arial"/>
          <w:bCs/>
          <w:sz w:val="22"/>
          <w:szCs w:val="22"/>
          <w:lang w:val="fr-FR" w:eastAsia="en-US"/>
        </w:rPr>
        <w:t>ai</w:t>
      </w:r>
      <w:r w:rsidRPr="00FD16CF">
        <w:rPr>
          <w:rFonts w:ascii="Arial" w:eastAsia="SimSun" w:hAnsi="Arial" w:cs="Arial"/>
          <w:bCs/>
          <w:sz w:val="22"/>
          <w:szCs w:val="22"/>
          <w:lang w:val="fr-FR" w:eastAsia="en-US"/>
        </w:rPr>
        <w:t xml:space="preserve">ent clairement que le nouveau système de </w:t>
      </w:r>
      <w:r>
        <w:rPr>
          <w:rFonts w:ascii="Arial" w:eastAsia="SimSun" w:hAnsi="Arial" w:cs="Arial"/>
          <w:bCs/>
          <w:sz w:val="22"/>
          <w:szCs w:val="22"/>
          <w:lang w:val="fr-FR" w:eastAsia="en-US"/>
        </w:rPr>
        <w:t xml:space="preserve">soumission de </w:t>
      </w:r>
      <w:r w:rsidRPr="00FD16CF">
        <w:rPr>
          <w:rFonts w:ascii="Arial" w:eastAsia="SimSun" w:hAnsi="Arial" w:cs="Arial"/>
          <w:bCs/>
          <w:sz w:val="22"/>
          <w:szCs w:val="22"/>
          <w:lang w:val="fr-FR" w:eastAsia="en-US"/>
        </w:rPr>
        <w:t>rapports périodiques fonctionn</w:t>
      </w:r>
      <w:r>
        <w:rPr>
          <w:rFonts w:ascii="Arial" w:eastAsia="SimSun" w:hAnsi="Arial" w:cs="Arial"/>
          <w:bCs/>
          <w:sz w:val="22"/>
          <w:szCs w:val="22"/>
          <w:lang w:val="fr-FR" w:eastAsia="en-US"/>
        </w:rPr>
        <w:t>ait</w:t>
      </w:r>
      <w:r w:rsidRPr="00FD16CF">
        <w:rPr>
          <w:rFonts w:ascii="Arial" w:eastAsia="SimSun" w:hAnsi="Arial" w:cs="Arial"/>
          <w:bCs/>
          <w:sz w:val="22"/>
          <w:szCs w:val="22"/>
          <w:lang w:val="fr-FR" w:eastAsia="en-US"/>
        </w:rPr>
        <w:t xml:space="preserve">. Le travail des points focaux avait été considérable et stimulant, mais </w:t>
      </w:r>
      <w:r w:rsidRPr="00FD16CF">
        <w:rPr>
          <w:rFonts w:ascii="Arial" w:eastAsia="SimSun" w:hAnsi="Arial" w:cs="Arial"/>
          <w:bCs/>
          <w:color w:val="000000" w:themeColor="text1"/>
          <w:sz w:val="22"/>
          <w:szCs w:val="22"/>
          <w:lang w:val="fr-FR" w:eastAsia="en-US"/>
        </w:rPr>
        <w:t>également</w:t>
      </w:r>
      <w:r w:rsidRPr="00FD16CF">
        <w:rPr>
          <w:rFonts w:ascii="Arial" w:eastAsia="SimSun" w:hAnsi="Arial" w:cs="Arial"/>
          <w:bCs/>
          <w:sz w:val="22"/>
          <w:szCs w:val="22"/>
          <w:lang w:val="fr-FR" w:eastAsia="en-US"/>
        </w:rPr>
        <w:t xml:space="preserve"> gratifiant à bien des égards, en aidant les États parties à mieux comprendre les exigences de la Convention et les actions nécessaires pour sauvegarder efficacement le </w:t>
      </w:r>
      <w:r w:rsidR="00E908E2">
        <w:rPr>
          <w:rFonts w:ascii="Arial" w:eastAsia="SimSun" w:hAnsi="Arial" w:cs="Arial"/>
          <w:bCs/>
          <w:sz w:val="22"/>
          <w:szCs w:val="22"/>
          <w:lang w:val="fr-FR" w:eastAsia="en-US"/>
        </w:rPr>
        <w:t>patrimoine culturel immatériel</w:t>
      </w:r>
      <w:r w:rsidRPr="00FD16CF">
        <w:rPr>
          <w:rFonts w:ascii="Arial" w:eastAsia="SimSun" w:hAnsi="Arial" w:cs="Arial"/>
          <w:bCs/>
          <w:sz w:val="22"/>
          <w:szCs w:val="22"/>
          <w:lang w:val="fr-FR" w:eastAsia="en-US"/>
        </w:rPr>
        <w:t xml:space="preserve">. La formation sur les rapports périodiques avait été organisée avec succès, même pendant la pandémie, et avait permis de rapprocher les points focaux. </w:t>
      </w:r>
      <w:r>
        <w:rPr>
          <w:rFonts w:ascii="Arial" w:eastAsia="SimSun" w:hAnsi="Arial" w:cs="Arial"/>
          <w:bCs/>
          <w:sz w:val="22"/>
          <w:szCs w:val="22"/>
          <w:lang w:val="fr-FR" w:eastAsia="en-US"/>
        </w:rPr>
        <w:t>En témoignait l</w:t>
      </w:r>
      <w:r w:rsidRPr="00FD16CF">
        <w:rPr>
          <w:rFonts w:ascii="Arial" w:eastAsia="SimSun" w:hAnsi="Arial" w:cs="Arial"/>
          <w:bCs/>
          <w:sz w:val="22"/>
          <w:szCs w:val="22"/>
          <w:lang w:val="fr-FR" w:eastAsia="en-US"/>
        </w:rPr>
        <w:t>e réseau européen de points focaux pour la Convention créé en 2021 à l</w:t>
      </w:r>
      <w:r w:rsidR="008E532B">
        <w:rPr>
          <w:rFonts w:ascii="Arial" w:eastAsia="SimSun" w:hAnsi="Arial" w:cs="Arial"/>
          <w:bCs/>
          <w:sz w:val="22"/>
          <w:szCs w:val="22"/>
          <w:lang w:val="fr-FR" w:eastAsia="en-US"/>
        </w:rPr>
        <w:t>’</w:t>
      </w:r>
      <w:r w:rsidRPr="00FD16CF">
        <w:rPr>
          <w:rFonts w:ascii="Arial" w:eastAsia="SimSun" w:hAnsi="Arial" w:cs="Arial"/>
          <w:bCs/>
          <w:sz w:val="22"/>
          <w:szCs w:val="22"/>
          <w:lang w:val="fr-FR" w:eastAsia="en-US"/>
        </w:rPr>
        <w:t>initiative de l</w:t>
      </w:r>
      <w:r w:rsidR="008E532B">
        <w:rPr>
          <w:rFonts w:ascii="Arial" w:eastAsia="SimSun" w:hAnsi="Arial" w:cs="Arial"/>
          <w:bCs/>
          <w:sz w:val="22"/>
          <w:szCs w:val="22"/>
          <w:lang w:val="fr-FR" w:eastAsia="en-US"/>
        </w:rPr>
        <w:t>’</w:t>
      </w:r>
      <w:r w:rsidRPr="00FD16CF">
        <w:rPr>
          <w:rFonts w:ascii="Arial" w:eastAsia="SimSun" w:hAnsi="Arial" w:cs="Arial"/>
          <w:bCs/>
          <w:sz w:val="22"/>
          <w:szCs w:val="22"/>
          <w:lang w:val="fr-FR" w:eastAsia="en-US"/>
        </w:rPr>
        <w:t>Italie et de la Finlande, et qui reli</w:t>
      </w:r>
      <w:r>
        <w:rPr>
          <w:rFonts w:ascii="Arial" w:eastAsia="SimSun" w:hAnsi="Arial" w:cs="Arial"/>
          <w:bCs/>
          <w:sz w:val="22"/>
          <w:szCs w:val="22"/>
          <w:lang w:val="fr-FR" w:eastAsia="en-US"/>
        </w:rPr>
        <w:t>ait</w:t>
      </w:r>
      <w:r w:rsidRPr="00FD16CF">
        <w:rPr>
          <w:rFonts w:ascii="Arial" w:eastAsia="SimSun" w:hAnsi="Arial" w:cs="Arial"/>
          <w:bCs/>
          <w:sz w:val="22"/>
          <w:szCs w:val="22"/>
          <w:lang w:val="fr-FR" w:eastAsia="en-US"/>
        </w:rPr>
        <w:t xml:space="preserve"> désormais des collègues dans toute l</w:t>
      </w:r>
      <w:r w:rsidR="008E532B">
        <w:rPr>
          <w:rFonts w:ascii="Arial" w:eastAsia="SimSun" w:hAnsi="Arial" w:cs="Arial"/>
          <w:bCs/>
          <w:sz w:val="22"/>
          <w:szCs w:val="22"/>
          <w:lang w:val="fr-FR" w:eastAsia="en-US"/>
        </w:rPr>
        <w:t>’</w:t>
      </w:r>
      <w:r w:rsidRPr="00FD16CF">
        <w:rPr>
          <w:rFonts w:ascii="Arial" w:eastAsia="SimSun" w:hAnsi="Arial" w:cs="Arial"/>
          <w:bCs/>
          <w:sz w:val="22"/>
          <w:szCs w:val="22"/>
          <w:lang w:val="fr-FR" w:eastAsia="en-US"/>
        </w:rPr>
        <w:t>Europe.</w:t>
      </w:r>
    </w:p>
    <w:p w14:paraId="12C9CC4E" w14:textId="4D75A39A" w:rsidR="00D9653F" w:rsidRPr="008B21F5"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8B21F5">
        <w:rPr>
          <w:rFonts w:ascii="Arial" w:eastAsia="SimSun" w:hAnsi="Arial" w:cs="Arial"/>
          <w:bCs/>
          <w:sz w:val="22"/>
          <w:szCs w:val="22"/>
          <w:lang w:val="fr-FR" w:eastAsia="en-US"/>
        </w:rPr>
        <w:t>La délégation</w:t>
      </w:r>
      <w:r>
        <w:rPr>
          <w:rFonts w:ascii="Arial" w:eastAsia="SimSun" w:hAnsi="Arial" w:cs="Arial"/>
          <w:bCs/>
          <w:sz w:val="22"/>
          <w:szCs w:val="22"/>
          <w:lang w:val="fr-FR" w:eastAsia="en-US"/>
        </w:rPr>
        <w:t xml:space="preserve"> de la </w:t>
      </w:r>
      <w:r w:rsidRPr="00D1627B">
        <w:rPr>
          <w:rFonts w:ascii="Arial" w:eastAsia="SimSun" w:hAnsi="Arial" w:cs="Arial"/>
          <w:b/>
          <w:sz w:val="22"/>
          <w:szCs w:val="22"/>
          <w:lang w:val="fr-FR" w:eastAsia="en-US"/>
        </w:rPr>
        <w:t>Finlande</w:t>
      </w:r>
      <w:r w:rsidRPr="008B21F5">
        <w:rPr>
          <w:rFonts w:ascii="Arial" w:eastAsia="SimSun" w:hAnsi="Arial" w:cs="Arial"/>
          <w:bCs/>
          <w:sz w:val="22"/>
          <w:szCs w:val="22"/>
          <w:lang w:val="fr-FR" w:eastAsia="en-US"/>
        </w:rPr>
        <w:t xml:space="preserve"> a également pris note du travail </w:t>
      </w:r>
      <w:r>
        <w:rPr>
          <w:rFonts w:ascii="Arial" w:eastAsia="SimSun" w:hAnsi="Arial" w:cs="Arial"/>
          <w:bCs/>
          <w:sz w:val="22"/>
          <w:szCs w:val="22"/>
          <w:lang w:val="fr-FR" w:eastAsia="en-US"/>
        </w:rPr>
        <w:t>réalisé</w:t>
      </w:r>
      <w:r w:rsidRPr="008B21F5">
        <w:rPr>
          <w:rFonts w:ascii="Arial" w:eastAsia="SimSun" w:hAnsi="Arial" w:cs="Arial"/>
          <w:bCs/>
          <w:sz w:val="22"/>
          <w:szCs w:val="22"/>
          <w:lang w:val="fr-FR" w:eastAsia="en-US"/>
        </w:rPr>
        <w:t xml:space="preserve"> sur les initiatives thématiques, soulignant les contributions à la question du patrimoine vivant et du développement durable. Ce travail </w:t>
      </w:r>
      <w:r>
        <w:rPr>
          <w:rFonts w:ascii="Arial" w:eastAsia="SimSun" w:hAnsi="Arial" w:cs="Arial"/>
          <w:bCs/>
          <w:sz w:val="22"/>
          <w:szCs w:val="22"/>
          <w:lang w:val="fr-FR" w:eastAsia="en-US"/>
        </w:rPr>
        <w:t xml:space="preserve">était </w:t>
      </w:r>
      <w:r w:rsidRPr="008B21F5">
        <w:rPr>
          <w:rFonts w:ascii="Arial" w:eastAsia="SimSun" w:hAnsi="Arial" w:cs="Arial"/>
          <w:bCs/>
          <w:sz w:val="22"/>
          <w:szCs w:val="22"/>
          <w:lang w:val="fr-FR" w:eastAsia="en-US"/>
        </w:rPr>
        <w:t xml:space="preserve">urgent et tous les États parties </w:t>
      </w:r>
      <w:r>
        <w:rPr>
          <w:rFonts w:ascii="Arial" w:eastAsia="SimSun" w:hAnsi="Arial" w:cs="Arial"/>
          <w:bCs/>
          <w:sz w:val="22"/>
          <w:szCs w:val="22"/>
          <w:lang w:val="fr-FR" w:eastAsia="en-US"/>
        </w:rPr>
        <w:t xml:space="preserve">devaient </w:t>
      </w:r>
      <w:r w:rsidRPr="008B21F5">
        <w:rPr>
          <w:rFonts w:ascii="Arial" w:eastAsia="SimSun" w:hAnsi="Arial" w:cs="Arial"/>
          <w:bCs/>
          <w:sz w:val="22"/>
          <w:szCs w:val="22"/>
          <w:lang w:val="fr-FR" w:eastAsia="en-US"/>
        </w:rPr>
        <w:t>agir maintenant. En effet, le Programme 2030 et la construction d</w:t>
      </w:r>
      <w:r w:rsidR="008E532B">
        <w:rPr>
          <w:rFonts w:ascii="Arial" w:eastAsia="SimSun" w:hAnsi="Arial" w:cs="Arial"/>
          <w:bCs/>
          <w:sz w:val="22"/>
          <w:szCs w:val="22"/>
          <w:lang w:val="fr-FR" w:eastAsia="en-US"/>
        </w:rPr>
        <w:t>’</w:t>
      </w:r>
      <w:r w:rsidRPr="008B21F5">
        <w:rPr>
          <w:rFonts w:ascii="Arial" w:eastAsia="SimSun" w:hAnsi="Arial" w:cs="Arial"/>
          <w:bCs/>
          <w:sz w:val="22"/>
          <w:szCs w:val="22"/>
          <w:lang w:val="fr-FR" w:eastAsia="en-US"/>
        </w:rPr>
        <w:t>un avenir durable devraient être au cœur de tous les efforts</w:t>
      </w:r>
      <w:r>
        <w:rPr>
          <w:rFonts w:ascii="Arial" w:eastAsia="SimSun" w:hAnsi="Arial" w:cs="Arial"/>
          <w:bCs/>
          <w:sz w:val="22"/>
          <w:szCs w:val="22"/>
          <w:lang w:val="fr-FR" w:eastAsia="en-US"/>
        </w:rPr>
        <w:t xml:space="preserve"> et, pour ce faire, </w:t>
      </w:r>
      <w:r w:rsidRPr="008B21F5">
        <w:rPr>
          <w:rFonts w:ascii="Arial" w:eastAsia="SimSun" w:hAnsi="Arial" w:cs="Arial"/>
          <w:bCs/>
          <w:sz w:val="22"/>
          <w:szCs w:val="22"/>
          <w:lang w:val="fr-FR" w:eastAsia="en-US"/>
        </w:rPr>
        <w:t xml:space="preserve">les États membres </w:t>
      </w:r>
      <w:r>
        <w:rPr>
          <w:rFonts w:ascii="Arial" w:eastAsia="SimSun" w:hAnsi="Arial" w:cs="Arial"/>
          <w:bCs/>
          <w:sz w:val="22"/>
          <w:szCs w:val="22"/>
          <w:lang w:val="fr-FR" w:eastAsia="en-US"/>
        </w:rPr>
        <w:t>avaient</w:t>
      </w:r>
      <w:r w:rsidRPr="008B21F5">
        <w:rPr>
          <w:rFonts w:ascii="Arial" w:eastAsia="SimSun" w:hAnsi="Arial" w:cs="Arial"/>
          <w:bCs/>
          <w:sz w:val="22"/>
          <w:szCs w:val="22"/>
          <w:lang w:val="fr-FR" w:eastAsia="en-US"/>
        </w:rPr>
        <w:t xml:space="preserve"> besoin d</w:t>
      </w:r>
      <w:r w:rsidR="008E532B">
        <w:rPr>
          <w:rFonts w:ascii="Arial" w:eastAsia="SimSun" w:hAnsi="Arial" w:cs="Arial"/>
          <w:bCs/>
          <w:sz w:val="22"/>
          <w:szCs w:val="22"/>
          <w:lang w:val="fr-FR" w:eastAsia="en-US"/>
        </w:rPr>
        <w:t>’</w:t>
      </w:r>
      <w:r w:rsidRPr="008B21F5">
        <w:rPr>
          <w:rFonts w:ascii="Arial" w:eastAsia="SimSun" w:hAnsi="Arial" w:cs="Arial"/>
          <w:bCs/>
          <w:sz w:val="22"/>
          <w:szCs w:val="22"/>
          <w:lang w:val="fr-FR" w:eastAsia="en-US"/>
        </w:rPr>
        <w:t>outils, de conseils et de bonnes pratiques. La délégation souhait</w:t>
      </w:r>
      <w:r>
        <w:rPr>
          <w:rFonts w:ascii="Arial" w:eastAsia="SimSun" w:hAnsi="Arial" w:cs="Arial"/>
          <w:bCs/>
          <w:sz w:val="22"/>
          <w:szCs w:val="22"/>
          <w:lang w:val="fr-FR" w:eastAsia="en-US"/>
        </w:rPr>
        <w:t>ait</w:t>
      </w:r>
      <w:r w:rsidRPr="008B21F5">
        <w:rPr>
          <w:rFonts w:ascii="Arial" w:eastAsia="SimSun" w:hAnsi="Arial" w:cs="Arial"/>
          <w:bCs/>
          <w:sz w:val="22"/>
          <w:szCs w:val="22"/>
          <w:lang w:val="fr-FR" w:eastAsia="en-US"/>
        </w:rPr>
        <w:t xml:space="preserve"> en savoir plus</w:t>
      </w:r>
      <w:r>
        <w:rPr>
          <w:rFonts w:ascii="Arial" w:eastAsia="SimSun" w:hAnsi="Arial" w:cs="Arial"/>
          <w:bCs/>
          <w:sz w:val="22"/>
          <w:szCs w:val="22"/>
          <w:lang w:val="fr-FR" w:eastAsia="en-US"/>
        </w:rPr>
        <w:t xml:space="preserve"> sur,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une part,</w:t>
      </w:r>
      <w:r w:rsidRPr="008B21F5">
        <w:rPr>
          <w:rFonts w:ascii="Arial" w:eastAsia="SimSun" w:hAnsi="Arial" w:cs="Arial"/>
          <w:bCs/>
          <w:sz w:val="22"/>
          <w:szCs w:val="22"/>
          <w:lang w:val="fr-FR" w:eastAsia="en-US"/>
        </w:rPr>
        <w:t xml:space="preserve"> les notes conceptuelles</w:t>
      </w:r>
      <w:r>
        <w:rPr>
          <w:rFonts w:ascii="Arial" w:eastAsia="SimSun" w:hAnsi="Arial" w:cs="Arial"/>
          <w:bCs/>
          <w:sz w:val="22"/>
          <w:szCs w:val="22"/>
          <w:lang w:val="fr-FR" w:eastAsia="en-US"/>
        </w:rPr>
        <w:t xml:space="preserve">, en cours de préparation par le </w:t>
      </w:r>
      <w:r w:rsidRPr="00690786">
        <w:rPr>
          <w:rFonts w:ascii="Arial" w:eastAsia="SimSun" w:hAnsi="Arial" w:cs="Arial"/>
          <w:bCs/>
          <w:sz w:val="22"/>
          <w:szCs w:val="22"/>
          <w:lang w:val="fr-FR" w:eastAsia="en-US"/>
        </w:rPr>
        <w:t>Secréta</w:t>
      </w:r>
      <w:r>
        <w:rPr>
          <w:rFonts w:ascii="Arial" w:eastAsia="SimSun" w:hAnsi="Arial" w:cs="Arial"/>
          <w:bCs/>
          <w:sz w:val="22"/>
          <w:szCs w:val="22"/>
          <w:lang w:val="fr-FR" w:eastAsia="en-US"/>
        </w:rPr>
        <w:t>riat, sur le</w:t>
      </w:r>
      <w:r w:rsidRPr="008B21F5">
        <w:rPr>
          <w:rFonts w:ascii="Arial" w:eastAsia="SimSun" w:hAnsi="Arial" w:cs="Arial"/>
          <w:bCs/>
          <w:sz w:val="22"/>
          <w:szCs w:val="22"/>
          <w:lang w:val="fr-FR" w:eastAsia="en-US"/>
        </w:rPr>
        <w:t xml:space="preserv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8B21F5">
        <w:rPr>
          <w:rFonts w:ascii="Arial" w:eastAsia="SimSun" w:hAnsi="Arial" w:cs="Arial"/>
          <w:bCs/>
          <w:sz w:val="22"/>
          <w:szCs w:val="22"/>
          <w:lang w:val="fr-FR" w:eastAsia="en-US"/>
        </w:rPr>
        <w:t>et le changement climatique, les dimensions économiques et les contextes urbains</w:t>
      </w:r>
      <w:r>
        <w:rPr>
          <w:rFonts w:ascii="Arial" w:eastAsia="SimSun" w:hAnsi="Arial" w:cs="Arial"/>
          <w:bCs/>
          <w:sz w:val="22"/>
          <w:szCs w:val="22"/>
          <w:lang w:val="fr-FR" w:eastAsia="en-US"/>
        </w:rPr>
        <w:t>, et,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autre part,</w:t>
      </w:r>
      <w:r w:rsidRPr="008B21F5">
        <w:rPr>
          <w:rFonts w:ascii="Arial" w:eastAsia="SimSun" w:hAnsi="Arial" w:cs="Arial"/>
          <w:bCs/>
          <w:sz w:val="22"/>
          <w:szCs w:val="22"/>
          <w:lang w:val="fr-FR" w:eastAsia="en-US"/>
        </w:rPr>
        <w:t xml:space="preserve"> ses projets concernant MONDIACULT. Elle </w:t>
      </w:r>
      <w:r>
        <w:rPr>
          <w:rFonts w:ascii="Arial" w:eastAsia="SimSun" w:hAnsi="Arial" w:cs="Arial"/>
          <w:bCs/>
          <w:sz w:val="22"/>
          <w:szCs w:val="22"/>
          <w:lang w:val="fr-FR" w:eastAsia="en-US"/>
        </w:rPr>
        <w:t>était</w:t>
      </w:r>
      <w:r w:rsidRPr="008B21F5">
        <w:rPr>
          <w:rFonts w:ascii="Arial" w:eastAsia="SimSun" w:hAnsi="Arial" w:cs="Arial"/>
          <w:bCs/>
          <w:sz w:val="22"/>
          <w:szCs w:val="22"/>
          <w:lang w:val="fr-FR" w:eastAsia="en-US"/>
        </w:rPr>
        <w:t xml:space="preserve"> également</w:t>
      </w:r>
      <w:r>
        <w:rPr>
          <w:rFonts w:ascii="Arial" w:eastAsia="SimSun" w:hAnsi="Arial" w:cs="Arial"/>
          <w:bCs/>
          <w:sz w:val="22"/>
          <w:szCs w:val="22"/>
          <w:lang w:val="fr-FR" w:eastAsia="en-US"/>
        </w:rPr>
        <w:t xml:space="preserve"> </w:t>
      </w:r>
      <w:r w:rsidRPr="008B21F5">
        <w:rPr>
          <w:rFonts w:ascii="Arial" w:eastAsia="SimSun" w:hAnsi="Arial" w:cs="Arial"/>
          <w:bCs/>
          <w:sz w:val="22"/>
          <w:szCs w:val="22"/>
          <w:lang w:val="fr-FR" w:eastAsia="en-US"/>
        </w:rPr>
        <w:t xml:space="preserve">reconnaissante pour le travail du MOOC axé sur la durabilité. </w:t>
      </w:r>
      <w:r>
        <w:rPr>
          <w:rFonts w:ascii="Arial" w:eastAsia="SimSun" w:hAnsi="Arial" w:cs="Arial"/>
          <w:bCs/>
          <w:sz w:val="22"/>
          <w:szCs w:val="22"/>
          <w:lang w:val="fr-FR" w:eastAsia="en-US"/>
        </w:rPr>
        <w:t>L</w:t>
      </w:r>
      <w:r w:rsidRPr="008B21F5">
        <w:rPr>
          <w:rFonts w:ascii="Arial" w:eastAsia="SimSun" w:hAnsi="Arial" w:cs="Arial"/>
          <w:bCs/>
          <w:sz w:val="22"/>
          <w:szCs w:val="22"/>
          <w:lang w:val="fr-FR" w:eastAsia="en-US"/>
        </w:rPr>
        <w:t xml:space="preserve">a Finlande </w:t>
      </w:r>
      <w:r>
        <w:rPr>
          <w:rFonts w:ascii="Arial" w:eastAsia="SimSun" w:hAnsi="Arial" w:cs="Arial"/>
          <w:bCs/>
          <w:sz w:val="22"/>
          <w:szCs w:val="22"/>
          <w:lang w:val="fr-FR" w:eastAsia="en-US"/>
        </w:rPr>
        <w:t xml:space="preserve">était en train de </w:t>
      </w:r>
      <w:r w:rsidRPr="008B21F5">
        <w:rPr>
          <w:rFonts w:ascii="Arial" w:eastAsia="SimSun" w:hAnsi="Arial" w:cs="Arial"/>
          <w:bCs/>
          <w:sz w:val="22"/>
          <w:szCs w:val="22"/>
          <w:lang w:val="fr-FR" w:eastAsia="en-US"/>
        </w:rPr>
        <w:t>travaille</w:t>
      </w:r>
      <w:r>
        <w:rPr>
          <w:rFonts w:ascii="Arial" w:eastAsia="SimSun" w:hAnsi="Arial" w:cs="Arial"/>
          <w:bCs/>
          <w:sz w:val="22"/>
          <w:szCs w:val="22"/>
          <w:lang w:val="fr-FR" w:eastAsia="en-US"/>
        </w:rPr>
        <w:t>r</w:t>
      </w:r>
      <w:r w:rsidRPr="008B21F5">
        <w:rPr>
          <w:rFonts w:ascii="Arial" w:eastAsia="SimSun" w:hAnsi="Arial" w:cs="Arial"/>
          <w:bCs/>
          <w:sz w:val="22"/>
          <w:szCs w:val="22"/>
          <w:lang w:val="fr-FR" w:eastAsia="en-US"/>
        </w:rPr>
        <w:t xml:space="preserve"> sur le projet triennal </w:t>
      </w:r>
      <w:r>
        <w:rPr>
          <w:rFonts w:ascii="Arial" w:eastAsia="SimSun" w:hAnsi="Arial" w:cs="Arial"/>
          <w:bCs/>
          <w:sz w:val="22"/>
          <w:szCs w:val="22"/>
          <w:lang w:val="fr-FR" w:eastAsia="en-US"/>
        </w:rPr>
        <w:t>« </w:t>
      </w:r>
      <w:r w:rsidRPr="000B31CD">
        <w:rPr>
          <w:rFonts w:ascii="Arial" w:eastAsia="SimSun" w:hAnsi="Arial" w:cs="Arial"/>
          <w:bCs/>
          <w:sz w:val="22"/>
          <w:szCs w:val="22"/>
          <w:lang w:val="fr-FR" w:eastAsia="en-US"/>
        </w:rPr>
        <w:t xml:space="preserve">LIVIND, Creative and living cultural </w:t>
      </w:r>
      <w:proofErr w:type="spellStart"/>
      <w:r w:rsidRPr="000B31CD">
        <w:rPr>
          <w:rFonts w:ascii="Arial" w:eastAsia="SimSun" w:hAnsi="Arial" w:cs="Arial"/>
          <w:bCs/>
          <w:sz w:val="22"/>
          <w:szCs w:val="22"/>
          <w:lang w:val="fr-FR" w:eastAsia="en-US"/>
        </w:rPr>
        <w:t>heritage</w:t>
      </w:r>
      <w:proofErr w:type="spellEnd"/>
      <w:r w:rsidRPr="000B31CD">
        <w:rPr>
          <w:rFonts w:ascii="Arial" w:eastAsia="SimSun" w:hAnsi="Arial" w:cs="Arial"/>
          <w:bCs/>
          <w:sz w:val="22"/>
          <w:szCs w:val="22"/>
          <w:lang w:val="fr-FR" w:eastAsia="en-US"/>
        </w:rPr>
        <w:t xml:space="preserve"> as a </w:t>
      </w:r>
      <w:proofErr w:type="spellStart"/>
      <w:r w:rsidRPr="000B31CD">
        <w:rPr>
          <w:rFonts w:ascii="Arial" w:eastAsia="SimSun" w:hAnsi="Arial" w:cs="Arial"/>
          <w:bCs/>
          <w:sz w:val="22"/>
          <w:szCs w:val="22"/>
          <w:lang w:val="fr-FR" w:eastAsia="en-US"/>
        </w:rPr>
        <w:t>resource</w:t>
      </w:r>
      <w:proofErr w:type="spellEnd"/>
      <w:r w:rsidRPr="000B31CD">
        <w:rPr>
          <w:rFonts w:ascii="Arial" w:eastAsia="SimSun" w:hAnsi="Arial" w:cs="Arial"/>
          <w:bCs/>
          <w:sz w:val="22"/>
          <w:szCs w:val="22"/>
          <w:lang w:val="fr-FR" w:eastAsia="en-US"/>
        </w:rPr>
        <w:t xml:space="preserve"> for the </w:t>
      </w:r>
      <w:proofErr w:type="spellStart"/>
      <w:r w:rsidRPr="000B31CD">
        <w:rPr>
          <w:rFonts w:ascii="Arial" w:eastAsia="SimSun" w:hAnsi="Arial" w:cs="Arial"/>
          <w:bCs/>
          <w:sz w:val="22"/>
          <w:szCs w:val="22"/>
          <w:lang w:val="fr-FR" w:eastAsia="en-US"/>
        </w:rPr>
        <w:t>Northern</w:t>
      </w:r>
      <w:proofErr w:type="spellEnd"/>
      <w:r w:rsidRPr="000B31CD">
        <w:rPr>
          <w:rFonts w:ascii="Arial" w:eastAsia="SimSun" w:hAnsi="Arial" w:cs="Arial"/>
          <w:bCs/>
          <w:sz w:val="22"/>
          <w:szCs w:val="22"/>
          <w:lang w:val="fr-FR" w:eastAsia="en-US"/>
        </w:rPr>
        <w:t xml:space="preserve"> Dimension </w:t>
      </w:r>
      <w:proofErr w:type="spellStart"/>
      <w:r w:rsidRPr="000B31CD">
        <w:rPr>
          <w:rFonts w:ascii="Arial" w:eastAsia="SimSun" w:hAnsi="Arial" w:cs="Arial"/>
          <w:bCs/>
          <w:sz w:val="22"/>
          <w:szCs w:val="22"/>
          <w:lang w:val="fr-FR" w:eastAsia="en-US"/>
        </w:rPr>
        <w:t>region</w:t>
      </w:r>
      <w:proofErr w:type="spellEnd"/>
      <w:r>
        <w:rPr>
          <w:rFonts w:ascii="Arial" w:eastAsia="SimSun" w:hAnsi="Arial" w:cs="Arial"/>
          <w:bCs/>
          <w:sz w:val="22"/>
          <w:szCs w:val="22"/>
          <w:lang w:val="fr-FR" w:eastAsia="en-US"/>
        </w:rPr>
        <w:t> »</w:t>
      </w:r>
      <w:r>
        <w:rPr>
          <w:rStyle w:val="FootnoteReference"/>
          <w:rFonts w:ascii="Arial" w:eastAsia="SimSun" w:hAnsi="Arial" w:cs="Arial"/>
          <w:bCs/>
          <w:sz w:val="22"/>
          <w:szCs w:val="22"/>
          <w:lang w:val="fr-FR" w:eastAsia="en-US"/>
        </w:rPr>
        <w:footnoteReference w:id="18"/>
      </w:r>
      <w:r>
        <w:rPr>
          <w:rFonts w:ascii="Arial" w:eastAsia="SimSun" w:hAnsi="Arial" w:cs="Arial"/>
          <w:bCs/>
          <w:sz w:val="22"/>
          <w:szCs w:val="22"/>
          <w:lang w:val="fr-FR" w:eastAsia="en-US"/>
        </w:rPr>
        <w:t xml:space="preserve"> (LIVIND, Patrimoine créatif et vivant en tant que ressource pour la région concernée par la dimension septentrionale)</w:t>
      </w:r>
      <w:r w:rsidRPr="008B21F5">
        <w:rPr>
          <w:rFonts w:ascii="Arial" w:eastAsia="SimSun" w:hAnsi="Arial" w:cs="Arial"/>
          <w:bCs/>
          <w:sz w:val="22"/>
          <w:szCs w:val="22"/>
          <w:lang w:val="fr-FR" w:eastAsia="en-US"/>
        </w:rPr>
        <w:t xml:space="preserve"> qui rassemble neuf pays de la région nordique et dont les résultats ser</w:t>
      </w:r>
      <w:r>
        <w:rPr>
          <w:rFonts w:ascii="Arial" w:eastAsia="SimSun" w:hAnsi="Arial" w:cs="Arial"/>
          <w:bCs/>
          <w:sz w:val="22"/>
          <w:szCs w:val="22"/>
          <w:lang w:val="fr-FR" w:eastAsia="en-US"/>
        </w:rPr>
        <w:t>aie</w:t>
      </w:r>
      <w:r w:rsidRPr="008B21F5">
        <w:rPr>
          <w:rFonts w:ascii="Arial" w:eastAsia="SimSun" w:hAnsi="Arial" w:cs="Arial"/>
          <w:bCs/>
          <w:sz w:val="22"/>
          <w:szCs w:val="22"/>
          <w:lang w:val="fr-FR" w:eastAsia="en-US"/>
        </w:rPr>
        <w:t xml:space="preserve">nt partagés au niveau mondial. La délégation a remercié le Secrétariat pour son travail de communication et de sensibilisation. Un objectif commun aux États parties de sa région en 2023 </w:t>
      </w:r>
      <w:r>
        <w:rPr>
          <w:rFonts w:ascii="Arial" w:eastAsia="SimSun" w:hAnsi="Arial" w:cs="Arial"/>
          <w:bCs/>
          <w:sz w:val="22"/>
          <w:szCs w:val="22"/>
          <w:lang w:val="fr-FR" w:eastAsia="en-US"/>
        </w:rPr>
        <w:t>était</w:t>
      </w:r>
      <w:r w:rsidRPr="008B21F5">
        <w:rPr>
          <w:rFonts w:ascii="Arial" w:eastAsia="SimSun" w:hAnsi="Arial" w:cs="Arial"/>
          <w:bCs/>
          <w:sz w:val="22"/>
          <w:szCs w:val="22"/>
          <w:lang w:val="fr-FR" w:eastAsia="en-US"/>
        </w:rPr>
        <w:t xml:space="preserve"> de mettre en avant les </w:t>
      </w:r>
      <w:r>
        <w:rPr>
          <w:rFonts w:ascii="Arial" w:eastAsia="SimSun" w:hAnsi="Arial" w:cs="Arial"/>
          <w:bCs/>
          <w:sz w:val="22"/>
          <w:szCs w:val="22"/>
          <w:lang w:val="fr-FR" w:eastAsia="en-US"/>
        </w:rPr>
        <w:t>« </w:t>
      </w:r>
      <w:r w:rsidRPr="008B21F5">
        <w:rPr>
          <w:rFonts w:ascii="Arial" w:eastAsia="SimSun" w:hAnsi="Arial" w:cs="Arial"/>
          <w:bCs/>
          <w:sz w:val="22"/>
          <w:szCs w:val="22"/>
          <w:lang w:val="fr-FR" w:eastAsia="en-US"/>
        </w:rPr>
        <w:t>Journées européennes du patrimoine</w:t>
      </w:r>
      <w:r>
        <w:rPr>
          <w:rFonts w:ascii="Arial" w:eastAsia="SimSun" w:hAnsi="Arial" w:cs="Arial"/>
          <w:bCs/>
          <w:sz w:val="22"/>
          <w:szCs w:val="22"/>
          <w:lang w:val="fr-FR" w:eastAsia="en-US"/>
        </w:rPr>
        <w:t> »</w:t>
      </w:r>
      <w:r>
        <w:rPr>
          <w:rStyle w:val="FootnoteReference"/>
          <w:rFonts w:ascii="Arial" w:eastAsia="SimSun" w:hAnsi="Arial" w:cs="Arial"/>
          <w:bCs/>
          <w:sz w:val="22"/>
          <w:szCs w:val="22"/>
          <w:lang w:val="fr-FR" w:eastAsia="en-US"/>
        </w:rPr>
        <w:footnoteReference w:id="19"/>
      </w:r>
      <w:r w:rsidRPr="008B21F5">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une initiative du Conseil de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Europe, </w:t>
      </w:r>
      <w:r w:rsidRPr="008B21F5">
        <w:rPr>
          <w:rFonts w:ascii="Arial" w:eastAsia="SimSun" w:hAnsi="Arial" w:cs="Arial"/>
          <w:bCs/>
          <w:sz w:val="22"/>
          <w:szCs w:val="22"/>
          <w:lang w:val="fr-FR" w:eastAsia="en-US"/>
        </w:rPr>
        <w:t xml:space="preserve">sur le thème du </w:t>
      </w:r>
      <w:r>
        <w:rPr>
          <w:rFonts w:ascii="Arial" w:eastAsia="SimSun" w:hAnsi="Arial" w:cs="Arial"/>
          <w:bCs/>
          <w:sz w:val="22"/>
          <w:szCs w:val="22"/>
          <w:lang w:val="fr-FR" w:eastAsia="en-US"/>
        </w:rPr>
        <w:t>« </w:t>
      </w:r>
      <w:r w:rsidRPr="008B21F5">
        <w:rPr>
          <w:rFonts w:ascii="Arial" w:eastAsia="SimSun" w:hAnsi="Arial" w:cs="Arial"/>
          <w:bCs/>
          <w:sz w:val="22"/>
          <w:szCs w:val="22"/>
          <w:lang w:val="fr-FR" w:eastAsia="en-US"/>
        </w:rPr>
        <w:t>patrimoine vivant</w:t>
      </w:r>
      <w:r>
        <w:rPr>
          <w:rFonts w:ascii="Arial" w:eastAsia="SimSun" w:hAnsi="Arial" w:cs="Arial"/>
          <w:bCs/>
          <w:sz w:val="22"/>
          <w:szCs w:val="22"/>
          <w:lang w:val="fr-FR" w:eastAsia="en-US"/>
        </w:rPr>
        <w:t> »</w:t>
      </w:r>
      <w:r w:rsidRPr="008B21F5">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C</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était </w:t>
      </w:r>
      <w:r w:rsidRPr="008B21F5">
        <w:rPr>
          <w:rFonts w:ascii="Arial" w:eastAsia="SimSun" w:hAnsi="Arial" w:cs="Arial"/>
          <w:bCs/>
          <w:sz w:val="22"/>
          <w:szCs w:val="22"/>
          <w:lang w:val="fr-FR" w:eastAsia="en-US"/>
        </w:rPr>
        <w:t>une façon concrète d</w:t>
      </w:r>
      <w:r>
        <w:rPr>
          <w:rFonts w:ascii="Arial" w:eastAsia="SimSun" w:hAnsi="Arial" w:cs="Arial"/>
          <w:bCs/>
          <w:sz w:val="22"/>
          <w:szCs w:val="22"/>
          <w:lang w:val="fr-FR" w:eastAsia="en-US"/>
        </w:rPr>
        <w:t xml:space="preserve">e rendre </w:t>
      </w:r>
      <w:r w:rsidRPr="008B21F5">
        <w:rPr>
          <w:rFonts w:ascii="Arial" w:eastAsia="SimSun" w:hAnsi="Arial" w:cs="Arial"/>
          <w:bCs/>
          <w:sz w:val="22"/>
          <w:szCs w:val="22"/>
          <w:lang w:val="fr-FR" w:eastAsia="en-US"/>
        </w:rPr>
        <w:t xml:space="preserve">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plus visible </w:t>
      </w:r>
      <w:r w:rsidRPr="008B21F5">
        <w:rPr>
          <w:rFonts w:ascii="Arial" w:eastAsia="SimSun" w:hAnsi="Arial" w:cs="Arial"/>
          <w:bCs/>
          <w:sz w:val="22"/>
          <w:szCs w:val="22"/>
          <w:lang w:val="fr-FR" w:eastAsia="en-US"/>
        </w:rPr>
        <w:t>dans l</w:t>
      </w:r>
      <w:r w:rsidR="008E532B">
        <w:rPr>
          <w:rFonts w:ascii="Arial" w:eastAsia="SimSun" w:hAnsi="Arial" w:cs="Arial"/>
          <w:bCs/>
          <w:sz w:val="22"/>
          <w:szCs w:val="22"/>
          <w:lang w:val="fr-FR" w:eastAsia="en-US"/>
        </w:rPr>
        <w:t>’</w:t>
      </w:r>
      <w:r w:rsidRPr="008B21F5">
        <w:rPr>
          <w:rFonts w:ascii="Arial" w:eastAsia="SimSun" w:hAnsi="Arial" w:cs="Arial"/>
          <w:bCs/>
          <w:sz w:val="22"/>
          <w:szCs w:val="22"/>
          <w:lang w:val="fr-FR" w:eastAsia="en-US"/>
        </w:rPr>
        <w:t xml:space="preserve">agenda européen et de créer des synergies. La délégation a conclu </w:t>
      </w:r>
      <w:r>
        <w:rPr>
          <w:rFonts w:ascii="Arial" w:eastAsia="SimSun" w:hAnsi="Arial" w:cs="Arial"/>
          <w:bCs/>
          <w:sz w:val="22"/>
          <w:szCs w:val="22"/>
          <w:lang w:val="fr-FR" w:eastAsia="en-US"/>
        </w:rPr>
        <w:t xml:space="preserve">son </w:t>
      </w:r>
      <w:r w:rsidRPr="00D1627B">
        <w:rPr>
          <w:rFonts w:ascii="Arial" w:eastAsia="SimSun" w:hAnsi="Arial" w:cs="Arial"/>
          <w:bCs/>
          <w:sz w:val="22"/>
          <w:szCs w:val="22"/>
          <w:lang w:val="fr-FR" w:eastAsia="en-US"/>
        </w:rPr>
        <w:t>intervention</w:t>
      </w:r>
      <w:r>
        <w:rPr>
          <w:rFonts w:ascii="Arial" w:eastAsia="SimSun" w:hAnsi="Arial" w:cs="Arial"/>
          <w:bCs/>
          <w:sz w:val="22"/>
          <w:szCs w:val="22"/>
          <w:lang w:val="fr-FR" w:eastAsia="en-US"/>
        </w:rPr>
        <w:t xml:space="preserve"> </w:t>
      </w:r>
      <w:r w:rsidRPr="008B21F5">
        <w:rPr>
          <w:rFonts w:ascii="Arial" w:eastAsia="SimSun" w:hAnsi="Arial" w:cs="Arial"/>
          <w:bCs/>
          <w:sz w:val="22"/>
          <w:szCs w:val="22"/>
          <w:lang w:val="fr-FR" w:eastAsia="en-US"/>
        </w:rPr>
        <w:t xml:space="preserve">en soulignant les efforts </w:t>
      </w:r>
      <w:r>
        <w:rPr>
          <w:rFonts w:ascii="Arial" w:eastAsia="SimSun" w:hAnsi="Arial" w:cs="Arial"/>
          <w:bCs/>
          <w:sz w:val="22"/>
          <w:szCs w:val="22"/>
          <w:lang w:val="fr-FR" w:eastAsia="en-US"/>
        </w:rPr>
        <w:t>déployés par les</w:t>
      </w:r>
      <w:r w:rsidRPr="008B21F5">
        <w:rPr>
          <w:rFonts w:ascii="Arial" w:eastAsia="SimSun" w:hAnsi="Arial" w:cs="Arial"/>
          <w:bCs/>
          <w:sz w:val="22"/>
          <w:szCs w:val="22"/>
          <w:lang w:val="fr-FR" w:eastAsia="en-US"/>
        </w:rPr>
        <w:t xml:space="preserve"> ONG accréditées et </w:t>
      </w:r>
      <w:r>
        <w:rPr>
          <w:rFonts w:ascii="Arial" w:eastAsia="SimSun" w:hAnsi="Arial" w:cs="Arial"/>
          <w:bCs/>
          <w:sz w:val="22"/>
          <w:szCs w:val="22"/>
          <w:lang w:val="fr-FR" w:eastAsia="en-US"/>
        </w:rPr>
        <w:t>le</w:t>
      </w:r>
      <w:r w:rsidRPr="008B21F5">
        <w:rPr>
          <w:rFonts w:ascii="Arial" w:eastAsia="SimSun" w:hAnsi="Arial" w:cs="Arial"/>
          <w:bCs/>
          <w:sz w:val="22"/>
          <w:szCs w:val="22"/>
          <w:lang w:val="fr-FR" w:eastAsia="en-US"/>
        </w:rPr>
        <w:t xml:space="preserve"> Forum des ONG du PCI </w:t>
      </w:r>
      <w:r>
        <w:rPr>
          <w:rFonts w:ascii="Arial" w:eastAsia="SimSun" w:hAnsi="Arial" w:cs="Arial"/>
          <w:bCs/>
          <w:sz w:val="22"/>
          <w:szCs w:val="22"/>
          <w:lang w:val="fr-FR" w:eastAsia="en-US"/>
        </w:rPr>
        <w:t>afin de</w:t>
      </w:r>
      <w:r w:rsidRPr="008B21F5">
        <w:rPr>
          <w:rFonts w:ascii="Arial" w:eastAsia="SimSun" w:hAnsi="Arial" w:cs="Arial"/>
          <w:bCs/>
          <w:sz w:val="22"/>
          <w:szCs w:val="22"/>
          <w:lang w:val="fr-FR" w:eastAsia="en-US"/>
        </w:rPr>
        <w:t xml:space="preserve"> soutenir la mise en œuvre de la Convention, et elle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est</w:t>
      </w:r>
      <w:r w:rsidRPr="008B21F5">
        <w:rPr>
          <w:rFonts w:ascii="Arial" w:eastAsia="SimSun" w:hAnsi="Arial" w:cs="Arial"/>
          <w:bCs/>
          <w:sz w:val="22"/>
          <w:szCs w:val="22"/>
          <w:lang w:val="fr-FR" w:eastAsia="en-US"/>
        </w:rPr>
        <w:t xml:space="preserve"> félicit</w:t>
      </w:r>
      <w:r>
        <w:rPr>
          <w:rFonts w:ascii="Arial" w:eastAsia="SimSun" w:hAnsi="Arial" w:cs="Arial"/>
          <w:bCs/>
          <w:sz w:val="22"/>
          <w:szCs w:val="22"/>
          <w:lang w:val="fr-FR" w:eastAsia="en-US"/>
        </w:rPr>
        <w:t>é</w:t>
      </w:r>
      <w:r w:rsidRPr="008B21F5">
        <w:rPr>
          <w:rFonts w:ascii="Arial" w:eastAsia="SimSun" w:hAnsi="Arial" w:cs="Arial"/>
          <w:bCs/>
          <w:sz w:val="22"/>
          <w:szCs w:val="22"/>
          <w:lang w:val="fr-FR" w:eastAsia="en-US"/>
        </w:rPr>
        <w:t>e de la réflexion en cours sur leur rôle et la manière dont elles peuvent participer aux mécanismes de la Convention.</w:t>
      </w:r>
    </w:p>
    <w:p w14:paraId="62AF7D43" w14:textId="3019B996" w:rsidR="00D9653F" w:rsidRPr="0073694E"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73694E">
        <w:rPr>
          <w:rFonts w:ascii="Arial" w:eastAsia="SimSun" w:hAnsi="Arial" w:cs="Arial"/>
          <w:bCs/>
          <w:sz w:val="22"/>
          <w:szCs w:val="22"/>
          <w:lang w:val="fr-FR" w:eastAsia="en-US"/>
        </w:rPr>
        <w:t xml:space="preserve">La délégation de la </w:t>
      </w:r>
      <w:r w:rsidRPr="0073694E">
        <w:rPr>
          <w:rFonts w:ascii="Arial" w:eastAsia="SimSun" w:hAnsi="Arial" w:cs="Arial"/>
          <w:b/>
          <w:sz w:val="22"/>
          <w:szCs w:val="22"/>
          <w:lang w:val="fr-FR" w:eastAsia="en-US"/>
        </w:rPr>
        <w:t>France</w:t>
      </w:r>
      <w:r w:rsidRPr="0073694E">
        <w:rPr>
          <w:rFonts w:ascii="Arial" w:eastAsia="SimSun" w:hAnsi="Arial" w:cs="Arial"/>
          <w:bCs/>
          <w:sz w:val="22"/>
          <w:szCs w:val="22"/>
          <w:lang w:val="fr-FR" w:eastAsia="en-US"/>
        </w:rPr>
        <w:t xml:space="preserve"> a félicité la Présidente pour son élection et les membres du Bureau. Elle a remercié le Secrétariat et le Comité pour leurs rapports couvrant l</w:t>
      </w:r>
      <w:r w:rsidR="008E532B">
        <w:rPr>
          <w:rFonts w:ascii="Arial" w:eastAsia="SimSun" w:hAnsi="Arial" w:cs="Arial"/>
          <w:bCs/>
          <w:sz w:val="22"/>
          <w:szCs w:val="22"/>
          <w:lang w:val="fr-FR" w:eastAsia="en-US"/>
        </w:rPr>
        <w:t>’</w:t>
      </w:r>
      <w:r w:rsidRPr="0073694E">
        <w:rPr>
          <w:rFonts w:ascii="Arial" w:eastAsia="SimSun" w:hAnsi="Arial" w:cs="Arial"/>
          <w:bCs/>
          <w:sz w:val="22"/>
          <w:szCs w:val="22"/>
          <w:lang w:val="fr-FR" w:eastAsia="en-US"/>
        </w:rPr>
        <w:t xml:space="preserve">exercice </w:t>
      </w:r>
      <w:r>
        <w:rPr>
          <w:rFonts w:ascii="Arial" w:eastAsia="SimSun" w:hAnsi="Arial" w:cs="Arial"/>
          <w:bCs/>
          <w:sz w:val="22"/>
          <w:szCs w:val="22"/>
          <w:lang w:val="fr-FR" w:eastAsia="en-US"/>
        </w:rPr>
        <w:t xml:space="preserve">biennal </w:t>
      </w:r>
      <w:r w:rsidRPr="0073694E">
        <w:rPr>
          <w:rFonts w:ascii="Arial" w:eastAsia="SimSun" w:hAnsi="Arial" w:cs="Arial"/>
          <w:bCs/>
          <w:sz w:val="22"/>
          <w:szCs w:val="22"/>
          <w:lang w:val="fr-FR" w:eastAsia="en-US"/>
        </w:rPr>
        <w:t>2020</w:t>
      </w:r>
      <w:r>
        <w:rPr>
          <w:rFonts w:ascii="Arial" w:eastAsia="SimSun" w:hAnsi="Arial" w:cs="Arial"/>
          <w:bCs/>
          <w:sz w:val="22"/>
          <w:szCs w:val="22"/>
          <w:lang w:val="fr-FR" w:eastAsia="en-US"/>
        </w:rPr>
        <w:t>–</w:t>
      </w:r>
      <w:r w:rsidRPr="0073694E">
        <w:rPr>
          <w:rFonts w:ascii="Arial" w:eastAsia="SimSun" w:hAnsi="Arial" w:cs="Arial"/>
          <w:bCs/>
          <w:sz w:val="22"/>
          <w:szCs w:val="22"/>
          <w:lang w:val="fr-FR" w:eastAsia="en-US"/>
        </w:rPr>
        <w:t>2021. La France attach</w:t>
      </w:r>
      <w:r>
        <w:rPr>
          <w:rFonts w:ascii="Arial" w:eastAsia="SimSun" w:hAnsi="Arial" w:cs="Arial"/>
          <w:bCs/>
          <w:sz w:val="22"/>
          <w:szCs w:val="22"/>
          <w:lang w:val="fr-FR" w:eastAsia="en-US"/>
        </w:rPr>
        <w:t>ait</w:t>
      </w:r>
      <w:r w:rsidRPr="0073694E">
        <w:rPr>
          <w:rFonts w:ascii="Arial" w:eastAsia="SimSun" w:hAnsi="Arial" w:cs="Arial"/>
          <w:bCs/>
          <w:sz w:val="22"/>
          <w:szCs w:val="22"/>
          <w:lang w:val="fr-FR" w:eastAsia="en-US"/>
        </w:rPr>
        <w:t xml:space="preserve"> une grande importance à la Convention, ce qui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était</w:t>
      </w:r>
      <w:r w:rsidRPr="0073694E">
        <w:rPr>
          <w:rFonts w:ascii="Arial" w:eastAsia="SimSun" w:hAnsi="Arial" w:cs="Arial"/>
          <w:bCs/>
          <w:sz w:val="22"/>
          <w:szCs w:val="22"/>
          <w:lang w:val="fr-FR" w:eastAsia="en-US"/>
        </w:rPr>
        <w:t xml:space="preserve"> concrétisé par une contribution volontaire de 100</w:t>
      </w:r>
      <w:r>
        <w:rPr>
          <w:rFonts w:ascii="Arial" w:eastAsia="SimSun" w:hAnsi="Arial" w:cs="Arial"/>
          <w:bCs/>
          <w:sz w:val="22"/>
          <w:szCs w:val="22"/>
          <w:lang w:val="fr-FR" w:eastAsia="en-US"/>
        </w:rPr>
        <w:t> </w:t>
      </w:r>
      <w:r w:rsidRPr="0073694E">
        <w:rPr>
          <w:rFonts w:ascii="Arial" w:eastAsia="SimSun" w:hAnsi="Arial" w:cs="Arial"/>
          <w:bCs/>
          <w:sz w:val="22"/>
          <w:szCs w:val="22"/>
          <w:lang w:val="fr-FR" w:eastAsia="en-US"/>
        </w:rPr>
        <w:t xml:space="preserve">000 </w:t>
      </w:r>
      <w:r>
        <w:rPr>
          <w:rFonts w:ascii="Arial" w:eastAsia="SimSun" w:hAnsi="Arial" w:cs="Arial"/>
          <w:bCs/>
          <w:sz w:val="22"/>
          <w:szCs w:val="22"/>
          <w:lang w:val="fr-FR" w:eastAsia="en-US"/>
        </w:rPr>
        <w:t>euros</w:t>
      </w:r>
      <w:r w:rsidRPr="0073694E">
        <w:rPr>
          <w:rFonts w:ascii="Arial" w:eastAsia="SimSun" w:hAnsi="Arial" w:cs="Arial"/>
          <w:bCs/>
          <w:sz w:val="22"/>
          <w:szCs w:val="22"/>
          <w:lang w:val="fr-FR" w:eastAsia="en-US"/>
        </w:rPr>
        <w:t xml:space="preserve"> en 2022. Les services nationaux de l</w:t>
      </w:r>
      <w:r w:rsidR="008E532B">
        <w:rPr>
          <w:rFonts w:ascii="Arial" w:eastAsia="SimSun" w:hAnsi="Arial" w:cs="Arial"/>
          <w:bCs/>
          <w:sz w:val="22"/>
          <w:szCs w:val="22"/>
          <w:lang w:val="fr-FR" w:eastAsia="en-US"/>
        </w:rPr>
        <w:t>’</w:t>
      </w:r>
      <w:r w:rsidRPr="0073694E">
        <w:rPr>
          <w:rFonts w:ascii="Arial" w:eastAsia="SimSun" w:hAnsi="Arial" w:cs="Arial"/>
          <w:bCs/>
          <w:sz w:val="22"/>
          <w:szCs w:val="22"/>
          <w:lang w:val="fr-FR" w:eastAsia="en-US"/>
        </w:rPr>
        <w:t>État</w:t>
      </w:r>
      <w:r>
        <w:rPr>
          <w:rFonts w:ascii="Arial" w:eastAsia="SimSun" w:hAnsi="Arial" w:cs="Arial"/>
          <w:bCs/>
          <w:sz w:val="22"/>
          <w:szCs w:val="22"/>
          <w:lang w:val="fr-FR" w:eastAsia="en-US"/>
        </w:rPr>
        <w:t xml:space="preserve">, </w:t>
      </w:r>
      <w:r w:rsidRPr="0073694E">
        <w:rPr>
          <w:rFonts w:ascii="Arial" w:eastAsia="SimSun" w:hAnsi="Arial" w:cs="Arial"/>
          <w:bCs/>
          <w:sz w:val="22"/>
          <w:szCs w:val="22"/>
          <w:lang w:val="fr-FR" w:eastAsia="en-US"/>
        </w:rPr>
        <w:t xml:space="preserve">et le ministère de la Culture en particulier, </w:t>
      </w:r>
      <w:r>
        <w:rPr>
          <w:rFonts w:ascii="Arial" w:eastAsia="SimSun" w:hAnsi="Arial" w:cs="Arial"/>
          <w:bCs/>
          <w:sz w:val="22"/>
          <w:szCs w:val="22"/>
          <w:lang w:val="fr-FR" w:eastAsia="en-US"/>
        </w:rPr>
        <w:t>étaient</w:t>
      </w:r>
      <w:r w:rsidRPr="0073694E">
        <w:rPr>
          <w:rFonts w:ascii="Arial" w:eastAsia="SimSun" w:hAnsi="Arial" w:cs="Arial"/>
          <w:bCs/>
          <w:sz w:val="22"/>
          <w:szCs w:val="22"/>
          <w:lang w:val="fr-FR" w:eastAsia="en-US"/>
        </w:rPr>
        <w:t xml:space="preserve"> fortement engagés en faveur de la Convention. Un Comité du patrimoine ethnologique et immatériel</w:t>
      </w:r>
      <w:r>
        <w:rPr>
          <w:rStyle w:val="FootnoteReference"/>
          <w:rFonts w:ascii="Arial" w:eastAsia="SimSun" w:hAnsi="Arial" w:cs="Arial"/>
          <w:bCs/>
          <w:sz w:val="22"/>
          <w:szCs w:val="22"/>
          <w:lang w:val="fr-FR" w:eastAsia="en-US"/>
        </w:rPr>
        <w:footnoteReference w:id="20"/>
      </w:r>
      <w:r w:rsidRPr="0073694E">
        <w:rPr>
          <w:rFonts w:ascii="Arial" w:eastAsia="SimSun" w:hAnsi="Arial" w:cs="Arial"/>
          <w:bCs/>
          <w:sz w:val="22"/>
          <w:szCs w:val="22"/>
          <w:lang w:val="fr-FR" w:eastAsia="en-US"/>
        </w:rPr>
        <w:t xml:space="preserve"> a</w:t>
      </w:r>
      <w:r>
        <w:rPr>
          <w:rFonts w:ascii="Arial" w:eastAsia="SimSun" w:hAnsi="Arial" w:cs="Arial"/>
          <w:bCs/>
          <w:sz w:val="22"/>
          <w:szCs w:val="22"/>
          <w:lang w:val="fr-FR" w:eastAsia="en-US"/>
        </w:rPr>
        <w:t>vait</w:t>
      </w:r>
      <w:r w:rsidRPr="0073694E">
        <w:rPr>
          <w:rFonts w:ascii="Arial" w:eastAsia="SimSun" w:hAnsi="Arial" w:cs="Arial"/>
          <w:bCs/>
          <w:sz w:val="22"/>
          <w:szCs w:val="22"/>
          <w:lang w:val="fr-FR" w:eastAsia="en-US"/>
        </w:rPr>
        <w:t xml:space="preserve"> été créé</w:t>
      </w:r>
      <w:r>
        <w:rPr>
          <w:rFonts w:ascii="Arial" w:eastAsia="SimSun" w:hAnsi="Arial" w:cs="Arial"/>
          <w:bCs/>
          <w:sz w:val="22"/>
          <w:szCs w:val="22"/>
          <w:lang w:val="fr-FR" w:eastAsia="en-US"/>
        </w:rPr>
        <w:t xml:space="preserve">, le </w:t>
      </w:r>
      <w:r w:rsidRPr="0073694E">
        <w:rPr>
          <w:rFonts w:ascii="Arial" w:eastAsia="SimSun" w:hAnsi="Arial" w:cs="Arial"/>
          <w:bCs/>
          <w:sz w:val="22"/>
          <w:szCs w:val="22"/>
          <w:lang w:val="fr-FR" w:eastAsia="en-US"/>
        </w:rPr>
        <w:t>pendant français du Comité du patrimoine culturel immatériel de l</w:t>
      </w:r>
      <w:r w:rsidR="008E532B">
        <w:rPr>
          <w:rFonts w:ascii="Arial" w:eastAsia="SimSun" w:hAnsi="Arial" w:cs="Arial"/>
          <w:bCs/>
          <w:sz w:val="22"/>
          <w:szCs w:val="22"/>
          <w:lang w:val="fr-FR" w:eastAsia="en-US"/>
        </w:rPr>
        <w:t>’</w:t>
      </w:r>
      <w:r w:rsidRPr="0073694E">
        <w:rPr>
          <w:rFonts w:ascii="Arial" w:eastAsia="SimSun" w:hAnsi="Arial" w:cs="Arial"/>
          <w:bCs/>
          <w:sz w:val="22"/>
          <w:szCs w:val="22"/>
          <w:lang w:val="fr-FR" w:eastAsia="en-US"/>
        </w:rPr>
        <w:t>UNESCO</w:t>
      </w:r>
      <w:r>
        <w:rPr>
          <w:rFonts w:ascii="Arial" w:eastAsia="SimSun" w:hAnsi="Arial" w:cs="Arial"/>
          <w:bCs/>
          <w:sz w:val="22"/>
          <w:szCs w:val="22"/>
          <w:lang w:val="fr-FR" w:eastAsia="en-US"/>
        </w:rPr>
        <w:t xml:space="preserve">, </w:t>
      </w:r>
      <w:r w:rsidRPr="0073694E">
        <w:rPr>
          <w:rFonts w:ascii="Arial" w:eastAsia="SimSun" w:hAnsi="Arial" w:cs="Arial"/>
          <w:bCs/>
          <w:sz w:val="22"/>
          <w:szCs w:val="22"/>
          <w:lang w:val="fr-FR" w:eastAsia="en-US"/>
        </w:rPr>
        <w:t xml:space="preserve">dans lequel la société civile française </w:t>
      </w:r>
      <w:r>
        <w:rPr>
          <w:rFonts w:ascii="Arial" w:eastAsia="SimSun" w:hAnsi="Arial" w:cs="Arial"/>
          <w:bCs/>
          <w:sz w:val="22"/>
          <w:szCs w:val="22"/>
          <w:lang w:val="fr-FR" w:eastAsia="en-US"/>
        </w:rPr>
        <w:t>était</w:t>
      </w:r>
      <w:r w:rsidRPr="0073694E">
        <w:rPr>
          <w:rFonts w:ascii="Arial" w:eastAsia="SimSun" w:hAnsi="Arial" w:cs="Arial"/>
          <w:bCs/>
          <w:sz w:val="22"/>
          <w:szCs w:val="22"/>
          <w:lang w:val="fr-FR" w:eastAsia="en-US"/>
        </w:rPr>
        <w:t xml:space="preserve"> impliquée, partageant son expertise dans le domaine du patrimoine vivant. </w:t>
      </w:r>
      <w:r>
        <w:rPr>
          <w:rFonts w:ascii="Arial" w:eastAsia="SimSun" w:hAnsi="Arial" w:cs="Arial"/>
          <w:bCs/>
          <w:sz w:val="22"/>
          <w:szCs w:val="22"/>
          <w:lang w:val="fr-FR" w:eastAsia="en-US"/>
        </w:rPr>
        <w:t>Ainsi, c</w:t>
      </w:r>
      <w:r w:rsidRPr="0073694E">
        <w:rPr>
          <w:rFonts w:ascii="Arial" w:eastAsia="SimSun" w:hAnsi="Arial" w:cs="Arial"/>
          <w:bCs/>
          <w:sz w:val="22"/>
          <w:szCs w:val="22"/>
          <w:lang w:val="fr-FR" w:eastAsia="en-US"/>
        </w:rPr>
        <w:t>e comité</w:t>
      </w:r>
      <w:r>
        <w:rPr>
          <w:rFonts w:ascii="Arial" w:eastAsia="SimSun" w:hAnsi="Arial" w:cs="Arial"/>
          <w:bCs/>
          <w:sz w:val="22"/>
          <w:szCs w:val="22"/>
          <w:lang w:val="fr-FR" w:eastAsia="en-US"/>
        </w:rPr>
        <w:t xml:space="preserve"> </w:t>
      </w:r>
      <w:r w:rsidRPr="0073694E">
        <w:rPr>
          <w:rFonts w:ascii="Arial" w:eastAsia="SimSun" w:hAnsi="Arial" w:cs="Arial"/>
          <w:bCs/>
          <w:sz w:val="22"/>
          <w:szCs w:val="22"/>
          <w:lang w:val="fr-FR" w:eastAsia="en-US"/>
        </w:rPr>
        <w:t>particip</w:t>
      </w:r>
      <w:r>
        <w:rPr>
          <w:rFonts w:ascii="Arial" w:eastAsia="SimSun" w:hAnsi="Arial" w:cs="Arial"/>
          <w:bCs/>
          <w:sz w:val="22"/>
          <w:szCs w:val="22"/>
          <w:lang w:val="fr-FR" w:eastAsia="en-US"/>
        </w:rPr>
        <w:t>ait</w:t>
      </w:r>
      <w:r w:rsidRPr="0073694E">
        <w:rPr>
          <w:rFonts w:ascii="Arial" w:eastAsia="SimSun" w:hAnsi="Arial" w:cs="Arial"/>
          <w:bCs/>
          <w:sz w:val="22"/>
          <w:szCs w:val="22"/>
          <w:lang w:val="fr-FR" w:eastAsia="en-US"/>
        </w:rPr>
        <w:t xml:space="preserve"> à la mise en œuvre et à l</w:t>
      </w:r>
      <w:r>
        <w:rPr>
          <w:rFonts w:ascii="Arial" w:eastAsia="SimSun" w:hAnsi="Arial" w:cs="Arial"/>
          <w:bCs/>
          <w:sz w:val="22"/>
          <w:szCs w:val="22"/>
          <w:lang w:val="fr-FR" w:eastAsia="en-US"/>
        </w:rPr>
        <w:t>a direction</w:t>
      </w:r>
      <w:r w:rsidRPr="0073694E">
        <w:rPr>
          <w:rFonts w:ascii="Arial" w:eastAsia="SimSun" w:hAnsi="Arial" w:cs="Arial"/>
          <w:bCs/>
          <w:sz w:val="22"/>
          <w:szCs w:val="22"/>
          <w:lang w:val="fr-FR" w:eastAsia="en-US"/>
        </w:rPr>
        <w:t xml:space="preserve"> de la politique de la France dans le domaine du patrimoine ethnologique et immatériel. Par ailleurs, la sauvegarde du patrimoine vivant suscit</w:t>
      </w:r>
      <w:r>
        <w:rPr>
          <w:rFonts w:ascii="Arial" w:eastAsia="SimSun" w:hAnsi="Arial" w:cs="Arial"/>
          <w:bCs/>
          <w:sz w:val="22"/>
          <w:szCs w:val="22"/>
          <w:lang w:val="fr-FR" w:eastAsia="en-US"/>
        </w:rPr>
        <w:t>ait</w:t>
      </w:r>
      <w:r w:rsidRPr="0073694E">
        <w:rPr>
          <w:rFonts w:ascii="Arial" w:eastAsia="SimSun" w:hAnsi="Arial" w:cs="Arial"/>
          <w:bCs/>
          <w:sz w:val="22"/>
          <w:szCs w:val="22"/>
          <w:lang w:val="fr-FR" w:eastAsia="en-US"/>
        </w:rPr>
        <w:t xml:space="preserve"> un intérêt croissant au niveau national, comme en témoign</w:t>
      </w:r>
      <w:r>
        <w:rPr>
          <w:rFonts w:ascii="Arial" w:eastAsia="SimSun" w:hAnsi="Arial" w:cs="Arial"/>
          <w:bCs/>
          <w:sz w:val="22"/>
          <w:szCs w:val="22"/>
          <w:lang w:val="fr-FR" w:eastAsia="en-US"/>
        </w:rPr>
        <w:t>ait</w:t>
      </w:r>
      <w:r w:rsidRPr="0073694E">
        <w:rPr>
          <w:rFonts w:ascii="Arial" w:eastAsia="SimSun" w:hAnsi="Arial" w:cs="Arial"/>
          <w:bCs/>
          <w:sz w:val="22"/>
          <w:szCs w:val="22"/>
          <w:lang w:val="fr-FR" w:eastAsia="en-US"/>
        </w:rPr>
        <w:t xml:space="preserve"> la publication d</w:t>
      </w:r>
      <w:r w:rsidR="008E532B">
        <w:rPr>
          <w:rFonts w:ascii="Arial" w:eastAsia="SimSun" w:hAnsi="Arial" w:cs="Arial"/>
          <w:bCs/>
          <w:sz w:val="22"/>
          <w:szCs w:val="22"/>
          <w:lang w:val="fr-FR" w:eastAsia="en-US"/>
        </w:rPr>
        <w:t>’</w:t>
      </w:r>
      <w:r w:rsidRPr="0073694E">
        <w:rPr>
          <w:rFonts w:ascii="Arial" w:eastAsia="SimSun" w:hAnsi="Arial" w:cs="Arial"/>
          <w:bCs/>
          <w:sz w:val="22"/>
          <w:szCs w:val="22"/>
          <w:lang w:val="fr-FR" w:eastAsia="en-US"/>
        </w:rPr>
        <w:t>un rapport sur le sujet par le Sénat en mai 2021. Ce rapport constitu</w:t>
      </w:r>
      <w:r>
        <w:rPr>
          <w:rFonts w:ascii="Arial" w:eastAsia="SimSun" w:hAnsi="Arial" w:cs="Arial"/>
          <w:bCs/>
          <w:sz w:val="22"/>
          <w:szCs w:val="22"/>
          <w:lang w:val="fr-FR" w:eastAsia="en-US"/>
        </w:rPr>
        <w:t>ait</w:t>
      </w:r>
      <w:r w:rsidRPr="0073694E">
        <w:rPr>
          <w:rFonts w:ascii="Arial" w:eastAsia="SimSun" w:hAnsi="Arial" w:cs="Arial"/>
          <w:bCs/>
          <w:sz w:val="22"/>
          <w:szCs w:val="22"/>
          <w:lang w:val="fr-FR" w:eastAsia="en-US"/>
        </w:rPr>
        <w:t xml:space="preserve"> un état des lieux de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73694E">
        <w:rPr>
          <w:rFonts w:ascii="Arial" w:eastAsia="SimSun" w:hAnsi="Arial" w:cs="Arial"/>
          <w:bCs/>
          <w:sz w:val="22"/>
          <w:szCs w:val="22"/>
          <w:lang w:val="fr-FR" w:eastAsia="en-US"/>
        </w:rPr>
        <w:t>à l</w:t>
      </w:r>
      <w:r w:rsidR="008E532B">
        <w:rPr>
          <w:rFonts w:ascii="Arial" w:eastAsia="SimSun" w:hAnsi="Arial" w:cs="Arial"/>
          <w:bCs/>
          <w:sz w:val="22"/>
          <w:szCs w:val="22"/>
          <w:lang w:val="fr-FR" w:eastAsia="en-US"/>
        </w:rPr>
        <w:t>’</w:t>
      </w:r>
      <w:r w:rsidRPr="0073694E">
        <w:rPr>
          <w:rFonts w:ascii="Arial" w:eastAsia="SimSun" w:hAnsi="Arial" w:cs="Arial"/>
          <w:bCs/>
          <w:sz w:val="22"/>
          <w:szCs w:val="22"/>
          <w:lang w:val="fr-FR" w:eastAsia="en-US"/>
        </w:rPr>
        <w:t>approche du vingtième anniversaire de la Convention, et compren</w:t>
      </w:r>
      <w:r>
        <w:rPr>
          <w:rFonts w:ascii="Arial" w:eastAsia="SimSun" w:hAnsi="Arial" w:cs="Arial"/>
          <w:bCs/>
          <w:sz w:val="22"/>
          <w:szCs w:val="22"/>
          <w:lang w:val="fr-FR" w:eastAsia="en-US"/>
        </w:rPr>
        <w:t>ait</w:t>
      </w:r>
      <w:r w:rsidRPr="0073694E">
        <w:rPr>
          <w:rFonts w:ascii="Arial" w:eastAsia="SimSun" w:hAnsi="Arial" w:cs="Arial"/>
          <w:bCs/>
          <w:sz w:val="22"/>
          <w:szCs w:val="22"/>
          <w:lang w:val="fr-FR" w:eastAsia="en-US"/>
        </w:rPr>
        <w:t xml:space="preserve"> vingt</w:t>
      </w:r>
      <w:r>
        <w:rPr>
          <w:rFonts w:ascii="Arial" w:eastAsia="SimSun" w:hAnsi="Arial" w:cs="Arial"/>
          <w:bCs/>
          <w:sz w:val="22"/>
          <w:szCs w:val="22"/>
          <w:lang w:val="fr-FR" w:eastAsia="en-US"/>
        </w:rPr>
        <w:noBreakHyphen/>
      </w:r>
      <w:r w:rsidRPr="0073694E">
        <w:rPr>
          <w:rFonts w:ascii="Arial" w:eastAsia="SimSun" w:hAnsi="Arial" w:cs="Arial"/>
          <w:bCs/>
          <w:sz w:val="22"/>
          <w:szCs w:val="22"/>
          <w:lang w:val="fr-FR" w:eastAsia="en-US"/>
        </w:rPr>
        <w:t>cinq propositions. Il sera</w:t>
      </w:r>
      <w:r>
        <w:rPr>
          <w:rFonts w:ascii="Arial" w:eastAsia="SimSun" w:hAnsi="Arial" w:cs="Arial"/>
          <w:bCs/>
          <w:sz w:val="22"/>
          <w:szCs w:val="22"/>
          <w:lang w:val="fr-FR" w:eastAsia="en-US"/>
        </w:rPr>
        <w:t>it</w:t>
      </w:r>
      <w:r w:rsidRPr="0073694E">
        <w:rPr>
          <w:rFonts w:ascii="Arial" w:eastAsia="SimSun" w:hAnsi="Arial" w:cs="Arial"/>
          <w:bCs/>
          <w:sz w:val="22"/>
          <w:szCs w:val="22"/>
          <w:lang w:val="fr-FR" w:eastAsia="en-US"/>
        </w:rPr>
        <w:t xml:space="preserve"> en partie suivi par le ministère français de la Culture</w:t>
      </w:r>
      <w:r>
        <w:rPr>
          <w:rFonts w:ascii="Arial" w:eastAsia="SimSun" w:hAnsi="Arial" w:cs="Arial"/>
          <w:bCs/>
          <w:sz w:val="22"/>
          <w:szCs w:val="22"/>
          <w:lang w:val="fr-FR" w:eastAsia="en-US"/>
        </w:rPr>
        <w:t xml:space="preserve"> pour ce qui relève de sa compétence</w:t>
      </w:r>
      <w:r w:rsidRPr="0073694E">
        <w:rPr>
          <w:rFonts w:ascii="Arial" w:eastAsia="SimSun" w:hAnsi="Arial" w:cs="Arial"/>
          <w:bCs/>
          <w:sz w:val="22"/>
          <w:szCs w:val="22"/>
          <w:lang w:val="fr-FR" w:eastAsia="en-US"/>
        </w:rPr>
        <w:t xml:space="preserve">. Un autre exemple de cet engagement en faveur du patrimoine immatériel </w:t>
      </w:r>
      <w:r>
        <w:rPr>
          <w:rFonts w:ascii="Arial" w:eastAsia="SimSun" w:hAnsi="Arial" w:cs="Arial"/>
          <w:bCs/>
          <w:sz w:val="22"/>
          <w:szCs w:val="22"/>
          <w:lang w:val="fr-FR" w:eastAsia="en-US"/>
        </w:rPr>
        <w:t>était</w:t>
      </w:r>
      <w:r w:rsidRPr="0073694E">
        <w:rPr>
          <w:rFonts w:ascii="Arial" w:eastAsia="SimSun" w:hAnsi="Arial" w:cs="Arial"/>
          <w:bCs/>
          <w:sz w:val="22"/>
          <w:szCs w:val="22"/>
          <w:lang w:val="fr-FR" w:eastAsia="en-US"/>
        </w:rPr>
        <w:t xml:space="preserve"> le projet mené par la </w:t>
      </w:r>
      <w:r>
        <w:rPr>
          <w:rFonts w:ascii="Arial" w:eastAsia="SimSun" w:hAnsi="Arial" w:cs="Arial"/>
          <w:bCs/>
          <w:sz w:val="22"/>
          <w:szCs w:val="22"/>
          <w:lang w:val="fr-FR" w:eastAsia="en-US"/>
        </w:rPr>
        <w:t>c</w:t>
      </w:r>
      <w:r w:rsidRPr="0073694E">
        <w:rPr>
          <w:rFonts w:ascii="Arial" w:eastAsia="SimSun" w:hAnsi="Arial" w:cs="Arial"/>
          <w:bCs/>
          <w:sz w:val="22"/>
          <w:szCs w:val="22"/>
          <w:lang w:val="fr-FR" w:eastAsia="en-US"/>
        </w:rPr>
        <w:t>haire UNESCO sur le patrimoine culturel immatériel et le développement durable, qui consist</w:t>
      </w:r>
      <w:r>
        <w:rPr>
          <w:rFonts w:ascii="Arial" w:eastAsia="SimSun" w:hAnsi="Arial" w:cs="Arial"/>
          <w:bCs/>
          <w:sz w:val="22"/>
          <w:szCs w:val="22"/>
          <w:lang w:val="fr-FR" w:eastAsia="en-US"/>
        </w:rPr>
        <w:t>ait</w:t>
      </w:r>
      <w:r w:rsidRPr="0073694E">
        <w:rPr>
          <w:rFonts w:ascii="Arial" w:eastAsia="SimSun" w:hAnsi="Arial" w:cs="Arial"/>
          <w:bCs/>
          <w:sz w:val="22"/>
          <w:szCs w:val="22"/>
          <w:lang w:val="fr-FR" w:eastAsia="en-US"/>
        </w:rPr>
        <w:t xml:space="preserve"> en un inventaire du patrimoine immatériel des réfugiés ukrainiens en France. Cette étude permettra</w:t>
      </w:r>
      <w:r>
        <w:rPr>
          <w:rFonts w:ascii="Arial" w:eastAsia="SimSun" w:hAnsi="Arial" w:cs="Arial"/>
          <w:bCs/>
          <w:sz w:val="22"/>
          <w:szCs w:val="22"/>
          <w:lang w:val="fr-FR" w:eastAsia="en-US"/>
        </w:rPr>
        <w:t xml:space="preserve">it </w:t>
      </w:r>
      <w:r w:rsidRPr="0073694E">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sidRPr="0073694E">
        <w:rPr>
          <w:rFonts w:ascii="Arial" w:eastAsia="SimSun" w:hAnsi="Arial" w:cs="Arial"/>
          <w:bCs/>
          <w:sz w:val="22"/>
          <w:szCs w:val="22"/>
          <w:lang w:val="fr-FR" w:eastAsia="en-US"/>
        </w:rPr>
        <w:t>examiner les effets que les déplacements forcés dans un contexte d</w:t>
      </w:r>
      <w:r w:rsidR="008E532B">
        <w:rPr>
          <w:rFonts w:ascii="Arial" w:eastAsia="SimSun" w:hAnsi="Arial" w:cs="Arial"/>
          <w:bCs/>
          <w:sz w:val="22"/>
          <w:szCs w:val="22"/>
          <w:lang w:val="fr-FR" w:eastAsia="en-US"/>
        </w:rPr>
        <w:t>’</w:t>
      </w:r>
      <w:r w:rsidRPr="0073694E">
        <w:rPr>
          <w:rFonts w:ascii="Arial" w:eastAsia="SimSun" w:hAnsi="Arial" w:cs="Arial"/>
          <w:bCs/>
          <w:sz w:val="22"/>
          <w:szCs w:val="22"/>
          <w:lang w:val="fr-FR" w:eastAsia="en-US"/>
        </w:rPr>
        <w:t xml:space="preserve">urgence peuvent avoir sur la transmission du patrimoine immatériel et ses fonctions. Enfin, la France </w:t>
      </w:r>
      <w:r>
        <w:rPr>
          <w:rFonts w:ascii="Arial" w:eastAsia="SimSun" w:hAnsi="Arial" w:cs="Arial"/>
          <w:bCs/>
          <w:sz w:val="22"/>
          <w:szCs w:val="22"/>
          <w:lang w:val="fr-FR" w:eastAsia="en-US"/>
        </w:rPr>
        <w:t xml:space="preserve">a souscrit aux </w:t>
      </w:r>
      <w:r w:rsidRPr="0073694E">
        <w:rPr>
          <w:rFonts w:ascii="Arial" w:eastAsia="SimSun" w:hAnsi="Arial" w:cs="Arial"/>
          <w:bCs/>
          <w:sz w:val="22"/>
          <w:szCs w:val="22"/>
          <w:lang w:val="fr-FR" w:eastAsia="en-US"/>
        </w:rPr>
        <w:t>remarques sur la complexité des formulaires de rapport</w:t>
      </w:r>
      <w:r>
        <w:rPr>
          <w:rFonts w:ascii="Arial" w:eastAsia="SimSun" w:hAnsi="Arial" w:cs="Arial"/>
          <w:bCs/>
          <w:sz w:val="22"/>
          <w:szCs w:val="22"/>
          <w:lang w:val="fr-FR" w:eastAsia="en-US"/>
        </w:rPr>
        <w:t>s</w:t>
      </w:r>
      <w:r w:rsidRPr="0073694E">
        <w:rPr>
          <w:rFonts w:ascii="Arial" w:eastAsia="SimSun" w:hAnsi="Arial" w:cs="Arial"/>
          <w:bCs/>
          <w:sz w:val="22"/>
          <w:szCs w:val="22"/>
          <w:lang w:val="fr-FR" w:eastAsia="en-US"/>
        </w:rPr>
        <w:t xml:space="preserve"> régionaux et nationaux.</w:t>
      </w:r>
    </w:p>
    <w:p w14:paraId="016564A3" w14:textId="77777777" w:rsidR="00D9653F" w:rsidRPr="0024058A"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24058A">
        <w:rPr>
          <w:rFonts w:ascii="Arial" w:eastAsia="SimSun" w:hAnsi="Arial" w:cs="Arial"/>
          <w:bCs/>
          <w:sz w:val="22"/>
          <w:szCs w:val="22"/>
          <w:lang w:val="fr-FR" w:eastAsia="en-US"/>
        </w:rPr>
        <w:t xml:space="preserve">La </w:t>
      </w:r>
      <w:r w:rsidRPr="0024058A">
        <w:rPr>
          <w:rFonts w:ascii="Arial" w:eastAsia="SimSun" w:hAnsi="Arial" w:cs="Arial"/>
          <w:b/>
          <w:sz w:val="22"/>
          <w:szCs w:val="22"/>
          <w:lang w:val="fr-FR" w:eastAsia="en-US"/>
        </w:rPr>
        <w:t>Présidente</w:t>
      </w:r>
      <w:r w:rsidRPr="0024058A">
        <w:rPr>
          <w:rFonts w:ascii="Arial" w:eastAsia="SimSun" w:hAnsi="Arial" w:cs="Arial"/>
          <w:bCs/>
          <w:sz w:val="22"/>
          <w:szCs w:val="22"/>
          <w:lang w:val="fr-FR" w:eastAsia="en-US"/>
        </w:rPr>
        <w:t xml:space="preserve"> a invité</w:t>
      </w:r>
      <w:r>
        <w:rPr>
          <w:rFonts w:ascii="Arial" w:eastAsia="SimSun" w:hAnsi="Arial" w:cs="Arial"/>
          <w:bCs/>
          <w:sz w:val="22"/>
          <w:szCs w:val="22"/>
          <w:lang w:val="fr-FR" w:eastAsia="en-US"/>
        </w:rPr>
        <w:t xml:space="preserve"> le Sous-Directeur général à répondre à certains des points abordés. </w:t>
      </w:r>
    </w:p>
    <w:p w14:paraId="29D266E8" w14:textId="41AAA527" w:rsidR="00D9653F" w:rsidRPr="0024058A"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24058A">
        <w:rPr>
          <w:rFonts w:ascii="Arial" w:eastAsia="SimSun" w:hAnsi="Arial" w:cs="Arial"/>
          <w:bCs/>
          <w:sz w:val="22"/>
          <w:szCs w:val="22"/>
          <w:lang w:val="fr-FR" w:eastAsia="en-US"/>
        </w:rPr>
        <w:t xml:space="preserve">Au nom du Secrétariat, le </w:t>
      </w:r>
      <w:r w:rsidRPr="0024058A">
        <w:rPr>
          <w:rFonts w:ascii="Arial" w:eastAsia="SimSun" w:hAnsi="Arial" w:cs="Arial"/>
          <w:b/>
          <w:sz w:val="22"/>
          <w:szCs w:val="22"/>
          <w:lang w:val="fr-FR" w:eastAsia="en-US"/>
        </w:rPr>
        <w:t>Sous-Directeur général</w:t>
      </w:r>
      <w:r w:rsidRPr="0024058A">
        <w:rPr>
          <w:rFonts w:ascii="Arial" w:eastAsia="SimSun" w:hAnsi="Arial" w:cs="Arial"/>
          <w:bCs/>
          <w:sz w:val="22"/>
          <w:szCs w:val="22"/>
          <w:lang w:val="fr-FR" w:eastAsia="en-US"/>
        </w:rPr>
        <w:t xml:space="preserve"> a tout d</w:t>
      </w:r>
      <w:r w:rsidR="008E532B">
        <w:rPr>
          <w:rFonts w:ascii="Arial" w:eastAsia="SimSun" w:hAnsi="Arial" w:cs="Arial"/>
          <w:bCs/>
          <w:sz w:val="22"/>
          <w:szCs w:val="22"/>
          <w:lang w:val="fr-FR" w:eastAsia="en-US"/>
        </w:rPr>
        <w:t>’</w:t>
      </w:r>
      <w:r w:rsidRPr="0024058A">
        <w:rPr>
          <w:rFonts w:ascii="Arial" w:eastAsia="SimSun" w:hAnsi="Arial" w:cs="Arial"/>
          <w:bCs/>
          <w:sz w:val="22"/>
          <w:szCs w:val="22"/>
          <w:lang w:val="fr-FR" w:eastAsia="en-US"/>
        </w:rPr>
        <w:t xml:space="preserve">abord remercié les délégations pour leurs propos aimables, les félicitant pour le travail entrepris, compte tenu notamment des difficultés rencontrées au cours des deux dernières années. En effet, le Secrétariat </w:t>
      </w:r>
      <w:r>
        <w:rPr>
          <w:rFonts w:ascii="Arial" w:eastAsia="SimSun" w:hAnsi="Arial" w:cs="Arial"/>
          <w:bCs/>
          <w:sz w:val="22"/>
          <w:szCs w:val="22"/>
          <w:lang w:val="fr-FR" w:eastAsia="en-US"/>
        </w:rPr>
        <w:t>devait</w:t>
      </w:r>
      <w:r w:rsidRPr="0024058A">
        <w:rPr>
          <w:rFonts w:ascii="Arial" w:eastAsia="SimSun" w:hAnsi="Arial" w:cs="Arial"/>
          <w:bCs/>
          <w:sz w:val="22"/>
          <w:szCs w:val="22"/>
          <w:lang w:val="fr-FR" w:eastAsia="en-US"/>
        </w:rPr>
        <w:t xml:space="preserve"> s</w:t>
      </w:r>
      <w:r w:rsidR="008E532B">
        <w:rPr>
          <w:rFonts w:ascii="Arial" w:eastAsia="SimSun" w:hAnsi="Arial" w:cs="Arial"/>
          <w:bCs/>
          <w:sz w:val="22"/>
          <w:szCs w:val="22"/>
          <w:lang w:val="fr-FR" w:eastAsia="en-US"/>
        </w:rPr>
        <w:t>’</w:t>
      </w:r>
      <w:r w:rsidRPr="0024058A">
        <w:rPr>
          <w:rFonts w:ascii="Arial" w:eastAsia="SimSun" w:hAnsi="Arial" w:cs="Arial"/>
          <w:bCs/>
          <w:sz w:val="22"/>
          <w:szCs w:val="22"/>
          <w:lang w:val="fr-FR" w:eastAsia="en-US"/>
        </w:rPr>
        <w:t xml:space="preserve">adapter aux nouvelles réalités et aux différentes façons de travailler, comme tout le monde, en commençant par le programme de renforcement des capacités et le passage à une modalité en ligne. Il a remercié les délégations pour le soutien et les </w:t>
      </w:r>
      <w:r>
        <w:rPr>
          <w:rFonts w:ascii="Arial" w:eastAsia="SimSun" w:hAnsi="Arial" w:cs="Arial"/>
          <w:bCs/>
          <w:sz w:val="22"/>
          <w:szCs w:val="22"/>
          <w:lang w:val="fr-FR" w:eastAsia="en-US"/>
        </w:rPr>
        <w:t xml:space="preserve">contributions </w:t>
      </w:r>
      <w:r w:rsidRPr="0024058A">
        <w:rPr>
          <w:rFonts w:ascii="Arial" w:eastAsia="SimSun" w:hAnsi="Arial" w:cs="Arial"/>
          <w:bCs/>
          <w:sz w:val="22"/>
          <w:szCs w:val="22"/>
          <w:lang w:val="fr-FR" w:eastAsia="en-US"/>
        </w:rPr>
        <w:t>reçus. Il a</w:t>
      </w:r>
      <w:r>
        <w:rPr>
          <w:rFonts w:ascii="Arial" w:eastAsia="SimSun" w:hAnsi="Arial" w:cs="Arial"/>
          <w:bCs/>
          <w:sz w:val="22"/>
          <w:szCs w:val="22"/>
          <w:lang w:val="fr-FR" w:eastAsia="en-US"/>
        </w:rPr>
        <w:t>vait</w:t>
      </w:r>
      <w:r w:rsidRPr="0024058A">
        <w:rPr>
          <w:rFonts w:ascii="Arial" w:eastAsia="SimSun" w:hAnsi="Arial" w:cs="Arial"/>
          <w:bCs/>
          <w:sz w:val="22"/>
          <w:szCs w:val="22"/>
          <w:lang w:val="fr-FR" w:eastAsia="en-US"/>
        </w:rPr>
        <w:t xml:space="preserve"> également pris note des préoccupations soulevées concernant le formulaire, rappelant que la question avait effectivement été soulevée lors de la réunion du Comité en décembre</w:t>
      </w:r>
      <w:r>
        <w:rPr>
          <w:rFonts w:ascii="Arial" w:eastAsia="SimSun" w:hAnsi="Arial" w:cs="Arial"/>
          <w:bCs/>
          <w:sz w:val="22"/>
          <w:szCs w:val="22"/>
          <w:lang w:val="fr-FR" w:eastAsia="en-US"/>
        </w:rPr>
        <w:t> </w:t>
      </w:r>
      <w:r w:rsidRPr="0024058A">
        <w:rPr>
          <w:rFonts w:ascii="Arial" w:eastAsia="SimSun" w:hAnsi="Arial" w:cs="Arial"/>
          <w:bCs/>
          <w:sz w:val="22"/>
          <w:szCs w:val="22"/>
          <w:lang w:val="fr-FR" w:eastAsia="en-US"/>
        </w:rPr>
        <w:t xml:space="preserve">2021. </w:t>
      </w:r>
      <w:r w:rsidR="00E23FFC">
        <w:rPr>
          <w:rFonts w:ascii="Arial" w:eastAsia="SimSun" w:hAnsi="Arial" w:cs="Arial"/>
          <w:bCs/>
          <w:sz w:val="22"/>
          <w:szCs w:val="22"/>
          <w:lang w:val="fr-FR" w:eastAsia="en-US"/>
        </w:rPr>
        <w:t xml:space="preserve">Le </w:t>
      </w:r>
      <w:r w:rsidR="00E23FFC" w:rsidRPr="00E23FFC">
        <w:rPr>
          <w:rFonts w:ascii="Arial" w:eastAsia="SimSun" w:hAnsi="Arial" w:cs="Arial"/>
          <w:bCs/>
          <w:sz w:val="22"/>
          <w:szCs w:val="22"/>
          <w:lang w:val="fr-FR" w:eastAsia="en-US"/>
        </w:rPr>
        <w:t xml:space="preserve">Sous-Directeur général </w:t>
      </w:r>
      <w:r>
        <w:rPr>
          <w:rFonts w:ascii="Arial" w:eastAsia="SimSun" w:hAnsi="Arial" w:cs="Arial"/>
          <w:bCs/>
          <w:sz w:val="22"/>
          <w:szCs w:val="22"/>
          <w:lang w:val="fr-FR" w:eastAsia="en-US"/>
        </w:rPr>
        <w:t xml:space="preserve">pensait </w:t>
      </w:r>
      <w:r w:rsidRPr="0024058A">
        <w:rPr>
          <w:rFonts w:ascii="Arial" w:eastAsia="SimSun" w:hAnsi="Arial" w:cs="Arial"/>
          <w:bCs/>
          <w:sz w:val="22"/>
          <w:szCs w:val="22"/>
          <w:lang w:val="fr-FR" w:eastAsia="en-US"/>
        </w:rPr>
        <w:t>que des discussions aur</w:t>
      </w:r>
      <w:r>
        <w:rPr>
          <w:rFonts w:ascii="Arial" w:eastAsia="SimSun" w:hAnsi="Arial" w:cs="Arial"/>
          <w:bCs/>
          <w:sz w:val="22"/>
          <w:szCs w:val="22"/>
          <w:lang w:val="fr-FR" w:eastAsia="en-US"/>
        </w:rPr>
        <w:t>aie</w:t>
      </w:r>
      <w:r w:rsidRPr="0024058A">
        <w:rPr>
          <w:rFonts w:ascii="Arial" w:eastAsia="SimSun" w:hAnsi="Arial" w:cs="Arial"/>
          <w:bCs/>
          <w:sz w:val="22"/>
          <w:szCs w:val="22"/>
          <w:lang w:val="fr-FR" w:eastAsia="en-US"/>
        </w:rPr>
        <w:t>nt lieu qui permettr</w:t>
      </w:r>
      <w:r>
        <w:rPr>
          <w:rFonts w:ascii="Arial" w:eastAsia="SimSun" w:hAnsi="Arial" w:cs="Arial"/>
          <w:bCs/>
          <w:sz w:val="22"/>
          <w:szCs w:val="22"/>
          <w:lang w:val="fr-FR" w:eastAsia="en-US"/>
        </w:rPr>
        <w:t>aie</w:t>
      </w:r>
      <w:r w:rsidRPr="0024058A">
        <w:rPr>
          <w:rFonts w:ascii="Arial" w:eastAsia="SimSun" w:hAnsi="Arial" w:cs="Arial"/>
          <w:bCs/>
          <w:sz w:val="22"/>
          <w:szCs w:val="22"/>
          <w:lang w:val="fr-FR" w:eastAsia="en-US"/>
        </w:rPr>
        <w:t>nt d</w:t>
      </w:r>
      <w:r w:rsidR="008E532B">
        <w:rPr>
          <w:rFonts w:ascii="Arial" w:eastAsia="SimSun" w:hAnsi="Arial" w:cs="Arial"/>
          <w:bCs/>
          <w:sz w:val="22"/>
          <w:szCs w:val="22"/>
          <w:lang w:val="fr-FR" w:eastAsia="en-US"/>
        </w:rPr>
        <w:t>’</w:t>
      </w:r>
      <w:r w:rsidRPr="0024058A">
        <w:rPr>
          <w:rFonts w:ascii="Arial" w:eastAsia="SimSun" w:hAnsi="Arial" w:cs="Arial"/>
          <w:bCs/>
          <w:sz w:val="22"/>
          <w:szCs w:val="22"/>
          <w:lang w:val="fr-FR" w:eastAsia="en-US"/>
        </w:rPr>
        <w:t>améliorer les formulaires dans les versions futures.</w:t>
      </w:r>
      <w:r>
        <w:rPr>
          <w:rFonts w:ascii="Arial" w:eastAsia="SimSun" w:hAnsi="Arial" w:cs="Arial"/>
          <w:bCs/>
          <w:sz w:val="22"/>
          <w:szCs w:val="22"/>
          <w:lang w:val="fr-FR" w:eastAsia="en-US"/>
        </w:rPr>
        <w:t xml:space="preserve">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agissant de </w:t>
      </w:r>
      <w:r w:rsidRPr="0024058A">
        <w:rPr>
          <w:rFonts w:ascii="Arial" w:eastAsia="SimSun" w:hAnsi="Arial" w:cs="Arial"/>
          <w:bCs/>
          <w:sz w:val="22"/>
          <w:szCs w:val="22"/>
          <w:lang w:val="fr-FR" w:eastAsia="en-US"/>
        </w:rPr>
        <w:t>la question soulevée par la Finlande, plus précisément sur les nouveaux domaines thématiques émergents que sont le changement climatique, le rôle des ONG, etc., le Secrétariat a</w:t>
      </w:r>
      <w:r>
        <w:rPr>
          <w:rFonts w:ascii="Arial" w:eastAsia="SimSun" w:hAnsi="Arial" w:cs="Arial"/>
          <w:bCs/>
          <w:sz w:val="22"/>
          <w:szCs w:val="22"/>
          <w:lang w:val="fr-FR" w:eastAsia="en-US"/>
        </w:rPr>
        <w:t>vait</w:t>
      </w:r>
      <w:r w:rsidRPr="0024058A">
        <w:rPr>
          <w:rFonts w:ascii="Arial" w:eastAsia="SimSun" w:hAnsi="Arial" w:cs="Arial"/>
          <w:bCs/>
          <w:sz w:val="22"/>
          <w:szCs w:val="22"/>
          <w:lang w:val="fr-FR" w:eastAsia="en-US"/>
        </w:rPr>
        <w:t xml:space="preserve"> effectivement entamé des discussions sur ces questions, qui </w:t>
      </w:r>
      <w:r>
        <w:rPr>
          <w:rFonts w:ascii="Arial" w:eastAsia="SimSun" w:hAnsi="Arial" w:cs="Arial"/>
          <w:bCs/>
          <w:sz w:val="22"/>
          <w:szCs w:val="22"/>
          <w:lang w:val="fr-FR" w:eastAsia="en-US"/>
        </w:rPr>
        <w:t>progressaient de concert</w:t>
      </w:r>
      <w:r w:rsidRPr="0024058A">
        <w:rPr>
          <w:rFonts w:ascii="Arial" w:eastAsia="SimSun" w:hAnsi="Arial" w:cs="Arial"/>
          <w:bCs/>
          <w:sz w:val="22"/>
          <w:szCs w:val="22"/>
          <w:lang w:val="fr-FR" w:eastAsia="en-US"/>
        </w:rPr>
        <w:t xml:space="preserve"> avec d</w:t>
      </w:r>
      <w:r w:rsidR="008E532B">
        <w:rPr>
          <w:rFonts w:ascii="Arial" w:eastAsia="SimSun" w:hAnsi="Arial" w:cs="Arial"/>
          <w:bCs/>
          <w:sz w:val="22"/>
          <w:szCs w:val="22"/>
          <w:lang w:val="fr-FR" w:eastAsia="en-US"/>
        </w:rPr>
        <w:t>’</w:t>
      </w:r>
      <w:r w:rsidRPr="0024058A">
        <w:rPr>
          <w:rFonts w:ascii="Arial" w:eastAsia="SimSun" w:hAnsi="Arial" w:cs="Arial"/>
          <w:bCs/>
          <w:sz w:val="22"/>
          <w:szCs w:val="22"/>
          <w:lang w:val="fr-FR" w:eastAsia="en-US"/>
        </w:rPr>
        <w:t>autres activités et d</w:t>
      </w:r>
      <w:r w:rsidR="008E532B">
        <w:rPr>
          <w:rFonts w:ascii="Arial" w:eastAsia="SimSun" w:hAnsi="Arial" w:cs="Arial"/>
          <w:bCs/>
          <w:sz w:val="22"/>
          <w:szCs w:val="22"/>
          <w:lang w:val="fr-FR" w:eastAsia="en-US"/>
        </w:rPr>
        <w:t>’</w:t>
      </w:r>
      <w:r w:rsidRPr="0024058A">
        <w:rPr>
          <w:rFonts w:ascii="Arial" w:eastAsia="SimSun" w:hAnsi="Arial" w:cs="Arial"/>
          <w:bCs/>
          <w:sz w:val="22"/>
          <w:szCs w:val="22"/>
          <w:lang w:val="fr-FR" w:eastAsia="en-US"/>
        </w:rPr>
        <w:t>autres</w:t>
      </w:r>
      <w:r>
        <w:rPr>
          <w:rFonts w:ascii="Arial" w:eastAsia="SimSun" w:hAnsi="Arial" w:cs="Arial"/>
          <w:bCs/>
          <w:sz w:val="22"/>
          <w:szCs w:val="22"/>
          <w:lang w:val="fr-FR" w:eastAsia="en-US"/>
        </w:rPr>
        <w:t xml:space="preserve">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24058A">
        <w:rPr>
          <w:rFonts w:ascii="Arial" w:eastAsia="SimSun" w:hAnsi="Arial" w:cs="Arial"/>
          <w:bCs/>
          <w:sz w:val="22"/>
          <w:szCs w:val="22"/>
          <w:lang w:val="fr-FR" w:eastAsia="en-US"/>
        </w:rPr>
        <w:t>, comme la Convention du patrimoine mondial, mais aussi de manière plus transversale avec d</w:t>
      </w:r>
      <w:r w:rsidR="008E532B">
        <w:rPr>
          <w:rFonts w:ascii="Arial" w:eastAsia="SimSun" w:hAnsi="Arial" w:cs="Arial"/>
          <w:bCs/>
          <w:sz w:val="22"/>
          <w:szCs w:val="22"/>
          <w:lang w:val="fr-FR" w:eastAsia="en-US"/>
        </w:rPr>
        <w:t>’</w:t>
      </w:r>
      <w:r w:rsidRPr="0024058A">
        <w:rPr>
          <w:rFonts w:ascii="Arial" w:eastAsia="SimSun" w:hAnsi="Arial" w:cs="Arial"/>
          <w:bCs/>
          <w:sz w:val="22"/>
          <w:szCs w:val="22"/>
          <w:lang w:val="fr-FR" w:eastAsia="en-US"/>
        </w:rPr>
        <w:t xml:space="preserve">autres </w:t>
      </w:r>
      <w:r>
        <w:rPr>
          <w:rFonts w:ascii="Arial" w:eastAsia="SimSun" w:hAnsi="Arial" w:cs="Arial"/>
          <w:bCs/>
          <w:sz w:val="22"/>
          <w:szCs w:val="22"/>
          <w:lang w:val="fr-FR" w:eastAsia="en-US"/>
        </w:rPr>
        <w:t>s</w:t>
      </w:r>
      <w:r w:rsidRPr="0024058A">
        <w:rPr>
          <w:rFonts w:ascii="Arial" w:eastAsia="SimSun" w:hAnsi="Arial" w:cs="Arial"/>
          <w:bCs/>
          <w:sz w:val="22"/>
          <w:szCs w:val="22"/>
          <w:lang w:val="fr-FR" w:eastAsia="en-US"/>
        </w:rPr>
        <w:t>ecteurs et entités de l</w:t>
      </w:r>
      <w:r w:rsidR="008E532B">
        <w:rPr>
          <w:rFonts w:ascii="Arial" w:eastAsia="SimSun" w:hAnsi="Arial" w:cs="Arial"/>
          <w:bCs/>
          <w:sz w:val="22"/>
          <w:szCs w:val="22"/>
          <w:lang w:val="fr-FR" w:eastAsia="en-US"/>
        </w:rPr>
        <w:t>’</w:t>
      </w:r>
      <w:r w:rsidRPr="0024058A">
        <w:rPr>
          <w:rFonts w:ascii="Arial" w:eastAsia="SimSun" w:hAnsi="Arial" w:cs="Arial"/>
          <w:bCs/>
          <w:sz w:val="22"/>
          <w:szCs w:val="22"/>
          <w:lang w:val="fr-FR" w:eastAsia="en-US"/>
        </w:rPr>
        <w:t xml:space="preserve">UNESCO. Par exemple, sur le changement climatique, le Secrétariat travaillait aux côtés des </w:t>
      </w:r>
      <w:r>
        <w:rPr>
          <w:rFonts w:ascii="Arial" w:eastAsia="SimSun" w:hAnsi="Arial" w:cs="Arial"/>
          <w:bCs/>
          <w:sz w:val="22"/>
          <w:szCs w:val="22"/>
          <w:lang w:val="fr-FR" w:eastAsia="en-US"/>
        </w:rPr>
        <w:t>S</w:t>
      </w:r>
      <w:r w:rsidRPr="0024058A">
        <w:rPr>
          <w:rFonts w:ascii="Arial" w:eastAsia="SimSun" w:hAnsi="Arial" w:cs="Arial"/>
          <w:bCs/>
          <w:sz w:val="22"/>
          <w:szCs w:val="22"/>
          <w:lang w:val="fr-FR" w:eastAsia="en-US"/>
        </w:rPr>
        <w:t>ecteurs de l</w:t>
      </w:r>
      <w:r w:rsidR="008E532B">
        <w:rPr>
          <w:rFonts w:ascii="Arial" w:eastAsia="SimSun" w:hAnsi="Arial" w:cs="Arial"/>
          <w:bCs/>
          <w:sz w:val="22"/>
          <w:szCs w:val="22"/>
          <w:lang w:val="fr-FR" w:eastAsia="en-US"/>
        </w:rPr>
        <w:t>’</w:t>
      </w:r>
      <w:r w:rsidRPr="0024058A">
        <w:rPr>
          <w:rFonts w:ascii="Arial" w:eastAsia="SimSun" w:hAnsi="Arial" w:cs="Arial"/>
          <w:bCs/>
          <w:sz w:val="22"/>
          <w:szCs w:val="22"/>
          <w:lang w:val="fr-FR" w:eastAsia="en-US"/>
        </w:rPr>
        <w:t xml:space="preserve">éducation et des sciences. En ce qui concerne MONDIACULT, </w:t>
      </w:r>
      <w:r w:rsidR="00E23FFC">
        <w:rPr>
          <w:rFonts w:ascii="Arial" w:eastAsia="SimSun" w:hAnsi="Arial" w:cs="Arial"/>
          <w:bCs/>
          <w:sz w:val="22"/>
          <w:szCs w:val="22"/>
          <w:lang w:val="fr-FR" w:eastAsia="en-US"/>
        </w:rPr>
        <w:t>l</w:t>
      </w:r>
      <w:r w:rsidR="00E23FFC" w:rsidRPr="00E23FFC">
        <w:rPr>
          <w:rFonts w:ascii="Arial" w:eastAsia="SimSun" w:hAnsi="Arial" w:cs="Arial"/>
          <w:bCs/>
          <w:sz w:val="22"/>
          <w:szCs w:val="22"/>
          <w:lang w:val="fr-FR" w:eastAsia="en-US"/>
        </w:rPr>
        <w:t xml:space="preserve">e Sous-Directeur général </w:t>
      </w:r>
      <w:r w:rsidR="00E23FFC">
        <w:rPr>
          <w:rFonts w:ascii="Arial" w:eastAsia="SimSun" w:hAnsi="Arial" w:cs="Arial"/>
          <w:bCs/>
          <w:sz w:val="22"/>
          <w:szCs w:val="22"/>
          <w:lang w:val="fr-FR" w:eastAsia="en-US"/>
        </w:rPr>
        <w:t>notait que l</w:t>
      </w:r>
      <w:r w:rsidRPr="0024058A">
        <w:rPr>
          <w:rFonts w:ascii="Arial" w:eastAsia="SimSun" w:hAnsi="Arial" w:cs="Arial"/>
          <w:bCs/>
          <w:sz w:val="22"/>
          <w:szCs w:val="22"/>
          <w:lang w:val="fr-FR" w:eastAsia="en-US"/>
        </w:rPr>
        <w:t xml:space="preserve">es quatre grands domaines thématiques de la conférence </w:t>
      </w:r>
      <w:r>
        <w:rPr>
          <w:rFonts w:ascii="Arial" w:eastAsia="SimSun" w:hAnsi="Arial" w:cs="Arial"/>
          <w:bCs/>
          <w:sz w:val="22"/>
          <w:szCs w:val="22"/>
          <w:lang w:val="fr-FR" w:eastAsia="en-US"/>
        </w:rPr>
        <w:t>avaient</w:t>
      </w:r>
      <w:r w:rsidRPr="0024058A">
        <w:rPr>
          <w:rFonts w:ascii="Arial" w:eastAsia="SimSun" w:hAnsi="Arial" w:cs="Arial"/>
          <w:bCs/>
          <w:sz w:val="22"/>
          <w:szCs w:val="22"/>
          <w:lang w:val="fr-FR" w:eastAsia="en-US"/>
        </w:rPr>
        <w:t xml:space="preserve"> été </w:t>
      </w:r>
      <w:r>
        <w:rPr>
          <w:rFonts w:ascii="Arial" w:eastAsia="SimSun" w:hAnsi="Arial" w:cs="Arial"/>
          <w:bCs/>
          <w:sz w:val="22"/>
          <w:szCs w:val="22"/>
          <w:lang w:val="fr-FR" w:eastAsia="en-US"/>
        </w:rPr>
        <w:t xml:space="preserve">définis </w:t>
      </w:r>
      <w:r w:rsidRPr="0024058A">
        <w:rPr>
          <w:rFonts w:ascii="Arial" w:eastAsia="SimSun" w:hAnsi="Arial" w:cs="Arial"/>
          <w:bCs/>
          <w:sz w:val="22"/>
          <w:szCs w:val="22"/>
          <w:lang w:val="fr-FR" w:eastAsia="en-US"/>
        </w:rPr>
        <w:t>dans le cadre de consultations régionales.</w:t>
      </w:r>
    </w:p>
    <w:p w14:paraId="07C293C6" w14:textId="6D11BA6D" w:rsidR="00D9653F" w:rsidRPr="001D0637"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1D0637">
        <w:rPr>
          <w:rFonts w:ascii="Arial" w:eastAsia="SimSun" w:hAnsi="Arial" w:cs="Arial"/>
          <w:bCs/>
          <w:sz w:val="22"/>
          <w:szCs w:val="22"/>
          <w:lang w:val="fr-FR" w:eastAsia="en-US"/>
        </w:rPr>
        <w:t xml:space="preserve">Le </w:t>
      </w:r>
      <w:r w:rsidRPr="001D0637">
        <w:rPr>
          <w:rFonts w:ascii="Arial" w:eastAsia="SimSun" w:hAnsi="Arial" w:cs="Arial"/>
          <w:b/>
          <w:sz w:val="22"/>
          <w:szCs w:val="22"/>
          <w:lang w:val="fr-FR" w:eastAsia="en-US"/>
        </w:rPr>
        <w:t>Sous-Directeur général</w:t>
      </w:r>
      <w:r w:rsidRPr="001D0637">
        <w:rPr>
          <w:rFonts w:ascii="Arial" w:eastAsia="SimSun" w:hAnsi="Arial" w:cs="Arial"/>
          <w:bCs/>
          <w:sz w:val="22"/>
          <w:szCs w:val="22"/>
          <w:lang w:val="fr-FR" w:eastAsia="en-US"/>
        </w:rPr>
        <w:t xml:space="preserve"> a en outre expliqué que ce travail transversal dans le cadre du Secteur de la culture </w:t>
      </w:r>
      <w:r>
        <w:rPr>
          <w:rFonts w:ascii="Arial" w:eastAsia="SimSun" w:hAnsi="Arial" w:cs="Arial"/>
          <w:bCs/>
          <w:sz w:val="22"/>
          <w:szCs w:val="22"/>
          <w:lang w:val="fr-FR" w:eastAsia="en-US"/>
        </w:rPr>
        <w:t>est</w:t>
      </w:r>
      <w:r w:rsidRPr="001D0637">
        <w:rPr>
          <w:rFonts w:ascii="Arial" w:eastAsia="SimSun" w:hAnsi="Arial" w:cs="Arial"/>
          <w:bCs/>
          <w:sz w:val="22"/>
          <w:szCs w:val="22"/>
          <w:lang w:val="fr-FR" w:eastAsia="en-US"/>
        </w:rPr>
        <w:t xml:space="preserve"> la manière dont le travail de l</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 xml:space="preserve">UNESCO est habituellement mené. Sur la question des ONG accréditées, des centres de catégorie 2 et des </w:t>
      </w:r>
      <w:r>
        <w:rPr>
          <w:rFonts w:ascii="Arial" w:eastAsia="SimSun" w:hAnsi="Arial" w:cs="Arial"/>
          <w:bCs/>
          <w:sz w:val="22"/>
          <w:szCs w:val="22"/>
          <w:lang w:val="fr-FR" w:eastAsia="en-US"/>
        </w:rPr>
        <w:t>c</w:t>
      </w:r>
      <w:r w:rsidRPr="001D0637">
        <w:rPr>
          <w:rFonts w:ascii="Arial" w:eastAsia="SimSun" w:hAnsi="Arial" w:cs="Arial"/>
          <w:bCs/>
          <w:sz w:val="22"/>
          <w:szCs w:val="22"/>
          <w:lang w:val="fr-FR" w:eastAsia="en-US"/>
        </w:rPr>
        <w:t xml:space="preserve">haires UNESCO, </w:t>
      </w:r>
      <w:r w:rsidR="00E23FFC">
        <w:rPr>
          <w:rFonts w:ascii="Arial" w:eastAsia="SimSun" w:hAnsi="Arial" w:cs="Arial"/>
          <w:bCs/>
          <w:sz w:val="22"/>
          <w:szCs w:val="22"/>
          <w:lang w:val="fr-FR" w:eastAsia="en-US"/>
        </w:rPr>
        <w:t>l</w:t>
      </w:r>
      <w:r w:rsidR="00E23FFC" w:rsidRPr="00E23FFC">
        <w:rPr>
          <w:rFonts w:ascii="Arial" w:eastAsia="SimSun" w:hAnsi="Arial" w:cs="Arial"/>
          <w:bCs/>
          <w:sz w:val="22"/>
          <w:szCs w:val="22"/>
          <w:lang w:val="fr-FR" w:eastAsia="en-US"/>
        </w:rPr>
        <w:t xml:space="preserve">e Sous-Directeur général </w:t>
      </w:r>
      <w:r w:rsidRPr="001D0637">
        <w:rPr>
          <w:rFonts w:ascii="Arial" w:eastAsia="SimSun" w:hAnsi="Arial" w:cs="Arial"/>
          <w:bCs/>
          <w:sz w:val="22"/>
          <w:szCs w:val="22"/>
          <w:lang w:val="fr-FR" w:eastAsia="en-US"/>
        </w:rPr>
        <w:t>n</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a</w:t>
      </w:r>
      <w:r>
        <w:rPr>
          <w:rFonts w:ascii="Arial" w:eastAsia="SimSun" w:hAnsi="Arial" w:cs="Arial"/>
          <w:bCs/>
          <w:sz w:val="22"/>
          <w:szCs w:val="22"/>
          <w:lang w:val="fr-FR" w:eastAsia="en-US"/>
        </w:rPr>
        <w:t>vait</w:t>
      </w:r>
      <w:r w:rsidRPr="001D0637">
        <w:rPr>
          <w:rFonts w:ascii="Arial" w:eastAsia="SimSun" w:hAnsi="Arial" w:cs="Arial"/>
          <w:bCs/>
          <w:sz w:val="22"/>
          <w:szCs w:val="22"/>
          <w:lang w:val="fr-FR" w:eastAsia="en-US"/>
        </w:rPr>
        <w:t xml:space="preserve"> aucun doute </w:t>
      </w:r>
      <w:r>
        <w:rPr>
          <w:rFonts w:ascii="Arial" w:eastAsia="SimSun" w:hAnsi="Arial" w:cs="Arial"/>
          <w:bCs/>
          <w:sz w:val="22"/>
          <w:szCs w:val="22"/>
          <w:lang w:val="fr-FR" w:eastAsia="en-US"/>
        </w:rPr>
        <w:t xml:space="preserve">quant à </w:t>
      </w:r>
      <w:r w:rsidRPr="001D0637">
        <w:rPr>
          <w:rFonts w:ascii="Arial" w:eastAsia="SimSun" w:hAnsi="Arial" w:cs="Arial"/>
          <w:bCs/>
          <w:sz w:val="22"/>
          <w:szCs w:val="22"/>
          <w:lang w:val="fr-FR" w:eastAsia="en-US"/>
        </w:rPr>
        <w:t>la nécessité pour ces entités, travaillant sous l</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égide de l</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UNESCO, de collaborer plus étroitement, ce qu</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il a</w:t>
      </w:r>
      <w:r>
        <w:rPr>
          <w:rFonts w:ascii="Arial" w:eastAsia="SimSun" w:hAnsi="Arial" w:cs="Arial"/>
          <w:bCs/>
          <w:sz w:val="22"/>
          <w:szCs w:val="22"/>
          <w:lang w:val="fr-FR" w:eastAsia="en-US"/>
        </w:rPr>
        <w:t>vait</w:t>
      </w:r>
      <w:r w:rsidRPr="001D0637">
        <w:rPr>
          <w:rFonts w:ascii="Arial" w:eastAsia="SimSun" w:hAnsi="Arial" w:cs="Arial"/>
          <w:bCs/>
          <w:sz w:val="22"/>
          <w:szCs w:val="22"/>
          <w:lang w:val="fr-FR" w:eastAsia="en-US"/>
        </w:rPr>
        <w:t xml:space="preserve"> entendu à de nombreuses reprises au cours des quatre dernières années, non seulement </w:t>
      </w:r>
      <w:r>
        <w:rPr>
          <w:rFonts w:ascii="Arial" w:eastAsia="SimSun" w:hAnsi="Arial" w:cs="Arial"/>
          <w:bCs/>
          <w:sz w:val="22"/>
          <w:szCs w:val="22"/>
          <w:lang w:val="fr-FR" w:eastAsia="en-US"/>
        </w:rPr>
        <w:t xml:space="preserve">au sein de </w:t>
      </w:r>
      <w:r w:rsidRPr="001D0637">
        <w:rPr>
          <w:rFonts w:ascii="Arial" w:eastAsia="SimSun" w:hAnsi="Arial" w:cs="Arial"/>
          <w:bCs/>
          <w:sz w:val="22"/>
          <w:szCs w:val="22"/>
          <w:lang w:val="fr-FR" w:eastAsia="en-US"/>
        </w:rPr>
        <w:t xml:space="preserve">ce forum mais </w:t>
      </w:r>
      <w:r w:rsidRPr="001D0637">
        <w:rPr>
          <w:rFonts w:ascii="Arial" w:eastAsia="SimSun" w:hAnsi="Arial" w:cs="Arial"/>
          <w:bCs/>
          <w:color w:val="000000" w:themeColor="text1"/>
          <w:sz w:val="22"/>
          <w:szCs w:val="22"/>
          <w:lang w:val="fr-FR" w:eastAsia="en-US"/>
        </w:rPr>
        <w:t>également</w:t>
      </w:r>
      <w:r>
        <w:rPr>
          <w:rFonts w:ascii="Arial" w:eastAsia="SimSun" w:hAnsi="Arial" w:cs="Arial"/>
          <w:bCs/>
          <w:color w:val="000000" w:themeColor="text1"/>
          <w:sz w:val="22"/>
          <w:szCs w:val="22"/>
          <w:lang w:val="fr-FR" w:eastAsia="en-US"/>
        </w:rPr>
        <w:t xml:space="preserve"> </w:t>
      </w:r>
      <w:r w:rsidRPr="001D0637">
        <w:rPr>
          <w:rFonts w:ascii="Arial" w:eastAsia="SimSun" w:hAnsi="Arial" w:cs="Arial"/>
          <w:bCs/>
          <w:sz w:val="22"/>
          <w:szCs w:val="22"/>
          <w:lang w:val="fr-FR" w:eastAsia="en-US"/>
        </w:rPr>
        <w:t>dans d</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 xml:space="preserve">autres domaines. Le Secrétariat </w:t>
      </w:r>
      <w:r>
        <w:rPr>
          <w:rFonts w:ascii="Arial" w:eastAsia="SimSun" w:hAnsi="Arial" w:cs="Arial"/>
          <w:bCs/>
          <w:sz w:val="22"/>
          <w:szCs w:val="22"/>
          <w:lang w:val="fr-FR" w:eastAsia="en-US"/>
        </w:rPr>
        <w:t xml:space="preserve">était </w:t>
      </w:r>
      <w:r w:rsidRPr="001D0637">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 xml:space="preserve">accord avec les délégations qui </w:t>
      </w:r>
      <w:r>
        <w:rPr>
          <w:rFonts w:ascii="Arial" w:eastAsia="SimSun" w:hAnsi="Arial" w:cs="Arial"/>
          <w:bCs/>
          <w:sz w:val="22"/>
          <w:szCs w:val="22"/>
          <w:lang w:val="fr-FR" w:eastAsia="en-US"/>
        </w:rPr>
        <w:t>avaient</w:t>
      </w:r>
      <w:r w:rsidRPr="001D0637">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fait part de </w:t>
      </w:r>
      <w:r w:rsidRPr="001D0637">
        <w:rPr>
          <w:rFonts w:ascii="Arial" w:eastAsia="SimSun" w:hAnsi="Arial" w:cs="Arial"/>
          <w:bCs/>
          <w:sz w:val="22"/>
          <w:szCs w:val="22"/>
          <w:lang w:val="fr-FR" w:eastAsia="en-US"/>
        </w:rPr>
        <w:t>cette préoccupation</w:t>
      </w:r>
      <w:r>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 xml:space="preserve"> et il partage</w:t>
      </w:r>
      <w:r>
        <w:rPr>
          <w:rFonts w:ascii="Arial" w:eastAsia="SimSun" w:hAnsi="Arial" w:cs="Arial"/>
          <w:bCs/>
          <w:sz w:val="22"/>
          <w:szCs w:val="22"/>
          <w:lang w:val="fr-FR" w:eastAsia="en-US"/>
        </w:rPr>
        <w:t>ait</w:t>
      </w:r>
      <w:r w:rsidRPr="001D0637">
        <w:rPr>
          <w:rFonts w:ascii="Arial" w:eastAsia="SimSun" w:hAnsi="Arial" w:cs="Arial"/>
          <w:bCs/>
          <w:sz w:val="22"/>
          <w:szCs w:val="22"/>
          <w:lang w:val="fr-FR" w:eastAsia="en-US"/>
        </w:rPr>
        <w:t xml:space="preserve"> leurs observations, comme l</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a</w:t>
      </w:r>
      <w:r>
        <w:rPr>
          <w:rFonts w:ascii="Arial" w:eastAsia="SimSun" w:hAnsi="Arial" w:cs="Arial"/>
          <w:bCs/>
          <w:sz w:val="22"/>
          <w:szCs w:val="22"/>
          <w:lang w:val="fr-FR" w:eastAsia="en-US"/>
        </w:rPr>
        <w:t>vait</w:t>
      </w:r>
      <w:r w:rsidRPr="001D0637">
        <w:rPr>
          <w:rFonts w:ascii="Arial" w:eastAsia="SimSun" w:hAnsi="Arial" w:cs="Arial"/>
          <w:bCs/>
          <w:sz w:val="22"/>
          <w:szCs w:val="22"/>
          <w:lang w:val="fr-FR" w:eastAsia="en-US"/>
        </w:rPr>
        <w:t xml:space="preserve"> également recommandé l</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IOS dans son évaluation</w:t>
      </w:r>
      <w:r>
        <w:rPr>
          <w:rFonts w:ascii="Arial" w:eastAsia="SimSun" w:hAnsi="Arial" w:cs="Arial"/>
          <w:bCs/>
          <w:sz w:val="22"/>
          <w:szCs w:val="22"/>
          <w:lang w:val="fr-FR" w:eastAsia="en-US"/>
        </w:rPr>
        <w:t>, qui avait souligné</w:t>
      </w:r>
      <w:r w:rsidRPr="001D0637">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 xml:space="preserve">importance de la hiérarchisation des travaux. </w:t>
      </w:r>
      <w:r w:rsidR="00E23FFC" w:rsidRPr="00E23FFC">
        <w:rPr>
          <w:rFonts w:ascii="Arial" w:eastAsia="SimSun" w:hAnsi="Arial" w:cs="Arial"/>
          <w:bCs/>
          <w:sz w:val="22"/>
          <w:szCs w:val="22"/>
          <w:lang w:val="fr-FR" w:eastAsia="en-US"/>
        </w:rPr>
        <w:t xml:space="preserve">Le Sous-Directeur général </w:t>
      </w:r>
      <w:r w:rsidRPr="001D0637">
        <w:rPr>
          <w:rFonts w:ascii="Arial" w:eastAsia="SimSun" w:hAnsi="Arial" w:cs="Arial"/>
          <w:bCs/>
          <w:sz w:val="22"/>
          <w:szCs w:val="22"/>
          <w:lang w:val="fr-FR" w:eastAsia="en-US"/>
        </w:rPr>
        <w:t xml:space="preserve">a remercié les délégations pour leurs commentaires, notant les nombreuses initiatives </w:t>
      </w:r>
      <w:r>
        <w:rPr>
          <w:rFonts w:ascii="Arial" w:eastAsia="SimSun" w:hAnsi="Arial" w:cs="Arial"/>
          <w:bCs/>
          <w:sz w:val="22"/>
          <w:szCs w:val="22"/>
          <w:lang w:val="fr-FR" w:eastAsia="en-US"/>
        </w:rPr>
        <w:t>entre</w:t>
      </w:r>
      <w:r w:rsidRPr="001D0637">
        <w:rPr>
          <w:rFonts w:ascii="Arial" w:eastAsia="SimSun" w:hAnsi="Arial" w:cs="Arial"/>
          <w:bCs/>
          <w:sz w:val="22"/>
          <w:szCs w:val="22"/>
          <w:lang w:val="fr-FR" w:eastAsia="en-US"/>
        </w:rPr>
        <w:t>prises au cours des deux dernières années qui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étaient</w:t>
      </w:r>
      <w:r w:rsidRPr="001D0637">
        <w:rPr>
          <w:rFonts w:ascii="Arial" w:eastAsia="SimSun" w:hAnsi="Arial" w:cs="Arial"/>
          <w:bCs/>
          <w:sz w:val="22"/>
          <w:szCs w:val="22"/>
          <w:lang w:val="fr-FR" w:eastAsia="en-US"/>
        </w:rPr>
        <w:t xml:space="preserve"> avérées être une période très intense. Quant au Secrétariat, il a</w:t>
      </w:r>
      <w:r>
        <w:rPr>
          <w:rFonts w:ascii="Arial" w:eastAsia="SimSun" w:hAnsi="Arial" w:cs="Arial"/>
          <w:bCs/>
          <w:sz w:val="22"/>
          <w:szCs w:val="22"/>
          <w:lang w:val="fr-FR" w:eastAsia="en-US"/>
        </w:rPr>
        <w:t>vait</w:t>
      </w:r>
      <w:r w:rsidRPr="001D0637">
        <w:rPr>
          <w:rFonts w:ascii="Arial" w:eastAsia="SimSun" w:hAnsi="Arial" w:cs="Arial"/>
          <w:bCs/>
          <w:sz w:val="22"/>
          <w:szCs w:val="22"/>
          <w:lang w:val="fr-FR" w:eastAsia="en-US"/>
        </w:rPr>
        <w:t xml:space="preserve"> déployé de grands efforts, et </w:t>
      </w:r>
      <w:r w:rsidR="00E23FFC">
        <w:rPr>
          <w:rFonts w:ascii="Arial" w:eastAsia="SimSun" w:hAnsi="Arial" w:cs="Arial"/>
          <w:bCs/>
          <w:sz w:val="22"/>
          <w:szCs w:val="22"/>
          <w:lang w:val="fr-FR" w:eastAsia="en-US"/>
        </w:rPr>
        <w:t>l</w:t>
      </w:r>
      <w:r w:rsidR="00E23FFC" w:rsidRPr="00E23FFC">
        <w:rPr>
          <w:rFonts w:ascii="Arial" w:eastAsia="SimSun" w:hAnsi="Arial" w:cs="Arial"/>
          <w:bCs/>
          <w:sz w:val="22"/>
          <w:szCs w:val="22"/>
          <w:lang w:val="fr-FR" w:eastAsia="en-US"/>
        </w:rPr>
        <w:t xml:space="preserve">e Sous-Directeur général </w:t>
      </w:r>
      <w:r>
        <w:rPr>
          <w:rFonts w:ascii="Arial" w:eastAsia="SimSun" w:hAnsi="Arial" w:cs="Arial"/>
          <w:bCs/>
          <w:sz w:val="22"/>
          <w:szCs w:val="22"/>
          <w:lang w:val="fr-FR" w:eastAsia="en-US"/>
        </w:rPr>
        <w:t>était</w:t>
      </w:r>
      <w:r w:rsidRPr="001D0637">
        <w:rPr>
          <w:rFonts w:ascii="Arial" w:eastAsia="SimSun" w:hAnsi="Arial" w:cs="Arial"/>
          <w:bCs/>
          <w:sz w:val="22"/>
          <w:szCs w:val="22"/>
          <w:lang w:val="fr-FR" w:eastAsia="en-US"/>
        </w:rPr>
        <w:t xml:space="preserve"> heureux d</w:t>
      </w:r>
      <w:r w:rsidR="008E532B">
        <w:rPr>
          <w:rFonts w:ascii="Arial" w:eastAsia="SimSun" w:hAnsi="Arial" w:cs="Arial"/>
          <w:bCs/>
          <w:sz w:val="22"/>
          <w:szCs w:val="22"/>
          <w:lang w:val="fr-FR" w:eastAsia="en-US"/>
        </w:rPr>
        <w:t>’</w:t>
      </w:r>
      <w:r w:rsidRPr="001D0637">
        <w:rPr>
          <w:rFonts w:ascii="Arial" w:eastAsia="SimSun" w:hAnsi="Arial" w:cs="Arial"/>
          <w:bCs/>
          <w:sz w:val="22"/>
          <w:szCs w:val="22"/>
          <w:lang w:val="fr-FR" w:eastAsia="en-US"/>
        </w:rPr>
        <w:t xml:space="preserve">entendre </w:t>
      </w:r>
      <w:r>
        <w:rPr>
          <w:rFonts w:ascii="Arial" w:eastAsia="SimSun" w:hAnsi="Arial" w:cs="Arial"/>
          <w:bCs/>
          <w:sz w:val="22"/>
          <w:szCs w:val="22"/>
          <w:lang w:val="fr-FR" w:eastAsia="en-US"/>
        </w:rPr>
        <w:t xml:space="preserve">que </w:t>
      </w:r>
      <w:r w:rsidRPr="001D0637">
        <w:rPr>
          <w:rFonts w:ascii="Arial" w:eastAsia="SimSun" w:hAnsi="Arial" w:cs="Arial"/>
          <w:bCs/>
          <w:sz w:val="22"/>
          <w:szCs w:val="22"/>
          <w:lang w:val="fr-FR" w:eastAsia="en-US"/>
        </w:rPr>
        <w:t>les nombreuses délégations apprécia</w:t>
      </w:r>
      <w:r>
        <w:rPr>
          <w:rFonts w:ascii="Arial" w:eastAsia="SimSun" w:hAnsi="Arial" w:cs="Arial"/>
          <w:bCs/>
          <w:sz w:val="22"/>
          <w:szCs w:val="22"/>
          <w:lang w:val="fr-FR" w:eastAsia="en-US"/>
        </w:rPr>
        <w:t>ient l</w:t>
      </w:r>
      <w:r w:rsidRPr="001D0637">
        <w:rPr>
          <w:rFonts w:ascii="Arial" w:eastAsia="SimSun" w:hAnsi="Arial" w:cs="Arial"/>
          <w:bCs/>
          <w:sz w:val="22"/>
          <w:szCs w:val="22"/>
          <w:lang w:val="fr-FR" w:eastAsia="en-US"/>
        </w:rPr>
        <w:t>es résultats.</w:t>
      </w:r>
    </w:p>
    <w:p w14:paraId="4EABC877" w14:textId="38534F76" w:rsidR="00D9653F" w:rsidRPr="001B145F"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1B145F">
        <w:rPr>
          <w:rFonts w:ascii="Arial" w:eastAsia="SimSun" w:hAnsi="Arial" w:cs="Arial"/>
          <w:bCs/>
          <w:sz w:val="22"/>
          <w:szCs w:val="22"/>
          <w:lang w:val="fr-FR" w:eastAsia="en-US"/>
        </w:rPr>
        <w:t xml:space="preserve">La délégation </w:t>
      </w:r>
      <w:r>
        <w:rPr>
          <w:rFonts w:ascii="Arial" w:eastAsia="SimSun" w:hAnsi="Arial" w:cs="Arial"/>
          <w:bCs/>
          <w:sz w:val="22"/>
          <w:szCs w:val="22"/>
          <w:lang w:val="fr-FR" w:eastAsia="en-US"/>
        </w:rPr>
        <w:t>de l</w:t>
      </w:r>
      <w:r w:rsidR="008E532B">
        <w:rPr>
          <w:rFonts w:ascii="Arial" w:eastAsia="SimSun" w:hAnsi="Arial" w:cs="Arial"/>
          <w:bCs/>
          <w:sz w:val="22"/>
          <w:szCs w:val="22"/>
          <w:lang w:val="fr-FR" w:eastAsia="en-US"/>
        </w:rPr>
        <w:t>’</w:t>
      </w:r>
      <w:r w:rsidRPr="001B145F">
        <w:rPr>
          <w:rFonts w:ascii="Arial" w:eastAsia="SimSun" w:hAnsi="Arial" w:cs="Arial"/>
          <w:b/>
          <w:sz w:val="22"/>
          <w:szCs w:val="22"/>
          <w:lang w:val="fr-FR" w:eastAsia="en-US"/>
        </w:rPr>
        <w:t>Italie</w:t>
      </w:r>
      <w:r>
        <w:rPr>
          <w:rFonts w:ascii="Arial" w:eastAsia="SimSun" w:hAnsi="Arial" w:cs="Arial"/>
          <w:bCs/>
          <w:sz w:val="22"/>
          <w:szCs w:val="22"/>
          <w:lang w:val="fr-FR" w:eastAsia="en-US"/>
        </w:rPr>
        <w:t xml:space="preserve"> </w:t>
      </w:r>
      <w:r w:rsidRPr="001B145F">
        <w:rPr>
          <w:rFonts w:ascii="Arial" w:eastAsia="SimSun" w:hAnsi="Arial" w:cs="Arial"/>
          <w:bCs/>
          <w:sz w:val="22"/>
          <w:szCs w:val="22"/>
          <w:lang w:val="fr-FR" w:eastAsia="en-US"/>
        </w:rPr>
        <w:t xml:space="preserve">a félicité la Présidente pour son élection et les autres membres du Bureau, en leur offrant son plein soutien. Elle </w:t>
      </w:r>
      <w:r>
        <w:rPr>
          <w:rFonts w:ascii="Arial" w:eastAsia="SimSun" w:hAnsi="Arial" w:cs="Arial"/>
          <w:bCs/>
          <w:sz w:val="22"/>
          <w:szCs w:val="22"/>
          <w:lang w:val="fr-FR" w:eastAsia="en-US"/>
        </w:rPr>
        <w:t xml:space="preserve">a </w:t>
      </w:r>
      <w:r w:rsidRPr="001B145F">
        <w:rPr>
          <w:rFonts w:ascii="Arial" w:eastAsia="SimSun" w:hAnsi="Arial" w:cs="Arial"/>
          <w:bCs/>
          <w:sz w:val="22"/>
          <w:szCs w:val="22"/>
          <w:lang w:val="fr-FR" w:eastAsia="en-US"/>
        </w:rPr>
        <w:t>estim</w:t>
      </w:r>
      <w:r>
        <w:rPr>
          <w:rFonts w:ascii="Arial" w:eastAsia="SimSun" w:hAnsi="Arial" w:cs="Arial"/>
          <w:bCs/>
          <w:sz w:val="22"/>
          <w:szCs w:val="22"/>
          <w:lang w:val="fr-FR" w:eastAsia="en-US"/>
        </w:rPr>
        <w:t>é</w:t>
      </w:r>
      <w:r w:rsidRPr="001B145F">
        <w:rPr>
          <w:rFonts w:ascii="Arial" w:eastAsia="SimSun" w:hAnsi="Arial" w:cs="Arial"/>
          <w:bCs/>
          <w:sz w:val="22"/>
          <w:szCs w:val="22"/>
          <w:lang w:val="fr-FR" w:eastAsia="en-US"/>
        </w:rPr>
        <w:t xml:space="preserve"> que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1B145F">
        <w:rPr>
          <w:rFonts w:ascii="Arial" w:eastAsia="SimSun" w:hAnsi="Arial" w:cs="Arial"/>
          <w:bCs/>
          <w:sz w:val="22"/>
          <w:szCs w:val="22"/>
          <w:lang w:val="fr-FR" w:eastAsia="en-US"/>
        </w:rPr>
        <w:t xml:space="preserve">est un facteur important pour la diversité culturelle et que la connaissance du patrimoine culturel des différentes communautés est vitale pour le dialogue interculturel et le respect mutuel. Ceci </w:t>
      </w:r>
      <w:r>
        <w:rPr>
          <w:rFonts w:ascii="Arial" w:eastAsia="SimSun" w:hAnsi="Arial" w:cs="Arial"/>
          <w:bCs/>
          <w:sz w:val="22"/>
          <w:szCs w:val="22"/>
          <w:lang w:val="fr-FR" w:eastAsia="en-US"/>
        </w:rPr>
        <w:t>était</w:t>
      </w:r>
      <w:r w:rsidRPr="001B145F">
        <w:rPr>
          <w:rFonts w:ascii="Arial" w:eastAsia="SimSun" w:hAnsi="Arial" w:cs="Arial"/>
          <w:bCs/>
          <w:sz w:val="22"/>
          <w:szCs w:val="22"/>
          <w:lang w:val="fr-FR" w:eastAsia="en-US"/>
        </w:rPr>
        <w:t xml:space="preserve"> particulièrement vrai dans les situations de crise. La période </w:t>
      </w:r>
      <w:r>
        <w:rPr>
          <w:rFonts w:ascii="Arial" w:eastAsia="SimSun" w:hAnsi="Arial" w:cs="Arial"/>
          <w:bCs/>
          <w:sz w:val="22"/>
          <w:szCs w:val="22"/>
          <w:lang w:val="fr-FR" w:eastAsia="en-US"/>
        </w:rPr>
        <w:t xml:space="preserve">concernée par le rapport </w:t>
      </w:r>
      <w:r w:rsidRPr="001B145F">
        <w:rPr>
          <w:rFonts w:ascii="Arial" w:eastAsia="SimSun" w:hAnsi="Arial" w:cs="Arial"/>
          <w:bCs/>
          <w:sz w:val="22"/>
          <w:szCs w:val="22"/>
          <w:lang w:val="fr-FR" w:eastAsia="en-US"/>
        </w:rPr>
        <w:t>a</w:t>
      </w:r>
      <w:r>
        <w:rPr>
          <w:rFonts w:ascii="Arial" w:eastAsia="SimSun" w:hAnsi="Arial" w:cs="Arial"/>
          <w:bCs/>
          <w:sz w:val="22"/>
          <w:szCs w:val="22"/>
          <w:lang w:val="fr-FR" w:eastAsia="en-US"/>
        </w:rPr>
        <w:t>vait</w:t>
      </w:r>
      <w:r w:rsidRPr="001B145F">
        <w:rPr>
          <w:rFonts w:ascii="Arial" w:eastAsia="SimSun" w:hAnsi="Arial" w:cs="Arial"/>
          <w:bCs/>
          <w:sz w:val="22"/>
          <w:szCs w:val="22"/>
          <w:lang w:val="fr-FR" w:eastAsia="en-US"/>
        </w:rPr>
        <w:t xml:space="preserve"> été unique et extraordinaire, mais l</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UNESCO a</w:t>
      </w:r>
      <w:r>
        <w:rPr>
          <w:rFonts w:ascii="Arial" w:eastAsia="SimSun" w:hAnsi="Arial" w:cs="Arial"/>
          <w:bCs/>
          <w:sz w:val="22"/>
          <w:szCs w:val="22"/>
          <w:lang w:val="fr-FR" w:eastAsia="en-US"/>
        </w:rPr>
        <w:t>vait</w:t>
      </w:r>
      <w:r w:rsidRPr="001B145F">
        <w:rPr>
          <w:rFonts w:ascii="Arial" w:eastAsia="SimSun" w:hAnsi="Arial" w:cs="Arial"/>
          <w:bCs/>
          <w:sz w:val="22"/>
          <w:szCs w:val="22"/>
          <w:lang w:val="fr-FR" w:eastAsia="en-US"/>
        </w:rPr>
        <w:t xml:space="preserve"> déployé d</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immenses efforts pour répondre rapidement et efficacement à la situation dans tous ses domaines de compétence. Face à ces défis</w:t>
      </w:r>
      <w:r>
        <w:rPr>
          <w:rFonts w:ascii="Arial" w:eastAsia="SimSun" w:hAnsi="Arial" w:cs="Arial"/>
          <w:bCs/>
          <w:sz w:val="22"/>
          <w:szCs w:val="22"/>
          <w:lang w:val="fr-FR" w:eastAsia="en-US"/>
        </w:rPr>
        <w:t xml:space="preserve">, </w:t>
      </w:r>
      <w:r w:rsidRPr="001B145F">
        <w:rPr>
          <w:rFonts w:ascii="Arial" w:eastAsia="SimSun" w:hAnsi="Arial" w:cs="Arial"/>
          <w:bCs/>
          <w:sz w:val="22"/>
          <w:szCs w:val="22"/>
          <w:lang w:val="fr-FR" w:eastAsia="en-US"/>
        </w:rPr>
        <w:t>de la crise sanitaire aux conflits en cours dans plusieurs pays</w:t>
      </w:r>
      <w:r>
        <w:rPr>
          <w:rFonts w:ascii="Arial" w:eastAsia="SimSun" w:hAnsi="Arial" w:cs="Arial"/>
          <w:bCs/>
          <w:sz w:val="22"/>
          <w:szCs w:val="22"/>
          <w:lang w:val="fr-FR" w:eastAsia="en-US"/>
        </w:rPr>
        <w:t xml:space="preserve">, </w:t>
      </w:r>
      <w:r w:rsidRPr="001B145F">
        <w:rPr>
          <w:rFonts w:ascii="Arial" w:eastAsia="SimSun" w:hAnsi="Arial" w:cs="Arial"/>
          <w:bCs/>
          <w:sz w:val="22"/>
          <w:szCs w:val="22"/>
          <w:lang w:val="fr-FR" w:eastAsia="en-US"/>
        </w:rPr>
        <w:t>la Convention avait une fois de plus démontré sa grande valeur et sa pertinence. À ce</w:t>
      </w:r>
      <w:r>
        <w:rPr>
          <w:rFonts w:ascii="Arial" w:eastAsia="SimSun" w:hAnsi="Arial" w:cs="Arial"/>
          <w:bCs/>
          <w:sz w:val="22"/>
          <w:szCs w:val="22"/>
          <w:lang w:val="fr-FR" w:eastAsia="en-US"/>
        </w:rPr>
        <w:t xml:space="preserve"> sujet</w:t>
      </w:r>
      <w:r w:rsidRPr="001B145F">
        <w:rPr>
          <w:rFonts w:ascii="Arial" w:eastAsia="SimSun" w:hAnsi="Arial" w:cs="Arial"/>
          <w:bCs/>
          <w:sz w:val="22"/>
          <w:szCs w:val="22"/>
          <w:lang w:val="fr-FR" w:eastAsia="en-US"/>
        </w:rPr>
        <w:t>, l</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Italie s</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 xml:space="preserve">est alignée sur les remarques précédentes concernant la récente inscription du bortsch ukrainien sur la </w:t>
      </w:r>
      <w:r>
        <w:rPr>
          <w:rFonts w:ascii="Arial" w:eastAsia="SimSun" w:hAnsi="Arial" w:cs="Arial"/>
          <w:bCs/>
          <w:sz w:val="22"/>
          <w:szCs w:val="22"/>
          <w:lang w:val="fr-FR" w:eastAsia="en-US"/>
        </w:rPr>
        <w:t>l</w:t>
      </w:r>
      <w:r w:rsidRPr="001B145F">
        <w:rPr>
          <w:rFonts w:ascii="Arial" w:eastAsia="SimSun" w:hAnsi="Arial" w:cs="Arial"/>
          <w:bCs/>
          <w:sz w:val="22"/>
          <w:szCs w:val="22"/>
          <w:lang w:val="fr-FR" w:eastAsia="en-US"/>
        </w:rPr>
        <w:t xml:space="preserve">iste </w:t>
      </w:r>
      <w:r>
        <w:rPr>
          <w:rFonts w:ascii="Arial" w:eastAsia="SimSun" w:hAnsi="Arial" w:cs="Arial"/>
          <w:bCs/>
          <w:sz w:val="22"/>
          <w:szCs w:val="22"/>
          <w:lang w:val="fr-FR" w:eastAsia="en-US"/>
        </w:rPr>
        <w:t xml:space="preserve">du </w:t>
      </w:r>
      <w:r w:rsidRPr="00400760">
        <w:rPr>
          <w:rFonts w:ascii="Arial" w:eastAsia="SimSun" w:hAnsi="Arial" w:cs="Arial"/>
          <w:bCs/>
          <w:sz w:val="22"/>
          <w:szCs w:val="22"/>
          <w:lang w:val="fr-FR" w:eastAsia="en-US"/>
        </w:rPr>
        <w:t>patrimoine</w:t>
      </w:r>
      <w:r>
        <w:rPr>
          <w:rFonts w:ascii="Arial" w:eastAsia="SimSun" w:hAnsi="Arial" w:cs="Arial"/>
          <w:bCs/>
          <w:sz w:val="22"/>
          <w:szCs w:val="22"/>
          <w:lang w:val="fr-FR" w:eastAsia="en-US"/>
        </w:rPr>
        <w:t xml:space="preserve"> immatériel</w:t>
      </w:r>
      <w:r w:rsidRPr="001B145F">
        <w:rPr>
          <w:rFonts w:ascii="Arial" w:eastAsia="SimSun" w:hAnsi="Arial" w:cs="Arial"/>
          <w:bCs/>
          <w:sz w:val="22"/>
          <w:szCs w:val="22"/>
          <w:lang w:val="fr-FR" w:eastAsia="en-US"/>
        </w:rPr>
        <w:t>, exprimant son soutien total à l</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 xml:space="preserve">Ukraine, tout en soulignant la nécessité de protéger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1B145F">
        <w:rPr>
          <w:rFonts w:ascii="Arial" w:eastAsia="SimSun" w:hAnsi="Arial" w:cs="Arial"/>
          <w:bCs/>
          <w:sz w:val="22"/>
          <w:szCs w:val="22"/>
          <w:lang w:val="fr-FR" w:eastAsia="en-US"/>
        </w:rPr>
        <w:t>des pays dans ces moments de crise. Le rapport du Secrétariat a</w:t>
      </w:r>
      <w:r>
        <w:rPr>
          <w:rFonts w:ascii="Arial" w:eastAsia="SimSun" w:hAnsi="Arial" w:cs="Arial"/>
          <w:bCs/>
          <w:sz w:val="22"/>
          <w:szCs w:val="22"/>
          <w:lang w:val="fr-FR" w:eastAsia="en-US"/>
        </w:rPr>
        <w:t>vait</w:t>
      </w:r>
      <w:r w:rsidRPr="001B145F">
        <w:rPr>
          <w:rFonts w:ascii="Arial" w:eastAsia="SimSun" w:hAnsi="Arial" w:cs="Arial"/>
          <w:bCs/>
          <w:sz w:val="22"/>
          <w:szCs w:val="22"/>
          <w:lang w:val="fr-FR" w:eastAsia="en-US"/>
        </w:rPr>
        <w:t xml:space="preserve"> identifié de nombreux points que la délégation consid</w:t>
      </w:r>
      <w:r>
        <w:rPr>
          <w:rFonts w:ascii="Arial" w:eastAsia="SimSun" w:hAnsi="Arial" w:cs="Arial"/>
          <w:bCs/>
          <w:sz w:val="22"/>
          <w:szCs w:val="22"/>
          <w:lang w:val="fr-FR" w:eastAsia="en-US"/>
        </w:rPr>
        <w:t>érait</w:t>
      </w:r>
      <w:r w:rsidRPr="001B145F">
        <w:rPr>
          <w:rFonts w:ascii="Arial" w:eastAsia="SimSun" w:hAnsi="Arial" w:cs="Arial"/>
          <w:bCs/>
          <w:sz w:val="22"/>
          <w:szCs w:val="22"/>
          <w:lang w:val="fr-FR" w:eastAsia="en-US"/>
        </w:rPr>
        <w:t xml:space="preserve"> très importants pour la future mise en œuvre de la Convention, notamment : i) la réforme des rapports périodiques</w:t>
      </w:r>
      <w:r>
        <w:rPr>
          <w:rFonts w:ascii="Arial" w:eastAsia="SimSun" w:hAnsi="Arial" w:cs="Arial"/>
          <w:bCs/>
          <w:sz w:val="22"/>
          <w:szCs w:val="22"/>
          <w:lang w:val="fr-FR" w:eastAsia="en-US"/>
        </w:rPr>
        <w:t> </w:t>
      </w:r>
      <w:r w:rsidRPr="001B145F">
        <w:rPr>
          <w:rFonts w:ascii="Arial" w:eastAsia="SimSun" w:hAnsi="Arial" w:cs="Arial"/>
          <w:bCs/>
          <w:sz w:val="22"/>
          <w:szCs w:val="22"/>
          <w:lang w:val="fr-FR" w:eastAsia="en-US"/>
        </w:rPr>
        <w:t>; ii) le rôle de la société civile dans la mise en œuvre de la Convention</w:t>
      </w:r>
      <w:r>
        <w:rPr>
          <w:rFonts w:ascii="Arial" w:eastAsia="SimSun" w:hAnsi="Arial" w:cs="Arial"/>
          <w:bCs/>
          <w:sz w:val="22"/>
          <w:szCs w:val="22"/>
          <w:lang w:val="fr-FR" w:eastAsia="en-US"/>
        </w:rPr>
        <w:t> </w:t>
      </w:r>
      <w:r w:rsidRPr="001B145F">
        <w:rPr>
          <w:rFonts w:ascii="Arial" w:eastAsia="SimSun" w:hAnsi="Arial" w:cs="Arial"/>
          <w:bCs/>
          <w:sz w:val="22"/>
          <w:szCs w:val="22"/>
          <w:lang w:val="fr-FR" w:eastAsia="en-US"/>
        </w:rPr>
        <w:t>; iii) les mesures de renforcement des capacités</w:t>
      </w:r>
      <w:r>
        <w:rPr>
          <w:rFonts w:ascii="Arial" w:eastAsia="SimSun" w:hAnsi="Arial" w:cs="Arial"/>
          <w:bCs/>
          <w:sz w:val="22"/>
          <w:szCs w:val="22"/>
          <w:lang w:val="fr-FR" w:eastAsia="en-US"/>
        </w:rPr>
        <w:t> </w:t>
      </w:r>
      <w:r w:rsidRPr="001B145F">
        <w:rPr>
          <w:rFonts w:ascii="Arial" w:eastAsia="SimSun" w:hAnsi="Arial" w:cs="Arial"/>
          <w:bCs/>
          <w:sz w:val="22"/>
          <w:szCs w:val="22"/>
          <w:lang w:val="fr-FR" w:eastAsia="en-US"/>
        </w:rPr>
        <w:t>; iv) l</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importance des liens entre le patrimoine vivant et le développement durable</w:t>
      </w:r>
      <w:r>
        <w:rPr>
          <w:rFonts w:ascii="Arial" w:eastAsia="SimSun" w:hAnsi="Arial" w:cs="Arial"/>
          <w:bCs/>
          <w:sz w:val="22"/>
          <w:szCs w:val="22"/>
          <w:lang w:val="fr-FR" w:eastAsia="en-US"/>
        </w:rPr>
        <w:t> </w:t>
      </w:r>
      <w:r w:rsidRPr="001B145F">
        <w:rPr>
          <w:rFonts w:ascii="Arial" w:eastAsia="SimSun" w:hAnsi="Arial" w:cs="Arial"/>
          <w:bCs/>
          <w:sz w:val="22"/>
          <w:szCs w:val="22"/>
          <w:lang w:val="fr-FR" w:eastAsia="en-US"/>
        </w:rPr>
        <w:t>; v) le rôle de l</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éducation</w:t>
      </w:r>
      <w:r>
        <w:rPr>
          <w:rFonts w:ascii="Arial" w:eastAsia="SimSun" w:hAnsi="Arial" w:cs="Arial"/>
          <w:bCs/>
          <w:sz w:val="22"/>
          <w:szCs w:val="22"/>
          <w:lang w:val="fr-FR" w:eastAsia="en-US"/>
        </w:rPr>
        <w:t> </w:t>
      </w:r>
      <w:r w:rsidRPr="001B145F">
        <w:rPr>
          <w:rFonts w:ascii="Arial" w:eastAsia="SimSun" w:hAnsi="Arial" w:cs="Arial"/>
          <w:bCs/>
          <w:sz w:val="22"/>
          <w:szCs w:val="22"/>
          <w:lang w:val="fr-FR" w:eastAsia="en-US"/>
        </w:rPr>
        <w:t>; et vi) le rôle de la jeunesse. Dans ce contexte, l</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Italie attach</w:t>
      </w:r>
      <w:r>
        <w:rPr>
          <w:rFonts w:ascii="Arial" w:eastAsia="SimSun" w:hAnsi="Arial" w:cs="Arial"/>
          <w:bCs/>
          <w:sz w:val="22"/>
          <w:szCs w:val="22"/>
          <w:lang w:val="fr-FR" w:eastAsia="en-US"/>
        </w:rPr>
        <w:t>ait</w:t>
      </w:r>
      <w:r w:rsidRPr="001B145F">
        <w:rPr>
          <w:rFonts w:ascii="Arial" w:eastAsia="SimSun" w:hAnsi="Arial" w:cs="Arial"/>
          <w:bCs/>
          <w:sz w:val="22"/>
          <w:szCs w:val="22"/>
          <w:lang w:val="fr-FR" w:eastAsia="en-US"/>
        </w:rPr>
        <w:t xml:space="preserve"> une grande importance à la réflexion sur les nouveaux mécanismes d</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inscription, qui a</w:t>
      </w:r>
      <w:r>
        <w:rPr>
          <w:rFonts w:ascii="Arial" w:eastAsia="SimSun" w:hAnsi="Arial" w:cs="Arial"/>
          <w:bCs/>
          <w:sz w:val="22"/>
          <w:szCs w:val="22"/>
          <w:lang w:val="fr-FR" w:eastAsia="en-US"/>
        </w:rPr>
        <w:t>vait</w:t>
      </w:r>
      <w:r w:rsidRPr="001B145F">
        <w:rPr>
          <w:rFonts w:ascii="Arial" w:eastAsia="SimSun" w:hAnsi="Arial" w:cs="Arial"/>
          <w:bCs/>
          <w:sz w:val="22"/>
          <w:szCs w:val="22"/>
          <w:lang w:val="fr-FR" w:eastAsia="en-US"/>
        </w:rPr>
        <w:t xml:space="preserve"> donné lieu à l</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adoption d</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un nouveau texte rédigé lors de la session extraordinaire du Comité d</w:t>
      </w:r>
      <w:r>
        <w:rPr>
          <w:rFonts w:ascii="Arial" w:eastAsia="SimSun" w:hAnsi="Arial" w:cs="Arial"/>
          <w:bCs/>
          <w:sz w:val="22"/>
          <w:szCs w:val="22"/>
          <w:lang w:val="fr-FR" w:eastAsia="en-US"/>
        </w:rPr>
        <w:t>u 1</w:t>
      </w:r>
      <w:r w:rsidRPr="006E6F6A">
        <w:rPr>
          <w:rFonts w:ascii="Arial" w:eastAsia="SimSun" w:hAnsi="Arial" w:cs="Arial"/>
          <w:bCs/>
          <w:sz w:val="22"/>
          <w:szCs w:val="22"/>
          <w:vertAlign w:val="superscript"/>
          <w:lang w:val="fr-FR" w:eastAsia="en-US"/>
        </w:rPr>
        <w:t>er</w:t>
      </w:r>
      <w:r>
        <w:rPr>
          <w:rFonts w:ascii="Arial" w:eastAsia="SimSun" w:hAnsi="Arial" w:cs="Arial"/>
          <w:bCs/>
          <w:sz w:val="22"/>
          <w:szCs w:val="22"/>
          <w:lang w:val="fr-FR" w:eastAsia="en-US"/>
        </w:rPr>
        <w:t> </w:t>
      </w:r>
      <w:r w:rsidRPr="001B145F">
        <w:rPr>
          <w:rFonts w:ascii="Arial" w:eastAsia="SimSun" w:hAnsi="Arial" w:cs="Arial"/>
          <w:bCs/>
          <w:sz w:val="22"/>
          <w:szCs w:val="22"/>
          <w:lang w:val="fr-FR" w:eastAsia="en-US"/>
        </w:rPr>
        <w:t>juillet, sur lequel cette Assemblée se prononcera</w:t>
      </w:r>
      <w:r>
        <w:rPr>
          <w:rFonts w:ascii="Arial" w:eastAsia="SimSun" w:hAnsi="Arial" w:cs="Arial"/>
          <w:bCs/>
          <w:sz w:val="22"/>
          <w:szCs w:val="22"/>
          <w:lang w:val="fr-FR" w:eastAsia="en-US"/>
        </w:rPr>
        <w:t>it</w:t>
      </w:r>
      <w:r w:rsidRPr="001B145F">
        <w:rPr>
          <w:rFonts w:ascii="Arial" w:eastAsia="SimSun" w:hAnsi="Arial" w:cs="Arial"/>
          <w:bCs/>
          <w:sz w:val="22"/>
          <w:szCs w:val="22"/>
          <w:lang w:val="fr-FR" w:eastAsia="en-US"/>
        </w:rPr>
        <w:t>. L</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Italie s</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est également associée à la Finlande</w:t>
      </w:r>
      <w:r>
        <w:rPr>
          <w:rFonts w:ascii="Arial" w:eastAsia="SimSun" w:hAnsi="Arial" w:cs="Arial"/>
          <w:bCs/>
          <w:sz w:val="22"/>
          <w:szCs w:val="22"/>
          <w:lang w:val="fr-FR" w:eastAsia="en-US"/>
        </w:rPr>
        <w:t xml:space="preserve"> au sujet du</w:t>
      </w:r>
      <w:r w:rsidRPr="001B145F">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r</w:t>
      </w:r>
      <w:r w:rsidRPr="001B145F">
        <w:rPr>
          <w:rFonts w:ascii="Arial" w:eastAsia="SimSun" w:hAnsi="Arial" w:cs="Arial"/>
          <w:bCs/>
          <w:sz w:val="22"/>
          <w:szCs w:val="22"/>
          <w:lang w:val="fr-FR" w:eastAsia="en-US"/>
        </w:rPr>
        <w:t>éseau européen de points focaux, qui constitue le premier réseau de points focaux de la Convention pour les pays des groupes</w:t>
      </w:r>
      <w:r>
        <w:rPr>
          <w:rFonts w:ascii="Arial" w:eastAsia="SimSun" w:hAnsi="Arial" w:cs="Arial"/>
          <w:bCs/>
          <w:sz w:val="22"/>
          <w:szCs w:val="22"/>
          <w:lang w:val="fr-FR" w:eastAsia="en-US"/>
        </w:rPr>
        <w:t> </w:t>
      </w:r>
      <w:r w:rsidRPr="001B145F">
        <w:rPr>
          <w:rFonts w:ascii="Arial" w:eastAsia="SimSun" w:hAnsi="Arial" w:cs="Arial"/>
          <w:bCs/>
          <w:sz w:val="22"/>
          <w:szCs w:val="22"/>
          <w:lang w:val="fr-FR" w:eastAsia="en-US"/>
        </w:rPr>
        <w:t>I et II, et qui se réunira</w:t>
      </w:r>
      <w:r>
        <w:rPr>
          <w:rFonts w:ascii="Arial" w:eastAsia="SimSun" w:hAnsi="Arial" w:cs="Arial"/>
          <w:bCs/>
          <w:sz w:val="22"/>
          <w:szCs w:val="22"/>
          <w:lang w:val="fr-FR" w:eastAsia="en-US"/>
        </w:rPr>
        <w:t>it</w:t>
      </w:r>
      <w:r w:rsidRPr="001B145F">
        <w:rPr>
          <w:rFonts w:ascii="Arial" w:eastAsia="SimSun" w:hAnsi="Arial" w:cs="Arial"/>
          <w:bCs/>
          <w:sz w:val="22"/>
          <w:szCs w:val="22"/>
          <w:lang w:val="fr-FR" w:eastAsia="en-US"/>
        </w:rPr>
        <w:t xml:space="preserve"> le lendemain pour la première fois en </w:t>
      </w:r>
      <w:r>
        <w:rPr>
          <w:rFonts w:ascii="Arial" w:eastAsia="SimSun" w:hAnsi="Arial" w:cs="Arial"/>
          <w:bCs/>
          <w:sz w:val="22"/>
          <w:szCs w:val="22"/>
          <w:lang w:val="fr-FR" w:eastAsia="en-US"/>
        </w:rPr>
        <w:t>présentiel</w:t>
      </w:r>
      <w:r w:rsidRPr="001B145F">
        <w:rPr>
          <w:rFonts w:ascii="Arial" w:eastAsia="SimSun" w:hAnsi="Arial" w:cs="Arial"/>
          <w:bCs/>
          <w:sz w:val="22"/>
          <w:szCs w:val="22"/>
          <w:lang w:val="fr-FR" w:eastAsia="en-US"/>
        </w:rPr>
        <w:t>. L</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objectif de ce projet</w:t>
      </w:r>
      <w:r>
        <w:rPr>
          <w:rFonts w:ascii="Arial" w:eastAsia="SimSun" w:hAnsi="Arial" w:cs="Arial"/>
          <w:bCs/>
          <w:sz w:val="22"/>
          <w:szCs w:val="22"/>
          <w:lang w:val="fr-FR" w:eastAsia="en-US"/>
        </w:rPr>
        <w:t xml:space="preserve"> était</w:t>
      </w:r>
      <w:r w:rsidRPr="001B145F">
        <w:rPr>
          <w:rFonts w:ascii="Arial" w:eastAsia="SimSun" w:hAnsi="Arial" w:cs="Arial"/>
          <w:bCs/>
          <w:sz w:val="22"/>
          <w:szCs w:val="22"/>
          <w:lang w:val="fr-FR" w:eastAsia="en-US"/>
        </w:rPr>
        <w:t xml:space="preserve"> de contribuer à la mise en œuvre de la Convention en encourageant le dialogue régional et la coopération interculturelle et en identifiant des synergies et des initiatives communes. On </w:t>
      </w:r>
      <w:r>
        <w:rPr>
          <w:rFonts w:ascii="Arial" w:eastAsia="SimSun" w:hAnsi="Arial" w:cs="Arial"/>
          <w:bCs/>
          <w:sz w:val="22"/>
          <w:szCs w:val="22"/>
          <w:lang w:val="fr-FR" w:eastAsia="en-US"/>
        </w:rPr>
        <w:t xml:space="preserve">pouvait </w:t>
      </w:r>
      <w:r w:rsidRPr="001B145F">
        <w:rPr>
          <w:rFonts w:ascii="Arial" w:eastAsia="SimSun" w:hAnsi="Arial" w:cs="Arial"/>
          <w:bCs/>
          <w:sz w:val="22"/>
          <w:szCs w:val="22"/>
          <w:lang w:val="fr-FR" w:eastAsia="en-US"/>
        </w:rPr>
        <w:t>esp</w:t>
      </w:r>
      <w:r>
        <w:rPr>
          <w:rFonts w:ascii="Arial" w:eastAsia="SimSun" w:hAnsi="Arial" w:cs="Arial"/>
          <w:bCs/>
          <w:sz w:val="22"/>
          <w:szCs w:val="22"/>
          <w:lang w:val="fr-FR" w:eastAsia="en-US"/>
        </w:rPr>
        <w:t>érer</w:t>
      </w:r>
      <w:r w:rsidRPr="001B145F">
        <w:rPr>
          <w:rFonts w:ascii="Arial" w:eastAsia="SimSun" w:hAnsi="Arial" w:cs="Arial"/>
          <w:bCs/>
          <w:sz w:val="22"/>
          <w:szCs w:val="22"/>
          <w:lang w:val="fr-FR" w:eastAsia="en-US"/>
        </w:rPr>
        <w:t xml:space="preserve"> que cette initiative attirera</w:t>
      </w:r>
      <w:r>
        <w:rPr>
          <w:rFonts w:ascii="Arial" w:eastAsia="SimSun" w:hAnsi="Arial" w:cs="Arial"/>
          <w:bCs/>
          <w:sz w:val="22"/>
          <w:szCs w:val="22"/>
          <w:lang w:val="fr-FR" w:eastAsia="en-US"/>
        </w:rPr>
        <w:t>it</w:t>
      </w:r>
      <w:r w:rsidRPr="001B145F">
        <w:rPr>
          <w:rFonts w:ascii="Arial" w:eastAsia="SimSun" w:hAnsi="Arial" w:cs="Arial"/>
          <w:bCs/>
          <w:sz w:val="22"/>
          <w:szCs w:val="22"/>
          <w:lang w:val="fr-FR" w:eastAsia="en-US"/>
        </w:rPr>
        <w:t xml:space="preserve"> également d</w:t>
      </w:r>
      <w:r w:rsidR="008E532B">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autres groupes intéressés</w:t>
      </w:r>
      <w:r>
        <w:rPr>
          <w:rFonts w:ascii="Arial" w:eastAsia="SimSun" w:hAnsi="Arial" w:cs="Arial"/>
          <w:bCs/>
          <w:sz w:val="22"/>
          <w:szCs w:val="22"/>
          <w:lang w:val="fr-FR" w:eastAsia="en-US"/>
        </w:rPr>
        <w:t>,</w:t>
      </w:r>
      <w:r w:rsidRPr="001B145F">
        <w:rPr>
          <w:rFonts w:ascii="Arial" w:eastAsia="SimSun" w:hAnsi="Arial" w:cs="Arial"/>
          <w:bCs/>
          <w:sz w:val="22"/>
          <w:szCs w:val="22"/>
          <w:lang w:val="fr-FR" w:eastAsia="en-US"/>
        </w:rPr>
        <w:t xml:space="preserve"> et la délégation a remercié la Finlande de se joindre à cette initiative.</w:t>
      </w:r>
    </w:p>
    <w:p w14:paraId="2F3661E6" w14:textId="559F5D7B" w:rsidR="00D9653F" w:rsidRPr="00466787"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466787">
        <w:rPr>
          <w:rFonts w:ascii="Arial" w:eastAsia="SimSun" w:hAnsi="Arial" w:cs="Arial"/>
          <w:bCs/>
          <w:sz w:val="22"/>
          <w:szCs w:val="22"/>
          <w:lang w:val="fr-FR" w:eastAsia="en-US"/>
        </w:rPr>
        <w:t xml:space="preserve">La délégation des </w:t>
      </w:r>
      <w:r w:rsidRPr="00466787">
        <w:rPr>
          <w:rFonts w:ascii="Arial" w:eastAsia="SimSun" w:hAnsi="Arial" w:cs="Arial"/>
          <w:b/>
          <w:sz w:val="22"/>
          <w:szCs w:val="22"/>
          <w:lang w:val="fr-FR" w:eastAsia="en-US"/>
        </w:rPr>
        <w:t>Pays-Bas</w:t>
      </w:r>
      <w:r w:rsidRPr="00466787">
        <w:rPr>
          <w:rFonts w:ascii="Arial" w:eastAsia="SimSun" w:hAnsi="Arial" w:cs="Arial"/>
          <w:bCs/>
          <w:sz w:val="22"/>
          <w:szCs w:val="22"/>
          <w:lang w:val="fr-FR" w:eastAsia="en-US"/>
        </w:rPr>
        <w:t xml:space="preserve"> a remercié le Secrétariat pour l</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excellent rapport</w:t>
      </w:r>
      <w:r>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 xml:space="preserve"> et </w:t>
      </w:r>
      <w:r>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avoir assuré la continuité des fonctions dans le cadre de la Convention. Les Pays-Bas</w:t>
      </w:r>
      <w:r>
        <w:rPr>
          <w:rFonts w:ascii="Arial" w:eastAsia="SimSun" w:hAnsi="Arial" w:cs="Arial"/>
          <w:bCs/>
          <w:sz w:val="22"/>
          <w:szCs w:val="22"/>
          <w:lang w:val="fr-FR" w:eastAsia="en-US"/>
        </w:rPr>
        <w:t>, qui</w:t>
      </w:r>
      <w:r w:rsidRPr="00466787">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avaient</w:t>
      </w:r>
      <w:r w:rsidRPr="00466787">
        <w:rPr>
          <w:rFonts w:ascii="Arial" w:eastAsia="SimSun" w:hAnsi="Arial" w:cs="Arial"/>
          <w:bCs/>
          <w:sz w:val="22"/>
          <w:szCs w:val="22"/>
          <w:lang w:val="fr-FR" w:eastAsia="en-US"/>
        </w:rPr>
        <w:t xml:space="preserve"> toujours plaidé </w:t>
      </w:r>
      <w:r>
        <w:rPr>
          <w:rFonts w:ascii="Arial" w:eastAsia="SimSun" w:hAnsi="Arial" w:cs="Arial"/>
          <w:bCs/>
          <w:sz w:val="22"/>
          <w:szCs w:val="22"/>
          <w:lang w:val="fr-FR" w:eastAsia="en-US"/>
        </w:rPr>
        <w:t>en faveur</w:t>
      </w:r>
      <w:r w:rsidRPr="00466787">
        <w:rPr>
          <w:rFonts w:ascii="Arial" w:eastAsia="SimSun" w:hAnsi="Arial" w:cs="Arial"/>
          <w:bCs/>
          <w:sz w:val="22"/>
          <w:szCs w:val="22"/>
          <w:lang w:val="fr-FR" w:eastAsia="en-US"/>
        </w:rPr>
        <w:t xml:space="preserve"> de nouvelles initiatives thématiques</w:t>
      </w:r>
      <w:r>
        <w:rPr>
          <w:rFonts w:ascii="Arial" w:eastAsia="SimSun" w:hAnsi="Arial" w:cs="Arial"/>
          <w:bCs/>
          <w:sz w:val="22"/>
          <w:szCs w:val="22"/>
          <w:lang w:val="fr-FR" w:eastAsia="en-US"/>
        </w:rPr>
        <w:t xml:space="preserve">, </w:t>
      </w:r>
      <w:r w:rsidRPr="00466787">
        <w:rPr>
          <w:rFonts w:ascii="Arial" w:eastAsia="SimSun" w:hAnsi="Arial" w:cs="Arial"/>
          <w:bCs/>
          <w:sz w:val="22"/>
          <w:szCs w:val="22"/>
          <w:lang w:val="fr-FR" w:eastAsia="en-US"/>
        </w:rPr>
        <w:t>se réjouiss</w:t>
      </w:r>
      <w:r>
        <w:rPr>
          <w:rFonts w:ascii="Arial" w:eastAsia="SimSun" w:hAnsi="Arial" w:cs="Arial"/>
          <w:bCs/>
          <w:sz w:val="22"/>
          <w:szCs w:val="22"/>
          <w:lang w:val="fr-FR" w:eastAsia="en-US"/>
        </w:rPr>
        <w:t>ai</w:t>
      </w:r>
      <w:r w:rsidRPr="00466787">
        <w:rPr>
          <w:rFonts w:ascii="Arial" w:eastAsia="SimSun" w:hAnsi="Arial" w:cs="Arial"/>
          <w:bCs/>
          <w:sz w:val="22"/>
          <w:szCs w:val="22"/>
          <w:lang w:val="fr-FR" w:eastAsia="en-US"/>
        </w:rPr>
        <w:t xml:space="preserve">ent de plusieurs des nouvelles initiatives thématiques pertinentes, telles que le patrimoine dans les contextes urbains et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466787">
        <w:rPr>
          <w:rFonts w:ascii="Arial" w:eastAsia="SimSun" w:hAnsi="Arial" w:cs="Arial"/>
          <w:bCs/>
          <w:sz w:val="22"/>
          <w:szCs w:val="22"/>
          <w:lang w:val="fr-FR" w:eastAsia="en-US"/>
        </w:rPr>
        <w:t xml:space="preserve">et le changement climatique. La délégation a applaudi le projet </w:t>
      </w:r>
      <w:r>
        <w:rPr>
          <w:rFonts w:ascii="Arial" w:eastAsia="SimSun" w:hAnsi="Arial" w:cs="Arial"/>
          <w:bCs/>
          <w:sz w:val="22"/>
          <w:szCs w:val="22"/>
          <w:lang w:val="fr-FR" w:eastAsia="en-US"/>
        </w:rPr>
        <w:t>« </w:t>
      </w:r>
      <w:r w:rsidRPr="00466787">
        <w:rPr>
          <w:rFonts w:ascii="Arial" w:eastAsia="SimSun" w:hAnsi="Arial" w:cs="Arial"/>
          <w:bCs/>
          <w:sz w:val="22"/>
          <w:szCs w:val="22"/>
          <w:lang w:val="fr-FR" w:eastAsia="en-US"/>
        </w:rPr>
        <w:t>Renforcement des capacités pour la sauvegarde du patrimoine vivant en cas d</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urgence dans les petits États insulaires en développement (PEID)</w:t>
      </w:r>
      <w:r>
        <w:rPr>
          <w:rFonts w:ascii="Arial" w:eastAsia="SimSun" w:hAnsi="Arial" w:cs="Arial"/>
          <w:bCs/>
          <w:sz w:val="22"/>
          <w:szCs w:val="22"/>
          <w:lang w:val="fr-FR" w:eastAsia="en-US"/>
        </w:rPr>
        <w:t xml:space="preserve"> », dont on pourrait tirer </w:t>
      </w:r>
      <w:r w:rsidRPr="00466787">
        <w:rPr>
          <w:rFonts w:ascii="Arial" w:eastAsia="SimSun" w:hAnsi="Arial" w:cs="Arial"/>
          <w:bCs/>
          <w:sz w:val="22"/>
          <w:szCs w:val="22"/>
          <w:lang w:val="fr-FR" w:eastAsia="en-US"/>
        </w:rPr>
        <w:t>des enseignemen</w:t>
      </w:r>
      <w:r>
        <w:rPr>
          <w:rFonts w:ascii="Arial" w:eastAsia="SimSun" w:hAnsi="Arial" w:cs="Arial"/>
          <w:bCs/>
          <w:sz w:val="22"/>
          <w:szCs w:val="22"/>
          <w:lang w:val="fr-FR" w:eastAsia="en-US"/>
        </w:rPr>
        <w:t xml:space="preserve">ts </w:t>
      </w:r>
      <w:r w:rsidRPr="00466787">
        <w:rPr>
          <w:rFonts w:ascii="Arial" w:eastAsia="SimSun" w:hAnsi="Arial" w:cs="Arial"/>
          <w:bCs/>
          <w:sz w:val="22"/>
          <w:szCs w:val="22"/>
          <w:lang w:val="fr-FR" w:eastAsia="en-US"/>
        </w:rPr>
        <w:t xml:space="preserve">importants pour les régions caribéennes du </w:t>
      </w:r>
      <w:r>
        <w:rPr>
          <w:rFonts w:ascii="Arial" w:eastAsia="SimSun" w:hAnsi="Arial" w:cs="Arial"/>
          <w:bCs/>
          <w:sz w:val="22"/>
          <w:szCs w:val="22"/>
          <w:lang w:val="fr-FR" w:eastAsia="en-US"/>
        </w:rPr>
        <w:t>r</w:t>
      </w:r>
      <w:r w:rsidRPr="00466787">
        <w:rPr>
          <w:rFonts w:ascii="Arial" w:eastAsia="SimSun" w:hAnsi="Arial" w:cs="Arial"/>
          <w:bCs/>
          <w:sz w:val="22"/>
          <w:szCs w:val="22"/>
          <w:lang w:val="fr-FR" w:eastAsia="en-US"/>
        </w:rPr>
        <w:t>oyaume des Pays-Bas. Comme l</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a</w:t>
      </w:r>
      <w:r>
        <w:rPr>
          <w:rFonts w:ascii="Arial" w:eastAsia="SimSun" w:hAnsi="Arial" w:cs="Arial"/>
          <w:bCs/>
          <w:sz w:val="22"/>
          <w:szCs w:val="22"/>
          <w:lang w:val="fr-FR" w:eastAsia="en-US"/>
        </w:rPr>
        <w:t>vait</w:t>
      </w:r>
      <w:r w:rsidRPr="00466787">
        <w:rPr>
          <w:rFonts w:ascii="Arial" w:eastAsia="SimSun" w:hAnsi="Arial" w:cs="Arial"/>
          <w:bCs/>
          <w:sz w:val="22"/>
          <w:szCs w:val="22"/>
          <w:lang w:val="fr-FR" w:eastAsia="en-US"/>
        </w:rPr>
        <w:t xml:space="preserve"> souligné l</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évaluation d</w:t>
      </w:r>
      <w:r>
        <w:rPr>
          <w:rFonts w:ascii="Arial" w:eastAsia="SimSun" w:hAnsi="Arial" w:cs="Arial"/>
          <w:bCs/>
          <w:sz w:val="22"/>
          <w:szCs w:val="22"/>
          <w:lang w:val="fr-FR" w:eastAsia="en-US"/>
        </w:rPr>
        <w:t>e l</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 xml:space="preserve">IOS, il </w:t>
      </w:r>
      <w:r>
        <w:rPr>
          <w:rFonts w:ascii="Arial" w:eastAsia="SimSun" w:hAnsi="Arial" w:cs="Arial"/>
          <w:bCs/>
          <w:sz w:val="22"/>
          <w:szCs w:val="22"/>
          <w:lang w:val="fr-FR" w:eastAsia="en-US"/>
        </w:rPr>
        <w:t>était</w:t>
      </w:r>
      <w:r w:rsidRPr="00466787">
        <w:rPr>
          <w:rFonts w:ascii="Arial" w:eastAsia="SimSun" w:hAnsi="Arial" w:cs="Arial"/>
          <w:bCs/>
          <w:sz w:val="22"/>
          <w:szCs w:val="22"/>
          <w:lang w:val="fr-FR" w:eastAsia="en-US"/>
        </w:rPr>
        <w:t xml:space="preserve"> nécessaire d</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établir des priorités dans l</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 xml:space="preserve">utilisation des ressources limitées du Secrétariat. Les Pays-Bas </w:t>
      </w:r>
      <w:r>
        <w:rPr>
          <w:rFonts w:ascii="Arial" w:eastAsia="SimSun" w:hAnsi="Arial" w:cs="Arial"/>
          <w:bCs/>
          <w:sz w:val="22"/>
          <w:szCs w:val="22"/>
          <w:lang w:val="fr-FR" w:eastAsia="en-US"/>
        </w:rPr>
        <w:t>avaient</w:t>
      </w:r>
      <w:r w:rsidRPr="00466787">
        <w:rPr>
          <w:rFonts w:ascii="Arial" w:eastAsia="SimSun" w:hAnsi="Arial" w:cs="Arial"/>
          <w:bCs/>
          <w:sz w:val="22"/>
          <w:szCs w:val="22"/>
          <w:lang w:val="fr-FR" w:eastAsia="en-US"/>
        </w:rPr>
        <w:t xml:space="preserve"> toujours souligné l</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 xml:space="preserve">importance du renforcement des capacités plutôt que de se concentrer sur les </w:t>
      </w:r>
      <w:r>
        <w:rPr>
          <w:rFonts w:ascii="Arial" w:eastAsia="SimSun" w:hAnsi="Arial" w:cs="Arial"/>
          <w:bCs/>
          <w:sz w:val="22"/>
          <w:szCs w:val="22"/>
          <w:lang w:val="fr-FR" w:eastAsia="en-US"/>
        </w:rPr>
        <w:t>l</w:t>
      </w:r>
      <w:r w:rsidRPr="00466787">
        <w:rPr>
          <w:rFonts w:ascii="Arial" w:eastAsia="SimSun" w:hAnsi="Arial" w:cs="Arial"/>
          <w:bCs/>
          <w:sz w:val="22"/>
          <w:szCs w:val="22"/>
          <w:lang w:val="fr-FR" w:eastAsia="en-US"/>
        </w:rPr>
        <w:t>istes, qu</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ils consid</w:t>
      </w:r>
      <w:r>
        <w:rPr>
          <w:rFonts w:ascii="Arial" w:eastAsia="SimSun" w:hAnsi="Arial" w:cs="Arial"/>
          <w:bCs/>
          <w:sz w:val="22"/>
          <w:szCs w:val="22"/>
          <w:lang w:val="fr-FR" w:eastAsia="en-US"/>
        </w:rPr>
        <w:t>é</w:t>
      </w:r>
      <w:r w:rsidRPr="00466787">
        <w:rPr>
          <w:rFonts w:ascii="Arial" w:eastAsia="SimSun" w:hAnsi="Arial" w:cs="Arial"/>
          <w:bCs/>
          <w:sz w:val="22"/>
          <w:szCs w:val="22"/>
          <w:lang w:val="fr-FR" w:eastAsia="en-US"/>
        </w:rPr>
        <w:t>r</w:t>
      </w:r>
      <w:r>
        <w:rPr>
          <w:rFonts w:ascii="Arial" w:eastAsia="SimSun" w:hAnsi="Arial" w:cs="Arial"/>
          <w:bCs/>
          <w:sz w:val="22"/>
          <w:szCs w:val="22"/>
          <w:lang w:val="fr-FR" w:eastAsia="en-US"/>
        </w:rPr>
        <w:t>ai</w:t>
      </w:r>
      <w:r w:rsidRPr="00466787">
        <w:rPr>
          <w:rFonts w:ascii="Arial" w:eastAsia="SimSun" w:hAnsi="Arial" w:cs="Arial"/>
          <w:bCs/>
          <w:sz w:val="22"/>
          <w:szCs w:val="22"/>
          <w:lang w:val="fr-FR" w:eastAsia="en-US"/>
        </w:rPr>
        <w:t xml:space="preserve">ent comme un moyen important de sauvegarder le patrimoine immatériel mais pas comme un but en soi. Ils </w:t>
      </w:r>
      <w:r>
        <w:rPr>
          <w:rFonts w:ascii="Arial" w:eastAsia="SimSun" w:hAnsi="Arial" w:cs="Arial"/>
          <w:bCs/>
          <w:sz w:val="22"/>
          <w:szCs w:val="22"/>
          <w:lang w:val="fr-FR" w:eastAsia="en-US"/>
        </w:rPr>
        <w:t>étaient</w:t>
      </w:r>
      <w:r w:rsidRPr="00466787">
        <w:rPr>
          <w:rFonts w:ascii="Arial" w:eastAsia="SimSun" w:hAnsi="Arial" w:cs="Arial"/>
          <w:bCs/>
          <w:sz w:val="22"/>
          <w:szCs w:val="22"/>
          <w:lang w:val="fr-FR" w:eastAsia="en-US"/>
        </w:rPr>
        <w:t xml:space="preserve"> satisfaits d</w:t>
      </w:r>
      <w:r>
        <w:rPr>
          <w:rFonts w:ascii="Arial" w:eastAsia="SimSun" w:hAnsi="Arial" w:cs="Arial"/>
          <w:bCs/>
          <w:sz w:val="22"/>
          <w:szCs w:val="22"/>
          <w:lang w:val="fr-FR" w:eastAsia="en-US"/>
        </w:rPr>
        <w:t>u g</w:t>
      </w:r>
      <w:r w:rsidRPr="00894F2D">
        <w:rPr>
          <w:rFonts w:ascii="Arial" w:eastAsia="SimSun" w:hAnsi="Arial" w:cs="Arial"/>
          <w:bCs/>
          <w:sz w:val="22"/>
          <w:szCs w:val="22"/>
          <w:lang w:val="fr-FR" w:eastAsia="en-US"/>
        </w:rPr>
        <w:t xml:space="preserve">uide </w:t>
      </w:r>
      <w:r>
        <w:rPr>
          <w:rFonts w:ascii="Arial" w:eastAsia="SimSun" w:hAnsi="Arial" w:cs="Arial"/>
          <w:bCs/>
          <w:sz w:val="22"/>
          <w:szCs w:val="22"/>
          <w:lang w:val="fr-FR" w:eastAsia="en-US"/>
        </w:rPr>
        <w:t>consacré au</w:t>
      </w:r>
      <w:r w:rsidRPr="00894F2D">
        <w:rPr>
          <w:rFonts w:ascii="Arial" w:eastAsia="SimSun" w:hAnsi="Arial" w:cs="Arial"/>
          <w:bCs/>
          <w:sz w:val="22"/>
          <w:szCs w:val="22"/>
          <w:lang w:val="fr-FR" w:eastAsia="en-US"/>
        </w:rPr>
        <w:t xml:space="preserve"> mécanisme d</w:t>
      </w:r>
      <w:r w:rsidR="008E532B">
        <w:rPr>
          <w:rFonts w:ascii="Arial" w:eastAsia="SimSun" w:hAnsi="Arial" w:cs="Arial"/>
          <w:bCs/>
          <w:sz w:val="22"/>
          <w:szCs w:val="22"/>
          <w:lang w:val="fr-FR" w:eastAsia="en-US"/>
        </w:rPr>
        <w:t>’</w:t>
      </w:r>
      <w:r w:rsidRPr="00894F2D">
        <w:rPr>
          <w:rFonts w:ascii="Arial" w:eastAsia="SimSun" w:hAnsi="Arial" w:cs="Arial"/>
          <w:bCs/>
          <w:sz w:val="22"/>
          <w:szCs w:val="22"/>
          <w:lang w:val="fr-FR" w:eastAsia="en-US"/>
        </w:rPr>
        <w:t>assistance internationale</w:t>
      </w:r>
      <w:r w:rsidRPr="00466787">
        <w:rPr>
          <w:rFonts w:ascii="Arial" w:eastAsia="SimSun" w:hAnsi="Arial" w:cs="Arial"/>
          <w:bCs/>
          <w:sz w:val="22"/>
          <w:szCs w:val="22"/>
          <w:lang w:val="fr-FR" w:eastAsia="en-US"/>
        </w:rPr>
        <w:t xml:space="preserve"> et se demand</w:t>
      </w:r>
      <w:r>
        <w:rPr>
          <w:rFonts w:ascii="Arial" w:eastAsia="SimSun" w:hAnsi="Arial" w:cs="Arial"/>
          <w:bCs/>
          <w:sz w:val="22"/>
          <w:szCs w:val="22"/>
          <w:lang w:val="fr-FR" w:eastAsia="en-US"/>
        </w:rPr>
        <w:t>ai</w:t>
      </w:r>
      <w:r w:rsidRPr="00466787">
        <w:rPr>
          <w:rFonts w:ascii="Arial" w:eastAsia="SimSun" w:hAnsi="Arial" w:cs="Arial"/>
          <w:bCs/>
          <w:sz w:val="22"/>
          <w:szCs w:val="22"/>
          <w:lang w:val="fr-FR" w:eastAsia="en-US"/>
        </w:rPr>
        <w:t xml:space="preserve">ent comment le Secrétariat </w:t>
      </w:r>
      <w:r>
        <w:rPr>
          <w:rFonts w:ascii="Arial" w:eastAsia="SimSun" w:hAnsi="Arial" w:cs="Arial"/>
          <w:bCs/>
          <w:sz w:val="22"/>
          <w:szCs w:val="22"/>
          <w:lang w:val="fr-FR" w:eastAsia="en-US"/>
        </w:rPr>
        <w:t>allait</w:t>
      </w:r>
      <w:r w:rsidRPr="00466787">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faire connaître ce guide</w:t>
      </w:r>
      <w:r w:rsidRPr="00466787">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auprès </w:t>
      </w:r>
      <w:r w:rsidRPr="00466787">
        <w:rPr>
          <w:rFonts w:ascii="Arial" w:eastAsia="SimSun" w:hAnsi="Arial" w:cs="Arial"/>
          <w:bCs/>
          <w:sz w:val="22"/>
          <w:szCs w:val="22"/>
          <w:lang w:val="fr-FR" w:eastAsia="en-US"/>
        </w:rPr>
        <w:t xml:space="preserve">des nombreuses communautés et organisations concernées pour lesquelles cela pourrait être un outil utile. En effet, la diminution des demandes pour cet instrument important était préoccupante. Les </w:t>
      </w:r>
      <w:r>
        <w:rPr>
          <w:rFonts w:ascii="Arial" w:eastAsia="SimSun" w:hAnsi="Arial" w:cs="Arial"/>
          <w:bCs/>
          <w:sz w:val="22"/>
          <w:szCs w:val="22"/>
          <w:lang w:val="fr-FR" w:eastAsia="en-US"/>
        </w:rPr>
        <w:t>Pays</w:t>
      </w:r>
      <w:r>
        <w:rPr>
          <w:rFonts w:ascii="Arial" w:eastAsia="SimSun" w:hAnsi="Arial" w:cs="Arial"/>
          <w:bCs/>
          <w:sz w:val="22"/>
          <w:szCs w:val="22"/>
          <w:lang w:val="fr-FR" w:eastAsia="en-US"/>
        </w:rPr>
        <w:noBreakHyphen/>
        <w:t>Bas</w:t>
      </w:r>
      <w:r w:rsidRPr="00466787">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soutenaient</w:t>
      </w:r>
      <w:r w:rsidRPr="00466787">
        <w:rPr>
          <w:rFonts w:ascii="Arial" w:eastAsia="SimSun" w:hAnsi="Arial" w:cs="Arial"/>
          <w:bCs/>
          <w:sz w:val="22"/>
          <w:szCs w:val="22"/>
          <w:lang w:val="fr-FR" w:eastAsia="en-US"/>
        </w:rPr>
        <w:t xml:space="preserve"> le Secrétariat dans le suivi des recommandations importantes de l</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évaluation d</w:t>
      </w:r>
      <w:r>
        <w:rPr>
          <w:rFonts w:ascii="Arial" w:eastAsia="SimSun" w:hAnsi="Arial" w:cs="Arial"/>
          <w:bCs/>
          <w:sz w:val="22"/>
          <w:szCs w:val="22"/>
          <w:lang w:val="fr-FR" w:eastAsia="en-US"/>
        </w:rPr>
        <w:t>e l</w:t>
      </w:r>
      <w:r w:rsidR="008E532B">
        <w:rPr>
          <w:rFonts w:ascii="Arial" w:eastAsia="SimSun" w:hAnsi="Arial" w:cs="Arial"/>
          <w:bCs/>
          <w:sz w:val="22"/>
          <w:szCs w:val="22"/>
          <w:lang w:val="fr-FR" w:eastAsia="en-US"/>
        </w:rPr>
        <w:t>’</w:t>
      </w:r>
      <w:r w:rsidRPr="00466787">
        <w:rPr>
          <w:rFonts w:ascii="Arial" w:eastAsia="SimSun" w:hAnsi="Arial" w:cs="Arial"/>
          <w:bCs/>
          <w:sz w:val="22"/>
          <w:szCs w:val="22"/>
          <w:lang w:val="fr-FR" w:eastAsia="en-US"/>
        </w:rPr>
        <w:t>IOS.</w:t>
      </w:r>
    </w:p>
    <w:p w14:paraId="54567C7C" w14:textId="2E273329" w:rsidR="00D9653F" w:rsidRPr="00097628" w:rsidRDefault="00D9653F" w:rsidP="00D9653F">
      <w:pPr>
        <w:numPr>
          <w:ilvl w:val="0"/>
          <w:numId w:val="19"/>
        </w:numPr>
        <w:tabs>
          <w:tab w:val="left" w:pos="4962"/>
        </w:tabs>
        <w:suppressAutoHyphens/>
        <w:autoSpaceDE w:val="0"/>
        <w:spacing w:before="120"/>
        <w:ind w:left="567" w:hanging="567"/>
        <w:jc w:val="both"/>
        <w:rPr>
          <w:rFonts w:ascii="Arial" w:eastAsia="SimSun" w:hAnsi="Arial" w:cs="Arial"/>
          <w:bCs/>
          <w:sz w:val="22"/>
          <w:szCs w:val="22"/>
          <w:lang w:val="fr-FR" w:eastAsia="en-US"/>
        </w:rPr>
      </w:pPr>
      <w:r w:rsidRPr="00097628">
        <w:rPr>
          <w:rFonts w:ascii="Arial" w:eastAsia="SimSun" w:hAnsi="Arial" w:cs="Arial"/>
          <w:bCs/>
          <w:sz w:val="22"/>
          <w:szCs w:val="22"/>
          <w:lang w:val="fr-FR" w:eastAsia="en-US"/>
        </w:rPr>
        <w:t xml:space="preserve">La délégation de la </w:t>
      </w:r>
      <w:r w:rsidRPr="00097628">
        <w:rPr>
          <w:rFonts w:ascii="Arial" w:eastAsia="SimSun" w:hAnsi="Arial" w:cs="Arial"/>
          <w:b/>
          <w:sz w:val="22"/>
          <w:szCs w:val="22"/>
          <w:lang w:val="fr-FR" w:eastAsia="en-US"/>
        </w:rPr>
        <w:t>Palestine</w:t>
      </w:r>
      <w:r w:rsidRPr="00097628">
        <w:rPr>
          <w:rFonts w:ascii="Arial" w:eastAsia="SimSun" w:hAnsi="Arial" w:cs="Arial"/>
          <w:bCs/>
          <w:sz w:val="22"/>
          <w:szCs w:val="22"/>
          <w:lang w:val="fr-FR" w:eastAsia="en-US"/>
        </w:rPr>
        <w:t xml:space="preserve"> a félicité la Présidente pour son élection, ajoutant qu</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elle pouvait compter sur le soutien des autres membres élus du Bureau. Elle a remercié le Secrétariat pour son rapport et pour tous les efforts qu</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il a</w:t>
      </w:r>
      <w:r>
        <w:rPr>
          <w:rFonts w:ascii="Arial" w:eastAsia="SimSun" w:hAnsi="Arial" w:cs="Arial"/>
          <w:bCs/>
          <w:sz w:val="22"/>
          <w:szCs w:val="22"/>
          <w:lang w:val="fr-FR" w:eastAsia="en-US"/>
        </w:rPr>
        <w:t>vait</w:t>
      </w:r>
      <w:r w:rsidRPr="00097628">
        <w:rPr>
          <w:rFonts w:ascii="Arial" w:eastAsia="SimSun" w:hAnsi="Arial" w:cs="Arial"/>
          <w:bCs/>
          <w:sz w:val="22"/>
          <w:szCs w:val="22"/>
          <w:lang w:val="fr-FR" w:eastAsia="en-US"/>
        </w:rPr>
        <w:t xml:space="preserve"> déployés au cours de la période</w:t>
      </w:r>
      <w:r>
        <w:rPr>
          <w:rFonts w:ascii="Arial" w:eastAsia="SimSun" w:hAnsi="Arial" w:cs="Arial"/>
          <w:bCs/>
          <w:sz w:val="22"/>
          <w:szCs w:val="22"/>
          <w:lang w:val="fr-FR" w:eastAsia="en-US"/>
        </w:rPr>
        <w:t xml:space="preserve"> concernée par le rapport</w:t>
      </w:r>
      <w:r w:rsidRPr="00097628">
        <w:rPr>
          <w:rFonts w:ascii="Arial" w:eastAsia="SimSun" w:hAnsi="Arial" w:cs="Arial"/>
          <w:bCs/>
          <w:sz w:val="22"/>
          <w:szCs w:val="22"/>
          <w:lang w:val="fr-FR" w:eastAsia="en-US"/>
        </w:rPr>
        <w:t xml:space="preserve">, ainsi que le Comité pour son rapport et les États parties qui </w:t>
      </w:r>
      <w:r>
        <w:rPr>
          <w:rFonts w:ascii="Arial" w:eastAsia="SimSun" w:hAnsi="Arial" w:cs="Arial"/>
          <w:bCs/>
          <w:sz w:val="22"/>
          <w:szCs w:val="22"/>
          <w:lang w:val="fr-FR" w:eastAsia="en-US"/>
        </w:rPr>
        <w:t>avaient</w:t>
      </w:r>
      <w:r w:rsidRPr="00097628">
        <w:rPr>
          <w:rFonts w:ascii="Arial" w:eastAsia="SimSun" w:hAnsi="Arial" w:cs="Arial"/>
          <w:bCs/>
          <w:sz w:val="22"/>
          <w:szCs w:val="22"/>
          <w:lang w:val="fr-FR" w:eastAsia="en-US"/>
        </w:rPr>
        <w:t xml:space="preserve"> soumis leurs rapports périodiques. La délégation a </w:t>
      </w:r>
      <w:r>
        <w:rPr>
          <w:rFonts w:ascii="Arial" w:eastAsia="SimSun" w:hAnsi="Arial" w:cs="Arial"/>
          <w:bCs/>
          <w:sz w:val="22"/>
          <w:szCs w:val="22"/>
          <w:lang w:val="fr-FR" w:eastAsia="en-US"/>
        </w:rPr>
        <w:t>parlé du</w:t>
      </w:r>
      <w:r w:rsidRPr="00097628">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p</w:t>
      </w:r>
      <w:r w:rsidRPr="00097628">
        <w:rPr>
          <w:rFonts w:ascii="Arial" w:eastAsia="SimSun" w:hAnsi="Arial" w:cs="Arial"/>
          <w:bCs/>
          <w:sz w:val="22"/>
          <w:szCs w:val="22"/>
          <w:lang w:val="fr-FR" w:eastAsia="en-US"/>
        </w:rPr>
        <w:t>oint focal de la Convention qui a</w:t>
      </w:r>
      <w:r>
        <w:rPr>
          <w:rFonts w:ascii="Arial" w:eastAsia="SimSun" w:hAnsi="Arial" w:cs="Arial"/>
          <w:bCs/>
          <w:sz w:val="22"/>
          <w:szCs w:val="22"/>
          <w:lang w:val="fr-FR" w:eastAsia="en-US"/>
        </w:rPr>
        <w:t>vait</w:t>
      </w:r>
      <w:r w:rsidRPr="00097628">
        <w:rPr>
          <w:rFonts w:ascii="Arial" w:eastAsia="SimSun" w:hAnsi="Arial" w:cs="Arial"/>
          <w:bCs/>
          <w:sz w:val="22"/>
          <w:szCs w:val="22"/>
          <w:lang w:val="fr-FR" w:eastAsia="en-US"/>
        </w:rPr>
        <w:t xml:space="preserve"> préparé une intervention portant notamment sur les cas d</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urgence, y compris l</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 xml:space="preserve">occupation, comme dans le cas de la Palestine.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agissant du </w:t>
      </w:r>
      <w:r w:rsidRPr="00097628">
        <w:rPr>
          <w:rFonts w:ascii="Arial" w:eastAsia="SimSun" w:hAnsi="Arial" w:cs="Arial"/>
          <w:bCs/>
          <w:sz w:val="22"/>
          <w:szCs w:val="22"/>
          <w:lang w:val="fr-FR" w:eastAsia="en-US"/>
        </w:rPr>
        <w:t>rapport du Secrétariat, la délégation souhait</w:t>
      </w:r>
      <w:r>
        <w:rPr>
          <w:rFonts w:ascii="Arial" w:eastAsia="SimSun" w:hAnsi="Arial" w:cs="Arial"/>
          <w:bCs/>
          <w:sz w:val="22"/>
          <w:szCs w:val="22"/>
          <w:lang w:val="fr-FR" w:eastAsia="en-US"/>
        </w:rPr>
        <w:t>ait</w:t>
      </w:r>
      <w:r w:rsidRPr="00097628">
        <w:rPr>
          <w:rFonts w:ascii="Arial" w:eastAsia="SimSun" w:hAnsi="Arial" w:cs="Arial"/>
          <w:bCs/>
          <w:sz w:val="22"/>
          <w:szCs w:val="22"/>
          <w:lang w:val="fr-FR" w:eastAsia="en-US"/>
        </w:rPr>
        <w:t xml:space="preserve"> établir un lien entre</w:t>
      </w:r>
      <w:r>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une part, </w:t>
      </w:r>
      <w:r w:rsidRPr="00097628">
        <w:rPr>
          <w:rFonts w:ascii="Arial" w:eastAsia="SimSun" w:hAnsi="Arial" w:cs="Arial"/>
          <w:bCs/>
          <w:sz w:val="22"/>
          <w:szCs w:val="22"/>
          <w:lang w:val="fr-FR" w:eastAsia="en-US"/>
        </w:rPr>
        <w:t>les activités opérationnelles, les synergies et les questions thématiques et</w:t>
      </w:r>
      <w:r>
        <w:rPr>
          <w:rFonts w:ascii="Arial" w:eastAsia="SimSun" w:hAnsi="Arial" w:cs="Arial"/>
          <w:bCs/>
          <w:sz w:val="22"/>
          <w:szCs w:val="22"/>
          <w:lang w:val="fr-FR" w:eastAsia="en-US"/>
        </w:rPr>
        <w:t>,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autre part,</w:t>
      </w:r>
      <w:r w:rsidRPr="00097628">
        <w:rPr>
          <w:rFonts w:ascii="Arial" w:eastAsia="SimSun" w:hAnsi="Arial" w:cs="Arial"/>
          <w:bCs/>
          <w:sz w:val="22"/>
          <w:szCs w:val="22"/>
          <w:lang w:val="fr-FR" w:eastAsia="en-US"/>
        </w:rPr>
        <w:t xml:space="preserve"> le renforcement des capacités, qui a</w:t>
      </w:r>
      <w:r>
        <w:rPr>
          <w:rFonts w:ascii="Arial" w:eastAsia="SimSun" w:hAnsi="Arial" w:cs="Arial"/>
          <w:bCs/>
          <w:sz w:val="22"/>
          <w:szCs w:val="22"/>
          <w:lang w:val="fr-FR" w:eastAsia="en-US"/>
        </w:rPr>
        <w:t>vait</w:t>
      </w:r>
      <w:r w:rsidRPr="00097628">
        <w:rPr>
          <w:rFonts w:ascii="Arial" w:eastAsia="SimSun" w:hAnsi="Arial" w:cs="Arial"/>
          <w:bCs/>
          <w:sz w:val="22"/>
          <w:szCs w:val="22"/>
          <w:lang w:val="fr-FR" w:eastAsia="en-US"/>
        </w:rPr>
        <w:t xml:space="preserve"> été mentionné dans de nombreuses interventions. À ce</w:t>
      </w:r>
      <w:r>
        <w:rPr>
          <w:rFonts w:ascii="Arial" w:eastAsia="SimSun" w:hAnsi="Arial" w:cs="Arial"/>
          <w:bCs/>
          <w:sz w:val="22"/>
          <w:szCs w:val="22"/>
          <w:lang w:val="fr-FR" w:eastAsia="en-US"/>
        </w:rPr>
        <w:t xml:space="preserve"> sujet</w:t>
      </w:r>
      <w:r w:rsidRPr="00097628">
        <w:rPr>
          <w:rFonts w:ascii="Arial" w:eastAsia="SimSun" w:hAnsi="Arial" w:cs="Arial"/>
          <w:bCs/>
          <w:sz w:val="22"/>
          <w:szCs w:val="22"/>
          <w:lang w:val="fr-FR" w:eastAsia="en-US"/>
        </w:rPr>
        <w:t>, la délégation a suggéré d</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inviter les points focaux d</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 xml:space="preserve">autres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097628">
        <w:rPr>
          <w:rFonts w:ascii="Arial" w:eastAsia="SimSun" w:hAnsi="Arial" w:cs="Arial"/>
          <w:bCs/>
          <w:sz w:val="22"/>
          <w:szCs w:val="22"/>
          <w:lang w:val="fr-FR" w:eastAsia="en-US"/>
        </w:rPr>
        <w:t xml:space="preserve"> à des ateliers régionaux organisés par le Secrétariat afin de renforcer les synergies entre les</w:t>
      </w:r>
      <w:r>
        <w:rPr>
          <w:rFonts w:ascii="Arial" w:eastAsia="SimSun" w:hAnsi="Arial" w:cs="Arial"/>
          <w:bCs/>
          <w:sz w:val="22"/>
          <w:szCs w:val="22"/>
          <w:lang w:val="fr-FR" w:eastAsia="en-US"/>
        </w:rPr>
        <w:t xml:space="preserve">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097628">
        <w:rPr>
          <w:rFonts w:ascii="Arial" w:eastAsia="SimSun" w:hAnsi="Arial" w:cs="Arial"/>
          <w:bCs/>
          <w:sz w:val="22"/>
          <w:szCs w:val="22"/>
          <w:lang w:val="fr-FR" w:eastAsia="en-US"/>
        </w:rPr>
        <w:t>, comme c</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 xml:space="preserve">était le cas pour les rapports périodiques en Afrique, dans la région </w:t>
      </w:r>
      <w:r>
        <w:rPr>
          <w:rFonts w:ascii="Arial" w:eastAsia="SimSun" w:hAnsi="Arial" w:cs="Arial"/>
          <w:bCs/>
          <w:sz w:val="22"/>
          <w:szCs w:val="22"/>
          <w:lang w:val="fr-FR" w:eastAsia="en-US"/>
        </w:rPr>
        <w:t xml:space="preserve">des États </w:t>
      </w:r>
      <w:r w:rsidRPr="00097628">
        <w:rPr>
          <w:rFonts w:ascii="Arial" w:eastAsia="SimSun" w:hAnsi="Arial" w:cs="Arial"/>
          <w:bCs/>
          <w:sz w:val="22"/>
          <w:szCs w:val="22"/>
          <w:lang w:val="fr-FR" w:eastAsia="en-US"/>
        </w:rPr>
        <w:t>arabe</w:t>
      </w:r>
      <w:r>
        <w:rPr>
          <w:rFonts w:ascii="Arial" w:eastAsia="SimSun" w:hAnsi="Arial" w:cs="Arial"/>
          <w:bCs/>
          <w:sz w:val="22"/>
          <w:szCs w:val="22"/>
          <w:lang w:val="fr-FR" w:eastAsia="en-US"/>
        </w:rPr>
        <w:t>s</w:t>
      </w:r>
      <w:r w:rsidRPr="00097628">
        <w:rPr>
          <w:rFonts w:ascii="Arial" w:eastAsia="SimSun" w:hAnsi="Arial" w:cs="Arial"/>
          <w:bCs/>
          <w:sz w:val="22"/>
          <w:szCs w:val="22"/>
          <w:lang w:val="fr-FR" w:eastAsia="en-US"/>
        </w:rPr>
        <w:t xml:space="preserve"> et en Amérique latine, par exemple. Cette suggestion a</w:t>
      </w:r>
      <w:r>
        <w:rPr>
          <w:rFonts w:ascii="Arial" w:eastAsia="SimSun" w:hAnsi="Arial" w:cs="Arial"/>
          <w:bCs/>
          <w:sz w:val="22"/>
          <w:szCs w:val="22"/>
          <w:lang w:val="fr-FR" w:eastAsia="en-US"/>
        </w:rPr>
        <w:t>vait</w:t>
      </w:r>
      <w:r w:rsidRPr="00097628">
        <w:rPr>
          <w:rFonts w:ascii="Arial" w:eastAsia="SimSun" w:hAnsi="Arial" w:cs="Arial"/>
          <w:bCs/>
          <w:sz w:val="22"/>
          <w:szCs w:val="22"/>
          <w:lang w:val="fr-FR" w:eastAsia="en-US"/>
        </w:rPr>
        <w:t xml:space="preserve"> déjà été mise en œuvre par d</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 xml:space="preserve">autres </w:t>
      </w:r>
      <w:r>
        <w:rPr>
          <w:rFonts w:ascii="Arial" w:eastAsia="SimSun" w:hAnsi="Arial" w:cs="Arial"/>
          <w:bCs/>
          <w:sz w:val="22"/>
          <w:szCs w:val="22"/>
          <w:lang w:val="fr-FR" w:eastAsia="en-US"/>
        </w:rPr>
        <w:t>c</w:t>
      </w:r>
      <w:r w:rsidRPr="00097628">
        <w:rPr>
          <w:rFonts w:ascii="Arial" w:eastAsia="SimSun" w:hAnsi="Arial" w:cs="Arial"/>
          <w:bCs/>
          <w:sz w:val="22"/>
          <w:szCs w:val="22"/>
          <w:lang w:val="fr-FR" w:eastAsia="en-US"/>
        </w:rPr>
        <w:t xml:space="preserve">onventions, à savoir la Convention de La Haye de 1954 et son Deuxième Protocole et la Convention de 1970. </w:t>
      </w:r>
      <w:r>
        <w:rPr>
          <w:rFonts w:ascii="Arial" w:eastAsia="SimSun" w:hAnsi="Arial" w:cs="Arial"/>
          <w:bCs/>
          <w:sz w:val="22"/>
          <w:szCs w:val="22"/>
          <w:lang w:val="fr-FR" w:eastAsia="en-US"/>
        </w:rPr>
        <w:t>À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occasion d</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ateliers</w:t>
      </w:r>
      <w:r>
        <w:rPr>
          <w:rFonts w:ascii="Arial" w:eastAsia="SimSun" w:hAnsi="Arial" w:cs="Arial"/>
          <w:bCs/>
          <w:sz w:val="22"/>
          <w:szCs w:val="22"/>
          <w:lang w:val="fr-FR" w:eastAsia="en-US"/>
        </w:rPr>
        <w:t xml:space="preserve"> organisés par ces conventions</w:t>
      </w:r>
      <w:r w:rsidRPr="00097628">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elles</w:t>
      </w:r>
      <w:r w:rsidRPr="00097628">
        <w:rPr>
          <w:rFonts w:ascii="Arial" w:eastAsia="SimSun" w:hAnsi="Arial" w:cs="Arial"/>
          <w:bCs/>
          <w:sz w:val="22"/>
          <w:szCs w:val="22"/>
          <w:lang w:val="fr-FR" w:eastAsia="en-US"/>
        </w:rPr>
        <w:t xml:space="preserve"> invit</w:t>
      </w:r>
      <w:r>
        <w:rPr>
          <w:rFonts w:ascii="Arial" w:eastAsia="SimSun" w:hAnsi="Arial" w:cs="Arial"/>
          <w:bCs/>
          <w:sz w:val="22"/>
          <w:szCs w:val="22"/>
          <w:lang w:val="fr-FR" w:eastAsia="en-US"/>
        </w:rPr>
        <w:t>ai</w:t>
      </w:r>
      <w:r w:rsidRPr="00097628">
        <w:rPr>
          <w:rFonts w:ascii="Arial" w:eastAsia="SimSun" w:hAnsi="Arial" w:cs="Arial"/>
          <w:bCs/>
          <w:sz w:val="22"/>
          <w:szCs w:val="22"/>
          <w:lang w:val="fr-FR" w:eastAsia="en-US"/>
        </w:rPr>
        <w:t>ent et convoqu</w:t>
      </w:r>
      <w:r>
        <w:rPr>
          <w:rFonts w:ascii="Arial" w:eastAsia="SimSun" w:hAnsi="Arial" w:cs="Arial"/>
          <w:bCs/>
          <w:sz w:val="22"/>
          <w:szCs w:val="22"/>
          <w:lang w:val="fr-FR" w:eastAsia="en-US"/>
        </w:rPr>
        <w:t>ai</w:t>
      </w:r>
      <w:r w:rsidRPr="00097628">
        <w:rPr>
          <w:rFonts w:ascii="Arial" w:eastAsia="SimSun" w:hAnsi="Arial" w:cs="Arial"/>
          <w:bCs/>
          <w:sz w:val="22"/>
          <w:szCs w:val="22"/>
          <w:lang w:val="fr-FR" w:eastAsia="en-US"/>
        </w:rPr>
        <w:t>ent toutes les parties prenantes des</w:t>
      </w:r>
      <w:r>
        <w:rPr>
          <w:rFonts w:ascii="Arial" w:eastAsia="SimSun" w:hAnsi="Arial" w:cs="Arial"/>
          <w:bCs/>
          <w:sz w:val="22"/>
          <w:szCs w:val="22"/>
          <w:lang w:val="fr-FR" w:eastAsia="en-US"/>
        </w:rPr>
        <w:t xml:space="preserve">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097628">
        <w:rPr>
          <w:rFonts w:ascii="Arial" w:eastAsia="SimSun" w:hAnsi="Arial" w:cs="Arial"/>
          <w:bCs/>
          <w:sz w:val="22"/>
          <w:szCs w:val="22"/>
          <w:lang w:val="fr-FR" w:eastAsia="en-US"/>
        </w:rPr>
        <w:t>, élargissant ainsi l</w:t>
      </w:r>
      <w:r>
        <w:rPr>
          <w:rFonts w:ascii="Arial" w:eastAsia="SimSun" w:hAnsi="Arial" w:cs="Arial"/>
          <w:bCs/>
          <w:sz w:val="22"/>
          <w:szCs w:val="22"/>
          <w:lang w:val="fr-FR" w:eastAsia="en-US"/>
        </w:rPr>
        <w:t>eur</w:t>
      </w:r>
      <w:r w:rsidRPr="00097628">
        <w:rPr>
          <w:rFonts w:ascii="Arial" w:eastAsia="SimSun" w:hAnsi="Arial" w:cs="Arial"/>
          <w:bCs/>
          <w:sz w:val="22"/>
          <w:szCs w:val="22"/>
          <w:lang w:val="fr-FR" w:eastAsia="en-US"/>
        </w:rPr>
        <w:t xml:space="preserve"> portée. La délégation a remercié l</w:t>
      </w:r>
      <w:r>
        <w:rPr>
          <w:rFonts w:ascii="Arial" w:eastAsia="SimSun" w:hAnsi="Arial" w:cs="Arial"/>
          <w:bCs/>
          <w:sz w:val="22"/>
          <w:szCs w:val="22"/>
          <w:lang w:val="fr-FR" w:eastAsia="en-US"/>
        </w:rPr>
        <w:t>e</w:t>
      </w:r>
      <w:r w:rsidRPr="00097628">
        <w:rPr>
          <w:rFonts w:ascii="Arial" w:eastAsia="SimSun" w:hAnsi="Arial" w:cs="Arial"/>
          <w:bCs/>
          <w:sz w:val="22"/>
          <w:szCs w:val="22"/>
          <w:lang w:val="fr-FR" w:eastAsia="en-US"/>
        </w:rPr>
        <w:t xml:space="preserve"> Président du groupe de travail à composition non limitée et le groupe lui-même pour le travail sur les mécanismes d</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inscription</w:t>
      </w:r>
      <w:r>
        <w:rPr>
          <w:rFonts w:ascii="Arial" w:eastAsia="SimSun" w:hAnsi="Arial" w:cs="Arial"/>
          <w:bCs/>
          <w:sz w:val="22"/>
          <w:szCs w:val="22"/>
          <w:lang w:val="fr-FR" w:eastAsia="en-US"/>
        </w:rPr>
        <w:t xml:space="preserve"> sur les listes</w:t>
      </w:r>
      <w:r w:rsidRPr="00097628">
        <w:rPr>
          <w:rFonts w:ascii="Arial" w:eastAsia="SimSun" w:hAnsi="Arial" w:cs="Arial"/>
          <w:bCs/>
          <w:sz w:val="22"/>
          <w:szCs w:val="22"/>
          <w:lang w:val="fr-FR" w:eastAsia="en-US"/>
        </w:rPr>
        <w:t xml:space="preserve">, notant que des discussions étaient toujours en cours </w:t>
      </w:r>
      <w:r>
        <w:rPr>
          <w:rFonts w:ascii="Arial" w:eastAsia="SimSun" w:hAnsi="Arial" w:cs="Arial"/>
          <w:bCs/>
          <w:sz w:val="22"/>
          <w:szCs w:val="22"/>
          <w:lang w:val="fr-FR" w:eastAsia="en-US"/>
        </w:rPr>
        <w:t>à propos du</w:t>
      </w:r>
      <w:r w:rsidRPr="00097628">
        <w:rPr>
          <w:rFonts w:ascii="Arial" w:eastAsia="SimSun" w:hAnsi="Arial" w:cs="Arial"/>
          <w:bCs/>
          <w:sz w:val="22"/>
          <w:szCs w:val="22"/>
          <w:lang w:val="fr-FR" w:eastAsia="en-US"/>
        </w:rPr>
        <w:t xml:space="preserve"> critère 2. Elle appréci</w:t>
      </w:r>
      <w:r>
        <w:rPr>
          <w:rFonts w:ascii="Arial" w:eastAsia="SimSun" w:hAnsi="Arial" w:cs="Arial"/>
          <w:bCs/>
          <w:sz w:val="22"/>
          <w:szCs w:val="22"/>
          <w:lang w:val="fr-FR" w:eastAsia="en-US"/>
        </w:rPr>
        <w:t>ait</w:t>
      </w:r>
      <w:r w:rsidRPr="00097628">
        <w:rPr>
          <w:rFonts w:ascii="Arial" w:eastAsia="SimSun" w:hAnsi="Arial" w:cs="Arial"/>
          <w:bCs/>
          <w:sz w:val="22"/>
          <w:szCs w:val="22"/>
          <w:lang w:val="fr-FR" w:eastAsia="en-US"/>
        </w:rPr>
        <w:t xml:space="preserve"> que le Secrétariat ait travaillé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arrache-pied </w:t>
      </w:r>
      <w:r w:rsidRPr="00097628">
        <w:rPr>
          <w:rFonts w:ascii="Arial" w:eastAsia="SimSun" w:hAnsi="Arial" w:cs="Arial"/>
          <w:bCs/>
          <w:sz w:val="22"/>
          <w:szCs w:val="22"/>
          <w:lang w:val="fr-FR" w:eastAsia="en-US"/>
        </w:rPr>
        <w:t>pour réussir à simplifier le formulaire de candidature. Toutefois, la délégation a suggéré que le Secrétariat pourrait améliorer à nouveau le formulaire et simplifier les questions relatives à ce critère</w:t>
      </w:r>
      <w:r>
        <w:rPr>
          <w:rFonts w:ascii="Arial" w:eastAsia="SimSun" w:hAnsi="Arial" w:cs="Arial"/>
          <w:bCs/>
          <w:sz w:val="22"/>
          <w:szCs w:val="22"/>
          <w:lang w:val="fr-FR" w:eastAsia="en-US"/>
        </w:rPr>
        <w:t xml:space="preserve"> précis</w:t>
      </w:r>
      <w:r w:rsidRPr="00097628">
        <w:rPr>
          <w:rFonts w:ascii="Arial" w:eastAsia="SimSun" w:hAnsi="Arial" w:cs="Arial"/>
          <w:bCs/>
          <w:sz w:val="22"/>
          <w:szCs w:val="22"/>
          <w:lang w:val="fr-FR" w:eastAsia="en-US"/>
        </w:rPr>
        <w:t xml:space="preserve">. Enfin, la délégation a </w:t>
      </w:r>
      <w:r>
        <w:rPr>
          <w:rFonts w:ascii="Arial" w:eastAsia="SimSun" w:hAnsi="Arial" w:cs="Arial"/>
          <w:bCs/>
          <w:sz w:val="22"/>
          <w:szCs w:val="22"/>
          <w:lang w:val="fr-FR" w:eastAsia="en-US"/>
        </w:rPr>
        <w:t xml:space="preserve">noté </w:t>
      </w:r>
      <w:r w:rsidRPr="00097628">
        <w:rPr>
          <w:rFonts w:ascii="Arial" w:eastAsia="SimSun" w:hAnsi="Arial" w:cs="Arial"/>
          <w:bCs/>
          <w:sz w:val="22"/>
          <w:szCs w:val="22"/>
          <w:lang w:val="fr-FR" w:eastAsia="en-US"/>
        </w:rPr>
        <w:t>que presque toutes les interventions après le point 5 [</w:t>
      </w:r>
      <w:r>
        <w:rPr>
          <w:rFonts w:ascii="Arial" w:eastAsia="SimSun" w:hAnsi="Arial" w:cs="Arial"/>
          <w:bCs/>
          <w:sz w:val="22"/>
          <w:szCs w:val="22"/>
          <w:lang w:val="fr-FR" w:eastAsia="en-US"/>
        </w:rPr>
        <w:t>sur le</w:t>
      </w:r>
      <w:r w:rsidRPr="00097628">
        <w:rPr>
          <w:rFonts w:ascii="Arial" w:eastAsia="SimSun" w:hAnsi="Arial" w:cs="Arial"/>
          <w:bCs/>
          <w:sz w:val="22"/>
          <w:szCs w:val="22"/>
          <w:lang w:val="fr-FR" w:eastAsia="en-US"/>
        </w:rPr>
        <w:t xml:space="preserve"> rapport du Comité] étaient des déclarations nationales et elle a donc suggéré d</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inclure un point de l</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 xml:space="preserve">ordre du jour spécifiquement consacré aux </w:t>
      </w:r>
      <w:r>
        <w:rPr>
          <w:rFonts w:ascii="Arial" w:eastAsia="SimSun" w:hAnsi="Arial" w:cs="Arial"/>
          <w:bCs/>
          <w:sz w:val="22"/>
          <w:szCs w:val="22"/>
          <w:lang w:val="fr-FR" w:eastAsia="en-US"/>
        </w:rPr>
        <w:t>« </w:t>
      </w:r>
      <w:r w:rsidRPr="00097628">
        <w:rPr>
          <w:rFonts w:ascii="Arial" w:eastAsia="SimSun" w:hAnsi="Arial" w:cs="Arial"/>
          <w:bCs/>
          <w:sz w:val="22"/>
          <w:szCs w:val="22"/>
          <w:lang w:val="fr-FR" w:eastAsia="en-US"/>
        </w:rPr>
        <w:t>déclarations nationales</w:t>
      </w:r>
      <w:r>
        <w:rPr>
          <w:rFonts w:ascii="Arial" w:eastAsia="SimSun" w:hAnsi="Arial" w:cs="Arial"/>
          <w:bCs/>
          <w:sz w:val="22"/>
          <w:szCs w:val="22"/>
          <w:lang w:val="fr-FR" w:eastAsia="en-US"/>
        </w:rPr>
        <w:t> »</w:t>
      </w:r>
      <w:r w:rsidRPr="00097628">
        <w:rPr>
          <w:rFonts w:ascii="Arial" w:eastAsia="SimSun" w:hAnsi="Arial" w:cs="Arial"/>
          <w:bCs/>
          <w:sz w:val="22"/>
          <w:szCs w:val="22"/>
          <w:lang w:val="fr-FR" w:eastAsia="en-US"/>
        </w:rPr>
        <w:t>. Si le temps était limité, en raison d</w:t>
      </w:r>
      <w:r w:rsidR="008E532B">
        <w:rPr>
          <w:rFonts w:ascii="Arial" w:eastAsia="SimSun" w:hAnsi="Arial" w:cs="Arial"/>
          <w:bCs/>
          <w:sz w:val="22"/>
          <w:szCs w:val="22"/>
          <w:lang w:val="fr-FR" w:eastAsia="en-US"/>
        </w:rPr>
        <w:t>’</w:t>
      </w:r>
      <w:r w:rsidRPr="00097628">
        <w:rPr>
          <w:rFonts w:ascii="Arial" w:eastAsia="SimSun" w:hAnsi="Arial" w:cs="Arial"/>
          <w:bCs/>
          <w:sz w:val="22"/>
          <w:szCs w:val="22"/>
          <w:lang w:val="fr-FR" w:eastAsia="en-US"/>
        </w:rPr>
        <w:t>un nombre élevé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orateurs</w:t>
      </w:r>
      <w:r w:rsidRPr="00097628">
        <w:rPr>
          <w:rFonts w:ascii="Arial" w:eastAsia="SimSun" w:hAnsi="Arial" w:cs="Arial"/>
          <w:bCs/>
          <w:sz w:val="22"/>
          <w:szCs w:val="22"/>
          <w:lang w:val="fr-FR" w:eastAsia="en-US"/>
        </w:rPr>
        <w:t xml:space="preserve">, les déclarations pourraient être limitées </w:t>
      </w:r>
      <w:r>
        <w:rPr>
          <w:rFonts w:ascii="Arial" w:eastAsia="SimSun" w:hAnsi="Arial" w:cs="Arial"/>
          <w:bCs/>
          <w:sz w:val="22"/>
          <w:szCs w:val="22"/>
          <w:lang w:val="fr-FR" w:eastAsia="en-US"/>
        </w:rPr>
        <w:t>de</w:t>
      </w:r>
      <w:r w:rsidRPr="00097628">
        <w:rPr>
          <w:rFonts w:ascii="Arial" w:eastAsia="SimSun" w:hAnsi="Arial" w:cs="Arial"/>
          <w:bCs/>
          <w:sz w:val="22"/>
          <w:szCs w:val="22"/>
          <w:lang w:val="fr-FR" w:eastAsia="en-US"/>
        </w:rPr>
        <w:t xml:space="preserve"> deux </w:t>
      </w:r>
      <w:r>
        <w:rPr>
          <w:rFonts w:ascii="Arial" w:eastAsia="SimSun" w:hAnsi="Arial" w:cs="Arial"/>
          <w:bCs/>
          <w:sz w:val="22"/>
          <w:szCs w:val="22"/>
          <w:lang w:val="fr-FR" w:eastAsia="en-US"/>
        </w:rPr>
        <w:t xml:space="preserve">à </w:t>
      </w:r>
      <w:r w:rsidRPr="00097628">
        <w:rPr>
          <w:rFonts w:ascii="Arial" w:eastAsia="SimSun" w:hAnsi="Arial" w:cs="Arial"/>
          <w:bCs/>
          <w:sz w:val="22"/>
          <w:szCs w:val="22"/>
          <w:lang w:val="fr-FR" w:eastAsia="en-US"/>
        </w:rPr>
        <w:t>quatre minutes</w:t>
      </w:r>
      <w:r>
        <w:rPr>
          <w:rFonts w:ascii="Arial" w:eastAsia="SimSun" w:hAnsi="Arial" w:cs="Arial"/>
          <w:bCs/>
          <w:sz w:val="22"/>
          <w:szCs w:val="22"/>
          <w:lang w:val="fr-FR" w:eastAsia="en-US"/>
        </w:rPr>
        <w:t xml:space="preserve"> selon les circonstances.</w:t>
      </w:r>
    </w:p>
    <w:p w14:paraId="14F28946" w14:textId="7D0E617E" w:rsidR="00D9653F" w:rsidRPr="00DD0D68"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DD0D68">
        <w:rPr>
          <w:rFonts w:ascii="Arial" w:eastAsia="SimSun" w:hAnsi="Arial" w:cs="Arial"/>
          <w:bCs/>
          <w:sz w:val="22"/>
          <w:szCs w:val="22"/>
          <w:lang w:val="fr-FR" w:eastAsia="en-US"/>
        </w:rPr>
        <w:t>La délégation de l</w:t>
      </w:r>
      <w:r w:rsidR="008E532B">
        <w:rPr>
          <w:rFonts w:ascii="Arial" w:eastAsia="SimSun" w:hAnsi="Arial" w:cs="Arial"/>
          <w:bCs/>
          <w:sz w:val="22"/>
          <w:szCs w:val="22"/>
          <w:lang w:val="fr-FR" w:eastAsia="en-US"/>
        </w:rPr>
        <w:t>’</w:t>
      </w:r>
      <w:r w:rsidRPr="00DD0D68">
        <w:rPr>
          <w:rFonts w:ascii="Arial" w:eastAsia="SimSun" w:hAnsi="Arial" w:cs="Arial"/>
          <w:b/>
          <w:sz w:val="22"/>
          <w:szCs w:val="22"/>
          <w:lang w:val="fr-FR" w:eastAsia="en-US"/>
        </w:rPr>
        <w:t>Autriche</w:t>
      </w:r>
      <w:r w:rsidRPr="00DD0D68">
        <w:rPr>
          <w:rFonts w:ascii="Arial" w:eastAsia="SimSun" w:hAnsi="Arial" w:cs="Arial"/>
          <w:bCs/>
          <w:sz w:val="22"/>
          <w:szCs w:val="22"/>
          <w:lang w:val="fr-FR" w:eastAsia="en-US"/>
        </w:rPr>
        <w:t xml:space="preserve"> a félicité la Présidente pour son élection et a remercié le Secrétariat pour son travail </w:t>
      </w:r>
      <w:r>
        <w:rPr>
          <w:rFonts w:ascii="Arial" w:eastAsia="SimSun" w:hAnsi="Arial" w:cs="Arial"/>
          <w:bCs/>
          <w:sz w:val="22"/>
          <w:szCs w:val="22"/>
          <w:lang w:val="fr-FR" w:eastAsia="en-US"/>
        </w:rPr>
        <w:t xml:space="preserve">acharné </w:t>
      </w:r>
      <w:r w:rsidRPr="00DD0D68">
        <w:rPr>
          <w:rFonts w:ascii="Arial" w:eastAsia="SimSun" w:hAnsi="Arial" w:cs="Arial"/>
          <w:bCs/>
          <w:sz w:val="22"/>
          <w:szCs w:val="22"/>
          <w:lang w:val="fr-FR" w:eastAsia="en-US"/>
        </w:rPr>
        <w:t>et l</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excellente préparation de cette réunion dans des circonstances extraordinaires</w:t>
      </w:r>
      <w:r>
        <w:rPr>
          <w:rFonts w:ascii="Arial" w:eastAsia="SimSun" w:hAnsi="Arial" w:cs="Arial"/>
          <w:bCs/>
          <w:sz w:val="22"/>
          <w:szCs w:val="22"/>
          <w:lang w:val="fr-FR" w:eastAsia="en-US"/>
        </w:rPr>
        <w:t xml:space="preserve">. Elle </w:t>
      </w:r>
      <w:r w:rsidRPr="00DD0D68">
        <w:rPr>
          <w:rFonts w:ascii="Arial" w:eastAsia="SimSun" w:hAnsi="Arial" w:cs="Arial"/>
          <w:bCs/>
          <w:sz w:val="22"/>
          <w:szCs w:val="22"/>
          <w:lang w:val="fr-FR" w:eastAsia="en-US"/>
        </w:rPr>
        <w:t>appréci</w:t>
      </w:r>
      <w:r>
        <w:rPr>
          <w:rFonts w:ascii="Arial" w:eastAsia="SimSun" w:hAnsi="Arial" w:cs="Arial"/>
          <w:bCs/>
          <w:sz w:val="22"/>
          <w:szCs w:val="22"/>
          <w:lang w:val="fr-FR" w:eastAsia="en-US"/>
        </w:rPr>
        <w:t>ait</w:t>
      </w:r>
      <w:r w:rsidRPr="00DD0D68">
        <w:rPr>
          <w:rFonts w:ascii="Arial" w:eastAsia="SimSun" w:hAnsi="Arial" w:cs="Arial"/>
          <w:bCs/>
          <w:sz w:val="22"/>
          <w:szCs w:val="22"/>
          <w:lang w:val="fr-FR" w:eastAsia="en-US"/>
        </w:rPr>
        <w:t xml:space="preserve"> la qualité du travail </w:t>
      </w:r>
      <w:r>
        <w:rPr>
          <w:rFonts w:ascii="Arial" w:eastAsia="SimSun" w:hAnsi="Arial" w:cs="Arial"/>
          <w:bCs/>
          <w:sz w:val="22"/>
          <w:szCs w:val="22"/>
          <w:lang w:val="fr-FR" w:eastAsia="en-US"/>
        </w:rPr>
        <w:t xml:space="preserve">réalisé </w:t>
      </w:r>
      <w:r w:rsidRPr="00DD0D68">
        <w:rPr>
          <w:rFonts w:ascii="Arial" w:eastAsia="SimSun" w:hAnsi="Arial" w:cs="Arial"/>
          <w:bCs/>
          <w:sz w:val="22"/>
          <w:szCs w:val="22"/>
          <w:lang w:val="fr-FR" w:eastAsia="en-US"/>
        </w:rPr>
        <w:t xml:space="preserve">tout en reconnaissant sa grande charge de travail malgré la situation </w:t>
      </w:r>
      <w:r>
        <w:rPr>
          <w:rFonts w:ascii="Arial" w:eastAsia="SimSun" w:hAnsi="Arial" w:cs="Arial"/>
          <w:bCs/>
          <w:sz w:val="22"/>
          <w:szCs w:val="22"/>
          <w:lang w:val="fr-FR" w:eastAsia="en-US"/>
        </w:rPr>
        <w:t>liée à la</w:t>
      </w:r>
      <w:r w:rsidRPr="00DD0D68">
        <w:rPr>
          <w:rFonts w:ascii="Arial" w:eastAsia="SimSun" w:hAnsi="Arial" w:cs="Arial"/>
          <w:bCs/>
          <w:sz w:val="22"/>
          <w:szCs w:val="22"/>
          <w:lang w:val="fr-FR" w:eastAsia="en-US"/>
        </w:rPr>
        <w:t xml:space="preserve"> COVID</w:t>
      </w:r>
      <w:r>
        <w:rPr>
          <w:rFonts w:ascii="Arial" w:eastAsia="SimSun" w:hAnsi="Arial" w:cs="Arial"/>
          <w:bCs/>
          <w:sz w:val="22"/>
          <w:szCs w:val="22"/>
          <w:lang w:val="fr-FR" w:eastAsia="en-US"/>
        </w:rPr>
        <w:noBreakHyphen/>
      </w:r>
      <w:r w:rsidRPr="00DD0D68">
        <w:rPr>
          <w:rFonts w:ascii="Arial" w:eastAsia="SimSun" w:hAnsi="Arial" w:cs="Arial"/>
          <w:bCs/>
          <w:sz w:val="22"/>
          <w:szCs w:val="22"/>
          <w:lang w:val="fr-FR" w:eastAsia="en-US"/>
        </w:rPr>
        <w:t xml:space="preserve">19. Le Secrétariat </w:t>
      </w:r>
      <w:r>
        <w:rPr>
          <w:rFonts w:ascii="Arial" w:eastAsia="SimSun" w:hAnsi="Arial" w:cs="Arial"/>
          <w:bCs/>
          <w:sz w:val="22"/>
          <w:szCs w:val="22"/>
          <w:lang w:val="fr-FR" w:eastAsia="en-US"/>
        </w:rPr>
        <w:t xml:space="preserve">avait </w:t>
      </w:r>
      <w:r w:rsidRPr="00DD0D68">
        <w:rPr>
          <w:rFonts w:ascii="Arial" w:eastAsia="SimSun" w:hAnsi="Arial" w:cs="Arial"/>
          <w:bCs/>
          <w:sz w:val="22"/>
          <w:szCs w:val="22"/>
          <w:lang w:val="fr-FR" w:eastAsia="en-US"/>
        </w:rPr>
        <w:t>assur</w:t>
      </w:r>
      <w:r>
        <w:rPr>
          <w:rFonts w:ascii="Arial" w:eastAsia="SimSun" w:hAnsi="Arial" w:cs="Arial"/>
          <w:bCs/>
          <w:sz w:val="22"/>
          <w:szCs w:val="22"/>
          <w:lang w:val="fr-FR" w:eastAsia="en-US"/>
        </w:rPr>
        <w:t>é</w:t>
      </w:r>
      <w:r w:rsidRPr="00DD0D68">
        <w:rPr>
          <w:rFonts w:ascii="Arial" w:eastAsia="SimSun" w:hAnsi="Arial" w:cs="Arial"/>
          <w:bCs/>
          <w:sz w:val="22"/>
          <w:szCs w:val="22"/>
          <w:lang w:val="fr-FR" w:eastAsia="en-US"/>
        </w:rPr>
        <w:t xml:space="preserve"> une bonne gouvernance</w:t>
      </w:r>
      <w:r>
        <w:rPr>
          <w:rFonts w:ascii="Arial" w:eastAsia="SimSun" w:hAnsi="Arial" w:cs="Arial"/>
          <w:bCs/>
          <w:sz w:val="22"/>
          <w:szCs w:val="22"/>
          <w:lang w:val="fr-FR" w:eastAsia="en-US"/>
        </w:rPr>
        <w:t>, y compris de</w:t>
      </w:r>
      <w:r w:rsidRPr="00DD0D68">
        <w:rPr>
          <w:rFonts w:ascii="Arial" w:eastAsia="SimSun" w:hAnsi="Arial" w:cs="Arial"/>
          <w:bCs/>
          <w:sz w:val="22"/>
          <w:szCs w:val="22"/>
          <w:lang w:val="fr-FR" w:eastAsia="en-US"/>
        </w:rPr>
        <w:t xml:space="preserve"> tous les mécanismes statutaires et </w:t>
      </w:r>
      <w:r>
        <w:rPr>
          <w:rFonts w:ascii="Arial" w:eastAsia="SimSun" w:hAnsi="Arial" w:cs="Arial"/>
          <w:bCs/>
          <w:sz w:val="22"/>
          <w:szCs w:val="22"/>
          <w:lang w:val="fr-FR" w:eastAsia="en-US"/>
        </w:rPr>
        <w:t>d</w:t>
      </w:r>
      <w:r w:rsidRPr="00DD0D68">
        <w:rPr>
          <w:rFonts w:ascii="Arial" w:eastAsia="SimSun" w:hAnsi="Arial" w:cs="Arial"/>
          <w:bCs/>
          <w:sz w:val="22"/>
          <w:szCs w:val="22"/>
          <w:lang w:val="fr-FR" w:eastAsia="en-US"/>
        </w:rPr>
        <w:t>es initiatives opérationnelles clés. La Convention a</w:t>
      </w:r>
      <w:r>
        <w:rPr>
          <w:rFonts w:ascii="Arial" w:eastAsia="SimSun" w:hAnsi="Arial" w:cs="Arial"/>
          <w:bCs/>
          <w:sz w:val="22"/>
          <w:szCs w:val="22"/>
          <w:lang w:val="fr-FR" w:eastAsia="en-US"/>
        </w:rPr>
        <w:t>vait</w:t>
      </w:r>
      <w:r w:rsidRPr="00DD0D68">
        <w:rPr>
          <w:rFonts w:ascii="Arial" w:eastAsia="SimSun" w:hAnsi="Arial" w:cs="Arial"/>
          <w:bCs/>
          <w:sz w:val="22"/>
          <w:szCs w:val="22"/>
          <w:lang w:val="fr-FR" w:eastAsia="en-US"/>
        </w:rPr>
        <w:t xml:space="preserve"> atteint une ratification quasi universelle et la délégation a </w:t>
      </w:r>
      <w:r>
        <w:rPr>
          <w:rFonts w:ascii="Arial" w:eastAsia="SimSun" w:hAnsi="Arial" w:cs="Arial"/>
          <w:bCs/>
          <w:sz w:val="22"/>
          <w:szCs w:val="22"/>
          <w:lang w:val="fr-FR" w:eastAsia="en-US"/>
        </w:rPr>
        <w:t xml:space="preserve">souhaité la bienvenue à </w:t>
      </w:r>
      <w:r w:rsidRPr="00DD0D68">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 xml:space="preserve">Angola et </w:t>
      </w:r>
      <w:r>
        <w:rPr>
          <w:rFonts w:ascii="Arial" w:eastAsia="SimSun" w:hAnsi="Arial" w:cs="Arial"/>
          <w:bCs/>
          <w:sz w:val="22"/>
          <w:szCs w:val="22"/>
          <w:lang w:val="fr-FR" w:eastAsia="en-US"/>
        </w:rPr>
        <w:t xml:space="preserve">à </w:t>
      </w:r>
      <w:r w:rsidRPr="00DD0D68">
        <w:rPr>
          <w:rFonts w:ascii="Arial" w:eastAsia="SimSun" w:hAnsi="Arial" w:cs="Arial"/>
          <w:bCs/>
          <w:sz w:val="22"/>
          <w:szCs w:val="22"/>
          <w:lang w:val="fr-FR" w:eastAsia="en-US"/>
        </w:rPr>
        <w:t xml:space="preserve">la Somalie. </w:t>
      </w:r>
      <w:r>
        <w:rPr>
          <w:rFonts w:ascii="Arial" w:eastAsia="SimSun" w:hAnsi="Arial" w:cs="Arial"/>
          <w:bCs/>
          <w:sz w:val="22"/>
          <w:szCs w:val="22"/>
          <w:lang w:val="fr-FR" w:eastAsia="en-US"/>
        </w:rPr>
        <w:t>À la veille de son vingtième anniversaire, c</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était </w:t>
      </w:r>
      <w:r w:rsidRPr="00DD0D68">
        <w:rPr>
          <w:rFonts w:ascii="Arial" w:eastAsia="SimSun" w:hAnsi="Arial" w:cs="Arial"/>
          <w:bCs/>
          <w:sz w:val="22"/>
          <w:szCs w:val="22"/>
          <w:lang w:val="fr-FR" w:eastAsia="en-US"/>
        </w:rPr>
        <w:t>un moment de fierté pour la Conventio</w:t>
      </w:r>
      <w:r>
        <w:rPr>
          <w:rFonts w:ascii="Arial" w:eastAsia="SimSun" w:hAnsi="Arial" w:cs="Arial"/>
          <w:bCs/>
          <w:sz w:val="22"/>
          <w:szCs w:val="22"/>
          <w:lang w:val="fr-FR" w:eastAsia="en-US"/>
        </w:rPr>
        <w:t xml:space="preserve">n </w:t>
      </w:r>
      <w:r w:rsidRPr="00DD0D68">
        <w:rPr>
          <w:rFonts w:ascii="Arial" w:eastAsia="SimSun" w:hAnsi="Arial" w:cs="Arial"/>
          <w:bCs/>
          <w:sz w:val="22"/>
          <w:szCs w:val="22"/>
          <w:lang w:val="fr-FR" w:eastAsia="en-US"/>
        </w:rPr>
        <w:t>qui a</w:t>
      </w:r>
      <w:r>
        <w:rPr>
          <w:rFonts w:ascii="Arial" w:eastAsia="SimSun" w:hAnsi="Arial" w:cs="Arial"/>
          <w:bCs/>
          <w:sz w:val="22"/>
          <w:szCs w:val="22"/>
          <w:lang w:val="fr-FR" w:eastAsia="en-US"/>
        </w:rPr>
        <w:t>vait</w:t>
      </w:r>
      <w:r w:rsidRPr="00DD0D68">
        <w:rPr>
          <w:rFonts w:ascii="Arial" w:eastAsia="SimSun" w:hAnsi="Arial" w:cs="Arial"/>
          <w:bCs/>
          <w:sz w:val="22"/>
          <w:szCs w:val="22"/>
          <w:lang w:val="fr-FR" w:eastAsia="en-US"/>
        </w:rPr>
        <w:t xml:space="preserve"> énormément évolué et continuera</w:t>
      </w:r>
      <w:r>
        <w:rPr>
          <w:rFonts w:ascii="Arial" w:eastAsia="SimSun" w:hAnsi="Arial" w:cs="Arial"/>
          <w:bCs/>
          <w:sz w:val="22"/>
          <w:szCs w:val="22"/>
          <w:lang w:val="fr-FR" w:eastAsia="en-US"/>
        </w:rPr>
        <w:t>it</w:t>
      </w:r>
      <w:r w:rsidRPr="00DD0D68">
        <w:rPr>
          <w:rFonts w:ascii="Arial" w:eastAsia="SimSun" w:hAnsi="Arial" w:cs="Arial"/>
          <w:bCs/>
          <w:sz w:val="22"/>
          <w:szCs w:val="22"/>
          <w:lang w:val="fr-FR" w:eastAsia="en-US"/>
        </w:rPr>
        <w:t xml:space="preserve"> à le faire à l</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avenir. L</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 xml:space="preserve">Autriche </w:t>
      </w:r>
      <w:r>
        <w:rPr>
          <w:rFonts w:ascii="Arial" w:eastAsia="SimSun" w:hAnsi="Arial" w:cs="Arial"/>
          <w:bCs/>
          <w:sz w:val="22"/>
          <w:szCs w:val="22"/>
          <w:lang w:val="fr-FR" w:eastAsia="en-US"/>
        </w:rPr>
        <w:t>était</w:t>
      </w:r>
      <w:r w:rsidRPr="00DD0D68">
        <w:rPr>
          <w:rFonts w:ascii="Arial" w:eastAsia="SimSun" w:hAnsi="Arial" w:cs="Arial"/>
          <w:bCs/>
          <w:sz w:val="22"/>
          <w:szCs w:val="22"/>
          <w:lang w:val="fr-FR" w:eastAsia="en-US"/>
        </w:rPr>
        <w:t xml:space="preserve"> profondément attachée aux valeurs et aux principes de la Convention. Parmi les étapes les plus marquantes de ces deux dernières années</w:t>
      </w:r>
      <w:r>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 xml:space="preserve"> figur</w:t>
      </w:r>
      <w:r>
        <w:rPr>
          <w:rFonts w:ascii="Arial" w:eastAsia="SimSun" w:hAnsi="Arial" w:cs="Arial"/>
          <w:bCs/>
          <w:sz w:val="22"/>
          <w:szCs w:val="22"/>
          <w:lang w:val="fr-FR" w:eastAsia="en-US"/>
        </w:rPr>
        <w:t>ai</w:t>
      </w:r>
      <w:r w:rsidRPr="00DD0D68">
        <w:rPr>
          <w:rFonts w:ascii="Arial" w:eastAsia="SimSun" w:hAnsi="Arial" w:cs="Arial"/>
          <w:bCs/>
          <w:sz w:val="22"/>
          <w:szCs w:val="22"/>
          <w:lang w:val="fr-FR" w:eastAsia="en-US"/>
        </w:rPr>
        <w:t xml:space="preserve">ent la réforme du système de </w:t>
      </w:r>
      <w:r>
        <w:rPr>
          <w:rFonts w:ascii="Arial" w:eastAsia="SimSun" w:hAnsi="Arial" w:cs="Arial"/>
          <w:bCs/>
          <w:sz w:val="22"/>
          <w:szCs w:val="22"/>
          <w:lang w:val="fr-FR" w:eastAsia="en-US"/>
        </w:rPr>
        <w:t xml:space="preserve">soumission de </w:t>
      </w:r>
      <w:r w:rsidRPr="00DD0D68">
        <w:rPr>
          <w:rFonts w:ascii="Arial" w:eastAsia="SimSun" w:hAnsi="Arial" w:cs="Arial"/>
          <w:bCs/>
          <w:sz w:val="22"/>
          <w:szCs w:val="22"/>
          <w:lang w:val="fr-FR" w:eastAsia="en-US"/>
        </w:rPr>
        <w:t>rapports et la réflexion globale sur les mécanismes d</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inscriptio</w:t>
      </w:r>
      <w:r>
        <w:rPr>
          <w:rFonts w:ascii="Arial" w:eastAsia="SimSun" w:hAnsi="Arial" w:cs="Arial"/>
          <w:bCs/>
          <w:sz w:val="22"/>
          <w:szCs w:val="22"/>
          <w:lang w:val="fr-FR" w:eastAsia="en-US"/>
        </w:rPr>
        <w:t>n</w:t>
      </w:r>
      <w:r w:rsidRPr="00DD0D68">
        <w:rPr>
          <w:rFonts w:ascii="Arial" w:eastAsia="SimSun" w:hAnsi="Arial" w:cs="Arial"/>
          <w:bCs/>
          <w:sz w:val="22"/>
          <w:szCs w:val="22"/>
          <w:lang w:val="fr-FR" w:eastAsia="en-US"/>
        </w:rPr>
        <w:t>. Le succès du nouveau système d</w:t>
      </w:r>
      <w:r>
        <w:rPr>
          <w:rFonts w:ascii="Arial" w:eastAsia="SimSun" w:hAnsi="Arial" w:cs="Arial"/>
          <w:bCs/>
          <w:sz w:val="22"/>
          <w:szCs w:val="22"/>
          <w:lang w:val="fr-FR" w:eastAsia="en-US"/>
        </w:rPr>
        <w:t>e soumission</w:t>
      </w:r>
      <w:r w:rsidRPr="00DD0D68">
        <w:rPr>
          <w:rFonts w:ascii="Arial" w:eastAsia="SimSun" w:hAnsi="Arial" w:cs="Arial"/>
          <w:bCs/>
          <w:sz w:val="22"/>
          <w:szCs w:val="22"/>
          <w:lang w:val="fr-FR" w:eastAsia="en-US"/>
        </w:rPr>
        <w:t xml:space="preserve"> de rapports se refl</w:t>
      </w:r>
      <w:r>
        <w:rPr>
          <w:rFonts w:ascii="Arial" w:eastAsia="SimSun" w:hAnsi="Arial" w:cs="Arial"/>
          <w:bCs/>
          <w:sz w:val="22"/>
          <w:szCs w:val="22"/>
          <w:lang w:val="fr-FR" w:eastAsia="en-US"/>
        </w:rPr>
        <w:t>était</w:t>
      </w:r>
      <w:r w:rsidRPr="00DD0D68">
        <w:rPr>
          <w:rFonts w:ascii="Arial" w:eastAsia="SimSun" w:hAnsi="Arial" w:cs="Arial"/>
          <w:bCs/>
          <w:sz w:val="22"/>
          <w:szCs w:val="22"/>
          <w:lang w:val="fr-FR" w:eastAsia="en-US"/>
        </w:rPr>
        <w:t xml:space="preserve"> clairement dans le taux de soumission le plus élevé jamais enregistré. La région Amérique latine et Caraïbes et l</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 xml:space="preserve">Europe </w:t>
      </w:r>
      <w:r>
        <w:rPr>
          <w:rFonts w:ascii="Arial" w:eastAsia="SimSun" w:hAnsi="Arial" w:cs="Arial"/>
          <w:bCs/>
          <w:sz w:val="22"/>
          <w:szCs w:val="22"/>
          <w:lang w:val="fr-FR" w:eastAsia="en-US"/>
        </w:rPr>
        <w:t xml:space="preserve">avaient </w:t>
      </w:r>
      <w:r w:rsidRPr="00DD0D68">
        <w:rPr>
          <w:rFonts w:ascii="Arial" w:eastAsia="SimSun" w:hAnsi="Arial" w:cs="Arial"/>
          <w:bCs/>
          <w:sz w:val="22"/>
          <w:szCs w:val="22"/>
          <w:lang w:val="fr-FR" w:eastAsia="en-US"/>
        </w:rPr>
        <w:t xml:space="preserve">suivi des formations complètes et </w:t>
      </w:r>
      <w:r>
        <w:rPr>
          <w:rFonts w:ascii="Arial" w:eastAsia="SimSun" w:hAnsi="Arial" w:cs="Arial"/>
          <w:bCs/>
          <w:sz w:val="22"/>
          <w:szCs w:val="22"/>
          <w:lang w:val="fr-FR" w:eastAsia="en-US"/>
        </w:rPr>
        <w:t>avaient entrepris</w:t>
      </w:r>
      <w:r w:rsidRPr="00DD0D68">
        <w:rPr>
          <w:rFonts w:ascii="Arial" w:eastAsia="SimSun" w:hAnsi="Arial" w:cs="Arial"/>
          <w:bCs/>
          <w:sz w:val="22"/>
          <w:szCs w:val="22"/>
          <w:lang w:val="fr-FR" w:eastAsia="en-US"/>
        </w:rPr>
        <w:t xml:space="preserve"> des efforts considérables pour garantir des rapports de la plus haute qualité. En effet, la question </w:t>
      </w:r>
      <w:r>
        <w:rPr>
          <w:rFonts w:ascii="Arial" w:eastAsia="SimSun" w:hAnsi="Arial" w:cs="Arial"/>
          <w:bCs/>
          <w:sz w:val="22"/>
          <w:szCs w:val="22"/>
          <w:lang w:val="fr-FR" w:eastAsia="en-US"/>
        </w:rPr>
        <w:t>était</w:t>
      </w:r>
      <w:r w:rsidRPr="00DD0D68">
        <w:rPr>
          <w:rFonts w:ascii="Arial" w:eastAsia="SimSun" w:hAnsi="Arial" w:cs="Arial"/>
          <w:bCs/>
          <w:sz w:val="22"/>
          <w:szCs w:val="22"/>
          <w:lang w:val="fr-FR" w:eastAsia="en-US"/>
        </w:rPr>
        <w:t xml:space="preserve"> de savoir si cette qualité p</w:t>
      </w:r>
      <w:r>
        <w:rPr>
          <w:rFonts w:ascii="Arial" w:eastAsia="SimSun" w:hAnsi="Arial" w:cs="Arial"/>
          <w:bCs/>
          <w:sz w:val="22"/>
          <w:szCs w:val="22"/>
          <w:lang w:val="fr-FR" w:eastAsia="en-US"/>
        </w:rPr>
        <w:t>ouvait</w:t>
      </w:r>
      <w:r w:rsidRPr="00DD0D68">
        <w:rPr>
          <w:rFonts w:ascii="Arial" w:eastAsia="SimSun" w:hAnsi="Arial" w:cs="Arial"/>
          <w:bCs/>
          <w:sz w:val="22"/>
          <w:szCs w:val="22"/>
          <w:lang w:val="fr-FR" w:eastAsia="en-US"/>
        </w:rPr>
        <w:t xml:space="preserve"> être assurée avec moins de procédures et des questions moins complètes, ce qui pourrait effectivement faciliter le travail des États parties et du Secrétariat.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agissant de</w:t>
      </w:r>
      <w:r w:rsidRPr="00DD0D68">
        <w:rPr>
          <w:rFonts w:ascii="Arial" w:eastAsia="SimSun" w:hAnsi="Arial" w:cs="Arial"/>
          <w:bCs/>
          <w:sz w:val="22"/>
          <w:szCs w:val="22"/>
          <w:lang w:val="fr-FR" w:eastAsia="en-US"/>
        </w:rPr>
        <w:t xml:space="preserve"> la réflexion globale sur les mécanismes d</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 xml:space="preserve">inscription, la délégation a remercié le </w:t>
      </w:r>
      <w:r>
        <w:rPr>
          <w:rFonts w:ascii="Arial" w:eastAsia="SimSun" w:hAnsi="Arial" w:cs="Arial"/>
          <w:bCs/>
          <w:sz w:val="22"/>
          <w:szCs w:val="22"/>
          <w:lang w:val="fr-FR" w:eastAsia="en-US"/>
        </w:rPr>
        <w:t>G</w:t>
      </w:r>
      <w:r w:rsidRPr="00DD0D68">
        <w:rPr>
          <w:rFonts w:ascii="Arial" w:eastAsia="SimSun" w:hAnsi="Arial" w:cs="Arial"/>
          <w:bCs/>
          <w:sz w:val="22"/>
          <w:szCs w:val="22"/>
          <w:lang w:val="fr-FR" w:eastAsia="en-US"/>
        </w:rPr>
        <w:t xml:space="preserve">ouvernement </w:t>
      </w:r>
      <w:r>
        <w:rPr>
          <w:rFonts w:ascii="Arial" w:eastAsia="SimSun" w:hAnsi="Arial" w:cs="Arial"/>
          <w:bCs/>
          <w:sz w:val="22"/>
          <w:szCs w:val="22"/>
          <w:lang w:val="fr-FR" w:eastAsia="en-US"/>
        </w:rPr>
        <w:t>du J</w:t>
      </w:r>
      <w:r w:rsidRPr="00DD0D68">
        <w:rPr>
          <w:rFonts w:ascii="Arial" w:eastAsia="SimSun" w:hAnsi="Arial" w:cs="Arial"/>
          <w:bCs/>
          <w:sz w:val="22"/>
          <w:szCs w:val="22"/>
          <w:lang w:val="fr-FR" w:eastAsia="en-US"/>
        </w:rPr>
        <w:t>apon pour son excellente et efficace coordination de ce processus. Les sujets abordés étaient cruciaux car ils touchaient aux fonctions essentielles de la Convention. Selon l</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 xml:space="preserve">article </w:t>
      </w:r>
      <w:r>
        <w:rPr>
          <w:rFonts w:ascii="Arial" w:eastAsia="SimSun" w:hAnsi="Arial" w:cs="Arial"/>
          <w:bCs/>
          <w:sz w:val="22"/>
          <w:szCs w:val="22"/>
          <w:lang w:val="fr-FR" w:eastAsia="en-US"/>
        </w:rPr>
        <w:t>premier</w:t>
      </w:r>
      <w:r w:rsidRPr="00DD0D68">
        <w:rPr>
          <w:rFonts w:ascii="Arial" w:eastAsia="SimSun" w:hAnsi="Arial" w:cs="Arial"/>
          <w:bCs/>
          <w:sz w:val="22"/>
          <w:szCs w:val="22"/>
          <w:lang w:val="fr-FR" w:eastAsia="en-US"/>
        </w:rPr>
        <w:t>, l</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 xml:space="preserve">objectif de la Convention </w:t>
      </w:r>
      <w:r>
        <w:rPr>
          <w:rFonts w:ascii="Arial" w:eastAsia="SimSun" w:hAnsi="Arial" w:cs="Arial"/>
          <w:bCs/>
          <w:sz w:val="22"/>
          <w:szCs w:val="22"/>
          <w:lang w:val="fr-FR" w:eastAsia="en-US"/>
        </w:rPr>
        <w:t xml:space="preserve">est la </w:t>
      </w:r>
      <w:r w:rsidRPr="00DD0D68">
        <w:rPr>
          <w:rFonts w:ascii="Arial" w:eastAsia="SimSun" w:hAnsi="Arial" w:cs="Arial"/>
          <w:bCs/>
          <w:sz w:val="22"/>
          <w:szCs w:val="22"/>
          <w:lang w:val="fr-FR" w:eastAsia="en-US"/>
        </w:rPr>
        <w:t>sauvegarde et</w:t>
      </w:r>
      <w:r>
        <w:rPr>
          <w:rFonts w:ascii="Arial" w:eastAsia="SimSun" w:hAnsi="Arial" w:cs="Arial"/>
          <w:bCs/>
          <w:sz w:val="22"/>
          <w:szCs w:val="22"/>
          <w:lang w:val="fr-FR" w:eastAsia="en-US"/>
        </w:rPr>
        <w:t xml:space="preserve"> </w:t>
      </w:r>
      <w:r w:rsidRPr="00DD0D68">
        <w:rPr>
          <w:rFonts w:ascii="Arial" w:eastAsia="SimSun" w:hAnsi="Arial" w:cs="Arial"/>
          <w:bCs/>
          <w:sz w:val="22"/>
          <w:szCs w:val="22"/>
          <w:lang w:val="fr-FR" w:eastAsia="en-US"/>
        </w:rPr>
        <w:t xml:space="preserve">le respect du </w:t>
      </w:r>
      <w:r w:rsidR="00E908E2">
        <w:rPr>
          <w:rFonts w:ascii="Arial" w:eastAsia="SimSun" w:hAnsi="Arial" w:cs="Arial"/>
          <w:bCs/>
          <w:sz w:val="22"/>
          <w:szCs w:val="22"/>
          <w:lang w:val="fr-FR" w:eastAsia="en-US"/>
        </w:rPr>
        <w:t>patrimoine culturel immatériel</w:t>
      </w:r>
      <w:r w:rsidRPr="00DD0D68">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 la </w:t>
      </w:r>
      <w:r w:rsidRPr="00BA08AC">
        <w:rPr>
          <w:rFonts w:ascii="Arial" w:eastAsia="SimSun" w:hAnsi="Arial" w:cs="Arial"/>
          <w:bCs/>
          <w:iCs/>
          <w:sz w:val="22"/>
          <w:szCs w:val="22"/>
          <w:lang w:val="fr-FR" w:eastAsia="en-US"/>
        </w:rPr>
        <w:t>sensibilisation</w:t>
      </w:r>
      <w:r>
        <w:rPr>
          <w:rFonts w:ascii="Arial" w:eastAsia="SimSun" w:hAnsi="Arial" w:cs="Arial"/>
          <w:bCs/>
          <w:iCs/>
          <w:sz w:val="22"/>
          <w:szCs w:val="22"/>
          <w:lang w:val="fr-FR" w:eastAsia="en-US"/>
        </w:rPr>
        <w:t xml:space="preserve">, </w:t>
      </w:r>
      <w:r w:rsidRPr="00DD0D68">
        <w:rPr>
          <w:rFonts w:ascii="Arial" w:eastAsia="SimSun" w:hAnsi="Arial" w:cs="Arial"/>
          <w:bCs/>
          <w:sz w:val="22"/>
          <w:szCs w:val="22"/>
          <w:lang w:val="fr-FR" w:eastAsia="en-US"/>
        </w:rPr>
        <w:t>et</w:t>
      </w:r>
      <w:r>
        <w:rPr>
          <w:rFonts w:ascii="Arial" w:eastAsia="SimSun" w:hAnsi="Arial" w:cs="Arial"/>
          <w:bCs/>
          <w:sz w:val="22"/>
          <w:szCs w:val="22"/>
          <w:lang w:val="fr-FR" w:eastAsia="en-US"/>
        </w:rPr>
        <w:t xml:space="preserve"> la </w:t>
      </w:r>
      <w:r w:rsidRPr="00DD0D68">
        <w:rPr>
          <w:rFonts w:ascii="Arial" w:eastAsia="SimSun" w:hAnsi="Arial" w:cs="Arial"/>
          <w:bCs/>
          <w:sz w:val="22"/>
          <w:szCs w:val="22"/>
          <w:lang w:val="fr-FR" w:eastAsia="en-US"/>
        </w:rPr>
        <w:t>coopération et</w:t>
      </w:r>
      <w:r>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assistance internationales. Pour l</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Autriche, le mécanisme d</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 xml:space="preserve">inscription </w:t>
      </w:r>
      <w:r>
        <w:rPr>
          <w:rFonts w:ascii="Arial" w:eastAsia="SimSun" w:hAnsi="Arial" w:cs="Arial"/>
          <w:bCs/>
          <w:sz w:val="22"/>
          <w:szCs w:val="22"/>
          <w:lang w:val="fr-FR" w:eastAsia="en-US"/>
        </w:rPr>
        <w:t xml:space="preserve">sur les listes </w:t>
      </w:r>
      <w:r w:rsidRPr="00DD0D68">
        <w:rPr>
          <w:rFonts w:ascii="Arial" w:eastAsia="SimSun" w:hAnsi="Arial" w:cs="Arial"/>
          <w:bCs/>
          <w:sz w:val="22"/>
          <w:szCs w:val="22"/>
          <w:lang w:val="fr-FR" w:eastAsia="en-US"/>
        </w:rPr>
        <w:t>n</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était</w:t>
      </w:r>
      <w:r w:rsidRPr="00DD0D68">
        <w:rPr>
          <w:rFonts w:ascii="Arial" w:eastAsia="SimSun" w:hAnsi="Arial" w:cs="Arial"/>
          <w:bCs/>
          <w:sz w:val="22"/>
          <w:szCs w:val="22"/>
          <w:lang w:val="fr-FR" w:eastAsia="en-US"/>
        </w:rPr>
        <w:t xml:space="preserve"> qu</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un outil parmi d</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 xml:space="preserve">autres pour sauvegarder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DD0D68">
        <w:rPr>
          <w:rFonts w:ascii="Arial" w:eastAsia="SimSun" w:hAnsi="Arial" w:cs="Arial"/>
          <w:bCs/>
          <w:sz w:val="22"/>
          <w:szCs w:val="22"/>
          <w:lang w:val="fr-FR" w:eastAsia="en-US"/>
        </w:rPr>
        <w:t>au niveau international.</w:t>
      </w:r>
      <w:r>
        <w:rPr>
          <w:rFonts w:ascii="Arial" w:eastAsia="SimSun" w:hAnsi="Arial" w:cs="Arial"/>
          <w:bCs/>
          <w:sz w:val="22"/>
          <w:szCs w:val="22"/>
          <w:lang w:val="fr-FR" w:eastAsia="en-US"/>
        </w:rPr>
        <w:t xml:space="preserve"> L</w:t>
      </w:r>
      <w:r w:rsidRPr="00DD0D68">
        <w:rPr>
          <w:rFonts w:ascii="Arial" w:eastAsia="SimSun" w:hAnsi="Arial" w:cs="Arial"/>
          <w:bCs/>
          <w:sz w:val="22"/>
          <w:szCs w:val="22"/>
          <w:lang w:val="fr-FR" w:eastAsia="en-US"/>
        </w:rPr>
        <w:t>es activités de mise en œuvre comme le renforcement des capacités, les initiatives thématiques en cours</w:t>
      </w:r>
      <w:r>
        <w:rPr>
          <w:rFonts w:ascii="Arial" w:eastAsia="SimSun" w:hAnsi="Arial" w:cs="Arial"/>
          <w:bCs/>
          <w:sz w:val="22"/>
          <w:szCs w:val="22"/>
          <w:lang w:val="fr-FR" w:eastAsia="en-US"/>
        </w:rPr>
        <w:t xml:space="preserve"> telles que, entre autres,</w:t>
      </w:r>
      <w:r w:rsidRPr="00DD0D68">
        <w:rPr>
          <w:rFonts w:ascii="Arial" w:eastAsia="SimSun" w:hAnsi="Arial" w:cs="Arial"/>
          <w:bCs/>
          <w:sz w:val="22"/>
          <w:szCs w:val="22"/>
          <w:lang w:val="fr-FR" w:eastAsia="en-US"/>
        </w:rPr>
        <w:t xml:space="preserve"> le développement durable,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DD0D68">
        <w:rPr>
          <w:rFonts w:ascii="Arial" w:eastAsia="SimSun" w:hAnsi="Arial" w:cs="Arial"/>
          <w:bCs/>
          <w:sz w:val="22"/>
          <w:szCs w:val="22"/>
          <w:lang w:val="fr-FR" w:eastAsia="en-US"/>
        </w:rPr>
        <w:t>et le changement climatique et dans les contextes urbains, ou les réponses aux situations d</w:t>
      </w:r>
      <w:r w:rsidR="008E532B">
        <w:rPr>
          <w:rFonts w:ascii="Arial" w:eastAsia="SimSun" w:hAnsi="Arial" w:cs="Arial"/>
          <w:bCs/>
          <w:sz w:val="22"/>
          <w:szCs w:val="22"/>
          <w:lang w:val="fr-FR" w:eastAsia="en-US"/>
        </w:rPr>
        <w:t>’</w:t>
      </w:r>
      <w:r w:rsidRPr="00DD0D68">
        <w:rPr>
          <w:rFonts w:ascii="Arial" w:eastAsia="SimSun" w:hAnsi="Arial" w:cs="Arial"/>
          <w:bCs/>
          <w:sz w:val="22"/>
          <w:szCs w:val="22"/>
          <w:lang w:val="fr-FR" w:eastAsia="en-US"/>
        </w:rPr>
        <w:t xml:space="preserve">urgence, </w:t>
      </w:r>
      <w:r>
        <w:rPr>
          <w:rFonts w:ascii="Arial" w:eastAsia="SimSun" w:hAnsi="Arial" w:cs="Arial"/>
          <w:bCs/>
          <w:sz w:val="22"/>
          <w:szCs w:val="22"/>
          <w:lang w:val="fr-FR" w:eastAsia="en-US"/>
        </w:rPr>
        <w:t>étaient plus importantes</w:t>
      </w:r>
      <w:r w:rsidRPr="00DD0D68">
        <w:rPr>
          <w:rFonts w:ascii="Arial" w:eastAsia="SimSun" w:hAnsi="Arial" w:cs="Arial"/>
          <w:bCs/>
          <w:sz w:val="22"/>
          <w:szCs w:val="22"/>
          <w:lang w:val="fr-FR" w:eastAsia="en-US"/>
        </w:rPr>
        <w:t>. La délégation a félicité le Secrétariat pour son excellent travail et a souhaité un prompt rétablissement au Secrétaire.</w:t>
      </w:r>
    </w:p>
    <w:p w14:paraId="37890F4F" w14:textId="23099778" w:rsidR="00D9653F" w:rsidRPr="003B0B45"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3B0B45">
        <w:rPr>
          <w:rFonts w:ascii="Arial" w:eastAsia="SimSun" w:hAnsi="Arial" w:cs="Arial"/>
          <w:bCs/>
          <w:sz w:val="22"/>
          <w:szCs w:val="22"/>
          <w:lang w:val="fr-FR" w:eastAsia="en-US"/>
        </w:rPr>
        <w:t>La délégation de l</w:t>
      </w:r>
      <w:r w:rsidR="008E532B">
        <w:rPr>
          <w:rFonts w:ascii="Arial" w:eastAsia="SimSun" w:hAnsi="Arial" w:cs="Arial"/>
          <w:bCs/>
          <w:sz w:val="22"/>
          <w:szCs w:val="22"/>
          <w:lang w:val="fr-FR" w:eastAsia="en-US"/>
        </w:rPr>
        <w:t>’</w:t>
      </w:r>
      <w:r w:rsidRPr="003B0B45">
        <w:rPr>
          <w:rFonts w:ascii="Arial" w:eastAsia="SimSun" w:hAnsi="Arial" w:cs="Arial"/>
          <w:b/>
          <w:sz w:val="22"/>
          <w:szCs w:val="22"/>
          <w:lang w:val="fr-FR" w:eastAsia="en-US"/>
        </w:rPr>
        <w:t>Azerbaïdjan</w:t>
      </w:r>
      <w:r w:rsidRPr="003B0B45">
        <w:rPr>
          <w:rFonts w:ascii="Arial" w:eastAsia="SimSun" w:hAnsi="Arial" w:cs="Arial"/>
          <w:bCs/>
          <w:sz w:val="22"/>
          <w:szCs w:val="22"/>
          <w:lang w:val="fr-FR" w:eastAsia="en-US"/>
        </w:rPr>
        <w:t xml:space="preserve"> a salué les efforts déployés par le Secrétariat au cours des deux dernières années malgré les multiples défis</w:t>
      </w:r>
      <w:r>
        <w:rPr>
          <w:rFonts w:ascii="Arial" w:eastAsia="SimSun" w:hAnsi="Arial" w:cs="Arial"/>
          <w:bCs/>
          <w:sz w:val="22"/>
          <w:szCs w:val="22"/>
          <w:lang w:val="fr-FR" w:eastAsia="en-US"/>
        </w:rPr>
        <w:t xml:space="preserve"> rencontrés</w:t>
      </w:r>
      <w:r w:rsidRPr="003B0B45">
        <w:rPr>
          <w:rFonts w:ascii="Arial" w:eastAsia="SimSun" w:hAnsi="Arial" w:cs="Arial"/>
          <w:bCs/>
          <w:sz w:val="22"/>
          <w:szCs w:val="22"/>
          <w:lang w:val="fr-FR" w:eastAsia="en-US"/>
        </w:rPr>
        <w:t>. Elle s</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est félicitée du fonctionnement des mécanismes fondamentaux des organes directeurs de la Convention, des activités opérationnelles et des programmes, ainsi que des ajustements apportés aux activités statutaires et opérationnelles en réponse à la pandémie. La délégation s</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est également félicitée des mesures prises par le Secrétariat pour renforcer les synergies entre la Convention de 2003 et d</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 xml:space="preserve">autres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3B0B45">
        <w:rPr>
          <w:rFonts w:ascii="Arial" w:eastAsia="SimSun" w:hAnsi="Arial" w:cs="Arial"/>
          <w:bCs/>
          <w:sz w:val="22"/>
          <w:szCs w:val="22"/>
          <w:lang w:val="fr-FR" w:eastAsia="en-US"/>
        </w:rPr>
        <w:t xml:space="preserve">, notamment la Convention de 1954 pour la protection des biens culturels en cas de conflit armé et ses deux </w:t>
      </w:r>
      <w:r>
        <w:rPr>
          <w:rFonts w:ascii="Arial" w:eastAsia="SimSun" w:hAnsi="Arial" w:cs="Arial"/>
          <w:bCs/>
          <w:sz w:val="22"/>
          <w:szCs w:val="22"/>
          <w:lang w:val="fr-FR" w:eastAsia="en-US"/>
        </w:rPr>
        <w:t>P</w:t>
      </w:r>
      <w:r w:rsidRPr="003B0B45">
        <w:rPr>
          <w:rFonts w:ascii="Arial" w:eastAsia="SimSun" w:hAnsi="Arial" w:cs="Arial"/>
          <w:bCs/>
          <w:sz w:val="22"/>
          <w:szCs w:val="22"/>
          <w:lang w:val="fr-FR" w:eastAsia="en-US"/>
        </w:rPr>
        <w:t xml:space="preserve">rotocoles. </w:t>
      </w:r>
      <w:r w:rsidRPr="0033353C">
        <w:rPr>
          <w:rFonts w:ascii="Arial" w:eastAsia="SimSun" w:hAnsi="Arial" w:cs="Arial"/>
          <w:bCs/>
          <w:sz w:val="22"/>
          <w:szCs w:val="22"/>
          <w:lang w:val="fr-FR" w:eastAsia="en-US"/>
        </w:rPr>
        <w:t xml:space="preserve">Elle </w:t>
      </w:r>
      <w:r w:rsidRPr="003B0B45">
        <w:rPr>
          <w:rFonts w:ascii="Arial" w:eastAsia="SimSun" w:hAnsi="Arial" w:cs="Arial"/>
          <w:bCs/>
          <w:sz w:val="22"/>
          <w:szCs w:val="22"/>
          <w:lang w:val="fr-FR" w:eastAsia="en-US"/>
        </w:rPr>
        <w:t xml:space="preserve">a estimé que </w:t>
      </w:r>
      <w:r>
        <w:rPr>
          <w:rFonts w:ascii="Arial" w:eastAsia="SimSun" w:hAnsi="Arial" w:cs="Arial"/>
          <w:bCs/>
          <w:sz w:val="22"/>
          <w:szCs w:val="22"/>
          <w:lang w:val="fr-FR" w:eastAsia="en-US"/>
        </w:rPr>
        <w:t xml:space="preserve">le </w:t>
      </w:r>
      <w:r w:rsidRPr="004B3D7A">
        <w:rPr>
          <w:rFonts w:ascii="Arial" w:eastAsia="SimSun" w:hAnsi="Arial" w:cs="Arial"/>
          <w:bCs/>
          <w:sz w:val="22"/>
          <w:szCs w:val="22"/>
          <w:lang w:val="fr-FR" w:eastAsia="en-US"/>
        </w:rPr>
        <w:t>renforcement</w:t>
      </w:r>
      <w:r>
        <w:rPr>
          <w:rFonts w:ascii="Arial" w:eastAsia="SimSun" w:hAnsi="Arial" w:cs="Arial"/>
          <w:bCs/>
          <w:sz w:val="22"/>
          <w:szCs w:val="22"/>
          <w:lang w:val="fr-FR" w:eastAsia="en-US"/>
        </w:rPr>
        <w:t xml:space="preserve"> de </w:t>
      </w:r>
      <w:r w:rsidRPr="003B0B45">
        <w:rPr>
          <w:rFonts w:ascii="Arial" w:eastAsia="SimSun" w:hAnsi="Arial" w:cs="Arial"/>
          <w:bCs/>
          <w:sz w:val="22"/>
          <w:szCs w:val="22"/>
          <w:lang w:val="fr-FR" w:eastAsia="en-US"/>
        </w:rPr>
        <w:t>ce travail devrait</w:t>
      </w:r>
      <w:r>
        <w:rPr>
          <w:rFonts w:ascii="Arial" w:eastAsia="SimSun" w:hAnsi="Arial" w:cs="Arial"/>
          <w:bCs/>
          <w:sz w:val="22"/>
          <w:szCs w:val="22"/>
          <w:lang w:val="fr-FR" w:eastAsia="en-US"/>
        </w:rPr>
        <w:t xml:space="preserve"> se poursuivre</w:t>
      </w:r>
      <w:r w:rsidRPr="003B0B45">
        <w:rPr>
          <w:rFonts w:ascii="Arial" w:eastAsia="SimSun" w:hAnsi="Arial" w:cs="Arial"/>
          <w:bCs/>
          <w:sz w:val="22"/>
          <w:szCs w:val="22"/>
          <w:lang w:val="fr-FR" w:eastAsia="en-US"/>
        </w:rPr>
        <w:t xml:space="preserve"> au cours des deux années</w:t>
      </w:r>
      <w:r>
        <w:rPr>
          <w:rFonts w:ascii="Arial" w:eastAsia="SimSun" w:hAnsi="Arial" w:cs="Arial"/>
          <w:bCs/>
          <w:sz w:val="22"/>
          <w:szCs w:val="22"/>
          <w:lang w:val="fr-FR" w:eastAsia="en-US"/>
        </w:rPr>
        <w:t xml:space="preserve"> à venir</w:t>
      </w:r>
      <w:r w:rsidRPr="003B0B45">
        <w:rPr>
          <w:rFonts w:ascii="Arial" w:eastAsia="SimSun" w:hAnsi="Arial" w:cs="Arial"/>
          <w:bCs/>
          <w:sz w:val="22"/>
          <w:szCs w:val="22"/>
          <w:lang w:val="fr-FR" w:eastAsia="en-US"/>
        </w:rPr>
        <w:t>. L</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Azerbaïdjan a pris note du travail efficace</w:t>
      </w:r>
      <w:r>
        <w:rPr>
          <w:rFonts w:ascii="Arial" w:eastAsia="SimSun" w:hAnsi="Arial" w:cs="Arial"/>
          <w:bCs/>
          <w:sz w:val="22"/>
          <w:szCs w:val="22"/>
          <w:lang w:val="fr-FR" w:eastAsia="en-US"/>
        </w:rPr>
        <w:t xml:space="preserve"> du </w:t>
      </w:r>
      <w:r w:rsidRPr="003B0B45">
        <w:rPr>
          <w:rFonts w:ascii="Arial" w:eastAsia="SimSun" w:hAnsi="Arial" w:cs="Arial"/>
          <w:bCs/>
          <w:sz w:val="22"/>
          <w:szCs w:val="22"/>
          <w:lang w:val="fr-FR" w:eastAsia="en-US"/>
        </w:rPr>
        <w:t xml:space="preserve">Secrétariat </w:t>
      </w:r>
      <w:r>
        <w:rPr>
          <w:rFonts w:ascii="Arial" w:eastAsia="SimSun" w:hAnsi="Arial" w:cs="Arial"/>
          <w:bCs/>
          <w:sz w:val="22"/>
          <w:szCs w:val="22"/>
          <w:lang w:val="fr-FR" w:eastAsia="en-US"/>
        </w:rPr>
        <w:t>pour mettre</w:t>
      </w:r>
      <w:r w:rsidRPr="003B0B45">
        <w:rPr>
          <w:rFonts w:ascii="Arial" w:eastAsia="SimSun" w:hAnsi="Arial" w:cs="Arial"/>
          <w:bCs/>
          <w:sz w:val="22"/>
          <w:szCs w:val="22"/>
          <w:lang w:val="fr-FR" w:eastAsia="en-US"/>
        </w:rPr>
        <w:t xml:space="preserve"> en œuvre deux cycles périodiques dans les régions Europe et Amérique latine et Caraïbes, dans le contexte du mécanisme réformé de soumission des rapports périodiques. Ce travail d</w:t>
      </w:r>
      <w:r>
        <w:rPr>
          <w:rFonts w:ascii="Arial" w:eastAsia="SimSun" w:hAnsi="Arial" w:cs="Arial"/>
          <w:bCs/>
          <w:sz w:val="22"/>
          <w:szCs w:val="22"/>
          <w:lang w:val="fr-FR" w:eastAsia="en-US"/>
        </w:rPr>
        <w:t>evait</w:t>
      </w:r>
      <w:r w:rsidRPr="003B0B45">
        <w:rPr>
          <w:rFonts w:ascii="Arial" w:eastAsia="SimSun" w:hAnsi="Arial" w:cs="Arial"/>
          <w:bCs/>
          <w:sz w:val="22"/>
          <w:szCs w:val="22"/>
          <w:lang w:val="fr-FR" w:eastAsia="en-US"/>
        </w:rPr>
        <w:t xml:space="preserve"> être poursuivi alors que les </w:t>
      </w:r>
      <w:r>
        <w:rPr>
          <w:rFonts w:ascii="Arial" w:eastAsia="SimSun" w:hAnsi="Arial" w:cs="Arial"/>
          <w:bCs/>
          <w:sz w:val="22"/>
          <w:szCs w:val="22"/>
          <w:lang w:val="fr-FR" w:eastAsia="en-US"/>
        </w:rPr>
        <w:t xml:space="preserve">régions </w:t>
      </w:r>
      <w:r w:rsidRPr="003B0B45">
        <w:rPr>
          <w:rFonts w:ascii="Arial" w:eastAsia="SimSun" w:hAnsi="Arial" w:cs="Arial"/>
          <w:bCs/>
          <w:sz w:val="22"/>
          <w:szCs w:val="22"/>
          <w:lang w:val="fr-FR" w:eastAsia="en-US"/>
        </w:rPr>
        <w:t>États arabes, Afrique</w:t>
      </w:r>
      <w:r>
        <w:rPr>
          <w:rFonts w:ascii="Arial" w:eastAsia="SimSun" w:hAnsi="Arial" w:cs="Arial"/>
          <w:bCs/>
          <w:sz w:val="22"/>
          <w:szCs w:val="22"/>
          <w:lang w:val="fr-FR" w:eastAsia="en-US"/>
        </w:rPr>
        <w:t xml:space="preserve"> </w:t>
      </w:r>
      <w:r w:rsidRPr="003B0B45">
        <w:rPr>
          <w:rFonts w:ascii="Arial" w:eastAsia="SimSun" w:hAnsi="Arial" w:cs="Arial"/>
          <w:bCs/>
          <w:sz w:val="22"/>
          <w:szCs w:val="22"/>
          <w:lang w:val="fr-FR" w:eastAsia="en-US"/>
        </w:rPr>
        <w:t>et Asie</w:t>
      </w:r>
      <w:r>
        <w:rPr>
          <w:rFonts w:ascii="Arial" w:eastAsia="SimSun" w:hAnsi="Arial" w:cs="Arial"/>
          <w:bCs/>
          <w:sz w:val="22"/>
          <w:szCs w:val="22"/>
          <w:lang w:val="fr-FR" w:eastAsia="en-US"/>
        </w:rPr>
        <w:t xml:space="preserve"> et </w:t>
      </w:r>
      <w:r w:rsidRPr="003B0B45">
        <w:rPr>
          <w:rFonts w:ascii="Arial" w:eastAsia="SimSun" w:hAnsi="Arial" w:cs="Arial"/>
          <w:bCs/>
          <w:sz w:val="22"/>
          <w:szCs w:val="22"/>
          <w:lang w:val="fr-FR" w:eastAsia="en-US"/>
        </w:rPr>
        <w:t>Pacifique se lan</w:t>
      </w:r>
      <w:r>
        <w:rPr>
          <w:rFonts w:ascii="Arial" w:eastAsia="SimSun" w:hAnsi="Arial" w:cs="Arial"/>
          <w:bCs/>
          <w:sz w:val="22"/>
          <w:szCs w:val="22"/>
          <w:lang w:val="fr-FR" w:eastAsia="en-US"/>
        </w:rPr>
        <w:t>çai</w:t>
      </w:r>
      <w:r w:rsidRPr="003B0B45">
        <w:rPr>
          <w:rFonts w:ascii="Arial" w:eastAsia="SimSun" w:hAnsi="Arial" w:cs="Arial"/>
          <w:bCs/>
          <w:sz w:val="22"/>
          <w:szCs w:val="22"/>
          <w:lang w:val="fr-FR" w:eastAsia="en-US"/>
        </w:rPr>
        <w:t xml:space="preserve">ent dans cet exercice. La délégation a souligné la mise en œuvre du programme dans le domaine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B0B45">
        <w:rPr>
          <w:rFonts w:ascii="Arial" w:eastAsia="SimSun" w:hAnsi="Arial" w:cs="Arial"/>
          <w:bCs/>
          <w:sz w:val="22"/>
          <w:szCs w:val="22"/>
          <w:lang w:val="fr-FR" w:eastAsia="en-US"/>
        </w:rPr>
        <w:t>et de l</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éducation, et elle a appelé à davantage de synergies et de collaboration avec les programmes spécifiques du Secteur de l</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éducation de l</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UNESCO, tels que l</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enseignement et la formation techniques et professionnels, l</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éducation au développement durable et l</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éducation dans les situations d</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urgence. À ce</w:t>
      </w:r>
      <w:r>
        <w:rPr>
          <w:rFonts w:ascii="Arial" w:eastAsia="SimSun" w:hAnsi="Arial" w:cs="Arial"/>
          <w:bCs/>
          <w:sz w:val="22"/>
          <w:szCs w:val="22"/>
          <w:lang w:val="fr-FR" w:eastAsia="en-US"/>
        </w:rPr>
        <w:t xml:space="preserve"> sujet</w:t>
      </w:r>
      <w:r w:rsidRPr="003B0B45">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elle </w:t>
      </w:r>
      <w:r w:rsidRPr="003B0B45">
        <w:rPr>
          <w:rFonts w:ascii="Arial" w:eastAsia="SimSun" w:hAnsi="Arial" w:cs="Arial"/>
          <w:bCs/>
          <w:sz w:val="22"/>
          <w:szCs w:val="22"/>
          <w:lang w:val="fr-FR" w:eastAsia="en-US"/>
        </w:rPr>
        <w:t xml:space="preserve">a demandé si le soutien à la formation pouvait également être </w:t>
      </w:r>
      <w:r>
        <w:rPr>
          <w:rFonts w:ascii="Arial" w:eastAsia="SimSun" w:hAnsi="Arial" w:cs="Arial"/>
          <w:bCs/>
          <w:sz w:val="22"/>
          <w:szCs w:val="22"/>
          <w:lang w:val="fr-FR" w:eastAsia="en-US"/>
        </w:rPr>
        <w:t xml:space="preserve">rendu opérationnel </w:t>
      </w:r>
      <w:r w:rsidRPr="003B0B45">
        <w:rPr>
          <w:rFonts w:ascii="Arial" w:eastAsia="SimSun" w:hAnsi="Arial" w:cs="Arial"/>
          <w:bCs/>
          <w:sz w:val="22"/>
          <w:szCs w:val="22"/>
          <w:lang w:val="fr-FR" w:eastAsia="en-US"/>
        </w:rPr>
        <w:t xml:space="preserve">dans des domaines tels que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00E908E2">
        <w:rPr>
          <w:rFonts w:ascii="Arial" w:eastAsia="SimSun" w:hAnsi="Arial" w:cs="Arial"/>
          <w:bCs/>
          <w:sz w:val="22"/>
          <w:szCs w:val="22"/>
          <w:lang w:val="fr-FR" w:eastAsia="en-US"/>
        </w:rPr>
        <w:t>e</w:t>
      </w:r>
      <w:r w:rsidRPr="003B0B45">
        <w:rPr>
          <w:rFonts w:ascii="Arial" w:eastAsia="SimSun" w:hAnsi="Arial" w:cs="Arial"/>
          <w:bCs/>
          <w:sz w:val="22"/>
          <w:szCs w:val="22"/>
          <w:lang w:val="fr-FR" w:eastAsia="en-US"/>
        </w:rPr>
        <w:t>t le changement climatique</w:t>
      </w:r>
      <w:r>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 xml:space="preserve"> ainsi que la commercialisation et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B0B45">
        <w:rPr>
          <w:rFonts w:ascii="Arial" w:eastAsia="SimSun" w:hAnsi="Arial" w:cs="Arial"/>
          <w:bCs/>
          <w:sz w:val="22"/>
          <w:szCs w:val="22"/>
          <w:lang w:val="fr-FR" w:eastAsia="en-US"/>
        </w:rPr>
        <w:t>dans les contextes urbains, ce qui représente un défi croissant. L</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Azerbaïdjan a ré</w:t>
      </w:r>
      <w:r>
        <w:rPr>
          <w:rFonts w:ascii="Arial" w:eastAsia="SimSun" w:hAnsi="Arial" w:cs="Arial"/>
          <w:bCs/>
          <w:sz w:val="22"/>
          <w:szCs w:val="22"/>
          <w:lang w:val="fr-FR" w:eastAsia="en-US"/>
        </w:rPr>
        <w:t>affirmé</w:t>
      </w:r>
      <w:r w:rsidRPr="003B0B45">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importance</w:t>
      </w:r>
      <w:r w:rsidRPr="003B0B45">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pour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avoir </w:t>
      </w:r>
      <w:r w:rsidRPr="003B0B45">
        <w:rPr>
          <w:rFonts w:ascii="Arial" w:eastAsia="SimSun" w:hAnsi="Arial" w:cs="Arial"/>
          <w:bCs/>
          <w:sz w:val="22"/>
          <w:szCs w:val="22"/>
          <w:lang w:val="fr-FR" w:eastAsia="en-US"/>
        </w:rPr>
        <w:t xml:space="preserve">une place </w:t>
      </w:r>
      <w:r>
        <w:rPr>
          <w:rFonts w:ascii="Arial" w:eastAsia="SimSun" w:hAnsi="Arial" w:cs="Arial"/>
          <w:bCs/>
          <w:sz w:val="22"/>
          <w:szCs w:val="22"/>
          <w:lang w:val="fr-FR" w:eastAsia="en-US"/>
        </w:rPr>
        <w:t xml:space="preserve">et un rôle </w:t>
      </w:r>
      <w:r w:rsidRPr="003B0B45">
        <w:rPr>
          <w:rFonts w:ascii="Arial" w:eastAsia="SimSun" w:hAnsi="Arial" w:cs="Arial"/>
          <w:bCs/>
          <w:sz w:val="22"/>
          <w:szCs w:val="22"/>
          <w:lang w:val="fr-FR" w:eastAsia="en-US"/>
        </w:rPr>
        <w:t xml:space="preserve">forts </w:t>
      </w:r>
      <w:r>
        <w:rPr>
          <w:rFonts w:ascii="Arial" w:eastAsia="SimSun" w:hAnsi="Arial" w:cs="Arial"/>
          <w:bCs/>
          <w:sz w:val="22"/>
          <w:szCs w:val="22"/>
          <w:lang w:val="fr-FR" w:eastAsia="en-US"/>
        </w:rPr>
        <w:t xml:space="preserve">au sein des </w:t>
      </w:r>
      <w:r w:rsidRPr="003B0B45">
        <w:rPr>
          <w:rFonts w:ascii="Arial" w:eastAsia="SimSun" w:hAnsi="Arial" w:cs="Arial"/>
          <w:bCs/>
          <w:sz w:val="22"/>
          <w:szCs w:val="22"/>
          <w:lang w:val="fr-FR" w:eastAsia="en-US"/>
        </w:rPr>
        <w:t>politiques culturelles, invitant le Secrétariat à réfléchir davantage sur les moyens possibles de soutenir les États membres dans l</w:t>
      </w:r>
      <w:r w:rsidR="008E532B">
        <w:rPr>
          <w:rFonts w:ascii="Arial" w:eastAsia="SimSun" w:hAnsi="Arial" w:cs="Arial"/>
          <w:bCs/>
          <w:sz w:val="22"/>
          <w:szCs w:val="22"/>
          <w:lang w:val="fr-FR" w:eastAsia="en-US"/>
        </w:rPr>
        <w:t>’</w:t>
      </w:r>
      <w:r w:rsidRPr="003B0B45">
        <w:rPr>
          <w:rFonts w:ascii="Arial" w:eastAsia="SimSun" w:hAnsi="Arial" w:cs="Arial"/>
          <w:bCs/>
          <w:sz w:val="22"/>
          <w:szCs w:val="22"/>
          <w:lang w:val="fr-FR" w:eastAsia="en-US"/>
        </w:rPr>
        <w:t xml:space="preserve">intégration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3B0B45">
        <w:rPr>
          <w:rFonts w:ascii="Arial" w:eastAsia="SimSun" w:hAnsi="Arial" w:cs="Arial"/>
          <w:bCs/>
          <w:sz w:val="22"/>
          <w:szCs w:val="22"/>
          <w:lang w:val="fr-FR" w:eastAsia="en-US"/>
        </w:rPr>
        <w:t>dans les programmes et politiques de développement durable, et notamment les préparatifs en cours de la conférence MONDIACULT.</w:t>
      </w:r>
    </w:p>
    <w:p w14:paraId="201D0B1D" w14:textId="75E89515" w:rsidR="00D9653F" w:rsidRPr="00832F70"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832F70">
        <w:rPr>
          <w:rFonts w:ascii="Arial" w:eastAsia="SimSun" w:hAnsi="Arial" w:cs="Arial"/>
          <w:bCs/>
          <w:sz w:val="22"/>
          <w:szCs w:val="22"/>
          <w:lang w:val="fr-FR" w:eastAsia="en-US"/>
        </w:rPr>
        <w:t xml:space="preserve">La délégation de la </w:t>
      </w:r>
      <w:r w:rsidRPr="00832F70">
        <w:rPr>
          <w:rFonts w:ascii="Arial" w:eastAsia="SimSun" w:hAnsi="Arial" w:cs="Arial"/>
          <w:b/>
          <w:sz w:val="22"/>
          <w:szCs w:val="22"/>
          <w:lang w:val="fr-FR" w:eastAsia="en-US"/>
        </w:rPr>
        <w:t>Malaisie</w:t>
      </w:r>
      <w:r w:rsidRPr="00832F70">
        <w:rPr>
          <w:rFonts w:ascii="Arial" w:eastAsia="SimSun" w:hAnsi="Arial" w:cs="Arial"/>
          <w:bCs/>
          <w:sz w:val="22"/>
          <w:szCs w:val="22"/>
          <w:lang w:val="fr-FR" w:eastAsia="en-US"/>
        </w:rPr>
        <w:t xml:space="preserve"> a salué le dévouement et les énormes efforts déployés par le Secrétariat en dépit de la période difficile de la pandémie. Les débats au sein du groupe de travail à composition non limitée, sous la </w:t>
      </w:r>
      <w:r>
        <w:rPr>
          <w:rFonts w:ascii="Arial" w:eastAsia="SimSun" w:hAnsi="Arial" w:cs="Arial"/>
          <w:bCs/>
          <w:sz w:val="22"/>
          <w:szCs w:val="22"/>
          <w:lang w:val="fr-FR" w:eastAsia="en-US"/>
        </w:rPr>
        <w:t xml:space="preserve">conduite </w:t>
      </w:r>
      <w:r w:rsidRPr="00832F70">
        <w:rPr>
          <w:rFonts w:ascii="Arial" w:eastAsia="SimSun" w:hAnsi="Arial" w:cs="Arial"/>
          <w:bCs/>
          <w:sz w:val="22"/>
          <w:szCs w:val="22"/>
          <w:lang w:val="fr-FR" w:eastAsia="en-US"/>
        </w:rPr>
        <w:t>avisée de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w:t>
      </w:r>
      <w:r w:rsidRPr="00832F70">
        <w:rPr>
          <w:rFonts w:ascii="Arial" w:eastAsia="SimSun" w:hAnsi="Arial" w:cs="Arial"/>
          <w:bCs/>
          <w:sz w:val="22"/>
          <w:szCs w:val="22"/>
          <w:lang w:val="fr-FR" w:eastAsia="en-US"/>
        </w:rPr>
        <w:t xml:space="preserve">mbassadeur du Japon, </w:t>
      </w:r>
      <w:r>
        <w:rPr>
          <w:rFonts w:ascii="Arial" w:eastAsia="SimSun" w:hAnsi="Arial" w:cs="Arial"/>
          <w:bCs/>
          <w:sz w:val="22"/>
          <w:szCs w:val="22"/>
          <w:lang w:val="fr-FR" w:eastAsia="en-US"/>
        </w:rPr>
        <w:t xml:space="preserve">avaient </w:t>
      </w:r>
      <w:r w:rsidRPr="00832F70">
        <w:rPr>
          <w:rFonts w:ascii="Arial" w:eastAsia="SimSun" w:hAnsi="Arial" w:cs="Arial"/>
          <w:bCs/>
          <w:sz w:val="22"/>
          <w:szCs w:val="22"/>
          <w:lang w:val="fr-FR" w:eastAsia="en-US"/>
        </w:rPr>
        <w:t>ouvert la voie à une meilleure compréhension et à une plus grande clarté dans le traitement des questions</w:t>
      </w:r>
      <w:r>
        <w:rPr>
          <w:rFonts w:ascii="Arial" w:eastAsia="SimSun" w:hAnsi="Arial" w:cs="Arial"/>
          <w:bCs/>
          <w:sz w:val="22"/>
          <w:szCs w:val="22"/>
          <w:lang w:val="fr-FR" w:eastAsia="en-US"/>
        </w:rPr>
        <w:t xml:space="preserve"> résultant </w:t>
      </w:r>
      <w:r w:rsidRPr="00832F70">
        <w:rPr>
          <w:rFonts w:ascii="Arial" w:eastAsia="SimSun" w:hAnsi="Arial" w:cs="Arial"/>
          <w:bCs/>
          <w:sz w:val="22"/>
          <w:szCs w:val="22"/>
          <w:lang w:val="fr-FR" w:eastAsia="en-US"/>
        </w:rPr>
        <w:t>de la Convention. À cet égard, la Malaisie s</w:t>
      </w:r>
      <w:r w:rsidR="008E532B">
        <w:rPr>
          <w:rFonts w:ascii="Arial" w:eastAsia="SimSun" w:hAnsi="Arial" w:cs="Arial"/>
          <w:bCs/>
          <w:sz w:val="22"/>
          <w:szCs w:val="22"/>
          <w:lang w:val="fr-FR" w:eastAsia="en-US"/>
        </w:rPr>
        <w:t>’</w:t>
      </w:r>
      <w:r w:rsidRPr="00832F70">
        <w:rPr>
          <w:rFonts w:ascii="Arial" w:eastAsia="SimSun" w:hAnsi="Arial" w:cs="Arial"/>
          <w:bCs/>
          <w:sz w:val="22"/>
          <w:szCs w:val="22"/>
          <w:lang w:val="fr-FR" w:eastAsia="en-US"/>
        </w:rPr>
        <w:t xml:space="preserve">est félicitée des </w:t>
      </w:r>
      <w:r w:rsidRPr="00F078AA">
        <w:rPr>
          <w:rFonts w:ascii="Arial" w:eastAsia="SimSun" w:hAnsi="Arial" w:cs="Arial"/>
          <w:bCs/>
          <w:sz w:val="22"/>
          <w:szCs w:val="22"/>
          <w:lang w:val="fr-FR" w:eastAsia="en-US"/>
        </w:rPr>
        <w:t xml:space="preserve">Principes et modalités opérationnels approuvés pour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F078AA">
        <w:rPr>
          <w:rFonts w:ascii="Arial" w:eastAsia="SimSun" w:hAnsi="Arial" w:cs="Arial"/>
          <w:bCs/>
          <w:sz w:val="22"/>
          <w:szCs w:val="22"/>
          <w:lang w:val="fr-FR" w:eastAsia="en-US"/>
        </w:rPr>
        <w:t>dans les situations d</w:t>
      </w:r>
      <w:r w:rsidR="008E532B">
        <w:rPr>
          <w:rFonts w:ascii="Arial" w:eastAsia="SimSun" w:hAnsi="Arial" w:cs="Arial"/>
          <w:bCs/>
          <w:sz w:val="22"/>
          <w:szCs w:val="22"/>
          <w:lang w:val="fr-FR" w:eastAsia="en-US"/>
        </w:rPr>
        <w:t>’</w:t>
      </w:r>
      <w:r w:rsidRPr="00F078AA">
        <w:rPr>
          <w:rFonts w:ascii="Arial" w:eastAsia="SimSun" w:hAnsi="Arial" w:cs="Arial"/>
          <w:bCs/>
          <w:sz w:val="22"/>
          <w:szCs w:val="22"/>
          <w:lang w:val="fr-FR" w:eastAsia="en-US"/>
        </w:rPr>
        <w:t>urgence</w:t>
      </w:r>
      <w:r w:rsidRPr="00832F70">
        <w:rPr>
          <w:rFonts w:ascii="Arial" w:eastAsia="SimSun" w:hAnsi="Arial" w:cs="Arial"/>
          <w:bCs/>
          <w:sz w:val="22"/>
          <w:szCs w:val="22"/>
          <w:lang w:val="fr-FR" w:eastAsia="en-US"/>
        </w:rPr>
        <w:t xml:space="preserve">. La Malaisie </w:t>
      </w:r>
      <w:r>
        <w:rPr>
          <w:rFonts w:ascii="Arial" w:eastAsia="SimSun" w:hAnsi="Arial" w:cs="Arial"/>
          <w:bCs/>
          <w:sz w:val="22"/>
          <w:szCs w:val="22"/>
          <w:lang w:val="fr-FR" w:eastAsia="en-US"/>
        </w:rPr>
        <w:t>était</w:t>
      </w:r>
      <w:r w:rsidRPr="00832F70">
        <w:rPr>
          <w:rFonts w:ascii="Arial" w:eastAsia="SimSun" w:hAnsi="Arial" w:cs="Arial"/>
          <w:bCs/>
          <w:sz w:val="22"/>
          <w:szCs w:val="22"/>
          <w:lang w:val="fr-FR" w:eastAsia="en-US"/>
        </w:rPr>
        <w:t xml:space="preserve"> en train de réviser les mécanismes </w:t>
      </w:r>
      <w:r>
        <w:rPr>
          <w:rFonts w:ascii="Arial" w:eastAsia="SimSun" w:hAnsi="Arial" w:cs="Arial"/>
          <w:bCs/>
          <w:sz w:val="22"/>
          <w:szCs w:val="22"/>
          <w:lang w:val="fr-FR" w:eastAsia="en-US"/>
        </w:rPr>
        <w:t>afin d</w:t>
      </w:r>
      <w:r w:rsidR="008E532B">
        <w:rPr>
          <w:rFonts w:ascii="Arial" w:eastAsia="SimSun" w:hAnsi="Arial" w:cs="Arial"/>
          <w:bCs/>
          <w:sz w:val="22"/>
          <w:szCs w:val="22"/>
          <w:lang w:val="fr-FR" w:eastAsia="en-US"/>
        </w:rPr>
        <w:t>’</w:t>
      </w:r>
      <w:r w:rsidRPr="00832F70">
        <w:rPr>
          <w:rFonts w:ascii="Arial" w:eastAsia="SimSun" w:hAnsi="Arial" w:cs="Arial"/>
          <w:bCs/>
          <w:sz w:val="22"/>
          <w:szCs w:val="22"/>
          <w:lang w:val="fr-FR" w:eastAsia="en-US"/>
        </w:rPr>
        <w:t xml:space="preserve">adopter et adapter les </w:t>
      </w:r>
      <w:r>
        <w:rPr>
          <w:rFonts w:ascii="Arial" w:eastAsia="SimSun" w:hAnsi="Arial" w:cs="Arial"/>
          <w:bCs/>
          <w:sz w:val="22"/>
          <w:szCs w:val="22"/>
          <w:lang w:val="fr-FR" w:eastAsia="en-US"/>
        </w:rPr>
        <w:t>P</w:t>
      </w:r>
      <w:r w:rsidRPr="00832F70">
        <w:rPr>
          <w:rFonts w:ascii="Arial" w:eastAsia="SimSun" w:hAnsi="Arial" w:cs="Arial"/>
          <w:bCs/>
          <w:sz w:val="22"/>
          <w:szCs w:val="22"/>
          <w:lang w:val="fr-FR" w:eastAsia="en-US"/>
        </w:rPr>
        <w:t>rincipes et modalités opérationnels. La réforme des rapports périodiques</w:t>
      </w:r>
      <w:r>
        <w:rPr>
          <w:rFonts w:ascii="Arial" w:eastAsia="SimSun" w:hAnsi="Arial" w:cs="Arial"/>
          <w:bCs/>
          <w:sz w:val="22"/>
          <w:szCs w:val="22"/>
          <w:lang w:val="fr-FR" w:eastAsia="en-US"/>
        </w:rPr>
        <w:t xml:space="preserve"> </w:t>
      </w:r>
      <w:r w:rsidRPr="00832F70">
        <w:rPr>
          <w:rFonts w:ascii="Arial" w:eastAsia="SimSun" w:hAnsi="Arial" w:cs="Arial"/>
          <w:bCs/>
          <w:sz w:val="22"/>
          <w:szCs w:val="22"/>
          <w:lang w:val="fr-FR" w:eastAsia="en-US"/>
        </w:rPr>
        <w:t>facilit</w:t>
      </w:r>
      <w:r>
        <w:rPr>
          <w:rFonts w:ascii="Arial" w:eastAsia="SimSun" w:hAnsi="Arial" w:cs="Arial"/>
          <w:bCs/>
          <w:sz w:val="22"/>
          <w:szCs w:val="22"/>
          <w:lang w:val="fr-FR" w:eastAsia="en-US"/>
        </w:rPr>
        <w:t xml:space="preserve">ait </w:t>
      </w:r>
      <w:r w:rsidRPr="00832F70">
        <w:rPr>
          <w:rFonts w:ascii="Arial" w:eastAsia="SimSun" w:hAnsi="Arial" w:cs="Arial"/>
          <w:bCs/>
          <w:sz w:val="22"/>
          <w:szCs w:val="22"/>
          <w:lang w:val="fr-FR" w:eastAsia="en-US"/>
        </w:rPr>
        <w:t>grandement les rapports des États parties, et la délégation esp</w:t>
      </w:r>
      <w:r>
        <w:rPr>
          <w:rFonts w:ascii="Arial" w:eastAsia="SimSun" w:hAnsi="Arial" w:cs="Arial"/>
          <w:bCs/>
          <w:sz w:val="22"/>
          <w:szCs w:val="22"/>
          <w:lang w:val="fr-FR" w:eastAsia="en-US"/>
        </w:rPr>
        <w:t>érait</w:t>
      </w:r>
      <w:r w:rsidRPr="00832F70">
        <w:rPr>
          <w:rFonts w:ascii="Arial" w:eastAsia="SimSun" w:hAnsi="Arial" w:cs="Arial"/>
          <w:bCs/>
          <w:sz w:val="22"/>
          <w:szCs w:val="22"/>
          <w:lang w:val="fr-FR" w:eastAsia="en-US"/>
        </w:rPr>
        <w:t xml:space="preserve"> voir davantage de soumissions à l</w:t>
      </w:r>
      <w:r w:rsidR="008E532B">
        <w:rPr>
          <w:rFonts w:ascii="Arial" w:eastAsia="SimSun" w:hAnsi="Arial" w:cs="Arial"/>
          <w:bCs/>
          <w:sz w:val="22"/>
          <w:szCs w:val="22"/>
          <w:lang w:val="fr-FR" w:eastAsia="en-US"/>
        </w:rPr>
        <w:t>’</w:t>
      </w:r>
      <w:r w:rsidRPr="00832F70">
        <w:rPr>
          <w:rFonts w:ascii="Arial" w:eastAsia="SimSun" w:hAnsi="Arial" w:cs="Arial"/>
          <w:bCs/>
          <w:sz w:val="22"/>
          <w:szCs w:val="22"/>
          <w:lang w:val="fr-FR" w:eastAsia="en-US"/>
        </w:rPr>
        <w:t>avenir. L</w:t>
      </w:r>
      <w:r>
        <w:rPr>
          <w:rFonts w:ascii="Arial" w:eastAsia="SimSun" w:hAnsi="Arial" w:cs="Arial"/>
          <w:bCs/>
          <w:sz w:val="22"/>
          <w:szCs w:val="22"/>
          <w:lang w:val="fr-FR" w:eastAsia="en-US"/>
        </w:rPr>
        <w:t xml:space="preserve">a soumission de </w:t>
      </w:r>
      <w:r w:rsidRPr="00832F70">
        <w:rPr>
          <w:rFonts w:ascii="Arial" w:eastAsia="SimSun" w:hAnsi="Arial" w:cs="Arial"/>
          <w:bCs/>
          <w:sz w:val="22"/>
          <w:szCs w:val="22"/>
          <w:lang w:val="fr-FR" w:eastAsia="en-US"/>
        </w:rPr>
        <w:t>rapports en ligne permettrai</w:t>
      </w:r>
      <w:r>
        <w:rPr>
          <w:rFonts w:ascii="Arial" w:eastAsia="SimSun" w:hAnsi="Arial" w:cs="Arial"/>
          <w:bCs/>
          <w:sz w:val="22"/>
          <w:szCs w:val="22"/>
          <w:lang w:val="fr-FR" w:eastAsia="en-US"/>
        </w:rPr>
        <w:t>t</w:t>
      </w:r>
      <w:r w:rsidRPr="00832F70">
        <w:rPr>
          <w:rFonts w:ascii="Arial" w:eastAsia="SimSun" w:hAnsi="Arial" w:cs="Arial"/>
          <w:bCs/>
          <w:sz w:val="22"/>
          <w:szCs w:val="22"/>
          <w:lang w:val="fr-FR" w:eastAsia="en-US"/>
        </w:rPr>
        <w:t xml:space="preserve"> également aux États parties de mieux partager leurs activités et leurs réalisations</w:t>
      </w:r>
      <w:r>
        <w:rPr>
          <w:rFonts w:ascii="Arial" w:eastAsia="SimSun" w:hAnsi="Arial" w:cs="Arial"/>
          <w:bCs/>
          <w:sz w:val="22"/>
          <w:szCs w:val="22"/>
          <w:lang w:val="fr-FR" w:eastAsia="en-US"/>
        </w:rPr>
        <w:t xml:space="preserve"> </w:t>
      </w:r>
      <w:r w:rsidRPr="00832F70">
        <w:rPr>
          <w:rFonts w:ascii="Arial" w:eastAsia="SimSun" w:hAnsi="Arial" w:cs="Arial"/>
          <w:bCs/>
          <w:sz w:val="22"/>
          <w:szCs w:val="22"/>
          <w:lang w:val="fr-FR" w:eastAsia="en-US"/>
        </w:rPr>
        <w:t>dans différentes régions, à mesure que la Convention gagn</w:t>
      </w:r>
      <w:r>
        <w:rPr>
          <w:rFonts w:ascii="Arial" w:eastAsia="SimSun" w:hAnsi="Arial" w:cs="Arial"/>
          <w:bCs/>
          <w:sz w:val="22"/>
          <w:szCs w:val="22"/>
          <w:lang w:val="fr-FR" w:eastAsia="en-US"/>
        </w:rPr>
        <w:t>ait</w:t>
      </w:r>
      <w:r w:rsidRPr="00832F70">
        <w:rPr>
          <w:rFonts w:ascii="Arial" w:eastAsia="SimSun" w:hAnsi="Arial" w:cs="Arial"/>
          <w:bCs/>
          <w:sz w:val="22"/>
          <w:szCs w:val="22"/>
          <w:lang w:val="fr-FR" w:eastAsia="en-US"/>
        </w:rPr>
        <w:t xml:space="preserve"> en popularité. Malgré les ressources limitées, la Malaisie esp</w:t>
      </w:r>
      <w:r>
        <w:rPr>
          <w:rFonts w:ascii="Arial" w:eastAsia="SimSun" w:hAnsi="Arial" w:cs="Arial"/>
          <w:bCs/>
          <w:sz w:val="22"/>
          <w:szCs w:val="22"/>
          <w:lang w:val="fr-FR" w:eastAsia="en-US"/>
        </w:rPr>
        <w:t>érait</w:t>
      </w:r>
      <w:r w:rsidRPr="00832F70">
        <w:rPr>
          <w:rFonts w:ascii="Arial" w:eastAsia="SimSun" w:hAnsi="Arial" w:cs="Arial"/>
          <w:bCs/>
          <w:sz w:val="22"/>
          <w:szCs w:val="22"/>
          <w:lang w:val="fr-FR" w:eastAsia="en-US"/>
        </w:rPr>
        <w:t xml:space="preserve"> que la priorité sera</w:t>
      </w:r>
      <w:r>
        <w:rPr>
          <w:rFonts w:ascii="Arial" w:eastAsia="SimSun" w:hAnsi="Arial" w:cs="Arial"/>
          <w:bCs/>
          <w:sz w:val="22"/>
          <w:szCs w:val="22"/>
          <w:lang w:val="fr-FR" w:eastAsia="en-US"/>
        </w:rPr>
        <w:t>it</w:t>
      </w:r>
      <w:r w:rsidRPr="00832F70">
        <w:rPr>
          <w:rFonts w:ascii="Arial" w:eastAsia="SimSun" w:hAnsi="Arial" w:cs="Arial"/>
          <w:bCs/>
          <w:sz w:val="22"/>
          <w:szCs w:val="22"/>
          <w:lang w:val="fr-FR" w:eastAsia="en-US"/>
        </w:rPr>
        <w:t xml:space="preserve"> donnée </w:t>
      </w:r>
      <w:r>
        <w:rPr>
          <w:rFonts w:ascii="Arial" w:eastAsia="SimSun" w:hAnsi="Arial" w:cs="Arial"/>
          <w:bCs/>
          <w:sz w:val="22"/>
          <w:szCs w:val="22"/>
          <w:lang w:val="fr-FR" w:eastAsia="en-US"/>
        </w:rPr>
        <w:t xml:space="preserve">à la </w:t>
      </w:r>
      <w:r w:rsidRPr="00E5647C">
        <w:rPr>
          <w:rFonts w:ascii="Arial" w:eastAsia="SimSun" w:hAnsi="Arial" w:cs="Arial"/>
          <w:bCs/>
          <w:sz w:val="22"/>
          <w:szCs w:val="22"/>
          <w:lang w:val="fr-FR" w:eastAsia="en-US"/>
        </w:rPr>
        <w:t>cons</w:t>
      </w:r>
      <w:r>
        <w:rPr>
          <w:rFonts w:ascii="Arial" w:eastAsia="SimSun" w:hAnsi="Arial" w:cs="Arial"/>
          <w:bCs/>
          <w:sz w:val="22"/>
          <w:szCs w:val="22"/>
          <w:lang w:val="fr-FR" w:eastAsia="en-US"/>
        </w:rPr>
        <w:t xml:space="preserve">olidation </w:t>
      </w:r>
      <w:r w:rsidRPr="00832F70">
        <w:rPr>
          <w:rFonts w:ascii="Arial" w:eastAsia="SimSun" w:hAnsi="Arial" w:cs="Arial"/>
          <w:bCs/>
          <w:sz w:val="22"/>
          <w:szCs w:val="22"/>
          <w:lang w:val="fr-FR" w:eastAsia="en-US"/>
        </w:rPr>
        <w:t xml:space="preserve">des programmes de renforcement des capacités, </w:t>
      </w:r>
      <w:r>
        <w:rPr>
          <w:rFonts w:ascii="Arial" w:eastAsia="SimSun" w:hAnsi="Arial" w:cs="Arial"/>
          <w:bCs/>
          <w:sz w:val="22"/>
          <w:szCs w:val="22"/>
          <w:lang w:val="fr-FR" w:eastAsia="en-US"/>
        </w:rPr>
        <w:t>à la</w:t>
      </w:r>
      <w:r w:rsidRPr="00832F70">
        <w:rPr>
          <w:rFonts w:ascii="Arial" w:eastAsia="SimSun" w:hAnsi="Arial" w:cs="Arial"/>
          <w:bCs/>
          <w:sz w:val="22"/>
          <w:szCs w:val="22"/>
          <w:lang w:val="fr-FR" w:eastAsia="en-US"/>
        </w:rPr>
        <w:t xml:space="preserve"> sensibilisation et aux plans de développement axés sur les effets du changement climatique. Elle </w:t>
      </w:r>
      <w:r>
        <w:rPr>
          <w:rFonts w:ascii="Arial" w:eastAsia="SimSun" w:hAnsi="Arial" w:cs="Arial"/>
          <w:bCs/>
          <w:sz w:val="22"/>
          <w:szCs w:val="22"/>
          <w:lang w:val="fr-FR" w:eastAsia="en-US"/>
        </w:rPr>
        <w:t xml:space="preserve">était </w:t>
      </w:r>
      <w:r w:rsidRPr="00832F70">
        <w:rPr>
          <w:rFonts w:ascii="Arial" w:eastAsia="SimSun" w:hAnsi="Arial" w:cs="Arial"/>
          <w:bCs/>
          <w:sz w:val="22"/>
          <w:szCs w:val="22"/>
          <w:lang w:val="fr-FR" w:eastAsia="en-US"/>
        </w:rPr>
        <w:t>également optimiste quant à la réflexion globale en cours sur les mécanismes d</w:t>
      </w:r>
      <w:r w:rsidR="008E532B">
        <w:rPr>
          <w:rFonts w:ascii="Arial" w:eastAsia="SimSun" w:hAnsi="Arial" w:cs="Arial"/>
          <w:bCs/>
          <w:sz w:val="22"/>
          <w:szCs w:val="22"/>
          <w:lang w:val="fr-FR" w:eastAsia="en-US"/>
        </w:rPr>
        <w:t>’</w:t>
      </w:r>
      <w:r w:rsidRPr="00832F70">
        <w:rPr>
          <w:rFonts w:ascii="Arial" w:eastAsia="SimSun" w:hAnsi="Arial" w:cs="Arial"/>
          <w:bCs/>
          <w:sz w:val="22"/>
          <w:szCs w:val="22"/>
          <w:lang w:val="fr-FR" w:eastAsia="en-US"/>
        </w:rPr>
        <w:t>inscription et attend</w:t>
      </w:r>
      <w:r>
        <w:rPr>
          <w:rFonts w:ascii="Arial" w:eastAsia="SimSun" w:hAnsi="Arial" w:cs="Arial"/>
          <w:bCs/>
          <w:sz w:val="22"/>
          <w:szCs w:val="22"/>
          <w:lang w:val="fr-FR" w:eastAsia="en-US"/>
        </w:rPr>
        <w:t>ait</w:t>
      </w:r>
      <w:r w:rsidRPr="00832F70">
        <w:rPr>
          <w:rFonts w:ascii="Arial" w:eastAsia="SimSun" w:hAnsi="Arial" w:cs="Arial"/>
          <w:bCs/>
          <w:sz w:val="22"/>
          <w:szCs w:val="22"/>
          <w:lang w:val="fr-FR" w:eastAsia="en-US"/>
        </w:rPr>
        <w:t xml:space="preserve"> avec impatience un résultat positif, ce qui constituerait en effet une autre étape importante. La Malaisie a souligné la nécessité de renforcer la collaboration entre les centres de catégorie 2 de l</w:t>
      </w:r>
      <w:r w:rsidR="008E532B">
        <w:rPr>
          <w:rFonts w:ascii="Arial" w:eastAsia="SimSun" w:hAnsi="Arial" w:cs="Arial"/>
          <w:bCs/>
          <w:sz w:val="22"/>
          <w:szCs w:val="22"/>
          <w:lang w:val="fr-FR" w:eastAsia="en-US"/>
        </w:rPr>
        <w:t>’</w:t>
      </w:r>
      <w:r w:rsidRPr="00832F70">
        <w:rPr>
          <w:rFonts w:ascii="Arial" w:eastAsia="SimSun" w:hAnsi="Arial" w:cs="Arial"/>
          <w:bCs/>
          <w:sz w:val="22"/>
          <w:szCs w:val="22"/>
          <w:lang w:val="fr-FR" w:eastAsia="en-US"/>
        </w:rPr>
        <w:t>UNESCO dans les régions pour promouvoir les programmes et les activités de la Convention.</w:t>
      </w:r>
    </w:p>
    <w:p w14:paraId="154020F8" w14:textId="53C491F7" w:rsidR="00D9653F" w:rsidRPr="008F2B04"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DF24E9">
        <w:rPr>
          <w:rFonts w:ascii="Arial" w:eastAsia="SimSun" w:hAnsi="Arial" w:cs="Arial"/>
          <w:bCs/>
          <w:sz w:val="22"/>
          <w:szCs w:val="22"/>
          <w:lang w:val="fr-FR" w:eastAsia="en-US"/>
        </w:rPr>
        <w:t xml:space="preserve">La délégation </w:t>
      </w:r>
      <w:r>
        <w:rPr>
          <w:rFonts w:ascii="Arial" w:eastAsia="SimSun" w:hAnsi="Arial" w:cs="Arial"/>
          <w:bCs/>
          <w:sz w:val="22"/>
          <w:szCs w:val="22"/>
          <w:lang w:val="fr-FR" w:eastAsia="en-US"/>
        </w:rPr>
        <w:t>de l</w:t>
      </w:r>
      <w:r w:rsidR="008E532B">
        <w:rPr>
          <w:rFonts w:ascii="Arial" w:eastAsia="SimSun" w:hAnsi="Arial" w:cs="Arial"/>
          <w:bCs/>
          <w:sz w:val="22"/>
          <w:szCs w:val="22"/>
          <w:lang w:val="fr-FR" w:eastAsia="en-US"/>
        </w:rPr>
        <w:t>’</w:t>
      </w:r>
      <w:r w:rsidRPr="00DF24E9">
        <w:rPr>
          <w:rFonts w:ascii="Arial" w:eastAsia="SimSun" w:hAnsi="Arial" w:cs="Arial"/>
          <w:b/>
          <w:sz w:val="22"/>
          <w:szCs w:val="22"/>
          <w:lang w:val="fr-FR" w:eastAsia="en-US"/>
        </w:rPr>
        <w:t>Arménie</w:t>
      </w:r>
      <w:r w:rsidRPr="00DF24E9">
        <w:rPr>
          <w:rFonts w:ascii="Arial" w:eastAsia="SimSun" w:hAnsi="Arial" w:cs="Arial"/>
          <w:bCs/>
          <w:sz w:val="22"/>
          <w:szCs w:val="22"/>
          <w:lang w:val="fr-FR" w:eastAsia="en-US"/>
        </w:rPr>
        <w:t xml:space="preserve"> a remercié le Secrétariat pour son rapport et </w:t>
      </w:r>
      <w:r>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sidRPr="00DF24E9">
        <w:rPr>
          <w:rFonts w:ascii="Arial" w:eastAsia="SimSun" w:hAnsi="Arial" w:cs="Arial"/>
          <w:bCs/>
          <w:sz w:val="22"/>
          <w:szCs w:val="22"/>
          <w:lang w:val="fr-FR" w:eastAsia="en-US"/>
        </w:rPr>
        <w:t>avoir rempli sa mission dans le contexte difficile de la pandémie. Elle s</w:t>
      </w:r>
      <w:r w:rsidR="008E532B">
        <w:rPr>
          <w:rFonts w:ascii="Arial" w:eastAsia="SimSun" w:hAnsi="Arial" w:cs="Arial"/>
          <w:bCs/>
          <w:sz w:val="22"/>
          <w:szCs w:val="22"/>
          <w:lang w:val="fr-FR" w:eastAsia="en-US"/>
        </w:rPr>
        <w:t>’</w:t>
      </w:r>
      <w:r w:rsidRPr="00DF24E9">
        <w:rPr>
          <w:rFonts w:ascii="Arial" w:eastAsia="SimSun" w:hAnsi="Arial" w:cs="Arial"/>
          <w:bCs/>
          <w:sz w:val="22"/>
          <w:szCs w:val="22"/>
          <w:lang w:val="fr-FR" w:eastAsia="en-US"/>
        </w:rPr>
        <w:t>est félicitée de la réflexion globale sur les mécanismes d</w:t>
      </w:r>
      <w:r w:rsidR="008E532B">
        <w:rPr>
          <w:rFonts w:ascii="Arial" w:eastAsia="SimSun" w:hAnsi="Arial" w:cs="Arial"/>
          <w:bCs/>
          <w:sz w:val="22"/>
          <w:szCs w:val="22"/>
          <w:lang w:val="fr-FR" w:eastAsia="en-US"/>
        </w:rPr>
        <w:t>’</w:t>
      </w:r>
      <w:r w:rsidRPr="00DF24E9">
        <w:rPr>
          <w:rFonts w:ascii="Arial" w:eastAsia="SimSun" w:hAnsi="Arial" w:cs="Arial"/>
          <w:bCs/>
          <w:sz w:val="22"/>
          <w:szCs w:val="22"/>
          <w:lang w:val="fr-FR" w:eastAsia="en-US"/>
        </w:rPr>
        <w:t>inscription</w:t>
      </w:r>
      <w:r>
        <w:rPr>
          <w:rFonts w:ascii="Arial" w:eastAsia="SimSun" w:hAnsi="Arial" w:cs="Arial"/>
          <w:bCs/>
          <w:sz w:val="22"/>
          <w:szCs w:val="22"/>
          <w:lang w:val="fr-FR" w:eastAsia="en-US"/>
        </w:rPr>
        <w:t xml:space="preserve"> </w:t>
      </w:r>
      <w:r w:rsidRPr="00DF24E9">
        <w:rPr>
          <w:rFonts w:ascii="Arial" w:eastAsia="SimSun" w:hAnsi="Arial" w:cs="Arial"/>
          <w:bCs/>
          <w:sz w:val="22"/>
          <w:szCs w:val="22"/>
          <w:lang w:val="fr-FR" w:eastAsia="en-US"/>
        </w:rPr>
        <w:t>et a salué le travail effectué dans le cadre des différentes réunions d</w:t>
      </w:r>
      <w:r w:rsidR="008E532B">
        <w:rPr>
          <w:rFonts w:ascii="Arial" w:eastAsia="SimSun" w:hAnsi="Arial" w:cs="Arial"/>
          <w:bCs/>
          <w:sz w:val="22"/>
          <w:szCs w:val="22"/>
          <w:lang w:val="fr-FR" w:eastAsia="en-US"/>
        </w:rPr>
        <w:t>’</w:t>
      </w:r>
      <w:r w:rsidRPr="00DF24E9">
        <w:rPr>
          <w:rFonts w:ascii="Arial" w:eastAsia="SimSun" w:hAnsi="Arial" w:cs="Arial"/>
          <w:bCs/>
          <w:sz w:val="22"/>
          <w:szCs w:val="22"/>
          <w:lang w:val="fr-FR" w:eastAsia="en-US"/>
        </w:rPr>
        <w:t>experts. La délégation</w:t>
      </w:r>
      <w:r>
        <w:rPr>
          <w:rFonts w:ascii="Arial" w:eastAsia="SimSun" w:hAnsi="Arial" w:cs="Arial"/>
          <w:bCs/>
          <w:sz w:val="22"/>
          <w:szCs w:val="22"/>
          <w:lang w:val="fr-FR" w:eastAsia="en-US"/>
        </w:rPr>
        <w:t xml:space="preserve"> a salué l</w:t>
      </w:r>
      <w:r w:rsidRPr="00DF24E9">
        <w:rPr>
          <w:rFonts w:ascii="Arial" w:eastAsia="SimSun" w:hAnsi="Arial" w:cs="Arial"/>
          <w:bCs/>
          <w:sz w:val="22"/>
          <w:szCs w:val="22"/>
          <w:lang w:val="fr-FR" w:eastAsia="en-US"/>
        </w:rPr>
        <w:t>es effets positifs de la réforme des rapports périodiques,</w:t>
      </w:r>
      <w:r>
        <w:rPr>
          <w:rFonts w:ascii="Arial" w:eastAsia="SimSun" w:hAnsi="Arial" w:cs="Arial"/>
          <w:bCs/>
          <w:sz w:val="22"/>
          <w:szCs w:val="22"/>
          <w:lang w:val="fr-FR" w:eastAsia="en-US"/>
        </w:rPr>
        <w:t xml:space="preserve"> soulignant </w:t>
      </w:r>
      <w:r w:rsidRPr="008F2B04">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augmentation des taux de soumission. Elle a également noté 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engagement fort du Secrétariat auprès de 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Organe d</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évaluation, notamment dans 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examen des candidatures. S</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agissant de la coopération avec les ONG, la délégation appréciait toujours le rôle joué par les ONG accréditées dans la protection du patrimoine vivant. Elle s</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est félicitée du caractère opérationnel de la coopération avec le Forum des ONG dans le but de préciser de quelle façon les ONG accréditées p</w:t>
      </w:r>
      <w:r>
        <w:rPr>
          <w:rFonts w:ascii="Arial" w:eastAsia="SimSun" w:hAnsi="Arial" w:cs="Arial"/>
          <w:bCs/>
          <w:sz w:val="22"/>
          <w:szCs w:val="22"/>
          <w:lang w:val="fr-FR" w:eastAsia="en-US"/>
        </w:rPr>
        <w:t xml:space="preserve">ouvaient </w:t>
      </w:r>
      <w:r w:rsidRPr="008F2B04">
        <w:rPr>
          <w:rFonts w:ascii="Arial" w:eastAsia="SimSun" w:hAnsi="Arial" w:cs="Arial"/>
          <w:bCs/>
          <w:sz w:val="22"/>
          <w:szCs w:val="22"/>
          <w:lang w:val="fr-FR" w:eastAsia="en-US"/>
        </w:rPr>
        <w:t>exercer au mieux leurs fonctions consultatives auprès du Comité. La délégation s</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 xml:space="preserve">est également félicitée des initiatives prises pour sauvegarder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8F2B04">
        <w:rPr>
          <w:rFonts w:ascii="Arial" w:eastAsia="SimSun" w:hAnsi="Arial" w:cs="Arial"/>
          <w:bCs/>
          <w:sz w:val="22"/>
          <w:szCs w:val="22"/>
          <w:lang w:val="fr-FR" w:eastAsia="en-US"/>
        </w:rPr>
        <w:t>dans les situations d</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urgence, notamment dans le cadre des synergies avec d</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 xml:space="preserve">autres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8F2B04">
        <w:rPr>
          <w:rFonts w:ascii="Arial" w:eastAsia="SimSun" w:hAnsi="Arial" w:cs="Arial"/>
          <w:bCs/>
          <w:sz w:val="22"/>
          <w:szCs w:val="22"/>
          <w:lang w:val="fr-FR" w:eastAsia="en-US"/>
        </w:rPr>
        <w:t>, ajoutant que ce patrimoine pouvait se trouver, dans certains cas, extrêmement vulnérable, notamment dans les situations de conflit. 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 xml:space="preserve">Arménie avait précédemment exprimé ses préoccupations concernant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8F2B04">
        <w:rPr>
          <w:rFonts w:ascii="Arial" w:eastAsia="SimSun" w:hAnsi="Arial" w:cs="Arial"/>
          <w:bCs/>
          <w:sz w:val="22"/>
          <w:szCs w:val="22"/>
          <w:lang w:val="fr-FR" w:eastAsia="en-US"/>
        </w:rPr>
        <w:t>arménien dans les territoires du Haut-Karabakh occupés par 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 xml:space="preserve">Azerbaïdjan. </w:t>
      </w:r>
      <w:r w:rsidR="00E23FFC">
        <w:rPr>
          <w:rFonts w:ascii="Arial" w:eastAsia="SimSun" w:hAnsi="Arial" w:cs="Arial"/>
          <w:bCs/>
          <w:sz w:val="22"/>
          <w:szCs w:val="22"/>
          <w:lang w:val="fr-FR" w:eastAsia="en-US"/>
        </w:rPr>
        <w:t xml:space="preserve">La délégation a noté </w:t>
      </w:r>
      <w:r w:rsidRPr="008F2B04">
        <w:rPr>
          <w:rFonts w:ascii="Arial" w:eastAsia="SimSun" w:hAnsi="Arial" w:cs="Arial"/>
          <w:bCs/>
          <w:sz w:val="22"/>
          <w:szCs w:val="22"/>
          <w:lang w:val="fr-FR" w:eastAsia="en-US"/>
        </w:rPr>
        <w:t>que les populations arméniennes vivant dans les régions d</w:t>
      </w:r>
      <w:r w:rsidR="008E532B">
        <w:rPr>
          <w:rFonts w:ascii="Arial" w:eastAsia="SimSun" w:hAnsi="Arial" w:cs="Arial"/>
          <w:bCs/>
          <w:sz w:val="22"/>
          <w:szCs w:val="22"/>
          <w:lang w:val="fr-FR" w:eastAsia="en-US"/>
        </w:rPr>
        <w:t>’</w:t>
      </w:r>
      <w:proofErr w:type="spellStart"/>
      <w:r w:rsidRPr="008F2B04">
        <w:rPr>
          <w:rFonts w:ascii="Arial" w:eastAsia="SimSun" w:hAnsi="Arial" w:cs="Arial"/>
          <w:bCs/>
          <w:sz w:val="22"/>
          <w:szCs w:val="22"/>
          <w:lang w:val="fr-FR" w:eastAsia="en-US"/>
        </w:rPr>
        <w:t>Hadrout</w:t>
      </w:r>
      <w:proofErr w:type="spellEnd"/>
      <w:r w:rsidRPr="008F2B04">
        <w:rPr>
          <w:rFonts w:ascii="Arial" w:eastAsia="SimSun" w:hAnsi="Arial" w:cs="Arial"/>
          <w:bCs/>
          <w:sz w:val="22"/>
          <w:szCs w:val="22"/>
          <w:lang w:val="fr-FR" w:eastAsia="en-US"/>
        </w:rPr>
        <w:t xml:space="preserve"> et de </w:t>
      </w:r>
      <w:proofErr w:type="spellStart"/>
      <w:r w:rsidRPr="008F2B04">
        <w:rPr>
          <w:rFonts w:ascii="Arial" w:eastAsia="SimSun" w:hAnsi="Arial" w:cs="Arial"/>
          <w:bCs/>
          <w:sz w:val="22"/>
          <w:szCs w:val="22"/>
          <w:lang w:val="fr-FR" w:eastAsia="en-US"/>
        </w:rPr>
        <w:t>Chouchi</w:t>
      </w:r>
      <w:proofErr w:type="spellEnd"/>
      <w:r w:rsidRPr="008F2B04">
        <w:rPr>
          <w:rFonts w:ascii="Arial" w:eastAsia="SimSun" w:hAnsi="Arial" w:cs="Arial"/>
          <w:bCs/>
          <w:sz w:val="22"/>
          <w:szCs w:val="22"/>
          <w:lang w:val="fr-FR" w:eastAsia="en-US"/>
        </w:rPr>
        <w:t xml:space="preserve"> avaient été expulsées de ces territoires lors de 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agression de 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Azerbaïdjan contre le Haut-Karabakh à 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 xml:space="preserve">automne 2020. En conséquence, </w:t>
      </w:r>
      <w:r w:rsidR="00E23FFC">
        <w:rPr>
          <w:rFonts w:ascii="Arial" w:eastAsia="SimSun" w:hAnsi="Arial" w:cs="Arial"/>
          <w:bCs/>
          <w:sz w:val="22"/>
          <w:szCs w:val="22"/>
          <w:lang w:val="fr-FR" w:eastAsia="en-US"/>
        </w:rPr>
        <w:t xml:space="preserve">la délégation a indiqué </w:t>
      </w:r>
      <w:r w:rsidRPr="008F2B04">
        <w:rPr>
          <w:rFonts w:ascii="Arial" w:eastAsia="SimSun" w:hAnsi="Arial" w:cs="Arial"/>
          <w:bCs/>
          <w:sz w:val="22"/>
          <w:szCs w:val="22"/>
          <w:lang w:val="fr-FR" w:eastAsia="en-US"/>
        </w:rPr>
        <w:t xml:space="preserve">elles étaient privées de vie sociale, culturelle et économique, de graves menaces pesant sur leur </w:t>
      </w:r>
      <w:r w:rsidR="00E908E2">
        <w:rPr>
          <w:rFonts w:ascii="Arial" w:eastAsia="SimSun" w:hAnsi="Arial" w:cs="Arial"/>
          <w:bCs/>
          <w:sz w:val="22"/>
          <w:szCs w:val="22"/>
          <w:lang w:val="fr-FR" w:eastAsia="en-US"/>
        </w:rPr>
        <w:t>patrimoine culturel immatériel</w:t>
      </w:r>
      <w:r w:rsidRPr="008F2B04">
        <w:rPr>
          <w:rFonts w:ascii="Arial" w:eastAsia="SimSun" w:hAnsi="Arial" w:cs="Arial"/>
          <w:bCs/>
          <w:sz w:val="22"/>
          <w:szCs w:val="22"/>
          <w:lang w:val="fr-FR" w:eastAsia="en-US"/>
        </w:rPr>
        <w:t xml:space="preserve">. Cela coïncidait avec la destruction des biens culturels arméniens situés sur ces mêmes territoires. </w:t>
      </w:r>
      <w:r w:rsidR="00E23FFC">
        <w:rPr>
          <w:rFonts w:ascii="Arial" w:eastAsia="SimSun" w:hAnsi="Arial" w:cs="Arial"/>
          <w:bCs/>
          <w:sz w:val="22"/>
          <w:szCs w:val="22"/>
          <w:lang w:val="fr-FR" w:eastAsia="en-US"/>
        </w:rPr>
        <w:t>La délégation a conclu en notant qu’à</w:t>
      </w:r>
      <w:r w:rsidRPr="008F2B04">
        <w:rPr>
          <w:rFonts w:ascii="Arial" w:eastAsia="SimSun" w:hAnsi="Arial" w:cs="Arial"/>
          <w:bCs/>
          <w:sz w:val="22"/>
          <w:szCs w:val="22"/>
          <w:lang w:val="fr-FR" w:eastAsia="en-US"/>
        </w:rPr>
        <w:t xml:space="preserve"> ce jour, les autorités azerbaïdjanaises continuaient de refuser le libre accès à ces sites aux experts de 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UNESCO, empêchant ainsi une mission technique indépendante sur le terrain</w:t>
      </w:r>
      <w:r w:rsidR="00E23FFC">
        <w:rPr>
          <w:rFonts w:ascii="Arial" w:eastAsia="SimSun" w:hAnsi="Arial" w:cs="Arial"/>
          <w:bCs/>
          <w:sz w:val="22"/>
          <w:szCs w:val="22"/>
          <w:lang w:val="fr-FR" w:eastAsia="en-US"/>
        </w:rPr>
        <w:t xml:space="preserve">, </w:t>
      </w:r>
      <w:proofErr w:type="gramStart"/>
      <w:r w:rsidR="00E23FFC">
        <w:rPr>
          <w:rFonts w:ascii="Arial" w:eastAsia="SimSun" w:hAnsi="Arial" w:cs="Arial"/>
          <w:bCs/>
          <w:sz w:val="22"/>
          <w:szCs w:val="22"/>
          <w:lang w:val="fr-FR" w:eastAsia="en-US"/>
        </w:rPr>
        <w:t xml:space="preserve">et </w:t>
      </w:r>
      <w:r w:rsidRPr="008F2B04">
        <w:rPr>
          <w:rFonts w:ascii="Arial" w:eastAsia="SimSun" w:hAnsi="Arial" w:cs="Arial"/>
          <w:bCs/>
          <w:sz w:val="22"/>
          <w:szCs w:val="22"/>
          <w:lang w:val="fr-FR" w:eastAsia="en-US"/>
        </w:rPr>
        <w:t xml:space="preserve"> </w:t>
      </w:r>
      <w:r w:rsidR="00E23FFC">
        <w:rPr>
          <w:rFonts w:ascii="Arial" w:eastAsia="SimSun" w:hAnsi="Arial" w:cs="Arial"/>
          <w:bCs/>
          <w:sz w:val="22"/>
          <w:szCs w:val="22"/>
          <w:lang w:val="fr-FR" w:eastAsia="en-US"/>
        </w:rPr>
        <w:t>que</w:t>
      </w:r>
      <w:proofErr w:type="gramEnd"/>
      <w:r w:rsidR="00E23FFC">
        <w:rPr>
          <w:rFonts w:ascii="Arial" w:eastAsia="SimSun" w:hAnsi="Arial" w:cs="Arial"/>
          <w:bCs/>
          <w:sz w:val="22"/>
          <w:szCs w:val="22"/>
          <w:lang w:val="fr-FR" w:eastAsia="en-US"/>
        </w:rPr>
        <w:t xml:space="preserve"> c</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était donc l</w:t>
      </w:r>
      <w:r w:rsidR="008E532B">
        <w:rPr>
          <w:rFonts w:ascii="Arial" w:eastAsia="SimSun" w:hAnsi="Arial" w:cs="Arial"/>
          <w:bCs/>
          <w:sz w:val="22"/>
          <w:szCs w:val="22"/>
          <w:lang w:val="fr-FR" w:eastAsia="en-US"/>
        </w:rPr>
        <w:t>’</w:t>
      </w:r>
      <w:r w:rsidRPr="008F2B04">
        <w:rPr>
          <w:rFonts w:ascii="Arial" w:eastAsia="SimSun" w:hAnsi="Arial" w:cs="Arial"/>
          <w:bCs/>
          <w:sz w:val="22"/>
          <w:szCs w:val="22"/>
          <w:lang w:val="fr-FR" w:eastAsia="en-US"/>
        </w:rPr>
        <w:t>ensemble du patrimoine culturel arménien de ces territoires qui était désormais en danger.</w:t>
      </w:r>
    </w:p>
    <w:p w14:paraId="583D7DDE" w14:textId="77777777" w:rsidR="00D9653F" w:rsidRPr="00DE6D07" w:rsidRDefault="00D9653F" w:rsidP="00D9653F">
      <w:pPr>
        <w:numPr>
          <w:ilvl w:val="0"/>
          <w:numId w:val="19"/>
        </w:numPr>
        <w:suppressAutoHyphens/>
        <w:autoSpaceDE w:val="0"/>
        <w:spacing w:before="120"/>
        <w:ind w:left="567" w:hanging="567"/>
        <w:jc w:val="both"/>
        <w:rPr>
          <w:rFonts w:ascii="Arial" w:eastAsia="SimSun" w:hAnsi="Arial" w:cs="Arial"/>
          <w:b/>
          <w:sz w:val="22"/>
          <w:szCs w:val="22"/>
          <w:lang w:val="fr-FR" w:eastAsia="en-US"/>
        </w:rPr>
      </w:pPr>
      <w:r w:rsidRPr="00DE6D07">
        <w:rPr>
          <w:rFonts w:ascii="Arial" w:eastAsia="SimSun" w:hAnsi="Arial" w:cs="Arial"/>
          <w:bCs/>
          <w:sz w:val="22"/>
          <w:szCs w:val="22"/>
          <w:lang w:val="fr-FR" w:eastAsia="en-US"/>
        </w:rPr>
        <w:t>La</w:t>
      </w:r>
      <w:r>
        <w:rPr>
          <w:rFonts w:ascii="Arial" w:eastAsia="SimSun" w:hAnsi="Arial" w:cs="Arial"/>
          <w:b/>
          <w:sz w:val="22"/>
          <w:szCs w:val="22"/>
          <w:lang w:val="fr-FR" w:eastAsia="en-US"/>
        </w:rPr>
        <w:t xml:space="preserve"> Présidente </w:t>
      </w:r>
      <w:r>
        <w:rPr>
          <w:rFonts w:ascii="Arial" w:eastAsia="SimSun" w:hAnsi="Arial" w:cs="Arial"/>
          <w:bCs/>
          <w:sz w:val="22"/>
          <w:szCs w:val="22"/>
          <w:lang w:val="fr-FR" w:eastAsia="en-US"/>
        </w:rPr>
        <w:t xml:space="preserve">a invité le </w:t>
      </w:r>
      <w:r w:rsidRPr="00DE6D07">
        <w:rPr>
          <w:rFonts w:ascii="Arial" w:eastAsia="SimSun" w:hAnsi="Arial" w:cs="Arial"/>
          <w:bCs/>
          <w:sz w:val="22"/>
          <w:szCs w:val="22"/>
          <w:lang w:val="fr-FR" w:eastAsia="en-US"/>
        </w:rPr>
        <w:t>Secréta</w:t>
      </w:r>
      <w:r>
        <w:rPr>
          <w:rFonts w:ascii="Arial" w:eastAsia="SimSun" w:hAnsi="Arial" w:cs="Arial"/>
          <w:bCs/>
          <w:sz w:val="22"/>
          <w:szCs w:val="22"/>
          <w:lang w:val="fr-FR" w:eastAsia="en-US"/>
        </w:rPr>
        <w:t>riat à répondre aux questions soulevées.</w:t>
      </w:r>
    </w:p>
    <w:p w14:paraId="4A129B31" w14:textId="6E486DC4" w:rsidR="00D9653F" w:rsidRPr="00FA6560"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Pr>
          <w:rFonts w:ascii="Arial" w:eastAsia="SimSun" w:hAnsi="Arial" w:cs="Arial"/>
          <w:bCs/>
          <w:sz w:val="22"/>
          <w:szCs w:val="22"/>
          <w:lang w:val="fr-FR" w:eastAsia="en-US"/>
        </w:rPr>
        <w:t>A</w:t>
      </w:r>
      <w:r w:rsidRPr="00FA6560">
        <w:rPr>
          <w:rFonts w:ascii="Arial" w:eastAsia="SimSun" w:hAnsi="Arial" w:cs="Arial"/>
          <w:bCs/>
          <w:sz w:val="22"/>
          <w:szCs w:val="22"/>
          <w:lang w:val="fr-FR" w:eastAsia="en-US"/>
        </w:rPr>
        <w:t>u nom du Secrétaire, M. Tim Curtis, qui suivait cette réunion en ligne</w:t>
      </w:r>
      <w:r>
        <w:rPr>
          <w:rFonts w:ascii="Arial" w:eastAsia="SimSun" w:hAnsi="Arial" w:cs="Arial"/>
          <w:bCs/>
          <w:sz w:val="22"/>
          <w:szCs w:val="22"/>
          <w:lang w:val="fr-FR" w:eastAsia="en-US"/>
        </w:rPr>
        <w:t>,</w:t>
      </w:r>
      <w:r w:rsidRPr="00FA6560">
        <w:rPr>
          <w:rFonts w:ascii="Arial" w:eastAsia="SimSun" w:hAnsi="Arial" w:cs="Arial"/>
          <w:b/>
          <w:sz w:val="22"/>
          <w:szCs w:val="22"/>
          <w:lang w:val="fr-FR" w:eastAsia="en-US"/>
        </w:rPr>
        <w:t xml:space="preserve"> </w:t>
      </w:r>
      <w:r w:rsidR="008D65C3">
        <w:rPr>
          <w:rFonts w:ascii="Arial" w:eastAsia="SimSun" w:hAnsi="Arial" w:cs="Arial"/>
          <w:b/>
          <w:sz w:val="22"/>
          <w:szCs w:val="22"/>
          <w:lang w:val="fr-FR" w:eastAsia="en-US"/>
        </w:rPr>
        <w:t>Mme</w:t>
      </w:r>
      <w:r>
        <w:rPr>
          <w:rFonts w:ascii="Arial" w:eastAsia="SimSun" w:hAnsi="Arial" w:cs="Arial"/>
          <w:b/>
          <w:sz w:val="22"/>
          <w:szCs w:val="22"/>
          <w:lang w:val="fr-FR" w:eastAsia="en-US"/>
        </w:rPr>
        <w:t> </w:t>
      </w:r>
      <w:r w:rsidRPr="00FA6560">
        <w:rPr>
          <w:rFonts w:ascii="Arial" w:eastAsia="SimSun" w:hAnsi="Arial" w:cs="Arial"/>
          <w:b/>
          <w:sz w:val="22"/>
          <w:szCs w:val="22"/>
          <w:lang w:val="fr-FR" w:eastAsia="en-US"/>
        </w:rPr>
        <w:t>Fumiko Ohinata</w:t>
      </w:r>
      <w:r w:rsidRPr="00FA6560">
        <w:rPr>
          <w:rFonts w:ascii="Arial" w:eastAsia="SimSun" w:hAnsi="Arial" w:cs="Arial"/>
          <w:bCs/>
          <w:sz w:val="22"/>
          <w:szCs w:val="22"/>
          <w:lang w:val="fr-FR" w:eastAsia="en-US"/>
        </w:rPr>
        <w:t xml:space="preserve"> a remercié les délégations pour leurs encouragements et leurs mots aimables</w:t>
      </w:r>
      <w:r>
        <w:rPr>
          <w:rFonts w:ascii="Arial" w:eastAsia="SimSun" w:hAnsi="Arial" w:cs="Arial"/>
          <w:bCs/>
          <w:sz w:val="22"/>
          <w:szCs w:val="22"/>
          <w:lang w:val="fr-FR" w:eastAsia="en-US"/>
        </w:rPr>
        <w:t>. L</w:t>
      </w:r>
      <w:r w:rsidRPr="00FA6560">
        <w:rPr>
          <w:rFonts w:ascii="Arial" w:eastAsia="SimSun" w:hAnsi="Arial" w:cs="Arial"/>
          <w:bCs/>
          <w:sz w:val="22"/>
          <w:szCs w:val="22"/>
          <w:lang w:val="fr-FR" w:eastAsia="en-US"/>
        </w:rPr>
        <w:t>e</w:t>
      </w:r>
      <w:r>
        <w:rPr>
          <w:rFonts w:ascii="Arial" w:eastAsia="SimSun" w:hAnsi="Arial" w:cs="Arial"/>
          <w:bCs/>
          <w:sz w:val="22"/>
          <w:szCs w:val="22"/>
          <w:lang w:val="fr-FR" w:eastAsia="en-US"/>
        </w:rPr>
        <w:t>ur</w:t>
      </w:r>
      <w:r w:rsidRPr="00FA6560">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retour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expérience</w:t>
      </w:r>
      <w:r w:rsidRPr="00FA6560">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était</w:t>
      </w:r>
      <w:r w:rsidRPr="00FA6560">
        <w:rPr>
          <w:rFonts w:ascii="Arial" w:eastAsia="SimSun" w:hAnsi="Arial" w:cs="Arial"/>
          <w:bCs/>
          <w:sz w:val="22"/>
          <w:szCs w:val="22"/>
          <w:lang w:val="fr-FR" w:eastAsia="en-US"/>
        </w:rPr>
        <w:t xml:space="preserve"> extrêmement important. Concernant les rapports périodiques, </w:t>
      </w:r>
      <w:r w:rsidR="008D65C3">
        <w:rPr>
          <w:rFonts w:ascii="Arial" w:eastAsia="SimSun" w:hAnsi="Arial" w:cs="Arial"/>
          <w:bCs/>
          <w:sz w:val="22"/>
          <w:szCs w:val="22"/>
          <w:lang w:val="fr-FR" w:eastAsia="en-US"/>
        </w:rPr>
        <w:t>Mme</w:t>
      </w:r>
      <w:r>
        <w:rPr>
          <w:rFonts w:ascii="Arial" w:eastAsia="SimSun" w:hAnsi="Arial" w:cs="Arial"/>
          <w:bCs/>
          <w:sz w:val="22"/>
          <w:szCs w:val="22"/>
          <w:lang w:val="fr-FR" w:eastAsia="en-US"/>
        </w:rPr>
        <w:t> </w:t>
      </w:r>
      <w:r w:rsidRPr="00FA6560">
        <w:rPr>
          <w:rFonts w:ascii="Arial" w:eastAsia="SimSun" w:hAnsi="Arial" w:cs="Arial"/>
          <w:bCs/>
          <w:sz w:val="22"/>
          <w:szCs w:val="22"/>
          <w:lang w:val="fr-FR" w:eastAsia="en-US"/>
        </w:rPr>
        <w:t>Ohinata a convenu de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importance du retour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expérience</w:t>
      </w:r>
      <w:r w:rsidRPr="00FA6560">
        <w:rPr>
          <w:rFonts w:ascii="Arial" w:eastAsia="SimSun" w:hAnsi="Arial" w:cs="Arial"/>
          <w:bCs/>
          <w:sz w:val="22"/>
          <w:szCs w:val="22"/>
          <w:lang w:val="fr-FR" w:eastAsia="en-US"/>
        </w:rPr>
        <w:t>, en particulier de la part de</w:t>
      </w:r>
      <w:r>
        <w:rPr>
          <w:rFonts w:ascii="Arial" w:eastAsia="SimSun" w:hAnsi="Arial" w:cs="Arial"/>
          <w:bCs/>
          <w:sz w:val="22"/>
          <w:szCs w:val="22"/>
          <w:lang w:val="fr-FR" w:eastAsia="en-US"/>
        </w:rPr>
        <w:t>s régions</w:t>
      </w:r>
      <w:r w:rsidRPr="00FA6560">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Europe </w:t>
      </w:r>
      <w:r w:rsidRPr="00FA6560">
        <w:rPr>
          <w:rFonts w:ascii="Arial" w:eastAsia="SimSun" w:hAnsi="Arial" w:cs="Arial"/>
          <w:bCs/>
          <w:sz w:val="22"/>
          <w:szCs w:val="22"/>
          <w:lang w:val="fr-FR" w:eastAsia="en-US"/>
        </w:rPr>
        <w:t xml:space="preserve">et Amérique latine et Caraïbes, car ces deux régions </w:t>
      </w:r>
      <w:r>
        <w:rPr>
          <w:rFonts w:ascii="Arial" w:eastAsia="SimSun" w:hAnsi="Arial" w:cs="Arial"/>
          <w:bCs/>
          <w:sz w:val="22"/>
          <w:szCs w:val="22"/>
          <w:lang w:val="fr-FR" w:eastAsia="en-US"/>
        </w:rPr>
        <w:t xml:space="preserve">avaient entrepris </w:t>
      </w:r>
      <w:r w:rsidRPr="00FA6560">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exercice pour la première fois.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agissant du</w:t>
      </w:r>
      <w:r w:rsidRPr="00FA6560">
        <w:rPr>
          <w:rFonts w:ascii="Arial" w:eastAsia="SimSun" w:hAnsi="Arial" w:cs="Arial"/>
          <w:bCs/>
          <w:sz w:val="22"/>
          <w:szCs w:val="22"/>
          <w:lang w:val="fr-FR" w:eastAsia="en-US"/>
        </w:rPr>
        <w:t xml:space="preserve"> formulaire, elle a expliqué qu</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il pouvait paraître strict, plutôt lourd et technique car il avait été strictement et étroitement aligné sur le </w:t>
      </w:r>
      <w:r>
        <w:rPr>
          <w:rFonts w:ascii="Arial" w:eastAsia="SimSun" w:hAnsi="Arial" w:cs="Arial"/>
          <w:bCs/>
          <w:sz w:val="22"/>
          <w:szCs w:val="22"/>
          <w:lang w:val="fr-FR" w:eastAsia="en-US"/>
        </w:rPr>
        <w:t>cadre global de résultats</w:t>
      </w:r>
      <w:r w:rsidRPr="00FA6560">
        <w:rPr>
          <w:rFonts w:ascii="Arial" w:eastAsia="SimSun" w:hAnsi="Arial" w:cs="Arial"/>
          <w:bCs/>
          <w:sz w:val="22"/>
          <w:szCs w:val="22"/>
          <w:lang w:val="fr-FR" w:eastAsia="en-US"/>
        </w:rPr>
        <w:t xml:space="preserve"> avec ses facteurs d</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évaluation et ses indicateurs. C</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était le point de départ et la raison pour laquelle le formulaire respectait fidèlement ce que le Secrétariat consid</w:t>
      </w:r>
      <w:r>
        <w:rPr>
          <w:rFonts w:ascii="Arial" w:eastAsia="SimSun" w:hAnsi="Arial" w:cs="Arial"/>
          <w:bCs/>
          <w:sz w:val="22"/>
          <w:szCs w:val="22"/>
          <w:lang w:val="fr-FR" w:eastAsia="en-US"/>
        </w:rPr>
        <w:t>érait</w:t>
      </w:r>
      <w:r w:rsidRPr="00FA6560">
        <w:rPr>
          <w:rFonts w:ascii="Arial" w:eastAsia="SimSun" w:hAnsi="Arial" w:cs="Arial"/>
          <w:bCs/>
          <w:sz w:val="22"/>
          <w:szCs w:val="22"/>
          <w:lang w:val="fr-FR" w:eastAsia="en-US"/>
        </w:rPr>
        <w:t xml:space="preserve"> comme un outil de suivi très innovant et tourné vers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avenir qui permet</w:t>
      </w:r>
      <w:r>
        <w:rPr>
          <w:rFonts w:ascii="Arial" w:eastAsia="SimSun" w:hAnsi="Arial" w:cs="Arial"/>
          <w:bCs/>
          <w:sz w:val="22"/>
          <w:szCs w:val="22"/>
          <w:lang w:val="fr-FR" w:eastAsia="en-US"/>
        </w:rPr>
        <w:t>tait</w:t>
      </w:r>
      <w:r w:rsidRPr="00FA6560">
        <w:rPr>
          <w:rFonts w:ascii="Arial" w:eastAsia="SimSun" w:hAnsi="Arial" w:cs="Arial"/>
          <w:bCs/>
          <w:sz w:val="22"/>
          <w:szCs w:val="22"/>
          <w:lang w:val="fr-FR" w:eastAsia="en-US"/>
        </w:rPr>
        <w:t xml:space="preserve"> au Secrétariat de mesurer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impact de la mise en œuvre de la Convention à différents niveaux. </w:t>
      </w:r>
      <w:r>
        <w:rPr>
          <w:rFonts w:ascii="Arial" w:eastAsia="SimSun" w:hAnsi="Arial" w:cs="Arial"/>
          <w:bCs/>
          <w:sz w:val="22"/>
          <w:szCs w:val="22"/>
          <w:lang w:val="fr-FR" w:eastAsia="en-US"/>
        </w:rPr>
        <w:t>D</w:t>
      </w:r>
      <w:r w:rsidRPr="00FA6560">
        <w:rPr>
          <w:rFonts w:ascii="Arial" w:eastAsia="SimSun" w:hAnsi="Arial" w:cs="Arial"/>
          <w:bCs/>
          <w:sz w:val="22"/>
          <w:szCs w:val="22"/>
          <w:lang w:val="fr-FR" w:eastAsia="en-US"/>
        </w:rPr>
        <w:t xml:space="preserve">eux régions </w:t>
      </w:r>
      <w:r>
        <w:rPr>
          <w:rFonts w:ascii="Arial" w:eastAsia="SimSun" w:hAnsi="Arial" w:cs="Arial"/>
          <w:bCs/>
          <w:sz w:val="22"/>
          <w:szCs w:val="22"/>
          <w:lang w:val="fr-FR" w:eastAsia="en-US"/>
        </w:rPr>
        <w:t xml:space="preserve">ayant désormais </w:t>
      </w:r>
      <w:r w:rsidRPr="00FA6560">
        <w:rPr>
          <w:rFonts w:ascii="Arial" w:eastAsia="SimSun" w:hAnsi="Arial" w:cs="Arial"/>
          <w:bCs/>
          <w:sz w:val="22"/>
          <w:szCs w:val="22"/>
          <w:lang w:val="fr-FR" w:eastAsia="en-US"/>
        </w:rPr>
        <w:t>entrepris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exercice de </w:t>
      </w:r>
      <w:r>
        <w:rPr>
          <w:rFonts w:ascii="Arial" w:eastAsia="SimSun" w:hAnsi="Arial" w:cs="Arial"/>
          <w:bCs/>
          <w:sz w:val="22"/>
          <w:szCs w:val="22"/>
          <w:lang w:val="fr-FR" w:eastAsia="en-US"/>
        </w:rPr>
        <w:t xml:space="preserve">soumission de </w:t>
      </w:r>
      <w:r w:rsidRPr="00FA6560">
        <w:rPr>
          <w:rFonts w:ascii="Arial" w:eastAsia="SimSun" w:hAnsi="Arial" w:cs="Arial"/>
          <w:bCs/>
          <w:sz w:val="22"/>
          <w:szCs w:val="22"/>
          <w:lang w:val="fr-FR" w:eastAsia="en-US"/>
        </w:rPr>
        <w:t>rapport</w:t>
      </w:r>
      <w:r>
        <w:rPr>
          <w:rFonts w:ascii="Arial" w:eastAsia="SimSun" w:hAnsi="Arial" w:cs="Arial"/>
          <w:bCs/>
          <w:sz w:val="22"/>
          <w:szCs w:val="22"/>
          <w:lang w:val="fr-FR" w:eastAsia="en-US"/>
        </w:rPr>
        <w:t>s</w:t>
      </w:r>
      <w:r w:rsidRPr="00FA6560">
        <w:rPr>
          <w:rFonts w:ascii="Arial" w:eastAsia="SimSun" w:hAnsi="Arial" w:cs="Arial"/>
          <w:bCs/>
          <w:sz w:val="22"/>
          <w:szCs w:val="22"/>
          <w:lang w:val="fr-FR" w:eastAsia="en-US"/>
        </w:rPr>
        <w:t xml:space="preserve"> périodique</w:t>
      </w:r>
      <w:r>
        <w:rPr>
          <w:rFonts w:ascii="Arial" w:eastAsia="SimSun" w:hAnsi="Arial" w:cs="Arial"/>
          <w:bCs/>
          <w:sz w:val="22"/>
          <w:szCs w:val="22"/>
          <w:lang w:val="fr-FR" w:eastAsia="en-US"/>
        </w:rPr>
        <w:t>s</w:t>
      </w:r>
      <w:r w:rsidRPr="00FA6560">
        <w:rPr>
          <w:rFonts w:ascii="Arial" w:eastAsia="SimSun" w:hAnsi="Arial" w:cs="Arial"/>
          <w:bCs/>
          <w:sz w:val="22"/>
          <w:szCs w:val="22"/>
          <w:lang w:val="fr-FR" w:eastAsia="en-US"/>
        </w:rPr>
        <w:t xml:space="preserve"> pour la première fois, le Secrétariat tirera</w:t>
      </w:r>
      <w:r>
        <w:rPr>
          <w:rFonts w:ascii="Arial" w:eastAsia="SimSun" w:hAnsi="Arial" w:cs="Arial"/>
          <w:bCs/>
          <w:sz w:val="22"/>
          <w:szCs w:val="22"/>
          <w:lang w:val="fr-FR" w:eastAsia="en-US"/>
        </w:rPr>
        <w:t>it</w:t>
      </w:r>
      <w:r w:rsidRPr="00FA6560">
        <w:rPr>
          <w:rFonts w:ascii="Arial" w:eastAsia="SimSun" w:hAnsi="Arial" w:cs="Arial"/>
          <w:bCs/>
          <w:sz w:val="22"/>
          <w:szCs w:val="22"/>
          <w:lang w:val="fr-FR" w:eastAsia="en-US"/>
        </w:rPr>
        <w:t xml:space="preserve"> les </w:t>
      </w:r>
      <w:r w:rsidRPr="00233CAD">
        <w:rPr>
          <w:rFonts w:ascii="Arial" w:eastAsia="SimSun" w:hAnsi="Arial" w:cs="Arial"/>
          <w:bCs/>
          <w:sz w:val="22"/>
          <w:szCs w:val="22"/>
          <w:lang w:val="fr-FR" w:eastAsia="en-US"/>
        </w:rPr>
        <w:t>enseignemen</w:t>
      </w:r>
      <w:r>
        <w:rPr>
          <w:rFonts w:ascii="Arial" w:eastAsia="SimSun" w:hAnsi="Arial" w:cs="Arial"/>
          <w:bCs/>
          <w:sz w:val="22"/>
          <w:szCs w:val="22"/>
          <w:lang w:val="fr-FR" w:eastAsia="en-US"/>
        </w:rPr>
        <w:t>ts</w:t>
      </w:r>
      <w:r w:rsidRPr="00FA6560">
        <w:rPr>
          <w:rFonts w:ascii="Arial" w:eastAsia="SimSun" w:hAnsi="Arial" w:cs="Arial"/>
          <w:bCs/>
          <w:sz w:val="22"/>
          <w:szCs w:val="22"/>
          <w:lang w:val="fr-FR" w:eastAsia="en-US"/>
        </w:rPr>
        <w:t xml:space="preserve"> de cette expérience pour essayer de rendre le formulaire</w:t>
      </w:r>
      <w:r>
        <w:rPr>
          <w:rFonts w:ascii="Arial" w:eastAsia="SimSun" w:hAnsi="Arial" w:cs="Arial"/>
          <w:bCs/>
          <w:sz w:val="22"/>
          <w:szCs w:val="22"/>
          <w:lang w:val="fr-FR" w:eastAsia="en-US"/>
        </w:rPr>
        <w:t xml:space="preserve"> facile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utilisation</w:t>
      </w:r>
      <w:r w:rsidRPr="00FA6560">
        <w:rPr>
          <w:rFonts w:ascii="Arial" w:eastAsia="SimSun" w:hAnsi="Arial" w:cs="Arial"/>
          <w:bCs/>
          <w:sz w:val="22"/>
          <w:szCs w:val="22"/>
          <w:lang w:val="fr-FR" w:eastAsia="en-US"/>
        </w:rPr>
        <w:t>, en diffusant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analyse aux différentes régions et en améliorant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approche </w:t>
      </w:r>
      <w:r>
        <w:rPr>
          <w:rFonts w:ascii="Arial" w:eastAsia="SimSun" w:hAnsi="Arial" w:cs="Arial"/>
          <w:bCs/>
          <w:sz w:val="22"/>
          <w:szCs w:val="22"/>
          <w:lang w:val="fr-FR" w:eastAsia="en-US"/>
        </w:rPr>
        <w:t xml:space="preserve">de </w:t>
      </w:r>
      <w:r w:rsidRPr="00464F39">
        <w:rPr>
          <w:rFonts w:ascii="Arial" w:eastAsia="SimSun" w:hAnsi="Arial" w:cs="Arial"/>
          <w:bCs/>
          <w:sz w:val="22"/>
          <w:szCs w:val="22"/>
          <w:lang w:val="fr-FR" w:eastAsia="en-US"/>
        </w:rPr>
        <w:t>renforcement</w:t>
      </w:r>
      <w:r>
        <w:rPr>
          <w:rFonts w:ascii="Arial" w:eastAsia="SimSun" w:hAnsi="Arial" w:cs="Arial"/>
          <w:bCs/>
          <w:sz w:val="22"/>
          <w:szCs w:val="22"/>
          <w:lang w:val="fr-FR" w:eastAsia="en-US"/>
        </w:rPr>
        <w:t xml:space="preserve"> </w:t>
      </w:r>
      <w:r w:rsidRPr="00FA6560">
        <w:rPr>
          <w:rFonts w:ascii="Arial" w:eastAsia="SimSun" w:hAnsi="Arial" w:cs="Arial"/>
          <w:bCs/>
          <w:sz w:val="22"/>
          <w:szCs w:val="22"/>
          <w:lang w:val="fr-FR" w:eastAsia="en-US"/>
        </w:rPr>
        <w:t>des capacités. En ce qui concerne les points focaux</w:t>
      </w:r>
      <w:r>
        <w:rPr>
          <w:rFonts w:ascii="Arial" w:eastAsia="SimSun" w:hAnsi="Arial" w:cs="Arial"/>
          <w:bCs/>
          <w:sz w:val="22"/>
          <w:szCs w:val="22"/>
          <w:lang w:val="fr-FR" w:eastAsia="en-US"/>
        </w:rPr>
        <w:t xml:space="preserve">, </w:t>
      </w:r>
      <w:r w:rsidR="008D65C3">
        <w:rPr>
          <w:rFonts w:ascii="Arial" w:eastAsia="SimSun" w:hAnsi="Arial" w:cs="Arial"/>
          <w:bCs/>
          <w:sz w:val="22"/>
          <w:szCs w:val="22"/>
          <w:lang w:val="fr-FR" w:eastAsia="en-US"/>
        </w:rPr>
        <w:t>Mme</w:t>
      </w:r>
      <w:r>
        <w:rPr>
          <w:rFonts w:ascii="Arial" w:eastAsia="SimSun" w:hAnsi="Arial" w:cs="Arial"/>
          <w:bCs/>
          <w:sz w:val="22"/>
          <w:szCs w:val="22"/>
          <w:lang w:val="fr-FR" w:eastAsia="en-US"/>
        </w:rPr>
        <w:t> </w:t>
      </w:r>
      <w:r w:rsidRPr="00FA6560">
        <w:rPr>
          <w:rFonts w:ascii="Arial" w:eastAsia="SimSun" w:hAnsi="Arial" w:cs="Arial"/>
          <w:bCs/>
          <w:sz w:val="22"/>
          <w:szCs w:val="22"/>
          <w:lang w:val="fr-FR" w:eastAsia="en-US"/>
        </w:rPr>
        <w:t xml:space="preserve">Ohinata a expliqué que le terme était utilisé au sens strict pour les rapports périodiques et pour faire la distinction avec la terminologie générale, telle que les </w:t>
      </w:r>
      <w:r>
        <w:rPr>
          <w:rFonts w:ascii="Arial" w:eastAsia="SimSun" w:hAnsi="Arial" w:cs="Arial"/>
          <w:bCs/>
          <w:sz w:val="22"/>
          <w:szCs w:val="22"/>
          <w:lang w:val="fr-FR" w:eastAsia="en-US"/>
        </w:rPr>
        <w:t>« </w:t>
      </w:r>
      <w:r w:rsidRPr="00FA6560">
        <w:rPr>
          <w:rFonts w:ascii="Arial" w:eastAsia="SimSun" w:hAnsi="Arial" w:cs="Arial"/>
          <w:bCs/>
          <w:sz w:val="22"/>
          <w:szCs w:val="22"/>
          <w:lang w:val="fr-FR" w:eastAsia="en-US"/>
        </w:rPr>
        <w:t>points de contact nationaux</w:t>
      </w:r>
      <w:r>
        <w:rPr>
          <w:rFonts w:ascii="Arial" w:eastAsia="SimSun" w:hAnsi="Arial" w:cs="Arial"/>
          <w:bCs/>
          <w:sz w:val="22"/>
          <w:szCs w:val="22"/>
          <w:lang w:val="fr-FR" w:eastAsia="en-US"/>
        </w:rPr>
        <w:t> »</w:t>
      </w:r>
      <w:r w:rsidRPr="00FA6560">
        <w:rPr>
          <w:rFonts w:ascii="Arial" w:eastAsia="SimSun" w:hAnsi="Arial" w:cs="Arial"/>
          <w:bCs/>
          <w:sz w:val="22"/>
          <w:szCs w:val="22"/>
          <w:lang w:val="fr-FR" w:eastAsia="en-US"/>
        </w:rPr>
        <w:t xml:space="preserve">, utilisée dans les textes fondamentaux des </w:t>
      </w:r>
      <w:r>
        <w:rPr>
          <w:rFonts w:ascii="Arial" w:eastAsia="SimSun" w:hAnsi="Arial" w:cs="Arial"/>
          <w:bCs/>
          <w:sz w:val="22"/>
          <w:szCs w:val="22"/>
          <w:lang w:val="fr-FR" w:eastAsia="en-US"/>
        </w:rPr>
        <w:t xml:space="preserve">conventions </w:t>
      </w:r>
      <w:r w:rsidRPr="00FA6560">
        <w:rPr>
          <w:rFonts w:ascii="Arial" w:eastAsia="SimSun" w:hAnsi="Arial" w:cs="Arial"/>
          <w:bCs/>
          <w:sz w:val="22"/>
          <w:szCs w:val="22"/>
          <w:lang w:val="fr-FR" w:eastAsia="en-US"/>
        </w:rPr>
        <w:t>sœurs comme la Convention de 2005. En effet, il a</w:t>
      </w:r>
      <w:r>
        <w:rPr>
          <w:rFonts w:ascii="Arial" w:eastAsia="SimSun" w:hAnsi="Arial" w:cs="Arial"/>
          <w:bCs/>
          <w:sz w:val="22"/>
          <w:szCs w:val="22"/>
          <w:lang w:val="fr-FR" w:eastAsia="en-US"/>
        </w:rPr>
        <w:t>vait</w:t>
      </w:r>
      <w:r w:rsidRPr="00FA6560">
        <w:rPr>
          <w:rFonts w:ascii="Arial" w:eastAsia="SimSun" w:hAnsi="Arial" w:cs="Arial"/>
          <w:bCs/>
          <w:sz w:val="22"/>
          <w:szCs w:val="22"/>
          <w:lang w:val="fr-FR" w:eastAsia="en-US"/>
        </w:rPr>
        <w:t xml:space="preserve"> été très utile pour le Secrétariat de pouvoir travailler avec les points</w:t>
      </w:r>
      <w:r>
        <w:rPr>
          <w:rFonts w:ascii="Arial" w:eastAsia="SimSun" w:hAnsi="Arial" w:cs="Arial"/>
          <w:bCs/>
          <w:sz w:val="22"/>
          <w:szCs w:val="22"/>
          <w:lang w:val="fr-FR" w:eastAsia="en-US"/>
        </w:rPr>
        <w:t xml:space="preserve"> focaux</w:t>
      </w:r>
      <w:r w:rsidRPr="00FA6560">
        <w:rPr>
          <w:rFonts w:ascii="Arial" w:eastAsia="SimSun" w:hAnsi="Arial" w:cs="Arial"/>
          <w:bCs/>
          <w:sz w:val="22"/>
          <w:szCs w:val="22"/>
          <w:lang w:val="fr-FR" w:eastAsia="en-US"/>
        </w:rPr>
        <w:t xml:space="preserve"> nationaux. Pour cette raison, </w:t>
      </w:r>
      <w:r>
        <w:rPr>
          <w:rFonts w:ascii="Arial" w:eastAsia="SimSun" w:hAnsi="Arial" w:cs="Arial"/>
          <w:bCs/>
          <w:sz w:val="22"/>
          <w:szCs w:val="22"/>
          <w:lang w:val="fr-FR" w:eastAsia="en-US"/>
        </w:rPr>
        <w:t>celui-ci appréciait</w:t>
      </w:r>
      <w:r w:rsidRPr="00FA6560">
        <w:rPr>
          <w:rFonts w:ascii="Arial" w:eastAsia="SimSun" w:hAnsi="Arial" w:cs="Arial"/>
          <w:bCs/>
          <w:sz w:val="22"/>
          <w:szCs w:val="22"/>
          <w:lang w:val="fr-FR" w:eastAsia="en-US"/>
        </w:rPr>
        <w:t xml:space="preserve"> beaucoup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initiative de certains pays européens, comme la Finlande et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Italie, qui </w:t>
      </w:r>
      <w:r>
        <w:rPr>
          <w:rFonts w:ascii="Arial" w:eastAsia="SimSun" w:hAnsi="Arial" w:cs="Arial"/>
          <w:bCs/>
          <w:sz w:val="22"/>
          <w:szCs w:val="22"/>
          <w:lang w:val="fr-FR" w:eastAsia="en-US"/>
        </w:rPr>
        <w:t>avaient</w:t>
      </w:r>
      <w:r w:rsidRPr="00FA6560">
        <w:rPr>
          <w:rFonts w:ascii="Arial" w:eastAsia="SimSun" w:hAnsi="Arial" w:cs="Arial"/>
          <w:bCs/>
          <w:sz w:val="22"/>
          <w:szCs w:val="22"/>
          <w:lang w:val="fr-FR" w:eastAsia="en-US"/>
        </w:rPr>
        <w:t xml:space="preserve"> créé et soutenu le réseau des points focaux nationaux sur les rapports périodiques. </w:t>
      </w:r>
      <w:r w:rsidR="008D65C3">
        <w:rPr>
          <w:rFonts w:ascii="Arial" w:eastAsia="SimSun" w:hAnsi="Arial" w:cs="Arial"/>
          <w:bCs/>
          <w:sz w:val="22"/>
          <w:szCs w:val="22"/>
          <w:lang w:val="fr-FR" w:eastAsia="en-US"/>
        </w:rPr>
        <w:t>Mme</w:t>
      </w:r>
      <w:r>
        <w:rPr>
          <w:rFonts w:ascii="Arial" w:eastAsia="SimSun" w:hAnsi="Arial" w:cs="Arial"/>
          <w:bCs/>
          <w:sz w:val="22"/>
          <w:szCs w:val="22"/>
          <w:lang w:val="fr-FR" w:eastAsia="en-US"/>
        </w:rPr>
        <w:t> </w:t>
      </w:r>
      <w:r w:rsidRPr="00FA6560">
        <w:rPr>
          <w:rFonts w:ascii="Arial" w:eastAsia="SimSun" w:hAnsi="Arial" w:cs="Arial"/>
          <w:bCs/>
          <w:sz w:val="22"/>
          <w:szCs w:val="22"/>
          <w:lang w:val="fr-FR" w:eastAsia="en-US"/>
        </w:rPr>
        <w:t>Ohinata a</w:t>
      </w:r>
      <w:r>
        <w:rPr>
          <w:rFonts w:ascii="Arial" w:eastAsia="SimSun" w:hAnsi="Arial" w:cs="Arial"/>
          <w:bCs/>
          <w:sz w:val="22"/>
          <w:szCs w:val="22"/>
          <w:lang w:val="fr-FR" w:eastAsia="en-US"/>
        </w:rPr>
        <w:t>vait</w:t>
      </w:r>
      <w:r w:rsidRPr="00FA6560">
        <w:rPr>
          <w:rFonts w:ascii="Arial" w:eastAsia="SimSun" w:hAnsi="Arial" w:cs="Arial"/>
          <w:bCs/>
          <w:sz w:val="22"/>
          <w:szCs w:val="22"/>
          <w:lang w:val="fr-FR" w:eastAsia="en-US"/>
        </w:rPr>
        <w:t xml:space="preserve"> également pris note de certaines préoccupations concernant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assistance internationale. </w:t>
      </w:r>
      <w:r>
        <w:rPr>
          <w:rFonts w:ascii="Arial" w:eastAsia="SimSun" w:hAnsi="Arial" w:cs="Arial"/>
          <w:bCs/>
          <w:sz w:val="22"/>
          <w:szCs w:val="22"/>
          <w:lang w:val="fr-FR" w:eastAsia="en-US"/>
        </w:rPr>
        <w:t>À ce sujet, e</w:t>
      </w:r>
      <w:r w:rsidRPr="00FA6560">
        <w:rPr>
          <w:rFonts w:ascii="Arial" w:eastAsia="SimSun" w:hAnsi="Arial" w:cs="Arial"/>
          <w:bCs/>
          <w:sz w:val="22"/>
          <w:szCs w:val="22"/>
          <w:lang w:val="fr-FR" w:eastAsia="en-US"/>
        </w:rPr>
        <w:t>lle a fait référence</w:t>
      </w:r>
      <w:r>
        <w:rPr>
          <w:rFonts w:ascii="Arial" w:eastAsia="SimSun" w:hAnsi="Arial" w:cs="Arial"/>
          <w:bCs/>
          <w:sz w:val="22"/>
          <w:szCs w:val="22"/>
          <w:lang w:val="fr-FR" w:eastAsia="en-US"/>
        </w:rPr>
        <w:t>, par exemple,</w:t>
      </w:r>
      <w:r w:rsidRPr="00FA6560">
        <w:rPr>
          <w:rFonts w:ascii="Arial" w:eastAsia="SimSun" w:hAnsi="Arial" w:cs="Arial"/>
          <w:bCs/>
          <w:sz w:val="22"/>
          <w:szCs w:val="22"/>
          <w:lang w:val="fr-FR" w:eastAsia="en-US"/>
        </w:rPr>
        <w:t xml:space="preserve"> aux </w:t>
      </w:r>
      <w:r>
        <w:rPr>
          <w:rFonts w:ascii="Arial" w:eastAsia="SimSun" w:hAnsi="Arial" w:cs="Arial"/>
          <w:bCs/>
          <w:sz w:val="22"/>
          <w:szCs w:val="22"/>
          <w:lang w:val="fr-FR" w:eastAsia="en-US"/>
        </w:rPr>
        <w:t xml:space="preserve">manifestations </w:t>
      </w:r>
      <w:r w:rsidRPr="00FA6560">
        <w:rPr>
          <w:rFonts w:ascii="Arial" w:eastAsia="SimSun" w:hAnsi="Arial" w:cs="Arial"/>
          <w:bCs/>
          <w:sz w:val="22"/>
          <w:szCs w:val="22"/>
          <w:lang w:val="fr-FR" w:eastAsia="en-US"/>
        </w:rPr>
        <w:t>parallèles et aux sessions d</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information </w:t>
      </w:r>
      <w:r>
        <w:rPr>
          <w:rFonts w:ascii="Arial" w:eastAsia="SimSun" w:hAnsi="Arial" w:cs="Arial"/>
          <w:bCs/>
          <w:sz w:val="22"/>
          <w:szCs w:val="22"/>
          <w:lang w:val="fr-FR" w:eastAsia="en-US"/>
        </w:rPr>
        <w:t>consacrées au guide sur le mécanisme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assistance internationale</w:t>
      </w:r>
      <w:r w:rsidRPr="00FA6560">
        <w:rPr>
          <w:rFonts w:ascii="Arial" w:eastAsia="SimSun" w:hAnsi="Arial" w:cs="Arial"/>
          <w:bCs/>
          <w:sz w:val="22"/>
          <w:szCs w:val="22"/>
          <w:lang w:val="fr-FR" w:eastAsia="en-US"/>
        </w:rPr>
        <w:t>. Le Secrétariat a</w:t>
      </w:r>
      <w:r>
        <w:rPr>
          <w:rFonts w:ascii="Arial" w:eastAsia="SimSun" w:hAnsi="Arial" w:cs="Arial"/>
          <w:bCs/>
          <w:sz w:val="22"/>
          <w:szCs w:val="22"/>
          <w:lang w:val="fr-FR" w:eastAsia="en-US"/>
        </w:rPr>
        <w:t>vait</w:t>
      </w:r>
      <w:r w:rsidRPr="00FA6560">
        <w:rPr>
          <w:rFonts w:ascii="Arial" w:eastAsia="SimSun" w:hAnsi="Arial" w:cs="Arial"/>
          <w:bCs/>
          <w:sz w:val="22"/>
          <w:szCs w:val="22"/>
          <w:lang w:val="fr-FR" w:eastAsia="en-US"/>
        </w:rPr>
        <w:t xml:space="preserve"> également organisé une réunion d</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information dans toutes les régions et s</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adressera</w:t>
      </w:r>
      <w:r>
        <w:rPr>
          <w:rFonts w:ascii="Arial" w:eastAsia="SimSun" w:hAnsi="Arial" w:cs="Arial"/>
          <w:bCs/>
          <w:sz w:val="22"/>
          <w:szCs w:val="22"/>
          <w:lang w:val="fr-FR" w:eastAsia="en-US"/>
        </w:rPr>
        <w:t>it</w:t>
      </w:r>
      <w:r w:rsidRPr="00FA6560">
        <w:rPr>
          <w:rFonts w:ascii="Arial" w:eastAsia="SimSun" w:hAnsi="Arial" w:cs="Arial"/>
          <w:bCs/>
          <w:sz w:val="22"/>
          <w:szCs w:val="22"/>
          <w:lang w:val="fr-FR" w:eastAsia="en-US"/>
        </w:rPr>
        <w:t xml:space="preserve"> aux commissions nationales pour une diffusion plus large. Le Secrétariat encourag</w:t>
      </w:r>
      <w:r>
        <w:rPr>
          <w:rFonts w:ascii="Arial" w:eastAsia="SimSun" w:hAnsi="Arial" w:cs="Arial"/>
          <w:bCs/>
          <w:sz w:val="22"/>
          <w:szCs w:val="22"/>
          <w:lang w:val="fr-FR" w:eastAsia="en-US"/>
        </w:rPr>
        <w:t>eait</w:t>
      </w:r>
      <w:r w:rsidRPr="00FA6560">
        <w:rPr>
          <w:rFonts w:ascii="Arial" w:eastAsia="SimSun" w:hAnsi="Arial" w:cs="Arial"/>
          <w:bCs/>
          <w:sz w:val="22"/>
          <w:szCs w:val="22"/>
          <w:lang w:val="fr-FR" w:eastAsia="en-US"/>
        </w:rPr>
        <w:t xml:space="preserve"> tous les États parties à faire usage de ce mécanisme disponible dans le cadre de la Convention.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agissant de</w:t>
      </w:r>
      <w:r w:rsidRPr="00FA6560">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la </w:t>
      </w:r>
      <w:r w:rsidRPr="00FA6560">
        <w:rPr>
          <w:rFonts w:ascii="Arial" w:eastAsia="SimSun" w:hAnsi="Arial" w:cs="Arial"/>
          <w:bCs/>
          <w:sz w:val="22"/>
          <w:szCs w:val="22"/>
          <w:lang w:val="fr-FR" w:eastAsia="en-US"/>
        </w:rPr>
        <w:t xml:space="preserve">question de la Palestine </w:t>
      </w:r>
      <w:r>
        <w:rPr>
          <w:rFonts w:ascii="Arial" w:eastAsia="SimSun" w:hAnsi="Arial" w:cs="Arial"/>
          <w:bCs/>
          <w:sz w:val="22"/>
          <w:szCs w:val="22"/>
          <w:lang w:val="fr-FR" w:eastAsia="en-US"/>
        </w:rPr>
        <w:t xml:space="preserve">sur </w:t>
      </w:r>
      <w:r w:rsidRPr="00FA6560">
        <w:rPr>
          <w:rFonts w:ascii="Arial" w:eastAsia="SimSun" w:hAnsi="Arial" w:cs="Arial"/>
          <w:bCs/>
          <w:sz w:val="22"/>
          <w:szCs w:val="22"/>
          <w:lang w:val="fr-FR" w:eastAsia="en-US"/>
        </w:rPr>
        <w:t>le critère R.2 en particulier, le Secrétariat espér</w:t>
      </w:r>
      <w:r>
        <w:rPr>
          <w:rFonts w:ascii="Arial" w:eastAsia="SimSun" w:hAnsi="Arial" w:cs="Arial"/>
          <w:bCs/>
          <w:sz w:val="22"/>
          <w:szCs w:val="22"/>
          <w:lang w:val="fr-FR" w:eastAsia="en-US"/>
        </w:rPr>
        <w:t>ait</w:t>
      </w:r>
      <w:r w:rsidRPr="00FA6560">
        <w:rPr>
          <w:rFonts w:ascii="Arial" w:eastAsia="SimSun" w:hAnsi="Arial" w:cs="Arial"/>
          <w:bCs/>
          <w:sz w:val="22"/>
          <w:szCs w:val="22"/>
          <w:lang w:val="fr-FR" w:eastAsia="en-US"/>
        </w:rPr>
        <w:t xml:space="preserve"> que la réflexion globale sur les mécanismes d</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inscription</w:t>
      </w:r>
      <w:r>
        <w:rPr>
          <w:rFonts w:ascii="Arial" w:eastAsia="SimSun" w:hAnsi="Arial" w:cs="Arial"/>
          <w:bCs/>
          <w:sz w:val="22"/>
          <w:szCs w:val="22"/>
          <w:lang w:val="fr-FR" w:eastAsia="en-US"/>
        </w:rPr>
        <w:t xml:space="preserve"> </w:t>
      </w:r>
      <w:r w:rsidRPr="00FA6560">
        <w:rPr>
          <w:rFonts w:ascii="Arial" w:eastAsia="SimSun" w:hAnsi="Arial" w:cs="Arial"/>
          <w:bCs/>
          <w:sz w:val="22"/>
          <w:szCs w:val="22"/>
          <w:lang w:val="fr-FR" w:eastAsia="en-US"/>
        </w:rPr>
        <w:t>se conclura</w:t>
      </w:r>
      <w:r>
        <w:rPr>
          <w:rFonts w:ascii="Arial" w:eastAsia="SimSun" w:hAnsi="Arial" w:cs="Arial"/>
          <w:bCs/>
          <w:sz w:val="22"/>
          <w:szCs w:val="22"/>
          <w:lang w:val="fr-FR" w:eastAsia="en-US"/>
        </w:rPr>
        <w:t>it</w:t>
      </w:r>
      <w:r w:rsidRPr="00FA6560">
        <w:rPr>
          <w:rFonts w:ascii="Arial" w:eastAsia="SimSun" w:hAnsi="Arial" w:cs="Arial"/>
          <w:bCs/>
          <w:sz w:val="22"/>
          <w:szCs w:val="22"/>
          <w:lang w:val="fr-FR" w:eastAsia="en-US"/>
        </w:rPr>
        <w:t xml:space="preserve"> au point 9</w:t>
      </w:r>
      <w:r>
        <w:rPr>
          <w:rFonts w:ascii="Arial" w:eastAsia="SimSun" w:hAnsi="Arial" w:cs="Arial"/>
          <w:bCs/>
          <w:sz w:val="22"/>
          <w:szCs w:val="22"/>
          <w:lang w:val="fr-FR" w:eastAsia="en-US"/>
        </w:rPr>
        <w:t xml:space="preserve"> de l</w:t>
      </w:r>
      <w:r w:rsidR="008E532B">
        <w:rPr>
          <w:rFonts w:ascii="Arial" w:eastAsia="SimSun" w:hAnsi="Arial" w:cs="Arial"/>
          <w:bCs/>
          <w:sz w:val="22"/>
          <w:szCs w:val="22"/>
          <w:lang w:val="fr-FR" w:eastAsia="en-US"/>
        </w:rPr>
        <w:t>’</w:t>
      </w:r>
      <w:r w:rsidRPr="00233CAD">
        <w:rPr>
          <w:rFonts w:ascii="Arial" w:eastAsia="SimSun" w:hAnsi="Arial" w:cs="Arial"/>
          <w:bCs/>
          <w:sz w:val="22"/>
          <w:szCs w:val="22"/>
          <w:lang w:val="fr-FR" w:eastAsia="en-US"/>
        </w:rPr>
        <w:t>ordre du jour</w:t>
      </w:r>
      <w:r w:rsidRPr="00FA6560">
        <w:rPr>
          <w:rFonts w:ascii="Arial" w:eastAsia="SimSun" w:hAnsi="Arial" w:cs="Arial"/>
          <w:bCs/>
          <w:sz w:val="22"/>
          <w:szCs w:val="22"/>
          <w:lang w:val="fr-FR" w:eastAsia="en-US"/>
        </w:rPr>
        <w:t xml:space="preserve">, rappelant que le Comité avait souhaité maintenir tous les critères pour la Liste de sauvegarde urgente et la Liste représentative. </w:t>
      </w:r>
      <w:r>
        <w:rPr>
          <w:rFonts w:ascii="Arial" w:eastAsia="SimSun" w:hAnsi="Arial" w:cs="Arial"/>
          <w:bCs/>
          <w:sz w:val="22"/>
          <w:szCs w:val="22"/>
          <w:lang w:val="fr-FR" w:eastAsia="en-US"/>
        </w:rPr>
        <w:t>À</w:t>
      </w:r>
      <w:r w:rsidRPr="00FA6560">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exception d</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un critère pour le Registre des bonnes pratiques, la plupart des critères </w:t>
      </w:r>
      <w:r>
        <w:rPr>
          <w:rFonts w:ascii="Arial" w:eastAsia="SimSun" w:hAnsi="Arial" w:cs="Arial"/>
          <w:bCs/>
          <w:sz w:val="22"/>
          <w:szCs w:val="22"/>
          <w:lang w:val="fr-FR" w:eastAsia="en-US"/>
        </w:rPr>
        <w:t>étaient</w:t>
      </w:r>
      <w:r w:rsidRPr="00FA6560">
        <w:rPr>
          <w:rFonts w:ascii="Arial" w:eastAsia="SimSun" w:hAnsi="Arial" w:cs="Arial"/>
          <w:bCs/>
          <w:sz w:val="22"/>
          <w:szCs w:val="22"/>
          <w:lang w:val="fr-FR" w:eastAsia="en-US"/>
        </w:rPr>
        <w:t xml:space="preserve"> maintenus</w:t>
      </w:r>
      <w:r>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 mais avec une demande de simplification du critère 2 </w:t>
      </w:r>
      <w:r>
        <w:rPr>
          <w:rFonts w:ascii="Arial" w:eastAsia="SimSun" w:hAnsi="Arial" w:cs="Arial"/>
          <w:bCs/>
          <w:sz w:val="22"/>
          <w:szCs w:val="22"/>
          <w:lang w:val="fr-FR" w:eastAsia="en-US"/>
        </w:rPr>
        <w:t>afin de</w:t>
      </w:r>
      <w:r w:rsidRPr="00FA6560">
        <w:rPr>
          <w:rFonts w:ascii="Arial" w:eastAsia="SimSun" w:hAnsi="Arial" w:cs="Arial"/>
          <w:bCs/>
          <w:sz w:val="22"/>
          <w:szCs w:val="22"/>
          <w:lang w:val="fr-FR" w:eastAsia="en-US"/>
        </w:rPr>
        <w:t xml:space="preserve"> le rendre plus compréhensible, notamment pour les communautés. Le Secrétariat </w:t>
      </w:r>
      <w:r>
        <w:rPr>
          <w:rFonts w:ascii="Arial" w:eastAsia="SimSun" w:hAnsi="Arial" w:cs="Arial"/>
          <w:bCs/>
          <w:sz w:val="22"/>
          <w:szCs w:val="22"/>
          <w:lang w:val="fr-FR" w:eastAsia="en-US"/>
        </w:rPr>
        <w:t>se lancerait dans cette tâche</w:t>
      </w:r>
      <w:r w:rsidRPr="00FA6560">
        <w:rPr>
          <w:rFonts w:ascii="Arial" w:eastAsia="SimSun" w:hAnsi="Arial" w:cs="Arial"/>
          <w:bCs/>
          <w:sz w:val="22"/>
          <w:szCs w:val="22"/>
          <w:lang w:val="fr-FR" w:eastAsia="en-US"/>
        </w:rPr>
        <w:t xml:space="preserve"> après la décision de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Assemblée générale afin que le nouveau formulaire soit simplifié et beaucoup plus facile à utiliser, après quoi il sera</w:t>
      </w:r>
      <w:r>
        <w:rPr>
          <w:rFonts w:ascii="Arial" w:eastAsia="SimSun" w:hAnsi="Arial" w:cs="Arial"/>
          <w:bCs/>
          <w:sz w:val="22"/>
          <w:szCs w:val="22"/>
          <w:lang w:val="fr-FR" w:eastAsia="en-US"/>
        </w:rPr>
        <w:t>it</w:t>
      </w:r>
      <w:r w:rsidRPr="00FA6560">
        <w:rPr>
          <w:rFonts w:ascii="Arial" w:eastAsia="SimSun" w:hAnsi="Arial" w:cs="Arial"/>
          <w:bCs/>
          <w:sz w:val="22"/>
          <w:szCs w:val="22"/>
          <w:lang w:val="fr-FR" w:eastAsia="en-US"/>
        </w:rPr>
        <w:t xml:space="preserve"> disponible fin 2022 ou début 2023 pour le cycle 2024. Concernant la question de l</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Azerbaïdjan sur la possibilité d</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entreprendre des formations sur les initiatives thématiques, </w:t>
      </w:r>
      <w:r w:rsidR="008D65C3">
        <w:rPr>
          <w:rFonts w:ascii="Arial" w:eastAsia="SimSun" w:hAnsi="Arial" w:cs="Arial"/>
          <w:bCs/>
          <w:sz w:val="22"/>
          <w:szCs w:val="22"/>
          <w:lang w:val="fr-FR" w:eastAsia="en-US"/>
        </w:rPr>
        <w:t>Mme</w:t>
      </w:r>
      <w:r>
        <w:rPr>
          <w:rFonts w:ascii="Arial" w:eastAsia="SimSun" w:hAnsi="Arial" w:cs="Arial"/>
          <w:bCs/>
          <w:sz w:val="22"/>
          <w:szCs w:val="22"/>
          <w:lang w:val="fr-FR" w:eastAsia="en-US"/>
        </w:rPr>
        <w:t> </w:t>
      </w:r>
      <w:r w:rsidRPr="00FA6560">
        <w:rPr>
          <w:rFonts w:ascii="Arial" w:eastAsia="SimSun" w:hAnsi="Arial" w:cs="Arial"/>
          <w:bCs/>
          <w:sz w:val="22"/>
          <w:szCs w:val="22"/>
          <w:lang w:val="fr-FR" w:eastAsia="en-US"/>
        </w:rPr>
        <w:t>Ohinata a convenu que c</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était quelque chose que le Secrétariat aimerait beaucoup faire, en fonction des possibilités de financement. </w:t>
      </w:r>
      <w:r>
        <w:rPr>
          <w:rFonts w:ascii="Arial" w:eastAsia="SimSun" w:hAnsi="Arial" w:cs="Arial"/>
          <w:bCs/>
          <w:sz w:val="22"/>
          <w:szCs w:val="22"/>
          <w:lang w:val="fr-FR" w:eastAsia="en-US"/>
        </w:rPr>
        <w:t xml:space="preserve">Toutefois, </w:t>
      </w:r>
      <w:r w:rsidRPr="00FA6560">
        <w:rPr>
          <w:rFonts w:ascii="Arial" w:eastAsia="SimSun" w:hAnsi="Arial" w:cs="Arial"/>
          <w:bCs/>
          <w:sz w:val="22"/>
          <w:szCs w:val="22"/>
          <w:lang w:val="fr-FR" w:eastAsia="en-US"/>
        </w:rPr>
        <w:t>son objectif premier était d</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 xml:space="preserve">adopter une bonne approche car ces thèmes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FA6560">
        <w:rPr>
          <w:rFonts w:ascii="Arial" w:eastAsia="SimSun" w:hAnsi="Arial" w:cs="Arial"/>
          <w:bCs/>
          <w:sz w:val="22"/>
          <w:szCs w:val="22"/>
          <w:lang w:val="fr-FR" w:eastAsia="en-US"/>
        </w:rPr>
        <w:t xml:space="preserve">et le changement climatique,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FA6560">
        <w:rPr>
          <w:rFonts w:ascii="Arial" w:eastAsia="SimSun" w:hAnsi="Arial" w:cs="Arial"/>
          <w:bCs/>
          <w:sz w:val="22"/>
          <w:szCs w:val="22"/>
          <w:lang w:val="fr-FR" w:eastAsia="en-US"/>
        </w:rPr>
        <w:t xml:space="preserve">et la commercialisation, et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FA6560">
        <w:rPr>
          <w:rFonts w:ascii="Arial" w:eastAsia="SimSun" w:hAnsi="Arial" w:cs="Arial"/>
          <w:bCs/>
          <w:sz w:val="22"/>
          <w:szCs w:val="22"/>
          <w:lang w:val="fr-FR" w:eastAsia="en-US"/>
        </w:rPr>
        <w:t>dans les contextes urbains) étaient de nouveaux domaines de travail. Comme ce</w:t>
      </w:r>
      <w:r>
        <w:rPr>
          <w:rFonts w:ascii="Arial" w:eastAsia="SimSun" w:hAnsi="Arial" w:cs="Arial"/>
          <w:bCs/>
          <w:sz w:val="22"/>
          <w:szCs w:val="22"/>
          <w:lang w:val="fr-FR" w:eastAsia="en-US"/>
        </w:rPr>
        <w:t>la avait été</w:t>
      </w:r>
      <w:r w:rsidRPr="00FA6560">
        <w:rPr>
          <w:rFonts w:ascii="Arial" w:eastAsia="SimSun" w:hAnsi="Arial" w:cs="Arial"/>
          <w:bCs/>
          <w:sz w:val="22"/>
          <w:szCs w:val="22"/>
          <w:lang w:val="fr-FR" w:eastAsia="en-US"/>
        </w:rPr>
        <w:t xml:space="preserve"> le cas pour le travail sur les </w:t>
      </w:r>
      <w:r>
        <w:rPr>
          <w:rFonts w:ascii="Arial" w:eastAsia="SimSun" w:hAnsi="Arial" w:cs="Arial"/>
          <w:bCs/>
          <w:sz w:val="22"/>
          <w:szCs w:val="22"/>
          <w:lang w:val="fr-FR" w:eastAsia="en-US"/>
        </w:rPr>
        <w:t>P</w:t>
      </w:r>
      <w:r w:rsidRPr="00FA6560">
        <w:rPr>
          <w:rFonts w:ascii="Arial" w:eastAsia="SimSun" w:hAnsi="Arial" w:cs="Arial"/>
          <w:bCs/>
          <w:sz w:val="22"/>
          <w:szCs w:val="22"/>
          <w:lang w:val="fr-FR" w:eastAsia="en-US"/>
        </w:rPr>
        <w:t xml:space="preserve">rincipes </w:t>
      </w:r>
      <w:r>
        <w:rPr>
          <w:rFonts w:ascii="Arial" w:eastAsia="SimSun" w:hAnsi="Arial" w:cs="Arial"/>
          <w:bCs/>
          <w:sz w:val="22"/>
          <w:szCs w:val="22"/>
          <w:lang w:val="fr-FR" w:eastAsia="en-US"/>
        </w:rPr>
        <w:t xml:space="preserve">et modalités </w:t>
      </w:r>
      <w:r w:rsidRPr="00FA6560">
        <w:rPr>
          <w:rFonts w:ascii="Arial" w:eastAsia="SimSun" w:hAnsi="Arial" w:cs="Arial"/>
          <w:bCs/>
          <w:sz w:val="22"/>
          <w:szCs w:val="22"/>
          <w:lang w:val="fr-FR" w:eastAsia="en-US"/>
        </w:rPr>
        <w:t>opérationnels</w:t>
      </w:r>
      <w:r>
        <w:rPr>
          <w:rFonts w:ascii="Arial" w:eastAsia="SimSun" w:hAnsi="Arial" w:cs="Arial"/>
          <w:bCs/>
          <w:sz w:val="22"/>
          <w:szCs w:val="22"/>
          <w:lang w:val="fr-FR" w:eastAsia="en-US"/>
        </w:rPr>
        <w:t xml:space="preserve"> pour la </w:t>
      </w:r>
      <w:r w:rsidRPr="00FA6560">
        <w:rPr>
          <w:rFonts w:ascii="Arial" w:eastAsia="SimSun" w:hAnsi="Arial" w:cs="Arial"/>
          <w:bCs/>
          <w:sz w:val="22"/>
          <w:szCs w:val="22"/>
          <w:lang w:val="fr-FR" w:eastAsia="en-US"/>
        </w:rPr>
        <w:t xml:space="preserve">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FA6560">
        <w:rPr>
          <w:rFonts w:ascii="Arial" w:eastAsia="SimSun" w:hAnsi="Arial" w:cs="Arial"/>
          <w:bCs/>
          <w:sz w:val="22"/>
          <w:szCs w:val="22"/>
          <w:lang w:val="fr-FR" w:eastAsia="en-US"/>
        </w:rPr>
        <w:t xml:space="preserve">dans les </w:t>
      </w:r>
      <w:r>
        <w:rPr>
          <w:rFonts w:ascii="Arial" w:eastAsia="SimSun" w:hAnsi="Arial" w:cs="Arial"/>
          <w:bCs/>
          <w:sz w:val="22"/>
          <w:szCs w:val="22"/>
          <w:lang w:val="fr-FR" w:eastAsia="en-US"/>
        </w:rPr>
        <w:t xml:space="preserve">contextes </w:t>
      </w:r>
      <w:r w:rsidRPr="00FA6560">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sidRPr="00FA6560">
        <w:rPr>
          <w:rFonts w:ascii="Arial" w:eastAsia="SimSun" w:hAnsi="Arial" w:cs="Arial"/>
          <w:bCs/>
          <w:sz w:val="22"/>
          <w:szCs w:val="22"/>
          <w:lang w:val="fr-FR" w:eastAsia="en-US"/>
        </w:rPr>
        <w:t>urgence, le Secrétariat travaillera</w:t>
      </w:r>
      <w:r>
        <w:rPr>
          <w:rFonts w:ascii="Arial" w:eastAsia="SimSun" w:hAnsi="Arial" w:cs="Arial"/>
          <w:bCs/>
          <w:sz w:val="22"/>
          <w:szCs w:val="22"/>
          <w:lang w:val="fr-FR" w:eastAsia="en-US"/>
        </w:rPr>
        <w:t>it</w:t>
      </w:r>
      <w:r w:rsidRPr="00FA6560">
        <w:rPr>
          <w:rFonts w:ascii="Arial" w:eastAsia="SimSun" w:hAnsi="Arial" w:cs="Arial"/>
          <w:bCs/>
          <w:sz w:val="22"/>
          <w:szCs w:val="22"/>
          <w:lang w:val="fr-FR" w:eastAsia="en-US"/>
        </w:rPr>
        <w:t xml:space="preserve"> avec des experts et des groupes de travail à composition non limitée afin de comprendre les problèmes et de trouver les approches pertinentes avant de </w:t>
      </w:r>
      <w:r>
        <w:rPr>
          <w:rFonts w:ascii="Arial" w:eastAsia="SimSun" w:hAnsi="Arial" w:cs="Arial"/>
          <w:bCs/>
          <w:sz w:val="22"/>
          <w:szCs w:val="22"/>
          <w:lang w:val="fr-FR" w:eastAsia="en-US"/>
        </w:rPr>
        <w:t xml:space="preserve">dispenser </w:t>
      </w:r>
      <w:r w:rsidRPr="00FA6560">
        <w:rPr>
          <w:rFonts w:ascii="Arial" w:eastAsia="SimSun" w:hAnsi="Arial" w:cs="Arial"/>
          <w:bCs/>
          <w:sz w:val="22"/>
          <w:szCs w:val="22"/>
          <w:lang w:val="fr-FR" w:eastAsia="en-US"/>
        </w:rPr>
        <w:t>une formation sur ces sujets.</w:t>
      </w:r>
    </w:p>
    <w:p w14:paraId="46D89612" w14:textId="2460D9F4" w:rsidR="00D9653F" w:rsidRPr="00233CAD"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233CAD">
        <w:rPr>
          <w:rFonts w:ascii="Arial" w:eastAsia="SimSun" w:hAnsi="Arial" w:cs="Arial"/>
          <w:bCs/>
          <w:sz w:val="22"/>
          <w:szCs w:val="22"/>
          <w:lang w:val="fr-FR" w:eastAsia="en-US"/>
        </w:rPr>
        <w:t xml:space="preserve">La délégation </w:t>
      </w:r>
      <w:r>
        <w:rPr>
          <w:rFonts w:ascii="Arial" w:eastAsia="SimSun" w:hAnsi="Arial" w:cs="Arial"/>
          <w:bCs/>
          <w:sz w:val="22"/>
          <w:szCs w:val="22"/>
          <w:lang w:val="fr-FR" w:eastAsia="en-US"/>
        </w:rPr>
        <w:t xml:space="preserve">de la </w:t>
      </w:r>
      <w:r w:rsidRPr="00B5253D">
        <w:rPr>
          <w:rFonts w:ascii="Arial" w:eastAsia="SimSun" w:hAnsi="Arial" w:cs="Arial"/>
          <w:b/>
          <w:sz w:val="22"/>
          <w:szCs w:val="22"/>
          <w:lang w:val="fr-FR" w:eastAsia="en-US"/>
        </w:rPr>
        <w:t>Lettonie</w:t>
      </w:r>
      <w:r w:rsidRPr="00233CAD">
        <w:rPr>
          <w:rFonts w:ascii="Arial" w:eastAsia="SimSun" w:hAnsi="Arial" w:cs="Arial"/>
          <w:bCs/>
          <w:sz w:val="22"/>
          <w:szCs w:val="22"/>
          <w:lang w:val="fr-FR" w:eastAsia="en-US"/>
        </w:rPr>
        <w:t xml:space="preserve"> a exprimé son soutien </w:t>
      </w:r>
      <w:r>
        <w:rPr>
          <w:rFonts w:ascii="Arial" w:eastAsia="SimSun" w:hAnsi="Arial" w:cs="Arial"/>
          <w:bCs/>
          <w:sz w:val="22"/>
          <w:szCs w:val="22"/>
          <w:lang w:val="fr-FR" w:eastAsia="en-US"/>
        </w:rPr>
        <w:t xml:space="preserve">sans réserve </w:t>
      </w:r>
      <w:r w:rsidRPr="00233CAD">
        <w:rPr>
          <w:rFonts w:ascii="Arial" w:eastAsia="SimSun" w:hAnsi="Arial" w:cs="Arial"/>
          <w:bCs/>
          <w:sz w:val="22"/>
          <w:szCs w:val="22"/>
          <w:lang w:val="fr-FR" w:eastAsia="en-US"/>
        </w:rPr>
        <w:t>au Secrétariat et à la hiérarchisation de sa charge de travail de manière à garantir la qualité de ses travaux, tout en étant attenti</w:t>
      </w:r>
      <w:r>
        <w:rPr>
          <w:rFonts w:ascii="Arial" w:eastAsia="SimSun" w:hAnsi="Arial" w:cs="Arial"/>
          <w:bCs/>
          <w:sz w:val="22"/>
          <w:szCs w:val="22"/>
          <w:lang w:val="fr-FR" w:eastAsia="en-US"/>
        </w:rPr>
        <w:t>f</w:t>
      </w:r>
      <w:r w:rsidRPr="00233CAD">
        <w:rPr>
          <w:rFonts w:ascii="Arial" w:eastAsia="SimSun" w:hAnsi="Arial" w:cs="Arial"/>
          <w:bCs/>
          <w:sz w:val="22"/>
          <w:szCs w:val="22"/>
          <w:lang w:val="fr-FR" w:eastAsia="en-US"/>
        </w:rPr>
        <w:t xml:space="preserve"> à la mise en œuvre de la Convention. Elle s</w:t>
      </w:r>
      <w:r w:rsidR="008E532B">
        <w:rPr>
          <w:rFonts w:ascii="Arial" w:eastAsia="SimSun" w:hAnsi="Arial" w:cs="Arial"/>
          <w:bCs/>
          <w:sz w:val="22"/>
          <w:szCs w:val="22"/>
          <w:lang w:val="fr-FR" w:eastAsia="en-US"/>
        </w:rPr>
        <w:t>’</w:t>
      </w:r>
      <w:r w:rsidRPr="00233CAD">
        <w:rPr>
          <w:rFonts w:ascii="Arial" w:eastAsia="SimSun" w:hAnsi="Arial" w:cs="Arial"/>
          <w:bCs/>
          <w:sz w:val="22"/>
          <w:szCs w:val="22"/>
          <w:lang w:val="fr-FR" w:eastAsia="en-US"/>
        </w:rPr>
        <w:t>est particulièrement félicitée du renforcement des capacités assuré par le Secrétariat. La délégation a souligné le soutien diligent et efficace qui accompagn</w:t>
      </w:r>
      <w:r>
        <w:rPr>
          <w:rFonts w:ascii="Arial" w:eastAsia="SimSun" w:hAnsi="Arial" w:cs="Arial"/>
          <w:bCs/>
          <w:sz w:val="22"/>
          <w:szCs w:val="22"/>
          <w:lang w:val="fr-FR" w:eastAsia="en-US"/>
        </w:rPr>
        <w:t>e</w:t>
      </w:r>
      <w:r w:rsidRPr="00233CAD">
        <w:rPr>
          <w:rFonts w:ascii="Arial" w:eastAsia="SimSun" w:hAnsi="Arial" w:cs="Arial"/>
          <w:bCs/>
          <w:sz w:val="22"/>
          <w:szCs w:val="22"/>
          <w:lang w:val="fr-FR" w:eastAsia="en-US"/>
        </w:rPr>
        <w:t xml:space="preserve"> l</w:t>
      </w:r>
      <w:r>
        <w:rPr>
          <w:rFonts w:ascii="Arial" w:eastAsia="SimSun" w:hAnsi="Arial" w:cs="Arial"/>
          <w:bCs/>
          <w:sz w:val="22"/>
          <w:szCs w:val="22"/>
          <w:lang w:val="fr-FR" w:eastAsia="en-US"/>
        </w:rPr>
        <w:t>a soumission</w:t>
      </w:r>
      <w:r w:rsidRPr="00233CAD">
        <w:rPr>
          <w:rFonts w:ascii="Arial" w:eastAsia="SimSun" w:hAnsi="Arial" w:cs="Arial"/>
          <w:bCs/>
          <w:sz w:val="22"/>
          <w:szCs w:val="22"/>
          <w:lang w:val="fr-FR" w:eastAsia="en-US"/>
        </w:rPr>
        <w:t xml:space="preserve"> des rapports nationaux, ajoutant que les mécanismes de soumission des rapports sont cruciaux pour une sauvegarde véritablement durable du </w:t>
      </w:r>
      <w:r w:rsidR="00E908E2">
        <w:rPr>
          <w:rFonts w:ascii="Arial" w:eastAsia="SimSun" w:hAnsi="Arial" w:cs="Arial"/>
          <w:bCs/>
          <w:sz w:val="22"/>
          <w:szCs w:val="22"/>
          <w:lang w:val="fr-FR" w:eastAsia="en-US"/>
        </w:rPr>
        <w:t>patrimoine culturel immatériel</w:t>
      </w:r>
      <w:r w:rsidRPr="00233CAD">
        <w:rPr>
          <w:rFonts w:ascii="Arial" w:eastAsia="SimSun" w:hAnsi="Arial" w:cs="Arial"/>
          <w:bCs/>
          <w:sz w:val="22"/>
          <w:szCs w:val="22"/>
          <w:lang w:val="fr-FR" w:eastAsia="en-US"/>
        </w:rPr>
        <w:t>, y compris le maintien des éléments inscrits. L</w:t>
      </w:r>
      <w:r>
        <w:rPr>
          <w:rFonts w:ascii="Arial" w:eastAsia="SimSun" w:hAnsi="Arial" w:cs="Arial"/>
          <w:bCs/>
          <w:sz w:val="22"/>
          <w:szCs w:val="22"/>
          <w:lang w:val="fr-FR" w:eastAsia="en-US"/>
        </w:rPr>
        <w:t xml:space="preserve">a </w:t>
      </w:r>
      <w:r>
        <w:rPr>
          <w:rFonts w:ascii="Arial" w:eastAsia="SimSun" w:hAnsi="Arial" w:cs="Arial"/>
          <w:sz w:val="22"/>
          <w:szCs w:val="22"/>
          <w:lang w:val="fr-FR"/>
        </w:rPr>
        <w:t xml:space="preserve">formation </w:t>
      </w:r>
      <w:r w:rsidRPr="007B72DB">
        <w:rPr>
          <w:rFonts w:ascii="Arial" w:eastAsia="SimSun" w:hAnsi="Arial" w:cs="Arial"/>
          <w:sz w:val="22"/>
          <w:szCs w:val="22"/>
          <w:lang w:val="fr-FR"/>
        </w:rPr>
        <w:t>en ligne ouvert</w:t>
      </w:r>
      <w:r>
        <w:rPr>
          <w:rFonts w:ascii="Arial" w:eastAsia="SimSun" w:hAnsi="Arial" w:cs="Arial"/>
          <w:sz w:val="22"/>
          <w:szCs w:val="22"/>
          <w:lang w:val="fr-FR"/>
        </w:rPr>
        <w:t>e</w:t>
      </w:r>
      <w:r w:rsidRPr="007B72DB">
        <w:rPr>
          <w:rFonts w:ascii="Arial" w:eastAsia="SimSun" w:hAnsi="Arial" w:cs="Arial"/>
          <w:sz w:val="22"/>
          <w:szCs w:val="22"/>
          <w:lang w:val="fr-FR"/>
        </w:rPr>
        <w:t xml:space="preserve"> </w:t>
      </w:r>
      <w:r>
        <w:rPr>
          <w:rFonts w:ascii="Arial" w:eastAsia="SimSun" w:hAnsi="Arial" w:cs="Arial"/>
          <w:sz w:val="22"/>
          <w:szCs w:val="22"/>
          <w:lang w:val="fr-FR"/>
        </w:rPr>
        <w:t>à tous</w:t>
      </w:r>
      <w:r w:rsidRPr="007B72DB">
        <w:rPr>
          <w:rFonts w:ascii="Arial" w:eastAsia="SimSun" w:hAnsi="Arial" w:cs="Arial"/>
          <w:sz w:val="22"/>
          <w:szCs w:val="22"/>
          <w:lang w:val="fr-FR"/>
        </w:rPr>
        <w:t xml:space="preserve"> </w:t>
      </w:r>
      <w:r w:rsidRPr="00233CAD">
        <w:rPr>
          <w:rFonts w:ascii="Arial" w:eastAsia="SimSun" w:hAnsi="Arial" w:cs="Arial"/>
          <w:bCs/>
          <w:sz w:val="22"/>
          <w:szCs w:val="22"/>
          <w:lang w:val="fr-FR" w:eastAsia="en-US"/>
        </w:rPr>
        <w:t xml:space="preserve">(MOOC) sur le patrimoine vivant et le développement durable </w:t>
      </w:r>
      <w:r>
        <w:rPr>
          <w:rFonts w:ascii="Arial" w:eastAsia="SimSun" w:hAnsi="Arial" w:cs="Arial"/>
          <w:bCs/>
          <w:sz w:val="22"/>
          <w:szCs w:val="22"/>
          <w:lang w:val="fr-FR" w:eastAsia="en-US"/>
        </w:rPr>
        <w:t xml:space="preserve">était </w:t>
      </w:r>
      <w:r w:rsidRPr="00233CAD">
        <w:rPr>
          <w:rFonts w:ascii="Arial" w:eastAsia="SimSun" w:hAnsi="Arial" w:cs="Arial"/>
          <w:bCs/>
          <w:sz w:val="22"/>
          <w:szCs w:val="22"/>
          <w:lang w:val="fr-FR" w:eastAsia="en-US"/>
        </w:rPr>
        <w:t>également</w:t>
      </w:r>
      <w:r>
        <w:rPr>
          <w:rFonts w:ascii="Arial" w:eastAsia="SimSun" w:hAnsi="Arial" w:cs="Arial"/>
          <w:bCs/>
          <w:sz w:val="22"/>
          <w:szCs w:val="22"/>
          <w:lang w:val="fr-FR" w:eastAsia="en-US"/>
        </w:rPr>
        <w:t xml:space="preserve"> </w:t>
      </w:r>
      <w:r w:rsidRPr="00233CAD">
        <w:rPr>
          <w:rFonts w:ascii="Arial" w:eastAsia="SimSun" w:hAnsi="Arial" w:cs="Arial"/>
          <w:bCs/>
          <w:sz w:val="22"/>
          <w:szCs w:val="22"/>
          <w:lang w:val="fr-FR" w:eastAsia="en-US"/>
        </w:rPr>
        <w:t xml:space="preserve">un exemple </w:t>
      </w:r>
      <w:r>
        <w:rPr>
          <w:rFonts w:ascii="Arial" w:eastAsia="SimSun" w:hAnsi="Arial" w:cs="Arial"/>
          <w:bCs/>
          <w:sz w:val="22"/>
          <w:szCs w:val="22"/>
          <w:lang w:val="fr-FR" w:eastAsia="en-US"/>
        </w:rPr>
        <w:t xml:space="preserve">enthousiasmant </w:t>
      </w:r>
      <w:r w:rsidRPr="00233CAD">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sidRPr="00233CAD">
        <w:rPr>
          <w:rFonts w:ascii="Arial" w:eastAsia="SimSun" w:hAnsi="Arial" w:cs="Arial"/>
          <w:bCs/>
          <w:sz w:val="22"/>
          <w:szCs w:val="22"/>
          <w:lang w:val="fr-FR" w:eastAsia="en-US"/>
        </w:rPr>
        <w:t xml:space="preserve">un partenariat fructueux avec les </w:t>
      </w:r>
      <w:r>
        <w:rPr>
          <w:rFonts w:ascii="Arial" w:eastAsia="SimSun" w:hAnsi="Arial" w:cs="Arial"/>
          <w:bCs/>
          <w:sz w:val="22"/>
          <w:szCs w:val="22"/>
          <w:lang w:val="fr-FR" w:eastAsia="en-US"/>
        </w:rPr>
        <w:t>c</w:t>
      </w:r>
      <w:r w:rsidRPr="00233CAD">
        <w:rPr>
          <w:rFonts w:ascii="Arial" w:eastAsia="SimSun" w:hAnsi="Arial" w:cs="Arial"/>
          <w:bCs/>
          <w:sz w:val="22"/>
          <w:szCs w:val="22"/>
          <w:lang w:val="fr-FR" w:eastAsia="en-US"/>
        </w:rPr>
        <w:t>haires UNESCO</w:t>
      </w:r>
      <w:r>
        <w:rPr>
          <w:rFonts w:ascii="Arial" w:eastAsia="SimSun" w:hAnsi="Arial" w:cs="Arial"/>
          <w:bCs/>
          <w:sz w:val="22"/>
          <w:szCs w:val="22"/>
          <w:lang w:val="fr-FR" w:eastAsia="en-US"/>
        </w:rPr>
        <w:t xml:space="preserve"> </w:t>
      </w:r>
      <w:r w:rsidRPr="00233CAD">
        <w:rPr>
          <w:rFonts w:ascii="Arial" w:eastAsia="SimSun" w:hAnsi="Arial" w:cs="Arial"/>
          <w:bCs/>
          <w:sz w:val="22"/>
          <w:szCs w:val="22"/>
          <w:lang w:val="fr-FR" w:eastAsia="en-US"/>
        </w:rPr>
        <w:t xml:space="preserve">actives dans ce domaine. La Lettonie a exprimé son soutien à leur participation active, non seulement au MOOC mais </w:t>
      </w:r>
      <w:r w:rsidRPr="003B1AAC">
        <w:rPr>
          <w:rFonts w:ascii="Arial" w:eastAsia="SimSun" w:hAnsi="Arial" w:cs="Arial"/>
          <w:bCs/>
          <w:color w:val="000000" w:themeColor="text1"/>
          <w:sz w:val="22"/>
          <w:szCs w:val="22"/>
          <w:lang w:val="fr-FR" w:eastAsia="en-US"/>
        </w:rPr>
        <w:t>également</w:t>
      </w:r>
      <w:r>
        <w:rPr>
          <w:rFonts w:ascii="Arial" w:eastAsia="SimSun" w:hAnsi="Arial" w:cs="Arial"/>
          <w:bCs/>
          <w:color w:val="000000" w:themeColor="text1"/>
          <w:sz w:val="22"/>
          <w:szCs w:val="22"/>
          <w:lang w:val="fr-FR" w:eastAsia="en-US"/>
        </w:rPr>
        <w:t xml:space="preserve"> </w:t>
      </w:r>
      <w:r w:rsidRPr="00233CAD">
        <w:rPr>
          <w:rFonts w:ascii="Arial" w:eastAsia="SimSun" w:hAnsi="Arial" w:cs="Arial"/>
          <w:bCs/>
          <w:sz w:val="22"/>
          <w:szCs w:val="22"/>
          <w:lang w:val="fr-FR" w:eastAsia="en-US"/>
        </w:rPr>
        <w:t>à la mise en œuvre de la Convention, reconnaissant la nécessité d</w:t>
      </w:r>
      <w:r w:rsidR="008E532B">
        <w:rPr>
          <w:rFonts w:ascii="Arial" w:eastAsia="SimSun" w:hAnsi="Arial" w:cs="Arial"/>
          <w:bCs/>
          <w:sz w:val="22"/>
          <w:szCs w:val="22"/>
          <w:lang w:val="fr-FR" w:eastAsia="en-US"/>
        </w:rPr>
        <w:t>’</w:t>
      </w:r>
      <w:r w:rsidRPr="00233CAD">
        <w:rPr>
          <w:rFonts w:ascii="Arial" w:eastAsia="SimSun" w:hAnsi="Arial" w:cs="Arial"/>
          <w:bCs/>
          <w:sz w:val="22"/>
          <w:szCs w:val="22"/>
          <w:lang w:val="fr-FR" w:eastAsia="en-US"/>
        </w:rPr>
        <w:t>accroître la visibilité de leur contribution à l</w:t>
      </w:r>
      <w:r w:rsidR="008E532B">
        <w:rPr>
          <w:rFonts w:ascii="Arial" w:eastAsia="SimSun" w:hAnsi="Arial" w:cs="Arial"/>
          <w:bCs/>
          <w:sz w:val="22"/>
          <w:szCs w:val="22"/>
          <w:lang w:val="fr-FR" w:eastAsia="en-US"/>
        </w:rPr>
        <w:t>’</w:t>
      </w:r>
      <w:r w:rsidRPr="00233CAD">
        <w:rPr>
          <w:rFonts w:ascii="Arial" w:eastAsia="SimSun" w:hAnsi="Arial" w:cs="Arial"/>
          <w:bCs/>
          <w:sz w:val="22"/>
          <w:szCs w:val="22"/>
          <w:lang w:val="fr-FR" w:eastAsia="en-US"/>
        </w:rPr>
        <w:t xml:space="preserve">éducation et à la recherche sur la sauvegarde du </w:t>
      </w:r>
      <w:r w:rsidR="00E908E2">
        <w:rPr>
          <w:rFonts w:ascii="Arial" w:eastAsia="SimSun" w:hAnsi="Arial" w:cs="Arial"/>
          <w:bCs/>
          <w:sz w:val="22"/>
          <w:szCs w:val="22"/>
          <w:lang w:val="fr-FR" w:eastAsia="en-US"/>
        </w:rPr>
        <w:t>patrimoine culturel immatériel</w:t>
      </w:r>
      <w:r w:rsidRPr="00233CAD">
        <w:rPr>
          <w:rFonts w:ascii="Arial" w:eastAsia="SimSun" w:hAnsi="Arial" w:cs="Arial"/>
          <w:bCs/>
          <w:sz w:val="22"/>
          <w:szCs w:val="22"/>
          <w:lang w:val="fr-FR" w:eastAsia="en-US"/>
        </w:rPr>
        <w:t xml:space="preserve">. La délégation </w:t>
      </w:r>
      <w:r>
        <w:rPr>
          <w:rFonts w:ascii="Arial" w:eastAsia="SimSun" w:hAnsi="Arial" w:cs="Arial"/>
          <w:bCs/>
          <w:sz w:val="22"/>
          <w:szCs w:val="22"/>
          <w:lang w:val="fr-FR" w:eastAsia="en-US"/>
        </w:rPr>
        <w:t xml:space="preserve">espérait </w:t>
      </w:r>
      <w:r w:rsidRPr="00233CAD">
        <w:rPr>
          <w:rFonts w:ascii="Arial" w:eastAsia="SimSun" w:hAnsi="Arial" w:cs="Arial"/>
          <w:bCs/>
          <w:sz w:val="22"/>
          <w:szCs w:val="22"/>
          <w:lang w:val="fr-FR" w:eastAsia="en-US"/>
        </w:rPr>
        <w:t>également que le fait d</w:t>
      </w:r>
      <w:r w:rsidR="008E532B">
        <w:rPr>
          <w:rFonts w:ascii="Arial" w:eastAsia="SimSun" w:hAnsi="Arial" w:cs="Arial"/>
          <w:bCs/>
          <w:sz w:val="22"/>
          <w:szCs w:val="22"/>
          <w:lang w:val="fr-FR" w:eastAsia="en-US"/>
        </w:rPr>
        <w:t>’</w:t>
      </w:r>
      <w:r w:rsidRPr="00233CAD">
        <w:rPr>
          <w:rFonts w:ascii="Arial" w:eastAsia="SimSun" w:hAnsi="Arial" w:cs="Arial"/>
          <w:bCs/>
          <w:sz w:val="22"/>
          <w:szCs w:val="22"/>
          <w:lang w:val="fr-FR" w:eastAsia="en-US"/>
        </w:rPr>
        <w:t xml:space="preserve">accroître la visibilité du travail des </w:t>
      </w:r>
      <w:r>
        <w:rPr>
          <w:rFonts w:ascii="Arial" w:eastAsia="SimSun" w:hAnsi="Arial" w:cs="Arial"/>
          <w:bCs/>
          <w:sz w:val="22"/>
          <w:szCs w:val="22"/>
          <w:lang w:val="fr-FR" w:eastAsia="en-US"/>
        </w:rPr>
        <w:t>c</w:t>
      </w:r>
      <w:r w:rsidRPr="00233CAD">
        <w:rPr>
          <w:rFonts w:ascii="Arial" w:eastAsia="SimSun" w:hAnsi="Arial" w:cs="Arial"/>
          <w:bCs/>
          <w:sz w:val="22"/>
          <w:szCs w:val="22"/>
          <w:lang w:val="fr-FR" w:eastAsia="en-US"/>
        </w:rPr>
        <w:t xml:space="preserve">haires UNESCO contribuerait à élargir leur réseau à tous les groupes régionaux. Elle </w:t>
      </w:r>
      <w:r>
        <w:rPr>
          <w:rFonts w:ascii="Arial" w:eastAsia="SimSun" w:hAnsi="Arial" w:cs="Arial"/>
          <w:bCs/>
          <w:sz w:val="22"/>
          <w:szCs w:val="22"/>
          <w:lang w:val="fr-FR" w:eastAsia="en-US"/>
        </w:rPr>
        <w:t xml:space="preserve">pensait </w:t>
      </w:r>
      <w:r w:rsidRPr="00233CAD">
        <w:rPr>
          <w:rFonts w:ascii="Arial" w:eastAsia="SimSun" w:hAnsi="Arial" w:cs="Arial"/>
          <w:bCs/>
          <w:sz w:val="22"/>
          <w:szCs w:val="22"/>
          <w:lang w:val="fr-FR" w:eastAsia="en-US"/>
        </w:rPr>
        <w:t>également que la stratégie de renforcement des capacités de l</w:t>
      </w:r>
      <w:r w:rsidR="008E532B">
        <w:rPr>
          <w:rFonts w:ascii="Arial" w:eastAsia="SimSun" w:hAnsi="Arial" w:cs="Arial"/>
          <w:bCs/>
          <w:sz w:val="22"/>
          <w:szCs w:val="22"/>
          <w:lang w:val="fr-FR" w:eastAsia="en-US"/>
        </w:rPr>
        <w:t>’</w:t>
      </w:r>
      <w:r w:rsidRPr="00233CAD">
        <w:rPr>
          <w:rFonts w:ascii="Arial" w:eastAsia="SimSun" w:hAnsi="Arial" w:cs="Arial"/>
          <w:bCs/>
          <w:sz w:val="22"/>
          <w:szCs w:val="22"/>
          <w:lang w:val="fr-FR" w:eastAsia="en-US"/>
        </w:rPr>
        <w:t>UNESCO est très importante car elle a un impact sur les activités des États parties dans l</w:t>
      </w:r>
      <w:r w:rsidR="008E532B">
        <w:rPr>
          <w:rFonts w:ascii="Arial" w:eastAsia="SimSun" w:hAnsi="Arial" w:cs="Arial"/>
          <w:bCs/>
          <w:sz w:val="22"/>
          <w:szCs w:val="22"/>
          <w:lang w:val="fr-FR" w:eastAsia="en-US"/>
        </w:rPr>
        <w:t>’</w:t>
      </w:r>
      <w:r w:rsidRPr="00233CAD">
        <w:rPr>
          <w:rFonts w:ascii="Arial" w:eastAsia="SimSun" w:hAnsi="Arial" w:cs="Arial"/>
          <w:bCs/>
          <w:sz w:val="22"/>
          <w:szCs w:val="22"/>
          <w:lang w:val="fr-FR" w:eastAsia="en-US"/>
        </w:rPr>
        <w:t xml:space="preserve">élaboration de politiques nationales de sauvegarde du </w:t>
      </w:r>
      <w:r w:rsidR="00E908E2">
        <w:rPr>
          <w:rFonts w:ascii="Arial" w:eastAsia="SimSun" w:hAnsi="Arial" w:cs="Arial"/>
          <w:bCs/>
          <w:sz w:val="22"/>
          <w:szCs w:val="22"/>
          <w:lang w:val="fr-FR" w:eastAsia="en-US"/>
        </w:rPr>
        <w:t>patrimoine culturel immatériel</w:t>
      </w:r>
      <w:r w:rsidRPr="00233CAD">
        <w:rPr>
          <w:rFonts w:ascii="Arial" w:eastAsia="SimSun" w:hAnsi="Arial" w:cs="Arial"/>
          <w:bCs/>
          <w:sz w:val="22"/>
          <w:szCs w:val="22"/>
          <w:lang w:val="fr-FR" w:eastAsia="en-US"/>
        </w:rPr>
        <w:t>.</w:t>
      </w:r>
    </w:p>
    <w:p w14:paraId="7E020042" w14:textId="04FF974E" w:rsidR="00D9653F" w:rsidRPr="00441064"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441064">
        <w:rPr>
          <w:rFonts w:ascii="Arial" w:eastAsia="SimSun" w:hAnsi="Arial" w:cs="Arial"/>
          <w:bCs/>
          <w:sz w:val="22"/>
          <w:szCs w:val="22"/>
          <w:lang w:val="fr-FR" w:eastAsia="en-US"/>
        </w:rPr>
        <w:t xml:space="preserve">La délégation </w:t>
      </w:r>
      <w:r>
        <w:rPr>
          <w:rFonts w:ascii="Arial" w:eastAsia="SimSun" w:hAnsi="Arial" w:cs="Arial"/>
          <w:bCs/>
          <w:sz w:val="22"/>
          <w:szCs w:val="22"/>
          <w:lang w:val="fr-FR" w:eastAsia="en-US"/>
        </w:rPr>
        <w:t xml:space="preserve">de la </w:t>
      </w:r>
      <w:r w:rsidRPr="00441064">
        <w:rPr>
          <w:rFonts w:ascii="Arial" w:eastAsia="SimSun" w:hAnsi="Arial" w:cs="Arial"/>
          <w:b/>
          <w:sz w:val="22"/>
          <w:szCs w:val="22"/>
          <w:lang w:val="fr-FR" w:eastAsia="en-US"/>
        </w:rPr>
        <w:t>Colombie</w:t>
      </w:r>
      <w:r w:rsidRPr="00441064">
        <w:rPr>
          <w:rFonts w:ascii="Arial" w:eastAsia="SimSun" w:hAnsi="Arial" w:cs="Arial"/>
          <w:bCs/>
          <w:sz w:val="22"/>
          <w:szCs w:val="22"/>
          <w:lang w:val="fr-FR" w:eastAsia="en-US"/>
        </w:rPr>
        <w:t xml:space="preserve"> a remercié le Secrétariat pour son rapport très complet présentant ses activités au cours des deux dernières années</w:t>
      </w:r>
      <w:r>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 xml:space="preserve"> avec tous </w:t>
      </w:r>
      <w:r>
        <w:rPr>
          <w:rFonts w:ascii="Arial" w:eastAsia="SimSun" w:hAnsi="Arial" w:cs="Arial"/>
          <w:bCs/>
          <w:sz w:val="22"/>
          <w:szCs w:val="22"/>
          <w:lang w:val="fr-FR" w:eastAsia="en-US"/>
        </w:rPr>
        <w:t>l</w:t>
      </w:r>
      <w:r w:rsidRPr="00441064">
        <w:rPr>
          <w:rFonts w:ascii="Arial" w:eastAsia="SimSun" w:hAnsi="Arial" w:cs="Arial"/>
          <w:bCs/>
          <w:sz w:val="22"/>
          <w:szCs w:val="22"/>
          <w:lang w:val="fr-FR" w:eastAsia="en-US"/>
        </w:rPr>
        <w:t>es défis</w:t>
      </w:r>
      <w:r>
        <w:rPr>
          <w:rFonts w:ascii="Arial" w:eastAsia="SimSun" w:hAnsi="Arial" w:cs="Arial"/>
          <w:bCs/>
          <w:sz w:val="22"/>
          <w:szCs w:val="22"/>
          <w:lang w:val="fr-FR" w:eastAsia="en-US"/>
        </w:rPr>
        <w:t xml:space="preserve"> auxquels il avait dû faire face</w:t>
      </w:r>
      <w:r w:rsidRPr="00441064">
        <w:rPr>
          <w:rFonts w:ascii="Arial" w:eastAsia="SimSun" w:hAnsi="Arial" w:cs="Arial"/>
          <w:bCs/>
          <w:sz w:val="22"/>
          <w:szCs w:val="22"/>
          <w:lang w:val="fr-FR" w:eastAsia="en-US"/>
        </w:rPr>
        <w:t>, ce qui renfor</w:t>
      </w:r>
      <w:r>
        <w:rPr>
          <w:rFonts w:ascii="Arial" w:eastAsia="SimSun" w:hAnsi="Arial" w:cs="Arial"/>
          <w:bCs/>
          <w:sz w:val="22"/>
          <w:szCs w:val="22"/>
          <w:lang w:val="fr-FR" w:eastAsia="en-US"/>
        </w:rPr>
        <w:t>çait</w:t>
      </w:r>
      <w:r w:rsidRPr="00441064">
        <w:rPr>
          <w:rFonts w:ascii="Arial" w:eastAsia="SimSun" w:hAnsi="Arial" w:cs="Arial"/>
          <w:bCs/>
          <w:sz w:val="22"/>
          <w:szCs w:val="22"/>
          <w:lang w:val="fr-FR" w:eastAsia="en-US"/>
        </w:rPr>
        <w:t xml:space="preserve"> la gouvernance de la Convention et rapproch</w:t>
      </w:r>
      <w:r>
        <w:rPr>
          <w:rFonts w:ascii="Arial" w:eastAsia="SimSun" w:hAnsi="Arial" w:cs="Arial"/>
          <w:bCs/>
          <w:sz w:val="22"/>
          <w:szCs w:val="22"/>
          <w:lang w:val="fr-FR" w:eastAsia="en-US"/>
        </w:rPr>
        <w:t>ait</w:t>
      </w:r>
      <w:r w:rsidRPr="00441064">
        <w:rPr>
          <w:rFonts w:ascii="Arial" w:eastAsia="SimSun" w:hAnsi="Arial" w:cs="Arial"/>
          <w:bCs/>
          <w:sz w:val="22"/>
          <w:szCs w:val="22"/>
          <w:lang w:val="fr-FR" w:eastAsia="en-US"/>
        </w:rPr>
        <w:t xml:space="preserve"> les communautés du monde entier. La délégation s</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est alignée sur les remarques faites par d</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autres délégations, notamment en ce qui concerne le groupe de travail à composition non limitée qui a</w:t>
      </w:r>
      <w:r>
        <w:rPr>
          <w:rFonts w:ascii="Arial" w:eastAsia="SimSun" w:hAnsi="Arial" w:cs="Arial"/>
          <w:bCs/>
          <w:sz w:val="22"/>
          <w:szCs w:val="22"/>
          <w:lang w:val="fr-FR" w:eastAsia="en-US"/>
        </w:rPr>
        <w:t>vait</w:t>
      </w:r>
      <w:r w:rsidRPr="00441064">
        <w:rPr>
          <w:rFonts w:ascii="Arial" w:eastAsia="SimSun" w:hAnsi="Arial" w:cs="Arial"/>
          <w:bCs/>
          <w:sz w:val="22"/>
          <w:szCs w:val="22"/>
          <w:lang w:val="fr-FR" w:eastAsia="en-US"/>
        </w:rPr>
        <w:t xml:space="preserve"> formulé des recommandations sur les mécanismes d</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inscription</w:t>
      </w:r>
      <w:r>
        <w:rPr>
          <w:rFonts w:ascii="Arial" w:eastAsia="SimSun" w:hAnsi="Arial" w:cs="Arial"/>
          <w:bCs/>
          <w:sz w:val="22"/>
          <w:szCs w:val="22"/>
          <w:lang w:val="fr-FR" w:eastAsia="en-US"/>
        </w:rPr>
        <w:t xml:space="preserve"> sur les listes</w:t>
      </w:r>
      <w:r w:rsidRPr="00441064">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tout en félicitant</w:t>
      </w:r>
      <w:r w:rsidRPr="00441064">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w:t>
      </w:r>
      <w:r w:rsidRPr="00441064">
        <w:rPr>
          <w:rFonts w:ascii="Arial" w:eastAsia="SimSun" w:hAnsi="Arial" w:cs="Arial"/>
          <w:bCs/>
          <w:sz w:val="22"/>
          <w:szCs w:val="22"/>
          <w:lang w:val="fr-FR" w:eastAsia="en-US"/>
        </w:rPr>
        <w:t xml:space="preserve">mbassadeur </w:t>
      </w:r>
      <w:proofErr w:type="spellStart"/>
      <w:r w:rsidRPr="00441064">
        <w:rPr>
          <w:rFonts w:ascii="Arial" w:eastAsia="SimSun" w:hAnsi="Arial" w:cs="Arial"/>
          <w:bCs/>
          <w:sz w:val="22"/>
          <w:szCs w:val="22"/>
          <w:lang w:val="fr-FR" w:eastAsia="en-US"/>
        </w:rPr>
        <w:t>Oike</w:t>
      </w:r>
      <w:proofErr w:type="spellEnd"/>
      <w:r w:rsidRPr="00441064">
        <w:rPr>
          <w:rFonts w:ascii="Arial" w:eastAsia="SimSun" w:hAnsi="Arial" w:cs="Arial"/>
          <w:bCs/>
          <w:sz w:val="22"/>
          <w:szCs w:val="22"/>
          <w:lang w:val="fr-FR" w:eastAsia="en-US"/>
        </w:rPr>
        <w:t xml:space="preserve"> pour l</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excellente conduite des travaux. Par ailleurs, durant cette période, les outils mis à disposition sur la plateforme [</w:t>
      </w:r>
      <w:r>
        <w:rPr>
          <w:rFonts w:ascii="Arial" w:eastAsia="SimSun" w:hAnsi="Arial" w:cs="Arial"/>
          <w:bCs/>
          <w:sz w:val="22"/>
          <w:szCs w:val="22"/>
          <w:lang w:val="fr-FR" w:eastAsia="en-US"/>
        </w:rPr>
        <w:t>« </w:t>
      </w:r>
      <w:r w:rsidRPr="000B31CD">
        <w:rPr>
          <w:rFonts w:ascii="Arial" w:eastAsia="SimSun" w:hAnsi="Arial" w:cs="Arial"/>
          <w:bCs/>
          <w:sz w:val="22"/>
          <w:szCs w:val="22"/>
          <w:lang w:val="fr-FR" w:eastAsia="en-US"/>
        </w:rPr>
        <w:t>Expériences du patrimoine vivant dans le contexte de la pandémie de COVID</w:t>
      </w:r>
      <w:r w:rsidRPr="000B31CD">
        <w:rPr>
          <w:rFonts w:ascii="Arial" w:eastAsia="SimSun" w:hAnsi="Arial" w:cs="Arial"/>
          <w:bCs/>
          <w:sz w:val="22"/>
          <w:szCs w:val="22"/>
          <w:lang w:val="fr-FR" w:eastAsia="en-US"/>
        </w:rPr>
        <w:noBreakHyphen/>
        <w:t>19 </w:t>
      </w:r>
      <w:r>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 pour les différentes communautés concernées avaient facilité l</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échange d</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expériences et s</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étaient avérés très efficaces durant la pandémie pour aider à adapter les mesures de sauvegarde. En Colombie, tous les participants étaient extrêmement reconnaissants d</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avoir pu se connecter et engager des discussions par le biais de cette plateforme. La délégation esp</w:t>
      </w:r>
      <w:r>
        <w:rPr>
          <w:rFonts w:ascii="Arial" w:eastAsia="SimSun" w:hAnsi="Arial" w:cs="Arial"/>
          <w:bCs/>
          <w:sz w:val="22"/>
          <w:szCs w:val="22"/>
          <w:lang w:val="fr-FR" w:eastAsia="en-US"/>
        </w:rPr>
        <w:t xml:space="preserve">érait </w:t>
      </w:r>
      <w:r w:rsidRPr="00441064">
        <w:rPr>
          <w:rFonts w:ascii="Arial" w:eastAsia="SimSun" w:hAnsi="Arial" w:cs="Arial"/>
          <w:bCs/>
          <w:sz w:val="22"/>
          <w:szCs w:val="22"/>
          <w:lang w:val="fr-FR" w:eastAsia="en-US"/>
        </w:rPr>
        <w:t>que ce modèle permettra</w:t>
      </w:r>
      <w:r>
        <w:rPr>
          <w:rFonts w:ascii="Arial" w:eastAsia="SimSun" w:hAnsi="Arial" w:cs="Arial"/>
          <w:bCs/>
          <w:sz w:val="22"/>
          <w:szCs w:val="22"/>
          <w:lang w:val="fr-FR" w:eastAsia="en-US"/>
        </w:rPr>
        <w:t>it</w:t>
      </w:r>
      <w:r w:rsidRPr="00441064">
        <w:rPr>
          <w:rFonts w:ascii="Arial" w:eastAsia="SimSun" w:hAnsi="Arial" w:cs="Arial"/>
          <w:bCs/>
          <w:sz w:val="22"/>
          <w:szCs w:val="22"/>
          <w:lang w:val="fr-FR" w:eastAsia="en-US"/>
        </w:rPr>
        <w:t xml:space="preserve"> aux États parties de continuer à dialoguer sur les meilleures pratiques, faisant ainsi progresser les travaux du groupe de travail. En ce qui concerne les situations d</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 xml:space="preserve">urgence et la sauvegarde du </w:t>
      </w:r>
      <w:r w:rsidR="00E908E2">
        <w:rPr>
          <w:rFonts w:ascii="Arial" w:eastAsia="SimSun" w:hAnsi="Arial" w:cs="Arial"/>
          <w:bCs/>
          <w:sz w:val="22"/>
          <w:szCs w:val="22"/>
          <w:lang w:val="fr-FR" w:eastAsia="en-US"/>
        </w:rPr>
        <w:t>patrimoine culturel immatériel</w:t>
      </w:r>
      <w:r w:rsidRPr="00441064">
        <w:rPr>
          <w:rFonts w:ascii="Arial" w:eastAsia="SimSun" w:hAnsi="Arial" w:cs="Arial"/>
          <w:bCs/>
          <w:sz w:val="22"/>
          <w:szCs w:val="22"/>
          <w:lang w:val="fr-FR" w:eastAsia="en-US"/>
        </w:rPr>
        <w:t>, la délégation a estimé que les États parties doivent être beaucoup plus proches des parties prenantes afin de partager leur expérience en matière de sauvegarde. En effet, des canaux pourraient être établis afin de mieux connaître le contexte de la sauvegarde. Cela faciliterait la mise en œuvre de l</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 xml:space="preserve">article 15 de la Convention [sur la participation des communautés] pour une prise de décision partagée avec les détenteurs du patrimoine immatériel. Cela permettrait de mieux </w:t>
      </w:r>
      <w:r>
        <w:rPr>
          <w:rFonts w:ascii="Arial" w:eastAsia="SimSun" w:hAnsi="Arial" w:cs="Arial"/>
          <w:bCs/>
          <w:sz w:val="22"/>
          <w:szCs w:val="22"/>
          <w:lang w:val="fr-FR" w:eastAsia="en-US"/>
        </w:rPr>
        <w:t xml:space="preserve">saisir </w:t>
      </w:r>
      <w:r w:rsidRPr="00441064">
        <w:rPr>
          <w:rFonts w:ascii="Arial" w:eastAsia="SimSun" w:hAnsi="Arial" w:cs="Arial"/>
          <w:bCs/>
          <w:sz w:val="22"/>
          <w:szCs w:val="22"/>
          <w:lang w:val="fr-FR" w:eastAsia="en-US"/>
        </w:rPr>
        <w:t>la résilience des communautés et leur capacité à comprendre les stratégies de sauvegarde</w:t>
      </w:r>
      <w:r>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 xml:space="preserve"> et de s</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 xml:space="preserve">assurer que les politiques publiques mises en œuvre par les </w:t>
      </w:r>
      <w:r>
        <w:rPr>
          <w:rFonts w:ascii="Arial" w:eastAsia="SimSun" w:hAnsi="Arial" w:cs="Arial"/>
          <w:bCs/>
          <w:sz w:val="22"/>
          <w:szCs w:val="22"/>
          <w:lang w:val="fr-FR" w:eastAsia="en-US"/>
        </w:rPr>
        <w:t>É</w:t>
      </w:r>
      <w:r w:rsidRPr="00441064">
        <w:rPr>
          <w:rFonts w:ascii="Arial" w:eastAsia="SimSun" w:hAnsi="Arial" w:cs="Arial"/>
          <w:bCs/>
          <w:sz w:val="22"/>
          <w:szCs w:val="22"/>
          <w:lang w:val="fr-FR" w:eastAsia="en-US"/>
        </w:rPr>
        <w:t>tats</w:t>
      </w:r>
      <w:r>
        <w:rPr>
          <w:rFonts w:ascii="Arial" w:eastAsia="SimSun" w:hAnsi="Arial" w:cs="Arial"/>
          <w:bCs/>
          <w:sz w:val="22"/>
          <w:szCs w:val="22"/>
          <w:lang w:val="fr-FR" w:eastAsia="en-US"/>
        </w:rPr>
        <w:t> </w:t>
      </w:r>
      <w:r w:rsidRPr="00441064">
        <w:rPr>
          <w:rFonts w:ascii="Arial" w:eastAsia="SimSun" w:hAnsi="Arial" w:cs="Arial"/>
          <w:bCs/>
          <w:sz w:val="22"/>
          <w:szCs w:val="22"/>
          <w:lang w:val="fr-FR" w:eastAsia="en-US"/>
        </w:rPr>
        <w:t xml:space="preserve">membres et les différents acteurs sont complémentaires et mieux soutenues et comprises par les acteurs locaux. Cela permettrait </w:t>
      </w:r>
      <w:r w:rsidRPr="00537C92">
        <w:rPr>
          <w:rFonts w:ascii="Arial" w:eastAsia="SimSun" w:hAnsi="Arial" w:cs="Arial"/>
          <w:bCs/>
          <w:color w:val="000000" w:themeColor="text1"/>
          <w:sz w:val="22"/>
          <w:szCs w:val="22"/>
          <w:lang w:val="fr-FR" w:eastAsia="en-US"/>
        </w:rPr>
        <w:t>également</w:t>
      </w:r>
      <w:r>
        <w:rPr>
          <w:rFonts w:ascii="Arial" w:eastAsia="SimSun" w:hAnsi="Arial" w:cs="Arial"/>
          <w:bCs/>
          <w:color w:val="000000" w:themeColor="text1"/>
          <w:sz w:val="22"/>
          <w:szCs w:val="22"/>
          <w:lang w:val="fr-FR" w:eastAsia="en-US"/>
        </w:rPr>
        <w:t xml:space="preserve"> </w:t>
      </w:r>
      <w:r w:rsidRPr="00441064">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améliorer la compréhension mutuelle, ce qui a</w:t>
      </w:r>
      <w:r>
        <w:rPr>
          <w:rFonts w:ascii="Arial" w:eastAsia="SimSun" w:hAnsi="Arial" w:cs="Arial"/>
          <w:bCs/>
          <w:sz w:val="22"/>
          <w:szCs w:val="22"/>
          <w:lang w:val="fr-FR" w:eastAsia="en-US"/>
        </w:rPr>
        <w:t>vait</w:t>
      </w:r>
      <w:r w:rsidRPr="00441064">
        <w:rPr>
          <w:rFonts w:ascii="Arial" w:eastAsia="SimSun" w:hAnsi="Arial" w:cs="Arial"/>
          <w:bCs/>
          <w:sz w:val="22"/>
          <w:szCs w:val="22"/>
          <w:lang w:val="fr-FR" w:eastAsia="en-US"/>
        </w:rPr>
        <w:t xml:space="preserve"> été démontré pendant la pandémie. Enfin, </w:t>
      </w:r>
      <w:r>
        <w:rPr>
          <w:rFonts w:ascii="Arial" w:eastAsia="SimSun" w:hAnsi="Arial" w:cs="Arial"/>
          <w:bCs/>
          <w:sz w:val="22"/>
          <w:szCs w:val="22"/>
          <w:lang w:val="fr-FR" w:eastAsia="en-US"/>
        </w:rPr>
        <w:t xml:space="preserve">la </w:t>
      </w:r>
      <w:r w:rsidRPr="00F8286A">
        <w:rPr>
          <w:rFonts w:ascii="Arial" w:eastAsia="SimSun" w:hAnsi="Arial" w:cs="Arial"/>
          <w:bCs/>
          <w:sz w:val="22"/>
          <w:szCs w:val="22"/>
          <w:lang w:val="fr-FR" w:eastAsia="en-US"/>
        </w:rPr>
        <w:t>délégation</w:t>
      </w:r>
      <w:r w:rsidRPr="00441064">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est interrogée sur la façon dont </w:t>
      </w:r>
      <w:r w:rsidRPr="00441064">
        <w:rPr>
          <w:rFonts w:ascii="Arial" w:eastAsia="SimSun" w:hAnsi="Arial" w:cs="Arial"/>
          <w:bCs/>
          <w:sz w:val="22"/>
          <w:szCs w:val="22"/>
          <w:lang w:val="fr-FR" w:eastAsia="en-US"/>
        </w:rPr>
        <w:t xml:space="preserve">les États parties pourraient mieux promouvoir les bonnes initiatives </w:t>
      </w:r>
      <w:r>
        <w:rPr>
          <w:rFonts w:ascii="Arial" w:eastAsia="SimSun" w:hAnsi="Arial" w:cs="Arial"/>
          <w:bCs/>
          <w:sz w:val="22"/>
          <w:szCs w:val="22"/>
          <w:lang w:val="fr-FR" w:eastAsia="en-US"/>
        </w:rPr>
        <w:t xml:space="preserve">présentées </w:t>
      </w:r>
      <w:r w:rsidRPr="00441064">
        <w:rPr>
          <w:rFonts w:ascii="Arial" w:eastAsia="SimSun" w:hAnsi="Arial" w:cs="Arial"/>
          <w:bCs/>
          <w:sz w:val="22"/>
          <w:szCs w:val="22"/>
          <w:lang w:val="fr-FR" w:eastAsia="en-US"/>
        </w:rPr>
        <w:t>dans le rapport, notamment le MOOC. La délégation souhait</w:t>
      </w:r>
      <w:r>
        <w:rPr>
          <w:rFonts w:ascii="Arial" w:eastAsia="SimSun" w:hAnsi="Arial" w:cs="Arial"/>
          <w:bCs/>
          <w:sz w:val="22"/>
          <w:szCs w:val="22"/>
          <w:lang w:val="fr-FR" w:eastAsia="en-US"/>
        </w:rPr>
        <w:t>ait</w:t>
      </w:r>
      <w:r w:rsidRPr="00441064">
        <w:rPr>
          <w:rFonts w:ascii="Arial" w:eastAsia="SimSun" w:hAnsi="Arial" w:cs="Arial"/>
          <w:bCs/>
          <w:sz w:val="22"/>
          <w:szCs w:val="22"/>
          <w:lang w:val="fr-FR" w:eastAsia="en-US"/>
        </w:rPr>
        <w:t xml:space="preserve"> en savoir plus sur le MOOC, par exemple</w:t>
      </w:r>
      <w:r>
        <w:rPr>
          <w:rFonts w:ascii="Arial" w:eastAsia="SimSun" w:hAnsi="Arial" w:cs="Arial"/>
          <w:bCs/>
          <w:sz w:val="22"/>
          <w:szCs w:val="22"/>
          <w:lang w:val="fr-FR" w:eastAsia="en-US"/>
        </w:rPr>
        <w:t> :</w:t>
      </w:r>
      <w:r w:rsidRPr="00441064">
        <w:rPr>
          <w:rFonts w:ascii="Arial" w:eastAsia="SimSun" w:hAnsi="Arial" w:cs="Arial"/>
          <w:bCs/>
          <w:sz w:val="22"/>
          <w:szCs w:val="22"/>
          <w:lang w:val="fr-FR" w:eastAsia="en-US"/>
        </w:rPr>
        <w:t xml:space="preserve"> combien de personnes particip</w:t>
      </w:r>
      <w:r>
        <w:rPr>
          <w:rFonts w:ascii="Arial" w:eastAsia="SimSun" w:hAnsi="Arial" w:cs="Arial"/>
          <w:bCs/>
          <w:sz w:val="22"/>
          <w:szCs w:val="22"/>
          <w:lang w:val="fr-FR" w:eastAsia="en-US"/>
        </w:rPr>
        <w:t>aient</w:t>
      </w:r>
      <w:r w:rsidRPr="00441064">
        <w:rPr>
          <w:rFonts w:ascii="Arial" w:eastAsia="SimSun" w:hAnsi="Arial" w:cs="Arial"/>
          <w:bCs/>
          <w:sz w:val="22"/>
          <w:szCs w:val="22"/>
          <w:lang w:val="fr-FR" w:eastAsia="en-US"/>
        </w:rPr>
        <w:t xml:space="preserve"> au MOOC ?</w:t>
      </w:r>
      <w:r>
        <w:rPr>
          <w:rFonts w:ascii="Arial" w:eastAsia="SimSun" w:hAnsi="Arial" w:cs="Arial"/>
          <w:bCs/>
          <w:sz w:val="22"/>
          <w:szCs w:val="22"/>
          <w:lang w:val="fr-FR" w:eastAsia="en-US"/>
        </w:rPr>
        <w:t> ; et c</w:t>
      </w:r>
      <w:r w:rsidRPr="00441064">
        <w:rPr>
          <w:rFonts w:ascii="Arial" w:eastAsia="SimSun" w:hAnsi="Arial" w:cs="Arial"/>
          <w:bCs/>
          <w:sz w:val="22"/>
          <w:szCs w:val="22"/>
          <w:lang w:val="fr-FR" w:eastAsia="en-US"/>
        </w:rPr>
        <w:t>omment faire en sorte qu</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il soit mieux connu ? La délégation a convenu que les formulaires de demande d</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assistance internationale pourraient être améliorés, notant qu</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un</w:t>
      </w:r>
      <w:r>
        <w:rPr>
          <w:rFonts w:ascii="Arial" w:eastAsia="SimSun" w:hAnsi="Arial" w:cs="Arial"/>
          <w:bCs/>
          <w:sz w:val="22"/>
          <w:szCs w:val="22"/>
          <w:lang w:val="fr-FR" w:eastAsia="en-US"/>
        </w:rPr>
        <w:t xml:space="preserve">e manifestation </w:t>
      </w:r>
      <w:r w:rsidRPr="00441064">
        <w:rPr>
          <w:rFonts w:ascii="Arial" w:eastAsia="SimSun" w:hAnsi="Arial" w:cs="Arial"/>
          <w:bCs/>
          <w:sz w:val="22"/>
          <w:szCs w:val="22"/>
          <w:lang w:val="fr-FR" w:eastAsia="en-US"/>
        </w:rPr>
        <w:t>parallèle sur ce sujet serait organisé</w:t>
      </w:r>
      <w:r>
        <w:rPr>
          <w:rFonts w:ascii="Arial" w:eastAsia="SimSun" w:hAnsi="Arial" w:cs="Arial"/>
          <w:bCs/>
          <w:sz w:val="22"/>
          <w:szCs w:val="22"/>
          <w:lang w:val="fr-FR" w:eastAsia="en-US"/>
        </w:rPr>
        <w:t>e</w:t>
      </w:r>
      <w:r w:rsidRPr="00441064">
        <w:rPr>
          <w:rFonts w:ascii="Arial" w:eastAsia="SimSun" w:hAnsi="Arial" w:cs="Arial"/>
          <w:bCs/>
          <w:sz w:val="22"/>
          <w:szCs w:val="22"/>
          <w:lang w:val="fr-FR" w:eastAsia="en-US"/>
        </w:rPr>
        <w:t xml:space="preserve"> le lendemain. Elle a également noté les possibilités d</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établir des liens entre les</w:t>
      </w:r>
      <w:r>
        <w:rPr>
          <w:rFonts w:ascii="Arial" w:eastAsia="SimSun" w:hAnsi="Arial" w:cs="Arial"/>
          <w:bCs/>
          <w:sz w:val="22"/>
          <w:szCs w:val="22"/>
          <w:lang w:val="fr-FR" w:eastAsia="en-US"/>
        </w:rPr>
        <w:t xml:space="preserve">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441064">
        <w:rPr>
          <w:rFonts w:ascii="Arial" w:eastAsia="SimSun" w:hAnsi="Arial" w:cs="Arial"/>
          <w:bCs/>
          <w:sz w:val="22"/>
          <w:szCs w:val="22"/>
          <w:lang w:val="fr-FR" w:eastAsia="en-US"/>
        </w:rPr>
        <w:t>, ajoutant qu</w:t>
      </w:r>
      <w:r w:rsidR="008E532B">
        <w:rPr>
          <w:rFonts w:ascii="Arial" w:eastAsia="SimSun" w:hAnsi="Arial" w:cs="Arial"/>
          <w:bCs/>
          <w:sz w:val="22"/>
          <w:szCs w:val="22"/>
          <w:lang w:val="fr-FR" w:eastAsia="en-US"/>
        </w:rPr>
        <w:t>’</w:t>
      </w:r>
      <w:r w:rsidRPr="00441064">
        <w:rPr>
          <w:rFonts w:ascii="Arial" w:eastAsia="SimSun" w:hAnsi="Arial" w:cs="Arial"/>
          <w:bCs/>
          <w:sz w:val="22"/>
          <w:szCs w:val="22"/>
          <w:lang w:val="fr-FR" w:eastAsia="en-US"/>
        </w:rPr>
        <w:t>elle souhaitait continuer à travailler sur ces synergies.</w:t>
      </w:r>
    </w:p>
    <w:p w14:paraId="2DD0EE5F" w14:textId="25EBB788" w:rsidR="00D9653F" w:rsidRPr="00DF004B"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537C92">
        <w:rPr>
          <w:rFonts w:ascii="Arial" w:eastAsia="SimSun" w:hAnsi="Arial" w:cs="Arial"/>
          <w:bCs/>
          <w:sz w:val="22"/>
          <w:szCs w:val="22"/>
          <w:lang w:val="fr-FR" w:eastAsia="en-US"/>
        </w:rPr>
        <w:t xml:space="preserve">La délégation de </w:t>
      </w:r>
      <w:r w:rsidRPr="00537C92">
        <w:rPr>
          <w:rFonts w:ascii="Arial" w:eastAsia="SimSun" w:hAnsi="Arial" w:cs="Arial"/>
          <w:b/>
          <w:sz w:val="22"/>
          <w:szCs w:val="22"/>
          <w:lang w:val="fr-FR" w:eastAsia="en-US"/>
        </w:rPr>
        <w:t>Chypre</w:t>
      </w:r>
      <w:r w:rsidRPr="00537C92">
        <w:rPr>
          <w:rFonts w:ascii="Arial" w:eastAsia="SimSun" w:hAnsi="Arial" w:cs="Arial"/>
          <w:bCs/>
          <w:sz w:val="22"/>
          <w:szCs w:val="22"/>
          <w:lang w:val="fr-FR" w:eastAsia="en-US"/>
        </w:rPr>
        <w:t xml:space="preserve"> a félicité la Présidente pour son élection ainsi que les membres du Bureau. Elle a félicité le Secrétariat pour les activités mises en œuvre malgré les </w:t>
      </w:r>
      <w:r>
        <w:rPr>
          <w:rFonts w:ascii="Arial" w:eastAsia="SimSun" w:hAnsi="Arial" w:cs="Arial"/>
          <w:bCs/>
          <w:sz w:val="22"/>
          <w:szCs w:val="22"/>
          <w:lang w:val="fr-FR" w:eastAsia="en-US"/>
        </w:rPr>
        <w:t xml:space="preserve">difficultés posées </w:t>
      </w:r>
      <w:r w:rsidRPr="00537C92">
        <w:rPr>
          <w:rFonts w:ascii="Arial" w:eastAsia="SimSun" w:hAnsi="Arial" w:cs="Arial"/>
          <w:bCs/>
          <w:sz w:val="22"/>
          <w:szCs w:val="22"/>
          <w:lang w:val="fr-FR" w:eastAsia="en-US"/>
        </w:rPr>
        <w:t>au patrimoine vivant par la pandémie. De son point de vue, la réforme du mécanisme de soumission des rapports périodiques, les initiatives de renforcement des capacités, la réflexion globale sur les mécanismes d</w:t>
      </w:r>
      <w:r w:rsidR="008E532B">
        <w:rPr>
          <w:rFonts w:ascii="Arial" w:eastAsia="SimSun" w:hAnsi="Arial" w:cs="Arial"/>
          <w:bCs/>
          <w:sz w:val="22"/>
          <w:szCs w:val="22"/>
          <w:lang w:val="fr-FR" w:eastAsia="en-US"/>
        </w:rPr>
        <w:t>’</w:t>
      </w:r>
      <w:r w:rsidRPr="00537C92">
        <w:rPr>
          <w:rFonts w:ascii="Arial" w:eastAsia="SimSun" w:hAnsi="Arial" w:cs="Arial"/>
          <w:bCs/>
          <w:sz w:val="22"/>
          <w:szCs w:val="22"/>
          <w:lang w:val="fr-FR" w:eastAsia="en-US"/>
        </w:rPr>
        <w:t>inscription et le renforcement des synergies entre le patrimoine vivant, l</w:t>
      </w:r>
      <w:r w:rsidR="008E532B">
        <w:rPr>
          <w:rFonts w:ascii="Arial" w:eastAsia="SimSun" w:hAnsi="Arial" w:cs="Arial"/>
          <w:bCs/>
          <w:sz w:val="22"/>
          <w:szCs w:val="22"/>
          <w:lang w:val="fr-FR" w:eastAsia="en-US"/>
        </w:rPr>
        <w:t>’</w:t>
      </w:r>
      <w:r w:rsidRPr="00537C92">
        <w:rPr>
          <w:rFonts w:ascii="Arial" w:eastAsia="SimSun" w:hAnsi="Arial" w:cs="Arial"/>
          <w:bCs/>
          <w:sz w:val="22"/>
          <w:szCs w:val="22"/>
          <w:lang w:val="fr-FR" w:eastAsia="en-US"/>
        </w:rPr>
        <w:t xml:space="preserve">éducation et le développement durable </w:t>
      </w:r>
      <w:r>
        <w:rPr>
          <w:rFonts w:ascii="Arial" w:eastAsia="SimSun" w:hAnsi="Arial" w:cs="Arial"/>
          <w:bCs/>
          <w:sz w:val="22"/>
          <w:szCs w:val="22"/>
          <w:lang w:val="fr-FR" w:eastAsia="en-US"/>
        </w:rPr>
        <w:t>étaient</w:t>
      </w:r>
      <w:r w:rsidRPr="00537C92">
        <w:rPr>
          <w:rFonts w:ascii="Arial" w:eastAsia="SimSun" w:hAnsi="Arial" w:cs="Arial"/>
          <w:bCs/>
          <w:sz w:val="22"/>
          <w:szCs w:val="22"/>
          <w:lang w:val="fr-FR" w:eastAsia="en-US"/>
        </w:rPr>
        <w:t xml:space="preserve"> autant de pas essentiels dans la bonne direction pour la mise en œuvre de la Convention dans sa vingtième année. En 2021, Chypre a</w:t>
      </w:r>
      <w:r>
        <w:rPr>
          <w:rFonts w:ascii="Arial" w:eastAsia="SimSun" w:hAnsi="Arial" w:cs="Arial"/>
          <w:bCs/>
          <w:sz w:val="22"/>
          <w:szCs w:val="22"/>
          <w:lang w:val="fr-FR" w:eastAsia="en-US"/>
        </w:rPr>
        <w:t>vait</w:t>
      </w:r>
      <w:r w:rsidRPr="00537C92">
        <w:rPr>
          <w:rFonts w:ascii="Arial" w:eastAsia="SimSun" w:hAnsi="Arial" w:cs="Arial"/>
          <w:bCs/>
          <w:sz w:val="22"/>
          <w:szCs w:val="22"/>
          <w:lang w:val="fr-FR" w:eastAsia="en-US"/>
        </w:rPr>
        <w:t xml:space="preserve"> organisé un atelier de renforcement des capacités en ligne</w:t>
      </w:r>
      <w:r>
        <w:rPr>
          <w:rFonts w:ascii="Arial" w:eastAsia="SimSun" w:hAnsi="Arial" w:cs="Arial"/>
          <w:bCs/>
          <w:sz w:val="22"/>
          <w:szCs w:val="22"/>
          <w:lang w:val="fr-FR" w:eastAsia="en-US"/>
        </w:rPr>
        <w:t>,</w:t>
      </w:r>
      <w:r w:rsidRPr="00537C92">
        <w:rPr>
          <w:rFonts w:ascii="Arial" w:eastAsia="SimSun" w:hAnsi="Arial" w:cs="Arial"/>
          <w:bCs/>
          <w:sz w:val="22"/>
          <w:szCs w:val="22"/>
          <w:lang w:val="fr-FR" w:eastAsia="en-US"/>
        </w:rPr>
        <w:t xml:space="preserve"> avec le centre de catégorie 2 de Sofia</w:t>
      </w:r>
      <w:r>
        <w:rPr>
          <w:rStyle w:val="FootnoteReference"/>
          <w:rFonts w:ascii="Arial" w:eastAsia="SimSun" w:hAnsi="Arial" w:cs="Arial"/>
          <w:bCs/>
          <w:sz w:val="22"/>
          <w:szCs w:val="22"/>
          <w:lang w:val="fr-FR" w:eastAsia="en-US"/>
        </w:rPr>
        <w:footnoteReference w:id="21"/>
      </w:r>
      <w:r w:rsidRPr="00537C92">
        <w:rPr>
          <w:rFonts w:ascii="Arial" w:eastAsia="SimSun" w:hAnsi="Arial" w:cs="Arial"/>
          <w:bCs/>
          <w:sz w:val="22"/>
          <w:szCs w:val="22"/>
          <w:lang w:val="fr-FR" w:eastAsia="en-US"/>
        </w:rPr>
        <w:t xml:space="preserve"> et les facilitateurs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537C92">
        <w:rPr>
          <w:rFonts w:ascii="Arial" w:eastAsia="SimSun" w:hAnsi="Arial" w:cs="Arial"/>
          <w:bCs/>
          <w:sz w:val="22"/>
          <w:szCs w:val="22"/>
          <w:lang w:val="fr-FR" w:eastAsia="en-US"/>
        </w:rPr>
        <w:t>de l</w:t>
      </w:r>
      <w:r w:rsidR="008E532B">
        <w:rPr>
          <w:rFonts w:ascii="Arial" w:eastAsia="SimSun" w:hAnsi="Arial" w:cs="Arial"/>
          <w:bCs/>
          <w:sz w:val="22"/>
          <w:szCs w:val="22"/>
          <w:lang w:val="fr-FR" w:eastAsia="en-US"/>
        </w:rPr>
        <w:t>’</w:t>
      </w:r>
      <w:r w:rsidRPr="00537C92">
        <w:rPr>
          <w:rFonts w:ascii="Arial" w:eastAsia="SimSun" w:hAnsi="Arial" w:cs="Arial"/>
          <w:bCs/>
          <w:sz w:val="22"/>
          <w:szCs w:val="22"/>
          <w:lang w:val="fr-FR" w:eastAsia="en-US"/>
        </w:rPr>
        <w:t xml:space="preserve">UNESCO, exploitant ainsi le potentiel des synergies entre les différentes parties prenantes aux niveaux régional, national et international. </w:t>
      </w:r>
      <w:r>
        <w:rPr>
          <w:rFonts w:ascii="Arial" w:eastAsia="SimSun" w:hAnsi="Arial" w:cs="Arial"/>
          <w:bCs/>
          <w:sz w:val="22"/>
          <w:szCs w:val="22"/>
          <w:lang w:val="fr-FR" w:eastAsia="en-US"/>
        </w:rPr>
        <w:t>Forte de</w:t>
      </w:r>
      <w:r w:rsidRPr="00537C92">
        <w:rPr>
          <w:rFonts w:ascii="Arial" w:eastAsia="SimSun" w:hAnsi="Arial" w:cs="Arial"/>
          <w:bCs/>
          <w:sz w:val="22"/>
          <w:szCs w:val="22"/>
          <w:lang w:val="fr-FR" w:eastAsia="en-US"/>
        </w:rPr>
        <w:t xml:space="preserve"> cette expérience, la délégation a souligné l</w:t>
      </w:r>
      <w:r w:rsidR="008E532B">
        <w:rPr>
          <w:rFonts w:ascii="Arial" w:eastAsia="SimSun" w:hAnsi="Arial" w:cs="Arial"/>
          <w:bCs/>
          <w:sz w:val="22"/>
          <w:szCs w:val="22"/>
          <w:lang w:val="fr-FR" w:eastAsia="en-US"/>
        </w:rPr>
        <w:t>’</w:t>
      </w:r>
      <w:r w:rsidRPr="00537C92">
        <w:rPr>
          <w:rFonts w:ascii="Arial" w:eastAsia="SimSun" w:hAnsi="Arial" w:cs="Arial"/>
          <w:bCs/>
          <w:sz w:val="22"/>
          <w:szCs w:val="22"/>
          <w:lang w:val="fr-FR" w:eastAsia="en-US"/>
        </w:rPr>
        <w:t>importance de donner aux communautés les moyens d</w:t>
      </w:r>
      <w:r w:rsidR="008E532B">
        <w:rPr>
          <w:rFonts w:ascii="Arial" w:eastAsia="SimSun" w:hAnsi="Arial" w:cs="Arial"/>
          <w:bCs/>
          <w:sz w:val="22"/>
          <w:szCs w:val="22"/>
          <w:lang w:val="fr-FR" w:eastAsia="en-US"/>
        </w:rPr>
        <w:t>’</w:t>
      </w:r>
      <w:r w:rsidRPr="00537C92">
        <w:rPr>
          <w:rFonts w:ascii="Arial" w:eastAsia="SimSun" w:hAnsi="Arial" w:cs="Arial"/>
          <w:bCs/>
          <w:sz w:val="22"/>
          <w:szCs w:val="22"/>
          <w:lang w:val="fr-FR" w:eastAsia="en-US"/>
        </w:rPr>
        <w:t>élaborer leurs propres plans de sauvegarde du patrimoine vivant dans le respect des principes éthiques et du développement durable. La délégation a félicité le Secrétariat pour les outils très utiles développés pour la Convention, que Chypre a</w:t>
      </w:r>
      <w:r>
        <w:rPr>
          <w:rFonts w:ascii="Arial" w:eastAsia="SimSun" w:hAnsi="Arial" w:cs="Arial"/>
          <w:bCs/>
          <w:sz w:val="22"/>
          <w:szCs w:val="22"/>
          <w:lang w:val="fr-FR" w:eastAsia="en-US"/>
        </w:rPr>
        <w:t>vait</w:t>
      </w:r>
      <w:r w:rsidRPr="00537C92">
        <w:rPr>
          <w:rFonts w:ascii="Arial" w:eastAsia="SimSun" w:hAnsi="Arial" w:cs="Arial"/>
          <w:bCs/>
          <w:sz w:val="22"/>
          <w:szCs w:val="22"/>
          <w:lang w:val="fr-FR" w:eastAsia="en-US"/>
        </w:rPr>
        <w:t xml:space="preserve"> largement utilisés dans</w:t>
      </w:r>
      <w:r>
        <w:rPr>
          <w:rFonts w:ascii="Arial" w:eastAsia="SimSun" w:hAnsi="Arial" w:cs="Arial"/>
          <w:bCs/>
          <w:sz w:val="22"/>
          <w:szCs w:val="22"/>
          <w:lang w:val="fr-FR" w:eastAsia="en-US"/>
        </w:rPr>
        <w:t xml:space="preserve"> le cadre de</w:t>
      </w:r>
      <w:r w:rsidRPr="00537C92">
        <w:rPr>
          <w:rFonts w:ascii="Arial" w:eastAsia="SimSun" w:hAnsi="Arial" w:cs="Arial"/>
          <w:bCs/>
          <w:sz w:val="22"/>
          <w:szCs w:val="22"/>
          <w:lang w:val="fr-FR" w:eastAsia="en-US"/>
        </w:rPr>
        <w:t xml:space="preserve"> son atelier. De plus, grâce à sa participation au programme </w:t>
      </w:r>
      <w:r>
        <w:rPr>
          <w:rFonts w:ascii="Arial" w:eastAsia="SimSun" w:hAnsi="Arial" w:cs="Arial"/>
          <w:bCs/>
          <w:sz w:val="22"/>
          <w:szCs w:val="22"/>
          <w:lang w:val="fr-FR" w:eastAsia="en-US"/>
        </w:rPr>
        <w:t xml:space="preserve">« Enseigner et apprendre avec le </w:t>
      </w:r>
      <w:r w:rsidRPr="00DF004B">
        <w:rPr>
          <w:rFonts w:ascii="Arial" w:eastAsia="SimSun" w:hAnsi="Arial" w:cs="Arial"/>
          <w:bCs/>
          <w:sz w:val="22"/>
          <w:szCs w:val="22"/>
          <w:lang w:val="fr-FR" w:eastAsia="en-US"/>
        </w:rPr>
        <w:t>patrimoine</w:t>
      </w:r>
      <w:r>
        <w:rPr>
          <w:rFonts w:ascii="Arial" w:eastAsia="SimSun" w:hAnsi="Arial" w:cs="Arial"/>
          <w:bCs/>
          <w:sz w:val="22"/>
          <w:szCs w:val="22"/>
          <w:lang w:val="fr-FR" w:eastAsia="en-US"/>
        </w:rPr>
        <w:t xml:space="preserve"> vivant : ressources pour les enseignants »</w:t>
      </w:r>
      <w:r>
        <w:rPr>
          <w:rStyle w:val="FootnoteReference"/>
          <w:rFonts w:ascii="Arial" w:eastAsia="SimSun" w:hAnsi="Arial" w:cs="Arial"/>
          <w:bCs/>
          <w:sz w:val="22"/>
          <w:szCs w:val="22"/>
          <w:lang w:val="fr-FR" w:eastAsia="en-US"/>
        </w:rPr>
        <w:footnoteReference w:id="22"/>
      </w:r>
      <w:r>
        <w:rPr>
          <w:rFonts w:ascii="Arial" w:eastAsia="SimSun" w:hAnsi="Arial" w:cs="Arial"/>
          <w:bCs/>
          <w:sz w:val="22"/>
          <w:szCs w:val="22"/>
          <w:lang w:val="fr-FR" w:eastAsia="en-US"/>
        </w:rPr>
        <w:t xml:space="preserve"> </w:t>
      </w:r>
      <w:r w:rsidRPr="00DF004B">
        <w:rPr>
          <w:rFonts w:ascii="Arial" w:eastAsia="SimSun" w:hAnsi="Arial" w:cs="Arial"/>
          <w:bCs/>
          <w:sz w:val="22"/>
          <w:szCs w:val="22"/>
          <w:lang w:val="fr-FR" w:eastAsia="en-US"/>
        </w:rPr>
        <w:t>mis en œuvre en étroite collaboration avec le Réseau des écoles associées de l</w:t>
      </w:r>
      <w:r w:rsidR="008E532B">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UNESCO (</w:t>
      </w:r>
      <w:proofErr w:type="spellStart"/>
      <w:r w:rsidRPr="00DF004B">
        <w:rPr>
          <w:rFonts w:ascii="Arial" w:eastAsia="SimSun" w:hAnsi="Arial" w:cs="Arial"/>
          <w:bCs/>
          <w:sz w:val="22"/>
          <w:szCs w:val="22"/>
          <w:lang w:val="fr-FR" w:eastAsia="en-US"/>
        </w:rPr>
        <w:t>réSEAU</w:t>
      </w:r>
      <w:proofErr w:type="spellEnd"/>
      <w:r w:rsidRPr="00DF004B">
        <w:rPr>
          <w:rFonts w:ascii="Arial" w:eastAsia="SimSun" w:hAnsi="Arial" w:cs="Arial"/>
          <w:bCs/>
          <w:sz w:val="22"/>
          <w:szCs w:val="22"/>
          <w:lang w:val="fr-FR" w:eastAsia="en-US"/>
        </w:rPr>
        <w:t>), la délégation a fait remarquer l</w:t>
      </w:r>
      <w:r w:rsidR="008E532B">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énorme potentiel de sensibilisation par l</w:t>
      </w:r>
      <w:r w:rsidR="008E532B">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éducation et par la collaboration intersectorielle en général. Les projets mis en œuvre perm</w:t>
      </w:r>
      <w:r>
        <w:rPr>
          <w:rFonts w:ascii="Arial" w:eastAsia="SimSun" w:hAnsi="Arial" w:cs="Arial"/>
          <w:bCs/>
          <w:sz w:val="22"/>
          <w:szCs w:val="22"/>
          <w:lang w:val="fr-FR" w:eastAsia="en-US"/>
        </w:rPr>
        <w:t>ettaient</w:t>
      </w:r>
      <w:r w:rsidRPr="00DF004B">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accroître la sensibilisation au patrimoine vivant et motiv</w:t>
      </w:r>
      <w:r>
        <w:rPr>
          <w:rFonts w:ascii="Arial" w:eastAsia="SimSun" w:hAnsi="Arial" w:cs="Arial"/>
          <w:bCs/>
          <w:sz w:val="22"/>
          <w:szCs w:val="22"/>
          <w:lang w:val="fr-FR" w:eastAsia="en-US"/>
        </w:rPr>
        <w:t>aient</w:t>
      </w:r>
      <w:r w:rsidRPr="00DF004B">
        <w:rPr>
          <w:rFonts w:ascii="Arial" w:eastAsia="SimSun" w:hAnsi="Arial" w:cs="Arial"/>
          <w:bCs/>
          <w:sz w:val="22"/>
          <w:szCs w:val="22"/>
          <w:lang w:val="fr-FR" w:eastAsia="en-US"/>
        </w:rPr>
        <w:t xml:space="preserve"> les écoles </w:t>
      </w:r>
      <w:r>
        <w:rPr>
          <w:rFonts w:ascii="Arial" w:eastAsia="SimSun" w:hAnsi="Arial" w:cs="Arial"/>
          <w:bCs/>
          <w:sz w:val="22"/>
          <w:szCs w:val="22"/>
          <w:lang w:val="fr-FR" w:eastAsia="en-US"/>
        </w:rPr>
        <w:t>cypriotes</w:t>
      </w:r>
      <w:r w:rsidRPr="00DF004B">
        <w:rPr>
          <w:rFonts w:ascii="Arial" w:eastAsia="SimSun" w:hAnsi="Arial" w:cs="Arial"/>
          <w:bCs/>
          <w:sz w:val="22"/>
          <w:szCs w:val="22"/>
          <w:lang w:val="fr-FR" w:eastAsia="en-US"/>
        </w:rPr>
        <w:t xml:space="preserve"> à développer des partenariats et à explorer des moyens innovants d</w:t>
      </w:r>
      <w:r w:rsidR="008E532B">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interagir avec les</w:t>
      </w:r>
      <w:r>
        <w:rPr>
          <w:rFonts w:ascii="Arial" w:eastAsia="SimSun" w:hAnsi="Arial" w:cs="Arial"/>
          <w:bCs/>
          <w:sz w:val="22"/>
          <w:szCs w:val="22"/>
          <w:lang w:val="fr-FR" w:eastAsia="en-US"/>
        </w:rPr>
        <w:t xml:space="preserve"> détenteurs</w:t>
      </w:r>
      <w:r w:rsidRPr="00DF004B">
        <w:rPr>
          <w:rFonts w:ascii="Arial" w:eastAsia="SimSun" w:hAnsi="Arial" w:cs="Arial"/>
          <w:bCs/>
          <w:sz w:val="22"/>
          <w:szCs w:val="22"/>
          <w:lang w:val="fr-FR" w:eastAsia="en-US"/>
        </w:rPr>
        <w:t xml:space="preserve"> et les communautés, même au-delà de la durée du programme. La délégation attend</w:t>
      </w:r>
      <w:r>
        <w:rPr>
          <w:rFonts w:ascii="Arial" w:eastAsia="SimSun" w:hAnsi="Arial" w:cs="Arial"/>
          <w:bCs/>
          <w:sz w:val="22"/>
          <w:szCs w:val="22"/>
          <w:lang w:val="fr-FR" w:eastAsia="en-US"/>
        </w:rPr>
        <w:t>ait</w:t>
      </w:r>
      <w:r w:rsidRPr="00DF004B">
        <w:rPr>
          <w:rFonts w:ascii="Arial" w:eastAsia="SimSun" w:hAnsi="Arial" w:cs="Arial"/>
          <w:bCs/>
          <w:sz w:val="22"/>
          <w:szCs w:val="22"/>
          <w:lang w:val="fr-FR" w:eastAsia="en-US"/>
        </w:rPr>
        <w:t xml:space="preserve"> avec impatience les résultats futurs de l</w:t>
      </w:r>
      <w:r w:rsidR="008E532B">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 xml:space="preserve">approche holistique de la sauvegarde du patrimoine vivant et du développement durable </w:t>
      </w:r>
      <w:r>
        <w:rPr>
          <w:rFonts w:ascii="Arial" w:eastAsia="SimSun" w:hAnsi="Arial" w:cs="Arial"/>
          <w:bCs/>
          <w:sz w:val="22"/>
          <w:szCs w:val="22"/>
          <w:lang w:val="fr-FR" w:eastAsia="en-US"/>
        </w:rPr>
        <w:t>lancée</w:t>
      </w:r>
      <w:r w:rsidRPr="00DF004B">
        <w:rPr>
          <w:rFonts w:ascii="Arial" w:eastAsia="SimSun" w:hAnsi="Arial" w:cs="Arial"/>
          <w:bCs/>
          <w:sz w:val="22"/>
          <w:szCs w:val="22"/>
          <w:lang w:val="fr-FR" w:eastAsia="en-US"/>
        </w:rPr>
        <w:t xml:space="preserve"> par le Secrétariat. Elle esp</w:t>
      </w:r>
      <w:r>
        <w:rPr>
          <w:rFonts w:ascii="Arial" w:eastAsia="SimSun" w:hAnsi="Arial" w:cs="Arial"/>
          <w:bCs/>
          <w:sz w:val="22"/>
          <w:szCs w:val="22"/>
          <w:lang w:val="fr-FR" w:eastAsia="en-US"/>
        </w:rPr>
        <w:t>érait</w:t>
      </w:r>
      <w:r w:rsidRPr="00DF004B">
        <w:rPr>
          <w:rFonts w:ascii="Arial" w:eastAsia="SimSun" w:hAnsi="Arial" w:cs="Arial"/>
          <w:bCs/>
          <w:sz w:val="22"/>
          <w:szCs w:val="22"/>
          <w:lang w:val="fr-FR" w:eastAsia="en-US"/>
        </w:rPr>
        <w:t xml:space="preserve"> que l</w:t>
      </w:r>
      <w:r w:rsidR="008E532B">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anniversaire de la Convention</w:t>
      </w:r>
      <w:r>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 xml:space="preserve"> en 2023</w:t>
      </w:r>
      <w:r>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 xml:space="preserve"> sera</w:t>
      </w:r>
      <w:r>
        <w:rPr>
          <w:rFonts w:ascii="Arial" w:eastAsia="SimSun" w:hAnsi="Arial" w:cs="Arial"/>
          <w:bCs/>
          <w:sz w:val="22"/>
          <w:szCs w:val="22"/>
          <w:lang w:val="fr-FR" w:eastAsia="en-US"/>
        </w:rPr>
        <w:t>it</w:t>
      </w:r>
      <w:r w:rsidRPr="00DF004B">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occasion d</w:t>
      </w:r>
      <w:r w:rsidR="008E532B">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identifier les synergies et d</w:t>
      </w:r>
      <w:r w:rsidR="008E532B">
        <w:rPr>
          <w:rFonts w:ascii="Arial" w:eastAsia="SimSun" w:hAnsi="Arial" w:cs="Arial"/>
          <w:bCs/>
          <w:sz w:val="22"/>
          <w:szCs w:val="22"/>
          <w:lang w:val="fr-FR" w:eastAsia="en-US"/>
        </w:rPr>
        <w:t>’</w:t>
      </w:r>
      <w:r w:rsidRPr="00DF004B">
        <w:rPr>
          <w:rFonts w:ascii="Arial" w:eastAsia="SimSun" w:hAnsi="Arial" w:cs="Arial"/>
          <w:bCs/>
          <w:sz w:val="22"/>
          <w:szCs w:val="22"/>
          <w:lang w:val="fr-FR" w:eastAsia="en-US"/>
        </w:rPr>
        <w:t xml:space="preserve">explorer </w:t>
      </w:r>
      <w:r>
        <w:rPr>
          <w:rFonts w:ascii="Arial" w:eastAsia="SimSun" w:hAnsi="Arial" w:cs="Arial"/>
          <w:bCs/>
          <w:sz w:val="22"/>
          <w:szCs w:val="22"/>
          <w:lang w:val="fr-FR" w:eastAsia="en-US"/>
        </w:rPr>
        <w:t>plus avant d</w:t>
      </w:r>
      <w:r w:rsidRPr="00DF004B">
        <w:rPr>
          <w:rFonts w:ascii="Arial" w:eastAsia="SimSun" w:hAnsi="Arial" w:cs="Arial"/>
          <w:bCs/>
          <w:sz w:val="22"/>
          <w:szCs w:val="22"/>
          <w:lang w:val="fr-FR" w:eastAsia="en-US"/>
        </w:rPr>
        <w:t>es moyens innovants de sauvegarder et de vivre avec le patrimoine immatériel.</w:t>
      </w:r>
    </w:p>
    <w:p w14:paraId="435578DF" w14:textId="6AEF7BB9" w:rsidR="00D9653F" w:rsidRPr="00BB1514"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BB1514">
        <w:rPr>
          <w:rFonts w:ascii="Arial" w:eastAsia="SimSun" w:hAnsi="Arial" w:cs="Arial"/>
          <w:bCs/>
          <w:sz w:val="22"/>
          <w:szCs w:val="22"/>
          <w:lang w:val="fr-FR" w:eastAsia="en-US"/>
        </w:rPr>
        <w:t xml:space="preserve">La délégation de la </w:t>
      </w:r>
      <w:r w:rsidRPr="00BB1514">
        <w:rPr>
          <w:rFonts w:ascii="Arial" w:eastAsia="SimSun" w:hAnsi="Arial" w:cs="Arial"/>
          <w:b/>
          <w:sz w:val="22"/>
          <w:szCs w:val="22"/>
          <w:lang w:val="fr-FR" w:eastAsia="en-US"/>
        </w:rPr>
        <w:t>Chine</w:t>
      </w:r>
      <w:r w:rsidRPr="00BB1514">
        <w:rPr>
          <w:rFonts w:ascii="Arial" w:eastAsia="SimSun" w:hAnsi="Arial" w:cs="Arial"/>
          <w:bCs/>
          <w:sz w:val="22"/>
          <w:szCs w:val="22"/>
          <w:lang w:val="fr-FR" w:eastAsia="en-US"/>
        </w:rPr>
        <w:t xml:space="preserve"> a félicité la Présidente pour son élection ainsi que les membres du Bureau et le Rapporteur. Elle </w:t>
      </w:r>
      <w:r>
        <w:rPr>
          <w:rFonts w:ascii="Arial" w:eastAsia="SimSun" w:hAnsi="Arial" w:cs="Arial"/>
          <w:bCs/>
          <w:sz w:val="22"/>
          <w:szCs w:val="22"/>
          <w:lang w:val="fr-FR" w:eastAsia="en-US"/>
        </w:rPr>
        <w:t>était</w:t>
      </w:r>
      <w:r w:rsidRPr="00BB1514">
        <w:rPr>
          <w:rFonts w:ascii="Arial" w:eastAsia="SimSun" w:hAnsi="Arial" w:cs="Arial"/>
          <w:bCs/>
          <w:sz w:val="22"/>
          <w:szCs w:val="22"/>
          <w:lang w:val="fr-FR" w:eastAsia="en-US"/>
        </w:rPr>
        <w:t xml:space="preserve"> très heureuse de constater l</w:t>
      </w:r>
      <w:r w:rsidR="008E532B">
        <w:rPr>
          <w:rFonts w:ascii="Arial" w:eastAsia="SimSun" w:hAnsi="Arial" w:cs="Arial"/>
          <w:bCs/>
          <w:sz w:val="22"/>
          <w:szCs w:val="22"/>
          <w:lang w:val="fr-FR" w:eastAsia="en-US"/>
        </w:rPr>
        <w:t>’</w:t>
      </w:r>
      <w:r w:rsidRPr="00BB1514">
        <w:rPr>
          <w:rFonts w:ascii="Arial" w:eastAsia="SimSun" w:hAnsi="Arial" w:cs="Arial"/>
          <w:bCs/>
          <w:sz w:val="22"/>
          <w:szCs w:val="22"/>
          <w:lang w:val="fr-FR" w:eastAsia="en-US"/>
        </w:rPr>
        <w:t>impact de la Convention avec le nombre d</w:t>
      </w:r>
      <w:r w:rsidR="008E532B">
        <w:rPr>
          <w:rFonts w:ascii="Arial" w:eastAsia="SimSun" w:hAnsi="Arial" w:cs="Arial"/>
          <w:bCs/>
          <w:sz w:val="22"/>
          <w:szCs w:val="22"/>
          <w:lang w:val="fr-FR" w:eastAsia="en-US"/>
        </w:rPr>
        <w:t>’</w:t>
      </w:r>
      <w:r w:rsidRPr="00BB1514">
        <w:rPr>
          <w:rFonts w:ascii="Arial" w:eastAsia="SimSun" w:hAnsi="Arial" w:cs="Arial"/>
          <w:bCs/>
          <w:sz w:val="22"/>
          <w:szCs w:val="22"/>
          <w:lang w:val="fr-FR" w:eastAsia="en-US"/>
        </w:rPr>
        <w:t>États parties qui continu</w:t>
      </w:r>
      <w:r>
        <w:rPr>
          <w:rFonts w:ascii="Arial" w:eastAsia="SimSun" w:hAnsi="Arial" w:cs="Arial"/>
          <w:bCs/>
          <w:sz w:val="22"/>
          <w:szCs w:val="22"/>
          <w:lang w:val="fr-FR" w:eastAsia="en-US"/>
        </w:rPr>
        <w:t>ait</w:t>
      </w:r>
      <w:r w:rsidRPr="00BB1514">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BB1514">
        <w:rPr>
          <w:rFonts w:ascii="Arial" w:eastAsia="SimSun" w:hAnsi="Arial" w:cs="Arial"/>
          <w:bCs/>
          <w:sz w:val="22"/>
          <w:szCs w:val="22"/>
          <w:lang w:val="fr-FR" w:eastAsia="en-US"/>
        </w:rPr>
        <w:t>augmenter, accueillant de nouveaux membres, l</w:t>
      </w:r>
      <w:r w:rsidR="008E532B">
        <w:rPr>
          <w:rFonts w:ascii="Arial" w:eastAsia="SimSun" w:hAnsi="Arial" w:cs="Arial"/>
          <w:bCs/>
          <w:sz w:val="22"/>
          <w:szCs w:val="22"/>
          <w:lang w:val="fr-FR" w:eastAsia="en-US"/>
        </w:rPr>
        <w:t>’</w:t>
      </w:r>
      <w:r w:rsidRPr="00BB1514">
        <w:rPr>
          <w:rFonts w:ascii="Arial" w:eastAsia="SimSun" w:hAnsi="Arial" w:cs="Arial"/>
          <w:bCs/>
          <w:sz w:val="22"/>
          <w:szCs w:val="22"/>
          <w:lang w:val="fr-FR" w:eastAsia="en-US"/>
        </w:rPr>
        <w:t>Angola et la Somalie. La Chine appréci</w:t>
      </w:r>
      <w:r>
        <w:rPr>
          <w:rFonts w:ascii="Arial" w:eastAsia="SimSun" w:hAnsi="Arial" w:cs="Arial"/>
          <w:bCs/>
          <w:sz w:val="22"/>
          <w:szCs w:val="22"/>
          <w:lang w:val="fr-FR" w:eastAsia="en-US"/>
        </w:rPr>
        <w:t>ait</w:t>
      </w:r>
      <w:r w:rsidRPr="00BB1514">
        <w:rPr>
          <w:rFonts w:ascii="Arial" w:eastAsia="SimSun" w:hAnsi="Arial" w:cs="Arial"/>
          <w:bCs/>
          <w:sz w:val="22"/>
          <w:szCs w:val="22"/>
          <w:lang w:val="fr-FR" w:eastAsia="en-US"/>
        </w:rPr>
        <w:t xml:space="preserve"> les efforts déployés par le Sous-Directeur général et le Secrétariat au cours des deux dernières années pour répondre à la pandémie de COVID</w:t>
      </w:r>
      <w:r>
        <w:rPr>
          <w:rFonts w:ascii="Arial" w:eastAsia="SimSun" w:hAnsi="Arial" w:cs="Arial"/>
          <w:bCs/>
          <w:sz w:val="22"/>
          <w:szCs w:val="22"/>
          <w:lang w:val="fr-FR" w:eastAsia="en-US"/>
        </w:rPr>
        <w:noBreakHyphen/>
      </w:r>
      <w:r w:rsidRPr="00BB1514">
        <w:rPr>
          <w:rFonts w:ascii="Arial" w:eastAsia="SimSun" w:hAnsi="Arial" w:cs="Arial"/>
          <w:bCs/>
          <w:sz w:val="22"/>
          <w:szCs w:val="22"/>
          <w:lang w:val="fr-FR" w:eastAsia="en-US"/>
        </w:rPr>
        <w:t xml:space="preserve">19 </w:t>
      </w:r>
      <w:r>
        <w:rPr>
          <w:rFonts w:ascii="Arial" w:eastAsia="SimSun" w:hAnsi="Arial" w:cs="Arial"/>
          <w:bCs/>
          <w:sz w:val="22"/>
          <w:szCs w:val="22"/>
          <w:lang w:val="fr-FR" w:eastAsia="en-US"/>
        </w:rPr>
        <w:t xml:space="preserve">avec </w:t>
      </w:r>
      <w:r w:rsidRPr="00BB1514">
        <w:rPr>
          <w:rFonts w:ascii="Arial" w:eastAsia="SimSun" w:hAnsi="Arial" w:cs="Arial"/>
          <w:bCs/>
          <w:sz w:val="22"/>
          <w:szCs w:val="22"/>
          <w:lang w:val="fr-FR" w:eastAsia="en-US"/>
        </w:rPr>
        <w:t xml:space="preserve">plusieurs mesures correctives </w:t>
      </w:r>
      <w:r>
        <w:rPr>
          <w:rFonts w:ascii="Arial" w:eastAsia="SimSun" w:hAnsi="Arial" w:cs="Arial"/>
          <w:bCs/>
          <w:sz w:val="22"/>
          <w:szCs w:val="22"/>
          <w:lang w:val="fr-FR" w:eastAsia="en-US"/>
        </w:rPr>
        <w:t xml:space="preserve">prises </w:t>
      </w:r>
      <w:r w:rsidRPr="00BB1514">
        <w:rPr>
          <w:rFonts w:ascii="Arial" w:eastAsia="SimSun" w:hAnsi="Arial" w:cs="Arial"/>
          <w:bCs/>
          <w:sz w:val="22"/>
          <w:szCs w:val="22"/>
          <w:lang w:val="fr-FR" w:eastAsia="en-US"/>
        </w:rPr>
        <w:t xml:space="preserve">et </w:t>
      </w:r>
      <w:r>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adaptation des </w:t>
      </w:r>
      <w:r w:rsidRPr="00BB1514">
        <w:rPr>
          <w:rFonts w:ascii="Arial" w:eastAsia="SimSun" w:hAnsi="Arial" w:cs="Arial"/>
          <w:bCs/>
          <w:sz w:val="22"/>
          <w:szCs w:val="22"/>
          <w:lang w:val="fr-FR" w:eastAsia="en-US"/>
        </w:rPr>
        <w:t xml:space="preserve">modalités de travail, notamment en </w:t>
      </w:r>
      <w:r>
        <w:rPr>
          <w:rFonts w:ascii="Arial" w:eastAsia="SimSun" w:hAnsi="Arial" w:cs="Arial"/>
          <w:bCs/>
          <w:sz w:val="22"/>
          <w:szCs w:val="22"/>
          <w:lang w:val="fr-FR" w:eastAsia="en-US"/>
        </w:rPr>
        <w:t>apportant</w:t>
      </w:r>
      <w:r w:rsidRPr="00BB1514">
        <w:rPr>
          <w:rFonts w:ascii="Arial" w:eastAsia="SimSun" w:hAnsi="Arial" w:cs="Arial"/>
          <w:bCs/>
          <w:sz w:val="22"/>
          <w:szCs w:val="22"/>
          <w:lang w:val="fr-FR" w:eastAsia="en-US"/>
        </w:rPr>
        <w:t xml:space="preserve"> un soutien administratif, logistique et</w:t>
      </w:r>
      <w:r>
        <w:rPr>
          <w:rFonts w:ascii="Arial" w:eastAsia="SimSun" w:hAnsi="Arial" w:cs="Arial"/>
          <w:bCs/>
          <w:sz w:val="22"/>
          <w:szCs w:val="22"/>
          <w:lang w:val="fr-FR" w:eastAsia="en-US"/>
        </w:rPr>
        <w:t xml:space="preserve"> fonctionnel</w:t>
      </w:r>
      <w:r w:rsidRPr="00BB1514">
        <w:rPr>
          <w:rFonts w:ascii="Arial" w:eastAsia="SimSun" w:hAnsi="Arial" w:cs="Arial"/>
          <w:bCs/>
          <w:sz w:val="22"/>
          <w:szCs w:val="22"/>
          <w:lang w:val="fr-FR" w:eastAsia="en-US"/>
        </w:rPr>
        <w:t xml:space="preserve">. Le Sous-Directeur général et le Secrétariat </w:t>
      </w:r>
      <w:r>
        <w:rPr>
          <w:rFonts w:ascii="Arial" w:eastAsia="SimSun" w:hAnsi="Arial" w:cs="Arial"/>
          <w:bCs/>
          <w:sz w:val="22"/>
          <w:szCs w:val="22"/>
          <w:lang w:val="fr-FR" w:eastAsia="en-US"/>
        </w:rPr>
        <w:t xml:space="preserve">avaient </w:t>
      </w:r>
      <w:r w:rsidRPr="00BB1514">
        <w:rPr>
          <w:rFonts w:ascii="Arial" w:eastAsia="SimSun" w:hAnsi="Arial" w:cs="Arial"/>
          <w:bCs/>
          <w:sz w:val="22"/>
          <w:szCs w:val="22"/>
          <w:lang w:val="fr-FR" w:eastAsia="en-US"/>
        </w:rPr>
        <w:t>assur</w:t>
      </w:r>
      <w:r>
        <w:rPr>
          <w:rFonts w:ascii="Arial" w:eastAsia="SimSun" w:hAnsi="Arial" w:cs="Arial"/>
          <w:bCs/>
          <w:sz w:val="22"/>
          <w:szCs w:val="22"/>
          <w:lang w:val="fr-FR" w:eastAsia="en-US"/>
        </w:rPr>
        <w:t>é</w:t>
      </w:r>
      <w:r w:rsidRPr="00BB1514">
        <w:rPr>
          <w:rFonts w:ascii="Arial" w:eastAsia="SimSun" w:hAnsi="Arial" w:cs="Arial"/>
          <w:bCs/>
          <w:sz w:val="22"/>
          <w:szCs w:val="22"/>
          <w:lang w:val="fr-FR" w:eastAsia="en-US"/>
        </w:rPr>
        <w:t xml:space="preserve"> la continuité des travaux des organes directeurs et des mécanismes statutaires. Ils </w:t>
      </w:r>
      <w:r>
        <w:rPr>
          <w:rFonts w:ascii="Arial" w:eastAsia="SimSun" w:hAnsi="Arial" w:cs="Arial"/>
          <w:bCs/>
          <w:sz w:val="22"/>
          <w:szCs w:val="22"/>
          <w:lang w:val="fr-FR" w:eastAsia="en-US"/>
        </w:rPr>
        <w:t xml:space="preserve">avaient, </w:t>
      </w:r>
      <w:r w:rsidRPr="004B2882">
        <w:rPr>
          <w:rFonts w:ascii="Arial" w:eastAsia="SimSun" w:hAnsi="Arial" w:cs="Arial"/>
          <w:bCs/>
          <w:sz w:val="22"/>
          <w:szCs w:val="22"/>
          <w:lang w:val="fr-FR" w:eastAsia="en-US"/>
        </w:rPr>
        <w:t>en particulier</w:t>
      </w:r>
      <w:r>
        <w:rPr>
          <w:rFonts w:ascii="Arial" w:eastAsia="SimSun" w:hAnsi="Arial" w:cs="Arial"/>
          <w:bCs/>
          <w:sz w:val="22"/>
          <w:szCs w:val="22"/>
          <w:lang w:val="fr-FR" w:eastAsia="en-US"/>
        </w:rPr>
        <w:t xml:space="preserve">, </w:t>
      </w:r>
      <w:r w:rsidRPr="00BB1514">
        <w:rPr>
          <w:rFonts w:ascii="Arial" w:eastAsia="SimSun" w:hAnsi="Arial" w:cs="Arial"/>
          <w:bCs/>
          <w:sz w:val="22"/>
          <w:szCs w:val="22"/>
          <w:lang w:val="fr-FR" w:eastAsia="en-US"/>
        </w:rPr>
        <w:t>facilité la réflexion globale sur les mécanismes d</w:t>
      </w:r>
      <w:r w:rsidR="008E532B">
        <w:rPr>
          <w:rFonts w:ascii="Arial" w:eastAsia="SimSun" w:hAnsi="Arial" w:cs="Arial"/>
          <w:bCs/>
          <w:sz w:val="22"/>
          <w:szCs w:val="22"/>
          <w:lang w:val="fr-FR" w:eastAsia="en-US"/>
        </w:rPr>
        <w:t>’</w:t>
      </w:r>
      <w:r w:rsidRPr="00BB1514">
        <w:rPr>
          <w:rFonts w:ascii="Arial" w:eastAsia="SimSun" w:hAnsi="Arial" w:cs="Arial"/>
          <w:bCs/>
          <w:sz w:val="22"/>
          <w:szCs w:val="22"/>
          <w:lang w:val="fr-FR" w:eastAsia="en-US"/>
        </w:rPr>
        <w:t>inscription qui a</w:t>
      </w:r>
      <w:r>
        <w:rPr>
          <w:rFonts w:ascii="Arial" w:eastAsia="SimSun" w:hAnsi="Arial" w:cs="Arial"/>
          <w:bCs/>
          <w:sz w:val="22"/>
          <w:szCs w:val="22"/>
          <w:lang w:val="fr-FR" w:eastAsia="en-US"/>
        </w:rPr>
        <w:t>vait</w:t>
      </w:r>
      <w:r w:rsidRPr="00BB1514">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pu réaliser ainsi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importants </w:t>
      </w:r>
      <w:r w:rsidRPr="00BB1514">
        <w:rPr>
          <w:rFonts w:ascii="Arial" w:eastAsia="SimSun" w:hAnsi="Arial" w:cs="Arial"/>
          <w:bCs/>
          <w:sz w:val="22"/>
          <w:szCs w:val="22"/>
          <w:lang w:val="fr-FR" w:eastAsia="en-US"/>
        </w:rPr>
        <w:t xml:space="preserve">progrès. La délégation les a également félicités </w:t>
      </w:r>
      <w:r>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avoir établi des priorités parmi l</w:t>
      </w:r>
      <w:r w:rsidRPr="00BB1514">
        <w:rPr>
          <w:rFonts w:ascii="Arial" w:eastAsia="SimSun" w:hAnsi="Arial" w:cs="Arial"/>
          <w:bCs/>
          <w:sz w:val="22"/>
          <w:szCs w:val="22"/>
          <w:lang w:val="fr-FR" w:eastAsia="en-US"/>
        </w:rPr>
        <w:t xml:space="preserve">es domaines opérationnels de la Convention, notamment le soutien de </w:t>
      </w:r>
      <w:r>
        <w:rPr>
          <w:rFonts w:ascii="Arial" w:eastAsia="SimSun" w:hAnsi="Arial" w:cs="Arial"/>
          <w:bCs/>
          <w:sz w:val="22"/>
          <w:szCs w:val="22"/>
          <w:lang w:val="fr-FR" w:eastAsia="en-US"/>
        </w:rPr>
        <w:t xml:space="preserve">seize </w:t>
      </w:r>
      <w:r w:rsidRPr="00BB1514">
        <w:rPr>
          <w:rFonts w:ascii="Arial" w:eastAsia="SimSun" w:hAnsi="Arial" w:cs="Arial"/>
          <w:bCs/>
          <w:sz w:val="22"/>
          <w:szCs w:val="22"/>
          <w:lang w:val="fr-FR" w:eastAsia="en-US"/>
        </w:rPr>
        <w:t>projets par le biais du mécanisme d</w:t>
      </w:r>
      <w:r w:rsidR="008E532B">
        <w:rPr>
          <w:rFonts w:ascii="Arial" w:eastAsia="SimSun" w:hAnsi="Arial" w:cs="Arial"/>
          <w:bCs/>
          <w:sz w:val="22"/>
          <w:szCs w:val="22"/>
          <w:lang w:val="fr-FR" w:eastAsia="en-US"/>
        </w:rPr>
        <w:t>’</w:t>
      </w:r>
      <w:r w:rsidRPr="00BB1514">
        <w:rPr>
          <w:rFonts w:ascii="Arial" w:eastAsia="SimSun" w:hAnsi="Arial" w:cs="Arial"/>
          <w:bCs/>
          <w:sz w:val="22"/>
          <w:szCs w:val="22"/>
          <w:lang w:val="fr-FR" w:eastAsia="en-US"/>
        </w:rPr>
        <w:t xml:space="preserve">assistance internationale, ainsi que des interventions de renforcement des capacités dans 162 pays, dont </w:t>
      </w:r>
      <w:r>
        <w:rPr>
          <w:rFonts w:ascii="Arial" w:eastAsia="SimSun" w:hAnsi="Arial" w:cs="Arial"/>
          <w:bCs/>
          <w:sz w:val="22"/>
          <w:szCs w:val="22"/>
          <w:lang w:val="fr-FR" w:eastAsia="en-US"/>
        </w:rPr>
        <w:t>trente-trois</w:t>
      </w:r>
      <w:r w:rsidRPr="00BB1514">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en </w:t>
      </w:r>
      <w:r w:rsidRPr="00BB1514">
        <w:rPr>
          <w:rFonts w:ascii="Arial" w:eastAsia="SimSun" w:hAnsi="Arial" w:cs="Arial"/>
          <w:bCs/>
          <w:sz w:val="22"/>
          <w:szCs w:val="22"/>
          <w:lang w:val="fr-FR" w:eastAsia="en-US"/>
        </w:rPr>
        <w:t xml:space="preserve">Afrique et </w:t>
      </w:r>
      <w:r>
        <w:rPr>
          <w:rFonts w:ascii="Arial" w:eastAsia="SimSun" w:hAnsi="Arial" w:cs="Arial"/>
          <w:bCs/>
          <w:sz w:val="22"/>
          <w:szCs w:val="22"/>
          <w:lang w:val="fr-FR" w:eastAsia="en-US"/>
        </w:rPr>
        <w:t xml:space="preserve">trente </w:t>
      </w:r>
      <w:r w:rsidRPr="00BB1514">
        <w:rPr>
          <w:rFonts w:ascii="Arial" w:eastAsia="SimSun" w:hAnsi="Arial" w:cs="Arial"/>
          <w:bCs/>
          <w:sz w:val="22"/>
          <w:szCs w:val="22"/>
          <w:lang w:val="fr-FR" w:eastAsia="en-US"/>
        </w:rPr>
        <w:t>PEID. La Chine souten</w:t>
      </w:r>
      <w:r>
        <w:rPr>
          <w:rFonts w:ascii="Arial" w:eastAsia="SimSun" w:hAnsi="Arial" w:cs="Arial"/>
          <w:bCs/>
          <w:sz w:val="22"/>
          <w:szCs w:val="22"/>
          <w:lang w:val="fr-FR" w:eastAsia="en-US"/>
        </w:rPr>
        <w:t>ait</w:t>
      </w:r>
      <w:r w:rsidRPr="00BB1514">
        <w:rPr>
          <w:rFonts w:ascii="Arial" w:eastAsia="SimSun" w:hAnsi="Arial" w:cs="Arial"/>
          <w:bCs/>
          <w:sz w:val="22"/>
          <w:szCs w:val="22"/>
          <w:lang w:val="fr-FR" w:eastAsia="en-US"/>
        </w:rPr>
        <w:t xml:space="preserve"> le Secrétariat </w:t>
      </w:r>
      <w:r>
        <w:rPr>
          <w:rFonts w:ascii="Arial" w:eastAsia="SimSun" w:hAnsi="Arial" w:cs="Arial"/>
          <w:bCs/>
          <w:sz w:val="22"/>
          <w:szCs w:val="22"/>
          <w:lang w:val="fr-FR" w:eastAsia="en-US"/>
        </w:rPr>
        <w:t>et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encourageait </w:t>
      </w:r>
      <w:r w:rsidRPr="00BB1514">
        <w:rPr>
          <w:rFonts w:ascii="Arial" w:eastAsia="SimSun" w:hAnsi="Arial" w:cs="Arial"/>
          <w:bCs/>
          <w:sz w:val="22"/>
          <w:szCs w:val="22"/>
          <w:lang w:val="fr-FR" w:eastAsia="en-US"/>
        </w:rPr>
        <w:t xml:space="preserve">à répondre aux nouvelles demandes et à explorer et tester divers domaines thématiques, notamment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BB1514">
        <w:rPr>
          <w:rFonts w:ascii="Arial" w:eastAsia="SimSun" w:hAnsi="Arial" w:cs="Arial"/>
          <w:bCs/>
          <w:sz w:val="22"/>
          <w:szCs w:val="22"/>
          <w:lang w:val="fr-FR" w:eastAsia="en-US"/>
        </w:rPr>
        <w:t>dans l</w:t>
      </w:r>
      <w:r w:rsidR="008E532B">
        <w:rPr>
          <w:rFonts w:ascii="Arial" w:eastAsia="SimSun" w:hAnsi="Arial" w:cs="Arial"/>
          <w:bCs/>
          <w:sz w:val="22"/>
          <w:szCs w:val="22"/>
          <w:lang w:val="fr-FR" w:eastAsia="en-US"/>
        </w:rPr>
        <w:t>’</w:t>
      </w:r>
      <w:r w:rsidRPr="00BB1514">
        <w:rPr>
          <w:rFonts w:ascii="Arial" w:eastAsia="SimSun" w:hAnsi="Arial" w:cs="Arial"/>
          <w:bCs/>
          <w:sz w:val="22"/>
          <w:szCs w:val="22"/>
          <w:lang w:val="fr-FR" w:eastAsia="en-US"/>
        </w:rPr>
        <w:t xml:space="preserve">éducation, la contribution du patrimoine vivant au développement durable et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BB1514">
        <w:rPr>
          <w:rFonts w:ascii="Arial" w:eastAsia="SimSun" w:hAnsi="Arial" w:cs="Arial"/>
          <w:bCs/>
          <w:sz w:val="22"/>
          <w:szCs w:val="22"/>
          <w:lang w:val="fr-FR" w:eastAsia="en-US"/>
        </w:rPr>
        <w:t xml:space="preserve">dans les contextes urbains. La Chine </w:t>
      </w:r>
      <w:r>
        <w:rPr>
          <w:rFonts w:ascii="Arial" w:eastAsia="SimSun" w:hAnsi="Arial" w:cs="Arial"/>
          <w:bCs/>
          <w:sz w:val="22"/>
          <w:szCs w:val="22"/>
          <w:lang w:val="fr-FR" w:eastAsia="en-US"/>
        </w:rPr>
        <w:t xml:space="preserve">était </w:t>
      </w:r>
      <w:r w:rsidRPr="00BB1514">
        <w:rPr>
          <w:rFonts w:ascii="Arial" w:eastAsia="SimSun" w:hAnsi="Arial" w:cs="Arial"/>
          <w:bCs/>
          <w:sz w:val="22"/>
          <w:szCs w:val="22"/>
          <w:lang w:val="fr-FR" w:eastAsia="en-US"/>
        </w:rPr>
        <w:t>prête à apporter son soutien au Secrétariat dans son travail et esp</w:t>
      </w:r>
      <w:r>
        <w:rPr>
          <w:rFonts w:ascii="Arial" w:eastAsia="SimSun" w:hAnsi="Arial" w:cs="Arial"/>
          <w:bCs/>
          <w:sz w:val="22"/>
          <w:szCs w:val="22"/>
          <w:lang w:val="fr-FR" w:eastAsia="en-US"/>
        </w:rPr>
        <w:t>érait</w:t>
      </w:r>
      <w:r w:rsidRPr="00BB1514">
        <w:rPr>
          <w:rFonts w:ascii="Arial" w:eastAsia="SimSun" w:hAnsi="Arial" w:cs="Arial"/>
          <w:bCs/>
          <w:sz w:val="22"/>
          <w:szCs w:val="22"/>
          <w:lang w:val="fr-FR" w:eastAsia="en-US"/>
        </w:rPr>
        <w:t xml:space="preserve"> que le Secrétariat intégrera</w:t>
      </w:r>
      <w:r>
        <w:rPr>
          <w:rFonts w:ascii="Arial" w:eastAsia="SimSun" w:hAnsi="Arial" w:cs="Arial"/>
          <w:bCs/>
          <w:sz w:val="22"/>
          <w:szCs w:val="22"/>
          <w:lang w:val="fr-FR" w:eastAsia="en-US"/>
        </w:rPr>
        <w:t>it</w:t>
      </w:r>
      <w:r w:rsidRPr="00BB1514">
        <w:rPr>
          <w:rFonts w:ascii="Arial" w:eastAsia="SimSun" w:hAnsi="Arial" w:cs="Arial"/>
          <w:bCs/>
          <w:sz w:val="22"/>
          <w:szCs w:val="22"/>
          <w:lang w:val="fr-FR" w:eastAsia="en-US"/>
        </w:rPr>
        <w:t xml:space="preserve"> et consolidera</w:t>
      </w:r>
      <w:r>
        <w:rPr>
          <w:rFonts w:ascii="Arial" w:eastAsia="SimSun" w:hAnsi="Arial" w:cs="Arial"/>
          <w:bCs/>
          <w:sz w:val="22"/>
          <w:szCs w:val="22"/>
          <w:lang w:val="fr-FR" w:eastAsia="en-US"/>
        </w:rPr>
        <w:t>it</w:t>
      </w:r>
      <w:r w:rsidRPr="00BB1514">
        <w:rPr>
          <w:rFonts w:ascii="Arial" w:eastAsia="SimSun" w:hAnsi="Arial" w:cs="Arial"/>
          <w:bCs/>
          <w:sz w:val="22"/>
          <w:szCs w:val="22"/>
          <w:lang w:val="fr-FR" w:eastAsia="en-US"/>
        </w:rPr>
        <w:t xml:space="preserve"> toutes les ressources éducatives des importantes</w:t>
      </w:r>
      <w:r>
        <w:rPr>
          <w:rFonts w:ascii="Arial" w:eastAsia="SimSun" w:hAnsi="Arial" w:cs="Arial"/>
          <w:bCs/>
          <w:sz w:val="22"/>
          <w:szCs w:val="22"/>
          <w:lang w:val="fr-FR" w:eastAsia="en-US"/>
        </w:rPr>
        <w:t xml:space="preserve">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BB1514">
        <w:rPr>
          <w:rFonts w:ascii="Arial" w:eastAsia="SimSun" w:hAnsi="Arial" w:cs="Arial"/>
          <w:bCs/>
          <w:sz w:val="22"/>
          <w:szCs w:val="22"/>
          <w:lang w:val="fr-FR" w:eastAsia="en-US"/>
        </w:rPr>
        <w:t>, y compris les ressources numériques, afin d</w:t>
      </w:r>
      <w:r w:rsidR="008E532B">
        <w:rPr>
          <w:rFonts w:ascii="Arial" w:eastAsia="SimSun" w:hAnsi="Arial" w:cs="Arial"/>
          <w:bCs/>
          <w:sz w:val="22"/>
          <w:szCs w:val="22"/>
          <w:lang w:val="fr-FR" w:eastAsia="en-US"/>
        </w:rPr>
        <w:t>’</w:t>
      </w:r>
      <w:r w:rsidRPr="00BB1514">
        <w:rPr>
          <w:rFonts w:ascii="Arial" w:eastAsia="SimSun" w:hAnsi="Arial" w:cs="Arial"/>
          <w:bCs/>
          <w:sz w:val="22"/>
          <w:szCs w:val="22"/>
          <w:lang w:val="fr-FR" w:eastAsia="en-US"/>
        </w:rPr>
        <w:t>éduquer les nouvelles générations et de favoriser ainsi l</w:t>
      </w:r>
      <w:r w:rsidR="008E532B">
        <w:rPr>
          <w:rFonts w:ascii="Arial" w:eastAsia="SimSun" w:hAnsi="Arial" w:cs="Arial"/>
          <w:bCs/>
          <w:sz w:val="22"/>
          <w:szCs w:val="22"/>
          <w:lang w:val="fr-FR" w:eastAsia="en-US"/>
        </w:rPr>
        <w:t>’</w:t>
      </w:r>
      <w:r w:rsidRPr="00BB1514">
        <w:rPr>
          <w:rFonts w:ascii="Arial" w:eastAsia="SimSun" w:hAnsi="Arial" w:cs="Arial"/>
          <w:bCs/>
          <w:sz w:val="22"/>
          <w:szCs w:val="22"/>
          <w:lang w:val="fr-FR" w:eastAsia="en-US"/>
        </w:rPr>
        <w:t xml:space="preserve">esprit de sauvegarde et de protection du </w:t>
      </w:r>
      <w:r w:rsidR="00E908E2">
        <w:rPr>
          <w:rFonts w:ascii="Arial" w:eastAsia="SimSun" w:hAnsi="Arial" w:cs="Arial"/>
          <w:bCs/>
          <w:sz w:val="22"/>
          <w:szCs w:val="22"/>
          <w:lang w:val="fr-FR" w:eastAsia="en-US"/>
        </w:rPr>
        <w:t>patrimoine culturel immatériel</w:t>
      </w:r>
      <w:r w:rsidRPr="00BB1514">
        <w:rPr>
          <w:rFonts w:ascii="Arial" w:eastAsia="SimSun" w:hAnsi="Arial" w:cs="Arial"/>
          <w:bCs/>
          <w:sz w:val="22"/>
          <w:szCs w:val="22"/>
          <w:lang w:val="fr-FR" w:eastAsia="en-US"/>
        </w:rPr>
        <w:t>.</w:t>
      </w:r>
    </w:p>
    <w:p w14:paraId="410ACBFE" w14:textId="7CC2AD4F" w:rsidR="00D9653F" w:rsidRPr="001565FD"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1565FD">
        <w:rPr>
          <w:rFonts w:ascii="Arial" w:eastAsia="SimSun" w:hAnsi="Arial" w:cs="Arial"/>
          <w:bCs/>
          <w:sz w:val="22"/>
          <w:szCs w:val="22"/>
          <w:lang w:val="fr-FR" w:eastAsia="en-US"/>
        </w:rPr>
        <w:t xml:space="preserve">La délégation du </w:t>
      </w:r>
      <w:r w:rsidRPr="001565FD">
        <w:rPr>
          <w:rFonts w:ascii="Arial" w:eastAsia="SimSun" w:hAnsi="Arial" w:cs="Arial"/>
          <w:b/>
          <w:sz w:val="22"/>
          <w:szCs w:val="22"/>
          <w:lang w:val="fr-FR" w:eastAsia="en-US"/>
        </w:rPr>
        <w:t>Mexique</w:t>
      </w:r>
      <w:r w:rsidRPr="001565FD">
        <w:rPr>
          <w:rFonts w:ascii="Arial" w:eastAsia="SimSun" w:hAnsi="Arial" w:cs="Arial"/>
          <w:bCs/>
          <w:sz w:val="22"/>
          <w:szCs w:val="22"/>
          <w:lang w:val="fr-FR" w:eastAsia="en-US"/>
        </w:rPr>
        <w:t xml:space="preserve"> a félicité la Présidente et les membres du Bureau pour leur élection. Elle a remercié le Secrétariat pour son rapport et pour son travail, notamment au plus fort de la pandémie de COVID</w:t>
      </w:r>
      <w:r>
        <w:rPr>
          <w:rFonts w:ascii="Arial" w:eastAsia="SimSun" w:hAnsi="Arial" w:cs="Arial"/>
          <w:bCs/>
          <w:sz w:val="22"/>
          <w:szCs w:val="22"/>
          <w:lang w:val="fr-FR" w:eastAsia="en-US"/>
        </w:rPr>
        <w:noBreakHyphen/>
      </w:r>
      <w:r w:rsidRPr="001565FD">
        <w:rPr>
          <w:rFonts w:ascii="Arial" w:eastAsia="SimSun" w:hAnsi="Arial" w:cs="Arial"/>
          <w:bCs/>
          <w:sz w:val="22"/>
          <w:szCs w:val="22"/>
          <w:lang w:val="fr-FR" w:eastAsia="en-US"/>
        </w:rPr>
        <w:t>19, comme</w:t>
      </w:r>
      <w:r>
        <w:rPr>
          <w:rFonts w:ascii="Arial" w:eastAsia="SimSun" w:hAnsi="Arial" w:cs="Arial"/>
          <w:bCs/>
          <w:sz w:val="22"/>
          <w:szCs w:val="22"/>
          <w:lang w:val="fr-FR" w:eastAsia="en-US"/>
        </w:rPr>
        <w:t xml:space="preserve"> </w:t>
      </w:r>
      <w:r w:rsidRPr="001565FD">
        <w:rPr>
          <w:rFonts w:ascii="Arial" w:eastAsia="SimSun" w:hAnsi="Arial" w:cs="Arial"/>
          <w:bCs/>
          <w:sz w:val="22"/>
          <w:szCs w:val="22"/>
          <w:lang w:val="fr-FR" w:eastAsia="en-US"/>
        </w:rPr>
        <w:t xml:space="preserve">souligné </w:t>
      </w:r>
      <w:r>
        <w:rPr>
          <w:rFonts w:ascii="Arial" w:eastAsia="SimSun" w:hAnsi="Arial" w:cs="Arial"/>
          <w:bCs/>
          <w:sz w:val="22"/>
          <w:szCs w:val="22"/>
          <w:lang w:val="fr-FR" w:eastAsia="en-US"/>
        </w:rPr>
        <w:t xml:space="preserve">par </w:t>
      </w:r>
      <w:r w:rsidRPr="001565FD">
        <w:rPr>
          <w:rFonts w:ascii="Arial" w:eastAsia="SimSun" w:hAnsi="Arial" w:cs="Arial"/>
          <w:bCs/>
          <w:sz w:val="22"/>
          <w:szCs w:val="22"/>
          <w:lang w:val="fr-FR" w:eastAsia="en-US"/>
        </w:rPr>
        <w:t>le Sous-Directeur général</w:t>
      </w:r>
      <w:r>
        <w:rPr>
          <w:rFonts w:ascii="Arial" w:eastAsia="SimSun" w:hAnsi="Arial" w:cs="Arial"/>
          <w:bCs/>
          <w:sz w:val="22"/>
          <w:szCs w:val="22"/>
          <w:lang w:val="fr-FR" w:eastAsia="en-US"/>
        </w:rPr>
        <w:t xml:space="preserve">. Elle a </w:t>
      </w:r>
      <w:r w:rsidRPr="00F16EC2">
        <w:rPr>
          <w:rFonts w:ascii="Arial" w:eastAsia="SimSun" w:hAnsi="Arial" w:cs="Arial"/>
          <w:bCs/>
          <w:color w:val="000000" w:themeColor="text1"/>
          <w:sz w:val="22"/>
          <w:szCs w:val="22"/>
          <w:lang w:val="fr-FR" w:eastAsia="en-US"/>
        </w:rPr>
        <w:t>également</w:t>
      </w:r>
      <w:r w:rsidRPr="001565FD">
        <w:rPr>
          <w:rFonts w:ascii="Arial" w:eastAsia="SimSun" w:hAnsi="Arial" w:cs="Arial"/>
          <w:bCs/>
          <w:sz w:val="22"/>
          <w:szCs w:val="22"/>
          <w:lang w:val="fr-FR" w:eastAsia="en-US"/>
        </w:rPr>
        <w:t xml:space="preserve"> félicit</w:t>
      </w:r>
      <w:r>
        <w:rPr>
          <w:rFonts w:ascii="Arial" w:eastAsia="SimSun" w:hAnsi="Arial" w:cs="Arial"/>
          <w:bCs/>
          <w:sz w:val="22"/>
          <w:szCs w:val="22"/>
          <w:lang w:val="fr-FR" w:eastAsia="en-US"/>
        </w:rPr>
        <w:t xml:space="preserve">é </w:t>
      </w:r>
      <w:r w:rsidRPr="001565FD">
        <w:rPr>
          <w:rFonts w:ascii="Arial" w:eastAsia="SimSun" w:hAnsi="Arial" w:cs="Arial"/>
          <w:bCs/>
          <w:sz w:val="22"/>
          <w:szCs w:val="22"/>
          <w:lang w:val="fr-FR" w:eastAsia="en-US"/>
        </w:rPr>
        <w:t>le Secrétariat pour la formation en ligne. C</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était </w:t>
      </w:r>
      <w:r w:rsidRPr="001565FD">
        <w:rPr>
          <w:rFonts w:ascii="Arial" w:eastAsia="SimSun" w:hAnsi="Arial" w:cs="Arial"/>
          <w:bCs/>
          <w:sz w:val="22"/>
          <w:szCs w:val="22"/>
          <w:lang w:val="fr-FR" w:eastAsia="en-US"/>
        </w:rPr>
        <w:t>un outil très satisfaisant et facile à utiliser, et elle</w:t>
      </w:r>
      <w:r>
        <w:rPr>
          <w:rFonts w:ascii="Arial" w:eastAsia="SimSun" w:hAnsi="Arial" w:cs="Arial"/>
          <w:bCs/>
          <w:sz w:val="22"/>
          <w:szCs w:val="22"/>
          <w:lang w:val="fr-FR" w:eastAsia="en-US"/>
        </w:rPr>
        <w:t xml:space="preserve"> appréciait grandement</w:t>
      </w:r>
      <w:r w:rsidRPr="001565FD">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1565FD">
        <w:rPr>
          <w:rFonts w:ascii="Arial" w:eastAsia="SimSun" w:hAnsi="Arial" w:cs="Arial"/>
          <w:bCs/>
          <w:sz w:val="22"/>
          <w:szCs w:val="22"/>
          <w:lang w:val="fr-FR" w:eastAsia="en-US"/>
        </w:rPr>
        <w:t xml:space="preserve">implication de tous les experts qui y </w:t>
      </w:r>
      <w:r>
        <w:rPr>
          <w:rFonts w:ascii="Arial" w:eastAsia="SimSun" w:hAnsi="Arial" w:cs="Arial"/>
          <w:bCs/>
          <w:sz w:val="22"/>
          <w:szCs w:val="22"/>
          <w:lang w:val="fr-FR" w:eastAsia="en-US"/>
        </w:rPr>
        <w:t xml:space="preserve">avaient </w:t>
      </w:r>
      <w:r w:rsidRPr="001565FD">
        <w:rPr>
          <w:rFonts w:ascii="Arial" w:eastAsia="SimSun" w:hAnsi="Arial" w:cs="Arial"/>
          <w:bCs/>
          <w:sz w:val="22"/>
          <w:szCs w:val="22"/>
          <w:lang w:val="fr-FR" w:eastAsia="en-US"/>
        </w:rPr>
        <w:t xml:space="preserve">participé, par exemple, </w:t>
      </w:r>
      <w:r w:rsidR="008D65C3">
        <w:rPr>
          <w:rFonts w:ascii="Arial" w:eastAsia="SimSun" w:hAnsi="Arial" w:cs="Arial"/>
          <w:bCs/>
          <w:sz w:val="22"/>
          <w:szCs w:val="22"/>
          <w:lang w:val="fr-FR" w:eastAsia="en-US"/>
        </w:rPr>
        <w:t>Mme</w:t>
      </w:r>
      <w:r w:rsidRPr="001565FD">
        <w:rPr>
          <w:rFonts w:ascii="Arial" w:eastAsia="SimSun" w:hAnsi="Arial" w:cs="Arial"/>
          <w:bCs/>
          <w:sz w:val="22"/>
          <w:szCs w:val="22"/>
          <w:lang w:val="fr-FR" w:eastAsia="en-US"/>
        </w:rPr>
        <w:t xml:space="preserve"> Cristina </w:t>
      </w:r>
      <w:proofErr w:type="spellStart"/>
      <w:r w:rsidRPr="001565FD">
        <w:rPr>
          <w:rFonts w:ascii="Arial" w:eastAsia="SimSun" w:hAnsi="Arial" w:cs="Arial"/>
          <w:bCs/>
          <w:sz w:val="22"/>
          <w:szCs w:val="22"/>
          <w:lang w:val="fr-FR" w:eastAsia="en-US"/>
        </w:rPr>
        <w:t>Amescua</w:t>
      </w:r>
      <w:proofErr w:type="spellEnd"/>
      <w:r w:rsidRPr="001565FD">
        <w:rPr>
          <w:rFonts w:ascii="Arial" w:eastAsia="SimSun" w:hAnsi="Arial" w:cs="Arial"/>
          <w:bCs/>
          <w:sz w:val="22"/>
          <w:szCs w:val="22"/>
          <w:lang w:val="fr-FR" w:eastAsia="en-US"/>
        </w:rPr>
        <w:t xml:space="preserve"> de l</w:t>
      </w:r>
      <w:r w:rsidR="008E532B">
        <w:rPr>
          <w:rFonts w:ascii="Arial" w:eastAsia="SimSun" w:hAnsi="Arial" w:cs="Arial"/>
          <w:bCs/>
          <w:sz w:val="22"/>
          <w:szCs w:val="22"/>
          <w:lang w:val="fr-FR" w:eastAsia="en-US"/>
        </w:rPr>
        <w:t>’</w:t>
      </w:r>
      <w:r w:rsidRPr="001565FD">
        <w:rPr>
          <w:rFonts w:ascii="Arial" w:eastAsia="SimSun" w:hAnsi="Arial" w:cs="Arial"/>
          <w:bCs/>
          <w:sz w:val="22"/>
          <w:szCs w:val="22"/>
          <w:lang w:val="fr-FR" w:eastAsia="en-US"/>
        </w:rPr>
        <w:t>Université nationale autonome du Mexique. La délégation a également félicité le groupe de travail à composition non limitée pour les progrès réalisés</w:t>
      </w:r>
      <w:r>
        <w:rPr>
          <w:rFonts w:ascii="Arial" w:eastAsia="SimSun" w:hAnsi="Arial" w:cs="Arial"/>
          <w:bCs/>
          <w:sz w:val="22"/>
          <w:szCs w:val="22"/>
          <w:lang w:val="fr-FR" w:eastAsia="en-US"/>
        </w:rPr>
        <w:t xml:space="preserve"> sur </w:t>
      </w:r>
      <w:r w:rsidRPr="001565FD">
        <w:rPr>
          <w:rFonts w:ascii="Arial" w:eastAsia="SimSun" w:hAnsi="Arial" w:cs="Arial"/>
          <w:bCs/>
          <w:sz w:val="22"/>
          <w:szCs w:val="22"/>
          <w:lang w:val="fr-FR" w:eastAsia="en-US"/>
        </w:rPr>
        <w:t>les mécanismes d</w:t>
      </w:r>
      <w:r w:rsidR="008E532B">
        <w:rPr>
          <w:rFonts w:ascii="Arial" w:eastAsia="SimSun" w:hAnsi="Arial" w:cs="Arial"/>
          <w:bCs/>
          <w:sz w:val="22"/>
          <w:szCs w:val="22"/>
          <w:lang w:val="fr-FR" w:eastAsia="en-US"/>
        </w:rPr>
        <w:t>’</w:t>
      </w:r>
      <w:r w:rsidRPr="001565FD">
        <w:rPr>
          <w:rFonts w:ascii="Arial" w:eastAsia="SimSun" w:hAnsi="Arial" w:cs="Arial"/>
          <w:bCs/>
          <w:sz w:val="22"/>
          <w:szCs w:val="22"/>
          <w:lang w:val="fr-FR" w:eastAsia="en-US"/>
        </w:rPr>
        <w:t xml:space="preserve">inscription. </w:t>
      </w:r>
      <w:r>
        <w:rPr>
          <w:rFonts w:ascii="Arial" w:eastAsia="SimSun" w:hAnsi="Arial" w:cs="Arial"/>
          <w:bCs/>
          <w:sz w:val="22"/>
          <w:szCs w:val="22"/>
          <w:lang w:val="fr-FR" w:eastAsia="en-US"/>
        </w:rPr>
        <w:t>E</w:t>
      </w:r>
      <w:r w:rsidRPr="001059FB">
        <w:rPr>
          <w:rFonts w:ascii="Arial" w:eastAsia="SimSun" w:hAnsi="Arial" w:cs="Arial"/>
          <w:bCs/>
          <w:sz w:val="22"/>
          <w:szCs w:val="22"/>
          <w:lang w:val="fr-FR" w:eastAsia="en-US"/>
        </w:rPr>
        <w:t>n ce qui concerne</w:t>
      </w:r>
      <w:r w:rsidRPr="001565FD">
        <w:rPr>
          <w:rFonts w:ascii="Arial" w:eastAsia="SimSun" w:hAnsi="Arial" w:cs="Arial"/>
          <w:bCs/>
          <w:sz w:val="22"/>
          <w:szCs w:val="22"/>
          <w:lang w:val="fr-FR" w:eastAsia="en-US"/>
        </w:rPr>
        <w:t xml:space="preserve"> la présentation sur l</w:t>
      </w:r>
      <w:r>
        <w:rPr>
          <w:rFonts w:ascii="Arial" w:eastAsia="SimSun" w:hAnsi="Arial" w:cs="Arial"/>
          <w:bCs/>
          <w:sz w:val="22"/>
          <w:szCs w:val="22"/>
          <w:lang w:val="fr-FR" w:eastAsia="en-US"/>
        </w:rPr>
        <w:t>a soumission de</w:t>
      </w:r>
      <w:r w:rsidRPr="001565FD">
        <w:rPr>
          <w:rFonts w:ascii="Arial" w:eastAsia="SimSun" w:hAnsi="Arial" w:cs="Arial"/>
          <w:bCs/>
          <w:sz w:val="22"/>
          <w:szCs w:val="22"/>
          <w:lang w:val="fr-FR" w:eastAsia="en-US"/>
        </w:rPr>
        <w:t xml:space="preserve"> rapports périodiques, la délégation a fait remarquer qu</w:t>
      </w:r>
      <w:r w:rsidR="008E532B">
        <w:rPr>
          <w:rFonts w:ascii="Arial" w:eastAsia="SimSun" w:hAnsi="Arial" w:cs="Arial"/>
          <w:bCs/>
          <w:sz w:val="22"/>
          <w:szCs w:val="22"/>
          <w:lang w:val="fr-FR" w:eastAsia="en-US"/>
        </w:rPr>
        <w:t>’</w:t>
      </w:r>
      <w:r w:rsidRPr="001565FD">
        <w:rPr>
          <w:rFonts w:ascii="Arial" w:eastAsia="SimSun" w:hAnsi="Arial" w:cs="Arial"/>
          <w:bCs/>
          <w:sz w:val="22"/>
          <w:szCs w:val="22"/>
          <w:lang w:val="fr-FR" w:eastAsia="en-US"/>
        </w:rPr>
        <w:t>il s</w:t>
      </w:r>
      <w:r w:rsidR="008E532B">
        <w:rPr>
          <w:rFonts w:ascii="Arial" w:eastAsia="SimSun" w:hAnsi="Arial" w:cs="Arial"/>
          <w:bCs/>
          <w:sz w:val="22"/>
          <w:szCs w:val="22"/>
          <w:lang w:val="fr-FR" w:eastAsia="en-US"/>
        </w:rPr>
        <w:t>’</w:t>
      </w:r>
      <w:r w:rsidRPr="001565FD">
        <w:rPr>
          <w:rFonts w:ascii="Arial" w:eastAsia="SimSun" w:hAnsi="Arial" w:cs="Arial"/>
          <w:bCs/>
          <w:sz w:val="22"/>
          <w:szCs w:val="22"/>
          <w:lang w:val="fr-FR" w:eastAsia="en-US"/>
        </w:rPr>
        <w:t>agissait effectivement d</w:t>
      </w:r>
      <w:r w:rsidR="008E532B">
        <w:rPr>
          <w:rFonts w:ascii="Arial" w:eastAsia="SimSun" w:hAnsi="Arial" w:cs="Arial"/>
          <w:bCs/>
          <w:sz w:val="22"/>
          <w:szCs w:val="22"/>
          <w:lang w:val="fr-FR" w:eastAsia="en-US"/>
        </w:rPr>
        <w:t>’</w:t>
      </w:r>
      <w:r w:rsidRPr="001565FD">
        <w:rPr>
          <w:rFonts w:ascii="Arial" w:eastAsia="SimSun" w:hAnsi="Arial" w:cs="Arial"/>
          <w:bCs/>
          <w:sz w:val="22"/>
          <w:szCs w:val="22"/>
          <w:lang w:val="fr-FR" w:eastAsia="en-US"/>
        </w:rPr>
        <w:t xml:space="preserve">un défi important pour les États parties, notamment en raison des mesures </w:t>
      </w:r>
      <w:r>
        <w:rPr>
          <w:rFonts w:ascii="Arial" w:eastAsia="SimSun" w:hAnsi="Arial" w:cs="Arial"/>
          <w:bCs/>
          <w:sz w:val="22"/>
          <w:szCs w:val="22"/>
          <w:lang w:val="fr-FR" w:eastAsia="en-US"/>
        </w:rPr>
        <w:t>sanitaires et de sécurité imposant des restrictions</w:t>
      </w:r>
      <w:r w:rsidRPr="001565FD">
        <w:rPr>
          <w:rFonts w:ascii="Arial" w:eastAsia="SimSun" w:hAnsi="Arial" w:cs="Arial"/>
          <w:bCs/>
          <w:sz w:val="22"/>
          <w:szCs w:val="22"/>
          <w:lang w:val="fr-FR" w:eastAsia="en-US"/>
        </w:rPr>
        <w:t>, et de la fermeture d</w:t>
      </w:r>
      <w:r w:rsidR="008E532B">
        <w:rPr>
          <w:rFonts w:ascii="Arial" w:eastAsia="SimSun" w:hAnsi="Arial" w:cs="Arial"/>
          <w:bCs/>
          <w:sz w:val="22"/>
          <w:szCs w:val="22"/>
          <w:lang w:val="fr-FR" w:eastAsia="en-US"/>
        </w:rPr>
        <w:t>’</w:t>
      </w:r>
      <w:r w:rsidRPr="001565FD">
        <w:rPr>
          <w:rFonts w:ascii="Arial" w:eastAsia="SimSun" w:hAnsi="Arial" w:cs="Arial"/>
          <w:bCs/>
          <w:sz w:val="22"/>
          <w:szCs w:val="22"/>
          <w:lang w:val="fr-FR" w:eastAsia="en-US"/>
        </w:rPr>
        <w:t>universités et d</w:t>
      </w:r>
      <w:r w:rsidR="008E532B">
        <w:rPr>
          <w:rFonts w:ascii="Arial" w:eastAsia="SimSun" w:hAnsi="Arial" w:cs="Arial"/>
          <w:bCs/>
          <w:sz w:val="22"/>
          <w:szCs w:val="22"/>
          <w:lang w:val="fr-FR" w:eastAsia="en-US"/>
        </w:rPr>
        <w:t>’</w:t>
      </w:r>
      <w:r w:rsidRPr="001565FD">
        <w:rPr>
          <w:rFonts w:ascii="Arial" w:eastAsia="SimSun" w:hAnsi="Arial" w:cs="Arial"/>
          <w:bCs/>
          <w:sz w:val="22"/>
          <w:szCs w:val="22"/>
          <w:lang w:val="fr-FR" w:eastAsia="en-US"/>
        </w:rPr>
        <w:t xml:space="preserve">organisations consultatives, rendant plus difficile la mise en œuvre de la sauvegarde du </w:t>
      </w:r>
      <w:r w:rsidR="00E908E2">
        <w:rPr>
          <w:rFonts w:ascii="Arial" w:eastAsia="SimSun" w:hAnsi="Arial" w:cs="Arial"/>
          <w:bCs/>
          <w:sz w:val="22"/>
          <w:szCs w:val="22"/>
          <w:lang w:val="fr-FR" w:eastAsia="en-US"/>
        </w:rPr>
        <w:t>patrimoine culturel immatériel</w:t>
      </w:r>
      <w:r w:rsidRPr="001565FD">
        <w:rPr>
          <w:rFonts w:ascii="Arial" w:eastAsia="SimSun" w:hAnsi="Arial" w:cs="Arial"/>
          <w:bCs/>
          <w:sz w:val="22"/>
          <w:szCs w:val="22"/>
          <w:lang w:val="fr-FR" w:eastAsia="en-US"/>
        </w:rPr>
        <w:t>. Toutefois, le Mexique continuera</w:t>
      </w:r>
      <w:r>
        <w:rPr>
          <w:rFonts w:ascii="Arial" w:eastAsia="SimSun" w:hAnsi="Arial" w:cs="Arial"/>
          <w:bCs/>
          <w:sz w:val="22"/>
          <w:szCs w:val="22"/>
          <w:lang w:val="fr-FR" w:eastAsia="en-US"/>
        </w:rPr>
        <w:t>it</w:t>
      </w:r>
      <w:r w:rsidRPr="001565FD">
        <w:rPr>
          <w:rFonts w:ascii="Arial" w:eastAsia="SimSun" w:hAnsi="Arial" w:cs="Arial"/>
          <w:bCs/>
          <w:sz w:val="22"/>
          <w:szCs w:val="22"/>
          <w:lang w:val="fr-FR" w:eastAsia="en-US"/>
        </w:rPr>
        <w:t xml:space="preserve"> à </w:t>
      </w:r>
      <w:r>
        <w:rPr>
          <w:rFonts w:ascii="Arial" w:eastAsia="SimSun" w:hAnsi="Arial" w:cs="Arial"/>
          <w:bCs/>
          <w:sz w:val="22"/>
          <w:szCs w:val="22"/>
          <w:lang w:val="fr-FR" w:eastAsia="en-US"/>
        </w:rPr>
        <w:t>satisfaire à</w:t>
      </w:r>
      <w:r w:rsidRPr="001565FD">
        <w:rPr>
          <w:rFonts w:ascii="Arial" w:eastAsia="SimSun" w:hAnsi="Arial" w:cs="Arial"/>
          <w:bCs/>
          <w:sz w:val="22"/>
          <w:szCs w:val="22"/>
          <w:lang w:val="fr-FR" w:eastAsia="en-US"/>
        </w:rPr>
        <w:t xml:space="preserve"> ses obligations en vertu de la Convention vis-à-vis des communautés </w:t>
      </w:r>
      <w:r>
        <w:rPr>
          <w:rFonts w:ascii="Arial" w:eastAsia="SimSun" w:hAnsi="Arial" w:cs="Arial"/>
          <w:bCs/>
          <w:sz w:val="22"/>
          <w:szCs w:val="22"/>
          <w:lang w:val="fr-FR" w:eastAsia="en-US"/>
        </w:rPr>
        <w:t>détentrices</w:t>
      </w:r>
      <w:r w:rsidRPr="001565FD">
        <w:rPr>
          <w:rFonts w:ascii="Arial" w:eastAsia="SimSun" w:hAnsi="Arial" w:cs="Arial"/>
          <w:bCs/>
          <w:sz w:val="22"/>
          <w:szCs w:val="22"/>
          <w:lang w:val="fr-FR" w:eastAsia="en-US"/>
        </w:rPr>
        <w:t xml:space="preserve"> pour protéger le patrimoine vivant.</w:t>
      </w:r>
    </w:p>
    <w:p w14:paraId="5640A5F7" w14:textId="0F508432" w:rsidR="00D9653F" w:rsidRPr="00565178" w:rsidRDefault="00D9653F" w:rsidP="00D9653F">
      <w:pPr>
        <w:numPr>
          <w:ilvl w:val="0"/>
          <w:numId w:val="19"/>
        </w:numPr>
        <w:suppressAutoHyphens/>
        <w:autoSpaceDE w:val="0"/>
        <w:spacing w:before="120"/>
        <w:ind w:left="567" w:hanging="567"/>
        <w:jc w:val="both"/>
        <w:rPr>
          <w:rFonts w:ascii="Arial" w:eastAsia="SimSun" w:hAnsi="Arial" w:cs="Arial"/>
          <w:sz w:val="22"/>
          <w:szCs w:val="22"/>
          <w:lang w:val="fr-FR" w:eastAsia="en-US"/>
        </w:rPr>
      </w:pPr>
      <w:r w:rsidRPr="00565178">
        <w:rPr>
          <w:rFonts w:ascii="Arial" w:eastAsia="SimSun" w:hAnsi="Arial" w:cs="Arial"/>
          <w:sz w:val="22"/>
          <w:szCs w:val="22"/>
          <w:lang w:val="fr-FR" w:eastAsia="en-US"/>
        </w:rPr>
        <w:t xml:space="preserve">La délégation de la </w:t>
      </w:r>
      <w:r w:rsidRPr="00565178">
        <w:rPr>
          <w:rFonts w:ascii="Arial" w:eastAsia="SimSun" w:hAnsi="Arial" w:cs="Arial"/>
          <w:b/>
          <w:bCs/>
          <w:sz w:val="22"/>
          <w:szCs w:val="22"/>
          <w:lang w:val="fr-FR" w:eastAsia="en-US"/>
        </w:rPr>
        <w:t>Mongolie</w:t>
      </w:r>
      <w:r w:rsidRPr="00565178">
        <w:rPr>
          <w:rFonts w:ascii="Arial" w:eastAsia="SimSun" w:hAnsi="Arial" w:cs="Arial"/>
          <w:sz w:val="22"/>
          <w:szCs w:val="22"/>
          <w:lang w:val="fr-FR" w:eastAsia="en-US"/>
        </w:rPr>
        <w:t xml:space="preserve"> a félicité la Présidente pour son élection</w:t>
      </w:r>
      <w:r>
        <w:rPr>
          <w:rFonts w:ascii="Arial" w:eastAsia="SimSun" w:hAnsi="Arial" w:cs="Arial"/>
          <w:sz w:val="22"/>
          <w:szCs w:val="22"/>
          <w:lang w:val="fr-FR" w:eastAsia="en-US"/>
        </w:rPr>
        <w:t>,</w:t>
      </w:r>
      <w:r w:rsidRPr="00565178">
        <w:rPr>
          <w:rFonts w:ascii="Arial" w:eastAsia="SimSun" w:hAnsi="Arial" w:cs="Arial"/>
          <w:sz w:val="22"/>
          <w:szCs w:val="22"/>
          <w:lang w:val="fr-FR" w:eastAsia="en-US"/>
        </w:rPr>
        <w:t xml:space="preserve"> et les membres élus du Bureau. Elle a remercié le Secrétariat pour son travail et </w:t>
      </w:r>
      <w:r>
        <w:rPr>
          <w:rFonts w:ascii="Arial" w:eastAsia="SimSun" w:hAnsi="Arial" w:cs="Arial"/>
          <w:sz w:val="22"/>
          <w:szCs w:val="22"/>
          <w:lang w:val="fr-FR" w:eastAsia="en-US"/>
        </w:rPr>
        <w:t>ses</w:t>
      </w:r>
      <w:r w:rsidRPr="00565178">
        <w:rPr>
          <w:rFonts w:ascii="Arial" w:eastAsia="SimSun" w:hAnsi="Arial" w:cs="Arial"/>
          <w:sz w:val="22"/>
          <w:szCs w:val="22"/>
          <w:lang w:val="fr-FR" w:eastAsia="en-US"/>
        </w:rPr>
        <w:t xml:space="preserve"> efforts au cours des deux dernières années. La Mongolie a salué le bon travail </w:t>
      </w:r>
      <w:r>
        <w:rPr>
          <w:rFonts w:ascii="Arial" w:eastAsia="SimSun" w:hAnsi="Arial" w:cs="Arial"/>
          <w:sz w:val="22"/>
          <w:szCs w:val="22"/>
          <w:lang w:val="fr-FR" w:eastAsia="en-US"/>
        </w:rPr>
        <w:t xml:space="preserve">réalisé pour mettre </w:t>
      </w:r>
      <w:r w:rsidRPr="00565178">
        <w:rPr>
          <w:rFonts w:ascii="Arial" w:eastAsia="SimSun" w:hAnsi="Arial" w:cs="Arial"/>
          <w:sz w:val="22"/>
          <w:szCs w:val="22"/>
          <w:lang w:val="fr-FR" w:eastAsia="en-US"/>
        </w:rPr>
        <w:t xml:space="preserve">en œuvre </w:t>
      </w:r>
      <w:r>
        <w:rPr>
          <w:rFonts w:ascii="Arial" w:eastAsia="SimSun" w:hAnsi="Arial" w:cs="Arial"/>
          <w:sz w:val="22"/>
          <w:szCs w:val="22"/>
          <w:lang w:val="fr-FR" w:eastAsia="en-US"/>
        </w:rPr>
        <w:t>le</w:t>
      </w:r>
      <w:r w:rsidRPr="00565178">
        <w:rPr>
          <w:rFonts w:ascii="Arial" w:eastAsia="SimSun" w:hAnsi="Arial" w:cs="Arial"/>
          <w:sz w:val="22"/>
          <w:szCs w:val="22"/>
          <w:lang w:val="fr-FR" w:eastAsia="en-US"/>
        </w:rPr>
        <w:t xml:space="preserve"> mécanisme réformé de soumission des rapports périodiques, qui a</w:t>
      </w:r>
      <w:r>
        <w:rPr>
          <w:rFonts w:ascii="Arial" w:eastAsia="SimSun" w:hAnsi="Arial" w:cs="Arial"/>
          <w:sz w:val="22"/>
          <w:szCs w:val="22"/>
          <w:lang w:val="fr-FR" w:eastAsia="en-US"/>
        </w:rPr>
        <w:t>vait</w:t>
      </w:r>
      <w:r w:rsidRPr="00565178">
        <w:rPr>
          <w:rFonts w:ascii="Arial" w:eastAsia="SimSun" w:hAnsi="Arial" w:cs="Arial"/>
          <w:sz w:val="22"/>
          <w:szCs w:val="22"/>
          <w:lang w:val="fr-FR" w:eastAsia="en-US"/>
        </w:rPr>
        <w:t xml:space="preserve"> considérablement amélioré les taux de soumission des rapports, ainsi que la réflexion globale sur les mécanismes d</w:t>
      </w:r>
      <w:r w:rsidR="008E532B">
        <w:rPr>
          <w:rFonts w:ascii="Arial" w:eastAsia="SimSun" w:hAnsi="Arial" w:cs="Arial"/>
          <w:sz w:val="22"/>
          <w:szCs w:val="22"/>
          <w:lang w:val="fr-FR" w:eastAsia="en-US"/>
        </w:rPr>
        <w:t>’</w:t>
      </w:r>
      <w:r w:rsidRPr="00565178">
        <w:rPr>
          <w:rFonts w:ascii="Arial" w:eastAsia="SimSun" w:hAnsi="Arial" w:cs="Arial"/>
          <w:sz w:val="22"/>
          <w:szCs w:val="22"/>
          <w:lang w:val="fr-FR" w:eastAsia="en-US"/>
        </w:rPr>
        <w:t>inscription et les interventions de renforcement des capacités mises en œuvre en Afrique et dans les PEID. Elle a également salué le vaste processus de consultation qui a</w:t>
      </w:r>
      <w:r>
        <w:rPr>
          <w:rFonts w:ascii="Arial" w:eastAsia="SimSun" w:hAnsi="Arial" w:cs="Arial"/>
          <w:sz w:val="22"/>
          <w:szCs w:val="22"/>
          <w:lang w:val="fr-FR" w:eastAsia="en-US"/>
        </w:rPr>
        <w:t>vait</w:t>
      </w:r>
      <w:r w:rsidRPr="00565178">
        <w:rPr>
          <w:rFonts w:ascii="Arial" w:eastAsia="SimSun" w:hAnsi="Arial" w:cs="Arial"/>
          <w:sz w:val="22"/>
          <w:szCs w:val="22"/>
          <w:lang w:val="fr-FR" w:eastAsia="en-US"/>
        </w:rPr>
        <w:t xml:space="preserve"> eu lieu au cours des deux dernières années pour améliorer la mise en œuvre de la Convention à tous les niveaux. La Mongolie</w:t>
      </w:r>
      <w:r>
        <w:rPr>
          <w:rFonts w:ascii="Arial" w:eastAsia="SimSun" w:hAnsi="Arial" w:cs="Arial"/>
          <w:sz w:val="22"/>
          <w:szCs w:val="22"/>
          <w:lang w:val="fr-FR" w:eastAsia="en-US"/>
        </w:rPr>
        <w:t xml:space="preserve">, qui </w:t>
      </w:r>
      <w:r w:rsidRPr="00565178">
        <w:rPr>
          <w:rFonts w:ascii="Arial" w:eastAsia="SimSun" w:hAnsi="Arial" w:cs="Arial"/>
          <w:sz w:val="22"/>
          <w:szCs w:val="22"/>
          <w:lang w:val="fr-FR" w:eastAsia="en-US"/>
        </w:rPr>
        <w:t>souten</w:t>
      </w:r>
      <w:r>
        <w:rPr>
          <w:rFonts w:ascii="Arial" w:eastAsia="SimSun" w:hAnsi="Arial" w:cs="Arial"/>
          <w:sz w:val="22"/>
          <w:szCs w:val="22"/>
          <w:lang w:val="fr-FR" w:eastAsia="en-US"/>
        </w:rPr>
        <w:t>ait</w:t>
      </w:r>
      <w:r w:rsidRPr="00565178">
        <w:rPr>
          <w:rFonts w:ascii="Arial" w:eastAsia="SimSun" w:hAnsi="Arial" w:cs="Arial"/>
          <w:sz w:val="22"/>
          <w:szCs w:val="22"/>
          <w:lang w:val="fr-FR" w:eastAsia="en-US"/>
        </w:rPr>
        <w:t xml:space="preserve"> les révisions proposées aux Directives opérationnelle</w:t>
      </w:r>
      <w:r>
        <w:rPr>
          <w:rFonts w:ascii="Arial" w:eastAsia="SimSun" w:hAnsi="Arial" w:cs="Arial"/>
          <w:sz w:val="22"/>
          <w:szCs w:val="22"/>
          <w:lang w:val="fr-FR" w:eastAsia="en-US"/>
        </w:rPr>
        <w:t xml:space="preserve">s, </w:t>
      </w:r>
      <w:r w:rsidRPr="00565178">
        <w:rPr>
          <w:rFonts w:ascii="Arial" w:eastAsia="SimSun" w:hAnsi="Arial" w:cs="Arial"/>
          <w:sz w:val="22"/>
          <w:szCs w:val="22"/>
          <w:lang w:val="fr-FR" w:eastAsia="en-US"/>
        </w:rPr>
        <w:t xml:space="preserve">a remercié tous les États parties qui </w:t>
      </w:r>
      <w:r>
        <w:rPr>
          <w:rFonts w:ascii="Arial" w:eastAsia="SimSun" w:hAnsi="Arial" w:cs="Arial"/>
          <w:sz w:val="22"/>
          <w:szCs w:val="22"/>
          <w:lang w:val="fr-FR" w:eastAsia="en-US"/>
        </w:rPr>
        <w:t xml:space="preserve">avaient </w:t>
      </w:r>
      <w:r w:rsidRPr="00565178">
        <w:rPr>
          <w:rFonts w:ascii="Arial" w:eastAsia="SimSun" w:hAnsi="Arial" w:cs="Arial"/>
          <w:sz w:val="22"/>
          <w:szCs w:val="22"/>
          <w:lang w:val="fr-FR" w:eastAsia="en-US"/>
        </w:rPr>
        <w:t xml:space="preserve">contribué à faire avancer ce processus. Elle a </w:t>
      </w:r>
      <w:r>
        <w:rPr>
          <w:rFonts w:ascii="Arial" w:eastAsia="SimSun" w:hAnsi="Arial" w:cs="Arial"/>
          <w:sz w:val="22"/>
          <w:szCs w:val="22"/>
          <w:lang w:val="fr-FR" w:eastAsia="en-US"/>
        </w:rPr>
        <w:t xml:space="preserve">tout </w:t>
      </w:r>
      <w:r w:rsidRPr="00565178">
        <w:rPr>
          <w:rFonts w:ascii="Arial" w:eastAsia="SimSun" w:hAnsi="Arial" w:cs="Arial"/>
          <w:sz w:val="22"/>
          <w:szCs w:val="22"/>
          <w:lang w:val="fr-FR" w:eastAsia="en-US"/>
        </w:rPr>
        <w:t>particulièrement félicité l</w:t>
      </w:r>
      <w:r w:rsidR="008E532B">
        <w:rPr>
          <w:rFonts w:ascii="Arial" w:eastAsia="SimSun" w:hAnsi="Arial" w:cs="Arial"/>
          <w:sz w:val="22"/>
          <w:szCs w:val="22"/>
          <w:lang w:val="fr-FR" w:eastAsia="en-US"/>
        </w:rPr>
        <w:t>’</w:t>
      </w:r>
      <w:r>
        <w:rPr>
          <w:rFonts w:ascii="Arial" w:eastAsia="SimSun" w:hAnsi="Arial" w:cs="Arial"/>
          <w:sz w:val="22"/>
          <w:szCs w:val="22"/>
          <w:lang w:val="fr-FR" w:eastAsia="en-US"/>
        </w:rPr>
        <w:t>a</w:t>
      </w:r>
      <w:r w:rsidRPr="00565178">
        <w:rPr>
          <w:rFonts w:ascii="Arial" w:eastAsia="SimSun" w:hAnsi="Arial" w:cs="Arial"/>
          <w:sz w:val="22"/>
          <w:szCs w:val="22"/>
          <w:lang w:val="fr-FR" w:eastAsia="en-US"/>
        </w:rPr>
        <w:t>mbassadeur du Japon pour son soutien au groupe de travail à composition non limitée. En outre, la Mongolie appréci</w:t>
      </w:r>
      <w:r>
        <w:rPr>
          <w:rFonts w:ascii="Arial" w:eastAsia="SimSun" w:hAnsi="Arial" w:cs="Arial"/>
          <w:sz w:val="22"/>
          <w:szCs w:val="22"/>
          <w:lang w:val="fr-FR" w:eastAsia="en-US"/>
        </w:rPr>
        <w:t>ait</w:t>
      </w:r>
      <w:r w:rsidRPr="00565178">
        <w:rPr>
          <w:rFonts w:ascii="Arial" w:eastAsia="SimSun" w:hAnsi="Arial" w:cs="Arial"/>
          <w:sz w:val="22"/>
          <w:szCs w:val="22"/>
          <w:lang w:val="fr-FR" w:eastAsia="en-US"/>
        </w:rPr>
        <w:t xml:space="preserve"> les progrès réalisés </w:t>
      </w:r>
      <w:r w:rsidRPr="00A509FC">
        <w:rPr>
          <w:rFonts w:ascii="Arial" w:eastAsia="SimSun" w:hAnsi="Arial" w:cs="Arial"/>
          <w:sz w:val="22"/>
          <w:szCs w:val="22"/>
          <w:lang w:val="fr-FR" w:eastAsia="en-US"/>
        </w:rPr>
        <w:t>en ce qui concerne</w:t>
      </w:r>
      <w:r w:rsidRPr="00565178">
        <w:rPr>
          <w:rFonts w:ascii="Arial" w:eastAsia="SimSun" w:hAnsi="Arial" w:cs="Arial"/>
          <w:sz w:val="22"/>
          <w:szCs w:val="22"/>
          <w:lang w:val="fr-FR" w:eastAsia="en-US"/>
        </w:rPr>
        <w:t xml:space="preserve"> la synergie entre les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w:t>
      </w:r>
      <w:r>
        <w:rPr>
          <w:rFonts w:ascii="Arial" w:eastAsia="SimSun" w:hAnsi="Arial" w:cs="Arial"/>
          <w:sz w:val="22"/>
          <w:szCs w:val="22"/>
          <w:lang w:val="fr-FR"/>
        </w:rPr>
        <w:t>ESCO en matière de culture</w:t>
      </w:r>
      <w:r>
        <w:rPr>
          <w:rFonts w:ascii="Arial" w:eastAsia="SimSun" w:hAnsi="Arial" w:cs="Arial"/>
          <w:sz w:val="22"/>
          <w:szCs w:val="22"/>
          <w:lang w:val="fr-FR" w:eastAsia="en-US"/>
        </w:rPr>
        <w:t xml:space="preserve">, </w:t>
      </w:r>
      <w:r w:rsidRPr="00565178">
        <w:rPr>
          <w:rFonts w:ascii="Arial" w:eastAsia="SimSun" w:hAnsi="Arial" w:cs="Arial"/>
          <w:sz w:val="22"/>
          <w:szCs w:val="22"/>
          <w:lang w:val="fr-FR" w:eastAsia="en-US"/>
        </w:rPr>
        <w:t>et la mise en œuvre de projets et d</w:t>
      </w:r>
      <w:r w:rsidR="008E532B">
        <w:rPr>
          <w:rFonts w:ascii="Arial" w:eastAsia="SimSun" w:hAnsi="Arial" w:cs="Arial"/>
          <w:sz w:val="22"/>
          <w:szCs w:val="22"/>
          <w:lang w:val="fr-FR" w:eastAsia="en-US"/>
        </w:rPr>
        <w:t>’</w:t>
      </w:r>
      <w:r w:rsidRPr="00565178">
        <w:rPr>
          <w:rFonts w:ascii="Arial" w:eastAsia="SimSun" w:hAnsi="Arial" w:cs="Arial"/>
          <w:sz w:val="22"/>
          <w:szCs w:val="22"/>
          <w:lang w:val="fr-FR" w:eastAsia="en-US"/>
        </w:rPr>
        <w:t>initiatives dans ce domaine. En tant que pays exploitant des projets innovants dans le secteur de l</w:t>
      </w:r>
      <w:r w:rsidR="008E532B">
        <w:rPr>
          <w:rFonts w:ascii="Arial" w:eastAsia="SimSun" w:hAnsi="Arial" w:cs="Arial"/>
          <w:sz w:val="22"/>
          <w:szCs w:val="22"/>
          <w:lang w:val="fr-FR" w:eastAsia="en-US"/>
        </w:rPr>
        <w:t>’</w:t>
      </w:r>
      <w:r w:rsidRPr="00565178">
        <w:rPr>
          <w:rFonts w:ascii="Arial" w:eastAsia="SimSun" w:hAnsi="Arial" w:cs="Arial"/>
          <w:sz w:val="22"/>
          <w:szCs w:val="22"/>
          <w:lang w:val="fr-FR" w:eastAsia="en-US"/>
        </w:rPr>
        <w:t>éducation et de la culture, la Mongolie souhait</w:t>
      </w:r>
      <w:r>
        <w:rPr>
          <w:rFonts w:ascii="Arial" w:eastAsia="SimSun" w:hAnsi="Arial" w:cs="Arial"/>
          <w:sz w:val="22"/>
          <w:szCs w:val="22"/>
          <w:lang w:val="fr-FR" w:eastAsia="en-US"/>
        </w:rPr>
        <w:t>ait</w:t>
      </w:r>
      <w:r w:rsidRPr="00565178">
        <w:rPr>
          <w:rFonts w:ascii="Arial" w:eastAsia="SimSun" w:hAnsi="Arial" w:cs="Arial"/>
          <w:sz w:val="22"/>
          <w:szCs w:val="22"/>
          <w:lang w:val="fr-FR" w:eastAsia="en-US"/>
        </w:rPr>
        <w:t xml:space="preserve"> partager son expérience et contribuer à l</w:t>
      </w:r>
      <w:r w:rsidR="008E532B">
        <w:rPr>
          <w:rFonts w:ascii="Arial" w:eastAsia="SimSun" w:hAnsi="Arial" w:cs="Arial"/>
          <w:sz w:val="22"/>
          <w:szCs w:val="22"/>
          <w:lang w:val="fr-FR" w:eastAsia="en-US"/>
        </w:rPr>
        <w:t>’</w:t>
      </w:r>
      <w:r w:rsidRPr="00565178">
        <w:rPr>
          <w:rFonts w:ascii="Arial" w:eastAsia="SimSun" w:hAnsi="Arial" w:cs="Arial"/>
          <w:sz w:val="22"/>
          <w:szCs w:val="22"/>
          <w:lang w:val="fr-FR" w:eastAsia="en-US"/>
        </w:rPr>
        <w:t>échange d</w:t>
      </w:r>
      <w:r w:rsidR="008E532B">
        <w:rPr>
          <w:rFonts w:ascii="Arial" w:eastAsia="SimSun" w:hAnsi="Arial" w:cs="Arial"/>
          <w:sz w:val="22"/>
          <w:szCs w:val="22"/>
          <w:lang w:val="fr-FR" w:eastAsia="en-US"/>
        </w:rPr>
        <w:t>’</w:t>
      </w:r>
      <w:r w:rsidRPr="00565178">
        <w:rPr>
          <w:rFonts w:ascii="Arial" w:eastAsia="SimSun" w:hAnsi="Arial" w:cs="Arial"/>
          <w:sz w:val="22"/>
          <w:szCs w:val="22"/>
          <w:lang w:val="fr-FR" w:eastAsia="en-US"/>
        </w:rPr>
        <w:t>informations sur le patrimoine vivant et l</w:t>
      </w:r>
      <w:r w:rsidR="008E532B">
        <w:rPr>
          <w:rFonts w:ascii="Arial" w:eastAsia="SimSun" w:hAnsi="Arial" w:cs="Arial"/>
          <w:sz w:val="22"/>
          <w:szCs w:val="22"/>
          <w:lang w:val="fr-FR" w:eastAsia="en-US"/>
        </w:rPr>
        <w:t>’</w:t>
      </w:r>
      <w:r w:rsidRPr="00565178">
        <w:rPr>
          <w:rFonts w:ascii="Arial" w:eastAsia="SimSun" w:hAnsi="Arial" w:cs="Arial"/>
          <w:sz w:val="22"/>
          <w:szCs w:val="22"/>
          <w:lang w:val="fr-FR" w:eastAsia="en-US"/>
        </w:rPr>
        <w:t>éducation développé par le Secrétariat à travers ses projets et initiatives.</w:t>
      </w:r>
    </w:p>
    <w:p w14:paraId="092BD4A4" w14:textId="0A32EF7F" w:rsidR="00D9653F" w:rsidRPr="00A509FC"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A509FC">
        <w:rPr>
          <w:rFonts w:ascii="Arial" w:eastAsia="SimSun" w:hAnsi="Arial" w:cs="Arial"/>
          <w:bCs/>
          <w:sz w:val="22"/>
          <w:szCs w:val="22"/>
          <w:lang w:val="fr-FR" w:eastAsia="en-US"/>
        </w:rPr>
        <w:t xml:space="preserve">La délégation de la </w:t>
      </w:r>
      <w:r w:rsidRPr="00A509FC">
        <w:rPr>
          <w:rFonts w:ascii="Arial" w:eastAsia="SimSun" w:hAnsi="Arial" w:cs="Arial"/>
          <w:b/>
          <w:sz w:val="22"/>
          <w:szCs w:val="22"/>
          <w:lang w:val="fr-FR" w:eastAsia="en-US"/>
        </w:rPr>
        <w:t>Mongolie</w:t>
      </w:r>
      <w:r w:rsidRPr="00A509FC">
        <w:rPr>
          <w:rFonts w:ascii="Arial" w:eastAsia="SimSun" w:hAnsi="Arial" w:cs="Arial"/>
          <w:bCs/>
          <w:sz w:val="22"/>
          <w:szCs w:val="22"/>
          <w:lang w:val="fr-FR" w:eastAsia="en-US"/>
        </w:rPr>
        <w:t xml:space="preserve"> a remercié le Secrétariat pour son étroite coopération dans la mise en œuvre du projet </w:t>
      </w:r>
      <w:r>
        <w:rPr>
          <w:rFonts w:ascii="Arial" w:eastAsia="SimSun" w:hAnsi="Arial" w:cs="Arial"/>
          <w:bCs/>
          <w:sz w:val="22"/>
          <w:szCs w:val="22"/>
          <w:lang w:val="fr-FR" w:eastAsia="en-US"/>
        </w:rPr>
        <w:t>« La t</w:t>
      </w:r>
      <w:r w:rsidRPr="00A509FC">
        <w:rPr>
          <w:rFonts w:ascii="Arial" w:eastAsia="SimSun" w:hAnsi="Arial" w:cs="Arial"/>
          <w:bCs/>
          <w:sz w:val="22"/>
          <w:szCs w:val="22"/>
          <w:lang w:val="fr-FR" w:eastAsia="en-US"/>
        </w:rPr>
        <w:t>echnique d</w:t>
      </w:r>
      <w:r w:rsidR="008E532B">
        <w:rPr>
          <w:rFonts w:ascii="Arial" w:eastAsia="SimSun" w:hAnsi="Arial" w:cs="Arial"/>
          <w:bCs/>
          <w:sz w:val="22"/>
          <w:szCs w:val="22"/>
          <w:lang w:val="fr-FR" w:eastAsia="en-US"/>
        </w:rPr>
        <w:t>’</w:t>
      </w:r>
      <w:r w:rsidRPr="00A509FC">
        <w:rPr>
          <w:rFonts w:ascii="Arial" w:eastAsia="SimSun" w:hAnsi="Arial" w:cs="Arial"/>
          <w:bCs/>
          <w:sz w:val="22"/>
          <w:szCs w:val="22"/>
          <w:lang w:val="fr-FR" w:eastAsia="en-US"/>
        </w:rPr>
        <w:t>interprétation d</w:t>
      </w:r>
      <w:r>
        <w:rPr>
          <w:rFonts w:ascii="Arial" w:eastAsia="SimSun" w:hAnsi="Arial" w:cs="Arial"/>
          <w:bCs/>
          <w:sz w:val="22"/>
          <w:szCs w:val="22"/>
          <w:lang w:val="fr-FR" w:eastAsia="en-US"/>
        </w:rPr>
        <w:t>u</w:t>
      </w:r>
      <w:r w:rsidRPr="00A509FC">
        <w:rPr>
          <w:rFonts w:ascii="Arial" w:eastAsia="SimSun" w:hAnsi="Arial" w:cs="Arial"/>
          <w:bCs/>
          <w:sz w:val="22"/>
          <w:szCs w:val="22"/>
          <w:lang w:val="fr-FR" w:eastAsia="en-US"/>
        </w:rPr>
        <w:t xml:space="preserve"> chant long des </w:t>
      </w:r>
      <w:r>
        <w:rPr>
          <w:rFonts w:ascii="Arial" w:eastAsia="SimSun" w:hAnsi="Arial" w:cs="Arial"/>
          <w:bCs/>
          <w:sz w:val="22"/>
          <w:szCs w:val="22"/>
          <w:lang w:val="fr-FR" w:eastAsia="en-US"/>
        </w:rPr>
        <w:t xml:space="preserve">joueurs de flûte limbe », </w:t>
      </w:r>
      <w:r w:rsidRPr="00A509FC">
        <w:rPr>
          <w:rFonts w:ascii="Arial" w:eastAsia="SimSun" w:hAnsi="Arial" w:cs="Arial"/>
          <w:bCs/>
          <w:sz w:val="22"/>
          <w:szCs w:val="22"/>
          <w:lang w:val="fr-FR" w:eastAsia="en-US"/>
        </w:rPr>
        <w:t xml:space="preserve">financé par le Fonds. Malgré les nombreux défis dus à la pandémie, ce projet </w:t>
      </w:r>
      <w:r>
        <w:rPr>
          <w:rFonts w:ascii="Arial" w:eastAsia="SimSun" w:hAnsi="Arial" w:cs="Arial"/>
          <w:bCs/>
          <w:sz w:val="22"/>
          <w:szCs w:val="22"/>
          <w:lang w:val="fr-FR" w:eastAsia="en-US"/>
        </w:rPr>
        <w:t>était</w:t>
      </w:r>
      <w:r w:rsidRPr="00A509FC">
        <w:rPr>
          <w:rFonts w:ascii="Arial" w:eastAsia="SimSun" w:hAnsi="Arial" w:cs="Arial"/>
          <w:bCs/>
          <w:sz w:val="22"/>
          <w:szCs w:val="22"/>
          <w:lang w:val="fr-FR" w:eastAsia="en-US"/>
        </w:rPr>
        <w:t xml:space="preserve"> pleinement mis en œuvre en 2022 et contribu</w:t>
      </w:r>
      <w:r>
        <w:rPr>
          <w:rFonts w:ascii="Arial" w:eastAsia="SimSun" w:hAnsi="Arial" w:cs="Arial"/>
          <w:bCs/>
          <w:sz w:val="22"/>
          <w:szCs w:val="22"/>
          <w:lang w:val="fr-FR" w:eastAsia="en-US"/>
        </w:rPr>
        <w:t>ait</w:t>
      </w:r>
      <w:r w:rsidRPr="00A509FC">
        <w:rPr>
          <w:rFonts w:ascii="Arial" w:eastAsia="SimSun" w:hAnsi="Arial" w:cs="Arial"/>
          <w:bCs/>
          <w:sz w:val="22"/>
          <w:szCs w:val="22"/>
          <w:lang w:val="fr-FR" w:eastAsia="en-US"/>
        </w:rPr>
        <w:t xml:space="preserve"> à la viabilité de cet important patrimoine vivant. La Mongolie a également félicité le Secrétariat pour l</w:t>
      </w:r>
      <w:r w:rsidR="008E532B">
        <w:rPr>
          <w:rFonts w:ascii="Arial" w:eastAsia="SimSun" w:hAnsi="Arial" w:cs="Arial"/>
          <w:bCs/>
          <w:sz w:val="22"/>
          <w:szCs w:val="22"/>
          <w:lang w:val="fr-FR" w:eastAsia="en-US"/>
        </w:rPr>
        <w:t>’</w:t>
      </w:r>
      <w:r w:rsidRPr="00A509FC">
        <w:rPr>
          <w:rFonts w:ascii="Arial" w:eastAsia="SimSun" w:hAnsi="Arial" w:cs="Arial"/>
          <w:bCs/>
          <w:sz w:val="22"/>
          <w:szCs w:val="22"/>
          <w:lang w:val="fr-FR" w:eastAsia="en-US"/>
        </w:rPr>
        <w:t>utilisation de diverses plateformes en ligne, comme le MOOC sur le patrimoine vivant et le développement durable, en partenariat avec la République de Corée. À ce</w:t>
      </w:r>
      <w:r>
        <w:rPr>
          <w:rFonts w:ascii="Arial" w:eastAsia="SimSun" w:hAnsi="Arial" w:cs="Arial"/>
          <w:bCs/>
          <w:sz w:val="22"/>
          <w:szCs w:val="22"/>
          <w:lang w:val="fr-FR" w:eastAsia="en-US"/>
        </w:rPr>
        <w:t xml:space="preserve"> sujet</w:t>
      </w:r>
      <w:r w:rsidRPr="00A509FC">
        <w:rPr>
          <w:rFonts w:ascii="Arial" w:eastAsia="SimSun" w:hAnsi="Arial" w:cs="Arial"/>
          <w:bCs/>
          <w:sz w:val="22"/>
          <w:szCs w:val="22"/>
          <w:lang w:val="fr-FR" w:eastAsia="en-US"/>
        </w:rPr>
        <w:t xml:space="preserve">, elle </w:t>
      </w:r>
      <w:r>
        <w:rPr>
          <w:rFonts w:ascii="Arial" w:eastAsia="SimSun" w:hAnsi="Arial" w:cs="Arial"/>
          <w:bCs/>
          <w:sz w:val="22"/>
          <w:szCs w:val="22"/>
          <w:lang w:val="fr-FR" w:eastAsia="en-US"/>
        </w:rPr>
        <w:t>souhaiterait</w:t>
      </w:r>
      <w:r w:rsidRPr="00A509FC">
        <w:rPr>
          <w:rFonts w:ascii="Arial" w:eastAsia="SimSun" w:hAnsi="Arial" w:cs="Arial"/>
          <w:bCs/>
          <w:sz w:val="22"/>
          <w:szCs w:val="22"/>
          <w:lang w:val="fr-FR" w:eastAsia="en-US"/>
        </w:rPr>
        <w:t xml:space="preserve"> que le Secrétariat poursuive son travail visant à impliquer les établissements d</w:t>
      </w:r>
      <w:r w:rsidR="008E532B">
        <w:rPr>
          <w:rFonts w:ascii="Arial" w:eastAsia="SimSun" w:hAnsi="Arial" w:cs="Arial"/>
          <w:bCs/>
          <w:sz w:val="22"/>
          <w:szCs w:val="22"/>
          <w:lang w:val="fr-FR" w:eastAsia="en-US"/>
        </w:rPr>
        <w:t>’</w:t>
      </w:r>
      <w:r w:rsidRPr="00A509FC">
        <w:rPr>
          <w:rFonts w:ascii="Arial" w:eastAsia="SimSun" w:hAnsi="Arial" w:cs="Arial"/>
          <w:bCs/>
          <w:sz w:val="22"/>
          <w:szCs w:val="22"/>
          <w:lang w:val="fr-FR" w:eastAsia="en-US"/>
        </w:rPr>
        <w:t>enseignement supérieur dans la mise en œuvre de la Convention afin qu</w:t>
      </w:r>
      <w:r w:rsidR="008E532B">
        <w:rPr>
          <w:rFonts w:ascii="Arial" w:eastAsia="SimSun" w:hAnsi="Arial" w:cs="Arial"/>
          <w:bCs/>
          <w:sz w:val="22"/>
          <w:szCs w:val="22"/>
          <w:lang w:val="fr-FR" w:eastAsia="en-US"/>
        </w:rPr>
        <w:t>’</w:t>
      </w:r>
      <w:r w:rsidRPr="00A509FC">
        <w:rPr>
          <w:rFonts w:ascii="Arial" w:eastAsia="SimSun" w:hAnsi="Arial" w:cs="Arial"/>
          <w:bCs/>
          <w:sz w:val="22"/>
          <w:szCs w:val="22"/>
          <w:lang w:val="fr-FR" w:eastAsia="en-US"/>
        </w:rPr>
        <w:t xml:space="preserve">ils utilisent les </w:t>
      </w:r>
      <w:r>
        <w:rPr>
          <w:rFonts w:ascii="Arial" w:eastAsia="SimSun" w:hAnsi="Arial" w:cs="Arial"/>
          <w:bCs/>
          <w:sz w:val="22"/>
          <w:szCs w:val="22"/>
          <w:lang w:val="fr-FR" w:eastAsia="en-US"/>
        </w:rPr>
        <w:t>c</w:t>
      </w:r>
      <w:r w:rsidRPr="00A509FC">
        <w:rPr>
          <w:rFonts w:ascii="Arial" w:eastAsia="SimSun" w:hAnsi="Arial" w:cs="Arial"/>
          <w:bCs/>
          <w:sz w:val="22"/>
          <w:szCs w:val="22"/>
          <w:lang w:val="fr-FR" w:eastAsia="en-US"/>
        </w:rPr>
        <w:t>haires UNESCO, les réseaux UNITWIN</w:t>
      </w:r>
      <w:r>
        <w:rPr>
          <w:rStyle w:val="FootnoteReference"/>
          <w:rFonts w:ascii="Arial" w:eastAsia="SimSun" w:hAnsi="Arial" w:cs="Arial"/>
          <w:bCs/>
          <w:sz w:val="22"/>
          <w:szCs w:val="22"/>
          <w:lang w:val="fr-FR" w:eastAsia="en-US"/>
        </w:rPr>
        <w:footnoteReference w:id="23"/>
      </w:r>
      <w:r w:rsidRPr="00A509FC">
        <w:rPr>
          <w:rFonts w:ascii="Arial" w:eastAsia="SimSun" w:hAnsi="Arial" w:cs="Arial"/>
          <w:bCs/>
          <w:sz w:val="22"/>
          <w:szCs w:val="22"/>
          <w:lang w:val="fr-FR" w:eastAsia="en-US"/>
        </w:rPr>
        <w:t xml:space="preserve"> et au-delà. Le </w:t>
      </w:r>
      <w:r>
        <w:rPr>
          <w:rFonts w:ascii="Arial" w:eastAsia="SimSun" w:hAnsi="Arial" w:cs="Arial"/>
          <w:bCs/>
          <w:sz w:val="22"/>
          <w:szCs w:val="22"/>
          <w:lang w:val="fr-FR" w:eastAsia="en-US"/>
        </w:rPr>
        <w:t>G</w:t>
      </w:r>
      <w:r w:rsidRPr="00A509FC">
        <w:rPr>
          <w:rFonts w:ascii="Arial" w:eastAsia="SimSun" w:hAnsi="Arial" w:cs="Arial"/>
          <w:bCs/>
          <w:sz w:val="22"/>
          <w:szCs w:val="22"/>
          <w:lang w:val="fr-FR" w:eastAsia="en-US"/>
        </w:rPr>
        <w:t>ouvernement de la Mongolie</w:t>
      </w:r>
      <w:r>
        <w:rPr>
          <w:rFonts w:ascii="Arial" w:eastAsia="SimSun" w:hAnsi="Arial" w:cs="Arial"/>
          <w:bCs/>
          <w:sz w:val="22"/>
          <w:szCs w:val="22"/>
          <w:lang w:val="fr-FR" w:eastAsia="en-US"/>
        </w:rPr>
        <w:t>, qui</w:t>
      </w:r>
      <w:r w:rsidRPr="00A509FC">
        <w:rPr>
          <w:rFonts w:ascii="Arial" w:eastAsia="SimSun" w:hAnsi="Arial" w:cs="Arial"/>
          <w:bCs/>
          <w:sz w:val="22"/>
          <w:szCs w:val="22"/>
          <w:lang w:val="fr-FR" w:eastAsia="en-US"/>
        </w:rPr>
        <w:t xml:space="preserve"> attach</w:t>
      </w:r>
      <w:r>
        <w:rPr>
          <w:rFonts w:ascii="Arial" w:eastAsia="SimSun" w:hAnsi="Arial" w:cs="Arial"/>
          <w:bCs/>
          <w:sz w:val="22"/>
          <w:szCs w:val="22"/>
          <w:lang w:val="fr-FR" w:eastAsia="en-US"/>
        </w:rPr>
        <w:t>ait</w:t>
      </w:r>
      <w:r w:rsidRPr="00A509FC">
        <w:rPr>
          <w:rFonts w:ascii="Arial" w:eastAsia="SimSun" w:hAnsi="Arial" w:cs="Arial"/>
          <w:bCs/>
          <w:sz w:val="22"/>
          <w:szCs w:val="22"/>
          <w:lang w:val="fr-FR" w:eastAsia="en-US"/>
        </w:rPr>
        <w:t xml:space="preserve"> une grande importance au patrimoine culturel</w:t>
      </w:r>
      <w:r>
        <w:rPr>
          <w:rFonts w:ascii="Arial" w:eastAsia="SimSun" w:hAnsi="Arial" w:cs="Arial"/>
          <w:bCs/>
          <w:sz w:val="22"/>
          <w:szCs w:val="22"/>
          <w:lang w:val="fr-FR" w:eastAsia="en-US"/>
        </w:rPr>
        <w:t>,</w:t>
      </w:r>
      <w:r w:rsidRPr="00A509FC">
        <w:rPr>
          <w:rFonts w:ascii="Arial" w:eastAsia="SimSun" w:hAnsi="Arial" w:cs="Arial"/>
          <w:bCs/>
          <w:sz w:val="22"/>
          <w:szCs w:val="22"/>
          <w:lang w:val="fr-FR" w:eastAsia="en-US"/>
        </w:rPr>
        <w:t xml:space="preserve"> a</w:t>
      </w:r>
      <w:r>
        <w:rPr>
          <w:rFonts w:ascii="Arial" w:eastAsia="SimSun" w:hAnsi="Arial" w:cs="Arial"/>
          <w:bCs/>
          <w:sz w:val="22"/>
          <w:szCs w:val="22"/>
          <w:lang w:val="fr-FR" w:eastAsia="en-US"/>
        </w:rPr>
        <w:t>vait</w:t>
      </w:r>
      <w:r w:rsidRPr="00A509FC">
        <w:rPr>
          <w:rFonts w:ascii="Arial" w:eastAsia="SimSun" w:hAnsi="Arial" w:cs="Arial"/>
          <w:bCs/>
          <w:sz w:val="22"/>
          <w:szCs w:val="22"/>
          <w:lang w:val="fr-FR" w:eastAsia="en-US"/>
        </w:rPr>
        <w:t xml:space="preserve"> lancé un processus d</w:t>
      </w:r>
      <w:r w:rsidR="008E532B">
        <w:rPr>
          <w:rFonts w:ascii="Arial" w:eastAsia="SimSun" w:hAnsi="Arial" w:cs="Arial"/>
          <w:bCs/>
          <w:sz w:val="22"/>
          <w:szCs w:val="22"/>
          <w:lang w:val="fr-FR" w:eastAsia="en-US"/>
        </w:rPr>
        <w:t>’</w:t>
      </w:r>
      <w:r w:rsidRPr="00A509FC">
        <w:rPr>
          <w:rFonts w:ascii="Arial" w:eastAsia="SimSun" w:hAnsi="Arial" w:cs="Arial"/>
          <w:bCs/>
          <w:sz w:val="22"/>
          <w:szCs w:val="22"/>
          <w:lang w:val="fr-FR" w:eastAsia="en-US"/>
        </w:rPr>
        <w:t>amélioration de l</w:t>
      </w:r>
      <w:r w:rsidR="008E532B">
        <w:rPr>
          <w:rFonts w:ascii="Arial" w:eastAsia="SimSun" w:hAnsi="Arial" w:cs="Arial"/>
          <w:bCs/>
          <w:sz w:val="22"/>
          <w:szCs w:val="22"/>
          <w:lang w:val="fr-FR" w:eastAsia="en-US"/>
        </w:rPr>
        <w:t>’</w:t>
      </w:r>
      <w:r w:rsidRPr="00A509FC">
        <w:rPr>
          <w:rFonts w:ascii="Arial" w:eastAsia="SimSun" w:hAnsi="Arial" w:cs="Arial"/>
          <w:bCs/>
          <w:sz w:val="22"/>
          <w:szCs w:val="22"/>
          <w:lang w:val="fr-FR" w:eastAsia="en-US"/>
        </w:rPr>
        <w:t xml:space="preserve">environnement juridique </w:t>
      </w:r>
      <w:r>
        <w:rPr>
          <w:rFonts w:ascii="Arial" w:eastAsia="SimSun" w:hAnsi="Arial" w:cs="Arial"/>
          <w:bCs/>
          <w:sz w:val="22"/>
          <w:szCs w:val="22"/>
          <w:lang w:val="fr-FR" w:eastAsia="en-US"/>
        </w:rPr>
        <w:t>dans ce domaine</w:t>
      </w:r>
      <w:r w:rsidRPr="00A509FC">
        <w:rPr>
          <w:rFonts w:ascii="Arial" w:eastAsia="SimSun" w:hAnsi="Arial" w:cs="Arial"/>
          <w:bCs/>
          <w:sz w:val="22"/>
          <w:szCs w:val="22"/>
          <w:lang w:val="fr-FR" w:eastAsia="en-US"/>
        </w:rPr>
        <w:t>, ce qui a</w:t>
      </w:r>
      <w:r>
        <w:rPr>
          <w:rFonts w:ascii="Arial" w:eastAsia="SimSun" w:hAnsi="Arial" w:cs="Arial"/>
          <w:bCs/>
          <w:sz w:val="22"/>
          <w:szCs w:val="22"/>
          <w:lang w:val="fr-FR" w:eastAsia="en-US"/>
        </w:rPr>
        <w:t>vait</w:t>
      </w:r>
      <w:r w:rsidRPr="00A509FC">
        <w:rPr>
          <w:rFonts w:ascii="Arial" w:eastAsia="SimSun" w:hAnsi="Arial" w:cs="Arial"/>
          <w:bCs/>
          <w:sz w:val="22"/>
          <w:szCs w:val="22"/>
          <w:lang w:val="fr-FR" w:eastAsia="en-US"/>
        </w:rPr>
        <w:t xml:space="preserve"> conduit à la soumission d</w:t>
      </w:r>
      <w:r w:rsidR="008E532B">
        <w:rPr>
          <w:rFonts w:ascii="Arial" w:eastAsia="SimSun" w:hAnsi="Arial" w:cs="Arial"/>
          <w:bCs/>
          <w:sz w:val="22"/>
          <w:szCs w:val="22"/>
          <w:lang w:val="fr-FR" w:eastAsia="en-US"/>
        </w:rPr>
        <w:t>’</w:t>
      </w:r>
      <w:r w:rsidRPr="00A509FC">
        <w:rPr>
          <w:rFonts w:ascii="Arial" w:eastAsia="SimSun" w:hAnsi="Arial" w:cs="Arial"/>
          <w:bCs/>
          <w:sz w:val="22"/>
          <w:szCs w:val="22"/>
          <w:lang w:val="fr-FR" w:eastAsia="en-US"/>
        </w:rPr>
        <w:t xml:space="preserve">un amendement à la loi sur 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A509FC">
        <w:rPr>
          <w:rFonts w:ascii="Arial" w:eastAsia="SimSun" w:hAnsi="Arial" w:cs="Arial"/>
          <w:bCs/>
          <w:sz w:val="22"/>
          <w:szCs w:val="22"/>
          <w:lang w:val="fr-FR" w:eastAsia="en-US"/>
        </w:rPr>
        <w:t xml:space="preserve">pour 2024. </w:t>
      </w:r>
      <w:r>
        <w:rPr>
          <w:rFonts w:ascii="Arial" w:eastAsia="SimSun" w:hAnsi="Arial" w:cs="Arial"/>
          <w:bCs/>
          <w:sz w:val="22"/>
          <w:szCs w:val="22"/>
          <w:lang w:val="fr-FR" w:eastAsia="en-US"/>
        </w:rPr>
        <w:t xml:space="preserve">Un </w:t>
      </w:r>
      <w:r w:rsidRPr="00A509FC">
        <w:rPr>
          <w:rFonts w:ascii="Arial" w:eastAsia="SimSun" w:hAnsi="Arial" w:cs="Arial"/>
          <w:bCs/>
          <w:sz w:val="22"/>
          <w:szCs w:val="22"/>
          <w:lang w:val="fr-FR" w:eastAsia="en-US"/>
        </w:rPr>
        <w:t xml:space="preserve">groupe de travail avait déjà commencé à rechercher et à consulter les meilleures pratiques des pays </w:t>
      </w:r>
      <w:r>
        <w:rPr>
          <w:rFonts w:ascii="Arial" w:eastAsia="SimSun" w:hAnsi="Arial" w:cs="Arial"/>
          <w:bCs/>
          <w:sz w:val="22"/>
          <w:szCs w:val="22"/>
          <w:lang w:val="fr-FR" w:eastAsia="en-US"/>
        </w:rPr>
        <w:t xml:space="preserve">ayant </w:t>
      </w:r>
      <w:r w:rsidRPr="00A509FC">
        <w:rPr>
          <w:rFonts w:ascii="Arial" w:eastAsia="SimSun" w:hAnsi="Arial" w:cs="Arial"/>
          <w:bCs/>
          <w:sz w:val="22"/>
          <w:szCs w:val="22"/>
          <w:lang w:val="fr-FR" w:eastAsia="en-US"/>
        </w:rPr>
        <w:t>plus d</w:t>
      </w:r>
      <w:r w:rsidR="008E532B">
        <w:rPr>
          <w:rFonts w:ascii="Arial" w:eastAsia="SimSun" w:hAnsi="Arial" w:cs="Arial"/>
          <w:bCs/>
          <w:sz w:val="22"/>
          <w:szCs w:val="22"/>
          <w:lang w:val="fr-FR" w:eastAsia="en-US"/>
        </w:rPr>
        <w:t>’</w:t>
      </w:r>
      <w:r w:rsidRPr="00A509FC">
        <w:rPr>
          <w:rFonts w:ascii="Arial" w:eastAsia="SimSun" w:hAnsi="Arial" w:cs="Arial"/>
          <w:bCs/>
          <w:sz w:val="22"/>
          <w:szCs w:val="22"/>
          <w:lang w:val="fr-FR" w:eastAsia="en-US"/>
        </w:rPr>
        <w:t>expérience dans ce domaine.</w:t>
      </w:r>
    </w:p>
    <w:p w14:paraId="71895E3C" w14:textId="393E780F" w:rsidR="00D9653F" w:rsidRPr="00E97FFA"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E97FFA">
        <w:rPr>
          <w:rFonts w:ascii="Arial" w:eastAsia="SimSun" w:hAnsi="Arial" w:cs="Arial"/>
          <w:bCs/>
          <w:sz w:val="22"/>
          <w:szCs w:val="22"/>
          <w:lang w:val="fr-FR" w:eastAsia="en-US"/>
        </w:rPr>
        <w:t xml:space="preserve">La délégation de la </w:t>
      </w:r>
      <w:r w:rsidRPr="00E97FFA">
        <w:rPr>
          <w:rFonts w:ascii="Arial" w:eastAsia="SimSun" w:hAnsi="Arial" w:cs="Arial"/>
          <w:b/>
          <w:sz w:val="22"/>
          <w:szCs w:val="22"/>
          <w:lang w:val="fr-FR" w:eastAsia="en-US"/>
        </w:rPr>
        <w:t>Norvège</w:t>
      </w:r>
      <w:r w:rsidRPr="00E97FFA">
        <w:rPr>
          <w:rFonts w:ascii="Arial" w:eastAsia="SimSun" w:hAnsi="Arial" w:cs="Arial"/>
          <w:bCs/>
          <w:sz w:val="22"/>
          <w:szCs w:val="22"/>
          <w:lang w:val="fr-FR" w:eastAsia="en-US"/>
        </w:rPr>
        <w:t xml:space="preserve"> a félicité le Secrétariat et le Comité pour leur excellent travail. </w:t>
      </w:r>
      <w:r>
        <w:rPr>
          <w:rFonts w:ascii="Arial" w:eastAsia="SimSun" w:hAnsi="Arial" w:cs="Arial"/>
          <w:bCs/>
          <w:sz w:val="22"/>
          <w:szCs w:val="22"/>
          <w:lang w:val="fr-FR" w:eastAsia="en-US"/>
        </w:rPr>
        <w:t>C</w:t>
      </w:r>
      <w:r w:rsidRPr="00E97FFA">
        <w:rPr>
          <w:rFonts w:ascii="Arial" w:eastAsia="SimSun" w:hAnsi="Arial" w:cs="Arial"/>
          <w:bCs/>
          <w:sz w:val="22"/>
          <w:szCs w:val="22"/>
          <w:lang w:val="fr-FR" w:eastAsia="en-US"/>
        </w:rPr>
        <w:t>es dernières années de pandémie avaient été très difficiles, mais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UNESCO avait relevé le défi. Cela témoignait non seulement de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 xml:space="preserve">importance de la Convention mais </w:t>
      </w:r>
      <w:r>
        <w:rPr>
          <w:rFonts w:ascii="Arial" w:eastAsia="SimSun" w:hAnsi="Arial" w:cs="Arial"/>
          <w:bCs/>
          <w:sz w:val="22"/>
          <w:szCs w:val="22"/>
          <w:lang w:val="fr-FR" w:eastAsia="en-US"/>
        </w:rPr>
        <w:t xml:space="preserve">également </w:t>
      </w:r>
      <w:r w:rsidRPr="00E97FFA">
        <w:rPr>
          <w:rFonts w:ascii="Arial" w:eastAsia="SimSun" w:hAnsi="Arial" w:cs="Arial"/>
          <w:bCs/>
          <w:sz w:val="22"/>
          <w:szCs w:val="22"/>
          <w:lang w:val="fr-FR" w:eastAsia="en-US"/>
        </w:rPr>
        <w:t>du dévouement du Secrétariat et des organes directeurs. La Norvège s</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est félicitée de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 xml:space="preserve">augmentation du nombre de candidatures au Registre des bonnes pratiques de sauvegarde, qui concerne le cœur même de la Convention mais reste une ressource sous-utilisée, et a souhaité </w:t>
      </w:r>
      <w:r>
        <w:rPr>
          <w:rFonts w:ascii="Arial" w:eastAsia="SimSun" w:hAnsi="Arial" w:cs="Arial"/>
          <w:bCs/>
          <w:sz w:val="22"/>
          <w:szCs w:val="22"/>
          <w:lang w:val="fr-FR" w:eastAsia="en-US"/>
        </w:rPr>
        <w:t>qu</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 xml:space="preserve">un meilleur équilibre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établisse </w:t>
      </w:r>
      <w:r w:rsidRPr="00E97FFA">
        <w:rPr>
          <w:rFonts w:ascii="Arial" w:eastAsia="SimSun" w:hAnsi="Arial" w:cs="Arial"/>
          <w:bCs/>
          <w:sz w:val="22"/>
          <w:szCs w:val="22"/>
          <w:lang w:val="fr-FR" w:eastAsia="en-US"/>
        </w:rPr>
        <w:t>entre les mécanismes d</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inscription. Elle a salué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augmentation substantielle des taux de soumission des rapports périodiques. La Norvège a</w:t>
      </w:r>
      <w:r>
        <w:rPr>
          <w:rFonts w:ascii="Arial" w:eastAsia="SimSun" w:hAnsi="Arial" w:cs="Arial"/>
          <w:bCs/>
          <w:sz w:val="22"/>
          <w:szCs w:val="22"/>
          <w:lang w:val="fr-FR" w:eastAsia="en-US"/>
        </w:rPr>
        <w:t>vait</w:t>
      </w:r>
      <w:r w:rsidRPr="00E97FFA">
        <w:rPr>
          <w:rFonts w:ascii="Arial" w:eastAsia="SimSun" w:hAnsi="Arial" w:cs="Arial"/>
          <w:bCs/>
          <w:sz w:val="22"/>
          <w:szCs w:val="22"/>
          <w:lang w:val="fr-FR" w:eastAsia="en-US"/>
        </w:rPr>
        <w:t xml:space="preserve"> pris part au cycle de </w:t>
      </w:r>
      <w:r>
        <w:rPr>
          <w:rFonts w:ascii="Arial" w:eastAsia="SimSun" w:hAnsi="Arial" w:cs="Arial"/>
          <w:bCs/>
          <w:sz w:val="22"/>
          <w:szCs w:val="22"/>
          <w:lang w:val="fr-FR" w:eastAsia="en-US"/>
        </w:rPr>
        <w:t xml:space="preserve">soumission de </w:t>
      </w:r>
      <w:r w:rsidRPr="00E97FFA">
        <w:rPr>
          <w:rFonts w:ascii="Arial" w:eastAsia="SimSun" w:hAnsi="Arial" w:cs="Arial"/>
          <w:bCs/>
          <w:sz w:val="22"/>
          <w:szCs w:val="22"/>
          <w:lang w:val="fr-FR" w:eastAsia="en-US"/>
        </w:rPr>
        <w:t>rapports périodiques de 2021 et a</w:t>
      </w:r>
      <w:r>
        <w:rPr>
          <w:rFonts w:ascii="Arial" w:eastAsia="SimSun" w:hAnsi="Arial" w:cs="Arial"/>
          <w:bCs/>
          <w:sz w:val="22"/>
          <w:szCs w:val="22"/>
          <w:lang w:val="fr-FR" w:eastAsia="en-US"/>
        </w:rPr>
        <w:t xml:space="preserve">vait </w:t>
      </w:r>
      <w:r w:rsidRPr="00E97FFA">
        <w:rPr>
          <w:rFonts w:ascii="Arial" w:eastAsia="SimSun" w:hAnsi="Arial" w:cs="Arial"/>
          <w:bCs/>
          <w:sz w:val="22"/>
          <w:szCs w:val="22"/>
          <w:lang w:val="fr-FR" w:eastAsia="en-US"/>
        </w:rPr>
        <w:t>constaté que le processus perm</w:t>
      </w:r>
      <w:r>
        <w:rPr>
          <w:rFonts w:ascii="Arial" w:eastAsia="SimSun" w:hAnsi="Arial" w:cs="Arial"/>
          <w:bCs/>
          <w:sz w:val="22"/>
          <w:szCs w:val="22"/>
          <w:lang w:val="fr-FR" w:eastAsia="en-US"/>
        </w:rPr>
        <w:t>ettait</w:t>
      </w:r>
      <w:r w:rsidRPr="00E97FFA">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acquérir de nouvelles connaissances. Toutefois,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établissement des rapports rest</w:t>
      </w:r>
      <w:r>
        <w:rPr>
          <w:rFonts w:ascii="Arial" w:eastAsia="SimSun" w:hAnsi="Arial" w:cs="Arial"/>
          <w:bCs/>
          <w:sz w:val="22"/>
          <w:szCs w:val="22"/>
          <w:lang w:val="fr-FR" w:eastAsia="en-US"/>
        </w:rPr>
        <w:t>ait une tâche</w:t>
      </w:r>
      <w:r w:rsidRPr="00E97FFA">
        <w:rPr>
          <w:rFonts w:ascii="Arial" w:eastAsia="SimSun" w:hAnsi="Arial" w:cs="Arial"/>
          <w:bCs/>
          <w:sz w:val="22"/>
          <w:szCs w:val="22"/>
          <w:lang w:val="fr-FR" w:eastAsia="en-US"/>
        </w:rPr>
        <w:t xml:space="preserve"> chronophage </w:t>
      </w:r>
      <w:r>
        <w:rPr>
          <w:rFonts w:ascii="Arial" w:eastAsia="SimSun" w:hAnsi="Arial" w:cs="Arial"/>
          <w:bCs/>
          <w:sz w:val="22"/>
          <w:szCs w:val="22"/>
          <w:lang w:val="fr-FR" w:eastAsia="en-US"/>
        </w:rPr>
        <w:t>qui</w:t>
      </w:r>
      <w:r w:rsidRPr="00E97FFA">
        <w:rPr>
          <w:rFonts w:ascii="Arial" w:eastAsia="SimSun" w:hAnsi="Arial" w:cs="Arial"/>
          <w:bCs/>
          <w:sz w:val="22"/>
          <w:szCs w:val="22"/>
          <w:lang w:val="fr-FR" w:eastAsia="en-US"/>
        </w:rPr>
        <w:t xml:space="preserve"> exige</w:t>
      </w:r>
      <w:r>
        <w:rPr>
          <w:rFonts w:ascii="Arial" w:eastAsia="SimSun" w:hAnsi="Arial" w:cs="Arial"/>
          <w:bCs/>
          <w:sz w:val="22"/>
          <w:szCs w:val="22"/>
          <w:lang w:val="fr-FR" w:eastAsia="en-US"/>
        </w:rPr>
        <w:t>ait</w:t>
      </w:r>
      <w:r w:rsidRPr="00E97FFA">
        <w:rPr>
          <w:rFonts w:ascii="Arial" w:eastAsia="SimSun" w:hAnsi="Arial" w:cs="Arial"/>
          <w:bCs/>
          <w:sz w:val="22"/>
          <w:szCs w:val="22"/>
          <w:lang w:val="fr-FR" w:eastAsia="en-US"/>
        </w:rPr>
        <w:t xml:space="preserve"> des niveaux considérables de ressources administratives. Il</w:t>
      </w:r>
      <w:r>
        <w:rPr>
          <w:rFonts w:ascii="Arial" w:eastAsia="SimSun" w:hAnsi="Arial" w:cs="Arial"/>
          <w:bCs/>
          <w:sz w:val="22"/>
          <w:szCs w:val="22"/>
          <w:lang w:val="fr-FR" w:eastAsia="en-US"/>
        </w:rPr>
        <w:t xml:space="preserve"> y avait donc un potentiel de simplification du</w:t>
      </w:r>
      <w:r w:rsidRPr="00E97FFA">
        <w:rPr>
          <w:rFonts w:ascii="Arial" w:eastAsia="SimSun" w:hAnsi="Arial" w:cs="Arial"/>
          <w:bCs/>
          <w:sz w:val="22"/>
          <w:szCs w:val="22"/>
          <w:lang w:val="fr-FR" w:eastAsia="en-US"/>
        </w:rPr>
        <w:t xml:space="preserve"> processus et </w:t>
      </w:r>
      <w:r>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augmentation du</w:t>
      </w:r>
      <w:r w:rsidRPr="00E97FFA">
        <w:rPr>
          <w:rFonts w:ascii="Arial" w:eastAsia="SimSun" w:hAnsi="Arial" w:cs="Arial"/>
          <w:bCs/>
          <w:sz w:val="22"/>
          <w:szCs w:val="22"/>
          <w:lang w:val="fr-FR" w:eastAsia="en-US"/>
        </w:rPr>
        <w:t xml:space="preserve"> partage d</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informations entre les différentes agences des Nations Unies. La situation financière de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Organisation et les ressources du Secrétariat rest</w:t>
      </w:r>
      <w:r>
        <w:rPr>
          <w:rFonts w:ascii="Arial" w:eastAsia="SimSun" w:hAnsi="Arial" w:cs="Arial"/>
          <w:bCs/>
          <w:sz w:val="22"/>
          <w:szCs w:val="22"/>
          <w:lang w:val="fr-FR" w:eastAsia="en-US"/>
        </w:rPr>
        <w:t>aient</w:t>
      </w:r>
      <w:r w:rsidRPr="00E97FFA">
        <w:rPr>
          <w:rFonts w:ascii="Arial" w:eastAsia="SimSun" w:hAnsi="Arial" w:cs="Arial"/>
          <w:bCs/>
          <w:sz w:val="22"/>
          <w:szCs w:val="22"/>
          <w:lang w:val="fr-FR" w:eastAsia="en-US"/>
        </w:rPr>
        <w:t xml:space="preserve"> préoccupantes. Les États parties devraient limiter le nombre de demandes adressées au Secrétariat. La délégation a salué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évaluation réalisée par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IOS et ses recommandations. Elle a remercié toutes les parties prenantes impliquées dans la réflexion globale sur les mécanismes d</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inscription qui trait</w:t>
      </w:r>
      <w:r>
        <w:rPr>
          <w:rFonts w:ascii="Arial" w:eastAsia="SimSun" w:hAnsi="Arial" w:cs="Arial"/>
          <w:bCs/>
          <w:sz w:val="22"/>
          <w:szCs w:val="22"/>
          <w:lang w:val="fr-FR" w:eastAsia="en-US"/>
        </w:rPr>
        <w:t>ait</w:t>
      </w:r>
      <w:r w:rsidRPr="00E97FFA">
        <w:rPr>
          <w:rFonts w:ascii="Arial" w:eastAsia="SimSun" w:hAnsi="Arial" w:cs="Arial"/>
          <w:bCs/>
          <w:sz w:val="22"/>
          <w:szCs w:val="22"/>
          <w:lang w:val="fr-FR" w:eastAsia="en-US"/>
        </w:rPr>
        <w:t xml:space="preserve"> de questions essentielles pour la viabilité et la </w:t>
      </w:r>
      <w:r>
        <w:rPr>
          <w:rFonts w:ascii="Arial" w:eastAsia="SimSun" w:hAnsi="Arial" w:cs="Arial"/>
          <w:bCs/>
          <w:sz w:val="22"/>
          <w:szCs w:val="22"/>
          <w:lang w:val="fr-FR" w:eastAsia="en-US"/>
        </w:rPr>
        <w:t xml:space="preserve">pérennité </w:t>
      </w:r>
      <w:r w:rsidRPr="00E97FFA">
        <w:rPr>
          <w:rFonts w:ascii="Arial" w:eastAsia="SimSun" w:hAnsi="Arial" w:cs="Arial"/>
          <w:bCs/>
          <w:sz w:val="22"/>
          <w:szCs w:val="22"/>
          <w:lang w:val="fr-FR" w:eastAsia="en-US"/>
        </w:rPr>
        <w:t xml:space="preserve">de la Convention. La Norvège a réaffirmé son engagement </w:t>
      </w:r>
      <w:r>
        <w:rPr>
          <w:rFonts w:ascii="Arial" w:eastAsia="SimSun" w:hAnsi="Arial" w:cs="Arial"/>
          <w:bCs/>
          <w:sz w:val="22"/>
          <w:szCs w:val="22"/>
          <w:lang w:val="fr-FR" w:eastAsia="en-US"/>
        </w:rPr>
        <w:t xml:space="preserve">résolu </w:t>
      </w:r>
      <w:r w:rsidRPr="00E97FFA">
        <w:rPr>
          <w:rFonts w:ascii="Arial" w:eastAsia="SimSun" w:hAnsi="Arial" w:cs="Arial"/>
          <w:bCs/>
          <w:sz w:val="22"/>
          <w:szCs w:val="22"/>
          <w:lang w:val="fr-FR" w:eastAsia="en-US"/>
        </w:rPr>
        <w:t>en faveur du développement des capacités et d</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une approche multipartite pour la mise en œuvre de la Convention. Le rôle des peuples autochtones revêt</w:t>
      </w:r>
      <w:r>
        <w:rPr>
          <w:rFonts w:ascii="Arial" w:eastAsia="SimSun" w:hAnsi="Arial" w:cs="Arial"/>
          <w:bCs/>
          <w:sz w:val="22"/>
          <w:szCs w:val="22"/>
          <w:lang w:val="fr-FR" w:eastAsia="en-US"/>
        </w:rPr>
        <w:t>ait</w:t>
      </w:r>
      <w:r w:rsidRPr="00E97FFA">
        <w:rPr>
          <w:rFonts w:ascii="Arial" w:eastAsia="SimSun" w:hAnsi="Arial" w:cs="Arial"/>
          <w:bCs/>
          <w:sz w:val="22"/>
          <w:szCs w:val="22"/>
          <w:lang w:val="fr-FR" w:eastAsia="en-US"/>
        </w:rPr>
        <w:t xml:space="preserve"> également une importance particulière et la Norvège accord</w:t>
      </w:r>
      <w:r>
        <w:rPr>
          <w:rFonts w:ascii="Arial" w:eastAsia="SimSun" w:hAnsi="Arial" w:cs="Arial"/>
          <w:bCs/>
          <w:sz w:val="22"/>
          <w:szCs w:val="22"/>
          <w:lang w:val="fr-FR" w:eastAsia="en-US"/>
        </w:rPr>
        <w:t>ait</w:t>
      </w:r>
      <w:r w:rsidRPr="00E97FFA">
        <w:rPr>
          <w:rFonts w:ascii="Arial" w:eastAsia="SimSun" w:hAnsi="Arial" w:cs="Arial"/>
          <w:bCs/>
          <w:sz w:val="22"/>
          <w:szCs w:val="22"/>
          <w:lang w:val="fr-FR" w:eastAsia="en-US"/>
        </w:rPr>
        <w:t xml:space="preserve"> une grande importance à cette question, ainsi qu</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à la mise en œuvre de la Convention au niveau national. La Norvège</w:t>
      </w:r>
      <w:r>
        <w:rPr>
          <w:rFonts w:ascii="Arial" w:eastAsia="SimSun" w:hAnsi="Arial" w:cs="Arial"/>
          <w:bCs/>
          <w:sz w:val="22"/>
          <w:szCs w:val="22"/>
          <w:lang w:val="fr-FR" w:eastAsia="en-US"/>
        </w:rPr>
        <w:t>, qui</w:t>
      </w:r>
      <w:r w:rsidRPr="00E97FFA">
        <w:rPr>
          <w:rFonts w:ascii="Arial" w:eastAsia="SimSun" w:hAnsi="Arial" w:cs="Arial"/>
          <w:bCs/>
          <w:sz w:val="22"/>
          <w:szCs w:val="22"/>
          <w:lang w:val="fr-FR" w:eastAsia="en-US"/>
        </w:rPr>
        <w:t xml:space="preserve"> accueill</w:t>
      </w:r>
      <w:r>
        <w:rPr>
          <w:rFonts w:ascii="Arial" w:eastAsia="SimSun" w:hAnsi="Arial" w:cs="Arial"/>
          <w:bCs/>
          <w:sz w:val="22"/>
          <w:szCs w:val="22"/>
          <w:lang w:val="fr-FR" w:eastAsia="en-US"/>
        </w:rPr>
        <w:t>ait</w:t>
      </w:r>
      <w:r w:rsidRPr="00E97FFA">
        <w:rPr>
          <w:rFonts w:ascii="Arial" w:eastAsia="SimSun" w:hAnsi="Arial" w:cs="Arial"/>
          <w:bCs/>
          <w:sz w:val="22"/>
          <w:szCs w:val="22"/>
          <w:lang w:val="fr-FR" w:eastAsia="en-US"/>
        </w:rPr>
        <w:t xml:space="preserve"> cette année le Conseil nordique des ministres</w:t>
      </w:r>
      <w:r>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 xml:space="preserve"> a</w:t>
      </w:r>
      <w:r>
        <w:rPr>
          <w:rFonts w:ascii="Arial" w:eastAsia="SimSun" w:hAnsi="Arial" w:cs="Arial"/>
          <w:bCs/>
          <w:sz w:val="22"/>
          <w:szCs w:val="22"/>
          <w:lang w:val="fr-FR" w:eastAsia="en-US"/>
        </w:rPr>
        <w:t>vait</w:t>
      </w:r>
      <w:r w:rsidRPr="00E97FFA">
        <w:rPr>
          <w:rFonts w:ascii="Arial" w:eastAsia="SimSun" w:hAnsi="Arial" w:cs="Arial"/>
          <w:bCs/>
          <w:sz w:val="22"/>
          <w:szCs w:val="22"/>
          <w:lang w:val="fr-FR" w:eastAsia="en-US"/>
        </w:rPr>
        <w:t xml:space="preserve"> pris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initiative d</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 xml:space="preserve">organiser une conférence nordique sur le patrimoine culturel immatériel du peuple autochtone </w:t>
      </w:r>
      <w:proofErr w:type="spellStart"/>
      <w:r w:rsidRPr="00E97FFA">
        <w:rPr>
          <w:rFonts w:ascii="Arial" w:eastAsia="SimSun" w:hAnsi="Arial" w:cs="Arial"/>
          <w:bCs/>
          <w:sz w:val="22"/>
          <w:szCs w:val="22"/>
          <w:lang w:val="fr-FR" w:eastAsia="en-US"/>
        </w:rPr>
        <w:t>sami</w:t>
      </w:r>
      <w:proofErr w:type="spellEnd"/>
      <w:r w:rsidRPr="00E97FFA">
        <w:rPr>
          <w:rFonts w:ascii="Arial" w:eastAsia="SimSun" w:hAnsi="Arial" w:cs="Arial"/>
          <w:bCs/>
          <w:sz w:val="22"/>
          <w:szCs w:val="22"/>
          <w:lang w:val="fr-FR" w:eastAsia="en-US"/>
        </w:rPr>
        <w:t xml:space="preserve">, en étroite collaboration avec le Parlement </w:t>
      </w:r>
      <w:proofErr w:type="spellStart"/>
      <w:r w:rsidRPr="00E97FFA">
        <w:rPr>
          <w:rFonts w:ascii="Arial" w:eastAsia="SimSun" w:hAnsi="Arial" w:cs="Arial"/>
          <w:bCs/>
          <w:sz w:val="22"/>
          <w:szCs w:val="22"/>
          <w:lang w:val="fr-FR" w:eastAsia="en-US"/>
        </w:rPr>
        <w:t>sami</w:t>
      </w:r>
      <w:proofErr w:type="spellEnd"/>
      <w:r w:rsidRPr="00E97FFA">
        <w:rPr>
          <w:rFonts w:ascii="Arial" w:eastAsia="SimSun" w:hAnsi="Arial" w:cs="Arial"/>
          <w:bCs/>
          <w:sz w:val="22"/>
          <w:szCs w:val="22"/>
          <w:lang w:val="fr-FR" w:eastAsia="en-US"/>
        </w:rPr>
        <w:t>. Elle a également souligné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importance con</w:t>
      </w:r>
      <w:r>
        <w:rPr>
          <w:rFonts w:ascii="Arial" w:eastAsia="SimSun" w:hAnsi="Arial" w:cs="Arial"/>
          <w:bCs/>
          <w:sz w:val="22"/>
          <w:szCs w:val="22"/>
          <w:lang w:val="fr-FR" w:eastAsia="en-US"/>
        </w:rPr>
        <w:t>stante</w:t>
      </w:r>
      <w:r w:rsidRPr="00E97FFA">
        <w:rPr>
          <w:rFonts w:ascii="Arial" w:eastAsia="SimSun" w:hAnsi="Arial" w:cs="Arial"/>
          <w:bCs/>
          <w:sz w:val="22"/>
          <w:szCs w:val="22"/>
          <w:lang w:val="fr-FR" w:eastAsia="en-US"/>
        </w:rPr>
        <w:t xml:space="preserve"> du travail de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UNESCO en matière de patrimoine dans les situations d</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 xml:space="preserve">urgence. La délégation a conclu </w:t>
      </w:r>
      <w:r>
        <w:rPr>
          <w:rFonts w:ascii="Arial" w:eastAsia="SimSun" w:hAnsi="Arial" w:cs="Arial"/>
          <w:bCs/>
          <w:sz w:val="22"/>
          <w:szCs w:val="22"/>
          <w:lang w:val="fr-FR" w:eastAsia="en-US"/>
        </w:rPr>
        <w:t xml:space="preserve">son </w:t>
      </w:r>
      <w:r w:rsidRPr="00C067D6">
        <w:rPr>
          <w:rFonts w:ascii="Arial" w:eastAsia="SimSun" w:hAnsi="Arial" w:cs="Arial"/>
          <w:bCs/>
          <w:sz w:val="22"/>
          <w:szCs w:val="22"/>
          <w:lang w:val="fr-FR" w:eastAsia="en-US"/>
        </w:rPr>
        <w:t>intervention</w:t>
      </w:r>
      <w:r>
        <w:rPr>
          <w:rFonts w:ascii="Arial" w:eastAsia="SimSun" w:hAnsi="Arial" w:cs="Arial"/>
          <w:bCs/>
          <w:sz w:val="22"/>
          <w:szCs w:val="22"/>
          <w:lang w:val="fr-FR" w:eastAsia="en-US"/>
        </w:rPr>
        <w:t xml:space="preserve"> </w:t>
      </w:r>
      <w:r w:rsidRPr="00E97FFA">
        <w:rPr>
          <w:rFonts w:ascii="Arial" w:eastAsia="SimSun" w:hAnsi="Arial" w:cs="Arial"/>
          <w:bCs/>
          <w:sz w:val="22"/>
          <w:szCs w:val="22"/>
          <w:lang w:val="fr-FR" w:eastAsia="en-US"/>
        </w:rPr>
        <w:t>en soulignant l</w:t>
      </w:r>
      <w:r w:rsidR="008E532B">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 xml:space="preserve">importance des liens de la Convention avec les </w:t>
      </w:r>
      <w:r>
        <w:rPr>
          <w:rFonts w:ascii="Arial" w:eastAsia="SimSun" w:hAnsi="Arial" w:cs="Arial"/>
          <w:bCs/>
          <w:sz w:val="22"/>
          <w:szCs w:val="22"/>
          <w:lang w:val="fr-FR" w:eastAsia="en-US"/>
        </w:rPr>
        <w:t>o</w:t>
      </w:r>
      <w:r w:rsidRPr="00E97FFA">
        <w:rPr>
          <w:rFonts w:ascii="Arial" w:eastAsia="SimSun" w:hAnsi="Arial" w:cs="Arial"/>
          <w:bCs/>
          <w:sz w:val="22"/>
          <w:szCs w:val="22"/>
          <w:lang w:val="fr-FR" w:eastAsia="en-US"/>
        </w:rPr>
        <w:t>bjectifs de développement durable</w:t>
      </w:r>
      <w:r>
        <w:rPr>
          <w:rFonts w:ascii="Arial" w:eastAsia="SimSun" w:hAnsi="Arial" w:cs="Arial"/>
          <w:bCs/>
          <w:sz w:val="22"/>
          <w:szCs w:val="22"/>
          <w:lang w:val="fr-FR" w:eastAsia="en-US"/>
        </w:rPr>
        <w:t>,</w:t>
      </w:r>
      <w:r w:rsidRPr="00E97FFA">
        <w:rPr>
          <w:rFonts w:ascii="Arial" w:eastAsia="SimSun" w:hAnsi="Arial" w:cs="Arial"/>
          <w:bCs/>
          <w:sz w:val="22"/>
          <w:szCs w:val="22"/>
          <w:lang w:val="fr-FR" w:eastAsia="en-US"/>
        </w:rPr>
        <w:t xml:space="preserve"> ainsi que des synergies accrues avec les</w:t>
      </w:r>
      <w:r>
        <w:rPr>
          <w:rFonts w:ascii="Arial" w:eastAsia="SimSun" w:hAnsi="Arial" w:cs="Arial"/>
          <w:bCs/>
          <w:sz w:val="22"/>
          <w:szCs w:val="22"/>
          <w:lang w:val="fr-FR" w:eastAsia="en-US"/>
        </w:rPr>
        <w:t xml:space="preserve">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E97FFA">
        <w:rPr>
          <w:rFonts w:ascii="Arial" w:eastAsia="SimSun" w:hAnsi="Arial" w:cs="Arial"/>
          <w:bCs/>
          <w:sz w:val="22"/>
          <w:szCs w:val="22"/>
          <w:lang w:val="fr-FR" w:eastAsia="en-US"/>
        </w:rPr>
        <w:t>.</w:t>
      </w:r>
    </w:p>
    <w:p w14:paraId="3DF108A7" w14:textId="2344E673" w:rsidR="00D9653F" w:rsidRPr="00C067D6"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C067D6">
        <w:rPr>
          <w:rFonts w:ascii="Arial" w:eastAsia="SimSun" w:hAnsi="Arial" w:cs="Arial"/>
          <w:bCs/>
          <w:sz w:val="22"/>
          <w:szCs w:val="22"/>
          <w:lang w:val="fr-FR" w:eastAsia="en-US"/>
        </w:rPr>
        <w:t xml:space="preserve">La délégation de la </w:t>
      </w:r>
      <w:r w:rsidRPr="00C067D6">
        <w:rPr>
          <w:rFonts w:ascii="Arial" w:eastAsia="SimSun" w:hAnsi="Arial" w:cs="Arial"/>
          <w:b/>
          <w:sz w:val="22"/>
          <w:szCs w:val="22"/>
          <w:lang w:val="fr-FR" w:eastAsia="en-US"/>
        </w:rPr>
        <w:t>Suède</w:t>
      </w:r>
      <w:r w:rsidRPr="00C067D6">
        <w:rPr>
          <w:rFonts w:ascii="Arial" w:eastAsia="SimSun" w:hAnsi="Arial" w:cs="Arial"/>
          <w:bCs/>
          <w:sz w:val="22"/>
          <w:szCs w:val="22"/>
          <w:lang w:val="fr-FR" w:eastAsia="en-US"/>
        </w:rPr>
        <w:t xml:space="preserve"> a félicité la Présidente et a souhaité la bienvenue à l</w:t>
      </w:r>
      <w:r w:rsidR="008E532B">
        <w:rPr>
          <w:rFonts w:ascii="Arial" w:eastAsia="SimSun" w:hAnsi="Arial" w:cs="Arial"/>
          <w:bCs/>
          <w:sz w:val="22"/>
          <w:szCs w:val="22"/>
          <w:lang w:val="fr-FR" w:eastAsia="en-US"/>
        </w:rPr>
        <w:t>’</w:t>
      </w:r>
      <w:r w:rsidRPr="00C067D6">
        <w:rPr>
          <w:rFonts w:ascii="Arial" w:eastAsia="SimSun" w:hAnsi="Arial" w:cs="Arial"/>
          <w:bCs/>
          <w:sz w:val="22"/>
          <w:szCs w:val="22"/>
          <w:lang w:val="fr-FR" w:eastAsia="en-US"/>
        </w:rPr>
        <w:t>Angola et à la Somalie, remerciant le Sri Lanka et la Jamaïque d</w:t>
      </w:r>
      <w:r w:rsidR="008E532B">
        <w:rPr>
          <w:rFonts w:ascii="Arial" w:eastAsia="SimSun" w:hAnsi="Arial" w:cs="Arial"/>
          <w:bCs/>
          <w:sz w:val="22"/>
          <w:szCs w:val="22"/>
          <w:lang w:val="fr-FR" w:eastAsia="en-US"/>
        </w:rPr>
        <w:t>’</w:t>
      </w:r>
      <w:r w:rsidRPr="00C067D6">
        <w:rPr>
          <w:rFonts w:ascii="Arial" w:eastAsia="SimSun" w:hAnsi="Arial" w:cs="Arial"/>
          <w:bCs/>
          <w:sz w:val="22"/>
          <w:szCs w:val="22"/>
          <w:lang w:val="fr-FR" w:eastAsia="en-US"/>
        </w:rPr>
        <w:t>avoir accueilli avec succès les récentes réunions du Comité. La Suède a remercié le Secrétariat pour son rapport élaboré, excellent et bien présenté</w:t>
      </w:r>
      <w:r>
        <w:rPr>
          <w:rFonts w:ascii="Arial" w:eastAsia="SimSun" w:hAnsi="Arial" w:cs="Arial"/>
          <w:bCs/>
          <w:sz w:val="22"/>
          <w:szCs w:val="22"/>
          <w:lang w:val="fr-FR" w:eastAsia="en-US"/>
        </w:rPr>
        <w:t>,</w:t>
      </w:r>
      <w:r w:rsidRPr="00C067D6">
        <w:rPr>
          <w:rFonts w:ascii="Arial" w:eastAsia="SimSun" w:hAnsi="Arial" w:cs="Arial"/>
          <w:bCs/>
          <w:sz w:val="22"/>
          <w:szCs w:val="22"/>
          <w:lang w:val="fr-FR" w:eastAsia="en-US"/>
        </w:rPr>
        <w:t xml:space="preserve"> et pour les importants </w:t>
      </w:r>
      <w:r>
        <w:rPr>
          <w:rFonts w:ascii="Arial" w:eastAsia="SimSun" w:hAnsi="Arial" w:cs="Arial"/>
          <w:bCs/>
          <w:sz w:val="22"/>
          <w:szCs w:val="22"/>
          <w:lang w:val="fr-FR" w:eastAsia="en-US"/>
        </w:rPr>
        <w:t xml:space="preserve">résultats </w:t>
      </w:r>
      <w:r w:rsidRPr="00C067D6">
        <w:rPr>
          <w:rFonts w:ascii="Arial" w:eastAsia="SimSun" w:hAnsi="Arial" w:cs="Arial"/>
          <w:bCs/>
          <w:sz w:val="22"/>
          <w:szCs w:val="22"/>
          <w:lang w:val="fr-FR" w:eastAsia="en-US"/>
        </w:rPr>
        <w:t xml:space="preserve">obtenus. Les activités du Secrétariat </w:t>
      </w:r>
      <w:r>
        <w:rPr>
          <w:rFonts w:ascii="Arial" w:eastAsia="SimSun" w:hAnsi="Arial" w:cs="Arial"/>
          <w:bCs/>
          <w:sz w:val="22"/>
          <w:szCs w:val="22"/>
          <w:lang w:val="fr-FR" w:eastAsia="en-US"/>
        </w:rPr>
        <w:t xml:space="preserve">étaient </w:t>
      </w:r>
      <w:r w:rsidRPr="00C067D6">
        <w:rPr>
          <w:rFonts w:ascii="Arial" w:eastAsia="SimSun" w:hAnsi="Arial" w:cs="Arial"/>
          <w:bCs/>
          <w:sz w:val="22"/>
          <w:szCs w:val="22"/>
          <w:lang w:val="fr-FR" w:eastAsia="en-US"/>
        </w:rPr>
        <w:t>l</w:t>
      </w:r>
      <w:r>
        <w:rPr>
          <w:rFonts w:ascii="Arial" w:eastAsia="SimSun" w:hAnsi="Arial" w:cs="Arial"/>
          <w:bCs/>
          <w:sz w:val="22"/>
          <w:szCs w:val="22"/>
          <w:lang w:val="fr-FR" w:eastAsia="en-US"/>
        </w:rPr>
        <w:t>a</w:t>
      </w:r>
      <w:r w:rsidRPr="00C067D6">
        <w:rPr>
          <w:rFonts w:ascii="Arial" w:eastAsia="SimSun" w:hAnsi="Arial" w:cs="Arial"/>
          <w:bCs/>
          <w:sz w:val="22"/>
          <w:szCs w:val="22"/>
          <w:lang w:val="fr-FR" w:eastAsia="en-US"/>
        </w:rPr>
        <w:t xml:space="preserve"> pierre angulaire de la mise en œuvre de la Convention, tant </w:t>
      </w:r>
      <w:proofErr w:type="gramStart"/>
      <w:r w:rsidRPr="00C067D6">
        <w:rPr>
          <w:rFonts w:ascii="Arial" w:eastAsia="SimSun" w:hAnsi="Arial" w:cs="Arial"/>
          <w:bCs/>
          <w:sz w:val="22"/>
          <w:szCs w:val="22"/>
          <w:lang w:val="fr-FR" w:eastAsia="en-US"/>
        </w:rPr>
        <w:t>au</w:t>
      </w:r>
      <w:r>
        <w:rPr>
          <w:rFonts w:ascii="Arial" w:eastAsia="SimSun" w:hAnsi="Arial" w:cs="Arial"/>
          <w:bCs/>
          <w:sz w:val="22"/>
          <w:szCs w:val="22"/>
          <w:lang w:val="fr-FR" w:eastAsia="en-US"/>
        </w:rPr>
        <w:t>x</w:t>
      </w:r>
      <w:r w:rsidRPr="00C067D6">
        <w:rPr>
          <w:rFonts w:ascii="Arial" w:eastAsia="SimSun" w:hAnsi="Arial" w:cs="Arial"/>
          <w:bCs/>
          <w:sz w:val="22"/>
          <w:szCs w:val="22"/>
          <w:lang w:val="fr-FR" w:eastAsia="en-US"/>
        </w:rPr>
        <w:t xml:space="preserve"> niveau</w:t>
      </w:r>
      <w:r>
        <w:rPr>
          <w:rFonts w:ascii="Arial" w:eastAsia="SimSun" w:hAnsi="Arial" w:cs="Arial"/>
          <w:bCs/>
          <w:sz w:val="22"/>
          <w:szCs w:val="22"/>
          <w:lang w:val="fr-FR" w:eastAsia="en-US"/>
        </w:rPr>
        <w:t>x</w:t>
      </w:r>
      <w:r w:rsidRPr="00C067D6">
        <w:rPr>
          <w:rFonts w:ascii="Arial" w:eastAsia="SimSun" w:hAnsi="Arial" w:cs="Arial"/>
          <w:bCs/>
          <w:sz w:val="22"/>
          <w:szCs w:val="22"/>
          <w:lang w:val="fr-FR" w:eastAsia="en-US"/>
        </w:rPr>
        <w:t xml:space="preserve"> national</w:t>
      </w:r>
      <w:proofErr w:type="gramEnd"/>
      <w:r w:rsidRPr="00C067D6">
        <w:rPr>
          <w:rFonts w:ascii="Arial" w:eastAsia="SimSun" w:hAnsi="Arial" w:cs="Arial"/>
          <w:bCs/>
          <w:sz w:val="22"/>
          <w:szCs w:val="22"/>
          <w:lang w:val="fr-FR" w:eastAsia="en-US"/>
        </w:rPr>
        <w:t xml:space="preserve"> qu</w:t>
      </w:r>
      <w:r w:rsidR="008E532B">
        <w:rPr>
          <w:rFonts w:ascii="Arial" w:eastAsia="SimSun" w:hAnsi="Arial" w:cs="Arial"/>
          <w:bCs/>
          <w:sz w:val="22"/>
          <w:szCs w:val="22"/>
          <w:lang w:val="fr-FR" w:eastAsia="en-US"/>
        </w:rPr>
        <w:t>’</w:t>
      </w:r>
      <w:r w:rsidRPr="00C067D6">
        <w:rPr>
          <w:rFonts w:ascii="Arial" w:eastAsia="SimSun" w:hAnsi="Arial" w:cs="Arial"/>
          <w:bCs/>
          <w:sz w:val="22"/>
          <w:szCs w:val="22"/>
          <w:lang w:val="fr-FR" w:eastAsia="en-US"/>
        </w:rPr>
        <w:t>international. L</w:t>
      </w:r>
      <w:r w:rsidR="008E532B">
        <w:rPr>
          <w:rFonts w:ascii="Arial" w:eastAsia="SimSun" w:hAnsi="Arial" w:cs="Arial"/>
          <w:bCs/>
          <w:sz w:val="22"/>
          <w:szCs w:val="22"/>
          <w:lang w:val="fr-FR" w:eastAsia="en-US"/>
        </w:rPr>
        <w:t>’</w:t>
      </w:r>
      <w:r w:rsidRPr="00C067D6">
        <w:rPr>
          <w:rFonts w:ascii="Arial" w:eastAsia="SimSun" w:hAnsi="Arial" w:cs="Arial"/>
          <w:bCs/>
          <w:sz w:val="22"/>
          <w:szCs w:val="22"/>
          <w:lang w:val="fr-FR" w:eastAsia="en-US"/>
        </w:rPr>
        <w:t>Entité du patrimoine vivant a</w:t>
      </w:r>
      <w:r>
        <w:rPr>
          <w:rFonts w:ascii="Arial" w:eastAsia="SimSun" w:hAnsi="Arial" w:cs="Arial"/>
          <w:bCs/>
          <w:sz w:val="22"/>
          <w:szCs w:val="22"/>
          <w:lang w:val="fr-FR" w:eastAsia="en-US"/>
        </w:rPr>
        <w:t>vait</w:t>
      </w:r>
      <w:r w:rsidRPr="00C067D6">
        <w:rPr>
          <w:rFonts w:ascii="Arial" w:eastAsia="SimSun" w:hAnsi="Arial" w:cs="Arial"/>
          <w:bCs/>
          <w:sz w:val="22"/>
          <w:szCs w:val="22"/>
          <w:lang w:val="fr-FR" w:eastAsia="en-US"/>
        </w:rPr>
        <w:t xml:space="preserve"> relevé tous les défis au cours de ces années</w:t>
      </w:r>
      <w:r>
        <w:rPr>
          <w:rFonts w:ascii="Arial" w:eastAsia="SimSun" w:hAnsi="Arial" w:cs="Arial"/>
          <w:bCs/>
          <w:sz w:val="22"/>
          <w:szCs w:val="22"/>
          <w:lang w:val="fr-FR" w:eastAsia="en-US"/>
        </w:rPr>
        <w:t> </w:t>
      </w:r>
      <w:r w:rsidRPr="00C067D6">
        <w:rPr>
          <w:rFonts w:ascii="Arial" w:eastAsia="SimSun" w:hAnsi="Arial" w:cs="Arial"/>
          <w:bCs/>
          <w:sz w:val="22"/>
          <w:szCs w:val="22"/>
          <w:lang w:val="fr-FR" w:eastAsia="en-US"/>
        </w:rPr>
        <w:t>: la récente pandémie</w:t>
      </w:r>
      <w:r>
        <w:rPr>
          <w:rFonts w:ascii="Arial" w:eastAsia="SimSun" w:hAnsi="Arial" w:cs="Arial"/>
          <w:bCs/>
          <w:sz w:val="22"/>
          <w:szCs w:val="22"/>
          <w:lang w:val="fr-FR" w:eastAsia="en-US"/>
        </w:rPr>
        <w:t> ;</w:t>
      </w:r>
      <w:r w:rsidRPr="00C067D6">
        <w:rPr>
          <w:rFonts w:ascii="Arial" w:eastAsia="SimSun" w:hAnsi="Arial" w:cs="Arial"/>
          <w:bCs/>
          <w:sz w:val="22"/>
          <w:szCs w:val="22"/>
          <w:lang w:val="fr-FR" w:eastAsia="en-US"/>
        </w:rPr>
        <w:t xml:space="preserve"> le travail considérable de réflexion </w:t>
      </w:r>
      <w:r>
        <w:rPr>
          <w:rFonts w:ascii="Arial" w:eastAsia="SimSun" w:hAnsi="Arial" w:cs="Arial"/>
          <w:bCs/>
          <w:sz w:val="22"/>
          <w:szCs w:val="22"/>
          <w:lang w:val="fr-FR" w:eastAsia="en-US"/>
        </w:rPr>
        <w:t>sur les</w:t>
      </w:r>
      <w:r w:rsidRPr="00C067D6">
        <w:rPr>
          <w:rFonts w:ascii="Arial" w:eastAsia="SimSun" w:hAnsi="Arial" w:cs="Arial"/>
          <w:bCs/>
          <w:sz w:val="22"/>
          <w:szCs w:val="22"/>
          <w:lang w:val="fr-FR" w:eastAsia="en-US"/>
        </w:rPr>
        <w:t xml:space="preserve"> mécanismes d</w:t>
      </w:r>
      <w:r w:rsidR="008E532B">
        <w:rPr>
          <w:rFonts w:ascii="Arial" w:eastAsia="SimSun" w:hAnsi="Arial" w:cs="Arial"/>
          <w:bCs/>
          <w:sz w:val="22"/>
          <w:szCs w:val="22"/>
          <w:lang w:val="fr-FR" w:eastAsia="en-US"/>
        </w:rPr>
        <w:t>’</w:t>
      </w:r>
      <w:r w:rsidRPr="00C067D6">
        <w:rPr>
          <w:rFonts w:ascii="Arial" w:eastAsia="SimSun" w:hAnsi="Arial" w:cs="Arial"/>
          <w:bCs/>
          <w:sz w:val="22"/>
          <w:szCs w:val="22"/>
          <w:lang w:val="fr-FR" w:eastAsia="en-US"/>
        </w:rPr>
        <w:t>inscription</w:t>
      </w:r>
      <w:r>
        <w:rPr>
          <w:rFonts w:ascii="Arial" w:eastAsia="SimSun" w:hAnsi="Arial" w:cs="Arial"/>
          <w:bCs/>
          <w:sz w:val="22"/>
          <w:szCs w:val="22"/>
          <w:lang w:val="fr-FR" w:eastAsia="en-US"/>
        </w:rPr>
        <w:t xml:space="preserve"> sur les listes ;</w:t>
      </w:r>
      <w:r w:rsidRPr="00C067D6">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et</w:t>
      </w:r>
      <w:r w:rsidRPr="00C067D6">
        <w:rPr>
          <w:rFonts w:ascii="Arial" w:eastAsia="SimSun" w:hAnsi="Arial" w:cs="Arial"/>
          <w:bCs/>
          <w:sz w:val="22"/>
          <w:szCs w:val="22"/>
          <w:lang w:val="fr-FR" w:eastAsia="en-US"/>
        </w:rPr>
        <w:t xml:space="preserve"> le </w:t>
      </w:r>
      <w:r>
        <w:rPr>
          <w:rFonts w:ascii="Arial" w:eastAsia="SimSun" w:hAnsi="Arial" w:cs="Arial"/>
          <w:bCs/>
          <w:sz w:val="22"/>
          <w:szCs w:val="22"/>
          <w:lang w:val="fr-FR" w:eastAsia="en-US"/>
        </w:rPr>
        <w:t xml:space="preserve">traitement du </w:t>
      </w:r>
      <w:r w:rsidRPr="00C067D6">
        <w:rPr>
          <w:rFonts w:ascii="Arial" w:eastAsia="SimSun" w:hAnsi="Arial" w:cs="Arial"/>
          <w:bCs/>
          <w:sz w:val="22"/>
          <w:szCs w:val="22"/>
          <w:lang w:val="fr-FR" w:eastAsia="en-US"/>
        </w:rPr>
        <w:t xml:space="preserve">nombre extraordinaire de demandes. La délégation a remercié le Secrétariat et a </w:t>
      </w:r>
      <w:r>
        <w:rPr>
          <w:rFonts w:ascii="Arial" w:eastAsia="SimSun" w:hAnsi="Arial" w:cs="Arial"/>
          <w:bCs/>
          <w:sz w:val="22"/>
          <w:szCs w:val="22"/>
          <w:lang w:val="fr-FR" w:eastAsia="en-US"/>
        </w:rPr>
        <w:t>souligné à quel point</w:t>
      </w:r>
      <w:r w:rsidRPr="00C067D6">
        <w:rPr>
          <w:rFonts w:ascii="Arial" w:eastAsia="SimSun" w:hAnsi="Arial" w:cs="Arial"/>
          <w:bCs/>
          <w:sz w:val="22"/>
          <w:szCs w:val="22"/>
          <w:lang w:val="fr-FR" w:eastAsia="en-US"/>
        </w:rPr>
        <w:t xml:space="preserve"> le travail a</w:t>
      </w:r>
      <w:r>
        <w:rPr>
          <w:rFonts w:ascii="Arial" w:eastAsia="SimSun" w:hAnsi="Arial" w:cs="Arial"/>
          <w:bCs/>
          <w:sz w:val="22"/>
          <w:szCs w:val="22"/>
          <w:lang w:val="fr-FR" w:eastAsia="en-US"/>
        </w:rPr>
        <w:t>vait</w:t>
      </w:r>
      <w:r w:rsidRPr="00C067D6">
        <w:rPr>
          <w:rFonts w:ascii="Arial" w:eastAsia="SimSun" w:hAnsi="Arial" w:cs="Arial"/>
          <w:bCs/>
          <w:sz w:val="22"/>
          <w:szCs w:val="22"/>
          <w:lang w:val="fr-FR" w:eastAsia="en-US"/>
        </w:rPr>
        <w:t xml:space="preserve"> été </w:t>
      </w:r>
      <w:r>
        <w:rPr>
          <w:rFonts w:ascii="Arial" w:eastAsia="SimSun" w:hAnsi="Arial" w:cs="Arial"/>
          <w:bCs/>
          <w:sz w:val="22"/>
          <w:szCs w:val="22"/>
          <w:lang w:val="fr-FR" w:eastAsia="en-US"/>
        </w:rPr>
        <w:t xml:space="preserve">accompli </w:t>
      </w:r>
      <w:r w:rsidRPr="00C067D6">
        <w:rPr>
          <w:rFonts w:ascii="Arial" w:eastAsia="SimSun" w:hAnsi="Arial" w:cs="Arial"/>
          <w:bCs/>
          <w:sz w:val="22"/>
          <w:szCs w:val="22"/>
          <w:lang w:val="fr-FR" w:eastAsia="en-US"/>
        </w:rPr>
        <w:t xml:space="preserve">avec des ressources limitées. Il </w:t>
      </w:r>
      <w:r>
        <w:rPr>
          <w:rFonts w:ascii="Arial" w:eastAsia="SimSun" w:hAnsi="Arial" w:cs="Arial"/>
          <w:bCs/>
          <w:sz w:val="22"/>
          <w:szCs w:val="22"/>
          <w:lang w:val="fr-FR" w:eastAsia="en-US"/>
        </w:rPr>
        <w:t>était</w:t>
      </w:r>
      <w:r w:rsidRPr="00C067D6">
        <w:rPr>
          <w:rFonts w:ascii="Arial" w:eastAsia="SimSun" w:hAnsi="Arial" w:cs="Arial"/>
          <w:bCs/>
          <w:sz w:val="22"/>
          <w:szCs w:val="22"/>
          <w:lang w:val="fr-FR" w:eastAsia="en-US"/>
        </w:rPr>
        <w:t xml:space="preserve"> donc important de </w:t>
      </w:r>
      <w:r>
        <w:rPr>
          <w:rFonts w:ascii="Arial" w:eastAsia="SimSun" w:hAnsi="Arial" w:cs="Arial"/>
          <w:bCs/>
          <w:sz w:val="22"/>
          <w:szCs w:val="22"/>
          <w:lang w:val="fr-FR" w:eastAsia="en-US"/>
        </w:rPr>
        <w:t xml:space="preserve">hiérarchiser </w:t>
      </w:r>
      <w:r w:rsidRPr="00C067D6">
        <w:rPr>
          <w:rFonts w:ascii="Arial" w:eastAsia="SimSun" w:hAnsi="Arial" w:cs="Arial"/>
          <w:bCs/>
          <w:sz w:val="22"/>
          <w:szCs w:val="22"/>
          <w:lang w:val="fr-FR" w:eastAsia="en-US"/>
        </w:rPr>
        <w:t xml:space="preserve">le travail, et les États parties en mesure de contribuer avec des ressources volontaires </w:t>
      </w:r>
      <w:r>
        <w:rPr>
          <w:rFonts w:ascii="Arial" w:eastAsia="SimSun" w:hAnsi="Arial" w:cs="Arial"/>
          <w:bCs/>
          <w:sz w:val="22"/>
          <w:szCs w:val="22"/>
          <w:lang w:val="fr-FR" w:eastAsia="en-US"/>
        </w:rPr>
        <w:t>étaient</w:t>
      </w:r>
      <w:r w:rsidRPr="00C067D6">
        <w:rPr>
          <w:rFonts w:ascii="Arial" w:eastAsia="SimSun" w:hAnsi="Arial" w:cs="Arial"/>
          <w:bCs/>
          <w:sz w:val="22"/>
          <w:szCs w:val="22"/>
          <w:lang w:val="fr-FR" w:eastAsia="en-US"/>
        </w:rPr>
        <w:t xml:space="preserve"> appelés à renforcer la mise en œuvre de la Convention. La délégation </w:t>
      </w:r>
      <w:r>
        <w:rPr>
          <w:rFonts w:ascii="Arial" w:eastAsia="SimSun" w:hAnsi="Arial" w:cs="Arial"/>
          <w:bCs/>
          <w:sz w:val="22"/>
          <w:szCs w:val="22"/>
          <w:lang w:val="fr-FR" w:eastAsia="en-US"/>
        </w:rPr>
        <w:t>était</w:t>
      </w:r>
      <w:r w:rsidRPr="00C067D6">
        <w:rPr>
          <w:rFonts w:ascii="Arial" w:eastAsia="SimSun" w:hAnsi="Arial" w:cs="Arial"/>
          <w:bCs/>
          <w:sz w:val="22"/>
          <w:szCs w:val="22"/>
          <w:lang w:val="fr-FR" w:eastAsia="en-US"/>
        </w:rPr>
        <w:t xml:space="preserve"> heureuse de voir comment le travail avec le Forum des ONG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était</w:t>
      </w:r>
      <w:r w:rsidRPr="00C067D6">
        <w:rPr>
          <w:rFonts w:ascii="Arial" w:eastAsia="SimSun" w:hAnsi="Arial" w:cs="Arial"/>
          <w:bCs/>
          <w:sz w:val="22"/>
          <w:szCs w:val="22"/>
          <w:lang w:val="fr-FR" w:eastAsia="en-US"/>
        </w:rPr>
        <w:t xml:space="preserve"> développé dans plusieurs domaines importants. Le travail entrepris</w:t>
      </w:r>
      <w:r>
        <w:rPr>
          <w:rFonts w:ascii="Arial" w:eastAsia="SimSun" w:hAnsi="Arial" w:cs="Arial"/>
          <w:bCs/>
          <w:sz w:val="22"/>
          <w:szCs w:val="22"/>
          <w:lang w:val="fr-FR" w:eastAsia="en-US"/>
        </w:rPr>
        <w:t xml:space="preserve">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inscrivait résolument au cœur de</w:t>
      </w:r>
      <w:r w:rsidRPr="00C067D6">
        <w:rPr>
          <w:rFonts w:ascii="Arial" w:eastAsia="SimSun" w:hAnsi="Arial" w:cs="Arial"/>
          <w:bCs/>
          <w:sz w:val="22"/>
          <w:szCs w:val="22"/>
          <w:lang w:val="fr-FR" w:eastAsia="en-US"/>
        </w:rPr>
        <w:t xml:space="preserve"> la Convention, ce dont </w:t>
      </w:r>
      <w:r>
        <w:rPr>
          <w:rFonts w:ascii="Arial" w:eastAsia="SimSun" w:hAnsi="Arial" w:cs="Arial"/>
          <w:bCs/>
          <w:sz w:val="22"/>
          <w:szCs w:val="22"/>
          <w:lang w:val="fr-FR" w:eastAsia="en-US"/>
        </w:rPr>
        <w:t xml:space="preserve">la </w:t>
      </w:r>
      <w:r w:rsidRPr="00C24031">
        <w:rPr>
          <w:rFonts w:ascii="Arial" w:eastAsia="SimSun" w:hAnsi="Arial" w:cs="Arial"/>
          <w:bCs/>
          <w:sz w:val="22"/>
          <w:szCs w:val="22"/>
          <w:lang w:val="fr-FR" w:eastAsia="en-US"/>
        </w:rPr>
        <w:t>délégation</w:t>
      </w:r>
      <w:r w:rsidRPr="00C067D6">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était </w:t>
      </w:r>
      <w:r w:rsidRPr="00C067D6">
        <w:rPr>
          <w:rFonts w:ascii="Arial" w:eastAsia="SimSun" w:hAnsi="Arial" w:cs="Arial"/>
          <w:bCs/>
          <w:sz w:val="22"/>
          <w:szCs w:val="22"/>
          <w:lang w:val="fr-FR" w:eastAsia="en-US"/>
        </w:rPr>
        <w:t xml:space="preserve">reconnaissante. La question de savoir comment promouvoir la participation des ONG </w:t>
      </w:r>
      <w:r>
        <w:rPr>
          <w:rFonts w:ascii="Arial" w:eastAsia="SimSun" w:hAnsi="Arial" w:cs="Arial"/>
          <w:bCs/>
          <w:sz w:val="22"/>
          <w:szCs w:val="22"/>
          <w:lang w:val="fr-FR" w:eastAsia="en-US"/>
        </w:rPr>
        <w:t>était</w:t>
      </w:r>
      <w:r w:rsidRPr="00C067D6">
        <w:rPr>
          <w:rFonts w:ascii="Arial" w:eastAsia="SimSun" w:hAnsi="Arial" w:cs="Arial"/>
          <w:bCs/>
          <w:sz w:val="22"/>
          <w:szCs w:val="22"/>
          <w:lang w:val="fr-FR" w:eastAsia="en-US"/>
        </w:rPr>
        <w:t xml:space="preserve"> donc une question importante pour l</w:t>
      </w:r>
      <w:r w:rsidR="008E532B">
        <w:rPr>
          <w:rFonts w:ascii="Arial" w:eastAsia="SimSun" w:hAnsi="Arial" w:cs="Arial"/>
          <w:bCs/>
          <w:sz w:val="22"/>
          <w:szCs w:val="22"/>
          <w:lang w:val="fr-FR" w:eastAsia="en-US"/>
        </w:rPr>
        <w:t>’</w:t>
      </w:r>
      <w:r w:rsidRPr="00C067D6">
        <w:rPr>
          <w:rFonts w:ascii="Arial" w:eastAsia="SimSun" w:hAnsi="Arial" w:cs="Arial"/>
          <w:bCs/>
          <w:sz w:val="22"/>
          <w:szCs w:val="22"/>
          <w:lang w:val="fr-FR" w:eastAsia="en-US"/>
        </w:rPr>
        <w:t xml:space="preserve">avenir de cette Convention, et la Suède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est réjouie</w:t>
      </w:r>
      <w:r w:rsidRPr="00C067D6">
        <w:rPr>
          <w:rFonts w:ascii="Arial" w:eastAsia="SimSun" w:hAnsi="Arial" w:cs="Arial"/>
          <w:bCs/>
          <w:sz w:val="22"/>
          <w:szCs w:val="22"/>
          <w:lang w:val="fr-FR" w:eastAsia="en-US"/>
        </w:rPr>
        <w:t xml:space="preserve"> de</w:t>
      </w:r>
      <w:r>
        <w:rPr>
          <w:rFonts w:ascii="Arial" w:eastAsia="SimSun" w:hAnsi="Arial" w:cs="Arial"/>
          <w:bCs/>
          <w:sz w:val="22"/>
          <w:szCs w:val="22"/>
          <w:lang w:val="fr-FR" w:eastAsia="en-US"/>
        </w:rPr>
        <w:t>s</w:t>
      </w:r>
      <w:r w:rsidRPr="00C067D6">
        <w:rPr>
          <w:rFonts w:ascii="Arial" w:eastAsia="SimSun" w:hAnsi="Arial" w:cs="Arial"/>
          <w:bCs/>
          <w:sz w:val="22"/>
          <w:szCs w:val="22"/>
          <w:lang w:val="fr-FR" w:eastAsia="en-US"/>
        </w:rPr>
        <w:t xml:space="preserve"> nouvelles discussions sur ce sujet pour une mise en œuvre plus </w:t>
      </w:r>
      <w:r>
        <w:rPr>
          <w:rFonts w:ascii="Arial" w:eastAsia="SimSun" w:hAnsi="Arial" w:cs="Arial"/>
          <w:bCs/>
          <w:sz w:val="22"/>
          <w:szCs w:val="22"/>
          <w:lang w:val="fr-FR" w:eastAsia="en-US"/>
        </w:rPr>
        <w:t>vaste</w:t>
      </w:r>
      <w:r w:rsidRPr="00C067D6">
        <w:rPr>
          <w:rFonts w:ascii="Arial" w:eastAsia="SimSun" w:hAnsi="Arial" w:cs="Arial"/>
          <w:bCs/>
          <w:sz w:val="22"/>
          <w:szCs w:val="22"/>
          <w:lang w:val="fr-FR" w:eastAsia="en-US"/>
        </w:rPr>
        <w:t xml:space="preserve"> de l</w:t>
      </w:r>
      <w:r w:rsidR="008E532B">
        <w:rPr>
          <w:rFonts w:ascii="Arial" w:eastAsia="SimSun" w:hAnsi="Arial" w:cs="Arial"/>
          <w:bCs/>
          <w:sz w:val="22"/>
          <w:szCs w:val="22"/>
          <w:lang w:val="fr-FR" w:eastAsia="en-US"/>
        </w:rPr>
        <w:t>’</w:t>
      </w:r>
      <w:r w:rsidRPr="00C067D6">
        <w:rPr>
          <w:rFonts w:ascii="Arial" w:eastAsia="SimSun" w:hAnsi="Arial" w:cs="Arial"/>
          <w:bCs/>
          <w:sz w:val="22"/>
          <w:szCs w:val="22"/>
          <w:lang w:val="fr-FR" w:eastAsia="en-US"/>
        </w:rPr>
        <w:t xml:space="preserve">article 18 de la Convention, un processus que la Suède </w:t>
      </w:r>
      <w:r>
        <w:rPr>
          <w:rFonts w:ascii="Arial" w:eastAsia="SimSun" w:hAnsi="Arial" w:cs="Arial"/>
          <w:bCs/>
          <w:sz w:val="22"/>
          <w:szCs w:val="22"/>
          <w:lang w:val="fr-FR" w:eastAsia="en-US"/>
        </w:rPr>
        <w:t>était</w:t>
      </w:r>
      <w:r w:rsidRPr="00C067D6">
        <w:rPr>
          <w:rFonts w:ascii="Arial" w:eastAsia="SimSun" w:hAnsi="Arial" w:cs="Arial"/>
          <w:bCs/>
          <w:sz w:val="22"/>
          <w:szCs w:val="22"/>
          <w:lang w:val="fr-FR" w:eastAsia="en-US"/>
        </w:rPr>
        <w:t xml:space="preserve"> heureuse de financer.</w:t>
      </w:r>
    </w:p>
    <w:p w14:paraId="62E5B506" w14:textId="5643B535" w:rsidR="00D9653F" w:rsidRPr="00963EB1"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3751B4">
        <w:rPr>
          <w:rFonts w:ascii="Arial" w:eastAsia="SimSun" w:hAnsi="Arial" w:cs="Arial"/>
          <w:bCs/>
          <w:sz w:val="22"/>
          <w:szCs w:val="22"/>
          <w:lang w:val="fr-FR" w:eastAsia="en-US"/>
        </w:rPr>
        <w:t xml:space="preserve">La délégation de la </w:t>
      </w:r>
      <w:r w:rsidRPr="003751B4">
        <w:rPr>
          <w:rFonts w:ascii="Arial" w:eastAsia="SimSun" w:hAnsi="Arial" w:cs="Arial"/>
          <w:b/>
          <w:sz w:val="22"/>
          <w:szCs w:val="22"/>
          <w:lang w:val="fr-FR" w:eastAsia="en-US"/>
        </w:rPr>
        <w:t>Slovaquie</w:t>
      </w:r>
      <w:r w:rsidRPr="003751B4">
        <w:rPr>
          <w:rFonts w:ascii="Arial" w:eastAsia="SimSun" w:hAnsi="Arial" w:cs="Arial"/>
          <w:bCs/>
          <w:sz w:val="22"/>
          <w:szCs w:val="22"/>
          <w:lang w:val="fr-FR" w:eastAsia="en-US"/>
        </w:rPr>
        <w:t xml:space="preserve"> a félicité la Présidente et a salué le rapport du Secrétariat ainsi que les activités entreprises dans les circonstances très difficiles de la pandémie. Elle appréci</w:t>
      </w:r>
      <w:r>
        <w:rPr>
          <w:rFonts w:ascii="Arial" w:eastAsia="SimSun" w:hAnsi="Arial" w:cs="Arial"/>
          <w:bCs/>
          <w:sz w:val="22"/>
          <w:szCs w:val="22"/>
          <w:lang w:val="fr-FR" w:eastAsia="en-US"/>
        </w:rPr>
        <w:t>ait</w:t>
      </w:r>
      <w:r w:rsidRPr="003751B4">
        <w:rPr>
          <w:rFonts w:ascii="Arial" w:eastAsia="SimSun" w:hAnsi="Arial" w:cs="Arial"/>
          <w:bCs/>
          <w:sz w:val="22"/>
          <w:szCs w:val="22"/>
          <w:lang w:val="fr-FR" w:eastAsia="en-US"/>
        </w:rPr>
        <w:t xml:space="preserve"> les activités de tous les secteurs, des gouvernements, d</w:t>
      </w:r>
      <w:r>
        <w:rPr>
          <w:rFonts w:ascii="Arial" w:eastAsia="SimSun" w:hAnsi="Arial" w:cs="Arial"/>
          <w:bCs/>
          <w:sz w:val="22"/>
          <w:szCs w:val="22"/>
          <w:lang w:val="fr-FR" w:eastAsia="en-US"/>
        </w:rPr>
        <w:t>e</w:t>
      </w:r>
      <w:r w:rsidRPr="003751B4">
        <w:rPr>
          <w:rFonts w:ascii="Arial" w:eastAsia="SimSun" w:hAnsi="Arial" w:cs="Arial"/>
          <w:bCs/>
          <w:sz w:val="22"/>
          <w:szCs w:val="22"/>
          <w:lang w:val="fr-FR" w:eastAsia="en-US"/>
        </w:rPr>
        <w:t xml:space="preserve"> renforcement des capacités, d</w:t>
      </w:r>
      <w:r w:rsidR="008E532B">
        <w:rPr>
          <w:rFonts w:ascii="Arial" w:eastAsia="SimSun" w:hAnsi="Arial" w:cs="Arial"/>
          <w:bCs/>
          <w:sz w:val="22"/>
          <w:szCs w:val="22"/>
          <w:lang w:val="fr-FR" w:eastAsia="en-US"/>
        </w:rPr>
        <w:t>’</w:t>
      </w:r>
      <w:r w:rsidRPr="003751B4">
        <w:rPr>
          <w:rFonts w:ascii="Arial" w:eastAsia="SimSun" w:hAnsi="Arial" w:cs="Arial"/>
          <w:bCs/>
          <w:sz w:val="22"/>
          <w:szCs w:val="22"/>
          <w:lang w:val="fr-FR" w:eastAsia="en-US"/>
        </w:rPr>
        <w:t>éducation, de</w:t>
      </w:r>
      <w:r>
        <w:rPr>
          <w:rFonts w:ascii="Arial" w:eastAsia="SimSun" w:hAnsi="Arial" w:cs="Arial"/>
          <w:bCs/>
          <w:sz w:val="22"/>
          <w:szCs w:val="22"/>
          <w:lang w:val="fr-FR" w:eastAsia="en-US"/>
        </w:rPr>
        <w:t xml:space="preserve"> </w:t>
      </w:r>
      <w:r w:rsidRPr="003751B4">
        <w:rPr>
          <w:rFonts w:ascii="Arial" w:eastAsia="SimSun" w:hAnsi="Arial" w:cs="Arial"/>
          <w:bCs/>
          <w:sz w:val="22"/>
          <w:szCs w:val="22"/>
          <w:lang w:val="fr-FR" w:eastAsia="en-US"/>
        </w:rPr>
        <w:t>communication et de</w:t>
      </w:r>
      <w:r>
        <w:rPr>
          <w:rFonts w:ascii="Arial" w:eastAsia="SimSun" w:hAnsi="Arial" w:cs="Arial"/>
          <w:bCs/>
          <w:sz w:val="22"/>
          <w:szCs w:val="22"/>
          <w:lang w:val="fr-FR" w:eastAsia="en-US"/>
        </w:rPr>
        <w:t xml:space="preserve"> </w:t>
      </w:r>
      <w:r w:rsidRPr="003751B4">
        <w:rPr>
          <w:rFonts w:ascii="Arial" w:eastAsia="SimSun" w:hAnsi="Arial" w:cs="Arial"/>
          <w:bCs/>
          <w:sz w:val="22"/>
          <w:szCs w:val="22"/>
          <w:lang w:val="fr-FR" w:eastAsia="en-US"/>
        </w:rPr>
        <w:t>sensibilisation. La délégation appréci</w:t>
      </w:r>
      <w:r>
        <w:rPr>
          <w:rFonts w:ascii="Arial" w:eastAsia="SimSun" w:hAnsi="Arial" w:cs="Arial"/>
          <w:bCs/>
          <w:sz w:val="22"/>
          <w:szCs w:val="22"/>
          <w:lang w:val="fr-FR" w:eastAsia="en-US"/>
        </w:rPr>
        <w:t>ait tout particulièrement</w:t>
      </w:r>
      <w:r w:rsidRPr="003751B4">
        <w:rPr>
          <w:rFonts w:ascii="Arial" w:eastAsia="SimSun" w:hAnsi="Arial" w:cs="Arial"/>
          <w:bCs/>
          <w:sz w:val="22"/>
          <w:szCs w:val="22"/>
          <w:lang w:val="fr-FR" w:eastAsia="en-US"/>
        </w:rPr>
        <w:t xml:space="preserve"> le soutien du Secrétariat et de l</w:t>
      </w:r>
      <w:r w:rsidR="008E532B">
        <w:rPr>
          <w:rFonts w:ascii="Arial" w:eastAsia="SimSun" w:hAnsi="Arial" w:cs="Arial"/>
          <w:bCs/>
          <w:sz w:val="22"/>
          <w:szCs w:val="22"/>
          <w:lang w:val="fr-FR" w:eastAsia="en-US"/>
        </w:rPr>
        <w:t>’</w:t>
      </w:r>
      <w:r w:rsidRPr="003751B4">
        <w:rPr>
          <w:rFonts w:ascii="Arial" w:eastAsia="SimSun" w:hAnsi="Arial" w:cs="Arial"/>
          <w:bCs/>
          <w:sz w:val="22"/>
          <w:szCs w:val="22"/>
          <w:lang w:val="fr-FR" w:eastAsia="en-US"/>
        </w:rPr>
        <w:t>Organe d</w:t>
      </w:r>
      <w:r w:rsidR="008E532B">
        <w:rPr>
          <w:rFonts w:ascii="Arial" w:eastAsia="SimSun" w:hAnsi="Arial" w:cs="Arial"/>
          <w:bCs/>
          <w:sz w:val="22"/>
          <w:szCs w:val="22"/>
          <w:lang w:val="fr-FR" w:eastAsia="en-US"/>
        </w:rPr>
        <w:t>’</w:t>
      </w:r>
      <w:r w:rsidRPr="003751B4">
        <w:rPr>
          <w:rFonts w:ascii="Arial" w:eastAsia="SimSun" w:hAnsi="Arial" w:cs="Arial"/>
          <w:bCs/>
          <w:sz w:val="22"/>
          <w:szCs w:val="22"/>
          <w:lang w:val="fr-FR" w:eastAsia="en-US"/>
        </w:rPr>
        <w:t>évaluation et,</w:t>
      </w:r>
      <w:r>
        <w:rPr>
          <w:rFonts w:ascii="Arial" w:eastAsia="SimSun" w:hAnsi="Arial" w:cs="Arial"/>
          <w:bCs/>
          <w:sz w:val="22"/>
          <w:szCs w:val="22"/>
          <w:lang w:val="fr-FR" w:eastAsia="en-US"/>
        </w:rPr>
        <w:t xml:space="preserve"> notamment</w:t>
      </w:r>
      <w:r w:rsidRPr="003751B4">
        <w:rPr>
          <w:rFonts w:ascii="Arial" w:eastAsia="SimSun" w:hAnsi="Arial" w:cs="Arial"/>
          <w:bCs/>
          <w:sz w:val="22"/>
          <w:szCs w:val="22"/>
          <w:lang w:val="fr-FR" w:eastAsia="en-US"/>
        </w:rPr>
        <w:t>, le développement de la nouvelle interface de suivi en ligne qui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était</w:t>
      </w:r>
      <w:r w:rsidRPr="003751B4">
        <w:rPr>
          <w:rFonts w:ascii="Arial" w:eastAsia="SimSun" w:hAnsi="Arial" w:cs="Arial"/>
          <w:bCs/>
          <w:sz w:val="22"/>
          <w:szCs w:val="22"/>
          <w:lang w:val="fr-FR" w:eastAsia="en-US"/>
        </w:rPr>
        <w:t xml:space="preserve"> avérée utile et </w:t>
      </w:r>
      <w:r>
        <w:rPr>
          <w:rFonts w:ascii="Arial" w:eastAsia="SimSun" w:hAnsi="Arial" w:cs="Arial"/>
          <w:bCs/>
          <w:sz w:val="22"/>
          <w:szCs w:val="22"/>
          <w:lang w:val="fr-FR" w:eastAsia="en-US"/>
        </w:rPr>
        <w:t>dont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utilisation se poursuivait </w:t>
      </w:r>
      <w:r w:rsidRPr="003751B4">
        <w:rPr>
          <w:rFonts w:ascii="Arial" w:eastAsia="SimSun" w:hAnsi="Arial" w:cs="Arial"/>
          <w:bCs/>
          <w:sz w:val="22"/>
          <w:szCs w:val="22"/>
          <w:lang w:val="fr-FR" w:eastAsia="en-US"/>
        </w:rPr>
        <w:t>dans le cadre des méthodes de travail de l</w:t>
      </w:r>
      <w:r w:rsidR="008E532B">
        <w:rPr>
          <w:rFonts w:ascii="Arial" w:eastAsia="SimSun" w:hAnsi="Arial" w:cs="Arial"/>
          <w:bCs/>
          <w:sz w:val="22"/>
          <w:szCs w:val="22"/>
          <w:lang w:val="fr-FR" w:eastAsia="en-US"/>
        </w:rPr>
        <w:t>’</w:t>
      </w:r>
      <w:r w:rsidRPr="003751B4">
        <w:rPr>
          <w:rFonts w:ascii="Arial" w:eastAsia="SimSun" w:hAnsi="Arial" w:cs="Arial"/>
          <w:bCs/>
          <w:sz w:val="22"/>
          <w:szCs w:val="22"/>
          <w:lang w:val="fr-FR" w:eastAsia="en-US"/>
        </w:rPr>
        <w:t>Organe d</w:t>
      </w:r>
      <w:r w:rsidR="008E532B">
        <w:rPr>
          <w:rFonts w:ascii="Arial" w:eastAsia="SimSun" w:hAnsi="Arial" w:cs="Arial"/>
          <w:bCs/>
          <w:sz w:val="22"/>
          <w:szCs w:val="22"/>
          <w:lang w:val="fr-FR" w:eastAsia="en-US"/>
        </w:rPr>
        <w:t>’</w:t>
      </w:r>
      <w:r w:rsidRPr="003751B4">
        <w:rPr>
          <w:rFonts w:ascii="Arial" w:eastAsia="SimSun" w:hAnsi="Arial" w:cs="Arial"/>
          <w:bCs/>
          <w:sz w:val="22"/>
          <w:szCs w:val="22"/>
          <w:lang w:val="fr-FR" w:eastAsia="en-US"/>
        </w:rPr>
        <w:t>évaluation. Elle a particulièrement salué les activités de renforcement des capacités et d</w:t>
      </w:r>
      <w:r w:rsidR="008E532B">
        <w:rPr>
          <w:rFonts w:ascii="Arial" w:eastAsia="SimSun" w:hAnsi="Arial" w:cs="Arial"/>
          <w:bCs/>
          <w:sz w:val="22"/>
          <w:szCs w:val="22"/>
          <w:lang w:val="fr-FR" w:eastAsia="en-US"/>
        </w:rPr>
        <w:t>’</w:t>
      </w:r>
      <w:r w:rsidRPr="003751B4">
        <w:rPr>
          <w:rFonts w:ascii="Arial" w:eastAsia="SimSun" w:hAnsi="Arial" w:cs="Arial"/>
          <w:bCs/>
          <w:sz w:val="22"/>
          <w:szCs w:val="22"/>
          <w:lang w:val="fr-FR" w:eastAsia="en-US"/>
        </w:rPr>
        <w:t xml:space="preserve">éducation visant à sauvegarder le </w:t>
      </w:r>
      <w:r w:rsidRPr="00963EB1">
        <w:rPr>
          <w:rFonts w:ascii="Arial" w:eastAsia="SimSun" w:hAnsi="Arial" w:cs="Arial"/>
          <w:bCs/>
          <w:sz w:val="22"/>
          <w:szCs w:val="22"/>
          <w:lang w:val="fr-FR" w:eastAsia="en-US"/>
        </w:rPr>
        <w:t>patrimoine</w:t>
      </w:r>
      <w:r>
        <w:rPr>
          <w:rFonts w:ascii="Arial" w:eastAsia="SimSun" w:hAnsi="Arial" w:cs="Arial"/>
          <w:bCs/>
          <w:sz w:val="22"/>
          <w:szCs w:val="22"/>
          <w:lang w:val="fr-FR" w:eastAsia="en-US"/>
        </w:rPr>
        <w:t xml:space="preserve"> </w:t>
      </w:r>
      <w:r w:rsidRPr="00963EB1">
        <w:rPr>
          <w:rFonts w:ascii="Arial" w:eastAsia="SimSun" w:hAnsi="Arial" w:cs="Arial"/>
          <w:bCs/>
          <w:sz w:val="22"/>
          <w:szCs w:val="22"/>
          <w:lang w:val="fr-FR" w:eastAsia="en-US"/>
        </w:rPr>
        <w:t>culturel</w:t>
      </w:r>
      <w:r>
        <w:rPr>
          <w:rFonts w:ascii="Arial" w:eastAsia="SimSun" w:hAnsi="Arial" w:cs="Arial"/>
          <w:bCs/>
          <w:sz w:val="22"/>
          <w:szCs w:val="22"/>
          <w:lang w:val="fr-FR" w:eastAsia="en-US"/>
        </w:rPr>
        <w:t xml:space="preserve"> immatériel</w:t>
      </w:r>
      <w:r w:rsidRPr="00963EB1">
        <w:rPr>
          <w:rFonts w:ascii="Arial" w:eastAsia="SimSun" w:hAnsi="Arial" w:cs="Arial"/>
          <w:bCs/>
          <w:sz w:val="22"/>
          <w:szCs w:val="22"/>
          <w:lang w:val="fr-FR" w:eastAsia="en-US"/>
        </w:rPr>
        <w:t xml:space="preserve"> dans l</w:t>
      </w:r>
      <w:r w:rsidR="008E532B">
        <w:rPr>
          <w:rFonts w:ascii="Arial" w:eastAsia="SimSun" w:hAnsi="Arial" w:cs="Arial"/>
          <w:bCs/>
          <w:sz w:val="22"/>
          <w:szCs w:val="22"/>
          <w:lang w:val="fr-FR" w:eastAsia="en-US"/>
        </w:rPr>
        <w:t>’</w:t>
      </w:r>
      <w:r w:rsidRPr="00963EB1">
        <w:rPr>
          <w:rFonts w:ascii="Arial" w:eastAsia="SimSun" w:hAnsi="Arial" w:cs="Arial"/>
          <w:bCs/>
          <w:sz w:val="22"/>
          <w:szCs w:val="22"/>
          <w:lang w:val="fr-FR" w:eastAsia="en-US"/>
        </w:rPr>
        <w:t>éducation formelle et non formelle. La Slovaquie avait participé, en octobre 2021, à un webinaire coordonné avec des collègues tchèques sur l</w:t>
      </w:r>
      <w:r w:rsidR="008E532B">
        <w:rPr>
          <w:rFonts w:ascii="Arial" w:eastAsia="SimSun" w:hAnsi="Arial" w:cs="Arial"/>
          <w:bCs/>
          <w:sz w:val="22"/>
          <w:szCs w:val="22"/>
          <w:lang w:val="fr-FR" w:eastAsia="en-US"/>
        </w:rPr>
        <w:t>’</w:t>
      </w:r>
      <w:r w:rsidRPr="00963EB1">
        <w:rPr>
          <w:rFonts w:ascii="Arial" w:eastAsia="SimSun" w:hAnsi="Arial" w:cs="Arial"/>
          <w:bCs/>
          <w:sz w:val="22"/>
          <w:szCs w:val="22"/>
          <w:lang w:val="fr-FR" w:eastAsia="en-US"/>
        </w:rPr>
        <w:t xml:space="preserve">éducation et le patrimoine vivant, « Enseigner et apprendre avec le patrimoine vivant ». Dans le contexte </w:t>
      </w:r>
      <w:r w:rsidR="00E23FFC">
        <w:rPr>
          <w:rFonts w:ascii="Arial" w:eastAsia="SimSun" w:hAnsi="Arial" w:cs="Arial"/>
          <w:bCs/>
          <w:sz w:val="22"/>
          <w:szCs w:val="22"/>
          <w:lang w:val="fr-FR" w:eastAsia="en-US"/>
        </w:rPr>
        <w:t>de la guerre</w:t>
      </w:r>
      <w:r w:rsidRPr="00963EB1">
        <w:rPr>
          <w:rFonts w:ascii="Arial" w:eastAsia="SimSun" w:hAnsi="Arial" w:cs="Arial"/>
          <w:bCs/>
          <w:sz w:val="22"/>
          <w:szCs w:val="22"/>
          <w:lang w:val="fr-FR" w:eastAsia="en-US"/>
        </w:rPr>
        <w:t xml:space="preserve"> en Ukraine, la délégation a souligné l</w:t>
      </w:r>
      <w:r w:rsidR="008E532B">
        <w:rPr>
          <w:rFonts w:ascii="Arial" w:eastAsia="SimSun" w:hAnsi="Arial" w:cs="Arial"/>
          <w:bCs/>
          <w:sz w:val="22"/>
          <w:szCs w:val="22"/>
          <w:lang w:val="fr-FR" w:eastAsia="en-US"/>
        </w:rPr>
        <w:t>’</w:t>
      </w:r>
      <w:r w:rsidRPr="00963EB1">
        <w:rPr>
          <w:rFonts w:ascii="Arial" w:eastAsia="SimSun" w:hAnsi="Arial" w:cs="Arial"/>
          <w:bCs/>
          <w:sz w:val="22"/>
          <w:szCs w:val="22"/>
          <w:lang w:val="fr-FR" w:eastAsia="en-US"/>
        </w:rPr>
        <w:t>importance du rôle de la communauté internationale pour aider les personnes ayant fui leurs communautés à sauvegarder leurs traditions et leur patrimoine vivant. La Slovaquie était fière de faire partie des projets de l</w:t>
      </w:r>
      <w:r w:rsidR="008E532B">
        <w:rPr>
          <w:rFonts w:ascii="Arial" w:eastAsia="SimSun" w:hAnsi="Arial" w:cs="Arial"/>
          <w:bCs/>
          <w:sz w:val="22"/>
          <w:szCs w:val="22"/>
          <w:lang w:val="fr-FR" w:eastAsia="en-US"/>
        </w:rPr>
        <w:t>’</w:t>
      </w:r>
      <w:r w:rsidRPr="00963EB1">
        <w:rPr>
          <w:rFonts w:ascii="Arial" w:eastAsia="SimSun" w:hAnsi="Arial" w:cs="Arial"/>
          <w:bCs/>
          <w:sz w:val="22"/>
          <w:szCs w:val="22"/>
          <w:lang w:val="fr-FR" w:eastAsia="en-US"/>
        </w:rPr>
        <w:t xml:space="preserve">UNESCO dont les objectifs </w:t>
      </w:r>
      <w:r>
        <w:rPr>
          <w:rFonts w:ascii="Arial" w:eastAsia="SimSun" w:hAnsi="Arial" w:cs="Arial"/>
          <w:bCs/>
          <w:sz w:val="22"/>
          <w:szCs w:val="22"/>
          <w:lang w:val="fr-FR" w:eastAsia="en-US"/>
        </w:rPr>
        <w:t xml:space="preserve">sont </w:t>
      </w:r>
      <w:r w:rsidRPr="00963EB1">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Pr="00963EB1">
        <w:rPr>
          <w:rFonts w:ascii="Arial" w:eastAsia="SimSun" w:hAnsi="Arial" w:cs="Arial"/>
          <w:bCs/>
          <w:sz w:val="22"/>
          <w:szCs w:val="22"/>
          <w:lang w:val="fr-FR" w:eastAsia="en-US"/>
        </w:rPr>
        <w:t>identification, au niveau communautaire, des besoins en matière de patrimoine vivant des communautés, groupes et individus originaires d</w:t>
      </w:r>
      <w:r w:rsidR="008E532B">
        <w:rPr>
          <w:rFonts w:ascii="Arial" w:eastAsia="SimSun" w:hAnsi="Arial" w:cs="Arial"/>
          <w:bCs/>
          <w:sz w:val="22"/>
          <w:szCs w:val="22"/>
          <w:lang w:val="fr-FR" w:eastAsia="en-US"/>
        </w:rPr>
        <w:t>’</w:t>
      </w:r>
      <w:r w:rsidRPr="00963EB1">
        <w:rPr>
          <w:rFonts w:ascii="Arial" w:eastAsia="SimSun" w:hAnsi="Arial" w:cs="Arial"/>
          <w:bCs/>
          <w:sz w:val="22"/>
          <w:szCs w:val="22"/>
          <w:lang w:val="fr-FR" w:eastAsia="en-US"/>
        </w:rPr>
        <w:t>Ukraine et déplacés en Slovaquie. Tous les pays participants avaient évoqué de quelle façon les activités culturelles en temps de crise sont un réservoir de stratégies résilientes. La délégation a remercié le Secrétariat pour l</w:t>
      </w:r>
      <w:r w:rsidR="008E532B">
        <w:rPr>
          <w:rFonts w:ascii="Arial" w:eastAsia="SimSun" w:hAnsi="Arial" w:cs="Arial"/>
          <w:bCs/>
          <w:sz w:val="22"/>
          <w:szCs w:val="22"/>
          <w:lang w:val="fr-FR" w:eastAsia="en-US"/>
        </w:rPr>
        <w:t>’</w:t>
      </w:r>
      <w:r w:rsidRPr="00963EB1">
        <w:rPr>
          <w:rFonts w:ascii="Arial" w:eastAsia="SimSun" w:hAnsi="Arial" w:cs="Arial"/>
          <w:bCs/>
          <w:sz w:val="22"/>
          <w:szCs w:val="22"/>
          <w:lang w:val="fr-FR" w:eastAsia="en-US"/>
        </w:rPr>
        <w:t>intense et très utile formation spéciale en ligne consacrée à la préparation des rapports périodiques pendant la pandémie. Paradoxalement, cela avait permis de rassembler de nombreux collègues et ils avaient pu partager leur savoir-faire de manière plus intensive. La préparation de son rapport périodique par le biais de l</w:t>
      </w:r>
      <w:r w:rsidR="008E532B">
        <w:rPr>
          <w:rFonts w:ascii="Arial" w:eastAsia="SimSun" w:hAnsi="Arial" w:cs="Arial"/>
          <w:bCs/>
          <w:sz w:val="22"/>
          <w:szCs w:val="22"/>
          <w:lang w:val="fr-FR" w:eastAsia="en-US"/>
        </w:rPr>
        <w:t>’</w:t>
      </w:r>
      <w:r w:rsidRPr="00963EB1">
        <w:rPr>
          <w:rFonts w:ascii="Arial" w:eastAsia="SimSun" w:hAnsi="Arial" w:cs="Arial"/>
          <w:bCs/>
          <w:sz w:val="22"/>
          <w:szCs w:val="22"/>
          <w:lang w:val="fr-FR" w:eastAsia="en-US"/>
        </w:rPr>
        <w:t>outil électronique avait permis d</w:t>
      </w:r>
      <w:r w:rsidR="008E532B">
        <w:rPr>
          <w:rFonts w:ascii="Arial" w:eastAsia="SimSun" w:hAnsi="Arial" w:cs="Arial"/>
          <w:bCs/>
          <w:sz w:val="22"/>
          <w:szCs w:val="22"/>
          <w:lang w:val="fr-FR" w:eastAsia="en-US"/>
        </w:rPr>
        <w:t>’</w:t>
      </w:r>
      <w:r w:rsidRPr="00963EB1">
        <w:rPr>
          <w:rFonts w:ascii="Arial" w:eastAsia="SimSun" w:hAnsi="Arial" w:cs="Arial"/>
          <w:bCs/>
          <w:sz w:val="22"/>
          <w:szCs w:val="22"/>
          <w:lang w:val="fr-FR" w:eastAsia="en-US"/>
        </w:rPr>
        <w:t>obtenir une image complète de l</w:t>
      </w:r>
      <w:r w:rsidR="008E532B">
        <w:rPr>
          <w:rFonts w:ascii="Arial" w:eastAsia="SimSun" w:hAnsi="Arial" w:cs="Arial"/>
          <w:bCs/>
          <w:sz w:val="22"/>
          <w:szCs w:val="22"/>
          <w:lang w:val="fr-FR" w:eastAsia="en-US"/>
        </w:rPr>
        <w:t>’</w:t>
      </w:r>
      <w:r w:rsidRPr="00963EB1">
        <w:rPr>
          <w:rFonts w:ascii="Arial" w:eastAsia="SimSun" w:hAnsi="Arial" w:cs="Arial"/>
          <w:bCs/>
          <w:sz w:val="22"/>
          <w:szCs w:val="22"/>
          <w:lang w:val="fr-FR" w:eastAsia="en-US"/>
        </w:rPr>
        <w:t xml:space="preserve">état de la mise en œuvre de la Convention dans le pays ainsi que des défis, et les résultats étaient </w:t>
      </w:r>
      <w:r w:rsidRPr="00963EB1">
        <w:rPr>
          <w:rFonts w:ascii="Arial" w:eastAsia="SimSun" w:hAnsi="Arial" w:cs="Arial"/>
          <w:bCs/>
          <w:color w:val="000000" w:themeColor="text1"/>
          <w:sz w:val="22"/>
          <w:szCs w:val="22"/>
          <w:lang w:val="fr-FR" w:eastAsia="en-US"/>
        </w:rPr>
        <w:t>désormais</w:t>
      </w:r>
      <w:r w:rsidRPr="00963EB1">
        <w:rPr>
          <w:rFonts w:ascii="Arial" w:eastAsia="SimSun" w:hAnsi="Arial" w:cs="Arial"/>
          <w:bCs/>
          <w:sz w:val="22"/>
          <w:szCs w:val="22"/>
          <w:lang w:val="fr-FR" w:eastAsia="en-US"/>
        </w:rPr>
        <w:t xml:space="preserve"> utilisés pour la politique intersectorielle </w:t>
      </w:r>
      <w:r>
        <w:rPr>
          <w:rFonts w:ascii="Arial" w:eastAsia="SimSun" w:hAnsi="Arial" w:cs="Arial"/>
          <w:bCs/>
          <w:sz w:val="22"/>
          <w:szCs w:val="22"/>
          <w:lang w:val="fr-FR" w:eastAsia="en-US"/>
        </w:rPr>
        <w:t>en matière de</w:t>
      </w:r>
      <w:r w:rsidRPr="00963EB1">
        <w:rPr>
          <w:rFonts w:ascii="Arial" w:eastAsia="SimSun" w:hAnsi="Arial" w:cs="Arial"/>
          <w:bCs/>
          <w:sz w:val="22"/>
          <w:szCs w:val="22"/>
          <w:lang w:val="fr-FR" w:eastAsia="en-US"/>
        </w:rPr>
        <w:t xml:space="preserve"> développement durable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963EB1">
        <w:rPr>
          <w:rFonts w:ascii="Arial" w:eastAsia="SimSun" w:hAnsi="Arial" w:cs="Arial"/>
          <w:bCs/>
          <w:sz w:val="22"/>
          <w:szCs w:val="22"/>
          <w:lang w:val="fr-FR" w:eastAsia="en-US"/>
        </w:rPr>
        <w:t>au niveau national.</w:t>
      </w:r>
    </w:p>
    <w:p w14:paraId="215E9686" w14:textId="4EAE90D6" w:rsidR="00D9653F"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53552A">
        <w:rPr>
          <w:rFonts w:ascii="Arial" w:eastAsia="SimSun" w:hAnsi="Arial" w:cs="Arial"/>
          <w:bCs/>
          <w:sz w:val="22"/>
          <w:szCs w:val="22"/>
          <w:lang w:val="fr-FR" w:eastAsia="en-US"/>
        </w:rPr>
        <w:t>La délégation de la</w:t>
      </w:r>
      <w:r>
        <w:rPr>
          <w:rFonts w:ascii="Arial" w:eastAsia="SimSun" w:hAnsi="Arial" w:cs="Arial"/>
          <w:bCs/>
          <w:sz w:val="22"/>
          <w:szCs w:val="22"/>
          <w:lang w:val="fr-FR" w:eastAsia="en-US"/>
        </w:rPr>
        <w:t xml:space="preserve"> </w:t>
      </w:r>
      <w:r w:rsidRPr="0053552A">
        <w:rPr>
          <w:rFonts w:ascii="Arial" w:eastAsia="SimSun" w:hAnsi="Arial" w:cs="Arial"/>
          <w:b/>
          <w:sz w:val="22"/>
          <w:szCs w:val="22"/>
          <w:lang w:val="fr-FR" w:eastAsia="en-US"/>
        </w:rPr>
        <w:t>Tchéquie</w:t>
      </w:r>
      <w:r w:rsidRPr="0053552A">
        <w:rPr>
          <w:rFonts w:ascii="Arial" w:eastAsia="SimSun" w:hAnsi="Arial" w:cs="Arial"/>
          <w:bCs/>
          <w:sz w:val="22"/>
          <w:szCs w:val="22"/>
          <w:lang w:val="fr-FR" w:eastAsia="en-US"/>
        </w:rPr>
        <w:t xml:space="preserve"> a félicité la Présidente pour son élection et a souhaité la bienvenue à l</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 xml:space="preserve">Angola et à la Somalie au sein de la Convention. Elle a remercié le Secrétariat pour son excellent rapport et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est </w:t>
      </w:r>
      <w:proofErr w:type="gramStart"/>
      <w:r>
        <w:rPr>
          <w:rFonts w:ascii="Arial" w:eastAsia="SimSun" w:hAnsi="Arial" w:cs="Arial"/>
          <w:bCs/>
          <w:sz w:val="22"/>
          <w:szCs w:val="22"/>
          <w:lang w:val="fr-FR" w:eastAsia="en-US"/>
        </w:rPr>
        <w:t>dite</w:t>
      </w:r>
      <w:proofErr w:type="gramEnd"/>
      <w:r w:rsidRPr="0053552A">
        <w:rPr>
          <w:rFonts w:ascii="Arial" w:eastAsia="SimSun" w:hAnsi="Arial" w:cs="Arial"/>
          <w:bCs/>
          <w:sz w:val="22"/>
          <w:szCs w:val="22"/>
          <w:lang w:val="fr-FR" w:eastAsia="en-US"/>
        </w:rPr>
        <w:t>, une fois de plus, impressionnée par la quantité et la qualité du travail accompli depuis 2020, ainsi que par le dévouement du Secrétariat, malgré une charge de travail toujours plus importante. La délégation a estimé que la réflexion globale sur les mécanismes d</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inscription avait été menée avec succès et représentait une étape importante dans la mise en œuvre de la Convention. Elle a également salué la réforme des rapports périodiques, grâce à laquelle une nette amélioration du taux de soumission a</w:t>
      </w:r>
      <w:r>
        <w:rPr>
          <w:rFonts w:ascii="Arial" w:eastAsia="SimSun" w:hAnsi="Arial" w:cs="Arial"/>
          <w:bCs/>
          <w:sz w:val="22"/>
          <w:szCs w:val="22"/>
          <w:lang w:val="fr-FR" w:eastAsia="en-US"/>
        </w:rPr>
        <w:t>vait</w:t>
      </w:r>
      <w:r w:rsidRPr="0053552A">
        <w:rPr>
          <w:rFonts w:ascii="Arial" w:eastAsia="SimSun" w:hAnsi="Arial" w:cs="Arial"/>
          <w:bCs/>
          <w:sz w:val="22"/>
          <w:szCs w:val="22"/>
          <w:lang w:val="fr-FR" w:eastAsia="en-US"/>
        </w:rPr>
        <w:t xml:space="preserve"> été observée. Bien que le processus d</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établissement des rapports soit complexe et nécessite des consultations avec un large éventail de parties prenantes, exigeant des ressources humaines et financières, la délégation a estimé qu</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il s</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agi</w:t>
      </w:r>
      <w:r>
        <w:rPr>
          <w:rFonts w:ascii="Arial" w:eastAsia="SimSun" w:hAnsi="Arial" w:cs="Arial"/>
          <w:bCs/>
          <w:sz w:val="22"/>
          <w:szCs w:val="22"/>
          <w:lang w:val="fr-FR" w:eastAsia="en-US"/>
        </w:rPr>
        <w:t>t</w:t>
      </w:r>
      <w:r w:rsidRPr="0053552A">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 xml:space="preserve">un outil précieux pour une mise en œuvre plus efficace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53552A">
        <w:rPr>
          <w:rFonts w:ascii="Arial" w:eastAsia="SimSun" w:hAnsi="Arial" w:cs="Arial"/>
          <w:bCs/>
          <w:sz w:val="22"/>
          <w:szCs w:val="22"/>
          <w:lang w:val="fr-FR" w:eastAsia="en-US"/>
        </w:rPr>
        <w:t>dans les politiques culturelles et pour un meilleur suivi des pratiques de sauvegarde. Dans le même temps, la délégation a reconnu que le formulaire est très complexe et qu</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il serait utile de le simplifier autant que possible à l</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 xml:space="preserve">avenir. Elle </w:t>
      </w:r>
      <w:r>
        <w:rPr>
          <w:rFonts w:ascii="Arial" w:eastAsia="SimSun" w:hAnsi="Arial" w:cs="Arial"/>
          <w:bCs/>
          <w:sz w:val="22"/>
          <w:szCs w:val="22"/>
          <w:lang w:val="fr-FR" w:eastAsia="en-US"/>
        </w:rPr>
        <w:t xml:space="preserve">appréciait </w:t>
      </w:r>
      <w:r w:rsidRPr="0053552A">
        <w:rPr>
          <w:rFonts w:ascii="Arial" w:eastAsia="SimSun" w:hAnsi="Arial" w:cs="Arial"/>
          <w:bCs/>
          <w:sz w:val="22"/>
          <w:szCs w:val="22"/>
          <w:lang w:val="fr-FR" w:eastAsia="en-US"/>
        </w:rPr>
        <w:t>également les mesures prises pour améliorer le taux de soumission et les demandes d</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 xml:space="preserve">assistance internationale, qui </w:t>
      </w:r>
      <w:r>
        <w:rPr>
          <w:rFonts w:ascii="Arial" w:eastAsia="SimSun" w:hAnsi="Arial" w:cs="Arial"/>
          <w:bCs/>
          <w:sz w:val="22"/>
          <w:szCs w:val="22"/>
          <w:lang w:val="fr-FR" w:eastAsia="en-US"/>
        </w:rPr>
        <w:t>avaient</w:t>
      </w:r>
      <w:r w:rsidRPr="0053552A">
        <w:rPr>
          <w:rFonts w:ascii="Arial" w:eastAsia="SimSun" w:hAnsi="Arial" w:cs="Arial"/>
          <w:bCs/>
          <w:sz w:val="22"/>
          <w:szCs w:val="22"/>
          <w:lang w:val="fr-FR" w:eastAsia="en-US"/>
        </w:rPr>
        <w:t xml:space="preserve"> diminué </w:t>
      </w:r>
      <w:proofErr w:type="gramStart"/>
      <w:r w:rsidRPr="0053552A">
        <w:rPr>
          <w:rFonts w:ascii="Arial" w:eastAsia="SimSun" w:hAnsi="Arial" w:cs="Arial"/>
          <w:bCs/>
          <w:sz w:val="22"/>
          <w:szCs w:val="22"/>
          <w:lang w:val="fr-FR" w:eastAsia="en-US"/>
        </w:rPr>
        <w:t>suite à</w:t>
      </w:r>
      <w:proofErr w:type="gramEnd"/>
      <w:r w:rsidRPr="0053552A">
        <w:rPr>
          <w:rFonts w:ascii="Arial" w:eastAsia="SimSun" w:hAnsi="Arial" w:cs="Arial"/>
          <w:bCs/>
          <w:sz w:val="22"/>
          <w:szCs w:val="22"/>
          <w:lang w:val="fr-FR" w:eastAsia="en-US"/>
        </w:rPr>
        <w:t xml:space="preserve"> la pandémie, y compris l</w:t>
      </w:r>
      <w:r>
        <w:rPr>
          <w:rFonts w:ascii="Arial" w:eastAsia="SimSun" w:hAnsi="Arial" w:cs="Arial"/>
          <w:bCs/>
          <w:sz w:val="22"/>
          <w:szCs w:val="22"/>
          <w:lang w:val="fr-FR" w:eastAsia="en-US"/>
        </w:rPr>
        <w:t>e</w:t>
      </w:r>
      <w:r w:rsidRPr="0053552A">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guide </w:t>
      </w:r>
      <w:r w:rsidRPr="0053552A">
        <w:rPr>
          <w:rFonts w:ascii="Arial" w:eastAsia="SimSun" w:hAnsi="Arial" w:cs="Arial"/>
          <w:bCs/>
          <w:sz w:val="22"/>
          <w:szCs w:val="22"/>
          <w:lang w:val="fr-FR" w:eastAsia="en-US"/>
        </w:rPr>
        <w:t xml:space="preserve">pour ce mécanisme. La délégation a </w:t>
      </w:r>
      <w:r>
        <w:rPr>
          <w:rFonts w:ascii="Arial" w:eastAsia="SimSun" w:hAnsi="Arial" w:cs="Arial"/>
          <w:bCs/>
          <w:sz w:val="22"/>
          <w:szCs w:val="22"/>
          <w:lang w:val="fr-FR" w:eastAsia="en-US"/>
        </w:rPr>
        <w:t xml:space="preserve">dit à quel point </w:t>
      </w:r>
      <w:r w:rsidRPr="0053552A">
        <w:rPr>
          <w:rFonts w:ascii="Arial" w:eastAsia="SimSun" w:hAnsi="Arial" w:cs="Arial"/>
          <w:bCs/>
          <w:sz w:val="22"/>
          <w:szCs w:val="22"/>
          <w:lang w:val="fr-FR" w:eastAsia="en-US"/>
        </w:rPr>
        <w:t xml:space="preserve">le soutien du Secrétariat avait été important pour la mise en œuvre réussie de la Convention et de ses programmes de transmission des valeurs, des connaissances et des manifestations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53552A">
        <w:rPr>
          <w:rFonts w:ascii="Arial" w:eastAsia="SimSun" w:hAnsi="Arial" w:cs="Arial"/>
          <w:bCs/>
          <w:sz w:val="22"/>
          <w:szCs w:val="22"/>
          <w:lang w:val="fr-FR" w:eastAsia="en-US"/>
        </w:rPr>
        <w:t>en période de crise sanitaire. Le Secrétariat a</w:t>
      </w:r>
      <w:r>
        <w:rPr>
          <w:rFonts w:ascii="Arial" w:eastAsia="SimSun" w:hAnsi="Arial" w:cs="Arial"/>
          <w:bCs/>
          <w:sz w:val="22"/>
          <w:szCs w:val="22"/>
          <w:lang w:val="fr-FR" w:eastAsia="en-US"/>
        </w:rPr>
        <w:t>vait</w:t>
      </w:r>
      <w:r w:rsidRPr="0053552A">
        <w:rPr>
          <w:rFonts w:ascii="Arial" w:eastAsia="SimSun" w:hAnsi="Arial" w:cs="Arial"/>
          <w:bCs/>
          <w:sz w:val="22"/>
          <w:szCs w:val="22"/>
          <w:lang w:val="fr-FR" w:eastAsia="en-US"/>
        </w:rPr>
        <w:t xml:space="preserve"> pu gérer ces activités malgré les difficultés, ce qui rappel</w:t>
      </w:r>
      <w:r>
        <w:rPr>
          <w:rFonts w:ascii="Arial" w:eastAsia="SimSun" w:hAnsi="Arial" w:cs="Arial"/>
          <w:bCs/>
          <w:sz w:val="22"/>
          <w:szCs w:val="22"/>
          <w:lang w:val="fr-FR" w:eastAsia="en-US"/>
        </w:rPr>
        <w:t>ait</w:t>
      </w:r>
      <w:r w:rsidRPr="0053552A">
        <w:rPr>
          <w:rFonts w:ascii="Arial" w:eastAsia="SimSun" w:hAnsi="Arial" w:cs="Arial"/>
          <w:bCs/>
          <w:sz w:val="22"/>
          <w:szCs w:val="22"/>
          <w:lang w:val="fr-FR" w:eastAsia="en-US"/>
        </w:rPr>
        <w:t xml:space="preserve"> que le Secrétariat a</w:t>
      </w:r>
      <w:r>
        <w:rPr>
          <w:rFonts w:ascii="Arial" w:eastAsia="SimSun" w:hAnsi="Arial" w:cs="Arial"/>
          <w:bCs/>
          <w:sz w:val="22"/>
          <w:szCs w:val="22"/>
          <w:lang w:val="fr-FR" w:eastAsia="en-US"/>
        </w:rPr>
        <w:t>vait</w:t>
      </w:r>
      <w:r w:rsidRPr="0053552A">
        <w:rPr>
          <w:rFonts w:ascii="Arial" w:eastAsia="SimSun" w:hAnsi="Arial" w:cs="Arial"/>
          <w:bCs/>
          <w:sz w:val="22"/>
          <w:szCs w:val="22"/>
          <w:lang w:val="fr-FR" w:eastAsia="en-US"/>
        </w:rPr>
        <w:t xml:space="preserve"> pu atteindre ces résultats malgré des ressources humaines limitées. Les États parties p</w:t>
      </w:r>
      <w:r>
        <w:rPr>
          <w:rFonts w:ascii="Arial" w:eastAsia="SimSun" w:hAnsi="Arial" w:cs="Arial"/>
          <w:bCs/>
          <w:sz w:val="22"/>
          <w:szCs w:val="22"/>
          <w:lang w:val="fr-FR" w:eastAsia="en-US"/>
        </w:rPr>
        <w:t>ouvaient</w:t>
      </w:r>
      <w:r w:rsidRPr="0053552A">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avoir de nombreux </w:t>
      </w:r>
      <w:r w:rsidRPr="0053552A">
        <w:rPr>
          <w:rFonts w:ascii="Arial" w:eastAsia="SimSun" w:hAnsi="Arial" w:cs="Arial"/>
          <w:bCs/>
          <w:sz w:val="22"/>
          <w:szCs w:val="22"/>
          <w:lang w:val="fr-FR" w:eastAsia="en-US"/>
        </w:rPr>
        <w:t>rêve</w:t>
      </w:r>
      <w:r>
        <w:rPr>
          <w:rFonts w:ascii="Arial" w:eastAsia="SimSun" w:hAnsi="Arial" w:cs="Arial"/>
          <w:bCs/>
          <w:sz w:val="22"/>
          <w:szCs w:val="22"/>
          <w:lang w:val="fr-FR" w:eastAsia="en-US"/>
        </w:rPr>
        <w:t>s</w:t>
      </w:r>
      <w:r w:rsidRPr="0053552A">
        <w:rPr>
          <w:rFonts w:ascii="Arial" w:eastAsia="SimSun" w:hAnsi="Arial" w:cs="Arial"/>
          <w:bCs/>
          <w:sz w:val="22"/>
          <w:szCs w:val="22"/>
          <w:lang w:val="fr-FR" w:eastAsia="en-US"/>
        </w:rPr>
        <w:t xml:space="preserve"> et planifier beaucoup de choses, mais sans le travail et le soutien du Secrétariat, cette Convention ne serait pas en mesure de fournir de tels résultats</w:t>
      </w:r>
      <w:r>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 xml:space="preserve"> et il y a</w:t>
      </w:r>
      <w:r>
        <w:rPr>
          <w:rFonts w:ascii="Arial" w:eastAsia="SimSun" w:hAnsi="Arial" w:cs="Arial"/>
          <w:bCs/>
          <w:sz w:val="22"/>
          <w:szCs w:val="22"/>
          <w:lang w:val="fr-FR" w:eastAsia="en-US"/>
        </w:rPr>
        <w:t>vait</w:t>
      </w:r>
      <w:r w:rsidRPr="0053552A">
        <w:rPr>
          <w:rFonts w:ascii="Arial" w:eastAsia="SimSun" w:hAnsi="Arial" w:cs="Arial"/>
          <w:bCs/>
          <w:sz w:val="22"/>
          <w:szCs w:val="22"/>
          <w:lang w:val="fr-FR" w:eastAsia="en-US"/>
        </w:rPr>
        <w:t xml:space="preserve"> encore beaucoup de place pour </w:t>
      </w:r>
      <w:r>
        <w:rPr>
          <w:rFonts w:ascii="Arial" w:eastAsia="SimSun" w:hAnsi="Arial" w:cs="Arial"/>
          <w:bCs/>
          <w:sz w:val="22"/>
          <w:szCs w:val="22"/>
          <w:lang w:val="fr-FR" w:eastAsia="en-US"/>
        </w:rPr>
        <w:t>son</w:t>
      </w:r>
      <w:r w:rsidRPr="0053552A">
        <w:rPr>
          <w:rFonts w:ascii="Arial" w:eastAsia="SimSun" w:hAnsi="Arial" w:cs="Arial"/>
          <w:bCs/>
          <w:sz w:val="22"/>
          <w:szCs w:val="22"/>
          <w:lang w:val="fr-FR" w:eastAsia="en-US"/>
        </w:rPr>
        <w:t xml:space="preserve"> développement. D</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où l</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importance d</w:t>
      </w:r>
      <w:r w:rsidR="008E532B">
        <w:rPr>
          <w:rFonts w:ascii="Arial" w:eastAsia="SimSun" w:hAnsi="Arial" w:cs="Arial"/>
          <w:bCs/>
          <w:sz w:val="22"/>
          <w:szCs w:val="22"/>
          <w:lang w:val="fr-FR" w:eastAsia="en-US"/>
        </w:rPr>
        <w:t>’</w:t>
      </w:r>
      <w:r w:rsidRPr="0053552A">
        <w:rPr>
          <w:rFonts w:ascii="Arial" w:eastAsia="SimSun" w:hAnsi="Arial" w:cs="Arial"/>
          <w:bCs/>
          <w:sz w:val="22"/>
          <w:szCs w:val="22"/>
          <w:lang w:val="fr-FR" w:eastAsia="en-US"/>
        </w:rPr>
        <w:t xml:space="preserve">unir nos forces et de fixer des priorités pour les travaux futurs, et de </w:t>
      </w:r>
      <w:r>
        <w:rPr>
          <w:rFonts w:ascii="Arial" w:eastAsia="SimSun" w:hAnsi="Arial" w:cs="Arial"/>
          <w:bCs/>
          <w:sz w:val="22"/>
          <w:szCs w:val="22"/>
          <w:lang w:val="fr-FR" w:eastAsia="en-US"/>
        </w:rPr>
        <w:t xml:space="preserve">verser </w:t>
      </w:r>
      <w:r w:rsidRPr="0053552A">
        <w:rPr>
          <w:rFonts w:ascii="Arial" w:eastAsia="SimSun" w:hAnsi="Arial" w:cs="Arial"/>
          <w:bCs/>
          <w:sz w:val="22"/>
          <w:szCs w:val="22"/>
          <w:lang w:val="fr-FR" w:eastAsia="en-US"/>
        </w:rPr>
        <w:t>des contributions financières pour renforcer les ressources humaines du Secrétariat lorsque cela est possible.</w:t>
      </w:r>
    </w:p>
    <w:p w14:paraId="44C1695F" w14:textId="7CBDB07E" w:rsidR="00D9653F" w:rsidRPr="00963EB1"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CD56DB">
        <w:rPr>
          <w:rFonts w:ascii="Arial" w:eastAsia="SimSun" w:hAnsi="Arial" w:cs="Arial"/>
          <w:bCs/>
          <w:sz w:val="22"/>
          <w:szCs w:val="22"/>
          <w:lang w:val="fr-FR" w:eastAsia="en-US"/>
        </w:rPr>
        <w:t xml:space="preserve">La délégation de la </w:t>
      </w:r>
      <w:r w:rsidRPr="00CD56DB">
        <w:rPr>
          <w:rFonts w:ascii="Arial" w:eastAsia="SimSun" w:hAnsi="Arial" w:cs="Arial"/>
          <w:b/>
          <w:sz w:val="22"/>
          <w:szCs w:val="22"/>
          <w:lang w:val="fr-FR" w:eastAsia="en-US"/>
        </w:rPr>
        <w:t>Suisse</w:t>
      </w:r>
      <w:r w:rsidRPr="00CD56DB">
        <w:rPr>
          <w:rFonts w:ascii="Arial" w:eastAsia="SimSun" w:hAnsi="Arial" w:cs="Arial"/>
          <w:bCs/>
          <w:sz w:val="22"/>
          <w:szCs w:val="22"/>
          <w:lang w:val="fr-FR" w:eastAsia="en-US"/>
        </w:rPr>
        <w:t xml:space="preserve"> a félicité la Présidente</w:t>
      </w:r>
      <w:r>
        <w:rPr>
          <w:rFonts w:ascii="Arial" w:eastAsia="SimSun" w:hAnsi="Arial" w:cs="Arial"/>
          <w:bCs/>
          <w:sz w:val="22"/>
          <w:szCs w:val="22"/>
          <w:lang w:val="fr-FR" w:eastAsia="en-US"/>
        </w:rPr>
        <w:t xml:space="preserve">, </w:t>
      </w:r>
      <w:r w:rsidRPr="00CD56DB">
        <w:rPr>
          <w:rFonts w:ascii="Arial" w:eastAsia="SimSun" w:hAnsi="Arial" w:cs="Arial"/>
          <w:bCs/>
          <w:sz w:val="22"/>
          <w:szCs w:val="22"/>
          <w:lang w:val="fr-FR" w:eastAsia="en-US"/>
        </w:rPr>
        <w:t>a remercié le Secrétariat pour son rapport riche et détaillé, qui refl</w:t>
      </w:r>
      <w:r>
        <w:rPr>
          <w:rFonts w:ascii="Arial" w:eastAsia="SimSun" w:hAnsi="Arial" w:cs="Arial"/>
          <w:bCs/>
          <w:sz w:val="22"/>
          <w:szCs w:val="22"/>
          <w:lang w:val="fr-FR" w:eastAsia="en-US"/>
        </w:rPr>
        <w:t>était</w:t>
      </w:r>
      <w:r w:rsidRPr="00CD56DB">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CD56DB">
        <w:rPr>
          <w:rFonts w:ascii="Arial" w:eastAsia="SimSun" w:hAnsi="Arial" w:cs="Arial"/>
          <w:bCs/>
          <w:sz w:val="22"/>
          <w:szCs w:val="22"/>
          <w:lang w:val="fr-FR" w:eastAsia="en-US"/>
        </w:rPr>
        <w:t xml:space="preserve">intense activité des deux dernières années, </w:t>
      </w:r>
      <w:r>
        <w:rPr>
          <w:rFonts w:ascii="Arial" w:eastAsia="SimSun" w:hAnsi="Arial" w:cs="Arial"/>
          <w:bCs/>
          <w:sz w:val="22"/>
          <w:szCs w:val="22"/>
          <w:lang w:val="fr-FR" w:eastAsia="en-US"/>
        </w:rPr>
        <w:t xml:space="preserve">et a </w:t>
      </w:r>
      <w:r w:rsidRPr="00CD56DB">
        <w:rPr>
          <w:rFonts w:ascii="Arial" w:eastAsia="SimSun" w:hAnsi="Arial" w:cs="Arial"/>
          <w:bCs/>
          <w:sz w:val="22"/>
          <w:szCs w:val="22"/>
          <w:lang w:val="fr-FR" w:eastAsia="en-US"/>
        </w:rPr>
        <w:t>not</w:t>
      </w:r>
      <w:r>
        <w:rPr>
          <w:rFonts w:ascii="Arial" w:eastAsia="SimSun" w:hAnsi="Arial" w:cs="Arial"/>
          <w:bCs/>
          <w:sz w:val="22"/>
          <w:szCs w:val="22"/>
          <w:lang w:val="fr-FR" w:eastAsia="en-US"/>
        </w:rPr>
        <w:t>é</w:t>
      </w:r>
      <w:r w:rsidRPr="00CD56DB">
        <w:rPr>
          <w:rFonts w:ascii="Arial" w:eastAsia="SimSun" w:hAnsi="Arial" w:cs="Arial"/>
          <w:bCs/>
          <w:sz w:val="22"/>
          <w:szCs w:val="22"/>
          <w:lang w:val="fr-FR" w:eastAsia="en-US"/>
        </w:rPr>
        <w:t xml:space="preserve"> la capacité du Secrétariat à anticiper et à s</w:t>
      </w:r>
      <w:r w:rsidR="008E532B">
        <w:rPr>
          <w:rFonts w:ascii="Arial" w:eastAsia="SimSun" w:hAnsi="Arial" w:cs="Arial"/>
          <w:bCs/>
          <w:sz w:val="22"/>
          <w:szCs w:val="22"/>
          <w:lang w:val="fr-FR" w:eastAsia="en-US"/>
        </w:rPr>
        <w:t>’</w:t>
      </w:r>
      <w:r w:rsidRPr="00CD56DB">
        <w:rPr>
          <w:rFonts w:ascii="Arial" w:eastAsia="SimSun" w:hAnsi="Arial" w:cs="Arial"/>
          <w:bCs/>
          <w:sz w:val="22"/>
          <w:szCs w:val="22"/>
          <w:lang w:val="fr-FR" w:eastAsia="en-US"/>
        </w:rPr>
        <w:t xml:space="preserve">adapter à la pandémie. Les activités statutaires </w:t>
      </w:r>
      <w:r>
        <w:rPr>
          <w:rFonts w:ascii="Arial" w:eastAsia="SimSun" w:hAnsi="Arial" w:cs="Arial"/>
          <w:bCs/>
          <w:sz w:val="22"/>
          <w:szCs w:val="22"/>
          <w:lang w:val="fr-FR" w:eastAsia="en-US"/>
        </w:rPr>
        <w:t>avaient</w:t>
      </w:r>
      <w:r w:rsidRPr="00CD56DB">
        <w:rPr>
          <w:rFonts w:ascii="Arial" w:eastAsia="SimSun" w:hAnsi="Arial" w:cs="Arial"/>
          <w:bCs/>
          <w:sz w:val="22"/>
          <w:szCs w:val="22"/>
          <w:lang w:val="fr-FR" w:eastAsia="en-US"/>
        </w:rPr>
        <w:t xml:space="preserve"> ainsi pu </w:t>
      </w:r>
      <w:r>
        <w:rPr>
          <w:rFonts w:ascii="Arial" w:eastAsia="SimSun" w:hAnsi="Arial" w:cs="Arial"/>
          <w:bCs/>
          <w:sz w:val="22"/>
          <w:szCs w:val="22"/>
          <w:lang w:val="fr-FR" w:eastAsia="en-US"/>
        </w:rPr>
        <w:t xml:space="preserve">se poursuivre </w:t>
      </w:r>
      <w:r w:rsidRPr="00CD56DB">
        <w:rPr>
          <w:rFonts w:ascii="Arial" w:eastAsia="SimSun" w:hAnsi="Arial" w:cs="Arial"/>
          <w:bCs/>
          <w:sz w:val="22"/>
          <w:szCs w:val="22"/>
          <w:lang w:val="fr-FR" w:eastAsia="en-US"/>
        </w:rPr>
        <w:t>grâce aux solutions techniques mises en œuvre. Par ailleurs, l</w:t>
      </w:r>
      <w:r w:rsidR="008E532B">
        <w:rPr>
          <w:rFonts w:ascii="Arial" w:eastAsia="SimSun" w:hAnsi="Arial" w:cs="Arial"/>
          <w:bCs/>
          <w:sz w:val="22"/>
          <w:szCs w:val="22"/>
          <w:lang w:val="fr-FR" w:eastAsia="en-US"/>
        </w:rPr>
        <w:t>’</w:t>
      </w:r>
      <w:r w:rsidRPr="00CD56DB">
        <w:rPr>
          <w:rFonts w:ascii="Arial" w:eastAsia="SimSun" w:hAnsi="Arial" w:cs="Arial"/>
          <w:bCs/>
          <w:sz w:val="22"/>
          <w:szCs w:val="22"/>
          <w:lang w:val="fr-FR" w:eastAsia="en-US"/>
        </w:rPr>
        <w:t>excellent travail du Secrétariat, tant au niveau du contenu et de la qualité des documents que de la gestion des informations en ligne, a été particulièrement</w:t>
      </w:r>
      <w:r>
        <w:rPr>
          <w:rFonts w:ascii="Arial" w:eastAsia="SimSun" w:hAnsi="Arial" w:cs="Arial"/>
          <w:bCs/>
          <w:sz w:val="22"/>
          <w:szCs w:val="22"/>
          <w:lang w:val="fr-FR" w:eastAsia="en-US"/>
        </w:rPr>
        <w:t xml:space="preserve"> salué</w:t>
      </w:r>
      <w:r w:rsidRPr="00CD56DB">
        <w:rPr>
          <w:rFonts w:ascii="Arial" w:eastAsia="SimSun" w:hAnsi="Arial" w:cs="Arial"/>
          <w:bCs/>
          <w:sz w:val="22"/>
          <w:szCs w:val="22"/>
          <w:lang w:val="fr-FR" w:eastAsia="en-US"/>
        </w:rPr>
        <w:t xml:space="preserve">. La Suisse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est réjouie de </w:t>
      </w:r>
      <w:r w:rsidRPr="00CD56DB">
        <w:rPr>
          <w:rFonts w:ascii="Arial" w:eastAsia="SimSun" w:hAnsi="Arial" w:cs="Arial"/>
          <w:bCs/>
          <w:sz w:val="22"/>
          <w:szCs w:val="22"/>
          <w:lang w:val="fr-FR" w:eastAsia="en-US"/>
        </w:rPr>
        <w:t xml:space="preserve">la poursuite et </w:t>
      </w:r>
      <w:r>
        <w:rPr>
          <w:rFonts w:ascii="Arial" w:eastAsia="SimSun" w:hAnsi="Arial" w:cs="Arial"/>
          <w:bCs/>
          <w:sz w:val="22"/>
          <w:szCs w:val="22"/>
          <w:lang w:val="fr-FR" w:eastAsia="en-US"/>
        </w:rPr>
        <w:t>du</w:t>
      </w:r>
      <w:r w:rsidRPr="00CD56DB">
        <w:rPr>
          <w:rFonts w:ascii="Arial" w:eastAsia="SimSun" w:hAnsi="Arial" w:cs="Arial"/>
          <w:bCs/>
          <w:sz w:val="22"/>
          <w:szCs w:val="22"/>
          <w:lang w:val="fr-FR" w:eastAsia="en-US"/>
        </w:rPr>
        <w:t xml:space="preserve"> renforcement des activités thématiques. Elle a souligné en particulier les projets concernant le patrimoine immatériel et le développement durable, les réponses </w:t>
      </w:r>
      <w:r>
        <w:rPr>
          <w:rFonts w:ascii="Arial" w:eastAsia="SimSun" w:hAnsi="Arial" w:cs="Arial"/>
          <w:bCs/>
          <w:sz w:val="22"/>
          <w:szCs w:val="22"/>
          <w:lang w:val="fr-FR" w:eastAsia="en-US"/>
        </w:rPr>
        <w:t xml:space="preserve">à apporter </w:t>
      </w:r>
      <w:r w:rsidRPr="00CD56DB">
        <w:rPr>
          <w:rFonts w:ascii="Arial" w:eastAsia="SimSun" w:hAnsi="Arial" w:cs="Arial"/>
          <w:bCs/>
          <w:sz w:val="22"/>
          <w:szCs w:val="22"/>
          <w:lang w:val="fr-FR" w:eastAsia="en-US"/>
        </w:rPr>
        <w:t>au patrimoine vivant dans les situations d</w:t>
      </w:r>
      <w:r w:rsidR="008E532B">
        <w:rPr>
          <w:rFonts w:ascii="Arial" w:eastAsia="SimSun" w:hAnsi="Arial" w:cs="Arial"/>
          <w:bCs/>
          <w:sz w:val="22"/>
          <w:szCs w:val="22"/>
          <w:lang w:val="fr-FR" w:eastAsia="en-US"/>
        </w:rPr>
        <w:t>’</w:t>
      </w:r>
      <w:r w:rsidRPr="00CD56DB">
        <w:rPr>
          <w:rFonts w:ascii="Arial" w:eastAsia="SimSun" w:hAnsi="Arial" w:cs="Arial"/>
          <w:bCs/>
          <w:sz w:val="22"/>
          <w:szCs w:val="22"/>
          <w:lang w:val="fr-FR" w:eastAsia="en-US"/>
        </w:rPr>
        <w:t>urgence, et l</w:t>
      </w:r>
      <w:r w:rsidR="008E532B">
        <w:rPr>
          <w:rFonts w:ascii="Arial" w:eastAsia="SimSun" w:hAnsi="Arial" w:cs="Arial"/>
          <w:bCs/>
          <w:sz w:val="22"/>
          <w:szCs w:val="22"/>
          <w:lang w:val="fr-FR" w:eastAsia="en-US"/>
        </w:rPr>
        <w:t>’</w:t>
      </w:r>
      <w:r w:rsidRPr="00CD56DB">
        <w:rPr>
          <w:rFonts w:ascii="Arial" w:eastAsia="SimSun" w:hAnsi="Arial" w:cs="Arial"/>
          <w:bCs/>
          <w:sz w:val="22"/>
          <w:szCs w:val="22"/>
          <w:lang w:val="fr-FR" w:eastAsia="en-US"/>
        </w:rPr>
        <w:t xml:space="preserve">éducation et le patrimoine vivant. Les collaborations et les synergies avec les autres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CD56DB">
        <w:rPr>
          <w:rFonts w:ascii="Arial" w:eastAsia="SimSun" w:hAnsi="Arial" w:cs="Arial"/>
          <w:bCs/>
          <w:sz w:val="22"/>
          <w:szCs w:val="22"/>
          <w:lang w:val="fr-FR" w:eastAsia="en-US"/>
        </w:rPr>
        <w:t xml:space="preserve"> représentaient des opportunités pour aborder des questions transversales</w:t>
      </w:r>
      <w:r>
        <w:rPr>
          <w:rFonts w:ascii="Arial" w:eastAsia="SimSun" w:hAnsi="Arial" w:cs="Arial"/>
          <w:bCs/>
          <w:sz w:val="22"/>
          <w:szCs w:val="22"/>
          <w:lang w:val="fr-FR" w:eastAsia="en-US"/>
        </w:rPr>
        <w:t>,</w:t>
      </w:r>
      <w:r w:rsidRPr="00CD56DB">
        <w:rPr>
          <w:rFonts w:ascii="Arial" w:eastAsia="SimSun" w:hAnsi="Arial" w:cs="Arial"/>
          <w:bCs/>
          <w:sz w:val="22"/>
          <w:szCs w:val="22"/>
          <w:lang w:val="fr-FR" w:eastAsia="en-US"/>
        </w:rPr>
        <w:t xml:space="preserve"> telles que le patrimoine en </w:t>
      </w:r>
      <w:r>
        <w:rPr>
          <w:rFonts w:ascii="Arial" w:eastAsia="SimSun" w:hAnsi="Arial" w:cs="Arial"/>
          <w:bCs/>
          <w:sz w:val="22"/>
          <w:szCs w:val="22"/>
          <w:lang w:val="fr-FR" w:eastAsia="en-US"/>
        </w:rPr>
        <w:t>danger</w:t>
      </w:r>
      <w:r w:rsidRPr="00CD56DB">
        <w:rPr>
          <w:rFonts w:ascii="Arial" w:eastAsia="SimSun" w:hAnsi="Arial" w:cs="Arial"/>
          <w:bCs/>
          <w:sz w:val="22"/>
          <w:szCs w:val="22"/>
          <w:lang w:val="fr-FR" w:eastAsia="en-US"/>
        </w:rPr>
        <w:t xml:space="preserve"> ou les effets du changement climatique sur les biens culturels. Il était donc essentiel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accorder</w:t>
      </w:r>
      <w:r w:rsidRPr="00CD56DB">
        <w:rPr>
          <w:rFonts w:ascii="Arial" w:eastAsia="SimSun" w:hAnsi="Arial" w:cs="Arial"/>
          <w:bCs/>
          <w:sz w:val="22"/>
          <w:szCs w:val="22"/>
          <w:lang w:val="fr-FR" w:eastAsia="en-US"/>
        </w:rPr>
        <w:t xml:space="preserve"> au Secrétariat des ressources suffisantes pour ces activités, qui sont au cœur de la Convention. </w:t>
      </w:r>
      <w:r>
        <w:rPr>
          <w:rFonts w:ascii="Arial" w:eastAsia="SimSun" w:hAnsi="Arial" w:cs="Arial"/>
          <w:bCs/>
          <w:sz w:val="22"/>
          <w:szCs w:val="22"/>
          <w:lang w:val="fr-FR" w:eastAsia="en-US"/>
        </w:rPr>
        <w:t>À</w:t>
      </w:r>
      <w:r w:rsidRPr="00CD56DB">
        <w:rPr>
          <w:rFonts w:ascii="Arial" w:eastAsia="SimSun" w:hAnsi="Arial" w:cs="Arial"/>
          <w:bCs/>
          <w:sz w:val="22"/>
          <w:szCs w:val="22"/>
          <w:lang w:val="fr-FR" w:eastAsia="en-US"/>
        </w:rPr>
        <w:t xml:space="preserve"> ce titre, la réflexion sur les mécanismes d</w:t>
      </w:r>
      <w:r w:rsidR="008E532B">
        <w:rPr>
          <w:rFonts w:ascii="Arial" w:eastAsia="SimSun" w:hAnsi="Arial" w:cs="Arial"/>
          <w:bCs/>
          <w:sz w:val="22"/>
          <w:szCs w:val="22"/>
          <w:lang w:val="fr-FR" w:eastAsia="en-US"/>
        </w:rPr>
        <w:t>’</w:t>
      </w:r>
      <w:r w:rsidRPr="00CD56DB">
        <w:rPr>
          <w:rFonts w:ascii="Arial" w:eastAsia="SimSun" w:hAnsi="Arial" w:cs="Arial"/>
          <w:bCs/>
          <w:sz w:val="22"/>
          <w:szCs w:val="22"/>
          <w:lang w:val="fr-FR" w:eastAsia="en-US"/>
        </w:rPr>
        <w:t>inscription</w:t>
      </w:r>
      <w:r>
        <w:rPr>
          <w:rFonts w:ascii="Arial" w:eastAsia="SimSun" w:hAnsi="Arial" w:cs="Arial"/>
          <w:bCs/>
          <w:sz w:val="22"/>
          <w:szCs w:val="22"/>
          <w:lang w:val="fr-FR" w:eastAsia="en-US"/>
        </w:rPr>
        <w:t xml:space="preserve"> sur les listes</w:t>
      </w:r>
      <w:r w:rsidRPr="00CD56DB">
        <w:rPr>
          <w:rFonts w:ascii="Arial" w:eastAsia="SimSun" w:hAnsi="Arial" w:cs="Arial"/>
          <w:bCs/>
          <w:sz w:val="22"/>
          <w:szCs w:val="22"/>
          <w:lang w:val="fr-FR" w:eastAsia="en-US"/>
        </w:rPr>
        <w:t xml:space="preserve"> et les révisions proposées devraient permettre d</w:t>
      </w:r>
      <w:r w:rsidR="008E532B">
        <w:rPr>
          <w:rFonts w:ascii="Arial" w:eastAsia="SimSun" w:hAnsi="Arial" w:cs="Arial"/>
          <w:bCs/>
          <w:sz w:val="22"/>
          <w:szCs w:val="22"/>
          <w:lang w:val="fr-FR" w:eastAsia="en-US"/>
        </w:rPr>
        <w:t>’</w:t>
      </w:r>
      <w:r w:rsidRPr="00CD56DB">
        <w:rPr>
          <w:rFonts w:ascii="Arial" w:eastAsia="SimSun" w:hAnsi="Arial" w:cs="Arial"/>
          <w:bCs/>
          <w:sz w:val="22"/>
          <w:szCs w:val="22"/>
          <w:lang w:val="fr-FR" w:eastAsia="en-US"/>
        </w:rPr>
        <w:t xml:space="preserve">alléger la charge </w:t>
      </w:r>
      <w:r>
        <w:rPr>
          <w:rFonts w:ascii="Arial" w:eastAsia="SimSun" w:hAnsi="Arial" w:cs="Arial"/>
          <w:bCs/>
          <w:sz w:val="22"/>
          <w:szCs w:val="22"/>
          <w:lang w:val="fr-FR" w:eastAsia="en-US"/>
        </w:rPr>
        <w:t>liée aux</w:t>
      </w:r>
      <w:r w:rsidRPr="00CD56DB">
        <w:rPr>
          <w:rFonts w:ascii="Arial" w:eastAsia="SimSun" w:hAnsi="Arial" w:cs="Arial"/>
          <w:bCs/>
          <w:sz w:val="22"/>
          <w:szCs w:val="22"/>
          <w:lang w:val="fr-FR" w:eastAsia="en-US"/>
        </w:rPr>
        <w:t xml:space="preserve"> inscriptions et le travail du Secrétariat. </w:t>
      </w:r>
      <w:r>
        <w:rPr>
          <w:rFonts w:ascii="Arial" w:eastAsia="SimSun" w:hAnsi="Arial" w:cs="Arial"/>
          <w:bCs/>
          <w:sz w:val="22"/>
          <w:szCs w:val="22"/>
          <w:lang w:val="fr-FR" w:eastAsia="en-US"/>
        </w:rPr>
        <w:t>À</w:t>
      </w:r>
      <w:r w:rsidRPr="00CD56DB">
        <w:rPr>
          <w:rFonts w:ascii="Arial" w:eastAsia="SimSun" w:hAnsi="Arial" w:cs="Arial"/>
          <w:bCs/>
          <w:sz w:val="22"/>
          <w:szCs w:val="22"/>
          <w:lang w:val="fr-FR" w:eastAsia="en-US"/>
        </w:rPr>
        <w:t xml:space="preserve"> ce </w:t>
      </w:r>
      <w:r>
        <w:rPr>
          <w:rFonts w:ascii="Arial" w:eastAsia="SimSun" w:hAnsi="Arial" w:cs="Arial"/>
          <w:bCs/>
          <w:sz w:val="22"/>
          <w:szCs w:val="22"/>
          <w:lang w:val="fr-FR" w:eastAsia="en-US"/>
        </w:rPr>
        <w:t>sujet</w:t>
      </w:r>
      <w:r w:rsidRPr="00CD56DB">
        <w:rPr>
          <w:rFonts w:ascii="Arial" w:eastAsia="SimSun" w:hAnsi="Arial" w:cs="Arial"/>
          <w:bCs/>
          <w:sz w:val="22"/>
          <w:szCs w:val="22"/>
          <w:lang w:val="fr-FR" w:eastAsia="en-US"/>
        </w:rPr>
        <w:t>, il conv</w:t>
      </w:r>
      <w:r>
        <w:rPr>
          <w:rFonts w:ascii="Arial" w:eastAsia="SimSun" w:hAnsi="Arial" w:cs="Arial"/>
          <w:bCs/>
          <w:sz w:val="22"/>
          <w:szCs w:val="22"/>
          <w:lang w:val="fr-FR" w:eastAsia="en-US"/>
        </w:rPr>
        <w:t>enait</w:t>
      </w:r>
      <w:r w:rsidRPr="00CD56DB">
        <w:rPr>
          <w:rFonts w:ascii="Arial" w:eastAsia="SimSun" w:hAnsi="Arial" w:cs="Arial"/>
          <w:bCs/>
          <w:sz w:val="22"/>
          <w:szCs w:val="22"/>
          <w:lang w:val="fr-FR" w:eastAsia="en-US"/>
        </w:rPr>
        <w:t xml:space="preserve"> de veiller à ne pas surcharger le Secrétariat de tâches supplémentaires mais plutôt de le soutenir </w:t>
      </w:r>
      <w:r w:rsidRPr="00963EB1">
        <w:rPr>
          <w:rFonts w:ascii="Arial" w:eastAsia="SimSun" w:hAnsi="Arial" w:cs="Arial"/>
          <w:bCs/>
          <w:sz w:val="22"/>
          <w:szCs w:val="22"/>
          <w:lang w:val="fr-FR" w:eastAsia="en-US"/>
        </w:rPr>
        <w:t>en augmentant ses ressources et en hiérarchisant leur utilisation.</w:t>
      </w:r>
    </w:p>
    <w:p w14:paraId="4AF4416B" w14:textId="3B935746" w:rsidR="00D9653F" w:rsidRPr="005C326B"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5C326B">
        <w:rPr>
          <w:rFonts w:ascii="Arial" w:eastAsia="SimSun" w:hAnsi="Arial" w:cs="Arial"/>
          <w:bCs/>
          <w:sz w:val="22"/>
          <w:szCs w:val="22"/>
          <w:lang w:val="fr-FR" w:eastAsia="en-US"/>
        </w:rPr>
        <w:t xml:space="preserve">La délégation du </w:t>
      </w:r>
      <w:r w:rsidRPr="005C326B">
        <w:rPr>
          <w:rFonts w:ascii="Arial" w:eastAsia="SimSun" w:hAnsi="Arial" w:cs="Arial"/>
          <w:b/>
          <w:sz w:val="22"/>
          <w:szCs w:val="22"/>
          <w:lang w:val="fr-FR" w:eastAsia="en-US"/>
        </w:rPr>
        <w:t>Brésil</w:t>
      </w:r>
      <w:r w:rsidRPr="005C326B">
        <w:rPr>
          <w:rFonts w:ascii="Arial" w:eastAsia="SimSun" w:hAnsi="Arial" w:cs="Arial"/>
          <w:bCs/>
          <w:sz w:val="22"/>
          <w:szCs w:val="22"/>
          <w:lang w:val="fr-FR" w:eastAsia="en-US"/>
        </w:rPr>
        <w:t xml:space="preserve"> a complimenté le Secrétariat pour sa réponse inestimable à la pandémie de COVID</w:t>
      </w:r>
      <w:r>
        <w:rPr>
          <w:rFonts w:ascii="Arial" w:eastAsia="SimSun" w:hAnsi="Arial" w:cs="Arial"/>
          <w:bCs/>
          <w:sz w:val="22"/>
          <w:szCs w:val="22"/>
          <w:lang w:val="fr-FR" w:eastAsia="en-US"/>
        </w:rPr>
        <w:noBreakHyphen/>
      </w:r>
      <w:r w:rsidRPr="005C326B">
        <w:rPr>
          <w:rFonts w:ascii="Arial" w:eastAsia="SimSun" w:hAnsi="Arial" w:cs="Arial"/>
          <w:bCs/>
          <w:sz w:val="22"/>
          <w:szCs w:val="22"/>
          <w:lang w:val="fr-FR" w:eastAsia="en-US"/>
        </w:rPr>
        <w:t xml:space="preserve">19, résumée dans le rapport </w:t>
      </w:r>
      <w:r w:rsidRPr="000B31CD">
        <w:rPr>
          <w:rFonts w:ascii="Arial" w:eastAsia="SimSun" w:hAnsi="Arial" w:cs="Arial"/>
          <w:bCs/>
          <w:i/>
          <w:iCs/>
          <w:sz w:val="22"/>
          <w:szCs w:val="22"/>
          <w:lang w:val="fr-FR" w:eastAsia="en-US"/>
        </w:rPr>
        <w:t>Le patrimoine vivant face à la COVID</w:t>
      </w:r>
      <w:r w:rsidRPr="000B31CD">
        <w:rPr>
          <w:rFonts w:ascii="Arial" w:eastAsia="SimSun" w:hAnsi="Arial" w:cs="Arial"/>
          <w:bCs/>
          <w:i/>
          <w:iCs/>
          <w:sz w:val="22"/>
          <w:szCs w:val="22"/>
          <w:lang w:val="fr-FR" w:eastAsia="en-US"/>
        </w:rPr>
        <w:noBreakHyphen/>
        <w:t>19</w:t>
      </w:r>
      <w:r w:rsidRPr="005C326B">
        <w:rPr>
          <w:rFonts w:ascii="Arial" w:eastAsia="SimSun" w:hAnsi="Arial" w:cs="Arial"/>
          <w:bCs/>
          <w:sz w:val="22"/>
          <w:szCs w:val="22"/>
          <w:lang w:val="fr-FR" w:eastAsia="en-US"/>
        </w:rPr>
        <w:t xml:space="preserve">. Elle a </w:t>
      </w:r>
      <w:r>
        <w:rPr>
          <w:rFonts w:ascii="Arial" w:eastAsia="SimSun" w:hAnsi="Arial" w:cs="Arial"/>
          <w:bCs/>
          <w:sz w:val="22"/>
          <w:szCs w:val="22"/>
          <w:lang w:val="fr-FR" w:eastAsia="en-US"/>
        </w:rPr>
        <w:t xml:space="preserve">repris à son compte les </w:t>
      </w:r>
      <w:r w:rsidRPr="005C326B">
        <w:rPr>
          <w:rFonts w:ascii="Arial" w:eastAsia="SimSun" w:hAnsi="Arial" w:cs="Arial"/>
          <w:bCs/>
          <w:sz w:val="22"/>
          <w:szCs w:val="22"/>
          <w:lang w:val="fr-FR" w:eastAsia="en-US"/>
        </w:rPr>
        <w:t xml:space="preserve">remarques formulées par les professionnels du patrimoine culturel, les groupes sociaux et les communautés </w:t>
      </w:r>
      <w:r>
        <w:rPr>
          <w:rFonts w:ascii="Arial" w:eastAsia="SimSun" w:hAnsi="Arial" w:cs="Arial"/>
          <w:bCs/>
          <w:sz w:val="22"/>
          <w:szCs w:val="22"/>
          <w:lang w:val="fr-FR" w:eastAsia="en-US"/>
        </w:rPr>
        <w:t>à propos d</w:t>
      </w:r>
      <w:r w:rsidRPr="005C326B">
        <w:rPr>
          <w:rFonts w:ascii="Arial" w:eastAsia="SimSun" w:hAnsi="Arial" w:cs="Arial"/>
          <w:bCs/>
          <w:sz w:val="22"/>
          <w:szCs w:val="22"/>
          <w:lang w:val="fr-FR" w:eastAsia="en-US"/>
        </w:rPr>
        <w:t>es éléments culturels immatériels comme moyen</w:t>
      </w:r>
      <w:r>
        <w:rPr>
          <w:rFonts w:ascii="Arial" w:eastAsia="SimSun" w:hAnsi="Arial" w:cs="Arial"/>
          <w:bCs/>
          <w:sz w:val="22"/>
          <w:szCs w:val="22"/>
          <w:lang w:val="fr-FR" w:eastAsia="en-US"/>
        </w:rPr>
        <w:t>s</w:t>
      </w:r>
      <w:r w:rsidRPr="005C326B">
        <w:rPr>
          <w:rFonts w:ascii="Arial" w:eastAsia="SimSun" w:hAnsi="Arial" w:cs="Arial"/>
          <w:bCs/>
          <w:sz w:val="22"/>
          <w:szCs w:val="22"/>
          <w:lang w:val="fr-FR" w:eastAsia="en-US"/>
        </w:rPr>
        <w:t xml:space="preserve"> de résilience</w:t>
      </w:r>
      <w:r>
        <w:rPr>
          <w:rFonts w:ascii="Arial" w:eastAsia="SimSun" w:hAnsi="Arial" w:cs="Arial"/>
          <w:bCs/>
          <w:sz w:val="22"/>
          <w:szCs w:val="22"/>
          <w:lang w:val="fr-FR" w:eastAsia="en-US"/>
        </w:rPr>
        <w:t xml:space="preserve"> en cette époque</w:t>
      </w:r>
      <w:r w:rsidRPr="005C326B">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Au cours des</w:t>
      </w:r>
      <w:r w:rsidRPr="005C326B">
        <w:rPr>
          <w:rFonts w:ascii="Arial" w:eastAsia="SimSun" w:hAnsi="Arial" w:cs="Arial"/>
          <w:bCs/>
          <w:sz w:val="22"/>
          <w:szCs w:val="22"/>
          <w:lang w:val="fr-FR" w:eastAsia="en-US"/>
        </w:rPr>
        <w:t xml:space="preserve"> deux dernières années, la culture a</w:t>
      </w:r>
      <w:r>
        <w:rPr>
          <w:rFonts w:ascii="Arial" w:eastAsia="SimSun" w:hAnsi="Arial" w:cs="Arial"/>
          <w:bCs/>
          <w:sz w:val="22"/>
          <w:szCs w:val="22"/>
          <w:lang w:val="fr-FR" w:eastAsia="en-US"/>
        </w:rPr>
        <w:t>vait</w:t>
      </w:r>
      <w:r w:rsidRPr="005C326B">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subi</w:t>
      </w:r>
      <w:r w:rsidRPr="005C326B">
        <w:rPr>
          <w:rFonts w:ascii="Arial" w:eastAsia="SimSun" w:hAnsi="Arial" w:cs="Arial"/>
          <w:bCs/>
          <w:sz w:val="22"/>
          <w:szCs w:val="22"/>
          <w:lang w:val="fr-FR" w:eastAsia="en-US"/>
        </w:rPr>
        <w:t xml:space="preserve"> de forts impacts sociaux</w:t>
      </w:r>
      <w:r>
        <w:rPr>
          <w:rFonts w:ascii="Arial" w:eastAsia="SimSun" w:hAnsi="Arial" w:cs="Arial"/>
          <w:bCs/>
          <w:sz w:val="22"/>
          <w:szCs w:val="22"/>
          <w:lang w:val="fr-FR" w:eastAsia="en-US"/>
        </w:rPr>
        <w:t xml:space="preserve"> et </w:t>
      </w:r>
      <w:r w:rsidRPr="005C326B">
        <w:rPr>
          <w:rFonts w:ascii="Arial" w:eastAsia="SimSun" w:hAnsi="Arial" w:cs="Arial"/>
          <w:bCs/>
          <w:sz w:val="22"/>
          <w:szCs w:val="22"/>
          <w:lang w:val="fr-FR" w:eastAsia="en-US"/>
        </w:rPr>
        <w:t xml:space="preserve">économiques et les actions de sauvegarde </w:t>
      </w:r>
      <w:r>
        <w:rPr>
          <w:rFonts w:ascii="Arial" w:eastAsia="SimSun" w:hAnsi="Arial" w:cs="Arial"/>
          <w:bCs/>
          <w:sz w:val="22"/>
          <w:szCs w:val="22"/>
          <w:lang w:val="fr-FR" w:eastAsia="en-US"/>
        </w:rPr>
        <w:t xml:space="preserve">avaient donc </w:t>
      </w:r>
      <w:r w:rsidRPr="005C326B">
        <w:rPr>
          <w:rFonts w:ascii="Arial" w:eastAsia="SimSun" w:hAnsi="Arial" w:cs="Arial"/>
          <w:bCs/>
          <w:sz w:val="22"/>
          <w:szCs w:val="22"/>
          <w:lang w:val="fr-FR" w:eastAsia="en-US"/>
        </w:rPr>
        <w:t>dû s</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adapter différemment pour répondre aux demandes et aux défis de l</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après COVID</w:t>
      </w:r>
      <w:r>
        <w:rPr>
          <w:rFonts w:ascii="Arial" w:eastAsia="SimSun" w:hAnsi="Arial" w:cs="Arial"/>
          <w:bCs/>
          <w:sz w:val="22"/>
          <w:szCs w:val="22"/>
          <w:lang w:val="fr-FR" w:eastAsia="en-US"/>
        </w:rPr>
        <w:noBreakHyphen/>
      </w:r>
      <w:r w:rsidRPr="005C326B">
        <w:rPr>
          <w:rFonts w:ascii="Arial" w:eastAsia="SimSun" w:hAnsi="Arial" w:cs="Arial"/>
          <w:bCs/>
          <w:sz w:val="22"/>
          <w:szCs w:val="22"/>
          <w:lang w:val="fr-FR" w:eastAsia="en-US"/>
        </w:rPr>
        <w:t>19. Dans ce contexte, plus que jamais, la relation entre la sauvegarde et la durabilité d</w:t>
      </w:r>
      <w:r>
        <w:rPr>
          <w:rFonts w:ascii="Arial" w:eastAsia="SimSun" w:hAnsi="Arial" w:cs="Arial"/>
          <w:bCs/>
          <w:sz w:val="22"/>
          <w:szCs w:val="22"/>
          <w:lang w:val="fr-FR" w:eastAsia="en-US"/>
        </w:rPr>
        <w:t>evait</w:t>
      </w:r>
      <w:r w:rsidRPr="005C326B">
        <w:rPr>
          <w:rFonts w:ascii="Arial" w:eastAsia="SimSun" w:hAnsi="Arial" w:cs="Arial"/>
          <w:bCs/>
          <w:sz w:val="22"/>
          <w:szCs w:val="22"/>
          <w:lang w:val="fr-FR" w:eastAsia="en-US"/>
        </w:rPr>
        <w:t xml:space="preserve"> être soulignée, tandis que le rôle des connaissances et des pratiques traditionnelles, communautaires et locales </w:t>
      </w:r>
      <w:r>
        <w:rPr>
          <w:rFonts w:ascii="Arial" w:eastAsia="SimSun" w:hAnsi="Arial" w:cs="Arial"/>
          <w:bCs/>
          <w:sz w:val="22"/>
          <w:szCs w:val="22"/>
          <w:lang w:val="fr-FR" w:eastAsia="en-US"/>
        </w:rPr>
        <w:t xml:space="preserve">était </w:t>
      </w:r>
      <w:r w:rsidRPr="005C326B">
        <w:rPr>
          <w:rFonts w:ascii="Arial" w:eastAsia="SimSun" w:hAnsi="Arial" w:cs="Arial"/>
          <w:bCs/>
          <w:sz w:val="22"/>
          <w:szCs w:val="22"/>
          <w:lang w:val="fr-FR" w:eastAsia="en-US"/>
        </w:rPr>
        <w:t>reconnu pour assurer la viabilité et la diversité de la culture de l</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humanité. À ce</w:t>
      </w:r>
      <w:r>
        <w:rPr>
          <w:rFonts w:ascii="Arial" w:eastAsia="SimSun" w:hAnsi="Arial" w:cs="Arial"/>
          <w:bCs/>
          <w:sz w:val="22"/>
          <w:szCs w:val="22"/>
          <w:lang w:val="fr-FR" w:eastAsia="en-US"/>
        </w:rPr>
        <w:t xml:space="preserve"> sujet</w:t>
      </w:r>
      <w:r w:rsidRPr="005C326B">
        <w:rPr>
          <w:rFonts w:ascii="Arial" w:eastAsia="SimSun" w:hAnsi="Arial" w:cs="Arial"/>
          <w:bCs/>
          <w:sz w:val="22"/>
          <w:szCs w:val="22"/>
          <w:lang w:val="fr-FR" w:eastAsia="en-US"/>
        </w:rPr>
        <w:t xml:space="preserve">, une initiative brésilienne intitulée </w:t>
      </w:r>
      <w:r>
        <w:rPr>
          <w:rFonts w:ascii="Arial" w:eastAsia="SimSun" w:hAnsi="Arial" w:cs="Arial"/>
          <w:bCs/>
          <w:sz w:val="22"/>
          <w:szCs w:val="22"/>
          <w:lang w:val="fr-FR" w:eastAsia="en-US"/>
        </w:rPr>
        <w:t>« Patrimoine culturel </w:t>
      </w:r>
      <w:r w:rsidRPr="005C326B">
        <w:rPr>
          <w:rFonts w:ascii="Arial" w:eastAsia="SimSun" w:hAnsi="Arial" w:cs="Arial"/>
          <w:bCs/>
          <w:sz w:val="22"/>
          <w:szCs w:val="22"/>
          <w:lang w:val="fr-FR" w:eastAsia="en-US"/>
        </w:rPr>
        <w:t>#</w:t>
      </w:r>
      <w:r>
        <w:rPr>
          <w:rFonts w:ascii="Arial" w:eastAsia="SimSun" w:hAnsi="Arial" w:cs="Arial"/>
          <w:bCs/>
          <w:sz w:val="22"/>
          <w:szCs w:val="22"/>
          <w:lang w:val="fr-FR" w:eastAsia="en-US"/>
        </w:rPr>
        <w:t>alamaison »</w:t>
      </w:r>
      <w:r w:rsidRPr="005C326B">
        <w:rPr>
          <w:rFonts w:ascii="Arial" w:eastAsia="SimSun" w:hAnsi="Arial" w:cs="Arial"/>
          <w:bCs/>
          <w:sz w:val="22"/>
          <w:szCs w:val="22"/>
          <w:lang w:val="fr-FR" w:eastAsia="en-US"/>
        </w:rPr>
        <w:t xml:space="preserve"> entret</w:t>
      </w:r>
      <w:r>
        <w:rPr>
          <w:rFonts w:ascii="Arial" w:eastAsia="SimSun" w:hAnsi="Arial" w:cs="Arial"/>
          <w:bCs/>
          <w:sz w:val="22"/>
          <w:szCs w:val="22"/>
          <w:lang w:val="fr-FR" w:eastAsia="en-US"/>
        </w:rPr>
        <w:t>enait</w:t>
      </w:r>
      <w:r w:rsidRPr="005C326B">
        <w:rPr>
          <w:rFonts w:ascii="Arial" w:eastAsia="SimSun" w:hAnsi="Arial" w:cs="Arial"/>
          <w:bCs/>
          <w:sz w:val="22"/>
          <w:szCs w:val="22"/>
          <w:lang w:val="fr-FR" w:eastAsia="en-US"/>
        </w:rPr>
        <w:t xml:space="preserve"> un lien étroit avec les résultats du rapport du Secrétariat. L</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idée était de soutenir ses acteurs culturels en leur fournissant des équipements et des compétences afin qu</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 xml:space="preserve">ils puissent utiliser la technologie pour maintenir </w:t>
      </w:r>
      <w:r>
        <w:rPr>
          <w:rFonts w:ascii="Arial" w:eastAsia="SimSun" w:hAnsi="Arial" w:cs="Arial"/>
          <w:bCs/>
          <w:sz w:val="22"/>
          <w:szCs w:val="22"/>
          <w:lang w:val="fr-FR" w:eastAsia="en-US"/>
        </w:rPr>
        <w:t>vivantes</w:t>
      </w:r>
      <w:r w:rsidRPr="005C326B">
        <w:rPr>
          <w:rFonts w:ascii="Arial" w:eastAsia="SimSun" w:hAnsi="Arial" w:cs="Arial"/>
          <w:bCs/>
          <w:sz w:val="22"/>
          <w:szCs w:val="22"/>
          <w:lang w:val="fr-FR" w:eastAsia="en-US"/>
        </w:rPr>
        <w:t xml:space="preserve"> leurs expressions, leurs connaissances et leurs célébrations. C</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 xml:space="preserve">était </w:t>
      </w:r>
      <w:r>
        <w:rPr>
          <w:rFonts w:ascii="Arial" w:eastAsia="SimSun" w:hAnsi="Arial" w:cs="Arial"/>
          <w:bCs/>
          <w:sz w:val="22"/>
          <w:szCs w:val="22"/>
          <w:lang w:val="fr-FR" w:eastAsia="en-US"/>
        </w:rPr>
        <w:t xml:space="preserve">également </w:t>
      </w:r>
      <w:r w:rsidRPr="005C326B">
        <w:rPr>
          <w:rFonts w:ascii="Arial" w:eastAsia="SimSun" w:hAnsi="Arial" w:cs="Arial"/>
          <w:bCs/>
          <w:sz w:val="22"/>
          <w:szCs w:val="22"/>
          <w:lang w:val="fr-FR" w:eastAsia="en-US"/>
        </w:rPr>
        <w:t>une façon de maintenir l</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 xml:space="preserve">aspect économique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5C326B">
        <w:rPr>
          <w:rFonts w:ascii="Arial" w:eastAsia="SimSun" w:hAnsi="Arial" w:cs="Arial"/>
          <w:bCs/>
          <w:sz w:val="22"/>
          <w:szCs w:val="22"/>
          <w:lang w:val="fr-FR" w:eastAsia="en-US"/>
        </w:rPr>
        <w:t>pour les communautés locales largement touchées par le déclin du tourisme dans le monde. La Convention a</w:t>
      </w:r>
      <w:r>
        <w:rPr>
          <w:rFonts w:ascii="Arial" w:eastAsia="SimSun" w:hAnsi="Arial" w:cs="Arial"/>
          <w:bCs/>
          <w:sz w:val="22"/>
          <w:szCs w:val="22"/>
          <w:lang w:val="fr-FR" w:eastAsia="en-US"/>
        </w:rPr>
        <w:t xml:space="preserve">tteignait </w:t>
      </w:r>
      <w:r w:rsidRPr="005C326B">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âge de la maturité et était en très bonne santé. Même les difficultés rencontrées étaient le résultat de son succès depuis les premières négociations, auxquelles le Brésil avait pris une part active. En effet, la plus optimiste des délégations n</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aurait pu prévoir une croissance et un intérêt aussi exponentiels. La délégation a également souligné dans le rapport les synergies avec d</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autres</w:t>
      </w:r>
      <w:r w:rsidRPr="00795C72">
        <w:rPr>
          <w:rFonts w:ascii="Arial" w:eastAsia="SimSun" w:hAnsi="Arial" w:cs="Arial"/>
          <w:sz w:val="22"/>
          <w:szCs w:val="22"/>
          <w:lang w:val="fr-FR"/>
        </w:rPr>
        <w:t xml:space="preserve">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5C326B">
        <w:rPr>
          <w:rFonts w:ascii="Arial" w:eastAsia="SimSun" w:hAnsi="Arial" w:cs="Arial"/>
          <w:bCs/>
          <w:sz w:val="22"/>
          <w:szCs w:val="22"/>
          <w:lang w:val="fr-FR" w:eastAsia="en-US"/>
        </w:rPr>
        <w:t xml:space="preserve"> Les récentes discussions sur les </w:t>
      </w:r>
      <w:r>
        <w:rPr>
          <w:rFonts w:ascii="Arial" w:eastAsia="SimSun" w:hAnsi="Arial" w:cs="Arial"/>
          <w:bCs/>
          <w:sz w:val="22"/>
          <w:szCs w:val="22"/>
          <w:lang w:val="fr-FR" w:eastAsia="en-US"/>
        </w:rPr>
        <w:t>« </w:t>
      </w:r>
      <w:r w:rsidRPr="005C326B">
        <w:rPr>
          <w:rFonts w:ascii="Arial" w:eastAsia="SimSun" w:hAnsi="Arial" w:cs="Arial"/>
          <w:bCs/>
          <w:sz w:val="22"/>
          <w:szCs w:val="22"/>
          <w:lang w:val="fr-FR" w:eastAsia="en-US"/>
        </w:rPr>
        <w:t>sites de mémoire</w:t>
      </w:r>
      <w:r>
        <w:rPr>
          <w:rFonts w:ascii="Arial" w:eastAsia="SimSun" w:hAnsi="Arial" w:cs="Arial"/>
          <w:bCs/>
          <w:sz w:val="22"/>
          <w:szCs w:val="22"/>
          <w:lang w:val="fr-FR" w:eastAsia="en-US"/>
        </w:rPr>
        <w:t> »</w:t>
      </w:r>
      <w:r w:rsidRPr="005C326B">
        <w:rPr>
          <w:rFonts w:ascii="Arial" w:eastAsia="SimSun" w:hAnsi="Arial" w:cs="Arial"/>
          <w:bCs/>
          <w:sz w:val="22"/>
          <w:szCs w:val="22"/>
          <w:lang w:val="fr-FR" w:eastAsia="en-US"/>
        </w:rPr>
        <w:t xml:space="preserve"> en </w:t>
      </w:r>
      <w:r>
        <w:rPr>
          <w:rFonts w:ascii="Arial" w:eastAsia="SimSun" w:hAnsi="Arial" w:cs="Arial"/>
          <w:bCs/>
          <w:sz w:val="22"/>
          <w:szCs w:val="22"/>
          <w:lang w:val="fr-FR" w:eastAsia="en-US"/>
        </w:rPr>
        <w:t xml:space="preserve">étaient </w:t>
      </w:r>
      <w:r w:rsidRPr="005C326B">
        <w:rPr>
          <w:rFonts w:ascii="Arial" w:eastAsia="SimSun" w:hAnsi="Arial" w:cs="Arial"/>
          <w:bCs/>
          <w:sz w:val="22"/>
          <w:szCs w:val="22"/>
          <w:lang w:val="fr-FR" w:eastAsia="en-US"/>
        </w:rPr>
        <w:t>un bon exemple. Elle appréci</w:t>
      </w:r>
      <w:r>
        <w:rPr>
          <w:rFonts w:ascii="Arial" w:eastAsia="SimSun" w:hAnsi="Arial" w:cs="Arial"/>
          <w:bCs/>
          <w:sz w:val="22"/>
          <w:szCs w:val="22"/>
          <w:lang w:val="fr-FR" w:eastAsia="en-US"/>
        </w:rPr>
        <w:t>ait</w:t>
      </w:r>
      <w:r w:rsidRPr="005C326B">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 xml:space="preserve">exploration par le Secrétariat de politiques transversales avec les </w:t>
      </w:r>
      <w:r>
        <w:rPr>
          <w:rFonts w:ascii="Arial" w:eastAsia="SimSun" w:hAnsi="Arial" w:cs="Arial"/>
          <w:bCs/>
          <w:sz w:val="22"/>
          <w:szCs w:val="22"/>
          <w:lang w:val="fr-FR" w:eastAsia="en-US"/>
        </w:rPr>
        <w:t>s</w:t>
      </w:r>
      <w:r w:rsidRPr="005C326B">
        <w:rPr>
          <w:rFonts w:ascii="Arial" w:eastAsia="SimSun" w:hAnsi="Arial" w:cs="Arial"/>
          <w:bCs/>
          <w:sz w:val="22"/>
          <w:szCs w:val="22"/>
          <w:lang w:val="fr-FR" w:eastAsia="en-US"/>
        </w:rPr>
        <w:t xml:space="preserve">ecrétariats des autres </w:t>
      </w:r>
      <w:r>
        <w:rPr>
          <w:rFonts w:ascii="Arial" w:eastAsia="SimSun" w:hAnsi="Arial" w:cs="Arial"/>
          <w:bCs/>
          <w:sz w:val="22"/>
          <w:szCs w:val="22"/>
          <w:lang w:val="fr-FR" w:eastAsia="en-US"/>
        </w:rPr>
        <w:t>c</w:t>
      </w:r>
      <w:r w:rsidRPr="005C326B">
        <w:rPr>
          <w:rFonts w:ascii="Arial" w:eastAsia="SimSun" w:hAnsi="Arial" w:cs="Arial"/>
          <w:bCs/>
          <w:sz w:val="22"/>
          <w:szCs w:val="22"/>
          <w:lang w:val="fr-FR" w:eastAsia="en-US"/>
        </w:rPr>
        <w:t>onventions. Le Brésil était prêt à contribuer avec des bonnes pratiques à cet égard. Son Institut du patrimoine historique et artistique national a</w:t>
      </w:r>
      <w:r>
        <w:rPr>
          <w:rFonts w:ascii="Arial" w:eastAsia="SimSun" w:hAnsi="Arial" w:cs="Arial"/>
          <w:bCs/>
          <w:sz w:val="22"/>
          <w:szCs w:val="22"/>
          <w:lang w:val="fr-FR" w:eastAsia="en-US"/>
        </w:rPr>
        <w:t>vait</w:t>
      </w:r>
      <w:r w:rsidRPr="005C326B">
        <w:rPr>
          <w:rFonts w:ascii="Arial" w:eastAsia="SimSun" w:hAnsi="Arial" w:cs="Arial"/>
          <w:bCs/>
          <w:sz w:val="22"/>
          <w:szCs w:val="22"/>
          <w:lang w:val="fr-FR" w:eastAsia="en-US"/>
        </w:rPr>
        <w:t xml:space="preserve"> quatre-vingt-quatre ans d</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histoire et une grande expérience dans les domaines du patrimoine culturel et historique, qu</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il continu</w:t>
      </w:r>
      <w:r>
        <w:rPr>
          <w:rFonts w:ascii="Arial" w:eastAsia="SimSun" w:hAnsi="Arial" w:cs="Arial"/>
          <w:bCs/>
          <w:sz w:val="22"/>
          <w:szCs w:val="22"/>
          <w:lang w:val="fr-FR" w:eastAsia="en-US"/>
        </w:rPr>
        <w:t>ait</w:t>
      </w:r>
      <w:r w:rsidRPr="005C326B">
        <w:rPr>
          <w:rFonts w:ascii="Arial" w:eastAsia="SimSun" w:hAnsi="Arial" w:cs="Arial"/>
          <w:bCs/>
          <w:sz w:val="22"/>
          <w:szCs w:val="22"/>
          <w:lang w:val="fr-FR" w:eastAsia="en-US"/>
        </w:rPr>
        <w:t xml:space="preserve"> de partager dans les forums culturels de l</w:t>
      </w:r>
      <w:r w:rsidR="008E532B">
        <w:rPr>
          <w:rFonts w:ascii="Arial" w:eastAsia="SimSun" w:hAnsi="Arial" w:cs="Arial"/>
          <w:bCs/>
          <w:sz w:val="22"/>
          <w:szCs w:val="22"/>
          <w:lang w:val="fr-FR" w:eastAsia="en-US"/>
        </w:rPr>
        <w:t>’</w:t>
      </w:r>
      <w:r w:rsidRPr="005C326B">
        <w:rPr>
          <w:rFonts w:ascii="Arial" w:eastAsia="SimSun" w:hAnsi="Arial" w:cs="Arial"/>
          <w:bCs/>
          <w:sz w:val="22"/>
          <w:szCs w:val="22"/>
          <w:lang w:val="fr-FR" w:eastAsia="en-US"/>
        </w:rPr>
        <w:t>UNESCO.</w:t>
      </w:r>
    </w:p>
    <w:p w14:paraId="177E92E5" w14:textId="17E88709" w:rsidR="00D9653F" w:rsidRPr="00D20750"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D20750">
        <w:rPr>
          <w:rFonts w:ascii="Arial" w:eastAsia="SimSun" w:hAnsi="Arial" w:cs="Arial"/>
          <w:bCs/>
          <w:sz w:val="22"/>
          <w:szCs w:val="22"/>
          <w:lang w:val="fr-FR" w:eastAsia="en-US"/>
        </w:rPr>
        <w:t xml:space="preserve">La délégation </w:t>
      </w:r>
      <w:r>
        <w:rPr>
          <w:rFonts w:ascii="Arial" w:eastAsia="SimSun" w:hAnsi="Arial" w:cs="Arial"/>
          <w:bCs/>
          <w:sz w:val="22"/>
          <w:szCs w:val="22"/>
          <w:lang w:val="fr-FR" w:eastAsia="en-US"/>
        </w:rPr>
        <w:t xml:space="preserve">du </w:t>
      </w:r>
      <w:r w:rsidRPr="00D20750">
        <w:rPr>
          <w:rFonts w:ascii="Arial" w:eastAsia="SimSun" w:hAnsi="Arial" w:cs="Arial"/>
          <w:b/>
          <w:sz w:val="22"/>
          <w:szCs w:val="22"/>
          <w:lang w:val="fr-FR" w:eastAsia="en-US"/>
        </w:rPr>
        <w:t>Brésil</w:t>
      </w:r>
      <w:r>
        <w:rPr>
          <w:rFonts w:ascii="Arial" w:eastAsia="SimSun" w:hAnsi="Arial" w:cs="Arial"/>
          <w:bCs/>
          <w:sz w:val="22"/>
          <w:szCs w:val="22"/>
          <w:lang w:val="fr-FR" w:eastAsia="en-US"/>
        </w:rPr>
        <w:t xml:space="preserve"> envisageait </w:t>
      </w:r>
      <w:r w:rsidRPr="00D20750">
        <w:rPr>
          <w:rFonts w:ascii="Arial" w:eastAsia="SimSun" w:hAnsi="Arial" w:cs="Arial"/>
          <w:bCs/>
          <w:color w:val="000000" w:themeColor="text1"/>
          <w:sz w:val="22"/>
          <w:szCs w:val="22"/>
          <w:lang w:val="fr-FR" w:eastAsia="en-US"/>
        </w:rPr>
        <w:t>également</w:t>
      </w:r>
      <w:r w:rsidRPr="00D20750">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impact</w:t>
      </w:r>
      <w:r w:rsidRPr="00D20750">
        <w:rPr>
          <w:rFonts w:ascii="Arial" w:eastAsia="SimSun" w:hAnsi="Arial" w:cs="Arial"/>
          <w:bCs/>
          <w:sz w:val="22"/>
          <w:szCs w:val="22"/>
          <w:lang w:val="fr-FR" w:eastAsia="en-US"/>
        </w:rPr>
        <w:t xml:space="preserve"> du changement climatique pour la sauvegarde du patrimoine vivant. À c</w:t>
      </w:r>
      <w:r>
        <w:rPr>
          <w:rFonts w:ascii="Arial" w:eastAsia="SimSun" w:hAnsi="Arial" w:cs="Arial"/>
          <w:bCs/>
          <w:sz w:val="22"/>
          <w:szCs w:val="22"/>
          <w:lang w:val="fr-FR" w:eastAsia="en-US"/>
        </w:rPr>
        <w:t>et égard</w:t>
      </w:r>
      <w:r w:rsidRPr="00D20750">
        <w:rPr>
          <w:rFonts w:ascii="Arial" w:eastAsia="SimSun" w:hAnsi="Arial" w:cs="Arial"/>
          <w:bCs/>
          <w:sz w:val="22"/>
          <w:szCs w:val="22"/>
          <w:lang w:val="fr-FR" w:eastAsia="en-US"/>
        </w:rPr>
        <w:t xml:space="preserve">, </w:t>
      </w:r>
      <w:r w:rsidRPr="00963EB1">
        <w:rPr>
          <w:rFonts w:ascii="Arial" w:eastAsia="SimSun" w:hAnsi="Arial" w:cs="Arial"/>
          <w:bCs/>
          <w:sz w:val="22"/>
          <w:szCs w:val="22"/>
          <w:lang w:val="fr-FR" w:eastAsia="en-US"/>
        </w:rPr>
        <w:t xml:space="preserve">il y avait déjà </w:t>
      </w:r>
      <w:r w:rsidRPr="00D20750">
        <w:rPr>
          <w:rFonts w:ascii="Arial" w:eastAsia="SimSun" w:hAnsi="Arial" w:cs="Arial"/>
          <w:bCs/>
          <w:sz w:val="22"/>
          <w:szCs w:val="22"/>
          <w:lang w:val="fr-FR" w:eastAsia="en-US"/>
        </w:rPr>
        <w:t>un groupe de travail chargé de ce</w:t>
      </w:r>
      <w:r>
        <w:rPr>
          <w:rFonts w:ascii="Arial" w:eastAsia="SimSun" w:hAnsi="Arial" w:cs="Arial"/>
          <w:bCs/>
          <w:sz w:val="22"/>
          <w:szCs w:val="22"/>
          <w:lang w:val="fr-FR" w:eastAsia="en-US"/>
        </w:rPr>
        <w:t xml:space="preserve"> sujet </w:t>
      </w:r>
      <w:r w:rsidRPr="00D20750">
        <w:rPr>
          <w:rFonts w:ascii="Arial" w:eastAsia="SimSun" w:hAnsi="Arial" w:cs="Arial"/>
          <w:bCs/>
          <w:sz w:val="22"/>
          <w:szCs w:val="22"/>
          <w:lang w:val="fr-FR" w:eastAsia="en-US"/>
        </w:rPr>
        <w:t>dans le cadre de la Convention de 1972, dont les réflexions pourraient contribuer à la question. En effet, l</w:t>
      </w:r>
      <w:r w:rsidR="008E532B">
        <w:rPr>
          <w:rFonts w:ascii="Arial" w:eastAsia="SimSun" w:hAnsi="Arial" w:cs="Arial"/>
          <w:bCs/>
          <w:sz w:val="22"/>
          <w:szCs w:val="22"/>
          <w:lang w:val="fr-FR" w:eastAsia="en-US"/>
        </w:rPr>
        <w:t>’</w:t>
      </w:r>
      <w:r w:rsidRPr="00D20750">
        <w:rPr>
          <w:rFonts w:ascii="Arial" w:eastAsia="SimSun" w:hAnsi="Arial" w:cs="Arial"/>
          <w:bCs/>
          <w:sz w:val="22"/>
          <w:szCs w:val="22"/>
          <w:lang w:val="fr-FR" w:eastAsia="en-US"/>
        </w:rPr>
        <w:t xml:space="preserve">UNESCO pourrait </w:t>
      </w:r>
      <w:r>
        <w:rPr>
          <w:rFonts w:ascii="Arial" w:eastAsia="SimSun" w:hAnsi="Arial" w:cs="Arial"/>
          <w:bCs/>
          <w:sz w:val="22"/>
          <w:szCs w:val="22"/>
          <w:lang w:val="fr-FR" w:eastAsia="en-US"/>
        </w:rPr>
        <w:t xml:space="preserve">grandement participer </w:t>
      </w:r>
      <w:r w:rsidRPr="00D20750">
        <w:rPr>
          <w:rFonts w:ascii="Arial" w:eastAsia="SimSun" w:hAnsi="Arial" w:cs="Arial"/>
          <w:bCs/>
          <w:sz w:val="22"/>
          <w:szCs w:val="22"/>
          <w:lang w:val="fr-FR" w:eastAsia="en-US"/>
        </w:rPr>
        <w:t>au débat international sur ce</w:t>
      </w:r>
      <w:r>
        <w:rPr>
          <w:rFonts w:ascii="Arial" w:eastAsia="SimSun" w:hAnsi="Arial" w:cs="Arial"/>
          <w:bCs/>
          <w:sz w:val="22"/>
          <w:szCs w:val="22"/>
          <w:lang w:val="fr-FR" w:eastAsia="en-US"/>
        </w:rPr>
        <w:t xml:space="preserve"> thème</w:t>
      </w:r>
      <w:r w:rsidRPr="00D20750">
        <w:rPr>
          <w:rFonts w:ascii="Arial" w:eastAsia="SimSun" w:hAnsi="Arial" w:cs="Arial"/>
          <w:bCs/>
          <w:sz w:val="22"/>
          <w:szCs w:val="22"/>
          <w:lang w:val="fr-FR" w:eastAsia="en-US"/>
        </w:rPr>
        <w:t>. Pour le Brésil, la recherche d</w:t>
      </w:r>
      <w:r w:rsidR="008E532B">
        <w:rPr>
          <w:rFonts w:ascii="Arial" w:eastAsia="SimSun" w:hAnsi="Arial" w:cs="Arial"/>
          <w:bCs/>
          <w:sz w:val="22"/>
          <w:szCs w:val="22"/>
          <w:lang w:val="fr-FR" w:eastAsia="en-US"/>
        </w:rPr>
        <w:t>’</w:t>
      </w:r>
      <w:r w:rsidRPr="00D20750">
        <w:rPr>
          <w:rFonts w:ascii="Arial" w:eastAsia="SimSun" w:hAnsi="Arial" w:cs="Arial"/>
          <w:bCs/>
          <w:sz w:val="22"/>
          <w:szCs w:val="22"/>
          <w:lang w:val="fr-FR" w:eastAsia="en-US"/>
        </w:rPr>
        <w:t>un équilibre, tant géographique que thématique</w:t>
      </w:r>
      <w:r>
        <w:rPr>
          <w:rFonts w:ascii="Arial" w:eastAsia="SimSun" w:hAnsi="Arial" w:cs="Arial"/>
          <w:bCs/>
          <w:sz w:val="22"/>
          <w:szCs w:val="22"/>
          <w:lang w:val="fr-FR" w:eastAsia="en-US"/>
        </w:rPr>
        <w:t xml:space="preserve">, </w:t>
      </w:r>
      <w:r w:rsidRPr="00D20750">
        <w:rPr>
          <w:rFonts w:ascii="Arial" w:eastAsia="SimSun" w:hAnsi="Arial" w:cs="Arial"/>
          <w:bCs/>
          <w:sz w:val="22"/>
          <w:szCs w:val="22"/>
          <w:lang w:val="fr-FR" w:eastAsia="en-US"/>
        </w:rPr>
        <w:t>au sein de la Convention</w:t>
      </w:r>
      <w:r>
        <w:rPr>
          <w:rFonts w:ascii="Arial" w:eastAsia="SimSun" w:hAnsi="Arial" w:cs="Arial"/>
          <w:bCs/>
          <w:sz w:val="22"/>
          <w:szCs w:val="22"/>
          <w:lang w:val="fr-FR" w:eastAsia="en-US"/>
        </w:rPr>
        <w:t xml:space="preserve"> était </w:t>
      </w:r>
      <w:r w:rsidRPr="00D20750">
        <w:rPr>
          <w:rFonts w:ascii="Arial" w:eastAsia="SimSun" w:hAnsi="Arial" w:cs="Arial"/>
          <w:bCs/>
          <w:sz w:val="22"/>
          <w:szCs w:val="22"/>
          <w:lang w:val="fr-FR" w:eastAsia="en-US"/>
        </w:rPr>
        <w:t xml:space="preserve">un objectif majeur. </w:t>
      </w:r>
      <w:r>
        <w:rPr>
          <w:rFonts w:ascii="Arial" w:eastAsia="SimSun" w:hAnsi="Arial" w:cs="Arial"/>
          <w:bCs/>
          <w:sz w:val="22"/>
          <w:szCs w:val="22"/>
          <w:lang w:val="fr-FR" w:eastAsia="en-US"/>
        </w:rPr>
        <w:t>Cela signifiait</w:t>
      </w:r>
      <w:r w:rsidRPr="00D20750">
        <w:rPr>
          <w:rFonts w:ascii="Arial" w:eastAsia="SimSun" w:hAnsi="Arial" w:cs="Arial"/>
          <w:bCs/>
          <w:sz w:val="22"/>
          <w:szCs w:val="22"/>
          <w:lang w:val="fr-FR" w:eastAsia="en-US"/>
        </w:rPr>
        <w:t xml:space="preserve"> renforcer le </w:t>
      </w:r>
      <w:r>
        <w:rPr>
          <w:rFonts w:ascii="Arial" w:eastAsia="SimSun" w:hAnsi="Arial" w:cs="Arial"/>
          <w:bCs/>
          <w:sz w:val="22"/>
          <w:szCs w:val="22"/>
          <w:lang w:val="fr-FR" w:eastAsia="en-US"/>
        </w:rPr>
        <w:t>R</w:t>
      </w:r>
      <w:r w:rsidRPr="00D20750">
        <w:rPr>
          <w:rFonts w:ascii="Arial" w:eastAsia="SimSun" w:hAnsi="Arial" w:cs="Arial"/>
          <w:bCs/>
          <w:sz w:val="22"/>
          <w:szCs w:val="22"/>
          <w:lang w:val="fr-FR" w:eastAsia="en-US"/>
        </w:rPr>
        <w:t>egistre des bonnes pratiques de sauvegarde, avec beaucoup plus d</w:t>
      </w:r>
      <w:r w:rsidR="008E532B">
        <w:rPr>
          <w:rFonts w:ascii="Arial" w:eastAsia="SimSun" w:hAnsi="Arial" w:cs="Arial"/>
          <w:bCs/>
          <w:sz w:val="22"/>
          <w:szCs w:val="22"/>
          <w:lang w:val="fr-FR" w:eastAsia="en-US"/>
        </w:rPr>
        <w:t>’</w:t>
      </w:r>
      <w:r w:rsidRPr="00D20750">
        <w:rPr>
          <w:rFonts w:ascii="Arial" w:eastAsia="SimSun" w:hAnsi="Arial" w:cs="Arial"/>
          <w:bCs/>
          <w:sz w:val="22"/>
          <w:szCs w:val="22"/>
          <w:lang w:val="fr-FR" w:eastAsia="en-US"/>
        </w:rPr>
        <w:t>initiatives dans le monde qui méritent cette reconnaissance et servent de cas exemplaires de sauvegarde et de modèles de durabilité culturelle et de développement durable. Le Brésil continuera</w:t>
      </w:r>
      <w:r>
        <w:rPr>
          <w:rFonts w:ascii="Arial" w:eastAsia="SimSun" w:hAnsi="Arial" w:cs="Arial"/>
          <w:bCs/>
          <w:sz w:val="22"/>
          <w:szCs w:val="22"/>
          <w:lang w:val="fr-FR" w:eastAsia="en-US"/>
        </w:rPr>
        <w:t xml:space="preserve">it </w:t>
      </w:r>
      <w:r w:rsidRPr="00D20750">
        <w:rPr>
          <w:rFonts w:ascii="Arial" w:eastAsia="SimSun" w:hAnsi="Arial" w:cs="Arial"/>
          <w:bCs/>
          <w:sz w:val="22"/>
          <w:szCs w:val="22"/>
          <w:lang w:val="fr-FR" w:eastAsia="en-US"/>
        </w:rPr>
        <w:t>à contribuer à l</w:t>
      </w:r>
      <w:r w:rsidR="008E532B">
        <w:rPr>
          <w:rFonts w:ascii="Arial" w:eastAsia="SimSun" w:hAnsi="Arial" w:cs="Arial"/>
          <w:bCs/>
          <w:sz w:val="22"/>
          <w:szCs w:val="22"/>
          <w:lang w:val="fr-FR" w:eastAsia="en-US"/>
        </w:rPr>
        <w:t>’</w:t>
      </w:r>
      <w:r w:rsidRPr="00D20750">
        <w:rPr>
          <w:rFonts w:ascii="Arial" w:eastAsia="SimSun" w:hAnsi="Arial" w:cs="Arial"/>
          <w:bCs/>
          <w:sz w:val="22"/>
          <w:szCs w:val="22"/>
          <w:lang w:val="fr-FR" w:eastAsia="en-US"/>
        </w:rPr>
        <w:t>universalité de la Convention pour accroître l</w:t>
      </w:r>
      <w:r w:rsidR="008E532B">
        <w:rPr>
          <w:rFonts w:ascii="Arial" w:eastAsia="SimSun" w:hAnsi="Arial" w:cs="Arial"/>
          <w:bCs/>
          <w:sz w:val="22"/>
          <w:szCs w:val="22"/>
          <w:lang w:val="fr-FR" w:eastAsia="en-US"/>
        </w:rPr>
        <w:t>’</w:t>
      </w:r>
      <w:r w:rsidRPr="00D20750">
        <w:rPr>
          <w:rFonts w:ascii="Arial" w:eastAsia="SimSun" w:hAnsi="Arial" w:cs="Arial"/>
          <w:bCs/>
          <w:sz w:val="22"/>
          <w:szCs w:val="22"/>
          <w:lang w:val="fr-FR" w:eastAsia="en-US"/>
        </w:rPr>
        <w:t>échange d</w:t>
      </w:r>
      <w:r w:rsidR="008E532B">
        <w:rPr>
          <w:rFonts w:ascii="Arial" w:eastAsia="SimSun" w:hAnsi="Arial" w:cs="Arial"/>
          <w:bCs/>
          <w:sz w:val="22"/>
          <w:szCs w:val="22"/>
          <w:lang w:val="fr-FR" w:eastAsia="en-US"/>
        </w:rPr>
        <w:t>’</w:t>
      </w:r>
      <w:r w:rsidRPr="00D20750">
        <w:rPr>
          <w:rFonts w:ascii="Arial" w:eastAsia="SimSun" w:hAnsi="Arial" w:cs="Arial"/>
          <w:bCs/>
          <w:sz w:val="22"/>
          <w:szCs w:val="22"/>
          <w:lang w:val="fr-FR" w:eastAsia="en-US"/>
        </w:rPr>
        <w:t>expériences entre les communautés et les États parties afin d</w:t>
      </w:r>
      <w:r w:rsidR="008E532B">
        <w:rPr>
          <w:rFonts w:ascii="Arial" w:eastAsia="SimSun" w:hAnsi="Arial" w:cs="Arial"/>
          <w:bCs/>
          <w:sz w:val="22"/>
          <w:szCs w:val="22"/>
          <w:lang w:val="fr-FR" w:eastAsia="en-US"/>
        </w:rPr>
        <w:t>’</w:t>
      </w:r>
      <w:r w:rsidRPr="00D20750">
        <w:rPr>
          <w:rFonts w:ascii="Arial" w:eastAsia="SimSun" w:hAnsi="Arial" w:cs="Arial"/>
          <w:bCs/>
          <w:sz w:val="22"/>
          <w:szCs w:val="22"/>
          <w:lang w:val="fr-FR" w:eastAsia="en-US"/>
        </w:rPr>
        <w:t xml:space="preserve">atténuer les déséquilibres géographiques des éléments inscrits sur les </w:t>
      </w:r>
      <w:r>
        <w:rPr>
          <w:rFonts w:ascii="Arial" w:eastAsia="SimSun" w:hAnsi="Arial" w:cs="Arial"/>
          <w:bCs/>
          <w:sz w:val="22"/>
          <w:szCs w:val="22"/>
          <w:lang w:val="fr-FR" w:eastAsia="en-US"/>
        </w:rPr>
        <w:t>l</w:t>
      </w:r>
      <w:r w:rsidRPr="00D20750">
        <w:rPr>
          <w:rFonts w:ascii="Arial" w:eastAsia="SimSun" w:hAnsi="Arial" w:cs="Arial"/>
          <w:bCs/>
          <w:sz w:val="22"/>
          <w:szCs w:val="22"/>
          <w:lang w:val="fr-FR" w:eastAsia="en-US"/>
        </w:rPr>
        <w:t xml:space="preserve">istes. </w:t>
      </w:r>
      <w:r>
        <w:rPr>
          <w:rFonts w:ascii="Arial" w:eastAsia="SimSun" w:hAnsi="Arial" w:cs="Arial"/>
          <w:bCs/>
          <w:sz w:val="22"/>
          <w:szCs w:val="22"/>
          <w:lang w:val="fr-FR" w:eastAsia="en-US"/>
        </w:rPr>
        <w:t>Il était</w:t>
      </w:r>
      <w:r w:rsidRPr="00D20750">
        <w:rPr>
          <w:rFonts w:ascii="Arial" w:eastAsia="SimSun" w:hAnsi="Arial" w:cs="Arial"/>
          <w:bCs/>
          <w:sz w:val="22"/>
          <w:szCs w:val="22"/>
          <w:lang w:val="fr-FR" w:eastAsia="en-US"/>
        </w:rPr>
        <w:t xml:space="preserve"> convaincu que les </w:t>
      </w:r>
      <w:r>
        <w:rPr>
          <w:rFonts w:ascii="Arial" w:eastAsia="SimSun" w:hAnsi="Arial" w:cs="Arial"/>
          <w:bCs/>
          <w:sz w:val="22"/>
          <w:szCs w:val="22"/>
          <w:lang w:val="fr-FR" w:eastAsia="en-US"/>
        </w:rPr>
        <w:t xml:space="preserve">amples </w:t>
      </w:r>
      <w:r w:rsidRPr="00D20750">
        <w:rPr>
          <w:rFonts w:ascii="Arial" w:eastAsia="SimSun" w:hAnsi="Arial" w:cs="Arial"/>
          <w:bCs/>
          <w:sz w:val="22"/>
          <w:szCs w:val="22"/>
          <w:lang w:val="fr-FR" w:eastAsia="en-US"/>
        </w:rPr>
        <w:t>discussions</w:t>
      </w:r>
      <w:r>
        <w:rPr>
          <w:rFonts w:ascii="Arial" w:eastAsia="SimSun" w:hAnsi="Arial" w:cs="Arial"/>
          <w:bCs/>
          <w:sz w:val="22"/>
          <w:szCs w:val="22"/>
          <w:lang w:val="fr-FR" w:eastAsia="en-US"/>
        </w:rPr>
        <w:t xml:space="preserve"> </w:t>
      </w:r>
      <w:r w:rsidRPr="00D20750">
        <w:rPr>
          <w:rFonts w:ascii="Arial" w:eastAsia="SimSun" w:hAnsi="Arial" w:cs="Arial"/>
          <w:bCs/>
          <w:sz w:val="22"/>
          <w:szCs w:val="22"/>
          <w:lang w:val="fr-FR" w:eastAsia="en-US"/>
        </w:rPr>
        <w:t>sur les différents domaines de la Convention aboutir</w:t>
      </w:r>
      <w:r>
        <w:rPr>
          <w:rFonts w:ascii="Arial" w:eastAsia="SimSun" w:hAnsi="Arial" w:cs="Arial"/>
          <w:bCs/>
          <w:sz w:val="22"/>
          <w:szCs w:val="22"/>
          <w:lang w:val="fr-FR" w:eastAsia="en-US"/>
        </w:rPr>
        <w:t>aie</w:t>
      </w:r>
      <w:r w:rsidRPr="00D20750">
        <w:rPr>
          <w:rFonts w:ascii="Arial" w:eastAsia="SimSun" w:hAnsi="Arial" w:cs="Arial"/>
          <w:bCs/>
          <w:sz w:val="22"/>
          <w:szCs w:val="22"/>
          <w:lang w:val="fr-FR" w:eastAsia="en-US"/>
        </w:rPr>
        <w:t>nt aux bonnes décisions, et il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est </w:t>
      </w:r>
      <w:r w:rsidRPr="00D20750">
        <w:rPr>
          <w:rFonts w:ascii="Arial" w:eastAsia="SimSun" w:hAnsi="Arial" w:cs="Arial"/>
          <w:bCs/>
          <w:sz w:val="22"/>
          <w:szCs w:val="22"/>
          <w:lang w:val="fr-FR" w:eastAsia="en-US"/>
        </w:rPr>
        <w:t xml:space="preserve">réjoui de partager son </w:t>
      </w:r>
      <w:r>
        <w:rPr>
          <w:rFonts w:ascii="Arial" w:eastAsia="SimSun" w:hAnsi="Arial" w:cs="Arial"/>
          <w:bCs/>
          <w:sz w:val="22"/>
          <w:szCs w:val="22"/>
          <w:lang w:val="fr-FR" w:eastAsia="en-US"/>
        </w:rPr>
        <w:t xml:space="preserve">engagement </w:t>
      </w:r>
      <w:r w:rsidRPr="00D20750">
        <w:rPr>
          <w:rFonts w:ascii="Arial" w:eastAsia="SimSun" w:hAnsi="Arial" w:cs="Arial"/>
          <w:bCs/>
          <w:sz w:val="22"/>
          <w:szCs w:val="22"/>
          <w:lang w:val="fr-FR" w:eastAsia="en-US"/>
        </w:rPr>
        <w:t>et ses expériences.</w:t>
      </w:r>
    </w:p>
    <w:p w14:paraId="6DD619AE" w14:textId="2A32C34C" w:rsidR="00D9653F" w:rsidRPr="001C722F"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1C722F">
        <w:rPr>
          <w:rFonts w:ascii="Arial" w:eastAsia="SimSun" w:hAnsi="Arial" w:cs="Arial"/>
          <w:bCs/>
          <w:sz w:val="22"/>
          <w:szCs w:val="22"/>
          <w:lang w:val="fr-FR" w:eastAsia="en-US"/>
        </w:rPr>
        <w:t xml:space="preserve">La délégation des </w:t>
      </w:r>
      <w:r w:rsidRPr="001C722F">
        <w:rPr>
          <w:rFonts w:ascii="Arial" w:eastAsia="SimSun" w:hAnsi="Arial" w:cs="Arial"/>
          <w:b/>
          <w:sz w:val="22"/>
          <w:szCs w:val="22"/>
          <w:lang w:val="fr-FR" w:eastAsia="en-US"/>
        </w:rPr>
        <w:t>Philippines</w:t>
      </w:r>
      <w:r w:rsidRPr="001C722F">
        <w:rPr>
          <w:rFonts w:ascii="Arial" w:eastAsia="SimSun" w:hAnsi="Arial" w:cs="Arial"/>
          <w:bCs/>
          <w:sz w:val="22"/>
          <w:szCs w:val="22"/>
          <w:lang w:val="fr-FR" w:eastAsia="en-US"/>
        </w:rPr>
        <w:t xml:space="preserve"> a reconnu le rôle crucial joué par le Secrétariat, saluant son travail de mise en œuvre de la stratégie de renforcement des capacités et d</w:t>
      </w:r>
      <w:r w:rsidR="008E532B">
        <w:rPr>
          <w:rFonts w:ascii="Arial" w:eastAsia="SimSun" w:hAnsi="Arial" w:cs="Arial"/>
          <w:bCs/>
          <w:sz w:val="22"/>
          <w:szCs w:val="22"/>
          <w:lang w:val="fr-FR" w:eastAsia="en-US"/>
        </w:rPr>
        <w:t>’</w:t>
      </w:r>
      <w:r w:rsidRPr="001C722F">
        <w:rPr>
          <w:rFonts w:ascii="Arial" w:eastAsia="SimSun" w:hAnsi="Arial" w:cs="Arial"/>
          <w:bCs/>
          <w:sz w:val="22"/>
          <w:szCs w:val="22"/>
          <w:lang w:val="fr-FR" w:eastAsia="en-US"/>
        </w:rPr>
        <w:t>exploration d</w:t>
      </w:r>
      <w:r>
        <w:rPr>
          <w:rFonts w:ascii="Arial" w:eastAsia="SimSun" w:hAnsi="Arial" w:cs="Arial"/>
          <w:bCs/>
          <w:sz w:val="22"/>
          <w:szCs w:val="22"/>
          <w:lang w:val="fr-FR" w:eastAsia="en-US"/>
        </w:rPr>
        <w:t>es</w:t>
      </w:r>
      <w:r w:rsidRPr="001C722F">
        <w:rPr>
          <w:rFonts w:ascii="Arial" w:eastAsia="SimSun" w:hAnsi="Arial" w:cs="Arial"/>
          <w:bCs/>
          <w:sz w:val="22"/>
          <w:szCs w:val="22"/>
          <w:lang w:val="fr-FR" w:eastAsia="en-US"/>
        </w:rPr>
        <w:t xml:space="preserve"> lien</w:t>
      </w:r>
      <w:r>
        <w:rPr>
          <w:rFonts w:ascii="Arial" w:eastAsia="SimSun" w:hAnsi="Arial" w:cs="Arial"/>
          <w:bCs/>
          <w:sz w:val="22"/>
          <w:szCs w:val="22"/>
          <w:lang w:val="fr-FR" w:eastAsia="en-US"/>
        </w:rPr>
        <w:t>s</w:t>
      </w:r>
      <w:r w:rsidRPr="001C722F">
        <w:rPr>
          <w:rFonts w:ascii="Arial" w:eastAsia="SimSun" w:hAnsi="Arial" w:cs="Arial"/>
          <w:bCs/>
          <w:sz w:val="22"/>
          <w:szCs w:val="22"/>
          <w:lang w:val="fr-FR" w:eastAsia="en-US"/>
        </w:rPr>
        <w:t xml:space="preserve"> intersectoriel</w:t>
      </w:r>
      <w:r>
        <w:rPr>
          <w:rFonts w:ascii="Arial" w:eastAsia="SimSun" w:hAnsi="Arial" w:cs="Arial"/>
          <w:bCs/>
          <w:sz w:val="22"/>
          <w:szCs w:val="22"/>
          <w:lang w:val="fr-FR" w:eastAsia="en-US"/>
        </w:rPr>
        <w:t>s</w:t>
      </w:r>
      <w:r w:rsidRPr="001C722F">
        <w:rPr>
          <w:rFonts w:ascii="Arial" w:eastAsia="SimSun" w:hAnsi="Arial" w:cs="Arial"/>
          <w:bCs/>
          <w:sz w:val="22"/>
          <w:szCs w:val="22"/>
          <w:lang w:val="fr-FR" w:eastAsia="en-US"/>
        </w:rPr>
        <w:t xml:space="preserve"> dans la sauvegarde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C722F">
        <w:rPr>
          <w:rFonts w:ascii="Arial" w:eastAsia="SimSun" w:hAnsi="Arial" w:cs="Arial"/>
          <w:bCs/>
          <w:sz w:val="22"/>
          <w:szCs w:val="22"/>
          <w:lang w:val="fr-FR" w:eastAsia="en-US"/>
        </w:rPr>
        <w:t xml:space="preserve">pendant la pandémie. </w:t>
      </w:r>
      <w:r>
        <w:rPr>
          <w:rFonts w:ascii="Arial" w:eastAsia="SimSun" w:hAnsi="Arial" w:cs="Arial"/>
          <w:bCs/>
          <w:sz w:val="22"/>
          <w:szCs w:val="22"/>
          <w:lang w:val="fr-FR" w:eastAsia="en-US"/>
        </w:rPr>
        <w:t xml:space="preserve">La </w:t>
      </w:r>
      <w:r w:rsidRPr="001C722F">
        <w:rPr>
          <w:rFonts w:ascii="Arial" w:eastAsia="SimSun" w:hAnsi="Arial" w:cs="Arial"/>
          <w:bCs/>
          <w:sz w:val="22"/>
          <w:szCs w:val="22"/>
          <w:lang w:val="fr-FR" w:eastAsia="en-US"/>
        </w:rPr>
        <w:t>délégation</w:t>
      </w:r>
      <w:r>
        <w:rPr>
          <w:rFonts w:ascii="Arial" w:eastAsia="SimSun" w:hAnsi="Arial" w:cs="Arial"/>
          <w:bCs/>
          <w:sz w:val="22"/>
          <w:szCs w:val="22"/>
          <w:lang w:val="fr-FR" w:eastAsia="en-US"/>
        </w:rPr>
        <w:t xml:space="preserve"> a</w:t>
      </w:r>
      <w:r w:rsidRPr="001C722F">
        <w:rPr>
          <w:rFonts w:ascii="Arial" w:eastAsia="SimSun" w:hAnsi="Arial" w:cs="Arial"/>
          <w:bCs/>
          <w:sz w:val="22"/>
          <w:szCs w:val="22"/>
          <w:lang w:val="fr-FR" w:eastAsia="en-US"/>
        </w:rPr>
        <w:t xml:space="preserve"> exprimé </w:t>
      </w:r>
      <w:r>
        <w:rPr>
          <w:rFonts w:ascii="Arial" w:eastAsia="SimSun" w:hAnsi="Arial" w:cs="Arial"/>
          <w:bCs/>
          <w:sz w:val="22"/>
          <w:szCs w:val="22"/>
          <w:lang w:val="fr-FR" w:eastAsia="en-US"/>
        </w:rPr>
        <w:t xml:space="preserve">sa </w:t>
      </w:r>
      <w:r w:rsidRPr="001C722F">
        <w:rPr>
          <w:rFonts w:ascii="Arial" w:eastAsia="SimSun" w:hAnsi="Arial" w:cs="Arial"/>
          <w:bCs/>
          <w:sz w:val="22"/>
          <w:szCs w:val="22"/>
          <w:lang w:val="fr-FR" w:eastAsia="en-US"/>
        </w:rPr>
        <w:t xml:space="preserve">gratitude car les Philippines </w:t>
      </w:r>
      <w:r>
        <w:rPr>
          <w:rFonts w:ascii="Arial" w:eastAsia="SimSun" w:hAnsi="Arial" w:cs="Arial"/>
          <w:bCs/>
          <w:sz w:val="22"/>
          <w:szCs w:val="22"/>
          <w:lang w:val="fr-FR" w:eastAsia="en-US"/>
        </w:rPr>
        <w:t>avaient</w:t>
      </w:r>
      <w:r w:rsidRPr="001C722F">
        <w:rPr>
          <w:rFonts w:ascii="Arial" w:eastAsia="SimSun" w:hAnsi="Arial" w:cs="Arial"/>
          <w:bCs/>
          <w:sz w:val="22"/>
          <w:szCs w:val="22"/>
          <w:lang w:val="fr-FR" w:eastAsia="en-US"/>
        </w:rPr>
        <w:t xml:space="preserve"> tiré des avantages significatifs et importants de ces efforts. Il s</w:t>
      </w:r>
      <w:r w:rsidR="008E532B">
        <w:rPr>
          <w:rFonts w:ascii="Arial" w:eastAsia="SimSun" w:hAnsi="Arial" w:cs="Arial"/>
          <w:bCs/>
          <w:sz w:val="22"/>
          <w:szCs w:val="22"/>
          <w:lang w:val="fr-FR" w:eastAsia="en-US"/>
        </w:rPr>
        <w:t>’</w:t>
      </w:r>
      <w:r w:rsidRPr="001C722F">
        <w:rPr>
          <w:rFonts w:ascii="Arial" w:eastAsia="SimSun" w:hAnsi="Arial" w:cs="Arial"/>
          <w:bCs/>
          <w:sz w:val="22"/>
          <w:szCs w:val="22"/>
          <w:lang w:val="fr-FR" w:eastAsia="en-US"/>
        </w:rPr>
        <w:t>agi</w:t>
      </w:r>
      <w:r>
        <w:rPr>
          <w:rFonts w:ascii="Arial" w:eastAsia="SimSun" w:hAnsi="Arial" w:cs="Arial"/>
          <w:bCs/>
          <w:sz w:val="22"/>
          <w:szCs w:val="22"/>
          <w:lang w:val="fr-FR" w:eastAsia="en-US"/>
        </w:rPr>
        <w:t>ssait</w:t>
      </w:r>
      <w:r w:rsidRPr="001C722F">
        <w:rPr>
          <w:rFonts w:ascii="Arial" w:eastAsia="SimSun" w:hAnsi="Arial" w:cs="Arial"/>
          <w:bCs/>
          <w:sz w:val="22"/>
          <w:szCs w:val="22"/>
          <w:lang w:val="fr-FR" w:eastAsia="en-US"/>
        </w:rPr>
        <w:t xml:space="preserve"> notamment du projet pilote conjoint de renforcement des capacités sur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C722F">
        <w:rPr>
          <w:rFonts w:ascii="Arial" w:eastAsia="SimSun" w:hAnsi="Arial" w:cs="Arial"/>
          <w:bCs/>
          <w:sz w:val="22"/>
          <w:szCs w:val="22"/>
          <w:lang w:val="fr-FR" w:eastAsia="en-US"/>
        </w:rPr>
        <w:t xml:space="preserve">et </w:t>
      </w:r>
      <w:r>
        <w:rPr>
          <w:rFonts w:ascii="Arial" w:eastAsia="SimSun" w:hAnsi="Arial" w:cs="Arial"/>
          <w:bCs/>
          <w:sz w:val="22"/>
          <w:szCs w:val="22"/>
          <w:lang w:val="fr-FR" w:eastAsia="en-US"/>
        </w:rPr>
        <w:t>la</w:t>
      </w:r>
      <w:r w:rsidRPr="001C722F">
        <w:rPr>
          <w:rFonts w:ascii="Arial" w:eastAsia="SimSun" w:hAnsi="Arial" w:cs="Arial"/>
          <w:bCs/>
          <w:sz w:val="22"/>
          <w:szCs w:val="22"/>
          <w:lang w:val="fr-FR" w:eastAsia="en-US"/>
        </w:rPr>
        <w:t xml:space="preserve"> réduction des risques de catastrophe, une formation de renforcement des capacités, pilotée aux Philippines et au Honduras</w:t>
      </w:r>
      <w:r>
        <w:rPr>
          <w:rStyle w:val="FootnoteReference"/>
          <w:rFonts w:ascii="Arial" w:eastAsia="SimSun" w:hAnsi="Arial" w:cs="Arial"/>
          <w:bCs/>
          <w:sz w:val="22"/>
          <w:szCs w:val="22"/>
          <w:lang w:val="fr-FR" w:eastAsia="en-US"/>
        </w:rPr>
        <w:footnoteReference w:id="24"/>
      </w:r>
      <w:r w:rsidRPr="001C722F">
        <w:rPr>
          <w:rFonts w:ascii="Arial" w:eastAsia="SimSun" w:hAnsi="Arial" w:cs="Arial"/>
          <w:bCs/>
          <w:sz w:val="22"/>
          <w:szCs w:val="22"/>
          <w:lang w:val="fr-FR" w:eastAsia="en-US"/>
        </w:rPr>
        <w:t xml:space="preserve">, où un modèle de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C722F">
        <w:rPr>
          <w:rFonts w:ascii="Arial" w:eastAsia="SimSun" w:hAnsi="Arial" w:cs="Arial"/>
          <w:bCs/>
          <w:sz w:val="22"/>
          <w:szCs w:val="22"/>
          <w:lang w:val="fr-FR" w:eastAsia="en-US"/>
        </w:rPr>
        <w:t>dans les situations d</w:t>
      </w:r>
      <w:r w:rsidR="008E532B">
        <w:rPr>
          <w:rFonts w:ascii="Arial" w:eastAsia="SimSun" w:hAnsi="Arial" w:cs="Arial"/>
          <w:bCs/>
          <w:sz w:val="22"/>
          <w:szCs w:val="22"/>
          <w:lang w:val="fr-FR" w:eastAsia="en-US"/>
        </w:rPr>
        <w:t>’</w:t>
      </w:r>
      <w:r w:rsidRPr="001C722F">
        <w:rPr>
          <w:rFonts w:ascii="Arial" w:eastAsia="SimSun" w:hAnsi="Arial" w:cs="Arial"/>
          <w:bCs/>
          <w:sz w:val="22"/>
          <w:szCs w:val="22"/>
          <w:lang w:val="fr-FR" w:eastAsia="en-US"/>
        </w:rPr>
        <w:t xml:space="preserve">urgence </w:t>
      </w:r>
      <w:r>
        <w:rPr>
          <w:rFonts w:ascii="Arial" w:eastAsia="SimSun" w:hAnsi="Arial" w:cs="Arial"/>
          <w:bCs/>
          <w:sz w:val="22"/>
          <w:szCs w:val="22"/>
          <w:lang w:val="fr-FR" w:eastAsia="en-US"/>
        </w:rPr>
        <w:t>avait été élaboré</w:t>
      </w:r>
      <w:r w:rsidRPr="001C722F">
        <w:rPr>
          <w:rFonts w:ascii="Arial" w:eastAsia="SimSun" w:hAnsi="Arial" w:cs="Arial"/>
          <w:bCs/>
          <w:sz w:val="22"/>
          <w:szCs w:val="22"/>
          <w:lang w:val="fr-FR" w:eastAsia="en-US"/>
        </w:rPr>
        <w:t xml:space="preserve"> avec la généreuse contribution de la Suisse au Fonds du </w:t>
      </w:r>
      <w:r w:rsidR="0064242E">
        <w:rPr>
          <w:rFonts w:ascii="Arial" w:eastAsia="SimSun" w:hAnsi="Arial" w:cs="Arial"/>
          <w:bCs/>
          <w:sz w:val="22"/>
          <w:szCs w:val="22"/>
          <w:lang w:val="fr-FR" w:eastAsia="en-US"/>
        </w:rPr>
        <w:t>patrimoine culturel immatériel</w:t>
      </w:r>
      <w:r w:rsidRPr="001C722F">
        <w:rPr>
          <w:rFonts w:ascii="Arial" w:eastAsia="SimSun" w:hAnsi="Arial" w:cs="Arial"/>
          <w:bCs/>
          <w:sz w:val="22"/>
          <w:szCs w:val="22"/>
          <w:lang w:val="fr-FR" w:eastAsia="en-US"/>
        </w:rPr>
        <w:t xml:space="preserve">. Dans le cadre de ce projet, les communautés locales </w:t>
      </w:r>
      <w:r>
        <w:rPr>
          <w:rFonts w:ascii="Arial" w:eastAsia="SimSun" w:hAnsi="Arial" w:cs="Arial"/>
          <w:bCs/>
          <w:sz w:val="22"/>
          <w:szCs w:val="22"/>
          <w:lang w:val="fr-FR" w:eastAsia="en-US"/>
        </w:rPr>
        <w:t>avaient</w:t>
      </w:r>
      <w:r w:rsidRPr="001C722F">
        <w:rPr>
          <w:rFonts w:ascii="Arial" w:eastAsia="SimSun" w:hAnsi="Arial" w:cs="Arial"/>
          <w:bCs/>
          <w:sz w:val="22"/>
          <w:szCs w:val="22"/>
          <w:lang w:val="fr-FR" w:eastAsia="en-US"/>
        </w:rPr>
        <w:t xml:space="preserve"> pu</w:t>
      </w:r>
      <w:r>
        <w:rPr>
          <w:rFonts w:ascii="Arial" w:eastAsia="SimSun" w:hAnsi="Arial" w:cs="Arial"/>
          <w:bCs/>
          <w:sz w:val="22"/>
          <w:szCs w:val="22"/>
          <w:lang w:val="fr-FR" w:eastAsia="en-US"/>
        </w:rPr>
        <w:t>,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une part,</w:t>
      </w:r>
      <w:r w:rsidRPr="001C722F">
        <w:rPr>
          <w:rFonts w:ascii="Arial" w:eastAsia="SimSun" w:hAnsi="Arial" w:cs="Arial"/>
          <w:bCs/>
          <w:sz w:val="22"/>
          <w:szCs w:val="22"/>
          <w:lang w:val="fr-FR" w:eastAsia="en-US"/>
        </w:rPr>
        <w:t xml:space="preserve"> partager leurs connaissances</w:t>
      </w:r>
      <w:r>
        <w:rPr>
          <w:rFonts w:ascii="Arial" w:eastAsia="SimSun" w:hAnsi="Arial" w:cs="Arial"/>
          <w:bCs/>
          <w:sz w:val="22"/>
          <w:szCs w:val="22"/>
          <w:lang w:val="fr-FR" w:eastAsia="en-US"/>
        </w:rPr>
        <w:t xml:space="preserve"> et </w:t>
      </w:r>
      <w:r w:rsidRPr="001C722F">
        <w:rPr>
          <w:rFonts w:ascii="Arial" w:eastAsia="SimSun" w:hAnsi="Arial" w:cs="Arial"/>
          <w:bCs/>
          <w:sz w:val="22"/>
          <w:szCs w:val="22"/>
          <w:lang w:val="fr-FR" w:eastAsia="en-US"/>
        </w:rPr>
        <w:t>sensibiliser</w:t>
      </w:r>
      <w:r>
        <w:rPr>
          <w:rFonts w:ascii="Arial" w:eastAsia="SimSun" w:hAnsi="Arial" w:cs="Arial"/>
          <w:bCs/>
          <w:sz w:val="22"/>
          <w:szCs w:val="22"/>
          <w:lang w:val="fr-FR" w:eastAsia="en-US"/>
        </w:rPr>
        <w:t>,</w:t>
      </w:r>
      <w:r w:rsidRPr="001C722F">
        <w:rPr>
          <w:rFonts w:ascii="Arial" w:eastAsia="SimSun" w:hAnsi="Arial" w:cs="Arial"/>
          <w:bCs/>
          <w:sz w:val="22"/>
          <w:szCs w:val="22"/>
          <w:lang w:val="fr-FR" w:eastAsia="en-US"/>
        </w:rPr>
        <w:t xml:space="preserve"> et</w:t>
      </w:r>
      <w:r>
        <w:rPr>
          <w:rFonts w:ascii="Arial" w:eastAsia="SimSun" w:hAnsi="Arial" w:cs="Arial"/>
          <w:bCs/>
          <w:sz w:val="22"/>
          <w:szCs w:val="22"/>
          <w:lang w:val="fr-FR" w:eastAsia="en-US"/>
        </w:rPr>
        <w:t>,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autre part,</w:t>
      </w:r>
      <w:r w:rsidRPr="001C722F">
        <w:rPr>
          <w:rFonts w:ascii="Arial" w:eastAsia="SimSun" w:hAnsi="Arial" w:cs="Arial"/>
          <w:bCs/>
          <w:sz w:val="22"/>
          <w:szCs w:val="22"/>
          <w:lang w:val="fr-FR" w:eastAsia="en-US"/>
        </w:rPr>
        <w:t xml:space="preserve"> renforcer leurs capacités à élaborer des plans et des politiques pour l</w:t>
      </w:r>
      <w:r w:rsidR="008E532B">
        <w:rPr>
          <w:rFonts w:ascii="Arial" w:eastAsia="SimSun" w:hAnsi="Arial" w:cs="Arial"/>
          <w:bCs/>
          <w:sz w:val="22"/>
          <w:szCs w:val="22"/>
          <w:lang w:val="fr-FR" w:eastAsia="en-US"/>
        </w:rPr>
        <w:t>’</w:t>
      </w:r>
      <w:r w:rsidRPr="001C722F">
        <w:rPr>
          <w:rFonts w:ascii="Arial" w:eastAsia="SimSun" w:hAnsi="Arial" w:cs="Arial"/>
          <w:bCs/>
          <w:sz w:val="22"/>
          <w:szCs w:val="22"/>
          <w:lang w:val="fr-FR" w:eastAsia="en-US"/>
        </w:rPr>
        <w:t xml:space="preserve">institutionnalisation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C722F">
        <w:rPr>
          <w:rFonts w:ascii="Arial" w:eastAsia="SimSun" w:hAnsi="Arial" w:cs="Arial"/>
          <w:bCs/>
          <w:sz w:val="22"/>
          <w:szCs w:val="22"/>
          <w:lang w:val="fr-FR" w:eastAsia="en-US"/>
        </w:rPr>
        <w:t xml:space="preserve">et la gestion de la réduction des risques de catastrophe. Au niveau international, cette initiative conjointe </w:t>
      </w:r>
      <w:r>
        <w:rPr>
          <w:rFonts w:ascii="Arial" w:eastAsia="SimSun" w:hAnsi="Arial" w:cs="Arial"/>
          <w:bCs/>
          <w:sz w:val="22"/>
          <w:szCs w:val="22"/>
          <w:lang w:val="fr-FR" w:eastAsia="en-US"/>
        </w:rPr>
        <w:t>ouvrait</w:t>
      </w:r>
      <w:r w:rsidRPr="001C722F">
        <w:rPr>
          <w:rFonts w:ascii="Arial" w:eastAsia="SimSun" w:hAnsi="Arial" w:cs="Arial"/>
          <w:bCs/>
          <w:sz w:val="22"/>
          <w:szCs w:val="22"/>
          <w:lang w:val="fr-FR" w:eastAsia="en-US"/>
        </w:rPr>
        <w:t xml:space="preserve"> la voie à la collaboration entre les bureaux régionaux de l</w:t>
      </w:r>
      <w:r w:rsidR="008E532B">
        <w:rPr>
          <w:rFonts w:ascii="Arial" w:eastAsia="SimSun" w:hAnsi="Arial" w:cs="Arial"/>
          <w:bCs/>
          <w:sz w:val="22"/>
          <w:szCs w:val="22"/>
          <w:lang w:val="fr-FR" w:eastAsia="en-US"/>
        </w:rPr>
        <w:t>’</w:t>
      </w:r>
      <w:r w:rsidRPr="001C722F">
        <w:rPr>
          <w:rFonts w:ascii="Arial" w:eastAsia="SimSun" w:hAnsi="Arial" w:cs="Arial"/>
          <w:bCs/>
          <w:sz w:val="22"/>
          <w:szCs w:val="22"/>
          <w:lang w:val="fr-FR" w:eastAsia="en-US"/>
        </w:rPr>
        <w:t xml:space="preserve">UNESCO et les pays qui bénéficient du partage des connaissances et des meilleures pratiques. On ne saurait trop insister sur le rôle des bureaux régionaux et des centres de catégorie 2 pour que le travail soit réussi, enrichissant et </w:t>
      </w:r>
      <w:r>
        <w:rPr>
          <w:rFonts w:ascii="Arial" w:eastAsia="SimSun" w:hAnsi="Arial" w:cs="Arial"/>
          <w:bCs/>
          <w:sz w:val="22"/>
          <w:szCs w:val="22"/>
          <w:lang w:val="fr-FR" w:eastAsia="en-US"/>
        </w:rPr>
        <w:t xml:space="preserve">intéressant </w:t>
      </w:r>
      <w:r w:rsidRPr="001C722F">
        <w:rPr>
          <w:rFonts w:ascii="Arial" w:eastAsia="SimSun" w:hAnsi="Arial" w:cs="Arial"/>
          <w:bCs/>
          <w:sz w:val="22"/>
          <w:szCs w:val="22"/>
          <w:lang w:val="fr-FR" w:eastAsia="en-US"/>
        </w:rPr>
        <w:t xml:space="preserve">au niveau </w:t>
      </w:r>
      <w:r>
        <w:rPr>
          <w:rFonts w:ascii="Arial" w:eastAsia="SimSun" w:hAnsi="Arial" w:cs="Arial"/>
          <w:bCs/>
          <w:sz w:val="22"/>
          <w:szCs w:val="22"/>
          <w:lang w:val="fr-FR" w:eastAsia="en-US"/>
        </w:rPr>
        <w:t>local</w:t>
      </w:r>
      <w:r w:rsidRPr="001C722F">
        <w:rPr>
          <w:rFonts w:ascii="Arial" w:eastAsia="SimSun" w:hAnsi="Arial" w:cs="Arial"/>
          <w:bCs/>
          <w:sz w:val="22"/>
          <w:szCs w:val="22"/>
          <w:lang w:val="fr-FR" w:eastAsia="en-US"/>
        </w:rPr>
        <w:t>. La délégation attend</w:t>
      </w:r>
      <w:r>
        <w:rPr>
          <w:rFonts w:ascii="Arial" w:eastAsia="SimSun" w:hAnsi="Arial" w:cs="Arial"/>
          <w:bCs/>
          <w:sz w:val="22"/>
          <w:szCs w:val="22"/>
          <w:lang w:val="fr-FR" w:eastAsia="en-US"/>
        </w:rPr>
        <w:t>ait</w:t>
      </w:r>
      <w:r w:rsidRPr="001C722F">
        <w:rPr>
          <w:rFonts w:ascii="Arial" w:eastAsia="SimSun" w:hAnsi="Arial" w:cs="Arial"/>
          <w:bCs/>
          <w:sz w:val="22"/>
          <w:szCs w:val="22"/>
          <w:lang w:val="fr-FR" w:eastAsia="en-US"/>
        </w:rPr>
        <w:t xml:space="preserve"> avec impatience la poursuite et la reproduction de ces initiatives efficaces</w:t>
      </w:r>
      <w:r>
        <w:rPr>
          <w:rFonts w:ascii="Arial" w:eastAsia="SimSun" w:hAnsi="Arial" w:cs="Arial"/>
          <w:bCs/>
          <w:sz w:val="22"/>
          <w:szCs w:val="22"/>
          <w:lang w:val="fr-FR" w:eastAsia="en-US"/>
        </w:rPr>
        <w:t>,</w:t>
      </w:r>
      <w:r w:rsidRPr="001C722F">
        <w:rPr>
          <w:rFonts w:ascii="Arial" w:eastAsia="SimSun" w:hAnsi="Arial" w:cs="Arial"/>
          <w:bCs/>
          <w:sz w:val="22"/>
          <w:szCs w:val="22"/>
          <w:lang w:val="fr-FR" w:eastAsia="en-US"/>
        </w:rPr>
        <w:t xml:space="preserve"> mises en œuvre et facilitées par le Secrétariat</w:t>
      </w:r>
      <w:r>
        <w:rPr>
          <w:rFonts w:ascii="Arial" w:eastAsia="SimSun" w:hAnsi="Arial" w:cs="Arial"/>
          <w:bCs/>
          <w:sz w:val="22"/>
          <w:szCs w:val="22"/>
          <w:lang w:val="fr-FR" w:eastAsia="en-US"/>
        </w:rPr>
        <w:t>,</w:t>
      </w:r>
      <w:r w:rsidRPr="001C722F">
        <w:rPr>
          <w:rFonts w:ascii="Arial" w:eastAsia="SimSun" w:hAnsi="Arial" w:cs="Arial"/>
          <w:bCs/>
          <w:sz w:val="22"/>
          <w:szCs w:val="22"/>
          <w:lang w:val="fr-FR" w:eastAsia="en-US"/>
        </w:rPr>
        <w:t xml:space="preserve"> au profit des États parties</w:t>
      </w:r>
      <w:r>
        <w:rPr>
          <w:rFonts w:ascii="Arial" w:eastAsia="SimSun" w:hAnsi="Arial" w:cs="Arial"/>
          <w:bCs/>
          <w:sz w:val="22"/>
          <w:szCs w:val="22"/>
          <w:lang w:val="fr-FR" w:eastAsia="en-US"/>
        </w:rPr>
        <w:t>,</w:t>
      </w:r>
      <w:r w:rsidRPr="001C722F">
        <w:rPr>
          <w:rFonts w:ascii="Arial" w:eastAsia="SimSun" w:hAnsi="Arial" w:cs="Arial"/>
          <w:bCs/>
          <w:sz w:val="22"/>
          <w:szCs w:val="22"/>
          <w:lang w:val="fr-FR" w:eastAsia="en-US"/>
        </w:rPr>
        <w:t xml:space="preserve"> pour la sauvegarde à long terme du patrimoine vivant </w:t>
      </w:r>
      <w:r>
        <w:rPr>
          <w:rFonts w:ascii="Arial" w:eastAsia="SimSun" w:hAnsi="Arial" w:cs="Arial"/>
          <w:bCs/>
          <w:sz w:val="22"/>
          <w:szCs w:val="22"/>
          <w:lang w:val="fr-FR" w:eastAsia="en-US"/>
        </w:rPr>
        <w:t xml:space="preserve">et </w:t>
      </w:r>
      <w:r w:rsidRPr="001C722F">
        <w:rPr>
          <w:rFonts w:ascii="Arial" w:eastAsia="SimSun" w:hAnsi="Arial" w:cs="Arial"/>
          <w:bCs/>
          <w:sz w:val="22"/>
          <w:szCs w:val="22"/>
          <w:lang w:val="fr-FR" w:eastAsia="en-US"/>
        </w:rPr>
        <w:t>diversifié de l</w:t>
      </w:r>
      <w:r w:rsidR="008E532B">
        <w:rPr>
          <w:rFonts w:ascii="Arial" w:eastAsia="SimSun" w:hAnsi="Arial" w:cs="Arial"/>
          <w:bCs/>
          <w:sz w:val="22"/>
          <w:szCs w:val="22"/>
          <w:lang w:val="fr-FR" w:eastAsia="en-US"/>
        </w:rPr>
        <w:t>’</w:t>
      </w:r>
      <w:r w:rsidRPr="001C722F">
        <w:rPr>
          <w:rFonts w:ascii="Arial" w:eastAsia="SimSun" w:hAnsi="Arial" w:cs="Arial"/>
          <w:bCs/>
          <w:sz w:val="22"/>
          <w:szCs w:val="22"/>
          <w:lang w:val="fr-FR" w:eastAsia="en-US"/>
        </w:rPr>
        <w:t>humanité.</w:t>
      </w:r>
    </w:p>
    <w:p w14:paraId="49A414C8" w14:textId="55459031" w:rsidR="00D9653F" w:rsidRPr="00D000EB"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D000EB">
        <w:rPr>
          <w:rFonts w:ascii="Arial" w:eastAsia="SimSun" w:hAnsi="Arial" w:cs="Arial"/>
          <w:bCs/>
          <w:sz w:val="22"/>
          <w:szCs w:val="22"/>
          <w:lang w:val="fr-FR" w:eastAsia="en-US"/>
        </w:rPr>
        <w:t xml:space="preserve">La délégation du </w:t>
      </w:r>
      <w:r w:rsidRPr="00D000EB">
        <w:rPr>
          <w:rFonts w:ascii="Arial" w:eastAsia="SimSun" w:hAnsi="Arial" w:cs="Arial"/>
          <w:b/>
          <w:sz w:val="22"/>
          <w:szCs w:val="22"/>
          <w:lang w:val="fr-FR" w:eastAsia="en-US"/>
        </w:rPr>
        <w:t>Kenya</w:t>
      </w:r>
      <w:r w:rsidRPr="00D000EB">
        <w:rPr>
          <w:rFonts w:ascii="Arial" w:eastAsia="SimSun" w:hAnsi="Arial" w:cs="Arial"/>
          <w:bCs/>
          <w:sz w:val="22"/>
          <w:szCs w:val="22"/>
          <w:lang w:val="fr-FR" w:eastAsia="en-US"/>
        </w:rPr>
        <w:t xml:space="preserve"> a félicité la Présidente, les Vice-</w:t>
      </w:r>
      <w:r>
        <w:rPr>
          <w:rFonts w:ascii="Arial" w:eastAsia="SimSun" w:hAnsi="Arial" w:cs="Arial"/>
          <w:bCs/>
          <w:sz w:val="22"/>
          <w:szCs w:val="22"/>
          <w:lang w:val="fr-FR" w:eastAsia="en-US"/>
        </w:rPr>
        <w:t>P</w:t>
      </w:r>
      <w:r w:rsidRPr="00D000EB">
        <w:rPr>
          <w:rFonts w:ascii="Arial" w:eastAsia="SimSun" w:hAnsi="Arial" w:cs="Arial"/>
          <w:bCs/>
          <w:sz w:val="22"/>
          <w:szCs w:val="22"/>
          <w:lang w:val="fr-FR" w:eastAsia="en-US"/>
        </w:rPr>
        <w:t>résident</w:t>
      </w:r>
      <w:r>
        <w:rPr>
          <w:rFonts w:ascii="Arial" w:eastAsia="SimSun" w:hAnsi="Arial" w:cs="Arial"/>
          <w:bCs/>
          <w:sz w:val="22"/>
          <w:szCs w:val="22"/>
          <w:lang w:val="fr-FR" w:eastAsia="en-US"/>
        </w:rPr>
        <w:t>(e)</w:t>
      </w:r>
      <w:r w:rsidRPr="00D000EB">
        <w:rPr>
          <w:rFonts w:ascii="Arial" w:eastAsia="SimSun" w:hAnsi="Arial" w:cs="Arial"/>
          <w:bCs/>
          <w:sz w:val="22"/>
          <w:szCs w:val="22"/>
          <w:lang w:val="fr-FR" w:eastAsia="en-US"/>
        </w:rPr>
        <w:t>s et le Rapporteur, ainsi que la Somalie et l</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Angola</w:t>
      </w:r>
      <w:r>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 xml:space="preserve">avoir rejoint la communauté internationale en ratifiant la Convention. </w:t>
      </w:r>
      <w:r>
        <w:rPr>
          <w:rFonts w:ascii="Arial" w:eastAsia="SimSun" w:hAnsi="Arial" w:cs="Arial"/>
          <w:bCs/>
          <w:sz w:val="22"/>
          <w:szCs w:val="22"/>
          <w:lang w:val="fr-FR" w:eastAsia="en-US"/>
        </w:rPr>
        <w:t xml:space="preserve">Elle pensait </w:t>
      </w:r>
      <w:r w:rsidRPr="00D000EB">
        <w:rPr>
          <w:rFonts w:ascii="Arial" w:eastAsia="SimSun" w:hAnsi="Arial" w:cs="Arial"/>
          <w:bCs/>
          <w:sz w:val="22"/>
          <w:szCs w:val="22"/>
          <w:lang w:val="fr-FR" w:eastAsia="en-US"/>
        </w:rPr>
        <w:t>que la coopération et le partenariat permettr</w:t>
      </w:r>
      <w:r>
        <w:rPr>
          <w:rFonts w:ascii="Arial" w:eastAsia="SimSun" w:hAnsi="Arial" w:cs="Arial"/>
          <w:bCs/>
          <w:sz w:val="22"/>
          <w:szCs w:val="22"/>
          <w:lang w:val="fr-FR" w:eastAsia="en-US"/>
        </w:rPr>
        <w:t>aie</w:t>
      </w:r>
      <w:r w:rsidRPr="00D000EB">
        <w:rPr>
          <w:rFonts w:ascii="Arial" w:eastAsia="SimSun" w:hAnsi="Arial" w:cs="Arial"/>
          <w:bCs/>
          <w:sz w:val="22"/>
          <w:szCs w:val="22"/>
          <w:lang w:val="fr-FR" w:eastAsia="en-US"/>
        </w:rPr>
        <w:t xml:space="preserve">nt de mieux sauvegarder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D000EB">
        <w:rPr>
          <w:rFonts w:ascii="Arial" w:eastAsia="SimSun" w:hAnsi="Arial" w:cs="Arial"/>
          <w:bCs/>
          <w:sz w:val="22"/>
          <w:szCs w:val="22"/>
          <w:lang w:val="fr-FR" w:eastAsia="en-US"/>
        </w:rPr>
        <w:t>de tous les peuples. Le Kenya a</w:t>
      </w:r>
      <w:r>
        <w:rPr>
          <w:rFonts w:ascii="Arial" w:eastAsia="SimSun" w:hAnsi="Arial" w:cs="Arial"/>
          <w:bCs/>
          <w:sz w:val="22"/>
          <w:szCs w:val="22"/>
          <w:lang w:val="fr-FR" w:eastAsia="en-US"/>
        </w:rPr>
        <w:t>vait</w:t>
      </w:r>
      <w:r w:rsidRPr="00D000EB">
        <w:rPr>
          <w:rFonts w:ascii="Arial" w:eastAsia="SimSun" w:hAnsi="Arial" w:cs="Arial"/>
          <w:bCs/>
          <w:sz w:val="22"/>
          <w:szCs w:val="22"/>
          <w:lang w:val="fr-FR" w:eastAsia="en-US"/>
        </w:rPr>
        <w:t xml:space="preserve"> été et </w:t>
      </w:r>
      <w:r>
        <w:rPr>
          <w:rFonts w:ascii="Arial" w:eastAsia="SimSun" w:hAnsi="Arial" w:cs="Arial"/>
          <w:bCs/>
          <w:sz w:val="22"/>
          <w:szCs w:val="22"/>
          <w:lang w:val="fr-FR" w:eastAsia="en-US"/>
        </w:rPr>
        <w:t>continuait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être</w:t>
      </w:r>
      <w:r w:rsidRPr="00D000EB">
        <w:rPr>
          <w:rFonts w:ascii="Arial" w:eastAsia="SimSun" w:hAnsi="Arial" w:cs="Arial"/>
          <w:bCs/>
          <w:sz w:val="22"/>
          <w:szCs w:val="22"/>
          <w:lang w:val="fr-FR" w:eastAsia="en-US"/>
        </w:rPr>
        <w:t xml:space="preserve"> un partisan actif de la Convention, comme en témoign</w:t>
      </w:r>
      <w:r>
        <w:rPr>
          <w:rFonts w:ascii="Arial" w:eastAsia="SimSun" w:hAnsi="Arial" w:cs="Arial"/>
          <w:bCs/>
          <w:sz w:val="22"/>
          <w:szCs w:val="22"/>
          <w:lang w:val="fr-FR" w:eastAsia="en-US"/>
        </w:rPr>
        <w:t>ait</w:t>
      </w:r>
      <w:r w:rsidRPr="00D000EB">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 xml:space="preserve">inscription de quatre éléments sur les </w:t>
      </w:r>
      <w:r>
        <w:rPr>
          <w:rFonts w:ascii="Arial" w:eastAsia="SimSun" w:hAnsi="Arial" w:cs="Arial"/>
          <w:bCs/>
          <w:sz w:val="22"/>
          <w:szCs w:val="22"/>
          <w:lang w:val="fr-FR" w:eastAsia="en-US"/>
        </w:rPr>
        <w:t>l</w:t>
      </w:r>
      <w:r w:rsidRPr="00D000EB">
        <w:rPr>
          <w:rFonts w:ascii="Arial" w:eastAsia="SimSun" w:hAnsi="Arial" w:cs="Arial"/>
          <w:bCs/>
          <w:sz w:val="22"/>
          <w:szCs w:val="22"/>
          <w:lang w:val="fr-FR" w:eastAsia="en-US"/>
        </w:rPr>
        <w:t>istes, ainsi qu</w:t>
      </w:r>
      <w:r>
        <w:rPr>
          <w:rFonts w:ascii="Arial" w:eastAsia="SimSun" w:hAnsi="Arial" w:cs="Arial"/>
          <w:bCs/>
          <w:sz w:val="22"/>
          <w:szCs w:val="22"/>
          <w:lang w:val="fr-FR" w:eastAsia="en-US"/>
        </w:rPr>
        <w:t>e les efforts d</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inventaire</w:t>
      </w:r>
      <w:r>
        <w:rPr>
          <w:rFonts w:ascii="Arial" w:eastAsia="SimSun" w:hAnsi="Arial" w:cs="Arial"/>
          <w:bCs/>
          <w:sz w:val="22"/>
          <w:szCs w:val="22"/>
          <w:lang w:val="fr-FR" w:eastAsia="en-US"/>
        </w:rPr>
        <w:t xml:space="preserve">, </w:t>
      </w:r>
      <w:r w:rsidRPr="00D000EB">
        <w:rPr>
          <w:rFonts w:ascii="Arial" w:eastAsia="SimSun" w:hAnsi="Arial" w:cs="Arial"/>
          <w:bCs/>
          <w:sz w:val="22"/>
          <w:szCs w:val="22"/>
          <w:lang w:val="fr-FR" w:eastAsia="en-US"/>
        </w:rPr>
        <w:t>de gestion et de sensibilisation à son patrimoine culturel. Le Kenya a remercié l</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UNESCO pour la généreuse assistance internationale qu</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il a</w:t>
      </w:r>
      <w:r>
        <w:rPr>
          <w:rFonts w:ascii="Arial" w:eastAsia="SimSun" w:hAnsi="Arial" w:cs="Arial"/>
          <w:bCs/>
          <w:sz w:val="22"/>
          <w:szCs w:val="22"/>
          <w:lang w:val="fr-FR" w:eastAsia="en-US"/>
        </w:rPr>
        <w:t>vait</w:t>
      </w:r>
      <w:r w:rsidRPr="00D000EB">
        <w:rPr>
          <w:rFonts w:ascii="Arial" w:eastAsia="SimSun" w:hAnsi="Arial" w:cs="Arial"/>
          <w:bCs/>
          <w:sz w:val="22"/>
          <w:szCs w:val="22"/>
          <w:lang w:val="fr-FR" w:eastAsia="en-US"/>
        </w:rPr>
        <w:t xml:space="preserve"> reçue et utilisée dans</w:t>
      </w:r>
      <w:r>
        <w:rPr>
          <w:rFonts w:ascii="Arial" w:eastAsia="SimSun" w:hAnsi="Arial" w:cs="Arial"/>
          <w:bCs/>
          <w:sz w:val="22"/>
          <w:szCs w:val="22"/>
          <w:lang w:val="fr-FR" w:eastAsia="en-US"/>
        </w:rPr>
        <w:t xml:space="preserve"> le cadre</w:t>
      </w:r>
      <w:r w:rsidRPr="00D000EB">
        <w:rPr>
          <w:rFonts w:ascii="Arial" w:eastAsia="SimSun" w:hAnsi="Arial" w:cs="Arial"/>
          <w:bCs/>
          <w:sz w:val="22"/>
          <w:szCs w:val="22"/>
          <w:lang w:val="fr-FR" w:eastAsia="en-US"/>
        </w:rPr>
        <w:t xml:space="preserve"> de projets </w:t>
      </w:r>
      <w:r>
        <w:rPr>
          <w:rFonts w:ascii="Arial" w:eastAsia="SimSun" w:hAnsi="Arial" w:cs="Arial"/>
          <w:bCs/>
          <w:sz w:val="22"/>
          <w:szCs w:val="22"/>
          <w:lang w:val="fr-FR" w:eastAsia="en-US"/>
        </w:rPr>
        <w:t>de soutien au</w:t>
      </w:r>
      <w:r w:rsidRPr="00D000EB">
        <w:rPr>
          <w:rFonts w:ascii="Arial" w:eastAsia="SimSun" w:hAnsi="Arial" w:cs="Arial"/>
          <w:bCs/>
          <w:sz w:val="22"/>
          <w:szCs w:val="22"/>
          <w:lang w:val="fr-FR" w:eastAsia="en-US"/>
        </w:rPr>
        <w:t xml:space="preserv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D000EB">
        <w:rPr>
          <w:rFonts w:ascii="Arial" w:eastAsia="SimSun" w:hAnsi="Arial" w:cs="Arial"/>
          <w:bCs/>
          <w:sz w:val="22"/>
          <w:szCs w:val="22"/>
          <w:lang w:val="fr-FR" w:eastAsia="en-US"/>
        </w:rPr>
        <w:t xml:space="preserve">des communautés. Le Kenya </w:t>
      </w:r>
      <w:r>
        <w:rPr>
          <w:rFonts w:ascii="Arial" w:eastAsia="SimSun" w:hAnsi="Arial" w:cs="Arial"/>
          <w:bCs/>
          <w:sz w:val="22"/>
          <w:szCs w:val="22"/>
          <w:lang w:val="fr-FR" w:eastAsia="en-US"/>
        </w:rPr>
        <w:t xml:space="preserve">appréciait </w:t>
      </w:r>
      <w:r w:rsidRPr="00D000EB">
        <w:rPr>
          <w:rFonts w:ascii="Arial" w:eastAsia="SimSun" w:hAnsi="Arial" w:cs="Arial"/>
          <w:bCs/>
          <w:sz w:val="22"/>
          <w:szCs w:val="22"/>
          <w:lang w:val="fr-FR" w:eastAsia="en-US"/>
        </w:rPr>
        <w:t>également</w:t>
      </w:r>
      <w:r>
        <w:rPr>
          <w:rFonts w:ascii="Arial" w:eastAsia="SimSun" w:hAnsi="Arial" w:cs="Arial"/>
          <w:bCs/>
          <w:sz w:val="22"/>
          <w:szCs w:val="22"/>
          <w:lang w:val="fr-FR" w:eastAsia="en-US"/>
        </w:rPr>
        <w:t xml:space="preserve"> </w:t>
      </w:r>
      <w:r w:rsidRPr="00D000EB">
        <w:rPr>
          <w:rFonts w:ascii="Arial" w:eastAsia="SimSun" w:hAnsi="Arial" w:cs="Arial"/>
          <w:bCs/>
          <w:sz w:val="22"/>
          <w:szCs w:val="22"/>
          <w:lang w:val="fr-FR" w:eastAsia="en-US"/>
        </w:rPr>
        <w:t xml:space="preserve">le Secrétariat </w:t>
      </w:r>
      <w:r>
        <w:rPr>
          <w:rFonts w:ascii="Arial" w:eastAsia="SimSun" w:hAnsi="Arial" w:cs="Arial"/>
          <w:bCs/>
          <w:sz w:val="22"/>
          <w:szCs w:val="22"/>
          <w:lang w:val="fr-FR" w:eastAsia="en-US"/>
        </w:rPr>
        <w:t>qu</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il a félicité </w:t>
      </w:r>
      <w:r w:rsidRPr="00D000EB">
        <w:rPr>
          <w:rFonts w:ascii="Arial" w:eastAsia="SimSun" w:hAnsi="Arial" w:cs="Arial"/>
          <w:bCs/>
          <w:sz w:val="22"/>
          <w:szCs w:val="22"/>
          <w:lang w:val="fr-FR" w:eastAsia="en-US"/>
        </w:rPr>
        <w:t xml:space="preserve">pour son travail de pilotage de la mise en œuvre de la Convention pendant la pandémie. Le Kenya </w:t>
      </w:r>
      <w:r>
        <w:rPr>
          <w:rFonts w:ascii="Arial" w:eastAsia="SimSun" w:hAnsi="Arial" w:cs="Arial"/>
          <w:bCs/>
          <w:sz w:val="22"/>
          <w:szCs w:val="22"/>
          <w:lang w:val="fr-FR" w:eastAsia="en-US"/>
        </w:rPr>
        <w:t xml:space="preserve">était sensible au </w:t>
      </w:r>
      <w:r w:rsidRPr="00D000EB">
        <w:rPr>
          <w:rFonts w:ascii="Arial" w:eastAsia="SimSun" w:hAnsi="Arial" w:cs="Arial"/>
          <w:bCs/>
          <w:sz w:val="22"/>
          <w:szCs w:val="22"/>
          <w:lang w:val="fr-FR" w:eastAsia="en-US"/>
        </w:rPr>
        <w:t>lancement de l</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expérience en ligne sur le patrimoine vivant</w:t>
      </w:r>
      <w:r>
        <w:rPr>
          <w:rFonts w:ascii="Arial" w:eastAsia="SimSun" w:hAnsi="Arial" w:cs="Arial"/>
          <w:bCs/>
          <w:sz w:val="22"/>
          <w:szCs w:val="22"/>
          <w:lang w:val="fr-FR" w:eastAsia="en-US"/>
        </w:rPr>
        <w:t xml:space="preserve"> dont le </w:t>
      </w:r>
      <w:r w:rsidRPr="00D000EB">
        <w:rPr>
          <w:rFonts w:ascii="Arial" w:eastAsia="SimSun" w:hAnsi="Arial" w:cs="Arial"/>
          <w:bCs/>
          <w:sz w:val="22"/>
          <w:szCs w:val="22"/>
          <w:lang w:val="fr-FR" w:eastAsia="en-US"/>
        </w:rPr>
        <w:t xml:space="preserve">but </w:t>
      </w:r>
      <w:r>
        <w:rPr>
          <w:rFonts w:ascii="Arial" w:eastAsia="SimSun" w:hAnsi="Arial" w:cs="Arial"/>
          <w:bCs/>
          <w:sz w:val="22"/>
          <w:szCs w:val="22"/>
          <w:lang w:val="fr-FR" w:eastAsia="en-US"/>
        </w:rPr>
        <w:t xml:space="preserve">est </w:t>
      </w:r>
      <w:r w:rsidRPr="00D000EB">
        <w:rPr>
          <w:rFonts w:ascii="Arial" w:eastAsia="SimSun" w:hAnsi="Arial" w:cs="Arial"/>
          <w:bCs/>
          <w:sz w:val="22"/>
          <w:szCs w:val="22"/>
          <w:lang w:val="fr-FR" w:eastAsia="en-US"/>
        </w:rPr>
        <w:t>de recueillir les expériences des communautés sur l</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 xml:space="preserve">impact de la pandémie sur leur patrimoine vivant et </w:t>
      </w:r>
      <w:r>
        <w:rPr>
          <w:rFonts w:ascii="Arial" w:eastAsia="SimSun" w:hAnsi="Arial" w:cs="Arial"/>
          <w:bCs/>
          <w:sz w:val="22"/>
          <w:szCs w:val="22"/>
          <w:lang w:val="fr-FR" w:eastAsia="en-US"/>
        </w:rPr>
        <w:t xml:space="preserve">sur </w:t>
      </w:r>
      <w:r w:rsidRPr="00D000EB">
        <w:rPr>
          <w:rFonts w:ascii="Arial" w:eastAsia="SimSun" w:hAnsi="Arial" w:cs="Arial"/>
          <w:bCs/>
          <w:sz w:val="22"/>
          <w:szCs w:val="22"/>
          <w:lang w:val="fr-FR" w:eastAsia="en-US"/>
        </w:rPr>
        <w:t>leur rôle pour aider les communautés à faire face à la crise. Le Kenya a</w:t>
      </w:r>
      <w:r>
        <w:rPr>
          <w:rFonts w:ascii="Arial" w:eastAsia="SimSun" w:hAnsi="Arial" w:cs="Arial"/>
          <w:bCs/>
          <w:sz w:val="22"/>
          <w:szCs w:val="22"/>
          <w:lang w:val="fr-FR" w:eastAsia="en-US"/>
        </w:rPr>
        <w:t>vait</w:t>
      </w:r>
      <w:r w:rsidRPr="00D000EB">
        <w:rPr>
          <w:rFonts w:ascii="Arial" w:eastAsia="SimSun" w:hAnsi="Arial" w:cs="Arial"/>
          <w:bCs/>
          <w:sz w:val="22"/>
          <w:szCs w:val="22"/>
          <w:lang w:val="fr-FR" w:eastAsia="en-US"/>
        </w:rPr>
        <w:t xml:space="preserve"> en effet énormément profité des expériences partagées et a</w:t>
      </w:r>
      <w:r>
        <w:rPr>
          <w:rFonts w:ascii="Arial" w:eastAsia="SimSun" w:hAnsi="Arial" w:cs="Arial"/>
          <w:bCs/>
          <w:sz w:val="22"/>
          <w:szCs w:val="22"/>
          <w:lang w:val="fr-FR" w:eastAsia="en-US"/>
        </w:rPr>
        <w:t>vait</w:t>
      </w:r>
      <w:r w:rsidRPr="00D000EB">
        <w:rPr>
          <w:rFonts w:ascii="Arial" w:eastAsia="SimSun" w:hAnsi="Arial" w:cs="Arial"/>
          <w:bCs/>
          <w:sz w:val="22"/>
          <w:szCs w:val="22"/>
          <w:lang w:val="fr-FR" w:eastAsia="en-US"/>
        </w:rPr>
        <w:t xml:space="preserve"> pu</w:t>
      </w:r>
      <w:r>
        <w:rPr>
          <w:rFonts w:ascii="Arial" w:eastAsia="SimSun" w:hAnsi="Arial" w:cs="Arial"/>
          <w:bCs/>
          <w:sz w:val="22"/>
          <w:szCs w:val="22"/>
          <w:lang w:val="fr-FR" w:eastAsia="en-US"/>
        </w:rPr>
        <w:t xml:space="preserve">, </w:t>
      </w:r>
      <w:r w:rsidRPr="00D000EB">
        <w:rPr>
          <w:rFonts w:ascii="Arial" w:eastAsia="SimSun" w:hAnsi="Arial" w:cs="Arial"/>
          <w:bCs/>
          <w:sz w:val="22"/>
          <w:szCs w:val="22"/>
          <w:lang w:val="fr-FR" w:eastAsia="en-US"/>
        </w:rPr>
        <w:t>depuis</w:t>
      </w:r>
      <w:r>
        <w:rPr>
          <w:rFonts w:ascii="Arial" w:eastAsia="SimSun" w:hAnsi="Arial" w:cs="Arial"/>
          <w:bCs/>
          <w:sz w:val="22"/>
          <w:szCs w:val="22"/>
          <w:lang w:val="fr-FR" w:eastAsia="en-US"/>
        </w:rPr>
        <w:t xml:space="preserve"> lors,</w:t>
      </w:r>
      <w:r w:rsidRPr="00D000EB">
        <w:rPr>
          <w:rFonts w:ascii="Arial" w:eastAsia="SimSun" w:hAnsi="Arial" w:cs="Arial"/>
          <w:bCs/>
          <w:sz w:val="22"/>
          <w:szCs w:val="22"/>
          <w:lang w:val="fr-FR" w:eastAsia="en-US"/>
        </w:rPr>
        <w:t xml:space="preserve"> aider les communautés à s</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adapter à une voie plus durable et plus inclusive pour se remettre de la pandémie. Le Kenya a applaudi les efforts d</w:t>
      </w:r>
      <w:r>
        <w:rPr>
          <w:rFonts w:ascii="Arial" w:eastAsia="SimSun" w:hAnsi="Arial" w:cs="Arial"/>
          <w:bCs/>
          <w:sz w:val="22"/>
          <w:szCs w:val="22"/>
          <w:lang w:val="fr-FR" w:eastAsia="en-US"/>
        </w:rPr>
        <w:t>éployés par le</w:t>
      </w:r>
      <w:r w:rsidRPr="00D000EB">
        <w:rPr>
          <w:rFonts w:ascii="Arial" w:eastAsia="SimSun" w:hAnsi="Arial" w:cs="Arial"/>
          <w:bCs/>
          <w:sz w:val="22"/>
          <w:szCs w:val="22"/>
          <w:lang w:val="fr-FR" w:eastAsia="en-US"/>
        </w:rPr>
        <w:t xml:space="preserve"> Secrétariat pour sauvegarder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D000EB">
        <w:rPr>
          <w:rFonts w:ascii="Arial" w:eastAsia="SimSun" w:hAnsi="Arial" w:cs="Arial"/>
          <w:bCs/>
          <w:sz w:val="22"/>
          <w:szCs w:val="22"/>
          <w:lang w:val="fr-FR" w:eastAsia="en-US"/>
        </w:rPr>
        <w:t>dans les situations d</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urgence et l</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introduction d</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un processus de dialogue entre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O</w:t>
      </w:r>
      <w:r w:rsidRPr="00D000EB">
        <w:rPr>
          <w:rFonts w:ascii="Arial" w:eastAsia="SimSun" w:hAnsi="Arial" w:cs="Arial"/>
          <w:bCs/>
          <w:sz w:val="22"/>
          <w:szCs w:val="22"/>
          <w:lang w:val="fr-FR" w:eastAsia="en-US"/>
        </w:rPr>
        <w:t>rgane d</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évaluation et les États soumissionnaires dans le cadre du processus d</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évaluation, qui a</w:t>
      </w:r>
      <w:r>
        <w:rPr>
          <w:rFonts w:ascii="Arial" w:eastAsia="SimSun" w:hAnsi="Arial" w:cs="Arial"/>
          <w:bCs/>
          <w:sz w:val="22"/>
          <w:szCs w:val="22"/>
          <w:lang w:val="fr-FR" w:eastAsia="en-US"/>
        </w:rPr>
        <w:t>vait</w:t>
      </w:r>
      <w:r w:rsidRPr="00D000EB">
        <w:rPr>
          <w:rFonts w:ascii="Arial" w:eastAsia="SimSun" w:hAnsi="Arial" w:cs="Arial"/>
          <w:bCs/>
          <w:sz w:val="22"/>
          <w:szCs w:val="22"/>
          <w:lang w:val="fr-FR" w:eastAsia="en-US"/>
        </w:rPr>
        <w:t xml:space="preserve"> vu le plus grand nombre d</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éléments multinationaux</w:t>
      </w:r>
      <w:r>
        <w:rPr>
          <w:rFonts w:ascii="Arial" w:eastAsia="SimSun" w:hAnsi="Arial" w:cs="Arial"/>
          <w:bCs/>
          <w:sz w:val="22"/>
          <w:szCs w:val="22"/>
          <w:lang w:val="fr-FR" w:eastAsia="en-US"/>
        </w:rPr>
        <w:t xml:space="preserve"> </w:t>
      </w:r>
      <w:r w:rsidRPr="00D000EB">
        <w:rPr>
          <w:rFonts w:ascii="Arial" w:eastAsia="SimSun" w:hAnsi="Arial" w:cs="Arial"/>
          <w:bCs/>
          <w:sz w:val="22"/>
          <w:szCs w:val="22"/>
          <w:lang w:val="fr-FR" w:eastAsia="en-US"/>
        </w:rPr>
        <w:t>inscrits. Cela témoign</w:t>
      </w:r>
      <w:r>
        <w:rPr>
          <w:rFonts w:ascii="Arial" w:eastAsia="SimSun" w:hAnsi="Arial" w:cs="Arial"/>
          <w:bCs/>
          <w:sz w:val="22"/>
          <w:szCs w:val="22"/>
          <w:lang w:val="fr-FR" w:eastAsia="en-US"/>
        </w:rPr>
        <w:t>ait</w:t>
      </w:r>
      <w:r w:rsidRPr="00D000EB">
        <w:rPr>
          <w:rFonts w:ascii="Arial" w:eastAsia="SimSun" w:hAnsi="Arial" w:cs="Arial"/>
          <w:bCs/>
          <w:sz w:val="22"/>
          <w:szCs w:val="22"/>
          <w:lang w:val="fr-FR" w:eastAsia="en-US"/>
        </w:rPr>
        <w:t xml:space="preserve"> de la capacité du patrimoine vivant à rassembler les gens et à promouvoir la coopération internationale, ce qui a</w:t>
      </w:r>
      <w:r>
        <w:rPr>
          <w:rFonts w:ascii="Arial" w:eastAsia="SimSun" w:hAnsi="Arial" w:cs="Arial"/>
          <w:bCs/>
          <w:sz w:val="22"/>
          <w:szCs w:val="22"/>
          <w:lang w:val="fr-FR" w:eastAsia="en-US"/>
        </w:rPr>
        <w:t>vait</w:t>
      </w:r>
      <w:r w:rsidRPr="00D000EB">
        <w:rPr>
          <w:rFonts w:ascii="Arial" w:eastAsia="SimSun" w:hAnsi="Arial" w:cs="Arial"/>
          <w:bCs/>
          <w:sz w:val="22"/>
          <w:szCs w:val="22"/>
          <w:lang w:val="fr-FR" w:eastAsia="en-US"/>
        </w:rPr>
        <w:t xml:space="preserve"> été démontré par l</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inscription de la</w:t>
      </w:r>
      <w:r>
        <w:rPr>
          <w:rFonts w:ascii="Arial" w:eastAsia="SimSun" w:hAnsi="Arial" w:cs="Arial"/>
          <w:bCs/>
          <w:sz w:val="22"/>
          <w:szCs w:val="22"/>
          <w:lang w:val="fr-FR" w:eastAsia="en-US"/>
        </w:rPr>
        <w:t xml:space="preserve"> soupe au giraumon</w:t>
      </w:r>
      <w:r w:rsidRPr="00D000EB">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Haïti</w:t>
      </w:r>
      <w:r>
        <w:rPr>
          <w:rFonts w:ascii="Arial" w:eastAsia="SimSun" w:hAnsi="Arial" w:cs="Arial"/>
          <w:bCs/>
          <w:sz w:val="22"/>
          <w:szCs w:val="22"/>
          <w:lang w:val="fr-FR" w:eastAsia="en-US"/>
        </w:rPr>
        <w:t xml:space="preserve"> </w:t>
      </w:r>
      <w:r w:rsidRPr="00D000EB">
        <w:rPr>
          <w:rFonts w:ascii="Arial" w:eastAsia="SimSun" w:hAnsi="Arial" w:cs="Arial"/>
          <w:bCs/>
          <w:sz w:val="22"/>
          <w:szCs w:val="22"/>
          <w:lang w:val="fr-FR" w:eastAsia="en-US"/>
        </w:rPr>
        <w:t xml:space="preserve">sur une base exceptionnelle accélérée </w:t>
      </w:r>
      <w:proofErr w:type="gramStart"/>
      <w:r w:rsidRPr="00D000EB">
        <w:rPr>
          <w:rFonts w:ascii="Arial" w:eastAsia="SimSun" w:hAnsi="Arial" w:cs="Arial"/>
          <w:bCs/>
          <w:sz w:val="22"/>
          <w:szCs w:val="22"/>
          <w:lang w:val="fr-FR" w:eastAsia="en-US"/>
        </w:rPr>
        <w:t>suite à</w:t>
      </w:r>
      <w:proofErr w:type="gramEnd"/>
      <w:r w:rsidRPr="00D000EB">
        <w:rPr>
          <w:rFonts w:ascii="Arial" w:eastAsia="SimSun" w:hAnsi="Arial" w:cs="Arial"/>
          <w:bCs/>
          <w:sz w:val="22"/>
          <w:szCs w:val="22"/>
          <w:lang w:val="fr-FR" w:eastAsia="en-US"/>
        </w:rPr>
        <w:t xml:space="preserve"> la catastrophe naturelle qui a</w:t>
      </w:r>
      <w:r>
        <w:rPr>
          <w:rFonts w:ascii="Arial" w:eastAsia="SimSun" w:hAnsi="Arial" w:cs="Arial"/>
          <w:bCs/>
          <w:sz w:val="22"/>
          <w:szCs w:val="22"/>
          <w:lang w:val="fr-FR" w:eastAsia="en-US"/>
        </w:rPr>
        <w:t>vait</w:t>
      </w:r>
      <w:r w:rsidRPr="00D000EB">
        <w:rPr>
          <w:rFonts w:ascii="Arial" w:eastAsia="SimSun" w:hAnsi="Arial" w:cs="Arial"/>
          <w:bCs/>
          <w:sz w:val="22"/>
          <w:szCs w:val="22"/>
          <w:lang w:val="fr-FR" w:eastAsia="en-US"/>
        </w:rPr>
        <w:t xml:space="preserve"> frappé le pays. Il s</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agissait en effet d</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un pas dans la bonne direction alors que le monde cherch</w:t>
      </w:r>
      <w:r>
        <w:rPr>
          <w:rFonts w:ascii="Arial" w:eastAsia="SimSun" w:hAnsi="Arial" w:cs="Arial"/>
          <w:bCs/>
          <w:sz w:val="22"/>
          <w:szCs w:val="22"/>
          <w:lang w:val="fr-FR" w:eastAsia="en-US"/>
        </w:rPr>
        <w:t>e</w:t>
      </w:r>
      <w:r w:rsidRPr="00D000EB">
        <w:rPr>
          <w:rFonts w:ascii="Arial" w:eastAsia="SimSun" w:hAnsi="Arial" w:cs="Arial"/>
          <w:bCs/>
          <w:sz w:val="22"/>
          <w:szCs w:val="22"/>
          <w:lang w:val="fr-FR" w:eastAsia="en-US"/>
        </w:rPr>
        <w:t xml:space="preserve"> à sauvegarder tout son </w:t>
      </w:r>
      <w:r w:rsidR="0064242E">
        <w:rPr>
          <w:rFonts w:ascii="Arial" w:eastAsia="SimSun" w:hAnsi="Arial" w:cs="Arial"/>
          <w:bCs/>
          <w:sz w:val="22"/>
          <w:szCs w:val="22"/>
          <w:lang w:val="fr-FR" w:eastAsia="en-US"/>
        </w:rPr>
        <w:t>patrimoine culturel immatériel</w:t>
      </w:r>
      <w:r w:rsidRPr="00D000EB">
        <w:rPr>
          <w:rFonts w:ascii="Arial" w:eastAsia="SimSun" w:hAnsi="Arial" w:cs="Arial"/>
          <w:bCs/>
          <w:sz w:val="22"/>
          <w:szCs w:val="22"/>
          <w:lang w:val="fr-FR" w:eastAsia="en-US"/>
        </w:rPr>
        <w:t>, et en solidarité avec le peuple d</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 xml:space="preserve">Haïti. Le Kenya a salué toutes les réformes et transformations qui </w:t>
      </w:r>
      <w:r>
        <w:rPr>
          <w:rFonts w:ascii="Arial" w:eastAsia="SimSun" w:hAnsi="Arial" w:cs="Arial"/>
          <w:bCs/>
          <w:sz w:val="22"/>
          <w:szCs w:val="22"/>
          <w:lang w:val="fr-FR" w:eastAsia="en-US"/>
        </w:rPr>
        <w:t xml:space="preserve">avaient </w:t>
      </w:r>
      <w:r w:rsidRPr="00D000EB">
        <w:rPr>
          <w:rFonts w:ascii="Arial" w:eastAsia="SimSun" w:hAnsi="Arial" w:cs="Arial"/>
          <w:bCs/>
          <w:sz w:val="22"/>
          <w:szCs w:val="22"/>
          <w:lang w:val="fr-FR" w:eastAsia="en-US"/>
        </w:rPr>
        <w:t>considérablement renforcé le soutien de l</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Organisation aux États membres, aux partenaires et aux communautés. Il a noté que l</w:t>
      </w:r>
      <w:r>
        <w:rPr>
          <w:rFonts w:ascii="Arial" w:eastAsia="SimSun" w:hAnsi="Arial" w:cs="Arial"/>
          <w:bCs/>
          <w:sz w:val="22"/>
          <w:szCs w:val="22"/>
          <w:lang w:val="fr-FR" w:eastAsia="en-US"/>
        </w:rPr>
        <w:t xml:space="preserve">e </w:t>
      </w:r>
      <w:r w:rsidRPr="002B4858">
        <w:rPr>
          <w:rFonts w:ascii="Arial" w:eastAsia="SimSun" w:hAnsi="Arial" w:cs="Arial"/>
          <w:bCs/>
          <w:sz w:val="22"/>
          <w:szCs w:val="22"/>
          <w:lang w:val="fr-FR" w:eastAsia="en-US"/>
        </w:rPr>
        <w:t>développement</w:t>
      </w:r>
      <w:r w:rsidRPr="00D000EB">
        <w:rPr>
          <w:rFonts w:ascii="Arial" w:eastAsia="SimSun" w:hAnsi="Arial" w:cs="Arial"/>
          <w:bCs/>
          <w:sz w:val="22"/>
          <w:szCs w:val="22"/>
          <w:lang w:val="fr-FR" w:eastAsia="en-US"/>
        </w:rPr>
        <w:t xml:space="preserve"> de la Convention était un signe positif pour la sensibilisation accrue au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D000EB">
        <w:rPr>
          <w:rFonts w:ascii="Arial" w:eastAsia="SimSun" w:hAnsi="Arial" w:cs="Arial"/>
          <w:bCs/>
          <w:sz w:val="22"/>
          <w:szCs w:val="22"/>
          <w:lang w:val="fr-FR" w:eastAsia="en-US"/>
        </w:rPr>
        <w:t>dans différentes arènes</w:t>
      </w:r>
      <w:r>
        <w:rPr>
          <w:rFonts w:ascii="Arial" w:eastAsia="SimSun" w:hAnsi="Arial" w:cs="Arial"/>
          <w:bCs/>
          <w:sz w:val="22"/>
          <w:szCs w:val="22"/>
          <w:lang w:val="fr-FR" w:eastAsia="en-US"/>
        </w:rPr>
        <w:t xml:space="preserve">, </w:t>
      </w:r>
      <w:r w:rsidRPr="00D000EB">
        <w:rPr>
          <w:rFonts w:ascii="Arial" w:eastAsia="SimSun" w:hAnsi="Arial" w:cs="Arial"/>
          <w:bCs/>
          <w:sz w:val="22"/>
          <w:szCs w:val="22"/>
          <w:lang w:val="fr-FR" w:eastAsia="en-US"/>
        </w:rPr>
        <w:t>qui s</w:t>
      </w:r>
      <w:r>
        <w:rPr>
          <w:rFonts w:ascii="Arial" w:eastAsia="SimSun" w:hAnsi="Arial" w:cs="Arial"/>
          <w:bCs/>
          <w:sz w:val="22"/>
          <w:szCs w:val="22"/>
          <w:lang w:val="fr-FR" w:eastAsia="en-US"/>
        </w:rPr>
        <w:t>e traduisait</w:t>
      </w:r>
      <w:r w:rsidRPr="00D000EB">
        <w:rPr>
          <w:rFonts w:ascii="Arial" w:eastAsia="SimSun" w:hAnsi="Arial" w:cs="Arial"/>
          <w:bCs/>
          <w:sz w:val="22"/>
          <w:szCs w:val="22"/>
          <w:lang w:val="fr-FR" w:eastAsia="en-US"/>
        </w:rPr>
        <w:t xml:space="preserve"> par une demande accrue de soutien de l</w:t>
      </w:r>
      <w:r w:rsidR="008E532B">
        <w:rPr>
          <w:rFonts w:ascii="Arial" w:eastAsia="SimSun" w:hAnsi="Arial" w:cs="Arial"/>
          <w:bCs/>
          <w:sz w:val="22"/>
          <w:szCs w:val="22"/>
          <w:lang w:val="fr-FR" w:eastAsia="en-US"/>
        </w:rPr>
        <w:t>’</w:t>
      </w:r>
      <w:r w:rsidRPr="00D000EB">
        <w:rPr>
          <w:rFonts w:ascii="Arial" w:eastAsia="SimSun" w:hAnsi="Arial" w:cs="Arial"/>
          <w:bCs/>
          <w:sz w:val="22"/>
          <w:szCs w:val="22"/>
          <w:lang w:val="fr-FR" w:eastAsia="en-US"/>
        </w:rPr>
        <w:t>UNESCO aux États parties.</w:t>
      </w:r>
    </w:p>
    <w:p w14:paraId="36BE1E24" w14:textId="59CB40AF" w:rsidR="00D9653F" w:rsidRPr="002B4858"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2B4858">
        <w:rPr>
          <w:rFonts w:ascii="Arial" w:eastAsia="SimSun" w:hAnsi="Arial" w:cs="Arial"/>
          <w:bCs/>
          <w:sz w:val="22"/>
          <w:szCs w:val="22"/>
          <w:lang w:val="fr-FR" w:eastAsia="en-US"/>
        </w:rPr>
        <w:t xml:space="preserve">La délégation de la </w:t>
      </w:r>
      <w:r w:rsidRPr="002B4858">
        <w:rPr>
          <w:rFonts w:ascii="Arial" w:eastAsia="SimSun" w:hAnsi="Arial" w:cs="Arial"/>
          <w:b/>
          <w:sz w:val="22"/>
          <w:szCs w:val="22"/>
          <w:lang w:val="fr-FR" w:eastAsia="en-US"/>
        </w:rPr>
        <w:t>Grenade</w:t>
      </w:r>
      <w:r w:rsidRPr="002B4858">
        <w:rPr>
          <w:rFonts w:ascii="Arial" w:eastAsia="SimSun" w:hAnsi="Arial" w:cs="Arial"/>
          <w:bCs/>
          <w:sz w:val="22"/>
          <w:szCs w:val="22"/>
          <w:lang w:val="fr-FR" w:eastAsia="en-US"/>
        </w:rPr>
        <w:t xml:space="preserve"> a remercié le Sous-Directeur général pour le rapport et a félicité le Secrétariat d</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avoir assuré la poursuite de ses travaux malgré les difficultés posées par la pandémie. Elle a également félicité le Secrétariat pour son soutien continu aux efforts nationaux de sauvegarde par le biais du mécanisme d</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assistance internationale, avec une attention particulière accordée à l</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Afrique et aux PEID. Compte tenu de la diminution des demandes d</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 xml:space="preserve">assistance internationale en 2022, probablement liée à la pandémie, la délégation a félicité le Secrétariat </w:t>
      </w:r>
      <w:r>
        <w:rPr>
          <w:rFonts w:ascii="Arial" w:eastAsia="SimSun" w:hAnsi="Arial" w:cs="Arial"/>
          <w:bCs/>
          <w:sz w:val="22"/>
          <w:szCs w:val="22"/>
          <w:lang w:val="fr-FR" w:eastAsia="en-US"/>
        </w:rPr>
        <w:t xml:space="preserve">de </w:t>
      </w:r>
      <w:r w:rsidRPr="002B4858">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être attaché à identifier les difficultés rencontrées par les États et les communautés dans la préparation des demandes. À cet égard, elle appréci</w:t>
      </w:r>
      <w:r>
        <w:rPr>
          <w:rFonts w:ascii="Arial" w:eastAsia="SimSun" w:hAnsi="Arial" w:cs="Arial"/>
          <w:bCs/>
          <w:sz w:val="22"/>
          <w:szCs w:val="22"/>
          <w:lang w:val="fr-FR" w:eastAsia="en-US"/>
        </w:rPr>
        <w:t xml:space="preserve">ait le guide élaboré </w:t>
      </w:r>
      <w:r w:rsidRPr="002B4858">
        <w:rPr>
          <w:rFonts w:ascii="Arial" w:eastAsia="SimSun" w:hAnsi="Arial" w:cs="Arial"/>
          <w:bCs/>
          <w:sz w:val="22"/>
          <w:szCs w:val="22"/>
          <w:lang w:val="fr-FR" w:eastAsia="en-US"/>
        </w:rPr>
        <w:t>pour le mécanisme d</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 xml:space="preserve">assistance internationale. La délégation a noté et </w:t>
      </w:r>
      <w:r>
        <w:rPr>
          <w:rFonts w:ascii="Arial" w:eastAsia="SimSun" w:hAnsi="Arial" w:cs="Arial"/>
          <w:bCs/>
          <w:sz w:val="22"/>
          <w:szCs w:val="22"/>
          <w:lang w:val="fr-FR" w:eastAsia="en-US"/>
        </w:rPr>
        <w:t xml:space="preserve">a déclaré apprécier </w:t>
      </w:r>
      <w:r w:rsidRPr="002B4858">
        <w:rPr>
          <w:rFonts w:ascii="Arial" w:eastAsia="SimSun" w:hAnsi="Arial" w:cs="Arial"/>
          <w:bCs/>
          <w:sz w:val="22"/>
          <w:szCs w:val="22"/>
          <w:lang w:val="fr-FR" w:eastAsia="en-US"/>
        </w:rPr>
        <w:t xml:space="preserve">les interventions de renforcement des capacités qui </w:t>
      </w:r>
      <w:r>
        <w:rPr>
          <w:rFonts w:ascii="Arial" w:eastAsia="SimSun" w:hAnsi="Arial" w:cs="Arial"/>
          <w:bCs/>
          <w:sz w:val="22"/>
          <w:szCs w:val="22"/>
          <w:lang w:val="fr-FR" w:eastAsia="en-US"/>
        </w:rPr>
        <w:t>avaient</w:t>
      </w:r>
      <w:r w:rsidRPr="002B4858">
        <w:rPr>
          <w:rFonts w:ascii="Arial" w:eastAsia="SimSun" w:hAnsi="Arial" w:cs="Arial"/>
          <w:bCs/>
          <w:sz w:val="22"/>
          <w:szCs w:val="22"/>
          <w:lang w:val="fr-FR" w:eastAsia="en-US"/>
        </w:rPr>
        <w:t xml:space="preserve"> eu lieu dans 162 pays, notamment en Afrique et dans les PEID, qui nécessitent tous deux une attention particulière. Elle a encouragé le Secrétariat à poursuivre ses efforts dans ce domaine, notamment par le biais de cours de formation en ligne complets pour l</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établissement de rapports périodiques afin d</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accompagner les efforts nationaux en la matière et d</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 xml:space="preserve">améliorer ainsi le taux de soumission. En outre, pour les PEID, le changement climatique </w:t>
      </w:r>
      <w:r>
        <w:rPr>
          <w:rFonts w:ascii="Arial" w:eastAsia="SimSun" w:hAnsi="Arial" w:cs="Arial"/>
          <w:bCs/>
          <w:sz w:val="22"/>
          <w:szCs w:val="22"/>
          <w:lang w:val="fr-FR" w:eastAsia="en-US"/>
        </w:rPr>
        <w:t>était</w:t>
      </w:r>
      <w:r w:rsidRPr="002B4858">
        <w:rPr>
          <w:rFonts w:ascii="Arial" w:eastAsia="SimSun" w:hAnsi="Arial" w:cs="Arial"/>
          <w:bCs/>
          <w:sz w:val="22"/>
          <w:szCs w:val="22"/>
          <w:lang w:val="fr-FR" w:eastAsia="en-US"/>
        </w:rPr>
        <w:t xml:space="preserve"> une préoccupation urgente, y compris pour la sauvegarde du patrimoine vivant, qui mérit</w:t>
      </w:r>
      <w:r>
        <w:rPr>
          <w:rFonts w:ascii="Arial" w:eastAsia="SimSun" w:hAnsi="Arial" w:cs="Arial"/>
          <w:bCs/>
          <w:sz w:val="22"/>
          <w:szCs w:val="22"/>
          <w:lang w:val="fr-FR" w:eastAsia="en-US"/>
        </w:rPr>
        <w:t>e</w:t>
      </w:r>
      <w:r w:rsidRPr="002B4858">
        <w:rPr>
          <w:rFonts w:ascii="Arial" w:eastAsia="SimSun" w:hAnsi="Arial" w:cs="Arial"/>
          <w:bCs/>
          <w:sz w:val="22"/>
          <w:szCs w:val="22"/>
          <w:lang w:val="fr-FR" w:eastAsia="en-US"/>
        </w:rPr>
        <w:t xml:space="preserve"> une plus grande attention. S</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appuyant sur les enseignements tirés de l</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 xml:space="preserve">apprentissage en ligne pendant la pandémie, la délégation </w:t>
      </w:r>
      <w:r>
        <w:rPr>
          <w:rFonts w:ascii="Arial" w:eastAsia="SimSun" w:hAnsi="Arial" w:cs="Arial"/>
          <w:bCs/>
          <w:sz w:val="22"/>
          <w:szCs w:val="22"/>
          <w:lang w:val="fr-FR" w:eastAsia="en-US"/>
        </w:rPr>
        <w:t xml:space="preserve">était sensible à </w:t>
      </w:r>
      <w:r w:rsidRPr="002B4858">
        <w:rPr>
          <w:rFonts w:ascii="Arial" w:eastAsia="SimSun" w:hAnsi="Arial" w:cs="Arial"/>
          <w:bCs/>
          <w:sz w:val="22"/>
          <w:szCs w:val="22"/>
          <w:lang w:val="fr-FR" w:eastAsia="en-US"/>
        </w:rPr>
        <w:t>la réorientation stratégique du renforcement des capacités pour inclure des approches multimodales afin d</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élargir l</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accès et la prestation, notamment en util</w:t>
      </w:r>
      <w:r>
        <w:rPr>
          <w:rFonts w:ascii="Arial" w:eastAsia="SimSun" w:hAnsi="Arial" w:cs="Arial"/>
          <w:bCs/>
          <w:sz w:val="22"/>
          <w:szCs w:val="22"/>
          <w:lang w:val="fr-FR" w:eastAsia="en-US"/>
        </w:rPr>
        <w:t>isant</w:t>
      </w:r>
      <w:r w:rsidRPr="002B4858">
        <w:rPr>
          <w:rFonts w:ascii="Arial" w:eastAsia="SimSun" w:hAnsi="Arial" w:cs="Arial"/>
          <w:bCs/>
          <w:sz w:val="22"/>
          <w:szCs w:val="22"/>
          <w:lang w:val="fr-FR" w:eastAsia="en-US"/>
        </w:rPr>
        <w:t xml:space="preserve"> les nouvelles technologies et l</w:t>
      </w:r>
      <w:r>
        <w:rPr>
          <w:rFonts w:ascii="Arial" w:eastAsia="SimSun" w:hAnsi="Arial" w:cs="Arial"/>
          <w:bCs/>
          <w:sz w:val="22"/>
          <w:szCs w:val="22"/>
          <w:lang w:val="fr-FR" w:eastAsia="en-US"/>
        </w:rPr>
        <w:t>e</w:t>
      </w:r>
      <w:r w:rsidRPr="002B4858">
        <w:rPr>
          <w:rFonts w:ascii="Arial" w:eastAsia="SimSun" w:hAnsi="Arial" w:cs="Arial"/>
          <w:bCs/>
          <w:sz w:val="22"/>
          <w:szCs w:val="22"/>
          <w:lang w:val="fr-FR" w:eastAsia="en-US"/>
        </w:rPr>
        <w:t xml:space="preserve"> premier MOOC </w:t>
      </w:r>
      <w:r>
        <w:rPr>
          <w:rFonts w:ascii="Arial" w:eastAsia="SimSun" w:hAnsi="Arial" w:cs="Arial"/>
          <w:bCs/>
          <w:sz w:val="22"/>
          <w:szCs w:val="22"/>
          <w:lang w:val="fr-FR" w:eastAsia="en-US"/>
        </w:rPr>
        <w:t>consacré au</w:t>
      </w:r>
      <w:r w:rsidRPr="002B4858">
        <w:rPr>
          <w:rFonts w:ascii="Arial" w:eastAsia="SimSun" w:hAnsi="Arial" w:cs="Arial"/>
          <w:bCs/>
          <w:sz w:val="22"/>
          <w:szCs w:val="22"/>
          <w:lang w:val="fr-FR" w:eastAsia="en-US"/>
        </w:rPr>
        <w:t xml:space="preserv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2B4858">
        <w:rPr>
          <w:rFonts w:ascii="Arial" w:eastAsia="SimSun" w:hAnsi="Arial" w:cs="Arial"/>
          <w:bCs/>
          <w:sz w:val="22"/>
          <w:szCs w:val="22"/>
          <w:lang w:val="fr-FR" w:eastAsia="en-US"/>
        </w:rPr>
        <w:t xml:space="preserve">et </w:t>
      </w:r>
      <w:r>
        <w:rPr>
          <w:rFonts w:ascii="Arial" w:eastAsia="SimSun" w:hAnsi="Arial" w:cs="Arial"/>
          <w:bCs/>
          <w:sz w:val="22"/>
          <w:szCs w:val="22"/>
          <w:lang w:val="fr-FR" w:eastAsia="en-US"/>
        </w:rPr>
        <w:t>au</w:t>
      </w:r>
      <w:r w:rsidRPr="002B4858">
        <w:rPr>
          <w:rFonts w:ascii="Arial" w:eastAsia="SimSun" w:hAnsi="Arial" w:cs="Arial"/>
          <w:bCs/>
          <w:sz w:val="22"/>
          <w:szCs w:val="22"/>
          <w:lang w:val="fr-FR" w:eastAsia="en-US"/>
        </w:rPr>
        <w:t xml:space="preserve"> développement durable. Ces procédures pourraient et devraient être développées davantage et, à cet égard, la délégation a soutenu une éventuelle coopération avec le </w:t>
      </w:r>
      <w:r>
        <w:rPr>
          <w:rFonts w:ascii="Arial" w:eastAsia="SimSun" w:hAnsi="Arial" w:cs="Arial"/>
          <w:bCs/>
          <w:sz w:val="22"/>
          <w:szCs w:val="22"/>
          <w:lang w:val="fr-FR" w:eastAsia="en-US"/>
        </w:rPr>
        <w:t>S</w:t>
      </w:r>
      <w:r w:rsidRPr="002B4858">
        <w:rPr>
          <w:rFonts w:ascii="Arial" w:eastAsia="SimSun" w:hAnsi="Arial" w:cs="Arial"/>
          <w:bCs/>
          <w:sz w:val="22"/>
          <w:szCs w:val="22"/>
          <w:lang w:val="fr-FR" w:eastAsia="en-US"/>
        </w:rPr>
        <w:t>ecteur de la communication et de l</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information, encourageant la coopération avec d</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autres secteurs de programme de l</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UNESCO ayant des liens avec d</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autres conventions, tout en gardant leurs propres spécificités. Cela inclu</w:t>
      </w:r>
      <w:r>
        <w:rPr>
          <w:rFonts w:ascii="Arial" w:eastAsia="SimSun" w:hAnsi="Arial" w:cs="Arial"/>
          <w:bCs/>
          <w:sz w:val="22"/>
          <w:szCs w:val="22"/>
          <w:lang w:val="fr-FR" w:eastAsia="en-US"/>
        </w:rPr>
        <w:t>ai</w:t>
      </w:r>
      <w:r w:rsidRPr="002B4858">
        <w:rPr>
          <w:rFonts w:ascii="Arial" w:eastAsia="SimSun" w:hAnsi="Arial" w:cs="Arial"/>
          <w:bCs/>
          <w:sz w:val="22"/>
          <w:szCs w:val="22"/>
          <w:lang w:val="fr-FR" w:eastAsia="en-US"/>
        </w:rPr>
        <w:t xml:space="preserve">t la Convention du patrimoine mondial de 1972 où des projets opérationnels concrets pourraient être mis en œuvre sur le terrain, par exemple, en promouvant le patrimoine vivant et le tourisme culturel sur les sites du patrimoine mondial ou en </w:t>
      </w:r>
      <w:r>
        <w:rPr>
          <w:rFonts w:ascii="Arial" w:eastAsia="SimSun" w:hAnsi="Arial" w:cs="Arial"/>
          <w:bCs/>
          <w:sz w:val="22"/>
          <w:szCs w:val="22"/>
          <w:lang w:val="fr-FR" w:eastAsia="en-US"/>
        </w:rPr>
        <w:t>dressant l</w:t>
      </w:r>
      <w:r w:rsidR="008E532B">
        <w:rPr>
          <w:rFonts w:ascii="Arial" w:eastAsia="SimSun" w:hAnsi="Arial" w:cs="Arial"/>
          <w:bCs/>
          <w:sz w:val="22"/>
          <w:szCs w:val="22"/>
          <w:lang w:val="fr-FR" w:eastAsia="en-US"/>
        </w:rPr>
        <w:t>’</w:t>
      </w:r>
      <w:r w:rsidRPr="00FE7259">
        <w:rPr>
          <w:rFonts w:ascii="Arial" w:eastAsia="SimSun" w:hAnsi="Arial" w:cs="Arial"/>
          <w:bCs/>
          <w:sz w:val="22"/>
          <w:szCs w:val="22"/>
          <w:lang w:val="fr-FR" w:eastAsia="en-US"/>
        </w:rPr>
        <w:t>inventaire</w:t>
      </w:r>
      <w:r>
        <w:rPr>
          <w:rFonts w:ascii="Arial" w:eastAsia="SimSun" w:hAnsi="Arial" w:cs="Arial"/>
          <w:bCs/>
          <w:sz w:val="22"/>
          <w:szCs w:val="22"/>
          <w:lang w:val="fr-FR" w:eastAsia="en-US"/>
        </w:rPr>
        <w:t xml:space="preserve"> du</w:t>
      </w:r>
      <w:r w:rsidRPr="002B4858">
        <w:rPr>
          <w:rFonts w:ascii="Arial" w:eastAsia="SimSun" w:hAnsi="Arial" w:cs="Arial"/>
          <w:bCs/>
          <w:sz w:val="22"/>
          <w:szCs w:val="22"/>
          <w:lang w:val="fr-FR" w:eastAsia="en-US"/>
        </w:rPr>
        <w:t xml:space="preserv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2B4858">
        <w:rPr>
          <w:rFonts w:ascii="Arial" w:eastAsia="SimSun" w:hAnsi="Arial" w:cs="Arial"/>
          <w:bCs/>
          <w:sz w:val="22"/>
          <w:szCs w:val="22"/>
          <w:lang w:val="fr-FR" w:eastAsia="en-US"/>
        </w:rPr>
        <w:t>dans les contextes urbains. La délégation a</w:t>
      </w:r>
      <w:r>
        <w:rPr>
          <w:rFonts w:ascii="Arial" w:eastAsia="SimSun" w:hAnsi="Arial" w:cs="Arial"/>
          <w:bCs/>
          <w:sz w:val="22"/>
          <w:szCs w:val="22"/>
          <w:lang w:val="fr-FR" w:eastAsia="en-US"/>
        </w:rPr>
        <w:t>ppréciait</w:t>
      </w:r>
      <w:r w:rsidRPr="002B4858">
        <w:rPr>
          <w:rFonts w:ascii="Arial" w:eastAsia="SimSun" w:hAnsi="Arial" w:cs="Arial"/>
          <w:bCs/>
          <w:sz w:val="22"/>
          <w:szCs w:val="22"/>
          <w:lang w:val="fr-FR" w:eastAsia="en-US"/>
        </w:rPr>
        <w:t xml:space="preserve"> également la collaboration avec les centres de catégorie 2, les chaires UNESCO, les ONG et les universités qui devrait être renforcée. Elle a félicité le Secrétariat pour son soutien au groupe de travail à composition non limitée et à la réflexion globale sur les mécanismes d</w:t>
      </w:r>
      <w:r w:rsidR="008E532B">
        <w:rPr>
          <w:rFonts w:ascii="Arial" w:eastAsia="SimSun" w:hAnsi="Arial" w:cs="Arial"/>
          <w:bCs/>
          <w:sz w:val="22"/>
          <w:szCs w:val="22"/>
          <w:lang w:val="fr-FR" w:eastAsia="en-US"/>
        </w:rPr>
        <w:t>’</w:t>
      </w:r>
      <w:r w:rsidRPr="002B4858">
        <w:rPr>
          <w:rFonts w:ascii="Arial" w:eastAsia="SimSun" w:hAnsi="Arial" w:cs="Arial"/>
          <w:bCs/>
          <w:sz w:val="22"/>
          <w:szCs w:val="22"/>
          <w:lang w:val="fr-FR" w:eastAsia="en-US"/>
        </w:rPr>
        <w:t>inscription.</w:t>
      </w:r>
    </w:p>
    <w:p w14:paraId="36970A9E" w14:textId="77777777" w:rsidR="00D9653F" w:rsidRPr="001A2FCB" w:rsidRDefault="00D9653F" w:rsidP="00D9653F">
      <w:pPr>
        <w:numPr>
          <w:ilvl w:val="0"/>
          <w:numId w:val="19"/>
        </w:numPr>
        <w:suppressAutoHyphens/>
        <w:autoSpaceDE w:val="0"/>
        <w:spacing w:before="120"/>
        <w:ind w:left="567" w:hanging="567"/>
        <w:jc w:val="both"/>
        <w:rPr>
          <w:rFonts w:ascii="Arial" w:eastAsia="SimSun" w:hAnsi="Arial" w:cs="Arial"/>
          <w:b/>
          <w:sz w:val="22"/>
          <w:szCs w:val="22"/>
          <w:lang w:val="fr-FR" w:eastAsia="en-US"/>
        </w:rPr>
      </w:pPr>
      <w:r w:rsidRPr="001A2FCB">
        <w:rPr>
          <w:rFonts w:ascii="Arial" w:eastAsia="SimSun" w:hAnsi="Arial" w:cs="Arial"/>
          <w:bCs/>
          <w:sz w:val="22"/>
          <w:szCs w:val="22"/>
          <w:lang w:val="fr-FR" w:eastAsia="en-US"/>
        </w:rPr>
        <w:t>La</w:t>
      </w:r>
      <w:r>
        <w:rPr>
          <w:rFonts w:ascii="Arial" w:eastAsia="SimSun" w:hAnsi="Arial" w:cs="Arial"/>
          <w:b/>
          <w:sz w:val="22"/>
          <w:szCs w:val="22"/>
          <w:lang w:val="fr-FR" w:eastAsia="en-US"/>
        </w:rPr>
        <w:t xml:space="preserve"> Présidente </w:t>
      </w:r>
      <w:r>
        <w:rPr>
          <w:rFonts w:ascii="Arial" w:eastAsia="SimSun" w:hAnsi="Arial" w:cs="Arial"/>
          <w:bCs/>
          <w:sz w:val="22"/>
          <w:szCs w:val="22"/>
          <w:lang w:val="fr-FR" w:eastAsia="en-US"/>
        </w:rPr>
        <w:t>a demandé une courte pause avant de passer aux prochains orateurs.</w:t>
      </w:r>
    </w:p>
    <w:p w14:paraId="5B7F2A6F" w14:textId="72B8ED78" w:rsidR="00D9653F" w:rsidRPr="009B1C66"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CF7A16">
        <w:rPr>
          <w:rFonts w:ascii="Arial" w:eastAsia="SimSun" w:hAnsi="Arial" w:cs="Arial"/>
          <w:bCs/>
          <w:sz w:val="22"/>
          <w:szCs w:val="22"/>
          <w:lang w:val="fr-FR" w:eastAsia="en-US"/>
        </w:rPr>
        <w:t>La délégation</w:t>
      </w:r>
      <w:r>
        <w:rPr>
          <w:rFonts w:ascii="Arial" w:eastAsia="SimSun" w:hAnsi="Arial" w:cs="Arial"/>
          <w:bCs/>
          <w:sz w:val="22"/>
          <w:szCs w:val="22"/>
          <w:lang w:val="fr-FR" w:eastAsia="en-US"/>
        </w:rPr>
        <w:t xml:space="preserve"> de l</w:t>
      </w:r>
      <w:r w:rsidR="008E532B">
        <w:rPr>
          <w:rFonts w:ascii="Arial" w:eastAsia="SimSun" w:hAnsi="Arial" w:cs="Arial"/>
          <w:bCs/>
          <w:sz w:val="22"/>
          <w:szCs w:val="22"/>
          <w:lang w:val="fr-FR" w:eastAsia="en-US"/>
        </w:rPr>
        <w:t>’</w:t>
      </w:r>
      <w:r w:rsidRPr="00CF7A16">
        <w:rPr>
          <w:rFonts w:ascii="Arial" w:eastAsia="SimSun" w:hAnsi="Arial" w:cs="Arial"/>
          <w:b/>
          <w:sz w:val="22"/>
          <w:szCs w:val="22"/>
          <w:lang w:val="fr-FR" w:eastAsia="en-US"/>
        </w:rPr>
        <w:t>Éthiopie</w:t>
      </w:r>
      <w:r>
        <w:rPr>
          <w:rFonts w:ascii="Arial" w:eastAsia="SimSun" w:hAnsi="Arial" w:cs="Arial"/>
          <w:bCs/>
          <w:sz w:val="22"/>
          <w:szCs w:val="22"/>
          <w:lang w:val="fr-FR" w:eastAsia="en-US"/>
        </w:rPr>
        <w:t xml:space="preserve"> </w:t>
      </w:r>
      <w:r w:rsidRPr="00CF7A16">
        <w:rPr>
          <w:rFonts w:ascii="Arial" w:eastAsia="SimSun" w:hAnsi="Arial" w:cs="Arial"/>
          <w:bCs/>
          <w:sz w:val="22"/>
          <w:szCs w:val="22"/>
          <w:lang w:val="fr-FR" w:eastAsia="en-US"/>
        </w:rPr>
        <w:t>a remercié le Secrétariat pour le très bon rapport</w:t>
      </w:r>
      <w:r>
        <w:rPr>
          <w:rFonts w:ascii="Arial" w:eastAsia="SimSun" w:hAnsi="Arial" w:cs="Arial"/>
          <w:bCs/>
          <w:sz w:val="22"/>
          <w:szCs w:val="22"/>
          <w:lang w:val="fr-FR" w:eastAsia="en-US"/>
        </w:rPr>
        <w:t xml:space="preserve"> </w:t>
      </w:r>
      <w:r w:rsidRPr="00CF7A16">
        <w:rPr>
          <w:rFonts w:ascii="Arial" w:eastAsia="SimSun" w:hAnsi="Arial" w:cs="Arial"/>
          <w:bCs/>
          <w:sz w:val="22"/>
          <w:szCs w:val="22"/>
          <w:lang w:val="fr-FR" w:eastAsia="en-US"/>
        </w:rPr>
        <w:t>et</w:t>
      </w:r>
      <w:r>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avoir assuré la continuité du travail pendant la période difficile du COVID</w:t>
      </w:r>
      <w:r>
        <w:rPr>
          <w:rFonts w:ascii="Arial" w:eastAsia="SimSun" w:hAnsi="Arial" w:cs="Arial"/>
          <w:bCs/>
          <w:sz w:val="22"/>
          <w:szCs w:val="22"/>
          <w:lang w:val="fr-FR" w:eastAsia="en-US"/>
        </w:rPr>
        <w:noBreakHyphen/>
      </w:r>
      <w:r w:rsidRPr="00CF7A16">
        <w:rPr>
          <w:rFonts w:ascii="Arial" w:eastAsia="SimSun" w:hAnsi="Arial" w:cs="Arial"/>
          <w:bCs/>
          <w:sz w:val="22"/>
          <w:szCs w:val="22"/>
          <w:lang w:val="fr-FR" w:eastAsia="en-US"/>
        </w:rPr>
        <w:t xml:space="preserve">19. Le rapport </w:t>
      </w:r>
      <w:r>
        <w:rPr>
          <w:rFonts w:ascii="Arial" w:eastAsia="SimSun" w:hAnsi="Arial" w:cs="Arial"/>
          <w:bCs/>
          <w:sz w:val="22"/>
          <w:szCs w:val="22"/>
          <w:lang w:val="fr-FR" w:eastAsia="en-US"/>
        </w:rPr>
        <w:t xml:space="preserve">était exhaustif </w:t>
      </w:r>
      <w:r w:rsidRPr="00CF7A16">
        <w:rPr>
          <w:rFonts w:ascii="Arial" w:eastAsia="SimSun" w:hAnsi="Arial" w:cs="Arial"/>
          <w:bCs/>
          <w:sz w:val="22"/>
          <w:szCs w:val="22"/>
          <w:lang w:val="fr-FR" w:eastAsia="en-US"/>
        </w:rPr>
        <w:t xml:space="preserve">sur la gouvernance, la mise en œuvre des priorités opérationnelles et le renforcement des capacités, ainsi que sur les activités de communication et de sensibilisation. En ce qui concerne la gouvernance, la délégation </w:t>
      </w:r>
      <w:r>
        <w:rPr>
          <w:rFonts w:ascii="Arial" w:eastAsia="SimSun" w:hAnsi="Arial" w:cs="Arial"/>
          <w:bCs/>
          <w:sz w:val="22"/>
          <w:szCs w:val="22"/>
          <w:lang w:val="fr-FR" w:eastAsia="en-US"/>
        </w:rPr>
        <w:t xml:space="preserve">appréciait </w:t>
      </w:r>
      <w:r w:rsidRPr="00CF7A16">
        <w:rPr>
          <w:rFonts w:ascii="Arial" w:eastAsia="SimSun" w:hAnsi="Arial" w:cs="Arial"/>
          <w:bCs/>
          <w:sz w:val="22"/>
          <w:szCs w:val="22"/>
          <w:lang w:val="fr-FR" w:eastAsia="en-US"/>
        </w:rPr>
        <w:t>grandement le travail effectué sous la direction de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w:t>
      </w:r>
      <w:r w:rsidRPr="00CF7A16">
        <w:rPr>
          <w:rFonts w:ascii="Arial" w:eastAsia="SimSun" w:hAnsi="Arial" w:cs="Arial"/>
          <w:bCs/>
          <w:sz w:val="22"/>
          <w:szCs w:val="22"/>
          <w:lang w:val="fr-FR" w:eastAsia="en-US"/>
        </w:rPr>
        <w:t>mbassadeur du Japon au sein du groupe de travail à composition non limitée sur les mécanismes d</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inscription</w:t>
      </w:r>
      <w:r>
        <w:rPr>
          <w:rFonts w:ascii="Arial" w:eastAsia="SimSun" w:hAnsi="Arial" w:cs="Arial"/>
          <w:bCs/>
          <w:sz w:val="22"/>
          <w:szCs w:val="22"/>
          <w:lang w:val="fr-FR" w:eastAsia="en-US"/>
        </w:rPr>
        <w:t xml:space="preserve"> sur les listes</w:t>
      </w:r>
      <w:r w:rsidRPr="00CF7A16">
        <w:rPr>
          <w:rFonts w:ascii="Arial" w:eastAsia="SimSun" w:hAnsi="Arial" w:cs="Arial"/>
          <w:bCs/>
          <w:sz w:val="22"/>
          <w:szCs w:val="22"/>
          <w:lang w:val="fr-FR" w:eastAsia="en-US"/>
        </w:rPr>
        <w:t>. Elle souten</w:t>
      </w:r>
      <w:r>
        <w:rPr>
          <w:rFonts w:ascii="Arial" w:eastAsia="SimSun" w:hAnsi="Arial" w:cs="Arial"/>
          <w:bCs/>
          <w:sz w:val="22"/>
          <w:szCs w:val="22"/>
          <w:lang w:val="fr-FR" w:eastAsia="en-US"/>
        </w:rPr>
        <w:t>ait</w:t>
      </w:r>
      <w:r w:rsidRPr="00CF7A16">
        <w:rPr>
          <w:rFonts w:ascii="Arial" w:eastAsia="SimSun" w:hAnsi="Arial" w:cs="Arial"/>
          <w:bCs/>
          <w:sz w:val="22"/>
          <w:szCs w:val="22"/>
          <w:lang w:val="fr-FR" w:eastAsia="en-US"/>
        </w:rPr>
        <w:t xml:space="preserve"> la simplification des critères pour faciliter les inscriptions, surtout si cela condui</w:t>
      </w:r>
      <w:r>
        <w:rPr>
          <w:rFonts w:ascii="Arial" w:eastAsia="SimSun" w:hAnsi="Arial" w:cs="Arial"/>
          <w:bCs/>
          <w:sz w:val="22"/>
          <w:szCs w:val="22"/>
          <w:lang w:val="fr-FR" w:eastAsia="en-US"/>
        </w:rPr>
        <w:t>sait</w:t>
      </w:r>
      <w:r w:rsidRPr="00CF7A16">
        <w:rPr>
          <w:rFonts w:ascii="Arial" w:eastAsia="SimSun" w:hAnsi="Arial" w:cs="Arial"/>
          <w:bCs/>
          <w:sz w:val="22"/>
          <w:szCs w:val="22"/>
          <w:lang w:val="fr-FR" w:eastAsia="en-US"/>
        </w:rPr>
        <w:t xml:space="preserve"> à des listes plus inclusives et représentatives. La délégation appréci</w:t>
      </w:r>
      <w:r>
        <w:rPr>
          <w:rFonts w:ascii="Arial" w:eastAsia="SimSun" w:hAnsi="Arial" w:cs="Arial"/>
          <w:bCs/>
          <w:sz w:val="22"/>
          <w:szCs w:val="22"/>
          <w:lang w:val="fr-FR" w:eastAsia="en-US"/>
        </w:rPr>
        <w:t>ait</w:t>
      </w:r>
      <w:r w:rsidRPr="00CF7A16">
        <w:rPr>
          <w:rFonts w:ascii="Arial" w:eastAsia="SimSun" w:hAnsi="Arial" w:cs="Arial"/>
          <w:bCs/>
          <w:sz w:val="22"/>
          <w:szCs w:val="22"/>
          <w:lang w:val="fr-FR" w:eastAsia="en-US"/>
        </w:rPr>
        <w:t xml:space="preserve"> </w:t>
      </w:r>
      <w:r w:rsidRPr="003169F0">
        <w:rPr>
          <w:rFonts w:ascii="Arial" w:eastAsia="SimSun" w:hAnsi="Arial" w:cs="Arial"/>
          <w:bCs/>
          <w:color w:val="000000" w:themeColor="text1"/>
          <w:sz w:val="22"/>
          <w:szCs w:val="22"/>
          <w:lang w:val="fr-FR" w:eastAsia="en-US"/>
        </w:rPr>
        <w:t>également</w:t>
      </w:r>
      <w:r>
        <w:rPr>
          <w:rFonts w:ascii="Arial" w:eastAsia="SimSun" w:hAnsi="Arial" w:cs="Arial"/>
          <w:bCs/>
          <w:color w:val="000000" w:themeColor="text1"/>
          <w:sz w:val="22"/>
          <w:szCs w:val="22"/>
          <w:lang w:val="fr-FR" w:eastAsia="en-US"/>
        </w:rPr>
        <w:t xml:space="preserve"> </w:t>
      </w:r>
      <w:r w:rsidRPr="00CF7A16">
        <w:rPr>
          <w:rFonts w:ascii="Arial" w:eastAsia="SimSun" w:hAnsi="Arial" w:cs="Arial"/>
          <w:bCs/>
          <w:sz w:val="22"/>
          <w:szCs w:val="22"/>
          <w:lang w:val="fr-FR" w:eastAsia="en-US"/>
        </w:rPr>
        <w:t>le mécanisme d</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assistance internationale qui met</w:t>
      </w:r>
      <w:r>
        <w:rPr>
          <w:rFonts w:ascii="Arial" w:eastAsia="SimSun" w:hAnsi="Arial" w:cs="Arial"/>
          <w:bCs/>
          <w:sz w:val="22"/>
          <w:szCs w:val="22"/>
          <w:lang w:val="fr-FR" w:eastAsia="en-US"/>
        </w:rPr>
        <w:t xml:space="preserve">tait </w:t>
      </w:r>
      <w:r w:rsidRPr="00CF7A16">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accent sur l</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 xml:space="preserve">Afrique, avec huit nouveaux projets lancés pendant la période </w:t>
      </w:r>
      <w:r>
        <w:rPr>
          <w:rFonts w:ascii="Arial" w:eastAsia="SimSun" w:hAnsi="Arial" w:cs="Arial"/>
          <w:bCs/>
          <w:sz w:val="22"/>
          <w:szCs w:val="22"/>
          <w:lang w:val="fr-FR" w:eastAsia="en-US"/>
        </w:rPr>
        <w:t xml:space="preserve">concernée par le rapport </w:t>
      </w:r>
      <w:r w:rsidRPr="00CF7A16">
        <w:rPr>
          <w:rFonts w:ascii="Arial" w:eastAsia="SimSun" w:hAnsi="Arial" w:cs="Arial"/>
          <w:bCs/>
          <w:sz w:val="22"/>
          <w:szCs w:val="22"/>
          <w:lang w:val="fr-FR" w:eastAsia="en-US"/>
        </w:rPr>
        <w:t>et trente-trois pays africains ayant reçu un soutien en</w:t>
      </w:r>
      <w:r>
        <w:rPr>
          <w:rFonts w:ascii="Arial" w:eastAsia="SimSun" w:hAnsi="Arial" w:cs="Arial"/>
          <w:bCs/>
          <w:sz w:val="22"/>
          <w:szCs w:val="22"/>
          <w:lang w:val="fr-FR" w:eastAsia="en-US"/>
        </w:rPr>
        <w:t xml:space="preserve"> matière de</w:t>
      </w:r>
      <w:r w:rsidRPr="00CF7A16">
        <w:rPr>
          <w:rFonts w:ascii="Arial" w:eastAsia="SimSun" w:hAnsi="Arial" w:cs="Arial"/>
          <w:bCs/>
          <w:sz w:val="22"/>
          <w:szCs w:val="22"/>
          <w:lang w:val="fr-FR" w:eastAsia="en-US"/>
        </w:rPr>
        <w:t xml:space="preserve"> renforcement des capacités. </w:t>
      </w:r>
      <w:r>
        <w:rPr>
          <w:rFonts w:ascii="Arial" w:eastAsia="SimSun" w:hAnsi="Arial" w:cs="Arial"/>
          <w:bCs/>
          <w:sz w:val="22"/>
          <w:szCs w:val="22"/>
          <w:lang w:val="fr-FR" w:eastAsia="en-US"/>
        </w:rPr>
        <w:t>En outre, e</w:t>
      </w:r>
      <w:r w:rsidRPr="00CF7A16">
        <w:rPr>
          <w:rFonts w:ascii="Arial" w:eastAsia="SimSun" w:hAnsi="Arial" w:cs="Arial"/>
          <w:bCs/>
          <w:sz w:val="22"/>
          <w:szCs w:val="22"/>
          <w:lang w:val="fr-FR" w:eastAsia="en-US"/>
        </w:rPr>
        <w:t>lle</w:t>
      </w:r>
      <w:r>
        <w:rPr>
          <w:rFonts w:ascii="Arial" w:eastAsia="SimSun" w:hAnsi="Arial" w:cs="Arial"/>
          <w:bCs/>
          <w:sz w:val="22"/>
          <w:szCs w:val="22"/>
          <w:lang w:val="fr-FR" w:eastAsia="en-US"/>
        </w:rPr>
        <w:t xml:space="preserve"> jugeait favorablement </w:t>
      </w:r>
      <w:r w:rsidRPr="00CF7A16">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apprentissage en ligne, l</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approche basée sur la demande et le développement d</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un centre d</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échange d</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informations</w:t>
      </w:r>
      <w:r>
        <w:rPr>
          <w:rFonts w:ascii="Arial" w:eastAsia="SimSun" w:hAnsi="Arial" w:cs="Arial"/>
          <w:bCs/>
          <w:sz w:val="22"/>
          <w:szCs w:val="22"/>
          <w:lang w:val="fr-FR" w:eastAsia="en-US"/>
        </w:rPr>
        <w:t xml:space="preserve"> </w:t>
      </w:r>
      <w:r w:rsidRPr="00CF7A16">
        <w:rPr>
          <w:rFonts w:ascii="Arial" w:eastAsia="SimSun" w:hAnsi="Arial" w:cs="Arial"/>
          <w:bCs/>
          <w:sz w:val="22"/>
          <w:szCs w:val="22"/>
          <w:lang w:val="fr-FR" w:eastAsia="en-US"/>
        </w:rPr>
        <w:t>où le partage des connaissances, la coopération et l</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 xml:space="preserve">innovation </w:t>
      </w:r>
      <w:r>
        <w:rPr>
          <w:rFonts w:ascii="Arial" w:eastAsia="SimSun" w:hAnsi="Arial" w:cs="Arial"/>
          <w:bCs/>
          <w:sz w:val="22"/>
          <w:szCs w:val="22"/>
          <w:lang w:val="fr-FR" w:eastAsia="en-US"/>
        </w:rPr>
        <w:t>étaient</w:t>
      </w:r>
      <w:r w:rsidRPr="00CF7A16">
        <w:rPr>
          <w:rFonts w:ascii="Arial" w:eastAsia="SimSun" w:hAnsi="Arial" w:cs="Arial"/>
          <w:bCs/>
          <w:sz w:val="22"/>
          <w:szCs w:val="22"/>
          <w:lang w:val="fr-FR" w:eastAsia="en-US"/>
        </w:rPr>
        <w:t xml:space="preserve"> rendus possibles. En fin de compte, les inscriptions et la sauvegarde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étaient </w:t>
      </w:r>
      <w:r w:rsidRPr="00CF7A16">
        <w:rPr>
          <w:rFonts w:ascii="Arial" w:eastAsia="SimSun" w:hAnsi="Arial" w:cs="Arial"/>
          <w:bCs/>
          <w:sz w:val="22"/>
          <w:szCs w:val="22"/>
          <w:lang w:val="fr-FR" w:eastAsia="en-US"/>
        </w:rPr>
        <w:t>ce qui compt</w:t>
      </w:r>
      <w:r>
        <w:rPr>
          <w:rFonts w:ascii="Arial" w:eastAsia="SimSun" w:hAnsi="Arial" w:cs="Arial"/>
          <w:bCs/>
          <w:sz w:val="22"/>
          <w:szCs w:val="22"/>
          <w:lang w:val="fr-FR" w:eastAsia="en-US"/>
        </w:rPr>
        <w:t>ait</w:t>
      </w:r>
      <w:r w:rsidRPr="00CF7A16">
        <w:rPr>
          <w:rFonts w:ascii="Arial" w:eastAsia="SimSun" w:hAnsi="Arial" w:cs="Arial"/>
          <w:bCs/>
          <w:sz w:val="22"/>
          <w:szCs w:val="22"/>
          <w:lang w:val="fr-FR" w:eastAsia="en-US"/>
        </w:rPr>
        <w:t xml:space="preserve"> le plus. Cependant, le rapport ne mentionn</w:t>
      </w:r>
      <w:r>
        <w:rPr>
          <w:rFonts w:ascii="Arial" w:eastAsia="SimSun" w:hAnsi="Arial" w:cs="Arial"/>
          <w:bCs/>
          <w:sz w:val="22"/>
          <w:szCs w:val="22"/>
          <w:lang w:val="fr-FR" w:eastAsia="en-US"/>
        </w:rPr>
        <w:t xml:space="preserve">ait </w:t>
      </w:r>
      <w:r w:rsidRPr="00CF7A16">
        <w:rPr>
          <w:rFonts w:ascii="Arial" w:eastAsia="SimSun" w:hAnsi="Arial" w:cs="Arial"/>
          <w:bCs/>
          <w:sz w:val="22"/>
          <w:szCs w:val="22"/>
          <w:lang w:val="fr-FR" w:eastAsia="en-US"/>
        </w:rPr>
        <w:t>pas l</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équilibre géographique. Par exemple, l</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annexe du rapport (page 1</w:t>
      </w:r>
      <w:r>
        <w:rPr>
          <w:rFonts w:ascii="Arial" w:eastAsia="SimSun" w:hAnsi="Arial" w:cs="Arial"/>
          <w:bCs/>
          <w:sz w:val="22"/>
          <w:szCs w:val="22"/>
          <w:lang w:val="fr-FR" w:eastAsia="en-US"/>
        </w:rPr>
        <w:t>1</w:t>
      </w:r>
      <w:r w:rsidRPr="00CF7A16">
        <w:rPr>
          <w:rFonts w:ascii="Arial" w:eastAsia="SimSun" w:hAnsi="Arial" w:cs="Arial"/>
          <w:bCs/>
          <w:sz w:val="22"/>
          <w:szCs w:val="22"/>
          <w:lang w:val="fr-FR" w:eastAsia="en-US"/>
        </w:rPr>
        <w:t>) décri</w:t>
      </w:r>
      <w:r>
        <w:rPr>
          <w:rFonts w:ascii="Arial" w:eastAsia="SimSun" w:hAnsi="Arial" w:cs="Arial"/>
          <w:bCs/>
          <w:sz w:val="22"/>
          <w:szCs w:val="22"/>
          <w:lang w:val="fr-FR" w:eastAsia="en-US"/>
        </w:rPr>
        <w:t>vait</w:t>
      </w:r>
      <w:r w:rsidRPr="00CF7A16">
        <w:rPr>
          <w:rFonts w:ascii="Arial" w:eastAsia="SimSun" w:hAnsi="Arial" w:cs="Arial"/>
          <w:bCs/>
          <w:sz w:val="22"/>
          <w:szCs w:val="22"/>
          <w:lang w:val="fr-FR" w:eastAsia="en-US"/>
        </w:rPr>
        <w:t xml:space="preserve"> les nouvelles inscriptions, avec soixante</w:t>
      </w:r>
      <w:r>
        <w:rPr>
          <w:rFonts w:ascii="Arial" w:eastAsia="SimSun" w:hAnsi="Arial" w:cs="Arial"/>
          <w:bCs/>
          <w:sz w:val="22"/>
          <w:szCs w:val="22"/>
          <w:lang w:val="fr-FR" w:eastAsia="en-US"/>
        </w:rPr>
        <w:noBreakHyphen/>
      </w:r>
      <w:r w:rsidRPr="00CF7A16">
        <w:rPr>
          <w:rFonts w:ascii="Arial" w:eastAsia="SimSun" w:hAnsi="Arial" w:cs="Arial"/>
          <w:bCs/>
          <w:sz w:val="22"/>
          <w:szCs w:val="22"/>
          <w:lang w:val="fr-FR" w:eastAsia="en-US"/>
        </w:rPr>
        <w:t xml:space="preserve">deux dossiers </w:t>
      </w:r>
      <w:r>
        <w:rPr>
          <w:rFonts w:ascii="Arial" w:eastAsia="SimSun" w:hAnsi="Arial" w:cs="Arial"/>
          <w:bCs/>
          <w:sz w:val="22"/>
          <w:szCs w:val="22"/>
          <w:lang w:val="fr-FR" w:eastAsia="en-US"/>
        </w:rPr>
        <w:t xml:space="preserve">de </w:t>
      </w:r>
      <w:r w:rsidRPr="00E66F3A">
        <w:rPr>
          <w:rFonts w:ascii="Arial" w:eastAsia="SimSun" w:hAnsi="Arial" w:cs="Arial"/>
          <w:bCs/>
          <w:sz w:val="22"/>
          <w:szCs w:val="22"/>
          <w:lang w:val="fr-FR" w:eastAsia="en-US"/>
        </w:rPr>
        <w:t>candidature</w:t>
      </w:r>
      <w:r>
        <w:rPr>
          <w:rFonts w:ascii="Arial" w:eastAsia="SimSun" w:hAnsi="Arial" w:cs="Arial"/>
          <w:bCs/>
          <w:sz w:val="22"/>
          <w:szCs w:val="22"/>
          <w:lang w:val="fr-FR" w:eastAsia="en-US"/>
        </w:rPr>
        <w:t xml:space="preserve"> </w:t>
      </w:r>
      <w:r w:rsidRPr="00CF7A16">
        <w:rPr>
          <w:rFonts w:ascii="Arial" w:eastAsia="SimSun" w:hAnsi="Arial" w:cs="Arial"/>
          <w:bCs/>
          <w:sz w:val="22"/>
          <w:szCs w:val="22"/>
          <w:lang w:val="fr-FR" w:eastAsia="en-US"/>
        </w:rPr>
        <w:t>soumis en 2020, soixante</w:t>
      </w:r>
      <w:r>
        <w:rPr>
          <w:rFonts w:ascii="Arial" w:eastAsia="SimSun" w:hAnsi="Arial" w:cs="Arial"/>
          <w:bCs/>
          <w:sz w:val="22"/>
          <w:szCs w:val="22"/>
          <w:lang w:val="fr-FR" w:eastAsia="en-US"/>
        </w:rPr>
        <w:noBreakHyphen/>
      </w:r>
      <w:r w:rsidRPr="00CF7A16">
        <w:rPr>
          <w:rFonts w:ascii="Arial" w:eastAsia="SimSun" w:hAnsi="Arial" w:cs="Arial"/>
          <w:bCs/>
          <w:sz w:val="22"/>
          <w:szCs w:val="22"/>
          <w:lang w:val="fr-FR" w:eastAsia="en-US"/>
        </w:rPr>
        <w:t>quatorze en 2021 et cinquante</w:t>
      </w:r>
      <w:r>
        <w:rPr>
          <w:rFonts w:ascii="Arial" w:eastAsia="SimSun" w:hAnsi="Arial" w:cs="Arial"/>
          <w:bCs/>
          <w:sz w:val="22"/>
          <w:szCs w:val="22"/>
          <w:lang w:val="fr-FR" w:eastAsia="en-US"/>
        </w:rPr>
        <w:noBreakHyphen/>
      </w:r>
      <w:r w:rsidRPr="00CF7A16">
        <w:rPr>
          <w:rFonts w:ascii="Arial" w:eastAsia="SimSun" w:hAnsi="Arial" w:cs="Arial"/>
          <w:bCs/>
          <w:sz w:val="22"/>
          <w:szCs w:val="22"/>
          <w:lang w:val="fr-FR" w:eastAsia="en-US"/>
        </w:rPr>
        <w:t xml:space="preserve">neuf </w:t>
      </w:r>
      <w:r>
        <w:rPr>
          <w:rFonts w:ascii="Arial" w:eastAsia="SimSun" w:hAnsi="Arial" w:cs="Arial"/>
          <w:bCs/>
          <w:sz w:val="22"/>
          <w:szCs w:val="22"/>
          <w:lang w:val="fr-FR" w:eastAsia="en-US"/>
        </w:rPr>
        <w:t>pour</w:t>
      </w:r>
      <w:r w:rsidRPr="00CF7A16">
        <w:rPr>
          <w:rFonts w:ascii="Arial" w:eastAsia="SimSun" w:hAnsi="Arial" w:cs="Arial"/>
          <w:bCs/>
          <w:sz w:val="22"/>
          <w:szCs w:val="22"/>
          <w:lang w:val="fr-FR" w:eastAsia="en-US"/>
        </w:rPr>
        <w:t xml:space="preserve"> le cycle</w:t>
      </w:r>
      <w:r>
        <w:rPr>
          <w:rFonts w:ascii="Arial" w:eastAsia="SimSun" w:hAnsi="Arial" w:cs="Arial"/>
          <w:bCs/>
          <w:sz w:val="22"/>
          <w:szCs w:val="22"/>
          <w:lang w:val="fr-FR" w:eastAsia="en-US"/>
        </w:rPr>
        <w:t xml:space="preserve"> </w:t>
      </w:r>
      <w:r w:rsidRPr="00CF7A16">
        <w:rPr>
          <w:rFonts w:ascii="Arial" w:eastAsia="SimSun" w:hAnsi="Arial" w:cs="Arial"/>
          <w:bCs/>
          <w:sz w:val="22"/>
          <w:szCs w:val="22"/>
          <w:lang w:val="fr-FR" w:eastAsia="en-US"/>
        </w:rPr>
        <w:t>de 2022. Mais il ne précis</w:t>
      </w:r>
      <w:r>
        <w:rPr>
          <w:rFonts w:ascii="Arial" w:eastAsia="SimSun" w:hAnsi="Arial" w:cs="Arial"/>
          <w:bCs/>
          <w:sz w:val="22"/>
          <w:szCs w:val="22"/>
          <w:lang w:val="fr-FR" w:eastAsia="en-US"/>
        </w:rPr>
        <w:t>ait</w:t>
      </w:r>
      <w:r w:rsidRPr="00CF7A16">
        <w:rPr>
          <w:rFonts w:ascii="Arial" w:eastAsia="SimSun" w:hAnsi="Arial" w:cs="Arial"/>
          <w:bCs/>
          <w:sz w:val="22"/>
          <w:szCs w:val="22"/>
          <w:lang w:val="fr-FR" w:eastAsia="en-US"/>
        </w:rPr>
        <w:t xml:space="preserve"> pas combien d</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 xml:space="preserve">inscriptions </w:t>
      </w:r>
      <w:r>
        <w:rPr>
          <w:rFonts w:ascii="Arial" w:eastAsia="SimSun" w:hAnsi="Arial" w:cs="Arial"/>
          <w:bCs/>
          <w:sz w:val="22"/>
          <w:szCs w:val="22"/>
          <w:lang w:val="fr-FR" w:eastAsia="en-US"/>
        </w:rPr>
        <w:t>avaient</w:t>
      </w:r>
      <w:r w:rsidRPr="00CF7A16">
        <w:rPr>
          <w:rFonts w:ascii="Arial" w:eastAsia="SimSun" w:hAnsi="Arial" w:cs="Arial"/>
          <w:bCs/>
          <w:sz w:val="22"/>
          <w:szCs w:val="22"/>
          <w:lang w:val="fr-FR" w:eastAsia="en-US"/>
        </w:rPr>
        <w:t xml:space="preserve"> résulté de ces candidatures</w:t>
      </w:r>
      <w:r>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 xml:space="preserve"> ni combien </w:t>
      </w:r>
      <w:r>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inscriptions concernaient, par exemple, l</w:t>
      </w:r>
      <w:r w:rsidR="008E532B">
        <w:rPr>
          <w:rFonts w:ascii="Arial" w:eastAsia="SimSun" w:hAnsi="Arial" w:cs="Arial"/>
          <w:bCs/>
          <w:sz w:val="22"/>
          <w:szCs w:val="22"/>
          <w:lang w:val="fr-FR" w:eastAsia="en-US"/>
        </w:rPr>
        <w:t>’</w:t>
      </w:r>
      <w:r w:rsidRPr="00CF7A16">
        <w:rPr>
          <w:rFonts w:ascii="Arial" w:eastAsia="SimSun" w:hAnsi="Arial" w:cs="Arial"/>
          <w:bCs/>
          <w:sz w:val="22"/>
          <w:szCs w:val="22"/>
          <w:lang w:val="fr-FR" w:eastAsia="en-US"/>
        </w:rPr>
        <w:t xml:space="preserve">Afrique. La délégation </w:t>
      </w:r>
      <w:r>
        <w:rPr>
          <w:rFonts w:ascii="Arial" w:eastAsia="SimSun" w:hAnsi="Arial" w:cs="Arial"/>
          <w:bCs/>
          <w:sz w:val="22"/>
          <w:szCs w:val="22"/>
          <w:lang w:val="fr-FR" w:eastAsia="en-US"/>
        </w:rPr>
        <w:t>cherchait à connaître</w:t>
      </w:r>
      <w:r w:rsidRPr="00CF7A16">
        <w:rPr>
          <w:rFonts w:ascii="Arial" w:eastAsia="SimSun" w:hAnsi="Arial" w:cs="Arial"/>
          <w:bCs/>
          <w:sz w:val="22"/>
          <w:szCs w:val="22"/>
          <w:lang w:val="fr-FR" w:eastAsia="en-US"/>
        </w:rPr>
        <w:t xml:space="preserve"> la base de référence afin de</w:t>
      </w:r>
      <w:r>
        <w:rPr>
          <w:rFonts w:ascii="Arial" w:eastAsia="SimSun" w:hAnsi="Arial" w:cs="Arial"/>
          <w:bCs/>
          <w:sz w:val="22"/>
          <w:szCs w:val="22"/>
          <w:lang w:val="fr-FR" w:eastAsia="en-US"/>
        </w:rPr>
        <w:t xml:space="preserve"> travailler à changer la situation</w:t>
      </w:r>
      <w:r w:rsidRPr="009B1C66">
        <w:rPr>
          <w:rFonts w:ascii="Arial" w:eastAsia="SimSun" w:hAnsi="Arial" w:cs="Arial"/>
          <w:bCs/>
          <w:sz w:val="22"/>
          <w:szCs w:val="22"/>
          <w:lang w:val="fr-FR" w:eastAsia="en-US"/>
        </w:rPr>
        <w:t xml:space="preserve"> des inscriptions réelles. La délégation a</w:t>
      </w:r>
      <w:r>
        <w:rPr>
          <w:rFonts w:ascii="Arial" w:eastAsia="SimSun" w:hAnsi="Arial" w:cs="Arial"/>
          <w:bCs/>
          <w:sz w:val="22"/>
          <w:szCs w:val="22"/>
          <w:lang w:val="fr-FR" w:eastAsia="en-US"/>
        </w:rPr>
        <w:t>vait</w:t>
      </w:r>
      <w:r w:rsidRPr="009B1C66">
        <w:rPr>
          <w:rFonts w:ascii="Arial" w:eastAsia="SimSun" w:hAnsi="Arial" w:cs="Arial"/>
          <w:bCs/>
          <w:sz w:val="22"/>
          <w:szCs w:val="22"/>
          <w:lang w:val="fr-FR" w:eastAsia="en-US"/>
        </w:rPr>
        <w:t xml:space="preserve"> également noté (à la page 1</w:t>
      </w:r>
      <w:r>
        <w:rPr>
          <w:rFonts w:ascii="Arial" w:eastAsia="SimSun" w:hAnsi="Arial" w:cs="Arial"/>
          <w:bCs/>
          <w:sz w:val="22"/>
          <w:szCs w:val="22"/>
          <w:lang w:val="fr-FR" w:eastAsia="en-US"/>
        </w:rPr>
        <w:t>3</w:t>
      </w:r>
      <w:r w:rsidRPr="009B1C66">
        <w:rPr>
          <w:rFonts w:ascii="Arial" w:eastAsia="SimSun" w:hAnsi="Arial" w:cs="Arial"/>
          <w:bCs/>
          <w:sz w:val="22"/>
          <w:szCs w:val="22"/>
          <w:lang w:val="fr-FR" w:eastAsia="en-US"/>
        </w:rPr>
        <w:t xml:space="preserve"> de l</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annexe) que quatre ateliers régionaux de formation des formateurs avaient été organisés, mais qu</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aucune mention n</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était faite de l</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Afrique</w:t>
      </w:r>
      <w:r>
        <w:rPr>
          <w:rFonts w:ascii="Arial" w:eastAsia="SimSun" w:hAnsi="Arial" w:cs="Arial"/>
          <w:bCs/>
          <w:sz w:val="22"/>
          <w:szCs w:val="22"/>
          <w:lang w:val="fr-FR" w:eastAsia="en-US"/>
        </w:rPr>
        <w:t>. E</w:t>
      </w:r>
      <w:r w:rsidRPr="009B1C66">
        <w:rPr>
          <w:rFonts w:ascii="Arial" w:eastAsia="SimSun" w:hAnsi="Arial" w:cs="Arial"/>
          <w:bCs/>
          <w:sz w:val="22"/>
          <w:szCs w:val="22"/>
          <w:lang w:val="fr-FR" w:eastAsia="en-US"/>
        </w:rPr>
        <w:t>lle s</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est demandé s</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il s</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agissait d</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 xml:space="preserve">un oubli </w:t>
      </w:r>
      <w:r>
        <w:rPr>
          <w:rFonts w:ascii="Arial" w:eastAsia="SimSun" w:hAnsi="Arial" w:cs="Arial"/>
          <w:bCs/>
          <w:sz w:val="22"/>
          <w:szCs w:val="22"/>
          <w:lang w:val="fr-FR" w:eastAsia="en-US"/>
        </w:rPr>
        <w:t>ou</w:t>
      </w:r>
      <w:r w:rsidRPr="009B1C66">
        <w:rPr>
          <w:rFonts w:ascii="Arial" w:eastAsia="SimSun" w:hAnsi="Arial" w:cs="Arial"/>
          <w:bCs/>
          <w:sz w:val="22"/>
          <w:szCs w:val="22"/>
          <w:lang w:val="fr-FR" w:eastAsia="en-US"/>
        </w:rPr>
        <w:t xml:space="preserve">, dans le cas contraire, </w:t>
      </w:r>
      <w:r>
        <w:rPr>
          <w:rFonts w:ascii="Arial" w:eastAsia="SimSun" w:hAnsi="Arial" w:cs="Arial"/>
          <w:bCs/>
          <w:sz w:val="22"/>
          <w:szCs w:val="22"/>
          <w:lang w:val="fr-FR" w:eastAsia="en-US"/>
        </w:rPr>
        <w:t xml:space="preserve">pourquoi </w:t>
      </w:r>
      <w:r w:rsidRPr="009B1C66">
        <w:rPr>
          <w:rFonts w:ascii="Arial" w:eastAsia="SimSun" w:hAnsi="Arial" w:cs="Arial"/>
          <w:bCs/>
          <w:sz w:val="22"/>
          <w:szCs w:val="22"/>
          <w:lang w:val="fr-FR" w:eastAsia="en-US"/>
        </w:rPr>
        <w:t xml:space="preserve">aucun </w:t>
      </w:r>
      <w:r>
        <w:rPr>
          <w:rFonts w:ascii="Arial" w:eastAsia="SimSun" w:hAnsi="Arial" w:cs="Arial"/>
          <w:bCs/>
          <w:sz w:val="22"/>
          <w:szCs w:val="22"/>
          <w:lang w:val="fr-FR" w:eastAsia="en-US"/>
        </w:rPr>
        <w:t xml:space="preserve">atelier </w:t>
      </w:r>
      <w:r w:rsidRPr="009B1C66">
        <w:rPr>
          <w:rFonts w:ascii="Arial" w:eastAsia="SimSun" w:hAnsi="Arial" w:cs="Arial"/>
          <w:bCs/>
          <w:sz w:val="22"/>
          <w:szCs w:val="22"/>
          <w:lang w:val="fr-FR" w:eastAsia="en-US"/>
        </w:rPr>
        <w:t>n</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avait été organisé en Afrique. Bien que satisfaite des activités entreprises au cours d</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 xml:space="preserve">une période très difficile, la délégation </w:t>
      </w:r>
      <w:r>
        <w:rPr>
          <w:rFonts w:ascii="Arial" w:eastAsia="SimSun" w:hAnsi="Arial" w:cs="Arial"/>
          <w:bCs/>
          <w:sz w:val="22"/>
          <w:szCs w:val="22"/>
          <w:lang w:val="fr-FR" w:eastAsia="en-US"/>
        </w:rPr>
        <w:t>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est </w:t>
      </w:r>
      <w:proofErr w:type="gramStart"/>
      <w:r>
        <w:rPr>
          <w:rFonts w:ascii="Arial" w:eastAsia="SimSun" w:hAnsi="Arial" w:cs="Arial"/>
          <w:bCs/>
          <w:sz w:val="22"/>
          <w:szCs w:val="22"/>
          <w:lang w:val="fr-FR" w:eastAsia="en-US"/>
        </w:rPr>
        <w:t>dite</w:t>
      </w:r>
      <w:proofErr w:type="gramEnd"/>
      <w:r w:rsidRPr="009B1C66">
        <w:rPr>
          <w:rFonts w:ascii="Arial" w:eastAsia="SimSun" w:hAnsi="Arial" w:cs="Arial"/>
          <w:bCs/>
          <w:sz w:val="22"/>
          <w:szCs w:val="22"/>
          <w:lang w:val="fr-FR" w:eastAsia="en-US"/>
        </w:rPr>
        <w:t xml:space="preserve"> très préoccupée par l</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équilibre des inscriptions et le fait que l</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Afrique continu</w:t>
      </w:r>
      <w:r>
        <w:rPr>
          <w:rFonts w:ascii="Arial" w:eastAsia="SimSun" w:hAnsi="Arial" w:cs="Arial"/>
          <w:bCs/>
          <w:sz w:val="22"/>
          <w:szCs w:val="22"/>
          <w:lang w:val="fr-FR" w:eastAsia="en-US"/>
        </w:rPr>
        <w:t>ait</w:t>
      </w:r>
      <w:r w:rsidRPr="009B1C66">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9B1C66">
        <w:rPr>
          <w:rFonts w:ascii="Arial" w:eastAsia="SimSun" w:hAnsi="Arial" w:cs="Arial"/>
          <w:bCs/>
          <w:sz w:val="22"/>
          <w:szCs w:val="22"/>
          <w:lang w:val="fr-FR" w:eastAsia="en-US"/>
        </w:rPr>
        <w:t>être à la traîne.</w:t>
      </w:r>
    </w:p>
    <w:p w14:paraId="388BD8C3" w14:textId="4A617354" w:rsidR="00D9653F" w:rsidRPr="00472536"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472536">
        <w:rPr>
          <w:rFonts w:ascii="Arial" w:eastAsia="SimSun" w:hAnsi="Arial" w:cs="Arial"/>
          <w:bCs/>
          <w:sz w:val="22"/>
          <w:szCs w:val="22"/>
          <w:lang w:val="fr-FR" w:eastAsia="en-US"/>
        </w:rPr>
        <w:t>La délégation de l</w:t>
      </w:r>
      <w:r w:rsidR="008E532B">
        <w:rPr>
          <w:rFonts w:ascii="Arial" w:eastAsia="SimSun" w:hAnsi="Arial" w:cs="Arial"/>
          <w:bCs/>
          <w:sz w:val="22"/>
          <w:szCs w:val="22"/>
          <w:lang w:val="fr-FR" w:eastAsia="en-US"/>
        </w:rPr>
        <w:t>’</w:t>
      </w:r>
      <w:r w:rsidRPr="00472536">
        <w:rPr>
          <w:rFonts w:ascii="Arial" w:eastAsia="SimSun" w:hAnsi="Arial" w:cs="Arial"/>
          <w:b/>
          <w:sz w:val="22"/>
          <w:szCs w:val="22"/>
          <w:lang w:val="fr-FR" w:eastAsia="en-US"/>
        </w:rPr>
        <w:t>Égypte</w:t>
      </w:r>
      <w:r w:rsidRPr="00472536">
        <w:rPr>
          <w:rFonts w:ascii="Arial" w:eastAsia="SimSun" w:hAnsi="Arial" w:cs="Arial"/>
          <w:bCs/>
          <w:sz w:val="22"/>
          <w:szCs w:val="22"/>
          <w:lang w:val="fr-FR" w:eastAsia="en-US"/>
        </w:rPr>
        <w:t xml:space="preserve"> a salué le rapport du Secrétariat sur ses activités au cours des deux dernières années, malgré la pandémie. Elle a salué toutes les initiatives et activités mentionnées dans le rapport, en particulier les efforts axés sur l</w:t>
      </w:r>
      <w:r w:rsidR="008E532B">
        <w:rPr>
          <w:rFonts w:ascii="Arial" w:eastAsia="SimSun" w:hAnsi="Arial" w:cs="Arial"/>
          <w:bCs/>
          <w:sz w:val="22"/>
          <w:szCs w:val="22"/>
          <w:lang w:val="fr-FR" w:eastAsia="en-US"/>
        </w:rPr>
        <w:t>’</w:t>
      </w:r>
      <w:r w:rsidRPr="00472536">
        <w:rPr>
          <w:rFonts w:ascii="Arial" w:eastAsia="SimSun" w:hAnsi="Arial" w:cs="Arial"/>
          <w:bCs/>
          <w:sz w:val="22"/>
          <w:szCs w:val="22"/>
          <w:lang w:val="fr-FR" w:eastAsia="en-US"/>
        </w:rPr>
        <w:t>Afrique et les PEID. En outre, la délégation a noté avec satisfaction l</w:t>
      </w:r>
      <w:r w:rsidR="008E532B">
        <w:rPr>
          <w:rFonts w:ascii="Arial" w:eastAsia="SimSun" w:hAnsi="Arial" w:cs="Arial"/>
          <w:bCs/>
          <w:sz w:val="22"/>
          <w:szCs w:val="22"/>
          <w:lang w:val="fr-FR" w:eastAsia="en-US"/>
        </w:rPr>
        <w:t>’</w:t>
      </w:r>
      <w:r w:rsidRPr="00472536">
        <w:rPr>
          <w:rFonts w:ascii="Arial" w:eastAsia="SimSun" w:hAnsi="Arial" w:cs="Arial"/>
          <w:bCs/>
          <w:sz w:val="22"/>
          <w:szCs w:val="22"/>
          <w:lang w:val="fr-FR" w:eastAsia="en-US"/>
        </w:rPr>
        <w:t>initiative des Émirats arabes unis concernant l</w:t>
      </w:r>
      <w:r w:rsidR="008E532B">
        <w:rPr>
          <w:rFonts w:ascii="Arial" w:eastAsia="SimSun" w:hAnsi="Arial" w:cs="Arial"/>
          <w:bCs/>
          <w:sz w:val="22"/>
          <w:szCs w:val="22"/>
          <w:lang w:val="fr-FR" w:eastAsia="en-US"/>
        </w:rPr>
        <w:t>’</w:t>
      </w:r>
      <w:r w:rsidRPr="00472536">
        <w:rPr>
          <w:rFonts w:ascii="Arial" w:eastAsia="SimSun" w:hAnsi="Arial" w:cs="Arial"/>
          <w:bCs/>
          <w:sz w:val="22"/>
          <w:szCs w:val="22"/>
          <w:lang w:val="fr-FR" w:eastAsia="en-US"/>
        </w:rPr>
        <w:t xml:space="preserve">établissement de rapports périodiques. Elle a souligné le besoin </w:t>
      </w:r>
      <w:r>
        <w:rPr>
          <w:rFonts w:ascii="Arial" w:eastAsia="SimSun" w:hAnsi="Arial" w:cs="Arial"/>
          <w:bCs/>
          <w:sz w:val="22"/>
          <w:szCs w:val="22"/>
          <w:lang w:val="fr-FR" w:eastAsia="en-US"/>
        </w:rPr>
        <w:t xml:space="preserve">constant </w:t>
      </w:r>
      <w:r w:rsidRPr="00472536">
        <w:rPr>
          <w:rFonts w:ascii="Arial" w:eastAsia="SimSun" w:hAnsi="Arial" w:cs="Arial"/>
          <w:bCs/>
          <w:sz w:val="22"/>
          <w:szCs w:val="22"/>
          <w:lang w:val="fr-FR" w:eastAsia="en-US"/>
        </w:rPr>
        <w:t>de soutenir les pays arabes et africains dans la mise en œuvre de la Convention et d</w:t>
      </w:r>
      <w:r w:rsidR="008E532B">
        <w:rPr>
          <w:rFonts w:ascii="Arial" w:eastAsia="SimSun" w:hAnsi="Arial" w:cs="Arial"/>
          <w:bCs/>
          <w:sz w:val="22"/>
          <w:szCs w:val="22"/>
          <w:lang w:val="fr-FR" w:eastAsia="en-US"/>
        </w:rPr>
        <w:t>’</w:t>
      </w:r>
      <w:r w:rsidRPr="00472536">
        <w:rPr>
          <w:rFonts w:ascii="Arial" w:eastAsia="SimSun" w:hAnsi="Arial" w:cs="Arial"/>
          <w:bCs/>
          <w:sz w:val="22"/>
          <w:szCs w:val="22"/>
          <w:lang w:val="fr-FR" w:eastAsia="en-US"/>
        </w:rPr>
        <w:t xml:space="preserve">assurer une représentation égale de toutes les régions. </w:t>
      </w:r>
      <w:r>
        <w:rPr>
          <w:rFonts w:ascii="Arial" w:eastAsia="SimSun" w:hAnsi="Arial" w:cs="Arial"/>
          <w:bCs/>
          <w:sz w:val="22"/>
          <w:szCs w:val="22"/>
          <w:lang w:val="fr-FR" w:eastAsia="en-US"/>
        </w:rPr>
        <w:t xml:space="preserve">Elle </w:t>
      </w:r>
      <w:r w:rsidRPr="00472536">
        <w:rPr>
          <w:rFonts w:ascii="Arial" w:eastAsia="SimSun" w:hAnsi="Arial" w:cs="Arial"/>
          <w:bCs/>
          <w:sz w:val="22"/>
          <w:szCs w:val="22"/>
          <w:lang w:val="fr-FR" w:eastAsia="en-US"/>
        </w:rPr>
        <w:t>a également salué les efforts déployés pour travailler avec d</w:t>
      </w:r>
      <w:r w:rsidR="008E532B">
        <w:rPr>
          <w:rFonts w:ascii="Arial" w:eastAsia="SimSun" w:hAnsi="Arial" w:cs="Arial"/>
          <w:bCs/>
          <w:sz w:val="22"/>
          <w:szCs w:val="22"/>
          <w:lang w:val="fr-FR" w:eastAsia="en-US"/>
        </w:rPr>
        <w:t>’</w:t>
      </w:r>
      <w:r w:rsidRPr="00472536">
        <w:rPr>
          <w:rFonts w:ascii="Arial" w:eastAsia="SimSun" w:hAnsi="Arial" w:cs="Arial"/>
          <w:bCs/>
          <w:sz w:val="22"/>
          <w:szCs w:val="22"/>
          <w:lang w:val="fr-FR" w:eastAsia="en-US"/>
        </w:rPr>
        <w:t>autres</w:t>
      </w:r>
      <w:r w:rsidRPr="00795C72">
        <w:rPr>
          <w:rFonts w:ascii="Arial" w:eastAsia="SimSun" w:hAnsi="Arial" w:cs="Arial"/>
          <w:sz w:val="22"/>
          <w:szCs w:val="22"/>
          <w:lang w:val="fr-FR"/>
        </w:rPr>
        <w:t xml:space="preserve">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472536">
        <w:rPr>
          <w:rFonts w:ascii="Arial" w:eastAsia="SimSun" w:hAnsi="Arial" w:cs="Arial"/>
          <w:bCs/>
          <w:sz w:val="22"/>
          <w:szCs w:val="22"/>
          <w:lang w:val="fr-FR" w:eastAsia="en-US"/>
        </w:rPr>
        <w:t xml:space="preserve">, en particulier la Convention de 1972. Il </w:t>
      </w:r>
      <w:r>
        <w:rPr>
          <w:rFonts w:ascii="Arial" w:eastAsia="SimSun" w:hAnsi="Arial" w:cs="Arial"/>
          <w:bCs/>
          <w:sz w:val="22"/>
          <w:szCs w:val="22"/>
          <w:lang w:val="fr-FR" w:eastAsia="en-US"/>
        </w:rPr>
        <w:t>était</w:t>
      </w:r>
      <w:r w:rsidRPr="00472536">
        <w:rPr>
          <w:rFonts w:ascii="Arial" w:eastAsia="SimSun" w:hAnsi="Arial" w:cs="Arial"/>
          <w:bCs/>
          <w:sz w:val="22"/>
          <w:szCs w:val="22"/>
          <w:lang w:val="fr-FR" w:eastAsia="en-US"/>
        </w:rPr>
        <w:t xml:space="preserve"> important que ce travail s</w:t>
      </w:r>
      <w:r>
        <w:rPr>
          <w:rFonts w:ascii="Arial" w:eastAsia="SimSun" w:hAnsi="Arial" w:cs="Arial"/>
          <w:bCs/>
          <w:sz w:val="22"/>
          <w:szCs w:val="22"/>
          <w:lang w:val="fr-FR" w:eastAsia="en-US"/>
        </w:rPr>
        <w:t xml:space="preserve">e </w:t>
      </w:r>
      <w:r w:rsidRPr="00472536">
        <w:rPr>
          <w:rFonts w:ascii="Arial" w:eastAsia="SimSun" w:hAnsi="Arial" w:cs="Arial"/>
          <w:bCs/>
          <w:sz w:val="22"/>
          <w:szCs w:val="22"/>
          <w:lang w:val="fr-FR" w:eastAsia="en-US"/>
        </w:rPr>
        <w:t>poursuiv</w:t>
      </w:r>
      <w:r>
        <w:rPr>
          <w:rFonts w:ascii="Arial" w:eastAsia="SimSun" w:hAnsi="Arial" w:cs="Arial"/>
          <w:bCs/>
          <w:sz w:val="22"/>
          <w:szCs w:val="22"/>
          <w:lang w:val="fr-FR" w:eastAsia="en-US"/>
        </w:rPr>
        <w:t>e</w:t>
      </w:r>
      <w:r w:rsidRPr="00472536">
        <w:rPr>
          <w:rFonts w:ascii="Arial" w:eastAsia="SimSun" w:hAnsi="Arial" w:cs="Arial"/>
          <w:bCs/>
          <w:sz w:val="22"/>
          <w:szCs w:val="22"/>
          <w:lang w:val="fr-FR" w:eastAsia="en-US"/>
        </w:rPr>
        <w:t xml:space="preserve"> afin d</w:t>
      </w:r>
      <w:r w:rsidR="008E532B">
        <w:rPr>
          <w:rFonts w:ascii="Arial" w:eastAsia="SimSun" w:hAnsi="Arial" w:cs="Arial"/>
          <w:bCs/>
          <w:sz w:val="22"/>
          <w:szCs w:val="22"/>
          <w:lang w:val="fr-FR" w:eastAsia="en-US"/>
        </w:rPr>
        <w:t>’</w:t>
      </w:r>
      <w:r w:rsidRPr="00472536">
        <w:rPr>
          <w:rFonts w:ascii="Arial" w:eastAsia="SimSun" w:hAnsi="Arial" w:cs="Arial"/>
          <w:bCs/>
          <w:sz w:val="22"/>
          <w:szCs w:val="22"/>
          <w:lang w:val="fr-FR" w:eastAsia="en-US"/>
        </w:rPr>
        <w:t xml:space="preserve">inscrire des éléments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472536">
        <w:rPr>
          <w:rFonts w:ascii="Arial" w:eastAsia="SimSun" w:hAnsi="Arial" w:cs="Arial"/>
          <w:bCs/>
          <w:sz w:val="22"/>
          <w:szCs w:val="22"/>
          <w:lang w:val="fr-FR" w:eastAsia="en-US"/>
        </w:rPr>
        <w:t xml:space="preserve">et de renforcer ainsi la mise en œuvre des deux </w:t>
      </w:r>
      <w:r>
        <w:rPr>
          <w:rFonts w:ascii="Arial" w:eastAsia="SimSun" w:hAnsi="Arial" w:cs="Arial"/>
          <w:bCs/>
          <w:sz w:val="22"/>
          <w:szCs w:val="22"/>
          <w:lang w:val="fr-FR" w:eastAsia="en-US"/>
        </w:rPr>
        <w:t>c</w:t>
      </w:r>
      <w:r w:rsidRPr="00472536">
        <w:rPr>
          <w:rFonts w:ascii="Arial" w:eastAsia="SimSun" w:hAnsi="Arial" w:cs="Arial"/>
          <w:bCs/>
          <w:sz w:val="22"/>
          <w:szCs w:val="22"/>
          <w:lang w:val="fr-FR" w:eastAsia="en-US"/>
        </w:rPr>
        <w:t xml:space="preserve">onventions, en tenant compte des spécificités de chacune. Les efforts de soutien aux </w:t>
      </w:r>
      <w:r>
        <w:rPr>
          <w:rFonts w:ascii="Arial" w:eastAsia="SimSun" w:hAnsi="Arial" w:cs="Arial"/>
          <w:bCs/>
          <w:sz w:val="22"/>
          <w:szCs w:val="22"/>
          <w:lang w:val="fr-FR" w:eastAsia="en-US"/>
        </w:rPr>
        <w:t>É</w:t>
      </w:r>
      <w:r w:rsidRPr="00472536">
        <w:rPr>
          <w:rFonts w:ascii="Arial" w:eastAsia="SimSun" w:hAnsi="Arial" w:cs="Arial"/>
          <w:bCs/>
          <w:sz w:val="22"/>
          <w:szCs w:val="22"/>
          <w:lang w:val="fr-FR" w:eastAsia="en-US"/>
        </w:rPr>
        <w:t>tats parties d</w:t>
      </w:r>
      <w:r>
        <w:rPr>
          <w:rFonts w:ascii="Arial" w:eastAsia="SimSun" w:hAnsi="Arial" w:cs="Arial"/>
          <w:bCs/>
          <w:sz w:val="22"/>
          <w:szCs w:val="22"/>
          <w:lang w:val="fr-FR" w:eastAsia="en-US"/>
        </w:rPr>
        <w:t>evaient</w:t>
      </w:r>
      <w:r w:rsidRPr="00472536">
        <w:rPr>
          <w:rFonts w:ascii="Arial" w:eastAsia="SimSun" w:hAnsi="Arial" w:cs="Arial"/>
          <w:bCs/>
          <w:sz w:val="22"/>
          <w:szCs w:val="22"/>
          <w:lang w:val="fr-FR" w:eastAsia="en-US"/>
        </w:rPr>
        <w:t xml:space="preserve"> se poursuivre afin de placer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472536">
        <w:rPr>
          <w:rFonts w:ascii="Arial" w:eastAsia="SimSun" w:hAnsi="Arial" w:cs="Arial"/>
          <w:bCs/>
          <w:sz w:val="22"/>
          <w:szCs w:val="22"/>
          <w:lang w:val="fr-FR" w:eastAsia="en-US"/>
        </w:rPr>
        <w:t>au cœur de leurs politiques générales.</w:t>
      </w:r>
    </w:p>
    <w:p w14:paraId="68079504" w14:textId="54EAAEF7" w:rsidR="00D9653F" w:rsidRPr="002749CD"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2749CD">
        <w:rPr>
          <w:rFonts w:ascii="Arial" w:eastAsia="SimSun" w:hAnsi="Arial" w:cs="Arial"/>
          <w:bCs/>
          <w:sz w:val="22"/>
          <w:szCs w:val="22"/>
          <w:lang w:val="fr-FR" w:eastAsia="en-US"/>
        </w:rPr>
        <w:t xml:space="preserve">La délégation des </w:t>
      </w:r>
      <w:r w:rsidRPr="002749CD">
        <w:rPr>
          <w:rFonts w:ascii="Arial" w:eastAsia="SimSun" w:hAnsi="Arial" w:cs="Arial"/>
          <w:b/>
          <w:sz w:val="22"/>
          <w:szCs w:val="22"/>
          <w:lang w:val="fr-FR" w:eastAsia="en-US"/>
        </w:rPr>
        <w:t>Émirats arabes unis</w:t>
      </w:r>
      <w:r w:rsidRPr="002749CD">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(EAU) </w:t>
      </w:r>
      <w:r w:rsidRPr="002749CD">
        <w:rPr>
          <w:rFonts w:ascii="Arial" w:eastAsia="SimSun" w:hAnsi="Arial" w:cs="Arial"/>
          <w:bCs/>
          <w:sz w:val="22"/>
          <w:szCs w:val="22"/>
          <w:lang w:val="fr-FR" w:eastAsia="en-US"/>
        </w:rPr>
        <w:t xml:space="preserve">a félicité la Présidente pour son élection et a exprimé sa gratitude au Secrétariat pour ses efforts visant à assurer la continuité des travaux pendant la pandémie. </w:t>
      </w:r>
      <w:r>
        <w:rPr>
          <w:rFonts w:ascii="Arial" w:eastAsia="SimSun" w:hAnsi="Arial" w:cs="Arial"/>
          <w:bCs/>
          <w:sz w:val="22"/>
          <w:szCs w:val="22"/>
          <w:lang w:val="fr-FR" w:eastAsia="en-US"/>
        </w:rPr>
        <w:t>À de multiples occasions, l</w:t>
      </w:r>
      <w:r w:rsidRPr="002749CD">
        <w:rPr>
          <w:rFonts w:ascii="Arial" w:eastAsia="SimSun" w:hAnsi="Arial" w:cs="Arial"/>
          <w:bCs/>
          <w:sz w:val="22"/>
          <w:szCs w:val="22"/>
          <w:lang w:val="fr-FR" w:eastAsia="en-US"/>
        </w:rPr>
        <w:t xml:space="preserve">es EAU </w:t>
      </w:r>
      <w:r>
        <w:rPr>
          <w:rFonts w:ascii="Arial" w:eastAsia="SimSun" w:hAnsi="Arial" w:cs="Arial"/>
          <w:bCs/>
          <w:sz w:val="22"/>
          <w:szCs w:val="22"/>
          <w:lang w:val="fr-FR" w:eastAsia="en-US"/>
        </w:rPr>
        <w:t xml:space="preserve">avaient travaillé </w:t>
      </w:r>
      <w:r w:rsidRPr="002749CD">
        <w:rPr>
          <w:rFonts w:ascii="Arial" w:eastAsia="SimSun" w:hAnsi="Arial" w:cs="Arial"/>
          <w:bCs/>
          <w:sz w:val="22"/>
          <w:szCs w:val="22"/>
          <w:lang w:val="fr-FR" w:eastAsia="en-US"/>
        </w:rPr>
        <w:t>en étroite collaboration avec l</w:t>
      </w:r>
      <w:r w:rsidR="008E532B">
        <w:rPr>
          <w:rFonts w:ascii="Arial" w:eastAsia="SimSun" w:hAnsi="Arial" w:cs="Arial"/>
          <w:bCs/>
          <w:sz w:val="22"/>
          <w:szCs w:val="22"/>
          <w:lang w:val="fr-FR" w:eastAsia="en-US"/>
        </w:rPr>
        <w:t>’</w:t>
      </w:r>
      <w:r w:rsidRPr="002749CD">
        <w:rPr>
          <w:rFonts w:ascii="Arial" w:eastAsia="SimSun" w:hAnsi="Arial" w:cs="Arial"/>
          <w:bCs/>
          <w:sz w:val="22"/>
          <w:szCs w:val="22"/>
          <w:lang w:val="fr-FR" w:eastAsia="en-US"/>
        </w:rPr>
        <w:t>UNESCO</w:t>
      </w:r>
      <w:r>
        <w:rPr>
          <w:rFonts w:ascii="Arial" w:eastAsia="SimSun" w:hAnsi="Arial" w:cs="Arial"/>
          <w:bCs/>
          <w:sz w:val="22"/>
          <w:szCs w:val="22"/>
          <w:lang w:val="fr-FR" w:eastAsia="en-US"/>
        </w:rPr>
        <w:t xml:space="preserve"> </w:t>
      </w:r>
      <w:r w:rsidRPr="002749CD">
        <w:rPr>
          <w:rFonts w:ascii="Arial" w:eastAsia="SimSun" w:hAnsi="Arial" w:cs="Arial"/>
          <w:bCs/>
          <w:sz w:val="22"/>
          <w:szCs w:val="22"/>
          <w:lang w:val="fr-FR" w:eastAsia="en-US"/>
        </w:rPr>
        <w:t xml:space="preserve">pour </w:t>
      </w:r>
      <w:r>
        <w:rPr>
          <w:rFonts w:ascii="Arial" w:eastAsia="SimSun" w:hAnsi="Arial" w:cs="Arial"/>
          <w:bCs/>
          <w:sz w:val="22"/>
          <w:szCs w:val="22"/>
          <w:lang w:val="fr-FR" w:eastAsia="en-US"/>
        </w:rPr>
        <w:t xml:space="preserve">consolider le renforcement des capacités </w:t>
      </w:r>
      <w:r w:rsidRPr="002749CD">
        <w:rPr>
          <w:rFonts w:ascii="Arial" w:eastAsia="SimSun" w:hAnsi="Arial" w:cs="Arial"/>
          <w:bCs/>
          <w:sz w:val="22"/>
          <w:szCs w:val="22"/>
          <w:lang w:val="fr-FR" w:eastAsia="en-US"/>
        </w:rPr>
        <w:t xml:space="preserve">et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2749CD">
        <w:rPr>
          <w:rFonts w:ascii="Arial" w:eastAsia="SimSun" w:hAnsi="Arial" w:cs="Arial"/>
          <w:bCs/>
          <w:sz w:val="22"/>
          <w:szCs w:val="22"/>
          <w:lang w:val="fr-FR" w:eastAsia="en-US"/>
        </w:rPr>
        <w:t xml:space="preserve">au niveau national et au niveau international </w:t>
      </w:r>
      <w:r>
        <w:rPr>
          <w:rFonts w:ascii="Arial" w:eastAsia="SimSun" w:hAnsi="Arial" w:cs="Arial"/>
          <w:bCs/>
          <w:sz w:val="22"/>
          <w:szCs w:val="22"/>
          <w:lang w:val="fr-FR" w:eastAsia="en-US"/>
        </w:rPr>
        <w:t xml:space="preserve">en finançant des </w:t>
      </w:r>
      <w:r w:rsidRPr="002749CD">
        <w:rPr>
          <w:rFonts w:ascii="Arial" w:eastAsia="SimSun" w:hAnsi="Arial" w:cs="Arial"/>
          <w:bCs/>
          <w:sz w:val="22"/>
          <w:szCs w:val="22"/>
          <w:lang w:val="fr-FR" w:eastAsia="en-US"/>
        </w:rPr>
        <w:t>initiatives de renforcement des capacités au service de nombreux pays. Les EAU poursuivr</w:t>
      </w:r>
      <w:r>
        <w:rPr>
          <w:rFonts w:ascii="Arial" w:eastAsia="SimSun" w:hAnsi="Arial" w:cs="Arial"/>
          <w:bCs/>
          <w:sz w:val="22"/>
          <w:szCs w:val="22"/>
          <w:lang w:val="fr-FR" w:eastAsia="en-US"/>
        </w:rPr>
        <w:t>aie</w:t>
      </w:r>
      <w:r w:rsidRPr="002749CD">
        <w:rPr>
          <w:rFonts w:ascii="Arial" w:eastAsia="SimSun" w:hAnsi="Arial" w:cs="Arial"/>
          <w:bCs/>
          <w:sz w:val="22"/>
          <w:szCs w:val="22"/>
          <w:lang w:val="fr-FR" w:eastAsia="en-US"/>
        </w:rPr>
        <w:t xml:space="preserve">nt leurs efforts et leur engagement en faveur du renforcement des capacités </w:t>
      </w:r>
      <w:r>
        <w:rPr>
          <w:rFonts w:ascii="Arial" w:eastAsia="SimSun" w:hAnsi="Arial" w:cs="Arial"/>
          <w:bCs/>
          <w:sz w:val="22"/>
          <w:szCs w:val="22"/>
          <w:lang w:val="fr-FR" w:eastAsia="en-US"/>
        </w:rPr>
        <w:t xml:space="preserve">dans le cadre de </w:t>
      </w:r>
      <w:r w:rsidRPr="002749CD">
        <w:rPr>
          <w:rFonts w:ascii="Arial" w:eastAsia="SimSun" w:hAnsi="Arial" w:cs="Arial"/>
          <w:bCs/>
          <w:sz w:val="22"/>
          <w:szCs w:val="22"/>
          <w:lang w:val="fr-FR" w:eastAsia="en-US"/>
        </w:rPr>
        <w:t xml:space="preserve">la Convention, tant </w:t>
      </w:r>
      <w:proofErr w:type="gramStart"/>
      <w:r w:rsidRPr="002749CD">
        <w:rPr>
          <w:rFonts w:ascii="Arial" w:eastAsia="SimSun" w:hAnsi="Arial" w:cs="Arial"/>
          <w:bCs/>
          <w:sz w:val="22"/>
          <w:szCs w:val="22"/>
          <w:lang w:val="fr-FR" w:eastAsia="en-US"/>
        </w:rPr>
        <w:t>au</w:t>
      </w:r>
      <w:r>
        <w:rPr>
          <w:rFonts w:ascii="Arial" w:eastAsia="SimSun" w:hAnsi="Arial" w:cs="Arial"/>
          <w:bCs/>
          <w:sz w:val="22"/>
          <w:szCs w:val="22"/>
          <w:lang w:val="fr-FR" w:eastAsia="en-US"/>
        </w:rPr>
        <w:t>x</w:t>
      </w:r>
      <w:r w:rsidRPr="002749CD">
        <w:rPr>
          <w:rFonts w:ascii="Arial" w:eastAsia="SimSun" w:hAnsi="Arial" w:cs="Arial"/>
          <w:bCs/>
          <w:sz w:val="22"/>
          <w:szCs w:val="22"/>
          <w:lang w:val="fr-FR" w:eastAsia="en-US"/>
        </w:rPr>
        <w:t xml:space="preserve"> niveau</w:t>
      </w:r>
      <w:r>
        <w:rPr>
          <w:rFonts w:ascii="Arial" w:eastAsia="SimSun" w:hAnsi="Arial" w:cs="Arial"/>
          <w:bCs/>
          <w:sz w:val="22"/>
          <w:szCs w:val="22"/>
          <w:lang w:val="fr-FR" w:eastAsia="en-US"/>
        </w:rPr>
        <w:t>x</w:t>
      </w:r>
      <w:r w:rsidRPr="002749CD">
        <w:rPr>
          <w:rFonts w:ascii="Arial" w:eastAsia="SimSun" w:hAnsi="Arial" w:cs="Arial"/>
          <w:bCs/>
          <w:sz w:val="22"/>
          <w:szCs w:val="22"/>
          <w:lang w:val="fr-FR" w:eastAsia="en-US"/>
        </w:rPr>
        <w:t xml:space="preserve"> national</w:t>
      </w:r>
      <w:proofErr w:type="gramEnd"/>
      <w:r w:rsidRPr="002749CD">
        <w:rPr>
          <w:rFonts w:ascii="Arial" w:eastAsia="SimSun" w:hAnsi="Arial" w:cs="Arial"/>
          <w:bCs/>
          <w:sz w:val="22"/>
          <w:szCs w:val="22"/>
          <w:lang w:val="fr-FR" w:eastAsia="en-US"/>
        </w:rPr>
        <w:t xml:space="preserve"> qu</w:t>
      </w:r>
      <w:r w:rsidR="008E532B">
        <w:rPr>
          <w:rFonts w:ascii="Arial" w:eastAsia="SimSun" w:hAnsi="Arial" w:cs="Arial"/>
          <w:bCs/>
          <w:sz w:val="22"/>
          <w:szCs w:val="22"/>
          <w:lang w:val="fr-FR" w:eastAsia="en-US"/>
        </w:rPr>
        <w:t>’</w:t>
      </w:r>
      <w:r w:rsidRPr="002749CD">
        <w:rPr>
          <w:rFonts w:ascii="Arial" w:eastAsia="SimSun" w:hAnsi="Arial" w:cs="Arial"/>
          <w:bCs/>
          <w:sz w:val="22"/>
          <w:szCs w:val="22"/>
          <w:lang w:val="fr-FR" w:eastAsia="en-US"/>
        </w:rPr>
        <w:t xml:space="preserve">international. </w:t>
      </w:r>
      <w:r>
        <w:rPr>
          <w:rFonts w:ascii="Arial" w:eastAsia="SimSun" w:hAnsi="Arial" w:cs="Arial"/>
          <w:bCs/>
          <w:sz w:val="22"/>
          <w:szCs w:val="22"/>
          <w:lang w:val="fr-FR" w:eastAsia="en-US"/>
        </w:rPr>
        <w:t xml:space="preserve">Ils étaient </w:t>
      </w:r>
      <w:r w:rsidRPr="002749CD">
        <w:rPr>
          <w:rFonts w:ascii="Arial" w:eastAsia="SimSun" w:hAnsi="Arial" w:cs="Arial"/>
          <w:bCs/>
          <w:sz w:val="22"/>
          <w:szCs w:val="22"/>
          <w:lang w:val="fr-FR" w:eastAsia="en-US"/>
        </w:rPr>
        <w:t>heureu</w:t>
      </w:r>
      <w:r>
        <w:rPr>
          <w:rFonts w:ascii="Arial" w:eastAsia="SimSun" w:hAnsi="Arial" w:cs="Arial"/>
          <w:bCs/>
          <w:sz w:val="22"/>
          <w:szCs w:val="22"/>
          <w:lang w:val="fr-FR" w:eastAsia="en-US"/>
        </w:rPr>
        <w:t>x</w:t>
      </w:r>
      <w:r w:rsidRPr="002749CD">
        <w:rPr>
          <w:rFonts w:ascii="Arial" w:eastAsia="SimSun" w:hAnsi="Arial" w:cs="Arial"/>
          <w:bCs/>
          <w:sz w:val="22"/>
          <w:szCs w:val="22"/>
          <w:lang w:val="fr-FR" w:eastAsia="en-US"/>
        </w:rPr>
        <w:t xml:space="preserve"> que l</w:t>
      </w:r>
      <w:r w:rsidR="008E532B">
        <w:rPr>
          <w:rFonts w:ascii="Arial" w:eastAsia="SimSun" w:hAnsi="Arial" w:cs="Arial"/>
          <w:bCs/>
          <w:sz w:val="22"/>
          <w:szCs w:val="22"/>
          <w:lang w:val="fr-FR" w:eastAsia="en-US"/>
        </w:rPr>
        <w:t>’</w:t>
      </w:r>
      <w:r w:rsidRPr="002749CD">
        <w:rPr>
          <w:rFonts w:ascii="Arial" w:eastAsia="SimSun" w:hAnsi="Arial" w:cs="Arial"/>
          <w:bCs/>
          <w:sz w:val="22"/>
          <w:szCs w:val="22"/>
          <w:lang w:val="fr-FR" w:eastAsia="en-US"/>
        </w:rPr>
        <w:t>accord entre les EAU et l</w:t>
      </w:r>
      <w:r w:rsidR="008E532B">
        <w:rPr>
          <w:rFonts w:ascii="Arial" w:eastAsia="SimSun" w:hAnsi="Arial" w:cs="Arial"/>
          <w:bCs/>
          <w:sz w:val="22"/>
          <w:szCs w:val="22"/>
          <w:lang w:val="fr-FR" w:eastAsia="en-US"/>
        </w:rPr>
        <w:t>’</w:t>
      </w:r>
      <w:r w:rsidRPr="002749CD">
        <w:rPr>
          <w:rFonts w:ascii="Arial" w:eastAsia="SimSun" w:hAnsi="Arial" w:cs="Arial"/>
          <w:bCs/>
          <w:sz w:val="22"/>
          <w:szCs w:val="22"/>
          <w:lang w:val="fr-FR" w:eastAsia="en-US"/>
        </w:rPr>
        <w:t>UNESCO</w:t>
      </w:r>
      <w:r>
        <w:rPr>
          <w:rFonts w:ascii="Arial" w:eastAsia="SimSun" w:hAnsi="Arial" w:cs="Arial"/>
          <w:bCs/>
          <w:sz w:val="22"/>
          <w:szCs w:val="22"/>
          <w:lang w:val="fr-FR" w:eastAsia="en-US"/>
        </w:rPr>
        <w:t>, signé à Sharjah, EAU, en 2021,</w:t>
      </w:r>
      <w:r w:rsidRPr="002749CD">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ait permis d</w:t>
      </w:r>
      <w:r w:rsidR="008E532B">
        <w:rPr>
          <w:rFonts w:ascii="Arial" w:eastAsia="SimSun" w:hAnsi="Arial" w:cs="Arial"/>
          <w:bCs/>
          <w:sz w:val="22"/>
          <w:szCs w:val="22"/>
          <w:lang w:val="fr-FR" w:eastAsia="en-US"/>
        </w:rPr>
        <w:t>’</w:t>
      </w:r>
      <w:r w:rsidRPr="002749CD">
        <w:rPr>
          <w:rFonts w:ascii="Arial" w:eastAsia="SimSun" w:hAnsi="Arial" w:cs="Arial"/>
          <w:bCs/>
          <w:sz w:val="22"/>
          <w:szCs w:val="22"/>
          <w:lang w:val="fr-FR" w:eastAsia="en-US"/>
        </w:rPr>
        <w:t>établir le centre de catégorie 2</w:t>
      </w:r>
      <w:r>
        <w:rPr>
          <w:rStyle w:val="FootnoteReference"/>
          <w:rFonts w:ascii="Arial" w:eastAsia="SimSun" w:hAnsi="Arial" w:cs="Arial"/>
          <w:bCs/>
          <w:sz w:val="22"/>
          <w:szCs w:val="22"/>
          <w:lang w:val="fr-FR" w:eastAsia="en-US"/>
        </w:rPr>
        <w:footnoteReference w:id="25"/>
      </w:r>
      <w:r w:rsidRPr="002749CD">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en matière de</w:t>
      </w:r>
      <w:r w:rsidRPr="002749CD">
        <w:rPr>
          <w:rFonts w:ascii="Arial" w:eastAsia="SimSun" w:hAnsi="Arial" w:cs="Arial"/>
          <w:bCs/>
          <w:sz w:val="22"/>
          <w:szCs w:val="22"/>
          <w:lang w:val="fr-FR" w:eastAsia="en-US"/>
        </w:rPr>
        <w:t xml:space="preserv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2749CD">
        <w:rPr>
          <w:rFonts w:ascii="Arial" w:eastAsia="SimSun" w:hAnsi="Arial" w:cs="Arial"/>
          <w:bCs/>
          <w:sz w:val="22"/>
          <w:szCs w:val="22"/>
          <w:lang w:val="fr-FR" w:eastAsia="en-US"/>
        </w:rPr>
        <w:t>dans les États arabes</w:t>
      </w:r>
      <w:r>
        <w:rPr>
          <w:rFonts w:ascii="Arial" w:eastAsia="SimSun" w:hAnsi="Arial" w:cs="Arial"/>
          <w:bCs/>
          <w:sz w:val="22"/>
          <w:szCs w:val="22"/>
          <w:lang w:val="fr-FR" w:eastAsia="en-US"/>
        </w:rPr>
        <w:t xml:space="preserve">. </w:t>
      </w:r>
      <w:r w:rsidRPr="002749CD">
        <w:rPr>
          <w:rFonts w:ascii="Arial" w:eastAsia="SimSun" w:hAnsi="Arial" w:cs="Arial"/>
          <w:bCs/>
          <w:sz w:val="22"/>
          <w:szCs w:val="22"/>
          <w:lang w:val="fr-FR" w:eastAsia="en-US"/>
        </w:rPr>
        <w:t>Cette initiative avait déjà donné lieu à des événements régionaux de renforcement des capacités à Sharjah avec la participation des États arabes. En outre, le partenariat des EAU avec l</w:t>
      </w:r>
      <w:r w:rsidR="008E532B">
        <w:rPr>
          <w:rFonts w:ascii="Arial" w:eastAsia="SimSun" w:hAnsi="Arial" w:cs="Arial"/>
          <w:bCs/>
          <w:sz w:val="22"/>
          <w:szCs w:val="22"/>
          <w:lang w:val="fr-FR" w:eastAsia="en-US"/>
        </w:rPr>
        <w:t>’</w:t>
      </w:r>
      <w:r w:rsidRPr="002749CD">
        <w:rPr>
          <w:rFonts w:ascii="Arial" w:eastAsia="SimSun" w:hAnsi="Arial" w:cs="Arial"/>
          <w:bCs/>
          <w:sz w:val="22"/>
          <w:szCs w:val="22"/>
          <w:lang w:val="fr-FR" w:eastAsia="en-US"/>
        </w:rPr>
        <w:t>UNESCO et l</w:t>
      </w:r>
      <w:r w:rsidR="008E532B">
        <w:rPr>
          <w:rFonts w:ascii="Arial" w:eastAsia="SimSun" w:hAnsi="Arial" w:cs="Arial"/>
          <w:bCs/>
          <w:sz w:val="22"/>
          <w:szCs w:val="22"/>
          <w:lang w:val="fr-FR" w:eastAsia="en-US"/>
        </w:rPr>
        <w:t>’</w:t>
      </w:r>
      <w:r w:rsidRPr="002749CD">
        <w:rPr>
          <w:rFonts w:ascii="Arial" w:eastAsia="SimSun" w:hAnsi="Arial" w:cs="Arial"/>
          <w:bCs/>
          <w:sz w:val="22"/>
          <w:szCs w:val="22"/>
          <w:lang w:val="fr-FR" w:eastAsia="en-US"/>
        </w:rPr>
        <w:t>initiative</w:t>
      </w:r>
      <w:r>
        <w:rPr>
          <w:rFonts w:ascii="Arial" w:eastAsia="SimSun" w:hAnsi="Arial" w:cs="Arial"/>
          <w:bCs/>
          <w:sz w:val="22"/>
          <w:szCs w:val="22"/>
          <w:lang w:val="fr-FR" w:eastAsia="en-US"/>
        </w:rPr>
        <w:t xml:space="preserve"> « Faire revivre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esprit de Mossoul »</w:t>
      </w:r>
      <w:r>
        <w:rPr>
          <w:rStyle w:val="FootnoteReference"/>
          <w:rFonts w:ascii="Arial" w:eastAsia="SimSun" w:hAnsi="Arial" w:cs="Arial"/>
          <w:bCs/>
          <w:sz w:val="22"/>
          <w:szCs w:val="22"/>
          <w:lang w:val="fr-FR" w:eastAsia="en-US"/>
        </w:rPr>
        <w:footnoteReference w:id="26"/>
      </w:r>
      <w:r w:rsidRPr="002749CD">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était </w:t>
      </w:r>
      <w:r w:rsidRPr="002749CD">
        <w:rPr>
          <w:rFonts w:ascii="Arial" w:eastAsia="SimSun" w:hAnsi="Arial" w:cs="Arial"/>
          <w:bCs/>
          <w:sz w:val="22"/>
          <w:szCs w:val="22"/>
          <w:lang w:val="fr-FR" w:eastAsia="en-US"/>
        </w:rPr>
        <w:t>axé sur le renforcement des capacités. La délégation était fière d</w:t>
      </w:r>
      <w:r w:rsidR="008E532B">
        <w:rPr>
          <w:rFonts w:ascii="Arial" w:eastAsia="SimSun" w:hAnsi="Arial" w:cs="Arial"/>
          <w:bCs/>
          <w:sz w:val="22"/>
          <w:szCs w:val="22"/>
          <w:lang w:val="fr-FR" w:eastAsia="en-US"/>
        </w:rPr>
        <w:t>’</w:t>
      </w:r>
      <w:r w:rsidRPr="002749CD">
        <w:rPr>
          <w:rFonts w:ascii="Arial" w:eastAsia="SimSun" w:hAnsi="Arial" w:cs="Arial"/>
          <w:bCs/>
          <w:sz w:val="22"/>
          <w:szCs w:val="22"/>
          <w:lang w:val="fr-FR" w:eastAsia="en-US"/>
        </w:rPr>
        <w:t xml:space="preserve">annoncer que les programmes </w:t>
      </w:r>
      <w:r>
        <w:rPr>
          <w:rFonts w:ascii="Arial" w:eastAsia="SimSun" w:hAnsi="Arial" w:cs="Arial"/>
          <w:bCs/>
          <w:sz w:val="22"/>
          <w:szCs w:val="22"/>
          <w:lang w:val="fr-FR" w:eastAsia="en-US"/>
        </w:rPr>
        <w:t>avaient</w:t>
      </w:r>
      <w:r w:rsidRPr="002749CD">
        <w:rPr>
          <w:rFonts w:ascii="Arial" w:eastAsia="SimSun" w:hAnsi="Arial" w:cs="Arial"/>
          <w:bCs/>
          <w:sz w:val="22"/>
          <w:szCs w:val="22"/>
          <w:lang w:val="fr-FR" w:eastAsia="en-US"/>
        </w:rPr>
        <w:t xml:space="preserve"> permis de former de nombreux habitants de Mossoul. Les EAU sui</w:t>
      </w:r>
      <w:r>
        <w:rPr>
          <w:rFonts w:ascii="Arial" w:eastAsia="SimSun" w:hAnsi="Arial" w:cs="Arial"/>
          <w:bCs/>
          <w:sz w:val="22"/>
          <w:szCs w:val="22"/>
          <w:lang w:val="fr-FR" w:eastAsia="en-US"/>
        </w:rPr>
        <w:t>vaient</w:t>
      </w:r>
      <w:r w:rsidRPr="002749CD">
        <w:rPr>
          <w:rFonts w:ascii="Arial" w:eastAsia="SimSun" w:hAnsi="Arial" w:cs="Arial"/>
          <w:bCs/>
          <w:sz w:val="22"/>
          <w:szCs w:val="22"/>
          <w:lang w:val="fr-FR" w:eastAsia="en-US"/>
        </w:rPr>
        <w:t xml:space="preserve"> de près les </w:t>
      </w:r>
      <w:r>
        <w:rPr>
          <w:rFonts w:ascii="Arial" w:eastAsia="SimSun" w:hAnsi="Arial" w:cs="Arial"/>
          <w:bCs/>
          <w:sz w:val="22"/>
          <w:szCs w:val="22"/>
          <w:lang w:val="fr-FR" w:eastAsia="en-US"/>
        </w:rPr>
        <w:t xml:space="preserve">avancées </w:t>
      </w:r>
      <w:r w:rsidRPr="002749CD">
        <w:rPr>
          <w:rFonts w:ascii="Arial" w:eastAsia="SimSun" w:hAnsi="Arial" w:cs="Arial"/>
          <w:bCs/>
          <w:sz w:val="22"/>
          <w:szCs w:val="22"/>
          <w:lang w:val="fr-FR" w:eastAsia="en-US"/>
        </w:rPr>
        <w:t>et le discours sur les mécanismes d</w:t>
      </w:r>
      <w:r w:rsidR="008E532B">
        <w:rPr>
          <w:rFonts w:ascii="Arial" w:eastAsia="SimSun" w:hAnsi="Arial" w:cs="Arial"/>
          <w:bCs/>
          <w:sz w:val="22"/>
          <w:szCs w:val="22"/>
          <w:lang w:val="fr-FR" w:eastAsia="en-US"/>
        </w:rPr>
        <w:t>’</w:t>
      </w:r>
      <w:r w:rsidRPr="002749CD">
        <w:rPr>
          <w:rFonts w:ascii="Arial" w:eastAsia="SimSun" w:hAnsi="Arial" w:cs="Arial"/>
          <w:bCs/>
          <w:sz w:val="22"/>
          <w:szCs w:val="22"/>
          <w:lang w:val="fr-FR" w:eastAsia="en-US"/>
        </w:rPr>
        <w:t>inscription sur l</w:t>
      </w:r>
      <w:r>
        <w:rPr>
          <w:rFonts w:ascii="Arial" w:eastAsia="SimSun" w:hAnsi="Arial" w:cs="Arial"/>
          <w:bCs/>
          <w:sz w:val="22"/>
          <w:szCs w:val="22"/>
          <w:lang w:val="fr-FR" w:eastAsia="en-US"/>
        </w:rPr>
        <w:t>es</w:t>
      </w:r>
      <w:r w:rsidRPr="002749CD">
        <w:rPr>
          <w:rFonts w:ascii="Arial" w:eastAsia="SimSun" w:hAnsi="Arial" w:cs="Arial"/>
          <w:bCs/>
          <w:sz w:val="22"/>
          <w:szCs w:val="22"/>
          <w:lang w:val="fr-FR" w:eastAsia="en-US"/>
        </w:rPr>
        <w:t xml:space="preserve"> liste</w:t>
      </w:r>
      <w:r>
        <w:rPr>
          <w:rFonts w:ascii="Arial" w:eastAsia="SimSun" w:hAnsi="Arial" w:cs="Arial"/>
          <w:bCs/>
          <w:sz w:val="22"/>
          <w:szCs w:val="22"/>
          <w:lang w:val="fr-FR" w:eastAsia="en-US"/>
        </w:rPr>
        <w:t>s</w:t>
      </w:r>
      <w:r w:rsidRPr="002749CD">
        <w:rPr>
          <w:rFonts w:ascii="Arial" w:eastAsia="SimSun" w:hAnsi="Arial" w:cs="Arial"/>
          <w:bCs/>
          <w:sz w:val="22"/>
          <w:szCs w:val="22"/>
          <w:lang w:val="fr-FR" w:eastAsia="en-US"/>
        </w:rPr>
        <w:t xml:space="preserve"> et ils attend</w:t>
      </w:r>
      <w:r>
        <w:rPr>
          <w:rFonts w:ascii="Arial" w:eastAsia="SimSun" w:hAnsi="Arial" w:cs="Arial"/>
          <w:bCs/>
          <w:sz w:val="22"/>
          <w:szCs w:val="22"/>
          <w:lang w:val="fr-FR" w:eastAsia="en-US"/>
        </w:rPr>
        <w:t>ai</w:t>
      </w:r>
      <w:r w:rsidRPr="002749CD">
        <w:rPr>
          <w:rFonts w:ascii="Arial" w:eastAsia="SimSun" w:hAnsi="Arial" w:cs="Arial"/>
          <w:bCs/>
          <w:sz w:val="22"/>
          <w:szCs w:val="22"/>
          <w:lang w:val="fr-FR" w:eastAsia="en-US"/>
        </w:rPr>
        <w:t xml:space="preserve">ent avec impatience une voie qui soit satisfaisante pour tous. Les EAU </w:t>
      </w:r>
      <w:r>
        <w:rPr>
          <w:rFonts w:ascii="Arial" w:eastAsia="SimSun" w:hAnsi="Arial" w:cs="Arial"/>
          <w:bCs/>
          <w:sz w:val="22"/>
          <w:szCs w:val="22"/>
          <w:lang w:val="fr-FR" w:eastAsia="en-US"/>
        </w:rPr>
        <w:t xml:space="preserve">appréciaient </w:t>
      </w:r>
      <w:r w:rsidRPr="002749CD">
        <w:rPr>
          <w:rFonts w:ascii="Arial" w:eastAsia="SimSun" w:hAnsi="Arial" w:cs="Arial"/>
          <w:bCs/>
          <w:sz w:val="22"/>
          <w:szCs w:val="22"/>
          <w:lang w:val="fr-FR" w:eastAsia="en-US"/>
        </w:rPr>
        <w:t>également les efforts de l</w:t>
      </w:r>
      <w:r w:rsidR="008E532B">
        <w:rPr>
          <w:rFonts w:ascii="Arial" w:eastAsia="SimSun" w:hAnsi="Arial" w:cs="Arial"/>
          <w:bCs/>
          <w:sz w:val="22"/>
          <w:szCs w:val="22"/>
          <w:lang w:val="fr-FR" w:eastAsia="en-US"/>
        </w:rPr>
        <w:t>’</w:t>
      </w:r>
      <w:r w:rsidRPr="002749CD">
        <w:rPr>
          <w:rFonts w:ascii="Arial" w:eastAsia="SimSun" w:hAnsi="Arial" w:cs="Arial"/>
          <w:bCs/>
          <w:sz w:val="22"/>
          <w:szCs w:val="22"/>
          <w:lang w:val="fr-FR" w:eastAsia="en-US"/>
        </w:rPr>
        <w:t xml:space="preserve">UNESCO </w:t>
      </w:r>
      <w:r>
        <w:rPr>
          <w:rFonts w:ascii="Arial" w:eastAsia="SimSun" w:hAnsi="Arial" w:cs="Arial"/>
          <w:bCs/>
          <w:sz w:val="22"/>
          <w:szCs w:val="22"/>
          <w:lang w:val="fr-FR" w:eastAsia="en-US"/>
        </w:rPr>
        <w:t>en matière de</w:t>
      </w:r>
      <w:r w:rsidRPr="002749CD">
        <w:rPr>
          <w:rFonts w:ascii="Arial" w:eastAsia="SimSun" w:hAnsi="Arial" w:cs="Arial"/>
          <w:bCs/>
          <w:sz w:val="22"/>
          <w:szCs w:val="22"/>
          <w:lang w:val="fr-FR" w:eastAsia="en-US"/>
        </w:rPr>
        <w:t xml:space="preserve"> commercialisation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2749CD">
        <w:rPr>
          <w:rFonts w:ascii="Arial" w:eastAsia="SimSun" w:hAnsi="Arial" w:cs="Arial"/>
          <w:bCs/>
          <w:sz w:val="22"/>
          <w:szCs w:val="22"/>
          <w:lang w:val="fr-FR" w:eastAsia="en-US"/>
        </w:rPr>
        <w:t xml:space="preserve">et </w:t>
      </w:r>
      <w:r>
        <w:rPr>
          <w:rFonts w:ascii="Arial" w:eastAsia="SimSun" w:hAnsi="Arial" w:cs="Arial"/>
          <w:bCs/>
          <w:sz w:val="22"/>
          <w:szCs w:val="22"/>
          <w:lang w:val="fr-FR" w:eastAsia="en-US"/>
        </w:rPr>
        <w:t>de</w:t>
      </w:r>
      <w:r w:rsidRPr="002749CD">
        <w:rPr>
          <w:rFonts w:ascii="Arial" w:eastAsia="SimSun" w:hAnsi="Arial" w:cs="Arial"/>
          <w:bCs/>
          <w:sz w:val="22"/>
          <w:szCs w:val="22"/>
          <w:lang w:val="fr-FR" w:eastAsia="en-US"/>
        </w:rPr>
        <w:t xml:space="preserve"> sauvegarde du patrimoine vivant dans les contextes urbains. Ils attend</w:t>
      </w:r>
      <w:r>
        <w:rPr>
          <w:rFonts w:ascii="Arial" w:eastAsia="SimSun" w:hAnsi="Arial" w:cs="Arial"/>
          <w:bCs/>
          <w:sz w:val="22"/>
          <w:szCs w:val="22"/>
          <w:lang w:val="fr-FR" w:eastAsia="en-US"/>
        </w:rPr>
        <w:t>ai</w:t>
      </w:r>
      <w:r w:rsidRPr="002749CD">
        <w:rPr>
          <w:rFonts w:ascii="Arial" w:eastAsia="SimSun" w:hAnsi="Arial" w:cs="Arial"/>
          <w:bCs/>
          <w:sz w:val="22"/>
          <w:szCs w:val="22"/>
          <w:lang w:val="fr-FR" w:eastAsia="en-US"/>
        </w:rPr>
        <w:t>ent avec impatience les directives et les recommandations qui ser</w:t>
      </w:r>
      <w:r>
        <w:rPr>
          <w:rFonts w:ascii="Arial" w:eastAsia="SimSun" w:hAnsi="Arial" w:cs="Arial"/>
          <w:bCs/>
          <w:sz w:val="22"/>
          <w:szCs w:val="22"/>
          <w:lang w:val="fr-FR" w:eastAsia="en-US"/>
        </w:rPr>
        <w:t>aie</w:t>
      </w:r>
      <w:r w:rsidRPr="002749CD">
        <w:rPr>
          <w:rFonts w:ascii="Arial" w:eastAsia="SimSun" w:hAnsi="Arial" w:cs="Arial"/>
          <w:bCs/>
          <w:sz w:val="22"/>
          <w:szCs w:val="22"/>
          <w:lang w:val="fr-FR" w:eastAsia="en-US"/>
        </w:rPr>
        <w:t xml:space="preserve">nt </w:t>
      </w:r>
      <w:r>
        <w:rPr>
          <w:rFonts w:ascii="Arial" w:eastAsia="SimSun" w:hAnsi="Arial" w:cs="Arial"/>
          <w:bCs/>
          <w:sz w:val="22"/>
          <w:szCs w:val="22"/>
          <w:lang w:val="fr-FR" w:eastAsia="en-US"/>
        </w:rPr>
        <w:t xml:space="preserve">communiquées </w:t>
      </w:r>
      <w:r w:rsidRPr="002749CD">
        <w:rPr>
          <w:rFonts w:ascii="Arial" w:eastAsia="SimSun" w:hAnsi="Arial" w:cs="Arial"/>
          <w:bCs/>
          <w:sz w:val="22"/>
          <w:szCs w:val="22"/>
          <w:lang w:val="fr-FR" w:eastAsia="en-US"/>
        </w:rPr>
        <w:t>par le Secrétariat.</w:t>
      </w:r>
    </w:p>
    <w:p w14:paraId="05ECB50A" w14:textId="1F89A782" w:rsidR="00D9653F" w:rsidRPr="00103ABA"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103ABA">
        <w:rPr>
          <w:rFonts w:ascii="Arial" w:eastAsia="SimSun" w:hAnsi="Arial" w:cs="Arial"/>
          <w:bCs/>
          <w:sz w:val="22"/>
          <w:szCs w:val="22"/>
          <w:lang w:val="fr-FR" w:eastAsia="en-US"/>
        </w:rPr>
        <w:t xml:space="preserve">La délégation de la </w:t>
      </w:r>
      <w:r w:rsidRPr="00103ABA">
        <w:rPr>
          <w:rFonts w:ascii="Arial" w:eastAsia="SimSun" w:hAnsi="Arial" w:cs="Arial"/>
          <w:b/>
          <w:sz w:val="22"/>
          <w:szCs w:val="22"/>
          <w:lang w:val="fr-FR" w:eastAsia="en-US"/>
        </w:rPr>
        <w:t>Pologne</w:t>
      </w:r>
      <w:r w:rsidRPr="00103ABA">
        <w:rPr>
          <w:rFonts w:ascii="Arial" w:eastAsia="SimSun" w:hAnsi="Arial" w:cs="Arial"/>
          <w:bCs/>
          <w:sz w:val="22"/>
          <w:szCs w:val="22"/>
          <w:lang w:val="fr-FR" w:eastAsia="en-US"/>
        </w:rPr>
        <w:t xml:space="preserve"> a remercié le Secrétariat pour son travail </w:t>
      </w:r>
      <w:r>
        <w:rPr>
          <w:rFonts w:ascii="Arial" w:eastAsia="SimSun" w:hAnsi="Arial" w:cs="Arial"/>
          <w:bCs/>
          <w:sz w:val="22"/>
          <w:szCs w:val="22"/>
          <w:lang w:val="fr-FR" w:eastAsia="en-US"/>
        </w:rPr>
        <w:t xml:space="preserve">acharné </w:t>
      </w:r>
      <w:r w:rsidRPr="00103ABA">
        <w:rPr>
          <w:rFonts w:ascii="Arial" w:eastAsia="SimSun" w:hAnsi="Arial" w:cs="Arial"/>
          <w:bCs/>
          <w:sz w:val="22"/>
          <w:szCs w:val="22"/>
          <w:lang w:val="fr-FR" w:eastAsia="en-US"/>
        </w:rPr>
        <w:t>dans la mise en œuvre de la Convention et pour son rapport détaillé et</w:t>
      </w:r>
      <w:r>
        <w:rPr>
          <w:rFonts w:ascii="Arial" w:eastAsia="SimSun" w:hAnsi="Arial" w:cs="Arial"/>
          <w:bCs/>
          <w:sz w:val="22"/>
          <w:szCs w:val="22"/>
          <w:lang w:val="fr-FR" w:eastAsia="en-US"/>
        </w:rPr>
        <w:t xml:space="preserve"> exhaustif</w:t>
      </w:r>
      <w:r w:rsidRPr="00103ABA">
        <w:rPr>
          <w:rFonts w:ascii="Arial" w:eastAsia="SimSun" w:hAnsi="Arial" w:cs="Arial"/>
          <w:bCs/>
          <w:sz w:val="22"/>
          <w:szCs w:val="22"/>
          <w:lang w:val="fr-FR" w:eastAsia="en-US"/>
        </w:rPr>
        <w:t xml:space="preserve">. Les défis </w:t>
      </w:r>
      <w:r>
        <w:rPr>
          <w:rFonts w:ascii="Arial" w:eastAsia="SimSun" w:hAnsi="Arial" w:cs="Arial"/>
          <w:bCs/>
          <w:sz w:val="22"/>
          <w:szCs w:val="22"/>
          <w:lang w:val="fr-FR" w:eastAsia="en-US"/>
        </w:rPr>
        <w:t>avaient</w:t>
      </w:r>
      <w:r w:rsidRPr="00103ABA">
        <w:rPr>
          <w:rFonts w:ascii="Arial" w:eastAsia="SimSun" w:hAnsi="Arial" w:cs="Arial"/>
          <w:bCs/>
          <w:sz w:val="22"/>
          <w:szCs w:val="22"/>
          <w:lang w:val="fr-FR" w:eastAsia="en-US"/>
        </w:rPr>
        <w:t xml:space="preserve"> été nombreux au cours des deux dernières années et elle </w:t>
      </w:r>
      <w:r>
        <w:rPr>
          <w:rFonts w:ascii="Arial" w:eastAsia="SimSun" w:hAnsi="Arial" w:cs="Arial"/>
          <w:bCs/>
          <w:sz w:val="22"/>
          <w:szCs w:val="22"/>
          <w:lang w:val="fr-FR" w:eastAsia="en-US"/>
        </w:rPr>
        <w:t xml:space="preserve">a donc accueilli avec </w:t>
      </w:r>
      <w:r w:rsidRPr="00103ABA">
        <w:rPr>
          <w:rFonts w:ascii="Arial" w:eastAsia="SimSun" w:hAnsi="Arial" w:cs="Arial"/>
          <w:bCs/>
          <w:sz w:val="22"/>
          <w:szCs w:val="22"/>
          <w:lang w:val="fr-FR" w:eastAsia="en-US"/>
        </w:rPr>
        <w:t>satisfaction la publication</w:t>
      </w:r>
      <w:r>
        <w:rPr>
          <w:rFonts w:ascii="Arial" w:eastAsia="SimSun" w:hAnsi="Arial" w:cs="Arial"/>
          <w:bCs/>
          <w:sz w:val="22"/>
          <w:szCs w:val="22"/>
          <w:lang w:val="fr-FR" w:eastAsia="en-US"/>
        </w:rPr>
        <w:t xml:space="preserve"> du rapport</w:t>
      </w:r>
      <w:r w:rsidRPr="00103ABA">
        <w:rPr>
          <w:rFonts w:ascii="Arial" w:eastAsia="SimSun" w:hAnsi="Arial" w:cs="Arial"/>
          <w:bCs/>
          <w:sz w:val="22"/>
          <w:szCs w:val="22"/>
          <w:lang w:val="fr-FR" w:eastAsia="en-US"/>
        </w:rPr>
        <w:t xml:space="preserve"> </w:t>
      </w:r>
      <w:r w:rsidRPr="00103ABA">
        <w:rPr>
          <w:rFonts w:ascii="Arial" w:eastAsia="SimSun" w:hAnsi="Arial" w:cs="Arial"/>
          <w:bCs/>
          <w:i/>
          <w:iCs/>
          <w:sz w:val="22"/>
          <w:szCs w:val="22"/>
          <w:lang w:val="fr-FR" w:eastAsia="en-US"/>
        </w:rPr>
        <w:t xml:space="preserve">Le patrimoine vivant face à </w:t>
      </w:r>
      <w:r>
        <w:rPr>
          <w:rFonts w:ascii="Arial" w:eastAsia="SimSun" w:hAnsi="Arial" w:cs="Arial"/>
          <w:bCs/>
          <w:i/>
          <w:iCs/>
          <w:sz w:val="22"/>
          <w:szCs w:val="22"/>
          <w:lang w:val="fr-FR" w:eastAsia="en-US"/>
        </w:rPr>
        <w:t xml:space="preserve">la </w:t>
      </w:r>
      <w:r w:rsidRPr="00103ABA">
        <w:rPr>
          <w:rFonts w:ascii="Arial" w:eastAsia="SimSun" w:hAnsi="Arial" w:cs="Arial"/>
          <w:bCs/>
          <w:i/>
          <w:iCs/>
          <w:sz w:val="22"/>
          <w:szCs w:val="22"/>
          <w:lang w:val="fr-FR" w:eastAsia="en-US"/>
        </w:rPr>
        <w:t>COVID</w:t>
      </w:r>
      <w:r>
        <w:rPr>
          <w:rFonts w:ascii="Arial" w:eastAsia="SimSun" w:hAnsi="Arial" w:cs="Arial"/>
          <w:bCs/>
          <w:i/>
          <w:iCs/>
          <w:sz w:val="22"/>
          <w:szCs w:val="22"/>
          <w:lang w:val="fr-FR" w:eastAsia="en-US"/>
        </w:rPr>
        <w:noBreakHyphen/>
      </w:r>
      <w:r w:rsidRPr="00103ABA">
        <w:rPr>
          <w:rFonts w:ascii="Arial" w:eastAsia="SimSun" w:hAnsi="Arial" w:cs="Arial"/>
          <w:bCs/>
          <w:i/>
          <w:iCs/>
          <w:sz w:val="22"/>
          <w:szCs w:val="22"/>
          <w:lang w:val="fr-FR" w:eastAsia="en-US"/>
        </w:rPr>
        <w:t>19</w:t>
      </w:r>
      <w:r w:rsidRPr="00103ABA">
        <w:rPr>
          <w:rFonts w:ascii="Arial" w:eastAsia="SimSun" w:hAnsi="Arial" w:cs="Arial"/>
          <w:bCs/>
          <w:sz w:val="22"/>
          <w:szCs w:val="22"/>
          <w:lang w:val="fr-FR" w:eastAsia="en-US"/>
        </w:rPr>
        <w:t xml:space="preserve"> qui présent</w:t>
      </w:r>
      <w:r>
        <w:rPr>
          <w:rFonts w:ascii="Arial" w:eastAsia="SimSun" w:hAnsi="Arial" w:cs="Arial"/>
          <w:bCs/>
          <w:sz w:val="22"/>
          <w:szCs w:val="22"/>
          <w:lang w:val="fr-FR" w:eastAsia="en-US"/>
        </w:rPr>
        <w:t>ait</w:t>
      </w:r>
      <w:r w:rsidRPr="00103ABA">
        <w:rPr>
          <w:rFonts w:ascii="Arial" w:eastAsia="SimSun" w:hAnsi="Arial" w:cs="Arial"/>
          <w:bCs/>
          <w:sz w:val="22"/>
          <w:szCs w:val="22"/>
          <w:lang w:val="fr-FR" w:eastAsia="en-US"/>
        </w:rPr>
        <w:t xml:space="preserve"> un ensemble de recommandations mettant en lumière la manière dont le patrimoine vivant, sa pratique et sa transmission </w:t>
      </w:r>
      <w:r>
        <w:rPr>
          <w:rFonts w:ascii="Arial" w:eastAsia="SimSun" w:hAnsi="Arial" w:cs="Arial"/>
          <w:bCs/>
          <w:sz w:val="22"/>
          <w:szCs w:val="22"/>
          <w:lang w:val="fr-FR" w:eastAsia="en-US"/>
        </w:rPr>
        <w:t>avaient</w:t>
      </w:r>
      <w:r w:rsidRPr="00103ABA">
        <w:rPr>
          <w:rFonts w:ascii="Arial" w:eastAsia="SimSun" w:hAnsi="Arial" w:cs="Arial"/>
          <w:bCs/>
          <w:sz w:val="22"/>
          <w:szCs w:val="22"/>
          <w:lang w:val="fr-FR" w:eastAsia="en-US"/>
        </w:rPr>
        <w:t xml:space="preserve"> été perturbés par la pandémie. En cette période de réformes et de réflexion sur les mécanismes de la Convention, il était crucial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accorder</w:t>
      </w:r>
      <w:r w:rsidRPr="00103ABA">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103ABA">
        <w:rPr>
          <w:rFonts w:ascii="Arial" w:eastAsia="SimSun" w:hAnsi="Arial" w:cs="Arial"/>
          <w:bCs/>
          <w:sz w:val="22"/>
          <w:szCs w:val="22"/>
          <w:lang w:val="fr-FR" w:eastAsia="en-US"/>
        </w:rPr>
        <w:t>assistance la plus professionnelle. Pour cette raison, elle a remercié le Secrétariat pour s</w:t>
      </w:r>
      <w:r>
        <w:rPr>
          <w:rFonts w:ascii="Arial" w:eastAsia="SimSun" w:hAnsi="Arial" w:cs="Arial"/>
          <w:bCs/>
          <w:sz w:val="22"/>
          <w:szCs w:val="22"/>
          <w:lang w:val="fr-FR" w:eastAsia="en-US"/>
        </w:rPr>
        <w:t>on excellente</w:t>
      </w:r>
      <w:r w:rsidRPr="00103ABA">
        <w:rPr>
          <w:rFonts w:ascii="Arial" w:eastAsia="SimSun" w:hAnsi="Arial" w:cs="Arial"/>
          <w:bCs/>
          <w:sz w:val="22"/>
          <w:szCs w:val="22"/>
          <w:lang w:val="fr-FR" w:eastAsia="en-US"/>
        </w:rPr>
        <w:t xml:space="preserve"> coopération et ses efforts </w:t>
      </w:r>
      <w:r>
        <w:rPr>
          <w:rFonts w:ascii="Arial" w:eastAsia="SimSun" w:hAnsi="Arial" w:cs="Arial"/>
          <w:bCs/>
          <w:sz w:val="22"/>
          <w:szCs w:val="22"/>
          <w:lang w:val="fr-FR" w:eastAsia="en-US"/>
        </w:rPr>
        <w:t>considérables afin d</w:t>
      </w:r>
      <w:r w:rsidR="008E532B">
        <w:rPr>
          <w:rFonts w:ascii="Arial" w:eastAsia="SimSun" w:hAnsi="Arial" w:cs="Arial"/>
          <w:bCs/>
          <w:sz w:val="22"/>
          <w:szCs w:val="22"/>
          <w:lang w:val="fr-FR" w:eastAsia="en-US"/>
        </w:rPr>
        <w:t>’</w:t>
      </w:r>
      <w:r w:rsidRPr="00103ABA">
        <w:rPr>
          <w:rFonts w:ascii="Arial" w:eastAsia="SimSun" w:hAnsi="Arial" w:cs="Arial"/>
          <w:bCs/>
          <w:sz w:val="22"/>
          <w:szCs w:val="22"/>
          <w:lang w:val="fr-FR" w:eastAsia="en-US"/>
        </w:rPr>
        <w:t xml:space="preserve">aider les États parties pendant le processus de réflexion globale </w:t>
      </w:r>
      <w:r>
        <w:rPr>
          <w:rFonts w:ascii="Arial" w:eastAsia="SimSun" w:hAnsi="Arial" w:cs="Arial"/>
          <w:bCs/>
          <w:sz w:val="22"/>
          <w:szCs w:val="22"/>
          <w:lang w:val="fr-FR" w:eastAsia="en-US"/>
        </w:rPr>
        <w:t>sur les</w:t>
      </w:r>
      <w:r w:rsidRPr="00103ABA">
        <w:rPr>
          <w:rFonts w:ascii="Arial" w:eastAsia="SimSun" w:hAnsi="Arial" w:cs="Arial"/>
          <w:bCs/>
          <w:sz w:val="22"/>
          <w:szCs w:val="22"/>
          <w:lang w:val="fr-FR" w:eastAsia="en-US"/>
        </w:rPr>
        <w:t xml:space="preserve"> mécanismes d</w:t>
      </w:r>
      <w:r w:rsidR="008E532B">
        <w:rPr>
          <w:rFonts w:ascii="Arial" w:eastAsia="SimSun" w:hAnsi="Arial" w:cs="Arial"/>
          <w:bCs/>
          <w:sz w:val="22"/>
          <w:szCs w:val="22"/>
          <w:lang w:val="fr-FR" w:eastAsia="en-US"/>
        </w:rPr>
        <w:t>’</w:t>
      </w:r>
      <w:r w:rsidRPr="00103ABA">
        <w:rPr>
          <w:rFonts w:ascii="Arial" w:eastAsia="SimSun" w:hAnsi="Arial" w:cs="Arial"/>
          <w:bCs/>
          <w:sz w:val="22"/>
          <w:szCs w:val="22"/>
          <w:lang w:val="fr-FR" w:eastAsia="en-US"/>
        </w:rPr>
        <w:t xml:space="preserve">inscription, la réforme des rapports périodiques et le processus de dialogue. La délégation </w:t>
      </w:r>
      <w:r>
        <w:rPr>
          <w:rFonts w:ascii="Arial" w:eastAsia="SimSun" w:hAnsi="Arial" w:cs="Arial"/>
          <w:bCs/>
          <w:sz w:val="22"/>
          <w:szCs w:val="22"/>
          <w:lang w:val="fr-FR" w:eastAsia="en-US"/>
        </w:rPr>
        <w:t>était impatiente</w:t>
      </w:r>
      <w:r w:rsidRPr="00103ABA">
        <w:rPr>
          <w:rFonts w:ascii="Arial" w:eastAsia="SimSun" w:hAnsi="Arial" w:cs="Arial"/>
          <w:bCs/>
          <w:sz w:val="22"/>
          <w:szCs w:val="22"/>
          <w:lang w:val="fr-FR" w:eastAsia="en-US"/>
        </w:rPr>
        <w:t xml:space="preserve"> de participer à la discussion thématique sur la sauvegarde du </w:t>
      </w:r>
      <w:r w:rsidR="0064242E">
        <w:rPr>
          <w:rFonts w:ascii="Arial" w:eastAsia="SimSun" w:hAnsi="Arial" w:cs="Arial"/>
          <w:bCs/>
          <w:sz w:val="22"/>
          <w:szCs w:val="22"/>
          <w:lang w:val="fr-FR" w:eastAsia="en-US"/>
        </w:rPr>
        <w:t xml:space="preserve">patrimoine culturel </w:t>
      </w:r>
      <w:proofErr w:type="gramStart"/>
      <w:r w:rsidR="0064242E">
        <w:rPr>
          <w:rFonts w:ascii="Arial" w:eastAsia="SimSun" w:hAnsi="Arial" w:cs="Arial"/>
          <w:bCs/>
          <w:sz w:val="22"/>
          <w:szCs w:val="22"/>
          <w:lang w:val="fr-FR" w:eastAsia="en-US"/>
        </w:rPr>
        <w:t>immatériel</w:t>
      </w:r>
      <w:r w:rsidR="0064242E" w:rsidRPr="001C722F">
        <w:rPr>
          <w:rFonts w:ascii="Arial" w:eastAsia="SimSun" w:hAnsi="Arial" w:cs="Arial"/>
          <w:bCs/>
          <w:sz w:val="22"/>
          <w:szCs w:val="22"/>
          <w:lang w:val="fr-FR" w:eastAsia="en-US"/>
        </w:rPr>
        <w:t xml:space="preserve"> </w:t>
      </w:r>
      <w:r w:rsidRPr="00103ABA">
        <w:rPr>
          <w:rFonts w:ascii="Arial" w:eastAsia="SimSun" w:hAnsi="Arial" w:cs="Arial"/>
          <w:bCs/>
          <w:sz w:val="22"/>
          <w:szCs w:val="22"/>
          <w:lang w:val="fr-FR" w:eastAsia="en-US"/>
        </w:rPr>
        <w:t>,</w:t>
      </w:r>
      <w:proofErr w:type="gramEnd"/>
      <w:r w:rsidRPr="00103ABA">
        <w:rPr>
          <w:rFonts w:ascii="Arial" w:eastAsia="SimSun" w:hAnsi="Arial" w:cs="Arial"/>
          <w:bCs/>
          <w:sz w:val="22"/>
          <w:szCs w:val="22"/>
          <w:lang w:val="fr-FR" w:eastAsia="en-US"/>
        </w:rPr>
        <w:t xml:space="preserve"> ainsi</w:t>
      </w:r>
      <w:r>
        <w:rPr>
          <w:rFonts w:ascii="Arial" w:eastAsia="SimSun" w:hAnsi="Arial" w:cs="Arial"/>
          <w:bCs/>
          <w:sz w:val="22"/>
          <w:szCs w:val="22"/>
          <w:lang w:val="fr-FR" w:eastAsia="en-US"/>
        </w:rPr>
        <w:t xml:space="preserve"> que</w:t>
      </w:r>
      <w:r w:rsidRPr="00103ABA">
        <w:rPr>
          <w:rFonts w:ascii="Arial" w:eastAsia="SimSun" w:hAnsi="Arial" w:cs="Arial"/>
          <w:bCs/>
          <w:sz w:val="22"/>
          <w:szCs w:val="22"/>
          <w:lang w:val="fr-FR" w:eastAsia="en-US"/>
        </w:rPr>
        <w:t xml:space="preserve"> de contribuer à l</w:t>
      </w:r>
      <w:r w:rsidR="008E532B">
        <w:rPr>
          <w:rFonts w:ascii="Arial" w:eastAsia="SimSun" w:hAnsi="Arial" w:cs="Arial"/>
          <w:bCs/>
          <w:sz w:val="22"/>
          <w:szCs w:val="22"/>
          <w:lang w:val="fr-FR" w:eastAsia="en-US"/>
        </w:rPr>
        <w:t>’</w:t>
      </w:r>
      <w:r w:rsidRPr="00103ABA">
        <w:rPr>
          <w:rFonts w:ascii="Arial" w:eastAsia="SimSun" w:hAnsi="Arial" w:cs="Arial"/>
          <w:bCs/>
          <w:sz w:val="22"/>
          <w:szCs w:val="22"/>
          <w:lang w:val="fr-FR" w:eastAsia="en-US"/>
        </w:rPr>
        <w:t>approche holistique de la sauvegarde du patrimoine et du développement durable. Cela exige</w:t>
      </w:r>
      <w:r>
        <w:rPr>
          <w:rFonts w:ascii="Arial" w:eastAsia="SimSun" w:hAnsi="Arial" w:cs="Arial"/>
          <w:bCs/>
          <w:sz w:val="22"/>
          <w:szCs w:val="22"/>
          <w:lang w:val="fr-FR" w:eastAsia="en-US"/>
        </w:rPr>
        <w:t>ait</w:t>
      </w:r>
      <w:r w:rsidRPr="00103ABA">
        <w:rPr>
          <w:rFonts w:ascii="Arial" w:eastAsia="SimSun" w:hAnsi="Arial" w:cs="Arial"/>
          <w:bCs/>
          <w:sz w:val="22"/>
          <w:szCs w:val="22"/>
          <w:lang w:val="fr-FR" w:eastAsia="en-US"/>
        </w:rPr>
        <w:t xml:space="preserve"> une réflexion plus approfondie sur l</w:t>
      </w:r>
      <w:r w:rsidR="008E532B">
        <w:rPr>
          <w:rFonts w:ascii="Arial" w:eastAsia="SimSun" w:hAnsi="Arial" w:cs="Arial"/>
          <w:bCs/>
          <w:sz w:val="22"/>
          <w:szCs w:val="22"/>
          <w:lang w:val="fr-FR" w:eastAsia="en-US"/>
        </w:rPr>
        <w:t>’</w:t>
      </w:r>
      <w:r w:rsidRPr="00103ABA">
        <w:rPr>
          <w:rFonts w:ascii="Arial" w:eastAsia="SimSun" w:hAnsi="Arial" w:cs="Arial"/>
          <w:bCs/>
          <w:sz w:val="22"/>
          <w:szCs w:val="22"/>
          <w:lang w:val="fr-FR" w:eastAsia="en-US"/>
        </w:rPr>
        <w:t xml:space="preserve">approche du changement climatique, de la commercialisation et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03ABA">
        <w:rPr>
          <w:rFonts w:ascii="Arial" w:eastAsia="SimSun" w:hAnsi="Arial" w:cs="Arial"/>
          <w:bCs/>
          <w:sz w:val="22"/>
          <w:szCs w:val="22"/>
          <w:lang w:val="fr-FR" w:eastAsia="en-US"/>
        </w:rPr>
        <w:t xml:space="preserve">dans les contextes urbains. </w:t>
      </w:r>
      <w:r>
        <w:rPr>
          <w:rFonts w:ascii="Arial" w:eastAsia="SimSun" w:hAnsi="Arial" w:cs="Arial"/>
          <w:bCs/>
          <w:sz w:val="22"/>
          <w:szCs w:val="22"/>
          <w:lang w:val="fr-FR" w:eastAsia="en-US"/>
        </w:rPr>
        <w:t>Elle</w:t>
      </w:r>
      <w:r w:rsidRPr="00103ABA">
        <w:rPr>
          <w:rFonts w:ascii="Arial" w:eastAsia="SimSun" w:hAnsi="Arial" w:cs="Arial"/>
          <w:bCs/>
          <w:sz w:val="22"/>
          <w:szCs w:val="22"/>
          <w:lang w:val="fr-FR" w:eastAsia="en-US"/>
        </w:rPr>
        <w:t xml:space="preserve"> a estimé que l</w:t>
      </w:r>
      <w:r>
        <w:rPr>
          <w:rFonts w:ascii="Arial" w:eastAsia="SimSun" w:hAnsi="Arial" w:cs="Arial"/>
          <w:bCs/>
          <w:sz w:val="22"/>
          <w:szCs w:val="22"/>
          <w:lang w:val="fr-FR" w:eastAsia="en-US"/>
        </w:rPr>
        <w:t>e lancement du travail sur l</w:t>
      </w:r>
      <w:r w:rsidRPr="00103ABA">
        <w:rPr>
          <w:rFonts w:ascii="Arial" w:eastAsia="SimSun" w:hAnsi="Arial" w:cs="Arial"/>
          <w:bCs/>
          <w:sz w:val="22"/>
          <w:szCs w:val="22"/>
          <w:lang w:val="fr-FR" w:eastAsia="en-US"/>
        </w:rPr>
        <w:t xml:space="preserve">es thèmes </w:t>
      </w:r>
      <w:r>
        <w:rPr>
          <w:rFonts w:ascii="Arial" w:eastAsia="SimSun" w:hAnsi="Arial" w:cs="Arial"/>
          <w:bCs/>
          <w:sz w:val="22"/>
          <w:szCs w:val="22"/>
          <w:lang w:val="fr-FR" w:eastAsia="en-US"/>
        </w:rPr>
        <w:t xml:space="preserve">du </w:t>
      </w:r>
      <w:r w:rsidR="0064242E">
        <w:rPr>
          <w:rFonts w:ascii="Arial" w:eastAsia="SimSun" w:hAnsi="Arial" w:cs="Arial"/>
          <w:bCs/>
          <w:sz w:val="22"/>
          <w:szCs w:val="22"/>
          <w:lang w:val="fr-FR" w:eastAsia="en-US"/>
        </w:rPr>
        <w:t>patrimoine culturel immatériel</w:t>
      </w:r>
      <w:r w:rsidRPr="00103ABA">
        <w:rPr>
          <w:rFonts w:ascii="Arial" w:eastAsia="SimSun" w:hAnsi="Arial" w:cs="Arial"/>
          <w:bCs/>
          <w:sz w:val="22"/>
          <w:szCs w:val="22"/>
          <w:lang w:val="fr-FR" w:eastAsia="en-US"/>
        </w:rPr>
        <w:t xml:space="preserve"> dans les situations d</w:t>
      </w:r>
      <w:r w:rsidR="008E532B">
        <w:rPr>
          <w:rFonts w:ascii="Arial" w:eastAsia="SimSun" w:hAnsi="Arial" w:cs="Arial"/>
          <w:bCs/>
          <w:sz w:val="22"/>
          <w:szCs w:val="22"/>
          <w:lang w:val="fr-FR" w:eastAsia="en-US"/>
        </w:rPr>
        <w:t>’</w:t>
      </w:r>
      <w:r w:rsidRPr="00103ABA">
        <w:rPr>
          <w:rFonts w:ascii="Arial" w:eastAsia="SimSun" w:hAnsi="Arial" w:cs="Arial"/>
          <w:bCs/>
          <w:sz w:val="22"/>
          <w:szCs w:val="22"/>
          <w:lang w:val="fr-FR" w:eastAsia="en-US"/>
        </w:rPr>
        <w:t xml:space="preserve">urgence et </w:t>
      </w:r>
      <w:r>
        <w:rPr>
          <w:rFonts w:ascii="Arial" w:eastAsia="SimSun" w:hAnsi="Arial" w:cs="Arial"/>
          <w:bCs/>
          <w:sz w:val="22"/>
          <w:szCs w:val="22"/>
          <w:lang w:val="fr-FR" w:eastAsia="en-US"/>
        </w:rPr>
        <w:t>du</w:t>
      </w:r>
      <w:r w:rsidRPr="00103ABA">
        <w:rPr>
          <w:rFonts w:ascii="Arial" w:eastAsia="SimSun" w:hAnsi="Arial" w:cs="Arial"/>
          <w:bCs/>
          <w:sz w:val="22"/>
          <w:szCs w:val="22"/>
          <w:lang w:val="fr-FR" w:eastAsia="en-US"/>
        </w:rPr>
        <w:t xml:space="preserv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03ABA">
        <w:rPr>
          <w:rFonts w:ascii="Arial" w:eastAsia="SimSun" w:hAnsi="Arial" w:cs="Arial"/>
          <w:bCs/>
          <w:sz w:val="22"/>
          <w:szCs w:val="22"/>
          <w:lang w:val="fr-FR" w:eastAsia="en-US"/>
        </w:rPr>
        <w:t>et l</w:t>
      </w:r>
      <w:r w:rsidR="008E532B">
        <w:rPr>
          <w:rFonts w:ascii="Arial" w:eastAsia="SimSun" w:hAnsi="Arial" w:cs="Arial"/>
          <w:bCs/>
          <w:sz w:val="22"/>
          <w:szCs w:val="22"/>
          <w:lang w:val="fr-FR" w:eastAsia="en-US"/>
        </w:rPr>
        <w:t>’</w:t>
      </w:r>
      <w:r w:rsidRPr="00103ABA">
        <w:rPr>
          <w:rFonts w:ascii="Arial" w:eastAsia="SimSun" w:hAnsi="Arial" w:cs="Arial"/>
          <w:bCs/>
          <w:sz w:val="22"/>
          <w:szCs w:val="22"/>
          <w:lang w:val="fr-FR" w:eastAsia="en-US"/>
        </w:rPr>
        <w:t>éducation était opportun et nécessaire.</w:t>
      </w:r>
    </w:p>
    <w:p w14:paraId="64E9FA67" w14:textId="3950E93E" w:rsidR="00D9653F" w:rsidRPr="00425D76"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425D76">
        <w:rPr>
          <w:rFonts w:ascii="Arial" w:eastAsia="SimSun" w:hAnsi="Arial" w:cs="Arial"/>
          <w:bCs/>
          <w:sz w:val="22"/>
          <w:szCs w:val="22"/>
          <w:lang w:val="fr-FR" w:eastAsia="en-US"/>
        </w:rPr>
        <w:t xml:space="preserve">La délégation du </w:t>
      </w:r>
      <w:r w:rsidRPr="00425D76">
        <w:rPr>
          <w:rFonts w:ascii="Arial" w:eastAsia="SimSun" w:hAnsi="Arial" w:cs="Arial"/>
          <w:b/>
          <w:sz w:val="22"/>
          <w:szCs w:val="22"/>
          <w:lang w:val="fr-FR" w:eastAsia="en-US"/>
        </w:rPr>
        <w:t>Pérou</w:t>
      </w:r>
      <w:r w:rsidRPr="00425D76">
        <w:rPr>
          <w:rFonts w:ascii="Arial" w:eastAsia="SimSun" w:hAnsi="Arial" w:cs="Arial"/>
          <w:bCs/>
          <w:sz w:val="22"/>
          <w:szCs w:val="22"/>
          <w:lang w:val="fr-FR" w:eastAsia="en-US"/>
        </w:rPr>
        <w:t xml:space="preserve"> a félicité la Présidente et les membres du Bureau nouvellement élus, et a souhaité la bienvenue à l</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 xml:space="preserve">Angola et à la Somalie au sein de la Convention. Elle a remercié le Sous-Directeur général et a souhaité un prompt rétablissement à M. Tim Curtis. La délégation a félicité le Secrétariat pour son excellent rapport sur les activités entreprises pendant la période </w:t>
      </w:r>
      <w:r>
        <w:rPr>
          <w:rFonts w:ascii="Arial" w:eastAsia="SimSun" w:hAnsi="Arial" w:cs="Arial"/>
          <w:bCs/>
          <w:sz w:val="22"/>
          <w:szCs w:val="22"/>
          <w:lang w:val="fr-FR" w:eastAsia="en-US"/>
        </w:rPr>
        <w:t xml:space="preserve">concernée par le rapport, </w:t>
      </w:r>
      <w:r w:rsidRPr="00425D76">
        <w:rPr>
          <w:rFonts w:ascii="Arial" w:eastAsia="SimSun" w:hAnsi="Arial" w:cs="Arial"/>
          <w:bCs/>
          <w:sz w:val="22"/>
          <w:szCs w:val="22"/>
          <w:lang w:val="fr-FR" w:eastAsia="en-US"/>
        </w:rPr>
        <w:t xml:space="preserve">malgré la crise sanitaire. Le Secrétariat </w:t>
      </w:r>
      <w:r>
        <w:rPr>
          <w:rFonts w:ascii="Arial" w:eastAsia="SimSun" w:hAnsi="Arial" w:cs="Arial"/>
          <w:bCs/>
          <w:sz w:val="22"/>
          <w:szCs w:val="22"/>
          <w:lang w:val="fr-FR" w:eastAsia="en-US"/>
        </w:rPr>
        <w:t>était</w:t>
      </w:r>
      <w:r w:rsidRPr="00425D76">
        <w:rPr>
          <w:rFonts w:ascii="Arial" w:eastAsia="SimSun" w:hAnsi="Arial" w:cs="Arial"/>
          <w:bCs/>
          <w:sz w:val="22"/>
          <w:szCs w:val="22"/>
          <w:lang w:val="fr-FR" w:eastAsia="en-US"/>
        </w:rPr>
        <w:t xml:space="preserve"> un acteur clé </w:t>
      </w:r>
      <w:r>
        <w:rPr>
          <w:rFonts w:ascii="Arial" w:eastAsia="SimSun" w:hAnsi="Arial" w:cs="Arial"/>
          <w:bCs/>
          <w:sz w:val="22"/>
          <w:szCs w:val="22"/>
          <w:lang w:val="fr-FR" w:eastAsia="en-US"/>
        </w:rPr>
        <w:t>pour mettre</w:t>
      </w:r>
      <w:r w:rsidRPr="00425D76">
        <w:rPr>
          <w:rFonts w:ascii="Arial" w:eastAsia="SimSun" w:hAnsi="Arial" w:cs="Arial"/>
          <w:bCs/>
          <w:sz w:val="22"/>
          <w:szCs w:val="22"/>
          <w:lang w:val="fr-FR" w:eastAsia="en-US"/>
        </w:rPr>
        <w:t xml:space="preserve"> en œuvre la Convention et pour atteindre les meilleurs résultats possibles</w:t>
      </w:r>
      <w:r>
        <w:rPr>
          <w:rFonts w:ascii="Arial" w:eastAsia="SimSun" w:hAnsi="Arial" w:cs="Arial"/>
          <w:bCs/>
          <w:sz w:val="22"/>
          <w:szCs w:val="22"/>
          <w:lang w:val="fr-FR" w:eastAsia="en-US"/>
        </w:rPr>
        <w:t xml:space="preserve"> de multiples</w:t>
      </w:r>
      <w:r w:rsidRPr="00425D76">
        <w:rPr>
          <w:rFonts w:ascii="Arial" w:eastAsia="SimSun" w:hAnsi="Arial" w:cs="Arial"/>
          <w:bCs/>
          <w:sz w:val="22"/>
          <w:szCs w:val="22"/>
          <w:lang w:val="fr-FR" w:eastAsia="en-US"/>
        </w:rPr>
        <w:t xml:space="preserve"> objectifs. Le Pérou a également remercié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w:t>
      </w:r>
      <w:r w:rsidRPr="00425D76">
        <w:rPr>
          <w:rFonts w:ascii="Arial" w:eastAsia="SimSun" w:hAnsi="Arial" w:cs="Arial"/>
          <w:bCs/>
          <w:sz w:val="22"/>
          <w:szCs w:val="22"/>
          <w:lang w:val="fr-FR" w:eastAsia="en-US"/>
        </w:rPr>
        <w:t xml:space="preserve">mbassadeur </w:t>
      </w:r>
      <w:proofErr w:type="spellStart"/>
      <w:r w:rsidRPr="00425D76">
        <w:rPr>
          <w:rFonts w:ascii="Arial" w:eastAsia="SimSun" w:hAnsi="Arial" w:cs="Arial"/>
          <w:bCs/>
          <w:sz w:val="22"/>
          <w:szCs w:val="22"/>
          <w:lang w:val="fr-FR" w:eastAsia="en-US"/>
        </w:rPr>
        <w:t>Oike</w:t>
      </w:r>
      <w:proofErr w:type="spellEnd"/>
      <w:r w:rsidRPr="00425D76">
        <w:rPr>
          <w:rFonts w:ascii="Arial" w:eastAsia="SimSun" w:hAnsi="Arial" w:cs="Arial"/>
          <w:bCs/>
          <w:sz w:val="22"/>
          <w:szCs w:val="22"/>
          <w:lang w:val="fr-FR" w:eastAsia="en-US"/>
        </w:rPr>
        <w:t xml:space="preserve"> du Japon pour s</w:t>
      </w:r>
      <w:r>
        <w:rPr>
          <w:rFonts w:ascii="Arial" w:eastAsia="SimSun" w:hAnsi="Arial" w:cs="Arial"/>
          <w:bCs/>
          <w:sz w:val="22"/>
          <w:szCs w:val="22"/>
          <w:lang w:val="fr-FR" w:eastAsia="en-US"/>
        </w:rPr>
        <w:t>a conduite des travaux</w:t>
      </w:r>
      <w:r w:rsidRPr="00425D76">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au sein </w:t>
      </w:r>
      <w:r w:rsidRPr="00425D76">
        <w:rPr>
          <w:rFonts w:ascii="Arial" w:eastAsia="SimSun" w:hAnsi="Arial" w:cs="Arial"/>
          <w:bCs/>
          <w:sz w:val="22"/>
          <w:szCs w:val="22"/>
          <w:lang w:val="fr-FR" w:eastAsia="en-US"/>
        </w:rPr>
        <w:t>du groupe de travail à composition non limitée sur la réflexion globale sur les mécanismes d</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inscription, dont il esp</w:t>
      </w:r>
      <w:r>
        <w:rPr>
          <w:rFonts w:ascii="Arial" w:eastAsia="SimSun" w:hAnsi="Arial" w:cs="Arial"/>
          <w:bCs/>
          <w:sz w:val="22"/>
          <w:szCs w:val="22"/>
          <w:lang w:val="fr-FR" w:eastAsia="en-US"/>
        </w:rPr>
        <w:t>érait</w:t>
      </w:r>
      <w:r w:rsidRPr="00425D76">
        <w:rPr>
          <w:rFonts w:ascii="Arial" w:eastAsia="SimSun" w:hAnsi="Arial" w:cs="Arial"/>
          <w:bCs/>
          <w:sz w:val="22"/>
          <w:szCs w:val="22"/>
          <w:lang w:val="fr-FR" w:eastAsia="en-US"/>
        </w:rPr>
        <w:t xml:space="preserve"> qu</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il contribuera</w:t>
      </w:r>
      <w:r>
        <w:rPr>
          <w:rFonts w:ascii="Arial" w:eastAsia="SimSun" w:hAnsi="Arial" w:cs="Arial"/>
          <w:bCs/>
          <w:sz w:val="22"/>
          <w:szCs w:val="22"/>
          <w:lang w:val="fr-FR" w:eastAsia="en-US"/>
        </w:rPr>
        <w:t>it</w:t>
      </w:r>
      <w:r w:rsidRPr="00425D76">
        <w:rPr>
          <w:rFonts w:ascii="Arial" w:eastAsia="SimSun" w:hAnsi="Arial" w:cs="Arial"/>
          <w:bCs/>
          <w:sz w:val="22"/>
          <w:szCs w:val="22"/>
          <w:lang w:val="fr-FR" w:eastAsia="en-US"/>
        </w:rPr>
        <w:t xml:space="preserve"> davantage au bon fonctionnement de la Convention et de ses mécanismes d</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inscription à l</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avenir. Le Pérou attach</w:t>
      </w:r>
      <w:r>
        <w:rPr>
          <w:rFonts w:ascii="Arial" w:eastAsia="SimSun" w:hAnsi="Arial" w:cs="Arial"/>
          <w:bCs/>
          <w:sz w:val="22"/>
          <w:szCs w:val="22"/>
          <w:lang w:val="fr-FR" w:eastAsia="en-US"/>
        </w:rPr>
        <w:t xml:space="preserve">ait </w:t>
      </w:r>
      <w:r w:rsidRPr="00425D76">
        <w:rPr>
          <w:rFonts w:ascii="Arial" w:eastAsia="SimSun" w:hAnsi="Arial" w:cs="Arial"/>
          <w:bCs/>
          <w:sz w:val="22"/>
          <w:szCs w:val="22"/>
          <w:lang w:val="fr-FR" w:eastAsia="en-US"/>
        </w:rPr>
        <w:t xml:space="preserve">une grande importance à la Convention, ayant participé activement à ses travaux depuis </w:t>
      </w:r>
      <w:r>
        <w:rPr>
          <w:rFonts w:ascii="Arial" w:eastAsia="SimSun" w:hAnsi="Arial" w:cs="Arial"/>
          <w:bCs/>
          <w:sz w:val="22"/>
          <w:szCs w:val="22"/>
          <w:lang w:val="fr-FR" w:eastAsia="en-US"/>
        </w:rPr>
        <w:t>qu</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il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avait ratifiée </w:t>
      </w:r>
      <w:r w:rsidRPr="00425D76">
        <w:rPr>
          <w:rFonts w:ascii="Arial" w:eastAsia="SimSun" w:hAnsi="Arial" w:cs="Arial"/>
          <w:bCs/>
          <w:sz w:val="22"/>
          <w:szCs w:val="22"/>
          <w:lang w:val="fr-FR" w:eastAsia="en-US"/>
        </w:rPr>
        <w:t>[en 2005]. Le Pérou compt</w:t>
      </w:r>
      <w:r>
        <w:rPr>
          <w:rFonts w:ascii="Arial" w:eastAsia="SimSun" w:hAnsi="Arial" w:cs="Arial"/>
          <w:bCs/>
          <w:sz w:val="22"/>
          <w:szCs w:val="22"/>
          <w:lang w:val="fr-FR" w:eastAsia="en-US"/>
        </w:rPr>
        <w:t>ait</w:t>
      </w:r>
      <w:r w:rsidRPr="00425D76">
        <w:rPr>
          <w:rFonts w:ascii="Arial" w:eastAsia="SimSun" w:hAnsi="Arial" w:cs="Arial"/>
          <w:bCs/>
          <w:sz w:val="22"/>
          <w:szCs w:val="22"/>
          <w:lang w:val="fr-FR" w:eastAsia="en-US"/>
        </w:rPr>
        <w:t xml:space="preserve"> treize éléments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inscrits </w:t>
      </w:r>
      <w:r w:rsidRPr="00425D76">
        <w:rPr>
          <w:rFonts w:ascii="Arial" w:eastAsia="SimSun" w:hAnsi="Arial" w:cs="Arial"/>
          <w:bCs/>
          <w:sz w:val="22"/>
          <w:szCs w:val="22"/>
          <w:lang w:val="fr-FR" w:eastAsia="en-US"/>
        </w:rPr>
        <w:t xml:space="preserve">sur les </w:t>
      </w:r>
      <w:r>
        <w:rPr>
          <w:rFonts w:ascii="Arial" w:eastAsia="SimSun" w:hAnsi="Arial" w:cs="Arial"/>
          <w:bCs/>
          <w:sz w:val="22"/>
          <w:szCs w:val="22"/>
          <w:lang w:val="fr-FR" w:eastAsia="en-US"/>
        </w:rPr>
        <w:t>l</w:t>
      </w:r>
      <w:r w:rsidRPr="00425D76">
        <w:rPr>
          <w:rFonts w:ascii="Arial" w:eastAsia="SimSun" w:hAnsi="Arial" w:cs="Arial"/>
          <w:bCs/>
          <w:sz w:val="22"/>
          <w:szCs w:val="22"/>
          <w:lang w:val="fr-FR" w:eastAsia="en-US"/>
        </w:rPr>
        <w:t>istes. En 2005, le premier centre régional du patrimoine culturel immatériel (CRESPIAL)</w:t>
      </w:r>
      <w:r>
        <w:rPr>
          <w:rFonts w:ascii="Arial" w:eastAsia="SimSun" w:hAnsi="Arial" w:cs="Arial"/>
          <w:bCs/>
          <w:sz w:val="22"/>
          <w:szCs w:val="22"/>
          <w:lang w:val="fr-FR" w:eastAsia="en-US"/>
        </w:rPr>
        <w:t xml:space="preserve">, </w:t>
      </w:r>
      <w:r w:rsidRPr="00425D76">
        <w:rPr>
          <w:rFonts w:ascii="Arial" w:eastAsia="SimSun" w:hAnsi="Arial" w:cs="Arial"/>
          <w:bCs/>
          <w:sz w:val="22"/>
          <w:szCs w:val="22"/>
          <w:lang w:val="fr-FR" w:eastAsia="en-US"/>
        </w:rPr>
        <w:t>dans le cadre de cette Convention</w:t>
      </w:r>
      <w:r>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 xml:space="preserve"> a</w:t>
      </w:r>
      <w:r>
        <w:rPr>
          <w:rFonts w:ascii="Arial" w:eastAsia="SimSun" w:hAnsi="Arial" w:cs="Arial"/>
          <w:bCs/>
          <w:sz w:val="22"/>
          <w:szCs w:val="22"/>
          <w:lang w:val="fr-FR" w:eastAsia="en-US"/>
        </w:rPr>
        <w:t>vait</w:t>
      </w:r>
      <w:r w:rsidRPr="00425D76">
        <w:rPr>
          <w:rFonts w:ascii="Arial" w:eastAsia="SimSun" w:hAnsi="Arial" w:cs="Arial"/>
          <w:bCs/>
          <w:sz w:val="22"/>
          <w:szCs w:val="22"/>
          <w:lang w:val="fr-FR" w:eastAsia="en-US"/>
        </w:rPr>
        <w:t xml:space="preserve"> été créé, à Cuzco.</w:t>
      </w:r>
      <w:r>
        <w:rPr>
          <w:rFonts w:ascii="Arial" w:eastAsia="SimSun" w:hAnsi="Arial" w:cs="Arial"/>
          <w:bCs/>
          <w:sz w:val="22"/>
          <w:szCs w:val="22"/>
          <w:lang w:val="fr-FR" w:eastAsia="en-US"/>
        </w:rPr>
        <w:t xml:space="preserve"> C</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était </w:t>
      </w:r>
      <w:r w:rsidRPr="00425D76">
        <w:rPr>
          <w:rFonts w:ascii="Arial" w:eastAsia="SimSun" w:hAnsi="Arial" w:cs="Arial"/>
          <w:bCs/>
          <w:sz w:val="22"/>
          <w:szCs w:val="22"/>
          <w:lang w:val="fr-FR" w:eastAsia="en-US"/>
        </w:rPr>
        <w:t>un honneur pour le Pérou de pouvoir accueillir le centre de catégorie 2</w:t>
      </w:r>
      <w:r>
        <w:rPr>
          <w:rStyle w:val="FootnoteReference"/>
          <w:rFonts w:ascii="Arial" w:eastAsia="SimSun" w:hAnsi="Arial" w:cs="Arial"/>
          <w:bCs/>
          <w:sz w:val="22"/>
          <w:szCs w:val="22"/>
          <w:lang w:val="fr-FR" w:eastAsia="en-US"/>
        </w:rPr>
        <w:footnoteReference w:id="27"/>
      </w:r>
      <w:r w:rsidRPr="00425D76">
        <w:rPr>
          <w:rFonts w:ascii="Arial" w:eastAsia="SimSun" w:hAnsi="Arial" w:cs="Arial"/>
          <w:bCs/>
          <w:sz w:val="22"/>
          <w:szCs w:val="22"/>
          <w:lang w:val="fr-FR" w:eastAsia="en-US"/>
        </w:rPr>
        <w:t>, qui a</w:t>
      </w:r>
      <w:r>
        <w:rPr>
          <w:rFonts w:ascii="Arial" w:eastAsia="SimSun" w:hAnsi="Arial" w:cs="Arial"/>
          <w:bCs/>
          <w:sz w:val="22"/>
          <w:szCs w:val="22"/>
          <w:lang w:val="fr-FR" w:eastAsia="en-US"/>
        </w:rPr>
        <w:t>vait</w:t>
      </w:r>
      <w:r w:rsidRPr="00425D76">
        <w:rPr>
          <w:rFonts w:ascii="Arial" w:eastAsia="SimSun" w:hAnsi="Arial" w:cs="Arial"/>
          <w:bCs/>
          <w:sz w:val="22"/>
          <w:szCs w:val="22"/>
          <w:lang w:val="fr-FR" w:eastAsia="en-US"/>
        </w:rPr>
        <w:t xml:space="preserve"> récemment été reconnu comme une bonne pratique lors de l</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évaluation externe sous l</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égide de l</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UNESCO, avec des résultats très favorables. Dix</w:t>
      </w:r>
      <w:r>
        <w:rPr>
          <w:rFonts w:ascii="Arial" w:eastAsia="SimSun" w:hAnsi="Arial" w:cs="Arial"/>
          <w:bCs/>
          <w:sz w:val="22"/>
          <w:szCs w:val="22"/>
          <w:lang w:val="fr-FR" w:eastAsia="en-US"/>
        </w:rPr>
        <w:noBreakHyphen/>
      </w:r>
      <w:r w:rsidRPr="00425D76">
        <w:rPr>
          <w:rFonts w:ascii="Arial" w:eastAsia="SimSun" w:hAnsi="Arial" w:cs="Arial"/>
          <w:bCs/>
          <w:sz w:val="22"/>
          <w:szCs w:val="22"/>
          <w:lang w:val="fr-FR" w:eastAsia="en-US"/>
        </w:rPr>
        <w:t>huit pays d</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Amérique latine apport</w:t>
      </w:r>
      <w:r>
        <w:rPr>
          <w:rFonts w:ascii="Arial" w:eastAsia="SimSun" w:hAnsi="Arial" w:cs="Arial"/>
          <w:bCs/>
          <w:sz w:val="22"/>
          <w:szCs w:val="22"/>
          <w:lang w:val="fr-FR" w:eastAsia="en-US"/>
        </w:rPr>
        <w:t>ai</w:t>
      </w:r>
      <w:r w:rsidRPr="00425D76">
        <w:rPr>
          <w:rFonts w:ascii="Arial" w:eastAsia="SimSun" w:hAnsi="Arial" w:cs="Arial"/>
          <w:bCs/>
          <w:sz w:val="22"/>
          <w:szCs w:val="22"/>
          <w:lang w:val="fr-FR" w:eastAsia="en-US"/>
        </w:rPr>
        <w:t xml:space="preserve">ent leur contribution </w:t>
      </w:r>
      <w:r>
        <w:rPr>
          <w:rFonts w:ascii="Arial" w:eastAsia="SimSun" w:hAnsi="Arial" w:cs="Arial"/>
          <w:bCs/>
          <w:sz w:val="22"/>
          <w:szCs w:val="22"/>
          <w:lang w:val="fr-FR" w:eastAsia="en-US"/>
        </w:rPr>
        <w:t>au</w:t>
      </w:r>
      <w:r w:rsidRPr="00425D76">
        <w:rPr>
          <w:rFonts w:ascii="Arial" w:eastAsia="SimSun" w:hAnsi="Arial" w:cs="Arial"/>
          <w:bCs/>
          <w:sz w:val="22"/>
          <w:szCs w:val="22"/>
          <w:lang w:val="fr-FR" w:eastAsia="en-US"/>
        </w:rPr>
        <w:t xml:space="preserve"> CRESPIAL</w:t>
      </w:r>
      <w:r>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 xml:space="preserve"> et le Secrétariat technique a</w:t>
      </w:r>
      <w:r>
        <w:rPr>
          <w:rFonts w:ascii="Arial" w:eastAsia="SimSun" w:hAnsi="Arial" w:cs="Arial"/>
          <w:bCs/>
          <w:sz w:val="22"/>
          <w:szCs w:val="22"/>
          <w:lang w:val="fr-FR" w:eastAsia="en-US"/>
        </w:rPr>
        <w:t>vait</w:t>
      </w:r>
      <w:r w:rsidRPr="00425D76">
        <w:rPr>
          <w:rFonts w:ascii="Arial" w:eastAsia="SimSun" w:hAnsi="Arial" w:cs="Arial"/>
          <w:bCs/>
          <w:sz w:val="22"/>
          <w:szCs w:val="22"/>
          <w:lang w:val="fr-FR" w:eastAsia="en-US"/>
        </w:rPr>
        <w:t xml:space="preserve"> donc pu </w:t>
      </w:r>
      <w:r>
        <w:rPr>
          <w:rFonts w:ascii="Arial" w:eastAsia="SimSun" w:hAnsi="Arial" w:cs="Arial"/>
          <w:bCs/>
          <w:sz w:val="22"/>
          <w:szCs w:val="22"/>
          <w:lang w:val="fr-FR" w:eastAsia="en-US"/>
        </w:rPr>
        <w:t xml:space="preserve">réaliser </w:t>
      </w:r>
      <w:r w:rsidRPr="00425D76">
        <w:rPr>
          <w:rFonts w:ascii="Arial" w:eastAsia="SimSun" w:hAnsi="Arial" w:cs="Arial"/>
          <w:bCs/>
          <w:sz w:val="22"/>
          <w:szCs w:val="22"/>
          <w:lang w:val="fr-FR" w:eastAsia="en-US"/>
        </w:rPr>
        <w:t xml:space="preserve">de grands progrès dans la mise en œuvre de la Convention </w:t>
      </w:r>
      <w:r>
        <w:rPr>
          <w:rFonts w:ascii="Arial" w:eastAsia="SimSun" w:hAnsi="Arial" w:cs="Arial"/>
          <w:bCs/>
          <w:sz w:val="22"/>
          <w:szCs w:val="22"/>
          <w:lang w:val="fr-FR" w:eastAsia="en-US"/>
        </w:rPr>
        <w:t xml:space="preserve">avec, par exemple, </w:t>
      </w:r>
      <w:r w:rsidRPr="00425D76">
        <w:rPr>
          <w:rFonts w:ascii="Arial" w:eastAsia="SimSun" w:hAnsi="Arial" w:cs="Arial"/>
          <w:bCs/>
          <w:sz w:val="22"/>
          <w:szCs w:val="22"/>
          <w:lang w:val="fr-FR" w:eastAsia="en-US"/>
        </w:rPr>
        <w:t>certains</w:t>
      </w:r>
      <w:r>
        <w:rPr>
          <w:rFonts w:ascii="Arial" w:eastAsia="SimSun" w:hAnsi="Arial" w:cs="Arial"/>
          <w:bCs/>
          <w:sz w:val="22"/>
          <w:szCs w:val="22"/>
          <w:lang w:val="fr-FR" w:eastAsia="en-US"/>
        </w:rPr>
        <w:t xml:space="preserve"> </w:t>
      </w:r>
      <w:r w:rsidRPr="00425D76">
        <w:rPr>
          <w:rFonts w:ascii="Arial" w:eastAsia="SimSun" w:hAnsi="Arial" w:cs="Arial"/>
          <w:bCs/>
          <w:sz w:val="22"/>
          <w:szCs w:val="22"/>
          <w:lang w:val="fr-FR" w:eastAsia="en-US"/>
        </w:rPr>
        <w:t>projets multinationaux de sauvegarde du patrimoine immatériel en Bolivie, au Chili et au Pérou. C</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était également le cas pour certains projets sur les situations d</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 xml:space="preserve">urgence en Amérique centrale et dans toute la région. Toutes ces réalisations </w:t>
      </w:r>
      <w:r>
        <w:rPr>
          <w:rFonts w:ascii="Arial" w:eastAsia="SimSun" w:hAnsi="Arial" w:cs="Arial"/>
          <w:bCs/>
          <w:sz w:val="22"/>
          <w:szCs w:val="22"/>
          <w:lang w:val="fr-FR" w:eastAsia="en-US"/>
        </w:rPr>
        <w:t>avaient</w:t>
      </w:r>
      <w:r w:rsidRPr="00425D76">
        <w:rPr>
          <w:rFonts w:ascii="Arial" w:eastAsia="SimSun" w:hAnsi="Arial" w:cs="Arial"/>
          <w:bCs/>
          <w:sz w:val="22"/>
          <w:szCs w:val="22"/>
          <w:lang w:val="fr-FR" w:eastAsia="en-US"/>
        </w:rPr>
        <w:t xml:space="preserve"> été </w:t>
      </w:r>
      <w:r>
        <w:rPr>
          <w:rFonts w:ascii="Arial" w:eastAsia="SimSun" w:hAnsi="Arial" w:cs="Arial"/>
          <w:bCs/>
          <w:sz w:val="22"/>
          <w:szCs w:val="22"/>
          <w:lang w:val="fr-FR" w:eastAsia="en-US"/>
        </w:rPr>
        <w:t xml:space="preserve">rendues </w:t>
      </w:r>
      <w:r w:rsidRPr="00425D76">
        <w:rPr>
          <w:rFonts w:ascii="Arial" w:eastAsia="SimSun" w:hAnsi="Arial" w:cs="Arial"/>
          <w:bCs/>
          <w:sz w:val="22"/>
          <w:szCs w:val="22"/>
          <w:lang w:val="fr-FR" w:eastAsia="en-US"/>
        </w:rPr>
        <w:t>possibles grâce à ces initiatives. Le Pérou s</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 xml:space="preserve">est réjoui de voir que le CRESPIAL </w:t>
      </w:r>
      <w:r>
        <w:rPr>
          <w:rFonts w:ascii="Arial" w:eastAsia="SimSun" w:hAnsi="Arial" w:cs="Arial"/>
          <w:bCs/>
          <w:sz w:val="22"/>
          <w:szCs w:val="22"/>
          <w:lang w:val="fr-FR" w:eastAsia="en-US"/>
        </w:rPr>
        <w:t xml:space="preserve">est </w:t>
      </w:r>
      <w:r w:rsidRPr="00425D76">
        <w:rPr>
          <w:rFonts w:ascii="Arial" w:eastAsia="SimSun" w:hAnsi="Arial" w:cs="Arial"/>
          <w:bCs/>
          <w:sz w:val="22"/>
          <w:szCs w:val="22"/>
          <w:lang w:val="fr-FR" w:eastAsia="en-US"/>
        </w:rPr>
        <w:t>un système solide pour la mise en œuvre</w:t>
      </w:r>
      <w:r>
        <w:rPr>
          <w:rFonts w:ascii="Arial" w:eastAsia="SimSun" w:hAnsi="Arial" w:cs="Arial"/>
          <w:bCs/>
          <w:sz w:val="22"/>
          <w:szCs w:val="22"/>
          <w:lang w:val="fr-FR" w:eastAsia="en-US"/>
        </w:rPr>
        <w:t>, dans les années à venir,</w:t>
      </w:r>
      <w:r w:rsidRPr="00425D76">
        <w:rPr>
          <w:rFonts w:ascii="Arial" w:eastAsia="SimSun" w:hAnsi="Arial" w:cs="Arial"/>
          <w:bCs/>
          <w:sz w:val="22"/>
          <w:szCs w:val="22"/>
          <w:lang w:val="fr-FR" w:eastAsia="en-US"/>
        </w:rPr>
        <w:t xml:space="preserv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425D76">
        <w:rPr>
          <w:rFonts w:ascii="Arial" w:eastAsia="SimSun" w:hAnsi="Arial" w:cs="Arial"/>
          <w:bCs/>
          <w:sz w:val="22"/>
          <w:szCs w:val="22"/>
          <w:lang w:val="fr-FR" w:eastAsia="en-US"/>
        </w:rPr>
        <w:t>et de la Convention</w:t>
      </w:r>
      <w:r>
        <w:rPr>
          <w:rFonts w:ascii="Arial" w:eastAsia="SimSun" w:hAnsi="Arial" w:cs="Arial"/>
          <w:bCs/>
          <w:sz w:val="22"/>
          <w:szCs w:val="22"/>
          <w:lang w:val="fr-FR" w:eastAsia="en-US"/>
        </w:rPr>
        <w:t>. Il a</w:t>
      </w:r>
      <w:r w:rsidRPr="00425D76">
        <w:rPr>
          <w:rFonts w:ascii="Arial" w:eastAsia="SimSun" w:hAnsi="Arial" w:cs="Arial"/>
          <w:bCs/>
          <w:sz w:val="22"/>
          <w:szCs w:val="22"/>
          <w:lang w:val="fr-FR" w:eastAsia="en-US"/>
        </w:rPr>
        <w:t xml:space="preserve"> remerci</w:t>
      </w:r>
      <w:r>
        <w:rPr>
          <w:rFonts w:ascii="Arial" w:eastAsia="SimSun" w:hAnsi="Arial" w:cs="Arial"/>
          <w:bCs/>
          <w:sz w:val="22"/>
          <w:szCs w:val="22"/>
          <w:lang w:val="fr-FR" w:eastAsia="en-US"/>
        </w:rPr>
        <w:t>é</w:t>
      </w:r>
      <w:r w:rsidRPr="00425D76">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 xml:space="preserve">UNESCO </w:t>
      </w:r>
      <w:r>
        <w:rPr>
          <w:rFonts w:ascii="Arial" w:eastAsia="SimSun" w:hAnsi="Arial" w:cs="Arial"/>
          <w:bCs/>
          <w:sz w:val="22"/>
          <w:szCs w:val="22"/>
          <w:lang w:val="fr-FR" w:eastAsia="en-US"/>
        </w:rPr>
        <w:t xml:space="preserve">de lui avoir donné </w:t>
      </w:r>
      <w:r w:rsidRPr="00425D76">
        <w:rPr>
          <w:rFonts w:ascii="Arial" w:eastAsia="SimSun" w:hAnsi="Arial" w:cs="Arial"/>
          <w:bCs/>
          <w:sz w:val="22"/>
          <w:szCs w:val="22"/>
          <w:lang w:val="fr-FR" w:eastAsia="en-US"/>
        </w:rPr>
        <w:t>la possibilité d</w:t>
      </w:r>
      <w:r w:rsidR="008E532B">
        <w:rPr>
          <w:rFonts w:ascii="Arial" w:eastAsia="SimSun" w:hAnsi="Arial" w:cs="Arial"/>
          <w:bCs/>
          <w:sz w:val="22"/>
          <w:szCs w:val="22"/>
          <w:lang w:val="fr-FR" w:eastAsia="en-US"/>
        </w:rPr>
        <w:t>’</w:t>
      </w:r>
      <w:r w:rsidRPr="00425D76">
        <w:rPr>
          <w:rFonts w:ascii="Arial" w:eastAsia="SimSun" w:hAnsi="Arial" w:cs="Arial"/>
          <w:bCs/>
          <w:sz w:val="22"/>
          <w:szCs w:val="22"/>
          <w:lang w:val="fr-FR" w:eastAsia="en-US"/>
        </w:rPr>
        <w:t>accueillir ce centre.</w:t>
      </w:r>
      <w:r>
        <w:rPr>
          <w:rFonts w:ascii="Arial" w:eastAsia="SimSun" w:hAnsi="Arial" w:cs="Arial"/>
          <w:bCs/>
          <w:sz w:val="22"/>
          <w:szCs w:val="22"/>
          <w:lang w:val="fr-FR" w:eastAsia="en-US"/>
        </w:rPr>
        <w:t xml:space="preserve"> </w:t>
      </w:r>
    </w:p>
    <w:p w14:paraId="7F381CFA" w14:textId="4EC52F95" w:rsidR="00D9653F" w:rsidRPr="006C589D"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6C589D">
        <w:rPr>
          <w:rFonts w:ascii="Arial" w:eastAsia="SimSun" w:hAnsi="Arial" w:cs="Arial"/>
          <w:bCs/>
          <w:sz w:val="22"/>
          <w:szCs w:val="22"/>
          <w:lang w:val="fr-FR" w:eastAsia="en-US"/>
        </w:rPr>
        <w:t xml:space="preserve">La délégation de </w:t>
      </w:r>
      <w:r w:rsidRPr="006C589D">
        <w:rPr>
          <w:rFonts w:ascii="Arial" w:eastAsia="SimSun" w:hAnsi="Arial" w:cs="Arial"/>
          <w:b/>
          <w:sz w:val="22"/>
          <w:szCs w:val="22"/>
          <w:lang w:val="fr-FR" w:eastAsia="en-US"/>
        </w:rPr>
        <w:t>Cuba</w:t>
      </w:r>
      <w:r w:rsidRPr="006C589D">
        <w:rPr>
          <w:rFonts w:ascii="Arial" w:eastAsia="SimSun" w:hAnsi="Arial" w:cs="Arial"/>
          <w:bCs/>
          <w:sz w:val="22"/>
          <w:szCs w:val="22"/>
          <w:lang w:val="fr-FR" w:eastAsia="en-US"/>
        </w:rPr>
        <w:t xml:space="preserve"> a félicité la Présidente pour son élection et a remercié le Secrétariat pour son rapport, qui </w:t>
      </w:r>
      <w:r>
        <w:rPr>
          <w:rFonts w:ascii="Arial" w:eastAsia="SimSun" w:hAnsi="Arial" w:cs="Arial"/>
          <w:bCs/>
          <w:sz w:val="22"/>
          <w:szCs w:val="22"/>
          <w:lang w:val="fr-FR" w:eastAsia="en-US"/>
        </w:rPr>
        <w:t xml:space="preserve">abordait </w:t>
      </w:r>
      <w:r w:rsidRPr="006C589D">
        <w:rPr>
          <w:rFonts w:ascii="Arial" w:eastAsia="SimSun" w:hAnsi="Arial" w:cs="Arial"/>
          <w:bCs/>
          <w:sz w:val="22"/>
          <w:szCs w:val="22"/>
          <w:lang w:val="fr-FR" w:eastAsia="en-US"/>
        </w:rPr>
        <w:t>de nombreuses questions importantes concernant le fonctionnement général de cette Convention ainsi que ses responsabilités majeures en matière de gestion du patrimoine vivant,</w:t>
      </w:r>
      <w:r>
        <w:rPr>
          <w:rFonts w:ascii="Arial" w:eastAsia="SimSun" w:hAnsi="Arial" w:cs="Arial"/>
          <w:bCs/>
          <w:sz w:val="22"/>
          <w:szCs w:val="22"/>
          <w:lang w:val="fr-FR" w:eastAsia="en-US"/>
        </w:rPr>
        <w:t xml:space="preserve"> </w:t>
      </w:r>
      <w:r w:rsidRPr="006C589D">
        <w:rPr>
          <w:rFonts w:ascii="Arial" w:eastAsia="SimSun" w:hAnsi="Arial" w:cs="Arial"/>
          <w:bCs/>
          <w:sz w:val="22"/>
          <w:szCs w:val="22"/>
          <w:lang w:val="fr-FR" w:eastAsia="en-US"/>
        </w:rPr>
        <w:t>qui complète le patrimoine bâti. L</w:t>
      </w:r>
      <w:r w:rsidR="008E532B">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 xml:space="preserve">une des questions clés </w:t>
      </w:r>
      <w:r>
        <w:rPr>
          <w:rFonts w:ascii="Arial" w:eastAsia="SimSun" w:hAnsi="Arial" w:cs="Arial"/>
          <w:bCs/>
          <w:sz w:val="22"/>
          <w:szCs w:val="22"/>
          <w:lang w:val="fr-FR" w:eastAsia="en-US"/>
        </w:rPr>
        <w:t xml:space="preserve">était </w:t>
      </w:r>
      <w:r w:rsidRPr="006C589D">
        <w:rPr>
          <w:rFonts w:ascii="Arial" w:eastAsia="SimSun" w:hAnsi="Arial" w:cs="Arial"/>
          <w:bCs/>
          <w:sz w:val="22"/>
          <w:szCs w:val="22"/>
          <w:lang w:val="fr-FR" w:eastAsia="en-US"/>
        </w:rPr>
        <w:t xml:space="preserve">le renforcement des capacités, et la délégation a remercié le Secrétariat pour sa coopération et son assistance </w:t>
      </w:r>
      <w:r>
        <w:rPr>
          <w:rFonts w:ascii="Arial" w:eastAsia="SimSun" w:hAnsi="Arial" w:cs="Arial"/>
          <w:bCs/>
          <w:sz w:val="22"/>
          <w:szCs w:val="22"/>
          <w:lang w:val="fr-FR" w:eastAsia="en-US"/>
        </w:rPr>
        <w:t>à</w:t>
      </w:r>
      <w:r w:rsidRPr="006C589D">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élaboration</w:t>
      </w:r>
      <w:r>
        <w:rPr>
          <w:rFonts w:ascii="Arial" w:eastAsia="SimSun" w:hAnsi="Arial" w:cs="Arial"/>
          <w:bCs/>
          <w:sz w:val="22"/>
          <w:szCs w:val="22"/>
          <w:lang w:val="fr-FR" w:eastAsia="en-US"/>
        </w:rPr>
        <w:t>, au niveau</w:t>
      </w:r>
      <w:r w:rsidRPr="006C589D">
        <w:rPr>
          <w:rFonts w:ascii="Arial" w:eastAsia="SimSun" w:hAnsi="Arial" w:cs="Arial"/>
          <w:bCs/>
          <w:sz w:val="22"/>
          <w:szCs w:val="22"/>
          <w:lang w:val="fr-FR" w:eastAsia="en-US"/>
        </w:rPr>
        <w:t xml:space="preserve"> régional</w:t>
      </w:r>
      <w:r>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 xml:space="preserve"> des rapports périodiques. Elle a également remercié le Secrétariat pour son assistance</w:t>
      </w:r>
      <w:r>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 xml:space="preserve"> en 2022</w:t>
      </w:r>
      <w:r>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à sa </w:t>
      </w:r>
      <w:r w:rsidRPr="006C589D">
        <w:rPr>
          <w:rFonts w:ascii="Arial" w:eastAsia="SimSun" w:hAnsi="Arial" w:cs="Arial"/>
          <w:bCs/>
          <w:sz w:val="22"/>
          <w:szCs w:val="22"/>
          <w:lang w:val="fr-FR" w:eastAsia="en-US"/>
        </w:rPr>
        <w:t>candidature</w:t>
      </w:r>
      <w:r>
        <w:rPr>
          <w:rFonts w:ascii="Arial" w:eastAsia="SimSun" w:hAnsi="Arial" w:cs="Arial"/>
          <w:bCs/>
          <w:sz w:val="22"/>
          <w:szCs w:val="22"/>
          <w:lang w:val="fr-FR" w:eastAsia="en-US"/>
        </w:rPr>
        <w:t xml:space="preserve"> </w:t>
      </w:r>
      <w:r w:rsidRPr="006C589D">
        <w:rPr>
          <w:rFonts w:ascii="Arial" w:eastAsia="SimSun" w:hAnsi="Arial" w:cs="Arial"/>
          <w:bCs/>
          <w:sz w:val="22"/>
          <w:szCs w:val="22"/>
          <w:lang w:val="fr-FR" w:eastAsia="en-US"/>
        </w:rPr>
        <w:t xml:space="preserve">multinationale, ce qui </w:t>
      </w:r>
      <w:r>
        <w:rPr>
          <w:rFonts w:ascii="Arial" w:eastAsia="SimSun" w:hAnsi="Arial" w:cs="Arial"/>
          <w:bCs/>
          <w:sz w:val="22"/>
          <w:szCs w:val="22"/>
          <w:lang w:val="fr-FR" w:eastAsia="en-US"/>
        </w:rPr>
        <w:t>était</w:t>
      </w:r>
      <w:r w:rsidRPr="006C589D">
        <w:rPr>
          <w:rFonts w:ascii="Arial" w:eastAsia="SimSun" w:hAnsi="Arial" w:cs="Arial"/>
          <w:bCs/>
          <w:sz w:val="22"/>
          <w:szCs w:val="22"/>
          <w:lang w:val="fr-FR" w:eastAsia="en-US"/>
        </w:rPr>
        <w:t xml:space="preserve"> très important pour la région de l</w:t>
      </w:r>
      <w:r w:rsidR="008E532B">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Amérique latine et</w:t>
      </w:r>
      <w:r>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 xml:space="preserve"> en particulier</w:t>
      </w:r>
      <w:r>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 xml:space="preserve"> pour les PEID, étant donné les complexités auxquelles ils sont confrontés et la difficulté pour </w:t>
      </w:r>
      <w:r>
        <w:rPr>
          <w:rFonts w:ascii="Arial" w:eastAsia="SimSun" w:hAnsi="Arial" w:cs="Arial"/>
          <w:bCs/>
          <w:sz w:val="22"/>
          <w:szCs w:val="22"/>
          <w:lang w:val="fr-FR" w:eastAsia="en-US"/>
        </w:rPr>
        <w:t xml:space="preserve">quelques </w:t>
      </w:r>
      <w:r w:rsidRPr="006C589D">
        <w:rPr>
          <w:rFonts w:ascii="Arial" w:eastAsia="SimSun" w:hAnsi="Arial" w:cs="Arial"/>
          <w:bCs/>
          <w:sz w:val="22"/>
          <w:szCs w:val="22"/>
          <w:lang w:val="fr-FR" w:eastAsia="en-US"/>
        </w:rPr>
        <w:t xml:space="preserve">États </w:t>
      </w:r>
      <w:r>
        <w:rPr>
          <w:rFonts w:ascii="Arial" w:eastAsia="SimSun" w:hAnsi="Arial" w:cs="Arial"/>
          <w:bCs/>
          <w:sz w:val="22"/>
          <w:szCs w:val="22"/>
          <w:lang w:val="fr-FR" w:eastAsia="en-US"/>
        </w:rPr>
        <w:t>à</w:t>
      </w:r>
      <w:r w:rsidRPr="006C589D">
        <w:rPr>
          <w:rFonts w:ascii="Arial" w:eastAsia="SimSun" w:hAnsi="Arial" w:cs="Arial"/>
          <w:bCs/>
          <w:sz w:val="22"/>
          <w:szCs w:val="22"/>
          <w:lang w:val="fr-FR" w:eastAsia="en-US"/>
        </w:rPr>
        <w:t xml:space="preserve"> mettre en œuvre certains de ces projets de coopération. La délégation </w:t>
      </w:r>
      <w:r>
        <w:rPr>
          <w:rFonts w:ascii="Arial" w:eastAsia="SimSun" w:hAnsi="Arial" w:cs="Arial"/>
          <w:bCs/>
          <w:sz w:val="22"/>
          <w:szCs w:val="22"/>
          <w:lang w:val="fr-FR" w:eastAsia="en-US"/>
        </w:rPr>
        <w:t xml:space="preserve">a </w:t>
      </w:r>
      <w:r w:rsidRPr="006C589D">
        <w:rPr>
          <w:rFonts w:ascii="Arial" w:eastAsia="SimSun" w:hAnsi="Arial" w:cs="Arial"/>
          <w:bCs/>
          <w:sz w:val="22"/>
          <w:szCs w:val="22"/>
          <w:lang w:val="fr-FR" w:eastAsia="en-US"/>
        </w:rPr>
        <w:t>estim</w:t>
      </w:r>
      <w:r>
        <w:rPr>
          <w:rFonts w:ascii="Arial" w:eastAsia="SimSun" w:hAnsi="Arial" w:cs="Arial"/>
          <w:bCs/>
          <w:sz w:val="22"/>
          <w:szCs w:val="22"/>
          <w:lang w:val="fr-FR" w:eastAsia="en-US"/>
        </w:rPr>
        <w:t xml:space="preserve">é </w:t>
      </w:r>
      <w:r w:rsidRPr="006C589D">
        <w:rPr>
          <w:rFonts w:ascii="Arial" w:eastAsia="SimSun" w:hAnsi="Arial" w:cs="Arial"/>
          <w:bCs/>
          <w:sz w:val="22"/>
          <w:szCs w:val="22"/>
          <w:lang w:val="fr-FR" w:eastAsia="en-US"/>
        </w:rPr>
        <w:t>que la crise pandémique a</w:t>
      </w:r>
      <w:r>
        <w:rPr>
          <w:rFonts w:ascii="Arial" w:eastAsia="SimSun" w:hAnsi="Arial" w:cs="Arial"/>
          <w:bCs/>
          <w:sz w:val="22"/>
          <w:szCs w:val="22"/>
          <w:lang w:val="fr-FR" w:eastAsia="en-US"/>
        </w:rPr>
        <w:t>vait</w:t>
      </w:r>
      <w:r w:rsidRPr="006C589D">
        <w:rPr>
          <w:rFonts w:ascii="Arial" w:eastAsia="SimSun" w:hAnsi="Arial" w:cs="Arial"/>
          <w:bCs/>
          <w:sz w:val="22"/>
          <w:szCs w:val="22"/>
          <w:lang w:val="fr-FR" w:eastAsia="en-US"/>
        </w:rPr>
        <w:t xml:space="preserve"> mis en lumière les objectifs de la Convention, ainsi que les défis </w:t>
      </w:r>
      <w:r>
        <w:rPr>
          <w:rFonts w:ascii="Arial" w:eastAsia="SimSun" w:hAnsi="Arial" w:cs="Arial"/>
          <w:bCs/>
          <w:sz w:val="22"/>
          <w:szCs w:val="22"/>
          <w:lang w:val="fr-FR" w:eastAsia="en-US"/>
        </w:rPr>
        <w:t xml:space="preserve">liés </w:t>
      </w:r>
      <w:r w:rsidRPr="006C589D">
        <w:rPr>
          <w:rFonts w:ascii="Arial" w:eastAsia="SimSun" w:hAnsi="Arial" w:cs="Arial"/>
          <w:bCs/>
          <w:sz w:val="22"/>
          <w:szCs w:val="22"/>
          <w:lang w:val="fr-FR" w:eastAsia="en-US"/>
        </w:rPr>
        <w:t xml:space="preserve">aux menaces et aux difficultés auxquelles le monde est désormais confronté, </w:t>
      </w:r>
      <w:r>
        <w:rPr>
          <w:rFonts w:ascii="Arial" w:eastAsia="SimSun" w:hAnsi="Arial" w:cs="Arial"/>
          <w:bCs/>
          <w:sz w:val="22"/>
          <w:szCs w:val="22"/>
          <w:lang w:val="fr-FR" w:eastAsia="en-US"/>
        </w:rPr>
        <w:t>telles que</w:t>
      </w:r>
      <w:r w:rsidRPr="006C589D">
        <w:rPr>
          <w:rFonts w:ascii="Arial" w:eastAsia="SimSun" w:hAnsi="Arial" w:cs="Arial"/>
          <w:bCs/>
          <w:sz w:val="22"/>
          <w:szCs w:val="22"/>
          <w:lang w:val="fr-FR" w:eastAsia="en-US"/>
        </w:rPr>
        <w:t xml:space="preserve"> les migrations et les conflits. L</w:t>
      </w:r>
      <w:r w:rsidR="008E532B">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UNESCO dispos</w:t>
      </w:r>
      <w:r>
        <w:rPr>
          <w:rFonts w:ascii="Arial" w:eastAsia="SimSun" w:hAnsi="Arial" w:cs="Arial"/>
          <w:bCs/>
          <w:sz w:val="22"/>
          <w:szCs w:val="22"/>
          <w:lang w:val="fr-FR" w:eastAsia="en-US"/>
        </w:rPr>
        <w:t>ait</w:t>
      </w:r>
      <w:r w:rsidRPr="006C589D">
        <w:rPr>
          <w:rFonts w:ascii="Arial" w:eastAsia="SimSun" w:hAnsi="Arial" w:cs="Arial"/>
          <w:bCs/>
          <w:sz w:val="22"/>
          <w:szCs w:val="22"/>
          <w:lang w:val="fr-FR" w:eastAsia="en-US"/>
        </w:rPr>
        <w:t xml:space="preserve"> ainsi des outils </w:t>
      </w:r>
      <w:r>
        <w:rPr>
          <w:rFonts w:ascii="Arial" w:eastAsia="SimSun" w:hAnsi="Arial" w:cs="Arial"/>
          <w:bCs/>
          <w:sz w:val="22"/>
          <w:szCs w:val="22"/>
          <w:lang w:val="fr-FR" w:eastAsia="en-US"/>
        </w:rPr>
        <w:t xml:space="preserve">nécessaires </w:t>
      </w:r>
      <w:r w:rsidRPr="006C589D">
        <w:rPr>
          <w:rFonts w:ascii="Arial" w:eastAsia="SimSun" w:hAnsi="Arial" w:cs="Arial"/>
          <w:bCs/>
          <w:sz w:val="22"/>
          <w:szCs w:val="22"/>
          <w:lang w:val="fr-FR" w:eastAsia="en-US"/>
        </w:rPr>
        <w:t xml:space="preserve">pour aider les communautés </w:t>
      </w:r>
      <w:r>
        <w:rPr>
          <w:rFonts w:ascii="Arial" w:eastAsia="SimSun" w:hAnsi="Arial" w:cs="Arial"/>
          <w:bCs/>
          <w:sz w:val="22"/>
          <w:szCs w:val="22"/>
          <w:lang w:val="fr-FR" w:eastAsia="en-US"/>
        </w:rPr>
        <w:t xml:space="preserve">détentrices </w:t>
      </w:r>
      <w:r w:rsidRPr="006C589D">
        <w:rPr>
          <w:rFonts w:ascii="Arial" w:eastAsia="SimSun" w:hAnsi="Arial" w:cs="Arial"/>
          <w:bCs/>
          <w:sz w:val="22"/>
          <w:szCs w:val="22"/>
          <w:lang w:val="fr-FR" w:eastAsia="en-US"/>
        </w:rPr>
        <w:t>à sauvegarder</w:t>
      </w:r>
      <w:r>
        <w:rPr>
          <w:rFonts w:ascii="Arial" w:eastAsia="SimSun" w:hAnsi="Arial" w:cs="Arial"/>
          <w:bCs/>
          <w:sz w:val="22"/>
          <w:szCs w:val="22"/>
          <w:lang w:val="fr-FR" w:eastAsia="en-US"/>
        </w:rPr>
        <w:t xml:space="preserve"> </w:t>
      </w:r>
      <w:r w:rsidRPr="006C589D">
        <w:rPr>
          <w:rFonts w:ascii="Arial" w:eastAsia="SimSun" w:hAnsi="Arial" w:cs="Arial"/>
          <w:bCs/>
          <w:sz w:val="22"/>
          <w:szCs w:val="22"/>
          <w:lang w:val="fr-FR" w:eastAsia="en-US"/>
        </w:rPr>
        <w:t xml:space="preserve">leur </w:t>
      </w:r>
      <w:r>
        <w:rPr>
          <w:rFonts w:ascii="Arial" w:eastAsia="SimSun" w:hAnsi="Arial" w:cs="Arial"/>
          <w:bCs/>
          <w:sz w:val="22"/>
          <w:szCs w:val="22"/>
          <w:lang w:val="fr-FR" w:eastAsia="en-US"/>
        </w:rPr>
        <w:t>patrimoine culturel immatériel à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avenir</w:t>
      </w:r>
      <w:r w:rsidRPr="006C589D">
        <w:rPr>
          <w:rFonts w:ascii="Arial" w:eastAsia="SimSun" w:hAnsi="Arial" w:cs="Arial"/>
          <w:bCs/>
          <w:sz w:val="22"/>
          <w:szCs w:val="22"/>
          <w:lang w:val="fr-FR" w:eastAsia="en-US"/>
        </w:rPr>
        <w:t xml:space="preserve">. Il </w:t>
      </w:r>
      <w:r>
        <w:rPr>
          <w:rFonts w:ascii="Arial" w:eastAsia="SimSun" w:hAnsi="Arial" w:cs="Arial"/>
          <w:bCs/>
          <w:sz w:val="22"/>
          <w:szCs w:val="22"/>
          <w:lang w:val="fr-FR" w:eastAsia="en-US"/>
        </w:rPr>
        <w:t>était</w:t>
      </w:r>
      <w:r w:rsidRPr="006C589D">
        <w:rPr>
          <w:rFonts w:ascii="Arial" w:eastAsia="SimSun" w:hAnsi="Arial" w:cs="Arial"/>
          <w:bCs/>
          <w:sz w:val="22"/>
          <w:szCs w:val="22"/>
          <w:lang w:val="fr-FR" w:eastAsia="en-US"/>
        </w:rPr>
        <w:t xml:space="preserve"> également vital de renforcer les activités visant à atténuer les impacts du changement climatique sur le patrimoine, en particulier pour les PEID car ils sont touchés de manière disproportionnée par les catastrophes naturelles. Cuba </w:t>
      </w:r>
      <w:r>
        <w:rPr>
          <w:rFonts w:ascii="Arial" w:eastAsia="SimSun" w:hAnsi="Arial" w:cs="Arial"/>
          <w:bCs/>
          <w:sz w:val="22"/>
          <w:szCs w:val="22"/>
          <w:lang w:val="fr-FR" w:eastAsia="en-US"/>
        </w:rPr>
        <w:t xml:space="preserve">pensait </w:t>
      </w:r>
      <w:r w:rsidRPr="006C589D">
        <w:rPr>
          <w:rFonts w:ascii="Arial" w:eastAsia="SimSun" w:hAnsi="Arial" w:cs="Arial"/>
          <w:bCs/>
          <w:sz w:val="22"/>
          <w:szCs w:val="22"/>
          <w:lang w:val="fr-FR" w:eastAsia="en-US"/>
        </w:rPr>
        <w:t>qu</w:t>
      </w:r>
      <w:r w:rsidR="008E532B">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 xml:space="preserve">il </w:t>
      </w:r>
      <w:r>
        <w:rPr>
          <w:rFonts w:ascii="Arial" w:eastAsia="SimSun" w:hAnsi="Arial" w:cs="Arial"/>
          <w:bCs/>
          <w:sz w:val="22"/>
          <w:szCs w:val="22"/>
          <w:lang w:val="fr-FR" w:eastAsia="en-US"/>
        </w:rPr>
        <w:t>était</w:t>
      </w:r>
      <w:r w:rsidRPr="006C589D">
        <w:rPr>
          <w:rFonts w:ascii="Arial" w:eastAsia="SimSun" w:hAnsi="Arial" w:cs="Arial"/>
          <w:bCs/>
          <w:sz w:val="22"/>
          <w:szCs w:val="22"/>
          <w:lang w:val="fr-FR" w:eastAsia="en-US"/>
        </w:rPr>
        <w:t xml:space="preserve"> important de continuer à renforcer les mesures visant à rendre le travail des centres de catégorie 2 plus visible, car ils </w:t>
      </w:r>
      <w:r>
        <w:rPr>
          <w:rFonts w:ascii="Arial" w:eastAsia="SimSun" w:hAnsi="Arial" w:cs="Arial"/>
          <w:bCs/>
          <w:sz w:val="22"/>
          <w:szCs w:val="22"/>
          <w:lang w:val="fr-FR" w:eastAsia="en-US"/>
        </w:rPr>
        <w:t xml:space="preserve">traitaient les problèmes </w:t>
      </w:r>
      <w:r w:rsidRPr="006C589D">
        <w:rPr>
          <w:rFonts w:ascii="Arial" w:eastAsia="SimSun" w:hAnsi="Arial" w:cs="Arial"/>
          <w:bCs/>
          <w:sz w:val="22"/>
          <w:szCs w:val="22"/>
          <w:lang w:val="fr-FR" w:eastAsia="en-US"/>
        </w:rPr>
        <w:t>liés à la Convention</w:t>
      </w:r>
      <w:r>
        <w:rPr>
          <w:rFonts w:ascii="Arial" w:eastAsia="SimSun" w:hAnsi="Arial" w:cs="Arial"/>
          <w:bCs/>
          <w:sz w:val="22"/>
          <w:szCs w:val="22"/>
          <w:lang w:val="fr-FR" w:eastAsia="en-US"/>
        </w:rPr>
        <w:t xml:space="preserve">. Il importait </w:t>
      </w:r>
      <w:r w:rsidRPr="001722A2">
        <w:rPr>
          <w:rFonts w:ascii="Arial" w:eastAsia="SimSun" w:hAnsi="Arial" w:cs="Arial"/>
          <w:bCs/>
          <w:color w:val="000000" w:themeColor="text1"/>
          <w:sz w:val="22"/>
          <w:szCs w:val="22"/>
          <w:lang w:val="fr-FR" w:eastAsia="en-US"/>
        </w:rPr>
        <w:t>également</w:t>
      </w:r>
      <w:r>
        <w:rPr>
          <w:rFonts w:ascii="Arial" w:eastAsia="SimSun" w:hAnsi="Arial" w:cs="Arial"/>
          <w:bCs/>
          <w:color w:val="000000" w:themeColor="text1"/>
          <w:sz w:val="22"/>
          <w:szCs w:val="22"/>
          <w:lang w:val="fr-FR" w:eastAsia="en-US"/>
        </w:rPr>
        <w:t xml:space="preserve"> d</w:t>
      </w:r>
      <w:r w:rsidR="008E532B">
        <w:rPr>
          <w:rFonts w:ascii="Arial" w:eastAsia="SimSun" w:hAnsi="Arial" w:cs="Arial"/>
          <w:bCs/>
          <w:color w:val="000000" w:themeColor="text1"/>
          <w:sz w:val="22"/>
          <w:szCs w:val="22"/>
          <w:lang w:val="fr-FR" w:eastAsia="en-US"/>
        </w:rPr>
        <w:t>’</w:t>
      </w:r>
      <w:r>
        <w:rPr>
          <w:rFonts w:ascii="Arial" w:eastAsia="SimSun" w:hAnsi="Arial" w:cs="Arial"/>
          <w:bCs/>
          <w:color w:val="000000" w:themeColor="text1"/>
          <w:sz w:val="22"/>
          <w:szCs w:val="22"/>
          <w:lang w:val="fr-FR" w:eastAsia="en-US"/>
        </w:rPr>
        <w:t>en faire autant avec les</w:t>
      </w:r>
      <w:r w:rsidRPr="006C589D">
        <w:rPr>
          <w:rFonts w:ascii="Arial" w:eastAsia="SimSun" w:hAnsi="Arial" w:cs="Arial"/>
          <w:bCs/>
          <w:sz w:val="22"/>
          <w:szCs w:val="22"/>
          <w:lang w:val="fr-FR" w:eastAsia="en-US"/>
        </w:rPr>
        <w:t xml:space="preserve"> chaires UNESCO. Une initiative </w:t>
      </w:r>
      <w:r>
        <w:rPr>
          <w:rFonts w:ascii="Arial" w:eastAsia="SimSun" w:hAnsi="Arial" w:cs="Arial"/>
          <w:bCs/>
          <w:sz w:val="22"/>
          <w:szCs w:val="22"/>
          <w:lang w:val="fr-FR" w:eastAsia="en-US"/>
        </w:rPr>
        <w:t xml:space="preserve">remarquable </w:t>
      </w:r>
      <w:r w:rsidRPr="006C589D">
        <w:rPr>
          <w:rFonts w:ascii="Arial" w:eastAsia="SimSun" w:hAnsi="Arial" w:cs="Arial"/>
          <w:bCs/>
          <w:sz w:val="22"/>
          <w:szCs w:val="22"/>
          <w:lang w:val="fr-FR" w:eastAsia="en-US"/>
        </w:rPr>
        <w:t xml:space="preserve">dans le </w:t>
      </w:r>
      <w:r>
        <w:rPr>
          <w:rFonts w:ascii="Arial" w:eastAsia="SimSun" w:hAnsi="Arial" w:cs="Arial"/>
          <w:bCs/>
          <w:sz w:val="22"/>
          <w:szCs w:val="22"/>
          <w:lang w:val="fr-FR" w:eastAsia="en-US"/>
        </w:rPr>
        <w:t>S</w:t>
      </w:r>
      <w:r w:rsidRPr="006C589D">
        <w:rPr>
          <w:rFonts w:ascii="Arial" w:eastAsia="SimSun" w:hAnsi="Arial" w:cs="Arial"/>
          <w:bCs/>
          <w:sz w:val="22"/>
          <w:szCs w:val="22"/>
          <w:lang w:val="fr-FR" w:eastAsia="en-US"/>
        </w:rPr>
        <w:t xml:space="preserve">ecteur de la culture </w:t>
      </w:r>
      <w:r>
        <w:rPr>
          <w:rFonts w:ascii="Arial" w:eastAsia="SimSun" w:hAnsi="Arial" w:cs="Arial"/>
          <w:bCs/>
          <w:sz w:val="22"/>
          <w:szCs w:val="22"/>
          <w:lang w:val="fr-FR" w:eastAsia="en-US"/>
        </w:rPr>
        <w:t xml:space="preserve">était </w:t>
      </w:r>
      <w:r w:rsidRPr="006C589D">
        <w:rPr>
          <w:rFonts w:ascii="Arial" w:eastAsia="SimSun" w:hAnsi="Arial" w:cs="Arial"/>
          <w:bCs/>
          <w:sz w:val="22"/>
          <w:szCs w:val="22"/>
          <w:lang w:val="fr-FR" w:eastAsia="en-US"/>
        </w:rPr>
        <w:t xml:space="preserve">la publication de la brochure sur les </w:t>
      </w:r>
      <w:r>
        <w:rPr>
          <w:rFonts w:ascii="Arial" w:eastAsia="SimSun" w:hAnsi="Arial" w:cs="Arial"/>
          <w:bCs/>
          <w:sz w:val="22"/>
          <w:szCs w:val="22"/>
          <w:lang w:val="fr-FR" w:eastAsia="en-US"/>
        </w:rPr>
        <w:t>c</w:t>
      </w:r>
      <w:r w:rsidRPr="006C589D">
        <w:rPr>
          <w:rFonts w:ascii="Arial" w:eastAsia="SimSun" w:hAnsi="Arial" w:cs="Arial"/>
          <w:bCs/>
          <w:sz w:val="22"/>
          <w:szCs w:val="22"/>
          <w:lang w:val="fr-FR" w:eastAsia="en-US"/>
        </w:rPr>
        <w:t>haires UNESCO dans le domaine du patrimoine</w:t>
      </w:r>
      <w:r>
        <w:rPr>
          <w:rStyle w:val="FootnoteReference"/>
          <w:rFonts w:ascii="Arial" w:eastAsia="SimSun" w:hAnsi="Arial" w:cs="Arial"/>
          <w:bCs/>
          <w:sz w:val="22"/>
          <w:szCs w:val="22"/>
          <w:lang w:val="fr-FR" w:eastAsia="en-US"/>
        </w:rPr>
        <w:footnoteReference w:id="28"/>
      </w:r>
      <w:r w:rsidRPr="006C589D">
        <w:rPr>
          <w:rFonts w:ascii="Arial" w:eastAsia="SimSun" w:hAnsi="Arial" w:cs="Arial"/>
          <w:bCs/>
          <w:sz w:val="22"/>
          <w:szCs w:val="22"/>
          <w:lang w:val="fr-FR" w:eastAsia="en-US"/>
        </w:rPr>
        <w:t xml:space="preserve">, qui </w:t>
      </w:r>
      <w:r>
        <w:rPr>
          <w:rFonts w:ascii="Arial" w:eastAsia="SimSun" w:hAnsi="Arial" w:cs="Arial"/>
          <w:bCs/>
          <w:sz w:val="22"/>
          <w:szCs w:val="22"/>
          <w:lang w:val="fr-FR" w:eastAsia="en-US"/>
        </w:rPr>
        <w:t>était</w:t>
      </w:r>
      <w:r w:rsidRPr="006C589D">
        <w:rPr>
          <w:rFonts w:ascii="Arial" w:eastAsia="SimSun" w:hAnsi="Arial" w:cs="Arial"/>
          <w:bCs/>
          <w:sz w:val="22"/>
          <w:szCs w:val="22"/>
          <w:lang w:val="fr-FR" w:eastAsia="en-US"/>
        </w:rPr>
        <w:t xml:space="preserve"> importante pour impliquer les États parties, les </w:t>
      </w:r>
      <w:r>
        <w:rPr>
          <w:rFonts w:ascii="Arial" w:eastAsia="SimSun" w:hAnsi="Arial" w:cs="Arial"/>
          <w:bCs/>
          <w:sz w:val="22"/>
          <w:szCs w:val="22"/>
          <w:lang w:val="fr-FR" w:eastAsia="en-US"/>
        </w:rPr>
        <w:t xml:space="preserve">détenteurs </w:t>
      </w:r>
      <w:r w:rsidRPr="006C589D">
        <w:rPr>
          <w:rFonts w:ascii="Arial" w:eastAsia="SimSun" w:hAnsi="Arial" w:cs="Arial"/>
          <w:bCs/>
          <w:sz w:val="22"/>
          <w:szCs w:val="22"/>
          <w:lang w:val="fr-FR" w:eastAsia="en-US"/>
        </w:rPr>
        <w:t>et les praticiens, ainsi que pour</w:t>
      </w:r>
      <w:r>
        <w:rPr>
          <w:rFonts w:ascii="Arial" w:eastAsia="SimSun" w:hAnsi="Arial" w:cs="Arial"/>
          <w:bCs/>
          <w:sz w:val="22"/>
          <w:szCs w:val="22"/>
          <w:lang w:val="fr-FR" w:eastAsia="en-US"/>
        </w:rPr>
        <w:t xml:space="preserve"> </w:t>
      </w:r>
      <w:r w:rsidRPr="006C589D">
        <w:rPr>
          <w:rFonts w:ascii="Arial" w:eastAsia="SimSun" w:hAnsi="Arial" w:cs="Arial"/>
          <w:bCs/>
          <w:sz w:val="22"/>
          <w:szCs w:val="22"/>
          <w:lang w:val="fr-FR" w:eastAsia="en-US"/>
        </w:rPr>
        <w:t>form</w:t>
      </w:r>
      <w:r>
        <w:rPr>
          <w:rFonts w:ascii="Arial" w:eastAsia="SimSun" w:hAnsi="Arial" w:cs="Arial"/>
          <w:bCs/>
          <w:sz w:val="22"/>
          <w:szCs w:val="22"/>
          <w:lang w:val="fr-FR" w:eastAsia="en-US"/>
        </w:rPr>
        <w:t>er</w:t>
      </w:r>
      <w:r w:rsidRPr="006C589D">
        <w:rPr>
          <w:rFonts w:ascii="Arial" w:eastAsia="SimSun" w:hAnsi="Arial" w:cs="Arial"/>
          <w:bCs/>
          <w:sz w:val="22"/>
          <w:szCs w:val="22"/>
          <w:lang w:val="fr-FR" w:eastAsia="en-US"/>
        </w:rPr>
        <w:t xml:space="preserve"> des formateurs à </w:t>
      </w:r>
      <w:r>
        <w:rPr>
          <w:rFonts w:ascii="Arial" w:eastAsia="SimSun" w:hAnsi="Arial" w:cs="Arial"/>
          <w:bCs/>
          <w:sz w:val="22"/>
          <w:szCs w:val="22"/>
          <w:lang w:val="fr-FR" w:eastAsia="en-US"/>
        </w:rPr>
        <w:t>contribuer à l</w:t>
      </w:r>
      <w:r w:rsidR="008E532B">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amélior</w:t>
      </w:r>
      <w:r>
        <w:rPr>
          <w:rFonts w:ascii="Arial" w:eastAsia="SimSun" w:hAnsi="Arial" w:cs="Arial"/>
          <w:bCs/>
          <w:sz w:val="22"/>
          <w:szCs w:val="22"/>
          <w:lang w:val="fr-FR" w:eastAsia="en-US"/>
        </w:rPr>
        <w:t>ation d</w:t>
      </w:r>
      <w:r w:rsidRPr="006C589D">
        <w:rPr>
          <w:rFonts w:ascii="Arial" w:eastAsia="SimSun" w:hAnsi="Arial" w:cs="Arial"/>
          <w:bCs/>
          <w:sz w:val="22"/>
          <w:szCs w:val="22"/>
          <w:lang w:val="fr-FR" w:eastAsia="en-US"/>
        </w:rPr>
        <w:t>es capacités et</w:t>
      </w:r>
      <w:r>
        <w:rPr>
          <w:rFonts w:ascii="Arial" w:eastAsia="SimSun" w:hAnsi="Arial" w:cs="Arial"/>
          <w:bCs/>
          <w:sz w:val="22"/>
          <w:szCs w:val="22"/>
          <w:lang w:val="fr-FR" w:eastAsia="en-US"/>
        </w:rPr>
        <w:t xml:space="preserve"> à servir de </w:t>
      </w:r>
      <w:r w:rsidRPr="006C589D">
        <w:rPr>
          <w:rFonts w:ascii="Arial" w:eastAsia="SimSun" w:hAnsi="Arial" w:cs="Arial"/>
          <w:bCs/>
          <w:sz w:val="22"/>
          <w:szCs w:val="22"/>
          <w:lang w:val="fr-FR" w:eastAsia="en-US"/>
        </w:rPr>
        <w:t xml:space="preserve">guide pour consolider les stratégies du </w:t>
      </w:r>
      <w:r w:rsidR="0064242E">
        <w:rPr>
          <w:rFonts w:ascii="Arial" w:eastAsia="SimSun" w:hAnsi="Arial" w:cs="Arial"/>
          <w:bCs/>
          <w:sz w:val="22"/>
          <w:szCs w:val="22"/>
          <w:lang w:val="fr-FR" w:eastAsia="en-US"/>
        </w:rPr>
        <w:t>patrimoine culturel immatériel</w:t>
      </w:r>
      <w:r w:rsidRPr="006C589D">
        <w:rPr>
          <w:rFonts w:ascii="Arial" w:eastAsia="SimSun" w:hAnsi="Arial" w:cs="Arial"/>
          <w:bCs/>
          <w:sz w:val="22"/>
          <w:szCs w:val="22"/>
          <w:lang w:val="fr-FR" w:eastAsia="en-US"/>
        </w:rPr>
        <w:t xml:space="preserve">. Cuba </w:t>
      </w:r>
      <w:r>
        <w:rPr>
          <w:rFonts w:ascii="Arial" w:eastAsia="SimSun" w:hAnsi="Arial" w:cs="Arial"/>
          <w:bCs/>
          <w:sz w:val="22"/>
          <w:szCs w:val="22"/>
          <w:lang w:val="fr-FR" w:eastAsia="en-US"/>
        </w:rPr>
        <w:t>était</w:t>
      </w:r>
      <w:r w:rsidRPr="006C589D">
        <w:rPr>
          <w:rFonts w:ascii="Arial" w:eastAsia="SimSun" w:hAnsi="Arial" w:cs="Arial"/>
          <w:bCs/>
          <w:sz w:val="22"/>
          <w:szCs w:val="22"/>
          <w:lang w:val="fr-FR" w:eastAsia="en-US"/>
        </w:rPr>
        <w:t xml:space="preserve"> honorée d</w:t>
      </w:r>
      <w:r w:rsidR="008E532B">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avoir partagé son expérience dans son rapport sur la création d</w:t>
      </w:r>
      <w:r w:rsidR="008E532B">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 xml:space="preserve">un module sur le </w:t>
      </w:r>
      <w:r>
        <w:rPr>
          <w:rFonts w:ascii="Arial" w:eastAsia="SimSun" w:hAnsi="Arial" w:cs="Arial"/>
          <w:bCs/>
          <w:sz w:val="22"/>
          <w:szCs w:val="22"/>
          <w:lang w:val="fr-FR" w:eastAsia="en-US"/>
        </w:rPr>
        <w:t>patrimoine culturel immatériel,</w:t>
      </w:r>
      <w:r w:rsidRPr="006C589D">
        <w:rPr>
          <w:rFonts w:ascii="Arial" w:eastAsia="SimSun" w:hAnsi="Arial" w:cs="Arial"/>
          <w:bCs/>
          <w:sz w:val="22"/>
          <w:szCs w:val="22"/>
          <w:lang w:val="fr-FR" w:eastAsia="en-US"/>
        </w:rPr>
        <w:t xml:space="preserve"> à l</w:t>
      </w:r>
      <w:r w:rsidR="008E532B">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 xml:space="preserve">université San </w:t>
      </w:r>
      <w:proofErr w:type="spellStart"/>
      <w:r w:rsidRPr="006C589D">
        <w:rPr>
          <w:rFonts w:ascii="Arial" w:eastAsia="SimSun" w:hAnsi="Arial" w:cs="Arial"/>
          <w:bCs/>
          <w:sz w:val="22"/>
          <w:szCs w:val="22"/>
          <w:lang w:val="fr-FR" w:eastAsia="en-US"/>
        </w:rPr>
        <w:t>Gerónimo</w:t>
      </w:r>
      <w:proofErr w:type="spellEnd"/>
      <w:r w:rsidRPr="006C589D">
        <w:rPr>
          <w:rFonts w:ascii="Arial" w:eastAsia="SimSun" w:hAnsi="Arial" w:cs="Arial"/>
          <w:bCs/>
          <w:sz w:val="22"/>
          <w:szCs w:val="22"/>
          <w:lang w:val="fr-FR" w:eastAsia="en-US"/>
        </w:rPr>
        <w:t xml:space="preserve"> de La Havane</w:t>
      </w:r>
      <w:r>
        <w:rPr>
          <w:rFonts w:ascii="Arial" w:eastAsia="SimSun" w:hAnsi="Arial" w:cs="Arial"/>
          <w:bCs/>
          <w:sz w:val="22"/>
          <w:szCs w:val="22"/>
          <w:lang w:val="fr-FR" w:eastAsia="en-US"/>
        </w:rPr>
        <w:t>,</w:t>
      </w:r>
      <w:r w:rsidRPr="006C589D">
        <w:rPr>
          <w:rFonts w:ascii="Arial" w:eastAsia="SimSun" w:hAnsi="Arial" w:cs="Arial"/>
          <w:bCs/>
          <w:sz w:val="22"/>
          <w:szCs w:val="22"/>
          <w:lang w:val="fr-FR" w:eastAsia="en-US"/>
        </w:rPr>
        <w:t xml:space="preserve"> consacré à la sauvegarde du </w:t>
      </w:r>
      <w:r w:rsidR="0064242E">
        <w:rPr>
          <w:rFonts w:ascii="Arial" w:eastAsia="SimSun" w:hAnsi="Arial" w:cs="Arial"/>
          <w:bCs/>
          <w:sz w:val="22"/>
          <w:szCs w:val="22"/>
          <w:lang w:val="fr-FR" w:eastAsia="en-US"/>
        </w:rPr>
        <w:t>patrimoine culturel immatériel</w:t>
      </w:r>
      <w:r w:rsidRPr="006C589D">
        <w:rPr>
          <w:rFonts w:ascii="Arial" w:eastAsia="SimSun" w:hAnsi="Arial" w:cs="Arial"/>
          <w:bCs/>
          <w:sz w:val="22"/>
          <w:szCs w:val="22"/>
          <w:lang w:val="fr-FR" w:eastAsia="en-US"/>
        </w:rPr>
        <w:t xml:space="preserve">, qui pourrait être suivi par les étudiants et les institutions </w:t>
      </w:r>
      <w:r>
        <w:rPr>
          <w:rFonts w:ascii="Arial" w:eastAsia="SimSun" w:hAnsi="Arial" w:cs="Arial"/>
          <w:bCs/>
          <w:sz w:val="22"/>
          <w:szCs w:val="22"/>
          <w:lang w:val="fr-FR" w:eastAsia="en-US"/>
        </w:rPr>
        <w:t>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enseignement supérieur dans le domaine du </w:t>
      </w:r>
      <w:r w:rsidRPr="006C589D">
        <w:rPr>
          <w:rFonts w:ascii="Arial" w:eastAsia="SimSun" w:hAnsi="Arial" w:cs="Arial"/>
          <w:bCs/>
          <w:sz w:val="22"/>
          <w:szCs w:val="22"/>
          <w:lang w:val="fr-FR" w:eastAsia="en-US"/>
        </w:rPr>
        <w:t>patrimoine. La délégation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est</w:t>
      </w:r>
      <w:r w:rsidRPr="006C589D">
        <w:rPr>
          <w:rFonts w:ascii="Arial" w:eastAsia="SimSun" w:hAnsi="Arial" w:cs="Arial"/>
          <w:bCs/>
          <w:sz w:val="22"/>
          <w:szCs w:val="22"/>
          <w:lang w:val="fr-FR" w:eastAsia="en-US"/>
        </w:rPr>
        <w:t xml:space="preserve"> réjoui</w:t>
      </w:r>
      <w:r>
        <w:rPr>
          <w:rFonts w:ascii="Arial" w:eastAsia="SimSun" w:hAnsi="Arial" w:cs="Arial"/>
          <w:bCs/>
          <w:sz w:val="22"/>
          <w:szCs w:val="22"/>
          <w:lang w:val="fr-FR" w:eastAsia="en-US"/>
        </w:rPr>
        <w:t>e</w:t>
      </w:r>
      <w:r w:rsidRPr="006C589D">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œuvrer </w:t>
      </w:r>
      <w:r w:rsidRPr="006C589D">
        <w:rPr>
          <w:rFonts w:ascii="Arial" w:eastAsia="SimSun" w:hAnsi="Arial" w:cs="Arial"/>
          <w:bCs/>
          <w:sz w:val="22"/>
          <w:szCs w:val="22"/>
          <w:lang w:val="fr-FR" w:eastAsia="en-US"/>
        </w:rPr>
        <w:t xml:space="preserve">main dans la main avec le Secrétariat, les organes de la Convention et les États parties </w:t>
      </w:r>
      <w:r>
        <w:rPr>
          <w:rFonts w:ascii="Arial" w:eastAsia="SimSun" w:hAnsi="Arial" w:cs="Arial"/>
          <w:bCs/>
          <w:sz w:val="22"/>
          <w:szCs w:val="22"/>
          <w:lang w:val="fr-FR" w:eastAsia="en-US"/>
        </w:rPr>
        <w:t>à la poursuite de</w:t>
      </w:r>
      <w:r w:rsidRPr="006C589D">
        <w:rPr>
          <w:rFonts w:ascii="Arial" w:eastAsia="SimSun" w:hAnsi="Arial" w:cs="Arial"/>
          <w:bCs/>
          <w:sz w:val="22"/>
          <w:szCs w:val="22"/>
          <w:lang w:val="fr-FR" w:eastAsia="en-US"/>
        </w:rPr>
        <w:t xml:space="preserve"> la mise en œuvre de la Convention, qui </w:t>
      </w:r>
      <w:r>
        <w:rPr>
          <w:rFonts w:ascii="Arial" w:eastAsia="SimSun" w:hAnsi="Arial" w:cs="Arial"/>
          <w:bCs/>
          <w:sz w:val="22"/>
          <w:szCs w:val="22"/>
          <w:lang w:val="fr-FR" w:eastAsia="en-US"/>
        </w:rPr>
        <w:t>était</w:t>
      </w:r>
      <w:r w:rsidRPr="006C589D">
        <w:rPr>
          <w:rFonts w:ascii="Arial" w:eastAsia="SimSun" w:hAnsi="Arial" w:cs="Arial"/>
          <w:bCs/>
          <w:sz w:val="22"/>
          <w:szCs w:val="22"/>
          <w:lang w:val="fr-FR" w:eastAsia="en-US"/>
        </w:rPr>
        <w:t xml:space="preserve"> devenue un point de référence dans son approche holistique du travail de sauvegarde du </w:t>
      </w:r>
      <w:r>
        <w:rPr>
          <w:rFonts w:ascii="Arial" w:eastAsia="SimSun" w:hAnsi="Arial" w:cs="Arial"/>
          <w:bCs/>
          <w:sz w:val="22"/>
          <w:szCs w:val="22"/>
          <w:lang w:val="fr-FR" w:eastAsia="en-US"/>
        </w:rPr>
        <w:t>patrimoine culturel immatériel.</w:t>
      </w:r>
    </w:p>
    <w:p w14:paraId="26BCA1AD" w14:textId="282F0D49" w:rsidR="00D9653F" w:rsidRPr="00EB6186"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EB6186">
        <w:rPr>
          <w:rFonts w:ascii="Arial" w:eastAsia="SimSun" w:hAnsi="Arial" w:cs="Arial"/>
          <w:bCs/>
          <w:sz w:val="22"/>
          <w:szCs w:val="22"/>
          <w:lang w:val="fr-FR" w:eastAsia="en-US"/>
        </w:rPr>
        <w:t xml:space="preserve">La délégation du </w:t>
      </w:r>
      <w:r w:rsidRPr="00EB6186">
        <w:rPr>
          <w:rFonts w:ascii="Arial" w:eastAsia="SimSun" w:hAnsi="Arial" w:cs="Arial"/>
          <w:b/>
          <w:sz w:val="22"/>
          <w:szCs w:val="22"/>
          <w:lang w:val="fr-FR" w:eastAsia="en-US"/>
        </w:rPr>
        <w:t>Cameroun</w:t>
      </w:r>
      <w:r w:rsidRPr="00EB6186">
        <w:rPr>
          <w:rFonts w:ascii="Arial" w:eastAsia="SimSun" w:hAnsi="Arial" w:cs="Arial"/>
          <w:bCs/>
          <w:sz w:val="22"/>
          <w:szCs w:val="22"/>
          <w:lang w:val="fr-FR" w:eastAsia="en-US"/>
        </w:rPr>
        <w:t xml:space="preserve"> a félicité la Présidente et les membres du Bureau pour leur élection et a remercié le Secrétariat et le Sous-Directeur général pour leur diligence dans le contexte de la crise sanitaire, qui a</w:t>
      </w:r>
      <w:r>
        <w:rPr>
          <w:rFonts w:ascii="Arial" w:eastAsia="SimSun" w:hAnsi="Arial" w:cs="Arial"/>
          <w:bCs/>
          <w:sz w:val="22"/>
          <w:szCs w:val="22"/>
          <w:lang w:val="fr-FR" w:eastAsia="en-US"/>
        </w:rPr>
        <w:t>vait</w:t>
      </w:r>
      <w:r w:rsidRPr="00EB6186">
        <w:rPr>
          <w:rFonts w:ascii="Arial" w:eastAsia="SimSun" w:hAnsi="Arial" w:cs="Arial"/>
          <w:bCs/>
          <w:sz w:val="22"/>
          <w:szCs w:val="22"/>
          <w:lang w:val="fr-FR" w:eastAsia="en-US"/>
        </w:rPr>
        <w:t xml:space="preserve"> été marqué par beaucoup d</w:t>
      </w:r>
      <w:r w:rsidR="008E532B">
        <w:rPr>
          <w:rFonts w:ascii="Arial" w:eastAsia="SimSun" w:hAnsi="Arial" w:cs="Arial"/>
          <w:bCs/>
          <w:sz w:val="22"/>
          <w:szCs w:val="22"/>
          <w:lang w:val="fr-FR" w:eastAsia="en-US"/>
        </w:rPr>
        <w:t>’</w:t>
      </w:r>
      <w:r w:rsidRPr="00EB6186">
        <w:rPr>
          <w:rFonts w:ascii="Arial" w:eastAsia="SimSun" w:hAnsi="Arial" w:cs="Arial"/>
          <w:bCs/>
          <w:sz w:val="22"/>
          <w:szCs w:val="22"/>
          <w:lang w:val="fr-FR" w:eastAsia="en-US"/>
        </w:rPr>
        <w:t>incertitudes. C</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est</w:t>
      </w:r>
      <w:r w:rsidRPr="00EB6186">
        <w:rPr>
          <w:rFonts w:ascii="Arial" w:eastAsia="SimSun" w:hAnsi="Arial" w:cs="Arial"/>
          <w:bCs/>
          <w:sz w:val="22"/>
          <w:szCs w:val="22"/>
          <w:lang w:val="fr-FR" w:eastAsia="en-US"/>
        </w:rPr>
        <w:t xml:space="preserve"> grâce à cette résilience que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EB6186">
        <w:rPr>
          <w:rFonts w:ascii="Arial" w:eastAsia="SimSun" w:hAnsi="Arial" w:cs="Arial"/>
          <w:bCs/>
          <w:sz w:val="22"/>
          <w:szCs w:val="22"/>
          <w:lang w:val="fr-FR" w:eastAsia="en-US"/>
        </w:rPr>
        <w:t>était resté visible, redonnant espoir en l</w:t>
      </w:r>
      <w:r w:rsidR="008E532B">
        <w:rPr>
          <w:rFonts w:ascii="Arial" w:eastAsia="SimSun" w:hAnsi="Arial" w:cs="Arial"/>
          <w:bCs/>
          <w:sz w:val="22"/>
          <w:szCs w:val="22"/>
          <w:lang w:val="fr-FR" w:eastAsia="en-US"/>
        </w:rPr>
        <w:t>’</w:t>
      </w:r>
      <w:r w:rsidRPr="00EB6186">
        <w:rPr>
          <w:rFonts w:ascii="Arial" w:eastAsia="SimSun" w:hAnsi="Arial" w:cs="Arial"/>
          <w:bCs/>
          <w:sz w:val="22"/>
          <w:szCs w:val="22"/>
          <w:lang w:val="fr-FR" w:eastAsia="en-US"/>
        </w:rPr>
        <w:t>avenir. Le Cameroun a également félicité l</w:t>
      </w:r>
      <w:r w:rsidR="008E532B">
        <w:rPr>
          <w:rFonts w:ascii="Arial" w:eastAsia="SimSun" w:hAnsi="Arial" w:cs="Arial"/>
          <w:bCs/>
          <w:sz w:val="22"/>
          <w:szCs w:val="22"/>
          <w:lang w:val="fr-FR" w:eastAsia="en-US"/>
        </w:rPr>
        <w:t>’</w:t>
      </w:r>
      <w:r w:rsidRPr="00EB6186">
        <w:rPr>
          <w:rFonts w:ascii="Arial" w:eastAsia="SimSun" w:hAnsi="Arial" w:cs="Arial"/>
          <w:bCs/>
          <w:sz w:val="22"/>
          <w:szCs w:val="22"/>
          <w:lang w:val="fr-FR" w:eastAsia="en-US"/>
        </w:rPr>
        <w:t>Angola et la Somalie, dont la ratification renforcera</w:t>
      </w:r>
      <w:r>
        <w:rPr>
          <w:rFonts w:ascii="Arial" w:eastAsia="SimSun" w:hAnsi="Arial" w:cs="Arial"/>
          <w:bCs/>
          <w:sz w:val="22"/>
          <w:szCs w:val="22"/>
          <w:lang w:val="fr-FR" w:eastAsia="en-US"/>
        </w:rPr>
        <w:t>it</w:t>
      </w:r>
      <w:r w:rsidRPr="00EB6186">
        <w:rPr>
          <w:rFonts w:ascii="Arial" w:eastAsia="SimSun" w:hAnsi="Arial" w:cs="Arial"/>
          <w:bCs/>
          <w:sz w:val="22"/>
          <w:szCs w:val="22"/>
          <w:lang w:val="fr-FR" w:eastAsia="en-US"/>
        </w:rPr>
        <w:t xml:space="preserve"> la famille universelle du </w:t>
      </w:r>
      <w:r w:rsidR="0064242E">
        <w:rPr>
          <w:rFonts w:ascii="Arial" w:eastAsia="SimSun" w:hAnsi="Arial" w:cs="Arial"/>
          <w:bCs/>
          <w:sz w:val="22"/>
          <w:szCs w:val="22"/>
          <w:lang w:val="fr-FR" w:eastAsia="en-US"/>
        </w:rPr>
        <w:t>patrimoine culturel immatériel</w:t>
      </w:r>
      <w:r w:rsidRPr="00EB6186">
        <w:rPr>
          <w:rFonts w:ascii="Arial" w:eastAsia="SimSun" w:hAnsi="Arial" w:cs="Arial"/>
          <w:bCs/>
          <w:sz w:val="22"/>
          <w:szCs w:val="22"/>
          <w:lang w:val="fr-FR" w:eastAsia="en-US"/>
        </w:rPr>
        <w:t xml:space="preserve">. La délégation </w:t>
      </w:r>
      <w:r>
        <w:rPr>
          <w:rFonts w:ascii="Arial" w:eastAsia="SimSun" w:hAnsi="Arial" w:cs="Arial"/>
          <w:bCs/>
          <w:sz w:val="22"/>
          <w:szCs w:val="22"/>
          <w:lang w:val="fr-FR" w:eastAsia="en-US"/>
        </w:rPr>
        <w:t xml:space="preserve">soutenait </w:t>
      </w:r>
      <w:r w:rsidRPr="00EB6186">
        <w:rPr>
          <w:rFonts w:ascii="Arial" w:eastAsia="SimSun" w:hAnsi="Arial" w:cs="Arial"/>
          <w:bCs/>
          <w:sz w:val="22"/>
          <w:szCs w:val="22"/>
          <w:lang w:val="fr-FR" w:eastAsia="en-US"/>
        </w:rPr>
        <w:t xml:space="preserve">pleinement le rapport du Secrétariat sur les activités entreprises au cours des deux dernières années. De nouveaux outils </w:t>
      </w:r>
      <w:r>
        <w:rPr>
          <w:rFonts w:ascii="Arial" w:eastAsia="SimSun" w:hAnsi="Arial" w:cs="Arial"/>
          <w:bCs/>
          <w:sz w:val="22"/>
          <w:szCs w:val="22"/>
          <w:lang w:val="fr-FR" w:eastAsia="en-US"/>
        </w:rPr>
        <w:t>avaient</w:t>
      </w:r>
      <w:r w:rsidRPr="00EB6186">
        <w:rPr>
          <w:rFonts w:ascii="Arial" w:eastAsia="SimSun" w:hAnsi="Arial" w:cs="Arial"/>
          <w:bCs/>
          <w:sz w:val="22"/>
          <w:szCs w:val="22"/>
          <w:lang w:val="fr-FR" w:eastAsia="en-US"/>
        </w:rPr>
        <w:t xml:space="preserve"> été conçus, tels que le MOOC et l</w:t>
      </w:r>
      <w:r>
        <w:rPr>
          <w:rFonts w:ascii="Arial" w:eastAsia="SimSun" w:hAnsi="Arial" w:cs="Arial"/>
          <w:bCs/>
          <w:sz w:val="22"/>
          <w:szCs w:val="22"/>
          <w:lang w:val="fr-FR" w:eastAsia="en-US"/>
        </w:rPr>
        <w:t xml:space="preserve">e </w:t>
      </w:r>
      <w:r w:rsidRPr="00C14AFC">
        <w:rPr>
          <w:rFonts w:ascii="Arial" w:eastAsia="SimSun" w:hAnsi="Arial" w:cs="Arial"/>
          <w:bCs/>
          <w:i/>
          <w:iCs/>
          <w:sz w:val="22"/>
          <w:szCs w:val="22"/>
          <w:lang w:val="fr-FR" w:eastAsia="en-US"/>
        </w:rPr>
        <w:t>Guide pour faire une demande d</w:t>
      </w:r>
      <w:r w:rsidR="008E532B">
        <w:rPr>
          <w:rFonts w:ascii="Arial" w:eastAsia="SimSun" w:hAnsi="Arial" w:cs="Arial"/>
          <w:bCs/>
          <w:i/>
          <w:iCs/>
          <w:sz w:val="22"/>
          <w:szCs w:val="22"/>
          <w:lang w:val="fr-FR" w:eastAsia="en-US"/>
        </w:rPr>
        <w:t>’</w:t>
      </w:r>
      <w:r w:rsidRPr="00C14AFC">
        <w:rPr>
          <w:rFonts w:ascii="Arial" w:eastAsia="SimSun" w:hAnsi="Arial" w:cs="Arial"/>
          <w:bCs/>
          <w:i/>
          <w:iCs/>
          <w:sz w:val="22"/>
          <w:szCs w:val="22"/>
          <w:lang w:val="fr-FR" w:eastAsia="en-US"/>
        </w:rPr>
        <w:t>assistance internationale</w:t>
      </w:r>
      <w:r w:rsidRPr="00EB6186">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afin de</w:t>
      </w:r>
      <w:r w:rsidRPr="00EB6186">
        <w:rPr>
          <w:rFonts w:ascii="Arial" w:eastAsia="SimSun" w:hAnsi="Arial" w:cs="Arial"/>
          <w:bCs/>
          <w:sz w:val="22"/>
          <w:szCs w:val="22"/>
          <w:lang w:val="fr-FR" w:eastAsia="en-US"/>
        </w:rPr>
        <w:t xml:space="preserve"> donner de la vitalité au </w:t>
      </w:r>
      <w:r>
        <w:rPr>
          <w:rFonts w:ascii="Arial" w:eastAsia="SimSun" w:hAnsi="Arial" w:cs="Arial"/>
          <w:bCs/>
          <w:sz w:val="22"/>
          <w:szCs w:val="22"/>
          <w:lang w:val="fr-FR" w:eastAsia="en-US"/>
        </w:rPr>
        <w:t>patrimoine culturel immatériel. Ils étaient</w:t>
      </w:r>
      <w:r w:rsidRPr="00EB6186">
        <w:rPr>
          <w:rFonts w:ascii="Arial" w:eastAsia="SimSun" w:hAnsi="Arial" w:cs="Arial"/>
          <w:bCs/>
          <w:sz w:val="22"/>
          <w:szCs w:val="22"/>
          <w:lang w:val="fr-FR" w:eastAsia="en-US"/>
        </w:rPr>
        <w:t xml:space="preserve"> extrêmement importants pour les communautés de</w:t>
      </w:r>
      <w:r>
        <w:rPr>
          <w:rFonts w:ascii="Arial" w:eastAsia="SimSun" w:hAnsi="Arial" w:cs="Arial"/>
          <w:bCs/>
          <w:sz w:val="22"/>
          <w:szCs w:val="22"/>
          <w:lang w:val="fr-FR" w:eastAsia="en-US"/>
        </w:rPr>
        <w:t xml:space="preserve"> détenteurs</w:t>
      </w:r>
      <w:r w:rsidRPr="00EB6186">
        <w:rPr>
          <w:rFonts w:ascii="Arial" w:eastAsia="SimSun" w:hAnsi="Arial" w:cs="Arial"/>
          <w:bCs/>
          <w:sz w:val="22"/>
          <w:szCs w:val="22"/>
          <w:lang w:val="fr-FR" w:eastAsia="en-US"/>
        </w:rPr>
        <w:t>. L</w:t>
      </w:r>
      <w:r w:rsidR="008E532B">
        <w:rPr>
          <w:rFonts w:ascii="Arial" w:eastAsia="SimSun" w:hAnsi="Arial" w:cs="Arial"/>
          <w:bCs/>
          <w:sz w:val="22"/>
          <w:szCs w:val="22"/>
          <w:lang w:val="fr-FR" w:eastAsia="en-US"/>
        </w:rPr>
        <w:t>’</w:t>
      </w:r>
      <w:r w:rsidRPr="00EB6186">
        <w:rPr>
          <w:rFonts w:ascii="Arial" w:eastAsia="SimSun" w:hAnsi="Arial" w:cs="Arial"/>
          <w:bCs/>
          <w:sz w:val="22"/>
          <w:szCs w:val="22"/>
          <w:lang w:val="fr-FR" w:eastAsia="en-US"/>
        </w:rPr>
        <w:t>attention s</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était</w:t>
      </w:r>
      <w:r w:rsidRPr="00EB6186">
        <w:rPr>
          <w:rFonts w:ascii="Arial" w:eastAsia="SimSun" w:hAnsi="Arial" w:cs="Arial"/>
          <w:bCs/>
          <w:sz w:val="22"/>
          <w:szCs w:val="22"/>
          <w:lang w:val="fr-FR" w:eastAsia="en-US"/>
        </w:rPr>
        <w:t xml:space="preserve"> également portée sur les initiatives thématiques, qui sont des cadres de réflexion et des contributions participatives partagées destinées à améliorer la compréhension du </w:t>
      </w:r>
      <w:r w:rsidR="0064242E">
        <w:rPr>
          <w:rFonts w:ascii="Arial" w:eastAsia="SimSun" w:hAnsi="Arial" w:cs="Arial"/>
          <w:bCs/>
          <w:sz w:val="22"/>
          <w:szCs w:val="22"/>
          <w:lang w:val="fr-FR" w:eastAsia="en-US"/>
        </w:rPr>
        <w:t>patrimoine culturel immatériel</w:t>
      </w:r>
      <w:r w:rsidRPr="00EB6186">
        <w:rPr>
          <w:rFonts w:ascii="Arial" w:eastAsia="SimSun" w:hAnsi="Arial" w:cs="Arial"/>
          <w:bCs/>
          <w:sz w:val="22"/>
          <w:szCs w:val="22"/>
          <w:lang w:val="fr-FR" w:eastAsia="en-US"/>
        </w:rPr>
        <w:t>, ainsi qu</w:t>
      </w:r>
      <w:r w:rsidR="008E532B">
        <w:rPr>
          <w:rFonts w:ascii="Arial" w:eastAsia="SimSun" w:hAnsi="Arial" w:cs="Arial"/>
          <w:bCs/>
          <w:sz w:val="22"/>
          <w:szCs w:val="22"/>
          <w:lang w:val="fr-FR" w:eastAsia="en-US"/>
        </w:rPr>
        <w:t>’</w:t>
      </w:r>
      <w:r w:rsidRPr="00EB6186">
        <w:rPr>
          <w:rFonts w:ascii="Arial" w:eastAsia="SimSun" w:hAnsi="Arial" w:cs="Arial"/>
          <w:bCs/>
          <w:sz w:val="22"/>
          <w:szCs w:val="22"/>
          <w:lang w:val="fr-FR" w:eastAsia="en-US"/>
        </w:rPr>
        <w:t>à trouver des synergies potentielles avec d</w:t>
      </w:r>
      <w:r w:rsidR="008E532B">
        <w:rPr>
          <w:rFonts w:ascii="Arial" w:eastAsia="SimSun" w:hAnsi="Arial" w:cs="Arial"/>
          <w:bCs/>
          <w:sz w:val="22"/>
          <w:szCs w:val="22"/>
          <w:lang w:val="fr-FR" w:eastAsia="en-US"/>
        </w:rPr>
        <w:t>’</w:t>
      </w:r>
      <w:r w:rsidRPr="00EB6186">
        <w:rPr>
          <w:rFonts w:ascii="Arial" w:eastAsia="SimSun" w:hAnsi="Arial" w:cs="Arial"/>
          <w:bCs/>
          <w:sz w:val="22"/>
          <w:szCs w:val="22"/>
          <w:lang w:val="fr-FR" w:eastAsia="en-US"/>
        </w:rPr>
        <w:t xml:space="preserve">autres </w:t>
      </w:r>
      <w:r>
        <w:rPr>
          <w:rFonts w:ascii="Arial" w:eastAsia="SimSun" w:hAnsi="Arial" w:cs="Arial"/>
          <w:bCs/>
          <w:sz w:val="22"/>
          <w:szCs w:val="22"/>
          <w:lang w:val="fr-FR" w:eastAsia="en-US"/>
        </w:rPr>
        <w:t>c</w:t>
      </w:r>
      <w:r w:rsidRPr="00EB6186">
        <w:rPr>
          <w:rFonts w:ascii="Arial" w:eastAsia="SimSun" w:hAnsi="Arial" w:cs="Arial"/>
          <w:bCs/>
          <w:sz w:val="22"/>
          <w:szCs w:val="22"/>
          <w:lang w:val="fr-FR" w:eastAsia="en-US"/>
        </w:rPr>
        <w:t>onventions. L</w:t>
      </w:r>
      <w:r w:rsidR="008E532B">
        <w:rPr>
          <w:rFonts w:ascii="Arial" w:eastAsia="SimSun" w:hAnsi="Arial" w:cs="Arial"/>
          <w:bCs/>
          <w:sz w:val="22"/>
          <w:szCs w:val="22"/>
          <w:lang w:val="fr-FR" w:eastAsia="en-US"/>
        </w:rPr>
        <w:t>’</w:t>
      </w:r>
      <w:r w:rsidRPr="00EB6186">
        <w:rPr>
          <w:rFonts w:ascii="Arial" w:eastAsia="SimSun" w:hAnsi="Arial" w:cs="Arial"/>
          <w:bCs/>
          <w:sz w:val="22"/>
          <w:szCs w:val="22"/>
          <w:lang w:val="fr-FR" w:eastAsia="en-US"/>
        </w:rPr>
        <w:t>Assemblée pouvait compter sur l</w:t>
      </w:r>
      <w:r w:rsidR="008E532B">
        <w:rPr>
          <w:rFonts w:ascii="Arial" w:eastAsia="SimSun" w:hAnsi="Arial" w:cs="Arial"/>
          <w:bCs/>
          <w:sz w:val="22"/>
          <w:szCs w:val="22"/>
          <w:lang w:val="fr-FR" w:eastAsia="en-US"/>
        </w:rPr>
        <w:t>’</w:t>
      </w:r>
      <w:r w:rsidRPr="00EB6186">
        <w:rPr>
          <w:rFonts w:ascii="Arial" w:eastAsia="SimSun" w:hAnsi="Arial" w:cs="Arial"/>
          <w:bCs/>
          <w:sz w:val="22"/>
          <w:szCs w:val="22"/>
          <w:lang w:val="fr-FR" w:eastAsia="en-US"/>
        </w:rPr>
        <w:t xml:space="preserve">engagement du Cameroun </w:t>
      </w:r>
      <w:r>
        <w:rPr>
          <w:rFonts w:ascii="Arial" w:eastAsia="SimSun" w:hAnsi="Arial" w:cs="Arial"/>
          <w:bCs/>
          <w:sz w:val="22"/>
          <w:szCs w:val="22"/>
          <w:lang w:val="fr-FR" w:eastAsia="en-US"/>
        </w:rPr>
        <w:t xml:space="preserve">qui </w:t>
      </w:r>
      <w:r w:rsidRPr="00EB6186">
        <w:rPr>
          <w:rFonts w:ascii="Arial" w:eastAsia="SimSun" w:hAnsi="Arial" w:cs="Arial"/>
          <w:bCs/>
          <w:sz w:val="22"/>
          <w:szCs w:val="22"/>
          <w:lang w:val="fr-FR" w:eastAsia="en-US"/>
        </w:rPr>
        <w:t>capitalis</w:t>
      </w:r>
      <w:r>
        <w:rPr>
          <w:rFonts w:ascii="Arial" w:eastAsia="SimSun" w:hAnsi="Arial" w:cs="Arial"/>
          <w:bCs/>
          <w:sz w:val="22"/>
          <w:szCs w:val="22"/>
          <w:lang w:val="fr-FR" w:eastAsia="en-US"/>
        </w:rPr>
        <w:t>erait</w:t>
      </w:r>
      <w:r w:rsidRPr="00EB6186">
        <w:rPr>
          <w:rFonts w:ascii="Arial" w:eastAsia="SimSun" w:hAnsi="Arial" w:cs="Arial"/>
          <w:bCs/>
          <w:sz w:val="22"/>
          <w:szCs w:val="22"/>
          <w:lang w:val="fr-FR" w:eastAsia="en-US"/>
        </w:rPr>
        <w:t xml:space="preserve"> les expériences </w:t>
      </w:r>
      <w:r>
        <w:rPr>
          <w:rFonts w:ascii="Arial" w:eastAsia="SimSun" w:hAnsi="Arial" w:cs="Arial"/>
          <w:bCs/>
          <w:sz w:val="22"/>
          <w:szCs w:val="22"/>
          <w:lang w:val="fr-FR" w:eastAsia="en-US"/>
        </w:rPr>
        <w:t>par rapport à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avenir du</w:t>
      </w:r>
      <w:r w:rsidRPr="00EB6186">
        <w:rPr>
          <w:rFonts w:ascii="Arial" w:eastAsia="SimSun" w:hAnsi="Arial" w:cs="Arial"/>
          <w:bCs/>
          <w:sz w:val="22"/>
          <w:szCs w:val="22"/>
          <w:lang w:val="fr-FR" w:eastAsia="en-US"/>
        </w:rPr>
        <w:t xml:space="preserv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EB6186">
        <w:rPr>
          <w:rFonts w:ascii="Arial" w:eastAsia="SimSun" w:hAnsi="Arial" w:cs="Arial"/>
          <w:bCs/>
          <w:sz w:val="22"/>
          <w:szCs w:val="22"/>
          <w:lang w:val="fr-FR" w:eastAsia="en-US"/>
        </w:rPr>
        <w:t xml:space="preserve">dans la région </w:t>
      </w:r>
      <w:r>
        <w:rPr>
          <w:rFonts w:ascii="Arial" w:eastAsia="SimSun" w:hAnsi="Arial" w:cs="Arial"/>
          <w:bCs/>
          <w:sz w:val="22"/>
          <w:szCs w:val="22"/>
          <w:lang w:val="fr-FR" w:eastAsia="en-US"/>
        </w:rPr>
        <w:t>de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Afrique</w:t>
      </w:r>
      <w:r w:rsidRPr="00EB6186">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La </w:t>
      </w:r>
      <w:r w:rsidRPr="00B619C5">
        <w:rPr>
          <w:rFonts w:ascii="Arial" w:eastAsia="SimSun" w:hAnsi="Arial" w:cs="Arial"/>
          <w:bCs/>
          <w:sz w:val="22"/>
          <w:szCs w:val="22"/>
          <w:lang w:val="fr-FR" w:eastAsia="en-US"/>
        </w:rPr>
        <w:t>délégation</w:t>
      </w:r>
      <w:r w:rsidRPr="00EB6186">
        <w:rPr>
          <w:rFonts w:ascii="Arial" w:eastAsia="SimSun" w:hAnsi="Arial" w:cs="Arial"/>
          <w:bCs/>
          <w:sz w:val="22"/>
          <w:szCs w:val="22"/>
          <w:lang w:val="fr-FR" w:eastAsia="en-US"/>
        </w:rPr>
        <w:t xml:space="preserve"> a également encouragé un plus grand renforcement des capacités dans la préparation des dossiers de candidature et des inventaires afin d</w:t>
      </w:r>
      <w:r w:rsidR="008E532B">
        <w:rPr>
          <w:rFonts w:ascii="Arial" w:eastAsia="SimSun" w:hAnsi="Arial" w:cs="Arial"/>
          <w:bCs/>
          <w:sz w:val="22"/>
          <w:szCs w:val="22"/>
          <w:lang w:val="fr-FR" w:eastAsia="en-US"/>
        </w:rPr>
        <w:t>’</w:t>
      </w:r>
      <w:r w:rsidRPr="00EB6186">
        <w:rPr>
          <w:rFonts w:ascii="Arial" w:eastAsia="SimSun" w:hAnsi="Arial" w:cs="Arial"/>
          <w:bCs/>
          <w:sz w:val="22"/>
          <w:szCs w:val="22"/>
          <w:lang w:val="fr-FR" w:eastAsia="en-US"/>
        </w:rPr>
        <w:t xml:space="preserve">améliorer les inscriptions sur les différentes listes, y compris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dans les</w:t>
      </w:r>
      <w:r w:rsidRPr="00EB6186">
        <w:rPr>
          <w:rFonts w:ascii="Arial" w:eastAsia="SimSun" w:hAnsi="Arial" w:cs="Arial"/>
          <w:bCs/>
          <w:sz w:val="22"/>
          <w:szCs w:val="22"/>
          <w:lang w:val="fr-FR" w:eastAsia="en-US"/>
        </w:rPr>
        <w:t xml:space="preserve"> situation</w:t>
      </w:r>
      <w:r>
        <w:rPr>
          <w:rFonts w:ascii="Arial" w:eastAsia="SimSun" w:hAnsi="Arial" w:cs="Arial"/>
          <w:bCs/>
          <w:sz w:val="22"/>
          <w:szCs w:val="22"/>
          <w:lang w:val="fr-FR" w:eastAsia="en-US"/>
        </w:rPr>
        <w:t>s</w:t>
      </w:r>
      <w:r w:rsidRPr="00EB6186">
        <w:rPr>
          <w:rFonts w:ascii="Arial" w:eastAsia="SimSun" w:hAnsi="Arial" w:cs="Arial"/>
          <w:bCs/>
          <w:sz w:val="22"/>
          <w:szCs w:val="22"/>
          <w:lang w:val="fr-FR" w:eastAsia="en-US"/>
        </w:rPr>
        <w:t xml:space="preserve"> d</w:t>
      </w:r>
      <w:r w:rsidR="008E532B">
        <w:rPr>
          <w:rFonts w:ascii="Arial" w:eastAsia="SimSun" w:hAnsi="Arial" w:cs="Arial"/>
          <w:bCs/>
          <w:sz w:val="22"/>
          <w:szCs w:val="22"/>
          <w:lang w:val="fr-FR" w:eastAsia="en-US"/>
        </w:rPr>
        <w:t>’</w:t>
      </w:r>
      <w:r w:rsidRPr="00EB6186">
        <w:rPr>
          <w:rFonts w:ascii="Arial" w:eastAsia="SimSun" w:hAnsi="Arial" w:cs="Arial"/>
          <w:bCs/>
          <w:sz w:val="22"/>
          <w:szCs w:val="22"/>
          <w:lang w:val="fr-FR" w:eastAsia="en-US"/>
        </w:rPr>
        <w:t xml:space="preserve">urgence. Elle </w:t>
      </w:r>
      <w:r>
        <w:rPr>
          <w:rFonts w:ascii="Arial" w:eastAsia="SimSun" w:hAnsi="Arial" w:cs="Arial"/>
          <w:bCs/>
          <w:sz w:val="22"/>
          <w:szCs w:val="22"/>
          <w:lang w:val="fr-FR" w:eastAsia="en-US"/>
        </w:rPr>
        <w:t>souhaitait</w:t>
      </w:r>
      <w:r w:rsidRPr="00EB6186">
        <w:rPr>
          <w:rFonts w:ascii="Arial" w:eastAsia="SimSun" w:hAnsi="Arial" w:cs="Arial"/>
          <w:bCs/>
          <w:sz w:val="22"/>
          <w:szCs w:val="22"/>
          <w:lang w:val="fr-FR" w:eastAsia="en-US"/>
        </w:rPr>
        <w:t xml:space="preserve"> également une plus grande coopération avec les universités africaines et leur implication dans la diffusion des connaissances et des bonnes pratiques dans le domaine du </w:t>
      </w:r>
      <w:r w:rsidR="0064242E">
        <w:rPr>
          <w:rFonts w:ascii="Arial" w:eastAsia="SimSun" w:hAnsi="Arial" w:cs="Arial"/>
          <w:bCs/>
          <w:sz w:val="22"/>
          <w:szCs w:val="22"/>
          <w:lang w:val="fr-FR" w:eastAsia="en-US"/>
        </w:rPr>
        <w:t>patrimoine culturel immatériel</w:t>
      </w:r>
      <w:r w:rsidRPr="00EB6186">
        <w:rPr>
          <w:rFonts w:ascii="Arial" w:eastAsia="SimSun" w:hAnsi="Arial" w:cs="Arial"/>
          <w:bCs/>
          <w:sz w:val="22"/>
          <w:szCs w:val="22"/>
          <w:lang w:val="fr-FR" w:eastAsia="en-US"/>
        </w:rPr>
        <w:t>.</w:t>
      </w:r>
    </w:p>
    <w:p w14:paraId="2D933141" w14:textId="1517365E" w:rsidR="00D9653F" w:rsidRPr="00112544"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112544">
        <w:rPr>
          <w:rFonts w:ascii="Arial" w:eastAsia="SimSun" w:hAnsi="Arial" w:cs="Arial"/>
          <w:bCs/>
          <w:sz w:val="22"/>
          <w:szCs w:val="22"/>
          <w:lang w:val="fr-FR" w:eastAsia="en-US"/>
        </w:rPr>
        <w:t xml:space="preserve">La délégation de la </w:t>
      </w:r>
      <w:r w:rsidRPr="00112544">
        <w:rPr>
          <w:rFonts w:ascii="Arial" w:eastAsia="SimSun" w:hAnsi="Arial" w:cs="Arial"/>
          <w:b/>
          <w:sz w:val="22"/>
          <w:szCs w:val="22"/>
          <w:lang w:val="fr-FR" w:eastAsia="en-US"/>
        </w:rPr>
        <w:t>Hongrie</w:t>
      </w:r>
      <w:r w:rsidRPr="00112544">
        <w:rPr>
          <w:rFonts w:ascii="Arial" w:eastAsia="SimSun" w:hAnsi="Arial" w:cs="Arial"/>
          <w:bCs/>
          <w:sz w:val="22"/>
          <w:szCs w:val="22"/>
          <w:lang w:val="fr-FR" w:eastAsia="en-US"/>
        </w:rPr>
        <w:t xml:space="preserve"> a félicité la Présidente pour son élection ainsi que les membres élus du Bureau. Elle a remercié le Secrétariat pour le travail remarquable accompli au cours des deux dernières années malgré </w:t>
      </w:r>
      <w:r>
        <w:rPr>
          <w:rFonts w:ascii="Arial" w:eastAsia="SimSun" w:hAnsi="Arial" w:cs="Arial"/>
          <w:bCs/>
          <w:sz w:val="22"/>
          <w:szCs w:val="22"/>
          <w:lang w:val="fr-FR" w:eastAsia="en-US"/>
        </w:rPr>
        <w:t>de</w:t>
      </w:r>
      <w:r w:rsidRPr="00112544">
        <w:rPr>
          <w:rFonts w:ascii="Arial" w:eastAsia="SimSun" w:hAnsi="Arial" w:cs="Arial"/>
          <w:bCs/>
          <w:sz w:val="22"/>
          <w:szCs w:val="22"/>
          <w:lang w:val="fr-FR" w:eastAsia="en-US"/>
        </w:rPr>
        <w:t xml:space="preserve"> grands défis. La délégation a souligné la grande importance de la coopération entre les États parties qui a</w:t>
      </w:r>
      <w:r>
        <w:rPr>
          <w:rFonts w:ascii="Arial" w:eastAsia="SimSun" w:hAnsi="Arial" w:cs="Arial"/>
          <w:bCs/>
          <w:sz w:val="22"/>
          <w:szCs w:val="22"/>
          <w:lang w:val="fr-FR" w:eastAsia="en-US"/>
        </w:rPr>
        <w:t>vait</w:t>
      </w:r>
      <w:r w:rsidRPr="00112544">
        <w:rPr>
          <w:rFonts w:ascii="Arial" w:eastAsia="SimSun" w:hAnsi="Arial" w:cs="Arial"/>
          <w:bCs/>
          <w:sz w:val="22"/>
          <w:szCs w:val="22"/>
          <w:lang w:val="fr-FR" w:eastAsia="en-US"/>
        </w:rPr>
        <w:t xml:space="preserve"> été </w:t>
      </w:r>
      <w:r>
        <w:rPr>
          <w:rFonts w:ascii="Arial" w:eastAsia="SimSun" w:hAnsi="Arial" w:cs="Arial"/>
          <w:bCs/>
          <w:sz w:val="22"/>
          <w:szCs w:val="22"/>
          <w:lang w:val="fr-FR" w:eastAsia="en-US"/>
        </w:rPr>
        <w:t xml:space="preserve">engagée </w:t>
      </w:r>
      <w:r w:rsidRPr="00112544">
        <w:rPr>
          <w:rFonts w:ascii="Arial" w:eastAsia="SimSun" w:hAnsi="Arial" w:cs="Arial"/>
          <w:bCs/>
          <w:sz w:val="22"/>
          <w:szCs w:val="22"/>
          <w:lang w:val="fr-FR" w:eastAsia="en-US"/>
        </w:rPr>
        <w:t>par le Secrétariat. En effet, malgré toutes les difficultés, il était encore plus important de travailler ensemble à la mise en œuvre de la Convention. En l</w:t>
      </w:r>
      <w:r w:rsidR="008E532B">
        <w:rPr>
          <w:rFonts w:ascii="Arial" w:eastAsia="SimSun" w:hAnsi="Arial" w:cs="Arial"/>
          <w:bCs/>
          <w:sz w:val="22"/>
          <w:szCs w:val="22"/>
          <w:lang w:val="fr-FR" w:eastAsia="en-US"/>
        </w:rPr>
        <w:t>’</w:t>
      </w:r>
      <w:r w:rsidRPr="00112544">
        <w:rPr>
          <w:rFonts w:ascii="Arial" w:eastAsia="SimSun" w:hAnsi="Arial" w:cs="Arial"/>
          <w:bCs/>
          <w:sz w:val="22"/>
          <w:szCs w:val="22"/>
          <w:lang w:val="fr-FR" w:eastAsia="en-US"/>
        </w:rPr>
        <w:t>absence de réunions personnelles, la nouvelle communication en ligne offrait beaucoup plus d</w:t>
      </w:r>
      <w:r w:rsidR="008E532B">
        <w:rPr>
          <w:rFonts w:ascii="Arial" w:eastAsia="SimSun" w:hAnsi="Arial" w:cs="Arial"/>
          <w:bCs/>
          <w:sz w:val="22"/>
          <w:szCs w:val="22"/>
          <w:lang w:val="fr-FR" w:eastAsia="en-US"/>
        </w:rPr>
        <w:t>’</w:t>
      </w:r>
      <w:r w:rsidRPr="00112544">
        <w:rPr>
          <w:rFonts w:ascii="Arial" w:eastAsia="SimSun" w:hAnsi="Arial" w:cs="Arial"/>
          <w:bCs/>
          <w:sz w:val="22"/>
          <w:szCs w:val="22"/>
          <w:lang w:val="fr-FR" w:eastAsia="en-US"/>
        </w:rPr>
        <w:t xml:space="preserve">opportunités pour une </w:t>
      </w:r>
      <w:r>
        <w:rPr>
          <w:rFonts w:ascii="Arial" w:eastAsia="SimSun" w:hAnsi="Arial" w:cs="Arial"/>
          <w:bCs/>
          <w:sz w:val="22"/>
          <w:szCs w:val="22"/>
          <w:lang w:val="fr-FR" w:eastAsia="en-US"/>
        </w:rPr>
        <w:t xml:space="preserve">vaste </w:t>
      </w:r>
      <w:r w:rsidRPr="00112544">
        <w:rPr>
          <w:rFonts w:ascii="Arial" w:eastAsia="SimSun" w:hAnsi="Arial" w:cs="Arial"/>
          <w:bCs/>
          <w:sz w:val="22"/>
          <w:szCs w:val="22"/>
          <w:lang w:val="fr-FR" w:eastAsia="en-US"/>
        </w:rPr>
        <w:t xml:space="preserve">coopération. Grâce aux points focaux, de nouveaux réseaux </w:t>
      </w:r>
      <w:proofErr w:type="gramStart"/>
      <w:r>
        <w:rPr>
          <w:rFonts w:ascii="Arial" w:eastAsia="SimSun" w:hAnsi="Arial" w:cs="Arial"/>
          <w:bCs/>
          <w:sz w:val="22"/>
          <w:szCs w:val="22"/>
          <w:lang w:val="fr-FR" w:eastAsia="en-US"/>
        </w:rPr>
        <w:t>avaient</w:t>
      </w:r>
      <w:proofErr w:type="gramEnd"/>
      <w:r w:rsidRPr="00112544">
        <w:rPr>
          <w:rFonts w:ascii="Arial" w:eastAsia="SimSun" w:hAnsi="Arial" w:cs="Arial"/>
          <w:bCs/>
          <w:sz w:val="22"/>
          <w:szCs w:val="22"/>
          <w:lang w:val="fr-FR" w:eastAsia="en-US"/>
        </w:rPr>
        <w:t xml:space="preserve"> été créés </w:t>
      </w:r>
      <w:r>
        <w:rPr>
          <w:rFonts w:ascii="Arial" w:eastAsia="SimSun" w:hAnsi="Arial" w:cs="Arial"/>
          <w:bCs/>
          <w:sz w:val="22"/>
          <w:szCs w:val="22"/>
          <w:lang w:val="fr-FR" w:eastAsia="en-US"/>
        </w:rPr>
        <w:t xml:space="preserve">à la faveur des </w:t>
      </w:r>
      <w:r w:rsidRPr="00112544">
        <w:rPr>
          <w:rFonts w:ascii="Arial" w:eastAsia="SimSun" w:hAnsi="Arial" w:cs="Arial"/>
          <w:bCs/>
          <w:sz w:val="22"/>
          <w:szCs w:val="22"/>
          <w:lang w:val="fr-FR" w:eastAsia="en-US"/>
        </w:rPr>
        <w:t xml:space="preserve">sessions de formation </w:t>
      </w:r>
      <w:r>
        <w:rPr>
          <w:rFonts w:ascii="Arial" w:eastAsia="SimSun" w:hAnsi="Arial" w:cs="Arial"/>
          <w:bCs/>
          <w:sz w:val="22"/>
          <w:szCs w:val="22"/>
          <w:lang w:val="fr-FR" w:eastAsia="en-US"/>
        </w:rPr>
        <w:t>de</w:t>
      </w:r>
      <w:r w:rsidRPr="00112544">
        <w:rPr>
          <w:rFonts w:ascii="Arial" w:eastAsia="SimSun" w:hAnsi="Arial" w:cs="Arial"/>
          <w:bCs/>
          <w:sz w:val="22"/>
          <w:szCs w:val="22"/>
          <w:lang w:val="fr-FR" w:eastAsia="en-US"/>
        </w:rPr>
        <w:t xml:space="preserve"> renforcement des capacités organisées par le Secrétariat, ce qui facilit</w:t>
      </w:r>
      <w:r>
        <w:rPr>
          <w:rFonts w:ascii="Arial" w:eastAsia="SimSun" w:hAnsi="Arial" w:cs="Arial"/>
          <w:bCs/>
          <w:sz w:val="22"/>
          <w:szCs w:val="22"/>
          <w:lang w:val="fr-FR" w:eastAsia="en-US"/>
        </w:rPr>
        <w:t>ait</w:t>
      </w:r>
      <w:r w:rsidRPr="00112544">
        <w:rPr>
          <w:rFonts w:ascii="Arial" w:eastAsia="SimSun" w:hAnsi="Arial" w:cs="Arial"/>
          <w:bCs/>
          <w:sz w:val="22"/>
          <w:szCs w:val="22"/>
          <w:lang w:val="fr-FR" w:eastAsia="en-US"/>
        </w:rPr>
        <w:t xml:space="preserve"> les contacts et perm</w:t>
      </w:r>
      <w:r>
        <w:rPr>
          <w:rFonts w:ascii="Arial" w:eastAsia="SimSun" w:hAnsi="Arial" w:cs="Arial"/>
          <w:bCs/>
          <w:sz w:val="22"/>
          <w:szCs w:val="22"/>
          <w:lang w:val="fr-FR" w:eastAsia="en-US"/>
        </w:rPr>
        <w:t>ettait</w:t>
      </w:r>
      <w:r w:rsidRPr="00112544">
        <w:rPr>
          <w:rFonts w:ascii="Arial" w:eastAsia="SimSun" w:hAnsi="Arial" w:cs="Arial"/>
          <w:bCs/>
          <w:sz w:val="22"/>
          <w:szCs w:val="22"/>
          <w:lang w:val="fr-FR" w:eastAsia="en-US"/>
        </w:rPr>
        <w:t xml:space="preserve"> de meilleurs échanges et le partage de bonnes pratiques et d</w:t>
      </w:r>
      <w:r w:rsidR="008E532B">
        <w:rPr>
          <w:rFonts w:ascii="Arial" w:eastAsia="SimSun" w:hAnsi="Arial" w:cs="Arial"/>
          <w:bCs/>
          <w:sz w:val="22"/>
          <w:szCs w:val="22"/>
          <w:lang w:val="fr-FR" w:eastAsia="en-US"/>
        </w:rPr>
        <w:t>’</w:t>
      </w:r>
      <w:r w:rsidRPr="00112544">
        <w:rPr>
          <w:rFonts w:ascii="Arial" w:eastAsia="SimSun" w:hAnsi="Arial" w:cs="Arial"/>
          <w:bCs/>
          <w:sz w:val="22"/>
          <w:szCs w:val="22"/>
          <w:lang w:val="fr-FR" w:eastAsia="en-US"/>
        </w:rPr>
        <w:t>expériences. La Hongrie a</w:t>
      </w:r>
      <w:r>
        <w:rPr>
          <w:rFonts w:ascii="Arial" w:eastAsia="SimSun" w:hAnsi="Arial" w:cs="Arial"/>
          <w:bCs/>
          <w:sz w:val="22"/>
          <w:szCs w:val="22"/>
          <w:lang w:val="fr-FR" w:eastAsia="en-US"/>
        </w:rPr>
        <w:t>vait</w:t>
      </w:r>
      <w:r w:rsidRPr="00112544">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aussi activement </w:t>
      </w:r>
      <w:r w:rsidRPr="00112544">
        <w:rPr>
          <w:rFonts w:ascii="Arial" w:eastAsia="SimSun" w:hAnsi="Arial" w:cs="Arial"/>
          <w:bCs/>
          <w:sz w:val="22"/>
          <w:szCs w:val="22"/>
          <w:lang w:val="fr-FR" w:eastAsia="en-US"/>
        </w:rPr>
        <w:t xml:space="preserve">rejoint le réseau européen des points focaux et </w:t>
      </w:r>
      <w:r>
        <w:rPr>
          <w:rFonts w:ascii="Arial" w:eastAsia="SimSun" w:hAnsi="Arial" w:cs="Arial"/>
          <w:bCs/>
          <w:sz w:val="22"/>
          <w:szCs w:val="22"/>
          <w:lang w:val="fr-FR" w:eastAsia="en-US"/>
        </w:rPr>
        <w:t>satisfait aux</w:t>
      </w:r>
      <w:r w:rsidRPr="00112544">
        <w:rPr>
          <w:rFonts w:ascii="Arial" w:eastAsia="SimSun" w:hAnsi="Arial" w:cs="Arial"/>
          <w:bCs/>
          <w:sz w:val="22"/>
          <w:szCs w:val="22"/>
          <w:lang w:val="fr-FR" w:eastAsia="en-US"/>
        </w:rPr>
        <w:t xml:space="preserve"> exigences de</w:t>
      </w:r>
      <w:r>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exercice de soumission des</w:t>
      </w:r>
      <w:r w:rsidRPr="00112544">
        <w:rPr>
          <w:rFonts w:ascii="Arial" w:eastAsia="SimSun" w:hAnsi="Arial" w:cs="Arial"/>
          <w:bCs/>
          <w:sz w:val="22"/>
          <w:szCs w:val="22"/>
          <w:lang w:val="fr-FR" w:eastAsia="en-US"/>
        </w:rPr>
        <w:t xml:space="preserve"> rapports périodiques. </w:t>
      </w:r>
      <w:r>
        <w:rPr>
          <w:rFonts w:ascii="Arial" w:eastAsia="SimSun" w:hAnsi="Arial" w:cs="Arial"/>
          <w:bCs/>
          <w:sz w:val="22"/>
          <w:szCs w:val="22"/>
          <w:lang w:val="fr-FR" w:eastAsia="en-US"/>
        </w:rPr>
        <w:t>Par ailleurs, e</w:t>
      </w:r>
      <w:r w:rsidRPr="00112544">
        <w:rPr>
          <w:rFonts w:ascii="Arial" w:eastAsia="SimSun" w:hAnsi="Arial" w:cs="Arial"/>
          <w:bCs/>
          <w:sz w:val="22"/>
          <w:szCs w:val="22"/>
          <w:lang w:val="fr-FR" w:eastAsia="en-US"/>
        </w:rPr>
        <w:t>lle particip</w:t>
      </w:r>
      <w:r>
        <w:rPr>
          <w:rFonts w:ascii="Arial" w:eastAsia="SimSun" w:hAnsi="Arial" w:cs="Arial"/>
          <w:bCs/>
          <w:sz w:val="22"/>
          <w:szCs w:val="22"/>
          <w:lang w:val="fr-FR" w:eastAsia="en-US"/>
        </w:rPr>
        <w:t>ait</w:t>
      </w:r>
      <w:r w:rsidRPr="00112544">
        <w:rPr>
          <w:rFonts w:ascii="Arial" w:eastAsia="SimSun" w:hAnsi="Arial" w:cs="Arial"/>
          <w:bCs/>
          <w:sz w:val="22"/>
          <w:szCs w:val="22"/>
          <w:lang w:val="fr-FR" w:eastAsia="en-US"/>
        </w:rPr>
        <w:t xml:space="preserve"> à la préparation de candidatures multinationales. Grâce à ces programmes, la Hongrie </w:t>
      </w:r>
      <w:r>
        <w:rPr>
          <w:rFonts w:ascii="Arial" w:eastAsia="SimSun" w:hAnsi="Arial" w:cs="Arial"/>
          <w:bCs/>
          <w:sz w:val="22"/>
          <w:szCs w:val="22"/>
          <w:lang w:val="fr-FR" w:eastAsia="en-US"/>
        </w:rPr>
        <w:t xml:space="preserve">pouvait </w:t>
      </w:r>
      <w:r w:rsidRPr="00112544">
        <w:rPr>
          <w:rFonts w:ascii="Arial" w:eastAsia="SimSun" w:hAnsi="Arial" w:cs="Arial"/>
          <w:bCs/>
          <w:sz w:val="22"/>
          <w:szCs w:val="22"/>
          <w:lang w:val="fr-FR" w:eastAsia="en-US"/>
        </w:rPr>
        <w:t>mieux impliquer les communautés, les experts, les institutions et les organisations civiles dans la mise en œuvre active de la Convention. Le travail fructueux du Comité et du Secrétariat a</w:t>
      </w:r>
      <w:r>
        <w:rPr>
          <w:rFonts w:ascii="Arial" w:eastAsia="SimSun" w:hAnsi="Arial" w:cs="Arial"/>
          <w:bCs/>
          <w:sz w:val="22"/>
          <w:szCs w:val="22"/>
          <w:lang w:val="fr-FR" w:eastAsia="en-US"/>
        </w:rPr>
        <w:t xml:space="preserve">vait </w:t>
      </w:r>
      <w:r w:rsidRPr="00112544">
        <w:rPr>
          <w:rFonts w:ascii="Arial" w:eastAsia="SimSun" w:hAnsi="Arial" w:cs="Arial"/>
          <w:bCs/>
          <w:sz w:val="22"/>
          <w:szCs w:val="22"/>
          <w:lang w:val="fr-FR" w:eastAsia="en-US"/>
        </w:rPr>
        <w:t>renforcé la visibilité de la Convention et l</w:t>
      </w:r>
      <w:r w:rsidR="008E532B">
        <w:rPr>
          <w:rFonts w:ascii="Arial" w:eastAsia="SimSun" w:hAnsi="Arial" w:cs="Arial"/>
          <w:bCs/>
          <w:sz w:val="22"/>
          <w:szCs w:val="22"/>
          <w:lang w:val="fr-FR" w:eastAsia="en-US"/>
        </w:rPr>
        <w:t>’</w:t>
      </w:r>
      <w:r w:rsidRPr="00112544">
        <w:rPr>
          <w:rFonts w:ascii="Arial" w:eastAsia="SimSun" w:hAnsi="Arial" w:cs="Arial"/>
          <w:bCs/>
          <w:sz w:val="22"/>
          <w:szCs w:val="22"/>
          <w:lang w:val="fr-FR" w:eastAsia="en-US"/>
        </w:rPr>
        <w:t>a</w:t>
      </w:r>
      <w:r>
        <w:rPr>
          <w:rFonts w:ascii="Arial" w:eastAsia="SimSun" w:hAnsi="Arial" w:cs="Arial"/>
          <w:bCs/>
          <w:sz w:val="22"/>
          <w:szCs w:val="22"/>
          <w:lang w:val="fr-FR" w:eastAsia="en-US"/>
        </w:rPr>
        <w:t>vait</w:t>
      </w:r>
      <w:r w:rsidRPr="00112544">
        <w:rPr>
          <w:rFonts w:ascii="Arial" w:eastAsia="SimSun" w:hAnsi="Arial" w:cs="Arial"/>
          <w:bCs/>
          <w:sz w:val="22"/>
          <w:szCs w:val="22"/>
          <w:lang w:val="fr-FR" w:eastAsia="en-US"/>
        </w:rPr>
        <w:t xml:space="preserve"> aidée à atteindre ses objectifs, en favorisant une meilleure compréhension entre les cultures.</w:t>
      </w:r>
    </w:p>
    <w:p w14:paraId="5013E0F5" w14:textId="24D82D0C" w:rsidR="00D9653F" w:rsidRPr="00F11497"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F11497">
        <w:rPr>
          <w:rFonts w:ascii="Arial" w:eastAsia="SimSun" w:hAnsi="Arial" w:cs="Arial"/>
          <w:bCs/>
          <w:sz w:val="22"/>
          <w:szCs w:val="22"/>
          <w:lang w:val="fr-FR" w:eastAsia="en-US"/>
        </w:rPr>
        <w:t>La</w:t>
      </w:r>
      <w:r>
        <w:rPr>
          <w:rFonts w:ascii="Arial" w:eastAsia="SimSun" w:hAnsi="Arial" w:cs="Arial"/>
          <w:b/>
          <w:sz w:val="22"/>
          <w:szCs w:val="22"/>
          <w:lang w:val="fr-FR" w:eastAsia="en-US"/>
        </w:rPr>
        <w:t xml:space="preserve"> Présidente </w:t>
      </w:r>
      <w:r w:rsidRPr="00F11497">
        <w:rPr>
          <w:rFonts w:ascii="Arial" w:eastAsia="SimSun" w:hAnsi="Arial" w:cs="Arial"/>
          <w:bCs/>
          <w:sz w:val="22"/>
          <w:szCs w:val="22"/>
          <w:lang w:val="fr-FR" w:eastAsia="en-US"/>
        </w:rPr>
        <w:t xml:space="preserve">a </w:t>
      </w:r>
      <w:r>
        <w:rPr>
          <w:rFonts w:ascii="Arial" w:eastAsia="SimSun" w:hAnsi="Arial" w:cs="Arial"/>
          <w:bCs/>
          <w:sz w:val="22"/>
          <w:szCs w:val="22"/>
          <w:lang w:val="fr-FR" w:eastAsia="en-US"/>
        </w:rPr>
        <w:t xml:space="preserve">clos le débat et est passée au projet de résolution. </w:t>
      </w:r>
      <w:r w:rsidRPr="00F11497">
        <w:rPr>
          <w:rFonts w:ascii="Arial" w:eastAsia="SimSun" w:hAnsi="Arial" w:cs="Arial"/>
          <w:bCs/>
          <w:sz w:val="22"/>
          <w:szCs w:val="22"/>
          <w:lang w:val="fr-FR" w:eastAsia="en-US"/>
        </w:rPr>
        <w:t>En l</w:t>
      </w:r>
      <w:r w:rsidR="008E532B">
        <w:rPr>
          <w:rFonts w:ascii="Arial" w:eastAsia="SimSun" w:hAnsi="Arial" w:cs="Arial"/>
          <w:bCs/>
          <w:sz w:val="22"/>
          <w:szCs w:val="22"/>
          <w:lang w:val="fr-FR" w:eastAsia="en-US"/>
        </w:rPr>
        <w:t>’</w:t>
      </w:r>
      <w:r w:rsidRPr="00F11497">
        <w:rPr>
          <w:rFonts w:ascii="Arial" w:eastAsia="SimSun" w:hAnsi="Arial" w:cs="Arial"/>
          <w:bCs/>
          <w:sz w:val="22"/>
          <w:szCs w:val="22"/>
          <w:lang w:val="fr-FR" w:eastAsia="en-US"/>
        </w:rPr>
        <w:t>absence</w:t>
      </w:r>
      <w:r>
        <w:rPr>
          <w:rFonts w:ascii="Arial" w:eastAsia="SimSun" w:hAnsi="Arial" w:cs="Arial"/>
          <w:bCs/>
          <w:sz w:val="22"/>
          <w:szCs w:val="22"/>
          <w:lang w:val="fr-FR" w:eastAsia="en-US"/>
        </w:rPr>
        <w:t xml:space="preserve"> de </w:t>
      </w:r>
      <w:r w:rsidRPr="00F11497">
        <w:rPr>
          <w:rFonts w:ascii="Arial" w:eastAsia="SimSun" w:hAnsi="Arial" w:cs="Arial"/>
          <w:bCs/>
          <w:sz w:val="22"/>
          <w:szCs w:val="22"/>
          <w:lang w:val="fr-FR" w:eastAsia="en-US"/>
        </w:rPr>
        <w:t>commentaires</w:t>
      </w:r>
      <w:r>
        <w:rPr>
          <w:rFonts w:ascii="Arial" w:eastAsia="SimSun" w:hAnsi="Arial" w:cs="Arial"/>
          <w:bCs/>
          <w:sz w:val="22"/>
          <w:szCs w:val="22"/>
          <w:lang w:val="fr-FR" w:eastAsia="en-US"/>
        </w:rPr>
        <w:t xml:space="preserve"> ou d</w:t>
      </w:r>
      <w:r w:rsidR="008E532B">
        <w:rPr>
          <w:rFonts w:ascii="Arial" w:eastAsia="SimSun" w:hAnsi="Arial" w:cs="Arial"/>
          <w:bCs/>
          <w:sz w:val="22"/>
          <w:szCs w:val="22"/>
          <w:lang w:val="fr-FR" w:eastAsia="en-US"/>
        </w:rPr>
        <w:t>’</w:t>
      </w:r>
      <w:r w:rsidRPr="00F11497">
        <w:rPr>
          <w:rFonts w:ascii="Arial" w:eastAsia="SimSun" w:hAnsi="Arial" w:cs="Arial"/>
          <w:bCs/>
          <w:sz w:val="22"/>
          <w:szCs w:val="22"/>
          <w:lang w:val="fr-FR" w:eastAsia="en-US"/>
        </w:rPr>
        <w:t>objections</w:t>
      </w:r>
      <w:r>
        <w:rPr>
          <w:rFonts w:ascii="Arial" w:eastAsia="SimSun" w:hAnsi="Arial" w:cs="Arial"/>
          <w:bCs/>
          <w:sz w:val="22"/>
          <w:szCs w:val="22"/>
          <w:lang w:val="fr-FR" w:eastAsia="en-US"/>
        </w:rPr>
        <w:t xml:space="preserve">, la </w:t>
      </w:r>
      <w:r w:rsidRPr="00F11497">
        <w:rPr>
          <w:rFonts w:ascii="Arial" w:eastAsia="SimSun" w:hAnsi="Arial" w:cs="Arial"/>
          <w:b/>
          <w:sz w:val="22"/>
          <w:szCs w:val="22"/>
          <w:lang w:val="fr-FR" w:eastAsia="en-US"/>
        </w:rPr>
        <w:t>Présidente a déclaré la résolution 9.GA 6 adoptée</w:t>
      </w:r>
      <w:r>
        <w:rPr>
          <w:rFonts w:ascii="Arial" w:eastAsia="SimSun" w:hAnsi="Arial" w:cs="Arial"/>
          <w:bCs/>
          <w:sz w:val="22"/>
          <w:szCs w:val="22"/>
          <w:lang w:val="fr-FR" w:eastAsia="en-US"/>
        </w:rPr>
        <w:t>.</w:t>
      </w:r>
    </w:p>
    <w:p w14:paraId="053B839F" w14:textId="1444DED5" w:rsidR="00D9653F" w:rsidRPr="00A96116" w:rsidRDefault="00D9653F" w:rsidP="00A96116">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A96116">
        <w:rPr>
          <w:b/>
          <w:color w:val="000000" w:themeColor="text1"/>
          <w:u w:val="single"/>
          <w:lang w:val="fr-FR"/>
        </w:rPr>
        <w:t>POINT 11 DE L</w:t>
      </w:r>
      <w:r w:rsidR="008E532B">
        <w:rPr>
          <w:b/>
          <w:color w:val="000000" w:themeColor="text1"/>
          <w:u w:val="single"/>
          <w:lang w:val="fr-FR"/>
        </w:rPr>
        <w:t>’</w:t>
      </w:r>
      <w:r w:rsidRPr="00A96116">
        <w:rPr>
          <w:b/>
          <w:color w:val="000000" w:themeColor="text1"/>
          <w:u w:val="single"/>
          <w:lang w:val="fr-FR"/>
        </w:rPr>
        <w:t xml:space="preserve">ORDRE DU JOUR : </w:t>
      </w:r>
    </w:p>
    <w:p w14:paraId="2923FADF" w14:textId="6E031B0E" w:rsidR="00D9653F" w:rsidRPr="009F6BC9" w:rsidRDefault="00D9653F" w:rsidP="00A96116">
      <w:pPr>
        <w:pStyle w:val="Orateurengris"/>
        <w:tabs>
          <w:tab w:val="clear" w:pos="709"/>
          <w:tab w:val="clear" w:pos="1418"/>
          <w:tab w:val="clear" w:pos="2126"/>
          <w:tab w:val="clear" w:pos="2835"/>
        </w:tabs>
        <w:outlineLvl w:val="0"/>
        <w:rPr>
          <w:b/>
          <w:color w:val="000000" w:themeColor="text1"/>
          <w:lang w:val="fr-FR"/>
        </w:rPr>
      </w:pPr>
      <w:r w:rsidRPr="009F6BC9">
        <w:rPr>
          <w:b/>
          <w:color w:val="000000" w:themeColor="text1"/>
          <w:lang w:val="fr-FR"/>
        </w:rPr>
        <w:t xml:space="preserve">ÉLECTION DES MEMBRES DU COMITÉ INTERGOUVERNEMENTAL DE SAUVEGARDE DU PATRIMOINE CULTUREL IMMATÉRIEL </w:t>
      </w:r>
    </w:p>
    <w:p w14:paraId="645C0E02" w14:textId="7FA3E226" w:rsidR="00D9653F" w:rsidRPr="00F11497" w:rsidRDefault="00D9653F" w:rsidP="000438FF">
      <w:pPr>
        <w:tabs>
          <w:tab w:val="left" w:pos="567"/>
          <w:tab w:val="left" w:pos="2127"/>
        </w:tabs>
        <w:suppressAutoHyphens/>
        <w:autoSpaceDE w:val="0"/>
        <w:jc w:val="both"/>
        <w:rPr>
          <w:rFonts w:ascii="Arial" w:eastAsia="SimSun" w:hAnsi="Arial" w:cs="Arial"/>
          <w:bCs/>
          <w:sz w:val="22"/>
          <w:szCs w:val="22"/>
          <w:lang w:val="fr-FR" w:eastAsia="en-US"/>
        </w:rPr>
      </w:pPr>
      <w:r w:rsidRPr="00F11497">
        <w:rPr>
          <w:rFonts w:ascii="Arial" w:eastAsia="SimSun" w:hAnsi="Arial" w:cs="Arial"/>
          <w:bCs/>
          <w:sz w:val="22"/>
          <w:szCs w:val="22"/>
          <w:lang w:val="fr-FR" w:eastAsia="en-US"/>
        </w:rPr>
        <w:tab/>
      </w:r>
      <w:r>
        <w:rPr>
          <w:rFonts w:ascii="Arial" w:eastAsia="SimSun" w:hAnsi="Arial" w:cs="Arial"/>
          <w:b/>
          <w:sz w:val="22"/>
          <w:szCs w:val="22"/>
          <w:lang w:val="fr-FR" w:eastAsia="en-US"/>
        </w:rPr>
        <w:t>Document</w:t>
      </w:r>
      <w:r w:rsidR="00BA6601">
        <w:rPr>
          <w:rFonts w:ascii="Arial" w:eastAsia="SimSun" w:hAnsi="Arial" w:cs="Arial"/>
          <w:b/>
          <w:sz w:val="22"/>
          <w:szCs w:val="22"/>
          <w:lang w:val="fr-FR" w:eastAsia="en-US"/>
        </w:rPr>
        <w:t>s</w:t>
      </w:r>
      <w:r>
        <w:rPr>
          <w:rFonts w:ascii="Arial" w:eastAsia="SimSun" w:hAnsi="Arial" w:cs="Arial"/>
          <w:b/>
          <w:sz w:val="22"/>
          <w:szCs w:val="22"/>
          <w:lang w:val="fr-FR" w:eastAsia="en-US"/>
        </w:rPr>
        <w:t> :</w:t>
      </w:r>
      <w:r w:rsidR="00BA6601">
        <w:rPr>
          <w:rFonts w:ascii="Arial" w:eastAsia="SimSun" w:hAnsi="Arial" w:cs="Arial"/>
          <w:b/>
          <w:sz w:val="22"/>
          <w:szCs w:val="22"/>
          <w:lang w:val="fr-FR" w:eastAsia="en-US"/>
        </w:rPr>
        <w:tab/>
      </w:r>
      <w:hyperlink r:id="rId30" w:history="1">
        <w:r w:rsidRPr="00F11497">
          <w:rPr>
            <w:rStyle w:val="Hyperlink"/>
            <w:rFonts w:ascii="Arial" w:eastAsia="SimSun" w:hAnsi="Arial" w:cs="Arial"/>
            <w:bCs/>
            <w:i/>
            <w:iCs/>
            <w:sz w:val="22"/>
            <w:szCs w:val="22"/>
            <w:lang w:val="fr-FR" w:eastAsia="en-US"/>
          </w:rPr>
          <w:t>LHE/22/9.GA/11</w:t>
        </w:r>
      </w:hyperlink>
    </w:p>
    <w:p w14:paraId="3A924A21" w14:textId="68660ACF" w:rsidR="00D9653F" w:rsidRPr="00F11497" w:rsidRDefault="00BA6601" w:rsidP="000438FF">
      <w:pPr>
        <w:tabs>
          <w:tab w:val="left" w:pos="2127"/>
        </w:tabs>
        <w:suppressAutoHyphens/>
        <w:autoSpaceDE w:val="0"/>
        <w:spacing w:after="120"/>
        <w:jc w:val="both"/>
        <w:rPr>
          <w:rFonts w:ascii="Arial" w:eastAsia="SimSun" w:hAnsi="Arial" w:cs="Arial"/>
          <w:bCs/>
          <w:i/>
          <w:iCs/>
          <w:sz w:val="22"/>
          <w:szCs w:val="22"/>
          <w:lang w:val="fr-FR" w:eastAsia="en-US"/>
        </w:rPr>
      </w:pPr>
      <w:r>
        <w:rPr>
          <w:rFonts w:ascii="Arial" w:eastAsia="SimSun" w:hAnsi="Arial" w:cs="Arial"/>
          <w:bCs/>
          <w:sz w:val="22"/>
          <w:szCs w:val="22"/>
          <w:lang w:val="fr-FR" w:eastAsia="en-US"/>
        </w:rPr>
        <w:tab/>
      </w:r>
      <w:hyperlink r:id="rId31" w:history="1">
        <w:r w:rsidR="00D9653F" w:rsidRPr="00F11497">
          <w:rPr>
            <w:rStyle w:val="Hyperlink"/>
            <w:rFonts w:ascii="Arial" w:eastAsia="SimSun" w:hAnsi="Arial" w:cs="Arial"/>
            <w:bCs/>
            <w:i/>
            <w:iCs/>
            <w:sz w:val="22"/>
            <w:szCs w:val="22"/>
            <w:lang w:val="fr-FR" w:eastAsia="en-US"/>
          </w:rPr>
          <w:t>LHE/22/9.GA/INF.11 Rev.7</w:t>
        </w:r>
      </w:hyperlink>
    </w:p>
    <w:p w14:paraId="1932A0F1" w14:textId="2DB982D7" w:rsidR="00D9653F" w:rsidRPr="00F11497" w:rsidRDefault="00D9653F" w:rsidP="000438FF">
      <w:pPr>
        <w:tabs>
          <w:tab w:val="left" w:pos="567"/>
          <w:tab w:val="left" w:pos="2127"/>
        </w:tabs>
        <w:suppressAutoHyphens/>
        <w:autoSpaceDE w:val="0"/>
        <w:spacing w:before="120" w:after="240"/>
        <w:jc w:val="both"/>
        <w:rPr>
          <w:rFonts w:ascii="Arial" w:eastAsia="SimSun" w:hAnsi="Arial" w:cs="Arial"/>
          <w:b/>
          <w:sz w:val="22"/>
          <w:szCs w:val="22"/>
          <w:lang w:val="fr-FR" w:eastAsia="en-US"/>
        </w:rPr>
      </w:pPr>
      <w:r w:rsidRPr="00F11497">
        <w:rPr>
          <w:rFonts w:ascii="Arial" w:eastAsia="SimSun" w:hAnsi="Arial" w:cs="Arial"/>
          <w:b/>
          <w:i/>
          <w:iCs/>
          <w:sz w:val="22"/>
          <w:szCs w:val="22"/>
          <w:lang w:val="fr-FR" w:eastAsia="en-US"/>
        </w:rPr>
        <w:tab/>
      </w:r>
      <w:r w:rsidRPr="00F11497">
        <w:rPr>
          <w:rFonts w:ascii="Arial" w:eastAsia="SimSun" w:hAnsi="Arial" w:cs="Arial"/>
          <w:b/>
          <w:sz w:val="22"/>
          <w:szCs w:val="22"/>
          <w:lang w:val="fr-FR" w:eastAsia="en-US"/>
        </w:rPr>
        <w:t>R</w:t>
      </w:r>
      <w:r>
        <w:rPr>
          <w:rFonts w:ascii="Arial" w:eastAsia="SimSun" w:hAnsi="Arial" w:cs="Arial"/>
          <w:b/>
          <w:sz w:val="22"/>
          <w:szCs w:val="22"/>
          <w:lang w:val="fr-FR" w:eastAsia="en-US"/>
        </w:rPr>
        <w:t>é</w:t>
      </w:r>
      <w:r w:rsidRPr="00F11497">
        <w:rPr>
          <w:rFonts w:ascii="Arial" w:eastAsia="SimSun" w:hAnsi="Arial" w:cs="Arial"/>
          <w:b/>
          <w:sz w:val="22"/>
          <w:szCs w:val="22"/>
          <w:lang w:val="fr-FR" w:eastAsia="en-US"/>
        </w:rPr>
        <w:t>solution</w:t>
      </w:r>
      <w:r>
        <w:rPr>
          <w:rFonts w:ascii="Arial" w:eastAsia="SimSun" w:hAnsi="Arial" w:cs="Arial"/>
          <w:b/>
          <w:sz w:val="22"/>
          <w:szCs w:val="22"/>
          <w:lang w:val="fr-FR" w:eastAsia="en-US"/>
        </w:rPr>
        <w:t> </w:t>
      </w:r>
      <w:r w:rsidRPr="00F11497">
        <w:rPr>
          <w:rFonts w:ascii="Arial" w:eastAsia="SimSun" w:hAnsi="Arial" w:cs="Arial"/>
          <w:b/>
          <w:sz w:val="22"/>
          <w:szCs w:val="22"/>
          <w:lang w:val="fr-FR" w:eastAsia="en-US"/>
        </w:rPr>
        <w:t>:</w:t>
      </w:r>
      <w:r w:rsidR="00BA6601">
        <w:rPr>
          <w:rFonts w:ascii="Arial" w:eastAsia="SimSun" w:hAnsi="Arial" w:cs="Arial"/>
          <w:b/>
          <w:sz w:val="22"/>
          <w:szCs w:val="22"/>
          <w:lang w:val="fr-FR" w:eastAsia="en-US"/>
        </w:rPr>
        <w:tab/>
      </w:r>
      <w:hyperlink r:id="rId32" w:history="1">
        <w:r w:rsidRPr="00F11497">
          <w:rPr>
            <w:rStyle w:val="Hyperlink"/>
            <w:rFonts w:ascii="Arial" w:eastAsia="SimSun" w:hAnsi="Arial" w:cs="Arial"/>
            <w:bCs/>
            <w:i/>
            <w:iCs/>
            <w:sz w:val="22"/>
            <w:szCs w:val="22"/>
            <w:lang w:val="fr-FR" w:eastAsia="en-US"/>
          </w:rPr>
          <w:t>9.GA 11</w:t>
        </w:r>
      </w:hyperlink>
    </w:p>
    <w:p w14:paraId="46D16722" w14:textId="40DD2B33" w:rsidR="00D9653F" w:rsidRPr="00A31656" w:rsidRDefault="00D9653F" w:rsidP="00A96116">
      <w:pPr>
        <w:numPr>
          <w:ilvl w:val="0"/>
          <w:numId w:val="19"/>
        </w:numPr>
        <w:suppressAutoHyphens/>
        <w:autoSpaceDE w:val="0"/>
        <w:spacing w:before="120"/>
        <w:ind w:left="567" w:hanging="567"/>
        <w:jc w:val="both"/>
        <w:rPr>
          <w:rFonts w:ascii="Arial" w:eastAsia="SimSun" w:hAnsi="Arial" w:cs="Arial"/>
          <w:bCs/>
          <w:sz w:val="22"/>
          <w:szCs w:val="22"/>
          <w:lang w:val="fr-FR" w:eastAsia="en-US"/>
        </w:rPr>
      </w:pPr>
      <w:proofErr w:type="gramStart"/>
      <w:r>
        <w:rPr>
          <w:rFonts w:ascii="Arial" w:eastAsia="SimSun" w:hAnsi="Arial" w:cs="Arial"/>
          <w:bCs/>
          <w:sz w:val="22"/>
          <w:szCs w:val="22"/>
          <w:lang w:val="fr-FR" w:eastAsia="en-US"/>
        </w:rPr>
        <w:t xml:space="preserve">Suite à </w:t>
      </w:r>
      <w:r w:rsidRPr="00A31656">
        <w:rPr>
          <w:rFonts w:ascii="Arial" w:eastAsia="SimSun" w:hAnsi="Arial" w:cs="Arial"/>
          <w:bCs/>
          <w:sz w:val="22"/>
          <w:szCs w:val="22"/>
          <w:lang w:val="fr-FR" w:eastAsia="en-US"/>
        </w:rPr>
        <w:t>un</w:t>
      </w:r>
      <w:proofErr w:type="gramEnd"/>
      <w:r w:rsidRPr="00A31656">
        <w:rPr>
          <w:rFonts w:ascii="Arial" w:eastAsia="SimSun" w:hAnsi="Arial" w:cs="Arial"/>
          <w:bCs/>
          <w:sz w:val="22"/>
          <w:szCs w:val="22"/>
          <w:lang w:val="fr-FR" w:eastAsia="en-US"/>
        </w:rPr>
        <w:t xml:space="preserve"> changement d</w:t>
      </w:r>
      <w:r>
        <w:rPr>
          <w:rFonts w:ascii="Arial" w:eastAsia="SimSun" w:hAnsi="Arial" w:cs="Arial"/>
          <w:bCs/>
          <w:sz w:val="22"/>
          <w:szCs w:val="22"/>
          <w:lang w:val="fr-FR" w:eastAsia="en-US"/>
        </w:rPr>
        <w:t>e l</w:t>
      </w:r>
      <w:r w:rsidR="008E532B">
        <w:rPr>
          <w:rFonts w:ascii="Arial" w:eastAsia="SimSun" w:hAnsi="Arial" w:cs="Arial"/>
          <w:bCs/>
          <w:sz w:val="22"/>
          <w:szCs w:val="22"/>
          <w:lang w:val="fr-FR" w:eastAsia="en-US"/>
        </w:rPr>
        <w:t>’</w:t>
      </w:r>
      <w:r w:rsidRPr="00A31656">
        <w:rPr>
          <w:rFonts w:ascii="Arial" w:eastAsia="SimSun" w:hAnsi="Arial" w:cs="Arial"/>
          <w:bCs/>
          <w:sz w:val="22"/>
          <w:szCs w:val="22"/>
          <w:lang w:val="fr-FR" w:eastAsia="en-US"/>
        </w:rPr>
        <w:t xml:space="preserve">ordre du jour, le </w:t>
      </w:r>
      <w:r w:rsidRPr="00A31656">
        <w:rPr>
          <w:rFonts w:ascii="Arial" w:eastAsia="SimSun" w:hAnsi="Arial" w:cs="Arial"/>
          <w:b/>
          <w:sz w:val="22"/>
          <w:szCs w:val="22"/>
          <w:lang w:val="fr-FR" w:eastAsia="en-US"/>
        </w:rPr>
        <w:t>Sous-Directeur général</w:t>
      </w:r>
      <w:r>
        <w:rPr>
          <w:rFonts w:ascii="Arial" w:eastAsia="SimSun" w:hAnsi="Arial" w:cs="Arial"/>
          <w:bCs/>
          <w:sz w:val="22"/>
          <w:szCs w:val="22"/>
          <w:lang w:val="fr-FR" w:eastAsia="en-US"/>
        </w:rPr>
        <w:t xml:space="preserve"> a </w:t>
      </w:r>
      <w:r w:rsidRPr="00A31656">
        <w:rPr>
          <w:rFonts w:ascii="Arial" w:eastAsia="SimSun" w:hAnsi="Arial" w:cs="Arial"/>
          <w:bCs/>
          <w:sz w:val="22"/>
          <w:szCs w:val="22"/>
          <w:lang w:val="fr-FR" w:eastAsia="en-US"/>
        </w:rPr>
        <w:t>propos</w:t>
      </w:r>
      <w:r>
        <w:rPr>
          <w:rFonts w:ascii="Arial" w:eastAsia="SimSun" w:hAnsi="Arial" w:cs="Arial"/>
          <w:bCs/>
          <w:sz w:val="22"/>
          <w:szCs w:val="22"/>
          <w:lang w:val="fr-FR" w:eastAsia="en-US"/>
        </w:rPr>
        <w:t>é</w:t>
      </w:r>
      <w:r w:rsidRPr="00A31656">
        <w:rPr>
          <w:rFonts w:ascii="Arial" w:eastAsia="SimSun" w:hAnsi="Arial" w:cs="Arial"/>
          <w:bCs/>
          <w:sz w:val="22"/>
          <w:szCs w:val="22"/>
          <w:lang w:val="fr-FR" w:eastAsia="en-US"/>
        </w:rPr>
        <w:t xml:space="preserve"> de présenter le point 11.</w:t>
      </w:r>
    </w:p>
    <w:p w14:paraId="6A6E5DDD" w14:textId="7FCF2D19" w:rsidR="00D9653F" w:rsidRPr="00A31656" w:rsidRDefault="00D9653F" w:rsidP="00D9653F">
      <w:pPr>
        <w:numPr>
          <w:ilvl w:val="0"/>
          <w:numId w:val="19"/>
        </w:numPr>
        <w:suppressAutoHyphens/>
        <w:autoSpaceDE w:val="0"/>
        <w:spacing w:before="120"/>
        <w:ind w:left="567" w:hanging="567"/>
        <w:jc w:val="both"/>
        <w:rPr>
          <w:rFonts w:ascii="Arial" w:eastAsia="SimSun" w:hAnsi="Arial" w:cs="Arial"/>
          <w:b/>
          <w:sz w:val="22"/>
          <w:szCs w:val="22"/>
          <w:lang w:val="fr-FR" w:eastAsia="en-US"/>
        </w:rPr>
      </w:pPr>
      <w:r w:rsidRPr="00A31656">
        <w:rPr>
          <w:rFonts w:ascii="Arial" w:eastAsia="SimSun" w:hAnsi="Arial" w:cs="Arial"/>
          <w:bCs/>
          <w:sz w:val="22"/>
          <w:szCs w:val="22"/>
          <w:lang w:val="fr-FR" w:eastAsia="en-US"/>
        </w:rPr>
        <w:t>La</w:t>
      </w:r>
      <w:r>
        <w:rPr>
          <w:rFonts w:ascii="Arial" w:eastAsia="SimSun" w:hAnsi="Arial" w:cs="Arial"/>
          <w:b/>
          <w:sz w:val="22"/>
          <w:szCs w:val="22"/>
          <w:lang w:val="fr-FR" w:eastAsia="en-US"/>
        </w:rPr>
        <w:t xml:space="preserve"> Présidente </w:t>
      </w:r>
      <w:r>
        <w:rPr>
          <w:rFonts w:ascii="Arial" w:eastAsia="SimSun" w:hAnsi="Arial" w:cs="Arial"/>
          <w:bCs/>
          <w:sz w:val="22"/>
          <w:szCs w:val="22"/>
          <w:lang w:val="fr-FR" w:eastAsia="en-US"/>
        </w:rPr>
        <w:t>a ouvert le point 11,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élection des membres du Comité qui se déroulerait le lendemain. Elle a invité le </w:t>
      </w:r>
      <w:r w:rsidRPr="00A31656">
        <w:rPr>
          <w:rFonts w:ascii="Arial" w:eastAsia="SimSun" w:hAnsi="Arial" w:cs="Arial"/>
          <w:bCs/>
          <w:sz w:val="22"/>
          <w:szCs w:val="22"/>
          <w:lang w:val="fr-FR" w:eastAsia="en-US"/>
        </w:rPr>
        <w:t>Secréta</w:t>
      </w:r>
      <w:r>
        <w:rPr>
          <w:rFonts w:ascii="Arial" w:eastAsia="SimSun" w:hAnsi="Arial" w:cs="Arial"/>
          <w:bCs/>
          <w:sz w:val="22"/>
          <w:szCs w:val="22"/>
          <w:lang w:val="fr-FR" w:eastAsia="en-US"/>
        </w:rPr>
        <w:t>riat à présenter le point.</w:t>
      </w:r>
    </w:p>
    <w:p w14:paraId="2713D14F" w14:textId="52F6118C" w:rsidR="00D9653F" w:rsidRPr="00A31656" w:rsidRDefault="008D65C3"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Pr>
          <w:rFonts w:ascii="Arial" w:eastAsia="SimSun" w:hAnsi="Arial" w:cs="Arial"/>
          <w:b/>
          <w:sz w:val="22"/>
          <w:szCs w:val="22"/>
          <w:lang w:val="fr-FR" w:eastAsia="en-US"/>
        </w:rPr>
        <w:t>Mme</w:t>
      </w:r>
      <w:r w:rsidR="00D9653F">
        <w:rPr>
          <w:rFonts w:ascii="Arial" w:eastAsia="SimSun" w:hAnsi="Arial" w:cs="Arial"/>
          <w:b/>
          <w:sz w:val="22"/>
          <w:szCs w:val="22"/>
          <w:lang w:val="fr-FR" w:eastAsia="en-US"/>
        </w:rPr>
        <w:t> </w:t>
      </w:r>
      <w:r w:rsidR="00D9653F" w:rsidRPr="00A31656">
        <w:rPr>
          <w:rFonts w:ascii="Arial" w:eastAsia="SimSun" w:hAnsi="Arial" w:cs="Arial"/>
          <w:b/>
          <w:sz w:val="22"/>
          <w:szCs w:val="22"/>
          <w:lang w:val="fr-FR" w:eastAsia="en-US"/>
        </w:rPr>
        <w:t>Fumiko Ohinata</w:t>
      </w:r>
      <w:r w:rsidR="00D9653F" w:rsidRPr="00A31656">
        <w:rPr>
          <w:rFonts w:ascii="Arial" w:eastAsia="SimSun" w:hAnsi="Arial" w:cs="Arial"/>
          <w:bCs/>
          <w:sz w:val="22"/>
          <w:szCs w:val="22"/>
          <w:lang w:val="fr-FR" w:eastAsia="en-US"/>
        </w:rPr>
        <w:t xml:space="preserve"> a expliqué que conformément à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article 6 de la Convention,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 xml:space="preserve">Assemblée générale </w:t>
      </w:r>
      <w:r w:rsidR="00D9653F">
        <w:rPr>
          <w:rFonts w:ascii="Arial" w:eastAsia="SimSun" w:hAnsi="Arial" w:cs="Arial"/>
          <w:bCs/>
          <w:sz w:val="22"/>
          <w:szCs w:val="22"/>
          <w:lang w:val="fr-FR" w:eastAsia="en-US"/>
        </w:rPr>
        <w:t xml:space="preserve">procède au renouvellement de </w:t>
      </w:r>
      <w:r w:rsidR="00D9653F" w:rsidRPr="00A31656">
        <w:rPr>
          <w:rFonts w:ascii="Arial" w:eastAsia="SimSun" w:hAnsi="Arial" w:cs="Arial"/>
          <w:bCs/>
          <w:sz w:val="22"/>
          <w:szCs w:val="22"/>
          <w:lang w:val="fr-FR" w:eastAsia="en-US"/>
        </w:rPr>
        <w:t>la moitié des États membres du Comité tous les deux ans. Douze États parties seraient donc élus pour siéger au Comité pour un mandat de quatre ans à compter de la date de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 xml:space="preserve">élection, </w:t>
      </w:r>
      <w:r w:rsidR="00D9653F">
        <w:rPr>
          <w:rFonts w:ascii="Arial" w:eastAsia="SimSun" w:hAnsi="Arial" w:cs="Arial"/>
          <w:bCs/>
          <w:sz w:val="22"/>
          <w:szCs w:val="22"/>
          <w:lang w:val="fr-FR" w:eastAsia="en-US"/>
        </w:rPr>
        <w:t xml:space="preserve">c.-à-d. </w:t>
      </w:r>
      <w:r w:rsidR="00D9653F" w:rsidRPr="00A31656">
        <w:rPr>
          <w:rFonts w:ascii="Arial" w:eastAsia="SimSun" w:hAnsi="Arial" w:cs="Arial"/>
          <w:bCs/>
          <w:sz w:val="22"/>
          <w:szCs w:val="22"/>
          <w:lang w:val="fr-FR" w:eastAsia="en-US"/>
        </w:rPr>
        <w:t>2022</w:t>
      </w:r>
      <w:r w:rsidR="00D9653F">
        <w:rPr>
          <w:rFonts w:ascii="Arial" w:eastAsia="SimSun" w:hAnsi="Arial" w:cs="Arial"/>
          <w:bCs/>
          <w:sz w:val="22"/>
          <w:szCs w:val="22"/>
          <w:lang w:val="fr-FR" w:eastAsia="en-US"/>
        </w:rPr>
        <w:noBreakHyphen/>
      </w:r>
      <w:r w:rsidR="00D9653F" w:rsidRPr="00A31656">
        <w:rPr>
          <w:rFonts w:ascii="Arial" w:eastAsia="SimSun" w:hAnsi="Arial" w:cs="Arial"/>
          <w:bCs/>
          <w:sz w:val="22"/>
          <w:szCs w:val="22"/>
          <w:lang w:val="fr-FR" w:eastAsia="en-US"/>
        </w:rPr>
        <w:t>2026. Conformément à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article 14.1 du Règlement intérieur, trois mois avant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ouverture de la présente session de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Assemblée, le Secrétariat a</w:t>
      </w:r>
      <w:r w:rsidR="00D9653F">
        <w:rPr>
          <w:rFonts w:ascii="Arial" w:eastAsia="SimSun" w:hAnsi="Arial" w:cs="Arial"/>
          <w:bCs/>
          <w:sz w:val="22"/>
          <w:szCs w:val="22"/>
          <w:lang w:val="fr-FR" w:eastAsia="en-US"/>
        </w:rPr>
        <w:t>vait</w:t>
      </w:r>
      <w:r w:rsidR="00D9653F" w:rsidRPr="00A31656">
        <w:rPr>
          <w:rFonts w:ascii="Arial" w:eastAsia="SimSun" w:hAnsi="Arial" w:cs="Arial"/>
          <w:bCs/>
          <w:sz w:val="22"/>
          <w:szCs w:val="22"/>
          <w:lang w:val="fr-FR" w:eastAsia="en-US"/>
        </w:rPr>
        <w:t xml:space="preserve"> demandé à tous les États Parties d</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indiquer s</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ils avaient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intention de se présenter à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élection du Comité. Le Secrétariat a</w:t>
      </w:r>
      <w:r w:rsidR="00D9653F">
        <w:rPr>
          <w:rFonts w:ascii="Arial" w:eastAsia="SimSun" w:hAnsi="Arial" w:cs="Arial"/>
          <w:bCs/>
          <w:sz w:val="22"/>
          <w:szCs w:val="22"/>
          <w:lang w:val="fr-FR" w:eastAsia="en-US"/>
        </w:rPr>
        <w:t>vait</w:t>
      </w:r>
      <w:r w:rsidR="00D9653F" w:rsidRPr="00A31656">
        <w:rPr>
          <w:rFonts w:ascii="Arial" w:eastAsia="SimSun" w:hAnsi="Arial" w:cs="Arial"/>
          <w:bCs/>
          <w:sz w:val="22"/>
          <w:szCs w:val="22"/>
          <w:lang w:val="fr-FR" w:eastAsia="en-US"/>
        </w:rPr>
        <w:t xml:space="preserve"> ensuite publié la liste provisoire des </w:t>
      </w:r>
      <w:r w:rsidR="00D9653F">
        <w:rPr>
          <w:rFonts w:ascii="Arial" w:eastAsia="SimSun" w:hAnsi="Arial" w:cs="Arial"/>
          <w:bCs/>
          <w:sz w:val="22"/>
          <w:szCs w:val="22"/>
          <w:lang w:val="fr-FR" w:eastAsia="en-US"/>
        </w:rPr>
        <w:t>É</w:t>
      </w:r>
      <w:r w:rsidR="00D9653F" w:rsidRPr="00A31656">
        <w:rPr>
          <w:rFonts w:ascii="Arial" w:eastAsia="SimSun" w:hAnsi="Arial" w:cs="Arial"/>
          <w:bCs/>
          <w:sz w:val="22"/>
          <w:szCs w:val="22"/>
          <w:lang w:val="fr-FR" w:eastAsia="en-US"/>
        </w:rPr>
        <w:t>tats candidats</w:t>
      </w:r>
      <w:r w:rsidR="00D9653F">
        <w:rPr>
          <w:rFonts w:ascii="Arial" w:eastAsia="SimSun" w:hAnsi="Arial" w:cs="Arial"/>
          <w:bCs/>
          <w:sz w:val="22"/>
          <w:szCs w:val="22"/>
          <w:lang w:val="fr-FR" w:eastAsia="en-US"/>
        </w:rPr>
        <w:t xml:space="preserve">, </w:t>
      </w:r>
      <w:r w:rsidR="00D9653F" w:rsidRPr="00A31656">
        <w:rPr>
          <w:rFonts w:ascii="Arial" w:eastAsia="SimSun" w:hAnsi="Arial" w:cs="Arial"/>
          <w:bCs/>
          <w:sz w:val="22"/>
          <w:szCs w:val="22"/>
          <w:lang w:val="fr-FR" w:eastAsia="en-US"/>
        </w:rPr>
        <w:t xml:space="preserve">le 7 juin 2022, </w:t>
      </w:r>
      <w:r w:rsidR="00D9653F">
        <w:rPr>
          <w:rFonts w:ascii="Arial" w:eastAsia="SimSun" w:hAnsi="Arial" w:cs="Arial"/>
          <w:bCs/>
          <w:sz w:val="22"/>
          <w:szCs w:val="22"/>
          <w:lang w:val="fr-FR" w:eastAsia="en-US"/>
        </w:rPr>
        <w:t xml:space="preserve">soit </w:t>
      </w:r>
      <w:r w:rsidR="00D9653F" w:rsidRPr="00A31656">
        <w:rPr>
          <w:rFonts w:ascii="Arial" w:eastAsia="SimSun" w:hAnsi="Arial" w:cs="Arial"/>
          <w:bCs/>
          <w:sz w:val="22"/>
          <w:szCs w:val="22"/>
          <w:lang w:val="fr-FR" w:eastAsia="en-US"/>
        </w:rPr>
        <w:t>quatre semaines avant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ouverture de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Assemblée (document INF.11). Le Secrétariat a</w:t>
      </w:r>
      <w:r w:rsidR="00D9653F">
        <w:rPr>
          <w:rFonts w:ascii="Arial" w:eastAsia="SimSun" w:hAnsi="Arial" w:cs="Arial"/>
          <w:bCs/>
          <w:sz w:val="22"/>
          <w:szCs w:val="22"/>
          <w:lang w:val="fr-FR" w:eastAsia="en-US"/>
        </w:rPr>
        <w:t>vait</w:t>
      </w:r>
      <w:r w:rsidR="00D9653F" w:rsidRPr="00A31656">
        <w:rPr>
          <w:rFonts w:ascii="Arial" w:eastAsia="SimSun" w:hAnsi="Arial" w:cs="Arial"/>
          <w:bCs/>
          <w:sz w:val="22"/>
          <w:szCs w:val="22"/>
          <w:lang w:val="fr-FR" w:eastAsia="en-US"/>
        </w:rPr>
        <w:t xml:space="preserve"> également </w:t>
      </w:r>
      <w:r w:rsidR="00D9653F">
        <w:rPr>
          <w:rFonts w:ascii="Arial" w:eastAsia="SimSun" w:hAnsi="Arial" w:cs="Arial"/>
          <w:bCs/>
          <w:sz w:val="22"/>
          <w:szCs w:val="22"/>
          <w:lang w:val="fr-FR" w:eastAsia="en-US"/>
        </w:rPr>
        <w:t xml:space="preserve">communiqué </w:t>
      </w:r>
      <w:r w:rsidR="00D9653F" w:rsidRPr="00A31656">
        <w:rPr>
          <w:rFonts w:ascii="Arial" w:eastAsia="SimSun" w:hAnsi="Arial" w:cs="Arial"/>
          <w:bCs/>
          <w:sz w:val="22"/>
          <w:szCs w:val="22"/>
          <w:lang w:val="fr-FR" w:eastAsia="en-US"/>
        </w:rPr>
        <w:t>des informations actualisées sur toutes les contributions obligatoires et volontaires au Fonds. Le document a</w:t>
      </w:r>
      <w:r w:rsidR="00D9653F">
        <w:rPr>
          <w:rFonts w:ascii="Arial" w:eastAsia="SimSun" w:hAnsi="Arial" w:cs="Arial"/>
          <w:bCs/>
          <w:sz w:val="22"/>
          <w:szCs w:val="22"/>
          <w:lang w:val="fr-FR" w:eastAsia="en-US"/>
        </w:rPr>
        <w:t>vait</w:t>
      </w:r>
      <w:r w:rsidR="00D9653F" w:rsidRPr="00A31656">
        <w:rPr>
          <w:rFonts w:ascii="Arial" w:eastAsia="SimSun" w:hAnsi="Arial" w:cs="Arial"/>
          <w:bCs/>
          <w:sz w:val="22"/>
          <w:szCs w:val="22"/>
          <w:lang w:val="fr-FR" w:eastAsia="en-US"/>
        </w:rPr>
        <w:t xml:space="preserve"> été révisé sept fois, ce qui était nécessaire afin de reconnaître les nouvelles candidatures, les retraits ou les mises à jour sur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 xml:space="preserve">état des contributions. Tous les États candidats </w:t>
      </w:r>
      <w:r w:rsidR="00D9653F">
        <w:rPr>
          <w:rFonts w:ascii="Arial" w:eastAsia="SimSun" w:hAnsi="Arial" w:cs="Arial"/>
          <w:bCs/>
          <w:sz w:val="22"/>
          <w:szCs w:val="22"/>
          <w:lang w:val="fr-FR" w:eastAsia="en-US"/>
        </w:rPr>
        <w:t xml:space="preserve">avaient satisfait à </w:t>
      </w:r>
      <w:r w:rsidR="00D9653F" w:rsidRPr="00A31656">
        <w:rPr>
          <w:rFonts w:ascii="Arial" w:eastAsia="SimSun" w:hAnsi="Arial" w:cs="Arial"/>
          <w:bCs/>
          <w:sz w:val="22"/>
          <w:szCs w:val="22"/>
          <w:lang w:val="fr-FR" w:eastAsia="en-US"/>
        </w:rPr>
        <w:t>leurs obligations envers le Fonds, conformément à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article 26.5 de la Convention et à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article 14.2 du Règlement intérieur, et ils</w:t>
      </w:r>
      <w:r w:rsidR="00D9653F">
        <w:rPr>
          <w:rFonts w:ascii="Arial" w:eastAsia="SimSun" w:hAnsi="Arial" w:cs="Arial"/>
          <w:bCs/>
          <w:sz w:val="22"/>
          <w:szCs w:val="22"/>
          <w:lang w:val="fr-FR" w:eastAsia="en-US"/>
        </w:rPr>
        <w:t xml:space="preserve"> pouvaient donc se présenter</w:t>
      </w:r>
      <w:r w:rsidR="00D9653F" w:rsidRPr="00A31656">
        <w:rPr>
          <w:rFonts w:ascii="Arial" w:eastAsia="SimSun" w:hAnsi="Arial" w:cs="Arial"/>
          <w:bCs/>
          <w:sz w:val="22"/>
          <w:szCs w:val="22"/>
          <w:lang w:val="fr-FR" w:eastAsia="en-US"/>
        </w:rPr>
        <w:t xml:space="preserve"> à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 xml:space="preserve">élection des membres du Comité. En outre, le Secrétariat a confirmé que les </w:t>
      </w:r>
      <w:r w:rsidR="00D9653F">
        <w:rPr>
          <w:rFonts w:ascii="Arial" w:eastAsia="SimSun" w:hAnsi="Arial" w:cs="Arial"/>
          <w:bCs/>
          <w:sz w:val="22"/>
          <w:szCs w:val="22"/>
          <w:lang w:val="fr-FR" w:eastAsia="en-US"/>
        </w:rPr>
        <w:t>m</w:t>
      </w:r>
      <w:r w:rsidR="00D9653F" w:rsidRPr="00A31656">
        <w:rPr>
          <w:rFonts w:ascii="Arial" w:eastAsia="SimSun" w:hAnsi="Arial" w:cs="Arial"/>
          <w:bCs/>
          <w:sz w:val="22"/>
          <w:szCs w:val="22"/>
          <w:lang w:val="fr-FR" w:eastAsia="en-US"/>
        </w:rPr>
        <w:t>embres actuels du Comité, dont le mandat se termine</w:t>
      </w:r>
      <w:r w:rsidR="00D9653F">
        <w:rPr>
          <w:rFonts w:ascii="Arial" w:eastAsia="SimSun" w:hAnsi="Arial" w:cs="Arial"/>
          <w:bCs/>
          <w:sz w:val="22"/>
          <w:szCs w:val="22"/>
          <w:lang w:val="fr-FR" w:eastAsia="en-US"/>
        </w:rPr>
        <w:t>rait</w:t>
      </w:r>
      <w:r w:rsidR="00D9653F" w:rsidRPr="00A31656">
        <w:rPr>
          <w:rFonts w:ascii="Arial" w:eastAsia="SimSun" w:hAnsi="Arial" w:cs="Arial"/>
          <w:bCs/>
          <w:sz w:val="22"/>
          <w:szCs w:val="22"/>
          <w:lang w:val="fr-FR" w:eastAsia="en-US"/>
        </w:rPr>
        <w:t xml:space="preserve"> en 2024, avaient tous satisfait à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exigence de l</w:t>
      </w:r>
      <w:r w:rsidR="008E532B">
        <w:rPr>
          <w:rFonts w:ascii="Arial" w:eastAsia="SimSun" w:hAnsi="Arial" w:cs="Arial"/>
          <w:bCs/>
          <w:sz w:val="22"/>
          <w:szCs w:val="22"/>
          <w:lang w:val="fr-FR" w:eastAsia="en-US"/>
        </w:rPr>
        <w:t>’</w:t>
      </w:r>
      <w:r w:rsidR="00D9653F" w:rsidRPr="00A31656">
        <w:rPr>
          <w:rFonts w:ascii="Arial" w:eastAsia="SimSun" w:hAnsi="Arial" w:cs="Arial"/>
          <w:bCs/>
          <w:sz w:val="22"/>
          <w:szCs w:val="22"/>
          <w:lang w:val="fr-FR" w:eastAsia="en-US"/>
        </w:rPr>
        <w:t>article 26.5 de la Convention en ce qui concerne leurs contributions obligatoires ou volontaires.</w:t>
      </w:r>
    </w:p>
    <w:p w14:paraId="3E519E5D" w14:textId="6A1026C9" w:rsidR="00D9653F" w:rsidRPr="00EF3D17" w:rsidRDefault="008D65C3"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Pr>
          <w:rFonts w:ascii="Arial" w:eastAsia="SimSun" w:hAnsi="Arial" w:cs="Arial"/>
          <w:b/>
          <w:sz w:val="22"/>
          <w:szCs w:val="22"/>
          <w:lang w:val="fr-FR" w:eastAsia="en-US"/>
        </w:rPr>
        <w:t>Mme</w:t>
      </w:r>
      <w:r w:rsidR="00D9653F">
        <w:rPr>
          <w:rFonts w:ascii="Arial" w:eastAsia="SimSun" w:hAnsi="Arial" w:cs="Arial"/>
          <w:b/>
          <w:sz w:val="22"/>
          <w:szCs w:val="22"/>
          <w:lang w:val="fr-FR" w:eastAsia="en-US"/>
        </w:rPr>
        <w:t> </w:t>
      </w:r>
      <w:r w:rsidR="00D9653F" w:rsidRPr="00A31656">
        <w:rPr>
          <w:rFonts w:ascii="Arial" w:eastAsia="SimSun" w:hAnsi="Arial" w:cs="Arial"/>
          <w:b/>
          <w:sz w:val="22"/>
          <w:szCs w:val="22"/>
          <w:lang w:val="fr-FR" w:eastAsia="en-US"/>
        </w:rPr>
        <w:t>Fumiko Ohinata</w:t>
      </w:r>
      <w:r w:rsidR="00D9653F" w:rsidRPr="00A31656">
        <w:rPr>
          <w:rFonts w:ascii="Arial" w:eastAsia="SimSun" w:hAnsi="Arial" w:cs="Arial"/>
          <w:bCs/>
          <w:sz w:val="22"/>
          <w:szCs w:val="22"/>
          <w:lang w:val="fr-FR" w:eastAsia="en-US"/>
        </w:rPr>
        <w:t xml:space="preserve"> </w:t>
      </w:r>
      <w:r w:rsidR="00D9653F" w:rsidRPr="00EF3D17">
        <w:rPr>
          <w:rFonts w:ascii="Arial" w:eastAsia="SimSun" w:hAnsi="Arial" w:cs="Arial"/>
          <w:bCs/>
          <w:sz w:val="22"/>
          <w:szCs w:val="22"/>
          <w:lang w:val="fr-FR" w:eastAsia="en-US"/>
        </w:rPr>
        <w:t xml:space="preserve">a présenté les États parties candidats. Pour le </w:t>
      </w:r>
      <w:r w:rsidR="00D9653F">
        <w:rPr>
          <w:rFonts w:ascii="Arial" w:eastAsia="SimSun" w:hAnsi="Arial" w:cs="Arial"/>
          <w:bCs/>
          <w:sz w:val="22"/>
          <w:szCs w:val="22"/>
          <w:lang w:val="fr-FR" w:eastAsia="en-US"/>
        </w:rPr>
        <w:t>G</w:t>
      </w:r>
      <w:r w:rsidR="00D9653F" w:rsidRPr="00EF3D17">
        <w:rPr>
          <w:rFonts w:ascii="Arial" w:eastAsia="SimSun" w:hAnsi="Arial" w:cs="Arial"/>
          <w:bCs/>
          <w:sz w:val="22"/>
          <w:szCs w:val="22"/>
          <w:lang w:val="fr-FR" w:eastAsia="en-US"/>
        </w:rPr>
        <w:t>roupe électoral</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 xml:space="preserve">I, le </w:t>
      </w:r>
      <w:r w:rsidR="00D9653F">
        <w:rPr>
          <w:rFonts w:ascii="Arial" w:eastAsia="SimSun" w:hAnsi="Arial" w:cs="Arial"/>
          <w:bCs/>
          <w:sz w:val="22"/>
          <w:szCs w:val="22"/>
          <w:lang w:val="fr-FR" w:eastAsia="en-US"/>
        </w:rPr>
        <w:t>G</w:t>
      </w:r>
      <w:r w:rsidR="00D9653F" w:rsidRPr="00EF3D17">
        <w:rPr>
          <w:rFonts w:ascii="Arial" w:eastAsia="SimSun" w:hAnsi="Arial" w:cs="Arial"/>
          <w:bCs/>
          <w:sz w:val="22"/>
          <w:szCs w:val="22"/>
          <w:lang w:val="fr-FR" w:eastAsia="en-US"/>
        </w:rPr>
        <w:t>roupe</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 xml:space="preserve">III et le </w:t>
      </w:r>
      <w:r w:rsidR="00D9653F">
        <w:rPr>
          <w:rFonts w:ascii="Arial" w:eastAsia="SimSun" w:hAnsi="Arial" w:cs="Arial"/>
          <w:bCs/>
          <w:sz w:val="22"/>
          <w:szCs w:val="22"/>
          <w:lang w:val="fr-FR" w:eastAsia="en-US"/>
        </w:rPr>
        <w:t>G</w:t>
      </w:r>
      <w:r w:rsidR="00D9653F" w:rsidRPr="00EF3D17">
        <w:rPr>
          <w:rFonts w:ascii="Arial" w:eastAsia="SimSun" w:hAnsi="Arial" w:cs="Arial"/>
          <w:bCs/>
          <w:sz w:val="22"/>
          <w:szCs w:val="22"/>
          <w:lang w:val="fr-FR" w:eastAsia="en-US"/>
        </w:rPr>
        <w:t>roupe</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V(a), le nombre d</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États parties candidats correspondait au nombre de sièges vacants. Cela signifi</w:t>
      </w:r>
      <w:r w:rsidR="00D9653F">
        <w:rPr>
          <w:rFonts w:ascii="Arial" w:eastAsia="SimSun" w:hAnsi="Arial" w:cs="Arial"/>
          <w:bCs/>
          <w:sz w:val="22"/>
          <w:szCs w:val="22"/>
          <w:lang w:val="fr-FR" w:eastAsia="en-US"/>
        </w:rPr>
        <w:t>ait</w:t>
      </w:r>
      <w:r w:rsidR="00D9653F" w:rsidRPr="00EF3D17">
        <w:rPr>
          <w:rFonts w:ascii="Arial" w:eastAsia="SimSun" w:hAnsi="Arial" w:cs="Arial"/>
          <w:bCs/>
          <w:sz w:val="22"/>
          <w:szCs w:val="22"/>
          <w:lang w:val="fr-FR" w:eastAsia="en-US"/>
        </w:rPr>
        <w:t xml:space="preserve"> une situation de </w:t>
      </w:r>
      <w:r w:rsidR="00D9653F">
        <w:rPr>
          <w:rFonts w:ascii="Arial" w:eastAsia="SimSun" w:hAnsi="Arial" w:cs="Arial"/>
          <w:bCs/>
          <w:sz w:val="22"/>
          <w:szCs w:val="22"/>
          <w:lang w:val="fr-FR" w:eastAsia="en-US"/>
        </w:rPr>
        <w:t>liste optimale</w:t>
      </w:r>
      <w:r w:rsidR="00D9653F" w:rsidRPr="00EF3D17">
        <w:rPr>
          <w:rFonts w:ascii="Arial" w:eastAsia="SimSun" w:hAnsi="Arial" w:cs="Arial"/>
          <w:bCs/>
          <w:sz w:val="22"/>
          <w:szCs w:val="22"/>
          <w:lang w:val="fr-FR" w:eastAsia="en-US"/>
        </w:rPr>
        <w:t xml:space="preserve"> pour ces trois groupes </w:t>
      </w:r>
      <w:r w:rsidR="00D9653F">
        <w:rPr>
          <w:rFonts w:ascii="Arial" w:eastAsia="SimSun" w:hAnsi="Arial" w:cs="Arial"/>
          <w:bCs/>
          <w:sz w:val="22"/>
          <w:szCs w:val="22"/>
          <w:lang w:val="fr-FR" w:eastAsia="en-US"/>
        </w:rPr>
        <w:t>dans lesquels</w:t>
      </w:r>
      <w:r w:rsidR="00D9653F" w:rsidRPr="00EF3D17">
        <w:rPr>
          <w:rFonts w:ascii="Arial" w:eastAsia="SimSun" w:hAnsi="Arial" w:cs="Arial"/>
          <w:bCs/>
          <w:sz w:val="22"/>
          <w:szCs w:val="22"/>
          <w:lang w:val="fr-FR" w:eastAsia="en-US"/>
        </w:rPr>
        <w:t xml:space="preserve"> tous les candidats deviendr</w:t>
      </w:r>
      <w:r w:rsidR="00D9653F">
        <w:rPr>
          <w:rFonts w:ascii="Arial" w:eastAsia="SimSun" w:hAnsi="Arial" w:cs="Arial"/>
          <w:bCs/>
          <w:sz w:val="22"/>
          <w:szCs w:val="22"/>
          <w:lang w:val="fr-FR" w:eastAsia="en-US"/>
        </w:rPr>
        <w:t>aie</w:t>
      </w:r>
      <w:r w:rsidR="00D9653F" w:rsidRPr="00EF3D17">
        <w:rPr>
          <w:rFonts w:ascii="Arial" w:eastAsia="SimSun" w:hAnsi="Arial" w:cs="Arial"/>
          <w:bCs/>
          <w:sz w:val="22"/>
          <w:szCs w:val="22"/>
          <w:lang w:val="fr-FR" w:eastAsia="en-US"/>
        </w:rPr>
        <w:t xml:space="preserve">nt automatiquement membres du Comité sans élection. Pour le </w:t>
      </w:r>
      <w:r w:rsidR="00D9653F">
        <w:rPr>
          <w:rFonts w:ascii="Arial" w:eastAsia="SimSun" w:hAnsi="Arial" w:cs="Arial"/>
          <w:bCs/>
          <w:sz w:val="22"/>
          <w:szCs w:val="22"/>
          <w:lang w:val="fr-FR" w:eastAsia="en-US"/>
        </w:rPr>
        <w:t>G</w:t>
      </w:r>
      <w:r w:rsidR="00D9653F" w:rsidRPr="00EF3D17">
        <w:rPr>
          <w:rFonts w:ascii="Arial" w:eastAsia="SimSun" w:hAnsi="Arial" w:cs="Arial"/>
          <w:bCs/>
          <w:sz w:val="22"/>
          <w:szCs w:val="22"/>
          <w:lang w:val="fr-FR" w:eastAsia="en-US"/>
        </w:rPr>
        <w:t>roupe électoral</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 xml:space="preserve">II, le </w:t>
      </w:r>
      <w:r w:rsidR="00D9653F">
        <w:rPr>
          <w:rFonts w:ascii="Arial" w:eastAsia="SimSun" w:hAnsi="Arial" w:cs="Arial"/>
          <w:bCs/>
          <w:sz w:val="22"/>
          <w:szCs w:val="22"/>
          <w:lang w:val="fr-FR" w:eastAsia="en-US"/>
        </w:rPr>
        <w:t>G</w:t>
      </w:r>
      <w:r w:rsidR="00D9653F" w:rsidRPr="00EF3D17">
        <w:rPr>
          <w:rFonts w:ascii="Arial" w:eastAsia="SimSun" w:hAnsi="Arial" w:cs="Arial"/>
          <w:bCs/>
          <w:sz w:val="22"/>
          <w:szCs w:val="22"/>
          <w:lang w:val="fr-FR" w:eastAsia="en-US"/>
        </w:rPr>
        <w:t>roupe</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 xml:space="preserve">IV et le </w:t>
      </w:r>
      <w:r w:rsidR="00D9653F">
        <w:rPr>
          <w:rFonts w:ascii="Arial" w:eastAsia="SimSun" w:hAnsi="Arial" w:cs="Arial"/>
          <w:bCs/>
          <w:sz w:val="22"/>
          <w:szCs w:val="22"/>
          <w:lang w:val="fr-FR" w:eastAsia="en-US"/>
        </w:rPr>
        <w:t>G</w:t>
      </w:r>
      <w:r w:rsidR="00D9653F" w:rsidRPr="00EF3D17">
        <w:rPr>
          <w:rFonts w:ascii="Arial" w:eastAsia="SimSun" w:hAnsi="Arial" w:cs="Arial"/>
          <w:bCs/>
          <w:sz w:val="22"/>
          <w:szCs w:val="22"/>
          <w:lang w:val="fr-FR" w:eastAsia="en-US"/>
        </w:rPr>
        <w:t>roupe</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V(b), le nombre d</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 xml:space="preserve">États parties candidats dépassait le nombre de sièges à pourvoir et le vote se ferait </w:t>
      </w:r>
      <w:r w:rsidR="00D9653F">
        <w:rPr>
          <w:rFonts w:ascii="Arial" w:eastAsia="SimSun" w:hAnsi="Arial" w:cs="Arial"/>
          <w:bCs/>
          <w:sz w:val="22"/>
          <w:szCs w:val="22"/>
          <w:lang w:val="fr-FR" w:eastAsia="en-US"/>
        </w:rPr>
        <w:t xml:space="preserve">à bulletins </w:t>
      </w:r>
      <w:r w:rsidR="00D9653F" w:rsidRPr="00EF3D17">
        <w:rPr>
          <w:rFonts w:ascii="Arial" w:eastAsia="SimSun" w:hAnsi="Arial" w:cs="Arial"/>
          <w:bCs/>
          <w:sz w:val="22"/>
          <w:szCs w:val="22"/>
          <w:lang w:val="fr-FR" w:eastAsia="en-US"/>
        </w:rPr>
        <w:t>secret</w:t>
      </w:r>
      <w:r w:rsidR="00D9653F">
        <w:rPr>
          <w:rFonts w:ascii="Arial" w:eastAsia="SimSun" w:hAnsi="Arial" w:cs="Arial"/>
          <w:bCs/>
          <w:sz w:val="22"/>
          <w:szCs w:val="22"/>
          <w:lang w:val="fr-FR" w:eastAsia="en-US"/>
        </w:rPr>
        <w:t>s</w:t>
      </w:r>
      <w:r w:rsidR="00D9653F" w:rsidRPr="00EF3D17">
        <w:rPr>
          <w:rFonts w:ascii="Arial" w:eastAsia="SimSun" w:hAnsi="Arial" w:cs="Arial"/>
          <w:bCs/>
          <w:sz w:val="22"/>
          <w:szCs w:val="22"/>
          <w:lang w:val="fr-FR" w:eastAsia="en-US"/>
        </w:rPr>
        <w:t xml:space="preserve">. Le document INF.11 </w:t>
      </w:r>
      <w:proofErr w:type="spellStart"/>
      <w:r w:rsidR="00D9653F" w:rsidRPr="00EF3D17">
        <w:rPr>
          <w:rFonts w:ascii="Arial" w:eastAsia="SimSun" w:hAnsi="Arial" w:cs="Arial"/>
          <w:bCs/>
          <w:sz w:val="22"/>
          <w:szCs w:val="22"/>
          <w:lang w:val="fr-FR" w:eastAsia="en-US"/>
        </w:rPr>
        <w:t>Rev</w:t>
      </w:r>
      <w:proofErr w:type="spellEnd"/>
      <w:r w:rsidR="00D9653F" w:rsidRPr="00EF3D17">
        <w:rPr>
          <w:rFonts w:ascii="Arial" w:eastAsia="SimSun" w:hAnsi="Arial" w:cs="Arial"/>
          <w:bCs/>
          <w:sz w:val="22"/>
          <w:szCs w:val="22"/>
          <w:lang w:val="fr-FR" w:eastAsia="en-US"/>
        </w:rPr>
        <w:t xml:space="preserve">. 7 </w:t>
      </w:r>
      <w:r w:rsidR="00D9653F">
        <w:rPr>
          <w:rFonts w:ascii="Arial" w:eastAsia="SimSun" w:hAnsi="Arial" w:cs="Arial"/>
          <w:bCs/>
          <w:sz w:val="22"/>
          <w:szCs w:val="22"/>
          <w:lang w:val="fr-FR" w:eastAsia="en-US"/>
        </w:rPr>
        <w:t>présentait</w:t>
      </w:r>
      <w:r w:rsidR="00D9653F" w:rsidRPr="00EF3D17">
        <w:rPr>
          <w:rFonts w:ascii="Arial" w:eastAsia="SimSun" w:hAnsi="Arial" w:cs="Arial"/>
          <w:bCs/>
          <w:sz w:val="22"/>
          <w:szCs w:val="22"/>
          <w:lang w:val="fr-FR" w:eastAsia="en-US"/>
        </w:rPr>
        <w:t xml:space="preserve"> les noms des États parties candidats à l</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 xml:space="preserve">élection. </w:t>
      </w:r>
      <w:r w:rsidR="00D9653F">
        <w:rPr>
          <w:rFonts w:ascii="Arial" w:eastAsia="SimSun" w:hAnsi="Arial" w:cs="Arial"/>
          <w:bCs/>
          <w:sz w:val="22"/>
          <w:szCs w:val="22"/>
          <w:lang w:val="fr-FR" w:eastAsia="en-US"/>
        </w:rPr>
        <w:t xml:space="preserve">Pour le </w:t>
      </w:r>
      <w:r w:rsidR="00D9653F" w:rsidRPr="00EF3D17">
        <w:rPr>
          <w:rFonts w:ascii="Arial" w:eastAsia="SimSun" w:hAnsi="Arial" w:cs="Arial"/>
          <w:bCs/>
          <w:sz w:val="22"/>
          <w:szCs w:val="22"/>
          <w:lang w:val="fr-FR" w:eastAsia="en-US"/>
        </w:rPr>
        <w:t>Groupe</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 xml:space="preserve">I : </w:t>
      </w:r>
      <w:r w:rsidR="00D9653F">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 xml:space="preserve">Allemagne </w:t>
      </w:r>
      <w:r w:rsidR="00D9653F">
        <w:rPr>
          <w:rFonts w:ascii="Arial" w:eastAsia="SimSun" w:hAnsi="Arial" w:cs="Arial"/>
          <w:bCs/>
          <w:sz w:val="22"/>
          <w:szCs w:val="22"/>
          <w:lang w:val="fr-FR" w:eastAsia="en-US"/>
        </w:rPr>
        <w:t>était</w:t>
      </w:r>
      <w:r w:rsidR="00D9653F" w:rsidRPr="00EF3D17">
        <w:rPr>
          <w:rFonts w:ascii="Arial" w:eastAsia="SimSun" w:hAnsi="Arial" w:cs="Arial"/>
          <w:bCs/>
          <w:sz w:val="22"/>
          <w:szCs w:val="22"/>
          <w:lang w:val="fr-FR" w:eastAsia="en-US"/>
        </w:rPr>
        <w:t xml:space="preserve"> l</w:t>
      </w:r>
      <w:r w:rsidR="00D9653F">
        <w:rPr>
          <w:rFonts w:ascii="Arial" w:eastAsia="SimSun" w:hAnsi="Arial" w:cs="Arial"/>
          <w:bCs/>
          <w:sz w:val="22"/>
          <w:szCs w:val="22"/>
          <w:lang w:val="fr-FR" w:eastAsia="en-US"/>
        </w:rPr>
        <w:t>a</w:t>
      </w:r>
      <w:r w:rsidR="00D9653F" w:rsidRPr="00EF3D17">
        <w:rPr>
          <w:rFonts w:ascii="Arial" w:eastAsia="SimSun" w:hAnsi="Arial" w:cs="Arial"/>
          <w:bCs/>
          <w:sz w:val="22"/>
          <w:szCs w:val="22"/>
          <w:lang w:val="fr-FR" w:eastAsia="en-US"/>
        </w:rPr>
        <w:t xml:space="preserve"> seul</w:t>
      </w:r>
      <w:r w:rsidR="00D9653F">
        <w:rPr>
          <w:rFonts w:ascii="Arial" w:eastAsia="SimSun" w:hAnsi="Arial" w:cs="Arial"/>
          <w:bCs/>
          <w:sz w:val="22"/>
          <w:szCs w:val="22"/>
          <w:lang w:val="fr-FR" w:eastAsia="en-US"/>
        </w:rPr>
        <w:t>e</w:t>
      </w:r>
      <w:r w:rsidR="00D9653F" w:rsidRPr="00EF3D17">
        <w:rPr>
          <w:rFonts w:ascii="Arial" w:eastAsia="SimSun" w:hAnsi="Arial" w:cs="Arial"/>
          <w:bCs/>
          <w:sz w:val="22"/>
          <w:szCs w:val="22"/>
          <w:lang w:val="fr-FR" w:eastAsia="en-US"/>
        </w:rPr>
        <w:t xml:space="preserve"> candidat</w:t>
      </w:r>
      <w:r w:rsidR="00D9653F">
        <w:rPr>
          <w:rFonts w:ascii="Arial" w:eastAsia="SimSun" w:hAnsi="Arial" w:cs="Arial"/>
          <w:bCs/>
          <w:sz w:val="22"/>
          <w:szCs w:val="22"/>
          <w:lang w:val="fr-FR" w:eastAsia="en-US"/>
        </w:rPr>
        <w:t>e</w:t>
      </w:r>
      <w:r w:rsidR="00D9653F" w:rsidRPr="00EF3D17">
        <w:rPr>
          <w:rFonts w:ascii="Arial" w:eastAsia="SimSun" w:hAnsi="Arial" w:cs="Arial"/>
          <w:bCs/>
          <w:sz w:val="22"/>
          <w:szCs w:val="22"/>
          <w:lang w:val="fr-FR" w:eastAsia="en-US"/>
        </w:rPr>
        <w:t xml:space="preserve"> pour un siège vacant. </w:t>
      </w:r>
      <w:r w:rsidR="00D9653F">
        <w:rPr>
          <w:rFonts w:ascii="Arial" w:eastAsia="SimSun" w:hAnsi="Arial" w:cs="Arial"/>
          <w:bCs/>
          <w:sz w:val="22"/>
          <w:szCs w:val="22"/>
          <w:lang w:val="fr-FR" w:eastAsia="en-US"/>
        </w:rPr>
        <w:t xml:space="preserve">Pour le </w:t>
      </w:r>
      <w:r w:rsidR="00D9653F" w:rsidRPr="00EF3D17">
        <w:rPr>
          <w:rFonts w:ascii="Arial" w:eastAsia="SimSun" w:hAnsi="Arial" w:cs="Arial"/>
          <w:bCs/>
          <w:sz w:val="22"/>
          <w:szCs w:val="22"/>
          <w:lang w:val="fr-FR" w:eastAsia="en-US"/>
        </w:rPr>
        <w:t>Groupe</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 xml:space="preserve">II : </w:t>
      </w:r>
      <w:r w:rsidR="00D9653F">
        <w:rPr>
          <w:rFonts w:ascii="Arial" w:eastAsia="SimSun" w:hAnsi="Arial" w:cs="Arial"/>
          <w:bCs/>
          <w:sz w:val="22"/>
          <w:szCs w:val="22"/>
          <w:lang w:val="fr-FR" w:eastAsia="en-US"/>
        </w:rPr>
        <w:t>l</w:t>
      </w:r>
      <w:r w:rsidR="00D9653F" w:rsidRPr="00EF3D17">
        <w:rPr>
          <w:rFonts w:ascii="Arial" w:eastAsia="SimSun" w:hAnsi="Arial" w:cs="Arial"/>
          <w:bCs/>
          <w:sz w:val="22"/>
          <w:szCs w:val="22"/>
          <w:lang w:val="fr-FR" w:eastAsia="en-US"/>
        </w:rPr>
        <w:t>a Bosnie-Herzégovine, la Bulgarie, l</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Estonie, la Slovaquie</w:t>
      </w:r>
      <w:r w:rsidR="00D9653F">
        <w:rPr>
          <w:rFonts w:ascii="Arial" w:eastAsia="SimSun" w:hAnsi="Arial" w:cs="Arial"/>
          <w:bCs/>
          <w:sz w:val="22"/>
          <w:szCs w:val="22"/>
          <w:lang w:val="fr-FR" w:eastAsia="en-US"/>
        </w:rPr>
        <w:t xml:space="preserve"> et</w:t>
      </w:r>
      <w:r w:rsidR="00D9653F" w:rsidRPr="00EF3D17">
        <w:rPr>
          <w:rFonts w:ascii="Arial" w:eastAsia="SimSun" w:hAnsi="Arial" w:cs="Arial"/>
          <w:bCs/>
          <w:sz w:val="22"/>
          <w:szCs w:val="22"/>
          <w:lang w:val="fr-FR" w:eastAsia="en-US"/>
        </w:rPr>
        <w:t xml:space="preserve"> l</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 xml:space="preserve">Ouzbékistan </w:t>
      </w:r>
      <w:r w:rsidR="00D9653F">
        <w:rPr>
          <w:rFonts w:ascii="Arial" w:eastAsia="SimSun" w:hAnsi="Arial" w:cs="Arial"/>
          <w:bCs/>
          <w:sz w:val="22"/>
          <w:szCs w:val="22"/>
          <w:lang w:val="fr-FR" w:eastAsia="en-US"/>
        </w:rPr>
        <w:t>étaient</w:t>
      </w:r>
      <w:r w:rsidR="00D9653F" w:rsidRPr="00EF3D17">
        <w:rPr>
          <w:rFonts w:ascii="Arial" w:eastAsia="SimSun" w:hAnsi="Arial" w:cs="Arial"/>
          <w:bCs/>
          <w:sz w:val="22"/>
          <w:szCs w:val="22"/>
          <w:lang w:val="fr-FR" w:eastAsia="en-US"/>
        </w:rPr>
        <w:t xml:space="preserve"> candidats pour deux sièges vacants. </w:t>
      </w:r>
      <w:r w:rsidR="00D9653F">
        <w:rPr>
          <w:rFonts w:ascii="Arial" w:eastAsia="SimSun" w:hAnsi="Arial" w:cs="Arial"/>
          <w:bCs/>
          <w:sz w:val="22"/>
          <w:szCs w:val="22"/>
          <w:lang w:val="fr-FR" w:eastAsia="en-US"/>
        </w:rPr>
        <w:t xml:space="preserve">Pour le </w:t>
      </w:r>
      <w:r w:rsidR="00D9653F" w:rsidRPr="00EF3D17">
        <w:rPr>
          <w:rFonts w:ascii="Arial" w:eastAsia="SimSun" w:hAnsi="Arial" w:cs="Arial"/>
          <w:bCs/>
          <w:sz w:val="22"/>
          <w:szCs w:val="22"/>
          <w:lang w:val="fr-FR" w:eastAsia="en-US"/>
        </w:rPr>
        <w:t>Groupe</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 xml:space="preserve">III : </w:t>
      </w:r>
      <w:r w:rsidR="00D9653F">
        <w:rPr>
          <w:rFonts w:ascii="Arial" w:eastAsia="SimSun" w:hAnsi="Arial" w:cs="Arial"/>
          <w:bCs/>
          <w:sz w:val="22"/>
          <w:szCs w:val="22"/>
          <w:lang w:val="fr-FR" w:eastAsia="en-US"/>
        </w:rPr>
        <w:t>l</w:t>
      </w:r>
      <w:r w:rsidR="00D9653F" w:rsidRPr="00EF3D17">
        <w:rPr>
          <w:rFonts w:ascii="Arial" w:eastAsia="SimSun" w:hAnsi="Arial" w:cs="Arial"/>
          <w:bCs/>
          <w:sz w:val="22"/>
          <w:szCs w:val="22"/>
          <w:lang w:val="fr-FR" w:eastAsia="en-US"/>
        </w:rPr>
        <w:t xml:space="preserve">e Paraguay </w:t>
      </w:r>
      <w:r w:rsidR="00D9653F">
        <w:rPr>
          <w:rFonts w:ascii="Arial" w:eastAsia="SimSun" w:hAnsi="Arial" w:cs="Arial"/>
          <w:bCs/>
          <w:sz w:val="22"/>
          <w:szCs w:val="22"/>
          <w:lang w:val="fr-FR" w:eastAsia="en-US"/>
        </w:rPr>
        <w:t>était</w:t>
      </w:r>
      <w:r w:rsidR="00D9653F" w:rsidRPr="00EF3D17">
        <w:rPr>
          <w:rFonts w:ascii="Arial" w:eastAsia="SimSun" w:hAnsi="Arial" w:cs="Arial"/>
          <w:bCs/>
          <w:sz w:val="22"/>
          <w:szCs w:val="22"/>
          <w:lang w:val="fr-FR" w:eastAsia="en-US"/>
        </w:rPr>
        <w:t xml:space="preserve"> le seul candidat pour un siège vacant. </w:t>
      </w:r>
      <w:r w:rsidR="00D9653F">
        <w:rPr>
          <w:rFonts w:ascii="Arial" w:eastAsia="SimSun" w:hAnsi="Arial" w:cs="Arial"/>
          <w:bCs/>
          <w:sz w:val="22"/>
          <w:szCs w:val="22"/>
          <w:lang w:val="fr-FR" w:eastAsia="en-US"/>
        </w:rPr>
        <w:t xml:space="preserve">Pour le </w:t>
      </w:r>
      <w:r w:rsidR="00D9653F" w:rsidRPr="00EF3D17">
        <w:rPr>
          <w:rFonts w:ascii="Arial" w:eastAsia="SimSun" w:hAnsi="Arial" w:cs="Arial"/>
          <w:bCs/>
          <w:sz w:val="22"/>
          <w:szCs w:val="22"/>
          <w:lang w:val="fr-FR" w:eastAsia="en-US"/>
        </w:rPr>
        <w:t>Groupe</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IV : le Bangladesh, le Cambodge, l</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Inde, la Malaisie, la Thaïlande et le Viet</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 xml:space="preserve">Nam </w:t>
      </w:r>
      <w:r w:rsidR="00D9653F">
        <w:rPr>
          <w:rFonts w:ascii="Arial" w:eastAsia="SimSun" w:hAnsi="Arial" w:cs="Arial"/>
          <w:bCs/>
          <w:sz w:val="22"/>
          <w:szCs w:val="22"/>
          <w:lang w:val="fr-FR" w:eastAsia="en-US"/>
        </w:rPr>
        <w:t xml:space="preserve">étaient </w:t>
      </w:r>
      <w:r w:rsidR="00D9653F" w:rsidRPr="00EF3D17">
        <w:rPr>
          <w:rFonts w:ascii="Arial" w:eastAsia="SimSun" w:hAnsi="Arial" w:cs="Arial"/>
          <w:bCs/>
          <w:sz w:val="22"/>
          <w:szCs w:val="22"/>
          <w:lang w:val="fr-FR" w:eastAsia="en-US"/>
        </w:rPr>
        <w:t xml:space="preserve">candidats pour quatre sièges vacants. </w:t>
      </w:r>
      <w:r w:rsidR="00D9653F">
        <w:rPr>
          <w:rFonts w:ascii="Arial" w:eastAsia="SimSun" w:hAnsi="Arial" w:cs="Arial"/>
          <w:bCs/>
          <w:sz w:val="22"/>
          <w:szCs w:val="22"/>
          <w:lang w:val="fr-FR" w:eastAsia="en-US"/>
        </w:rPr>
        <w:t xml:space="preserve">Pour le </w:t>
      </w:r>
      <w:r w:rsidR="00D9653F" w:rsidRPr="00EF3D17">
        <w:rPr>
          <w:rFonts w:ascii="Arial" w:eastAsia="SimSun" w:hAnsi="Arial" w:cs="Arial"/>
          <w:bCs/>
          <w:sz w:val="22"/>
          <w:szCs w:val="22"/>
          <w:lang w:val="fr-FR" w:eastAsia="en-US"/>
        </w:rPr>
        <w:t>Groupe</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 xml:space="preserve">V(a) : </w:t>
      </w:r>
      <w:r w:rsidR="00D9653F">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Angola, le Burkina Faso et l</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 xml:space="preserve">Éthiopie </w:t>
      </w:r>
      <w:r w:rsidR="00D9653F">
        <w:rPr>
          <w:rFonts w:ascii="Arial" w:eastAsia="SimSun" w:hAnsi="Arial" w:cs="Arial"/>
          <w:bCs/>
          <w:sz w:val="22"/>
          <w:szCs w:val="22"/>
          <w:lang w:val="fr-FR" w:eastAsia="en-US"/>
        </w:rPr>
        <w:t>étaient</w:t>
      </w:r>
      <w:r w:rsidR="00D9653F" w:rsidRPr="00EF3D17">
        <w:rPr>
          <w:rFonts w:ascii="Arial" w:eastAsia="SimSun" w:hAnsi="Arial" w:cs="Arial"/>
          <w:bCs/>
          <w:sz w:val="22"/>
          <w:szCs w:val="22"/>
          <w:lang w:val="fr-FR" w:eastAsia="en-US"/>
        </w:rPr>
        <w:t xml:space="preserve"> les seuls candidats pour trois sièges vacants. Enfin, </w:t>
      </w:r>
      <w:r w:rsidR="00D9653F">
        <w:rPr>
          <w:rFonts w:ascii="Arial" w:eastAsia="SimSun" w:hAnsi="Arial" w:cs="Arial"/>
          <w:bCs/>
          <w:sz w:val="22"/>
          <w:szCs w:val="22"/>
          <w:lang w:val="fr-FR" w:eastAsia="en-US"/>
        </w:rPr>
        <w:t xml:space="preserve">pour le </w:t>
      </w:r>
      <w:r w:rsidR="00D9653F" w:rsidRPr="00EF3D17">
        <w:rPr>
          <w:rFonts w:ascii="Arial" w:eastAsia="SimSun" w:hAnsi="Arial" w:cs="Arial"/>
          <w:bCs/>
          <w:sz w:val="22"/>
          <w:szCs w:val="22"/>
          <w:lang w:val="fr-FR" w:eastAsia="en-US"/>
        </w:rPr>
        <w:t>Groupe</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 xml:space="preserve">V(b) : </w:t>
      </w:r>
      <w:r w:rsidR="00D9653F">
        <w:rPr>
          <w:rFonts w:ascii="Arial" w:eastAsia="SimSun" w:hAnsi="Arial" w:cs="Arial"/>
          <w:bCs/>
          <w:sz w:val="22"/>
          <w:szCs w:val="22"/>
          <w:lang w:val="fr-FR" w:eastAsia="en-US"/>
        </w:rPr>
        <w:t>l</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 xml:space="preserve">Irak et la Mauritanie </w:t>
      </w:r>
      <w:r w:rsidR="00D9653F">
        <w:rPr>
          <w:rFonts w:ascii="Arial" w:eastAsia="SimSun" w:hAnsi="Arial" w:cs="Arial"/>
          <w:bCs/>
          <w:sz w:val="22"/>
          <w:szCs w:val="22"/>
          <w:lang w:val="fr-FR" w:eastAsia="en-US"/>
        </w:rPr>
        <w:t>étaient</w:t>
      </w:r>
      <w:r w:rsidR="00D9653F" w:rsidRPr="00EF3D17">
        <w:rPr>
          <w:rFonts w:ascii="Arial" w:eastAsia="SimSun" w:hAnsi="Arial" w:cs="Arial"/>
          <w:bCs/>
          <w:sz w:val="22"/>
          <w:szCs w:val="22"/>
          <w:lang w:val="fr-FR" w:eastAsia="en-US"/>
        </w:rPr>
        <w:t xml:space="preserve"> candidats pour un siège vacant. Le vote </w:t>
      </w:r>
      <w:r w:rsidR="00D9653F">
        <w:rPr>
          <w:rFonts w:ascii="Arial" w:eastAsia="SimSun" w:hAnsi="Arial" w:cs="Arial"/>
          <w:bCs/>
          <w:sz w:val="22"/>
          <w:szCs w:val="22"/>
          <w:lang w:val="fr-FR" w:eastAsia="en-US"/>
        </w:rPr>
        <w:t>se déroulerait</w:t>
      </w:r>
      <w:r w:rsidR="00D9653F" w:rsidRPr="00EF3D17">
        <w:rPr>
          <w:rFonts w:ascii="Arial" w:eastAsia="SimSun" w:hAnsi="Arial" w:cs="Arial"/>
          <w:bCs/>
          <w:sz w:val="22"/>
          <w:szCs w:val="22"/>
          <w:lang w:val="fr-FR" w:eastAsia="en-US"/>
        </w:rPr>
        <w:t xml:space="preserve"> le lendemain de 13</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h</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00 à 15</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h</w:t>
      </w:r>
      <w:r w:rsidR="00D9653F">
        <w:rPr>
          <w:rFonts w:ascii="Arial" w:eastAsia="SimSun" w:hAnsi="Arial" w:cs="Arial"/>
          <w:bCs/>
          <w:sz w:val="22"/>
          <w:szCs w:val="22"/>
          <w:lang w:val="fr-FR" w:eastAsia="en-US"/>
        </w:rPr>
        <w:t> </w:t>
      </w:r>
      <w:r w:rsidR="00D9653F" w:rsidRPr="00EF3D17">
        <w:rPr>
          <w:rFonts w:ascii="Arial" w:eastAsia="SimSun" w:hAnsi="Arial" w:cs="Arial"/>
          <w:bCs/>
          <w:sz w:val="22"/>
          <w:szCs w:val="22"/>
          <w:lang w:val="fr-FR" w:eastAsia="en-US"/>
        </w:rPr>
        <w:t>00 afin de laisser suffisamment de temps pour le vote et le dépouillement des bulletins, ainsi que la possibilité d</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 xml:space="preserve">un second vote </w:t>
      </w:r>
      <w:r w:rsidR="00D9653F">
        <w:rPr>
          <w:rFonts w:ascii="Arial" w:eastAsia="SimSun" w:hAnsi="Arial" w:cs="Arial"/>
          <w:bCs/>
          <w:sz w:val="22"/>
          <w:szCs w:val="22"/>
          <w:lang w:val="fr-FR" w:eastAsia="en-US"/>
        </w:rPr>
        <w:t xml:space="preserve">à bulletins </w:t>
      </w:r>
      <w:r w:rsidR="00D9653F" w:rsidRPr="00EF3D17">
        <w:rPr>
          <w:rFonts w:ascii="Arial" w:eastAsia="SimSun" w:hAnsi="Arial" w:cs="Arial"/>
          <w:bCs/>
          <w:sz w:val="22"/>
          <w:szCs w:val="22"/>
          <w:lang w:val="fr-FR" w:eastAsia="en-US"/>
        </w:rPr>
        <w:t>secret</w:t>
      </w:r>
      <w:r w:rsidR="00D9653F">
        <w:rPr>
          <w:rFonts w:ascii="Arial" w:eastAsia="SimSun" w:hAnsi="Arial" w:cs="Arial"/>
          <w:bCs/>
          <w:sz w:val="22"/>
          <w:szCs w:val="22"/>
          <w:lang w:val="fr-FR" w:eastAsia="en-US"/>
        </w:rPr>
        <w:t>s,</w:t>
      </w:r>
      <w:r w:rsidR="00D9653F" w:rsidRPr="00EF3D17">
        <w:rPr>
          <w:rFonts w:ascii="Arial" w:eastAsia="SimSun" w:hAnsi="Arial" w:cs="Arial"/>
          <w:bCs/>
          <w:sz w:val="22"/>
          <w:szCs w:val="22"/>
          <w:lang w:val="fr-FR" w:eastAsia="en-US"/>
        </w:rPr>
        <w:t xml:space="preserve"> si nécessaire. Deux volontaires parmi les délégués seraient désignés comme scrutateurs. Leur présence était requise pendant la période de vote et pour le dépouillement des bulletins, qui </w:t>
      </w:r>
      <w:r w:rsidR="00D9653F">
        <w:rPr>
          <w:rFonts w:ascii="Arial" w:eastAsia="SimSun" w:hAnsi="Arial" w:cs="Arial"/>
          <w:bCs/>
          <w:sz w:val="22"/>
          <w:szCs w:val="22"/>
          <w:lang w:val="fr-FR" w:eastAsia="en-US"/>
        </w:rPr>
        <w:t xml:space="preserve">se déroulerait </w:t>
      </w:r>
      <w:r w:rsidR="00D9653F" w:rsidRPr="00EF3D17">
        <w:rPr>
          <w:rFonts w:ascii="Arial" w:eastAsia="SimSun" w:hAnsi="Arial" w:cs="Arial"/>
          <w:bCs/>
          <w:sz w:val="22"/>
          <w:szCs w:val="22"/>
          <w:lang w:val="fr-FR" w:eastAsia="en-US"/>
        </w:rPr>
        <w:t>immédiatement après la fin du vote. Le Secrétariat a</w:t>
      </w:r>
      <w:r w:rsidR="00D9653F">
        <w:rPr>
          <w:rFonts w:ascii="Arial" w:eastAsia="SimSun" w:hAnsi="Arial" w:cs="Arial"/>
          <w:bCs/>
          <w:sz w:val="22"/>
          <w:szCs w:val="22"/>
          <w:lang w:val="fr-FR" w:eastAsia="en-US"/>
        </w:rPr>
        <w:t>vait</w:t>
      </w:r>
      <w:r w:rsidR="00D9653F" w:rsidRPr="00EF3D17">
        <w:rPr>
          <w:rFonts w:ascii="Arial" w:eastAsia="SimSun" w:hAnsi="Arial" w:cs="Arial"/>
          <w:bCs/>
          <w:sz w:val="22"/>
          <w:szCs w:val="22"/>
          <w:lang w:val="fr-FR" w:eastAsia="en-US"/>
        </w:rPr>
        <w:t xml:space="preserve"> identifié deux délégués qui </w:t>
      </w:r>
      <w:r w:rsidR="00D9653F">
        <w:rPr>
          <w:rFonts w:ascii="Arial" w:eastAsia="SimSun" w:hAnsi="Arial" w:cs="Arial"/>
          <w:bCs/>
          <w:sz w:val="22"/>
          <w:szCs w:val="22"/>
          <w:lang w:val="fr-FR" w:eastAsia="en-US"/>
        </w:rPr>
        <w:t>avaient</w:t>
      </w:r>
      <w:r w:rsidR="00D9653F" w:rsidRPr="00EF3D17">
        <w:rPr>
          <w:rFonts w:ascii="Arial" w:eastAsia="SimSun" w:hAnsi="Arial" w:cs="Arial"/>
          <w:bCs/>
          <w:sz w:val="22"/>
          <w:szCs w:val="22"/>
          <w:lang w:val="fr-FR" w:eastAsia="en-US"/>
        </w:rPr>
        <w:t xml:space="preserve"> aimablement accepté d</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 xml:space="preserve">assumer le rôle de scrutateurs : </w:t>
      </w:r>
      <w:r w:rsidR="00D9653F">
        <w:rPr>
          <w:rFonts w:ascii="Arial" w:eastAsia="SimSun" w:hAnsi="Arial" w:cs="Arial"/>
          <w:bCs/>
          <w:sz w:val="22"/>
          <w:szCs w:val="22"/>
          <w:lang w:val="fr-FR" w:eastAsia="en-US"/>
        </w:rPr>
        <w:t>il</w:t>
      </w:r>
      <w:r w:rsidR="00D9653F" w:rsidRPr="00EF3D17">
        <w:rPr>
          <w:rFonts w:ascii="Arial" w:eastAsia="SimSun" w:hAnsi="Arial" w:cs="Arial"/>
          <w:bCs/>
          <w:sz w:val="22"/>
          <w:szCs w:val="22"/>
          <w:lang w:val="fr-FR" w:eastAsia="en-US"/>
        </w:rPr>
        <w:t xml:space="preserve"> s</w:t>
      </w:r>
      <w:r w:rsidR="008E532B">
        <w:rPr>
          <w:rFonts w:ascii="Arial" w:eastAsia="SimSun" w:hAnsi="Arial" w:cs="Arial"/>
          <w:bCs/>
          <w:sz w:val="22"/>
          <w:szCs w:val="22"/>
          <w:lang w:val="fr-FR" w:eastAsia="en-US"/>
        </w:rPr>
        <w:t>’</w:t>
      </w:r>
      <w:r w:rsidR="00D9653F" w:rsidRPr="00EF3D17">
        <w:rPr>
          <w:rFonts w:ascii="Arial" w:eastAsia="SimSun" w:hAnsi="Arial" w:cs="Arial"/>
          <w:bCs/>
          <w:sz w:val="22"/>
          <w:szCs w:val="22"/>
          <w:lang w:val="fr-FR" w:eastAsia="en-US"/>
        </w:rPr>
        <w:t>agi</w:t>
      </w:r>
      <w:r w:rsidR="00D9653F">
        <w:rPr>
          <w:rFonts w:ascii="Arial" w:eastAsia="SimSun" w:hAnsi="Arial" w:cs="Arial"/>
          <w:bCs/>
          <w:sz w:val="22"/>
          <w:szCs w:val="22"/>
          <w:lang w:val="fr-FR" w:eastAsia="en-US"/>
        </w:rPr>
        <w:t>ssai</w:t>
      </w:r>
      <w:r w:rsidR="00D9653F" w:rsidRPr="00EF3D17">
        <w:rPr>
          <w:rFonts w:ascii="Arial" w:eastAsia="SimSun" w:hAnsi="Arial" w:cs="Arial"/>
          <w:bCs/>
          <w:sz w:val="22"/>
          <w:szCs w:val="22"/>
          <w:lang w:val="fr-FR" w:eastAsia="en-US"/>
        </w:rPr>
        <w:t xml:space="preserve">t de </w:t>
      </w:r>
      <w:r>
        <w:rPr>
          <w:rFonts w:ascii="Arial" w:eastAsia="SimSun" w:hAnsi="Arial" w:cs="Arial"/>
          <w:bCs/>
          <w:sz w:val="22"/>
          <w:szCs w:val="22"/>
          <w:lang w:val="fr-FR" w:eastAsia="en-US"/>
        </w:rPr>
        <w:t>Mme</w:t>
      </w:r>
      <w:r w:rsidR="00D9653F" w:rsidRPr="00EF3D17">
        <w:rPr>
          <w:rFonts w:ascii="Arial" w:eastAsia="SimSun" w:hAnsi="Arial" w:cs="Arial"/>
          <w:bCs/>
          <w:sz w:val="22"/>
          <w:szCs w:val="22"/>
          <w:lang w:val="fr-FR" w:eastAsia="en-US"/>
        </w:rPr>
        <w:t xml:space="preserve"> Paola Gómez Barletta du Panama et de M. Julius </w:t>
      </w:r>
      <w:proofErr w:type="spellStart"/>
      <w:r w:rsidR="00D9653F" w:rsidRPr="00EF3D17">
        <w:rPr>
          <w:rFonts w:ascii="Arial" w:eastAsia="SimSun" w:hAnsi="Arial" w:cs="Arial"/>
          <w:bCs/>
          <w:sz w:val="22"/>
          <w:szCs w:val="22"/>
          <w:lang w:val="fr-FR" w:eastAsia="en-US"/>
        </w:rPr>
        <w:t>Shoboi</w:t>
      </w:r>
      <w:proofErr w:type="spellEnd"/>
      <w:r w:rsidR="00D9653F" w:rsidRPr="00EF3D17">
        <w:rPr>
          <w:rFonts w:ascii="Arial" w:eastAsia="SimSun" w:hAnsi="Arial" w:cs="Arial"/>
          <w:bCs/>
          <w:sz w:val="22"/>
          <w:szCs w:val="22"/>
          <w:lang w:val="fr-FR" w:eastAsia="en-US"/>
        </w:rPr>
        <w:t xml:space="preserve"> </w:t>
      </w:r>
      <w:proofErr w:type="spellStart"/>
      <w:r w:rsidR="00D9653F" w:rsidRPr="00EF3D17">
        <w:rPr>
          <w:rFonts w:ascii="Arial" w:eastAsia="SimSun" w:hAnsi="Arial" w:cs="Arial"/>
          <w:bCs/>
          <w:sz w:val="22"/>
          <w:szCs w:val="22"/>
          <w:lang w:val="fr-FR" w:eastAsia="en-US"/>
        </w:rPr>
        <w:t>Mwahunga</w:t>
      </w:r>
      <w:proofErr w:type="spellEnd"/>
      <w:r w:rsidR="00D9653F" w:rsidRPr="00EF3D17">
        <w:rPr>
          <w:rFonts w:ascii="Arial" w:eastAsia="SimSun" w:hAnsi="Arial" w:cs="Arial"/>
          <w:bCs/>
          <w:sz w:val="22"/>
          <w:szCs w:val="22"/>
          <w:lang w:val="fr-FR" w:eastAsia="en-US"/>
        </w:rPr>
        <w:t xml:space="preserve"> du Kenya.</w:t>
      </w:r>
    </w:p>
    <w:p w14:paraId="5C352761" w14:textId="08ACE2E3" w:rsidR="00D9653F" w:rsidRPr="00487309"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487309">
        <w:rPr>
          <w:rFonts w:ascii="Arial" w:eastAsia="SimSun" w:hAnsi="Arial" w:cs="Arial"/>
          <w:bCs/>
          <w:sz w:val="22"/>
          <w:szCs w:val="22"/>
          <w:lang w:val="fr-FR" w:eastAsia="en-US"/>
        </w:rPr>
        <w:t xml:space="preserve">La </w:t>
      </w:r>
      <w:r w:rsidRPr="00487309">
        <w:rPr>
          <w:rFonts w:ascii="Arial" w:eastAsia="SimSun" w:hAnsi="Arial" w:cs="Arial"/>
          <w:b/>
          <w:sz w:val="22"/>
          <w:szCs w:val="22"/>
          <w:lang w:val="fr-FR" w:eastAsia="en-US"/>
        </w:rPr>
        <w:t>Présidente</w:t>
      </w:r>
      <w:r w:rsidRPr="00487309">
        <w:rPr>
          <w:rFonts w:ascii="Arial" w:eastAsia="SimSun" w:hAnsi="Arial" w:cs="Arial"/>
          <w:bCs/>
          <w:sz w:val="22"/>
          <w:szCs w:val="22"/>
          <w:lang w:val="fr-FR" w:eastAsia="en-US"/>
        </w:rPr>
        <w:t xml:space="preserve"> a pris note que l</w:t>
      </w:r>
      <w:r w:rsidR="008E532B">
        <w:rPr>
          <w:rFonts w:ascii="Arial" w:eastAsia="SimSun" w:hAnsi="Arial" w:cs="Arial"/>
          <w:bCs/>
          <w:sz w:val="22"/>
          <w:szCs w:val="22"/>
          <w:lang w:val="fr-FR" w:eastAsia="en-US"/>
        </w:rPr>
        <w:t>’</w:t>
      </w:r>
      <w:r w:rsidRPr="00487309">
        <w:rPr>
          <w:rFonts w:ascii="Arial" w:eastAsia="SimSun" w:hAnsi="Arial" w:cs="Arial"/>
          <w:bCs/>
          <w:sz w:val="22"/>
          <w:szCs w:val="22"/>
          <w:lang w:val="fr-FR" w:eastAsia="en-US"/>
        </w:rPr>
        <w:t>Assemblée a</w:t>
      </w:r>
      <w:r>
        <w:rPr>
          <w:rFonts w:ascii="Arial" w:eastAsia="SimSun" w:hAnsi="Arial" w:cs="Arial"/>
          <w:bCs/>
          <w:sz w:val="22"/>
          <w:szCs w:val="22"/>
          <w:lang w:val="fr-FR" w:eastAsia="en-US"/>
        </w:rPr>
        <w:t>vait</w:t>
      </w:r>
      <w:r w:rsidRPr="00487309">
        <w:rPr>
          <w:rFonts w:ascii="Arial" w:eastAsia="SimSun" w:hAnsi="Arial" w:cs="Arial"/>
          <w:bCs/>
          <w:sz w:val="22"/>
          <w:szCs w:val="22"/>
          <w:lang w:val="fr-FR" w:eastAsia="en-US"/>
        </w:rPr>
        <w:t xml:space="preserve"> confirmé la liste définitive des </w:t>
      </w:r>
      <w:r>
        <w:rPr>
          <w:rFonts w:ascii="Arial" w:eastAsia="SimSun" w:hAnsi="Arial" w:cs="Arial"/>
          <w:bCs/>
          <w:sz w:val="22"/>
          <w:szCs w:val="22"/>
          <w:lang w:val="fr-FR" w:eastAsia="en-US"/>
        </w:rPr>
        <w:t>É</w:t>
      </w:r>
      <w:r w:rsidRPr="00487309">
        <w:rPr>
          <w:rFonts w:ascii="Arial" w:eastAsia="SimSun" w:hAnsi="Arial" w:cs="Arial"/>
          <w:bCs/>
          <w:sz w:val="22"/>
          <w:szCs w:val="22"/>
          <w:lang w:val="fr-FR" w:eastAsia="en-US"/>
        </w:rPr>
        <w:t xml:space="preserve">tats candidats. Elle </w:t>
      </w:r>
      <w:r>
        <w:rPr>
          <w:rFonts w:ascii="Arial" w:eastAsia="SimSun" w:hAnsi="Arial" w:cs="Arial"/>
          <w:bCs/>
          <w:sz w:val="22"/>
          <w:szCs w:val="22"/>
          <w:lang w:val="fr-FR" w:eastAsia="en-US"/>
        </w:rPr>
        <w:t xml:space="preserve">a </w:t>
      </w:r>
      <w:r w:rsidRPr="00487309">
        <w:rPr>
          <w:rFonts w:ascii="Arial" w:eastAsia="SimSun" w:hAnsi="Arial" w:cs="Arial"/>
          <w:bCs/>
          <w:sz w:val="22"/>
          <w:szCs w:val="22"/>
          <w:lang w:val="fr-FR" w:eastAsia="en-US"/>
        </w:rPr>
        <w:t>demand</w:t>
      </w:r>
      <w:r>
        <w:rPr>
          <w:rFonts w:ascii="Arial" w:eastAsia="SimSun" w:hAnsi="Arial" w:cs="Arial"/>
          <w:bCs/>
          <w:sz w:val="22"/>
          <w:szCs w:val="22"/>
          <w:lang w:val="fr-FR" w:eastAsia="en-US"/>
        </w:rPr>
        <w:t xml:space="preserve">é </w:t>
      </w:r>
      <w:r w:rsidRPr="00487309">
        <w:rPr>
          <w:rFonts w:ascii="Arial" w:eastAsia="SimSun" w:hAnsi="Arial" w:cs="Arial"/>
          <w:bCs/>
          <w:sz w:val="22"/>
          <w:szCs w:val="22"/>
          <w:lang w:val="fr-FR" w:eastAsia="en-US"/>
        </w:rPr>
        <w:t xml:space="preserve">confirmation </w:t>
      </w:r>
      <w:r>
        <w:rPr>
          <w:rFonts w:ascii="Arial" w:eastAsia="SimSun" w:hAnsi="Arial" w:cs="Arial"/>
          <w:bCs/>
          <w:sz w:val="22"/>
          <w:szCs w:val="22"/>
          <w:lang w:val="fr-FR" w:eastAsia="en-US"/>
        </w:rPr>
        <w:t xml:space="preserve">quant à </w:t>
      </w:r>
      <w:r w:rsidRPr="00487309">
        <w:rPr>
          <w:rFonts w:ascii="Arial" w:eastAsia="SimSun" w:hAnsi="Arial" w:cs="Arial"/>
          <w:bCs/>
          <w:sz w:val="22"/>
          <w:szCs w:val="22"/>
          <w:lang w:val="fr-FR" w:eastAsia="en-US"/>
        </w:rPr>
        <w:t>la disponibilité des scrutateurs.</w:t>
      </w:r>
    </w:p>
    <w:p w14:paraId="7E34AD05" w14:textId="794FCEB7" w:rsidR="00D9653F" w:rsidRPr="00487309" w:rsidRDefault="008D65C3" w:rsidP="00D9653F">
      <w:pPr>
        <w:numPr>
          <w:ilvl w:val="0"/>
          <w:numId w:val="19"/>
        </w:numPr>
        <w:suppressAutoHyphens/>
        <w:autoSpaceDE w:val="0"/>
        <w:spacing w:before="120"/>
        <w:ind w:left="567" w:hanging="567"/>
        <w:jc w:val="both"/>
        <w:rPr>
          <w:rFonts w:ascii="Arial" w:eastAsia="SimSun" w:hAnsi="Arial" w:cs="Arial"/>
          <w:b/>
          <w:sz w:val="22"/>
          <w:szCs w:val="22"/>
          <w:lang w:val="fr-FR" w:eastAsia="en-US"/>
        </w:rPr>
      </w:pPr>
      <w:r>
        <w:rPr>
          <w:rFonts w:ascii="Arial" w:eastAsia="SimSun" w:hAnsi="Arial" w:cs="Arial"/>
          <w:b/>
          <w:sz w:val="22"/>
          <w:szCs w:val="22"/>
          <w:lang w:val="fr-FR" w:eastAsia="en-US"/>
        </w:rPr>
        <w:t>Mme</w:t>
      </w:r>
      <w:r w:rsidR="00D9653F">
        <w:rPr>
          <w:rFonts w:ascii="Arial" w:eastAsia="SimSun" w:hAnsi="Arial" w:cs="Arial"/>
          <w:b/>
          <w:sz w:val="22"/>
          <w:szCs w:val="22"/>
          <w:lang w:val="fr-FR" w:eastAsia="en-US"/>
        </w:rPr>
        <w:t> </w:t>
      </w:r>
      <w:r w:rsidR="00D9653F" w:rsidRPr="00F11497">
        <w:rPr>
          <w:rFonts w:ascii="Arial" w:eastAsia="SimSun" w:hAnsi="Arial" w:cs="Arial"/>
          <w:b/>
          <w:sz w:val="22"/>
          <w:szCs w:val="22"/>
          <w:lang w:val="fr-FR" w:eastAsia="en-US"/>
        </w:rPr>
        <w:t>Paola Gómez Barletta</w:t>
      </w:r>
      <w:r w:rsidR="00D9653F" w:rsidRPr="00F11497">
        <w:rPr>
          <w:rFonts w:ascii="Arial" w:eastAsia="SimSun" w:hAnsi="Arial" w:cs="Arial"/>
          <w:bCs/>
          <w:sz w:val="22"/>
          <w:szCs w:val="22"/>
          <w:lang w:val="fr-FR" w:eastAsia="en-US"/>
        </w:rPr>
        <w:t xml:space="preserve"> </w:t>
      </w:r>
      <w:r w:rsidR="00D9653F">
        <w:rPr>
          <w:rFonts w:ascii="Arial" w:eastAsia="SimSun" w:hAnsi="Arial" w:cs="Arial"/>
          <w:bCs/>
          <w:sz w:val="22"/>
          <w:szCs w:val="22"/>
          <w:lang w:val="fr-FR" w:eastAsia="en-US"/>
        </w:rPr>
        <w:t>a confirmé sa disponibilité pour accomplir sa fonction.</w:t>
      </w:r>
    </w:p>
    <w:p w14:paraId="45DE9187" w14:textId="77777777" w:rsidR="00D9653F" w:rsidRPr="00F11497" w:rsidRDefault="00D9653F" w:rsidP="00D9653F">
      <w:pPr>
        <w:numPr>
          <w:ilvl w:val="0"/>
          <w:numId w:val="19"/>
        </w:numPr>
        <w:suppressAutoHyphens/>
        <w:autoSpaceDE w:val="0"/>
        <w:spacing w:before="120"/>
        <w:ind w:left="567" w:hanging="567"/>
        <w:jc w:val="both"/>
        <w:rPr>
          <w:rFonts w:ascii="Arial" w:eastAsia="SimSun" w:hAnsi="Arial" w:cs="Arial"/>
          <w:b/>
          <w:sz w:val="22"/>
          <w:szCs w:val="22"/>
          <w:lang w:val="fr-FR" w:eastAsia="en-US"/>
        </w:rPr>
      </w:pPr>
      <w:r w:rsidRPr="00F11497">
        <w:rPr>
          <w:rFonts w:ascii="Arial" w:eastAsia="SimSun" w:hAnsi="Arial" w:cs="Arial"/>
          <w:b/>
          <w:sz w:val="22"/>
          <w:szCs w:val="22"/>
          <w:lang w:val="fr-FR" w:eastAsia="en-US"/>
        </w:rPr>
        <w:t>M</w:t>
      </w:r>
      <w:r>
        <w:rPr>
          <w:rFonts w:ascii="Arial" w:eastAsia="SimSun" w:hAnsi="Arial" w:cs="Arial"/>
          <w:b/>
          <w:sz w:val="22"/>
          <w:szCs w:val="22"/>
          <w:lang w:val="fr-FR" w:eastAsia="en-US"/>
        </w:rPr>
        <w:t>. </w:t>
      </w:r>
      <w:r w:rsidRPr="00F11497">
        <w:rPr>
          <w:rFonts w:ascii="Arial" w:eastAsia="SimSun" w:hAnsi="Arial" w:cs="Arial"/>
          <w:b/>
          <w:sz w:val="22"/>
          <w:szCs w:val="22"/>
          <w:lang w:val="fr-FR" w:eastAsia="en-US"/>
        </w:rPr>
        <w:t xml:space="preserve">Julius </w:t>
      </w:r>
      <w:proofErr w:type="spellStart"/>
      <w:r w:rsidRPr="00F11497">
        <w:rPr>
          <w:rFonts w:ascii="Arial" w:eastAsia="SimSun" w:hAnsi="Arial" w:cs="Arial"/>
          <w:b/>
          <w:sz w:val="22"/>
          <w:szCs w:val="22"/>
          <w:lang w:val="fr-FR" w:eastAsia="en-US"/>
        </w:rPr>
        <w:t>Shoboi</w:t>
      </w:r>
      <w:proofErr w:type="spellEnd"/>
      <w:r w:rsidRPr="00F11497">
        <w:rPr>
          <w:rFonts w:ascii="Arial" w:eastAsia="SimSun" w:hAnsi="Arial" w:cs="Arial"/>
          <w:b/>
          <w:sz w:val="22"/>
          <w:szCs w:val="22"/>
          <w:lang w:val="fr-FR" w:eastAsia="en-US"/>
        </w:rPr>
        <w:t xml:space="preserve"> </w:t>
      </w:r>
      <w:proofErr w:type="spellStart"/>
      <w:r w:rsidRPr="00F11497">
        <w:rPr>
          <w:rFonts w:ascii="Arial" w:eastAsia="SimSun" w:hAnsi="Arial" w:cs="Arial"/>
          <w:b/>
          <w:sz w:val="22"/>
          <w:szCs w:val="22"/>
          <w:lang w:val="fr-FR" w:eastAsia="en-US"/>
        </w:rPr>
        <w:t>Mwahunga</w:t>
      </w:r>
      <w:proofErr w:type="spellEnd"/>
      <w:r w:rsidRPr="00F11497">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a </w:t>
      </w:r>
      <w:r w:rsidRPr="00487309">
        <w:rPr>
          <w:rFonts w:ascii="Arial" w:eastAsia="SimSun" w:hAnsi="Arial" w:cs="Arial"/>
          <w:bCs/>
          <w:color w:val="000000" w:themeColor="text1"/>
          <w:sz w:val="22"/>
          <w:szCs w:val="22"/>
          <w:lang w:val="fr-FR" w:eastAsia="en-US"/>
        </w:rPr>
        <w:t>également</w:t>
      </w:r>
      <w:r>
        <w:rPr>
          <w:rFonts w:ascii="Arial" w:eastAsia="SimSun" w:hAnsi="Arial" w:cs="Arial"/>
          <w:bCs/>
          <w:color w:val="000000" w:themeColor="text1"/>
          <w:sz w:val="22"/>
          <w:szCs w:val="22"/>
          <w:lang w:val="fr-FR" w:eastAsia="en-US"/>
        </w:rPr>
        <w:t xml:space="preserve"> confirmé sa disponibilité. </w:t>
      </w:r>
    </w:p>
    <w:p w14:paraId="0681B380" w14:textId="77777777" w:rsidR="00D9653F" w:rsidRPr="00487309"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487309">
        <w:rPr>
          <w:rFonts w:ascii="Arial" w:eastAsia="SimSun" w:hAnsi="Arial" w:cs="Arial"/>
          <w:bCs/>
          <w:sz w:val="22"/>
          <w:szCs w:val="22"/>
          <w:lang w:val="fr-FR" w:eastAsia="en-US"/>
        </w:rPr>
        <w:t xml:space="preserve">La </w:t>
      </w:r>
      <w:r w:rsidRPr="00487309">
        <w:rPr>
          <w:rFonts w:ascii="Arial" w:eastAsia="SimSun" w:hAnsi="Arial" w:cs="Arial"/>
          <w:b/>
          <w:sz w:val="22"/>
          <w:szCs w:val="22"/>
          <w:lang w:val="fr-FR" w:eastAsia="en-US"/>
        </w:rPr>
        <w:t>Présidente</w:t>
      </w:r>
      <w:r w:rsidRPr="00487309">
        <w:rPr>
          <w:rFonts w:ascii="Arial" w:eastAsia="SimSun" w:hAnsi="Arial" w:cs="Arial"/>
          <w:bCs/>
          <w:sz w:val="22"/>
          <w:szCs w:val="22"/>
          <w:lang w:val="fr-FR" w:eastAsia="en-US"/>
        </w:rPr>
        <w:t xml:space="preserve"> a invité le Secréta</w:t>
      </w:r>
      <w:r>
        <w:rPr>
          <w:rFonts w:ascii="Arial" w:eastAsia="SimSun" w:hAnsi="Arial" w:cs="Arial"/>
          <w:bCs/>
          <w:sz w:val="22"/>
          <w:szCs w:val="22"/>
          <w:lang w:val="fr-FR" w:eastAsia="en-US"/>
        </w:rPr>
        <w:t>riat</w:t>
      </w:r>
      <w:r w:rsidRPr="00487309">
        <w:rPr>
          <w:rFonts w:ascii="Arial" w:eastAsia="SimSun" w:hAnsi="Arial" w:cs="Arial"/>
          <w:bCs/>
          <w:sz w:val="22"/>
          <w:szCs w:val="22"/>
          <w:lang w:val="fr-FR" w:eastAsia="en-US"/>
        </w:rPr>
        <w:t xml:space="preserve"> à expliquer la procédure de vote.</w:t>
      </w:r>
    </w:p>
    <w:p w14:paraId="38CFE59B" w14:textId="76DE3B8A" w:rsidR="00D9653F" w:rsidRPr="00487309" w:rsidRDefault="008D65C3"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Pr>
          <w:rFonts w:ascii="Arial" w:eastAsia="SimSun" w:hAnsi="Arial" w:cs="Arial"/>
          <w:b/>
          <w:sz w:val="22"/>
          <w:szCs w:val="22"/>
          <w:lang w:val="fr-FR" w:eastAsia="en-US"/>
        </w:rPr>
        <w:t>Mme</w:t>
      </w:r>
      <w:r w:rsidR="00D9653F">
        <w:rPr>
          <w:rFonts w:ascii="Arial" w:eastAsia="SimSun" w:hAnsi="Arial" w:cs="Arial"/>
          <w:b/>
          <w:sz w:val="22"/>
          <w:szCs w:val="22"/>
          <w:lang w:val="fr-FR" w:eastAsia="en-US"/>
        </w:rPr>
        <w:t> </w:t>
      </w:r>
      <w:r w:rsidR="00D9653F" w:rsidRPr="00487309">
        <w:rPr>
          <w:rFonts w:ascii="Arial" w:eastAsia="SimSun" w:hAnsi="Arial" w:cs="Arial"/>
          <w:b/>
          <w:sz w:val="22"/>
          <w:szCs w:val="22"/>
          <w:lang w:val="fr-FR" w:eastAsia="en-US"/>
        </w:rPr>
        <w:t>Fumiko Ohinata</w:t>
      </w:r>
      <w:r w:rsidR="00D9653F" w:rsidRPr="00487309">
        <w:rPr>
          <w:rFonts w:ascii="Arial" w:eastAsia="SimSun" w:hAnsi="Arial" w:cs="Arial"/>
          <w:bCs/>
          <w:sz w:val="22"/>
          <w:szCs w:val="22"/>
          <w:lang w:val="fr-FR" w:eastAsia="en-US"/>
        </w:rPr>
        <w:t xml:space="preserve"> </w:t>
      </w:r>
      <w:r w:rsidR="00D9653F">
        <w:rPr>
          <w:rFonts w:ascii="Arial" w:eastAsia="SimSun" w:hAnsi="Arial" w:cs="Arial"/>
          <w:bCs/>
          <w:sz w:val="22"/>
          <w:szCs w:val="22"/>
          <w:lang w:val="fr-FR" w:eastAsia="en-US"/>
        </w:rPr>
        <w:t xml:space="preserve">a </w:t>
      </w:r>
      <w:r w:rsidR="00D9653F" w:rsidRPr="00487309">
        <w:rPr>
          <w:rFonts w:ascii="Arial" w:eastAsia="SimSun" w:hAnsi="Arial" w:cs="Arial"/>
          <w:bCs/>
          <w:sz w:val="22"/>
          <w:szCs w:val="22"/>
          <w:lang w:val="fr-FR" w:eastAsia="en-US"/>
        </w:rPr>
        <w:t>expliqu</w:t>
      </w:r>
      <w:r w:rsidR="00D9653F">
        <w:rPr>
          <w:rFonts w:ascii="Arial" w:eastAsia="SimSun" w:hAnsi="Arial" w:cs="Arial"/>
          <w:bCs/>
          <w:sz w:val="22"/>
          <w:szCs w:val="22"/>
          <w:lang w:val="fr-FR" w:eastAsia="en-US"/>
        </w:rPr>
        <w:t>é</w:t>
      </w:r>
      <w:r w:rsidR="00D9653F" w:rsidRPr="00487309">
        <w:rPr>
          <w:rFonts w:ascii="Arial" w:eastAsia="SimSun" w:hAnsi="Arial" w:cs="Arial"/>
          <w:bCs/>
          <w:sz w:val="22"/>
          <w:szCs w:val="22"/>
          <w:lang w:val="fr-FR" w:eastAsia="en-US"/>
        </w:rPr>
        <w:t xml:space="preserve"> que le Secrétariat a</w:t>
      </w:r>
      <w:r w:rsidR="00D9653F">
        <w:rPr>
          <w:rFonts w:ascii="Arial" w:eastAsia="SimSun" w:hAnsi="Arial" w:cs="Arial"/>
          <w:bCs/>
          <w:sz w:val="22"/>
          <w:szCs w:val="22"/>
          <w:lang w:val="fr-FR" w:eastAsia="en-US"/>
        </w:rPr>
        <w:t>vait</w:t>
      </w:r>
      <w:r w:rsidR="00D9653F" w:rsidRPr="00487309">
        <w:rPr>
          <w:rFonts w:ascii="Arial" w:eastAsia="SimSun" w:hAnsi="Arial" w:cs="Arial"/>
          <w:bCs/>
          <w:sz w:val="22"/>
          <w:szCs w:val="22"/>
          <w:lang w:val="fr-FR" w:eastAsia="en-US"/>
        </w:rPr>
        <w:t xml:space="preserve"> envoyé une circulaire à tous les États parties le 23 juin </w:t>
      </w:r>
      <w:r w:rsidR="00D9653F">
        <w:rPr>
          <w:rFonts w:ascii="Arial" w:eastAsia="SimSun" w:hAnsi="Arial" w:cs="Arial"/>
          <w:bCs/>
          <w:sz w:val="22"/>
          <w:szCs w:val="22"/>
          <w:lang w:val="fr-FR" w:eastAsia="en-US"/>
        </w:rPr>
        <w:t xml:space="preserve">présentant </w:t>
      </w:r>
      <w:r w:rsidR="00D9653F" w:rsidRPr="00487309">
        <w:rPr>
          <w:rFonts w:ascii="Arial" w:eastAsia="SimSun" w:hAnsi="Arial" w:cs="Arial"/>
          <w:bCs/>
          <w:sz w:val="22"/>
          <w:szCs w:val="22"/>
          <w:lang w:val="fr-FR" w:eastAsia="en-US"/>
        </w:rPr>
        <w:t>des informations sur la procédure d</w:t>
      </w:r>
      <w:r w:rsidR="008E532B">
        <w:rPr>
          <w:rFonts w:ascii="Arial" w:eastAsia="SimSun" w:hAnsi="Arial" w:cs="Arial"/>
          <w:bCs/>
          <w:sz w:val="22"/>
          <w:szCs w:val="22"/>
          <w:lang w:val="fr-FR" w:eastAsia="en-US"/>
        </w:rPr>
        <w:t>’</w:t>
      </w:r>
      <w:r w:rsidR="00D9653F" w:rsidRPr="00487309">
        <w:rPr>
          <w:rFonts w:ascii="Arial" w:eastAsia="SimSun" w:hAnsi="Arial" w:cs="Arial"/>
          <w:bCs/>
          <w:sz w:val="22"/>
          <w:szCs w:val="22"/>
          <w:lang w:val="fr-FR" w:eastAsia="en-US"/>
        </w:rPr>
        <w:t xml:space="preserve">élection des membres du Comité. Comme indiqué précédemment, le vote </w:t>
      </w:r>
      <w:r w:rsidR="00D9653F">
        <w:rPr>
          <w:rFonts w:ascii="Arial" w:eastAsia="SimSun" w:hAnsi="Arial" w:cs="Arial"/>
          <w:bCs/>
          <w:sz w:val="22"/>
          <w:szCs w:val="22"/>
          <w:lang w:val="fr-FR" w:eastAsia="en-US"/>
        </w:rPr>
        <w:t>se déroulerait</w:t>
      </w:r>
      <w:r w:rsidR="00D9653F" w:rsidRPr="00487309">
        <w:rPr>
          <w:rFonts w:ascii="Arial" w:eastAsia="SimSun" w:hAnsi="Arial" w:cs="Arial"/>
          <w:bCs/>
          <w:sz w:val="22"/>
          <w:szCs w:val="22"/>
          <w:lang w:val="fr-FR" w:eastAsia="en-US"/>
        </w:rPr>
        <w:t xml:space="preserve"> pendant la pause déjeuner du lendemain. Deux isoloirs </w:t>
      </w:r>
      <w:r w:rsidR="00D9653F">
        <w:rPr>
          <w:rFonts w:ascii="Arial" w:eastAsia="SimSun" w:hAnsi="Arial" w:cs="Arial"/>
          <w:bCs/>
          <w:sz w:val="22"/>
          <w:szCs w:val="22"/>
          <w:lang w:val="fr-FR" w:eastAsia="en-US"/>
        </w:rPr>
        <w:t xml:space="preserve">seraient </w:t>
      </w:r>
      <w:r w:rsidR="00D9653F" w:rsidRPr="00487309">
        <w:rPr>
          <w:rFonts w:ascii="Arial" w:eastAsia="SimSun" w:hAnsi="Arial" w:cs="Arial"/>
          <w:bCs/>
          <w:sz w:val="22"/>
          <w:szCs w:val="22"/>
          <w:lang w:val="fr-FR" w:eastAsia="en-US"/>
        </w:rPr>
        <w:t xml:space="preserve">disponibles dans chaque salle, </w:t>
      </w:r>
      <w:r w:rsidR="00D9653F">
        <w:rPr>
          <w:rFonts w:ascii="Arial" w:eastAsia="SimSun" w:hAnsi="Arial" w:cs="Arial"/>
          <w:bCs/>
          <w:sz w:val="22"/>
          <w:szCs w:val="22"/>
          <w:lang w:val="fr-FR" w:eastAsia="en-US"/>
        </w:rPr>
        <w:t>c.-à-d.</w:t>
      </w:r>
      <w:r w:rsidR="00D9653F" w:rsidRPr="00487309">
        <w:rPr>
          <w:rFonts w:ascii="Arial" w:eastAsia="SimSun" w:hAnsi="Arial" w:cs="Arial"/>
          <w:bCs/>
          <w:sz w:val="22"/>
          <w:szCs w:val="22"/>
          <w:lang w:val="fr-FR" w:eastAsia="en-US"/>
        </w:rPr>
        <w:t xml:space="preserve"> quatre isoloirs au total. Il n</w:t>
      </w:r>
      <w:r w:rsidR="008E532B">
        <w:rPr>
          <w:rFonts w:ascii="Arial" w:eastAsia="SimSun" w:hAnsi="Arial" w:cs="Arial"/>
          <w:bCs/>
          <w:sz w:val="22"/>
          <w:szCs w:val="22"/>
          <w:lang w:val="fr-FR" w:eastAsia="en-US"/>
        </w:rPr>
        <w:t>’</w:t>
      </w:r>
      <w:r w:rsidR="00D9653F" w:rsidRPr="00487309">
        <w:rPr>
          <w:rFonts w:ascii="Arial" w:eastAsia="SimSun" w:hAnsi="Arial" w:cs="Arial"/>
          <w:bCs/>
          <w:sz w:val="22"/>
          <w:szCs w:val="22"/>
          <w:lang w:val="fr-FR" w:eastAsia="en-US"/>
        </w:rPr>
        <w:t>y avait pas de créneaux de vote assignés et les États parties pou</w:t>
      </w:r>
      <w:r w:rsidR="00D9653F">
        <w:rPr>
          <w:rFonts w:ascii="Arial" w:eastAsia="SimSun" w:hAnsi="Arial" w:cs="Arial"/>
          <w:bCs/>
          <w:sz w:val="22"/>
          <w:szCs w:val="22"/>
          <w:lang w:val="fr-FR" w:eastAsia="en-US"/>
        </w:rPr>
        <w:t>rr</w:t>
      </w:r>
      <w:r w:rsidR="00D9653F" w:rsidRPr="00487309">
        <w:rPr>
          <w:rFonts w:ascii="Arial" w:eastAsia="SimSun" w:hAnsi="Arial" w:cs="Arial"/>
          <w:bCs/>
          <w:sz w:val="22"/>
          <w:szCs w:val="22"/>
          <w:lang w:val="fr-FR" w:eastAsia="en-US"/>
        </w:rPr>
        <w:t>aient voter à tout moment de la journée et aux heures proposées. Le Secrétariat distribu</w:t>
      </w:r>
      <w:r w:rsidR="00D9653F">
        <w:rPr>
          <w:rFonts w:ascii="Arial" w:eastAsia="SimSun" w:hAnsi="Arial" w:cs="Arial"/>
          <w:bCs/>
          <w:sz w:val="22"/>
          <w:szCs w:val="22"/>
          <w:lang w:val="fr-FR" w:eastAsia="en-US"/>
        </w:rPr>
        <w:t>er</w:t>
      </w:r>
      <w:r w:rsidR="00D9653F" w:rsidRPr="00487309">
        <w:rPr>
          <w:rFonts w:ascii="Arial" w:eastAsia="SimSun" w:hAnsi="Arial" w:cs="Arial"/>
          <w:bCs/>
          <w:sz w:val="22"/>
          <w:szCs w:val="22"/>
          <w:lang w:val="fr-FR" w:eastAsia="en-US"/>
        </w:rPr>
        <w:t xml:space="preserve">ait trois bulletins pour les </w:t>
      </w:r>
      <w:r w:rsidR="00D9653F">
        <w:rPr>
          <w:rFonts w:ascii="Arial" w:eastAsia="SimSun" w:hAnsi="Arial" w:cs="Arial"/>
          <w:bCs/>
          <w:sz w:val="22"/>
          <w:szCs w:val="22"/>
          <w:lang w:val="fr-FR" w:eastAsia="en-US"/>
        </w:rPr>
        <w:t>G</w:t>
      </w:r>
      <w:r w:rsidR="00D9653F" w:rsidRPr="00487309">
        <w:rPr>
          <w:rFonts w:ascii="Arial" w:eastAsia="SimSun" w:hAnsi="Arial" w:cs="Arial"/>
          <w:bCs/>
          <w:sz w:val="22"/>
          <w:szCs w:val="22"/>
          <w:lang w:val="fr-FR" w:eastAsia="en-US"/>
        </w:rPr>
        <w:t>roupes</w:t>
      </w:r>
      <w:r w:rsidR="00D9653F">
        <w:rPr>
          <w:rFonts w:ascii="Arial" w:eastAsia="SimSun" w:hAnsi="Arial" w:cs="Arial"/>
          <w:bCs/>
          <w:sz w:val="22"/>
          <w:szCs w:val="22"/>
          <w:lang w:val="fr-FR" w:eastAsia="en-US"/>
        </w:rPr>
        <w:t> </w:t>
      </w:r>
      <w:r w:rsidR="00D9653F" w:rsidRPr="00487309">
        <w:rPr>
          <w:rFonts w:ascii="Arial" w:eastAsia="SimSun" w:hAnsi="Arial" w:cs="Arial"/>
          <w:bCs/>
          <w:sz w:val="22"/>
          <w:szCs w:val="22"/>
          <w:lang w:val="fr-FR" w:eastAsia="en-US"/>
        </w:rPr>
        <w:t xml:space="preserve">II, IV et V(b). Chaque État partie était appelé à voter pour ces trois groupes électoraux et pas seulement pour le groupe dont il est membre. Les candidats ayant obtenu le plus grand nombre de voix seraient déclarés élus, à concurrence du nombre de sièges à pourvoir dans chaque </w:t>
      </w:r>
      <w:r w:rsidR="00D9653F">
        <w:rPr>
          <w:rFonts w:ascii="Arial" w:eastAsia="SimSun" w:hAnsi="Arial" w:cs="Arial"/>
          <w:bCs/>
          <w:sz w:val="22"/>
          <w:szCs w:val="22"/>
          <w:lang w:val="fr-FR" w:eastAsia="en-US"/>
        </w:rPr>
        <w:t>g</w:t>
      </w:r>
      <w:r w:rsidR="00D9653F" w:rsidRPr="00487309">
        <w:rPr>
          <w:rFonts w:ascii="Arial" w:eastAsia="SimSun" w:hAnsi="Arial" w:cs="Arial"/>
          <w:bCs/>
          <w:sz w:val="22"/>
          <w:szCs w:val="22"/>
          <w:lang w:val="fr-FR" w:eastAsia="en-US"/>
        </w:rPr>
        <w:t>roupe électoral. Chaque bulletin de vote portait le nom des États parties candidats à l</w:t>
      </w:r>
      <w:r w:rsidR="008E532B">
        <w:rPr>
          <w:rFonts w:ascii="Arial" w:eastAsia="SimSun" w:hAnsi="Arial" w:cs="Arial"/>
          <w:bCs/>
          <w:sz w:val="22"/>
          <w:szCs w:val="22"/>
          <w:lang w:val="fr-FR" w:eastAsia="en-US"/>
        </w:rPr>
        <w:t>’</w:t>
      </w:r>
      <w:r w:rsidR="00D9653F" w:rsidRPr="00487309">
        <w:rPr>
          <w:rFonts w:ascii="Arial" w:eastAsia="SimSun" w:hAnsi="Arial" w:cs="Arial"/>
          <w:bCs/>
          <w:sz w:val="22"/>
          <w:szCs w:val="22"/>
          <w:lang w:val="fr-FR" w:eastAsia="en-US"/>
        </w:rPr>
        <w:t>élection pour le groupe en question, avec l</w:t>
      </w:r>
      <w:r w:rsidR="008E532B">
        <w:rPr>
          <w:rFonts w:ascii="Arial" w:eastAsia="SimSun" w:hAnsi="Arial" w:cs="Arial"/>
          <w:bCs/>
          <w:sz w:val="22"/>
          <w:szCs w:val="22"/>
          <w:lang w:val="fr-FR" w:eastAsia="en-US"/>
        </w:rPr>
        <w:t>’</w:t>
      </w:r>
      <w:r w:rsidR="00D9653F" w:rsidRPr="00487309">
        <w:rPr>
          <w:rFonts w:ascii="Arial" w:eastAsia="SimSun" w:hAnsi="Arial" w:cs="Arial"/>
          <w:bCs/>
          <w:sz w:val="22"/>
          <w:szCs w:val="22"/>
          <w:lang w:val="fr-FR" w:eastAsia="en-US"/>
        </w:rPr>
        <w:t xml:space="preserve">indication du nombre de sièges à pourvoir. </w:t>
      </w:r>
      <w:r w:rsidR="00D9653F">
        <w:rPr>
          <w:rFonts w:ascii="Arial" w:eastAsia="SimSun" w:hAnsi="Arial" w:cs="Arial"/>
          <w:bCs/>
          <w:sz w:val="22"/>
          <w:szCs w:val="22"/>
          <w:lang w:val="fr-FR" w:eastAsia="en-US"/>
        </w:rPr>
        <w:t>C</w:t>
      </w:r>
      <w:r w:rsidR="00D9653F" w:rsidRPr="00487309">
        <w:rPr>
          <w:rFonts w:ascii="Arial" w:eastAsia="SimSun" w:hAnsi="Arial" w:cs="Arial"/>
          <w:bCs/>
          <w:sz w:val="22"/>
          <w:szCs w:val="22"/>
          <w:lang w:val="fr-FR" w:eastAsia="en-US"/>
        </w:rPr>
        <w:t xml:space="preserve">omme </w:t>
      </w:r>
      <w:r w:rsidR="00D9653F">
        <w:rPr>
          <w:rFonts w:ascii="Arial" w:eastAsia="SimSun" w:hAnsi="Arial" w:cs="Arial"/>
          <w:bCs/>
          <w:sz w:val="22"/>
          <w:szCs w:val="22"/>
          <w:lang w:val="fr-FR" w:eastAsia="en-US"/>
        </w:rPr>
        <w:t>stipulé par</w:t>
      </w:r>
      <w:r w:rsidR="00D9653F" w:rsidRPr="00487309">
        <w:rPr>
          <w:rFonts w:ascii="Arial" w:eastAsia="SimSun" w:hAnsi="Arial" w:cs="Arial"/>
          <w:bCs/>
          <w:sz w:val="22"/>
          <w:szCs w:val="22"/>
          <w:lang w:val="fr-FR" w:eastAsia="en-US"/>
        </w:rPr>
        <w:t xml:space="preserve"> </w:t>
      </w:r>
      <w:r w:rsidR="00D9653F">
        <w:rPr>
          <w:rFonts w:ascii="Arial" w:eastAsia="SimSun" w:hAnsi="Arial" w:cs="Arial"/>
          <w:bCs/>
          <w:sz w:val="22"/>
          <w:szCs w:val="22"/>
          <w:lang w:val="fr-FR" w:eastAsia="en-US"/>
        </w:rPr>
        <w:t>le R</w:t>
      </w:r>
      <w:r w:rsidR="00D9653F" w:rsidRPr="00487309">
        <w:rPr>
          <w:rFonts w:ascii="Arial" w:eastAsia="SimSun" w:hAnsi="Arial" w:cs="Arial"/>
          <w:bCs/>
          <w:sz w:val="22"/>
          <w:szCs w:val="22"/>
          <w:lang w:val="fr-FR" w:eastAsia="en-US"/>
        </w:rPr>
        <w:t>èglement intérieur</w:t>
      </w:r>
      <w:r w:rsidR="00D9653F">
        <w:rPr>
          <w:rFonts w:ascii="Arial" w:eastAsia="SimSun" w:hAnsi="Arial" w:cs="Arial"/>
          <w:bCs/>
          <w:sz w:val="22"/>
          <w:szCs w:val="22"/>
          <w:lang w:val="fr-FR" w:eastAsia="en-US"/>
        </w:rPr>
        <w:t>, i</w:t>
      </w:r>
      <w:r w:rsidR="00D9653F" w:rsidRPr="00487309">
        <w:rPr>
          <w:rFonts w:ascii="Arial" w:eastAsia="SimSun" w:hAnsi="Arial" w:cs="Arial"/>
          <w:bCs/>
          <w:sz w:val="22"/>
          <w:szCs w:val="22"/>
          <w:lang w:val="fr-FR" w:eastAsia="en-US"/>
        </w:rPr>
        <w:t xml:space="preserve">l </w:t>
      </w:r>
      <w:r w:rsidR="00D9653F">
        <w:rPr>
          <w:rFonts w:ascii="Arial" w:eastAsia="SimSun" w:hAnsi="Arial" w:cs="Arial"/>
          <w:bCs/>
          <w:sz w:val="22"/>
          <w:szCs w:val="22"/>
          <w:lang w:val="fr-FR" w:eastAsia="en-US"/>
        </w:rPr>
        <w:t>était</w:t>
      </w:r>
      <w:r w:rsidR="00D9653F" w:rsidRPr="00487309">
        <w:rPr>
          <w:rFonts w:ascii="Arial" w:eastAsia="SimSun" w:hAnsi="Arial" w:cs="Arial"/>
          <w:bCs/>
          <w:sz w:val="22"/>
          <w:szCs w:val="22"/>
          <w:lang w:val="fr-FR" w:eastAsia="en-US"/>
        </w:rPr>
        <w:t xml:space="preserve"> demandé aux États parties d</w:t>
      </w:r>
      <w:r w:rsidR="008E532B">
        <w:rPr>
          <w:rFonts w:ascii="Arial" w:eastAsia="SimSun" w:hAnsi="Arial" w:cs="Arial"/>
          <w:bCs/>
          <w:sz w:val="22"/>
          <w:szCs w:val="22"/>
          <w:lang w:val="fr-FR" w:eastAsia="en-US"/>
        </w:rPr>
        <w:t>’</w:t>
      </w:r>
      <w:r w:rsidR="00D9653F" w:rsidRPr="00487309">
        <w:rPr>
          <w:rFonts w:ascii="Arial" w:eastAsia="SimSun" w:hAnsi="Arial" w:cs="Arial"/>
          <w:bCs/>
          <w:sz w:val="22"/>
          <w:szCs w:val="22"/>
          <w:lang w:val="fr-FR" w:eastAsia="en-US"/>
        </w:rPr>
        <w:t xml:space="preserve">encercler le nom des États parties pour lesquels ils souhaitaient voter, et non de faire un X ou de </w:t>
      </w:r>
      <w:r w:rsidR="00D9653F">
        <w:rPr>
          <w:rFonts w:ascii="Arial" w:eastAsia="SimSun" w:hAnsi="Arial" w:cs="Arial"/>
          <w:bCs/>
          <w:sz w:val="22"/>
          <w:szCs w:val="22"/>
          <w:lang w:val="fr-FR" w:eastAsia="en-US"/>
        </w:rPr>
        <w:t xml:space="preserve">les </w:t>
      </w:r>
      <w:r w:rsidR="00D9653F" w:rsidRPr="00487309">
        <w:rPr>
          <w:rFonts w:ascii="Arial" w:eastAsia="SimSun" w:hAnsi="Arial" w:cs="Arial"/>
          <w:bCs/>
          <w:sz w:val="22"/>
          <w:szCs w:val="22"/>
          <w:lang w:val="fr-FR" w:eastAsia="en-US"/>
        </w:rPr>
        <w:t>souligner</w:t>
      </w:r>
      <w:r w:rsidR="00D9653F">
        <w:rPr>
          <w:rFonts w:ascii="Arial" w:eastAsia="SimSun" w:hAnsi="Arial" w:cs="Arial"/>
          <w:bCs/>
          <w:sz w:val="22"/>
          <w:szCs w:val="22"/>
          <w:lang w:val="fr-FR" w:eastAsia="en-US"/>
        </w:rPr>
        <w:t>.</w:t>
      </w:r>
      <w:r w:rsidR="00D9653F" w:rsidRPr="00487309">
        <w:rPr>
          <w:rFonts w:ascii="Arial" w:eastAsia="SimSun" w:hAnsi="Arial" w:cs="Arial"/>
          <w:bCs/>
          <w:sz w:val="22"/>
          <w:szCs w:val="22"/>
          <w:lang w:val="fr-FR" w:eastAsia="en-US"/>
        </w:rPr>
        <w:t xml:space="preserve"> Les scrutateurs invalideraient tout bulletin non conforme. Le bulletin serait également considéré comme invalide si le nombre de noms encerclés </w:t>
      </w:r>
      <w:r w:rsidR="00D9653F">
        <w:rPr>
          <w:rFonts w:ascii="Arial" w:eastAsia="SimSun" w:hAnsi="Arial" w:cs="Arial"/>
          <w:bCs/>
          <w:sz w:val="22"/>
          <w:szCs w:val="22"/>
          <w:lang w:val="fr-FR" w:eastAsia="en-US"/>
        </w:rPr>
        <w:t>était</w:t>
      </w:r>
      <w:r w:rsidR="00D9653F" w:rsidRPr="00487309">
        <w:rPr>
          <w:rFonts w:ascii="Arial" w:eastAsia="SimSun" w:hAnsi="Arial" w:cs="Arial"/>
          <w:bCs/>
          <w:sz w:val="22"/>
          <w:szCs w:val="22"/>
          <w:lang w:val="fr-FR" w:eastAsia="en-US"/>
        </w:rPr>
        <w:t xml:space="preserve"> supérieur au nombre de sièges à pourvoir par groupe électoral. Les bulletins de vote </w:t>
      </w:r>
      <w:r w:rsidR="00D9653F">
        <w:rPr>
          <w:rFonts w:ascii="Arial" w:eastAsia="SimSun" w:hAnsi="Arial" w:cs="Arial"/>
          <w:bCs/>
          <w:sz w:val="22"/>
          <w:szCs w:val="22"/>
          <w:lang w:val="fr-FR" w:eastAsia="en-US"/>
        </w:rPr>
        <w:t xml:space="preserve">devaient </w:t>
      </w:r>
      <w:r w:rsidR="00D9653F" w:rsidRPr="00487309">
        <w:rPr>
          <w:rFonts w:ascii="Arial" w:eastAsia="SimSun" w:hAnsi="Arial" w:cs="Arial"/>
          <w:bCs/>
          <w:sz w:val="22"/>
          <w:szCs w:val="22"/>
          <w:lang w:val="fr-FR" w:eastAsia="en-US"/>
        </w:rPr>
        <w:t>être pliés et placés dans l</w:t>
      </w:r>
      <w:r w:rsidR="008E532B">
        <w:rPr>
          <w:rFonts w:ascii="Arial" w:eastAsia="SimSun" w:hAnsi="Arial" w:cs="Arial"/>
          <w:bCs/>
          <w:sz w:val="22"/>
          <w:szCs w:val="22"/>
          <w:lang w:val="fr-FR" w:eastAsia="en-US"/>
        </w:rPr>
        <w:t>’</w:t>
      </w:r>
      <w:r w:rsidR="00D9653F" w:rsidRPr="00487309">
        <w:rPr>
          <w:rFonts w:ascii="Arial" w:eastAsia="SimSun" w:hAnsi="Arial" w:cs="Arial"/>
          <w:bCs/>
          <w:sz w:val="22"/>
          <w:szCs w:val="22"/>
          <w:lang w:val="fr-FR" w:eastAsia="en-US"/>
        </w:rPr>
        <w:t>enveloppe. L</w:t>
      </w:r>
      <w:r w:rsidR="008E532B">
        <w:rPr>
          <w:rFonts w:ascii="Arial" w:eastAsia="SimSun" w:hAnsi="Arial" w:cs="Arial"/>
          <w:bCs/>
          <w:sz w:val="22"/>
          <w:szCs w:val="22"/>
          <w:lang w:val="fr-FR" w:eastAsia="en-US"/>
        </w:rPr>
        <w:t>’</w:t>
      </w:r>
      <w:r w:rsidR="00D9653F" w:rsidRPr="00487309">
        <w:rPr>
          <w:rFonts w:ascii="Arial" w:eastAsia="SimSun" w:hAnsi="Arial" w:cs="Arial"/>
          <w:bCs/>
          <w:sz w:val="22"/>
          <w:szCs w:val="22"/>
          <w:lang w:val="fr-FR" w:eastAsia="en-US"/>
        </w:rPr>
        <w:t>absence de bulletin dans l</w:t>
      </w:r>
      <w:r w:rsidR="008E532B">
        <w:rPr>
          <w:rFonts w:ascii="Arial" w:eastAsia="SimSun" w:hAnsi="Arial" w:cs="Arial"/>
          <w:bCs/>
          <w:sz w:val="22"/>
          <w:szCs w:val="22"/>
          <w:lang w:val="fr-FR" w:eastAsia="en-US"/>
        </w:rPr>
        <w:t>’</w:t>
      </w:r>
      <w:r w:rsidR="00D9653F" w:rsidRPr="00487309">
        <w:rPr>
          <w:rFonts w:ascii="Arial" w:eastAsia="SimSun" w:hAnsi="Arial" w:cs="Arial"/>
          <w:bCs/>
          <w:sz w:val="22"/>
          <w:szCs w:val="22"/>
          <w:lang w:val="fr-FR" w:eastAsia="en-US"/>
        </w:rPr>
        <w:t>enveloppe serait considérée comme une abstention.</w:t>
      </w:r>
    </w:p>
    <w:p w14:paraId="1AA83650" w14:textId="0FF9E68D" w:rsidR="00D9653F" w:rsidRPr="00184C41"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184C41">
        <w:rPr>
          <w:rFonts w:ascii="Arial" w:eastAsia="SimSun" w:hAnsi="Arial" w:cs="Arial"/>
          <w:bCs/>
          <w:sz w:val="22"/>
          <w:szCs w:val="22"/>
          <w:lang w:val="fr-FR" w:eastAsia="en-US"/>
        </w:rPr>
        <w:t xml:space="preserve">La </w:t>
      </w:r>
      <w:r w:rsidRPr="00184C41">
        <w:rPr>
          <w:rFonts w:ascii="Arial" w:eastAsia="SimSun" w:hAnsi="Arial" w:cs="Arial"/>
          <w:b/>
          <w:sz w:val="22"/>
          <w:szCs w:val="22"/>
          <w:lang w:val="fr-FR" w:eastAsia="en-US"/>
        </w:rPr>
        <w:t>Présidente</w:t>
      </w:r>
      <w:r w:rsidRPr="00184C41">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a noté</w:t>
      </w:r>
      <w:r w:rsidRPr="00184C41">
        <w:rPr>
          <w:rFonts w:ascii="Arial" w:eastAsia="SimSun" w:hAnsi="Arial" w:cs="Arial"/>
          <w:bCs/>
          <w:sz w:val="22"/>
          <w:szCs w:val="22"/>
          <w:lang w:val="fr-FR" w:eastAsia="en-US"/>
        </w:rPr>
        <w:t xml:space="preserve"> qu</w:t>
      </w:r>
      <w:r w:rsidR="008E532B">
        <w:rPr>
          <w:rFonts w:ascii="Arial" w:eastAsia="SimSun" w:hAnsi="Arial" w:cs="Arial"/>
          <w:bCs/>
          <w:sz w:val="22"/>
          <w:szCs w:val="22"/>
          <w:lang w:val="fr-FR" w:eastAsia="en-US"/>
        </w:rPr>
        <w:t>’</w:t>
      </w:r>
      <w:r w:rsidRPr="00184C41">
        <w:rPr>
          <w:rFonts w:ascii="Arial" w:eastAsia="SimSun" w:hAnsi="Arial" w:cs="Arial"/>
          <w:bCs/>
          <w:sz w:val="22"/>
          <w:szCs w:val="22"/>
          <w:lang w:val="fr-FR" w:eastAsia="en-US"/>
        </w:rPr>
        <w:t>il n</w:t>
      </w:r>
      <w:r w:rsidR="008E532B">
        <w:rPr>
          <w:rFonts w:ascii="Arial" w:eastAsia="SimSun" w:hAnsi="Arial" w:cs="Arial"/>
          <w:bCs/>
          <w:sz w:val="22"/>
          <w:szCs w:val="22"/>
          <w:lang w:val="fr-FR" w:eastAsia="en-US"/>
        </w:rPr>
        <w:t>’</w:t>
      </w:r>
      <w:r w:rsidRPr="00184C41">
        <w:rPr>
          <w:rFonts w:ascii="Arial" w:eastAsia="SimSun" w:hAnsi="Arial" w:cs="Arial"/>
          <w:bCs/>
          <w:sz w:val="22"/>
          <w:szCs w:val="22"/>
          <w:lang w:val="fr-FR" w:eastAsia="en-US"/>
        </w:rPr>
        <w:t>y a</w:t>
      </w:r>
      <w:r>
        <w:rPr>
          <w:rFonts w:ascii="Arial" w:eastAsia="SimSun" w:hAnsi="Arial" w:cs="Arial"/>
          <w:bCs/>
          <w:sz w:val="22"/>
          <w:szCs w:val="22"/>
          <w:lang w:val="fr-FR" w:eastAsia="en-US"/>
        </w:rPr>
        <w:t>vait</w:t>
      </w:r>
      <w:r w:rsidRPr="00184C41">
        <w:rPr>
          <w:rFonts w:ascii="Arial" w:eastAsia="SimSun" w:hAnsi="Arial" w:cs="Arial"/>
          <w:bCs/>
          <w:sz w:val="22"/>
          <w:szCs w:val="22"/>
          <w:lang w:val="fr-FR" w:eastAsia="en-US"/>
        </w:rPr>
        <w:t xml:space="preserve"> pas de questions et </w:t>
      </w:r>
      <w:r>
        <w:rPr>
          <w:rFonts w:ascii="Arial" w:eastAsia="SimSun" w:hAnsi="Arial" w:cs="Arial"/>
          <w:bCs/>
          <w:sz w:val="22"/>
          <w:szCs w:val="22"/>
          <w:lang w:val="fr-FR" w:eastAsia="en-US"/>
        </w:rPr>
        <w:t xml:space="preserve">a </w:t>
      </w:r>
      <w:r w:rsidRPr="00184C41">
        <w:rPr>
          <w:rFonts w:ascii="Arial" w:eastAsia="SimSun" w:hAnsi="Arial" w:cs="Arial"/>
          <w:bCs/>
          <w:sz w:val="22"/>
          <w:szCs w:val="22"/>
          <w:lang w:val="fr-FR" w:eastAsia="en-US"/>
        </w:rPr>
        <w:t>suspend</w:t>
      </w:r>
      <w:r>
        <w:rPr>
          <w:rFonts w:ascii="Arial" w:eastAsia="SimSun" w:hAnsi="Arial" w:cs="Arial"/>
          <w:bCs/>
          <w:sz w:val="22"/>
          <w:szCs w:val="22"/>
          <w:lang w:val="fr-FR" w:eastAsia="en-US"/>
        </w:rPr>
        <w:t>u</w:t>
      </w:r>
      <w:r w:rsidRPr="00184C41">
        <w:rPr>
          <w:rFonts w:ascii="Arial" w:eastAsia="SimSun" w:hAnsi="Arial" w:cs="Arial"/>
          <w:bCs/>
          <w:sz w:val="22"/>
          <w:szCs w:val="22"/>
          <w:lang w:val="fr-FR" w:eastAsia="en-US"/>
        </w:rPr>
        <w:t xml:space="preserve"> le point 11 et l</w:t>
      </w:r>
      <w:r w:rsidR="008E532B">
        <w:rPr>
          <w:rFonts w:ascii="Arial" w:eastAsia="SimSun" w:hAnsi="Arial" w:cs="Arial"/>
          <w:bCs/>
          <w:sz w:val="22"/>
          <w:szCs w:val="22"/>
          <w:lang w:val="fr-FR" w:eastAsia="en-US"/>
        </w:rPr>
        <w:t>’</w:t>
      </w:r>
      <w:r w:rsidRPr="00184C41">
        <w:rPr>
          <w:rFonts w:ascii="Arial" w:eastAsia="SimSun" w:hAnsi="Arial" w:cs="Arial"/>
          <w:bCs/>
          <w:sz w:val="22"/>
          <w:szCs w:val="22"/>
          <w:lang w:val="fr-FR" w:eastAsia="en-US"/>
        </w:rPr>
        <w:t>adoption formelle du projet de résolution, qui sera</w:t>
      </w:r>
      <w:r>
        <w:rPr>
          <w:rFonts w:ascii="Arial" w:eastAsia="SimSun" w:hAnsi="Arial" w:cs="Arial"/>
          <w:bCs/>
          <w:sz w:val="22"/>
          <w:szCs w:val="22"/>
          <w:lang w:val="fr-FR" w:eastAsia="en-US"/>
        </w:rPr>
        <w:t>it</w:t>
      </w:r>
      <w:r w:rsidRPr="00184C41">
        <w:rPr>
          <w:rFonts w:ascii="Arial" w:eastAsia="SimSun" w:hAnsi="Arial" w:cs="Arial"/>
          <w:bCs/>
          <w:sz w:val="22"/>
          <w:szCs w:val="22"/>
          <w:lang w:val="fr-FR" w:eastAsia="en-US"/>
        </w:rPr>
        <w:t xml:space="preserve"> rouvert plus tard </w:t>
      </w:r>
      <w:r>
        <w:rPr>
          <w:rFonts w:ascii="Arial" w:eastAsia="SimSun" w:hAnsi="Arial" w:cs="Arial"/>
          <w:bCs/>
          <w:sz w:val="22"/>
          <w:szCs w:val="22"/>
          <w:lang w:val="fr-FR" w:eastAsia="en-US"/>
        </w:rPr>
        <w:t xml:space="preserve">au cours de </w:t>
      </w:r>
      <w:r w:rsidRPr="00184C41">
        <w:rPr>
          <w:rFonts w:ascii="Arial" w:eastAsia="SimSun" w:hAnsi="Arial" w:cs="Arial"/>
          <w:bCs/>
          <w:sz w:val="22"/>
          <w:szCs w:val="22"/>
          <w:lang w:val="fr-FR" w:eastAsia="en-US"/>
        </w:rPr>
        <w:t>la session pour reconnaître officiellement les résultats de l</w:t>
      </w:r>
      <w:r w:rsidR="008E532B">
        <w:rPr>
          <w:rFonts w:ascii="Arial" w:eastAsia="SimSun" w:hAnsi="Arial" w:cs="Arial"/>
          <w:bCs/>
          <w:sz w:val="22"/>
          <w:szCs w:val="22"/>
          <w:lang w:val="fr-FR" w:eastAsia="en-US"/>
        </w:rPr>
        <w:t>’</w:t>
      </w:r>
      <w:r w:rsidRPr="00184C41">
        <w:rPr>
          <w:rFonts w:ascii="Arial" w:eastAsia="SimSun" w:hAnsi="Arial" w:cs="Arial"/>
          <w:bCs/>
          <w:sz w:val="22"/>
          <w:szCs w:val="22"/>
          <w:lang w:val="fr-FR" w:eastAsia="en-US"/>
        </w:rPr>
        <w:t xml:space="preserve">élection une fois le dépouillement terminé. </w:t>
      </w:r>
      <w:r w:rsidRPr="00184C41">
        <w:rPr>
          <w:rFonts w:ascii="Arial" w:eastAsia="SimSun" w:hAnsi="Arial" w:cs="Arial"/>
          <w:b/>
          <w:sz w:val="22"/>
          <w:szCs w:val="22"/>
          <w:lang w:val="fr-FR" w:eastAsia="en-US"/>
        </w:rPr>
        <w:t>Le point</w:t>
      </w:r>
      <w:r>
        <w:rPr>
          <w:rFonts w:ascii="Arial" w:eastAsia="SimSun" w:hAnsi="Arial" w:cs="Arial"/>
          <w:b/>
          <w:sz w:val="22"/>
          <w:szCs w:val="22"/>
          <w:lang w:val="fr-FR" w:eastAsia="en-US"/>
        </w:rPr>
        <w:t> </w:t>
      </w:r>
      <w:r w:rsidRPr="00184C41">
        <w:rPr>
          <w:rFonts w:ascii="Arial" w:eastAsia="SimSun" w:hAnsi="Arial" w:cs="Arial"/>
          <w:b/>
          <w:sz w:val="22"/>
          <w:szCs w:val="22"/>
          <w:lang w:val="fr-FR" w:eastAsia="en-US"/>
        </w:rPr>
        <w:t xml:space="preserve">11 </w:t>
      </w:r>
      <w:r>
        <w:rPr>
          <w:rFonts w:ascii="Arial" w:eastAsia="SimSun" w:hAnsi="Arial" w:cs="Arial"/>
          <w:b/>
          <w:sz w:val="22"/>
          <w:szCs w:val="22"/>
          <w:lang w:val="fr-FR" w:eastAsia="en-US"/>
        </w:rPr>
        <w:t>a été</w:t>
      </w:r>
      <w:r w:rsidRPr="00184C41">
        <w:rPr>
          <w:rFonts w:ascii="Arial" w:eastAsia="SimSun" w:hAnsi="Arial" w:cs="Arial"/>
          <w:b/>
          <w:sz w:val="22"/>
          <w:szCs w:val="22"/>
          <w:lang w:val="fr-FR" w:eastAsia="en-US"/>
        </w:rPr>
        <w:t xml:space="preserve"> dûment suspendu</w:t>
      </w:r>
      <w:r w:rsidRPr="00184C41">
        <w:rPr>
          <w:rFonts w:ascii="Arial" w:eastAsia="SimSun" w:hAnsi="Arial" w:cs="Arial"/>
          <w:bCs/>
          <w:sz w:val="22"/>
          <w:szCs w:val="22"/>
          <w:lang w:val="fr-FR" w:eastAsia="en-US"/>
        </w:rPr>
        <w:t>.</w:t>
      </w:r>
    </w:p>
    <w:p w14:paraId="42386E15" w14:textId="221805BE" w:rsidR="00D9653F" w:rsidRPr="00184C41"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184C41">
        <w:rPr>
          <w:rFonts w:ascii="Arial" w:eastAsia="SimSun" w:hAnsi="Arial" w:cs="Arial"/>
          <w:bCs/>
          <w:sz w:val="22"/>
          <w:szCs w:val="22"/>
          <w:lang w:val="fr-FR" w:eastAsia="en-US"/>
        </w:rPr>
        <w:t xml:space="preserve">La </w:t>
      </w:r>
      <w:r w:rsidRPr="00184C41">
        <w:rPr>
          <w:rFonts w:ascii="Arial" w:eastAsia="SimSun" w:hAnsi="Arial" w:cs="Arial"/>
          <w:b/>
          <w:sz w:val="22"/>
          <w:szCs w:val="22"/>
          <w:lang w:val="fr-FR" w:eastAsia="en-US"/>
        </w:rPr>
        <w:t>Présidente</w:t>
      </w:r>
      <w:r w:rsidRPr="00184C41">
        <w:rPr>
          <w:rFonts w:ascii="Arial" w:eastAsia="SimSun" w:hAnsi="Arial" w:cs="Arial"/>
          <w:bCs/>
          <w:sz w:val="22"/>
          <w:szCs w:val="22"/>
          <w:lang w:val="fr-FR" w:eastAsia="en-US"/>
        </w:rPr>
        <w:t xml:space="preserve"> </w:t>
      </w:r>
      <w:r>
        <w:rPr>
          <w:rFonts w:ascii="Arial" w:eastAsia="SimSun" w:hAnsi="Arial" w:cs="Arial"/>
          <w:bCs/>
          <w:sz w:val="22"/>
          <w:szCs w:val="22"/>
          <w:lang w:val="fr-FR" w:eastAsia="en-US"/>
        </w:rPr>
        <w:t xml:space="preserve">a </w:t>
      </w:r>
      <w:r w:rsidRPr="00184C41">
        <w:rPr>
          <w:rFonts w:ascii="Arial" w:eastAsia="SimSun" w:hAnsi="Arial" w:cs="Arial"/>
          <w:bCs/>
          <w:sz w:val="22"/>
          <w:szCs w:val="22"/>
          <w:lang w:val="fr-FR" w:eastAsia="en-US"/>
        </w:rPr>
        <w:t>rappel</w:t>
      </w:r>
      <w:r>
        <w:rPr>
          <w:rFonts w:ascii="Arial" w:eastAsia="SimSun" w:hAnsi="Arial" w:cs="Arial"/>
          <w:bCs/>
          <w:sz w:val="22"/>
          <w:szCs w:val="22"/>
          <w:lang w:val="fr-FR" w:eastAsia="en-US"/>
        </w:rPr>
        <w:t>é</w:t>
      </w:r>
      <w:r w:rsidRPr="00184C41">
        <w:rPr>
          <w:rFonts w:ascii="Arial" w:eastAsia="SimSun" w:hAnsi="Arial" w:cs="Arial"/>
          <w:bCs/>
          <w:sz w:val="22"/>
          <w:szCs w:val="22"/>
          <w:lang w:val="fr-FR" w:eastAsia="en-US"/>
        </w:rPr>
        <w:t xml:space="preserve"> aux membres du Bureau (</w:t>
      </w:r>
      <w:r>
        <w:rPr>
          <w:rFonts w:ascii="Arial" w:eastAsia="SimSun" w:hAnsi="Arial" w:cs="Arial"/>
          <w:bCs/>
          <w:sz w:val="22"/>
          <w:szCs w:val="22"/>
          <w:lang w:val="fr-FR" w:eastAsia="en-US"/>
        </w:rPr>
        <w:t xml:space="preserve">c.-à-d. les </w:t>
      </w:r>
      <w:r w:rsidRPr="00184C41">
        <w:rPr>
          <w:rFonts w:ascii="Arial" w:eastAsia="SimSun" w:hAnsi="Arial" w:cs="Arial"/>
          <w:bCs/>
          <w:sz w:val="22"/>
          <w:szCs w:val="22"/>
          <w:lang w:val="fr-FR" w:eastAsia="en-US"/>
        </w:rPr>
        <w:t>Vice-</w:t>
      </w:r>
      <w:r>
        <w:rPr>
          <w:rFonts w:ascii="Arial" w:eastAsia="SimSun" w:hAnsi="Arial" w:cs="Arial"/>
          <w:bCs/>
          <w:sz w:val="22"/>
          <w:szCs w:val="22"/>
          <w:lang w:val="fr-FR" w:eastAsia="en-US"/>
        </w:rPr>
        <w:t>P</w:t>
      </w:r>
      <w:r w:rsidRPr="00184C41">
        <w:rPr>
          <w:rFonts w:ascii="Arial" w:eastAsia="SimSun" w:hAnsi="Arial" w:cs="Arial"/>
          <w:bCs/>
          <w:sz w:val="22"/>
          <w:szCs w:val="22"/>
          <w:lang w:val="fr-FR" w:eastAsia="en-US"/>
        </w:rPr>
        <w:t>résident</w:t>
      </w:r>
      <w:r>
        <w:rPr>
          <w:rFonts w:ascii="Arial" w:eastAsia="SimSun" w:hAnsi="Arial" w:cs="Arial"/>
          <w:bCs/>
          <w:sz w:val="22"/>
          <w:szCs w:val="22"/>
          <w:lang w:val="fr-FR" w:eastAsia="en-US"/>
        </w:rPr>
        <w:t>(e)</w:t>
      </w:r>
      <w:r w:rsidRPr="00184C41">
        <w:rPr>
          <w:rFonts w:ascii="Arial" w:eastAsia="SimSun" w:hAnsi="Arial" w:cs="Arial"/>
          <w:bCs/>
          <w:sz w:val="22"/>
          <w:szCs w:val="22"/>
          <w:lang w:val="fr-FR" w:eastAsia="en-US"/>
        </w:rPr>
        <w:t>s de la Belgique, de la Croatie, d</w:t>
      </w:r>
      <w:r>
        <w:rPr>
          <w:rFonts w:ascii="Arial" w:eastAsia="SimSun" w:hAnsi="Arial" w:cs="Arial"/>
          <w:bCs/>
          <w:sz w:val="22"/>
          <w:szCs w:val="22"/>
          <w:lang w:val="fr-FR" w:eastAsia="en-US"/>
        </w:rPr>
        <w:t>e la République bolivarienne du Venezuela</w:t>
      </w:r>
      <w:r w:rsidRPr="00184C41">
        <w:rPr>
          <w:rFonts w:ascii="Arial" w:eastAsia="SimSun" w:hAnsi="Arial" w:cs="Arial"/>
          <w:bCs/>
          <w:sz w:val="22"/>
          <w:szCs w:val="22"/>
          <w:lang w:val="fr-FR" w:eastAsia="en-US"/>
        </w:rPr>
        <w:t xml:space="preserve">, de Madagascar, de la République arabe syrienne et le Rapporteur, </w:t>
      </w:r>
      <w:r w:rsidR="008D65C3">
        <w:rPr>
          <w:rFonts w:ascii="Arial" w:eastAsia="SimSun" w:hAnsi="Arial" w:cs="Arial"/>
          <w:bCs/>
          <w:sz w:val="22"/>
          <w:szCs w:val="22"/>
          <w:lang w:val="fr-FR" w:eastAsia="en-US"/>
        </w:rPr>
        <w:t>Mme</w:t>
      </w:r>
      <w:r w:rsidRPr="00184C41">
        <w:rPr>
          <w:rFonts w:ascii="Arial" w:eastAsia="SimSun" w:hAnsi="Arial" w:cs="Arial"/>
          <w:bCs/>
          <w:sz w:val="22"/>
          <w:szCs w:val="22"/>
          <w:lang w:val="fr-FR" w:eastAsia="en-US"/>
        </w:rPr>
        <w:t xml:space="preserve"> Daniela Rodriguez Uribe) la réunion du lendemain à 9</w:t>
      </w:r>
      <w:r>
        <w:rPr>
          <w:rFonts w:ascii="Arial" w:eastAsia="SimSun" w:hAnsi="Arial" w:cs="Arial"/>
          <w:bCs/>
          <w:sz w:val="22"/>
          <w:szCs w:val="22"/>
          <w:lang w:val="fr-FR" w:eastAsia="en-US"/>
        </w:rPr>
        <w:t> </w:t>
      </w:r>
      <w:r w:rsidRPr="00184C41">
        <w:rPr>
          <w:rFonts w:ascii="Arial" w:eastAsia="SimSun" w:hAnsi="Arial" w:cs="Arial"/>
          <w:bCs/>
          <w:sz w:val="22"/>
          <w:szCs w:val="22"/>
          <w:lang w:val="fr-FR" w:eastAsia="en-US"/>
        </w:rPr>
        <w:t>h</w:t>
      </w:r>
      <w:r>
        <w:rPr>
          <w:rFonts w:ascii="Arial" w:eastAsia="SimSun" w:hAnsi="Arial" w:cs="Arial"/>
          <w:bCs/>
          <w:sz w:val="22"/>
          <w:szCs w:val="22"/>
          <w:lang w:val="fr-FR" w:eastAsia="en-US"/>
        </w:rPr>
        <w:t> </w:t>
      </w:r>
      <w:r w:rsidRPr="00184C41">
        <w:rPr>
          <w:rFonts w:ascii="Arial" w:eastAsia="SimSun" w:hAnsi="Arial" w:cs="Arial"/>
          <w:bCs/>
          <w:sz w:val="22"/>
          <w:szCs w:val="22"/>
          <w:lang w:val="fr-FR" w:eastAsia="en-US"/>
        </w:rPr>
        <w:t>30.</w:t>
      </w:r>
    </w:p>
    <w:p w14:paraId="09E3FF5D" w14:textId="52A283BB" w:rsidR="00D9653F" w:rsidRPr="002D1173" w:rsidRDefault="00D9653F" w:rsidP="00D9653F">
      <w:pPr>
        <w:numPr>
          <w:ilvl w:val="0"/>
          <w:numId w:val="19"/>
        </w:numPr>
        <w:suppressAutoHyphens/>
        <w:autoSpaceDE w:val="0"/>
        <w:spacing w:before="120"/>
        <w:ind w:left="567" w:hanging="567"/>
        <w:jc w:val="both"/>
        <w:rPr>
          <w:rFonts w:ascii="Arial" w:eastAsia="SimSun" w:hAnsi="Arial" w:cs="Arial"/>
          <w:bCs/>
          <w:sz w:val="22"/>
          <w:szCs w:val="22"/>
          <w:lang w:val="fr-FR" w:eastAsia="en-US"/>
        </w:rPr>
      </w:pPr>
      <w:r w:rsidRPr="002D1173">
        <w:rPr>
          <w:rFonts w:ascii="Arial" w:eastAsia="SimSun" w:hAnsi="Arial" w:cs="Arial"/>
          <w:bCs/>
          <w:sz w:val="22"/>
          <w:szCs w:val="22"/>
          <w:lang w:val="fr-FR" w:eastAsia="en-US"/>
        </w:rPr>
        <w:t xml:space="preserve">Le </w:t>
      </w:r>
      <w:r w:rsidRPr="002D1173">
        <w:rPr>
          <w:rFonts w:ascii="Arial" w:eastAsia="SimSun" w:hAnsi="Arial" w:cs="Arial"/>
          <w:b/>
          <w:sz w:val="22"/>
          <w:szCs w:val="22"/>
          <w:lang w:val="fr-FR" w:eastAsia="en-US"/>
        </w:rPr>
        <w:t>Sous-Directeur général</w:t>
      </w:r>
      <w:r w:rsidRPr="002D1173">
        <w:rPr>
          <w:rFonts w:ascii="Arial" w:eastAsia="SimSun" w:hAnsi="Arial" w:cs="Arial"/>
          <w:bCs/>
          <w:sz w:val="22"/>
          <w:szCs w:val="22"/>
          <w:lang w:val="fr-FR" w:eastAsia="en-US"/>
        </w:rPr>
        <w:t xml:space="preserve"> a informé les délégués d</w:t>
      </w:r>
      <w:r w:rsidR="008E532B">
        <w:rPr>
          <w:rFonts w:ascii="Arial" w:eastAsia="SimSun" w:hAnsi="Arial" w:cs="Arial"/>
          <w:bCs/>
          <w:sz w:val="22"/>
          <w:szCs w:val="22"/>
          <w:lang w:val="fr-FR" w:eastAsia="en-US"/>
        </w:rPr>
        <w:t>’</w:t>
      </w:r>
      <w:r w:rsidRPr="002D1173">
        <w:rPr>
          <w:rFonts w:ascii="Arial" w:eastAsia="SimSun" w:hAnsi="Arial" w:cs="Arial"/>
          <w:bCs/>
          <w:sz w:val="22"/>
          <w:szCs w:val="22"/>
          <w:lang w:val="fr-FR" w:eastAsia="en-US"/>
        </w:rPr>
        <w:t>un</w:t>
      </w:r>
      <w:r>
        <w:rPr>
          <w:rFonts w:ascii="Arial" w:eastAsia="SimSun" w:hAnsi="Arial" w:cs="Arial"/>
          <w:bCs/>
          <w:sz w:val="22"/>
          <w:szCs w:val="22"/>
          <w:lang w:val="fr-FR" w:eastAsia="en-US"/>
        </w:rPr>
        <w:t>e manifestation</w:t>
      </w:r>
      <w:r w:rsidRPr="002D1173">
        <w:rPr>
          <w:rFonts w:ascii="Arial" w:eastAsia="SimSun" w:hAnsi="Arial" w:cs="Arial"/>
          <w:bCs/>
          <w:sz w:val="22"/>
          <w:szCs w:val="22"/>
          <w:lang w:val="fr-FR" w:eastAsia="en-US"/>
        </w:rPr>
        <w:t xml:space="preserve"> parallèle qui </w:t>
      </w:r>
      <w:r>
        <w:rPr>
          <w:rFonts w:ascii="Arial" w:eastAsia="SimSun" w:hAnsi="Arial" w:cs="Arial"/>
          <w:bCs/>
          <w:sz w:val="22"/>
          <w:szCs w:val="22"/>
          <w:lang w:val="fr-FR" w:eastAsia="en-US"/>
        </w:rPr>
        <w:t>se déroulerait</w:t>
      </w:r>
      <w:r w:rsidRPr="002D1173">
        <w:rPr>
          <w:rFonts w:ascii="Arial" w:eastAsia="SimSun" w:hAnsi="Arial" w:cs="Arial"/>
          <w:bCs/>
          <w:sz w:val="22"/>
          <w:szCs w:val="22"/>
          <w:lang w:val="fr-FR" w:eastAsia="en-US"/>
        </w:rPr>
        <w:t xml:space="preserve"> dans la soirée, au cours d</w:t>
      </w:r>
      <w:r>
        <w:rPr>
          <w:rFonts w:ascii="Arial" w:eastAsia="SimSun" w:hAnsi="Arial" w:cs="Arial"/>
          <w:bCs/>
          <w:sz w:val="22"/>
          <w:szCs w:val="22"/>
          <w:lang w:val="fr-FR" w:eastAsia="en-US"/>
        </w:rPr>
        <w:t>e laquelle</w:t>
      </w:r>
      <w:r w:rsidRPr="002D1173">
        <w:rPr>
          <w:rFonts w:ascii="Arial" w:eastAsia="SimSun" w:hAnsi="Arial" w:cs="Arial"/>
          <w:bCs/>
          <w:sz w:val="22"/>
          <w:szCs w:val="22"/>
          <w:lang w:val="fr-FR" w:eastAsia="en-US"/>
        </w:rPr>
        <w:t xml:space="preserve"> le Forum des ONG du PCI et l</w:t>
      </w:r>
      <w:r w:rsidR="008E532B">
        <w:rPr>
          <w:rFonts w:ascii="Arial" w:eastAsia="SimSun" w:hAnsi="Arial" w:cs="Arial"/>
          <w:bCs/>
          <w:sz w:val="22"/>
          <w:szCs w:val="22"/>
          <w:lang w:val="fr-FR" w:eastAsia="en-US"/>
        </w:rPr>
        <w:t>’</w:t>
      </w:r>
      <w:r w:rsidRPr="002D1173">
        <w:rPr>
          <w:rFonts w:ascii="Arial" w:eastAsia="SimSun" w:hAnsi="Arial" w:cs="Arial"/>
          <w:bCs/>
          <w:sz w:val="22"/>
          <w:szCs w:val="22"/>
          <w:lang w:val="fr-FR" w:eastAsia="en-US"/>
        </w:rPr>
        <w:t>ICHCAP lancer</w:t>
      </w:r>
      <w:r>
        <w:rPr>
          <w:rFonts w:ascii="Arial" w:eastAsia="SimSun" w:hAnsi="Arial" w:cs="Arial"/>
          <w:bCs/>
          <w:sz w:val="22"/>
          <w:szCs w:val="22"/>
          <w:lang w:val="fr-FR" w:eastAsia="en-US"/>
        </w:rPr>
        <w:t>aie</w:t>
      </w:r>
      <w:r w:rsidRPr="002D1173">
        <w:rPr>
          <w:rFonts w:ascii="Arial" w:eastAsia="SimSun" w:hAnsi="Arial" w:cs="Arial"/>
          <w:bCs/>
          <w:sz w:val="22"/>
          <w:szCs w:val="22"/>
          <w:lang w:val="fr-FR" w:eastAsia="en-US"/>
        </w:rPr>
        <w:t>nt leur dernière publication d</w:t>
      </w:r>
      <w:r>
        <w:rPr>
          <w:rFonts w:ascii="Arial" w:eastAsia="SimSun" w:hAnsi="Arial" w:cs="Arial"/>
          <w:bCs/>
          <w:sz w:val="22"/>
          <w:szCs w:val="22"/>
          <w:lang w:val="fr-FR" w:eastAsia="en-US"/>
        </w:rPr>
        <w:t>ans</w:t>
      </w:r>
      <w:r w:rsidRPr="002D1173">
        <w:rPr>
          <w:rFonts w:ascii="Arial" w:eastAsia="SimSun" w:hAnsi="Arial" w:cs="Arial"/>
          <w:bCs/>
          <w:sz w:val="22"/>
          <w:szCs w:val="22"/>
          <w:lang w:val="fr-FR" w:eastAsia="en-US"/>
        </w:rPr>
        <w:t xml:space="preserve"> la série </w:t>
      </w:r>
      <w:r>
        <w:rPr>
          <w:rFonts w:ascii="Arial" w:eastAsia="SimSun" w:hAnsi="Arial" w:cs="Arial"/>
          <w:bCs/>
          <w:sz w:val="22"/>
          <w:szCs w:val="22"/>
          <w:lang w:val="fr-FR" w:eastAsia="en-US"/>
        </w:rPr>
        <w:t xml:space="preserve">Living </w:t>
      </w:r>
      <w:proofErr w:type="spellStart"/>
      <w:r>
        <w:rPr>
          <w:rFonts w:ascii="Arial" w:eastAsia="SimSun" w:hAnsi="Arial" w:cs="Arial"/>
          <w:bCs/>
          <w:sz w:val="22"/>
          <w:szCs w:val="22"/>
          <w:lang w:val="fr-FR" w:eastAsia="en-US"/>
        </w:rPr>
        <w:t>Heritage</w:t>
      </w:r>
      <w:proofErr w:type="spellEnd"/>
      <w:r>
        <w:rPr>
          <w:rFonts w:ascii="Arial" w:eastAsia="SimSun" w:hAnsi="Arial" w:cs="Arial"/>
          <w:bCs/>
          <w:sz w:val="22"/>
          <w:szCs w:val="22"/>
          <w:lang w:val="fr-FR" w:eastAsia="en-US"/>
        </w:rPr>
        <w:t xml:space="preserve">, </w:t>
      </w:r>
      <w:proofErr w:type="spellStart"/>
      <w:r w:rsidRPr="001B0559">
        <w:rPr>
          <w:rFonts w:ascii="Arial" w:eastAsia="SimSun" w:hAnsi="Arial" w:cs="Arial"/>
          <w:bCs/>
          <w:i/>
          <w:iCs/>
          <w:sz w:val="22"/>
          <w:szCs w:val="22"/>
          <w:lang w:val="fr-FR" w:eastAsia="en-US"/>
        </w:rPr>
        <w:t>Traditional</w:t>
      </w:r>
      <w:proofErr w:type="spellEnd"/>
      <w:r w:rsidRPr="001B0559">
        <w:rPr>
          <w:rFonts w:ascii="Arial" w:eastAsia="SimSun" w:hAnsi="Arial" w:cs="Arial"/>
          <w:bCs/>
          <w:i/>
          <w:iCs/>
          <w:sz w:val="22"/>
          <w:szCs w:val="22"/>
          <w:lang w:val="fr-FR" w:eastAsia="en-US"/>
        </w:rPr>
        <w:t xml:space="preserve"> Musical Instruments, Sharing </w:t>
      </w:r>
      <w:proofErr w:type="spellStart"/>
      <w:r w:rsidRPr="001B0559">
        <w:rPr>
          <w:rFonts w:ascii="Arial" w:eastAsia="SimSun" w:hAnsi="Arial" w:cs="Arial"/>
          <w:bCs/>
          <w:i/>
          <w:iCs/>
          <w:sz w:val="22"/>
          <w:szCs w:val="22"/>
          <w:lang w:val="fr-FR" w:eastAsia="en-US"/>
        </w:rPr>
        <w:t>Experiences</w:t>
      </w:r>
      <w:proofErr w:type="spellEnd"/>
      <w:r w:rsidRPr="001B0559">
        <w:rPr>
          <w:rFonts w:ascii="Arial" w:eastAsia="SimSun" w:hAnsi="Arial" w:cs="Arial"/>
          <w:bCs/>
          <w:i/>
          <w:iCs/>
          <w:sz w:val="22"/>
          <w:szCs w:val="22"/>
          <w:lang w:val="fr-FR" w:eastAsia="en-US"/>
        </w:rPr>
        <w:t xml:space="preserve"> </w:t>
      </w:r>
      <w:proofErr w:type="spellStart"/>
      <w:r w:rsidRPr="001B0559">
        <w:rPr>
          <w:rFonts w:ascii="Arial" w:eastAsia="SimSun" w:hAnsi="Arial" w:cs="Arial"/>
          <w:bCs/>
          <w:i/>
          <w:iCs/>
          <w:sz w:val="22"/>
          <w:szCs w:val="22"/>
          <w:lang w:val="fr-FR" w:eastAsia="en-US"/>
        </w:rPr>
        <w:t>from</w:t>
      </w:r>
      <w:proofErr w:type="spellEnd"/>
      <w:r w:rsidRPr="001B0559">
        <w:rPr>
          <w:rFonts w:ascii="Arial" w:eastAsia="SimSun" w:hAnsi="Arial" w:cs="Arial"/>
          <w:bCs/>
          <w:i/>
          <w:iCs/>
          <w:sz w:val="22"/>
          <w:szCs w:val="22"/>
          <w:lang w:val="fr-FR" w:eastAsia="en-US"/>
        </w:rPr>
        <w:t xml:space="preserve"> the Field </w:t>
      </w:r>
      <w:r w:rsidRPr="001B0559">
        <w:rPr>
          <w:rFonts w:ascii="Arial" w:eastAsia="SimSun" w:hAnsi="Arial" w:cs="Arial"/>
          <w:bCs/>
          <w:sz w:val="22"/>
          <w:szCs w:val="22"/>
          <w:lang w:val="fr-FR" w:eastAsia="en-US"/>
        </w:rPr>
        <w:t>(Instruments de musique traditionnels, partager des expériences de terrain)</w:t>
      </w:r>
      <w:r>
        <w:rPr>
          <w:rStyle w:val="FootnoteReference"/>
          <w:rFonts w:ascii="Arial" w:eastAsia="SimSun" w:hAnsi="Arial" w:cs="Arial"/>
          <w:bCs/>
          <w:sz w:val="22"/>
          <w:szCs w:val="22"/>
          <w:lang w:val="fr-FR" w:eastAsia="en-US"/>
        </w:rPr>
        <w:footnoteReference w:id="29"/>
      </w:r>
    </w:p>
    <w:p w14:paraId="7892955A" w14:textId="13767DB4" w:rsidR="00D9653F" w:rsidRPr="00A96116" w:rsidRDefault="00D9653F" w:rsidP="00A96116">
      <w:pPr>
        <w:autoSpaceDE w:val="0"/>
        <w:spacing w:before="240" w:after="240"/>
        <w:ind w:left="709" w:hanging="709"/>
        <w:jc w:val="center"/>
        <w:outlineLvl w:val="0"/>
        <w:rPr>
          <w:rFonts w:ascii="Arial" w:eastAsia="SimSun" w:hAnsi="Arial" w:cs="Arial"/>
          <w:i/>
          <w:iCs/>
          <w:sz w:val="22"/>
          <w:szCs w:val="22"/>
          <w:lang w:val="fr-FR"/>
        </w:rPr>
      </w:pPr>
      <w:r w:rsidRPr="00A96116">
        <w:rPr>
          <w:rFonts w:ascii="Arial" w:eastAsia="SimSun" w:hAnsi="Arial" w:cs="Arial"/>
          <w:i/>
          <w:iCs/>
          <w:sz w:val="22"/>
          <w:szCs w:val="22"/>
          <w:lang w:val="fr-FR"/>
        </w:rPr>
        <w:t>[Mercredi 6 juillet, séance du matin]</w:t>
      </w:r>
    </w:p>
    <w:p w14:paraId="6DDD1E64" w14:textId="43C117D1" w:rsidR="00D9653F" w:rsidRPr="009F6BC9" w:rsidRDefault="00D9653F" w:rsidP="00A96116">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9F6BC9">
        <w:rPr>
          <w:b/>
          <w:color w:val="000000" w:themeColor="text1"/>
          <w:u w:val="single"/>
          <w:lang w:val="fr-FR"/>
        </w:rPr>
        <w:t xml:space="preserve">RAPPORT ORAL DU FORUM DES ONG DU PCI </w:t>
      </w:r>
    </w:p>
    <w:p w14:paraId="56E3CD2D" w14:textId="3D34BEF5" w:rsidR="00D9653F" w:rsidRPr="002A1E5C" w:rsidRDefault="00D9653F" w:rsidP="00D9653F">
      <w:pPr>
        <w:numPr>
          <w:ilvl w:val="0"/>
          <w:numId w:val="19"/>
        </w:numPr>
        <w:suppressAutoHyphens/>
        <w:autoSpaceDE w:val="0"/>
        <w:ind w:left="567" w:hanging="567"/>
        <w:jc w:val="both"/>
        <w:rPr>
          <w:rFonts w:ascii="Arial" w:hAnsi="Arial" w:cs="Arial"/>
          <w:sz w:val="22"/>
          <w:szCs w:val="22"/>
          <w:lang w:val="fr-FR"/>
        </w:rPr>
      </w:pPr>
      <w:r w:rsidRPr="002A1E5C">
        <w:rPr>
          <w:rFonts w:ascii="Arial" w:hAnsi="Arial" w:cs="Arial"/>
          <w:sz w:val="22"/>
          <w:szCs w:val="22"/>
          <w:lang w:val="fr-FR"/>
        </w:rPr>
        <w:t xml:space="preserve">La </w:t>
      </w:r>
      <w:r w:rsidRPr="002A1E5C">
        <w:rPr>
          <w:rFonts w:ascii="Arial" w:hAnsi="Arial" w:cs="Arial"/>
          <w:b/>
          <w:bCs/>
          <w:sz w:val="22"/>
          <w:szCs w:val="22"/>
          <w:lang w:val="fr-FR"/>
        </w:rPr>
        <w:t>Présidente</w:t>
      </w:r>
      <w:r w:rsidRPr="002A1E5C">
        <w:rPr>
          <w:rFonts w:ascii="Arial" w:hAnsi="Arial" w:cs="Arial"/>
          <w:sz w:val="22"/>
          <w:szCs w:val="22"/>
          <w:lang w:val="fr-FR"/>
        </w:rPr>
        <w:t xml:space="preserve"> </w:t>
      </w:r>
      <w:r>
        <w:rPr>
          <w:rFonts w:ascii="Arial" w:hAnsi="Arial" w:cs="Arial"/>
          <w:sz w:val="22"/>
          <w:szCs w:val="22"/>
          <w:lang w:val="fr-FR"/>
        </w:rPr>
        <w:t xml:space="preserve">a </w:t>
      </w:r>
      <w:r w:rsidRPr="002A1E5C">
        <w:rPr>
          <w:rFonts w:ascii="Arial" w:hAnsi="Arial" w:cs="Arial"/>
          <w:sz w:val="22"/>
          <w:szCs w:val="22"/>
          <w:lang w:val="fr-FR"/>
        </w:rPr>
        <w:t>souhai</w:t>
      </w:r>
      <w:r>
        <w:rPr>
          <w:rFonts w:ascii="Arial" w:hAnsi="Arial" w:cs="Arial"/>
          <w:sz w:val="22"/>
          <w:szCs w:val="22"/>
          <w:lang w:val="fr-FR"/>
        </w:rPr>
        <w:t>té</w:t>
      </w:r>
      <w:r w:rsidRPr="002A1E5C">
        <w:rPr>
          <w:rFonts w:ascii="Arial" w:hAnsi="Arial" w:cs="Arial"/>
          <w:sz w:val="22"/>
          <w:szCs w:val="22"/>
          <w:lang w:val="fr-FR"/>
        </w:rPr>
        <w:t xml:space="preserve"> la bienvenue aux délégations à la deuxième journée de l</w:t>
      </w:r>
      <w:r w:rsidR="008E532B">
        <w:rPr>
          <w:rFonts w:ascii="Arial" w:hAnsi="Arial" w:cs="Arial"/>
          <w:sz w:val="22"/>
          <w:szCs w:val="22"/>
          <w:lang w:val="fr-FR"/>
        </w:rPr>
        <w:t>’</w:t>
      </w:r>
      <w:r w:rsidRPr="002A1E5C">
        <w:rPr>
          <w:rFonts w:ascii="Arial" w:hAnsi="Arial" w:cs="Arial"/>
          <w:sz w:val="22"/>
          <w:szCs w:val="22"/>
          <w:lang w:val="fr-FR"/>
        </w:rPr>
        <w:t>Assemblée générale. Ayant pris un léger retard, le Bureau a</w:t>
      </w:r>
      <w:r>
        <w:rPr>
          <w:rFonts w:ascii="Arial" w:hAnsi="Arial" w:cs="Arial"/>
          <w:sz w:val="22"/>
          <w:szCs w:val="22"/>
          <w:lang w:val="fr-FR"/>
        </w:rPr>
        <w:t>vait</w:t>
      </w:r>
      <w:r w:rsidRPr="002A1E5C">
        <w:rPr>
          <w:rFonts w:ascii="Arial" w:hAnsi="Arial" w:cs="Arial"/>
          <w:sz w:val="22"/>
          <w:szCs w:val="22"/>
          <w:lang w:val="fr-FR"/>
        </w:rPr>
        <w:t xml:space="preserve"> ajusté le calendrier provisoire. La réunion du jour commencera</w:t>
      </w:r>
      <w:r>
        <w:rPr>
          <w:rFonts w:ascii="Arial" w:hAnsi="Arial" w:cs="Arial"/>
          <w:sz w:val="22"/>
          <w:szCs w:val="22"/>
          <w:lang w:val="fr-FR"/>
        </w:rPr>
        <w:t>it</w:t>
      </w:r>
      <w:r w:rsidRPr="002A1E5C">
        <w:rPr>
          <w:rFonts w:ascii="Arial" w:hAnsi="Arial" w:cs="Arial"/>
          <w:sz w:val="22"/>
          <w:szCs w:val="22"/>
          <w:lang w:val="fr-FR"/>
        </w:rPr>
        <w:t xml:space="preserve"> par le rapport oral du Forum des ONG du PCI, suivi de l</w:t>
      </w:r>
      <w:r w:rsidR="008E532B">
        <w:rPr>
          <w:rFonts w:ascii="Arial" w:hAnsi="Arial" w:cs="Arial"/>
          <w:sz w:val="22"/>
          <w:szCs w:val="22"/>
          <w:lang w:val="fr-FR"/>
        </w:rPr>
        <w:t>’</w:t>
      </w:r>
      <w:r w:rsidRPr="002A1E5C">
        <w:rPr>
          <w:rFonts w:ascii="Arial" w:hAnsi="Arial" w:cs="Arial"/>
          <w:sz w:val="22"/>
          <w:szCs w:val="22"/>
          <w:lang w:val="fr-FR"/>
        </w:rPr>
        <w:t>examen du point</w:t>
      </w:r>
      <w:r>
        <w:rPr>
          <w:rFonts w:ascii="Arial" w:hAnsi="Arial" w:cs="Arial"/>
          <w:sz w:val="22"/>
          <w:szCs w:val="22"/>
          <w:lang w:val="fr-FR"/>
        </w:rPr>
        <w:t> </w:t>
      </w:r>
      <w:r w:rsidRPr="002A1E5C">
        <w:rPr>
          <w:rFonts w:ascii="Arial" w:hAnsi="Arial" w:cs="Arial"/>
          <w:sz w:val="22"/>
          <w:szCs w:val="22"/>
          <w:lang w:val="fr-FR"/>
        </w:rPr>
        <w:t>7 sur l</w:t>
      </w:r>
      <w:r w:rsidR="008E532B">
        <w:rPr>
          <w:rFonts w:ascii="Arial" w:hAnsi="Arial" w:cs="Arial"/>
          <w:sz w:val="22"/>
          <w:szCs w:val="22"/>
          <w:lang w:val="fr-FR"/>
        </w:rPr>
        <w:t>’</w:t>
      </w:r>
      <w:r w:rsidRPr="002A1E5C">
        <w:rPr>
          <w:rFonts w:ascii="Arial" w:hAnsi="Arial" w:cs="Arial"/>
          <w:sz w:val="22"/>
          <w:szCs w:val="22"/>
          <w:lang w:val="fr-FR"/>
        </w:rPr>
        <w:t>accréditation des ONG. La s</w:t>
      </w:r>
      <w:r>
        <w:rPr>
          <w:rFonts w:ascii="Arial" w:hAnsi="Arial" w:cs="Arial"/>
          <w:sz w:val="22"/>
          <w:szCs w:val="22"/>
          <w:lang w:val="fr-FR"/>
        </w:rPr>
        <w:t>éance</w:t>
      </w:r>
      <w:r w:rsidRPr="002A1E5C">
        <w:rPr>
          <w:rFonts w:ascii="Arial" w:hAnsi="Arial" w:cs="Arial"/>
          <w:sz w:val="22"/>
          <w:szCs w:val="22"/>
          <w:lang w:val="fr-FR"/>
        </w:rPr>
        <w:t xml:space="preserve"> du matin comprendra</w:t>
      </w:r>
      <w:r>
        <w:rPr>
          <w:rFonts w:ascii="Arial" w:hAnsi="Arial" w:cs="Arial"/>
          <w:sz w:val="22"/>
          <w:szCs w:val="22"/>
          <w:lang w:val="fr-FR"/>
        </w:rPr>
        <w:t>it</w:t>
      </w:r>
      <w:r w:rsidRPr="002A1E5C">
        <w:rPr>
          <w:rFonts w:ascii="Arial" w:hAnsi="Arial" w:cs="Arial"/>
          <w:sz w:val="22"/>
          <w:szCs w:val="22"/>
          <w:lang w:val="fr-FR"/>
        </w:rPr>
        <w:t xml:space="preserve"> également l</w:t>
      </w:r>
      <w:r w:rsidR="008E532B">
        <w:rPr>
          <w:rFonts w:ascii="Arial" w:hAnsi="Arial" w:cs="Arial"/>
          <w:sz w:val="22"/>
          <w:szCs w:val="22"/>
          <w:lang w:val="fr-FR"/>
        </w:rPr>
        <w:t>’</w:t>
      </w:r>
      <w:r w:rsidRPr="002A1E5C">
        <w:rPr>
          <w:rFonts w:ascii="Arial" w:hAnsi="Arial" w:cs="Arial"/>
          <w:sz w:val="22"/>
          <w:szCs w:val="22"/>
          <w:lang w:val="fr-FR"/>
        </w:rPr>
        <w:t>examen du point</w:t>
      </w:r>
      <w:r>
        <w:rPr>
          <w:rFonts w:ascii="Arial" w:hAnsi="Arial" w:cs="Arial"/>
          <w:sz w:val="22"/>
          <w:szCs w:val="22"/>
          <w:lang w:val="fr-FR"/>
        </w:rPr>
        <w:t> </w:t>
      </w:r>
      <w:r w:rsidRPr="002A1E5C">
        <w:rPr>
          <w:rFonts w:ascii="Arial" w:hAnsi="Arial" w:cs="Arial"/>
          <w:sz w:val="22"/>
          <w:szCs w:val="22"/>
          <w:lang w:val="fr-FR"/>
        </w:rPr>
        <w:t>8 sur l</w:t>
      </w:r>
      <w:r w:rsidR="008E532B">
        <w:rPr>
          <w:rFonts w:ascii="Arial" w:hAnsi="Arial" w:cs="Arial"/>
          <w:sz w:val="22"/>
          <w:szCs w:val="22"/>
          <w:lang w:val="fr-FR"/>
        </w:rPr>
        <w:t>’</w:t>
      </w:r>
      <w:r w:rsidRPr="002A1E5C">
        <w:rPr>
          <w:rFonts w:ascii="Arial" w:hAnsi="Arial" w:cs="Arial"/>
          <w:sz w:val="22"/>
          <w:szCs w:val="22"/>
          <w:lang w:val="fr-FR"/>
        </w:rPr>
        <w:t>approbation de la procédure suivie pour l</w:t>
      </w:r>
      <w:r w:rsidR="008E532B">
        <w:rPr>
          <w:rFonts w:ascii="Arial" w:hAnsi="Arial" w:cs="Arial"/>
          <w:sz w:val="22"/>
          <w:szCs w:val="22"/>
          <w:lang w:val="fr-FR"/>
        </w:rPr>
        <w:t>’</w:t>
      </w:r>
      <w:r w:rsidRPr="002A1E5C">
        <w:rPr>
          <w:rFonts w:ascii="Arial" w:hAnsi="Arial" w:cs="Arial"/>
          <w:sz w:val="22"/>
          <w:szCs w:val="22"/>
          <w:lang w:val="fr-FR"/>
        </w:rPr>
        <w:t xml:space="preserve">inscription de la soupe </w:t>
      </w:r>
      <w:r>
        <w:rPr>
          <w:rFonts w:ascii="Arial" w:hAnsi="Arial" w:cs="Arial"/>
          <w:sz w:val="22"/>
          <w:szCs w:val="22"/>
          <w:lang w:val="fr-FR"/>
        </w:rPr>
        <w:t>au giraumon</w:t>
      </w:r>
      <w:r w:rsidRPr="002A1E5C">
        <w:rPr>
          <w:rFonts w:ascii="Arial" w:hAnsi="Arial" w:cs="Arial"/>
          <w:sz w:val="22"/>
          <w:szCs w:val="22"/>
          <w:lang w:val="fr-FR"/>
        </w:rPr>
        <w:t>, et du point</w:t>
      </w:r>
      <w:r>
        <w:rPr>
          <w:rFonts w:ascii="Arial" w:hAnsi="Arial" w:cs="Arial"/>
          <w:sz w:val="22"/>
          <w:szCs w:val="22"/>
          <w:lang w:val="fr-FR"/>
        </w:rPr>
        <w:t> </w:t>
      </w:r>
      <w:r w:rsidRPr="002A1E5C">
        <w:rPr>
          <w:rFonts w:ascii="Arial" w:hAnsi="Arial" w:cs="Arial"/>
          <w:sz w:val="22"/>
          <w:szCs w:val="22"/>
          <w:lang w:val="fr-FR"/>
        </w:rPr>
        <w:t>9 sur la réflexion globale sur les mécanismes d</w:t>
      </w:r>
      <w:r w:rsidR="008E532B">
        <w:rPr>
          <w:rFonts w:ascii="Arial" w:hAnsi="Arial" w:cs="Arial"/>
          <w:sz w:val="22"/>
          <w:szCs w:val="22"/>
          <w:lang w:val="fr-FR"/>
        </w:rPr>
        <w:t>’</w:t>
      </w:r>
      <w:r w:rsidRPr="002A1E5C">
        <w:rPr>
          <w:rFonts w:ascii="Arial" w:hAnsi="Arial" w:cs="Arial"/>
          <w:sz w:val="22"/>
          <w:szCs w:val="22"/>
          <w:lang w:val="fr-FR"/>
        </w:rPr>
        <w:t xml:space="preserve">inscription et les </w:t>
      </w:r>
      <w:r>
        <w:rPr>
          <w:rFonts w:ascii="Arial" w:hAnsi="Arial" w:cs="Arial"/>
          <w:sz w:val="22"/>
          <w:szCs w:val="22"/>
          <w:lang w:val="fr-FR"/>
        </w:rPr>
        <w:t>révisions proposées aux</w:t>
      </w:r>
      <w:r w:rsidRPr="002A1E5C">
        <w:rPr>
          <w:rFonts w:ascii="Arial" w:hAnsi="Arial" w:cs="Arial"/>
          <w:sz w:val="22"/>
          <w:szCs w:val="22"/>
          <w:lang w:val="fr-FR"/>
        </w:rPr>
        <w:t xml:space="preserve"> Directives opérationnelles. L</w:t>
      </w:r>
      <w:r w:rsidR="008E532B">
        <w:rPr>
          <w:rFonts w:ascii="Arial" w:hAnsi="Arial" w:cs="Arial"/>
          <w:sz w:val="22"/>
          <w:szCs w:val="22"/>
          <w:lang w:val="fr-FR"/>
        </w:rPr>
        <w:t>’</w:t>
      </w:r>
      <w:r w:rsidRPr="002A1E5C">
        <w:rPr>
          <w:rFonts w:ascii="Arial" w:hAnsi="Arial" w:cs="Arial"/>
          <w:sz w:val="22"/>
          <w:szCs w:val="22"/>
          <w:lang w:val="fr-FR"/>
        </w:rPr>
        <w:t>après-midi se poursuivra</w:t>
      </w:r>
      <w:r>
        <w:rPr>
          <w:rFonts w:ascii="Arial" w:hAnsi="Arial" w:cs="Arial"/>
          <w:sz w:val="22"/>
          <w:szCs w:val="22"/>
          <w:lang w:val="fr-FR"/>
        </w:rPr>
        <w:t>it</w:t>
      </w:r>
      <w:r w:rsidRPr="002A1E5C">
        <w:rPr>
          <w:rFonts w:ascii="Arial" w:hAnsi="Arial" w:cs="Arial"/>
          <w:sz w:val="22"/>
          <w:szCs w:val="22"/>
          <w:lang w:val="fr-FR"/>
        </w:rPr>
        <w:t xml:space="preserve"> par l</w:t>
      </w:r>
      <w:r w:rsidR="008E532B">
        <w:rPr>
          <w:rFonts w:ascii="Arial" w:hAnsi="Arial" w:cs="Arial"/>
          <w:sz w:val="22"/>
          <w:szCs w:val="22"/>
          <w:lang w:val="fr-FR"/>
        </w:rPr>
        <w:t>’</w:t>
      </w:r>
      <w:r w:rsidRPr="002A1E5C">
        <w:rPr>
          <w:rFonts w:ascii="Arial" w:hAnsi="Arial" w:cs="Arial"/>
          <w:sz w:val="22"/>
          <w:szCs w:val="22"/>
          <w:lang w:val="fr-FR"/>
        </w:rPr>
        <w:t>examen du point</w:t>
      </w:r>
      <w:r>
        <w:rPr>
          <w:rFonts w:ascii="Arial" w:hAnsi="Arial" w:cs="Arial"/>
          <w:sz w:val="22"/>
          <w:szCs w:val="22"/>
          <w:lang w:val="fr-FR"/>
        </w:rPr>
        <w:t> 9</w:t>
      </w:r>
      <w:r w:rsidRPr="002A1E5C">
        <w:rPr>
          <w:rFonts w:ascii="Arial" w:hAnsi="Arial" w:cs="Arial"/>
          <w:sz w:val="22"/>
          <w:szCs w:val="22"/>
          <w:lang w:val="fr-FR"/>
        </w:rPr>
        <w:t xml:space="preserve"> suivi du point</w:t>
      </w:r>
      <w:r>
        <w:rPr>
          <w:rFonts w:ascii="Arial" w:hAnsi="Arial" w:cs="Arial"/>
          <w:sz w:val="22"/>
          <w:szCs w:val="22"/>
          <w:lang w:val="fr-FR"/>
        </w:rPr>
        <w:t> </w:t>
      </w:r>
      <w:r w:rsidRPr="002A1E5C">
        <w:rPr>
          <w:rFonts w:ascii="Arial" w:hAnsi="Arial" w:cs="Arial"/>
          <w:sz w:val="22"/>
          <w:szCs w:val="22"/>
          <w:lang w:val="fr-FR"/>
        </w:rPr>
        <w:t>10 sur l</w:t>
      </w:r>
      <w:r w:rsidR="008E532B">
        <w:rPr>
          <w:rFonts w:ascii="Arial" w:hAnsi="Arial" w:cs="Arial"/>
          <w:sz w:val="22"/>
          <w:szCs w:val="22"/>
          <w:lang w:val="fr-FR"/>
        </w:rPr>
        <w:t>’</w:t>
      </w:r>
      <w:r w:rsidRPr="002A1E5C">
        <w:rPr>
          <w:rFonts w:ascii="Arial" w:hAnsi="Arial" w:cs="Arial"/>
          <w:sz w:val="22"/>
          <w:szCs w:val="22"/>
          <w:lang w:val="fr-FR"/>
        </w:rPr>
        <w:t xml:space="preserve">utilisation des ressources du Fonds du patrimoine culturel immatériel. Elle </w:t>
      </w:r>
      <w:r>
        <w:rPr>
          <w:rFonts w:ascii="Arial" w:hAnsi="Arial" w:cs="Arial"/>
          <w:sz w:val="22"/>
          <w:szCs w:val="22"/>
          <w:lang w:val="fr-FR"/>
        </w:rPr>
        <w:t xml:space="preserve">a </w:t>
      </w:r>
      <w:r w:rsidRPr="002A1E5C">
        <w:rPr>
          <w:rFonts w:ascii="Arial" w:hAnsi="Arial" w:cs="Arial"/>
          <w:sz w:val="22"/>
          <w:szCs w:val="22"/>
          <w:lang w:val="fr-FR"/>
        </w:rPr>
        <w:t>invit</w:t>
      </w:r>
      <w:r>
        <w:rPr>
          <w:rFonts w:ascii="Arial" w:hAnsi="Arial" w:cs="Arial"/>
          <w:sz w:val="22"/>
          <w:szCs w:val="22"/>
          <w:lang w:val="fr-FR"/>
        </w:rPr>
        <w:t>é</w:t>
      </w:r>
      <w:r w:rsidRPr="002A1E5C">
        <w:rPr>
          <w:rFonts w:ascii="Arial" w:hAnsi="Arial" w:cs="Arial"/>
          <w:sz w:val="22"/>
          <w:szCs w:val="22"/>
          <w:lang w:val="fr-FR"/>
        </w:rPr>
        <w:t xml:space="preserve"> M. Turgeon, Président du Comité </w:t>
      </w:r>
      <w:r>
        <w:rPr>
          <w:rFonts w:ascii="Arial" w:hAnsi="Arial" w:cs="Arial"/>
          <w:sz w:val="22"/>
          <w:szCs w:val="22"/>
          <w:lang w:val="fr-FR"/>
        </w:rPr>
        <w:t xml:space="preserve">de pilotage </w:t>
      </w:r>
      <w:r w:rsidRPr="002A1E5C">
        <w:rPr>
          <w:rFonts w:ascii="Arial" w:hAnsi="Arial" w:cs="Arial"/>
          <w:sz w:val="22"/>
          <w:szCs w:val="22"/>
          <w:lang w:val="fr-FR"/>
        </w:rPr>
        <w:t>du Forum des ONG du PCI, à présenter son rapport oral.</w:t>
      </w:r>
    </w:p>
    <w:p w14:paraId="7C431215" w14:textId="5A5666F9" w:rsidR="00D9653F" w:rsidRPr="006C227A"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6B45A3">
        <w:rPr>
          <w:rFonts w:ascii="Arial" w:hAnsi="Arial" w:cs="Arial"/>
          <w:sz w:val="22"/>
          <w:szCs w:val="22"/>
          <w:lang w:val="fr-FR"/>
        </w:rPr>
        <w:t xml:space="preserve">Le </w:t>
      </w:r>
      <w:r w:rsidRPr="006B45A3">
        <w:rPr>
          <w:rFonts w:ascii="Arial" w:hAnsi="Arial" w:cs="Arial"/>
          <w:b/>
          <w:bCs/>
          <w:sz w:val="22"/>
          <w:szCs w:val="22"/>
          <w:lang w:val="fr-FR"/>
        </w:rPr>
        <w:t>Président du Forum, M.</w:t>
      </w:r>
      <w:r>
        <w:rPr>
          <w:rFonts w:ascii="Arial" w:hAnsi="Arial" w:cs="Arial"/>
          <w:b/>
          <w:bCs/>
          <w:sz w:val="22"/>
          <w:szCs w:val="22"/>
          <w:lang w:val="fr-FR"/>
        </w:rPr>
        <w:t> </w:t>
      </w:r>
      <w:r w:rsidRPr="006B45A3">
        <w:rPr>
          <w:rFonts w:ascii="Arial" w:hAnsi="Arial" w:cs="Arial"/>
          <w:b/>
          <w:bCs/>
          <w:sz w:val="22"/>
          <w:szCs w:val="22"/>
          <w:lang w:val="fr-FR"/>
        </w:rPr>
        <w:t>Laurier Turgeon</w:t>
      </w:r>
      <w:r w:rsidRPr="006B45A3">
        <w:rPr>
          <w:rFonts w:ascii="Arial" w:hAnsi="Arial" w:cs="Arial"/>
          <w:sz w:val="22"/>
          <w:szCs w:val="22"/>
          <w:lang w:val="fr-FR"/>
        </w:rPr>
        <w:t>, s</w:t>
      </w:r>
      <w:r w:rsidR="008E532B">
        <w:rPr>
          <w:rFonts w:ascii="Arial" w:hAnsi="Arial" w:cs="Arial"/>
          <w:sz w:val="22"/>
          <w:szCs w:val="22"/>
          <w:lang w:val="fr-FR"/>
        </w:rPr>
        <w:t>’</w:t>
      </w:r>
      <w:r w:rsidRPr="006B45A3">
        <w:rPr>
          <w:rFonts w:ascii="Arial" w:hAnsi="Arial" w:cs="Arial"/>
          <w:sz w:val="22"/>
          <w:szCs w:val="22"/>
          <w:lang w:val="fr-FR"/>
        </w:rPr>
        <w:t>est exprimé au nom du Forum des ONG du PCI pour remercier les États parties et le Secrétariat de leur soutien et de l</w:t>
      </w:r>
      <w:r w:rsidR="008E532B">
        <w:rPr>
          <w:rFonts w:ascii="Arial" w:hAnsi="Arial" w:cs="Arial"/>
          <w:sz w:val="22"/>
          <w:szCs w:val="22"/>
          <w:lang w:val="fr-FR"/>
        </w:rPr>
        <w:t>’</w:t>
      </w:r>
      <w:r w:rsidRPr="006B45A3">
        <w:rPr>
          <w:rFonts w:ascii="Arial" w:hAnsi="Arial" w:cs="Arial"/>
          <w:sz w:val="22"/>
          <w:szCs w:val="22"/>
          <w:lang w:val="fr-FR"/>
        </w:rPr>
        <w:t xml:space="preserve">occasion qui lui </w:t>
      </w:r>
      <w:r>
        <w:rPr>
          <w:rFonts w:ascii="Arial" w:hAnsi="Arial" w:cs="Arial"/>
          <w:sz w:val="22"/>
          <w:szCs w:val="22"/>
          <w:lang w:val="fr-FR"/>
        </w:rPr>
        <w:t xml:space="preserve">était </w:t>
      </w:r>
      <w:r w:rsidRPr="006B45A3">
        <w:rPr>
          <w:rFonts w:ascii="Arial" w:hAnsi="Arial" w:cs="Arial"/>
          <w:sz w:val="22"/>
          <w:szCs w:val="22"/>
          <w:lang w:val="fr-FR"/>
        </w:rPr>
        <w:t xml:space="preserve">donnée de présenter ce rapport </w:t>
      </w:r>
      <w:r>
        <w:rPr>
          <w:rFonts w:ascii="Arial" w:hAnsi="Arial" w:cs="Arial"/>
          <w:sz w:val="22"/>
          <w:szCs w:val="22"/>
          <w:lang w:val="fr-FR"/>
        </w:rPr>
        <w:t xml:space="preserve">qui proposait </w:t>
      </w:r>
      <w:r w:rsidRPr="006B45A3">
        <w:rPr>
          <w:rFonts w:ascii="Arial" w:hAnsi="Arial" w:cs="Arial"/>
          <w:sz w:val="22"/>
          <w:szCs w:val="22"/>
          <w:lang w:val="fr-FR"/>
        </w:rPr>
        <w:t xml:space="preserve">des suggestions sur la manière dont les ONG pourraient mieux contribuer à la Convention. Il a remercié ses collègues du Comité </w:t>
      </w:r>
      <w:r>
        <w:rPr>
          <w:rFonts w:ascii="Arial" w:hAnsi="Arial" w:cs="Arial"/>
          <w:sz w:val="22"/>
          <w:szCs w:val="22"/>
          <w:lang w:val="fr-FR"/>
        </w:rPr>
        <w:t xml:space="preserve">de pilotage </w:t>
      </w:r>
      <w:r w:rsidRPr="006B45A3">
        <w:rPr>
          <w:rFonts w:ascii="Arial" w:hAnsi="Arial" w:cs="Arial"/>
          <w:sz w:val="22"/>
          <w:szCs w:val="22"/>
          <w:lang w:val="fr-FR"/>
        </w:rPr>
        <w:t xml:space="preserve">qui </w:t>
      </w:r>
      <w:r>
        <w:rPr>
          <w:rFonts w:ascii="Arial" w:hAnsi="Arial" w:cs="Arial"/>
          <w:sz w:val="22"/>
          <w:szCs w:val="22"/>
          <w:lang w:val="fr-FR"/>
        </w:rPr>
        <w:t>avaient</w:t>
      </w:r>
      <w:r w:rsidRPr="006B45A3">
        <w:rPr>
          <w:rFonts w:ascii="Arial" w:hAnsi="Arial" w:cs="Arial"/>
          <w:sz w:val="22"/>
          <w:szCs w:val="22"/>
          <w:lang w:val="fr-FR"/>
        </w:rPr>
        <w:t xml:space="preserve"> participé à l</w:t>
      </w:r>
      <w:r w:rsidR="008E532B">
        <w:rPr>
          <w:rFonts w:ascii="Arial" w:hAnsi="Arial" w:cs="Arial"/>
          <w:sz w:val="22"/>
          <w:szCs w:val="22"/>
          <w:lang w:val="fr-FR"/>
        </w:rPr>
        <w:t>’</w:t>
      </w:r>
      <w:r w:rsidRPr="006B45A3">
        <w:rPr>
          <w:rFonts w:ascii="Arial" w:hAnsi="Arial" w:cs="Arial"/>
          <w:sz w:val="22"/>
          <w:szCs w:val="22"/>
          <w:lang w:val="fr-FR"/>
        </w:rPr>
        <w:t>élaboration de ce rapport : M.</w:t>
      </w:r>
      <w:r>
        <w:rPr>
          <w:rFonts w:ascii="Arial" w:hAnsi="Arial" w:cs="Arial"/>
          <w:sz w:val="22"/>
          <w:szCs w:val="22"/>
          <w:lang w:val="fr-FR"/>
        </w:rPr>
        <w:t> </w:t>
      </w:r>
      <w:proofErr w:type="spellStart"/>
      <w:r w:rsidRPr="006B45A3">
        <w:rPr>
          <w:rFonts w:ascii="Arial" w:hAnsi="Arial" w:cs="Arial"/>
          <w:sz w:val="22"/>
          <w:szCs w:val="22"/>
          <w:lang w:val="fr-FR"/>
        </w:rPr>
        <w:t>Sekou</w:t>
      </w:r>
      <w:proofErr w:type="spellEnd"/>
      <w:r w:rsidRPr="006B45A3">
        <w:rPr>
          <w:rFonts w:ascii="Arial" w:hAnsi="Arial" w:cs="Arial"/>
          <w:sz w:val="22"/>
          <w:szCs w:val="22"/>
          <w:lang w:val="fr-FR"/>
        </w:rPr>
        <w:t xml:space="preserve"> Berte, représent</w:t>
      </w:r>
      <w:r>
        <w:rPr>
          <w:rFonts w:ascii="Arial" w:hAnsi="Arial" w:cs="Arial"/>
          <w:sz w:val="22"/>
          <w:szCs w:val="22"/>
          <w:lang w:val="fr-FR"/>
        </w:rPr>
        <w:t>ant de</w:t>
      </w:r>
      <w:r w:rsidRPr="006B45A3">
        <w:rPr>
          <w:rFonts w:ascii="Arial" w:hAnsi="Arial" w:cs="Arial"/>
          <w:sz w:val="22"/>
          <w:szCs w:val="22"/>
          <w:lang w:val="fr-FR"/>
        </w:rPr>
        <w:t xml:space="preserve"> l</w:t>
      </w:r>
      <w:r w:rsidR="008E532B">
        <w:rPr>
          <w:rFonts w:ascii="Arial" w:hAnsi="Arial" w:cs="Arial"/>
          <w:sz w:val="22"/>
          <w:szCs w:val="22"/>
          <w:lang w:val="fr-FR"/>
        </w:rPr>
        <w:t>’</w:t>
      </w:r>
      <w:r w:rsidRPr="006B45A3">
        <w:rPr>
          <w:rFonts w:ascii="Arial" w:hAnsi="Arial" w:cs="Arial"/>
          <w:sz w:val="22"/>
          <w:szCs w:val="22"/>
          <w:lang w:val="fr-FR"/>
        </w:rPr>
        <w:t>Afrique au Comité</w:t>
      </w:r>
      <w:r>
        <w:rPr>
          <w:rFonts w:ascii="Arial" w:hAnsi="Arial" w:cs="Arial"/>
          <w:sz w:val="22"/>
          <w:szCs w:val="22"/>
          <w:lang w:val="fr-FR"/>
        </w:rPr>
        <w:t xml:space="preserve"> de pilotage </w:t>
      </w:r>
      <w:r w:rsidRPr="006B45A3">
        <w:rPr>
          <w:rFonts w:ascii="Arial" w:hAnsi="Arial" w:cs="Arial"/>
          <w:sz w:val="22"/>
          <w:szCs w:val="22"/>
          <w:lang w:val="fr-FR"/>
        </w:rPr>
        <w:t>; M.</w:t>
      </w:r>
      <w:r>
        <w:rPr>
          <w:rFonts w:ascii="Arial" w:hAnsi="Arial" w:cs="Arial"/>
          <w:sz w:val="22"/>
          <w:szCs w:val="22"/>
          <w:lang w:val="fr-FR"/>
        </w:rPr>
        <w:t> </w:t>
      </w:r>
      <w:r w:rsidRPr="006B45A3">
        <w:rPr>
          <w:rFonts w:ascii="Arial" w:hAnsi="Arial" w:cs="Arial"/>
          <w:sz w:val="22"/>
          <w:szCs w:val="22"/>
          <w:lang w:val="fr-FR"/>
        </w:rPr>
        <w:t xml:space="preserve">Mohammed </w:t>
      </w:r>
      <w:proofErr w:type="spellStart"/>
      <w:r w:rsidRPr="006B45A3">
        <w:rPr>
          <w:rFonts w:ascii="Arial" w:hAnsi="Arial" w:cs="Arial"/>
          <w:sz w:val="22"/>
          <w:szCs w:val="22"/>
          <w:lang w:val="fr-FR"/>
        </w:rPr>
        <w:t>Lemine</w:t>
      </w:r>
      <w:proofErr w:type="spellEnd"/>
      <w:r w:rsidRPr="006B45A3">
        <w:rPr>
          <w:rFonts w:ascii="Arial" w:hAnsi="Arial" w:cs="Arial"/>
          <w:sz w:val="22"/>
          <w:szCs w:val="22"/>
          <w:lang w:val="fr-FR"/>
        </w:rPr>
        <w:t>, pour les États arabes</w:t>
      </w:r>
      <w:r>
        <w:rPr>
          <w:rFonts w:ascii="Arial" w:hAnsi="Arial" w:cs="Arial"/>
          <w:sz w:val="22"/>
          <w:szCs w:val="22"/>
          <w:lang w:val="fr-FR"/>
        </w:rPr>
        <w:t> </w:t>
      </w:r>
      <w:r w:rsidRPr="006B45A3">
        <w:rPr>
          <w:rFonts w:ascii="Arial" w:hAnsi="Arial" w:cs="Arial"/>
          <w:sz w:val="22"/>
          <w:szCs w:val="22"/>
          <w:lang w:val="fr-FR"/>
        </w:rPr>
        <w:t>; M.</w:t>
      </w:r>
      <w:r>
        <w:rPr>
          <w:rFonts w:ascii="Arial" w:hAnsi="Arial" w:cs="Arial"/>
          <w:sz w:val="22"/>
          <w:szCs w:val="22"/>
          <w:lang w:val="fr-FR"/>
        </w:rPr>
        <w:t> </w:t>
      </w:r>
      <w:r w:rsidRPr="006B45A3">
        <w:rPr>
          <w:rFonts w:ascii="Arial" w:hAnsi="Arial" w:cs="Arial"/>
          <w:sz w:val="22"/>
          <w:szCs w:val="22"/>
          <w:lang w:val="fr-FR"/>
        </w:rPr>
        <w:t xml:space="preserve">Robert Baron, pour les ONG internationales ; </w:t>
      </w:r>
      <w:r w:rsidR="008D65C3">
        <w:rPr>
          <w:rFonts w:ascii="Arial" w:hAnsi="Arial" w:cs="Arial"/>
          <w:sz w:val="22"/>
          <w:szCs w:val="22"/>
          <w:lang w:val="fr-FR"/>
        </w:rPr>
        <w:t>Mme</w:t>
      </w:r>
      <w:r>
        <w:rPr>
          <w:rFonts w:ascii="Arial" w:hAnsi="Arial" w:cs="Arial"/>
          <w:sz w:val="22"/>
          <w:szCs w:val="22"/>
          <w:lang w:val="fr-FR"/>
        </w:rPr>
        <w:t> </w:t>
      </w:r>
      <w:r w:rsidRPr="006B45A3">
        <w:rPr>
          <w:rFonts w:ascii="Arial" w:hAnsi="Arial" w:cs="Arial"/>
          <w:sz w:val="22"/>
          <w:szCs w:val="22"/>
          <w:lang w:val="fr-FR"/>
        </w:rPr>
        <w:t>Tamara Nikolic, pour l</w:t>
      </w:r>
      <w:r w:rsidR="008E532B">
        <w:rPr>
          <w:rFonts w:ascii="Arial" w:hAnsi="Arial" w:cs="Arial"/>
          <w:sz w:val="22"/>
          <w:szCs w:val="22"/>
          <w:lang w:val="fr-FR"/>
        </w:rPr>
        <w:t>’</w:t>
      </w:r>
      <w:r w:rsidRPr="006B45A3">
        <w:rPr>
          <w:rFonts w:ascii="Arial" w:hAnsi="Arial" w:cs="Arial"/>
          <w:sz w:val="22"/>
          <w:szCs w:val="22"/>
          <w:lang w:val="fr-FR"/>
        </w:rPr>
        <w:t>Europe de l</w:t>
      </w:r>
      <w:r w:rsidR="008E532B">
        <w:rPr>
          <w:rFonts w:ascii="Arial" w:hAnsi="Arial" w:cs="Arial"/>
          <w:sz w:val="22"/>
          <w:szCs w:val="22"/>
          <w:lang w:val="fr-FR"/>
        </w:rPr>
        <w:t>’</w:t>
      </w:r>
      <w:r w:rsidRPr="006B45A3">
        <w:rPr>
          <w:rFonts w:ascii="Arial" w:hAnsi="Arial" w:cs="Arial"/>
          <w:sz w:val="22"/>
          <w:szCs w:val="22"/>
          <w:lang w:val="fr-FR"/>
        </w:rPr>
        <w:t>Est</w:t>
      </w:r>
      <w:r>
        <w:rPr>
          <w:rFonts w:ascii="Arial" w:hAnsi="Arial" w:cs="Arial"/>
          <w:sz w:val="22"/>
          <w:szCs w:val="22"/>
          <w:lang w:val="fr-FR"/>
        </w:rPr>
        <w:t xml:space="preserve"> ; </w:t>
      </w:r>
      <w:r w:rsidR="008D65C3">
        <w:rPr>
          <w:rFonts w:ascii="Arial" w:hAnsi="Arial" w:cs="Arial"/>
          <w:sz w:val="22"/>
          <w:szCs w:val="22"/>
          <w:lang w:val="fr-FR"/>
        </w:rPr>
        <w:t>Mme</w:t>
      </w:r>
      <w:r>
        <w:rPr>
          <w:rFonts w:ascii="Arial" w:hAnsi="Arial" w:cs="Arial"/>
          <w:sz w:val="22"/>
          <w:szCs w:val="22"/>
          <w:lang w:val="fr-FR"/>
        </w:rPr>
        <w:t> </w:t>
      </w:r>
      <w:r w:rsidRPr="006B45A3">
        <w:rPr>
          <w:rFonts w:ascii="Arial" w:hAnsi="Arial" w:cs="Arial"/>
          <w:sz w:val="22"/>
          <w:szCs w:val="22"/>
          <w:lang w:val="fr-FR"/>
        </w:rPr>
        <w:t>Janet Blake, pour l</w:t>
      </w:r>
      <w:r w:rsidR="008E532B">
        <w:rPr>
          <w:rFonts w:ascii="Arial" w:hAnsi="Arial" w:cs="Arial"/>
          <w:sz w:val="22"/>
          <w:szCs w:val="22"/>
          <w:lang w:val="fr-FR"/>
        </w:rPr>
        <w:t>’</w:t>
      </w:r>
      <w:r w:rsidRPr="006B45A3">
        <w:rPr>
          <w:rFonts w:ascii="Arial" w:hAnsi="Arial" w:cs="Arial"/>
          <w:sz w:val="22"/>
          <w:szCs w:val="22"/>
          <w:lang w:val="fr-FR"/>
        </w:rPr>
        <w:t>Asie-Pacifique ; M.</w:t>
      </w:r>
      <w:r>
        <w:rPr>
          <w:rFonts w:ascii="Arial" w:hAnsi="Arial" w:cs="Arial"/>
          <w:sz w:val="22"/>
          <w:szCs w:val="22"/>
          <w:lang w:val="fr-FR"/>
        </w:rPr>
        <w:t> </w:t>
      </w:r>
      <w:r w:rsidRPr="006B45A3">
        <w:rPr>
          <w:rFonts w:ascii="Arial" w:hAnsi="Arial" w:cs="Arial"/>
          <w:sz w:val="22"/>
          <w:szCs w:val="22"/>
          <w:lang w:val="fr-FR"/>
        </w:rPr>
        <w:t>Martín Andrade-Pérez, pour l</w:t>
      </w:r>
      <w:r w:rsidR="008E532B">
        <w:rPr>
          <w:rFonts w:ascii="Arial" w:hAnsi="Arial" w:cs="Arial"/>
          <w:sz w:val="22"/>
          <w:szCs w:val="22"/>
          <w:lang w:val="fr-FR"/>
        </w:rPr>
        <w:t>’</w:t>
      </w:r>
      <w:r w:rsidRPr="006B45A3">
        <w:rPr>
          <w:rFonts w:ascii="Arial" w:hAnsi="Arial" w:cs="Arial"/>
          <w:sz w:val="22"/>
          <w:szCs w:val="22"/>
          <w:lang w:val="fr-FR"/>
        </w:rPr>
        <w:t>Amérique latine et les Caraïbes</w:t>
      </w:r>
      <w:r>
        <w:rPr>
          <w:rFonts w:ascii="Arial" w:hAnsi="Arial" w:cs="Arial"/>
          <w:sz w:val="22"/>
          <w:szCs w:val="22"/>
          <w:lang w:val="fr-FR"/>
        </w:rPr>
        <w:t> </w:t>
      </w:r>
      <w:r w:rsidRPr="006B45A3">
        <w:rPr>
          <w:rFonts w:ascii="Arial" w:hAnsi="Arial" w:cs="Arial"/>
          <w:sz w:val="22"/>
          <w:szCs w:val="22"/>
          <w:lang w:val="fr-FR"/>
        </w:rPr>
        <w:t>; et lui-même pour l</w:t>
      </w:r>
      <w:r w:rsidR="008E532B">
        <w:rPr>
          <w:rFonts w:ascii="Arial" w:hAnsi="Arial" w:cs="Arial"/>
          <w:sz w:val="22"/>
          <w:szCs w:val="22"/>
          <w:lang w:val="fr-FR"/>
        </w:rPr>
        <w:t>’</w:t>
      </w:r>
      <w:r w:rsidRPr="006B45A3">
        <w:rPr>
          <w:rFonts w:ascii="Arial" w:hAnsi="Arial" w:cs="Arial"/>
          <w:sz w:val="22"/>
          <w:szCs w:val="22"/>
          <w:lang w:val="fr-FR"/>
        </w:rPr>
        <w:t>Amérique du Nord et l</w:t>
      </w:r>
      <w:r w:rsidR="008E532B">
        <w:rPr>
          <w:rFonts w:ascii="Arial" w:hAnsi="Arial" w:cs="Arial"/>
          <w:sz w:val="22"/>
          <w:szCs w:val="22"/>
          <w:lang w:val="fr-FR"/>
        </w:rPr>
        <w:t>’</w:t>
      </w:r>
      <w:r w:rsidRPr="006B45A3">
        <w:rPr>
          <w:rFonts w:ascii="Arial" w:hAnsi="Arial" w:cs="Arial"/>
          <w:sz w:val="22"/>
          <w:szCs w:val="22"/>
          <w:lang w:val="fr-FR"/>
        </w:rPr>
        <w:t>Europe. Le Forum féd</w:t>
      </w:r>
      <w:r>
        <w:rPr>
          <w:rFonts w:ascii="Arial" w:hAnsi="Arial" w:cs="Arial"/>
          <w:sz w:val="22"/>
          <w:szCs w:val="22"/>
          <w:lang w:val="fr-FR"/>
        </w:rPr>
        <w:t>érait</w:t>
      </w:r>
      <w:r w:rsidRPr="006B45A3">
        <w:rPr>
          <w:rFonts w:ascii="Arial" w:hAnsi="Arial" w:cs="Arial"/>
          <w:sz w:val="22"/>
          <w:szCs w:val="22"/>
          <w:lang w:val="fr-FR"/>
        </w:rPr>
        <w:t xml:space="preserve"> désormais 184 ONG accréditées, profondément ancrées dans les communautés et </w:t>
      </w:r>
      <w:r>
        <w:rPr>
          <w:rFonts w:ascii="Arial" w:hAnsi="Arial" w:cs="Arial"/>
          <w:sz w:val="22"/>
          <w:szCs w:val="22"/>
          <w:lang w:val="fr-FR"/>
        </w:rPr>
        <w:t xml:space="preserve">participant </w:t>
      </w:r>
      <w:r w:rsidRPr="006B45A3">
        <w:rPr>
          <w:rFonts w:ascii="Arial" w:hAnsi="Arial" w:cs="Arial"/>
          <w:sz w:val="22"/>
          <w:szCs w:val="22"/>
          <w:lang w:val="fr-FR"/>
        </w:rPr>
        <w:t xml:space="preserve">activement </w:t>
      </w:r>
      <w:r>
        <w:rPr>
          <w:rFonts w:ascii="Arial" w:hAnsi="Arial" w:cs="Arial"/>
          <w:sz w:val="22"/>
          <w:szCs w:val="22"/>
          <w:lang w:val="fr-FR"/>
        </w:rPr>
        <w:t>à</w:t>
      </w:r>
      <w:r w:rsidRPr="006B45A3">
        <w:rPr>
          <w:rFonts w:ascii="Arial" w:hAnsi="Arial" w:cs="Arial"/>
          <w:sz w:val="22"/>
          <w:szCs w:val="22"/>
          <w:lang w:val="fr-FR"/>
        </w:rPr>
        <w:t xml:space="preserve"> la sauvegarde du </w:t>
      </w:r>
      <w:r w:rsidR="0064242E">
        <w:rPr>
          <w:rFonts w:ascii="Arial" w:eastAsia="SimSun" w:hAnsi="Arial" w:cs="Arial"/>
          <w:bCs/>
          <w:sz w:val="22"/>
          <w:szCs w:val="22"/>
          <w:lang w:val="fr-FR" w:eastAsia="en-US"/>
        </w:rPr>
        <w:t>patrimoine culturel immatériel</w:t>
      </w:r>
      <w:r w:rsidRPr="006B45A3">
        <w:rPr>
          <w:rFonts w:ascii="Arial" w:hAnsi="Arial" w:cs="Arial"/>
          <w:sz w:val="22"/>
          <w:szCs w:val="22"/>
          <w:lang w:val="fr-FR"/>
        </w:rPr>
        <w:t xml:space="preserve">. Depuis sa fondation en 2009/2010, il </w:t>
      </w:r>
      <w:r>
        <w:rPr>
          <w:rFonts w:ascii="Arial" w:hAnsi="Arial" w:cs="Arial"/>
          <w:sz w:val="22"/>
          <w:szCs w:val="22"/>
          <w:lang w:val="fr-FR"/>
        </w:rPr>
        <w:t>était</w:t>
      </w:r>
      <w:r w:rsidRPr="006B45A3">
        <w:rPr>
          <w:rFonts w:ascii="Arial" w:hAnsi="Arial" w:cs="Arial"/>
          <w:sz w:val="22"/>
          <w:szCs w:val="22"/>
          <w:lang w:val="fr-FR"/>
        </w:rPr>
        <w:t xml:space="preserve"> devenu la principale plateforme de communication, de mise en réseau, d</w:t>
      </w:r>
      <w:r w:rsidR="008E532B">
        <w:rPr>
          <w:rFonts w:ascii="Arial" w:hAnsi="Arial" w:cs="Arial"/>
          <w:sz w:val="22"/>
          <w:szCs w:val="22"/>
          <w:lang w:val="fr-FR"/>
        </w:rPr>
        <w:t>’</w:t>
      </w:r>
      <w:r w:rsidRPr="006B45A3">
        <w:rPr>
          <w:rFonts w:ascii="Arial" w:hAnsi="Arial" w:cs="Arial"/>
          <w:sz w:val="22"/>
          <w:szCs w:val="22"/>
          <w:lang w:val="fr-FR"/>
        </w:rPr>
        <w:t>échange et de coopération entre les ONG accréditées</w:t>
      </w:r>
      <w:r>
        <w:rPr>
          <w:rFonts w:ascii="Arial" w:hAnsi="Arial" w:cs="Arial"/>
          <w:sz w:val="22"/>
          <w:szCs w:val="22"/>
          <w:lang w:val="fr-FR"/>
        </w:rPr>
        <w:t xml:space="preserve"> en charge de la </w:t>
      </w:r>
      <w:r w:rsidRPr="006B45A3">
        <w:rPr>
          <w:rFonts w:ascii="Arial" w:hAnsi="Arial" w:cs="Arial"/>
          <w:sz w:val="22"/>
          <w:szCs w:val="22"/>
          <w:lang w:val="fr-FR"/>
        </w:rPr>
        <w:t>sauvegard</w:t>
      </w:r>
      <w:r>
        <w:rPr>
          <w:rFonts w:ascii="Arial" w:hAnsi="Arial" w:cs="Arial"/>
          <w:sz w:val="22"/>
          <w:szCs w:val="22"/>
          <w:lang w:val="fr-FR"/>
        </w:rPr>
        <w:t>e du</w:t>
      </w:r>
      <w:r w:rsidRPr="006B45A3">
        <w:rPr>
          <w:rFonts w:ascii="Arial" w:hAnsi="Arial" w:cs="Arial"/>
          <w:sz w:val="22"/>
          <w:szCs w:val="22"/>
          <w:lang w:val="fr-FR"/>
        </w:rPr>
        <w:t xml:space="preserv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proofErr w:type="gramStart"/>
      <w:r w:rsidRPr="006B45A3">
        <w:rPr>
          <w:rFonts w:ascii="Arial" w:hAnsi="Arial" w:cs="Arial"/>
          <w:sz w:val="22"/>
          <w:szCs w:val="22"/>
          <w:lang w:val="fr-FR"/>
        </w:rPr>
        <w:t>aux niveaux national</w:t>
      </w:r>
      <w:proofErr w:type="gramEnd"/>
      <w:r w:rsidRPr="006B45A3">
        <w:rPr>
          <w:rFonts w:ascii="Arial" w:hAnsi="Arial" w:cs="Arial"/>
          <w:sz w:val="22"/>
          <w:szCs w:val="22"/>
          <w:lang w:val="fr-FR"/>
        </w:rPr>
        <w:t>, régional et international. Le Forum apport</w:t>
      </w:r>
      <w:r>
        <w:rPr>
          <w:rFonts w:ascii="Arial" w:hAnsi="Arial" w:cs="Arial"/>
          <w:sz w:val="22"/>
          <w:szCs w:val="22"/>
          <w:lang w:val="fr-FR"/>
        </w:rPr>
        <w:t>ait</w:t>
      </w:r>
      <w:r w:rsidRPr="006B45A3">
        <w:rPr>
          <w:rFonts w:ascii="Arial" w:hAnsi="Arial" w:cs="Arial"/>
          <w:sz w:val="22"/>
          <w:szCs w:val="22"/>
          <w:lang w:val="fr-FR"/>
        </w:rPr>
        <w:t xml:space="preserve"> à la Convention </w:t>
      </w:r>
      <w:r>
        <w:rPr>
          <w:rFonts w:ascii="Arial" w:hAnsi="Arial" w:cs="Arial"/>
          <w:sz w:val="22"/>
          <w:szCs w:val="22"/>
          <w:lang w:val="fr-FR"/>
        </w:rPr>
        <w:t xml:space="preserve">une expertise et </w:t>
      </w:r>
      <w:r w:rsidRPr="006C227A">
        <w:rPr>
          <w:rFonts w:ascii="Arial" w:hAnsi="Arial" w:cs="Arial"/>
          <w:sz w:val="22"/>
          <w:szCs w:val="22"/>
          <w:lang w:val="fr-FR"/>
        </w:rPr>
        <w:t>des expériences</w:t>
      </w:r>
      <w:r>
        <w:rPr>
          <w:rFonts w:ascii="Arial" w:hAnsi="Arial" w:cs="Arial"/>
          <w:sz w:val="22"/>
          <w:szCs w:val="22"/>
          <w:lang w:val="fr-FR"/>
        </w:rPr>
        <w:t xml:space="preserve"> </w:t>
      </w:r>
      <w:r w:rsidRPr="006C227A">
        <w:rPr>
          <w:rFonts w:ascii="Arial" w:hAnsi="Arial" w:cs="Arial"/>
          <w:sz w:val="22"/>
          <w:szCs w:val="22"/>
          <w:lang w:val="fr-FR"/>
        </w:rPr>
        <w:t>très diverses en matière de sauvegarde. Ce rapport donn</w:t>
      </w:r>
      <w:r>
        <w:rPr>
          <w:rFonts w:ascii="Arial" w:hAnsi="Arial" w:cs="Arial"/>
          <w:sz w:val="22"/>
          <w:szCs w:val="22"/>
          <w:lang w:val="fr-FR"/>
        </w:rPr>
        <w:t>ait</w:t>
      </w:r>
      <w:r w:rsidRPr="006C227A">
        <w:rPr>
          <w:rFonts w:ascii="Arial" w:hAnsi="Arial" w:cs="Arial"/>
          <w:sz w:val="22"/>
          <w:szCs w:val="22"/>
          <w:lang w:val="fr-FR"/>
        </w:rPr>
        <w:t xml:space="preserve"> un aperçu du Forum des ONG depuis sa création et son évolution jusqu</w:t>
      </w:r>
      <w:r w:rsidR="008E532B">
        <w:rPr>
          <w:rFonts w:ascii="Arial" w:hAnsi="Arial" w:cs="Arial"/>
          <w:sz w:val="22"/>
          <w:szCs w:val="22"/>
          <w:lang w:val="fr-FR"/>
        </w:rPr>
        <w:t>’</w:t>
      </w:r>
      <w:r w:rsidRPr="006C227A">
        <w:rPr>
          <w:rFonts w:ascii="Arial" w:hAnsi="Arial" w:cs="Arial"/>
          <w:sz w:val="22"/>
          <w:szCs w:val="22"/>
          <w:lang w:val="fr-FR"/>
        </w:rPr>
        <w:t>à aujourd</w:t>
      </w:r>
      <w:r w:rsidR="008E532B">
        <w:rPr>
          <w:rFonts w:ascii="Arial" w:hAnsi="Arial" w:cs="Arial"/>
          <w:sz w:val="22"/>
          <w:szCs w:val="22"/>
          <w:lang w:val="fr-FR"/>
        </w:rPr>
        <w:t>’</w:t>
      </w:r>
      <w:r w:rsidRPr="006C227A">
        <w:rPr>
          <w:rFonts w:ascii="Arial" w:hAnsi="Arial" w:cs="Arial"/>
          <w:sz w:val="22"/>
          <w:szCs w:val="22"/>
          <w:lang w:val="fr-FR"/>
        </w:rPr>
        <w:t>hui. Il résum</w:t>
      </w:r>
      <w:r>
        <w:rPr>
          <w:rFonts w:ascii="Arial" w:hAnsi="Arial" w:cs="Arial"/>
          <w:sz w:val="22"/>
          <w:szCs w:val="22"/>
          <w:lang w:val="fr-FR"/>
        </w:rPr>
        <w:t>ait</w:t>
      </w:r>
      <w:r w:rsidRPr="006C227A">
        <w:rPr>
          <w:rFonts w:ascii="Arial" w:hAnsi="Arial" w:cs="Arial"/>
          <w:sz w:val="22"/>
          <w:szCs w:val="22"/>
          <w:lang w:val="fr-FR"/>
        </w:rPr>
        <w:t xml:space="preserve"> les activités et les initiatives prises de 2020 à 2022</w:t>
      </w:r>
      <w:r>
        <w:rPr>
          <w:rFonts w:ascii="Arial" w:hAnsi="Arial" w:cs="Arial"/>
          <w:sz w:val="22"/>
          <w:szCs w:val="22"/>
          <w:lang w:val="fr-FR"/>
        </w:rPr>
        <w:t xml:space="preserve">, </w:t>
      </w:r>
      <w:r w:rsidRPr="006C227A">
        <w:rPr>
          <w:rFonts w:ascii="Arial" w:hAnsi="Arial" w:cs="Arial"/>
          <w:sz w:val="22"/>
          <w:szCs w:val="22"/>
          <w:lang w:val="fr-FR"/>
        </w:rPr>
        <w:t>sugg</w:t>
      </w:r>
      <w:r>
        <w:rPr>
          <w:rFonts w:ascii="Arial" w:hAnsi="Arial" w:cs="Arial"/>
          <w:sz w:val="22"/>
          <w:szCs w:val="22"/>
          <w:lang w:val="fr-FR"/>
        </w:rPr>
        <w:t>érait</w:t>
      </w:r>
      <w:r w:rsidRPr="006C227A">
        <w:rPr>
          <w:rFonts w:ascii="Arial" w:hAnsi="Arial" w:cs="Arial"/>
          <w:sz w:val="22"/>
          <w:szCs w:val="22"/>
          <w:lang w:val="fr-FR"/>
        </w:rPr>
        <w:t xml:space="preserve"> des voies pour le développement organisationnel du Forum, et propos</w:t>
      </w:r>
      <w:r>
        <w:rPr>
          <w:rFonts w:ascii="Arial" w:hAnsi="Arial" w:cs="Arial"/>
          <w:sz w:val="22"/>
          <w:szCs w:val="22"/>
          <w:lang w:val="fr-FR"/>
        </w:rPr>
        <w:t>ait</w:t>
      </w:r>
      <w:r w:rsidRPr="006C227A">
        <w:rPr>
          <w:rFonts w:ascii="Arial" w:hAnsi="Arial" w:cs="Arial"/>
          <w:sz w:val="22"/>
          <w:szCs w:val="22"/>
          <w:lang w:val="fr-FR"/>
        </w:rPr>
        <w:t xml:space="preserve"> de nouvelles fonctions consultatives potentielles pour le Forum. Fondé à l</w:t>
      </w:r>
      <w:r w:rsidR="008E532B">
        <w:rPr>
          <w:rFonts w:ascii="Arial" w:hAnsi="Arial" w:cs="Arial"/>
          <w:sz w:val="22"/>
          <w:szCs w:val="22"/>
          <w:lang w:val="fr-FR"/>
        </w:rPr>
        <w:t>’</w:t>
      </w:r>
      <w:r w:rsidRPr="006C227A">
        <w:rPr>
          <w:rFonts w:ascii="Arial" w:hAnsi="Arial" w:cs="Arial"/>
          <w:sz w:val="22"/>
          <w:szCs w:val="22"/>
          <w:lang w:val="fr-FR"/>
        </w:rPr>
        <w:t>initiative d</w:t>
      </w:r>
      <w:r w:rsidR="008E532B">
        <w:rPr>
          <w:rFonts w:ascii="Arial" w:hAnsi="Arial" w:cs="Arial"/>
          <w:sz w:val="22"/>
          <w:szCs w:val="22"/>
          <w:lang w:val="fr-FR"/>
        </w:rPr>
        <w:t>’</w:t>
      </w:r>
      <w:r w:rsidRPr="006C227A">
        <w:rPr>
          <w:rFonts w:ascii="Arial" w:hAnsi="Arial" w:cs="Arial"/>
          <w:sz w:val="22"/>
          <w:szCs w:val="22"/>
          <w:lang w:val="fr-FR"/>
        </w:rPr>
        <w:t>ONG en 2015, le Forum a</w:t>
      </w:r>
      <w:r>
        <w:rPr>
          <w:rFonts w:ascii="Arial" w:hAnsi="Arial" w:cs="Arial"/>
          <w:sz w:val="22"/>
          <w:szCs w:val="22"/>
          <w:lang w:val="fr-FR"/>
        </w:rPr>
        <w:t>vait</w:t>
      </w:r>
      <w:r w:rsidRPr="006C227A">
        <w:rPr>
          <w:rFonts w:ascii="Arial" w:hAnsi="Arial" w:cs="Arial"/>
          <w:sz w:val="22"/>
          <w:szCs w:val="22"/>
          <w:lang w:val="fr-FR"/>
        </w:rPr>
        <w:t xml:space="preserve"> rapidement développé des pratiques de gouvernance saines et </w:t>
      </w:r>
      <w:r>
        <w:rPr>
          <w:rFonts w:ascii="Arial" w:hAnsi="Arial" w:cs="Arial"/>
          <w:sz w:val="22"/>
          <w:szCs w:val="22"/>
          <w:lang w:val="fr-FR"/>
        </w:rPr>
        <w:t>disposé d</w:t>
      </w:r>
      <w:r w:rsidR="008E532B">
        <w:rPr>
          <w:rFonts w:ascii="Arial" w:hAnsi="Arial" w:cs="Arial"/>
          <w:sz w:val="22"/>
          <w:szCs w:val="22"/>
          <w:lang w:val="fr-FR"/>
        </w:rPr>
        <w:t>’</w:t>
      </w:r>
      <w:r w:rsidRPr="006C227A">
        <w:rPr>
          <w:rFonts w:ascii="Arial" w:hAnsi="Arial" w:cs="Arial"/>
          <w:sz w:val="22"/>
          <w:szCs w:val="22"/>
          <w:lang w:val="fr-FR"/>
        </w:rPr>
        <w:t>une structure organisationnelle solide. Les membres représent</w:t>
      </w:r>
      <w:r>
        <w:rPr>
          <w:rFonts w:ascii="Arial" w:hAnsi="Arial" w:cs="Arial"/>
          <w:sz w:val="22"/>
          <w:szCs w:val="22"/>
          <w:lang w:val="fr-FR"/>
        </w:rPr>
        <w:t>aient</w:t>
      </w:r>
      <w:r w:rsidRPr="006C227A">
        <w:rPr>
          <w:rFonts w:ascii="Arial" w:hAnsi="Arial" w:cs="Arial"/>
          <w:sz w:val="22"/>
          <w:szCs w:val="22"/>
          <w:lang w:val="fr-FR"/>
        </w:rPr>
        <w:t xml:space="preserve"> les six régions de l</w:t>
      </w:r>
      <w:r w:rsidR="008E532B">
        <w:rPr>
          <w:rFonts w:ascii="Arial" w:hAnsi="Arial" w:cs="Arial"/>
          <w:sz w:val="22"/>
          <w:szCs w:val="22"/>
          <w:lang w:val="fr-FR"/>
        </w:rPr>
        <w:t>’</w:t>
      </w:r>
      <w:r w:rsidRPr="006C227A">
        <w:rPr>
          <w:rFonts w:ascii="Arial" w:hAnsi="Arial" w:cs="Arial"/>
          <w:sz w:val="22"/>
          <w:szCs w:val="22"/>
          <w:lang w:val="fr-FR"/>
        </w:rPr>
        <w:t>UNESCO ainsi que des ONG internationales, ce qui se refl</w:t>
      </w:r>
      <w:r>
        <w:rPr>
          <w:rFonts w:ascii="Arial" w:hAnsi="Arial" w:cs="Arial"/>
          <w:sz w:val="22"/>
          <w:szCs w:val="22"/>
          <w:lang w:val="fr-FR"/>
        </w:rPr>
        <w:t>était</w:t>
      </w:r>
      <w:r w:rsidRPr="006C227A">
        <w:rPr>
          <w:rFonts w:ascii="Arial" w:hAnsi="Arial" w:cs="Arial"/>
          <w:sz w:val="22"/>
          <w:szCs w:val="22"/>
          <w:lang w:val="fr-FR"/>
        </w:rPr>
        <w:t xml:space="preserve"> dans les sept membres démocratiquement élus du </w:t>
      </w:r>
      <w:r>
        <w:rPr>
          <w:rFonts w:ascii="Arial" w:hAnsi="Arial" w:cs="Arial"/>
          <w:sz w:val="22"/>
          <w:szCs w:val="22"/>
          <w:lang w:val="fr-FR"/>
        </w:rPr>
        <w:t>C</w:t>
      </w:r>
      <w:r w:rsidRPr="006C227A">
        <w:rPr>
          <w:rFonts w:ascii="Arial" w:hAnsi="Arial" w:cs="Arial"/>
          <w:sz w:val="22"/>
          <w:szCs w:val="22"/>
          <w:lang w:val="fr-FR"/>
        </w:rPr>
        <w:t xml:space="preserve">omité </w:t>
      </w:r>
      <w:r>
        <w:rPr>
          <w:rFonts w:ascii="Arial" w:hAnsi="Arial" w:cs="Arial"/>
          <w:sz w:val="22"/>
          <w:szCs w:val="22"/>
          <w:lang w:val="fr-FR"/>
        </w:rPr>
        <w:t xml:space="preserve">de pilotage </w:t>
      </w:r>
      <w:r w:rsidRPr="006C227A">
        <w:rPr>
          <w:rFonts w:ascii="Arial" w:hAnsi="Arial" w:cs="Arial"/>
          <w:sz w:val="22"/>
          <w:szCs w:val="22"/>
          <w:lang w:val="fr-FR"/>
        </w:rPr>
        <w:t>du Forum qui se réuni</w:t>
      </w:r>
      <w:r>
        <w:rPr>
          <w:rFonts w:ascii="Arial" w:hAnsi="Arial" w:cs="Arial"/>
          <w:sz w:val="22"/>
          <w:szCs w:val="22"/>
          <w:lang w:val="fr-FR"/>
        </w:rPr>
        <w:t>ssent</w:t>
      </w:r>
      <w:r w:rsidRPr="006C227A">
        <w:rPr>
          <w:rFonts w:ascii="Arial" w:hAnsi="Arial" w:cs="Arial"/>
          <w:sz w:val="22"/>
          <w:szCs w:val="22"/>
          <w:lang w:val="fr-FR"/>
        </w:rPr>
        <w:t xml:space="preserve"> régulièrement tous les mois pour planifier et </w:t>
      </w:r>
      <w:r>
        <w:rPr>
          <w:rFonts w:ascii="Arial" w:hAnsi="Arial" w:cs="Arial"/>
          <w:sz w:val="22"/>
          <w:szCs w:val="22"/>
          <w:lang w:val="fr-FR"/>
        </w:rPr>
        <w:t xml:space="preserve">mettre en œuvre </w:t>
      </w:r>
      <w:r w:rsidRPr="006C227A">
        <w:rPr>
          <w:rFonts w:ascii="Arial" w:hAnsi="Arial" w:cs="Arial"/>
          <w:sz w:val="22"/>
          <w:szCs w:val="22"/>
          <w:lang w:val="fr-FR"/>
        </w:rPr>
        <w:t xml:space="preserve">diverses initiatives. </w:t>
      </w:r>
      <w:r>
        <w:rPr>
          <w:rFonts w:ascii="Arial" w:hAnsi="Arial" w:cs="Arial"/>
          <w:sz w:val="22"/>
          <w:szCs w:val="22"/>
          <w:lang w:val="fr-FR"/>
        </w:rPr>
        <w:t xml:space="preserve">Il était </w:t>
      </w:r>
      <w:r w:rsidRPr="006C227A">
        <w:rPr>
          <w:rFonts w:ascii="Arial" w:hAnsi="Arial" w:cs="Arial"/>
          <w:sz w:val="22"/>
          <w:szCs w:val="22"/>
          <w:lang w:val="fr-FR"/>
        </w:rPr>
        <w:t>assisté par cinq groupes de travail spécialisés sur : i) la recherche</w:t>
      </w:r>
      <w:r>
        <w:rPr>
          <w:rFonts w:ascii="Arial" w:hAnsi="Arial" w:cs="Arial"/>
          <w:sz w:val="22"/>
          <w:szCs w:val="22"/>
          <w:lang w:val="fr-FR"/>
        </w:rPr>
        <w:t> </w:t>
      </w:r>
      <w:r w:rsidRPr="006C227A">
        <w:rPr>
          <w:rFonts w:ascii="Arial" w:hAnsi="Arial" w:cs="Arial"/>
          <w:sz w:val="22"/>
          <w:szCs w:val="22"/>
          <w:lang w:val="fr-FR"/>
        </w:rPr>
        <w:t xml:space="preserve">; ii) le </w:t>
      </w:r>
      <w:r>
        <w:rPr>
          <w:rFonts w:ascii="Arial" w:hAnsi="Arial" w:cs="Arial"/>
          <w:sz w:val="22"/>
          <w:szCs w:val="22"/>
          <w:lang w:val="fr-FR"/>
        </w:rPr>
        <w:t>Cadre global de résultats </w:t>
      </w:r>
      <w:r w:rsidRPr="006C227A">
        <w:rPr>
          <w:rFonts w:ascii="Arial" w:hAnsi="Arial" w:cs="Arial"/>
          <w:sz w:val="22"/>
          <w:szCs w:val="22"/>
          <w:lang w:val="fr-FR"/>
        </w:rPr>
        <w:t>; iii) l</w:t>
      </w:r>
      <w:r w:rsidR="008E532B">
        <w:rPr>
          <w:rFonts w:ascii="Arial" w:hAnsi="Arial" w:cs="Arial"/>
          <w:sz w:val="22"/>
          <w:szCs w:val="22"/>
          <w:lang w:val="fr-FR"/>
        </w:rPr>
        <w:t>’</w:t>
      </w:r>
      <w:r w:rsidRPr="006C227A">
        <w:rPr>
          <w:rFonts w:ascii="Arial" w:hAnsi="Arial" w:cs="Arial"/>
          <w:sz w:val="22"/>
          <w:szCs w:val="22"/>
          <w:lang w:val="fr-FR"/>
        </w:rPr>
        <w:t>augmentation de la représentation des régions sous-représentées</w:t>
      </w:r>
      <w:r>
        <w:rPr>
          <w:rFonts w:ascii="Arial" w:hAnsi="Arial" w:cs="Arial"/>
          <w:sz w:val="22"/>
          <w:szCs w:val="22"/>
          <w:lang w:val="fr-FR"/>
        </w:rPr>
        <w:t> </w:t>
      </w:r>
      <w:r w:rsidRPr="006C227A">
        <w:rPr>
          <w:rFonts w:ascii="Arial" w:hAnsi="Arial" w:cs="Arial"/>
          <w:sz w:val="22"/>
          <w:szCs w:val="22"/>
          <w:lang w:val="fr-FR"/>
        </w:rPr>
        <w:t>; iv) l</w:t>
      </w:r>
      <w:r w:rsidR="008E532B">
        <w:rPr>
          <w:rFonts w:ascii="Arial" w:hAnsi="Arial" w:cs="Arial"/>
          <w:sz w:val="22"/>
          <w:szCs w:val="22"/>
          <w:lang w:val="fr-FR"/>
        </w:rPr>
        <w:t>’</w:t>
      </w:r>
      <w:r w:rsidRPr="006C227A">
        <w:rPr>
          <w:rFonts w:ascii="Arial" w:hAnsi="Arial" w:cs="Arial"/>
          <w:sz w:val="22"/>
          <w:szCs w:val="22"/>
          <w:lang w:val="fr-FR"/>
        </w:rPr>
        <w:t>éthique ; et v) les technologies de l</w:t>
      </w:r>
      <w:r w:rsidR="008E532B">
        <w:rPr>
          <w:rFonts w:ascii="Arial" w:hAnsi="Arial" w:cs="Arial"/>
          <w:sz w:val="22"/>
          <w:szCs w:val="22"/>
          <w:lang w:val="fr-FR"/>
        </w:rPr>
        <w:t>’</w:t>
      </w:r>
      <w:r w:rsidRPr="006C227A">
        <w:rPr>
          <w:rFonts w:ascii="Arial" w:hAnsi="Arial" w:cs="Arial"/>
          <w:sz w:val="22"/>
          <w:szCs w:val="22"/>
          <w:lang w:val="fr-FR"/>
        </w:rPr>
        <w:t>information. Il dispos</w:t>
      </w:r>
      <w:r>
        <w:rPr>
          <w:rFonts w:ascii="Arial" w:hAnsi="Arial" w:cs="Arial"/>
          <w:sz w:val="22"/>
          <w:szCs w:val="22"/>
          <w:lang w:val="fr-FR"/>
        </w:rPr>
        <w:t>ait</w:t>
      </w:r>
      <w:r w:rsidRPr="006C227A">
        <w:rPr>
          <w:rFonts w:ascii="Arial" w:hAnsi="Arial" w:cs="Arial"/>
          <w:sz w:val="22"/>
          <w:szCs w:val="22"/>
          <w:lang w:val="fr-FR"/>
        </w:rPr>
        <w:t xml:space="preserve"> également d</w:t>
      </w:r>
      <w:r w:rsidR="008E532B">
        <w:rPr>
          <w:rFonts w:ascii="Arial" w:hAnsi="Arial" w:cs="Arial"/>
          <w:sz w:val="22"/>
          <w:szCs w:val="22"/>
          <w:lang w:val="fr-FR"/>
        </w:rPr>
        <w:t>’</w:t>
      </w:r>
      <w:r w:rsidRPr="006C227A">
        <w:rPr>
          <w:rFonts w:ascii="Arial" w:hAnsi="Arial" w:cs="Arial"/>
          <w:sz w:val="22"/>
          <w:szCs w:val="22"/>
          <w:lang w:val="fr-FR"/>
        </w:rPr>
        <w:t xml:space="preserve">un </w:t>
      </w:r>
      <w:r>
        <w:rPr>
          <w:rFonts w:ascii="Arial" w:hAnsi="Arial" w:cs="Arial"/>
          <w:sz w:val="22"/>
          <w:szCs w:val="22"/>
          <w:lang w:val="fr-FR"/>
        </w:rPr>
        <w:t>C</w:t>
      </w:r>
      <w:r w:rsidRPr="006C227A">
        <w:rPr>
          <w:rFonts w:ascii="Arial" w:hAnsi="Arial" w:cs="Arial"/>
          <w:sz w:val="22"/>
          <w:szCs w:val="22"/>
          <w:lang w:val="fr-FR"/>
        </w:rPr>
        <w:t xml:space="preserve">omité ad hoc </w:t>
      </w:r>
      <w:r>
        <w:rPr>
          <w:rFonts w:ascii="Arial" w:hAnsi="Arial" w:cs="Arial"/>
          <w:sz w:val="22"/>
          <w:szCs w:val="22"/>
          <w:lang w:val="fr-FR"/>
        </w:rPr>
        <w:t xml:space="preserve">consacré </w:t>
      </w:r>
      <w:r w:rsidRPr="006C227A">
        <w:rPr>
          <w:rFonts w:ascii="Arial" w:hAnsi="Arial" w:cs="Arial"/>
          <w:sz w:val="22"/>
          <w:szCs w:val="22"/>
          <w:lang w:val="fr-FR"/>
        </w:rPr>
        <w:t>à l</w:t>
      </w:r>
      <w:r w:rsidR="008E532B">
        <w:rPr>
          <w:rFonts w:ascii="Arial" w:hAnsi="Arial" w:cs="Arial"/>
          <w:sz w:val="22"/>
          <w:szCs w:val="22"/>
          <w:lang w:val="fr-FR"/>
        </w:rPr>
        <w:t>’</w:t>
      </w:r>
      <w:r w:rsidRPr="006C227A">
        <w:rPr>
          <w:rFonts w:ascii="Arial" w:hAnsi="Arial" w:cs="Arial"/>
          <w:sz w:val="22"/>
          <w:szCs w:val="22"/>
          <w:lang w:val="fr-FR"/>
        </w:rPr>
        <w:t>amélioration des instruments réglementaires du Forum,</w:t>
      </w:r>
      <w:r>
        <w:rPr>
          <w:rFonts w:ascii="Arial" w:hAnsi="Arial" w:cs="Arial"/>
          <w:sz w:val="22"/>
          <w:szCs w:val="22"/>
          <w:lang w:val="fr-FR"/>
        </w:rPr>
        <w:t xml:space="preserve"> c.-à-d. </w:t>
      </w:r>
      <w:r w:rsidRPr="006C227A">
        <w:rPr>
          <w:rFonts w:ascii="Arial" w:hAnsi="Arial" w:cs="Arial"/>
          <w:sz w:val="22"/>
          <w:szCs w:val="22"/>
          <w:lang w:val="fr-FR"/>
        </w:rPr>
        <w:t>les statuts et les règles électorales, et d</w:t>
      </w:r>
      <w:r w:rsidR="008E532B">
        <w:rPr>
          <w:rFonts w:ascii="Arial" w:hAnsi="Arial" w:cs="Arial"/>
          <w:sz w:val="22"/>
          <w:szCs w:val="22"/>
          <w:lang w:val="fr-FR"/>
        </w:rPr>
        <w:t>’</w:t>
      </w:r>
      <w:r w:rsidRPr="006C227A">
        <w:rPr>
          <w:rFonts w:ascii="Arial" w:hAnsi="Arial" w:cs="Arial"/>
          <w:sz w:val="22"/>
          <w:szCs w:val="22"/>
          <w:lang w:val="fr-FR"/>
        </w:rPr>
        <w:t xml:space="preserve">un </w:t>
      </w:r>
      <w:r>
        <w:rPr>
          <w:rFonts w:ascii="Arial" w:hAnsi="Arial" w:cs="Arial"/>
          <w:sz w:val="22"/>
          <w:szCs w:val="22"/>
          <w:lang w:val="fr-FR"/>
        </w:rPr>
        <w:t>C</w:t>
      </w:r>
      <w:r w:rsidRPr="006C227A">
        <w:rPr>
          <w:rFonts w:ascii="Arial" w:hAnsi="Arial" w:cs="Arial"/>
          <w:sz w:val="22"/>
          <w:szCs w:val="22"/>
          <w:lang w:val="fr-FR"/>
        </w:rPr>
        <w:t xml:space="preserve">omité </w:t>
      </w:r>
      <w:r>
        <w:rPr>
          <w:rFonts w:ascii="Arial" w:hAnsi="Arial" w:cs="Arial"/>
          <w:sz w:val="22"/>
          <w:szCs w:val="22"/>
          <w:lang w:val="fr-FR"/>
        </w:rPr>
        <w:t>en charge de la</w:t>
      </w:r>
      <w:r w:rsidRPr="006C227A">
        <w:rPr>
          <w:rFonts w:ascii="Arial" w:hAnsi="Arial" w:cs="Arial"/>
          <w:sz w:val="22"/>
          <w:szCs w:val="22"/>
          <w:lang w:val="fr-FR"/>
        </w:rPr>
        <w:t xml:space="preserve"> collecte de fonds nouvellement créé. Le Comité </w:t>
      </w:r>
      <w:r>
        <w:rPr>
          <w:rFonts w:ascii="Arial" w:hAnsi="Arial" w:cs="Arial"/>
          <w:sz w:val="22"/>
          <w:szCs w:val="22"/>
          <w:lang w:val="fr-FR"/>
        </w:rPr>
        <w:t xml:space="preserve">de pilotage avait </w:t>
      </w:r>
      <w:r w:rsidRPr="006C227A">
        <w:rPr>
          <w:rFonts w:ascii="Arial" w:hAnsi="Arial" w:cs="Arial"/>
          <w:sz w:val="22"/>
          <w:szCs w:val="22"/>
          <w:lang w:val="fr-FR"/>
        </w:rPr>
        <w:t>une connaissance approfondie du système d</w:t>
      </w:r>
      <w:r w:rsidR="008E532B">
        <w:rPr>
          <w:rFonts w:ascii="Arial" w:hAnsi="Arial" w:cs="Arial"/>
          <w:sz w:val="22"/>
          <w:szCs w:val="22"/>
          <w:lang w:val="fr-FR"/>
        </w:rPr>
        <w:t>’</w:t>
      </w:r>
      <w:r w:rsidRPr="006C227A">
        <w:rPr>
          <w:rFonts w:ascii="Arial" w:hAnsi="Arial" w:cs="Arial"/>
          <w:sz w:val="22"/>
          <w:szCs w:val="22"/>
          <w:lang w:val="fr-FR"/>
        </w:rPr>
        <w:t>accréditation. Ses membres</w:t>
      </w:r>
      <w:r>
        <w:rPr>
          <w:rFonts w:ascii="Arial" w:hAnsi="Arial" w:cs="Arial"/>
          <w:sz w:val="22"/>
          <w:szCs w:val="22"/>
          <w:lang w:val="fr-FR"/>
        </w:rPr>
        <w:t>, qui</w:t>
      </w:r>
      <w:r w:rsidRPr="006C227A">
        <w:rPr>
          <w:rFonts w:ascii="Arial" w:hAnsi="Arial" w:cs="Arial"/>
          <w:sz w:val="22"/>
          <w:szCs w:val="22"/>
          <w:lang w:val="fr-FR"/>
        </w:rPr>
        <w:t xml:space="preserve"> assistent régulièrement aux réunions du Comité intergouvernemental</w:t>
      </w:r>
      <w:r>
        <w:rPr>
          <w:rFonts w:ascii="Arial" w:hAnsi="Arial" w:cs="Arial"/>
          <w:sz w:val="22"/>
          <w:szCs w:val="22"/>
          <w:lang w:val="fr-FR"/>
        </w:rPr>
        <w:t xml:space="preserve">, étaient riches </w:t>
      </w:r>
      <w:r w:rsidRPr="006C227A">
        <w:rPr>
          <w:rFonts w:ascii="Arial" w:hAnsi="Arial" w:cs="Arial"/>
          <w:sz w:val="22"/>
          <w:szCs w:val="22"/>
          <w:lang w:val="fr-FR"/>
        </w:rPr>
        <w:t>de connaissances et d</w:t>
      </w:r>
      <w:r w:rsidR="008E532B">
        <w:rPr>
          <w:rFonts w:ascii="Arial" w:hAnsi="Arial" w:cs="Arial"/>
          <w:sz w:val="22"/>
          <w:szCs w:val="22"/>
          <w:lang w:val="fr-FR"/>
        </w:rPr>
        <w:t>’</w:t>
      </w:r>
      <w:r w:rsidRPr="006C227A">
        <w:rPr>
          <w:rFonts w:ascii="Arial" w:hAnsi="Arial" w:cs="Arial"/>
          <w:sz w:val="22"/>
          <w:szCs w:val="22"/>
          <w:lang w:val="fr-FR"/>
        </w:rPr>
        <w:t xml:space="preserve">expériences </w:t>
      </w:r>
      <w:r>
        <w:rPr>
          <w:rFonts w:ascii="Arial" w:hAnsi="Arial" w:cs="Arial"/>
          <w:sz w:val="22"/>
          <w:szCs w:val="22"/>
          <w:lang w:val="fr-FR"/>
        </w:rPr>
        <w:t xml:space="preserve">approfondies </w:t>
      </w:r>
      <w:r w:rsidRPr="006C227A">
        <w:rPr>
          <w:rFonts w:ascii="Arial" w:hAnsi="Arial" w:cs="Arial"/>
          <w:sz w:val="22"/>
          <w:szCs w:val="22"/>
          <w:lang w:val="fr-FR"/>
        </w:rPr>
        <w:t xml:space="preserve">et diverses </w:t>
      </w:r>
      <w:r>
        <w:rPr>
          <w:rFonts w:ascii="Arial" w:hAnsi="Arial" w:cs="Arial"/>
          <w:sz w:val="22"/>
          <w:szCs w:val="22"/>
          <w:lang w:val="fr-FR"/>
        </w:rPr>
        <w:t>de l</w:t>
      </w:r>
      <w:r w:rsidR="008E532B">
        <w:rPr>
          <w:rFonts w:ascii="Arial" w:hAnsi="Arial" w:cs="Arial"/>
          <w:sz w:val="22"/>
          <w:szCs w:val="22"/>
          <w:lang w:val="fr-FR"/>
        </w:rPr>
        <w:t>’</w:t>
      </w:r>
      <w:r w:rsidRPr="001C05D7">
        <w:rPr>
          <w:rFonts w:ascii="Arial" w:hAnsi="Arial" w:cs="Arial"/>
          <w:sz w:val="22"/>
          <w:szCs w:val="22"/>
          <w:lang w:val="fr-FR"/>
        </w:rPr>
        <w:t>élaboration</w:t>
      </w:r>
      <w:r w:rsidRPr="006C227A">
        <w:rPr>
          <w:rFonts w:ascii="Arial" w:hAnsi="Arial" w:cs="Arial"/>
          <w:sz w:val="22"/>
          <w:szCs w:val="22"/>
          <w:lang w:val="fr-FR"/>
        </w:rPr>
        <w:t>, de la rédaction et de la mise en œuvre de la Convention</w:t>
      </w:r>
      <w:r>
        <w:rPr>
          <w:rFonts w:ascii="Arial" w:hAnsi="Arial" w:cs="Arial"/>
          <w:sz w:val="22"/>
          <w:szCs w:val="22"/>
          <w:lang w:val="fr-FR"/>
        </w:rPr>
        <w:t>,</w:t>
      </w:r>
      <w:r w:rsidRPr="006C227A">
        <w:rPr>
          <w:rFonts w:ascii="Arial" w:hAnsi="Arial" w:cs="Arial"/>
          <w:sz w:val="22"/>
          <w:szCs w:val="22"/>
          <w:lang w:val="fr-FR"/>
        </w:rPr>
        <w:t xml:space="preserve"> ainsi que de la sauvegarde du </w:t>
      </w:r>
      <w:r w:rsidR="0064242E">
        <w:rPr>
          <w:rFonts w:ascii="Arial" w:eastAsia="SimSun" w:hAnsi="Arial" w:cs="Arial"/>
          <w:bCs/>
          <w:sz w:val="22"/>
          <w:szCs w:val="22"/>
          <w:lang w:val="fr-FR" w:eastAsia="en-US"/>
        </w:rPr>
        <w:t>patrimoine culturel immatériel</w:t>
      </w:r>
      <w:r w:rsidRPr="006C227A">
        <w:rPr>
          <w:rFonts w:ascii="Arial" w:hAnsi="Arial" w:cs="Arial"/>
          <w:sz w:val="22"/>
          <w:szCs w:val="22"/>
          <w:lang w:val="fr-FR"/>
        </w:rPr>
        <w:t xml:space="preserve"> sur le terrain dans toutes les régions du monde. Il s</w:t>
      </w:r>
      <w:r w:rsidR="008E532B">
        <w:rPr>
          <w:rFonts w:ascii="Arial" w:hAnsi="Arial" w:cs="Arial"/>
          <w:sz w:val="22"/>
          <w:szCs w:val="22"/>
          <w:lang w:val="fr-FR"/>
        </w:rPr>
        <w:t>’</w:t>
      </w:r>
      <w:r>
        <w:rPr>
          <w:rFonts w:ascii="Arial" w:hAnsi="Arial" w:cs="Arial"/>
          <w:sz w:val="22"/>
          <w:szCs w:val="22"/>
          <w:lang w:val="fr-FR"/>
        </w:rPr>
        <w:t>était</w:t>
      </w:r>
      <w:r w:rsidRPr="006C227A">
        <w:rPr>
          <w:rFonts w:ascii="Arial" w:hAnsi="Arial" w:cs="Arial"/>
          <w:sz w:val="22"/>
          <w:szCs w:val="22"/>
          <w:lang w:val="fr-FR"/>
        </w:rPr>
        <w:t xml:space="preserve"> engagé à augmenter le nombre d</w:t>
      </w:r>
      <w:r w:rsidR="008E532B">
        <w:rPr>
          <w:rFonts w:ascii="Arial" w:hAnsi="Arial" w:cs="Arial"/>
          <w:sz w:val="22"/>
          <w:szCs w:val="22"/>
          <w:lang w:val="fr-FR"/>
        </w:rPr>
        <w:t>’</w:t>
      </w:r>
      <w:r w:rsidRPr="006C227A">
        <w:rPr>
          <w:rFonts w:ascii="Arial" w:hAnsi="Arial" w:cs="Arial"/>
          <w:sz w:val="22"/>
          <w:szCs w:val="22"/>
          <w:lang w:val="fr-FR"/>
        </w:rPr>
        <w:t xml:space="preserve">ONG accréditées provenant de régions sous-représentées, ce qui </w:t>
      </w:r>
      <w:r>
        <w:rPr>
          <w:rFonts w:ascii="Arial" w:hAnsi="Arial" w:cs="Arial"/>
          <w:sz w:val="22"/>
          <w:szCs w:val="22"/>
          <w:lang w:val="fr-FR"/>
        </w:rPr>
        <w:t xml:space="preserve">était </w:t>
      </w:r>
      <w:r w:rsidRPr="006C227A">
        <w:rPr>
          <w:rFonts w:ascii="Arial" w:hAnsi="Arial" w:cs="Arial"/>
          <w:sz w:val="22"/>
          <w:szCs w:val="22"/>
          <w:lang w:val="fr-FR"/>
        </w:rPr>
        <w:t>l</w:t>
      </w:r>
      <w:r w:rsidR="008E532B">
        <w:rPr>
          <w:rFonts w:ascii="Arial" w:hAnsi="Arial" w:cs="Arial"/>
          <w:sz w:val="22"/>
          <w:szCs w:val="22"/>
          <w:lang w:val="fr-FR"/>
        </w:rPr>
        <w:t>’</w:t>
      </w:r>
      <w:r w:rsidRPr="006C227A">
        <w:rPr>
          <w:rFonts w:ascii="Arial" w:hAnsi="Arial" w:cs="Arial"/>
          <w:sz w:val="22"/>
          <w:szCs w:val="22"/>
          <w:lang w:val="fr-FR"/>
        </w:rPr>
        <w:t xml:space="preserve">objectif du groupe de travail nouvellement formé. Les membres </w:t>
      </w:r>
      <w:r>
        <w:rPr>
          <w:rFonts w:ascii="Arial" w:hAnsi="Arial" w:cs="Arial"/>
          <w:sz w:val="22"/>
          <w:szCs w:val="22"/>
          <w:lang w:val="fr-FR"/>
        </w:rPr>
        <w:t xml:space="preserve">du Forum étaient désormais les mieux placés </w:t>
      </w:r>
      <w:r w:rsidRPr="006C227A">
        <w:rPr>
          <w:rFonts w:ascii="Arial" w:hAnsi="Arial" w:cs="Arial"/>
          <w:sz w:val="22"/>
          <w:szCs w:val="22"/>
          <w:lang w:val="fr-FR"/>
        </w:rPr>
        <w:t>pour permettre aux États parties d</w:t>
      </w:r>
      <w:r w:rsidR="008E532B">
        <w:rPr>
          <w:rFonts w:ascii="Arial" w:hAnsi="Arial" w:cs="Arial"/>
          <w:sz w:val="22"/>
          <w:szCs w:val="22"/>
          <w:lang w:val="fr-FR"/>
        </w:rPr>
        <w:t>’</w:t>
      </w:r>
      <w:r w:rsidRPr="006C227A">
        <w:rPr>
          <w:rFonts w:ascii="Arial" w:hAnsi="Arial" w:cs="Arial"/>
          <w:sz w:val="22"/>
          <w:szCs w:val="22"/>
          <w:lang w:val="fr-FR"/>
        </w:rPr>
        <w:t>in</w:t>
      </w:r>
      <w:r>
        <w:rPr>
          <w:rFonts w:ascii="Arial" w:hAnsi="Arial" w:cs="Arial"/>
          <w:sz w:val="22"/>
          <w:szCs w:val="22"/>
          <w:lang w:val="fr-FR"/>
        </w:rPr>
        <w:t>tégrer</w:t>
      </w:r>
      <w:r w:rsidRPr="006C227A">
        <w:rPr>
          <w:rFonts w:ascii="Arial" w:hAnsi="Arial" w:cs="Arial"/>
          <w:sz w:val="22"/>
          <w:szCs w:val="22"/>
          <w:lang w:val="fr-FR"/>
        </w:rPr>
        <w:t xml:space="preserve"> un plus grand nombre de voix responsables et engagées dans la mise en œuvre de la Convention</w:t>
      </w:r>
      <w:r>
        <w:rPr>
          <w:rFonts w:ascii="Arial" w:hAnsi="Arial" w:cs="Arial"/>
          <w:sz w:val="22"/>
          <w:szCs w:val="22"/>
          <w:lang w:val="fr-FR"/>
        </w:rPr>
        <w:t>,</w:t>
      </w:r>
      <w:r w:rsidRPr="006C227A">
        <w:rPr>
          <w:rFonts w:ascii="Arial" w:hAnsi="Arial" w:cs="Arial"/>
          <w:sz w:val="22"/>
          <w:szCs w:val="22"/>
          <w:lang w:val="fr-FR"/>
        </w:rPr>
        <w:t xml:space="preserve"> dans l</w:t>
      </w:r>
      <w:r w:rsidR="008E532B">
        <w:rPr>
          <w:rFonts w:ascii="Arial" w:hAnsi="Arial" w:cs="Arial"/>
          <w:sz w:val="22"/>
          <w:szCs w:val="22"/>
          <w:lang w:val="fr-FR"/>
        </w:rPr>
        <w:t>’</w:t>
      </w:r>
      <w:r w:rsidRPr="006C227A">
        <w:rPr>
          <w:rFonts w:ascii="Arial" w:hAnsi="Arial" w:cs="Arial"/>
          <w:sz w:val="22"/>
          <w:szCs w:val="22"/>
          <w:lang w:val="fr-FR"/>
        </w:rPr>
        <w:t>esprit de l</w:t>
      </w:r>
      <w:r w:rsidR="008E532B">
        <w:rPr>
          <w:rFonts w:ascii="Arial" w:hAnsi="Arial" w:cs="Arial"/>
          <w:sz w:val="22"/>
          <w:szCs w:val="22"/>
          <w:lang w:val="fr-FR"/>
        </w:rPr>
        <w:t>’</w:t>
      </w:r>
      <w:r w:rsidRPr="006C227A">
        <w:rPr>
          <w:rFonts w:ascii="Arial" w:hAnsi="Arial" w:cs="Arial"/>
          <w:sz w:val="22"/>
          <w:szCs w:val="22"/>
          <w:lang w:val="fr-FR"/>
        </w:rPr>
        <w:t>article 9, de l</w:t>
      </w:r>
      <w:r w:rsidR="008E532B">
        <w:rPr>
          <w:rFonts w:ascii="Arial" w:hAnsi="Arial" w:cs="Arial"/>
          <w:sz w:val="22"/>
          <w:szCs w:val="22"/>
          <w:lang w:val="fr-FR"/>
        </w:rPr>
        <w:t>’</w:t>
      </w:r>
      <w:r w:rsidRPr="006C227A">
        <w:rPr>
          <w:rFonts w:ascii="Arial" w:hAnsi="Arial" w:cs="Arial"/>
          <w:sz w:val="22"/>
          <w:szCs w:val="22"/>
          <w:lang w:val="fr-FR"/>
        </w:rPr>
        <w:t>article 11.b et de l</w:t>
      </w:r>
      <w:r w:rsidR="008E532B">
        <w:rPr>
          <w:rFonts w:ascii="Arial" w:hAnsi="Arial" w:cs="Arial"/>
          <w:sz w:val="22"/>
          <w:szCs w:val="22"/>
          <w:lang w:val="fr-FR"/>
        </w:rPr>
        <w:t>’</w:t>
      </w:r>
      <w:r w:rsidRPr="006C227A">
        <w:rPr>
          <w:rFonts w:ascii="Arial" w:hAnsi="Arial" w:cs="Arial"/>
          <w:sz w:val="22"/>
          <w:szCs w:val="22"/>
          <w:lang w:val="fr-FR"/>
        </w:rPr>
        <w:t>article 15.</w:t>
      </w:r>
    </w:p>
    <w:p w14:paraId="3419AE8F" w14:textId="0CF3B892" w:rsidR="00D9653F" w:rsidRPr="0086502F"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86502F">
        <w:rPr>
          <w:rFonts w:ascii="Arial" w:hAnsi="Arial" w:cs="Arial"/>
          <w:b/>
          <w:bCs/>
          <w:sz w:val="22"/>
          <w:szCs w:val="22"/>
          <w:lang w:val="fr-FR"/>
        </w:rPr>
        <w:t>M.</w:t>
      </w:r>
      <w:r>
        <w:rPr>
          <w:rFonts w:ascii="Arial" w:hAnsi="Arial" w:cs="Arial"/>
          <w:b/>
          <w:bCs/>
          <w:sz w:val="22"/>
          <w:szCs w:val="22"/>
          <w:lang w:val="fr-FR"/>
        </w:rPr>
        <w:t> </w:t>
      </w:r>
      <w:r w:rsidRPr="0086502F">
        <w:rPr>
          <w:rFonts w:ascii="Arial" w:hAnsi="Arial" w:cs="Arial"/>
          <w:b/>
          <w:bCs/>
          <w:sz w:val="22"/>
          <w:szCs w:val="22"/>
          <w:lang w:val="fr-FR"/>
        </w:rPr>
        <w:t>Laurier Turgeon</w:t>
      </w:r>
      <w:r w:rsidRPr="0086502F">
        <w:rPr>
          <w:rFonts w:ascii="Arial" w:hAnsi="Arial" w:cs="Arial"/>
          <w:sz w:val="22"/>
          <w:szCs w:val="22"/>
          <w:lang w:val="fr-FR"/>
        </w:rPr>
        <w:t xml:space="preserve"> a expliqué qu</w:t>
      </w:r>
      <w:r w:rsidR="008E532B">
        <w:rPr>
          <w:rFonts w:ascii="Arial" w:hAnsi="Arial" w:cs="Arial"/>
          <w:sz w:val="22"/>
          <w:szCs w:val="22"/>
          <w:lang w:val="fr-FR"/>
        </w:rPr>
        <w:t>’</w:t>
      </w:r>
      <w:r w:rsidRPr="0086502F">
        <w:rPr>
          <w:rFonts w:ascii="Arial" w:hAnsi="Arial" w:cs="Arial"/>
          <w:sz w:val="22"/>
          <w:szCs w:val="22"/>
          <w:lang w:val="fr-FR"/>
        </w:rPr>
        <w:t>afin d</w:t>
      </w:r>
      <w:r w:rsidR="008E532B">
        <w:rPr>
          <w:rFonts w:ascii="Arial" w:hAnsi="Arial" w:cs="Arial"/>
          <w:sz w:val="22"/>
          <w:szCs w:val="22"/>
          <w:lang w:val="fr-FR"/>
        </w:rPr>
        <w:t>’</w:t>
      </w:r>
      <w:r w:rsidRPr="0086502F">
        <w:rPr>
          <w:rFonts w:ascii="Arial" w:hAnsi="Arial" w:cs="Arial"/>
          <w:sz w:val="22"/>
          <w:szCs w:val="22"/>
          <w:lang w:val="fr-FR"/>
        </w:rPr>
        <w:t xml:space="preserve">atteindre cet objectif, le Forum avait entrepris une série de nouveaux projets et actions depuis décembre 2020. Le Comité </w:t>
      </w:r>
      <w:r>
        <w:rPr>
          <w:rFonts w:ascii="Arial" w:hAnsi="Arial" w:cs="Arial"/>
          <w:sz w:val="22"/>
          <w:szCs w:val="22"/>
          <w:lang w:val="fr-FR"/>
        </w:rPr>
        <w:t xml:space="preserve">de pilotage </w:t>
      </w:r>
      <w:r w:rsidRPr="0086502F">
        <w:rPr>
          <w:rFonts w:ascii="Arial" w:hAnsi="Arial" w:cs="Arial"/>
          <w:sz w:val="22"/>
          <w:szCs w:val="22"/>
          <w:lang w:val="fr-FR"/>
        </w:rPr>
        <w:t xml:space="preserve">avait </w:t>
      </w:r>
      <w:r>
        <w:rPr>
          <w:rFonts w:ascii="Arial" w:hAnsi="Arial" w:cs="Arial"/>
          <w:sz w:val="22"/>
          <w:szCs w:val="22"/>
          <w:lang w:val="fr-FR"/>
        </w:rPr>
        <w:t xml:space="preserve">sollicité une </w:t>
      </w:r>
      <w:r w:rsidRPr="0086502F">
        <w:rPr>
          <w:rFonts w:ascii="Arial" w:hAnsi="Arial" w:cs="Arial"/>
          <w:sz w:val="22"/>
          <w:szCs w:val="22"/>
          <w:lang w:val="fr-FR"/>
        </w:rPr>
        <w:t>collaboration</w:t>
      </w:r>
      <w:r>
        <w:rPr>
          <w:rFonts w:ascii="Arial" w:hAnsi="Arial" w:cs="Arial"/>
          <w:sz w:val="22"/>
          <w:szCs w:val="22"/>
          <w:lang w:val="fr-FR"/>
        </w:rPr>
        <w:t xml:space="preserve"> plus étroite avec </w:t>
      </w:r>
      <w:r w:rsidRPr="0086502F">
        <w:rPr>
          <w:rFonts w:ascii="Arial" w:hAnsi="Arial" w:cs="Arial"/>
          <w:sz w:val="22"/>
          <w:szCs w:val="22"/>
          <w:lang w:val="fr-FR"/>
        </w:rPr>
        <w:t>les groupes de travail</w:t>
      </w:r>
      <w:r>
        <w:rPr>
          <w:rFonts w:ascii="Arial" w:hAnsi="Arial" w:cs="Arial"/>
          <w:sz w:val="22"/>
          <w:szCs w:val="22"/>
          <w:lang w:val="fr-FR"/>
        </w:rPr>
        <w:t xml:space="preserve"> </w:t>
      </w:r>
      <w:r w:rsidRPr="0086502F">
        <w:rPr>
          <w:rFonts w:ascii="Arial" w:hAnsi="Arial" w:cs="Arial"/>
          <w:sz w:val="22"/>
          <w:szCs w:val="22"/>
          <w:lang w:val="fr-FR"/>
        </w:rPr>
        <w:t>afin d</w:t>
      </w:r>
      <w:r w:rsidR="008E532B">
        <w:rPr>
          <w:rFonts w:ascii="Arial" w:hAnsi="Arial" w:cs="Arial"/>
          <w:sz w:val="22"/>
          <w:szCs w:val="22"/>
          <w:lang w:val="fr-FR"/>
        </w:rPr>
        <w:t>’</w:t>
      </w:r>
      <w:r>
        <w:rPr>
          <w:rFonts w:ascii="Arial" w:hAnsi="Arial" w:cs="Arial"/>
          <w:sz w:val="22"/>
          <w:szCs w:val="22"/>
          <w:lang w:val="fr-FR"/>
        </w:rPr>
        <w:t>établir un cadre de relations</w:t>
      </w:r>
      <w:r w:rsidRPr="0086502F">
        <w:rPr>
          <w:rFonts w:ascii="Arial" w:hAnsi="Arial" w:cs="Arial"/>
          <w:sz w:val="22"/>
          <w:szCs w:val="22"/>
          <w:lang w:val="fr-FR"/>
        </w:rPr>
        <w:t xml:space="preserve"> plus fort</w:t>
      </w:r>
      <w:r>
        <w:rPr>
          <w:rFonts w:ascii="Arial" w:hAnsi="Arial" w:cs="Arial"/>
          <w:sz w:val="22"/>
          <w:szCs w:val="22"/>
          <w:lang w:val="fr-FR"/>
        </w:rPr>
        <w:t>es</w:t>
      </w:r>
      <w:r w:rsidRPr="0086502F">
        <w:rPr>
          <w:rFonts w:ascii="Arial" w:hAnsi="Arial" w:cs="Arial"/>
          <w:sz w:val="22"/>
          <w:szCs w:val="22"/>
          <w:lang w:val="fr-FR"/>
        </w:rPr>
        <w:t xml:space="preserve"> et plus ciblé</w:t>
      </w:r>
      <w:r>
        <w:rPr>
          <w:rFonts w:ascii="Arial" w:hAnsi="Arial" w:cs="Arial"/>
          <w:sz w:val="22"/>
          <w:szCs w:val="22"/>
          <w:lang w:val="fr-FR"/>
        </w:rPr>
        <w:t>es</w:t>
      </w:r>
      <w:r w:rsidRPr="0086502F">
        <w:rPr>
          <w:rFonts w:ascii="Arial" w:hAnsi="Arial" w:cs="Arial"/>
          <w:sz w:val="22"/>
          <w:szCs w:val="22"/>
          <w:lang w:val="fr-FR"/>
        </w:rPr>
        <w:t xml:space="preserve"> qui profiterait au Forum et aux autres parties prenantes. Pour ce faire, le Com</w:t>
      </w:r>
      <w:r>
        <w:rPr>
          <w:rFonts w:ascii="Arial" w:hAnsi="Arial" w:cs="Arial"/>
          <w:sz w:val="22"/>
          <w:szCs w:val="22"/>
          <w:lang w:val="fr-FR"/>
        </w:rPr>
        <w:t>ité de pilotage</w:t>
      </w:r>
      <w:r w:rsidRPr="0086502F">
        <w:rPr>
          <w:rFonts w:ascii="Arial" w:hAnsi="Arial" w:cs="Arial"/>
          <w:sz w:val="22"/>
          <w:szCs w:val="22"/>
          <w:lang w:val="fr-FR"/>
        </w:rPr>
        <w:t xml:space="preserve"> avait organisé des réunions avec les groupes de travail et les avait encouragés à présenter régulièrement des rapports, en créant de nouvelles déclarations de mission et en améliorant leurs structures organisationnelles. Des efforts avaient également été déployés pour stimuler la recherche de pointe visant à améliorer les pratiques de sauvegarde et à trouver de nouvelles utilisations du </w:t>
      </w:r>
      <w:r w:rsidR="0064242E">
        <w:rPr>
          <w:rFonts w:ascii="Arial" w:eastAsia="SimSun" w:hAnsi="Arial" w:cs="Arial"/>
          <w:bCs/>
          <w:sz w:val="22"/>
          <w:szCs w:val="22"/>
          <w:lang w:val="fr-FR" w:eastAsia="en-US"/>
        </w:rPr>
        <w:t>patrimoine culturel immatériel</w:t>
      </w:r>
      <w:r w:rsidRPr="0086502F">
        <w:rPr>
          <w:rFonts w:ascii="Arial" w:hAnsi="Arial" w:cs="Arial"/>
          <w:sz w:val="22"/>
          <w:szCs w:val="22"/>
          <w:lang w:val="fr-FR"/>
        </w:rPr>
        <w:t>. Le Forum organis</w:t>
      </w:r>
      <w:r>
        <w:rPr>
          <w:rFonts w:ascii="Arial" w:hAnsi="Arial" w:cs="Arial"/>
          <w:sz w:val="22"/>
          <w:szCs w:val="22"/>
          <w:lang w:val="fr-FR"/>
        </w:rPr>
        <w:t>ait</w:t>
      </w:r>
      <w:r w:rsidRPr="0086502F">
        <w:rPr>
          <w:rFonts w:ascii="Arial" w:hAnsi="Arial" w:cs="Arial"/>
          <w:sz w:val="22"/>
          <w:szCs w:val="22"/>
          <w:lang w:val="fr-FR"/>
        </w:rPr>
        <w:t xml:space="preserve"> des symposiums scientifiques annuels en marge des réunions d</w:t>
      </w:r>
      <w:r>
        <w:rPr>
          <w:rFonts w:ascii="Arial" w:hAnsi="Arial" w:cs="Arial"/>
          <w:sz w:val="22"/>
          <w:szCs w:val="22"/>
          <w:lang w:val="fr-FR"/>
        </w:rPr>
        <w:t>u C</w:t>
      </w:r>
      <w:r w:rsidRPr="0086502F">
        <w:rPr>
          <w:rFonts w:ascii="Arial" w:hAnsi="Arial" w:cs="Arial"/>
          <w:sz w:val="22"/>
          <w:szCs w:val="22"/>
          <w:lang w:val="fr-FR"/>
        </w:rPr>
        <w:t>omité. En 2020, par exemple, le</w:t>
      </w:r>
      <w:r>
        <w:rPr>
          <w:rFonts w:ascii="Arial" w:hAnsi="Arial" w:cs="Arial"/>
          <w:sz w:val="22"/>
          <w:szCs w:val="22"/>
          <w:lang w:val="fr-FR"/>
        </w:rPr>
        <w:t xml:space="preserve"> </w:t>
      </w:r>
      <w:r w:rsidRPr="0086502F">
        <w:rPr>
          <w:rFonts w:ascii="Arial" w:hAnsi="Arial" w:cs="Arial"/>
          <w:sz w:val="22"/>
          <w:szCs w:val="22"/>
          <w:lang w:val="fr-FR"/>
        </w:rPr>
        <w:t xml:space="preserve">symposium était </w:t>
      </w:r>
      <w:r>
        <w:rPr>
          <w:rFonts w:ascii="Arial" w:hAnsi="Arial" w:cs="Arial"/>
          <w:sz w:val="22"/>
          <w:szCs w:val="22"/>
          <w:lang w:val="fr-FR"/>
        </w:rPr>
        <w:t xml:space="preserve">consacré au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86502F">
        <w:rPr>
          <w:rFonts w:ascii="Arial" w:hAnsi="Arial" w:cs="Arial"/>
          <w:sz w:val="22"/>
          <w:szCs w:val="22"/>
          <w:lang w:val="fr-FR"/>
        </w:rPr>
        <w:t>et au tourisme durable</w:t>
      </w:r>
      <w:r>
        <w:rPr>
          <w:rFonts w:ascii="Arial" w:hAnsi="Arial" w:cs="Arial"/>
          <w:sz w:val="22"/>
          <w:szCs w:val="22"/>
          <w:lang w:val="fr-FR"/>
        </w:rPr>
        <w:t>, e</w:t>
      </w:r>
      <w:r w:rsidRPr="0086502F">
        <w:rPr>
          <w:rFonts w:ascii="Arial" w:hAnsi="Arial" w:cs="Arial"/>
          <w:sz w:val="22"/>
          <w:szCs w:val="22"/>
          <w:lang w:val="fr-FR"/>
        </w:rPr>
        <w:t>n 2021, à l</w:t>
      </w:r>
      <w:r w:rsidR="008E532B">
        <w:rPr>
          <w:rFonts w:ascii="Arial" w:hAnsi="Arial" w:cs="Arial"/>
          <w:sz w:val="22"/>
          <w:szCs w:val="22"/>
          <w:lang w:val="fr-FR"/>
        </w:rPr>
        <w:t>’</w:t>
      </w:r>
      <w:r w:rsidRPr="0086502F">
        <w:rPr>
          <w:rFonts w:ascii="Arial" w:hAnsi="Arial" w:cs="Arial"/>
          <w:sz w:val="22"/>
          <w:szCs w:val="22"/>
          <w:lang w:val="fr-FR"/>
        </w:rPr>
        <w:t>étiquetage des connaissances traditionnelles et aux droits de propriét</w:t>
      </w:r>
      <w:r>
        <w:rPr>
          <w:rFonts w:ascii="Arial" w:hAnsi="Arial" w:cs="Arial"/>
          <w:sz w:val="22"/>
          <w:szCs w:val="22"/>
          <w:lang w:val="fr-FR"/>
        </w:rPr>
        <w:t xml:space="preserve">é, et en </w:t>
      </w:r>
      <w:r w:rsidRPr="0086502F">
        <w:rPr>
          <w:rFonts w:ascii="Arial" w:hAnsi="Arial" w:cs="Arial"/>
          <w:sz w:val="22"/>
          <w:szCs w:val="22"/>
          <w:lang w:val="fr-FR"/>
        </w:rPr>
        <w:t>2022,</w:t>
      </w:r>
      <w:r>
        <w:rPr>
          <w:rFonts w:ascii="Arial" w:hAnsi="Arial" w:cs="Arial"/>
          <w:sz w:val="22"/>
          <w:szCs w:val="22"/>
          <w:lang w:val="fr-FR"/>
        </w:rPr>
        <w:t xml:space="preserve"> </w:t>
      </w:r>
      <w:r w:rsidRPr="0086502F">
        <w:rPr>
          <w:rFonts w:ascii="Arial" w:hAnsi="Arial" w:cs="Arial"/>
          <w:sz w:val="22"/>
          <w:szCs w:val="22"/>
          <w:lang w:val="fr-FR"/>
        </w:rPr>
        <w:t xml:space="preserve">au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86502F">
        <w:rPr>
          <w:rFonts w:ascii="Arial" w:hAnsi="Arial" w:cs="Arial"/>
          <w:sz w:val="22"/>
          <w:szCs w:val="22"/>
          <w:lang w:val="fr-FR"/>
        </w:rPr>
        <w:t>et à l</w:t>
      </w:r>
      <w:r w:rsidR="008E532B">
        <w:rPr>
          <w:rFonts w:ascii="Arial" w:hAnsi="Arial" w:cs="Arial"/>
          <w:sz w:val="22"/>
          <w:szCs w:val="22"/>
          <w:lang w:val="fr-FR"/>
        </w:rPr>
        <w:t>’</w:t>
      </w:r>
      <w:r w:rsidRPr="0086502F">
        <w:rPr>
          <w:rFonts w:ascii="Arial" w:hAnsi="Arial" w:cs="Arial"/>
          <w:sz w:val="22"/>
          <w:szCs w:val="22"/>
          <w:lang w:val="fr-FR"/>
        </w:rPr>
        <w:t>environnement. Le Forum a</w:t>
      </w:r>
      <w:r>
        <w:rPr>
          <w:rFonts w:ascii="Arial" w:hAnsi="Arial" w:cs="Arial"/>
          <w:sz w:val="22"/>
          <w:szCs w:val="22"/>
          <w:lang w:val="fr-FR"/>
        </w:rPr>
        <w:t>vait</w:t>
      </w:r>
      <w:r w:rsidRPr="0086502F">
        <w:rPr>
          <w:rFonts w:ascii="Arial" w:hAnsi="Arial" w:cs="Arial"/>
          <w:sz w:val="22"/>
          <w:szCs w:val="22"/>
          <w:lang w:val="fr-FR"/>
        </w:rPr>
        <w:t xml:space="preserve"> également organisé un séminaire sur les bonnes pratiques de sauvegarde et la sécurité humaine lors de la présente Assemblée. Il a</w:t>
      </w:r>
      <w:r>
        <w:rPr>
          <w:rFonts w:ascii="Arial" w:hAnsi="Arial" w:cs="Arial"/>
          <w:sz w:val="22"/>
          <w:szCs w:val="22"/>
          <w:lang w:val="fr-FR"/>
        </w:rPr>
        <w:t xml:space="preserve">vait </w:t>
      </w:r>
      <w:r w:rsidRPr="0086502F">
        <w:rPr>
          <w:rFonts w:ascii="Arial" w:hAnsi="Arial" w:cs="Arial"/>
          <w:sz w:val="22"/>
          <w:szCs w:val="22"/>
          <w:lang w:val="fr-FR"/>
        </w:rPr>
        <w:t>apporté son soutien au lancement</w:t>
      </w:r>
      <w:r>
        <w:rPr>
          <w:rFonts w:ascii="Arial" w:hAnsi="Arial" w:cs="Arial"/>
          <w:sz w:val="22"/>
          <w:szCs w:val="22"/>
          <w:lang w:val="fr-FR"/>
        </w:rPr>
        <w:t xml:space="preserve"> </w:t>
      </w:r>
      <w:r w:rsidRPr="0086502F">
        <w:rPr>
          <w:rFonts w:ascii="Arial" w:hAnsi="Arial" w:cs="Arial"/>
          <w:sz w:val="22"/>
          <w:szCs w:val="22"/>
          <w:lang w:val="fr-FR"/>
        </w:rPr>
        <w:t xml:space="preserve">de </w:t>
      </w:r>
      <w:r>
        <w:rPr>
          <w:rFonts w:ascii="Arial" w:hAnsi="Arial" w:cs="Arial"/>
          <w:sz w:val="22"/>
          <w:szCs w:val="22"/>
          <w:lang w:val="fr-FR"/>
        </w:rPr>
        <w:t>l</w:t>
      </w:r>
      <w:r w:rsidR="008E532B">
        <w:rPr>
          <w:rFonts w:ascii="Arial" w:hAnsi="Arial" w:cs="Arial"/>
          <w:sz w:val="22"/>
          <w:szCs w:val="22"/>
          <w:lang w:val="fr-FR"/>
        </w:rPr>
        <w:t>’</w:t>
      </w:r>
      <w:r>
        <w:rPr>
          <w:rFonts w:ascii="Arial" w:hAnsi="Arial" w:cs="Arial"/>
          <w:sz w:val="22"/>
          <w:szCs w:val="22"/>
          <w:lang w:val="fr-FR"/>
        </w:rPr>
        <w:t>édition 2021 de la revue</w:t>
      </w:r>
      <w:r w:rsidRPr="0086502F">
        <w:rPr>
          <w:rFonts w:ascii="Arial" w:hAnsi="Arial" w:cs="Arial"/>
          <w:sz w:val="22"/>
          <w:szCs w:val="22"/>
          <w:lang w:val="fr-FR"/>
        </w:rPr>
        <w:t xml:space="preserve"> </w:t>
      </w:r>
      <w:r w:rsidRPr="00025789">
        <w:rPr>
          <w:rFonts w:ascii="Arial" w:hAnsi="Arial" w:cs="Arial"/>
          <w:i/>
          <w:iCs/>
          <w:sz w:val="22"/>
          <w:szCs w:val="22"/>
          <w:lang w:val="fr-FR"/>
        </w:rPr>
        <w:t>#Heritage Alive</w:t>
      </w:r>
      <w:r>
        <w:rPr>
          <w:rFonts w:ascii="Arial" w:hAnsi="Arial" w:cs="Arial"/>
          <w:sz w:val="22"/>
          <w:szCs w:val="22"/>
          <w:lang w:val="fr-FR"/>
        </w:rPr>
        <w:t xml:space="preserve"> </w:t>
      </w:r>
      <w:r w:rsidRPr="0086502F">
        <w:rPr>
          <w:rFonts w:ascii="Arial" w:hAnsi="Arial" w:cs="Arial"/>
          <w:sz w:val="22"/>
          <w:szCs w:val="22"/>
          <w:lang w:val="fr-FR"/>
        </w:rPr>
        <w:t>sur la fabrication et la pratique des instruments de musique traditionnels. Le Forum a</w:t>
      </w:r>
      <w:r>
        <w:rPr>
          <w:rFonts w:ascii="Arial" w:hAnsi="Arial" w:cs="Arial"/>
          <w:sz w:val="22"/>
          <w:szCs w:val="22"/>
          <w:lang w:val="fr-FR"/>
        </w:rPr>
        <w:t>vait</w:t>
      </w:r>
      <w:r w:rsidRPr="0086502F">
        <w:rPr>
          <w:rFonts w:ascii="Arial" w:hAnsi="Arial" w:cs="Arial"/>
          <w:sz w:val="22"/>
          <w:szCs w:val="22"/>
          <w:lang w:val="fr-FR"/>
        </w:rPr>
        <w:t xml:space="preserve"> également financé la création du prix Albert van der </w:t>
      </w:r>
      <w:proofErr w:type="spellStart"/>
      <w:r w:rsidRPr="0086502F">
        <w:rPr>
          <w:rFonts w:ascii="Arial" w:hAnsi="Arial" w:cs="Arial"/>
          <w:sz w:val="22"/>
          <w:szCs w:val="22"/>
          <w:lang w:val="fr-FR"/>
        </w:rPr>
        <w:t>Zeijden</w:t>
      </w:r>
      <w:proofErr w:type="spellEnd"/>
      <w:r w:rsidRPr="0086502F">
        <w:rPr>
          <w:rFonts w:ascii="Arial" w:hAnsi="Arial" w:cs="Arial"/>
          <w:sz w:val="22"/>
          <w:szCs w:val="22"/>
          <w:lang w:val="fr-FR"/>
        </w:rPr>
        <w:t>, qui récompense le meilleur article publié chaque année dans la revue. Ce prix rend</w:t>
      </w:r>
      <w:r>
        <w:rPr>
          <w:rFonts w:ascii="Arial" w:hAnsi="Arial" w:cs="Arial"/>
          <w:sz w:val="22"/>
          <w:szCs w:val="22"/>
          <w:lang w:val="fr-FR"/>
        </w:rPr>
        <w:t>ait</w:t>
      </w:r>
      <w:r w:rsidRPr="0086502F">
        <w:rPr>
          <w:rFonts w:ascii="Arial" w:hAnsi="Arial" w:cs="Arial"/>
          <w:sz w:val="22"/>
          <w:szCs w:val="22"/>
          <w:lang w:val="fr-FR"/>
        </w:rPr>
        <w:t xml:space="preserve"> hommage à un collègue estimé, M.</w:t>
      </w:r>
      <w:r>
        <w:rPr>
          <w:rFonts w:ascii="Arial" w:hAnsi="Arial" w:cs="Arial"/>
          <w:sz w:val="22"/>
          <w:szCs w:val="22"/>
          <w:lang w:val="fr-FR"/>
        </w:rPr>
        <w:t> </w:t>
      </w:r>
      <w:r w:rsidRPr="0086502F">
        <w:rPr>
          <w:rFonts w:ascii="Arial" w:hAnsi="Arial" w:cs="Arial"/>
          <w:sz w:val="22"/>
          <w:szCs w:val="22"/>
          <w:lang w:val="fr-FR"/>
        </w:rPr>
        <w:t xml:space="preserve">Albert van der </w:t>
      </w:r>
      <w:proofErr w:type="spellStart"/>
      <w:r w:rsidRPr="0086502F">
        <w:rPr>
          <w:rFonts w:ascii="Arial" w:hAnsi="Arial" w:cs="Arial"/>
          <w:sz w:val="22"/>
          <w:szCs w:val="22"/>
          <w:lang w:val="fr-FR"/>
        </w:rPr>
        <w:t>Zeijden</w:t>
      </w:r>
      <w:proofErr w:type="spellEnd"/>
      <w:r w:rsidRPr="0086502F">
        <w:rPr>
          <w:rFonts w:ascii="Arial" w:hAnsi="Arial" w:cs="Arial"/>
          <w:sz w:val="22"/>
          <w:szCs w:val="22"/>
          <w:lang w:val="fr-FR"/>
        </w:rPr>
        <w:t xml:space="preserve">, qui </w:t>
      </w:r>
      <w:r>
        <w:rPr>
          <w:rFonts w:ascii="Arial" w:hAnsi="Arial" w:cs="Arial"/>
          <w:sz w:val="22"/>
          <w:szCs w:val="22"/>
          <w:lang w:val="fr-FR"/>
        </w:rPr>
        <w:t>était</w:t>
      </w:r>
      <w:r w:rsidRPr="0086502F">
        <w:rPr>
          <w:rFonts w:ascii="Arial" w:hAnsi="Arial" w:cs="Arial"/>
          <w:sz w:val="22"/>
          <w:szCs w:val="22"/>
          <w:lang w:val="fr-FR"/>
        </w:rPr>
        <w:t xml:space="preserve"> malheureusement décédé en juillet 2021. M.</w:t>
      </w:r>
      <w:r>
        <w:rPr>
          <w:rFonts w:ascii="Arial" w:hAnsi="Arial" w:cs="Arial"/>
          <w:sz w:val="22"/>
          <w:szCs w:val="22"/>
          <w:lang w:val="fr-FR"/>
        </w:rPr>
        <w:t> </w:t>
      </w:r>
      <w:r w:rsidRPr="0086502F">
        <w:rPr>
          <w:rFonts w:ascii="Arial" w:hAnsi="Arial" w:cs="Arial"/>
          <w:sz w:val="22"/>
          <w:szCs w:val="22"/>
          <w:lang w:val="fr-FR"/>
        </w:rPr>
        <w:t xml:space="preserve">van der </w:t>
      </w:r>
      <w:proofErr w:type="spellStart"/>
      <w:r w:rsidRPr="0086502F">
        <w:rPr>
          <w:rFonts w:ascii="Arial" w:hAnsi="Arial" w:cs="Arial"/>
          <w:sz w:val="22"/>
          <w:szCs w:val="22"/>
          <w:lang w:val="fr-FR"/>
        </w:rPr>
        <w:t>Zeijden</w:t>
      </w:r>
      <w:proofErr w:type="spellEnd"/>
      <w:r w:rsidRPr="0086502F">
        <w:rPr>
          <w:rFonts w:ascii="Arial" w:hAnsi="Arial" w:cs="Arial"/>
          <w:sz w:val="22"/>
          <w:szCs w:val="22"/>
          <w:lang w:val="fr-FR"/>
        </w:rPr>
        <w:t xml:space="preserve"> a</w:t>
      </w:r>
      <w:r>
        <w:rPr>
          <w:rFonts w:ascii="Arial" w:hAnsi="Arial" w:cs="Arial"/>
          <w:sz w:val="22"/>
          <w:szCs w:val="22"/>
          <w:lang w:val="fr-FR"/>
        </w:rPr>
        <w:t>vait</w:t>
      </w:r>
      <w:r w:rsidRPr="0086502F">
        <w:rPr>
          <w:rFonts w:ascii="Arial" w:hAnsi="Arial" w:cs="Arial"/>
          <w:sz w:val="22"/>
          <w:szCs w:val="22"/>
          <w:lang w:val="fr-FR"/>
        </w:rPr>
        <w:t xml:space="preserve"> dirigé le groupe de travail </w:t>
      </w:r>
      <w:r>
        <w:rPr>
          <w:rFonts w:ascii="Arial" w:hAnsi="Arial" w:cs="Arial"/>
          <w:sz w:val="22"/>
          <w:szCs w:val="22"/>
          <w:lang w:val="fr-FR"/>
        </w:rPr>
        <w:t xml:space="preserve">consacré à </w:t>
      </w:r>
      <w:r w:rsidRPr="0086502F">
        <w:rPr>
          <w:rFonts w:ascii="Arial" w:hAnsi="Arial" w:cs="Arial"/>
          <w:sz w:val="22"/>
          <w:szCs w:val="22"/>
          <w:lang w:val="fr-FR"/>
        </w:rPr>
        <w:t xml:space="preserve">la recherche </w:t>
      </w:r>
      <w:r>
        <w:rPr>
          <w:rFonts w:ascii="Arial" w:hAnsi="Arial" w:cs="Arial"/>
          <w:sz w:val="22"/>
          <w:szCs w:val="22"/>
          <w:lang w:val="fr-FR"/>
        </w:rPr>
        <w:t xml:space="preserve">sur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86502F">
        <w:rPr>
          <w:rFonts w:ascii="Arial" w:hAnsi="Arial" w:cs="Arial"/>
          <w:sz w:val="22"/>
          <w:szCs w:val="22"/>
          <w:lang w:val="fr-FR"/>
        </w:rPr>
        <w:t>pendant plusieurs années et a</w:t>
      </w:r>
      <w:r>
        <w:rPr>
          <w:rFonts w:ascii="Arial" w:hAnsi="Arial" w:cs="Arial"/>
          <w:sz w:val="22"/>
          <w:szCs w:val="22"/>
          <w:lang w:val="fr-FR"/>
        </w:rPr>
        <w:t xml:space="preserve">vait grandement contribué </w:t>
      </w:r>
      <w:r w:rsidRPr="0086502F">
        <w:rPr>
          <w:rFonts w:ascii="Arial" w:hAnsi="Arial" w:cs="Arial"/>
          <w:sz w:val="22"/>
          <w:szCs w:val="22"/>
          <w:lang w:val="fr-FR"/>
        </w:rPr>
        <w:t>au Forum. Au cours de l</w:t>
      </w:r>
      <w:r w:rsidR="008E532B">
        <w:rPr>
          <w:rFonts w:ascii="Arial" w:hAnsi="Arial" w:cs="Arial"/>
          <w:sz w:val="22"/>
          <w:szCs w:val="22"/>
          <w:lang w:val="fr-FR"/>
        </w:rPr>
        <w:t>’</w:t>
      </w:r>
      <w:r w:rsidRPr="0086502F">
        <w:rPr>
          <w:rFonts w:ascii="Arial" w:hAnsi="Arial" w:cs="Arial"/>
          <w:sz w:val="22"/>
          <w:szCs w:val="22"/>
          <w:lang w:val="fr-FR"/>
        </w:rPr>
        <w:t xml:space="preserve">année écoulée, le Comité </w:t>
      </w:r>
      <w:r>
        <w:rPr>
          <w:rFonts w:ascii="Arial" w:hAnsi="Arial" w:cs="Arial"/>
          <w:sz w:val="22"/>
          <w:szCs w:val="22"/>
          <w:lang w:val="fr-FR"/>
        </w:rPr>
        <w:t xml:space="preserve">de pilotage </w:t>
      </w:r>
      <w:r w:rsidRPr="0086502F">
        <w:rPr>
          <w:rFonts w:ascii="Arial" w:hAnsi="Arial" w:cs="Arial"/>
          <w:sz w:val="22"/>
          <w:szCs w:val="22"/>
          <w:lang w:val="fr-FR"/>
        </w:rPr>
        <w:t>s</w:t>
      </w:r>
      <w:r w:rsidR="008E532B">
        <w:rPr>
          <w:rFonts w:ascii="Arial" w:hAnsi="Arial" w:cs="Arial"/>
          <w:sz w:val="22"/>
          <w:szCs w:val="22"/>
          <w:lang w:val="fr-FR"/>
        </w:rPr>
        <w:t>’</w:t>
      </w:r>
      <w:r w:rsidRPr="0086502F">
        <w:rPr>
          <w:rFonts w:ascii="Arial" w:hAnsi="Arial" w:cs="Arial"/>
          <w:sz w:val="22"/>
          <w:szCs w:val="22"/>
          <w:lang w:val="fr-FR"/>
        </w:rPr>
        <w:t>était principalement consacré à la réalisation d</w:t>
      </w:r>
      <w:r w:rsidR="008E532B">
        <w:rPr>
          <w:rFonts w:ascii="Arial" w:hAnsi="Arial" w:cs="Arial"/>
          <w:sz w:val="22"/>
          <w:szCs w:val="22"/>
          <w:lang w:val="fr-FR"/>
        </w:rPr>
        <w:t>’</w:t>
      </w:r>
      <w:r w:rsidRPr="0086502F">
        <w:rPr>
          <w:rFonts w:ascii="Arial" w:hAnsi="Arial" w:cs="Arial"/>
          <w:sz w:val="22"/>
          <w:szCs w:val="22"/>
          <w:lang w:val="fr-FR"/>
        </w:rPr>
        <w:t>une étude sur l</w:t>
      </w:r>
      <w:r w:rsidR="008E532B">
        <w:rPr>
          <w:rFonts w:ascii="Arial" w:hAnsi="Arial" w:cs="Arial"/>
          <w:sz w:val="22"/>
          <w:szCs w:val="22"/>
          <w:lang w:val="fr-FR"/>
        </w:rPr>
        <w:t>’</w:t>
      </w:r>
      <w:r w:rsidRPr="0086502F">
        <w:rPr>
          <w:rFonts w:ascii="Arial" w:hAnsi="Arial" w:cs="Arial"/>
          <w:sz w:val="22"/>
          <w:szCs w:val="22"/>
          <w:lang w:val="fr-FR"/>
        </w:rPr>
        <w:t xml:space="preserve">expertise des ONG accréditées. </w:t>
      </w:r>
      <w:proofErr w:type="gramStart"/>
      <w:r w:rsidRPr="0086502F">
        <w:rPr>
          <w:rFonts w:ascii="Arial" w:hAnsi="Arial" w:cs="Arial"/>
          <w:sz w:val="22"/>
          <w:szCs w:val="22"/>
          <w:lang w:val="fr-FR"/>
        </w:rPr>
        <w:t>Suite à</w:t>
      </w:r>
      <w:proofErr w:type="gramEnd"/>
      <w:r w:rsidRPr="0086502F">
        <w:rPr>
          <w:rFonts w:ascii="Arial" w:hAnsi="Arial" w:cs="Arial"/>
          <w:sz w:val="22"/>
          <w:szCs w:val="22"/>
          <w:lang w:val="fr-FR"/>
        </w:rPr>
        <w:t xml:space="preserve"> la </w:t>
      </w:r>
      <w:r w:rsidR="00A96116">
        <w:rPr>
          <w:rFonts w:ascii="Arial" w:hAnsi="Arial" w:cs="Arial"/>
          <w:sz w:val="22"/>
          <w:szCs w:val="22"/>
          <w:lang w:val="fr-FR"/>
        </w:rPr>
        <w:t>décision </w:t>
      </w:r>
      <w:hyperlink r:id="rId33" w:history="1">
        <w:r w:rsidRPr="00025789">
          <w:rPr>
            <w:rStyle w:val="Hyperlink"/>
            <w:rFonts w:ascii="Arial" w:hAnsi="Arial" w:cs="Arial"/>
            <w:sz w:val="22"/>
            <w:szCs w:val="22"/>
            <w:lang w:val="fr-FR"/>
          </w:rPr>
          <w:t>14.COM</w:t>
        </w:r>
        <w:r>
          <w:rPr>
            <w:rStyle w:val="Hyperlink"/>
            <w:rFonts w:ascii="Arial" w:hAnsi="Arial" w:cs="Arial"/>
            <w:sz w:val="22"/>
            <w:szCs w:val="22"/>
            <w:lang w:val="fr-FR"/>
          </w:rPr>
          <w:t> </w:t>
        </w:r>
        <w:r w:rsidRPr="00025789">
          <w:rPr>
            <w:rStyle w:val="Hyperlink"/>
            <w:rFonts w:ascii="Arial" w:hAnsi="Arial" w:cs="Arial"/>
            <w:sz w:val="22"/>
            <w:szCs w:val="22"/>
            <w:lang w:val="fr-FR"/>
          </w:rPr>
          <w:t>15</w:t>
        </w:r>
      </w:hyperlink>
      <w:r w:rsidRPr="0086502F">
        <w:rPr>
          <w:rFonts w:ascii="Arial" w:hAnsi="Arial" w:cs="Arial"/>
          <w:sz w:val="22"/>
          <w:szCs w:val="22"/>
          <w:lang w:val="fr-FR"/>
        </w:rPr>
        <w:t>, le Forum a</w:t>
      </w:r>
      <w:r>
        <w:rPr>
          <w:rFonts w:ascii="Arial" w:hAnsi="Arial" w:cs="Arial"/>
          <w:sz w:val="22"/>
          <w:szCs w:val="22"/>
          <w:lang w:val="fr-FR"/>
        </w:rPr>
        <w:t>vait</w:t>
      </w:r>
      <w:r w:rsidRPr="0086502F">
        <w:rPr>
          <w:rFonts w:ascii="Arial" w:hAnsi="Arial" w:cs="Arial"/>
          <w:sz w:val="22"/>
          <w:szCs w:val="22"/>
          <w:lang w:val="fr-FR"/>
        </w:rPr>
        <w:t xml:space="preserve"> été chargé par le Secrétariat</w:t>
      </w:r>
      <w:r>
        <w:rPr>
          <w:rFonts w:ascii="Arial" w:hAnsi="Arial" w:cs="Arial"/>
          <w:sz w:val="22"/>
          <w:szCs w:val="22"/>
          <w:lang w:val="fr-FR"/>
        </w:rPr>
        <w:t xml:space="preserve">, </w:t>
      </w:r>
      <w:r w:rsidRPr="0086502F">
        <w:rPr>
          <w:rFonts w:ascii="Arial" w:hAnsi="Arial" w:cs="Arial"/>
          <w:sz w:val="22"/>
          <w:szCs w:val="22"/>
          <w:lang w:val="fr-FR"/>
        </w:rPr>
        <w:t>à la mi-août 2021</w:t>
      </w:r>
      <w:r>
        <w:rPr>
          <w:rFonts w:ascii="Arial" w:hAnsi="Arial" w:cs="Arial"/>
          <w:sz w:val="22"/>
          <w:szCs w:val="22"/>
          <w:lang w:val="fr-FR"/>
        </w:rPr>
        <w:t>,</w:t>
      </w:r>
      <w:r w:rsidRPr="0086502F">
        <w:rPr>
          <w:rFonts w:ascii="Arial" w:hAnsi="Arial" w:cs="Arial"/>
          <w:sz w:val="22"/>
          <w:szCs w:val="22"/>
          <w:lang w:val="fr-FR"/>
        </w:rPr>
        <w:t xml:space="preserve"> de mener un projet sur la cartographie de l</w:t>
      </w:r>
      <w:r w:rsidR="008E532B">
        <w:rPr>
          <w:rFonts w:ascii="Arial" w:hAnsi="Arial" w:cs="Arial"/>
          <w:sz w:val="22"/>
          <w:szCs w:val="22"/>
          <w:lang w:val="fr-FR"/>
        </w:rPr>
        <w:t>’</w:t>
      </w:r>
      <w:r w:rsidRPr="0086502F">
        <w:rPr>
          <w:rFonts w:ascii="Arial" w:hAnsi="Arial" w:cs="Arial"/>
          <w:sz w:val="22"/>
          <w:szCs w:val="22"/>
          <w:lang w:val="fr-FR"/>
        </w:rPr>
        <w:t>expertise et de l</w:t>
      </w:r>
      <w:r w:rsidR="008E532B">
        <w:rPr>
          <w:rFonts w:ascii="Arial" w:hAnsi="Arial" w:cs="Arial"/>
          <w:sz w:val="22"/>
          <w:szCs w:val="22"/>
          <w:lang w:val="fr-FR"/>
        </w:rPr>
        <w:t>’</w:t>
      </w:r>
      <w:r w:rsidRPr="0086502F">
        <w:rPr>
          <w:rFonts w:ascii="Arial" w:hAnsi="Arial" w:cs="Arial"/>
          <w:sz w:val="22"/>
          <w:szCs w:val="22"/>
          <w:lang w:val="fr-FR"/>
        </w:rPr>
        <w:t>implication des ONG accréditées auprès de la Convention. Cela constitu</w:t>
      </w:r>
      <w:r>
        <w:rPr>
          <w:rFonts w:ascii="Arial" w:hAnsi="Arial" w:cs="Arial"/>
          <w:sz w:val="22"/>
          <w:szCs w:val="22"/>
          <w:lang w:val="fr-FR"/>
        </w:rPr>
        <w:t>ait</w:t>
      </w:r>
      <w:r w:rsidRPr="0086502F">
        <w:rPr>
          <w:rFonts w:ascii="Arial" w:hAnsi="Arial" w:cs="Arial"/>
          <w:sz w:val="22"/>
          <w:szCs w:val="22"/>
          <w:lang w:val="fr-FR"/>
        </w:rPr>
        <w:t xml:space="preserve"> une occasion sans précédent pour le Forum d</w:t>
      </w:r>
      <w:r w:rsidR="008E532B">
        <w:rPr>
          <w:rFonts w:ascii="Arial" w:hAnsi="Arial" w:cs="Arial"/>
          <w:sz w:val="22"/>
          <w:szCs w:val="22"/>
          <w:lang w:val="fr-FR"/>
        </w:rPr>
        <w:t>’</w:t>
      </w:r>
      <w:r w:rsidRPr="0086502F">
        <w:rPr>
          <w:rFonts w:ascii="Arial" w:hAnsi="Arial" w:cs="Arial"/>
          <w:sz w:val="22"/>
          <w:szCs w:val="22"/>
          <w:lang w:val="fr-FR"/>
        </w:rPr>
        <w:t>identifier les compétences, les activités et les possibilités de partage d</w:t>
      </w:r>
      <w:r w:rsidR="008E532B">
        <w:rPr>
          <w:rFonts w:ascii="Arial" w:hAnsi="Arial" w:cs="Arial"/>
          <w:sz w:val="22"/>
          <w:szCs w:val="22"/>
          <w:lang w:val="fr-FR"/>
        </w:rPr>
        <w:t>’</w:t>
      </w:r>
      <w:r w:rsidRPr="0086502F">
        <w:rPr>
          <w:rFonts w:ascii="Arial" w:hAnsi="Arial" w:cs="Arial"/>
          <w:sz w:val="22"/>
          <w:szCs w:val="22"/>
          <w:lang w:val="fr-FR"/>
        </w:rPr>
        <w:t xml:space="preserve">expertise </w:t>
      </w:r>
      <w:r>
        <w:rPr>
          <w:rFonts w:ascii="Arial" w:hAnsi="Arial" w:cs="Arial"/>
          <w:sz w:val="22"/>
          <w:szCs w:val="22"/>
          <w:lang w:val="fr-FR"/>
        </w:rPr>
        <w:t>parmi</w:t>
      </w:r>
      <w:r w:rsidRPr="0086502F">
        <w:rPr>
          <w:rFonts w:ascii="Arial" w:hAnsi="Arial" w:cs="Arial"/>
          <w:sz w:val="22"/>
          <w:szCs w:val="22"/>
          <w:lang w:val="fr-FR"/>
        </w:rPr>
        <w:t xml:space="preserve"> ses collègues ONG accréditées et avec d</w:t>
      </w:r>
      <w:r w:rsidR="008E532B">
        <w:rPr>
          <w:rFonts w:ascii="Arial" w:hAnsi="Arial" w:cs="Arial"/>
          <w:sz w:val="22"/>
          <w:szCs w:val="22"/>
          <w:lang w:val="fr-FR"/>
        </w:rPr>
        <w:t>’</w:t>
      </w:r>
      <w:r w:rsidRPr="0086502F">
        <w:rPr>
          <w:rFonts w:ascii="Arial" w:hAnsi="Arial" w:cs="Arial"/>
          <w:sz w:val="22"/>
          <w:szCs w:val="22"/>
          <w:lang w:val="fr-FR"/>
        </w:rPr>
        <w:t>autres parties prenantes de la Convention, en particulier le Secrétariat et les États parties.</w:t>
      </w:r>
    </w:p>
    <w:p w14:paraId="584A7266" w14:textId="2E562DBF" w:rsidR="00D9653F" w:rsidRPr="001749E2"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8868B1">
        <w:rPr>
          <w:rFonts w:ascii="Arial" w:hAnsi="Arial" w:cs="Arial"/>
          <w:b/>
          <w:bCs/>
          <w:sz w:val="22"/>
          <w:szCs w:val="22"/>
          <w:lang w:val="fr-FR"/>
        </w:rPr>
        <w:t xml:space="preserve">M. Laurier Turgeon </w:t>
      </w:r>
      <w:r w:rsidRPr="008868B1">
        <w:rPr>
          <w:rFonts w:ascii="Arial" w:hAnsi="Arial" w:cs="Arial"/>
          <w:sz w:val="22"/>
          <w:szCs w:val="22"/>
          <w:lang w:val="fr-FR"/>
        </w:rPr>
        <w:t>a</w:t>
      </w:r>
      <w:r>
        <w:rPr>
          <w:rFonts w:ascii="Arial" w:hAnsi="Arial" w:cs="Arial"/>
          <w:sz w:val="22"/>
          <w:szCs w:val="22"/>
          <w:lang w:val="fr-FR"/>
        </w:rPr>
        <w:t xml:space="preserve"> évoqué</w:t>
      </w:r>
      <w:r w:rsidRPr="008868B1">
        <w:rPr>
          <w:rFonts w:ascii="Arial" w:hAnsi="Arial" w:cs="Arial"/>
          <w:sz w:val="22"/>
          <w:szCs w:val="22"/>
          <w:lang w:val="fr-FR"/>
        </w:rPr>
        <w:t xml:space="preserve"> l</w:t>
      </w:r>
      <w:r w:rsidR="008E532B">
        <w:rPr>
          <w:rFonts w:ascii="Arial" w:hAnsi="Arial" w:cs="Arial"/>
          <w:sz w:val="22"/>
          <w:szCs w:val="22"/>
          <w:lang w:val="fr-FR"/>
        </w:rPr>
        <w:t>’</w:t>
      </w:r>
      <w:r w:rsidRPr="008868B1">
        <w:rPr>
          <w:rFonts w:ascii="Arial" w:hAnsi="Arial" w:cs="Arial"/>
          <w:sz w:val="22"/>
          <w:szCs w:val="22"/>
          <w:lang w:val="fr-FR"/>
        </w:rPr>
        <w:t>enquête en ligne</w:t>
      </w:r>
      <w:r>
        <w:rPr>
          <w:rFonts w:ascii="Arial" w:hAnsi="Arial" w:cs="Arial"/>
          <w:sz w:val="22"/>
          <w:szCs w:val="22"/>
          <w:lang w:val="fr-FR"/>
        </w:rPr>
        <w:t xml:space="preserve"> </w:t>
      </w:r>
      <w:r w:rsidRPr="008868B1">
        <w:rPr>
          <w:rFonts w:ascii="Arial" w:hAnsi="Arial" w:cs="Arial"/>
          <w:sz w:val="22"/>
          <w:szCs w:val="22"/>
          <w:lang w:val="fr-FR"/>
        </w:rPr>
        <w:t>conçue et partagée avec les 194 ONG accréditées (août 2021) et qui a</w:t>
      </w:r>
      <w:r>
        <w:rPr>
          <w:rFonts w:ascii="Arial" w:hAnsi="Arial" w:cs="Arial"/>
          <w:sz w:val="22"/>
          <w:szCs w:val="22"/>
          <w:lang w:val="fr-FR"/>
        </w:rPr>
        <w:t>vait</w:t>
      </w:r>
      <w:r w:rsidRPr="008868B1">
        <w:rPr>
          <w:rFonts w:ascii="Arial" w:hAnsi="Arial" w:cs="Arial"/>
          <w:sz w:val="22"/>
          <w:szCs w:val="22"/>
          <w:lang w:val="fr-FR"/>
        </w:rPr>
        <w:t xml:space="preserve"> été suivie d</w:t>
      </w:r>
      <w:r w:rsidR="008E532B">
        <w:rPr>
          <w:rFonts w:ascii="Arial" w:hAnsi="Arial" w:cs="Arial"/>
          <w:sz w:val="22"/>
          <w:szCs w:val="22"/>
          <w:lang w:val="fr-FR"/>
        </w:rPr>
        <w:t>’</w:t>
      </w:r>
      <w:r w:rsidRPr="008868B1">
        <w:rPr>
          <w:rFonts w:ascii="Arial" w:hAnsi="Arial" w:cs="Arial"/>
          <w:sz w:val="22"/>
          <w:szCs w:val="22"/>
          <w:lang w:val="fr-FR"/>
        </w:rPr>
        <w:t>un entretien entre pairs avec une sélection de 65 ONG, la plupart provenant de régions sous-représentées. Cet exercice a</w:t>
      </w:r>
      <w:r>
        <w:rPr>
          <w:rFonts w:ascii="Arial" w:hAnsi="Arial" w:cs="Arial"/>
          <w:sz w:val="22"/>
          <w:szCs w:val="22"/>
          <w:lang w:val="fr-FR"/>
        </w:rPr>
        <w:t>vait</w:t>
      </w:r>
      <w:r w:rsidRPr="008868B1">
        <w:rPr>
          <w:rFonts w:ascii="Arial" w:hAnsi="Arial" w:cs="Arial"/>
          <w:sz w:val="22"/>
          <w:szCs w:val="22"/>
          <w:lang w:val="fr-FR"/>
        </w:rPr>
        <w:t xml:space="preserve"> permis d</w:t>
      </w:r>
      <w:r w:rsidR="008E532B">
        <w:rPr>
          <w:rFonts w:ascii="Arial" w:hAnsi="Arial" w:cs="Arial"/>
          <w:sz w:val="22"/>
          <w:szCs w:val="22"/>
          <w:lang w:val="fr-FR"/>
        </w:rPr>
        <w:t>’</w:t>
      </w:r>
      <w:r w:rsidRPr="008868B1">
        <w:rPr>
          <w:rFonts w:ascii="Arial" w:hAnsi="Arial" w:cs="Arial"/>
          <w:sz w:val="22"/>
          <w:szCs w:val="22"/>
          <w:lang w:val="fr-FR"/>
        </w:rPr>
        <w:t xml:space="preserve">obtenir des comptes rendus </w:t>
      </w:r>
      <w:r>
        <w:rPr>
          <w:rFonts w:ascii="Arial" w:hAnsi="Arial" w:cs="Arial"/>
          <w:sz w:val="22"/>
          <w:szCs w:val="22"/>
          <w:lang w:val="fr-FR"/>
        </w:rPr>
        <w:t xml:space="preserve">détaillés </w:t>
      </w:r>
      <w:r w:rsidRPr="008868B1">
        <w:rPr>
          <w:rFonts w:ascii="Arial" w:hAnsi="Arial" w:cs="Arial"/>
          <w:sz w:val="22"/>
          <w:szCs w:val="22"/>
          <w:lang w:val="fr-FR"/>
        </w:rPr>
        <w:t xml:space="preserve">de leur expertise dans un large éventail de pratiques de sauvegarde et une discussion franche sur la façon dont elles pourraient </w:t>
      </w:r>
      <w:r>
        <w:rPr>
          <w:rFonts w:ascii="Arial" w:hAnsi="Arial" w:cs="Arial"/>
          <w:sz w:val="22"/>
          <w:szCs w:val="22"/>
          <w:lang w:val="fr-FR"/>
        </w:rPr>
        <w:t>s</w:t>
      </w:r>
      <w:r w:rsidR="008E532B">
        <w:rPr>
          <w:rFonts w:ascii="Arial" w:hAnsi="Arial" w:cs="Arial"/>
          <w:sz w:val="22"/>
          <w:szCs w:val="22"/>
          <w:lang w:val="fr-FR"/>
        </w:rPr>
        <w:t>’</w:t>
      </w:r>
      <w:r>
        <w:rPr>
          <w:rFonts w:ascii="Arial" w:hAnsi="Arial" w:cs="Arial"/>
          <w:sz w:val="22"/>
          <w:szCs w:val="22"/>
          <w:lang w:val="fr-FR"/>
        </w:rPr>
        <w:t>impliquer davantage dans</w:t>
      </w:r>
      <w:r w:rsidRPr="008868B1">
        <w:rPr>
          <w:rFonts w:ascii="Arial" w:hAnsi="Arial" w:cs="Arial"/>
          <w:sz w:val="22"/>
          <w:szCs w:val="22"/>
          <w:lang w:val="fr-FR"/>
        </w:rPr>
        <w:t xml:space="preserve"> la Convention. Les ONG participantes </w:t>
      </w:r>
      <w:r>
        <w:rPr>
          <w:rFonts w:ascii="Arial" w:hAnsi="Arial" w:cs="Arial"/>
          <w:sz w:val="22"/>
          <w:szCs w:val="22"/>
          <w:lang w:val="fr-FR"/>
        </w:rPr>
        <w:t xml:space="preserve">avaient </w:t>
      </w:r>
      <w:r w:rsidRPr="008868B1">
        <w:rPr>
          <w:rFonts w:ascii="Arial" w:hAnsi="Arial" w:cs="Arial"/>
          <w:sz w:val="22"/>
          <w:szCs w:val="22"/>
          <w:lang w:val="fr-FR"/>
        </w:rPr>
        <w:t>convenu de l</w:t>
      </w:r>
      <w:r w:rsidR="008E532B">
        <w:rPr>
          <w:rFonts w:ascii="Arial" w:hAnsi="Arial" w:cs="Arial"/>
          <w:sz w:val="22"/>
          <w:szCs w:val="22"/>
          <w:lang w:val="fr-FR"/>
        </w:rPr>
        <w:t>’</w:t>
      </w:r>
      <w:r w:rsidRPr="008868B1">
        <w:rPr>
          <w:rFonts w:ascii="Arial" w:hAnsi="Arial" w:cs="Arial"/>
          <w:sz w:val="22"/>
          <w:szCs w:val="22"/>
          <w:lang w:val="fr-FR"/>
        </w:rPr>
        <w:t>importance de renforcer les réseaux régionaux et de partager l</w:t>
      </w:r>
      <w:r w:rsidR="008E532B">
        <w:rPr>
          <w:rFonts w:ascii="Arial" w:hAnsi="Arial" w:cs="Arial"/>
          <w:sz w:val="22"/>
          <w:szCs w:val="22"/>
          <w:lang w:val="fr-FR"/>
        </w:rPr>
        <w:t>’</w:t>
      </w:r>
      <w:r w:rsidRPr="008868B1">
        <w:rPr>
          <w:rFonts w:ascii="Arial" w:hAnsi="Arial" w:cs="Arial"/>
          <w:sz w:val="22"/>
          <w:szCs w:val="22"/>
          <w:lang w:val="fr-FR"/>
        </w:rPr>
        <w:t xml:space="preserve">expertise entre ONG homologues </w:t>
      </w:r>
      <w:r>
        <w:rPr>
          <w:rFonts w:ascii="Arial" w:hAnsi="Arial" w:cs="Arial"/>
          <w:sz w:val="22"/>
          <w:szCs w:val="22"/>
          <w:lang w:val="fr-FR"/>
        </w:rPr>
        <w:t>au niveau régional</w:t>
      </w:r>
      <w:r w:rsidRPr="008868B1">
        <w:rPr>
          <w:rFonts w:ascii="Arial" w:hAnsi="Arial" w:cs="Arial"/>
          <w:sz w:val="22"/>
          <w:szCs w:val="22"/>
          <w:lang w:val="fr-FR"/>
        </w:rPr>
        <w:t>. Ce projet a</w:t>
      </w:r>
      <w:r>
        <w:rPr>
          <w:rFonts w:ascii="Arial" w:hAnsi="Arial" w:cs="Arial"/>
          <w:sz w:val="22"/>
          <w:szCs w:val="22"/>
          <w:lang w:val="fr-FR"/>
        </w:rPr>
        <w:t>vait</w:t>
      </w:r>
      <w:r w:rsidRPr="008868B1">
        <w:rPr>
          <w:rFonts w:ascii="Arial" w:hAnsi="Arial" w:cs="Arial"/>
          <w:sz w:val="22"/>
          <w:szCs w:val="22"/>
          <w:lang w:val="fr-FR"/>
        </w:rPr>
        <w:t xml:space="preserve"> également réexaminé les formulaires d</w:t>
      </w:r>
      <w:r w:rsidR="008E532B">
        <w:rPr>
          <w:rFonts w:ascii="Arial" w:hAnsi="Arial" w:cs="Arial"/>
          <w:sz w:val="22"/>
          <w:szCs w:val="22"/>
          <w:lang w:val="fr-FR"/>
        </w:rPr>
        <w:t>’</w:t>
      </w:r>
      <w:r w:rsidRPr="008868B1">
        <w:rPr>
          <w:rFonts w:ascii="Arial" w:hAnsi="Arial" w:cs="Arial"/>
          <w:sz w:val="22"/>
          <w:szCs w:val="22"/>
          <w:lang w:val="fr-FR"/>
        </w:rPr>
        <w:t>accréditation et de rapport ICH-08 et ICH-09, en élargissant considérablement les catégories</w:t>
      </w:r>
      <w:r>
        <w:rPr>
          <w:rFonts w:ascii="Arial" w:hAnsi="Arial" w:cs="Arial"/>
          <w:sz w:val="22"/>
          <w:szCs w:val="22"/>
          <w:lang w:val="fr-FR"/>
        </w:rPr>
        <w:t xml:space="preserve"> au regard du</w:t>
      </w:r>
      <w:r w:rsidRPr="008868B1">
        <w:rPr>
          <w:rFonts w:ascii="Arial" w:hAnsi="Arial" w:cs="Arial"/>
          <w:sz w:val="22"/>
          <w:szCs w:val="22"/>
          <w:lang w:val="fr-FR"/>
        </w:rPr>
        <w:t xml:space="preserve"> vocabulaire employé par les ONG accréditées dans l</w:t>
      </w:r>
      <w:r w:rsidR="008E532B">
        <w:rPr>
          <w:rFonts w:ascii="Arial" w:hAnsi="Arial" w:cs="Arial"/>
          <w:sz w:val="22"/>
          <w:szCs w:val="22"/>
          <w:lang w:val="fr-FR"/>
        </w:rPr>
        <w:t>’</w:t>
      </w:r>
      <w:r w:rsidRPr="008868B1">
        <w:rPr>
          <w:rFonts w:ascii="Arial" w:hAnsi="Arial" w:cs="Arial"/>
          <w:sz w:val="22"/>
          <w:szCs w:val="22"/>
          <w:lang w:val="fr-FR"/>
        </w:rPr>
        <w:t>indexation utilisée par l</w:t>
      </w:r>
      <w:r w:rsidR="008E532B">
        <w:rPr>
          <w:rFonts w:ascii="Arial" w:hAnsi="Arial" w:cs="Arial"/>
          <w:sz w:val="22"/>
          <w:szCs w:val="22"/>
          <w:lang w:val="fr-FR"/>
        </w:rPr>
        <w:t>’</w:t>
      </w:r>
      <w:r w:rsidRPr="008868B1">
        <w:rPr>
          <w:rFonts w:ascii="Arial" w:hAnsi="Arial" w:cs="Arial"/>
          <w:sz w:val="22"/>
          <w:szCs w:val="22"/>
          <w:lang w:val="fr-FR"/>
        </w:rPr>
        <w:t>UNESCO. Les infographies créées pour ce projet permett</w:t>
      </w:r>
      <w:r>
        <w:rPr>
          <w:rFonts w:ascii="Arial" w:hAnsi="Arial" w:cs="Arial"/>
          <w:sz w:val="22"/>
          <w:szCs w:val="22"/>
          <w:lang w:val="fr-FR"/>
        </w:rPr>
        <w:t>ai</w:t>
      </w:r>
      <w:r w:rsidRPr="008868B1">
        <w:rPr>
          <w:rFonts w:ascii="Arial" w:hAnsi="Arial" w:cs="Arial"/>
          <w:sz w:val="22"/>
          <w:szCs w:val="22"/>
          <w:lang w:val="fr-FR"/>
        </w:rPr>
        <w:t>ent d</w:t>
      </w:r>
      <w:r w:rsidR="008E532B">
        <w:rPr>
          <w:rFonts w:ascii="Arial" w:hAnsi="Arial" w:cs="Arial"/>
          <w:sz w:val="22"/>
          <w:szCs w:val="22"/>
          <w:lang w:val="fr-FR"/>
        </w:rPr>
        <w:t>’</w:t>
      </w:r>
      <w:r w:rsidRPr="008868B1">
        <w:rPr>
          <w:rFonts w:ascii="Arial" w:hAnsi="Arial" w:cs="Arial"/>
          <w:sz w:val="22"/>
          <w:szCs w:val="22"/>
          <w:lang w:val="fr-FR"/>
        </w:rPr>
        <w:t>accéder facilement à des informations sur l</w:t>
      </w:r>
      <w:r w:rsidR="008E532B">
        <w:rPr>
          <w:rFonts w:ascii="Arial" w:hAnsi="Arial" w:cs="Arial"/>
          <w:sz w:val="22"/>
          <w:szCs w:val="22"/>
          <w:lang w:val="fr-FR"/>
        </w:rPr>
        <w:t>’</w:t>
      </w:r>
      <w:r w:rsidRPr="008868B1">
        <w:rPr>
          <w:rFonts w:ascii="Arial" w:hAnsi="Arial" w:cs="Arial"/>
          <w:sz w:val="22"/>
          <w:szCs w:val="22"/>
          <w:lang w:val="fr-FR"/>
        </w:rPr>
        <w:t>expertise et les activités, ainsi que sur la fonction consultative potentielle des ONG accréditées dans le cadre des travaux du Comité et de la mise en œuvre de la Convention. Le rapport sera</w:t>
      </w:r>
      <w:r>
        <w:rPr>
          <w:rFonts w:ascii="Arial" w:hAnsi="Arial" w:cs="Arial"/>
          <w:sz w:val="22"/>
          <w:szCs w:val="22"/>
          <w:lang w:val="fr-FR"/>
        </w:rPr>
        <w:t>it</w:t>
      </w:r>
      <w:r w:rsidRPr="008868B1">
        <w:rPr>
          <w:rFonts w:ascii="Arial" w:hAnsi="Arial" w:cs="Arial"/>
          <w:sz w:val="22"/>
          <w:szCs w:val="22"/>
          <w:lang w:val="fr-FR"/>
        </w:rPr>
        <w:t xml:space="preserve"> publié à l</w:t>
      </w:r>
      <w:r w:rsidR="008E532B">
        <w:rPr>
          <w:rFonts w:ascii="Arial" w:hAnsi="Arial" w:cs="Arial"/>
          <w:sz w:val="22"/>
          <w:szCs w:val="22"/>
          <w:lang w:val="fr-FR"/>
        </w:rPr>
        <w:t>’</w:t>
      </w:r>
      <w:r w:rsidRPr="008868B1">
        <w:rPr>
          <w:rFonts w:ascii="Arial" w:hAnsi="Arial" w:cs="Arial"/>
          <w:sz w:val="22"/>
          <w:szCs w:val="22"/>
          <w:lang w:val="fr-FR"/>
        </w:rPr>
        <w:t>automne 2022. Les revenus de ce contrat ét</w:t>
      </w:r>
      <w:r>
        <w:rPr>
          <w:rFonts w:ascii="Arial" w:hAnsi="Arial" w:cs="Arial"/>
          <w:sz w:val="22"/>
          <w:szCs w:val="22"/>
          <w:lang w:val="fr-FR"/>
        </w:rPr>
        <w:t>aient</w:t>
      </w:r>
      <w:r w:rsidRPr="008868B1">
        <w:rPr>
          <w:rFonts w:ascii="Arial" w:hAnsi="Arial" w:cs="Arial"/>
          <w:sz w:val="22"/>
          <w:szCs w:val="22"/>
          <w:lang w:val="fr-FR"/>
        </w:rPr>
        <w:t xml:space="preserve"> reversés par les membres du Comité </w:t>
      </w:r>
      <w:r>
        <w:rPr>
          <w:rFonts w:ascii="Arial" w:hAnsi="Arial" w:cs="Arial"/>
          <w:sz w:val="22"/>
          <w:szCs w:val="22"/>
          <w:lang w:val="fr-FR"/>
        </w:rPr>
        <w:t xml:space="preserve">de pilotage </w:t>
      </w:r>
      <w:r w:rsidRPr="008868B1">
        <w:rPr>
          <w:rFonts w:ascii="Arial" w:hAnsi="Arial" w:cs="Arial"/>
          <w:sz w:val="22"/>
          <w:szCs w:val="22"/>
          <w:lang w:val="fr-FR"/>
        </w:rPr>
        <w:t xml:space="preserve">au modeste budget </w:t>
      </w:r>
      <w:r>
        <w:rPr>
          <w:rFonts w:ascii="Arial" w:hAnsi="Arial" w:cs="Arial"/>
          <w:sz w:val="22"/>
          <w:szCs w:val="22"/>
          <w:lang w:val="fr-FR"/>
        </w:rPr>
        <w:t xml:space="preserve">de fonctionnement </w:t>
      </w:r>
      <w:r w:rsidRPr="008868B1">
        <w:rPr>
          <w:rFonts w:ascii="Arial" w:hAnsi="Arial" w:cs="Arial"/>
          <w:sz w:val="22"/>
          <w:szCs w:val="22"/>
          <w:lang w:val="fr-FR"/>
        </w:rPr>
        <w:t xml:space="preserve">du Forum. Le Comité </w:t>
      </w:r>
      <w:r>
        <w:rPr>
          <w:rFonts w:ascii="Arial" w:hAnsi="Arial" w:cs="Arial"/>
          <w:sz w:val="22"/>
          <w:szCs w:val="22"/>
          <w:lang w:val="fr-FR"/>
        </w:rPr>
        <w:t xml:space="preserve">de pilotage </w:t>
      </w:r>
      <w:r w:rsidRPr="008868B1">
        <w:rPr>
          <w:rFonts w:ascii="Arial" w:hAnsi="Arial" w:cs="Arial"/>
          <w:sz w:val="22"/>
          <w:szCs w:val="22"/>
          <w:lang w:val="fr-FR"/>
        </w:rPr>
        <w:t>a</w:t>
      </w:r>
      <w:r>
        <w:rPr>
          <w:rFonts w:ascii="Arial" w:hAnsi="Arial" w:cs="Arial"/>
          <w:sz w:val="22"/>
          <w:szCs w:val="22"/>
          <w:lang w:val="fr-FR"/>
        </w:rPr>
        <w:t>vait</w:t>
      </w:r>
      <w:r w:rsidRPr="008868B1">
        <w:rPr>
          <w:rFonts w:ascii="Arial" w:hAnsi="Arial" w:cs="Arial"/>
          <w:sz w:val="22"/>
          <w:szCs w:val="22"/>
          <w:lang w:val="fr-FR"/>
        </w:rPr>
        <w:t xml:space="preserve"> représenté le Forum lors de réunions organisées par l</w:t>
      </w:r>
      <w:r w:rsidR="008E532B">
        <w:rPr>
          <w:rFonts w:ascii="Arial" w:hAnsi="Arial" w:cs="Arial"/>
          <w:sz w:val="22"/>
          <w:szCs w:val="22"/>
          <w:lang w:val="fr-FR"/>
        </w:rPr>
        <w:t>’</w:t>
      </w:r>
      <w:r w:rsidRPr="008868B1">
        <w:rPr>
          <w:rFonts w:ascii="Arial" w:hAnsi="Arial" w:cs="Arial"/>
          <w:sz w:val="22"/>
          <w:szCs w:val="22"/>
          <w:lang w:val="fr-FR"/>
        </w:rPr>
        <w:t xml:space="preserve">UNESCO pour traiter de la situation actuelle en Ukraine et de son impact sur le patrimoine. Au cours de ces réunions, le Comité </w:t>
      </w:r>
      <w:r>
        <w:rPr>
          <w:rFonts w:ascii="Arial" w:hAnsi="Arial" w:cs="Arial"/>
          <w:sz w:val="22"/>
          <w:szCs w:val="22"/>
          <w:lang w:val="fr-FR"/>
        </w:rPr>
        <w:t xml:space="preserve">de pilotage avait </w:t>
      </w:r>
      <w:r w:rsidRPr="008868B1">
        <w:rPr>
          <w:rFonts w:ascii="Arial" w:hAnsi="Arial" w:cs="Arial"/>
          <w:sz w:val="22"/>
          <w:szCs w:val="22"/>
          <w:lang w:val="fr-FR"/>
        </w:rPr>
        <w:t>rend</w:t>
      </w:r>
      <w:r>
        <w:rPr>
          <w:rFonts w:ascii="Arial" w:hAnsi="Arial" w:cs="Arial"/>
          <w:sz w:val="22"/>
          <w:szCs w:val="22"/>
          <w:lang w:val="fr-FR"/>
        </w:rPr>
        <w:t>u</w:t>
      </w:r>
      <w:r w:rsidRPr="008868B1">
        <w:rPr>
          <w:rFonts w:ascii="Arial" w:hAnsi="Arial" w:cs="Arial"/>
          <w:sz w:val="22"/>
          <w:szCs w:val="22"/>
          <w:lang w:val="fr-FR"/>
        </w:rPr>
        <w:t xml:space="preserve"> compte du travail </w:t>
      </w:r>
      <w:r>
        <w:rPr>
          <w:rFonts w:ascii="Arial" w:hAnsi="Arial" w:cs="Arial"/>
          <w:sz w:val="22"/>
          <w:szCs w:val="22"/>
          <w:lang w:val="fr-FR"/>
        </w:rPr>
        <w:t xml:space="preserve">réalisé par les </w:t>
      </w:r>
      <w:r w:rsidRPr="008868B1">
        <w:rPr>
          <w:rFonts w:ascii="Arial" w:hAnsi="Arial" w:cs="Arial"/>
          <w:sz w:val="22"/>
          <w:szCs w:val="22"/>
          <w:lang w:val="fr-FR"/>
        </w:rPr>
        <w:t xml:space="preserve">ONG </w:t>
      </w:r>
      <w:r>
        <w:rPr>
          <w:rFonts w:ascii="Arial" w:hAnsi="Arial" w:cs="Arial"/>
          <w:sz w:val="22"/>
          <w:szCs w:val="22"/>
          <w:lang w:val="fr-FR"/>
        </w:rPr>
        <w:t xml:space="preserve">pour </w:t>
      </w:r>
      <w:r w:rsidRPr="008868B1">
        <w:rPr>
          <w:rFonts w:ascii="Arial" w:hAnsi="Arial" w:cs="Arial"/>
          <w:sz w:val="22"/>
          <w:szCs w:val="22"/>
          <w:lang w:val="fr-FR"/>
        </w:rPr>
        <w:t>sauvegarde</w:t>
      </w:r>
      <w:r>
        <w:rPr>
          <w:rFonts w:ascii="Arial" w:hAnsi="Arial" w:cs="Arial"/>
          <w:sz w:val="22"/>
          <w:szCs w:val="22"/>
          <w:lang w:val="fr-FR"/>
        </w:rPr>
        <w:t>r le</w:t>
      </w:r>
      <w:r w:rsidRPr="008868B1">
        <w:rPr>
          <w:rFonts w:ascii="Arial" w:hAnsi="Arial" w:cs="Arial"/>
          <w:sz w:val="22"/>
          <w:szCs w:val="22"/>
          <w:lang w:val="fr-FR"/>
        </w:rPr>
        <w:t xml:space="preserv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8868B1">
        <w:rPr>
          <w:rFonts w:ascii="Arial" w:hAnsi="Arial" w:cs="Arial"/>
          <w:sz w:val="22"/>
          <w:szCs w:val="22"/>
          <w:lang w:val="fr-FR"/>
        </w:rPr>
        <w:t xml:space="preserve">en Ukraine et parmi les réfugiés ukrainiens. Il se </w:t>
      </w:r>
      <w:r>
        <w:rPr>
          <w:rFonts w:ascii="Arial" w:hAnsi="Arial" w:cs="Arial"/>
          <w:sz w:val="22"/>
          <w:szCs w:val="22"/>
          <w:lang w:val="fr-FR"/>
        </w:rPr>
        <w:t xml:space="preserve">tenait </w:t>
      </w:r>
      <w:r w:rsidRPr="008868B1">
        <w:rPr>
          <w:rFonts w:ascii="Arial" w:hAnsi="Arial" w:cs="Arial"/>
          <w:sz w:val="22"/>
          <w:szCs w:val="22"/>
          <w:lang w:val="fr-FR"/>
        </w:rPr>
        <w:t>informé des besoins des ONG, notamment par l</w:t>
      </w:r>
      <w:r w:rsidR="008E532B">
        <w:rPr>
          <w:rFonts w:ascii="Arial" w:hAnsi="Arial" w:cs="Arial"/>
          <w:sz w:val="22"/>
          <w:szCs w:val="22"/>
          <w:lang w:val="fr-FR"/>
        </w:rPr>
        <w:t>’</w:t>
      </w:r>
      <w:r w:rsidRPr="008868B1">
        <w:rPr>
          <w:rFonts w:ascii="Arial" w:hAnsi="Arial" w:cs="Arial"/>
          <w:sz w:val="22"/>
          <w:szCs w:val="22"/>
          <w:lang w:val="fr-FR"/>
        </w:rPr>
        <w:t xml:space="preserve">intermédiaire de M. </w:t>
      </w:r>
      <w:proofErr w:type="spellStart"/>
      <w:r w:rsidRPr="008868B1">
        <w:rPr>
          <w:rFonts w:ascii="Arial" w:hAnsi="Arial" w:cs="Arial"/>
          <w:sz w:val="22"/>
          <w:szCs w:val="22"/>
          <w:lang w:val="fr-FR"/>
        </w:rPr>
        <w:t>Oleksandr</w:t>
      </w:r>
      <w:proofErr w:type="spellEnd"/>
      <w:r w:rsidRPr="008868B1">
        <w:rPr>
          <w:rFonts w:ascii="Arial" w:hAnsi="Arial" w:cs="Arial"/>
          <w:sz w:val="22"/>
          <w:szCs w:val="22"/>
          <w:lang w:val="fr-FR"/>
        </w:rPr>
        <w:t xml:space="preserve"> </w:t>
      </w:r>
      <w:proofErr w:type="spellStart"/>
      <w:r>
        <w:rPr>
          <w:rFonts w:ascii="Arial" w:hAnsi="Arial" w:cs="Arial"/>
          <w:sz w:val="22"/>
          <w:szCs w:val="22"/>
          <w:lang w:val="fr-FR"/>
        </w:rPr>
        <w:t>Butsenko</w:t>
      </w:r>
      <w:proofErr w:type="spellEnd"/>
      <w:r w:rsidRPr="008868B1">
        <w:rPr>
          <w:rFonts w:ascii="Arial" w:hAnsi="Arial" w:cs="Arial"/>
          <w:sz w:val="22"/>
          <w:szCs w:val="22"/>
          <w:lang w:val="fr-FR"/>
        </w:rPr>
        <w:t>, qui dirige l</w:t>
      </w:r>
      <w:r w:rsidR="008E532B">
        <w:rPr>
          <w:rFonts w:ascii="Arial" w:hAnsi="Arial" w:cs="Arial"/>
          <w:sz w:val="22"/>
          <w:szCs w:val="22"/>
          <w:lang w:val="fr-FR"/>
        </w:rPr>
        <w:t>’</w:t>
      </w:r>
      <w:r w:rsidRPr="008868B1">
        <w:rPr>
          <w:rFonts w:ascii="Arial" w:hAnsi="Arial" w:cs="Arial"/>
          <w:sz w:val="22"/>
          <w:szCs w:val="22"/>
          <w:lang w:val="fr-FR"/>
        </w:rPr>
        <w:t>ONG ukrainienne</w:t>
      </w:r>
      <w:r>
        <w:rPr>
          <w:rFonts w:ascii="Arial" w:hAnsi="Arial" w:cs="Arial"/>
          <w:sz w:val="22"/>
          <w:szCs w:val="22"/>
          <w:lang w:val="fr-FR"/>
        </w:rPr>
        <w:t xml:space="preserve"> </w:t>
      </w:r>
      <w:r w:rsidRPr="00963EB1">
        <w:rPr>
          <w:rFonts w:ascii="Arial" w:hAnsi="Arial" w:cs="Arial"/>
          <w:sz w:val="22"/>
          <w:szCs w:val="22"/>
          <w:lang w:val="fr-FR"/>
        </w:rPr>
        <w:t>« La démocratie par la culture »</w:t>
      </w:r>
      <w:r w:rsidRPr="000438FF">
        <w:rPr>
          <w:rFonts w:ascii="Arial" w:hAnsi="Arial" w:cs="Arial"/>
          <w:sz w:val="22"/>
          <w:szCs w:val="22"/>
          <w:lang w:val="fr-FR"/>
        </w:rPr>
        <w:t xml:space="preserve">. </w:t>
      </w:r>
      <w:r w:rsidRPr="008868B1">
        <w:rPr>
          <w:rFonts w:ascii="Arial" w:hAnsi="Arial" w:cs="Arial"/>
          <w:sz w:val="22"/>
          <w:szCs w:val="22"/>
          <w:lang w:val="fr-FR"/>
        </w:rPr>
        <w:t>La situation en Ukraine a</w:t>
      </w:r>
      <w:r>
        <w:rPr>
          <w:rFonts w:ascii="Arial" w:hAnsi="Arial" w:cs="Arial"/>
          <w:sz w:val="22"/>
          <w:szCs w:val="22"/>
          <w:lang w:val="fr-FR"/>
        </w:rPr>
        <w:t xml:space="preserve">vait </w:t>
      </w:r>
      <w:r w:rsidRPr="008868B1">
        <w:rPr>
          <w:rFonts w:ascii="Arial" w:hAnsi="Arial" w:cs="Arial"/>
          <w:sz w:val="22"/>
          <w:szCs w:val="22"/>
          <w:lang w:val="fr-FR"/>
        </w:rPr>
        <w:t xml:space="preserve">incité le Comité </w:t>
      </w:r>
      <w:r>
        <w:rPr>
          <w:rFonts w:ascii="Arial" w:hAnsi="Arial" w:cs="Arial"/>
          <w:sz w:val="22"/>
          <w:szCs w:val="22"/>
          <w:lang w:val="fr-FR"/>
        </w:rPr>
        <w:t xml:space="preserve">de pilotage </w:t>
      </w:r>
      <w:r w:rsidRPr="008868B1">
        <w:rPr>
          <w:rFonts w:ascii="Arial" w:hAnsi="Arial" w:cs="Arial"/>
          <w:sz w:val="22"/>
          <w:szCs w:val="22"/>
          <w:lang w:val="fr-FR"/>
        </w:rPr>
        <w:t xml:space="preserve">à examiner </w:t>
      </w:r>
      <w:r>
        <w:rPr>
          <w:rFonts w:ascii="Arial" w:hAnsi="Arial" w:cs="Arial"/>
          <w:sz w:val="22"/>
          <w:szCs w:val="22"/>
          <w:lang w:val="fr-FR"/>
        </w:rPr>
        <w:t xml:space="preserve">de quelle façon </w:t>
      </w:r>
      <w:r w:rsidRPr="008868B1">
        <w:rPr>
          <w:rFonts w:ascii="Arial" w:hAnsi="Arial" w:cs="Arial"/>
          <w:sz w:val="22"/>
          <w:szCs w:val="22"/>
          <w:lang w:val="fr-FR"/>
        </w:rPr>
        <w:t xml:space="preserve">le Forum pourrait soutenir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8868B1">
        <w:rPr>
          <w:rFonts w:ascii="Arial" w:hAnsi="Arial" w:cs="Arial"/>
          <w:sz w:val="22"/>
          <w:szCs w:val="22"/>
          <w:lang w:val="fr-FR"/>
        </w:rPr>
        <w:t xml:space="preserve">en danger dans les situations de conflit. Ces discussions </w:t>
      </w:r>
      <w:r>
        <w:rPr>
          <w:rFonts w:ascii="Arial" w:hAnsi="Arial" w:cs="Arial"/>
          <w:sz w:val="22"/>
          <w:szCs w:val="22"/>
          <w:lang w:val="fr-FR"/>
        </w:rPr>
        <w:t>avaient</w:t>
      </w:r>
      <w:r w:rsidRPr="008868B1">
        <w:rPr>
          <w:rFonts w:ascii="Arial" w:hAnsi="Arial" w:cs="Arial"/>
          <w:sz w:val="22"/>
          <w:szCs w:val="22"/>
          <w:lang w:val="fr-FR"/>
        </w:rPr>
        <w:t xml:space="preserve"> abouti au lancement de l</w:t>
      </w:r>
      <w:r w:rsidR="008E532B">
        <w:rPr>
          <w:rFonts w:ascii="Arial" w:hAnsi="Arial" w:cs="Arial"/>
          <w:sz w:val="22"/>
          <w:szCs w:val="22"/>
          <w:lang w:val="fr-FR"/>
        </w:rPr>
        <w:t>’</w:t>
      </w:r>
      <w:r w:rsidRPr="008868B1">
        <w:rPr>
          <w:rFonts w:ascii="Arial" w:hAnsi="Arial" w:cs="Arial"/>
          <w:sz w:val="22"/>
          <w:szCs w:val="22"/>
          <w:lang w:val="fr-FR"/>
        </w:rPr>
        <w:t xml:space="preserve">initiative </w:t>
      </w:r>
      <w:r>
        <w:rPr>
          <w:rFonts w:ascii="Arial" w:hAnsi="Arial" w:cs="Arial"/>
          <w:sz w:val="22"/>
          <w:szCs w:val="22"/>
          <w:lang w:val="fr-FR"/>
        </w:rPr>
        <w:t>« </w:t>
      </w:r>
      <w:r w:rsidRPr="00925F26">
        <w:rPr>
          <w:rFonts w:ascii="Arial" w:hAnsi="Arial" w:cs="Arial"/>
          <w:sz w:val="22"/>
          <w:szCs w:val="22"/>
          <w:lang w:val="fr-FR"/>
        </w:rPr>
        <w:t xml:space="preserve">Living </w:t>
      </w:r>
      <w:proofErr w:type="spellStart"/>
      <w:r w:rsidRPr="00925F26">
        <w:rPr>
          <w:rFonts w:ascii="Arial" w:hAnsi="Arial" w:cs="Arial"/>
          <w:sz w:val="22"/>
          <w:szCs w:val="22"/>
          <w:lang w:val="fr-FR"/>
        </w:rPr>
        <w:t>Heritage</w:t>
      </w:r>
      <w:proofErr w:type="spellEnd"/>
      <w:r w:rsidRPr="00925F26">
        <w:rPr>
          <w:rFonts w:ascii="Arial" w:hAnsi="Arial" w:cs="Arial"/>
          <w:sz w:val="22"/>
          <w:szCs w:val="22"/>
          <w:lang w:val="fr-FR"/>
        </w:rPr>
        <w:t xml:space="preserve"> For </w:t>
      </w:r>
      <w:proofErr w:type="spellStart"/>
      <w:r w:rsidRPr="00925F26">
        <w:rPr>
          <w:rFonts w:ascii="Arial" w:hAnsi="Arial" w:cs="Arial"/>
          <w:sz w:val="22"/>
          <w:szCs w:val="22"/>
          <w:lang w:val="fr-FR"/>
        </w:rPr>
        <w:t>Peace</w:t>
      </w:r>
      <w:proofErr w:type="spellEnd"/>
      <w:r>
        <w:rPr>
          <w:rFonts w:ascii="Arial" w:hAnsi="Arial" w:cs="Arial"/>
          <w:sz w:val="22"/>
          <w:szCs w:val="22"/>
          <w:lang w:val="fr-FR"/>
        </w:rPr>
        <w:t> »</w:t>
      </w:r>
      <w:r>
        <w:rPr>
          <w:rStyle w:val="FootnoteReference"/>
          <w:rFonts w:ascii="Arial" w:hAnsi="Arial" w:cs="Arial"/>
          <w:sz w:val="22"/>
          <w:szCs w:val="22"/>
          <w:lang w:val="fr-FR"/>
        </w:rPr>
        <w:footnoteReference w:id="30"/>
      </w:r>
      <w:r>
        <w:rPr>
          <w:rFonts w:ascii="Arial" w:hAnsi="Arial" w:cs="Arial"/>
          <w:sz w:val="22"/>
          <w:szCs w:val="22"/>
          <w:lang w:val="fr-FR"/>
        </w:rPr>
        <w:t xml:space="preserve"> (Le patrimoine vivant pour la paix)</w:t>
      </w:r>
      <w:r w:rsidRPr="008868B1">
        <w:rPr>
          <w:rFonts w:ascii="Arial" w:hAnsi="Arial" w:cs="Arial"/>
          <w:sz w:val="22"/>
          <w:szCs w:val="22"/>
          <w:lang w:val="fr-FR"/>
        </w:rPr>
        <w:t xml:space="preserve">, qui reconnaît et célèbre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8868B1">
        <w:rPr>
          <w:rFonts w:ascii="Arial" w:hAnsi="Arial" w:cs="Arial"/>
          <w:sz w:val="22"/>
          <w:szCs w:val="22"/>
          <w:lang w:val="fr-FR"/>
        </w:rPr>
        <w:t xml:space="preserve">comme un outil puissant de résilience dans les situations de conflit. </w:t>
      </w:r>
      <w:r w:rsidRPr="004B07A8">
        <w:rPr>
          <w:rFonts w:ascii="Arial" w:hAnsi="Arial" w:cs="Arial"/>
          <w:sz w:val="22"/>
          <w:szCs w:val="22"/>
          <w:lang w:val="fr-FR"/>
        </w:rPr>
        <w:t xml:space="preserve">Un </w:t>
      </w:r>
      <w:r>
        <w:rPr>
          <w:rFonts w:ascii="Arial" w:hAnsi="Arial" w:cs="Arial"/>
          <w:sz w:val="22"/>
          <w:szCs w:val="22"/>
          <w:lang w:val="fr-FR"/>
        </w:rPr>
        <w:t>C</w:t>
      </w:r>
      <w:r w:rsidRPr="008868B1">
        <w:rPr>
          <w:rFonts w:ascii="Arial" w:hAnsi="Arial" w:cs="Arial"/>
          <w:sz w:val="22"/>
          <w:szCs w:val="22"/>
          <w:lang w:val="fr-FR"/>
        </w:rPr>
        <w:t xml:space="preserve">omité </w:t>
      </w:r>
      <w:r>
        <w:rPr>
          <w:rFonts w:ascii="Arial" w:hAnsi="Arial" w:cs="Arial"/>
          <w:sz w:val="22"/>
          <w:szCs w:val="22"/>
          <w:lang w:val="fr-FR"/>
        </w:rPr>
        <w:t>en charge de la</w:t>
      </w:r>
      <w:r w:rsidRPr="008868B1">
        <w:rPr>
          <w:rFonts w:ascii="Arial" w:hAnsi="Arial" w:cs="Arial"/>
          <w:sz w:val="22"/>
          <w:szCs w:val="22"/>
          <w:lang w:val="fr-FR"/>
        </w:rPr>
        <w:t xml:space="preserve"> collecte de fonds a</w:t>
      </w:r>
      <w:r>
        <w:rPr>
          <w:rFonts w:ascii="Arial" w:hAnsi="Arial" w:cs="Arial"/>
          <w:sz w:val="22"/>
          <w:szCs w:val="22"/>
          <w:lang w:val="fr-FR"/>
        </w:rPr>
        <w:t>vait</w:t>
      </w:r>
      <w:r w:rsidRPr="008868B1">
        <w:rPr>
          <w:rFonts w:ascii="Arial" w:hAnsi="Arial" w:cs="Arial"/>
          <w:sz w:val="22"/>
          <w:szCs w:val="22"/>
          <w:lang w:val="fr-FR"/>
        </w:rPr>
        <w:t xml:space="preserve"> été créé afin de rechercher des fonds pour aider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8868B1">
        <w:rPr>
          <w:rFonts w:ascii="Arial" w:hAnsi="Arial" w:cs="Arial"/>
          <w:sz w:val="22"/>
          <w:szCs w:val="22"/>
          <w:lang w:val="fr-FR"/>
        </w:rPr>
        <w:t>dans tou</w:t>
      </w:r>
      <w:r>
        <w:rPr>
          <w:rFonts w:ascii="Arial" w:hAnsi="Arial" w:cs="Arial"/>
          <w:sz w:val="22"/>
          <w:szCs w:val="22"/>
          <w:lang w:val="fr-FR"/>
        </w:rPr>
        <w:t>s les</w:t>
      </w:r>
      <w:r w:rsidRPr="008868B1">
        <w:rPr>
          <w:rFonts w:ascii="Arial" w:hAnsi="Arial" w:cs="Arial"/>
          <w:sz w:val="22"/>
          <w:szCs w:val="22"/>
          <w:lang w:val="fr-FR"/>
        </w:rPr>
        <w:t xml:space="preserve"> pays du monde connaissant des situations de crise. La participation des ONG et </w:t>
      </w:r>
      <w:r>
        <w:rPr>
          <w:rFonts w:ascii="Arial" w:hAnsi="Arial" w:cs="Arial"/>
          <w:sz w:val="22"/>
          <w:szCs w:val="22"/>
          <w:lang w:val="fr-FR"/>
        </w:rPr>
        <w:t>le nombre d</w:t>
      </w:r>
      <w:r w:rsidR="008E532B">
        <w:rPr>
          <w:rFonts w:ascii="Arial" w:hAnsi="Arial" w:cs="Arial"/>
          <w:sz w:val="22"/>
          <w:szCs w:val="22"/>
          <w:lang w:val="fr-FR"/>
        </w:rPr>
        <w:t>’</w:t>
      </w:r>
      <w:r w:rsidRPr="008868B1">
        <w:rPr>
          <w:rFonts w:ascii="Arial" w:hAnsi="Arial" w:cs="Arial"/>
          <w:sz w:val="22"/>
          <w:szCs w:val="22"/>
          <w:lang w:val="fr-FR"/>
        </w:rPr>
        <w:t>activités organisées par le Forum lors des réunions du Comité a</w:t>
      </w:r>
      <w:r>
        <w:rPr>
          <w:rFonts w:ascii="Arial" w:hAnsi="Arial" w:cs="Arial"/>
          <w:sz w:val="22"/>
          <w:szCs w:val="22"/>
          <w:lang w:val="fr-FR"/>
        </w:rPr>
        <w:t>vaient</w:t>
      </w:r>
      <w:r w:rsidRPr="008868B1">
        <w:rPr>
          <w:rFonts w:ascii="Arial" w:hAnsi="Arial" w:cs="Arial"/>
          <w:sz w:val="22"/>
          <w:szCs w:val="22"/>
          <w:lang w:val="fr-FR"/>
        </w:rPr>
        <w:t xml:space="preserve"> augmenté au cours des dernières années, passant de </w:t>
      </w:r>
      <w:r>
        <w:rPr>
          <w:rFonts w:ascii="Arial" w:hAnsi="Arial" w:cs="Arial"/>
          <w:sz w:val="22"/>
          <w:szCs w:val="22"/>
          <w:lang w:val="fr-FR"/>
        </w:rPr>
        <w:t>quarante</w:t>
      </w:r>
      <w:r>
        <w:rPr>
          <w:rFonts w:ascii="Arial" w:hAnsi="Arial" w:cs="Arial"/>
          <w:sz w:val="22"/>
          <w:szCs w:val="22"/>
          <w:lang w:val="fr-FR"/>
        </w:rPr>
        <w:noBreakHyphen/>
        <w:t>sept</w:t>
      </w:r>
      <w:r w:rsidRPr="008868B1">
        <w:rPr>
          <w:rFonts w:ascii="Arial" w:hAnsi="Arial" w:cs="Arial"/>
          <w:sz w:val="22"/>
          <w:szCs w:val="22"/>
          <w:lang w:val="fr-FR"/>
        </w:rPr>
        <w:t xml:space="preserve"> ONG participantes en 2016 à </w:t>
      </w:r>
      <w:r>
        <w:rPr>
          <w:rFonts w:ascii="Arial" w:hAnsi="Arial" w:cs="Arial"/>
          <w:sz w:val="22"/>
          <w:szCs w:val="22"/>
          <w:lang w:val="fr-FR"/>
        </w:rPr>
        <w:t>quatre</w:t>
      </w:r>
      <w:r>
        <w:rPr>
          <w:rFonts w:ascii="Arial" w:hAnsi="Arial" w:cs="Arial"/>
          <w:sz w:val="22"/>
          <w:szCs w:val="22"/>
          <w:lang w:val="fr-FR"/>
        </w:rPr>
        <w:noBreakHyphen/>
        <w:t>vingt</w:t>
      </w:r>
      <w:r>
        <w:rPr>
          <w:rFonts w:ascii="Arial" w:hAnsi="Arial" w:cs="Arial"/>
          <w:sz w:val="22"/>
          <w:szCs w:val="22"/>
          <w:lang w:val="fr-FR"/>
        </w:rPr>
        <w:noBreakHyphen/>
        <w:t>six</w:t>
      </w:r>
      <w:r w:rsidRPr="008868B1">
        <w:rPr>
          <w:rFonts w:ascii="Arial" w:hAnsi="Arial" w:cs="Arial"/>
          <w:sz w:val="22"/>
          <w:szCs w:val="22"/>
          <w:lang w:val="fr-FR"/>
        </w:rPr>
        <w:t xml:space="preserve"> en 2020 et 122 en 2022, ainsi que lors de l</w:t>
      </w:r>
      <w:r w:rsidR="008E532B">
        <w:rPr>
          <w:rFonts w:ascii="Arial" w:hAnsi="Arial" w:cs="Arial"/>
          <w:sz w:val="22"/>
          <w:szCs w:val="22"/>
          <w:lang w:val="fr-FR"/>
        </w:rPr>
        <w:t>’</w:t>
      </w:r>
      <w:r w:rsidRPr="008868B1">
        <w:rPr>
          <w:rFonts w:ascii="Arial" w:hAnsi="Arial" w:cs="Arial"/>
          <w:sz w:val="22"/>
          <w:szCs w:val="22"/>
          <w:lang w:val="fr-FR"/>
        </w:rPr>
        <w:t>Assemblée générale. Par exemple, en 2022, quatre</w:t>
      </w:r>
      <w:r>
        <w:rPr>
          <w:rFonts w:ascii="Arial" w:hAnsi="Arial" w:cs="Arial"/>
          <w:sz w:val="22"/>
          <w:szCs w:val="22"/>
          <w:lang w:val="fr-FR"/>
        </w:rPr>
        <w:noBreakHyphen/>
      </w:r>
      <w:r w:rsidRPr="008868B1">
        <w:rPr>
          <w:rFonts w:ascii="Arial" w:hAnsi="Arial" w:cs="Arial"/>
          <w:sz w:val="22"/>
          <w:szCs w:val="22"/>
          <w:lang w:val="fr-FR"/>
        </w:rPr>
        <w:t>vingt</w:t>
      </w:r>
      <w:r>
        <w:rPr>
          <w:rFonts w:ascii="Arial" w:hAnsi="Arial" w:cs="Arial"/>
          <w:sz w:val="22"/>
          <w:szCs w:val="22"/>
          <w:lang w:val="fr-FR"/>
        </w:rPr>
        <w:noBreakHyphen/>
      </w:r>
      <w:r w:rsidRPr="008868B1">
        <w:rPr>
          <w:rFonts w:ascii="Arial" w:hAnsi="Arial" w:cs="Arial"/>
          <w:sz w:val="22"/>
          <w:szCs w:val="22"/>
          <w:lang w:val="fr-FR"/>
        </w:rPr>
        <w:t>onze représentants d</w:t>
      </w:r>
      <w:r w:rsidR="008E532B">
        <w:rPr>
          <w:rFonts w:ascii="Arial" w:hAnsi="Arial" w:cs="Arial"/>
          <w:sz w:val="22"/>
          <w:szCs w:val="22"/>
          <w:lang w:val="fr-FR"/>
        </w:rPr>
        <w:t>’</w:t>
      </w:r>
      <w:r w:rsidRPr="008868B1">
        <w:rPr>
          <w:rFonts w:ascii="Arial" w:hAnsi="Arial" w:cs="Arial"/>
          <w:sz w:val="22"/>
          <w:szCs w:val="22"/>
          <w:lang w:val="fr-FR"/>
        </w:rPr>
        <w:t>ONG s</w:t>
      </w:r>
      <w:r w:rsidR="008E532B">
        <w:rPr>
          <w:rFonts w:ascii="Arial" w:hAnsi="Arial" w:cs="Arial"/>
          <w:sz w:val="22"/>
          <w:szCs w:val="22"/>
          <w:lang w:val="fr-FR"/>
        </w:rPr>
        <w:t>’</w:t>
      </w:r>
      <w:r>
        <w:rPr>
          <w:rFonts w:ascii="Arial" w:hAnsi="Arial" w:cs="Arial"/>
          <w:sz w:val="22"/>
          <w:szCs w:val="22"/>
          <w:lang w:val="fr-FR"/>
        </w:rPr>
        <w:t>étaient</w:t>
      </w:r>
      <w:r w:rsidRPr="008868B1">
        <w:rPr>
          <w:rFonts w:ascii="Arial" w:hAnsi="Arial" w:cs="Arial"/>
          <w:sz w:val="22"/>
          <w:szCs w:val="22"/>
          <w:lang w:val="fr-FR"/>
        </w:rPr>
        <w:t xml:space="preserve"> inscrits et particip</w:t>
      </w:r>
      <w:r>
        <w:rPr>
          <w:rFonts w:ascii="Arial" w:hAnsi="Arial" w:cs="Arial"/>
          <w:sz w:val="22"/>
          <w:szCs w:val="22"/>
          <w:lang w:val="fr-FR"/>
        </w:rPr>
        <w:t>aient</w:t>
      </w:r>
      <w:r w:rsidRPr="008868B1">
        <w:rPr>
          <w:rFonts w:ascii="Arial" w:hAnsi="Arial" w:cs="Arial"/>
          <w:sz w:val="22"/>
          <w:szCs w:val="22"/>
          <w:lang w:val="fr-FR"/>
        </w:rPr>
        <w:t xml:space="preserve"> aux réunions de l</w:t>
      </w:r>
      <w:r w:rsidR="008E532B">
        <w:rPr>
          <w:rFonts w:ascii="Arial" w:hAnsi="Arial" w:cs="Arial"/>
          <w:sz w:val="22"/>
          <w:szCs w:val="22"/>
          <w:lang w:val="fr-FR"/>
        </w:rPr>
        <w:t>’</w:t>
      </w:r>
      <w:r w:rsidRPr="008868B1">
        <w:rPr>
          <w:rFonts w:ascii="Arial" w:hAnsi="Arial" w:cs="Arial"/>
          <w:sz w:val="22"/>
          <w:szCs w:val="22"/>
          <w:lang w:val="fr-FR"/>
        </w:rPr>
        <w:t xml:space="preserve">Assemblée générale, y compris quatre </w:t>
      </w:r>
      <w:r>
        <w:rPr>
          <w:rFonts w:ascii="Arial" w:hAnsi="Arial" w:cs="Arial"/>
          <w:sz w:val="22"/>
          <w:szCs w:val="22"/>
          <w:lang w:val="fr-FR"/>
        </w:rPr>
        <w:t xml:space="preserve">manifestations </w:t>
      </w:r>
      <w:r w:rsidRPr="008868B1">
        <w:rPr>
          <w:rFonts w:ascii="Arial" w:hAnsi="Arial" w:cs="Arial"/>
          <w:sz w:val="22"/>
          <w:szCs w:val="22"/>
          <w:lang w:val="fr-FR"/>
        </w:rPr>
        <w:t>parallèles organisé</w:t>
      </w:r>
      <w:r>
        <w:rPr>
          <w:rFonts w:ascii="Arial" w:hAnsi="Arial" w:cs="Arial"/>
          <w:sz w:val="22"/>
          <w:szCs w:val="22"/>
          <w:lang w:val="fr-FR"/>
        </w:rPr>
        <w:t>es</w:t>
      </w:r>
      <w:r w:rsidRPr="008868B1">
        <w:rPr>
          <w:rFonts w:ascii="Arial" w:hAnsi="Arial" w:cs="Arial"/>
          <w:sz w:val="22"/>
          <w:szCs w:val="22"/>
          <w:lang w:val="fr-FR"/>
        </w:rPr>
        <w:t xml:space="preserve"> par le Forum. Le séminaire organisé la veille sur les bonnes pratiques de sauvegarde </w:t>
      </w:r>
      <w:r>
        <w:rPr>
          <w:rFonts w:ascii="Arial" w:hAnsi="Arial" w:cs="Arial"/>
          <w:sz w:val="22"/>
          <w:szCs w:val="22"/>
          <w:lang w:val="fr-FR"/>
        </w:rPr>
        <w:t>pour</w:t>
      </w:r>
      <w:r w:rsidRPr="008868B1">
        <w:rPr>
          <w:rFonts w:ascii="Arial" w:hAnsi="Arial" w:cs="Arial"/>
          <w:sz w:val="22"/>
          <w:szCs w:val="22"/>
          <w:lang w:val="fr-FR"/>
        </w:rPr>
        <w:t xml:space="preserve"> la sécurité humaine, par exemple, a</w:t>
      </w:r>
      <w:r>
        <w:rPr>
          <w:rFonts w:ascii="Arial" w:hAnsi="Arial" w:cs="Arial"/>
          <w:sz w:val="22"/>
          <w:szCs w:val="22"/>
          <w:lang w:val="fr-FR"/>
        </w:rPr>
        <w:t>vait</w:t>
      </w:r>
      <w:r w:rsidRPr="008868B1">
        <w:rPr>
          <w:rFonts w:ascii="Arial" w:hAnsi="Arial" w:cs="Arial"/>
          <w:sz w:val="22"/>
          <w:szCs w:val="22"/>
          <w:lang w:val="fr-FR"/>
        </w:rPr>
        <w:t xml:space="preserve"> été très suivi et a</w:t>
      </w:r>
      <w:r>
        <w:rPr>
          <w:rFonts w:ascii="Arial" w:hAnsi="Arial" w:cs="Arial"/>
          <w:sz w:val="22"/>
          <w:szCs w:val="22"/>
          <w:lang w:val="fr-FR"/>
        </w:rPr>
        <w:t xml:space="preserve">vait </w:t>
      </w:r>
      <w:r w:rsidRPr="008868B1">
        <w:rPr>
          <w:rFonts w:ascii="Arial" w:hAnsi="Arial" w:cs="Arial"/>
          <w:sz w:val="22"/>
          <w:szCs w:val="22"/>
          <w:lang w:val="fr-FR"/>
        </w:rPr>
        <w:t>donné lieu à des discussions très stimulantes. Le nombre de participants n</w:t>
      </w:r>
      <w:r w:rsidR="008E532B">
        <w:rPr>
          <w:rFonts w:ascii="Arial" w:hAnsi="Arial" w:cs="Arial"/>
          <w:sz w:val="22"/>
          <w:szCs w:val="22"/>
          <w:lang w:val="fr-FR"/>
        </w:rPr>
        <w:t>’</w:t>
      </w:r>
      <w:r w:rsidRPr="008868B1">
        <w:rPr>
          <w:rFonts w:ascii="Arial" w:hAnsi="Arial" w:cs="Arial"/>
          <w:sz w:val="22"/>
          <w:szCs w:val="22"/>
          <w:lang w:val="fr-FR"/>
        </w:rPr>
        <w:t>a</w:t>
      </w:r>
      <w:r>
        <w:rPr>
          <w:rFonts w:ascii="Arial" w:hAnsi="Arial" w:cs="Arial"/>
          <w:sz w:val="22"/>
          <w:szCs w:val="22"/>
          <w:lang w:val="fr-FR"/>
        </w:rPr>
        <w:t>vait</w:t>
      </w:r>
      <w:r w:rsidRPr="008868B1">
        <w:rPr>
          <w:rFonts w:ascii="Arial" w:hAnsi="Arial" w:cs="Arial"/>
          <w:sz w:val="22"/>
          <w:szCs w:val="22"/>
          <w:lang w:val="fr-FR"/>
        </w:rPr>
        <w:t xml:space="preserve"> cessé d</w:t>
      </w:r>
      <w:r w:rsidR="008E532B">
        <w:rPr>
          <w:rFonts w:ascii="Arial" w:hAnsi="Arial" w:cs="Arial"/>
          <w:sz w:val="22"/>
          <w:szCs w:val="22"/>
          <w:lang w:val="fr-FR"/>
        </w:rPr>
        <w:t>’</w:t>
      </w:r>
      <w:r w:rsidRPr="008868B1">
        <w:rPr>
          <w:rFonts w:ascii="Arial" w:hAnsi="Arial" w:cs="Arial"/>
          <w:sz w:val="22"/>
          <w:szCs w:val="22"/>
          <w:lang w:val="fr-FR"/>
        </w:rPr>
        <w:t>augmenter au cours des cinq dernières années grâce à une meilleure connaissance des activités du Forum et au nombre croissant de services rendus par le Forum, par exemple</w:t>
      </w:r>
      <w:r>
        <w:rPr>
          <w:rFonts w:ascii="Arial" w:hAnsi="Arial" w:cs="Arial"/>
          <w:sz w:val="22"/>
          <w:szCs w:val="22"/>
          <w:lang w:val="fr-FR"/>
        </w:rPr>
        <w:t>,</w:t>
      </w:r>
      <w:r w:rsidRPr="008868B1">
        <w:rPr>
          <w:rFonts w:ascii="Arial" w:hAnsi="Arial" w:cs="Arial"/>
          <w:sz w:val="22"/>
          <w:szCs w:val="22"/>
          <w:lang w:val="fr-FR"/>
        </w:rPr>
        <w:t xml:space="preserve"> des ateliers de renforcement des capacités, des symposiums, des réunions </w:t>
      </w:r>
      <w:r>
        <w:rPr>
          <w:rFonts w:ascii="Arial" w:hAnsi="Arial" w:cs="Arial"/>
          <w:sz w:val="22"/>
          <w:szCs w:val="22"/>
          <w:lang w:val="fr-FR"/>
        </w:rPr>
        <w:t>de c</w:t>
      </w:r>
      <w:r w:rsidRPr="008868B1">
        <w:rPr>
          <w:rFonts w:ascii="Arial" w:hAnsi="Arial" w:cs="Arial"/>
          <w:sz w:val="22"/>
          <w:szCs w:val="22"/>
          <w:lang w:val="fr-FR"/>
        </w:rPr>
        <w:t xml:space="preserve">omités, etc. ainsi que </w:t>
      </w:r>
      <w:r>
        <w:rPr>
          <w:rFonts w:ascii="Arial" w:hAnsi="Arial" w:cs="Arial"/>
          <w:sz w:val="22"/>
          <w:szCs w:val="22"/>
          <w:lang w:val="fr-FR"/>
        </w:rPr>
        <w:t xml:space="preserve">grâce à </w:t>
      </w:r>
      <w:r w:rsidRPr="008868B1">
        <w:rPr>
          <w:rFonts w:ascii="Arial" w:hAnsi="Arial" w:cs="Arial"/>
          <w:sz w:val="22"/>
          <w:szCs w:val="22"/>
          <w:lang w:val="fr-FR"/>
        </w:rPr>
        <w:t xml:space="preserve">son </w:t>
      </w:r>
      <w:hyperlink r:id="rId34" w:history="1">
        <w:r w:rsidRPr="001749E2">
          <w:rPr>
            <w:rStyle w:val="Hyperlink"/>
            <w:rFonts w:ascii="Arial" w:hAnsi="Arial" w:cs="Arial"/>
            <w:sz w:val="22"/>
            <w:szCs w:val="22"/>
            <w:lang w:val="fr-FR"/>
          </w:rPr>
          <w:t>site web</w:t>
        </w:r>
      </w:hyperlink>
      <w:r w:rsidRPr="008868B1">
        <w:rPr>
          <w:rFonts w:ascii="Arial" w:hAnsi="Arial" w:cs="Arial"/>
          <w:sz w:val="22"/>
          <w:szCs w:val="22"/>
          <w:lang w:val="fr-FR"/>
        </w:rPr>
        <w:t xml:space="preserve"> </w:t>
      </w:r>
      <w:r>
        <w:rPr>
          <w:rFonts w:ascii="Arial" w:hAnsi="Arial" w:cs="Arial"/>
          <w:sz w:val="22"/>
          <w:szCs w:val="22"/>
          <w:lang w:val="fr-FR"/>
        </w:rPr>
        <w:t xml:space="preserve">(uniquement en anglais) </w:t>
      </w:r>
      <w:r w:rsidRPr="008868B1">
        <w:rPr>
          <w:rFonts w:ascii="Arial" w:hAnsi="Arial" w:cs="Arial"/>
          <w:sz w:val="22"/>
          <w:szCs w:val="22"/>
          <w:lang w:val="fr-FR"/>
        </w:rPr>
        <w:t>permanent et un certain soutien financier pour les groupes de travail. Le Forum s</w:t>
      </w:r>
      <w:r w:rsidR="008E532B">
        <w:rPr>
          <w:rFonts w:ascii="Arial" w:hAnsi="Arial" w:cs="Arial"/>
          <w:sz w:val="22"/>
          <w:szCs w:val="22"/>
          <w:lang w:val="fr-FR"/>
        </w:rPr>
        <w:t>’</w:t>
      </w:r>
      <w:r>
        <w:rPr>
          <w:rFonts w:ascii="Arial" w:hAnsi="Arial" w:cs="Arial"/>
          <w:sz w:val="22"/>
          <w:szCs w:val="22"/>
          <w:lang w:val="fr-FR"/>
        </w:rPr>
        <w:t>était</w:t>
      </w:r>
      <w:r w:rsidRPr="008868B1">
        <w:rPr>
          <w:rFonts w:ascii="Arial" w:hAnsi="Arial" w:cs="Arial"/>
          <w:sz w:val="22"/>
          <w:szCs w:val="22"/>
          <w:lang w:val="fr-FR"/>
        </w:rPr>
        <w:t xml:space="preserve"> également doté d</w:t>
      </w:r>
      <w:r w:rsidR="008E532B">
        <w:rPr>
          <w:rFonts w:ascii="Arial" w:hAnsi="Arial" w:cs="Arial"/>
          <w:sz w:val="22"/>
          <w:szCs w:val="22"/>
          <w:lang w:val="fr-FR"/>
        </w:rPr>
        <w:t>’</w:t>
      </w:r>
      <w:r w:rsidRPr="008868B1">
        <w:rPr>
          <w:rFonts w:ascii="Arial" w:hAnsi="Arial" w:cs="Arial"/>
          <w:sz w:val="22"/>
          <w:szCs w:val="22"/>
          <w:lang w:val="fr-FR"/>
        </w:rPr>
        <w:t xml:space="preserve">une structure organisationnelle plus élaborée et plus solide avec des statuts </w:t>
      </w:r>
      <w:r>
        <w:rPr>
          <w:rFonts w:ascii="Arial" w:hAnsi="Arial" w:cs="Arial"/>
          <w:sz w:val="22"/>
          <w:szCs w:val="22"/>
          <w:lang w:val="fr-FR"/>
        </w:rPr>
        <w:t>pour le</w:t>
      </w:r>
      <w:r w:rsidRPr="008868B1">
        <w:rPr>
          <w:rFonts w:ascii="Arial" w:hAnsi="Arial" w:cs="Arial"/>
          <w:sz w:val="22"/>
          <w:szCs w:val="22"/>
          <w:lang w:val="fr-FR"/>
        </w:rPr>
        <w:t xml:space="preserve"> </w:t>
      </w:r>
      <w:r>
        <w:rPr>
          <w:rFonts w:ascii="Arial" w:hAnsi="Arial" w:cs="Arial"/>
          <w:sz w:val="22"/>
          <w:szCs w:val="22"/>
          <w:lang w:val="fr-FR"/>
        </w:rPr>
        <w:t xml:space="preserve">Comité de pilotage, un </w:t>
      </w:r>
      <w:r w:rsidRPr="008868B1">
        <w:rPr>
          <w:rFonts w:ascii="Arial" w:hAnsi="Arial" w:cs="Arial"/>
          <w:sz w:val="22"/>
          <w:szCs w:val="22"/>
          <w:lang w:val="fr-FR"/>
        </w:rPr>
        <w:t>code d</w:t>
      </w:r>
      <w:r w:rsidR="008E532B">
        <w:rPr>
          <w:rFonts w:ascii="Arial" w:hAnsi="Arial" w:cs="Arial"/>
          <w:sz w:val="22"/>
          <w:szCs w:val="22"/>
          <w:lang w:val="fr-FR"/>
        </w:rPr>
        <w:t>’</w:t>
      </w:r>
      <w:r w:rsidRPr="008868B1">
        <w:rPr>
          <w:rFonts w:ascii="Arial" w:hAnsi="Arial" w:cs="Arial"/>
          <w:sz w:val="22"/>
          <w:szCs w:val="22"/>
          <w:lang w:val="fr-FR"/>
        </w:rPr>
        <w:t xml:space="preserve">éthique et </w:t>
      </w:r>
      <w:r>
        <w:rPr>
          <w:rFonts w:ascii="Arial" w:hAnsi="Arial" w:cs="Arial"/>
          <w:sz w:val="22"/>
          <w:szCs w:val="22"/>
          <w:lang w:val="fr-FR"/>
        </w:rPr>
        <w:t xml:space="preserve">la mise en place </w:t>
      </w:r>
      <w:r w:rsidRPr="008868B1">
        <w:rPr>
          <w:rFonts w:ascii="Arial" w:hAnsi="Arial" w:cs="Arial"/>
          <w:sz w:val="22"/>
          <w:szCs w:val="22"/>
          <w:lang w:val="fr-FR"/>
        </w:rPr>
        <w:t>d</w:t>
      </w:r>
      <w:r w:rsidR="008E532B">
        <w:rPr>
          <w:rFonts w:ascii="Arial" w:hAnsi="Arial" w:cs="Arial"/>
          <w:sz w:val="22"/>
          <w:szCs w:val="22"/>
          <w:lang w:val="fr-FR"/>
        </w:rPr>
        <w:t>’</w:t>
      </w:r>
      <w:r w:rsidRPr="008868B1">
        <w:rPr>
          <w:rFonts w:ascii="Arial" w:hAnsi="Arial" w:cs="Arial"/>
          <w:sz w:val="22"/>
          <w:szCs w:val="22"/>
          <w:lang w:val="fr-FR"/>
        </w:rPr>
        <w:t xml:space="preserve">élections annuelles. Enfin, </w:t>
      </w:r>
      <w:r>
        <w:rPr>
          <w:rFonts w:ascii="Arial" w:hAnsi="Arial" w:cs="Arial"/>
          <w:sz w:val="22"/>
          <w:szCs w:val="22"/>
          <w:lang w:val="fr-FR"/>
        </w:rPr>
        <w:t xml:space="preserve">on pouvait </w:t>
      </w:r>
      <w:r w:rsidRPr="008868B1">
        <w:rPr>
          <w:rFonts w:ascii="Arial" w:hAnsi="Arial" w:cs="Arial"/>
          <w:sz w:val="22"/>
          <w:szCs w:val="22"/>
          <w:lang w:val="fr-FR"/>
        </w:rPr>
        <w:t xml:space="preserve">assister aux réunions en ligne, ce qui </w:t>
      </w:r>
      <w:r>
        <w:rPr>
          <w:rFonts w:ascii="Arial" w:hAnsi="Arial" w:cs="Arial"/>
          <w:sz w:val="22"/>
          <w:szCs w:val="22"/>
          <w:lang w:val="fr-FR"/>
        </w:rPr>
        <w:t xml:space="preserve">contribuait </w:t>
      </w:r>
      <w:r w:rsidRPr="008868B1">
        <w:rPr>
          <w:rFonts w:ascii="Arial" w:hAnsi="Arial" w:cs="Arial"/>
          <w:sz w:val="22"/>
          <w:szCs w:val="22"/>
          <w:lang w:val="fr-FR"/>
        </w:rPr>
        <w:t>également à une plus grande participation</w:t>
      </w:r>
      <w:r>
        <w:rPr>
          <w:rFonts w:ascii="Arial" w:hAnsi="Arial" w:cs="Arial"/>
          <w:sz w:val="22"/>
          <w:szCs w:val="22"/>
          <w:lang w:val="fr-FR"/>
        </w:rPr>
        <w:t xml:space="preserve"> et </w:t>
      </w:r>
      <w:r w:rsidRPr="008868B1">
        <w:rPr>
          <w:rFonts w:ascii="Arial" w:hAnsi="Arial" w:cs="Arial"/>
          <w:sz w:val="22"/>
          <w:szCs w:val="22"/>
          <w:lang w:val="fr-FR"/>
        </w:rPr>
        <w:t>ajouta</w:t>
      </w:r>
      <w:r>
        <w:rPr>
          <w:rFonts w:ascii="Arial" w:hAnsi="Arial" w:cs="Arial"/>
          <w:sz w:val="22"/>
          <w:szCs w:val="22"/>
          <w:lang w:val="fr-FR"/>
        </w:rPr>
        <w:t>it</w:t>
      </w:r>
      <w:r w:rsidRPr="008868B1">
        <w:rPr>
          <w:rFonts w:ascii="Arial" w:hAnsi="Arial" w:cs="Arial"/>
          <w:sz w:val="22"/>
          <w:szCs w:val="22"/>
          <w:lang w:val="fr-FR"/>
        </w:rPr>
        <w:t xml:space="preserve"> un sentiment d</w:t>
      </w:r>
      <w:r w:rsidR="008E532B">
        <w:rPr>
          <w:rFonts w:ascii="Arial" w:hAnsi="Arial" w:cs="Arial"/>
          <w:sz w:val="22"/>
          <w:szCs w:val="22"/>
          <w:lang w:val="fr-FR"/>
        </w:rPr>
        <w:t>’</w:t>
      </w:r>
      <w:r w:rsidRPr="008868B1">
        <w:rPr>
          <w:rFonts w:ascii="Arial" w:hAnsi="Arial" w:cs="Arial"/>
          <w:sz w:val="22"/>
          <w:szCs w:val="22"/>
          <w:lang w:val="fr-FR"/>
        </w:rPr>
        <w:t>appartenance accru au Forum.</w:t>
      </w:r>
    </w:p>
    <w:p w14:paraId="3B1393B6" w14:textId="175B1277" w:rsidR="00D9653F" w:rsidRPr="002D165D"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2D165D">
        <w:rPr>
          <w:rFonts w:ascii="Arial" w:hAnsi="Arial" w:cs="Arial"/>
          <w:b/>
          <w:bCs/>
          <w:sz w:val="22"/>
          <w:szCs w:val="22"/>
          <w:lang w:val="fr-FR"/>
        </w:rPr>
        <w:t>M. Laurier Turgeon</w:t>
      </w:r>
      <w:r w:rsidRPr="002D165D">
        <w:rPr>
          <w:rFonts w:ascii="Arial" w:hAnsi="Arial" w:cs="Arial"/>
          <w:sz w:val="22"/>
          <w:szCs w:val="22"/>
          <w:lang w:val="fr-FR"/>
        </w:rPr>
        <w:t xml:space="preserve"> a fait remarquer que la Convention se trouvait actuellement dans une période de croissance, mais que les ressources </w:t>
      </w:r>
      <w:r>
        <w:rPr>
          <w:rFonts w:ascii="Arial" w:hAnsi="Arial" w:cs="Arial"/>
          <w:sz w:val="22"/>
          <w:szCs w:val="22"/>
          <w:lang w:val="fr-FR"/>
        </w:rPr>
        <w:t xml:space="preserve">nécessaires à son soutien </w:t>
      </w:r>
      <w:r w:rsidRPr="002D165D">
        <w:rPr>
          <w:rFonts w:ascii="Arial" w:hAnsi="Arial" w:cs="Arial"/>
          <w:sz w:val="22"/>
          <w:szCs w:val="22"/>
          <w:lang w:val="fr-FR"/>
        </w:rPr>
        <w:t>ne l</w:t>
      </w:r>
      <w:r w:rsidR="008E532B">
        <w:rPr>
          <w:rFonts w:ascii="Arial" w:hAnsi="Arial" w:cs="Arial"/>
          <w:sz w:val="22"/>
          <w:szCs w:val="22"/>
          <w:lang w:val="fr-FR"/>
        </w:rPr>
        <w:t>’</w:t>
      </w:r>
      <w:r w:rsidRPr="002D165D">
        <w:rPr>
          <w:rFonts w:ascii="Arial" w:hAnsi="Arial" w:cs="Arial"/>
          <w:sz w:val="22"/>
          <w:szCs w:val="22"/>
          <w:lang w:val="fr-FR"/>
        </w:rPr>
        <w:t xml:space="preserve">étaient pas. Le Forum </w:t>
      </w:r>
      <w:r>
        <w:rPr>
          <w:rFonts w:ascii="Arial" w:hAnsi="Arial" w:cs="Arial"/>
          <w:sz w:val="22"/>
          <w:szCs w:val="22"/>
          <w:lang w:val="fr-FR"/>
        </w:rPr>
        <w:t>était convaincu</w:t>
      </w:r>
      <w:r w:rsidRPr="002D165D">
        <w:rPr>
          <w:rFonts w:ascii="Arial" w:hAnsi="Arial" w:cs="Arial"/>
          <w:sz w:val="22"/>
          <w:szCs w:val="22"/>
          <w:lang w:val="fr-FR"/>
        </w:rPr>
        <w:t xml:space="preserve"> que cela offr</w:t>
      </w:r>
      <w:r>
        <w:rPr>
          <w:rFonts w:ascii="Arial" w:hAnsi="Arial" w:cs="Arial"/>
          <w:sz w:val="22"/>
          <w:szCs w:val="22"/>
          <w:lang w:val="fr-FR"/>
        </w:rPr>
        <w:t>ait</w:t>
      </w:r>
      <w:r w:rsidRPr="002D165D">
        <w:rPr>
          <w:rFonts w:ascii="Arial" w:hAnsi="Arial" w:cs="Arial"/>
          <w:sz w:val="22"/>
          <w:szCs w:val="22"/>
          <w:lang w:val="fr-FR"/>
        </w:rPr>
        <w:t xml:space="preserve"> une opportunité d</w:t>
      </w:r>
      <w:r w:rsidR="008E532B">
        <w:rPr>
          <w:rFonts w:ascii="Arial" w:hAnsi="Arial" w:cs="Arial"/>
          <w:sz w:val="22"/>
          <w:szCs w:val="22"/>
          <w:lang w:val="fr-FR"/>
        </w:rPr>
        <w:t>’</w:t>
      </w:r>
      <w:r w:rsidRPr="002D165D">
        <w:rPr>
          <w:rFonts w:ascii="Arial" w:hAnsi="Arial" w:cs="Arial"/>
          <w:sz w:val="22"/>
          <w:szCs w:val="22"/>
          <w:lang w:val="fr-FR"/>
        </w:rPr>
        <w:t>élargir l</w:t>
      </w:r>
      <w:r w:rsidR="008E532B">
        <w:rPr>
          <w:rFonts w:ascii="Arial" w:hAnsi="Arial" w:cs="Arial"/>
          <w:sz w:val="22"/>
          <w:szCs w:val="22"/>
          <w:lang w:val="fr-FR"/>
        </w:rPr>
        <w:t>’</w:t>
      </w:r>
      <w:r w:rsidRPr="002D165D">
        <w:rPr>
          <w:rFonts w:ascii="Arial" w:hAnsi="Arial" w:cs="Arial"/>
          <w:sz w:val="22"/>
          <w:szCs w:val="22"/>
          <w:lang w:val="fr-FR"/>
        </w:rPr>
        <w:t>éventail des fonctions consultatives des ONG accréditées au sein de la Convention. Cela pourrait</w:t>
      </w:r>
      <w:r>
        <w:rPr>
          <w:rFonts w:ascii="Arial" w:hAnsi="Arial" w:cs="Arial"/>
          <w:sz w:val="22"/>
          <w:szCs w:val="22"/>
          <w:lang w:val="fr-FR"/>
        </w:rPr>
        <w:t xml:space="preserve"> être </w:t>
      </w:r>
      <w:r w:rsidRPr="002D165D">
        <w:rPr>
          <w:rFonts w:ascii="Arial" w:hAnsi="Arial" w:cs="Arial"/>
          <w:sz w:val="22"/>
          <w:szCs w:val="22"/>
          <w:lang w:val="fr-FR"/>
        </w:rPr>
        <w:t>une option pour faire face à la charge de travail croissante et aux ressources limitées du Secrétariat, ce qui serait bénéfique pour toutes les parties, y compris les États parties et la Convention. Par exemple, le Forum était prêt à participer activement au groupe de travail dirigé par la Suède</w:t>
      </w:r>
      <w:r>
        <w:rPr>
          <w:rFonts w:ascii="Arial" w:hAnsi="Arial" w:cs="Arial"/>
          <w:sz w:val="22"/>
          <w:szCs w:val="22"/>
          <w:lang w:val="fr-FR"/>
        </w:rPr>
        <w:t>,</w:t>
      </w:r>
      <w:r w:rsidRPr="002D165D">
        <w:rPr>
          <w:rFonts w:ascii="Arial" w:hAnsi="Arial" w:cs="Arial"/>
          <w:sz w:val="22"/>
          <w:szCs w:val="22"/>
          <w:lang w:val="fr-FR"/>
        </w:rPr>
        <w:t xml:space="preserve"> </w:t>
      </w:r>
      <w:r>
        <w:rPr>
          <w:rFonts w:ascii="Arial" w:hAnsi="Arial" w:cs="Arial"/>
          <w:sz w:val="22"/>
          <w:szCs w:val="22"/>
          <w:lang w:val="fr-FR"/>
        </w:rPr>
        <w:t>dont la mission est de</w:t>
      </w:r>
      <w:r w:rsidRPr="002D165D">
        <w:rPr>
          <w:rFonts w:ascii="Arial" w:hAnsi="Arial" w:cs="Arial"/>
          <w:sz w:val="22"/>
          <w:szCs w:val="22"/>
          <w:lang w:val="fr-FR"/>
        </w:rPr>
        <w:t xml:space="preserve"> réfléchir à </w:t>
      </w:r>
      <w:r>
        <w:rPr>
          <w:rFonts w:ascii="Arial" w:hAnsi="Arial" w:cs="Arial"/>
          <w:sz w:val="22"/>
          <w:szCs w:val="22"/>
          <w:lang w:val="fr-FR"/>
        </w:rPr>
        <w:t>une</w:t>
      </w:r>
      <w:r w:rsidRPr="002D165D">
        <w:rPr>
          <w:rFonts w:ascii="Arial" w:hAnsi="Arial" w:cs="Arial"/>
          <w:sz w:val="22"/>
          <w:szCs w:val="22"/>
          <w:lang w:val="fr-FR"/>
        </w:rPr>
        <w:t xml:space="preserve"> mise en œuvre </w:t>
      </w:r>
      <w:r>
        <w:rPr>
          <w:rFonts w:ascii="Arial" w:hAnsi="Arial" w:cs="Arial"/>
          <w:sz w:val="22"/>
          <w:szCs w:val="22"/>
          <w:lang w:val="fr-FR"/>
        </w:rPr>
        <w:t>plus vaste</w:t>
      </w:r>
      <w:r w:rsidRPr="002D165D">
        <w:rPr>
          <w:rFonts w:ascii="Arial" w:hAnsi="Arial" w:cs="Arial"/>
          <w:sz w:val="22"/>
          <w:szCs w:val="22"/>
          <w:lang w:val="fr-FR"/>
        </w:rPr>
        <w:t xml:space="preserve"> de l</w:t>
      </w:r>
      <w:r w:rsidR="008E532B">
        <w:rPr>
          <w:rFonts w:ascii="Arial" w:hAnsi="Arial" w:cs="Arial"/>
          <w:sz w:val="22"/>
          <w:szCs w:val="22"/>
          <w:lang w:val="fr-FR"/>
        </w:rPr>
        <w:t>’</w:t>
      </w:r>
      <w:r w:rsidRPr="002D165D">
        <w:rPr>
          <w:rFonts w:ascii="Arial" w:hAnsi="Arial" w:cs="Arial"/>
          <w:sz w:val="22"/>
          <w:szCs w:val="22"/>
          <w:lang w:val="fr-FR"/>
        </w:rPr>
        <w:t>article 18 de la Convention afin de renforcer le dialogue</w:t>
      </w:r>
      <w:r>
        <w:rPr>
          <w:rFonts w:ascii="Arial" w:hAnsi="Arial" w:cs="Arial"/>
          <w:sz w:val="22"/>
          <w:szCs w:val="22"/>
          <w:lang w:val="fr-FR"/>
        </w:rPr>
        <w:t xml:space="preserve"> entre les </w:t>
      </w:r>
      <w:r w:rsidRPr="00E069A2">
        <w:rPr>
          <w:rFonts w:ascii="Arial" w:hAnsi="Arial" w:cs="Arial"/>
          <w:sz w:val="22"/>
          <w:szCs w:val="22"/>
          <w:lang w:val="fr-FR"/>
        </w:rPr>
        <w:t>parties prenantes</w:t>
      </w:r>
      <w:r w:rsidRPr="002D165D">
        <w:rPr>
          <w:rFonts w:ascii="Arial" w:hAnsi="Arial" w:cs="Arial"/>
          <w:sz w:val="22"/>
          <w:szCs w:val="22"/>
          <w:lang w:val="fr-FR"/>
        </w:rPr>
        <w:t xml:space="preserve">, résultat du paragraphe 9 de la </w:t>
      </w:r>
      <w:r w:rsidR="00A96116">
        <w:rPr>
          <w:rFonts w:ascii="Arial" w:hAnsi="Arial" w:cs="Arial"/>
          <w:sz w:val="22"/>
          <w:szCs w:val="22"/>
          <w:lang w:val="fr-FR"/>
        </w:rPr>
        <w:t>décision</w:t>
      </w:r>
      <w:hyperlink r:id="rId35" w:history="1">
        <w:r w:rsidR="00A96116" w:rsidRPr="00A96116">
          <w:rPr>
            <w:rStyle w:val="Hyperlink"/>
            <w:rFonts w:ascii="Arial" w:hAnsi="Arial" w:cs="Arial"/>
            <w:sz w:val="22"/>
            <w:szCs w:val="22"/>
            <w:u w:val="none"/>
            <w:lang w:val="fr-FR"/>
          </w:rPr>
          <w:t> </w:t>
        </w:r>
        <w:r w:rsidRPr="002A0AA9">
          <w:rPr>
            <w:rStyle w:val="Hyperlink"/>
            <w:rFonts w:ascii="Arial" w:hAnsi="Arial" w:cs="Arial"/>
            <w:sz w:val="22"/>
            <w:szCs w:val="22"/>
            <w:lang w:val="fr-FR"/>
          </w:rPr>
          <w:t>16.COM</w:t>
        </w:r>
        <w:r>
          <w:rPr>
            <w:rStyle w:val="Hyperlink"/>
            <w:rFonts w:ascii="Arial" w:hAnsi="Arial" w:cs="Arial"/>
            <w:sz w:val="22"/>
            <w:szCs w:val="22"/>
            <w:lang w:val="fr-FR"/>
          </w:rPr>
          <w:t> </w:t>
        </w:r>
        <w:r w:rsidRPr="002A0AA9">
          <w:rPr>
            <w:rStyle w:val="Hyperlink"/>
            <w:rFonts w:ascii="Arial" w:hAnsi="Arial" w:cs="Arial"/>
            <w:sz w:val="22"/>
            <w:szCs w:val="22"/>
            <w:lang w:val="fr-FR"/>
          </w:rPr>
          <w:t>14</w:t>
        </w:r>
      </w:hyperlink>
      <w:r w:rsidRPr="002D165D">
        <w:rPr>
          <w:rFonts w:ascii="Arial" w:hAnsi="Arial" w:cs="Arial"/>
          <w:sz w:val="22"/>
          <w:szCs w:val="22"/>
          <w:lang w:val="fr-FR"/>
        </w:rPr>
        <w:t xml:space="preserve">. </w:t>
      </w:r>
      <w:proofErr w:type="gramStart"/>
      <w:r w:rsidRPr="002D165D">
        <w:rPr>
          <w:rFonts w:ascii="Arial" w:hAnsi="Arial" w:cs="Arial"/>
          <w:sz w:val="22"/>
          <w:szCs w:val="22"/>
          <w:lang w:val="fr-FR"/>
        </w:rPr>
        <w:t>Suite à</w:t>
      </w:r>
      <w:proofErr w:type="gramEnd"/>
      <w:r w:rsidRPr="002D165D">
        <w:rPr>
          <w:rFonts w:ascii="Arial" w:hAnsi="Arial" w:cs="Arial"/>
          <w:sz w:val="22"/>
          <w:szCs w:val="22"/>
          <w:lang w:val="fr-FR"/>
        </w:rPr>
        <w:t xml:space="preserve"> la recommandation 10</w:t>
      </w:r>
      <w:r>
        <w:rPr>
          <w:rStyle w:val="FootnoteReference"/>
          <w:rFonts w:ascii="Arial" w:hAnsi="Arial" w:cs="Arial"/>
          <w:sz w:val="22"/>
          <w:szCs w:val="22"/>
          <w:lang w:val="fr-FR"/>
        </w:rPr>
        <w:footnoteReference w:id="31"/>
      </w:r>
      <w:r w:rsidRPr="002D165D">
        <w:rPr>
          <w:rFonts w:ascii="Arial" w:hAnsi="Arial" w:cs="Arial"/>
          <w:sz w:val="22"/>
          <w:szCs w:val="22"/>
          <w:lang w:val="fr-FR"/>
        </w:rPr>
        <w:t xml:space="preserve"> du </w:t>
      </w:r>
      <w:r>
        <w:rPr>
          <w:rFonts w:ascii="Arial" w:hAnsi="Arial" w:cs="Arial"/>
          <w:sz w:val="22"/>
          <w:szCs w:val="22"/>
          <w:lang w:val="fr-FR"/>
        </w:rPr>
        <w:t>G</w:t>
      </w:r>
      <w:r w:rsidRPr="002D165D">
        <w:rPr>
          <w:rFonts w:ascii="Arial" w:hAnsi="Arial" w:cs="Arial"/>
          <w:sz w:val="22"/>
          <w:szCs w:val="22"/>
          <w:lang w:val="fr-FR"/>
        </w:rPr>
        <w:t>roupe de travail intergouvernemental à composition non limitée sur la réflexion globale sur les mécanismes d</w:t>
      </w:r>
      <w:r w:rsidR="008E532B">
        <w:rPr>
          <w:rFonts w:ascii="Arial" w:hAnsi="Arial" w:cs="Arial"/>
          <w:sz w:val="22"/>
          <w:szCs w:val="22"/>
          <w:lang w:val="fr-FR"/>
        </w:rPr>
        <w:t>’</w:t>
      </w:r>
      <w:r w:rsidRPr="002D165D">
        <w:rPr>
          <w:rFonts w:ascii="Arial" w:hAnsi="Arial" w:cs="Arial"/>
          <w:sz w:val="22"/>
          <w:szCs w:val="22"/>
          <w:lang w:val="fr-FR"/>
        </w:rPr>
        <w:t xml:space="preserve">inscription, le groupe de travail </w:t>
      </w:r>
      <w:r>
        <w:rPr>
          <w:rFonts w:ascii="Arial" w:hAnsi="Arial" w:cs="Arial"/>
          <w:sz w:val="22"/>
          <w:szCs w:val="22"/>
          <w:lang w:val="fr-FR"/>
        </w:rPr>
        <w:t>était</w:t>
      </w:r>
      <w:r w:rsidRPr="002D165D">
        <w:rPr>
          <w:rFonts w:ascii="Arial" w:hAnsi="Arial" w:cs="Arial"/>
          <w:sz w:val="22"/>
          <w:szCs w:val="22"/>
          <w:lang w:val="fr-FR"/>
        </w:rPr>
        <w:t xml:space="preserve"> invité à </w:t>
      </w:r>
      <w:r>
        <w:rPr>
          <w:rFonts w:ascii="Arial" w:hAnsi="Arial" w:cs="Arial"/>
          <w:sz w:val="22"/>
          <w:szCs w:val="22"/>
          <w:lang w:val="fr-FR"/>
        </w:rPr>
        <w:t xml:space="preserve">« considérer </w:t>
      </w:r>
      <w:r w:rsidRPr="002D165D">
        <w:rPr>
          <w:rFonts w:ascii="Arial" w:hAnsi="Arial" w:cs="Arial"/>
          <w:sz w:val="22"/>
          <w:szCs w:val="22"/>
          <w:lang w:val="fr-FR"/>
        </w:rPr>
        <w:t>la possibilité d</w:t>
      </w:r>
      <w:r w:rsidR="008E532B">
        <w:rPr>
          <w:rFonts w:ascii="Arial" w:hAnsi="Arial" w:cs="Arial"/>
          <w:sz w:val="22"/>
          <w:szCs w:val="22"/>
          <w:lang w:val="fr-FR"/>
        </w:rPr>
        <w:t>’</w:t>
      </w:r>
      <w:r w:rsidRPr="002D165D">
        <w:rPr>
          <w:rFonts w:ascii="Arial" w:hAnsi="Arial" w:cs="Arial"/>
          <w:sz w:val="22"/>
          <w:szCs w:val="22"/>
          <w:lang w:val="fr-FR"/>
        </w:rPr>
        <w:t xml:space="preserve">obtenir des informations supplémentaires concernant les </w:t>
      </w:r>
      <w:r w:rsidRPr="00AC51A9">
        <w:rPr>
          <w:rFonts w:ascii="Arial" w:hAnsi="Arial" w:cs="Arial"/>
          <w:sz w:val="22"/>
          <w:szCs w:val="22"/>
          <w:lang w:val="fr-FR"/>
        </w:rPr>
        <w:t>candidatur</w:t>
      </w:r>
      <w:r>
        <w:rPr>
          <w:rFonts w:ascii="Arial" w:hAnsi="Arial" w:cs="Arial"/>
          <w:sz w:val="22"/>
          <w:szCs w:val="22"/>
          <w:lang w:val="fr-FR"/>
        </w:rPr>
        <w:t>es</w:t>
      </w:r>
      <w:r w:rsidRPr="002D165D">
        <w:rPr>
          <w:rFonts w:ascii="Arial" w:hAnsi="Arial" w:cs="Arial"/>
          <w:sz w:val="22"/>
          <w:szCs w:val="22"/>
          <w:lang w:val="fr-FR"/>
        </w:rPr>
        <w:t xml:space="preserve"> en utilisant un processus de dialogue avec les ONG </w:t>
      </w:r>
      <w:r>
        <w:rPr>
          <w:rFonts w:ascii="Arial" w:hAnsi="Arial" w:cs="Arial"/>
          <w:sz w:val="22"/>
          <w:szCs w:val="22"/>
          <w:lang w:val="fr-FR"/>
        </w:rPr>
        <w:t xml:space="preserve">accréditées </w:t>
      </w:r>
      <w:r w:rsidRPr="002D165D">
        <w:rPr>
          <w:rFonts w:ascii="Arial" w:hAnsi="Arial" w:cs="Arial"/>
          <w:sz w:val="22"/>
          <w:szCs w:val="22"/>
          <w:lang w:val="fr-FR"/>
        </w:rPr>
        <w:t xml:space="preserve">et les communautés, </w:t>
      </w:r>
      <w:r>
        <w:rPr>
          <w:rFonts w:ascii="Arial" w:hAnsi="Arial" w:cs="Arial"/>
          <w:sz w:val="22"/>
          <w:szCs w:val="22"/>
          <w:lang w:val="fr-FR"/>
        </w:rPr>
        <w:t xml:space="preserve">les </w:t>
      </w:r>
      <w:r w:rsidRPr="002D165D">
        <w:rPr>
          <w:rFonts w:ascii="Arial" w:hAnsi="Arial" w:cs="Arial"/>
          <w:sz w:val="22"/>
          <w:szCs w:val="22"/>
          <w:lang w:val="fr-FR"/>
        </w:rPr>
        <w:t>groupes et</w:t>
      </w:r>
      <w:r>
        <w:rPr>
          <w:rFonts w:ascii="Arial" w:hAnsi="Arial" w:cs="Arial"/>
          <w:sz w:val="22"/>
          <w:szCs w:val="22"/>
          <w:lang w:val="fr-FR"/>
        </w:rPr>
        <w:t>, le cas échéant, les</w:t>
      </w:r>
      <w:r w:rsidRPr="002D165D">
        <w:rPr>
          <w:rFonts w:ascii="Arial" w:hAnsi="Arial" w:cs="Arial"/>
          <w:sz w:val="22"/>
          <w:szCs w:val="22"/>
          <w:lang w:val="fr-FR"/>
        </w:rPr>
        <w:t xml:space="preserve"> individus</w:t>
      </w:r>
      <w:r>
        <w:rPr>
          <w:rFonts w:ascii="Arial" w:hAnsi="Arial" w:cs="Arial"/>
          <w:sz w:val="22"/>
          <w:szCs w:val="22"/>
          <w:lang w:val="fr-FR"/>
        </w:rPr>
        <w:t xml:space="preserve"> concernés. »</w:t>
      </w:r>
      <w:r w:rsidRPr="002D165D">
        <w:rPr>
          <w:rFonts w:ascii="Arial" w:hAnsi="Arial" w:cs="Arial"/>
          <w:sz w:val="22"/>
          <w:szCs w:val="22"/>
          <w:lang w:val="fr-FR"/>
        </w:rPr>
        <w:t xml:space="preserve"> M. Turgeon a rappelé que le Forum est un organe bien établi, doté d</w:t>
      </w:r>
      <w:r w:rsidR="008E532B">
        <w:rPr>
          <w:rFonts w:ascii="Arial" w:hAnsi="Arial" w:cs="Arial"/>
          <w:sz w:val="22"/>
          <w:szCs w:val="22"/>
          <w:lang w:val="fr-FR"/>
        </w:rPr>
        <w:t>’</w:t>
      </w:r>
      <w:r w:rsidRPr="002D165D">
        <w:rPr>
          <w:rFonts w:ascii="Arial" w:hAnsi="Arial" w:cs="Arial"/>
          <w:sz w:val="22"/>
          <w:szCs w:val="22"/>
          <w:lang w:val="fr-FR"/>
        </w:rPr>
        <w:t>une structure organisationnelle claire et d</w:t>
      </w:r>
      <w:r w:rsidR="008E532B">
        <w:rPr>
          <w:rFonts w:ascii="Arial" w:hAnsi="Arial" w:cs="Arial"/>
          <w:sz w:val="22"/>
          <w:szCs w:val="22"/>
          <w:lang w:val="fr-FR"/>
        </w:rPr>
        <w:t>’</w:t>
      </w:r>
      <w:r w:rsidRPr="002D165D">
        <w:rPr>
          <w:rFonts w:ascii="Arial" w:hAnsi="Arial" w:cs="Arial"/>
          <w:sz w:val="22"/>
          <w:szCs w:val="22"/>
          <w:lang w:val="fr-FR"/>
        </w:rPr>
        <w:t>un statut juridique, et qu</w:t>
      </w:r>
      <w:r w:rsidR="008E532B">
        <w:rPr>
          <w:rFonts w:ascii="Arial" w:hAnsi="Arial" w:cs="Arial"/>
          <w:sz w:val="22"/>
          <w:szCs w:val="22"/>
          <w:lang w:val="fr-FR"/>
        </w:rPr>
        <w:t>’</w:t>
      </w:r>
      <w:r w:rsidRPr="002D165D">
        <w:rPr>
          <w:rFonts w:ascii="Arial" w:hAnsi="Arial" w:cs="Arial"/>
          <w:sz w:val="22"/>
          <w:szCs w:val="22"/>
          <w:lang w:val="fr-FR"/>
        </w:rPr>
        <w:t>il joue déjà un rôle dans la mise en œuvre de la Convention aux niveaux local, national et international. Le Forum incarn</w:t>
      </w:r>
      <w:r>
        <w:rPr>
          <w:rFonts w:ascii="Arial" w:hAnsi="Arial" w:cs="Arial"/>
          <w:sz w:val="22"/>
          <w:szCs w:val="22"/>
          <w:lang w:val="fr-FR"/>
        </w:rPr>
        <w:t>ait</w:t>
      </w:r>
      <w:r w:rsidRPr="002D165D">
        <w:rPr>
          <w:rFonts w:ascii="Arial" w:hAnsi="Arial" w:cs="Arial"/>
          <w:sz w:val="22"/>
          <w:szCs w:val="22"/>
          <w:lang w:val="fr-FR"/>
        </w:rPr>
        <w:t xml:space="preserve"> les intérêts de la société civile et permet</w:t>
      </w:r>
      <w:r>
        <w:rPr>
          <w:rFonts w:ascii="Arial" w:hAnsi="Arial" w:cs="Arial"/>
          <w:sz w:val="22"/>
          <w:szCs w:val="22"/>
          <w:lang w:val="fr-FR"/>
        </w:rPr>
        <w:t>tait</w:t>
      </w:r>
      <w:r w:rsidRPr="002D165D">
        <w:rPr>
          <w:rFonts w:ascii="Arial" w:hAnsi="Arial" w:cs="Arial"/>
          <w:sz w:val="22"/>
          <w:szCs w:val="22"/>
          <w:lang w:val="fr-FR"/>
        </w:rPr>
        <w:t xml:space="preserve"> une participation plus inclusive des parties prenantes</w:t>
      </w:r>
      <w:r>
        <w:rPr>
          <w:rFonts w:ascii="Arial" w:hAnsi="Arial" w:cs="Arial"/>
          <w:sz w:val="22"/>
          <w:szCs w:val="22"/>
          <w:lang w:val="fr-FR"/>
        </w:rPr>
        <w:t>,</w:t>
      </w:r>
      <w:r w:rsidRPr="002D165D">
        <w:rPr>
          <w:rFonts w:ascii="Arial" w:hAnsi="Arial" w:cs="Arial"/>
          <w:sz w:val="22"/>
          <w:szCs w:val="22"/>
          <w:lang w:val="fr-FR"/>
        </w:rPr>
        <w:t xml:space="preserve"> </w:t>
      </w:r>
      <w:r>
        <w:rPr>
          <w:rFonts w:ascii="Arial" w:hAnsi="Arial" w:cs="Arial"/>
          <w:sz w:val="22"/>
          <w:szCs w:val="22"/>
          <w:lang w:val="fr-FR"/>
        </w:rPr>
        <w:t>composées d</w:t>
      </w:r>
      <w:r w:rsidR="008E532B">
        <w:rPr>
          <w:rFonts w:ascii="Arial" w:hAnsi="Arial" w:cs="Arial"/>
          <w:sz w:val="22"/>
          <w:szCs w:val="22"/>
          <w:lang w:val="fr-FR"/>
        </w:rPr>
        <w:t>’</w:t>
      </w:r>
      <w:r w:rsidRPr="002D165D">
        <w:rPr>
          <w:rFonts w:ascii="Arial" w:hAnsi="Arial" w:cs="Arial"/>
          <w:sz w:val="22"/>
          <w:szCs w:val="22"/>
          <w:lang w:val="fr-FR"/>
        </w:rPr>
        <w:t>une grande variété d</w:t>
      </w:r>
      <w:r w:rsidR="008E532B">
        <w:rPr>
          <w:rFonts w:ascii="Arial" w:hAnsi="Arial" w:cs="Arial"/>
          <w:sz w:val="22"/>
          <w:szCs w:val="22"/>
          <w:lang w:val="fr-FR"/>
        </w:rPr>
        <w:t>’</w:t>
      </w:r>
      <w:r w:rsidRPr="002D165D">
        <w:rPr>
          <w:rFonts w:ascii="Arial" w:hAnsi="Arial" w:cs="Arial"/>
          <w:sz w:val="22"/>
          <w:szCs w:val="22"/>
          <w:lang w:val="fr-FR"/>
        </w:rPr>
        <w:t>acteurs sociaux. L</w:t>
      </w:r>
      <w:r w:rsidR="008E532B">
        <w:rPr>
          <w:rFonts w:ascii="Arial" w:hAnsi="Arial" w:cs="Arial"/>
          <w:sz w:val="22"/>
          <w:szCs w:val="22"/>
          <w:lang w:val="fr-FR"/>
        </w:rPr>
        <w:t>’</w:t>
      </w:r>
      <w:r w:rsidRPr="002D165D">
        <w:rPr>
          <w:rFonts w:ascii="Arial" w:hAnsi="Arial" w:cs="Arial"/>
          <w:sz w:val="22"/>
          <w:szCs w:val="22"/>
          <w:lang w:val="fr-FR"/>
        </w:rPr>
        <w:t>Organe d</w:t>
      </w:r>
      <w:r w:rsidR="008E532B">
        <w:rPr>
          <w:rFonts w:ascii="Arial" w:hAnsi="Arial" w:cs="Arial"/>
          <w:sz w:val="22"/>
          <w:szCs w:val="22"/>
          <w:lang w:val="fr-FR"/>
        </w:rPr>
        <w:t>’</w:t>
      </w:r>
      <w:r w:rsidRPr="002D165D">
        <w:rPr>
          <w:rFonts w:ascii="Arial" w:hAnsi="Arial" w:cs="Arial"/>
          <w:sz w:val="22"/>
          <w:szCs w:val="22"/>
          <w:lang w:val="fr-FR"/>
        </w:rPr>
        <w:t xml:space="preserve">évaluation </w:t>
      </w:r>
      <w:r>
        <w:rPr>
          <w:rFonts w:ascii="Arial" w:hAnsi="Arial" w:cs="Arial"/>
          <w:sz w:val="22"/>
          <w:szCs w:val="22"/>
          <w:lang w:val="fr-FR"/>
        </w:rPr>
        <w:t>accueillait</w:t>
      </w:r>
      <w:r w:rsidRPr="002D165D">
        <w:rPr>
          <w:rFonts w:ascii="Arial" w:hAnsi="Arial" w:cs="Arial"/>
          <w:sz w:val="22"/>
          <w:szCs w:val="22"/>
          <w:lang w:val="fr-FR"/>
        </w:rPr>
        <w:t xml:space="preserve"> quelques ONG</w:t>
      </w:r>
      <w:r>
        <w:rPr>
          <w:rFonts w:ascii="Arial" w:hAnsi="Arial" w:cs="Arial"/>
          <w:sz w:val="22"/>
          <w:szCs w:val="22"/>
          <w:lang w:val="fr-FR"/>
        </w:rPr>
        <w:t>,</w:t>
      </w:r>
      <w:r w:rsidRPr="002D165D">
        <w:rPr>
          <w:rFonts w:ascii="Arial" w:hAnsi="Arial" w:cs="Arial"/>
          <w:sz w:val="22"/>
          <w:szCs w:val="22"/>
          <w:lang w:val="fr-FR"/>
        </w:rPr>
        <w:t xml:space="preserve"> et le Forum était donc prêt </w:t>
      </w:r>
      <w:r>
        <w:rPr>
          <w:rFonts w:ascii="Arial" w:hAnsi="Arial" w:cs="Arial"/>
          <w:sz w:val="22"/>
          <w:szCs w:val="22"/>
          <w:lang w:val="fr-FR"/>
        </w:rPr>
        <w:t>et disposé à renforcer</w:t>
      </w:r>
      <w:r w:rsidRPr="002D165D">
        <w:rPr>
          <w:rFonts w:ascii="Arial" w:hAnsi="Arial" w:cs="Arial"/>
          <w:sz w:val="22"/>
          <w:szCs w:val="22"/>
          <w:lang w:val="fr-FR"/>
        </w:rPr>
        <w:t xml:space="preserve"> la participation des ONG afin d</w:t>
      </w:r>
      <w:r w:rsidR="008E532B">
        <w:rPr>
          <w:rFonts w:ascii="Arial" w:hAnsi="Arial" w:cs="Arial"/>
          <w:sz w:val="22"/>
          <w:szCs w:val="22"/>
          <w:lang w:val="fr-FR"/>
        </w:rPr>
        <w:t>’</w:t>
      </w:r>
      <w:r w:rsidRPr="002D165D">
        <w:rPr>
          <w:rFonts w:ascii="Arial" w:hAnsi="Arial" w:cs="Arial"/>
          <w:sz w:val="22"/>
          <w:szCs w:val="22"/>
          <w:lang w:val="fr-FR"/>
        </w:rPr>
        <w:t>améliorer le travail de l</w:t>
      </w:r>
      <w:r w:rsidR="008E532B">
        <w:rPr>
          <w:rFonts w:ascii="Arial" w:hAnsi="Arial" w:cs="Arial"/>
          <w:sz w:val="22"/>
          <w:szCs w:val="22"/>
          <w:lang w:val="fr-FR"/>
        </w:rPr>
        <w:t>’</w:t>
      </w:r>
      <w:r w:rsidRPr="002D165D">
        <w:rPr>
          <w:rFonts w:ascii="Arial" w:hAnsi="Arial" w:cs="Arial"/>
          <w:sz w:val="22"/>
          <w:szCs w:val="22"/>
          <w:lang w:val="fr-FR"/>
        </w:rPr>
        <w:t>Organe d</w:t>
      </w:r>
      <w:r w:rsidR="008E532B">
        <w:rPr>
          <w:rFonts w:ascii="Arial" w:hAnsi="Arial" w:cs="Arial"/>
          <w:sz w:val="22"/>
          <w:szCs w:val="22"/>
          <w:lang w:val="fr-FR"/>
        </w:rPr>
        <w:t>’</w:t>
      </w:r>
      <w:r w:rsidRPr="002D165D">
        <w:rPr>
          <w:rFonts w:ascii="Arial" w:hAnsi="Arial" w:cs="Arial"/>
          <w:sz w:val="22"/>
          <w:szCs w:val="22"/>
          <w:lang w:val="fr-FR"/>
        </w:rPr>
        <w:t xml:space="preserve">évaluation. Une participation </w:t>
      </w:r>
      <w:r>
        <w:rPr>
          <w:rFonts w:ascii="Arial" w:hAnsi="Arial" w:cs="Arial"/>
          <w:sz w:val="22"/>
          <w:szCs w:val="22"/>
          <w:lang w:val="fr-FR"/>
        </w:rPr>
        <w:t xml:space="preserve">renforcée </w:t>
      </w:r>
      <w:r w:rsidRPr="002D165D">
        <w:rPr>
          <w:rFonts w:ascii="Arial" w:hAnsi="Arial" w:cs="Arial"/>
          <w:sz w:val="22"/>
          <w:szCs w:val="22"/>
          <w:lang w:val="fr-FR"/>
        </w:rPr>
        <w:t>des ONG permettrait d</w:t>
      </w:r>
      <w:r w:rsidR="008E532B">
        <w:rPr>
          <w:rFonts w:ascii="Arial" w:hAnsi="Arial" w:cs="Arial"/>
          <w:sz w:val="22"/>
          <w:szCs w:val="22"/>
          <w:lang w:val="fr-FR"/>
        </w:rPr>
        <w:t>’</w:t>
      </w:r>
      <w:r w:rsidRPr="002D165D">
        <w:rPr>
          <w:rFonts w:ascii="Arial" w:hAnsi="Arial" w:cs="Arial"/>
          <w:sz w:val="22"/>
          <w:szCs w:val="22"/>
          <w:lang w:val="fr-FR"/>
        </w:rPr>
        <w:t>accroître la capacité d</w:t>
      </w:r>
      <w:r w:rsidR="008E532B">
        <w:rPr>
          <w:rFonts w:ascii="Arial" w:hAnsi="Arial" w:cs="Arial"/>
          <w:sz w:val="22"/>
          <w:szCs w:val="22"/>
          <w:lang w:val="fr-FR"/>
        </w:rPr>
        <w:t>’</w:t>
      </w:r>
      <w:r w:rsidRPr="002D165D">
        <w:rPr>
          <w:rFonts w:ascii="Arial" w:hAnsi="Arial" w:cs="Arial"/>
          <w:sz w:val="22"/>
          <w:szCs w:val="22"/>
          <w:lang w:val="fr-FR"/>
        </w:rPr>
        <w:t>évaluer le nombre croissant de dossiers proposés à l</w:t>
      </w:r>
      <w:r w:rsidR="008E532B">
        <w:rPr>
          <w:rFonts w:ascii="Arial" w:hAnsi="Arial" w:cs="Arial"/>
          <w:sz w:val="22"/>
          <w:szCs w:val="22"/>
          <w:lang w:val="fr-FR"/>
        </w:rPr>
        <w:t>’</w:t>
      </w:r>
      <w:r w:rsidRPr="002D165D">
        <w:rPr>
          <w:rFonts w:ascii="Arial" w:hAnsi="Arial" w:cs="Arial"/>
          <w:sz w:val="22"/>
          <w:szCs w:val="22"/>
          <w:lang w:val="fr-FR"/>
        </w:rPr>
        <w:t>inscription par les États parties, de fournir des services consultatifs aux communautés, au Secrétariat et aux États parties, et d</w:t>
      </w:r>
      <w:r w:rsidR="008E532B">
        <w:rPr>
          <w:rFonts w:ascii="Arial" w:hAnsi="Arial" w:cs="Arial"/>
          <w:sz w:val="22"/>
          <w:szCs w:val="22"/>
          <w:lang w:val="fr-FR"/>
        </w:rPr>
        <w:t>’</w:t>
      </w:r>
      <w:r w:rsidRPr="002D165D">
        <w:rPr>
          <w:rFonts w:ascii="Arial" w:hAnsi="Arial" w:cs="Arial"/>
          <w:sz w:val="22"/>
          <w:szCs w:val="22"/>
          <w:lang w:val="fr-FR"/>
        </w:rPr>
        <w:t xml:space="preserve">explorer de nouvelles utilisations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2D165D">
        <w:rPr>
          <w:rFonts w:ascii="Arial" w:hAnsi="Arial" w:cs="Arial"/>
          <w:sz w:val="22"/>
          <w:szCs w:val="22"/>
          <w:lang w:val="fr-FR"/>
        </w:rPr>
        <w:t>et de construire un monde plus durable et plus pacifique.</w:t>
      </w:r>
      <w:r>
        <w:rPr>
          <w:rFonts w:ascii="Arial" w:hAnsi="Arial" w:cs="Arial"/>
          <w:sz w:val="22"/>
          <w:szCs w:val="22"/>
          <w:lang w:val="fr-FR"/>
        </w:rPr>
        <w:t xml:space="preserve"> </w:t>
      </w:r>
    </w:p>
    <w:p w14:paraId="79169317" w14:textId="1BE0224B" w:rsidR="00D9653F" w:rsidRPr="00BF40DD"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BF40DD">
        <w:rPr>
          <w:rFonts w:ascii="Arial" w:hAnsi="Arial" w:cs="Arial"/>
          <w:sz w:val="22"/>
          <w:szCs w:val="22"/>
          <w:lang w:val="fr-FR"/>
        </w:rPr>
        <w:t xml:space="preserve">La </w:t>
      </w:r>
      <w:r w:rsidRPr="00BF40DD">
        <w:rPr>
          <w:rFonts w:ascii="Arial" w:hAnsi="Arial" w:cs="Arial"/>
          <w:b/>
          <w:bCs/>
          <w:sz w:val="22"/>
          <w:szCs w:val="22"/>
          <w:lang w:val="fr-FR"/>
        </w:rPr>
        <w:t>Présidente</w:t>
      </w:r>
      <w:r w:rsidRPr="00BF40DD">
        <w:rPr>
          <w:rFonts w:ascii="Arial" w:hAnsi="Arial" w:cs="Arial"/>
          <w:sz w:val="22"/>
          <w:szCs w:val="22"/>
          <w:lang w:val="fr-FR"/>
        </w:rPr>
        <w:t xml:space="preserve"> a remercié M. Turgeon pour la présentation exhaustive faite au nom du Forum des ONG du PCI. Le rapport </w:t>
      </w:r>
      <w:r>
        <w:rPr>
          <w:rFonts w:ascii="Arial" w:hAnsi="Arial" w:cs="Arial"/>
          <w:sz w:val="22"/>
          <w:szCs w:val="22"/>
          <w:lang w:val="fr-FR"/>
        </w:rPr>
        <w:t xml:space="preserve">montrait </w:t>
      </w:r>
      <w:r w:rsidRPr="00BF40DD">
        <w:rPr>
          <w:rFonts w:ascii="Arial" w:hAnsi="Arial" w:cs="Arial"/>
          <w:sz w:val="22"/>
          <w:szCs w:val="22"/>
          <w:lang w:val="fr-FR"/>
        </w:rPr>
        <w:t xml:space="preserve">clairement les importantes contributions du </w:t>
      </w:r>
      <w:r>
        <w:rPr>
          <w:rFonts w:ascii="Arial" w:hAnsi="Arial" w:cs="Arial"/>
          <w:sz w:val="22"/>
          <w:szCs w:val="22"/>
          <w:lang w:val="fr-FR"/>
        </w:rPr>
        <w:t>F</w:t>
      </w:r>
      <w:r w:rsidRPr="00BF40DD">
        <w:rPr>
          <w:rFonts w:ascii="Arial" w:hAnsi="Arial" w:cs="Arial"/>
          <w:sz w:val="22"/>
          <w:szCs w:val="22"/>
          <w:lang w:val="fr-FR"/>
        </w:rPr>
        <w:t xml:space="preserve">orum </w:t>
      </w:r>
      <w:r>
        <w:rPr>
          <w:rFonts w:ascii="Arial" w:hAnsi="Arial" w:cs="Arial"/>
          <w:sz w:val="22"/>
          <w:szCs w:val="22"/>
          <w:lang w:val="fr-FR"/>
        </w:rPr>
        <w:t xml:space="preserve">à </w:t>
      </w:r>
      <w:r w:rsidRPr="00BF40DD">
        <w:rPr>
          <w:rFonts w:ascii="Arial" w:hAnsi="Arial" w:cs="Arial"/>
          <w:sz w:val="22"/>
          <w:szCs w:val="22"/>
          <w:lang w:val="fr-FR"/>
        </w:rPr>
        <w:t xml:space="preserve">la coordination du travail des ONG accréditées. La Présidente a </w:t>
      </w:r>
      <w:r>
        <w:rPr>
          <w:rFonts w:ascii="Arial" w:hAnsi="Arial" w:cs="Arial"/>
          <w:sz w:val="22"/>
          <w:szCs w:val="22"/>
          <w:lang w:val="fr-FR"/>
        </w:rPr>
        <w:t>donné la parole aux participants afin qu</w:t>
      </w:r>
      <w:r w:rsidR="008E532B">
        <w:rPr>
          <w:rFonts w:ascii="Arial" w:hAnsi="Arial" w:cs="Arial"/>
          <w:sz w:val="22"/>
          <w:szCs w:val="22"/>
          <w:lang w:val="fr-FR"/>
        </w:rPr>
        <w:t>’</w:t>
      </w:r>
      <w:r>
        <w:rPr>
          <w:rFonts w:ascii="Arial" w:hAnsi="Arial" w:cs="Arial"/>
          <w:sz w:val="22"/>
          <w:szCs w:val="22"/>
          <w:lang w:val="fr-FR"/>
        </w:rPr>
        <w:t xml:space="preserve">ils posent des </w:t>
      </w:r>
      <w:r w:rsidRPr="00BF40DD">
        <w:rPr>
          <w:rFonts w:ascii="Arial" w:hAnsi="Arial" w:cs="Arial"/>
          <w:sz w:val="22"/>
          <w:szCs w:val="22"/>
          <w:lang w:val="fr-FR"/>
        </w:rPr>
        <w:t xml:space="preserve">questions </w:t>
      </w:r>
      <w:r>
        <w:rPr>
          <w:rFonts w:ascii="Arial" w:hAnsi="Arial" w:cs="Arial"/>
          <w:sz w:val="22"/>
          <w:szCs w:val="22"/>
          <w:lang w:val="fr-FR"/>
        </w:rPr>
        <w:t xml:space="preserve">au </w:t>
      </w:r>
      <w:r w:rsidRPr="00BF40DD">
        <w:rPr>
          <w:rFonts w:ascii="Arial" w:hAnsi="Arial" w:cs="Arial"/>
          <w:sz w:val="22"/>
          <w:szCs w:val="22"/>
          <w:lang w:val="fr-FR"/>
        </w:rPr>
        <w:t>Forum.</w:t>
      </w:r>
    </w:p>
    <w:p w14:paraId="7215E1B9" w14:textId="055B2B51" w:rsidR="00D9653F" w:rsidRPr="00F00D74"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F00D74">
        <w:rPr>
          <w:rFonts w:ascii="Arial" w:hAnsi="Arial" w:cs="Arial"/>
          <w:sz w:val="22"/>
          <w:szCs w:val="22"/>
          <w:lang w:val="fr-FR"/>
        </w:rPr>
        <w:t xml:space="preserve">La délégation de la </w:t>
      </w:r>
      <w:r w:rsidRPr="00F00D74">
        <w:rPr>
          <w:rFonts w:ascii="Arial" w:hAnsi="Arial" w:cs="Arial"/>
          <w:b/>
          <w:bCs/>
          <w:sz w:val="22"/>
          <w:szCs w:val="22"/>
          <w:lang w:val="fr-FR"/>
        </w:rPr>
        <w:t>Palestine</w:t>
      </w:r>
      <w:r w:rsidRPr="00F00D74">
        <w:rPr>
          <w:rFonts w:ascii="Arial" w:hAnsi="Arial" w:cs="Arial"/>
          <w:sz w:val="22"/>
          <w:szCs w:val="22"/>
          <w:lang w:val="fr-FR"/>
        </w:rPr>
        <w:t xml:space="preserve"> a remercié le Forum des ONG du PCI pour sa présentation utile et substantielle qui a</w:t>
      </w:r>
      <w:r>
        <w:rPr>
          <w:rFonts w:ascii="Arial" w:hAnsi="Arial" w:cs="Arial"/>
          <w:sz w:val="22"/>
          <w:szCs w:val="22"/>
          <w:lang w:val="fr-FR"/>
        </w:rPr>
        <w:t>vait</w:t>
      </w:r>
      <w:r w:rsidRPr="00F00D74">
        <w:rPr>
          <w:rFonts w:ascii="Arial" w:hAnsi="Arial" w:cs="Arial"/>
          <w:sz w:val="22"/>
          <w:szCs w:val="22"/>
          <w:lang w:val="fr-FR"/>
        </w:rPr>
        <w:t xml:space="preserve"> satisfait </w:t>
      </w:r>
      <w:r>
        <w:rPr>
          <w:rFonts w:ascii="Arial" w:hAnsi="Arial" w:cs="Arial"/>
          <w:sz w:val="22"/>
          <w:szCs w:val="22"/>
          <w:lang w:val="fr-FR"/>
        </w:rPr>
        <w:t xml:space="preserve">à </w:t>
      </w:r>
      <w:r w:rsidRPr="00F00D74">
        <w:rPr>
          <w:rFonts w:ascii="Arial" w:hAnsi="Arial" w:cs="Arial"/>
          <w:sz w:val="22"/>
          <w:szCs w:val="22"/>
          <w:lang w:val="fr-FR"/>
        </w:rPr>
        <w:t xml:space="preserve">la demande du Comité de faire un rapport sur les activités du Forum. </w:t>
      </w:r>
      <w:r>
        <w:rPr>
          <w:rFonts w:ascii="Arial" w:hAnsi="Arial" w:cs="Arial"/>
          <w:sz w:val="22"/>
          <w:szCs w:val="22"/>
          <w:lang w:val="fr-FR"/>
        </w:rPr>
        <w:t>D</w:t>
      </w:r>
      <w:r w:rsidR="008E532B">
        <w:rPr>
          <w:rFonts w:ascii="Arial" w:hAnsi="Arial" w:cs="Arial"/>
          <w:sz w:val="22"/>
          <w:szCs w:val="22"/>
          <w:lang w:val="fr-FR"/>
        </w:rPr>
        <w:t>’</w:t>
      </w:r>
      <w:r>
        <w:rPr>
          <w:rFonts w:ascii="Arial" w:hAnsi="Arial" w:cs="Arial"/>
          <w:sz w:val="22"/>
          <w:szCs w:val="22"/>
          <w:lang w:val="fr-FR"/>
        </w:rPr>
        <w:t>ailleurs, u</w:t>
      </w:r>
      <w:r w:rsidRPr="00F00D74">
        <w:rPr>
          <w:rFonts w:ascii="Arial" w:hAnsi="Arial" w:cs="Arial"/>
          <w:sz w:val="22"/>
          <w:szCs w:val="22"/>
          <w:lang w:val="fr-FR"/>
        </w:rPr>
        <w:t>n document d</w:t>
      </w:r>
      <w:r w:rsidR="008E532B">
        <w:rPr>
          <w:rFonts w:ascii="Arial" w:hAnsi="Arial" w:cs="Arial"/>
          <w:sz w:val="22"/>
          <w:szCs w:val="22"/>
          <w:lang w:val="fr-FR"/>
        </w:rPr>
        <w:t>’</w:t>
      </w:r>
      <w:r w:rsidRPr="00F00D74">
        <w:rPr>
          <w:rFonts w:ascii="Arial" w:hAnsi="Arial" w:cs="Arial"/>
          <w:sz w:val="22"/>
          <w:szCs w:val="22"/>
          <w:lang w:val="fr-FR"/>
        </w:rPr>
        <w:t>information présentant ce rapport devrait être mis à disposition à l</w:t>
      </w:r>
      <w:r w:rsidR="008E532B">
        <w:rPr>
          <w:rFonts w:ascii="Arial" w:hAnsi="Arial" w:cs="Arial"/>
          <w:sz w:val="22"/>
          <w:szCs w:val="22"/>
          <w:lang w:val="fr-FR"/>
        </w:rPr>
        <w:t>’</w:t>
      </w:r>
      <w:r w:rsidRPr="00F00D74">
        <w:rPr>
          <w:rFonts w:ascii="Arial" w:hAnsi="Arial" w:cs="Arial"/>
          <w:sz w:val="22"/>
          <w:szCs w:val="22"/>
          <w:lang w:val="fr-FR"/>
        </w:rPr>
        <w:t>avenir</w:t>
      </w:r>
      <w:r>
        <w:rPr>
          <w:rFonts w:ascii="Arial" w:hAnsi="Arial" w:cs="Arial"/>
          <w:sz w:val="22"/>
          <w:szCs w:val="22"/>
          <w:lang w:val="fr-FR"/>
        </w:rPr>
        <w:t>. L</w:t>
      </w:r>
      <w:r w:rsidRPr="00F00D74">
        <w:rPr>
          <w:rFonts w:ascii="Arial" w:hAnsi="Arial" w:cs="Arial"/>
          <w:sz w:val="22"/>
          <w:szCs w:val="22"/>
          <w:lang w:val="fr-FR"/>
        </w:rPr>
        <w:t>es ONG jou</w:t>
      </w:r>
      <w:r>
        <w:rPr>
          <w:rFonts w:ascii="Arial" w:hAnsi="Arial" w:cs="Arial"/>
          <w:sz w:val="22"/>
          <w:szCs w:val="22"/>
          <w:lang w:val="fr-FR"/>
        </w:rPr>
        <w:t>ai</w:t>
      </w:r>
      <w:r w:rsidRPr="00F00D74">
        <w:rPr>
          <w:rFonts w:ascii="Arial" w:hAnsi="Arial" w:cs="Arial"/>
          <w:sz w:val="22"/>
          <w:szCs w:val="22"/>
          <w:lang w:val="fr-FR"/>
        </w:rPr>
        <w:t>ent un rôle très important dans la Convention.</w:t>
      </w:r>
    </w:p>
    <w:p w14:paraId="4C816686" w14:textId="3A5E5B53" w:rsidR="00D9653F" w:rsidRPr="00F00D74"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F00D74">
        <w:rPr>
          <w:rFonts w:ascii="Arial" w:hAnsi="Arial" w:cs="Arial"/>
          <w:sz w:val="22"/>
          <w:szCs w:val="22"/>
          <w:lang w:val="fr-FR"/>
        </w:rPr>
        <w:t xml:space="preserve">La délégation de la </w:t>
      </w:r>
      <w:r w:rsidRPr="00F00D74">
        <w:rPr>
          <w:rFonts w:ascii="Arial" w:hAnsi="Arial" w:cs="Arial"/>
          <w:b/>
          <w:bCs/>
          <w:sz w:val="22"/>
          <w:szCs w:val="22"/>
          <w:lang w:val="fr-FR"/>
        </w:rPr>
        <w:t>Mongolie</w:t>
      </w:r>
      <w:r w:rsidRPr="00F00D74">
        <w:rPr>
          <w:rFonts w:ascii="Arial" w:hAnsi="Arial" w:cs="Arial"/>
          <w:sz w:val="22"/>
          <w:szCs w:val="22"/>
          <w:lang w:val="fr-FR"/>
        </w:rPr>
        <w:t xml:space="preserve"> a </w:t>
      </w:r>
      <w:r>
        <w:rPr>
          <w:rFonts w:ascii="Arial" w:hAnsi="Arial" w:cs="Arial"/>
          <w:sz w:val="22"/>
          <w:szCs w:val="22"/>
          <w:lang w:val="fr-FR"/>
        </w:rPr>
        <w:t xml:space="preserve">repris à son compte les </w:t>
      </w:r>
      <w:r w:rsidRPr="00F00D74">
        <w:rPr>
          <w:rFonts w:ascii="Arial" w:hAnsi="Arial" w:cs="Arial"/>
          <w:sz w:val="22"/>
          <w:szCs w:val="22"/>
          <w:lang w:val="fr-FR"/>
        </w:rPr>
        <w:t>remarques de la Palestine sur l</w:t>
      </w:r>
      <w:r w:rsidR="008E532B">
        <w:rPr>
          <w:rFonts w:ascii="Arial" w:hAnsi="Arial" w:cs="Arial"/>
          <w:sz w:val="22"/>
          <w:szCs w:val="22"/>
          <w:lang w:val="fr-FR"/>
        </w:rPr>
        <w:t>’</w:t>
      </w:r>
      <w:r w:rsidRPr="00F00D74">
        <w:rPr>
          <w:rFonts w:ascii="Arial" w:hAnsi="Arial" w:cs="Arial"/>
          <w:sz w:val="22"/>
          <w:szCs w:val="22"/>
          <w:lang w:val="fr-FR"/>
        </w:rPr>
        <w:t>importance du Forum des ONG du PCI, qui est crucial pour la mise en œuvre de la Convention. Il aurait en effet été précieux de disposer d</w:t>
      </w:r>
      <w:r w:rsidR="008E532B">
        <w:rPr>
          <w:rFonts w:ascii="Arial" w:hAnsi="Arial" w:cs="Arial"/>
          <w:sz w:val="22"/>
          <w:szCs w:val="22"/>
          <w:lang w:val="fr-FR"/>
        </w:rPr>
        <w:t>’</w:t>
      </w:r>
      <w:r w:rsidRPr="00F00D74">
        <w:rPr>
          <w:rFonts w:ascii="Arial" w:hAnsi="Arial" w:cs="Arial"/>
          <w:sz w:val="22"/>
          <w:szCs w:val="22"/>
          <w:lang w:val="fr-FR"/>
        </w:rPr>
        <w:t>un rapport écrit.</w:t>
      </w:r>
    </w:p>
    <w:p w14:paraId="1B470750" w14:textId="1E7CE85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F02D7">
        <w:rPr>
          <w:rFonts w:ascii="Arial" w:hAnsi="Arial" w:cs="Arial"/>
          <w:bCs/>
          <w:sz w:val="22"/>
          <w:szCs w:val="22"/>
          <w:lang w:val="fr-FR"/>
        </w:rPr>
        <w:t xml:space="preserve">La délégation de la </w:t>
      </w:r>
      <w:r w:rsidRPr="001F02D7">
        <w:rPr>
          <w:rFonts w:ascii="Arial" w:hAnsi="Arial" w:cs="Arial"/>
          <w:b/>
          <w:sz w:val="22"/>
          <w:szCs w:val="22"/>
          <w:lang w:val="fr-FR"/>
        </w:rPr>
        <w:t>République arabe syrienne</w:t>
      </w:r>
      <w:r w:rsidRPr="001F02D7">
        <w:rPr>
          <w:rFonts w:ascii="Arial" w:hAnsi="Arial" w:cs="Arial"/>
          <w:bCs/>
          <w:sz w:val="22"/>
          <w:szCs w:val="22"/>
          <w:lang w:val="fr-FR"/>
        </w:rPr>
        <w:t xml:space="preserve"> a remercié M. Turgeon pour sa présentation très exhaustive</w:t>
      </w:r>
      <w:r>
        <w:rPr>
          <w:rFonts w:ascii="Arial" w:hAnsi="Arial" w:cs="Arial"/>
          <w:bCs/>
          <w:sz w:val="22"/>
          <w:szCs w:val="22"/>
          <w:lang w:val="fr-FR"/>
        </w:rPr>
        <w:t xml:space="preserve"> </w:t>
      </w:r>
      <w:r w:rsidRPr="001F02D7">
        <w:rPr>
          <w:rFonts w:ascii="Arial" w:hAnsi="Arial" w:cs="Arial"/>
          <w:bCs/>
          <w:sz w:val="22"/>
          <w:szCs w:val="22"/>
          <w:lang w:val="fr-FR"/>
        </w:rPr>
        <w:t>qui témoign</w:t>
      </w:r>
      <w:r>
        <w:rPr>
          <w:rFonts w:ascii="Arial" w:hAnsi="Arial" w:cs="Arial"/>
          <w:bCs/>
          <w:sz w:val="22"/>
          <w:szCs w:val="22"/>
          <w:lang w:val="fr-FR"/>
        </w:rPr>
        <w:t>ait</w:t>
      </w:r>
      <w:r w:rsidRPr="001F02D7">
        <w:rPr>
          <w:rFonts w:ascii="Arial" w:hAnsi="Arial" w:cs="Arial"/>
          <w:bCs/>
          <w:sz w:val="22"/>
          <w:szCs w:val="22"/>
          <w:lang w:val="fr-FR"/>
        </w:rPr>
        <w:t xml:space="preserve"> de l</w:t>
      </w:r>
      <w:r w:rsidR="008E532B">
        <w:rPr>
          <w:rFonts w:ascii="Arial" w:hAnsi="Arial" w:cs="Arial"/>
          <w:bCs/>
          <w:sz w:val="22"/>
          <w:szCs w:val="22"/>
          <w:lang w:val="fr-FR"/>
        </w:rPr>
        <w:t>’</w:t>
      </w:r>
      <w:r w:rsidRPr="001F02D7">
        <w:rPr>
          <w:rFonts w:ascii="Arial" w:hAnsi="Arial" w:cs="Arial"/>
          <w:bCs/>
          <w:sz w:val="22"/>
          <w:szCs w:val="22"/>
          <w:lang w:val="fr-FR"/>
        </w:rPr>
        <w:t xml:space="preserve">extraordinaire évolution du Forum. La République arabe syrienne </w:t>
      </w:r>
      <w:r w:rsidR="006221EA">
        <w:rPr>
          <w:rFonts w:ascii="Arial" w:hAnsi="Arial" w:cs="Arial"/>
          <w:bCs/>
          <w:sz w:val="22"/>
          <w:szCs w:val="22"/>
          <w:lang w:val="fr-FR"/>
        </w:rPr>
        <w:t>était</w:t>
      </w:r>
      <w:r w:rsidRPr="001F02D7">
        <w:rPr>
          <w:rFonts w:ascii="Arial" w:hAnsi="Arial" w:cs="Arial"/>
          <w:bCs/>
          <w:sz w:val="22"/>
          <w:szCs w:val="22"/>
          <w:lang w:val="fr-FR"/>
        </w:rPr>
        <w:t xml:space="preserve"> activement représentée au sein du Forum par l</w:t>
      </w:r>
      <w:r w:rsidR="008E532B">
        <w:rPr>
          <w:rFonts w:ascii="Arial" w:hAnsi="Arial" w:cs="Arial"/>
          <w:bCs/>
          <w:sz w:val="22"/>
          <w:szCs w:val="22"/>
          <w:lang w:val="fr-FR"/>
        </w:rPr>
        <w:t>’</w:t>
      </w:r>
      <w:r w:rsidRPr="001F02D7">
        <w:rPr>
          <w:rFonts w:ascii="Arial" w:hAnsi="Arial" w:cs="Arial"/>
          <w:bCs/>
          <w:sz w:val="22"/>
          <w:szCs w:val="22"/>
          <w:lang w:val="fr-FR"/>
        </w:rPr>
        <w:t xml:space="preserve">ONG </w:t>
      </w:r>
      <w:proofErr w:type="spellStart"/>
      <w:r w:rsidRPr="001F02D7">
        <w:rPr>
          <w:rFonts w:ascii="Arial" w:hAnsi="Arial" w:cs="Arial"/>
          <w:bCs/>
          <w:sz w:val="22"/>
          <w:szCs w:val="22"/>
          <w:lang w:val="fr-FR"/>
        </w:rPr>
        <w:t>Syria</w:t>
      </w:r>
      <w:proofErr w:type="spellEnd"/>
      <w:r w:rsidRPr="001F02D7">
        <w:rPr>
          <w:rFonts w:ascii="Arial" w:hAnsi="Arial" w:cs="Arial"/>
          <w:bCs/>
          <w:sz w:val="22"/>
          <w:szCs w:val="22"/>
          <w:lang w:val="fr-FR"/>
        </w:rPr>
        <w:t xml:space="preserve"> Trust for </w:t>
      </w:r>
      <w:proofErr w:type="spellStart"/>
      <w:r w:rsidRPr="001F02D7">
        <w:rPr>
          <w:rFonts w:ascii="Arial" w:hAnsi="Arial" w:cs="Arial"/>
          <w:bCs/>
          <w:sz w:val="22"/>
          <w:szCs w:val="22"/>
          <w:lang w:val="fr-FR"/>
        </w:rPr>
        <w:t>Development</w:t>
      </w:r>
      <w:proofErr w:type="spellEnd"/>
      <w:r w:rsidRPr="001F02D7">
        <w:rPr>
          <w:rFonts w:ascii="Arial" w:hAnsi="Arial" w:cs="Arial"/>
          <w:bCs/>
          <w:sz w:val="22"/>
          <w:szCs w:val="22"/>
          <w:lang w:val="fr-FR"/>
        </w:rPr>
        <w:t xml:space="preserve">, qui </w:t>
      </w:r>
      <w:r>
        <w:rPr>
          <w:rFonts w:ascii="Arial" w:hAnsi="Arial" w:cs="Arial"/>
          <w:bCs/>
          <w:sz w:val="22"/>
          <w:szCs w:val="22"/>
          <w:lang w:val="fr-FR"/>
        </w:rPr>
        <w:t>était</w:t>
      </w:r>
      <w:r w:rsidRPr="001F02D7">
        <w:rPr>
          <w:rFonts w:ascii="Arial" w:hAnsi="Arial" w:cs="Arial"/>
          <w:bCs/>
          <w:sz w:val="22"/>
          <w:szCs w:val="22"/>
          <w:lang w:val="fr-FR"/>
        </w:rPr>
        <w:t xml:space="preserve"> également membre de l</w:t>
      </w:r>
      <w:r w:rsidR="008E532B">
        <w:rPr>
          <w:rFonts w:ascii="Arial" w:hAnsi="Arial" w:cs="Arial"/>
          <w:bCs/>
          <w:sz w:val="22"/>
          <w:szCs w:val="22"/>
          <w:lang w:val="fr-FR"/>
        </w:rPr>
        <w:t>’</w:t>
      </w:r>
      <w:r w:rsidRPr="001F02D7">
        <w:rPr>
          <w:rFonts w:ascii="Arial" w:hAnsi="Arial" w:cs="Arial"/>
          <w:bCs/>
          <w:sz w:val="22"/>
          <w:szCs w:val="22"/>
          <w:lang w:val="fr-FR"/>
        </w:rPr>
        <w:t>Organe d</w:t>
      </w:r>
      <w:r w:rsidR="008E532B">
        <w:rPr>
          <w:rFonts w:ascii="Arial" w:hAnsi="Arial" w:cs="Arial"/>
          <w:bCs/>
          <w:sz w:val="22"/>
          <w:szCs w:val="22"/>
          <w:lang w:val="fr-FR"/>
        </w:rPr>
        <w:t>’</w:t>
      </w:r>
      <w:r w:rsidRPr="001F02D7">
        <w:rPr>
          <w:rFonts w:ascii="Arial" w:hAnsi="Arial" w:cs="Arial"/>
          <w:bCs/>
          <w:sz w:val="22"/>
          <w:szCs w:val="22"/>
          <w:lang w:val="fr-FR"/>
        </w:rPr>
        <w:t>évaluation pour la période 2020</w:t>
      </w:r>
      <w:r>
        <w:rPr>
          <w:rFonts w:ascii="Arial" w:hAnsi="Arial" w:cs="Arial"/>
          <w:bCs/>
          <w:sz w:val="22"/>
          <w:szCs w:val="22"/>
          <w:lang w:val="fr-FR"/>
        </w:rPr>
        <w:noBreakHyphen/>
      </w:r>
      <w:r w:rsidRPr="001F02D7">
        <w:rPr>
          <w:rFonts w:ascii="Arial" w:hAnsi="Arial" w:cs="Arial"/>
          <w:bCs/>
          <w:sz w:val="22"/>
          <w:szCs w:val="22"/>
          <w:lang w:val="fr-FR"/>
        </w:rPr>
        <w:t>2024</w:t>
      </w:r>
      <w:r>
        <w:rPr>
          <w:rFonts w:ascii="Arial" w:hAnsi="Arial" w:cs="Arial"/>
          <w:bCs/>
          <w:sz w:val="22"/>
          <w:szCs w:val="22"/>
          <w:lang w:val="fr-FR"/>
        </w:rPr>
        <w:t>,</w:t>
      </w:r>
      <w:r w:rsidRPr="001F02D7">
        <w:rPr>
          <w:rFonts w:ascii="Arial" w:hAnsi="Arial" w:cs="Arial"/>
          <w:bCs/>
          <w:sz w:val="22"/>
          <w:szCs w:val="22"/>
          <w:lang w:val="fr-FR"/>
        </w:rPr>
        <w:t xml:space="preserve"> et qui bénéfici</w:t>
      </w:r>
      <w:r>
        <w:rPr>
          <w:rFonts w:ascii="Arial" w:hAnsi="Arial" w:cs="Arial"/>
          <w:bCs/>
          <w:sz w:val="22"/>
          <w:szCs w:val="22"/>
          <w:lang w:val="fr-FR"/>
        </w:rPr>
        <w:t>ait</w:t>
      </w:r>
      <w:r w:rsidRPr="001F02D7">
        <w:rPr>
          <w:rFonts w:ascii="Arial" w:hAnsi="Arial" w:cs="Arial"/>
          <w:bCs/>
          <w:sz w:val="22"/>
          <w:szCs w:val="22"/>
          <w:lang w:val="fr-FR"/>
        </w:rPr>
        <w:t xml:space="preserve"> donc d</w:t>
      </w:r>
      <w:r w:rsidR="008E532B">
        <w:rPr>
          <w:rFonts w:ascii="Arial" w:hAnsi="Arial" w:cs="Arial"/>
          <w:bCs/>
          <w:sz w:val="22"/>
          <w:szCs w:val="22"/>
          <w:lang w:val="fr-FR"/>
        </w:rPr>
        <w:t>’</w:t>
      </w:r>
      <w:r w:rsidRPr="001F02D7">
        <w:rPr>
          <w:rFonts w:ascii="Arial" w:hAnsi="Arial" w:cs="Arial"/>
          <w:bCs/>
          <w:sz w:val="22"/>
          <w:szCs w:val="22"/>
          <w:lang w:val="fr-FR"/>
        </w:rPr>
        <w:t>un</w:t>
      </w:r>
      <w:r>
        <w:rPr>
          <w:rFonts w:ascii="Arial" w:hAnsi="Arial" w:cs="Arial"/>
          <w:bCs/>
          <w:sz w:val="22"/>
          <w:szCs w:val="22"/>
          <w:lang w:val="fr-FR"/>
        </w:rPr>
        <w:t xml:space="preserve"> droit de </w:t>
      </w:r>
      <w:r w:rsidRPr="001F02D7">
        <w:rPr>
          <w:rFonts w:ascii="Arial" w:hAnsi="Arial" w:cs="Arial"/>
          <w:bCs/>
          <w:sz w:val="22"/>
          <w:szCs w:val="22"/>
          <w:lang w:val="fr-FR"/>
        </w:rPr>
        <w:t>vote et d</w:t>
      </w:r>
      <w:r w:rsidR="008E532B">
        <w:rPr>
          <w:rFonts w:ascii="Arial" w:hAnsi="Arial" w:cs="Arial"/>
          <w:bCs/>
          <w:sz w:val="22"/>
          <w:szCs w:val="22"/>
          <w:lang w:val="fr-FR"/>
        </w:rPr>
        <w:t>’</w:t>
      </w:r>
      <w:r>
        <w:rPr>
          <w:rFonts w:ascii="Arial" w:hAnsi="Arial" w:cs="Arial"/>
          <w:bCs/>
          <w:sz w:val="22"/>
          <w:szCs w:val="22"/>
          <w:lang w:val="fr-FR"/>
        </w:rPr>
        <w:t>un pouvoir de</w:t>
      </w:r>
      <w:r w:rsidRPr="001F02D7">
        <w:rPr>
          <w:rFonts w:ascii="Arial" w:hAnsi="Arial" w:cs="Arial"/>
          <w:bCs/>
          <w:sz w:val="22"/>
          <w:szCs w:val="22"/>
          <w:lang w:val="fr-FR"/>
        </w:rPr>
        <w:t xml:space="preserve"> décision pour contribuer à faire avancer les travaux du Forum. La délégation a souligné le lien entre les ONG (qui exercent leur activité au sein du Forum conformément </w:t>
      </w:r>
      <w:r>
        <w:rPr>
          <w:rFonts w:ascii="Arial" w:hAnsi="Arial" w:cs="Arial"/>
          <w:bCs/>
          <w:sz w:val="22"/>
          <w:szCs w:val="22"/>
          <w:lang w:val="fr-FR"/>
        </w:rPr>
        <w:t>à un règlement général</w:t>
      </w:r>
      <w:r w:rsidRPr="001F02D7">
        <w:rPr>
          <w:rFonts w:ascii="Arial" w:hAnsi="Arial" w:cs="Arial"/>
          <w:bCs/>
          <w:sz w:val="22"/>
          <w:szCs w:val="22"/>
          <w:lang w:val="fr-FR"/>
        </w:rPr>
        <w:t xml:space="preserve"> </w:t>
      </w:r>
      <w:r>
        <w:rPr>
          <w:rFonts w:ascii="Arial" w:hAnsi="Arial" w:cs="Arial"/>
          <w:bCs/>
          <w:sz w:val="22"/>
          <w:szCs w:val="22"/>
          <w:lang w:val="fr-FR"/>
        </w:rPr>
        <w:t>qui stipule qu</w:t>
      </w:r>
      <w:r w:rsidR="008E532B">
        <w:rPr>
          <w:rFonts w:ascii="Arial" w:hAnsi="Arial" w:cs="Arial"/>
          <w:bCs/>
          <w:sz w:val="22"/>
          <w:szCs w:val="22"/>
          <w:lang w:val="fr-FR"/>
        </w:rPr>
        <w:t>’</w:t>
      </w:r>
      <w:r>
        <w:rPr>
          <w:rFonts w:ascii="Arial" w:hAnsi="Arial" w:cs="Arial"/>
          <w:bCs/>
          <w:sz w:val="22"/>
          <w:szCs w:val="22"/>
          <w:lang w:val="fr-FR"/>
        </w:rPr>
        <w:t xml:space="preserve">elles </w:t>
      </w:r>
      <w:r w:rsidRPr="001F02D7">
        <w:rPr>
          <w:rFonts w:ascii="Arial" w:hAnsi="Arial" w:cs="Arial"/>
          <w:bCs/>
          <w:sz w:val="22"/>
          <w:szCs w:val="22"/>
          <w:lang w:val="fr-FR"/>
        </w:rPr>
        <w:t>sont affiliées à un État membre) et l</w:t>
      </w:r>
      <w:r w:rsidR="008E532B">
        <w:rPr>
          <w:rFonts w:ascii="Arial" w:hAnsi="Arial" w:cs="Arial"/>
          <w:bCs/>
          <w:sz w:val="22"/>
          <w:szCs w:val="22"/>
          <w:lang w:val="fr-FR"/>
        </w:rPr>
        <w:t>’</w:t>
      </w:r>
      <w:r w:rsidRPr="001F02D7">
        <w:rPr>
          <w:rFonts w:ascii="Arial" w:hAnsi="Arial" w:cs="Arial"/>
          <w:bCs/>
          <w:sz w:val="22"/>
          <w:szCs w:val="22"/>
          <w:lang w:val="fr-FR"/>
        </w:rPr>
        <w:t xml:space="preserve">État partie lui-même (en quelque sorte accrédité </w:t>
      </w:r>
      <w:r>
        <w:rPr>
          <w:rFonts w:ascii="Arial" w:hAnsi="Arial" w:cs="Arial"/>
          <w:bCs/>
          <w:sz w:val="22"/>
          <w:szCs w:val="22"/>
          <w:lang w:val="fr-FR"/>
        </w:rPr>
        <w:t>en tant qu</w:t>
      </w:r>
      <w:r w:rsidR="008E532B">
        <w:rPr>
          <w:rFonts w:ascii="Arial" w:hAnsi="Arial" w:cs="Arial"/>
          <w:bCs/>
          <w:sz w:val="22"/>
          <w:szCs w:val="22"/>
          <w:lang w:val="fr-FR"/>
        </w:rPr>
        <w:t>’</w:t>
      </w:r>
      <w:r>
        <w:rPr>
          <w:rFonts w:ascii="Arial" w:hAnsi="Arial" w:cs="Arial"/>
          <w:bCs/>
          <w:sz w:val="22"/>
          <w:szCs w:val="22"/>
          <w:lang w:val="fr-FR"/>
        </w:rPr>
        <w:t xml:space="preserve">État partie </w:t>
      </w:r>
      <w:r w:rsidRPr="001F02D7">
        <w:rPr>
          <w:rFonts w:ascii="Arial" w:hAnsi="Arial" w:cs="Arial"/>
          <w:bCs/>
          <w:sz w:val="22"/>
          <w:szCs w:val="22"/>
          <w:lang w:val="fr-FR"/>
        </w:rPr>
        <w:t>à la Convention). D</w:t>
      </w:r>
      <w:r w:rsidR="008E532B">
        <w:rPr>
          <w:rFonts w:ascii="Arial" w:hAnsi="Arial" w:cs="Arial"/>
          <w:bCs/>
          <w:sz w:val="22"/>
          <w:szCs w:val="22"/>
          <w:lang w:val="fr-FR"/>
        </w:rPr>
        <w:t>’</w:t>
      </w:r>
      <w:r w:rsidRPr="001F02D7">
        <w:rPr>
          <w:rFonts w:ascii="Arial" w:hAnsi="Arial" w:cs="Arial"/>
          <w:bCs/>
          <w:sz w:val="22"/>
          <w:szCs w:val="22"/>
          <w:lang w:val="fr-FR"/>
        </w:rPr>
        <w:t>après son expérience, l</w:t>
      </w:r>
      <w:r w:rsidR="008E532B">
        <w:rPr>
          <w:rFonts w:ascii="Arial" w:hAnsi="Arial" w:cs="Arial"/>
          <w:bCs/>
          <w:sz w:val="22"/>
          <w:szCs w:val="22"/>
          <w:lang w:val="fr-FR"/>
        </w:rPr>
        <w:t>’</w:t>
      </w:r>
      <w:r w:rsidRPr="001F02D7">
        <w:rPr>
          <w:rFonts w:ascii="Arial" w:hAnsi="Arial" w:cs="Arial"/>
          <w:bCs/>
          <w:sz w:val="22"/>
          <w:szCs w:val="22"/>
          <w:lang w:val="fr-FR"/>
        </w:rPr>
        <w:t xml:space="preserve">ONG </w:t>
      </w:r>
      <w:proofErr w:type="spellStart"/>
      <w:r w:rsidRPr="001F02D7">
        <w:rPr>
          <w:rFonts w:ascii="Arial" w:hAnsi="Arial" w:cs="Arial"/>
          <w:bCs/>
          <w:sz w:val="22"/>
          <w:szCs w:val="22"/>
          <w:lang w:val="fr-FR"/>
        </w:rPr>
        <w:t>Syria</w:t>
      </w:r>
      <w:proofErr w:type="spellEnd"/>
      <w:r w:rsidRPr="001F02D7">
        <w:rPr>
          <w:rFonts w:ascii="Arial" w:hAnsi="Arial" w:cs="Arial"/>
          <w:bCs/>
          <w:sz w:val="22"/>
          <w:szCs w:val="22"/>
          <w:lang w:val="fr-FR"/>
        </w:rPr>
        <w:t xml:space="preserve"> Trust for </w:t>
      </w:r>
      <w:proofErr w:type="spellStart"/>
      <w:r w:rsidRPr="001F02D7">
        <w:rPr>
          <w:rFonts w:ascii="Arial" w:hAnsi="Arial" w:cs="Arial"/>
          <w:bCs/>
          <w:sz w:val="22"/>
          <w:szCs w:val="22"/>
          <w:lang w:val="fr-FR"/>
        </w:rPr>
        <w:t>Development</w:t>
      </w:r>
      <w:proofErr w:type="spellEnd"/>
      <w:r w:rsidRPr="001F02D7">
        <w:rPr>
          <w:rFonts w:ascii="Arial" w:hAnsi="Arial" w:cs="Arial"/>
          <w:bCs/>
          <w:sz w:val="22"/>
          <w:szCs w:val="22"/>
          <w:lang w:val="fr-FR"/>
        </w:rPr>
        <w:t xml:space="preserve"> a</w:t>
      </w:r>
      <w:r>
        <w:rPr>
          <w:rFonts w:ascii="Arial" w:hAnsi="Arial" w:cs="Arial"/>
          <w:bCs/>
          <w:sz w:val="22"/>
          <w:szCs w:val="22"/>
          <w:lang w:val="fr-FR"/>
        </w:rPr>
        <w:t>vait</w:t>
      </w:r>
      <w:r w:rsidRPr="001F02D7">
        <w:rPr>
          <w:rFonts w:ascii="Arial" w:hAnsi="Arial" w:cs="Arial"/>
          <w:bCs/>
          <w:sz w:val="22"/>
          <w:szCs w:val="22"/>
          <w:lang w:val="fr-FR"/>
        </w:rPr>
        <w:t xml:space="preserve"> pu obtenir </w:t>
      </w:r>
      <w:r w:rsidR="006221EA">
        <w:rPr>
          <w:rFonts w:ascii="Arial" w:hAnsi="Arial" w:cs="Arial"/>
          <w:bCs/>
          <w:sz w:val="22"/>
          <w:szCs w:val="22"/>
          <w:lang w:val="fr-FR"/>
        </w:rPr>
        <w:t>des</w:t>
      </w:r>
      <w:r w:rsidRPr="001F02D7">
        <w:rPr>
          <w:rFonts w:ascii="Arial" w:hAnsi="Arial" w:cs="Arial"/>
          <w:bCs/>
          <w:sz w:val="22"/>
          <w:szCs w:val="22"/>
          <w:lang w:val="fr-FR"/>
        </w:rPr>
        <w:t xml:space="preserve"> résultats grâce à son travail sur le terrain et </w:t>
      </w:r>
      <w:r>
        <w:rPr>
          <w:rFonts w:ascii="Arial" w:hAnsi="Arial" w:cs="Arial"/>
          <w:bCs/>
          <w:sz w:val="22"/>
          <w:szCs w:val="22"/>
          <w:lang w:val="fr-FR"/>
        </w:rPr>
        <w:t xml:space="preserve">en </w:t>
      </w:r>
      <w:r w:rsidRPr="001F02D7">
        <w:rPr>
          <w:rFonts w:ascii="Arial" w:hAnsi="Arial" w:cs="Arial"/>
          <w:bCs/>
          <w:sz w:val="22"/>
          <w:szCs w:val="22"/>
          <w:lang w:val="fr-FR"/>
        </w:rPr>
        <w:t>bénéfici</w:t>
      </w:r>
      <w:r>
        <w:rPr>
          <w:rFonts w:ascii="Arial" w:hAnsi="Arial" w:cs="Arial"/>
          <w:bCs/>
          <w:sz w:val="22"/>
          <w:szCs w:val="22"/>
          <w:lang w:val="fr-FR"/>
        </w:rPr>
        <w:t>ant</w:t>
      </w:r>
      <w:r w:rsidRPr="001F02D7">
        <w:rPr>
          <w:rFonts w:ascii="Arial" w:hAnsi="Arial" w:cs="Arial"/>
          <w:bCs/>
          <w:sz w:val="22"/>
          <w:szCs w:val="22"/>
          <w:lang w:val="fr-FR"/>
        </w:rPr>
        <w:t xml:space="preserve"> de l</w:t>
      </w:r>
      <w:r w:rsidR="008E532B">
        <w:rPr>
          <w:rFonts w:ascii="Arial" w:hAnsi="Arial" w:cs="Arial"/>
          <w:bCs/>
          <w:sz w:val="22"/>
          <w:szCs w:val="22"/>
          <w:lang w:val="fr-FR"/>
        </w:rPr>
        <w:t>’</w:t>
      </w:r>
      <w:r w:rsidRPr="001F02D7">
        <w:rPr>
          <w:rFonts w:ascii="Arial" w:hAnsi="Arial" w:cs="Arial"/>
          <w:bCs/>
          <w:sz w:val="22"/>
          <w:szCs w:val="22"/>
          <w:lang w:val="fr-FR"/>
        </w:rPr>
        <w:t>engagement de l</w:t>
      </w:r>
      <w:r w:rsidR="008E532B">
        <w:rPr>
          <w:rFonts w:ascii="Arial" w:hAnsi="Arial" w:cs="Arial"/>
          <w:bCs/>
          <w:sz w:val="22"/>
          <w:szCs w:val="22"/>
          <w:lang w:val="fr-FR"/>
        </w:rPr>
        <w:t>’</w:t>
      </w:r>
      <w:r w:rsidRPr="001F02D7">
        <w:rPr>
          <w:rFonts w:ascii="Arial" w:hAnsi="Arial" w:cs="Arial"/>
          <w:bCs/>
          <w:sz w:val="22"/>
          <w:szCs w:val="22"/>
          <w:lang w:val="fr-FR"/>
        </w:rPr>
        <w:t>État membre dans la mise en œuvre de la Convention. À ce</w:t>
      </w:r>
      <w:r>
        <w:rPr>
          <w:rFonts w:ascii="Arial" w:hAnsi="Arial" w:cs="Arial"/>
          <w:bCs/>
          <w:sz w:val="22"/>
          <w:szCs w:val="22"/>
          <w:lang w:val="fr-FR"/>
        </w:rPr>
        <w:t xml:space="preserve"> sujet</w:t>
      </w:r>
      <w:r w:rsidRPr="001F02D7">
        <w:rPr>
          <w:rFonts w:ascii="Arial" w:hAnsi="Arial" w:cs="Arial"/>
          <w:bCs/>
          <w:sz w:val="22"/>
          <w:szCs w:val="22"/>
          <w:lang w:val="fr-FR"/>
        </w:rPr>
        <w:t xml:space="preserve">, la délégation a exprimé son soutien à ce partenariat avec les ONG. Les représentants du Forum </w:t>
      </w:r>
      <w:r>
        <w:rPr>
          <w:rFonts w:ascii="Arial" w:hAnsi="Arial" w:cs="Arial"/>
          <w:bCs/>
          <w:sz w:val="22"/>
          <w:szCs w:val="22"/>
          <w:lang w:val="fr-FR"/>
        </w:rPr>
        <w:t>étaient</w:t>
      </w:r>
      <w:r w:rsidRPr="001F02D7">
        <w:rPr>
          <w:rFonts w:ascii="Arial" w:hAnsi="Arial" w:cs="Arial"/>
          <w:bCs/>
          <w:sz w:val="22"/>
          <w:szCs w:val="22"/>
          <w:lang w:val="fr-FR"/>
        </w:rPr>
        <w:t xml:space="preserve"> des partenaires dans les consultations informelles et même dans les groupes de travail informels à composition non limitée, dont les membres sont d</w:t>
      </w:r>
      <w:r>
        <w:rPr>
          <w:rFonts w:ascii="Arial" w:hAnsi="Arial" w:cs="Arial"/>
          <w:bCs/>
          <w:sz w:val="22"/>
          <w:szCs w:val="22"/>
          <w:lang w:val="fr-FR"/>
        </w:rPr>
        <w:t xml:space="preserve">es </w:t>
      </w:r>
      <w:r w:rsidRPr="001F02D7">
        <w:rPr>
          <w:rFonts w:ascii="Arial" w:hAnsi="Arial" w:cs="Arial"/>
          <w:bCs/>
          <w:sz w:val="22"/>
          <w:szCs w:val="22"/>
          <w:lang w:val="fr-FR"/>
        </w:rPr>
        <w:t>États parties.</w:t>
      </w:r>
    </w:p>
    <w:p w14:paraId="0EF0395E" w14:textId="2FC17407" w:rsidR="00D9653F" w:rsidRPr="00BA7488"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BA7488">
        <w:rPr>
          <w:rFonts w:ascii="Arial" w:hAnsi="Arial" w:cs="Arial"/>
          <w:b/>
          <w:bCs/>
          <w:sz w:val="22"/>
          <w:szCs w:val="22"/>
          <w:lang w:val="fr-FR"/>
        </w:rPr>
        <w:t>M. Laurier Turgeon</w:t>
      </w:r>
      <w:r w:rsidRPr="00BA7488">
        <w:rPr>
          <w:rFonts w:ascii="Arial" w:hAnsi="Arial" w:cs="Arial"/>
          <w:sz w:val="22"/>
          <w:szCs w:val="22"/>
          <w:lang w:val="fr-FR"/>
        </w:rPr>
        <w:t xml:space="preserve"> a fait remarquer que le Forum avait eu l</w:t>
      </w:r>
      <w:r w:rsidR="008E532B">
        <w:rPr>
          <w:rFonts w:ascii="Arial" w:hAnsi="Arial" w:cs="Arial"/>
          <w:sz w:val="22"/>
          <w:szCs w:val="22"/>
          <w:lang w:val="fr-FR"/>
        </w:rPr>
        <w:t>’</w:t>
      </w:r>
      <w:r w:rsidRPr="00BA7488">
        <w:rPr>
          <w:rFonts w:ascii="Arial" w:hAnsi="Arial" w:cs="Arial"/>
          <w:sz w:val="22"/>
          <w:szCs w:val="22"/>
          <w:lang w:val="fr-FR"/>
        </w:rPr>
        <w:t xml:space="preserve">occasion de travailler avec </w:t>
      </w:r>
      <w:r w:rsidR="008D65C3">
        <w:rPr>
          <w:rFonts w:ascii="Arial" w:hAnsi="Arial" w:cs="Arial"/>
          <w:sz w:val="22"/>
          <w:szCs w:val="22"/>
          <w:lang w:val="fr-FR"/>
        </w:rPr>
        <w:t>Mme</w:t>
      </w:r>
      <w:r>
        <w:rPr>
          <w:rFonts w:ascii="Arial" w:hAnsi="Arial" w:cs="Arial"/>
          <w:sz w:val="22"/>
          <w:szCs w:val="22"/>
          <w:lang w:val="fr-FR"/>
        </w:rPr>
        <w:t> </w:t>
      </w:r>
      <w:proofErr w:type="spellStart"/>
      <w:r w:rsidRPr="00BA7488">
        <w:rPr>
          <w:rFonts w:ascii="Arial" w:hAnsi="Arial" w:cs="Arial"/>
          <w:sz w:val="22"/>
          <w:szCs w:val="22"/>
          <w:lang w:val="fr-FR"/>
        </w:rPr>
        <w:t>Reme</w:t>
      </w:r>
      <w:proofErr w:type="spellEnd"/>
      <w:r w:rsidRPr="00BA7488">
        <w:rPr>
          <w:rFonts w:ascii="Arial" w:hAnsi="Arial" w:cs="Arial"/>
          <w:sz w:val="22"/>
          <w:szCs w:val="22"/>
          <w:lang w:val="fr-FR"/>
        </w:rPr>
        <w:t xml:space="preserve"> </w:t>
      </w:r>
      <w:proofErr w:type="spellStart"/>
      <w:r w:rsidRPr="00BA7488">
        <w:rPr>
          <w:rFonts w:ascii="Arial" w:hAnsi="Arial" w:cs="Arial"/>
          <w:sz w:val="22"/>
          <w:szCs w:val="22"/>
          <w:lang w:val="fr-FR"/>
        </w:rPr>
        <w:t>Sakr</w:t>
      </w:r>
      <w:proofErr w:type="spellEnd"/>
      <w:r w:rsidRPr="00BA7488">
        <w:rPr>
          <w:rFonts w:ascii="Arial" w:hAnsi="Arial" w:cs="Arial"/>
          <w:sz w:val="22"/>
          <w:szCs w:val="22"/>
          <w:lang w:val="fr-FR"/>
        </w:rPr>
        <w:t xml:space="preserve">, qui représentait le </w:t>
      </w:r>
      <w:proofErr w:type="spellStart"/>
      <w:r w:rsidRPr="00BA7488">
        <w:rPr>
          <w:rFonts w:ascii="Arial" w:hAnsi="Arial" w:cs="Arial"/>
          <w:sz w:val="22"/>
          <w:szCs w:val="22"/>
          <w:lang w:val="fr-FR"/>
        </w:rPr>
        <w:t>Syria</w:t>
      </w:r>
      <w:proofErr w:type="spellEnd"/>
      <w:r w:rsidRPr="00BA7488">
        <w:rPr>
          <w:rFonts w:ascii="Arial" w:hAnsi="Arial" w:cs="Arial"/>
          <w:sz w:val="22"/>
          <w:szCs w:val="22"/>
          <w:lang w:val="fr-FR"/>
        </w:rPr>
        <w:t xml:space="preserve"> Trust For </w:t>
      </w:r>
      <w:proofErr w:type="spellStart"/>
      <w:r w:rsidRPr="00BA7488">
        <w:rPr>
          <w:rFonts w:ascii="Arial" w:hAnsi="Arial" w:cs="Arial"/>
          <w:sz w:val="22"/>
          <w:szCs w:val="22"/>
          <w:lang w:val="fr-FR"/>
        </w:rPr>
        <w:t>Development</w:t>
      </w:r>
      <w:proofErr w:type="spellEnd"/>
      <w:r w:rsidRPr="00BA7488">
        <w:rPr>
          <w:rFonts w:ascii="Arial" w:hAnsi="Arial" w:cs="Arial"/>
          <w:sz w:val="22"/>
          <w:szCs w:val="22"/>
          <w:lang w:val="fr-FR"/>
        </w:rPr>
        <w:t xml:space="preserve">. Sa participation assidue et constante aux activités du Forum pendant quatre ans, ayant </w:t>
      </w:r>
      <w:r>
        <w:rPr>
          <w:rFonts w:ascii="Arial" w:hAnsi="Arial" w:cs="Arial"/>
          <w:sz w:val="22"/>
          <w:szCs w:val="22"/>
          <w:lang w:val="fr-FR"/>
        </w:rPr>
        <w:t xml:space="preserve">achevé </w:t>
      </w:r>
      <w:r w:rsidRPr="00BA7488">
        <w:rPr>
          <w:rFonts w:ascii="Arial" w:hAnsi="Arial" w:cs="Arial"/>
          <w:sz w:val="22"/>
          <w:szCs w:val="22"/>
          <w:lang w:val="fr-FR"/>
        </w:rPr>
        <w:t>son mandat en 2021, a</w:t>
      </w:r>
      <w:r>
        <w:rPr>
          <w:rFonts w:ascii="Arial" w:hAnsi="Arial" w:cs="Arial"/>
          <w:sz w:val="22"/>
          <w:szCs w:val="22"/>
          <w:lang w:val="fr-FR"/>
        </w:rPr>
        <w:t>vait</w:t>
      </w:r>
      <w:r w:rsidRPr="00BA7488">
        <w:rPr>
          <w:rFonts w:ascii="Arial" w:hAnsi="Arial" w:cs="Arial"/>
          <w:sz w:val="22"/>
          <w:szCs w:val="22"/>
          <w:lang w:val="fr-FR"/>
        </w:rPr>
        <w:t xml:space="preserve"> été très appréciée. Avec les anciens membres du </w:t>
      </w:r>
      <w:r>
        <w:rPr>
          <w:rFonts w:ascii="Arial" w:hAnsi="Arial" w:cs="Arial"/>
          <w:sz w:val="22"/>
          <w:szCs w:val="22"/>
          <w:lang w:val="fr-FR"/>
        </w:rPr>
        <w:t>C</w:t>
      </w:r>
      <w:r w:rsidRPr="00BA7488">
        <w:rPr>
          <w:rFonts w:ascii="Arial" w:hAnsi="Arial" w:cs="Arial"/>
          <w:sz w:val="22"/>
          <w:szCs w:val="22"/>
          <w:lang w:val="fr-FR"/>
        </w:rPr>
        <w:t>omité de gestion, elle avait participé aux activités des deux dernières années et donc, indirectement, à la préparation du rapport du Forum.</w:t>
      </w:r>
    </w:p>
    <w:p w14:paraId="30D5928E" w14:textId="66E16C0E" w:rsidR="00D9653F" w:rsidRPr="00BA7488"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BA7488">
        <w:rPr>
          <w:rFonts w:ascii="Arial" w:hAnsi="Arial" w:cs="Arial"/>
          <w:sz w:val="22"/>
          <w:szCs w:val="22"/>
          <w:lang w:val="fr-FR"/>
        </w:rPr>
        <w:t xml:space="preserve">La délégation </w:t>
      </w:r>
      <w:r>
        <w:rPr>
          <w:rFonts w:ascii="Arial" w:hAnsi="Arial" w:cs="Arial"/>
          <w:sz w:val="22"/>
          <w:szCs w:val="22"/>
          <w:lang w:val="fr-FR"/>
        </w:rPr>
        <w:t xml:space="preserve">de la </w:t>
      </w:r>
      <w:r w:rsidRPr="00BA7488">
        <w:rPr>
          <w:rFonts w:ascii="Arial" w:hAnsi="Arial" w:cs="Arial"/>
          <w:b/>
          <w:bCs/>
          <w:sz w:val="22"/>
          <w:szCs w:val="22"/>
          <w:lang w:val="fr-FR"/>
        </w:rPr>
        <w:t>Colombie</w:t>
      </w:r>
      <w:r w:rsidRPr="00BA7488">
        <w:rPr>
          <w:rFonts w:ascii="Arial" w:hAnsi="Arial" w:cs="Arial"/>
          <w:sz w:val="22"/>
          <w:szCs w:val="22"/>
          <w:lang w:val="fr-FR"/>
        </w:rPr>
        <w:t xml:space="preserve"> a remercié le </w:t>
      </w:r>
      <w:r>
        <w:rPr>
          <w:rFonts w:ascii="Arial" w:hAnsi="Arial" w:cs="Arial"/>
          <w:sz w:val="22"/>
          <w:szCs w:val="22"/>
          <w:lang w:val="fr-FR"/>
        </w:rPr>
        <w:t>P</w:t>
      </w:r>
      <w:r w:rsidRPr="00BA7488">
        <w:rPr>
          <w:rFonts w:ascii="Arial" w:hAnsi="Arial" w:cs="Arial"/>
          <w:sz w:val="22"/>
          <w:szCs w:val="22"/>
          <w:lang w:val="fr-FR"/>
        </w:rPr>
        <w:t>résident du Forum pour le rapport, ajoutant que la Colombie particip</w:t>
      </w:r>
      <w:r>
        <w:rPr>
          <w:rFonts w:ascii="Arial" w:hAnsi="Arial" w:cs="Arial"/>
          <w:sz w:val="22"/>
          <w:szCs w:val="22"/>
          <w:lang w:val="fr-FR"/>
        </w:rPr>
        <w:t>ait</w:t>
      </w:r>
      <w:r w:rsidRPr="00BA7488">
        <w:rPr>
          <w:rFonts w:ascii="Arial" w:hAnsi="Arial" w:cs="Arial"/>
          <w:sz w:val="22"/>
          <w:szCs w:val="22"/>
          <w:lang w:val="fr-FR"/>
        </w:rPr>
        <w:t xml:space="preserve"> très activement au fonctionnement de ces groupes de travail depuis plusieurs années, dont les résultats </w:t>
      </w:r>
      <w:r>
        <w:rPr>
          <w:rFonts w:ascii="Arial" w:hAnsi="Arial" w:cs="Arial"/>
          <w:sz w:val="22"/>
          <w:szCs w:val="22"/>
          <w:lang w:val="fr-FR"/>
        </w:rPr>
        <w:t>avaient</w:t>
      </w:r>
      <w:r w:rsidRPr="00BA7488">
        <w:rPr>
          <w:rFonts w:ascii="Arial" w:hAnsi="Arial" w:cs="Arial"/>
          <w:sz w:val="22"/>
          <w:szCs w:val="22"/>
          <w:lang w:val="fr-FR"/>
        </w:rPr>
        <w:t xml:space="preserve"> été très fructueux. Elle a félicité et remercié le Forum pour son travail, notant les grands progrès réalisés au cours des deux dernières années. Le Forum attei</w:t>
      </w:r>
      <w:r>
        <w:rPr>
          <w:rFonts w:ascii="Arial" w:hAnsi="Arial" w:cs="Arial"/>
          <w:sz w:val="22"/>
          <w:szCs w:val="22"/>
          <w:lang w:val="fr-FR"/>
        </w:rPr>
        <w:t>gnait</w:t>
      </w:r>
      <w:r w:rsidRPr="00BA7488">
        <w:rPr>
          <w:rFonts w:ascii="Arial" w:hAnsi="Arial" w:cs="Arial"/>
          <w:sz w:val="22"/>
          <w:szCs w:val="22"/>
          <w:lang w:val="fr-FR"/>
        </w:rPr>
        <w:t xml:space="preserve"> sa pleine maturité</w:t>
      </w:r>
      <w:r>
        <w:rPr>
          <w:rFonts w:ascii="Arial" w:hAnsi="Arial" w:cs="Arial"/>
          <w:sz w:val="22"/>
          <w:szCs w:val="22"/>
          <w:lang w:val="fr-FR"/>
        </w:rPr>
        <w:t>,</w:t>
      </w:r>
      <w:r w:rsidRPr="00BA7488">
        <w:rPr>
          <w:rFonts w:ascii="Arial" w:hAnsi="Arial" w:cs="Arial"/>
          <w:sz w:val="22"/>
          <w:szCs w:val="22"/>
          <w:lang w:val="fr-FR"/>
        </w:rPr>
        <w:t xml:space="preserve"> et elle esp</w:t>
      </w:r>
      <w:r>
        <w:rPr>
          <w:rFonts w:ascii="Arial" w:hAnsi="Arial" w:cs="Arial"/>
          <w:sz w:val="22"/>
          <w:szCs w:val="22"/>
          <w:lang w:val="fr-FR"/>
        </w:rPr>
        <w:t>érait</w:t>
      </w:r>
      <w:r w:rsidRPr="00BA7488">
        <w:rPr>
          <w:rFonts w:ascii="Arial" w:hAnsi="Arial" w:cs="Arial"/>
          <w:sz w:val="22"/>
          <w:szCs w:val="22"/>
          <w:lang w:val="fr-FR"/>
        </w:rPr>
        <w:t xml:space="preserve"> que cela profitera</w:t>
      </w:r>
      <w:r>
        <w:rPr>
          <w:rFonts w:ascii="Arial" w:hAnsi="Arial" w:cs="Arial"/>
          <w:sz w:val="22"/>
          <w:szCs w:val="22"/>
          <w:lang w:val="fr-FR"/>
        </w:rPr>
        <w:t>it</w:t>
      </w:r>
      <w:r w:rsidRPr="00BA7488">
        <w:rPr>
          <w:rFonts w:ascii="Arial" w:hAnsi="Arial" w:cs="Arial"/>
          <w:sz w:val="22"/>
          <w:szCs w:val="22"/>
          <w:lang w:val="fr-FR"/>
        </w:rPr>
        <w:t xml:space="preserve"> à la mise en œuvre de la Convention. La Colombie</w:t>
      </w:r>
      <w:r>
        <w:rPr>
          <w:rFonts w:ascii="Arial" w:hAnsi="Arial" w:cs="Arial"/>
          <w:sz w:val="22"/>
          <w:szCs w:val="22"/>
          <w:lang w:val="fr-FR"/>
        </w:rPr>
        <w:t xml:space="preserve">, dont </w:t>
      </w:r>
      <w:r w:rsidRPr="00BA7488">
        <w:rPr>
          <w:rFonts w:ascii="Arial" w:hAnsi="Arial" w:cs="Arial"/>
          <w:sz w:val="22"/>
          <w:szCs w:val="22"/>
          <w:lang w:val="fr-FR"/>
        </w:rPr>
        <w:t xml:space="preserve">une ONG </w:t>
      </w:r>
      <w:r>
        <w:rPr>
          <w:rFonts w:ascii="Arial" w:hAnsi="Arial" w:cs="Arial"/>
          <w:sz w:val="22"/>
          <w:szCs w:val="22"/>
          <w:lang w:val="fr-FR"/>
        </w:rPr>
        <w:t>était membre de</w:t>
      </w:r>
      <w:r w:rsidRPr="00BA7488">
        <w:rPr>
          <w:rFonts w:ascii="Arial" w:hAnsi="Arial" w:cs="Arial"/>
          <w:sz w:val="22"/>
          <w:szCs w:val="22"/>
          <w:lang w:val="fr-FR"/>
        </w:rPr>
        <w:t xml:space="preserve"> l</w:t>
      </w:r>
      <w:r w:rsidR="008E532B">
        <w:rPr>
          <w:rFonts w:ascii="Arial" w:hAnsi="Arial" w:cs="Arial"/>
          <w:sz w:val="22"/>
          <w:szCs w:val="22"/>
          <w:lang w:val="fr-FR"/>
        </w:rPr>
        <w:t>’</w:t>
      </w:r>
      <w:r w:rsidRPr="00BA7488">
        <w:rPr>
          <w:rFonts w:ascii="Arial" w:hAnsi="Arial" w:cs="Arial"/>
          <w:sz w:val="22"/>
          <w:szCs w:val="22"/>
          <w:lang w:val="fr-FR"/>
        </w:rPr>
        <w:t>Organe d</w:t>
      </w:r>
      <w:r w:rsidR="008E532B">
        <w:rPr>
          <w:rFonts w:ascii="Arial" w:hAnsi="Arial" w:cs="Arial"/>
          <w:sz w:val="22"/>
          <w:szCs w:val="22"/>
          <w:lang w:val="fr-FR"/>
        </w:rPr>
        <w:t>’</w:t>
      </w:r>
      <w:r w:rsidRPr="00BA7488">
        <w:rPr>
          <w:rFonts w:ascii="Arial" w:hAnsi="Arial" w:cs="Arial"/>
          <w:sz w:val="22"/>
          <w:szCs w:val="22"/>
          <w:lang w:val="fr-FR"/>
        </w:rPr>
        <w:t>évaluation et</w:t>
      </w:r>
      <w:r>
        <w:rPr>
          <w:rFonts w:ascii="Arial" w:hAnsi="Arial" w:cs="Arial"/>
          <w:sz w:val="22"/>
          <w:szCs w:val="22"/>
          <w:lang w:val="fr-FR"/>
        </w:rPr>
        <w:t>, désormais, du</w:t>
      </w:r>
      <w:r w:rsidRPr="00BA7488">
        <w:rPr>
          <w:rFonts w:ascii="Arial" w:hAnsi="Arial" w:cs="Arial"/>
          <w:sz w:val="22"/>
          <w:szCs w:val="22"/>
          <w:lang w:val="fr-FR"/>
        </w:rPr>
        <w:t xml:space="preserve"> Forum, </w:t>
      </w:r>
      <w:r>
        <w:rPr>
          <w:rFonts w:ascii="Arial" w:hAnsi="Arial" w:cs="Arial"/>
          <w:sz w:val="22"/>
          <w:szCs w:val="22"/>
          <w:lang w:val="fr-FR"/>
        </w:rPr>
        <w:t xml:space="preserve">était </w:t>
      </w:r>
      <w:r w:rsidRPr="00BA7488">
        <w:rPr>
          <w:rFonts w:ascii="Arial" w:hAnsi="Arial" w:cs="Arial"/>
          <w:sz w:val="22"/>
          <w:szCs w:val="22"/>
          <w:lang w:val="fr-FR"/>
        </w:rPr>
        <w:t>convaincue que le travail effectué s</w:t>
      </w:r>
      <w:r w:rsidR="008E532B">
        <w:rPr>
          <w:rFonts w:ascii="Arial" w:hAnsi="Arial" w:cs="Arial"/>
          <w:sz w:val="22"/>
          <w:szCs w:val="22"/>
          <w:lang w:val="fr-FR"/>
        </w:rPr>
        <w:t>’</w:t>
      </w:r>
      <w:r w:rsidRPr="00BA7488">
        <w:rPr>
          <w:rFonts w:ascii="Arial" w:hAnsi="Arial" w:cs="Arial"/>
          <w:sz w:val="22"/>
          <w:szCs w:val="22"/>
          <w:lang w:val="fr-FR"/>
        </w:rPr>
        <w:t>avérera</w:t>
      </w:r>
      <w:r>
        <w:rPr>
          <w:rFonts w:ascii="Arial" w:hAnsi="Arial" w:cs="Arial"/>
          <w:sz w:val="22"/>
          <w:szCs w:val="22"/>
          <w:lang w:val="fr-FR"/>
        </w:rPr>
        <w:t>it</w:t>
      </w:r>
      <w:r w:rsidRPr="00BA7488">
        <w:rPr>
          <w:rFonts w:ascii="Arial" w:hAnsi="Arial" w:cs="Arial"/>
          <w:sz w:val="22"/>
          <w:szCs w:val="22"/>
          <w:lang w:val="fr-FR"/>
        </w:rPr>
        <w:t xml:space="preserve"> très intéressant pour toutes les parties.</w:t>
      </w:r>
    </w:p>
    <w:p w14:paraId="0C642F66" w14:textId="7182F1E7" w:rsidR="00D9653F" w:rsidRPr="001F3BCC"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1F3BCC">
        <w:rPr>
          <w:rFonts w:ascii="Arial" w:hAnsi="Arial" w:cs="Arial"/>
          <w:sz w:val="22"/>
          <w:szCs w:val="22"/>
          <w:lang w:val="fr-FR"/>
        </w:rPr>
        <w:t xml:space="preserve">La délégation du </w:t>
      </w:r>
      <w:r w:rsidRPr="001F3BCC">
        <w:rPr>
          <w:rFonts w:ascii="Arial" w:hAnsi="Arial" w:cs="Arial"/>
          <w:b/>
          <w:bCs/>
          <w:sz w:val="22"/>
          <w:szCs w:val="22"/>
          <w:lang w:val="fr-FR"/>
        </w:rPr>
        <w:t>Mexique</w:t>
      </w:r>
      <w:r w:rsidRPr="001F3BCC">
        <w:rPr>
          <w:rFonts w:ascii="Arial" w:hAnsi="Arial" w:cs="Arial"/>
          <w:sz w:val="22"/>
          <w:szCs w:val="22"/>
          <w:lang w:val="fr-FR"/>
        </w:rPr>
        <w:t xml:space="preserve"> a exprimé ses remerciements pour le rapport détaillé du Forum. Elle a</w:t>
      </w:r>
      <w:r>
        <w:rPr>
          <w:rFonts w:ascii="Arial" w:hAnsi="Arial" w:cs="Arial"/>
          <w:sz w:val="22"/>
          <w:szCs w:val="22"/>
          <w:lang w:val="fr-FR"/>
        </w:rPr>
        <w:t xml:space="preserve">ppréciait tout </w:t>
      </w:r>
      <w:r w:rsidRPr="001F3BCC">
        <w:rPr>
          <w:rFonts w:ascii="Arial" w:hAnsi="Arial" w:cs="Arial"/>
          <w:sz w:val="22"/>
          <w:szCs w:val="22"/>
          <w:lang w:val="fr-FR"/>
        </w:rPr>
        <w:t>particulièrement l</w:t>
      </w:r>
      <w:r w:rsidR="008E532B">
        <w:rPr>
          <w:rFonts w:ascii="Arial" w:hAnsi="Arial" w:cs="Arial"/>
          <w:sz w:val="22"/>
          <w:szCs w:val="22"/>
          <w:lang w:val="fr-FR"/>
        </w:rPr>
        <w:t>’</w:t>
      </w:r>
      <w:r w:rsidRPr="001F3BCC">
        <w:rPr>
          <w:rFonts w:ascii="Arial" w:hAnsi="Arial" w:cs="Arial"/>
          <w:sz w:val="22"/>
          <w:szCs w:val="22"/>
          <w:lang w:val="fr-FR"/>
        </w:rPr>
        <w:t>engagement à accroître la représentation géographique des régions géographiques sous-représentées. La délégation a demandé à M.</w:t>
      </w:r>
      <w:r>
        <w:rPr>
          <w:rFonts w:ascii="Arial" w:hAnsi="Arial" w:cs="Arial"/>
          <w:sz w:val="22"/>
          <w:szCs w:val="22"/>
          <w:lang w:val="fr-FR"/>
        </w:rPr>
        <w:t> </w:t>
      </w:r>
      <w:r w:rsidRPr="001F3BCC">
        <w:rPr>
          <w:rFonts w:ascii="Arial" w:hAnsi="Arial" w:cs="Arial"/>
          <w:sz w:val="22"/>
          <w:szCs w:val="22"/>
          <w:lang w:val="fr-FR"/>
        </w:rPr>
        <w:t>Turgeon d</w:t>
      </w:r>
      <w:r w:rsidR="008E532B">
        <w:rPr>
          <w:rFonts w:ascii="Arial" w:hAnsi="Arial" w:cs="Arial"/>
          <w:sz w:val="22"/>
          <w:szCs w:val="22"/>
          <w:lang w:val="fr-FR"/>
        </w:rPr>
        <w:t>’</w:t>
      </w:r>
      <w:r w:rsidRPr="001F3BCC">
        <w:rPr>
          <w:rFonts w:ascii="Arial" w:hAnsi="Arial" w:cs="Arial"/>
          <w:sz w:val="22"/>
          <w:szCs w:val="22"/>
          <w:lang w:val="fr-FR"/>
        </w:rPr>
        <w:t>expliquer cette stratégie et de préciser si le Mexique pouvait y contribuer.</w:t>
      </w:r>
    </w:p>
    <w:p w14:paraId="7A7B1F69" w14:textId="16E4740B" w:rsidR="00D9653F" w:rsidRPr="001F3BCC"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1F3BCC">
        <w:rPr>
          <w:rFonts w:ascii="Arial" w:hAnsi="Arial" w:cs="Arial"/>
          <w:sz w:val="22"/>
          <w:szCs w:val="22"/>
          <w:lang w:val="fr-FR"/>
        </w:rPr>
        <w:t xml:space="preserve">La délégation </w:t>
      </w:r>
      <w:r>
        <w:rPr>
          <w:rFonts w:ascii="Arial" w:hAnsi="Arial" w:cs="Arial"/>
          <w:sz w:val="22"/>
          <w:szCs w:val="22"/>
          <w:lang w:val="fr-FR"/>
        </w:rPr>
        <w:t xml:space="preserve">du </w:t>
      </w:r>
      <w:r w:rsidRPr="001F3BCC">
        <w:rPr>
          <w:rFonts w:ascii="Arial" w:hAnsi="Arial" w:cs="Arial"/>
          <w:b/>
          <w:bCs/>
          <w:sz w:val="22"/>
          <w:szCs w:val="22"/>
          <w:lang w:val="fr-FR"/>
        </w:rPr>
        <w:t>Brésil</w:t>
      </w:r>
      <w:r>
        <w:rPr>
          <w:rFonts w:ascii="Arial" w:hAnsi="Arial" w:cs="Arial"/>
          <w:sz w:val="22"/>
          <w:szCs w:val="22"/>
          <w:lang w:val="fr-FR"/>
        </w:rPr>
        <w:t xml:space="preserve"> </w:t>
      </w:r>
      <w:r w:rsidRPr="001F3BCC">
        <w:rPr>
          <w:rFonts w:ascii="Arial" w:hAnsi="Arial" w:cs="Arial"/>
          <w:sz w:val="22"/>
          <w:szCs w:val="22"/>
          <w:lang w:val="fr-FR"/>
        </w:rPr>
        <w:t>a expliqué que le travail avec la société civile est fondamental pour renforcer la Convention de 2003, tant qu</w:t>
      </w:r>
      <w:r w:rsidR="008E532B">
        <w:rPr>
          <w:rFonts w:ascii="Arial" w:hAnsi="Arial" w:cs="Arial"/>
          <w:sz w:val="22"/>
          <w:szCs w:val="22"/>
          <w:lang w:val="fr-FR"/>
        </w:rPr>
        <w:t>’</w:t>
      </w:r>
      <w:r w:rsidRPr="001F3BCC">
        <w:rPr>
          <w:rFonts w:ascii="Arial" w:hAnsi="Arial" w:cs="Arial"/>
          <w:sz w:val="22"/>
          <w:szCs w:val="22"/>
          <w:lang w:val="fr-FR"/>
        </w:rPr>
        <w:t>elle continue à se concentrer sur le rôle des communautés locales. C</w:t>
      </w:r>
      <w:r w:rsidR="008E532B">
        <w:rPr>
          <w:rFonts w:ascii="Arial" w:hAnsi="Arial" w:cs="Arial"/>
          <w:sz w:val="22"/>
          <w:szCs w:val="22"/>
          <w:lang w:val="fr-FR"/>
        </w:rPr>
        <w:t>’</w:t>
      </w:r>
      <w:r>
        <w:rPr>
          <w:rFonts w:ascii="Arial" w:hAnsi="Arial" w:cs="Arial"/>
          <w:sz w:val="22"/>
          <w:szCs w:val="22"/>
          <w:lang w:val="fr-FR"/>
        </w:rPr>
        <w:t>est la raison pour laquelle</w:t>
      </w:r>
      <w:r w:rsidRPr="001F3BCC">
        <w:rPr>
          <w:rFonts w:ascii="Arial" w:hAnsi="Arial" w:cs="Arial"/>
          <w:sz w:val="22"/>
          <w:szCs w:val="22"/>
          <w:lang w:val="fr-FR"/>
        </w:rPr>
        <w:t xml:space="preserve"> le Brésil sout</w:t>
      </w:r>
      <w:r>
        <w:rPr>
          <w:rFonts w:ascii="Arial" w:hAnsi="Arial" w:cs="Arial"/>
          <w:sz w:val="22"/>
          <w:szCs w:val="22"/>
          <w:lang w:val="fr-FR"/>
        </w:rPr>
        <w:t>enait</w:t>
      </w:r>
      <w:r w:rsidRPr="001F3BCC">
        <w:rPr>
          <w:rFonts w:ascii="Arial" w:hAnsi="Arial" w:cs="Arial"/>
          <w:sz w:val="22"/>
          <w:szCs w:val="22"/>
          <w:lang w:val="fr-FR"/>
        </w:rPr>
        <w:t xml:space="preserve"> l</w:t>
      </w:r>
      <w:r w:rsidR="008E532B">
        <w:rPr>
          <w:rFonts w:ascii="Arial" w:hAnsi="Arial" w:cs="Arial"/>
          <w:sz w:val="22"/>
          <w:szCs w:val="22"/>
          <w:lang w:val="fr-FR"/>
        </w:rPr>
        <w:t>’</w:t>
      </w:r>
      <w:r w:rsidRPr="001F3BCC">
        <w:rPr>
          <w:rFonts w:ascii="Arial" w:hAnsi="Arial" w:cs="Arial"/>
          <w:sz w:val="22"/>
          <w:szCs w:val="22"/>
          <w:lang w:val="fr-FR"/>
        </w:rPr>
        <w:t>amendement présenté par le Mexique qui vis</w:t>
      </w:r>
      <w:r>
        <w:rPr>
          <w:rFonts w:ascii="Arial" w:hAnsi="Arial" w:cs="Arial"/>
          <w:sz w:val="22"/>
          <w:szCs w:val="22"/>
          <w:lang w:val="fr-FR"/>
        </w:rPr>
        <w:t>ait</w:t>
      </w:r>
      <w:r w:rsidRPr="001F3BCC">
        <w:rPr>
          <w:rFonts w:ascii="Arial" w:hAnsi="Arial" w:cs="Arial"/>
          <w:sz w:val="22"/>
          <w:szCs w:val="22"/>
          <w:lang w:val="fr-FR"/>
        </w:rPr>
        <w:t xml:space="preserve"> à assurer une meilleure représentation géographique, tout en renforçant le rôle des ONG dans la Convention. Les ONG </w:t>
      </w:r>
      <w:r>
        <w:rPr>
          <w:rFonts w:ascii="Arial" w:hAnsi="Arial" w:cs="Arial"/>
          <w:sz w:val="22"/>
          <w:szCs w:val="22"/>
          <w:lang w:val="fr-FR"/>
        </w:rPr>
        <w:t xml:space="preserve">étaient </w:t>
      </w:r>
      <w:r w:rsidRPr="001F3BCC">
        <w:rPr>
          <w:rFonts w:ascii="Arial" w:hAnsi="Arial" w:cs="Arial"/>
          <w:sz w:val="22"/>
          <w:szCs w:val="22"/>
          <w:lang w:val="fr-FR"/>
        </w:rPr>
        <w:t xml:space="preserve">des acteurs locaux et </w:t>
      </w:r>
      <w:r>
        <w:rPr>
          <w:rFonts w:ascii="Arial" w:hAnsi="Arial" w:cs="Arial"/>
          <w:sz w:val="22"/>
          <w:szCs w:val="22"/>
          <w:lang w:val="fr-FR"/>
        </w:rPr>
        <w:t xml:space="preserve">étaient </w:t>
      </w:r>
      <w:r w:rsidRPr="001F3BCC">
        <w:rPr>
          <w:rFonts w:ascii="Arial" w:hAnsi="Arial" w:cs="Arial"/>
          <w:sz w:val="22"/>
          <w:szCs w:val="22"/>
          <w:lang w:val="fr-FR"/>
        </w:rPr>
        <w:t xml:space="preserve">donc fondamentales pour assurer la participation de la société civile à la mise en œuvre de la Convention. Dès lors que ces organisations </w:t>
      </w:r>
      <w:r>
        <w:rPr>
          <w:rFonts w:ascii="Arial" w:hAnsi="Arial" w:cs="Arial"/>
          <w:sz w:val="22"/>
          <w:szCs w:val="22"/>
          <w:lang w:val="fr-FR"/>
        </w:rPr>
        <w:t xml:space="preserve">étaient </w:t>
      </w:r>
      <w:r w:rsidRPr="001F3BCC">
        <w:rPr>
          <w:rFonts w:ascii="Arial" w:hAnsi="Arial" w:cs="Arial"/>
          <w:sz w:val="22"/>
          <w:szCs w:val="22"/>
          <w:lang w:val="fr-FR"/>
        </w:rPr>
        <w:t xml:space="preserve">mieux à même de travailler directement avec les communautés de </w:t>
      </w:r>
      <w:r>
        <w:rPr>
          <w:rFonts w:ascii="Arial" w:hAnsi="Arial" w:cs="Arial"/>
          <w:sz w:val="22"/>
          <w:szCs w:val="22"/>
          <w:lang w:val="fr-FR"/>
        </w:rPr>
        <w:t>détenteurs</w:t>
      </w:r>
      <w:r w:rsidRPr="001F3BCC">
        <w:rPr>
          <w:rFonts w:ascii="Arial" w:hAnsi="Arial" w:cs="Arial"/>
          <w:sz w:val="22"/>
          <w:szCs w:val="22"/>
          <w:lang w:val="fr-FR"/>
        </w:rPr>
        <w:t>, l</w:t>
      </w:r>
      <w:r w:rsidR="008E532B">
        <w:rPr>
          <w:rFonts w:ascii="Arial" w:hAnsi="Arial" w:cs="Arial"/>
          <w:sz w:val="22"/>
          <w:szCs w:val="22"/>
          <w:lang w:val="fr-FR"/>
        </w:rPr>
        <w:t>’</w:t>
      </w:r>
      <w:r w:rsidRPr="001F3BCC">
        <w:rPr>
          <w:rFonts w:ascii="Arial" w:hAnsi="Arial" w:cs="Arial"/>
          <w:sz w:val="22"/>
          <w:szCs w:val="22"/>
          <w:lang w:val="fr-FR"/>
        </w:rPr>
        <w:t>Assemblée d</w:t>
      </w:r>
      <w:r>
        <w:rPr>
          <w:rFonts w:ascii="Arial" w:hAnsi="Arial" w:cs="Arial"/>
          <w:sz w:val="22"/>
          <w:szCs w:val="22"/>
          <w:lang w:val="fr-FR"/>
        </w:rPr>
        <w:t>evait</w:t>
      </w:r>
      <w:r w:rsidRPr="001F3BCC">
        <w:rPr>
          <w:rFonts w:ascii="Arial" w:hAnsi="Arial" w:cs="Arial"/>
          <w:sz w:val="22"/>
          <w:szCs w:val="22"/>
          <w:lang w:val="fr-FR"/>
        </w:rPr>
        <w:t xml:space="preserve"> s</w:t>
      </w:r>
      <w:r w:rsidR="008E532B">
        <w:rPr>
          <w:rFonts w:ascii="Arial" w:hAnsi="Arial" w:cs="Arial"/>
          <w:sz w:val="22"/>
          <w:szCs w:val="22"/>
          <w:lang w:val="fr-FR"/>
        </w:rPr>
        <w:t>’</w:t>
      </w:r>
      <w:r w:rsidRPr="001F3BCC">
        <w:rPr>
          <w:rFonts w:ascii="Arial" w:hAnsi="Arial" w:cs="Arial"/>
          <w:sz w:val="22"/>
          <w:szCs w:val="22"/>
          <w:lang w:val="fr-FR"/>
        </w:rPr>
        <w:t>assurer que les organisations accréditées</w:t>
      </w:r>
      <w:r>
        <w:rPr>
          <w:rFonts w:ascii="Arial" w:hAnsi="Arial" w:cs="Arial"/>
          <w:sz w:val="22"/>
          <w:szCs w:val="22"/>
          <w:lang w:val="fr-FR"/>
        </w:rPr>
        <w:t xml:space="preserve"> disposent des</w:t>
      </w:r>
      <w:r w:rsidRPr="001F3BCC">
        <w:rPr>
          <w:rFonts w:ascii="Arial" w:hAnsi="Arial" w:cs="Arial"/>
          <w:sz w:val="22"/>
          <w:szCs w:val="22"/>
          <w:lang w:val="fr-FR"/>
        </w:rPr>
        <w:t xml:space="preserve"> capacité</w:t>
      </w:r>
      <w:r>
        <w:rPr>
          <w:rFonts w:ascii="Arial" w:hAnsi="Arial" w:cs="Arial"/>
          <w:sz w:val="22"/>
          <w:szCs w:val="22"/>
          <w:lang w:val="fr-FR"/>
        </w:rPr>
        <w:t>s</w:t>
      </w:r>
      <w:r w:rsidRPr="001F3BCC">
        <w:rPr>
          <w:rFonts w:ascii="Arial" w:hAnsi="Arial" w:cs="Arial"/>
          <w:sz w:val="22"/>
          <w:szCs w:val="22"/>
          <w:lang w:val="fr-FR"/>
        </w:rPr>
        <w:t xml:space="preserve"> technique</w:t>
      </w:r>
      <w:r>
        <w:rPr>
          <w:rFonts w:ascii="Arial" w:hAnsi="Arial" w:cs="Arial"/>
          <w:sz w:val="22"/>
          <w:szCs w:val="22"/>
          <w:lang w:val="fr-FR"/>
        </w:rPr>
        <w:t>s</w:t>
      </w:r>
      <w:r w:rsidRPr="001F3BCC">
        <w:rPr>
          <w:rFonts w:ascii="Arial" w:hAnsi="Arial" w:cs="Arial"/>
          <w:sz w:val="22"/>
          <w:szCs w:val="22"/>
          <w:lang w:val="fr-FR"/>
        </w:rPr>
        <w:t xml:space="preserve"> </w:t>
      </w:r>
      <w:r>
        <w:rPr>
          <w:rFonts w:ascii="Arial" w:hAnsi="Arial" w:cs="Arial"/>
          <w:sz w:val="22"/>
          <w:szCs w:val="22"/>
          <w:lang w:val="fr-FR"/>
        </w:rPr>
        <w:t xml:space="preserve">nécessaires </w:t>
      </w:r>
      <w:r w:rsidRPr="001F3BCC">
        <w:rPr>
          <w:rFonts w:ascii="Arial" w:hAnsi="Arial" w:cs="Arial"/>
          <w:sz w:val="22"/>
          <w:szCs w:val="22"/>
          <w:lang w:val="fr-FR"/>
        </w:rPr>
        <w:t>et partag</w:t>
      </w:r>
      <w:r>
        <w:rPr>
          <w:rFonts w:ascii="Arial" w:hAnsi="Arial" w:cs="Arial"/>
          <w:sz w:val="22"/>
          <w:szCs w:val="22"/>
          <w:lang w:val="fr-FR"/>
        </w:rPr>
        <w:t>e</w:t>
      </w:r>
      <w:r w:rsidRPr="001F3BCC">
        <w:rPr>
          <w:rFonts w:ascii="Arial" w:hAnsi="Arial" w:cs="Arial"/>
          <w:sz w:val="22"/>
          <w:szCs w:val="22"/>
          <w:lang w:val="fr-FR"/>
        </w:rPr>
        <w:t>nt les valeurs de l</w:t>
      </w:r>
      <w:r w:rsidR="008E532B">
        <w:rPr>
          <w:rFonts w:ascii="Arial" w:hAnsi="Arial" w:cs="Arial"/>
          <w:sz w:val="22"/>
          <w:szCs w:val="22"/>
          <w:lang w:val="fr-FR"/>
        </w:rPr>
        <w:t>’</w:t>
      </w:r>
      <w:r w:rsidRPr="001F3BCC">
        <w:rPr>
          <w:rFonts w:ascii="Arial" w:hAnsi="Arial" w:cs="Arial"/>
          <w:sz w:val="22"/>
          <w:szCs w:val="22"/>
          <w:lang w:val="fr-FR"/>
        </w:rPr>
        <w:t>UNESCO et des pays où elles travaillent pour assurer la sauvegarde, le développement et l</w:t>
      </w:r>
      <w:r w:rsidR="008E532B">
        <w:rPr>
          <w:rFonts w:ascii="Arial" w:hAnsi="Arial" w:cs="Arial"/>
          <w:sz w:val="22"/>
          <w:szCs w:val="22"/>
          <w:lang w:val="fr-FR"/>
        </w:rPr>
        <w:t>’</w:t>
      </w:r>
      <w:r w:rsidRPr="001F3BCC">
        <w:rPr>
          <w:rFonts w:ascii="Arial" w:hAnsi="Arial" w:cs="Arial"/>
          <w:sz w:val="22"/>
          <w:szCs w:val="22"/>
          <w:lang w:val="fr-FR"/>
        </w:rPr>
        <w:t xml:space="preserve">évaluation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F3BCC">
        <w:rPr>
          <w:rFonts w:ascii="Arial" w:hAnsi="Arial" w:cs="Arial"/>
          <w:sz w:val="22"/>
          <w:szCs w:val="22"/>
          <w:lang w:val="fr-FR"/>
        </w:rPr>
        <w:t>présent sur l</w:t>
      </w:r>
      <w:r w:rsidR="008E532B">
        <w:rPr>
          <w:rFonts w:ascii="Arial" w:hAnsi="Arial" w:cs="Arial"/>
          <w:sz w:val="22"/>
          <w:szCs w:val="22"/>
          <w:lang w:val="fr-FR"/>
        </w:rPr>
        <w:t>’</w:t>
      </w:r>
      <w:r w:rsidRPr="001F3BCC">
        <w:rPr>
          <w:rFonts w:ascii="Arial" w:hAnsi="Arial" w:cs="Arial"/>
          <w:sz w:val="22"/>
          <w:szCs w:val="22"/>
          <w:lang w:val="fr-FR"/>
        </w:rPr>
        <w:t>ensemble de leurs territoires. Les ONG d</w:t>
      </w:r>
      <w:r>
        <w:rPr>
          <w:rFonts w:ascii="Arial" w:hAnsi="Arial" w:cs="Arial"/>
          <w:sz w:val="22"/>
          <w:szCs w:val="22"/>
          <w:lang w:val="fr-FR"/>
        </w:rPr>
        <w:t>evaient</w:t>
      </w:r>
      <w:r w:rsidRPr="001F3BCC">
        <w:rPr>
          <w:rFonts w:ascii="Arial" w:hAnsi="Arial" w:cs="Arial"/>
          <w:sz w:val="22"/>
          <w:szCs w:val="22"/>
          <w:lang w:val="fr-FR"/>
        </w:rPr>
        <w:t xml:space="preserve"> s</w:t>
      </w:r>
      <w:r w:rsidR="008E532B">
        <w:rPr>
          <w:rFonts w:ascii="Arial" w:hAnsi="Arial" w:cs="Arial"/>
          <w:sz w:val="22"/>
          <w:szCs w:val="22"/>
          <w:lang w:val="fr-FR"/>
        </w:rPr>
        <w:t>’</w:t>
      </w:r>
      <w:r w:rsidRPr="001F3BCC">
        <w:rPr>
          <w:rFonts w:ascii="Arial" w:hAnsi="Arial" w:cs="Arial"/>
          <w:sz w:val="22"/>
          <w:szCs w:val="22"/>
          <w:lang w:val="fr-FR"/>
        </w:rPr>
        <w:t xml:space="preserve">engager </w:t>
      </w:r>
      <w:r>
        <w:rPr>
          <w:rFonts w:ascii="Arial" w:hAnsi="Arial" w:cs="Arial"/>
          <w:sz w:val="22"/>
          <w:szCs w:val="22"/>
          <w:lang w:val="fr-FR"/>
        </w:rPr>
        <w:t xml:space="preserve">non seulement à </w:t>
      </w:r>
      <w:r w:rsidRPr="001F3BCC">
        <w:rPr>
          <w:rFonts w:ascii="Arial" w:hAnsi="Arial" w:cs="Arial"/>
          <w:sz w:val="22"/>
          <w:szCs w:val="22"/>
          <w:lang w:val="fr-FR"/>
        </w:rPr>
        <w:t xml:space="preserve">respecter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F3BCC">
        <w:rPr>
          <w:rFonts w:ascii="Arial" w:hAnsi="Arial" w:cs="Arial"/>
          <w:sz w:val="22"/>
          <w:szCs w:val="22"/>
          <w:lang w:val="fr-FR"/>
        </w:rPr>
        <w:t xml:space="preserve">des communautés, des groupes et des individus concernés, </w:t>
      </w:r>
      <w:r>
        <w:rPr>
          <w:rFonts w:ascii="Arial" w:hAnsi="Arial" w:cs="Arial"/>
          <w:sz w:val="22"/>
          <w:szCs w:val="22"/>
          <w:lang w:val="fr-FR"/>
        </w:rPr>
        <w:t xml:space="preserve">mais </w:t>
      </w:r>
      <w:r w:rsidRPr="007D5F28">
        <w:rPr>
          <w:rFonts w:ascii="Arial" w:hAnsi="Arial" w:cs="Arial"/>
          <w:color w:val="000000" w:themeColor="text1"/>
          <w:sz w:val="22"/>
          <w:szCs w:val="22"/>
          <w:lang w:val="fr-FR"/>
        </w:rPr>
        <w:t>également</w:t>
      </w:r>
      <w:r>
        <w:rPr>
          <w:rFonts w:ascii="Arial" w:hAnsi="Arial" w:cs="Arial"/>
          <w:color w:val="000000" w:themeColor="text1"/>
          <w:sz w:val="22"/>
          <w:szCs w:val="22"/>
          <w:lang w:val="fr-FR"/>
        </w:rPr>
        <w:t xml:space="preserve"> à le sauvegarder</w:t>
      </w:r>
      <w:r w:rsidRPr="001F3BCC">
        <w:rPr>
          <w:rFonts w:ascii="Arial" w:hAnsi="Arial" w:cs="Arial"/>
          <w:sz w:val="22"/>
          <w:szCs w:val="22"/>
          <w:lang w:val="fr-FR"/>
        </w:rPr>
        <w:t>. L</w:t>
      </w:r>
      <w:r w:rsidR="008E532B">
        <w:rPr>
          <w:rFonts w:ascii="Arial" w:hAnsi="Arial" w:cs="Arial"/>
          <w:sz w:val="22"/>
          <w:szCs w:val="22"/>
          <w:lang w:val="fr-FR"/>
        </w:rPr>
        <w:t>’</w:t>
      </w:r>
      <w:r w:rsidRPr="001F3BCC">
        <w:rPr>
          <w:rFonts w:ascii="Arial" w:hAnsi="Arial" w:cs="Arial"/>
          <w:sz w:val="22"/>
          <w:szCs w:val="22"/>
          <w:lang w:val="fr-FR"/>
        </w:rPr>
        <w:t>Assemblée d</w:t>
      </w:r>
      <w:r>
        <w:rPr>
          <w:rFonts w:ascii="Arial" w:hAnsi="Arial" w:cs="Arial"/>
          <w:sz w:val="22"/>
          <w:szCs w:val="22"/>
          <w:lang w:val="fr-FR"/>
        </w:rPr>
        <w:t>evait</w:t>
      </w:r>
      <w:r w:rsidRPr="001F3BCC">
        <w:rPr>
          <w:rFonts w:ascii="Arial" w:hAnsi="Arial" w:cs="Arial"/>
          <w:sz w:val="22"/>
          <w:szCs w:val="22"/>
          <w:lang w:val="fr-FR"/>
        </w:rPr>
        <w:t xml:space="preserve"> s</w:t>
      </w:r>
      <w:r w:rsidR="008E532B">
        <w:rPr>
          <w:rFonts w:ascii="Arial" w:hAnsi="Arial" w:cs="Arial"/>
          <w:sz w:val="22"/>
          <w:szCs w:val="22"/>
          <w:lang w:val="fr-FR"/>
        </w:rPr>
        <w:t>’</w:t>
      </w:r>
      <w:r w:rsidRPr="001F3BCC">
        <w:rPr>
          <w:rFonts w:ascii="Arial" w:hAnsi="Arial" w:cs="Arial"/>
          <w:sz w:val="22"/>
          <w:szCs w:val="22"/>
          <w:lang w:val="fr-FR"/>
        </w:rPr>
        <w:t>assurer que les ONG accréditées</w:t>
      </w:r>
      <w:r>
        <w:rPr>
          <w:rFonts w:ascii="Arial" w:hAnsi="Arial" w:cs="Arial"/>
          <w:sz w:val="22"/>
          <w:szCs w:val="22"/>
          <w:lang w:val="fr-FR"/>
        </w:rPr>
        <w:t>,</w:t>
      </w:r>
      <w:r w:rsidRPr="001F3BCC">
        <w:rPr>
          <w:rFonts w:ascii="Arial" w:hAnsi="Arial" w:cs="Arial"/>
          <w:sz w:val="22"/>
          <w:szCs w:val="22"/>
          <w:lang w:val="fr-FR"/>
        </w:rPr>
        <w:t xml:space="preserve"> qui mettent en œuvre des activités de sauvegarde dans nos pays</w:t>
      </w:r>
      <w:r>
        <w:rPr>
          <w:rFonts w:ascii="Arial" w:hAnsi="Arial" w:cs="Arial"/>
          <w:sz w:val="22"/>
          <w:szCs w:val="22"/>
          <w:lang w:val="fr-FR"/>
        </w:rPr>
        <w:t>,</w:t>
      </w:r>
      <w:r w:rsidRPr="001F3BCC">
        <w:rPr>
          <w:rFonts w:ascii="Arial" w:hAnsi="Arial" w:cs="Arial"/>
          <w:sz w:val="22"/>
          <w:szCs w:val="22"/>
          <w:lang w:val="fr-FR"/>
        </w:rPr>
        <w:t xml:space="preserve"> connaissent les communautés et les cultures locales lorsqu</w:t>
      </w:r>
      <w:r w:rsidR="008E532B">
        <w:rPr>
          <w:rFonts w:ascii="Arial" w:hAnsi="Arial" w:cs="Arial"/>
          <w:sz w:val="22"/>
          <w:szCs w:val="22"/>
          <w:lang w:val="fr-FR"/>
        </w:rPr>
        <w:t>’</w:t>
      </w:r>
      <w:r w:rsidRPr="001F3BCC">
        <w:rPr>
          <w:rFonts w:ascii="Arial" w:hAnsi="Arial" w:cs="Arial"/>
          <w:sz w:val="22"/>
          <w:szCs w:val="22"/>
          <w:lang w:val="fr-FR"/>
        </w:rPr>
        <w:t>elles travaillent dans le contexte local, et qu</w:t>
      </w:r>
      <w:r w:rsidR="008E532B">
        <w:rPr>
          <w:rFonts w:ascii="Arial" w:hAnsi="Arial" w:cs="Arial"/>
          <w:sz w:val="22"/>
          <w:szCs w:val="22"/>
          <w:lang w:val="fr-FR"/>
        </w:rPr>
        <w:t>’</w:t>
      </w:r>
      <w:r w:rsidRPr="001F3BCC">
        <w:rPr>
          <w:rFonts w:ascii="Arial" w:hAnsi="Arial" w:cs="Arial"/>
          <w:sz w:val="22"/>
          <w:szCs w:val="22"/>
          <w:lang w:val="fr-FR"/>
        </w:rPr>
        <w:t xml:space="preserve">elles collaborent avec les acteurs locaux pour </w:t>
      </w:r>
      <w:r>
        <w:rPr>
          <w:rFonts w:ascii="Arial" w:hAnsi="Arial" w:cs="Arial"/>
          <w:sz w:val="22"/>
          <w:szCs w:val="22"/>
          <w:lang w:val="fr-FR"/>
        </w:rPr>
        <w:t xml:space="preserve">garantir </w:t>
      </w:r>
      <w:r w:rsidRPr="001F3BCC">
        <w:rPr>
          <w:rFonts w:ascii="Arial" w:hAnsi="Arial" w:cs="Arial"/>
          <w:sz w:val="22"/>
          <w:szCs w:val="22"/>
          <w:lang w:val="fr-FR"/>
        </w:rPr>
        <w:t>qu</w:t>
      </w:r>
      <w:r w:rsidR="008E532B">
        <w:rPr>
          <w:rFonts w:ascii="Arial" w:hAnsi="Arial" w:cs="Arial"/>
          <w:sz w:val="22"/>
          <w:szCs w:val="22"/>
          <w:lang w:val="fr-FR"/>
        </w:rPr>
        <w:t>’</w:t>
      </w:r>
      <w:r w:rsidRPr="001F3BCC">
        <w:rPr>
          <w:rFonts w:ascii="Arial" w:hAnsi="Arial" w:cs="Arial"/>
          <w:sz w:val="22"/>
          <w:szCs w:val="22"/>
          <w:lang w:val="fr-FR"/>
        </w:rPr>
        <w:t xml:space="preserve">elles ne sont pas déconnectées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F3BCC">
        <w:rPr>
          <w:rFonts w:ascii="Arial" w:hAnsi="Arial" w:cs="Arial"/>
          <w:sz w:val="22"/>
          <w:szCs w:val="22"/>
          <w:lang w:val="fr-FR"/>
        </w:rPr>
        <w:t>qu</w:t>
      </w:r>
      <w:r w:rsidR="008E532B">
        <w:rPr>
          <w:rFonts w:ascii="Arial" w:hAnsi="Arial" w:cs="Arial"/>
          <w:sz w:val="22"/>
          <w:szCs w:val="22"/>
          <w:lang w:val="fr-FR"/>
        </w:rPr>
        <w:t>’</w:t>
      </w:r>
      <w:r w:rsidRPr="001F3BCC">
        <w:rPr>
          <w:rFonts w:ascii="Arial" w:hAnsi="Arial" w:cs="Arial"/>
          <w:sz w:val="22"/>
          <w:szCs w:val="22"/>
          <w:lang w:val="fr-FR"/>
        </w:rPr>
        <w:t xml:space="preserve">elles visent à protéger. </w:t>
      </w:r>
      <w:r>
        <w:rPr>
          <w:rFonts w:ascii="Arial" w:hAnsi="Arial" w:cs="Arial"/>
          <w:sz w:val="22"/>
          <w:szCs w:val="22"/>
          <w:lang w:val="fr-FR"/>
        </w:rPr>
        <w:t>Sinon</w:t>
      </w:r>
      <w:r w:rsidRPr="001F3BCC">
        <w:rPr>
          <w:rFonts w:ascii="Arial" w:hAnsi="Arial" w:cs="Arial"/>
          <w:sz w:val="22"/>
          <w:szCs w:val="22"/>
          <w:lang w:val="fr-FR"/>
        </w:rPr>
        <w:t xml:space="preserve">, </w:t>
      </w:r>
      <w:r>
        <w:rPr>
          <w:rFonts w:ascii="Arial" w:hAnsi="Arial" w:cs="Arial"/>
          <w:sz w:val="22"/>
          <w:szCs w:val="22"/>
          <w:lang w:val="fr-FR"/>
        </w:rPr>
        <w:t>elles</w:t>
      </w:r>
      <w:r w:rsidRPr="001F3BCC">
        <w:rPr>
          <w:rFonts w:ascii="Arial" w:hAnsi="Arial" w:cs="Arial"/>
          <w:sz w:val="22"/>
          <w:szCs w:val="22"/>
          <w:lang w:val="fr-FR"/>
        </w:rPr>
        <w:t xml:space="preserve"> ser</w:t>
      </w:r>
      <w:r>
        <w:rPr>
          <w:rFonts w:ascii="Arial" w:hAnsi="Arial" w:cs="Arial"/>
          <w:sz w:val="22"/>
          <w:szCs w:val="22"/>
          <w:lang w:val="fr-FR"/>
        </w:rPr>
        <w:t>aie</w:t>
      </w:r>
      <w:r w:rsidRPr="001F3BCC">
        <w:rPr>
          <w:rFonts w:ascii="Arial" w:hAnsi="Arial" w:cs="Arial"/>
          <w:sz w:val="22"/>
          <w:szCs w:val="22"/>
          <w:lang w:val="fr-FR"/>
        </w:rPr>
        <w:t>nt incapables d</w:t>
      </w:r>
      <w:r w:rsidR="008E532B">
        <w:rPr>
          <w:rFonts w:ascii="Arial" w:hAnsi="Arial" w:cs="Arial"/>
          <w:sz w:val="22"/>
          <w:szCs w:val="22"/>
          <w:lang w:val="fr-FR"/>
        </w:rPr>
        <w:t>’</w:t>
      </w:r>
      <w:r w:rsidRPr="001F3BCC">
        <w:rPr>
          <w:rFonts w:ascii="Arial" w:hAnsi="Arial" w:cs="Arial"/>
          <w:sz w:val="22"/>
          <w:szCs w:val="22"/>
          <w:lang w:val="fr-FR"/>
        </w:rPr>
        <w:t xml:space="preserve">impliquer les communautés locales et les </w:t>
      </w:r>
      <w:r>
        <w:rPr>
          <w:rFonts w:ascii="Arial" w:hAnsi="Arial" w:cs="Arial"/>
          <w:sz w:val="22"/>
          <w:szCs w:val="22"/>
          <w:lang w:val="fr-FR"/>
        </w:rPr>
        <w:t xml:space="preserve">détenteurs </w:t>
      </w:r>
      <w:r w:rsidRPr="001F3BCC">
        <w:rPr>
          <w:rFonts w:ascii="Arial" w:hAnsi="Arial" w:cs="Arial"/>
          <w:sz w:val="22"/>
          <w:szCs w:val="22"/>
          <w:lang w:val="fr-FR"/>
        </w:rPr>
        <w:t>et transmetteurs du patrimoine immatériel local. L</w:t>
      </w:r>
      <w:r w:rsidR="008E532B">
        <w:rPr>
          <w:rFonts w:ascii="Arial" w:hAnsi="Arial" w:cs="Arial"/>
          <w:sz w:val="22"/>
          <w:szCs w:val="22"/>
          <w:lang w:val="fr-FR"/>
        </w:rPr>
        <w:t>’</w:t>
      </w:r>
      <w:r w:rsidRPr="001F3BCC">
        <w:rPr>
          <w:rFonts w:ascii="Arial" w:hAnsi="Arial" w:cs="Arial"/>
          <w:sz w:val="22"/>
          <w:szCs w:val="22"/>
          <w:lang w:val="fr-FR"/>
        </w:rPr>
        <w:t>Assemblée d</w:t>
      </w:r>
      <w:r>
        <w:rPr>
          <w:rFonts w:ascii="Arial" w:hAnsi="Arial" w:cs="Arial"/>
          <w:sz w:val="22"/>
          <w:szCs w:val="22"/>
          <w:lang w:val="fr-FR"/>
        </w:rPr>
        <w:t>evait</w:t>
      </w:r>
      <w:r w:rsidRPr="001F3BCC">
        <w:rPr>
          <w:rFonts w:ascii="Arial" w:hAnsi="Arial" w:cs="Arial"/>
          <w:sz w:val="22"/>
          <w:szCs w:val="22"/>
          <w:lang w:val="fr-FR"/>
        </w:rPr>
        <w:t xml:space="preserve"> garantir une approche </w:t>
      </w:r>
      <w:proofErr w:type="spellStart"/>
      <w:r w:rsidRPr="001F3BCC">
        <w:rPr>
          <w:rFonts w:ascii="Arial" w:hAnsi="Arial" w:cs="Arial"/>
          <w:sz w:val="22"/>
          <w:szCs w:val="22"/>
          <w:lang w:val="fr-FR"/>
        </w:rPr>
        <w:t>décolonial</w:t>
      </w:r>
      <w:r>
        <w:rPr>
          <w:rFonts w:ascii="Arial" w:hAnsi="Arial" w:cs="Arial"/>
          <w:sz w:val="22"/>
          <w:szCs w:val="22"/>
          <w:lang w:val="fr-FR"/>
        </w:rPr>
        <w:t>isée</w:t>
      </w:r>
      <w:proofErr w:type="spellEnd"/>
      <w:r w:rsidRPr="001F3BCC">
        <w:rPr>
          <w:rFonts w:ascii="Arial" w:hAnsi="Arial" w:cs="Arial"/>
          <w:sz w:val="22"/>
          <w:szCs w:val="22"/>
          <w:lang w:val="fr-FR"/>
        </w:rPr>
        <w:t xml:space="preserve"> qui valorise non seulement les cultures locales mais </w:t>
      </w:r>
      <w:r>
        <w:rPr>
          <w:rFonts w:ascii="Arial" w:hAnsi="Arial" w:cs="Arial"/>
          <w:sz w:val="22"/>
          <w:szCs w:val="22"/>
          <w:lang w:val="fr-FR"/>
        </w:rPr>
        <w:t xml:space="preserve">également </w:t>
      </w:r>
      <w:r w:rsidRPr="001F3BCC">
        <w:rPr>
          <w:rFonts w:ascii="Arial" w:hAnsi="Arial" w:cs="Arial"/>
          <w:sz w:val="22"/>
          <w:szCs w:val="22"/>
          <w:lang w:val="fr-FR"/>
        </w:rPr>
        <w:t xml:space="preserve">la participation des communautés à la gestion de leur propre patrimoine. La délégation </w:t>
      </w:r>
      <w:r>
        <w:rPr>
          <w:rFonts w:ascii="Arial" w:hAnsi="Arial" w:cs="Arial"/>
          <w:sz w:val="22"/>
          <w:szCs w:val="22"/>
          <w:lang w:val="fr-FR"/>
        </w:rPr>
        <w:t xml:space="preserve">a </w:t>
      </w:r>
      <w:r w:rsidRPr="001F3BCC">
        <w:rPr>
          <w:rFonts w:ascii="Arial" w:hAnsi="Arial" w:cs="Arial"/>
          <w:sz w:val="22"/>
          <w:szCs w:val="22"/>
          <w:lang w:val="fr-FR"/>
        </w:rPr>
        <w:t>estim</w:t>
      </w:r>
      <w:r>
        <w:rPr>
          <w:rFonts w:ascii="Arial" w:hAnsi="Arial" w:cs="Arial"/>
          <w:sz w:val="22"/>
          <w:szCs w:val="22"/>
          <w:lang w:val="fr-FR"/>
        </w:rPr>
        <w:t xml:space="preserve">é </w:t>
      </w:r>
      <w:r w:rsidRPr="001F3BCC">
        <w:rPr>
          <w:rFonts w:ascii="Arial" w:hAnsi="Arial" w:cs="Arial"/>
          <w:sz w:val="22"/>
          <w:szCs w:val="22"/>
          <w:lang w:val="fr-FR"/>
        </w:rPr>
        <w:t>que les ONG sont l</w:t>
      </w:r>
      <w:r w:rsidR="008E532B">
        <w:rPr>
          <w:rFonts w:ascii="Arial" w:hAnsi="Arial" w:cs="Arial"/>
          <w:sz w:val="22"/>
          <w:szCs w:val="22"/>
          <w:lang w:val="fr-FR"/>
        </w:rPr>
        <w:t>’</w:t>
      </w:r>
      <w:r w:rsidRPr="001F3BCC">
        <w:rPr>
          <w:rFonts w:ascii="Arial" w:hAnsi="Arial" w:cs="Arial"/>
          <w:sz w:val="22"/>
          <w:szCs w:val="22"/>
          <w:lang w:val="fr-FR"/>
        </w:rPr>
        <w:t>un des principaux vecteurs de transmission et de sauvegarde de la culture immatérielle, d</w:t>
      </w:r>
      <w:r w:rsidR="008E532B">
        <w:rPr>
          <w:rFonts w:ascii="Arial" w:hAnsi="Arial" w:cs="Arial"/>
          <w:sz w:val="22"/>
          <w:szCs w:val="22"/>
          <w:lang w:val="fr-FR"/>
        </w:rPr>
        <w:t>’</w:t>
      </w:r>
      <w:r w:rsidRPr="001F3BCC">
        <w:rPr>
          <w:rFonts w:ascii="Arial" w:hAnsi="Arial" w:cs="Arial"/>
          <w:sz w:val="22"/>
          <w:szCs w:val="22"/>
          <w:lang w:val="fr-FR"/>
        </w:rPr>
        <w:t>où la nécessité de prêter attention au processus d</w:t>
      </w:r>
      <w:r w:rsidR="008E532B">
        <w:rPr>
          <w:rFonts w:ascii="Arial" w:hAnsi="Arial" w:cs="Arial"/>
          <w:sz w:val="22"/>
          <w:szCs w:val="22"/>
          <w:lang w:val="fr-FR"/>
        </w:rPr>
        <w:t>’</w:t>
      </w:r>
      <w:r w:rsidRPr="001F3BCC">
        <w:rPr>
          <w:rFonts w:ascii="Arial" w:hAnsi="Arial" w:cs="Arial"/>
          <w:sz w:val="22"/>
          <w:szCs w:val="22"/>
          <w:lang w:val="fr-FR"/>
        </w:rPr>
        <w:t>accréditation de ces organisations. Pour ces raisons, elle s</w:t>
      </w:r>
      <w:r w:rsidR="008E532B">
        <w:rPr>
          <w:rFonts w:ascii="Arial" w:hAnsi="Arial" w:cs="Arial"/>
          <w:sz w:val="22"/>
          <w:szCs w:val="22"/>
          <w:lang w:val="fr-FR"/>
        </w:rPr>
        <w:t>’</w:t>
      </w:r>
      <w:r w:rsidRPr="001F3BCC">
        <w:rPr>
          <w:rFonts w:ascii="Arial" w:hAnsi="Arial" w:cs="Arial"/>
          <w:sz w:val="22"/>
          <w:szCs w:val="22"/>
          <w:lang w:val="fr-FR"/>
        </w:rPr>
        <w:t>est ralliée à la position du Mexique en veillant à ce qu</w:t>
      </w:r>
      <w:r w:rsidR="008E532B">
        <w:rPr>
          <w:rFonts w:ascii="Arial" w:hAnsi="Arial" w:cs="Arial"/>
          <w:sz w:val="22"/>
          <w:szCs w:val="22"/>
          <w:lang w:val="fr-FR"/>
        </w:rPr>
        <w:t>’</w:t>
      </w:r>
      <w:r w:rsidRPr="001F3BCC">
        <w:rPr>
          <w:rFonts w:ascii="Arial" w:hAnsi="Arial" w:cs="Arial"/>
          <w:sz w:val="22"/>
          <w:szCs w:val="22"/>
          <w:lang w:val="fr-FR"/>
        </w:rPr>
        <w:t>un processus d</w:t>
      </w:r>
      <w:r w:rsidR="008E532B">
        <w:rPr>
          <w:rFonts w:ascii="Arial" w:hAnsi="Arial" w:cs="Arial"/>
          <w:sz w:val="22"/>
          <w:szCs w:val="22"/>
          <w:lang w:val="fr-FR"/>
        </w:rPr>
        <w:t>’</w:t>
      </w:r>
      <w:r w:rsidRPr="001F3BCC">
        <w:rPr>
          <w:rFonts w:ascii="Arial" w:hAnsi="Arial" w:cs="Arial"/>
          <w:sz w:val="22"/>
          <w:szCs w:val="22"/>
          <w:lang w:val="fr-FR"/>
        </w:rPr>
        <w:t>accréditation correct soit appliqué aux ONG désireuses de travailler pour la Convention et</w:t>
      </w:r>
      <w:r>
        <w:rPr>
          <w:rFonts w:ascii="Arial" w:hAnsi="Arial" w:cs="Arial"/>
          <w:sz w:val="22"/>
          <w:szCs w:val="22"/>
          <w:lang w:val="fr-FR"/>
        </w:rPr>
        <w:t xml:space="preserve"> ayant</w:t>
      </w:r>
      <w:r w:rsidRPr="001F3BCC">
        <w:rPr>
          <w:rFonts w:ascii="Arial" w:hAnsi="Arial" w:cs="Arial"/>
          <w:sz w:val="22"/>
          <w:szCs w:val="22"/>
          <w:lang w:val="fr-FR"/>
        </w:rPr>
        <w:t xml:space="preserve"> la capacité de le faire.</w:t>
      </w:r>
    </w:p>
    <w:p w14:paraId="60710AA9" w14:textId="281DB26A" w:rsidR="00D9653F" w:rsidRPr="00FF0C48"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FF0C48">
        <w:rPr>
          <w:rFonts w:ascii="Arial" w:hAnsi="Arial" w:cs="Arial"/>
          <w:sz w:val="22"/>
          <w:szCs w:val="22"/>
          <w:lang w:val="fr-FR"/>
        </w:rPr>
        <w:t>La délégation de l</w:t>
      </w:r>
      <w:r w:rsidR="008E532B">
        <w:rPr>
          <w:rFonts w:ascii="Arial" w:hAnsi="Arial" w:cs="Arial"/>
          <w:sz w:val="22"/>
          <w:szCs w:val="22"/>
          <w:lang w:val="fr-FR"/>
        </w:rPr>
        <w:t>’</w:t>
      </w:r>
      <w:r w:rsidRPr="00FF0C48">
        <w:rPr>
          <w:rFonts w:ascii="Arial" w:hAnsi="Arial" w:cs="Arial"/>
          <w:b/>
          <w:bCs/>
          <w:sz w:val="22"/>
          <w:szCs w:val="22"/>
          <w:lang w:val="fr-FR"/>
        </w:rPr>
        <w:t>Espagne</w:t>
      </w:r>
      <w:r w:rsidRPr="00FF0C48">
        <w:rPr>
          <w:rFonts w:ascii="Arial" w:hAnsi="Arial" w:cs="Arial"/>
          <w:sz w:val="22"/>
          <w:szCs w:val="22"/>
          <w:lang w:val="fr-FR"/>
        </w:rPr>
        <w:t xml:space="preserve"> a félicité la Présidente pour s</w:t>
      </w:r>
      <w:r>
        <w:rPr>
          <w:rFonts w:ascii="Arial" w:hAnsi="Arial" w:cs="Arial"/>
          <w:sz w:val="22"/>
          <w:szCs w:val="22"/>
          <w:lang w:val="fr-FR"/>
        </w:rPr>
        <w:t xml:space="preserve">a conduite des travaux de cette Assemblée </w:t>
      </w:r>
      <w:r w:rsidRPr="00FF0C48">
        <w:rPr>
          <w:rFonts w:ascii="Arial" w:hAnsi="Arial" w:cs="Arial"/>
          <w:sz w:val="22"/>
          <w:szCs w:val="22"/>
          <w:lang w:val="fr-FR"/>
        </w:rPr>
        <w:t>et a remercié le Secrétariat pour son travail. L</w:t>
      </w:r>
      <w:r w:rsidR="008E532B">
        <w:rPr>
          <w:rFonts w:ascii="Arial" w:hAnsi="Arial" w:cs="Arial"/>
          <w:sz w:val="22"/>
          <w:szCs w:val="22"/>
          <w:lang w:val="fr-FR"/>
        </w:rPr>
        <w:t>’</w:t>
      </w:r>
      <w:r>
        <w:rPr>
          <w:rFonts w:ascii="Arial" w:hAnsi="Arial" w:cs="Arial"/>
          <w:sz w:val="22"/>
          <w:szCs w:val="22"/>
          <w:lang w:val="fr-FR"/>
        </w:rPr>
        <w:t xml:space="preserve">Espagne soutenait </w:t>
      </w:r>
      <w:r w:rsidRPr="00FF0C48">
        <w:rPr>
          <w:rFonts w:ascii="Arial" w:hAnsi="Arial" w:cs="Arial"/>
          <w:sz w:val="22"/>
          <w:szCs w:val="22"/>
          <w:lang w:val="fr-FR"/>
        </w:rPr>
        <w:t>également la proposition déposée par le Mexique. Comme l</w:t>
      </w:r>
      <w:r w:rsidR="008E532B">
        <w:rPr>
          <w:rFonts w:ascii="Arial" w:hAnsi="Arial" w:cs="Arial"/>
          <w:sz w:val="22"/>
          <w:szCs w:val="22"/>
          <w:lang w:val="fr-FR"/>
        </w:rPr>
        <w:t>’</w:t>
      </w:r>
      <w:r w:rsidRPr="00FF0C48">
        <w:rPr>
          <w:rFonts w:ascii="Arial" w:hAnsi="Arial" w:cs="Arial"/>
          <w:sz w:val="22"/>
          <w:szCs w:val="22"/>
          <w:lang w:val="fr-FR"/>
        </w:rPr>
        <w:t>a</w:t>
      </w:r>
      <w:r>
        <w:rPr>
          <w:rFonts w:ascii="Arial" w:hAnsi="Arial" w:cs="Arial"/>
          <w:sz w:val="22"/>
          <w:szCs w:val="22"/>
          <w:lang w:val="fr-FR"/>
        </w:rPr>
        <w:t>vait</w:t>
      </w:r>
      <w:r w:rsidRPr="00FF0C48">
        <w:rPr>
          <w:rFonts w:ascii="Arial" w:hAnsi="Arial" w:cs="Arial"/>
          <w:sz w:val="22"/>
          <w:szCs w:val="22"/>
          <w:lang w:val="fr-FR"/>
        </w:rPr>
        <w:t xml:space="preserve"> expliqué le Brésil, elle </w:t>
      </w:r>
      <w:r>
        <w:rPr>
          <w:rFonts w:ascii="Arial" w:hAnsi="Arial" w:cs="Arial"/>
          <w:sz w:val="22"/>
          <w:szCs w:val="22"/>
          <w:lang w:val="fr-FR"/>
        </w:rPr>
        <w:t xml:space="preserve">pensait </w:t>
      </w:r>
      <w:r w:rsidRPr="00FF0C48">
        <w:rPr>
          <w:rFonts w:ascii="Arial" w:hAnsi="Arial" w:cs="Arial"/>
          <w:sz w:val="22"/>
          <w:szCs w:val="22"/>
          <w:lang w:val="fr-FR"/>
        </w:rPr>
        <w:t xml:space="preserve">que les ONG sont un acteur fondamental dans le développement de la Convention et sont cruciales pour le </w:t>
      </w:r>
      <w:r w:rsidR="0064242E">
        <w:rPr>
          <w:rFonts w:ascii="Arial" w:eastAsia="SimSun" w:hAnsi="Arial" w:cs="Arial"/>
          <w:bCs/>
          <w:sz w:val="22"/>
          <w:szCs w:val="22"/>
          <w:lang w:val="fr-FR" w:eastAsia="en-US"/>
        </w:rPr>
        <w:t>patrimoine culturel immatériel</w:t>
      </w:r>
      <w:r w:rsidRPr="00FF0C48">
        <w:rPr>
          <w:rFonts w:ascii="Arial" w:hAnsi="Arial" w:cs="Arial"/>
          <w:sz w:val="22"/>
          <w:szCs w:val="22"/>
          <w:lang w:val="fr-FR"/>
        </w:rPr>
        <w:t xml:space="preserve">. Néanmoins, il </w:t>
      </w:r>
      <w:r>
        <w:rPr>
          <w:rFonts w:ascii="Arial" w:hAnsi="Arial" w:cs="Arial"/>
          <w:sz w:val="22"/>
          <w:szCs w:val="22"/>
          <w:lang w:val="fr-FR"/>
        </w:rPr>
        <w:t>était</w:t>
      </w:r>
      <w:r w:rsidRPr="00FF0C48">
        <w:rPr>
          <w:rFonts w:ascii="Arial" w:hAnsi="Arial" w:cs="Arial"/>
          <w:sz w:val="22"/>
          <w:szCs w:val="22"/>
          <w:lang w:val="fr-FR"/>
        </w:rPr>
        <w:t xml:space="preserve"> nécessaire d</w:t>
      </w:r>
      <w:r w:rsidR="008E532B">
        <w:rPr>
          <w:rFonts w:ascii="Arial" w:hAnsi="Arial" w:cs="Arial"/>
          <w:sz w:val="22"/>
          <w:szCs w:val="22"/>
          <w:lang w:val="fr-FR"/>
        </w:rPr>
        <w:t>’</w:t>
      </w:r>
      <w:r w:rsidRPr="00FF0C48">
        <w:rPr>
          <w:rFonts w:ascii="Arial" w:hAnsi="Arial" w:cs="Arial"/>
          <w:sz w:val="22"/>
          <w:szCs w:val="22"/>
          <w:lang w:val="fr-FR"/>
        </w:rPr>
        <w:t>améliorer les processus d</w:t>
      </w:r>
      <w:r w:rsidR="008E532B">
        <w:rPr>
          <w:rFonts w:ascii="Arial" w:hAnsi="Arial" w:cs="Arial"/>
          <w:sz w:val="22"/>
          <w:szCs w:val="22"/>
          <w:lang w:val="fr-FR"/>
        </w:rPr>
        <w:t>’</w:t>
      </w:r>
      <w:r w:rsidRPr="00FF0C48">
        <w:rPr>
          <w:rFonts w:ascii="Arial" w:hAnsi="Arial" w:cs="Arial"/>
          <w:sz w:val="22"/>
          <w:szCs w:val="22"/>
          <w:lang w:val="fr-FR"/>
        </w:rPr>
        <w:t xml:space="preserve">accréditation et les </w:t>
      </w:r>
      <w:r>
        <w:rPr>
          <w:rFonts w:ascii="Arial" w:hAnsi="Arial" w:cs="Arial"/>
          <w:sz w:val="22"/>
          <w:szCs w:val="22"/>
          <w:lang w:val="fr-FR"/>
        </w:rPr>
        <w:t>É</w:t>
      </w:r>
      <w:r w:rsidRPr="00FF0C48">
        <w:rPr>
          <w:rFonts w:ascii="Arial" w:hAnsi="Arial" w:cs="Arial"/>
          <w:sz w:val="22"/>
          <w:szCs w:val="22"/>
          <w:lang w:val="fr-FR"/>
        </w:rPr>
        <w:t>tats parties d</w:t>
      </w:r>
      <w:r>
        <w:rPr>
          <w:rFonts w:ascii="Arial" w:hAnsi="Arial" w:cs="Arial"/>
          <w:sz w:val="22"/>
          <w:szCs w:val="22"/>
          <w:lang w:val="fr-FR"/>
        </w:rPr>
        <w:t>evaient</w:t>
      </w:r>
      <w:r w:rsidRPr="00FF0C48">
        <w:rPr>
          <w:rFonts w:ascii="Arial" w:hAnsi="Arial" w:cs="Arial"/>
          <w:sz w:val="22"/>
          <w:szCs w:val="22"/>
          <w:lang w:val="fr-FR"/>
        </w:rPr>
        <w:t xml:space="preserve"> travailler plus directement avec les ONG </w:t>
      </w:r>
      <w:r>
        <w:rPr>
          <w:rFonts w:ascii="Arial" w:hAnsi="Arial" w:cs="Arial"/>
          <w:sz w:val="22"/>
          <w:szCs w:val="22"/>
          <w:lang w:val="fr-FR"/>
        </w:rPr>
        <w:t xml:space="preserve">afin de </w:t>
      </w:r>
      <w:r w:rsidRPr="00FF0C48">
        <w:rPr>
          <w:rFonts w:ascii="Arial" w:hAnsi="Arial" w:cs="Arial"/>
          <w:sz w:val="22"/>
          <w:szCs w:val="22"/>
          <w:lang w:val="fr-FR"/>
        </w:rPr>
        <w:t xml:space="preserve">développer et soutenir la sauvegarde du </w:t>
      </w:r>
      <w:r w:rsidR="0064242E">
        <w:rPr>
          <w:rFonts w:ascii="Arial" w:eastAsia="SimSun" w:hAnsi="Arial" w:cs="Arial"/>
          <w:bCs/>
          <w:sz w:val="22"/>
          <w:szCs w:val="22"/>
          <w:lang w:val="fr-FR" w:eastAsia="en-US"/>
        </w:rPr>
        <w:t>patrimoine culturel immatériel</w:t>
      </w:r>
      <w:r w:rsidRPr="00FF0C48">
        <w:rPr>
          <w:rFonts w:ascii="Arial" w:hAnsi="Arial" w:cs="Arial"/>
          <w:sz w:val="22"/>
          <w:szCs w:val="22"/>
          <w:lang w:val="fr-FR"/>
        </w:rPr>
        <w:t>.</w:t>
      </w:r>
    </w:p>
    <w:p w14:paraId="6BB2D7A0" w14:textId="4F182A06" w:rsidR="00D9653F" w:rsidRPr="00FB51DB"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FB51DB">
        <w:rPr>
          <w:rFonts w:ascii="Arial" w:hAnsi="Arial" w:cs="Arial"/>
          <w:sz w:val="22"/>
          <w:szCs w:val="22"/>
          <w:lang w:val="fr-FR"/>
        </w:rPr>
        <w:t xml:space="preserve">La délégation de </w:t>
      </w:r>
      <w:r w:rsidRPr="00FB51DB">
        <w:rPr>
          <w:rFonts w:ascii="Arial" w:hAnsi="Arial" w:cs="Arial"/>
          <w:b/>
          <w:bCs/>
          <w:sz w:val="22"/>
          <w:szCs w:val="22"/>
          <w:lang w:val="fr-FR"/>
        </w:rPr>
        <w:t>Cuba</w:t>
      </w:r>
      <w:r w:rsidRPr="00FB51DB">
        <w:rPr>
          <w:rFonts w:ascii="Arial" w:hAnsi="Arial" w:cs="Arial"/>
          <w:sz w:val="22"/>
          <w:szCs w:val="22"/>
          <w:lang w:val="fr-FR"/>
        </w:rPr>
        <w:t xml:space="preserve"> </w:t>
      </w:r>
      <w:r>
        <w:rPr>
          <w:rFonts w:ascii="Arial" w:hAnsi="Arial" w:cs="Arial"/>
          <w:sz w:val="22"/>
          <w:szCs w:val="22"/>
          <w:lang w:val="fr-FR"/>
        </w:rPr>
        <w:t xml:space="preserve">soutenait </w:t>
      </w:r>
      <w:r w:rsidRPr="00FB51DB">
        <w:rPr>
          <w:rFonts w:ascii="Arial" w:hAnsi="Arial" w:cs="Arial"/>
          <w:sz w:val="22"/>
          <w:szCs w:val="22"/>
          <w:lang w:val="fr-FR"/>
        </w:rPr>
        <w:t xml:space="preserve">également les remarques </w:t>
      </w:r>
      <w:r>
        <w:rPr>
          <w:rFonts w:ascii="Arial" w:hAnsi="Arial" w:cs="Arial"/>
          <w:sz w:val="22"/>
          <w:szCs w:val="22"/>
          <w:lang w:val="fr-FR"/>
        </w:rPr>
        <w:t xml:space="preserve">formulées </w:t>
      </w:r>
      <w:r w:rsidRPr="00FB51DB">
        <w:rPr>
          <w:rFonts w:ascii="Arial" w:hAnsi="Arial" w:cs="Arial"/>
          <w:sz w:val="22"/>
          <w:szCs w:val="22"/>
          <w:lang w:val="fr-FR"/>
        </w:rPr>
        <w:t>par les précédents</w:t>
      </w:r>
      <w:r>
        <w:rPr>
          <w:rFonts w:ascii="Arial" w:hAnsi="Arial" w:cs="Arial"/>
          <w:sz w:val="22"/>
          <w:szCs w:val="22"/>
          <w:lang w:val="fr-FR"/>
        </w:rPr>
        <w:t xml:space="preserve"> orateurs</w:t>
      </w:r>
      <w:r w:rsidRPr="00FB51DB">
        <w:rPr>
          <w:rFonts w:ascii="Arial" w:hAnsi="Arial" w:cs="Arial"/>
          <w:sz w:val="22"/>
          <w:szCs w:val="22"/>
          <w:lang w:val="fr-FR"/>
        </w:rPr>
        <w:t xml:space="preserve">. Elle </w:t>
      </w:r>
      <w:r>
        <w:rPr>
          <w:rFonts w:ascii="Arial" w:hAnsi="Arial" w:cs="Arial"/>
          <w:sz w:val="22"/>
          <w:szCs w:val="22"/>
          <w:lang w:val="fr-FR"/>
        </w:rPr>
        <w:t>pensait</w:t>
      </w:r>
      <w:r w:rsidRPr="00FB51DB">
        <w:rPr>
          <w:rFonts w:ascii="Arial" w:hAnsi="Arial" w:cs="Arial"/>
          <w:sz w:val="22"/>
          <w:szCs w:val="22"/>
          <w:lang w:val="fr-FR"/>
        </w:rPr>
        <w:t xml:space="preserve"> que le travail de la Convention nécessite une collaboration avec les ONG </w:t>
      </w:r>
      <w:r>
        <w:rPr>
          <w:rFonts w:ascii="Arial" w:hAnsi="Arial" w:cs="Arial"/>
          <w:sz w:val="22"/>
          <w:szCs w:val="22"/>
          <w:lang w:val="fr-FR"/>
        </w:rPr>
        <w:t xml:space="preserve">compte tenu de </w:t>
      </w:r>
      <w:r w:rsidRPr="00FB51DB">
        <w:rPr>
          <w:rFonts w:ascii="Arial" w:hAnsi="Arial" w:cs="Arial"/>
          <w:sz w:val="22"/>
          <w:szCs w:val="22"/>
          <w:lang w:val="fr-FR"/>
        </w:rPr>
        <w:t>leur importante expérience sur le terrain. Elles jou</w:t>
      </w:r>
      <w:r>
        <w:rPr>
          <w:rFonts w:ascii="Arial" w:hAnsi="Arial" w:cs="Arial"/>
          <w:sz w:val="22"/>
          <w:szCs w:val="22"/>
          <w:lang w:val="fr-FR"/>
        </w:rPr>
        <w:t>ai</w:t>
      </w:r>
      <w:r w:rsidRPr="00FB51DB">
        <w:rPr>
          <w:rFonts w:ascii="Arial" w:hAnsi="Arial" w:cs="Arial"/>
          <w:sz w:val="22"/>
          <w:szCs w:val="22"/>
          <w:lang w:val="fr-FR"/>
        </w:rPr>
        <w:t>ent donc un rôle fondamental dans le processus d</w:t>
      </w:r>
      <w:r w:rsidR="008E532B">
        <w:rPr>
          <w:rFonts w:ascii="Arial" w:hAnsi="Arial" w:cs="Arial"/>
          <w:sz w:val="22"/>
          <w:szCs w:val="22"/>
          <w:lang w:val="fr-FR"/>
        </w:rPr>
        <w:t>’</w:t>
      </w:r>
      <w:r w:rsidRPr="00FB51DB">
        <w:rPr>
          <w:rFonts w:ascii="Arial" w:hAnsi="Arial" w:cs="Arial"/>
          <w:sz w:val="22"/>
          <w:szCs w:val="22"/>
          <w:lang w:val="fr-FR"/>
        </w:rPr>
        <w:t xml:space="preserve">identification, de sauvegarde et de protection du </w:t>
      </w:r>
      <w:r w:rsidR="0064242E">
        <w:rPr>
          <w:rFonts w:ascii="Arial" w:eastAsia="SimSun" w:hAnsi="Arial" w:cs="Arial"/>
          <w:bCs/>
          <w:sz w:val="22"/>
          <w:szCs w:val="22"/>
          <w:lang w:val="fr-FR" w:eastAsia="en-US"/>
        </w:rPr>
        <w:t>patrimoine culturel immatériel</w:t>
      </w:r>
      <w:r w:rsidRPr="00FB51DB">
        <w:rPr>
          <w:rFonts w:ascii="Arial" w:hAnsi="Arial" w:cs="Arial"/>
          <w:sz w:val="22"/>
          <w:szCs w:val="22"/>
          <w:lang w:val="fr-FR"/>
        </w:rPr>
        <w:t>. La délégation sout</w:t>
      </w:r>
      <w:r>
        <w:rPr>
          <w:rFonts w:ascii="Arial" w:hAnsi="Arial" w:cs="Arial"/>
          <w:sz w:val="22"/>
          <w:szCs w:val="22"/>
          <w:lang w:val="fr-FR"/>
        </w:rPr>
        <w:t>enait</w:t>
      </w:r>
      <w:r w:rsidRPr="00FB51DB">
        <w:rPr>
          <w:rFonts w:ascii="Arial" w:hAnsi="Arial" w:cs="Arial"/>
          <w:sz w:val="22"/>
          <w:szCs w:val="22"/>
          <w:lang w:val="fr-FR"/>
        </w:rPr>
        <w:t xml:space="preserve"> toute réforme ou initiative vis</w:t>
      </w:r>
      <w:r>
        <w:rPr>
          <w:rFonts w:ascii="Arial" w:hAnsi="Arial" w:cs="Arial"/>
          <w:sz w:val="22"/>
          <w:szCs w:val="22"/>
          <w:lang w:val="fr-FR"/>
        </w:rPr>
        <w:t>ant</w:t>
      </w:r>
      <w:r w:rsidRPr="00FB51DB">
        <w:rPr>
          <w:rFonts w:ascii="Arial" w:hAnsi="Arial" w:cs="Arial"/>
          <w:sz w:val="22"/>
          <w:szCs w:val="22"/>
          <w:lang w:val="fr-FR"/>
        </w:rPr>
        <w:t xml:space="preserve"> à renforcer le travail effectué par les ONG en collaboration avec les différents organes de la Convention dans le cadre d</w:t>
      </w:r>
      <w:r w:rsidR="008E532B">
        <w:rPr>
          <w:rFonts w:ascii="Arial" w:hAnsi="Arial" w:cs="Arial"/>
          <w:sz w:val="22"/>
          <w:szCs w:val="22"/>
          <w:lang w:val="fr-FR"/>
        </w:rPr>
        <w:t>’</w:t>
      </w:r>
      <w:r w:rsidRPr="00FB51DB">
        <w:rPr>
          <w:rFonts w:ascii="Arial" w:hAnsi="Arial" w:cs="Arial"/>
          <w:sz w:val="22"/>
          <w:szCs w:val="22"/>
          <w:lang w:val="fr-FR"/>
        </w:rPr>
        <w:t xml:space="preserve">une responsabilité partagée avec les </w:t>
      </w:r>
      <w:r>
        <w:rPr>
          <w:rFonts w:ascii="Arial" w:hAnsi="Arial" w:cs="Arial"/>
          <w:sz w:val="22"/>
          <w:szCs w:val="22"/>
          <w:lang w:val="fr-FR"/>
        </w:rPr>
        <w:t>É</w:t>
      </w:r>
      <w:r w:rsidRPr="00FB51DB">
        <w:rPr>
          <w:rFonts w:ascii="Arial" w:hAnsi="Arial" w:cs="Arial"/>
          <w:sz w:val="22"/>
          <w:szCs w:val="22"/>
          <w:lang w:val="fr-FR"/>
        </w:rPr>
        <w:t xml:space="preserve">tats membres. En outre, il </w:t>
      </w:r>
      <w:r>
        <w:rPr>
          <w:rFonts w:ascii="Arial" w:hAnsi="Arial" w:cs="Arial"/>
          <w:sz w:val="22"/>
          <w:szCs w:val="22"/>
          <w:lang w:val="fr-FR"/>
        </w:rPr>
        <w:t>était</w:t>
      </w:r>
      <w:r w:rsidRPr="00FB51DB">
        <w:rPr>
          <w:rFonts w:ascii="Arial" w:hAnsi="Arial" w:cs="Arial"/>
          <w:sz w:val="22"/>
          <w:szCs w:val="22"/>
          <w:lang w:val="fr-FR"/>
        </w:rPr>
        <w:t xml:space="preserve"> </w:t>
      </w:r>
      <w:r>
        <w:rPr>
          <w:rFonts w:ascii="Arial" w:hAnsi="Arial" w:cs="Arial"/>
          <w:sz w:val="22"/>
          <w:szCs w:val="22"/>
          <w:lang w:val="fr-FR"/>
        </w:rPr>
        <w:t>essentiel</w:t>
      </w:r>
      <w:r w:rsidRPr="00FB51DB">
        <w:rPr>
          <w:rFonts w:ascii="Arial" w:hAnsi="Arial" w:cs="Arial"/>
          <w:sz w:val="22"/>
          <w:szCs w:val="22"/>
          <w:lang w:val="fr-FR"/>
        </w:rPr>
        <w:t xml:space="preserve"> de renforcer les synergies entre les ONG et les États membres en raison de la nature intergouvernementale de la Convention. Il</w:t>
      </w:r>
      <w:r>
        <w:rPr>
          <w:rFonts w:ascii="Arial" w:hAnsi="Arial" w:cs="Arial"/>
          <w:sz w:val="22"/>
          <w:szCs w:val="22"/>
          <w:lang w:val="fr-FR"/>
        </w:rPr>
        <w:t xml:space="preserve"> était</w:t>
      </w:r>
      <w:r w:rsidRPr="00FB51DB">
        <w:rPr>
          <w:rFonts w:ascii="Arial" w:hAnsi="Arial" w:cs="Arial"/>
          <w:sz w:val="22"/>
          <w:szCs w:val="22"/>
          <w:lang w:val="fr-FR"/>
        </w:rPr>
        <w:t xml:space="preserve"> également indispensable de renforcer le mécanisme d</w:t>
      </w:r>
      <w:r w:rsidR="008E532B">
        <w:rPr>
          <w:rFonts w:ascii="Arial" w:hAnsi="Arial" w:cs="Arial"/>
          <w:sz w:val="22"/>
          <w:szCs w:val="22"/>
          <w:lang w:val="fr-FR"/>
        </w:rPr>
        <w:t>’</w:t>
      </w:r>
      <w:r w:rsidRPr="00FB51DB">
        <w:rPr>
          <w:rFonts w:ascii="Arial" w:hAnsi="Arial" w:cs="Arial"/>
          <w:sz w:val="22"/>
          <w:szCs w:val="22"/>
          <w:lang w:val="fr-FR"/>
        </w:rPr>
        <w:t>accréditation des ONG et d</w:t>
      </w:r>
      <w:r w:rsidR="008E532B">
        <w:rPr>
          <w:rFonts w:ascii="Arial" w:hAnsi="Arial" w:cs="Arial"/>
          <w:sz w:val="22"/>
          <w:szCs w:val="22"/>
          <w:lang w:val="fr-FR"/>
        </w:rPr>
        <w:t>’</w:t>
      </w:r>
      <w:r w:rsidRPr="00FB51DB">
        <w:rPr>
          <w:rFonts w:ascii="Arial" w:hAnsi="Arial" w:cs="Arial"/>
          <w:sz w:val="22"/>
          <w:szCs w:val="22"/>
          <w:lang w:val="fr-FR"/>
        </w:rPr>
        <w:t>assurer un meilleur équilibre géographique au sein de la Convention.</w:t>
      </w:r>
    </w:p>
    <w:p w14:paraId="4706F3FC" w14:textId="77777777" w:rsidR="00D9653F" w:rsidRPr="00FB51DB"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La </w:t>
      </w:r>
      <w:r w:rsidRPr="00FB51DB">
        <w:rPr>
          <w:rFonts w:ascii="Arial" w:hAnsi="Arial" w:cs="Arial"/>
          <w:b/>
          <w:bCs/>
          <w:sz w:val="22"/>
          <w:szCs w:val="22"/>
          <w:lang w:val="fr-FR"/>
        </w:rPr>
        <w:t>Présidente</w:t>
      </w:r>
      <w:r>
        <w:rPr>
          <w:rFonts w:ascii="Arial" w:hAnsi="Arial" w:cs="Arial"/>
          <w:sz w:val="22"/>
          <w:szCs w:val="22"/>
          <w:lang w:val="fr-FR"/>
        </w:rPr>
        <w:t xml:space="preserve"> a invité M. Turgeon à répondre aux questions.</w:t>
      </w:r>
    </w:p>
    <w:p w14:paraId="70CAE2E2" w14:textId="37495EB3" w:rsidR="00D9653F" w:rsidRPr="00913E33"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913E33">
        <w:rPr>
          <w:rFonts w:ascii="Arial" w:hAnsi="Arial" w:cs="Arial"/>
          <w:b/>
          <w:bCs/>
          <w:sz w:val="22"/>
          <w:szCs w:val="22"/>
          <w:lang w:val="fr-FR"/>
        </w:rPr>
        <w:t>M.</w:t>
      </w:r>
      <w:r>
        <w:rPr>
          <w:rFonts w:ascii="Arial" w:hAnsi="Arial" w:cs="Arial"/>
          <w:b/>
          <w:bCs/>
          <w:sz w:val="22"/>
          <w:szCs w:val="22"/>
          <w:lang w:val="fr-FR"/>
        </w:rPr>
        <w:t> </w:t>
      </w:r>
      <w:r w:rsidRPr="00913E33">
        <w:rPr>
          <w:rFonts w:ascii="Arial" w:hAnsi="Arial" w:cs="Arial"/>
          <w:b/>
          <w:bCs/>
          <w:sz w:val="22"/>
          <w:szCs w:val="22"/>
          <w:lang w:val="fr-FR"/>
        </w:rPr>
        <w:t>Laurier Turgeon</w:t>
      </w:r>
      <w:r w:rsidRPr="00913E33">
        <w:rPr>
          <w:rFonts w:ascii="Arial" w:hAnsi="Arial" w:cs="Arial"/>
          <w:sz w:val="22"/>
          <w:szCs w:val="22"/>
          <w:lang w:val="fr-FR"/>
        </w:rPr>
        <w:t xml:space="preserve"> a remercié les délégations pour leurs commentaires</w:t>
      </w:r>
      <w:r>
        <w:rPr>
          <w:rFonts w:ascii="Arial" w:hAnsi="Arial" w:cs="Arial"/>
          <w:sz w:val="22"/>
          <w:szCs w:val="22"/>
          <w:lang w:val="fr-FR"/>
        </w:rPr>
        <w:t xml:space="preserve"> fort utiles </w:t>
      </w:r>
      <w:r w:rsidRPr="00913E33">
        <w:rPr>
          <w:rFonts w:ascii="Arial" w:hAnsi="Arial" w:cs="Arial"/>
          <w:sz w:val="22"/>
          <w:szCs w:val="22"/>
          <w:lang w:val="fr-FR"/>
        </w:rPr>
        <w:t>et leurs questions</w:t>
      </w:r>
      <w:r>
        <w:rPr>
          <w:rFonts w:ascii="Arial" w:hAnsi="Arial" w:cs="Arial"/>
          <w:sz w:val="22"/>
          <w:szCs w:val="22"/>
          <w:lang w:val="fr-FR"/>
        </w:rPr>
        <w:t xml:space="preserve"> très intéressantes</w:t>
      </w:r>
      <w:r w:rsidRPr="00913E33">
        <w:rPr>
          <w:rFonts w:ascii="Arial" w:hAnsi="Arial" w:cs="Arial"/>
          <w:sz w:val="22"/>
          <w:szCs w:val="22"/>
          <w:lang w:val="fr-FR"/>
        </w:rPr>
        <w:t>, ajoutant qu</w:t>
      </w:r>
      <w:r w:rsidR="008E532B">
        <w:rPr>
          <w:rFonts w:ascii="Arial" w:hAnsi="Arial" w:cs="Arial"/>
          <w:sz w:val="22"/>
          <w:szCs w:val="22"/>
          <w:lang w:val="fr-FR"/>
        </w:rPr>
        <w:t>’</w:t>
      </w:r>
      <w:r w:rsidRPr="00913E33">
        <w:rPr>
          <w:rFonts w:ascii="Arial" w:hAnsi="Arial" w:cs="Arial"/>
          <w:sz w:val="22"/>
          <w:szCs w:val="22"/>
          <w:lang w:val="fr-FR"/>
        </w:rPr>
        <w:t>il leur était reconnaissant de leur soutien. Le Forum cro</w:t>
      </w:r>
      <w:r>
        <w:rPr>
          <w:rFonts w:ascii="Arial" w:hAnsi="Arial" w:cs="Arial"/>
          <w:sz w:val="22"/>
          <w:szCs w:val="22"/>
          <w:lang w:val="fr-FR"/>
        </w:rPr>
        <w:t>yait</w:t>
      </w:r>
      <w:r w:rsidRPr="00913E33">
        <w:rPr>
          <w:rFonts w:ascii="Arial" w:hAnsi="Arial" w:cs="Arial"/>
          <w:sz w:val="22"/>
          <w:szCs w:val="22"/>
          <w:lang w:val="fr-FR"/>
        </w:rPr>
        <w:t xml:space="preserve"> aussi, bien sûr, que les ONG ont un rôle extrêmement important à jouer dans la Convention, et que leurs fonctions consultatives devraient être </w:t>
      </w:r>
      <w:r>
        <w:rPr>
          <w:rFonts w:ascii="Arial" w:hAnsi="Arial" w:cs="Arial"/>
          <w:sz w:val="22"/>
          <w:szCs w:val="22"/>
          <w:lang w:val="fr-FR"/>
        </w:rPr>
        <w:t xml:space="preserve">étendues </w:t>
      </w:r>
      <w:r w:rsidRPr="00913E33">
        <w:rPr>
          <w:rFonts w:ascii="Arial" w:hAnsi="Arial" w:cs="Arial"/>
          <w:sz w:val="22"/>
          <w:szCs w:val="22"/>
          <w:lang w:val="fr-FR"/>
        </w:rPr>
        <w:t xml:space="preserve">et accrues pour le bien-être de la Convention et du </w:t>
      </w:r>
      <w:r w:rsidR="0064242E">
        <w:rPr>
          <w:rFonts w:ascii="Arial" w:eastAsia="SimSun" w:hAnsi="Arial" w:cs="Arial"/>
          <w:bCs/>
          <w:sz w:val="22"/>
          <w:szCs w:val="22"/>
          <w:lang w:val="fr-FR" w:eastAsia="en-US"/>
        </w:rPr>
        <w:t>patrimoine culturel immatériel</w:t>
      </w:r>
      <w:r w:rsidRPr="00913E33">
        <w:rPr>
          <w:rFonts w:ascii="Arial" w:hAnsi="Arial" w:cs="Arial"/>
          <w:sz w:val="22"/>
          <w:szCs w:val="22"/>
          <w:lang w:val="fr-FR"/>
        </w:rPr>
        <w:t xml:space="preserve">. </w:t>
      </w:r>
      <w:r>
        <w:rPr>
          <w:rFonts w:ascii="Arial" w:hAnsi="Arial" w:cs="Arial"/>
          <w:sz w:val="22"/>
          <w:szCs w:val="22"/>
          <w:lang w:val="fr-FR"/>
        </w:rPr>
        <w:t>D</w:t>
      </w:r>
      <w:r w:rsidRPr="00913E33">
        <w:rPr>
          <w:rFonts w:ascii="Arial" w:hAnsi="Arial" w:cs="Arial"/>
          <w:sz w:val="22"/>
          <w:szCs w:val="22"/>
          <w:lang w:val="fr-FR"/>
        </w:rPr>
        <w:t xml:space="preserve">u travail </w:t>
      </w:r>
      <w:r>
        <w:rPr>
          <w:rFonts w:ascii="Arial" w:hAnsi="Arial" w:cs="Arial"/>
          <w:sz w:val="22"/>
          <w:szCs w:val="22"/>
          <w:lang w:val="fr-FR"/>
        </w:rPr>
        <w:t xml:space="preserve">restait </w:t>
      </w:r>
      <w:r w:rsidRPr="00913E33">
        <w:rPr>
          <w:rFonts w:ascii="Arial" w:hAnsi="Arial" w:cs="Arial"/>
          <w:sz w:val="22"/>
          <w:szCs w:val="22"/>
          <w:lang w:val="fr-FR"/>
        </w:rPr>
        <w:t>à faire sur l</w:t>
      </w:r>
      <w:r>
        <w:rPr>
          <w:rFonts w:ascii="Arial" w:hAnsi="Arial" w:cs="Arial"/>
          <w:sz w:val="22"/>
          <w:szCs w:val="22"/>
          <w:lang w:val="fr-FR"/>
        </w:rPr>
        <w:t xml:space="preserve">es modalités </w:t>
      </w:r>
      <w:r w:rsidRPr="00913E33">
        <w:rPr>
          <w:rFonts w:ascii="Arial" w:hAnsi="Arial" w:cs="Arial"/>
          <w:sz w:val="22"/>
          <w:szCs w:val="22"/>
          <w:lang w:val="fr-FR"/>
        </w:rPr>
        <w:t>de développe</w:t>
      </w:r>
      <w:r>
        <w:rPr>
          <w:rFonts w:ascii="Arial" w:hAnsi="Arial" w:cs="Arial"/>
          <w:sz w:val="22"/>
          <w:szCs w:val="22"/>
          <w:lang w:val="fr-FR"/>
        </w:rPr>
        <w:t>ment</w:t>
      </w:r>
      <w:r w:rsidRPr="00913E33">
        <w:rPr>
          <w:rFonts w:ascii="Arial" w:hAnsi="Arial" w:cs="Arial"/>
          <w:sz w:val="22"/>
          <w:szCs w:val="22"/>
          <w:lang w:val="fr-FR"/>
        </w:rPr>
        <w:t xml:space="preserve"> et de </w:t>
      </w:r>
      <w:r>
        <w:rPr>
          <w:rFonts w:ascii="Arial" w:hAnsi="Arial" w:cs="Arial"/>
          <w:sz w:val="22"/>
          <w:szCs w:val="22"/>
          <w:lang w:val="fr-FR"/>
        </w:rPr>
        <w:t>mise</w:t>
      </w:r>
      <w:r w:rsidRPr="00913E33">
        <w:rPr>
          <w:rFonts w:ascii="Arial" w:hAnsi="Arial" w:cs="Arial"/>
          <w:sz w:val="22"/>
          <w:szCs w:val="22"/>
          <w:lang w:val="fr-FR"/>
        </w:rPr>
        <w:t xml:space="preserve"> en œuvre </w:t>
      </w:r>
      <w:r>
        <w:rPr>
          <w:rFonts w:ascii="Arial" w:hAnsi="Arial" w:cs="Arial"/>
          <w:sz w:val="22"/>
          <w:szCs w:val="22"/>
          <w:lang w:val="fr-FR"/>
        </w:rPr>
        <w:t xml:space="preserve">de </w:t>
      </w:r>
      <w:r w:rsidRPr="00913E33">
        <w:rPr>
          <w:rFonts w:ascii="Arial" w:hAnsi="Arial" w:cs="Arial"/>
          <w:sz w:val="22"/>
          <w:szCs w:val="22"/>
          <w:lang w:val="fr-FR"/>
        </w:rPr>
        <w:t>ces mécanismes, mais</w:t>
      </w:r>
      <w:r>
        <w:rPr>
          <w:rFonts w:ascii="Arial" w:hAnsi="Arial" w:cs="Arial"/>
          <w:sz w:val="22"/>
          <w:szCs w:val="22"/>
          <w:lang w:val="fr-FR"/>
        </w:rPr>
        <w:t xml:space="preserve">, </w:t>
      </w:r>
      <w:r w:rsidRPr="00913E33">
        <w:rPr>
          <w:rFonts w:ascii="Arial" w:hAnsi="Arial" w:cs="Arial"/>
          <w:sz w:val="22"/>
          <w:szCs w:val="22"/>
          <w:lang w:val="fr-FR"/>
        </w:rPr>
        <w:t>comme beaucoup l</w:t>
      </w:r>
      <w:r w:rsidR="008E532B">
        <w:rPr>
          <w:rFonts w:ascii="Arial" w:hAnsi="Arial" w:cs="Arial"/>
          <w:sz w:val="22"/>
          <w:szCs w:val="22"/>
          <w:lang w:val="fr-FR"/>
        </w:rPr>
        <w:t>’</w:t>
      </w:r>
      <w:r>
        <w:rPr>
          <w:rFonts w:ascii="Arial" w:hAnsi="Arial" w:cs="Arial"/>
          <w:sz w:val="22"/>
          <w:szCs w:val="22"/>
          <w:lang w:val="fr-FR"/>
        </w:rPr>
        <w:t>avaient</w:t>
      </w:r>
      <w:r w:rsidRPr="00913E33">
        <w:rPr>
          <w:rFonts w:ascii="Arial" w:hAnsi="Arial" w:cs="Arial"/>
          <w:sz w:val="22"/>
          <w:szCs w:val="22"/>
          <w:lang w:val="fr-FR"/>
        </w:rPr>
        <w:t xml:space="preserve"> rappelé</w:t>
      </w:r>
      <w:r>
        <w:rPr>
          <w:rFonts w:ascii="Arial" w:hAnsi="Arial" w:cs="Arial"/>
          <w:sz w:val="22"/>
          <w:szCs w:val="22"/>
          <w:lang w:val="fr-FR"/>
        </w:rPr>
        <w:t xml:space="preserve">, </w:t>
      </w:r>
      <w:r w:rsidRPr="00913E33">
        <w:rPr>
          <w:rFonts w:ascii="Arial" w:hAnsi="Arial" w:cs="Arial"/>
          <w:sz w:val="22"/>
          <w:szCs w:val="22"/>
          <w:lang w:val="fr-FR"/>
        </w:rPr>
        <w:t>les ONG représent</w:t>
      </w:r>
      <w:r>
        <w:rPr>
          <w:rFonts w:ascii="Arial" w:hAnsi="Arial" w:cs="Arial"/>
          <w:sz w:val="22"/>
          <w:szCs w:val="22"/>
          <w:lang w:val="fr-FR"/>
        </w:rPr>
        <w:t>ent</w:t>
      </w:r>
      <w:r w:rsidRPr="00913E33">
        <w:rPr>
          <w:rFonts w:ascii="Arial" w:hAnsi="Arial" w:cs="Arial"/>
          <w:sz w:val="22"/>
          <w:szCs w:val="22"/>
          <w:lang w:val="fr-FR"/>
        </w:rPr>
        <w:t xml:space="preserve"> très souvent des communautés. Les communautés de praticiens </w:t>
      </w:r>
      <w:r>
        <w:rPr>
          <w:rFonts w:ascii="Arial" w:hAnsi="Arial" w:cs="Arial"/>
          <w:sz w:val="22"/>
          <w:szCs w:val="22"/>
          <w:lang w:val="fr-FR"/>
        </w:rPr>
        <w:t xml:space="preserve">étaient </w:t>
      </w:r>
      <w:r w:rsidRPr="00913E33">
        <w:rPr>
          <w:rFonts w:ascii="Arial" w:hAnsi="Arial" w:cs="Arial"/>
          <w:sz w:val="22"/>
          <w:szCs w:val="22"/>
          <w:lang w:val="fr-FR"/>
        </w:rPr>
        <w:t>des ONG ou les ONG constitu</w:t>
      </w:r>
      <w:r>
        <w:rPr>
          <w:rFonts w:ascii="Arial" w:hAnsi="Arial" w:cs="Arial"/>
          <w:sz w:val="22"/>
          <w:szCs w:val="22"/>
          <w:lang w:val="fr-FR"/>
        </w:rPr>
        <w:t>ai</w:t>
      </w:r>
      <w:r w:rsidRPr="00913E33">
        <w:rPr>
          <w:rFonts w:ascii="Arial" w:hAnsi="Arial" w:cs="Arial"/>
          <w:sz w:val="22"/>
          <w:szCs w:val="22"/>
          <w:lang w:val="fr-FR"/>
        </w:rPr>
        <w:t>ent ou représent</w:t>
      </w:r>
      <w:r>
        <w:rPr>
          <w:rFonts w:ascii="Arial" w:hAnsi="Arial" w:cs="Arial"/>
          <w:sz w:val="22"/>
          <w:szCs w:val="22"/>
          <w:lang w:val="fr-FR"/>
        </w:rPr>
        <w:t>ai</w:t>
      </w:r>
      <w:r w:rsidRPr="00913E33">
        <w:rPr>
          <w:rFonts w:ascii="Arial" w:hAnsi="Arial" w:cs="Arial"/>
          <w:sz w:val="22"/>
          <w:szCs w:val="22"/>
          <w:lang w:val="fr-FR"/>
        </w:rPr>
        <w:t xml:space="preserve">ent des communautés de praticiens sur le terrain, elles </w:t>
      </w:r>
      <w:r>
        <w:rPr>
          <w:rFonts w:ascii="Arial" w:hAnsi="Arial" w:cs="Arial"/>
          <w:sz w:val="22"/>
          <w:szCs w:val="22"/>
          <w:lang w:val="fr-FR"/>
        </w:rPr>
        <w:t>avaient</w:t>
      </w:r>
      <w:r w:rsidRPr="00913E33">
        <w:rPr>
          <w:rFonts w:ascii="Arial" w:hAnsi="Arial" w:cs="Arial"/>
          <w:sz w:val="22"/>
          <w:szCs w:val="22"/>
          <w:lang w:val="fr-FR"/>
        </w:rPr>
        <w:t xml:space="preserve"> donc un rôle important à jouer dans les discussions et </w:t>
      </w:r>
      <w:r>
        <w:rPr>
          <w:rFonts w:ascii="Arial" w:hAnsi="Arial" w:cs="Arial"/>
          <w:sz w:val="22"/>
          <w:szCs w:val="22"/>
          <w:lang w:val="fr-FR"/>
        </w:rPr>
        <w:t xml:space="preserve">dans </w:t>
      </w:r>
      <w:r w:rsidRPr="00913E33">
        <w:rPr>
          <w:rFonts w:ascii="Arial" w:hAnsi="Arial" w:cs="Arial"/>
          <w:sz w:val="22"/>
          <w:szCs w:val="22"/>
          <w:lang w:val="fr-FR"/>
        </w:rPr>
        <w:t>l</w:t>
      </w:r>
      <w:r w:rsidR="008E532B">
        <w:rPr>
          <w:rFonts w:ascii="Arial" w:hAnsi="Arial" w:cs="Arial"/>
          <w:sz w:val="22"/>
          <w:szCs w:val="22"/>
          <w:lang w:val="fr-FR"/>
        </w:rPr>
        <w:t>’</w:t>
      </w:r>
      <w:r w:rsidRPr="00913E33">
        <w:rPr>
          <w:rFonts w:ascii="Arial" w:hAnsi="Arial" w:cs="Arial"/>
          <w:sz w:val="22"/>
          <w:szCs w:val="22"/>
          <w:lang w:val="fr-FR"/>
        </w:rPr>
        <w:t xml:space="preserve">évolution de la Convention. </w:t>
      </w:r>
      <w:r>
        <w:rPr>
          <w:rFonts w:ascii="Arial" w:hAnsi="Arial" w:cs="Arial"/>
          <w:sz w:val="22"/>
          <w:szCs w:val="22"/>
          <w:lang w:val="fr-FR"/>
        </w:rPr>
        <w:t>S</w:t>
      </w:r>
      <w:r w:rsidR="008E532B">
        <w:rPr>
          <w:rFonts w:ascii="Arial" w:hAnsi="Arial" w:cs="Arial"/>
          <w:sz w:val="22"/>
          <w:szCs w:val="22"/>
          <w:lang w:val="fr-FR"/>
        </w:rPr>
        <w:t>’</w:t>
      </w:r>
      <w:r>
        <w:rPr>
          <w:rFonts w:ascii="Arial" w:hAnsi="Arial" w:cs="Arial"/>
          <w:sz w:val="22"/>
          <w:szCs w:val="22"/>
          <w:lang w:val="fr-FR"/>
        </w:rPr>
        <w:t xml:space="preserve">agissant de </w:t>
      </w:r>
      <w:r w:rsidRPr="00913E33">
        <w:rPr>
          <w:rFonts w:ascii="Arial" w:hAnsi="Arial" w:cs="Arial"/>
          <w:sz w:val="22"/>
          <w:szCs w:val="22"/>
          <w:lang w:val="fr-FR"/>
        </w:rPr>
        <w:t>l</w:t>
      </w:r>
      <w:r w:rsidR="008E532B">
        <w:rPr>
          <w:rFonts w:ascii="Arial" w:hAnsi="Arial" w:cs="Arial"/>
          <w:sz w:val="22"/>
          <w:szCs w:val="22"/>
          <w:lang w:val="fr-FR"/>
        </w:rPr>
        <w:t>’</w:t>
      </w:r>
      <w:r w:rsidRPr="00913E33">
        <w:rPr>
          <w:rFonts w:ascii="Arial" w:hAnsi="Arial" w:cs="Arial"/>
          <w:sz w:val="22"/>
          <w:szCs w:val="22"/>
          <w:lang w:val="fr-FR"/>
        </w:rPr>
        <w:t>établissement d</w:t>
      </w:r>
      <w:r w:rsidR="008E532B">
        <w:rPr>
          <w:rFonts w:ascii="Arial" w:hAnsi="Arial" w:cs="Arial"/>
          <w:sz w:val="22"/>
          <w:szCs w:val="22"/>
          <w:lang w:val="fr-FR"/>
        </w:rPr>
        <w:t>’</w:t>
      </w:r>
      <w:r w:rsidRPr="00913E33">
        <w:rPr>
          <w:rFonts w:ascii="Arial" w:hAnsi="Arial" w:cs="Arial"/>
          <w:sz w:val="22"/>
          <w:szCs w:val="22"/>
          <w:lang w:val="fr-FR"/>
        </w:rPr>
        <w:t xml:space="preserve">un meilleur équilibre entre les différentes régions géographiques et </w:t>
      </w:r>
      <w:r>
        <w:rPr>
          <w:rFonts w:ascii="Arial" w:hAnsi="Arial" w:cs="Arial"/>
          <w:sz w:val="22"/>
          <w:szCs w:val="22"/>
          <w:lang w:val="fr-FR"/>
        </w:rPr>
        <w:t xml:space="preserve">de </w:t>
      </w:r>
      <w:r w:rsidRPr="00913E33">
        <w:rPr>
          <w:rFonts w:ascii="Arial" w:hAnsi="Arial" w:cs="Arial"/>
          <w:sz w:val="22"/>
          <w:szCs w:val="22"/>
          <w:lang w:val="fr-FR"/>
        </w:rPr>
        <w:t>la manière d</w:t>
      </w:r>
      <w:r w:rsidR="008E532B">
        <w:rPr>
          <w:rFonts w:ascii="Arial" w:hAnsi="Arial" w:cs="Arial"/>
          <w:sz w:val="22"/>
          <w:szCs w:val="22"/>
          <w:lang w:val="fr-FR"/>
        </w:rPr>
        <w:t>’</w:t>
      </w:r>
      <w:r>
        <w:rPr>
          <w:rFonts w:ascii="Arial" w:hAnsi="Arial" w:cs="Arial"/>
          <w:sz w:val="22"/>
          <w:szCs w:val="22"/>
          <w:lang w:val="fr-FR"/>
        </w:rPr>
        <w:t xml:space="preserve">accroitre </w:t>
      </w:r>
      <w:r w:rsidRPr="00913E33">
        <w:rPr>
          <w:rFonts w:ascii="Arial" w:hAnsi="Arial" w:cs="Arial"/>
          <w:sz w:val="22"/>
          <w:szCs w:val="22"/>
          <w:lang w:val="fr-FR"/>
        </w:rPr>
        <w:t xml:space="preserve">la représentation des régions sous-représentées, M. Turgeon a expliqué que le Forum avait </w:t>
      </w:r>
      <w:r>
        <w:rPr>
          <w:rFonts w:ascii="Arial" w:hAnsi="Arial" w:cs="Arial"/>
          <w:sz w:val="22"/>
          <w:szCs w:val="22"/>
          <w:lang w:val="fr-FR"/>
        </w:rPr>
        <w:t xml:space="preserve">créé </w:t>
      </w:r>
      <w:r w:rsidRPr="00913E33">
        <w:rPr>
          <w:rFonts w:ascii="Arial" w:hAnsi="Arial" w:cs="Arial"/>
          <w:sz w:val="22"/>
          <w:szCs w:val="22"/>
          <w:lang w:val="fr-FR"/>
        </w:rPr>
        <w:t>un groupe de travail qui s</w:t>
      </w:r>
      <w:r w:rsidR="008E532B">
        <w:rPr>
          <w:rFonts w:ascii="Arial" w:hAnsi="Arial" w:cs="Arial"/>
          <w:sz w:val="22"/>
          <w:szCs w:val="22"/>
          <w:lang w:val="fr-FR"/>
        </w:rPr>
        <w:t>’</w:t>
      </w:r>
      <w:r>
        <w:rPr>
          <w:rFonts w:ascii="Arial" w:hAnsi="Arial" w:cs="Arial"/>
          <w:sz w:val="22"/>
          <w:szCs w:val="22"/>
          <w:lang w:val="fr-FR"/>
        </w:rPr>
        <w:t>était</w:t>
      </w:r>
      <w:r w:rsidRPr="00913E33">
        <w:rPr>
          <w:rFonts w:ascii="Arial" w:hAnsi="Arial" w:cs="Arial"/>
          <w:sz w:val="22"/>
          <w:szCs w:val="22"/>
          <w:lang w:val="fr-FR"/>
        </w:rPr>
        <w:t xml:space="preserve"> spécifiquement occupé de cette question l</w:t>
      </w:r>
      <w:r w:rsidR="008E532B">
        <w:rPr>
          <w:rFonts w:ascii="Arial" w:hAnsi="Arial" w:cs="Arial"/>
          <w:sz w:val="22"/>
          <w:szCs w:val="22"/>
          <w:lang w:val="fr-FR"/>
        </w:rPr>
        <w:t>’</w:t>
      </w:r>
      <w:r w:rsidRPr="00913E33">
        <w:rPr>
          <w:rFonts w:ascii="Arial" w:hAnsi="Arial" w:cs="Arial"/>
          <w:sz w:val="22"/>
          <w:szCs w:val="22"/>
          <w:lang w:val="fr-FR"/>
        </w:rPr>
        <w:t>année</w:t>
      </w:r>
      <w:r>
        <w:rPr>
          <w:rFonts w:ascii="Arial" w:hAnsi="Arial" w:cs="Arial"/>
          <w:sz w:val="22"/>
          <w:szCs w:val="22"/>
          <w:lang w:val="fr-FR"/>
        </w:rPr>
        <w:t xml:space="preserve"> précédente</w:t>
      </w:r>
      <w:r w:rsidRPr="00913E33">
        <w:rPr>
          <w:rFonts w:ascii="Arial" w:hAnsi="Arial" w:cs="Arial"/>
          <w:sz w:val="22"/>
          <w:szCs w:val="22"/>
          <w:lang w:val="fr-FR"/>
        </w:rPr>
        <w:t xml:space="preserve">. Une série de recommandations </w:t>
      </w:r>
      <w:r>
        <w:rPr>
          <w:rFonts w:ascii="Arial" w:hAnsi="Arial" w:cs="Arial"/>
          <w:sz w:val="22"/>
          <w:szCs w:val="22"/>
          <w:lang w:val="fr-FR"/>
        </w:rPr>
        <w:t xml:space="preserve">avaient été formulées </w:t>
      </w:r>
      <w:r w:rsidRPr="00913E33">
        <w:rPr>
          <w:rFonts w:ascii="Arial" w:hAnsi="Arial" w:cs="Arial"/>
          <w:sz w:val="22"/>
          <w:szCs w:val="22"/>
          <w:lang w:val="fr-FR"/>
        </w:rPr>
        <w:t>et d</w:t>
      </w:r>
      <w:r>
        <w:rPr>
          <w:rFonts w:ascii="Arial" w:hAnsi="Arial" w:cs="Arial"/>
          <w:sz w:val="22"/>
          <w:szCs w:val="22"/>
          <w:lang w:val="fr-FR"/>
        </w:rPr>
        <w:t xml:space="preserve">es mesures </w:t>
      </w:r>
      <w:r w:rsidRPr="00913E33">
        <w:rPr>
          <w:rFonts w:ascii="Arial" w:hAnsi="Arial" w:cs="Arial"/>
          <w:sz w:val="22"/>
          <w:szCs w:val="22"/>
          <w:lang w:val="fr-FR"/>
        </w:rPr>
        <w:t xml:space="preserve">avaient été prises. La plus efficace </w:t>
      </w:r>
      <w:r>
        <w:rPr>
          <w:rFonts w:ascii="Arial" w:hAnsi="Arial" w:cs="Arial"/>
          <w:sz w:val="22"/>
          <w:szCs w:val="22"/>
          <w:lang w:val="fr-FR"/>
        </w:rPr>
        <w:t xml:space="preserve">avait été </w:t>
      </w:r>
      <w:r w:rsidRPr="00913E33">
        <w:rPr>
          <w:rFonts w:ascii="Arial" w:hAnsi="Arial" w:cs="Arial"/>
          <w:sz w:val="22"/>
          <w:szCs w:val="22"/>
          <w:lang w:val="fr-FR"/>
        </w:rPr>
        <w:t>de créer un réseau régional entre les groupes et entre les ONG au sein des régions afin de pouvoir recruter davantage d</w:t>
      </w:r>
      <w:r w:rsidR="008E532B">
        <w:rPr>
          <w:rFonts w:ascii="Arial" w:hAnsi="Arial" w:cs="Arial"/>
          <w:sz w:val="22"/>
          <w:szCs w:val="22"/>
          <w:lang w:val="fr-FR"/>
        </w:rPr>
        <w:t>’</w:t>
      </w:r>
      <w:r w:rsidRPr="00913E33">
        <w:rPr>
          <w:rFonts w:ascii="Arial" w:hAnsi="Arial" w:cs="Arial"/>
          <w:sz w:val="22"/>
          <w:szCs w:val="22"/>
          <w:lang w:val="fr-FR"/>
        </w:rPr>
        <w:t>ONG dans ces régions. Cette approche, par exemple pour l</w:t>
      </w:r>
      <w:r w:rsidR="008E532B">
        <w:rPr>
          <w:rFonts w:ascii="Arial" w:hAnsi="Arial" w:cs="Arial"/>
          <w:sz w:val="22"/>
          <w:szCs w:val="22"/>
          <w:lang w:val="fr-FR"/>
        </w:rPr>
        <w:t>’</w:t>
      </w:r>
      <w:r w:rsidRPr="00913E33">
        <w:rPr>
          <w:rFonts w:ascii="Arial" w:hAnsi="Arial" w:cs="Arial"/>
          <w:sz w:val="22"/>
          <w:szCs w:val="22"/>
          <w:lang w:val="fr-FR"/>
        </w:rPr>
        <w:t>Afrique, avait été fructueuse et avait déjà suscité l</w:t>
      </w:r>
      <w:r w:rsidR="008E532B">
        <w:rPr>
          <w:rFonts w:ascii="Arial" w:hAnsi="Arial" w:cs="Arial"/>
          <w:sz w:val="22"/>
          <w:szCs w:val="22"/>
          <w:lang w:val="fr-FR"/>
        </w:rPr>
        <w:t>’</w:t>
      </w:r>
      <w:r w:rsidRPr="00913E33">
        <w:rPr>
          <w:rFonts w:ascii="Arial" w:hAnsi="Arial" w:cs="Arial"/>
          <w:sz w:val="22"/>
          <w:szCs w:val="22"/>
          <w:lang w:val="fr-FR"/>
        </w:rPr>
        <w:t>intérêt de l</w:t>
      </w:r>
      <w:r w:rsidR="008E532B">
        <w:rPr>
          <w:rFonts w:ascii="Arial" w:hAnsi="Arial" w:cs="Arial"/>
          <w:sz w:val="22"/>
          <w:szCs w:val="22"/>
          <w:lang w:val="fr-FR"/>
        </w:rPr>
        <w:t>’</w:t>
      </w:r>
      <w:r w:rsidRPr="00913E33">
        <w:rPr>
          <w:rFonts w:ascii="Arial" w:hAnsi="Arial" w:cs="Arial"/>
          <w:sz w:val="22"/>
          <w:szCs w:val="22"/>
          <w:lang w:val="fr-FR"/>
        </w:rPr>
        <w:t>Amérique latine et des Caraïbes, ce qui ne ferait qu</w:t>
      </w:r>
      <w:r w:rsidR="008E532B">
        <w:rPr>
          <w:rFonts w:ascii="Arial" w:hAnsi="Arial" w:cs="Arial"/>
          <w:sz w:val="22"/>
          <w:szCs w:val="22"/>
          <w:lang w:val="fr-FR"/>
        </w:rPr>
        <w:t>’</w:t>
      </w:r>
      <w:r w:rsidRPr="00913E33">
        <w:rPr>
          <w:rFonts w:ascii="Arial" w:hAnsi="Arial" w:cs="Arial"/>
          <w:sz w:val="22"/>
          <w:szCs w:val="22"/>
          <w:lang w:val="fr-FR"/>
        </w:rPr>
        <w:t>augmenter la représentation d</w:t>
      </w:r>
      <w:r>
        <w:rPr>
          <w:rFonts w:ascii="Arial" w:hAnsi="Arial" w:cs="Arial"/>
          <w:sz w:val="22"/>
          <w:szCs w:val="22"/>
          <w:lang w:val="fr-FR"/>
        </w:rPr>
        <w:t>e</w:t>
      </w:r>
      <w:r w:rsidRPr="00913E33">
        <w:rPr>
          <w:rFonts w:ascii="Arial" w:hAnsi="Arial" w:cs="Arial"/>
          <w:sz w:val="22"/>
          <w:szCs w:val="22"/>
          <w:lang w:val="fr-FR"/>
        </w:rPr>
        <w:t xml:space="preserve"> ces régions. La mise en réseau </w:t>
      </w:r>
      <w:r>
        <w:rPr>
          <w:rFonts w:ascii="Arial" w:hAnsi="Arial" w:cs="Arial"/>
          <w:sz w:val="22"/>
          <w:szCs w:val="22"/>
          <w:lang w:val="fr-FR"/>
        </w:rPr>
        <w:t xml:space="preserve">au niveau de la région </w:t>
      </w:r>
      <w:r w:rsidRPr="00913E33">
        <w:rPr>
          <w:rFonts w:ascii="Arial" w:hAnsi="Arial" w:cs="Arial"/>
          <w:sz w:val="22"/>
          <w:szCs w:val="22"/>
          <w:lang w:val="fr-FR"/>
        </w:rPr>
        <w:t>et la création de groupes de travail régionaux sembl</w:t>
      </w:r>
      <w:r>
        <w:rPr>
          <w:rFonts w:ascii="Arial" w:hAnsi="Arial" w:cs="Arial"/>
          <w:sz w:val="22"/>
          <w:szCs w:val="22"/>
          <w:lang w:val="fr-FR"/>
        </w:rPr>
        <w:t>ai</w:t>
      </w:r>
      <w:r w:rsidRPr="00913E33">
        <w:rPr>
          <w:rFonts w:ascii="Arial" w:hAnsi="Arial" w:cs="Arial"/>
          <w:sz w:val="22"/>
          <w:szCs w:val="22"/>
          <w:lang w:val="fr-FR"/>
        </w:rPr>
        <w:t xml:space="preserve">ent être </w:t>
      </w:r>
      <w:r>
        <w:rPr>
          <w:rFonts w:ascii="Arial" w:hAnsi="Arial" w:cs="Arial"/>
          <w:sz w:val="22"/>
          <w:szCs w:val="22"/>
          <w:lang w:val="fr-FR"/>
        </w:rPr>
        <w:t>l</w:t>
      </w:r>
      <w:r w:rsidR="008E532B">
        <w:rPr>
          <w:rFonts w:ascii="Arial" w:hAnsi="Arial" w:cs="Arial"/>
          <w:sz w:val="22"/>
          <w:szCs w:val="22"/>
          <w:lang w:val="fr-FR"/>
        </w:rPr>
        <w:t>’</w:t>
      </w:r>
      <w:r w:rsidRPr="00913E33">
        <w:rPr>
          <w:rFonts w:ascii="Arial" w:hAnsi="Arial" w:cs="Arial"/>
          <w:sz w:val="22"/>
          <w:szCs w:val="22"/>
          <w:lang w:val="fr-FR"/>
        </w:rPr>
        <w:t>une des voies prometteuses</w:t>
      </w:r>
      <w:r>
        <w:rPr>
          <w:rFonts w:ascii="Arial" w:hAnsi="Arial" w:cs="Arial"/>
          <w:sz w:val="22"/>
          <w:szCs w:val="22"/>
          <w:lang w:val="fr-FR"/>
        </w:rPr>
        <w:t>, m</w:t>
      </w:r>
      <w:r w:rsidRPr="00913E33">
        <w:rPr>
          <w:rFonts w:ascii="Arial" w:hAnsi="Arial" w:cs="Arial"/>
          <w:sz w:val="22"/>
          <w:szCs w:val="22"/>
          <w:lang w:val="fr-FR"/>
        </w:rPr>
        <w:t>ais il y en a</w:t>
      </w:r>
      <w:r>
        <w:rPr>
          <w:rFonts w:ascii="Arial" w:hAnsi="Arial" w:cs="Arial"/>
          <w:sz w:val="22"/>
          <w:szCs w:val="22"/>
          <w:lang w:val="fr-FR"/>
        </w:rPr>
        <w:t xml:space="preserve">vait assurément bien </w:t>
      </w:r>
      <w:r w:rsidRPr="00913E33">
        <w:rPr>
          <w:rFonts w:ascii="Arial" w:hAnsi="Arial" w:cs="Arial"/>
          <w:sz w:val="22"/>
          <w:szCs w:val="22"/>
          <w:lang w:val="fr-FR"/>
        </w:rPr>
        <w:t>d</w:t>
      </w:r>
      <w:r w:rsidR="008E532B">
        <w:rPr>
          <w:rFonts w:ascii="Arial" w:hAnsi="Arial" w:cs="Arial"/>
          <w:sz w:val="22"/>
          <w:szCs w:val="22"/>
          <w:lang w:val="fr-FR"/>
        </w:rPr>
        <w:t>’</w:t>
      </w:r>
      <w:r w:rsidRPr="00913E33">
        <w:rPr>
          <w:rFonts w:ascii="Arial" w:hAnsi="Arial" w:cs="Arial"/>
          <w:sz w:val="22"/>
          <w:szCs w:val="22"/>
          <w:lang w:val="fr-FR"/>
        </w:rPr>
        <w:t>autres. M.</w:t>
      </w:r>
      <w:r>
        <w:rPr>
          <w:rFonts w:ascii="Arial" w:hAnsi="Arial" w:cs="Arial"/>
          <w:sz w:val="22"/>
          <w:szCs w:val="22"/>
          <w:lang w:val="fr-FR"/>
        </w:rPr>
        <w:t> </w:t>
      </w:r>
      <w:r w:rsidRPr="00913E33">
        <w:rPr>
          <w:rFonts w:ascii="Arial" w:hAnsi="Arial" w:cs="Arial"/>
          <w:sz w:val="22"/>
          <w:szCs w:val="22"/>
          <w:lang w:val="fr-FR"/>
        </w:rPr>
        <w:t>Turgeon a profité de l</w:t>
      </w:r>
      <w:r w:rsidR="008E532B">
        <w:rPr>
          <w:rFonts w:ascii="Arial" w:hAnsi="Arial" w:cs="Arial"/>
          <w:sz w:val="22"/>
          <w:szCs w:val="22"/>
          <w:lang w:val="fr-FR"/>
        </w:rPr>
        <w:t>’</w:t>
      </w:r>
      <w:r w:rsidRPr="00913E33">
        <w:rPr>
          <w:rFonts w:ascii="Arial" w:hAnsi="Arial" w:cs="Arial"/>
          <w:sz w:val="22"/>
          <w:szCs w:val="22"/>
          <w:lang w:val="fr-FR"/>
        </w:rPr>
        <w:t>occasion pour remercier M.</w:t>
      </w:r>
      <w:r>
        <w:rPr>
          <w:rFonts w:ascii="Arial" w:hAnsi="Arial" w:cs="Arial"/>
          <w:sz w:val="22"/>
          <w:szCs w:val="22"/>
          <w:lang w:val="fr-FR"/>
        </w:rPr>
        <w:t> </w:t>
      </w:r>
      <w:proofErr w:type="spellStart"/>
      <w:r w:rsidRPr="00913E33">
        <w:rPr>
          <w:rFonts w:ascii="Arial" w:hAnsi="Arial" w:cs="Arial"/>
          <w:sz w:val="22"/>
          <w:szCs w:val="22"/>
          <w:lang w:val="fr-FR"/>
        </w:rPr>
        <w:t>Leandro</w:t>
      </w:r>
      <w:proofErr w:type="spellEnd"/>
      <w:r w:rsidRPr="00913E33">
        <w:rPr>
          <w:rFonts w:ascii="Arial" w:hAnsi="Arial" w:cs="Arial"/>
          <w:sz w:val="22"/>
          <w:szCs w:val="22"/>
          <w:lang w:val="fr-FR"/>
        </w:rPr>
        <w:t xml:space="preserve"> </w:t>
      </w:r>
      <w:proofErr w:type="spellStart"/>
      <w:r w:rsidRPr="00913E33">
        <w:rPr>
          <w:rFonts w:ascii="Arial" w:hAnsi="Arial" w:cs="Arial"/>
          <w:sz w:val="22"/>
          <w:szCs w:val="22"/>
          <w:lang w:val="fr-FR"/>
        </w:rPr>
        <w:t>Peredo</w:t>
      </w:r>
      <w:proofErr w:type="spellEnd"/>
      <w:r w:rsidRPr="00913E33">
        <w:rPr>
          <w:rFonts w:ascii="Arial" w:hAnsi="Arial" w:cs="Arial"/>
          <w:sz w:val="22"/>
          <w:szCs w:val="22"/>
          <w:lang w:val="fr-FR"/>
        </w:rPr>
        <w:t xml:space="preserve"> du Secrétariat qui s</w:t>
      </w:r>
      <w:r w:rsidR="008E532B">
        <w:rPr>
          <w:rFonts w:ascii="Arial" w:hAnsi="Arial" w:cs="Arial"/>
          <w:sz w:val="22"/>
          <w:szCs w:val="22"/>
          <w:lang w:val="fr-FR"/>
        </w:rPr>
        <w:t>’</w:t>
      </w:r>
      <w:r w:rsidRPr="00913E33">
        <w:rPr>
          <w:rFonts w:ascii="Arial" w:hAnsi="Arial" w:cs="Arial"/>
          <w:sz w:val="22"/>
          <w:szCs w:val="22"/>
          <w:lang w:val="fr-FR"/>
        </w:rPr>
        <w:t>occupe du Forum et qui a</w:t>
      </w:r>
      <w:r>
        <w:rPr>
          <w:rFonts w:ascii="Arial" w:hAnsi="Arial" w:cs="Arial"/>
          <w:sz w:val="22"/>
          <w:szCs w:val="22"/>
          <w:lang w:val="fr-FR"/>
        </w:rPr>
        <w:t>vait</w:t>
      </w:r>
      <w:r w:rsidRPr="00913E33">
        <w:rPr>
          <w:rFonts w:ascii="Arial" w:hAnsi="Arial" w:cs="Arial"/>
          <w:sz w:val="22"/>
          <w:szCs w:val="22"/>
          <w:lang w:val="fr-FR"/>
        </w:rPr>
        <w:t xml:space="preserve"> été extrêmement généreux de son temps et de ses conseils, ajoutant que son travail pour le Forum était vraiment apprécié.</w:t>
      </w:r>
    </w:p>
    <w:p w14:paraId="326EFE39" w14:textId="77777777" w:rsidR="00D9653F" w:rsidRPr="00D9653F"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La </w:t>
      </w:r>
      <w:r w:rsidRPr="00C624A6">
        <w:rPr>
          <w:rFonts w:ascii="Arial" w:hAnsi="Arial" w:cs="Arial"/>
          <w:b/>
          <w:bCs/>
          <w:sz w:val="22"/>
          <w:szCs w:val="22"/>
          <w:lang w:val="fr-FR"/>
        </w:rPr>
        <w:t>Présidente</w:t>
      </w:r>
      <w:r>
        <w:rPr>
          <w:rFonts w:ascii="Arial" w:hAnsi="Arial" w:cs="Arial"/>
          <w:sz w:val="22"/>
          <w:szCs w:val="22"/>
          <w:lang w:val="fr-FR"/>
        </w:rPr>
        <w:t xml:space="preserve"> a remercié M. Turgeon et tous les orateurs pour cet échange très fructueux et a mis un terme au débat.</w:t>
      </w:r>
    </w:p>
    <w:p w14:paraId="2C398539" w14:textId="14C2CDC6" w:rsidR="00D9653F" w:rsidRPr="00A96116" w:rsidRDefault="00D9653F" w:rsidP="00A96116">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A96116">
        <w:rPr>
          <w:b/>
          <w:color w:val="000000" w:themeColor="text1"/>
          <w:u w:val="single"/>
          <w:lang w:val="fr-FR"/>
        </w:rPr>
        <w:t>POINT 7 DE L</w:t>
      </w:r>
      <w:r w:rsidR="008E532B">
        <w:rPr>
          <w:b/>
          <w:color w:val="000000" w:themeColor="text1"/>
          <w:u w:val="single"/>
          <w:lang w:val="fr-FR"/>
        </w:rPr>
        <w:t>’</w:t>
      </w:r>
      <w:r w:rsidRPr="00A96116">
        <w:rPr>
          <w:b/>
          <w:color w:val="000000" w:themeColor="text1"/>
          <w:u w:val="single"/>
          <w:lang w:val="fr-FR"/>
        </w:rPr>
        <w:t>ORDRE DU JOUR :</w:t>
      </w:r>
    </w:p>
    <w:p w14:paraId="05CF7EF0" w14:textId="105CE91E" w:rsidR="00D9653F" w:rsidRPr="009F6BC9" w:rsidRDefault="00D9653F" w:rsidP="00A96116">
      <w:pPr>
        <w:pStyle w:val="Orateurengris"/>
        <w:tabs>
          <w:tab w:val="clear" w:pos="709"/>
          <w:tab w:val="clear" w:pos="1418"/>
          <w:tab w:val="clear" w:pos="2126"/>
          <w:tab w:val="clear" w:pos="2835"/>
        </w:tabs>
        <w:outlineLvl w:val="0"/>
        <w:rPr>
          <w:b/>
          <w:color w:val="000000" w:themeColor="text1"/>
          <w:lang w:val="fr-FR"/>
        </w:rPr>
      </w:pPr>
      <w:r w:rsidRPr="009F6BC9">
        <w:rPr>
          <w:b/>
          <w:color w:val="000000" w:themeColor="text1"/>
          <w:lang w:val="fr-FR"/>
        </w:rPr>
        <w:t>ACCRÉDITATION DES ORGANISATIONS NON GOUVERNEMENTALES À DES FINS D</w:t>
      </w:r>
      <w:r w:rsidR="008E532B">
        <w:rPr>
          <w:b/>
          <w:color w:val="000000" w:themeColor="text1"/>
          <w:lang w:val="fr-FR"/>
        </w:rPr>
        <w:t>’</w:t>
      </w:r>
      <w:r w:rsidRPr="009F6BC9">
        <w:rPr>
          <w:b/>
          <w:color w:val="000000" w:themeColor="text1"/>
          <w:lang w:val="fr-FR"/>
        </w:rPr>
        <w:t>ASSISTANCE CONSULTATIVE AUPRÈS DU COMITÉ</w:t>
      </w:r>
    </w:p>
    <w:p w14:paraId="04457191" w14:textId="476D7C26" w:rsidR="00D9653F" w:rsidRPr="000438FF" w:rsidRDefault="00D9653F" w:rsidP="000438FF">
      <w:pPr>
        <w:tabs>
          <w:tab w:val="left" w:pos="567"/>
          <w:tab w:val="left" w:pos="2127"/>
        </w:tabs>
        <w:suppressAutoHyphens/>
        <w:autoSpaceDE w:val="0"/>
        <w:jc w:val="both"/>
        <w:rPr>
          <w:rFonts w:ascii="Arial" w:eastAsia="SimSun" w:hAnsi="Arial" w:cs="Arial"/>
          <w:bCs/>
          <w:i/>
          <w:iCs/>
          <w:sz w:val="22"/>
          <w:szCs w:val="22"/>
          <w:lang w:val="fr-FR" w:eastAsia="en-US"/>
        </w:rPr>
      </w:pPr>
      <w:r w:rsidRPr="00EA1A51">
        <w:rPr>
          <w:rFonts w:ascii="Arial" w:eastAsia="SimSun" w:hAnsi="Arial" w:cs="Arial"/>
          <w:bCs/>
          <w:sz w:val="22"/>
          <w:szCs w:val="22"/>
          <w:lang w:val="fr-FR" w:eastAsia="en-US"/>
        </w:rPr>
        <w:tab/>
      </w:r>
      <w:r>
        <w:rPr>
          <w:rFonts w:ascii="Arial" w:eastAsia="SimSun" w:hAnsi="Arial" w:cs="Arial"/>
          <w:b/>
          <w:sz w:val="22"/>
          <w:szCs w:val="22"/>
          <w:lang w:val="fr-FR" w:eastAsia="en-US"/>
        </w:rPr>
        <w:t>Document</w:t>
      </w:r>
      <w:r w:rsidR="00BA6601">
        <w:rPr>
          <w:rFonts w:ascii="Arial" w:eastAsia="SimSun" w:hAnsi="Arial" w:cs="Arial"/>
          <w:b/>
          <w:sz w:val="22"/>
          <w:szCs w:val="22"/>
          <w:lang w:val="fr-FR" w:eastAsia="en-US"/>
        </w:rPr>
        <w:t>s</w:t>
      </w:r>
      <w:r>
        <w:rPr>
          <w:rFonts w:ascii="Arial" w:eastAsia="SimSun" w:hAnsi="Arial" w:cs="Arial"/>
          <w:b/>
          <w:sz w:val="22"/>
          <w:szCs w:val="22"/>
          <w:lang w:val="fr-FR" w:eastAsia="en-US"/>
        </w:rPr>
        <w:t> :</w:t>
      </w:r>
      <w:r w:rsidR="00BA6601">
        <w:rPr>
          <w:rFonts w:ascii="Arial" w:eastAsia="SimSun" w:hAnsi="Arial" w:cs="Arial"/>
          <w:b/>
          <w:sz w:val="22"/>
          <w:szCs w:val="22"/>
          <w:lang w:val="fr-FR" w:eastAsia="en-US"/>
        </w:rPr>
        <w:tab/>
      </w:r>
      <w:hyperlink r:id="rId36" w:history="1">
        <w:r w:rsidRPr="000438FF">
          <w:rPr>
            <w:rStyle w:val="Hyperlink"/>
            <w:rFonts w:ascii="Arial" w:eastAsia="SimSun" w:hAnsi="Arial" w:cs="Arial"/>
            <w:bCs/>
            <w:i/>
            <w:iCs/>
            <w:sz w:val="22"/>
            <w:szCs w:val="22"/>
            <w:lang w:val="fr-FR" w:eastAsia="en-US"/>
          </w:rPr>
          <w:t>LHE/22/9.GA/7</w:t>
        </w:r>
      </w:hyperlink>
    </w:p>
    <w:p w14:paraId="772279E0" w14:textId="4200F56C" w:rsidR="00D9653F" w:rsidRPr="000438FF" w:rsidRDefault="00D9653F" w:rsidP="000438FF">
      <w:pPr>
        <w:tabs>
          <w:tab w:val="left" w:pos="567"/>
          <w:tab w:val="left" w:pos="2127"/>
          <w:tab w:val="left" w:pos="2977"/>
        </w:tabs>
        <w:suppressAutoHyphens/>
        <w:autoSpaceDE w:val="0"/>
        <w:spacing w:after="120"/>
        <w:jc w:val="both"/>
        <w:rPr>
          <w:rFonts w:ascii="Arial" w:eastAsia="SimSun" w:hAnsi="Arial" w:cs="Arial"/>
          <w:bCs/>
          <w:i/>
          <w:iCs/>
          <w:sz w:val="22"/>
          <w:szCs w:val="22"/>
          <w:lang w:val="fr-FR" w:eastAsia="en-US"/>
        </w:rPr>
      </w:pPr>
      <w:r w:rsidRPr="000438FF">
        <w:rPr>
          <w:rFonts w:ascii="Arial" w:eastAsia="SimSun" w:hAnsi="Arial" w:cs="Arial"/>
          <w:bCs/>
          <w:i/>
          <w:iCs/>
          <w:sz w:val="22"/>
          <w:szCs w:val="22"/>
          <w:lang w:val="fr-FR" w:eastAsia="en-US"/>
        </w:rPr>
        <w:tab/>
      </w:r>
      <w:r w:rsidR="00BA6601" w:rsidRPr="000438FF">
        <w:rPr>
          <w:rFonts w:ascii="Arial" w:eastAsia="SimSun" w:hAnsi="Arial" w:cs="Arial"/>
          <w:bCs/>
          <w:i/>
          <w:iCs/>
          <w:sz w:val="22"/>
          <w:szCs w:val="22"/>
          <w:lang w:val="fr-FR" w:eastAsia="en-US"/>
        </w:rPr>
        <w:tab/>
      </w:r>
      <w:hyperlink r:id="rId37" w:history="1">
        <w:r w:rsidRPr="004D7E2E">
          <w:rPr>
            <w:rStyle w:val="Hyperlink"/>
            <w:rFonts w:ascii="Arial" w:eastAsia="SimSun" w:hAnsi="Arial" w:cs="Arial"/>
            <w:bCs/>
            <w:i/>
            <w:iCs/>
            <w:sz w:val="22"/>
            <w:szCs w:val="22"/>
            <w:lang w:val="fr-FR" w:eastAsia="en-US"/>
          </w:rPr>
          <w:t>46 demandes</w:t>
        </w:r>
      </w:hyperlink>
      <w:r w:rsidRPr="000438FF">
        <w:rPr>
          <w:rFonts w:ascii="Arial" w:eastAsia="SimSun" w:hAnsi="Arial" w:cs="Arial"/>
          <w:bCs/>
          <w:i/>
          <w:iCs/>
          <w:sz w:val="22"/>
          <w:szCs w:val="22"/>
          <w:lang w:val="fr-FR" w:eastAsia="en-US"/>
        </w:rPr>
        <w:t xml:space="preserve"> </w:t>
      </w:r>
    </w:p>
    <w:p w14:paraId="273F016E" w14:textId="39D40CD9" w:rsidR="00D9653F" w:rsidRPr="00EA1A51" w:rsidRDefault="00D9653F" w:rsidP="000438FF">
      <w:pPr>
        <w:tabs>
          <w:tab w:val="left" w:pos="567"/>
          <w:tab w:val="left" w:pos="2127"/>
        </w:tabs>
        <w:suppressAutoHyphens/>
        <w:autoSpaceDE w:val="0"/>
        <w:spacing w:before="120" w:after="240"/>
        <w:jc w:val="both"/>
        <w:rPr>
          <w:rFonts w:ascii="Arial" w:eastAsia="SimSun" w:hAnsi="Arial" w:cs="Arial"/>
          <w:bCs/>
          <w:sz w:val="22"/>
          <w:szCs w:val="22"/>
          <w:lang w:val="fr-FR" w:eastAsia="en-US"/>
        </w:rPr>
      </w:pPr>
      <w:r w:rsidRPr="00EA1A51">
        <w:rPr>
          <w:rFonts w:ascii="Arial" w:eastAsia="SimSun" w:hAnsi="Arial" w:cs="Arial"/>
          <w:bCs/>
          <w:sz w:val="22"/>
          <w:szCs w:val="22"/>
          <w:lang w:val="fr-FR" w:eastAsia="en-US"/>
        </w:rPr>
        <w:tab/>
      </w:r>
      <w:r w:rsidRPr="00EA1A51">
        <w:rPr>
          <w:rFonts w:ascii="Arial" w:eastAsia="SimSun" w:hAnsi="Arial" w:cs="Arial"/>
          <w:b/>
          <w:sz w:val="22"/>
          <w:szCs w:val="22"/>
          <w:lang w:val="fr-FR" w:eastAsia="en-US"/>
        </w:rPr>
        <w:t>R</w:t>
      </w:r>
      <w:r>
        <w:rPr>
          <w:rFonts w:ascii="Arial" w:eastAsia="SimSun" w:hAnsi="Arial" w:cs="Arial"/>
          <w:b/>
          <w:sz w:val="22"/>
          <w:szCs w:val="22"/>
          <w:lang w:val="fr-FR" w:eastAsia="en-US"/>
        </w:rPr>
        <w:t>é</w:t>
      </w:r>
      <w:r w:rsidRPr="00EA1A51">
        <w:rPr>
          <w:rFonts w:ascii="Arial" w:eastAsia="SimSun" w:hAnsi="Arial" w:cs="Arial"/>
          <w:b/>
          <w:sz w:val="22"/>
          <w:szCs w:val="22"/>
          <w:lang w:val="fr-FR" w:eastAsia="en-US"/>
        </w:rPr>
        <w:t>solution</w:t>
      </w:r>
      <w:r>
        <w:rPr>
          <w:rFonts w:ascii="Arial" w:eastAsia="SimSun" w:hAnsi="Arial" w:cs="Arial"/>
          <w:b/>
          <w:sz w:val="22"/>
          <w:szCs w:val="22"/>
          <w:lang w:val="fr-FR" w:eastAsia="en-US"/>
        </w:rPr>
        <w:t> </w:t>
      </w:r>
      <w:r w:rsidRPr="00EA1A51">
        <w:rPr>
          <w:rFonts w:ascii="Arial" w:eastAsia="SimSun" w:hAnsi="Arial" w:cs="Arial"/>
          <w:bCs/>
          <w:sz w:val="22"/>
          <w:szCs w:val="22"/>
          <w:lang w:val="fr-FR" w:eastAsia="en-US"/>
        </w:rPr>
        <w:t xml:space="preserve">: </w:t>
      </w:r>
      <w:r w:rsidR="00BA6601">
        <w:rPr>
          <w:rFonts w:ascii="Arial" w:eastAsia="SimSun" w:hAnsi="Arial" w:cs="Arial"/>
          <w:bCs/>
          <w:sz w:val="22"/>
          <w:szCs w:val="22"/>
          <w:lang w:val="fr-FR" w:eastAsia="en-US"/>
        </w:rPr>
        <w:tab/>
      </w:r>
      <w:hyperlink r:id="rId38" w:history="1">
        <w:r w:rsidRPr="00EA1A51">
          <w:rPr>
            <w:rStyle w:val="Hyperlink"/>
            <w:rFonts w:ascii="Arial" w:eastAsia="SimSun" w:hAnsi="Arial" w:cs="Arial"/>
            <w:bCs/>
            <w:i/>
            <w:iCs/>
            <w:sz w:val="22"/>
            <w:szCs w:val="22"/>
            <w:lang w:val="fr-FR" w:eastAsia="en-US"/>
          </w:rPr>
          <w:t>9.GA 7</w:t>
        </w:r>
      </w:hyperlink>
    </w:p>
    <w:p w14:paraId="3726A7CA" w14:textId="1C1ACAC0" w:rsidR="00D9653F" w:rsidRPr="00A46253" w:rsidRDefault="00D9653F" w:rsidP="00D9653F">
      <w:pPr>
        <w:numPr>
          <w:ilvl w:val="0"/>
          <w:numId w:val="19"/>
        </w:numPr>
        <w:suppressAutoHyphens/>
        <w:autoSpaceDE w:val="0"/>
        <w:ind w:left="567" w:hanging="567"/>
        <w:jc w:val="both"/>
        <w:rPr>
          <w:rFonts w:ascii="Arial" w:hAnsi="Arial" w:cs="Arial"/>
          <w:sz w:val="22"/>
          <w:szCs w:val="22"/>
          <w:lang w:val="fr-FR"/>
        </w:rPr>
      </w:pPr>
      <w:r>
        <w:rPr>
          <w:rFonts w:ascii="Arial" w:hAnsi="Arial" w:cs="Arial"/>
          <w:sz w:val="22"/>
          <w:szCs w:val="22"/>
          <w:lang w:val="fr-FR"/>
        </w:rPr>
        <w:t xml:space="preserve">La </w:t>
      </w:r>
      <w:r w:rsidRPr="00A46253">
        <w:rPr>
          <w:rFonts w:ascii="Arial" w:hAnsi="Arial" w:cs="Arial"/>
          <w:b/>
          <w:bCs/>
          <w:sz w:val="22"/>
          <w:szCs w:val="22"/>
          <w:lang w:val="fr-FR"/>
        </w:rPr>
        <w:t>Présidente</w:t>
      </w:r>
      <w:r>
        <w:rPr>
          <w:rFonts w:ascii="Arial" w:hAnsi="Arial" w:cs="Arial"/>
          <w:sz w:val="22"/>
          <w:szCs w:val="22"/>
          <w:lang w:val="fr-FR"/>
        </w:rPr>
        <w:t xml:space="preserve"> est passée au point 7, l</w:t>
      </w:r>
      <w:r w:rsidR="008E532B">
        <w:rPr>
          <w:rFonts w:ascii="Arial" w:hAnsi="Arial" w:cs="Arial"/>
          <w:sz w:val="22"/>
          <w:szCs w:val="22"/>
          <w:lang w:val="fr-FR"/>
        </w:rPr>
        <w:t>’</w:t>
      </w:r>
      <w:r>
        <w:rPr>
          <w:rFonts w:ascii="Arial" w:hAnsi="Arial" w:cs="Arial"/>
          <w:sz w:val="22"/>
          <w:szCs w:val="22"/>
          <w:lang w:val="fr-FR"/>
        </w:rPr>
        <w:t>accréditation des ONG à des fins d</w:t>
      </w:r>
      <w:r w:rsidR="008E532B">
        <w:rPr>
          <w:rFonts w:ascii="Arial" w:hAnsi="Arial" w:cs="Arial"/>
          <w:sz w:val="22"/>
          <w:szCs w:val="22"/>
          <w:lang w:val="fr-FR"/>
        </w:rPr>
        <w:t>’</w:t>
      </w:r>
      <w:r>
        <w:rPr>
          <w:rFonts w:ascii="Arial" w:hAnsi="Arial" w:cs="Arial"/>
          <w:sz w:val="22"/>
          <w:szCs w:val="22"/>
          <w:lang w:val="fr-FR"/>
        </w:rPr>
        <w:t xml:space="preserve">assistance </w:t>
      </w:r>
      <w:r w:rsidRPr="00A46253">
        <w:rPr>
          <w:rFonts w:ascii="Arial" w:hAnsi="Arial" w:cs="Arial"/>
          <w:sz w:val="22"/>
          <w:szCs w:val="22"/>
          <w:lang w:val="fr-FR"/>
        </w:rPr>
        <w:t>consultati</w:t>
      </w:r>
      <w:r>
        <w:rPr>
          <w:rFonts w:ascii="Arial" w:hAnsi="Arial" w:cs="Arial"/>
          <w:sz w:val="22"/>
          <w:szCs w:val="22"/>
          <w:lang w:val="fr-FR"/>
        </w:rPr>
        <w:t xml:space="preserve">ve auprès du </w:t>
      </w:r>
      <w:r w:rsidRPr="00A46253">
        <w:rPr>
          <w:rFonts w:ascii="Arial" w:hAnsi="Arial" w:cs="Arial"/>
          <w:bCs/>
          <w:color w:val="000000" w:themeColor="text1"/>
          <w:sz w:val="22"/>
          <w:szCs w:val="22"/>
          <w:lang w:val="fr-FR"/>
        </w:rPr>
        <w:t>Comité</w:t>
      </w:r>
      <w:r>
        <w:rPr>
          <w:rFonts w:ascii="Arial" w:hAnsi="Arial" w:cs="Arial"/>
          <w:bCs/>
          <w:color w:val="000000" w:themeColor="text1"/>
          <w:sz w:val="22"/>
          <w:szCs w:val="22"/>
          <w:lang w:val="fr-FR"/>
        </w:rPr>
        <w:t>.</w:t>
      </w:r>
    </w:p>
    <w:p w14:paraId="60FFB2A8" w14:textId="4644B6BA" w:rsidR="00D9653F" w:rsidRPr="004D5235"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A46253">
        <w:rPr>
          <w:rFonts w:ascii="Arial" w:hAnsi="Arial" w:cs="Arial"/>
          <w:sz w:val="22"/>
          <w:szCs w:val="22"/>
          <w:lang w:val="fr-FR"/>
        </w:rPr>
        <w:t xml:space="preserve">Le </w:t>
      </w:r>
      <w:r w:rsidRPr="00A46253">
        <w:rPr>
          <w:rFonts w:ascii="Arial" w:hAnsi="Arial" w:cs="Arial"/>
          <w:b/>
          <w:bCs/>
          <w:sz w:val="22"/>
          <w:szCs w:val="22"/>
          <w:lang w:val="fr-FR"/>
        </w:rPr>
        <w:t>Sous-Directeur général</w:t>
      </w:r>
      <w:r w:rsidRPr="00A46253">
        <w:rPr>
          <w:rFonts w:ascii="Arial" w:hAnsi="Arial" w:cs="Arial"/>
          <w:sz w:val="22"/>
          <w:szCs w:val="22"/>
          <w:lang w:val="fr-FR"/>
        </w:rPr>
        <w:t xml:space="preserve"> a fait référence au document de travail 7. </w:t>
      </w:r>
      <w:r>
        <w:rPr>
          <w:rFonts w:ascii="Arial" w:hAnsi="Arial" w:cs="Arial"/>
          <w:sz w:val="22"/>
          <w:szCs w:val="22"/>
          <w:lang w:val="fr-FR"/>
        </w:rPr>
        <w:t>Il a rappelé qu</w:t>
      </w:r>
      <w:r w:rsidR="008E532B">
        <w:rPr>
          <w:rFonts w:ascii="Arial" w:hAnsi="Arial" w:cs="Arial"/>
          <w:sz w:val="22"/>
          <w:szCs w:val="22"/>
          <w:lang w:val="fr-FR"/>
        </w:rPr>
        <w:t>’</w:t>
      </w:r>
      <w:r>
        <w:rPr>
          <w:rFonts w:ascii="Arial" w:hAnsi="Arial" w:cs="Arial"/>
          <w:sz w:val="22"/>
          <w:szCs w:val="22"/>
          <w:lang w:val="fr-FR"/>
        </w:rPr>
        <w:t>aux termes de</w:t>
      </w:r>
      <w:r w:rsidRPr="00A46253">
        <w:rPr>
          <w:rFonts w:ascii="Arial" w:hAnsi="Arial" w:cs="Arial"/>
          <w:sz w:val="22"/>
          <w:szCs w:val="22"/>
          <w:lang w:val="fr-FR"/>
        </w:rPr>
        <w:t xml:space="preserve"> l</w:t>
      </w:r>
      <w:r w:rsidR="008E532B">
        <w:rPr>
          <w:rFonts w:ascii="Arial" w:hAnsi="Arial" w:cs="Arial"/>
          <w:sz w:val="22"/>
          <w:szCs w:val="22"/>
          <w:lang w:val="fr-FR"/>
        </w:rPr>
        <w:t>’</w:t>
      </w:r>
      <w:r w:rsidRPr="00A46253">
        <w:rPr>
          <w:rFonts w:ascii="Arial" w:hAnsi="Arial" w:cs="Arial"/>
          <w:sz w:val="22"/>
          <w:szCs w:val="22"/>
          <w:lang w:val="fr-FR"/>
        </w:rPr>
        <w:t>article</w:t>
      </w:r>
      <w:r>
        <w:rPr>
          <w:rFonts w:ascii="Arial" w:hAnsi="Arial" w:cs="Arial"/>
          <w:sz w:val="22"/>
          <w:szCs w:val="22"/>
          <w:lang w:val="fr-FR"/>
        </w:rPr>
        <w:t> </w:t>
      </w:r>
      <w:r w:rsidRPr="00A46253">
        <w:rPr>
          <w:rFonts w:ascii="Arial" w:hAnsi="Arial" w:cs="Arial"/>
          <w:sz w:val="22"/>
          <w:szCs w:val="22"/>
          <w:lang w:val="fr-FR"/>
        </w:rPr>
        <w:t xml:space="preserve">9.1 de la Convention, </w:t>
      </w:r>
      <w:r>
        <w:rPr>
          <w:rFonts w:ascii="Arial" w:hAnsi="Arial" w:cs="Arial"/>
          <w:sz w:val="22"/>
          <w:szCs w:val="22"/>
          <w:lang w:val="fr-FR"/>
        </w:rPr>
        <w:t>« L</w:t>
      </w:r>
      <w:r w:rsidRPr="00A46253">
        <w:rPr>
          <w:rFonts w:ascii="Arial" w:hAnsi="Arial" w:cs="Arial"/>
          <w:sz w:val="22"/>
          <w:szCs w:val="22"/>
          <w:lang w:val="fr-FR"/>
        </w:rPr>
        <w:t>e Comité propose</w:t>
      </w:r>
      <w:r>
        <w:rPr>
          <w:rFonts w:ascii="Arial" w:hAnsi="Arial" w:cs="Arial"/>
          <w:sz w:val="22"/>
          <w:szCs w:val="22"/>
          <w:lang w:val="fr-FR"/>
        </w:rPr>
        <w:t xml:space="preserve"> à l</w:t>
      </w:r>
      <w:r w:rsidR="008E532B">
        <w:rPr>
          <w:rFonts w:ascii="Arial" w:hAnsi="Arial" w:cs="Arial"/>
          <w:sz w:val="22"/>
          <w:szCs w:val="22"/>
          <w:lang w:val="fr-FR"/>
        </w:rPr>
        <w:t>’</w:t>
      </w:r>
      <w:r>
        <w:rPr>
          <w:rFonts w:ascii="Arial" w:hAnsi="Arial" w:cs="Arial"/>
          <w:sz w:val="22"/>
          <w:szCs w:val="22"/>
          <w:lang w:val="fr-FR"/>
        </w:rPr>
        <w:t xml:space="preserve">Assemblée générale </w:t>
      </w:r>
      <w:r w:rsidRPr="00A46253">
        <w:rPr>
          <w:rFonts w:ascii="Arial" w:hAnsi="Arial" w:cs="Arial"/>
          <w:sz w:val="22"/>
          <w:szCs w:val="22"/>
          <w:lang w:val="fr-FR"/>
        </w:rPr>
        <w:t>l</w:t>
      </w:r>
      <w:r w:rsidR="008E532B">
        <w:rPr>
          <w:rFonts w:ascii="Arial" w:hAnsi="Arial" w:cs="Arial"/>
          <w:sz w:val="22"/>
          <w:szCs w:val="22"/>
          <w:lang w:val="fr-FR"/>
        </w:rPr>
        <w:t>’</w:t>
      </w:r>
      <w:r w:rsidRPr="00A46253">
        <w:rPr>
          <w:rFonts w:ascii="Arial" w:hAnsi="Arial" w:cs="Arial"/>
          <w:sz w:val="22"/>
          <w:szCs w:val="22"/>
          <w:lang w:val="fr-FR"/>
        </w:rPr>
        <w:t>accréditation d</w:t>
      </w:r>
      <w:r w:rsidR="008E532B">
        <w:rPr>
          <w:rFonts w:ascii="Arial" w:hAnsi="Arial" w:cs="Arial"/>
          <w:sz w:val="22"/>
          <w:szCs w:val="22"/>
          <w:lang w:val="fr-FR"/>
        </w:rPr>
        <w:t>’</w:t>
      </w:r>
      <w:r w:rsidRPr="00A46253">
        <w:rPr>
          <w:rFonts w:ascii="Arial" w:hAnsi="Arial" w:cs="Arial"/>
          <w:sz w:val="22"/>
          <w:szCs w:val="22"/>
          <w:lang w:val="fr-FR"/>
        </w:rPr>
        <w:t>organisatio</w:t>
      </w:r>
      <w:r>
        <w:rPr>
          <w:rFonts w:ascii="Arial" w:hAnsi="Arial" w:cs="Arial"/>
          <w:sz w:val="22"/>
          <w:szCs w:val="22"/>
          <w:lang w:val="fr-FR"/>
        </w:rPr>
        <w:t>ns non g</w:t>
      </w:r>
      <w:r w:rsidRPr="00A46253">
        <w:rPr>
          <w:rFonts w:ascii="Arial" w:hAnsi="Arial" w:cs="Arial"/>
          <w:sz w:val="22"/>
          <w:szCs w:val="22"/>
          <w:lang w:val="fr-FR"/>
        </w:rPr>
        <w:t>ouvernemen</w:t>
      </w:r>
      <w:r>
        <w:rPr>
          <w:rFonts w:ascii="Arial" w:hAnsi="Arial" w:cs="Arial"/>
          <w:sz w:val="22"/>
          <w:szCs w:val="22"/>
          <w:lang w:val="fr-FR"/>
        </w:rPr>
        <w:t>tales</w:t>
      </w:r>
      <w:r w:rsidRPr="00A46253">
        <w:rPr>
          <w:rFonts w:ascii="Arial" w:hAnsi="Arial" w:cs="Arial"/>
          <w:sz w:val="22"/>
          <w:szCs w:val="22"/>
          <w:lang w:val="fr-FR"/>
        </w:rPr>
        <w:t xml:space="preserve"> </w:t>
      </w:r>
      <w:r>
        <w:rPr>
          <w:rFonts w:ascii="Arial" w:hAnsi="Arial" w:cs="Arial"/>
          <w:sz w:val="22"/>
          <w:szCs w:val="22"/>
          <w:lang w:val="fr-FR"/>
        </w:rPr>
        <w:t xml:space="preserve">possédant des </w:t>
      </w:r>
      <w:r w:rsidRPr="00A46253">
        <w:rPr>
          <w:rFonts w:ascii="Arial" w:hAnsi="Arial" w:cs="Arial"/>
          <w:sz w:val="22"/>
          <w:szCs w:val="22"/>
          <w:lang w:val="fr-FR"/>
        </w:rPr>
        <w:t>compétence</w:t>
      </w:r>
      <w:r>
        <w:rPr>
          <w:rFonts w:ascii="Arial" w:hAnsi="Arial" w:cs="Arial"/>
          <w:sz w:val="22"/>
          <w:szCs w:val="22"/>
          <w:lang w:val="fr-FR"/>
        </w:rPr>
        <w:t>s avérées</w:t>
      </w:r>
      <w:r w:rsidRPr="00A46253">
        <w:rPr>
          <w:rFonts w:ascii="Arial" w:hAnsi="Arial" w:cs="Arial"/>
          <w:sz w:val="22"/>
          <w:szCs w:val="22"/>
          <w:lang w:val="fr-FR"/>
        </w:rPr>
        <w:t xml:space="preserve"> dans le domaine du </w:t>
      </w:r>
      <w:r>
        <w:rPr>
          <w:rFonts w:ascii="Arial" w:hAnsi="Arial" w:cs="Arial"/>
          <w:sz w:val="22"/>
          <w:szCs w:val="22"/>
          <w:lang w:val="fr-FR"/>
        </w:rPr>
        <w:t xml:space="preserve">patrimoine culturel immatériel. Ces </w:t>
      </w:r>
      <w:r w:rsidRPr="00A46253">
        <w:rPr>
          <w:rFonts w:ascii="Arial" w:hAnsi="Arial" w:cs="Arial"/>
          <w:sz w:val="22"/>
          <w:szCs w:val="22"/>
          <w:lang w:val="fr-FR"/>
        </w:rPr>
        <w:t>organisation</w:t>
      </w:r>
      <w:r>
        <w:rPr>
          <w:rFonts w:ascii="Arial" w:hAnsi="Arial" w:cs="Arial"/>
          <w:sz w:val="22"/>
          <w:szCs w:val="22"/>
          <w:lang w:val="fr-FR"/>
        </w:rPr>
        <w:t xml:space="preserve">s auront des fonctions </w:t>
      </w:r>
      <w:r w:rsidRPr="00A46253">
        <w:rPr>
          <w:rFonts w:ascii="Arial" w:hAnsi="Arial" w:cs="Arial"/>
          <w:sz w:val="22"/>
          <w:szCs w:val="22"/>
          <w:lang w:val="fr-FR"/>
        </w:rPr>
        <w:t>consultati</w:t>
      </w:r>
      <w:r>
        <w:rPr>
          <w:rFonts w:ascii="Arial" w:hAnsi="Arial" w:cs="Arial"/>
          <w:sz w:val="22"/>
          <w:szCs w:val="22"/>
          <w:lang w:val="fr-FR"/>
        </w:rPr>
        <w:t>ves auprès du</w:t>
      </w:r>
      <w:r w:rsidRPr="00A46253">
        <w:rPr>
          <w:rFonts w:ascii="Arial" w:hAnsi="Arial" w:cs="Arial"/>
          <w:sz w:val="22"/>
          <w:szCs w:val="22"/>
          <w:lang w:val="fr-FR"/>
        </w:rPr>
        <w:t xml:space="preserve"> Comité.</w:t>
      </w:r>
      <w:r>
        <w:rPr>
          <w:rFonts w:ascii="Arial" w:hAnsi="Arial" w:cs="Arial"/>
          <w:sz w:val="22"/>
          <w:szCs w:val="22"/>
          <w:lang w:val="fr-FR"/>
        </w:rPr>
        <w:t> »</w:t>
      </w:r>
      <w:r w:rsidRPr="00A46253">
        <w:rPr>
          <w:rFonts w:ascii="Arial" w:hAnsi="Arial" w:cs="Arial"/>
          <w:sz w:val="22"/>
          <w:szCs w:val="22"/>
          <w:lang w:val="fr-FR"/>
        </w:rPr>
        <w:t xml:space="preserve"> C</w:t>
      </w:r>
      <w:r w:rsidR="008E532B">
        <w:rPr>
          <w:rFonts w:ascii="Arial" w:hAnsi="Arial" w:cs="Arial"/>
          <w:sz w:val="22"/>
          <w:szCs w:val="22"/>
          <w:lang w:val="fr-FR"/>
        </w:rPr>
        <w:t>’</w:t>
      </w:r>
      <w:r>
        <w:rPr>
          <w:rFonts w:ascii="Arial" w:hAnsi="Arial" w:cs="Arial"/>
          <w:sz w:val="22"/>
          <w:szCs w:val="22"/>
          <w:lang w:val="fr-FR"/>
        </w:rPr>
        <w:t>était</w:t>
      </w:r>
      <w:r w:rsidRPr="00A46253">
        <w:rPr>
          <w:rFonts w:ascii="Arial" w:hAnsi="Arial" w:cs="Arial"/>
          <w:sz w:val="22"/>
          <w:szCs w:val="22"/>
          <w:lang w:val="fr-FR"/>
        </w:rPr>
        <w:t xml:space="preserve"> la septième fois que l</w:t>
      </w:r>
      <w:r w:rsidR="008E532B">
        <w:rPr>
          <w:rFonts w:ascii="Arial" w:hAnsi="Arial" w:cs="Arial"/>
          <w:sz w:val="22"/>
          <w:szCs w:val="22"/>
          <w:lang w:val="fr-FR"/>
        </w:rPr>
        <w:t>’</w:t>
      </w:r>
      <w:r w:rsidRPr="00A46253">
        <w:rPr>
          <w:rFonts w:ascii="Arial" w:hAnsi="Arial" w:cs="Arial"/>
          <w:sz w:val="22"/>
          <w:szCs w:val="22"/>
          <w:lang w:val="fr-FR"/>
        </w:rPr>
        <w:t>Assemblée examin</w:t>
      </w:r>
      <w:r>
        <w:rPr>
          <w:rFonts w:ascii="Arial" w:hAnsi="Arial" w:cs="Arial"/>
          <w:sz w:val="22"/>
          <w:szCs w:val="22"/>
          <w:lang w:val="fr-FR"/>
        </w:rPr>
        <w:t>ait</w:t>
      </w:r>
      <w:r w:rsidRPr="00A46253">
        <w:rPr>
          <w:rFonts w:ascii="Arial" w:hAnsi="Arial" w:cs="Arial"/>
          <w:sz w:val="22"/>
          <w:szCs w:val="22"/>
          <w:lang w:val="fr-FR"/>
        </w:rPr>
        <w:t xml:space="preserve"> des demandes d</w:t>
      </w:r>
      <w:r w:rsidR="008E532B">
        <w:rPr>
          <w:rFonts w:ascii="Arial" w:hAnsi="Arial" w:cs="Arial"/>
          <w:sz w:val="22"/>
          <w:szCs w:val="22"/>
          <w:lang w:val="fr-FR"/>
        </w:rPr>
        <w:t>’</w:t>
      </w:r>
      <w:r w:rsidRPr="00A46253">
        <w:rPr>
          <w:rFonts w:ascii="Arial" w:hAnsi="Arial" w:cs="Arial"/>
          <w:sz w:val="22"/>
          <w:szCs w:val="22"/>
          <w:lang w:val="fr-FR"/>
        </w:rPr>
        <w:t>accréditation d</w:t>
      </w:r>
      <w:r w:rsidR="008E532B">
        <w:rPr>
          <w:rFonts w:ascii="Arial" w:hAnsi="Arial" w:cs="Arial"/>
          <w:sz w:val="22"/>
          <w:szCs w:val="22"/>
          <w:lang w:val="fr-FR"/>
        </w:rPr>
        <w:t>’</w:t>
      </w:r>
      <w:r w:rsidRPr="00A46253">
        <w:rPr>
          <w:rFonts w:ascii="Arial" w:hAnsi="Arial" w:cs="Arial"/>
          <w:sz w:val="22"/>
          <w:szCs w:val="22"/>
          <w:lang w:val="fr-FR"/>
        </w:rPr>
        <w:t xml:space="preserve">ONG. Lors de sa </w:t>
      </w:r>
      <w:r>
        <w:rPr>
          <w:rFonts w:ascii="Arial" w:hAnsi="Arial" w:cs="Arial"/>
          <w:sz w:val="22"/>
          <w:szCs w:val="22"/>
          <w:lang w:val="fr-FR"/>
        </w:rPr>
        <w:t>seizième</w:t>
      </w:r>
      <w:r w:rsidRPr="00A46253">
        <w:rPr>
          <w:rFonts w:ascii="Arial" w:hAnsi="Arial" w:cs="Arial"/>
          <w:sz w:val="22"/>
          <w:szCs w:val="22"/>
          <w:lang w:val="fr-FR"/>
        </w:rPr>
        <w:t xml:space="preserve"> session, le Comité a</w:t>
      </w:r>
      <w:r>
        <w:rPr>
          <w:rFonts w:ascii="Arial" w:hAnsi="Arial" w:cs="Arial"/>
          <w:sz w:val="22"/>
          <w:szCs w:val="22"/>
          <w:lang w:val="fr-FR"/>
        </w:rPr>
        <w:t>vait</w:t>
      </w:r>
      <w:r w:rsidRPr="00A46253">
        <w:rPr>
          <w:rFonts w:ascii="Arial" w:hAnsi="Arial" w:cs="Arial"/>
          <w:sz w:val="22"/>
          <w:szCs w:val="22"/>
          <w:lang w:val="fr-FR"/>
        </w:rPr>
        <w:t xml:space="preserve"> examiné les nouvelles demandes d</w:t>
      </w:r>
      <w:r w:rsidR="008E532B">
        <w:rPr>
          <w:rFonts w:ascii="Arial" w:hAnsi="Arial" w:cs="Arial"/>
          <w:sz w:val="22"/>
          <w:szCs w:val="22"/>
          <w:lang w:val="fr-FR"/>
        </w:rPr>
        <w:t>’</w:t>
      </w:r>
      <w:r w:rsidRPr="00A46253">
        <w:rPr>
          <w:rFonts w:ascii="Arial" w:hAnsi="Arial" w:cs="Arial"/>
          <w:sz w:val="22"/>
          <w:szCs w:val="22"/>
          <w:lang w:val="fr-FR"/>
        </w:rPr>
        <w:t>accréditation de quarante-six ONG, et a</w:t>
      </w:r>
      <w:r>
        <w:rPr>
          <w:rFonts w:ascii="Arial" w:hAnsi="Arial" w:cs="Arial"/>
          <w:sz w:val="22"/>
          <w:szCs w:val="22"/>
          <w:lang w:val="fr-FR"/>
        </w:rPr>
        <w:t>vait</w:t>
      </w:r>
      <w:r w:rsidRPr="00A46253">
        <w:rPr>
          <w:rFonts w:ascii="Arial" w:hAnsi="Arial" w:cs="Arial"/>
          <w:sz w:val="22"/>
          <w:szCs w:val="22"/>
          <w:lang w:val="fr-FR"/>
        </w:rPr>
        <w:t xml:space="preserve"> recommandé l</w:t>
      </w:r>
      <w:r w:rsidR="008E532B">
        <w:rPr>
          <w:rFonts w:ascii="Arial" w:hAnsi="Arial" w:cs="Arial"/>
          <w:sz w:val="22"/>
          <w:szCs w:val="22"/>
          <w:lang w:val="fr-FR"/>
        </w:rPr>
        <w:t>’</w:t>
      </w:r>
      <w:r w:rsidRPr="00A46253">
        <w:rPr>
          <w:rFonts w:ascii="Arial" w:hAnsi="Arial" w:cs="Arial"/>
          <w:sz w:val="22"/>
          <w:szCs w:val="22"/>
          <w:lang w:val="fr-FR"/>
        </w:rPr>
        <w:t>accréditation de trente-deux ONG par l</w:t>
      </w:r>
      <w:r w:rsidR="008E532B">
        <w:rPr>
          <w:rFonts w:ascii="Arial" w:hAnsi="Arial" w:cs="Arial"/>
          <w:sz w:val="22"/>
          <w:szCs w:val="22"/>
          <w:lang w:val="fr-FR"/>
        </w:rPr>
        <w:t>’</w:t>
      </w:r>
      <w:r w:rsidRPr="00A46253">
        <w:rPr>
          <w:rFonts w:ascii="Arial" w:hAnsi="Arial" w:cs="Arial"/>
          <w:sz w:val="22"/>
          <w:szCs w:val="22"/>
          <w:lang w:val="fr-FR"/>
        </w:rPr>
        <w:t>Assemblée générale (</w:t>
      </w:r>
      <w:r>
        <w:rPr>
          <w:rFonts w:ascii="Arial" w:hAnsi="Arial" w:cs="Arial"/>
          <w:sz w:val="22"/>
          <w:szCs w:val="22"/>
          <w:lang w:val="fr-FR"/>
        </w:rPr>
        <w:t>cf.</w:t>
      </w:r>
      <w:r w:rsidRPr="00A46253">
        <w:rPr>
          <w:rFonts w:ascii="Arial" w:hAnsi="Arial" w:cs="Arial"/>
          <w:sz w:val="22"/>
          <w:szCs w:val="22"/>
          <w:lang w:val="fr-FR"/>
        </w:rPr>
        <w:t xml:space="preserve"> annexe I). </w:t>
      </w:r>
      <w:r>
        <w:rPr>
          <w:rFonts w:ascii="Arial" w:hAnsi="Arial" w:cs="Arial"/>
          <w:sz w:val="22"/>
          <w:szCs w:val="22"/>
          <w:lang w:val="fr-FR"/>
        </w:rPr>
        <w:t xml:space="preserve">Pour </w:t>
      </w:r>
      <w:r w:rsidRPr="00A46253">
        <w:rPr>
          <w:rFonts w:ascii="Arial" w:hAnsi="Arial" w:cs="Arial"/>
          <w:sz w:val="22"/>
          <w:szCs w:val="22"/>
          <w:lang w:val="fr-FR"/>
        </w:rPr>
        <w:t>deux ONG</w:t>
      </w:r>
      <w:r>
        <w:rPr>
          <w:rFonts w:ascii="Arial" w:hAnsi="Arial" w:cs="Arial"/>
          <w:sz w:val="22"/>
          <w:szCs w:val="22"/>
          <w:lang w:val="fr-FR"/>
        </w:rPr>
        <w:t xml:space="preserve">, </w:t>
      </w:r>
      <w:r w:rsidRPr="00A46253">
        <w:rPr>
          <w:rFonts w:ascii="Arial" w:hAnsi="Arial" w:cs="Arial"/>
          <w:sz w:val="22"/>
          <w:szCs w:val="22"/>
          <w:lang w:val="fr-FR"/>
        </w:rPr>
        <w:t>l</w:t>
      </w:r>
      <w:r w:rsidR="008E532B">
        <w:rPr>
          <w:rFonts w:ascii="Arial" w:hAnsi="Arial" w:cs="Arial"/>
          <w:sz w:val="22"/>
          <w:szCs w:val="22"/>
          <w:lang w:val="fr-FR"/>
        </w:rPr>
        <w:t>’</w:t>
      </w:r>
      <w:r w:rsidRPr="00A46253">
        <w:rPr>
          <w:rFonts w:ascii="Arial" w:hAnsi="Arial" w:cs="Arial"/>
          <w:sz w:val="22"/>
          <w:szCs w:val="22"/>
          <w:lang w:val="fr-FR"/>
        </w:rPr>
        <w:t xml:space="preserve">examen </w:t>
      </w:r>
      <w:r>
        <w:rPr>
          <w:rFonts w:ascii="Arial" w:hAnsi="Arial" w:cs="Arial"/>
          <w:sz w:val="22"/>
          <w:szCs w:val="22"/>
          <w:lang w:val="fr-FR"/>
        </w:rPr>
        <w:t xml:space="preserve">en vue de </w:t>
      </w:r>
      <w:r w:rsidRPr="00A46253">
        <w:rPr>
          <w:rFonts w:ascii="Arial" w:hAnsi="Arial" w:cs="Arial"/>
          <w:sz w:val="22"/>
          <w:szCs w:val="22"/>
          <w:lang w:val="fr-FR"/>
        </w:rPr>
        <w:t>l</w:t>
      </w:r>
      <w:r w:rsidR="008E532B">
        <w:rPr>
          <w:rFonts w:ascii="Arial" w:hAnsi="Arial" w:cs="Arial"/>
          <w:sz w:val="22"/>
          <w:szCs w:val="22"/>
          <w:lang w:val="fr-FR"/>
        </w:rPr>
        <w:t>’</w:t>
      </w:r>
      <w:r w:rsidRPr="00A46253">
        <w:rPr>
          <w:rFonts w:ascii="Arial" w:hAnsi="Arial" w:cs="Arial"/>
          <w:sz w:val="22"/>
          <w:szCs w:val="22"/>
          <w:lang w:val="fr-FR"/>
        </w:rPr>
        <w:t>accréditation avait été</w:t>
      </w:r>
      <w:r>
        <w:rPr>
          <w:rFonts w:ascii="Arial" w:hAnsi="Arial" w:cs="Arial"/>
          <w:sz w:val="22"/>
          <w:szCs w:val="22"/>
          <w:lang w:val="fr-FR"/>
        </w:rPr>
        <w:t xml:space="preserve"> différé, par le </w:t>
      </w:r>
      <w:r w:rsidRPr="0064691D">
        <w:rPr>
          <w:rFonts w:ascii="Arial" w:hAnsi="Arial" w:cs="Arial"/>
          <w:bCs/>
          <w:color w:val="000000" w:themeColor="text1"/>
          <w:sz w:val="22"/>
          <w:szCs w:val="22"/>
          <w:lang w:val="fr-FR"/>
        </w:rPr>
        <w:t>Comité</w:t>
      </w:r>
      <w:r>
        <w:rPr>
          <w:rFonts w:ascii="Arial" w:hAnsi="Arial" w:cs="Arial"/>
          <w:bCs/>
          <w:color w:val="000000" w:themeColor="text1"/>
          <w:sz w:val="22"/>
          <w:szCs w:val="22"/>
          <w:lang w:val="fr-FR"/>
        </w:rPr>
        <w:t xml:space="preserve">, </w:t>
      </w:r>
      <w:r>
        <w:rPr>
          <w:rFonts w:ascii="Arial" w:hAnsi="Arial" w:cs="Arial"/>
          <w:sz w:val="22"/>
          <w:szCs w:val="22"/>
          <w:lang w:val="fr-FR"/>
        </w:rPr>
        <w:t>jusqu</w:t>
      </w:r>
      <w:r w:rsidR="008E532B">
        <w:rPr>
          <w:rFonts w:ascii="Arial" w:hAnsi="Arial" w:cs="Arial"/>
          <w:sz w:val="22"/>
          <w:szCs w:val="22"/>
          <w:lang w:val="fr-FR"/>
        </w:rPr>
        <w:t>’</w:t>
      </w:r>
      <w:r>
        <w:rPr>
          <w:rFonts w:ascii="Arial" w:hAnsi="Arial" w:cs="Arial"/>
          <w:sz w:val="22"/>
          <w:szCs w:val="22"/>
          <w:lang w:val="fr-FR"/>
        </w:rPr>
        <w:t>à</w:t>
      </w:r>
      <w:r w:rsidRPr="00A46253">
        <w:rPr>
          <w:rFonts w:ascii="Arial" w:hAnsi="Arial" w:cs="Arial"/>
          <w:sz w:val="22"/>
          <w:szCs w:val="22"/>
          <w:lang w:val="fr-FR"/>
        </w:rPr>
        <w:t xml:space="preserve"> l</w:t>
      </w:r>
      <w:r w:rsidR="008E532B">
        <w:rPr>
          <w:rFonts w:ascii="Arial" w:hAnsi="Arial" w:cs="Arial"/>
          <w:sz w:val="22"/>
          <w:szCs w:val="22"/>
          <w:lang w:val="fr-FR"/>
        </w:rPr>
        <w:t>’</w:t>
      </w:r>
      <w:r w:rsidRPr="00A46253">
        <w:rPr>
          <w:rFonts w:ascii="Arial" w:hAnsi="Arial" w:cs="Arial"/>
          <w:sz w:val="22"/>
          <w:szCs w:val="22"/>
          <w:lang w:val="fr-FR"/>
        </w:rPr>
        <w:t>Assemblée générale. Il s</w:t>
      </w:r>
      <w:r w:rsidR="008E532B">
        <w:rPr>
          <w:rFonts w:ascii="Arial" w:hAnsi="Arial" w:cs="Arial"/>
          <w:sz w:val="22"/>
          <w:szCs w:val="22"/>
          <w:lang w:val="fr-FR"/>
        </w:rPr>
        <w:t>’</w:t>
      </w:r>
      <w:r w:rsidRPr="00A46253">
        <w:rPr>
          <w:rFonts w:ascii="Arial" w:hAnsi="Arial" w:cs="Arial"/>
          <w:sz w:val="22"/>
          <w:szCs w:val="22"/>
          <w:lang w:val="fr-FR"/>
        </w:rPr>
        <w:t>agissait de</w:t>
      </w:r>
      <w:r>
        <w:rPr>
          <w:rFonts w:ascii="Arial" w:hAnsi="Arial" w:cs="Arial"/>
          <w:sz w:val="22"/>
          <w:szCs w:val="22"/>
          <w:lang w:val="fr-FR"/>
        </w:rPr>
        <w:t xml:space="preserve"> l</w:t>
      </w:r>
      <w:r w:rsidR="008E532B">
        <w:rPr>
          <w:rFonts w:ascii="Arial" w:hAnsi="Arial" w:cs="Arial"/>
          <w:sz w:val="22"/>
          <w:szCs w:val="22"/>
          <w:lang w:val="fr-FR"/>
        </w:rPr>
        <w:t>’</w:t>
      </w:r>
      <w:r>
        <w:rPr>
          <w:rFonts w:ascii="Arial" w:hAnsi="Arial" w:cs="Arial"/>
          <w:sz w:val="22"/>
          <w:szCs w:val="22"/>
          <w:lang w:val="fr-FR"/>
        </w:rPr>
        <w:t>ONG mexicaine « </w:t>
      </w:r>
      <w:proofErr w:type="spellStart"/>
      <w:r w:rsidRPr="00AC3A4A">
        <w:rPr>
          <w:rFonts w:ascii="Arial" w:hAnsi="Arial" w:cs="Arial"/>
          <w:sz w:val="22"/>
          <w:szCs w:val="22"/>
          <w:lang w:val="fr-FR"/>
        </w:rPr>
        <w:t>Desarrollo</w:t>
      </w:r>
      <w:proofErr w:type="spellEnd"/>
      <w:r w:rsidRPr="00AC3A4A">
        <w:rPr>
          <w:rFonts w:ascii="Arial" w:hAnsi="Arial" w:cs="Arial"/>
          <w:sz w:val="22"/>
          <w:szCs w:val="22"/>
          <w:lang w:val="fr-FR"/>
        </w:rPr>
        <w:t xml:space="preserve"> </w:t>
      </w:r>
      <w:proofErr w:type="spellStart"/>
      <w:r w:rsidRPr="00AC3A4A">
        <w:rPr>
          <w:rFonts w:ascii="Arial" w:hAnsi="Arial" w:cs="Arial"/>
          <w:sz w:val="22"/>
          <w:szCs w:val="22"/>
          <w:lang w:val="fr-FR"/>
        </w:rPr>
        <w:t>Gradual</w:t>
      </w:r>
      <w:proofErr w:type="spellEnd"/>
      <w:r w:rsidRPr="00AC3A4A">
        <w:rPr>
          <w:rFonts w:ascii="Arial" w:hAnsi="Arial" w:cs="Arial"/>
          <w:sz w:val="22"/>
          <w:szCs w:val="22"/>
          <w:lang w:val="fr-FR"/>
        </w:rPr>
        <w:t xml:space="preserve"> Directo</w:t>
      </w:r>
      <w:r>
        <w:rPr>
          <w:rFonts w:ascii="Arial" w:hAnsi="Arial" w:cs="Arial"/>
          <w:sz w:val="22"/>
          <w:szCs w:val="22"/>
          <w:lang w:val="fr-FR"/>
        </w:rPr>
        <w:t xml:space="preserve"> » [Direct </w:t>
      </w:r>
      <w:proofErr w:type="spellStart"/>
      <w:r>
        <w:rPr>
          <w:rFonts w:ascii="Arial" w:hAnsi="Arial" w:cs="Arial"/>
          <w:sz w:val="22"/>
          <w:szCs w:val="22"/>
          <w:lang w:val="fr-FR"/>
        </w:rPr>
        <w:t>Gradual</w:t>
      </w:r>
      <w:proofErr w:type="spellEnd"/>
      <w:r>
        <w:rPr>
          <w:rFonts w:ascii="Arial" w:hAnsi="Arial" w:cs="Arial"/>
          <w:sz w:val="22"/>
          <w:szCs w:val="22"/>
          <w:lang w:val="fr-FR"/>
        </w:rPr>
        <w:t xml:space="preserve"> </w:t>
      </w:r>
      <w:proofErr w:type="spellStart"/>
      <w:r>
        <w:rPr>
          <w:rFonts w:ascii="Arial" w:hAnsi="Arial" w:cs="Arial"/>
          <w:sz w:val="22"/>
          <w:szCs w:val="22"/>
          <w:lang w:val="fr-FR"/>
        </w:rPr>
        <w:t>Development</w:t>
      </w:r>
      <w:proofErr w:type="spellEnd"/>
      <w:r>
        <w:rPr>
          <w:rFonts w:ascii="Arial" w:hAnsi="Arial" w:cs="Arial"/>
          <w:sz w:val="22"/>
          <w:szCs w:val="22"/>
          <w:lang w:val="fr-FR"/>
        </w:rPr>
        <w:t>, Civil Association] et de l</w:t>
      </w:r>
      <w:r w:rsidR="008E532B">
        <w:rPr>
          <w:rFonts w:ascii="Arial" w:hAnsi="Arial" w:cs="Arial"/>
          <w:sz w:val="22"/>
          <w:szCs w:val="22"/>
          <w:lang w:val="fr-FR"/>
        </w:rPr>
        <w:t>’</w:t>
      </w:r>
      <w:r>
        <w:rPr>
          <w:rFonts w:ascii="Arial" w:hAnsi="Arial" w:cs="Arial"/>
          <w:sz w:val="22"/>
          <w:szCs w:val="22"/>
          <w:lang w:val="fr-FR"/>
        </w:rPr>
        <w:t>ONG espagnole « </w:t>
      </w:r>
      <w:proofErr w:type="spellStart"/>
      <w:r w:rsidRPr="00AC3A4A">
        <w:rPr>
          <w:rFonts w:ascii="Arial" w:hAnsi="Arial" w:cs="Arial"/>
          <w:sz w:val="22"/>
          <w:szCs w:val="22"/>
          <w:lang w:val="fr-FR"/>
        </w:rPr>
        <w:t>Associació</w:t>
      </w:r>
      <w:proofErr w:type="spellEnd"/>
      <w:r w:rsidRPr="00AC3A4A">
        <w:rPr>
          <w:rFonts w:ascii="Arial" w:hAnsi="Arial" w:cs="Arial"/>
          <w:sz w:val="22"/>
          <w:szCs w:val="22"/>
          <w:lang w:val="fr-FR"/>
        </w:rPr>
        <w:t xml:space="preserve"> Institut </w:t>
      </w:r>
      <w:proofErr w:type="spellStart"/>
      <w:r w:rsidRPr="00AC3A4A">
        <w:rPr>
          <w:rFonts w:ascii="Arial" w:hAnsi="Arial" w:cs="Arial"/>
          <w:sz w:val="22"/>
          <w:szCs w:val="22"/>
          <w:lang w:val="fr-FR"/>
        </w:rPr>
        <w:t>del</w:t>
      </w:r>
      <w:proofErr w:type="spellEnd"/>
      <w:r w:rsidRPr="00AC3A4A">
        <w:rPr>
          <w:rFonts w:ascii="Arial" w:hAnsi="Arial" w:cs="Arial"/>
          <w:sz w:val="22"/>
          <w:szCs w:val="22"/>
          <w:lang w:val="fr-FR"/>
        </w:rPr>
        <w:t xml:space="preserve"> </w:t>
      </w:r>
      <w:proofErr w:type="spellStart"/>
      <w:r w:rsidRPr="00AC3A4A">
        <w:rPr>
          <w:rFonts w:ascii="Arial" w:hAnsi="Arial" w:cs="Arial"/>
          <w:sz w:val="22"/>
          <w:szCs w:val="22"/>
          <w:lang w:val="fr-FR"/>
        </w:rPr>
        <w:t>Patrimoni</w:t>
      </w:r>
      <w:proofErr w:type="spellEnd"/>
      <w:r w:rsidRPr="00AC3A4A">
        <w:rPr>
          <w:rFonts w:ascii="Arial" w:hAnsi="Arial" w:cs="Arial"/>
          <w:sz w:val="22"/>
          <w:szCs w:val="22"/>
          <w:lang w:val="fr-FR"/>
        </w:rPr>
        <w:t xml:space="preserve"> Cultural </w:t>
      </w:r>
      <w:proofErr w:type="spellStart"/>
      <w:r w:rsidRPr="00AC3A4A">
        <w:rPr>
          <w:rFonts w:ascii="Arial" w:hAnsi="Arial" w:cs="Arial"/>
          <w:sz w:val="22"/>
          <w:szCs w:val="22"/>
          <w:lang w:val="fr-FR"/>
        </w:rPr>
        <w:t>Immaterial</w:t>
      </w:r>
      <w:proofErr w:type="spellEnd"/>
      <w:r>
        <w:rPr>
          <w:rFonts w:ascii="Arial" w:hAnsi="Arial" w:cs="Arial"/>
          <w:sz w:val="22"/>
          <w:szCs w:val="22"/>
          <w:lang w:val="fr-FR"/>
        </w:rPr>
        <w:t xml:space="preserve"> (IPACIM) » [Institute for Intangible Cultural </w:t>
      </w:r>
      <w:proofErr w:type="spellStart"/>
      <w:r>
        <w:rPr>
          <w:rFonts w:ascii="Arial" w:hAnsi="Arial" w:cs="Arial"/>
          <w:sz w:val="22"/>
          <w:szCs w:val="22"/>
          <w:lang w:val="fr-FR"/>
        </w:rPr>
        <w:t>Heritage</w:t>
      </w:r>
      <w:proofErr w:type="spellEnd"/>
      <w:r>
        <w:rPr>
          <w:rFonts w:ascii="Arial" w:hAnsi="Arial" w:cs="Arial"/>
          <w:sz w:val="22"/>
          <w:szCs w:val="22"/>
          <w:lang w:val="fr-FR"/>
        </w:rPr>
        <w:t>]</w:t>
      </w:r>
      <w:r w:rsidRPr="00A46253">
        <w:rPr>
          <w:rFonts w:ascii="Arial" w:hAnsi="Arial" w:cs="Arial"/>
          <w:sz w:val="22"/>
          <w:szCs w:val="22"/>
          <w:lang w:val="fr-FR"/>
        </w:rPr>
        <w:t>. Les autorités du Mexique et de l</w:t>
      </w:r>
      <w:r w:rsidR="008E532B">
        <w:rPr>
          <w:rFonts w:ascii="Arial" w:hAnsi="Arial" w:cs="Arial"/>
          <w:sz w:val="22"/>
          <w:szCs w:val="22"/>
          <w:lang w:val="fr-FR"/>
        </w:rPr>
        <w:t>’</w:t>
      </w:r>
      <w:r w:rsidRPr="00A46253">
        <w:rPr>
          <w:rFonts w:ascii="Arial" w:hAnsi="Arial" w:cs="Arial"/>
          <w:sz w:val="22"/>
          <w:szCs w:val="22"/>
          <w:lang w:val="fr-FR"/>
        </w:rPr>
        <w:t>Espagne ainsi que les deux ONG avaient fourni des informations complémentaires.</w:t>
      </w:r>
      <w:r>
        <w:rPr>
          <w:rStyle w:val="FootnoteReference"/>
          <w:rFonts w:ascii="Arial" w:hAnsi="Arial" w:cs="Arial"/>
          <w:sz w:val="22"/>
          <w:szCs w:val="22"/>
          <w:lang w:val="fr-FR"/>
        </w:rPr>
        <w:footnoteReference w:id="32"/>
      </w:r>
      <w:r w:rsidRPr="00A46253">
        <w:rPr>
          <w:rFonts w:ascii="Arial" w:hAnsi="Arial" w:cs="Arial"/>
          <w:sz w:val="22"/>
          <w:szCs w:val="22"/>
          <w:lang w:val="fr-FR"/>
        </w:rPr>
        <w:t xml:space="preserve"> L</w:t>
      </w:r>
      <w:r w:rsidR="008E532B">
        <w:rPr>
          <w:rFonts w:ascii="Arial" w:hAnsi="Arial" w:cs="Arial"/>
          <w:sz w:val="22"/>
          <w:szCs w:val="22"/>
          <w:lang w:val="fr-FR"/>
        </w:rPr>
        <w:t>’</w:t>
      </w:r>
      <w:r w:rsidRPr="00A46253">
        <w:rPr>
          <w:rFonts w:ascii="Arial" w:hAnsi="Arial" w:cs="Arial"/>
          <w:sz w:val="22"/>
          <w:szCs w:val="22"/>
          <w:lang w:val="fr-FR"/>
        </w:rPr>
        <w:t xml:space="preserve">Assemblée générale </w:t>
      </w:r>
      <w:r>
        <w:rPr>
          <w:rFonts w:ascii="Arial" w:hAnsi="Arial" w:cs="Arial"/>
          <w:sz w:val="22"/>
          <w:szCs w:val="22"/>
          <w:lang w:val="fr-FR"/>
        </w:rPr>
        <w:t>était</w:t>
      </w:r>
      <w:r w:rsidRPr="00A46253">
        <w:rPr>
          <w:rFonts w:ascii="Arial" w:hAnsi="Arial" w:cs="Arial"/>
          <w:sz w:val="22"/>
          <w:szCs w:val="22"/>
          <w:lang w:val="fr-FR"/>
        </w:rPr>
        <w:t xml:space="preserve"> donc invitée à examiner si ces deux ONG rempliss</w:t>
      </w:r>
      <w:r>
        <w:rPr>
          <w:rFonts w:ascii="Arial" w:hAnsi="Arial" w:cs="Arial"/>
          <w:sz w:val="22"/>
          <w:szCs w:val="22"/>
          <w:lang w:val="fr-FR"/>
        </w:rPr>
        <w:t>ai</w:t>
      </w:r>
      <w:r w:rsidRPr="00A46253">
        <w:rPr>
          <w:rFonts w:ascii="Arial" w:hAnsi="Arial" w:cs="Arial"/>
          <w:sz w:val="22"/>
          <w:szCs w:val="22"/>
          <w:lang w:val="fr-FR"/>
        </w:rPr>
        <w:t xml:space="preserve">ent les conditions énoncées au paragraphe 91 des Directives opérationnelles. </w:t>
      </w:r>
      <w:r>
        <w:rPr>
          <w:rFonts w:ascii="Arial" w:hAnsi="Arial" w:cs="Arial"/>
          <w:sz w:val="22"/>
          <w:szCs w:val="22"/>
          <w:lang w:val="fr-FR"/>
        </w:rPr>
        <w:t>À ce sujet</w:t>
      </w:r>
      <w:r w:rsidRPr="00A46253">
        <w:rPr>
          <w:rFonts w:ascii="Arial" w:hAnsi="Arial" w:cs="Arial"/>
          <w:sz w:val="22"/>
          <w:szCs w:val="22"/>
          <w:lang w:val="fr-FR"/>
        </w:rPr>
        <w:t>, le Comité a</w:t>
      </w:r>
      <w:r>
        <w:rPr>
          <w:rFonts w:ascii="Arial" w:hAnsi="Arial" w:cs="Arial"/>
          <w:sz w:val="22"/>
          <w:szCs w:val="22"/>
          <w:lang w:val="fr-FR"/>
        </w:rPr>
        <w:t>vait</w:t>
      </w:r>
      <w:r w:rsidRPr="00A46253">
        <w:rPr>
          <w:rFonts w:ascii="Arial" w:hAnsi="Arial" w:cs="Arial"/>
          <w:sz w:val="22"/>
          <w:szCs w:val="22"/>
          <w:lang w:val="fr-FR"/>
        </w:rPr>
        <w:t xml:space="preserve"> estimé qu</w:t>
      </w:r>
      <w:r w:rsidR="008E532B">
        <w:rPr>
          <w:rFonts w:ascii="Arial" w:hAnsi="Arial" w:cs="Arial"/>
          <w:sz w:val="22"/>
          <w:szCs w:val="22"/>
          <w:lang w:val="fr-FR"/>
        </w:rPr>
        <w:t>’</w:t>
      </w:r>
      <w:r w:rsidRPr="00A46253">
        <w:rPr>
          <w:rFonts w:ascii="Arial" w:hAnsi="Arial" w:cs="Arial"/>
          <w:sz w:val="22"/>
          <w:szCs w:val="22"/>
          <w:lang w:val="fr-FR"/>
        </w:rPr>
        <w:t>il était nécessaire d</w:t>
      </w:r>
      <w:r w:rsidR="008E532B">
        <w:rPr>
          <w:rFonts w:ascii="Arial" w:hAnsi="Arial" w:cs="Arial"/>
          <w:sz w:val="22"/>
          <w:szCs w:val="22"/>
          <w:lang w:val="fr-FR"/>
        </w:rPr>
        <w:t>’</w:t>
      </w:r>
      <w:r w:rsidRPr="00A46253">
        <w:rPr>
          <w:rFonts w:ascii="Arial" w:hAnsi="Arial" w:cs="Arial"/>
          <w:sz w:val="22"/>
          <w:szCs w:val="22"/>
          <w:lang w:val="fr-FR"/>
        </w:rPr>
        <w:t>améliorer le traitement actuel des demandes d</w:t>
      </w:r>
      <w:r w:rsidR="008E532B">
        <w:rPr>
          <w:rFonts w:ascii="Arial" w:hAnsi="Arial" w:cs="Arial"/>
          <w:sz w:val="22"/>
          <w:szCs w:val="22"/>
          <w:lang w:val="fr-FR"/>
        </w:rPr>
        <w:t>’</w:t>
      </w:r>
      <w:r w:rsidRPr="00A46253">
        <w:rPr>
          <w:rFonts w:ascii="Arial" w:hAnsi="Arial" w:cs="Arial"/>
          <w:sz w:val="22"/>
          <w:szCs w:val="22"/>
          <w:lang w:val="fr-FR"/>
        </w:rPr>
        <w:t xml:space="preserve">accréditation et de renouvellement. Les deux </w:t>
      </w:r>
      <w:r>
        <w:rPr>
          <w:rFonts w:ascii="Arial" w:hAnsi="Arial" w:cs="Arial"/>
          <w:sz w:val="22"/>
          <w:szCs w:val="22"/>
          <w:lang w:val="fr-FR"/>
        </w:rPr>
        <w:t xml:space="preserve">modifications </w:t>
      </w:r>
      <w:r w:rsidRPr="004D5235">
        <w:rPr>
          <w:rFonts w:ascii="Arial" w:hAnsi="Arial" w:cs="Arial"/>
          <w:sz w:val="22"/>
          <w:szCs w:val="22"/>
          <w:lang w:val="fr-FR"/>
        </w:rPr>
        <w:t>suivant</w:t>
      </w:r>
      <w:r>
        <w:rPr>
          <w:rFonts w:ascii="Arial" w:hAnsi="Arial" w:cs="Arial"/>
          <w:sz w:val="22"/>
          <w:szCs w:val="22"/>
          <w:lang w:val="fr-FR"/>
        </w:rPr>
        <w:t>e</w:t>
      </w:r>
      <w:r w:rsidRPr="004D5235">
        <w:rPr>
          <w:rFonts w:ascii="Arial" w:hAnsi="Arial" w:cs="Arial"/>
          <w:sz w:val="22"/>
          <w:szCs w:val="22"/>
          <w:lang w:val="fr-FR"/>
        </w:rPr>
        <w:t>s étaient donc proposé</w:t>
      </w:r>
      <w:r>
        <w:rPr>
          <w:rFonts w:ascii="Arial" w:hAnsi="Arial" w:cs="Arial"/>
          <w:sz w:val="22"/>
          <w:szCs w:val="22"/>
          <w:lang w:val="fr-FR"/>
        </w:rPr>
        <w:t>e</w:t>
      </w:r>
      <w:r w:rsidRPr="004D5235">
        <w:rPr>
          <w:rFonts w:ascii="Arial" w:hAnsi="Arial" w:cs="Arial"/>
          <w:sz w:val="22"/>
          <w:szCs w:val="22"/>
          <w:lang w:val="fr-FR"/>
        </w:rPr>
        <w:t xml:space="preserve">s. Premièrement, contrairement aux cycles précédents </w:t>
      </w:r>
      <w:r>
        <w:rPr>
          <w:rFonts w:ascii="Arial" w:hAnsi="Arial" w:cs="Arial"/>
          <w:sz w:val="22"/>
          <w:szCs w:val="22"/>
          <w:lang w:val="fr-FR"/>
        </w:rPr>
        <w:t>au cours desquels</w:t>
      </w:r>
      <w:r w:rsidRPr="004D5235">
        <w:rPr>
          <w:rFonts w:ascii="Arial" w:hAnsi="Arial" w:cs="Arial"/>
          <w:sz w:val="22"/>
          <w:szCs w:val="22"/>
          <w:lang w:val="fr-FR"/>
        </w:rPr>
        <w:t xml:space="preserve"> la demande d</w:t>
      </w:r>
      <w:r w:rsidR="008E532B">
        <w:rPr>
          <w:rFonts w:ascii="Arial" w:hAnsi="Arial" w:cs="Arial"/>
          <w:sz w:val="22"/>
          <w:szCs w:val="22"/>
          <w:lang w:val="fr-FR"/>
        </w:rPr>
        <w:t>’</w:t>
      </w:r>
      <w:r w:rsidRPr="004D5235">
        <w:rPr>
          <w:rFonts w:ascii="Arial" w:hAnsi="Arial" w:cs="Arial"/>
          <w:sz w:val="22"/>
          <w:szCs w:val="22"/>
          <w:lang w:val="fr-FR"/>
        </w:rPr>
        <w:t>accréditation était rendue publique en même temps que le projet de recommandation pour le Comité (généralement environ quatre semaines avant la réunion du Comité), le Secrétariat rendra</w:t>
      </w:r>
      <w:r>
        <w:rPr>
          <w:rFonts w:ascii="Arial" w:hAnsi="Arial" w:cs="Arial"/>
          <w:sz w:val="22"/>
          <w:szCs w:val="22"/>
          <w:lang w:val="fr-FR"/>
        </w:rPr>
        <w:t>it</w:t>
      </w:r>
      <w:r w:rsidRPr="004D5235">
        <w:rPr>
          <w:rFonts w:ascii="Arial" w:hAnsi="Arial" w:cs="Arial"/>
          <w:sz w:val="22"/>
          <w:szCs w:val="22"/>
          <w:lang w:val="fr-FR"/>
        </w:rPr>
        <w:t xml:space="preserve"> désormais les demandes disponibles (formulaire ICH-09 et documents annexes) dès que possible sur la page web de la Convention, ainsi que les rapports quadriennaux des ONG accréditées après leur soumission. Cela laissera</w:t>
      </w:r>
      <w:r>
        <w:rPr>
          <w:rFonts w:ascii="Arial" w:hAnsi="Arial" w:cs="Arial"/>
          <w:sz w:val="22"/>
          <w:szCs w:val="22"/>
          <w:lang w:val="fr-FR"/>
        </w:rPr>
        <w:t>it</w:t>
      </w:r>
      <w:r w:rsidRPr="004D5235">
        <w:rPr>
          <w:rFonts w:ascii="Arial" w:hAnsi="Arial" w:cs="Arial"/>
          <w:sz w:val="22"/>
          <w:szCs w:val="22"/>
          <w:lang w:val="fr-FR"/>
        </w:rPr>
        <w:t xml:space="preserve"> plus de temps aux États parties et aux autres parties prenantes pour partager leurs observations ou commentaires. Deuxièmement, au même moment, le Secrétariat consultera</w:t>
      </w:r>
      <w:r>
        <w:rPr>
          <w:rFonts w:ascii="Arial" w:hAnsi="Arial" w:cs="Arial"/>
          <w:sz w:val="22"/>
          <w:szCs w:val="22"/>
          <w:lang w:val="fr-FR"/>
        </w:rPr>
        <w:t>it</w:t>
      </w:r>
      <w:r w:rsidRPr="004D5235">
        <w:rPr>
          <w:rFonts w:ascii="Arial" w:hAnsi="Arial" w:cs="Arial"/>
          <w:sz w:val="22"/>
          <w:szCs w:val="22"/>
          <w:lang w:val="fr-FR"/>
        </w:rPr>
        <w:t xml:space="preserve"> les bureaux hors </w:t>
      </w:r>
      <w:r>
        <w:rPr>
          <w:rFonts w:ascii="Arial" w:hAnsi="Arial" w:cs="Arial"/>
          <w:sz w:val="22"/>
          <w:szCs w:val="22"/>
          <w:lang w:val="fr-FR"/>
        </w:rPr>
        <w:t>S</w:t>
      </w:r>
      <w:r w:rsidRPr="004D5235">
        <w:rPr>
          <w:rFonts w:ascii="Arial" w:hAnsi="Arial" w:cs="Arial"/>
          <w:sz w:val="22"/>
          <w:szCs w:val="22"/>
          <w:lang w:val="fr-FR"/>
        </w:rPr>
        <w:t>iège de l</w:t>
      </w:r>
      <w:r w:rsidR="008E532B">
        <w:rPr>
          <w:rFonts w:ascii="Arial" w:hAnsi="Arial" w:cs="Arial"/>
          <w:sz w:val="22"/>
          <w:szCs w:val="22"/>
          <w:lang w:val="fr-FR"/>
        </w:rPr>
        <w:t>’</w:t>
      </w:r>
      <w:r w:rsidRPr="004D5235">
        <w:rPr>
          <w:rFonts w:ascii="Arial" w:hAnsi="Arial" w:cs="Arial"/>
          <w:sz w:val="22"/>
          <w:szCs w:val="22"/>
          <w:lang w:val="fr-FR"/>
        </w:rPr>
        <w:t>UNESCO concernés par les demandes de nouvelle accréditation et de renouvellement en vue de recueillir des informations qui aider</w:t>
      </w:r>
      <w:r>
        <w:rPr>
          <w:rFonts w:ascii="Arial" w:hAnsi="Arial" w:cs="Arial"/>
          <w:sz w:val="22"/>
          <w:szCs w:val="22"/>
          <w:lang w:val="fr-FR"/>
        </w:rPr>
        <w:t>aie</w:t>
      </w:r>
      <w:r w:rsidRPr="004D5235">
        <w:rPr>
          <w:rFonts w:ascii="Arial" w:hAnsi="Arial" w:cs="Arial"/>
          <w:sz w:val="22"/>
          <w:szCs w:val="22"/>
          <w:lang w:val="fr-FR"/>
        </w:rPr>
        <w:t>nt à l</w:t>
      </w:r>
      <w:r w:rsidR="008E532B">
        <w:rPr>
          <w:rFonts w:ascii="Arial" w:hAnsi="Arial" w:cs="Arial"/>
          <w:sz w:val="22"/>
          <w:szCs w:val="22"/>
          <w:lang w:val="fr-FR"/>
        </w:rPr>
        <w:t>’</w:t>
      </w:r>
      <w:r w:rsidRPr="004D5235">
        <w:rPr>
          <w:rFonts w:ascii="Arial" w:hAnsi="Arial" w:cs="Arial"/>
          <w:sz w:val="22"/>
          <w:szCs w:val="22"/>
          <w:lang w:val="fr-FR"/>
        </w:rPr>
        <w:t>évaluation de la demande, comme indiqué au paragraphe 92 des Directives opérationnelles. Le Secrétariat prévo</w:t>
      </w:r>
      <w:r>
        <w:rPr>
          <w:rFonts w:ascii="Arial" w:hAnsi="Arial" w:cs="Arial"/>
          <w:sz w:val="22"/>
          <w:szCs w:val="22"/>
          <w:lang w:val="fr-FR"/>
        </w:rPr>
        <w:t xml:space="preserve">yait </w:t>
      </w:r>
      <w:r w:rsidRPr="004D5235">
        <w:rPr>
          <w:rFonts w:ascii="Arial" w:hAnsi="Arial" w:cs="Arial"/>
          <w:sz w:val="22"/>
          <w:szCs w:val="22"/>
          <w:lang w:val="fr-FR"/>
        </w:rPr>
        <w:t>d</w:t>
      </w:r>
      <w:r w:rsidR="008E532B">
        <w:rPr>
          <w:rFonts w:ascii="Arial" w:hAnsi="Arial" w:cs="Arial"/>
          <w:sz w:val="22"/>
          <w:szCs w:val="22"/>
          <w:lang w:val="fr-FR"/>
        </w:rPr>
        <w:t>’</w:t>
      </w:r>
      <w:r w:rsidRPr="004D5235">
        <w:rPr>
          <w:rFonts w:ascii="Arial" w:hAnsi="Arial" w:cs="Arial"/>
          <w:sz w:val="22"/>
          <w:szCs w:val="22"/>
          <w:lang w:val="fr-FR"/>
        </w:rPr>
        <w:t xml:space="preserve">appliquer ces </w:t>
      </w:r>
      <w:r>
        <w:rPr>
          <w:rFonts w:ascii="Arial" w:hAnsi="Arial" w:cs="Arial"/>
          <w:sz w:val="22"/>
          <w:szCs w:val="22"/>
          <w:lang w:val="fr-FR"/>
        </w:rPr>
        <w:t xml:space="preserve">modifications </w:t>
      </w:r>
      <w:r w:rsidRPr="004D5235">
        <w:rPr>
          <w:rFonts w:ascii="Arial" w:hAnsi="Arial" w:cs="Arial"/>
          <w:sz w:val="22"/>
          <w:szCs w:val="22"/>
          <w:lang w:val="fr-FR"/>
        </w:rPr>
        <w:t>aux demandes qui ser</w:t>
      </w:r>
      <w:r>
        <w:rPr>
          <w:rFonts w:ascii="Arial" w:hAnsi="Arial" w:cs="Arial"/>
          <w:sz w:val="22"/>
          <w:szCs w:val="22"/>
          <w:lang w:val="fr-FR"/>
        </w:rPr>
        <w:t>aie</w:t>
      </w:r>
      <w:r w:rsidRPr="004D5235">
        <w:rPr>
          <w:rFonts w:ascii="Arial" w:hAnsi="Arial" w:cs="Arial"/>
          <w:sz w:val="22"/>
          <w:szCs w:val="22"/>
          <w:lang w:val="fr-FR"/>
        </w:rPr>
        <w:t xml:space="preserve">nt examinées lors de la </w:t>
      </w:r>
      <w:r>
        <w:rPr>
          <w:rFonts w:ascii="Arial" w:hAnsi="Arial" w:cs="Arial"/>
          <w:sz w:val="22"/>
          <w:szCs w:val="22"/>
          <w:lang w:val="fr-FR"/>
        </w:rPr>
        <w:t>dix-huitième</w:t>
      </w:r>
      <w:r w:rsidRPr="004D5235">
        <w:rPr>
          <w:rFonts w:ascii="Arial" w:hAnsi="Arial" w:cs="Arial"/>
          <w:sz w:val="22"/>
          <w:szCs w:val="22"/>
          <w:lang w:val="fr-FR"/>
        </w:rPr>
        <w:t xml:space="preserve"> session du Comité en 2023 et de la </w:t>
      </w:r>
      <w:r>
        <w:rPr>
          <w:rFonts w:ascii="Arial" w:hAnsi="Arial" w:cs="Arial"/>
          <w:sz w:val="22"/>
          <w:szCs w:val="22"/>
          <w:lang w:val="fr-FR"/>
        </w:rPr>
        <w:t>dixième</w:t>
      </w:r>
      <w:r w:rsidRPr="004D5235">
        <w:rPr>
          <w:rFonts w:ascii="Arial" w:hAnsi="Arial" w:cs="Arial"/>
          <w:sz w:val="22"/>
          <w:szCs w:val="22"/>
          <w:lang w:val="fr-FR"/>
        </w:rPr>
        <w:t xml:space="preserve"> session de l</w:t>
      </w:r>
      <w:r w:rsidR="008E532B">
        <w:rPr>
          <w:rFonts w:ascii="Arial" w:hAnsi="Arial" w:cs="Arial"/>
          <w:sz w:val="22"/>
          <w:szCs w:val="22"/>
          <w:lang w:val="fr-FR"/>
        </w:rPr>
        <w:t>’</w:t>
      </w:r>
      <w:r w:rsidRPr="004D5235">
        <w:rPr>
          <w:rFonts w:ascii="Arial" w:hAnsi="Arial" w:cs="Arial"/>
          <w:sz w:val="22"/>
          <w:szCs w:val="22"/>
          <w:lang w:val="fr-FR"/>
        </w:rPr>
        <w:t>Assemblée générale en 2024. En outre, l</w:t>
      </w:r>
      <w:r w:rsidR="008E532B">
        <w:rPr>
          <w:rFonts w:ascii="Arial" w:hAnsi="Arial" w:cs="Arial"/>
          <w:sz w:val="22"/>
          <w:szCs w:val="22"/>
          <w:lang w:val="fr-FR"/>
        </w:rPr>
        <w:t>’</w:t>
      </w:r>
      <w:r w:rsidRPr="004D5235">
        <w:rPr>
          <w:rFonts w:ascii="Arial" w:hAnsi="Arial" w:cs="Arial"/>
          <w:sz w:val="22"/>
          <w:szCs w:val="22"/>
          <w:lang w:val="fr-FR"/>
        </w:rPr>
        <w:t xml:space="preserve">expérience de cette nouvelle procédure </w:t>
      </w:r>
      <w:r>
        <w:rPr>
          <w:rFonts w:ascii="Arial" w:hAnsi="Arial" w:cs="Arial"/>
          <w:sz w:val="22"/>
          <w:szCs w:val="22"/>
          <w:lang w:val="fr-FR"/>
        </w:rPr>
        <w:t>ferait l</w:t>
      </w:r>
      <w:r w:rsidR="008E532B">
        <w:rPr>
          <w:rFonts w:ascii="Arial" w:hAnsi="Arial" w:cs="Arial"/>
          <w:sz w:val="22"/>
          <w:szCs w:val="22"/>
          <w:lang w:val="fr-FR"/>
        </w:rPr>
        <w:t>’</w:t>
      </w:r>
      <w:r>
        <w:rPr>
          <w:rFonts w:ascii="Arial" w:hAnsi="Arial" w:cs="Arial"/>
          <w:sz w:val="22"/>
          <w:szCs w:val="22"/>
          <w:lang w:val="fr-FR"/>
        </w:rPr>
        <w:t>objet d</w:t>
      </w:r>
      <w:r w:rsidR="008E532B">
        <w:rPr>
          <w:rFonts w:ascii="Arial" w:hAnsi="Arial" w:cs="Arial"/>
          <w:sz w:val="22"/>
          <w:szCs w:val="22"/>
          <w:lang w:val="fr-FR"/>
        </w:rPr>
        <w:t>’</w:t>
      </w:r>
      <w:r>
        <w:rPr>
          <w:rFonts w:ascii="Arial" w:hAnsi="Arial" w:cs="Arial"/>
          <w:sz w:val="22"/>
          <w:szCs w:val="22"/>
          <w:lang w:val="fr-FR"/>
        </w:rPr>
        <w:t xml:space="preserve">un </w:t>
      </w:r>
      <w:r w:rsidRPr="004D5235">
        <w:rPr>
          <w:rFonts w:ascii="Arial" w:hAnsi="Arial" w:cs="Arial"/>
          <w:sz w:val="22"/>
          <w:szCs w:val="22"/>
          <w:lang w:val="fr-FR"/>
        </w:rPr>
        <w:t>rapport au Comité lors de sa</w:t>
      </w:r>
      <w:r>
        <w:rPr>
          <w:rFonts w:ascii="Arial" w:hAnsi="Arial" w:cs="Arial"/>
          <w:sz w:val="22"/>
          <w:szCs w:val="22"/>
          <w:lang w:val="fr-FR"/>
        </w:rPr>
        <w:t xml:space="preserve"> dix-huitième</w:t>
      </w:r>
      <w:r w:rsidRPr="004D5235">
        <w:rPr>
          <w:rFonts w:ascii="Arial" w:hAnsi="Arial" w:cs="Arial"/>
          <w:sz w:val="22"/>
          <w:szCs w:val="22"/>
          <w:lang w:val="fr-FR"/>
        </w:rPr>
        <w:t xml:space="preserve"> session.</w:t>
      </w:r>
    </w:p>
    <w:p w14:paraId="4C75B717" w14:textId="757D429D" w:rsidR="00D9653F" w:rsidRPr="009775B6"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9775B6">
        <w:rPr>
          <w:rFonts w:ascii="Arial" w:hAnsi="Arial" w:cs="Arial"/>
          <w:sz w:val="22"/>
          <w:szCs w:val="22"/>
          <w:lang w:val="fr-FR"/>
        </w:rPr>
        <w:t xml:space="preserve">La </w:t>
      </w:r>
      <w:r w:rsidRPr="009775B6">
        <w:rPr>
          <w:rFonts w:ascii="Arial" w:hAnsi="Arial" w:cs="Arial"/>
          <w:b/>
          <w:bCs/>
          <w:sz w:val="22"/>
          <w:szCs w:val="22"/>
          <w:lang w:val="fr-FR"/>
        </w:rPr>
        <w:t>Présidente</w:t>
      </w:r>
      <w:r w:rsidRPr="009775B6">
        <w:rPr>
          <w:rFonts w:ascii="Arial" w:hAnsi="Arial" w:cs="Arial"/>
          <w:sz w:val="22"/>
          <w:szCs w:val="22"/>
          <w:lang w:val="fr-FR"/>
        </w:rPr>
        <w:t xml:space="preserve"> </w:t>
      </w:r>
      <w:r>
        <w:rPr>
          <w:rFonts w:ascii="Arial" w:hAnsi="Arial" w:cs="Arial"/>
          <w:sz w:val="22"/>
          <w:szCs w:val="22"/>
          <w:lang w:val="fr-FR"/>
        </w:rPr>
        <w:t xml:space="preserve">a </w:t>
      </w:r>
      <w:r w:rsidRPr="009775B6">
        <w:rPr>
          <w:rFonts w:ascii="Arial" w:hAnsi="Arial" w:cs="Arial"/>
          <w:sz w:val="22"/>
          <w:szCs w:val="22"/>
          <w:lang w:val="fr-FR"/>
        </w:rPr>
        <w:t>demand</w:t>
      </w:r>
      <w:r>
        <w:rPr>
          <w:rFonts w:ascii="Arial" w:hAnsi="Arial" w:cs="Arial"/>
          <w:sz w:val="22"/>
          <w:szCs w:val="22"/>
          <w:lang w:val="fr-FR"/>
        </w:rPr>
        <w:t xml:space="preserve">é </w:t>
      </w:r>
      <w:r w:rsidRPr="009775B6">
        <w:rPr>
          <w:rFonts w:ascii="Arial" w:hAnsi="Arial" w:cs="Arial"/>
          <w:sz w:val="22"/>
          <w:szCs w:val="22"/>
          <w:lang w:val="fr-FR"/>
        </w:rPr>
        <w:t>à l</w:t>
      </w:r>
      <w:r w:rsidR="008E532B">
        <w:rPr>
          <w:rFonts w:ascii="Arial" w:hAnsi="Arial" w:cs="Arial"/>
          <w:sz w:val="22"/>
          <w:szCs w:val="22"/>
          <w:lang w:val="fr-FR"/>
        </w:rPr>
        <w:t>’</w:t>
      </w:r>
      <w:r w:rsidRPr="009775B6">
        <w:rPr>
          <w:rFonts w:ascii="Arial" w:hAnsi="Arial" w:cs="Arial"/>
          <w:sz w:val="22"/>
          <w:szCs w:val="22"/>
          <w:lang w:val="fr-FR"/>
        </w:rPr>
        <w:t>Assemblée d</w:t>
      </w:r>
      <w:r w:rsidR="008E532B">
        <w:rPr>
          <w:rFonts w:ascii="Arial" w:hAnsi="Arial" w:cs="Arial"/>
          <w:sz w:val="22"/>
          <w:szCs w:val="22"/>
          <w:lang w:val="fr-FR"/>
        </w:rPr>
        <w:t>’</w:t>
      </w:r>
      <w:r w:rsidRPr="009775B6">
        <w:rPr>
          <w:rFonts w:ascii="Arial" w:hAnsi="Arial" w:cs="Arial"/>
          <w:sz w:val="22"/>
          <w:szCs w:val="22"/>
          <w:lang w:val="fr-FR"/>
        </w:rPr>
        <w:t>examiner d</w:t>
      </w:r>
      <w:r w:rsidR="008E532B">
        <w:rPr>
          <w:rFonts w:ascii="Arial" w:hAnsi="Arial" w:cs="Arial"/>
          <w:sz w:val="22"/>
          <w:szCs w:val="22"/>
          <w:lang w:val="fr-FR"/>
        </w:rPr>
        <w:t>’</w:t>
      </w:r>
      <w:r w:rsidRPr="009775B6">
        <w:rPr>
          <w:rFonts w:ascii="Arial" w:hAnsi="Arial" w:cs="Arial"/>
          <w:sz w:val="22"/>
          <w:szCs w:val="22"/>
          <w:lang w:val="fr-FR"/>
        </w:rPr>
        <w:t>abord les demandes d</w:t>
      </w:r>
      <w:r w:rsidR="008E532B">
        <w:rPr>
          <w:rFonts w:ascii="Arial" w:hAnsi="Arial" w:cs="Arial"/>
          <w:sz w:val="22"/>
          <w:szCs w:val="22"/>
          <w:lang w:val="fr-FR"/>
        </w:rPr>
        <w:t>’</w:t>
      </w:r>
      <w:r w:rsidRPr="009775B6">
        <w:rPr>
          <w:rFonts w:ascii="Arial" w:hAnsi="Arial" w:cs="Arial"/>
          <w:sz w:val="22"/>
          <w:szCs w:val="22"/>
          <w:lang w:val="fr-FR"/>
        </w:rPr>
        <w:t>accréditation des trente-deux ONG recommandées par le Comité, puis d</w:t>
      </w:r>
      <w:r w:rsidR="008E532B">
        <w:rPr>
          <w:rFonts w:ascii="Arial" w:hAnsi="Arial" w:cs="Arial"/>
          <w:sz w:val="22"/>
          <w:szCs w:val="22"/>
          <w:lang w:val="fr-FR"/>
        </w:rPr>
        <w:t>’</w:t>
      </w:r>
      <w:r w:rsidRPr="009775B6">
        <w:rPr>
          <w:rFonts w:ascii="Arial" w:hAnsi="Arial" w:cs="Arial"/>
          <w:sz w:val="22"/>
          <w:szCs w:val="22"/>
          <w:lang w:val="fr-FR"/>
        </w:rPr>
        <w:t xml:space="preserve">examiner les deux cas </w:t>
      </w:r>
      <w:r>
        <w:rPr>
          <w:rFonts w:ascii="Arial" w:hAnsi="Arial" w:cs="Arial"/>
          <w:sz w:val="22"/>
          <w:szCs w:val="22"/>
          <w:lang w:val="fr-FR"/>
        </w:rPr>
        <w:t>dont l</w:t>
      </w:r>
      <w:r w:rsidR="008E532B">
        <w:rPr>
          <w:rFonts w:ascii="Arial" w:hAnsi="Arial" w:cs="Arial"/>
          <w:sz w:val="22"/>
          <w:szCs w:val="22"/>
          <w:lang w:val="fr-FR"/>
        </w:rPr>
        <w:t>’</w:t>
      </w:r>
      <w:r>
        <w:rPr>
          <w:rFonts w:ascii="Arial" w:hAnsi="Arial" w:cs="Arial"/>
          <w:sz w:val="22"/>
          <w:szCs w:val="22"/>
          <w:lang w:val="fr-FR"/>
        </w:rPr>
        <w:t xml:space="preserve">examen avait été différé </w:t>
      </w:r>
      <w:r w:rsidRPr="009775B6">
        <w:rPr>
          <w:rFonts w:ascii="Arial" w:hAnsi="Arial" w:cs="Arial"/>
          <w:sz w:val="22"/>
          <w:szCs w:val="22"/>
          <w:lang w:val="fr-FR"/>
        </w:rPr>
        <w:t>par le Comité et de débattre ensuite de toute question.</w:t>
      </w:r>
    </w:p>
    <w:p w14:paraId="5AFDC1F3" w14:textId="7A10C392" w:rsidR="00D9653F" w:rsidRPr="00554C50"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554C50">
        <w:rPr>
          <w:rFonts w:ascii="Arial" w:hAnsi="Arial" w:cs="Arial"/>
          <w:sz w:val="22"/>
          <w:szCs w:val="22"/>
          <w:lang w:val="fr-FR"/>
        </w:rPr>
        <w:t xml:space="preserve">La délégation de la </w:t>
      </w:r>
      <w:r w:rsidRPr="00554C50">
        <w:rPr>
          <w:rFonts w:ascii="Arial" w:hAnsi="Arial" w:cs="Arial"/>
          <w:b/>
          <w:bCs/>
          <w:sz w:val="22"/>
          <w:szCs w:val="22"/>
          <w:lang w:val="fr-FR"/>
        </w:rPr>
        <w:t>Palestine</w:t>
      </w:r>
      <w:r w:rsidRPr="00554C50">
        <w:rPr>
          <w:rFonts w:ascii="Arial" w:hAnsi="Arial" w:cs="Arial"/>
          <w:sz w:val="22"/>
          <w:szCs w:val="22"/>
          <w:lang w:val="fr-FR"/>
        </w:rPr>
        <w:t xml:space="preserve"> a pris note de l</w:t>
      </w:r>
      <w:r w:rsidR="008E532B">
        <w:rPr>
          <w:rFonts w:ascii="Arial" w:hAnsi="Arial" w:cs="Arial"/>
          <w:sz w:val="22"/>
          <w:szCs w:val="22"/>
          <w:lang w:val="fr-FR"/>
        </w:rPr>
        <w:t>’</w:t>
      </w:r>
      <w:r w:rsidRPr="00554C50">
        <w:rPr>
          <w:rFonts w:ascii="Arial" w:hAnsi="Arial" w:cs="Arial"/>
          <w:sz w:val="22"/>
          <w:szCs w:val="22"/>
          <w:lang w:val="fr-FR"/>
        </w:rPr>
        <w:t>explication du Sous-Directeur général sur la décision d</w:t>
      </w:r>
      <w:r w:rsidR="008E532B">
        <w:rPr>
          <w:rFonts w:ascii="Arial" w:hAnsi="Arial" w:cs="Arial"/>
          <w:sz w:val="22"/>
          <w:szCs w:val="22"/>
          <w:lang w:val="fr-FR"/>
        </w:rPr>
        <w:t>’</w:t>
      </w:r>
      <w:r w:rsidRPr="00554C50">
        <w:rPr>
          <w:rFonts w:ascii="Arial" w:hAnsi="Arial" w:cs="Arial"/>
          <w:sz w:val="22"/>
          <w:szCs w:val="22"/>
          <w:lang w:val="fr-FR"/>
        </w:rPr>
        <w:t>approuver l</w:t>
      </w:r>
      <w:r w:rsidR="008E532B">
        <w:rPr>
          <w:rFonts w:ascii="Arial" w:hAnsi="Arial" w:cs="Arial"/>
          <w:sz w:val="22"/>
          <w:szCs w:val="22"/>
          <w:lang w:val="fr-FR"/>
        </w:rPr>
        <w:t>’</w:t>
      </w:r>
      <w:r w:rsidRPr="00554C50">
        <w:rPr>
          <w:rFonts w:ascii="Arial" w:hAnsi="Arial" w:cs="Arial"/>
          <w:sz w:val="22"/>
          <w:szCs w:val="22"/>
          <w:lang w:val="fr-FR"/>
        </w:rPr>
        <w:t>accréditation. Toutefois, elle a suggéré d</w:t>
      </w:r>
      <w:r w:rsidR="008E532B">
        <w:rPr>
          <w:rFonts w:ascii="Arial" w:hAnsi="Arial" w:cs="Arial"/>
          <w:sz w:val="22"/>
          <w:szCs w:val="22"/>
          <w:lang w:val="fr-FR"/>
        </w:rPr>
        <w:t>’</w:t>
      </w:r>
      <w:r w:rsidRPr="00554C50">
        <w:rPr>
          <w:rFonts w:ascii="Arial" w:hAnsi="Arial" w:cs="Arial"/>
          <w:sz w:val="22"/>
          <w:szCs w:val="22"/>
          <w:lang w:val="fr-FR"/>
        </w:rPr>
        <w:t>écouter d</w:t>
      </w:r>
      <w:r w:rsidR="008E532B">
        <w:rPr>
          <w:rFonts w:ascii="Arial" w:hAnsi="Arial" w:cs="Arial"/>
          <w:sz w:val="22"/>
          <w:szCs w:val="22"/>
          <w:lang w:val="fr-FR"/>
        </w:rPr>
        <w:t>’</w:t>
      </w:r>
      <w:r w:rsidRPr="00554C50">
        <w:rPr>
          <w:rFonts w:ascii="Arial" w:hAnsi="Arial" w:cs="Arial"/>
          <w:sz w:val="22"/>
          <w:szCs w:val="22"/>
          <w:lang w:val="fr-FR"/>
        </w:rPr>
        <w:t xml:space="preserve">abord les </w:t>
      </w:r>
      <w:r>
        <w:rPr>
          <w:rFonts w:ascii="Arial" w:hAnsi="Arial" w:cs="Arial"/>
          <w:sz w:val="22"/>
          <w:szCs w:val="22"/>
          <w:lang w:val="fr-FR"/>
        </w:rPr>
        <w:t xml:space="preserve">différentes </w:t>
      </w:r>
      <w:r w:rsidRPr="00554C50">
        <w:rPr>
          <w:rFonts w:ascii="Arial" w:hAnsi="Arial" w:cs="Arial"/>
          <w:sz w:val="22"/>
          <w:szCs w:val="22"/>
          <w:lang w:val="fr-FR"/>
        </w:rPr>
        <w:t>opinions et de d</w:t>
      </w:r>
      <w:r>
        <w:rPr>
          <w:rFonts w:ascii="Arial" w:hAnsi="Arial" w:cs="Arial"/>
          <w:sz w:val="22"/>
          <w:szCs w:val="22"/>
          <w:lang w:val="fr-FR"/>
        </w:rPr>
        <w:t>ébattre</w:t>
      </w:r>
      <w:r w:rsidRPr="00554C50">
        <w:rPr>
          <w:rFonts w:ascii="Arial" w:hAnsi="Arial" w:cs="Arial"/>
          <w:sz w:val="22"/>
          <w:szCs w:val="22"/>
          <w:lang w:val="fr-FR"/>
        </w:rPr>
        <w:t xml:space="preserve"> d</w:t>
      </w:r>
      <w:r w:rsidR="008E532B">
        <w:rPr>
          <w:rFonts w:ascii="Arial" w:hAnsi="Arial" w:cs="Arial"/>
          <w:sz w:val="22"/>
          <w:szCs w:val="22"/>
          <w:lang w:val="fr-FR"/>
        </w:rPr>
        <w:t>’</w:t>
      </w:r>
      <w:r w:rsidRPr="00554C50">
        <w:rPr>
          <w:rFonts w:ascii="Arial" w:hAnsi="Arial" w:cs="Arial"/>
          <w:sz w:val="22"/>
          <w:szCs w:val="22"/>
          <w:lang w:val="fr-FR"/>
        </w:rPr>
        <w:t>autres questions avant de finaliser l</w:t>
      </w:r>
      <w:r w:rsidR="008E532B">
        <w:rPr>
          <w:rFonts w:ascii="Arial" w:hAnsi="Arial" w:cs="Arial"/>
          <w:sz w:val="22"/>
          <w:szCs w:val="22"/>
          <w:lang w:val="fr-FR"/>
        </w:rPr>
        <w:t>’</w:t>
      </w:r>
      <w:r w:rsidRPr="00554C50">
        <w:rPr>
          <w:rFonts w:ascii="Arial" w:hAnsi="Arial" w:cs="Arial"/>
          <w:sz w:val="22"/>
          <w:szCs w:val="22"/>
          <w:lang w:val="fr-FR"/>
        </w:rPr>
        <w:t>accréditation et le projet de résolution. La délégation a remercié le Secrétariat pour la clarté du rapport. Concernant le cas des deux ONG, elle a noté la proposition logique et acceptable du Mexique. Concernant le projet de rendre les demandes d</w:t>
      </w:r>
      <w:r w:rsidR="008E532B">
        <w:rPr>
          <w:rFonts w:ascii="Arial" w:hAnsi="Arial" w:cs="Arial"/>
          <w:sz w:val="22"/>
          <w:szCs w:val="22"/>
          <w:lang w:val="fr-FR"/>
        </w:rPr>
        <w:t>’</w:t>
      </w:r>
      <w:r w:rsidRPr="00554C50">
        <w:rPr>
          <w:rFonts w:ascii="Arial" w:hAnsi="Arial" w:cs="Arial"/>
          <w:sz w:val="22"/>
          <w:szCs w:val="22"/>
          <w:lang w:val="fr-FR"/>
        </w:rPr>
        <w:t>accréditation disponibles plus tôt, la délégation a estimé qu</w:t>
      </w:r>
      <w:r w:rsidR="008E532B">
        <w:rPr>
          <w:rFonts w:ascii="Arial" w:hAnsi="Arial" w:cs="Arial"/>
          <w:sz w:val="22"/>
          <w:szCs w:val="22"/>
          <w:lang w:val="fr-FR"/>
        </w:rPr>
        <w:t>’</w:t>
      </w:r>
      <w:r w:rsidRPr="00554C50">
        <w:rPr>
          <w:rFonts w:ascii="Arial" w:hAnsi="Arial" w:cs="Arial"/>
          <w:sz w:val="22"/>
          <w:szCs w:val="22"/>
          <w:lang w:val="fr-FR"/>
        </w:rPr>
        <w:t>il s</w:t>
      </w:r>
      <w:r w:rsidR="008E532B">
        <w:rPr>
          <w:rFonts w:ascii="Arial" w:hAnsi="Arial" w:cs="Arial"/>
          <w:sz w:val="22"/>
          <w:szCs w:val="22"/>
          <w:lang w:val="fr-FR"/>
        </w:rPr>
        <w:t>’</w:t>
      </w:r>
      <w:r w:rsidRPr="00554C50">
        <w:rPr>
          <w:rFonts w:ascii="Arial" w:hAnsi="Arial" w:cs="Arial"/>
          <w:sz w:val="22"/>
          <w:szCs w:val="22"/>
          <w:lang w:val="fr-FR"/>
        </w:rPr>
        <w:t>agissait d</w:t>
      </w:r>
      <w:r w:rsidR="008E532B">
        <w:rPr>
          <w:rFonts w:ascii="Arial" w:hAnsi="Arial" w:cs="Arial"/>
          <w:sz w:val="22"/>
          <w:szCs w:val="22"/>
          <w:lang w:val="fr-FR"/>
        </w:rPr>
        <w:t>’</w:t>
      </w:r>
      <w:r w:rsidRPr="00554C50">
        <w:rPr>
          <w:rFonts w:ascii="Arial" w:hAnsi="Arial" w:cs="Arial"/>
          <w:sz w:val="22"/>
          <w:szCs w:val="22"/>
          <w:lang w:val="fr-FR"/>
        </w:rPr>
        <w:t xml:space="preserve">une très </w:t>
      </w:r>
      <w:r w:rsidRPr="000438FF">
        <w:rPr>
          <w:rFonts w:asciiTheme="minorBidi" w:hAnsiTheme="minorBidi" w:cstheme="minorBidi"/>
          <w:sz w:val="22"/>
          <w:szCs w:val="22"/>
          <w:lang w:val="fr-FR"/>
        </w:rPr>
        <w:t>bonne mesure et a félicité le Secrétariat pour cette décision. Néanmoins, la question des ONG affiliées à des pays non parties à la Convention demeurait, comme discuté lors de la dernière Assemblée générale, d</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où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amendement de la Palestine au projet de décision.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amendement portait sur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accréditation et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élection des ONG à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Organe d</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évaluation. Il a été rappelé que de nombreux États parties considéraient que ces ONG ne devaient pas être accréditées, en référence à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article 2.5 de la Convention et à d</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autres paragraphes des Directives opérationnelles (tels que le paragraphe 27 et le paragraphe 28).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amendement de la Palestine était basé sur le principe selon lequel les États parties ont des obligations et des avantages en vertu de la Convention,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accréditation des ONG étant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un de ces avantages. De plus, lorsque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Assemblée générale avait créé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Organe d</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 xml:space="preserve">évaluation dans la </w:t>
      </w:r>
      <w:r w:rsidR="000C30DD" w:rsidRPr="000438FF">
        <w:rPr>
          <w:rFonts w:asciiTheme="minorBidi" w:hAnsiTheme="minorBidi" w:cstheme="minorBidi"/>
          <w:sz w:val="22"/>
          <w:szCs w:val="22"/>
          <w:lang w:val="fr-FR"/>
        </w:rPr>
        <w:t>résolution </w:t>
      </w:r>
      <w:hyperlink r:id="rId39" w:history="1">
        <w:r w:rsidR="000C30DD" w:rsidRPr="000438FF">
          <w:rPr>
            <w:rStyle w:val="Hyperlink"/>
            <w:rFonts w:asciiTheme="minorBidi" w:hAnsiTheme="minorBidi" w:cstheme="minorBidi"/>
            <w:bCs/>
            <w:sz w:val="22"/>
            <w:szCs w:val="22"/>
            <w:lang w:val="fr-FR"/>
          </w:rPr>
          <w:t>4.GA 5</w:t>
        </w:r>
      </w:hyperlink>
      <w:r w:rsidRPr="000438FF">
        <w:rPr>
          <w:rFonts w:asciiTheme="minorBidi" w:hAnsiTheme="minorBidi" w:cstheme="minorBidi"/>
          <w:sz w:val="22"/>
          <w:szCs w:val="22"/>
          <w:lang w:val="fr-FR"/>
        </w:rPr>
        <w:t>, il était entendu que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Organe d</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 xml:space="preserve">évaluation serait composé de six experts et de six ONG, provenant exclusivement des États parties à la Convention. Les modifications apportées aux Directives opérationnelles, </w:t>
      </w:r>
      <w:proofErr w:type="gramStart"/>
      <w:r w:rsidRPr="000438FF">
        <w:rPr>
          <w:rFonts w:asciiTheme="minorBidi" w:hAnsiTheme="minorBidi" w:cstheme="minorBidi"/>
          <w:sz w:val="22"/>
          <w:szCs w:val="22"/>
          <w:lang w:val="fr-FR"/>
        </w:rPr>
        <w:t>suite à</w:t>
      </w:r>
      <w:proofErr w:type="gramEnd"/>
      <w:r w:rsidRPr="000438FF">
        <w:rPr>
          <w:rFonts w:asciiTheme="minorBidi" w:hAnsiTheme="minorBidi" w:cstheme="minorBidi"/>
          <w:sz w:val="22"/>
          <w:szCs w:val="22"/>
          <w:lang w:val="fr-FR"/>
        </w:rPr>
        <w:t xml:space="preserve"> la décision susmentionnée, concernaient, entre autres, les paragraphes 27 et 28. Au paragraphe 27,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importance de tenir compte d</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une représentation géographique équitable était soulignée, tandis qu</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au paragraphe 28, il était stipulé, concernant l</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Organe d</w:t>
      </w:r>
      <w:r w:rsidR="008E532B" w:rsidRPr="000438FF">
        <w:rPr>
          <w:rFonts w:asciiTheme="minorBidi" w:hAnsiTheme="minorBidi" w:cstheme="minorBidi"/>
          <w:sz w:val="22"/>
          <w:szCs w:val="22"/>
          <w:lang w:val="fr-FR"/>
        </w:rPr>
        <w:t>’</w:t>
      </w:r>
      <w:r w:rsidRPr="000438FF">
        <w:rPr>
          <w:rFonts w:asciiTheme="minorBidi" w:hAnsiTheme="minorBidi" w:cstheme="minorBidi"/>
          <w:sz w:val="22"/>
          <w:szCs w:val="22"/>
          <w:lang w:val="fr-FR"/>
        </w:rPr>
        <w:t>évaluation</w:t>
      </w:r>
      <w:r>
        <w:rPr>
          <w:rFonts w:ascii="Arial" w:hAnsi="Arial" w:cs="Arial"/>
          <w:sz w:val="22"/>
          <w:szCs w:val="22"/>
          <w:lang w:val="fr-FR"/>
        </w:rPr>
        <w:t xml:space="preserve">, </w:t>
      </w:r>
      <w:r w:rsidRPr="00554C50">
        <w:rPr>
          <w:rFonts w:ascii="Arial" w:hAnsi="Arial" w:cs="Arial"/>
          <w:sz w:val="22"/>
          <w:szCs w:val="22"/>
          <w:lang w:val="fr-FR"/>
        </w:rPr>
        <w:t xml:space="preserve">que le Secrétariat </w:t>
      </w:r>
      <w:r>
        <w:rPr>
          <w:rFonts w:ascii="Arial" w:hAnsi="Arial" w:cs="Arial"/>
          <w:sz w:val="22"/>
          <w:szCs w:val="22"/>
          <w:lang w:val="fr-FR"/>
        </w:rPr>
        <w:t xml:space="preserve">« </w:t>
      </w:r>
      <w:r w:rsidRPr="00554C50">
        <w:rPr>
          <w:rFonts w:ascii="Arial" w:hAnsi="Arial" w:cs="Arial"/>
          <w:sz w:val="22"/>
          <w:szCs w:val="22"/>
          <w:lang w:val="fr-FR"/>
        </w:rPr>
        <w:t xml:space="preserve">informe les </w:t>
      </w:r>
      <w:r>
        <w:rPr>
          <w:rFonts w:ascii="Arial" w:hAnsi="Arial" w:cs="Arial"/>
          <w:sz w:val="22"/>
          <w:szCs w:val="22"/>
          <w:lang w:val="fr-FR"/>
        </w:rPr>
        <w:t>É</w:t>
      </w:r>
      <w:r w:rsidRPr="00554C50">
        <w:rPr>
          <w:rFonts w:ascii="Arial" w:hAnsi="Arial" w:cs="Arial"/>
          <w:sz w:val="22"/>
          <w:szCs w:val="22"/>
          <w:lang w:val="fr-FR"/>
        </w:rPr>
        <w:t xml:space="preserve">tats parties au sein de chaque groupe électoral </w:t>
      </w:r>
      <w:r>
        <w:rPr>
          <w:rFonts w:ascii="Arial" w:hAnsi="Arial" w:cs="Arial"/>
          <w:sz w:val="22"/>
          <w:szCs w:val="22"/>
          <w:lang w:val="fr-FR"/>
        </w:rPr>
        <w:t xml:space="preserve">ayant </w:t>
      </w:r>
      <w:r w:rsidRPr="00554C50">
        <w:rPr>
          <w:rFonts w:ascii="Arial" w:hAnsi="Arial" w:cs="Arial"/>
          <w:sz w:val="22"/>
          <w:szCs w:val="22"/>
          <w:lang w:val="fr-FR"/>
        </w:rPr>
        <w:t>un siège vacant à pourvoir</w:t>
      </w:r>
      <w:r>
        <w:rPr>
          <w:rFonts w:ascii="Arial" w:hAnsi="Arial" w:cs="Arial"/>
          <w:sz w:val="22"/>
          <w:szCs w:val="22"/>
          <w:lang w:val="fr-FR"/>
        </w:rPr>
        <w:t> »</w:t>
      </w:r>
      <w:r w:rsidRPr="00554C50">
        <w:rPr>
          <w:rFonts w:ascii="Arial" w:hAnsi="Arial" w:cs="Arial"/>
          <w:sz w:val="22"/>
          <w:szCs w:val="22"/>
          <w:lang w:val="fr-FR"/>
        </w:rPr>
        <w:t>. Il fallait donc d</w:t>
      </w:r>
      <w:r w:rsidR="008E532B">
        <w:rPr>
          <w:rFonts w:ascii="Arial" w:hAnsi="Arial" w:cs="Arial"/>
          <w:sz w:val="22"/>
          <w:szCs w:val="22"/>
          <w:lang w:val="fr-FR"/>
        </w:rPr>
        <w:t>’</w:t>
      </w:r>
      <w:r w:rsidRPr="00554C50">
        <w:rPr>
          <w:rFonts w:ascii="Arial" w:hAnsi="Arial" w:cs="Arial"/>
          <w:sz w:val="22"/>
          <w:szCs w:val="22"/>
          <w:lang w:val="fr-FR"/>
        </w:rPr>
        <w:t>abord clarifier cette question avant d</w:t>
      </w:r>
      <w:r w:rsidR="008E532B">
        <w:rPr>
          <w:rFonts w:ascii="Arial" w:hAnsi="Arial" w:cs="Arial"/>
          <w:sz w:val="22"/>
          <w:szCs w:val="22"/>
          <w:lang w:val="fr-FR"/>
        </w:rPr>
        <w:t>’</w:t>
      </w:r>
      <w:r w:rsidRPr="00554C50">
        <w:rPr>
          <w:rFonts w:ascii="Arial" w:hAnsi="Arial" w:cs="Arial"/>
          <w:sz w:val="22"/>
          <w:szCs w:val="22"/>
          <w:lang w:val="fr-FR"/>
        </w:rPr>
        <w:t>aller de l</w:t>
      </w:r>
      <w:r w:rsidR="008E532B">
        <w:rPr>
          <w:rFonts w:ascii="Arial" w:hAnsi="Arial" w:cs="Arial"/>
          <w:sz w:val="22"/>
          <w:szCs w:val="22"/>
          <w:lang w:val="fr-FR"/>
        </w:rPr>
        <w:t>’</w:t>
      </w:r>
      <w:r w:rsidRPr="00554C50">
        <w:rPr>
          <w:rFonts w:ascii="Arial" w:hAnsi="Arial" w:cs="Arial"/>
          <w:sz w:val="22"/>
          <w:szCs w:val="22"/>
          <w:lang w:val="fr-FR"/>
        </w:rPr>
        <w:t>avant, car certaines des ONG candidates à l</w:t>
      </w:r>
      <w:r w:rsidR="008E532B">
        <w:rPr>
          <w:rFonts w:ascii="Arial" w:hAnsi="Arial" w:cs="Arial"/>
          <w:sz w:val="22"/>
          <w:szCs w:val="22"/>
          <w:lang w:val="fr-FR"/>
        </w:rPr>
        <w:t>’</w:t>
      </w:r>
      <w:r w:rsidRPr="00554C50">
        <w:rPr>
          <w:rFonts w:ascii="Arial" w:hAnsi="Arial" w:cs="Arial"/>
          <w:sz w:val="22"/>
          <w:szCs w:val="22"/>
          <w:lang w:val="fr-FR"/>
        </w:rPr>
        <w:t>accréditation provenaient d</w:t>
      </w:r>
      <w:r w:rsidR="008E532B">
        <w:rPr>
          <w:rFonts w:ascii="Arial" w:hAnsi="Arial" w:cs="Arial"/>
          <w:sz w:val="22"/>
          <w:szCs w:val="22"/>
          <w:lang w:val="fr-FR"/>
        </w:rPr>
        <w:t>’</w:t>
      </w:r>
      <w:r w:rsidRPr="00554C50">
        <w:rPr>
          <w:rFonts w:ascii="Arial" w:hAnsi="Arial" w:cs="Arial"/>
          <w:sz w:val="22"/>
          <w:szCs w:val="22"/>
          <w:lang w:val="fr-FR"/>
        </w:rPr>
        <w:t>États non parties à la Convention. La délégation a précisé que son amendement ne visait pas à empêcher les ONG d</w:t>
      </w:r>
      <w:r w:rsidR="008E532B">
        <w:rPr>
          <w:rFonts w:ascii="Arial" w:hAnsi="Arial" w:cs="Arial"/>
          <w:sz w:val="22"/>
          <w:szCs w:val="22"/>
          <w:lang w:val="fr-FR"/>
        </w:rPr>
        <w:t>’</w:t>
      </w:r>
      <w:r w:rsidRPr="00554C50">
        <w:rPr>
          <w:rFonts w:ascii="Arial" w:hAnsi="Arial" w:cs="Arial"/>
          <w:sz w:val="22"/>
          <w:szCs w:val="22"/>
          <w:lang w:val="fr-FR"/>
        </w:rPr>
        <w:t xml:space="preserve">exercer et de faire partie des </w:t>
      </w:r>
      <w:r>
        <w:rPr>
          <w:rFonts w:ascii="Arial" w:hAnsi="Arial" w:cs="Arial"/>
          <w:sz w:val="22"/>
          <w:szCs w:val="22"/>
          <w:lang w:val="fr-FR"/>
        </w:rPr>
        <w:t>O</w:t>
      </w:r>
      <w:r w:rsidRPr="00554C50">
        <w:rPr>
          <w:rFonts w:ascii="Arial" w:hAnsi="Arial" w:cs="Arial"/>
          <w:sz w:val="22"/>
          <w:szCs w:val="22"/>
          <w:lang w:val="fr-FR"/>
        </w:rPr>
        <w:t>rganes consultatifs de la Convention et du Comité</w:t>
      </w:r>
      <w:r>
        <w:rPr>
          <w:rFonts w:ascii="Arial" w:hAnsi="Arial" w:cs="Arial"/>
          <w:sz w:val="22"/>
          <w:szCs w:val="22"/>
          <w:lang w:val="fr-FR"/>
        </w:rPr>
        <w:t xml:space="preserve">, </w:t>
      </w:r>
      <w:r w:rsidRPr="00554C50">
        <w:rPr>
          <w:rFonts w:ascii="Arial" w:hAnsi="Arial" w:cs="Arial"/>
          <w:sz w:val="22"/>
          <w:szCs w:val="22"/>
          <w:lang w:val="fr-FR"/>
        </w:rPr>
        <w:t>le but était de respecter le principe des obligations et des avantages pour les États parties. La Palestine a</w:t>
      </w:r>
      <w:r>
        <w:rPr>
          <w:rFonts w:ascii="Arial" w:hAnsi="Arial" w:cs="Arial"/>
          <w:sz w:val="22"/>
          <w:szCs w:val="22"/>
          <w:lang w:val="fr-FR"/>
        </w:rPr>
        <w:t>vait</w:t>
      </w:r>
      <w:r w:rsidRPr="00554C50">
        <w:rPr>
          <w:rFonts w:ascii="Arial" w:hAnsi="Arial" w:cs="Arial"/>
          <w:sz w:val="22"/>
          <w:szCs w:val="22"/>
          <w:lang w:val="fr-FR"/>
        </w:rPr>
        <w:t xml:space="preserve"> été la première à féliciter le Forum des ONG du PCI pour sa présentation</w:t>
      </w:r>
      <w:r>
        <w:rPr>
          <w:rFonts w:ascii="Arial" w:hAnsi="Arial" w:cs="Arial"/>
          <w:sz w:val="22"/>
          <w:szCs w:val="22"/>
          <w:lang w:val="fr-FR"/>
        </w:rPr>
        <w:t>,</w:t>
      </w:r>
      <w:r w:rsidRPr="00554C50">
        <w:rPr>
          <w:rFonts w:ascii="Arial" w:hAnsi="Arial" w:cs="Arial"/>
          <w:sz w:val="22"/>
          <w:szCs w:val="22"/>
          <w:lang w:val="fr-FR"/>
        </w:rPr>
        <w:t xml:space="preserve"> et l</w:t>
      </w:r>
      <w:r w:rsidR="008E532B">
        <w:rPr>
          <w:rFonts w:ascii="Arial" w:hAnsi="Arial" w:cs="Arial"/>
          <w:sz w:val="22"/>
          <w:szCs w:val="22"/>
          <w:lang w:val="fr-FR"/>
        </w:rPr>
        <w:t>’</w:t>
      </w:r>
      <w:r w:rsidRPr="00554C50">
        <w:rPr>
          <w:rFonts w:ascii="Arial" w:hAnsi="Arial" w:cs="Arial"/>
          <w:sz w:val="22"/>
          <w:szCs w:val="22"/>
          <w:lang w:val="fr-FR"/>
        </w:rPr>
        <w:t xml:space="preserve">un des </w:t>
      </w:r>
      <w:r>
        <w:rPr>
          <w:rFonts w:ascii="Arial" w:hAnsi="Arial" w:cs="Arial"/>
          <w:sz w:val="22"/>
          <w:szCs w:val="22"/>
          <w:lang w:val="fr-FR"/>
        </w:rPr>
        <w:t>É</w:t>
      </w:r>
      <w:r w:rsidRPr="00554C50">
        <w:rPr>
          <w:rFonts w:ascii="Arial" w:hAnsi="Arial" w:cs="Arial"/>
          <w:sz w:val="22"/>
          <w:szCs w:val="22"/>
          <w:lang w:val="fr-FR"/>
        </w:rPr>
        <w:t xml:space="preserve">tats parties </w:t>
      </w:r>
      <w:r>
        <w:rPr>
          <w:rFonts w:ascii="Arial" w:hAnsi="Arial" w:cs="Arial"/>
          <w:sz w:val="22"/>
          <w:szCs w:val="22"/>
          <w:lang w:val="fr-FR"/>
        </w:rPr>
        <w:t xml:space="preserve">à </w:t>
      </w:r>
      <w:r w:rsidRPr="00554C50">
        <w:rPr>
          <w:rFonts w:ascii="Arial" w:hAnsi="Arial" w:cs="Arial"/>
          <w:sz w:val="22"/>
          <w:szCs w:val="22"/>
          <w:lang w:val="fr-FR"/>
        </w:rPr>
        <w:t>demand</w:t>
      </w:r>
      <w:r>
        <w:rPr>
          <w:rFonts w:ascii="Arial" w:hAnsi="Arial" w:cs="Arial"/>
          <w:sz w:val="22"/>
          <w:szCs w:val="22"/>
          <w:lang w:val="fr-FR"/>
        </w:rPr>
        <w:t>er</w:t>
      </w:r>
      <w:r w:rsidRPr="00554C50">
        <w:rPr>
          <w:rFonts w:ascii="Arial" w:hAnsi="Arial" w:cs="Arial"/>
          <w:sz w:val="22"/>
          <w:szCs w:val="22"/>
          <w:lang w:val="fr-FR"/>
        </w:rPr>
        <w:t xml:space="preserve"> que le Forum des ONG du PCI puisse présenter son rapport à l</w:t>
      </w:r>
      <w:r w:rsidR="008E532B">
        <w:rPr>
          <w:rFonts w:ascii="Arial" w:hAnsi="Arial" w:cs="Arial"/>
          <w:sz w:val="22"/>
          <w:szCs w:val="22"/>
          <w:lang w:val="fr-FR"/>
        </w:rPr>
        <w:t>’</w:t>
      </w:r>
      <w:r w:rsidRPr="00554C50">
        <w:rPr>
          <w:rFonts w:ascii="Arial" w:hAnsi="Arial" w:cs="Arial"/>
          <w:sz w:val="22"/>
          <w:szCs w:val="22"/>
          <w:lang w:val="fr-FR"/>
        </w:rPr>
        <w:t>Assemblée. En effet, les ONG - qu</w:t>
      </w:r>
      <w:r w:rsidR="008E532B">
        <w:rPr>
          <w:rFonts w:ascii="Arial" w:hAnsi="Arial" w:cs="Arial"/>
          <w:sz w:val="22"/>
          <w:szCs w:val="22"/>
          <w:lang w:val="fr-FR"/>
        </w:rPr>
        <w:t>’</w:t>
      </w:r>
      <w:r w:rsidRPr="00554C50">
        <w:rPr>
          <w:rFonts w:ascii="Arial" w:hAnsi="Arial" w:cs="Arial"/>
          <w:sz w:val="22"/>
          <w:szCs w:val="22"/>
          <w:lang w:val="fr-FR"/>
        </w:rPr>
        <w:t xml:space="preserve">elles </w:t>
      </w:r>
      <w:r>
        <w:rPr>
          <w:rFonts w:ascii="Arial" w:hAnsi="Arial" w:cs="Arial"/>
          <w:sz w:val="22"/>
          <w:szCs w:val="22"/>
          <w:lang w:val="fr-FR"/>
        </w:rPr>
        <w:t xml:space="preserve">proviennent </w:t>
      </w:r>
      <w:r w:rsidRPr="00554C50">
        <w:rPr>
          <w:rFonts w:ascii="Arial" w:hAnsi="Arial" w:cs="Arial"/>
          <w:sz w:val="22"/>
          <w:szCs w:val="22"/>
          <w:lang w:val="fr-FR"/>
        </w:rPr>
        <w:t>d</w:t>
      </w:r>
      <w:r w:rsidR="008E532B">
        <w:rPr>
          <w:rFonts w:ascii="Arial" w:hAnsi="Arial" w:cs="Arial"/>
          <w:sz w:val="22"/>
          <w:szCs w:val="22"/>
          <w:lang w:val="fr-FR"/>
        </w:rPr>
        <w:t>’</w:t>
      </w:r>
      <w:r w:rsidRPr="00554C50">
        <w:rPr>
          <w:rFonts w:ascii="Arial" w:hAnsi="Arial" w:cs="Arial"/>
          <w:sz w:val="22"/>
          <w:szCs w:val="22"/>
          <w:lang w:val="fr-FR"/>
        </w:rPr>
        <w:t xml:space="preserve">États parties ou non </w:t>
      </w:r>
      <w:r>
        <w:rPr>
          <w:rFonts w:ascii="Arial" w:hAnsi="Arial" w:cs="Arial"/>
          <w:sz w:val="22"/>
          <w:szCs w:val="22"/>
          <w:lang w:val="fr-FR"/>
        </w:rPr>
        <w:t>–</w:t>
      </w:r>
      <w:r w:rsidRPr="00554C50">
        <w:rPr>
          <w:rFonts w:ascii="Arial" w:hAnsi="Arial" w:cs="Arial"/>
          <w:sz w:val="22"/>
          <w:szCs w:val="22"/>
          <w:lang w:val="fr-FR"/>
        </w:rPr>
        <w:t xml:space="preserve"> </w:t>
      </w:r>
      <w:r>
        <w:rPr>
          <w:rFonts w:ascii="Arial" w:hAnsi="Arial" w:cs="Arial"/>
          <w:sz w:val="22"/>
          <w:szCs w:val="22"/>
          <w:lang w:val="fr-FR"/>
        </w:rPr>
        <w:t>étaient</w:t>
      </w:r>
      <w:r w:rsidRPr="00554C50">
        <w:rPr>
          <w:rFonts w:ascii="Arial" w:hAnsi="Arial" w:cs="Arial"/>
          <w:sz w:val="22"/>
          <w:szCs w:val="22"/>
          <w:lang w:val="fr-FR"/>
        </w:rPr>
        <w:t xml:space="preserve"> efficaces et nécessaires à la mise en œuvre de la Convention. Mais dans </w:t>
      </w:r>
      <w:r>
        <w:rPr>
          <w:rFonts w:ascii="Arial" w:hAnsi="Arial" w:cs="Arial"/>
          <w:sz w:val="22"/>
          <w:szCs w:val="22"/>
          <w:lang w:val="fr-FR"/>
        </w:rPr>
        <w:t>le</w:t>
      </w:r>
      <w:r w:rsidRPr="00554C50">
        <w:rPr>
          <w:rFonts w:ascii="Arial" w:hAnsi="Arial" w:cs="Arial"/>
          <w:sz w:val="22"/>
          <w:szCs w:val="22"/>
          <w:lang w:val="fr-FR"/>
        </w:rPr>
        <w:t xml:space="preserve"> cas</w:t>
      </w:r>
      <w:r>
        <w:rPr>
          <w:rFonts w:ascii="Arial" w:hAnsi="Arial" w:cs="Arial"/>
          <w:sz w:val="22"/>
          <w:szCs w:val="22"/>
          <w:lang w:val="fr-FR"/>
        </w:rPr>
        <w:t xml:space="preserve"> présent</w:t>
      </w:r>
      <w:r w:rsidRPr="00554C50">
        <w:rPr>
          <w:rFonts w:ascii="Arial" w:hAnsi="Arial" w:cs="Arial"/>
          <w:sz w:val="22"/>
          <w:szCs w:val="22"/>
          <w:lang w:val="fr-FR"/>
        </w:rPr>
        <w:t>, il s</w:t>
      </w:r>
      <w:r w:rsidR="008E532B">
        <w:rPr>
          <w:rFonts w:ascii="Arial" w:hAnsi="Arial" w:cs="Arial"/>
          <w:sz w:val="22"/>
          <w:szCs w:val="22"/>
          <w:lang w:val="fr-FR"/>
        </w:rPr>
        <w:t>’</w:t>
      </w:r>
      <w:r w:rsidRPr="00554C50">
        <w:rPr>
          <w:rFonts w:ascii="Arial" w:hAnsi="Arial" w:cs="Arial"/>
          <w:sz w:val="22"/>
          <w:szCs w:val="22"/>
          <w:lang w:val="fr-FR"/>
        </w:rPr>
        <w:t>agissait d</w:t>
      </w:r>
      <w:r w:rsidR="008E532B">
        <w:rPr>
          <w:rFonts w:ascii="Arial" w:hAnsi="Arial" w:cs="Arial"/>
          <w:sz w:val="22"/>
          <w:szCs w:val="22"/>
          <w:lang w:val="fr-FR"/>
        </w:rPr>
        <w:t>’</w:t>
      </w:r>
      <w:r w:rsidRPr="00554C50">
        <w:rPr>
          <w:rFonts w:ascii="Arial" w:hAnsi="Arial" w:cs="Arial"/>
          <w:sz w:val="22"/>
          <w:szCs w:val="22"/>
          <w:lang w:val="fr-FR"/>
        </w:rPr>
        <w:t>une question de principe et de légalité.</w:t>
      </w:r>
    </w:p>
    <w:p w14:paraId="540663E3" w14:textId="38DBD064" w:rsidR="00D9653F" w:rsidRPr="005618B3"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5618B3">
        <w:rPr>
          <w:rFonts w:ascii="Arial" w:hAnsi="Arial" w:cs="Arial"/>
          <w:sz w:val="22"/>
          <w:szCs w:val="22"/>
          <w:lang w:val="fr-FR"/>
        </w:rPr>
        <w:t xml:space="preserve">La délégation du </w:t>
      </w:r>
      <w:r w:rsidRPr="005618B3">
        <w:rPr>
          <w:rFonts w:ascii="Arial" w:hAnsi="Arial" w:cs="Arial"/>
          <w:b/>
          <w:bCs/>
          <w:sz w:val="22"/>
          <w:szCs w:val="22"/>
          <w:lang w:val="fr-FR"/>
        </w:rPr>
        <w:t>Mexique</w:t>
      </w:r>
      <w:r w:rsidRPr="005618B3">
        <w:rPr>
          <w:rFonts w:ascii="Arial" w:hAnsi="Arial" w:cs="Arial"/>
          <w:sz w:val="22"/>
          <w:szCs w:val="22"/>
          <w:lang w:val="fr-FR"/>
        </w:rPr>
        <w:t xml:space="preserve"> a remercié le Secrétariat pour le rapport sur la contribution des ONG </w:t>
      </w:r>
      <w:r>
        <w:rPr>
          <w:rFonts w:ascii="Arial" w:hAnsi="Arial" w:cs="Arial"/>
          <w:sz w:val="22"/>
          <w:szCs w:val="22"/>
          <w:lang w:val="fr-FR"/>
        </w:rPr>
        <w:t>compte tenu du</w:t>
      </w:r>
      <w:r w:rsidRPr="005618B3">
        <w:rPr>
          <w:rFonts w:ascii="Arial" w:hAnsi="Arial" w:cs="Arial"/>
          <w:sz w:val="22"/>
          <w:szCs w:val="22"/>
          <w:lang w:val="fr-FR"/>
        </w:rPr>
        <w:t xml:space="preserve"> rôle important qu</w:t>
      </w:r>
      <w:r w:rsidR="008E532B">
        <w:rPr>
          <w:rFonts w:ascii="Arial" w:hAnsi="Arial" w:cs="Arial"/>
          <w:sz w:val="22"/>
          <w:szCs w:val="22"/>
          <w:lang w:val="fr-FR"/>
        </w:rPr>
        <w:t>’</w:t>
      </w:r>
      <w:r w:rsidRPr="005618B3">
        <w:rPr>
          <w:rFonts w:ascii="Arial" w:hAnsi="Arial" w:cs="Arial"/>
          <w:sz w:val="22"/>
          <w:szCs w:val="22"/>
          <w:lang w:val="fr-FR"/>
        </w:rPr>
        <w:t>elles jouent</w:t>
      </w:r>
      <w:r>
        <w:rPr>
          <w:rFonts w:ascii="Arial" w:hAnsi="Arial" w:cs="Arial"/>
          <w:sz w:val="22"/>
          <w:szCs w:val="22"/>
          <w:lang w:val="fr-FR"/>
        </w:rPr>
        <w:t xml:space="preserve"> pour </w:t>
      </w:r>
      <w:r w:rsidRPr="005618B3">
        <w:rPr>
          <w:rFonts w:ascii="Arial" w:hAnsi="Arial" w:cs="Arial"/>
          <w:sz w:val="22"/>
          <w:szCs w:val="22"/>
          <w:lang w:val="fr-FR"/>
        </w:rPr>
        <w:t>sauvegarde</w:t>
      </w:r>
      <w:r>
        <w:rPr>
          <w:rFonts w:ascii="Arial" w:hAnsi="Arial" w:cs="Arial"/>
          <w:sz w:val="22"/>
          <w:szCs w:val="22"/>
          <w:lang w:val="fr-FR"/>
        </w:rPr>
        <w:t>r le</w:t>
      </w:r>
      <w:r w:rsidRPr="005618B3">
        <w:rPr>
          <w:rFonts w:ascii="Arial" w:hAnsi="Arial" w:cs="Arial"/>
          <w:sz w:val="22"/>
          <w:szCs w:val="22"/>
          <w:lang w:val="fr-FR"/>
        </w:rPr>
        <w:t xml:space="preserv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5618B3">
        <w:rPr>
          <w:rFonts w:ascii="Arial" w:hAnsi="Arial" w:cs="Arial"/>
          <w:sz w:val="22"/>
          <w:szCs w:val="22"/>
          <w:lang w:val="fr-FR"/>
        </w:rPr>
        <w:t xml:space="preserve">et </w:t>
      </w:r>
      <w:r>
        <w:rPr>
          <w:rFonts w:ascii="Arial" w:hAnsi="Arial" w:cs="Arial"/>
          <w:sz w:val="22"/>
          <w:szCs w:val="22"/>
          <w:lang w:val="fr-FR"/>
        </w:rPr>
        <w:t>atteindre l</w:t>
      </w:r>
      <w:r w:rsidRPr="005618B3">
        <w:rPr>
          <w:rFonts w:ascii="Arial" w:hAnsi="Arial" w:cs="Arial"/>
          <w:sz w:val="22"/>
          <w:szCs w:val="22"/>
          <w:lang w:val="fr-FR"/>
        </w:rPr>
        <w:t>es nobles objectifs de la Convention. Elle a particulièrement remercié le Secrétariat et le Comité pour tout le travail accompli en vue d</w:t>
      </w:r>
      <w:r w:rsidR="008E532B">
        <w:rPr>
          <w:rFonts w:ascii="Arial" w:hAnsi="Arial" w:cs="Arial"/>
          <w:sz w:val="22"/>
          <w:szCs w:val="22"/>
          <w:lang w:val="fr-FR"/>
        </w:rPr>
        <w:t>’</w:t>
      </w:r>
      <w:r w:rsidRPr="005618B3">
        <w:rPr>
          <w:rFonts w:ascii="Arial" w:hAnsi="Arial" w:cs="Arial"/>
          <w:sz w:val="22"/>
          <w:szCs w:val="22"/>
          <w:lang w:val="fr-FR"/>
        </w:rPr>
        <w:t>améliorer le processus d</w:t>
      </w:r>
      <w:r w:rsidR="008E532B">
        <w:rPr>
          <w:rFonts w:ascii="Arial" w:hAnsi="Arial" w:cs="Arial"/>
          <w:sz w:val="22"/>
          <w:szCs w:val="22"/>
          <w:lang w:val="fr-FR"/>
        </w:rPr>
        <w:t>’</w:t>
      </w:r>
      <w:r w:rsidRPr="005618B3">
        <w:rPr>
          <w:rFonts w:ascii="Arial" w:hAnsi="Arial" w:cs="Arial"/>
          <w:sz w:val="22"/>
          <w:szCs w:val="22"/>
          <w:lang w:val="fr-FR"/>
        </w:rPr>
        <w:t>accréditation des ONG et pour l</w:t>
      </w:r>
      <w:r w:rsidR="008E532B">
        <w:rPr>
          <w:rFonts w:ascii="Arial" w:hAnsi="Arial" w:cs="Arial"/>
          <w:sz w:val="22"/>
          <w:szCs w:val="22"/>
          <w:lang w:val="fr-FR"/>
        </w:rPr>
        <w:t>’</w:t>
      </w:r>
      <w:r w:rsidRPr="005618B3">
        <w:rPr>
          <w:rFonts w:ascii="Arial" w:hAnsi="Arial" w:cs="Arial"/>
          <w:sz w:val="22"/>
          <w:szCs w:val="22"/>
          <w:lang w:val="fr-FR"/>
        </w:rPr>
        <w:t xml:space="preserve">attention accordée aux préoccupations du </w:t>
      </w:r>
      <w:r>
        <w:rPr>
          <w:rFonts w:ascii="Arial" w:hAnsi="Arial" w:cs="Arial"/>
          <w:sz w:val="22"/>
          <w:szCs w:val="22"/>
          <w:lang w:val="fr-FR"/>
        </w:rPr>
        <w:t>G</w:t>
      </w:r>
      <w:r w:rsidRPr="005618B3">
        <w:rPr>
          <w:rFonts w:ascii="Arial" w:hAnsi="Arial" w:cs="Arial"/>
          <w:sz w:val="22"/>
          <w:szCs w:val="22"/>
          <w:lang w:val="fr-FR"/>
        </w:rPr>
        <w:t xml:space="preserve">ouvernement </w:t>
      </w:r>
      <w:r>
        <w:rPr>
          <w:rFonts w:ascii="Arial" w:hAnsi="Arial" w:cs="Arial"/>
          <w:sz w:val="22"/>
          <w:szCs w:val="22"/>
          <w:lang w:val="fr-FR"/>
        </w:rPr>
        <w:t>du M</w:t>
      </w:r>
      <w:r w:rsidRPr="005618B3">
        <w:rPr>
          <w:rFonts w:ascii="Arial" w:hAnsi="Arial" w:cs="Arial"/>
          <w:sz w:val="22"/>
          <w:szCs w:val="22"/>
          <w:lang w:val="fr-FR"/>
        </w:rPr>
        <w:t>exi</w:t>
      </w:r>
      <w:r>
        <w:rPr>
          <w:rFonts w:ascii="Arial" w:hAnsi="Arial" w:cs="Arial"/>
          <w:sz w:val="22"/>
          <w:szCs w:val="22"/>
          <w:lang w:val="fr-FR"/>
        </w:rPr>
        <w:t>que</w:t>
      </w:r>
      <w:r w:rsidRPr="005618B3">
        <w:rPr>
          <w:rFonts w:ascii="Arial" w:hAnsi="Arial" w:cs="Arial"/>
          <w:sz w:val="22"/>
          <w:szCs w:val="22"/>
          <w:lang w:val="fr-FR"/>
        </w:rPr>
        <w:t xml:space="preserve"> par le biais du </w:t>
      </w:r>
      <w:r>
        <w:rPr>
          <w:rFonts w:ascii="Arial" w:hAnsi="Arial" w:cs="Arial"/>
          <w:sz w:val="22"/>
          <w:szCs w:val="22"/>
          <w:lang w:val="fr-FR"/>
        </w:rPr>
        <w:t>C</w:t>
      </w:r>
      <w:r w:rsidRPr="005618B3">
        <w:rPr>
          <w:rFonts w:ascii="Arial" w:hAnsi="Arial" w:cs="Arial"/>
          <w:sz w:val="22"/>
          <w:szCs w:val="22"/>
          <w:lang w:val="fr-FR"/>
        </w:rPr>
        <w:t xml:space="preserve">omité </w:t>
      </w:r>
      <w:r>
        <w:rPr>
          <w:rFonts w:ascii="Arial" w:hAnsi="Arial" w:cs="Arial"/>
          <w:sz w:val="22"/>
          <w:szCs w:val="22"/>
          <w:lang w:val="fr-FR"/>
        </w:rPr>
        <w:t xml:space="preserve">national </w:t>
      </w:r>
      <w:r w:rsidRPr="005618B3">
        <w:rPr>
          <w:rFonts w:ascii="Arial" w:hAnsi="Arial" w:cs="Arial"/>
          <w:sz w:val="22"/>
          <w:szCs w:val="22"/>
          <w:lang w:val="fr-FR"/>
        </w:rPr>
        <w:t>du</w:t>
      </w:r>
      <w:r>
        <w:rPr>
          <w:rFonts w:ascii="Arial" w:hAnsi="Arial" w:cs="Arial"/>
          <w:sz w:val="22"/>
          <w:szCs w:val="22"/>
          <w:lang w:val="fr-FR"/>
        </w:rPr>
        <w:t xml:space="preserve"> PCI</w:t>
      </w:r>
      <w:r w:rsidRPr="005618B3">
        <w:rPr>
          <w:rFonts w:ascii="Arial" w:hAnsi="Arial" w:cs="Arial"/>
          <w:sz w:val="22"/>
          <w:szCs w:val="22"/>
          <w:lang w:val="fr-FR"/>
        </w:rPr>
        <w:t xml:space="preserve"> </w:t>
      </w:r>
      <w:r>
        <w:rPr>
          <w:rFonts w:ascii="Arial" w:hAnsi="Arial" w:cs="Arial"/>
          <w:sz w:val="22"/>
          <w:szCs w:val="22"/>
          <w:lang w:val="fr-FR"/>
        </w:rPr>
        <w:t>quant à</w:t>
      </w:r>
      <w:r w:rsidRPr="005618B3">
        <w:rPr>
          <w:rFonts w:ascii="Arial" w:hAnsi="Arial" w:cs="Arial"/>
          <w:sz w:val="22"/>
          <w:szCs w:val="22"/>
          <w:lang w:val="fr-FR"/>
        </w:rPr>
        <w:t xml:space="preserve"> l</w:t>
      </w:r>
      <w:r w:rsidR="008E532B">
        <w:rPr>
          <w:rFonts w:ascii="Arial" w:hAnsi="Arial" w:cs="Arial"/>
          <w:sz w:val="22"/>
          <w:szCs w:val="22"/>
          <w:lang w:val="fr-FR"/>
        </w:rPr>
        <w:t>’</w:t>
      </w:r>
      <w:r w:rsidRPr="005618B3">
        <w:rPr>
          <w:rFonts w:ascii="Arial" w:hAnsi="Arial" w:cs="Arial"/>
          <w:sz w:val="22"/>
          <w:szCs w:val="22"/>
          <w:lang w:val="fr-FR"/>
        </w:rPr>
        <w:t xml:space="preserve">accréditation des ONG, dont le siège </w:t>
      </w:r>
      <w:r>
        <w:rPr>
          <w:rFonts w:ascii="Arial" w:hAnsi="Arial" w:cs="Arial"/>
          <w:sz w:val="22"/>
          <w:szCs w:val="22"/>
          <w:lang w:val="fr-FR"/>
        </w:rPr>
        <w:t>était</w:t>
      </w:r>
      <w:r w:rsidRPr="005618B3">
        <w:rPr>
          <w:rFonts w:ascii="Arial" w:hAnsi="Arial" w:cs="Arial"/>
          <w:sz w:val="22"/>
          <w:szCs w:val="22"/>
          <w:lang w:val="fr-FR"/>
        </w:rPr>
        <w:t xml:space="preserve"> au Mexique et en Espagne, comme expliqué</w:t>
      </w:r>
      <w:r>
        <w:rPr>
          <w:rFonts w:ascii="Arial" w:hAnsi="Arial" w:cs="Arial"/>
          <w:sz w:val="22"/>
          <w:szCs w:val="22"/>
          <w:lang w:val="fr-FR"/>
        </w:rPr>
        <w:t xml:space="preserve"> précédemment</w:t>
      </w:r>
      <w:r w:rsidRPr="005618B3">
        <w:rPr>
          <w:rFonts w:ascii="Arial" w:hAnsi="Arial" w:cs="Arial"/>
          <w:sz w:val="22"/>
          <w:szCs w:val="22"/>
          <w:lang w:val="fr-FR"/>
        </w:rPr>
        <w:t>. Le Mexique avait fait circuler une note verbale exposant l</w:t>
      </w:r>
      <w:r w:rsidR="008E532B">
        <w:rPr>
          <w:rFonts w:ascii="Arial" w:hAnsi="Arial" w:cs="Arial"/>
          <w:sz w:val="22"/>
          <w:szCs w:val="22"/>
          <w:lang w:val="fr-FR"/>
        </w:rPr>
        <w:t>’</w:t>
      </w:r>
      <w:r w:rsidRPr="005618B3">
        <w:rPr>
          <w:rFonts w:ascii="Arial" w:hAnsi="Arial" w:cs="Arial"/>
          <w:sz w:val="22"/>
          <w:szCs w:val="22"/>
          <w:lang w:val="fr-FR"/>
        </w:rPr>
        <w:t>analyse concernant l</w:t>
      </w:r>
      <w:r w:rsidR="008E532B">
        <w:rPr>
          <w:rFonts w:ascii="Arial" w:hAnsi="Arial" w:cs="Arial"/>
          <w:sz w:val="22"/>
          <w:szCs w:val="22"/>
          <w:lang w:val="fr-FR"/>
        </w:rPr>
        <w:t>’</w:t>
      </w:r>
      <w:r w:rsidRPr="005618B3">
        <w:rPr>
          <w:rFonts w:ascii="Arial" w:hAnsi="Arial" w:cs="Arial"/>
          <w:sz w:val="22"/>
          <w:szCs w:val="22"/>
          <w:lang w:val="fr-FR"/>
        </w:rPr>
        <w:t xml:space="preserve">accréditation de deux organisations </w:t>
      </w:r>
      <w:r w:rsidRPr="00253664">
        <w:rPr>
          <w:rFonts w:ascii="Arial" w:hAnsi="Arial" w:cs="Arial"/>
          <w:sz w:val="22"/>
          <w:szCs w:val="22"/>
          <w:lang w:val="fr-FR"/>
        </w:rPr>
        <w:t>[</w:t>
      </w:r>
      <w:r>
        <w:rPr>
          <w:rFonts w:ascii="Arial" w:hAnsi="Arial" w:cs="Arial"/>
          <w:sz w:val="22"/>
          <w:szCs w:val="22"/>
          <w:lang w:val="fr-FR"/>
        </w:rPr>
        <w:t xml:space="preserve">Institute for Intangible Cultural </w:t>
      </w:r>
      <w:proofErr w:type="spellStart"/>
      <w:r>
        <w:rPr>
          <w:rFonts w:ascii="Arial" w:hAnsi="Arial" w:cs="Arial"/>
          <w:sz w:val="22"/>
          <w:szCs w:val="22"/>
          <w:lang w:val="fr-FR"/>
        </w:rPr>
        <w:t>Heritage</w:t>
      </w:r>
      <w:proofErr w:type="spellEnd"/>
      <w:r w:rsidRPr="00253664">
        <w:rPr>
          <w:rFonts w:ascii="Arial" w:hAnsi="Arial" w:cs="Arial"/>
          <w:bCs/>
          <w:sz w:val="22"/>
          <w:szCs w:val="22"/>
          <w:lang w:val="fr-FR"/>
        </w:rPr>
        <w:t xml:space="preserve"> </w:t>
      </w:r>
      <w:r>
        <w:rPr>
          <w:rFonts w:ascii="Arial" w:hAnsi="Arial" w:cs="Arial"/>
          <w:bCs/>
          <w:sz w:val="22"/>
          <w:szCs w:val="22"/>
          <w:lang w:val="fr-FR"/>
        </w:rPr>
        <w:t xml:space="preserve">(IPACIM) </w:t>
      </w:r>
      <w:r w:rsidRPr="00253664">
        <w:rPr>
          <w:rFonts w:ascii="Arial" w:hAnsi="Arial" w:cs="Arial"/>
          <w:bCs/>
          <w:sz w:val="22"/>
          <w:szCs w:val="22"/>
          <w:lang w:val="fr-FR"/>
        </w:rPr>
        <w:t xml:space="preserve">et Direct </w:t>
      </w:r>
      <w:proofErr w:type="spellStart"/>
      <w:r w:rsidRPr="00253664">
        <w:rPr>
          <w:rFonts w:ascii="Arial" w:hAnsi="Arial" w:cs="Arial"/>
          <w:bCs/>
          <w:sz w:val="22"/>
          <w:szCs w:val="22"/>
          <w:lang w:val="fr-FR"/>
        </w:rPr>
        <w:t>Gradual</w:t>
      </w:r>
      <w:proofErr w:type="spellEnd"/>
      <w:r w:rsidRPr="00253664">
        <w:rPr>
          <w:rFonts w:ascii="Arial" w:hAnsi="Arial" w:cs="Arial"/>
          <w:bCs/>
          <w:sz w:val="22"/>
          <w:szCs w:val="22"/>
          <w:lang w:val="fr-FR"/>
        </w:rPr>
        <w:t xml:space="preserve"> </w:t>
      </w:r>
      <w:proofErr w:type="spellStart"/>
      <w:r w:rsidRPr="00253664">
        <w:rPr>
          <w:rFonts w:ascii="Arial" w:hAnsi="Arial" w:cs="Arial"/>
          <w:bCs/>
          <w:sz w:val="22"/>
          <w:szCs w:val="22"/>
          <w:lang w:val="fr-FR"/>
        </w:rPr>
        <w:t>Development</w:t>
      </w:r>
      <w:proofErr w:type="spellEnd"/>
      <w:r w:rsidRPr="00253664">
        <w:rPr>
          <w:rFonts w:ascii="Arial" w:hAnsi="Arial" w:cs="Arial"/>
          <w:bCs/>
          <w:sz w:val="22"/>
          <w:szCs w:val="22"/>
          <w:lang w:val="fr-FR"/>
        </w:rPr>
        <w:t>, Civil Association</w:t>
      </w:r>
      <w:r w:rsidRPr="00253664">
        <w:rPr>
          <w:rFonts w:ascii="Arial" w:hAnsi="Arial" w:cs="Arial"/>
          <w:sz w:val="22"/>
          <w:szCs w:val="22"/>
          <w:lang w:val="fr-FR"/>
        </w:rPr>
        <w:t>].</w:t>
      </w:r>
      <w:r w:rsidRPr="005618B3">
        <w:rPr>
          <w:rFonts w:ascii="Arial" w:hAnsi="Arial" w:cs="Arial"/>
          <w:sz w:val="22"/>
          <w:szCs w:val="22"/>
          <w:lang w:val="fr-FR"/>
        </w:rPr>
        <w:t xml:space="preserve"> La délégation a souligné que le Mexique n</w:t>
      </w:r>
      <w:r w:rsidR="008E532B">
        <w:rPr>
          <w:rFonts w:ascii="Arial" w:hAnsi="Arial" w:cs="Arial"/>
          <w:sz w:val="22"/>
          <w:szCs w:val="22"/>
          <w:lang w:val="fr-FR"/>
        </w:rPr>
        <w:t>’</w:t>
      </w:r>
      <w:r w:rsidRPr="005618B3">
        <w:rPr>
          <w:rFonts w:ascii="Arial" w:hAnsi="Arial" w:cs="Arial"/>
          <w:sz w:val="22"/>
          <w:szCs w:val="22"/>
          <w:lang w:val="fr-FR"/>
        </w:rPr>
        <w:t>avait pas l</w:t>
      </w:r>
      <w:r w:rsidR="008E532B">
        <w:rPr>
          <w:rFonts w:ascii="Arial" w:hAnsi="Arial" w:cs="Arial"/>
          <w:sz w:val="22"/>
          <w:szCs w:val="22"/>
          <w:lang w:val="fr-FR"/>
        </w:rPr>
        <w:t>’</w:t>
      </w:r>
      <w:r w:rsidRPr="005618B3">
        <w:rPr>
          <w:rFonts w:ascii="Arial" w:hAnsi="Arial" w:cs="Arial"/>
          <w:sz w:val="22"/>
          <w:szCs w:val="22"/>
          <w:lang w:val="fr-FR"/>
        </w:rPr>
        <w:t>intention d</w:t>
      </w:r>
      <w:r w:rsidR="008E532B">
        <w:rPr>
          <w:rFonts w:ascii="Arial" w:hAnsi="Arial" w:cs="Arial"/>
          <w:sz w:val="22"/>
          <w:szCs w:val="22"/>
          <w:lang w:val="fr-FR"/>
        </w:rPr>
        <w:t>’</w:t>
      </w:r>
      <w:r w:rsidRPr="005618B3">
        <w:rPr>
          <w:rFonts w:ascii="Arial" w:hAnsi="Arial" w:cs="Arial"/>
          <w:sz w:val="22"/>
          <w:szCs w:val="22"/>
          <w:lang w:val="fr-FR"/>
        </w:rPr>
        <w:t>approuver un processus qui limiterait la participation de la société civile, d</w:t>
      </w:r>
      <w:r w:rsidR="008E532B">
        <w:rPr>
          <w:rFonts w:ascii="Arial" w:hAnsi="Arial" w:cs="Arial"/>
          <w:sz w:val="22"/>
          <w:szCs w:val="22"/>
          <w:lang w:val="fr-FR"/>
        </w:rPr>
        <w:t>’</w:t>
      </w:r>
      <w:r w:rsidRPr="005618B3">
        <w:rPr>
          <w:rFonts w:ascii="Arial" w:hAnsi="Arial" w:cs="Arial"/>
          <w:sz w:val="22"/>
          <w:szCs w:val="22"/>
          <w:lang w:val="fr-FR"/>
        </w:rPr>
        <w:t>autant plus que le rapport indiqu</w:t>
      </w:r>
      <w:r>
        <w:rPr>
          <w:rFonts w:ascii="Arial" w:hAnsi="Arial" w:cs="Arial"/>
          <w:sz w:val="22"/>
          <w:szCs w:val="22"/>
          <w:lang w:val="fr-FR"/>
        </w:rPr>
        <w:t>ait</w:t>
      </w:r>
      <w:r w:rsidRPr="005618B3">
        <w:rPr>
          <w:rFonts w:ascii="Arial" w:hAnsi="Arial" w:cs="Arial"/>
          <w:sz w:val="22"/>
          <w:szCs w:val="22"/>
          <w:lang w:val="fr-FR"/>
        </w:rPr>
        <w:t xml:space="preserve"> que la représentation géographique des ONG </w:t>
      </w:r>
      <w:r>
        <w:rPr>
          <w:rFonts w:ascii="Arial" w:hAnsi="Arial" w:cs="Arial"/>
          <w:sz w:val="22"/>
          <w:szCs w:val="22"/>
          <w:lang w:val="fr-FR"/>
        </w:rPr>
        <w:t xml:space="preserve">était </w:t>
      </w:r>
      <w:r w:rsidRPr="005618B3">
        <w:rPr>
          <w:rFonts w:ascii="Arial" w:hAnsi="Arial" w:cs="Arial"/>
          <w:sz w:val="22"/>
          <w:szCs w:val="22"/>
          <w:lang w:val="fr-FR"/>
        </w:rPr>
        <w:t>inéquitable, comme l</w:t>
      </w:r>
      <w:r w:rsidR="008E532B">
        <w:rPr>
          <w:rFonts w:ascii="Arial" w:hAnsi="Arial" w:cs="Arial"/>
          <w:sz w:val="22"/>
          <w:szCs w:val="22"/>
          <w:lang w:val="fr-FR"/>
        </w:rPr>
        <w:t>’</w:t>
      </w:r>
      <w:r w:rsidRPr="005618B3">
        <w:rPr>
          <w:rFonts w:ascii="Arial" w:hAnsi="Arial" w:cs="Arial"/>
          <w:sz w:val="22"/>
          <w:szCs w:val="22"/>
          <w:lang w:val="fr-FR"/>
        </w:rPr>
        <w:t>a</w:t>
      </w:r>
      <w:r>
        <w:rPr>
          <w:rFonts w:ascii="Arial" w:hAnsi="Arial" w:cs="Arial"/>
          <w:sz w:val="22"/>
          <w:szCs w:val="22"/>
          <w:lang w:val="fr-FR"/>
        </w:rPr>
        <w:t>vait</w:t>
      </w:r>
      <w:r w:rsidRPr="005618B3">
        <w:rPr>
          <w:rFonts w:ascii="Arial" w:hAnsi="Arial" w:cs="Arial"/>
          <w:sz w:val="22"/>
          <w:szCs w:val="22"/>
          <w:lang w:val="fr-FR"/>
        </w:rPr>
        <w:t xml:space="preserve"> expliqué le </w:t>
      </w:r>
      <w:r>
        <w:rPr>
          <w:rFonts w:ascii="Arial" w:hAnsi="Arial" w:cs="Arial"/>
          <w:sz w:val="22"/>
          <w:szCs w:val="22"/>
          <w:lang w:val="fr-FR"/>
        </w:rPr>
        <w:t>P</w:t>
      </w:r>
      <w:r w:rsidRPr="005618B3">
        <w:rPr>
          <w:rFonts w:ascii="Arial" w:hAnsi="Arial" w:cs="Arial"/>
          <w:sz w:val="22"/>
          <w:szCs w:val="22"/>
          <w:lang w:val="fr-FR"/>
        </w:rPr>
        <w:t>résident du Forum. La délégation cherch</w:t>
      </w:r>
      <w:r>
        <w:rPr>
          <w:rFonts w:ascii="Arial" w:hAnsi="Arial" w:cs="Arial"/>
          <w:sz w:val="22"/>
          <w:szCs w:val="22"/>
          <w:lang w:val="fr-FR"/>
        </w:rPr>
        <w:t>ait</w:t>
      </w:r>
      <w:r w:rsidRPr="005618B3">
        <w:rPr>
          <w:rFonts w:ascii="Arial" w:hAnsi="Arial" w:cs="Arial"/>
          <w:sz w:val="22"/>
          <w:szCs w:val="22"/>
          <w:lang w:val="fr-FR"/>
        </w:rPr>
        <w:t xml:space="preserve"> à promouvoir </w:t>
      </w:r>
      <w:proofErr w:type="gramStart"/>
      <w:r w:rsidRPr="005618B3">
        <w:rPr>
          <w:rFonts w:ascii="Arial" w:hAnsi="Arial" w:cs="Arial"/>
          <w:sz w:val="22"/>
          <w:szCs w:val="22"/>
          <w:lang w:val="fr-FR"/>
        </w:rPr>
        <w:t>un</w:t>
      </w:r>
      <w:r>
        <w:rPr>
          <w:rFonts w:ascii="Arial" w:hAnsi="Arial" w:cs="Arial"/>
          <w:sz w:val="22"/>
          <w:szCs w:val="22"/>
          <w:lang w:val="fr-FR"/>
        </w:rPr>
        <w:t>e</w:t>
      </w:r>
      <w:r w:rsidRPr="005618B3">
        <w:rPr>
          <w:rFonts w:ascii="Arial" w:hAnsi="Arial" w:cs="Arial"/>
          <w:sz w:val="22"/>
          <w:szCs w:val="22"/>
          <w:lang w:val="fr-FR"/>
        </w:rPr>
        <w:t xml:space="preserve"> processus</w:t>
      </w:r>
      <w:proofErr w:type="gramEnd"/>
      <w:r w:rsidRPr="005618B3">
        <w:rPr>
          <w:rFonts w:ascii="Arial" w:hAnsi="Arial" w:cs="Arial"/>
          <w:sz w:val="22"/>
          <w:szCs w:val="22"/>
          <w:lang w:val="fr-FR"/>
        </w:rPr>
        <w:t xml:space="preserve"> de prise de décision </w:t>
      </w:r>
      <w:r>
        <w:rPr>
          <w:rFonts w:ascii="Arial" w:hAnsi="Arial" w:cs="Arial"/>
          <w:sz w:val="22"/>
          <w:szCs w:val="22"/>
          <w:lang w:val="fr-FR"/>
        </w:rPr>
        <w:t xml:space="preserve">qui soit </w:t>
      </w:r>
      <w:r w:rsidRPr="005618B3">
        <w:rPr>
          <w:rFonts w:ascii="Arial" w:hAnsi="Arial" w:cs="Arial"/>
          <w:sz w:val="22"/>
          <w:szCs w:val="22"/>
          <w:lang w:val="fr-FR"/>
        </w:rPr>
        <w:t>à la fois sérieux et responsable, et également engagé envers la Convention. Elle a donc ré</w:t>
      </w:r>
      <w:r>
        <w:rPr>
          <w:rFonts w:ascii="Arial" w:hAnsi="Arial" w:cs="Arial"/>
          <w:sz w:val="22"/>
          <w:szCs w:val="22"/>
          <w:lang w:val="fr-FR"/>
        </w:rPr>
        <w:t>affirmé</w:t>
      </w:r>
      <w:r w:rsidRPr="005618B3">
        <w:rPr>
          <w:rFonts w:ascii="Arial" w:hAnsi="Arial" w:cs="Arial"/>
          <w:sz w:val="22"/>
          <w:szCs w:val="22"/>
          <w:lang w:val="fr-FR"/>
        </w:rPr>
        <w:t xml:space="preserve"> la nécessité d</w:t>
      </w:r>
      <w:r w:rsidR="008E532B">
        <w:rPr>
          <w:rFonts w:ascii="Arial" w:hAnsi="Arial" w:cs="Arial"/>
          <w:sz w:val="22"/>
          <w:szCs w:val="22"/>
          <w:lang w:val="fr-FR"/>
        </w:rPr>
        <w:t>’</w:t>
      </w:r>
      <w:r w:rsidRPr="005618B3">
        <w:rPr>
          <w:rFonts w:ascii="Arial" w:hAnsi="Arial" w:cs="Arial"/>
          <w:sz w:val="22"/>
          <w:szCs w:val="22"/>
          <w:lang w:val="fr-FR"/>
        </w:rPr>
        <w:t>un examen complet des demandes des ONG</w:t>
      </w:r>
      <w:r>
        <w:rPr>
          <w:rFonts w:ascii="Arial" w:hAnsi="Arial" w:cs="Arial"/>
          <w:sz w:val="22"/>
          <w:szCs w:val="22"/>
          <w:lang w:val="fr-FR"/>
        </w:rPr>
        <w:t>,</w:t>
      </w:r>
      <w:r w:rsidRPr="005618B3">
        <w:rPr>
          <w:rFonts w:ascii="Arial" w:hAnsi="Arial" w:cs="Arial"/>
          <w:sz w:val="22"/>
          <w:szCs w:val="22"/>
          <w:lang w:val="fr-FR"/>
        </w:rPr>
        <w:t xml:space="preserve"> car les informations contenues dans les demandes n</w:t>
      </w:r>
      <w:r w:rsidR="008E532B">
        <w:rPr>
          <w:rFonts w:ascii="Arial" w:hAnsi="Arial" w:cs="Arial"/>
          <w:sz w:val="22"/>
          <w:szCs w:val="22"/>
          <w:lang w:val="fr-FR"/>
        </w:rPr>
        <w:t>’</w:t>
      </w:r>
      <w:r>
        <w:rPr>
          <w:rFonts w:ascii="Arial" w:hAnsi="Arial" w:cs="Arial"/>
          <w:sz w:val="22"/>
          <w:szCs w:val="22"/>
          <w:lang w:val="fr-FR"/>
        </w:rPr>
        <w:t xml:space="preserve">étaient </w:t>
      </w:r>
      <w:r w:rsidRPr="005618B3">
        <w:rPr>
          <w:rFonts w:ascii="Arial" w:hAnsi="Arial" w:cs="Arial"/>
          <w:sz w:val="22"/>
          <w:szCs w:val="22"/>
          <w:lang w:val="fr-FR"/>
        </w:rPr>
        <w:t>pas toutes complètes. La délégation approuv</w:t>
      </w:r>
      <w:r>
        <w:rPr>
          <w:rFonts w:ascii="Arial" w:hAnsi="Arial" w:cs="Arial"/>
          <w:sz w:val="22"/>
          <w:szCs w:val="22"/>
          <w:lang w:val="fr-FR"/>
        </w:rPr>
        <w:t>ait</w:t>
      </w:r>
      <w:r w:rsidRPr="005618B3">
        <w:rPr>
          <w:rFonts w:ascii="Arial" w:hAnsi="Arial" w:cs="Arial"/>
          <w:sz w:val="22"/>
          <w:szCs w:val="22"/>
          <w:lang w:val="fr-FR"/>
        </w:rPr>
        <w:t xml:space="preserve"> les paragraphes 6, 9, 10, 11 et 12, qui refl</w:t>
      </w:r>
      <w:r>
        <w:rPr>
          <w:rFonts w:ascii="Arial" w:hAnsi="Arial" w:cs="Arial"/>
          <w:sz w:val="22"/>
          <w:szCs w:val="22"/>
          <w:lang w:val="fr-FR"/>
        </w:rPr>
        <w:t>é</w:t>
      </w:r>
      <w:r w:rsidRPr="005618B3">
        <w:rPr>
          <w:rFonts w:ascii="Arial" w:hAnsi="Arial" w:cs="Arial"/>
          <w:sz w:val="22"/>
          <w:szCs w:val="22"/>
          <w:lang w:val="fr-FR"/>
        </w:rPr>
        <w:t>t</w:t>
      </w:r>
      <w:r>
        <w:rPr>
          <w:rFonts w:ascii="Arial" w:hAnsi="Arial" w:cs="Arial"/>
          <w:sz w:val="22"/>
          <w:szCs w:val="22"/>
          <w:lang w:val="fr-FR"/>
        </w:rPr>
        <w:t>ai</w:t>
      </w:r>
      <w:r w:rsidRPr="005618B3">
        <w:rPr>
          <w:rFonts w:ascii="Arial" w:hAnsi="Arial" w:cs="Arial"/>
          <w:sz w:val="22"/>
          <w:szCs w:val="22"/>
          <w:lang w:val="fr-FR"/>
        </w:rPr>
        <w:t>ent dans une large mesure ses propres préoccupations. Elle soumettra</w:t>
      </w:r>
      <w:r>
        <w:rPr>
          <w:rFonts w:ascii="Arial" w:hAnsi="Arial" w:cs="Arial"/>
          <w:sz w:val="22"/>
          <w:szCs w:val="22"/>
          <w:lang w:val="fr-FR"/>
        </w:rPr>
        <w:t>it</w:t>
      </w:r>
      <w:r w:rsidRPr="005618B3">
        <w:rPr>
          <w:rFonts w:ascii="Arial" w:hAnsi="Arial" w:cs="Arial"/>
          <w:sz w:val="22"/>
          <w:szCs w:val="22"/>
          <w:lang w:val="fr-FR"/>
        </w:rPr>
        <w:t xml:space="preserve"> son amendement plus tard au cours de cette session.</w:t>
      </w:r>
    </w:p>
    <w:p w14:paraId="1432E8CA" w14:textId="77777777" w:rsidR="00D9653F" w:rsidRPr="00C43DAD"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La </w:t>
      </w:r>
      <w:r w:rsidRPr="00C43DAD">
        <w:rPr>
          <w:rFonts w:ascii="Arial" w:hAnsi="Arial" w:cs="Arial"/>
          <w:b/>
          <w:bCs/>
          <w:sz w:val="22"/>
          <w:szCs w:val="22"/>
          <w:lang w:val="fr-FR"/>
        </w:rPr>
        <w:t>Présidente</w:t>
      </w:r>
      <w:r>
        <w:rPr>
          <w:rFonts w:ascii="Arial" w:hAnsi="Arial" w:cs="Arial"/>
          <w:sz w:val="22"/>
          <w:szCs w:val="22"/>
          <w:lang w:val="fr-FR"/>
        </w:rPr>
        <w:t xml:space="preserve"> a ouvert le débat général avant de passer au projet de </w:t>
      </w:r>
      <w:r w:rsidRPr="00C43DAD">
        <w:rPr>
          <w:rFonts w:ascii="Arial" w:eastAsia="SimSun" w:hAnsi="Arial" w:cs="Arial"/>
          <w:bCs/>
          <w:sz w:val="22"/>
          <w:szCs w:val="22"/>
          <w:lang w:val="fr-FR" w:eastAsia="en-US"/>
        </w:rPr>
        <w:t>résolution</w:t>
      </w:r>
    </w:p>
    <w:p w14:paraId="00194163" w14:textId="2F641A8E" w:rsidR="00D9653F" w:rsidRPr="00C43DAD"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C43DAD">
        <w:rPr>
          <w:rFonts w:ascii="Arial" w:hAnsi="Arial" w:cs="Arial"/>
          <w:sz w:val="22"/>
          <w:szCs w:val="22"/>
          <w:lang w:val="fr-FR"/>
        </w:rPr>
        <w:t xml:space="preserve">La délégation de la </w:t>
      </w:r>
      <w:r w:rsidRPr="00C43DAD">
        <w:rPr>
          <w:rFonts w:ascii="Arial" w:hAnsi="Arial" w:cs="Arial"/>
          <w:b/>
          <w:bCs/>
          <w:sz w:val="22"/>
          <w:szCs w:val="22"/>
          <w:lang w:val="fr-FR"/>
        </w:rPr>
        <w:t>République arabe syrienne</w:t>
      </w:r>
      <w:r w:rsidRPr="00C43DAD">
        <w:rPr>
          <w:rFonts w:ascii="Arial" w:hAnsi="Arial" w:cs="Arial"/>
          <w:sz w:val="22"/>
          <w:szCs w:val="22"/>
          <w:lang w:val="fr-FR"/>
        </w:rPr>
        <w:t xml:space="preserve"> a remercié le Secrétariat pour les documents de grande qualit</w:t>
      </w:r>
      <w:r>
        <w:rPr>
          <w:rFonts w:ascii="Arial" w:hAnsi="Arial" w:cs="Arial"/>
          <w:sz w:val="22"/>
          <w:szCs w:val="22"/>
          <w:lang w:val="fr-FR"/>
        </w:rPr>
        <w:t>é et a</w:t>
      </w:r>
      <w:r w:rsidRPr="00C43DAD">
        <w:rPr>
          <w:rFonts w:ascii="Arial" w:hAnsi="Arial" w:cs="Arial"/>
          <w:sz w:val="22"/>
          <w:szCs w:val="22"/>
          <w:lang w:val="fr-FR"/>
        </w:rPr>
        <w:t xml:space="preserve"> souhait</w:t>
      </w:r>
      <w:r>
        <w:rPr>
          <w:rFonts w:ascii="Arial" w:hAnsi="Arial" w:cs="Arial"/>
          <w:sz w:val="22"/>
          <w:szCs w:val="22"/>
          <w:lang w:val="fr-FR"/>
        </w:rPr>
        <w:t xml:space="preserve">é </w:t>
      </w:r>
      <w:r w:rsidRPr="00C43DAD">
        <w:rPr>
          <w:rFonts w:ascii="Arial" w:hAnsi="Arial" w:cs="Arial"/>
          <w:sz w:val="22"/>
          <w:szCs w:val="22"/>
          <w:lang w:val="fr-FR"/>
        </w:rPr>
        <w:t>un prompt rétablissement</w:t>
      </w:r>
      <w:r>
        <w:rPr>
          <w:rFonts w:ascii="Arial" w:hAnsi="Arial" w:cs="Arial"/>
          <w:sz w:val="22"/>
          <w:szCs w:val="22"/>
          <w:lang w:val="fr-FR"/>
        </w:rPr>
        <w:t xml:space="preserve"> à M. Curtis</w:t>
      </w:r>
      <w:r w:rsidRPr="00C43DAD">
        <w:rPr>
          <w:rFonts w:ascii="Arial" w:hAnsi="Arial" w:cs="Arial"/>
          <w:sz w:val="22"/>
          <w:szCs w:val="22"/>
          <w:lang w:val="fr-FR"/>
        </w:rPr>
        <w:t>. Elle a fait remarquer que la délégation a</w:t>
      </w:r>
      <w:r>
        <w:rPr>
          <w:rFonts w:ascii="Arial" w:hAnsi="Arial" w:cs="Arial"/>
          <w:sz w:val="22"/>
          <w:szCs w:val="22"/>
          <w:lang w:val="fr-FR"/>
        </w:rPr>
        <w:t>vait</w:t>
      </w:r>
      <w:r w:rsidRPr="00C43DAD">
        <w:rPr>
          <w:rFonts w:ascii="Arial" w:hAnsi="Arial" w:cs="Arial"/>
          <w:sz w:val="22"/>
          <w:szCs w:val="22"/>
          <w:lang w:val="fr-FR"/>
        </w:rPr>
        <w:t xml:space="preserve"> pu participer</w:t>
      </w:r>
      <w:r>
        <w:rPr>
          <w:rFonts w:ascii="Arial" w:hAnsi="Arial" w:cs="Arial"/>
          <w:sz w:val="22"/>
          <w:szCs w:val="22"/>
          <w:lang w:val="fr-FR"/>
        </w:rPr>
        <w:t>, en tant qu</w:t>
      </w:r>
      <w:r w:rsidR="008E532B">
        <w:rPr>
          <w:rFonts w:ascii="Arial" w:hAnsi="Arial" w:cs="Arial"/>
          <w:sz w:val="22"/>
          <w:szCs w:val="22"/>
          <w:lang w:val="fr-FR"/>
        </w:rPr>
        <w:t>’</w:t>
      </w:r>
      <w:r>
        <w:rPr>
          <w:rFonts w:ascii="Arial" w:hAnsi="Arial" w:cs="Arial"/>
          <w:sz w:val="22"/>
          <w:szCs w:val="22"/>
          <w:lang w:val="fr-FR"/>
        </w:rPr>
        <w:t xml:space="preserve">observateur, </w:t>
      </w:r>
      <w:r w:rsidRPr="00C43DAD">
        <w:rPr>
          <w:rFonts w:ascii="Arial" w:hAnsi="Arial" w:cs="Arial"/>
          <w:sz w:val="22"/>
          <w:szCs w:val="22"/>
          <w:lang w:val="fr-FR"/>
        </w:rPr>
        <w:t xml:space="preserve">aux discussions objectives qui </w:t>
      </w:r>
      <w:r>
        <w:rPr>
          <w:rFonts w:ascii="Arial" w:hAnsi="Arial" w:cs="Arial"/>
          <w:sz w:val="22"/>
          <w:szCs w:val="22"/>
          <w:lang w:val="fr-FR"/>
        </w:rPr>
        <w:t xml:space="preserve">avaient </w:t>
      </w:r>
      <w:r w:rsidRPr="00C43DAD">
        <w:rPr>
          <w:rFonts w:ascii="Arial" w:hAnsi="Arial" w:cs="Arial"/>
          <w:sz w:val="22"/>
          <w:szCs w:val="22"/>
          <w:lang w:val="fr-FR"/>
        </w:rPr>
        <w:t>eu lieu au Forum des ONG</w:t>
      </w:r>
      <w:r>
        <w:rPr>
          <w:rFonts w:ascii="Arial" w:hAnsi="Arial" w:cs="Arial"/>
          <w:sz w:val="22"/>
          <w:szCs w:val="22"/>
          <w:lang w:val="fr-FR"/>
        </w:rPr>
        <w:t xml:space="preserve">, </w:t>
      </w:r>
      <w:r w:rsidRPr="00C43DAD">
        <w:rPr>
          <w:rFonts w:ascii="Arial" w:hAnsi="Arial" w:cs="Arial"/>
          <w:sz w:val="22"/>
          <w:szCs w:val="22"/>
          <w:lang w:val="fr-FR"/>
        </w:rPr>
        <w:t>ajoutant que les travaux du Forum étaient en effet très pertinents. La délégation a donc tenu à remercier le Forum pour son travail et pour la conduite objective des procédures par son Comité</w:t>
      </w:r>
      <w:r>
        <w:rPr>
          <w:rFonts w:ascii="Arial" w:hAnsi="Arial" w:cs="Arial"/>
          <w:sz w:val="22"/>
          <w:szCs w:val="22"/>
          <w:lang w:val="fr-FR"/>
        </w:rPr>
        <w:t xml:space="preserve"> de pilotage</w:t>
      </w:r>
      <w:r w:rsidRPr="00C43DAD">
        <w:rPr>
          <w:rFonts w:ascii="Arial" w:hAnsi="Arial" w:cs="Arial"/>
          <w:sz w:val="22"/>
          <w:szCs w:val="22"/>
          <w:lang w:val="fr-FR"/>
        </w:rPr>
        <w:t>. La délégation a convenu qu</w:t>
      </w:r>
      <w:r w:rsidR="008E532B">
        <w:rPr>
          <w:rFonts w:ascii="Arial" w:hAnsi="Arial" w:cs="Arial"/>
          <w:sz w:val="22"/>
          <w:szCs w:val="22"/>
          <w:lang w:val="fr-FR"/>
        </w:rPr>
        <w:t>’</w:t>
      </w:r>
      <w:r w:rsidRPr="00C43DAD">
        <w:rPr>
          <w:rFonts w:ascii="Arial" w:hAnsi="Arial" w:cs="Arial"/>
          <w:sz w:val="22"/>
          <w:szCs w:val="22"/>
          <w:lang w:val="fr-FR"/>
        </w:rPr>
        <w:t>il était dans l</w:t>
      </w:r>
      <w:r w:rsidR="008E532B">
        <w:rPr>
          <w:rFonts w:ascii="Arial" w:hAnsi="Arial" w:cs="Arial"/>
          <w:sz w:val="22"/>
          <w:szCs w:val="22"/>
          <w:lang w:val="fr-FR"/>
        </w:rPr>
        <w:t>’</w:t>
      </w:r>
      <w:r w:rsidRPr="00C43DAD">
        <w:rPr>
          <w:rFonts w:ascii="Arial" w:hAnsi="Arial" w:cs="Arial"/>
          <w:sz w:val="22"/>
          <w:szCs w:val="22"/>
          <w:lang w:val="fr-FR"/>
        </w:rPr>
        <w:t>intérêt des États membres de voir les ONG travailler sous les auspices d</w:t>
      </w:r>
      <w:r w:rsidR="008E532B">
        <w:rPr>
          <w:rFonts w:ascii="Arial" w:hAnsi="Arial" w:cs="Arial"/>
          <w:sz w:val="22"/>
          <w:szCs w:val="22"/>
          <w:lang w:val="fr-FR"/>
        </w:rPr>
        <w:t>’</w:t>
      </w:r>
      <w:r w:rsidRPr="00C43DAD">
        <w:rPr>
          <w:rFonts w:ascii="Arial" w:hAnsi="Arial" w:cs="Arial"/>
          <w:sz w:val="22"/>
          <w:szCs w:val="22"/>
          <w:lang w:val="fr-FR"/>
        </w:rPr>
        <w:t>un État partie à la Convention lorsqu</w:t>
      </w:r>
      <w:r w:rsidR="008E532B">
        <w:rPr>
          <w:rFonts w:ascii="Arial" w:hAnsi="Arial" w:cs="Arial"/>
          <w:sz w:val="22"/>
          <w:szCs w:val="22"/>
          <w:lang w:val="fr-FR"/>
        </w:rPr>
        <w:t>’</w:t>
      </w:r>
      <w:r w:rsidRPr="00C43DAD">
        <w:rPr>
          <w:rFonts w:ascii="Arial" w:hAnsi="Arial" w:cs="Arial"/>
          <w:sz w:val="22"/>
          <w:szCs w:val="22"/>
          <w:lang w:val="fr-FR"/>
        </w:rPr>
        <w:t>elles participent à la fois au Forum et à l</w:t>
      </w:r>
      <w:r w:rsidR="008E532B">
        <w:rPr>
          <w:rFonts w:ascii="Arial" w:hAnsi="Arial" w:cs="Arial"/>
          <w:sz w:val="22"/>
          <w:szCs w:val="22"/>
          <w:lang w:val="fr-FR"/>
        </w:rPr>
        <w:t>’</w:t>
      </w:r>
      <w:r w:rsidRPr="00C43DAD">
        <w:rPr>
          <w:rFonts w:ascii="Arial" w:hAnsi="Arial" w:cs="Arial"/>
          <w:sz w:val="22"/>
          <w:szCs w:val="22"/>
          <w:lang w:val="fr-FR"/>
        </w:rPr>
        <w:t>Organe d</w:t>
      </w:r>
      <w:r w:rsidR="008E532B">
        <w:rPr>
          <w:rFonts w:ascii="Arial" w:hAnsi="Arial" w:cs="Arial"/>
          <w:sz w:val="22"/>
          <w:szCs w:val="22"/>
          <w:lang w:val="fr-FR"/>
        </w:rPr>
        <w:t>’</w:t>
      </w:r>
      <w:r w:rsidRPr="00C43DAD">
        <w:rPr>
          <w:rFonts w:ascii="Arial" w:hAnsi="Arial" w:cs="Arial"/>
          <w:sz w:val="22"/>
          <w:szCs w:val="22"/>
          <w:lang w:val="fr-FR"/>
        </w:rPr>
        <w:t xml:space="preserve">évaluation. La délégation a rappelé que même au sein du Groupe </w:t>
      </w:r>
      <w:r>
        <w:rPr>
          <w:rFonts w:ascii="Arial" w:hAnsi="Arial" w:cs="Arial"/>
          <w:sz w:val="22"/>
          <w:szCs w:val="22"/>
          <w:lang w:val="fr-FR"/>
        </w:rPr>
        <w:t xml:space="preserve">des États </w:t>
      </w:r>
      <w:r w:rsidRPr="00C43DAD">
        <w:rPr>
          <w:rFonts w:ascii="Arial" w:hAnsi="Arial" w:cs="Arial"/>
          <w:sz w:val="22"/>
          <w:szCs w:val="22"/>
          <w:lang w:val="fr-FR"/>
        </w:rPr>
        <w:t>arabe</w:t>
      </w:r>
      <w:r>
        <w:rPr>
          <w:rFonts w:ascii="Arial" w:hAnsi="Arial" w:cs="Arial"/>
          <w:sz w:val="22"/>
          <w:szCs w:val="22"/>
          <w:lang w:val="fr-FR"/>
        </w:rPr>
        <w:t>s</w:t>
      </w:r>
      <w:r w:rsidRPr="00C43DAD">
        <w:rPr>
          <w:rFonts w:ascii="Arial" w:hAnsi="Arial" w:cs="Arial"/>
          <w:sz w:val="22"/>
          <w:szCs w:val="22"/>
          <w:lang w:val="fr-FR"/>
        </w:rPr>
        <w:t xml:space="preserve"> V(b), qui cherche à travailler de manière juste et équitable dans la région, des débats </w:t>
      </w:r>
      <w:r>
        <w:rPr>
          <w:rFonts w:ascii="Arial" w:hAnsi="Arial" w:cs="Arial"/>
          <w:sz w:val="22"/>
          <w:szCs w:val="22"/>
          <w:lang w:val="fr-FR"/>
        </w:rPr>
        <w:t>avaient</w:t>
      </w:r>
      <w:r w:rsidRPr="00C43DAD">
        <w:rPr>
          <w:rFonts w:ascii="Arial" w:hAnsi="Arial" w:cs="Arial"/>
          <w:sz w:val="22"/>
          <w:szCs w:val="22"/>
          <w:lang w:val="fr-FR"/>
        </w:rPr>
        <w:t xml:space="preserve"> lieu sur la représentativité, l</w:t>
      </w:r>
      <w:r w:rsidR="008E532B">
        <w:rPr>
          <w:rFonts w:ascii="Arial" w:hAnsi="Arial" w:cs="Arial"/>
          <w:sz w:val="22"/>
          <w:szCs w:val="22"/>
          <w:lang w:val="fr-FR"/>
        </w:rPr>
        <w:t>’</w:t>
      </w:r>
      <w:r w:rsidRPr="00C43DAD">
        <w:rPr>
          <w:rFonts w:ascii="Arial" w:hAnsi="Arial" w:cs="Arial"/>
          <w:sz w:val="22"/>
          <w:szCs w:val="22"/>
          <w:lang w:val="fr-FR"/>
        </w:rPr>
        <w:t>équilibre et l</w:t>
      </w:r>
      <w:r w:rsidR="008E532B">
        <w:rPr>
          <w:rFonts w:ascii="Arial" w:hAnsi="Arial" w:cs="Arial"/>
          <w:sz w:val="22"/>
          <w:szCs w:val="22"/>
          <w:lang w:val="fr-FR"/>
        </w:rPr>
        <w:t>’</w:t>
      </w:r>
      <w:r w:rsidRPr="00C43DAD">
        <w:rPr>
          <w:rFonts w:ascii="Arial" w:hAnsi="Arial" w:cs="Arial"/>
          <w:sz w:val="22"/>
          <w:szCs w:val="22"/>
          <w:lang w:val="fr-FR"/>
        </w:rPr>
        <w:t>équité au sein d</w:t>
      </w:r>
      <w:r w:rsidR="008E532B">
        <w:rPr>
          <w:rFonts w:ascii="Arial" w:hAnsi="Arial" w:cs="Arial"/>
          <w:sz w:val="22"/>
          <w:szCs w:val="22"/>
          <w:lang w:val="fr-FR"/>
        </w:rPr>
        <w:t>’</w:t>
      </w:r>
      <w:r w:rsidRPr="00C43DAD">
        <w:rPr>
          <w:rFonts w:ascii="Arial" w:hAnsi="Arial" w:cs="Arial"/>
          <w:sz w:val="22"/>
          <w:szCs w:val="22"/>
          <w:lang w:val="fr-FR"/>
        </w:rPr>
        <w:t>un seul groupe géographique. Il était donc dans l</w:t>
      </w:r>
      <w:r w:rsidR="008E532B">
        <w:rPr>
          <w:rFonts w:ascii="Arial" w:hAnsi="Arial" w:cs="Arial"/>
          <w:sz w:val="22"/>
          <w:szCs w:val="22"/>
          <w:lang w:val="fr-FR"/>
        </w:rPr>
        <w:t>’</w:t>
      </w:r>
      <w:r w:rsidRPr="00C43DAD">
        <w:rPr>
          <w:rFonts w:ascii="Arial" w:hAnsi="Arial" w:cs="Arial"/>
          <w:sz w:val="22"/>
          <w:szCs w:val="22"/>
          <w:lang w:val="fr-FR"/>
        </w:rPr>
        <w:t>intérêt de la Convention de veiller à ce que la notion de représentation équitable guide le choix et la présence des ONG qui ne sont pas affiliées à un État partie à la Convention. Il a été noté que c</w:t>
      </w:r>
      <w:r w:rsidR="008E532B">
        <w:rPr>
          <w:rFonts w:ascii="Arial" w:hAnsi="Arial" w:cs="Arial"/>
          <w:sz w:val="22"/>
          <w:szCs w:val="22"/>
          <w:lang w:val="fr-FR"/>
        </w:rPr>
        <w:t>’</w:t>
      </w:r>
      <w:r w:rsidRPr="00C43DAD">
        <w:rPr>
          <w:rFonts w:ascii="Arial" w:hAnsi="Arial" w:cs="Arial"/>
          <w:sz w:val="22"/>
          <w:szCs w:val="22"/>
          <w:lang w:val="fr-FR"/>
        </w:rPr>
        <w:t xml:space="preserve">était le cas pour certaines des ONG présentes. Si leur présence au </w:t>
      </w:r>
      <w:r>
        <w:rPr>
          <w:rFonts w:ascii="Arial" w:hAnsi="Arial" w:cs="Arial"/>
          <w:sz w:val="22"/>
          <w:szCs w:val="22"/>
          <w:lang w:val="fr-FR"/>
        </w:rPr>
        <w:t xml:space="preserve">sein du </w:t>
      </w:r>
      <w:r w:rsidRPr="00C43DAD">
        <w:rPr>
          <w:rFonts w:ascii="Arial" w:hAnsi="Arial" w:cs="Arial"/>
          <w:sz w:val="22"/>
          <w:szCs w:val="22"/>
          <w:lang w:val="fr-FR"/>
        </w:rPr>
        <w:t xml:space="preserve">Forum </w:t>
      </w:r>
      <w:r>
        <w:rPr>
          <w:rFonts w:ascii="Arial" w:hAnsi="Arial" w:cs="Arial"/>
          <w:sz w:val="22"/>
          <w:szCs w:val="22"/>
          <w:lang w:val="fr-FR"/>
        </w:rPr>
        <w:t>était</w:t>
      </w:r>
      <w:r w:rsidRPr="00C43DAD">
        <w:rPr>
          <w:rFonts w:ascii="Arial" w:hAnsi="Arial" w:cs="Arial"/>
          <w:sz w:val="22"/>
          <w:szCs w:val="22"/>
          <w:lang w:val="fr-FR"/>
        </w:rPr>
        <w:t xml:space="preserve"> </w:t>
      </w:r>
      <w:r>
        <w:rPr>
          <w:rFonts w:ascii="Arial" w:hAnsi="Arial" w:cs="Arial"/>
          <w:sz w:val="22"/>
          <w:szCs w:val="22"/>
          <w:lang w:val="fr-FR"/>
        </w:rPr>
        <w:t xml:space="preserve">saluée </w:t>
      </w:r>
      <w:r w:rsidRPr="00C43DAD">
        <w:rPr>
          <w:rFonts w:ascii="Arial" w:hAnsi="Arial" w:cs="Arial"/>
          <w:sz w:val="22"/>
          <w:szCs w:val="22"/>
          <w:lang w:val="fr-FR"/>
        </w:rPr>
        <w:t>et appréciée, la délégation a estimé que leur présence au sein de l</w:t>
      </w:r>
      <w:r w:rsidR="008E532B">
        <w:rPr>
          <w:rFonts w:ascii="Arial" w:hAnsi="Arial" w:cs="Arial"/>
          <w:sz w:val="22"/>
          <w:szCs w:val="22"/>
          <w:lang w:val="fr-FR"/>
        </w:rPr>
        <w:t>’</w:t>
      </w:r>
      <w:r w:rsidRPr="00C43DAD">
        <w:rPr>
          <w:rFonts w:ascii="Arial" w:hAnsi="Arial" w:cs="Arial"/>
          <w:sz w:val="22"/>
          <w:szCs w:val="22"/>
          <w:lang w:val="fr-FR"/>
        </w:rPr>
        <w:t>Organe d</w:t>
      </w:r>
      <w:r w:rsidR="008E532B">
        <w:rPr>
          <w:rFonts w:ascii="Arial" w:hAnsi="Arial" w:cs="Arial"/>
          <w:sz w:val="22"/>
          <w:szCs w:val="22"/>
          <w:lang w:val="fr-FR"/>
        </w:rPr>
        <w:t>’</w:t>
      </w:r>
      <w:r w:rsidRPr="00C43DAD">
        <w:rPr>
          <w:rFonts w:ascii="Arial" w:hAnsi="Arial" w:cs="Arial"/>
          <w:sz w:val="22"/>
          <w:szCs w:val="22"/>
          <w:lang w:val="fr-FR"/>
        </w:rPr>
        <w:t>évaluation méritait d</w:t>
      </w:r>
      <w:r w:rsidR="008E532B">
        <w:rPr>
          <w:rFonts w:ascii="Arial" w:hAnsi="Arial" w:cs="Arial"/>
          <w:sz w:val="22"/>
          <w:szCs w:val="22"/>
          <w:lang w:val="fr-FR"/>
        </w:rPr>
        <w:t>’</w:t>
      </w:r>
      <w:r w:rsidRPr="00C43DAD">
        <w:rPr>
          <w:rFonts w:ascii="Arial" w:hAnsi="Arial" w:cs="Arial"/>
          <w:sz w:val="22"/>
          <w:szCs w:val="22"/>
          <w:lang w:val="fr-FR"/>
        </w:rPr>
        <w:t>être examinée. À ce</w:t>
      </w:r>
      <w:r>
        <w:rPr>
          <w:rFonts w:ascii="Arial" w:hAnsi="Arial" w:cs="Arial"/>
          <w:sz w:val="22"/>
          <w:szCs w:val="22"/>
          <w:lang w:val="fr-FR"/>
        </w:rPr>
        <w:t xml:space="preserve"> sujet</w:t>
      </w:r>
      <w:r w:rsidRPr="00C43DAD">
        <w:rPr>
          <w:rFonts w:ascii="Arial" w:hAnsi="Arial" w:cs="Arial"/>
          <w:sz w:val="22"/>
          <w:szCs w:val="22"/>
          <w:lang w:val="fr-FR"/>
        </w:rPr>
        <w:t xml:space="preserve">, elle </w:t>
      </w:r>
      <w:r>
        <w:rPr>
          <w:rFonts w:ascii="Arial" w:hAnsi="Arial" w:cs="Arial"/>
          <w:sz w:val="22"/>
          <w:szCs w:val="22"/>
          <w:lang w:val="fr-FR"/>
        </w:rPr>
        <w:t xml:space="preserve">a </w:t>
      </w:r>
      <w:r w:rsidRPr="00C43DAD">
        <w:rPr>
          <w:rFonts w:ascii="Arial" w:hAnsi="Arial" w:cs="Arial"/>
          <w:sz w:val="22"/>
          <w:szCs w:val="22"/>
          <w:lang w:val="fr-FR"/>
        </w:rPr>
        <w:t>soutenu les remarques de la Palestine et du Mexique, ajoutant qu</w:t>
      </w:r>
      <w:r w:rsidR="008E532B">
        <w:rPr>
          <w:rFonts w:ascii="Arial" w:hAnsi="Arial" w:cs="Arial"/>
          <w:sz w:val="22"/>
          <w:szCs w:val="22"/>
          <w:lang w:val="fr-FR"/>
        </w:rPr>
        <w:t>’</w:t>
      </w:r>
      <w:r w:rsidRPr="00C43DAD">
        <w:rPr>
          <w:rFonts w:ascii="Arial" w:hAnsi="Arial" w:cs="Arial"/>
          <w:sz w:val="22"/>
          <w:szCs w:val="22"/>
          <w:lang w:val="fr-FR"/>
        </w:rPr>
        <w:t>elle ne souhaitait en aucun cas faire obstacle à leur participation au sein du Forum. Il n</w:t>
      </w:r>
      <w:r w:rsidR="008E532B">
        <w:rPr>
          <w:rFonts w:ascii="Arial" w:hAnsi="Arial" w:cs="Arial"/>
          <w:sz w:val="22"/>
          <w:szCs w:val="22"/>
          <w:lang w:val="fr-FR"/>
        </w:rPr>
        <w:t>’</w:t>
      </w:r>
      <w:r w:rsidRPr="00C43DAD">
        <w:rPr>
          <w:rFonts w:ascii="Arial" w:hAnsi="Arial" w:cs="Arial"/>
          <w:sz w:val="22"/>
          <w:szCs w:val="22"/>
          <w:lang w:val="fr-FR"/>
        </w:rPr>
        <w:t>en demeur</w:t>
      </w:r>
      <w:r>
        <w:rPr>
          <w:rFonts w:ascii="Arial" w:hAnsi="Arial" w:cs="Arial"/>
          <w:sz w:val="22"/>
          <w:szCs w:val="22"/>
          <w:lang w:val="fr-FR"/>
        </w:rPr>
        <w:t>ait</w:t>
      </w:r>
      <w:r w:rsidRPr="00C43DAD">
        <w:rPr>
          <w:rFonts w:ascii="Arial" w:hAnsi="Arial" w:cs="Arial"/>
          <w:sz w:val="22"/>
          <w:szCs w:val="22"/>
          <w:lang w:val="fr-FR"/>
        </w:rPr>
        <w:t xml:space="preserve"> pas moins que les </w:t>
      </w:r>
      <w:r>
        <w:rPr>
          <w:rFonts w:ascii="Arial" w:hAnsi="Arial" w:cs="Arial"/>
          <w:sz w:val="22"/>
          <w:szCs w:val="22"/>
          <w:lang w:val="fr-FR"/>
        </w:rPr>
        <w:t>É</w:t>
      </w:r>
      <w:r w:rsidRPr="00C43DAD">
        <w:rPr>
          <w:rFonts w:ascii="Arial" w:hAnsi="Arial" w:cs="Arial"/>
          <w:sz w:val="22"/>
          <w:szCs w:val="22"/>
          <w:lang w:val="fr-FR"/>
        </w:rPr>
        <w:t>tats parties d</w:t>
      </w:r>
      <w:r>
        <w:rPr>
          <w:rFonts w:ascii="Arial" w:hAnsi="Arial" w:cs="Arial"/>
          <w:sz w:val="22"/>
          <w:szCs w:val="22"/>
          <w:lang w:val="fr-FR"/>
        </w:rPr>
        <w:t>evaient</w:t>
      </w:r>
      <w:r w:rsidRPr="00C43DAD">
        <w:rPr>
          <w:rFonts w:ascii="Arial" w:hAnsi="Arial" w:cs="Arial"/>
          <w:sz w:val="22"/>
          <w:szCs w:val="22"/>
          <w:lang w:val="fr-FR"/>
        </w:rPr>
        <w:t xml:space="preserve"> se prononcer sur la pertinence de leur présence au sein de l</w:t>
      </w:r>
      <w:r w:rsidR="008E532B">
        <w:rPr>
          <w:rFonts w:ascii="Arial" w:hAnsi="Arial" w:cs="Arial"/>
          <w:sz w:val="22"/>
          <w:szCs w:val="22"/>
          <w:lang w:val="fr-FR"/>
        </w:rPr>
        <w:t>’</w:t>
      </w:r>
      <w:r w:rsidRPr="00C43DAD">
        <w:rPr>
          <w:rFonts w:ascii="Arial" w:hAnsi="Arial" w:cs="Arial"/>
          <w:sz w:val="22"/>
          <w:szCs w:val="22"/>
          <w:lang w:val="fr-FR"/>
        </w:rPr>
        <w:t>Organe d</w:t>
      </w:r>
      <w:r w:rsidR="008E532B">
        <w:rPr>
          <w:rFonts w:ascii="Arial" w:hAnsi="Arial" w:cs="Arial"/>
          <w:sz w:val="22"/>
          <w:szCs w:val="22"/>
          <w:lang w:val="fr-FR"/>
        </w:rPr>
        <w:t>’</w:t>
      </w:r>
      <w:r w:rsidRPr="00C43DAD">
        <w:rPr>
          <w:rFonts w:ascii="Arial" w:hAnsi="Arial" w:cs="Arial"/>
          <w:sz w:val="22"/>
          <w:szCs w:val="22"/>
          <w:lang w:val="fr-FR"/>
        </w:rPr>
        <w:t>évaluation, notamment au regard des réglementations en vigueur, à savoir l</w:t>
      </w:r>
      <w:r w:rsidR="008E532B">
        <w:rPr>
          <w:rFonts w:ascii="Arial" w:hAnsi="Arial" w:cs="Arial"/>
          <w:sz w:val="22"/>
          <w:szCs w:val="22"/>
          <w:lang w:val="fr-FR"/>
        </w:rPr>
        <w:t>’</w:t>
      </w:r>
      <w:r w:rsidRPr="00C43DAD">
        <w:rPr>
          <w:rFonts w:ascii="Arial" w:hAnsi="Arial" w:cs="Arial"/>
          <w:sz w:val="22"/>
          <w:szCs w:val="22"/>
          <w:lang w:val="fr-FR"/>
        </w:rPr>
        <w:t>article 2.5 de la Convention et les paragraphes 27 et 28 des Directives opérationnelles.</w:t>
      </w:r>
    </w:p>
    <w:p w14:paraId="63EE28B0" w14:textId="6552C70D" w:rsidR="00D9653F" w:rsidRPr="00EA1A51"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A3436D">
        <w:rPr>
          <w:rFonts w:ascii="Arial" w:hAnsi="Arial" w:cs="Arial"/>
          <w:sz w:val="22"/>
          <w:szCs w:val="22"/>
          <w:lang w:val="fr-FR"/>
        </w:rPr>
        <w:t xml:space="preserve">La délégation </w:t>
      </w:r>
      <w:r>
        <w:rPr>
          <w:rFonts w:ascii="Arial" w:hAnsi="Arial" w:cs="Arial"/>
          <w:sz w:val="22"/>
          <w:szCs w:val="22"/>
          <w:lang w:val="fr-FR"/>
        </w:rPr>
        <w:t xml:space="preserve">de la </w:t>
      </w:r>
      <w:r w:rsidRPr="00A3436D">
        <w:rPr>
          <w:rFonts w:ascii="Arial" w:hAnsi="Arial" w:cs="Arial"/>
          <w:b/>
          <w:bCs/>
          <w:sz w:val="22"/>
          <w:szCs w:val="22"/>
          <w:lang w:val="fr-FR"/>
        </w:rPr>
        <w:t>France</w:t>
      </w:r>
      <w:r>
        <w:rPr>
          <w:rFonts w:ascii="Arial" w:hAnsi="Arial" w:cs="Arial"/>
          <w:sz w:val="22"/>
          <w:szCs w:val="22"/>
          <w:lang w:val="fr-FR"/>
        </w:rPr>
        <w:t xml:space="preserve"> </w:t>
      </w:r>
      <w:r w:rsidRPr="00A3436D">
        <w:rPr>
          <w:rFonts w:ascii="Arial" w:hAnsi="Arial" w:cs="Arial"/>
          <w:sz w:val="22"/>
          <w:szCs w:val="22"/>
          <w:lang w:val="fr-FR"/>
        </w:rPr>
        <w:t>a annoncé que l</w:t>
      </w:r>
      <w:r w:rsidR="008E532B">
        <w:rPr>
          <w:rFonts w:ascii="Arial" w:hAnsi="Arial" w:cs="Arial"/>
          <w:sz w:val="22"/>
          <w:szCs w:val="22"/>
          <w:lang w:val="fr-FR"/>
        </w:rPr>
        <w:t>’</w:t>
      </w:r>
      <w:r>
        <w:rPr>
          <w:rFonts w:ascii="Arial" w:hAnsi="Arial" w:cs="Arial"/>
          <w:sz w:val="22"/>
          <w:szCs w:val="22"/>
          <w:lang w:val="fr-FR"/>
        </w:rPr>
        <w:t>a</w:t>
      </w:r>
      <w:r w:rsidRPr="00A3436D">
        <w:rPr>
          <w:rFonts w:ascii="Arial" w:hAnsi="Arial" w:cs="Arial"/>
          <w:sz w:val="22"/>
          <w:szCs w:val="22"/>
          <w:lang w:val="fr-FR"/>
        </w:rPr>
        <w:t xml:space="preserve">ssociation </w:t>
      </w:r>
      <w:proofErr w:type="spellStart"/>
      <w:r w:rsidRPr="00A3436D">
        <w:rPr>
          <w:rFonts w:ascii="Arial" w:hAnsi="Arial" w:cs="Arial"/>
          <w:sz w:val="22"/>
          <w:szCs w:val="22"/>
          <w:lang w:val="fr-FR"/>
        </w:rPr>
        <w:t>Ankraké</w:t>
      </w:r>
      <w:proofErr w:type="spellEnd"/>
      <w:r>
        <w:rPr>
          <w:rFonts w:ascii="Arial" w:hAnsi="Arial" w:cs="Arial"/>
          <w:sz w:val="22"/>
          <w:szCs w:val="22"/>
          <w:lang w:val="fr-FR"/>
        </w:rPr>
        <w:t xml:space="preserve">, </w:t>
      </w:r>
      <w:r w:rsidRPr="00A3436D">
        <w:rPr>
          <w:rFonts w:ascii="Arial" w:hAnsi="Arial" w:cs="Arial"/>
          <w:sz w:val="22"/>
          <w:szCs w:val="22"/>
          <w:lang w:val="fr-FR"/>
        </w:rPr>
        <w:t>de l</w:t>
      </w:r>
      <w:r w:rsidR="008E532B">
        <w:rPr>
          <w:rFonts w:ascii="Arial" w:hAnsi="Arial" w:cs="Arial"/>
          <w:sz w:val="22"/>
          <w:szCs w:val="22"/>
          <w:lang w:val="fr-FR"/>
        </w:rPr>
        <w:t>’</w:t>
      </w:r>
      <w:r w:rsidRPr="00A3436D">
        <w:rPr>
          <w:rFonts w:ascii="Arial" w:hAnsi="Arial" w:cs="Arial"/>
          <w:sz w:val="22"/>
          <w:szCs w:val="22"/>
          <w:lang w:val="fr-FR"/>
        </w:rPr>
        <w:t>île de la Réunion, qui a</w:t>
      </w:r>
      <w:r>
        <w:rPr>
          <w:rFonts w:ascii="Arial" w:hAnsi="Arial" w:cs="Arial"/>
          <w:sz w:val="22"/>
          <w:szCs w:val="22"/>
          <w:lang w:val="fr-FR"/>
        </w:rPr>
        <w:t>vait</w:t>
      </w:r>
      <w:r w:rsidRPr="00A3436D">
        <w:rPr>
          <w:rFonts w:ascii="Arial" w:hAnsi="Arial" w:cs="Arial"/>
          <w:sz w:val="22"/>
          <w:szCs w:val="22"/>
          <w:lang w:val="fr-FR"/>
        </w:rPr>
        <w:t xml:space="preserve"> </w:t>
      </w:r>
      <w:r>
        <w:rPr>
          <w:rFonts w:ascii="Arial" w:hAnsi="Arial" w:cs="Arial"/>
          <w:sz w:val="22"/>
          <w:szCs w:val="22"/>
          <w:lang w:val="fr-FR"/>
        </w:rPr>
        <w:t xml:space="preserve">sollicité son </w:t>
      </w:r>
      <w:r w:rsidRPr="00A3436D">
        <w:rPr>
          <w:rFonts w:ascii="Arial" w:hAnsi="Arial" w:cs="Arial"/>
          <w:sz w:val="22"/>
          <w:szCs w:val="22"/>
          <w:lang w:val="fr-FR"/>
        </w:rPr>
        <w:t>accréditation par l</w:t>
      </w:r>
      <w:r w:rsidR="008E532B">
        <w:rPr>
          <w:rFonts w:ascii="Arial" w:hAnsi="Arial" w:cs="Arial"/>
          <w:sz w:val="22"/>
          <w:szCs w:val="22"/>
          <w:lang w:val="fr-FR"/>
        </w:rPr>
        <w:t>’</w:t>
      </w:r>
      <w:r w:rsidRPr="00A3436D">
        <w:rPr>
          <w:rFonts w:ascii="Arial" w:hAnsi="Arial" w:cs="Arial"/>
          <w:sz w:val="22"/>
          <w:szCs w:val="22"/>
          <w:lang w:val="fr-FR"/>
        </w:rPr>
        <w:t>Assemblée, proposait un</w:t>
      </w:r>
      <w:r>
        <w:rPr>
          <w:rFonts w:ascii="Arial" w:hAnsi="Arial" w:cs="Arial"/>
          <w:sz w:val="22"/>
          <w:szCs w:val="22"/>
          <w:lang w:val="fr-FR"/>
        </w:rPr>
        <w:t>e manifestation</w:t>
      </w:r>
      <w:r w:rsidRPr="00A3436D">
        <w:rPr>
          <w:rFonts w:ascii="Arial" w:hAnsi="Arial" w:cs="Arial"/>
          <w:sz w:val="22"/>
          <w:szCs w:val="22"/>
          <w:lang w:val="fr-FR"/>
        </w:rPr>
        <w:t xml:space="preserve"> parallèle ce </w:t>
      </w:r>
      <w:r>
        <w:rPr>
          <w:rFonts w:ascii="Arial" w:hAnsi="Arial" w:cs="Arial"/>
          <w:sz w:val="22"/>
          <w:szCs w:val="22"/>
          <w:lang w:val="fr-FR"/>
        </w:rPr>
        <w:t xml:space="preserve">même </w:t>
      </w:r>
      <w:r w:rsidRPr="00A3436D">
        <w:rPr>
          <w:rFonts w:ascii="Arial" w:hAnsi="Arial" w:cs="Arial"/>
          <w:sz w:val="22"/>
          <w:szCs w:val="22"/>
          <w:lang w:val="fr-FR"/>
        </w:rPr>
        <w:t xml:space="preserve">soir, </w:t>
      </w:r>
      <w:r>
        <w:rPr>
          <w:rFonts w:ascii="Arial" w:hAnsi="Arial" w:cs="Arial"/>
          <w:sz w:val="22"/>
          <w:szCs w:val="22"/>
          <w:lang w:val="fr-FR"/>
        </w:rPr>
        <w:t xml:space="preserve">avec le soutien de </w:t>
      </w:r>
      <w:r w:rsidRPr="00A3436D">
        <w:rPr>
          <w:rFonts w:ascii="Arial" w:hAnsi="Arial" w:cs="Arial"/>
          <w:sz w:val="22"/>
          <w:szCs w:val="22"/>
          <w:lang w:val="fr-FR"/>
        </w:rPr>
        <w:t xml:space="preserve">la délégation </w:t>
      </w:r>
      <w:r>
        <w:rPr>
          <w:rFonts w:ascii="Arial" w:hAnsi="Arial" w:cs="Arial"/>
          <w:sz w:val="22"/>
          <w:szCs w:val="22"/>
          <w:lang w:val="fr-FR"/>
        </w:rPr>
        <w:t>de la F</w:t>
      </w:r>
      <w:r w:rsidRPr="00A3436D">
        <w:rPr>
          <w:rFonts w:ascii="Arial" w:hAnsi="Arial" w:cs="Arial"/>
          <w:sz w:val="22"/>
          <w:szCs w:val="22"/>
          <w:lang w:val="fr-FR"/>
        </w:rPr>
        <w:t>ran</w:t>
      </w:r>
      <w:r>
        <w:rPr>
          <w:rFonts w:ascii="Arial" w:hAnsi="Arial" w:cs="Arial"/>
          <w:sz w:val="22"/>
          <w:szCs w:val="22"/>
          <w:lang w:val="fr-FR"/>
        </w:rPr>
        <w:t>ce</w:t>
      </w:r>
      <w:r w:rsidRPr="00A3436D">
        <w:rPr>
          <w:rFonts w:ascii="Arial" w:hAnsi="Arial" w:cs="Arial"/>
          <w:sz w:val="22"/>
          <w:szCs w:val="22"/>
          <w:lang w:val="fr-FR"/>
        </w:rPr>
        <w:t>. L</w:t>
      </w:r>
      <w:r w:rsidR="008E532B">
        <w:rPr>
          <w:rFonts w:ascii="Arial" w:hAnsi="Arial" w:cs="Arial"/>
          <w:sz w:val="22"/>
          <w:szCs w:val="22"/>
          <w:lang w:val="fr-FR"/>
        </w:rPr>
        <w:t>’</w:t>
      </w:r>
      <w:r w:rsidRPr="00A3436D">
        <w:rPr>
          <w:rFonts w:ascii="Arial" w:hAnsi="Arial" w:cs="Arial"/>
          <w:sz w:val="22"/>
          <w:szCs w:val="22"/>
          <w:lang w:val="fr-FR"/>
        </w:rPr>
        <w:t xml:space="preserve">objectif était de présenter certains éléments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A3436D">
        <w:rPr>
          <w:rFonts w:ascii="Arial" w:hAnsi="Arial" w:cs="Arial"/>
          <w:sz w:val="22"/>
          <w:szCs w:val="22"/>
          <w:lang w:val="fr-FR"/>
        </w:rPr>
        <w:t xml:space="preserve">de la Réunion, notamment la musique et la danse </w:t>
      </w:r>
      <w:proofErr w:type="spellStart"/>
      <w:r>
        <w:rPr>
          <w:rFonts w:ascii="Arial" w:hAnsi="Arial" w:cs="Arial"/>
          <w:sz w:val="22"/>
          <w:szCs w:val="22"/>
          <w:lang w:val="fr-FR"/>
        </w:rPr>
        <w:t>sé</w:t>
      </w:r>
      <w:r w:rsidRPr="00A3436D">
        <w:rPr>
          <w:rFonts w:ascii="Arial" w:hAnsi="Arial" w:cs="Arial"/>
          <w:sz w:val="22"/>
          <w:szCs w:val="22"/>
          <w:lang w:val="fr-FR"/>
        </w:rPr>
        <w:t>ga</w:t>
      </w:r>
      <w:proofErr w:type="spellEnd"/>
      <w:r w:rsidRPr="00A3436D">
        <w:rPr>
          <w:rFonts w:ascii="Arial" w:hAnsi="Arial" w:cs="Arial"/>
          <w:sz w:val="22"/>
          <w:szCs w:val="22"/>
          <w:lang w:val="fr-FR"/>
        </w:rPr>
        <w:t>, qui figur</w:t>
      </w:r>
      <w:r>
        <w:rPr>
          <w:rFonts w:ascii="Arial" w:hAnsi="Arial" w:cs="Arial"/>
          <w:sz w:val="22"/>
          <w:szCs w:val="22"/>
          <w:lang w:val="fr-FR"/>
        </w:rPr>
        <w:t>ait</w:t>
      </w:r>
      <w:r w:rsidRPr="00A3436D">
        <w:rPr>
          <w:rFonts w:ascii="Arial" w:hAnsi="Arial" w:cs="Arial"/>
          <w:sz w:val="22"/>
          <w:szCs w:val="22"/>
          <w:lang w:val="fr-FR"/>
        </w:rPr>
        <w:t xml:space="preserve"> à l</w:t>
      </w:r>
      <w:r w:rsidR="008E532B">
        <w:rPr>
          <w:rFonts w:ascii="Arial" w:hAnsi="Arial" w:cs="Arial"/>
          <w:sz w:val="22"/>
          <w:szCs w:val="22"/>
          <w:lang w:val="fr-FR"/>
        </w:rPr>
        <w:t>’</w:t>
      </w:r>
      <w:r w:rsidRPr="00A3436D">
        <w:rPr>
          <w:rFonts w:ascii="Arial" w:hAnsi="Arial" w:cs="Arial"/>
          <w:sz w:val="22"/>
          <w:szCs w:val="22"/>
          <w:lang w:val="fr-FR"/>
        </w:rPr>
        <w:t xml:space="preserve">inventaire national du patrimoine culturel immatériel, le </w:t>
      </w:r>
      <w:proofErr w:type="spellStart"/>
      <w:r w:rsidRPr="00A3436D">
        <w:rPr>
          <w:rFonts w:ascii="Arial" w:hAnsi="Arial" w:cs="Arial"/>
          <w:sz w:val="22"/>
          <w:szCs w:val="22"/>
          <w:lang w:val="fr-FR"/>
        </w:rPr>
        <w:t>Maloya</w:t>
      </w:r>
      <w:proofErr w:type="spellEnd"/>
      <w:r w:rsidRPr="00A3436D">
        <w:rPr>
          <w:rFonts w:ascii="Arial" w:hAnsi="Arial" w:cs="Arial"/>
          <w:sz w:val="22"/>
          <w:szCs w:val="22"/>
          <w:lang w:val="fr-FR"/>
        </w:rPr>
        <w:t>, inscrit sur la Liste représentative [en 2009], et le conte traditionnel</w:t>
      </w:r>
      <w:r>
        <w:rPr>
          <w:rFonts w:ascii="Arial" w:hAnsi="Arial" w:cs="Arial"/>
          <w:sz w:val="22"/>
          <w:szCs w:val="22"/>
          <w:lang w:val="fr-FR"/>
        </w:rPr>
        <w:t xml:space="preserve">, </w:t>
      </w:r>
      <w:proofErr w:type="spellStart"/>
      <w:r>
        <w:rPr>
          <w:rFonts w:ascii="Arial" w:hAnsi="Arial" w:cs="Arial"/>
          <w:sz w:val="22"/>
          <w:szCs w:val="22"/>
          <w:lang w:val="fr-FR"/>
        </w:rPr>
        <w:t>r</w:t>
      </w:r>
      <w:r w:rsidRPr="00A3436D">
        <w:rPr>
          <w:rFonts w:ascii="Arial" w:hAnsi="Arial" w:cs="Arial"/>
          <w:sz w:val="22"/>
          <w:szCs w:val="22"/>
          <w:lang w:val="fr-FR"/>
        </w:rPr>
        <w:t>akontaz</w:t>
      </w:r>
      <w:proofErr w:type="spellEnd"/>
      <w:r w:rsidRPr="00A3436D">
        <w:rPr>
          <w:rFonts w:ascii="Arial" w:hAnsi="Arial" w:cs="Arial"/>
          <w:sz w:val="22"/>
          <w:szCs w:val="22"/>
          <w:lang w:val="fr-FR"/>
        </w:rPr>
        <w:t xml:space="preserve"> </w:t>
      </w:r>
      <w:proofErr w:type="spellStart"/>
      <w:r w:rsidRPr="00A3436D">
        <w:rPr>
          <w:rFonts w:ascii="Arial" w:hAnsi="Arial" w:cs="Arial"/>
          <w:sz w:val="22"/>
          <w:szCs w:val="22"/>
          <w:lang w:val="fr-FR"/>
        </w:rPr>
        <w:t>zistoir</w:t>
      </w:r>
      <w:proofErr w:type="spellEnd"/>
      <w:r w:rsidRPr="00A3436D">
        <w:rPr>
          <w:rFonts w:ascii="Arial" w:hAnsi="Arial" w:cs="Arial"/>
          <w:sz w:val="22"/>
          <w:szCs w:val="22"/>
          <w:lang w:val="fr-FR"/>
        </w:rPr>
        <w:t>, également inscrit à l</w:t>
      </w:r>
      <w:r w:rsidR="008E532B">
        <w:rPr>
          <w:rFonts w:ascii="Arial" w:hAnsi="Arial" w:cs="Arial"/>
          <w:sz w:val="22"/>
          <w:szCs w:val="22"/>
          <w:lang w:val="fr-FR"/>
        </w:rPr>
        <w:t>’</w:t>
      </w:r>
      <w:r w:rsidRPr="00A3436D">
        <w:rPr>
          <w:rFonts w:ascii="Arial" w:hAnsi="Arial" w:cs="Arial"/>
          <w:sz w:val="22"/>
          <w:szCs w:val="22"/>
          <w:lang w:val="fr-FR"/>
        </w:rPr>
        <w:t>inventaire national.</w:t>
      </w:r>
    </w:p>
    <w:p w14:paraId="429BCAD8" w14:textId="72B3FF5E" w:rsidR="00D9653F" w:rsidRPr="00102803"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102803">
        <w:rPr>
          <w:rFonts w:ascii="Arial" w:hAnsi="Arial" w:cs="Arial"/>
          <w:sz w:val="22"/>
          <w:szCs w:val="22"/>
          <w:lang w:val="fr-FR"/>
        </w:rPr>
        <w:t xml:space="preserve">La </w:t>
      </w:r>
      <w:r w:rsidRPr="00102803">
        <w:rPr>
          <w:rFonts w:ascii="Arial" w:hAnsi="Arial" w:cs="Arial"/>
          <w:b/>
          <w:bCs/>
          <w:sz w:val="22"/>
          <w:szCs w:val="22"/>
          <w:lang w:val="fr-FR"/>
        </w:rPr>
        <w:t>délégation de l</w:t>
      </w:r>
      <w:r w:rsidR="008E532B">
        <w:rPr>
          <w:rFonts w:ascii="Arial" w:hAnsi="Arial" w:cs="Arial"/>
          <w:b/>
          <w:bCs/>
          <w:sz w:val="22"/>
          <w:szCs w:val="22"/>
          <w:lang w:val="fr-FR"/>
        </w:rPr>
        <w:t>’</w:t>
      </w:r>
      <w:r w:rsidRPr="00102803">
        <w:rPr>
          <w:rFonts w:ascii="Arial" w:hAnsi="Arial" w:cs="Arial"/>
          <w:b/>
          <w:bCs/>
          <w:sz w:val="22"/>
          <w:szCs w:val="22"/>
          <w:lang w:val="fr-FR"/>
        </w:rPr>
        <w:t>Autriche</w:t>
      </w:r>
      <w:r>
        <w:rPr>
          <w:rFonts w:ascii="Arial" w:hAnsi="Arial" w:cs="Arial"/>
          <w:sz w:val="22"/>
          <w:szCs w:val="22"/>
          <w:lang w:val="fr-FR"/>
        </w:rPr>
        <w:t xml:space="preserve"> </w:t>
      </w:r>
      <w:r w:rsidRPr="00102803">
        <w:rPr>
          <w:rFonts w:ascii="Arial" w:hAnsi="Arial" w:cs="Arial"/>
          <w:sz w:val="22"/>
          <w:szCs w:val="22"/>
          <w:lang w:val="fr-FR"/>
        </w:rPr>
        <w:t xml:space="preserve">a souhaité la bienvenue aux nouvelles ONG accréditées auprès de la Convention et a remercié le Forum des ONG du PCI pour ses efforts continus. Les ONG accréditées </w:t>
      </w:r>
      <w:r>
        <w:rPr>
          <w:rFonts w:ascii="Arial" w:hAnsi="Arial" w:cs="Arial"/>
          <w:sz w:val="22"/>
          <w:szCs w:val="22"/>
          <w:lang w:val="fr-FR"/>
        </w:rPr>
        <w:t>avaient</w:t>
      </w:r>
      <w:r w:rsidRPr="00102803">
        <w:rPr>
          <w:rFonts w:ascii="Arial" w:hAnsi="Arial" w:cs="Arial"/>
          <w:sz w:val="22"/>
          <w:szCs w:val="22"/>
          <w:lang w:val="fr-FR"/>
        </w:rPr>
        <w:t xml:space="preserve"> un rôle important à jouer dans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02803">
        <w:rPr>
          <w:rFonts w:ascii="Arial" w:hAnsi="Arial" w:cs="Arial"/>
          <w:sz w:val="22"/>
          <w:szCs w:val="22"/>
          <w:lang w:val="fr-FR"/>
        </w:rPr>
        <w:t>et la Convention. Elles représent</w:t>
      </w:r>
      <w:r>
        <w:rPr>
          <w:rFonts w:ascii="Arial" w:hAnsi="Arial" w:cs="Arial"/>
          <w:sz w:val="22"/>
          <w:szCs w:val="22"/>
          <w:lang w:val="fr-FR"/>
        </w:rPr>
        <w:t>ai</w:t>
      </w:r>
      <w:r w:rsidRPr="00102803">
        <w:rPr>
          <w:rFonts w:ascii="Arial" w:hAnsi="Arial" w:cs="Arial"/>
          <w:sz w:val="22"/>
          <w:szCs w:val="22"/>
          <w:lang w:val="fr-FR"/>
        </w:rPr>
        <w:t>ent, entre autres, les initiatives de la société civile et le lien avec les communautés locales, les groupes et les individus qui pratiquent et sauvegardent le PCI. La délégation pens</w:t>
      </w:r>
      <w:r>
        <w:rPr>
          <w:rFonts w:ascii="Arial" w:hAnsi="Arial" w:cs="Arial"/>
          <w:sz w:val="22"/>
          <w:szCs w:val="22"/>
          <w:lang w:val="fr-FR"/>
        </w:rPr>
        <w:t>ait</w:t>
      </w:r>
      <w:r w:rsidRPr="00102803">
        <w:rPr>
          <w:rFonts w:ascii="Arial" w:hAnsi="Arial" w:cs="Arial"/>
          <w:sz w:val="22"/>
          <w:szCs w:val="22"/>
          <w:lang w:val="fr-FR"/>
        </w:rPr>
        <w:t xml:space="preserve"> qu</w:t>
      </w:r>
      <w:r w:rsidR="008E532B">
        <w:rPr>
          <w:rFonts w:ascii="Arial" w:hAnsi="Arial" w:cs="Arial"/>
          <w:sz w:val="22"/>
          <w:szCs w:val="22"/>
          <w:lang w:val="fr-FR"/>
        </w:rPr>
        <w:t>’</w:t>
      </w:r>
      <w:r w:rsidRPr="00102803">
        <w:rPr>
          <w:rFonts w:ascii="Arial" w:hAnsi="Arial" w:cs="Arial"/>
          <w:sz w:val="22"/>
          <w:szCs w:val="22"/>
          <w:lang w:val="fr-FR"/>
        </w:rPr>
        <w:t>avec l</w:t>
      </w:r>
      <w:r w:rsidR="008E532B">
        <w:rPr>
          <w:rFonts w:ascii="Arial" w:hAnsi="Arial" w:cs="Arial"/>
          <w:sz w:val="22"/>
          <w:szCs w:val="22"/>
          <w:lang w:val="fr-FR"/>
        </w:rPr>
        <w:t>’</w:t>
      </w:r>
      <w:r w:rsidRPr="00102803">
        <w:rPr>
          <w:rFonts w:ascii="Arial" w:hAnsi="Arial" w:cs="Arial"/>
          <w:sz w:val="22"/>
          <w:szCs w:val="22"/>
          <w:lang w:val="fr-FR"/>
        </w:rPr>
        <w:t>aide du Forum des ONG du PCI, il y aura</w:t>
      </w:r>
      <w:r>
        <w:rPr>
          <w:rFonts w:ascii="Arial" w:hAnsi="Arial" w:cs="Arial"/>
          <w:sz w:val="22"/>
          <w:szCs w:val="22"/>
          <w:lang w:val="fr-FR"/>
        </w:rPr>
        <w:t>it</w:t>
      </w:r>
      <w:r w:rsidRPr="00102803">
        <w:rPr>
          <w:rFonts w:ascii="Arial" w:hAnsi="Arial" w:cs="Arial"/>
          <w:sz w:val="22"/>
          <w:szCs w:val="22"/>
          <w:lang w:val="fr-FR"/>
        </w:rPr>
        <w:t xml:space="preserve"> un meilleur équilibre géographique. Toutefois, elle était d</w:t>
      </w:r>
      <w:r w:rsidR="008E532B">
        <w:rPr>
          <w:rFonts w:ascii="Arial" w:hAnsi="Arial" w:cs="Arial"/>
          <w:sz w:val="22"/>
          <w:szCs w:val="22"/>
          <w:lang w:val="fr-FR"/>
        </w:rPr>
        <w:t>’</w:t>
      </w:r>
      <w:r w:rsidRPr="00102803">
        <w:rPr>
          <w:rFonts w:ascii="Arial" w:hAnsi="Arial" w:cs="Arial"/>
          <w:sz w:val="22"/>
          <w:szCs w:val="22"/>
          <w:lang w:val="fr-FR"/>
        </w:rPr>
        <w:t>avis que le fait de limiter les ONG accréditées aux seuls États parties à la Convention n</w:t>
      </w:r>
      <w:r w:rsidR="008E532B">
        <w:rPr>
          <w:rFonts w:ascii="Arial" w:hAnsi="Arial" w:cs="Arial"/>
          <w:sz w:val="22"/>
          <w:szCs w:val="22"/>
          <w:lang w:val="fr-FR"/>
        </w:rPr>
        <w:t>’</w:t>
      </w:r>
      <w:r w:rsidRPr="00102803">
        <w:rPr>
          <w:rFonts w:ascii="Arial" w:hAnsi="Arial" w:cs="Arial"/>
          <w:sz w:val="22"/>
          <w:szCs w:val="22"/>
          <w:lang w:val="fr-FR"/>
        </w:rPr>
        <w:t>était pas dans l</w:t>
      </w:r>
      <w:r w:rsidR="008E532B">
        <w:rPr>
          <w:rFonts w:ascii="Arial" w:hAnsi="Arial" w:cs="Arial"/>
          <w:sz w:val="22"/>
          <w:szCs w:val="22"/>
          <w:lang w:val="fr-FR"/>
        </w:rPr>
        <w:t>’</w:t>
      </w:r>
      <w:r w:rsidRPr="00102803">
        <w:rPr>
          <w:rFonts w:ascii="Arial" w:hAnsi="Arial" w:cs="Arial"/>
          <w:sz w:val="22"/>
          <w:szCs w:val="22"/>
          <w:lang w:val="fr-FR"/>
        </w:rPr>
        <w:t xml:space="preserve">esprit inclusif de la Convention, qui recherche une collaboration avec la société civile </w:t>
      </w:r>
      <w:r>
        <w:rPr>
          <w:rFonts w:ascii="Arial" w:hAnsi="Arial" w:cs="Arial"/>
          <w:sz w:val="22"/>
          <w:szCs w:val="22"/>
          <w:lang w:val="fr-FR"/>
        </w:rPr>
        <w:t xml:space="preserve">en </w:t>
      </w:r>
      <w:r w:rsidRPr="00102803">
        <w:rPr>
          <w:rFonts w:ascii="Arial" w:hAnsi="Arial" w:cs="Arial"/>
          <w:sz w:val="22"/>
          <w:szCs w:val="22"/>
          <w:lang w:val="fr-FR"/>
        </w:rPr>
        <w:t>transcend</w:t>
      </w:r>
      <w:r>
        <w:rPr>
          <w:rFonts w:ascii="Arial" w:hAnsi="Arial" w:cs="Arial"/>
          <w:sz w:val="22"/>
          <w:szCs w:val="22"/>
          <w:lang w:val="fr-FR"/>
        </w:rPr>
        <w:t>ant</w:t>
      </w:r>
      <w:r w:rsidRPr="00102803">
        <w:rPr>
          <w:rFonts w:ascii="Arial" w:hAnsi="Arial" w:cs="Arial"/>
          <w:sz w:val="22"/>
          <w:szCs w:val="22"/>
          <w:lang w:val="fr-FR"/>
        </w:rPr>
        <w:t xml:space="preserve"> les nationalités. En outre, de nombreuses ONG accréditées </w:t>
      </w:r>
      <w:r>
        <w:rPr>
          <w:rFonts w:ascii="Arial" w:hAnsi="Arial" w:cs="Arial"/>
          <w:sz w:val="22"/>
          <w:szCs w:val="22"/>
          <w:lang w:val="fr-FR"/>
        </w:rPr>
        <w:t>avaient</w:t>
      </w:r>
      <w:r w:rsidRPr="00102803">
        <w:rPr>
          <w:rFonts w:ascii="Arial" w:hAnsi="Arial" w:cs="Arial"/>
          <w:sz w:val="22"/>
          <w:szCs w:val="22"/>
          <w:lang w:val="fr-FR"/>
        </w:rPr>
        <w:t xml:space="preserve"> des activités bien au-delà de leurs frontières, opérant à la fois au niveau national et transnational. Ainsi, l</w:t>
      </w:r>
      <w:r w:rsidR="008E532B">
        <w:rPr>
          <w:rFonts w:ascii="Arial" w:hAnsi="Arial" w:cs="Arial"/>
          <w:sz w:val="22"/>
          <w:szCs w:val="22"/>
          <w:lang w:val="fr-FR"/>
        </w:rPr>
        <w:t>’</w:t>
      </w:r>
      <w:r w:rsidRPr="00102803">
        <w:rPr>
          <w:rFonts w:ascii="Arial" w:hAnsi="Arial" w:cs="Arial"/>
          <w:sz w:val="22"/>
          <w:szCs w:val="22"/>
          <w:lang w:val="fr-FR"/>
        </w:rPr>
        <w:t xml:space="preserve">exclusion de ces ONG, situées dans un pays </w:t>
      </w:r>
      <w:proofErr w:type="gramStart"/>
      <w:r w:rsidRPr="00102803">
        <w:rPr>
          <w:rFonts w:ascii="Arial" w:hAnsi="Arial" w:cs="Arial"/>
          <w:sz w:val="22"/>
          <w:szCs w:val="22"/>
          <w:lang w:val="fr-FR"/>
        </w:rPr>
        <w:t>non partie</w:t>
      </w:r>
      <w:proofErr w:type="gramEnd"/>
      <w:r w:rsidRPr="00102803">
        <w:rPr>
          <w:rFonts w:ascii="Arial" w:hAnsi="Arial" w:cs="Arial"/>
          <w:sz w:val="22"/>
          <w:szCs w:val="22"/>
          <w:lang w:val="fr-FR"/>
        </w:rPr>
        <w:t xml:space="preserve"> à la Convention, entrav</w:t>
      </w:r>
      <w:r>
        <w:rPr>
          <w:rFonts w:ascii="Arial" w:hAnsi="Arial" w:cs="Arial"/>
          <w:sz w:val="22"/>
          <w:szCs w:val="22"/>
          <w:lang w:val="fr-FR"/>
        </w:rPr>
        <w:t>ait</w:t>
      </w:r>
      <w:r w:rsidRPr="00102803">
        <w:rPr>
          <w:rFonts w:ascii="Arial" w:hAnsi="Arial" w:cs="Arial"/>
          <w:sz w:val="22"/>
          <w:szCs w:val="22"/>
          <w:lang w:val="fr-FR"/>
        </w:rPr>
        <w:t xml:space="preserve"> les efforts de la société civile et ne ref</w:t>
      </w:r>
      <w:r>
        <w:rPr>
          <w:rFonts w:ascii="Arial" w:hAnsi="Arial" w:cs="Arial"/>
          <w:sz w:val="22"/>
          <w:szCs w:val="22"/>
          <w:lang w:val="fr-FR"/>
        </w:rPr>
        <w:t>létait</w:t>
      </w:r>
      <w:r w:rsidRPr="00102803">
        <w:rPr>
          <w:rFonts w:ascii="Arial" w:hAnsi="Arial" w:cs="Arial"/>
          <w:sz w:val="22"/>
          <w:szCs w:val="22"/>
          <w:lang w:val="fr-FR"/>
        </w:rPr>
        <w:t xml:space="preserve"> pas l</w:t>
      </w:r>
      <w:r w:rsidR="008E532B">
        <w:rPr>
          <w:rFonts w:ascii="Arial" w:hAnsi="Arial" w:cs="Arial"/>
          <w:sz w:val="22"/>
          <w:szCs w:val="22"/>
          <w:lang w:val="fr-FR"/>
        </w:rPr>
        <w:t>’</w:t>
      </w:r>
      <w:r w:rsidRPr="00102803">
        <w:rPr>
          <w:rFonts w:ascii="Arial" w:hAnsi="Arial" w:cs="Arial"/>
          <w:sz w:val="22"/>
          <w:szCs w:val="22"/>
          <w:lang w:val="fr-FR"/>
        </w:rPr>
        <w:t xml:space="preserve">objectif de diversité, qui </w:t>
      </w:r>
      <w:r>
        <w:rPr>
          <w:rFonts w:ascii="Arial" w:hAnsi="Arial" w:cs="Arial"/>
          <w:sz w:val="22"/>
          <w:szCs w:val="22"/>
          <w:lang w:val="fr-FR"/>
        </w:rPr>
        <w:t>était</w:t>
      </w:r>
      <w:r w:rsidRPr="00102803">
        <w:rPr>
          <w:rFonts w:ascii="Arial" w:hAnsi="Arial" w:cs="Arial"/>
          <w:sz w:val="22"/>
          <w:szCs w:val="22"/>
          <w:lang w:val="fr-FR"/>
        </w:rPr>
        <w:t xml:space="preserve"> si important pour cette Convention. La délégation n</w:t>
      </w:r>
      <w:r w:rsidR="008E532B">
        <w:rPr>
          <w:rFonts w:ascii="Arial" w:hAnsi="Arial" w:cs="Arial"/>
          <w:sz w:val="22"/>
          <w:szCs w:val="22"/>
          <w:lang w:val="fr-FR"/>
        </w:rPr>
        <w:t>’</w:t>
      </w:r>
      <w:r>
        <w:rPr>
          <w:rFonts w:ascii="Arial" w:hAnsi="Arial" w:cs="Arial"/>
          <w:sz w:val="22"/>
          <w:szCs w:val="22"/>
          <w:lang w:val="fr-FR"/>
        </w:rPr>
        <w:t>était</w:t>
      </w:r>
      <w:r w:rsidRPr="00102803">
        <w:rPr>
          <w:rFonts w:ascii="Arial" w:hAnsi="Arial" w:cs="Arial"/>
          <w:sz w:val="22"/>
          <w:szCs w:val="22"/>
          <w:lang w:val="fr-FR"/>
        </w:rPr>
        <w:t xml:space="preserve"> donc pas favorable à</w:t>
      </w:r>
      <w:r>
        <w:rPr>
          <w:rFonts w:ascii="Arial" w:hAnsi="Arial" w:cs="Arial"/>
          <w:sz w:val="22"/>
          <w:szCs w:val="22"/>
          <w:lang w:val="fr-FR"/>
        </w:rPr>
        <w:t xml:space="preserve"> ce que des</w:t>
      </w:r>
      <w:r w:rsidRPr="00102803">
        <w:rPr>
          <w:rFonts w:ascii="Arial" w:hAnsi="Arial" w:cs="Arial"/>
          <w:sz w:val="22"/>
          <w:szCs w:val="22"/>
          <w:lang w:val="fr-FR"/>
        </w:rPr>
        <w:t xml:space="preserve"> ONG </w:t>
      </w:r>
      <w:r>
        <w:rPr>
          <w:rFonts w:ascii="Arial" w:hAnsi="Arial" w:cs="Arial"/>
          <w:sz w:val="22"/>
          <w:szCs w:val="22"/>
          <w:lang w:val="fr-FR"/>
        </w:rPr>
        <w:t xml:space="preserve">soient exclues tant en ce qui concerne leurs fonctions </w:t>
      </w:r>
      <w:r w:rsidRPr="00102803">
        <w:rPr>
          <w:rFonts w:ascii="Arial" w:hAnsi="Arial" w:cs="Arial"/>
          <w:sz w:val="22"/>
          <w:szCs w:val="22"/>
          <w:lang w:val="fr-FR"/>
        </w:rPr>
        <w:t>consultative</w:t>
      </w:r>
      <w:r>
        <w:rPr>
          <w:rFonts w:ascii="Arial" w:hAnsi="Arial" w:cs="Arial"/>
          <w:sz w:val="22"/>
          <w:szCs w:val="22"/>
          <w:lang w:val="fr-FR"/>
        </w:rPr>
        <w:t xml:space="preserve">s que </w:t>
      </w:r>
      <w:r w:rsidRPr="00102803">
        <w:rPr>
          <w:rFonts w:ascii="Arial" w:hAnsi="Arial" w:cs="Arial"/>
          <w:sz w:val="22"/>
          <w:szCs w:val="22"/>
          <w:lang w:val="fr-FR"/>
        </w:rPr>
        <w:t>leur rôle au sein de l</w:t>
      </w:r>
      <w:r w:rsidR="008E532B">
        <w:rPr>
          <w:rFonts w:ascii="Arial" w:hAnsi="Arial" w:cs="Arial"/>
          <w:sz w:val="22"/>
          <w:szCs w:val="22"/>
          <w:lang w:val="fr-FR"/>
        </w:rPr>
        <w:t>’</w:t>
      </w:r>
      <w:r w:rsidRPr="00102803">
        <w:rPr>
          <w:rFonts w:ascii="Arial" w:hAnsi="Arial" w:cs="Arial"/>
          <w:sz w:val="22"/>
          <w:szCs w:val="22"/>
          <w:lang w:val="fr-FR"/>
        </w:rPr>
        <w:t>Organe d</w:t>
      </w:r>
      <w:r w:rsidR="008E532B">
        <w:rPr>
          <w:rFonts w:ascii="Arial" w:hAnsi="Arial" w:cs="Arial"/>
          <w:sz w:val="22"/>
          <w:szCs w:val="22"/>
          <w:lang w:val="fr-FR"/>
        </w:rPr>
        <w:t>’</w:t>
      </w:r>
      <w:r w:rsidRPr="00102803">
        <w:rPr>
          <w:rFonts w:ascii="Arial" w:hAnsi="Arial" w:cs="Arial"/>
          <w:sz w:val="22"/>
          <w:szCs w:val="22"/>
          <w:lang w:val="fr-FR"/>
        </w:rPr>
        <w:t>évaluation.</w:t>
      </w:r>
    </w:p>
    <w:p w14:paraId="6DC19EF3" w14:textId="580EB97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02803">
        <w:rPr>
          <w:rFonts w:ascii="Arial" w:hAnsi="Arial" w:cs="Arial"/>
          <w:bCs/>
          <w:sz w:val="22"/>
          <w:szCs w:val="22"/>
          <w:lang w:val="fr-FR"/>
        </w:rPr>
        <w:t xml:space="preserve">La délégation de la </w:t>
      </w:r>
      <w:r w:rsidRPr="00102803">
        <w:rPr>
          <w:rFonts w:ascii="Arial" w:hAnsi="Arial" w:cs="Arial"/>
          <w:b/>
          <w:sz w:val="22"/>
          <w:szCs w:val="22"/>
          <w:lang w:val="fr-FR"/>
        </w:rPr>
        <w:t>Tch</w:t>
      </w:r>
      <w:r>
        <w:rPr>
          <w:rFonts w:ascii="Arial" w:hAnsi="Arial" w:cs="Arial"/>
          <w:b/>
          <w:sz w:val="22"/>
          <w:szCs w:val="22"/>
          <w:lang w:val="fr-FR"/>
        </w:rPr>
        <w:t>é</w:t>
      </w:r>
      <w:r w:rsidRPr="00102803">
        <w:rPr>
          <w:rFonts w:ascii="Arial" w:hAnsi="Arial" w:cs="Arial"/>
          <w:b/>
          <w:sz w:val="22"/>
          <w:szCs w:val="22"/>
          <w:lang w:val="fr-FR"/>
        </w:rPr>
        <w:t>quie</w:t>
      </w:r>
      <w:r w:rsidRPr="00102803">
        <w:rPr>
          <w:rFonts w:ascii="Arial" w:hAnsi="Arial" w:cs="Arial"/>
          <w:bCs/>
          <w:sz w:val="22"/>
          <w:szCs w:val="22"/>
          <w:lang w:val="fr-FR"/>
        </w:rPr>
        <w:t xml:space="preserve"> </w:t>
      </w:r>
      <w:r>
        <w:rPr>
          <w:rFonts w:ascii="Arial" w:hAnsi="Arial" w:cs="Arial"/>
          <w:bCs/>
          <w:sz w:val="22"/>
          <w:szCs w:val="22"/>
          <w:lang w:val="fr-FR"/>
        </w:rPr>
        <w:t>estimait</w:t>
      </w:r>
      <w:r w:rsidRPr="00102803">
        <w:rPr>
          <w:rFonts w:ascii="Arial" w:hAnsi="Arial" w:cs="Arial"/>
          <w:bCs/>
          <w:sz w:val="22"/>
          <w:szCs w:val="22"/>
          <w:lang w:val="fr-FR"/>
        </w:rPr>
        <w:t xml:space="preserve"> que pour sauvegarder efficacement le </w:t>
      </w:r>
      <w:r w:rsidR="0064242E">
        <w:rPr>
          <w:rFonts w:ascii="Arial" w:eastAsia="SimSun" w:hAnsi="Arial" w:cs="Arial"/>
          <w:bCs/>
          <w:sz w:val="22"/>
          <w:szCs w:val="22"/>
          <w:lang w:val="fr-FR" w:eastAsia="en-US"/>
        </w:rPr>
        <w:t>patrimoine culturel immatériel</w:t>
      </w:r>
      <w:r w:rsidRPr="00102803">
        <w:rPr>
          <w:rFonts w:ascii="Arial" w:hAnsi="Arial" w:cs="Arial"/>
          <w:bCs/>
          <w:sz w:val="22"/>
          <w:szCs w:val="22"/>
          <w:lang w:val="fr-FR"/>
        </w:rPr>
        <w:t xml:space="preserve">, il </w:t>
      </w:r>
      <w:r>
        <w:rPr>
          <w:rFonts w:ascii="Arial" w:hAnsi="Arial" w:cs="Arial"/>
          <w:bCs/>
          <w:sz w:val="22"/>
          <w:szCs w:val="22"/>
          <w:lang w:val="fr-FR"/>
        </w:rPr>
        <w:t>était</w:t>
      </w:r>
      <w:r w:rsidRPr="00102803">
        <w:rPr>
          <w:rFonts w:ascii="Arial" w:hAnsi="Arial" w:cs="Arial"/>
          <w:bCs/>
          <w:sz w:val="22"/>
          <w:szCs w:val="22"/>
          <w:lang w:val="fr-FR"/>
        </w:rPr>
        <w:t xml:space="preserve"> nécessaire de mettre en œuvre des mesures et des activités au niveau des </w:t>
      </w:r>
      <w:r>
        <w:rPr>
          <w:rFonts w:ascii="Arial" w:hAnsi="Arial" w:cs="Arial"/>
          <w:bCs/>
          <w:sz w:val="22"/>
          <w:szCs w:val="22"/>
          <w:lang w:val="fr-FR"/>
        </w:rPr>
        <w:t>É</w:t>
      </w:r>
      <w:r w:rsidRPr="00102803">
        <w:rPr>
          <w:rFonts w:ascii="Arial" w:hAnsi="Arial" w:cs="Arial"/>
          <w:bCs/>
          <w:sz w:val="22"/>
          <w:szCs w:val="22"/>
          <w:lang w:val="fr-FR"/>
        </w:rPr>
        <w:t>tats parties et d</w:t>
      </w:r>
      <w:r w:rsidR="008E532B">
        <w:rPr>
          <w:rFonts w:ascii="Arial" w:hAnsi="Arial" w:cs="Arial"/>
          <w:bCs/>
          <w:sz w:val="22"/>
          <w:szCs w:val="22"/>
          <w:lang w:val="fr-FR"/>
        </w:rPr>
        <w:t>’</w:t>
      </w:r>
      <w:r w:rsidRPr="00102803">
        <w:rPr>
          <w:rFonts w:ascii="Arial" w:hAnsi="Arial" w:cs="Arial"/>
          <w:bCs/>
          <w:sz w:val="22"/>
          <w:szCs w:val="22"/>
          <w:lang w:val="fr-FR"/>
        </w:rPr>
        <w:t xml:space="preserve">autres partenaires, notamment les ONG, les experts, les chercheurs et les universitaires. Comme indiqué à plusieurs reprises, les ONG </w:t>
      </w:r>
      <w:r>
        <w:rPr>
          <w:rFonts w:ascii="Arial" w:hAnsi="Arial" w:cs="Arial"/>
          <w:bCs/>
          <w:sz w:val="22"/>
          <w:szCs w:val="22"/>
          <w:lang w:val="fr-FR"/>
        </w:rPr>
        <w:t xml:space="preserve">étaient </w:t>
      </w:r>
      <w:r w:rsidRPr="00102803">
        <w:rPr>
          <w:rFonts w:ascii="Arial" w:hAnsi="Arial" w:cs="Arial"/>
          <w:bCs/>
          <w:sz w:val="22"/>
          <w:szCs w:val="22"/>
          <w:lang w:val="fr-FR"/>
        </w:rPr>
        <w:t>souvent les mieux placées pour travailler directement avec les communautés concernées. En effet, le paragraphe 91 des Directives opérationnelles décri</w:t>
      </w:r>
      <w:r>
        <w:rPr>
          <w:rFonts w:ascii="Arial" w:hAnsi="Arial" w:cs="Arial"/>
          <w:bCs/>
          <w:sz w:val="22"/>
          <w:szCs w:val="22"/>
          <w:lang w:val="fr-FR"/>
        </w:rPr>
        <w:t>vai</w:t>
      </w:r>
      <w:r w:rsidRPr="00102803">
        <w:rPr>
          <w:rFonts w:ascii="Arial" w:hAnsi="Arial" w:cs="Arial"/>
          <w:bCs/>
          <w:sz w:val="22"/>
          <w:szCs w:val="22"/>
          <w:lang w:val="fr-FR"/>
        </w:rPr>
        <w:t>t les principales qualités pour lesquelles les ONG p</w:t>
      </w:r>
      <w:r>
        <w:rPr>
          <w:rFonts w:ascii="Arial" w:hAnsi="Arial" w:cs="Arial"/>
          <w:bCs/>
          <w:sz w:val="22"/>
          <w:szCs w:val="22"/>
          <w:lang w:val="fr-FR"/>
        </w:rPr>
        <w:t>ouvaient</w:t>
      </w:r>
      <w:r w:rsidRPr="00102803">
        <w:rPr>
          <w:rFonts w:ascii="Arial" w:hAnsi="Arial" w:cs="Arial"/>
          <w:bCs/>
          <w:sz w:val="22"/>
          <w:szCs w:val="22"/>
          <w:lang w:val="fr-FR"/>
        </w:rPr>
        <w:t xml:space="preserve"> être accréditées</w:t>
      </w:r>
      <w:r>
        <w:rPr>
          <w:rFonts w:ascii="Arial" w:hAnsi="Arial" w:cs="Arial"/>
          <w:bCs/>
          <w:sz w:val="22"/>
          <w:szCs w:val="22"/>
          <w:lang w:val="fr-FR"/>
        </w:rPr>
        <w:t> </w:t>
      </w:r>
      <w:r w:rsidRPr="00102803">
        <w:rPr>
          <w:rFonts w:ascii="Arial" w:hAnsi="Arial" w:cs="Arial"/>
          <w:bCs/>
          <w:sz w:val="22"/>
          <w:szCs w:val="22"/>
          <w:lang w:val="fr-FR"/>
        </w:rPr>
        <w:t>: i)</w:t>
      </w:r>
      <w:r>
        <w:rPr>
          <w:rFonts w:ascii="Arial" w:hAnsi="Arial" w:cs="Arial"/>
          <w:bCs/>
          <w:sz w:val="22"/>
          <w:szCs w:val="22"/>
          <w:lang w:val="fr-FR"/>
        </w:rPr>
        <w:t> </w:t>
      </w:r>
      <w:r w:rsidRPr="00102803">
        <w:rPr>
          <w:rFonts w:ascii="Arial" w:hAnsi="Arial" w:cs="Arial"/>
          <w:bCs/>
          <w:sz w:val="22"/>
          <w:szCs w:val="22"/>
          <w:lang w:val="fr-FR"/>
        </w:rPr>
        <w:t xml:space="preserve">leurs compétences, </w:t>
      </w:r>
      <w:r>
        <w:rPr>
          <w:rFonts w:ascii="Arial" w:hAnsi="Arial" w:cs="Arial"/>
          <w:bCs/>
          <w:sz w:val="22"/>
          <w:szCs w:val="22"/>
          <w:lang w:val="fr-FR"/>
        </w:rPr>
        <w:t xml:space="preserve">leurs </w:t>
      </w:r>
      <w:r w:rsidRPr="00102803">
        <w:rPr>
          <w:rFonts w:ascii="Arial" w:hAnsi="Arial" w:cs="Arial"/>
          <w:bCs/>
          <w:sz w:val="22"/>
          <w:szCs w:val="22"/>
          <w:lang w:val="fr-FR"/>
        </w:rPr>
        <w:t xml:space="preserve">qualifications et </w:t>
      </w:r>
      <w:r>
        <w:rPr>
          <w:rFonts w:ascii="Arial" w:hAnsi="Arial" w:cs="Arial"/>
          <w:bCs/>
          <w:sz w:val="22"/>
          <w:szCs w:val="22"/>
          <w:lang w:val="fr-FR"/>
        </w:rPr>
        <w:t xml:space="preserve">une </w:t>
      </w:r>
      <w:r w:rsidRPr="00102803">
        <w:rPr>
          <w:rFonts w:ascii="Arial" w:hAnsi="Arial" w:cs="Arial"/>
          <w:bCs/>
          <w:sz w:val="22"/>
          <w:szCs w:val="22"/>
          <w:lang w:val="fr-FR"/>
        </w:rPr>
        <w:t>expérience avérées</w:t>
      </w:r>
      <w:r>
        <w:rPr>
          <w:rFonts w:ascii="Arial" w:hAnsi="Arial" w:cs="Arial"/>
          <w:bCs/>
          <w:sz w:val="22"/>
          <w:szCs w:val="22"/>
          <w:lang w:val="fr-FR"/>
        </w:rPr>
        <w:t xml:space="preserve"> en matière de</w:t>
      </w:r>
      <w:r w:rsidRPr="00102803">
        <w:rPr>
          <w:rFonts w:ascii="Arial" w:hAnsi="Arial" w:cs="Arial"/>
          <w:bCs/>
          <w:sz w:val="22"/>
          <w:szCs w:val="22"/>
          <w:lang w:val="fr-FR"/>
        </w:rPr>
        <w:t xml:space="preserve"> sauvegarde du </w:t>
      </w:r>
      <w:r>
        <w:rPr>
          <w:rFonts w:ascii="Arial" w:hAnsi="Arial" w:cs="Arial"/>
          <w:bCs/>
          <w:sz w:val="22"/>
          <w:szCs w:val="22"/>
          <w:lang w:val="fr-FR"/>
        </w:rPr>
        <w:t>patrimoine culturel immatériel </w:t>
      </w:r>
      <w:r w:rsidRPr="00102803">
        <w:rPr>
          <w:rFonts w:ascii="Arial" w:hAnsi="Arial" w:cs="Arial"/>
          <w:bCs/>
          <w:sz w:val="22"/>
          <w:szCs w:val="22"/>
          <w:lang w:val="fr-FR"/>
        </w:rPr>
        <w:t>; ii)</w:t>
      </w:r>
      <w:r>
        <w:rPr>
          <w:rFonts w:ascii="Arial" w:hAnsi="Arial" w:cs="Arial"/>
          <w:bCs/>
          <w:sz w:val="22"/>
          <w:szCs w:val="22"/>
          <w:lang w:val="fr-FR"/>
        </w:rPr>
        <w:t> </w:t>
      </w:r>
      <w:r w:rsidRPr="00102803">
        <w:rPr>
          <w:rFonts w:ascii="Arial" w:hAnsi="Arial" w:cs="Arial"/>
          <w:bCs/>
          <w:sz w:val="22"/>
          <w:szCs w:val="22"/>
          <w:lang w:val="fr-FR"/>
        </w:rPr>
        <w:t xml:space="preserve">leurs objectifs </w:t>
      </w:r>
      <w:r>
        <w:rPr>
          <w:rFonts w:ascii="Arial" w:hAnsi="Arial" w:cs="Arial"/>
          <w:bCs/>
          <w:sz w:val="22"/>
          <w:szCs w:val="22"/>
          <w:lang w:val="fr-FR"/>
        </w:rPr>
        <w:t xml:space="preserve">en </w:t>
      </w:r>
      <w:r w:rsidRPr="00102803">
        <w:rPr>
          <w:rFonts w:ascii="Arial" w:hAnsi="Arial" w:cs="Arial"/>
          <w:bCs/>
          <w:sz w:val="22"/>
          <w:szCs w:val="22"/>
          <w:lang w:val="fr-FR"/>
        </w:rPr>
        <w:t>conform</w:t>
      </w:r>
      <w:r>
        <w:rPr>
          <w:rFonts w:ascii="Arial" w:hAnsi="Arial" w:cs="Arial"/>
          <w:bCs/>
          <w:sz w:val="22"/>
          <w:szCs w:val="22"/>
          <w:lang w:val="fr-FR"/>
        </w:rPr>
        <w:t>ité avec</w:t>
      </w:r>
      <w:r w:rsidRPr="00102803">
        <w:rPr>
          <w:rFonts w:ascii="Arial" w:hAnsi="Arial" w:cs="Arial"/>
          <w:bCs/>
          <w:sz w:val="22"/>
          <w:szCs w:val="22"/>
          <w:lang w:val="fr-FR"/>
        </w:rPr>
        <w:t xml:space="preserve"> l</w:t>
      </w:r>
      <w:r w:rsidR="008E532B">
        <w:rPr>
          <w:rFonts w:ascii="Arial" w:hAnsi="Arial" w:cs="Arial"/>
          <w:bCs/>
          <w:sz w:val="22"/>
          <w:szCs w:val="22"/>
          <w:lang w:val="fr-FR"/>
        </w:rPr>
        <w:t>’</w:t>
      </w:r>
      <w:r w:rsidRPr="00102803">
        <w:rPr>
          <w:rFonts w:ascii="Arial" w:hAnsi="Arial" w:cs="Arial"/>
          <w:bCs/>
          <w:sz w:val="22"/>
          <w:szCs w:val="22"/>
          <w:lang w:val="fr-FR"/>
        </w:rPr>
        <w:t>esprit de la Convention</w:t>
      </w:r>
      <w:r>
        <w:rPr>
          <w:rFonts w:ascii="Arial" w:hAnsi="Arial" w:cs="Arial"/>
          <w:bCs/>
          <w:sz w:val="22"/>
          <w:szCs w:val="22"/>
          <w:lang w:val="fr-FR"/>
        </w:rPr>
        <w:t> </w:t>
      </w:r>
      <w:r w:rsidRPr="00102803">
        <w:rPr>
          <w:rFonts w:ascii="Arial" w:hAnsi="Arial" w:cs="Arial"/>
          <w:bCs/>
          <w:sz w:val="22"/>
          <w:szCs w:val="22"/>
          <w:lang w:val="fr-FR"/>
        </w:rPr>
        <w:t>; iii)</w:t>
      </w:r>
      <w:r>
        <w:rPr>
          <w:rFonts w:ascii="Arial" w:hAnsi="Arial" w:cs="Arial"/>
          <w:bCs/>
          <w:sz w:val="22"/>
          <w:szCs w:val="22"/>
          <w:lang w:val="fr-FR"/>
        </w:rPr>
        <w:t> leur</w:t>
      </w:r>
      <w:r w:rsidRPr="00102803">
        <w:rPr>
          <w:rFonts w:ascii="Arial" w:hAnsi="Arial" w:cs="Arial"/>
          <w:bCs/>
          <w:sz w:val="22"/>
          <w:szCs w:val="22"/>
          <w:lang w:val="fr-FR"/>
        </w:rPr>
        <w:t xml:space="preserve"> coop</w:t>
      </w:r>
      <w:r>
        <w:rPr>
          <w:rFonts w:ascii="Arial" w:hAnsi="Arial" w:cs="Arial"/>
          <w:bCs/>
          <w:sz w:val="22"/>
          <w:szCs w:val="22"/>
          <w:lang w:val="fr-FR"/>
        </w:rPr>
        <w:t>é</w:t>
      </w:r>
      <w:r w:rsidRPr="00102803">
        <w:rPr>
          <w:rFonts w:ascii="Arial" w:hAnsi="Arial" w:cs="Arial"/>
          <w:bCs/>
          <w:sz w:val="22"/>
          <w:szCs w:val="22"/>
          <w:lang w:val="fr-FR"/>
        </w:rPr>
        <w:t>r</w:t>
      </w:r>
      <w:r>
        <w:rPr>
          <w:rFonts w:ascii="Arial" w:hAnsi="Arial" w:cs="Arial"/>
          <w:bCs/>
          <w:sz w:val="22"/>
          <w:szCs w:val="22"/>
          <w:lang w:val="fr-FR"/>
        </w:rPr>
        <w:t>ation</w:t>
      </w:r>
      <w:r w:rsidRPr="00102803">
        <w:rPr>
          <w:rFonts w:ascii="Arial" w:hAnsi="Arial" w:cs="Arial"/>
          <w:bCs/>
          <w:sz w:val="22"/>
          <w:szCs w:val="22"/>
          <w:lang w:val="fr-FR"/>
        </w:rPr>
        <w:t xml:space="preserve"> avec les communautés, groupes et individus concernés par la création, la pratique et la transmission du </w:t>
      </w:r>
      <w:r>
        <w:rPr>
          <w:rFonts w:ascii="Arial" w:hAnsi="Arial" w:cs="Arial"/>
          <w:bCs/>
          <w:sz w:val="22"/>
          <w:szCs w:val="22"/>
          <w:lang w:val="fr-FR"/>
        </w:rPr>
        <w:t>patrimoine culturel immatériel </w:t>
      </w:r>
      <w:r w:rsidRPr="00102803">
        <w:rPr>
          <w:rFonts w:ascii="Arial" w:hAnsi="Arial" w:cs="Arial"/>
          <w:bCs/>
          <w:sz w:val="22"/>
          <w:szCs w:val="22"/>
          <w:lang w:val="fr-FR"/>
        </w:rPr>
        <w:t>; et iv)</w:t>
      </w:r>
      <w:r>
        <w:rPr>
          <w:rFonts w:ascii="Arial" w:hAnsi="Arial" w:cs="Arial"/>
          <w:bCs/>
          <w:sz w:val="22"/>
          <w:szCs w:val="22"/>
          <w:lang w:val="fr-FR"/>
        </w:rPr>
        <w:t> leurs</w:t>
      </w:r>
      <w:r w:rsidRPr="00102803">
        <w:rPr>
          <w:rFonts w:ascii="Arial" w:hAnsi="Arial" w:cs="Arial"/>
          <w:bCs/>
          <w:sz w:val="22"/>
          <w:szCs w:val="22"/>
          <w:lang w:val="fr-FR"/>
        </w:rPr>
        <w:t xml:space="preserve"> capacités opérationnelles. Ces critères qualifi</w:t>
      </w:r>
      <w:r>
        <w:rPr>
          <w:rFonts w:ascii="Arial" w:hAnsi="Arial" w:cs="Arial"/>
          <w:bCs/>
          <w:sz w:val="22"/>
          <w:szCs w:val="22"/>
          <w:lang w:val="fr-FR"/>
        </w:rPr>
        <w:t>ai</w:t>
      </w:r>
      <w:r w:rsidRPr="00102803">
        <w:rPr>
          <w:rFonts w:ascii="Arial" w:hAnsi="Arial" w:cs="Arial"/>
          <w:bCs/>
          <w:sz w:val="22"/>
          <w:szCs w:val="22"/>
          <w:lang w:val="fr-FR"/>
        </w:rPr>
        <w:t xml:space="preserve">ent les ONG </w:t>
      </w:r>
      <w:r>
        <w:rPr>
          <w:rFonts w:ascii="Arial" w:hAnsi="Arial" w:cs="Arial"/>
          <w:bCs/>
          <w:sz w:val="22"/>
          <w:szCs w:val="22"/>
          <w:lang w:val="fr-FR"/>
        </w:rPr>
        <w:t>afin qu</w:t>
      </w:r>
      <w:r w:rsidR="008E532B">
        <w:rPr>
          <w:rFonts w:ascii="Arial" w:hAnsi="Arial" w:cs="Arial"/>
          <w:bCs/>
          <w:sz w:val="22"/>
          <w:szCs w:val="22"/>
          <w:lang w:val="fr-FR"/>
        </w:rPr>
        <w:t>’</w:t>
      </w:r>
      <w:r>
        <w:rPr>
          <w:rFonts w:ascii="Arial" w:hAnsi="Arial" w:cs="Arial"/>
          <w:bCs/>
          <w:sz w:val="22"/>
          <w:szCs w:val="22"/>
          <w:lang w:val="fr-FR"/>
        </w:rPr>
        <w:t>elles assurent</w:t>
      </w:r>
      <w:r w:rsidRPr="00102803">
        <w:rPr>
          <w:rFonts w:ascii="Arial" w:hAnsi="Arial" w:cs="Arial"/>
          <w:bCs/>
          <w:sz w:val="22"/>
          <w:szCs w:val="22"/>
          <w:lang w:val="fr-FR"/>
        </w:rPr>
        <w:t xml:space="preserve"> un rôle consultatif au</w:t>
      </w:r>
      <w:r>
        <w:rPr>
          <w:rFonts w:ascii="Arial" w:hAnsi="Arial" w:cs="Arial"/>
          <w:bCs/>
          <w:sz w:val="22"/>
          <w:szCs w:val="22"/>
          <w:lang w:val="fr-FR"/>
        </w:rPr>
        <w:t xml:space="preserve">près </w:t>
      </w:r>
      <w:r w:rsidRPr="00102803">
        <w:rPr>
          <w:rFonts w:ascii="Arial" w:hAnsi="Arial" w:cs="Arial"/>
          <w:bCs/>
          <w:sz w:val="22"/>
          <w:szCs w:val="22"/>
          <w:lang w:val="fr-FR"/>
        </w:rPr>
        <w:t xml:space="preserve">du Comité. Les fonctions consultatives des ONG </w:t>
      </w:r>
      <w:r>
        <w:rPr>
          <w:rFonts w:ascii="Arial" w:hAnsi="Arial" w:cs="Arial"/>
          <w:bCs/>
          <w:sz w:val="22"/>
          <w:szCs w:val="22"/>
          <w:lang w:val="fr-FR"/>
        </w:rPr>
        <w:t xml:space="preserve">allaient </w:t>
      </w:r>
      <w:r w:rsidRPr="00A92CC9">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au-delà</w:t>
      </w:r>
      <w:r w:rsidRPr="00102803">
        <w:rPr>
          <w:rFonts w:ascii="Arial" w:hAnsi="Arial" w:cs="Arial"/>
          <w:bCs/>
          <w:sz w:val="22"/>
          <w:szCs w:val="22"/>
          <w:lang w:val="fr-FR"/>
        </w:rPr>
        <w:t xml:space="preserve"> </w:t>
      </w:r>
      <w:r>
        <w:rPr>
          <w:rFonts w:ascii="Arial" w:hAnsi="Arial" w:cs="Arial"/>
          <w:bCs/>
          <w:sz w:val="22"/>
          <w:szCs w:val="22"/>
          <w:lang w:val="fr-FR"/>
        </w:rPr>
        <w:t xml:space="preserve">de </w:t>
      </w:r>
      <w:r w:rsidRPr="00102803">
        <w:rPr>
          <w:rFonts w:ascii="Arial" w:hAnsi="Arial" w:cs="Arial"/>
          <w:bCs/>
          <w:sz w:val="22"/>
          <w:szCs w:val="22"/>
          <w:lang w:val="fr-FR"/>
        </w:rPr>
        <w:t>l</w:t>
      </w:r>
      <w:r w:rsidR="008E532B">
        <w:rPr>
          <w:rFonts w:ascii="Arial" w:hAnsi="Arial" w:cs="Arial"/>
          <w:bCs/>
          <w:sz w:val="22"/>
          <w:szCs w:val="22"/>
          <w:lang w:val="fr-FR"/>
        </w:rPr>
        <w:t>’</w:t>
      </w:r>
      <w:r w:rsidRPr="00102803">
        <w:rPr>
          <w:rFonts w:ascii="Arial" w:hAnsi="Arial" w:cs="Arial"/>
          <w:bCs/>
          <w:sz w:val="22"/>
          <w:szCs w:val="22"/>
          <w:lang w:val="fr-FR"/>
        </w:rPr>
        <w:t>évaluation des dossiers de candidature par l</w:t>
      </w:r>
      <w:r w:rsidR="008E532B">
        <w:rPr>
          <w:rFonts w:ascii="Arial" w:hAnsi="Arial" w:cs="Arial"/>
          <w:bCs/>
          <w:sz w:val="22"/>
          <w:szCs w:val="22"/>
          <w:lang w:val="fr-FR"/>
        </w:rPr>
        <w:t>’</w:t>
      </w:r>
      <w:r w:rsidRPr="00102803">
        <w:rPr>
          <w:rFonts w:ascii="Arial" w:hAnsi="Arial" w:cs="Arial"/>
          <w:bCs/>
          <w:sz w:val="22"/>
          <w:szCs w:val="22"/>
          <w:lang w:val="fr-FR"/>
        </w:rPr>
        <w:t>Organe d</w:t>
      </w:r>
      <w:r w:rsidR="008E532B">
        <w:rPr>
          <w:rFonts w:ascii="Arial" w:hAnsi="Arial" w:cs="Arial"/>
          <w:bCs/>
          <w:sz w:val="22"/>
          <w:szCs w:val="22"/>
          <w:lang w:val="fr-FR"/>
        </w:rPr>
        <w:t>’</w:t>
      </w:r>
      <w:r w:rsidRPr="00102803">
        <w:rPr>
          <w:rFonts w:ascii="Arial" w:hAnsi="Arial" w:cs="Arial"/>
          <w:bCs/>
          <w:sz w:val="22"/>
          <w:szCs w:val="22"/>
          <w:lang w:val="fr-FR"/>
        </w:rPr>
        <w:t>évaluation, dont l</w:t>
      </w:r>
      <w:r w:rsidR="008E532B">
        <w:rPr>
          <w:rFonts w:ascii="Arial" w:hAnsi="Arial" w:cs="Arial"/>
          <w:bCs/>
          <w:sz w:val="22"/>
          <w:szCs w:val="22"/>
          <w:lang w:val="fr-FR"/>
        </w:rPr>
        <w:t>’</w:t>
      </w:r>
      <w:r w:rsidRPr="00A92CC9">
        <w:rPr>
          <w:rFonts w:ascii="Arial" w:hAnsi="Arial" w:cs="Arial"/>
          <w:bCs/>
          <w:sz w:val="22"/>
          <w:szCs w:val="22"/>
          <w:lang w:val="fr-FR"/>
        </w:rPr>
        <w:t>établissement</w:t>
      </w:r>
      <w:r w:rsidRPr="00102803">
        <w:rPr>
          <w:rFonts w:ascii="Arial" w:hAnsi="Arial" w:cs="Arial"/>
          <w:bCs/>
          <w:sz w:val="22"/>
          <w:szCs w:val="22"/>
          <w:lang w:val="fr-FR"/>
        </w:rPr>
        <w:t xml:space="preserve"> </w:t>
      </w:r>
      <w:r>
        <w:rPr>
          <w:rFonts w:ascii="Arial" w:hAnsi="Arial" w:cs="Arial"/>
          <w:bCs/>
          <w:sz w:val="22"/>
          <w:szCs w:val="22"/>
          <w:lang w:val="fr-FR"/>
        </w:rPr>
        <w:t xml:space="preserve">était </w:t>
      </w:r>
      <w:r w:rsidRPr="00102803">
        <w:rPr>
          <w:rFonts w:ascii="Arial" w:hAnsi="Arial" w:cs="Arial"/>
          <w:bCs/>
          <w:sz w:val="22"/>
          <w:szCs w:val="22"/>
          <w:lang w:val="fr-FR"/>
        </w:rPr>
        <w:t>sous la responsabilité du Comité</w:t>
      </w:r>
      <w:r>
        <w:rPr>
          <w:rFonts w:ascii="Arial" w:hAnsi="Arial" w:cs="Arial"/>
          <w:bCs/>
          <w:sz w:val="22"/>
          <w:szCs w:val="22"/>
          <w:lang w:val="fr-FR"/>
        </w:rPr>
        <w:t xml:space="preserve"> et </w:t>
      </w:r>
      <w:r w:rsidRPr="00102803">
        <w:rPr>
          <w:rFonts w:ascii="Arial" w:hAnsi="Arial" w:cs="Arial"/>
          <w:bCs/>
          <w:sz w:val="22"/>
          <w:szCs w:val="22"/>
          <w:lang w:val="fr-FR"/>
        </w:rPr>
        <w:t>qui compren</w:t>
      </w:r>
      <w:r>
        <w:rPr>
          <w:rFonts w:ascii="Arial" w:hAnsi="Arial" w:cs="Arial"/>
          <w:bCs/>
          <w:sz w:val="22"/>
          <w:szCs w:val="22"/>
          <w:lang w:val="fr-FR"/>
        </w:rPr>
        <w:t>ait</w:t>
      </w:r>
      <w:r w:rsidRPr="00102803">
        <w:rPr>
          <w:rFonts w:ascii="Arial" w:hAnsi="Arial" w:cs="Arial"/>
          <w:bCs/>
          <w:sz w:val="22"/>
          <w:szCs w:val="22"/>
          <w:lang w:val="fr-FR"/>
        </w:rPr>
        <w:t xml:space="preserve"> les </w:t>
      </w:r>
      <w:r>
        <w:rPr>
          <w:rFonts w:ascii="Arial" w:hAnsi="Arial" w:cs="Arial"/>
          <w:bCs/>
          <w:sz w:val="22"/>
          <w:szCs w:val="22"/>
          <w:lang w:val="fr-FR"/>
        </w:rPr>
        <w:t>É</w:t>
      </w:r>
      <w:r w:rsidRPr="00102803">
        <w:rPr>
          <w:rFonts w:ascii="Arial" w:hAnsi="Arial" w:cs="Arial"/>
          <w:bCs/>
          <w:sz w:val="22"/>
          <w:szCs w:val="22"/>
          <w:lang w:val="fr-FR"/>
        </w:rPr>
        <w:t>tats parties à la Convention</w:t>
      </w:r>
      <w:r>
        <w:rPr>
          <w:rFonts w:ascii="Arial" w:hAnsi="Arial" w:cs="Arial"/>
          <w:bCs/>
          <w:sz w:val="22"/>
          <w:szCs w:val="22"/>
          <w:lang w:val="fr-FR"/>
        </w:rPr>
        <w:t>, selon des termes de références établis</w:t>
      </w:r>
      <w:r w:rsidRPr="00102803">
        <w:rPr>
          <w:rFonts w:ascii="Arial" w:hAnsi="Arial" w:cs="Arial"/>
          <w:bCs/>
          <w:sz w:val="22"/>
          <w:szCs w:val="22"/>
          <w:lang w:val="fr-FR"/>
        </w:rPr>
        <w:t xml:space="preserve">. </w:t>
      </w:r>
      <w:r>
        <w:rPr>
          <w:rFonts w:ascii="Arial" w:hAnsi="Arial" w:cs="Arial"/>
          <w:bCs/>
          <w:sz w:val="22"/>
          <w:szCs w:val="22"/>
          <w:lang w:val="fr-FR"/>
        </w:rPr>
        <w:t>À</w:t>
      </w:r>
      <w:r w:rsidRPr="00102803">
        <w:rPr>
          <w:rFonts w:ascii="Arial" w:hAnsi="Arial" w:cs="Arial"/>
          <w:bCs/>
          <w:sz w:val="22"/>
          <w:szCs w:val="22"/>
          <w:lang w:val="fr-FR"/>
        </w:rPr>
        <w:t xml:space="preserve"> ce</w:t>
      </w:r>
      <w:r>
        <w:rPr>
          <w:rFonts w:ascii="Arial" w:hAnsi="Arial" w:cs="Arial"/>
          <w:bCs/>
          <w:sz w:val="22"/>
          <w:szCs w:val="22"/>
          <w:lang w:val="fr-FR"/>
        </w:rPr>
        <w:t xml:space="preserve"> sujet</w:t>
      </w:r>
      <w:r w:rsidRPr="00102803">
        <w:rPr>
          <w:rFonts w:ascii="Arial" w:hAnsi="Arial" w:cs="Arial"/>
          <w:bCs/>
          <w:sz w:val="22"/>
          <w:szCs w:val="22"/>
          <w:lang w:val="fr-FR"/>
        </w:rPr>
        <w:t xml:space="preserve">, le système </w:t>
      </w:r>
      <w:r>
        <w:rPr>
          <w:rFonts w:ascii="Arial" w:hAnsi="Arial" w:cs="Arial"/>
          <w:bCs/>
          <w:sz w:val="22"/>
          <w:szCs w:val="22"/>
          <w:lang w:val="fr-FR"/>
        </w:rPr>
        <w:t>en cours était</w:t>
      </w:r>
      <w:r w:rsidRPr="00102803">
        <w:rPr>
          <w:rFonts w:ascii="Arial" w:hAnsi="Arial" w:cs="Arial"/>
          <w:bCs/>
          <w:sz w:val="22"/>
          <w:szCs w:val="22"/>
          <w:lang w:val="fr-FR"/>
        </w:rPr>
        <w:t xml:space="preserve"> satisfaisant</w:t>
      </w:r>
      <w:r>
        <w:rPr>
          <w:rFonts w:ascii="Arial" w:hAnsi="Arial" w:cs="Arial"/>
          <w:bCs/>
          <w:sz w:val="22"/>
          <w:szCs w:val="22"/>
          <w:lang w:val="fr-FR"/>
        </w:rPr>
        <w:t>,</w:t>
      </w:r>
      <w:r w:rsidRPr="00102803">
        <w:rPr>
          <w:rFonts w:ascii="Arial" w:hAnsi="Arial" w:cs="Arial"/>
          <w:bCs/>
          <w:sz w:val="22"/>
          <w:szCs w:val="22"/>
          <w:lang w:val="fr-FR"/>
        </w:rPr>
        <w:t xml:space="preserve"> et la délégation n</w:t>
      </w:r>
      <w:r w:rsidR="008E532B">
        <w:rPr>
          <w:rFonts w:ascii="Arial" w:hAnsi="Arial" w:cs="Arial"/>
          <w:bCs/>
          <w:sz w:val="22"/>
          <w:szCs w:val="22"/>
          <w:lang w:val="fr-FR"/>
        </w:rPr>
        <w:t>’</w:t>
      </w:r>
      <w:r>
        <w:rPr>
          <w:rFonts w:ascii="Arial" w:hAnsi="Arial" w:cs="Arial"/>
          <w:bCs/>
          <w:sz w:val="22"/>
          <w:szCs w:val="22"/>
          <w:lang w:val="fr-FR"/>
        </w:rPr>
        <w:t>était</w:t>
      </w:r>
      <w:r w:rsidRPr="00102803">
        <w:rPr>
          <w:rFonts w:ascii="Arial" w:hAnsi="Arial" w:cs="Arial"/>
          <w:bCs/>
          <w:sz w:val="22"/>
          <w:szCs w:val="22"/>
          <w:lang w:val="fr-FR"/>
        </w:rPr>
        <w:t xml:space="preserve"> pas favorable à son changement. Cela dit, elle sout</w:t>
      </w:r>
      <w:r>
        <w:rPr>
          <w:rFonts w:ascii="Arial" w:hAnsi="Arial" w:cs="Arial"/>
          <w:bCs/>
          <w:sz w:val="22"/>
          <w:szCs w:val="22"/>
          <w:lang w:val="fr-FR"/>
        </w:rPr>
        <w:t>enait</w:t>
      </w:r>
      <w:r w:rsidRPr="00102803">
        <w:rPr>
          <w:rFonts w:ascii="Arial" w:hAnsi="Arial" w:cs="Arial"/>
          <w:bCs/>
          <w:sz w:val="22"/>
          <w:szCs w:val="22"/>
          <w:lang w:val="fr-FR"/>
        </w:rPr>
        <w:t xml:space="preserve"> la proposition du Secrétariat</w:t>
      </w:r>
      <w:r>
        <w:rPr>
          <w:rFonts w:ascii="Arial" w:hAnsi="Arial" w:cs="Arial"/>
          <w:bCs/>
          <w:sz w:val="22"/>
          <w:szCs w:val="22"/>
          <w:lang w:val="fr-FR"/>
        </w:rPr>
        <w:t xml:space="preserve">, telle que </w:t>
      </w:r>
      <w:r w:rsidRPr="00102803">
        <w:rPr>
          <w:rFonts w:ascii="Arial" w:hAnsi="Arial" w:cs="Arial"/>
          <w:bCs/>
          <w:sz w:val="22"/>
          <w:szCs w:val="22"/>
          <w:lang w:val="fr-FR"/>
        </w:rPr>
        <w:t>décrite au paragraphe 11 du document de travail, visant à améliorer le processus d</w:t>
      </w:r>
      <w:r w:rsidR="008E532B">
        <w:rPr>
          <w:rFonts w:ascii="Arial" w:hAnsi="Arial" w:cs="Arial"/>
          <w:bCs/>
          <w:sz w:val="22"/>
          <w:szCs w:val="22"/>
          <w:lang w:val="fr-FR"/>
        </w:rPr>
        <w:t>’</w:t>
      </w:r>
      <w:r w:rsidRPr="00102803">
        <w:rPr>
          <w:rFonts w:ascii="Arial" w:hAnsi="Arial" w:cs="Arial"/>
          <w:bCs/>
          <w:sz w:val="22"/>
          <w:szCs w:val="22"/>
          <w:lang w:val="fr-FR"/>
        </w:rPr>
        <w:t>accréditation des ONG. La délégation a ré</w:t>
      </w:r>
      <w:r>
        <w:rPr>
          <w:rFonts w:ascii="Arial" w:hAnsi="Arial" w:cs="Arial"/>
          <w:bCs/>
          <w:sz w:val="22"/>
          <w:szCs w:val="22"/>
          <w:lang w:val="fr-FR"/>
        </w:rPr>
        <w:t>affirmé</w:t>
      </w:r>
      <w:r w:rsidRPr="00102803">
        <w:rPr>
          <w:rFonts w:ascii="Arial" w:hAnsi="Arial" w:cs="Arial"/>
          <w:bCs/>
          <w:sz w:val="22"/>
          <w:szCs w:val="22"/>
          <w:lang w:val="fr-FR"/>
        </w:rPr>
        <w:t xml:space="preserve"> l</w:t>
      </w:r>
      <w:r w:rsidR="008E532B">
        <w:rPr>
          <w:rFonts w:ascii="Arial" w:hAnsi="Arial" w:cs="Arial"/>
          <w:bCs/>
          <w:sz w:val="22"/>
          <w:szCs w:val="22"/>
          <w:lang w:val="fr-FR"/>
        </w:rPr>
        <w:t>’</w:t>
      </w:r>
      <w:r w:rsidRPr="00102803">
        <w:rPr>
          <w:rFonts w:ascii="Arial" w:hAnsi="Arial" w:cs="Arial"/>
          <w:bCs/>
          <w:sz w:val="22"/>
          <w:szCs w:val="22"/>
          <w:lang w:val="fr-FR"/>
        </w:rPr>
        <w:t>importance de la diversité culturelle des traditions vivantes ainsi que des acteurs impliqués dans leur sauvegarde. Ainsi, il n</w:t>
      </w:r>
      <w:r w:rsidR="008E532B">
        <w:rPr>
          <w:rFonts w:ascii="Arial" w:hAnsi="Arial" w:cs="Arial"/>
          <w:bCs/>
          <w:sz w:val="22"/>
          <w:szCs w:val="22"/>
          <w:lang w:val="fr-FR"/>
        </w:rPr>
        <w:t>’</w:t>
      </w:r>
      <w:r w:rsidRPr="00102803">
        <w:rPr>
          <w:rFonts w:ascii="Arial" w:hAnsi="Arial" w:cs="Arial"/>
          <w:bCs/>
          <w:sz w:val="22"/>
          <w:szCs w:val="22"/>
          <w:lang w:val="fr-FR"/>
        </w:rPr>
        <w:t>était pas dans l</w:t>
      </w:r>
      <w:r w:rsidR="008E532B">
        <w:rPr>
          <w:rFonts w:ascii="Arial" w:hAnsi="Arial" w:cs="Arial"/>
          <w:bCs/>
          <w:sz w:val="22"/>
          <w:szCs w:val="22"/>
          <w:lang w:val="fr-FR"/>
        </w:rPr>
        <w:t>’</w:t>
      </w:r>
      <w:r w:rsidRPr="00102803">
        <w:rPr>
          <w:rFonts w:ascii="Arial" w:hAnsi="Arial" w:cs="Arial"/>
          <w:bCs/>
          <w:sz w:val="22"/>
          <w:szCs w:val="22"/>
          <w:lang w:val="fr-FR"/>
        </w:rPr>
        <w:t>intérêt de la Convention de se passer des ONG. Leur travail opérationnel sur le terrain prouv</w:t>
      </w:r>
      <w:r>
        <w:rPr>
          <w:rFonts w:ascii="Arial" w:hAnsi="Arial" w:cs="Arial"/>
          <w:bCs/>
          <w:sz w:val="22"/>
          <w:szCs w:val="22"/>
          <w:lang w:val="fr-FR"/>
        </w:rPr>
        <w:t>ait</w:t>
      </w:r>
      <w:r w:rsidRPr="00102803">
        <w:rPr>
          <w:rFonts w:ascii="Arial" w:hAnsi="Arial" w:cs="Arial"/>
          <w:bCs/>
          <w:sz w:val="22"/>
          <w:szCs w:val="22"/>
          <w:lang w:val="fr-FR"/>
        </w:rPr>
        <w:t xml:space="preserve"> leur importance et l</w:t>
      </w:r>
      <w:r w:rsidR="008E532B">
        <w:rPr>
          <w:rFonts w:ascii="Arial" w:hAnsi="Arial" w:cs="Arial"/>
          <w:bCs/>
          <w:sz w:val="22"/>
          <w:szCs w:val="22"/>
          <w:lang w:val="fr-FR"/>
        </w:rPr>
        <w:t>’</w:t>
      </w:r>
      <w:r w:rsidRPr="00102803">
        <w:rPr>
          <w:rFonts w:ascii="Arial" w:hAnsi="Arial" w:cs="Arial"/>
          <w:bCs/>
          <w:sz w:val="22"/>
          <w:szCs w:val="22"/>
          <w:lang w:val="fr-FR"/>
        </w:rPr>
        <w:t>Assemblée ne devrait pas restreindre le réseau de partenaires en imposant des restrictions, mais plutôt faire confiance au Comité dans ses décisions concernant la création des futurs organes consultatifs.</w:t>
      </w:r>
    </w:p>
    <w:p w14:paraId="37FBD25B" w14:textId="4F0CECB1" w:rsidR="00D9653F" w:rsidRPr="004826F5"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4826F5">
        <w:rPr>
          <w:rFonts w:ascii="Arial" w:hAnsi="Arial" w:cs="Arial"/>
          <w:sz w:val="22"/>
          <w:szCs w:val="22"/>
          <w:lang w:val="fr-FR"/>
        </w:rPr>
        <w:t xml:space="preserve">La délégation de la </w:t>
      </w:r>
      <w:r w:rsidRPr="004826F5">
        <w:rPr>
          <w:rFonts w:ascii="Arial" w:hAnsi="Arial" w:cs="Arial"/>
          <w:b/>
          <w:bCs/>
          <w:sz w:val="22"/>
          <w:szCs w:val="22"/>
          <w:lang w:val="fr-FR"/>
        </w:rPr>
        <w:t>Grèce</w:t>
      </w:r>
      <w:r w:rsidRPr="004826F5">
        <w:rPr>
          <w:rFonts w:ascii="Arial" w:hAnsi="Arial" w:cs="Arial"/>
          <w:sz w:val="22"/>
          <w:szCs w:val="22"/>
          <w:lang w:val="fr-FR"/>
        </w:rPr>
        <w:t xml:space="preserve"> a félicité la Présidente pour son excellente</w:t>
      </w:r>
      <w:r>
        <w:rPr>
          <w:rFonts w:ascii="Arial" w:hAnsi="Arial" w:cs="Arial"/>
          <w:sz w:val="22"/>
          <w:szCs w:val="22"/>
          <w:lang w:val="fr-FR"/>
        </w:rPr>
        <w:t xml:space="preserve"> conduite des travaux de l</w:t>
      </w:r>
      <w:r w:rsidR="008E532B">
        <w:rPr>
          <w:rFonts w:ascii="Arial" w:hAnsi="Arial" w:cs="Arial"/>
          <w:sz w:val="22"/>
          <w:szCs w:val="22"/>
          <w:lang w:val="fr-FR"/>
        </w:rPr>
        <w:t>’</w:t>
      </w:r>
      <w:r>
        <w:rPr>
          <w:rFonts w:ascii="Arial" w:hAnsi="Arial" w:cs="Arial"/>
          <w:sz w:val="22"/>
          <w:szCs w:val="22"/>
          <w:lang w:val="fr-FR"/>
        </w:rPr>
        <w:t>Assemblée</w:t>
      </w:r>
      <w:r w:rsidRPr="004826F5">
        <w:rPr>
          <w:rFonts w:ascii="Arial" w:hAnsi="Arial" w:cs="Arial"/>
          <w:sz w:val="22"/>
          <w:szCs w:val="22"/>
          <w:lang w:val="fr-FR"/>
        </w:rPr>
        <w:t xml:space="preserve">. Elle </w:t>
      </w:r>
      <w:r>
        <w:rPr>
          <w:rFonts w:ascii="Arial" w:hAnsi="Arial" w:cs="Arial"/>
          <w:sz w:val="22"/>
          <w:szCs w:val="22"/>
          <w:lang w:val="fr-FR"/>
        </w:rPr>
        <w:t>croyait</w:t>
      </w:r>
      <w:r w:rsidRPr="004826F5">
        <w:rPr>
          <w:rFonts w:ascii="Arial" w:hAnsi="Arial" w:cs="Arial"/>
          <w:sz w:val="22"/>
          <w:szCs w:val="22"/>
          <w:lang w:val="fr-FR"/>
        </w:rPr>
        <w:t xml:space="preserve"> en l</w:t>
      </w:r>
      <w:r w:rsidR="008E532B">
        <w:rPr>
          <w:rFonts w:ascii="Arial" w:hAnsi="Arial" w:cs="Arial"/>
          <w:sz w:val="22"/>
          <w:szCs w:val="22"/>
          <w:lang w:val="fr-FR"/>
        </w:rPr>
        <w:t>’</w:t>
      </w:r>
      <w:r w:rsidRPr="004826F5">
        <w:rPr>
          <w:rFonts w:ascii="Arial" w:hAnsi="Arial" w:cs="Arial"/>
          <w:sz w:val="22"/>
          <w:szCs w:val="22"/>
          <w:lang w:val="fr-FR"/>
        </w:rPr>
        <w:t>esprit de la Convention et des Directives opérationnelles, qui permet aux ONG compétentes de participer activement et de manière productive aux travaux de la Convention. En outre, l</w:t>
      </w:r>
      <w:r w:rsidR="008E532B">
        <w:rPr>
          <w:rFonts w:ascii="Arial" w:hAnsi="Arial" w:cs="Arial"/>
          <w:sz w:val="22"/>
          <w:szCs w:val="22"/>
          <w:lang w:val="fr-FR"/>
        </w:rPr>
        <w:t>’</w:t>
      </w:r>
      <w:r w:rsidRPr="004826F5">
        <w:rPr>
          <w:rFonts w:ascii="Arial" w:hAnsi="Arial" w:cs="Arial"/>
          <w:sz w:val="22"/>
          <w:szCs w:val="22"/>
          <w:lang w:val="fr-FR"/>
        </w:rPr>
        <w:t>article 28 des Directives opérationnelles stipul</w:t>
      </w:r>
      <w:r>
        <w:rPr>
          <w:rFonts w:ascii="Arial" w:hAnsi="Arial" w:cs="Arial"/>
          <w:sz w:val="22"/>
          <w:szCs w:val="22"/>
          <w:lang w:val="fr-FR"/>
        </w:rPr>
        <w:t>ait</w:t>
      </w:r>
      <w:r w:rsidRPr="004826F5">
        <w:rPr>
          <w:rFonts w:ascii="Arial" w:hAnsi="Arial" w:cs="Arial"/>
          <w:sz w:val="22"/>
          <w:szCs w:val="22"/>
          <w:lang w:val="fr-FR"/>
        </w:rPr>
        <w:t xml:space="preserve"> qu</w:t>
      </w:r>
      <w:r w:rsidR="008E532B">
        <w:rPr>
          <w:rFonts w:ascii="Arial" w:hAnsi="Arial" w:cs="Arial"/>
          <w:sz w:val="22"/>
          <w:szCs w:val="22"/>
          <w:lang w:val="fr-FR"/>
        </w:rPr>
        <w:t>’</w:t>
      </w:r>
      <w:r w:rsidRPr="004826F5">
        <w:rPr>
          <w:rFonts w:ascii="Arial" w:hAnsi="Arial" w:cs="Arial"/>
          <w:sz w:val="22"/>
          <w:szCs w:val="22"/>
          <w:lang w:val="fr-FR"/>
        </w:rPr>
        <w:t>une fois nommés, les membres de l</w:t>
      </w:r>
      <w:r w:rsidR="008E532B">
        <w:rPr>
          <w:rFonts w:ascii="Arial" w:hAnsi="Arial" w:cs="Arial"/>
          <w:sz w:val="22"/>
          <w:szCs w:val="22"/>
          <w:lang w:val="fr-FR"/>
        </w:rPr>
        <w:t>’</w:t>
      </w:r>
      <w:r>
        <w:rPr>
          <w:rFonts w:ascii="Arial" w:hAnsi="Arial" w:cs="Arial"/>
          <w:sz w:val="22"/>
          <w:szCs w:val="22"/>
          <w:lang w:val="fr-FR"/>
        </w:rPr>
        <w:t>O</w:t>
      </w:r>
      <w:r w:rsidRPr="004826F5">
        <w:rPr>
          <w:rFonts w:ascii="Arial" w:hAnsi="Arial" w:cs="Arial"/>
          <w:sz w:val="22"/>
          <w:szCs w:val="22"/>
          <w:lang w:val="fr-FR"/>
        </w:rPr>
        <w:t>rgane d</w:t>
      </w:r>
      <w:r w:rsidR="008E532B">
        <w:rPr>
          <w:rFonts w:ascii="Arial" w:hAnsi="Arial" w:cs="Arial"/>
          <w:sz w:val="22"/>
          <w:szCs w:val="22"/>
          <w:lang w:val="fr-FR"/>
        </w:rPr>
        <w:t>’</w:t>
      </w:r>
      <w:r w:rsidRPr="004826F5">
        <w:rPr>
          <w:rFonts w:ascii="Arial" w:hAnsi="Arial" w:cs="Arial"/>
          <w:sz w:val="22"/>
          <w:szCs w:val="22"/>
          <w:lang w:val="fr-FR"/>
        </w:rPr>
        <w:t xml:space="preserve">évaluation </w:t>
      </w:r>
      <w:r>
        <w:rPr>
          <w:rFonts w:ascii="Arial" w:hAnsi="Arial" w:cs="Arial"/>
          <w:sz w:val="22"/>
          <w:szCs w:val="22"/>
          <w:lang w:val="fr-FR"/>
        </w:rPr>
        <w:t xml:space="preserve">« doivent agir </w:t>
      </w:r>
      <w:r w:rsidRPr="004826F5">
        <w:rPr>
          <w:rFonts w:ascii="Arial" w:hAnsi="Arial" w:cs="Arial"/>
          <w:sz w:val="22"/>
          <w:szCs w:val="22"/>
          <w:lang w:val="fr-FR"/>
        </w:rPr>
        <w:t>de manière impartiale dans l</w:t>
      </w:r>
      <w:r w:rsidR="008E532B">
        <w:rPr>
          <w:rFonts w:ascii="Arial" w:hAnsi="Arial" w:cs="Arial"/>
          <w:sz w:val="22"/>
          <w:szCs w:val="22"/>
          <w:lang w:val="fr-FR"/>
        </w:rPr>
        <w:t>’</w:t>
      </w:r>
      <w:r w:rsidRPr="004826F5">
        <w:rPr>
          <w:rFonts w:ascii="Arial" w:hAnsi="Arial" w:cs="Arial"/>
          <w:sz w:val="22"/>
          <w:szCs w:val="22"/>
          <w:lang w:val="fr-FR"/>
        </w:rPr>
        <w:t>intérêt de tous les États parties et de la Convention</w:t>
      </w:r>
      <w:r>
        <w:rPr>
          <w:rFonts w:ascii="Arial" w:hAnsi="Arial" w:cs="Arial"/>
          <w:sz w:val="22"/>
          <w:szCs w:val="22"/>
          <w:lang w:val="fr-FR"/>
        </w:rPr>
        <w:t>. »</w:t>
      </w:r>
      <w:r w:rsidRPr="004826F5">
        <w:rPr>
          <w:rFonts w:ascii="Arial" w:hAnsi="Arial" w:cs="Arial"/>
          <w:sz w:val="22"/>
          <w:szCs w:val="22"/>
          <w:lang w:val="fr-FR"/>
        </w:rPr>
        <w:t xml:space="preserve"> La Grèce cro</w:t>
      </w:r>
      <w:r>
        <w:rPr>
          <w:rFonts w:ascii="Arial" w:hAnsi="Arial" w:cs="Arial"/>
          <w:sz w:val="22"/>
          <w:szCs w:val="22"/>
          <w:lang w:val="fr-FR"/>
        </w:rPr>
        <w:t>yait</w:t>
      </w:r>
      <w:r w:rsidRPr="004826F5">
        <w:rPr>
          <w:rFonts w:ascii="Arial" w:hAnsi="Arial" w:cs="Arial"/>
          <w:sz w:val="22"/>
          <w:szCs w:val="22"/>
          <w:lang w:val="fr-FR"/>
        </w:rPr>
        <w:t xml:space="preserve"> en l</w:t>
      </w:r>
      <w:r w:rsidR="008E532B">
        <w:rPr>
          <w:rFonts w:ascii="Arial" w:hAnsi="Arial" w:cs="Arial"/>
          <w:sz w:val="22"/>
          <w:szCs w:val="22"/>
          <w:lang w:val="fr-FR"/>
        </w:rPr>
        <w:t>’</w:t>
      </w:r>
      <w:r w:rsidRPr="004826F5">
        <w:rPr>
          <w:rFonts w:ascii="Arial" w:hAnsi="Arial" w:cs="Arial"/>
          <w:sz w:val="22"/>
          <w:szCs w:val="22"/>
          <w:lang w:val="fr-FR"/>
        </w:rPr>
        <w:t>importance d</w:t>
      </w:r>
      <w:r>
        <w:rPr>
          <w:rFonts w:ascii="Arial" w:hAnsi="Arial" w:cs="Arial"/>
          <w:sz w:val="22"/>
          <w:szCs w:val="22"/>
          <w:lang w:val="fr-FR"/>
        </w:rPr>
        <w:t>e l</w:t>
      </w:r>
      <w:r w:rsidR="008E532B">
        <w:rPr>
          <w:rFonts w:ascii="Arial" w:hAnsi="Arial" w:cs="Arial"/>
          <w:sz w:val="22"/>
          <w:szCs w:val="22"/>
          <w:lang w:val="fr-FR"/>
        </w:rPr>
        <w:t>’</w:t>
      </w:r>
      <w:r>
        <w:rPr>
          <w:rFonts w:ascii="Arial" w:hAnsi="Arial" w:cs="Arial"/>
          <w:sz w:val="22"/>
          <w:szCs w:val="22"/>
          <w:lang w:val="fr-FR"/>
        </w:rPr>
        <w:t xml:space="preserve">inclusivité </w:t>
      </w:r>
      <w:r w:rsidRPr="004826F5">
        <w:rPr>
          <w:rFonts w:ascii="Arial" w:hAnsi="Arial" w:cs="Arial"/>
          <w:sz w:val="22"/>
          <w:szCs w:val="22"/>
          <w:lang w:val="fr-FR"/>
        </w:rPr>
        <w:t>inscrit</w:t>
      </w:r>
      <w:r>
        <w:rPr>
          <w:rFonts w:ascii="Arial" w:hAnsi="Arial" w:cs="Arial"/>
          <w:sz w:val="22"/>
          <w:szCs w:val="22"/>
          <w:lang w:val="fr-FR"/>
        </w:rPr>
        <w:t>e</w:t>
      </w:r>
      <w:r w:rsidRPr="004826F5">
        <w:rPr>
          <w:rFonts w:ascii="Arial" w:hAnsi="Arial" w:cs="Arial"/>
          <w:sz w:val="22"/>
          <w:szCs w:val="22"/>
          <w:lang w:val="fr-FR"/>
        </w:rPr>
        <w:t xml:space="preserve"> dans l</w:t>
      </w:r>
      <w:r w:rsidR="008E532B">
        <w:rPr>
          <w:rFonts w:ascii="Arial" w:hAnsi="Arial" w:cs="Arial"/>
          <w:sz w:val="22"/>
          <w:szCs w:val="22"/>
          <w:lang w:val="fr-FR"/>
        </w:rPr>
        <w:t>’</w:t>
      </w:r>
      <w:r w:rsidRPr="004826F5">
        <w:rPr>
          <w:rFonts w:ascii="Arial" w:hAnsi="Arial" w:cs="Arial"/>
          <w:sz w:val="22"/>
          <w:szCs w:val="22"/>
          <w:lang w:val="fr-FR"/>
        </w:rPr>
        <w:t>esprit de la Convention, sans barrières inutiles, tout en prenant toujours en considération la nécessité de respecter le principe d</w:t>
      </w:r>
      <w:r w:rsidR="008E532B">
        <w:rPr>
          <w:rFonts w:ascii="Arial" w:hAnsi="Arial" w:cs="Arial"/>
          <w:sz w:val="22"/>
          <w:szCs w:val="22"/>
          <w:lang w:val="fr-FR"/>
        </w:rPr>
        <w:t>’</w:t>
      </w:r>
      <w:r w:rsidRPr="004826F5">
        <w:rPr>
          <w:rFonts w:ascii="Arial" w:hAnsi="Arial" w:cs="Arial"/>
          <w:sz w:val="22"/>
          <w:szCs w:val="22"/>
          <w:lang w:val="fr-FR"/>
        </w:rPr>
        <w:t>une représentation géographique équilibrée.</w:t>
      </w:r>
    </w:p>
    <w:p w14:paraId="52C1AD1F" w14:textId="3DE112A0" w:rsidR="00D9653F" w:rsidRPr="00061A31"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061A31">
        <w:rPr>
          <w:rFonts w:ascii="Arial" w:hAnsi="Arial" w:cs="Arial"/>
          <w:sz w:val="22"/>
          <w:szCs w:val="22"/>
          <w:lang w:val="fr-FR"/>
        </w:rPr>
        <w:t xml:space="preserve">La délégation de la </w:t>
      </w:r>
      <w:r w:rsidRPr="00061A31">
        <w:rPr>
          <w:rFonts w:ascii="Arial" w:hAnsi="Arial" w:cs="Arial"/>
          <w:b/>
          <w:bCs/>
          <w:sz w:val="22"/>
          <w:szCs w:val="22"/>
          <w:lang w:val="fr-FR"/>
        </w:rPr>
        <w:t>Grenade</w:t>
      </w:r>
      <w:r w:rsidRPr="00061A31">
        <w:rPr>
          <w:rFonts w:ascii="Arial" w:hAnsi="Arial" w:cs="Arial"/>
          <w:sz w:val="22"/>
          <w:szCs w:val="22"/>
          <w:lang w:val="fr-FR"/>
        </w:rPr>
        <w:t xml:space="preserve"> a souligné l</w:t>
      </w:r>
      <w:r w:rsidR="008E532B">
        <w:rPr>
          <w:rFonts w:ascii="Arial" w:hAnsi="Arial" w:cs="Arial"/>
          <w:sz w:val="22"/>
          <w:szCs w:val="22"/>
          <w:lang w:val="fr-FR"/>
        </w:rPr>
        <w:t>’</w:t>
      </w:r>
      <w:r w:rsidRPr="00061A31">
        <w:rPr>
          <w:rFonts w:ascii="Arial" w:hAnsi="Arial" w:cs="Arial"/>
          <w:sz w:val="22"/>
          <w:szCs w:val="22"/>
          <w:lang w:val="fr-FR"/>
        </w:rPr>
        <w:t>importance du travail des ONG pour la Convention ainsi que leur soutien aux États membres dans la mise en œuvre de cette très importante</w:t>
      </w:r>
      <w:r>
        <w:rPr>
          <w:rFonts w:ascii="Arial" w:hAnsi="Arial" w:cs="Arial"/>
          <w:sz w:val="22"/>
          <w:szCs w:val="22"/>
          <w:lang w:val="fr-FR"/>
        </w:rPr>
        <w:t xml:space="preserve"> Convention</w:t>
      </w:r>
      <w:r w:rsidRPr="00061A31">
        <w:rPr>
          <w:rFonts w:ascii="Arial" w:hAnsi="Arial" w:cs="Arial"/>
          <w:sz w:val="22"/>
          <w:szCs w:val="22"/>
          <w:lang w:val="fr-FR"/>
        </w:rPr>
        <w:t>. La délégation</w:t>
      </w:r>
      <w:r>
        <w:rPr>
          <w:rFonts w:ascii="Arial" w:hAnsi="Arial" w:cs="Arial"/>
          <w:sz w:val="22"/>
          <w:szCs w:val="22"/>
          <w:lang w:val="fr-FR"/>
        </w:rPr>
        <w:t xml:space="preserve"> </w:t>
      </w:r>
      <w:r w:rsidRPr="00061A31">
        <w:rPr>
          <w:rFonts w:ascii="Arial" w:hAnsi="Arial" w:cs="Arial"/>
          <w:sz w:val="22"/>
          <w:szCs w:val="22"/>
          <w:lang w:val="fr-FR"/>
        </w:rPr>
        <w:t>estim</w:t>
      </w:r>
      <w:r>
        <w:rPr>
          <w:rFonts w:ascii="Arial" w:hAnsi="Arial" w:cs="Arial"/>
          <w:sz w:val="22"/>
          <w:szCs w:val="22"/>
          <w:lang w:val="fr-FR"/>
        </w:rPr>
        <w:t xml:space="preserve">ait </w:t>
      </w:r>
      <w:r w:rsidRPr="00061A31">
        <w:rPr>
          <w:rFonts w:ascii="Arial" w:hAnsi="Arial" w:cs="Arial"/>
          <w:sz w:val="22"/>
          <w:szCs w:val="22"/>
          <w:lang w:val="fr-FR"/>
        </w:rPr>
        <w:t>que la position exprimée par la Palestine</w:t>
      </w:r>
      <w:r>
        <w:rPr>
          <w:rFonts w:ascii="Arial" w:hAnsi="Arial" w:cs="Arial"/>
          <w:sz w:val="22"/>
          <w:szCs w:val="22"/>
          <w:lang w:val="fr-FR"/>
        </w:rPr>
        <w:t>, qui</w:t>
      </w:r>
      <w:r w:rsidRPr="00061A31">
        <w:rPr>
          <w:rFonts w:ascii="Arial" w:hAnsi="Arial" w:cs="Arial"/>
          <w:sz w:val="22"/>
          <w:szCs w:val="22"/>
          <w:lang w:val="fr-FR"/>
        </w:rPr>
        <w:t xml:space="preserve"> était conforme aux décisions déjà prises</w:t>
      </w:r>
      <w:r>
        <w:rPr>
          <w:rFonts w:ascii="Arial" w:hAnsi="Arial" w:cs="Arial"/>
          <w:sz w:val="22"/>
          <w:szCs w:val="22"/>
          <w:lang w:val="fr-FR"/>
        </w:rPr>
        <w:t xml:space="preserve">, </w:t>
      </w:r>
      <w:r w:rsidRPr="00061A31">
        <w:rPr>
          <w:rFonts w:ascii="Arial" w:hAnsi="Arial" w:cs="Arial"/>
          <w:sz w:val="22"/>
          <w:szCs w:val="22"/>
          <w:lang w:val="fr-FR"/>
        </w:rPr>
        <w:t>était donc justifiée et dev</w:t>
      </w:r>
      <w:r>
        <w:rPr>
          <w:rFonts w:ascii="Arial" w:hAnsi="Arial" w:cs="Arial"/>
          <w:sz w:val="22"/>
          <w:szCs w:val="22"/>
          <w:lang w:val="fr-FR"/>
        </w:rPr>
        <w:t>r</w:t>
      </w:r>
      <w:r w:rsidRPr="00061A31">
        <w:rPr>
          <w:rFonts w:ascii="Arial" w:hAnsi="Arial" w:cs="Arial"/>
          <w:sz w:val="22"/>
          <w:szCs w:val="22"/>
          <w:lang w:val="fr-FR"/>
        </w:rPr>
        <w:t>ait être prise en considération.</w:t>
      </w:r>
    </w:p>
    <w:p w14:paraId="6B1B63B6" w14:textId="2DB714FF" w:rsidR="00D9653F" w:rsidRPr="00B21CE2"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B21CE2">
        <w:rPr>
          <w:rFonts w:ascii="Arial" w:hAnsi="Arial" w:cs="Arial"/>
          <w:sz w:val="22"/>
          <w:szCs w:val="22"/>
          <w:lang w:val="fr-FR"/>
        </w:rPr>
        <w:t xml:space="preserve">La délégation </w:t>
      </w:r>
      <w:r>
        <w:rPr>
          <w:rFonts w:ascii="Arial" w:hAnsi="Arial" w:cs="Arial"/>
          <w:sz w:val="22"/>
          <w:szCs w:val="22"/>
          <w:lang w:val="fr-FR"/>
        </w:rPr>
        <w:t>de l</w:t>
      </w:r>
      <w:r w:rsidR="008E532B">
        <w:rPr>
          <w:rFonts w:ascii="Arial" w:hAnsi="Arial" w:cs="Arial"/>
          <w:sz w:val="22"/>
          <w:szCs w:val="22"/>
          <w:lang w:val="fr-FR"/>
        </w:rPr>
        <w:t>’</w:t>
      </w:r>
      <w:r w:rsidRPr="00B21CE2">
        <w:rPr>
          <w:rFonts w:ascii="Arial" w:hAnsi="Arial" w:cs="Arial"/>
          <w:b/>
          <w:bCs/>
          <w:sz w:val="22"/>
          <w:szCs w:val="22"/>
          <w:lang w:val="fr-FR"/>
        </w:rPr>
        <w:t>Estonie</w:t>
      </w:r>
      <w:r w:rsidRPr="00B21CE2">
        <w:rPr>
          <w:rFonts w:ascii="Arial" w:hAnsi="Arial" w:cs="Arial"/>
          <w:sz w:val="22"/>
          <w:szCs w:val="22"/>
          <w:lang w:val="fr-FR"/>
        </w:rPr>
        <w:t xml:space="preserve"> a</w:t>
      </w:r>
      <w:r>
        <w:rPr>
          <w:rFonts w:ascii="Arial" w:hAnsi="Arial" w:cs="Arial"/>
          <w:sz w:val="22"/>
          <w:szCs w:val="22"/>
          <w:lang w:val="fr-FR"/>
        </w:rPr>
        <w:t>vait</w:t>
      </w:r>
      <w:r w:rsidRPr="00B21CE2">
        <w:rPr>
          <w:rFonts w:ascii="Arial" w:hAnsi="Arial" w:cs="Arial"/>
          <w:sz w:val="22"/>
          <w:szCs w:val="22"/>
          <w:lang w:val="fr-FR"/>
        </w:rPr>
        <w:t xml:space="preserve"> toujours manifesté son intérêt pour les travaux du Forum des ONG du PCI et sa participation à la mise en œuvre de la Convention. Toutefois, après avoir entendu les différentes positions, l</w:t>
      </w:r>
      <w:r w:rsidR="008E532B">
        <w:rPr>
          <w:rFonts w:ascii="Arial" w:hAnsi="Arial" w:cs="Arial"/>
          <w:sz w:val="22"/>
          <w:szCs w:val="22"/>
          <w:lang w:val="fr-FR"/>
        </w:rPr>
        <w:t>’</w:t>
      </w:r>
      <w:r w:rsidRPr="00B21CE2">
        <w:rPr>
          <w:rFonts w:ascii="Arial" w:hAnsi="Arial" w:cs="Arial"/>
          <w:sz w:val="22"/>
          <w:szCs w:val="22"/>
          <w:lang w:val="fr-FR"/>
        </w:rPr>
        <w:t>Estonie ne sou</w:t>
      </w:r>
      <w:r>
        <w:rPr>
          <w:rFonts w:ascii="Arial" w:hAnsi="Arial" w:cs="Arial"/>
          <w:sz w:val="22"/>
          <w:szCs w:val="22"/>
          <w:lang w:val="fr-FR"/>
        </w:rPr>
        <w:t>tenait</w:t>
      </w:r>
      <w:r w:rsidRPr="00B21CE2">
        <w:rPr>
          <w:rFonts w:ascii="Arial" w:hAnsi="Arial" w:cs="Arial"/>
          <w:sz w:val="22"/>
          <w:szCs w:val="22"/>
          <w:lang w:val="fr-FR"/>
        </w:rPr>
        <w:t xml:space="preserve"> pas l</w:t>
      </w:r>
      <w:r w:rsidR="008E532B">
        <w:rPr>
          <w:rFonts w:ascii="Arial" w:hAnsi="Arial" w:cs="Arial"/>
          <w:sz w:val="22"/>
          <w:szCs w:val="22"/>
          <w:lang w:val="fr-FR"/>
        </w:rPr>
        <w:t>’</w:t>
      </w:r>
      <w:r w:rsidRPr="00B21CE2">
        <w:rPr>
          <w:rFonts w:ascii="Arial" w:hAnsi="Arial" w:cs="Arial"/>
          <w:sz w:val="22"/>
          <w:szCs w:val="22"/>
          <w:lang w:val="fr-FR"/>
        </w:rPr>
        <w:t xml:space="preserve">amendement proposé par la Palestine. Les ONG </w:t>
      </w:r>
      <w:r>
        <w:rPr>
          <w:rFonts w:ascii="Arial" w:hAnsi="Arial" w:cs="Arial"/>
          <w:sz w:val="22"/>
          <w:szCs w:val="22"/>
          <w:lang w:val="fr-FR"/>
        </w:rPr>
        <w:t>étaient, par définition,</w:t>
      </w:r>
      <w:r w:rsidRPr="00B21CE2">
        <w:rPr>
          <w:rFonts w:ascii="Arial" w:hAnsi="Arial" w:cs="Arial"/>
          <w:sz w:val="22"/>
          <w:szCs w:val="22"/>
          <w:lang w:val="fr-FR"/>
        </w:rPr>
        <w:t xml:space="preserve"> non gouvernementales</w:t>
      </w:r>
      <w:r>
        <w:rPr>
          <w:rFonts w:ascii="Arial" w:hAnsi="Arial" w:cs="Arial"/>
          <w:sz w:val="22"/>
          <w:szCs w:val="22"/>
          <w:lang w:val="fr-FR"/>
        </w:rPr>
        <w:t xml:space="preserve"> </w:t>
      </w:r>
      <w:r w:rsidRPr="00B21CE2">
        <w:rPr>
          <w:rFonts w:ascii="Arial" w:hAnsi="Arial" w:cs="Arial"/>
          <w:sz w:val="22"/>
          <w:szCs w:val="22"/>
          <w:lang w:val="fr-FR"/>
        </w:rPr>
        <w:t>et ce qui compt</w:t>
      </w:r>
      <w:r>
        <w:rPr>
          <w:rFonts w:ascii="Arial" w:hAnsi="Arial" w:cs="Arial"/>
          <w:sz w:val="22"/>
          <w:szCs w:val="22"/>
          <w:lang w:val="fr-FR"/>
        </w:rPr>
        <w:t>ait</w:t>
      </w:r>
      <w:r w:rsidRPr="00B21CE2">
        <w:rPr>
          <w:rFonts w:ascii="Arial" w:hAnsi="Arial" w:cs="Arial"/>
          <w:sz w:val="22"/>
          <w:szCs w:val="22"/>
          <w:lang w:val="fr-FR"/>
        </w:rPr>
        <w:t>, c</w:t>
      </w:r>
      <w:r w:rsidR="008E532B">
        <w:rPr>
          <w:rFonts w:ascii="Arial" w:hAnsi="Arial" w:cs="Arial"/>
          <w:sz w:val="22"/>
          <w:szCs w:val="22"/>
          <w:lang w:val="fr-FR"/>
        </w:rPr>
        <w:t>’</w:t>
      </w:r>
      <w:r>
        <w:rPr>
          <w:rFonts w:ascii="Arial" w:hAnsi="Arial" w:cs="Arial"/>
          <w:sz w:val="22"/>
          <w:szCs w:val="22"/>
          <w:lang w:val="fr-FR"/>
        </w:rPr>
        <w:t>était</w:t>
      </w:r>
      <w:r w:rsidRPr="00B21CE2">
        <w:rPr>
          <w:rFonts w:ascii="Arial" w:hAnsi="Arial" w:cs="Arial"/>
          <w:sz w:val="22"/>
          <w:szCs w:val="22"/>
          <w:lang w:val="fr-FR"/>
        </w:rPr>
        <w:t xml:space="preserve"> leur compétence et leur expertise avérées dans les différents domaines du </w:t>
      </w:r>
      <w:r w:rsidR="0064242E">
        <w:rPr>
          <w:rFonts w:ascii="Arial" w:eastAsia="SimSun" w:hAnsi="Arial" w:cs="Arial"/>
          <w:bCs/>
          <w:sz w:val="22"/>
          <w:szCs w:val="22"/>
          <w:lang w:val="fr-FR" w:eastAsia="en-US"/>
        </w:rPr>
        <w:t>patrimoine culturel immatériel</w:t>
      </w:r>
      <w:r w:rsidRPr="00B21CE2">
        <w:rPr>
          <w:rFonts w:ascii="Arial" w:hAnsi="Arial" w:cs="Arial"/>
          <w:sz w:val="22"/>
          <w:szCs w:val="22"/>
          <w:lang w:val="fr-FR"/>
        </w:rPr>
        <w:t xml:space="preserve">. En outre, de nombreuses ONG </w:t>
      </w:r>
      <w:r>
        <w:rPr>
          <w:rFonts w:ascii="Arial" w:hAnsi="Arial" w:cs="Arial"/>
          <w:sz w:val="22"/>
          <w:szCs w:val="22"/>
          <w:lang w:val="fr-FR"/>
        </w:rPr>
        <w:t>avaient</w:t>
      </w:r>
      <w:r w:rsidRPr="00B21CE2">
        <w:rPr>
          <w:rFonts w:ascii="Arial" w:hAnsi="Arial" w:cs="Arial"/>
          <w:sz w:val="22"/>
          <w:szCs w:val="22"/>
          <w:lang w:val="fr-FR"/>
        </w:rPr>
        <w:t xml:space="preserve"> une portée régionale ou internationale et leur </w:t>
      </w:r>
      <w:r>
        <w:rPr>
          <w:rFonts w:ascii="Arial" w:hAnsi="Arial" w:cs="Arial"/>
          <w:sz w:val="22"/>
          <w:szCs w:val="22"/>
          <w:lang w:val="fr-FR"/>
        </w:rPr>
        <w:t xml:space="preserve">domiciliation </w:t>
      </w:r>
      <w:r w:rsidRPr="00B21CE2">
        <w:rPr>
          <w:rFonts w:ascii="Arial" w:hAnsi="Arial" w:cs="Arial"/>
          <w:sz w:val="22"/>
          <w:szCs w:val="22"/>
          <w:lang w:val="fr-FR"/>
        </w:rPr>
        <w:t>ne les li</w:t>
      </w:r>
      <w:r>
        <w:rPr>
          <w:rFonts w:ascii="Arial" w:hAnsi="Arial" w:cs="Arial"/>
          <w:sz w:val="22"/>
          <w:szCs w:val="22"/>
          <w:lang w:val="fr-FR"/>
        </w:rPr>
        <w:t>ait</w:t>
      </w:r>
      <w:r w:rsidRPr="00B21CE2">
        <w:rPr>
          <w:rFonts w:ascii="Arial" w:hAnsi="Arial" w:cs="Arial"/>
          <w:sz w:val="22"/>
          <w:szCs w:val="22"/>
          <w:lang w:val="fr-FR"/>
        </w:rPr>
        <w:t xml:space="preserve"> pas exclusivement à un pays particulier.</w:t>
      </w:r>
    </w:p>
    <w:p w14:paraId="14CD3B13" w14:textId="77CFEB46" w:rsidR="00D9653F" w:rsidRPr="00B21CE2"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B21CE2">
        <w:rPr>
          <w:rFonts w:ascii="Arial" w:hAnsi="Arial" w:cs="Arial"/>
          <w:sz w:val="22"/>
          <w:szCs w:val="22"/>
          <w:lang w:val="fr-FR"/>
        </w:rPr>
        <w:t xml:space="preserve">La délégation </w:t>
      </w:r>
      <w:r>
        <w:rPr>
          <w:rFonts w:ascii="Arial" w:hAnsi="Arial" w:cs="Arial"/>
          <w:sz w:val="22"/>
          <w:szCs w:val="22"/>
          <w:lang w:val="fr-FR"/>
        </w:rPr>
        <w:t xml:space="preserve">de la </w:t>
      </w:r>
      <w:r w:rsidRPr="00B21CE2">
        <w:rPr>
          <w:rFonts w:ascii="Arial" w:hAnsi="Arial" w:cs="Arial"/>
          <w:b/>
          <w:bCs/>
          <w:sz w:val="22"/>
          <w:szCs w:val="22"/>
          <w:lang w:val="fr-FR"/>
        </w:rPr>
        <w:t>Colombie</w:t>
      </w:r>
      <w:r>
        <w:rPr>
          <w:rFonts w:ascii="Arial" w:hAnsi="Arial" w:cs="Arial"/>
          <w:sz w:val="22"/>
          <w:szCs w:val="22"/>
          <w:lang w:val="fr-FR"/>
        </w:rPr>
        <w:t xml:space="preserve">, qui </w:t>
      </w:r>
      <w:r w:rsidRPr="00B21CE2">
        <w:rPr>
          <w:rFonts w:ascii="Arial" w:hAnsi="Arial" w:cs="Arial"/>
          <w:sz w:val="22"/>
          <w:szCs w:val="22"/>
          <w:lang w:val="fr-FR"/>
        </w:rPr>
        <w:t>a</w:t>
      </w:r>
      <w:r>
        <w:rPr>
          <w:rFonts w:ascii="Arial" w:hAnsi="Arial" w:cs="Arial"/>
          <w:sz w:val="22"/>
          <w:szCs w:val="22"/>
          <w:lang w:val="fr-FR"/>
        </w:rPr>
        <w:t>vait</w:t>
      </w:r>
      <w:r w:rsidRPr="00B21CE2">
        <w:rPr>
          <w:rFonts w:ascii="Arial" w:hAnsi="Arial" w:cs="Arial"/>
          <w:sz w:val="22"/>
          <w:szCs w:val="22"/>
          <w:lang w:val="fr-FR"/>
        </w:rPr>
        <w:t xml:space="preserve"> toujours encouragé la participation de la société civile à cette Convention</w:t>
      </w:r>
      <w:r>
        <w:rPr>
          <w:rFonts w:ascii="Arial" w:hAnsi="Arial" w:cs="Arial"/>
          <w:sz w:val="22"/>
          <w:szCs w:val="22"/>
          <w:lang w:val="fr-FR"/>
        </w:rPr>
        <w:t xml:space="preserve">, </w:t>
      </w:r>
      <w:r w:rsidRPr="00B21CE2">
        <w:rPr>
          <w:rFonts w:ascii="Arial" w:hAnsi="Arial" w:cs="Arial"/>
          <w:sz w:val="22"/>
          <w:szCs w:val="22"/>
          <w:lang w:val="fr-FR"/>
        </w:rPr>
        <w:t>estim</w:t>
      </w:r>
      <w:r>
        <w:rPr>
          <w:rFonts w:ascii="Arial" w:hAnsi="Arial" w:cs="Arial"/>
          <w:sz w:val="22"/>
          <w:szCs w:val="22"/>
          <w:lang w:val="fr-FR"/>
        </w:rPr>
        <w:t>ait</w:t>
      </w:r>
      <w:r w:rsidRPr="00B21CE2">
        <w:rPr>
          <w:rFonts w:ascii="Arial" w:hAnsi="Arial" w:cs="Arial"/>
          <w:sz w:val="22"/>
          <w:szCs w:val="22"/>
          <w:lang w:val="fr-FR"/>
        </w:rPr>
        <w:t xml:space="preserve"> que les ONG </w:t>
      </w:r>
      <w:r>
        <w:rPr>
          <w:rFonts w:ascii="Arial" w:hAnsi="Arial" w:cs="Arial"/>
          <w:sz w:val="22"/>
          <w:szCs w:val="22"/>
          <w:lang w:val="fr-FR"/>
        </w:rPr>
        <w:t>étaient</w:t>
      </w:r>
      <w:r w:rsidRPr="00B21CE2">
        <w:rPr>
          <w:rFonts w:ascii="Arial" w:hAnsi="Arial" w:cs="Arial"/>
          <w:sz w:val="22"/>
          <w:szCs w:val="22"/>
          <w:lang w:val="fr-FR"/>
        </w:rPr>
        <w:t xml:space="preserve"> l</w:t>
      </w:r>
      <w:r w:rsidR="008E532B">
        <w:rPr>
          <w:rFonts w:ascii="Arial" w:hAnsi="Arial" w:cs="Arial"/>
          <w:sz w:val="22"/>
          <w:szCs w:val="22"/>
          <w:lang w:val="fr-FR"/>
        </w:rPr>
        <w:t>’</w:t>
      </w:r>
      <w:r w:rsidRPr="00B21CE2">
        <w:rPr>
          <w:rFonts w:ascii="Arial" w:hAnsi="Arial" w:cs="Arial"/>
          <w:sz w:val="22"/>
          <w:szCs w:val="22"/>
          <w:lang w:val="fr-FR"/>
        </w:rPr>
        <w:t>un des v</w:t>
      </w:r>
      <w:r>
        <w:rPr>
          <w:rFonts w:ascii="Arial" w:hAnsi="Arial" w:cs="Arial"/>
          <w:sz w:val="22"/>
          <w:szCs w:val="22"/>
          <w:lang w:val="fr-FR"/>
        </w:rPr>
        <w:t>ecteurs</w:t>
      </w:r>
      <w:r w:rsidRPr="00B21CE2">
        <w:rPr>
          <w:rFonts w:ascii="Arial" w:hAnsi="Arial" w:cs="Arial"/>
          <w:sz w:val="22"/>
          <w:szCs w:val="22"/>
          <w:lang w:val="fr-FR"/>
        </w:rPr>
        <w:t xml:space="preserve"> de cette participation. Toutefois, elle partage</w:t>
      </w:r>
      <w:r>
        <w:rPr>
          <w:rFonts w:ascii="Arial" w:hAnsi="Arial" w:cs="Arial"/>
          <w:sz w:val="22"/>
          <w:szCs w:val="22"/>
          <w:lang w:val="fr-FR"/>
        </w:rPr>
        <w:t>ait</w:t>
      </w:r>
      <w:r w:rsidRPr="00B21CE2">
        <w:rPr>
          <w:rFonts w:ascii="Arial" w:hAnsi="Arial" w:cs="Arial"/>
          <w:sz w:val="22"/>
          <w:szCs w:val="22"/>
          <w:lang w:val="fr-FR"/>
        </w:rPr>
        <w:t xml:space="preserve"> la préoccupation </w:t>
      </w:r>
      <w:r>
        <w:rPr>
          <w:rFonts w:ascii="Arial" w:hAnsi="Arial" w:cs="Arial"/>
          <w:sz w:val="22"/>
          <w:szCs w:val="22"/>
          <w:lang w:val="fr-FR"/>
        </w:rPr>
        <w:t>suscitée par</w:t>
      </w:r>
      <w:r w:rsidRPr="00B21CE2">
        <w:rPr>
          <w:rFonts w:ascii="Arial" w:hAnsi="Arial" w:cs="Arial"/>
          <w:sz w:val="22"/>
          <w:szCs w:val="22"/>
          <w:lang w:val="fr-FR"/>
        </w:rPr>
        <w:t xml:space="preserve"> la question </w:t>
      </w:r>
      <w:r>
        <w:rPr>
          <w:rFonts w:ascii="Arial" w:hAnsi="Arial" w:cs="Arial"/>
          <w:sz w:val="22"/>
          <w:szCs w:val="22"/>
          <w:lang w:val="fr-FR"/>
        </w:rPr>
        <w:t>de</w:t>
      </w:r>
      <w:r w:rsidRPr="00B21CE2">
        <w:rPr>
          <w:rFonts w:ascii="Arial" w:hAnsi="Arial" w:cs="Arial"/>
          <w:sz w:val="22"/>
          <w:szCs w:val="22"/>
          <w:lang w:val="fr-FR"/>
        </w:rPr>
        <w:t xml:space="preserve"> la Palestine selon laquelle les États peuvent avoir des avantages sans avoir d</w:t>
      </w:r>
      <w:r w:rsidR="008E532B">
        <w:rPr>
          <w:rFonts w:ascii="Arial" w:hAnsi="Arial" w:cs="Arial"/>
          <w:sz w:val="22"/>
          <w:szCs w:val="22"/>
          <w:lang w:val="fr-FR"/>
        </w:rPr>
        <w:t>’</w:t>
      </w:r>
      <w:r w:rsidRPr="00B21CE2">
        <w:rPr>
          <w:rFonts w:ascii="Arial" w:hAnsi="Arial" w:cs="Arial"/>
          <w:sz w:val="22"/>
          <w:szCs w:val="22"/>
          <w:lang w:val="fr-FR"/>
        </w:rPr>
        <w:t xml:space="preserve">obligations, </w:t>
      </w:r>
      <w:r>
        <w:rPr>
          <w:rFonts w:ascii="Arial" w:hAnsi="Arial" w:cs="Arial"/>
          <w:sz w:val="22"/>
          <w:szCs w:val="22"/>
          <w:lang w:val="fr-FR"/>
        </w:rPr>
        <w:t xml:space="preserve">question </w:t>
      </w:r>
      <w:r w:rsidRPr="00B21CE2">
        <w:rPr>
          <w:rFonts w:ascii="Arial" w:hAnsi="Arial" w:cs="Arial"/>
          <w:sz w:val="22"/>
          <w:szCs w:val="22"/>
          <w:lang w:val="fr-FR"/>
        </w:rPr>
        <w:t>pour laquelle elle a demandé des éclaircissements. La délégation ne savait pas si des ONG non affiliées à un État partie avaient déjà participé à l</w:t>
      </w:r>
      <w:r w:rsidR="008E532B">
        <w:rPr>
          <w:rFonts w:ascii="Arial" w:hAnsi="Arial" w:cs="Arial"/>
          <w:sz w:val="22"/>
          <w:szCs w:val="22"/>
          <w:lang w:val="fr-FR"/>
        </w:rPr>
        <w:t>’</w:t>
      </w:r>
      <w:r w:rsidRPr="00B21CE2">
        <w:rPr>
          <w:rFonts w:ascii="Arial" w:hAnsi="Arial" w:cs="Arial"/>
          <w:sz w:val="22"/>
          <w:szCs w:val="22"/>
          <w:lang w:val="fr-FR"/>
        </w:rPr>
        <w:t>Organe d</w:t>
      </w:r>
      <w:r w:rsidR="008E532B">
        <w:rPr>
          <w:rFonts w:ascii="Arial" w:hAnsi="Arial" w:cs="Arial"/>
          <w:sz w:val="22"/>
          <w:szCs w:val="22"/>
          <w:lang w:val="fr-FR"/>
        </w:rPr>
        <w:t>’</w:t>
      </w:r>
      <w:r w:rsidRPr="00B21CE2">
        <w:rPr>
          <w:rFonts w:ascii="Arial" w:hAnsi="Arial" w:cs="Arial"/>
          <w:sz w:val="22"/>
          <w:szCs w:val="22"/>
          <w:lang w:val="fr-FR"/>
        </w:rPr>
        <w:t>évaluation. Si tel était le cas, ce serait effectivement problématique, et elle s</w:t>
      </w:r>
      <w:r>
        <w:rPr>
          <w:rFonts w:ascii="Arial" w:hAnsi="Arial" w:cs="Arial"/>
          <w:sz w:val="22"/>
          <w:szCs w:val="22"/>
          <w:lang w:val="fr-FR"/>
        </w:rPr>
        <w:t xml:space="preserve">e </w:t>
      </w:r>
      <w:r w:rsidRPr="00B21CE2">
        <w:rPr>
          <w:rFonts w:ascii="Arial" w:hAnsi="Arial" w:cs="Arial"/>
          <w:sz w:val="22"/>
          <w:szCs w:val="22"/>
          <w:lang w:val="fr-FR"/>
        </w:rPr>
        <w:t>demand</w:t>
      </w:r>
      <w:r>
        <w:rPr>
          <w:rFonts w:ascii="Arial" w:hAnsi="Arial" w:cs="Arial"/>
          <w:sz w:val="22"/>
          <w:szCs w:val="22"/>
          <w:lang w:val="fr-FR"/>
        </w:rPr>
        <w:t>ait</w:t>
      </w:r>
      <w:r w:rsidRPr="00B21CE2">
        <w:rPr>
          <w:rFonts w:ascii="Arial" w:hAnsi="Arial" w:cs="Arial"/>
          <w:sz w:val="22"/>
          <w:szCs w:val="22"/>
          <w:lang w:val="fr-FR"/>
        </w:rPr>
        <w:t xml:space="preserve"> comment le Secrétariat allait gérer une telle situation. La délégation </w:t>
      </w:r>
      <w:r>
        <w:rPr>
          <w:rFonts w:ascii="Arial" w:hAnsi="Arial" w:cs="Arial"/>
          <w:sz w:val="22"/>
          <w:szCs w:val="22"/>
          <w:lang w:val="fr-FR"/>
        </w:rPr>
        <w:t xml:space="preserve">était également préoccupée par </w:t>
      </w:r>
      <w:r w:rsidRPr="00B21CE2">
        <w:rPr>
          <w:rFonts w:ascii="Arial" w:hAnsi="Arial" w:cs="Arial"/>
          <w:sz w:val="22"/>
          <w:szCs w:val="22"/>
          <w:lang w:val="fr-FR"/>
        </w:rPr>
        <w:t xml:space="preserve">la représentation géographique des ONG et </w:t>
      </w:r>
      <w:r>
        <w:rPr>
          <w:rFonts w:ascii="Arial" w:hAnsi="Arial" w:cs="Arial"/>
          <w:sz w:val="22"/>
          <w:szCs w:val="22"/>
          <w:lang w:val="fr-FR"/>
        </w:rPr>
        <w:t xml:space="preserve">par </w:t>
      </w:r>
      <w:r w:rsidRPr="00B21CE2">
        <w:rPr>
          <w:rFonts w:ascii="Arial" w:hAnsi="Arial" w:cs="Arial"/>
          <w:sz w:val="22"/>
          <w:szCs w:val="22"/>
          <w:lang w:val="fr-FR"/>
        </w:rPr>
        <w:t>les critères d</w:t>
      </w:r>
      <w:r w:rsidR="008E532B">
        <w:rPr>
          <w:rFonts w:ascii="Arial" w:hAnsi="Arial" w:cs="Arial"/>
          <w:sz w:val="22"/>
          <w:szCs w:val="22"/>
          <w:lang w:val="fr-FR"/>
        </w:rPr>
        <w:t>’</w:t>
      </w:r>
      <w:r w:rsidRPr="00B21CE2">
        <w:rPr>
          <w:rFonts w:ascii="Arial" w:hAnsi="Arial" w:cs="Arial"/>
          <w:sz w:val="22"/>
          <w:szCs w:val="22"/>
          <w:lang w:val="fr-FR"/>
        </w:rPr>
        <w:t>accréditation. Elle estim</w:t>
      </w:r>
      <w:r>
        <w:rPr>
          <w:rFonts w:ascii="Arial" w:hAnsi="Arial" w:cs="Arial"/>
          <w:sz w:val="22"/>
          <w:szCs w:val="22"/>
          <w:lang w:val="fr-FR"/>
        </w:rPr>
        <w:t xml:space="preserve">ait </w:t>
      </w:r>
      <w:r w:rsidRPr="00B21CE2">
        <w:rPr>
          <w:rFonts w:ascii="Arial" w:hAnsi="Arial" w:cs="Arial"/>
          <w:sz w:val="22"/>
          <w:szCs w:val="22"/>
          <w:lang w:val="fr-FR"/>
        </w:rPr>
        <w:t>qu</w:t>
      </w:r>
      <w:r w:rsidR="008E532B">
        <w:rPr>
          <w:rFonts w:ascii="Arial" w:hAnsi="Arial" w:cs="Arial"/>
          <w:sz w:val="22"/>
          <w:szCs w:val="22"/>
          <w:lang w:val="fr-FR"/>
        </w:rPr>
        <w:t>’</w:t>
      </w:r>
      <w:r w:rsidRPr="00B21CE2">
        <w:rPr>
          <w:rFonts w:ascii="Arial" w:hAnsi="Arial" w:cs="Arial"/>
          <w:sz w:val="22"/>
          <w:szCs w:val="22"/>
          <w:lang w:val="fr-FR"/>
        </w:rPr>
        <w:t>ils devraient être plus rigoureux, comme l</w:t>
      </w:r>
      <w:r w:rsidR="008E532B">
        <w:rPr>
          <w:rFonts w:ascii="Arial" w:hAnsi="Arial" w:cs="Arial"/>
          <w:sz w:val="22"/>
          <w:szCs w:val="22"/>
          <w:lang w:val="fr-FR"/>
        </w:rPr>
        <w:t>’</w:t>
      </w:r>
      <w:r w:rsidRPr="00B21CE2">
        <w:rPr>
          <w:rFonts w:ascii="Arial" w:hAnsi="Arial" w:cs="Arial"/>
          <w:sz w:val="22"/>
          <w:szCs w:val="22"/>
          <w:lang w:val="fr-FR"/>
        </w:rPr>
        <w:t>a</w:t>
      </w:r>
      <w:r>
        <w:rPr>
          <w:rFonts w:ascii="Arial" w:hAnsi="Arial" w:cs="Arial"/>
          <w:sz w:val="22"/>
          <w:szCs w:val="22"/>
          <w:lang w:val="fr-FR"/>
        </w:rPr>
        <w:t>vait</w:t>
      </w:r>
      <w:r w:rsidRPr="00B21CE2">
        <w:rPr>
          <w:rFonts w:ascii="Arial" w:hAnsi="Arial" w:cs="Arial"/>
          <w:sz w:val="22"/>
          <w:szCs w:val="22"/>
          <w:lang w:val="fr-FR"/>
        </w:rPr>
        <w:t xml:space="preserve"> déclaré le Mexique, et qu</w:t>
      </w:r>
      <w:r w:rsidR="008E532B">
        <w:rPr>
          <w:rFonts w:ascii="Arial" w:hAnsi="Arial" w:cs="Arial"/>
          <w:sz w:val="22"/>
          <w:szCs w:val="22"/>
          <w:lang w:val="fr-FR"/>
        </w:rPr>
        <w:t>’</w:t>
      </w:r>
      <w:r>
        <w:rPr>
          <w:rFonts w:ascii="Arial" w:hAnsi="Arial" w:cs="Arial"/>
          <w:sz w:val="22"/>
          <w:szCs w:val="22"/>
          <w:lang w:val="fr-FR"/>
        </w:rPr>
        <w:t>un travail</w:t>
      </w:r>
      <w:r w:rsidRPr="00B21CE2">
        <w:rPr>
          <w:rFonts w:ascii="Arial" w:hAnsi="Arial" w:cs="Arial"/>
          <w:sz w:val="22"/>
          <w:szCs w:val="22"/>
          <w:lang w:val="fr-FR"/>
        </w:rPr>
        <w:t xml:space="preserve"> </w:t>
      </w:r>
      <w:r>
        <w:rPr>
          <w:rFonts w:ascii="Arial" w:hAnsi="Arial" w:cs="Arial"/>
          <w:sz w:val="22"/>
          <w:szCs w:val="22"/>
          <w:lang w:val="fr-FR"/>
        </w:rPr>
        <w:t xml:space="preserve">plus approfondi </w:t>
      </w:r>
      <w:r w:rsidRPr="00B21CE2">
        <w:rPr>
          <w:rFonts w:ascii="Arial" w:hAnsi="Arial" w:cs="Arial"/>
          <w:sz w:val="22"/>
          <w:szCs w:val="22"/>
          <w:lang w:val="fr-FR"/>
        </w:rPr>
        <w:t xml:space="preserve">devrait être </w:t>
      </w:r>
      <w:r>
        <w:rPr>
          <w:rFonts w:ascii="Arial" w:hAnsi="Arial" w:cs="Arial"/>
          <w:sz w:val="22"/>
          <w:szCs w:val="22"/>
          <w:lang w:val="fr-FR"/>
        </w:rPr>
        <w:t>entrepris</w:t>
      </w:r>
      <w:r w:rsidRPr="00B21CE2">
        <w:rPr>
          <w:rFonts w:ascii="Arial" w:hAnsi="Arial" w:cs="Arial"/>
          <w:sz w:val="22"/>
          <w:szCs w:val="22"/>
          <w:lang w:val="fr-FR"/>
        </w:rPr>
        <w:t xml:space="preserve"> sur cette question</w:t>
      </w:r>
      <w:r>
        <w:rPr>
          <w:rFonts w:ascii="Arial" w:hAnsi="Arial" w:cs="Arial"/>
          <w:sz w:val="22"/>
          <w:szCs w:val="22"/>
          <w:lang w:val="fr-FR"/>
        </w:rPr>
        <w:t xml:space="preserve"> avec le </w:t>
      </w:r>
      <w:r w:rsidRPr="00D75F76">
        <w:rPr>
          <w:rFonts w:ascii="Arial" w:hAnsi="Arial" w:cs="Arial"/>
          <w:sz w:val="22"/>
          <w:szCs w:val="22"/>
          <w:lang w:val="fr-FR"/>
        </w:rPr>
        <w:t>Secréta</w:t>
      </w:r>
      <w:r>
        <w:rPr>
          <w:rFonts w:ascii="Arial" w:hAnsi="Arial" w:cs="Arial"/>
          <w:sz w:val="22"/>
          <w:szCs w:val="22"/>
          <w:lang w:val="fr-FR"/>
        </w:rPr>
        <w:t>riat</w:t>
      </w:r>
      <w:r w:rsidRPr="00B21CE2">
        <w:rPr>
          <w:rFonts w:ascii="Arial" w:hAnsi="Arial" w:cs="Arial"/>
          <w:sz w:val="22"/>
          <w:szCs w:val="22"/>
          <w:lang w:val="fr-FR"/>
        </w:rPr>
        <w:t>. La délégation a également rappelé qu</w:t>
      </w:r>
      <w:r w:rsidR="008E532B">
        <w:rPr>
          <w:rFonts w:ascii="Arial" w:hAnsi="Arial" w:cs="Arial"/>
          <w:sz w:val="22"/>
          <w:szCs w:val="22"/>
          <w:lang w:val="fr-FR"/>
        </w:rPr>
        <w:t>’</w:t>
      </w:r>
      <w:r w:rsidRPr="00B21CE2">
        <w:rPr>
          <w:rFonts w:ascii="Arial" w:hAnsi="Arial" w:cs="Arial"/>
          <w:sz w:val="22"/>
          <w:szCs w:val="22"/>
          <w:lang w:val="fr-FR"/>
        </w:rPr>
        <w:t>il avait été dit que les ONG étaient nombreuses et que leur rôle n</w:t>
      </w:r>
      <w:r w:rsidR="008E532B">
        <w:rPr>
          <w:rFonts w:ascii="Arial" w:hAnsi="Arial" w:cs="Arial"/>
          <w:sz w:val="22"/>
          <w:szCs w:val="22"/>
          <w:lang w:val="fr-FR"/>
        </w:rPr>
        <w:t>’</w:t>
      </w:r>
      <w:r w:rsidRPr="00B21CE2">
        <w:rPr>
          <w:rFonts w:ascii="Arial" w:hAnsi="Arial" w:cs="Arial"/>
          <w:sz w:val="22"/>
          <w:szCs w:val="22"/>
          <w:lang w:val="fr-FR"/>
        </w:rPr>
        <w:t>était pas toujours clair. Ainsi, si l</w:t>
      </w:r>
      <w:r w:rsidR="008E532B">
        <w:rPr>
          <w:rFonts w:ascii="Arial" w:hAnsi="Arial" w:cs="Arial"/>
          <w:sz w:val="22"/>
          <w:szCs w:val="22"/>
          <w:lang w:val="fr-FR"/>
        </w:rPr>
        <w:t>’</w:t>
      </w:r>
      <w:r w:rsidRPr="00B21CE2">
        <w:rPr>
          <w:rFonts w:ascii="Arial" w:hAnsi="Arial" w:cs="Arial"/>
          <w:sz w:val="22"/>
          <w:szCs w:val="22"/>
          <w:lang w:val="fr-FR"/>
        </w:rPr>
        <w:t>Assemblée n</w:t>
      </w:r>
      <w:r w:rsidR="008E532B">
        <w:rPr>
          <w:rFonts w:ascii="Arial" w:hAnsi="Arial" w:cs="Arial"/>
          <w:sz w:val="22"/>
          <w:szCs w:val="22"/>
          <w:lang w:val="fr-FR"/>
        </w:rPr>
        <w:t>’</w:t>
      </w:r>
      <w:r w:rsidRPr="00B21CE2">
        <w:rPr>
          <w:rFonts w:ascii="Arial" w:hAnsi="Arial" w:cs="Arial"/>
          <w:sz w:val="22"/>
          <w:szCs w:val="22"/>
          <w:lang w:val="fr-FR"/>
        </w:rPr>
        <w:t>était pas plus rigoureuse, l</w:t>
      </w:r>
      <w:r w:rsidR="008E532B">
        <w:rPr>
          <w:rFonts w:ascii="Arial" w:hAnsi="Arial" w:cs="Arial"/>
          <w:sz w:val="22"/>
          <w:szCs w:val="22"/>
          <w:lang w:val="fr-FR"/>
        </w:rPr>
        <w:t>’</w:t>
      </w:r>
      <w:r w:rsidRPr="00B21CE2">
        <w:rPr>
          <w:rFonts w:ascii="Arial" w:hAnsi="Arial" w:cs="Arial"/>
          <w:sz w:val="22"/>
          <w:szCs w:val="22"/>
          <w:lang w:val="fr-FR"/>
        </w:rPr>
        <w:t>accréditation d</w:t>
      </w:r>
      <w:r w:rsidR="008E532B">
        <w:rPr>
          <w:rFonts w:ascii="Arial" w:hAnsi="Arial" w:cs="Arial"/>
          <w:sz w:val="22"/>
          <w:szCs w:val="22"/>
          <w:lang w:val="fr-FR"/>
        </w:rPr>
        <w:t>’</w:t>
      </w:r>
      <w:r>
        <w:rPr>
          <w:rFonts w:ascii="Arial" w:hAnsi="Arial" w:cs="Arial"/>
          <w:sz w:val="22"/>
          <w:szCs w:val="22"/>
          <w:lang w:val="fr-FR"/>
        </w:rPr>
        <w:t>un nombre encore</w:t>
      </w:r>
      <w:r w:rsidRPr="00B21CE2">
        <w:rPr>
          <w:rFonts w:ascii="Arial" w:hAnsi="Arial" w:cs="Arial"/>
          <w:sz w:val="22"/>
          <w:szCs w:val="22"/>
          <w:lang w:val="fr-FR"/>
        </w:rPr>
        <w:t xml:space="preserve"> plus </w:t>
      </w:r>
      <w:r>
        <w:rPr>
          <w:rFonts w:ascii="Arial" w:hAnsi="Arial" w:cs="Arial"/>
          <w:sz w:val="22"/>
          <w:szCs w:val="22"/>
          <w:lang w:val="fr-FR"/>
        </w:rPr>
        <w:t xml:space="preserve">grand </w:t>
      </w:r>
      <w:r w:rsidRPr="00B21CE2">
        <w:rPr>
          <w:rFonts w:ascii="Arial" w:hAnsi="Arial" w:cs="Arial"/>
          <w:sz w:val="22"/>
          <w:szCs w:val="22"/>
          <w:lang w:val="fr-FR"/>
        </w:rPr>
        <w:t>d</w:t>
      </w:r>
      <w:r w:rsidR="008E532B">
        <w:rPr>
          <w:rFonts w:ascii="Arial" w:hAnsi="Arial" w:cs="Arial"/>
          <w:sz w:val="22"/>
          <w:szCs w:val="22"/>
          <w:lang w:val="fr-FR"/>
        </w:rPr>
        <w:t>’</w:t>
      </w:r>
      <w:r w:rsidRPr="00B21CE2">
        <w:rPr>
          <w:rFonts w:ascii="Arial" w:hAnsi="Arial" w:cs="Arial"/>
          <w:sz w:val="22"/>
          <w:szCs w:val="22"/>
          <w:lang w:val="fr-FR"/>
        </w:rPr>
        <w:t>ONG ne ferait qu</w:t>
      </w:r>
      <w:r w:rsidR="008E532B">
        <w:rPr>
          <w:rFonts w:ascii="Arial" w:hAnsi="Arial" w:cs="Arial"/>
          <w:sz w:val="22"/>
          <w:szCs w:val="22"/>
          <w:lang w:val="fr-FR"/>
        </w:rPr>
        <w:t>’</w:t>
      </w:r>
      <w:r w:rsidRPr="00B21CE2">
        <w:rPr>
          <w:rFonts w:ascii="Arial" w:hAnsi="Arial" w:cs="Arial"/>
          <w:sz w:val="22"/>
          <w:szCs w:val="22"/>
          <w:lang w:val="fr-FR"/>
        </w:rPr>
        <w:t>aggraver ce problème. D</w:t>
      </w:r>
      <w:r w:rsidR="008E532B">
        <w:rPr>
          <w:rFonts w:ascii="Arial" w:hAnsi="Arial" w:cs="Arial"/>
          <w:sz w:val="22"/>
          <w:szCs w:val="22"/>
          <w:lang w:val="fr-FR"/>
        </w:rPr>
        <w:t>’</w:t>
      </w:r>
      <w:r w:rsidRPr="00B21CE2">
        <w:rPr>
          <w:rFonts w:ascii="Arial" w:hAnsi="Arial" w:cs="Arial"/>
          <w:sz w:val="22"/>
          <w:szCs w:val="22"/>
          <w:lang w:val="fr-FR"/>
        </w:rPr>
        <w:t>où l</w:t>
      </w:r>
      <w:r>
        <w:rPr>
          <w:rFonts w:ascii="Arial" w:hAnsi="Arial" w:cs="Arial"/>
          <w:sz w:val="22"/>
          <w:szCs w:val="22"/>
          <w:lang w:val="fr-FR"/>
        </w:rPr>
        <w:t xml:space="preserve">a volonté </w:t>
      </w:r>
      <w:r w:rsidRPr="00B21CE2">
        <w:rPr>
          <w:rFonts w:ascii="Arial" w:hAnsi="Arial" w:cs="Arial"/>
          <w:sz w:val="22"/>
          <w:szCs w:val="22"/>
          <w:lang w:val="fr-FR"/>
        </w:rPr>
        <w:t>de prudence de la délégation en ce qui concerne la révision des critères.</w:t>
      </w:r>
    </w:p>
    <w:p w14:paraId="2060086B" w14:textId="1B3450E0" w:rsidR="00D9653F" w:rsidRPr="00D75F76"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D75F76">
        <w:rPr>
          <w:rFonts w:ascii="Arial" w:hAnsi="Arial" w:cs="Arial"/>
          <w:sz w:val="22"/>
          <w:szCs w:val="22"/>
          <w:lang w:val="fr-FR"/>
        </w:rPr>
        <w:t xml:space="preserve">La délégation de la </w:t>
      </w:r>
      <w:r w:rsidRPr="00D75F76">
        <w:rPr>
          <w:rFonts w:ascii="Arial" w:hAnsi="Arial" w:cs="Arial"/>
          <w:b/>
          <w:bCs/>
          <w:sz w:val="22"/>
          <w:szCs w:val="22"/>
          <w:lang w:val="fr-FR"/>
        </w:rPr>
        <w:t>Zambie</w:t>
      </w:r>
      <w:r w:rsidRPr="00D75F76">
        <w:rPr>
          <w:rFonts w:ascii="Arial" w:hAnsi="Arial" w:cs="Arial"/>
          <w:sz w:val="22"/>
          <w:szCs w:val="22"/>
          <w:lang w:val="fr-FR"/>
        </w:rPr>
        <w:t xml:space="preserve"> a félicité la Présidente pour son élection, ajoutant qu</w:t>
      </w:r>
      <w:r w:rsidR="008E532B">
        <w:rPr>
          <w:rFonts w:ascii="Arial" w:hAnsi="Arial" w:cs="Arial"/>
          <w:sz w:val="22"/>
          <w:szCs w:val="22"/>
          <w:lang w:val="fr-FR"/>
        </w:rPr>
        <w:t>’</w:t>
      </w:r>
      <w:r w:rsidRPr="00D75F76">
        <w:rPr>
          <w:rFonts w:ascii="Arial" w:hAnsi="Arial" w:cs="Arial"/>
          <w:sz w:val="22"/>
          <w:szCs w:val="22"/>
          <w:lang w:val="fr-FR"/>
        </w:rPr>
        <w:t xml:space="preserve">il </w:t>
      </w:r>
      <w:r>
        <w:rPr>
          <w:rFonts w:ascii="Arial" w:hAnsi="Arial" w:cs="Arial"/>
          <w:sz w:val="22"/>
          <w:szCs w:val="22"/>
          <w:lang w:val="fr-FR"/>
        </w:rPr>
        <w:t xml:space="preserve">était </w:t>
      </w:r>
      <w:r w:rsidRPr="00D75F76">
        <w:rPr>
          <w:rFonts w:ascii="Arial" w:hAnsi="Arial" w:cs="Arial"/>
          <w:sz w:val="22"/>
          <w:szCs w:val="22"/>
          <w:lang w:val="fr-FR"/>
        </w:rPr>
        <w:t>effectivement très important d</w:t>
      </w:r>
      <w:r w:rsidR="008E532B">
        <w:rPr>
          <w:rFonts w:ascii="Arial" w:hAnsi="Arial" w:cs="Arial"/>
          <w:sz w:val="22"/>
          <w:szCs w:val="22"/>
          <w:lang w:val="fr-FR"/>
        </w:rPr>
        <w:t>’</w:t>
      </w:r>
      <w:r w:rsidRPr="00D75F76">
        <w:rPr>
          <w:rFonts w:ascii="Arial" w:hAnsi="Arial" w:cs="Arial"/>
          <w:sz w:val="22"/>
          <w:szCs w:val="22"/>
          <w:lang w:val="fr-FR"/>
        </w:rPr>
        <w:t>impliquer les ONG et que cette question concern</w:t>
      </w:r>
      <w:r>
        <w:rPr>
          <w:rFonts w:ascii="Arial" w:hAnsi="Arial" w:cs="Arial"/>
          <w:sz w:val="22"/>
          <w:szCs w:val="22"/>
          <w:lang w:val="fr-FR"/>
        </w:rPr>
        <w:t>ait</w:t>
      </w:r>
      <w:r w:rsidRPr="00D75F76">
        <w:rPr>
          <w:rFonts w:ascii="Arial" w:hAnsi="Arial" w:cs="Arial"/>
          <w:sz w:val="22"/>
          <w:szCs w:val="22"/>
          <w:lang w:val="fr-FR"/>
        </w:rPr>
        <w:t xml:space="preserve"> spécifiquement les ONG locales, même si </w:t>
      </w:r>
      <w:r>
        <w:rPr>
          <w:rFonts w:ascii="Arial" w:hAnsi="Arial" w:cs="Arial"/>
          <w:sz w:val="22"/>
          <w:szCs w:val="22"/>
          <w:lang w:val="fr-FR"/>
        </w:rPr>
        <w:t xml:space="preserve">on pouvait se féliciter pleinement de </w:t>
      </w:r>
      <w:r w:rsidRPr="00D75F76">
        <w:rPr>
          <w:rFonts w:ascii="Arial" w:hAnsi="Arial" w:cs="Arial"/>
          <w:sz w:val="22"/>
          <w:szCs w:val="22"/>
          <w:lang w:val="fr-FR"/>
        </w:rPr>
        <w:t>l</w:t>
      </w:r>
      <w:r w:rsidR="008E532B">
        <w:rPr>
          <w:rFonts w:ascii="Arial" w:hAnsi="Arial" w:cs="Arial"/>
          <w:sz w:val="22"/>
          <w:szCs w:val="22"/>
          <w:lang w:val="fr-FR"/>
        </w:rPr>
        <w:t>’</w:t>
      </w:r>
      <w:r w:rsidRPr="00D75F76">
        <w:rPr>
          <w:rFonts w:ascii="Arial" w:hAnsi="Arial" w:cs="Arial"/>
          <w:sz w:val="22"/>
          <w:szCs w:val="22"/>
          <w:lang w:val="fr-FR"/>
        </w:rPr>
        <w:t xml:space="preserve">importance des ONG internationales. En effet,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Pr>
          <w:rFonts w:ascii="Arial" w:hAnsi="Arial" w:cs="Arial"/>
          <w:sz w:val="22"/>
          <w:szCs w:val="22"/>
          <w:lang w:val="fr-FR"/>
        </w:rPr>
        <w:t>était</w:t>
      </w:r>
      <w:r w:rsidRPr="00D75F76">
        <w:rPr>
          <w:rFonts w:ascii="Arial" w:hAnsi="Arial" w:cs="Arial"/>
          <w:sz w:val="22"/>
          <w:szCs w:val="22"/>
          <w:lang w:val="fr-FR"/>
        </w:rPr>
        <w:t xml:space="preserve"> mieux compris par les ONG locales, tandis que les ONG internationales p</w:t>
      </w:r>
      <w:r>
        <w:rPr>
          <w:rFonts w:ascii="Arial" w:hAnsi="Arial" w:cs="Arial"/>
          <w:sz w:val="22"/>
          <w:szCs w:val="22"/>
          <w:lang w:val="fr-FR"/>
        </w:rPr>
        <w:t xml:space="preserve">ouvaient </w:t>
      </w:r>
      <w:r w:rsidRPr="00D75F76">
        <w:rPr>
          <w:rFonts w:ascii="Arial" w:hAnsi="Arial" w:cs="Arial"/>
          <w:sz w:val="22"/>
          <w:szCs w:val="22"/>
          <w:lang w:val="fr-FR"/>
        </w:rPr>
        <w:t xml:space="preserve">intervenir et </w:t>
      </w:r>
      <w:r>
        <w:rPr>
          <w:rFonts w:ascii="Arial" w:hAnsi="Arial" w:cs="Arial"/>
          <w:sz w:val="22"/>
          <w:szCs w:val="22"/>
          <w:lang w:val="fr-FR"/>
        </w:rPr>
        <w:t xml:space="preserve">accorder </w:t>
      </w:r>
      <w:r w:rsidRPr="00D75F76">
        <w:rPr>
          <w:rFonts w:ascii="Arial" w:hAnsi="Arial" w:cs="Arial"/>
          <w:sz w:val="22"/>
          <w:szCs w:val="22"/>
          <w:lang w:val="fr-FR"/>
        </w:rPr>
        <w:t xml:space="preserve">un soutien technique ou tout autre soutien qui pourrait </w:t>
      </w:r>
      <w:r>
        <w:rPr>
          <w:rFonts w:ascii="Arial" w:hAnsi="Arial" w:cs="Arial"/>
          <w:sz w:val="22"/>
          <w:szCs w:val="22"/>
          <w:lang w:val="fr-FR"/>
        </w:rPr>
        <w:t>s</w:t>
      </w:r>
      <w:r w:rsidR="008E532B">
        <w:rPr>
          <w:rFonts w:ascii="Arial" w:hAnsi="Arial" w:cs="Arial"/>
          <w:sz w:val="22"/>
          <w:szCs w:val="22"/>
          <w:lang w:val="fr-FR"/>
        </w:rPr>
        <w:t>’</w:t>
      </w:r>
      <w:r>
        <w:rPr>
          <w:rFonts w:ascii="Arial" w:hAnsi="Arial" w:cs="Arial"/>
          <w:sz w:val="22"/>
          <w:szCs w:val="22"/>
          <w:lang w:val="fr-FR"/>
        </w:rPr>
        <w:t>avérer</w:t>
      </w:r>
      <w:r w:rsidRPr="00D75F76">
        <w:rPr>
          <w:rFonts w:ascii="Arial" w:hAnsi="Arial" w:cs="Arial"/>
          <w:sz w:val="22"/>
          <w:szCs w:val="22"/>
          <w:lang w:val="fr-FR"/>
        </w:rPr>
        <w:t xml:space="preserve"> nécessaire. Ainsi, la participation des ONG </w:t>
      </w:r>
      <w:r>
        <w:rPr>
          <w:rFonts w:ascii="Arial" w:hAnsi="Arial" w:cs="Arial"/>
          <w:sz w:val="22"/>
          <w:szCs w:val="22"/>
          <w:lang w:val="fr-FR"/>
        </w:rPr>
        <w:t>était</w:t>
      </w:r>
      <w:r w:rsidRPr="00D75F76">
        <w:rPr>
          <w:rFonts w:ascii="Arial" w:hAnsi="Arial" w:cs="Arial"/>
          <w:sz w:val="22"/>
          <w:szCs w:val="22"/>
          <w:lang w:val="fr-FR"/>
        </w:rPr>
        <w:t xml:space="preserve"> très importante </w:t>
      </w:r>
      <w:r w:rsidR="00BA6601">
        <w:rPr>
          <w:rFonts w:ascii="Arial" w:hAnsi="Arial" w:cs="Arial"/>
          <w:sz w:val="22"/>
          <w:szCs w:val="22"/>
          <w:lang w:val="fr-FR"/>
        </w:rPr>
        <w:t>pour</w:t>
      </w:r>
      <w:r w:rsidRPr="00D75F76">
        <w:rPr>
          <w:rFonts w:ascii="Arial" w:hAnsi="Arial" w:cs="Arial"/>
          <w:sz w:val="22"/>
          <w:szCs w:val="22"/>
          <w:lang w:val="fr-FR"/>
        </w:rPr>
        <w:t xml:space="preserve"> progresser dans le domaine du </w:t>
      </w:r>
      <w:r w:rsidR="0064242E">
        <w:rPr>
          <w:rFonts w:ascii="Arial" w:eastAsia="SimSun" w:hAnsi="Arial" w:cs="Arial"/>
          <w:bCs/>
          <w:sz w:val="22"/>
          <w:szCs w:val="22"/>
          <w:lang w:val="fr-FR" w:eastAsia="en-US"/>
        </w:rPr>
        <w:t>patrimoine culturel immatériel</w:t>
      </w:r>
      <w:r w:rsidRPr="00D75F76">
        <w:rPr>
          <w:rFonts w:ascii="Arial" w:hAnsi="Arial" w:cs="Arial"/>
          <w:sz w:val="22"/>
          <w:szCs w:val="22"/>
          <w:lang w:val="fr-FR"/>
        </w:rPr>
        <w:t>, en particulier les ONG locales</w:t>
      </w:r>
      <w:r>
        <w:rPr>
          <w:rFonts w:ascii="Arial" w:hAnsi="Arial" w:cs="Arial"/>
          <w:sz w:val="22"/>
          <w:szCs w:val="22"/>
          <w:lang w:val="fr-FR"/>
        </w:rPr>
        <w:t xml:space="preserve">, créatrices </w:t>
      </w:r>
      <w:r w:rsidRPr="00D75F76">
        <w:rPr>
          <w:rFonts w:ascii="Arial" w:hAnsi="Arial" w:cs="Arial"/>
          <w:sz w:val="22"/>
          <w:szCs w:val="22"/>
          <w:lang w:val="fr-FR"/>
        </w:rPr>
        <w:t>de liens et de synergies.</w:t>
      </w:r>
    </w:p>
    <w:p w14:paraId="1F2FB369" w14:textId="6AFDD1DF" w:rsidR="00D9653F" w:rsidRPr="00BD3525"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BD3525">
        <w:rPr>
          <w:rFonts w:ascii="Arial" w:hAnsi="Arial" w:cs="Arial"/>
          <w:sz w:val="22"/>
          <w:szCs w:val="22"/>
          <w:lang w:val="fr-FR"/>
        </w:rPr>
        <w:t xml:space="preserve">La délégation des </w:t>
      </w:r>
      <w:r w:rsidRPr="00BD3525">
        <w:rPr>
          <w:rFonts w:ascii="Arial" w:hAnsi="Arial" w:cs="Arial"/>
          <w:b/>
          <w:bCs/>
          <w:sz w:val="22"/>
          <w:szCs w:val="22"/>
          <w:lang w:val="fr-FR"/>
        </w:rPr>
        <w:t>Pays-Bas</w:t>
      </w:r>
      <w:r w:rsidRPr="00BD3525">
        <w:rPr>
          <w:rFonts w:ascii="Arial" w:hAnsi="Arial" w:cs="Arial"/>
          <w:sz w:val="22"/>
          <w:szCs w:val="22"/>
          <w:lang w:val="fr-FR"/>
        </w:rPr>
        <w:t xml:space="preserve"> </w:t>
      </w:r>
      <w:r>
        <w:rPr>
          <w:rFonts w:ascii="Arial" w:hAnsi="Arial" w:cs="Arial"/>
          <w:sz w:val="22"/>
          <w:szCs w:val="22"/>
          <w:lang w:val="fr-FR"/>
        </w:rPr>
        <w:t>a repris à son compte l</w:t>
      </w:r>
      <w:r w:rsidRPr="00BD3525">
        <w:rPr>
          <w:rFonts w:ascii="Arial" w:hAnsi="Arial" w:cs="Arial"/>
          <w:sz w:val="22"/>
          <w:szCs w:val="22"/>
          <w:lang w:val="fr-FR"/>
        </w:rPr>
        <w:t>es déclarations de l</w:t>
      </w:r>
      <w:r w:rsidR="008E532B">
        <w:rPr>
          <w:rFonts w:ascii="Arial" w:hAnsi="Arial" w:cs="Arial"/>
          <w:sz w:val="22"/>
          <w:szCs w:val="22"/>
          <w:lang w:val="fr-FR"/>
        </w:rPr>
        <w:t>’</w:t>
      </w:r>
      <w:r w:rsidRPr="00BD3525">
        <w:rPr>
          <w:rFonts w:ascii="Arial" w:hAnsi="Arial" w:cs="Arial"/>
          <w:sz w:val="22"/>
          <w:szCs w:val="22"/>
          <w:lang w:val="fr-FR"/>
        </w:rPr>
        <w:t xml:space="preserve">Autriche, de la </w:t>
      </w:r>
      <w:r>
        <w:rPr>
          <w:rFonts w:ascii="Arial" w:hAnsi="Arial" w:cs="Arial"/>
          <w:sz w:val="22"/>
          <w:szCs w:val="22"/>
          <w:lang w:val="fr-FR"/>
        </w:rPr>
        <w:t>T</w:t>
      </w:r>
      <w:r w:rsidRPr="00BD3525">
        <w:rPr>
          <w:rFonts w:ascii="Arial" w:hAnsi="Arial" w:cs="Arial"/>
          <w:sz w:val="22"/>
          <w:szCs w:val="22"/>
          <w:lang w:val="fr-FR"/>
        </w:rPr>
        <w:t>ch</w:t>
      </w:r>
      <w:r>
        <w:rPr>
          <w:rFonts w:ascii="Arial" w:hAnsi="Arial" w:cs="Arial"/>
          <w:sz w:val="22"/>
          <w:szCs w:val="22"/>
          <w:lang w:val="fr-FR"/>
        </w:rPr>
        <w:t>é</w:t>
      </w:r>
      <w:r w:rsidRPr="00BD3525">
        <w:rPr>
          <w:rFonts w:ascii="Arial" w:hAnsi="Arial" w:cs="Arial"/>
          <w:sz w:val="22"/>
          <w:szCs w:val="22"/>
          <w:lang w:val="fr-FR"/>
        </w:rPr>
        <w:t>qu</w:t>
      </w:r>
      <w:r>
        <w:rPr>
          <w:rFonts w:ascii="Arial" w:hAnsi="Arial" w:cs="Arial"/>
          <w:sz w:val="22"/>
          <w:szCs w:val="22"/>
          <w:lang w:val="fr-FR"/>
        </w:rPr>
        <w:t>i</w:t>
      </w:r>
      <w:r w:rsidRPr="00BD3525">
        <w:rPr>
          <w:rFonts w:ascii="Arial" w:hAnsi="Arial" w:cs="Arial"/>
          <w:sz w:val="22"/>
          <w:szCs w:val="22"/>
          <w:lang w:val="fr-FR"/>
        </w:rPr>
        <w:t>e, de la Grèce et de l</w:t>
      </w:r>
      <w:r w:rsidR="008E532B">
        <w:rPr>
          <w:rFonts w:ascii="Arial" w:hAnsi="Arial" w:cs="Arial"/>
          <w:sz w:val="22"/>
          <w:szCs w:val="22"/>
          <w:lang w:val="fr-FR"/>
        </w:rPr>
        <w:t>’</w:t>
      </w:r>
      <w:r w:rsidRPr="00BD3525">
        <w:rPr>
          <w:rFonts w:ascii="Arial" w:hAnsi="Arial" w:cs="Arial"/>
          <w:sz w:val="22"/>
          <w:szCs w:val="22"/>
          <w:lang w:val="fr-FR"/>
        </w:rPr>
        <w:t>Estonie. Elle a</w:t>
      </w:r>
      <w:r>
        <w:rPr>
          <w:rFonts w:ascii="Arial" w:hAnsi="Arial" w:cs="Arial"/>
          <w:sz w:val="22"/>
          <w:szCs w:val="22"/>
          <w:lang w:val="fr-FR"/>
        </w:rPr>
        <w:t>vait</w:t>
      </w:r>
      <w:r w:rsidRPr="00BD3525">
        <w:rPr>
          <w:rFonts w:ascii="Arial" w:hAnsi="Arial" w:cs="Arial"/>
          <w:sz w:val="22"/>
          <w:szCs w:val="22"/>
          <w:lang w:val="fr-FR"/>
        </w:rPr>
        <w:t xml:space="preserve"> toujours soutenu et continuera</w:t>
      </w:r>
      <w:r>
        <w:rPr>
          <w:rFonts w:ascii="Arial" w:hAnsi="Arial" w:cs="Arial"/>
          <w:sz w:val="22"/>
          <w:szCs w:val="22"/>
          <w:lang w:val="fr-FR"/>
        </w:rPr>
        <w:t>it</w:t>
      </w:r>
      <w:r w:rsidRPr="00BD3525">
        <w:rPr>
          <w:rFonts w:ascii="Arial" w:hAnsi="Arial" w:cs="Arial"/>
          <w:sz w:val="22"/>
          <w:szCs w:val="22"/>
          <w:lang w:val="fr-FR"/>
        </w:rPr>
        <w:t xml:space="preserve"> </w:t>
      </w:r>
      <w:r>
        <w:rPr>
          <w:rFonts w:ascii="Arial" w:hAnsi="Arial" w:cs="Arial"/>
          <w:sz w:val="22"/>
          <w:szCs w:val="22"/>
          <w:lang w:val="fr-FR"/>
        </w:rPr>
        <w:t>de</w:t>
      </w:r>
      <w:r w:rsidRPr="00BD3525">
        <w:rPr>
          <w:rFonts w:ascii="Arial" w:hAnsi="Arial" w:cs="Arial"/>
          <w:sz w:val="22"/>
          <w:szCs w:val="22"/>
          <w:lang w:val="fr-FR"/>
        </w:rPr>
        <w:t xml:space="preserve"> soutenir le rôle des ONG dans la Convention et le développement du Forum. Les ONG accréditées et les experts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BD3525">
        <w:rPr>
          <w:rFonts w:ascii="Arial" w:hAnsi="Arial" w:cs="Arial"/>
          <w:sz w:val="22"/>
          <w:szCs w:val="22"/>
          <w:lang w:val="fr-FR"/>
        </w:rPr>
        <w:t>jou</w:t>
      </w:r>
      <w:r>
        <w:rPr>
          <w:rFonts w:ascii="Arial" w:hAnsi="Arial" w:cs="Arial"/>
          <w:sz w:val="22"/>
          <w:szCs w:val="22"/>
          <w:lang w:val="fr-FR"/>
        </w:rPr>
        <w:t>ai</w:t>
      </w:r>
      <w:r w:rsidRPr="00BD3525">
        <w:rPr>
          <w:rFonts w:ascii="Arial" w:hAnsi="Arial" w:cs="Arial"/>
          <w:sz w:val="22"/>
          <w:szCs w:val="22"/>
          <w:lang w:val="fr-FR"/>
        </w:rPr>
        <w:t>ent un rôle important au sein de la Convention. Ils constitu</w:t>
      </w:r>
      <w:r>
        <w:rPr>
          <w:rFonts w:ascii="Arial" w:hAnsi="Arial" w:cs="Arial"/>
          <w:sz w:val="22"/>
          <w:szCs w:val="22"/>
          <w:lang w:val="fr-FR"/>
        </w:rPr>
        <w:t>ai</w:t>
      </w:r>
      <w:r w:rsidRPr="00BD3525">
        <w:rPr>
          <w:rFonts w:ascii="Arial" w:hAnsi="Arial" w:cs="Arial"/>
          <w:sz w:val="22"/>
          <w:szCs w:val="22"/>
          <w:lang w:val="fr-FR"/>
        </w:rPr>
        <w:t xml:space="preserve">ent un intermédiaire précieux entre les communautés, les États parties et le Comité. En outre, la délégation </w:t>
      </w:r>
      <w:r>
        <w:rPr>
          <w:rFonts w:ascii="Arial" w:hAnsi="Arial" w:cs="Arial"/>
          <w:sz w:val="22"/>
          <w:szCs w:val="22"/>
          <w:lang w:val="fr-FR"/>
        </w:rPr>
        <w:t>envisageait l</w:t>
      </w:r>
      <w:r w:rsidR="008E532B">
        <w:rPr>
          <w:rFonts w:ascii="Arial" w:hAnsi="Arial" w:cs="Arial"/>
          <w:sz w:val="22"/>
          <w:szCs w:val="22"/>
          <w:lang w:val="fr-FR"/>
        </w:rPr>
        <w:t>’</w:t>
      </w:r>
      <w:r w:rsidRPr="00BD3525">
        <w:rPr>
          <w:rFonts w:ascii="Arial" w:hAnsi="Arial" w:cs="Arial"/>
          <w:sz w:val="22"/>
          <w:szCs w:val="22"/>
          <w:lang w:val="fr-FR"/>
        </w:rPr>
        <w:t xml:space="preserve">esprit de la Convention </w:t>
      </w:r>
      <w:r>
        <w:rPr>
          <w:rFonts w:ascii="Arial" w:hAnsi="Arial" w:cs="Arial"/>
          <w:sz w:val="22"/>
          <w:szCs w:val="22"/>
          <w:lang w:val="fr-FR"/>
        </w:rPr>
        <w:t xml:space="preserve">comme permettant </w:t>
      </w:r>
      <w:r w:rsidRPr="00BD3525">
        <w:rPr>
          <w:rFonts w:ascii="Arial" w:hAnsi="Arial" w:cs="Arial"/>
          <w:sz w:val="22"/>
          <w:szCs w:val="22"/>
          <w:lang w:val="fr-FR"/>
        </w:rPr>
        <w:t>à de nombreuses communautés et ONG du monde entier d</w:t>
      </w:r>
      <w:r>
        <w:rPr>
          <w:rFonts w:ascii="Arial" w:hAnsi="Arial" w:cs="Arial"/>
          <w:sz w:val="22"/>
          <w:szCs w:val="22"/>
          <w:lang w:val="fr-FR"/>
        </w:rPr>
        <w:t>e</w:t>
      </w:r>
      <w:r w:rsidRPr="00BD3525">
        <w:rPr>
          <w:rFonts w:ascii="Arial" w:hAnsi="Arial" w:cs="Arial"/>
          <w:sz w:val="22"/>
          <w:szCs w:val="22"/>
          <w:lang w:val="fr-FR"/>
        </w:rPr>
        <w:t xml:space="preserve"> participer. Elle appréci</w:t>
      </w:r>
      <w:r>
        <w:rPr>
          <w:rFonts w:ascii="Arial" w:hAnsi="Arial" w:cs="Arial"/>
          <w:sz w:val="22"/>
          <w:szCs w:val="22"/>
          <w:lang w:val="fr-FR"/>
        </w:rPr>
        <w:t>ait</w:t>
      </w:r>
      <w:r w:rsidRPr="00BD3525">
        <w:rPr>
          <w:rFonts w:ascii="Arial" w:hAnsi="Arial" w:cs="Arial"/>
          <w:sz w:val="22"/>
          <w:szCs w:val="22"/>
          <w:lang w:val="fr-FR"/>
        </w:rPr>
        <w:t xml:space="preserve"> </w:t>
      </w:r>
      <w:r>
        <w:rPr>
          <w:rFonts w:ascii="Arial" w:hAnsi="Arial" w:cs="Arial"/>
          <w:sz w:val="22"/>
          <w:szCs w:val="22"/>
          <w:lang w:val="fr-FR"/>
        </w:rPr>
        <w:t xml:space="preserve">grandement </w:t>
      </w:r>
      <w:r w:rsidRPr="00BD3525">
        <w:rPr>
          <w:rFonts w:ascii="Arial" w:hAnsi="Arial" w:cs="Arial"/>
          <w:sz w:val="22"/>
          <w:szCs w:val="22"/>
          <w:lang w:val="fr-FR"/>
        </w:rPr>
        <w:t xml:space="preserve">la participation des ONG au sein de la Convention, ajoutant </w:t>
      </w:r>
      <w:r w:rsidRPr="00963EB1">
        <w:rPr>
          <w:rFonts w:ascii="Arial" w:hAnsi="Arial" w:cs="Arial"/>
          <w:sz w:val="22"/>
          <w:szCs w:val="22"/>
          <w:lang w:val="fr-FR"/>
        </w:rPr>
        <w:t>que celles qui adh</w:t>
      </w:r>
      <w:r>
        <w:rPr>
          <w:rFonts w:ascii="Arial" w:hAnsi="Arial" w:cs="Arial"/>
          <w:sz w:val="22"/>
          <w:szCs w:val="22"/>
          <w:lang w:val="fr-FR"/>
        </w:rPr>
        <w:t>èrent</w:t>
      </w:r>
      <w:r w:rsidRPr="00963EB1">
        <w:rPr>
          <w:rFonts w:ascii="Arial" w:hAnsi="Arial" w:cs="Arial"/>
          <w:sz w:val="22"/>
          <w:szCs w:val="22"/>
          <w:lang w:val="fr-FR"/>
        </w:rPr>
        <w:t xml:space="preserve"> à l</w:t>
      </w:r>
      <w:r w:rsidR="008E532B">
        <w:rPr>
          <w:rFonts w:ascii="Arial" w:hAnsi="Arial" w:cs="Arial"/>
          <w:sz w:val="22"/>
          <w:szCs w:val="22"/>
          <w:lang w:val="fr-FR"/>
        </w:rPr>
        <w:t>’</w:t>
      </w:r>
      <w:r w:rsidRPr="00963EB1">
        <w:rPr>
          <w:rFonts w:ascii="Arial" w:hAnsi="Arial" w:cs="Arial"/>
          <w:sz w:val="22"/>
          <w:szCs w:val="22"/>
          <w:lang w:val="fr-FR"/>
        </w:rPr>
        <w:t>esprit de la Convention et répond</w:t>
      </w:r>
      <w:r>
        <w:rPr>
          <w:rFonts w:ascii="Arial" w:hAnsi="Arial" w:cs="Arial"/>
          <w:sz w:val="22"/>
          <w:szCs w:val="22"/>
          <w:lang w:val="fr-FR"/>
        </w:rPr>
        <w:t xml:space="preserve">ent </w:t>
      </w:r>
      <w:r w:rsidRPr="00963EB1">
        <w:rPr>
          <w:rFonts w:ascii="Arial" w:hAnsi="Arial" w:cs="Arial"/>
          <w:sz w:val="22"/>
          <w:szCs w:val="22"/>
          <w:lang w:val="fr-FR"/>
        </w:rPr>
        <w:t>aux critères d</w:t>
      </w:r>
      <w:r w:rsidR="008E532B">
        <w:rPr>
          <w:rFonts w:ascii="Arial" w:hAnsi="Arial" w:cs="Arial"/>
          <w:sz w:val="22"/>
          <w:szCs w:val="22"/>
          <w:lang w:val="fr-FR"/>
        </w:rPr>
        <w:t>’</w:t>
      </w:r>
      <w:r w:rsidRPr="00963EB1">
        <w:rPr>
          <w:rFonts w:ascii="Arial" w:hAnsi="Arial" w:cs="Arial"/>
          <w:sz w:val="22"/>
          <w:szCs w:val="22"/>
          <w:lang w:val="fr-FR"/>
        </w:rPr>
        <w:t>accréditation devraient être accréditées</w:t>
      </w:r>
      <w:r>
        <w:rPr>
          <w:rFonts w:ascii="Arial" w:hAnsi="Arial" w:cs="Arial"/>
          <w:sz w:val="22"/>
          <w:szCs w:val="22"/>
          <w:lang w:val="fr-FR"/>
        </w:rPr>
        <w:t>.</w:t>
      </w:r>
    </w:p>
    <w:p w14:paraId="04028203" w14:textId="1B7E7D04" w:rsidR="00D9653F" w:rsidRPr="00D72930"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D72930">
        <w:rPr>
          <w:rFonts w:ascii="Arial" w:hAnsi="Arial" w:cs="Arial"/>
          <w:sz w:val="22"/>
          <w:szCs w:val="22"/>
          <w:lang w:val="fr-FR"/>
        </w:rPr>
        <w:t>La délégation d</w:t>
      </w:r>
      <w:r>
        <w:rPr>
          <w:rFonts w:ascii="Arial" w:hAnsi="Arial" w:cs="Arial"/>
          <w:sz w:val="22"/>
          <w:szCs w:val="22"/>
          <w:lang w:val="fr-FR"/>
        </w:rPr>
        <w:t xml:space="preserve">e la </w:t>
      </w:r>
      <w:r w:rsidRPr="006D154E">
        <w:rPr>
          <w:rFonts w:ascii="Arial" w:hAnsi="Arial" w:cs="Arial"/>
          <w:b/>
          <w:bCs/>
          <w:sz w:val="22"/>
          <w:szCs w:val="22"/>
          <w:lang w:val="fr-FR"/>
        </w:rPr>
        <w:t>République bolivarienne du Venezuela</w:t>
      </w:r>
      <w:r w:rsidRPr="00D72930">
        <w:rPr>
          <w:rFonts w:ascii="Arial" w:hAnsi="Arial" w:cs="Arial"/>
          <w:sz w:val="22"/>
          <w:szCs w:val="22"/>
          <w:lang w:val="fr-FR"/>
        </w:rPr>
        <w:t xml:space="preserve"> a félicité la Présidente pour son élection et a remercié le GRULAC</w:t>
      </w:r>
      <w:r>
        <w:rPr>
          <w:rStyle w:val="FootnoteReference"/>
          <w:rFonts w:ascii="Arial" w:hAnsi="Arial" w:cs="Arial"/>
          <w:sz w:val="22"/>
          <w:szCs w:val="22"/>
          <w:lang w:val="fr-FR"/>
        </w:rPr>
        <w:footnoteReference w:id="33"/>
      </w:r>
      <w:r w:rsidRPr="00D72930">
        <w:rPr>
          <w:rFonts w:ascii="Arial" w:hAnsi="Arial" w:cs="Arial"/>
          <w:sz w:val="22"/>
          <w:szCs w:val="22"/>
          <w:lang w:val="fr-FR"/>
        </w:rPr>
        <w:t xml:space="preserve"> pour </w:t>
      </w:r>
      <w:r>
        <w:rPr>
          <w:rFonts w:ascii="Arial" w:hAnsi="Arial" w:cs="Arial"/>
          <w:sz w:val="22"/>
          <w:szCs w:val="22"/>
          <w:lang w:val="fr-FR"/>
        </w:rPr>
        <w:t>la</w:t>
      </w:r>
      <w:r w:rsidRPr="00D72930">
        <w:rPr>
          <w:rFonts w:ascii="Arial" w:hAnsi="Arial" w:cs="Arial"/>
          <w:sz w:val="22"/>
          <w:szCs w:val="22"/>
          <w:lang w:val="fr-FR"/>
        </w:rPr>
        <w:t xml:space="preserve"> confiance </w:t>
      </w:r>
      <w:r>
        <w:rPr>
          <w:rFonts w:ascii="Arial" w:hAnsi="Arial" w:cs="Arial"/>
          <w:sz w:val="22"/>
          <w:szCs w:val="22"/>
          <w:lang w:val="fr-FR"/>
        </w:rPr>
        <w:t>témoignée à l</w:t>
      </w:r>
      <w:r w:rsidR="008E532B">
        <w:rPr>
          <w:rFonts w:ascii="Arial" w:hAnsi="Arial" w:cs="Arial"/>
          <w:sz w:val="22"/>
          <w:szCs w:val="22"/>
          <w:lang w:val="fr-FR"/>
        </w:rPr>
        <w:t>’</w:t>
      </w:r>
      <w:r>
        <w:rPr>
          <w:rFonts w:ascii="Arial" w:hAnsi="Arial" w:cs="Arial"/>
          <w:sz w:val="22"/>
          <w:szCs w:val="22"/>
          <w:lang w:val="fr-FR"/>
        </w:rPr>
        <w:t xml:space="preserve">occasion de </w:t>
      </w:r>
      <w:r w:rsidRPr="00D72930">
        <w:rPr>
          <w:rFonts w:ascii="Arial" w:hAnsi="Arial" w:cs="Arial"/>
          <w:sz w:val="22"/>
          <w:szCs w:val="22"/>
          <w:lang w:val="fr-FR"/>
        </w:rPr>
        <w:t>son élection à la vice-présidence. Concernant la proposition du Mexique, elle a convenu que le processus d</w:t>
      </w:r>
      <w:r w:rsidR="008E532B">
        <w:rPr>
          <w:rFonts w:ascii="Arial" w:hAnsi="Arial" w:cs="Arial"/>
          <w:sz w:val="22"/>
          <w:szCs w:val="22"/>
          <w:lang w:val="fr-FR"/>
        </w:rPr>
        <w:t>’</w:t>
      </w:r>
      <w:r w:rsidRPr="00D72930">
        <w:rPr>
          <w:rFonts w:ascii="Arial" w:hAnsi="Arial" w:cs="Arial"/>
          <w:sz w:val="22"/>
          <w:szCs w:val="22"/>
          <w:lang w:val="fr-FR"/>
        </w:rPr>
        <w:t>accréditation des ONG d</w:t>
      </w:r>
      <w:r>
        <w:rPr>
          <w:rFonts w:ascii="Arial" w:hAnsi="Arial" w:cs="Arial"/>
          <w:sz w:val="22"/>
          <w:szCs w:val="22"/>
          <w:lang w:val="fr-FR"/>
        </w:rPr>
        <w:t xml:space="preserve">evait </w:t>
      </w:r>
      <w:r w:rsidRPr="00D72930">
        <w:rPr>
          <w:rFonts w:ascii="Arial" w:hAnsi="Arial" w:cs="Arial"/>
          <w:sz w:val="22"/>
          <w:szCs w:val="22"/>
          <w:lang w:val="fr-FR"/>
        </w:rPr>
        <w:t xml:space="preserve">être rigoureux, comme </w:t>
      </w:r>
      <w:r>
        <w:rPr>
          <w:rFonts w:ascii="Arial" w:hAnsi="Arial" w:cs="Arial"/>
          <w:sz w:val="22"/>
          <w:szCs w:val="22"/>
          <w:lang w:val="fr-FR"/>
        </w:rPr>
        <w:t>l</w:t>
      </w:r>
      <w:r w:rsidR="008E532B">
        <w:rPr>
          <w:rFonts w:ascii="Arial" w:hAnsi="Arial" w:cs="Arial"/>
          <w:sz w:val="22"/>
          <w:szCs w:val="22"/>
          <w:lang w:val="fr-FR"/>
        </w:rPr>
        <w:t>’</w:t>
      </w:r>
      <w:r>
        <w:rPr>
          <w:rFonts w:ascii="Arial" w:hAnsi="Arial" w:cs="Arial"/>
          <w:sz w:val="22"/>
          <w:szCs w:val="22"/>
          <w:lang w:val="fr-FR"/>
        </w:rPr>
        <w:t>exige</w:t>
      </w:r>
      <w:r w:rsidRPr="00D72930">
        <w:rPr>
          <w:rFonts w:ascii="Arial" w:hAnsi="Arial" w:cs="Arial"/>
          <w:sz w:val="22"/>
          <w:szCs w:val="22"/>
          <w:lang w:val="fr-FR"/>
        </w:rPr>
        <w:t xml:space="preserve"> toute présentation faite par un État sur la base de procédures acceptées. La délégation</w:t>
      </w:r>
      <w:r>
        <w:rPr>
          <w:rFonts w:ascii="Arial" w:hAnsi="Arial" w:cs="Arial"/>
          <w:sz w:val="22"/>
          <w:szCs w:val="22"/>
          <w:lang w:val="fr-FR"/>
        </w:rPr>
        <w:t xml:space="preserve"> pensait</w:t>
      </w:r>
      <w:r w:rsidRPr="00D72930">
        <w:rPr>
          <w:rFonts w:ascii="Arial" w:hAnsi="Arial" w:cs="Arial"/>
          <w:sz w:val="22"/>
          <w:szCs w:val="22"/>
          <w:lang w:val="fr-FR"/>
        </w:rPr>
        <w:t xml:space="preserve"> que la proposition de la Palestine était importante</w:t>
      </w:r>
      <w:r>
        <w:rPr>
          <w:rFonts w:ascii="Arial" w:hAnsi="Arial" w:cs="Arial"/>
          <w:sz w:val="22"/>
          <w:szCs w:val="22"/>
          <w:lang w:val="fr-FR"/>
        </w:rPr>
        <w:t>,</w:t>
      </w:r>
      <w:r w:rsidRPr="00D72930">
        <w:rPr>
          <w:rFonts w:ascii="Arial" w:hAnsi="Arial" w:cs="Arial"/>
          <w:sz w:val="22"/>
          <w:szCs w:val="22"/>
          <w:lang w:val="fr-FR"/>
        </w:rPr>
        <w:t xml:space="preserve"> et elle a </w:t>
      </w:r>
      <w:r>
        <w:rPr>
          <w:rFonts w:ascii="Arial" w:hAnsi="Arial" w:cs="Arial"/>
          <w:sz w:val="22"/>
          <w:szCs w:val="22"/>
          <w:lang w:val="fr-FR"/>
        </w:rPr>
        <w:t xml:space="preserve">souligné </w:t>
      </w:r>
      <w:r w:rsidRPr="00D72930">
        <w:rPr>
          <w:rFonts w:ascii="Arial" w:hAnsi="Arial" w:cs="Arial"/>
          <w:sz w:val="22"/>
          <w:szCs w:val="22"/>
          <w:lang w:val="fr-FR"/>
        </w:rPr>
        <w:t xml:space="preserve">la préoccupation exprimée par les États parties selon laquelle la proposition limiterait </w:t>
      </w:r>
      <w:r>
        <w:rPr>
          <w:rFonts w:ascii="Arial" w:hAnsi="Arial" w:cs="Arial"/>
          <w:sz w:val="22"/>
          <w:szCs w:val="22"/>
          <w:lang w:val="fr-FR"/>
        </w:rPr>
        <w:t>de</w:t>
      </w:r>
      <w:r w:rsidRPr="00D72930">
        <w:rPr>
          <w:rFonts w:ascii="Arial" w:hAnsi="Arial" w:cs="Arial"/>
          <w:sz w:val="22"/>
          <w:szCs w:val="22"/>
          <w:lang w:val="fr-FR"/>
        </w:rPr>
        <w:t xml:space="preserve"> fait la participation des ONG. Cependant, elle ne pensait pas que c</w:t>
      </w:r>
      <w:r>
        <w:rPr>
          <w:rFonts w:ascii="Arial" w:hAnsi="Arial" w:cs="Arial"/>
          <w:sz w:val="22"/>
          <w:szCs w:val="22"/>
          <w:lang w:val="fr-FR"/>
        </w:rPr>
        <w:t>e serait le</w:t>
      </w:r>
      <w:r w:rsidRPr="00D72930">
        <w:rPr>
          <w:rFonts w:ascii="Arial" w:hAnsi="Arial" w:cs="Arial"/>
          <w:sz w:val="22"/>
          <w:szCs w:val="22"/>
          <w:lang w:val="fr-FR"/>
        </w:rPr>
        <w:t xml:space="preserve"> cas</w:t>
      </w:r>
      <w:r>
        <w:rPr>
          <w:rFonts w:ascii="Arial" w:hAnsi="Arial" w:cs="Arial"/>
          <w:sz w:val="22"/>
          <w:szCs w:val="22"/>
          <w:lang w:val="fr-FR"/>
        </w:rPr>
        <w:t>,</w:t>
      </w:r>
      <w:r w:rsidRPr="00D72930">
        <w:rPr>
          <w:rFonts w:ascii="Arial" w:hAnsi="Arial" w:cs="Arial"/>
          <w:sz w:val="22"/>
          <w:szCs w:val="22"/>
          <w:lang w:val="fr-FR"/>
        </w:rPr>
        <w:t xml:space="preserve"> car la proposition indiquait simplement que les ONG devaient être affiliées à un État partie pour être éligibles à l</w:t>
      </w:r>
      <w:r w:rsidR="008E532B">
        <w:rPr>
          <w:rFonts w:ascii="Arial" w:hAnsi="Arial" w:cs="Arial"/>
          <w:sz w:val="22"/>
          <w:szCs w:val="22"/>
          <w:lang w:val="fr-FR"/>
        </w:rPr>
        <w:t>’</w:t>
      </w:r>
      <w:r w:rsidRPr="00D72930">
        <w:rPr>
          <w:rFonts w:ascii="Arial" w:hAnsi="Arial" w:cs="Arial"/>
          <w:sz w:val="22"/>
          <w:szCs w:val="22"/>
          <w:lang w:val="fr-FR"/>
        </w:rPr>
        <w:t>Organe d</w:t>
      </w:r>
      <w:r w:rsidR="008E532B">
        <w:rPr>
          <w:rFonts w:ascii="Arial" w:hAnsi="Arial" w:cs="Arial"/>
          <w:sz w:val="22"/>
          <w:szCs w:val="22"/>
          <w:lang w:val="fr-FR"/>
        </w:rPr>
        <w:t>’</w:t>
      </w:r>
      <w:r w:rsidRPr="00D72930">
        <w:rPr>
          <w:rFonts w:ascii="Arial" w:hAnsi="Arial" w:cs="Arial"/>
          <w:sz w:val="22"/>
          <w:szCs w:val="22"/>
          <w:lang w:val="fr-FR"/>
        </w:rPr>
        <w:t xml:space="preserve">évaluation, ce qui </w:t>
      </w:r>
      <w:r>
        <w:rPr>
          <w:rFonts w:ascii="Arial" w:hAnsi="Arial" w:cs="Arial"/>
          <w:sz w:val="22"/>
          <w:szCs w:val="22"/>
          <w:lang w:val="fr-FR"/>
        </w:rPr>
        <w:t>était</w:t>
      </w:r>
      <w:r w:rsidRPr="00D72930">
        <w:rPr>
          <w:rFonts w:ascii="Arial" w:hAnsi="Arial" w:cs="Arial"/>
          <w:sz w:val="22"/>
          <w:szCs w:val="22"/>
          <w:lang w:val="fr-FR"/>
        </w:rPr>
        <w:t xml:space="preserve"> tout à fait conforme aux principes de la Convention selon lesquels les États non parties à la Convention ne p</w:t>
      </w:r>
      <w:r>
        <w:rPr>
          <w:rFonts w:ascii="Arial" w:hAnsi="Arial" w:cs="Arial"/>
          <w:sz w:val="22"/>
          <w:szCs w:val="22"/>
          <w:lang w:val="fr-FR"/>
        </w:rPr>
        <w:t>ou</w:t>
      </w:r>
      <w:r w:rsidRPr="00D72930">
        <w:rPr>
          <w:rFonts w:ascii="Arial" w:hAnsi="Arial" w:cs="Arial"/>
          <w:sz w:val="22"/>
          <w:szCs w:val="22"/>
          <w:lang w:val="fr-FR"/>
        </w:rPr>
        <w:t>v</w:t>
      </w:r>
      <w:r>
        <w:rPr>
          <w:rFonts w:ascii="Arial" w:hAnsi="Arial" w:cs="Arial"/>
          <w:sz w:val="22"/>
          <w:szCs w:val="22"/>
          <w:lang w:val="fr-FR"/>
        </w:rPr>
        <w:t>ai</w:t>
      </w:r>
      <w:r w:rsidRPr="00D72930">
        <w:rPr>
          <w:rFonts w:ascii="Arial" w:hAnsi="Arial" w:cs="Arial"/>
          <w:sz w:val="22"/>
          <w:szCs w:val="22"/>
          <w:lang w:val="fr-FR"/>
        </w:rPr>
        <w:t xml:space="preserve">ent pas siéger au Comité. </w:t>
      </w:r>
      <w:r w:rsidRPr="00082137">
        <w:rPr>
          <w:rFonts w:ascii="Arial" w:hAnsi="Arial" w:cs="Arial"/>
          <w:sz w:val="22"/>
          <w:szCs w:val="22"/>
          <w:lang w:val="fr-FR"/>
        </w:rPr>
        <w:t>Dans ce contexte, les ONG issues d</w:t>
      </w:r>
      <w:r w:rsidR="008E532B">
        <w:rPr>
          <w:rFonts w:ascii="Arial" w:hAnsi="Arial" w:cs="Arial"/>
          <w:sz w:val="22"/>
          <w:szCs w:val="22"/>
          <w:lang w:val="fr-FR"/>
        </w:rPr>
        <w:t>’</w:t>
      </w:r>
      <w:r w:rsidRPr="00082137">
        <w:rPr>
          <w:rFonts w:ascii="Arial" w:hAnsi="Arial" w:cs="Arial"/>
          <w:sz w:val="22"/>
          <w:szCs w:val="22"/>
          <w:lang w:val="fr-FR"/>
        </w:rPr>
        <w:t>États non parties ne devraient pas bénéficier de droits que les États non parties n</w:t>
      </w:r>
      <w:r w:rsidR="008E532B">
        <w:rPr>
          <w:rFonts w:ascii="Arial" w:hAnsi="Arial" w:cs="Arial"/>
          <w:sz w:val="22"/>
          <w:szCs w:val="22"/>
          <w:lang w:val="fr-FR"/>
        </w:rPr>
        <w:t>’</w:t>
      </w:r>
      <w:r w:rsidRPr="00082137">
        <w:rPr>
          <w:rFonts w:ascii="Arial" w:hAnsi="Arial" w:cs="Arial"/>
          <w:sz w:val="22"/>
          <w:szCs w:val="22"/>
          <w:lang w:val="fr-FR"/>
        </w:rPr>
        <w:t xml:space="preserve">ont pas. </w:t>
      </w:r>
      <w:r w:rsidRPr="00D72930">
        <w:rPr>
          <w:rFonts w:ascii="Arial" w:hAnsi="Arial" w:cs="Arial"/>
          <w:sz w:val="22"/>
          <w:szCs w:val="22"/>
          <w:lang w:val="fr-FR"/>
        </w:rPr>
        <w:t xml:space="preserve">Néanmoins, les ONG </w:t>
      </w:r>
      <w:r>
        <w:rPr>
          <w:rFonts w:ascii="Arial" w:hAnsi="Arial" w:cs="Arial"/>
          <w:sz w:val="22"/>
          <w:szCs w:val="22"/>
          <w:lang w:val="fr-FR"/>
        </w:rPr>
        <w:t>pouvaient</w:t>
      </w:r>
      <w:r w:rsidRPr="00D72930">
        <w:rPr>
          <w:rFonts w:ascii="Arial" w:hAnsi="Arial" w:cs="Arial"/>
          <w:sz w:val="22"/>
          <w:szCs w:val="22"/>
          <w:lang w:val="fr-FR"/>
        </w:rPr>
        <w:t xml:space="preserve"> être accréditées et participer, et il était important de refléter l</w:t>
      </w:r>
      <w:r w:rsidR="008E532B">
        <w:rPr>
          <w:rFonts w:ascii="Arial" w:hAnsi="Arial" w:cs="Arial"/>
          <w:sz w:val="22"/>
          <w:szCs w:val="22"/>
          <w:lang w:val="fr-FR"/>
        </w:rPr>
        <w:t>’</w:t>
      </w:r>
      <w:r w:rsidRPr="00D72930">
        <w:rPr>
          <w:rFonts w:ascii="Arial" w:hAnsi="Arial" w:cs="Arial"/>
          <w:sz w:val="22"/>
          <w:szCs w:val="22"/>
          <w:lang w:val="fr-FR"/>
        </w:rPr>
        <w:t>amendement de la Palestine dans la décision. La délégation s</w:t>
      </w:r>
      <w:r w:rsidR="008E532B">
        <w:rPr>
          <w:rFonts w:ascii="Arial" w:hAnsi="Arial" w:cs="Arial"/>
          <w:sz w:val="22"/>
          <w:szCs w:val="22"/>
          <w:lang w:val="fr-FR"/>
        </w:rPr>
        <w:t>’</w:t>
      </w:r>
      <w:r w:rsidRPr="00D72930">
        <w:rPr>
          <w:rFonts w:ascii="Arial" w:hAnsi="Arial" w:cs="Arial"/>
          <w:sz w:val="22"/>
          <w:szCs w:val="22"/>
          <w:lang w:val="fr-FR"/>
        </w:rPr>
        <w:t xml:space="preserve">est également alignée sur la remarque </w:t>
      </w:r>
      <w:r>
        <w:rPr>
          <w:rFonts w:ascii="Arial" w:hAnsi="Arial" w:cs="Arial"/>
          <w:sz w:val="22"/>
          <w:szCs w:val="22"/>
          <w:lang w:val="fr-FR"/>
        </w:rPr>
        <w:t xml:space="preserve">formulée </w:t>
      </w:r>
      <w:r w:rsidRPr="00D72930">
        <w:rPr>
          <w:rFonts w:ascii="Arial" w:hAnsi="Arial" w:cs="Arial"/>
          <w:sz w:val="22"/>
          <w:szCs w:val="22"/>
          <w:lang w:val="fr-FR"/>
        </w:rPr>
        <w:t>par Cuba, selon laquelle l</w:t>
      </w:r>
      <w:r w:rsidR="008E532B">
        <w:rPr>
          <w:rFonts w:ascii="Arial" w:hAnsi="Arial" w:cs="Arial"/>
          <w:sz w:val="22"/>
          <w:szCs w:val="22"/>
          <w:lang w:val="fr-FR"/>
        </w:rPr>
        <w:t>’</w:t>
      </w:r>
      <w:r w:rsidRPr="00D72930">
        <w:rPr>
          <w:rFonts w:ascii="Arial" w:hAnsi="Arial" w:cs="Arial"/>
          <w:sz w:val="22"/>
          <w:szCs w:val="22"/>
          <w:lang w:val="fr-FR"/>
        </w:rPr>
        <w:t>Assemblée reconna</w:t>
      </w:r>
      <w:r>
        <w:rPr>
          <w:rFonts w:ascii="Arial" w:hAnsi="Arial" w:cs="Arial"/>
          <w:sz w:val="22"/>
          <w:szCs w:val="22"/>
          <w:lang w:val="fr-FR"/>
        </w:rPr>
        <w:t>issait</w:t>
      </w:r>
      <w:r w:rsidRPr="00D72930">
        <w:rPr>
          <w:rFonts w:ascii="Arial" w:hAnsi="Arial" w:cs="Arial"/>
          <w:sz w:val="22"/>
          <w:szCs w:val="22"/>
          <w:lang w:val="fr-FR"/>
        </w:rPr>
        <w:t xml:space="preserve"> le travail effectué par toutes les ONG, mais elle d</w:t>
      </w:r>
      <w:r>
        <w:rPr>
          <w:rFonts w:ascii="Arial" w:hAnsi="Arial" w:cs="Arial"/>
          <w:sz w:val="22"/>
          <w:szCs w:val="22"/>
          <w:lang w:val="fr-FR"/>
        </w:rPr>
        <w:t>evait</w:t>
      </w:r>
      <w:r w:rsidRPr="00D72930">
        <w:rPr>
          <w:rFonts w:ascii="Arial" w:hAnsi="Arial" w:cs="Arial"/>
          <w:sz w:val="22"/>
          <w:szCs w:val="22"/>
          <w:lang w:val="fr-FR"/>
        </w:rPr>
        <w:t xml:space="preserve"> également renforcer son soutien aux ONG et sa synergie avec les États parties.</w:t>
      </w:r>
    </w:p>
    <w:p w14:paraId="6F426FC6" w14:textId="7403EFF2" w:rsidR="00D9653F" w:rsidRPr="00FF6154"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FF6154">
        <w:rPr>
          <w:rFonts w:ascii="Arial" w:hAnsi="Arial" w:cs="Arial"/>
          <w:sz w:val="22"/>
          <w:szCs w:val="22"/>
          <w:lang w:val="fr-FR"/>
        </w:rPr>
        <w:t xml:space="preserve">La délégation </w:t>
      </w:r>
      <w:r>
        <w:rPr>
          <w:rFonts w:ascii="Arial" w:hAnsi="Arial" w:cs="Arial"/>
          <w:sz w:val="22"/>
          <w:szCs w:val="22"/>
          <w:lang w:val="fr-FR"/>
        </w:rPr>
        <w:t xml:space="preserve">de la </w:t>
      </w:r>
      <w:r w:rsidRPr="00FF6154">
        <w:rPr>
          <w:rFonts w:ascii="Arial" w:hAnsi="Arial" w:cs="Arial"/>
          <w:b/>
          <w:bCs/>
          <w:sz w:val="22"/>
          <w:szCs w:val="22"/>
          <w:lang w:val="fr-FR"/>
        </w:rPr>
        <w:t>Suède</w:t>
      </w:r>
      <w:r>
        <w:rPr>
          <w:rFonts w:ascii="Arial" w:hAnsi="Arial" w:cs="Arial"/>
          <w:sz w:val="22"/>
          <w:szCs w:val="22"/>
          <w:lang w:val="fr-FR"/>
        </w:rPr>
        <w:t xml:space="preserve"> s</w:t>
      </w:r>
      <w:r w:rsidR="008E532B">
        <w:rPr>
          <w:rFonts w:ascii="Arial" w:hAnsi="Arial" w:cs="Arial"/>
          <w:sz w:val="22"/>
          <w:szCs w:val="22"/>
          <w:lang w:val="fr-FR"/>
        </w:rPr>
        <w:t>’</w:t>
      </w:r>
      <w:r>
        <w:rPr>
          <w:rFonts w:ascii="Arial" w:hAnsi="Arial" w:cs="Arial"/>
          <w:sz w:val="22"/>
          <w:szCs w:val="22"/>
          <w:lang w:val="fr-FR"/>
        </w:rPr>
        <w:t xml:space="preserve">est </w:t>
      </w:r>
      <w:proofErr w:type="gramStart"/>
      <w:r>
        <w:rPr>
          <w:rFonts w:ascii="Arial" w:hAnsi="Arial" w:cs="Arial"/>
          <w:sz w:val="22"/>
          <w:szCs w:val="22"/>
          <w:lang w:val="fr-FR"/>
        </w:rPr>
        <w:t>dite</w:t>
      </w:r>
      <w:proofErr w:type="gramEnd"/>
      <w:r>
        <w:rPr>
          <w:rFonts w:ascii="Arial" w:hAnsi="Arial" w:cs="Arial"/>
          <w:sz w:val="22"/>
          <w:szCs w:val="22"/>
          <w:lang w:val="fr-FR"/>
        </w:rPr>
        <w:t xml:space="preserve"> </w:t>
      </w:r>
      <w:r w:rsidRPr="00FF6154">
        <w:rPr>
          <w:rFonts w:ascii="Arial" w:hAnsi="Arial" w:cs="Arial"/>
          <w:sz w:val="22"/>
          <w:szCs w:val="22"/>
          <w:lang w:val="fr-FR"/>
        </w:rPr>
        <w:t>heureuse de constater le soutien apporté au travail des ONG et de voir qu</w:t>
      </w:r>
      <w:r w:rsidR="008E532B">
        <w:rPr>
          <w:rFonts w:ascii="Arial" w:hAnsi="Arial" w:cs="Arial"/>
          <w:sz w:val="22"/>
          <w:szCs w:val="22"/>
          <w:lang w:val="fr-FR"/>
        </w:rPr>
        <w:t>’</w:t>
      </w:r>
      <w:r w:rsidRPr="00FF6154">
        <w:rPr>
          <w:rFonts w:ascii="Arial" w:hAnsi="Arial" w:cs="Arial"/>
          <w:sz w:val="22"/>
          <w:szCs w:val="22"/>
          <w:lang w:val="fr-FR"/>
        </w:rPr>
        <w:t xml:space="preserve">elles </w:t>
      </w:r>
      <w:r>
        <w:rPr>
          <w:rFonts w:ascii="Arial" w:hAnsi="Arial" w:cs="Arial"/>
          <w:sz w:val="22"/>
          <w:szCs w:val="22"/>
          <w:lang w:val="fr-FR"/>
        </w:rPr>
        <w:t xml:space="preserve">ont </w:t>
      </w:r>
      <w:r w:rsidRPr="00FF6154">
        <w:rPr>
          <w:rFonts w:ascii="Arial" w:hAnsi="Arial" w:cs="Arial"/>
          <w:sz w:val="22"/>
          <w:szCs w:val="22"/>
          <w:lang w:val="fr-FR"/>
        </w:rPr>
        <w:t xml:space="preserve">un rôle très important à jouer. En outre, il </w:t>
      </w:r>
      <w:r>
        <w:rPr>
          <w:rFonts w:ascii="Arial" w:hAnsi="Arial" w:cs="Arial"/>
          <w:sz w:val="22"/>
          <w:szCs w:val="22"/>
          <w:lang w:val="fr-FR"/>
        </w:rPr>
        <w:t>était</w:t>
      </w:r>
      <w:r w:rsidRPr="00FF6154">
        <w:rPr>
          <w:rFonts w:ascii="Arial" w:hAnsi="Arial" w:cs="Arial"/>
          <w:sz w:val="22"/>
          <w:szCs w:val="22"/>
          <w:lang w:val="fr-FR"/>
        </w:rPr>
        <w:t xml:space="preserve"> très important de ré</w:t>
      </w:r>
      <w:r>
        <w:rPr>
          <w:rFonts w:ascii="Arial" w:hAnsi="Arial" w:cs="Arial"/>
          <w:sz w:val="22"/>
          <w:szCs w:val="22"/>
          <w:lang w:val="fr-FR"/>
        </w:rPr>
        <w:t xml:space="preserve">affirmer </w:t>
      </w:r>
      <w:r w:rsidRPr="00FF6154">
        <w:rPr>
          <w:rFonts w:ascii="Arial" w:hAnsi="Arial" w:cs="Arial"/>
          <w:sz w:val="22"/>
          <w:szCs w:val="22"/>
          <w:lang w:val="fr-FR"/>
        </w:rPr>
        <w:t>que les ONG sont de nature non gouvernementale, comme l</w:t>
      </w:r>
      <w:r w:rsidR="008E532B">
        <w:rPr>
          <w:rFonts w:ascii="Arial" w:hAnsi="Arial" w:cs="Arial"/>
          <w:sz w:val="22"/>
          <w:szCs w:val="22"/>
          <w:lang w:val="fr-FR"/>
        </w:rPr>
        <w:t>’</w:t>
      </w:r>
      <w:r>
        <w:rPr>
          <w:rFonts w:ascii="Arial" w:hAnsi="Arial" w:cs="Arial"/>
          <w:sz w:val="22"/>
          <w:szCs w:val="22"/>
          <w:lang w:val="fr-FR"/>
        </w:rPr>
        <w:t>avaient</w:t>
      </w:r>
      <w:r w:rsidRPr="00FF6154">
        <w:rPr>
          <w:rFonts w:ascii="Arial" w:hAnsi="Arial" w:cs="Arial"/>
          <w:sz w:val="22"/>
          <w:szCs w:val="22"/>
          <w:lang w:val="fr-FR"/>
        </w:rPr>
        <w:t xml:space="preserve"> déclaré d</w:t>
      </w:r>
      <w:r w:rsidR="008E532B">
        <w:rPr>
          <w:rFonts w:ascii="Arial" w:hAnsi="Arial" w:cs="Arial"/>
          <w:sz w:val="22"/>
          <w:szCs w:val="22"/>
          <w:lang w:val="fr-FR"/>
        </w:rPr>
        <w:t>’</w:t>
      </w:r>
      <w:r w:rsidRPr="00FF6154">
        <w:rPr>
          <w:rFonts w:ascii="Arial" w:hAnsi="Arial" w:cs="Arial"/>
          <w:sz w:val="22"/>
          <w:szCs w:val="22"/>
          <w:lang w:val="fr-FR"/>
        </w:rPr>
        <w:t xml:space="preserve">autres États, et il était essentiel de </w:t>
      </w:r>
      <w:r>
        <w:rPr>
          <w:rFonts w:ascii="Arial" w:hAnsi="Arial" w:cs="Arial"/>
          <w:sz w:val="22"/>
          <w:szCs w:val="22"/>
          <w:lang w:val="fr-FR"/>
        </w:rPr>
        <w:t>souligner</w:t>
      </w:r>
      <w:r w:rsidRPr="00FF6154">
        <w:rPr>
          <w:rFonts w:ascii="Arial" w:hAnsi="Arial" w:cs="Arial"/>
          <w:sz w:val="22"/>
          <w:szCs w:val="22"/>
          <w:lang w:val="fr-FR"/>
        </w:rPr>
        <w:t xml:space="preserve"> qu</w:t>
      </w:r>
      <w:r w:rsidR="008E532B">
        <w:rPr>
          <w:rFonts w:ascii="Arial" w:hAnsi="Arial" w:cs="Arial"/>
          <w:sz w:val="22"/>
          <w:szCs w:val="22"/>
          <w:lang w:val="fr-FR"/>
        </w:rPr>
        <w:t>’</w:t>
      </w:r>
      <w:r w:rsidRPr="00FF6154">
        <w:rPr>
          <w:rFonts w:ascii="Arial" w:hAnsi="Arial" w:cs="Arial"/>
          <w:sz w:val="22"/>
          <w:szCs w:val="22"/>
          <w:lang w:val="fr-FR"/>
        </w:rPr>
        <w:t>elles ne s</w:t>
      </w:r>
      <w:r w:rsidR="008E532B">
        <w:rPr>
          <w:rFonts w:ascii="Arial" w:hAnsi="Arial" w:cs="Arial"/>
          <w:sz w:val="22"/>
          <w:szCs w:val="22"/>
          <w:lang w:val="fr-FR"/>
        </w:rPr>
        <w:t>’</w:t>
      </w:r>
      <w:r w:rsidRPr="00FF6154">
        <w:rPr>
          <w:rFonts w:ascii="Arial" w:hAnsi="Arial" w:cs="Arial"/>
          <w:sz w:val="22"/>
          <w:szCs w:val="22"/>
          <w:lang w:val="fr-FR"/>
        </w:rPr>
        <w:t>occupent pas nécessairement uniquement de questions nationales. La délégation s</w:t>
      </w:r>
      <w:r w:rsidR="008E532B">
        <w:rPr>
          <w:rFonts w:ascii="Arial" w:hAnsi="Arial" w:cs="Arial"/>
          <w:sz w:val="22"/>
          <w:szCs w:val="22"/>
          <w:lang w:val="fr-FR"/>
        </w:rPr>
        <w:t>’</w:t>
      </w:r>
      <w:r w:rsidRPr="00FF6154">
        <w:rPr>
          <w:rFonts w:ascii="Arial" w:hAnsi="Arial" w:cs="Arial"/>
          <w:sz w:val="22"/>
          <w:szCs w:val="22"/>
          <w:lang w:val="fr-FR"/>
        </w:rPr>
        <w:t xml:space="preserve">est </w:t>
      </w:r>
      <w:r>
        <w:rPr>
          <w:rFonts w:ascii="Arial" w:hAnsi="Arial" w:cs="Arial"/>
          <w:sz w:val="22"/>
          <w:szCs w:val="22"/>
          <w:lang w:val="fr-FR"/>
        </w:rPr>
        <w:t xml:space="preserve">aussi résolument </w:t>
      </w:r>
      <w:r w:rsidRPr="00FF6154">
        <w:rPr>
          <w:rFonts w:ascii="Arial" w:hAnsi="Arial" w:cs="Arial"/>
          <w:sz w:val="22"/>
          <w:szCs w:val="22"/>
          <w:lang w:val="fr-FR"/>
        </w:rPr>
        <w:t>alignée sur les déclarations de la Grèce, de l</w:t>
      </w:r>
      <w:r w:rsidR="008E532B">
        <w:rPr>
          <w:rFonts w:ascii="Arial" w:hAnsi="Arial" w:cs="Arial"/>
          <w:sz w:val="22"/>
          <w:szCs w:val="22"/>
          <w:lang w:val="fr-FR"/>
        </w:rPr>
        <w:t>’</w:t>
      </w:r>
      <w:r w:rsidRPr="00FF6154">
        <w:rPr>
          <w:rFonts w:ascii="Arial" w:hAnsi="Arial" w:cs="Arial"/>
          <w:sz w:val="22"/>
          <w:szCs w:val="22"/>
          <w:lang w:val="fr-FR"/>
        </w:rPr>
        <w:t xml:space="preserve">Autriche, de la </w:t>
      </w:r>
      <w:r>
        <w:rPr>
          <w:rFonts w:ascii="Arial" w:hAnsi="Arial" w:cs="Arial"/>
          <w:sz w:val="22"/>
          <w:szCs w:val="22"/>
          <w:lang w:val="fr-FR"/>
        </w:rPr>
        <w:t>T</w:t>
      </w:r>
      <w:r w:rsidRPr="00FF6154">
        <w:rPr>
          <w:rFonts w:ascii="Arial" w:hAnsi="Arial" w:cs="Arial"/>
          <w:sz w:val="22"/>
          <w:szCs w:val="22"/>
          <w:lang w:val="fr-FR"/>
        </w:rPr>
        <w:t>ch</w:t>
      </w:r>
      <w:r>
        <w:rPr>
          <w:rFonts w:ascii="Arial" w:hAnsi="Arial" w:cs="Arial"/>
          <w:sz w:val="22"/>
          <w:szCs w:val="22"/>
          <w:lang w:val="fr-FR"/>
        </w:rPr>
        <w:t>é</w:t>
      </w:r>
      <w:r w:rsidRPr="00FF6154">
        <w:rPr>
          <w:rFonts w:ascii="Arial" w:hAnsi="Arial" w:cs="Arial"/>
          <w:sz w:val="22"/>
          <w:szCs w:val="22"/>
          <w:lang w:val="fr-FR"/>
        </w:rPr>
        <w:t>qu</w:t>
      </w:r>
      <w:r>
        <w:rPr>
          <w:rFonts w:ascii="Arial" w:hAnsi="Arial" w:cs="Arial"/>
          <w:sz w:val="22"/>
          <w:szCs w:val="22"/>
          <w:lang w:val="fr-FR"/>
        </w:rPr>
        <w:t>i</w:t>
      </w:r>
      <w:r w:rsidRPr="00FF6154">
        <w:rPr>
          <w:rFonts w:ascii="Arial" w:hAnsi="Arial" w:cs="Arial"/>
          <w:sz w:val="22"/>
          <w:szCs w:val="22"/>
          <w:lang w:val="fr-FR"/>
        </w:rPr>
        <w:t xml:space="preserve">e et des Pays-Bas. </w:t>
      </w:r>
      <w:r>
        <w:rPr>
          <w:rFonts w:ascii="Arial" w:hAnsi="Arial" w:cs="Arial"/>
          <w:sz w:val="22"/>
          <w:szCs w:val="22"/>
          <w:lang w:val="fr-FR"/>
        </w:rPr>
        <w:t xml:space="preserve">Elle </w:t>
      </w:r>
      <w:r w:rsidRPr="00FF6154">
        <w:rPr>
          <w:rFonts w:ascii="Arial" w:hAnsi="Arial" w:cs="Arial"/>
          <w:sz w:val="22"/>
          <w:szCs w:val="22"/>
          <w:lang w:val="fr-FR"/>
        </w:rPr>
        <w:t>a également claire</w:t>
      </w:r>
      <w:r>
        <w:rPr>
          <w:rFonts w:ascii="Arial" w:hAnsi="Arial" w:cs="Arial"/>
          <w:sz w:val="22"/>
          <w:szCs w:val="22"/>
          <w:lang w:val="fr-FR"/>
        </w:rPr>
        <w:t>ment indiqué</w:t>
      </w:r>
      <w:r w:rsidRPr="00FF6154">
        <w:rPr>
          <w:rFonts w:ascii="Arial" w:hAnsi="Arial" w:cs="Arial"/>
          <w:sz w:val="22"/>
          <w:szCs w:val="22"/>
          <w:lang w:val="fr-FR"/>
        </w:rPr>
        <w:t xml:space="preserve"> que l</w:t>
      </w:r>
      <w:r>
        <w:rPr>
          <w:rFonts w:ascii="Arial" w:hAnsi="Arial" w:cs="Arial"/>
          <w:sz w:val="22"/>
          <w:szCs w:val="22"/>
          <w:lang w:val="fr-FR"/>
        </w:rPr>
        <w:t>e débat</w:t>
      </w:r>
      <w:r w:rsidRPr="00FF6154">
        <w:rPr>
          <w:rFonts w:ascii="Arial" w:hAnsi="Arial" w:cs="Arial"/>
          <w:sz w:val="22"/>
          <w:szCs w:val="22"/>
          <w:lang w:val="fr-FR"/>
        </w:rPr>
        <w:t xml:space="preserve"> sur le travail effectué sur les mécanismes d</w:t>
      </w:r>
      <w:r w:rsidR="008E532B">
        <w:rPr>
          <w:rFonts w:ascii="Arial" w:hAnsi="Arial" w:cs="Arial"/>
          <w:sz w:val="22"/>
          <w:szCs w:val="22"/>
          <w:lang w:val="fr-FR"/>
        </w:rPr>
        <w:t>’</w:t>
      </w:r>
      <w:r w:rsidRPr="00FF6154">
        <w:rPr>
          <w:rFonts w:ascii="Arial" w:hAnsi="Arial" w:cs="Arial"/>
          <w:sz w:val="22"/>
          <w:szCs w:val="22"/>
          <w:lang w:val="fr-FR"/>
        </w:rPr>
        <w:t xml:space="preserve">inscription </w:t>
      </w:r>
      <w:r>
        <w:rPr>
          <w:rFonts w:ascii="Arial" w:hAnsi="Arial" w:cs="Arial"/>
          <w:sz w:val="22"/>
          <w:szCs w:val="22"/>
          <w:lang w:val="fr-FR"/>
        </w:rPr>
        <w:t xml:space="preserve">sur les listes </w:t>
      </w:r>
      <w:r w:rsidRPr="00FF6154">
        <w:rPr>
          <w:rFonts w:ascii="Arial" w:hAnsi="Arial" w:cs="Arial"/>
          <w:sz w:val="22"/>
          <w:szCs w:val="22"/>
          <w:lang w:val="fr-FR"/>
        </w:rPr>
        <w:t xml:space="preserve">pendant deux ans ne devrait pas être </w:t>
      </w:r>
      <w:r>
        <w:rPr>
          <w:rFonts w:ascii="Arial" w:hAnsi="Arial" w:cs="Arial"/>
          <w:sz w:val="22"/>
          <w:szCs w:val="22"/>
          <w:lang w:val="fr-FR"/>
        </w:rPr>
        <w:t>r</w:t>
      </w:r>
      <w:r w:rsidRPr="00FF6154">
        <w:rPr>
          <w:rFonts w:ascii="Arial" w:hAnsi="Arial" w:cs="Arial"/>
          <w:sz w:val="22"/>
          <w:szCs w:val="22"/>
          <w:lang w:val="fr-FR"/>
        </w:rPr>
        <w:t xml:space="preserve">ouvert car </w:t>
      </w:r>
      <w:r>
        <w:rPr>
          <w:rFonts w:ascii="Arial" w:hAnsi="Arial" w:cs="Arial"/>
          <w:sz w:val="22"/>
          <w:szCs w:val="22"/>
          <w:lang w:val="fr-FR"/>
        </w:rPr>
        <w:t>il</w:t>
      </w:r>
      <w:r w:rsidRPr="00FF6154">
        <w:rPr>
          <w:rFonts w:ascii="Arial" w:hAnsi="Arial" w:cs="Arial"/>
          <w:sz w:val="22"/>
          <w:szCs w:val="22"/>
          <w:lang w:val="fr-FR"/>
        </w:rPr>
        <w:t xml:space="preserve"> a</w:t>
      </w:r>
      <w:r>
        <w:rPr>
          <w:rFonts w:ascii="Arial" w:hAnsi="Arial" w:cs="Arial"/>
          <w:sz w:val="22"/>
          <w:szCs w:val="22"/>
          <w:lang w:val="fr-FR"/>
        </w:rPr>
        <w:t>vait</w:t>
      </w:r>
      <w:r w:rsidRPr="00FF6154">
        <w:rPr>
          <w:rFonts w:ascii="Arial" w:hAnsi="Arial" w:cs="Arial"/>
          <w:sz w:val="22"/>
          <w:szCs w:val="22"/>
          <w:lang w:val="fr-FR"/>
        </w:rPr>
        <w:t xml:space="preserve"> déjà </w:t>
      </w:r>
      <w:r>
        <w:rPr>
          <w:rFonts w:ascii="Arial" w:hAnsi="Arial" w:cs="Arial"/>
          <w:sz w:val="22"/>
          <w:szCs w:val="22"/>
          <w:lang w:val="fr-FR"/>
        </w:rPr>
        <w:t>fait l</w:t>
      </w:r>
      <w:r w:rsidR="008E532B">
        <w:rPr>
          <w:rFonts w:ascii="Arial" w:hAnsi="Arial" w:cs="Arial"/>
          <w:sz w:val="22"/>
          <w:szCs w:val="22"/>
          <w:lang w:val="fr-FR"/>
        </w:rPr>
        <w:t>’</w:t>
      </w:r>
      <w:r>
        <w:rPr>
          <w:rFonts w:ascii="Arial" w:hAnsi="Arial" w:cs="Arial"/>
          <w:sz w:val="22"/>
          <w:szCs w:val="22"/>
          <w:lang w:val="fr-FR"/>
        </w:rPr>
        <w:t>objet de longues discussions</w:t>
      </w:r>
      <w:r w:rsidRPr="00FF6154">
        <w:rPr>
          <w:rFonts w:ascii="Arial" w:hAnsi="Arial" w:cs="Arial"/>
          <w:sz w:val="22"/>
          <w:szCs w:val="22"/>
          <w:lang w:val="fr-FR"/>
        </w:rPr>
        <w:t xml:space="preserve">. La question </w:t>
      </w:r>
      <w:r>
        <w:rPr>
          <w:rFonts w:ascii="Arial" w:hAnsi="Arial" w:cs="Arial"/>
          <w:sz w:val="22"/>
          <w:szCs w:val="22"/>
          <w:lang w:val="fr-FR"/>
        </w:rPr>
        <w:t xml:space="preserve">présente </w:t>
      </w:r>
      <w:r w:rsidRPr="00FF6154">
        <w:rPr>
          <w:rFonts w:ascii="Arial" w:hAnsi="Arial" w:cs="Arial"/>
          <w:sz w:val="22"/>
          <w:szCs w:val="22"/>
          <w:lang w:val="fr-FR"/>
        </w:rPr>
        <w:t>concern</w:t>
      </w:r>
      <w:r>
        <w:rPr>
          <w:rFonts w:ascii="Arial" w:hAnsi="Arial" w:cs="Arial"/>
          <w:sz w:val="22"/>
          <w:szCs w:val="22"/>
          <w:lang w:val="fr-FR"/>
        </w:rPr>
        <w:t>ait</w:t>
      </w:r>
      <w:r w:rsidRPr="00FF6154">
        <w:rPr>
          <w:rFonts w:ascii="Arial" w:hAnsi="Arial" w:cs="Arial"/>
          <w:sz w:val="22"/>
          <w:szCs w:val="22"/>
          <w:lang w:val="fr-FR"/>
        </w:rPr>
        <w:t xml:space="preserve"> l</w:t>
      </w:r>
      <w:r w:rsidR="008E532B">
        <w:rPr>
          <w:rFonts w:ascii="Arial" w:hAnsi="Arial" w:cs="Arial"/>
          <w:sz w:val="22"/>
          <w:szCs w:val="22"/>
          <w:lang w:val="fr-FR"/>
        </w:rPr>
        <w:t>’</w:t>
      </w:r>
      <w:r w:rsidRPr="00FF6154">
        <w:rPr>
          <w:rFonts w:ascii="Arial" w:hAnsi="Arial" w:cs="Arial"/>
          <w:sz w:val="22"/>
          <w:szCs w:val="22"/>
          <w:lang w:val="fr-FR"/>
        </w:rPr>
        <w:t>éligibilité d</w:t>
      </w:r>
      <w:r w:rsidR="008E532B">
        <w:rPr>
          <w:rFonts w:ascii="Arial" w:hAnsi="Arial" w:cs="Arial"/>
          <w:sz w:val="22"/>
          <w:szCs w:val="22"/>
          <w:lang w:val="fr-FR"/>
        </w:rPr>
        <w:t>’</w:t>
      </w:r>
      <w:r w:rsidRPr="00FF6154">
        <w:rPr>
          <w:rFonts w:ascii="Arial" w:hAnsi="Arial" w:cs="Arial"/>
          <w:sz w:val="22"/>
          <w:szCs w:val="22"/>
          <w:lang w:val="fr-FR"/>
        </w:rPr>
        <w:t>une ONG à siéger au sein de l</w:t>
      </w:r>
      <w:r w:rsidR="008E532B">
        <w:rPr>
          <w:rFonts w:ascii="Arial" w:hAnsi="Arial" w:cs="Arial"/>
          <w:sz w:val="22"/>
          <w:szCs w:val="22"/>
          <w:lang w:val="fr-FR"/>
        </w:rPr>
        <w:t>’</w:t>
      </w:r>
      <w:r w:rsidRPr="00FF6154">
        <w:rPr>
          <w:rFonts w:ascii="Arial" w:hAnsi="Arial" w:cs="Arial"/>
          <w:sz w:val="22"/>
          <w:szCs w:val="22"/>
          <w:lang w:val="fr-FR"/>
        </w:rPr>
        <w:t>Organe d</w:t>
      </w:r>
      <w:r w:rsidR="008E532B">
        <w:rPr>
          <w:rFonts w:ascii="Arial" w:hAnsi="Arial" w:cs="Arial"/>
          <w:sz w:val="22"/>
          <w:szCs w:val="22"/>
          <w:lang w:val="fr-FR"/>
        </w:rPr>
        <w:t>’</w:t>
      </w:r>
      <w:r w:rsidRPr="00FF6154">
        <w:rPr>
          <w:rFonts w:ascii="Arial" w:hAnsi="Arial" w:cs="Arial"/>
          <w:sz w:val="22"/>
          <w:szCs w:val="22"/>
          <w:lang w:val="fr-FR"/>
        </w:rPr>
        <w:t>évaluation et son accréditation, rappelant que la décision [d</w:t>
      </w:r>
      <w:r w:rsidR="008E532B">
        <w:rPr>
          <w:rFonts w:ascii="Arial" w:hAnsi="Arial" w:cs="Arial"/>
          <w:sz w:val="22"/>
          <w:szCs w:val="22"/>
          <w:lang w:val="fr-FR"/>
        </w:rPr>
        <w:t>’</w:t>
      </w:r>
      <w:r w:rsidRPr="00FF6154">
        <w:rPr>
          <w:rFonts w:ascii="Arial" w:hAnsi="Arial" w:cs="Arial"/>
          <w:sz w:val="22"/>
          <w:szCs w:val="22"/>
          <w:lang w:val="fr-FR"/>
        </w:rPr>
        <w:t xml:space="preserve">accréditer une ONG] </w:t>
      </w:r>
      <w:r>
        <w:rPr>
          <w:rFonts w:ascii="Arial" w:hAnsi="Arial" w:cs="Arial"/>
          <w:sz w:val="22"/>
          <w:szCs w:val="22"/>
          <w:lang w:val="fr-FR"/>
        </w:rPr>
        <w:t>était</w:t>
      </w:r>
      <w:r w:rsidRPr="00FF6154">
        <w:rPr>
          <w:rFonts w:ascii="Arial" w:hAnsi="Arial" w:cs="Arial"/>
          <w:sz w:val="22"/>
          <w:szCs w:val="22"/>
          <w:lang w:val="fr-FR"/>
        </w:rPr>
        <w:t xml:space="preserve"> d</w:t>
      </w:r>
      <w:r w:rsidR="008E532B">
        <w:rPr>
          <w:rFonts w:ascii="Arial" w:hAnsi="Arial" w:cs="Arial"/>
          <w:sz w:val="22"/>
          <w:szCs w:val="22"/>
          <w:lang w:val="fr-FR"/>
        </w:rPr>
        <w:t>’</w:t>
      </w:r>
      <w:r w:rsidRPr="00FF6154">
        <w:rPr>
          <w:rFonts w:ascii="Arial" w:hAnsi="Arial" w:cs="Arial"/>
          <w:sz w:val="22"/>
          <w:szCs w:val="22"/>
          <w:lang w:val="fr-FR"/>
        </w:rPr>
        <w:t xml:space="preserve">abord prise par le Comité </w:t>
      </w:r>
      <w:r>
        <w:rPr>
          <w:rFonts w:ascii="Arial" w:hAnsi="Arial" w:cs="Arial"/>
          <w:sz w:val="22"/>
          <w:szCs w:val="22"/>
          <w:lang w:val="fr-FR"/>
        </w:rPr>
        <w:t>dans le cadre d</w:t>
      </w:r>
      <w:r w:rsidR="008E532B">
        <w:rPr>
          <w:rFonts w:ascii="Arial" w:hAnsi="Arial" w:cs="Arial"/>
          <w:sz w:val="22"/>
          <w:szCs w:val="22"/>
          <w:lang w:val="fr-FR"/>
        </w:rPr>
        <w:t>’</w:t>
      </w:r>
      <w:r w:rsidRPr="00FF6154">
        <w:rPr>
          <w:rFonts w:ascii="Arial" w:hAnsi="Arial" w:cs="Arial"/>
          <w:sz w:val="22"/>
          <w:szCs w:val="22"/>
          <w:lang w:val="fr-FR"/>
        </w:rPr>
        <w:t>un processus d</w:t>
      </w:r>
      <w:r w:rsidR="008E532B">
        <w:rPr>
          <w:rFonts w:ascii="Arial" w:hAnsi="Arial" w:cs="Arial"/>
          <w:sz w:val="22"/>
          <w:szCs w:val="22"/>
          <w:lang w:val="fr-FR"/>
        </w:rPr>
        <w:t>’</w:t>
      </w:r>
      <w:r w:rsidRPr="00FF6154">
        <w:rPr>
          <w:rFonts w:ascii="Arial" w:hAnsi="Arial" w:cs="Arial"/>
          <w:sz w:val="22"/>
          <w:szCs w:val="22"/>
          <w:lang w:val="fr-FR"/>
        </w:rPr>
        <w:t>élection, puis approuvée par l</w:t>
      </w:r>
      <w:r w:rsidR="008E532B">
        <w:rPr>
          <w:rFonts w:ascii="Arial" w:hAnsi="Arial" w:cs="Arial"/>
          <w:sz w:val="22"/>
          <w:szCs w:val="22"/>
          <w:lang w:val="fr-FR"/>
        </w:rPr>
        <w:t>’</w:t>
      </w:r>
      <w:r w:rsidRPr="00FF6154">
        <w:rPr>
          <w:rFonts w:ascii="Arial" w:hAnsi="Arial" w:cs="Arial"/>
          <w:sz w:val="22"/>
          <w:szCs w:val="22"/>
          <w:lang w:val="fr-FR"/>
        </w:rPr>
        <w:t>Assemblée générale. La question ne concern</w:t>
      </w:r>
      <w:r>
        <w:rPr>
          <w:rFonts w:ascii="Arial" w:hAnsi="Arial" w:cs="Arial"/>
          <w:sz w:val="22"/>
          <w:szCs w:val="22"/>
          <w:lang w:val="fr-FR"/>
        </w:rPr>
        <w:t>ait</w:t>
      </w:r>
      <w:r w:rsidRPr="00FF6154">
        <w:rPr>
          <w:rFonts w:ascii="Arial" w:hAnsi="Arial" w:cs="Arial"/>
          <w:sz w:val="22"/>
          <w:szCs w:val="22"/>
          <w:lang w:val="fr-FR"/>
        </w:rPr>
        <w:t xml:space="preserve"> donc pas l</w:t>
      </w:r>
      <w:r w:rsidR="008E532B">
        <w:rPr>
          <w:rFonts w:ascii="Arial" w:hAnsi="Arial" w:cs="Arial"/>
          <w:sz w:val="22"/>
          <w:szCs w:val="22"/>
          <w:lang w:val="fr-FR"/>
        </w:rPr>
        <w:t>’</w:t>
      </w:r>
      <w:r w:rsidRPr="00FF6154">
        <w:rPr>
          <w:rFonts w:ascii="Arial" w:hAnsi="Arial" w:cs="Arial"/>
          <w:sz w:val="22"/>
          <w:szCs w:val="22"/>
          <w:lang w:val="fr-FR"/>
        </w:rPr>
        <w:t>accréditation d</w:t>
      </w:r>
      <w:r w:rsidR="008E532B">
        <w:rPr>
          <w:rFonts w:ascii="Arial" w:hAnsi="Arial" w:cs="Arial"/>
          <w:sz w:val="22"/>
          <w:szCs w:val="22"/>
          <w:lang w:val="fr-FR"/>
        </w:rPr>
        <w:t>’</w:t>
      </w:r>
      <w:r w:rsidRPr="00FF6154">
        <w:rPr>
          <w:rFonts w:ascii="Arial" w:hAnsi="Arial" w:cs="Arial"/>
          <w:sz w:val="22"/>
          <w:szCs w:val="22"/>
          <w:lang w:val="fr-FR"/>
        </w:rPr>
        <w:t>une ONG mais plutôt son éligibilité. Le processus actuel fai</w:t>
      </w:r>
      <w:r>
        <w:rPr>
          <w:rFonts w:ascii="Arial" w:hAnsi="Arial" w:cs="Arial"/>
          <w:sz w:val="22"/>
          <w:szCs w:val="22"/>
          <w:lang w:val="fr-FR"/>
        </w:rPr>
        <w:t>sait</w:t>
      </w:r>
      <w:r w:rsidRPr="00FF6154">
        <w:rPr>
          <w:rFonts w:ascii="Arial" w:hAnsi="Arial" w:cs="Arial"/>
          <w:sz w:val="22"/>
          <w:szCs w:val="22"/>
          <w:lang w:val="fr-FR"/>
        </w:rPr>
        <w:t xml:space="preserve"> partie </w:t>
      </w:r>
      <w:r>
        <w:rPr>
          <w:rFonts w:ascii="Arial" w:hAnsi="Arial" w:cs="Arial"/>
          <w:sz w:val="22"/>
          <w:szCs w:val="22"/>
          <w:lang w:val="fr-FR"/>
        </w:rPr>
        <w:t>de l</w:t>
      </w:r>
      <w:r w:rsidR="008E532B">
        <w:rPr>
          <w:rFonts w:ascii="Arial" w:hAnsi="Arial" w:cs="Arial"/>
          <w:sz w:val="22"/>
          <w:szCs w:val="22"/>
          <w:lang w:val="fr-FR"/>
        </w:rPr>
        <w:t>’</w:t>
      </w:r>
      <w:r>
        <w:rPr>
          <w:rFonts w:ascii="Arial" w:hAnsi="Arial" w:cs="Arial"/>
          <w:sz w:val="22"/>
          <w:szCs w:val="22"/>
          <w:lang w:val="fr-FR"/>
        </w:rPr>
        <w:t xml:space="preserve">inclusivité </w:t>
      </w:r>
      <w:r w:rsidRPr="00FF6154">
        <w:rPr>
          <w:rFonts w:ascii="Arial" w:hAnsi="Arial" w:cs="Arial"/>
          <w:sz w:val="22"/>
          <w:szCs w:val="22"/>
          <w:lang w:val="fr-FR"/>
        </w:rPr>
        <w:t xml:space="preserve">et de la large participation </w:t>
      </w:r>
      <w:r>
        <w:rPr>
          <w:rFonts w:ascii="Arial" w:hAnsi="Arial" w:cs="Arial"/>
          <w:sz w:val="22"/>
          <w:szCs w:val="22"/>
          <w:lang w:val="fr-FR"/>
        </w:rPr>
        <w:t>voulus par</w:t>
      </w:r>
      <w:r w:rsidRPr="00FF6154">
        <w:rPr>
          <w:rFonts w:ascii="Arial" w:hAnsi="Arial" w:cs="Arial"/>
          <w:sz w:val="22"/>
          <w:szCs w:val="22"/>
          <w:lang w:val="fr-FR"/>
        </w:rPr>
        <w:t xml:space="preserve"> l</w:t>
      </w:r>
      <w:r w:rsidR="008E532B">
        <w:rPr>
          <w:rFonts w:ascii="Arial" w:hAnsi="Arial" w:cs="Arial"/>
          <w:sz w:val="22"/>
          <w:szCs w:val="22"/>
          <w:lang w:val="fr-FR"/>
        </w:rPr>
        <w:t>’</w:t>
      </w:r>
      <w:r w:rsidRPr="00FF6154">
        <w:rPr>
          <w:rFonts w:ascii="Arial" w:hAnsi="Arial" w:cs="Arial"/>
          <w:sz w:val="22"/>
          <w:szCs w:val="22"/>
          <w:lang w:val="fr-FR"/>
        </w:rPr>
        <w:t xml:space="preserve">Assemblée </w:t>
      </w:r>
      <w:r>
        <w:rPr>
          <w:rFonts w:ascii="Arial" w:hAnsi="Arial" w:cs="Arial"/>
          <w:sz w:val="22"/>
          <w:szCs w:val="22"/>
          <w:lang w:val="fr-FR"/>
        </w:rPr>
        <w:t xml:space="preserve">pour </w:t>
      </w:r>
      <w:r w:rsidRPr="00FF6154">
        <w:rPr>
          <w:rFonts w:ascii="Arial" w:hAnsi="Arial" w:cs="Arial"/>
          <w:sz w:val="22"/>
          <w:szCs w:val="22"/>
          <w:lang w:val="fr-FR"/>
        </w:rPr>
        <w:t>cette Convention. La Suède</w:t>
      </w:r>
      <w:r>
        <w:rPr>
          <w:rFonts w:ascii="Arial" w:hAnsi="Arial" w:cs="Arial"/>
          <w:sz w:val="22"/>
          <w:szCs w:val="22"/>
          <w:lang w:val="fr-FR"/>
        </w:rPr>
        <w:t>, qui</w:t>
      </w:r>
      <w:r w:rsidRPr="00FF6154">
        <w:rPr>
          <w:rFonts w:ascii="Arial" w:hAnsi="Arial" w:cs="Arial"/>
          <w:sz w:val="22"/>
          <w:szCs w:val="22"/>
          <w:lang w:val="fr-FR"/>
        </w:rPr>
        <w:t xml:space="preserve"> n</w:t>
      </w:r>
      <w:r>
        <w:rPr>
          <w:rFonts w:ascii="Arial" w:hAnsi="Arial" w:cs="Arial"/>
          <w:sz w:val="22"/>
          <w:szCs w:val="22"/>
          <w:lang w:val="fr-FR"/>
        </w:rPr>
        <w:t>e soutenait donc pas</w:t>
      </w:r>
      <w:r w:rsidRPr="00FF6154">
        <w:rPr>
          <w:rFonts w:ascii="Arial" w:hAnsi="Arial" w:cs="Arial"/>
          <w:sz w:val="22"/>
          <w:szCs w:val="22"/>
          <w:lang w:val="fr-FR"/>
        </w:rPr>
        <w:t xml:space="preserve"> la proposition de la Palestine</w:t>
      </w:r>
      <w:r>
        <w:rPr>
          <w:rFonts w:ascii="Arial" w:hAnsi="Arial" w:cs="Arial"/>
          <w:sz w:val="22"/>
          <w:szCs w:val="22"/>
          <w:lang w:val="fr-FR"/>
        </w:rPr>
        <w:t xml:space="preserve">, </w:t>
      </w:r>
      <w:r w:rsidRPr="00FF6154">
        <w:rPr>
          <w:rFonts w:ascii="Arial" w:hAnsi="Arial" w:cs="Arial"/>
          <w:sz w:val="22"/>
          <w:szCs w:val="22"/>
          <w:lang w:val="fr-FR"/>
        </w:rPr>
        <w:t>a suggéré de passer directement à la décision.</w:t>
      </w:r>
    </w:p>
    <w:p w14:paraId="62C6F218" w14:textId="67084B83" w:rsidR="00D9653F" w:rsidRPr="00FF5A59"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FF5A59">
        <w:rPr>
          <w:rFonts w:ascii="Arial" w:hAnsi="Arial" w:cs="Arial"/>
          <w:sz w:val="22"/>
          <w:szCs w:val="22"/>
          <w:lang w:val="fr-FR"/>
        </w:rPr>
        <w:t xml:space="preserve">La délégation </w:t>
      </w:r>
      <w:r>
        <w:rPr>
          <w:rFonts w:ascii="Arial" w:hAnsi="Arial" w:cs="Arial"/>
          <w:sz w:val="22"/>
          <w:szCs w:val="22"/>
          <w:lang w:val="fr-FR"/>
        </w:rPr>
        <w:t xml:space="preserve">de la </w:t>
      </w:r>
      <w:r w:rsidRPr="00E10C45">
        <w:rPr>
          <w:rFonts w:ascii="Arial" w:hAnsi="Arial" w:cs="Arial"/>
          <w:b/>
          <w:bCs/>
          <w:sz w:val="22"/>
          <w:szCs w:val="22"/>
          <w:lang w:val="fr-FR"/>
        </w:rPr>
        <w:t>Mauritanie</w:t>
      </w:r>
      <w:r w:rsidRPr="00FF5A59">
        <w:rPr>
          <w:rFonts w:ascii="Arial" w:hAnsi="Arial" w:cs="Arial"/>
          <w:sz w:val="22"/>
          <w:szCs w:val="22"/>
          <w:lang w:val="fr-FR"/>
        </w:rPr>
        <w:t xml:space="preserve"> a remercié le Président du Forum des ONG pour cette importante discussion, d</w:t>
      </w:r>
      <w:r w:rsidR="008E532B">
        <w:rPr>
          <w:rFonts w:ascii="Arial" w:hAnsi="Arial" w:cs="Arial"/>
          <w:sz w:val="22"/>
          <w:szCs w:val="22"/>
          <w:lang w:val="fr-FR"/>
        </w:rPr>
        <w:t>’</w:t>
      </w:r>
      <w:r w:rsidRPr="00FF5A59">
        <w:rPr>
          <w:rFonts w:ascii="Arial" w:hAnsi="Arial" w:cs="Arial"/>
          <w:sz w:val="22"/>
          <w:szCs w:val="22"/>
          <w:lang w:val="fr-FR"/>
        </w:rPr>
        <w:t>autant plus qu</w:t>
      </w:r>
      <w:r w:rsidR="008E532B">
        <w:rPr>
          <w:rFonts w:ascii="Arial" w:hAnsi="Arial" w:cs="Arial"/>
          <w:sz w:val="22"/>
          <w:szCs w:val="22"/>
          <w:lang w:val="fr-FR"/>
        </w:rPr>
        <w:t>’</w:t>
      </w:r>
      <w:r w:rsidRPr="00FF5A59">
        <w:rPr>
          <w:rFonts w:ascii="Arial" w:hAnsi="Arial" w:cs="Arial"/>
          <w:sz w:val="22"/>
          <w:szCs w:val="22"/>
          <w:lang w:val="fr-FR"/>
        </w:rPr>
        <w:t>elle concern</w:t>
      </w:r>
      <w:r>
        <w:rPr>
          <w:rFonts w:ascii="Arial" w:hAnsi="Arial" w:cs="Arial"/>
          <w:sz w:val="22"/>
          <w:szCs w:val="22"/>
          <w:lang w:val="fr-FR"/>
        </w:rPr>
        <w:t>ait</w:t>
      </w:r>
      <w:r w:rsidRPr="00FF5A59">
        <w:rPr>
          <w:rFonts w:ascii="Arial" w:hAnsi="Arial" w:cs="Arial"/>
          <w:sz w:val="22"/>
          <w:szCs w:val="22"/>
          <w:lang w:val="fr-FR"/>
        </w:rPr>
        <w:t xml:space="preserve"> la société civile qu</w:t>
      </w:r>
      <w:r>
        <w:rPr>
          <w:rFonts w:ascii="Arial" w:hAnsi="Arial" w:cs="Arial"/>
          <w:sz w:val="22"/>
          <w:szCs w:val="22"/>
          <w:lang w:val="fr-FR"/>
        </w:rPr>
        <w:t>e le pays</w:t>
      </w:r>
      <w:r w:rsidRPr="00FF5A59">
        <w:rPr>
          <w:rFonts w:ascii="Arial" w:hAnsi="Arial" w:cs="Arial"/>
          <w:sz w:val="22"/>
          <w:szCs w:val="22"/>
          <w:lang w:val="fr-FR"/>
        </w:rPr>
        <w:t xml:space="preserve"> sout</w:t>
      </w:r>
      <w:r>
        <w:rPr>
          <w:rFonts w:ascii="Arial" w:hAnsi="Arial" w:cs="Arial"/>
          <w:sz w:val="22"/>
          <w:szCs w:val="22"/>
          <w:lang w:val="fr-FR"/>
        </w:rPr>
        <w:t>enait</w:t>
      </w:r>
      <w:r w:rsidRPr="00FF5A59">
        <w:rPr>
          <w:rFonts w:ascii="Arial" w:hAnsi="Arial" w:cs="Arial"/>
          <w:sz w:val="22"/>
          <w:szCs w:val="22"/>
          <w:lang w:val="fr-FR"/>
        </w:rPr>
        <w:t xml:space="preserve"> à tous les niveaux. La délégation n</w:t>
      </w:r>
      <w:r>
        <w:rPr>
          <w:rFonts w:ascii="Arial" w:hAnsi="Arial" w:cs="Arial"/>
          <w:sz w:val="22"/>
          <w:szCs w:val="22"/>
          <w:lang w:val="fr-FR"/>
        </w:rPr>
        <w:t xml:space="preserve">e </w:t>
      </w:r>
      <w:r w:rsidRPr="00FF5A59">
        <w:rPr>
          <w:rFonts w:ascii="Arial" w:hAnsi="Arial" w:cs="Arial"/>
          <w:sz w:val="22"/>
          <w:szCs w:val="22"/>
          <w:lang w:val="fr-FR"/>
        </w:rPr>
        <w:t>recommand</w:t>
      </w:r>
      <w:r>
        <w:rPr>
          <w:rFonts w:ascii="Arial" w:hAnsi="Arial" w:cs="Arial"/>
          <w:sz w:val="22"/>
          <w:szCs w:val="22"/>
          <w:lang w:val="fr-FR"/>
        </w:rPr>
        <w:t>ait pas</w:t>
      </w:r>
      <w:r w:rsidRPr="00FF5A59">
        <w:rPr>
          <w:rFonts w:ascii="Arial" w:hAnsi="Arial" w:cs="Arial"/>
          <w:sz w:val="22"/>
          <w:szCs w:val="22"/>
          <w:lang w:val="fr-FR"/>
        </w:rPr>
        <w:t xml:space="preserve"> d</w:t>
      </w:r>
      <w:r w:rsidR="008E532B">
        <w:rPr>
          <w:rFonts w:ascii="Arial" w:hAnsi="Arial" w:cs="Arial"/>
          <w:sz w:val="22"/>
          <w:szCs w:val="22"/>
          <w:lang w:val="fr-FR"/>
        </w:rPr>
        <w:t>’</w:t>
      </w:r>
      <w:r w:rsidRPr="00FF5A59">
        <w:rPr>
          <w:rFonts w:ascii="Arial" w:hAnsi="Arial" w:cs="Arial"/>
          <w:sz w:val="22"/>
          <w:szCs w:val="22"/>
          <w:lang w:val="fr-FR"/>
        </w:rPr>
        <w:t xml:space="preserve">élargir inconditionnellement la reconnaissance des ONG </w:t>
      </w:r>
      <w:r>
        <w:rPr>
          <w:rFonts w:ascii="Arial" w:hAnsi="Arial" w:cs="Arial"/>
          <w:sz w:val="22"/>
          <w:szCs w:val="22"/>
          <w:lang w:val="fr-FR"/>
        </w:rPr>
        <w:t xml:space="preserve">non </w:t>
      </w:r>
      <w:r w:rsidRPr="00FF5A59">
        <w:rPr>
          <w:rFonts w:ascii="Arial" w:hAnsi="Arial" w:cs="Arial"/>
          <w:sz w:val="22"/>
          <w:szCs w:val="22"/>
          <w:lang w:val="fr-FR"/>
        </w:rPr>
        <w:t xml:space="preserve">associées </w:t>
      </w:r>
      <w:r>
        <w:rPr>
          <w:rFonts w:ascii="Arial" w:hAnsi="Arial" w:cs="Arial"/>
          <w:sz w:val="22"/>
          <w:szCs w:val="22"/>
          <w:lang w:val="fr-FR"/>
        </w:rPr>
        <w:t>à des</w:t>
      </w:r>
      <w:r w:rsidRPr="00FF5A59">
        <w:rPr>
          <w:rFonts w:ascii="Arial" w:hAnsi="Arial" w:cs="Arial"/>
          <w:sz w:val="22"/>
          <w:szCs w:val="22"/>
          <w:lang w:val="fr-FR"/>
        </w:rPr>
        <w:t xml:space="preserve"> États parties. Cependant, elle estim</w:t>
      </w:r>
      <w:r>
        <w:rPr>
          <w:rFonts w:ascii="Arial" w:hAnsi="Arial" w:cs="Arial"/>
          <w:sz w:val="22"/>
          <w:szCs w:val="22"/>
          <w:lang w:val="fr-FR"/>
        </w:rPr>
        <w:t>ait</w:t>
      </w:r>
      <w:r w:rsidRPr="00FF5A59">
        <w:rPr>
          <w:rFonts w:ascii="Arial" w:hAnsi="Arial" w:cs="Arial"/>
          <w:sz w:val="22"/>
          <w:szCs w:val="22"/>
          <w:lang w:val="fr-FR"/>
        </w:rPr>
        <w:t xml:space="preserve"> que leur donner la possibilité d</w:t>
      </w:r>
      <w:r w:rsidR="008E532B">
        <w:rPr>
          <w:rFonts w:ascii="Arial" w:hAnsi="Arial" w:cs="Arial"/>
          <w:sz w:val="22"/>
          <w:szCs w:val="22"/>
          <w:lang w:val="fr-FR"/>
        </w:rPr>
        <w:t>’</w:t>
      </w:r>
      <w:r w:rsidRPr="00FF5A59">
        <w:rPr>
          <w:rFonts w:ascii="Arial" w:hAnsi="Arial" w:cs="Arial"/>
          <w:sz w:val="22"/>
          <w:szCs w:val="22"/>
          <w:lang w:val="fr-FR"/>
        </w:rPr>
        <w:t>être reconnues à leur niveau national par le biais d</w:t>
      </w:r>
      <w:r w:rsidR="008E532B">
        <w:rPr>
          <w:rFonts w:ascii="Arial" w:hAnsi="Arial" w:cs="Arial"/>
          <w:sz w:val="22"/>
          <w:szCs w:val="22"/>
          <w:lang w:val="fr-FR"/>
        </w:rPr>
        <w:t>’</w:t>
      </w:r>
      <w:r w:rsidRPr="00FF5A59">
        <w:rPr>
          <w:rFonts w:ascii="Arial" w:hAnsi="Arial" w:cs="Arial"/>
          <w:sz w:val="22"/>
          <w:szCs w:val="22"/>
          <w:lang w:val="fr-FR"/>
        </w:rPr>
        <w:t xml:space="preserve">un système déclaratif </w:t>
      </w:r>
      <w:r>
        <w:rPr>
          <w:rFonts w:ascii="Arial" w:hAnsi="Arial" w:cs="Arial"/>
          <w:sz w:val="22"/>
          <w:szCs w:val="22"/>
          <w:lang w:val="fr-FR"/>
        </w:rPr>
        <w:t xml:space="preserve">était </w:t>
      </w:r>
      <w:r w:rsidRPr="00FF5A59">
        <w:rPr>
          <w:rFonts w:ascii="Arial" w:hAnsi="Arial" w:cs="Arial"/>
          <w:sz w:val="22"/>
          <w:szCs w:val="22"/>
          <w:lang w:val="fr-FR"/>
        </w:rPr>
        <w:t>extrêmement important. La Mauritanie respect</w:t>
      </w:r>
      <w:r>
        <w:rPr>
          <w:rFonts w:ascii="Arial" w:hAnsi="Arial" w:cs="Arial"/>
          <w:sz w:val="22"/>
          <w:szCs w:val="22"/>
          <w:lang w:val="fr-FR"/>
        </w:rPr>
        <w:t>ait</w:t>
      </w:r>
      <w:r w:rsidRPr="00FF5A59">
        <w:rPr>
          <w:rFonts w:ascii="Arial" w:hAnsi="Arial" w:cs="Arial"/>
          <w:sz w:val="22"/>
          <w:szCs w:val="22"/>
          <w:lang w:val="fr-FR"/>
        </w:rPr>
        <w:t xml:space="preserve"> la législation des pays, mais dans plusieurs pays les ONG </w:t>
      </w:r>
      <w:r>
        <w:rPr>
          <w:rFonts w:ascii="Arial" w:hAnsi="Arial" w:cs="Arial"/>
          <w:sz w:val="22"/>
          <w:szCs w:val="22"/>
          <w:lang w:val="fr-FR"/>
        </w:rPr>
        <w:t>étaient</w:t>
      </w:r>
      <w:r w:rsidRPr="00FF5A59">
        <w:rPr>
          <w:rFonts w:ascii="Arial" w:hAnsi="Arial" w:cs="Arial"/>
          <w:sz w:val="22"/>
          <w:szCs w:val="22"/>
          <w:lang w:val="fr-FR"/>
        </w:rPr>
        <w:t xml:space="preserve"> soumises à</w:t>
      </w:r>
      <w:r>
        <w:rPr>
          <w:rFonts w:ascii="Arial" w:hAnsi="Arial" w:cs="Arial"/>
          <w:sz w:val="22"/>
          <w:szCs w:val="22"/>
          <w:lang w:val="fr-FR"/>
        </w:rPr>
        <w:t xml:space="preserve"> l</w:t>
      </w:r>
      <w:r w:rsidR="008E532B">
        <w:rPr>
          <w:rFonts w:ascii="Arial" w:hAnsi="Arial" w:cs="Arial"/>
          <w:sz w:val="22"/>
          <w:szCs w:val="22"/>
          <w:lang w:val="fr-FR"/>
        </w:rPr>
        <w:t>’</w:t>
      </w:r>
      <w:r>
        <w:rPr>
          <w:rFonts w:ascii="Arial" w:hAnsi="Arial" w:cs="Arial"/>
          <w:sz w:val="22"/>
          <w:szCs w:val="22"/>
          <w:lang w:val="fr-FR"/>
        </w:rPr>
        <w:t>obtention d</w:t>
      </w:r>
      <w:r w:rsidR="008E532B">
        <w:rPr>
          <w:rFonts w:ascii="Arial" w:hAnsi="Arial" w:cs="Arial"/>
          <w:sz w:val="22"/>
          <w:szCs w:val="22"/>
          <w:lang w:val="fr-FR"/>
        </w:rPr>
        <w:t>’</w:t>
      </w:r>
      <w:r>
        <w:rPr>
          <w:rFonts w:ascii="Arial" w:hAnsi="Arial" w:cs="Arial"/>
          <w:sz w:val="22"/>
          <w:szCs w:val="22"/>
          <w:lang w:val="fr-FR"/>
        </w:rPr>
        <w:t>un récépissé</w:t>
      </w:r>
      <w:r w:rsidRPr="00FF5A59">
        <w:rPr>
          <w:rFonts w:ascii="Arial" w:hAnsi="Arial" w:cs="Arial"/>
          <w:sz w:val="22"/>
          <w:szCs w:val="22"/>
          <w:lang w:val="fr-FR"/>
        </w:rPr>
        <w:t xml:space="preserve"> et donc la meilleure façon de leur accorder l</w:t>
      </w:r>
      <w:r w:rsidR="008E532B">
        <w:rPr>
          <w:rFonts w:ascii="Arial" w:hAnsi="Arial" w:cs="Arial"/>
          <w:sz w:val="22"/>
          <w:szCs w:val="22"/>
          <w:lang w:val="fr-FR"/>
        </w:rPr>
        <w:t>’</w:t>
      </w:r>
      <w:r w:rsidRPr="00FF5A59">
        <w:rPr>
          <w:rFonts w:ascii="Arial" w:hAnsi="Arial" w:cs="Arial"/>
          <w:sz w:val="22"/>
          <w:szCs w:val="22"/>
          <w:lang w:val="fr-FR"/>
        </w:rPr>
        <w:t xml:space="preserve">indépendance </w:t>
      </w:r>
      <w:r>
        <w:rPr>
          <w:rFonts w:ascii="Arial" w:hAnsi="Arial" w:cs="Arial"/>
          <w:sz w:val="22"/>
          <w:szCs w:val="22"/>
          <w:lang w:val="fr-FR"/>
        </w:rPr>
        <w:t>était</w:t>
      </w:r>
      <w:r w:rsidRPr="00FF5A59">
        <w:rPr>
          <w:rFonts w:ascii="Arial" w:hAnsi="Arial" w:cs="Arial"/>
          <w:sz w:val="22"/>
          <w:szCs w:val="22"/>
          <w:lang w:val="fr-FR"/>
        </w:rPr>
        <w:t xml:space="preserve"> d</w:t>
      </w:r>
      <w:r w:rsidR="008E532B">
        <w:rPr>
          <w:rFonts w:ascii="Arial" w:hAnsi="Arial" w:cs="Arial"/>
          <w:sz w:val="22"/>
          <w:szCs w:val="22"/>
          <w:lang w:val="fr-FR"/>
        </w:rPr>
        <w:t>’</w:t>
      </w:r>
      <w:r w:rsidRPr="00FF5A59">
        <w:rPr>
          <w:rFonts w:ascii="Arial" w:hAnsi="Arial" w:cs="Arial"/>
          <w:sz w:val="22"/>
          <w:szCs w:val="22"/>
          <w:lang w:val="fr-FR"/>
        </w:rPr>
        <w:t>avoir un système déclaratif, comme en Mauritanie où une plateforme informatique gén</w:t>
      </w:r>
      <w:r>
        <w:rPr>
          <w:rFonts w:ascii="Arial" w:hAnsi="Arial" w:cs="Arial"/>
          <w:sz w:val="22"/>
          <w:szCs w:val="22"/>
          <w:lang w:val="fr-FR"/>
        </w:rPr>
        <w:t>érait</w:t>
      </w:r>
      <w:r w:rsidRPr="00FF5A59">
        <w:rPr>
          <w:rFonts w:ascii="Arial" w:hAnsi="Arial" w:cs="Arial"/>
          <w:sz w:val="22"/>
          <w:szCs w:val="22"/>
          <w:lang w:val="fr-FR"/>
        </w:rPr>
        <w:t xml:space="preserve"> l</w:t>
      </w:r>
      <w:r w:rsidR="008E532B">
        <w:rPr>
          <w:rFonts w:ascii="Arial" w:hAnsi="Arial" w:cs="Arial"/>
          <w:sz w:val="22"/>
          <w:szCs w:val="22"/>
          <w:lang w:val="fr-FR"/>
        </w:rPr>
        <w:t>’</w:t>
      </w:r>
      <w:r w:rsidRPr="00FF5A59">
        <w:rPr>
          <w:rFonts w:ascii="Arial" w:hAnsi="Arial" w:cs="Arial"/>
          <w:sz w:val="22"/>
          <w:szCs w:val="22"/>
          <w:lang w:val="fr-FR"/>
        </w:rPr>
        <w:t>accréditation des ONG. En effet, les ONG jou</w:t>
      </w:r>
      <w:r>
        <w:rPr>
          <w:rFonts w:ascii="Arial" w:hAnsi="Arial" w:cs="Arial"/>
          <w:sz w:val="22"/>
          <w:szCs w:val="22"/>
          <w:lang w:val="fr-FR"/>
        </w:rPr>
        <w:t>ai</w:t>
      </w:r>
      <w:r w:rsidRPr="00FF5A59">
        <w:rPr>
          <w:rFonts w:ascii="Arial" w:hAnsi="Arial" w:cs="Arial"/>
          <w:sz w:val="22"/>
          <w:szCs w:val="22"/>
          <w:lang w:val="fr-FR"/>
        </w:rPr>
        <w:t>ent un rôle extrêmement important dans la société, notamment dans la sauvegarde du patrimoine immatériel, et il fa</w:t>
      </w:r>
      <w:r>
        <w:rPr>
          <w:rFonts w:ascii="Arial" w:hAnsi="Arial" w:cs="Arial"/>
          <w:sz w:val="22"/>
          <w:szCs w:val="22"/>
          <w:lang w:val="fr-FR"/>
        </w:rPr>
        <w:t>llait</w:t>
      </w:r>
      <w:r w:rsidRPr="00FF5A59">
        <w:rPr>
          <w:rFonts w:ascii="Arial" w:hAnsi="Arial" w:cs="Arial"/>
          <w:sz w:val="22"/>
          <w:szCs w:val="22"/>
          <w:lang w:val="fr-FR"/>
        </w:rPr>
        <w:t xml:space="preserve"> donc leur donner la possibilité d</w:t>
      </w:r>
      <w:r w:rsidR="008E532B">
        <w:rPr>
          <w:rFonts w:ascii="Arial" w:hAnsi="Arial" w:cs="Arial"/>
          <w:sz w:val="22"/>
          <w:szCs w:val="22"/>
          <w:lang w:val="fr-FR"/>
        </w:rPr>
        <w:t>’</w:t>
      </w:r>
      <w:r w:rsidRPr="00FF5A59">
        <w:rPr>
          <w:rFonts w:ascii="Arial" w:hAnsi="Arial" w:cs="Arial"/>
          <w:sz w:val="22"/>
          <w:szCs w:val="22"/>
          <w:lang w:val="fr-FR"/>
        </w:rPr>
        <w:t>être reconnues. Cependant, son expérience au niveau international a</w:t>
      </w:r>
      <w:r>
        <w:rPr>
          <w:rFonts w:ascii="Arial" w:hAnsi="Arial" w:cs="Arial"/>
          <w:sz w:val="22"/>
          <w:szCs w:val="22"/>
          <w:lang w:val="fr-FR"/>
        </w:rPr>
        <w:t>vait</w:t>
      </w:r>
      <w:r w:rsidRPr="00FF5A59">
        <w:rPr>
          <w:rFonts w:ascii="Arial" w:hAnsi="Arial" w:cs="Arial"/>
          <w:sz w:val="22"/>
          <w:szCs w:val="22"/>
          <w:lang w:val="fr-FR"/>
        </w:rPr>
        <w:t xml:space="preserve"> révélé la nature politisée des ONG.</w:t>
      </w:r>
    </w:p>
    <w:p w14:paraId="0542639B" w14:textId="4445C0A6" w:rsidR="00D9653F" w:rsidRPr="00D61128"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La </w:t>
      </w:r>
      <w:r w:rsidRPr="00D61128">
        <w:rPr>
          <w:rFonts w:ascii="Arial" w:hAnsi="Arial" w:cs="Arial"/>
          <w:b/>
          <w:bCs/>
          <w:sz w:val="22"/>
          <w:szCs w:val="22"/>
          <w:lang w:val="fr-FR"/>
        </w:rPr>
        <w:t>Présidente</w:t>
      </w:r>
      <w:r>
        <w:rPr>
          <w:rFonts w:ascii="Arial" w:hAnsi="Arial" w:cs="Arial"/>
          <w:sz w:val="22"/>
          <w:szCs w:val="22"/>
          <w:lang w:val="fr-FR"/>
        </w:rPr>
        <w:t xml:space="preserve"> a signalé une motion d</w:t>
      </w:r>
      <w:r w:rsidR="008E532B">
        <w:rPr>
          <w:rFonts w:ascii="Arial" w:hAnsi="Arial" w:cs="Arial"/>
          <w:sz w:val="22"/>
          <w:szCs w:val="22"/>
          <w:lang w:val="fr-FR"/>
        </w:rPr>
        <w:t>’</w:t>
      </w:r>
      <w:r>
        <w:rPr>
          <w:rFonts w:ascii="Arial" w:hAnsi="Arial" w:cs="Arial"/>
          <w:sz w:val="22"/>
          <w:szCs w:val="22"/>
          <w:lang w:val="fr-FR"/>
        </w:rPr>
        <w:t>ordre de la part de la Syrie.</w:t>
      </w:r>
    </w:p>
    <w:p w14:paraId="5EF3DF76" w14:textId="4C5BE482" w:rsidR="00D9653F" w:rsidRPr="00D61128"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D61128">
        <w:rPr>
          <w:rFonts w:ascii="Arial" w:hAnsi="Arial" w:cs="Arial"/>
          <w:sz w:val="22"/>
          <w:szCs w:val="22"/>
          <w:lang w:val="fr-FR"/>
        </w:rPr>
        <w:t xml:space="preserve">La délégation de la </w:t>
      </w:r>
      <w:r w:rsidRPr="00D61128">
        <w:rPr>
          <w:rFonts w:ascii="Arial" w:hAnsi="Arial" w:cs="Arial"/>
          <w:b/>
          <w:bCs/>
          <w:sz w:val="22"/>
          <w:szCs w:val="22"/>
          <w:lang w:val="fr-FR"/>
        </w:rPr>
        <w:t>République arabe syrienne</w:t>
      </w:r>
      <w:r w:rsidRPr="00D61128">
        <w:rPr>
          <w:rFonts w:ascii="Arial" w:hAnsi="Arial" w:cs="Arial"/>
          <w:sz w:val="22"/>
          <w:szCs w:val="22"/>
          <w:lang w:val="fr-FR"/>
        </w:rPr>
        <w:t xml:space="preserve"> a rappelé à l</w:t>
      </w:r>
      <w:r w:rsidR="008E532B">
        <w:rPr>
          <w:rFonts w:ascii="Arial" w:hAnsi="Arial" w:cs="Arial"/>
          <w:sz w:val="22"/>
          <w:szCs w:val="22"/>
          <w:lang w:val="fr-FR"/>
        </w:rPr>
        <w:t>’</w:t>
      </w:r>
      <w:r w:rsidRPr="00D61128">
        <w:rPr>
          <w:rFonts w:ascii="Arial" w:hAnsi="Arial" w:cs="Arial"/>
          <w:sz w:val="22"/>
          <w:szCs w:val="22"/>
          <w:lang w:val="fr-FR"/>
        </w:rPr>
        <w:t xml:space="preserve">Assemblée que la Convention fonctionnait dans un cadre très réglementé. </w:t>
      </w:r>
      <w:r>
        <w:rPr>
          <w:rFonts w:ascii="Arial" w:hAnsi="Arial" w:cs="Arial"/>
          <w:sz w:val="22"/>
          <w:szCs w:val="22"/>
          <w:lang w:val="fr-FR"/>
        </w:rPr>
        <w:t>La Grenade avait</w:t>
      </w:r>
      <w:r w:rsidRPr="00D61128">
        <w:rPr>
          <w:rFonts w:ascii="Arial" w:hAnsi="Arial" w:cs="Arial"/>
          <w:sz w:val="22"/>
          <w:szCs w:val="22"/>
          <w:lang w:val="fr-FR"/>
        </w:rPr>
        <w:t xml:space="preserve"> souligné la </w:t>
      </w:r>
      <w:r w:rsidR="00A96116">
        <w:rPr>
          <w:rFonts w:ascii="Arial" w:hAnsi="Arial" w:cs="Arial"/>
          <w:sz w:val="22"/>
          <w:szCs w:val="22"/>
          <w:lang w:val="fr-FR"/>
        </w:rPr>
        <w:t>décision</w:t>
      </w:r>
      <w:hyperlink r:id="rId40" w:history="1">
        <w:r w:rsidR="00A96116" w:rsidRPr="00A96116">
          <w:rPr>
            <w:rStyle w:val="Hyperlink"/>
            <w:rFonts w:ascii="Arial" w:hAnsi="Arial" w:cs="Arial"/>
            <w:sz w:val="22"/>
            <w:szCs w:val="22"/>
            <w:u w:val="none"/>
            <w:lang w:val="fr-FR"/>
          </w:rPr>
          <w:t> </w:t>
        </w:r>
        <w:r w:rsidRPr="00D61128">
          <w:rPr>
            <w:rStyle w:val="Hyperlink"/>
            <w:rFonts w:ascii="Arial" w:hAnsi="Arial" w:cs="Arial"/>
            <w:sz w:val="22"/>
            <w:szCs w:val="22"/>
            <w:lang w:val="fr-FR"/>
          </w:rPr>
          <w:t>16.COM 15</w:t>
        </w:r>
      </w:hyperlink>
      <w:r w:rsidRPr="00D61128">
        <w:rPr>
          <w:rFonts w:ascii="Arial" w:hAnsi="Arial" w:cs="Arial"/>
          <w:sz w:val="22"/>
          <w:szCs w:val="22"/>
          <w:lang w:val="fr-FR"/>
        </w:rPr>
        <w:t xml:space="preserve"> adoptée lors de la </w:t>
      </w:r>
      <w:r>
        <w:rPr>
          <w:rFonts w:ascii="Arial" w:hAnsi="Arial" w:cs="Arial"/>
          <w:sz w:val="22"/>
          <w:szCs w:val="22"/>
          <w:lang w:val="fr-FR"/>
        </w:rPr>
        <w:t xml:space="preserve">seizième </w:t>
      </w:r>
      <w:r w:rsidRPr="00D61128">
        <w:rPr>
          <w:rFonts w:ascii="Arial" w:hAnsi="Arial" w:cs="Arial"/>
          <w:sz w:val="22"/>
          <w:szCs w:val="22"/>
          <w:lang w:val="fr-FR"/>
        </w:rPr>
        <w:t>session du Comité. En effet, le paragraphe 11 de cette décision indiquait très clairement que le Secrétariat avait été chargé de mettre en place un mécanisme de co</w:t>
      </w:r>
      <w:r>
        <w:rPr>
          <w:rFonts w:ascii="Arial" w:hAnsi="Arial" w:cs="Arial"/>
          <w:sz w:val="22"/>
          <w:szCs w:val="22"/>
          <w:lang w:val="fr-FR"/>
        </w:rPr>
        <w:t>mmunication</w:t>
      </w:r>
      <w:r w:rsidRPr="00D61128">
        <w:rPr>
          <w:rFonts w:ascii="Arial" w:hAnsi="Arial" w:cs="Arial"/>
          <w:sz w:val="22"/>
          <w:szCs w:val="22"/>
          <w:lang w:val="fr-FR"/>
        </w:rPr>
        <w:t xml:space="preserve"> avec les </w:t>
      </w:r>
      <w:r>
        <w:rPr>
          <w:rFonts w:ascii="Arial" w:hAnsi="Arial" w:cs="Arial"/>
          <w:sz w:val="22"/>
          <w:szCs w:val="22"/>
          <w:lang w:val="fr-FR"/>
        </w:rPr>
        <w:t>É</w:t>
      </w:r>
      <w:r w:rsidRPr="00D61128">
        <w:rPr>
          <w:rFonts w:ascii="Arial" w:hAnsi="Arial" w:cs="Arial"/>
          <w:sz w:val="22"/>
          <w:szCs w:val="22"/>
          <w:lang w:val="fr-FR"/>
        </w:rPr>
        <w:t>tats parties, qui</w:t>
      </w:r>
      <w:r>
        <w:rPr>
          <w:rFonts w:ascii="Arial" w:hAnsi="Arial" w:cs="Arial"/>
          <w:sz w:val="22"/>
          <w:szCs w:val="22"/>
          <w:lang w:val="fr-FR"/>
        </w:rPr>
        <w:t xml:space="preserve"> « </w:t>
      </w:r>
      <w:r w:rsidRPr="00D61128">
        <w:rPr>
          <w:rFonts w:ascii="Arial" w:hAnsi="Arial" w:cs="Arial"/>
          <w:sz w:val="22"/>
          <w:szCs w:val="22"/>
          <w:lang w:val="fr-FR"/>
        </w:rPr>
        <w:t>permet</w:t>
      </w:r>
      <w:r>
        <w:rPr>
          <w:rFonts w:ascii="Arial" w:hAnsi="Arial" w:cs="Arial"/>
          <w:sz w:val="22"/>
          <w:szCs w:val="22"/>
          <w:lang w:val="fr-FR"/>
        </w:rPr>
        <w:t>te</w:t>
      </w:r>
      <w:r w:rsidRPr="00D61128">
        <w:rPr>
          <w:rFonts w:ascii="Arial" w:hAnsi="Arial" w:cs="Arial"/>
          <w:sz w:val="22"/>
          <w:szCs w:val="22"/>
          <w:lang w:val="fr-FR"/>
        </w:rPr>
        <w:t xml:space="preserve"> d</w:t>
      </w:r>
      <w:r w:rsidR="008E532B">
        <w:rPr>
          <w:rFonts w:ascii="Arial" w:hAnsi="Arial" w:cs="Arial"/>
          <w:sz w:val="22"/>
          <w:szCs w:val="22"/>
          <w:lang w:val="fr-FR"/>
        </w:rPr>
        <w:t>’</w:t>
      </w:r>
      <w:r w:rsidRPr="00D61128">
        <w:rPr>
          <w:rFonts w:ascii="Arial" w:hAnsi="Arial" w:cs="Arial"/>
          <w:sz w:val="22"/>
          <w:szCs w:val="22"/>
          <w:lang w:val="fr-FR"/>
        </w:rPr>
        <w:t xml:space="preserve">obtenir </w:t>
      </w:r>
      <w:r>
        <w:rPr>
          <w:rFonts w:ascii="Arial" w:hAnsi="Arial" w:cs="Arial"/>
          <w:sz w:val="22"/>
          <w:szCs w:val="22"/>
          <w:lang w:val="fr-FR"/>
        </w:rPr>
        <w:t xml:space="preserve">un maximum </w:t>
      </w:r>
      <w:r w:rsidRPr="00D61128">
        <w:rPr>
          <w:rFonts w:ascii="Arial" w:hAnsi="Arial" w:cs="Arial"/>
          <w:sz w:val="22"/>
          <w:szCs w:val="22"/>
          <w:lang w:val="fr-FR"/>
        </w:rPr>
        <w:t>d</w:t>
      </w:r>
      <w:r w:rsidR="008E532B">
        <w:rPr>
          <w:rFonts w:ascii="Arial" w:hAnsi="Arial" w:cs="Arial"/>
          <w:sz w:val="22"/>
          <w:szCs w:val="22"/>
          <w:lang w:val="fr-FR"/>
        </w:rPr>
        <w:t>’</w:t>
      </w:r>
      <w:r w:rsidRPr="00D61128">
        <w:rPr>
          <w:rFonts w:ascii="Arial" w:hAnsi="Arial" w:cs="Arial"/>
          <w:sz w:val="22"/>
          <w:szCs w:val="22"/>
          <w:lang w:val="fr-FR"/>
        </w:rPr>
        <w:t>informations sur les demandes d</w:t>
      </w:r>
      <w:r w:rsidR="008E532B">
        <w:rPr>
          <w:rFonts w:ascii="Arial" w:hAnsi="Arial" w:cs="Arial"/>
          <w:sz w:val="22"/>
          <w:szCs w:val="22"/>
          <w:lang w:val="fr-FR"/>
        </w:rPr>
        <w:t>’</w:t>
      </w:r>
      <w:r w:rsidRPr="00D61128">
        <w:rPr>
          <w:rFonts w:ascii="Arial" w:hAnsi="Arial" w:cs="Arial"/>
          <w:sz w:val="22"/>
          <w:szCs w:val="22"/>
          <w:lang w:val="fr-FR"/>
        </w:rPr>
        <w:t>accréditation des ONG</w:t>
      </w:r>
      <w:r>
        <w:rPr>
          <w:rFonts w:ascii="Arial" w:hAnsi="Arial" w:cs="Arial"/>
          <w:sz w:val="22"/>
          <w:szCs w:val="22"/>
          <w:lang w:val="fr-FR"/>
        </w:rPr>
        <w:t> »</w:t>
      </w:r>
      <w:r w:rsidRPr="00D61128">
        <w:rPr>
          <w:rFonts w:ascii="Arial" w:hAnsi="Arial" w:cs="Arial"/>
          <w:sz w:val="22"/>
          <w:szCs w:val="22"/>
          <w:lang w:val="fr-FR"/>
        </w:rPr>
        <w:t xml:space="preserve"> afin de devenir membre de l</w:t>
      </w:r>
      <w:r w:rsidR="008E532B">
        <w:rPr>
          <w:rFonts w:ascii="Arial" w:hAnsi="Arial" w:cs="Arial"/>
          <w:sz w:val="22"/>
          <w:szCs w:val="22"/>
          <w:lang w:val="fr-FR"/>
        </w:rPr>
        <w:t>’</w:t>
      </w:r>
      <w:r w:rsidRPr="00D61128">
        <w:rPr>
          <w:rFonts w:ascii="Arial" w:hAnsi="Arial" w:cs="Arial"/>
          <w:sz w:val="22"/>
          <w:szCs w:val="22"/>
          <w:lang w:val="fr-FR"/>
        </w:rPr>
        <w:t>Organe d</w:t>
      </w:r>
      <w:r w:rsidR="008E532B">
        <w:rPr>
          <w:rFonts w:ascii="Arial" w:hAnsi="Arial" w:cs="Arial"/>
          <w:sz w:val="22"/>
          <w:szCs w:val="22"/>
          <w:lang w:val="fr-FR"/>
        </w:rPr>
        <w:t>’</w:t>
      </w:r>
      <w:r w:rsidRPr="00D61128">
        <w:rPr>
          <w:rFonts w:ascii="Arial" w:hAnsi="Arial" w:cs="Arial"/>
          <w:sz w:val="22"/>
          <w:szCs w:val="22"/>
          <w:lang w:val="fr-FR"/>
        </w:rPr>
        <w:t>évaluation et d</w:t>
      </w:r>
      <w:r w:rsidR="008E532B">
        <w:rPr>
          <w:rFonts w:ascii="Arial" w:hAnsi="Arial" w:cs="Arial"/>
          <w:sz w:val="22"/>
          <w:szCs w:val="22"/>
          <w:lang w:val="fr-FR"/>
        </w:rPr>
        <w:t>’</w:t>
      </w:r>
      <w:r w:rsidRPr="00D61128">
        <w:rPr>
          <w:rFonts w:ascii="Arial" w:hAnsi="Arial" w:cs="Arial"/>
          <w:sz w:val="22"/>
          <w:szCs w:val="22"/>
          <w:lang w:val="fr-FR"/>
        </w:rPr>
        <w:t xml:space="preserve">atteindre ses buts et objectifs conformément aux principes de la Convention. </w:t>
      </w:r>
      <w:r>
        <w:rPr>
          <w:rFonts w:ascii="Arial" w:hAnsi="Arial" w:cs="Arial"/>
          <w:sz w:val="22"/>
          <w:szCs w:val="22"/>
          <w:lang w:val="fr-FR"/>
        </w:rPr>
        <w:t>À</w:t>
      </w:r>
      <w:r w:rsidRPr="00D61128">
        <w:rPr>
          <w:rFonts w:ascii="Arial" w:hAnsi="Arial" w:cs="Arial"/>
          <w:sz w:val="22"/>
          <w:szCs w:val="22"/>
          <w:lang w:val="fr-FR"/>
        </w:rPr>
        <w:t xml:space="preserve"> ce </w:t>
      </w:r>
      <w:r>
        <w:rPr>
          <w:rFonts w:ascii="Arial" w:hAnsi="Arial" w:cs="Arial"/>
          <w:sz w:val="22"/>
          <w:szCs w:val="22"/>
          <w:lang w:val="fr-FR"/>
        </w:rPr>
        <w:t>sujet,</w:t>
      </w:r>
      <w:r w:rsidRPr="00D61128">
        <w:rPr>
          <w:rFonts w:ascii="Arial" w:hAnsi="Arial" w:cs="Arial"/>
          <w:sz w:val="22"/>
          <w:szCs w:val="22"/>
          <w:lang w:val="fr-FR"/>
        </w:rPr>
        <w:t xml:space="preserve"> le cadre statutaire </w:t>
      </w:r>
      <w:r>
        <w:rPr>
          <w:rFonts w:ascii="Arial" w:hAnsi="Arial" w:cs="Arial"/>
          <w:sz w:val="22"/>
          <w:szCs w:val="22"/>
          <w:lang w:val="fr-FR"/>
        </w:rPr>
        <w:t xml:space="preserve">légal </w:t>
      </w:r>
      <w:r w:rsidRPr="00D61128">
        <w:rPr>
          <w:rFonts w:ascii="Arial" w:hAnsi="Arial" w:cs="Arial"/>
          <w:sz w:val="22"/>
          <w:szCs w:val="22"/>
          <w:lang w:val="fr-FR"/>
        </w:rPr>
        <w:t>stipul</w:t>
      </w:r>
      <w:r>
        <w:rPr>
          <w:rFonts w:ascii="Arial" w:hAnsi="Arial" w:cs="Arial"/>
          <w:sz w:val="22"/>
          <w:szCs w:val="22"/>
          <w:lang w:val="fr-FR"/>
        </w:rPr>
        <w:t>ait, d</w:t>
      </w:r>
      <w:r w:rsidR="008E532B">
        <w:rPr>
          <w:rFonts w:ascii="Arial" w:hAnsi="Arial" w:cs="Arial"/>
          <w:sz w:val="22"/>
          <w:szCs w:val="22"/>
          <w:lang w:val="fr-FR"/>
        </w:rPr>
        <w:t>’</w:t>
      </w:r>
      <w:r>
        <w:rPr>
          <w:rFonts w:ascii="Arial" w:hAnsi="Arial" w:cs="Arial"/>
          <w:sz w:val="22"/>
          <w:szCs w:val="22"/>
          <w:lang w:val="fr-FR"/>
        </w:rPr>
        <w:t xml:space="preserve">une part, </w:t>
      </w:r>
      <w:r w:rsidRPr="00D61128">
        <w:rPr>
          <w:rFonts w:ascii="Arial" w:hAnsi="Arial" w:cs="Arial"/>
          <w:sz w:val="22"/>
          <w:szCs w:val="22"/>
          <w:lang w:val="fr-FR"/>
        </w:rPr>
        <w:t xml:space="preserve">la condition </w:t>
      </w:r>
      <w:r w:rsidRPr="00D61128">
        <w:rPr>
          <w:rFonts w:ascii="Arial" w:hAnsi="Arial" w:cs="Arial"/>
          <w:i/>
          <w:iCs/>
          <w:sz w:val="22"/>
          <w:szCs w:val="22"/>
          <w:lang w:val="fr-FR"/>
        </w:rPr>
        <w:t>sine qua non</w:t>
      </w:r>
      <w:r w:rsidRPr="00D61128">
        <w:rPr>
          <w:rFonts w:ascii="Arial" w:hAnsi="Arial" w:cs="Arial"/>
          <w:sz w:val="22"/>
          <w:szCs w:val="22"/>
          <w:lang w:val="fr-FR"/>
        </w:rPr>
        <w:t xml:space="preserve"> pour l</w:t>
      </w:r>
      <w:r w:rsidR="008E532B">
        <w:rPr>
          <w:rFonts w:ascii="Arial" w:hAnsi="Arial" w:cs="Arial"/>
          <w:sz w:val="22"/>
          <w:szCs w:val="22"/>
          <w:lang w:val="fr-FR"/>
        </w:rPr>
        <w:t>’</w:t>
      </w:r>
      <w:r w:rsidRPr="00D61128">
        <w:rPr>
          <w:rFonts w:ascii="Arial" w:hAnsi="Arial" w:cs="Arial"/>
          <w:sz w:val="22"/>
          <w:szCs w:val="22"/>
          <w:lang w:val="fr-FR"/>
        </w:rPr>
        <w:t>accréditation des ONG et</w:t>
      </w:r>
      <w:r>
        <w:rPr>
          <w:rFonts w:ascii="Arial" w:hAnsi="Arial" w:cs="Arial"/>
          <w:sz w:val="22"/>
          <w:szCs w:val="22"/>
          <w:lang w:val="fr-FR"/>
        </w:rPr>
        <w:t>, d</w:t>
      </w:r>
      <w:r w:rsidR="008E532B">
        <w:rPr>
          <w:rFonts w:ascii="Arial" w:hAnsi="Arial" w:cs="Arial"/>
          <w:sz w:val="22"/>
          <w:szCs w:val="22"/>
          <w:lang w:val="fr-FR"/>
        </w:rPr>
        <w:t>’</w:t>
      </w:r>
      <w:r>
        <w:rPr>
          <w:rFonts w:ascii="Arial" w:hAnsi="Arial" w:cs="Arial"/>
          <w:sz w:val="22"/>
          <w:szCs w:val="22"/>
          <w:lang w:val="fr-FR"/>
        </w:rPr>
        <w:t>autre part,</w:t>
      </w:r>
      <w:r w:rsidRPr="00D61128">
        <w:rPr>
          <w:rFonts w:ascii="Arial" w:hAnsi="Arial" w:cs="Arial"/>
          <w:sz w:val="22"/>
          <w:szCs w:val="22"/>
          <w:lang w:val="fr-FR"/>
        </w:rPr>
        <w:t xml:space="preserve"> </w:t>
      </w:r>
      <w:r>
        <w:rPr>
          <w:rFonts w:ascii="Arial" w:hAnsi="Arial" w:cs="Arial"/>
          <w:sz w:val="22"/>
          <w:szCs w:val="22"/>
          <w:lang w:val="fr-FR"/>
        </w:rPr>
        <w:t xml:space="preserve">la présentation de la demande </w:t>
      </w:r>
      <w:r w:rsidRPr="00D61128">
        <w:rPr>
          <w:rFonts w:ascii="Arial" w:hAnsi="Arial" w:cs="Arial"/>
          <w:sz w:val="22"/>
          <w:szCs w:val="22"/>
          <w:lang w:val="fr-FR"/>
        </w:rPr>
        <w:t>au Secrétariat. La délégation a donc proposé d</w:t>
      </w:r>
      <w:r w:rsidR="008E532B">
        <w:rPr>
          <w:rFonts w:ascii="Arial" w:hAnsi="Arial" w:cs="Arial"/>
          <w:sz w:val="22"/>
          <w:szCs w:val="22"/>
          <w:lang w:val="fr-FR"/>
        </w:rPr>
        <w:t>’</w:t>
      </w:r>
      <w:r w:rsidRPr="00D61128">
        <w:rPr>
          <w:rFonts w:ascii="Arial" w:hAnsi="Arial" w:cs="Arial"/>
          <w:sz w:val="22"/>
          <w:szCs w:val="22"/>
          <w:lang w:val="fr-FR"/>
        </w:rPr>
        <w:t>ajouter à l</w:t>
      </w:r>
      <w:r w:rsidR="008E532B">
        <w:rPr>
          <w:rFonts w:ascii="Arial" w:hAnsi="Arial" w:cs="Arial"/>
          <w:sz w:val="22"/>
          <w:szCs w:val="22"/>
          <w:lang w:val="fr-FR"/>
        </w:rPr>
        <w:t>’</w:t>
      </w:r>
      <w:r w:rsidRPr="00D61128">
        <w:rPr>
          <w:rFonts w:ascii="Arial" w:hAnsi="Arial" w:cs="Arial"/>
          <w:sz w:val="22"/>
          <w:szCs w:val="22"/>
          <w:lang w:val="fr-FR"/>
        </w:rPr>
        <w:t>ordre du jour de la prochaine session du Comité un projet de décision appelant à une réflexion sur l</w:t>
      </w:r>
      <w:r w:rsidR="008E532B">
        <w:rPr>
          <w:rFonts w:ascii="Arial" w:hAnsi="Arial" w:cs="Arial"/>
          <w:sz w:val="22"/>
          <w:szCs w:val="22"/>
          <w:lang w:val="fr-FR"/>
        </w:rPr>
        <w:t>’</w:t>
      </w:r>
      <w:r w:rsidRPr="00D61128">
        <w:rPr>
          <w:rFonts w:ascii="Arial" w:hAnsi="Arial" w:cs="Arial"/>
          <w:sz w:val="22"/>
          <w:szCs w:val="22"/>
          <w:lang w:val="fr-FR"/>
        </w:rPr>
        <w:t xml:space="preserve">accréditation des ONG appartenant à des </w:t>
      </w:r>
      <w:r>
        <w:rPr>
          <w:rFonts w:ascii="Arial" w:hAnsi="Arial" w:cs="Arial"/>
          <w:sz w:val="22"/>
          <w:szCs w:val="22"/>
          <w:lang w:val="fr-FR"/>
        </w:rPr>
        <w:t>É</w:t>
      </w:r>
      <w:r w:rsidRPr="00D61128">
        <w:rPr>
          <w:rFonts w:ascii="Arial" w:hAnsi="Arial" w:cs="Arial"/>
          <w:sz w:val="22"/>
          <w:szCs w:val="22"/>
          <w:lang w:val="fr-FR"/>
        </w:rPr>
        <w:t xml:space="preserve">tats non parties à la Convention, ce qui permettrait de résoudre cette question et </w:t>
      </w:r>
      <w:r>
        <w:rPr>
          <w:rFonts w:ascii="Arial" w:hAnsi="Arial" w:cs="Arial"/>
          <w:sz w:val="22"/>
          <w:szCs w:val="22"/>
          <w:lang w:val="fr-FR"/>
        </w:rPr>
        <w:t xml:space="preserve">à </w:t>
      </w:r>
      <w:r w:rsidRPr="00D61128">
        <w:rPr>
          <w:rFonts w:ascii="Arial" w:hAnsi="Arial" w:cs="Arial"/>
          <w:sz w:val="22"/>
          <w:szCs w:val="22"/>
          <w:lang w:val="fr-FR"/>
        </w:rPr>
        <w:t>l</w:t>
      </w:r>
      <w:r w:rsidR="008E532B">
        <w:rPr>
          <w:rFonts w:ascii="Arial" w:hAnsi="Arial" w:cs="Arial"/>
          <w:sz w:val="22"/>
          <w:szCs w:val="22"/>
          <w:lang w:val="fr-FR"/>
        </w:rPr>
        <w:t>’</w:t>
      </w:r>
      <w:r w:rsidRPr="00D61128">
        <w:rPr>
          <w:rFonts w:ascii="Arial" w:hAnsi="Arial" w:cs="Arial"/>
          <w:sz w:val="22"/>
          <w:szCs w:val="22"/>
          <w:lang w:val="fr-FR"/>
        </w:rPr>
        <w:t xml:space="preserve">Assemblée </w:t>
      </w:r>
      <w:r>
        <w:rPr>
          <w:rFonts w:ascii="Arial" w:hAnsi="Arial" w:cs="Arial"/>
          <w:sz w:val="22"/>
          <w:szCs w:val="22"/>
          <w:lang w:val="fr-FR"/>
        </w:rPr>
        <w:t>d</w:t>
      </w:r>
      <w:r w:rsidR="008E532B">
        <w:rPr>
          <w:rFonts w:ascii="Arial" w:hAnsi="Arial" w:cs="Arial"/>
          <w:sz w:val="22"/>
          <w:szCs w:val="22"/>
          <w:lang w:val="fr-FR"/>
        </w:rPr>
        <w:t>’</w:t>
      </w:r>
      <w:r>
        <w:rPr>
          <w:rFonts w:ascii="Arial" w:hAnsi="Arial" w:cs="Arial"/>
          <w:sz w:val="22"/>
          <w:szCs w:val="22"/>
          <w:lang w:val="fr-FR"/>
        </w:rPr>
        <w:t xml:space="preserve">avancer </w:t>
      </w:r>
      <w:r w:rsidRPr="00D61128">
        <w:rPr>
          <w:rFonts w:ascii="Arial" w:hAnsi="Arial" w:cs="Arial"/>
          <w:sz w:val="22"/>
          <w:szCs w:val="22"/>
          <w:lang w:val="fr-FR"/>
        </w:rPr>
        <w:t>et d</w:t>
      </w:r>
      <w:r w:rsidR="008E532B">
        <w:rPr>
          <w:rFonts w:ascii="Arial" w:hAnsi="Arial" w:cs="Arial"/>
          <w:sz w:val="22"/>
          <w:szCs w:val="22"/>
          <w:lang w:val="fr-FR"/>
        </w:rPr>
        <w:t>’</w:t>
      </w:r>
      <w:r w:rsidRPr="00D61128">
        <w:rPr>
          <w:rFonts w:ascii="Arial" w:hAnsi="Arial" w:cs="Arial"/>
          <w:sz w:val="22"/>
          <w:szCs w:val="22"/>
          <w:lang w:val="fr-FR"/>
        </w:rPr>
        <w:t>adopter le projet de résolution</w:t>
      </w:r>
      <w:r>
        <w:rPr>
          <w:rFonts w:ascii="Arial" w:hAnsi="Arial" w:cs="Arial"/>
          <w:sz w:val="22"/>
          <w:szCs w:val="22"/>
          <w:lang w:val="fr-FR"/>
        </w:rPr>
        <w:t> </w:t>
      </w:r>
      <w:r w:rsidRPr="00D61128">
        <w:rPr>
          <w:rFonts w:ascii="Arial" w:hAnsi="Arial" w:cs="Arial"/>
          <w:sz w:val="22"/>
          <w:szCs w:val="22"/>
          <w:lang w:val="fr-FR"/>
        </w:rPr>
        <w:t>7.</w:t>
      </w:r>
    </w:p>
    <w:p w14:paraId="4CD0ADE0" w14:textId="77777777" w:rsidR="00D9653F"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La </w:t>
      </w:r>
      <w:r w:rsidRPr="006267AB">
        <w:rPr>
          <w:rFonts w:ascii="Arial" w:hAnsi="Arial" w:cs="Arial"/>
          <w:b/>
          <w:bCs/>
          <w:sz w:val="22"/>
          <w:szCs w:val="22"/>
          <w:lang w:val="fr-FR"/>
        </w:rPr>
        <w:t>Présidente</w:t>
      </w:r>
      <w:r>
        <w:rPr>
          <w:rFonts w:ascii="Arial" w:hAnsi="Arial" w:cs="Arial"/>
          <w:sz w:val="22"/>
          <w:szCs w:val="22"/>
          <w:lang w:val="fr-FR"/>
        </w:rPr>
        <w:t xml:space="preserve"> a demandé au Sous-Directeur général de lire la liste des orateurs.</w:t>
      </w:r>
    </w:p>
    <w:p w14:paraId="7CAB3573" w14:textId="7C5A3859" w:rsidR="00D9653F" w:rsidRPr="006267AB"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6267AB">
        <w:rPr>
          <w:rFonts w:ascii="Arial" w:hAnsi="Arial" w:cs="Arial"/>
          <w:bCs/>
          <w:sz w:val="22"/>
          <w:szCs w:val="22"/>
          <w:lang w:val="fr-FR"/>
        </w:rPr>
        <w:t>délégation</w:t>
      </w:r>
      <w:r>
        <w:rPr>
          <w:rFonts w:ascii="Arial" w:hAnsi="Arial" w:cs="Arial"/>
          <w:bCs/>
          <w:sz w:val="22"/>
          <w:szCs w:val="22"/>
          <w:lang w:val="fr-FR"/>
        </w:rPr>
        <w:t xml:space="preserve"> du </w:t>
      </w:r>
      <w:r w:rsidRPr="006267AB">
        <w:rPr>
          <w:rFonts w:ascii="Arial" w:hAnsi="Arial" w:cs="Arial"/>
          <w:b/>
          <w:sz w:val="22"/>
          <w:szCs w:val="22"/>
          <w:lang w:val="fr-FR"/>
        </w:rPr>
        <w:t>Panama</w:t>
      </w:r>
      <w:r>
        <w:rPr>
          <w:rFonts w:ascii="Arial" w:hAnsi="Arial" w:cs="Arial"/>
          <w:bCs/>
          <w:sz w:val="22"/>
          <w:szCs w:val="22"/>
          <w:lang w:val="fr-FR"/>
        </w:rPr>
        <w:t xml:space="preserve"> a invoqué une motion d</w:t>
      </w:r>
      <w:r w:rsidR="008E532B">
        <w:rPr>
          <w:rFonts w:ascii="Arial" w:hAnsi="Arial" w:cs="Arial"/>
          <w:bCs/>
          <w:sz w:val="22"/>
          <w:szCs w:val="22"/>
          <w:lang w:val="fr-FR"/>
        </w:rPr>
        <w:t>’</w:t>
      </w:r>
      <w:r>
        <w:rPr>
          <w:rFonts w:ascii="Arial" w:hAnsi="Arial" w:cs="Arial"/>
          <w:bCs/>
          <w:sz w:val="22"/>
          <w:szCs w:val="22"/>
          <w:lang w:val="fr-FR"/>
        </w:rPr>
        <w:t>ordre et a demandé à la Présidente si la liste concernait le débat général ou le projet de résolution.</w:t>
      </w:r>
    </w:p>
    <w:p w14:paraId="4F2E7D21" w14:textId="77777777" w:rsidR="00D9653F" w:rsidRPr="001F30D6"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La </w:t>
      </w:r>
      <w:r w:rsidRPr="001F30D6">
        <w:rPr>
          <w:rFonts w:ascii="Arial" w:hAnsi="Arial" w:cs="Arial"/>
          <w:b/>
          <w:bCs/>
          <w:sz w:val="22"/>
          <w:szCs w:val="22"/>
          <w:lang w:val="fr-FR"/>
        </w:rPr>
        <w:t>Présidente</w:t>
      </w:r>
      <w:r>
        <w:rPr>
          <w:rFonts w:ascii="Arial" w:hAnsi="Arial" w:cs="Arial"/>
          <w:sz w:val="22"/>
          <w:szCs w:val="22"/>
          <w:lang w:val="fr-FR"/>
        </w:rPr>
        <w:t xml:space="preserve"> a demandé aux </w:t>
      </w:r>
      <w:r w:rsidRPr="001F30D6">
        <w:rPr>
          <w:rFonts w:ascii="Arial" w:hAnsi="Arial" w:cs="Arial"/>
          <w:sz w:val="22"/>
          <w:szCs w:val="22"/>
          <w:lang w:val="fr-FR"/>
        </w:rPr>
        <w:t>délégatio</w:t>
      </w:r>
      <w:r>
        <w:rPr>
          <w:rFonts w:ascii="Arial" w:hAnsi="Arial" w:cs="Arial"/>
          <w:sz w:val="22"/>
          <w:szCs w:val="22"/>
          <w:lang w:val="fr-FR"/>
        </w:rPr>
        <w:t xml:space="preserve">ns si elles souhaitaient poursuivre le débat général ou passer directement au projet de </w:t>
      </w:r>
      <w:r w:rsidRPr="001F30D6">
        <w:rPr>
          <w:rFonts w:ascii="Arial" w:eastAsia="SimSun" w:hAnsi="Arial" w:cs="Arial"/>
          <w:bCs/>
          <w:sz w:val="22"/>
          <w:szCs w:val="22"/>
          <w:lang w:val="fr-FR" w:eastAsia="en-US"/>
        </w:rPr>
        <w:t>résolution</w:t>
      </w:r>
      <w:r>
        <w:rPr>
          <w:rFonts w:ascii="Arial" w:eastAsia="SimSun" w:hAnsi="Arial" w:cs="Arial"/>
          <w:bCs/>
          <w:sz w:val="22"/>
          <w:szCs w:val="22"/>
          <w:lang w:val="fr-FR" w:eastAsia="en-US"/>
        </w:rPr>
        <w:t>.</w:t>
      </w:r>
    </w:p>
    <w:p w14:paraId="45833AAC" w14:textId="53CE1FA2" w:rsidR="00D9653F" w:rsidRPr="001F30D6"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1F30D6">
        <w:rPr>
          <w:rFonts w:ascii="Arial" w:hAnsi="Arial" w:cs="Arial"/>
          <w:sz w:val="22"/>
          <w:szCs w:val="22"/>
          <w:lang w:val="fr-FR"/>
        </w:rPr>
        <w:t xml:space="preserve">La délégation de la </w:t>
      </w:r>
      <w:r w:rsidRPr="001F30D6">
        <w:rPr>
          <w:rFonts w:ascii="Arial" w:hAnsi="Arial" w:cs="Arial"/>
          <w:b/>
          <w:bCs/>
          <w:sz w:val="22"/>
          <w:szCs w:val="22"/>
          <w:lang w:val="fr-FR"/>
        </w:rPr>
        <w:t>Palestine</w:t>
      </w:r>
      <w:r w:rsidRPr="001F30D6">
        <w:rPr>
          <w:rFonts w:ascii="Arial" w:hAnsi="Arial" w:cs="Arial"/>
          <w:sz w:val="22"/>
          <w:szCs w:val="22"/>
          <w:lang w:val="fr-FR"/>
        </w:rPr>
        <w:t xml:space="preserve"> </w:t>
      </w:r>
      <w:r>
        <w:rPr>
          <w:rFonts w:ascii="Arial" w:hAnsi="Arial" w:cs="Arial"/>
          <w:sz w:val="22"/>
          <w:szCs w:val="22"/>
          <w:lang w:val="fr-FR"/>
        </w:rPr>
        <w:t xml:space="preserve">a </w:t>
      </w:r>
      <w:r w:rsidRPr="001F30D6">
        <w:rPr>
          <w:rFonts w:ascii="Arial" w:hAnsi="Arial" w:cs="Arial"/>
          <w:sz w:val="22"/>
          <w:szCs w:val="22"/>
          <w:lang w:val="fr-FR"/>
        </w:rPr>
        <w:t>fait remarquer que certaines délégations n</w:t>
      </w:r>
      <w:r w:rsidR="008E532B">
        <w:rPr>
          <w:rFonts w:ascii="Arial" w:hAnsi="Arial" w:cs="Arial"/>
          <w:sz w:val="22"/>
          <w:szCs w:val="22"/>
          <w:lang w:val="fr-FR"/>
        </w:rPr>
        <w:t>’</w:t>
      </w:r>
      <w:r>
        <w:rPr>
          <w:rFonts w:ascii="Arial" w:hAnsi="Arial" w:cs="Arial"/>
          <w:sz w:val="22"/>
          <w:szCs w:val="22"/>
          <w:lang w:val="fr-FR"/>
        </w:rPr>
        <w:t>avaient</w:t>
      </w:r>
      <w:r w:rsidRPr="001F30D6">
        <w:rPr>
          <w:rFonts w:ascii="Arial" w:hAnsi="Arial" w:cs="Arial"/>
          <w:sz w:val="22"/>
          <w:szCs w:val="22"/>
          <w:lang w:val="fr-FR"/>
        </w:rPr>
        <w:t xml:space="preserve"> pas encore exprimé leur position et qu</w:t>
      </w:r>
      <w:r w:rsidR="008E532B">
        <w:rPr>
          <w:rFonts w:ascii="Arial" w:hAnsi="Arial" w:cs="Arial"/>
          <w:sz w:val="22"/>
          <w:szCs w:val="22"/>
          <w:lang w:val="fr-FR"/>
        </w:rPr>
        <w:t>’</w:t>
      </w:r>
      <w:r w:rsidRPr="001F30D6">
        <w:rPr>
          <w:rFonts w:ascii="Arial" w:hAnsi="Arial" w:cs="Arial"/>
          <w:sz w:val="22"/>
          <w:szCs w:val="22"/>
          <w:lang w:val="fr-FR"/>
        </w:rPr>
        <w:t>il serait plus juste de donner la parole à tous ceux qui l</w:t>
      </w:r>
      <w:r w:rsidR="008E532B">
        <w:rPr>
          <w:rFonts w:ascii="Arial" w:hAnsi="Arial" w:cs="Arial"/>
          <w:sz w:val="22"/>
          <w:szCs w:val="22"/>
          <w:lang w:val="fr-FR"/>
        </w:rPr>
        <w:t>’</w:t>
      </w:r>
      <w:r>
        <w:rPr>
          <w:rFonts w:ascii="Arial" w:hAnsi="Arial" w:cs="Arial"/>
          <w:sz w:val="22"/>
          <w:szCs w:val="22"/>
          <w:lang w:val="fr-FR"/>
        </w:rPr>
        <w:t>avaient</w:t>
      </w:r>
      <w:r w:rsidRPr="001F30D6">
        <w:rPr>
          <w:rFonts w:ascii="Arial" w:hAnsi="Arial" w:cs="Arial"/>
          <w:sz w:val="22"/>
          <w:szCs w:val="22"/>
          <w:lang w:val="fr-FR"/>
        </w:rPr>
        <w:t xml:space="preserve"> demandée, après quoi l</w:t>
      </w:r>
      <w:r w:rsidR="008E532B">
        <w:rPr>
          <w:rFonts w:ascii="Arial" w:hAnsi="Arial" w:cs="Arial"/>
          <w:sz w:val="22"/>
          <w:szCs w:val="22"/>
          <w:lang w:val="fr-FR"/>
        </w:rPr>
        <w:t>’</w:t>
      </w:r>
      <w:r w:rsidRPr="001F30D6">
        <w:rPr>
          <w:rFonts w:ascii="Arial" w:hAnsi="Arial" w:cs="Arial"/>
          <w:sz w:val="22"/>
          <w:szCs w:val="22"/>
          <w:lang w:val="fr-FR"/>
        </w:rPr>
        <w:t>Assemblée pourrait passer au projet de résolution.</w:t>
      </w:r>
    </w:p>
    <w:p w14:paraId="566EB099" w14:textId="77777777" w:rsidR="00D9653F" w:rsidRPr="001F30D6"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Ayant constaté que la liste était longue, la </w:t>
      </w:r>
      <w:r w:rsidRPr="001F30D6">
        <w:rPr>
          <w:rFonts w:ascii="Arial" w:hAnsi="Arial" w:cs="Arial"/>
          <w:b/>
          <w:bCs/>
          <w:sz w:val="22"/>
          <w:szCs w:val="22"/>
          <w:lang w:val="fr-FR"/>
        </w:rPr>
        <w:t>Présidente</w:t>
      </w:r>
      <w:r>
        <w:rPr>
          <w:rFonts w:ascii="Arial" w:hAnsi="Arial" w:cs="Arial"/>
          <w:sz w:val="22"/>
          <w:szCs w:val="22"/>
          <w:lang w:val="fr-FR"/>
        </w:rPr>
        <w:t xml:space="preserve"> a demandé aux </w:t>
      </w:r>
      <w:r w:rsidRPr="001F30D6">
        <w:rPr>
          <w:rFonts w:ascii="Arial" w:hAnsi="Arial" w:cs="Arial"/>
          <w:sz w:val="22"/>
          <w:szCs w:val="22"/>
          <w:lang w:val="fr-FR"/>
        </w:rPr>
        <w:t>délégatio</w:t>
      </w:r>
      <w:r>
        <w:rPr>
          <w:rFonts w:ascii="Arial" w:hAnsi="Arial" w:cs="Arial"/>
          <w:sz w:val="22"/>
          <w:szCs w:val="22"/>
          <w:lang w:val="fr-FR"/>
        </w:rPr>
        <w:t>ns de respecter la limite de temps.</w:t>
      </w:r>
    </w:p>
    <w:p w14:paraId="6F79CECC" w14:textId="318E64BD" w:rsidR="00D9653F" w:rsidRPr="001F30D6"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1F30D6">
        <w:rPr>
          <w:rFonts w:ascii="Arial" w:hAnsi="Arial" w:cs="Arial"/>
          <w:sz w:val="22"/>
          <w:szCs w:val="22"/>
          <w:lang w:val="fr-FR"/>
        </w:rPr>
        <w:t xml:space="preserve">La délégation du </w:t>
      </w:r>
      <w:r w:rsidRPr="001F30D6">
        <w:rPr>
          <w:rFonts w:ascii="Arial" w:hAnsi="Arial" w:cs="Arial"/>
          <w:b/>
          <w:bCs/>
          <w:sz w:val="22"/>
          <w:szCs w:val="22"/>
          <w:lang w:val="fr-FR"/>
        </w:rPr>
        <w:t>Kenya</w:t>
      </w:r>
      <w:r>
        <w:rPr>
          <w:rFonts w:ascii="Arial" w:hAnsi="Arial" w:cs="Arial"/>
          <w:sz w:val="22"/>
          <w:szCs w:val="22"/>
          <w:lang w:val="fr-FR"/>
        </w:rPr>
        <w:t>, qui</w:t>
      </w:r>
      <w:r w:rsidRPr="001F30D6">
        <w:rPr>
          <w:rFonts w:ascii="Arial" w:hAnsi="Arial" w:cs="Arial"/>
          <w:sz w:val="22"/>
          <w:szCs w:val="22"/>
          <w:lang w:val="fr-FR"/>
        </w:rPr>
        <w:t xml:space="preserve"> </w:t>
      </w:r>
      <w:r>
        <w:rPr>
          <w:rFonts w:ascii="Arial" w:hAnsi="Arial" w:cs="Arial"/>
          <w:sz w:val="22"/>
          <w:szCs w:val="22"/>
          <w:lang w:val="fr-FR"/>
        </w:rPr>
        <w:t>espérait qu</w:t>
      </w:r>
      <w:r w:rsidR="008E532B">
        <w:rPr>
          <w:rFonts w:ascii="Arial" w:hAnsi="Arial" w:cs="Arial"/>
          <w:sz w:val="22"/>
          <w:szCs w:val="22"/>
          <w:lang w:val="fr-FR"/>
        </w:rPr>
        <w:t>’</w:t>
      </w:r>
      <w:r>
        <w:rPr>
          <w:rFonts w:ascii="Arial" w:hAnsi="Arial" w:cs="Arial"/>
          <w:sz w:val="22"/>
          <w:szCs w:val="22"/>
          <w:lang w:val="fr-FR"/>
        </w:rPr>
        <w:t xml:space="preserve">on parviendrait à </w:t>
      </w:r>
      <w:r w:rsidRPr="001F30D6">
        <w:rPr>
          <w:rFonts w:ascii="Arial" w:hAnsi="Arial" w:cs="Arial"/>
          <w:sz w:val="22"/>
          <w:szCs w:val="22"/>
          <w:lang w:val="fr-FR"/>
        </w:rPr>
        <w:t>un consensus à l</w:t>
      </w:r>
      <w:r w:rsidR="008E532B">
        <w:rPr>
          <w:rFonts w:ascii="Arial" w:hAnsi="Arial" w:cs="Arial"/>
          <w:sz w:val="22"/>
          <w:szCs w:val="22"/>
          <w:lang w:val="fr-FR"/>
        </w:rPr>
        <w:t>’</w:t>
      </w:r>
      <w:r w:rsidRPr="001F30D6">
        <w:rPr>
          <w:rFonts w:ascii="Arial" w:hAnsi="Arial" w:cs="Arial"/>
          <w:sz w:val="22"/>
          <w:szCs w:val="22"/>
          <w:lang w:val="fr-FR"/>
        </w:rPr>
        <w:t xml:space="preserve">issue de cette discussion, </w:t>
      </w:r>
      <w:r>
        <w:rPr>
          <w:rFonts w:ascii="Arial" w:hAnsi="Arial" w:cs="Arial"/>
          <w:sz w:val="22"/>
          <w:szCs w:val="22"/>
          <w:lang w:val="fr-FR"/>
        </w:rPr>
        <w:t xml:space="preserve">a </w:t>
      </w:r>
      <w:r w:rsidRPr="001F30D6">
        <w:rPr>
          <w:rFonts w:ascii="Arial" w:hAnsi="Arial" w:cs="Arial"/>
          <w:sz w:val="22"/>
          <w:szCs w:val="22"/>
          <w:lang w:val="fr-FR"/>
        </w:rPr>
        <w:t>conven</w:t>
      </w:r>
      <w:r>
        <w:rPr>
          <w:rFonts w:ascii="Arial" w:hAnsi="Arial" w:cs="Arial"/>
          <w:sz w:val="22"/>
          <w:szCs w:val="22"/>
          <w:lang w:val="fr-FR"/>
        </w:rPr>
        <w:t>u</w:t>
      </w:r>
      <w:r w:rsidRPr="001F30D6">
        <w:rPr>
          <w:rFonts w:ascii="Arial" w:hAnsi="Arial" w:cs="Arial"/>
          <w:sz w:val="22"/>
          <w:szCs w:val="22"/>
          <w:lang w:val="fr-FR"/>
        </w:rPr>
        <w:t xml:space="preserve"> que les ONG </w:t>
      </w:r>
      <w:r>
        <w:rPr>
          <w:rFonts w:ascii="Arial" w:hAnsi="Arial" w:cs="Arial"/>
          <w:sz w:val="22"/>
          <w:szCs w:val="22"/>
          <w:lang w:val="fr-FR"/>
        </w:rPr>
        <w:t>sont</w:t>
      </w:r>
      <w:r w:rsidRPr="001F30D6">
        <w:rPr>
          <w:rFonts w:ascii="Arial" w:hAnsi="Arial" w:cs="Arial"/>
          <w:sz w:val="22"/>
          <w:szCs w:val="22"/>
          <w:lang w:val="fr-FR"/>
        </w:rPr>
        <w:t xml:space="preserve"> d</w:t>
      </w:r>
      <w:r w:rsidR="008E532B">
        <w:rPr>
          <w:rFonts w:ascii="Arial" w:hAnsi="Arial" w:cs="Arial"/>
          <w:sz w:val="22"/>
          <w:szCs w:val="22"/>
          <w:lang w:val="fr-FR"/>
        </w:rPr>
        <w:t>’</w:t>
      </w:r>
      <w:r w:rsidRPr="001F30D6">
        <w:rPr>
          <w:rFonts w:ascii="Arial" w:hAnsi="Arial" w:cs="Arial"/>
          <w:sz w:val="22"/>
          <w:szCs w:val="22"/>
          <w:lang w:val="fr-FR"/>
        </w:rPr>
        <w:t>une importance capitale pour l</w:t>
      </w:r>
      <w:r>
        <w:rPr>
          <w:rFonts w:ascii="Arial" w:hAnsi="Arial" w:cs="Arial"/>
          <w:sz w:val="22"/>
          <w:szCs w:val="22"/>
          <w:lang w:val="fr-FR"/>
        </w:rPr>
        <w:t>a réussite</w:t>
      </w:r>
      <w:r w:rsidRPr="001F30D6">
        <w:rPr>
          <w:rFonts w:ascii="Arial" w:hAnsi="Arial" w:cs="Arial"/>
          <w:sz w:val="22"/>
          <w:szCs w:val="22"/>
          <w:lang w:val="fr-FR"/>
        </w:rPr>
        <w:t xml:space="preserve"> de la Convention et pour la transmission et la préservation du </w:t>
      </w:r>
      <w:r w:rsidR="0064242E">
        <w:rPr>
          <w:rFonts w:ascii="Arial" w:eastAsia="SimSun" w:hAnsi="Arial" w:cs="Arial"/>
          <w:bCs/>
          <w:sz w:val="22"/>
          <w:szCs w:val="22"/>
          <w:lang w:val="fr-FR" w:eastAsia="en-US"/>
        </w:rPr>
        <w:t>patrimoine culturel immatériel</w:t>
      </w:r>
      <w:r w:rsidRPr="001F30D6">
        <w:rPr>
          <w:rFonts w:ascii="Arial" w:hAnsi="Arial" w:cs="Arial"/>
          <w:sz w:val="22"/>
          <w:szCs w:val="22"/>
          <w:lang w:val="fr-FR"/>
        </w:rPr>
        <w:t>. Comme indiqué au paragraphe</w:t>
      </w:r>
      <w:r>
        <w:rPr>
          <w:rFonts w:ascii="Arial" w:hAnsi="Arial" w:cs="Arial"/>
          <w:sz w:val="22"/>
          <w:szCs w:val="22"/>
          <w:lang w:val="fr-FR"/>
        </w:rPr>
        <w:t> </w:t>
      </w:r>
      <w:r w:rsidRPr="001F30D6">
        <w:rPr>
          <w:rFonts w:ascii="Arial" w:hAnsi="Arial" w:cs="Arial"/>
          <w:sz w:val="22"/>
          <w:szCs w:val="22"/>
          <w:lang w:val="fr-FR"/>
        </w:rPr>
        <w:t>90 des Directives opérationnelles, elles aid</w:t>
      </w:r>
      <w:r>
        <w:rPr>
          <w:rFonts w:ascii="Arial" w:hAnsi="Arial" w:cs="Arial"/>
          <w:sz w:val="22"/>
          <w:szCs w:val="22"/>
          <w:lang w:val="fr-FR"/>
        </w:rPr>
        <w:t>ai</w:t>
      </w:r>
      <w:r w:rsidRPr="001F30D6">
        <w:rPr>
          <w:rFonts w:ascii="Arial" w:hAnsi="Arial" w:cs="Arial"/>
          <w:sz w:val="22"/>
          <w:szCs w:val="22"/>
          <w:lang w:val="fr-FR"/>
        </w:rPr>
        <w:t xml:space="preserve">ent à identifier et à définir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F30D6">
        <w:rPr>
          <w:rFonts w:ascii="Arial" w:hAnsi="Arial" w:cs="Arial"/>
          <w:sz w:val="22"/>
          <w:szCs w:val="22"/>
          <w:lang w:val="fr-FR"/>
        </w:rPr>
        <w:t>et d</w:t>
      </w:r>
      <w:r w:rsidR="008E532B">
        <w:rPr>
          <w:rFonts w:ascii="Arial" w:hAnsi="Arial" w:cs="Arial"/>
          <w:sz w:val="22"/>
          <w:szCs w:val="22"/>
          <w:lang w:val="fr-FR"/>
        </w:rPr>
        <w:t>’</w:t>
      </w:r>
      <w:r w:rsidRPr="001F30D6">
        <w:rPr>
          <w:rFonts w:ascii="Arial" w:hAnsi="Arial" w:cs="Arial"/>
          <w:sz w:val="22"/>
          <w:szCs w:val="22"/>
          <w:lang w:val="fr-FR"/>
        </w:rPr>
        <w:t>autres mesures de sauvegarde appropriées en coopération et en coordination avec d</w:t>
      </w:r>
      <w:r w:rsidR="008E532B">
        <w:rPr>
          <w:rFonts w:ascii="Arial" w:hAnsi="Arial" w:cs="Arial"/>
          <w:sz w:val="22"/>
          <w:szCs w:val="22"/>
          <w:lang w:val="fr-FR"/>
        </w:rPr>
        <w:t>’</w:t>
      </w:r>
      <w:r w:rsidRPr="001F30D6">
        <w:rPr>
          <w:rFonts w:ascii="Arial" w:hAnsi="Arial" w:cs="Arial"/>
          <w:sz w:val="22"/>
          <w:szCs w:val="22"/>
          <w:lang w:val="fr-FR"/>
        </w:rPr>
        <w:t>autres acteurs impliqués dans la mise en œuvre de la Convention. À ce</w:t>
      </w:r>
      <w:r>
        <w:rPr>
          <w:rFonts w:ascii="Arial" w:hAnsi="Arial" w:cs="Arial"/>
          <w:sz w:val="22"/>
          <w:szCs w:val="22"/>
          <w:lang w:val="fr-FR"/>
        </w:rPr>
        <w:t xml:space="preserve"> sujet</w:t>
      </w:r>
      <w:r w:rsidRPr="001F30D6">
        <w:rPr>
          <w:rFonts w:ascii="Arial" w:hAnsi="Arial" w:cs="Arial"/>
          <w:sz w:val="22"/>
          <w:szCs w:val="22"/>
          <w:lang w:val="fr-FR"/>
        </w:rPr>
        <w:t xml:space="preserve">, la délégation a souligné la nature omniprésente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1F30D6">
        <w:rPr>
          <w:rFonts w:ascii="Arial" w:hAnsi="Arial" w:cs="Arial"/>
          <w:sz w:val="22"/>
          <w:szCs w:val="22"/>
          <w:lang w:val="fr-FR"/>
        </w:rPr>
        <w:t>en ce sens que sa richesse n</w:t>
      </w:r>
      <w:r w:rsidR="008E532B">
        <w:rPr>
          <w:rFonts w:ascii="Arial" w:hAnsi="Arial" w:cs="Arial"/>
          <w:sz w:val="22"/>
          <w:szCs w:val="22"/>
          <w:lang w:val="fr-FR"/>
        </w:rPr>
        <w:t>’</w:t>
      </w:r>
      <w:r>
        <w:rPr>
          <w:rFonts w:ascii="Arial" w:hAnsi="Arial" w:cs="Arial"/>
          <w:sz w:val="22"/>
          <w:szCs w:val="22"/>
          <w:lang w:val="fr-FR"/>
        </w:rPr>
        <w:t>est</w:t>
      </w:r>
      <w:r w:rsidRPr="001F30D6">
        <w:rPr>
          <w:rFonts w:ascii="Arial" w:hAnsi="Arial" w:cs="Arial"/>
          <w:sz w:val="22"/>
          <w:szCs w:val="22"/>
          <w:lang w:val="fr-FR"/>
        </w:rPr>
        <w:t xml:space="preserve"> pas délimitée par des frontières, qu</w:t>
      </w:r>
      <w:r w:rsidR="008E532B">
        <w:rPr>
          <w:rFonts w:ascii="Arial" w:hAnsi="Arial" w:cs="Arial"/>
          <w:sz w:val="22"/>
          <w:szCs w:val="22"/>
          <w:lang w:val="fr-FR"/>
        </w:rPr>
        <w:t>’</w:t>
      </w:r>
      <w:r w:rsidRPr="001F30D6">
        <w:rPr>
          <w:rFonts w:ascii="Arial" w:hAnsi="Arial" w:cs="Arial"/>
          <w:sz w:val="22"/>
          <w:szCs w:val="22"/>
          <w:lang w:val="fr-FR"/>
        </w:rPr>
        <w:t>elles soient nationales ou géographiques, et qu</w:t>
      </w:r>
      <w:r w:rsidR="008E532B">
        <w:rPr>
          <w:rFonts w:ascii="Arial" w:hAnsi="Arial" w:cs="Arial"/>
          <w:sz w:val="22"/>
          <w:szCs w:val="22"/>
          <w:lang w:val="fr-FR"/>
        </w:rPr>
        <w:t>’</w:t>
      </w:r>
      <w:r w:rsidRPr="001F30D6">
        <w:rPr>
          <w:rFonts w:ascii="Arial" w:hAnsi="Arial" w:cs="Arial"/>
          <w:sz w:val="22"/>
          <w:szCs w:val="22"/>
          <w:lang w:val="fr-FR"/>
        </w:rPr>
        <w:t>à ce titre, différentes parties du monde gagn</w:t>
      </w:r>
      <w:r>
        <w:rPr>
          <w:rFonts w:ascii="Arial" w:hAnsi="Arial" w:cs="Arial"/>
          <w:sz w:val="22"/>
          <w:szCs w:val="22"/>
          <w:lang w:val="fr-FR"/>
        </w:rPr>
        <w:t>ent</w:t>
      </w:r>
      <w:r w:rsidRPr="001F30D6">
        <w:rPr>
          <w:rFonts w:ascii="Arial" w:hAnsi="Arial" w:cs="Arial"/>
          <w:sz w:val="22"/>
          <w:szCs w:val="22"/>
          <w:lang w:val="fr-FR"/>
        </w:rPr>
        <w:t xml:space="preserve"> à favoriser un soutien mutuel entre pairs et à bénéficier d</w:t>
      </w:r>
      <w:r w:rsidR="008E532B">
        <w:rPr>
          <w:rFonts w:ascii="Arial" w:hAnsi="Arial" w:cs="Arial"/>
          <w:sz w:val="22"/>
          <w:szCs w:val="22"/>
          <w:lang w:val="fr-FR"/>
        </w:rPr>
        <w:t>’</w:t>
      </w:r>
      <w:r w:rsidRPr="001F30D6">
        <w:rPr>
          <w:rFonts w:ascii="Arial" w:hAnsi="Arial" w:cs="Arial"/>
          <w:sz w:val="22"/>
          <w:szCs w:val="22"/>
          <w:lang w:val="fr-FR"/>
        </w:rPr>
        <w:t>opportunités d</w:t>
      </w:r>
      <w:r w:rsidR="008E532B">
        <w:rPr>
          <w:rFonts w:ascii="Arial" w:hAnsi="Arial" w:cs="Arial"/>
          <w:sz w:val="22"/>
          <w:szCs w:val="22"/>
          <w:lang w:val="fr-FR"/>
        </w:rPr>
        <w:t>’</w:t>
      </w:r>
      <w:r w:rsidRPr="001F30D6">
        <w:rPr>
          <w:rFonts w:ascii="Arial" w:hAnsi="Arial" w:cs="Arial"/>
          <w:sz w:val="22"/>
          <w:szCs w:val="22"/>
          <w:lang w:val="fr-FR"/>
        </w:rPr>
        <w:t xml:space="preserve">apprentissage. </w:t>
      </w:r>
      <w:r>
        <w:rPr>
          <w:rFonts w:ascii="Arial" w:hAnsi="Arial" w:cs="Arial"/>
          <w:sz w:val="22"/>
          <w:szCs w:val="22"/>
          <w:lang w:val="fr-FR"/>
        </w:rPr>
        <w:t xml:space="preserve">La </w:t>
      </w:r>
      <w:r w:rsidRPr="006B343C">
        <w:rPr>
          <w:rFonts w:ascii="Arial" w:hAnsi="Arial" w:cs="Arial"/>
          <w:sz w:val="22"/>
          <w:szCs w:val="22"/>
          <w:lang w:val="fr-FR"/>
        </w:rPr>
        <w:t>délégation</w:t>
      </w:r>
      <w:r w:rsidRPr="001F30D6">
        <w:rPr>
          <w:rFonts w:ascii="Arial" w:hAnsi="Arial" w:cs="Arial"/>
          <w:sz w:val="22"/>
          <w:szCs w:val="22"/>
          <w:lang w:val="fr-FR"/>
        </w:rPr>
        <w:t xml:space="preserve"> a donc souligné la pertinence de l</w:t>
      </w:r>
      <w:r w:rsidR="008E532B">
        <w:rPr>
          <w:rFonts w:ascii="Arial" w:hAnsi="Arial" w:cs="Arial"/>
          <w:sz w:val="22"/>
          <w:szCs w:val="22"/>
          <w:lang w:val="fr-FR"/>
        </w:rPr>
        <w:t>’</w:t>
      </w:r>
      <w:r w:rsidRPr="001F30D6">
        <w:rPr>
          <w:rFonts w:ascii="Arial" w:hAnsi="Arial" w:cs="Arial"/>
          <w:sz w:val="22"/>
          <w:szCs w:val="22"/>
          <w:lang w:val="fr-FR"/>
        </w:rPr>
        <w:t xml:space="preserve">accréditation des ONG sur la base de leur compétence reconnue dans le domaine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Pr>
          <w:rFonts w:ascii="Arial" w:hAnsi="Arial" w:cs="Arial"/>
          <w:sz w:val="22"/>
          <w:szCs w:val="22"/>
          <w:lang w:val="fr-FR"/>
        </w:rPr>
        <w:t xml:space="preserve">pour </w:t>
      </w:r>
      <w:r w:rsidRPr="001F30D6">
        <w:rPr>
          <w:rFonts w:ascii="Arial" w:hAnsi="Arial" w:cs="Arial"/>
          <w:sz w:val="22"/>
          <w:szCs w:val="22"/>
          <w:lang w:val="fr-FR"/>
        </w:rPr>
        <w:t xml:space="preserve">contribuer </w:t>
      </w:r>
      <w:r>
        <w:rPr>
          <w:rFonts w:ascii="Arial" w:hAnsi="Arial" w:cs="Arial"/>
          <w:sz w:val="22"/>
          <w:szCs w:val="22"/>
          <w:lang w:val="fr-FR"/>
        </w:rPr>
        <w:t>à l</w:t>
      </w:r>
      <w:r w:rsidR="008E532B">
        <w:rPr>
          <w:rFonts w:ascii="Arial" w:hAnsi="Arial" w:cs="Arial"/>
          <w:sz w:val="22"/>
          <w:szCs w:val="22"/>
          <w:lang w:val="fr-FR"/>
        </w:rPr>
        <w:t>’</w:t>
      </w:r>
      <w:r>
        <w:rPr>
          <w:rFonts w:ascii="Arial" w:hAnsi="Arial" w:cs="Arial"/>
          <w:bCs/>
          <w:sz w:val="22"/>
          <w:szCs w:val="22"/>
          <w:lang w:val="fr-FR"/>
        </w:rPr>
        <w:t xml:space="preserve">exercice de fonctions </w:t>
      </w:r>
      <w:r w:rsidRPr="0062776B">
        <w:rPr>
          <w:rFonts w:ascii="Arial" w:hAnsi="Arial" w:cs="Arial"/>
          <w:bCs/>
          <w:sz w:val="22"/>
          <w:szCs w:val="22"/>
          <w:lang w:val="fr-FR"/>
        </w:rPr>
        <w:t>consultati</w:t>
      </w:r>
      <w:r>
        <w:rPr>
          <w:rFonts w:ascii="Arial" w:hAnsi="Arial" w:cs="Arial"/>
          <w:bCs/>
          <w:sz w:val="22"/>
          <w:szCs w:val="22"/>
          <w:lang w:val="fr-FR"/>
        </w:rPr>
        <w:t xml:space="preserve">ves </w:t>
      </w:r>
      <w:r>
        <w:rPr>
          <w:rFonts w:ascii="Arial" w:hAnsi="Arial" w:cs="Arial"/>
          <w:sz w:val="22"/>
          <w:szCs w:val="22"/>
          <w:lang w:val="fr-FR"/>
        </w:rPr>
        <w:t>dans le cadre des</w:t>
      </w:r>
      <w:r w:rsidRPr="001F30D6">
        <w:rPr>
          <w:rFonts w:ascii="Arial" w:hAnsi="Arial" w:cs="Arial"/>
          <w:sz w:val="22"/>
          <w:szCs w:val="22"/>
          <w:lang w:val="fr-FR"/>
        </w:rPr>
        <w:t xml:space="preserve"> travaux du Comité. Dans cet ordre d</w:t>
      </w:r>
      <w:r w:rsidR="008E532B">
        <w:rPr>
          <w:rFonts w:ascii="Arial" w:hAnsi="Arial" w:cs="Arial"/>
          <w:sz w:val="22"/>
          <w:szCs w:val="22"/>
          <w:lang w:val="fr-FR"/>
        </w:rPr>
        <w:t>’</w:t>
      </w:r>
      <w:r w:rsidRPr="001F30D6">
        <w:rPr>
          <w:rFonts w:ascii="Arial" w:hAnsi="Arial" w:cs="Arial"/>
          <w:sz w:val="22"/>
          <w:szCs w:val="22"/>
          <w:lang w:val="fr-FR"/>
        </w:rPr>
        <w:t xml:space="preserve">idées, il </w:t>
      </w:r>
      <w:r>
        <w:rPr>
          <w:rFonts w:ascii="Arial" w:hAnsi="Arial" w:cs="Arial"/>
          <w:sz w:val="22"/>
          <w:szCs w:val="22"/>
          <w:lang w:val="fr-FR"/>
        </w:rPr>
        <w:t>était</w:t>
      </w:r>
      <w:r w:rsidRPr="001F30D6">
        <w:rPr>
          <w:rFonts w:ascii="Arial" w:hAnsi="Arial" w:cs="Arial"/>
          <w:sz w:val="22"/>
          <w:szCs w:val="22"/>
          <w:lang w:val="fr-FR"/>
        </w:rPr>
        <w:t xml:space="preserve"> important de reconnaître la richesse de l</w:t>
      </w:r>
      <w:r w:rsidR="008E532B">
        <w:rPr>
          <w:rFonts w:ascii="Arial" w:hAnsi="Arial" w:cs="Arial"/>
          <w:sz w:val="22"/>
          <w:szCs w:val="22"/>
          <w:lang w:val="fr-FR"/>
        </w:rPr>
        <w:t>’</w:t>
      </w:r>
      <w:r w:rsidRPr="001F30D6">
        <w:rPr>
          <w:rFonts w:ascii="Arial" w:hAnsi="Arial" w:cs="Arial"/>
          <w:sz w:val="22"/>
          <w:szCs w:val="22"/>
          <w:lang w:val="fr-FR"/>
        </w:rPr>
        <w:t xml:space="preserve">expertise et des compétences et contributions avérées disponibles au niveau mondial en matière de sauvegarde du </w:t>
      </w:r>
      <w:r w:rsidR="0064242E">
        <w:rPr>
          <w:rFonts w:ascii="Arial" w:eastAsia="SimSun" w:hAnsi="Arial" w:cs="Arial"/>
          <w:bCs/>
          <w:sz w:val="22"/>
          <w:szCs w:val="22"/>
          <w:lang w:val="fr-FR" w:eastAsia="en-US"/>
        </w:rPr>
        <w:t>patrimoine culturel immatériel</w:t>
      </w:r>
      <w:r w:rsidRPr="001F30D6">
        <w:rPr>
          <w:rFonts w:ascii="Arial" w:hAnsi="Arial" w:cs="Arial"/>
          <w:sz w:val="22"/>
          <w:szCs w:val="22"/>
          <w:lang w:val="fr-FR"/>
        </w:rPr>
        <w:t xml:space="preserve">. Cela profiterait aux travaux de la Convention, même à </w:t>
      </w:r>
      <w:r>
        <w:rPr>
          <w:rFonts w:ascii="Arial" w:hAnsi="Arial" w:cs="Arial"/>
          <w:sz w:val="22"/>
          <w:szCs w:val="22"/>
          <w:lang w:val="fr-FR"/>
        </w:rPr>
        <w:t>des fins d</w:t>
      </w:r>
      <w:r w:rsidR="008E532B">
        <w:rPr>
          <w:rFonts w:ascii="Arial" w:hAnsi="Arial" w:cs="Arial"/>
          <w:sz w:val="22"/>
          <w:szCs w:val="22"/>
          <w:lang w:val="fr-FR"/>
        </w:rPr>
        <w:t>’</w:t>
      </w:r>
      <w:r>
        <w:rPr>
          <w:rFonts w:ascii="Arial" w:hAnsi="Arial" w:cs="Arial"/>
          <w:sz w:val="22"/>
          <w:szCs w:val="22"/>
          <w:lang w:val="fr-FR"/>
        </w:rPr>
        <w:t xml:space="preserve">assistance </w:t>
      </w:r>
      <w:r w:rsidRPr="006B343C">
        <w:rPr>
          <w:rFonts w:ascii="Arial" w:hAnsi="Arial" w:cs="Arial"/>
          <w:sz w:val="22"/>
          <w:szCs w:val="22"/>
          <w:lang w:val="fr-FR"/>
        </w:rPr>
        <w:t>consultati</w:t>
      </w:r>
      <w:r>
        <w:rPr>
          <w:rFonts w:ascii="Arial" w:hAnsi="Arial" w:cs="Arial"/>
          <w:sz w:val="22"/>
          <w:szCs w:val="22"/>
          <w:lang w:val="fr-FR"/>
        </w:rPr>
        <w:t>ve</w:t>
      </w:r>
      <w:r w:rsidRPr="001F30D6">
        <w:rPr>
          <w:rFonts w:ascii="Arial" w:hAnsi="Arial" w:cs="Arial"/>
          <w:sz w:val="22"/>
          <w:szCs w:val="22"/>
          <w:lang w:val="fr-FR"/>
        </w:rPr>
        <w:t>. Compte tenu de leur précieuse expertise au-delà des frontières, les ONG dont la compétence et l</w:t>
      </w:r>
      <w:r w:rsidR="008E532B">
        <w:rPr>
          <w:rFonts w:ascii="Arial" w:hAnsi="Arial" w:cs="Arial"/>
          <w:sz w:val="22"/>
          <w:szCs w:val="22"/>
          <w:lang w:val="fr-FR"/>
        </w:rPr>
        <w:t>’</w:t>
      </w:r>
      <w:r w:rsidRPr="001F30D6">
        <w:rPr>
          <w:rFonts w:ascii="Arial" w:hAnsi="Arial" w:cs="Arial"/>
          <w:sz w:val="22"/>
          <w:szCs w:val="22"/>
          <w:lang w:val="fr-FR"/>
        </w:rPr>
        <w:t xml:space="preserve">expertise </w:t>
      </w:r>
      <w:r>
        <w:rPr>
          <w:rFonts w:ascii="Arial" w:hAnsi="Arial" w:cs="Arial"/>
          <w:sz w:val="22"/>
          <w:szCs w:val="22"/>
          <w:lang w:val="fr-FR"/>
        </w:rPr>
        <w:t xml:space="preserve">étaient </w:t>
      </w:r>
      <w:r w:rsidRPr="001F30D6">
        <w:rPr>
          <w:rFonts w:ascii="Arial" w:hAnsi="Arial" w:cs="Arial"/>
          <w:sz w:val="22"/>
          <w:szCs w:val="22"/>
          <w:lang w:val="fr-FR"/>
        </w:rPr>
        <w:t xml:space="preserve">reconnues, qui </w:t>
      </w:r>
      <w:r>
        <w:rPr>
          <w:rFonts w:ascii="Arial" w:hAnsi="Arial" w:cs="Arial"/>
          <w:sz w:val="22"/>
          <w:szCs w:val="22"/>
          <w:lang w:val="fr-FR"/>
        </w:rPr>
        <w:t xml:space="preserve">étaient </w:t>
      </w:r>
      <w:r w:rsidRPr="001F30D6">
        <w:rPr>
          <w:rFonts w:ascii="Arial" w:hAnsi="Arial" w:cs="Arial"/>
          <w:sz w:val="22"/>
          <w:szCs w:val="22"/>
          <w:lang w:val="fr-FR"/>
        </w:rPr>
        <w:t xml:space="preserve">affiliées à des États parties à la Convention et qui </w:t>
      </w:r>
      <w:r>
        <w:rPr>
          <w:rFonts w:ascii="Arial" w:hAnsi="Arial" w:cs="Arial"/>
          <w:sz w:val="22"/>
          <w:szCs w:val="22"/>
          <w:lang w:val="fr-FR"/>
        </w:rPr>
        <w:t>satisfaisaient</w:t>
      </w:r>
      <w:r w:rsidRPr="001F30D6">
        <w:rPr>
          <w:rFonts w:ascii="Arial" w:hAnsi="Arial" w:cs="Arial"/>
          <w:sz w:val="22"/>
          <w:szCs w:val="22"/>
          <w:lang w:val="fr-FR"/>
        </w:rPr>
        <w:t xml:space="preserve"> aux critères énoncés dans la Convention devraient être reconnues et</w:t>
      </w:r>
      <w:r>
        <w:rPr>
          <w:rFonts w:ascii="Arial" w:hAnsi="Arial" w:cs="Arial"/>
          <w:sz w:val="22"/>
          <w:szCs w:val="22"/>
          <w:lang w:val="fr-FR"/>
        </w:rPr>
        <w:t xml:space="preserve"> on devrait en tirer le meilleur parti, et ce, </w:t>
      </w:r>
      <w:r w:rsidRPr="001F30D6">
        <w:rPr>
          <w:rFonts w:ascii="Arial" w:hAnsi="Arial" w:cs="Arial"/>
          <w:sz w:val="22"/>
          <w:szCs w:val="22"/>
          <w:lang w:val="fr-FR"/>
        </w:rPr>
        <w:t xml:space="preserve">au profit de la sauvegarde du </w:t>
      </w:r>
      <w:r w:rsidR="0064242E">
        <w:rPr>
          <w:rFonts w:ascii="Arial" w:eastAsia="SimSun" w:hAnsi="Arial" w:cs="Arial"/>
          <w:bCs/>
          <w:sz w:val="22"/>
          <w:szCs w:val="22"/>
          <w:lang w:val="fr-FR" w:eastAsia="en-US"/>
        </w:rPr>
        <w:t>patrimoine culturel immatériel</w:t>
      </w:r>
      <w:r w:rsidRPr="001F30D6">
        <w:rPr>
          <w:rFonts w:ascii="Arial" w:hAnsi="Arial" w:cs="Arial"/>
          <w:sz w:val="22"/>
          <w:szCs w:val="22"/>
          <w:lang w:val="fr-FR"/>
        </w:rPr>
        <w:t>.</w:t>
      </w:r>
    </w:p>
    <w:p w14:paraId="2EFF538F" w14:textId="46D3E2F9" w:rsidR="00D9653F" w:rsidRPr="0001341B"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01341B">
        <w:rPr>
          <w:rFonts w:ascii="Arial" w:hAnsi="Arial" w:cs="Arial"/>
          <w:sz w:val="22"/>
          <w:szCs w:val="22"/>
          <w:lang w:val="fr-FR"/>
        </w:rPr>
        <w:t xml:space="preserve">La délégation </w:t>
      </w:r>
      <w:r>
        <w:rPr>
          <w:rFonts w:ascii="Arial" w:hAnsi="Arial" w:cs="Arial"/>
          <w:sz w:val="22"/>
          <w:szCs w:val="22"/>
          <w:lang w:val="fr-FR"/>
        </w:rPr>
        <w:t xml:space="preserve">de la </w:t>
      </w:r>
      <w:r w:rsidRPr="0001341B">
        <w:rPr>
          <w:rFonts w:ascii="Arial" w:hAnsi="Arial" w:cs="Arial"/>
          <w:b/>
          <w:bCs/>
          <w:sz w:val="22"/>
          <w:szCs w:val="22"/>
          <w:lang w:val="fr-FR"/>
        </w:rPr>
        <w:t>Slovaquie</w:t>
      </w:r>
      <w:r w:rsidRPr="0001341B">
        <w:rPr>
          <w:rFonts w:ascii="Arial" w:hAnsi="Arial" w:cs="Arial"/>
          <w:sz w:val="22"/>
          <w:szCs w:val="22"/>
          <w:lang w:val="fr-FR"/>
        </w:rPr>
        <w:t xml:space="preserve"> a félicité la Présidente pour son élection et s</w:t>
      </w:r>
      <w:r w:rsidR="008E532B">
        <w:rPr>
          <w:rFonts w:ascii="Arial" w:hAnsi="Arial" w:cs="Arial"/>
          <w:sz w:val="22"/>
          <w:szCs w:val="22"/>
          <w:lang w:val="fr-FR"/>
        </w:rPr>
        <w:t>’</w:t>
      </w:r>
      <w:r w:rsidRPr="0001341B">
        <w:rPr>
          <w:rFonts w:ascii="Arial" w:hAnsi="Arial" w:cs="Arial"/>
          <w:sz w:val="22"/>
          <w:szCs w:val="22"/>
          <w:lang w:val="fr-FR"/>
        </w:rPr>
        <w:t xml:space="preserve">est jointe aux orateurs qui </w:t>
      </w:r>
      <w:r>
        <w:rPr>
          <w:rFonts w:ascii="Arial" w:hAnsi="Arial" w:cs="Arial"/>
          <w:sz w:val="22"/>
          <w:szCs w:val="22"/>
          <w:lang w:val="fr-FR"/>
        </w:rPr>
        <w:t>avaient</w:t>
      </w:r>
      <w:r w:rsidRPr="0001341B">
        <w:rPr>
          <w:rFonts w:ascii="Arial" w:hAnsi="Arial" w:cs="Arial"/>
          <w:sz w:val="22"/>
          <w:szCs w:val="22"/>
          <w:lang w:val="fr-FR"/>
        </w:rPr>
        <w:t xml:space="preserve"> souligné l</w:t>
      </w:r>
      <w:r w:rsidR="008E532B">
        <w:rPr>
          <w:rFonts w:ascii="Arial" w:hAnsi="Arial" w:cs="Arial"/>
          <w:sz w:val="22"/>
          <w:szCs w:val="22"/>
          <w:lang w:val="fr-FR"/>
        </w:rPr>
        <w:t>’</w:t>
      </w:r>
      <w:r w:rsidRPr="0001341B">
        <w:rPr>
          <w:rFonts w:ascii="Arial" w:hAnsi="Arial" w:cs="Arial"/>
          <w:sz w:val="22"/>
          <w:szCs w:val="22"/>
          <w:lang w:val="fr-FR"/>
        </w:rPr>
        <w:t xml:space="preserve">importance des ONG dans la sauvegarde du </w:t>
      </w:r>
      <w:r w:rsidR="0064242E">
        <w:rPr>
          <w:rFonts w:ascii="Arial" w:eastAsia="SimSun" w:hAnsi="Arial" w:cs="Arial"/>
          <w:bCs/>
          <w:sz w:val="22"/>
          <w:szCs w:val="22"/>
          <w:lang w:val="fr-FR" w:eastAsia="en-US"/>
        </w:rPr>
        <w:t>patrimoine culturel immatériel</w:t>
      </w:r>
      <w:r w:rsidRPr="0001341B">
        <w:rPr>
          <w:rFonts w:ascii="Arial" w:hAnsi="Arial" w:cs="Arial"/>
          <w:sz w:val="22"/>
          <w:szCs w:val="22"/>
          <w:lang w:val="fr-FR"/>
        </w:rPr>
        <w:t>. Elle estim</w:t>
      </w:r>
      <w:r>
        <w:rPr>
          <w:rFonts w:ascii="Arial" w:hAnsi="Arial" w:cs="Arial"/>
          <w:sz w:val="22"/>
          <w:szCs w:val="22"/>
          <w:lang w:val="fr-FR"/>
        </w:rPr>
        <w:t>ait</w:t>
      </w:r>
      <w:r w:rsidRPr="0001341B">
        <w:rPr>
          <w:rFonts w:ascii="Arial" w:hAnsi="Arial" w:cs="Arial"/>
          <w:sz w:val="22"/>
          <w:szCs w:val="22"/>
          <w:lang w:val="fr-FR"/>
        </w:rPr>
        <w:t xml:space="preserve"> que la pratique actuelle de l</w:t>
      </w:r>
      <w:r w:rsidR="008E532B">
        <w:rPr>
          <w:rFonts w:ascii="Arial" w:hAnsi="Arial" w:cs="Arial"/>
          <w:sz w:val="22"/>
          <w:szCs w:val="22"/>
          <w:lang w:val="fr-FR"/>
        </w:rPr>
        <w:t>’</w:t>
      </w:r>
      <w:r w:rsidRPr="0001341B">
        <w:rPr>
          <w:rFonts w:ascii="Arial" w:hAnsi="Arial" w:cs="Arial"/>
          <w:sz w:val="22"/>
          <w:szCs w:val="22"/>
          <w:lang w:val="fr-FR"/>
        </w:rPr>
        <w:t xml:space="preserve">accréditation était bonne dans la mesure où les ONG </w:t>
      </w:r>
      <w:r>
        <w:rPr>
          <w:rFonts w:ascii="Arial" w:hAnsi="Arial" w:cs="Arial"/>
          <w:sz w:val="22"/>
          <w:szCs w:val="22"/>
          <w:lang w:val="fr-FR"/>
        </w:rPr>
        <w:t xml:space="preserve">étaient </w:t>
      </w:r>
      <w:r w:rsidRPr="0001341B">
        <w:rPr>
          <w:rFonts w:ascii="Arial" w:hAnsi="Arial" w:cs="Arial"/>
          <w:sz w:val="22"/>
          <w:szCs w:val="22"/>
          <w:lang w:val="fr-FR"/>
        </w:rPr>
        <w:t>accréditées en fonction de leur compétence, de leur expérience et de leur contribution plutôt que d</w:t>
      </w:r>
      <w:r>
        <w:rPr>
          <w:rFonts w:ascii="Arial" w:hAnsi="Arial" w:cs="Arial"/>
          <w:sz w:val="22"/>
          <w:szCs w:val="22"/>
          <w:lang w:val="fr-FR"/>
        </w:rPr>
        <w:t>e leur domiciliation</w:t>
      </w:r>
      <w:r w:rsidRPr="0001341B">
        <w:rPr>
          <w:rFonts w:ascii="Arial" w:hAnsi="Arial" w:cs="Arial"/>
          <w:sz w:val="22"/>
          <w:szCs w:val="22"/>
          <w:lang w:val="fr-FR"/>
        </w:rPr>
        <w:t xml:space="preserve">. </w:t>
      </w:r>
      <w:r>
        <w:rPr>
          <w:rFonts w:ascii="Arial" w:hAnsi="Arial" w:cs="Arial"/>
          <w:sz w:val="22"/>
          <w:szCs w:val="22"/>
          <w:lang w:val="fr-FR"/>
        </w:rPr>
        <w:t>L</w:t>
      </w:r>
      <w:r w:rsidRPr="0001341B">
        <w:rPr>
          <w:rFonts w:ascii="Arial" w:hAnsi="Arial" w:cs="Arial"/>
          <w:sz w:val="22"/>
          <w:szCs w:val="22"/>
          <w:lang w:val="fr-FR"/>
        </w:rPr>
        <w:t>a Palestine avait souligné l</w:t>
      </w:r>
      <w:r w:rsidR="008E532B">
        <w:rPr>
          <w:rFonts w:ascii="Arial" w:hAnsi="Arial" w:cs="Arial"/>
          <w:sz w:val="22"/>
          <w:szCs w:val="22"/>
          <w:lang w:val="fr-FR"/>
        </w:rPr>
        <w:t>’</w:t>
      </w:r>
      <w:r w:rsidRPr="0001341B">
        <w:rPr>
          <w:rFonts w:ascii="Arial" w:hAnsi="Arial" w:cs="Arial"/>
          <w:sz w:val="22"/>
          <w:szCs w:val="22"/>
          <w:lang w:val="fr-FR"/>
        </w:rPr>
        <w:t>importante question concernant le déséquilibre de la représentation géographique. La délégation était cependant d</w:t>
      </w:r>
      <w:r w:rsidR="008E532B">
        <w:rPr>
          <w:rFonts w:ascii="Arial" w:hAnsi="Arial" w:cs="Arial"/>
          <w:sz w:val="22"/>
          <w:szCs w:val="22"/>
          <w:lang w:val="fr-FR"/>
        </w:rPr>
        <w:t>’</w:t>
      </w:r>
      <w:r w:rsidRPr="0001341B">
        <w:rPr>
          <w:rFonts w:ascii="Arial" w:hAnsi="Arial" w:cs="Arial"/>
          <w:sz w:val="22"/>
          <w:szCs w:val="22"/>
          <w:lang w:val="fr-FR"/>
        </w:rPr>
        <w:t xml:space="preserve">avis que plutôt que de restreindre le Comité </w:t>
      </w:r>
      <w:r>
        <w:rPr>
          <w:rFonts w:ascii="Arial" w:hAnsi="Arial" w:cs="Arial"/>
          <w:sz w:val="22"/>
          <w:szCs w:val="22"/>
          <w:lang w:val="fr-FR"/>
        </w:rPr>
        <w:t>–</w:t>
      </w:r>
      <w:r w:rsidRPr="0001341B">
        <w:rPr>
          <w:rFonts w:ascii="Arial" w:hAnsi="Arial" w:cs="Arial"/>
          <w:sz w:val="22"/>
          <w:szCs w:val="22"/>
          <w:lang w:val="fr-FR"/>
        </w:rPr>
        <w:t xml:space="preserve"> </w:t>
      </w:r>
      <w:r>
        <w:rPr>
          <w:rFonts w:ascii="Arial" w:hAnsi="Arial" w:cs="Arial"/>
          <w:sz w:val="22"/>
          <w:szCs w:val="22"/>
          <w:lang w:val="fr-FR"/>
        </w:rPr>
        <w:t xml:space="preserve">à propos de </w:t>
      </w:r>
      <w:r w:rsidRPr="0001341B">
        <w:rPr>
          <w:rFonts w:ascii="Arial" w:hAnsi="Arial" w:cs="Arial"/>
          <w:sz w:val="22"/>
          <w:szCs w:val="22"/>
          <w:lang w:val="fr-FR"/>
        </w:rPr>
        <w:t xml:space="preserve">qui il </w:t>
      </w:r>
      <w:r>
        <w:rPr>
          <w:rFonts w:ascii="Arial" w:hAnsi="Arial" w:cs="Arial"/>
          <w:sz w:val="22"/>
          <w:szCs w:val="22"/>
          <w:lang w:val="fr-FR"/>
        </w:rPr>
        <w:t>pouvait</w:t>
      </w:r>
      <w:r w:rsidRPr="0001341B">
        <w:rPr>
          <w:rFonts w:ascii="Arial" w:hAnsi="Arial" w:cs="Arial"/>
          <w:sz w:val="22"/>
          <w:szCs w:val="22"/>
          <w:lang w:val="fr-FR"/>
        </w:rPr>
        <w:t xml:space="preserve"> ou ne </w:t>
      </w:r>
      <w:r>
        <w:rPr>
          <w:rFonts w:ascii="Arial" w:hAnsi="Arial" w:cs="Arial"/>
          <w:sz w:val="22"/>
          <w:szCs w:val="22"/>
          <w:lang w:val="fr-FR"/>
        </w:rPr>
        <w:t>pouvait</w:t>
      </w:r>
      <w:r w:rsidRPr="0001341B">
        <w:rPr>
          <w:rFonts w:ascii="Arial" w:hAnsi="Arial" w:cs="Arial"/>
          <w:sz w:val="22"/>
          <w:szCs w:val="22"/>
          <w:lang w:val="fr-FR"/>
        </w:rPr>
        <w:t xml:space="preserve"> pas élire - les ONG des régions sous-représentées devraient être encouragées et l</w:t>
      </w:r>
      <w:r w:rsidR="008E532B">
        <w:rPr>
          <w:rFonts w:ascii="Arial" w:hAnsi="Arial" w:cs="Arial"/>
          <w:sz w:val="22"/>
          <w:szCs w:val="22"/>
          <w:lang w:val="fr-FR"/>
        </w:rPr>
        <w:t>’</w:t>
      </w:r>
      <w:r w:rsidRPr="0001341B">
        <w:rPr>
          <w:rFonts w:ascii="Arial" w:hAnsi="Arial" w:cs="Arial"/>
          <w:sz w:val="22"/>
          <w:szCs w:val="22"/>
          <w:lang w:val="fr-FR"/>
        </w:rPr>
        <w:t>Assemblée devrait peut-être réfléchir à des mesures concrètes pour les inciter à soumettre des demandes d</w:t>
      </w:r>
      <w:r w:rsidR="008E532B">
        <w:rPr>
          <w:rFonts w:ascii="Arial" w:hAnsi="Arial" w:cs="Arial"/>
          <w:sz w:val="22"/>
          <w:szCs w:val="22"/>
          <w:lang w:val="fr-FR"/>
        </w:rPr>
        <w:t>’</w:t>
      </w:r>
      <w:r w:rsidRPr="0001341B">
        <w:rPr>
          <w:rFonts w:ascii="Arial" w:hAnsi="Arial" w:cs="Arial"/>
          <w:sz w:val="22"/>
          <w:szCs w:val="22"/>
          <w:lang w:val="fr-FR"/>
        </w:rPr>
        <w:t>accréditation afin d</w:t>
      </w:r>
      <w:r>
        <w:rPr>
          <w:rFonts w:ascii="Arial" w:hAnsi="Arial" w:cs="Arial"/>
          <w:sz w:val="22"/>
          <w:szCs w:val="22"/>
          <w:lang w:val="fr-FR"/>
        </w:rPr>
        <w:t xml:space="preserve">e parvenir à </w:t>
      </w:r>
      <w:r w:rsidRPr="0001341B">
        <w:rPr>
          <w:rFonts w:ascii="Arial" w:hAnsi="Arial" w:cs="Arial"/>
          <w:sz w:val="22"/>
          <w:szCs w:val="22"/>
          <w:lang w:val="fr-FR"/>
        </w:rPr>
        <w:t xml:space="preserve">un meilleur équilibre en </w:t>
      </w:r>
      <w:r>
        <w:rPr>
          <w:rFonts w:ascii="Arial" w:hAnsi="Arial" w:cs="Arial"/>
          <w:sz w:val="22"/>
          <w:szCs w:val="22"/>
          <w:lang w:val="fr-FR"/>
        </w:rPr>
        <w:t xml:space="preserve">matière </w:t>
      </w:r>
      <w:r w:rsidRPr="0001341B">
        <w:rPr>
          <w:rFonts w:ascii="Arial" w:hAnsi="Arial" w:cs="Arial"/>
          <w:sz w:val="22"/>
          <w:szCs w:val="22"/>
          <w:lang w:val="fr-FR"/>
        </w:rPr>
        <w:t>de représentation géographique.</w:t>
      </w:r>
    </w:p>
    <w:p w14:paraId="14355AB6" w14:textId="7CB31303" w:rsidR="00D9653F" w:rsidRPr="0001341B"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01341B">
        <w:rPr>
          <w:rFonts w:ascii="Arial" w:hAnsi="Arial" w:cs="Arial"/>
          <w:sz w:val="22"/>
          <w:szCs w:val="22"/>
          <w:lang w:val="fr-FR"/>
        </w:rPr>
        <w:t xml:space="preserve">La délégation de la </w:t>
      </w:r>
      <w:r w:rsidRPr="0001341B">
        <w:rPr>
          <w:rFonts w:ascii="Arial" w:hAnsi="Arial" w:cs="Arial"/>
          <w:b/>
          <w:bCs/>
          <w:sz w:val="22"/>
          <w:szCs w:val="22"/>
          <w:lang w:val="fr-FR"/>
        </w:rPr>
        <w:t>République islamique d</w:t>
      </w:r>
      <w:r w:rsidR="008E532B">
        <w:rPr>
          <w:rFonts w:ascii="Arial" w:hAnsi="Arial" w:cs="Arial"/>
          <w:b/>
          <w:bCs/>
          <w:sz w:val="22"/>
          <w:szCs w:val="22"/>
          <w:lang w:val="fr-FR"/>
        </w:rPr>
        <w:t>’</w:t>
      </w:r>
      <w:r w:rsidRPr="0001341B">
        <w:rPr>
          <w:rFonts w:ascii="Arial" w:hAnsi="Arial" w:cs="Arial"/>
          <w:b/>
          <w:bCs/>
          <w:sz w:val="22"/>
          <w:szCs w:val="22"/>
          <w:lang w:val="fr-FR"/>
        </w:rPr>
        <w:t>Iran</w:t>
      </w:r>
      <w:r w:rsidRPr="0001341B">
        <w:rPr>
          <w:rFonts w:ascii="Arial" w:hAnsi="Arial" w:cs="Arial"/>
          <w:sz w:val="22"/>
          <w:szCs w:val="22"/>
          <w:lang w:val="fr-FR"/>
        </w:rPr>
        <w:t xml:space="preserve"> </w:t>
      </w:r>
      <w:r>
        <w:rPr>
          <w:rFonts w:ascii="Arial" w:hAnsi="Arial" w:cs="Arial"/>
          <w:sz w:val="22"/>
          <w:szCs w:val="22"/>
          <w:lang w:val="fr-FR"/>
        </w:rPr>
        <w:t xml:space="preserve">a </w:t>
      </w:r>
      <w:r w:rsidRPr="0001341B">
        <w:rPr>
          <w:rFonts w:ascii="Arial" w:hAnsi="Arial" w:cs="Arial"/>
          <w:sz w:val="22"/>
          <w:szCs w:val="22"/>
          <w:lang w:val="fr-FR"/>
        </w:rPr>
        <w:t>félicit</w:t>
      </w:r>
      <w:r>
        <w:rPr>
          <w:rFonts w:ascii="Arial" w:hAnsi="Arial" w:cs="Arial"/>
          <w:sz w:val="22"/>
          <w:szCs w:val="22"/>
          <w:lang w:val="fr-FR"/>
        </w:rPr>
        <w:t>é</w:t>
      </w:r>
      <w:r w:rsidRPr="0001341B">
        <w:rPr>
          <w:rFonts w:ascii="Arial" w:hAnsi="Arial" w:cs="Arial"/>
          <w:sz w:val="22"/>
          <w:szCs w:val="22"/>
          <w:lang w:val="fr-FR"/>
        </w:rPr>
        <w:t xml:space="preserve"> la Présidente pour son élection et s</w:t>
      </w:r>
      <w:r w:rsidR="008E532B">
        <w:rPr>
          <w:rFonts w:ascii="Arial" w:hAnsi="Arial" w:cs="Arial"/>
          <w:sz w:val="22"/>
          <w:szCs w:val="22"/>
          <w:lang w:val="fr-FR"/>
        </w:rPr>
        <w:t>’</w:t>
      </w:r>
      <w:r>
        <w:rPr>
          <w:rFonts w:ascii="Arial" w:hAnsi="Arial" w:cs="Arial"/>
          <w:sz w:val="22"/>
          <w:szCs w:val="22"/>
          <w:lang w:val="fr-FR"/>
        </w:rPr>
        <w:t xml:space="preserve">est </w:t>
      </w:r>
      <w:r w:rsidRPr="0001341B">
        <w:rPr>
          <w:rFonts w:ascii="Arial" w:hAnsi="Arial" w:cs="Arial"/>
          <w:sz w:val="22"/>
          <w:szCs w:val="22"/>
          <w:lang w:val="fr-FR"/>
        </w:rPr>
        <w:t>exprim</w:t>
      </w:r>
      <w:r>
        <w:rPr>
          <w:rFonts w:ascii="Arial" w:hAnsi="Arial" w:cs="Arial"/>
          <w:sz w:val="22"/>
          <w:szCs w:val="22"/>
          <w:lang w:val="fr-FR"/>
        </w:rPr>
        <w:t xml:space="preserve">ée </w:t>
      </w:r>
      <w:r w:rsidRPr="0001341B">
        <w:rPr>
          <w:rFonts w:ascii="Arial" w:hAnsi="Arial" w:cs="Arial"/>
          <w:sz w:val="22"/>
          <w:szCs w:val="22"/>
          <w:lang w:val="fr-FR"/>
        </w:rPr>
        <w:t>en faveur de la proposition de la Palestine. L</w:t>
      </w:r>
      <w:r w:rsidR="008E532B">
        <w:rPr>
          <w:rFonts w:ascii="Arial" w:hAnsi="Arial" w:cs="Arial"/>
          <w:sz w:val="22"/>
          <w:szCs w:val="22"/>
          <w:lang w:val="fr-FR"/>
        </w:rPr>
        <w:t>’</w:t>
      </w:r>
      <w:r w:rsidRPr="0001341B">
        <w:rPr>
          <w:rFonts w:ascii="Arial" w:hAnsi="Arial" w:cs="Arial"/>
          <w:sz w:val="22"/>
          <w:szCs w:val="22"/>
          <w:lang w:val="fr-FR"/>
        </w:rPr>
        <w:t xml:space="preserve">importance des ONG </w:t>
      </w:r>
      <w:r>
        <w:rPr>
          <w:rFonts w:ascii="Arial" w:hAnsi="Arial" w:cs="Arial"/>
          <w:sz w:val="22"/>
          <w:szCs w:val="22"/>
          <w:lang w:val="fr-FR"/>
        </w:rPr>
        <w:t xml:space="preserve">était </w:t>
      </w:r>
      <w:r w:rsidRPr="0001341B">
        <w:rPr>
          <w:rFonts w:ascii="Arial" w:hAnsi="Arial" w:cs="Arial"/>
          <w:sz w:val="22"/>
          <w:szCs w:val="22"/>
          <w:lang w:val="fr-FR"/>
        </w:rPr>
        <w:t>évidente</w:t>
      </w:r>
      <w:r>
        <w:rPr>
          <w:rFonts w:ascii="Arial" w:hAnsi="Arial" w:cs="Arial"/>
          <w:sz w:val="22"/>
          <w:szCs w:val="22"/>
          <w:lang w:val="fr-FR"/>
        </w:rPr>
        <w:t>,</w:t>
      </w:r>
      <w:r w:rsidRPr="0001341B">
        <w:rPr>
          <w:rFonts w:ascii="Arial" w:hAnsi="Arial" w:cs="Arial"/>
          <w:sz w:val="22"/>
          <w:szCs w:val="22"/>
          <w:lang w:val="fr-FR"/>
        </w:rPr>
        <w:t xml:space="preserve"> et les privilèges d</w:t>
      </w:r>
      <w:r>
        <w:rPr>
          <w:rFonts w:ascii="Arial" w:hAnsi="Arial" w:cs="Arial"/>
          <w:sz w:val="22"/>
          <w:szCs w:val="22"/>
          <w:lang w:val="fr-FR"/>
        </w:rPr>
        <w:t>evaient</w:t>
      </w:r>
      <w:r w:rsidRPr="0001341B">
        <w:rPr>
          <w:rFonts w:ascii="Arial" w:hAnsi="Arial" w:cs="Arial"/>
          <w:sz w:val="22"/>
          <w:szCs w:val="22"/>
          <w:lang w:val="fr-FR"/>
        </w:rPr>
        <w:t xml:space="preserve"> donc </w:t>
      </w:r>
      <w:r>
        <w:rPr>
          <w:rFonts w:ascii="Arial" w:hAnsi="Arial" w:cs="Arial"/>
          <w:sz w:val="22"/>
          <w:szCs w:val="22"/>
          <w:lang w:val="fr-FR"/>
        </w:rPr>
        <w:t>aller de pair avec les</w:t>
      </w:r>
      <w:r w:rsidRPr="0001341B">
        <w:rPr>
          <w:rFonts w:ascii="Arial" w:hAnsi="Arial" w:cs="Arial"/>
          <w:sz w:val="22"/>
          <w:szCs w:val="22"/>
          <w:lang w:val="fr-FR"/>
        </w:rPr>
        <w:t xml:space="preserve"> responsabilités.</w:t>
      </w:r>
    </w:p>
    <w:p w14:paraId="5DE5AFB6" w14:textId="37B96C10" w:rsidR="00D9653F" w:rsidRPr="006F7D2A"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6F7D2A">
        <w:rPr>
          <w:rFonts w:ascii="Arial" w:hAnsi="Arial" w:cs="Arial"/>
          <w:sz w:val="22"/>
          <w:szCs w:val="22"/>
          <w:lang w:val="fr-FR"/>
        </w:rPr>
        <w:t xml:space="preserve">La délégation </w:t>
      </w:r>
      <w:r>
        <w:rPr>
          <w:rFonts w:ascii="Arial" w:hAnsi="Arial" w:cs="Arial"/>
          <w:sz w:val="22"/>
          <w:szCs w:val="22"/>
          <w:lang w:val="fr-FR"/>
        </w:rPr>
        <w:t>de l</w:t>
      </w:r>
      <w:r w:rsidR="008E532B">
        <w:rPr>
          <w:rFonts w:ascii="Arial" w:hAnsi="Arial" w:cs="Arial"/>
          <w:sz w:val="22"/>
          <w:szCs w:val="22"/>
          <w:lang w:val="fr-FR"/>
        </w:rPr>
        <w:t>’</w:t>
      </w:r>
      <w:r w:rsidRPr="006F7D2A">
        <w:rPr>
          <w:rFonts w:ascii="Arial" w:hAnsi="Arial" w:cs="Arial"/>
          <w:b/>
          <w:bCs/>
          <w:sz w:val="22"/>
          <w:szCs w:val="22"/>
          <w:lang w:val="fr-FR"/>
        </w:rPr>
        <w:t>Égypte</w:t>
      </w:r>
      <w:r w:rsidRPr="006F7D2A">
        <w:rPr>
          <w:rFonts w:ascii="Arial" w:hAnsi="Arial" w:cs="Arial"/>
          <w:sz w:val="22"/>
          <w:szCs w:val="22"/>
          <w:lang w:val="fr-FR"/>
        </w:rPr>
        <w:t xml:space="preserve"> a remercié le </w:t>
      </w:r>
      <w:r>
        <w:rPr>
          <w:rFonts w:ascii="Arial" w:hAnsi="Arial" w:cs="Arial"/>
          <w:sz w:val="22"/>
          <w:szCs w:val="22"/>
          <w:lang w:val="fr-FR"/>
        </w:rPr>
        <w:t>P</w:t>
      </w:r>
      <w:r w:rsidRPr="006F7D2A">
        <w:rPr>
          <w:rFonts w:ascii="Arial" w:hAnsi="Arial" w:cs="Arial"/>
          <w:sz w:val="22"/>
          <w:szCs w:val="22"/>
          <w:lang w:val="fr-FR"/>
        </w:rPr>
        <w:t>résident du Forum pour sa présentation très complète</w:t>
      </w:r>
      <w:r>
        <w:rPr>
          <w:rFonts w:ascii="Arial" w:hAnsi="Arial" w:cs="Arial"/>
          <w:sz w:val="22"/>
          <w:szCs w:val="22"/>
          <w:lang w:val="fr-FR"/>
        </w:rPr>
        <w:t xml:space="preserve">, et a </w:t>
      </w:r>
      <w:r w:rsidRPr="006F7D2A">
        <w:rPr>
          <w:rFonts w:ascii="Arial" w:hAnsi="Arial" w:cs="Arial"/>
          <w:sz w:val="22"/>
          <w:szCs w:val="22"/>
          <w:lang w:val="fr-FR"/>
        </w:rPr>
        <w:t>conven</w:t>
      </w:r>
      <w:r>
        <w:rPr>
          <w:rFonts w:ascii="Arial" w:hAnsi="Arial" w:cs="Arial"/>
          <w:sz w:val="22"/>
          <w:szCs w:val="22"/>
          <w:lang w:val="fr-FR"/>
        </w:rPr>
        <w:t>u</w:t>
      </w:r>
      <w:r w:rsidRPr="006F7D2A">
        <w:rPr>
          <w:rFonts w:ascii="Arial" w:hAnsi="Arial" w:cs="Arial"/>
          <w:sz w:val="22"/>
          <w:szCs w:val="22"/>
          <w:lang w:val="fr-FR"/>
        </w:rPr>
        <w:t xml:space="preserve"> que les ONG jouent un rôle majeur dans la mise en œuvre de la Convention. Le raisonnement qui sous-tend</w:t>
      </w:r>
      <w:r>
        <w:rPr>
          <w:rFonts w:ascii="Arial" w:hAnsi="Arial" w:cs="Arial"/>
          <w:sz w:val="22"/>
          <w:szCs w:val="22"/>
          <w:lang w:val="fr-FR"/>
        </w:rPr>
        <w:t>ait</w:t>
      </w:r>
      <w:r w:rsidRPr="006F7D2A">
        <w:rPr>
          <w:rFonts w:ascii="Arial" w:hAnsi="Arial" w:cs="Arial"/>
          <w:sz w:val="22"/>
          <w:szCs w:val="22"/>
          <w:lang w:val="fr-FR"/>
        </w:rPr>
        <w:t xml:space="preserve"> la proposition de la Palestine </w:t>
      </w:r>
      <w:r>
        <w:rPr>
          <w:rFonts w:ascii="Arial" w:hAnsi="Arial" w:cs="Arial"/>
          <w:sz w:val="22"/>
          <w:szCs w:val="22"/>
          <w:lang w:val="fr-FR"/>
        </w:rPr>
        <w:t>était</w:t>
      </w:r>
      <w:r w:rsidRPr="006F7D2A">
        <w:rPr>
          <w:rFonts w:ascii="Arial" w:hAnsi="Arial" w:cs="Arial"/>
          <w:sz w:val="22"/>
          <w:szCs w:val="22"/>
          <w:lang w:val="fr-FR"/>
        </w:rPr>
        <w:t xml:space="preserve"> très clair et pertinent car les ONG d</w:t>
      </w:r>
      <w:r>
        <w:rPr>
          <w:rFonts w:ascii="Arial" w:hAnsi="Arial" w:cs="Arial"/>
          <w:sz w:val="22"/>
          <w:szCs w:val="22"/>
          <w:lang w:val="fr-FR"/>
        </w:rPr>
        <w:t>evaient</w:t>
      </w:r>
      <w:r w:rsidRPr="006F7D2A">
        <w:rPr>
          <w:rFonts w:ascii="Arial" w:hAnsi="Arial" w:cs="Arial"/>
          <w:sz w:val="22"/>
          <w:szCs w:val="22"/>
          <w:lang w:val="fr-FR"/>
        </w:rPr>
        <w:t xml:space="preserve"> appartenir à un État partie si elles </w:t>
      </w:r>
      <w:r>
        <w:rPr>
          <w:rFonts w:ascii="Arial" w:hAnsi="Arial" w:cs="Arial"/>
          <w:sz w:val="22"/>
          <w:szCs w:val="22"/>
          <w:lang w:val="fr-FR"/>
        </w:rPr>
        <w:t xml:space="preserve">voulaient </w:t>
      </w:r>
      <w:r w:rsidRPr="006F7D2A">
        <w:rPr>
          <w:rFonts w:ascii="Arial" w:hAnsi="Arial" w:cs="Arial"/>
          <w:sz w:val="22"/>
          <w:szCs w:val="22"/>
          <w:lang w:val="fr-FR"/>
        </w:rPr>
        <w:t>servir et mettre en œuvre la Convention. Si une ONG souhait</w:t>
      </w:r>
      <w:r>
        <w:rPr>
          <w:rFonts w:ascii="Arial" w:hAnsi="Arial" w:cs="Arial"/>
          <w:sz w:val="22"/>
          <w:szCs w:val="22"/>
          <w:lang w:val="fr-FR"/>
        </w:rPr>
        <w:t>ait</w:t>
      </w:r>
      <w:r w:rsidRPr="006F7D2A">
        <w:rPr>
          <w:rFonts w:ascii="Arial" w:hAnsi="Arial" w:cs="Arial"/>
          <w:sz w:val="22"/>
          <w:szCs w:val="22"/>
          <w:lang w:val="fr-FR"/>
        </w:rPr>
        <w:t xml:space="preserve"> être accréditée, elle d</w:t>
      </w:r>
      <w:r>
        <w:rPr>
          <w:rFonts w:ascii="Arial" w:hAnsi="Arial" w:cs="Arial"/>
          <w:sz w:val="22"/>
          <w:szCs w:val="22"/>
          <w:lang w:val="fr-FR"/>
        </w:rPr>
        <w:t>evait</w:t>
      </w:r>
      <w:r w:rsidRPr="006F7D2A">
        <w:rPr>
          <w:rFonts w:ascii="Arial" w:hAnsi="Arial" w:cs="Arial"/>
          <w:sz w:val="22"/>
          <w:szCs w:val="22"/>
          <w:lang w:val="fr-FR"/>
        </w:rPr>
        <w:t xml:space="preserve"> demander ou encourager l</w:t>
      </w:r>
      <w:r w:rsidR="008E532B">
        <w:rPr>
          <w:rFonts w:ascii="Arial" w:hAnsi="Arial" w:cs="Arial"/>
          <w:sz w:val="22"/>
          <w:szCs w:val="22"/>
          <w:lang w:val="fr-FR"/>
        </w:rPr>
        <w:t>’</w:t>
      </w:r>
      <w:r w:rsidRPr="006F7D2A">
        <w:rPr>
          <w:rFonts w:ascii="Arial" w:hAnsi="Arial" w:cs="Arial"/>
          <w:sz w:val="22"/>
          <w:szCs w:val="22"/>
          <w:lang w:val="fr-FR"/>
        </w:rPr>
        <w:t>État partie auquel elle appart</w:t>
      </w:r>
      <w:r>
        <w:rPr>
          <w:rFonts w:ascii="Arial" w:hAnsi="Arial" w:cs="Arial"/>
          <w:sz w:val="22"/>
          <w:szCs w:val="22"/>
          <w:lang w:val="fr-FR"/>
        </w:rPr>
        <w:t>ient</w:t>
      </w:r>
      <w:r w:rsidRPr="006F7D2A">
        <w:rPr>
          <w:rFonts w:ascii="Arial" w:hAnsi="Arial" w:cs="Arial"/>
          <w:sz w:val="22"/>
          <w:szCs w:val="22"/>
          <w:lang w:val="fr-FR"/>
        </w:rPr>
        <w:t xml:space="preserve"> à ratifier la Convention. La délégation a également approuvé la proposition du Mexique.</w:t>
      </w:r>
    </w:p>
    <w:p w14:paraId="4F92D0C7" w14:textId="36EEA2C7" w:rsidR="00D9653F" w:rsidRPr="00082F06"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082F06">
        <w:rPr>
          <w:rFonts w:ascii="Arial" w:hAnsi="Arial" w:cs="Arial"/>
          <w:sz w:val="22"/>
          <w:szCs w:val="22"/>
          <w:lang w:val="fr-FR"/>
        </w:rPr>
        <w:t>La délégation de l</w:t>
      </w:r>
      <w:r w:rsidR="008E532B">
        <w:rPr>
          <w:rFonts w:ascii="Arial" w:hAnsi="Arial" w:cs="Arial"/>
          <w:sz w:val="22"/>
          <w:szCs w:val="22"/>
          <w:lang w:val="fr-FR"/>
        </w:rPr>
        <w:t>’</w:t>
      </w:r>
      <w:r w:rsidRPr="00082F06">
        <w:rPr>
          <w:rFonts w:ascii="Arial" w:hAnsi="Arial" w:cs="Arial"/>
          <w:b/>
          <w:bCs/>
          <w:sz w:val="22"/>
          <w:szCs w:val="22"/>
          <w:lang w:val="fr-FR"/>
        </w:rPr>
        <w:t>Allemagne</w:t>
      </w:r>
      <w:r w:rsidRPr="00082F06">
        <w:rPr>
          <w:rFonts w:ascii="Arial" w:hAnsi="Arial" w:cs="Arial"/>
          <w:sz w:val="22"/>
          <w:szCs w:val="22"/>
          <w:lang w:val="fr-FR"/>
        </w:rPr>
        <w:t xml:space="preserve"> s</w:t>
      </w:r>
      <w:r w:rsidR="008E532B">
        <w:rPr>
          <w:rFonts w:ascii="Arial" w:hAnsi="Arial" w:cs="Arial"/>
          <w:sz w:val="22"/>
          <w:szCs w:val="22"/>
          <w:lang w:val="fr-FR"/>
        </w:rPr>
        <w:t>’</w:t>
      </w:r>
      <w:r w:rsidRPr="00082F06">
        <w:rPr>
          <w:rFonts w:ascii="Arial" w:hAnsi="Arial" w:cs="Arial"/>
          <w:sz w:val="22"/>
          <w:szCs w:val="22"/>
          <w:lang w:val="fr-FR"/>
        </w:rPr>
        <w:t xml:space="preserve">est alignée sur les remarques </w:t>
      </w:r>
      <w:r>
        <w:rPr>
          <w:rFonts w:ascii="Arial" w:hAnsi="Arial" w:cs="Arial"/>
          <w:sz w:val="22"/>
          <w:szCs w:val="22"/>
          <w:lang w:val="fr-FR"/>
        </w:rPr>
        <w:t>formulées par</w:t>
      </w:r>
      <w:r w:rsidRPr="00082F06">
        <w:rPr>
          <w:rFonts w:ascii="Arial" w:hAnsi="Arial" w:cs="Arial"/>
          <w:sz w:val="22"/>
          <w:szCs w:val="22"/>
          <w:lang w:val="fr-FR"/>
        </w:rPr>
        <w:t xml:space="preserve"> l</w:t>
      </w:r>
      <w:r w:rsidR="008E532B">
        <w:rPr>
          <w:rFonts w:ascii="Arial" w:hAnsi="Arial" w:cs="Arial"/>
          <w:sz w:val="22"/>
          <w:szCs w:val="22"/>
          <w:lang w:val="fr-FR"/>
        </w:rPr>
        <w:t>’</w:t>
      </w:r>
      <w:r w:rsidRPr="00082F06">
        <w:rPr>
          <w:rFonts w:ascii="Arial" w:hAnsi="Arial" w:cs="Arial"/>
          <w:sz w:val="22"/>
          <w:szCs w:val="22"/>
          <w:lang w:val="fr-FR"/>
        </w:rPr>
        <w:t xml:space="preserve">Autriche, la Grèce, la Tchéquie, </w:t>
      </w:r>
      <w:r>
        <w:rPr>
          <w:rFonts w:ascii="Arial" w:hAnsi="Arial" w:cs="Arial"/>
          <w:sz w:val="22"/>
          <w:szCs w:val="22"/>
          <w:lang w:val="fr-FR"/>
        </w:rPr>
        <w:t>l</w:t>
      </w:r>
      <w:r w:rsidRPr="00082F06">
        <w:rPr>
          <w:rFonts w:ascii="Arial" w:hAnsi="Arial" w:cs="Arial"/>
          <w:sz w:val="22"/>
          <w:szCs w:val="22"/>
          <w:lang w:val="fr-FR"/>
        </w:rPr>
        <w:t>es Pays-Bas, la Suède et la Slovaquie, ajoutant qu</w:t>
      </w:r>
      <w:r w:rsidR="008E532B">
        <w:rPr>
          <w:rFonts w:ascii="Arial" w:hAnsi="Arial" w:cs="Arial"/>
          <w:sz w:val="22"/>
          <w:szCs w:val="22"/>
          <w:lang w:val="fr-FR"/>
        </w:rPr>
        <w:t>’</w:t>
      </w:r>
      <w:r w:rsidRPr="00082F06">
        <w:rPr>
          <w:rFonts w:ascii="Arial" w:hAnsi="Arial" w:cs="Arial"/>
          <w:sz w:val="22"/>
          <w:szCs w:val="22"/>
          <w:lang w:val="fr-FR"/>
        </w:rPr>
        <w:t xml:space="preserve">il </w:t>
      </w:r>
      <w:r>
        <w:rPr>
          <w:rFonts w:ascii="Arial" w:hAnsi="Arial" w:cs="Arial"/>
          <w:sz w:val="22"/>
          <w:szCs w:val="22"/>
          <w:lang w:val="fr-FR"/>
        </w:rPr>
        <w:t>était</w:t>
      </w:r>
      <w:r w:rsidRPr="00082F06">
        <w:rPr>
          <w:rFonts w:ascii="Arial" w:hAnsi="Arial" w:cs="Arial"/>
          <w:sz w:val="22"/>
          <w:szCs w:val="22"/>
          <w:lang w:val="fr-FR"/>
        </w:rPr>
        <w:t xml:space="preserve"> essentiel que l</w:t>
      </w:r>
      <w:r w:rsidR="008E532B">
        <w:rPr>
          <w:rFonts w:ascii="Arial" w:hAnsi="Arial" w:cs="Arial"/>
          <w:sz w:val="22"/>
          <w:szCs w:val="22"/>
          <w:lang w:val="fr-FR"/>
        </w:rPr>
        <w:t>’</w:t>
      </w:r>
      <w:r w:rsidRPr="00082F06">
        <w:rPr>
          <w:rFonts w:ascii="Arial" w:hAnsi="Arial" w:cs="Arial"/>
          <w:sz w:val="22"/>
          <w:szCs w:val="22"/>
          <w:lang w:val="fr-FR"/>
        </w:rPr>
        <w:t>esprit de la Convention soit respecté afin que la société civile puisse jouer un rôle actif comme le lui accorde la Convention. Elle ne cro</w:t>
      </w:r>
      <w:r>
        <w:rPr>
          <w:rFonts w:ascii="Arial" w:hAnsi="Arial" w:cs="Arial"/>
          <w:sz w:val="22"/>
          <w:szCs w:val="22"/>
          <w:lang w:val="fr-FR"/>
        </w:rPr>
        <w:t xml:space="preserve">yait </w:t>
      </w:r>
      <w:r w:rsidRPr="00082F06">
        <w:rPr>
          <w:rFonts w:ascii="Arial" w:hAnsi="Arial" w:cs="Arial"/>
          <w:sz w:val="22"/>
          <w:szCs w:val="22"/>
          <w:lang w:val="fr-FR"/>
        </w:rPr>
        <w:t>pas qu</w:t>
      </w:r>
      <w:r w:rsidR="008E532B">
        <w:rPr>
          <w:rFonts w:ascii="Arial" w:hAnsi="Arial" w:cs="Arial"/>
          <w:sz w:val="22"/>
          <w:szCs w:val="22"/>
          <w:lang w:val="fr-FR"/>
        </w:rPr>
        <w:t>’</w:t>
      </w:r>
      <w:r w:rsidRPr="00082F06">
        <w:rPr>
          <w:rFonts w:ascii="Arial" w:hAnsi="Arial" w:cs="Arial"/>
          <w:sz w:val="22"/>
          <w:szCs w:val="22"/>
          <w:lang w:val="fr-FR"/>
        </w:rPr>
        <w:t>il faille imposer des restrictions, qui seraient préjudiciables à la Convention, d</w:t>
      </w:r>
      <w:r w:rsidR="008E532B">
        <w:rPr>
          <w:rFonts w:ascii="Arial" w:hAnsi="Arial" w:cs="Arial"/>
          <w:sz w:val="22"/>
          <w:szCs w:val="22"/>
          <w:lang w:val="fr-FR"/>
        </w:rPr>
        <w:t>’</w:t>
      </w:r>
      <w:r w:rsidRPr="00082F06">
        <w:rPr>
          <w:rFonts w:ascii="Arial" w:hAnsi="Arial" w:cs="Arial"/>
          <w:sz w:val="22"/>
          <w:szCs w:val="22"/>
          <w:lang w:val="fr-FR"/>
        </w:rPr>
        <w:t xml:space="preserve">autant plus que le processus actuel </w:t>
      </w:r>
      <w:r>
        <w:rPr>
          <w:rFonts w:ascii="Arial" w:hAnsi="Arial" w:cs="Arial"/>
          <w:sz w:val="22"/>
          <w:szCs w:val="22"/>
          <w:lang w:val="fr-FR"/>
        </w:rPr>
        <w:t>était</w:t>
      </w:r>
      <w:r w:rsidRPr="00082F06">
        <w:rPr>
          <w:rFonts w:ascii="Arial" w:hAnsi="Arial" w:cs="Arial"/>
          <w:sz w:val="22"/>
          <w:szCs w:val="22"/>
          <w:lang w:val="fr-FR"/>
        </w:rPr>
        <w:t xml:space="preserve"> adéquat.</w:t>
      </w:r>
    </w:p>
    <w:p w14:paraId="4E603F34" w14:textId="30AF42DB" w:rsidR="00D9653F" w:rsidRPr="0077278C"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77278C">
        <w:rPr>
          <w:rFonts w:ascii="Arial" w:hAnsi="Arial" w:cs="Arial"/>
          <w:sz w:val="22"/>
          <w:szCs w:val="22"/>
          <w:lang w:val="fr-FR"/>
        </w:rPr>
        <w:t xml:space="preserve">La délégation </w:t>
      </w:r>
      <w:r>
        <w:rPr>
          <w:rFonts w:ascii="Arial" w:hAnsi="Arial" w:cs="Arial"/>
          <w:sz w:val="22"/>
          <w:szCs w:val="22"/>
          <w:lang w:val="fr-FR"/>
        </w:rPr>
        <w:t xml:space="preserve">de la </w:t>
      </w:r>
      <w:r w:rsidRPr="0077278C">
        <w:rPr>
          <w:rFonts w:ascii="Arial" w:hAnsi="Arial" w:cs="Arial"/>
          <w:b/>
          <w:bCs/>
          <w:sz w:val="22"/>
          <w:szCs w:val="22"/>
          <w:lang w:val="fr-FR"/>
        </w:rPr>
        <w:t>Chine</w:t>
      </w:r>
      <w:r>
        <w:rPr>
          <w:rFonts w:ascii="Arial" w:hAnsi="Arial" w:cs="Arial"/>
          <w:sz w:val="22"/>
          <w:szCs w:val="22"/>
          <w:lang w:val="fr-FR"/>
        </w:rPr>
        <w:t xml:space="preserve"> </w:t>
      </w:r>
      <w:r w:rsidRPr="0077278C">
        <w:rPr>
          <w:rFonts w:ascii="Arial" w:hAnsi="Arial" w:cs="Arial"/>
          <w:sz w:val="22"/>
          <w:szCs w:val="22"/>
          <w:lang w:val="fr-FR"/>
        </w:rPr>
        <w:t>a fait remarquer que la Convention compt</w:t>
      </w:r>
      <w:r>
        <w:rPr>
          <w:rFonts w:ascii="Arial" w:hAnsi="Arial" w:cs="Arial"/>
          <w:sz w:val="22"/>
          <w:szCs w:val="22"/>
          <w:lang w:val="fr-FR"/>
        </w:rPr>
        <w:t xml:space="preserve">ait, au moment de cette Assemblée, </w:t>
      </w:r>
      <w:r w:rsidRPr="0077278C">
        <w:rPr>
          <w:rFonts w:ascii="Arial" w:hAnsi="Arial" w:cs="Arial"/>
          <w:sz w:val="22"/>
          <w:szCs w:val="22"/>
          <w:lang w:val="fr-FR"/>
        </w:rPr>
        <w:t>180 États parties et que, en tant qu</w:t>
      </w:r>
      <w:r w:rsidR="008E532B">
        <w:rPr>
          <w:rFonts w:ascii="Arial" w:hAnsi="Arial" w:cs="Arial"/>
          <w:sz w:val="22"/>
          <w:szCs w:val="22"/>
          <w:lang w:val="fr-FR"/>
        </w:rPr>
        <w:t>’</w:t>
      </w:r>
      <w:r w:rsidRPr="0077278C">
        <w:rPr>
          <w:rFonts w:ascii="Arial" w:hAnsi="Arial" w:cs="Arial"/>
          <w:sz w:val="22"/>
          <w:szCs w:val="22"/>
          <w:lang w:val="fr-FR"/>
        </w:rPr>
        <w:t>État partie, la Chine a</w:t>
      </w:r>
      <w:r>
        <w:rPr>
          <w:rFonts w:ascii="Arial" w:hAnsi="Arial" w:cs="Arial"/>
          <w:sz w:val="22"/>
          <w:szCs w:val="22"/>
          <w:lang w:val="fr-FR"/>
        </w:rPr>
        <w:t>vait</w:t>
      </w:r>
      <w:r w:rsidRPr="0077278C">
        <w:rPr>
          <w:rFonts w:ascii="Arial" w:hAnsi="Arial" w:cs="Arial"/>
          <w:sz w:val="22"/>
          <w:szCs w:val="22"/>
          <w:lang w:val="fr-FR"/>
        </w:rPr>
        <w:t xml:space="preserve"> la possibilité de coopérer au niveau international. Elle a</w:t>
      </w:r>
      <w:r>
        <w:rPr>
          <w:rFonts w:ascii="Arial" w:hAnsi="Arial" w:cs="Arial"/>
          <w:sz w:val="22"/>
          <w:szCs w:val="22"/>
          <w:lang w:val="fr-FR"/>
        </w:rPr>
        <w:t>vait</w:t>
      </w:r>
      <w:r w:rsidRPr="0077278C">
        <w:rPr>
          <w:rFonts w:ascii="Arial" w:hAnsi="Arial" w:cs="Arial"/>
          <w:sz w:val="22"/>
          <w:szCs w:val="22"/>
          <w:lang w:val="fr-FR"/>
        </w:rPr>
        <w:t xml:space="preserve"> également des obligations. Il y a</w:t>
      </w:r>
      <w:r>
        <w:rPr>
          <w:rFonts w:ascii="Arial" w:hAnsi="Arial" w:cs="Arial"/>
          <w:sz w:val="22"/>
          <w:szCs w:val="22"/>
          <w:lang w:val="fr-FR"/>
        </w:rPr>
        <w:t>vait</w:t>
      </w:r>
      <w:r w:rsidRPr="0077278C">
        <w:rPr>
          <w:rFonts w:ascii="Arial" w:hAnsi="Arial" w:cs="Arial"/>
          <w:sz w:val="22"/>
          <w:szCs w:val="22"/>
          <w:lang w:val="fr-FR"/>
        </w:rPr>
        <w:t xml:space="preserve"> déjà 184 ONG accréditées avec un statut consultatif. Elles utilis</w:t>
      </w:r>
      <w:r>
        <w:rPr>
          <w:rFonts w:ascii="Arial" w:hAnsi="Arial" w:cs="Arial"/>
          <w:sz w:val="22"/>
          <w:szCs w:val="22"/>
          <w:lang w:val="fr-FR"/>
        </w:rPr>
        <w:t>ai</w:t>
      </w:r>
      <w:r w:rsidRPr="0077278C">
        <w:rPr>
          <w:rFonts w:ascii="Arial" w:hAnsi="Arial" w:cs="Arial"/>
          <w:sz w:val="22"/>
          <w:szCs w:val="22"/>
          <w:lang w:val="fr-FR"/>
        </w:rPr>
        <w:t xml:space="preserve">ent pleinement leur expertise en matière de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77278C">
        <w:rPr>
          <w:rFonts w:ascii="Arial" w:hAnsi="Arial" w:cs="Arial"/>
          <w:sz w:val="22"/>
          <w:szCs w:val="22"/>
          <w:lang w:val="fr-FR"/>
        </w:rPr>
        <w:t>et jou</w:t>
      </w:r>
      <w:r>
        <w:rPr>
          <w:rFonts w:ascii="Arial" w:hAnsi="Arial" w:cs="Arial"/>
          <w:sz w:val="22"/>
          <w:szCs w:val="22"/>
          <w:lang w:val="fr-FR"/>
        </w:rPr>
        <w:t>ai</w:t>
      </w:r>
      <w:r w:rsidRPr="0077278C">
        <w:rPr>
          <w:rFonts w:ascii="Arial" w:hAnsi="Arial" w:cs="Arial"/>
          <w:sz w:val="22"/>
          <w:szCs w:val="22"/>
          <w:lang w:val="fr-FR"/>
        </w:rPr>
        <w:t>ent un rôle important dans la mise en œuvre de la Convention à différents niveaux. La Chine appréci</w:t>
      </w:r>
      <w:r>
        <w:rPr>
          <w:rFonts w:ascii="Arial" w:hAnsi="Arial" w:cs="Arial"/>
          <w:sz w:val="22"/>
          <w:szCs w:val="22"/>
          <w:lang w:val="fr-FR"/>
        </w:rPr>
        <w:t>ait</w:t>
      </w:r>
      <w:r w:rsidRPr="0077278C">
        <w:rPr>
          <w:rFonts w:ascii="Arial" w:hAnsi="Arial" w:cs="Arial"/>
          <w:sz w:val="22"/>
          <w:szCs w:val="22"/>
          <w:lang w:val="fr-FR"/>
        </w:rPr>
        <w:t xml:space="preserve"> grandement les contributions positives apportées par les ONG dans leur domaine. Conformément à l</w:t>
      </w:r>
      <w:r w:rsidR="008E532B">
        <w:rPr>
          <w:rFonts w:ascii="Arial" w:hAnsi="Arial" w:cs="Arial"/>
          <w:sz w:val="22"/>
          <w:szCs w:val="22"/>
          <w:lang w:val="fr-FR"/>
        </w:rPr>
        <w:t>’</w:t>
      </w:r>
      <w:r w:rsidRPr="0077278C">
        <w:rPr>
          <w:rFonts w:ascii="Arial" w:hAnsi="Arial" w:cs="Arial"/>
          <w:sz w:val="22"/>
          <w:szCs w:val="22"/>
          <w:lang w:val="fr-FR"/>
        </w:rPr>
        <w:t>article 27 des Directives opérationnelles, l</w:t>
      </w:r>
      <w:r w:rsidR="008E532B">
        <w:rPr>
          <w:rFonts w:ascii="Arial" w:hAnsi="Arial" w:cs="Arial"/>
          <w:sz w:val="22"/>
          <w:szCs w:val="22"/>
          <w:lang w:val="fr-FR"/>
        </w:rPr>
        <w:t>’</w:t>
      </w:r>
      <w:r w:rsidRPr="0077278C">
        <w:rPr>
          <w:rFonts w:ascii="Arial" w:hAnsi="Arial" w:cs="Arial"/>
          <w:sz w:val="22"/>
          <w:szCs w:val="22"/>
          <w:lang w:val="fr-FR"/>
        </w:rPr>
        <w:t>Organe d</w:t>
      </w:r>
      <w:r w:rsidR="008E532B">
        <w:rPr>
          <w:rFonts w:ascii="Arial" w:hAnsi="Arial" w:cs="Arial"/>
          <w:sz w:val="22"/>
          <w:szCs w:val="22"/>
          <w:lang w:val="fr-FR"/>
        </w:rPr>
        <w:t>’</w:t>
      </w:r>
      <w:r w:rsidRPr="0077278C">
        <w:rPr>
          <w:rFonts w:ascii="Arial" w:hAnsi="Arial" w:cs="Arial"/>
          <w:sz w:val="22"/>
          <w:szCs w:val="22"/>
          <w:lang w:val="fr-FR"/>
        </w:rPr>
        <w:t xml:space="preserve">évaluation </w:t>
      </w:r>
      <w:r>
        <w:rPr>
          <w:rFonts w:ascii="Arial" w:hAnsi="Arial" w:cs="Arial"/>
          <w:sz w:val="22"/>
          <w:szCs w:val="22"/>
          <w:lang w:val="fr-FR"/>
        </w:rPr>
        <w:t>était</w:t>
      </w:r>
      <w:r w:rsidRPr="0077278C">
        <w:rPr>
          <w:rFonts w:ascii="Arial" w:hAnsi="Arial" w:cs="Arial"/>
          <w:sz w:val="22"/>
          <w:szCs w:val="22"/>
          <w:lang w:val="fr-FR"/>
        </w:rPr>
        <w:t xml:space="preserve"> chargé d</w:t>
      </w:r>
      <w:r w:rsidR="008E532B">
        <w:rPr>
          <w:rFonts w:ascii="Arial" w:hAnsi="Arial" w:cs="Arial"/>
          <w:sz w:val="22"/>
          <w:szCs w:val="22"/>
          <w:lang w:val="fr-FR"/>
        </w:rPr>
        <w:t>’</w:t>
      </w:r>
      <w:r w:rsidRPr="0077278C">
        <w:rPr>
          <w:rFonts w:ascii="Arial" w:hAnsi="Arial" w:cs="Arial"/>
          <w:sz w:val="22"/>
          <w:szCs w:val="22"/>
          <w:lang w:val="fr-FR"/>
        </w:rPr>
        <w:t xml:space="preserve">examiner les deux </w:t>
      </w:r>
      <w:r>
        <w:rPr>
          <w:rFonts w:ascii="Arial" w:hAnsi="Arial" w:cs="Arial"/>
          <w:sz w:val="22"/>
          <w:szCs w:val="22"/>
          <w:lang w:val="fr-FR"/>
        </w:rPr>
        <w:t>l</w:t>
      </w:r>
      <w:r w:rsidRPr="0077278C">
        <w:rPr>
          <w:rFonts w:ascii="Arial" w:hAnsi="Arial" w:cs="Arial"/>
          <w:sz w:val="22"/>
          <w:szCs w:val="22"/>
          <w:lang w:val="fr-FR"/>
        </w:rPr>
        <w:t>istes et les programmes et projets qui reflètent le mieux les principes et objectifs de la Convention. L</w:t>
      </w:r>
      <w:r w:rsidR="008E532B">
        <w:rPr>
          <w:rFonts w:ascii="Arial" w:hAnsi="Arial" w:cs="Arial"/>
          <w:sz w:val="22"/>
          <w:szCs w:val="22"/>
          <w:lang w:val="fr-FR"/>
        </w:rPr>
        <w:t>’</w:t>
      </w:r>
      <w:r w:rsidRPr="0077278C">
        <w:rPr>
          <w:rFonts w:ascii="Arial" w:hAnsi="Arial" w:cs="Arial"/>
          <w:sz w:val="22"/>
          <w:szCs w:val="22"/>
          <w:lang w:val="fr-FR"/>
        </w:rPr>
        <w:t>Organe d</w:t>
      </w:r>
      <w:r w:rsidR="008E532B">
        <w:rPr>
          <w:rFonts w:ascii="Arial" w:hAnsi="Arial" w:cs="Arial"/>
          <w:sz w:val="22"/>
          <w:szCs w:val="22"/>
          <w:lang w:val="fr-FR"/>
        </w:rPr>
        <w:t>’</w:t>
      </w:r>
      <w:r w:rsidRPr="0077278C">
        <w:rPr>
          <w:rFonts w:ascii="Arial" w:hAnsi="Arial" w:cs="Arial"/>
          <w:sz w:val="22"/>
          <w:szCs w:val="22"/>
          <w:lang w:val="fr-FR"/>
        </w:rPr>
        <w:t xml:space="preserve">évaluation </w:t>
      </w:r>
      <w:r>
        <w:rPr>
          <w:rFonts w:ascii="Arial" w:hAnsi="Arial" w:cs="Arial"/>
          <w:sz w:val="22"/>
          <w:szCs w:val="22"/>
          <w:lang w:val="fr-FR"/>
        </w:rPr>
        <w:t xml:space="preserve">était </w:t>
      </w:r>
      <w:r w:rsidRPr="0077278C">
        <w:rPr>
          <w:rFonts w:ascii="Arial" w:hAnsi="Arial" w:cs="Arial"/>
          <w:sz w:val="22"/>
          <w:szCs w:val="22"/>
          <w:lang w:val="fr-FR"/>
        </w:rPr>
        <w:t>donc chargé d</w:t>
      </w:r>
      <w:r w:rsidR="008E532B">
        <w:rPr>
          <w:rFonts w:ascii="Arial" w:hAnsi="Arial" w:cs="Arial"/>
          <w:sz w:val="22"/>
          <w:szCs w:val="22"/>
          <w:lang w:val="fr-FR"/>
        </w:rPr>
        <w:t>’</w:t>
      </w:r>
      <w:r w:rsidRPr="0077278C">
        <w:rPr>
          <w:rFonts w:ascii="Arial" w:hAnsi="Arial" w:cs="Arial"/>
          <w:sz w:val="22"/>
          <w:szCs w:val="22"/>
          <w:lang w:val="fr-FR"/>
        </w:rPr>
        <w:t>une mission très importante et les ONG qui particip</w:t>
      </w:r>
      <w:r>
        <w:rPr>
          <w:rFonts w:ascii="Arial" w:hAnsi="Arial" w:cs="Arial"/>
          <w:sz w:val="22"/>
          <w:szCs w:val="22"/>
          <w:lang w:val="fr-FR"/>
        </w:rPr>
        <w:t>aient</w:t>
      </w:r>
      <w:r w:rsidRPr="0077278C">
        <w:rPr>
          <w:rFonts w:ascii="Arial" w:hAnsi="Arial" w:cs="Arial"/>
          <w:sz w:val="22"/>
          <w:szCs w:val="22"/>
          <w:lang w:val="fr-FR"/>
        </w:rPr>
        <w:t xml:space="preserve"> à ces évaluations contribu</w:t>
      </w:r>
      <w:r>
        <w:rPr>
          <w:rFonts w:ascii="Arial" w:hAnsi="Arial" w:cs="Arial"/>
          <w:sz w:val="22"/>
          <w:szCs w:val="22"/>
          <w:lang w:val="fr-FR"/>
        </w:rPr>
        <w:t>aient</w:t>
      </w:r>
      <w:r w:rsidRPr="0077278C">
        <w:rPr>
          <w:rFonts w:ascii="Arial" w:hAnsi="Arial" w:cs="Arial"/>
          <w:sz w:val="22"/>
          <w:szCs w:val="22"/>
          <w:lang w:val="fr-FR"/>
        </w:rPr>
        <w:t xml:space="preserve"> au succès de la Convention. En même temps, l</w:t>
      </w:r>
      <w:r w:rsidR="008E532B">
        <w:rPr>
          <w:rFonts w:ascii="Arial" w:hAnsi="Arial" w:cs="Arial"/>
          <w:sz w:val="22"/>
          <w:szCs w:val="22"/>
          <w:lang w:val="fr-FR"/>
        </w:rPr>
        <w:t>’</w:t>
      </w:r>
      <w:r w:rsidRPr="0077278C">
        <w:rPr>
          <w:rFonts w:ascii="Arial" w:hAnsi="Arial" w:cs="Arial"/>
          <w:sz w:val="22"/>
          <w:szCs w:val="22"/>
          <w:lang w:val="fr-FR"/>
        </w:rPr>
        <w:t xml:space="preserve">expérience </w:t>
      </w:r>
      <w:r>
        <w:rPr>
          <w:rFonts w:ascii="Arial" w:hAnsi="Arial" w:cs="Arial"/>
          <w:sz w:val="22"/>
          <w:szCs w:val="22"/>
          <w:lang w:val="fr-FR"/>
        </w:rPr>
        <w:t>acquise</w:t>
      </w:r>
      <w:r w:rsidRPr="0077278C">
        <w:rPr>
          <w:rFonts w:ascii="Arial" w:hAnsi="Arial" w:cs="Arial"/>
          <w:sz w:val="22"/>
          <w:szCs w:val="22"/>
          <w:lang w:val="fr-FR"/>
        </w:rPr>
        <w:t xml:space="preserve"> en travaillant au sein de l</w:t>
      </w:r>
      <w:r w:rsidR="008E532B">
        <w:rPr>
          <w:rFonts w:ascii="Arial" w:hAnsi="Arial" w:cs="Arial"/>
          <w:sz w:val="22"/>
          <w:szCs w:val="22"/>
          <w:lang w:val="fr-FR"/>
        </w:rPr>
        <w:t>’</w:t>
      </w:r>
      <w:r w:rsidRPr="0077278C">
        <w:rPr>
          <w:rFonts w:ascii="Arial" w:hAnsi="Arial" w:cs="Arial"/>
          <w:sz w:val="22"/>
          <w:szCs w:val="22"/>
          <w:lang w:val="fr-FR"/>
        </w:rPr>
        <w:t>Organe d</w:t>
      </w:r>
      <w:r w:rsidR="008E532B">
        <w:rPr>
          <w:rFonts w:ascii="Arial" w:hAnsi="Arial" w:cs="Arial"/>
          <w:sz w:val="22"/>
          <w:szCs w:val="22"/>
          <w:lang w:val="fr-FR"/>
        </w:rPr>
        <w:t>’</w:t>
      </w:r>
      <w:r w:rsidRPr="0077278C">
        <w:rPr>
          <w:rFonts w:ascii="Arial" w:hAnsi="Arial" w:cs="Arial"/>
          <w:sz w:val="22"/>
          <w:szCs w:val="22"/>
          <w:lang w:val="fr-FR"/>
        </w:rPr>
        <w:t>évaluation p</w:t>
      </w:r>
      <w:r>
        <w:rPr>
          <w:rFonts w:ascii="Arial" w:hAnsi="Arial" w:cs="Arial"/>
          <w:sz w:val="22"/>
          <w:szCs w:val="22"/>
          <w:lang w:val="fr-FR"/>
        </w:rPr>
        <w:t>ouvait</w:t>
      </w:r>
      <w:r w:rsidRPr="0077278C">
        <w:rPr>
          <w:rFonts w:ascii="Arial" w:hAnsi="Arial" w:cs="Arial"/>
          <w:sz w:val="22"/>
          <w:szCs w:val="22"/>
          <w:lang w:val="fr-FR"/>
        </w:rPr>
        <w:t xml:space="preserve"> également jouer un rôle important au niveau national. La Chine </w:t>
      </w:r>
      <w:r>
        <w:rPr>
          <w:rFonts w:ascii="Arial" w:hAnsi="Arial" w:cs="Arial"/>
          <w:sz w:val="22"/>
          <w:szCs w:val="22"/>
          <w:lang w:val="fr-FR"/>
        </w:rPr>
        <w:t xml:space="preserve">soutenait </w:t>
      </w:r>
      <w:r w:rsidRPr="0077278C">
        <w:rPr>
          <w:rFonts w:ascii="Arial" w:hAnsi="Arial" w:cs="Arial"/>
          <w:sz w:val="22"/>
          <w:szCs w:val="22"/>
          <w:lang w:val="fr-FR"/>
        </w:rPr>
        <w:t>donc la proposition de la Palestine selon laquelle seules les ONG des États parties, accréditées par l</w:t>
      </w:r>
      <w:r w:rsidR="008E532B">
        <w:rPr>
          <w:rFonts w:ascii="Arial" w:hAnsi="Arial" w:cs="Arial"/>
          <w:sz w:val="22"/>
          <w:szCs w:val="22"/>
          <w:lang w:val="fr-FR"/>
        </w:rPr>
        <w:t>’</w:t>
      </w:r>
      <w:r w:rsidRPr="0077278C">
        <w:rPr>
          <w:rFonts w:ascii="Arial" w:hAnsi="Arial" w:cs="Arial"/>
          <w:sz w:val="22"/>
          <w:szCs w:val="22"/>
          <w:lang w:val="fr-FR"/>
        </w:rPr>
        <w:t xml:space="preserve">Assemblée générale, </w:t>
      </w:r>
      <w:r>
        <w:rPr>
          <w:rFonts w:ascii="Arial" w:hAnsi="Arial" w:cs="Arial"/>
          <w:sz w:val="22"/>
          <w:szCs w:val="22"/>
          <w:lang w:val="fr-FR"/>
        </w:rPr>
        <w:t>étaient</w:t>
      </w:r>
      <w:r w:rsidRPr="0077278C">
        <w:rPr>
          <w:rFonts w:ascii="Arial" w:hAnsi="Arial" w:cs="Arial"/>
          <w:sz w:val="22"/>
          <w:szCs w:val="22"/>
          <w:lang w:val="fr-FR"/>
        </w:rPr>
        <w:t xml:space="preserve"> éligibles à l</w:t>
      </w:r>
      <w:r w:rsidR="008E532B">
        <w:rPr>
          <w:rFonts w:ascii="Arial" w:hAnsi="Arial" w:cs="Arial"/>
          <w:sz w:val="22"/>
          <w:szCs w:val="22"/>
          <w:lang w:val="fr-FR"/>
        </w:rPr>
        <w:t>’</w:t>
      </w:r>
      <w:r w:rsidRPr="0077278C">
        <w:rPr>
          <w:rFonts w:ascii="Arial" w:hAnsi="Arial" w:cs="Arial"/>
          <w:sz w:val="22"/>
          <w:szCs w:val="22"/>
          <w:lang w:val="fr-FR"/>
        </w:rPr>
        <w:t>Organe d</w:t>
      </w:r>
      <w:r w:rsidR="008E532B">
        <w:rPr>
          <w:rFonts w:ascii="Arial" w:hAnsi="Arial" w:cs="Arial"/>
          <w:sz w:val="22"/>
          <w:szCs w:val="22"/>
          <w:lang w:val="fr-FR"/>
        </w:rPr>
        <w:t>’</w:t>
      </w:r>
      <w:r w:rsidRPr="0077278C">
        <w:rPr>
          <w:rFonts w:ascii="Arial" w:hAnsi="Arial" w:cs="Arial"/>
          <w:sz w:val="22"/>
          <w:szCs w:val="22"/>
          <w:lang w:val="fr-FR"/>
        </w:rPr>
        <w:t>évaluation. À ce</w:t>
      </w:r>
      <w:r>
        <w:rPr>
          <w:rFonts w:ascii="Arial" w:hAnsi="Arial" w:cs="Arial"/>
          <w:sz w:val="22"/>
          <w:szCs w:val="22"/>
          <w:lang w:val="fr-FR"/>
        </w:rPr>
        <w:t xml:space="preserve"> sujet</w:t>
      </w:r>
      <w:r w:rsidRPr="0077278C">
        <w:rPr>
          <w:rFonts w:ascii="Arial" w:hAnsi="Arial" w:cs="Arial"/>
          <w:sz w:val="22"/>
          <w:szCs w:val="22"/>
          <w:lang w:val="fr-FR"/>
        </w:rPr>
        <w:t>, la délégation a encouragé davantage d</w:t>
      </w:r>
      <w:r w:rsidR="008E532B">
        <w:rPr>
          <w:rFonts w:ascii="Arial" w:hAnsi="Arial" w:cs="Arial"/>
          <w:sz w:val="22"/>
          <w:szCs w:val="22"/>
          <w:lang w:val="fr-FR"/>
        </w:rPr>
        <w:t>’</w:t>
      </w:r>
      <w:r w:rsidRPr="0077278C">
        <w:rPr>
          <w:rFonts w:ascii="Arial" w:hAnsi="Arial" w:cs="Arial"/>
          <w:sz w:val="22"/>
          <w:szCs w:val="22"/>
          <w:lang w:val="fr-FR"/>
        </w:rPr>
        <w:t>ONG des États parties à participer à la mise en œuvre de la Convention.</w:t>
      </w:r>
    </w:p>
    <w:p w14:paraId="5D6590B8" w14:textId="72AA3C9D" w:rsidR="00D9653F" w:rsidRPr="006C130B"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6C130B">
        <w:rPr>
          <w:rFonts w:ascii="Arial" w:hAnsi="Arial" w:cs="Arial"/>
          <w:sz w:val="22"/>
          <w:szCs w:val="22"/>
          <w:lang w:val="fr-FR"/>
        </w:rPr>
        <w:t xml:space="preserve">La délégation de la </w:t>
      </w:r>
      <w:r w:rsidRPr="006C130B">
        <w:rPr>
          <w:rFonts w:ascii="Arial" w:hAnsi="Arial" w:cs="Arial"/>
          <w:b/>
          <w:bCs/>
          <w:sz w:val="22"/>
          <w:szCs w:val="22"/>
          <w:lang w:val="fr-FR"/>
        </w:rPr>
        <w:t>Norvège</w:t>
      </w:r>
      <w:r w:rsidRPr="006C130B">
        <w:rPr>
          <w:rFonts w:ascii="Arial" w:hAnsi="Arial" w:cs="Arial"/>
          <w:sz w:val="22"/>
          <w:szCs w:val="22"/>
          <w:lang w:val="fr-FR"/>
        </w:rPr>
        <w:t xml:space="preserve"> reconn</w:t>
      </w:r>
      <w:r>
        <w:rPr>
          <w:rFonts w:ascii="Arial" w:hAnsi="Arial" w:cs="Arial"/>
          <w:sz w:val="22"/>
          <w:szCs w:val="22"/>
          <w:lang w:val="fr-FR"/>
        </w:rPr>
        <w:t>aissait</w:t>
      </w:r>
      <w:r w:rsidRPr="006C130B">
        <w:rPr>
          <w:rFonts w:ascii="Arial" w:hAnsi="Arial" w:cs="Arial"/>
          <w:sz w:val="22"/>
          <w:szCs w:val="22"/>
          <w:lang w:val="fr-FR"/>
        </w:rPr>
        <w:t xml:space="preserve"> et soute</w:t>
      </w:r>
      <w:r>
        <w:rPr>
          <w:rFonts w:ascii="Arial" w:hAnsi="Arial" w:cs="Arial"/>
          <w:sz w:val="22"/>
          <w:szCs w:val="22"/>
          <w:lang w:val="fr-FR"/>
        </w:rPr>
        <w:t xml:space="preserve">nait résolument </w:t>
      </w:r>
      <w:r w:rsidRPr="006C130B">
        <w:rPr>
          <w:rFonts w:ascii="Arial" w:hAnsi="Arial" w:cs="Arial"/>
          <w:sz w:val="22"/>
          <w:szCs w:val="22"/>
          <w:lang w:val="fr-FR"/>
        </w:rPr>
        <w:t xml:space="preserve">le rôle important joué par les ONG. Les ONG indépendantes et actives </w:t>
      </w:r>
      <w:r>
        <w:rPr>
          <w:rFonts w:ascii="Arial" w:hAnsi="Arial" w:cs="Arial"/>
          <w:sz w:val="22"/>
          <w:szCs w:val="22"/>
          <w:lang w:val="fr-FR"/>
        </w:rPr>
        <w:t>étaient</w:t>
      </w:r>
      <w:r w:rsidRPr="006C130B">
        <w:rPr>
          <w:rFonts w:ascii="Arial" w:hAnsi="Arial" w:cs="Arial"/>
          <w:sz w:val="22"/>
          <w:szCs w:val="22"/>
          <w:lang w:val="fr-FR"/>
        </w:rPr>
        <w:t xml:space="preserve"> des acteurs clés dans le développement de la Convention. Elle sout</w:t>
      </w:r>
      <w:r>
        <w:rPr>
          <w:rFonts w:ascii="Arial" w:hAnsi="Arial" w:cs="Arial"/>
          <w:sz w:val="22"/>
          <w:szCs w:val="22"/>
          <w:lang w:val="fr-FR"/>
        </w:rPr>
        <w:t>enait</w:t>
      </w:r>
      <w:r w:rsidRPr="006C130B">
        <w:rPr>
          <w:rFonts w:ascii="Arial" w:hAnsi="Arial" w:cs="Arial"/>
          <w:sz w:val="22"/>
          <w:szCs w:val="22"/>
          <w:lang w:val="fr-FR"/>
        </w:rPr>
        <w:t xml:space="preserve"> donc les remarques </w:t>
      </w:r>
      <w:r>
        <w:rPr>
          <w:rFonts w:ascii="Arial" w:hAnsi="Arial" w:cs="Arial"/>
          <w:sz w:val="22"/>
          <w:szCs w:val="22"/>
          <w:lang w:val="fr-FR"/>
        </w:rPr>
        <w:t>formulées</w:t>
      </w:r>
      <w:r w:rsidRPr="006C130B">
        <w:rPr>
          <w:rFonts w:ascii="Arial" w:hAnsi="Arial" w:cs="Arial"/>
          <w:sz w:val="22"/>
          <w:szCs w:val="22"/>
          <w:lang w:val="fr-FR"/>
        </w:rPr>
        <w:t xml:space="preserve"> par l</w:t>
      </w:r>
      <w:r w:rsidR="008E532B">
        <w:rPr>
          <w:rFonts w:ascii="Arial" w:hAnsi="Arial" w:cs="Arial"/>
          <w:sz w:val="22"/>
          <w:szCs w:val="22"/>
          <w:lang w:val="fr-FR"/>
        </w:rPr>
        <w:t>’</w:t>
      </w:r>
      <w:r w:rsidRPr="006C130B">
        <w:rPr>
          <w:rFonts w:ascii="Arial" w:hAnsi="Arial" w:cs="Arial"/>
          <w:sz w:val="22"/>
          <w:szCs w:val="22"/>
          <w:lang w:val="fr-FR"/>
        </w:rPr>
        <w:t>Allemagne, l</w:t>
      </w:r>
      <w:r w:rsidR="008E532B">
        <w:rPr>
          <w:rFonts w:ascii="Arial" w:hAnsi="Arial" w:cs="Arial"/>
          <w:sz w:val="22"/>
          <w:szCs w:val="22"/>
          <w:lang w:val="fr-FR"/>
        </w:rPr>
        <w:t>’</w:t>
      </w:r>
      <w:r w:rsidRPr="006C130B">
        <w:rPr>
          <w:rFonts w:ascii="Arial" w:hAnsi="Arial" w:cs="Arial"/>
          <w:sz w:val="22"/>
          <w:szCs w:val="22"/>
          <w:lang w:val="fr-FR"/>
        </w:rPr>
        <w:t>Autriche, la Tchéquie, l</w:t>
      </w:r>
      <w:r w:rsidR="008E532B">
        <w:rPr>
          <w:rFonts w:ascii="Arial" w:hAnsi="Arial" w:cs="Arial"/>
          <w:sz w:val="22"/>
          <w:szCs w:val="22"/>
          <w:lang w:val="fr-FR"/>
        </w:rPr>
        <w:t>’</w:t>
      </w:r>
      <w:r w:rsidRPr="006C130B">
        <w:rPr>
          <w:rFonts w:ascii="Arial" w:hAnsi="Arial" w:cs="Arial"/>
          <w:sz w:val="22"/>
          <w:szCs w:val="22"/>
          <w:lang w:val="fr-FR"/>
        </w:rPr>
        <w:t>Estonie, la Grèce, les Pays-Bas, la Slovaquie et la Suède afin que la Convention reste aussi inclusive que possible.</w:t>
      </w:r>
    </w:p>
    <w:p w14:paraId="1C6DD317" w14:textId="24AF2587" w:rsidR="00D9653F" w:rsidRPr="00F2779F"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F2779F">
        <w:rPr>
          <w:rFonts w:ascii="Arial" w:hAnsi="Arial" w:cs="Arial"/>
          <w:sz w:val="22"/>
          <w:szCs w:val="22"/>
          <w:lang w:val="fr-FR"/>
        </w:rPr>
        <w:t xml:space="preserve">La délégation de la </w:t>
      </w:r>
      <w:r w:rsidRPr="00F2779F">
        <w:rPr>
          <w:rFonts w:ascii="Arial" w:hAnsi="Arial" w:cs="Arial"/>
          <w:b/>
          <w:bCs/>
          <w:sz w:val="22"/>
          <w:szCs w:val="22"/>
          <w:lang w:val="fr-FR"/>
        </w:rPr>
        <w:t>Pologne</w:t>
      </w:r>
      <w:r w:rsidRPr="00F2779F">
        <w:rPr>
          <w:rFonts w:ascii="Arial" w:hAnsi="Arial" w:cs="Arial"/>
          <w:sz w:val="22"/>
          <w:szCs w:val="22"/>
          <w:lang w:val="fr-FR"/>
        </w:rPr>
        <w:t xml:space="preserve"> a expliqué comment le travail des ONG au sein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F2779F">
        <w:rPr>
          <w:rFonts w:ascii="Arial" w:hAnsi="Arial" w:cs="Arial"/>
          <w:sz w:val="22"/>
          <w:szCs w:val="22"/>
          <w:lang w:val="fr-FR"/>
        </w:rPr>
        <w:t xml:space="preserve">et du Forum </w:t>
      </w:r>
      <w:r>
        <w:rPr>
          <w:rFonts w:ascii="Arial" w:hAnsi="Arial" w:cs="Arial"/>
          <w:sz w:val="22"/>
          <w:szCs w:val="22"/>
          <w:lang w:val="fr-FR"/>
        </w:rPr>
        <w:t xml:space="preserve">est </w:t>
      </w:r>
      <w:r w:rsidRPr="00F2779F">
        <w:rPr>
          <w:rFonts w:ascii="Arial" w:hAnsi="Arial" w:cs="Arial"/>
          <w:sz w:val="22"/>
          <w:szCs w:val="22"/>
          <w:lang w:val="fr-FR"/>
        </w:rPr>
        <w:t>essentiel au développement de la Convention, des communautés et des détenteurs. Elle a remercié le Forum pour son très bon rapport et a soutenu la position exprimée par la Suède et d</w:t>
      </w:r>
      <w:r w:rsidR="008E532B">
        <w:rPr>
          <w:rFonts w:ascii="Arial" w:hAnsi="Arial" w:cs="Arial"/>
          <w:sz w:val="22"/>
          <w:szCs w:val="22"/>
          <w:lang w:val="fr-FR"/>
        </w:rPr>
        <w:t>’</w:t>
      </w:r>
      <w:r w:rsidRPr="00F2779F">
        <w:rPr>
          <w:rFonts w:ascii="Arial" w:hAnsi="Arial" w:cs="Arial"/>
          <w:sz w:val="22"/>
          <w:szCs w:val="22"/>
          <w:lang w:val="fr-FR"/>
        </w:rPr>
        <w:t>autres pays qui partage</w:t>
      </w:r>
      <w:r>
        <w:rPr>
          <w:rFonts w:ascii="Arial" w:hAnsi="Arial" w:cs="Arial"/>
          <w:sz w:val="22"/>
          <w:szCs w:val="22"/>
          <w:lang w:val="fr-FR"/>
        </w:rPr>
        <w:t>aie</w:t>
      </w:r>
      <w:r w:rsidRPr="00F2779F">
        <w:rPr>
          <w:rFonts w:ascii="Arial" w:hAnsi="Arial" w:cs="Arial"/>
          <w:sz w:val="22"/>
          <w:szCs w:val="22"/>
          <w:lang w:val="fr-FR"/>
        </w:rPr>
        <w:t>nt la même opinion. Pour la communauté de l</w:t>
      </w:r>
      <w:r w:rsidR="008E532B">
        <w:rPr>
          <w:rFonts w:ascii="Arial" w:hAnsi="Arial" w:cs="Arial"/>
          <w:sz w:val="22"/>
          <w:szCs w:val="22"/>
          <w:lang w:val="fr-FR"/>
        </w:rPr>
        <w:t>’</w:t>
      </w:r>
      <w:r w:rsidRPr="00F2779F">
        <w:rPr>
          <w:rFonts w:ascii="Arial" w:hAnsi="Arial" w:cs="Arial"/>
          <w:sz w:val="22"/>
          <w:szCs w:val="22"/>
          <w:lang w:val="fr-FR"/>
        </w:rPr>
        <w:t xml:space="preserve">UNESCO et </w:t>
      </w:r>
      <w:r>
        <w:rPr>
          <w:rFonts w:ascii="Arial" w:hAnsi="Arial" w:cs="Arial"/>
          <w:sz w:val="22"/>
          <w:szCs w:val="22"/>
          <w:lang w:val="fr-FR"/>
        </w:rPr>
        <w:t xml:space="preserve">pour </w:t>
      </w:r>
      <w:r w:rsidRPr="00F2779F">
        <w:rPr>
          <w:rFonts w:ascii="Arial" w:hAnsi="Arial" w:cs="Arial"/>
          <w:sz w:val="22"/>
          <w:szCs w:val="22"/>
          <w:lang w:val="fr-FR"/>
        </w:rPr>
        <w:t xml:space="preserve">le </w:t>
      </w:r>
      <w:r w:rsidR="0064242E">
        <w:rPr>
          <w:rFonts w:ascii="Arial" w:eastAsia="SimSun" w:hAnsi="Arial" w:cs="Arial"/>
          <w:bCs/>
          <w:sz w:val="22"/>
          <w:szCs w:val="22"/>
          <w:lang w:val="fr-FR" w:eastAsia="en-US"/>
        </w:rPr>
        <w:t>patrimoine culturel immatériel</w:t>
      </w:r>
      <w:r w:rsidRPr="00F2779F">
        <w:rPr>
          <w:rFonts w:ascii="Arial" w:hAnsi="Arial" w:cs="Arial"/>
          <w:sz w:val="22"/>
          <w:szCs w:val="22"/>
          <w:lang w:val="fr-FR"/>
        </w:rPr>
        <w:t xml:space="preserve">, il </w:t>
      </w:r>
      <w:r>
        <w:rPr>
          <w:rFonts w:ascii="Arial" w:hAnsi="Arial" w:cs="Arial"/>
          <w:sz w:val="22"/>
          <w:szCs w:val="22"/>
          <w:lang w:val="fr-FR"/>
        </w:rPr>
        <w:t>était</w:t>
      </w:r>
      <w:r w:rsidRPr="00F2779F">
        <w:rPr>
          <w:rFonts w:ascii="Arial" w:hAnsi="Arial" w:cs="Arial"/>
          <w:sz w:val="22"/>
          <w:szCs w:val="22"/>
          <w:lang w:val="fr-FR"/>
        </w:rPr>
        <w:t xml:space="preserve"> essentiel que les ONG puissent s</w:t>
      </w:r>
      <w:r w:rsidR="008E532B">
        <w:rPr>
          <w:rFonts w:ascii="Arial" w:hAnsi="Arial" w:cs="Arial"/>
          <w:sz w:val="22"/>
          <w:szCs w:val="22"/>
          <w:lang w:val="fr-FR"/>
        </w:rPr>
        <w:t>’</w:t>
      </w:r>
      <w:r w:rsidRPr="00F2779F">
        <w:rPr>
          <w:rFonts w:ascii="Arial" w:hAnsi="Arial" w:cs="Arial"/>
          <w:sz w:val="22"/>
          <w:szCs w:val="22"/>
          <w:lang w:val="fr-FR"/>
        </w:rPr>
        <w:t xml:space="preserve">exprimer et agir dans leur pays, même </w:t>
      </w:r>
      <w:r>
        <w:rPr>
          <w:rFonts w:ascii="Arial" w:hAnsi="Arial" w:cs="Arial"/>
          <w:sz w:val="22"/>
          <w:szCs w:val="22"/>
          <w:lang w:val="fr-FR"/>
        </w:rPr>
        <w:t>les ONG se</w:t>
      </w:r>
      <w:r w:rsidRPr="00F2779F">
        <w:rPr>
          <w:rFonts w:ascii="Arial" w:hAnsi="Arial" w:cs="Arial"/>
          <w:sz w:val="22"/>
          <w:szCs w:val="22"/>
          <w:lang w:val="fr-FR"/>
        </w:rPr>
        <w:t xml:space="preserve"> trouv</w:t>
      </w:r>
      <w:r>
        <w:rPr>
          <w:rFonts w:ascii="Arial" w:hAnsi="Arial" w:cs="Arial"/>
          <w:sz w:val="22"/>
          <w:szCs w:val="22"/>
          <w:lang w:val="fr-FR"/>
        </w:rPr>
        <w:t>a</w:t>
      </w:r>
      <w:r w:rsidRPr="00F2779F">
        <w:rPr>
          <w:rFonts w:ascii="Arial" w:hAnsi="Arial" w:cs="Arial"/>
          <w:sz w:val="22"/>
          <w:szCs w:val="22"/>
          <w:lang w:val="fr-FR"/>
        </w:rPr>
        <w:t>nt dans des États non parties à la Convention, car cela enrichi</w:t>
      </w:r>
      <w:r>
        <w:rPr>
          <w:rFonts w:ascii="Arial" w:hAnsi="Arial" w:cs="Arial"/>
          <w:sz w:val="22"/>
          <w:szCs w:val="22"/>
          <w:lang w:val="fr-FR"/>
        </w:rPr>
        <w:t xml:space="preserve">ssait une </w:t>
      </w:r>
      <w:r w:rsidRPr="00F2779F">
        <w:rPr>
          <w:rFonts w:ascii="Arial" w:hAnsi="Arial" w:cs="Arial"/>
          <w:sz w:val="22"/>
          <w:szCs w:val="22"/>
          <w:lang w:val="fr-FR"/>
        </w:rPr>
        <w:t xml:space="preserve">perspective plus large de la sauvegarde du </w:t>
      </w:r>
      <w:r w:rsidR="0064242E">
        <w:rPr>
          <w:rFonts w:ascii="Arial" w:eastAsia="SimSun" w:hAnsi="Arial" w:cs="Arial"/>
          <w:bCs/>
          <w:sz w:val="22"/>
          <w:szCs w:val="22"/>
          <w:lang w:val="fr-FR" w:eastAsia="en-US"/>
        </w:rPr>
        <w:t>patrimoine culturel immatériel</w:t>
      </w:r>
      <w:r w:rsidRPr="00F2779F">
        <w:rPr>
          <w:rFonts w:ascii="Arial" w:hAnsi="Arial" w:cs="Arial"/>
          <w:sz w:val="22"/>
          <w:szCs w:val="22"/>
          <w:lang w:val="fr-FR"/>
        </w:rPr>
        <w:t>.</w:t>
      </w:r>
    </w:p>
    <w:p w14:paraId="3C47D094" w14:textId="40D5A00F" w:rsidR="00D9653F" w:rsidRPr="00F2779F"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F2779F">
        <w:rPr>
          <w:rFonts w:ascii="Arial" w:hAnsi="Arial" w:cs="Arial"/>
          <w:sz w:val="22"/>
          <w:szCs w:val="22"/>
          <w:lang w:val="fr-FR"/>
        </w:rPr>
        <w:t>La délégation de l</w:t>
      </w:r>
      <w:r w:rsidR="008E532B">
        <w:rPr>
          <w:rFonts w:ascii="Arial" w:hAnsi="Arial" w:cs="Arial"/>
          <w:sz w:val="22"/>
          <w:szCs w:val="22"/>
          <w:lang w:val="fr-FR"/>
        </w:rPr>
        <w:t>’</w:t>
      </w:r>
      <w:r w:rsidRPr="00F2779F">
        <w:rPr>
          <w:rFonts w:ascii="Arial" w:hAnsi="Arial" w:cs="Arial"/>
          <w:b/>
          <w:bCs/>
          <w:sz w:val="22"/>
          <w:szCs w:val="22"/>
          <w:lang w:val="fr-FR"/>
        </w:rPr>
        <w:t>Éthiopie</w:t>
      </w:r>
      <w:r w:rsidRPr="00F2779F">
        <w:rPr>
          <w:rFonts w:ascii="Arial" w:hAnsi="Arial" w:cs="Arial"/>
          <w:sz w:val="22"/>
          <w:szCs w:val="22"/>
          <w:lang w:val="fr-FR"/>
        </w:rPr>
        <w:t xml:space="preserve"> a convenu que la question </w:t>
      </w:r>
      <w:r>
        <w:rPr>
          <w:rFonts w:ascii="Arial" w:hAnsi="Arial" w:cs="Arial"/>
          <w:sz w:val="22"/>
          <w:szCs w:val="22"/>
          <w:lang w:val="fr-FR"/>
        </w:rPr>
        <w:t xml:space="preserve">en jeu </w:t>
      </w:r>
      <w:r w:rsidRPr="00F2779F">
        <w:rPr>
          <w:rFonts w:ascii="Arial" w:hAnsi="Arial" w:cs="Arial"/>
          <w:sz w:val="22"/>
          <w:szCs w:val="22"/>
          <w:lang w:val="fr-FR"/>
        </w:rPr>
        <w:t>était celle d</w:t>
      </w:r>
      <w:r>
        <w:rPr>
          <w:rFonts w:ascii="Arial" w:hAnsi="Arial" w:cs="Arial"/>
          <w:sz w:val="22"/>
          <w:szCs w:val="22"/>
          <w:lang w:val="fr-FR"/>
        </w:rPr>
        <w:t>e l</w:t>
      </w:r>
      <w:r w:rsidR="008E532B">
        <w:rPr>
          <w:rFonts w:ascii="Arial" w:hAnsi="Arial" w:cs="Arial"/>
          <w:sz w:val="22"/>
          <w:szCs w:val="22"/>
          <w:lang w:val="fr-FR"/>
        </w:rPr>
        <w:t>’</w:t>
      </w:r>
      <w:r>
        <w:rPr>
          <w:rFonts w:ascii="Arial" w:hAnsi="Arial" w:cs="Arial"/>
          <w:sz w:val="22"/>
          <w:szCs w:val="22"/>
          <w:lang w:val="fr-FR"/>
        </w:rPr>
        <w:t>inclusivité</w:t>
      </w:r>
      <w:r w:rsidRPr="00F2779F">
        <w:rPr>
          <w:rFonts w:ascii="Arial" w:hAnsi="Arial" w:cs="Arial"/>
          <w:sz w:val="22"/>
          <w:szCs w:val="22"/>
          <w:lang w:val="fr-FR"/>
        </w:rPr>
        <w:t>. Il</w:t>
      </w:r>
      <w:r>
        <w:rPr>
          <w:rFonts w:ascii="Arial" w:hAnsi="Arial" w:cs="Arial"/>
          <w:sz w:val="22"/>
          <w:szCs w:val="22"/>
          <w:lang w:val="fr-FR"/>
        </w:rPr>
        <w:t xml:space="preserve"> était</w:t>
      </w:r>
      <w:r w:rsidRPr="00F2779F">
        <w:rPr>
          <w:rFonts w:ascii="Arial" w:hAnsi="Arial" w:cs="Arial"/>
          <w:sz w:val="22"/>
          <w:szCs w:val="22"/>
          <w:lang w:val="fr-FR"/>
        </w:rPr>
        <w:t xml:space="preserve"> important que tous les forums et organisations, tels que les ONG et les organes de décision, soient aussi inclusifs et géographiquement équilibrés que possible. Malheureusement, le Forum des ONG du PCI </w:t>
      </w:r>
      <w:r>
        <w:rPr>
          <w:rFonts w:ascii="Arial" w:hAnsi="Arial" w:cs="Arial"/>
          <w:sz w:val="22"/>
          <w:szCs w:val="22"/>
          <w:lang w:val="fr-FR"/>
        </w:rPr>
        <w:t>était</w:t>
      </w:r>
      <w:r w:rsidRPr="00F2779F">
        <w:rPr>
          <w:rFonts w:ascii="Arial" w:hAnsi="Arial" w:cs="Arial"/>
          <w:sz w:val="22"/>
          <w:szCs w:val="22"/>
          <w:lang w:val="fr-FR"/>
        </w:rPr>
        <w:t xml:space="preserve"> peut-être le forum le plus déséquilibré qui existe, l</w:t>
      </w:r>
      <w:r w:rsidR="008E532B">
        <w:rPr>
          <w:rFonts w:ascii="Arial" w:hAnsi="Arial" w:cs="Arial"/>
          <w:sz w:val="22"/>
          <w:szCs w:val="22"/>
          <w:lang w:val="fr-FR"/>
        </w:rPr>
        <w:t>’</w:t>
      </w:r>
      <w:r w:rsidRPr="00F2779F">
        <w:rPr>
          <w:rFonts w:ascii="Arial" w:hAnsi="Arial" w:cs="Arial"/>
          <w:sz w:val="22"/>
          <w:szCs w:val="22"/>
          <w:lang w:val="fr-FR"/>
        </w:rPr>
        <w:t>Afrique n</w:t>
      </w:r>
      <w:r w:rsidR="008E532B">
        <w:rPr>
          <w:rFonts w:ascii="Arial" w:hAnsi="Arial" w:cs="Arial"/>
          <w:sz w:val="22"/>
          <w:szCs w:val="22"/>
          <w:lang w:val="fr-FR"/>
        </w:rPr>
        <w:t>’</w:t>
      </w:r>
      <w:r w:rsidRPr="00F2779F">
        <w:rPr>
          <w:rFonts w:ascii="Arial" w:hAnsi="Arial" w:cs="Arial"/>
          <w:sz w:val="22"/>
          <w:szCs w:val="22"/>
          <w:lang w:val="fr-FR"/>
        </w:rPr>
        <w:t>y étant représentée qu</w:t>
      </w:r>
      <w:r w:rsidR="008E532B">
        <w:rPr>
          <w:rFonts w:ascii="Arial" w:hAnsi="Arial" w:cs="Arial"/>
          <w:sz w:val="22"/>
          <w:szCs w:val="22"/>
          <w:lang w:val="fr-FR"/>
        </w:rPr>
        <w:t>’</w:t>
      </w:r>
      <w:r w:rsidRPr="00F2779F">
        <w:rPr>
          <w:rFonts w:ascii="Arial" w:hAnsi="Arial" w:cs="Arial"/>
          <w:sz w:val="22"/>
          <w:szCs w:val="22"/>
          <w:lang w:val="fr-FR"/>
        </w:rPr>
        <w:t xml:space="preserve">à hauteur de </w:t>
      </w:r>
      <w:r>
        <w:rPr>
          <w:rFonts w:ascii="Arial" w:hAnsi="Arial" w:cs="Arial"/>
          <w:sz w:val="22"/>
          <w:szCs w:val="22"/>
          <w:lang w:val="fr-FR"/>
        </w:rPr>
        <w:t>12 %</w:t>
      </w:r>
      <w:r w:rsidRPr="00F2779F">
        <w:rPr>
          <w:rFonts w:ascii="Arial" w:hAnsi="Arial" w:cs="Arial"/>
          <w:sz w:val="22"/>
          <w:szCs w:val="22"/>
          <w:lang w:val="fr-FR"/>
        </w:rPr>
        <w:t>. Si l</w:t>
      </w:r>
      <w:r w:rsidR="008E532B">
        <w:rPr>
          <w:rFonts w:ascii="Arial" w:hAnsi="Arial" w:cs="Arial"/>
          <w:sz w:val="22"/>
          <w:szCs w:val="22"/>
          <w:lang w:val="fr-FR"/>
        </w:rPr>
        <w:t>’</w:t>
      </w:r>
      <w:r w:rsidRPr="00F2779F">
        <w:rPr>
          <w:rFonts w:ascii="Arial" w:hAnsi="Arial" w:cs="Arial"/>
          <w:sz w:val="22"/>
          <w:szCs w:val="22"/>
          <w:lang w:val="fr-FR"/>
        </w:rPr>
        <w:t>on consid</w:t>
      </w:r>
      <w:r>
        <w:rPr>
          <w:rFonts w:ascii="Arial" w:hAnsi="Arial" w:cs="Arial"/>
          <w:sz w:val="22"/>
          <w:szCs w:val="22"/>
          <w:lang w:val="fr-FR"/>
        </w:rPr>
        <w:t>érait</w:t>
      </w:r>
      <w:r w:rsidRPr="00F2779F">
        <w:rPr>
          <w:rFonts w:ascii="Arial" w:hAnsi="Arial" w:cs="Arial"/>
          <w:sz w:val="22"/>
          <w:szCs w:val="22"/>
          <w:lang w:val="fr-FR"/>
        </w:rPr>
        <w:t xml:space="preserve"> le nombre de nouvelles ONG demand</w:t>
      </w:r>
      <w:r>
        <w:rPr>
          <w:rFonts w:ascii="Arial" w:hAnsi="Arial" w:cs="Arial"/>
          <w:sz w:val="22"/>
          <w:szCs w:val="22"/>
          <w:lang w:val="fr-FR"/>
        </w:rPr>
        <w:t>a</w:t>
      </w:r>
      <w:r w:rsidRPr="00F2779F">
        <w:rPr>
          <w:rFonts w:ascii="Arial" w:hAnsi="Arial" w:cs="Arial"/>
          <w:sz w:val="22"/>
          <w:szCs w:val="22"/>
          <w:lang w:val="fr-FR"/>
        </w:rPr>
        <w:t xml:space="preserve">nt une accréditation, sur trente-deux ONG, seules quatre </w:t>
      </w:r>
      <w:r>
        <w:rPr>
          <w:rFonts w:ascii="Arial" w:hAnsi="Arial" w:cs="Arial"/>
          <w:sz w:val="22"/>
          <w:szCs w:val="22"/>
          <w:lang w:val="fr-FR"/>
        </w:rPr>
        <w:t>étaient</w:t>
      </w:r>
      <w:r w:rsidRPr="00F2779F">
        <w:rPr>
          <w:rFonts w:ascii="Arial" w:hAnsi="Arial" w:cs="Arial"/>
          <w:sz w:val="22"/>
          <w:szCs w:val="22"/>
          <w:lang w:val="fr-FR"/>
        </w:rPr>
        <w:t xml:space="preserve"> originaires d</w:t>
      </w:r>
      <w:r w:rsidR="008E532B">
        <w:rPr>
          <w:rFonts w:ascii="Arial" w:hAnsi="Arial" w:cs="Arial"/>
          <w:sz w:val="22"/>
          <w:szCs w:val="22"/>
          <w:lang w:val="fr-FR"/>
        </w:rPr>
        <w:t>’</w:t>
      </w:r>
      <w:r w:rsidRPr="00F2779F">
        <w:rPr>
          <w:rFonts w:ascii="Arial" w:hAnsi="Arial" w:cs="Arial"/>
          <w:sz w:val="22"/>
          <w:szCs w:val="22"/>
          <w:lang w:val="fr-FR"/>
        </w:rPr>
        <w:t>Afrique. Ce</w:t>
      </w:r>
      <w:r>
        <w:rPr>
          <w:rFonts w:ascii="Arial" w:hAnsi="Arial" w:cs="Arial"/>
          <w:sz w:val="22"/>
          <w:szCs w:val="22"/>
          <w:lang w:val="fr-FR"/>
        </w:rPr>
        <w:t xml:space="preserve">tte situation ne saurait être </w:t>
      </w:r>
      <w:r w:rsidRPr="00F2779F">
        <w:rPr>
          <w:rFonts w:ascii="Arial" w:hAnsi="Arial" w:cs="Arial"/>
          <w:sz w:val="22"/>
          <w:szCs w:val="22"/>
          <w:lang w:val="fr-FR"/>
        </w:rPr>
        <w:t>acceptable</w:t>
      </w:r>
      <w:r>
        <w:rPr>
          <w:rFonts w:ascii="Arial" w:hAnsi="Arial" w:cs="Arial"/>
          <w:sz w:val="22"/>
          <w:szCs w:val="22"/>
          <w:lang w:val="fr-FR"/>
        </w:rPr>
        <w:t xml:space="preserve"> à la longue</w:t>
      </w:r>
      <w:r w:rsidRPr="00F2779F">
        <w:rPr>
          <w:rFonts w:ascii="Arial" w:hAnsi="Arial" w:cs="Arial"/>
          <w:sz w:val="22"/>
          <w:szCs w:val="22"/>
          <w:lang w:val="fr-FR"/>
        </w:rPr>
        <w:t>, du moins pour les Africains. Le Forum n</w:t>
      </w:r>
      <w:r w:rsidR="008E532B">
        <w:rPr>
          <w:rFonts w:ascii="Arial" w:hAnsi="Arial" w:cs="Arial"/>
          <w:sz w:val="22"/>
          <w:szCs w:val="22"/>
          <w:lang w:val="fr-FR"/>
        </w:rPr>
        <w:t>’</w:t>
      </w:r>
      <w:r>
        <w:rPr>
          <w:rFonts w:ascii="Arial" w:hAnsi="Arial" w:cs="Arial"/>
          <w:sz w:val="22"/>
          <w:szCs w:val="22"/>
          <w:lang w:val="fr-FR"/>
        </w:rPr>
        <w:t>était</w:t>
      </w:r>
      <w:r w:rsidRPr="00F2779F">
        <w:rPr>
          <w:rFonts w:ascii="Arial" w:hAnsi="Arial" w:cs="Arial"/>
          <w:sz w:val="22"/>
          <w:szCs w:val="22"/>
          <w:lang w:val="fr-FR"/>
        </w:rPr>
        <w:t xml:space="preserve"> donc pas représentatif bien qu</w:t>
      </w:r>
      <w:r w:rsidR="008E532B">
        <w:rPr>
          <w:rFonts w:ascii="Arial" w:hAnsi="Arial" w:cs="Arial"/>
          <w:sz w:val="22"/>
          <w:szCs w:val="22"/>
          <w:lang w:val="fr-FR"/>
        </w:rPr>
        <w:t>’</w:t>
      </w:r>
      <w:r w:rsidRPr="00F2779F">
        <w:rPr>
          <w:rFonts w:ascii="Arial" w:hAnsi="Arial" w:cs="Arial"/>
          <w:sz w:val="22"/>
          <w:szCs w:val="22"/>
          <w:lang w:val="fr-FR"/>
        </w:rPr>
        <w:t>i</w:t>
      </w:r>
      <w:r>
        <w:rPr>
          <w:rFonts w:ascii="Arial" w:hAnsi="Arial" w:cs="Arial"/>
          <w:sz w:val="22"/>
          <w:szCs w:val="22"/>
          <w:lang w:val="fr-FR"/>
        </w:rPr>
        <w:t>l s</w:t>
      </w:r>
      <w:r w:rsidR="008E532B">
        <w:rPr>
          <w:rFonts w:ascii="Arial" w:hAnsi="Arial" w:cs="Arial"/>
          <w:sz w:val="22"/>
          <w:szCs w:val="22"/>
          <w:lang w:val="fr-FR"/>
        </w:rPr>
        <w:t>’</w:t>
      </w:r>
      <w:r w:rsidRPr="00F2779F">
        <w:rPr>
          <w:rFonts w:ascii="Arial" w:hAnsi="Arial" w:cs="Arial"/>
          <w:sz w:val="22"/>
          <w:szCs w:val="22"/>
          <w:lang w:val="fr-FR"/>
        </w:rPr>
        <w:t>agisse d</w:t>
      </w:r>
      <w:r w:rsidR="008E532B">
        <w:rPr>
          <w:rFonts w:ascii="Arial" w:hAnsi="Arial" w:cs="Arial"/>
          <w:sz w:val="22"/>
          <w:szCs w:val="22"/>
          <w:lang w:val="fr-FR"/>
        </w:rPr>
        <w:t>’</w:t>
      </w:r>
      <w:r w:rsidRPr="00F2779F">
        <w:rPr>
          <w:rFonts w:ascii="Arial" w:hAnsi="Arial" w:cs="Arial"/>
          <w:sz w:val="22"/>
          <w:szCs w:val="22"/>
          <w:lang w:val="fr-FR"/>
        </w:rPr>
        <w:t xml:space="preserve">un forum international. Les opinions exprimées au cours de cette discussion en </w:t>
      </w:r>
      <w:r>
        <w:rPr>
          <w:rFonts w:ascii="Arial" w:hAnsi="Arial" w:cs="Arial"/>
          <w:sz w:val="22"/>
          <w:szCs w:val="22"/>
          <w:lang w:val="fr-FR"/>
        </w:rPr>
        <w:t>étaient</w:t>
      </w:r>
      <w:r w:rsidRPr="00F2779F">
        <w:rPr>
          <w:rFonts w:ascii="Arial" w:hAnsi="Arial" w:cs="Arial"/>
          <w:sz w:val="22"/>
          <w:szCs w:val="22"/>
          <w:lang w:val="fr-FR"/>
        </w:rPr>
        <w:t xml:space="preserve"> le reflet, les régions fortement représentées souhaitant conserver le statu quo. La délégation a convenu qu</w:t>
      </w:r>
      <w:r w:rsidR="008E532B">
        <w:rPr>
          <w:rFonts w:ascii="Arial" w:hAnsi="Arial" w:cs="Arial"/>
          <w:sz w:val="22"/>
          <w:szCs w:val="22"/>
          <w:lang w:val="fr-FR"/>
        </w:rPr>
        <w:t>’</w:t>
      </w:r>
      <w:r w:rsidRPr="00F2779F">
        <w:rPr>
          <w:rFonts w:ascii="Arial" w:hAnsi="Arial" w:cs="Arial"/>
          <w:sz w:val="22"/>
          <w:szCs w:val="22"/>
          <w:lang w:val="fr-FR"/>
        </w:rPr>
        <w:t xml:space="preserve">il </w:t>
      </w:r>
      <w:r>
        <w:rPr>
          <w:rFonts w:ascii="Arial" w:hAnsi="Arial" w:cs="Arial"/>
          <w:sz w:val="22"/>
          <w:szCs w:val="22"/>
          <w:lang w:val="fr-FR"/>
        </w:rPr>
        <w:t>est</w:t>
      </w:r>
      <w:r w:rsidRPr="00F2779F">
        <w:rPr>
          <w:rFonts w:ascii="Arial" w:hAnsi="Arial" w:cs="Arial"/>
          <w:sz w:val="22"/>
          <w:szCs w:val="22"/>
          <w:lang w:val="fr-FR"/>
        </w:rPr>
        <w:t xml:space="preserve"> important que les ONG possèdent la compétence, l</w:t>
      </w:r>
      <w:r w:rsidR="008E532B">
        <w:rPr>
          <w:rFonts w:ascii="Arial" w:hAnsi="Arial" w:cs="Arial"/>
          <w:sz w:val="22"/>
          <w:szCs w:val="22"/>
          <w:lang w:val="fr-FR"/>
        </w:rPr>
        <w:t>’</w:t>
      </w:r>
      <w:r w:rsidRPr="00F2779F">
        <w:rPr>
          <w:rFonts w:ascii="Arial" w:hAnsi="Arial" w:cs="Arial"/>
          <w:sz w:val="22"/>
          <w:szCs w:val="22"/>
          <w:lang w:val="fr-FR"/>
        </w:rPr>
        <w:t>expérience</w:t>
      </w:r>
      <w:r>
        <w:rPr>
          <w:rFonts w:ascii="Arial" w:hAnsi="Arial" w:cs="Arial"/>
          <w:sz w:val="22"/>
          <w:szCs w:val="22"/>
          <w:lang w:val="fr-FR"/>
        </w:rPr>
        <w:t xml:space="preserve"> et </w:t>
      </w:r>
      <w:r w:rsidRPr="00F2779F">
        <w:rPr>
          <w:rFonts w:ascii="Arial" w:hAnsi="Arial" w:cs="Arial"/>
          <w:sz w:val="22"/>
          <w:szCs w:val="22"/>
          <w:lang w:val="fr-FR"/>
        </w:rPr>
        <w:t>l</w:t>
      </w:r>
      <w:r w:rsidR="008E532B">
        <w:rPr>
          <w:rFonts w:ascii="Arial" w:hAnsi="Arial" w:cs="Arial"/>
          <w:sz w:val="22"/>
          <w:szCs w:val="22"/>
          <w:lang w:val="fr-FR"/>
        </w:rPr>
        <w:t>’</w:t>
      </w:r>
      <w:r w:rsidRPr="00F2779F">
        <w:rPr>
          <w:rFonts w:ascii="Arial" w:hAnsi="Arial" w:cs="Arial"/>
          <w:sz w:val="22"/>
          <w:szCs w:val="22"/>
          <w:lang w:val="fr-FR"/>
        </w:rPr>
        <w:t xml:space="preserve">objectivité et </w:t>
      </w:r>
      <w:r>
        <w:rPr>
          <w:rFonts w:ascii="Arial" w:hAnsi="Arial" w:cs="Arial"/>
          <w:sz w:val="22"/>
          <w:szCs w:val="22"/>
          <w:lang w:val="fr-FR"/>
        </w:rPr>
        <w:t xml:space="preserve">respectent </w:t>
      </w:r>
      <w:r w:rsidRPr="00F2779F">
        <w:rPr>
          <w:rFonts w:ascii="Arial" w:hAnsi="Arial" w:cs="Arial"/>
          <w:sz w:val="22"/>
          <w:szCs w:val="22"/>
          <w:lang w:val="fr-FR"/>
        </w:rPr>
        <w:t>l</w:t>
      </w:r>
      <w:r w:rsidR="008E532B">
        <w:rPr>
          <w:rFonts w:ascii="Arial" w:hAnsi="Arial" w:cs="Arial"/>
          <w:sz w:val="22"/>
          <w:szCs w:val="22"/>
          <w:lang w:val="fr-FR"/>
        </w:rPr>
        <w:t>’</w:t>
      </w:r>
      <w:r w:rsidRPr="00F2779F">
        <w:rPr>
          <w:rFonts w:ascii="Arial" w:hAnsi="Arial" w:cs="Arial"/>
          <w:sz w:val="22"/>
          <w:szCs w:val="22"/>
          <w:lang w:val="fr-FR"/>
        </w:rPr>
        <w:t>esprit de la Convention, des critères importants pour l</w:t>
      </w:r>
      <w:r w:rsidR="008E532B">
        <w:rPr>
          <w:rFonts w:ascii="Arial" w:hAnsi="Arial" w:cs="Arial"/>
          <w:sz w:val="22"/>
          <w:szCs w:val="22"/>
          <w:lang w:val="fr-FR"/>
        </w:rPr>
        <w:t>’</w:t>
      </w:r>
      <w:r w:rsidRPr="00F2779F">
        <w:rPr>
          <w:rFonts w:ascii="Arial" w:hAnsi="Arial" w:cs="Arial"/>
          <w:sz w:val="22"/>
          <w:szCs w:val="22"/>
          <w:lang w:val="fr-FR"/>
        </w:rPr>
        <w:t>accréditation. Mais de même, l</w:t>
      </w:r>
      <w:r w:rsidR="008E532B">
        <w:rPr>
          <w:rFonts w:ascii="Arial" w:hAnsi="Arial" w:cs="Arial"/>
          <w:sz w:val="22"/>
          <w:szCs w:val="22"/>
          <w:lang w:val="fr-FR"/>
        </w:rPr>
        <w:t>’</w:t>
      </w:r>
      <w:r w:rsidRPr="00F2779F">
        <w:rPr>
          <w:rFonts w:ascii="Arial" w:hAnsi="Arial" w:cs="Arial"/>
          <w:sz w:val="22"/>
          <w:szCs w:val="22"/>
          <w:lang w:val="fr-FR"/>
        </w:rPr>
        <w:t>Assemblée devrait s</w:t>
      </w:r>
      <w:r w:rsidR="008E532B">
        <w:rPr>
          <w:rFonts w:ascii="Arial" w:hAnsi="Arial" w:cs="Arial"/>
          <w:sz w:val="22"/>
          <w:szCs w:val="22"/>
          <w:lang w:val="fr-FR"/>
        </w:rPr>
        <w:t>’</w:t>
      </w:r>
      <w:r w:rsidRPr="00F2779F">
        <w:rPr>
          <w:rFonts w:ascii="Arial" w:hAnsi="Arial" w:cs="Arial"/>
          <w:sz w:val="22"/>
          <w:szCs w:val="22"/>
          <w:lang w:val="fr-FR"/>
        </w:rPr>
        <w:t xml:space="preserve">efforcer de rééquilibrer la composition du Forum. </w:t>
      </w:r>
      <w:r>
        <w:rPr>
          <w:rFonts w:ascii="Arial" w:hAnsi="Arial" w:cs="Arial"/>
          <w:sz w:val="22"/>
          <w:szCs w:val="22"/>
          <w:lang w:val="fr-FR"/>
        </w:rPr>
        <w:t xml:space="preserve">À </w:t>
      </w:r>
      <w:r w:rsidRPr="00F2779F">
        <w:rPr>
          <w:rFonts w:ascii="Arial" w:hAnsi="Arial" w:cs="Arial"/>
          <w:sz w:val="22"/>
          <w:szCs w:val="22"/>
          <w:lang w:val="fr-FR"/>
        </w:rPr>
        <w:t>ce</w:t>
      </w:r>
      <w:r>
        <w:rPr>
          <w:rFonts w:ascii="Arial" w:hAnsi="Arial" w:cs="Arial"/>
          <w:sz w:val="22"/>
          <w:szCs w:val="22"/>
          <w:lang w:val="fr-FR"/>
        </w:rPr>
        <w:t xml:space="preserve"> sujet</w:t>
      </w:r>
      <w:r w:rsidRPr="00F2779F">
        <w:rPr>
          <w:rFonts w:ascii="Arial" w:hAnsi="Arial" w:cs="Arial"/>
          <w:sz w:val="22"/>
          <w:szCs w:val="22"/>
          <w:lang w:val="fr-FR"/>
        </w:rPr>
        <w:t>, l</w:t>
      </w:r>
      <w:r w:rsidR="008E532B">
        <w:rPr>
          <w:rFonts w:ascii="Arial" w:hAnsi="Arial" w:cs="Arial"/>
          <w:sz w:val="22"/>
          <w:szCs w:val="22"/>
          <w:lang w:val="fr-FR"/>
        </w:rPr>
        <w:t>’</w:t>
      </w:r>
      <w:r>
        <w:rPr>
          <w:rFonts w:ascii="Arial" w:hAnsi="Arial" w:cs="Arial"/>
          <w:sz w:val="22"/>
          <w:szCs w:val="22"/>
          <w:lang w:val="fr-FR"/>
        </w:rPr>
        <w:t>É</w:t>
      </w:r>
      <w:r w:rsidRPr="00F2779F">
        <w:rPr>
          <w:rFonts w:ascii="Arial" w:hAnsi="Arial" w:cs="Arial"/>
          <w:sz w:val="22"/>
          <w:szCs w:val="22"/>
          <w:lang w:val="fr-FR"/>
        </w:rPr>
        <w:t>thiopie avait un point de vue différent de celui de la Palestine. Elle n</w:t>
      </w:r>
      <w:r w:rsidR="008E532B">
        <w:rPr>
          <w:rFonts w:ascii="Arial" w:hAnsi="Arial" w:cs="Arial"/>
          <w:sz w:val="22"/>
          <w:szCs w:val="22"/>
          <w:lang w:val="fr-FR"/>
        </w:rPr>
        <w:t>’</w:t>
      </w:r>
      <w:r w:rsidRPr="00F2779F">
        <w:rPr>
          <w:rFonts w:ascii="Arial" w:hAnsi="Arial" w:cs="Arial"/>
          <w:sz w:val="22"/>
          <w:szCs w:val="22"/>
          <w:lang w:val="fr-FR"/>
        </w:rPr>
        <w:t>était pas opposée à la représentation</w:t>
      </w:r>
      <w:r>
        <w:rPr>
          <w:rFonts w:ascii="Arial" w:hAnsi="Arial" w:cs="Arial"/>
          <w:sz w:val="22"/>
          <w:szCs w:val="22"/>
          <w:lang w:val="fr-FR"/>
        </w:rPr>
        <w:t xml:space="preserve">, au sein du Forum, </w:t>
      </w:r>
      <w:r w:rsidRPr="00F2779F">
        <w:rPr>
          <w:rFonts w:ascii="Arial" w:hAnsi="Arial" w:cs="Arial"/>
          <w:sz w:val="22"/>
          <w:szCs w:val="22"/>
          <w:lang w:val="fr-FR"/>
        </w:rPr>
        <w:t>d</w:t>
      </w:r>
      <w:r w:rsidR="008E532B">
        <w:rPr>
          <w:rFonts w:ascii="Arial" w:hAnsi="Arial" w:cs="Arial"/>
          <w:sz w:val="22"/>
          <w:szCs w:val="22"/>
          <w:lang w:val="fr-FR"/>
        </w:rPr>
        <w:t>’</w:t>
      </w:r>
      <w:r w:rsidRPr="00F2779F">
        <w:rPr>
          <w:rFonts w:ascii="Arial" w:hAnsi="Arial" w:cs="Arial"/>
          <w:sz w:val="22"/>
          <w:szCs w:val="22"/>
          <w:lang w:val="fr-FR"/>
        </w:rPr>
        <w:t>ONG</w:t>
      </w:r>
      <w:r>
        <w:rPr>
          <w:rFonts w:ascii="Arial" w:hAnsi="Arial" w:cs="Arial"/>
          <w:sz w:val="22"/>
          <w:szCs w:val="22"/>
          <w:lang w:val="fr-FR"/>
        </w:rPr>
        <w:t xml:space="preserve"> </w:t>
      </w:r>
      <w:r w:rsidRPr="00F2779F">
        <w:rPr>
          <w:rFonts w:ascii="Arial" w:hAnsi="Arial" w:cs="Arial"/>
          <w:sz w:val="22"/>
          <w:szCs w:val="22"/>
          <w:lang w:val="fr-FR"/>
        </w:rPr>
        <w:t>provenant d</w:t>
      </w:r>
      <w:r w:rsidR="008E532B">
        <w:rPr>
          <w:rFonts w:ascii="Arial" w:hAnsi="Arial" w:cs="Arial"/>
          <w:sz w:val="22"/>
          <w:szCs w:val="22"/>
          <w:lang w:val="fr-FR"/>
        </w:rPr>
        <w:t>’</w:t>
      </w:r>
      <w:r w:rsidRPr="00F2779F">
        <w:rPr>
          <w:rFonts w:ascii="Arial" w:hAnsi="Arial" w:cs="Arial"/>
          <w:sz w:val="22"/>
          <w:szCs w:val="22"/>
          <w:lang w:val="fr-FR"/>
        </w:rPr>
        <w:t xml:space="preserve">États </w:t>
      </w:r>
      <w:r>
        <w:rPr>
          <w:rFonts w:ascii="Arial" w:hAnsi="Arial" w:cs="Arial"/>
          <w:sz w:val="22"/>
          <w:szCs w:val="22"/>
          <w:lang w:val="fr-FR"/>
        </w:rPr>
        <w:t>non</w:t>
      </w:r>
      <w:r w:rsidRPr="00F2779F">
        <w:rPr>
          <w:rFonts w:ascii="Arial" w:hAnsi="Arial" w:cs="Arial"/>
          <w:sz w:val="22"/>
          <w:szCs w:val="22"/>
          <w:lang w:val="fr-FR"/>
        </w:rPr>
        <w:t xml:space="preserve"> parties à la Convention, car elle croyait en l</w:t>
      </w:r>
      <w:r w:rsidR="008E532B">
        <w:rPr>
          <w:rFonts w:ascii="Arial" w:hAnsi="Arial" w:cs="Arial"/>
          <w:sz w:val="22"/>
          <w:szCs w:val="22"/>
          <w:lang w:val="fr-FR"/>
        </w:rPr>
        <w:t>’</w:t>
      </w:r>
      <w:r>
        <w:rPr>
          <w:rFonts w:ascii="Arial" w:hAnsi="Arial" w:cs="Arial"/>
          <w:sz w:val="22"/>
          <w:szCs w:val="22"/>
          <w:lang w:val="fr-FR"/>
        </w:rPr>
        <w:t>inclusivité</w:t>
      </w:r>
      <w:r w:rsidRPr="00F2779F">
        <w:rPr>
          <w:rFonts w:ascii="Arial" w:hAnsi="Arial" w:cs="Arial"/>
          <w:sz w:val="22"/>
          <w:szCs w:val="22"/>
          <w:lang w:val="fr-FR"/>
        </w:rPr>
        <w:t xml:space="preserve">. Mais elle était également favorable à une représentation plus équilibrée au sein du Forum. Afin de corriger ce déséquilibre, la délégation a suggéré que lors de la présentation des accréditations, un </w:t>
      </w:r>
      <w:r>
        <w:rPr>
          <w:rFonts w:ascii="Arial" w:hAnsi="Arial" w:cs="Arial"/>
          <w:sz w:val="22"/>
          <w:szCs w:val="22"/>
          <w:lang w:val="fr-FR"/>
        </w:rPr>
        <w:t xml:space="preserve">strict </w:t>
      </w:r>
      <w:r w:rsidRPr="00F2779F">
        <w:rPr>
          <w:rFonts w:ascii="Arial" w:hAnsi="Arial" w:cs="Arial"/>
          <w:sz w:val="22"/>
          <w:szCs w:val="22"/>
          <w:lang w:val="fr-FR"/>
        </w:rPr>
        <w:t xml:space="preserve">respect de la </w:t>
      </w:r>
      <w:r w:rsidR="002512C5">
        <w:rPr>
          <w:rFonts w:ascii="Arial" w:hAnsi="Arial" w:cs="Arial"/>
          <w:sz w:val="22"/>
          <w:szCs w:val="22"/>
          <w:lang w:val="fr-FR"/>
        </w:rPr>
        <w:t>distribution</w:t>
      </w:r>
      <w:r w:rsidRPr="00F2779F">
        <w:rPr>
          <w:rFonts w:ascii="Arial" w:hAnsi="Arial" w:cs="Arial"/>
          <w:sz w:val="22"/>
          <w:szCs w:val="22"/>
          <w:lang w:val="fr-FR"/>
        </w:rPr>
        <w:t xml:space="preserve"> géographique soit appliqué. Cela signifi</w:t>
      </w:r>
      <w:r>
        <w:rPr>
          <w:rFonts w:ascii="Arial" w:hAnsi="Arial" w:cs="Arial"/>
          <w:sz w:val="22"/>
          <w:szCs w:val="22"/>
          <w:lang w:val="fr-FR"/>
        </w:rPr>
        <w:t>ait</w:t>
      </w:r>
      <w:r w:rsidRPr="00F2779F">
        <w:rPr>
          <w:rFonts w:ascii="Arial" w:hAnsi="Arial" w:cs="Arial"/>
          <w:sz w:val="22"/>
          <w:szCs w:val="22"/>
          <w:lang w:val="fr-FR"/>
        </w:rPr>
        <w:t xml:space="preserve"> que si trente-deux ONG deman</w:t>
      </w:r>
      <w:r>
        <w:rPr>
          <w:rFonts w:ascii="Arial" w:hAnsi="Arial" w:cs="Arial"/>
          <w:sz w:val="22"/>
          <w:szCs w:val="22"/>
          <w:lang w:val="fr-FR"/>
        </w:rPr>
        <w:t>daient</w:t>
      </w:r>
      <w:r w:rsidRPr="00F2779F">
        <w:rPr>
          <w:rFonts w:ascii="Arial" w:hAnsi="Arial" w:cs="Arial"/>
          <w:sz w:val="22"/>
          <w:szCs w:val="22"/>
          <w:lang w:val="fr-FR"/>
        </w:rPr>
        <w:t xml:space="preserve"> une accréditation, alors, au minimum, sept à dix devraient venir d</w:t>
      </w:r>
      <w:r w:rsidR="008E532B">
        <w:rPr>
          <w:rFonts w:ascii="Arial" w:hAnsi="Arial" w:cs="Arial"/>
          <w:sz w:val="22"/>
          <w:szCs w:val="22"/>
          <w:lang w:val="fr-FR"/>
        </w:rPr>
        <w:t>’</w:t>
      </w:r>
      <w:r w:rsidRPr="00F2779F">
        <w:rPr>
          <w:rFonts w:ascii="Arial" w:hAnsi="Arial" w:cs="Arial"/>
          <w:sz w:val="22"/>
          <w:szCs w:val="22"/>
          <w:lang w:val="fr-FR"/>
        </w:rPr>
        <w:t>Afrique, sept à dix d</w:t>
      </w:r>
      <w:r w:rsidR="008E532B">
        <w:rPr>
          <w:rFonts w:ascii="Arial" w:hAnsi="Arial" w:cs="Arial"/>
          <w:sz w:val="22"/>
          <w:szCs w:val="22"/>
          <w:lang w:val="fr-FR"/>
        </w:rPr>
        <w:t>’</w:t>
      </w:r>
      <w:r w:rsidRPr="00F2779F">
        <w:rPr>
          <w:rFonts w:ascii="Arial" w:hAnsi="Arial" w:cs="Arial"/>
          <w:sz w:val="22"/>
          <w:szCs w:val="22"/>
          <w:lang w:val="fr-FR"/>
        </w:rPr>
        <w:t xml:space="preserve">Europe, et ainsi de suite. La délégation a convenu que certaines ONG </w:t>
      </w:r>
      <w:r>
        <w:rPr>
          <w:rFonts w:ascii="Arial" w:hAnsi="Arial" w:cs="Arial"/>
          <w:sz w:val="22"/>
          <w:szCs w:val="22"/>
          <w:lang w:val="fr-FR"/>
        </w:rPr>
        <w:t xml:space="preserve">ont </w:t>
      </w:r>
      <w:r w:rsidRPr="00F2779F">
        <w:rPr>
          <w:rFonts w:ascii="Arial" w:hAnsi="Arial" w:cs="Arial"/>
          <w:sz w:val="22"/>
          <w:szCs w:val="22"/>
          <w:lang w:val="fr-FR"/>
        </w:rPr>
        <w:t xml:space="preserve">une portée internationale, travaillant au-delà de leurs frontières, mais elles </w:t>
      </w:r>
      <w:r>
        <w:rPr>
          <w:rFonts w:ascii="Arial" w:hAnsi="Arial" w:cs="Arial"/>
          <w:sz w:val="22"/>
          <w:szCs w:val="22"/>
          <w:lang w:val="fr-FR"/>
        </w:rPr>
        <w:t xml:space="preserve">sont </w:t>
      </w:r>
      <w:r w:rsidRPr="00F2779F">
        <w:rPr>
          <w:rFonts w:ascii="Arial" w:hAnsi="Arial" w:cs="Arial"/>
          <w:sz w:val="22"/>
          <w:szCs w:val="22"/>
          <w:lang w:val="fr-FR"/>
        </w:rPr>
        <w:t xml:space="preserve">également ancrées dans des pays et obéissent à des juridictions, comme les individus, et </w:t>
      </w:r>
      <w:r>
        <w:rPr>
          <w:rFonts w:ascii="Arial" w:hAnsi="Arial" w:cs="Arial"/>
          <w:sz w:val="22"/>
          <w:szCs w:val="22"/>
          <w:lang w:val="fr-FR"/>
        </w:rPr>
        <w:t xml:space="preserve">sont </w:t>
      </w:r>
      <w:r w:rsidRPr="00F2779F">
        <w:rPr>
          <w:rFonts w:ascii="Arial" w:hAnsi="Arial" w:cs="Arial"/>
          <w:sz w:val="22"/>
          <w:szCs w:val="22"/>
          <w:lang w:val="fr-FR"/>
        </w:rPr>
        <w:t>porteuses de préjugés. Ainsi, si le Forum d</w:t>
      </w:r>
      <w:r>
        <w:rPr>
          <w:rFonts w:ascii="Arial" w:hAnsi="Arial" w:cs="Arial"/>
          <w:sz w:val="22"/>
          <w:szCs w:val="22"/>
          <w:lang w:val="fr-FR"/>
        </w:rPr>
        <w:t xml:space="preserve">evait </w:t>
      </w:r>
      <w:r w:rsidRPr="00F2779F">
        <w:rPr>
          <w:rFonts w:ascii="Arial" w:hAnsi="Arial" w:cs="Arial"/>
          <w:sz w:val="22"/>
          <w:szCs w:val="22"/>
          <w:lang w:val="fr-FR"/>
        </w:rPr>
        <w:t>être véritablement international, les règles devraient être modifiées pour le refléter.</w:t>
      </w:r>
    </w:p>
    <w:p w14:paraId="2A199296" w14:textId="2C6A2AA1" w:rsidR="00D9653F" w:rsidRPr="00B6223C"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B6223C">
        <w:rPr>
          <w:rFonts w:ascii="Arial" w:hAnsi="Arial" w:cs="Arial"/>
          <w:sz w:val="22"/>
          <w:szCs w:val="22"/>
          <w:lang w:val="fr-FR"/>
        </w:rPr>
        <w:t xml:space="preserve">La délégation </w:t>
      </w:r>
      <w:r>
        <w:rPr>
          <w:rFonts w:ascii="Arial" w:hAnsi="Arial" w:cs="Arial"/>
          <w:sz w:val="22"/>
          <w:szCs w:val="22"/>
          <w:lang w:val="fr-FR"/>
        </w:rPr>
        <w:t xml:space="preserve">du </w:t>
      </w:r>
      <w:r w:rsidRPr="00312228">
        <w:rPr>
          <w:rFonts w:ascii="Arial" w:hAnsi="Arial" w:cs="Arial"/>
          <w:b/>
          <w:bCs/>
          <w:sz w:val="22"/>
          <w:szCs w:val="22"/>
          <w:lang w:val="fr-FR"/>
        </w:rPr>
        <w:t>Maroc</w:t>
      </w:r>
      <w:r>
        <w:rPr>
          <w:rFonts w:ascii="Arial" w:hAnsi="Arial" w:cs="Arial"/>
          <w:sz w:val="22"/>
          <w:szCs w:val="22"/>
          <w:lang w:val="fr-FR"/>
        </w:rPr>
        <w:t>, qui</w:t>
      </w:r>
      <w:r w:rsidRPr="00B6223C">
        <w:rPr>
          <w:rFonts w:ascii="Arial" w:hAnsi="Arial" w:cs="Arial"/>
          <w:sz w:val="22"/>
          <w:szCs w:val="22"/>
          <w:lang w:val="fr-FR"/>
        </w:rPr>
        <w:t xml:space="preserve"> </w:t>
      </w:r>
      <w:r>
        <w:rPr>
          <w:rFonts w:ascii="Arial" w:hAnsi="Arial" w:cs="Arial"/>
          <w:sz w:val="22"/>
          <w:szCs w:val="22"/>
          <w:lang w:val="fr-FR"/>
        </w:rPr>
        <w:t xml:space="preserve">souscrivait </w:t>
      </w:r>
      <w:r w:rsidRPr="00B6223C">
        <w:rPr>
          <w:rFonts w:ascii="Arial" w:hAnsi="Arial" w:cs="Arial"/>
          <w:sz w:val="22"/>
          <w:szCs w:val="22"/>
          <w:lang w:val="fr-FR"/>
        </w:rPr>
        <w:t>pleinement</w:t>
      </w:r>
      <w:r>
        <w:rPr>
          <w:rFonts w:ascii="Arial" w:hAnsi="Arial" w:cs="Arial"/>
          <w:sz w:val="22"/>
          <w:szCs w:val="22"/>
          <w:lang w:val="fr-FR"/>
        </w:rPr>
        <w:t xml:space="preserve"> </w:t>
      </w:r>
      <w:r w:rsidRPr="00B6223C">
        <w:rPr>
          <w:rFonts w:ascii="Arial" w:hAnsi="Arial" w:cs="Arial"/>
          <w:sz w:val="22"/>
          <w:szCs w:val="22"/>
          <w:lang w:val="fr-FR"/>
        </w:rPr>
        <w:t>à la position exprimée par l</w:t>
      </w:r>
      <w:r w:rsidR="008E532B">
        <w:rPr>
          <w:rFonts w:ascii="Arial" w:hAnsi="Arial" w:cs="Arial"/>
          <w:sz w:val="22"/>
          <w:szCs w:val="22"/>
          <w:lang w:val="fr-FR"/>
        </w:rPr>
        <w:t>’</w:t>
      </w:r>
      <w:r w:rsidRPr="00B6223C">
        <w:rPr>
          <w:rFonts w:ascii="Arial" w:hAnsi="Arial" w:cs="Arial"/>
          <w:sz w:val="22"/>
          <w:szCs w:val="22"/>
          <w:lang w:val="fr-FR"/>
        </w:rPr>
        <w:t>Éthiopie</w:t>
      </w:r>
      <w:r>
        <w:rPr>
          <w:rFonts w:ascii="Arial" w:hAnsi="Arial" w:cs="Arial"/>
          <w:sz w:val="22"/>
          <w:szCs w:val="22"/>
          <w:lang w:val="fr-FR"/>
        </w:rPr>
        <w:t xml:space="preserve">, </w:t>
      </w:r>
      <w:r w:rsidRPr="00B6223C">
        <w:rPr>
          <w:rFonts w:ascii="Arial" w:hAnsi="Arial" w:cs="Arial"/>
          <w:sz w:val="22"/>
          <w:szCs w:val="22"/>
          <w:lang w:val="fr-FR"/>
        </w:rPr>
        <w:t>a fait remarquer qu</w:t>
      </w:r>
      <w:r w:rsidR="008E532B">
        <w:rPr>
          <w:rFonts w:ascii="Arial" w:hAnsi="Arial" w:cs="Arial"/>
          <w:sz w:val="22"/>
          <w:szCs w:val="22"/>
          <w:lang w:val="fr-FR"/>
        </w:rPr>
        <w:t>’</w:t>
      </w:r>
      <w:r w:rsidRPr="00B6223C">
        <w:rPr>
          <w:rFonts w:ascii="Arial" w:hAnsi="Arial" w:cs="Arial"/>
          <w:sz w:val="22"/>
          <w:szCs w:val="22"/>
          <w:lang w:val="fr-FR"/>
        </w:rPr>
        <w:t>aucun orateur ne s</w:t>
      </w:r>
      <w:r w:rsidR="008E532B">
        <w:rPr>
          <w:rFonts w:ascii="Arial" w:hAnsi="Arial" w:cs="Arial"/>
          <w:sz w:val="22"/>
          <w:szCs w:val="22"/>
          <w:lang w:val="fr-FR"/>
        </w:rPr>
        <w:t>’</w:t>
      </w:r>
      <w:r>
        <w:rPr>
          <w:rFonts w:ascii="Arial" w:hAnsi="Arial" w:cs="Arial"/>
          <w:sz w:val="22"/>
          <w:szCs w:val="22"/>
          <w:lang w:val="fr-FR"/>
        </w:rPr>
        <w:t>était</w:t>
      </w:r>
      <w:r w:rsidRPr="00B6223C">
        <w:rPr>
          <w:rFonts w:ascii="Arial" w:hAnsi="Arial" w:cs="Arial"/>
          <w:sz w:val="22"/>
          <w:szCs w:val="22"/>
          <w:lang w:val="fr-FR"/>
        </w:rPr>
        <w:t xml:space="preserve"> opposé au fait que les ONG </w:t>
      </w:r>
      <w:r>
        <w:rPr>
          <w:rFonts w:ascii="Arial" w:hAnsi="Arial" w:cs="Arial"/>
          <w:sz w:val="22"/>
          <w:szCs w:val="22"/>
          <w:lang w:val="fr-FR"/>
        </w:rPr>
        <w:t>sont</w:t>
      </w:r>
      <w:r w:rsidRPr="00B6223C">
        <w:rPr>
          <w:rFonts w:ascii="Arial" w:hAnsi="Arial" w:cs="Arial"/>
          <w:sz w:val="22"/>
          <w:szCs w:val="22"/>
          <w:lang w:val="fr-FR"/>
        </w:rPr>
        <w:t xml:space="preserve"> des parties prenantes importantes et qu</w:t>
      </w:r>
      <w:r w:rsidR="008E532B">
        <w:rPr>
          <w:rFonts w:ascii="Arial" w:hAnsi="Arial" w:cs="Arial"/>
          <w:sz w:val="22"/>
          <w:szCs w:val="22"/>
          <w:lang w:val="fr-FR"/>
        </w:rPr>
        <w:t>’</w:t>
      </w:r>
      <w:r w:rsidRPr="00B6223C">
        <w:rPr>
          <w:rFonts w:ascii="Arial" w:hAnsi="Arial" w:cs="Arial"/>
          <w:sz w:val="22"/>
          <w:szCs w:val="22"/>
          <w:lang w:val="fr-FR"/>
        </w:rPr>
        <w:t>elles devraient être pleinement et entièrement impliquées dans le processus lié à la Convention, jouant un rôle essentiel à cet égard. La délégation a saisi l</w:t>
      </w:r>
      <w:r w:rsidR="008E532B">
        <w:rPr>
          <w:rFonts w:ascii="Arial" w:hAnsi="Arial" w:cs="Arial"/>
          <w:sz w:val="22"/>
          <w:szCs w:val="22"/>
          <w:lang w:val="fr-FR"/>
        </w:rPr>
        <w:t>’</w:t>
      </w:r>
      <w:r w:rsidRPr="00B6223C">
        <w:rPr>
          <w:rFonts w:ascii="Arial" w:hAnsi="Arial" w:cs="Arial"/>
          <w:sz w:val="22"/>
          <w:szCs w:val="22"/>
          <w:lang w:val="fr-FR"/>
        </w:rPr>
        <w:t xml:space="preserve">occasion pour remercier le </w:t>
      </w:r>
      <w:r>
        <w:rPr>
          <w:rFonts w:ascii="Arial" w:hAnsi="Arial" w:cs="Arial"/>
          <w:sz w:val="22"/>
          <w:szCs w:val="22"/>
          <w:lang w:val="fr-FR"/>
        </w:rPr>
        <w:t>P</w:t>
      </w:r>
      <w:r w:rsidRPr="00B6223C">
        <w:rPr>
          <w:rFonts w:ascii="Arial" w:hAnsi="Arial" w:cs="Arial"/>
          <w:sz w:val="22"/>
          <w:szCs w:val="22"/>
          <w:lang w:val="fr-FR"/>
        </w:rPr>
        <w:t xml:space="preserve">résident du Forum des ONG. Cependant, il </w:t>
      </w:r>
      <w:r>
        <w:rPr>
          <w:rFonts w:ascii="Arial" w:hAnsi="Arial" w:cs="Arial"/>
          <w:sz w:val="22"/>
          <w:szCs w:val="22"/>
          <w:lang w:val="fr-FR"/>
        </w:rPr>
        <w:t>était</w:t>
      </w:r>
      <w:r w:rsidRPr="00B6223C">
        <w:rPr>
          <w:rFonts w:ascii="Arial" w:hAnsi="Arial" w:cs="Arial"/>
          <w:sz w:val="22"/>
          <w:szCs w:val="22"/>
          <w:lang w:val="fr-FR"/>
        </w:rPr>
        <w:t xml:space="preserve"> également vrai qu</w:t>
      </w:r>
      <w:r w:rsidR="008E532B">
        <w:rPr>
          <w:rFonts w:ascii="Arial" w:hAnsi="Arial" w:cs="Arial"/>
          <w:sz w:val="22"/>
          <w:szCs w:val="22"/>
          <w:lang w:val="fr-FR"/>
        </w:rPr>
        <w:t>’</w:t>
      </w:r>
      <w:r w:rsidRPr="00B6223C">
        <w:rPr>
          <w:rFonts w:ascii="Arial" w:hAnsi="Arial" w:cs="Arial"/>
          <w:sz w:val="22"/>
          <w:szCs w:val="22"/>
          <w:lang w:val="fr-FR"/>
        </w:rPr>
        <w:t>il exist</w:t>
      </w:r>
      <w:r>
        <w:rPr>
          <w:rFonts w:ascii="Arial" w:hAnsi="Arial" w:cs="Arial"/>
          <w:sz w:val="22"/>
          <w:szCs w:val="22"/>
          <w:lang w:val="fr-FR"/>
        </w:rPr>
        <w:t>e</w:t>
      </w:r>
      <w:r w:rsidRPr="00B6223C">
        <w:rPr>
          <w:rFonts w:ascii="Arial" w:hAnsi="Arial" w:cs="Arial"/>
          <w:sz w:val="22"/>
          <w:szCs w:val="22"/>
          <w:lang w:val="fr-FR"/>
        </w:rPr>
        <w:t xml:space="preserve"> un déséquilibre dans la représentation des ONG, comme l</w:t>
      </w:r>
      <w:r w:rsidR="008E532B">
        <w:rPr>
          <w:rFonts w:ascii="Arial" w:hAnsi="Arial" w:cs="Arial"/>
          <w:sz w:val="22"/>
          <w:szCs w:val="22"/>
          <w:lang w:val="fr-FR"/>
        </w:rPr>
        <w:t>’</w:t>
      </w:r>
      <w:r w:rsidRPr="00B6223C">
        <w:rPr>
          <w:rFonts w:ascii="Arial" w:hAnsi="Arial" w:cs="Arial"/>
          <w:sz w:val="22"/>
          <w:szCs w:val="22"/>
          <w:lang w:val="fr-FR"/>
        </w:rPr>
        <w:t>a</w:t>
      </w:r>
      <w:r>
        <w:rPr>
          <w:rFonts w:ascii="Arial" w:hAnsi="Arial" w:cs="Arial"/>
          <w:sz w:val="22"/>
          <w:szCs w:val="22"/>
          <w:lang w:val="fr-FR"/>
        </w:rPr>
        <w:t>vait</w:t>
      </w:r>
      <w:r w:rsidRPr="00B6223C">
        <w:rPr>
          <w:rFonts w:ascii="Arial" w:hAnsi="Arial" w:cs="Arial"/>
          <w:sz w:val="22"/>
          <w:szCs w:val="22"/>
          <w:lang w:val="fr-FR"/>
        </w:rPr>
        <w:t xml:space="preserve"> mentionné l</w:t>
      </w:r>
      <w:r w:rsidR="008E532B">
        <w:rPr>
          <w:rFonts w:ascii="Arial" w:hAnsi="Arial" w:cs="Arial"/>
          <w:sz w:val="22"/>
          <w:szCs w:val="22"/>
          <w:lang w:val="fr-FR"/>
        </w:rPr>
        <w:t>’</w:t>
      </w:r>
      <w:r w:rsidRPr="00B6223C">
        <w:rPr>
          <w:rFonts w:ascii="Arial" w:hAnsi="Arial" w:cs="Arial"/>
          <w:sz w:val="22"/>
          <w:szCs w:val="22"/>
          <w:lang w:val="fr-FR"/>
        </w:rPr>
        <w:t>Éthiopie. Dans la liste des ONG présentée</w:t>
      </w:r>
      <w:r>
        <w:rPr>
          <w:rFonts w:ascii="Arial" w:hAnsi="Arial" w:cs="Arial"/>
          <w:sz w:val="22"/>
          <w:szCs w:val="22"/>
          <w:lang w:val="fr-FR"/>
        </w:rPr>
        <w:t>s</w:t>
      </w:r>
      <w:r w:rsidRPr="00B6223C">
        <w:rPr>
          <w:rFonts w:ascii="Arial" w:hAnsi="Arial" w:cs="Arial"/>
          <w:sz w:val="22"/>
          <w:szCs w:val="22"/>
          <w:lang w:val="fr-FR"/>
        </w:rPr>
        <w:t>, un grand nombre d</w:t>
      </w:r>
      <w:r w:rsidR="008E532B">
        <w:rPr>
          <w:rFonts w:ascii="Arial" w:hAnsi="Arial" w:cs="Arial"/>
          <w:sz w:val="22"/>
          <w:szCs w:val="22"/>
          <w:lang w:val="fr-FR"/>
        </w:rPr>
        <w:t>’</w:t>
      </w:r>
      <w:r w:rsidRPr="00B6223C">
        <w:rPr>
          <w:rFonts w:ascii="Arial" w:hAnsi="Arial" w:cs="Arial"/>
          <w:sz w:val="22"/>
          <w:szCs w:val="22"/>
          <w:lang w:val="fr-FR"/>
        </w:rPr>
        <w:t xml:space="preserve">ONG </w:t>
      </w:r>
      <w:r>
        <w:rPr>
          <w:rFonts w:ascii="Arial" w:hAnsi="Arial" w:cs="Arial"/>
          <w:sz w:val="22"/>
          <w:szCs w:val="22"/>
          <w:lang w:val="fr-FR"/>
        </w:rPr>
        <w:t>pro</w:t>
      </w:r>
      <w:r w:rsidRPr="00B6223C">
        <w:rPr>
          <w:rFonts w:ascii="Arial" w:hAnsi="Arial" w:cs="Arial"/>
          <w:sz w:val="22"/>
          <w:szCs w:val="22"/>
          <w:lang w:val="fr-FR"/>
        </w:rPr>
        <w:t>v</w:t>
      </w:r>
      <w:r>
        <w:rPr>
          <w:rFonts w:ascii="Arial" w:hAnsi="Arial" w:cs="Arial"/>
          <w:sz w:val="22"/>
          <w:szCs w:val="22"/>
          <w:lang w:val="fr-FR"/>
        </w:rPr>
        <w:t>enaient</w:t>
      </w:r>
      <w:r w:rsidRPr="00B6223C">
        <w:rPr>
          <w:rFonts w:ascii="Arial" w:hAnsi="Arial" w:cs="Arial"/>
          <w:sz w:val="22"/>
          <w:szCs w:val="22"/>
          <w:lang w:val="fr-FR"/>
        </w:rPr>
        <w:t xml:space="preserve"> d</w:t>
      </w:r>
      <w:r w:rsidR="008E532B">
        <w:rPr>
          <w:rFonts w:ascii="Arial" w:hAnsi="Arial" w:cs="Arial"/>
          <w:sz w:val="22"/>
          <w:szCs w:val="22"/>
          <w:lang w:val="fr-FR"/>
        </w:rPr>
        <w:t>’</w:t>
      </w:r>
      <w:r w:rsidRPr="00B6223C">
        <w:rPr>
          <w:rFonts w:ascii="Arial" w:hAnsi="Arial" w:cs="Arial"/>
          <w:sz w:val="22"/>
          <w:szCs w:val="22"/>
          <w:lang w:val="fr-FR"/>
        </w:rPr>
        <w:t>Europe et d</w:t>
      </w:r>
      <w:r w:rsidR="008E532B">
        <w:rPr>
          <w:rFonts w:ascii="Arial" w:hAnsi="Arial" w:cs="Arial"/>
          <w:sz w:val="22"/>
          <w:szCs w:val="22"/>
          <w:lang w:val="fr-FR"/>
        </w:rPr>
        <w:t>’</w:t>
      </w:r>
      <w:r w:rsidRPr="00B6223C">
        <w:rPr>
          <w:rFonts w:ascii="Arial" w:hAnsi="Arial" w:cs="Arial"/>
          <w:sz w:val="22"/>
          <w:szCs w:val="22"/>
          <w:lang w:val="fr-FR"/>
        </w:rPr>
        <w:t>autres régions, mais l</w:t>
      </w:r>
      <w:r w:rsidR="008E532B">
        <w:rPr>
          <w:rFonts w:ascii="Arial" w:hAnsi="Arial" w:cs="Arial"/>
          <w:sz w:val="22"/>
          <w:szCs w:val="22"/>
          <w:lang w:val="fr-FR"/>
        </w:rPr>
        <w:t>’</w:t>
      </w:r>
      <w:r w:rsidRPr="00B6223C">
        <w:rPr>
          <w:rFonts w:ascii="Arial" w:hAnsi="Arial" w:cs="Arial"/>
          <w:sz w:val="22"/>
          <w:szCs w:val="22"/>
          <w:lang w:val="fr-FR"/>
        </w:rPr>
        <w:t xml:space="preserve">Afrique </w:t>
      </w:r>
      <w:r>
        <w:rPr>
          <w:rFonts w:ascii="Arial" w:hAnsi="Arial" w:cs="Arial"/>
          <w:sz w:val="22"/>
          <w:szCs w:val="22"/>
          <w:lang w:val="fr-FR"/>
        </w:rPr>
        <w:t>était</w:t>
      </w:r>
      <w:r w:rsidRPr="00B6223C">
        <w:rPr>
          <w:rFonts w:ascii="Arial" w:hAnsi="Arial" w:cs="Arial"/>
          <w:sz w:val="22"/>
          <w:szCs w:val="22"/>
          <w:lang w:val="fr-FR"/>
        </w:rPr>
        <w:t xml:space="preserve"> largement sous-représentée, avec seulement trois ONG </w:t>
      </w:r>
      <w:r>
        <w:rPr>
          <w:rFonts w:ascii="Arial" w:hAnsi="Arial" w:cs="Arial"/>
          <w:sz w:val="22"/>
          <w:szCs w:val="22"/>
          <w:lang w:val="fr-FR"/>
        </w:rPr>
        <w:t>pour le monde</w:t>
      </w:r>
      <w:r w:rsidRPr="00B6223C">
        <w:rPr>
          <w:rFonts w:ascii="Arial" w:hAnsi="Arial" w:cs="Arial"/>
          <w:sz w:val="22"/>
          <w:szCs w:val="22"/>
          <w:lang w:val="fr-FR"/>
        </w:rPr>
        <w:t xml:space="preserve"> arabe. La délégation est revenue sur l</w:t>
      </w:r>
      <w:r w:rsidR="008E532B">
        <w:rPr>
          <w:rFonts w:ascii="Arial" w:hAnsi="Arial" w:cs="Arial"/>
          <w:sz w:val="22"/>
          <w:szCs w:val="22"/>
          <w:lang w:val="fr-FR"/>
        </w:rPr>
        <w:t>’</w:t>
      </w:r>
      <w:r w:rsidRPr="00B6223C">
        <w:rPr>
          <w:rFonts w:ascii="Arial" w:hAnsi="Arial" w:cs="Arial"/>
          <w:sz w:val="22"/>
          <w:szCs w:val="22"/>
          <w:lang w:val="fr-FR"/>
        </w:rPr>
        <w:t xml:space="preserve">intervention très intéressante de Cuba </w:t>
      </w:r>
      <w:r>
        <w:rPr>
          <w:rFonts w:ascii="Arial" w:hAnsi="Arial" w:cs="Arial"/>
          <w:sz w:val="22"/>
          <w:szCs w:val="22"/>
          <w:lang w:val="fr-FR"/>
        </w:rPr>
        <w:t>à propos de</w:t>
      </w:r>
      <w:r w:rsidRPr="00B6223C">
        <w:rPr>
          <w:rFonts w:ascii="Arial" w:hAnsi="Arial" w:cs="Arial"/>
          <w:sz w:val="22"/>
          <w:szCs w:val="22"/>
          <w:lang w:val="fr-FR"/>
        </w:rPr>
        <w:t xml:space="preserve"> la nécessité de renforcer le mécanisme d</w:t>
      </w:r>
      <w:r w:rsidR="008E532B">
        <w:rPr>
          <w:rFonts w:ascii="Arial" w:hAnsi="Arial" w:cs="Arial"/>
          <w:sz w:val="22"/>
          <w:szCs w:val="22"/>
          <w:lang w:val="fr-FR"/>
        </w:rPr>
        <w:t>’</w:t>
      </w:r>
      <w:r w:rsidRPr="00B6223C">
        <w:rPr>
          <w:rFonts w:ascii="Arial" w:hAnsi="Arial" w:cs="Arial"/>
          <w:sz w:val="22"/>
          <w:szCs w:val="22"/>
          <w:lang w:val="fr-FR"/>
        </w:rPr>
        <w:t xml:space="preserve">accréditation. En effet, un meilleur équilibre géographique </w:t>
      </w:r>
      <w:r>
        <w:rPr>
          <w:rFonts w:ascii="Arial" w:hAnsi="Arial" w:cs="Arial"/>
          <w:sz w:val="22"/>
          <w:szCs w:val="22"/>
          <w:lang w:val="fr-FR"/>
        </w:rPr>
        <w:t>était essentiel</w:t>
      </w:r>
      <w:r w:rsidRPr="00B6223C">
        <w:rPr>
          <w:rFonts w:ascii="Arial" w:hAnsi="Arial" w:cs="Arial"/>
          <w:sz w:val="22"/>
          <w:szCs w:val="22"/>
          <w:lang w:val="fr-FR"/>
        </w:rPr>
        <w:t>. Il a</w:t>
      </w:r>
      <w:r>
        <w:rPr>
          <w:rFonts w:ascii="Arial" w:hAnsi="Arial" w:cs="Arial"/>
          <w:sz w:val="22"/>
          <w:szCs w:val="22"/>
          <w:lang w:val="fr-FR"/>
        </w:rPr>
        <w:t>vait</w:t>
      </w:r>
      <w:r w:rsidRPr="00B6223C">
        <w:rPr>
          <w:rFonts w:ascii="Arial" w:hAnsi="Arial" w:cs="Arial"/>
          <w:sz w:val="22"/>
          <w:szCs w:val="22"/>
          <w:lang w:val="fr-FR"/>
        </w:rPr>
        <w:t xml:space="preserve"> également été rappelé au cours de ce débat que les ONG </w:t>
      </w:r>
      <w:r>
        <w:rPr>
          <w:rFonts w:ascii="Arial" w:hAnsi="Arial" w:cs="Arial"/>
          <w:sz w:val="22"/>
          <w:szCs w:val="22"/>
          <w:lang w:val="fr-FR"/>
        </w:rPr>
        <w:t>étaient</w:t>
      </w:r>
      <w:r w:rsidRPr="00B6223C">
        <w:rPr>
          <w:rFonts w:ascii="Arial" w:hAnsi="Arial" w:cs="Arial"/>
          <w:sz w:val="22"/>
          <w:szCs w:val="22"/>
          <w:lang w:val="fr-FR"/>
        </w:rPr>
        <w:t xml:space="preserve"> non gouvernementales, mais qu</w:t>
      </w:r>
      <w:r w:rsidR="008E532B">
        <w:rPr>
          <w:rFonts w:ascii="Arial" w:hAnsi="Arial" w:cs="Arial"/>
          <w:sz w:val="22"/>
          <w:szCs w:val="22"/>
          <w:lang w:val="fr-FR"/>
        </w:rPr>
        <w:t>’</w:t>
      </w:r>
      <w:r w:rsidRPr="00B6223C">
        <w:rPr>
          <w:rFonts w:ascii="Arial" w:hAnsi="Arial" w:cs="Arial"/>
          <w:sz w:val="22"/>
          <w:szCs w:val="22"/>
          <w:lang w:val="fr-FR"/>
        </w:rPr>
        <w:t xml:space="preserve">elles </w:t>
      </w:r>
      <w:r>
        <w:rPr>
          <w:rFonts w:ascii="Arial" w:hAnsi="Arial" w:cs="Arial"/>
          <w:sz w:val="22"/>
          <w:szCs w:val="22"/>
          <w:lang w:val="fr-FR"/>
        </w:rPr>
        <w:t xml:space="preserve">étaient </w:t>
      </w:r>
      <w:r w:rsidRPr="00B6223C">
        <w:rPr>
          <w:rFonts w:ascii="Arial" w:hAnsi="Arial" w:cs="Arial"/>
          <w:sz w:val="22"/>
          <w:szCs w:val="22"/>
          <w:lang w:val="fr-FR"/>
        </w:rPr>
        <w:t xml:space="preserve">également autorisées par les gouvernements, </w:t>
      </w:r>
      <w:r>
        <w:rPr>
          <w:rFonts w:ascii="Arial" w:hAnsi="Arial" w:cs="Arial"/>
          <w:sz w:val="22"/>
          <w:szCs w:val="22"/>
          <w:lang w:val="fr-FR"/>
        </w:rPr>
        <w:t>c.-à-d.</w:t>
      </w:r>
      <w:r w:rsidRPr="00B6223C">
        <w:rPr>
          <w:rFonts w:ascii="Arial" w:hAnsi="Arial" w:cs="Arial"/>
          <w:sz w:val="22"/>
          <w:szCs w:val="22"/>
          <w:lang w:val="fr-FR"/>
        </w:rPr>
        <w:t xml:space="preserve"> qu</w:t>
      </w:r>
      <w:r w:rsidR="008E532B">
        <w:rPr>
          <w:rFonts w:ascii="Arial" w:hAnsi="Arial" w:cs="Arial"/>
          <w:sz w:val="22"/>
          <w:szCs w:val="22"/>
          <w:lang w:val="fr-FR"/>
        </w:rPr>
        <w:t>’</w:t>
      </w:r>
      <w:r w:rsidRPr="00B6223C">
        <w:rPr>
          <w:rFonts w:ascii="Arial" w:hAnsi="Arial" w:cs="Arial"/>
          <w:sz w:val="22"/>
          <w:szCs w:val="22"/>
          <w:lang w:val="fr-FR"/>
        </w:rPr>
        <w:t>il n</w:t>
      </w:r>
      <w:r w:rsidR="008E532B">
        <w:rPr>
          <w:rFonts w:ascii="Arial" w:hAnsi="Arial" w:cs="Arial"/>
          <w:sz w:val="22"/>
          <w:szCs w:val="22"/>
          <w:lang w:val="fr-FR"/>
        </w:rPr>
        <w:t>’</w:t>
      </w:r>
      <w:r w:rsidRPr="00B6223C">
        <w:rPr>
          <w:rFonts w:ascii="Arial" w:hAnsi="Arial" w:cs="Arial"/>
          <w:sz w:val="22"/>
          <w:szCs w:val="22"/>
          <w:lang w:val="fr-FR"/>
        </w:rPr>
        <w:t>exist</w:t>
      </w:r>
      <w:r>
        <w:rPr>
          <w:rFonts w:ascii="Arial" w:hAnsi="Arial" w:cs="Arial"/>
          <w:sz w:val="22"/>
          <w:szCs w:val="22"/>
          <w:lang w:val="fr-FR"/>
        </w:rPr>
        <w:t>ait</w:t>
      </w:r>
      <w:r w:rsidRPr="00B6223C">
        <w:rPr>
          <w:rFonts w:ascii="Arial" w:hAnsi="Arial" w:cs="Arial"/>
          <w:sz w:val="22"/>
          <w:szCs w:val="22"/>
          <w:lang w:val="fr-FR"/>
        </w:rPr>
        <w:t xml:space="preserve"> pas d</w:t>
      </w:r>
      <w:r w:rsidR="008E532B">
        <w:rPr>
          <w:rFonts w:ascii="Arial" w:hAnsi="Arial" w:cs="Arial"/>
          <w:sz w:val="22"/>
          <w:szCs w:val="22"/>
          <w:lang w:val="fr-FR"/>
        </w:rPr>
        <w:t>’</w:t>
      </w:r>
      <w:r w:rsidRPr="00B6223C">
        <w:rPr>
          <w:rFonts w:ascii="Arial" w:hAnsi="Arial" w:cs="Arial"/>
          <w:sz w:val="22"/>
          <w:szCs w:val="22"/>
          <w:lang w:val="fr-FR"/>
        </w:rPr>
        <w:t xml:space="preserve">ONG supranationale, elles </w:t>
      </w:r>
      <w:r>
        <w:rPr>
          <w:rFonts w:ascii="Arial" w:hAnsi="Arial" w:cs="Arial"/>
          <w:sz w:val="22"/>
          <w:szCs w:val="22"/>
          <w:lang w:val="fr-FR"/>
        </w:rPr>
        <w:t>avaient</w:t>
      </w:r>
      <w:r w:rsidRPr="00B6223C">
        <w:rPr>
          <w:rFonts w:ascii="Arial" w:hAnsi="Arial" w:cs="Arial"/>
          <w:sz w:val="22"/>
          <w:szCs w:val="22"/>
          <w:lang w:val="fr-FR"/>
        </w:rPr>
        <w:t xml:space="preserve"> avant tout une portée nationale. La délégation </w:t>
      </w:r>
      <w:r>
        <w:rPr>
          <w:rFonts w:ascii="Arial" w:hAnsi="Arial" w:cs="Arial"/>
          <w:sz w:val="22"/>
          <w:szCs w:val="22"/>
          <w:lang w:val="fr-FR"/>
        </w:rPr>
        <w:t xml:space="preserve">convenait </w:t>
      </w:r>
      <w:r w:rsidRPr="00B6223C">
        <w:rPr>
          <w:rFonts w:ascii="Arial" w:hAnsi="Arial" w:cs="Arial"/>
          <w:sz w:val="22"/>
          <w:szCs w:val="22"/>
          <w:lang w:val="fr-FR"/>
        </w:rPr>
        <w:t>également</w:t>
      </w:r>
      <w:r>
        <w:rPr>
          <w:rFonts w:ascii="Arial" w:hAnsi="Arial" w:cs="Arial"/>
          <w:sz w:val="22"/>
          <w:szCs w:val="22"/>
          <w:lang w:val="fr-FR"/>
        </w:rPr>
        <w:t xml:space="preserve"> </w:t>
      </w:r>
      <w:r w:rsidRPr="00B6223C">
        <w:rPr>
          <w:rFonts w:ascii="Arial" w:hAnsi="Arial" w:cs="Arial"/>
          <w:sz w:val="22"/>
          <w:szCs w:val="22"/>
          <w:lang w:val="fr-FR"/>
        </w:rPr>
        <w:t>que les ONG d</w:t>
      </w:r>
      <w:r>
        <w:rPr>
          <w:rFonts w:ascii="Arial" w:hAnsi="Arial" w:cs="Arial"/>
          <w:sz w:val="22"/>
          <w:szCs w:val="22"/>
          <w:lang w:val="fr-FR"/>
        </w:rPr>
        <w:t>evaient</w:t>
      </w:r>
      <w:r w:rsidRPr="00B6223C">
        <w:rPr>
          <w:rFonts w:ascii="Arial" w:hAnsi="Arial" w:cs="Arial"/>
          <w:sz w:val="22"/>
          <w:szCs w:val="22"/>
          <w:lang w:val="fr-FR"/>
        </w:rPr>
        <w:t xml:space="preserve"> être scrupuleusement évaluées quant à leur compétence en matière de patrimoine immatériel. Par le passé, des ONG </w:t>
      </w:r>
      <w:r>
        <w:rPr>
          <w:rFonts w:ascii="Arial" w:hAnsi="Arial" w:cs="Arial"/>
          <w:sz w:val="22"/>
          <w:szCs w:val="22"/>
          <w:lang w:val="fr-FR"/>
        </w:rPr>
        <w:t>avaient</w:t>
      </w:r>
      <w:r w:rsidRPr="00B6223C">
        <w:rPr>
          <w:rFonts w:ascii="Arial" w:hAnsi="Arial" w:cs="Arial"/>
          <w:sz w:val="22"/>
          <w:szCs w:val="22"/>
          <w:lang w:val="fr-FR"/>
        </w:rPr>
        <w:t xml:space="preserve"> été accréditées alors même qu</w:t>
      </w:r>
      <w:r w:rsidR="008E532B">
        <w:rPr>
          <w:rFonts w:ascii="Arial" w:hAnsi="Arial" w:cs="Arial"/>
          <w:sz w:val="22"/>
          <w:szCs w:val="22"/>
          <w:lang w:val="fr-FR"/>
        </w:rPr>
        <w:t>’</w:t>
      </w:r>
      <w:r w:rsidRPr="00B6223C">
        <w:rPr>
          <w:rFonts w:ascii="Arial" w:hAnsi="Arial" w:cs="Arial"/>
          <w:sz w:val="22"/>
          <w:szCs w:val="22"/>
          <w:lang w:val="fr-FR"/>
        </w:rPr>
        <w:t>elles ne présentaient pas les critères requis sur les questions de compétence et de spécialisation en matière de patrimoine, notamment immatériel. Il y a</w:t>
      </w:r>
      <w:r>
        <w:rPr>
          <w:rFonts w:ascii="Arial" w:hAnsi="Arial" w:cs="Arial"/>
          <w:sz w:val="22"/>
          <w:szCs w:val="22"/>
          <w:lang w:val="fr-FR"/>
        </w:rPr>
        <w:t>vait</w:t>
      </w:r>
      <w:r w:rsidRPr="00B6223C">
        <w:rPr>
          <w:rFonts w:ascii="Arial" w:hAnsi="Arial" w:cs="Arial"/>
          <w:sz w:val="22"/>
          <w:szCs w:val="22"/>
          <w:lang w:val="fr-FR"/>
        </w:rPr>
        <w:t xml:space="preserve"> du travail à faire à ce</w:t>
      </w:r>
      <w:r>
        <w:rPr>
          <w:rFonts w:ascii="Arial" w:hAnsi="Arial" w:cs="Arial"/>
          <w:sz w:val="22"/>
          <w:szCs w:val="22"/>
          <w:lang w:val="fr-FR"/>
        </w:rPr>
        <w:t xml:space="preserve"> sujet</w:t>
      </w:r>
      <w:r w:rsidRPr="00B6223C">
        <w:rPr>
          <w:rFonts w:ascii="Arial" w:hAnsi="Arial" w:cs="Arial"/>
          <w:sz w:val="22"/>
          <w:szCs w:val="22"/>
          <w:lang w:val="fr-FR"/>
        </w:rPr>
        <w:t>, d</w:t>
      </w:r>
      <w:r w:rsidR="008E532B">
        <w:rPr>
          <w:rFonts w:ascii="Arial" w:hAnsi="Arial" w:cs="Arial"/>
          <w:sz w:val="22"/>
          <w:szCs w:val="22"/>
          <w:lang w:val="fr-FR"/>
        </w:rPr>
        <w:t>’</w:t>
      </w:r>
      <w:r w:rsidRPr="00B6223C">
        <w:rPr>
          <w:rFonts w:ascii="Arial" w:hAnsi="Arial" w:cs="Arial"/>
          <w:sz w:val="22"/>
          <w:szCs w:val="22"/>
          <w:lang w:val="fr-FR"/>
        </w:rPr>
        <w:t>où l</w:t>
      </w:r>
      <w:r w:rsidR="008E532B">
        <w:rPr>
          <w:rFonts w:ascii="Arial" w:hAnsi="Arial" w:cs="Arial"/>
          <w:sz w:val="22"/>
          <w:szCs w:val="22"/>
          <w:lang w:val="fr-FR"/>
        </w:rPr>
        <w:t>’</w:t>
      </w:r>
      <w:r w:rsidRPr="00B6223C">
        <w:rPr>
          <w:rFonts w:ascii="Arial" w:hAnsi="Arial" w:cs="Arial"/>
          <w:sz w:val="22"/>
          <w:szCs w:val="22"/>
          <w:lang w:val="fr-FR"/>
        </w:rPr>
        <w:t>importance de cette discussion qui, bien que longue, a</w:t>
      </w:r>
      <w:r>
        <w:rPr>
          <w:rFonts w:ascii="Arial" w:hAnsi="Arial" w:cs="Arial"/>
          <w:sz w:val="22"/>
          <w:szCs w:val="22"/>
          <w:lang w:val="fr-FR"/>
        </w:rPr>
        <w:t>vait</w:t>
      </w:r>
      <w:r w:rsidRPr="00B6223C">
        <w:rPr>
          <w:rFonts w:ascii="Arial" w:hAnsi="Arial" w:cs="Arial"/>
          <w:sz w:val="22"/>
          <w:szCs w:val="22"/>
          <w:lang w:val="fr-FR"/>
        </w:rPr>
        <w:t xml:space="preserve"> progressivement évolué vers un consensus. La délégation a fait remarquer que tous les États parties étaient d</w:t>
      </w:r>
      <w:r w:rsidR="008E532B">
        <w:rPr>
          <w:rFonts w:ascii="Arial" w:hAnsi="Arial" w:cs="Arial"/>
          <w:sz w:val="22"/>
          <w:szCs w:val="22"/>
          <w:lang w:val="fr-FR"/>
        </w:rPr>
        <w:t>’</w:t>
      </w:r>
      <w:r w:rsidRPr="00B6223C">
        <w:rPr>
          <w:rFonts w:ascii="Arial" w:hAnsi="Arial" w:cs="Arial"/>
          <w:sz w:val="22"/>
          <w:szCs w:val="22"/>
          <w:lang w:val="fr-FR"/>
        </w:rPr>
        <w:t>accord sur le principe d</w:t>
      </w:r>
      <w:r w:rsidR="008E532B">
        <w:rPr>
          <w:rFonts w:ascii="Arial" w:hAnsi="Arial" w:cs="Arial"/>
          <w:sz w:val="22"/>
          <w:szCs w:val="22"/>
          <w:lang w:val="fr-FR"/>
        </w:rPr>
        <w:t>’</w:t>
      </w:r>
      <w:r w:rsidRPr="00B6223C">
        <w:rPr>
          <w:rFonts w:ascii="Arial" w:hAnsi="Arial" w:cs="Arial"/>
          <w:sz w:val="22"/>
          <w:szCs w:val="22"/>
          <w:lang w:val="fr-FR"/>
        </w:rPr>
        <w:t>inclusi</w:t>
      </w:r>
      <w:r>
        <w:rPr>
          <w:rFonts w:ascii="Arial" w:hAnsi="Arial" w:cs="Arial"/>
          <w:sz w:val="22"/>
          <w:szCs w:val="22"/>
          <w:lang w:val="fr-FR"/>
        </w:rPr>
        <w:t>vité</w:t>
      </w:r>
      <w:r w:rsidRPr="00B6223C">
        <w:rPr>
          <w:rFonts w:ascii="Arial" w:hAnsi="Arial" w:cs="Arial"/>
          <w:sz w:val="22"/>
          <w:szCs w:val="22"/>
          <w:lang w:val="fr-FR"/>
        </w:rPr>
        <w:t xml:space="preserve"> et que le plus grand nombre possible d</w:t>
      </w:r>
      <w:r w:rsidR="008E532B">
        <w:rPr>
          <w:rFonts w:ascii="Arial" w:hAnsi="Arial" w:cs="Arial"/>
          <w:sz w:val="22"/>
          <w:szCs w:val="22"/>
          <w:lang w:val="fr-FR"/>
        </w:rPr>
        <w:t>’</w:t>
      </w:r>
      <w:r w:rsidRPr="00B6223C">
        <w:rPr>
          <w:rFonts w:ascii="Arial" w:hAnsi="Arial" w:cs="Arial"/>
          <w:sz w:val="22"/>
          <w:szCs w:val="22"/>
          <w:lang w:val="fr-FR"/>
        </w:rPr>
        <w:t>ONG devait être impliqué dans la Convention. Toutefois, pour y parvenir, des ajustements et des changements d</w:t>
      </w:r>
      <w:r>
        <w:rPr>
          <w:rFonts w:ascii="Arial" w:hAnsi="Arial" w:cs="Arial"/>
          <w:sz w:val="22"/>
          <w:szCs w:val="22"/>
          <w:lang w:val="fr-FR"/>
        </w:rPr>
        <w:t>evaient</w:t>
      </w:r>
      <w:r w:rsidRPr="00B6223C">
        <w:rPr>
          <w:rFonts w:ascii="Arial" w:hAnsi="Arial" w:cs="Arial"/>
          <w:sz w:val="22"/>
          <w:szCs w:val="22"/>
          <w:lang w:val="fr-FR"/>
        </w:rPr>
        <w:t xml:space="preserve"> être apportés pour remédier au déséquilibre du nombre d</w:t>
      </w:r>
      <w:r w:rsidR="008E532B">
        <w:rPr>
          <w:rFonts w:ascii="Arial" w:hAnsi="Arial" w:cs="Arial"/>
          <w:sz w:val="22"/>
          <w:szCs w:val="22"/>
          <w:lang w:val="fr-FR"/>
        </w:rPr>
        <w:t>’</w:t>
      </w:r>
      <w:r w:rsidRPr="00B6223C">
        <w:rPr>
          <w:rFonts w:ascii="Arial" w:hAnsi="Arial" w:cs="Arial"/>
          <w:sz w:val="22"/>
          <w:szCs w:val="22"/>
          <w:lang w:val="fr-FR"/>
        </w:rPr>
        <w:t xml:space="preserve">ONG. En effet, il </w:t>
      </w:r>
      <w:r>
        <w:rPr>
          <w:rFonts w:ascii="Arial" w:hAnsi="Arial" w:cs="Arial"/>
          <w:sz w:val="22"/>
          <w:szCs w:val="22"/>
          <w:lang w:val="fr-FR"/>
        </w:rPr>
        <w:t>était</w:t>
      </w:r>
      <w:r w:rsidRPr="00B6223C">
        <w:rPr>
          <w:rFonts w:ascii="Arial" w:hAnsi="Arial" w:cs="Arial"/>
          <w:sz w:val="22"/>
          <w:szCs w:val="22"/>
          <w:lang w:val="fr-FR"/>
        </w:rPr>
        <w:t xml:space="preserve"> inacceptable qu</w:t>
      </w:r>
      <w:r w:rsidR="008E532B">
        <w:rPr>
          <w:rFonts w:ascii="Arial" w:hAnsi="Arial" w:cs="Arial"/>
          <w:sz w:val="22"/>
          <w:szCs w:val="22"/>
          <w:lang w:val="fr-FR"/>
        </w:rPr>
        <w:t>’</w:t>
      </w:r>
      <w:r w:rsidRPr="00B6223C">
        <w:rPr>
          <w:rFonts w:ascii="Arial" w:hAnsi="Arial" w:cs="Arial"/>
          <w:sz w:val="22"/>
          <w:szCs w:val="22"/>
          <w:lang w:val="fr-FR"/>
        </w:rPr>
        <w:t>il y ait si peu d</w:t>
      </w:r>
      <w:r w:rsidR="008E532B">
        <w:rPr>
          <w:rFonts w:ascii="Arial" w:hAnsi="Arial" w:cs="Arial"/>
          <w:sz w:val="22"/>
          <w:szCs w:val="22"/>
          <w:lang w:val="fr-FR"/>
        </w:rPr>
        <w:t>’</w:t>
      </w:r>
      <w:r w:rsidRPr="00B6223C">
        <w:rPr>
          <w:rFonts w:ascii="Arial" w:hAnsi="Arial" w:cs="Arial"/>
          <w:sz w:val="22"/>
          <w:szCs w:val="22"/>
          <w:lang w:val="fr-FR"/>
        </w:rPr>
        <w:t>ONG en Afrique aujourd</w:t>
      </w:r>
      <w:r w:rsidR="008E532B">
        <w:rPr>
          <w:rFonts w:ascii="Arial" w:hAnsi="Arial" w:cs="Arial"/>
          <w:sz w:val="22"/>
          <w:szCs w:val="22"/>
          <w:lang w:val="fr-FR"/>
        </w:rPr>
        <w:t>’</w:t>
      </w:r>
      <w:r w:rsidRPr="00B6223C">
        <w:rPr>
          <w:rFonts w:ascii="Arial" w:hAnsi="Arial" w:cs="Arial"/>
          <w:sz w:val="22"/>
          <w:szCs w:val="22"/>
          <w:lang w:val="fr-FR"/>
        </w:rPr>
        <w:t>hui, simplement parce qu</w:t>
      </w:r>
      <w:r w:rsidR="008E532B">
        <w:rPr>
          <w:rFonts w:ascii="Arial" w:hAnsi="Arial" w:cs="Arial"/>
          <w:sz w:val="22"/>
          <w:szCs w:val="22"/>
          <w:lang w:val="fr-FR"/>
        </w:rPr>
        <w:t>’</w:t>
      </w:r>
      <w:r w:rsidRPr="00B6223C">
        <w:rPr>
          <w:rFonts w:ascii="Arial" w:hAnsi="Arial" w:cs="Arial"/>
          <w:sz w:val="22"/>
          <w:szCs w:val="22"/>
          <w:lang w:val="fr-FR"/>
        </w:rPr>
        <w:t>il n</w:t>
      </w:r>
      <w:r w:rsidR="008E532B">
        <w:rPr>
          <w:rFonts w:ascii="Arial" w:hAnsi="Arial" w:cs="Arial"/>
          <w:sz w:val="22"/>
          <w:szCs w:val="22"/>
          <w:lang w:val="fr-FR"/>
        </w:rPr>
        <w:t>’</w:t>
      </w:r>
      <w:r w:rsidRPr="00B6223C">
        <w:rPr>
          <w:rFonts w:ascii="Arial" w:hAnsi="Arial" w:cs="Arial"/>
          <w:sz w:val="22"/>
          <w:szCs w:val="22"/>
          <w:lang w:val="fr-FR"/>
        </w:rPr>
        <w:t>y a</w:t>
      </w:r>
      <w:r>
        <w:rPr>
          <w:rFonts w:ascii="Arial" w:hAnsi="Arial" w:cs="Arial"/>
          <w:sz w:val="22"/>
          <w:szCs w:val="22"/>
          <w:lang w:val="fr-FR"/>
        </w:rPr>
        <w:t>vait</w:t>
      </w:r>
      <w:r w:rsidRPr="00B6223C">
        <w:rPr>
          <w:rFonts w:ascii="Arial" w:hAnsi="Arial" w:cs="Arial"/>
          <w:sz w:val="22"/>
          <w:szCs w:val="22"/>
          <w:lang w:val="fr-FR"/>
        </w:rPr>
        <w:t xml:space="preserve"> pas d</w:t>
      </w:r>
      <w:r w:rsidR="008E532B">
        <w:rPr>
          <w:rFonts w:ascii="Arial" w:hAnsi="Arial" w:cs="Arial"/>
          <w:sz w:val="22"/>
          <w:szCs w:val="22"/>
          <w:lang w:val="fr-FR"/>
        </w:rPr>
        <w:t>’</w:t>
      </w:r>
      <w:r>
        <w:rPr>
          <w:rFonts w:ascii="Arial" w:hAnsi="Arial" w:cs="Arial"/>
          <w:sz w:val="22"/>
          <w:szCs w:val="22"/>
          <w:lang w:val="fr-FR"/>
        </w:rPr>
        <w:t>accompagnement</w:t>
      </w:r>
      <w:r w:rsidRPr="00B6223C">
        <w:rPr>
          <w:rFonts w:ascii="Arial" w:hAnsi="Arial" w:cs="Arial"/>
          <w:sz w:val="22"/>
          <w:szCs w:val="22"/>
          <w:lang w:val="fr-FR"/>
        </w:rPr>
        <w:t>. Le renforcement des capacités offr</w:t>
      </w:r>
      <w:r>
        <w:rPr>
          <w:rFonts w:ascii="Arial" w:hAnsi="Arial" w:cs="Arial"/>
          <w:sz w:val="22"/>
          <w:szCs w:val="22"/>
          <w:lang w:val="fr-FR"/>
        </w:rPr>
        <w:t>ait</w:t>
      </w:r>
      <w:r w:rsidRPr="00B6223C">
        <w:rPr>
          <w:rFonts w:ascii="Arial" w:hAnsi="Arial" w:cs="Arial"/>
          <w:sz w:val="22"/>
          <w:szCs w:val="22"/>
          <w:lang w:val="fr-FR"/>
        </w:rPr>
        <w:t xml:space="preserve"> une opportunité, en ce qui concerne l</w:t>
      </w:r>
      <w:r w:rsidR="008E532B">
        <w:rPr>
          <w:rFonts w:ascii="Arial" w:hAnsi="Arial" w:cs="Arial"/>
          <w:sz w:val="22"/>
          <w:szCs w:val="22"/>
          <w:lang w:val="fr-FR"/>
        </w:rPr>
        <w:t>’</w:t>
      </w:r>
      <w:r w:rsidRPr="00B6223C">
        <w:rPr>
          <w:rFonts w:ascii="Arial" w:hAnsi="Arial" w:cs="Arial"/>
          <w:sz w:val="22"/>
          <w:szCs w:val="22"/>
          <w:lang w:val="fr-FR"/>
        </w:rPr>
        <w:t>Afrique, d</w:t>
      </w:r>
      <w:r>
        <w:rPr>
          <w:rFonts w:ascii="Arial" w:hAnsi="Arial" w:cs="Arial"/>
          <w:sz w:val="22"/>
          <w:szCs w:val="22"/>
          <w:lang w:val="fr-FR"/>
        </w:rPr>
        <w:t xml:space="preserve">e traiter </w:t>
      </w:r>
      <w:r w:rsidRPr="00B6223C">
        <w:rPr>
          <w:rFonts w:ascii="Arial" w:hAnsi="Arial" w:cs="Arial"/>
          <w:sz w:val="22"/>
          <w:szCs w:val="22"/>
          <w:lang w:val="fr-FR"/>
        </w:rPr>
        <w:t>et de réduire ce déséquilibre. La délégation s</w:t>
      </w:r>
      <w:r w:rsidR="008E532B">
        <w:rPr>
          <w:rFonts w:ascii="Arial" w:hAnsi="Arial" w:cs="Arial"/>
          <w:sz w:val="22"/>
          <w:szCs w:val="22"/>
          <w:lang w:val="fr-FR"/>
        </w:rPr>
        <w:t>’</w:t>
      </w:r>
      <w:r w:rsidRPr="00B6223C">
        <w:rPr>
          <w:rFonts w:ascii="Arial" w:hAnsi="Arial" w:cs="Arial"/>
          <w:sz w:val="22"/>
          <w:szCs w:val="22"/>
          <w:lang w:val="fr-FR"/>
        </w:rPr>
        <w:t>est réjouie de cette discussion franche et de cet échange constructif qui permettr</w:t>
      </w:r>
      <w:r>
        <w:rPr>
          <w:rFonts w:ascii="Arial" w:hAnsi="Arial" w:cs="Arial"/>
          <w:sz w:val="22"/>
          <w:szCs w:val="22"/>
          <w:lang w:val="fr-FR"/>
        </w:rPr>
        <w:t>aie</w:t>
      </w:r>
      <w:r w:rsidRPr="00B6223C">
        <w:rPr>
          <w:rFonts w:ascii="Arial" w:hAnsi="Arial" w:cs="Arial"/>
          <w:sz w:val="22"/>
          <w:szCs w:val="22"/>
          <w:lang w:val="fr-FR"/>
        </w:rPr>
        <w:t xml:space="preserve">nt de </w:t>
      </w:r>
      <w:r>
        <w:rPr>
          <w:rFonts w:ascii="Arial" w:hAnsi="Arial" w:cs="Arial"/>
          <w:sz w:val="22"/>
          <w:szCs w:val="22"/>
          <w:lang w:val="fr-FR"/>
        </w:rPr>
        <w:t>parvenir à</w:t>
      </w:r>
      <w:r w:rsidRPr="00B6223C">
        <w:rPr>
          <w:rFonts w:ascii="Arial" w:hAnsi="Arial" w:cs="Arial"/>
          <w:sz w:val="22"/>
          <w:szCs w:val="22"/>
          <w:lang w:val="fr-FR"/>
        </w:rPr>
        <w:t xml:space="preserve"> ce que tous les </w:t>
      </w:r>
      <w:r>
        <w:rPr>
          <w:rFonts w:ascii="Arial" w:hAnsi="Arial" w:cs="Arial"/>
          <w:sz w:val="22"/>
          <w:szCs w:val="22"/>
          <w:lang w:val="fr-FR"/>
        </w:rPr>
        <w:t>É</w:t>
      </w:r>
      <w:r w:rsidRPr="00B6223C">
        <w:rPr>
          <w:rFonts w:ascii="Arial" w:hAnsi="Arial" w:cs="Arial"/>
          <w:sz w:val="22"/>
          <w:szCs w:val="22"/>
          <w:lang w:val="fr-FR"/>
        </w:rPr>
        <w:t>tats parties souhait</w:t>
      </w:r>
      <w:r>
        <w:rPr>
          <w:rFonts w:ascii="Arial" w:hAnsi="Arial" w:cs="Arial"/>
          <w:sz w:val="22"/>
          <w:szCs w:val="22"/>
          <w:lang w:val="fr-FR"/>
        </w:rPr>
        <w:t>ai</w:t>
      </w:r>
      <w:r w:rsidRPr="00B6223C">
        <w:rPr>
          <w:rFonts w:ascii="Arial" w:hAnsi="Arial" w:cs="Arial"/>
          <w:sz w:val="22"/>
          <w:szCs w:val="22"/>
          <w:lang w:val="fr-FR"/>
        </w:rPr>
        <w:t>ent, à savoir que la Convention fonctionne de la meilleure façon possible, en intégrant tous les acteurs pour sa mise en œuvre dans les meilleures conditions.</w:t>
      </w:r>
    </w:p>
    <w:p w14:paraId="32194FA5" w14:textId="188C72F2" w:rsidR="00D9653F" w:rsidRPr="007B045D"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7B045D">
        <w:rPr>
          <w:rFonts w:ascii="Arial" w:hAnsi="Arial" w:cs="Arial"/>
          <w:sz w:val="22"/>
          <w:szCs w:val="22"/>
          <w:lang w:val="fr-FR"/>
        </w:rPr>
        <w:t xml:space="preserve">La délégation </w:t>
      </w:r>
      <w:r>
        <w:rPr>
          <w:rFonts w:ascii="Arial" w:hAnsi="Arial" w:cs="Arial"/>
          <w:sz w:val="22"/>
          <w:szCs w:val="22"/>
          <w:lang w:val="fr-FR"/>
        </w:rPr>
        <w:t xml:space="preserve">de la </w:t>
      </w:r>
      <w:r w:rsidRPr="007B045D">
        <w:rPr>
          <w:rFonts w:ascii="Arial" w:hAnsi="Arial" w:cs="Arial"/>
          <w:b/>
          <w:bCs/>
          <w:sz w:val="22"/>
          <w:szCs w:val="22"/>
          <w:lang w:val="fr-FR"/>
        </w:rPr>
        <w:t>Lituanie</w:t>
      </w:r>
      <w:r w:rsidRPr="007B045D">
        <w:rPr>
          <w:rFonts w:ascii="Arial" w:hAnsi="Arial" w:cs="Arial"/>
          <w:sz w:val="22"/>
          <w:szCs w:val="22"/>
          <w:lang w:val="fr-FR"/>
        </w:rPr>
        <w:t xml:space="preserve"> souten</w:t>
      </w:r>
      <w:r>
        <w:rPr>
          <w:rFonts w:ascii="Arial" w:hAnsi="Arial" w:cs="Arial"/>
          <w:sz w:val="22"/>
          <w:szCs w:val="22"/>
          <w:lang w:val="fr-FR"/>
        </w:rPr>
        <w:t>ait</w:t>
      </w:r>
      <w:r w:rsidRPr="007B045D">
        <w:rPr>
          <w:rFonts w:ascii="Arial" w:hAnsi="Arial" w:cs="Arial"/>
          <w:sz w:val="22"/>
          <w:szCs w:val="22"/>
          <w:lang w:val="fr-FR"/>
        </w:rPr>
        <w:t xml:space="preserve"> les positions exprimées par plusieurs délégations, notamment l</w:t>
      </w:r>
      <w:r w:rsidR="008E532B">
        <w:rPr>
          <w:rFonts w:ascii="Arial" w:hAnsi="Arial" w:cs="Arial"/>
          <w:sz w:val="22"/>
          <w:szCs w:val="22"/>
          <w:lang w:val="fr-FR"/>
        </w:rPr>
        <w:t>’</w:t>
      </w:r>
      <w:r w:rsidRPr="007B045D">
        <w:rPr>
          <w:rFonts w:ascii="Arial" w:hAnsi="Arial" w:cs="Arial"/>
          <w:sz w:val="22"/>
          <w:szCs w:val="22"/>
          <w:lang w:val="fr-FR"/>
        </w:rPr>
        <w:t>Autriche, l</w:t>
      </w:r>
      <w:r w:rsidR="008E532B">
        <w:rPr>
          <w:rFonts w:ascii="Arial" w:hAnsi="Arial" w:cs="Arial"/>
          <w:sz w:val="22"/>
          <w:szCs w:val="22"/>
          <w:lang w:val="fr-FR"/>
        </w:rPr>
        <w:t>’</w:t>
      </w:r>
      <w:r w:rsidRPr="007B045D">
        <w:rPr>
          <w:rFonts w:ascii="Arial" w:hAnsi="Arial" w:cs="Arial"/>
          <w:sz w:val="22"/>
          <w:szCs w:val="22"/>
          <w:lang w:val="fr-FR"/>
        </w:rPr>
        <w:t>Estonie, la Tchéquie, la Grèce, les Pays-Bas, la Suède, la Slovaquie, l</w:t>
      </w:r>
      <w:r w:rsidR="008E532B">
        <w:rPr>
          <w:rFonts w:ascii="Arial" w:hAnsi="Arial" w:cs="Arial"/>
          <w:sz w:val="22"/>
          <w:szCs w:val="22"/>
          <w:lang w:val="fr-FR"/>
        </w:rPr>
        <w:t>’</w:t>
      </w:r>
      <w:r w:rsidRPr="007B045D">
        <w:rPr>
          <w:rFonts w:ascii="Arial" w:hAnsi="Arial" w:cs="Arial"/>
          <w:sz w:val="22"/>
          <w:szCs w:val="22"/>
          <w:lang w:val="fr-FR"/>
        </w:rPr>
        <w:t>Allemagne, la Norvège, la Pologne et bien d</w:t>
      </w:r>
      <w:r w:rsidR="008E532B">
        <w:rPr>
          <w:rFonts w:ascii="Arial" w:hAnsi="Arial" w:cs="Arial"/>
          <w:sz w:val="22"/>
          <w:szCs w:val="22"/>
          <w:lang w:val="fr-FR"/>
        </w:rPr>
        <w:t>’</w:t>
      </w:r>
      <w:r w:rsidRPr="007B045D">
        <w:rPr>
          <w:rFonts w:ascii="Arial" w:hAnsi="Arial" w:cs="Arial"/>
          <w:sz w:val="22"/>
          <w:szCs w:val="22"/>
          <w:lang w:val="fr-FR"/>
        </w:rPr>
        <w:t>autres qui s</w:t>
      </w:r>
      <w:r w:rsidR="008E532B">
        <w:rPr>
          <w:rFonts w:ascii="Arial" w:hAnsi="Arial" w:cs="Arial"/>
          <w:sz w:val="22"/>
          <w:szCs w:val="22"/>
          <w:lang w:val="fr-FR"/>
        </w:rPr>
        <w:t>’</w:t>
      </w:r>
      <w:r>
        <w:rPr>
          <w:rFonts w:ascii="Arial" w:hAnsi="Arial" w:cs="Arial"/>
          <w:sz w:val="22"/>
          <w:szCs w:val="22"/>
          <w:lang w:val="fr-FR"/>
        </w:rPr>
        <w:t>étaient</w:t>
      </w:r>
      <w:r w:rsidRPr="007B045D">
        <w:rPr>
          <w:rFonts w:ascii="Arial" w:hAnsi="Arial" w:cs="Arial"/>
          <w:sz w:val="22"/>
          <w:szCs w:val="22"/>
          <w:lang w:val="fr-FR"/>
        </w:rPr>
        <w:t xml:space="preserve"> prononcés en faveur de l</w:t>
      </w:r>
      <w:r w:rsidR="008E532B">
        <w:rPr>
          <w:rFonts w:ascii="Arial" w:hAnsi="Arial" w:cs="Arial"/>
          <w:sz w:val="22"/>
          <w:szCs w:val="22"/>
          <w:lang w:val="fr-FR"/>
        </w:rPr>
        <w:t>’</w:t>
      </w:r>
      <w:r w:rsidRPr="007B045D">
        <w:rPr>
          <w:rFonts w:ascii="Arial" w:hAnsi="Arial" w:cs="Arial"/>
          <w:sz w:val="22"/>
          <w:szCs w:val="22"/>
          <w:lang w:val="fr-FR"/>
        </w:rPr>
        <w:t>extension de l</w:t>
      </w:r>
      <w:r w:rsidR="008E532B">
        <w:rPr>
          <w:rFonts w:ascii="Arial" w:hAnsi="Arial" w:cs="Arial"/>
          <w:sz w:val="22"/>
          <w:szCs w:val="22"/>
          <w:lang w:val="fr-FR"/>
        </w:rPr>
        <w:t>’</w:t>
      </w:r>
      <w:r w:rsidRPr="007B045D">
        <w:rPr>
          <w:rFonts w:ascii="Arial" w:hAnsi="Arial" w:cs="Arial"/>
          <w:sz w:val="22"/>
          <w:szCs w:val="22"/>
          <w:lang w:val="fr-FR"/>
        </w:rPr>
        <w:t xml:space="preserve">accréditation aux ONG de pays non parties à la Convention. Elle </w:t>
      </w:r>
      <w:r>
        <w:rPr>
          <w:rFonts w:ascii="Arial" w:hAnsi="Arial" w:cs="Arial"/>
          <w:sz w:val="22"/>
          <w:szCs w:val="22"/>
          <w:lang w:val="fr-FR"/>
        </w:rPr>
        <w:t xml:space="preserve">estimait </w:t>
      </w:r>
      <w:r w:rsidRPr="007B045D">
        <w:rPr>
          <w:rFonts w:ascii="Arial" w:hAnsi="Arial" w:cs="Arial"/>
          <w:sz w:val="22"/>
          <w:szCs w:val="22"/>
          <w:lang w:val="fr-FR"/>
        </w:rPr>
        <w:t>que les compétences et l</w:t>
      </w:r>
      <w:r w:rsidR="008E532B">
        <w:rPr>
          <w:rFonts w:ascii="Arial" w:hAnsi="Arial" w:cs="Arial"/>
          <w:sz w:val="22"/>
          <w:szCs w:val="22"/>
          <w:lang w:val="fr-FR"/>
        </w:rPr>
        <w:t>’</w:t>
      </w:r>
      <w:r w:rsidRPr="007B045D">
        <w:rPr>
          <w:rFonts w:ascii="Arial" w:hAnsi="Arial" w:cs="Arial"/>
          <w:sz w:val="22"/>
          <w:szCs w:val="22"/>
          <w:lang w:val="fr-FR"/>
        </w:rPr>
        <w:t xml:space="preserve">expertise des ONG </w:t>
      </w:r>
      <w:r>
        <w:rPr>
          <w:rFonts w:ascii="Arial" w:hAnsi="Arial" w:cs="Arial"/>
          <w:sz w:val="22"/>
          <w:szCs w:val="22"/>
          <w:lang w:val="fr-FR"/>
        </w:rPr>
        <w:t xml:space="preserve">sont </w:t>
      </w:r>
      <w:r w:rsidRPr="007B045D">
        <w:rPr>
          <w:rFonts w:ascii="Arial" w:hAnsi="Arial" w:cs="Arial"/>
          <w:sz w:val="22"/>
          <w:szCs w:val="22"/>
          <w:lang w:val="fr-FR"/>
        </w:rPr>
        <w:t>essentielles pour la Convention. L</w:t>
      </w:r>
      <w:r w:rsidR="008E532B">
        <w:rPr>
          <w:rFonts w:ascii="Arial" w:hAnsi="Arial" w:cs="Arial"/>
          <w:sz w:val="22"/>
          <w:szCs w:val="22"/>
          <w:lang w:val="fr-FR"/>
        </w:rPr>
        <w:t>’</w:t>
      </w:r>
      <w:r w:rsidRPr="007B045D">
        <w:rPr>
          <w:rFonts w:ascii="Arial" w:hAnsi="Arial" w:cs="Arial"/>
          <w:sz w:val="22"/>
          <w:szCs w:val="22"/>
          <w:lang w:val="fr-FR"/>
        </w:rPr>
        <w:t>inclusi</w:t>
      </w:r>
      <w:r>
        <w:rPr>
          <w:rFonts w:ascii="Arial" w:hAnsi="Arial" w:cs="Arial"/>
          <w:sz w:val="22"/>
          <w:szCs w:val="22"/>
          <w:lang w:val="fr-FR"/>
        </w:rPr>
        <w:t>vité</w:t>
      </w:r>
      <w:r w:rsidRPr="007B045D">
        <w:rPr>
          <w:rFonts w:ascii="Arial" w:hAnsi="Arial" w:cs="Arial"/>
          <w:sz w:val="22"/>
          <w:szCs w:val="22"/>
          <w:lang w:val="fr-FR"/>
        </w:rPr>
        <w:t xml:space="preserve"> contribuerait à promouvoir l</w:t>
      </w:r>
      <w:r w:rsidR="008E532B">
        <w:rPr>
          <w:rFonts w:ascii="Arial" w:hAnsi="Arial" w:cs="Arial"/>
          <w:sz w:val="22"/>
          <w:szCs w:val="22"/>
          <w:lang w:val="fr-FR"/>
        </w:rPr>
        <w:t>’</w:t>
      </w:r>
      <w:r w:rsidRPr="007B045D">
        <w:rPr>
          <w:rFonts w:ascii="Arial" w:hAnsi="Arial" w:cs="Arial"/>
          <w:sz w:val="22"/>
          <w:szCs w:val="22"/>
          <w:lang w:val="fr-FR"/>
        </w:rPr>
        <w:t xml:space="preserve">esprit de la Convention dans les pays </w:t>
      </w:r>
      <w:r>
        <w:rPr>
          <w:rFonts w:ascii="Arial" w:hAnsi="Arial" w:cs="Arial"/>
          <w:sz w:val="22"/>
          <w:szCs w:val="22"/>
          <w:lang w:val="fr-FR"/>
        </w:rPr>
        <w:t xml:space="preserve">non </w:t>
      </w:r>
      <w:r w:rsidRPr="007B045D">
        <w:rPr>
          <w:rFonts w:ascii="Arial" w:hAnsi="Arial" w:cs="Arial"/>
          <w:sz w:val="22"/>
          <w:szCs w:val="22"/>
          <w:lang w:val="fr-FR"/>
        </w:rPr>
        <w:t xml:space="preserve">parties à la Convention. La délégation </w:t>
      </w:r>
      <w:r>
        <w:rPr>
          <w:rFonts w:ascii="Arial" w:hAnsi="Arial" w:cs="Arial"/>
          <w:sz w:val="22"/>
          <w:szCs w:val="22"/>
          <w:lang w:val="fr-FR"/>
        </w:rPr>
        <w:t>pensait</w:t>
      </w:r>
      <w:r w:rsidRPr="007B045D">
        <w:rPr>
          <w:rFonts w:ascii="Arial" w:hAnsi="Arial" w:cs="Arial"/>
          <w:sz w:val="22"/>
          <w:szCs w:val="22"/>
          <w:lang w:val="fr-FR"/>
        </w:rPr>
        <w:t xml:space="preserve"> que leur participation pourrait contribuer à l</w:t>
      </w:r>
      <w:r w:rsidR="008E532B">
        <w:rPr>
          <w:rFonts w:ascii="Arial" w:hAnsi="Arial" w:cs="Arial"/>
          <w:sz w:val="22"/>
          <w:szCs w:val="22"/>
          <w:lang w:val="fr-FR"/>
        </w:rPr>
        <w:t>’</w:t>
      </w:r>
      <w:r w:rsidRPr="007B045D">
        <w:rPr>
          <w:rFonts w:ascii="Arial" w:hAnsi="Arial" w:cs="Arial"/>
          <w:sz w:val="22"/>
          <w:szCs w:val="22"/>
          <w:lang w:val="fr-FR"/>
        </w:rPr>
        <w:t>émergence de nouveaux États parties à l</w:t>
      </w:r>
      <w:r w:rsidR="008E532B">
        <w:rPr>
          <w:rFonts w:ascii="Arial" w:hAnsi="Arial" w:cs="Arial"/>
          <w:sz w:val="22"/>
          <w:szCs w:val="22"/>
          <w:lang w:val="fr-FR"/>
        </w:rPr>
        <w:t>’</w:t>
      </w:r>
      <w:r w:rsidRPr="007B045D">
        <w:rPr>
          <w:rFonts w:ascii="Arial" w:hAnsi="Arial" w:cs="Arial"/>
          <w:sz w:val="22"/>
          <w:szCs w:val="22"/>
          <w:lang w:val="fr-FR"/>
        </w:rPr>
        <w:t xml:space="preserve">avenir. Elle </w:t>
      </w:r>
      <w:r>
        <w:rPr>
          <w:rFonts w:ascii="Arial" w:hAnsi="Arial" w:cs="Arial"/>
          <w:sz w:val="22"/>
          <w:szCs w:val="22"/>
          <w:lang w:val="fr-FR"/>
        </w:rPr>
        <w:t xml:space="preserve">approuvait </w:t>
      </w:r>
      <w:r w:rsidRPr="007B045D">
        <w:rPr>
          <w:rFonts w:ascii="Arial" w:hAnsi="Arial" w:cs="Arial"/>
          <w:sz w:val="22"/>
          <w:szCs w:val="22"/>
          <w:lang w:val="fr-FR"/>
        </w:rPr>
        <w:t>également les préoccupations pertinentes exprimées par diverses délégations concernant l</w:t>
      </w:r>
      <w:r w:rsidR="008E532B">
        <w:rPr>
          <w:rFonts w:ascii="Arial" w:hAnsi="Arial" w:cs="Arial"/>
          <w:sz w:val="22"/>
          <w:szCs w:val="22"/>
          <w:lang w:val="fr-FR"/>
        </w:rPr>
        <w:t>’</w:t>
      </w:r>
      <w:r w:rsidRPr="007B045D">
        <w:rPr>
          <w:rFonts w:ascii="Arial" w:hAnsi="Arial" w:cs="Arial"/>
          <w:sz w:val="22"/>
          <w:szCs w:val="22"/>
          <w:lang w:val="fr-FR"/>
        </w:rPr>
        <w:t>équilibre géographique, ainsi que l</w:t>
      </w:r>
      <w:r w:rsidR="008E532B">
        <w:rPr>
          <w:rFonts w:ascii="Arial" w:hAnsi="Arial" w:cs="Arial"/>
          <w:sz w:val="22"/>
          <w:szCs w:val="22"/>
          <w:lang w:val="fr-FR"/>
        </w:rPr>
        <w:t>’</w:t>
      </w:r>
      <w:r w:rsidRPr="007B045D">
        <w:rPr>
          <w:rFonts w:ascii="Arial" w:hAnsi="Arial" w:cs="Arial"/>
          <w:sz w:val="22"/>
          <w:szCs w:val="22"/>
          <w:lang w:val="fr-FR"/>
        </w:rPr>
        <w:t>importance de renforcer le secteur des ONG dans toutes les régions du monde</w:t>
      </w:r>
      <w:r>
        <w:rPr>
          <w:rFonts w:ascii="Arial" w:hAnsi="Arial" w:cs="Arial"/>
          <w:sz w:val="22"/>
          <w:szCs w:val="22"/>
          <w:lang w:val="fr-FR"/>
        </w:rPr>
        <w:t xml:space="preserve">, reconnaissant </w:t>
      </w:r>
      <w:r w:rsidRPr="007B045D">
        <w:rPr>
          <w:rFonts w:ascii="Arial" w:hAnsi="Arial" w:cs="Arial"/>
          <w:sz w:val="22"/>
          <w:szCs w:val="22"/>
          <w:lang w:val="fr-FR"/>
        </w:rPr>
        <w:t>qu</w:t>
      </w:r>
      <w:r w:rsidR="008E532B">
        <w:rPr>
          <w:rFonts w:ascii="Arial" w:hAnsi="Arial" w:cs="Arial"/>
          <w:sz w:val="22"/>
          <w:szCs w:val="22"/>
          <w:lang w:val="fr-FR"/>
        </w:rPr>
        <w:t>’</w:t>
      </w:r>
      <w:r w:rsidRPr="007B045D">
        <w:rPr>
          <w:rFonts w:ascii="Arial" w:hAnsi="Arial" w:cs="Arial"/>
          <w:sz w:val="22"/>
          <w:szCs w:val="22"/>
          <w:lang w:val="fr-FR"/>
        </w:rPr>
        <w:t>il y avait effectivement beaucoup de travail à faire dans ce domaine.</w:t>
      </w:r>
    </w:p>
    <w:p w14:paraId="10114DE7" w14:textId="38802625" w:rsidR="00D9653F" w:rsidRPr="00E10B18" w:rsidRDefault="00D9653F" w:rsidP="00D9653F">
      <w:pPr>
        <w:numPr>
          <w:ilvl w:val="0"/>
          <w:numId w:val="19"/>
        </w:numPr>
        <w:suppressAutoHyphens/>
        <w:autoSpaceDE w:val="0"/>
        <w:spacing w:before="240"/>
        <w:ind w:left="567" w:hanging="567"/>
        <w:jc w:val="both"/>
        <w:rPr>
          <w:rFonts w:ascii="Arial" w:hAnsi="Arial" w:cs="Arial"/>
          <w:sz w:val="22"/>
          <w:szCs w:val="22"/>
          <w:lang w:val="fr-FR"/>
        </w:rPr>
      </w:pPr>
      <w:r w:rsidRPr="00E10B18">
        <w:rPr>
          <w:rFonts w:ascii="Arial" w:hAnsi="Arial" w:cs="Arial"/>
          <w:sz w:val="22"/>
          <w:szCs w:val="22"/>
          <w:lang w:val="fr-FR"/>
        </w:rPr>
        <w:t xml:space="preserve">La délégation du </w:t>
      </w:r>
      <w:r w:rsidRPr="00E10B18">
        <w:rPr>
          <w:rFonts w:ascii="Arial" w:hAnsi="Arial" w:cs="Arial"/>
          <w:b/>
          <w:bCs/>
          <w:sz w:val="22"/>
          <w:szCs w:val="22"/>
          <w:lang w:val="fr-FR"/>
        </w:rPr>
        <w:t>Liban</w:t>
      </w:r>
      <w:r w:rsidRPr="00E10B18">
        <w:rPr>
          <w:rFonts w:ascii="Arial" w:hAnsi="Arial" w:cs="Arial"/>
          <w:sz w:val="22"/>
          <w:szCs w:val="22"/>
          <w:lang w:val="fr-FR"/>
        </w:rPr>
        <w:t xml:space="preserve"> a félicité la Présidente pour son élection et pour </w:t>
      </w:r>
      <w:r>
        <w:rPr>
          <w:rFonts w:ascii="Arial" w:hAnsi="Arial" w:cs="Arial"/>
          <w:sz w:val="22"/>
          <w:szCs w:val="22"/>
          <w:lang w:val="fr-FR"/>
        </w:rPr>
        <w:t>sa conduite d</w:t>
      </w:r>
      <w:r w:rsidRPr="00E10B18">
        <w:rPr>
          <w:rFonts w:ascii="Arial" w:hAnsi="Arial" w:cs="Arial"/>
          <w:sz w:val="22"/>
          <w:szCs w:val="22"/>
          <w:lang w:val="fr-FR"/>
        </w:rPr>
        <w:t xml:space="preserve">es débats. Elle </w:t>
      </w:r>
      <w:r>
        <w:rPr>
          <w:rFonts w:ascii="Arial" w:hAnsi="Arial" w:cs="Arial"/>
          <w:sz w:val="22"/>
          <w:szCs w:val="22"/>
          <w:lang w:val="fr-FR"/>
        </w:rPr>
        <w:t xml:space="preserve">a </w:t>
      </w:r>
      <w:r w:rsidRPr="00E10B18">
        <w:rPr>
          <w:rFonts w:ascii="Arial" w:hAnsi="Arial" w:cs="Arial"/>
          <w:sz w:val="22"/>
          <w:szCs w:val="22"/>
          <w:lang w:val="fr-FR"/>
        </w:rPr>
        <w:t>adm</w:t>
      </w:r>
      <w:r>
        <w:rPr>
          <w:rFonts w:ascii="Arial" w:hAnsi="Arial" w:cs="Arial"/>
          <w:sz w:val="22"/>
          <w:szCs w:val="22"/>
          <w:lang w:val="fr-FR"/>
        </w:rPr>
        <w:t>is</w:t>
      </w:r>
      <w:r w:rsidRPr="00E10B18">
        <w:rPr>
          <w:rFonts w:ascii="Arial" w:hAnsi="Arial" w:cs="Arial"/>
          <w:sz w:val="22"/>
          <w:szCs w:val="22"/>
          <w:lang w:val="fr-FR"/>
        </w:rPr>
        <w:t xml:space="preserve"> être un peu perdue </w:t>
      </w:r>
      <w:r>
        <w:rPr>
          <w:rFonts w:ascii="Arial" w:hAnsi="Arial" w:cs="Arial"/>
          <w:sz w:val="22"/>
          <w:szCs w:val="22"/>
          <w:lang w:val="fr-FR"/>
        </w:rPr>
        <w:t>dans cette</w:t>
      </w:r>
      <w:r w:rsidRPr="00E10B18">
        <w:rPr>
          <w:rFonts w:ascii="Arial" w:hAnsi="Arial" w:cs="Arial"/>
          <w:sz w:val="22"/>
          <w:szCs w:val="22"/>
          <w:lang w:val="fr-FR"/>
        </w:rPr>
        <w:t xml:space="preserve"> discussion. Elle pouvait pencher </w:t>
      </w:r>
      <w:r>
        <w:rPr>
          <w:rFonts w:ascii="Arial" w:hAnsi="Arial" w:cs="Arial"/>
          <w:sz w:val="22"/>
          <w:szCs w:val="22"/>
          <w:lang w:val="fr-FR"/>
        </w:rPr>
        <w:t>en faveur de</w:t>
      </w:r>
      <w:r w:rsidRPr="00E10B18">
        <w:rPr>
          <w:rFonts w:ascii="Arial" w:hAnsi="Arial" w:cs="Arial"/>
          <w:sz w:val="22"/>
          <w:szCs w:val="22"/>
          <w:lang w:val="fr-FR"/>
        </w:rPr>
        <w:t xml:space="preserve"> la proposition de la Palestine par principe, par solidarité arabe, </w:t>
      </w:r>
      <w:r>
        <w:rPr>
          <w:rFonts w:ascii="Arial" w:hAnsi="Arial" w:cs="Arial"/>
          <w:sz w:val="22"/>
          <w:szCs w:val="22"/>
          <w:lang w:val="fr-FR"/>
        </w:rPr>
        <w:t xml:space="preserve">en étant </w:t>
      </w:r>
      <w:r w:rsidRPr="00E10B18">
        <w:rPr>
          <w:rFonts w:ascii="Arial" w:hAnsi="Arial" w:cs="Arial"/>
          <w:color w:val="000000" w:themeColor="text1"/>
          <w:sz w:val="22"/>
          <w:szCs w:val="22"/>
          <w:lang w:val="fr-FR"/>
        </w:rPr>
        <w:t>également</w:t>
      </w:r>
      <w:r w:rsidRPr="00E10B18">
        <w:rPr>
          <w:rFonts w:ascii="Arial" w:hAnsi="Arial" w:cs="Arial"/>
          <w:sz w:val="22"/>
          <w:szCs w:val="22"/>
          <w:lang w:val="fr-FR"/>
        </w:rPr>
        <w:t xml:space="preserve"> d</w:t>
      </w:r>
      <w:r w:rsidR="008E532B">
        <w:rPr>
          <w:rFonts w:ascii="Arial" w:hAnsi="Arial" w:cs="Arial"/>
          <w:sz w:val="22"/>
          <w:szCs w:val="22"/>
          <w:lang w:val="fr-FR"/>
        </w:rPr>
        <w:t>’</w:t>
      </w:r>
      <w:r w:rsidRPr="00E10B18">
        <w:rPr>
          <w:rFonts w:ascii="Arial" w:hAnsi="Arial" w:cs="Arial"/>
          <w:sz w:val="22"/>
          <w:szCs w:val="22"/>
          <w:lang w:val="fr-FR"/>
        </w:rPr>
        <w:t>accord avec sa logique. Mais, en écoutant les autres délégations, elle s</w:t>
      </w:r>
      <w:r>
        <w:rPr>
          <w:rFonts w:ascii="Arial" w:hAnsi="Arial" w:cs="Arial"/>
          <w:sz w:val="22"/>
          <w:szCs w:val="22"/>
          <w:lang w:val="fr-FR"/>
        </w:rPr>
        <w:t>e demandait</w:t>
      </w:r>
      <w:r w:rsidRPr="00E10B18">
        <w:rPr>
          <w:rFonts w:ascii="Arial" w:hAnsi="Arial" w:cs="Arial"/>
          <w:sz w:val="22"/>
          <w:szCs w:val="22"/>
          <w:lang w:val="fr-FR"/>
        </w:rPr>
        <w:t xml:space="preserve"> pourquoi il fallait qu</w:t>
      </w:r>
      <w:r w:rsidR="008E532B">
        <w:rPr>
          <w:rFonts w:ascii="Arial" w:hAnsi="Arial" w:cs="Arial"/>
          <w:sz w:val="22"/>
          <w:szCs w:val="22"/>
          <w:lang w:val="fr-FR"/>
        </w:rPr>
        <w:t>’</w:t>
      </w:r>
      <w:r w:rsidRPr="00E10B18">
        <w:rPr>
          <w:rFonts w:ascii="Arial" w:hAnsi="Arial" w:cs="Arial"/>
          <w:sz w:val="22"/>
          <w:szCs w:val="22"/>
          <w:lang w:val="fr-FR"/>
        </w:rPr>
        <w:t>il y ait des ONG d</w:t>
      </w:r>
      <w:r w:rsidR="008E532B">
        <w:rPr>
          <w:rFonts w:ascii="Arial" w:hAnsi="Arial" w:cs="Arial"/>
          <w:sz w:val="22"/>
          <w:szCs w:val="22"/>
          <w:lang w:val="fr-FR"/>
        </w:rPr>
        <w:t>’</w:t>
      </w:r>
      <w:r w:rsidRPr="00E10B18">
        <w:rPr>
          <w:rFonts w:ascii="Arial" w:hAnsi="Arial" w:cs="Arial"/>
          <w:sz w:val="22"/>
          <w:szCs w:val="22"/>
          <w:lang w:val="fr-FR"/>
        </w:rPr>
        <w:t>États non parties à la Convention, et si c</w:t>
      </w:r>
      <w:r w:rsidR="008E532B">
        <w:rPr>
          <w:rFonts w:ascii="Arial" w:hAnsi="Arial" w:cs="Arial"/>
          <w:sz w:val="22"/>
          <w:szCs w:val="22"/>
          <w:lang w:val="fr-FR"/>
        </w:rPr>
        <w:t>’</w:t>
      </w:r>
      <w:r w:rsidRPr="00E10B18">
        <w:rPr>
          <w:rFonts w:ascii="Arial" w:hAnsi="Arial" w:cs="Arial"/>
          <w:sz w:val="22"/>
          <w:szCs w:val="22"/>
          <w:lang w:val="fr-FR"/>
        </w:rPr>
        <w:t>était par pur souci d</w:t>
      </w:r>
      <w:r w:rsidR="008E532B">
        <w:rPr>
          <w:rFonts w:ascii="Arial" w:hAnsi="Arial" w:cs="Arial"/>
          <w:sz w:val="22"/>
          <w:szCs w:val="22"/>
          <w:lang w:val="fr-FR"/>
        </w:rPr>
        <w:t>’</w:t>
      </w:r>
      <w:r w:rsidRPr="00E10B18">
        <w:rPr>
          <w:rFonts w:ascii="Arial" w:hAnsi="Arial" w:cs="Arial"/>
          <w:sz w:val="22"/>
          <w:szCs w:val="22"/>
          <w:lang w:val="fr-FR"/>
        </w:rPr>
        <w:t>inclusivité. Quelle serait l</w:t>
      </w:r>
      <w:r w:rsidR="008E532B">
        <w:rPr>
          <w:rFonts w:ascii="Arial" w:hAnsi="Arial" w:cs="Arial"/>
          <w:sz w:val="22"/>
          <w:szCs w:val="22"/>
          <w:lang w:val="fr-FR"/>
        </w:rPr>
        <w:t>’</w:t>
      </w:r>
      <w:r w:rsidRPr="00E10B18">
        <w:rPr>
          <w:rFonts w:ascii="Arial" w:hAnsi="Arial" w:cs="Arial"/>
          <w:sz w:val="22"/>
          <w:szCs w:val="22"/>
          <w:lang w:val="fr-FR"/>
        </w:rPr>
        <w:t xml:space="preserve">utilité pour le Liban, par exemple, </w:t>
      </w:r>
      <w:r>
        <w:rPr>
          <w:rFonts w:ascii="Arial" w:hAnsi="Arial" w:cs="Arial"/>
          <w:sz w:val="22"/>
          <w:szCs w:val="22"/>
          <w:lang w:val="fr-FR"/>
        </w:rPr>
        <w:t>qu</w:t>
      </w:r>
      <w:r w:rsidR="008E532B">
        <w:rPr>
          <w:rFonts w:ascii="Arial" w:hAnsi="Arial" w:cs="Arial"/>
          <w:sz w:val="22"/>
          <w:szCs w:val="22"/>
          <w:lang w:val="fr-FR"/>
        </w:rPr>
        <w:t>’</w:t>
      </w:r>
      <w:r>
        <w:rPr>
          <w:rFonts w:ascii="Arial" w:hAnsi="Arial" w:cs="Arial"/>
          <w:sz w:val="22"/>
          <w:szCs w:val="22"/>
          <w:lang w:val="fr-FR"/>
        </w:rPr>
        <w:t xml:space="preserve">on lui </w:t>
      </w:r>
      <w:r w:rsidRPr="00E10B18">
        <w:rPr>
          <w:rFonts w:ascii="Arial" w:hAnsi="Arial" w:cs="Arial"/>
          <w:sz w:val="22"/>
          <w:szCs w:val="22"/>
          <w:lang w:val="fr-FR"/>
        </w:rPr>
        <w:t xml:space="preserve">présente des demandes </w:t>
      </w:r>
      <w:r>
        <w:rPr>
          <w:rFonts w:ascii="Arial" w:hAnsi="Arial" w:cs="Arial"/>
          <w:sz w:val="22"/>
          <w:szCs w:val="22"/>
          <w:lang w:val="fr-FR"/>
        </w:rPr>
        <w:t>d</w:t>
      </w:r>
      <w:r w:rsidR="008E532B">
        <w:rPr>
          <w:rFonts w:ascii="Arial" w:hAnsi="Arial" w:cs="Arial"/>
          <w:sz w:val="22"/>
          <w:szCs w:val="22"/>
          <w:lang w:val="fr-FR"/>
        </w:rPr>
        <w:t>’</w:t>
      </w:r>
      <w:r>
        <w:rPr>
          <w:rFonts w:ascii="Arial" w:hAnsi="Arial" w:cs="Arial"/>
          <w:sz w:val="22"/>
          <w:szCs w:val="22"/>
          <w:lang w:val="fr-FR"/>
        </w:rPr>
        <w:t>accréditation</w:t>
      </w:r>
      <w:r w:rsidRPr="00E10B18">
        <w:rPr>
          <w:rFonts w:ascii="Arial" w:hAnsi="Arial" w:cs="Arial"/>
          <w:sz w:val="22"/>
          <w:szCs w:val="22"/>
          <w:lang w:val="fr-FR"/>
        </w:rPr>
        <w:t xml:space="preserve"> </w:t>
      </w:r>
      <w:r>
        <w:rPr>
          <w:rFonts w:ascii="Arial" w:hAnsi="Arial" w:cs="Arial"/>
          <w:sz w:val="22"/>
          <w:szCs w:val="22"/>
          <w:lang w:val="fr-FR"/>
        </w:rPr>
        <w:t>d</w:t>
      </w:r>
      <w:r w:rsidR="008E532B">
        <w:rPr>
          <w:rFonts w:ascii="Arial" w:hAnsi="Arial" w:cs="Arial"/>
          <w:sz w:val="22"/>
          <w:szCs w:val="22"/>
          <w:lang w:val="fr-FR"/>
        </w:rPr>
        <w:t>’</w:t>
      </w:r>
      <w:r w:rsidRPr="00E10B18">
        <w:rPr>
          <w:rFonts w:ascii="Arial" w:hAnsi="Arial" w:cs="Arial"/>
          <w:sz w:val="22"/>
          <w:szCs w:val="22"/>
          <w:lang w:val="fr-FR"/>
        </w:rPr>
        <w:t>ONG d</w:t>
      </w:r>
      <w:r w:rsidR="008E532B">
        <w:rPr>
          <w:rFonts w:ascii="Arial" w:hAnsi="Arial" w:cs="Arial"/>
          <w:sz w:val="22"/>
          <w:szCs w:val="22"/>
          <w:lang w:val="fr-FR"/>
        </w:rPr>
        <w:t>’</w:t>
      </w:r>
      <w:r w:rsidRPr="00E10B18">
        <w:rPr>
          <w:rFonts w:ascii="Arial" w:hAnsi="Arial" w:cs="Arial"/>
          <w:sz w:val="22"/>
          <w:szCs w:val="22"/>
          <w:lang w:val="fr-FR"/>
        </w:rPr>
        <w:t xml:space="preserve">un État </w:t>
      </w:r>
      <w:proofErr w:type="gramStart"/>
      <w:r w:rsidRPr="00E10B18">
        <w:rPr>
          <w:rFonts w:ascii="Arial" w:hAnsi="Arial" w:cs="Arial"/>
          <w:sz w:val="22"/>
          <w:szCs w:val="22"/>
          <w:lang w:val="fr-FR"/>
        </w:rPr>
        <w:t>non partie</w:t>
      </w:r>
      <w:proofErr w:type="gramEnd"/>
      <w:r>
        <w:rPr>
          <w:rFonts w:ascii="Arial" w:hAnsi="Arial" w:cs="Arial"/>
          <w:sz w:val="22"/>
          <w:szCs w:val="22"/>
          <w:lang w:val="fr-FR"/>
        </w:rPr>
        <w:t> </w:t>
      </w:r>
      <w:r w:rsidRPr="00E10B18">
        <w:rPr>
          <w:rFonts w:ascii="Arial" w:hAnsi="Arial" w:cs="Arial"/>
          <w:sz w:val="22"/>
          <w:szCs w:val="22"/>
          <w:lang w:val="fr-FR"/>
        </w:rPr>
        <w:t>? Si c</w:t>
      </w:r>
      <w:r w:rsidR="008E532B">
        <w:rPr>
          <w:rFonts w:ascii="Arial" w:hAnsi="Arial" w:cs="Arial"/>
          <w:sz w:val="22"/>
          <w:szCs w:val="22"/>
          <w:lang w:val="fr-FR"/>
        </w:rPr>
        <w:t>’</w:t>
      </w:r>
      <w:r>
        <w:rPr>
          <w:rFonts w:ascii="Arial" w:hAnsi="Arial" w:cs="Arial"/>
          <w:sz w:val="22"/>
          <w:szCs w:val="22"/>
          <w:lang w:val="fr-FR"/>
        </w:rPr>
        <w:t>était</w:t>
      </w:r>
      <w:r w:rsidRPr="00E10B18">
        <w:rPr>
          <w:rFonts w:ascii="Arial" w:hAnsi="Arial" w:cs="Arial"/>
          <w:sz w:val="22"/>
          <w:szCs w:val="22"/>
          <w:lang w:val="fr-FR"/>
        </w:rPr>
        <w:t xml:space="preserve"> en raison du principe de compétence, cela signifi</w:t>
      </w:r>
      <w:r>
        <w:rPr>
          <w:rFonts w:ascii="Arial" w:hAnsi="Arial" w:cs="Arial"/>
          <w:sz w:val="22"/>
          <w:szCs w:val="22"/>
          <w:lang w:val="fr-FR"/>
        </w:rPr>
        <w:t>ait</w:t>
      </w:r>
      <w:r>
        <w:rPr>
          <w:rFonts w:ascii="Arial" w:hAnsi="Arial" w:cs="Arial"/>
          <w:sz w:val="22"/>
          <w:szCs w:val="22"/>
          <w:lang w:val="fr-FR"/>
        </w:rPr>
        <w:noBreakHyphen/>
      </w:r>
      <w:r w:rsidRPr="00E10B18">
        <w:rPr>
          <w:rFonts w:ascii="Arial" w:hAnsi="Arial" w:cs="Arial"/>
          <w:sz w:val="22"/>
          <w:szCs w:val="22"/>
          <w:lang w:val="fr-FR"/>
        </w:rPr>
        <w:t>il qu</w:t>
      </w:r>
      <w:r w:rsidR="008E532B">
        <w:rPr>
          <w:rFonts w:ascii="Arial" w:hAnsi="Arial" w:cs="Arial"/>
          <w:sz w:val="22"/>
          <w:szCs w:val="22"/>
          <w:lang w:val="fr-FR"/>
        </w:rPr>
        <w:t>’</w:t>
      </w:r>
      <w:r w:rsidRPr="00E10B18">
        <w:rPr>
          <w:rFonts w:ascii="Arial" w:hAnsi="Arial" w:cs="Arial"/>
          <w:sz w:val="22"/>
          <w:szCs w:val="22"/>
          <w:lang w:val="fr-FR"/>
        </w:rPr>
        <w:t>il n</w:t>
      </w:r>
      <w:r w:rsidR="008E532B">
        <w:rPr>
          <w:rFonts w:ascii="Arial" w:hAnsi="Arial" w:cs="Arial"/>
          <w:sz w:val="22"/>
          <w:szCs w:val="22"/>
          <w:lang w:val="fr-FR"/>
        </w:rPr>
        <w:t>’</w:t>
      </w:r>
      <w:r w:rsidRPr="00E10B18">
        <w:rPr>
          <w:rFonts w:ascii="Arial" w:hAnsi="Arial" w:cs="Arial"/>
          <w:sz w:val="22"/>
          <w:szCs w:val="22"/>
          <w:lang w:val="fr-FR"/>
        </w:rPr>
        <w:t>y a</w:t>
      </w:r>
      <w:r>
        <w:rPr>
          <w:rFonts w:ascii="Arial" w:hAnsi="Arial" w:cs="Arial"/>
          <w:sz w:val="22"/>
          <w:szCs w:val="22"/>
          <w:lang w:val="fr-FR"/>
        </w:rPr>
        <w:t>vait</w:t>
      </w:r>
      <w:r w:rsidRPr="00E10B18">
        <w:rPr>
          <w:rFonts w:ascii="Arial" w:hAnsi="Arial" w:cs="Arial"/>
          <w:sz w:val="22"/>
          <w:szCs w:val="22"/>
          <w:lang w:val="fr-FR"/>
        </w:rPr>
        <w:t xml:space="preserve"> pas d</w:t>
      </w:r>
      <w:r w:rsidR="008E532B">
        <w:rPr>
          <w:rFonts w:ascii="Arial" w:hAnsi="Arial" w:cs="Arial"/>
          <w:sz w:val="22"/>
          <w:szCs w:val="22"/>
          <w:lang w:val="fr-FR"/>
        </w:rPr>
        <w:t>’</w:t>
      </w:r>
      <w:r w:rsidRPr="00E10B18">
        <w:rPr>
          <w:rFonts w:ascii="Arial" w:hAnsi="Arial" w:cs="Arial"/>
          <w:sz w:val="22"/>
          <w:szCs w:val="22"/>
          <w:lang w:val="fr-FR"/>
        </w:rPr>
        <w:t>ONG compétentes parmi les États parties</w:t>
      </w:r>
      <w:r>
        <w:rPr>
          <w:rFonts w:ascii="Arial" w:hAnsi="Arial" w:cs="Arial"/>
          <w:sz w:val="22"/>
          <w:szCs w:val="22"/>
          <w:lang w:val="fr-FR"/>
        </w:rPr>
        <w:t> </w:t>
      </w:r>
      <w:r w:rsidRPr="00E10B18">
        <w:rPr>
          <w:rFonts w:ascii="Arial" w:hAnsi="Arial" w:cs="Arial"/>
          <w:sz w:val="22"/>
          <w:szCs w:val="22"/>
          <w:lang w:val="fr-FR"/>
        </w:rPr>
        <w:t>? La délégation</w:t>
      </w:r>
      <w:r>
        <w:rPr>
          <w:rFonts w:ascii="Arial" w:hAnsi="Arial" w:cs="Arial"/>
          <w:sz w:val="22"/>
          <w:szCs w:val="22"/>
          <w:lang w:val="fr-FR"/>
        </w:rPr>
        <w:t>, qui</w:t>
      </w:r>
      <w:r w:rsidRPr="00E10B18">
        <w:rPr>
          <w:rFonts w:ascii="Arial" w:hAnsi="Arial" w:cs="Arial"/>
          <w:sz w:val="22"/>
          <w:szCs w:val="22"/>
          <w:lang w:val="fr-FR"/>
        </w:rPr>
        <w:t xml:space="preserve"> cherch</w:t>
      </w:r>
      <w:r>
        <w:rPr>
          <w:rFonts w:ascii="Arial" w:hAnsi="Arial" w:cs="Arial"/>
          <w:sz w:val="22"/>
          <w:szCs w:val="22"/>
          <w:lang w:val="fr-FR"/>
        </w:rPr>
        <w:t>ait</w:t>
      </w:r>
      <w:r w:rsidRPr="00E10B18">
        <w:rPr>
          <w:rFonts w:ascii="Arial" w:hAnsi="Arial" w:cs="Arial"/>
          <w:sz w:val="22"/>
          <w:szCs w:val="22"/>
          <w:lang w:val="fr-FR"/>
        </w:rPr>
        <w:t xml:space="preserve"> à être convaincue</w:t>
      </w:r>
      <w:r>
        <w:rPr>
          <w:rFonts w:ascii="Arial" w:hAnsi="Arial" w:cs="Arial"/>
          <w:sz w:val="22"/>
          <w:szCs w:val="22"/>
          <w:lang w:val="fr-FR"/>
        </w:rPr>
        <w:t xml:space="preserve">, </w:t>
      </w:r>
      <w:r w:rsidRPr="00E10B18">
        <w:rPr>
          <w:rFonts w:ascii="Arial" w:hAnsi="Arial" w:cs="Arial"/>
          <w:sz w:val="22"/>
          <w:szCs w:val="22"/>
          <w:lang w:val="fr-FR"/>
        </w:rPr>
        <w:t>s</w:t>
      </w:r>
      <w:r>
        <w:rPr>
          <w:rFonts w:ascii="Arial" w:hAnsi="Arial" w:cs="Arial"/>
          <w:sz w:val="22"/>
          <w:szCs w:val="22"/>
          <w:lang w:val="fr-FR"/>
        </w:rPr>
        <w:t>e demandait</w:t>
      </w:r>
      <w:r w:rsidRPr="00E10B18">
        <w:rPr>
          <w:rFonts w:ascii="Arial" w:hAnsi="Arial" w:cs="Arial"/>
          <w:sz w:val="22"/>
          <w:szCs w:val="22"/>
          <w:lang w:val="fr-FR"/>
        </w:rPr>
        <w:t xml:space="preserve"> s</w:t>
      </w:r>
      <w:r w:rsidR="008E532B">
        <w:rPr>
          <w:rFonts w:ascii="Arial" w:hAnsi="Arial" w:cs="Arial"/>
          <w:sz w:val="22"/>
          <w:szCs w:val="22"/>
          <w:lang w:val="fr-FR"/>
        </w:rPr>
        <w:t>’</w:t>
      </w:r>
      <w:r w:rsidRPr="00E10B18">
        <w:rPr>
          <w:rFonts w:ascii="Arial" w:hAnsi="Arial" w:cs="Arial"/>
          <w:sz w:val="22"/>
          <w:szCs w:val="22"/>
          <w:lang w:val="fr-FR"/>
        </w:rPr>
        <w:t>il exist</w:t>
      </w:r>
      <w:r>
        <w:rPr>
          <w:rFonts w:ascii="Arial" w:hAnsi="Arial" w:cs="Arial"/>
          <w:sz w:val="22"/>
          <w:szCs w:val="22"/>
          <w:lang w:val="fr-FR"/>
        </w:rPr>
        <w:t>ait</w:t>
      </w:r>
      <w:r w:rsidRPr="00E10B18">
        <w:rPr>
          <w:rFonts w:ascii="Arial" w:hAnsi="Arial" w:cs="Arial"/>
          <w:sz w:val="22"/>
          <w:szCs w:val="22"/>
          <w:lang w:val="fr-FR"/>
        </w:rPr>
        <w:t xml:space="preserve"> des exemples montrant qu</w:t>
      </w:r>
      <w:r w:rsidR="008E532B">
        <w:rPr>
          <w:rFonts w:ascii="Arial" w:hAnsi="Arial" w:cs="Arial"/>
          <w:sz w:val="22"/>
          <w:szCs w:val="22"/>
          <w:lang w:val="fr-FR"/>
        </w:rPr>
        <w:t>’</w:t>
      </w:r>
      <w:r w:rsidRPr="00E10B18">
        <w:rPr>
          <w:rFonts w:ascii="Arial" w:hAnsi="Arial" w:cs="Arial"/>
          <w:sz w:val="22"/>
          <w:szCs w:val="22"/>
          <w:lang w:val="fr-FR"/>
        </w:rPr>
        <w:t>une ONG [d</w:t>
      </w:r>
      <w:r w:rsidR="008E532B">
        <w:rPr>
          <w:rFonts w:ascii="Arial" w:hAnsi="Arial" w:cs="Arial"/>
          <w:sz w:val="22"/>
          <w:szCs w:val="22"/>
          <w:lang w:val="fr-FR"/>
        </w:rPr>
        <w:t>’</w:t>
      </w:r>
      <w:r w:rsidRPr="00E10B18">
        <w:rPr>
          <w:rFonts w:ascii="Arial" w:hAnsi="Arial" w:cs="Arial"/>
          <w:sz w:val="22"/>
          <w:szCs w:val="22"/>
          <w:lang w:val="fr-FR"/>
        </w:rPr>
        <w:t xml:space="preserve">un État </w:t>
      </w:r>
      <w:proofErr w:type="gramStart"/>
      <w:r w:rsidRPr="00E10B18">
        <w:rPr>
          <w:rFonts w:ascii="Arial" w:hAnsi="Arial" w:cs="Arial"/>
          <w:sz w:val="22"/>
          <w:szCs w:val="22"/>
          <w:lang w:val="fr-FR"/>
        </w:rPr>
        <w:t>non partie</w:t>
      </w:r>
      <w:proofErr w:type="gramEnd"/>
      <w:r w:rsidRPr="00E10B18">
        <w:rPr>
          <w:rFonts w:ascii="Arial" w:hAnsi="Arial" w:cs="Arial"/>
          <w:sz w:val="22"/>
          <w:szCs w:val="22"/>
          <w:lang w:val="fr-FR"/>
        </w:rPr>
        <w:t xml:space="preserve">] </w:t>
      </w:r>
      <w:r>
        <w:rPr>
          <w:rFonts w:ascii="Arial" w:hAnsi="Arial" w:cs="Arial"/>
          <w:sz w:val="22"/>
          <w:szCs w:val="22"/>
          <w:lang w:val="fr-FR"/>
        </w:rPr>
        <w:t>avait apporté son aide</w:t>
      </w:r>
      <w:r w:rsidRPr="00E10B18">
        <w:rPr>
          <w:rFonts w:ascii="Arial" w:hAnsi="Arial" w:cs="Arial"/>
          <w:sz w:val="22"/>
          <w:szCs w:val="22"/>
          <w:lang w:val="fr-FR"/>
        </w:rPr>
        <w:t xml:space="preserve"> </w:t>
      </w:r>
      <w:r>
        <w:rPr>
          <w:rFonts w:ascii="Arial" w:hAnsi="Arial" w:cs="Arial"/>
          <w:sz w:val="22"/>
          <w:szCs w:val="22"/>
          <w:lang w:val="fr-FR"/>
        </w:rPr>
        <w:t xml:space="preserve">dans </w:t>
      </w:r>
      <w:r w:rsidRPr="00E10B18">
        <w:rPr>
          <w:rFonts w:ascii="Arial" w:hAnsi="Arial" w:cs="Arial"/>
          <w:sz w:val="22"/>
          <w:szCs w:val="22"/>
          <w:lang w:val="fr-FR"/>
        </w:rPr>
        <w:t xml:space="preserve">un État ou </w:t>
      </w:r>
      <w:r>
        <w:rPr>
          <w:rFonts w:ascii="Arial" w:hAnsi="Arial" w:cs="Arial"/>
          <w:sz w:val="22"/>
          <w:szCs w:val="22"/>
          <w:lang w:val="fr-FR"/>
        </w:rPr>
        <w:t xml:space="preserve">sur </w:t>
      </w:r>
      <w:r w:rsidRPr="00E10B18">
        <w:rPr>
          <w:rFonts w:ascii="Arial" w:hAnsi="Arial" w:cs="Arial"/>
          <w:sz w:val="22"/>
          <w:szCs w:val="22"/>
          <w:lang w:val="fr-FR"/>
        </w:rPr>
        <w:t>un dossier d</w:t>
      </w:r>
      <w:r w:rsidR="008E532B">
        <w:rPr>
          <w:rFonts w:ascii="Arial" w:hAnsi="Arial" w:cs="Arial"/>
          <w:sz w:val="22"/>
          <w:szCs w:val="22"/>
          <w:lang w:val="fr-FR"/>
        </w:rPr>
        <w:t>’</w:t>
      </w:r>
      <w:r w:rsidRPr="00E10B18">
        <w:rPr>
          <w:rFonts w:ascii="Arial" w:hAnsi="Arial" w:cs="Arial"/>
          <w:sz w:val="22"/>
          <w:szCs w:val="22"/>
          <w:lang w:val="fr-FR"/>
        </w:rPr>
        <w:t>une manière qui justifie la mesure.</w:t>
      </w:r>
    </w:p>
    <w:p w14:paraId="02E64C0C" w14:textId="7BAE8116" w:rsidR="00D9653F" w:rsidRPr="003532DA"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3532DA">
        <w:rPr>
          <w:rFonts w:ascii="Arial" w:hAnsi="Arial" w:cs="Arial"/>
          <w:sz w:val="22"/>
          <w:szCs w:val="22"/>
          <w:lang w:val="fr-FR"/>
        </w:rPr>
        <w:t xml:space="preserve">La délégation du </w:t>
      </w:r>
      <w:r w:rsidRPr="003532DA">
        <w:rPr>
          <w:rFonts w:ascii="Arial" w:hAnsi="Arial" w:cs="Arial"/>
          <w:b/>
          <w:bCs/>
          <w:sz w:val="22"/>
          <w:szCs w:val="22"/>
          <w:lang w:val="fr-FR"/>
        </w:rPr>
        <w:t>Panama</w:t>
      </w:r>
      <w:r w:rsidRPr="003532DA">
        <w:rPr>
          <w:rFonts w:ascii="Arial" w:hAnsi="Arial" w:cs="Arial"/>
          <w:sz w:val="22"/>
          <w:szCs w:val="22"/>
          <w:lang w:val="fr-FR"/>
        </w:rPr>
        <w:t xml:space="preserve"> a félicité la Présidente et le Bureau, remerciant le Président du Forum pour les informations </w:t>
      </w:r>
      <w:r>
        <w:rPr>
          <w:rFonts w:ascii="Arial" w:hAnsi="Arial" w:cs="Arial"/>
          <w:sz w:val="22"/>
          <w:szCs w:val="22"/>
          <w:lang w:val="fr-FR"/>
        </w:rPr>
        <w:t>communiquées</w:t>
      </w:r>
      <w:r w:rsidRPr="003532DA">
        <w:rPr>
          <w:rFonts w:ascii="Arial" w:hAnsi="Arial" w:cs="Arial"/>
          <w:sz w:val="22"/>
          <w:szCs w:val="22"/>
          <w:lang w:val="fr-FR"/>
        </w:rPr>
        <w:t xml:space="preserve">, ainsi que le Secrétariat. Elle </w:t>
      </w:r>
      <w:r>
        <w:rPr>
          <w:rFonts w:ascii="Arial" w:hAnsi="Arial" w:cs="Arial"/>
          <w:sz w:val="22"/>
          <w:szCs w:val="22"/>
          <w:lang w:val="fr-FR"/>
        </w:rPr>
        <w:t>était</w:t>
      </w:r>
      <w:r w:rsidRPr="003532DA">
        <w:rPr>
          <w:rFonts w:ascii="Arial" w:hAnsi="Arial" w:cs="Arial"/>
          <w:sz w:val="22"/>
          <w:szCs w:val="22"/>
          <w:lang w:val="fr-FR"/>
        </w:rPr>
        <w:t xml:space="preserve"> heureuse de constater </w:t>
      </w:r>
      <w:r>
        <w:rPr>
          <w:rFonts w:ascii="Arial" w:hAnsi="Arial" w:cs="Arial"/>
          <w:sz w:val="22"/>
          <w:szCs w:val="22"/>
          <w:lang w:val="fr-FR"/>
        </w:rPr>
        <w:t xml:space="preserve">que </w:t>
      </w:r>
      <w:r w:rsidRPr="003532DA">
        <w:rPr>
          <w:rFonts w:ascii="Arial" w:hAnsi="Arial" w:cs="Arial"/>
          <w:sz w:val="22"/>
          <w:szCs w:val="22"/>
          <w:lang w:val="fr-FR"/>
        </w:rPr>
        <w:t>deux ONG panaméennes</w:t>
      </w:r>
      <w:r>
        <w:rPr>
          <w:rFonts w:ascii="Arial" w:hAnsi="Arial" w:cs="Arial"/>
          <w:sz w:val="22"/>
          <w:szCs w:val="22"/>
          <w:lang w:val="fr-FR"/>
        </w:rPr>
        <w:t xml:space="preserve"> faisaient partie des </w:t>
      </w:r>
      <w:r w:rsidRPr="003532DA">
        <w:rPr>
          <w:rFonts w:ascii="Arial" w:hAnsi="Arial" w:cs="Arial"/>
          <w:sz w:val="22"/>
          <w:szCs w:val="22"/>
          <w:lang w:val="fr-FR"/>
        </w:rPr>
        <w:t>organisatio</w:t>
      </w:r>
      <w:r>
        <w:rPr>
          <w:rFonts w:ascii="Arial" w:hAnsi="Arial" w:cs="Arial"/>
          <w:sz w:val="22"/>
          <w:szCs w:val="22"/>
          <w:lang w:val="fr-FR"/>
        </w:rPr>
        <w:t>ns</w:t>
      </w:r>
      <w:r w:rsidRPr="003532DA">
        <w:rPr>
          <w:rFonts w:ascii="Arial" w:hAnsi="Arial" w:cs="Arial"/>
          <w:sz w:val="22"/>
          <w:szCs w:val="22"/>
          <w:lang w:val="fr-FR"/>
        </w:rPr>
        <w:t xml:space="preserve"> qui ser</w:t>
      </w:r>
      <w:r>
        <w:rPr>
          <w:rFonts w:ascii="Arial" w:hAnsi="Arial" w:cs="Arial"/>
          <w:sz w:val="22"/>
          <w:szCs w:val="22"/>
          <w:lang w:val="fr-FR"/>
        </w:rPr>
        <w:t>aie</w:t>
      </w:r>
      <w:r w:rsidRPr="003532DA">
        <w:rPr>
          <w:rFonts w:ascii="Arial" w:hAnsi="Arial" w:cs="Arial"/>
          <w:sz w:val="22"/>
          <w:szCs w:val="22"/>
          <w:lang w:val="fr-FR"/>
        </w:rPr>
        <w:t>nt accréditées. Toutefois, comme d</w:t>
      </w:r>
      <w:r w:rsidR="008E532B">
        <w:rPr>
          <w:rFonts w:ascii="Arial" w:hAnsi="Arial" w:cs="Arial"/>
          <w:sz w:val="22"/>
          <w:szCs w:val="22"/>
          <w:lang w:val="fr-FR"/>
        </w:rPr>
        <w:t>’</w:t>
      </w:r>
      <w:r w:rsidRPr="003532DA">
        <w:rPr>
          <w:rFonts w:ascii="Arial" w:hAnsi="Arial" w:cs="Arial"/>
          <w:sz w:val="22"/>
          <w:szCs w:val="22"/>
          <w:lang w:val="fr-FR"/>
        </w:rPr>
        <w:t>autres délégations l</w:t>
      </w:r>
      <w:r w:rsidR="008E532B">
        <w:rPr>
          <w:rFonts w:ascii="Arial" w:hAnsi="Arial" w:cs="Arial"/>
          <w:sz w:val="22"/>
          <w:szCs w:val="22"/>
          <w:lang w:val="fr-FR"/>
        </w:rPr>
        <w:t>’</w:t>
      </w:r>
      <w:r>
        <w:rPr>
          <w:rFonts w:ascii="Arial" w:hAnsi="Arial" w:cs="Arial"/>
          <w:sz w:val="22"/>
          <w:szCs w:val="22"/>
          <w:lang w:val="fr-FR"/>
        </w:rPr>
        <w:t>avaient</w:t>
      </w:r>
      <w:r w:rsidRPr="003532DA">
        <w:rPr>
          <w:rFonts w:ascii="Arial" w:hAnsi="Arial" w:cs="Arial"/>
          <w:sz w:val="22"/>
          <w:szCs w:val="22"/>
          <w:lang w:val="fr-FR"/>
        </w:rPr>
        <w:t xml:space="preserve"> mentionné, il n</w:t>
      </w:r>
      <w:r w:rsidR="008E532B">
        <w:rPr>
          <w:rFonts w:ascii="Arial" w:hAnsi="Arial" w:cs="Arial"/>
          <w:sz w:val="22"/>
          <w:szCs w:val="22"/>
          <w:lang w:val="fr-FR"/>
        </w:rPr>
        <w:t>’</w:t>
      </w:r>
      <w:r>
        <w:rPr>
          <w:rFonts w:ascii="Arial" w:hAnsi="Arial" w:cs="Arial"/>
          <w:sz w:val="22"/>
          <w:szCs w:val="22"/>
          <w:lang w:val="fr-FR"/>
        </w:rPr>
        <w:t>était</w:t>
      </w:r>
      <w:r w:rsidRPr="003532DA">
        <w:rPr>
          <w:rFonts w:ascii="Arial" w:hAnsi="Arial" w:cs="Arial"/>
          <w:sz w:val="22"/>
          <w:szCs w:val="22"/>
          <w:lang w:val="fr-FR"/>
        </w:rPr>
        <w:t xml:space="preserve"> pas satisfaisant de constater que l</w:t>
      </w:r>
      <w:r w:rsidR="008E532B">
        <w:rPr>
          <w:rFonts w:ascii="Arial" w:hAnsi="Arial" w:cs="Arial"/>
          <w:sz w:val="22"/>
          <w:szCs w:val="22"/>
          <w:lang w:val="fr-FR"/>
        </w:rPr>
        <w:t>’</w:t>
      </w:r>
      <w:r w:rsidRPr="003532DA">
        <w:rPr>
          <w:rFonts w:ascii="Arial" w:hAnsi="Arial" w:cs="Arial"/>
          <w:sz w:val="22"/>
          <w:szCs w:val="22"/>
          <w:lang w:val="fr-FR"/>
        </w:rPr>
        <w:t>Amérique latine ne compt</w:t>
      </w:r>
      <w:r>
        <w:rPr>
          <w:rFonts w:ascii="Arial" w:hAnsi="Arial" w:cs="Arial"/>
          <w:sz w:val="22"/>
          <w:szCs w:val="22"/>
          <w:lang w:val="fr-FR"/>
        </w:rPr>
        <w:t>ait</w:t>
      </w:r>
      <w:r w:rsidRPr="003532DA">
        <w:rPr>
          <w:rFonts w:ascii="Arial" w:hAnsi="Arial" w:cs="Arial"/>
          <w:sz w:val="22"/>
          <w:szCs w:val="22"/>
          <w:lang w:val="fr-FR"/>
        </w:rPr>
        <w:t xml:space="preserve"> que trois pays parmi les trente</w:t>
      </w:r>
      <w:r>
        <w:rPr>
          <w:rFonts w:ascii="Arial" w:hAnsi="Arial" w:cs="Arial"/>
          <w:sz w:val="22"/>
          <w:szCs w:val="22"/>
          <w:lang w:val="fr-FR"/>
        </w:rPr>
        <w:noBreakHyphen/>
      </w:r>
      <w:r w:rsidRPr="003532DA">
        <w:rPr>
          <w:rFonts w:ascii="Arial" w:hAnsi="Arial" w:cs="Arial"/>
          <w:sz w:val="22"/>
          <w:szCs w:val="22"/>
          <w:lang w:val="fr-FR"/>
        </w:rPr>
        <w:t xml:space="preserve">deux ONG accréditées. La délégation a également noté que </w:t>
      </w:r>
      <w:r>
        <w:rPr>
          <w:rFonts w:ascii="Arial" w:hAnsi="Arial" w:cs="Arial"/>
          <w:sz w:val="22"/>
          <w:szCs w:val="22"/>
          <w:lang w:val="fr-FR"/>
        </w:rPr>
        <w:t xml:space="preserve">54 % </w:t>
      </w:r>
      <w:r w:rsidRPr="003532DA">
        <w:rPr>
          <w:rFonts w:ascii="Arial" w:hAnsi="Arial" w:cs="Arial"/>
          <w:sz w:val="22"/>
          <w:szCs w:val="22"/>
          <w:lang w:val="fr-FR"/>
        </w:rPr>
        <w:t>des ONG accréditées provenaient du Groupe I, les autres Groupes constituant le reste</w:t>
      </w:r>
      <w:r>
        <w:rPr>
          <w:rFonts w:ascii="Arial" w:hAnsi="Arial" w:cs="Arial"/>
          <w:sz w:val="22"/>
          <w:szCs w:val="22"/>
          <w:lang w:val="fr-FR"/>
        </w:rPr>
        <w:t xml:space="preserve"> du nombre total</w:t>
      </w:r>
      <w:r w:rsidRPr="003532DA">
        <w:rPr>
          <w:rFonts w:ascii="Arial" w:hAnsi="Arial" w:cs="Arial"/>
          <w:sz w:val="22"/>
          <w:szCs w:val="22"/>
          <w:lang w:val="fr-FR"/>
        </w:rPr>
        <w:t xml:space="preserve">. La délégation a suggéré que des efforts plus importants soient </w:t>
      </w:r>
      <w:r>
        <w:rPr>
          <w:rFonts w:ascii="Arial" w:hAnsi="Arial" w:cs="Arial"/>
          <w:sz w:val="22"/>
          <w:szCs w:val="22"/>
          <w:lang w:val="fr-FR"/>
        </w:rPr>
        <w:t xml:space="preserve">déployés </w:t>
      </w:r>
      <w:r w:rsidRPr="003532DA">
        <w:rPr>
          <w:rFonts w:ascii="Arial" w:hAnsi="Arial" w:cs="Arial"/>
          <w:sz w:val="22"/>
          <w:szCs w:val="22"/>
          <w:lang w:val="fr-FR"/>
        </w:rPr>
        <w:t xml:space="preserve">par les États membres </w:t>
      </w:r>
      <w:r>
        <w:rPr>
          <w:rFonts w:ascii="Arial" w:hAnsi="Arial" w:cs="Arial"/>
          <w:sz w:val="22"/>
          <w:szCs w:val="22"/>
          <w:lang w:val="fr-FR"/>
        </w:rPr>
        <w:t xml:space="preserve">ainsi que </w:t>
      </w:r>
      <w:r w:rsidRPr="003532DA">
        <w:rPr>
          <w:rFonts w:ascii="Arial" w:hAnsi="Arial" w:cs="Arial"/>
          <w:sz w:val="22"/>
          <w:szCs w:val="22"/>
          <w:lang w:val="fr-FR"/>
        </w:rPr>
        <w:t>par le Secrétariat pour s</w:t>
      </w:r>
      <w:r w:rsidR="008E532B">
        <w:rPr>
          <w:rFonts w:ascii="Arial" w:hAnsi="Arial" w:cs="Arial"/>
          <w:sz w:val="22"/>
          <w:szCs w:val="22"/>
          <w:lang w:val="fr-FR"/>
        </w:rPr>
        <w:t>’</w:t>
      </w:r>
      <w:r w:rsidRPr="003532DA">
        <w:rPr>
          <w:rFonts w:ascii="Arial" w:hAnsi="Arial" w:cs="Arial"/>
          <w:sz w:val="22"/>
          <w:szCs w:val="22"/>
          <w:lang w:val="fr-FR"/>
        </w:rPr>
        <w:t>assurer que les ONG figurant sur la liste ont les compétences requises, car il ne s</w:t>
      </w:r>
      <w:r w:rsidR="008E532B">
        <w:rPr>
          <w:rFonts w:ascii="Arial" w:hAnsi="Arial" w:cs="Arial"/>
          <w:sz w:val="22"/>
          <w:szCs w:val="22"/>
          <w:lang w:val="fr-FR"/>
        </w:rPr>
        <w:t>’</w:t>
      </w:r>
      <w:r w:rsidRPr="003532DA">
        <w:rPr>
          <w:rFonts w:ascii="Arial" w:hAnsi="Arial" w:cs="Arial"/>
          <w:sz w:val="22"/>
          <w:szCs w:val="22"/>
          <w:lang w:val="fr-FR"/>
        </w:rPr>
        <w:t>agi</w:t>
      </w:r>
      <w:r>
        <w:rPr>
          <w:rFonts w:ascii="Arial" w:hAnsi="Arial" w:cs="Arial"/>
          <w:sz w:val="22"/>
          <w:szCs w:val="22"/>
          <w:lang w:val="fr-FR"/>
        </w:rPr>
        <w:t>ssai</w:t>
      </w:r>
      <w:r w:rsidRPr="003532DA">
        <w:rPr>
          <w:rFonts w:ascii="Arial" w:hAnsi="Arial" w:cs="Arial"/>
          <w:sz w:val="22"/>
          <w:szCs w:val="22"/>
          <w:lang w:val="fr-FR"/>
        </w:rPr>
        <w:t>t pas seulement d</w:t>
      </w:r>
      <w:r w:rsidR="008E532B">
        <w:rPr>
          <w:rFonts w:ascii="Arial" w:hAnsi="Arial" w:cs="Arial"/>
          <w:sz w:val="22"/>
          <w:szCs w:val="22"/>
          <w:lang w:val="fr-FR"/>
        </w:rPr>
        <w:t>’</w:t>
      </w:r>
      <w:r w:rsidRPr="003532DA">
        <w:rPr>
          <w:rFonts w:ascii="Arial" w:hAnsi="Arial" w:cs="Arial"/>
          <w:sz w:val="22"/>
          <w:szCs w:val="22"/>
          <w:lang w:val="fr-FR"/>
        </w:rPr>
        <w:t>une question d</w:t>
      </w:r>
      <w:r w:rsidR="008E532B">
        <w:rPr>
          <w:rFonts w:ascii="Arial" w:hAnsi="Arial" w:cs="Arial"/>
          <w:sz w:val="22"/>
          <w:szCs w:val="22"/>
          <w:lang w:val="fr-FR"/>
        </w:rPr>
        <w:t>’</w:t>
      </w:r>
      <w:r w:rsidRPr="003532DA">
        <w:rPr>
          <w:rFonts w:ascii="Arial" w:hAnsi="Arial" w:cs="Arial"/>
          <w:sz w:val="22"/>
          <w:szCs w:val="22"/>
          <w:lang w:val="fr-FR"/>
        </w:rPr>
        <w:t>accréditation ou de pays d</w:t>
      </w:r>
      <w:r w:rsidR="008E532B">
        <w:rPr>
          <w:rFonts w:ascii="Arial" w:hAnsi="Arial" w:cs="Arial"/>
          <w:sz w:val="22"/>
          <w:szCs w:val="22"/>
          <w:lang w:val="fr-FR"/>
        </w:rPr>
        <w:t>’</w:t>
      </w:r>
      <w:r w:rsidRPr="003532DA">
        <w:rPr>
          <w:rFonts w:ascii="Arial" w:hAnsi="Arial" w:cs="Arial"/>
          <w:sz w:val="22"/>
          <w:szCs w:val="22"/>
          <w:lang w:val="fr-FR"/>
        </w:rPr>
        <w:t xml:space="preserve">affiliation. La délégation a évoqué des cas dans lesquels des ONG sont accréditées en Europe mais sont actives en Amérique latine. </w:t>
      </w:r>
      <w:r>
        <w:rPr>
          <w:rFonts w:ascii="Arial" w:hAnsi="Arial" w:cs="Arial"/>
          <w:sz w:val="22"/>
          <w:szCs w:val="22"/>
          <w:lang w:val="fr-FR"/>
        </w:rPr>
        <w:t xml:space="preserve">On ne saurait donc dire </w:t>
      </w:r>
      <w:r w:rsidRPr="003532DA">
        <w:rPr>
          <w:rFonts w:ascii="Arial" w:hAnsi="Arial" w:cs="Arial"/>
          <w:sz w:val="22"/>
          <w:szCs w:val="22"/>
          <w:lang w:val="fr-FR"/>
        </w:rPr>
        <w:t>si leurs compétences se situaient en Amérique latine ou en Europe. C</w:t>
      </w:r>
      <w:r w:rsidR="008E532B">
        <w:rPr>
          <w:rFonts w:ascii="Arial" w:hAnsi="Arial" w:cs="Arial"/>
          <w:sz w:val="22"/>
          <w:szCs w:val="22"/>
          <w:lang w:val="fr-FR"/>
        </w:rPr>
        <w:t>’</w:t>
      </w:r>
      <w:r>
        <w:rPr>
          <w:rFonts w:ascii="Arial" w:hAnsi="Arial" w:cs="Arial"/>
          <w:sz w:val="22"/>
          <w:szCs w:val="22"/>
          <w:lang w:val="fr-FR"/>
        </w:rPr>
        <w:t xml:space="preserve">était </w:t>
      </w:r>
      <w:r w:rsidRPr="003532DA">
        <w:rPr>
          <w:rFonts w:ascii="Arial" w:hAnsi="Arial" w:cs="Arial"/>
          <w:sz w:val="22"/>
          <w:szCs w:val="22"/>
          <w:lang w:val="fr-FR"/>
        </w:rPr>
        <w:t>l</w:t>
      </w:r>
      <w:r w:rsidR="008E532B">
        <w:rPr>
          <w:rFonts w:ascii="Arial" w:hAnsi="Arial" w:cs="Arial"/>
          <w:sz w:val="22"/>
          <w:szCs w:val="22"/>
          <w:lang w:val="fr-FR"/>
        </w:rPr>
        <w:t>’</w:t>
      </w:r>
      <w:r w:rsidRPr="003532DA">
        <w:rPr>
          <w:rFonts w:ascii="Arial" w:hAnsi="Arial" w:cs="Arial"/>
          <w:sz w:val="22"/>
          <w:szCs w:val="22"/>
          <w:lang w:val="fr-FR"/>
        </w:rPr>
        <w:t>un des cas que l</w:t>
      </w:r>
      <w:r w:rsidR="008E532B">
        <w:rPr>
          <w:rFonts w:ascii="Arial" w:hAnsi="Arial" w:cs="Arial"/>
          <w:sz w:val="22"/>
          <w:szCs w:val="22"/>
          <w:lang w:val="fr-FR"/>
        </w:rPr>
        <w:t>’</w:t>
      </w:r>
      <w:r w:rsidRPr="003532DA">
        <w:rPr>
          <w:rFonts w:ascii="Arial" w:hAnsi="Arial" w:cs="Arial"/>
          <w:sz w:val="22"/>
          <w:szCs w:val="22"/>
          <w:lang w:val="fr-FR"/>
        </w:rPr>
        <w:t>Assemblée examinerait ultérieurement. La délégation souten</w:t>
      </w:r>
      <w:r>
        <w:rPr>
          <w:rFonts w:ascii="Arial" w:hAnsi="Arial" w:cs="Arial"/>
          <w:sz w:val="22"/>
          <w:szCs w:val="22"/>
          <w:lang w:val="fr-FR"/>
        </w:rPr>
        <w:t>ait</w:t>
      </w:r>
      <w:r w:rsidRPr="003532DA">
        <w:rPr>
          <w:rFonts w:ascii="Arial" w:hAnsi="Arial" w:cs="Arial"/>
          <w:sz w:val="22"/>
          <w:szCs w:val="22"/>
          <w:lang w:val="fr-FR"/>
        </w:rPr>
        <w:t xml:space="preserve"> l</w:t>
      </w:r>
      <w:r w:rsidR="008E532B">
        <w:rPr>
          <w:rFonts w:ascii="Arial" w:hAnsi="Arial" w:cs="Arial"/>
          <w:sz w:val="22"/>
          <w:szCs w:val="22"/>
          <w:lang w:val="fr-FR"/>
        </w:rPr>
        <w:t>’</w:t>
      </w:r>
      <w:r w:rsidRPr="003532DA">
        <w:rPr>
          <w:rFonts w:ascii="Arial" w:hAnsi="Arial" w:cs="Arial"/>
          <w:sz w:val="22"/>
          <w:szCs w:val="22"/>
          <w:lang w:val="fr-FR"/>
        </w:rPr>
        <w:t>amendement proposé par le Mexique, ajoutant qu</w:t>
      </w:r>
      <w:r w:rsidR="008E532B">
        <w:rPr>
          <w:rFonts w:ascii="Arial" w:hAnsi="Arial" w:cs="Arial"/>
          <w:sz w:val="22"/>
          <w:szCs w:val="22"/>
          <w:lang w:val="fr-FR"/>
        </w:rPr>
        <w:t>’</w:t>
      </w:r>
      <w:r w:rsidRPr="003532DA">
        <w:rPr>
          <w:rFonts w:ascii="Arial" w:hAnsi="Arial" w:cs="Arial"/>
          <w:sz w:val="22"/>
          <w:szCs w:val="22"/>
          <w:lang w:val="fr-FR"/>
        </w:rPr>
        <w:t xml:space="preserve">il </w:t>
      </w:r>
      <w:r>
        <w:rPr>
          <w:rFonts w:ascii="Arial" w:hAnsi="Arial" w:cs="Arial"/>
          <w:sz w:val="22"/>
          <w:szCs w:val="22"/>
          <w:lang w:val="fr-FR"/>
        </w:rPr>
        <w:t>était</w:t>
      </w:r>
      <w:r w:rsidRPr="003532DA">
        <w:rPr>
          <w:rFonts w:ascii="Arial" w:hAnsi="Arial" w:cs="Arial"/>
          <w:sz w:val="22"/>
          <w:szCs w:val="22"/>
          <w:lang w:val="fr-FR"/>
        </w:rPr>
        <w:t xml:space="preserve"> </w:t>
      </w:r>
      <w:r>
        <w:rPr>
          <w:rFonts w:ascii="Arial" w:hAnsi="Arial" w:cs="Arial"/>
          <w:sz w:val="22"/>
          <w:szCs w:val="22"/>
          <w:lang w:val="fr-FR"/>
        </w:rPr>
        <w:t>évident</w:t>
      </w:r>
      <w:r w:rsidRPr="003532DA">
        <w:rPr>
          <w:rFonts w:ascii="Arial" w:hAnsi="Arial" w:cs="Arial"/>
          <w:sz w:val="22"/>
          <w:szCs w:val="22"/>
          <w:lang w:val="fr-FR"/>
        </w:rPr>
        <w:t xml:space="preserve"> que la tâche des ONG est fondamentale. En effet, il n</w:t>
      </w:r>
      <w:r w:rsidR="008E532B">
        <w:rPr>
          <w:rFonts w:ascii="Arial" w:hAnsi="Arial" w:cs="Arial"/>
          <w:sz w:val="22"/>
          <w:szCs w:val="22"/>
          <w:lang w:val="fr-FR"/>
        </w:rPr>
        <w:t>’</w:t>
      </w:r>
      <w:r w:rsidRPr="003532DA">
        <w:rPr>
          <w:rFonts w:ascii="Arial" w:hAnsi="Arial" w:cs="Arial"/>
          <w:sz w:val="22"/>
          <w:szCs w:val="22"/>
          <w:lang w:val="fr-FR"/>
        </w:rPr>
        <w:t>exist</w:t>
      </w:r>
      <w:r>
        <w:rPr>
          <w:rFonts w:ascii="Arial" w:hAnsi="Arial" w:cs="Arial"/>
          <w:sz w:val="22"/>
          <w:szCs w:val="22"/>
          <w:lang w:val="fr-FR"/>
        </w:rPr>
        <w:t>ait</w:t>
      </w:r>
      <w:r w:rsidRPr="003532DA">
        <w:rPr>
          <w:rFonts w:ascii="Arial" w:hAnsi="Arial" w:cs="Arial"/>
          <w:sz w:val="22"/>
          <w:szCs w:val="22"/>
          <w:lang w:val="fr-FR"/>
        </w:rPr>
        <w:t xml:space="preserve"> pas une </w:t>
      </w:r>
      <w:r>
        <w:rPr>
          <w:rFonts w:ascii="Arial" w:hAnsi="Arial" w:cs="Arial"/>
          <w:sz w:val="22"/>
          <w:szCs w:val="22"/>
          <w:lang w:val="fr-FR"/>
        </w:rPr>
        <w:t>« </w:t>
      </w:r>
      <w:r w:rsidRPr="003532DA">
        <w:rPr>
          <w:rFonts w:ascii="Arial" w:hAnsi="Arial" w:cs="Arial"/>
          <w:sz w:val="22"/>
          <w:szCs w:val="22"/>
          <w:lang w:val="fr-FR"/>
        </w:rPr>
        <w:t xml:space="preserve">équipe </w:t>
      </w:r>
      <w:r>
        <w:rPr>
          <w:rFonts w:ascii="Arial" w:hAnsi="Arial" w:cs="Arial"/>
          <w:sz w:val="22"/>
          <w:szCs w:val="22"/>
          <w:lang w:val="fr-FR"/>
        </w:rPr>
        <w:t>É</w:t>
      </w:r>
      <w:r w:rsidRPr="003532DA">
        <w:rPr>
          <w:rFonts w:ascii="Arial" w:hAnsi="Arial" w:cs="Arial"/>
          <w:sz w:val="22"/>
          <w:szCs w:val="22"/>
          <w:lang w:val="fr-FR"/>
        </w:rPr>
        <w:t>tats</w:t>
      </w:r>
      <w:r>
        <w:rPr>
          <w:rFonts w:ascii="Arial" w:hAnsi="Arial" w:cs="Arial"/>
          <w:sz w:val="22"/>
          <w:szCs w:val="22"/>
          <w:lang w:val="fr-FR"/>
        </w:rPr>
        <w:t> </w:t>
      </w:r>
      <w:r w:rsidRPr="003532DA">
        <w:rPr>
          <w:rFonts w:ascii="Arial" w:hAnsi="Arial" w:cs="Arial"/>
          <w:sz w:val="22"/>
          <w:szCs w:val="22"/>
          <w:lang w:val="fr-FR"/>
        </w:rPr>
        <w:t>parties</w:t>
      </w:r>
      <w:r>
        <w:rPr>
          <w:rFonts w:ascii="Arial" w:hAnsi="Arial" w:cs="Arial"/>
          <w:sz w:val="22"/>
          <w:szCs w:val="22"/>
          <w:lang w:val="fr-FR"/>
        </w:rPr>
        <w:t> »</w:t>
      </w:r>
      <w:r w:rsidRPr="003532DA">
        <w:rPr>
          <w:rFonts w:ascii="Arial" w:hAnsi="Arial" w:cs="Arial"/>
          <w:sz w:val="22"/>
          <w:szCs w:val="22"/>
          <w:lang w:val="fr-FR"/>
        </w:rPr>
        <w:t xml:space="preserve"> et une </w:t>
      </w:r>
      <w:r>
        <w:rPr>
          <w:rFonts w:ascii="Arial" w:hAnsi="Arial" w:cs="Arial"/>
          <w:sz w:val="22"/>
          <w:szCs w:val="22"/>
          <w:lang w:val="fr-FR"/>
        </w:rPr>
        <w:t>« </w:t>
      </w:r>
      <w:r w:rsidRPr="003532DA">
        <w:rPr>
          <w:rFonts w:ascii="Arial" w:hAnsi="Arial" w:cs="Arial"/>
          <w:sz w:val="22"/>
          <w:szCs w:val="22"/>
          <w:lang w:val="fr-FR"/>
        </w:rPr>
        <w:t>équipe ONG</w:t>
      </w:r>
      <w:r>
        <w:rPr>
          <w:rFonts w:ascii="Arial" w:hAnsi="Arial" w:cs="Arial"/>
          <w:sz w:val="22"/>
          <w:szCs w:val="22"/>
          <w:lang w:val="fr-FR"/>
        </w:rPr>
        <w:t> »</w:t>
      </w:r>
      <w:r w:rsidRPr="003532DA">
        <w:rPr>
          <w:rFonts w:ascii="Arial" w:hAnsi="Arial" w:cs="Arial"/>
          <w:sz w:val="22"/>
          <w:szCs w:val="22"/>
          <w:lang w:val="fr-FR"/>
        </w:rPr>
        <w:t xml:space="preserve">. Nous </w:t>
      </w:r>
      <w:r>
        <w:rPr>
          <w:rFonts w:ascii="Arial" w:hAnsi="Arial" w:cs="Arial"/>
          <w:sz w:val="22"/>
          <w:szCs w:val="22"/>
          <w:lang w:val="fr-FR"/>
        </w:rPr>
        <w:t xml:space="preserve">œuvrions </w:t>
      </w:r>
      <w:r w:rsidRPr="003532DA">
        <w:rPr>
          <w:rFonts w:ascii="Arial" w:hAnsi="Arial" w:cs="Arial"/>
          <w:sz w:val="22"/>
          <w:szCs w:val="22"/>
          <w:lang w:val="fr-FR"/>
        </w:rPr>
        <w:t xml:space="preserve">tous ensemble </w:t>
      </w:r>
      <w:r>
        <w:rPr>
          <w:rFonts w:ascii="Arial" w:hAnsi="Arial" w:cs="Arial"/>
          <w:sz w:val="22"/>
          <w:szCs w:val="22"/>
          <w:lang w:val="fr-FR"/>
        </w:rPr>
        <w:t>à la réussite</w:t>
      </w:r>
      <w:r w:rsidRPr="003532DA">
        <w:rPr>
          <w:rFonts w:ascii="Arial" w:hAnsi="Arial" w:cs="Arial"/>
          <w:sz w:val="22"/>
          <w:szCs w:val="22"/>
          <w:lang w:val="fr-FR"/>
        </w:rPr>
        <w:t xml:space="preserve"> de cette Convention. La délégation a convenu que davantage d</w:t>
      </w:r>
      <w:r w:rsidR="008E532B">
        <w:rPr>
          <w:rFonts w:ascii="Arial" w:hAnsi="Arial" w:cs="Arial"/>
          <w:sz w:val="22"/>
          <w:szCs w:val="22"/>
          <w:lang w:val="fr-FR"/>
        </w:rPr>
        <w:t>’</w:t>
      </w:r>
      <w:r w:rsidRPr="003532DA">
        <w:rPr>
          <w:rFonts w:ascii="Arial" w:hAnsi="Arial" w:cs="Arial"/>
          <w:sz w:val="22"/>
          <w:szCs w:val="22"/>
          <w:lang w:val="fr-FR"/>
        </w:rPr>
        <w:t xml:space="preserve">informations et de recherches </w:t>
      </w:r>
      <w:r>
        <w:rPr>
          <w:rFonts w:ascii="Arial" w:hAnsi="Arial" w:cs="Arial"/>
          <w:sz w:val="22"/>
          <w:szCs w:val="22"/>
          <w:lang w:val="fr-FR"/>
        </w:rPr>
        <w:t xml:space="preserve">sont </w:t>
      </w:r>
      <w:r w:rsidRPr="003532DA">
        <w:rPr>
          <w:rFonts w:ascii="Arial" w:hAnsi="Arial" w:cs="Arial"/>
          <w:sz w:val="22"/>
          <w:szCs w:val="22"/>
          <w:lang w:val="fr-FR"/>
        </w:rPr>
        <w:t xml:space="preserve">nécessaires lorsque des propositions </w:t>
      </w:r>
      <w:r>
        <w:rPr>
          <w:rFonts w:ascii="Arial" w:hAnsi="Arial" w:cs="Arial"/>
          <w:sz w:val="22"/>
          <w:szCs w:val="22"/>
          <w:lang w:val="fr-FR"/>
        </w:rPr>
        <w:t xml:space="preserve">sont </w:t>
      </w:r>
      <w:r w:rsidRPr="003532DA">
        <w:rPr>
          <w:rFonts w:ascii="Arial" w:hAnsi="Arial" w:cs="Arial"/>
          <w:sz w:val="22"/>
          <w:szCs w:val="22"/>
          <w:lang w:val="fr-FR"/>
        </w:rPr>
        <w:t>déposées,</w:t>
      </w:r>
      <w:r>
        <w:rPr>
          <w:rFonts w:ascii="Arial" w:hAnsi="Arial" w:cs="Arial"/>
          <w:sz w:val="22"/>
          <w:szCs w:val="22"/>
          <w:lang w:val="fr-FR"/>
        </w:rPr>
        <w:t xml:space="preserve"> </w:t>
      </w:r>
      <w:r w:rsidRPr="003532DA">
        <w:rPr>
          <w:rFonts w:ascii="Arial" w:hAnsi="Arial" w:cs="Arial"/>
          <w:sz w:val="22"/>
          <w:szCs w:val="22"/>
          <w:lang w:val="fr-FR"/>
        </w:rPr>
        <w:t>insistant sur le fait qu</w:t>
      </w:r>
      <w:r w:rsidR="008E532B">
        <w:rPr>
          <w:rFonts w:ascii="Arial" w:hAnsi="Arial" w:cs="Arial"/>
          <w:sz w:val="22"/>
          <w:szCs w:val="22"/>
          <w:lang w:val="fr-FR"/>
        </w:rPr>
        <w:t>’</w:t>
      </w:r>
      <w:r w:rsidRPr="003532DA">
        <w:rPr>
          <w:rFonts w:ascii="Arial" w:hAnsi="Arial" w:cs="Arial"/>
          <w:sz w:val="22"/>
          <w:szCs w:val="22"/>
          <w:lang w:val="fr-FR"/>
        </w:rPr>
        <w:t>il appart</w:t>
      </w:r>
      <w:r>
        <w:rPr>
          <w:rFonts w:ascii="Arial" w:hAnsi="Arial" w:cs="Arial"/>
          <w:sz w:val="22"/>
          <w:szCs w:val="22"/>
          <w:lang w:val="fr-FR"/>
        </w:rPr>
        <w:t>ient</w:t>
      </w:r>
      <w:r w:rsidRPr="003532DA">
        <w:rPr>
          <w:rFonts w:ascii="Arial" w:hAnsi="Arial" w:cs="Arial"/>
          <w:sz w:val="22"/>
          <w:szCs w:val="22"/>
          <w:lang w:val="fr-FR"/>
        </w:rPr>
        <w:t xml:space="preserve"> aux États parties de s</w:t>
      </w:r>
      <w:r w:rsidR="008E532B">
        <w:rPr>
          <w:rFonts w:ascii="Arial" w:hAnsi="Arial" w:cs="Arial"/>
          <w:sz w:val="22"/>
          <w:szCs w:val="22"/>
          <w:lang w:val="fr-FR"/>
        </w:rPr>
        <w:t>’</w:t>
      </w:r>
      <w:r w:rsidRPr="003532DA">
        <w:rPr>
          <w:rFonts w:ascii="Arial" w:hAnsi="Arial" w:cs="Arial"/>
          <w:sz w:val="22"/>
          <w:szCs w:val="22"/>
          <w:lang w:val="fr-FR"/>
        </w:rPr>
        <w:t>assurer que les ONG</w:t>
      </w:r>
      <w:r>
        <w:rPr>
          <w:rFonts w:ascii="Arial" w:hAnsi="Arial" w:cs="Arial"/>
          <w:sz w:val="22"/>
          <w:szCs w:val="22"/>
          <w:lang w:val="fr-FR"/>
        </w:rPr>
        <w:t xml:space="preserve"> sont bien intéressées </w:t>
      </w:r>
      <w:r w:rsidRPr="003532DA">
        <w:rPr>
          <w:rFonts w:ascii="Arial" w:hAnsi="Arial" w:cs="Arial"/>
          <w:sz w:val="22"/>
          <w:szCs w:val="22"/>
          <w:lang w:val="fr-FR"/>
        </w:rPr>
        <w:t xml:space="preserve">et </w:t>
      </w:r>
      <w:r>
        <w:rPr>
          <w:rFonts w:ascii="Arial" w:hAnsi="Arial" w:cs="Arial"/>
          <w:sz w:val="22"/>
          <w:szCs w:val="22"/>
          <w:lang w:val="fr-FR"/>
        </w:rPr>
        <w:t>satisfont à</w:t>
      </w:r>
      <w:r w:rsidRPr="003532DA">
        <w:rPr>
          <w:rFonts w:ascii="Arial" w:hAnsi="Arial" w:cs="Arial"/>
          <w:sz w:val="22"/>
          <w:szCs w:val="22"/>
          <w:lang w:val="fr-FR"/>
        </w:rPr>
        <w:t xml:space="preserve"> toutes les conditions </w:t>
      </w:r>
      <w:r>
        <w:rPr>
          <w:rFonts w:ascii="Arial" w:hAnsi="Arial" w:cs="Arial"/>
          <w:sz w:val="22"/>
          <w:szCs w:val="22"/>
          <w:lang w:val="fr-FR"/>
        </w:rPr>
        <w:t xml:space="preserve">nécessaires </w:t>
      </w:r>
      <w:r w:rsidRPr="003532DA">
        <w:rPr>
          <w:rFonts w:ascii="Arial" w:hAnsi="Arial" w:cs="Arial"/>
          <w:sz w:val="22"/>
          <w:szCs w:val="22"/>
          <w:lang w:val="fr-FR"/>
        </w:rPr>
        <w:t>à l</w:t>
      </w:r>
      <w:r w:rsidR="008E532B">
        <w:rPr>
          <w:rFonts w:ascii="Arial" w:hAnsi="Arial" w:cs="Arial"/>
          <w:sz w:val="22"/>
          <w:szCs w:val="22"/>
          <w:lang w:val="fr-FR"/>
        </w:rPr>
        <w:t>’</w:t>
      </w:r>
      <w:r w:rsidRPr="003532DA">
        <w:rPr>
          <w:rFonts w:ascii="Arial" w:hAnsi="Arial" w:cs="Arial"/>
          <w:sz w:val="22"/>
          <w:szCs w:val="22"/>
          <w:lang w:val="fr-FR"/>
        </w:rPr>
        <w:t>accréditation que les États parties ont eux-mêmes décidées.</w:t>
      </w:r>
    </w:p>
    <w:p w14:paraId="58001384" w14:textId="207AB31E" w:rsidR="00D9653F" w:rsidRPr="00E0387D"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E0387D">
        <w:rPr>
          <w:rFonts w:ascii="Arial" w:hAnsi="Arial" w:cs="Arial"/>
          <w:sz w:val="22"/>
          <w:szCs w:val="22"/>
          <w:lang w:val="fr-FR"/>
        </w:rPr>
        <w:t xml:space="preserve">La délégation de la </w:t>
      </w:r>
      <w:r w:rsidRPr="00E0387D">
        <w:rPr>
          <w:rFonts w:ascii="Arial" w:hAnsi="Arial" w:cs="Arial"/>
          <w:b/>
          <w:bCs/>
          <w:sz w:val="22"/>
          <w:szCs w:val="22"/>
          <w:lang w:val="fr-FR"/>
        </w:rPr>
        <w:t>Belgique</w:t>
      </w:r>
      <w:r w:rsidRPr="00E0387D">
        <w:rPr>
          <w:rFonts w:ascii="Arial" w:hAnsi="Arial" w:cs="Arial"/>
          <w:sz w:val="22"/>
          <w:szCs w:val="22"/>
          <w:lang w:val="fr-FR"/>
        </w:rPr>
        <w:t xml:space="preserve"> a félicité la Présidente pour l</w:t>
      </w:r>
      <w:r w:rsidR="008E532B">
        <w:rPr>
          <w:rFonts w:ascii="Arial" w:hAnsi="Arial" w:cs="Arial"/>
          <w:sz w:val="22"/>
          <w:szCs w:val="22"/>
          <w:lang w:val="fr-FR"/>
        </w:rPr>
        <w:t>’</w:t>
      </w:r>
      <w:r w:rsidRPr="00E0387D">
        <w:rPr>
          <w:rFonts w:ascii="Arial" w:hAnsi="Arial" w:cs="Arial"/>
          <w:sz w:val="22"/>
          <w:szCs w:val="22"/>
          <w:lang w:val="fr-FR"/>
        </w:rPr>
        <w:t>excellente conduite des travaux. La Belgique sout</w:t>
      </w:r>
      <w:r>
        <w:rPr>
          <w:rFonts w:ascii="Arial" w:hAnsi="Arial" w:cs="Arial"/>
          <w:sz w:val="22"/>
          <w:szCs w:val="22"/>
          <w:lang w:val="fr-FR"/>
        </w:rPr>
        <w:t>enait</w:t>
      </w:r>
      <w:r w:rsidRPr="00E0387D">
        <w:rPr>
          <w:rFonts w:ascii="Arial" w:hAnsi="Arial" w:cs="Arial"/>
          <w:sz w:val="22"/>
          <w:szCs w:val="22"/>
          <w:lang w:val="fr-FR"/>
        </w:rPr>
        <w:t xml:space="preserve"> le travail des ONG dans cette Convention. Comme l</w:t>
      </w:r>
      <w:r w:rsidR="008E532B">
        <w:rPr>
          <w:rFonts w:ascii="Arial" w:hAnsi="Arial" w:cs="Arial"/>
          <w:sz w:val="22"/>
          <w:szCs w:val="22"/>
          <w:lang w:val="fr-FR"/>
        </w:rPr>
        <w:t>’</w:t>
      </w:r>
      <w:r w:rsidRPr="00E0387D">
        <w:rPr>
          <w:rFonts w:ascii="Arial" w:hAnsi="Arial" w:cs="Arial"/>
          <w:sz w:val="22"/>
          <w:szCs w:val="22"/>
          <w:lang w:val="fr-FR"/>
        </w:rPr>
        <w:t>a</w:t>
      </w:r>
      <w:r>
        <w:rPr>
          <w:rFonts w:ascii="Arial" w:hAnsi="Arial" w:cs="Arial"/>
          <w:sz w:val="22"/>
          <w:szCs w:val="22"/>
          <w:lang w:val="fr-FR"/>
        </w:rPr>
        <w:t>vait</w:t>
      </w:r>
      <w:r w:rsidRPr="00E0387D">
        <w:rPr>
          <w:rFonts w:ascii="Arial" w:hAnsi="Arial" w:cs="Arial"/>
          <w:sz w:val="22"/>
          <w:szCs w:val="22"/>
          <w:lang w:val="fr-FR"/>
        </w:rPr>
        <w:t xml:space="preserve"> expliqué la Suède, les ONG </w:t>
      </w:r>
      <w:r>
        <w:rPr>
          <w:rFonts w:ascii="Arial" w:hAnsi="Arial" w:cs="Arial"/>
          <w:sz w:val="22"/>
          <w:szCs w:val="22"/>
          <w:lang w:val="fr-FR"/>
        </w:rPr>
        <w:t>étaient</w:t>
      </w:r>
      <w:r w:rsidRPr="00E0387D">
        <w:rPr>
          <w:rFonts w:ascii="Arial" w:hAnsi="Arial" w:cs="Arial"/>
          <w:sz w:val="22"/>
          <w:szCs w:val="22"/>
          <w:lang w:val="fr-FR"/>
        </w:rPr>
        <w:t xml:space="preserve"> non gouvernementales et n</w:t>
      </w:r>
      <w:r w:rsidR="008E532B">
        <w:rPr>
          <w:rFonts w:ascii="Arial" w:hAnsi="Arial" w:cs="Arial"/>
          <w:sz w:val="22"/>
          <w:szCs w:val="22"/>
          <w:lang w:val="fr-FR"/>
        </w:rPr>
        <w:t>’</w:t>
      </w:r>
      <w:r>
        <w:rPr>
          <w:rFonts w:ascii="Arial" w:hAnsi="Arial" w:cs="Arial"/>
          <w:sz w:val="22"/>
          <w:szCs w:val="22"/>
          <w:lang w:val="fr-FR"/>
        </w:rPr>
        <w:t>étaient</w:t>
      </w:r>
      <w:r w:rsidRPr="00E0387D">
        <w:rPr>
          <w:rFonts w:ascii="Arial" w:hAnsi="Arial" w:cs="Arial"/>
          <w:sz w:val="22"/>
          <w:szCs w:val="22"/>
          <w:lang w:val="fr-FR"/>
        </w:rPr>
        <w:t xml:space="preserve"> donc pas liées aux gouvernements. La délégation sout</w:t>
      </w:r>
      <w:r>
        <w:rPr>
          <w:rFonts w:ascii="Arial" w:hAnsi="Arial" w:cs="Arial"/>
          <w:sz w:val="22"/>
          <w:szCs w:val="22"/>
          <w:lang w:val="fr-FR"/>
        </w:rPr>
        <w:t>enait</w:t>
      </w:r>
      <w:r w:rsidRPr="00E0387D">
        <w:rPr>
          <w:rFonts w:ascii="Arial" w:hAnsi="Arial" w:cs="Arial"/>
          <w:sz w:val="22"/>
          <w:szCs w:val="22"/>
          <w:lang w:val="fr-FR"/>
        </w:rPr>
        <w:t xml:space="preserve"> également l</w:t>
      </w:r>
      <w:r w:rsidR="008E532B">
        <w:rPr>
          <w:rFonts w:ascii="Arial" w:hAnsi="Arial" w:cs="Arial"/>
          <w:sz w:val="22"/>
          <w:szCs w:val="22"/>
          <w:lang w:val="fr-FR"/>
        </w:rPr>
        <w:t>’</w:t>
      </w:r>
      <w:r w:rsidRPr="00E0387D">
        <w:rPr>
          <w:rFonts w:ascii="Arial" w:hAnsi="Arial" w:cs="Arial"/>
          <w:sz w:val="22"/>
          <w:szCs w:val="22"/>
          <w:lang w:val="fr-FR"/>
        </w:rPr>
        <w:t>accréditation des ONG domiciliées dans des États non parties à la Convention. Les formulaires d</w:t>
      </w:r>
      <w:r w:rsidR="008E532B">
        <w:rPr>
          <w:rFonts w:ascii="Arial" w:hAnsi="Arial" w:cs="Arial"/>
          <w:sz w:val="22"/>
          <w:szCs w:val="22"/>
          <w:lang w:val="fr-FR"/>
        </w:rPr>
        <w:t>’</w:t>
      </w:r>
      <w:r w:rsidRPr="00E0387D">
        <w:rPr>
          <w:rFonts w:ascii="Arial" w:hAnsi="Arial" w:cs="Arial"/>
          <w:sz w:val="22"/>
          <w:szCs w:val="22"/>
          <w:lang w:val="fr-FR"/>
        </w:rPr>
        <w:t>accréditation des ONG pourraient, comme mentionn</w:t>
      </w:r>
      <w:r>
        <w:rPr>
          <w:rFonts w:ascii="Arial" w:hAnsi="Arial" w:cs="Arial"/>
          <w:sz w:val="22"/>
          <w:szCs w:val="22"/>
          <w:lang w:val="fr-FR"/>
        </w:rPr>
        <w:t>é par</w:t>
      </w:r>
      <w:r w:rsidRPr="00E0387D">
        <w:rPr>
          <w:rFonts w:ascii="Arial" w:hAnsi="Arial" w:cs="Arial"/>
          <w:sz w:val="22"/>
          <w:szCs w:val="22"/>
          <w:lang w:val="fr-FR"/>
        </w:rPr>
        <w:t xml:space="preserve"> le Maroc, mieux identifier les capacités et les domaines de compétence, et indiquer si elles </w:t>
      </w:r>
      <w:r>
        <w:rPr>
          <w:rFonts w:ascii="Arial" w:hAnsi="Arial" w:cs="Arial"/>
          <w:sz w:val="22"/>
          <w:szCs w:val="22"/>
          <w:lang w:val="fr-FR"/>
        </w:rPr>
        <w:t xml:space="preserve">intervenaient </w:t>
      </w:r>
      <w:r w:rsidRPr="00E0387D">
        <w:rPr>
          <w:rFonts w:ascii="Arial" w:hAnsi="Arial" w:cs="Arial"/>
          <w:sz w:val="22"/>
          <w:szCs w:val="22"/>
          <w:lang w:val="fr-FR"/>
        </w:rPr>
        <w:t xml:space="preserve">au niveau local, national ou international, comme </w:t>
      </w:r>
      <w:r>
        <w:rPr>
          <w:rFonts w:ascii="Arial" w:hAnsi="Arial" w:cs="Arial"/>
          <w:sz w:val="22"/>
          <w:szCs w:val="22"/>
          <w:lang w:val="fr-FR"/>
        </w:rPr>
        <w:t>évoqué par</w:t>
      </w:r>
      <w:r w:rsidRPr="00E0387D">
        <w:rPr>
          <w:rFonts w:ascii="Arial" w:hAnsi="Arial" w:cs="Arial"/>
          <w:sz w:val="22"/>
          <w:szCs w:val="22"/>
          <w:lang w:val="fr-FR"/>
        </w:rPr>
        <w:t xml:space="preserve"> le Panama. La délégation souhait</w:t>
      </w:r>
      <w:r>
        <w:rPr>
          <w:rFonts w:ascii="Arial" w:hAnsi="Arial" w:cs="Arial"/>
          <w:sz w:val="22"/>
          <w:szCs w:val="22"/>
          <w:lang w:val="fr-FR"/>
        </w:rPr>
        <w:t xml:space="preserve">ait </w:t>
      </w:r>
      <w:r w:rsidRPr="00E0387D">
        <w:rPr>
          <w:rFonts w:ascii="Arial" w:hAnsi="Arial" w:cs="Arial"/>
          <w:sz w:val="22"/>
          <w:szCs w:val="22"/>
          <w:lang w:val="fr-FR"/>
        </w:rPr>
        <w:t>que la Convention reste aussi inclusive que possible.</w:t>
      </w:r>
    </w:p>
    <w:p w14:paraId="15F9A0C6" w14:textId="56CAF03B" w:rsidR="00D9653F" w:rsidRPr="00214348"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214348">
        <w:rPr>
          <w:rFonts w:ascii="Arial" w:hAnsi="Arial" w:cs="Arial"/>
          <w:sz w:val="22"/>
          <w:szCs w:val="22"/>
          <w:lang w:val="fr-FR"/>
        </w:rPr>
        <w:t xml:space="preserve">La délégation </w:t>
      </w:r>
      <w:r>
        <w:rPr>
          <w:rFonts w:ascii="Arial" w:hAnsi="Arial" w:cs="Arial"/>
          <w:sz w:val="22"/>
          <w:szCs w:val="22"/>
          <w:lang w:val="fr-FR"/>
        </w:rPr>
        <w:t xml:space="preserve">de la </w:t>
      </w:r>
      <w:r w:rsidRPr="00214348">
        <w:rPr>
          <w:rFonts w:ascii="Arial" w:hAnsi="Arial" w:cs="Arial"/>
          <w:b/>
          <w:bCs/>
          <w:sz w:val="22"/>
          <w:szCs w:val="22"/>
          <w:lang w:val="fr-FR"/>
        </w:rPr>
        <w:t>Suisse</w:t>
      </w:r>
      <w:r w:rsidRPr="00214348">
        <w:rPr>
          <w:rFonts w:ascii="Arial" w:hAnsi="Arial" w:cs="Arial"/>
          <w:sz w:val="22"/>
          <w:szCs w:val="22"/>
          <w:lang w:val="fr-FR"/>
        </w:rPr>
        <w:t xml:space="preserve"> a r</w:t>
      </w:r>
      <w:r>
        <w:rPr>
          <w:rFonts w:ascii="Arial" w:hAnsi="Arial" w:cs="Arial"/>
          <w:sz w:val="22"/>
          <w:szCs w:val="22"/>
          <w:lang w:val="fr-FR"/>
        </w:rPr>
        <w:t>éaffirmé</w:t>
      </w:r>
      <w:r w:rsidRPr="00214348">
        <w:rPr>
          <w:rFonts w:ascii="Arial" w:hAnsi="Arial" w:cs="Arial"/>
          <w:sz w:val="22"/>
          <w:szCs w:val="22"/>
          <w:lang w:val="fr-FR"/>
        </w:rPr>
        <w:t xml:space="preserve"> le rôle crucial des ONG dans cette Convention, comme l</w:t>
      </w:r>
      <w:r w:rsidR="008E532B">
        <w:rPr>
          <w:rFonts w:ascii="Arial" w:hAnsi="Arial" w:cs="Arial"/>
          <w:sz w:val="22"/>
          <w:szCs w:val="22"/>
          <w:lang w:val="fr-FR"/>
        </w:rPr>
        <w:t>’</w:t>
      </w:r>
      <w:r>
        <w:rPr>
          <w:rFonts w:ascii="Arial" w:hAnsi="Arial" w:cs="Arial"/>
          <w:sz w:val="22"/>
          <w:szCs w:val="22"/>
          <w:lang w:val="fr-FR"/>
        </w:rPr>
        <w:t>avaient</w:t>
      </w:r>
      <w:r w:rsidRPr="00214348">
        <w:rPr>
          <w:rFonts w:ascii="Arial" w:hAnsi="Arial" w:cs="Arial"/>
          <w:sz w:val="22"/>
          <w:szCs w:val="22"/>
          <w:lang w:val="fr-FR"/>
        </w:rPr>
        <w:t xml:space="preserve"> rappelé de nombreuses délégations. Par conséquent, toute modification concernant les ONG d</w:t>
      </w:r>
      <w:r>
        <w:rPr>
          <w:rFonts w:ascii="Arial" w:hAnsi="Arial" w:cs="Arial"/>
          <w:sz w:val="22"/>
          <w:szCs w:val="22"/>
          <w:lang w:val="fr-FR"/>
        </w:rPr>
        <w:t>evait</w:t>
      </w:r>
      <w:r w:rsidRPr="00214348">
        <w:rPr>
          <w:rFonts w:ascii="Arial" w:hAnsi="Arial" w:cs="Arial"/>
          <w:sz w:val="22"/>
          <w:szCs w:val="22"/>
          <w:lang w:val="fr-FR"/>
        </w:rPr>
        <w:t xml:space="preserve"> être considérée avec prudence et conformément aux règles établies. </w:t>
      </w:r>
      <w:r>
        <w:rPr>
          <w:rFonts w:ascii="Arial" w:hAnsi="Arial" w:cs="Arial"/>
          <w:sz w:val="22"/>
          <w:szCs w:val="22"/>
          <w:lang w:val="fr-FR"/>
        </w:rPr>
        <w:t>À</w:t>
      </w:r>
      <w:r w:rsidRPr="00214348">
        <w:rPr>
          <w:rFonts w:ascii="Arial" w:hAnsi="Arial" w:cs="Arial"/>
          <w:sz w:val="22"/>
          <w:szCs w:val="22"/>
          <w:lang w:val="fr-FR"/>
        </w:rPr>
        <w:t xml:space="preserve"> ce titre, la délégation ne pens</w:t>
      </w:r>
      <w:r>
        <w:rPr>
          <w:rFonts w:ascii="Arial" w:hAnsi="Arial" w:cs="Arial"/>
          <w:sz w:val="22"/>
          <w:szCs w:val="22"/>
          <w:lang w:val="fr-FR"/>
        </w:rPr>
        <w:t>ait</w:t>
      </w:r>
      <w:r w:rsidRPr="00214348">
        <w:rPr>
          <w:rFonts w:ascii="Arial" w:hAnsi="Arial" w:cs="Arial"/>
          <w:sz w:val="22"/>
          <w:szCs w:val="22"/>
          <w:lang w:val="fr-FR"/>
        </w:rPr>
        <w:t xml:space="preserve"> pas que l</w:t>
      </w:r>
      <w:r w:rsidR="008E532B">
        <w:rPr>
          <w:rFonts w:ascii="Arial" w:hAnsi="Arial" w:cs="Arial"/>
          <w:sz w:val="22"/>
          <w:szCs w:val="22"/>
          <w:lang w:val="fr-FR"/>
        </w:rPr>
        <w:t>’</w:t>
      </w:r>
      <w:r w:rsidRPr="00214348">
        <w:rPr>
          <w:rFonts w:ascii="Arial" w:hAnsi="Arial" w:cs="Arial"/>
          <w:sz w:val="22"/>
          <w:szCs w:val="22"/>
          <w:lang w:val="fr-FR"/>
        </w:rPr>
        <w:t>amendement proposé par la Palestine sur l</w:t>
      </w:r>
      <w:r w:rsidR="008E532B">
        <w:rPr>
          <w:rFonts w:ascii="Arial" w:hAnsi="Arial" w:cs="Arial"/>
          <w:sz w:val="22"/>
          <w:szCs w:val="22"/>
          <w:lang w:val="fr-FR"/>
        </w:rPr>
        <w:t>’</w:t>
      </w:r>
      <w:r w:rsidRPr="00214348">
        <w:rPr>
          <w:rFonts w:ascii="Arial" w:hAnsi="Arial" w:cs="Arial"/>
          <w:sz w:val="22"/>
          <w:szCs w:val="22"/>
          <w:lang w:val="fr-FR"/>
        </w:rPr>
        <w:t>accréditation des ONG et leur éligibilité à l</w:t>
      </w:r>
      <w:r w:rsidR="008E532B">
        <w:rPr>
          <w:rFonts w:ascii="Arial" w:hAnsi="Arial" w:cs="Arial"/>
          <w:sz w:val="22"/>
          <w:szCs w:val="22"/>
          <w:lang w:val="fr-FR"/>
        </w:rPr>
        <w:t>’</w:t>
      </w:r>
      <w:r w:rsidRPr="00214348">
        <w:rPr>
          <w:rFonts w:ascii="Arial" w:hAnsi="Arial" w:cs="Arial"/>
          <w:sz w:val="22"/>
          <w:szCs w:val="22"/>
          <w:lang w:val="fr-FR"/>
        </w:rPr>
        <w:t>Organe d</w:t>
      </w:r>
      <w:r w:rsidR="008E532B">
        <w:rPr>
          <w:rFonts w:ascii="Arial" w:hAnsi="Arial" w:cs="Arial"/>
          <w:sz w:val="22"/>
          <w:szCs w:val="22"/>
          <w:lang w:val="fr-FR"/>
        </w:rPr>
        <w:t>’</w:t>
      </w:r>
      <w:r w:rsidRPr="00214348">
        <w:rPr>
          <w:rFonts w:ascii="Arial" w:hAnsi="Arial" w:cs="Arial"/>
          <w:sz w:val="22"/>
          <w:szCs w:val="22"/>
          <w:lang w:val="fr-FR"/>
        </w:rPr>
        <w:t>évaluation soit conforme à l</w:t>
      </w:r>
      <w:r w:rsidR="008E532B">
        <w:rPr>
          <w:rFonts w:ascii="Arial" w:hAnsi="Arial" w:cs="Arial"/>
          <w:sz w:val="22"/>
          <w:szCs w:val="22"/>
          <w:lang w:val="fr-FR"/>
        </w:rPr>
        <w:t>’</w:t>
      </w:r>
      <w:r w:rsidRPr="00214348">
        <w:rPr>
          <w:rFonts w:ascii="Arial" w:hAnsi="Arial" w:cs="Arial"/>
          <w:sz w:val="22"/>
          <w:szCs w:val="22"/>
          <w:lang w:val="fr-FR"/>
        </w:rPr>
        <w:t>article 27 et à l</w:t>
      </w:r>
      <w:r w:rsidR="008E532B">
        <w:rPr>
          <w:rFonts w:ascii="Arial" w:hAnsi="Arial" w:cs="Arial"/>
          <w:sz w:val="22"/>
          <w:szCs w:val="22"/>
          <w:lang w:val="fr-FR"/>
        </w:rPr>
        <w:t>’</w:t>
      </w:r>
      <w:r w:rsidRPr="00214348">
        <w:rPr>
          <w:rFonts w:ascii="Arial" w:hAnsi="Arial" w:cs="Arial"/>
          <w:sz w:val="22"/>
          <w:szCs w:val="22"/>
          <w:lang w:val="fr-FR"/>
        </w:rPr>
        <w:t>article 91 des Directives opérationnelles. Dans les deux cas, le fait que l</w:t>
      </w:r>
      <w:r w:rsidR="008E532B">
        <w:rPr>
          <w:rFonts w:ascii="Arial" w:hAnsi="Arial" w:cs="Arial"/>
          <w:sz w:val="22"/>
          <w:szCs w:val="22"/>
          <w:lang w:val="fr-FR"/>
        </w:rPr>
        <w:t>’</w:t>
      </w:r>
      <w:r w:rsidRPr="00214348">
        <w:rPr>
          <w:rFonts w:ascii="Arial" w:hAnsi="Arial" w:cs="Arial"/>
          <w:sz w:val="22"/>
          <w:szCs w:val="22"/>
          <w:lang w:val="fr-FR"/>
        </w:rPr>
        <w:t xml:space="preserve">ONG doive être basée dans un </w:t>
      </w:r>
      <w:r>
        <w:rPr>
          <w:rFonts w:ascii="Arial" w:hAnsi="Arial" w:cs="Arial"/>
          <w:sz w:val="22"/>
          <w:szCs w:val="22"/>
          <w:lang w:val="fr-FR"/>
        </w:rPr>
        <w:t>É</w:t>
      </w:r>
      <w:r w:rsidRPr="00214348">
        <w:rPr>
          <w:rFonts w:ascii="Arial" w:hAnsi="Arial" w:cs="Arial"/>
          <w:sz w:val="22"/>
          <w:szCs w:val="22"/>
          <w:lang w:val="fr-FR"/>
        </w:rPr>
        <w:t>tat partie à la Convention ne fai</w:t>
      </w:r>
      <w:r>
        <w:rPr>
          <w:rFonts w:ascii="Arial" w:hAnsi="Arial" w:cs="Arial"/>
          <w:sz w:val="22"/>
          <w:szCs w:val="22"/>
          <w:lang w:val="fr-FR"/>
        </w:rPr>
        <w:t>sai</w:t>
      </w:r>
      <w:r w:rsidRPr="00214348">
        <w:rPr>
          <w:rFonts w:ascii="Arial" w:hAnsi="Arial" w:cs="Arial"/>
          <w:sz w:val="22"/>
          <w:szCs w:val="22"/>
          <w:lang w:val="fr-FR"/>
        </w:rPr>
        <w:t>t pas partie des critères. L</w:t>
      </w:r>
      <w:r w:rsidR="008E532B">
        <w:rPr>
          <w:rFonts w:ascii="Arial" w:hAnsi="Arial" w:cs="Arial"/>
          <w:sz w:val="22"/>
          <w:szCs w:val="22"/>
          <w:lang w:val="fr-FR"/>
        </w:rPr>
        <w:t>’</w:t>
      </w:r>
      <w:r w:rsidRPr="00214348">
        <w:rPr>
          <w:rFonts w:ascii="Arial" w:hAnsi="Arial" w:cs="Arial"/>
          <w:sz w:val="22"/>
          <w:szCs w:val="22"/>
          <w:lang w:val="fr-FR"/>
        </w:rPr>
        <w:t>amendement proposé n</w:t>
      </w:r>
      <w:r w:rsidR="008E532B">
        <w:rPr>
          <w:rFonts w:ascii="Arial" w:hAnsi="Arial" w:cs="Arial"/>
          <w:sz w:val="22"/>
          <w:szCs w:val="22"/>
          <w:lang w:val="fr-FR"/>
        </w:rPr>
        <w:t>’</w:t>
      </w:r>
      <w:r w:rsidRPr="00214348">
        <w:rPr>
          <w:rFonts w:ascii="Arial" w:hAnsi="Arial" w:cs="Arial"/>
          <w:sz w:val="22"/>
          <w:szCs w:val="22"/>
          <w:lang w:val="fr-FR"/>
        </w:rPr>
        <w:t>a</w:t>
      </w:r>
      <w:r>
        <w:rPr>
          <w:rFonts w:ascii="Arial" w:hAnsi="Arial" w:cs="Arial"/>
          <w:sz w:val="22"/>
          <w:szCs w:val="22"/>
          <w:lang w:val="fr-FR"/>
        </w:rPr>
        <w:t>vait</w:t>
      </w:r>
      <w:r w:rsidRPr="00214348">
        <w:rPr>
          <w:rFonts w:ascii="Arial" w:hAnsi="Arial" w:cs="Arial"/>
          <w:sz w:val="22"/>
          <w:szCs w:val="22"/>
          <w:lang w:val="fr-FR"/>
        </w:rPr>
        <w:t xml:space="preserve"> donc aucun fondement dans les dispositions pertinentes, créant </w:t>
      </w:r>
      <w:r>
        <w:rPr>
          <w:rFonts w:ascii="Arial" w:hAnsi="Arial" w:cs="Arial"/>
          <w:sz w:val="22"/>
          <w:szCs w:val="22"/>
          <w:lang w:val="fr-FR"/>
        </w:rPr>
        <w:t xml:space="preserve">ainsi </w:t>
      </w:r>
      <w:r w:rsidRPr="00214348">
        <w:rPr>
          <w:rFonts w:ascii="Arial" w:hAnsi="Arial" w:cs="Arial"/>
          <w:sz w:val="22"/>
          <w:szCs w:val="22"/>
          <w:lang w:val="fr-FR"/>
        </w:rPr>
        <w:t xml:space="preserve">une ambiguïté inutile. </w:t>
      </w:r>
      <w:r>
        <w:rPr>
          <w:rFonts w:ascii="Arial" w:hAnsi="Arial" w:cs="Arial"/>
          <w:sz w:val="22"/>
          <w:szCs w:val="22"/>
          <w:lang w:val="fr-FR"/>
        </w:rPr>
        <w:t xml:space="preserve">Il </w:t>
      </w:r>
      <w:r w:rsidRPr="00214348">
        <w:rPr>
          <w:rFonts w:ascii="Arial" w:hAnsi="Arial" w:cs="Arial"/>
          <w:sz w:val="22"/>
          <w:szCs w:val="22"/>
          <w:lang w:val="fr-FR"/>
        </w:rPr>
        <w:t>impliquerait également une révision des Directives opérationnelles. En outre, la Suède a</w:t>
      </w:r>
      <w:r>
        <w:rPr>
          <w:rFonts w:ascii="Arial" w:hAnsi="Arial" w:cs="Arial"/>
          <w:sz w:val="22"/>
          <w:szCs w:val="22"/>
          <w:lang w:val="fr-FR"/>
        </w:rPr>
        <w:t>vait</w:t>
      </w:r>
      <w:r w:rsidRPr="00214348">
        <w:rPr>
          <w:rFonts w:ascii="Arial" w:hAnsi="Arial" w:cs="Arial"/>
          <w:sz w:val="22"/>
          <w:szCs w:val="22"/>
          <w:lang w:val="fr-FR"/>
        </w:rPr>
        <w:t xml:space="preserve"> rappelé</w:t>
      </w:r>
      <w:r>
        <w:rPr>
          <w:rFonts w:ascii="Arial" w:hAnsi="Arial" w:cs="Arial"/>
          <w:sz w:val="22"/>
          <w:szCs w:val="22"/>
          <w:lang w:val="fr-FR"/>
        </w:rPr>
        <w:t>,</w:t>
      </w:r>
      <w:r w:rsidRPr="00214348">
        <w:rPr>
          <w:rFonts w:ascii="Arial" w:hAnsi="Arial" w:cs="Arial"/>
          <w:sz w:val="22"/>
          <w:szCs w:val="22"/>
          <w:lang w:val="fr-FR"/>
        </w:rPr>
        <w:t xml:space="preserve"> à juste titre</w:t>
      </w:r>
      <w:r>
        <w:rPr>
          <w:rFonts w:ascii="Arial" w:hAnsi="Arial" w:cs="Arial"/>
          <w:sz w:val="22"/>
          <w:szCs w:val="22"/>
          <w:lang w:val="fr-FR"/>
        </w:rPr>
        <w:t>,</w:t>
      </w:r>
      <w:r w:rsidRPr="00214348">
        <w:rPr>
          <w:rFonts w:ascii="Arial" w:hAnsi="Arial" w:cs="Arial"/>
          <w:sz w:val="22"/>
          <w:szCs w:val="22"/>
          <w:lang w:val="fr-FR"/>
        </w:rPr>
        <w:t xml:space="preserve"> que près de deux an</w:t>
      </w:r>
      <w:r>
        <w:rPr>
          <w:rFonts w:ascii="Arial" w:hAnsi="Arial" w:cs="Arial"/>
          <w:sz w:val="22"/>
          <w:szCs w:val="22"/>
          <w:lang w:val="fr-FR"/>
        </w:rPr>
        <w:t>nées</w:t>
      </w:r>
      <w:r w:rsidRPr="00214348">
        <w:rPr>
          <w:rFonts w:ascii="Arial" w:hAnsi="Arial" w:cs="Arial"/>
          <w:sz w:val="22"/>
          <w:szCs w:val="22"/>
          <w:lang w:val="fr-FR"/>
        </w:rPr>
        <w:t xml:space="preserve"> </w:t>
      </w:r>
      <w:r>
        <w:rPr>
          <w:rFonts w:ascii="Arial" w:hAnsi="Arial" w:cs="Arial"/>
          <w:sz w:val="22"/>
          <w:szCs w:val="22"/>
          <w:lang w:val="fr-FR"/>
        </w:rPr>
        <w:t>avaient</w:t>
      </w:r>
      <w:r w:rsidRPr="00214348">
        <w:rPr>
          <w:rFonts w:ascii="Arial" w:hAnsi="Arial" w:cs="Arial"/>
          <w:sz w:val="22"/>
          <w:szCs w:val="22"/>
          <w:lang w:val="fr-FR"/>
        </w:rPr>
        <w:t xml:space="preserve"> été consacré</w:t>
      </w:r>
      <w:r>
        <w:rPr>
          <w:rFonts w:ascii="Arial" w:hAnsi="Arial" w:cs="Arial"/>
          <w:sz w:val="22"/>
          <w:szCs w:val="22"/>
          <w:lang w:val="fr-FR"/>
        </w:rPr>
        <w:t>e</w:t>
      </w:r>
      <w:r w:rsidRPr="00214348">
        <w:rPr>
          <w:rFonts w:ascii="Arial" w:hAnsi="Arial" w:cs="Arial"/>
          <w:sz w:val="22"/>
          <w:szCs w:val="22"/>
          <w:lang w:val="fr-FR"/>
        </w:rPr>
        <w:t xml:space="preserve">s aux travaux du </w:t>
      </w:r>
      <w:r>
        <w:rPr>
          <w:rFonts w:ascii="Arial" w:hAnsi="Arial" w:cs="Arial"/>
          <w:sz w:val="22"/>
          <w:szCs w:val="22"/>
          <w:lang w:val="fr-FR"/>
        </w:rPr>
        <w:t>g</w:t>
      </w:r>
      <w:r w:rsidRPr="00214348">
        <w:rPr>
          <w:rFonts w:ascii="Arial" w:hAnsi="Arial" w:cs="Arial"/>
          <w:sz w:val="22"/>
          <w:szCs w:val="22"/>
          <w:lang w:val="fr-FR"/>
        </w:rPr>
        <w:t xml:space="preserve">roupe de travail à composition non limitée pour formuler une révision équilibrée des </w:t>
      </w:r>
      <w:r>
        <w:rPr>
          <w:rFonts w:ascii="Arial" w:hAnsi="Arial" w:cs="Arial"/>
          <w:sz w:val="22"/>
          <w:szCs w:val="22"/>
          <w:lang w:val="fr-FR"/>
        </w:rPr>
        <w:t>D</w:t>
      </w:r>
      <w:r w:rsidRPr="00214348">
        <w:rPr>
          <w:rFonts w:ascii="Arial" w:hAnsi="Arial" w:cs="Arial"/>
          <w:sz w:val="22"/>
          <w:szCs w:val="22"/>
          <w:lang w:val="fr-FR"/>
        </w:rPr>
        <w:t xml:space="preserve">irectives opérationnelles. </w:t>
      </w:r>
      <w:r>
        <w:rPr>
          <w:rFonts w:ascii="Arial" w:hAnsi="Arial" w:cs="Arial"/>
          <w:sz w:val="22"/>
          <w:szCs w:val="22"/>
          <w:lang w:val="fr-FR"/>
        </w:rPr>
        <w:t>L</w:t>
      </w:r>
      <w:r w:rsidRPr="00214348">
        <w:rPr>
          <w:rFonts w:ascii="Arial" w:hAnsi="Arial" w:cs="Arial"/>
          <w:sz w:val="22"/>
          <w:szCs w:val="22"/>
          <w:lang w:val="fr-FR"/>
        </w:rPr>
        <w:t>e sujet de l</w:t>
      </w:r>
      <w:r w:rsidR="008E532B">
        <w:rPr>
          <w:rFonts w:ascii="Arial" w:hAnsi="Arial" w:cs="Arial"/>
          <w:sz w:val="22"/>
          <w:szCs w:val="22"/>
          <w:lang w:val="fr-FR"/>
        </w:rPr>
        <w:t>’</w:t>
      </w:r>
      <w:r w:rsidRPr="00214348">
        <w:rPr>
          <w:rFonts w:ascii="Arial" w:hAnsi="Arial" w:cs="Arial"/>
          <w:sz w:val="22"/>
          <w:szCs w:val="22"/>
          <w:lang w:val="fr-FR"/>
        </w:rPr>
        <w:t>accréditation ou de l</w:t>
      </w:r>
      <w:r w:rsidR="008E532B">
        <w:rPr>
          <w:rFonts w:ascii="Arial" w:hAnsi="Arial" w:cs="Arial"/>
          <w:sz w:val="22"/>
          <w:szCs w:val="22"/>
          <w:lang w:val="fr-FR"/>
        </w:rPr>
        <w:t>’</w:t>
      </w:r>
      <w:r w:rsidRPr="00214348">
        <w:rPr>
          <w:rFonts w:ascii="Arial" w:hAnsi="Arial" w:cs="Arial"/>
          <w:sz w:val="22"/>
          <w:szCs w:val="22"/>
          <w:lang w:val="fr-FR"/>
        </w:rPr>
        <w:t>éligibilité des ONG n</w:t>
      </w:r>
      <w:r w:rsidR="008E532B">
        <w:rPr>
          <w:rFonts w:ascii="Arial" w:hAnsi="Arial" w:cs="Arial"/>
          <w:sz w:val="22"/>
          <w:szCs w:val="22"/>
          <w:lang w:val="fr-FR"/>
        </w:rPr>
        <w:t>’</w:t>
      </w:r>
      <w:r w:rsidRPr="00214348">
        <w:rPr>
          <w:rFonts w:ascii="Arial" w:hAnsi="Arial" w:cs="Arial"/>
          <w:sz w:val="22"/>
          <w:szCs w:val="22"/>
          <w:lang w:val="fr-FR"/>
        </w:rPr>
        <w:t>a</w:t>
      </w:r>
      <w:r>
        <w:rPr>
          <w:rFonts w:ascii="Arial" w:hAnsi="Arial" w:cs="Arial"/>
          <w:sz w:val="22"/>
          <w:szCs w:val="22"/>
          <w:lang w:val="fr-FR"/>
        </w:rPr>
        <w:t>vait</w:t>
      </w:r>
      <w:r w:rsidRPr="00214348">
        <w:rPr>
          <w:rFonts w:ascii="Arial" w:hAnsi="Arial" w:cs="Arial"/>
          <w:sz w:val="22"/>
          <w:szCs w:val="22"/>
          <w:lang w:val="fr-FR"/>
        </w:rPr>
        <w:t xml:space="preserve"> jamais été abordé. Au contraire, le groupe de travail a</w:t>
      </w:r>
      <w:r>
        <w:rPr>
          <w:rFonts w:ascii="Arial" w:hAnsi="Arial" w:cs="Arial"/>
          <w:sz w:val="22"/>
          <w:szCs w:val="22"/>
          <w:lang w:val="fr-FR"/>
        </w:rPr>
        <w:t>vait</w:t>
      </w:r>
      <w:r w:rsidRPr="00214348">
        <w:rPr>
          <w:rFonts w:ascii="Arial" w:hAnsi="Arial" w:cs="Arial"/>
          <w:sz w:val="22"/>
          <w:szCs w:val="22"/>
          <w:lang w:val="fr-FR"/>
        </w:rPr>
        <w:t xml:space="preserve"> recommandé de confirmer la composition et le fonctionnement de l</w:t>
      </w:r>
      <w:r w:rsidR="008E532B">
        <w:rPr>
          <w:rFonts w:ascii="Arial" w:hAnsi="Arial" w:cs="Arial"/>
          <w:sz w:val="22"/>
          <w:szCs w:val="22"/>
          <w:lang w:val="fr-FR"/>
        </w:rPr>
        <w:t>’</w:t>
      </w:r>
      <w:r w:rsidRPr="00214348">
        <w:rPr>
          <w:rFonts w:ascii="Arial" w:hAnsi="Arial" w:cs="Arial"/>
          <w:sz w:val="22"/>
          <w:szCs w:val="22"/>
          <w:lang w:val="fr-FR"/>
        </w:rPr>
        <w:t>Organe d</w:t>
      </w:r>
      <w:r w:rsidR="008E532B">
        <w:rPr>
          <w:rFonts w:ascii="Arial" w:hAnsi="Arial" w:cs="Arial"/>
          <w:sz w:val="22"/>
          <w:szCs w:val="22"/>
          <w:lang w:val="fr-FR"/>
        </w:rPr>
        <w:t>’</w:t>
      </w:r>
      <w:r w:rsidRPr="00214348">
        <w:rPr>
          <w:rFonts w:ascii="Arial" w:hAnsi="Arial" w:cs="Arial"/>
          <w:sz w:val="22"/>
          <w:szCs w:val="22"/>
          <w:lang w:val="fr-FR"/>
        </w:rPr>
        <w:t>évaluation. Pour ces raisons, la Suisse n</w:t>
      </w:r>
      <w:r>
        <w:rPr>
          <w:rFonts w:ascii="Arial" w:hAnsi="Arial" w:cs="Arial"/>
          <w:sz w:val="22"/>
          <w:szCs w:val="22"/>
          <w:lang w:val="fr-FR"/>
        </w:rPr>
        <w:t xml:space="preserve">e </w:t>
      </w:r>
      <w:r w:rsidRPr="00214348">
        <w:rPr>
          <w:rFonts w:ascii="Arial" w:hAnsi="Arial" w:cs="Arial"/>
          <w:sz w:val="22"/>
          <w:szCs w:val="22"/>
          <w:lang w:val="fr-FR"/>
        </w:rPr>
        <w:t>souten</w:t>
      </w:r>
      <w:r>
        <w:rPr>
          <w:rFonts w:ascii="Arial" w:hAnsi="Arial" w:cs="Arial"/>
          <w:sz w:val="22"/>
          <w:szCs w:val="22"/>
          <w:lang w:val="fr-FR"/>
        </w:rPr>
        <w:t>ait</w:t>
      </w:r>
      <w:r w:rsidRPr="00214348">
        <w:rPr>
          <w:rFonts w:ascii="Arial" w:hAnsi="Arial" w:cs="Arial"/>
          <w:sz w:val="22"/>
          <w:szCs w:val="22"/>
          <w:lang w:val="fr-FR"/>
        </w:rPr>
        <w:t xml:space="preserve"> l</w:t>
      </w:r>
      <w:r w:rsidR="008E532B">
        <w:rPr>
          <w:rFonts w:ascii="Arial" w:hAnsi="Arial" w:cs="Arial"/>
          <w:sz w:val="22"/>
          <w:szCs w:val="22"/>
          <w:lang w:val="fr-FR"/>
        </w:rPr>
        <w:t>’</w:t>
      </w:r>
      <w:r w:rsidRPr="00214348">
        <w:rPr>
          <w:rFonts w:ascii="Arial" w:hAnsi="Arial" w:cs="Arial"/>
          <w:sz w:val="22"/>
          <w:szCs w:val="22"/>
          <w:lang w:val="fr-FR"/>
        </w:rPr>
        <w:t>amendement proposé.</w:t>
      </w:r>
    </w:p>
    <w:p w14:paraId="2499930A" w14:textId="77777777" w:rsidR="00D9653F" w:rsidRPr="004B319D"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La </w:t>
      </w:r>
      <w:r w:rsidRPr="004B319D">
        <w:rPr>
          <w:rFonts w:ascii="Arial" w:hAnsi="Arial" w:cs="Arial"/>
          <w:b/>
          <w:bCs/>
          <w:sz w:val="22"/>
          <w:szCs w:val="22"/>
          <w:lang w:val="fr-FR"/>
        </w:rPr>
        <w:t>Présidente</w:t>
      </w:r>
      <w:r>
        <w:rPr>
          <w:rFonts w:ascii="Arial" w:hAnsi="Arial" w:cs="Arial"/>
          <w:sz w:val="22"/>
          <w:szCs w:val="22"/>
          <w:lang w:val="fr-FR"/>
        </w:rPr>
        <w:t xml:space="preserve"> a remercié les orateurs et a clos le débat. Elle invité le Sous-Directeur général à répondre aux questions. </w:t>
      </w:r>
    </w:p>
    <w:p w14:paraId="32AAA892" w14:textId="2B13013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bookmarkStart w:id="0" w:name="_Hlk166249280"/>
      <w:r w:rsidRPr="004B319D">
        <w:rPr>
          <w:rFonts w:ascii="Arial" w:hAnsi="Arial" w:cs="Arial"/>
          <w:bCs/>
          <w:sz w:val="22"/>
          <w:szCs w:val="22"/>
          <w:lang w:val="fr-FR"/>
        </w:rPr>
        <w:t xml:space="preserve">Le </w:t>
      </w:r>
      <w:r w:rsidRPr="004B319D">
        <w:rPr>
          <w:rFonts w:ascii="Arial" w:hAnsi="Arial" w:cs="Arial"/>
          <w:b/>
          <w:sz w:val="22"/>
          <w:szCs w:val="22"/>
          <w:lang w:val="fr-FR"/>
        </w:rPr>
        <w:t>Sous-Directeur général</w:t>
      </w:r>
      <w:r w:rsidRPr="004B319D">
        <w:rPr>
          <w:rFonts w:ascii="Arial" w:hAnsi="Arial" w:cs="Arial"/>
          <w:bCs/>
          <w:sz w:val="22"/>
          <w:szCs w:val="22"/>
          <w:lang w:val="fr-FR"/>
        </w:rPr>
        <w:t xml:space="preserve"> </w:t>
      </w:r>
      <w:bookmarkEnd w:id="0"/>
      <w:r>
        <w:rPr>
          <w:rFonts w:ascii="Arial" w:hAnsi="Arial" w:cs="Arial"/>
          <w:bCs/>
          <w:sz w:val="22"/>
          <w:szCs w:val="22"/>
          <w:lang w:val="fr-FR"/>
        </w:rPr>
        <w:t xml:space="preserve">a pris </w:t>
      </w:r>
      <w:r w:rsidRPr="004B319D">
        <w:rPr>
          <w:rFonts w:ascii="Arial" w:hAnsi="Arial" w:cs="Arial"/>
          <w:bCs/>
          <w:sz w:val="22"/>
          <w:szCs w:val="22"/>
          <w:lang w:val="fr-FR"/>
        </w:rPr>
        <w:t xml:space="preserve">acte du fait que les délégations </w:t>
      </w:r>
      <w:r>
        <w:rPr>
          <w:rFonts w:ascii="Arial" w:hAnsi="Arial" w:cs="Arial"/>
          <w:bCs/>
          <w:sz w:val="22"/>
          <w:szCs w:val="22"/>
          <w:lang w:val="fr-FR"/>
        </w:rPr>
        <w:t>avaient</w:t>
      </w:r>
      <w:r w:rsidRPr="004B319D">
        <w:rPr>
          <w:rFonts w:ascii="Arial" w:hAnsi="Arial" w:cs="Arial"/>
          <w:bCs/>
          <w:sz w:val="22"/>
          <w:szCs w:val="22"/>
          <w:lang w:val="fr-FR"/>
        </w:rPr>
        <w:t xml:space="preserve"> reconnu la contribution des ONG et convenu que les ONG donnent vie à la Convention, ajoutant que l</w:t>
      </w:r>
      <w:r w:rsidR="008E532B">
        <w:rPr>
          <w:rFonts w:ascii="Arial" w:hAnsi="Arial" w:cs="Arial"/>
          <w:bCs/>
          <w:sz w:val="22"/>
          <w:szCs w:val="22"/>
          <w:lang w:val="fr-FR"/>
        </w:rPr>
        <w:t>’</w:t>
      </w:r>
      <w:r w:rsidRPr="004B319D">
        <w:rPr>
          <w:rFonts w:ascii="Arial" w:hAnsi="Arial" w:cs="Arial"/>
          <w:bCs/>
          <w:sz w:val="22"/>
          <w:szCs w:val="22"/>
          <w:lang w:val="fr-FR"/>
        </w:rPr>
        <w:t>Assemblée travaill</w:t>
      </w:r>
      <w:r>
        <w:rPr>
          <w:rFonts w:ascii="Arial" w:hAnsi="Arial" w:cs="Arial"/>
          <w:bCs/>
          <w:sz w:val="22"/>
          <w:szCs w:val="22"/>
          <w:lang w:val="fr-FR"/>
        </w:rPr>
        <w:t>ait</w:t>
      </w:r>
      <w:r w:rsidRPr="004B319D">
        <w:rPr>
          <w:rFonts w:ascii="Arial" w:hAnsi="Arial" w:cs="Arial"/>
          <w:bCs/>
          <w:sz w:val="22"/>
          <w:szCs w:val="22"/>
          <w:lang w:val="fr-FR"/>
        </w:rPr>
        <w:t xml:space="preserve"> sur la base de son expérience</w:t>
      </w:r>
      <w:r>
        <w:rPr>
          <w:rFonts w:ascii="Arial" w:hAnsi="Arial" w:cs="Arial"/>
          <w:bCs/>
          <w:sz w:val="22"/>
          <w:szCs w:val="22"/>
          <w:lang w:val="fr-FR"/>
        </w:rPr>
        <w:t xml:space="preserve">, elle-même fondée </w:t>
      </w:r>
      <w:r w:rsidRPr="004B319D">
        <w:rPr>
          <w:rFonts w:ascii="Arial" w:hAnsi="Arial" w:cs="Arial"/>
          <w:bCs/>
          <w:sz w:val="22"/>
          <w:szCs w:val="22"/>
          <w:lang w:val="fr-FR"/>
        </w:rPr>
        <w:t xml:space="preserve">sur les règlements régissant le fonctionnement de la Convention. </w:t>
      </w:r>
      <w:r w:rsidR="006221EA" w:rsidRPr="006221EA">
        <w:rPr>
          <w:rFonts w:ascii="Arial" w:hAnsi="Arial" w:cs="Arial"/>
          <w:bCs/>
          <w:sz w:val="22"/>
          <w:szCs w:val="22"/>
          <w:lang w:val="fr-FR"/>
        </w:rPr>
        <w:t xml:space="preserve">Le Sous-Directeur général </w:t>
      </w:r>
      <w:r>
        <w:rPr>
          <w:rFonts w:ascii="Arial" w:hAnsi="Arial" w:cs="Arial"/>
          <w:bCs/>
          <w:sz w:val="22"/>
          <w:szCs w:val="22"/>
          <w:lang w:val="fr-FR"/>
        </w:rPr>
        <w:t xml:space="preserve">a </w:t>
      </w:r>
      <w:r w:rsidRPr="004B319D">
        <w:rPr>
          <w:rFonts w:ascii="Arial" w:hAnsi="Arial" w:cs="Arial"/>
          <w:bCs/>
          <w:sz w:val="22"/>
          <w:szCs w:val="22"/>
          <w:lang w:val="fr-FR"/>
        </w:rPr>
        <w:t>souhait</w:t>
      </w:r>
      <w:r>
        <w:rPr>
          <w:rFonts w:ascii="Arial" w:hAnsi="Arial" w:cs="Arial"/>
          <w:bCs/>
          <w:sz w:val="22"/>
          <w:szCs w:val="22"/>
          <w:lang w:val="fr-FR"/>
        </w:rPr>
        <w:t>é</w:t>
      </w:r>
      <w:r w:rsidRPr="004B319D">
        <w:rPr>
          <w:rFonts w:ascii="Arial" w:hAnsi="Arial" w:cs="Arial"/>
          <w:bCs/>
          <w:sz w:val="22"/>
          <w:szCs w:val="22"/>
          <w:lang w:val="fr-FR"/>
        </w:rPr>
        <w:t xml:space="preserve"> répondre aux deux principaux points</w:t>
      </w:r>
      <w:r>
        <w:rPr>
          <w:rFonts w:ascii="Arial" w:hAnsi="Arial" w:cs="Arial"/>
          <w:bCs/>
          <w:sz w:val="22"/>
          <w:szCs w:val="22"/>
          <w:lang w:val="fr-FR"/>
        </w:rPr>
        <w:t xml:space="preserve"> évoqués pendant le débat </w:t>
      </w:r>
      <w:r w:rsidRPr="004B319D">
        <w:rPr>
          <w:rFonts w:ascii="Arial" w:hAnsi="Arial" w:cs="Arial"/>
          <w:bCs/>
          <w:sz w:val="22"/>
          <w:szCs w:val="22"/>
          <w:lang w:val="fr-FR"/>
        </w:rPr>
        <w:t>: la représentation géographique</w:t>
      </w:r>
      <w:r>
        <w:rPr>
          <w:rFonts w:ascii="Arial" w:hAnsi="Arial" w:cs="Arial"/>
          <w:bCs/>
          <w:sz w:val="22"/>
          <w:szCs w:val="22"/>
          <w:lang w:val="fr-FR"/>
        </w:rPr>
        <w:t> ;</w:t>
      </w:r>
      <w:r w:rsidRPr="004B319D">
        <w:rPr>
          <w:rFonts w:ascii="Arial" w:hAnsi="Arial" w:cs="Arial"/>
          <w:bCs/>
          <w:sz w:val="22"/>
          <w:szCs w:val="22"/>
          <w:lang w:val="fr-FR"/>
        </w:rPr>
        <w:t xml:space="preserve"> et l</w:t>
      </w:r>
      <w:r w:rsidR="008E532B">
        <w:rPr>
          <w:rFonts w:ascii="Arial" w:hAnsi="Arial" w:cs="Arial"/>
          <w:bCs/>
          <w:sz w:val="22"/>
          <w:szCs w:val="22"/>
          <w:lang w:val="fr-FR"/>
        </w:rPr>
        <w:t>’</w:t>
      </w:r>
      <w:r w:rsidRPr="004B319D">
        <w:rPr>
          <w:rFonts w:ascii="Arial" w:hAnsi="Arial" w:cs="Arial"/>
          <w:bCs/>
          <w:sz w:val="22"/>
          <w:szCs w:val="22"/>
          <w:lang w:val="fr-FR"/>
        </w:rPr>
        <w:t xml:space="preserve">amendement proposé par la Palestine, qui </w:t>
      </w:r>
      <w:r>
        <w:rPr>
          <w:rFonts w:ascii="Arial" w:hAnsi="Arial" w:cs="Arial"/>
          <w:bCs/>
          <w:sz w:val="22"/>
          <w:szCs w:val="22"/>
          <w:lang w:val="fr-FR"/>
        </w:rPr>
        <w:t>était</w:t>
      </w:r>
      <w:r w:rsidRPr="004B319D">
        <w:rPr>
          <w:rFonts w:ascii="Arial" w:hAnsi="Arial" w:cs="Arial"/>
          <w:bCs/>
          <w:sz w:val="22"/>
          <w:szCs w:val="22"/>
          <w:lang w:val="fr-FR"/>
        </w:rPr>
        <w:t xml:space="preserve"> soutenu par certains </w:t>
      </w:r>
      <w:r>
        <w:rPr>
          <w:rFonts w:ascii="Arial" w:hAnsi="Arial" w:cs="Arial"/>
          <w:bCs/>
          <w:sz w:val="22"/>
          <w:szCs w:val="22"/>
          <w:lang w:val="fr-FR"/>
        </w:rPr>
        <w:t>É</w:t>
      </w:r>
      <w:r w:rsidRPr="004B319D">
        <w:rPr>
          <w:rFonts w:ascii="Arial" w:hAnsi="Arial" w:cs="Arial"/>
          <w:bCs/>
          <w:sz w:val="22"/>
          <w:szCs w:val="22"/>
          <w:lang w:val="fr-FR"/>
        </w:rPr>
        <w:t xml:space="preserve">tats mais </w:t>
      </w:r>
      <w:r>
        <w:rPr>
          <w:rFonts w:ascii="Arial" w:hAnsi="Arial" w:cs="Arial"/>
          <w:bCs/>
          <w:sz w:val="22"/>
          <w:szCs w:val="22"/>
          <w:lang w:val="fr-FR"/>
        </w:rPr>
        <w:t xml:space="preserve">que </w:t>
      </w:r>
      <w:r w:rsidRPr="004B319D">
        <w:rPr>
          <w:rFonts w:ascii="Arial" w:hAnsi="Arial" w:cs="Arial"/>
          <w:bCs/>
          <w:sz w:val="22"/>
          <w:szCs w:val="22"/>
          <w:lang w:val="fr-FR"/>
        </w:rPr>
        <w:t>d</w:t>
      </w:r>
      <w:r w:rsidR="008E532B">
        <w:rPr>
          <w:rFonts w:ascii="Arial" w:hAnsi="Arial" w:cs="Arial"/>
          <w:bCs/>
          <w:sz w:val="22"/>
          <w:szCs w:val="22"/>
          <w:lang w:val="fr-FR"/>
        </w:rPr>
        <w:t>’</w:t>
      </w:r>
      <w:r w:rsidRPr="004B319D">
        <w:rPr>
          <w:rFonts w:ascii="Arial" w:hAnsi="Arial" w:cs="Arial"/>
          <w:bCs/>
          <w:sz w:val="22"/>
          <w:szCs w:val="22"/>
          <w:lang w:val="fr-FR"/>
        </w:rPr>
        <w:t>autres</w:t>
      </w:r>
      <w:r>
        <w:rPr>
          <w:rFonts w:ascii="Arial" w:hAnsi="Arial" w:cs="Arial"/>
          <w:bCs/>
          <w:sz w:val="22"/>
          <w:szCs w:val="22"/>
          <w:lang w:val="fr-FR"/>
        </w:rPr>
        <w:t xml:space="preserve"> États jugeaient défavorablement</w:t>
      </w:r>
      <w:r w:rsidRPr="004B319D">
        <w:rPr>
          <w:rFonts w:ascii="Arial" w:hAnsi="Arial" w:cs="Arial"/>
          <w:bCs/>
          <w:sz w:val="22"/>
          <w:szCs w:val="22"/>
          <w:lang w:val="fr-FR"/>
        </w:rPr>
        <w:t>. Il a rappelé qu</w:t>
      </w:r>
      <w:r w:rsidR="008E532B">
        <w:rPr>
          <w:rFonts w:ascii="Arial" w:hAnsi="Arial" w:cs="Arial"/>
          <w:bCs/>
          <w:sz w:val="22"/>
          <w:szCs w:val="22"/>
          <w:lang w:val="fr-FR"/>
        </w:rPr>
        <w:t>’</w:t>
      </w:r>
      <w:r w:rsidRPr="004B319D">
        <w:rPr>
          <w:rFonts w:ascii="Arial" w:hAnsi="Arial" w:cs="Arial"/>
          <w:bCs/>
          <w:sz w:val="22"/>
          <w:szCs w:val="22"/>
          <w:lang w:val="fr-FR"/>
        </w:rPr>
        <w:t>il exist</w:t>
      </w:r>
      <w:r>
        <w:rPr>
          <w:rFonts w:ascii="Arial" w:hAnsi="Arial" w:cs="Arial"/>
          <w:bCs/>
          <w:sz w:val="22"/>
          <w:szCs w:val="22"/>
          <w:lang w:val="fr-FR"/>
        </w:rPr>
        <w:t>ait</w:t>
      </w:r>
      <w:r w:rsidRPr="004B319D">
        <w:rPr>
          <w:rFonts w:ascii="Arial" w:hAnsi="Arial" w:cs="Arial"/>
          <w:bCs/>
          <w:sz w:val="22"/>
          <w:szCs w:val="22"/>
          <w:lang w:val="fr-FR"/>
        </w:rPr>
        <w:t xml:space="preserve"> 184 ONG accréditées, dont seulement </w:t>
      </w:r>
      <w:r>
        <w:rPr>
          <w:rFonts w:ascii="Arial" w:hAnsi="Arial" w:cs="Arial"/>
          <w:bCs/>
          <w:sz w:val="22"/>
          <w:szCs w:val="22"/>
          <w:lang w:val="fr-FR"/>
        </w:rPr>
        <w:t>dix</w:t>
      </w:r>
      <w:r>
        <w:rPr>
          <w:rFonts w:ascii="Arial" w:hAnsi="Arial" w:cs="Arial"/>
          <w:bCs/>
          <w:sz w:val="22"/>
          <w:szCs w:val="22"/>
          <w:lang w:val="fr-FR"/>
        </w:rPr>
        <w:noBreakHyphen/>
        <w:t>huit</w:t>
      </w:r>
      <w:r w:rsidRPr="004B319D">
        <w:rPr>
          <w:rFonts w:ascii="Arial" w:hAnsi="Arial" w:cs="Arial"/>
          <w:bCs/>
          <w:sz w:val="22"/>
          <w:szCs w:val="22"/>
          <w:lang w:val="fr-FR"/>
        </w:rPr>
        <w:t xml:space="preserve"> (soit </w:t>
      </w:r>
      <w:r>
        <w:rPr>
          <w:rFonts w:ascii="Arial" w:hAnsi="Arial" w:cs="Arial"/>
          <w:bCs/>
          <w:sz w:val="22"/>
          <w:szCs w:val="22"/>
          <w:lang w:val="fr-FR"/>
        </w:rPr>
        <w:t>10 %</w:t>
      </w:r>
      <w:r w:rsidRPr="004B319D">
        <w:rPr>
          <w:rFonts w:ascii="Arial" w:hAnsi="Arial" w:cs="Arial"/>
          <w:bCs/>
          <w:sz w:val="22"/>
          <w:szCs w:val="22"/>
          <w:lang w:val="fr-FR"/>
        </w:rPr>
        <w:t xml:space="preserve">) situées dans des États non parties à la Convention. Comme la Convention </w:t>
      </w:r>
      <w:r>
        <w:rPr>
          <w:rFonts w:ascii="Arial" w:hAnsi="Arial" w:cs="Arial"/>
          <w:bCs/>
          <w:sz w:val="22"/>
          <w:szCs w:val="22"/>
          <w:lang w:val="fr-FR"/>
        </w:rPr>
        <w:t>était</w:t>
      </w:r>
      <w:r w:rsidRPr="004B319D">
        <w:rPr>
          <w:rFonts w:ascii="Arial" w:hAnsi="Arial" w:cs="Arial"/>
          <w:bCs/>
          <w:sz w:val="22"/>
          <w:szCs w:val="22"/>
          <w:lang w:val="fr-FR"/>
        </w:rPr>
        <w:t xml:space="preserve"> sur le point d</w:t>
      </w:r>
      <w:r w:rsidR="008E532B">
        <w:rPr>
          <w:rFonts w:ascii="Arial" w:hAnsi="Arial" w:cs="Arial"/>
          <w:bCs/>
          <w:sz w:val="22"/>
          <w:szCs w:val="22"/>
          <w:lang w:val="fr-FR"/>
        </w:rPr>
        <w:t>’</w:t>
      </w:r>
      <w:r w:rsidRPr="004B319D">
        <w:rPr>
          <w:rFonts w:ascii="Arial" w:hAnsi="Arial" w:cs="Arial"/>
          <w:bCs/>
          <w:sz w:val="22"/>
          <w:szCs w:val="22"/>
          <w:lang w:val="fr-FR"/>
        </w:rPr>
        <w:t xml:space="preserve">être universelle (193 États </w:t>
      </w:r>
      <w:r>
        <w:rPr>
          <w:rFonts w:ascii="Arial" w:hAnsi="Arial" w:cs="Arial"/>
          <w:bCs/>
          <w:sz w:val="22"/>
          <w:szCs w:val="22"/>
          <w:lang w:val="fr-FR"/>
        </w:rPr>
        <w:t>M</w:t>
      </w:r>
      <w:r w:rsidRPr="004B319D">
        <w:rPr>
          <w:rFonts w:ascii="Arial" w:hAnsi="Arial" w:cs="Arial"/>
          <w:bCs/>
          <w:sz w:val="22"/>
          <w:szCs w:val="22"/>
          <w:lang w:val="fr-FR"/>
        </w:rPr>
        <w:t>embres</w:t>
      </w:r>
      <w:r>
        <w:rPr>
          <w:rFonts w:ascii="Arial" w:hAnsi="Arial" w:cs="Arial"/>
          <w:bCs/>
          <w:sz w:val="22"/>
          <w:szCs w:val="22"/>
          <w:lang w:val="fr-FR"/>
        </w:rPr>
        <w:t xml:space="preserve"> des Nations Unies</w:t>
      </w:r>
      <w:r w:rsidRPr="004B319D">
        <w:rPr>
          <w:rFonts w:ascii="Arial" w:hAnsi="Arial" w:cs="Arial"/>
          <w:bCs/>
          <w:sz w:val="22"/>
          <w:szCs w:val="22"/>
          <w:lang w:val="fr-FR"/>
        </w:rPr>
        <w:t>), cela représent</w:t>
      </w:r>
      <w:r>
        <w:rPr>
          <w:rFonts w:ascii="Arial" w:hAnsi="Arial" w:cs="Arial"/>
          <w:bCs/>
          <w:sz w:val="22"/>
          <w:szCs w:val="22"/>
          <w:lang w:val="fr-FR"/>
        </w:rPr>
        <w:t>ait</w:t>
      </w:r>
      <w:r w:rsidRPr="004B319D">
        <w:rPr>
          <w:rFonts w:ascii="Arial" w:hAnsi="Arial" w:cs="Arial"/>
          <w:bCs/>
          <w:sz w:val="22"/>
          <w:szCs w:val="22"/>
          <w:lang w:val="fr-FR"/>
        </w:rPr>
        <w:t xml:space="preserve"> </w:t>
      </w:r>
      <w:r>
        <w:rPr>
          <w:rFonts w:ascii="Arial" w:hAnsi="Arial" w:cs="Arial"/>
          <w:bCs/>
          <w:sz w:val="22"/>
          <w:szCs w:val="22"/>
          <w:lang w:val="fr-FR"/>
        </w:rPr>
        <w:t xml:space="preserve">treize </w:t>
      </w:r>
      <w:r w:rsidRPr="004B319D">
        <w:rPr>
          <w:rFonts w:ascii="Arial" w:hAnsi="Arial" w:cs="Arial"/>
          <w:bCs/>
          <w:sz w:val="22"/>
          <w:szCs w:val="22"/>
          <w:lang w:val="fr-FR"/>
        </w:rPr>
        <w:t>États non</w:t>
      </w:r>
      <w:r>
        <w:rPr>
          <w:rFonts w:ascii="Arial" w:hAnsi="Arial" w:cs="Arial"/>
          <w:bCs/>
          <w:sz w:val="22"/>
          <w:szCs w:val="22"/>
          <w:lang w:val="fr-FR"/>
        </w:rPr>
        <w:t xml:space="preserve"> p</w:t>
      </w:r>
      <w:r w:rsidRPr="004B319D">
        <w:rPr>
          <w:rFonts w:ascii="Arial" w:hAnsi="Arial" w:cs="Arial"/>
          <w:bCs/>
          <w:sz w:val="22"/>
          <w:szCs w:val="22"/>
          <w:lang w:val="fr-FR"/>
        </w:rPr>
        <w:t xml:space="preserve">arties. </w:t>
      </w:r>
      <w:r w:rsidR="006221EA" w:rsidRPr="006221EA">
        <w:rPr>
          <w:rFonts w:ascii="Arial" w:hAnsi="Arial" w:cs="Arial"/>
          <w:bCs/>
          <w:sz w:val="22"/>
          <w:szCs w:val="22"/>
          <w:lang w:val="fr-FR"/>
        </w:rPr>
        <w:t xml:space="preserve">Le Sous-Directeur général </w:t>
      </w:r>
      <w:r w:rsidRPr="004B319D">
        <w:rPr>
          <w:rFonts w:ascii="Arial" w:hAnsi="Arial" w:cs="Arial"/>
          <w:bCs/>
          <w:sz w:val="22"/>
          <w:szCs w:val="22"/>
          <w:lang w:val="fr-FR"/>
        </w:rPr>
        <w:t>a rappelé le changement de fonctionnement de l</w:t>
      </w:r>
      <w:r w:rsidR="008E532B">
        <w:rPr>
          <w:rFonts w:ascii="Arial" w:hAnsi="Arial" w:cs="Arial"/>
          <w:bCs/>
          <w:sz w:val="22"/>
          <w:szCs w:val="22"/>
          <w:lang w:val="fr-FR"/>
        </w:rPr>
        <w:t>’</w:t>
      </w:r>
      <w:r w:rsidRPr="004B319D">
        <w:rPr>
          <w:rFonts w:ascii="Arial" w:hAnsi="Arial" w:cs="Arial"/>
          <w:bCs/>
          <w:sz w:val="22"/>
          <w:szCs w:val="22"/>
          <w:lang w:val="fr-FR"/>
        </w:rPr>
        <w:t>Organe d</w:t>
      </w:r>
      <w:r w:rsidR="008E532B">
        <w:rPr>
          <w:rFonts w:ascii="Arial" w:hAnsi="Arial" w:cs="Arial"/>
          <w:bCs/>
          <w:sz w:val="22"/>
          <w:szCs w:val="22"/>
          <w:lang w:val="fr-FR"/>
        </w:rPr>
        <w:t>’</w:t>
      </w:r>
      <w:r w:rsidRPr="004B319D">
        <w:rPr>
          <w:rFonts w:ascii="Arial" w:hAnsi="Arial" w:cs="Arial"/>
          <w:bCs/>
          <w:sz w:val="22"/>
          <w:szCs w:val="22"/>
          <w:lang w:val="fr-FR"/>
        </w:rPr>
        <w:t>évaluation en 2015. Depuis lors, aucune ONG d</w:t>
      </w:r>
      <w:r w:rsidR="008E532B">
        <w:rPr>
          <w:rFonts w:ascii="Arial" w:hAnsi="Arial" w:cs="Arial"/>
          <w:bCs/>
          <w:sz w:val="22"/>
          <w:szCs w:val="22"/>
          <w:lang w:val="fr-FR"/>
        </w:rPr>
        <w:t>’</w:t>
      </w:r>
      <w:r w:rsidRPr="004B319D">
        <w:rPr>
          <w:rFonts w:ascii="Arial" w:hAnsi="Arial" w:cs="Arial"/>
          <w:bCs/>
          <w:sz w:val="22"/>
          <w:szCs w:val="22"/>
          <w:lang w:val="fr-FR"/>
        </w:rPr>
        <w:t>un pays non représenté n</w:t>
      </w:r>
      <w:r w:rsidR="008E532B">
        <w:rPr>
          <w:rFonts w:ascii="Arial" w:hAnsi="Arial" w:cs="Arial"/>
          <w:bCs/>
          <w:sz w:val="22"/>
          <w:szCs w:val="22"/>
          <w:lang w:val="fr-FR"/>
        </w:rPr>
        <w:t>’</w:t>
      </w:r>
      <w:r w:rsidRPr="004B319D">
        <w:rPr>
          <w:rFonts w:ascii="Arial" w:hAnsi="Arial" w:cs="Arial"/>
          <w:bCs/>
          <w:sz w:val="22"/>
          <w:szCs w:val="22"/>
          <w:lang w:val="fr-FR"/>
        </w:rPr>
        <w:t xml:space="preserve">avait siégé </w:t>
      </w:r>
      <w:r>
        <w:rPr>
          <w:rFonts w:ascii="Arial" w:hAnsi="Arial" w:cs="Arial"/>
          <w:bCs/>
          <w:sz w:val="22"/>
          <w:szCs w:val="22"/>
          <w:lang w:val="fr-FR"/>
        </w:rPr>
        <w:t>à cet o</w:t>
      </w:r>
      <w:r w:rsidRPr="004B319D">
        <w:rPr>
          <w:rFonts w:ascii="Arial" w:hAnsi="Arial" w:cs="Arial"/>
          <w:bCs/>
          <w:sz w:val="22"/>
          <w:szCs w:val="22"/>
          <w:lang w:val="fr-FR"/>
        </w:rPr>
        <w:t>rgane consultatif. Avant 2015, une quinzaine d</w:t>
      </w:r>
      <w:r w:rsidR="008E532B">
        <w:rPr>
          <w:rFonts w:ascii="Arial" w:hAnsi="Arial" w:cs="Arial"/>
          <w:bCs/>
          <w:sz w:val="22"/>
          <w:szCs w:val="22"/>
          <w:lang w:val="fr-FR"/>
        </w:rPr>
        <w:t>’</w:t>
      </w:r>
      <w:r w:rsidRPr="004B319D">
        <w:rPr>
          <w:rFonts w:ascii="Arial" w:hAnsi="Arial" w:cs="Arial"/>
          <w:bCs/>
          <w:sz w:val="22"/>
          <w:szCs w:val="22"/>
          <w:lang w:val="fr-FR"/>
        </w:rPr>
        <w:t>ONG avaient siégé à l</w:t>
      </w:r>
      <w:r w:rsidR="008E532B">
        <w:rPr>
          <w:rFonts w:ascii="Arial" w:hAnsi="Arial" w:cs="Arial"/>
          <w:bCs/>
          <w:sz w:val="22"/>
          <w:szCs w:val="22"/>
          <w:lang w:val="fr-FR"/>
        </w:rPr>
        <w:t>’</w:t>
      </w:r>
      <w:r w:rsidRPr="004B319D">
        <w:rPr>
          <w:rFonts w:ascii="Arial" w:hAnsi="Arial" w:cs="Arial"/>
          <w:bCs/>
          <w:sz w:val="22"/>
          <w:szCs w:val="22"/>
          <w:lang w:val="fr-FR"/>
        </w:rPr>
        <w:t>Organe consultatif [comme on l</w:t>
      </w:r>
      <w:r w:rsidR="008E532B">
        <w:rPr>
          <w:rFonts w:ascii="Arial" w:hAnsi="Arial" w:cs="Arial"/>
          <w:bCs/>
          <w:sz w:val="22"/>
          <w:szCs w:val="22"/>
          <w:lang w:val="fr-FR"/>
        </w:rPr>
        <w:t>’</w:t>
      </w:r>
      <w:r w:rsidRPr="004B319D">
        <w:rPr>
          <w:rFonts w:ascii="Arial" w:hAnsi="Arial" w:cs="Arial"/>
          <w:bCs/>
          <w:sz w:val="22"/>
          <w:szCs w:val="22"/>
          <w:lang w:val="fr-FR"/>
        </w:rPr>
        <w:t>appelait à l</w:t>
      </w:r>
      <w:r w:rsidR="008E532B">
        <w:rPr>
          <w:rFonts w:ascii="Arial" w:hAnsi="Arial" w:cs="Arial"/>
          <w:bCs/>
          <w:sz w:val="22"/>
          <w:szCs w:val="22"/>
          <w:lang w:val="fr-FR"/>
        </w:rPr>
        <w:t>’</w:t>
      </w:r>
      <w:r w:rsidRPr="004B319D">
        <w:rPr>
          <w:rFonts w:ascii="Arial" w:hAnsi="Arial" w:cs="Arial"/>
          <w:bCs/>
          <w:sz w:val="22"/>
          <w:szCs w:val="22"/>
          <w:lang w:val="fr-FR"/>
        </w:rPr>
        <w:t>époque] alors que leurs pays n</w:t>
      </w:r>
      <w:r w:rsidR="008E532B">
        <w:rPr>
          <w:rFonts w:ascii="Arial" w:hAnsi="Arial" w:cs="Arial"/>
          <w:bCs/>
          <w:sz w:val="22"/>
          <w:szCs w:val="22"/>
          <w:lang w:val="fr-FR"/>
        </w:rPr>
        <w:t>’</w:t>
      </w:r>
      <w:r w:rsidRPr="004B319D">
        <w:rPr>
          <w:rFonts w:ascii="Arial" w:hAnsi="Arial" w:cs="Arial"/>
          <w:bCs/>
          <w:sz w:val="22"/>
          <w:szCs w:val="22"/>
          <w:lang w:val="fr-FR"/>
        </w:rPr>
        <w:t xml:space="preserve">étaient pas </w:t>
      </w:r>
      <w:proofErr w:type="gramStart"/>
      <w:r>
        <w:rPr>
          <w:rFonts w:ascii="Arial" w:hAnsi="Arial" w:cs="Arial"/>
          <w:bCs/>
          <w:sz w:val="22"/>
          <w:szCs w:val="22"/>
          <w:lang w:val="fr-FR"/>
        </w:rPr>
        <w:t>p</w:t>
      </w:r>
      <w:r w:rsidRPr="004B319D">
        <w:rPr>
          <w:rFonts w:ascii="Arial" w:hAnsi="Arial" w:cs="Arial"/>
          <w:bCs/>
          <w:sz w:val="22"/>
          <w:szCs w:val="22"/>
          <w:lang w:val="fr-FR"/>
        </w:rPr>
        <w:t>arties</w:t>
      </w:r>
      <w:proofErr w:type="gramEnd"/>
      <w:r w:rsidRPr="004B319D">
        <w:rPr>
          <w:rFonts w:ascii="Arial" w:hAnsi="Arial" w:cs="Arial"/>
          <w:bCs/>
          <w:sz w:val="22"/>
          <w:szCs w:val="22"/>
          <w:lang w:val="fr-FR"/>
        </w:rPr>
        <w:t xml:space="preserve"> à cette Convention. Parmi ce</w:t>
      </w:r>
      <w:r>
        <w:rPr>
          <w:rFonts w:ascii="Arial" w:hAnsi="Arial" w:cs="Arial"/>
          <w:bCs/>
          <w:sz w:val="22"/>
          <w:szCs w:val="22"/>
          <w:lang w:val="fr-FR"/>
        </w:rPr>
        <w:t>ux</w:t>
      </w:r>
      <w:r w:rsidRPr="004B319D">
        <w:rPr>
          <w:rFonts w:ascii="Arial" w:hAnsi="Arial" w:cs="Arial"/>
          <w:bCs/>
          <w:sz w:val="22"/>
          <w:szCs w:val="22"/>
          <w:lang w:val="fr-FR"/>
        </w:rPr>
        <w:t xml:space="preserve">-ci, plusieurs </w:t>
      </w:r>
      <w:r>
        <w:rPr>
          <w:rFonts w:ascii="Arial" w:hAnsi="Arial" w:cs="Arial"/>
          <w:bCs/>
          <w:sz w:val="22"/>
          <w:szCs w:val="22"/>
          <w:lang w:val="fr-FR"/>
        </w:rPr>
        <w:t>É</w:t>
      </w:r>
      <w:r w:rsidRPr="004B319D">
        <w:rPr>
          <w:rFonts w:ascii="Arial" w:hAnsi="Arial" w:cs="Arial"/>
          <w:bCs/>
          <w:sz w:val="22"/>
          <w:szCs w:val="22"/>
          <w:lang w:val="fr-FR"/>
        </w:rPr>
        <w:t xml:space="preserve">tats </w:t>
      </w:r>
      <w:r>
        <w:rPr>
          <w:rFonts w:ascii="Arial" w:hAnsi="Arial" w:cs="Arial"/>
          <w:bCs/>
          <w:sz w:val="22"/>
          <w:szCs w:val="22"/>
          <w:lang w:val="fr-FR"/>
        </w:rPr>
        <w:t>étaient désormais</w:t>
      </w:r>
      <w:r w:rsidRPr="004B319D">
        <w:rPr>
          <w:rFonts w:ascii="Arial" w:hAnsi="Arial" w:cs="Arial"/>
          <w:bCs/>
          <w:sz w:val="22"/>
          <w:szCs w:val="22"/>
          <w:lang w:val="fr-FR"/>
        </w:rPr>
        <w:t xml:space="preserve"> </w:t>
      </w:r>
      <w:proofErr w:type="gramStart"/>
      <w:r>
        <w:rPr>
          <w:rFonts w:ascii="Arial" w:hAnsi="Arial" w:cs="Arial"/>
          <w:bCs/>
          <w:sz w:val="22"/>
          <w:szCs w:val="22"/>
          <w:lang w:val="fr-FR"/>
        </w:rPr>
        <w:t>p</w:t>
      </w:r>
      <w:r w:rsidRPr="004B319D">
        <w:rPr>
          <w:rFonts w:ascii="Arial" w:hAnsi="Arial" w:cs="Arial"/>
          <w:bCs/>
          <w:sz w:val="22"/>
          <w:szCs w:val="22"/>
          <w:lang w:val="fr-FR"/>
        </w:rPr>
        <w:t>arties</w:t>
      </w:r>
      <w:proofErr w:type="gramEnd"/>
      <w:r w:rsidRPr="004B319D">
        <w:rPr>
          <w:rFonts w:ascii="Arial" w:hAnsi="Arial" w:cs="Arial"/>
          <w:bCs/>
          <w:sz w:val="22"/>
          <w:szCs w:val="22"/>
          <w:lang w:val="fr-FR"/>
        </w:rPr>
        <w:t xml:space="preserve"> à la Convention. Ainsi, ces ONG </w:t>
      </w:r>
      <w:r>
        <w:rPr>
          <w:rFonts w:ascii="Arial" w:hAnsi="Arial" w:cs="Arial"/>
          <w:bCs/>
          <w:sz w:val="22"/>
          <w:szCs w:val="22"/>
          <w:lang w:val="fr-FR"/>
        </w:rPr>
        <w:t xml:space="preserve">avaient </w:t>
      </w:r>
      <w:r w:rsidRPr="004B319D">
        <w:rPr>
          <w:rFonts w:ascii="Arial" w:hAnsi="Arial" w:cs="Arial"/>
          <w:bCs/>
          <w:sz w:val="22"/>
          <w:szCs w:val="22"/>
          <w:lang w:val="fr-FR"/>
        </w:rPr>
        <w:t xml:space="preserve">pu </w:t>
      </w:r>
      <w:r>
        <w:rPr>
          <w:rFonts w:ascii="Arial" w:hAnsi="Arial" w:cs="Arial"/>
          <w:bCs/>
          <w:sz w:val="22"/>
          <w:szCs w:val="22"/>
          <w:lang w:val="fr-FR"/>
        </w:rPr>
        <w:t xml:space="preserve">aider </w:t>
      </w:r>
      <w:r w:rsidRPr="004B319D">
        <w:rPr>
          <w:rFonts w:ascii="Arial" w:hAnsi="Arial" w:cs="Arial"/>
          <w:bCs/>
          <w:sz w:val="22"/>
          <w:szCs w:val="22"/>
          <w:lang w:val="fr-FR"/>
        </w:rPr>
        <w:t xml:space="preserve">les </w:t>
      </w:r>
      <w:r>
        <w:rPr>
          <w:rFonts w:ascii="Arial" w:hAnsi="Arial" w:cs="Arial"/>
          <w:bCs/>
          <w:sz w:val="22"/>
          <w:szCs w:val="22"/>
          <w:lang w:val="fr-FR"/>
        </w:rPr>
        <w:t>É</w:t>
      </w:r>
      <w:r w:rsidRPr="004B319D">
        <w:rPr>
          <w:rFonts w:ascii="Arial" w:hAnsi="Arial" w:cs="Arial"/>
          <w:bCs/>
          <w:sz w:val="22"/>
          <w:szCs w:val="22"/>
          <w:lang w:val="fr-FR"/>
        </w:rPr>
        <w:t xml:space="preserve">tats </w:t>
      </w:r>
      <w:r>
        <w:rPr>
          <w:rFonts w:ascii="Arial" w:hAnsi="Arial" w:cs="Arial"/>
          <w:bCs/>
          <w:sz w:val="22"/>
          <w:szCs w:val="22"/>
          <w:lang w:val="fr-FR"/>
        </w:rPr>
        <w:t>M</w:t>
      </w:r>
      <w:r w:rsidRPr="004B319D">
        <w:rPr>
          <w:rFonts w:ascii="Arial" w:hAnsi="Arial" w:cs="Arial"/>
          <w:bCs/>
          <w:sz w:val="22"/>
          <w:szCs w:val="22"/>
          <w:lang w:val="fr-FR"/>
        </w:rPr>
        <w:t>embres (qui n</w:t>
      </w:r>
      <w:r w:rsidR="008E532B">
        <w:rPr>
          <w:rFonts w:ascii="Arial" w:hAnsi="Arial" w:cs="Arial"/>
          <w:bCs/>
          <w:sz w:val="22"/>
          <w:szCs w:val="22"/>
          <w:lang w:val="fr-FR"/>
        </w:rPr>
        <w:t>’</w:t>
      </w:r>
      <w:r w:rsidRPr="004B319D">
        <w:rPr>
          <w:rFonts w:ascii="Arial" w:hAnsi="Arial" w:cs="Arial"/>
          <w:bCs/>
          <w:sz w:val="22"/>
          <w:szCs w:val="22"/>
          <w:lang w:val="fr-FR"/>
        </w:rPr>
        <w:t>étaient pas encore parties à la Convention) à s</w:t>
      </w:r>
      <w:r w:rsidR="008E532B">
        <w:rPr>
          <w:rFonts w:ascii="Arial" w:hAnsi="Arial" w:cs="Arial"/>
          <w:bCs/>
          <w:sz w:val="22"/>
          <w:szCs w:val="22"/>
          <w:lang w:val="fr-FR"/>
        </w:rPr>
        <w:t>’</w:t>
      </w:r>
      <w:r w:rsidRPr="004B319D">
        <w:rPr>
          <w:rFonts w:ascii="Arial" w:hAnsi="Arial" w:cs="Arial"/>
          <w:bCs/>
          <w:sz w:val="22"/>
          <w:szCs w:val="22"/>
          <w:lang w:val="fr-FR"/>
        </w:rPr>
        <w:t>intéresser à la Convention. En effet, cela s</w:t>
      </w:r>
      <w:r w:rsidR="008E532B">
        <w:rPr>
          <w:rFonts w:ascii="Arial" w:hAnsi="Arial" w:cs="Arial"/>
          <w:bCs/>
          <w:sz w:val="22"/>
          <w:szCs w:val="22"/>
          <w:lang w:val="fr-FR"/>
        </w:rPr>
        <w:t>’</w:t>
      </w:r>
      <w:r>
        <w:rPr>
          <w:rFonts w:ascii="Arial" w:hAnsi="Arial" w:cs="Arial"/>
          <w:bCs/>
          <w:sz w:val="22"/>
          <w:szCs w:val="22"/>
          <w:lang w:val="fr-FR"/>
        </w:rPr>
        <w:t xml:space="preserve">était </w:t>
      </w:r>
      <w:r w:rsidRPr="004B319D">
        <w:rPr>
          <w:rFonts w:ascii="Arial" w:hAnsi="Arial" w:cs="Arial"/>
          <w:bCs/>
          <w:sz w:val="22"/>
          <w:szCs w:val="22"/>
          <w:lang w:val="fr-FR"/>
        </w:rPr>
        <w:t>produit dans plusieurs pays, dont un pays africain, un pays asiatique et un pays d</w:t>
      </w:r>
      <w:r w:rsidR="008E532B">
        <w:rPr>
          <w:rFonts w:ascii="Arial" w:hAnsi="Arial" w:cs="Arial"/>
          <w:bCs/>
          <w:sz w:val="22"/>
          <w:szCs w:val="22"/>
          <w:lang w:val="fr-FR"/>
        </w:rPr>
        <w:t>’</w:t>
      </w:r>
      <w:r w:rsidRPr="004B319D">
        <w:rPr>
          <w:rFonts w:ascii="Arial" w:hAnsi="Arial" w:cs="Arial"/>
          <w:bCs/>
          <w:sz w:val="22"/>
          <w:szCs w:val="22"/>
          <w:lang w:val="fr-FR"/>
        </w:rPr>
        <w:t>Amérique latine.</w:t>
      </w:r>
    </w:p>
    <w:p w14:paraId="5811BCE2" w14:textId="63227C7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agissant de </w:t>
      </w:r>
      <w:r w:rsidRPr="00E12AA7">
        <w:rPr>
          <w:rFonts w:ascii="Arial" w:hAnsi="Arial" w:cs="Arial"/>
          <w:bCs/>
          <w:sz w:val="22"/>
          <w:szCs w:val="22"/>
          <w:lang w:val="fr-FR"/>
        </w:rPr>
        <w:t>l</w:t>
      </w:r>
      <w:r w:rsidR="008E532B">
        <w:rPr>
          <w:rFonts w:ascii="Arial" w:hAnsi="Arial" w:cs="Arial"/>
          <w:bCs/>
          <w:sz w:val="22"/>
          <w:szCs w:val="22"/>
          <w:lang w:val="fr-FR"/>
        </w:rPr>
        <w:t>’</w:t>
      </w:r>
      <w:r w:rsidRPr="00E12AA7">
        <w:rPr>
          <w:rFonts w:ascii="Arial" w:hAnsi="Arial" w:cs="Arial"/>
          <w:bCs/>
          <w:sz w:val="22"/>
          <w:szCs w:val="22"/>
          <w:lang w:val="fr-FR"/>
        </w:rPr>
        <w:t xml:space="preserve">équilibre géographique entre les ONG, le </w:t>
      </w:r>
      <w:r w:rsidRPr="00E12AA7">
        <w:rPr>
          <w:rFonts w:ascii="Arial" w:hAnsi="Arial" w:cs="Arial"/>
          <w:b/>
          <w:sz w:val="22"/>
          <w:szCs w:val="22"/>
          <w:lang w:val="fr-FR"/>
        </w:rPr>
        <w:t>Sous-Directeur général</w:t>
      </w:r>
      <w:r w:rsidRPr="00E12AA7">
        <w:rPr>
          <w:rFonts w:ascii="Arial" w:hAnsi="Arial" w:cs="Arial"/>
          <w:bCs/>
          <w:sz w:val="22"/>
          <w:szCs w:val="22"/>
          <w:lang w:val="fr-FR"/>
        </w:rPr>
        <w:t xml:space="preserve"> a précisé que les deux régions sous-représentées étaient l</w:t>
      </w:r>
      <w:r w:rsidR="008E532B">
        <w:rPr>
          <w:rFonts w:ascii="Arial" w:hAnsi="Arial" w:cs="Arial"/>
          <w:bCs/>
          <w:sz w:val="22"/>
          <w:szCs w:val="22"/>
          <w:lang w:val="fr-FR"/>
        </w:rPr>
        <w:t>’</w:t>
      </w:r>
      <w:r w:rsidRPr="00E12AA7">
        <w:rPr>
          <w:rFonts w:ascii="Arial" w:hAnsi="Arial" w:cs="Arial"/>
          <w:bCs/>
          <w:sz w:val="22"/>
          <w:szCs w:val="22"/>
          <w:lang w:val="fr-FR"/>
        </w:rPr>
        <w:t xml:space="preserve">Amérique latine et les Caraïbes et la région </w:t>
      </w:r>
      <w:r>
        <w:rPr>
          <w:rFonts w:ascii="Arial" w:hAnsi="Arial" w:cs="Arial"/>
          <w:bCs/>
          <w:sz w:val="22"/>
          <w:szCs w:val="22"/>
          <w:lang w:val="fr-FR"/>
        </w:rPr>
        <w:t xml:space="preserve">des États </w:t>
      </w:r>
      <w:r w:rsidRPr="00E12AA7">
        <w:rPr>
          <w:rFonts w:ascii="Arial" w:hAnsi="Arial" w:cs="Arial"/>
          <w:bCs/>
          <w:sz w:val="22"/>
          <w:szCs w:val="22"/>
          <w:lang w:val="fr-FR"/>
        </w:rPr>
        <w:t>arabe</w:t>
      </w:r>
      <w:r>
        <w:rPr>
          <w:rFonts w:ascii="Arial" w:hAnsi="Arial" w:cs="Arial"/>
          <w:bCs/>
          <w:sz w:val="22"/>
          <w:szCs w:val="22"/>
          <w:lang w:val="fr-FR"/>
        </w:rPr>
        <w:t>s</w:t>
      </w:r>
      <w:r w:rsidRPr="00E12AA7">
        <w:rPr>
          <w:rFonts w:ascii="Arial" w:hAnsi="Arial" w:cs="Arial"/>
          <w:bCs/>
          <w:sz w:val="22"/>
          <w:szCs w:val="22"/>
          <w:lang w:val="fr-FR"/>
        </w:rPr>
        <w:t xml:space="preserve">, </w:t>
      </w:r>
      <w:r>
        <w:rPr>
          <w:rFonts w:ascii="Arial" w:hAnsi="Arial" w:cs="Arial"/>
          <w:bCs/>
          <w:sz w:val="22"/>
          <w:szCs w:val="22"/>
          <w:lang w:val="fr-FR"/>
        </w:rPr>
        <w:t>c.-à-d.</w:t>
      </w:r>
      <w:r w:rsidRPr="00E12AA7">
        <w:rPr>
          <w:rFonts w:ascii="Arial" w:hAnsi="Arial" w:cs="Arial"/>
          <w:bCs/>
          <w:sz w:val="22"/>
          <w:szCs w:val="22"/>
          <w:lang w:val="fr-FR"/>
        </w:rPr>
        <w:t xml:space="preserve"> pas la région Afrique qui compt</w:t>
      </w:r>
      <w:r>
        <w:rPr>
          <w:rFonts w:ascii="Arial" w:hAnsi="Arial" w:cs="Arial"/>
          <w:bCs/>
          <w:sz w:val="22"/>
          <w:szCs w:val="22"/>
          <w:lang w:val="fr-FR"/>
        </w:rPr>
        <w:t>ai</w:t>
      </w:r>
      <w:r w:rsidRPr="00E12AA7">
        <w:rPr>
          <w:rFonts w:ascii="Arial" w:hAnsi="Arial" w:cs="Arial"/>
          <w:bCs/>
          <w:sz w:val="22"/>
          <w:szCs w:val="22"/>
          <w:lang w:val="fr-FR"/>
        </w:rPr>
        <w:t xml:space="preserve">t environ </w:t>
      </w:r>
      <w:r>
        <w:rPr>
          <w:rFonts w:ascii="Arial" w:hAnsi="Arial" w:cs="Arial"/>
          <w:bCs/>
          <w:sz w:val="22"/>
          <w:szCs w:val="22"/>
          <w:lang w:val="fr-FR"/>
        </w:rPr>
        <w:t>4 à 5 %</w:t>
      </w:r>
      <w:r w:rsidRPr="00E12AA7">
        <w:rPr>
          <w:rFonts w:ascii="Arial" w:hAnsi="Arial" w:cs="Arial"/>
          <w:bCs/>
          <w:sz w:val="22"/>
          <w:szCs w:val="22"/>
          <w:lang w:val="fr-FR"/>
        </w:rPr>
        <w:t xml:space="preserve"> du nombre total d</w:t>
      </w:r>
      <w:r w:rsidR="008E532B">
        <w:rPr>
          <w:rFonts w:ascii="Arial" w:hAnsi="Arial" w:cs="Arial"/>
          <w:bCs/>
          <w:sz w:val="22"/>
          <w:szCs w:val="22"/>
          <w:lang w:val="fr-FR"/>
        </w:rPr>
        <w:t>’</w:t>
      </w:r>
      <w:r w:rsidRPr="00E12AA7">
        <w:rPr>
          <w:rFonts w:ascii="Arial" w:hAnsi="Arial" w:cs="Arial"/>
          <w:bCs/>
          <w:sz w:val="22"/>
          <w:szCs w:val="22"/>
          <w:lang w:val="fr-FR"/>
        </w:rPr>
        <w:t xml:space="preserve">ONG. </w:t>
      </w:r>
      <w:r w:rsidR="006221EA">
        <w:rPr>
          <w:rFonts w:ascii="Arial" w:hAnsi="Arial" w:cs="Arial"/>
          <w:bCs/>
          <w:sz w:val="22"/>
          <w:szCs w:val="22"/>
          <w:lang w:val="fr-FR"/>
        </w:rPr>
        <w:t>La question</w:t>
      </w:r>
      <w:r w:rsidRPr="00E12AA7">
        <w:rPr>
          <w:rFonts w:ascii="Arial" w:hAnsi="Arial" w:cs="Arial"/>
          <w:bCs/>
          <w:sz w:val="22"/>
          <w:szCs w:val="22"/>
          <w:lang w:val="fr-FR"/>
        </w:rPr>
        <w:t xml:space="preserve"> était donc lié</w:t>
      </w:r>
      <w:r w:rsidR="006221EA">
        <w:rPr>
          <w:rFonts w:ascii="Arial" w:hAnsi="Arial" w:cs="Arial"/>
          <w:bCs/>
          <w:sz w:val="22"/>
          <w:szCs w:val="22"/>
          <w:lang w:val="fr-FR"/>
        </w:rPr>
        <w:t>e</w:t>
      </w:r>
      <w:r w:rsidRPr="00E12AA7">
        <w:rPr>
          <w:rFonts w:ascii="Arial" w:hAnsi="Arial" w:cs="Arial"/>
          <w:bCs/>
          <w:sz w:val="22"/>
          <w:szCs w:val="22"/>
          <w:lang w:val="fr-FR"/>
        </w:rPr>
        <w:t xml:space="preserve"> à plusieurs </w:t>
      </w:r>
      <w:r>
        <w:rPr>
          <w:rFonts w:ascii="Arial" w:hAnsi="Arial" w:cs="Arial"/>
          <w:bCs/>
          <w:sz w:val="22"/>
          <w:szCs w:val="22"/>
          <w:lang w:val="fr-FR"/>
        </w:rPr>
        <w:t>g</w:t>
      </w:r>
      <w:r w:rsidRPr="00E12AA7">
        <w:rPr>
          <w:rFonts w:ascii="Arial" w:hAnsi="Arial" w:cs="Arial"/>
          <w:bCs/>
          <w:sz w:val="22"/>
          <w:szCs w:val="22"/>
          <w:lang w:val="fr-FR"/>
        </w:rPr>
        <w:t xml:space="preserve">roupes. Ceci </w:t>
      </w:r>
      <w:r>
        <w:rPr>
          <w:rFonts w:ascii="Arial" w:hAnsi="Arial" w:cs="Arial"/>
          <w:bCs/>
          <w:sz w:val="22"/>
          <w:szCs w:val="22"/>
          <w:lang w:val="fr-FR"/>
        </w:rPr>
        <w:t>était</w:t>
      </w:r>
      <w:r w:rsidRPr="00E12AA7">
        <w:rPr>
          <w:rFonts w:ascii="Arial" w:hAnsi="Arial" w:cs="Arial"/>
          <w:bCs/>
          <w:sz w:val="22"/>
          <w:szCs w:val="22"/>
          <w:lang w:val="fr-FR"/>
        </w:rPr>
        <w:t xml:space="preserve"> dû à une raison historique, à savoir l</w:t>
      </w:r>
      <w:r w:rsidR="008E532B">
        <w:rPr>
          <w:rFonts w:ascii="Arial" w:hAnsi="Arial" w:cs="Arial"/>
          <w:bCs/>
          <w:sz w:val="22"/>
          <w:szCs w:val="22"/>
          <w:lang w:val="fr-FR"/>
        </w:rPr>
        <w:t>’</w:t>
      </w:r>
      <w:r w:rsidRPr="00E12AA7">
        <w:rPr>
          <w:rFonts w:ascii="Arial" w:hAnsi="Arial" w:cs="Arial"/>
          <w:bCs/>
          <w:sz w:val="22"/>
          <w:szCs w:val="22"/>
          <w:lang w:val="fr-FR"/>
        </w:rPr>
        <w:t xml:space="preserve">ordre dans lequel les </w:t>
      </w:r>
      <w:r>
        <w:rPr>
          <w:rFonts w:ascii="Arial" w:hAnsi="Arial" w:cs="Arial"/>
          <w:bCs/>
          <w:sz w:val="22"/>
          <w:szCs w:val="22"/>
          <w:lang w:val="fr-FR"/>
        </w:rPr>
        <w:t>É</w:t>
      </w:r>
      <w:r w:rsidRPr="00E12AA7">
        <w:rPr>
          <w:rFonts w:ascii="Arial" w:hAnsi="Arial" w:cs="Arial"/>
          <w:bCs/>
          <w:sz w:val="22"/>
          <w:szCs w:val="22"/>
          <w:lang w:val="fr-FR"/>
        </w:rPr>
        <w:t xml:space="preserve">tats </w:t>
      </w:r>
      <w:r>
        <w:rPr>
          <w:rFonts w:ascii="Arial" w:hAnsi="Arial" w:cs="Arial"/>
          <w:bCs/>
          <w:sz w:val="22"/>
          <w:szCs w:val="22"/>
          <w:lang w:val="fr-FR"/>
        </w:rPr>
        <w:t>avaient</w:t>
      </w:r>
      <w:r w:rsidRPr="00E12AA7">
        <w:rPr>
          <w:rFonts w:ascii="Arial" w:hAnsi="Arial" w:cs="Arial"/>
          <w:bCs/>
          <w:sz w:val="22"/>
          <w:szCs w:val="22"/>
          <w:lang w:val="fr-FR"/>
        </w:rPr>
        <w:t xml:space="preserve"> ratifié la Convention depuis </w:t>
      </w:r>
      <w:r>
        <w:rPr>
          <w:rFonts w:ascii="Arial" w:hAnsi="Arial" w:cs="Arial"/>
          <w:bCs/>
          <w:sz w:val="22"/>
          <w:szCs w:val="22"/>
          <w:lang w:val="fr-FR"/>
        </w:rPr>
        <w:t>ses origines</w:t>
      </w:r>
      <w:r w:rsidRPr="00E12AA7">
        <w:rPr>
          <w:rFonts w:ascii="Arial" w:hAnsi="Arial" w:cs="Arial"/>
          <w:bCs/>
          <w:sz w:val="22"/>
          <w:szCs w:val="22"/>
          <w:lang w:val="fr-FR"/>
        </w:rPr>
        <w:t xml:space="preserve">. </w:t>
      </w:r>
      <w:r>
        <w:rPr>
          <w:rFonts w:ascii="Arial" w:hAnsi="Arial" w:cs="Arial"/>
          <w:bCs/>
          <w:sz w:val="22"/>
          <w:szCs w:val="22"/>
          <w:lang w:val="fr-FR"/>
        </w:rPr>
        <w:t>Désormais</w:t>
      </w:r>
      <w:r w:rsidRPr="00E12AA7">
        <w:rPr>
          <w:rFonts w:ascii="Arial" w:hAnsi="Arial" w:cs="Arial"/>
          <w:bCs/>
          <w:sz w:val="22"/>
          <w:szCs w:val="22"/>
          <w:lang w:val="fr-FR"/>
        </w:rPr>
        <w:t xml:space="preserve">, </w:t>
      </w:r>
      <w:r>
        <w:rPr>
          <w:rFonts w:ascii="Arial" w:hAnsi="Arial" w:cs="Arial"/>
          <w:bCs/>
          <w:sz w:val="22"/>
          <w:szCs w:val="22"/>
          <w:lang w:val="fr-FR"/>
        </w:rPr>
        <w:t xml:space="preserve">dans toutes les conventions, </w:t>
      </w:r>
      <w:r w:rsidRPr="00E12AA7">
        <w:rPr>
          <w:rFonts w:ascii="Arial" w:hAnsi="Arial" w:cs="Arial"/>
          <w:bCs/>
          <w:sz w:val="22"/>
          <w:szCs w:val="22"/>
          <w:lang w:val="fr-FR"/>
        </w:rPr>
        <w:t>il exist</w:t>
      </w:r>
      <w:r>
        <w:rPr>
          <w:rFonts w:ascii="Arial" w:hAnsi="Arial" w:cs="Arial"/>
          <w:bCs/>
          <w:sz w:val="22"/>
          <w:szCs w:val="22"/>
          <w:lang w:val="fr-FR"/>
        </w:rPr>
        <w:t>ait</w:t>
      </w:r>
      <w:r w:rsidRPr="00E12AA7">
        <w:rPr>
          <w:rFonts w:ascii="Arial" w:hAnsi="Arial" w:cs="Arial"/>
          <w:bCs/>
          <w:sz w:val="22"/>
          <w:szCs w:val="22"/>
          <w:lang w:val="fr-FR"/>
        </w:rPr>
        <w:t xml:space="preserve"> une tendance </w:t>
      </w:r>
      <w:r>
        <w:rPr>
          <w:rFonts w:ascii="Arial" w:hAnsi="Arial" w:cs="Arial"/>
          <w:bCs/>
          <w:sz w:val="22"/>
          <w:szCs w:val="22"/>
          <w:lang w:val="fr-FR"/>
        </w:rPr>
        <w:t>visant à parvenir à</w:t>
      </w:r>
      <w:r w:rsidRPr="00E12AA7">
        <w:rPr>
          <w:rFonts w:ascii="Arial" w:hAnsi="Arial" w:cs="Arial"/>
          <w:bCs/>
          <w:sz w:val="22"/>
          <w:szCs w:val="22"/>
          <w:lang w:val="fr-FR"/>
        </w:rPr>
        <w:t xml:space="preserve"> un consensus afin d</w:t>
      </w:r>
      <w:r w:rsidR="008E532B">
        <w:rPr>
          <w:rFonts w:ascii="Arial" w:hAnsi="Arial" w:cs="Arial"/>
          <w:bCs/>
          <w:sz w:val="22"/>
          <w:szCs w:val="22"/>
          <w:lang w:val="fr-FR"/>
        </w:rPr>
        <w:t>’</w:t>
      </w:r>
      <w:r w:rsidRPr="00E12AA7">
        <w:rPr>
          <w:rFonts w:ascii="Arial" w:hAnsi="Arial" w:cs="Arial"/>
          <w:bCs/>
          <w:sz w:val="22"/>
          <w:szCs w:val="22"/>
          <w:lang w:val="fr-FR"/>
        </w:rPr>
        <w:t>atteindre un équilibre régional. C</w:t>
      </w:r>
      <w:r w:rsidR="008E532B">
        <w:rPr>
          <w:rFonts w:ascii="Arial" w:hAnsi="Arial" w:cs="Arial"/>
          <w:bCs/>
          <w:sz w:val="22"/>
          <w:szCs w:val="22"/>
          <w:lang w:val="fr-FR"/>
        </w:rPr>
        <w:t>’</w:t>
      </w:r>
      <w:r>
        <w:rPr>
          <w:rFonts w:ascii="Arial" w:hAnsi="Arial" w:cs="Arial"/>
          <w:bCs/>
          <w:sz w:val="22"/>
          <w:szCs w:val="22"/>
          <w:lang w:val="fr-FR"/>
        </w:rPr>
        <w:t>était</w:t>
      </w:r>
      <w:r w:rsidRPr="00E12AA7">
        <w:rPr>
          <w:rFonts w:ascii="Arial" w:hAnsi="Arial" w:cs="Arial"/>
          <w:bCs/>
          <w:sz w:val="22"/>
          <w:szCs w:val="22"/>
          <w:lang w:val="fr-FR"/>
        </w:rPr>
        <w:t xml:space="preserve"> une discussion importante qui d</w:t>
      </w:r>
      <w:r>
        <w:rPr>
          <w:rFonts w:ascii="Arial" w:hAnsi="Arial" w:cs="Arial"/>
          <w:bCs/>
          <w:sz w:val="22"/>
          <w:szCs w:val="22"/>
          <w:lang w:val="fr-FR"/>
        </w:rPr>
        <w:t>evait</w:t>
      </w:r>
      <w:r w:rsidRPr="00E12AA7">
        <w:rPr>
          <w:rFonts w:ascii="Arial" w:hAnsi="Arial" w:cs="Arial"/>
          <w:bCs/>
          <w:sz w:val="22"/>
          <w:szCs w:val="22"/>
          <w:lang w:val="fr-FR"/>
        </w:rPr>
        <w:t xml:space="preserve"> avoir lieu, par exemple</w:t>
      </w:r>
      <w:r>
        <w:rPr>
          <w:rFonts w:ascii="Arial" w:hAnsi="Arial" w:cs="Arial"/>
          <w:bCs/>
          <w:sz w:val="22"/>
          <w:szCs w:val="22"/>
          <w:lang w:val="fr-FR"/>
        </w:rPr>
        <w:t>,</w:t>
      </w:r>
      <w:r w:rsidRPr="00E12AA7">
        <w:rPr>
          <w:rFonts w:ascii="Arial" w:hAnsi="Arial" w:cs="Arial"/>
          <w:bCs/>
          <w:sz w:val="22"/>
          <w:szCs w:val="22"/>
          <w:lang w:val="fr-FR"/>
        </w:rPr>
        <w:t xml:space="preserve"> sur la manière dont le futur Forum des ONG</w:t>
      </w:r>
      <w:r w:rsidR="00BA6601">
        <w:rPr>
          <w:rFonts w:ascii="Arial" w:hAnsi="Arial" w:cs="Arial"/>
          <w:bCs/>
          <w:sz w:val="22"/>
          <w:szCs w:val="22"/>
          <w:lang w:val="fr-FR"/>
        </w:rPr>
        <w:t xml:space="preserve"> du PCI</w:t>
      </w:r>
      <w:r w:rsidRPr="00E12AA7">
        <w:rPr>
          <w:rFonts w:ascii="Arial" w:hAnsi="Arial" w:cs="Arial"/>
          <w:bCs/>
          <w:sz w:val="22"/>
          <w:szCs w:val="22"/>
          <w:lang w:val="fr-FR"/>
        </w:rPr>
        <w:t xml:space="preserve"> fonctionnerait.</w:t>
      </w:r>
    </w:p>
    <w:p w14:paraId="3B880DC2" w14:textId="10FCB60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75EE8">
        <w:rPr>
          <w:rFonts w:ascii="Arial" w:hAnsi="Arial" w:cs="Arial"/>
          <w:bCs/>
          <w:sz w:val="22"/>
          <w:szCs w:val="22"/>
          <w:lang w:val="fr-FR"/>
        </w:rPr>
        <w:t xml:space="preserve">Le </w:t>
      </w:r>
      <w:r w:rsidRPr="00F75EE8">
        <w:rPr>
          <w:rFonts w:ascii="Arial" w:hAnsi="Arial" w:cs="Arial"/>
          <w:b/>
          <w:sz w:val="22"/>
          <w:szCs w:val="22"/>
          <w:lang w:val="fr-FR"/>
        </w:rPr>
        <w:t>Sous-Directeur général</w:t>
      </w:r>
      <w:r w:rsidRPr="00F75EE8">
        <w:rPr>
          <w:rFonts w:ascii="Arial" w:hAnsi="Arial" w:cs="Arial"/>
          <w:bCs/>
          <w:sz w:val="22"/>
          <w:szCs w:val="22"/>
          <w:lang w:val="fr-FR"/>
        </w:rPr>
        <w:t xml:space="preserve"> a fait remarquer que lors des débats </w:t>
      </w:r>
      <w:proofErr w:type="spellStart"/>
      <w:r w:rsidRPr="00F75EE8">
        <w:rPr>
          <w:rFonts w:ascii="Arial" w:hAnsi="Arial" w:cs="Arial"/>
          <w:bCs/>
          <w:sz w:val="22"/>
          <w:szCs w:val="22"/>
          <w:lang w:val="fr-FR"/>
        </w:rPr>
        <w:t>ResiliArt</w:t>
      </w:r>
      <w:proofErr w:type="spellEnd"/>
      <w:r w:rsidRPr="00F75EE8">
        <w:rPr>
          <w:rFonts w:ascii="Arial" w:hAnsi="Arial" w:cs="Arial"/>
          <w:bCs/>
          <w:sz w:val="22"/>
          <w:szCs w:val="22"/>
          <w:lang w:val="fr-FR"/>
        </w:rPr>
        <w:t>, un tiers de l</w:t>
      </w:r>
      <w:r w:rsidR="008E532B">
        <w:rPr>
          <w:rFonts w:ascii="Arial" w:hAnsi="Arial" w:cs="Arial"/>
          <w:bCs/>
          <w:sz w:val="22"/>
          <w:szCs w:val="22"/>
          <w:lang w:val="fr-FR"/>
        </w:rPr>
        <w:t>’</w:t>
      </w:r>
      <w:r w:rsidRPr="00F75EE8">
        <w:rPr>
          <w:rFonts w:ascii="Arial" w:hAnsi="Arial" w:cs="Arial"/>
          <w:bCs/>
          <w:sz w:val="22"/>
          <w:szCs w:val="22"/>
          <w:lang w:val="fr-FR"/>
        </w:rPr>
        <w:t xml:space="preserve">ensemble des débats, tous pays et régions confondus, </w:t>
      </w:r>
      <w:r>
        <w:rPr>
          <w:rFonts w:ascii="Arial" w:hAnsi="Arial" w:cs="Arial"/>
          <w:bCs/>
          <w:sz w:val="22"/>
          <w:szCs w:val="22"/>
          <w:lang w:val="fr-FR"/>
        </w:rPr>
        <w:t>avait porté sur</w:t>
      </w:r>
      <w:r w:rsidRPr="00F75EE8">
        <w:rPr>
          <w:rFonts w:ascii="Arial" w:hAnsi="Arial" w:cs="Arial"/>
          <w:bCs/>
          <w:sz w:val="22"/>
          <w:szCs w:val="22"/>
          <w:lang w:val="fr-FR"/>
        </w:rPr>
        <w:t xml:space="preserve"> le patrimoine immatérie</w:t>
      </w:r>
      <w:r>
        <w:rPr>
          <w:rFonts w:ascii="Arial" w:hAnsi="Arial" w:cs="Arial"/>
          <w:bCs/>
          <w:sz w:val="22"/>
          <w:szCs w:val="22"/>
          <w:lang w:val="fr-FR"/>
        </w:rPr>
        <w:t>l,</w:t>
      </w:r>
      <w:r w:rsidRPr="00F75EE8">
        <w:rPr>
          <w:rFonts w:ascii="Arial" w:hAnsi="Arial" w:cs="Arial"/>
          <w:bCs/>
          <w:sz w:val="22"/>
          <w:szCs w:val="22"/>
          <w:lang w:val="fr-FR"/>
        </w:rPr>
        <w:t xml:space="preserve"> dont </w:t>
      </w:r>
      <w:r>
        <w:rPr>
          <w:rFonts w:ascii="Arial" w:hAnsi="Arial" w:cs="Arial"/>
          <w:bCs/>
          <w:sz w:val="22"/>
          <w:szCs w:val="22"/>
          <w:lang w:val="fr-FR"/>
        </w:rPr>
        <w:t>30 % concernait l</w:t>
      </w:r>
      <w:r w:rsidR="008E532B">
        <w:rPr>
          <w:rFonts w:ascii="Arial" w:hAnsi="Arial" w:cs="Arial"/>
          <w:bCs/>
          <w:sz w:val="22"/>
          <w:szCs w:val="22"/>
          <w:lang w:val="fr-FR"/>
        </w:rPr>
        <w:t>’</w:t>
      </w:r>
      <w:r>
        <w:rPr>
          <w:rFonts w:ascii="Arial" w:hAnsi="Arial" w:cs="Arial"/>
          <w:bCs/>
          <w:sz w:val="22"/>
          <w:szCs w:val="22"/>
          <w:lang w:val="fr-FR"/>
        </w:rPr>
        <w:t>Afrique</w:t>
      </w:r>
      <w:r w:rsidRPr="00F75EE8">
        <w:rPr>
          <w:rFonts w:ascii="Arial" w:hAnsi="Arial" w:cs="Arial"/>
          <w:bCs/>
          <w:sz w:val="22"/>
          <w:szCs w:val="22"/>
          <w:lang w:val="fr-FR"/>
        </w:rPr>
        <w:t>. Il y a</w:t>
      </w:r>
      <w:r>
        <w:rPr>
          <w:rFonts w:ascii="Arial" w:hAnsi="Arial" w:cs="Arial"/>
          <w:bCs/>
          <w:sz w:val="22"/>
          <w:szCs w:val="22"/>
          <w:lang w:val="fr-FR"/>
        </w:rPr>
        <w:t>vait</w:t>
      </w:r>
      <w:r w:rsidRPr="00F75EE8">
        <w:rPr>
          <w:rFonts w:ascii="Arial" w:hAnsi="Arial" w:cs="Arial"/>
          <w:bCs/>
          <w:sz w:val="22"/>
          <w:szCs w:val="22"/>
          <w:lang w:val="fr-FR"/>
        </w:rPr>
        <w:t xml:space="preserve"> donc des ONG et des personnes </w:t>
      </w:r>
      <w:r>
        <w:rPr>
          <w:rFonts w:ascii="Arial" w:hAnsi="Arial" w:cs="Arial"/>
          <w:bCs/>
          <w:sz w:val="22"/>
          <w:szCs w:val="22"/>
          <w:lang w:val="fr-FR"/>
        </w:rPr>
        <w:t xml:space="preserve">désireuses de </w:t>
      </w:r>
      <w:r w:rsidRPr="00F75EE8">
        <w:rPr>
          <w:rFonts w:ascii="Arial" w:hAnsi="Arial" w:cs="Arial"/>
          <w:bCs/>
          <w:sz w:val="22"/>
          <w:szCs w:val="22"/>
          <w:lang w:val="fr-FR"/>
        </w:rPr>
        <w:t>participer activement à cette Convention, comme c</w:t>
      </w:r>
      <w:r w:rsidR="008E532B">
        <w:rPr>
          <w:rFonts w:ascii="Arial" w:hAnsi="Arial" w:cs="Arial"/>
          <w:bCs/>
          <w:sz w:val="22"/>
          <w:szCs w:val="22"/>
          <w:lang w:val="fr-FR"/>
        </w:rPr>
        <w:t>’</w:t>
      </w:r>
      <w:r>
        <w:rPr>
          <w:rFonts w:ascii="Arial" w:hAnsi="Arial" w:cs="Arial"/>
          <w:bCs/>
          <w:sz w:val="22"/>
          <w:szCs w:val="22"/>
          <w:lang w:val="fr-FR"/>
        </w:rPr>
        <w:t>était</w:t>
      </w:r>
      <w:r w:rsidRPr="00F75EE8">
        <w:rPr>
          <w:rFonts w:ascii="Arial" w:hAnsi="Arial" w:cs="Arial"/>
          <w:bCs/>
          <w:sz w:val="22"/>
          <w:szCs w:val="22"/>
          <w:lang w:val="fr-FR"/>
        </w:rPr>
        <w:t xml:space="preserve"> le cas pour d</w:t>
      </w:r>
      <w:r w:rsidR="008E532B">
        <w:rPr>
          <w:rFonts w:ascii="Arial" w:hAnsi="Arial" w:cs="Arial"/>
          <w:bCs/>
          <w:sz w:val="22"/>
          <w:szCs w:val="22"/>
          <w:lang w:val="fr-FR"/>
        </w:rPr>
        <w:t>’</w:t>
      </w:r>
      <w:r w:rsidRPr="00F75EE8">
        <w:rPr>
          <w:rFonts w:ascii="Arial" w:hAnsi="Arial" w:cs="Arial"/>
          <w:bCs/>
          <w:sz w:val="22"/>
          <w:szCs w:val="22"/>
          <w:lang w:val="fr-FR"/>
        </w:rPr>
        <w:t>autres régions. Le deuxième point de discussion concernait les ONG accréditées d</w:t>
      </w:r>
      <w:r w:rsidR="008E532B">
        <w:rPr>
          <w:rFonts w:ascii="Arial" w:hAnsi="Arial" w:cs="Arial"/>
          <w:bCs/>
          <w:sz w:val="22"/>
          <w:szCs w:val="22"/>
          <w:lang w:val="fr-FR"/>
        </w:rPr>
        <w:t>’</w:t>
      </w:r>
      <w:r w:rsidRPr="00F75EE8">
        <w:rPr>
          <w:rFonts w:ascii="Arial" w:hAnsi="Arial" w:cs="Arial"/>
          <w:bCs/>
          <w:sz w:val="22"/>
          <w:szCs w:val="22"/>
          <w:lang w:val="fr-FR"/>
        </w:rPr>
        <w:t xml:space="preserve">un </w:t>
      </w:r>
      <w:r>
        <w:rPr>
          <w:rFonts w:ascii="Arial" w:hAnsi="Arial" w:cs="Arial"/>
          <w:bCs/>
          <w:sz w:val="22"/>
          <w:szCs w:val="22"/>
          <w:lang w:val="fr-FR"/>
        </w:rPr>
        <w:t>É</w:t>
      </w:r>
      <w:r w:rsidRPr="00F75EE8">
        <w:rPr>
          <w:rFonts w:ascii="Arial" w:hAnsi="Arial" w:cs="Arial"/>
          <w:bCs/>
          <w:sz w:val="22"/>
          <w:szCs w:val="22"/>
          <w:lang w:val="fr-FR"/>
        </w:rPr>
        <w:t xml:space="preserve">tat </w:t>
      </w:r>
      <w:proofErr w:type="gramStart"/>
      <w:r w:rsidRPr="00F75EE8">
        <w:rPr>
          <w:rFonts w:ascii="Arial" w:hAnsi="Arial" w:cs="Arial"/>
          <w:bCs/>
          <w:sz w:val="22"/>
          <w:szCs w:val="22"/>
          <w:lang w:val="fr-FR"/>
        </w:rPr>
        <w:t>non</w:t>
      </w:r>
      <w:r>
        <w:rPr>
          <w:rFonts w:ascii="Arial" w:hAnsi="Arial" w:cs="Arial"/>
          <w:bCs/>
          <w:sz w:val="22"/>
          <w:szCs w:val="22"/>
          <w:lang w:val="fr-FR"/>
        </w:rPr>
        <w:t> </w:t>
      </w:r>
      <w:r w:rsidRPr="00F75EE8">
        <w:rPr>
          <w:rFonts w:ascii="Arial" w:hAnsi="Arial" w:cs="Arial"/>
          <w:bCs/>
          <w:sz w:val="22"/>
          <w:szCs w:val="22"/>
          <w:lang w:val="fr-FR"/>
        </w:rPr>
        <w:t>partie</w:t>
      </w:r>
      <w:proofErr w:type="gramEnd"/>
      <w:r w:rsidRPr="00F75EE8">
        <w:rPr>
          <w:rFonts w:ascii="Arial" w:hAnsi="Arial" w:cs="Arial"/>
          <w:bCs/>
          <w:sz w:val="22"/>
          <w:szCs w:val="22"/>
          <w:lang w:val="fr-FR"/>
        </w:rPr>
        <w:t xml:space="preserve"> à la Convention et la possibilité ou non de siéger à l</w:t>
      </w:r>
      <w:r w:rsidR="008E532B">
        <w:rPr>
          <w:rFonts w:ascii="Arial" w:hAnsi="Arial" w:cs="Arial"/>
          <w:bCs/>
          <w:sz w:val="22"/>
          <w:szCs w:val="22"/>
          <w:lang w:val="fr-FR"/>
        </w:rPr>
        <w:t>’</w:t>
      </w:r>
      <w:r w:rsidRPr="00F75EE8">
        <w:rPr>
          <w:rFonts w:ascii="Arial" w:hAnsi="Arial" w:cs="Arial"/>
          <w:bCs/>
          <w:sz w:val="22"/>
          <w:szCs w:val="22"/>
          <w:lang w:val="fr-FR"/>
        </w:rPr>
        <w:t>Organe d</w:t>
      </w:r>
      <w:r w:rsidR="008E532B">
        <w:rPr>
          <w:rFonts w:ascii="Arial" w:hAnsi="Arial" w:cs="Arial"/>
          <w:bCs/>
          <w:sz w:val="22"/>
          <w:szCs w:val="22"/>
          <w:lang w:val="fr-FR"/>
        </w:rPr>
        <w:t>’</w:t>
      </w:r>
      <w:r w:rsidRPr="00F75EE8">
        <w:rPr>
          <w:rFonts w:ascii="Arial" w:hAnsi="Arial" w:cs="Arial"/>
          <w:bCs/>
          <w:sz w:val="22"/>
          <w:szCs w:val="22"/>
          <w:lang w:val="fr-FR"/>
        </w:rPr>
        <w:t>évaluation. En définitive, les décisions ser</w:t>
      </w:r>
      <w:r>
        <w:rPr>
          <w:rFonts w:ascii="Arial" w:hAnsi="Arial" w:cs="Arial"/>
          <w:bCs/>
          <w:sz w:val="22"/>
          <w:szCs w:val="22"/>
          <w:lang w:val="fr-FR"/>
        </w:rPr>
        <w:t>aient</w:t>
      </w:r>
      <w:r w:rsidRPr="00F75EE8">
        <w:rPr>
          <w:rFonts w:ascii="Arial" w:hAnsi="Arial" w:cs="Arial"/>
          <w:bCs/>
          <w:sz w:val="22"/>
          <w:szCs w:val="22"/>
          <w:lang w:val="fr-FR"/>
        </w:rPr>
        <w:t xml:space="preserve"> guidées par les textes de la Convention. L</w:t>
      </w:r>
      <w:r w:rsidR="008E532B">
        <w:rPr>
          <w:rFonts w:ascii="Arial" w:hAnsi="Arial" w:cs="Arial"/>
          <w:bCs/>
          <w:sz w:val="22"/>
          <w:szCs w:val="22"/>
          <w:lang w:val="fr-FR"/>
        </w:rPr>
        <w:t>’</w:t>
      </w:r>
      <w:r w:rsidRPr="00F75EE8">
        <w:rPr>
          <w:rFonts w:ascii="Arial" w:hAnsi="Arial" w:cs="Arial"/>
          <w:bCs/>
          <w:sz w:val="22"/>
          <w:szCs w:val="22"/>
          <w:lang w:val="fr-FR"/>
        </w:rPr>
        <w:t>Assemblée ouvrira</w:t>
      </w:r>
      <w:r>
        <w:rPr>
          <w:rFonts w:ascii="Arial" w:hAnsi="Arial" w:cs="Arial"/>
          <w:bCs/>
          <w:sz w:val="22"/>
          <w:szCs w:val="22"/>
          <w:lang w:val="fr-FR"/>
        </w:rPr>
        <w:t>it</w:t>
      </w:r>
      <w:r w:rsidRPr="00F75EE8">
        <w:rPr>
          <w:rFonts w:ascii="Arial" w:hAnsi="Arial" w:cs="Arial"/>
          <w:bCs/>
          <w:sz w:val="22"/>
          <w:szCs w:val="22"/>
          <w:lang w:val="fr-FR"/>
        </w:rPr>
        <w:t xml:space="preserve"> le débat sur l</w:t>
      </w:r>
      <w:r w:rsidR="008E532B">
        <w:rPr>
          <w:rFonts w:ascii="Arial" w:hAnsi="Arial" w:cs="Arial"/>
          <w:bCs/>
          <w:sz w:val="22"/>
          <w:szCs w:val="22"/>
          <w:lang w:val="fr-FR"/>
        </w:rPr>
        <w:t>’</w:t>
      </w:r>
      <w:r w:rsidRPr="00F75EE8">
        <w:rPr>
          <w:rFonts w:ascii="Arial" w:hAnsi="Arial" w:cs="Arial"/>
          <w:bCs/>
          <w:sz w:val="22"/>
          <w:szCs w:val="22"/>
          <w:lang w:val="fr-FR"/>
        </w:rPr>
        <w:t xml:space="preserve">amendement au cours de la session. </w:t>
      </w:r>
      <w:r w:rsidR="006221EA" w:rsidRPr="004B319D">
        <w:rPr>
          <w:rFonts w:ascii="Arial" w:hAnsi="Arial" w:cs="Arial"/>
          <w:bCs/>
          <w:sz w:val="22"/>
          <w:szCs w:val="22"/>
          <w:lang w:val="fr-FR"/>
        </w:rPr>
        <w:t xml:space="preserve">Le </w:t>
      </w:r>
      <w:r w:rsidR="006221EA" w:rsidRPr="000438FF">
        <w:rPr>
          <w:rFonts w:ascii="Arial" w:hAnsi="Arial" w:cs="Arial"/>
          <w:bCs/>
          <w:sz w:val="22"/>
          <w:szCs w:val="22"/>
          <w:lang w:val="fr-FR"/>
        </w:rPr>
        <w:t>Sous-Directeur général a répondu</w:t>
      </w:r>
      <w:r w:rsidRPr="00F75EE8">
        <w:rPr>
          <w:rFonts w:ascii="Arial" w:hAnsi="Arial" w:cs="Arial"/>
          <w:bCs/>
          <w:sz w:val="22"/>
          <w:szCs w:val="22"/>
          <w:lang w:val="fr-FR"/>
        </w:rPr>
        <w:t xml:space="preserve"> à la question posée par le Liban concernant les contributions apportées par les ONG dans le passé, en rappelant qu</w:t>
      </w:r>
      <w:r w:rsidR="008E532B">
        <w:rPr>
          <w:rFonts w:ascii="Arial" w:hAnsi="Arial" w:cs="Arial"/>
          <w:bCs/>
          <w:sz w:val="22"/>
          <w:szCs w:val="22"/>
          <w:lang w:val="fr-FR"/>
        </w:rPr>
        <w:t>’</w:t>
      </w:r>
      <w:r w:rsidRPr="00F75EE8">
        <w:rPr>
          <w:rFonts w:ascii="Arial" w:hAnsi="Arial" w:cs="Arial"/>
          <w:bCs/>
          <w:sz w:val="22"/>
          <w:szCs w:val="22"/>
          <w:lang w:val="fr-FR"/>
        </w:rPr>
        <w:t>il exist</w:t>
      </w:r>
      <w:r>
        <w:rPr>
          <w:rFonts w:ascii="Arial" w:hAnsi="Arial" w:cs="Arial"/>
          <w:bCs/>
          <w:sz w:val="22"/>
          <w:szCs w:val="22"/>
          <w:lang w:val="fr-FR"/>
        </w:rPr>
        <w:t>ait</w:t>
      </w:r>
      <w:r w:rsidRPr="00F75EE8">
        <w:rPr>
          <w:rFonts w:ascii="Arial" w:hAnsi="Arial" w:cs="Arial"/>
          <w:bCs/>
          <w:sz w:val="22"/>
          <w:szCs w:val="22"/>
          <w:lang w:val="fr-FR"/>
        </w:rPr>
        <w:t xml:space="preserve"> plusieurs exemples sur le terrain, bénéficiant généralement aux bureaux hors </w:t>
      </w:r>
      <w:r>
        <w:rPr>
          <w:rFonts w:ascii="Arial" w:hAnsi="Arial" w:cs="Arial"/>
          <w:bCs/>
          <w:sz w:val="22"/>
          <w:szCs w:val="22"/>
          <w:lang w:val="fr-FR"/>
        </w:rPr>
        <w:t>S</w:t>
      </w:r>
      <w:r w:rsidRPr="00F75EE8">
        <w:rPr>
          <w:rFonts w:ascii="Arial" w:hAnsi="Arial" w:cs="Arial"/>
          <w:bCs/>
          <w:sz w:val="22"/>
          <w:szCs w:val="22"/>
          <w:lang w:val="fr-FR"/>
        </w:rPr>
        <w:t>iège de l</w:t>
      </w:r>
      <w:r w:rsidR="008E532B">
        <w:rPr>
          <w:rFonts w:ascii="Arial" w:hAnsi="Arial" w:cs="Arial"/>
          <w:bCs/>
          <w:sz w:val="22"/>
          <w:szCs w:val="22"/>
          <w:lang w:val="fr-FR"/>
        </w:rPr>
        <w:t>’</w:t>
      </w:r>
      <w:r w:rsidRPr="00F75EE8">
        <w:rPr>
          <w:rFonts w:ascii="Arial" w:hAnsi="Arial" w:cs="Arial"/>
          <w:bCs/>
          <w:sz w:val="22"/>
          <w:szCs w:val="22"/>
          <w:lang w:val="fr-FR"/>
        </w:rPr>
        <w:t xml:space="preserve">UNESCO. En de nombreuses occasions, les spécialistes de </w:t>
      </w:r>
      <w:r w:rsidR="00BA6601">
        <w:rPr>
          <w:rFonts w:ascii="Arial" w:hAnsi="Arial" w:cs="Arial"/>
          <w:bCs/>
          <w:sz w:val="22"/>
          <w:szCs w:val="22"/>
          <w:lang w:val="fr-FR"/>
        </w:rPr>
        <w:t xml:space="preserve">programme de </w:t>
      </w:r>
      <w:r w:rsidRPr="00F75EE8">
        <w:rPr>
          <w:rFonts w:ascii="Arial" w:hAnsi="Arial" w:cs="Arial"/>
          <w:bCs/>
          <w:sz w:val="22"/>
          <w:szCs w:val="22"/>
          <w:lang w:val="fr-FR"/>
        </w:rPr>
        <w:t>l</w:t>
      </w:r>
      <w:r w:rsidR="008E532B">
        <w:rPr>
          <w:rFonts w:ascii="Arial" w:hAnsi="Arial" w:cs="Arial"/>
          <w:bCs/>
          <w:sz w:val="22"/>
          <w:szCs w:val="22"/>
          <w:lang w:val="fr-FR"/>
        </w:rPr>
        <w:t>’</w:t>
      </w:r>
      <w:r w:rsidRPr="00F75EE8">
        <w:rPr>
          <w:rFonts w:ascii="Arial" w:hAnsi="Arial" w:cs="Arial"/>
          <w:bCs/>
          <w:sz w:val="22"/>
          <w:szCs w:val="22"/>
          <w:lang w:val="fr-FR"/>
        </w:rPr>
        <w:t xml:space="preserve">UNESCO, qui connaissent bien le fonctionnement des </w:t>
      </w:r>
      <w:r>
        <w:rPr>
          <w:rFonts w:ascii="Arial" w:hAnsi="Arial" w:cs="Arial"/>
          <w:bCs/>
          <w:sz w:val="22"/>
          <w:szCs w:val="22"/>
          <w:lang w:val="fr-FR"/>
        </w:rPr>
        <w:t>c</w:t>
      </w:r>
      <w:r w:rsidRPr="00F75EE8">
        <w:rPr>
          <w:rFonts w:ascii="Arial" w:hAnsi="Arial" w:cs="Arial"/>
          <w:bCs/>
          <w:sz w:val="22"/>
          <w:szCs w:val="22"/>
          <w:lang w:val="fr-FR"/>
        </w:rPr>
        <w:t xml:space="preserve">onventions, </w:t>
      </w:r>
      <w:r>
        <w:rPr>
          <w:rFonts w:ascii="Arial" w:hAnsi="Arial" w:cs="Arial"/>
          <w:bCs/>
          <w:sz w:val="22"/>
          <w:szCs w:val="22"/>
          <w:lang w:val="fr-FR"/>
        </w:rPr>
        <w:t>avaient travaillé</w:t>
      </w:r>
      <w:r w:rsidRPr="00F75EE8">
        <w:rPr>
          <w:rFonts w:ascii="Arial" w:hAnsi="Arial" w:cs="Arial"/>
          <w:bCs/>
          <w:sz w:val="22"/>
          <w:szCs w:val="22"/>
          <w:lang w:val="fr-FR"/>
        </w:rPr>
        <w:t xml:space="preserve"> avec des ONG sur le terrain, qu</w:t>
      </w:r>
      <w:r w:rsidR="008E532B">
        <w:rPr>
          <w:rFonts w:ascii="Arial" w:hAnsi="Arial" w:cs="Arial"/>
          <w:bCs/>
          <w:sz w:val="22"/>
          <w:szCs w:val="22"/>
          <w:lang w:val="fr-FR"/>
        </w:rPr>
        <w:t>’</w:t>
      </w:r>
      <w:r w:rsidRPr="00F75EE8">
        <w:rPr>
          <w:rFonts w:ascii="Arial" w:hAnsi="Arial" w:cs="Arial"/>
          <w:bCs/>
          <w:sz w:val="22"/>
          <w:szCs w:val="22"/>
          <w:lang w:val="fr-FR"/>
        </w:rPr>
        <w:t xml:space="preserve">elles soient accréditées ou non, pour aider à </w:t>
      </w:r>
      <w:r>
        <w:rPr>
          <w:rFonts w:ascii="Arial" w:hAnsi="Arial" w:cs="Arial"/>
          <w:bCs/>
          <w:sz w:val="22"/>
          <w:szCs w:val="22"/>
          <w:lang w:val="fr-FR"/>
        </w:rPr>
        <w:t>dresser des</w:t>
      </w:r>
      <w:r w:rsidRPr="00F75EE8">
        <w:rPr>
          <w:rFonts w:ascii="Arial" w:hAnsi="Arial" w:cs="Arial"/>
          <w:bCs/>
          <w:sz w:val="22"/>
          <w:szCs w:val="22"/>
          <w:lang w:val="fr-FR"/>
        </w:rPr>
        <w:t xml:space="preserve"> inventaires et fournir une assistance, généralement, aux ministères de la </w:t>
      </w:r>
      <w:r>
        <w:rPr>
          <w:rFonts w:ascii="Arial" w:hAnsi="Arial" w:cs="Arial"/>
          <w:bCs/>
          <w:sz w:val="22"/>
          <w:szCs w:val="22"/>
          <w:lang w:val="fr-FR"/>
        </w:rPr>
        <w:t>C</w:t>
      </w:r>
      <w:r w:rsidRPr="00F75EE8">
        <w:rPr>
          <w:rFonts w:ascii="Arial" w:hAnsi="Arial" w:cs="Arial"/>
          <w:bCs/>
          <w:sz w:val="22"/>
          <w:szCs w:val="22"/>
          <w:lang w:val="fr-FR"/>
        </w:rPr>
        <w:t xml:space="preserve">ulture </w:t>
      </w:r>
      <w:r>
        <w:rPr>
          <w:rFonts w:ascii="Arial" w:hAnsi="Arial" w:cs="Arial"/>
          <w:bCs/>
          <w:sz w:val="22"/>
          <w:szCs w:val="22"/>
          <w:lang w:val="fr-FR"/>
        </w:rPr>
        <w:t>en charge</w:t>
      </w:r>
      <w:r w:rsidRPr="00F75EE8">
        <w:rPr>
          <w:rFonts w:ascii="Arial" w:hAnsi="Arial" w:cs="Arial"/>
          <w:bCs/>
          <w:sz w:val="22"/>
          <w:szCs w:val="22"/>
          <w:lang w:val="fr-FR"/>
        </w:rPr>
        <w:t xml:space="preserve"> d</w:t>
      </w:r>
      <w:r w:rsidR="008E532B">
        <w:rPr>
          <w:rFonts w:ascii="Arial" w:hAnsi="Arial" w:cs="Arial"/>
          <w:bCs/>
          <w:sz w:val="22"/>
          <w:szCs w:val="22"/>
          <w:lang w:val="fr-FR"/>
        </w:rPr>
        <w:t>’</w:t>
      </w:r>
      <w:r w:rsidRPr="00F75EE8">
        <w:rPr>
          <w:rFonts w:ascii="Arial" w:hAnsi="Arial" w:cs="Arial"/>
          <w:bCs/>
          <w:sz w:val="22"/>
          <w:szCs w:val="22"/>
          <w:lang w:val="fr-FR"/>
        </w:rPr>
        <w:t xml:space="preserve">établir les inventaires. </w:t>
      </w:r>
      <w:r>
        <w:rPr>
          <w:rFonts w:ascii="Arial" w:hAnsi="Arial" w:cs="Arial"/>
          <w:bCs/>
          <w:sz w:val="22"/>
          <w:szCs w:val="22"/>
          <w:lang w:val="fr-FR"/>
        </w:rPr>
        <w:t>C</w:t>
      </w:r>
      <w:r w:rsidRPr="00F75EE8">
        <w:rPr>
          <w:rFonts w:ascii="Arial" w:hAnsi="Arial" w:cs="Arial"/>
          <w:bCs/>
          <w:sz w:val="22"/>
          <w:szCs w:val="22"/>
          <w:lang w:val="fr-FR"/>
        </w:rPr>
        <w:t>e concept a</w:t>
      </w:r>
      <w:r>
        <w:rPr>
          <w:rFonts w:ascii="Arial" w:hAnsi="Arial" w:cs="Arial"/>
          <w:bCs/>
          <w:sz w:val="22"/>
          <w:szCs w:val="22"/>
          <w:lang w:val="fr-FR"/>
        </w:rPr>
        <w:t>vait</w:t>
      </w:r>
      <w:r w:rsidRPr="00F75EE8">
        <w:rPr>
          <w:rFonts w:ascii="Arial" w:hAnsi="Arial" w:cs="Arial"/>
          <w:bCs/>
          <w:sz w:val="22"/>
          <w:szCs w:val="22"/>
          <w:lang w:val="fr-FR"/>
        </w:rPr>
        <w:t xml:space="preserve"> moins de vingt ans, la Convention </w:t>
      </w:r>
      <w:r>
        <w:rPr>
          <w:rFonts w:ascii="Arial" w:hAnsi="Arial" w:cs="Arial"/>
          <w:bCs/>
          <w:sz w:val="22"/>
          <w:szCs w:val="22"/>
          <w:lang w:val="fr-FR"/>
        </w:rPr>
        <w:t>célébrant</w:t>
      </w:r>
      <w:r w:rsidRPr="00F75EE8">
        <w:rPr>
          <w:rFonts w:ascii="Arial" w:hAnsi="Arial" w:cs="Arial"/>
          <w:bCs/>
          <w:sz w:val="22"/>
          <w:szCs w:val="22"/>
          <w:lang w:val="fr-FR"/>
        </w:rPr>
        <w:t xml:space="preserve"> son vingtième anniversaire en 2023. Ce serait l</w:t>
      </w:r>
      <w:r w:rsidR="008E532B">
        <w:rPr>
          <w:rFonts w:ascii="Arial" w:hAnsi="Arial" w:cs="Arial"/>
          <w:bCs/>
          <w:sz w:val="22"/>
          <w:szCs w:val="22"/>
          <w:lang w:val="fr-FR"/>
        </w:rPr>
        <w:t>’</w:t>
      </w:r>
      <w:r w:rsidRPr="00F75EE8">
        <w:rPr>
          <w:rFonts w:ascii="Arial" w:hAnsi="Arial" w:cs="Arial"/>
          <w:bCs/>
          <w:sz w:val="22"/>
          <w:szCs w:val="22"/>
          <w:lang w:val="fr-FR"/>
        </w:rPr>
        <w:t>occasion de réfléchir à l</w:t>
      </w:r>
      <w:r w:rsidR="008E532B">
        <w:rPr>
          <w:rFonts w:ascii="Arial" w:hAnsi="Arial" w:cs="Arial"/>
          <w:bCs/>
          <w:sz w:val="22"/>
          <w:szCs w:val="22"/>
          <w:lang w:val="fr-FR"/>
        </w:rPr>
        <w:t>’</w:t>
      </w:r>
      <w:r w:rsidRPr="00F75EE8">
        <w:rPr>
          <w:rFonts w:ascii="Arial" w:hAnsi="Arial" w:cs="Arial"/>
          <w:bCs/>
          <w:sz w:val="22"/>
          <w:szCs w:val="22"/>
          <w:lang w:val="fr-FR"/>
        </w:rPr>
        <w:t>avenir de la Convention et à la manière de s</w:t>
      </w:r>
      <w:r w:rsidR="008E532B">
        <w:rPr>
          <w:rFonts w:ascii="Arial" w:hAnsi="Arial" w:cs="Arial"/>
          <w:bCs/>
          <w:sz w:val="22"/>
          <w:szCs w:val="22"/>
          <w:lang w:val="fr-FR"/>
        </w:rPr>
        <w:t>’</w:t>
      </w:r>
      <w:r w:rsidRPr="00F75EE8">
        <w:rPr>
          <w:rFonts w:ascii="Arial" w:hAnsi="Arial" w:cs="Arial"/>
          <w:bCs/>
          <w:sz w:val="22"/>
          <w:szCs w:val="22"/>
          <w:lang w:val="fr-FR"/>
        </w:rPr>
        <w:t>engager encore plus pour mieux impliquer les ONG dans cette tâche commune de sauvegarde du patrimoine immatériel.</w:t>
      </w:r>
    </w:p>
    <w:p w14:paraId="6D849547" w14:textId="77777777" w:rsidR="00D9653F" w:rsidRPr="00D3285B"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Après avoir remercié le Sous-Directeur général pour son explication, la </w:t>
      </w:r>
      <w:r w:rsidRPr="00D3285B">
        <w:rPr>
          <w:rFonts w:ascii="Arial" w:hAnsi="Arial" w:cs="Arial"/>
          <w:b/>
          <w:bCs/>
          <w:sz w:val="22"/>
          <w:szCs w:val="22"/>
          <w:lang w:val="fr-FR"/>
        </w:rPr>
        <w:t>Présidente</w:t>
      </w:r>
      <w:r>
        <w:rPr>
          <w:rFonts w:ascii="Arial" w:hAnsi="Arial" w:cs="Arial"/>
          <w:sz w:val="22"/>
          <w:szCs w:val="22"/>
          <w:lang w:val="fr-FR"/>
        </w:rPr>
        <w:t xml:space="preserve"> est passée au projet de </w:t>
      </w:r>
      <w:r w:rsidRPr="00D3285B">
        <w:rPr>
          <w:rFonts w:ascii="Arial" w:eastAsia="SimSun" w:hAnsi="Arial" w:cs="Arial"/>
          <w:bCs/>
          <w:sz w:val="22"/>
          <w:szCs w:val="22"/>
          <w:lang w:val="fr-FR" w:eastAsia="en-US"/>
        </w:rPr>
        <w:t>résolution</w:t>
      </w:r>
      <w:r>
        <w:rPr>
          <w:rFonts w:ascii="Arial" w:eastAsia="SimSun" w:hAnsi="Arial" w:cs="Arial"/>
          <w:bCs/>
          <w:sz w:val="22"/>
          <w:szCs w:val="22"/>
          <w:lang w:val="fr-FR" w:eastAsia="en-US"/>
        </w:rPr>
        <w:t xml:space="preserve"> </w:t>
      </w:r>
      <w:r w:rsidRPr="00D3285B">
        <w:rPr>
          <w:rFonts w:ascii="Arial" w:eastAsia="SimSun" w:hAnsi="Arial" w:cs="Arial"/>
          <w:bCs/>
          <w:sz w:val="22"/>
          <w:szCs w:val="22"/>
          <w:lang w:val="fr-FR" w:eastAsia="en-US"/>
        </w:rPr>
        <w:t>paragraphe</w:t>
      </w:r>
      <w:r>
        <w:rPr>
          <w:rFonts w:ascii="Arial" w:eastAsia="SimSun" w:hAnsi="Arial" w:cs="Arial"/>
          <w:bCs/>
          <w:sz w:val="22"/>
          <w:szCs w:val="22"/>
          <w:lang w:val="fr-FR" w:eastAsia="en-US"/>
        </w:rPr>
        <w:t xml:space="preserve"> par </w:t>
      </w:r>
      <w:r w:rsidRPr="00D3285B">
        <w:rPr>
          <w:rFonts w:ascii="Arial" w:eastAsia="SimSun" w:hAnsi="Arial" w:cs="Arial"/>
          <w:bCs/>
          <w:sz w:val="22"/>
          <w:szCs w:val="22"/>
          <w:lang w:val="fr-FR" w:eastAsia="en-US"/>
        </w:rPr>
        <w:t>paragraphe</w:t>
      </w:r>
      <w:r>
        <w:rPr>
          <w:rFonts w:ascii="Arial" w:eastAsia="SimSun" w:hAnsi="Arial" w:cs="Arial"/>
          <w:bCs/>
          <w:sz w:val="22"/>
          <w:szCs w:val="22"/>
          <w:lang w:val="fr-FR" w:eastAsia="en-US"/>
        </w:rPr>
        <w:t>.</w:t>
      </w:r>
    </w:p>
    <w:p w14:paraId="125FC1C7" w14:textId="5B278646" w:rsidR="00D9653F" w:rsidRPr="00D3285B"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D3285B">
        <w:rPr>
          <w:rFonts w:ascii="Arial" w:hAnsi="Arial" w:cs="Arial"/>
          <w:sz w:val="22"/>
          <w:szCs w:val="22"/>
          <w:lang w:val="fr-FR"/>
        </w:rPr>
        <w:t xml:space="preserve">La délégation de la </w:t>
      </w:r>
      <w:r w:rsidRPr="00D3285B">
        <w:rPr>
          <w:rFonts w:ascii="Arial" w:hAnsi="Arial" w:cs="Arial"/>
          <w:b/>
          <w:bCs/>
          <w:sz w:val="22"/>
          <w:szCs w:val="22"/>
          <w:lang w:val="fr-FR"/>
        </w:rPr>
        <w:t>Palestine</w:t>
      </w:r>
      <w:r w:rsidRPr="00D3285B">
        <w:rPr>
          <w:rFonts w:ascii="Arial" w:hAnsi="Arial" w:cs="Arial"/>
          <w:sz w:val="22"/>
          <w:szCs w:val="22"/>
          <w:lang w:val="fr-FR"/>
        </w:rPr>
        <w:t xml:space="preserve"> a demandé </w:t>
      </w:r>
      <w:r>
        <w:rPr>
          <w:rFonts w:ascii="Arial" w:hAnsi="Arial" w:cs="Arial"/>
          <w:sz w:val="22"/>
          <w:szCs w:val="22"/>
          <w:lang w:val="fr-FR"/>
        </w:rPr>
        <w:t xml:space="preserve">que le </w:t>
      </w:r>
      <w:r w:rsidRPr="00D3285B">
        <w:rPr>
          <w:rFonts w:ascii="Arial" w:hAnsi="Arial" w:cs="Arial"/>
          <w:sz w:val="22"/>
          <w:szCs w:val="22"/>
          <w:lang w:val="fr-FR"/>
        </w:rPr>
        <w:t xml:space="preserve">Conseiller juridique </w:t>
      </w:r>
      <w:r>
        <w:rPr>
          <w:rFonts w:ascii="Arial" w:hAnsi="Arial" w:cs="Arial"/>
          <w:sz w:val="22"/>
          <w:szCs w:val="22"/>
          <w:lang w:val="fr-FR"/>
        </w:rPr>
        <w:t xml:space="preserve">soit présent, compte tenu des </w:t>
      </w:r>
      <w:r w:rsidRPr="00D3285B">
        <w:rPr>
          <w:rFonts w:ascii="Arial" w:hAnsi="Arial" w:cs="Arial"/>
          <w:sz w:val="22"/>
          <w:szCs w:val="22"/>
          <w:lang w:val="fr-FR"/>
        </w:rPr>
        <w:t xml:space="preserve">questions juridiques qui </w:t>
      </w:r>
      <w:r>
        <w:rPr>
          <w:rFonts w:ascii="Arial" w:hAnsi="Arial" w:cs="Arial"/>
          <w:sz w:val="22"/>
          <w:szCs w:val="22"/>
          <w:lang w:val="fr-FR"/>
        </w:rPr>
        <w:t>avaient</w:t>
      </w:r>
      <w:r w:rsidRPr="00D3285B">
        <w:rPr>
          <w:rFonts w:ascii="Arial" w:hAnsi="Arial" w:cs="Arial"/>
          <w:sz w:val="22"/>
          <w:szCs w:val="22"/>
          <w:lang w:val="fr-FR"/>
        </w:rPr>
        <w:t xml:space="preserve"> été mentionnées et</w:t>
      </w:r>
      <w:r>
        <w:rPr>
          <w:rFonts w:ascii="Arial" w:hAnsi="Arial" w:cs="Arial"/>
          <w:sz w:val="22"/>
          <w:szCs w:val="22"/>
          <w:lang w:val="fr-FR"/>
        </w:rPr>
        <w:t xml:space="preserve"> à propos de</w:t>
      </w:r>
      <w:r w:rsidRPr="00D3285B">
        <w:rPr>
          <w:rFonts w:ascii="Arial" w:hAnsi="Arial" w:cs="Arial"/>
          <w:sz w:val="22"/>
          <w:szCs w:val="22"/>
          <w:lang w:val="fr-FR"/>
        </w:rPr>
        <w:t xml:space="preserve"> son amendement, qu</w:t>
      </w:r>
      <w:r w:rsidR="008E532B">
        <w:rPr>
          <w:rFonts w:ascii="Arial" w:hAnsi="Arial" w:cs="Arial"/>
          <w:sz w:val="22"/>
          <w:szCs w:val="22"/>
          <w:lang w:val="fr-FR"/>
        </w:rPr>
        <w:t>’</w:t>
      </w:r>
      <w:r w:rsidRPr="00D3285B">
        <w:rPr>
          <w:rFonts w:ascii="Arial" w:hAnsi="Arial" w:cs="Arial"/>
          <w:sz w:val="22"/>
          <w:szCs w:val="22"/>
          <w:lang w:val="fr-FR"/>
        </w:rPr>
        <w:t xml:space="preserve">il soit adopté ou modifié. La délégation </w:t>
      </w:r>
      <w:r>
        <w:rPr>
          <w:rFonts w:ascii="Arial" w:hAnsi="Arial" w:cs="Arial"/>
          <w:sz w:val="22"/>
          <w:szCs w:val="22"/>
          <w:lang w:val="fr-FR"/>
        </w:rPr>
        <w:t>pensait</w:t>
      </w:r>
      <w:r w:rsidRPr="00D3285B">
        <w:rPr>
          <w:rFonts w:ascii="Arial" w:hAnsi="Arial" w:cs="Arial"/>
          <w:sz w:val="22"/>
          <w:szCs w:val="22"/>
          <w:lang w:val="fr-FR"/>
        </w:rPr>
        <w:t xml:space="preserve"> que l</w:t>
      </w:r>
      <w:r w:rsidR="008E532B">
        <w:rPr>
          <w:rFonts w:ascii="Arial" w:hAnsi="Arial" w:cs="Arial"/>
          <w:sz w:val="22"/>
          <w:szCs w:val="22"/>
          <w:lang w:val="fr-FR"/>
        </w:rPr>
        <w:t>’</w:t>
      </w:r>
      <w:r w:rsidRPr="00D3285B">
        <w:rPr>
          <w:rFonts w:ascii="Arial" w:hAnsi="Arial" w:cs="Arial"/>
          <w:sz w:val="22"/>
          <w:szCs w:val="22"/>
          <w:lang w:val="fr-FR"/>
        </w:rPr>
        <w:t>accréditation d</w:t>
      </w:r>
      <w:r w:rsidR="008E532B">
        <w:rPr>
          <w:rFonts w:ascii="Arial" w:hAnsi="Arial" w:cs="Arial"/>
          <w:sz w:val="22"/>
          <w:szCs w:val="22"/>
          <w:lang w:val="fr-FR"/>
        </w:rPr>
        <w:t>’</w:t>
      </w:r>
      <w:r w:rsidRPr="00D3285B">
        <w:rPr>
          <w:rFonts w:ascii="Arial" w:hAnsi="Arial" w:cs="Arial"/>
          <w:sz w:val="22"/>
          <w:szCs w:val="22"/>
          <w:lang w:val="fr-FR"/>
        </w:rPr>
        <w:t xml:space="preserve">ONG </w:t>
      </w:r>
      <w:r>
        <w:rPr>
          <w:rFonts w:ascii="Arial" w:hAnsi="Arial" w:cs="Arial"/>
          <w:sz w:val="22"/>
          <w:szCs w:val="22"/>
          <w:lang w:val="fr-FR"/>
        </w:rPr>
        <w:t xml:space="preserve">provenant </w:t>
      </w:r>
      <w:r w:rsidRPr="00D3285B">
        <w:rPr>
          <w:rFonts w:ascii="Arial" w:hAnsi="Arial" w:cs="Arial"/>
          <w:sz w:val="22"/>
          <w:szCs w:val="22"/>
          <w:lang w:val="fr-FR"/>
        </w:rPr>
        <w:t>d</w:t>
      </w:r>
      <w:r w:rsidR="008E532B">
        <w:rPr>
          <w:rFonts w:ascii="Arial" w:hAnsi="Arial" w:cs="Arial"/>
          <w:sz w:val="22"/>
          <w:szCs w:val="22"/>
          <w:lang w:val="fr-FR"/>
        </w:rPr>
        <w:t>’</w:t>
      </w:r>
      <w:r w:rsidRPr="00D3285B">
        <w:rPr>
          <w:rFonts w:ascii="Arial" w:hAnsi="Arial" w:cs="Arial"/>
          <w:sz w:val="22"/>
          <w:szCs w:val="22"/>
          <w:lang w:val="fr-FR"/>
        </w:rPr>
        <w:t>États non</w:t>
      </w:r>
      <w:r>
        <w:rPr>
          <w:rFonts w:ascii="Arial" w:hAnsi="Arial" w:cs="Arial"/>
          <w:sz w:val="22"/>
          <w:szCs w:val="22"/>
          <w:lang w:val="fr-FR"/>
        </w:rPr>
        <w:t> </w:t>
      </w:r>
      <w:r w:rsidRPr="00D3285B">
        <w:rPr>
          <w:rFonts w:ascii="Arial" w:hAnsi="Arial" w:cs="Arial"/>
          <w:sz w:val="22"/>
          <w:szCs w:val="22"/>
          <w:lang w:val="fr-FR"/>
        </w:rPr>
        <w:t>parties à la Convention ou leur élection à l</w:t>
      </w:r>
      <w:r w:rsidR="008E532B">
        <w:rPr>
          <w:rFonts w:ascii="Arial" w:hAnsi="Arial" w:cs="Arial"/>
          <w:sz w:val="22"/>
          <w:szCs w:val="22"/>
          <w:lang w:val="fr-FR"/>
        </w:rPr>
        <w:t>’</w:t>
      </w:r>
      <w:r w:rsidRPr="00D3285B">
        <w:rPr>
          <w:rFonts w:ascii="Arial" w:hAnsi="Arial" w:cs="Arial"/>
          <w:sz w:val="22"/>
          <w:szCs w:val="22"/>
          <w:lang w:val="fr-FR"/>
        </w:rPr>
        <w:t>Organe d</w:t>
      </w:r>
      <w:r w:rsidR="008E532B">
        <w:rPr>
          <w:rFonts w:ascii="Arial" w:hAnsi="Arial" w:cs="Arial"/>
          <w:sz w:val="22"/>
          <w:szCs w:val="22"/>
          <w:lang w:val="fr-FR"/>
        </w:rPr>
        <w:t>’</w:t>
      </w:r>
      <w:r w:rsidRPr="00D3285B">
        <w:rPr>
          <w:rFonts w:ascii="Arial" w:hAnsi="Arial" w:cs="Arial"/>
          <w:sz w:val="22"/>
          <w:szCs w:val="22"/>
          <w:lang w:val="fr-FR"/>
        </w:rPr>
        <w:t>évaluation</w:t>
      </w:r>
      <w:r>
        <w:rPr>
          <w:rFonts w:ascii="Arial" w:hAnsi="Arial" w:cs="Arial"/>
          <w:sz w:val="22"/>
          <w:szCs w:val="22"/>
          <w:lang w:val="fr-FR"/>
        </w:rPr>
        <w:t xml:space="preserve"> </w:t>
      </w:r>
      <w:r w:rsidRPr="00D3285B">
        <w:rPr>
          <w:rFonts w:ascii="Arial" w:hAnsi="Arial" w:cs="Arial"/>
          <w:sz w:val="22"/>
          <w:szCs w:val="22"/>
          <w:lang w:val="fr-FR"/>
        </w:rPr>
        <w:t>ne nécessiterait aucune modification des Directives opérationnelles, ce qui signifi</w:t>
      </w:r>
      <w:r>
        <w:rPr>
          <w:rFonts w:ascii="Arial" w:hAnsi="Arial" w:cs="Arial"/>
          <w:sz w:val="22"/>
          <w:szCs w:val="22"/>
          <w:lang w:val="fr-FR"/>
        </w:rPr>
        <w:t>ait</w:t>
      </w:r>
      <w:r w:rsidRPr="00D3285B">
        <w:rPr>
          <w:rFonts w:ascii="Arial" w:hAnsi="Arial" w:cs="Arial"/>
          <w:sz w:val="22"/>
          <w:szCs w:val="22"/>
          <w:lang w:val="fr-FR"/>
        </w:rPr>
        <w:t xml:space="preserve"> qu</w:t>
      </w:r>
      <w:r w:rsidR="008E532B">
        <w:rPr>
          <w:rFonts w:ascii="Arial" w:hAnsi="Arial" w:cs="Arial"/>
          <w:sz w:val="22"/>
          <w:szCs w:val="22"/>
          <w:lang w:val="fr-FR"/>
        </w:rPr>
        <w:t>’</w:t>
      </w:r>
      <w:r w:rsidRPr="00D3285B">
        <w:rPr>
          <w:rFonts w:ascii="Arial" w:hAnsi="Arial" w:cs="Arial"/>
          <w:sz w:val="22"/>
          <w:szCs w:val="22"/>
          <w:lang w:val="fr-FR"/>
        </w:rPr>
        <w:t>une décision de l</w:t>
      </w:r>
      <w:r w:rsidR="008E532B">
        <w:rPr>
          <w:rFonts w:ascii="Arial" w:hAnsi="Arial" w:cs="Arial"/>
          <w:sz w:val="22"/>
          <w:szCs w:val="22"/>
          <w:lang w:val="fr-FR"/>
        </w:rPr>
        <w:t>’</w:t>
      </w:r>
      <w:r w:rsidRPr="00D3285B">
        <w:rPr>
          <w:rFonts w:ascii="Arial" w:hAnsi="Arial" w:cs="Arial"/>
          <w:sz w:val="22"/>
          <w:szCs w:val="22"/>
          <w:lang w:val="fr-FR"/>
        </w:rPr>
        <w:t>Assemblée suffirait.</w:t>
      </w:r>
    </w:p>
    <w:p w14:paraId="7E99A1DE" w14:textId="77777777" w:rsidR="00D9653F" w:rsidRPr="005D1976"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La </w:t>
      </w:r>
      <w:r w:rsidRPr="005D1976">
        <w:rPr>
          <w:rFonts w:ascii="Arial" w:hAnsi="Arial" w:cs="Arial"/>
          <w:b/>
          <w:bCs/>
          <w:sz w:val="22"/>
          <w:szCs w:val="22"/>
          <w:lang w:val="fr-FR"/>
        </w:rPr>
        <w:t>Présidente</w:t>
      </w:r>
      <w:r>
        <w:rPr>
          <w:rFonts w:ascii="Arial" w:hAnsi="Arial" w:cs="Arial"/>
          <w:sz w:val="22"/>
          <w:szCs w:val="22"/>
          <w:lang w:val="fr-FR"/>
        </w:rPr>
        <w:t xml:space="preserve"> a confirmé que le Conseiller juridique serait présent sous peu.</w:t>
      </w:r>
    </w:p>
    <w:p w14:paraId="66E3B2CA" w14:textId="4537CA7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D1976">
        <w:rPr>
          <w:rFonts w:ascii="Arial" w:hAnsi="Arial" w:cs="Arial"/>
          <w:bCs/>
          <w:sz w:val="22"/>
          <w:szCs w:val="22"/>
          <w:lang w:val="fr-FR"/>
        </w:rPr>
        <w:t xml:space="preserve">La délégation de la </w:t>
      </w:r>
      <w:r w:rsidRPr="005D1976">
        <w:rPr>
          <w:rFonts w:ascii="Arial" w:hAnsi="Arial" w:cs="Arial"/>
          <w:b/>
          <w:sz w:val="22"/>
          <w:szCs w:val="22"/>
          <w:lang w:val="fr-FR"/>
        </w:rPr>
        <w:t>Palestine</w:t>
      </w:r>
      <w:r w:rsidRPr="005D1976">
        <w:rPr>
          <w:rFonts w:ascii="Arial" w:hAnsi="Arial" w:cs="Arial"/>
          <w:bCs/>
          <w:sz w:val="22"/>
          <w:szCs w:val="22"/>
          <w:lang w:val="fr-FR"/>
        </w:rPr>
        <w:t xml:space="preserve"> a </w:t>
      </w:r>
      <w:r>
        <w:rPr>
          <w:rFonts w:ascii="Arial" w:hAnsi="Arial" w:cs="Arial"/>
          <w:bCs/>
          <w:sz w:val="22"/>
          <w:szCs w:val="22"/>
          <w:lang w:val="fr-FR"/>
        </w:rPr>
        <w:t>souligné</w:t>
      </w:r>
      <w:r w:rsidRPr="005D1976">
        <w:rPr>
          <w:rFonts w:ascii="Arial" w:hAnsi="Arial" w:cs="Arial"/>
          <w:bCs/>
          <w:sz w:val="22"/>
          <w:szCs w:val="22"/>
          <w:lang w:val="fr-FR"/>
        </w:rPr>
        <w:t xml:space="preserve"> les nombreuses interventions qui </w:t>
      </w:r>
      <w:r>
        <w:rPr>
          <w:rFonts w:ascii="Arial" w:hAnsi="Arial" w:cs="Arial"/>
          <w:bCs/>
          <w:sz w:val="22"/>
          <w:szCs w:val="22"/>
          <w:lang w:val="fr-FR"/>
        </w:rPr>
        <w:t>avaient</w:t>
      </w:r>
      <w:r w:rsidRPr="005D1976">
        <w:rPr>
          <w:rFonts w:ascii="Arial" w:hAnsi="Arial" w:cs="Arial"/>
          <w:bCs/>
          <w:sz w:val="22"/>
          <w:szCs w:val="22"/>
          <w:lang w:val="fr-FR"/>
        </w:rPr>
        <w:t xml:space="preserve"> insisté sur l</w:t>
      </w:r>
      <w:r w:rsidR="008E532B">
        <w:rPr>
          <w:rFonts w:ascii="Arial" w:hAnsi="Arial" w:cs="Arial"/>
          <w:bCs/>
          <w:sz w:val="22"/>
          <w:szCs w:val="22"/>
          <w:lang w:val="fr-FR"/>
        </w:rPr>
        <w:t>’</w:t>
      </w:r>
      <w:r w:rsidRPr="005D1976">
        <w:rPr>
          <w:rFonts w:ascii="Arial" w:hAnsi="Arial" w:cs="Arial"/>
          <w:bCs/>
          <w:sz w:val="22"/>
          <w:szCs w:val="22"/>
          <w:lang w:val="fr-FR"/>
        </w:rPr>
        <w:t xml:space="preserve">équilibre géographique, notant que les ONG des </w:t>
      </w:r>
      <w:r>
        <w:rPr>
          <w:rFonts w:ascii="Arial" w:hAnsi="Arial" w:cs="Arial"/>
          <w:bCs/>
          <w:sz w:val="22"/>
          <w:szCs w:val="22"/>
          <w:lang w:val="fr-FR"/>
        </w:rPr>
        <w:t>É</w:t>
      </w:r>
      <w:r w:rsidRPr="005D1976">
        <w:rPr>
          <w:rFonts w:ascii="Arial" w:hAnsi="Arial" w:cs="Arial"/>
          <w:bCs/>
          <w:sz w:val="22"/>
          <w:szCs w:val="22"/>
          <w:lang w:val="fr-FR"/>
        </w:rPr>
        <w:t>tats non parties à la Convention provenaient principalement du Groupe I. La délégation a ré</w:t>
      </w:r>
      <w:r>
        <w:rPr>
          <w:rFonts w:ascii="Arial" w:hAnsi="Arial" w:cs="Arial"/>
          <w:bCs/>
          <w:sz w:val="22"/>
          <w:szCs w:val="22"/>
          <w:lang w:val="fr-FR"/>
        </w:rPr>
        <w:t>affirmé</w:t>
      </w:r>
      <w:r w:rsidRPr="005D1976">
        <w:rPr>
          <w:rFonts w:ascii="Arial" w:hAnsi="Arial" w:cs="Arial"/>
          <w:bCs/>
          <w:sz w:val="22"/>
          <w:szCs w:val="22"/>
          <w:lang w:val="fr-FR"/>
        </w:rPr>
        <w:t xml:space="preserve"> son attachement au travail de toutes les ONG. Par exemple, les ONG travaillant sur les questions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5D1976">
        <w:rPr>
          <w:rFonts w:ascii="Arial" w:hAnsi="Arial" w:cs="Arial"/>
          <w:bCs/>
          <w:sz w:val="22"/>
          <w:szCs w:val="22"/>
          <w:lang w:val="fr-FR"/>
        </w:rPr>
        <w:t>défend</w:t>
      </w:r>
      <w:r>
        <w:rPr>
          <w:rFonts w:ascii="Arial" w:hAnsi="Arial" w:cs="Arial"/>
          <w:bCs/>
          <w:sz w:val="22"/>
          <w:szCs w:val="22"/>
          <w:lang w:val="fr-FR"/>
        </w:rPr>
        <w:t>ai</w:t>
      </w:r>
      <w:r w:rsidRPr="005D1976">
        <w:rPr>
          <w:rFonts w:ascii="Arial" w:hAnsi="Arial" w:cs="Arial"/>
          <w:bCs/>
          <w:sz w:val="22"/>
          <w:szCs w:val="22"/>
          <w:lang w:val="fr-FR"/>
        </w:rPr>
        <w:t>ent également les droits du peuple palestinien, comme l</w:t>
      </w:r>
      <w:r w:rsidR="008E532B">
        <w:rPr>
          <w:rFonts w:ascii="Arial" w:hAnsi="Arial" w:cs="Arial"/>
          <w:bCs/>
          <w:sz w:val="22"/>
          <w:szCs w:val="22"/>
          <w:lang w:val="fr-FR"/>
        </w:rPr>
        <w:t>’</w:t>
      </w:r>
      <w:r w:rsidRPr="005D1976">
        <w:rPr>
          <w:rFonts w:ascii="Arial" w:hAnsi="Arial" w:cs="Arial"/>
          <w:bCs/>
          <w:sz w:val="22"/>
          <w:szCs w:val="22"/>
          <w:lang w:val="fr-FR"/>
        </w:rPr>
        <w:t xml:space="preserve">ONG israélienne </w:t>
      </w:r>
      <w:r>
        <w:rPr>
          <w:rFonts w:ascii="Arial" w:hAnsi="Arial" w:cs="Arial"/>
          <w:bCs/>
          <w:sz w:val="22"/>
          <w:szCs w:val="22"/>
          <w:lang w:val="fr-FR"/>
        </w:rPr>
        <w:t>« </w:t>
      </w:r>
      <w:proofErr w:type="spellStart"/>
      <w:r w:rsidRPr="005D1976">
        <w:rPr>
          <w:rFonts w:ascii="Arial" w:hAnsi="Arial" w:cs="Arial"/>
          <w:bCs/>
          <w:sz w:val="22"/>
          <w:szCs w:val="22"/>
          <w:lang w:val="fr-FR"/>
        </w:rPr>
        <w:t>B</w:t>
      </w:r>
      <w:r w:rsidR="008E532B">
        <w:rPr>
          <w:rFonts w:ascii="Arial" w:hAnsi="Arial" w:cs="Arial"/>
          <w:bCs/>
          <w:sz w:val="22"/>
          <w:szCs w:val="22"/>
          <w:lang w:val="fr-FR"/>
        </w:rPr>
        <w:t>’</w:t>
      </w:r>
      <w:r w:rsidRPr="005D1976">
        <w:rPr>
          <w:rFonts w:ascii="Arial" w:hAnsi="Arial" w:cs="Arial"/>
          <w:bCs/>
          <w:sz w:val="22"/>
          <w:szCs w:val="22"/>
          <w:lang w:val="fr-FR"/>
        </w:rPr>
        <w:t>Tselem</w:t>
      </w:r>
      <w:proofErr w:type="spellEnd"/>
      <w:r>
        <w:rPr>
          <w:rFonts w:ascii="Arial" w:hAnsi="Arial" w:cs="Arial"/>
          <w:bCs/>
          <w:sz w:val="22"/>
          <w:szCs w:val="22"/>
          <w:lang w:val="fr-FR"/>
        </w:rPr>
        <w:t> »</w:t>
      </w:r>
      <w:r w:rsidRPr="005D1976">
        <w:rPr>
          <w:rFonts w:ascii="Arial" w:hAnsi="Arial" w:cs="Arial"/>
          <w:bCs/>
          <w:sz w:val="22"/>
          <w:szCs w:val="22"/>
          <w:lang w:val="fr-FR"/>
        </w:rPr>
        <w:t>, dont la délégation appréci</w:t>
      </w:r>
      <w:r>
        <w:rPr>
          <w:rFonts w:ascii="Arial" w:hAnsi="Arial" w:cs="Arial"/>
          <w:bCs/>
          <w:sz w:val="22"/>
          <w:szCs w:val="22"/>
          <w:lang w:val="fr-FR"/>
        </w:rPr>
        <w:t>ait</w:t>
      </w:r>
      <w:r w:rsidRPr="005D1976">
        <w:rPr>
          <w:rFonts w:ascii="Arial" w:hAnsi="Arial" w:cs="Arial"/>
          <w:bCs/>
          <w:sz w:val="22"/>
          <w:szCs w:val="22"/>
          <w:lang w:val="fr-FR"/>
        </w:rPr>
        <w:t xml:space="preserve"> le travail. </w:t>
      </w:r>
      <w:r>
        <w:rPr>
          <w:rFonts w:ascii="Arial" w:hAnsi="Arial" w:cs="Arial"/>
          <w:bCs/>
          <w:sz w:val="22"/>
          <w:szCs w:val="22"/>
          <w:lang w:val="fr-FR"/>
        </w:rPr>
        <w:t>À ce sujet</w:t>
      </w:r>
      <w:r w:rsidRPr="005D1976">
        <w:rPr>
          <w:rFonts w:ascii="Arial" w:hAnsi="Arial" w:cs="Arial"/>
          <w:bCs/>
          <w:sz w:val="22"/>
          <w:szCs w:val="22"/>
          <w:lang w:val="fr-FR"/>
        </w:rPr>
        <w:t xml:space="preserve">, la Palestine </w:t>
      </w:r>
      <w:r>
        <w:rPr>
          <w:rFonts w:ascii="Arial" w:hAnsi="Arial" w:cs="Arial"/>
          <w:bCs/>
          <w:sz w:val="22"/>
          <w:szCs w:val="22"/>
          <w:lang w:val="fr-FR"/>
        </w:rPr>
        <w:t>avait été</w:t>
      </w:r>
      <w:r w:rsidRPr="005D1976">
        <w:rPr>
          <w:rFonts w:ascii="Arial" w:hAnsi="Arial" w:cs="Arial"/>
          <w:bCs/>
          <w:sz w:val="22"/>
          <w:szCs w:val="22"/>
          <w:lang w:val="fr-FR"/>
        </w:rPr>
        <w:t xml:space="preserve"> la première à</w:t>
      </w:r>
      <w:r>
        <w:rPr>
          <w:rFonts w:ascii="Arial" w:hAnsi="Arial" w:cs="Arial"/>
          <w:bCs/>
          <w:sz w:val="22"/>
          <w:szCs w:val="22"/>
          <w:lang w:val="fr-FR"/>
        </w:rPr>
        <w:t xml:space="preserve"> </w:t>
      </w:r>
      <w:r w:rsidRPr="005D1976">
        <w:rPr>
          <w:rFonts w:ascii="Arial" w:hAnsi="Arial" w:cs="Arial"/>
          <w:bCs/>
          <w:sz w:val="22"/>
          <w:szCs w:val="22"/>
          <w:lang w:val="fr-FR"/>
        </w:rPr>
        <w:t>félicit</w:t>
      </w:r>
      <w:r>
        <w:rPr>
          <w:rFonts w:ascii="Arial" w:hAnsi="Arial" w:cs="Arial"/>
          <w:bCs/>
          <w:sz w:val="22"/>
          <w:szCs w:val="22"/>
          <w:lang w:val="fr-FR"/>
        </w:rPr>
        <w:t>er</w:t>
      </w:r>
      <w:r w:rsidRPr="005D1976">
        <w:rPr>
          <w:rFonts w:ascii="Arial" w:hAnsi="Arial" w:cs="Arial"/>
          <w:bCs/>
          <w:sz w:val="22"/>
          <w:szCs w:val="22"/>
          <w:lang w:val="fr-FR"/>
        </w:rPr>
        <w:t xml:space="preserve"> et remerci</w:t>
      </w:r>
      <w:r>
        <w:rPr>
          <w:rFonts w:ascii="Arial" w:hAnsi="Arial" w:cs="Arial"/>
          <w:bCs/>
          <w:sz w:val="22"/>
          <w:szCs w:val="22"/>
          <w:lang w:val="fr-FR"/>
        </w:rPr>
        <w:t>er</w:t>
      </w:r>
      <w:r w:rsidRPr="005D1976">
        <w:rPr>
          <w:rFonts w:ascii="Arial" w:hAnsi="Arial" w:cs="Arial"/>
          <w:bCs/>
          <w:sz w:val="22"/>
          <w:szCs w:val="22"/>
          <w:lang w:val="fr-FR"/>
        </w:rPr>
        <w:t xml:space="preserve"> le Président du Forum. Néanmoins, la question</w:t>
      </w:r>
      <w:r>
        <w:rPr>
          <w:rFonts w:ascii="Arial" w:hAnsi="Arial" w:cs="Arial"/>
          <w:bCs/>
          <w:sz w:val="22"/>
          <w:szCs w:val="22"/>
          <w:lang w:val="fr-FR"/>
        </w:rPr>
        <w:t xml:space="preserve"> en jeu </w:t>
      </w:r>
      <w:r w:rsidRPr="005D1976">
        <w:rPr>
          <w:rFonts w:ascii="Arial" w:hAnsi="Arial" w:cs="Arial"/>
          <w:bCs/>
          <w:sz w:val="22"/>
          <w:szCs w:val="22"/>
          <w:lang w:val="fr-FR"/>
        </w:rPr>
        <w:t>comport</w:t>
      </w:r>
      <w:r>
        <w:rPr>
          <w:rFonts w:ascii="Arial" w:hAnsi="Arial" w:cs="Arial"/>
          <w:bCs/>
          <w:sz w:val="22"/>
          <w:szCs w:val="22"/>
          <w:lang w:val="fr-FR"/>
        </w:rPr>
        <w:t>ait</w:t>
      </w:r>
      <w:r w:rsidRPr="005D1976">
        <w:rPr>
          <w:rFonts w:ascii="Arial" w:hAnsi="Arial" w:cs="Arial"/>
          <w:bCs/>
          <w:sz w:val="22"/>
          <w:szCs w:val="22"/>
          <w:lang w:val="fr-FR"/>
        </w:rPr>
        <w:t xml:space="preserve"> deux parties</w:t>
      </w:r>
      <w:r>
        <w:rPr>
          <w:rFonts w:ascii="Arial" w:hAnsi="Arial" w:cs="Arial"/>
          <w:bCs/>
          <w:sz w:val="22"/>
          <w:szCs w:val="22"/>
          <w:lang w:val="fr-FR"/>
        </w:rPr>
        <w:t> </w:t>
      </w:r>
      <w:r w:rsidRPr="005D1976">
        <w:rPr>
          <w:rFonts w:ascii="Arial" w:hAnsi="Arial" w:cs="Arial"/>
          <w:bCs/>
          <w:sz w:val="22"/>
          <w:szCs w:val="22"/>
          <w:lang w:val="fr-FR"/>
        </w:rPr>
        <w:t>: l</w:t>
      </w:r>
      <w:r w:rsidR="008E532B">
        <w:rPr>
          <w:rFonts w:ascii="Arial" w:hAnsi="Arial" w:cs="Arial"/>
          <w:bCs/>
          <w:sz w:val="22"/>
          <w:szCs w:val="22"/>
          <w:lang w:val="fr-FR"/>
        </w:rPr>
        <w:t>’</w:t>
      </w:r>
      <w:r w:rsidRPr="005D1976">
        <w:rPr>
          <w:rFonts w:ascii="Arial" w:hAnsi="Arial" w:cs="Arial"/>
          <w:bCs/>
          <w:sz w:val="22"/>
          <w:szCs w:val="22"/>
          <w:lang w:val="fr-FR"/>
        </w:rPr>
        <w:t>amendement du Mexique, que la Palestine souten</w:t>
      </w:r>
      <w:r>
        <w:rPr>
          <w:rFonts w:ascii="Arial" w:hAnsi="Arial" w:cs="Arial"/>
          <w:bCs/>
          <w:sz w:val="22"/>
          <w:szCs w:val="22"/>
          <w:lang w:val="fr-FR"/>
        </w:rPr>
        <w:t>ait</w:t>
      </w:r>
      <w:r w:rsidRPr="005D1976">
        <w:rPr>
          <w:rFonts w:ascii="Arial" w:hAnsi="Arial" w:cs="Arial"/>
          <w:bCs/>
          <w:sz w:val="22"/>
          <w:szCs w:val="22"/>
          <w:lang w:val="fr-FR"/>
        </w:rPr>
        <w:t>, et l</w:t>
      </w:r>
      <w:r w:rsidR="008E532B">
        <w:rPr>
          <w:rFonts w:ascii="Arial" w:hAnsi="Arial" w:cs="Arial"/>
          <w:bCs/>
          <w:sz w:val="22"/>
          <w:szCs w:val="22"/>
          <w:lang w:val="fr-FR"/>
        </w:rPr>
        <w:t>’</w:t>
      </w:r>
      <w:r w:rsidRPr="005D1976">
        <w:rPr>
          <w:rFonts w:ascii="Arial" w:hAnsi="Arial" w:cs="Arial"/>
          <w:bCs/>
          <w:sz w:val="22"/>
          <w:szCs w:val="22"/>
          <w:lang w:val="fr-FR"/>
        </w:rPr>
        <w:t>amendement de la Palestine. Les deux questions distinctes contenues dans l</w:t>
      </w:r>
      <w:r w:rsidR="008E532B">
        <w:rPr>
          <w:rFonts w:ascii="Arial" w:hAnsi="Arial" w:cs="Arial"/>
          <w:bCs/>
          <w:sz w:val="22"/>
          <w:szCs w:val="22"/>
          <w:lang w:val="fr-FR"/>
        </w:rPr>
        <w:t>’</w:t>
      </w:r>
      <w:r w:rsidRPr="005D1976">
        <w:rPr>
          <w:rFonts w:ascii="Arial" w:hAnsi="Arial" w:cs="Arial"/>
          <w:bCs/>
          <w:sz w:val="22"/>
          <w:szCs w:val="22"/>
          <w:lang w:val="fr-FR"/>
        </w:rPr>
        <w:t>amendement de la Palestine concern</w:t>
      </w:r>
      <w:r>
        <w:rPr>
          <w:rFonts w:ascii="Arial" w:hAnsi="Arial" w:cs="Arial"/>
          <w:bCs/>
          <w:sz w:val="22"/>
          <w:szCs w:val="22"/>
          <w:lang w:val="fr-FR"/>
        </w:rPr>
        <w:t>ai</w:t>
      </w:r>
      <w:r w:rsidRPr="005D1976">
        <w:rPr>
          <w:rFonts w:ascii="Arial" w:hAnsi="Arial" w:cs="Arial"/>
          <w:bCs/>
          <w:sz w:val="22"/>
          <w:szCs w:val="22"/>
          <w:lang w:val="fr-FR"/>
        </w:rPr>
        <w:t>ent l</w:t>
      </w:r>
      <w:r w:rsidR="008E532B">
        <w:rPr>
          <w:rFonts w:ascii="Arial" w:hAnsi="Arial" w:cs="Arial"/>
          <w:bCs/>
          <w:sz w:val="22"/>
          <w:szCs w:val="22"/>
          <w:lang w:val="fr-FR"/>
        </w:rPr>
        <w:t>’</w:t>
      </w:r>
      <w:r w:rsidRPr="005D1976">
        <w:rPr>
          <w:rFonts w:ascii="Arial" w:hAnsi="Arial" w:cs="Arial"/>
          <w:bCs/>
          <w:sz w:val="22"/>
          <w:szCs w:val="22"/>
          <w:lang w:val="fr-FR"/>
        </w:rPr>
        <w:t>accréditation au Forum et l</w:t>
      </w:r>
      <w:r w:rsidR="008E532B">
        <w:rPr>
          <w:rFonts w:ascii="Arial" w:hAnsi="Arial" w:cs="Arial"/>
          <w:bCs/>
          <w:sz w:val="22"/>
          <w:szCs w:val="22"/>
          <w:lang w:val="fr-FR"/>
        </w:rPr>
        <w:t>’</w:t>
      </w:r>
      <w:r w:rsidRPr="005D1976">
        <w:rPr>
          <w:rFonts w:ascii="Arial" w:hAnsi="Arial" w:cs="Arial"/>
          <w:bCs/>
          <w:sz w:val="22"/>
          <w:szCs w:val="22"/>
          <w:lang w:val="fr-FR"/>
        </w:rPr>
        <w:t>élection de ces ONG à l</w:t>
      </w:r>
      <w:r w:rsidR="008E532B">
        <w:rPr>
          <w:rFonts w:ascii="Arial" w:hAnsi="Arial" w:cs="Arial"/>
          <w:bCs/>
          <w:sz w:val="22"/>
          <w:szCs w:val="22"/>
          <w:lang w:val="fr-FR"/>
        </w:rPr>
        <w:t>’</w:t>
      </w:r>
      <w:r w:rsidRPr="005D1976">
        <w:rPr>
          <w:rFonts w:ascii="Arial" w:hAnsi="Arial" w:cs="Arial"/>
          <w:bCs/>
          <w:sz w:val="22"/>
          <w:szCs w:val="22"/>
          <w:lang w:val="fr-FR"/>
        </w:rPr>
        <w:t>Organe d</w:t>
      </w:r>
      <w:r w:rsidR="008E532B">
        <w:rPr>
          <w:rFonts w:ascii="Arial" w:hAnsi="Arial" w:cs="Arial"/>
          <w:bCs/>
          <w:sz w:val="22"/>
          <w:szCs w:val="22"/>
          <w:lang w:val="fr-FR"/>
        </w:rPr>
        <w:t>’</w:t>
      </w:r>
      <w:r w:rsidRPr="005D1976">
        <w:rPr>
          <w:rFonts w:ascii="Arial" w:hAnsi="Arial" w:cs="Arial"/>
          <w:bCs/>
          <w:sz w:val="22"/>
          <w:szCs w:val="22"/>
          <w:lang w:val="fr-FR"/>
        </w:rPr>
        <w:t>évaluation. Dans l</w:t>
      </w:r>
      <w:r w:rsidR="008E532B">
        <w:rPr>
          <w:rFonts w:ascii="Arial" w:hAnsi="Arial" w:cs="Arial"/>
          <w:bCs/>
          <w:sz w:val="22"/>
          <w:szCs w:val="22"/>
          <w:lang w:val="fr-FR"/>
        </w:rPr>
        <w:t>’</w:t>
      </w:r>
      <w:r w:rsidRPr="005D1976">
        <w:rPr>
          <w:rFonts w:ascii="Arial" w:hAnsi="Arial" w:cs="Arial"/>
          <w:bCs/>
          <w:sz w:val="22"/>
          <w:szCs w:val="22"/>
          <w:lang w:val="fr-FR"/>
        </w:rPr>
        <w:t xml:space="preserve">amendement, la proposition selon laquelle les ONG ne pourraient être ni accréditées ni élues </w:t>
      </w:r>
      <w:r>
        <w:rPr>
          <w:rFonts w:ascii="Arial" w:hAnsi="Arial" w:cs="Arial"/>
          <w:bCs/>
          <w:sz w:val="22"/>
          <w:szCs w:val="22"/>
          <w:lang w:val="fr-FR"/>
        </w:rPr>
        <w:t>étaient</w:t>
      </w:r>
      <w:r w:rsidRPr="005D1976">
        <w:rPr>
          <w:rFonts w:ascii="Arial" w:hAnsi="Arial" w:cs="Arial"/>
          <w:bCs/>
          <w:sz w:val="22"/>
          <w:szCs w:val="22"/>
          <w:lang w:val="fr-FR"/>
        </w:rPr>
        <w:t xml:space="preserve"> une question ouverte à la discussion,</w:t>
      </w:r>
      <w:r>
        <w:rPr>
          <w:rFonts w:ascii="Arial" w:hAnsi="Arial" w:cs="Arial"/>
          <w:bCs/>
          <w:sz w:val="22"/>
          <w:szCs w:val="22"/>
          <w:lang w:val="fr-FR"/>
        </w:rPr>
        <w:t xml:space="preserve"> </w:t>
      </w:r>
      <w:r w:rsidRPr="005D1976">
        <w:rPr>
          <w:rFonts w:ascii="Arial" w:hAnsi="Arial" w:cs="Arial"/>
          <w:bCs/>
          <w:sz w:val="22"/>
          <w:szCs w:val="22"/>
          <w:lang w:val="fr-FR"/>
        </w:rPr>
        <w:t xml:space="preserve">de nombreuses délégations étaient </w:t>
      </w:r>
      <w:r>
        <w:rPr>
          <w:rFonts w:ascii="Arial" w:hAnsi="Arial" w:cs="Arial"/>
          <w:bCs/>
          <w:sz w:val="22"/>
          <w:szCs w:val="22"/>
          <w:lang w:val="fr-FR"/>
        </w:rPr>
        <w:t>d</w:t>
      </w:r>
      <w:r w:rsidR="008E532B">
        <w:rPr>
          <w:rFonts w:ascii="Arial" w:hAnsi="Arial" w:cs="Arial"/>
          <w:bCs/>
          <w:sz w:val="22"/>
          <w:szCs w:val="22"/>
          <w:lang w:val="fr-FR"/>
        </w:rPr>
        <w:t>’</w:t>
      </w:r>
      <w:r>
        <w:rPr>
          <w:rFonts w:ascii="Arial" w:hAnsi="Arial" w:cs="Arial"/>
          <w:bCs/>
          <w:sz w:val="22"/>
          <w:szCs w:val="22"/>
          <w:lang w:val="fr-FR"/>
        </w:rPr>
        <w:t xml:space="preserve">ailleurs </w:t>
      </w:r>
      <w:r w:rsidRPr="005D1976">
        <w:rPr>
          <w:rFonts w:ascii="Arial" w:hAnsi="Arial" w:cs="Arial"/>
          <w:bCs/>
          <w:sz w:val="22"/>
          <w:szCs w:val="22"/>
          <w:lang w:val="fr-FR"/>
        </w:rPr>
        <w:t>en faveur de l</w:t>
      </w:r>
      <w:r w:rsidR="008E532B">
        <w:rPr>
          <w:rFonts w:ascii="Arial" w:hAnsi="Arial" w:cs="Arial"/>
          <w:bCs/>
          <w:sz w:val="22"/>
          <w:szCs w:val="22"/>
          <w:lang w:val="fr-FR"/>
        </w:rPr>
        <w:t>’</w:t>
      </w:r>
      <w:r w:rsidRPr="005D1976">
        <w:rPr>
          <w:rFonts w:ascii="Arial" w:hAnsi="Arial" w:cs="Arial"/>
          <w:bCs/>
          <w:sz w:val="22"/>
          <w:szCs w:val="22"/>
          <w:lang w:val="fr-FR"/>
        </w:rPr>
        <w:t>accréditation mais pas de leur élection [à l</w:t>
      </w:r>
      <w:r w:rsidR="008E532B">
        <w:rPr>
          <w:rFonts w:ascii="Arial" w:hAnsi="Arial" w:cs="Arial"/>
          <w:bCs/>
          <w:sz w:val="22"/>
          <w:szCs w:val="22"/>
          <w:lang w:val="fr-FR"/>
        </w:rPr>
        <w:t>’</w:t>
      </w:r>
      <w:r w:rsidRPr="005D1976">
        <w:rPr>
          <w:rFonts w:ascii="Arial" w:hAnsi="Arial" w:cs="Arial"/>
          <w:bCs/>
          <w:sz w:val="22"/>
          <w:szCs w:val="22"/>
          <w:lang w:val="fr-FR"/>
        </w:rPr>
        <w:t>Organe d</w:t>
      </w:r>
      <w:r w:rsidR="008E532B">
        <w:rPr>
          <w:rFonts w:ascii="Arial" w:hAnsi="Arial" w:cs="Arial"/>
          <w:bCs/>
          <w:sz w:val="22"/>
          <w:szCs w:val="22"/>
          <w:lang w:val="fr-FR"/>
        </w:rPr>
        <w:t>’</w:t>
      </w:r>
      <w:r w:rsidRPr="005D1976">
        <w:rPr>
          <w:rFonts w:ascii="Arial" w:hAnsi="Arial" w:cs="Arial"/>
          <w:bCs/>
          <w:sz w:val="22"/>
          <w:szCs w:val="22"/>
          <w:lang w:val="fr-FR"/>
        </w:rPr>
        <w:t>évaluation]. Ainsi, la présence d</w:t>
      </w:r>
      <w:r w:rsidR="008E532B">
        <w:rPr>
          <w:rFonts w:ascii="Arial" w:hAnsi="Arial" w:cs="Arial"/>
          <w:bCs/>
          <w:sz w:val="22"/>
          <w:szCs w:val="22"/>
          <w:lang w:val="fr-FR"/>
        </w:rPr>
        <w:t>’</w:t>
      </w:r>
      <w:r w:rsidRPr="005D1976">
        <w:rPr>
          <w:rFonts w:ascii="Arial" w:hAnsi="Arial" w:cs="Arial"/>
          <w:bCs/>
          <w:sz w:val="22"/>
          <w:szCs w:val="22"/>
          <w:lang w:val="fr-FR"/>
        </w:rPr>
        <w:t xml:space="preserve">ONG au sein du Forum </w:t>
      </w:r>
      <w:r>
        <w:rPr>
          <w:rFonts w:ascii="Arial" w:hAnsi="Arial" w:cs="Arial"/>
          <w:bCs/>
          <w:sz w:val="22"/>
          <w:szCs w:val="22"/>
          <w:lang w:val="fr-FR"/>
        </w:rPr>
        <w:t>était</w:t>
      </w:r>
      <w:r w:rsidRPr="005D1976">
        <w:rPr>
          <w:rFonts w:ascii="Arial" w:hAnsi="Arial" w:cs="Arial"/>
          <w:bCs/>
          <w:sz w:val="22"/>
          <w:szCs w:val="22"/>
          <w:lang w:val="fr-FR"/>
        </w:rPr>
        <w:t xml:space="preserve"> une mesure inclusive, mais leur présence au sein de l</w:t>
      </w:r>
      <w:r w:rsidR="008E532B">
        <w:rPr>
          <w:rFonts w:ascii="Arial" w:hAnsi="Arial" w:cs="Arial"/>
          <w:bCs/>
          <w:sz w:val="22"/>
          <w:szCs w:val="22"/>
          <w:lang w:val="fr-FR"/>
        </w:rPr>
        <w:t>’</w:t>
      </w:r>
      <w:r w:rsidRPr="005D1976">
        <w:rPr>
          <w:rFonts w:ascii="Arial" w:hAnsi="Arial" w:cs="Arial"/>
          <w:bCs/>
          <w:sz w:val="22"/>
          <w:szCs w:val="22"/>
          <w:lang w:val="fr-FR"/>
        </w:rPr>
        <w:t>Organe d</w:t>
      </w:r>
      <w:r w:rsidR="008E532B">
        <w:rPr>
          <w:rFonts w:ascii="Arial" w:hAnsi="Arial" w:cs="Arial"/>
          <w:bCs/>
          <w:sz w:val="22"/>
          <w:szCs w:val="22"/>
          <w:lang w:val="fr-FR"/>
        </w:rPr>
        <w:t>’</w:t>
      </w:r>
      <w:r w:rsidRPr="005D1976">
        <w:rPr>
          <w:rFonts w:ascii="Arial" w:hAnsi="Arial" w:cs="Arial"/>
          <w:bCs/>
          <w:sz w:val="22"/>
          <w:szCs w:val="22"/>
          <w:lang w:val="fr-FR"/>
        </w:rPr>
        <w:t>évaluation ne pos</w:t>
      </w:r>
      <w:r>
        <w:rPr>
          <w:rFonts w:ascii="Arial" w:hAnsi="Arial" w:cs="Arial"/>
          <w:bCs/>
          <w:sz w:val="22"/>
          <w:szCs w:val="22"/>
          <w:lang w:val="fr-FR"/>
        </w:rPr>
        <w:t>ait</w:t>
      </w:r>
      <w:r w:rsidRPr="005D1976">
        <w:rPr>
          <w:rFonts w:ascii="Arial" w:hAnsi="Arial" w:cs="Arial"/>
          <w:bCs/>
          <w:sz w:val="22"/>
          <w:szCs w:val="22"/>
          <w:lang w:val="fr-FR"/>
        </w:rPr>
        <w:t xml:space="preserve"> pas la question de l</w:t>
      </w:r>
      <w:r w:rsidR="008E532B">
        <w:rPr>
          <w:rFonts w:ascii="Arial" w:hAnsi="Arial" w:cs="Arial"/>
          <w:bCs/>
          <w:sz w:val="22"/>
          <w:szCs w:val="22"/>
          <w:lang w:val="fr-FR"/>
        </w:rPr>
        <w:t>’</w:t>
      </w:r>
      <w:r w:rsidRPr="005D1976">
        <w:rPr>
          <w:rFonts w:ascii="Arial" w:hAnsi="Arial" w:cs="Arial"/>
          <w:bCs/>
          <w:sz w:val="22"/>
          <w:szCs w:val="22"/>
          <w:lang w:val="fr-FR"/>
        </w:rPr>
        <w:t>inclusivité puisqu</w:t>
      </w:r>
      <w:r w:rsidR="008E532B">
        <w:rPr>
          <w:rFonts w:ascii="Arial" w:hAnsi="Arial" w:cs="Arial"/>
          <w:bCs/>
          <w:sz w:val="22"/>
          <w:szCs w:val="22"/>
          <w:lang w:val="fr-FR"/>
        </w:rPr>
        <w:t>’</w:t>
      </w:r>
      <w:r w:rsidRPr="005D1976">
        <w:rPr>
          <w:rFonts w:ascii="Arial" w:hAnsi="Arial" w:cs="Arial"/>
          <w:bCs/>
          <w:sz w:val="22"/>
          <w:szCs w:val="22"/>
          <w:lang w:val="fr-FR"/>
        </w:rPr>
        <w:t>elles agir</w:t>
      </w:r>
      <w:r>
        <w:rPr>
          <w:rFonts w:ascii="Arial" w:hAnsi="Arial" w:cs="Arial"/>
          <w:bCs/>
          <w:sz w:val="22"/>
          <w:szCs w:val="22"/>
          <w:lang w:val="fr-FR"/>
        </w:rPr>
        <w:t>aie</w:t>
      </w:r>
      <w:r w:rsidRPr="005D1976">
        <w:rPr>
          <w:rFonts w:ascii="Arial" w:hAnsi="Arial" w:cs="Arial"/>
          <w:bCs/>
          <w:sz w:val="22"/>
          <w:szCs w:val="22"/>
          <w:lang w:val="fr-FR"/>
        </w:rPr>
        <w:t>nt à titre consultatif au sein du Forum mais pas au sein de l</w:t>
      </w:r>
      <w:r w:rsidR="008E532B">
        <w:rPr>
          <w:rFonts w:ascii="Arial" w:hAnsi="Arial" w:cs="Arial"/>
          <w:bCs/>
          <w:sz w:val="22"/>
          <w:szCs w:val="22"/>
          <w:lang w:val="fr-FR"/>
        </w:rPr>
        <w:t>’</w:t>
      </w:r>
      <w:r w:rsidRPr="005D1976">
        <w:rPr>
          <w:rFonts w:ascii="Arial" w:hAnsi="Arial" w:cs="Arial"/>
          <w:bCs/>
          <w:sz w:val="22"/>
          <w:szCs w:val="22"/>
          <w:lang w:val="fr-FR"/>
        </w:rPr>
        <w:t>Organe d</w:t>
      </w:r>
      <w:r w:rsidR="008E532B">
        <w:rPr>
          <w:rFonts w:ascii="Arial" w:hAnsi="Arial" w:cs="Arial"/>
          <w:bCs/>
          <w:sz w:val="22"/>
          <w:szCs w:val="22"/>
          <w:lang w:val="fr-FR"/>
        </w:rPr>
        <w:t>’</w:t>
      </w:r>
      <w:r w:rsidRPr="005D1976">
        <w:rPr>
          <w:rFonts w:ascii="Arial" w:hAnsi="Arial" w:cs="Arial"/>
          <w:bCs/>
          <w:sz w:val="22"/>
          <w:szCs w:val="22"/>
          <w:lang w:val="fr-FR"/>
        </w:rPr>
        <w:t>évaluation.</w:t>
      </w:r>
    </w:p>
    <w:p w14:paraId="484ED403" w14:textId="085ED36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85292">
        <w:rPr>
          <w:rFonts w:ascii="Arial" w:hAnsi="Arial" w:cs="Arial"/>
          <w:bCs/>
          <w:sz w:val="22"/>
          <w:szCs w:val="22"/>
          <w:lang w:val="fr-FR"/>
        </w:rPr>
        <w:t>délégation</w:t>
      </w:r>
      <w:r>
        <w:rPr>
          <w:rFonts w:ascii="Arial" w:hAnsi="Arial" w:cs="Arial"/>
          <w:bCs/>
          <w:sz w:val="22"/>
          <w:szCs w:val="22"/>
          <w:lang w:val="fr-FR"/>
        </w:rPr>
        <w:t xml:space="preserve"> de la </w:t>
      </w:r>
      <w:r w:rsidRPr="002B75DC">
        <w:rPr>
          <w:rFonts w:ascii="Arial" w:hAnsi="Arial" w:cs="Arial"/>
          <w:b/>
          <w:sz w:val="22"/>
          <w:szCs w:val="22"/>
          <w:lang w:val="fr-FR"/>
        </w:rPr>
        <w:t>Colombie</w:t>
      </w:r>
      <w:r>
        <w:rPr>
          <w:rFonts w:ascii="Arial" w:hAnsi="Arial" w:cs="Arial"/>
          <w:bCs/>
          <w:sz w:val="22"/>
          <w:szCs w:val="22"/>
          <w:lang w:val="fr-FR"/>
        </w:rPr>
        <w:t xml:space="preserve"> a fait remarquer que les </w:t>
      </w:r>
      <w:r w:rsidRPr="00485292">
        <w:rPr>
          <w:rFonts w:ascii="Arial" w:hAnsi="Arial" w:cs="Arial"/>
          <w:bCs/>
          <w:sz w:val="22"/>
          <w:szCs w:val="22"/>
          <w:lang w:val="fr-FR"/>
        </w:rPr>
        <w:t>amendemen</w:t>
      </w:r>
      <w:r>
        <w:rPr>
          <w:rFonts w:ascii="Arial" w:hAnsi="Arial" w:cs="Arial"/>
          <w:bCs/>
          <w:sz w:val="22"/>
          <w:szCs w:val="22"/>
          <w:lang w:val="fr-FR"/>
        </w:rPr>
        <w:t xml:space="preserve">ts présentés par le Mexique ne nécessitaient pas la présence du Conseiller juridique, et a donc suggéré de </w:t>
      </w:r>
      <w:proofErr w:type="gramStart"/>
      <w:r>
        <w:rPr>
          <w:rFonts w:ascii="Arial" w:hAnsi="Arial" w:cs="Arial"/>
          <w:bCs/>
          <w:sz w:val="22"/>
          <w:szCs w:val="22"/>
          <w:lang w:val="fr-FR"/>
        </w:rPr>
        <w:t>commencer d</w:t>
      </w:r>
      <w:r w:rsidR="008E532B">
        <w:rPr>
          <w:rFonts w:ascii="Arial" w:hAnsi="Arial" w:cs="Arial"/>
          <w:bCs/>
          <w:sz w:val="22"/>
          <w:szCs w:val="22"/>
          <w:lang w:val="fr-FR"/>
        </w:rPr>
        <w:t>’</w:t>
      </w:r>
      <w:r>
        <w:rPr>
          <w:rFonts w:ascii="Arial" w:hAnsi="Arial" w:cs="Arial"/>
          <w:bCs/>
          <w:sz w:val="22"/>
          <w:szCs w:val="22"/>
          <w:lang w:val="fr-FR"/>
        </w:rPr>
        <w:t>abord</w:t>
      </w:r>
      <w:proofErr w:type="gramEnd"/>
      <w:r>
        <w:rPr>
          <w:rFonts w:ascii="Arial" w:hAnsi="Arial" w:cs="Arial"/>
          <w:bCs/>
          <w:sz w:val="22"/>
          <w:szCs w:val="22"/>
          <w:lang w:val="fr-FR"/>
        </w:rPr>
        <w:t xml:space="preserve"> avec ceux-ci. </w:t>
      </w:r>
    </w:p>
    <w:p w14:paraId="13284EC2" w14:textId="2A22D1F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2B75DC">
        <w:rPr>
          <w:rFonts w:ascii="Arial" w:hAnsi="Arial" w:cs="Arial"/>
          <w:b/>
          <w:sz w:val="22"/>
          <w:szCs w:val="22"/>
          <w:lang w:val="fr-FR"/>
        </w:rPr>
        <w:t>Présidente</w:t>
      </w:r>
      <w:r>
        <w:rPr>
          <w:rFonts w:ascii="Arial" w:hAnsi="Arial" w:cs="Arial"/>
          <w:bCs/>
          <w:sz w:val="22"/>
          <w:szCs w:val="22"/>
          <w:lang w:val="fr-FR"/>
        </w:rPr>
        <w:t xml:space="preserve"> a signalé une motion d</w:t>
      </w:r>
      <w:r w:rsidR="008E532B">
        <w:rPr>
          <w:rFonts w:ascii="Arial" w:hAnsi="Arial" w:cs="Arial"/>
          <w:bCs/>
          <w:sz w:val="22"/>
          <w:szCs w:val="22"/>
          <w:lang w:val="fr-FR"/>
        </w:rPr>
        <w:t>’</w:t>
      </w:r>
      <w:r>
        <w:rPr>
          <w:rFonts w:ascii="Arial" w:hAnsi="Arial" w:cs="Arial"/>
          <w:bCs/>
          <w:sz w:val="22"/>
          <w:szCs w:val="22"/>
          <w:lang w:val="fr-FR"/>
        </w:rPr>
        <w:t>ordre de la part de la Palestine, et a donc suggéré d</w:t>
      </w:r>
      <w:r w:rsidR="008E532B">
        <w:rPr>
          <w:rFonts w:ascii="Arial" w:hAnsi="Arial" w:cs="Arial"/>
          <w:bCs/>
          <w:sz w:val="22"/>
          <w:szCs w:val="22"/>
          <w:lang w:val="fr-FR"/>
        </w:rPr>
        <w:t>’</w:t>
      </w:r>
      <w:r>
        <w:rPr>
          <w:rFonts w:ascii="Arial" w:hAnsi="Arial" w:cs="Arial"/>
          <w:bCs/>
          <w:sz w:val="22"/>
          <w:szCs w:val="22"/>
          <w:lang w:val="fr-FR"/>
        </w:rPr>
        <w:t xml:space="preserve">examiner le projet de </w:t>
      </w:r>
      <w:r w:rsidRPr="002B75DC">
        <w:rPr>
          <w:rFonts w:ascii="Arial" w:eastAsia="SimSun" w:hAnsi="Arial" w:cs="Arial"/>
          <w:bCs/>
          <w:sz w:val="22"/>
          <w:szCs w:val="22"/>
          <w:lang w:val="fr-FR" w:eastAsia="en-US"/>
        </w:rPr>
        <w:t>résolution</w:t>
      </w:r>
      <w:r>
        <w:rPr>
          <w:rFonts w:ascii="Arial" w:eastAsia="SimSun" w:hAnsi="Arial" w:cs="Arial"/>
          <w:bCs/>
          <w:sz w:val="22"/>
          <w:szCs w:val="22"/>
          <w:lang w:val="fr-FR" w:eastAsia="en-US"/>
        </w:rPr>
        <w:t xml:space="preserve"> </w:t>
      </w:r>
      <w:r w:rsidRPr="002B75DC">
        <w:rPr>
          <w:rFonts w:ascii="Arial" w:eastAsia="SimSun" w:hAnsi="Arial" w:cs="Arial"/>
          <w:bCs/>
          <w:sz w:val="22"/>
          <w:szCs w:val="22"/>
          <w:lang w:val="fr-FR" w:eastAsia="en-US"/>
        </w:rPr>
        <w:t>paragraphe</w:t>
      </w:r>
      <w:r>
        <w:rPr>
          <w:rFonts w:ascii="Arial" w:eastAsia="SimSun" w:hAnsi="Arial" w:cs="Arial"/>
          <w:bCs/>
          <w:sz w:val="22"/>
          <w:szCs w:val="22"/>
          <w:lang w:val="fr-FR" w:eastAsia="en-US"/>
        </w:rPr>
        <w:t xml:space="preserve"> par </w:t>
      </w:r>
      <w:r w:rsidRPr="002B75DC">
        <w:rPr>
          <w:rFonts w:ascii="Arial" w:eastAsia="SimSun" w:hAnsi="Arial" w:cs="Arial"/>
          <w:bCs/>
          <w:sz w:val="22"/>
          <w:szCs w:val="22"/>
          <w:lang w:val="fr-FR" w:eastAsia="en-US"/>
        </w:rPr>
        <w:t>paragraphe</w:t>
      </w:r>
      <w:r>
        <w:rPr>
          <w:rFonts w:ascii="Arial" w:eastAsia="SimSun" w:hAnsi="Arial" w:cs="Arial"/>
          <w:bCs/>
          <w:sz w:val="22"/>
          <w:szCs w:val="22"/>
          <w:lang w:val="fr-FR" w:eastAsia="en-US"/>
        </w:rPr>
        <w:t>.</w:t>
      </w:r>
    </w:p>
    <w:p w14:paraId="0C622FE3" w14:textId="419E93E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161E8">
        <w:rPr>
          <w:rFonts w:ascii="Arial" w:hAnsi="Arial" w:cs="Arial"/>
          <w:bCs/>
          <w:sz w:val="22"/>
          <w:szCs w:val="22"/>
          <w:lang w:val="fr-FR"/>
        </w:rPr>
        <w:t xml:space="preserve">Le </w:t>
      </w:r>
      <w:r w:rsidRPr="00D161E8">
        <w:rPr>
          <w:rFonts w:ascii="Arial" w:hAnsi="Arial" w:cs="Arial"/>
          <w:b/>
          <w:sz w:val="22"/>
          <w:szCs w:val="22"/>
          <w:lang w:val="fr-FR"/>
        </w:rPr>
        <w:t>Sous-Directeur général</w:t>
      </w:r>
      <w:r w:rsidRPr="00D161E8">
        <w:rPr>
          <w:rFonts w:ascii="Arial" w:hAnsi="Arial" w:cs="Arial"/>
          <w:bCs/>
          <w:sz w:val="22"/>
          <w:szCs w:val="22"/>
          <w:lang w:val="fr-FR"/>
        </w:rPr>
        <w:t xml:space="preserve"> </w:t>
      </w:r>
      <w:r>
        <w:rPr>
          <w:rFonts w:ascii="Arial" w:hAnsi="Arial" w:cs="Arial"/>
          <w:bCs/>
          <w:sz w:val="22"/>
          <w:szCs w:val="22"/>
          <w:lang w:val="fr-FR"/>
        </w:rPr>
        <w:t xml:space="preserve">est </w:t>
      </w:r>
      <w:r w:rsidRPr="00D161E8">
        <w:rPr>
          <w:rFonts w:ascii="Arial" w:hAnsi="Arial" w:cs="Arial"/>
          <w:bCs/>
          <w:sz w:val="22"/>
          <w:szCs w:val="22"/>
          <w:lang w:val="fr-FR"/>
        </w:rPr>
        <w:t>pass</w:t>
      </w:r>
      <w:r>
        <w:rPr>
          <w:rFonts w:ascii="Arial" w:hAnsi="Arial" w:cs="Arial"/>
          <w:bCs/>
          <w:sz w:val="22"/>
          <w:szCs w:val="22"/>
          <w:lang w:val="fr-FR"/>
        </w:rPr>
        <w:t>é</w:t>
      </w:r>
      <w:r w:rsidRPr="00D161E8">
        <w:rPr>
          <w:rFonts w:ascii="Arial" w:hAnsi="Arial" w:cs="Arial"/>
          <w:bCs/>
          <w:sz w:val="22"/>
          <w:szCs w:val="22"/>
          <w:lang w:val="fr-FR"/>
        </w:rPr>
        <w:t xml:space="preserve"> au projet de décision 9.GA</w:t>
      </w:r>
      <w:r>
        <w:rPr>
          <w:rFonts w:ascii="Arial" w:hAnsi="Arial" w:cs="Arial"/>
          <w:bCs/>
          <w:sz w:val="22"/>
          <w:szCs w:val="22"/>
          <w:lang w:val="fr-FR"/>
        </w:rPr>
        <w:t> </w:t>
      </w:r>
      <w:r w:rsidRPr="00D161E8">
        <w:rPr>
          <w:rFonts w:ascii="Arial" w:hAnsi="Arial" w:cs="Arial"/>
          <w:bCs/>
          <w:sz w:val="22"/>
          <w:szCs w:val="22"/>
          <w:lang w:val="fr-FR"/>
        </w:rPr>
        <w:t>7</w:t>
      </w:r>
      <w:r>
        <w:rPr>
          <w:rFonts w:ascii="Arial" w:hAnsi="Arial" w:cs="Arial"/>
          <w:bCs/>
          <w:sz w:val="22"/>
          <w:szCs w:val="22"/>
          <w:lang w:val="fr-FR"/>
        </w:rPr>
        <w:t>,</w:t>
      </w:r>
      <w:r w:rsidRPr="00D161E8">
        <w:rPr>
          <w:rFonts w:ascii="Arial" w:hAnsi="Arial" w:cs="Arial"/>
          <w:bCs/>
          <w:sz w:val="22"/>
          <w:szCs w:val="22"/>
          <w:lang w:val="fr-FR"/>
        </w:rPr>
        <w:t xml:space="preserve"> et au paragraphe 1, </w:t>
      </w:r>
      <w:r>
        <w:rPr>
          <w:rFonts w:ascii="Arial" w:hAnsi="Arial" w:cs="Arial"/>
          <w:bCs/>
          <w:sz w:val="22"/>
          <w:szCs w:val="22"/>
          <w:lang w:val="fr-FR"/>
        </w:rPr>
        <w:t>« </w:t>
      </w:r>
      <w:r w:rsidRPr="00D161E8">
        <w:rPr>
          <w:rFonts w:ascii="Arial" w:hAnsi="Arial" w:cs="Arial"/>
          <w:bCs/>
          <w:sz w:val="22"/>
          <w:szCs w:val="22"/>
          <w:lang w:val="fr-FR"/>
        </w:rPr>
        <w:t>L</w:t>
      </w:r>
      <w:r w:rsidR="008E532B">
        <w:rPr>
          <w:rFonts w:ascii="Arial" w:hAnsi="Arial" w:cs="Arial"/>
          <w:bCs/>
          <w:sz w:val="22"/>
          <w:szCs w:val="22"/>
          <w:lang w:val="fr-FR"/>
        </w:rPr>
        <w:t>’</w:t>
      </w:r>
      <w:r w:rsidRPr="00D161E8">
        <w:rPr>
          <w:rFonts w:ascii="Arial" w:hAnsi="Arial" w:cs="Arial"/>
          <w:bCs/>
          <w:sz w:val="22"/>
          <w:szCs w:val="22"/>
          <w:lang w:val="fr-FR"/>
        </w:rPr>
        <w:t xml:space="preserve">Assemblée générale, </w:t>
      </w:r>
      <w:r>
        <w:rPr>
          <w:rFonts w:ascii="Arial" w:hAnsi="Arial" w:cs="Arial"/>
          <w:bCs/>
          <w:sz w:val="22"/>
          <w:szCs w:val="22"/>
          <w:lang w:val="fr-FR"/>
        </w:rPr>
        <w:t>A</w:t>
      </w:r>
      <w:r w:rsidRPr="00D161E8">
        <w:rPr>
          <w:rFonts w:ascii="Arial" w:hAnsi="Arial" w:cs="Arial"/>
          <w:bCs/>
          <w:sz w:val="22"/>
          <w:szCs w:val="22"/>
          <w:lang w:val="fr-FR"/>
        </w:rPr>
        <w:t xml:space="preserve">yant examiné le document LHE/22/9.GA/7 et </w:t>
      </w:r>
      <w:r>
        <w:rPr>
          <w:rFonts w:ascii="Arial" w:hAnsi="Arial" w:cs="Arial"/>
          <w:bCs/>
          <w:sz w:val="22"/>
          <w:szCs w:val="22"/>
          <w:lang w:val="fr-FR"/>
        </w:rPr>
        <w:t>ses</w:t>
      </w:r>
      <w:r w:rsidRPr="00D161E8">
        <w:rPr>
          <w:rFonts w:ascii="Arial" w:hAnsi="Arial" w:cs="Arial"/>
          <w:bCs/>
          <w:sz w:val="22"/>
          <w:szCs w:val="22"/>
          <w:lang w:val="fr-FR"/>
        </w:rPr>
        <w:t xml:space="preserve"> annexe</w:t>
      </w:r>
      <w:r>
        <w:rPr>
          <w:rFonts w:ascii="Arial" w:hAnsi="Arial" w:cs="Arial"/>
          <w:bCs/>
          <w:sz w:val="22"/>
          <w:szCs w:val="22"/>
          <w:lang w:val="fr-FR"/>
        </w:rPr>
        <w:t>s »</w:t>
      </w:r>
      <w:r w:rsidRPr="00D161E8">
        <w:rPr>
          <w:rFonts w:ascii="Arial" w:hAnsi="Arial" w:cs="Arial"/>
          <w:bCs/>
          <w:sz w:val="22"/>
          <w:szCs w:val="22"/>
          <w:lang w:val="fr-FR"/>
        </w:rPr>
        <w:t xml:space="preserve">, qui </w:t>
      </w:r>
      <w:r>
        <w:rPr>
          <w:rFonts w:ascii="Arial" w:hAnsi="Arial" w:cs="Arial"/>
          <w:bCs/>
          <w:sz w:val="22"/>
          <w:szCs w:val="22"/>
          <w:lang w:val="fr-FR"/>
        </w:rPr>
        <w:t>a été</w:t>
      </w:r>
      <w:r w:rsidRPr="00D161E8">
        <w:rPr>
          <w:rFonts w:ascii="Arial" w:hAnsi="Arial" w:cs="Arial"/>
          <w:bCs/>
          <w:sz w:val="22"/>
          <w:szCs w:val="22"/>
          <w:lang w:val="fr-FR"/>
        </w:rPr>
        <w:t xml:space="preserve"> dûment adopté. Le paragraphe 2, </w:t>
      </w:r>
      <w:r>
        <w:rPr>
          <w:rFonts w:ascii="Arial" w:hAnsi="Arial" w:cs="Arial"/>
          <w:bCs/>
          <w:sz w:val="22"/>
          <w:szCs w:val="22"/>
          <w:lang w:val="fr-FR"/>
        </w:rPr>
        <w:t>« </w:t>
      </w:r>
      <w:r w:rsidRPr="00D161E8">
        <w:rPr>
          <w:rFonts w:ascii="Arial" w:hAnsi="Arial" w:cs="Arial"/>
          <w:bCs/>
          <w:sz w:val="22"/>
          <w:szCs w:val="22"/>
          <w:lang w:val="fr-FR"/>
        </w:rPr>
        <w:t>Rappelant l</w:t>
      </w:r>
      <w:r w:rsidR="008E532B">
        <w:rPr>
          <w:rFonts w:ascii="Arial" w:hAnsi="Arial" w:cs="Arial"/>
          <w:bCs/>
          <w:sz w:val="22"/>
          <w:szCs w:val="22"/>
          <w:lang w:val="fr-FR"/>
        </w:rPr>
        <w:t>’</w:t>
      </w:r>
      <w:r w:rsidRPr="00D161E8">
        <w:rPr>
          <w:rFonts w:ascii="Arial" w:hAnsi="Arial" w:cs="Arial"/>
          <w:bCs/>
          <w:sz w:val="22"/>
          <w:szCs w:val="22"/>
          <w:lang w:val="fr-FR"/>
        </w:rPr>
        <w:t>article 9 de la Convention et les paragraphes 91</w:t>
      </w:r>
      <w:r>
        <w:rPr>
          <w:rFonts w:ascii="Arial" w:hAnsi="Arial" w:cs="Arial"/>
          <w:bCs/>
          <w:sz w:val="22"/>
          <w:szCs w:val="22"/>
          <w:lang w:val="fr-FR"/>
        </w:rPr>
        <w:t xml:space="preserve"> à </w:t>
      </w:r>
      <w:r w:rsidRPr="00D161E8">
        <w:rPr>
          <w:rFonts w:ascii="Arial" w:hAnsi="Arial" w:cs="Arial"/>
          <w:bCs/>
          <w:sz w:val="22"/>
          <w:szCs w:val="22"/>
          <w:lang w:val="fr-FR"/>
        </w:rPr>
        <w:t>99 des Directives opérationnelles</w:t>
      </w:r>
      <w:r>
        <w:rPr>
          <w:rFonts w:ascii="Arial" w:hAnsi="Arial" w:cs="Arial"/>
          <w:bCs/>
          <w:sz w:val="22"/>
          <w:szCs w:val="22"/>
          <w:lang w:val="fr-FR"/>
        </w:rPr>
        <w:t xml:space="preserve"> », </w:t>
      </w:r>
      <w:r w:rsidRPr="00D161E8">
        <w:rPr>
          <w:rFonts w:ascii="Arial" w:hAnsi="Arial" w:cs="Arial"/>
          <w:bCs/>
          <w:sz w:val="22"/>
          <w:szCs w:val="22"/>
          <w:lang w:val="fr-FR"/>
        </w:rPr>
        <w:t xml:space="preserve">a été adopté. Le paragraphe 3, </w:t>
      </w:r>
      <w:r>
        <w:rPr>
          <w:rFonts w:ascii="Arial" w:hAnsi="Arial" w:cs="Arial"/>
          <w:bCs/>
          <w:sz w:val="22"/>
          <w:szCs w:val="22"/>
          <w:lang w:val="fr-FR"/>
        </w:rPr>
        <w:t>« </w:t>
      </w:r>
      <w:r w:rsidRPr="00D161E8">
        <w:rPr>
          <w:rFonts w:ascii="Arial" w:hAnsi="Arial" w:cs="Arial"/>
          <w:bCs/>
          <w:sz w:val="22"/>
          <w:szCs w:val="22"/>
          <w:lang w:val="fr-FR"/>
        </w:rPr>
        <w:t>Rappelant en outre la décision 16.COM</w:t>
      </w:r>
      <w:r>
        <w:rPr>
          <w:rFonts w:ascii="Arial" w:hAnsi="Arial" w:cs="Arial"/>
          <w:bCs/>
          <w:sz w:val="22"/>
          <w:szCs w:val="22"/>
          <w:lang w:val="fr-FR"/>
        </w:rPr>
        <w:t> </w:t>
      </w:r>
      <w:r w:rsidRPr="00D161E8">
        <w:rPr>
          <w:rFonts w:ascii="Arial" w:hAnsi="Arial" w:cs="Arial"/>
          <w:bCs/>
          <w:sz w:val="22"/>
          <w:szCs w:val="22"/>
          <w:lang w:val="fr-FR"/>
        </w:rPr>
        <w:t>15</w:t>
      </w:r>
      <w:r>
        <w:rPr>
          <w:rFonts w:ascii="Arial" w:hAnsi="Arial" w:cs="Arial"/>
          <w:bCs/>
          <w:sz w:val="22"/>
          <w:szCs w:val="22"/>
          <w:lang w:val="fr-FR"/>
        </w:rPr>
        <w:t> »</w:t>
      </w:r>
      <w:r w:rsidRPr="00D161E8">
        <w:rPr>
          <w:rFonts w:ascii="Arial" w:hAnsi="Arial" w:cs="Arial"/>
          <w:bCs/>
          <w:sz w:val="22"/>
          <w:szCs w:val="22"/>
          <w:lang w:val="fr-FR"/>
        </w:rPr>
        <w:t xml:space="preserve">, a été adopté. </w:t>
      </w:r>
      <w:r>
        <w:rPr>
          <w:rFonts w:ascii="Arial" w:hAnsi="Arial" w:cs="Arial"/>
          <w:bCs/>
          <w:sz w:val="22"/>
          <w:szCs w:val="22"/>
          <w:lang w:val="fr-FR"/>
        </w:rPr>
        <w:t>Le p</w:t>
      </w:r>
      <w:r w:rsidRPr="00D161E8">
        <w:rPr>
          <w:rFonts w:ascii="Arial" w:hAnsi="Arial" w:cs="Arial"/>
          <w:bCs/>
          <w:sz w:val="22"/>
          <w:szCs w:val="22"/>
          <w:lang w:val="fr-FR"/>
        </w:rPr>
        <w:t>aragraphe 4</w:t>
      </w:r>
      <w:r>
        <w:rPr>
          <w:rFonts w:ascii="Arial" w:hAnsi="Arial" w:cs="Arial"/>
          <w:bCs/>
          <w:sz w:val="22"/>
          <w:szCs w:val="22"/>
          <w:lang w:val="fr-FR"/>
        </w:rPr>
        <w:t>, « </w:t>
      </w:r>
      <w:r w:rsidRPr="00D161E8">
        <w:rPr>
          <w:rFonts w:ascii="Arial" w:hAnsi="Arial" w:cs="Arial"/>
          <w:bCs/>
          <w:sz w:val="22"/>
          <w:szCs w:val="22"/>
          <w:lang w:val="fr-FR"/>
        </w:rPr>
        <w:t xml:space="preserve">Accrédite les </w:t>
      </w:r>
      <w:r>
        <w:rPr>
          <w:rFonts w:ascii="Arial" w:hAnsi="Arial" w:cs="Arial"/>
          <w:bCs/>
          <w:sz w:val="22"/>
          <w:szCs w:val="22"/>
          <w:lang w:val="fr-FR"/>
        </w:rPr>
        <w:t>trente-deux</w:t>
      </w:r>
      <w:r w:rsidRPr="00D161E8">
        <w:rPr>
          <w:rFonts w:ascii="Arial" w:hAnsi="Arial" w:cs="Arial"/>
          <w:bCs/>
          <w:sz w:val="22"/>
          <w:szCs w:val="22"/>
          <w:lang w:val="fr-FR"/>
        </w:rPr>
        <w:t xml:space="preserve"> </w:t>
      </w:r>
      <w:r w:rsidRPr="00725449">
        <w:rPr>
          <w:rFonts w:ascii="Arial" w:hAnsi="Arial" w:cs="Arial"/>
          <w:bCs/>
          <w:sz w:val="22"/>
          <w:szCs w:val="22"/>
          <w:lang w:val="fr-FR"/>
        </w:rPr>
        <w:t>organisatio</w:t>
      </w:r>
      <w:r>
        <w:rPr>
          <w:rFonts w:ascii="Arial" w:hAnsi="Arial" w:cs="Arial"/>
          <w:bCs/>
          <w:sz w:val="22"/>
          <w:szCs w:val="22"/>
          <w:lang w:val="fr-FR"/>
        </w:rPr>
        <w:t>ns non g</w:t>
      </w:r>
      <w:r w:rsidRPr="00725449">
        <w:rPr>
          <w:rFonts w:ascii="Arial" w:hAnsi="Arial" w:cs="Arial"/>
          <w:bCs/>
          <w:sz w:val="22"/>
          <w:szCs w:val="22"/>
          <w:lang w:val="fr-FR"/>
        </w:rPr>
        <w:t>ouvernemen</w:t>
      </w:r>
      <w:r>
        <w:rPr>
          <w:rFonts w:ascii="Arial" w:hAnsi="Arial" w:cs="Arial"/>
          <w:bCs/>
          <w:sz w:val="22"/>
          <w:szCs w:val="22"/>
          <w:lang w:val="fr-FR"/>
        </w:rPr>
        <w:t>tales</w:t>
      </w:r>
      <w:r w:rsidRPr="00D161E8">
        <w:rPr>
          <w:rFonts w:ascii="Arial" w:hAnsi="Arial" w:cs="Arial"/>
          <w:bCs/>
          <w:sz w:val="22"/>
          <w:szCs w:val="22"/>
          <w:lang w:val="fr-FR"/>
        </w:rPr>
        <w:t xml:space="preserve"> </w:t>
      </w:r>
      <w:r>
        <w:rPr>
          <w:rFonts w:ascii="Arial" w:hAnsi="Arial" w:cs="Arial"/>
          <w:bCs/>
          <w:sz w:val="22"/>
          <w:szCs w:val="22"/>
          <w:lang w:val="fr-FR"/>
        </w:rPr>
        <w:t xml:space="preserve">dont la liste figure </w:t>
      </w:r>
      <w:r w:rsidRPr="00D161E8">
        <w:rPr>
          <w:rFonts w:ascii="Arial" w:hAnsi="Arial" w:cs="Arial"/>
          <w:bCs/>
          <w:sz w:val="22"/>
          <w:szCs w:val="22"/>
          <w:lang w:val="fr-FR"/>
        </w:rPr>
        <w:t>à l</w:t>
      </w:r>
      <w:r w:rsidR="008E532B">
        <w:rPr>
          <w:rFonts w:ascii="Arial" w:hAnsi="Arial" w:cs="Arial"/>
          <w:bCs/>
          <w:sz w:val="22"/>
          <w:szCs w:val="22"/>
          <w:lang w:val="fr-FR"/>
        </w:rPr>
        <w:t>’</w:t>
      </w:r>
      <w:r w:rsidRPr="00D161E8">
        <w:rPr>
          <w:rFonts w:ascii="Arial" w:hAnsi="Arial" w:cs="Arial"/>
          <w:bCs/>
          <w:sz w:val="22"/>
          <w:szCs w:val="22"/>
          <w:lang w:val="fr-FR"/>
        </w:rPr>
        <w:t xml:space="preserve">annexe I de </w:t>
      </w:r>
      <w:r>
        <w:rPr>
          <w:rFonts w:ascii="Arial" w:hAnsi="Arial" w:cs="Arial"/>
          <w:bCs/>
          <w:sz w:val="22"/>
          <w:szCs w:val="22"/>
          <w:lang w:val="fr-FR"/>
        </w:rPr>
        <w:t xml:space="preserve">cette </w:t>
      </w:r>
      <w:r w:rsidRPr="00D161E8">
        <w:rPr>
          <w:rFonts w:ascii="Arial" w:hAnsi="Arial" w:cs="Arial"/>
          <w:bCs/>
          <w:sz w:val="22"/>
          <w:szCs w:val="22"/>
          <w:lang w:val="fr-FR"/>
        </w:rPr>
        <w:t>résolution</w:t>
      </w:r>
      <w:r>
        <w:rPr>
          <w:rFonts w:ascii="Arial" w:hAnsi="Arial" w:cs="Arial"/>
          <w:bCs/>
          <w:sz w:val="22"/>
          <w:szCs w:val="22"/>
          <w:lang w:val="fr-FR"/>
        </w:rPr>
        <w:t>, pour qu</w:t>
      </w:r>
      <w:r w:rsidR="008E532B">
        <w:rPr>
          <w:rFonts w:ascii="Arial" w:hAnsi="Arial" w:cs="Arial"/>
          <w:bCs/>
          <w:sz w:val="22"/>
          <w:szCs w:val="22"/>
          <w:lang w:val="fr-FR"/>
        </w:rPr>
        <w:t>’</w:t>
      </w:r>
      <w:r>
        <w:rPr>
          <w:rFonts w:ascii="Arial" w:hAnsi="Arial" w:cs="Arial"/>
          <w:bCs/>
          <w:sz w:val="22"/>
          <w:szCs w:val="22"/>
          <w:lang w:val="fr-FR"/>
        </w:rPr>
        <w:t xml:space="preserve">elles exercent des fonctions </w:t>
      </w:r>
      <w:r w:rsidRPr="00D161E8">
        <w:rPr>
          <w:rFonts w:ascii="Arial" w:hAnsi="Arial" w:cs="Arial"/>
          <w:bCs/>
          <w:sz w:val="22"/>
          <w:szCs w:val="22"/>
          <w:lang w:val="fr-FR"/>
        </w:rPr>
        <w:t>consultati</w:t>
      </w:r>
      <w:r>
        <w:rPr>
          <w:rFonts w:ascii="Arial" w:hAnsi="Arial" w:cs="Arial"/>
          <w:bCs/>
          <w:sz w:val="22"/>
          <w:szCs w:val="22"/>
          <w:lang w:val="fr-FR"/>
        </w:rPr>
        <w:t xml:space="preserve">ves </w:t>
      </w:r>
      <w:r w:rsidRPr="00D161E8">
        <w:rPr>
          <w:rFonts w:ascii="Arial" w:hAnsi="Arial" w:cs="Arial"/>
          <w:bCs/>
          <w:sz w:val="22"/>
          <w:szCs w:val="22"/>
          <w:lang w:val="fr-FR"/>
        </w:rPr>
        <w:t>auprès du Comité</w:t>
      </w:r>
      <w:r>
        <w:rPr>
          <w:rFonts w:ascii="Arial" w:hAnsi="Arial" w:cs="Arial"/>
          <w:bCs/>
          <w:sz w:val="22"/>
          <w:szCs w:val="22"/>
          <w:lang w:val="fr-FR"/>
        </w:rPr>
        <w:t> »</w:t>
      </w:r>
      <w:r w:rsidRPr="00D161E8">
        <w:rPr>
          <w:rFonts w:ascii="Arial" w:hAnsi="Arial" w:cs="Arial"/>
          <w:bCs/>
          <w:sz w:val="22"/>
          <w:szCs w:val="22"/>
          <w:lang w:val="fr-FR"/>
        </w:rPr>
        <w:t>.</w:t>
      </w:r>
    </w:p>
    <w:p w14:paraId="2DD3CEEA" w14:textId="7A53FF3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D161E8">
        <w:rPr>
          <w:rFonts w:ascii="Arial" w:hAnsi="Arial" w:cs="Arial"/>
          <w:bCs/>
          <w:sz w:val="22"/>
          <w:szCs w:val="22"/>
          <w:lang w:val="fr-FR"/>
        </w:rPr>
        <w:t>délégation</w:t>
      </w:r>
      <w:r>
        <w:rPr>
          <w:rFonts w:ascii="Arial" w:hAnsi="Arial" w:cs="Arial"/>
          <w:bCs/>
          <w:sz w:val="22"/>
          <w:szCs w:val="22"/>
          <w:lang w:val="fr-FR"/>
        </w:rPr>
        <w:t xml:space="preserve"> de la </w:t>
      </w:r>
      <w:r w:rsidRPr="00D161E8">
        <w:rPr>
          <w:rFonts w:ascii="Arial" w:hAnsi="Arial" w:cs="Arial"/>
          <w:b/>
          <w:sz w:val="22"/>
          <w:szCs w:val="22"/>
          <w:lang w:val="fr-FR"/>
        </w:rPr>
        <w:t>Palestine</w:t>
      </w:r>
      <w:r>
        <w:rPr>
          <w:rFonts w:ascii="Arial" w:hAnsi="Arial" w:cs="Arial"/>
          <w:bCs/>
          <w:sz w:val="22"/>
          <w:szCs w:val="22"/>
          <w:lang w:val="fr-FR"/>
        </w:rPr>
        <w:t xml:space="preserve"> a demandé que l</w:t>
      </w:r>
      <w:r w:rsidR="008E532B">
        <w:rPr>
          <w:rFonts w:ascii="Arial" w:hAnsi="Arial" w:cs="Arial"/>
          <w:bCs/>
          <w:sz w:val="22"/>
          <w:szCs w:val="22"/>
          <w:lang w:val="fr-FR"/>
        </w:rPr>
        <w:t>’</w:t>
      </w:r>
      <w:r w:rsidRPr="00D161E8">
        <w:rPr>
          <w:rFonts w:ascii="Arial" w:hAnsi="Arial" w:cs="Arial"/>
          <w:bCs/>
          <w:sz w:val="22"/>
          <w:szCs w:val="22"/>
          <w:lang w:val="fr-FR"/>
        </w:rPr>
        <w:t>amendement</w:t>
      </w:r>
      <w:r>
        <w:rPr>
          <w:rFonts w:ascii="Arial" w:hAnsi="Arial" w:cs="Arial"/>
          <w:bCs/>
          <w:sz w:val="22"/>
          <w:szCs w:val="22"/>
          <w:lang w:val="fr-FR"/>
        </w:rPr>
        <w:t xml:space="preserve"> qu</w:t>
      </w:r>
      <w:r w:rsidR="008E532B">
        <w:rPr>
          <w:rFonts w:ascii="Arial" w:hAnsi="Arial" w:cs="Arial"/>
          <w:bCs/>
          <w:sz w:val="22"/>
          <w:szCs w:val="22"/>
          <w:lang w:val="fr-FR"/>
        </w:rPr>
        <w:t>’</w:t>
      </w:r>
      <w:r>
        <w:rPr>
          <w:rFonts w:ascii="Arial" w:hAnsi="Arial" w:cs="Arial"/>
          <w:bCs/>
          <w:sz w:val="22"/>
          <w:szCs w:val="22"/>
          <w:lang w:val="fr-FR"/>
        </w:rPr>
        <w:t>elle soumettait soit examiné avant d</w:t>
      </w:r>
      <w:r w:rsidR="008E532B">
        <w:rPr>
          <w:rFonts w:ascii="Arial" w:hAnsi="Arial" w:cs="Arial"/>
          <w:bCs/>
          <w:sz w:val="22"/>
          <w:szCs w:val="22"/>
          <w:lang w:val="fr-FR"/>
        </w:rPr>
        <w:t>’</w:t>
      </w:r>
      <w:r>
        <w:rPr>
          <w:rFonts w:ascii="Arial" w:hAnsi="Arial" w:cs="Arial"/>
          <w:bCs/>
          <w:sz w:val="22"/>
          <w:szCs w:val="22"/>
          <w:lang w:val="fr-FR"/>
        </w:rPr>
        <w:t xml:space="preserve">adopter le </w:t>
      </w:r>
      <w:r w:rsidRPr="00D161E8">
        <w:rPr>
          <w:rFonts w:ascii="Arial" w:hAnsi="Arial" w:cs="Arial"/>
          <w:bCs/>
          <w:sz w:val="22"/>
          <w:szCs w:val="22"/>
          <w:lang w:val="fr-FR"/>
        </w:rPr>
        <w:t>paragraphe</w:t>
      </w:r>
      <w:r>
        <w:rPr>
          <w:rFonts w:ascii="Arial" w:hAnsi="Arial" w:cs="Arial"/>
          <w:bCs/>
          <w:sz w:val="22"/>
          <w:szCs w:val="22"/>
          <w:lang w:val="fr-FR"/>
        </w:rPr>
        <w:t xml:space="preserve"> 4 et a proposé de mettre le </w:t>
      </w:r>
      <w:r w:rsidRPr="00D161E8">
        <w:rPr>
          <w:rFonts w:ascii="Arial" w:hAnsi="Arial" w:cs="Arial"/>
          <w:bCs/>
          <w:sz w:val="22"/>
          <w:szCs w:val="22"/>
          <w:lang w:val="fr-FR"/>
        </w:rPr>
        <w:t>paragraphe</w:t>
      </w:r>
      <w:r>
        <w:rPr>
          <w:rFonts w:ascii="Arial" w:hAnsi="Arial" w:cs="Arial"/>
          <w:bCs/>
          <w:sz w:val="22"/>
          <w:szCs w:val="22"/>
          <w:lang w:val="fr-FR"/>
        </w:rPr>
        <w:t xml:space="preserve"> 4 entre parenthèses et de poursuivre.</w:t>
      </w:r>
    </w:p>
    <w:p w14:paraId="31B5AA5F" w14:textId="03723D2B" w:rsidR="00D9653F" w:rsidRPr="00D161E8"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D161E8">
        <w:rPr>
          <w:rFonts w:ascii="Arial" w:hAnsi="Arial" w:cs="Arial"/>
          <w:b/>
          <w:sz w:val="22"/>
          <w:szCs w:val="22"/>
          <w:lang w:val="fr-FR"/>
        </w:rPr>
        <w:t>Présidente</w:t>
      </w:r>
      <w:r>
        <w:rPr>
          <w:rFonts w:ascii="Arial" w:hAnsi="Arial" w:cs="Arial"/>
          <w:bCs/>
          <w:sz w:val="22"/>
          <w:szCs w:val="22"/>
          <w:lang w:val="fr-FR"/>
        </w:rPr>
        <w:t xml:space="preserve"> a accepté d</w:t>
      </w:r>
      <w:r w:rsidR="008E532B">
        <w:rPr>
          <w:rFonts w:ascii="Arial" w:hAnsi="Arial" w:cs="Arial"/>
          <w:bCs/>
          <w:sz w:val="22"/>
          <w:szCs w:val="22"/>
          <w:lang w:val="fr-FR"/>
        </w:rPr>
        <w:t>’</w:t>
      </w:r>
      <w:r>
        <w:rPr>
          <w:rFonts w:ascii="Arial" w:hAnsi="Arial" w:cs="Arial"/>
          <w:bCs/>
          <w:sz w:val="22"/>
          <w:szCs w:val="22"/>
          <w:lang w:val="fr-FR"/>
        </w:rPr>
        <w:t xml:space="preserve">y revenir après les autres </w:t>
      </w:r>
      <w:r w:rsidRPr="00D161E8">
        <w:rPr>
          <w:rFonts w:ascii="Arial" w:hAnsi="Arial" w:cs="Arial"/>
          <w:bCs/>
          <w:sz w:val="22"/>
          <w:szCs w:val="22"/>
          <w:lang w:val="fr-FR"/>
        </w:rPr>
        <w:t>paragraph</w:t>
      </w:r>
      <w:r>
        <w:rPr>
          <w:rFonts w:ascii="Arial" w:hAnsi="Arial" w:cs="Arial"/>
          <w:bCs/>
          <w:sz w:val="22"/>
          <w:szCs w:val="22"/>
          <w:lang w:val="fr-FR"/>
        </w:rPr>
        <w:t>es.</w:t>
      </w:r>
    </w:p>
    <w:p w14:paraId="2155BD4E" w14:textId="58465AD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2776B">
        <w:rPr>
          <w:rFonts w:ascii="Arial" w:hAnsi="Arial" w:cs="Arial"/>
          <w:bCs/>
          <w:sz w:val="22"/>
          <w:szCs w:val="22"/>
          <w:lang w:val="fr-FR"/>
        </w:rPr>
        <w:t xml:space="preserve">Le </w:t>
      </w:r>
      <w:r w:rsidRPr="0062776B">
        <w:rPr>
          <w:rFonts w:ascii="Arial" w:hAnsi="Arial" w:cs="Arial"/>
          <w:b/>
          <w:sz w:val="22"/>
          <w:szCs w:val="22"/>
          <w:lang w:val="fr-FR"/>
        </w:rPr>
        <w:t>Sous-Directeur général</w:t>
      </w:r>
      <w:r w:rsidRPr="0062776B">
        <w:rPr>
          <w:rFonts w:ascii="Arial" w:hAnsi="Arial" w:cs="Arial"/>
          <w:bCs/>
          <w:sz w:val="22"/>
          <w:szCs w:val="22"/>
          <w:lang w:val="fr-FR"/>
        </w:rPr>
        <w:t xml:space="preserve"> </w:t>
      </w:r>
      <w:r>
        <w:rPr>
          <w:rFonts w:ascii="Arial" w:hAnsi="Arial" w:cs="Arial"/>
          <w:bCs/>
          <w:sz w:val="22"/>
          <w:szCs w:val="22"/>
          <w:lang w:val="fr-FR"/>
        </w:rPr>
        <w:t xml:space="preserve">a </w:t>
      </w:r>
      <w:r w:rsidRPr="0062776B">
        <w:rPr>
          <w:rFonts w:ascii="Arial" w:hAnsi="Arial" w:cs="Arial"/>
          <w:bCs/>
          <w:sz w:val="22"/>
          <w:szCs w:val="22"/>
          <w:lang w:val="fr-FR"/>
        </w:rPr>
        <w:t>poursui</w:t>
      </w:r>
      <w:r>
        <w:rPr>
          <w:rFonts w:ascii="Arial" w:hAnsi="Arial" w:cs="Arial"/>
          <w:bCs/>
          <w:sz w:val="22"/>
          <w:szCs w:val="22"/>
          <w:lang w:val="fr-FR"/>
        </w:rPr>
        <w:t>vi</w:t>
      </w:r>
      <w:r w:rsidRPr="0062776B">
        <w:rPr>
          <w:rFonts w:ascii="Arial" w:hAnsi="Arial" w:cs="Arial"/>
          <w:bCs/>
          <w:sz w:val="22"/>
          <w:szCs w:val="22"/>
          <w:lang w:val="fr-FR"/>
        </w:rPr>
        <w:t xml:space="preserve"> avec le paragraphe 5, </w:t>
      </w:r>
      <w:r>
        <w:rPr>
          <w:rFonts w:ascii="Arial" w:hAnsi="Arial" w:cs="Arial"/>
          <w:bCs/>
          <w:sz w:val="22"/>
          <w:szCs w:val="22"/>
          <w:lang w:val="fr-FR"/>
        </w:rPr>
        <w:t>« </w:t>
      </w:r>
      <w:r w:rsidRPr="0062776B">
        <w:rPr>
          <w:rFonts w:ascii="Arial" w:hAnsi="Arial" w:cs="Arial"/>
          <w:bCs/>
          <w:sz w:val="22"/>
          <w:szCs w:val="22"/>
          <w:lang w:val="fr-FR"/>
        </w:rPr>
        <w:t>Prend note des informations supplémentaires fournies par les organisations</w:t>
      </w:r>
      <w:r>
        <w:rPr>
          <w:rFonts w:ascii="Arial" w:hAnsi="Arial" w:cs="Arial"/>
          <w:bCs/>
          <w:sz w:val="22"/>
          <w:szCs w:val="22"/>
          <w:lang w:val="fr-FR"/>
        </w:rPr>
        <w:t xml:space="preserve"> dont la liste figure dans</w:t>
      </w:r>
      <w:r w:rsidRPr="0062776B">
        <w:rPr>
          <w:rFonts w:ascii="Arial" w:hAnsi="Arial" w:cs="Arial"/>
          <w:bCs/>
          <w:sz w:val="22"/>
          <w:szCs w:val="22"/>
          <w:lang w:val="fr-FR"/>
        </w:rPr>
        <w:t xml:space="preserve"> l</w:t>
      </w:r>
      <w:r w:rsidR="008E532B">
        <w:rPr>
          <w:rFonts w:ascii="Arial" w:hAnsi="Arial" w:cs="Arial"/>
          <w:bCs/>
          <w:sz w:val="22"/>
          <w:szCs w:val="22"/>
          <w:lang w:val="fr-FR"/>
        </w:rPr>
        <w:t>’</w:t>
      </w:r>
      <w:r w:rsidRPr="0062776B">
        <w:rPr>
          <w:rFonts w:ascii="Arial" w:hAnsi="Arial" w:cs="Arial"/>
          <w:bCs/>
          <w:sz w:val="22"/>
          <w:szCs w:val="22"/>
          <w:lang w:val="fr-FR"/>
        </w:rPr>
        <w:t xml:space="preserve">annexe II de </w:t>
      </w:r>
      <w:r>
        <w:rPr>
          <w:rFonts w:ascii="Arial" w:hAnsi="Arial" w:cs="Arial"/>
          <w:bCs/>
          <w:sz w:val="22"/>
          <w:szCs w:val="22"/>
          <w:lang w:val="fr-FR"/>
        </w:rPr>
        <w:t xml:space="preserve">cette </w:t>
      </w:r>
      <w:r w:rsidRPr="0062776B">
        <w:rPr>
          <w:rFonts w:ascii="Arial" w:hAnsi="Arial" w:cs="Arial"/>
          <w:bCs/>
          <w:sz w:val="22"/>
          <w:szCs w:val="22"/>
          <w:lang w:val="fr-FR"/>
        </w:rPr>
        <w:t>résolution</w:t>
      </w:r>
      <w:r>
        <w:rPr>
          <w:rFonts w:ascii="Arial" w:hAnsi="Arial" w:cs="Arial"/>
          <w:bCs/>
          <w:sz w:val="22"/>
          <w:szCs w:val="22"/>
          <w:lang w:val="fr-FR"/>
        </w:rPr>
        <w:t>,</w:t>
      </w:r>
      <w:r w:rsidRPr="0062776B">
        <w:rPr>
          <w:rFonts w:ascii="Arial" w:hAnsi="Arial" w:cs="Arial"/>
          <w:bCs/>
          <w:sz w:val="22"/>
          <w:szCs w:val="22"/>
          <w:lang w:val="fr-FR"/>
        </w:rPr>
        <w:t xml:space="preserve"> ainsi que par [l</w:t>
      </w:r>
      <w:r w:rsidR="008E532B">
        <w:rPr>
          <w:rFonts w:ascii="Arial" w:hAnsi="Arial" w:cs="Arial"/>
          <w:bCs/>
          <w:sz w:val="22"/>
          <w:szCs w:val="22"/>
          <w:lang w:val="fr-FR"/>
        </w:rPr>
        <w:t>’</w:t>
      </w:r>
      <w:r w:rsidRPr="0062776B">
        <w:rPr>
          <w:rFonts w:ascii="Arial" w:hAnsi="Arial" w:cs="Arial"/>
          <w:bCs/>
          <w:sz w:val="22"/>
          <w:szCs w:val="22"/>
          <w:lang w:val="fr-FR"/>
        </w:rPr>
        <w:t>un des États parties] [les États parties] concernés</w:t>
      </w:r>
      <w:r>
        <w:rPr>
          <w:rFonts w:ascii="Arial" w:hAnsi="Arial" w:cs="Arial"/>
          <w:bCs/>
          <w:sz w:val="22"/>
          <w:szCs w:val="22"/>
          <w:lang w:val="fr-FR"/>
        </w:rPr>
        <w:t> »</w:t>
      </w:r>
      <w:r w:rsidRPr="0062776B">
        <w:rPr>
          <w:rFonts w:ascii="Arial" w:hAnsi="Arial" w:cs="Arial"/>
          <w:bCs/>
          <w:sz w:val="22"/>
          <w:szCs w:val="22"/>
          <w:lang w:val="fr-FR"/>
        </w:rPr>
        <w:t xml:space="preserve">. Deux options étaient </w:t>
      </w:r>
      <w:r>
        <w:rPr>
          <w:rFonts w:ascii="Arial" w:hAnsi="Arial" w:cs="Arial"/>
          <w:bCs/>
          <w:sz w:val="22"/>
          <w:szCs w:val="22"/>
          <w:lang w:val="fr-FR"/>
        </w:rPr>
        <w:t xml:space="preserve">ensuite </w:t>
      </w:r>
      <w:r w:rsidRPr="0062776B">
        <w:rPr>
          <w:rFonts w:ascii="Arial" w:hAnsi="Arial" w:cs="Arial"/>
          <w:bCs/>
          <w:sz w:val="22"/>
          <w:szCs w:val="22"/>
          <w:lang w:val="fr-FR"/>
        </w:rPr>
        <w:t xml:space="preserve">proposées pour ce paragraphe : </w:t>
      </w:r>
      <w:r>
        <w:rPr>
          <w:rFonts w:ascii="Arial" w:hAnsi="Arial" w:cs="Arial"/>
          <w:bCs/>
          <w:sz w:val="22"/>
          <w:szCs w:val="22"/>
          <w:lang w:val="fr-FR"/>
        </w:rPr>
        <w:t>o</w:t>
      </w:r>
      <w:r w:rsidRPr="0062776B">
        <w:rPr>
          <w:rFonts w:ascii="Arial" w:hAnsi="Arial" w:cs="Arial"/>
          <w:bCs/>
          <w:sz w:val="22"/>
          <w:szCs w:val="22"/>
          <w:lang w:val="fr-FR"/>
        </w:rPr>
        <w:t>ption A (les deux ONG satisfont aux critères et sont accréditées)</w:t>
      </w:r>
      <w:r>
        <w:rPr>
          <w:rFonts w:ascii="Arial" w:hAnsi="Arial" w:cs="Arial"/>
          <w:bCs/>
          <w:sz w:val="22"/>
          <w:szCs w:val="22"/>
          <w:lang w:val="fr-FR"/>
        </w:rPr>
        <w:t xml:space="preserve"> ; </w:t>
      </w:r>
      <w:r w:rsidRPr="0062776B">
        <w:rPr>
          <w:rFonts w:ascii="Arial" w:hAnsi="Arial" w:cs="Arial"/>
          <w:bCs/>
          <w:sz w:val="22"/>
          <w:szCs w:val="22"/>
          <w:lang w:val="fr-FR"/>
        </w:rPr>
        <w:t xml:space="preserve">et </w:t>
      </w:r>
      <w:r>
        <w:rPr>
          <w:rFonts w:ascii="Arial" w:hAnsi="Arial" w:cs="Arial"/>
          <w:bCs/>
          <w:sz w:val="22"/>
          <w:szCs w:val="22"/>
          <w:lang w:val="fr-FR"/>
        </w:rPr>
        <w:t>o</w:t>
      </w:r>
      <w:r w:rsidRPr="0062776B">
        <w:rPr>
          <w:rFonts w:ascii="Arial" w:hAnsi="Arial" w:cs="Arial"/>
          <w:bCs/>
          <w:sz w:val="22"/>
          <w:szCs w:val="22"/>
          <w:lang w:val="fr-FR"/>
        </w:rPr>
        <w:t xml:space="preserve">ption B (IPACIM et Direct </w:t>
      </w:r>
      <w:proofErr w:type="spellStart"/>
      <w:r w:rsidRPr="0062776B">
        <w:rPr>
          <w:rFonts w:ascii="Arial" w:hAnsi="Arial" w:cs="Arial"/>
          <w:bCs/>
          <w:sz w:val="22"/>
          <w:szCs w:val="22"/>
          <w:lang w:val="fr-FR"/>
        </w:rPr>
        <w:t>Gradual</w:t>
      </w:r>
      <w:proofErr w:type="spellEnd"/>
      <w:r w:rsidRPr="0062776B">
        <w:rPr>
          <w:rFonts w:ascii="Arial" w:hAnsi="Arial" w:cs="Arial"/>
          <w:bCs/>
          <w:sz w:val="22"/>
          <w:szCs w:val="22"/>
          <w:lang w:val="fr-FR"/>
        </w:rPr>
        <w:t xml:space="preserve"> </w:t>
      </w:r>
      <w:proofErr w:type="spellStart"/>
      <w:r w:rsidRPr="0062776B">
        <w:rPr>
          <w:rFonts w:ascii="Arial" w:hAnsi="Arial" w:cs="Arial"/>
          <w:bCs/>
          <w:sz w:val="22"/>
          <w:szCs w:val="22"/>
          <w:lang w:val="fr-FR"/>
        </w:rPr>
        <w:t>Development</w:t>
      </w:r>
      <w:proofErr w:type="spellEnd"/>
      <w:r w:rsidRPr="0062776B">
        <w:rPr>
          <w:rFonts w:ascii="Arial" w:hAnsi="Arial" w:cs="Arial"/>
          <w:bCs/>
          <w:sz w:val="22"/>
          <w:szCs w:val="22"/>
          <w:lang w:val="fr-FR"/>
        </w:rPr>
        <w:t>, Civil Association ne satisfont pas aux critères et ne sont pas accréditées).</w:t>
      </w:r>
    </w:p>
    <w:p w14:paraId="714C150D" w14:textId="6769871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2776B">
        <w:rPr>
          <w:rFonts w:ascii="Arial" w:hAnsi="Arial" w:cs="Arial"/>
          <w:bCs/>
          <w:sz w:val="22"/>
          <w:szCs w:val="22"/>
          <w:lang w:val="fr-FR"/>
        </w:rPr>
        <w:t xml:space="preserve">La délégation du </w:t>
      </w:r>
      <w:r w:rsidRPr="0062776B">
        <w:rPr>
          <w:rFonts w:ascii="Arial" w:hAnsi="Arial" w:cs="Arial"/>
          <w:b/>
          <w:sz w:val="22"/>
          <w:szCs w:val="22"/>
          <w:lang w:val="fr-FR"/>
        </w:rPr>
        <w:t>Mexique</w:t>
      </w:r>
      <w:r w:rsidRPr="0062776B">
        <w:rPr>
          <w:rFonts w:ascii="Arial" w:hAnsi="Arial" w:cs="Arial"/>
          <w:bCs/>
          <w:sz w:val="22"/>
          <w:szCs w:val="22"/>
          <w:lang w:val="fr-FR"/>
        </w:rPr>
        <w:t xml:space="preserve"> souhait</w:t>
      </w:r>
      <w:r>
        <w:rPr>
          <w:rFonts w:ascii="Arial" w:hAnsi="Arial" w:cs="Arial"/>
          <w:bCs/>
          <w:sz w:val="22"/>
          <w:szCs w:val="22"/>
          <w:lang w:val="fr-FR"/>
        </w:rPr>
        <w:t>ait</w:t>
      </w:r>
      <w:r w:rsidRPr="0062776B">
        <w:rPr>
          <w:rFonts w:ascii="Arial" w:hAnsi="Arial" w:cs="Arial"/>
          <w:bCs/>
          <w:sz w:val="22"/>
          <w:szCs w:val="22"/>
          <w:lang w:val="fr-FR"/>
        </w:rPr>
        <w:t xml:space="preserve"> ajouter une option C au paragraphe 5, qui se</w:t>
      </w:r>
      <w:r>
        <w:rPr>
          <w:rFonts w:ascii="Arial" w:hAnsi="Arial" w:cs="Arial"/>
          <w:bCs/>
          <w:sz w:val="22"/>
          <w:szCs w:val="22"/>
          <w:lang w:val="fr-FR"/>
        </w:rPr>
        <w:t>rait ainsi rédigée :</w:t>
      </w:r>
      <w:r w:rsidRPr="0062776B">
        <w:rPr>
          <w:rFonts w:ascii="Arial" w:hAnsi="Arial" w:cs="Arial"/>
          <w:bCs/>
          <w:sz w:val="22"/>
          <w:szCs w:val="22"/>
          <w:lang w:val="fr-FR"/>
        </w:rPr>
        <w:t xml:space="preserve"> </w:t>
      </w:r>
      <w:r>
        <w:rPr>
          <w:rFonts w:ascii="Arial" w:hAnsi="Arial" w:cs="Arial"/>
          <w:bCs/>
          <w:sz w:val="22"/>
          <w:szCs w:val="22"/>
          <w:lang w:val="fr-FR"/>
        </w:rPr>
        <w:t xml:space="preserve">« décide </w:t>
      </w:r>
      <w:r w:rsidRPr="0062776B">
        <w:rPr>
          <w:rFonts w:ascii="Arial" w:hAnsi="Arial" w:cs="Arial"/>
          <w:bCs/>
          <w:sz w:val="22"/>
          <w:szCs w:val="22"/>
          <w:lang w:val="fr-FR"/>
        </w:rPr>
        <w:t>d</w:t>
      </w:r>
      <w:r w:rsidR="008E532B">
        <w:rPr>
          <w:rFonts w:ascii="Arial" w:hAnsi="Arial" w:cs="Arial"/>
          <w:bCs/>
          <w:sz w:val="22"/>
          <w:szCs w:val="22"/>
          <w:lang w:val="fr-FR"/>
        </w:rPr>
        <w:t>’</w:t>
      </w:r>
      <w:r w:rsidRPr="0062776B">
        <w:rPr>
          <w:rFonts w:ascii="Arial" w:hAnsi="Arial" w:cs="Arial"/>
          <w:bCs/>
          <w:sz w:val="22"/>
          <w:szCs w:val="22"/>
          <w:lang w:val="fr-FR"/>
        </w:rPr>
        <w:t>accréditer</w:t>
      </w:r>
      <w:r>
        <w:rPr>
          <w:rFonts w:ascii="Arial" w:hAnsi="Arial" w:cs="Arial"/>
          <w:bCs/>
          <w:sz w:val="22"/>
          <w:szCs w:val="22"/>
          <w:lang w:val="fr-FR"/>
        </w:rPr>
        <w:t xml:space="preserve"> “ </w:t>
      </w:r>
      <w:r w:rsidRPr="0062776B">
        <w:rPr>
          <w:rFonts w:ascii="Arial" w:hAnsi="Arial" w:cs="Arial"/>
          <w:bCs/>
          <w:sz w:val="22"/>
          <w:szCs w:val="22"/>
          <w:lang w:val="fr-FR"/>
        </w:rPr>
        <w:t>Institut</w:t>
      </w:r>
      <w:r>
        <w:rPr>
          <w:rFonts w:ascii="Arial" w:hAnsi="Arial" w:cs="Arial"/>
          <w:bCs/>
          <w:sz w:val="22"/>
          <w:szCs w:val="22"/>
          <w:lang w:val="fr-FR"/>
        </w:rPr>
        <w:t xml:space="preserve">e for Intangible Cultural </w:t>
      </w:r>
      <w:proofErr w:type="spellStart"/>
      <w:r>
        <w:rPr>
          <w:rFonts w:ascii="Arial" w:hAnsi="Arial" w:cs="Arial"/>
          <w:bCs/>
          <w:sz w:val="22"/>
          <w:szCs w:val="22"/>
          <w:lang w:val="fr-FR"/>
        </w:rPr>
        <w:t>Heritage</w:t>
      </w:r>
      <w:proofErr w:type="spellEnd"/>
      <w:r>
        <w:rPr>
          <w:rFonts w:ascii="Arial" w:hAnsi="Arial" w:cs="Arial"/>
          <w:bCs/>
          <w:sz w:val="22"/>
          <w:szCs w:val="22"/>
          <w:lang w:val="fr-FR"/>
        </w:rPr>
        <w:t xml:space="preserve"> (</w:t>
      </w:r>
      <w:r w:rsidRPr="0062776B">
        <w:rPr>
          <w:rFonts w:ascii="Arial" w:hAnsi="Arial" w:cs="Arial"/>
          <w:bCs/>
          <w:sz w:val="22"/>
          <w:szCs w:val="22"/>
          <w:lang w:val="fr-FR"/>
        </w:rPr>
        <w:t>IPACIM)</w:t>
      </w:r>
      <w:r>
        <w:rPr>
          <w:rFonts w:ascii="Arial" w:hAnsi="Arial" w:cs="Arial"/>
          <w:bCs/>
          <w:sz w:val="22"/>
          <w:szCs w:val="22"/>
          <w:lang w:val="fr-FR"/>
        </w:rPr>
        <w:t> ”</w:t>
      </w:r>
      <w:r w:rsidRPr="0062776B">
        <w:rPr>
          <w:rFonts w:ascii="Arial" w:hAnsi="Arial" w:cs="Arial"/>
          <w:bCs/>
          <w:sz w:val="22"/>
          <w:szCs w:val="22"/>
          <w:lang w:val="fr-FR"/>
        </w:rPr>
        <w:t xml:space="preserve"> </w:t>
      </w:r>
      <w:r>
        <w:rPr>
          <w:rFonts w:ascii="Arial" w:hAnsi="Arial" w:cs="Arial"/>
          <w:bCs/>
          <w:sz w:val="22"/>
          <w:szCs w:val="22"/>
          <w:lang w:val="fr-FR"/>
        </w:rPr>
        <w:t xml:space="preserve">pour exercer des fonctions </w:t>
      </w:r>
      <w:r w:rsidRPr="0062776B">
        <w:rPr>
          <w:rFonts w:ascii="Arial" w:hAnsi="Arial" w:cs="Arial"/>
          <w:bCs/>
          <w:sz w:val="22"/>
          <w:szCs w:val="22"/>
          <w:lang w:val="fr-FR"/>
        </w:rPr>
        <w:t>consultati</w:t>
      </w:r>
      <w:r>
        <w:rPr>
          <w:rFonts w:ascii="Arial" w:hAnsi="Arial" w:cs="Arial"/>
          <w:bCs/>
          <w:sz w:val="22"/>
          <w:szCs w:val="22"/>
          <w:lang w:val="fr-FR"/>
        </w:rPr>
        <w:t xml:space="preserve">ves auprès du </w:t>
      </w:r>
      <w:r w:rsidRPr="0062776B">
        <w:rPr>
          <w:rFonts w:ascii="Arial" w:hAnsi="Arial" w:cs="Arial"/>
          <w:bCs/>
          <w:color w:val="000000" w:themeColor="text1"/>
          <w:sz w:val="22"/>
          <w:szCs w:val="22"/>
          <w:lang w:val="fr-FR"/>
        </w:rPr>
        <w:t>Comité</w:t>
      </w:r>
      <w:r>
        <w:rPr>
          <w:rFonts w:ascii="Arial" w:hAnsi="Arial" w:cs="Arial"/>
          <w:bCs/>
          <w:color w:val="000000" w:themeColor="text1"/>
          <w:sz w:val="22"/>
          <w:szCs w:val="22"/>
          <w:lang w:val="fr-FR"/>
        </w:rPr>
        <w:t>, et</w:t>
      </w:r>
      <w:r>
        <w:rPr>
          <w:rFonts w:ascii="Arial" w:hAnsi="Arial" w:cs="Arial"/>
          <w:bCs/>
          <w:sz w:val="22"/>
          <w:szCs w:val="22"/>
          <w:lang w:val="fr-FR"/>
        </w:rPr>
        <w:t> »</w:t>
      </w:r>
      <w:r w:rsidRPr="0062776B">
        <w:rPr>
          <w:rFonts w:ascii="Arial" w:hAnsi="Arial" w:cs="Arial"/>
          <w:bCs/>
          <w:sz w:val="22"/>
          <w:szCs w:val="22"/>
          <w:lang w:val="fr-FR"/>
        </w:rPr>
        <w:t>. La deuxième partie</w:t>
      </w:r>
      <w:r>
        <w:rPr>
          <w:rFonts w:ascii="Arial" w:hAnsi="Arial" w:cs="Arial"/>
          <w:bCs/>
          <w:sz w:val="22"/>
          <w:szCs w:val="22"/>
          <w:lang w:val="fr-FR"/>
        </w:rPr>
        <w:t xml:space="preserve"> serait ainsi rédigée : « d</w:t>
      </w:r>
      <w:r w:rsidR="008E532B">
        <w:rPr>
          <w:rFonts w:ascii="Arial" w:hAnsi="Arial" w:cs="Arial"/>
          <w:bCs/>
          <w:sz w:val="22"/>
          <w:szCs w:val="22"/>
          <w:lang w:val="fr-FR"/>
        </w:rPr>
        <w:t>’</w:t>
      </w:r>
      <w:r w:rsidRPr="0062776B">
        <w:rPr>
          <w:rFonts w:ascii="Arial" w:hAnsi="Arial" w:cs="Arial"/>
          <w:bCs/>
          <w:sz w:val="22"/>
          <w:szCs w:val="22"/>
          <w:lang w:val="fr-FR"/>
        </w:rPr>
        <w:t>invite</w:t>
      </w:r>
      <w:r>
        <w:rPr>
          <w:rFonts w:ascii="Arial" w:hAnsi="Arial" w:cs="Arial"/>
          <w:bCs/>
          <w:sz w:val="22"/>
          <w:szCs w:val="22"/>
          <w:lang w:val="fr-FR"/>
        </w:rPr>
        <w:t>r</w:t>
      </w:r>
      <w:r w:rsidRPr="0062776B">
        <w:rPr>
          <w:rFonts w:ascii="Arial" w:hAnsi="Arial" w:cs="Arial"/>
          <w:bCs/>
          <w:sz w:val="22"/>
          <w:szCs w:val="22"/>
          <w:lang w:val="fr-FR"/>
        </w:rPr>
        <w:t xml:space="preserve"> </w:t>
      </w:r>
      <w:r>
        <w:rPr>
          <w:rFonts w:ascii="Arial" w:hAnsi="Arial" w:cs="Arial"/>
          <w:bCs/>
          <w:sz w:val="22"/>
          <w:szCs w:val="22"/>
          <w:lang w:val="fr-FR"/>
        </w:rPr>
        <w:t>“ </w:t>
      </w:r>
      <w:r w:rsidRPr="0062776B">
        <w:rPr>
          <w:rFonts w:ascii="Arial" w:hAnsi="Arial" w:cs="Arial"/>
          <w:bCs/>
          <w:sz w:val="22"/>
          <w:szCs w:val="22"/>
          <w:lang w:val="fr-FR"/>
        </w:rPr>
        <w:t xml:space="preserve">Direct </w:t>
      </w:r>
      <w:proofErr w:type="spellStart"/>
      <w:r w:rsidRPr="0062776B">
        <w:rPr>
          <w:rFonts w:ascii="Arial" w:hAnsi="Arial" w:cs="Arial"/>
          <w:bCs/>
          <w:sz w:val="22"/>
          <w:szCs w:val="22"/>
          <w:lang w:val="fr-FR"/>
        </w:rPr>
        <w:t>Gradual</w:t>
      </w:r>
      <w:proofErr w:type="spellEnd"/>
      <w:r w:rsidRPr="0062776B">
        <w:rPr>
          <w:rFonts w:ascii="Arial" w:hAnsi="Arial" w:cs="Arial"/>
          <w:bCs/>
          <w:sz w:val="22"/>
          <w:szCs w:val="22"/>
          <w:lang w:val="fr-FR"/>
        </w:rPr>
        <w:t xml:space="preserve"> </w:t>
      </w:r>
      <w:proofErr w:type="spellStart"/>
      <w:r w:rsidRPr="0062776B">
        <w:rPr>
          <w:rFonts w:ascii="Arial" w:hAnsi="Arial" w:cs="Arial"/>
          <w:bCs/>
          <w:sz w:val="22"/>
          <w:szCs w:val="22"/>
          <w:lang w:val="fr-FR"/>
        </w:rPr>
        <w:t>Development</w:t>
      </w:r>
      <w:proofErr w:type="spellEnd"/>
      <w:r>
        <w:rPr>
          <w:rFonts w:ascii="Arial" w:hAnsi="Arial" w:cs="Arial"/>
          <w:bCs/>
          <w:sz w:val="22"/>
          <w:szCs w:val="22"/>
          <w:lang w:val="fr-FR"/>
        </w:rPr>
        <w:t>, Civil Association ”</w:t>
      </w:r>
      <w:r w:rsidRPr="0062776B">
        <w:rPr>
          <w:rFonts w:ascii="Arial" w:hAnsi="Arial" w:cs="Arial"/>
          <w:bCs/>
          <w:sz w:val="22"/>
          <w:szCs w:val="22"/>
          <w:lang w:val="fr-FR"/>
        </w:rPr>
        <w:t xml:space="preserve"> à soumettre à nouveau, si elle le souhaite, une demande d</w:t>
      </w:r>
      <w:r w:rsidR="008E532B">
        <w:rPr>
          <w:rFonts w:ascii="Arial" w:hAnsi="Arial" w:cs="Arial"/>
          <w:bCs/>
          <w:sz w:val="22"/>
          <w:szCs w:val="22"/>
          <w:lang w:val="fr-FR"/>
        </w:rPr>
        <w:t>’</w:t>
      </w:r>
      <w:r w:rsidRPr="0062776B">
        <w:rPr>
          <w:rFonts w:ascii="Arial" w:hAnsi="Arial" w:cs="Arial"/>
          <w:bCs/>
          <w:sz w:val="22"/>
          <w:szCs w:val="22"/>
          <w:lang w:val="fr-FR"/>
        </w:rPr>
        <w:t>accréditation lors d</w:t>
      </w:r>
      <w:r w:rsidR="008E532B">
        <w:rPr>
          <w:rFonts w:ascii="Arial" w:hAnsi="Arial" w:cs="Arial"/>
          <w:bCs/>
          <w:sz w:val="22"/>
          <w:szCs w:val="22"/>
          <w:lang w:val="fr-FR"/>
        </w:rPr>
        <w:t>’</w:t>
      </w:r>
      <w:r w:rsidRPr="0062776B">
        <w:rPr>
          <w:rFonts w:ascii="Arial" w:hAnsi="Arial" w:cs="Arial"/>
          <w:bCs/>
          <w:sz w:val="22"/>
          <w:szCs w:val="22"/>
          <w:lang w:val="fr-FR"/>
        </w:rPr>
        <w:t>un prochain cycle</w:t>
      </w:r>
      <w:r>
        <w:rPr>
          <w:rFonts w:ascii="Arial" w:hAnsi="Arial" w:cs="Arial"/>
          <w:bCs/>
          <w:sz w:val="22"/>
          <w:szCs w:val="22"/>
          <w:lang w:val="fr-FR"/>
        </w:rPr>
        <w:t> »</w:t>
      </w:r>
      <w:r w:rsidRPr="0062776B">
        <w:rPr>
          <w:rFonts w:ascii="Arial" w:hAnsi="Arial" w:cs="Arial"/>
          <w:bCs/>
          <w:sz w:val="22"/>
          <w:szCs w:val="22"/>
          <w:lang w:val="fr-FR"/>
        </w:rPr>
        <w:t xml:space="preserve">. La délégation a expliqué les raisons de son amendement. Il y avait des inexactitudes dans les formulaires présentés par Direct </w:t>
      </w:r>
      <w:proofErr w:type="spellStart"/>
      <w:r w:rsidRPr="0062776B">
        <w:rPr>
          <w:rFonts w:ascii="Arial" w:hAnsi="Arial" w:cs="Arial"/>
          <w:bCs/>
          <w:sz w:val="22"/>
          <w:szCs w:val="22"/>
          <w:lang w:val="fr-FR"/>
        </w:rPr>
        <w:t>Gradual</w:t>
      </w:r>
      <w:proofErr w:type="spellEnd"/>
      <w:r w:rsidRPr="0062776B">
        <w:rPr>
          <w:rFonts w:ascii="Arial" w:hAnsi="Arial" w:cs="Arial"/>
          <w:bCs/>
          <w:sz w:val="22"/>
          <w:szCs w:val="22"/>
          <w:lang w:val="fr-FR"/>
        </w:rPr>
        <w:t xml:space="preserve"> </w:t>
      </w:r>
      <w:proofErr w:type="spellStart"/>
      <w:r w:rsidRPr="0062776B">
        <w:rPr>
          <w:rFonts w:ascii="Arial" w:hAnsi="Arial" w:cs="Arial"/>
          <w:bCs/>
          <w:sz w:val="22"/>
          <w:szCs w:val="22"/>
          <w:lang w:val="fr-FR"/>
        </w:rPr>
        <w:t>Development</w:t>
      </w:r>
      <w:proofErr w:type="spellEnd"/>
      <w:r w:rsidRPr="0062776B">
        <w:rPr>
          <w:rFonts w:ascii="Arial" w:hAnsi="Arial" w:cs="Arial"/>
          <w:bCs/>
          <w:sz w:val="22"/>
          <w:szCs w:val="22"/>
          <w:lang w:val="fr-FR"/>
        </w:rPr>
        <w:t>, Civil Association, comme la lettre de mai 2022 affirmant qu</w:t>
      </w:r>
      <w:r w:rsidR="008E532B">
        <w:rPr>
          <w:rFonts w:ascii="Arial" w:hAnsi="Arial" w:cs="Arial"/>
          <w:bCs/>
          <w:sz w:val="22"/>
          <w:szCs w:val="22"/>
          <w:lang w:val="fr-FR"/>
        </w:rPr>
        <w:t>’</w:t>
      </w:r>
      <w:r w:rsidRPr="0062776B">
        <w:rPr>
          <w:rFonts w:ascii="Arial" w:hAnsi="Arial" w:cs="Arial"/>
          <w:bCs/>
          <w:sz w:val="22"/>
          <w:szCs w:val="22"/>
          <w:lang w:val="fr-FR"/>
        </w:rPr>
        <w:t>elle avait participé à l</w:t>
      </w:r>
      <w:r w:rsidR="008E532B">
        <w:rPr>
          <w:rFonts w:ascii="Arial" w:hAnsi="Arial" w:cs="Arial"/>
          <w:bCs/>
          <w:sz w:val="22"/>
          <w:szCs w:val="22"/>
          <w:lang w:val="fr-FR"/>
        </w:rPr>
        <w:t>’</w:t>
      </w:r>
      <w:r w:rsidRPr="0062776B">
        <w:rPr>
          <w:rFonts w:ascii="Arial" w:hAnsi="Arial" w:cs="Arial"/>
          <w:bCs/>
          <w:sz w:val="22"/>
          <w:szCs w:val="22"/>
          <w:lang w:val="fr-FR"/>
        </w:rPr>
        <w:t xml:space="preserve">évaluation des candidatures aux </w:t>
      </w:r>
      <w:r>
        <w:rPr>
          <w:rFonts w:ascii="Arial" w:hAnsi="Arial" w:cs="Arial"/>
          <w:bCs/>
          <w:sz w:val="22"/>
          <w:szCs w:val="22"/>
          <w:lang w:val="fr-FR"/>
        </w:rPr>
        <w:t>l</w:t>
      </w:r>
      <w:r w:rsidRPr="0062776B">
        <w:rPr>
          <w:rFonts w:ascii="Arial" w:hAnsi="Arial" w:cs="Arial"/>
          <w:bCs/>
          <w:sz w:val="22"/>
          <w:szCs w:val="22"/>
          <w:lang w:val="fr-FR"/>
        </w:rPr>
        <w:t xml:space="preserve">istes de la Convention. </w:t>
      </w:r>
      <w:r>
        <w:rPr>
          <w:rFonts w:ascii="Arial" w:hAnsi="Arial" w:cs="Arial"/>
          <w:bCs/>
          <w:sz w:val="22"/>
          <w:szCs w:val="22"/>
          <w:lang w:val="fr-FR"/>
        </w:rPr>
        <w:t>En effet</w:t>
      </w:r>
      <w:r w:rsidRPr="0062776B">
        <w:rPr>
          <w:rFonts w:ascii="Arial" w:hAnsi="Arial" w:cs="Arial"/>
          <w:bCs/>
          <w:sz w:val="22"/>
          <w:szCs w:val="22"/>
          <w:lang w:val="fr-FR"/>
        </w:rPr>
        <w:t>, conformément aux Directives opérationnelles, l</w:t>
      </w:r>
      <w:r w:rsidR="008E532B">
        <w:rPr>
          <w:rFonts w:ascii="Arial" w:hAnsi="Arial" w:cs="Arial"/>
          <w:bCs/>
          <w:sz w:val="22"/>
          <w:szCs w:val="22"/>
          <w:lang w:val="fr-FR"/>
        </w:rPr>
        <w:t>’</w:t>
      </w:r>
      <w:r w:rsidRPr="0062776B">
        <w:rPr>
          <w:rFonts w:ascii="Arial" w:hAnsi="Arial" w:cs="Arial"/>
          <w:bCs/>
          <w:sz w:val="22"/>
          <w:szCs w:val="22"/>
          <w:lang w:val="fr-FR"/>
        </w:rPr>
        <w:t xml:space="preserve">évaluation des candidatures aux </w:t>
      </w:r>
      <w:r>
        <w:rPr>
          <w:rFonts w:ascii="Arial" w:hAnsi="Arial" w:cs="Arial"/>
          <w:bCs/>
          <w:sz w:val="22"/>
          <w:szCs w:val="22"/>
          <w:lang w:val="fr-FR"/>
        </w:rPr>
        <w:t>l</w:t>
      </w:r>
      <w:r w:rsidRPr="0062776B">
        <w:rPr>
          <w:rFonts w:ascii="Arial" w:hAnsi="Arial" w:cs="Arial"/>
          <w:bCs/>
          <w:sz w:val="22"/>
          <w:szCs w:val="22"/>
          <w:lang w:val="fr-FR"/>
        </w:rPr>
        <w:t xml:space="preserve">istes et au Registre des bonnes pratiques de sauvegarde </w:t>
      </w:r>
      <w:r>
        <w:rPr>
          <w:rFonts w:ascii="Arial" w:hAnsi="Arial" w:cs="Arial"/>
          <w:bCs/>
          <w:sz w:val="22"/>
          <w:szCs w:val="22"/>
          <w:lang w:val="fr-FR"/>
        </w:rPr>
        <w:t>était réalisée</w:t>
      </w:r>
      <w:r w:rsidRPr="0062776B">
        <w:rPr>
          <w:rFonts w:ascii="Arial" w:hAnsi="Arial" w:cs="Arial"/>
          <w:bCs/>
          <w:sz w:val="22"/>
          <w:szCs w:val="22"/>
          <w:lang w:val="fr-FR"/>
        </w:rPr>
        <w:t xml:space="preserve"> par l</w:t>
      </w:r>
      <w:r w:rsidR="008E532B">
        <w:rPr>
          <w:rFonts w:ascii="Arial" w:hAnsi="Arial" w:cs="Arial"/>
          <w:bCs/>
          <w:sz w:val="22"/>
          <w:szCs w:val="22"/>
          <w:lang w:val="fr-FR"/>
        </w:rPr>
        <w:t>’</w:t>
      </w:r>
      <w:r w:rsidRPr="0062776B">
        <w:rPr>
          <w:rFonts w:ascii="Arial" w:hAnsi="Arial" w:cs="Arial"/>
          <w:bCs/>
          <w:sz w:val="22"/>
          <w:szCs w:val="22"/>
          <w:lang w:val="fr-FR"/>
        </w:rPr>
        <w:t>Organe d</w:t>
      </w:r>
      <w:r w:rsidR="008E532B">
        <w:rPr>
          <w:rFonts w:ascii="Arial" w:hAnsi="Arial" w:cs="Arial"/>
          <w:bCs/>
          <w:sz w:val="22"/>
          <w:szCs w:val="22"/>
          <w:lang w:val="fr-FR"/>
        </w:rPr>
        <w:t>’</w:t>
      </w:r>
      <w:r w:rsidRPr="0062776B">
        <w:rPr>
          <w:rFonts w:ascii="Arial" w:hAnsi="Arial" w:cs="Arial"/>
          <w:bCs/>
          <w:sz w:val="22"/>
          <w:szCs w:val="22"/>
          <w:lang w:val="fr-FR"/>
        </w:rPr>
        <w:t>évaluation</w:t>
      </w:r>
      <w:r>
        <w:rPr>
          <w:rFonts w:ascii="Arial" w:hAnsi="Arial" w:cs="Arial"/>
          <w:bCs/>
          <w:sz w:val="22"/>
          <w:szCs w:val="22"/>
          <w:lang w:val="fr-FR"/>
        </w:rPr>
        <w:t xml:space="preserve">, </w:t>
      </w:r>
      <w:r w:rsidRPr="0062776B">
        <w:rPr>
          <w:rFonts w:ascii="Arial" w:hAnsi="Arial" w:cs="Arial"/>
          <w:bCs/>
          <w:sz w:val="22"/>
          <w:szCs w:val="22"/>
          <w:lang w:val="fr-FR"/>
        </w:rPr>
        <w:t>les ONG accréditées n</w:t>
      </w:r>
      <w:r w:rsidR="008E532B">
        <w:rPr>
          <w:rFonts w:ascii="Arial" w:hAnsi="Arial" w:cs="Arial"/>
          <w:bCs/>
          <w:sz w:val="22"/>
          <w:szCs w:val="22"/>
          <w:lang w:val="fr-FR"/>
        </w:rPr>
        <w:t>’</w:t>
      </w:r>
      <w:r>
        <w:rPr>
          <w:rFonts w:ascii="Arial" w:hAnsi="Arial" w:cs="Arial"/>
          <w:bCs/>
          <w:sz w:val="22"/>
          <w:szCs w:val="22"/>
          <w:lang w:val="fr-FR"/>
        </w:rPr>
        <w:t>avaient</w:t>
      </w:r>
      <w:r w:rsidRPr="0062776B">
        <w:rPr>
          <w:rFonts w:ascii="Arial" w:hAnsi="Arial" w:cs="Arial"/>
          <w:bCs/>
          <w:sz w:val="22"/>
          <w:szCs w:val="22"/>
          <w:lang w:val="fr-FR"/>
        </w:rPr>
        <w:t xml:space="preserve"> pas cette capacité et, par conséquent, la déclaration de Direct </w:t>
      </w:r>
      <w:proofErr w:type="spellStart"/>
      <w:r w:rsidRPr="0062776B">
        <w:rPr>
          <w:rFonts w:ascii="Arial" w:hAnsi="Arial" w:cs="Arial"/>
          <w:bCs/>
          <w:sz w:val="22"/>
          <w:szCs w:val="22"/>
          <w:lang w:val="fr-FR"/>
        </w:rPr>
        <w:t>Gradual</w:t>
      </w:r>
      <w:proofErr w:type="spellEnd"/>
      <w:r w:rsidRPr="0062776B">
        <w:rPr>
          <w:rFonts w:ascii="Arial" w:hAnsi="Arial" w:cs="Arial"/>
          <w:bCs/>
          <w:sz w:val="22"/>
          <w:szCs w:val="22"/>
          <w:lang w:val="fr-FR"/>
        </w:rPr>
        <w:t xml:space="preserve"> </w:t>
      </w:r>
      <w:proofErr w:type="spellStart"/>
      <w:r w:rsidRPr="0062776B">
        <w:rPr>
          <w:rFonts w:ascii="Arial" w:hAnsi="Arial" w:cs="Arial"/>
          <w:bCs/>
          <w:sz w:val="22"/>
          <w:szCs w:val="22"/>
          <w:lang w:val="fr-FR"/>
        </w:rPr>
        <w:t>Development</w:t>
      </w:r>
      <w:proofErr w:type="spellEnd"/>
      <w:r w:rsidRPr="0062776B">
        <w:rPr>
          <w:rFonts w:ascii="Arial" w:hAnsi="Arial" w:cs="Arial"/>
          <w:bCs/>
          <w:sz w:val="22"/>
          <w:szCs w:val="22"/>
          <w:lang w:val="fr-FR"/>
        </w:rPr>
        <w:t xml:space="preserve"> était incorrecte. Le Secrétariat technique du Comité national du PCI a</w:t>
      </w:r>
      <w:r>
        <w:rPr>
          <w:rFonts w:ascii="Arial" w:hAnsi="Arial" w:cs="Arial"/>
          <w:bCs/>
          <w:sz w:val="22"/>
          <w:szCs w:val="22"/>
          <w:lang w:val="fr-FR"/>
        </w:rPr>
        <w:t>vait</w:t>
      </w:r>
      <w:r w:rsidRPr="0062776B">
        <w:rPr>
          <w:rFonts w:ascii="Arial" w:hAnsi="Arial" w:cs="Arial"/>
          <w:bCs/>
          <w:sz w:val="22"/>
          <w:szCs w:val="22"/>
          <w:lang w:val="fr-FR"/>
        </w:rPr>
        <w:t xml:space="preserve"> estimé que Direct </w:t>
      </w:r>
      <w:proofErr w:type="spellStart"/>
      <w:r w:rsidRPr="0062776B">
        <w:rPr>
          <w:rFonts w:ascii="Arial" w:hAnsi="Arial" w:cs="Arial"/>
          <w:bCs/>
          <w:sz w:val="22"/>
          <w:szCs w:val="22"/>
          <w:lang w:val="fr-FR"/>
        </w:rPr>
        <w:t>Gradual</w:t>
      </w:r>
      <w:proofErr w:type="spellEnd"/>
      <w:r w:rsidRPr="0062776B">
        <w:rPr>
          <w:rFonts w:ascii="Arial" w:hAnsi="Arial" w:cs="Arial"/>
          <w:bCs/>
          <w:sz w:val="22"/>
          <w:szCs w:val="22"/>
          <w:lang w:val="fr-FR"/>
        </w:rPr>
        <w:t xml:space="preserve"> </w:t>
      </w:r>
      <w:proofErr w:type="spellStart"/>
      <w:r w:rsidRPr="0062776B">
        <w:rPr>
          <w:rFonts w:ascii="Arial" w:hAnsi="Arial" w:cs="Arial"/>
          <w:bCs/>
          <w:sz w:val="22"/>
          <w:szCs w:val="22"/>
          <w:lang w:val="fr-FR"/>
        </w:rPr>
        <w:t>Development</w:t>
      </w:r>
      <w:proofErr w:type="spellEnd"/>
      <w:r w:rsidRPr="0062776B">
        <w:rPr>
          <w:rFonts w:ascii="Arial" w:hAnsi="Arial" w:cs="Arial"/>
          <w:bCs/>
          <w:sz w:val="22"/>
          <w:szCs w:val="22"/>
          <w:lang w:val="fr-FR"/>
        </w:rPr>
        <w:t xml:space="preserve"> ne </w:t>
      </w:r>
      <w:r>
        <w:rPr>
          <w:rFonts w:ascii="Arial" w:hAnsi="Arial" w:cs="Arial"/>
          <w:bCs/>
          <w:sz w:val="22"/>
          <w:szCs w:val="22"/>
          <w:lang w:val="fr-FR"/>
        </w:rPr>
        <w:t>satisfaisait pas aux</w:t>
      </w:r>
      <w:r w:rsidRPr="0062776B">
        <w:rPr>
          <w:rFonts w:ascii="Arial" w:hAnsi="Arial" w:cs="Arial"/>
          <w:bCs/>
          <w:sz w:val="22"/>
          <w:szCs w:val="22"/>
          <w:lang w:val="fr-FR"/>
        </w:rPr>
        <w:t xml:space="preserve"> critères établis pour obtenir l</w:t>
      </w:r>
      <w:r w:rsidR="008E532B">
        <w:rPr>
          <w:rFonts w:ascii="Arial" w:hAnsi="Arial" w:cs="Arial"/>
          <w:bCs/>
          <w:sz w:val="22"/>
          <w:szCs w:val="22"/>
          <w:lang w:val="fr-FR"/>
        </w:rPr>
        <w:t>’</w:t>
      </w:r>
      <w:r w:rsidRPr="0062776B">
        <w:rPr>
          <w:rFonts w:ascii="Arial" w:hAnsi="Arial" w:cs="Arial"/>
          <w:bCs/>
          <w:sz w:val="22"/>
          <w:szCs w:val="22"/>
          <w:lang w:val="fr-FR"/>
        </w:rPr>
        <w:t xml:space="preserve">accréditation </w:t>
      </w:r>
      <w:r>
        <w:rPr>
          <w:rFonts w:ascii="Arial" w:hAnsi="Arial" w:cs="Arial"/>
          <w:bCs/>
          <w:sz w:val="22"/>
          <w:szCs w:val="22"/>
          <w:lang w:val="fr-FR"/>
        </w:rPr>
        <w:t>afin d</w:t>
      </w:r>
      <w:r w:rsidR="008E532B">
        <w:rPr>
          <w:rFonts w:ascii="Arial" w:hAnsi="Arial" w:cs="Arial"/>
          <w:bCs/>
          <w:sz w:val="22"/>
          <w:szCs w:val="22"/>
          <w:lang w:val="fr-FR"/>
        </w:rPr>
        <w:t>’</w:t>
      </w:r>
      <w:r>
        <w:rPr>
          <w:rFonts w:ascii="Arial" w:hAnsi="Arial" w:cs="Arial"/>
          <w:bCs/>
          <w:sz w:val="22"/>
          <w:szCs w:val="22"/>
          <w:lang w:val="fr-FR"/>
        </w:rPr>
        <w:t xml:space="preserve">exercer des fonctions </w:t>
      </w:r>
      <w:r w:rsidRPr="00DE665A">
        <w:rPr>
          <w:rFonts w:ascii="Arial" w:hAnsi="Arial" w:cs="Arial"/>
          <w:bCs/>
          <w:sz w:val="22"/>
          <w:szCs w:val="22"/>
          <w:lang w:val="fr-FR"/>
        </w:rPr>
        <w:t>consultati</w:t>
      </w:r>
      <w:r>
        <w:rPr>
          <w:rFonts w:ascii="Arial" w:hAnsi="Arial" w:cs="Arial"/>
          <w:bCs/>
          <w:sz w:val="22"/>
          <w:szCs w:val="22"/>
          <w:lang w:val="fr-FR"/>
        </w:rPr>
        <w:t xml:space="preserve">ves </w:t>
      </w:r>
      <w:r w:rsidRPr="0062776B">
        <w:rPr>
          <w:rFonts w:ascii="Arial" w:hAnsi="Arial" w:cs="Arial"/>
          <w:bCs/>
          <w:sz w:val="22"/>
          <w:szCs w:val="22"/>
          <w:lang w:val="fr-FR"/>
        </w:rPr>
        <w:t>auprès de la Convention, notamment la capacité linguistique. C</w:t>
      </w:r>
      <w:r w:rsidR="008E532B">
        <w:rPr>
          <w:rFonts w:ascii="Arial" w:hAnsi="Arial" w:cs="Arial"/>
          <w:bCs/>
          <w:sz w:val="22"/>
          <w:szCs w:val="22"/>
          <w:lang w:val="fr-FR"/>
        </w:rPr>
        <w:t>’</w:t>
      </w:r>
      <w:r>
        <w:rPr>
          <w:rFonts w:ascii="Arial" w:hAnsi="Arial" w:cs="Arial"/>
          <w:bCs/>
          <w:sz w:val="22"/>
          <w:szCs w:val="22"/>
          <w:lang w:val="fr-FR"/>
        </w:rPr>
        <w:t xml:space="preserve">est la raison pour laquelle </w:t>
      </w:r>
      <w:r w:rsidRPr="0062776B">
        <w:rPr>
          <w:rFonts w:ascii="Arial" w:hAnsi="Arial" w:cs="Arial"/>
          <w:bCs/>
          <w:sz w:val="22"/>
          <w:szCs w:val="22"/>
          <w:lang w:val="fr-FR"/>
        </w:rPr>
        <w:t xml:space="preserve">le Mexique </w:t>
      </w:r>
      <w:r>
        <w:rPr>
          <w:rFonts w:ascii="Arial" w:hAnsi="Arial" w:cs="Arial"/>
          <w:bCs/>
          <w:sz w:val="22"/>
          <w:szCs w:val="22"/>
          <w:lang w:val="fr-FR"/>
        </w:rPr>
        <w:t>invitait</w:t>
      </w:r>
      <w:r w:rsidRPr="0062776B">
        <w:rPr>
          <w:rFonts w:ascii="Arial" w:hAnsi="Arial" w:cs="Arial"/>
          <w:bCs/>
          <w:sz w:val="22"/>
          <w:szCs w:val="22"/>
          <w:lang w:val="fr-FR"/>
        </w:rPr>
        <w:t xml:space="preserve"> cette ONG à soumettre un dossier plus solide lors du prochain cycle, conformément aux procédures approuvées.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agissant de l</w:t>
      </w:r>
      <w:r w:rsidR="008E532B">
        <w:rPr>
          <w:rFonts w:ascii="Arial" w:hAnsi="Arial" w:cs="Arial"/>
          <w:bCs/>
          <w:sz w:val="22"/>
          <w:szCs w:val="22"/>
          <w:lang w:val="fr-FR"/>
        </w:rPr>
        <w:t>’</w:t>
      </w:r>
      <w:r w:rsidRPr="00D9653F">
        <w:rPr>
          <w:rFonts w:ascii="Arial" w:hAnsi="Arial" w:cs="Arial"/>
          <w:bCs/>
          <w:sz w:val="22"/>
          <w:szCs w:val="22"/>
          <w:lang w:val="fr-FR"/>
        </w:rPr>
        <w:t xml:space="preserve">Institute for Intangible Cultural </w:t>
      </w:r>
      <w:proofErr w:type="spellStart"/>
      <w:r w:rsidRPr="00D9653F">
        <w:rPr>
          <w:rFonts w:ascii="Arial" w:hAnsi="Arial" w:cs="Arial"/>
          <w:bCs/>
          <w:sz w:val="22"/>
          <w:szCs w:val="22"/>
          <w:lang w:val="fr-FR"/>
        </w:rPr>
        <w:t>Heritage</w:t>
      </w:r>
      <w:proofErr w:type="spellEnd"/>
      <w:r w:rsidRPr="00D9653F">
        <w:rPr>
          <w:rFonts w:ascii="Arial" w:hAnsi="Arial" w:cs="Arial"/>
          <w:bCs/>
          <w:sz w:val="22"/>
          <w:szCs w:val="22"/>
          <w:lang w:val="fr-FR"/>
        </w:rPr>
        <w:t xml:space="preserve"> (IPACIM)</w:t>
      </w:r>
      <w:r w:rsidRPr="0062776B">
        <w:rPr>
          <w:rFonts w:ascii="Arial" w:hAnsi="Arial" w:cs="Arial"/>
          <w:bCs/>
          <w:sz w:val="22"/>
          <w:szCs w:val="22"/>
          <w:lang w:val="fr-FR"/>
        </w:rPr>
        <w:t xml:space="preserve">, le Mexique </w:t>
      </w:r>
      <w:r>
        <w:rPr>
          <w:rFonts w:ascii="Arial" w:hAnsi="Arial" w:cs="Arial"/>
          <w:bCs/>
          <w:sz w:val="22"/>
          <w:szCs w:val="22"/>
          <w:lang w:val="fr-FR"/>
        </w:rPr>
        <w:t>avait été en étroite</w:t>
      </w:r>
      <w:r w:rsidRPr="0062776B">
        <w:rPr>
          <w:rFonts w:ascii="Arial" w:hAnsi="Arial" w:cs="Arial"/>
          <w:bCs/>
          <w:sz w:val="22"/>
          <w:szCs w:val="22"/>
          <w:lang w:val="fr-FR"/>
        </w:rPr>
        <w:t xml:space="preserve"> communication avec le ministère de la Culture de l</w:t>
      </w:r>
      <w:r w:rsidR="008E532B">
        <w:rPr>
          <w:rFonts w:ascii="Arial" w:hAnsi="Arial" w:cs="Arial"/>
          <w:bCs/>
          <w:sz w:val="22"/>
          <w:szCs w:val="22"/>
          <w:lang w:val="fr-FR"/>
        </w:rPr>
        <w:t>’</w:t>
      </w:r>
      <w:r>
        <w:rPr>
          <w:rFonts w:ascii="Arial" w:hAnsi="Arial" w:cs="Arial"/>
          <w:bCs/>
          <w:sz w:val="22"/>
          <w:szCs w:val="22"/>
          <w:lang w:val="fr-FR"/>
        </w:rPr>
        <w:t>Espagne à ce sujet</w:t>
      </w:r>
      <w:r w:rsidRPr="0062776B">
        <w:rPr>
          <w:rFonts w:ascii="Arial" w:hAnsi="Arial" w:cs="Arial"/>
          <w:bCs/>
          <w:sz w:val="22"/>
          <w:szCs w:val="22"/>
          <w:lang w:val="fr-FR"/>
        </w:rPr>
        <w:t xml:space="preserve"> Cela était principalement dû à son potentiel en tant que candidature multinationale. La délégation </w:t>
      </w:r>
      <w:r>
        <w:rPr>
          <w:rFonts w:ascii="Arial" w:hAnsi="Arial" w:cs="Arial"/>
          <w:bCs/>
          <w:sz w:val="22"/>
          <w:szCs w:val="22"/>
          <w:lang w:val="fr-FR"/>
        </w:rPr>
        <w:t>pensait</w:t>
      </w:r>
      <w:r w:rsidRPr="0062776B">
        <w:rPr>
          <w:rFonts w:ascii="Arial" w:hAnsi="Arial" w:cs="Arial"/>
          <w:bCs/>
          <w:sz w:val="22"/>
          <w:szCs w:val="22"/>
          <w:lang w:val="fr-FR"/>
        </w:rPr>
        <w:t xml:space="preserve"> que les études avaient été menées correctement et, dans un esprit de coopération, </w:t>
      </w:r>
      <w:r>
        <w:rPr>
          <w:rFonts w:ascii="Arial" w:hAnsi="Arial" w:cs="Arial"/>
          <w:bCs/>
          <w:sz w:val="22"/>
          <w:szCs w:val="22"/>
          <w:lang w:val="fr-FR"/>
        </w:rPr>
        <w:t xml:space="preserve">elle souscrivait à </w:t>
      </w:r>
      <w:r w:rsidRPr="0062776B">
        <w:rPr>
          <w:rFonts w:ascii="Arial" w:hAnsi="Arial" w:cs="Arial"/>
          <w:bCs/>
          <w:sz w:val="22"/>
          <w:szCs w:val="22"/>
          <w:lang w:val="fr-FR"/>
        </w:rPr>
        <w:t>la déclaration de l</w:t>
      </w:r>
      <w:r w:rsidR="008E532B">
        <w:rPr>
          <w:rFonts w:ascii="Arial" w:hAnsi="Arial" w:cs="Arial"/>
          <w:bCs/>
          <w:sz w:val="22"/>
          <w:szCs w:val="22"/>
          <w:lang w:val="fr-FR"/>
        </w:rPr>
        <w:t>’</w:t>
      </w:r>
      <w:r w:rsidRPr="0062776B">
        <w:rPr>
          <w:rFonts w:ascii="Arial" w:hAnsi="Arial" w:cs="Arial"/>
          <w:bCs/>
          <w:sz w:val="22"/>
          <w:szCs w:val="22"/>
          <w:lang w:val="fr-FR"/>
        </w:rPr>
        <w:t xml:space="preserve">Espagne </w:t>
      </w:r>
      <w:r>
        <w:rPr>
          <w:rFonts w:ascii="Arial" w:hAnsi="Arial" w:cs="Arial"/>
          <w:bCs/>
          <w:sz w:val="22"/>
          <w:szCs w:val="22"/>
          <w:lang w:val="fr-FR"/>
        </w:rPr>
        <w:t xml:space="preserve">et </w:t>
      </w:r>
      <w:r w:rsidRPr="0062776B">
        <w:rPr>
          <w:rFonts w:ascii="Arial" w:hAnsi="Arial" w:cs="Arial"/>
          <w:bCs/>
          <w:sz w:val="22"/>
          <w:szCs w:val="22"/>
          <w:lang w:val="fr-FR"/>
        </w:rPr>
        <w:t>souten</w:t>
      </w:r>
      <w:r>
        <w:rPr>
          <w:rFonts w:ascii="Arial" w:hAnsi="Arial" w:cs="Arial"/>
          <w:bCs/>
          <w:sz w:val="22"/>
          <w:szCs w:val="22"/>
          <w:lang w:val="fr-FR"/>
        </w:rPr>
        <w:t>ait donc</w:t>
      </w:r>
      <w:r w:rsidRPr="0062776B">
        <w:rPr>
          <w:rFonts w:ascii="Arial" w:hAnsi="Arial" w:cs="Arial"/>
          <w:bCs/>
          <w:sz w:val="22"/>
          <w:szCs w:val="22"/>
          <w:lang w:val="fr-FR"/>
        </w:rPr>
        <w:t xml:space="preserve"> l</w:t>
      </w:r>
      <w:r w:rsidR="008E532B">
        <w:rPr>
          <w:rFonts w:ascii="Arial" w:hAnsi="Arial" w:cs="Arial"/>
          <w:bCs/>
          <w:sz w:val="22"/>
          <w:szCs w:val="22"/>
          <w:lang w:val="fr-FR"/>
        </w:rPr>
        <w:t>’</w:t>
      </w:r>
      <w:r w:rsidRPr="0062776B">
        <w:rPr>
          <w:rFonts w:ascii="Arial" w:hAnsi="Arial" w:cs="Arial"/>
          <w:bCs/>
          <w:sz w:val="22"/>
          <w:szCs w:val="22"/>
          <w:lang w:val="fr-FR"/>
        </w:rPr>
        <w:t>accréditation de cette ONG. La délégation partage</w:t>
      </w:r>
      <w:r>
        <w:rPr>
          <w:rFonts w:ascii="Arial" w:hAnsi="Arial" w:cs="Arial"/>
          <w:bCs/>
          <w:sz w:val="22"/>
          <w:szCs w:val="22"/>
          <w:lang w:val="fr-FR"/>
        </w:rPr>
        <w:t>ait</w:t>
      </w:r>
      <w:r w:rsidRPr="0062776B">
        <w:rPr>
          <w:rFonts w:ascii="Arial" w:hAnsi="Arial" w:cs="Arial"/>
          <w:bCs/>
          <w:sz w:val="22"/>
          <w:szCs w:val="22"/>
          <w:lang w:val="fr-FR"/>
        </w:rPr>
        <w:t xml:space="preserve"> l</w:t>
      </w:r>
      <w:r w:rsidR="008E532B">
        <w:rPr>
          <w:rFonts w:ascii="Arial" w:hAnsi="Arial" w:cs="Arial"/>
          <w:bCs/>
          <w:sz w:val="22"/>
          <w:szCs w:val="22"/>
          <w:lang w:val="fr-FR"/>
        </w:rPr>
        <w:t>’</w:t>
      </w:r>
      <w:r w:rsidRPr="0062776B">
        <w:rPr>
          <w:rFonts w:ascii="Arial" w:hAnsi="Arial" w:cs="Arial"/>
          <w:bCs/>
          <w:sz w:val="22"/>
          <w:szCs w:val="22"/>
          <w:lang w:val="fr-FR"/>
        </w:rPr>
        <w:t>avis des délégations selon lequel le rôle de la société civile et la participation des ONG devraient être renforcés</w:t>
      </w:r>
      <w:r>
        <w:rPr>
          <w:rFonts w:ascii="Arial" w:hAnsi="Arial" w:cs="Arial"/>
          <w:bCs/>
          <w:sz w:val="22"/>
          <w:szCs w:val="22"/>
          <w:lang w:val="fr-FR"/>
        </w:rPr>
        <w:t xml:space="preserve">. Elle </w:t>
      </w:r>
      <w:r w:rsidRPr="0062776B">
        <w:rPr>
          <w:rFonts w:ascii="Arial" w:hAnsi="Arial" w:cs="Arial"/>
          <w:bCs/>
          <w:sz w:val="22"/>
          <w:szCs w:val="22"/>
          <w:lang w:val="fr-FR"/>
        </w:rPr>
        <w:t>approuv</w:t>
      </w:r>
      <w:r>
        <w:rPr>
          <w:rFonts w:ascii="Arial" w:hAnsi="Arial" w:cs="Arial"/>
          <w:bCs/>
          <w:sz w:val="22"/>
          <w:szCs w:val="22"/>
          <w:lang w:val="fr-FR"/>
        </w:rPr>
        <w:t>ait</w:t>
      </w:r>
      <w:r w:rsidRPr="0062776B">
        <w:rPr>
          <w:rFonts w:ascii="Arial" w:hAnsi="Arial" w:cs="Arial"/>
          <w:bCs/>
          <w:sz w:val="22"/>
          <w:szCs w:val="22"/>
          <w:lang w:val="fr-FR"/>
        </w:rPr>
        <w:t xml:space="preserve"> l</w:t>
      </w:r>
      <w:r w:rsidR="008E532B">
        <w:rPr>
          <w:rFonts w:ascii="Arial" w:hAnsi="Arial" w:cs="Arial"/>
          <w:bCs/>
          <w:sz w:val="22"/>
          <w:szCs w:val="22"/>
          <w:lang w:val="fr-FR"/>
        </w:rPr>
        <w:t>’</w:t>
      </w:r>
      <w:r w:rsidRPr="0062776B">
        <w:rPr>
          <w:rFonts w:ascii="Arial" w:hAnsi="Arial" w:cs="Arial"/>
          <w:bCs/>
          <w:sz w:val="22"/>
          <w:szCs w:val="22"/>
          <w:lang w:val="fr-FR"/>
        </w:rPr>
        <w:t>objectif d</w:t>
      </w:r>
      <w:r w:rsidR="008E532B">
        <w:rPr>
          <w:rFonts w:ascii="Arial" w:hAnsi="Arial" w:cs="Arial"/>
          <w:bCs/>
          <w:sz w:val="22"/>
          <w:szCs w:val="22"/>
          <w:lang w:val="fr-FR"/>
        </w:rPr>
        <w:t>’</w:t>
      </w:r>
      <w:r w:rsidRPr="0062776B">
        <w:rPr>
          <w:rFonts w:ascii="Arial" w:hAnsi="Arial" w:cs="Arial"/>
          <w:bCs/>
          <w:sz w:val="22"/>
          <w:szCs w:val="22"/>
          <w:lang w:val="fr-FR"/>
        </w:rPr>
        <w:t xml:space="preserve">une </w:t>
      </w:r>
      <w:r w:rsidR="002512C5">
        <w:rPr>
          <w:rFonts w:ascii="Arial" w:hAnsi="Arial" w:cs="Arial"/>
          <w:bCs/>
          <w:sz w:val="22"/>
          <w:szCs w:val="22"/>
          <w:lang w:val="fr-FR"/>
        </w:rPr>
        <w:t>distribution</w:t>
      </w:r>
      <w:r w:rsidRPr="0062776B">
        <w:rPr>
          <w:rFonts w:ascii="Arial" w:hAnsi="Arial" w:cs="Arial"/>
          <w:bCs/>
          <w:sz w:val="22"/>
          <w:szCs w:val="22"/>
          <w:lang w:val="fr-FR"/>
        </w:rPr>
        <w:t xml:space="preserve"> géographique plus équitable. Cependant, l</w:t>
      </w:r>
      <w:r w:rsidR="008E532B">
        <w:rPr>
          <w:rFonts w:ascii="Arial" w:hAnsi="Arial" w:cs="Arial"/>
          <w:bCs/>
          <w:sz w:val="22"/>
          <w:szCs w:val="22"/>
          <w:lang w:val="fr-FR"/>
        </w:rPr>
        <w:t>’</w:t>
      </w:r>
      <w:r w:rsidRPr="0062776B">
        <w:rPr>
          <w:rFonts w:ascii="Arial" w:hAnsi="Arial" w:cs="Arial"/>
          <w:bCs/>
          <w:sz w:val="22"/>
          <w:szCs w:val="22"/>
          <w:lang w:val="fr-FR"/>
        </w:rPr>
        <w:t>Assemblée d</w:t>
      </w:r>
      <w:r>
        <w:rPr>
          <w:rFonts w:ascii="Arial" w:hAnsi="Arial" w:cs="Arial"/>
          <w:bCs/>
          <w:sz w:val="22"/>
          <w:szCs w:val="22"/>
          <w:lang w:val="fr-FR"/>
        </w:rPr>
        <w:t>evait</w:t>
      </w:r>
      <w:r w:rsidRPr="0062776B">
        <w:rPr>
          <w:rFonts w:ascii="Arial" w:hAnsi="Arial" w:cs="Arial"/>
          <w:bCs/>
          <w:sz w:val="22"/>
          <w:szCs w:val="22"/>
          <w:lang w:val="fr-FR"/>
        </w:rPr>
        <w:t xml:space="preserve"> </w:t>
      </w:r>
      <w:r>
        <w:rPr>
          <w:rFonts w:ascii="Arial" w:hAnsi="Arial" w:cs="Arial"/>
          <w:bCs/>
          <w:sz w:val="22"/>
          <w:szCs w:val="22"/>
          <w:lang w:val="fr-FR"/>
        </w:rPr>
        <w:t>veiller à ce</w:t>
      </w:r>
      <w:r w:rsidRPr="0062776B">
        <w:rPr>
          <w:rFonts w:ascii="Arial" w:hAnsi="Arial" w:cs="Arial"/>
          <w:bCs/>
          <w:sz w:val="22"/>
          <w:szCs w:val="22"/>
          <w:lang w:val="fr-FR"/>
        </w:rPr>
        <w:t xml:space="preserve"> que les organisations accréditées </w:t>
      </w:r>
      <w:r>
        <w:rPr>
          <w:rFonts w:ascii="Arial" w:hAnsi="Arial" w:cs="Arial"/>
          <w:bCs/>
          <w:sz w:val="22"/>
          <w:szCs w:val="22"/>
          <w:lang w:val="fr-FR"/>
        </w:rPr>
        <w:t xml:space="preserve">auprès de la </w:t>
      </w:r>
      <w:r w:rsidRPr="0062776B">
        <w:rPr>
          <w:rFonts w:ascii="Arial" w:hAnsi="Arial" w:cs="Arial"/>
          <w:bCs/>
          <w:sz w:val="22"/>
          <w:szCs w:val="22"/>
          <w:lang w:val="fr-FR"/>
        </w:rPr>
        <w:t>Conve</w:t>
      </w:r>
      <w:r>
        <w:rPr>
          <w:rFonts w:ascii="Arial" w:hAnsi="Arial" w:cs="Arial"/>
          <w:bCs/>
          <w:sz w:val="22"/>
          <w:szCs w:val="22"/>
          <w:lang w:val="fr-FR"/>
        </w:rPr>
        <w:t>nti</w:t>
      </w:r>
      <w:r w:rsidRPr="0062776B">
        <w:rPr>
          <w:rFonts w:ascii="Arial" w:hAnsi="Arial" w:cs="Arial"/>
          <w:bCs/>
          <w:sz w:val="22"/>
          <w:szCs w:val="22"/>
          <w:lang w:val="fr-FR"/>
        </w:rPr>
        <w:t xml:space="preserve">on </w:t>
      </w:r>
      <w:r>
        <w:rPr>
          <w:rFonts w:ascii="Arial" w:hAnsi="Arial" w:cs="Arial"/>
          <w:bCs/>
          <w:sz w:val="22"/>
          <w:szCs w:val="22"/>
          <w:lang w:val="fr-FR"/>
        </w:rPr>
        <w:t xml:space="preserve">accomplissent sérieusement leur tâche </w:t>
      </w:r>
      <w:r w:rsidRPr="0062776B">
        <w:rPr>
          <w:rFonts w:ascii="Arial" w:hAnsi="Arial" w:cs="Arial"/>
          <w:bCs/>
          <w:sz w:val="22"/>
          <w:szCs w:val="22"/>
          <w:lang w:val="fr-FR"/>
        </w:rPr>
        <w:t>en faveur des communautés de détenteurs et de praticiens, principaux bénéficiaires de la Convention. La délégation a réaffirmé qu</w:t>
      </w:r>
      <w:r w:rsidR="008E532B">
        <w:rPr>
          <w:rFonts w:ascii="Arial" w:hAnsi="Arial" w:cs="Arial"/>
          <w:bCs/>
          <w:sz w:val="22"/>
          <w:szCs w:val="22"/>
          <w:lang w:val="fr-FR"/>
        </w:rPr>
        <w:t>’</w:t>
      </w:r>
      <w:r w:rsidRPr="0062776B">
        <w:rPr>
          <w:rFonts w:ascii="Arial" w:hAnsi="Arial" w:cs="Arial"/>
          <w:bCs/>
          <w:sz w:val="22"/>
          <w:szCs w:val="22"/>
          <w:lang w:val="fr-FR"/>
        </w:rPr>
        <w:t xml:space="preserve">elle ne cherchait pas à </w:t>
      </w:r>
      <w:r>
        <w:rPr>
          <w:rFonts w:ascii="Arial" w:hAnsi="Arial" w:cs="Arial"/>
          <w:bCs/>
          <w:sz w:val="22"/>
          <w:szCs w:val="22"/>
          <w:lang w:val="fr-FR"/>
        </w:rPr>
        <w:t>limiter</w:t>
      </w:r>
      <w:r w:rsidRPr="0062776B">
        <w:rPr>
          <w:rFonts w:ascii="Arial" w:hAnsi="Arial" w:cs="Arial"/>
          <w:bCs/>
          <w:sz w:val="22"/>
          <w:szCs w:val="22"/>
          <w:lang w:val="fr-FR"/>
        </w:rPr>
        <w:t xml:space="preserve"> la participation mais plutôt à assurer un dossier de candidature plus solide pour le prochain cycle.</w:t>
      </w:r>
    </w:p>
    <w:p w14:paraId="0ED08B03" w14:textId="566FB99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34581">
        <w:rPr>
          <w:rFonts w:ascii="Arial" w:hAnsi="Arial" w:cs="Arial"/>
          <w:bCs/>
          <w:sz w:val="22"/>
          <w:szCs w:val="22"/>
          <w:lang w:val="fr-FR"/>
        </w:rPr>
        <w:t xml:space="preserve">Par souci de clarté, La </w:t>
      </w:r>
      <w:r w:rsidRPr="00134581">
        <w:rPr>
          <w:rFonts w:ascii="Arial" w:hAnsi="Arial" w:cs="Arial"/>
          <w:b/>
          <w:sz w:val="22"/>
          <w:szCs w:val="22"/>
          <w:lang w:val="fr-FR"/>
        </w:rPr>
        <w:t>Présidente</w:t>
      </w:r>
      <w:r w:rsidRPr="00134581">
        <w:rPr>
          <w:rFonts w:ascii="Arial" w:hAnsi="Arial" w:cs="Arial"/>
          <w:bCs/>
          <w:sz w:val="22"/>
          <w:szCs w:val="22"/>
          <w:lang w:val="fr-FR"/>
        </w:rPr>
        <w:t xml:space="preserve"> demande au Secrétariat de lire à haute voix le paragraphe avec l</w:t>
      </w:r>
      <w:r w:rsidR="008E532B">
        <w:rPr>
          <w:rFonts w:ascii="Arial" w:hAnsi="Arial" w:cs="Arial"/>
          <w:bCs/>
          <w:sz w:val="22"/>
          <w:szCs w:val="22"/>
          <w:lang w:val="fr-FR"/>
        </w:rPr>
        <w:t>’</w:t>
      </w:r>
      <w:r w:rsidRPr="00134581">
        <w:rPr>
          <w:rFonts w:ascii="Arial" w:hAnsi="Arial" w:cs="Arial"/>
          <w:bCs/>
          <w:sz w:val="22"/>
          <w:szCs w:val="22"/>
          <w:lang w:val="fr-FR"/>
        </w:rPr>
        <w:t>amendement proposé.</w:t>
      </w:r>
    </w:p>
    <w:p w14:paraId="7171AC28" w14:textId="7EA89190" w:rsidR="00D9653F" w:rsidRPr="00134581" w:rsidRDefault="008D65C3"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
          <w:sz w:val="22"/>
          <w:szCs w:val="22"/>
          <w:lang w:val="fr-FR"/>
        </w:rPr>
        <w:t>Mme</w:t>
      </w:r>
      <w:r w:rsidR="00D9653F">
        <w:rPr>
          <w:rFonts w:ascii="Arial" w:hAnsi="Arial" w:cs="Arial"/>
          <w:b/>
          <w:sz w:val="22"/>
          <w:szCs w:val="22"/>
          <w:lang w:val="fr-FR"/>
        </w:rPr>
        <w:t> </w:t>
      </w:r>
      <w:r w:rsidR="00D9653F" w:rsidRPr="00134581">
        <w:rPr>
          <w:rFonts w:ascii="Arial" w:hAnsi="Arial" w:cs="Arial"/>
          <w:b/>
          <w:sz w:val="22"/>
          <w:szCs w:val="22"/>
          <w:lang w:val="fr-FR"/>
        </w:rPr>
        <w:t>Fumiko Ohinata</w:t>
      </w:r>
      <w:r w:rsidR="00D9653F" w:rsidRPr="00134581">
        <w:rPr>
          <w:rFonts w:ascii="Arial" w:hAnsi="Arial" w:cs="Arial"/>
          <w:bCs/>
          <w:sz w:val="22"/>
          <w:szCs w:val="22"/>
          <w:lang w:val="fr-FR"/>
        </w:rPr>
        <w:t xml:space="preserve"> a expliqué que le chapeau </w:t>
      </w:r>
      <w:r w:rsidR="00BA6601">
        <w:rPr>
          <w:rFonts w:ascii="Arial" w:hAnsi="Arial" w:cs="Arial"/>
          <w:bCs/>
          <w:sz w:val="22"/>
          <w:szCs w:val="22"/>
          <w:lang w:val="fr-FR"/>
        </w:rPr>
        <w:t>du paragraphe</w:t>
      </w:r>
      <w:r w:rsidR="00D9653F">
        <w:rPr>
          <w:rFonts w:ascii="Arial" w:hAnsi="Arial" w:cs="Arial"/>
          <w:bCs/>
          <w:sz w:val="22"/>
          <w:szCs w:val="22"/>
          <w:lang w:val="fr-FR"/>
        </w:rPr>
        <w:t xml:space="preserve"> </w:t>
      </w:r>
      <w:r w:rsidR="00D9653F" w:rsidRPr="00134581">
        <w:rPr>
          <w:rFonts w:ascii="Arial" w:hAnsi="Arial" w:cs="Arial"/>
          <w:bCs/>
          <w:sz w:val="22"/>
          <w:szCs w:val="22"/>
          <w:lang w:val="fr-FR"/>
        </w:rPr>
        <w:t>5 avait été rédigé de cette manière car le Secrétariat ne savait pas si les États parties concernés fourniraient des informations supplémentaires, mais qu</w:t>
      </w:r>
      <w:r w:rsidR="008E532B">
        <w:rPr>
          <w:rFonts w:ascii="Arial" w:hAnsi="Arial" w:cs="Arial"/>
          <w:bCs/>
          <w:sz w:val="22"/>
          <w:szCs w:val="22"/>
          <w:lang w:val="fr-FR"/>
        </w:rPr>
        <w:t>’</w:t>
      </w:r>
      <w:r w:rsidR="00D9653F" w:rsidRPr="00134581">
        <w:rPr>
          <w:rFonts w:ascii="Arial" w:hAnsi="Arial" w:cs="Arial"/>
          <w:bCs/>
          <w:sz w:val="22"/>
          <w:szCs w:val="22"/>
          <w:lang w:val="fr-FR"/>
        </w:rPr>
        <w:t>il serait formulé en conséquence. Le paragraphe 5 serait donc</w:t>
      </w:r>
      <w:r w:rsidR="00D9653F">
        <w:rPr>
          <w:rFonts w:ascii="Arial" w:hAnsi="Arial" w:cs="Arial"/>
          <w:bCs/>
          <w:sz w:val="22"/>
          <w:szCs w:val="22"/>
          <w:lang w:val="fr-FR"/>
        </w:rPr>
        <w:t xml:space="preserve"> ainsi rédigé</w:t>
      </w:r>
      <w:r w:rsidR="00D9653F" w:rsidRPr="00134581">
        <w:rPr>
          <w:rFonts w:ascii="Arial" w:hAnsi="Arial" w:cs="Arial"/>
          <w:bCs/>
          <w:sz w:val="22"/>
          <w:szCs w:val="22"/>
          <w:lang w:val="fr-FR"/>
        </w:rPr>
        <w:t xml:space="preserve"> : </w:t>
      </w:r>
      <w:r w:rsidR="00D9653F">
        <w:rPr>
          <w:rFonts w:ascii="Arial" w:hAnsi="Arial" w:cs="Arial"/>
          <w:bCs/>
          <w:sz w:val="22"/>
          <w:szCs w:val="22"/>
          <w:lang w:val="fr-FR"/>
        </w:rPr>
        <w:t>« </w:t>
      </w:r>
      <w:r w:rsidR="00D9653F" w:rsidRPr="00134581">
        <w:rPr>
          <w:rFonts w:ascii="Arial" w:hAnsi="Arial" w:cs="Arial"/>
          <w:bCs/>
          <w:sz w:val="22"/>
          <w:szCs w:val="22"/>
          <w:lang w:val="fr-FR"/>
        </w:rPr>
        <w:t>Prend note des informations supplémentaires fournies par les organisations</w:t>
      </w:r>
      <w:r w:rsidR="00D9653F">
        <w:rPr>
          <w:rFonts w:ascii="Arial" w:hAnsi="Arial" w:cs="Arial"/>
          <w:bCs/>
          <w:sz w:val="22"/>
          <w:szCs w:val="22"/>
          <w:lang w:val="fr-FR"/>
        </w:rPr>
        <w:t xml:space="preserve"> dont la liste figure dans</w:t>
      </w:r>
      <w:r w:rsidR="00D9653F" w:rsidRPr="00134581">
        <w:rPr>
          <w:rFonts w:ascii="Arial" w:hAnsi="Arial" w:cs="Arial"/>
          <w:bCs/>
          <w:sz w:val="22"/>
          <w:szCs w:val="22"/>
          <w:lang w:val="fr-FR"/>
        </w:rPr>
        <w:t xml:space="preserve"> l</w:t>
      </w:r>
      <w:r w:rsidR="008E532B">
        <w:rPr>
          <w:rFonts w:ascii="Arial" w:hAnsi="Arial" w:cs="Arial"/>
          <w:bCs/>
          <w:sz w:val="22"/>
          <w:szCs w:val="22"/>
          <w:lang w:val="fr-FR"/>
        </w:rPr>
        <w:t>’</w:t>
      </w:r>
      <w:r w:rsidR="00D9653F" w:rsidRPr="00134581">
        <w:rPr>
          <w:rFonts w:ascii="Arial" w:hAnsi="Arial" w:cs="Arial"/>
          <w:bCs/>
          <w:sz w:val="22"/>
          <w:szCs w:val="22"/>
          <w:lang w:val="fr-FR"/>
        </w:rPr>
        <w:t xml:space="preserve">annexe II de </w:t>
      </w:r>
      <w:r w:rsidR="00D9653F">
        <w:rPr>
          <w:rFonts w:ascii="Arial" w:hAnsi="Arial" w:cs="Arial"/>
          <w:bCs/>
          <w:sz w:val="22"/>
          <w:szCs w:val="22"/>
          <w:lang w:val="fr-FR"/>
        </w:rPr>
        <w:t xml:space="preserve">cette </w:t>
      </w:r>
      <w:r w:rsidR="00D9653F" w:rsidRPr="00134581">
        <w:rPr>
          <w:rFonts w:ascii="Arial" w:hAnsi="Arial" w:cs="Arial"/>
          <w:bCs/>
          <w:sz w:val="22"/>
          <w:szCs w:val="22"/>
          <w:lang w:val="fr-FR"/>
        </w:rPr>
        <w:t>résolution ainsi que par les États parties concernés et décide</w:t>
      </w:r>
      <w:r w:rsidR="00D9653F">
        <w:rPr>
          <w:rFonts w:ascii="Arial" w:hAnsi="Arial" w:cs="Arial"/>
          <w:bCs/>
          <w:sz w:val="22"/>
          <w:szCs w:val="22"/>
          <w:lang w:val="fr-FR"/>
        </w:rPr>
        <w:t> :</w:t>
      </w:r>
      <w:r w:rsidR="00D9653F" w:rsidRPr="00134581">
        <w:rPr>
          <w:rFonts w:ascii="Arial" w:hAnsi="Arial" w:cs="Arial"/>
          <w:bCs/>
          <w:sz w:val="22"/>
          <w:szCs w:val="22"/>
          <w:lang w:val="fr-FR"/>
        </w:rPr>
        <w:t xml:space="preserve"> d</w:t>
      </w:r>
      <w:r w:rsidR="008E532B">
        <w:rPr>
          <w:rFonts w:ascii="Arial" w:hAnsi="Arial" w:cs="Arial"/>
          <w:bCs/>
          <w:sz w:val="22"/>
          <w:szCs w:val="22"/>
          <w:lang w:val="fr-FR"/>
        </w:rPr>
        <w:t>’</w:t>
      </w:r>
      <w:r w:rsidR="00D9653F" w:rsidRPr="00134581">
        <w:rPr>
          <w:rFonts w:ascii="Arial" w:hAnsi="Arial" w:cs="Arial"/>
          <w:bCs/>
          <w:sz w:val="22"/>
          <w:szCs w:val="22"/>
          <w:lang w:val="fr-FR"/>
        </w:rPr>
        <w:t xml:space="preserve">accréditer </w:t>
      </w:r>
      <w:r w:rsidR="00D9653F">
        <w:rPr>
          <w:rFonts w:ascii="Arial" w:hAnsi="Arial" w:cs="Arial"/>
          <w:bCs/>
          <w:sz w:val="22"/>
          <w:szCs w:val="22"/>
          <w:lang w:val="fr-FR"/>
        </w:rPr>
        <w:t>“ </w:t>
      </w:r>
      <w:r w:rsidR="00D9653F" w:rsidRPr="0062776B">
        <w:rPr>
          <w:rFonts w:ascii="Arial" w:hAnsi="Arial" w:cs="Arial"/>
          <w:bCs/>
          <w:sz w:val="22"/>
          <w:szCs w:val="22"/>
          <w:lang w:val="fr-FR"/>
        </w:rPr>
        <w:t>Institut</w:t>
      </w:r>
      <w:r w:rsidR="00D9653F">
        <w:rPr>
          <w:rFonts w:ascii="Arial" w:hAnsi="Arial" w:cs="Arial"/>
          <w:bCs/>
          <w:sz w:val="22"/>
          <w:szCs w:val="22"/>
          <w:lang w:val="fr-FR"/>
        </w:rPr>
        <w:t xml:space="preserve">e for Intangible Cultural </w:t>
      </w:r>
      <w:proofErr w:type="spellStart"/>
      <w:r w:rsidR="00D9653F">
        <w:rPr>
          <w:rFonts w:ascii="Arial" w:hAnsi="Arial" w:cs="Arial"/>
          <w:bCs/>
          <w:sz w:val="22"/>
          <w:szCs w:val="22"/>
          <w:lang w:val="fr-FR"/>
        </w:rPr>
        <w:t>Heritage</w:t>
      </w:r>
      <w:proofErr w:type="spellEnd"/>
      <w:r w:rsidR="00D9653F">
        <w:rPr>
          <w:rFonts w:ascii="Arial" w:hAnsi="Arial" w:cs="Arial"/>
          <w:bCs/>
          <w:sz w:val="22"/>
          <w:szCs w:val="22"/>
          <w:lang w:val="fr-FR"/>
        </w:rPr>
        <w:t xml:space="preserve"> (</w:t>
      </w:r>
      <w:r w:rsidR="00D9653F" w:rsidRPr="0062776B">
        <w:rPr>
          <w:rFonts w:ascii="Arial" w:hAnsi="Arial" w:cs="Arial"/>
          <w:bCs/>
          <w:sz w:val="22"/>
          <w:szCs w:val="22"/>
          <w:lang w:val="fr-FR"/>
        </w:rPr>
        <w:t>IPACIM)</w:t>
      </w:r>
      <w:r w:rsidR="00D9653F">
        <w:rPr>
          <w:rFonts w:ascii="Arial" w:hAnsi="Arial" w:cs="Arial"/>
          <w:bCs/>
          <w:sz w:val="22"/>
          <w:szCs w:val="22"/>
          <w:lang w:val="fr-FR"/>
        </w:rPr>
        <w:t> ”</w:t>
      </w:r>
      <w:r w:rsidR="00D9653F" w:rsidRPr="00134581">
        <w:rPr>
          <w:rFonts w:ascii="Arial" w:hAnsi="Arial" w:cs="Arial"/>
          <w:bCs/>
          <w:sz w:val="22"/>
          <w:szCs w:val="22"/>
          <w:lang w:val="fr-FR"/>
        </w:rPr>
        <w:t xml:space="preserve"> pour</w:t>
      </w:r>
      <w:r w:rsidR="00D9653F">
        <w:rPr>
          <w:rFonts w:ascii="Arial" w:hAnsi="Arial" w:cs="Arial"/>
          <w:bCs/>
          <w:sz w:val="22"/>
          <w:szCs w:val="22"/>
          <w:lang w:val="fr-FR"/>
        </w:rPr>
        <w:t xml:space="preserve"> exercer des fonctions </w:t>
      </w:r>
      <w:r w:rsidR="00D9653F" w:rsidRPr="00134581">
        <w:rPr>
          <w:rFonts w:ascii="Arial" w:hAnsi="Arial" w:cs="Arial"/>
          <w:bCs/>
          <w:sz w:val="22"/>
          <w:szCs w:val="22"/>
          <w:lang w:val="fr-FR"/>
        </w:rPr>
        <w:t>consultati</w:t>
      </w:r>
      <w:r w:rsidR="00D9653F">
        <w:rPr>
          <w:rFonts w:ascii="Arial" w:hAnsi="Arial" w:cs="Arial"/>
          <w:bCs/>
          <w:sz w:val="22"/>
          <w:szCs w:val="22"/>
          <w:lang w:val="fr-FR"/>
        </w:rPr>
        <w:t xml:space="preserve">ves </w:t>
      </w:r>
      <w:r w:rsidR="00D9653F" w:rsidRPr="00134581">
        <w:rPr>
          <w:rFonts w:ascii="Arial" w:hAnsi="Arial" w:cs="Arial"/>
          <w:bCs/>
          <w:sz w:val="22"/>
          <w:szCs w:val="22"/>
          <w:lang w:val="fr-FR"/>
        </w:rPr>
        <w:t xml:space="preserve">auprès du Comité, et </w:t>
      </w:r>
      <w:r w:rsidR="00D9653F">
        <w:rPr>
          <w:rFonts w:ascii="Arial" w:hAnsi="Arial" w:cs="Arial"/>
          <w:bCs/>
          <w:sz w:val="22"/>
          <w:szCs w:val="22"/>
          <w:lang w:val="fr-FR"/>
        </w:rPr>
        <w:t>d</w:t>
      </w:r>
      <w:r w:rsidR="008E532B">
        <w:rPr>
          <w:rFonts w:ascii="Arial" w:hAnsi="Arial" w:cs="Arial"/>
          <w:bCs/>
          <w:sz w:val="22"/>
          <w:szCs w:val="22"/>
          <w:lang w:val="fr-FR"/>
        </w:rPr>
        <w:t>’</w:t>
      </w:r>
      <w:r w:rsidR="00D9653F" w:rsidRPr="00134581">
        <w:rPr>
          <w:rFonts w:ascii="Arial" w:hAnsi="Arial" w:cs="Arial"/>
          <w:bCs/>
          <w:sz w:val="22"/>
          <w:szCs w:val="22"/>
          <w:lang w:val="fr-FR"/>
        </w:rPr>
        <w:t>invite</w:t>
      </w:r>
      <w:r w:rsidR="00D9653F">
        <w:rPr>
          <w:rFonts w:ascii="Arial" w:hAnsi="Arial" w:cs="Arial"/>
          <w:bCs/>
          <w:sz w:val="22"/>
          <w:szCs w:val="22"/>
          <w:lang w:val="fr-FR"/>
        </w:rPr>
        <w:t>r</w:t>
      </w:r>
      <w:r w:rsidR="00D9653F" w:rsidRPr="00134581">
        <w:rPr>
          <w:rFonts w:ascii="Arial" w:hAnsi="Arial" w:cs="Arial"/>
          <w:bCs/>
          <w:sz w:val="22"/>
          <w:szCs w:val="22"/>
          <w:lang w:val="fr-FR"/>
        </w:rPr>
        <w:t xml:space="preserve"> “</w:t>
      </w:r>
      <w:r w:rsidR="00D9653F">
        <w:rPr>
          <w:rFonts w:ascii="Arial" w:hAnsi="Arial" w:cs="Arial"/>
          <w:bCs/>
          <w:sz w:val="22"/>
          <w:szCs w:val="22"/>
          <w:lang w:val="fr-FR"/>
        </w:rPr>
        <w:t> </w:t>
      </w:r>
      <w:r w:rsidR="00D9653F" w:rsidRPr="00134581">
        <w:rPr>
          <w:rFonts w:ascii="Arial" w:hAnsi="Arial" w:cs="Arial"/>
          <w:bCs/>
          <w:sz w:val="22"/>
          <w:szCs w:val="22"/>
          <w:lang w:val="fr-FR"/>
        </w:rPr>
        <w:t xml:space="preserve">Direct </w:t>
      </w:r>
      <w:proofErr w:type="spellStart"/>
      <w:r w:rsidR="00D9653F" w:rsidRPr="00134581">
        <w:rPr>
          <w:rFonts w:ascii="Arial" w:hAnsi="Arial" w:cs="Arial"/>
          <w:bCs/>
          <w:sz w:val="22"/>
          <w:szCs w:val="22"/>
          <w:lang w:val="fr-FR"/>
        </w:rPr>
        <w:t>Gradual</w:t>
      </w:r>
      <w:proofErr w:type="spellEnd"/>
      <w:r w:rsidR="00D9653F" w:rsidRPr="00134581">
        <w:rPr>
          <w:rFonts w:ascii="Arial" w:hAnsi="Arial" w:cs="Arial"/>
          <w:bCs/>
          <w:sz w:val="22"/>
          <w:szCs w:val="22"/>
          <w:lang w:val="fr-FR"/>
        </w:rPr>
        <w:t xml:space="preserve"> </w:t>
      </w:r>
      <w:proofErr w:type="spellStart"/>
      <w:r w:rsidR="00D9653F" w:rsidRPr="00134581">
        <w:rPr>
          <w:rFonts w:ascii="Arial" w:hAnsi="Arial" w:cs="Arial"/>
          <w:bCs/>
          <w:sz w:val="22"/>
          <w:szCs w:val="22"/>
          <w:lang w:val="fr-FR"/>
        </w:rPr>
        <w:t>Development</w:t>
      </w:r>
      <w:proofErr w:type="spellEnd"/>
      <w:r w:rsidR="00D9653F" w:rsidRPr="00134581">
        <w:rPr>
          <w:rFonts w:ascii="Arial" w:hAnsi="Arial" w:cs="Arial"/>
          <w:bCs/>
          <w:sz w:val="22"/>
          <w:szCs w:val="22"/>
          <w:lang w:val="fr-FR"/>
        </w:rPr>
        <w:t>, Civil Association</w:t>
      </w:r>
      <w:r w:rsidR="00D9653F">
        <w:rPr>
          <w:rFonts w:ascii="Arial" w:hAnsi="Arial" w:cs="Arial"/>
          <w:bCs/>
          <w:sz w:val="22"/>
          <w:szCs w:val="22"/>
          <w:lang w:val="fr-FR"/>
        </w:rPr>
        <w:t> </w:t>
      </w:r>
      <w:r w:rsidR="00D9653F" w:rsidRPr="00134581">
        <w:rPr>
          <w:rFonts w:ascii="Arial" w:hAnsi="Arial" w:cs="Arial"/>
          <w:bCs/>
          <w:sz w:val="22"/>
          <w:szCs w:val="22"/>
          <w:lang w:val="fr-FR"/>
        </w:rPr>
        <w:t>” à soumettre à nouveau, si elle le souhaite, une demande d</w:t>
      </w:r>
      <w:r w:rsidR="008E532B">
        <w:rPr>
          <w:rFonts w:ascii="Arial" w:hAnsi="Arial" w:cs="Arial"/>
          <w:bCs/>
          <w:sz w:val="22"/>
          <w:szCs w:val="22"/>
          <w:lang w:val="fr-FR"/>
        </w:rPr>
        <w:t>’</w:t>
      </w:r>
      <w:r w:rsidR="00D9653F" w:rsidRPr="00134581">
        <w:rPr>
          <w:rFonts w:ascii="Arial" w:hAnsi="Arial" w:cs="Arial"/>
          <w:bCs/>
          <w:sz w:val="22"/>
          <w:szCs w:val="22"/>
          <w:lang w:val="fr-FR"/>
        </w:rPr>
        <w:t>accréditation lors d</w:t>
      </w:r>
      <w:r w:rsidR="008E532B">
        <w:rPr>
          <w:rFonts w:ascii="Arial" w:hAnsi="Arial" w:cs="Arial"/>
          <w:bCs/>
          <w:sz w:val="22"/>
          <w:szCs w:val="22"/>
          <w:lang w:val="fr-FR"/>
        </w:rPr>
        <w:t>’</w:t>
      </w:r>
      <w:r w:rsidR="00D9653F" w:rsidRPr="00134581">
        <w:rPr>
          <w:rFonts w:ascii="Arial" w:hAnsi="Arial" w:cs="Arial"/>
          <w:bCs/>
          <w:sz w:val="22"/>
          <w:szCs w:val="22"/>
          <w:lang w:val="fr-FR"/>
        </w:rPr>
        <w:t>un prochain cycle</w:t>
      </w:r>
      <w:r w:rsidR="00D9653F">
        <w:rPr>
          <w:rFonts w:ascii="Arial" w:hAnsi="Arial" w:cs="Arial"/>
          <w:bCs/>
          <w:sz w:val="22"/>
          <w:szCs w:val="22"/>
          <w:lang w:val="fr-FR"/>
        </w:rPr>
        <w:t> »</w:t>
      </w:r>
      <w:r w:rsidR="00D9653F" w:rsidRPr="00134581">
        <w:rPr>
          <w:rFonts w:ascii="Arial" w:hAnsi="Arial" w:cs="Arial"/>
          <w:bCs/>
          <w:sz w:val="22"/>
          <w:szCs w:val="22"/>
          <w:lang w:val="fr-FR"/>
        </w:rPr>
        <w:t>.</w:t>
      </w:r>
    </w:p>
    <w:p w14:paraId="30E671F8" w14:textId="59991B5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8569C">
        <w:rPr>
          <w:rFonts w:ascii="Arial" w:hAnsi="Arial" w:cs="Arial"/>
          <w:bCs/>
          <w:sz w:val="22"/>
          <w:szCs w:val="22"/>
          <w:lang w:val="fr-FR"/>
        </w:rPr>
        <w:t xml:space="preserve">La délégation </w:t>
      </w:r>
      <w:r>
        <w:rPr>
          <w:rFonts w:ascii="Arial" w:hAnsi="Arial" w:cs="Arial"/>
          <w:bCs/>
          <w:sz w:val="22"/>
          <w:szCs w:val="22"/>
          <w:lang w:val="fr-FR"/>
        </w:rPr>
        <w:t xml:space="preserve">de la </w:t>
      </w:r>
      <w:r w:rsidRPr="0018569C">
        <w:rPr>
          <w:rFonts w:ascii="Arial" w:hAnsi="Arial" w:cs="Arial"/>
          <w:b/>
          <w:sz w:val="22"/>
          <w:szCs w:val="22"/>
          <w:lang w:val="fr-FR"/>
        </w:rPr>
        <w:t>Suède</w:t>
      </w:r>
      <w:r>
        <w:rPr>
          <w:rFonts w:ascii="Arial" w:hAnsi="Arial" w:cs="Arial"/>
          <w:bCs/>
          <w:sz w:val="22"/>
          <w:szCs w:val="22"/>
          <w:lang w:val="fr-FR"/>
        </w:rPr>
        <w:t xml:space="preserve"> </w:t>
      </w:r>
      <w:r w:rsidRPr="0018569C">
        <w:rPr>
          <w:rFonts w:ascii="Arial" w:hAnsi="Arial" w:cs="Arial"/>
          <w:bCs/>
          <w:sz w:val="22"/>
          <w:szCs w:val="22"/>
          <w:lang w:val="fr-FR"/>
        </w:rPr>
        <w:t>a remercié le Mexique pour son dialogue constructif</w:t>
      </w:r>
      <w:r>
        <w:rPr>
          <w:rFonts w:ascii="Arial" w:hAnsi="Arial" w:cs="Arial"/>
          <w:bCs/>
          <w:sz w:val="22"/>
          <w:szCs w:val="22"/>
          <w:lang w:val="fr-FR"/>
        </w:rPr>
        <w:t>. Toutefois,</w:t>
      </w:r>
      <w:r w:rsidRPr="0018569C">
        <w:rPr>
          <w:rFonts w:ascii="Arial" w:hAnsi="Arial" w:cs="Arial"/>
          <w:bCs/>
          <w:sz w:val="22"/>
          <w:szCs w:val="22"/>
          <w:lang w:val="fr-FR"/>
        </w:rPr>
        <w:t xml:space="preserve"> elle</w:t>
      </w:r>
      <w:r>
        <w:rPr>
          <w:rFonts w:ascii="Arial" w:hAnsi="Arial" w:cs="Arial"/>
          <w:bCs/>
          <w:sz w:val="22"/>
          <w:szCs w:val="22"/>
          <w:lang w:val="fr-FR"/>
        </w:rPr>
        <w:t xml:space="preserve"> ne comprenait pas très bien</w:t>
      </w:r>
      <w:r w:rsidRPr="0018569C">
        <w:rPr>
          <w:rFonts w:ascii="Arial" w:hAnsi="Arial" w:cs="Arial"/>
          <w:bCs/>
          <w:sz w:val="22"/>
          <w:szCs w:val="22"/>
          <w:lang w:val="fr-FR"/>
        </w:rPr>
        <w:t xml:space="preserve"> le raisonnement qui sous-tend</w:t>
      </w:r>
      <w:r>
        <w:rPr>
          <w:rFonts w:ascii="Arial" w:hAnsi="Arial" w:cs="Arial"/>
          <w:bCs/>
          <w:sz w:val="22"/>
          <w:szCs w:val="22"/>
          <w:lang w:val="fr-FR"/>
        </w:rPr>
        <w:t>ait</w:t>
      </w:r>
      <w:r w:rsidRPr="0018569C">
        <w:rPr>
          <w:rFonts w:ascii="Arial" w:hAnsi="Arial" w:cs="Arial"/>
          <w:bCs/>
          <w:sz w:val="22"/>
          <w:szCs w:val="22"/>
          <w:lang w:val="fr-FR"/>
        </w:rPr>
        <w:t xml:space="preserve"> l</w:t>
      </w:r>
      <w:r w:rsidR="008E532B">
        <w:rPr>
          <w:rFonts w:ascii="Arial" w:hAnsi="Arial" w:cs="Arial"/>
          <w:bCs/>
          <w:sz w:val="22"/>
          <w:szCs w:val="22"/>
          <w:lang w:val="fr-FR"/>
        </w:rPr>
        <w:t>’</w:t>
      </w:r>
      <w:r w:rsidRPr="0018569C">
        <w:rPr>
          <w:rFonts w:ascii="Arial" w:hAnsi="Arial" w:cs="Arial"/>
          <w:bCs/>
          <w:sz w:val="22"/>
          <w:szCs w:val="22"/>
          <w:lang w:val="fr-FR"/>
        </w:rPr>
        <w:t>amendement, car elle estimait que les informations étaient suffisantes et qu</w:t>
      </w:r>
      <w:r w:rsidR="008E532B">
        <w:rPr>
          <w:rFonts w:ascii="Arial" w:hAnsi="Arial" w:cs="Arial"/>
          <w:bCs/>
          <w:sz w:val="22"/>
          <w:szCs w:val="22"/>
          <w:lang w:val="fr-FR"/>
        </w:rPr>
        <w:t>’</w:t>
      </w:r>
      <w:r w:rsidRPr="0018569C">
        <w:rPr>
          <w:rFonts w:ascii="Arial" w:hAnsi="Arial" w:cs="Arial"/>
          <w:bCs/>
          <w:sz w:val="22"/>
          <w:szCs w:val="22"/>
          <w:lang w:val="fr-FR"/>
        </w:rPr>
        <w:t>elles étaient conformes aux critères. Ainsi, dans l</w:t>
      </w:r>
      <w:r w:rsidR="008E532B">
        <w:rPr>
          <w:rFonts w:ascii="Arial" w:hAnsi="Arial" w:cs="Arial"/>
          <w:bCs/>
          <w:sz w:val="22"/>
          <w:szCs w:val="22"/>
          <w:lang w:val="fr-FR"/>
        </w:rPr>
        <w:t>’</w:t>
      </w:r>
      <w:r w:rsidRPr="0018569C">
        <w:rPr>
          <w:rFonts w:ascii="Arial" w:hAnsi="Arial" w:cs="Arial"/>
          <w:bCs/>
          <w:sz w:val="22"/>
          <w:szCs w:val="22"/>
          <w:lang w:val="fr-FR"/>
        </w:rPr>
        <w:t>intérêt de l</w:t>
      </w:r>
      <w:r w:rsidR="008E532B">
        <w:rPr>
          <w:rFonts w:ascii="Arial" w:hAnsi="Arial" w:cs="Arial"/>
          <w:bCs/>
          <w:sz w:val="22"/>
          <w:szCs w:val="22"/>
          <w:lang w:val="fr-FR"/>
        </w:rPr>
        <w:t>’</w:t>
      </w:r>
      <w:r w:rsidRPr="0018569C">
        <w:rPr>
          <w:rFonts w:ascii="Arial" w:hAnsi="Arial" w:cs="Arial"/>
          <w:bCs/>
          <w:sz w:val="22"/>
          <w:szCs w:val="22"/>
          <w:lang w:val="fr-FR"/>
        </w:rPr>
        <w:t>inclusion et de la transparence, si importantes, la délégation cherch</w:t>
      </w:r>
      <w:r>
        <w:rPr>
          <w:rFonts w:ascii="Arial" w:hAnsi="Arial" w:cs="Arial"/>
          <w:bCs/>
          <w:sz w:val="22"/>
          <w:szCs w:val="22"/>
          <w:lang w:val="fr-FR"/>
        </w:rPr>
        <w:t>ait</w:t>
      </w:r>
      <w:r w:rsidRPr="0018569C">
        <w:rPr>
          <w:rFonts w:ascii="Arial" w:hAnsi="Arial" w:cs="Arial"/>
          <w:bCs/>
          <w:sz w:val="22"/>
          <w:szCs w:val="22"/>
          <w:lang w:val="fr-FR"/>
        </w:rPr>
        <w:t xml:space="preserve"> à comprendre pourquoi les critères n</w:t>
      </w:r>
      <w:r w:rsidR="008E532B">
        <w:rPr>
          <w:rFonts w:ascii="Arial" w:hAnsi="Arial" w:cs="Arial"/>
          <w:bCs/>
          <w:sz w:val="22"/>
          <w:szCs w:val="22"/>
          <w:lang w:val="fr-FR"/>
        </w:rPr>
        <w:t>’</w:t>
      </w:r>
      <w:r w:rsidRPr="0018569C">
        <w:rPr>
          <w:rFonts w:ascii="Arial" w:hAnsi="Arial" w:cs="Arial"/>
          <w:bCs/>
          <w:sz w:val="22"/>
          <w:szCs w:val="22"/>
          <w:lang w:val="fr-FR"/>
        </w:rPr>
        <w:t>avaient pas été</w:t>
      </w:r>
      <w:r>
        <w:rPr>
          <w:rFonts w:ascii="Arial" w:hAnsi="Arial" w:cs="Arial"/>
          <w:bCs/>
          <w:sz w:val="22"/>
          <w:szCs w:val="22"/>
          <w:lang w:val="fr-FR"/>
        </w:rPr>
        <w:t xml:space="preserve"> satisfaits</w:t>
      </w:r>
      <w:r w:rsidRPr="0018569C">
        <w:rPr>
          <w:rFonts w:ascii="Arial" w:hAnsi="Arial" w:cs="Arial"/>
          <w:bCs/>
          <w:sz w:val="22"/>
          <w:szCs w:val="22"/>
          <w:lang w:val="fr-FR"/>
        </w:rPr>
        <w:t>. Elle a</w:t>
      </w:r>
      <w:r>
        <w:rPr>
          <w:rFonts w:ascii="Arial" w:hAnsi="Arial" w:cs="Arial"/>
          <w:bCs/>
          <w:sz w:val="22"/>
          <w:szCs w:val="22"/>
          <w:lang w:val="fr-FR"/>
        </w:rPr>
        <w:t>vait</w:t>
      </w:r>
      <w:r w:rsidRPr="0018569C">
        <w:rPr>
          <w:rFonts w:ascii="Arial" w:hAnsi="Arial" w:cs="Arial"/>
          <w:bCs/>
          <w:sz w:val="22"/>
          <w:szCs w:val="22"/>
          <w:lang w:val="fr-FR"/>
        </w:rPr>
        <w:t xml:space="preserve"> cru comprendre que lors d</w:t>
      </w:r>
      <w:r>
        <w:rPr>
          <w:rFonts w:ascii="Arial" w:hAnsi="Arial" w:cs="Arial"/>
          <w:bCs/>
          <w:sz w:val="22"/>
          <w:szCs w:val="22"/>
          <w:lang w:val="fr-FR"/>
        </w:rPr>
        <w:t xml:space="preserve">u </w:t>
      </w:r>
      <w:r w:rsidRPr="0018569C">
        <w:rPr>
          <w:rFonts w:ascii="Arial" w:hAnsi="Arial" w:cs="Arial"/>
          <w:bCs/>
          <w:sz w:val="22"/>
          <w:szCs w:val="22"/>
          <w:lang w:val="fr-FR"/>
        </w:rPr>
        <w:t>premier tour au</w:t>
      </w:r>
      <w:r>
        <w:rPr>
          <w:rFonts w:ascii="Arial" w:hAnsi="Arial" w:cs="Arial"/>
          <w:bCs/>
          <w:sz w:val="22"/>
          <w:szCs w:val="22"/>
          <w:lang w:val="fr-FR"/>
        </w:rPr>
        <w:t>près du</w:t>
      </w:r>
      <w:r w:rsidRPr="0018569C">
        <w:rPr>
          <w:rFonts w:ascii="Arial" w:hAnsi="Arial" w:cs="Arial"/>
          <w:bCs/>
          <w:sz w:val="22"/>
          <w:szCs w:val="22"/>
          <w:lang w:val="fr-FR"/>
        </w:rPr>
        <w:t xml:space="preserve"> Comité, les critères du dossier de candidature avaient été considérés par le Secrétariat comme étant satisfaits. Pour cette raison, la délégation souten</w:t>
      </w:r>
      <w:r>
        <w:rPr>
          <w:rFonts w:ascii="Arial" w:hAnsi="Arial" w:cs="Arial"/>
          <w:bCs/>
          <w:sz w:val="22"/>
          <w:szCs w:val="22"/>
          <w:lang w:val="fr-FR"/>
        </w:rPr>
        <w:t>ait</w:t>
      </w:r>
      <w:r w:rsidRPr="0018569C">
        <w:rPr>
          <w:rFonts w:ascii="Arial" w:hAnsi="Arial" w:cs="Arial"/>
          <w:bCs/>
          <w:sz w:val="22"/>
          <w:szCs w:val="22"/>
          <w:lang w:val="fr-FR"/>
        </w:rPr>
        <w:t xml:space="preserve"> l</w:t>
      </w:r>
      <w:r w:rsidR="008E532B">
        <w:rPr>
          <w:rFonts w:ascii="Arial" w:hAnsi="Arial" w:cs="Arial"/>
          <w:bCs/>
          <w:sz w:val="22"/>
          <w:szCs w:val="22"/>
          <w:lang w:val="fr-FR"/>
        </w:rPr>
        <w:t>’</w:t>
      </w:r>
      <w:r w:rsidRPr="0018569C">
        <w:rPr>
          <w:rFonts w:ascii="Arial" w:hAnsi="Arial" w:cs="Arial"/>
          <w:bCs/>
          <w:sz w:val="22"/>
          <w:szCs w:val="22"/>
          <w:lang w:val="fr-FR"/>
        </w:rPr>
        <w:t xml:space="preserve">option A [qui accrédite les deux ONG]. </w:t>
      </w:r>
    </w:p>
    <w:p w14:paraId="13AEFF41" w14:textId="0A2512D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proofErr w:type="gramStart"/>
      <w:r w:rsidRPr="0018569C">
        <w:rPr>
          <w:rFonts w:ascii="Arial" w:hAnsi="Arial" w:cs="Arial"/>
          <w:bCs/>
          <w:sz w:val="22"/>
          <w:szCs w:val="22"/>
          <w:lang w:val="fr-FR"/>
        </w:rPr>
        <w:t>Suite aux</w:t>
      </w:r>
      <w:proofErr w:type="gramEnd"/>
      <w:r w:rsidRPr="0018569C">
        <w:rPr>
          <w:rFonts w:ascii="Arial" w:hAnsi="Arial" w:cs="Arial"/>
          <w:bCs/>
          <w:sz w:val="22"/>
          <w:szCs w:val="22"/>
          <w:lang w:val="fr-FR"/>
        </w:rPr>
        <w:t xml:space="preserve"> éclaircissements</w:t>
      </w:r>
      <w:r>
        <w:rPr>
          <w:rFonts w:ascii="Arial" w:hAnsi="Arial" w:cs="Arial"/>
          <w:bCs/>
          <w:sz w:val="22"/>
          <w:szCs w:val="22"/>
          <w:lang w:val="fr-FR"/>
        </w:rPr>
        <w:t xml:space="preserve"> donnés</w:t>
      </w:r>
      <w:r w:rsidRPr="0018569C">
        <w:rPr>
          <w:rFonts w:ascii="Arial" w:hAnsi="Arial" w:cs="Arial"/>
          <w:bCs/>
          <w:sz w:val="22"/>
          <w:szCs w:val="22"/>
          <w:lang w:val="fr-FR"/>
        </w:rPr>
        <w:t xml:space="preserve">, la délégation </w:t>
      </w:r>
      <w:r>
        <w:rPr>
          <w:rFonts w:ascii="Arial" w:hAnsi="Arial" w:cs="Arial"/>
          <w:bCs/>
          <w:sz w:val="22"/>
          <w:szCs w:val="22"/>
          <w:lang w:val="fr-FR"/>
        </w:rPr>
        <w:t xml:space="preserve">de la </w:t>
      </w:r>
      <w:r w:rsidRPr="0018569C">
        <w:rPr>
          <w:rFonts w:ascii="Arial" w:hAnsi="Arial" w:cs="Arial"/>
          <w:b/>
          <w:sz w:val="22"/>
          <w:szCs w:val="22"/>
          <w:lang w:val="fr-FR"/>
        </w:rPr>
        <w:t>Colombie</w:t>
      </w:r>
      <w:r w:rsidRPr="0018569C">
        <w:rPr>
          <w:rFonts w:ascii="Arial" w:hAnsi="Arial" w:cs="Arial"/>
          <w:bCs/>
          <w:sz w:val="22"/>
          <w:szCs w:val="22"/>
          <w:lang w:val="fr-FR"/>
        </w:rPr>
        <w:t xml:space="preserve"> souten</w:t>
      </w:r>
      <w:r>
        <w:rPr>
          <w:rFonts w:ascii="Arial" w:hAnsi="Arial" w:cs="Arial"/>
          <w:bCs/>
          <w:sz w:val="22"/>
          <w:szCs w:val="22"/>
          <w:lang w:val="fr-FR"/>
        </w:rPr>
        <w:t>ait</w:t>
      </w:r>
      <w:r w:rsidRPr="0018569C">
        <w:rPr>
          <w:rFonts w:ascii="Arial" w:hAnsi="Arial" w:cs="Arial"/>
          <w:bCs/>
          <w:sz w:val="22"/>
          <w:szCs w:val="22"/>
          <w:lang w:val="fr-FR"/>
        </w:rPr>
        <w:t xml:space="preserve"> la proposition claire du Mexique, ajoutant que l</w:t>
      </w:r>
      <w:r w:rsidR="008E532B">
        <w:rPr>
          <w:rFonts w:ascii="Arial" w:hAnsi="Arial" w:cs="Arial"/>
          <w:bCs/>
          <w:sz w:val="22"/>
          <w:szCs w:val="22"/>
          <w:lang w:val="fr-FR"/>
        </w:rPr>
        <w:t>’</w:t>
      </w:r>
      <w:r w:rsidRPr="0018569C">
        <w:rPr>
          <w:rFonts w:ascii="Arial" w:hAnsi="Arial" w:cs="Arial"/>
          <w:bCs/>
          <w:sz w:val="22"/>
          <w:szCs w:val="22"/>
          <w:lang w:val="fr-FR"/>
        </w:rPr>
        <w:t>objectif n</w:t>
      </w:r>
      <w:r w:rsidR="008E532B">
        <w:rPr>
          <w:rFonts w:ascii="Arial" w:hAnsi="Arial" w:cs="Arial"/>
          <w:bCs/>
          <w:sz w:val="22"/>
          <w:szCs w:val="22"/>
          <w:lang w:val="fr-FR"/>
        </w:rPr>
        <w:t>’</w:t>
      </w:r>
      <w:r w:rsidRPr="0018569C">
        <w:rPr>
          <w:rFonts w:ascii="Arial" w:hAnsi="Arial" w:cs="Arial"/>
          <w:bCs/>
          <w:sz w:val="22"/>
          <w:szCs w:val="22"/>
          <w:lang w:val="fr-FR"/>
        </w:rPr>
        <w:t>était en aucun cas de limiter la participation mais d</w:t>
      </w:r>
      <w:r w:rsidR="008E532B">
        <w:rPr>
          <w:rFonts w:ascii="Arial" w:hAnsi="Arial" w:cs="Arial"/>
          <w:bCs/>
          <w:sz w:val="22"/>
          <w:szCs w:val="22"/>
          <w:lang w:val="fr-FR"/>
        </w:rPr>
        <w:t>’</w:t>
      </w:r>
      <w:r w:rsidRPr="0018569C">
        <w:rPr>
          <w:rFonts w:ascii="Arial" w:hAnsi="Arial" w:cs="Arial"/>
          <w:bCs/>
          <w:sz w:val="22"/>
          <w:szCs w:val="22"/>
          <w:lang w:val="fr-FR"/>
        </w:rPr>
        <w:t>insister sur la présentation technique et juridique très rigoureuse des dossiers pour l</w:t>
      </w:r>
      <w:r w:rsidR="008E532B">
        <w:rPr>
          <w:rFonts w:ascii="Arial" w:hAnsi="Arial" w:cs="Arial"/>
          <w:bCs/>
          <w:sz w:val="22"/>
          <w:szCs w:val="22"/>
          <w:lang w:val="fr-FR"/>
        </w:rPr>
        <w:t>’</w:t>
      </w:r>
      <w:r w:rsidRPr="0018569C">
        <w:rPr>
          <w:rFonts w:ascii="Arial" w:hAnsi="Arial" w:cs="Arial"/>
          <w:bCs/>
          <w:sz w:val="22"/>
          <w:szCs w:val="22"/>
          <w:lang w:val="fr-FR"/>
        </w:rPr>
        <w:t xml:space="preserve">accréditation. La délégation </w:t>
      </w:r>
      <w:r>
        <w:rPr>
          <w:rFonts w:ascii="Arial" w:hAnsi="Arial" w:cs="Arial"/>
          <w:bCs/>
          <w:sz w:val="22"/>
          <w:szCs w:val="22"/>
          <w:lang w:val="fr-FR"/>
        </w:rPr>
        <w:t>pensait</w:t>
      </w:r>
      <w:r w:rsidRPr="0018569C">
        <w:rPr>
          <w:rFonts w:ascii="Arial" w:hAnsi="Arial" w:cs="Arial"/>
          <w:bCs/>
          <w:sz w:val="22"/>
          <w:szCs w:val="22"/>
          <w:lang w:val="fr-FR"/>
        </w:rPr>
        <w:t>, comme l</w:t>
      </w:r>
      <w:r w:rsidR="008E532B">
        <w:rPr>
          <w:rFonts w:ascii="Arial" w:hAnsi="Arial" w:cs="Arial"/>
          <w:bCs/>
          <w:sz w:val="22"/>
          <w:szCs w:val="22"/>
          <w:lang w:val="fr-FR"/>
        </w:rPr>
        <w:t>’</w:t>
      </w:r>
      <w:r>
        <w:rPr>
          <w:rFonts w:ascii="Arial" w:hAnsi="Arial" w:cs="Arial"/>
          <w:bCs/>
          <w:sz w:val="22"/>
          <w:szCs w:val="22"/>
          <w:lang w:val="fr-FR"/>
        </w:rPr>
        <w:t xml:space="preserve">avaient </w:t>
      </w:r>
      <w:r w:rsidRPr="0018569C">
        <w:rPr>
          <w:rFonts w:ascii="Arial" w:hAnsi="Arial" w:cs="Arial"/>
          <w:bCs/>
          <w:sz w:val="22"/>
          <w:szCs w:val="22"/>
          <w:lang w:val="fr-FR"/>
        </w:rPr>
        <w:t xml:space="preserve">mentionné plusieurs </w:t>
      </w:r>
      <w:r>
        <w:rPr>
          <w:rFonts w:ascii="Arial" w:hAnsi="Arial" w:cs="Arial"/>
          <w:sz w:val="22"/>
          <w:szCs w:val="22"/>
          <w:lang w:val="fr-FR"/>
        </w:rPr>
        <w:t>orateurs</w:t>
      </w:r>
      <w:r w:rsidRPr="0018569C">
        <w:rPr>
          <w:rFonts w:ascii="Arial" w:hAnsi="Arial" w:cs="Arial"/>
          <w:bCs/>
          <w:sz w:val="22"/>
          <w:szCs w:val="22"/>
          <w:lang w:val="fr-FR"/>
        </w:rPr>
        <w:t xml:space="preserve"> au cours du débat, que les accréditations nécessit</w:t>
      </w:r>
      <w:r>
        <w:rPr>
          <w:rFonts w:ascii="Arial" w:hAnsi="Arial" w:cs="Arial"/>
          <w:bCs/>
          <w:sz w:val="22"/>
          <w:szCs w:val="22"/>
          <w:lang w:val="fr-FR"/>
        </w:rPr>
        <w:t>a</w:t>
      </w:r>
      <w:r w:rsidRPr="0018569C">
        <w:rPr>
          <w:rFonts w:ascii="Arial" w:hAnsi="Arial" w:cs="Arial"/>
          <w:bCs/>
          <w:sz w:val="22"/>
          <w:szCs w:val="22"/>
          <w:lang w:val="fr-FR"/>
        </w:rPr>
        <w:t xml:space="preserve">nt </w:t>
      </w:r>
      <w:r>
        <w:rPr>
          <w:rFonts w:ascii="Arial" w:hAnsi="Arial" w:cs="Arial"/>
          <w:bCs/>
          <w:sz w:val="22"/>
          <w:szCs w:val="22"/>
          <w:lang w:val="fr-FR"/>
        </w:rPr>
        <w:t xml:space="preserve">un complément </w:t>
      </w:r>
      <w:r w:rsidRPr="0018569C">
        <w:rPr>
          <w:rFonts w:ascii="Arial" w:hAnsi="Arial" w:cs="Arial"/>
          <w:bCs/>
          <w:sz w:val="22"/>
          <w:szCs w:val="22"/>
          <w:lang w:val="fr-FR"/>
        </w:rPr>
        <w:t>d</w:t>
      </w:r>
      <w:r w:rsidR="008E532B">
        <w:rPr>
          <w:rFonts w:ascii="Arial" w:hAnsi="Arial" w:cs="Arial"/>
          <w:bCs/>
          <w:sz w:val="22"/>
          <w:szCs w:val="22"/>
          <w:lang w:val="fr-FR"/>
        </w:rPr>
        <w:t>’</w:t>
      </w:r>
      <w:r w:rsidRPr="0018569C">
        <w:rPr>
          <w:rFonts w:ascii="Arial" w:hAnsi="Arial" w:cs="Arial"/>
          <w:bCs/>
          <w:sz w:val="22"/>
          <w:szCs w:val="22"/>
          <w:lang w:val="fr-FR"/>
        </w:rPr>
        <w:t>informations suscit</w:t>
      </w:r>
      <w:r>
        <w:rPr>
          <w:rFonts w:ascii="Arial" w:hAnsi="Arial" w:cs="Arial"/>
          <w:bCs/>
          <w:sz w:val="22"/>
          <w:szCs w:val="22"/>
          <w:lang w:val="fr-FR"/>
        </w:rPr>
        <w:t>ai</w:t>
      </w:r>
      <w:r w:rsidRPr="0018569C">
        <w:rPr>
          <w:rFonts w:ascii="Arial" w:hAnsi="Arial" w:cs="Arial"/>
          <w:bCs/>
          <w:sz w:val="22"/>
          <w:szCs w:val="22"/>
          <w:lang w:val="fr-FR"/>
        </w:rPr>
        <w:t>ent parfois des inquiétudes, comme dans ce cas particulier. L</w:t>
      </w:r>
      <w:r w:rsidR="008E532B">
        <w:rPr>
          <w:rFonts w:ascii="Arial" w:hAnsi="Arial" w:cs="Arial"/>
          <w:bCs/>
          <w:sz w:val="22"/>
          <w:szCs w:val="22"/>
          <w:lang w:val="fr-FR"/>
        </w:rPr>
        <w:t>’</w:t>
      </w:r>
      <w:r w:rsidRPr="0018569C">
        <w:rPr>
          <w:rFonts w:ascii="Arial" w:hAnsi="Arial" w:cs="Arial"/>
          <w:bCs/>
          <w:sz w:val="22"/>
          <w:szCs w:val="22"/>
          <w:lang w:val="fr-FR"/>
        </w:rPr>
        <w:t xml:space="preserve">ONG </w:t>
      </w:r>
      <w:r>
        <w:rPr>
          <w:rFonts w:ascii="Arial" w:hAnsi="Arial" w:cs="Arial"/>
          <w:bCs/>
          <w:sz w:val="22"/>
          <w:szCs w:val="22"/>
          <w:lang w:val="fr-FR"/>
        </w:rPr>
        <w:t xml:space="preserve">était </w:t>
      </w:r>
      <w:r w:rsidRPr="0018569C">
        <w:rPr>
          <w:rFonts w:ascii="Arial" w:hAnsi="Arial" w:cs="Arial"/>
          <w:bCs/>
          <w:sz w:val="22"/>
          <w:szCs w:val="22"/>
          <w:lang w:val="fr-FR"/>
        </w:rPr>
        <w:t xml:space="preserve">donc invitée à soumettre à nouveau un dossier pour dissiper les doutes et corriger les inexactitudes dans une nouvelle soumission à </w:t>
      </w:r>
      <w:r>
        <w:rPr>
          <w:rFonts w:ascii="Arial" w:hAnsi="Arial" w:cs="Arial"/>
          <w:bCs/>
          <w:sz w:val="22"/>
          <w:szCs w:val="22"/>
          <w:lang w:val="fr-FR"/>
        </w:rPr>
        <w:t>venir</w:t>
      </w:r>
      <w:r w:rsidRPr="0018569C">
        <w:rPr>
          <w:rFonts w:ascii="Arial" w:hAnsi="Arial" w:cs="Arial"/>
          <w:bCs/>
          <w:sz w:val="22"/>
          <w:szCs w:val="22"/>
          <w:lang w:val="fr-FR"/>
        </w:rPr>
        <w:t>. L</w:t>
      </w:r>
      <w:r w:rsidR="008E532B">
        <w:rPr>
          <w:rFonts w:ascii="Arial" w:hAnsi="Arial" w:cs="Arial"/>
          <w:bCs/>
          <w:sz w:val="22"/>
          <w:szCs w:val="22"/>
          <w:lang w:val="fr-FR"/>
        </w:rPr>
        <w:t>’</w:t>
      </w:r>
      <w:r w:rsidRPr="0018569C">
        <w:rPr>
          <w:rFonts w:ascii="Arial" w:hAnsi="Arial" w:cs="Arial"/>
          <w:bCs/>
          <w:sz w:val="22"/>
          <w:szCs w:val="22"/>
          <w:lang w:val="fr-FR"/>
        </w:rPr>
        <w:t>objectif n</w:t>
      </w:r>
      <w:r w:rsidR="008E532B">
        <w:rPr>
          <w:rFonts w:ascii="Arial" w:hAnsi="Arial" w:cs="Arial"/>
          <w:bCs/>
          <w:sz w:val="22"/>
          <w:szCs w:val="22"/>
          <w:lang w:val="fr-FR"/>
        </w:rPr>
        <w:t>’</w:t>
      </w:r>
      <w:r w:rsidRPr="0018569C">
        <w:rPr>
          <w:rFonts w:ascii="Arial" w:hAnsi="Arial" w:cs="Arial"/>
          <w:bCs/>
          <w:sz w:val="22"/>
          <w:szCs w:val="22"/>
          <w:lang w:val="fr-FR"/>
        </w:rPr>
        <w:t>était pas de limiter la participation de l</w:t>
      </w:r>
      <w:r w:rsidR="008E532B">
        <w:rPr>
          <w:rFonts w:ascii="Arial" w:hAnsi="Arial" w:cs="Arial"/>
          <w:bCs/>
          <w:sz w:val="22"/>
          <w:szCs w:val="22"/>
          <w:lang w:val="fr-FR"/>
        </w:rPr>
        <w:t>’</w:t>
      </w:r>
      <w:r w:rsidRPr="0018569C">
        <w:rPr>
          <w:rFonts w:ascii="Arial" w:hAnsi="Arial" w:cs="Arial"/>
          <w:bCs/>
          <w:sz w:val="22"/>
          <w:szCs w:val="22"/>
          <w:lang w:val="fr-FR"/>
        </w:rPr>
        <w:t>ONG.</w:t>
      </w:r>
    </w:p>
    <w:p w14:paraId="3B831104" w14:textId="4893CDB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C54C6">
        <w:rPr>
          <w:rFonts w:ascii="Arial" w:hAnsi="Arial" w:cs="Arial"/>
          <w:bCs/>
          <w:sz w:val="22"/>
          <w:szCs w:val="22"/>
          <w:lang w:val="fr-FR"/>
        </w:rPr>
        <w:t xml:space="preserve">La délégation de la </w:t>
      </w:r>
      <w:r w:rsidRPr="003C54C6">
        <w:rPr>
          <w:rFonts w:ascii="Arial" w:hAnsi="Arial" w:cs="Arial"/>
          <w:b/>
          <w:sz w:val="22"/>
          <w:szCs w:val="22"/>
          <w:lang w:val="fr-FR"/>
        </w:rPr>
        <w:t>Tchéquie</w:t>
      </w:r>
      <w:r w:rsidRPr="003C54C6">
        <w:rPr>
          <w:rFonts w:ascii="Arial" w:hAnsi="Arial" w:cs="Arial"/>
          <w:bCs/>
          <w:sz w:val="22"/>
          <w:szCs w:val="22"/>
          <w:lang w:val="fr-FR"/>
        </w:rPr>
        <w:t xml:space="preserve"> a pris note des préoccupations du Mexique concernant les deux ONG citées et, bien qu</w:t>
      </w:r>
      <w:r w:rsidR="008E532B">
        <w:rPr>
          <w:rFonts w:ascii="Arial" w:hAnsi="Arial" w:cs="Arial"/>
          <w:bCs/>
          <w:sz w:val="22"/>
          <w:szCs w:val="22"/>
          <w:lang w:val="fr-FR"/>
        </w:rPr>
        <w:t>’</w:t>
      </w:r>
      <w:r w:rsidRPr="003C54C6">
        <w:rPr>
          <w:rFonts w:ascii="Arial" w:hAnsi="Arial" w:cs="Arial"/>
          <w:bCs/>
          <w:sz w:val="22"/>
          <w:szCs w:val="22"/>
          <w:lang w:val="fr-FR"/>
        </w:rPr>
        <w:t>elle comprenne les questions soulevées, elle a convenu avec la Suède que lorsque le dossier d</w:t>
      </w:r>
      <w:r w:rsidR="008E532B">
        <w:rPr>
          <w:rFonts w:ascii="Arial" w:hAnsi="Arial" w:cs="Arial"/>
          <w:bCs/>
          <w:sz w:val="22"/>
          <w:szCs w:val="22"/>
          <w:lang w:val="fr-FR"/>
        </w:rPr>
        <w:t>’</w:t>
      </w:r>
      <w:r w:rsidRPr="003C54C6">
        <w:rPr>
          <w:rFonts w:ascii="Arial" w:hAnsi="Arial" w:cs="Arial"/>
          <w:bCs/>
          <w:sz w:val="22"/>
          <w:szCs w:val="22"/>
          <w:lang w:val="fr-FR"/>
        </w:rPr>
        <w:t>accréditation de l</w:t>
      </w:r>
      <w:r w:rsidR="008E532B">
        <w:rPr>
          <w:rFonts w:ascii="Arial" w:hAnsi="Arial" w:cs="Arial"/>
          <w:bCs/>
          <w:sz w:val="22"/>
          <w:szCs w:val="22"/>
          <w:lang w:val="fr-FR"/>
        </w:rPr>
        <w:t>’</w:t>
      </w:r>
      <w:r w:rsidRPr="003C54C6">
        <w:rPr>
          <w:rFonts w:ascii="Arial" w:hAnsi="Arial" w:cs="Arial"/>
          <w:bCs/>
          <w:sz w:val="22"/>
          <w:szCs w:val="22"/>
          <w:lang w:val="fr-FR"/>
        </w:rPr>
        <w:t xml:space="preserve">ONG Direct </w:t>
      </w:r>
      <w:proofErr w:type="spellStart"/>
      <w:r w:rsidRPr="003C54C6">
        <w:rPr>
          <w:rFonts w:ascii="Arial" w:hAnsi="Arial" w:cs="Arial"/>
          <w:bCs/>
          <w:sz w:val="22"/>
          <w:szCs w:val="22"/>
          <w:lang w:val="fr-FR"/>
        </w:rPr>
        <w:t>Gradual</w:t>
      </w:r>
      <w:proofErr w:type="spellEnd"/>
      <w:r w:rsidRPr="003C54C6">
        <w:rPr>
          <w:rFonts w:ascii="Arial" w:hAnsi="Arial" w:cs="Arial"/>
          <w:bCs/>
          <w:sz w:val="22"/>
          <w:szCs w:val="22"/>
          <w:lang w:val="fr-FR"/>
        </w:rPr>
        <w:t xml:space="preserve"> </w:t>
      </w:r>
      <w:proofErr w:type="spellStart"/>
      <w:r w:rsidRPr="003C54C6">
        <w:rPr>
          <w:rFonts w:ascii="Arial" w:hAnsi="Arial" w:cs="Arial"/>
          <w:bCs/>
          <w:sz w:val="22"/>
          <w:szCs w:val="22"/>
          <w:lang w:val="fr-FR"/>
        </w:rPr>
        <w:t>Development</w:t>
      </w:r>
      <w:proofErr w:type="spellEnd"/>
      <w:r w:rsidRPr="003C54C6">
        <w:rPr>
          <w:rFonts w:ascii="Arial" w:hAnsi="Arial" w:cs="Arial"/>
          <w:bCs/>
          <w:sz w:val="22"/>
          <w:szCs w:val="22"/>
          <w:lang w:val="fr-FR"/>
        </w:rPr>
        <w:t xml:space="preserve"> a</w:t>
      </w:r>
      <w:r>
        <w:rPr>
          <w:rFonts w:ascii="Arial" w:hAnsi="Arial" w:cs="Arial"/>
          <w:bCs/>
          <w:sz w:val="22"/>
          <w:szCs w:val="22"/>
          <w:lang w:val="fr-FR"/>
        </w:rPr>
        <w:t>vait</w:t>
      </w:r>
      <w:r w:rsidRPr="003C54C6">
        <w:rPr>
          <w:rFonts w:ascii="Arial" w:hAnsi="Arial" w:cs="Arial"/>
          <w:bCs/>
          <w:sz w:val="22"/>
          <w:szCs w:val="22"/>
          <w:lang w:val="fr-FR"/>
        </w:rPr>
        <w:t xml:space="preserve"> été examiné par le Secrétariat, aucun problème technique ou autre n</w:t>
      </w:r>
      <w:r w:rsidR="008E532B">
        <w:rPr>
          <w:rFonts w:ascii="Arial" w:hAnsi="Arial" w:cs="Arial"/>
          <w:bCs/>
          <w:sz w:val="22"/>
          <w:szCs w:val="22"/>
          <w:lang w:val="fr-FR"/>
        </w:rPr>
        <w:t>’</w:t>
      </w:r>
      <w:r w:rsidRPr="003C54C6">
        <w:rPr>
          <w:rFonts w:ascii="Arial" w:hAnsi="Arial" w:cs="Arial"/>
          <w:bCs/>
          <w:sz w:val="22"/>
          <w:szCs w:val="22"/>
          <w:lang w:val="fr-FR"/>
        </w:rPr>
        <w:t>a</w:t>
      </w:r>
      <w:r>
        <w:rPr>
          <w:rFonts w:ascii="Arial" w:hAnsi="Arial" w:cs="Arial"/>
          <w:bCs/>
          <w:sz w:val="22"/>
          <w:szCs w:val="22"/>
          <w:lang w:val="fr-FR"/>
        </w:rPr>
        <w:t>vait</w:t>
      </w:r>
      <w:r w:rsidRPr="003C54C6">
        <w:rPr>
          <w:rFonts w:ascii="Arial" w:hAnsi="Arial" w:cs="Arial"/>
          <w:bCs/>
          <w:sz w:val="22"/>
          <w:szCs w:val="22"/>
          <w:lang w:val="fr-FR"/>
        </w:rPr>
        <w:t xml:space="preserve"> été soulevé. </w:t>
      </w:r>
      <w:r>
        <w:rPr>
          <w:rFonts w:ascii="Arial" w:hAnsi="Arial" w:cs="Arial"/>
          <w:bCs/>
          <w:sz w:val="22"/>
          <w:szCs w:val="22"/>
          <w:lang w:val="fr-FR"/>
        </w:rPr>
        <w:t xml:space="preserve">Par ailleurs, on ne saurait dire </w:t>
      </w:r>
      <w:r w:rsidRPr="003C54C6">
        <w:rPr>
          <w:rFonts w:ascii="Arial" w:hAnsi="Arial" w:cs="Arial"/>
          <w:bCs/>
          <w:sz w:val="22"/>
          <w:szCs w:val="22"/>
          <w:lang w:val="fr-FR"/>
        </w:rPr>
        <w:t>quel critère n</w:t>
      </w:r>
      <w:r w:rsidR="008E532B">
        <w:rPr>
          <w:rFonts w:ascii="Arial" w:hAnsi="Arial" w:cs="Arial"/>
          <w:bCs/>
          <w:sz w:val="22"/>
          <w:szCs w:val="22"/>
          <w:lang w:val="fr-FR"/>
        </w:rPr>
        <w:t>’</w:t>
      </w:r>
      <w:r>
        <w:rPr>
          <w:rFonts w:ascii="Arial" w:hAnsi="Arial" w:cs="Arial"/>
          <w:bCs/>
          <w:sz w:val="22"/>
          <w:szCs w:val="22"/>
          <w:lang w:val="fr-FR"/>
        </w:rPr>
        <w:t>était</w:t>
      </w:r>
      <w:r w:rsidRPr="003C54C6">
        <w:rPr>
          <w:rFonts w:ascii="Arial" w:hAnsi="Arial" w:cs="Arial"/>
          <w:bCs/>
          <w:sz w:val="22"/>
          <w:szCs w:val="22"/>
          <w:lang w:val="fr-FR"/>
        </w:rPr>
        <w:t xml:space="preserve"> </w:t>
      </w:r>
      <w:r>
        <w:rPr>
          <w:rFonts w:ascii="Arial" w:hAnsi="Arial" w:cs="Arial"/>
          <w:bCs/>
          <w:sz w:val="22"/>
          <w:szCs w:val="22"/>
          <w:lang w:val="fr-FR"/>
        </w:rPr>
        <w:t>pas satisfait</w:t>
      </w:r>
      <w:r w:rsidRPr="003C54C6">
        <w:rPr>
          <w:rFonts w:ascii="Arial" w:hAnsi="Arial" w:cs="Arial"/>
          <w:bCs/>
          <w:sz w:val="22"/>
          <w:szCs w:val="22"/>
          <w:lang w:val="fr-FR"/>
        </w:rPr>
        <w:t>. La délégation était donc favorable à l</w:t>
      </w:r>
      <w:r w:rsidR="008E532B">
        <w:rPr>
          <w:rFonts w:ascii="Arial" w:hAnsi="Arial" w:cs="Arial"/>
          <w:bCs/>
          <w:sz w:val="22"/>
          <w:szCs w:val="22"/>
          <w:lang w:val="fr-FR"/>
        </w:rPr>
        <w:t>’</w:t>
      </w:r>
      <w:r w:rsidRPr="003C54C6">
        <w:rPr>
          <w:rFonts w:ascii="Arial" w:hAnsi="Arial" w:cs="Arial"/>
          <w:bCs/>
          <w:sz w:val="22"/>
          <w:szCs w:val="22"/>
          <w:lang w:val="fr-FR"/>
        </w:rPr>
        <w:t>accréditation des deux ONG, notamment</w:t>
      </w:r>
      <w:r>
        <w:rPr>
          <w:rFonts w:ascii="Arial" w:hAnsi="Arial" w:cs="Arial"/>
          <w:bCs/>
          <w:sz w:val="22"/>
          <w:szCs w:val="22"/>
          <w:lang w:val="fr-FR"/>
        </w:rPr>
        <w:t xml:space="preserve"> au regard du</w:t>
      </w:r>
      <w:r w:rsidRPr="003C54C6">
        <w:rPr>
          <w:rFonts w:ascii="Arial" w:hAnsi="Arial" w:cs="Arial"/>
          <w:bCs/>
          <w:sz w:val="22"/>
          <w:szCs w:val="22"/>
          <w:lang w:val="fr-FR"/>
        </w:rPr>
        <w:t xml:space="preserve"> traitement équitable de toutes les demandes. Par conséquent, les deux ONG </w:t>
      </w:r>
      <w:r>
        <w:rPr>
          <w:rFonts w:ascii="Arial" w:hAnsi="Arial" w:cs="Arial"/>
          <w:bCs/>
          <w:sz w:val="22"/>
          <w:szCs w:val="22"/>
          <w:lang w:val="fr-FR"/>
        </w:rPr>
        <w:t>satisfaisaient aux</w:t>
      </w:r>
      <w:r w:rsidRPr="003C54C6">
        <w:rPr>
          <w:rFonts w:ascii="Arial" w:hAnsi="Arial" w:cs="Arial"/>
          <w:bCs/>
          <w:sz w:val="22"/>
          <w:szCs w:val="22"/>
          <w:lang w:val="fr-FR"/>
        </w:rPr>
        <w:t xml:space="preserve"> critères d</w:t>
      </w:r>
      <w:r w:rsidR="008E532B">
        <w:rPr>
          <w:rFonts w:ascii="Arial" w:hAnsi="Arial" w:cs="Arial"/>
          <w:bCs/>
          <w:sz w:val="22"/>
          <w:szCs w:val="22"/>
          <w:lang w:val="fr-FR"/>
        </w:rPr>
        <w:t>’</w:t>
      </w:r>
      <w:r w:rsidRPr="003C54C6">
        <w:rPr>
          <w:rFonts w:ascii="Arial" w:hAnsi="Arial" w:cs="Arial"/>
          <w:bCs/>
          <w:sz w:val="22"/>
          <w:szCs w:val="22"/>
          <w:lang w:val="fr-FR"/>
        </w:rPr>
        <w:t>accréditation et l</w:t>
      </w:r>
      <w:r w:rsidR="008E532B">
        <w:rPr>
          <w:rFonts w:ascii="Arial" w:hAnsi="Arial" w:cs="Arial"/>
          <w:bCs/>
          <w:sz w:val="22"/>
          <w:szCs w:val="22"/>
          <w:lang w:val="fr-FR"/>
        </w:rPr>
        <w:t>’</w:t>
      </w:r>
      <w:r w:rsidRPr="003C54C6">
        <w:rPr>
          <w:rFonts w:ascii="Arial" w:hAnsi="Arial" w:cs="Arial"/>
          <w:bCs/>
          <w:sz w:val="22"/>
          <w:szCs w:val="22"/>
          <w:lang w:val="fr-FR"/>
        </w:rPr>
        <w:t xml:space="preserve">option A </w:t>
      </w:r>
      <w:r>
        <w:rPr>
          <w:rFonts w:ascii="Arial" w:hAnsi="Arial" w:cs="Arial"/>
          <w:bCs/>
          <w:sz w:val="22"/>
          <w:szCs w:val="22"/>
          <w:lang w:val="fr-FR"/>
        </w:rPr>
        <w:t>était</w:t>
      </w:r>
      <w:r w:rsidRPr="003C54C6">
        <w:rPr>
          <w:rFonts w:ascii="Arial" w:hAnsi="Arial" w:cs="Arial"/>
          <w:bCs/>
          <w:sz w:val="22"/>
          <w:szCs w:val="22"/>
          <w:lang w:val="fr-FR"/>
        </w:rPr>
        <w:t xml:space="preserve"> privilégiée.</w:t>
      </w:r>
    </w:p>
    <w:p w14:paraId="2E30AD55" w14:textId="2B8533C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C54C6">
        <w:rPr>
          <w:rFonts w:ascii="Arial" w:hAnsi="Arial" w:cs="Arial"/>
          <w:bCs/>
          <w:sz w:val="22"/>
          <w:szCs w:val="22"/>
          <w:lang w:val="fr-FR"/>
        </w:rPr>
        <w:t xml:space="preserve">La délégation de la </w:t>
      </w:r>
      <w:r w:rsidRPr="003C54C6">
        <w:rPr>
          <w:rFonts w:ascii="Arial" w:hAnsi="Arial" w:cs="Arial"/>
          <w:b/>
          <w:sz w:val="22"/>
          <w:szCs w:val="22"/>
          <w:lang w:val="fr-FR"/>
        </w:rPr>
        <w:t>Palestine</w:t>
      </w:r>
      <w:r w:rsidRPr="003C54C6">
        <w:rPr>
          <w:rFonts w:ascii="Arial" w:hAnsi="Arial" w:cs="Arial"/>
          <w:bCs/>
          <w:sz w:val="22"/>
          <w:szCs w:val="22"/>
          <w:lang w:val="fr-FR"/>
        </w:rPr>
        <w:t>, qui a</w:t>
      </w:r>
      <w:r>
        <w:rPr>
          <w:rFonts w:ascii="Arial" w:hAnsi="Arial" w:cs="Arial"/>
          <w:bCs/>
          <w:sz w:val="22"/>
          <w:szCs w:val="22"/>
          <w:lang w:val="fr-FR"/>
        </w:rPr>
        <w:t>vait</w:t>
      </w:r>
      <w:r w:rsidRPr="003C54C6">
        <w:rPr>
          <w:rFonts w:ascii="Arial" w:hAnsi="Arial" w:cs="Arial"/>
          <w:bCs/>
          <w:sz w:val="22"/>
          <w:szCs w:val="22"/>
          <w:lang w:val="fr-FR"/>
        </w:rPr>
        <w:t xml:space="preserve"> examiné de près les échanges et les réponses des ONG et des parties concernée</w:t>
      </w:r>
      <w:r>
        <w:rPr>
          <w:rFonts w:ascii="Arial" w:hAnsi="Arial" w:cs="Arial"/>
          <w:bCs/>
          <w:sz w:val="22"/>
          <w:szCs w:val="22"/>
          <w:lang w:val="fr-FR"/>
        </w:rPr>
        <w:t xml:space="preserve">s, </w:t>
      </w:r>
      <w:r w:rsidRPr="003C54C6">
        <w:rPr>
          <w:rFonts w:ascii="Arial" w:hAnsi="Arial" w:cs="Arial"/>
          <w:bCs/>
          <w:sz w:val="22"/>
          <w:szCs w:val="22"/>
          <w:lang w:val="fr-FR"/>
        </w:rPr>
        <w:t>estim</w:t>
      </w:r>
      <w:r>
        <w:rPr>
          <w:rFonts w:ascii="Arial" w:hAnsi="Arial" w:cs="Arial"/>
          <w:bCs/>
          <w:sz w:val="22"/>
          <w:szCs w:val="22"/>
          <w:lang w:val="fr-FR"/>
        </w:rPr>
        <w:t>ait</w:t>
      </w:r>
      <w:r w:rsidRPr="003C54C6">
        <w:rPr>
          <w:rFonts w:ascii="Arial" w:hAnsi="Arial" w:cs="Arial"/>
          <w:bCs/>
          <w:sz w:val="22"/>
          <w:szCs w:val="22"/>
          <w:lang w:val="fr-FR"/>
        </w:rPr>
        <w:t xml:space="preserve"> que la proposition du Mexique </w:t>
      </w:r>
      <w:r>
        <w:rPr>
          <w:rFonts w:ascii="Arial" w:hAnsi="Arial" w:cs="Arial"/>
          <w:bCs/>
          <w:sz w:val="22"/>
          <w:szCs w:val="22"/>
          <w:lang w:val="fr-FR"/>
        </w:rPr>
        <w:t>était</w:t>
      </w:r>
      <w:r w:rsidRPr="003C54C6">
        <w:rPr>
          <w:rFonts w:ascii="Arial" w:hAnsi="Arial" w:cs="Arial"/>
          <w:bCs/>
          <w:sz w:val="22"/>
          <w:szCs w:val="22"/>
          <w:lang w:val="fr-FR"/>
        </w:rPr>
        <w:t xml:space="preserve"> logique et défendable. Toutes les délégations, y compris le Mexique, </w:t>
      </w:r>
      <w:r>
        <w:rPr>
          <w:rFonts w:ascii="Arial" w:hAnsi="Arial" w:cs="Arial"/>
          <w:bCs/>
          <w:sz w:val="22"/>
          <w:szCs w:val="22"/>
          <w:lang w:val="fr-FR"/>
        </w:rPr>
        <w:t>étaient</w:t>
      </w:r>
      <w:r w:rsidRPr="003C54C6">
        <w:rPr>
          <w:rFonts w:ascii="Arial" w:hAnsi="Arial" w:cs="Arial"/>
          <w:bCs/>
          <w:sz w:val="22"/>
          <w:szCs w:val="22"/>
          <w:lang w:val="fr-FR"/>
        </w:rPr>
        <w:t xml:space="preserve"> attachées à l</w:t>
      </w:r>
      <w:r w:rsidR="008E532B">
        <w:rPr>
          <w:rFonts w:ascii="Arial" w:hAnsi="Arial" w:cs="Arial"/>
          <w:bCs/>
          <w:sz w:val="22"/>
          <w:szCs w:val="22"/>
          <w:lang w:val="fr-FR"/>
        </w:rPr>
        <w:t>’</w:t>
      </w:r>
      <w:r w:rsidRPr="003C54C6">
        <w:rPr>
          <w:rFonts w:ascii="Arial" w:hAnsi="Arial" w:cs="Arial"/>
          <w:bCs/>
          <w:sz w:val="22"/>
          <w:szCs w:val="22"/>
          <w:lang w:val="fr-FR"/>
        </w:rPr>
        <w:t>inclusi</w:t>
      </w:r>
      <w:r>
        <w:rPr>
          <w:rFonts w:ascii="Arial" w:hAnsi="Arial" w:cs="Arial"/>
          <w:bCs/>
          <w:sz w:val="22"/>
          <w:szCs w:val="22"/>
          <w:lang w:val="fr-FR"/>
        </w:rPr>
        <w:t>vité</w:t>
      </w:r>
      <w:r w:rsidRPr="003C54C6">
        <w:rPr>
          <w:rFonts w:ascii="Arial" w:hAnsi="Arial" w:cs="Arial"/>
          <w:bCs/>
          <w:sz w:val="22"/>
          <w:szCs w:val="22"/>
          <w:lang w:val="fr-FR"/>
        </w:rPr>
        <w:t>, et cet amendement n</w:t>
      </w:r>
      <w:r w:rsidR="008E532B">
        <w:rPr>
          <w:rFonts w:ascii="Arial" w:hAnsi="Arial" w:cs="Arial"/>
          <w:bCs/>
          <w:sz w:val="22"/>
          <w:szCs w:val="22"/>
          <w:lang w:val="fr-FR"/>
        </w:rPr>
        <w:t>’</w:t>
      </w:r>
      <w:r w:rsidRPr="003C54C6">
        <w:rPr>
          <w:rFonts w:ascii="Arial" w:hAnsi="Arial" w:cs="Arial"/>
          <w:bCs/>
          <w:sz w:val="22"/>
          <w:szCs w:val="22"/>
          <w:lang w:val="fr-FR"/>
        </w:rPr>
        <w:t>exclu</w:t>
      </w:r>
      <w:r>
        <w:rPr>
          <w:rFonts w:ascii="Arial" w:hAnsi="Arial" w:cs="Arial"/>
          <w:bCs/>
          <w:sz w:val="22"/>
          <w:szCs w:val="22"/>
          <w:lang w:val="fr-FR"/>
        </w:rPr>
        <w:t>ai</w:t>
      </w:r>
      <w:r w:rsidRPr="003C54C6">
        <w:rPr>
          <w:rFonts w:ascii="Arial" w:hAnsi="Arial" w:cs="Arial"/>
          <w:bCs/>
          <w:sz w:val="22"/>
          <w:szCs w:val="22"/>
          <w:lang w:val="fr-FR"/>
        </w:rPr>
        <w:t>t pas l</w:t>
      </w:r>
      <w:r w:rsidR="008E532B">
        <w:rPr>
          <w:rFonts w:ascii="Arial" w:hAnsi="Arial" w:cs="Arial"/>
          <w:bCs/>
          <w:sz w:val="22"/>
          <w:szCs w:val="22"/>
          <w:lang w:val="fr-FR"/>
        </w:rPr>
        <w:t>’</w:t>
      </w:r>
      <w:r w:rsidRPr="003C54C6">
        <w:rPr>
          <w:rFonts w:ascii="Arial" w:hAnsi="Arial" w:cs="Arial"/>
          <w:bCs/>
          <w:sz w:val="22"/>
          <w:szCs w:val="22"/>
          <w:lang w:val="fr-FR"/>
        </w:rPr>
        <w:t>ONG. Il lui donn</w:t>
      </w:r>
      <w:r>
        <w:rPr>
          <w:rFonts w:ascii="Arial" w:hAnsi="Arial" w:cs="Arial"/>
          <w:bCs/>
          <w:sz w:val="22"/>
          <w:szCs w:val="22"/>
          <w:lang w:val="fr-FR"/>
        </w:rPr>
        <w:t>ait</w:t>
      </w:r>
      <w:r w:rsidRPr="003C54C6">
        <w:rPr>
          <w:rFonts w:ascii="Arial" w:hAnsi="Arial" w:cs="Arial"/>
          <w:bCs/>
          <w:sz w:val="22"/>
          <w:szCs w:val="22"/>
          <w:lang w:val="fr-FR"/>
        </w:rPr>
        <w:t xml:space="preserve"> simplement la possibilité de soumettre à nouveau sa demande après avoir respecté scrupuleusement la procédure d</w:t>
      </w:r>
      <w:r w:rsidR="008E532B">
        <w:rPr>
          <w:rFonts w:ascii="Arial" w:hAnsi="Arial" w:cs="Arial"/>
          <w:bCs/>
          <w:sz w:val="22"/>
          <w:szCs w:val="22"/>
          <w:lang w:val="fr-FR"/>
        </w:rPr>
        <w:t>’</w:t>
      </w:r>
      <w:r w:rsidRPr="003C54C6">
        <w:rPr>
          <w:rFonts w:ascii="Arial" w:hAnsi="Arial" w:cs="Arial"/>
          <w:bCs/>
          <w:sz w:val="22"/>
          <w:szCs w:val="22"/>
          <w:lang w:val="fr-FR"/>
        </w:rPr>
        <w:t xml:space="preserve">accréditation, dans un souci de transparence. La Palestine </w:t>
      </w:r>
      <w:r>
        <w:rPr>
          <w:rFonts w:ascii="Arial" w:hAnsi="Arial" w:cs="Arial"/>
          <w:bCs/>
          <w:sz w:val="22"/>
          <w:szCs w:val="22"/>
          <w:lang w:val="fr-FR"/>
        </w:rPr>
        <w:t xml:space="preserve">soutenait </w:t>
      </w:r>
      <w:r w:rsidRPr="003C54C6">
        <w:rPr>
          <w:rFonts w:ascii="Arial" w:hAnsi="Arial" w:cs="Arial"/>
          <w:bCs/>
          <w:sz w:val="22"/>
          <w:szCs w:val="22"/>
          <w:lang w:val="fr-FR"/>
        </w:rPr>
        <w:t>donc l</w:t>
      </w:r>
      <w:r w:rsidR="008E532B">
        <w:rPr>
          <w:rFonts w:ascii="Arial" w:hAnsi="Arial" w:cs="Arial"/>
          <w:bCs/>
          <w:sz w:val="22"/>
          <w:szCs w:val="22"/>
          <w:lang w:val="fr-FR"/>
        </w:rPr>
        <w:t>’</w:t>
      </w:r>
      <w:r w:rsidRPr="003C54C6">
        <w:rPr>
          <w:rFonts w:ascii="Arial" w:hAnsi="Arial" w:cs="Arial"/>
          <w:bCs/>
          <w:sz w:val="22"/>
          <w:szCs w:val="22"/>
          <w:lang w:val="fr-FR"/>
        </w:rPr>
        <w:t>amendement du Mexique.</w:t>
      </w:r>
    </w:p>
    <w:p w14:paraId="1C76586B" w14:textId="79D0548F" w:rsidR="00D9653F" w:rsidRPr="007A7618"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A7618">
        <w:rPr>
          <w:rFonts w:ascii="Arial" w:hAnsi="Arial" w:cs="Arial"/>
          <w:bCs/>
          <w:sz w:val="22"/>
          <w:szCs w:val="22"/>
          <w:lang w:val="fr-FR"/>
        </w:rPr>
        <w:t xml:space="preserve">La délégation de la </w:t>
      </w:r>
      <w:r w:rsidRPr="007A7618">
        <w:rPr>
          <w:rFonts w:ascii="Arial" w:hAnsi="Arial" w:cs="Arial"/>
          <w:b/>
          <w:sz w:val="22"/>
          <w:szCs w:val="22"/>
          <w:lang w:val="fr-FR"/>
        </w:rPr>
        <w:t>République arabe syrienne</w:t>
      </w:r>
      <w:r w:rsidRPr="007A7618">
        <w:rPr>
          <w:rFonts w:ascii="Arial" w:hAnsi="Arial" w:cs="Arial"/>
          <w:bCs/>
          <w:sz w:val="22"/>
          <w:szCs w:val="22"/>
          <w:lang w:val="fr-FR"/>
        </w:rPr>
        <w:t xml:space="preserve"> souten</w:t>
      </w:r>
      <w:r>
        <w:rPr>
          <w:rFonts w:ascii="Arial" w:hAnsi="Arial" w:cs="Arial"/>
          <w:bCs/>
          <w:sz w:val="22"/>
          <w:szCs w:val="22"/>
          <w:lang w:val="fr-FR"/>
        </w:rPr>
        <w:t>ait</w:t>
      </w:r>
      <w:r w:rsidRPr="007A7618">
        <w:rPr>
          <w:rFonts w:ascii="Arial" w:hAnsi="Arial" w:cs="Arial"/>
          <w:bCs/>
          <w:sz w:val="22"/>
          <w:szCs w:val="22"/>
          <w:lang w:val="fr-FR"/>
        </w:rPr>
        <w:t xml:space="preserve"> l</w:t>
      </w:r>
      <w:r w:rsidR="008E532B">
        <w:rPr>
          <w:rFonts w:ascii="Arial" w:hAnsi="Arial" w:cs="Arial"/>
          <w:bCs/>
          <w:sz w:val="22"/>
          <w:szCs w:val="22"/>
          <w:lang w:val="fr-FR"/>
        </w:rPr>
        <w:t>’</w:t>
      </w:r>
      <w:r w:rsidRPr="007A7618">
        <w:rPr>
          <w:rFonts w:ascii="Arial" w:hAnsi="Arial" w:cs="Arial"/>
          <w:bCs/>
          <w:sz w:val="22"/>
          <w:szCs w:val="22"/>
          <w:lang w:val="fr-FR"/>
        </w:rPr>
        <w:t xml:space="preserve">amendement du Mexique. Elle a convenu que le Secrétariat avait fait un excellent travail et que la nature de la correspondance avait été clairement expliquée. La délégation </w:t>
      </w:r>
      <w:r>
        <w:rPr>
          <w:rFonts w:ascii="Arial" w:hAnsi="Arial" w:cs="Arial"/>
          <w:bCs/>
          <w:sz w:val="22"/>
          <w:szCs w:val="22"/>
          <w:lang w:val="fr-FR"/>
        </w:rPr>
        <w:t xml:space="preserve">a </w:t>
      </w:r>
      <w:r w:rsidRPr="007A7618">
        <w:rPr>
          <w:rFonts w:ascii="Arial" w:hAnsi="Arial" w:cs="Arial"/>
          <w:bCs/>
          <w:sz w:val="22"/>
          <w:szCs w:val="22"/>
          <w:lang w:val="fr-FR"/>
        </w:rPr>
        <w:t xml:space="preserve">appelé toutes les ONG à </w:t>
      </w:r>
      <w:r>
        <w:rPr>
          <w:rFonts w:ascii="Arial" w:hAnsi="Arial" w:cs="Arial"/>
          <w:bCs/>
          <w:sz w:val="22"/>
          <w:szCs w:val="22"/>
          <w:lang w:val="fr-FR"/>
        </w:rPr>
        <w:t>entreprendre</w:t>
      </w:r>
      <w:r w:rsidRPr="007A7618">
        <w:rPr>
          <w:rFonts w:ascii="Arial" w:hAnsi="Arial" w:cs="Arial"/>
          <w:bCs/>
          <w:sz w:val="22"/>
          <w:szCs w:val="22"/>
          <w:lang w:val="fr-FR"/>
        </w:rPr>
        <w:t xml:space="preserve"> des efforts supplémentaires pour se conformer au paragraphe 91 des Directives opérationnelles. En ce sens, elle souten</w:t>
      </w:r>
      <w:r>
        <w:rPr>
          <w:rFonts w:ascii="Arial" w:hAnsi="Arial" w:cs="Arial"/>
          <w:bCs/>
          <w:sz w:val="22"/>
          <w:szCs w:val="22"/>
          <w:lang w:val="fr-FR"/>
        </w:rPr>
        <w:t>ait</w:t>
      </w:r>
      <w:r w:rsidRPr="007A7618">
        <w:rPr>
          <w:rFonts w:ascii="Arial" w:hAnsi="Arial" w:cs="Arial"/>
          <w:bCs/>
          <w:sz w:val="22"/>
          <w:szCs w:val="22"/>
          <w:lang w:val="fr-FR"/>
        </w:rPr>
        <w:t xml:space="preserve"> l</w:t>
      </w:r>
      <w:r w:rsidR="008E532B">
        <w:rPr>
          <w:rFonts w:ascii="Arial" w:hAnsi="Arial" w:cs="Arial"/>
          <w:bCs/>
          <w:sz w:val="22"/>
          <w:szCs w:val="22"/>
          <w:lang w:val="fr-FR"/>
        </w:rPr>
        <w:t>’</w:t>
      </w:r>
      <w:r w:rsidRPr="007A7618">
        <w:rPr>
          <w:rFonts w:ascii="Arial" w:hAnsi="Arial" w:cs="Arial"/>
          <w:bCs/>
          <w:sz w:val="22"/>
          <w:szCs w:val="22"/>
          <w:lang w:val="fr-FR"/>
        </w:rPr>
        <w:t>amendement du Mexique.</w:t>
      </w:r>
    </w:p>
    <w:p w14:paraId="032ABFBD" w14:textId="3A31C40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A7618">
        <w:rPr>
          <w:rFonts w:ascii="Arial" w:hAnsi="Arial" w:cs="Arial"/>
          <w:bCs/>
          <w:sz w:val="22"/>
          <w:szCs w:val="22"/>
          <w:lang w:val="fr-FR"/>
        </w:rPr>
        <w:t>La délégation de l</w:t>
      </w:r>
      <w:r w:rsidR="008E532B">
        <w:rPr>
          <w:rFonts w:ascii="Arial" w:hAnsi="Arial" w:cs="Arial"/>
          <w:bCs/>
          <w:sz w:val="22"/>
          <w:szCs w:val="22"/>
          <w:lang w:val="fr-FR"/>
        </w:rPr>
        <w:t>’</w:t>
      </w:r>
      <w:r w:rsidRPr="007A7618">
        <w:rPr>
          <w:rFonts w:ascii="Arial" w:hAnsi="Arial" w:cs="Arial"/>
          <w:b/>
          <w:sz w:val="22"/>
          <w:szCs w:val="22"/>
          <w:lang w:val="fr-FR"/>
        </w:rPr>
        <w:t>Argentine</w:t>
      </w:r>
      <w:r w:rsidRPr="007A7618">
        <w:rPr>
          <w:rFonts w:ascii="Arial" w:hAnsi="Arial" w:cs="Arial"/>
          <w:bCs/>
          <w:sz w:val="22"/>
          <w:szCs w:val="22"/>
          <w:lang w:val="fr-FR"/>
        </w:rPr>
        <w:t xml:space="preserve"> a félicité la Présidente pour son élection ainsi que les membres du Bureau. Elle souhait</w:t>
      </w:r>
      <w:r>
        <w:rPr>
          <w:rFonts w:ascii="Arial" w:hAnsi="Arial" w:cs="Arial"/>
          <w:bCs/>
          <w:sz w:val="22"/>
          <w:szCs w:val="22"/>
          <w:lang w:val="fr-FR"/>
        </w:rPr>
        <w:t>ait</w:t>
      </w:r>
      <w:r w:rsidRPr="007A7618">
        <w:rPr>
          <w:rFonts w:ascii="Arial" w:hAnsi="Arial" w:cs="Arial"/>
          <w:bCs/>
          <w:sz w:val="22"/>
          <w:szCs w:val="22"/>
          <w:lang w:val="fr-FR"/>
        </w:rPr>
        <w:t xml:space="preserve"> souligner le fait que l</w:t>
      </w:r>
      <w:r w:rsidR="008E532B">
        <w:rPr>
          <w:rFonts w:ascii="Arial" w:hAnsi="Arial" w:cs="Arial"/>
          <w:bCs/>
          <w:sz w:val="22"/>
          <w:szCs w:val="22"/>
          <w:lang w:val="fr-FR"/>
        </w:rPr>
        <w:t>’</w:t>
      </w:r>
      <w:r w:rsidRPr="007A7618">
        <w:rPr>
          <w:rFonts w:ascii="Arial" w:hAnsi="Arial" w:cs="Arial"/>
          <w:bCs/>
          <w:sz w:val="22"/>
          <w:szCs w:val="22"/>
          <w:lang w:val="fr-FR"/>
        </w:rPr>
        <w:t>amendement du Mexique avait déjà reçu le soutien de plusieurs délégations lors du débat général. Le Mexique indiq</w:t>
      </w:r>
      <w:r>
        <w:rPr>
          <w:rFonts w:ascii="Arial" w:hAnsi="Arial" w:cs="Arial"/>
          <w:bCs/>
          <w:sz w:val="22"/>
          <w:szCs w:val="22"/>
          <w:lang w:val="fr-FR"/>
        </w:rPr>
        <w:t>uait</w:t>
      </w:r>
      <w:r w:rsidRPr="007A7618">
        <w:rPr>
          <w:rFonts w:ascii="Arial" w:hAnsi="Arial" w:cs="Arial"/>
          <w:bCs/>
          <w:sz w:val="22"/>
          <w:szCs w:val="22"/>
          <w:lang w:val="fr-FR"/>
        </w:rPr>
        <w:t xml:space="preserve"> simplement que l</w:t>
      </w:r>
      <w:r w:rsidR="008E532B">
        <w:rPr>
          <w:rFonts w:ascii="Arial" w:hAnsi="Arial" w:cs="Arial"/>
          <w:bCs/>
          <w:sz w:val="22"/>
          <w:szCs w:val="22"/>
          <w:lang w:val="fr-FR"/>
        </w:rPr>
        <w:t>’</w:t>
      </w:r>
      <w:r w:rsidRPr="007A7618">
        <w:rPr>
          <w:rFonts w:ascii="Arial" w:hAnsi="Arial" w:cs="Arial"/>
          <w:bCs/>
          <w:sz w:val="22"/>
          <w:szCs w:val="22"/>
          <w:lang w:val="fr-FR"/>
        </w:rPr>
        <w:t>ONG devra</w:t>
      </w:r>
      <w:r>
        <w:rPr>
          <w:rFonts w:ascii="Arial" w:hAnsi="Arial" w:cs="Arial"/>
          <w:bCs/>
          <w:sz w:val="22"/>
          <w:szCs w:val="22"/>
          <w:lang w:val="fr-FR"/>
        </w:rPr>
        <w:t>it</w:t>
      </w:r>
      <w:r w:rsidRPr="007A7618">
        <w:rPr>
          <w:rFonts w:ascii="Arial" w:hAnsi="Arial" w:cs="Arial"/>
          <w:bCs/>
          <w:sz w:val="22"/>
          <w:szCs w:val="22"/>
          <w:lang w:val="fr-FR"/>
        </w:rPr>
        <w:t xml:space="preserve"> soumettre à nouveau son dossier lors d</w:t>
      </w:r>
      <w:r w:rsidR="008E532B">
        <w:rPr>
          <w:rFonts w:ascii="Arial" w:hAnsi="Arial" w:cs="Arial"/>
          <w:bCs/>
          <w:sz w:val="22"/>
          <w:szCs w:val="22"/>
          <w:lang w:val="fr-FR"/>
        </w:rPr>
        <w:t>’</w:t>
      </w:r>
      <w:r w:rsidRPr="007A7618">
        <w:rPr>
          <w:rFonts w:ascii="Arial" w:hAnsi="Arial" w:cs="Arial"/>
          <w:bCs/>
          <w:sz w:val="22"/>
          <w:szCs w:val="22"/>
          <w:lang w:val="fr-FR"/>
        </w:rPr>
        <w:t xml:space="preserve">un prochain cycle afin de </w:t>
      </w:r>
      <w:r>
        <w:rPr>
          <w:rFonts w:ascii="Arial" w:hAnsi="Arial" w:cs="Arial"/>
          <w:bCs/>
          <w:sz w:val="22"/>
          <w:szCs w:val="22"/>
          <w:lang w:val="fr-FR"/>
        </w:rPr>
        <w:t xml:space="preserve">satisfaire </w:t>
      </w:r>
      <w:r w:rsidRPr="007A7618">
        <w:rPr>
          <w:rFonts w:ascii="Arial" w:hAnsi="Arial" w:cs="Arial"/>
          <w:bCs/>
          <w:sz w:val="22"/>
          <w:szCs w:val="22"/>
          <w:lang w:val="fr-FR"/>
        </w:rPr>
        <w:t>à tous les critères, comme l</w:t>
      </w:r>
      <w:r w:rsidR="008E532B">
        <w:rPr>
          <w:rFonts w:ascii="Arial" w:hAnsi="Arial" w:cs="Arial"/>
          <w:bCs/>
          <w:sz w:val="22"/>
          <w:szCs w:val="22"/>
          <w:lang w:val="fr-FR"/>
        </w:rPr>
        <w:t>’</w:t>
      </w:r>
      <w:r w:rsidRPr="007A7618">
        <w:rPr>
          <w:rFonts w:ascii="Arial" w:hAnsi="Arial" w:cs="Arial"/>
          <w:bCs/>
          <w:sz w:val="22"/>
          <w:szCs w:val="22"/>
          <w:lang w:val="fr-FR"/>
        </w:rPr>
        <w:t xml:space="preserve">exige la procédure. La délégation </w:t>
      </w:r>
      <w:r>
        <w:rPr>
          <w:rFonts w:ascii="Arial" w:hAnsi="Arial" w:cs="Arial"/>
          <w:bCs/>
          <w:sz w:val="22"/>
          <w:szCs w:val="22"/>
          <w:lang w:val="fr-FR"/>
        </w:rPr>
        <w:t xml:space="preserve">soutenait </w:t>
      </w:r>
      <w:r w:rsidRPr="007A7618">
        <w:rPr>
          <w:rFonts w:ascii="Arial" w:hAnsi="Arial" w:cs="Arial"/>
          <w:bCs/>
          <w:sz w:val="22"/>
          <w:szCs w:val="22"/>
          <w:lang w:val="fr-FR"/>
        </w:rPr>
        <w:t>donc l</w:t>
      </w:r>
      <w:r w:rsidR="008E532B">
        <w:rPr>
          <w:rFonts w:ascii="Arial" w:hAnsi="Arial" w:cs="Arial"/>
          <w:bCs/>
          <w:sz w:val="22"/>
          <w:szCs w:val="22"/>
          <w:lang w:val="fr-FR"/>
        </w:rPr>
        <w:t>’</w:t>
      </w:r>
      <w:r w:rsidRPr="007A7618">
        <w:rPr>
          <w:rFonts w:ascii="Arial" w:hAnsi="Arial" w:cs="Arial"/>
          <w:bCs/>
          <w:sz w:val="22"/>
          <w:szCs w:val="22"/>
          <w:lang w:val="fr-FR"/>
        </w:rPr>
        <w:t>amendement.</w:t>
      </w:r>
    </w:p>
    <w:p w14:paraId="1A0A7859" w14:textId="2527A70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B5536">
        <w:rPr>
          <w:rFonts w:ascii="Arial" w:hAnsi="Arial" w:cs="Arial"/>
          <w:bCs/>
          <w:sz w:val="22"/>
          <w:szCs w:val="22"/>
          <w:lang w:val="fr-FR"/>
        </w:rPr>
        <w:t>La délégation de l</w:t>
      </w:r>
      <w:r w:rsidR="008E532B">
        <w:rPr>
          <w:rFonts w:ascii="Arial" w:hAnsi="Arial" w:cs="Arial"/>
          <w:bCs/>
          <w:sz w:val="22"/>
          <w:szCs w:val="22"/>
          <w:lang w:val="fr-FR"/>
        </w:rPr>
        <w:t>’</w:t>
      </w:r>
      <w:r w:rsidRPr="00EB5536">
        <w:rPr>
          <w:rFonts w:ascii="Arial" w:hAnsi="Arial" w:cs="Arial"/>
          <w:b/>
          <w:sz w:val="22"/>
          <w:szCs w:val="22"/>
          <w:lang w:val="fr-FR"/>
        </w:rPr>
        <w:t>Uruguay</w:t>
      </w:r>
      <w:r w:rsidRPr="00EB5536">
        <w:rPr>
          <w:rFonts w:ascii="Arial" w:hAnsi="Arial" w:cs="Arial"/>
          <w:bCs/>
          <w:sz w:val="22"/>
          <w:szCs w:val="22"/>
          <w:lang w:val="fr-FR"/>
        </w:rPr>
        <w:t xml:space="preserve"> a félicité la Présidente pour son élection ainsi que le Bureau. L</w:t>
      </w:r>
      <w:r w:rsidR="008E532B">
        <w:rPr>
          <w:rFonts w:ascii="Arial" w:hAnsi="Arial" w:cs="Arial"/>
          <w:bCs/>
          <w:sz w:val="22"/>
          <w:szCs w:val="22"/>
          <w:lang w:val="fr-FR"/>
        </w:rPr>
        <w:t>’</w:t>
      </w:r>
      <w:r w:rsidRPr="00EB5536">
        <w:rPr>
          <w:rFonts w:ascii="Arial" w:hAnsi="Arial" w:cs="Arial"/>
          <w:bCs/>
          <w:sz w:val="22"/>
          <w:szCs w:val="22"/>
          <w:lang w:val="fr-FR"/>
        </w:rPr>
        <w:t xml:space="preserve">Uruguay </w:t>
      </w:r>
      <w:r>
        <w:rPr>
          <w:rFonts w:ascii="Arial" w:hAnsi="Arial" w:cs="Arial"/>
          <w:bCs/>
          <w:sz w:val="22"/>
          <w:szCs w:val="22"/>
          <w:lang w:val="fr-FR"/>
        </w:rPr>
        <w:t xml:space="preserve">soutenait </w:t>
      </w:r>
      <w:r w:rsidRPr="00EB5536">
        <w:rPr>
          <w:rFonts w:ascii="Arial" w:hAnsi="Arial" w:cs="Arial"/>
          <w:bCs/>
          <w:sz w:val="22"/>
          <w:szCs w:val="22"/>
          <w:lang w:val="fr-FR"/>
        </w:rPr>
        <w:t>également l</w:t>
      </w:r>
      <w:r w:rsidR="008E532B">
        <w:rPr>
          <w:rFonts w:ascii="Arial" w:hAnsi="Arial" w:cs="Arial"/>
          <w:bCs/>
          <w:sz w:val="22"/>
          <w:szCs w:val="22"/>
          <w:lang w:val="fr-FR"/>
        </w:rPr>
        <w:t>’</w:t>
      </w:r>
      <w:r w:rsidRPr="00EB5536">
        <w:rPr>
          <w:rFonts w:ascii="Arial" w:hAnsi="Arial" w:cs="Arial"/>
          <w:bCs/>
          <w:sz w:val="22"/>
          <w:szCs w:val="22"/>
          <w:lang w:val="fr-FR"/>
        </w:rPr>
        <w:t>amendement présenté par le Mexique, ajoutant qu</w:t>
      </w:r>
      <w:r w:rsidR="008E532B">
        <w:rPr>
          <w:rFonts w:ascii="Arial" w:hAnsi="Arial" w:cs="Arial"/>
          <w:bCs/>
          <w:sz w:val="22"/>
          <w:szCs w:val="22"/>
          <w:lang w:val="fr-FR"/>
        </w:rPr>
        <w:t>’</w:t>
      </w:r>
      <w:r w:rsidRPr="00EB5536">
        <w:rPr>
          <w:rFonts w:ascii="Arial" w:hAnsi="Arial" w:cs="Arial"/>
          <w:bCs/>
          <w:sz w:val="22"/>
          <w:szCs w:val="22"/>
          <w:lang w:val="fr-FR"/>
        </w:rPr>
        <w:t>il avait été pleinement et clairement expliqué. La délégation</w:t>
      </w:r>
      <w:r>
        <w:rPr>
          <w:rFonts w:ascii="Arial" w:hAnsi="Arial" w:cs="Arial"/>
          <w:bCs/>
          <w:sz w:val="22"/>
          <w:szCs w:val="22"/>
          <w:lang w:val="fr-FR"/>
        </w:rPr>
        <w:t xml:space="preserve"> adhérait </w:t>
      </w:r>
      <w:r w:rsidRPr="00EB5536">
        <w:rPr>
          <w:rFonts w:ascii="Arial" w:hAnsi="Arial" w:cs="Arial"/>
          <w:bCs/>
          <w:sz w:val="22"/>
          <w:szCs w:val="22"/>
          <w:lang w:val="fr-FR"/>
        </w:rPr>
        <w:t xml:space="preserve">également </w:t>
      </w:r>
      <w:r>
        <w:rPr>
          <w:rFonts w:ascii="Arial" w:hAnsi="Arial" w:cs="Arial"/>
          <w:bCs/>
          <w:sz w:val="22"/>
          <w:szCs w:val="22"/>
          <w:lang w:val="fr-FR"/>
        </w:rPr>
        <w:t>aux</w:t>
      </w:r>
      <w:r w:rsidRPr="00EB5536">
        <w:rPr>
          <w:rFonts w:ascii="Arial" w:hAnsi="Arial" w:cs="Arial"/>
          <w:bCs/>
          <w:sz w:val="22"/>
          <w:szCs w:val="22"/>
          <w:lang w:val="fr-FR"/>
        </w:rPr>
        <w:t xml:space="preserve"> remarques </w:t>
      </w:r>
      <w:r>
        <w:rPr>
          <w:rFonts w:ascii="Arial" w:hAnsi="Arial" w:cs="Arial"/>
          <w:bCs/>
          <w:sz w:val="22"/>
          <w:szCs w:val="22"/>
          <w:lang w:val="fr-FR"/>
        </w:rPr>
        <w:t>formulées par</w:t>
      </w:r>
      <w:r w:rsidRPr="00EB5536">
        <w:rPr>
          <w:rFonts w:ascii="Arial" w:hAnsi="Arial" w:cs="Arial"/>
          <w:bCs/>
          <w:sz w:val="22"/>
          <w:szCs w:val="22"/>
          <w:lang w:val="fr-FR"/>
        </w:rPr>
        <w:t xml:space="preserve"> l</w:t>
      </w:r>
      <w:r w:rsidR="008E532B">
        <w:rPr>
          <w:rFonts w:ascii="Arial" w:hAnsi="Arial" w:cs="Arial"/>
          <w:bCs/>
          <w:sz w:val="22"/>
          <w:szCs w:val="22"/>
          <w:lang w:val="fr-FR"/>
        </w:rPr>
        <w:t>’</w:t>
      </w:r>
      <w:r w:rsidRPr="00EB5536">
        <w:rPr>
          <w:rFonts w:ascii="Arial" w:hAnsi="Arial" w:cs="Arial"/>
          <w:bCs/>
          <w:sz w:val="22"/>
          <w:szCs w:val="22"/>
          <w:lang w:val="fr-FR"/>
        </w:rPr>
        <w:t>Argentine et la Colombie selon lesquelles toutes les ONG d</w:t>
      </w:r>
      <w:r>
        <w:rPr>
          <w:rFonts w:ascii="Arial" w:hAnsi="Arial" w:cs="Arial"/>
          <w:bCs/>
          <w:sz w:val="22"/>
          <w:szCs w:val="22"/>
          <w:lang w:val="fr-FR"/>
        </w:rPr>
        <w:t>evraient</w:t>
      </w:r>
      <w:r w:rsidRPr="00EB5536">
        <w:rPr>
          <w:rFonts w:ascii="Arial" w:hAnsi="Arial" w:cs="Arial"/>
          <w:bCs/>
          <w:sz w:val="22"/>
          <w:szCs w:val="22"/>
          <w:lang w:val="fr-FR"/>
        </w:rPr>
        <w:t xml:space="preserve"> être traitées de la même manière et que l</w:t>
      </w:r>
      <w:r w:rsidR="008E532B">
        <w:rPr>
          <w:rFonts w:ascii="Arial" w:hAnsi="Arial" w:cs="Arial"/>
          <w:bCs/>
          <w:sz w:val="22"/>
          <w:szCs w:val="22"/>
          <w:lang w:val="fr-FR"/>
        </w:rPr>
        <w:t>’</w:t>
      </w:r>
      <w:r w:rsidRPr="00EB5536">
        <w:rPr>
          <w:rFonts w:ascii="Arial" w:hAnsi="Arial" w:cs="Arial"/>
          <w:bCs/>
          <w:sz w:val="22"/>
          <w:szCs w:val="22"/>
          <w:lang w:val="fr-FR"/>
        </w:rPr>
        <w:t>inclusivité exige d</w:t>
      </w:r>
      <w:r w:rsidR="008E532B">
        <w:rPr>
          <w:rFonts w:ascii="Arial" w:hAnsi="Arial" w:cs="Arial"/>
          <w:bCs/>
          <w:sz w:val="22"/>
          <w:szCs w:val="22"/>
          <w:lang w:val="fr-FR"/>
        </w:rPr>
        <w:t>’</w:t>
      </w:r>
      <w:r w:rsidRPr="00EB5536">
        <w:rPr>
          <w:rFonts w:ascii="Arial" w:hAnsi="Arial" w:cs="Arial"/>
          <w:bCs/>
          <w:sz w:val="22"/>
          <w:szCs w:val="22"/>
          <w:lang w:val="fr-FR"/>
        </w:rPr>
        <w:t xml:space="preserve">être rigoureux, comme mentionné </w:t>
      </w:r>
      <w:r>
        <w:rPr>
          <w:rFonts w:ascii="Arial" w:hAnsi="Arial" w:cs="Arial"/>
          <w:bCs/>
          <w:sz w:val="22"/>
          <w:szCs w:val="22"/>
          <w:lang w:val="fr-FR"/>
        </w:rPr>
        <w:t xml:space="preserve">par </w:t>
      </w:r>
      <w:r w:rsidRPr="00EB5536">
        <w:rPr>
          <w:rFonts w:ascii="Arial" w:hAnsi="Arial" w:cs="Arial"/>
          <w:bCs/>
          <w:sz w:val="22"/>
          <w:szCs w:val="22"/>
          <w:lang w:val="fr-FR"/>
        </w:rPr>
        <w:t>d</w:t>
      </w:r>
      <w:r w:rsidR="008E532B">
        <w:rPr>
          <w:rFonts w:ascii="Arial" w:hAnsi="Arial" w:cs="Arial"/>
          <w:bCs/>
          <w:sz w:val="22"/>
          <w:szCs w:val="22"/>
          <w:lang w:val="fr-FR"/>
        </w:rPr>
        <w:t>’</w:t>
      </w:r>
      <w:r w:rsidRPr="00EB5536">
        <w:rPr>
          <w:rFonts w:ascii="Arial" w:hAnsi="Arial" w:cs="Arial"/>
          <w:bCs/>
          <w:sz w:val="22"/>
          <w:szCs w:val="22"/>
          <w:lang w:val="fr-FR"/>
        </w:rPr>
        <w:t>autres</w:t>
      </w:r>
      <w:r>
        <w:rPr>
          <w:rFonts w:ascii="Arial" w:hAnsi="Arial" w:cs="Arial"/>
          <w:bCs/>
          <w:sz w:val="22"/>
          <w:szCs w:val="22"/>
          <w:lang w:val="fr-FR"/>
        </w:rPr>
        <w:t xml:space="preserve"> </w:t>
      </w:r>
      <w:r>
        <w:rPr>
          <w:rFonts w:ascii="Arial" w:hAnsi="Arial" w:cs="Arial"/>
          <w:sz w:val="22"/>
          <w:szCs w:val="22"/>
          <w:lang w:val="fr-FR"/>
        </w:rPr>
        <w:t>orateurs</w:t>
      </w:r>
      <w:r w:rsidRPr="00EB5536">
        <w:rPr>
          <w:rFonts w:ascii="Arial" w:hAnsi="Arial" w:cs="Arial"/>
          <w:bCs/>
          <w:sz w:val="22"/>
          <w:szCs w:val="22"/>
          <w:lang w:val="fr-FR"/>
        </w:rPr>
        <w:t>. Il ne s</w:t>
      </w:r>
      <w:r w:rsidR="008E532B">
        <w:rPr>
          <w:rFonts w:ascii="Arial" w:hAnsi="Arial" w:cs="Arial"/>
          <w:bCs/>
          <w:sz w:val="22"/>
          <w:szCs w:val="22"/>
          <w:lang w:val="fr-FR"/>
        </w:rPr>
        <w:t>’</w:t>
      </w:r>
      <w:r w:rsidRPr="00EB5536">
        <w:rPr>
          <w:rFonts w:ascii="Arial" w:hAnsi="Arial" w:cs="Arial"/>
          <w:bCs/>
          <w:sz w:val="22"/>
          <w:szCs w:val="22"/>
          <w:lang w:val="fr-FR"/>
        </w:rPr>
        <w:t>agissait pas d</w:t>
      </w:r>
      <w:r w:rsidR="008E532B">
        <w:rPr>
          <w:rFonts w:ascii="Arial" w:hAnsi="Arial" w:cs="Arial"/>
          <w:bCs/>
          <w:sz w:val="22"/>
          <w:szCs w:val="22"/>
          <w:lang w:val="fr-FR"/>
        </w:rPr>
        <w:t>’</w:t>
      </w:r>
      <w:r w:rsidRPr="00EB5536">
        <w:rPr>
          <w:rFonts w:ascii="Arial" w:hAnsi="Arial" w:cs="Arial"/>
          <w:bCs/>
          <w:sz w:val="22"/>
          <w:szCs w:val="22"/>
          <w:lang w:val="fr-FR"/>
        </w:rPr>
        <w:t xml:space="preserve">exclure les ONG mais simplement de prendre en considération les remarques présentées par le Mexique, </w:t>
      </w:r>
      <w:r>
        <w:rPr>
          <w:rFonts w:ascii="Arial" w:hAnsi="Arial" w:cs="Arial"/>
          <w:bCs/>
          <w:sz w:val="22"/>
          <w:szCs w:val="22"/>
          <w:lang w:val="fr-FR"/>
        </w:rPr>
        <w:t xml:space="preserve">c.-à-d. </w:t>
      </w:r>
      <w:r w:rsidRPr="00EB5536">
        <w:rPr>
          <w:rFonts w:ascii="Arial" w:hAnsi="Arial" w:cs="Arial"/>
          <w:bCs/>
          <w:sz w:val="22"/>
          <w:szCs w:val="22"/>
          <w:lang w:val="fr-FR"/>
        </w:rPr>
        <w:t>reporter la décision à un cycle ultérieur dans l</w:t>
      </w:r>
      <w:r w:rsidR="008E532B">
        <w:rPr>
          <w:rFonts w:ascii="Arial" w:hAnsi="Arial" w:cs="Arial"/>
          <w:bCs/>
          <w:sz w:val="22"/>
          <w:szCs w:val="22"/>
          <w:lang w:val="fr-FR"/>
        </w:rPr>
        <w:t>’</w:t>
      </w:r>
      <w:r w:rsidRPr="00EB5536">
        <w:rPr>
          <w:rFonts w:ascii="Arial" w:hAnsi="Arial" w:cs="Arial"/>
          <w:bCs/>
          <w:sz w:val="22"/>
          <w:szCs w:val="22"/>
          <w:lang w:val="fr-FR"/>
        </w:rPr>
        <w:t>espoir que l</w:t>
      </w:r>
      <w:r w:rsidR="008E532B">
        <w:rPr>
          <w:rFonts w:ascii="Arial" w:hAnsi="Arial" w:cs="Arial"/>
          <w:bCs/>
          <w:sz w:val="22"/>
          <w:szCs w:val="22"/>
          <w:lang w:val="fr-FR"/>
        </w:rPr>
        <w:t>’</w:t>
      </w:r>
      <w:r w:rsidRPr="00EB5536">
        <w:rPr>
          <w:rFonts w:ascii="Arial" w:hAnsi="Arial" w:cs="Arial"/>
          <w:bCs/>
          <w:sz w:val="22"/>
          <w:szCs w:val="22"/>
          <w:lang w:val="fr-FR"/>
        </w:rPr>
        <w:t>ONG soit en mesure de remplir tous les critères requis pour garantir la transparence.</w:t>
      </w:r>
    </w:p>
    <w:p w14:paraId="1EB7BB23" w14:textId="5916993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B5536">
        <w:rPr>
          <w:rFonts w:ascii="Arial" w:hAnsi="Arial" w:cs="Arial"/>
          <w:bCs/>
          <w:sz w:val="22"/>
          <w:szCs w:val="22"/>
          <w:lang w:val="fr-FR"/>
        </w:rPr>
        <w:t xml:space="preserve">Comme indiqué précédemment, la délégation </w:t>
      </w:r>
      <w:r>
        <w:rPr>
          <w:rFonts w:ascii="Arial" w:hAnsi="Arial" w:cs="Arial"/>
          <w:bCs/>
          <w:sz w:val="22"/>
          <w:szCs w:val="22"/>
          <w:lang w:val="fr-FR"/>
        </w:rPr>
        <w:t>de l</w:t>
      </w:r>
      <w:r w:rsidR="008E532B">
        <w:rPr>
          <w:rFonts w:ascii="Arial" w:hAnsi="Arial" w:cs="Arial"/>
          <w:bCs/>
          <w:sz w:val="22"/>
          <w:szCs w:val="22"/>
          <w:lang w:val="fr-FR"/>
        </w:rPr>
        <w:t>’</w:t>
      </w:r>
      <w:r w:rsidRPr="00EB5536">
        <w:rPr>
          <w:rFonts w:ascii="Arial" w:hAnsi="Arial" w:cs="Arial"/>
          <w:b/>
          <w:sz w:val="22"/>
          <w:szCs w:val="22"/>
          <w:lang w:val="fr-FR"/>
        </w:rPr>
        <w:t>Espagne</w:t>
      </w:r>
      <w:r w:rsidRPr="00EB5536">
        <w:rPr>
          <w:rFonts w:ascii="Arial" w:hAnsi="Arial" w:cs="Arial"/>
          <w:bCs/>
          <w:sz w:val="22"/>
          <w:szCs w:val="22"/>
          <w:lang w:val="fr-FR"/>
        </w:rPr>
        <w:t xml:space="preserve"> </w:t>
      </w:r>
      <w:r>
        <w:rPr>
          <w:rFonts w:ascii="Arial" w:hAnsi="Arial" w:cs="Arial"/>
          <w:bCs/>
          <w:sz w:val="22"/>
          <w:szCs w:val="22"/>
          <w:lang w:val="fr-FR"/>
        </w:rPr>
        <w:t xml:space="preserve">soutenait </w:t>
      </w:r>
      <w:r w:rsidRPr="00EB5536">
        <w:rPr>
          <w:rFonts w:ascii="Arial" w:hAnsi="Arial" w:cs="Arial"/>
          <w:bCs/>
          <w:sz w:val="22"/>
          <w:szCs w:val="22"/>
          <w:lang w:val="fr-FR"/>
        </w:rPr>
        <w:t>également l</w:t>
      </w:r>
      <w:r w:rsidR="008E532B">
        <w:rPr>
          <w:rFonts w:ascii="Arial" w:hAnsi="Arial" w:cs="Arial"/>
          <w:bCs/>
          <w:sz w:val="22"/>
          <w:szCs w:val="22"/>
          <w:lang w:val="fr-FR"/>
        </w:rPr>
        <w:t>’</w:t>
      </w:r>
      <w:r w:rsidRPr="00EB5536">
        <w:rPr>
          <w:rFonts w:ascii="Arial" w:hAnsi="Arial" w:cs="Arial"/>
          <w:bCs/>
          <w:sz w:val="22"/>
          <w:szCs w:val="22"/>
          <w:lang w:val="fr-FR"/>
        </w:rPr>
        <w:t>amendement présenté par le Mexique, ainsi que les remarques formulées par la Colombie, la Palestine, l</w:t>
      </w:r>
      <w:r w:rsidR="008E532B">
        <w:rPr>
          <w:rFonts w:ascii="Arial" w:hAnsi="Arial" w:cs="Arial"/>
          <w:bCs/>
          <w:sz w:val="22"/>
          <w:szCs w:val="22"/>
          <w:lang w:val="fr-FR"/>
        </w:rPr>
        <w:t>’</w:t>
      </w:r>
      <w:r w:rsidRPr="00EB5536">
        <w:rPr>
          <w:rFonts w:ascii="Arial" w:hAnsi="Arial" w:cs="Arial"/>
          <w:bCs/>
          <w:sz w:val="22"/>
          <w:szCs w:val="22"/>
          <w:lang w:val="fr-FR"/>
        </w:rPr>
        <w:t>Argentine et l</w:t>
      </w:r>
      <w:r w:rsidR="008E532B">
        <w:rPr>
          <w:rFonts w:ascii="Arial" w:hAnsi="Arial" w:cs="Arial"/>
          <w:bCs/>
          <w:sz w:val="22"/>
          <w:szCs w:val="22"/>
          <w:lang w:val="fr-FR"/>
        </w:rPr>
        <w:t>’</w:t>
      </w:r>
      <w:r w:rsidRPr="00EB5536">
        <w:rPr>
          <w:rFonts w:ascii="Arial" w:hAnsi="Arial" w:cs="Arial"/>
          <w:bCs/>
          <w:sz w:val="22"/>
          <w:szCs w:val="22"/>
          <w:lang w:val="fr-FR"/>
        </w:rPr>
        <w:t>Uruguay. Le Mexique demandait simplement plus de temps pour pouvoir examiner le dossier de cette ONG afin que l</w:t>
      </w:r>
      <w:r w:rsidR="008E532B">
        <w:rPr>
          <w:rFonts w:ascii="Arial" w:hAnsi="Arial" w:cs="Arial"/>
          <w:bCs/>
          <w:sz w:val="22"/>
          <w:szCs w:val="22"/>
          <w:lang w:val="fr-FR"/>
        </w:rPr>
        <w:t>’</w:t>
      </w:r>
      <w:r w:rsidRPr="00EB5536">
        <w:rPr>
          <w:rFonts w:ascii="Arial" w:hAnsi="Arial" w:cs="Arial"/>
          <w:bCs/>
          <w:sz w:val="22"/>
          <w:szCs w:val="22"/>
          <w:lang w:val="fr-FR"/>
        </w:rPr>
        <w:t>accréditation soit pleinement crédible, comme exig</w:t>
      </w:r>
      <w:r>
        <w:rPr>
          <w:rFonts w:ascii="Arial" w:hAnsi="Arial" w:cs="Arial"/>
          <w:bCs/>
          <w:sz w:val="22"/>
          <w:szCs w:val="22"/>
          <w:lang w:val="fr-FR"/>
        </w:rPr>
        <w:t>é</w:t>
      </w:r>
      <w:r w:rsidRPr="00EB5536">
        <w:rPr>
          <w:rFonts w:ascii="Arial" w:hAnsi="Arial" w:cs="Arial"/>
          <w:bCs/>
          <w:sz w:val="22"/>
          <w:szCs w:val="22"/>
          <w:lang w:val="fr-FR"/>
        </w:rPr>
        <w:t xml:space="preserve"> </w:t>
      </w:r>
      <w:r>
        <w:rPr>
          <w:rFonts w:ascii="Arial" w:hAnsi="Arial" w:cs="Arial"/>
          <w:bCs/>
          <w:sz w:val="22"/>
          <w:szCs w:val="22"/>
          <w:lang w:val="fr-FR"/>
        </w:rPr>
        <w:t xml:space="preserve">par </w:t>
      </w:r>
      <w:r w:rsidRPr="00EB5536">
        <w:rPr>
          <w:rFonts w:ascii="Arial" w:hAnsi="Arial" w:cs="Arial"/>
          <w:bCs/>
          <w:sz w:val="22"/>
          <w:szCs w:val="22"/>
          <w:lang w:val="fr-FR"/>
        </w:rPr>
        <w:t>le fonctionnement de la Convention.</w:t>
      </w:r>
    </w:p>
    <w:p w14:paraId="0992FF2A" w14:textId="53004C9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B5536">
        <w:rPr>
          <w:rFonts w:ascii="Arial" w:hAnsi="Arial" w:cs="Arial"/>
          <w:bCs/>
          <w:sz w:val="22"/>
          <w:szCs w:val="22"/>
          <w:lang w:val="fr-FR"/>
        </w:rPr>
        <w:t xml:space="preserve">La délégation de la </w:t>
      </w:r>
      <w:r w:rsidRPr="00EB5536">
        <w:rPr>
          <w:rFonts w:ascii="Arial" w:hAnsi="Arial" w:cs="Arial"/>
          <w:b/>
          <w:sz w:val="22"/>
          <w:szCs w:val="22"/>
          <w:lang w:val="fr-FR"/>
        </w:rPr>
        <w:t>République dominicaine</w:t>
      </w:r>
      <w:r w:rsidRPr="00EB5536">
        <w:rPr>
          <w:rFonts w:ascii="Arial" w:hAnsi="Arial" w:cs="Arial"/>
          <w:bCs/>
          <w:sz w:val="22"/>
          <w:szCs w:val="22"/>
          <w:lang w:val="fr-FR"/>
        </w:rPr>
        <w:t xml:space="preserve"> </w:t>
      </w:r>
      <w:r>
        <w:rPr>
          <w:rFonts w:ascii="Arial" w:hAnsi="Arial" w:cs="Arial"/>
          <w:bCs/>
          <w:sz w:val="22"/>
          <w:szCs w:val="22"/>
          <w:lang w:val="fr-FR"/>
        </w:rPr>
        <w:t>souscrivait</w:t>
      </w:r>
      <w:r w:rsidRPr="00EB5536">
        <w:rPr>
          <w:rFonts w:ascii="Arial" w:hAnsi="Arial" w:cs="Arial"/>
          <w:bCs/>
          <w:sz w:val="22"/>
          <w:szCs w:val="22"/>
          <w:lang w:val="fr-FR"/>
        </w:rPr>
        <w:t xml:space="preserve"> </w:t>
      </w:r>
      <w:r>
        <w:rPr>
          <w:rFonts w:ascii="Arial" w:hAnsi="Arial" w:cs="Arial"/>
          <w:bCs/>
          <w:sz w:val="22"/>
          <w:szCs w:val="22"/>
          <w:lang w:val="fr-FR"/>
        </w:rPr>
        <w:t>aux</w:t>
      </w:r>
      <w:r w:rsidRPr="00EB5536">
        <w:rPr>
          <w:rFonts w:ascii="Arial" w:hAnsi="Arial" w:cs="Arial"/>
          <w:bCs/>
          <w:sz w:val="22"/>
          <w:szCs w:val="22"/>
          <w:lang w:val="fr-FR"/>
        </w:rPr>
        <w:t xml:space="preserve"> arguments présentés par le Mexique et sout</w:t>
      </w:r>
      <w:r>
        <w:rPr>
          <w:rFonts w:ascii="Arial" w:hAnsi="Arial" w:cs="Arial"/>
          <w:bCs/>
          <w:sz w:val="22"/>
          <w:szCs w:val="22"/>
          <w:lang w:val="fr-FR"/>
        </w:rPr>
        <w:t>enait</w:t>
      </w:r>
      <w:r w:rsidRPr="00EB5536">
        <w:rPr>
          <w:rFonts w:ascii="Arial" w:hAnsi="Arial" w:cs="Arial"/>
          <w:bCs/>
          <w:sz w:val="22"/>
          <w:szCs w:val="22"/>
          <w:lang w:val="fr-FR"/>
        </w:rPr>
        <w:t xml:space="preserve"> les remarques f</w:t>
      </w:r>
      <w:r>
        <w:rPr>
          <w:rFonts w:ascii="Arial" w:hAnsi="Arial" w:cs="Arial"/>
          <w:bCs/>
          <w:sz w:val="22"/>
          <w:szCs w:val="22"/>
          <w:lang w:val="fr-FR"/>
        </w:rPr>
        <w:t>ormulées</w:t>
      </w:r>
      <w:r w:rsidRPr="00EB5536">
        <w:rPr>
          <w:rFonts w:ascii="Arial" w:hAnsi="Arial" w:cs="Arial"/>
          <w:bCs/>
          <w:sz w:val="22"/>
          <w:szCs w:val="22"/>
          <w:lang w:val="fr-FR"/>
        </w:rPr>
        <w:t xml:space="preserve"> par de nombreux autres pays en faveur de l</w:t>
      </w:r>
      <w:r w:rsidR="008E532B">
        <w:rPr>
          <w:rFonts w:ascii="Arial" w:hAnsi="Arial" w:cs="Arial"/>
          <w:bCs/>
          <w:sz w:val="22"/>
          <w:szCs w:val="22"/>
          <w:lang w:val="fr-FR"/>
        </w:rPr>
        <w:t>’</w:t>
      </w:r>
      <w:r w:rsidRPr="00EB5536">
        <w:rPr>
          <w:rFonts w:ascii="Arial" w:hAnsi="Arial" w:cs="Arial"/>
          <w:bCs/>
          <w:sz w:val="22"/>
          <w:szCs w:val="22"/>
          <w:lang w:val="fr-FR"/>
        </w:rPr>
        <w:t>amendement.</w:t>
      </w:r>
    </w:p>
    <w:p w14:paraId="6753B2BD" w14:textId="2054C26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B5536">
        <w:rPr>
          <w:rFonts w:ascii="Arial" w:hAnsi="Arial" w:cs="Arial"/>
          <w:bCs/>
          <w:sz w:val="22"/>
          <w:szCs w:val="22"/>
          <w:lang w:val="fr-FR"/>
        </w:rPr>
        <w:t>La délégation de l</w:t>
      </w:r>
      <w:r w:rsidR="008E532B">
        <w:rPr>
          <w:rFonts w:ascii="Arial" w:hAnsi="Arial" w:cs="Arial"/>
          <w:bCs/>
          <w:sz w:val="22"/>
          <w:szCs w:val="22"/>
          <w:lang w:val="fr-FR"/>
        </w:rPr>
        <w:t>’</w:t>
      </w:r>
      <w:r w:rsidRPr="00EB5536">
        <w:rPr>
          <w:rFonts w:ascii="Arial" w:hAnsi="Arial" w:cs="Arial"/>
          <w:b/>
          <w:sz w:val="22"/>
          <w:szCs w:val="22"/>
          <w:lang w:val="fr-FR"/>
        </w:rPr>
        <w:t>Égypte</w:t>
      </w:r>
      <w:r w:rsidRPr="00EB5536">
        <w:rPr>
          <w:rFonts w:ascii="Arial" w:hAnsi="Arial" w:cs="Arial"/>
          <w:bCs/>
          <w:sz w:val="22"/>
          <w:szCs w:val="22"/>
          <w:lang w:val="fr-FR"/>
        </w:rPr>
        <w:t xml:space="preserve"> </w:t>
      </w:r>
      <w:r>
        <w:rPr>
          <w:rFonts w:ascii="Arial" w:hAnsi="Arial" w:cs="Arial"/>
          <w:bCs/>
          <w:sz w:val="22"/>
          <w:szCs w:val="22"/>
          <w:lang w:val="fr-FR"/>
        </w:rPr>
        <w:t xml:space="preserve">soutenait </w:t>
      </w:r>
      <w:r w:rsidRPr="00EB5536">
        <w:rPr>
          <w:rFonts w:ascii="Arial" w:hAnsi="Arial" w:cs="Arial"/>
          <w:bCs/>
          <w:sz w:val="22"/>
          <w:szCs w:val="22"/>
          <w:lang w:val="fr-FR"/>
        </w:rPr>
        <w:t>l</w:t>
      </w:r>
      <w:r w:rsidR="008E532B">
        <w:rPr>
          <w:rFonts w:ascii="Arial" w:hAnsi="Arial" w:cs="Arial"/>
          <w:bCs/>
          <w:sz w:val="22"/>
          <w:szCs w:val="22"/>
          <w:lang w:val="fr-FR"/>
        </w:rPr>
        <w:t>’</w:t>
      </w:r>
      <w:r w:rsidRPr="00EB5536">
        <w:rPr>
          <w:rFonts w:ascii="Arial" w:hAnsi="Arial" w:cs="Arial"/>
          <w:bCs/>
          <w:sz w:val="22"/>
          <w:szCs w:val="22"/>
          <w:lang w:val="fr-FR"/>
        </w:rPr>
        <w:t>amendement proposé par le Mexique, ajoutant que l</w:t>
      </w:r>
      <w:r w:rsidR="008E532B">
        <w:rPr>
          <w:rFonts w:ascii="Arial" w:hAnsi="Arial" w:cs="Arial"/>
          <w:bCs/>
          <w:sz w:val="22"/>
          <w:szCs w:val="22"/>
          <w:lang w:val="fr-FR"/>
        </w:rPr>
        <w:t>’</w:t>
      </w:r>
      <w:r w:rsidRPr="00EB5536">
        <w:rPr>
          <w:rFonts w:ascii="Arial" w:hAnsi="Arial" w:cs="Arial"/>
          <w:bCs/>
          <w:sz w:val="22"/>
          <w:szCs w:val="22"/>
          <w:lang w:val="fr-FR"/>
        </w:rPr>
        <w:t xml:space="preserve">ONG avait présenté des informations supplémentaires qui ne figuraient pas dans la demande </w:t>
      </w:r>
      <w:r>
        <w:rPr>
          <w:rFonts w:ascii="Arial" w:hAnsi="Arial" w:cs="Arial"/>
          <w:bCs/>
          <w:sz w:val="22"/>
          <w:szCs w:val="22"/>
          <w:lang w:val="fr-FR"/>
        </w:rPr>
        <w:t>d</w:t>
      </w:r>
      <w:r w:rsidR="008E532B">
        <w:rPr>
          <w:rFonts w:ascii="Arial" w:hAnsi="Arial" w:cs="Arial"/>
          <w:bCs/>
          <w:sz w:val="22"/>
          <w:szCs w:val="22"/>
          <w:lang w:val="fr-FR"/>
        </w:rPr>
        <w:t>’</w:t>
      </w:r>
      <w:r>
        <w:rPr>
          <w:rFonts w:ascii="Arial" w:hAnsi="Arial" w:cs="Arial"/>
          <w:bCs/>
          <w:sz w:val="22"/>
          <w:szCs w:val="22"/>
          <w:lang w:val="fr-FR"/>
        </w:rPr>
        <w:t xml:space="preserve">accréditation soumise </w:t>
      </w:r>
      <w:r w:rsidRPr="00EB5536">
        <w:rPr>
          <w:rFonts w:ascii="Arial" w:hAnsi="Arial" w:cs="Arial"/>
          <w:bCs/>
          <w:sz w:val="22"/>
          <w:szCs w:val="22"/>
          <w:lang w:val="fr-FR"/>
        </w:rPr>
        <w:t>initiale</w:t>
      </w:r>
      <w:r>
        <w:rPr>
          <w:rFonts w:ascii="Arial" w:hAnsi="Arial" w:cs="Arial"/>
          <w:bCs/>
          <w:sz w:val="22"/>
          <w:szCs w:val="22"/>
          <w:lang w:val="fr-FR"/>
        </w:rPr>
        <w:t>ment</w:t>
      </w:r>
      <w:r w:rsidRPr="00EB5536">
        <w:rPr>
          <w:rFonts w:ascii="Arial" w:hAnsi="Arial" w:cs="Arial"/>
          <w:bCs/>
          <w:sz w:val="22"/>
          <w:szCs w:val="22"/>
          <w:lang w:val="fr-FR"/>
        </w:rPr>
        <w:t xml:space="preserve">. Elle </w:t>
      </w:r>
      <w:r>
        <w:rPr>
          <w:rFonts w:ascii="Arial" w:hAnsi="Arial" w:cs="Arial"/>
          <w:bCs/>
          <w:sz w:val="22"/>
          <w:szCs w:val="22"/>
          <w:lang w:val="fr-FR"/>
        </w:rPr>
        <w:t xml:space="preserve">soutenait </w:t>
      </w:r>
      <w:r w:rsidRPr="00EB5536">
        <w:rPr>
          <w:rFonts w:ascii="Arial" w:hAnsi="Arial" w:cs="Arial"/>
          <w:bCs/>
          <w:sz w:val="22"/>
          <w:szCs w:val="22"/>
          <w:lang w:val="fr-FR"/>
        </w:rPr>
        <w:t>donc la recommandation de procéder à un examen plus exhaustif et de permettre à l</w:t>
      </w:r>
      <w:r w:rsidR="008E532B">
        <w:rPr>
          <w:rFonts w:ascii="Arial" w:hAnsi="Arial" w:cs="Arial"/>
          <w:bCs/>
          <w:sz w:val="22"/>
          <w:szCs w:val="22"/>
          <w:lang w:val="fr-FR"/>
        </w:rPr>
        <w:t>’</w:t>
      </w:r>
      <w:r w:rsidRPr="00EB5536">
        <w:rPr>
          <w:rFonts w:ascii="Arial" w:hAnsi="Arial" w:cs="Arial"/>
          <w:bCs/>
          <w:sz w:val="22"/>
          <w:szCs w:val="22"/>
          <w:lang w:val="fr-FR"/>
        </w:rPr>
        <w:t>ONG de participer au prochain cycle d</w:t>
      </w:r>
      <w:r w:rsidR="008E532B">
        <w:rPr>
          <w:rFonts w:ascii="Arial" w:hAnsi="Arial" w:cs="Arial"/>
          <w:bCs/>
          <w:sz w:val="22"/>
          <w:szCs w:val="22"/>
          <w:lang w:val="fr-FR"/>
        </w:rPr>
        <w:t>’</w:t>
      </w:r>
      <w:r w:rsidRPr="00EB5536">
        <w:rPr>
          <w:rFonts w:ascii="Arial" w:hAnsi="Arial" w:cs="Arial"/>
          <w:bCs/>
          <w:sz w:val="22"/>
          <w:szCs w:val="22"/>
          <w:lang w:val="fr-FR"/>
        </w:rPr>
        <w:t>accréditation avec un dossier plus solide.</w:t>
      </w:r>
    </w:p>
    <w:p w14:paraId="10FCFD9D" w14:textId="7B8A8A3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81237">
        <w:rPr>
          <w:rFonts w:ascii="Arial" w:hAnsi="Arial" w:cs="Arial"/>
          <w:bCs/>
          <w:sz w:val="22"/>
          <w:szCs w:val="22"/>
          <w:lang w:val="fr-FR"/>
        </w:rPr>
        <w:t xml:space="preserve">La délégation de la </w:t>
      </w:r>
      <w:r w:rsidRPr="00581237">
        <w:rPr>
          <w:rFonts w:ascii="Arial" w:hAnsi="Arial" w:cs="Arial"/>
          <w:b/>
          <w:sz w:val="22"/>
          <w:szCs w:val="22"/>
          <w:lang w:val="fr-FR"/>
        </w:rPr>
        <w:t>Grenade</w:t>
      </w:r>
      <w:r>
        <w:rPr>
          <w:rFonts w:ascii="Arial" w:hAnsi="Arial" w:cs="Arial"/>
          <w:bCs/>
          <w:sz w:val="22"/>
          <w:szCs w:val="22"/>
          <w:lang w:val="fr-FR"/>
        </w:rPr>
        <w:t>, qui</w:t>
      </w:r>
      <w:r w:rsidRPr="00581237">
        <w:rPr>
          <w:rFonts w:ascii="Arial" w:hAnsi="Arial" w:cs="Arial"/>
          <w:bCs/>
          <w:sz w:val="22"/>
          <w:szCs w:val="22"/>
          <w:lang w:val="fr-FR"/>
        </w:rPr>
        <w:t xml:space="preserve"> souten</w:t>
      </w:r>
      <w:r>
        <w:rPr>
          <w:rFonts w:ascii="Arial" w:hAnsi="Arial" w:cs="Arial"/>
          <w:bCs/>
          <w:sz w:val="22"/>
          <w:szCs w:val="22"/>
          <w:lang w:val="fr-FR"/>
        </w:rPr>
        <w:t>ait</w:t>
      </w:r>
      <w:r w:rsidRPr="00581237">
        <w:rPr>
          <w:rFonts w:ascii="Arial" w:hAnsi="Arial" w:cs="Arial"/>
          <w:bCs/>
          <w:sz w:val="22"/>
          <w:szCs w:val="22"/>
          <w:lang w:val="fr-FR"/>
        </w:rPr>
        <w:t xml:space="preserve"> l</w:t>
      </w:r>
      <w:r w:rsidR="008E532B">
        <w:rPr>
          <w:rFonts w:ascii="Arial" w:hAnsi="Arial" w:cs="Arial"/>
          <w:bCs/>
          <w:sz w:val="22"/>
          <w:szCs w:val="22"/>
          <w:lang w:val="fr-FR"/>
        </w:rPr>
        <w:t>’</w:t>
      </w:r>
      <w:r w:rsidRPr="00581237">
        <w:rPr>
          <w:rFonts w:ascii="Arial" w:hAnsi="Arial" w:cs="Arial"/>
          <w:bCs/>
          <w:sz w:val="22"/>
          <w:szCs w:val="22"/>
          <w:lang w:val="fr-FR"/>
        </w:rPr>
        <w:t xml:space="preserve">amendement du </w:t>
      </w:r>
      <w:r>
        <w:rPr>
          <w:rFonts w:ascii="Arial" w:hAnsi="Arial" w:cs="Arial"/>
          <w:bCs/>
          <w:sz w:val="22"/>
          <w:szCs w:val="22"/>
          <w:lang w:val="fr-FR"/>
        </w:rPr>
        <w:t xml:space="preserve">Mexique, </w:t>
      </w:r>
      <w:r w:rsidRPr="00581237">
        <w:rPr>
          <w:rFonts w:ascii="Arial" w:hAnsi="Arial" w:cs="Arial"/>
          <w:bCs/>
          <w:sz w:val="22"/>
          <w:szCs w:val="22"/>
          <w:lang w:val="fr-FR"/>
        </w:rPr>
        <w:t>a noté que la référence à la décision 16.COM</w:t>
      </w:r>
      <w:r>
        <w:rPr>
          <w:rFonts w:ascii="Arial" w:hAnsi="Arial" w:cs="Arial"/>
          <w:bCs/>
          <w:sz w:val="22"/>
          <w:szCs w:val="22"/>
          <w:lang w:val="fr-FR"/>
        </w:rPr>
        <w:t> </w:t>
      </w:r>
      <w:r w:rsidRPr="00581237">
        <w:rPr>
          <w:rFonts w:ascii="Arial" w:hAnsi="Arial" w:cs="Arial"/>
          <w:bCs/>
          <w:sz w:val="22"/>
          <w:szCs w:val="22"/>
          <w:lang w:val="fr-FR"/>
        </w:rPr>
        <w:t>15 a</w:t>
      </w:r>
      <w:r>
        <w:rPr>
          <w:rFonts w:ascii="Arial" w:hAnsi="Arial" w:cs="Arial"/>
          <w:bCs/>
          <w:sz w:val="22"/>
          <w:szCs w:val="22"/>
          <w:lang w:val="fr-FR"/>
        </w:rPr>
        <w:t>vait</w:t>
      </w:r>
      <w:r w:rsidRPr="00581237">
        <w:rPr>
          <w:rFonts w:ascii="Arial" w:hAnsi="Arial" w:cs="Arial"/>
          <w:bCs/>
          <w:sz w:val="22"/>
          <w:szCs w:val="22"/>
          <w:lang w:val="fr-FR"/>
        </w:rPr>
        <w:t xml:space="preserve"> été incluse dans le pr</w:t>
      </w:r>
      <w:r>
        <w:rPr>
          <w:rFonts w:ascii="Arial" w:hAnsi="Arial" w:cs="Arial"/>
          <w:bCs/>
          <w:sz w:val="22"/>
          <w:szCs w:val="22"/>
          <w:lang w:val="fr-FR"/>
        </w:rPr>
        <w:t>ojet</w:t>
      </w:r>
      <w:r w:rsidRPr="00581237">
        <w:rPr>
          <w:rFonts w:ascii="Arial" w:hAnsi="Arial" w:cs="Arial"/>
          <w:bCs/>
          <w:sz w:val="22"/>
          <w:szCs w:val="22"/>
          <w:lang w:val="fr-FR"/>
        </w:rPr>
        <w:t xml:space="preserve"> de décision, qui stipul</w:t>
      </w:r>
      <w:r>
        <w:rPr>
          <w:rFonts w:ascii="Arial" w:hAnsi="Arial" w:cs="Arial"/>
          <w:bCs/>
          <w:sz w:val="22"/>
          <w:szCs w:val="22"/>
          <w:lang w:val="fr-FR"/>
        </w:rPr>
        <w:t>e</w:t>
      </w:r>
      <w:r w:rsidRPr="00581237">
        <w:rPr>
          <w:rFonts w:ascii="Arial" w:hAnsi="Arial" w:cs="Arial"/>
          <w:bCs/>
          <w:sz w:val="22"/>
          <w:szCs w:val="22"/>
          <w:lang w:val="fr-FR"/>
        </w:rPr>
        <w:t xml:space="preserve"> que le Comité </w:t>
      </w:r>
      <w:r>
        <w:rPr>
          <w:rFonts w:ascii="Arial" w:hAnsi="Arial" w:cs="Arial"/>
          <w:bCs/>
          <w:sz w:val="22"/>
          <w:szCs w:val="22"/>
          <w:lang w:val="fr-FR"/>
        </w:rPr>
        <w:t>« </w:t>
      </w:r>
      <w:r w:rsidRPr="00581237">
        <w:rPr>
          <w:rFonts w:ascii="Arial" w:hAnsi="Arial" w:cs="Arial"/>
          <w:bCs/>
          <w:sz w:val="22"/>
          <w:szCs w:val="22"/>
          <w:lang w:val="fr-FR"/>
        </w:rPr>
        <w:t>demande au Secrétariat de mettre en place un mécanisme de communication clair avec les États parties qui permette d</w:t>
      </w:r>
      <w:r w:rsidR="008E532B">
        <w:rPr>
          <w:rFonts w:ascii="Arial" w:hAnsi="Arial" w:cs="Arial"/>
          <w:bCs/>
          <w:sz w:val="22"/>
          <w:szCs w:val="22"/>
          <w:lang w:val="fr-FR"/>
        </w:rPr>
        <w:t>’</w:t>
      </w:r>
      <w:r w:rsidRPr="00581237">
        <w:rPr>
          <w:rFonts w:ascii="Arial" w:hAnsi="Arial" w:cs="Arial"/>
          <w:bCs/>
          <w:sz w:val="22"/>
          <w:szCs w:val="22"/>
          <w:lang w:val="fr-FR"/>
        </w:rPr>
        <w:t xml:space="preserve">obtenir </w:t>
      </w:r>
      <w:r>
        <w:rPr>
          <w:rFonts w:ascii="Arial" w:hAnsi="Arial" w:cs="Arial"/>
          <w:bCs/>
          <w:sz w:val="22"/>
          <w:szCs w:val="22"/>
          <w:lang w:val="fr-FR"/>
        </w:rPr>
        <w:t xml:space="preserve">un maximum </w:t>
      </w:r>
      <w:r w:rsidRPr="00581237">
        <w:rPr>
          <w:rFonts w:ascii="Arial" w:hAnsi="Arial" w:cs="Arial"/>
          <w:bCs/>
          <w:sz w:val="22"/>
          <w:szCs w:val="22"/>
          <w:lang w:val="fr-FR"/>
        </w:rPr>
        <w:t>d</w:t>
      </w:r>
      <w:r w:rsidR="008E532B">
        <w:rPr>
          <w:rFonts w:ascii="Arial" w:hAnsi="Arial" w:cs="Arial"/>
          <w:bCs/>
          <w:sz w:val="22"/>
          <w:szCs w:val="22"/>
          <w:lang w:val="fr-FR"/>
        </w:rPr>
        <w:t>’</w:t>
      </w:r>
      <w:r w:rsidRPr="00581237">
        <w:rPr>
          <w:rFonts w:ascii="Arial" w:hAnsi="Arial" w:cs="Arial"/>
          <w:bCs/>
          <w:sz w:val="22"/>
          <w:szCs w:val="22"/>
          <w:lang w:val="fr-FR"/>
        </w:rPr>
        <w:t>informations</w:t>
      </w:r>
      <w:r>
        <w:rPr>
          <w:rFonts w:ascii="Arial" w:hAnsi="Arial" w:cs="Arial"/>
          <w:bCs/>
          <w:sz w:val="22"/>
          <w:szCs w:val="22"/>
          <w:lang w:val="fr-FR"/>
        </w:rPr>
        <w:t xml:space="preserve"> </w:t>
      </w:r>
      <w:r w:rsidRPr="00581237">
        <w:rPr>
          <w:rFonts w:ascii="Arial" w:hAnsi="Arial" w:cs="Arial"/>
          <w:bCs/>
          <w:sz w:val="22"/>
          <w:szCs w:val="22"/>
          <w:lang w:val="fr-FR"/>
        </w:rPr>
        <w:t>sur les demandes d</w:t>
      </w:r>
      <w:r w:rsidR="008E532B">
        <w:rPr>
          <w:rFonts w:ascii="Arial" w:hAnsi="Arial" w:cs="Arial"/>
          <w:bCs/>
          <w:sz w:val="22"/>
          <w:szCs w:val="22"/>
          <w:lang w:val="fr-FR"/>
        </w:rPr>
        <w:t>’</w:t>
      </w:r>
      <w:r w:rsidRPr="00581237">
        <w:rPr>
          <w:rFonts w:ascii="Arial" w:hAnsi="Arial" w:cs="Arial"/>
          <w:bCs/>
          <w:sz w:val="22"/>
          <w:szCs w:val="22"/>
          <w:lang w:val="fr-FR"/>
        </w:rPr>
        <w:t>accréditation des ONG, afin de parvenir à la réalisation des objectifs, des principes éthiques et de l</w:t>
      </w:r>
      <w:r w:rsidR="008E532B">
        <w:rPr>
          <w:rFonts w:ascii="Arial" w:hAnsi="Arial" w:cs="Arial"/>
          <w:bCs/>
          <w:sz w:val="22"/>
          <w:szCs w:val="22"/>
          <w:lang w:val="fr-FR"/>
        </w:rPr>
        <w:t>’</w:t>
      </w:r>
      <w:r>
        <w:rPr>
          <w:rFonts w:ascii="Arial" w:hAnsi="Arial" w:cs="Arial"/>
          <w:bCs/>
          <w:sz w:val="22"/>
          <w:szCs w:val="22"/>
          <w:lang w:val="fr-FR"/>
        </w:rPr>
        <w:t xml:space="preserve">esprit de </w:t>
      </w:r>
      <w:r w:rsidRPr="00581237">
        <w:rPr>
          <w:rFonts w:ascii="Arial" w:hAnsi="Arial" w:cs="Arial"/>
          <w:bCs/>
          <w:sz w:val="22"/>
          <w:szCs w:val="22"/>
          <w:lang w:val="fr-FR"/>
        </w:rPr>
        <w:t>coopération</w:t>
      </w:r>
      <w:r>
        <w:rPr>
          <w:rFonts w:ascii="Arial" w:hAnsi="Arial" w:cs="Arial"/>
          <w:bCs/>
          <w:sz w:val="22"/>
          <w:szCs w:val="22"/>
          <w:lang w:val="fr-FR"/>
        </w:rPr>
        <w:t xml:space="preserve"> </w:t>
      </w:r>
      <w:r w:rsidRPr="00581237">
        <w:rPr>
          <w:rFonts w:ascii="Arial" w:hAnsi="Arial" w:cs="Arial"/>
          <w:bCs/>
          <w:sz w:val="22"/>
          <w:szCs w:val="22"/>
          <w:lang w:val="fr-FR"/>
        </w:rPr>
        <w:t>de la Convention de 2003</w:t>
      </w:r>
      <w:r>
        <w:rPr>
          <w:rFonts w:ascii="Arial" w:hAnsi="Arial" w:cs="Arial"/>
          <w:bCs/>
          <w:sz w:val="22"/>
          <w:szCs w:val="22"/>
          <w:lang w:val="fr-FR"/>
        </w:rPr>
        <w:t> »</w:t>
      </w:r>
      <w:r w:rsidRPr="00581237">
        <w:rPr>
          <w:rFonts w:ascii="Arial" w:hAnsi="Arial" w:cs="Arial"/>
          <w:bCs/>
          <w:sz w:val="22"/>
          <w:szCs w:val="22"/>
          <w:lang w:val="fr-FR"/>
        </w:rPr>
        <w:t xml:space="preserve">. </w:t>
      </w:r>
      <w:r>
        <w:rPr>
          <w:rFonts w:ascii="Arial" w:hAnsi="Arial" w:cs="Arial"/>
          <w:bCs/>
          <w:sz w:val="22"/>
          <w:szCs w:val="22"/>
          <w:lang w:val="fr-FR"/>
        </w:rPr>
        <w:t>L</w:t>
      </w:r>
      <w:r w:rsidRPr="00581237">
        <w:rPr>
          <w:rFonts w:ascii="Arial" w:hAnsi="Arial" w:cs="Arial"/>
          <w:bCs/>
          <w:sz w:val="22"/>
          <w:szCs w:val="22"/>
          <w:lang w:val="fr-FR"/>
        </w:rPr>
        <w:t>e Mexique demandant un délai supplémentaire</w:t>
      </w:r>
      <w:r>
        <w:rPr>
          <w:rFonts w:ascii="Arial" w:hAnsi="Arial" w:cs="Arial"/>
          <w:bCs/>
          <w:sz w:val="22"/>
          <w:szCs w:val="22"/>
          <w:lang w:val="fr-FR"/>
        </w:rPr>
        <w:t>, on pourrait s</w:t>
      </w:r>
      <w:r w:rsidR="008E532B">
        <w:rPr>
          <w:rFonts w:ascii="Arial" w:hAnsi="Arial" w:cs="Arial"/>
          <w:bCs/>
          <w:sz w:val="22"/>
          <w:szCs w:val="22"/>
          <w:lang w:val="fr-FR"/>
        </w:rPr>
        <w:t>’</w:t>
      </w:r>
      <w:r>
        <w:rPr>
          <w:rFonts w:ascii="Arial" w:hAnsi="Arial" w:cs="Arial"/>
          <w:bCs/>
          <w:sz w:val="22"/>
          <w:szCs w:val="22"/>
          <w:lang w:val="fr-FR"/>
        </w:rPr>
        <w:t xml:space="preserve">attendre à ce que le </w:t>
      </w:r>
      <w:r w:rsidRPr="00581237">
        <w:rPr>
          <w:rFonts w:ascii="Arial" w:hAnsi="Arial" w:cs="Arial"/>
          <w:bCs/>
          <w:sz w:val="22"/>
          <w:szCs w:val="22"/>
          <w:lang w:val="fr-FR"/>
        </w:rPr>
        <w:t xml:space="preserve">Comité et </w:t>
      </w:r>
      <w:r>
        <w:rPr>
          <w:rFonts w:ascii="Arial" w:hAnsi="Arial" w:cs="Arial"/>
          <w:bCs/>
          <w:sz w:val="22"/>
          <w:szCs w:val="22"/>
          <w:lang w:val="fr-FR"/>
        </w:rPr>
        <w:t xml:space="preserve">le </w:t>
      </w:r>
      <w:r w:rsidRPr="00581237">
        <w:rPr>
          <w:rFonts w:ascii="Arial" w:hAnsi="Arial" w:cs="Arial"/>
          <w:bCs/>
          <w:sz w:val="22"/>
          <w:szCs w:val="22"/>
          <w:lang w:val="fr-FR"/>
        </w:rPr>
        <w:t>Secrétariat</w:t>
      </w:r>
      <w:r>
        <w:rPr>
          <w:rFonts w:ascii="Arial" w:hAnsi="Arial" w:cs="Arial"/>
          <w:bCs/>
          <w:sz w:val="22"/>
          <w:szCs w:val="22"/>
          <w:lang w:val="fr-FR"/>
        </w:rPr>
        <w:t xml:space="preserve"> fasse usage de ce nouveau mécanisme.</w:t>
      </w:r>
      <w:r w:rsidRPr="00581237">
        <w:rPr>
          <w:rFonts w:ascii="Arial" w:hAnsi="Arial" w:cs="Arial"/>
          <w:bCs/>
          <w:sz w:val="22"/>
          <w:szCs w:val="22"/>
          <w:lang w:val="fr-FR"/>
        </w:rPr>
        <w:t xml:space="preserve"> Elle </w:t>
      </w:r>
      <w:r>
        <w:rPr>
          <w:rFonts w:ascii="Arial" w:hAnsi="Arial" w:cs="Arial"/>
          <w:bCs/>
          <w:sz w:val="22"/>
          <w:szCs w:val="22"/>
          <w:lang w:val="fr-FR"/>
        </w:rPr>
        <w:t xml:space="preserve">soutenait </w:t>
      </w:r>
      <w:r w:rsidRPr="00581237">
        <w:rPr>
          <w:rFonts w:ascii="Arial" w:hAnsi="Arial" w:cs="Arial"/>
          <w:bCs/>
          <w:sz w:val="22"/>
          <w:szCs w:val="22"/>
          <w:lang w:val="fr-FR"/>
        </w:rPr>
        <w:t>donc l</w:t>
      </w:r>
      <w:r w:rsidR="008E532B">
        <w:rPr>
          <w:rFonts w:ascii="Arial" w:hAnsi="Arial" w:cs="Arial"/>
          <w:bCs/>
          <w:sz w:val="22"/>
          <w:szCs w:val="22"/>
          <w:lang w:val="fr-FR"/>
        </w:rPr>
        <w:t>’</w:t>
      </w:r>
      <w:r w:rsidRPr="00581237">
        <w:rPr>
          <w:rFonts w:ascii="Arial" w:hAnsi="Arial" w:cs="Arial"/>
          <w:bCs/>
          <w:sz w:val="22"/>
          <w:szCs w:val="22"/>
          <w:lang w:val="fr-FR"/>
        </w:rPr>
        <w:t>amendement du Mexique.</w:t>
      </w:r>
    </w:p>
    <w:p w14:paraId="549A3AAA" w14:textId="4B86F44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F68AF">
        <w:rPr>
          <w:rFonts w:ascii="Arial" w:hAnsi="Arial" w:cs="Arial"/>
          <w:bCs/>
          <w:sz w:val="22"/>
          <w:szCs w:val="22"/>
          <w:lang w:val="fr-FR"/>
        </w:rPr>
        <w:t>La délégation d</w:t>
      </w:r>
      <w:r>
        <w:rPr>
          <w:rFonts w:ascii="Arial" w:hAnsi="Arial" w:cs="Arial"/>
          <w:bCs/>
          <w:sz w:val="22"/>
          <w:szCs w:val="22"/>
          <w:lang w:val="fr-FR"/>
        </w:rPr>
        <w:t xml:space="preserve">e la </w:t>
      </w:r>
      <w:r w:rsidRPr="006D154E">
        <w:rPr>
          <w:rFonts w:ascii="Arial" w:hAnsi="Arial" w:cs="Arial"/>
          <w:b/>
          <w:sz w:val="22"/>
          <w:szCs w:val="22"/>
          <w:lang w:val="fr-FR"/>
        </w:rPr>
        <w:t>République bolivarienne du Venezuela</w:t>
      </w:r>
      <w:r w:rsidRPr="005F68AF">
        <w:rPr>
          <w:rFonts w:ascii="Arial" w:hAnsi="Arial" w:cs="Arial"/>
          <w:bCs/>
          <w:sz w:val="22"/>
          <w:szCs w:val="22"/>
          <w:lang w:val="fr-FR"/>
        </w:rPr>
        <w:t xml:space="preserve"> approuv</w:t>
      </w:r>
      <w:r>
        <w:rPr>
          <w:rFonts w:ascii="Arial" w:hAnsi="Arial" w:cs="Arial"/>
          <w:bCs/>
          <w:sz w:val="22"/>
          <w:szCs w:val="22"/>
          <w:lang w:val="fr-FR"/>
        </w:rPr>
        <w:t>ait</w:t>
      </w:r>
      <w:r w:rsidRPr="005F68AF">
        <w:rPr>
          <w:rFonts w:ascii="Arial" w:hAnsi="Arial" w:cs="Arial"/>
          <w:bCs/>
          <w:sz w:val="22"/>
          <w:szCs w:val="22"/>
          <w:lang w:val="fr-FR"/>
        </w:rPr>
        <w:t xml:space="preserve"> la proposition du Mexique, ajoutant qu</w:t>
      </w:r>
      <w:r w:rsidR="008E532B">
        <w:rPr>
          <w:rFonts w:ascii="Arial" w:hAnsi="Arial" w:cs="Arial"/>
          <w:bCs/>
          <w:sz w:val="22"/>
          <w:szCs w:val="22"/>
          <w:lang w:val="fr-FR"/>
        </w:rPr>
        <w:t>’</w:t>
      </w:r>
      <w:r w:rsidRPr="005F68AF">
        <w:rPr>
          <w:rFonts w:ascii="Arial" w:hAnsi="Arial" w:cs="Arial"/>
          <w:bCs/>
          <w:sz w:val="22"/>
          <w:szCs w:val="22"/>
          <w:lang w:val="fr-FR"/>
        </w:rPr>
        <w:t>il devrait être possible de reporter les dossiers soumis par les ONG qui ne sont ni complets ni rigoureux afin de répondre aux exigences d</w:t>
      </w:r>
      <w:r w:rsidR="008E532B">
        <w:rPr>
          <w:rFonts w:ascii="Arial" w:hAnsi="Arial" w:cs="Arial"/>
          <w:bCs/>
          <w:sz w:val="22"/>
          <w:szCs w:val="22"/>
          <w:lang w:val="fr-FR"/>
        </w:rPr>
        <w:t>’</w:t>
      </w:r>
      <w:r w:rsidRPr="005F68AF">
        <w:rPr>
          <w:rFonts w:ascii="Arial" w:hAnsi="Arial" w:cs="Arial"/>
          <w:bCs/>
          <w:sz w:val="22"/>
          <w:szCs w:val="22"/>
          <w:lang w:val="fr-FR"/>
        </w:rPr>
        <w:t>excellence, qui constituent le fondement de la Convention. En fait, l</w:t>
      </w:r>
      <w:r w:rsidR="008E532B">
        <w:rPr>
          <w:rFonts w:ascii="Arial" w:hAnsi="Arial" w:cs="Arial"/>
          <w:bCs/>
          <w:sz w:val="22"/>
          <w:szCs w:val="22"/>
          <w:lang w:val="fr-FR"/>
        </w:rPr>
        <w:t>’</w:t>
      </w:r>
      <w:r w:rsidRPr="005F68AF">
        <w:rPr>
          <w:rFonts w:ascii="Arial" w:hAnsi="Arial" w:cs="Arial"/>
          <w:bCs/>
          <w:sz w:val="22"/>
          <w:szCs w:val="22"/>
          <w:lang w:val="fr-FR"/>
        </w:rPr>
        <w:t>amendement du Mexique ne limit</w:t>
      </w:r>
      <w:r>
        <w:rPr>
          <w:rFonts w:ascii="Arial" w:hAnsi="Arial" w:cs="Arial"/>
          <w:bCs/>
          <w:sz w:val="22"/>
          <w:szCs w:val="22"/>
          <w:lang w:val="fr-FR"/>
        </w:rPr>
        <w:t>ait</w:t>
      </w:r>
      <w:r w:rsidRPr="005F68AF">
        <w:rPr>
          <w:rFonts w:ascii="Arial" w:hAnsi="Arial" w:cs="Arial"/>
          <w:bCs/>
          <w:sz w:val="22"/>
          <w:szCs w:val="22"/>
          <w:lang w:val="fr-FR"/>
        </w:rPr>
        <w:t xml:space="preserve"> pas les critères d</w:t>
      </w:r>
      <w:r w:rsidR="008E532B">
        <w:rPr>
          <w:rFonts w:ascii="Arial" w:hAnsi="Arial" w:cs="Arial"/>
          <w:bCs/>
          <w:sz w:val="22"/>
          <w:szCs w:val="22"/>
          <w:lang w:val="fr-FR"/>
        </w:rPr>
        <w:t>’</w:t>
      </w:r>
      <w:r w:rsidRPr="005F68AF">
        <w:rPr>
          <w:rFonts w:ascii="Arial" w:hAnsi="Arial" w:cs="Arial"/>
          <w:bCs/>
          <w:sz w:val="22"/>
          <w:szCs w:val="22"/>
          <w:lang w:val="fr-FR"/>
        </w:rPr>
        <w:t>excellence mais vis</w:t>
      </w:r>
      <w:r>
        <w:rPr>
          <w:rFonts w:ascii="Arial" w:hAnsi="Arial" w:cs="Arial"/>
          <w:bCs/>
          <w:sz w:val="22"/>
          <w:szCs w:val="22"/>
          <w:lang w:val="fr-FR"/>
        </w:rPr>
        <w:t>ait</w:t>
      </w:r>
      <w:r w:rsidRPr="005F68AF">
        <w:rPr>
          <w:rFonts w:ascii="Arial" w:hAnsi="Arial" w:cs="Arial"/>
          <w:bCs/>
          <w:sz w:val="22"/>
          <w:szCs w:val="22"/>
          <w:lang w:val="fr-FR"/>
        </w:rPr>
        <w:t xml:space="preserve"> à les renforcer.</w:t>
      </w:r>
    </w:p>
    <w:p w14:paraId="3BC9624D" w14:textId="5C65D60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5F68AF">
        <w:rPr>
          <w:rFonts w:ascii="Arial" w:hAnsi="Arial" w:cs="Arial"/>
          <w:bCs/>
          <w:sz w:val="22"/>
          <w:szCs w:val="22"/>
          <w:lang w:val="fr-FR"/>
        </w:rPr>
        <w:t>délégation</w:t>
      </w:r>
      <w:r>
        <w:rPr>
          <w:rFonts w:ascii="Arial" w:hAnsi="Arial" w:cs="Arial"/>
          <w:bCs/>
          <w:sz w:val="22"/>
          <w:szCs w:val="22"/>
          <w:lang w:val="fr-FR"/>
        </w:rPr>
        <w:t xml:space="preserve"> de la </w:t>
      </w:r>
      <w:r w:rsidRPr="005F68AF">
        <w:rPr>
          <w:rFonts w:ascii="Arial" w:hAnsi="Arial" w:cs="Arial"/>
          <w:b/>
          <w:sz w:val="22"/>
          <w:szCs w:val="22"/>
          <w:lang w:val="fr-FR"/>
        </w:rPr>
        <w:t>Pologne</w:t>
      </w:r>
      <w:r>
        <w:rPr>
          <w:rFonts w:ascii="Arial" w:hAnsi="Arial" w:cs="Arial"/>
          <w:bCs/>
          <w:sz w:val="22"/>
          <w:szCs w:val="22"/>
          <w:lang w:val="fr-FR"/>
        </w:rPr>
        <w:t xml:space="preserve"> a réitéré sa question, demandant des </w:t>
      </w:r>
      <w:r w:rsidRPr="005F68AF">
        <w:rPr>
          <w:rFonts w:ascii="Arial" w:hAnsi="Arial" w:cs="Arial"/>
          <w:bCs/>
          <w:sz w:val="22"/>
          <w:szCs w:val="22"/>
          <w:lang w:val="fr-FR"/>
        </w:rPr>
        <w:t>éclaircissements</w:t>
      </w:r>
      <w:r>
        <w:rPr>
          <w:rFonts w:ascii="Arial" w:hAnsi="Arial" w:cs="Arial"/>
          <w:bCs/>
          <w:sz w:val="22"/>
          <w:szCs w:val="22"/>
          <w:lang w:val="fr-FR"/>
        </w:rPr>
        <w:t xml:space="preserve"> sur les critères qui n</w:t>
      </w:r>
      <w:r w:rsidR="008E532B">
        <w:rPr>
          <w:rFonts w:ascii="Arial" w:hAnsi="Arial" w:cs="Arial"/>
          <w:bCs/>
          <w:sz w:val="22"/>
          <w:szCs w:val="22"/>
          <w:lang w:val="fr-FR"/>
        </w:rPr>
        <w:t>’</w:t>
      </w:r>
      <w:r>
        <w:rPr>
          <w:rFonts w:ascii="Arial" w:hAnsi="Arial" w:cs="Arial"/>
          <w:bCs/>
          <w:sz w:val="22"/>
          <w:szCs w:val="22"/>
          <w:lang w:val="fr-FR"/>
        </w:rPr>
        <w:t>étaient pas satisfaits. Elle soutenait l</w:t>
      </w:r>
      <w:r w:rsidR="008E532B">
        <w:rPr>
          <w:rFonts w:ascii="Arial" w:hAnsi="Arial" w:cs="Arial"/>
          <w:bCs/>
          <w:sz w:val="22"/>
          <w:szCs w:val="22"/>
          <w:lang w:val="fr-FR"/>
        </w:rPr>
        <w:t>’</w:t>
      </w:r>
      <w:r>
        <w:rPr>
          <w:rFonts w:ascii="Arial" w:hAnsi="Arial" w:cs="Arial"/>
          <w:bCs/>
          <w:sz w:val="22"/>
          <w:szCs w:val="22"/>
          <w:lang w:val="fr-FR"/>
        </w:rPr>
        <w:t>option A.</w:t>
      </w:r>
    </w:p>
    <w:p w14:paraId="37CCF5F2" w14:textId="0B2DB91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3710A">
        <w:rPr>
          <w:rFonts w:ascii="Arial" w:hAnsi="Arial" w:cs="Arial"/>
          <w:bCs/>
          <w:sz w:val="22"/>
          <w:szCs w:val="22"/>
          <w:lang w:val="fr-FR"/>
        </w:rPr>
        <w:t xml:space="preserve">La délégation de </w:t>
      </w:r>
      <w:r w:rsidRPr="0063710A">
        <w:rPr>
          <w:rFonts w:ascii="Arial" w:hAnsi="Arial" w:cs="Arial"/>
          <w:b/>
          <w:sz w:val="22"/>
          <w:szCs w:val="22"/>
          <w:lang w:val="fr-FR"/>
        </w:rPr>
        <w:t>Cuba</w:t>
      </w:r>
      <w:r w:rsidRPr="0063710A">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associait</w:t>
      </w:r>
      <w:r w:rsidRPr="0063710A">
        <w:rPr>
          <w:rFonts w:ascii="Arial" w:hAnsi="Arial" w:cs="Arial"/>
          <w:bCs/>
          <w:sz w:val="22"/>
          <w:szCs w:val="22"/>
          <w:lang w:val="fr-FR"/>
        </w:rPr>
        <w:t xml:space="preserve"> aux déclarations de tous les États qui s</w:t>
      </w:r>
      <w:r w:rsidR="008E532B">
        <w:rPr>
          <w:rFonts w:ascii="Arial" w:hAnsi="Arial" w:cs="Arial"/>
          <w:bCs/>
          <w:sz w:val="22"/>
          <w:szCs w:val="22"/>
          <w:lang w:val="fr-FR"/>
        </w:rPr>
        <w:t>’</w:t>
      </w:r>
      <w:r>
        <w:rPr>
          <w:rFonts w:ascii="Arial" w:hAnsi="Arial" w:cs="Arial"/>
          <w:bCs/>
          <w:sz w:val="22"/>
          <w:szCs w:val="22"/>
          <w:lang w:val="fr-FR"/>
        </w:rPr>
        <w:t>étaient</w:t>
      </w:r>
      <w:r w:rsidRPr="0063710A">
        <w:rPr>
          <w:rFonts w:ascii="Arial" w:hAnsi="Arial" w:cs="Arial"/>
          <w:bCs/>
          <w:sz w:val="22"/>
          <w:szCs w:val="22"/>
          <w:lang w:val="fr-FR"/>
        </w:rPr>
        <w:t xml:space="preserve"> exprimés en faveur de l</w:t>
      </w:r>
      <w:r w:rsidR="008E532B">
        <w:rPr>
          <w:rFonts w:ascii="Arial" w:hAnsi="Arial" w:cs="Arial"/>
          <w:bCs/>
          <w:sz w:val="22"/>
          <w:szCs w:val="22"/>
          <w:lang w:val="fr-FR"/>
        </w:rPr>
        <w:t>’</w:t>
      </w:r>
      <w:r w:rsidRPr="0063710A">
        <w:rPr>
          <w:rFonts w:ascii="Arial" w:hAnsi="Arial" w:cs="Arial"/>
          <w:bCs/>
          <w:sz w:val="22"/>
          <w:szCs w:val="22"/>
          <w:lang w:val="fr-FR"/>
        </w:rPr>
        <w:t xml:space="preserve">amendement du Mexique. Elle </w:t>
      </w:r>
      <w:r>
        <w:rPr>
          <w:rFonts w:ascii="Arial" w:hAnsi="Arial" w:cs="Arial"/>
          <w:bCs/>
          <w:sz w:val="22"/>
          <w:szCs w:val="22"/>
          <w:lang w:val="fr-FR"/>
        </w:rPr>
        <w:t>estimait</w:t>
      </w:r>
      <w:r w:rsidRPr="0063710A">
        <w:rPr>
          <w:rFonts w:ascii="Arial" w:hAnsi="Arial" w:cs="Arial"/>
          <w:bCs/>
          <w:sz w:val="22"/>
          <w:szCs w:val="22"/>
          <w:lang w:val="fr-FR"/>
        </w:rPr>
        <w:t xml:space="preserve"> qu</w:t>
      </w:r>
      <w:r w:rsidR="008E532B">
        <w:rPr>
          <w:rFonts w:ascii="Arial" w:hAnsi="Arial" w:cs="Arial"/>
          <w:bCs/>
          <w:sz w:val="22"/>
          <w:szCs w:val="22"/>
          <w:lang w:val="fr-FR"/>
        </w:rPr>
        <w:t>’</w:t>
      </w:r>
      <w:r w:rsidRPr="0063710A">
        <w:rPr>
          <w:rFonts w:ascii="Arial" w:hAnsi="Arial" w:cs="Arial"/>
          <w:bCs/>
          <w:sz w:val="22"/>
          <w:szCs w:val="22"/>
          <w:lang w:val="fr-FR"/>
        </w:rPr>
        <w:t>il fallait plus de temps pour évaluer la demande compte tenu de la situation actuelle.</w:t>
      </w:r>
    </w:p>
    <w:p w14:paraId="4D0413D0" w14:textId="743790A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3710A">
        <w:rPr>
          <w:rFonts w:ascii="Arial" w:hAnsi="Arial" w:cs="Arial"/>
          <w:bCs/>
          <w:sz w:val="22"/>
          <w:szCs w:val="22"/>
          <w:lang w:val="fr-FR"/>
        </w:rPr>
        <w:t xml:space="preserve">La délégation des </w:t>
      </w:r>
      <w:r w:rsidRPr="0063710A">
        <w:rPr>
          <w:rFonts w:ascii="Arial" w:hAnsi="Arial" w:cs="Arial"/>
          <w:b/>
          <w:sz w:val="22"/>
          <w:szCs w:val="22"/>
          <w:lang w:val="fr-FR"/>
        </w:rPr>
        <w:t>Pays-Bas</w:t>
      </w:r>
      <w:r w:rsidRPr="0063710A">
        <w:rPr>
          <w:rFonts w:ascii="Arial" w:hAnsi="Arial" w:cs="Arial"/>
          <w:bCs/>
          <w:sz w:val="22"/>
          <w:szCs w:val="22"/>
          <w:lang w:val="fr-FR"/>
        </w:rPr>
        <w:t xml:space="preserve"> souten</w:t>
      </w:r>
      <w:r>
        <w:rPr>
          <w:rFonts w:ascii="Arial" w:hAnsi="Arial" w:cs="Arial"/>
          <w:bCs/>
          <w:sz w:val="22"/>
          <w:szCs w:val="22"/>
          <w:lang w:val="fr-FR"/>
        </w:rPr>
        <w:t>ait</w:t>
      </w:r>
      <w:r w:rsidRPr="0063710A">
        <w:rPr>
          <w:rFonts w:ascii="Arial" w:hAnsi="Arial" w:cs="Arial"/>
          <w:bCs/>
          <w:sz w:val="22"/>
          <w:szCs w:val="22"/>
          <w:lang w:val="fr-FR"/>
        </w:rPr>
        <w:t xml:space="preserve"> l</w:t>
      </w:r>
      <w:r w:rsidR="008E532B">
        <w:rPr>
          <w:rFonts w:ascii="Arial" w:hAnsi="Arial" w:cs="Arial"/>
          <w:bCs/>
          <w:sz w:val="22"/>
          <w:szCs w:val="22"/>
          <w:lang w:val="fr-FR"/>
        </w:rPr>
        <w:t>’</w:t>
      </w:r>
      <w:r w:rsidRPr="0063710A">
        <w:rPr>
          <w:rFonts w:ascii="Arial" w:hAnsi="Arial" w:cs="Arial"/>
          <w:bCs/>
          <w:sz w:val="22"/>
          <w:szCs w:val="22"/>
          <w:lang w:val="fr-FR"/>
        </w:rPr>
        <w:t>option A consistant à accorder l</w:t>
      </w:r>
      <w:r w:rsidR="008E532B">
        <w:rPr>
          <w:rFonts w:ascii="Arial" w:hAnsi="Arial" w:cs="Arial"/>
          <w:bCs/>
          <w:sz w:val="22"/>
          <w:szCs w:val="22"/>
          <w:lang w:val="fr-FR"/>
        </w:rPr>
        <w:t>’</w:t>
      </w:r>
      <w:r w:rsidRPr="0063710A">
        <w:rPr>
          <w:rFonts w:ascii="Arial" w:hAnsi="Arial" w:cs="Arial"/>
          <w:bCs/>
          <w:sz w:val="22"/>
          <w:szCs w:val="22"/>
          <w:lang w:val="fr-FR"/>
        </w:rPr>
        <w:t xml:space="preserve">accréditation aux deux ONG.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agissant de</w:t>
      </w:r>
      <w:r w:rsidRPr="0063710A">
        <w:rPr>
          <w:rFonts w:ascii="Arial" w:hAnsi="Arial" w:cs="Arial"/>
          <w:bCs/>
          <w:sz w:val="22"/>
          <w:szCs w:val="22"/>
          <w:lang w:val="fr-FR"/>
        </w:rPr>
        <w:t xml:space="preserve"> l</w:t>
      </w:r>
      <w:r w:rsidR="008E532B">
        <w:rPr>
          <w:rFonts w:ascii="Arial" w:hAnsi="Arial" w:cs="Arial"/>
          <w:bCs/>
          <w:sz w:val="22"/>
          <w:szCs w:val="22"/>
          <w:lang w:val="fr-FR"/>
        </w:rPr>
        <w:t>’</w:t>
      </w:r>
      <w:r w:rsidRPr="0063710A">
        <w:rPr>
          <w:rFonts w:ascii="Arial" w:hAnsi="Arial" w:cs="Arial"/>
          <w:bCs/>
          <w:sz w:val="22"/>
          <w:szCs w:val="22"/>
          <w:lang w:val="fr-FR"/>
        </w:rPr>
        <w:t>accréditation des ONG, les Pays-Bas souten</w:t>
      </w:r>
      <w:r>
        <w:rPr>
          <w:rFonts w:ascii="Arial" w:hAnsi="Arial" w:cs="Arial"/>
          <w:bCs/>
          <w:sz w:val="22"/>
          <w:szCs w:val="22"/>
          <w:lang w:val="fr-FR"/>
        </w:rPr>
        <w:t>aient</w:t>
      </w:r>
      <w:r w:rsidRPr="0063710A">
        <w:rPr>
          <w:rFonts w:ascii="Arial" w:hAnsi="Arial" w:cs="Arial"/>
          <w:bCs/>
          <w:sz w:val="22"/>
          <w:szCs w:val="22"/>
          <w:lang w:val="fr-FR"/>
        </w:rPr>
        <w:t xml:space="preserve"> la ligne de conduite habituelle selon laquelle le Secrétariat indique si les ONG peuvent être accréditées ou non </w:t>
      </w:r>
      <w:r>
        <w:rPr>
          <w:rFonts w:ascii="Arial" w:hAnsi="Arial" w:cs="Arial"/>
          <w:bCs/>
          <w:sz w:val="22"/>
          <w:szCs w:val="22"/>
          <w:lang w:val="fr-FR"/>
        </w:rPr>
        <w:t xml:space="preserve">en fonction </w:t>
      </w:r>
      <w:r w:rsidRPr="0063710A">
        <w:rPr>
          <w:rFonts w:ascii="Arial" w:hAnsi="Arial" w:cs="Arial"/>
          <w:bCs/>
          <w:sz w:val="22"/>
          <w:szCs w:val="22"/>
          <w:lang w:val="fr-FR"/>
        </w:rPr>
        <w:t>de</w:t>
      </w:r>
      <w:r>
        <w:rPr>
          <w:rFonts w:ascii="Arial" w:hAnsi="Arial" w:cs="Arial"/>
          <w:bCs/>
          <w:sz w:val="22"/>
          <w:szCs w:val="22"/>
          <w:lang w:val="fr-FR"/>
        </w:rPr>
        <w:t>s</w:t>
      </w:r>
      <w:r w:rsidRPr="0063710A">
        <w:rPr>
          <w:rFonts w:ascii="Arial" w:hAnsi="Arial" w:cs="Arial"/>
          <w:bCs/>
          <w:sz w:val="22"/>
          <w:szCs w:val="22"/>
          <w:lang w:val="fr-FR"/>
        </w:rPr>
        <w:t xml:space="preserve"> critères et si les informations disponibles sont suffisantes ou non. La délégation souhait</w:t>
      </w:r>
      <w:r>
        <w:rPr>
          <w:rFonts w:ascii="Arial" w:hAnsi="Arial" w:cs="Arial"/>
          <w:bCs/>
          <w:sz w:val="22"/>
          <w:szCs w:val="22"/>
          <w:lang w:val="fr-FR"/>
        </w:rPr>
        <w:t>ait</w:t>
      </w:r>
      <w:r w:rsidRPr="0063710A">
        <w:rPr>
          <w:rFonts w:ascii="Arial" w:hAnsi="Arial" w:cs="Arial"/>
          <w:bCs/>
          <w:sz w:val="22"/>
          <w:szCs w:val="22"/>
          <w:lang w:val="fr-FR"/>
        </w:rPr>
        <w:t xml:space="preserve"> éviter que ce cas ne crée un précédent. L</w:t>
      </w:r>
      <w:r w:rsidR="008E532B">
        <w:rPr>
          <w:rFonts w:ascii="Arial" w:hAnsi="Arial" w:cs="Arial"/>
          <w:bCs/>
          <w:sz w:val="22"/>
          <w:szCs w:val="22"/>
          <w:lang w:val="fr-FR"/>
        </w:rPr>
        <w:t>’</w:t>
      </w:r>
      <w:r w:rsidRPr="0063710A">
        <w:rPr>
          <w:rFonts w:ascii="Arial" w:hAnsi="Arial" w:cs="Arial"/>
          <w:bCs/>
          <w:sz w:val="22"/>
          <w:szCs w:val="22"/>
          <w:lang w:val="fr-FR"/>
        </w:rPr>
        <w:t>accréditation ne devrait être basée que sur les critères et l</w:t>
      </w:r>
      <w:r w:rsidR="008E532B">
        <w:rPr>
          <w:rFonts w:ascii="Arial" w:hAnsi="Arial" w:cs="Arial"/>
          <w:bCs/>
          <w:sz w:val="22"/>
          <w:szCs w:val="22"/>
          <w:lang w:val="fr-FR"/>
        </w:rPr>
        <w:t>’</w:t>
      </w:r>
      <w:r w:rsidRPr="0063710A">
        <w:rPr>
          <w:rFonts w:ascii="Arial" w:hAnsi="Arial" w:cs="Arial"/>
          <w:bCs/>
          <w:sz w:val="22"/>
          <w:szCs w:val="22"/>
          <w:lang w:val="fr-FR"/>
        </w:rPr>
        <w:t xml:space="preserve">avis du Secrétariat, après quoi la recommandation </w:t>
      </w:r>
      <w:r>
        <w:rPr>
          <w:rFonts w:ascii="Arial" w:hAnsi="Arial" w:cs="Arial"/>
          <w:bCs/>
          <w:sz w:val="22"/>
          <w:szCs w:val="22"/>
          <w:lang w:val="fr-FR"/>
        </w:rPr>
        <w:t>était</w:t>
      </w:r>
      <w:r w:rsidRPr="0063710A">
        <w:rPr>
          <w:rFonts w:ascii="Arial" w:hAnsi="Arial" w:cs="Arial"/>
          <w:bCs/>
          <w:sz w:val="22"/>
          <w:szCs w:val="22"/>
          <w:lang w:val="fr-FR"/>
        </w:rPr>
        <w:t xml:space="preserve"> adoptée par l</w:t>
      </w:r>
      <w:r w:rsidR="008E532B">
        <w:rPr>
          <w:rFonts w:ascii="Arial" w:hAnsi="Arial" w:cs="Arial"/>
          <w:bCs/>
          <w:sz w:val="22"/>
          <w:szCs w:val="22"/>
          <w:lang w:val="fr-FR"/>
        </w:rPr>
        <w:t>’</w:t>
      </w:r>
      <w:r w:rsidRPr="0063710A">
        <w:rPr>
          <w:rFonts w:ascii="Arial" w:hAnsi="Arial" w:cs="Arial"/>
          <w:bCs/>
          <w:sz w:val="22"/>
          <w:szCs w:val="22"/>
          <w:lang w:val="fr-FR"/>
        </w:rPr>
        <w:t>Assemblée générale.</w:t>
      </w:r>
    </w:p>
    <w:p w14:paraId="3078F6AB"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177B0">
        <w:rPr>
          <w:rFonts w:ascii="Arial" w:hAnsi="Arial" w:cs="Arial"/>
          <w:bCs/>
          <w:sz w:val="22"/>
          <w:szCs w:val="22"/>
          <w:lang w:val="fr-FR"/>
        </w:rPr>
        <w:t xml:space="preserve">La délégation du </w:t>
      </w:r>
      <w:r w:rsidRPr="001177B0">
        <w:rPr>
          <w:rFonts w:ascii="Arial" w:hAnsi="Arial" w:cs="Arial"/>
          <w:b/>
          <w:sz w:val="22"/>
          <w:szCs w:val="22"/>
          <w:lang w:val="fr-FR"/>
        </w:rPr>
        <w:t>Paraguay</w:t>
      </w:r>
      <w:r w:rsidRPr="001177B0">
        <w:rPr>
          <w:rFonts w:ascii="Arial" w:hAnsi="Arial" w:cs="Arial"/>
          <w:bCs/>
          <w:sz w:val="22"/>
          <w:szCs w:val="22"/>
          <w:lang w:val="fr-FR"/>
        </w:rPr>
        <w:t xml:space="preserve"> approuv</w:t>
      </w:r>
      <w:r>
        <w:rPr>
          <w:rFonts w:ascii="Arial" w:hAnsi="Arial" w:cs="Arial"/>
          <w:bCs/>
          <w:sz w:val="22"/>
          <w:szCs w:val="22"/>
          <w:lang w:val="fr-FR"/>
        </w:rPr>
        <w:t>ait</w:t>
      </w:r>
      <w:r w:rsidRPr="001177B0">
        <w:rPr>
          <w:rFonts w:ascii="Arial" w:hAnsi="Arial" w:cs="Arial"/>
          <w:bCs/>
          <w:sz w:val="22"/>
          <w:szCs w:val="22"/>
          <w:lang w:val="fr-FR"/>
        </w:rPr>
        <w:t xml:space="preserve"> la proposition du </w:t>
      </w:r>
      <w:r>
        <w:rPr>
          <w:rFonts w:ascii="Arial" w:hAnsi="Arial" w:cs="Arial"/>
          <w:bCs/>
          <w:sz w:val="22"/>
          <w:szCs w:val="22"/>
          <w:lang w:val="fr-FR"/>
        </w:rPr>
        <w:t xml:space="preserve">Mexique. Elle a </w:t>
      </w:r>
      <w:r w:rsidRPr="001177B0">
        <w:rPr>
          <w:rFonts w:ascii="Arial" w:hAnsi="Arial" w:cs="Arial"/>
          <w:bCs/>
          <w:sz w:val="22"/>
          <w:szCs w:val="22"/>
          <w:lang w:val="fr-FR"/>
        </w:rPr>
        <w:t>ajout</w:t>
      </w:r>
      <w:r>
        <w:rPr>
          <w:rFonts w:ascii="Arial" w:hAnsi="Arial" w:cs="Arial"/>
          <w:bCs/>
          <w:sz w:val="22"/>
          <w:szCs w:val="22"/>
          <w:lang w:val="fr-FR"/>
        </w:rPr>
        <w:t xml:space="preserve">é </w:t>
      </w:r>
      <w:r w:rsidRPr="001177B0">
        <w:rPr>
          <w:rFonts w:ascii="Arial" w:hAnsi="Arial" w:cs="Arial"/>
          <w:bCs/>
          <w:sz w:val="22"/>
          <w:szCs w:val="22"/>
          <w:lang w:val="fr-FR"/>
        </w:rPr>
        <w:t xml:space="preserve">que le libellé était clair et pleinement justifié et ne cherchait exclure </w:t>
      </w:r>
      <w:r>
        <w:rPr>
          <w:rFonts w:ascii="Arial" w:hAnsi="Arial" w:cs="Arial"/>
          <w:bCs/>
          <w:sz w:val="22"/>
          <w:szCs w:val="22"/>
          <w:lang w:val="fr-FR"/>
        </w:rPr>
        <w:t>aucune</w:t>
      </w:r>
      <w:r w:rsidRPr="001177B0">
        <w:rPr>
          <w:rFonts w:ascii="Arial" w:hAnsi="Arial" w:cs="Arial"/>
          <w:bCs/>
          <w:sz w:val="22"/>
          <w:szCs w:val="22"/>
          <w:lang w:val="fr-FR"/>
        </w:rPr>
        <w:t xml:space="preserve"> ONG. </w:t>
      </w:r>
      <w:r>
        <w:rPr>
          <w:rFonts w:ascii="Arial" w:hAnsi="Arial" w:cs="Arial"/>
          <w:bCs/>
          <w:sz w:val="22"/>
          <w:szCs w:val="22"/>
          <w:lang w:val="fr-FR"/>
        </w:rPr>
        <w:t>Il</w:t>
      </w:r>
      <w:r w:rsidRPr="001177B0">
        <w:rPr>
          <w:rFonts w:ascii="Arial" w:hAnsi="Arial" w:cs="Arial"/>
          <w:bCs/>
          <w:sz w:val="22"/>
          <w:szCs w:val="22"/>
          <w:lang w:val="fr-FR"/>
        </w:rPr>
        <w:t xml:space="preserve"> garantissait simplement une application stricte des critères.</w:t>
      </w:r>
    </w:p>
    <w:p w14:paraId="2B9BCB60" w14:textId="5A40CC7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177B0">
        <w:rPr>
          <w:rFonts w:ascii="Arial" w:hAnsi="Arial" w:cs="Arial"/>
          <w:bCs/>
          <w:sz w:val="22"/>
          <w:szCs w:val="22"/>
          <w:lang w:val="fr-FR"/>
        </w:rPr>
        <w:t xml:space="preserve">La délégation du </w:t>
      </w:r>
      <w:r w:rsidRPr="001177B0">
        <w:rPr>
          <w:rFonts w:ascii="Arial" w:hAnsi="Arial" w:cs="Arial"/>
          <w:b/>
          <w:sz w:val="22"/>
          <w:szCs w:val="22"/>
          <w:lang w:val="fr-FR"/>
        </w:rPr>
        <w:t>Maroc</w:t>
      </w:r>
      <w:r w:rsidRPr="001177B0">
        <w:rPr>
          <w:rFonts w:ascii="Arial" w:hAnsi="Arial" w:cs="Arial"/>
          <w:bCs/>
          <w:sz w:val="22"/>
          <w:szCs w:val="22"/>
          <w:lang w:val="fr-FR"/>
        </w:rPr>
        <w:t xml:space="preserve"> souten</w:t>
      </w:r>
      <w:r>
        <w:rPr>
          <w:rFonts w:ascii="Arial" w:hAnsi="Arial" w:cs="Arial"/>
          <w:bCs/>
          <w:sz w:val="22"/>
          <w:szCs w:val="22"/>
          <w:lang w:val="fr-FR"/>
        </w:rPr>
        <w:t>ait</w:t>
      </w:r>
      <w:r w:rsidRPr="001177B0">
        <w:rPr>
          <w:rFonts w:ascii="Arial" w:hAnsi="Arial" w:cs="Arial"/>
          <w:bCs/>
          <w:sz w:val="22"/>
          <w:szCs w:val="22"/>
          <w:lang w:val="fr-FR"/>
        </w:rPr>
        <w:t xml:space="preserve"> l</w:t>
      </w:r>
      <w:r w:rsidR="008E532B">
        <w:rPr>
          <w:rFonts w:ascii="Arial" w:hAnsi="Arial" w:cs="Arial"/>
          <w:bCs/>
          <w:sz w:val="22"/>
          <w:szCs w:val="22"/>
          <w:lang w:val="fr-FR"/>
        </w:rPr>
        <w:t>’</w:t>
      </w:r>
      <w:r w:rsidRPr="001177B0">
        <w:rPr>
          <w:rFonts w:ascii="Arial" w:hAnsi="Arial" w:cs="Arial"/>
          <w:bCs/>
          <w:sz w:val="22"/>
          <w:szCs w:val="22"/>
          <w:lang w:val="fr-FR"/>
        </w:rPr>
        <w:t>amendement proposé par le Mexique dans la mesure où il existe un impératif de rigueur et de strict respect des procédures. Il n</w:t>
      </w:r>
      <w:r w:rsidR="008E532B">
        <w:rPr>
          <w:rFonts w:ascii="Arial" w:hAnsi="Arial" w:cs="Arial"/>
          <w:bCs/>
          <w:sz w:val="22"/>
          <w:szCs w:val="22"/>
          <w:lang w:val="fr-FR"/>
        </w:rPr>
        <w:t>’</w:t>
      </w:r>
      <w:r w:rsidRPr="001177B0">
        <w:rPr>
          <w:rFonts w:ascii="Arial" w:hAnsi="Arial" w:cs="Arial"/>
          <w:bCs/>
          <w:sz w:val="22"/>
          <w:szCs w:val="22"/>
          <w:lang w:val="fr-FR"/>
        </w:rPr>
        <w:t>y a</w:t>
      </w:r>
      <w:r>
        <w:rPr>
          <w:rFonts w:ascii="Arial" w:hAnsi="Arial" w:cs="Arial"/>
          <w:bCs/>
          <w:sz w:val="22"/>
          <w:szCs w:val="22"/>
          <w:lang w:val="fr-FR"/>
        </w:rPr>
        <w:t>vait</w:t>
      </w:r>
      <w:r w:rsidRPr="001177B0">
        <w:rPr>
          <w:rFonts w:ascii="Arial" w:hAnsi="Arial" w:cs="Arial"/>
          <w:bCs/>
          <w:sz w:val="22"/>
          <w:szCs w:val="22"/>
          <w:lang w:val="fr-FR"/>
        </w:rPr>
        <w:t xml:space="preserve"> aucune volonté d</w:t>
      </w:r>
      <w:r w:rsidR="008E532B">
        <w:rPr>
          <w:rFonts w:ascii="Arial" w:hAnsi="Arial" w:cs="Arial"/>
          <w:bCs/>
          <w:sz w:val="22"/>
          <w:szCs w:val="22"/>
          <w:lang w:val="fr-FR"/>
        </w:rPr>
        <w:t>’</w:t>
      </w:r>
      <w:r w:rsidRPr="001177B0">
        <w:rPr>
          <w:rFonts w:ascii="Arial" w:hAnsi="Arial" w:cs="Arial"/>
          <w:bCs/>
          <w:sz w:val="22"/>
          <w:szCs w:val="22"/>
          <w:lang w:val="fr-FR"/>
        </w:rPr>
        <w:t>exclusion, mais simplement de recueillir plus d</w:t>
      </w:r>
      <w:r w:rsidR="008E532B">
        <w:rPr>
          <w:rFonts w:ascii="Arial" w:hAnsi="Arial" w:cs="Arial"/>
          <w:bCs/>
          <w:sz w:val="22"/>
          <w:szCs w:val="22"/>
          <w:lang w:val="fr-FR"/>
        </w:rPr>
        <w:t>’</w:t>
      </w:r>
      <w:r w:rsidRPr="001177B0">
        <w:rPr>
          <w:rFonts w:ascii="Arial" w:hAnsi="Arial" w:cs="Arial"/>
          <w:bCs/>
          <w:sz w:val="22"/>
          <w:szCs w:val="22"/>
          <w:lang w:val="fr-FR"/>
        </w:rPr>
        <w:t>informations et de donner à l</w:t>
      </w:r>
      <w:r w:rsidR="008E532B">
        <w:rPr>
          <w:rFonts w:ascii="Arial" w:hAnsi="Arial" w:cs="Arial"/>
          <w:bCs/>
          <w:sz w:val="22"/>
          <w:szCs w:val="22"/>
          <w:lang w:val="fr-FR"/>
        </w:rPr>
        <w:t>’</w:t>
      </w:r>
      <w:r w:rsidRPr="001177B0">
        <w:rPr>
          <w:rFonts w:ascii="Arial" w:hAnsi="Arial" w:cs="Arial"/>
          <w:bCs/>
          <w:sz w:val="22"/>
          <w:szCs w:val="22"/>
          <w:lang w:val="fr-FR"/>
        </w:rPr>
        <w:t xml:space="preserve">ONG la possibilité de présenter sa demande </w:t>
      </w:r>
      <w:r>
        <w:rPr>
          <w:rFonts w:ascii="Arial" w:hAnsi="Arial" w:cs="Arial"/>
          <w:bCs/>
          <w:sz w:val="22"/>
          <w:szCs w:val="22"/>
          <w:lang w:val="fr-FR"/>
        </w:rPr>
        <w:t>lors</w:t>
      </w:r>
      <w:r w:rsidRPr="001177B0">
        <w:rPr>
          <w:rFonts w:ascii="Arial" w:hAnsi="Arial" w:cs="Arial"/>
          <w:bCs/>
          <w:sz w:val="22"/>
          <w:szCs w:val="22"/>
          <w:lang w:val="fr-FR"/>
        </w:rPr>
        <w:t xml:space="preserve"> </w:t>
      </w:r>
      <w:r>
        <w:rPr>
          <w:rFonts w:ascii="Arial" w:hAnsi="Arial" w:cs="Arial"/>
          <w:bCs/>
          <w:sz w:val="22"/>
          <w:szCs w:val="22"/>
          <w:lang w:val="fr-FR"/>
        </w:rPr>
        <w:t>d</w:t>
      </w:r>
      <w:r w:rsidR="008E532B">
        <w:rPr>
          <w:rFonts w:ascii="Arial" w:hAnsi="Arial" w:cs="Arial"/>
          <w:bCs/>
          <w:sz w:val="22"/>
          <w:szCs w:val="22"/>
          <w:lang w:val="fr-FR"/>
        </w:rPr>
        <w:t>’</w:t>
      </w:r>
      <w:r w:rsidRPr="001177B0">
        <w:rPr>
          <w:rFonts w:ascii="Arial" w:hAnsi="Arial" w:cs="Arial"/>
          <w:bCs/>
          <w:sz w:val="22"/>
          <w:szCs w:val="22"/>
          <w:lang w:val="fr-FR"/>
        </w:rPr>
        <w:t>un cycle ultérieur.</w:t>
      </w:r>
    </w:p>
    <w:p w14:paraId="12D5DFC5" w14:textId="1325FEE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177B0">
        <w:rPr>
          <w:rFonts w:ascii="Arial" w:hAnsi="Arial" w:cs="Arial"/>
          <w:bCs/>
          <w:sz w:val="22"/>
          <w:szCs w:val="22"/>
          <w:lang w:val="fr-FR"/>
        </w:rPr>
        <w:t xml:space="preserve">La délégation </w:t>
      </w:r>
      <w:r>
        <w:rPr>
          <w:rFonts w:ascii="Arial" w:hAnsi="Arial" w:cs="Arial"/>
          <w:bCs/>
          <w:sz w:val="22"/>
          <w:szCs w:val="22"/>
          <w:lang w:val="fr-FR"/>
        </w:rPr>
        <w:t xml:space="preserve">du </w:t>
      </w:r>
      <w:r w:rsidRPr="001177B0">
        <w:rPr>
          <w:rFonts w:ascii="Arial" w:hAnsi="Arial" w:cs="Arial"/>
          <w:b/>
          <w:sz w:val="22"/>
          <w:szCs w:val="22"/>
          <w:lang w:val="fr-FR"/>
        </w:rPr>
        <w:t>Japon</w:t>
      </w:r>
      <w:r w:rsidRPr="001177B0">
        <w:rPr>
          <w:rFonts w:ascii="Arial" w:hAnsi="Arial" w:cs="Arial"/>
          <w:bCs/>
          <w:sz w:val="22"/>
          <w:szCs w:val="22"/>
          <w:lang w:val="fr-FR"/>
        </w:rPr>
        <w:t xml:space="preserve"> a fait remarquer qu</w:t>
      </w:r>
      <w:r w:rsidR="008E532B">
        <w:rPr>
          <w:rFonts w:ascii="Arial" w:hAnsi="Arial" w:cs="Arial"/>
          <w:bCs/>
          <w:sz w:val="22"/>
          <w:szCs w:val="22"/>
          <w:lang w:val="fr-FR"/>
        </w:rPr>
        <w:t>’</w:t>
      </w:r>
      <w:r w:rsidRPr="001177B0">
        <w:rPr>
          <w:rFonts w:ascii="Arial" w:hAnsi="Arial" w:cs="Arial"/>
          <w:bCs/>
          <w:sz w:val="22"/>
          <w:szCs w:val="22"/>
          <w:lang w:val="fr-FR"/>
        </w:rPr>
        <w:t>il n</w:t>
      </w:r>
      <w:r w:rsidR="008E532B">
        <w:rPr>
          <w:rFonts w:ascii="Arial" w:hAnsi="Arial" w:cs="Arial"/>
          <w:bCs/>
          <w:sz w:val="22"/>
          <w:szCs w:val="22"/>
          <w:lang w:val="fr-FR"/>
        </w:rPr>
        <w:t>’</w:t>
      </w:r>
      <w:r w:rsidRPr="001177B0">
        <w:rPr>
          <w:rFonts w:ascii="Arial" w:hAnsi="Arial" w:cs="Arial"/>
          <w:bCs/>
          <w:sz w:val="22"/>
          <w:szCs w:val="22"/>
          <w:lang w:val="fr-FR"/>
        </w:rPr>
        <w:t>y avait pas d</w:t>
      </w:r>
      <w:r w:rsidR="008E532B">
        <w:rPr>
          <w:rFonts w:ascii="Arial" w:hAnsi="Arial" w:cs="Arial"/>
          <w:bCs/>
          <w:sz w:val="22"/>
          <w:szCs w:val="22"/>
          <w:lang w:val="fr-FR"/>
        </w:rPr>
        <w:t>’</w:t>
      </w:r>
      <w:r w:rsidRPr="001177B0">
        <w:rPr>
          <w:rFonts w:ascii="Arial" w:hAnsi="Arial" w:cs="Arial"/>
          <w:bCs/>
          <w:sz w:val="22"/>
          <w:szCs w:val="22"/>
          <w:lang w:val="fr-FR"/>
        </w:rPr>
        <w:t xml:space="preserve">ONG accréditées au Japon, </w:t>
      </w:r>
      <w:r>
        <w:rPr>
          <w:rFonts w:ascii="Arial" w:hAnsi="Arial" w:cs="Arial"/>
          <w:bCs/>
          <w:sz w:val="22"/>
          <w:szCs w:val="22"/>
          <w:lang w:val="fr-FR"/>
        </w:rPr>
        <w:t>raison pour laquelle</w:t>
      </w:r>
      <w:r w:rsidRPr="001177B0">
        <w:rPr>
          <w:rFonts w:ascii="Arial" w:hAnsi="Arial" w:cs="Arial"/>
          <w:bCs/>
          <w:sz w:val="22"/>
          <w:szCs w:val="22"/>
          <w:lang w:val="fr-FR"/>
        </w:rPr>
        <w:t xml:space="preserve"> elle ne pren</w:t>
      </w:r>
      <w:r>
        <w:rPr>
          <w:rFonts w:ascii="Arial" w:hAnsi="Arial" w:cs="Arial"/>
          <w:bCs/>
          <w:sz w:val="22"/>
          <w:szCs w:val="22"/>
          <w:lang w:val="fr-FR"/>
        </w:rPr>
        <w:t>ait</w:t>
      </w:r>
      <w:r w:rsidRPr="001177B0">
        <w:rPr>
          <w:rFonts w:ascii="Arial" w:hAnsi="Arial" w:cs="Arial"/>
          <w:bCs/>
          <w:sz w:val="22"/>
          <w:szCs w:val="22"/>
          <w:lang w:val="fr-FR"/>
        </w:rPr>
        <w:t xml:space="preserve"> pas de position </w:t>
      </w:r>
      <w:r>
        <w:rPr>
          <w:rFonts w:ascii="Arial" w:hAnsi="Arial" w:cs="Arial"/>
          <w:bCs/>
          <w:sz w:val="22"/>
          <w:szCs w:val="22"/>
          <w:lang w:val="fr-FR"/>
        </w:rPr>
        <w:t xml:space="preserve">très affirmée </w:t>
      </w:r>
      <w:r w:rsidRPr="001177B0">
        <w:rPr>
          <w:rFonts w:ascii="Arial" w:hAnsi="Arial" w:cs="Arial"/>
          <w:bCs/>
          <w:sz w:val="22"/>
          <w:szCs w:val="22"/>
          <w:lang w:val="fr-FR"/>
        </w:rPr>
        <w:t>sur les questions relatives aux ONG. Toutefois, dans le cas présent, elle souten</w:t>
      </w:r>
      <w:r>
        <w:rPr>
          <w:rFonts w:ascii="Arial" w:hAnsi="Arial" w:cs="Arial"/>
          <w:bCs/>
          <w:sz w:val="22"/>
          <w:szCs w:val="22"/>
          <w:lang w:val="fr-FR"/>
        </w:rPr>
        <w:t>ait</w:t>
      </w:r>
      <w:r w:rsidRPr="001177B0">
        <w:rPr>
          <w:rFonts w:ascii="Arial" w:hAnsi="Arial" w:cs="Arial"/>
          <w:bCs/>
          <w:sz w:val="22"/>
          <w:szCs w:val="22"/>
          <w:lang w:val="fr-FR"/>
        </w:rPr>
        <w:t xml:space="preserve"> la proposition du Mexique car elle demandait simplement plus de temps, ajoutant que cette question ne nécessitait pas de débat sérieux. En outre, aucun pays ne devrait forcer les autres lorsqu</w:t>
      </w:r>
      <w:r w:rsidR="008E532B">
        <w:rPr>
          <w:rFonts w:ascii="Arial" w:hAnsi="Arial" w:cs="Arial"/>
          <w:bCs/>
          <w:sz w:val="22"/>
          <w:szCs w:val="22"/>
          <w:lang w:val="fr-FR"/>
        </w:rPr>
        <w:t>’</w:t>
      </w:r>
      <w:r w:rsidRPr="001177B0">
        <w:rPr>
          <w:rFonts w:ascii="Arial" w:hAnsi="Arial" w:cs="Arial"/>
          <w:bCs/>
          <w:sz w:val="22"/>
          <w:szCs w:val="22"/>
          <w:lang w:val="fr-FR"/>
        </w:rPr>
        <w:t>ils demandent simplement du temps. Dans l</w:t>
      </w:r>
      <w:r w:rsidR="008E532B">
        <w:rPr>
          <w:rFonts w:ascii="Arial" w:hAnsi="Arial" w:cs="Arial"/>
          <w:bCs/>
          <w:sz w:val="22"/>
          <w:szCs w:val="22"/>
          <w:lang w:val="fr-FR"/>
        </w:rPr>
        <w:t>’</w:t>
      </w:r>
      <w:r w:rsidRPr="001177B0">
        <w:rPr>
          <w:rFonts w:ascii="Arial" w:hAnsi="Arial" w:cs="Arial"/>
          <w:bCs/>
          <w:sz w:val="22"/>
          <w:szCs w:val="22"/>
          <w:lang w:val="fr-FR"/>
        </w:rPr>
        <w:t>intérêt du consensus, étant donné le large soutien, elle souten</w:t>
      </w:r>
      <w:r>
        <w:rPr>
          <w:rFonts w:ascii="Arial" w:hAnsi="Arial" w:cs="Arial"/>
          <w:bCs/>
          <w:sz w:val="22"/>
          <w:szCs w:val="22"/>
          <w:lang w:val="fr-FR"/>
        </w:rPr>
        <w:t>ait</w:t>
      </w:r>
      <w:r w:rsidRPr="001177B0">
        <w:rPr>
          <w:rFonts w:ascii="Arial" w:hAnsi="Arial" w:cs="Arial"/>
          <w:bCs/>
          <w:sz w:val="22"/>
          <w:szCs w:val="22"/>
          <w:lang w:val="fr-FR"/>
        </w:rPr>
        <w:t xml:space="preserve"> le Mexique.</w:t>
      </w:r>
    </w:p>
    <w:p w14:paraId="31F63D64" w14:textId="0A561484" w:rsidR="00D9653F" w:rsidRPr="004B42F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B42F6">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4B42F6">
        <w:rPr>
          <w:rFonts w:ascii="Arial" w:hAnsi="Arial" w:cs="Arial"/>
          <w:b/>
          <w:sz w:val="22"/>
          <w:szCs w:val="22"/>
          <w:lang w:val="fr-FR"/>
        </w:rPr>
        <w:t>Éthiopie</w:t>
      </w:r>
      <w:r w:rsidRPr="004B42F6">
        <w:rPr>
          <w:rFonts w:ascii="Arial" w:hAnsi="Arial" w:cs="Arial"/>
          <w:bCs/>
          <w:sz w:val="22"/>
          <w:szCs w:val="22"/>
          <w:lang w:val="fr-FR"/>
        </w:rPr>
        <w:t xml:space="preserve"> </w:t>
      </w:r>
      <w:r>
        <w:rPr>
          <w:rFonts w:ascii="Arial" w:hAnsi="Arial" w:cs="Arial"/>
          <w:bCs/>
          <w:sz w:val="22"/>
          <w:szCs w:val="22"/>
          <w:lang w:val="fr-FR"/>
        </w:rPr>
        <w:t>a repris à son compte les commentaires formulés par le Japon selon lesquels le Mexique ne demandait que plus de temps et ses arguments étaient convaincants. Elle soutenait donc l</w:t>
      </w:r>
      <w:r w:rsidR="008E532B">
        <w:rPr>
          <w:rFonts w:ascii="Arial" w:hAnsi="Arial" w:cs="Arial"/>
          <w:bCs/>
          <w:sz w:val="22"/>
          <w:szCs w:val="22"/>
          <w:lang w:val="fr-FR"/>
        </w:rPr>
        <w:t>’</w:t>
      </w:r>
      <w:r w:rsidRPr="004B42F6">
        <w:rPr>
          <w:rFonts w:ascii="Arial" w:hAnsi="Arial" w:cs="Arial"/>
          <w:bCs/>
          <w:sz w:val="22"/>
          <w:szCs w:val="22"/>
          <w:lang w:val="fr-FR"/>
        </w:rPr>
        <w:t>amendement</w:t>
      </w:r>
      <w:r>
        <w:rPr>
          <w:rFonts w:ascii="Arial" w:hAnsi="Arial" w:cs="Arial"/>
          <w:bCs/>
          <w:sz w:val="22"/>
          <w:szCs w:val="22"/>
          <w:lang w:val="fr-FR"/>
        </w:rPr>
        <w:t xml:space="preserve"> du Mexique.</w:t>
      </w:r>
    </w:p>
    <w:p w14:paraId="4E9E0157" w14:textId="600A5BD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B42F6">
        <w:rPr>
          <w:rFonts w:ascii="Arial" w:hAnsi="Arial" w:cs="Arial"/>
          <w:bCs/>
          <w:sz w:val="22"/>
          <w:szCs w:val="22"/>
          <w:lang w:val="fr-FR"/>
        </w:rPr>
        <w:t xml:space="preserve">La délégation </w:t>
      </w:r>
      <w:r>
        <w:rPr>
          <w:rFonts w:ascii="Arial" w:hAnsi="Arial" w:cs="Arial"/>
          <w:bCs/>
          <w:sz w:val="22"/>
          <w:szCs w:val="22"/>
          <w:lang w:val="fr-FR"/>
        </w:rPr>
        <w:t xml:space="preserve">de la </w:t>
      </w:r>
      <w:r w:rsidRPr="004B42F6">
        <w:rPr>
          <w:rFonts w:ascii="Arial" w:hAnsi="Arial" w:cs="Arial"/>
          <w:b/>
          <w:sz w:val="22"/>
          <w:szCs w:val="22"/>
          <w:lang w:val="fr-FR"/>
        </w:rPr>
        <w:t>Suisse</w:t>
      </w:r>
      <w:r w:rsidRPr="004B42F6">
        <w:rPr>
          <w:rFonts w:ascii="Arial" w:hAnsi="Arial" w:cs="Arial"/>
          <w:bCs/>
          <w:sz w:val="22"/>
          <w:szCs w:val="22"/>
          <w:lang w:val="fr-FR"/>
        </w:rPr>
        <w:t xml:space="preserv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est déclarée incapable</w:t>
      </w:r>
      <w:r w:rsidRPr="004B42F6">
        <w:rPr>
          <w:rFonts w:ascii="Arial" w:hAnsi="Arial" w:cs="Arial"/>
          <w:bCs/>
          <w:sz w:val="22"/>
          <w:szCs w:val="22"/>
          <w:lang w:val="fr-FR"/>
        </w:rPr>
        <w:t xml:space="preserve"> de prendre position </w:t>
      </w:r>
      <w:r>
        <w:rPr>
          <w:rFonts w:ascii="Arial" w:hAnsi="Arial" w:cs="Arial"/>
          <w:bCs/>
          <w:sz w:val="22"/>
          <w:szCs w:val="22"/>
          <w:lang w:val="fr-FR"/>
        </w:rPr>
        <w:t xml:space="preserve">en faveur de </w:t>
      </w:r>
      <w:r w:rsidRPr="004B42F6">
        <w:rPr>
          <w:rFonts w:ascii="Arial" w:hAnsi="Arial" w:cs="Arial"/>
          <w:bCs/>
          <w:sz w:val="22"/>
          <w:szCs w:val="22"/>
          <w:lang w:val="fr-FR"/>
        </w:rPr>
        <w:t>l</w:t>
      </w:r>
      <w:r w:rsidR="008E532B">
        <w:rPr>
          <w:rFonts w:ascii="Arial" w:hAnsi="Arial" w:cs="Arial"/>
          <w:bCs/>
          <w:sz w:val="22"/>
          <w:szCs w:val="22"/>
          <w:lang w:val="fr-FR"/>
        </w:rPr>
        <w:t>’</w:t>
      </w:r>
      <w:r w:rsidRPr="004B42F6">
        <w:rPr>
          <w:rFonts w:ascii="Arial" w:hAnsi="Arial" w:cs="Arial"/>
          <w:bCs/>
          <w:sz w:val="22"/>
          <w:szCs w:val="22"/>
          <w:lang w:val="fr-FR"/>
        </w:rPr>
        <w:t>une ou l</w:t>
      </w:r>
      <w:r w:rsidR="008E532B">
        <w:rPr>
          <w:rFonts w:ascii="Arial" w:hAnsi="Arial" w:cs="Arial"/>
          <w:bCs/>
          <w:sz w:val="22"/>
          <w:szCs w:val="22"/>
          <w:lang w:val="fr-FR"/>
        </w:rPr>
        <w:t>’</w:t>
      </w:r>
      <w:r w:rsidRPr="004B42F6">
        <w:rPr>
          <w:rFonts w:ascii="Arial" w:hAnsi="Arial" w:cs="Arial"/>
          <w:bCs/>
          <w:sz w:val="22"/>
          <w:szCs w:val="22"/>
          <w:lang w:val="fr-FR"/>
        </w:rPr>
        <w:t>autre des options présentées car elle ne compren</w:t>
      </w:r>
      <w:r>
        <w:rPr>
          <w:rFonts w:ascii="Arial" w:hAnsi="Arial" w:cs="Arial"/>
          <w:bCs/>
          <w:sz w:val="22"/>
          <w:szCs w:val="22"/>
          <w:lang w:val="fr-FR"/>
        </w:rPr>
        <w:t>ait</w:t>
      </w:r>
      <w:r w:rsidRPr="004B42F6">
        <w:rPr>
          <w:rFonts w:ascii="Arial" w:hAnsi="Arial" w:cs="Arial"/>
          <w:bCs/>
          <w:sz w:val="22"/>
          <w:szCs w:val="22"/>
          <w:lang w:val="fr-FR"/>
        </w:rPr>
        <w:t xml:space="preserve"> toujours pas les raisons du refus. Comme expliqué </w:t>
      </w:r>
      <w:r>
        <w:rPr>
          <w:rFonts w:ascii="Arial" w:hAnsi="Arial" w:cs="Arial"/>
          <w:bCs/>
          <w:sz w:val="22"/>
          <w:szCs w:val="22"/>
          <w:lang w:val="fr-FR"/>
        </w:rPr>
        <w:t xml:space="preserve">par </w:t>
      </w:r>
      <w:r w:rsidRPr="004B42F6">
        <w:rPr>
          <w:rFonts w:ascii="Arial" w:hAnsi="Arial" w:cs="Arial"/>
          <w:bCs/>
          <w:sz w:val="22"/>
          <w:szCs w:val="22"/>
          <w:lang w:val="fr-FR"/>
        </w:rPr>
        <w:t>la Suède et la Pologne, la délégation souhait</w:t>
      </w:r>
      <w:r>
        <w:rPr>
          <w:rFonts w:ascii="Arial" w:hAnsi="Arial" w:cs="Arial"/>
          <w:bCs/>
          <w:sz w:val="22"/>
          <w:szCs w:val="22"/>
          <w:lang w:val="fr-FR"/>
        </w:rPr>
        <w:t>ait</w:t>
      </w:r>
      <w:r w:rsidRPr="004B42F6">
        <w:rPr>
          <w:rFonts w:ascii="Arial" w:hAnsi="Arial" w:cs="Arial"/>
          <w:bCs/>
          <w:sz w:val="22"/>
          <w:szCs w:val="22"/>
          <w:lang w:val="fr-FR"/>
        </w:rPr>
        <w:t xml:space="preserve"> savoir concrètement, en se référant à l</w:t>
      </w:r>
      <w:r w:rsidR="008E532B">
        <w:rPr>
          <w:rFonts w:ascii="Arial" w:hAnsi="Arial" w:cs="Arial"/>
          <w:bCs/>
          <w:sz w:val="22"/>
          <w:szCs w:val="22"/>
          <w:lang w:val="fr-FR"/>
        </w:rPr>
        <w:t>’</w:t>
      </w:r>
      <w:r w:rsidRPr="004B42F6">
        <w:rPr>
          <w:rFonts w:ascii="Arial" w:hAnsi="Arial" w:cs="Arial"/>
          <w:bCs/>
          <w:sz w:val="22"/>
          <w:szCs w:val="22"/>
          <w:lang w:val="fr-FR"/>
        </w:rPr>
        <w:t xml:space="preserve">article 91 des </w:t>
      </w:r>
      <w:r>
        <w:rPr>
          <w:rFonts w:ascii="Arial" w:hAnsi="Arial" w:cs="Arial"/>
          <w:bCs/>
          <w:sz w:val="22"/>
          <w:szCs w:val="22"/>
          <w:lang w:val="fr-FR"/>
        </w:rPr>
        <w:t>D</w:t>
      </w:r>
      <w:r w:rsidRPr="004B42F6">
        <w:rPr>
          <w:rFonts w:ascii="Arial" w:hAnsi="Arial" w:cs="Arial"/>
          <w:bCs/>
          <w:sz w:val="22"/>
          <w:szCs w:val="22"/>
          <w:lang w:val="fr-FR"/>
        </w:rPr>
        <w:t>irectives opérationnelles, quels critères énoncés dans ces dispositions n</w:t>
      </w:r>
      <w:r w:rsidR="008E532B">
        <w:rPr>
          <w:rFonts w:ascii="Arial" w:hAnsi="Arial" w:cs="Arial"/>
          <w:bCs/>
          <w:sz w:val="22"/>
          <w:szCs w:val="22"/>
          <w:lang w:val="fr-FR"/>
        </w:rPr>
        <w:t>’</w:t>
      </w:r>
      <w:r w:rsidRPr="004B42F6">
        <w:rPr>
          <w:rFonts w:ascii="Arial" w:hAnsi="Arial" w:cs="Arial"/>
          <w:bCs/>
          <w:sz w:val="22"/>
          <w:szCs w:val="22"/>
          <w:lang w:val="fr-FR"/>
        </w:rPr>
        <w:t xml:space="preserve">étaient pas satisfaits. La délégation a demandé au Mexique de </w:t>
      </w:r>
      <w:r>
        <w:rPr>
          <w:rFonts w:ascii="Arial" w:hAnsi="Arial" w:cs="Arial"/>
          <w:bCs/>
          <w:sz w:val="22"/>
          <w:szCs w:val="22"/>
          <w:lang w:val="fr-FR"/>
        </w:rPr>
        <w:t xml:space="preserve">communiquer </w:t>
      </w:r>
      <w:r w:rsidRPr="004B42F6">
        <w:rPr>
          <w:rFonts w:ascii="Arial" w:hAnsi="Arial" w:cs="Arial"/>
          <w:bCs/>
          <w:sz w:val="22"/>
          <w:szCs w:val="22"/>
          <w:lang w:val="fr-FR"/>
        </w:rPr>
        <w:t xml:space="preserve">ces informations, </w:t>
      </w:r>
      <w:r>
        <w:rPr>
          <w:rFonts w:ascii="Arial" w:hAnsi="Arial" w:cs="Arial"/>
          <w:bCs/>
          <w:sz w:val="22"/>
          <w:szCs w:val="22"/>
          <w:lang w:val="fr-FR"/>
        </w:rPr>
        <w:t xml:space="preserve">en fonction </w:t>
      </w:r>
      <w:r w:rsidRPr="004B42F6">
        <w:rPr>
          <w:rFonts w:ascii="Arial" w:hAnsi="Arial" w:cs="Arial"/>
          <w:bCs/>
          <w:sz w:val="22"/>
          <w:szCs w:val="22"/>
          <w:lang w:val="fr-FR"/>
        </w:rPr>
        <w:t>desquelles elle prendrait sa décision.</w:t>
      </w:r>
    </w:p>
    <w:p w14:paraId="1EA6428B" w14:textId="6FE83DE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B42F6">
        <w:rPr>
          <w:rFonts w:ascii="Arial" w:hAnsi="Arial" w:cs="Arial"/>
          <w:bCs/>
          <w:sz w:val="22"/>
          <w:szCs w:val="22"/>
          <w:lang w:val="fr-FR"/>
        </w:rPr>
        <w:t xml:space="preserve">La délégation </w:t>
      </w:r>
      <w:r>
        <w:rPr>
          <w:rFonts w:ascii="Arial" w:hAnsi="Arial" w:cs="Arial"/>
          <w:bCs/>
          <w:sz w:val="22"/>
          <w:szCs w:val="22"/>
          <w:lang w:val="fr-FR"/>
        </w:rPr>
        <w:t xml:space="preserve">du </w:t>
      </w:r>
      <w:r w:rsidRPr="00AE7C5F">
        <w:rPr>
          <w:rFonts w:ascii="Arial" w:hAnsi="Arial" w:cs="Arial"/>
          <w:b/>
          <w:sz w:val="22"/>
          <w:szCs w:val="22"/>
          <w:lang w:val="fr-FR"/>
        </w:rPr>
        <w:t>Pérou</w:t>
      </w:r>
      <w:r>
        <w:rPr>
          <w:rFonts w:ascii="Arial" w:hAnsi="Arial" w:cs="Arial"/>
          <w:bCs/>
          <w:sz w:val="22"/>
          <w:szCs w:val="22"/>
          <w:lang w:val="fr-FR"/>
        </w:rPr>
        <w:t xml:space="preserve"> souscrivait</w:t>
      </w:r>
      <w:r w:rsidRPr="004B42F6">
        <w:rPr>
          <w:rFonts w:ascii="Arial" w:hAnsi="Arial" w:cs="Arial"/>
          <w:bCs/>
          <w:sz w:val="22"/>
          <w:szCs w:val="22"/>
          <w:lang w:val="fr-FR"/>
        </w:rPr>
        <w:t xml:space="preserve"> aux arguments avancés par le Mexique selon lesquels cet amendement ne visait pas à limiter l</w:t>
      </w:r>
      <w:r w:rsidR="008E532B">
        <w:rPr>
          <w:rFonts w:ascii="Arial" w:hAnsi="Arial" w:cs="Arial"/>
          <w:bCs/>
          <w:sz w:val="22"/>
          <w:szCs w:val="22"/>
          <w:lang w:val="fr-FR"/>
        </w:rPr>
        <w:t>’</w:t>
      </w:r>
      <w:r w:rsidRPr="004B42F6">
        <w:rPr>
          <w:rFonts w:ascii="Arial" w:hAnsi="Arial" w:cs="Arial"/>
          <w:bCs/>
          <w:sz w:val="22"/>
          <w:szCs w:val="22"/>
          <w:lang w:val="fr-FR"/>
        </w:rPr>
        <w:t>accréditation de l</w:t>
      </w:r>
      <w:r w:rsidR="008E532B">
        <w:rPr>
          <w:rFonts w:ascii="Arial" w:hAnsi="Arial" w:cs="Arial"/>
          <w:bCs/>
          <w:sz w:val="22"/>
          <w:szCs w:val="22"/>
          <w:lang w:val="fr-FR"/>
        </w:rPr>
        <w:t>’</w:t>
      </w:r>
      <w:r w:rsidRPr="004B42F6">
        <w:rPr>
          <w:rFonts w:ascii="Arial" w:hAnsi="Arial" w:cs="Arial"/>
          <w:bCs/>
          <w:sz w:val="22"/>
          <w:szCs w:val="22"/>
          <w:lang w:val="fr-FR"/>
        </w:rPr>
        <w:t xml:space="preserve">ONG mais simplement à la </w:t>
      </w:r>
      <w:r>
        <w:rPr>
          <w:rFonts w:ascii="Arial" w:hAnsi="Arial" w:cs="Arial"/>
          <w:bCs/>
          <w:sz w:val="22"/>
          <w:szCs w:val="22"/>
          <w:lang w:val="fr-FR"/>
        </w:rPr>
        <w:t>reporter</w:t>
      </w:r>
      <w:r w:rsidRPr="004B42F6">
        <w:rPr>
          <w:rFonts w:ascii="Arial" w:hAnsi="Arial" w:cs="Arial"/>
          <w:bCs/>
          <w:sz w:val="22"/>
          <w:szCs w:val="22"/>
          <w:lang w:val="fr-FR"/>
        </w:rPr>
        <w:t xml:space="preserve">. Le Pérou </w:t>
      </w:r>
      <w:r>
        <w:rPr>
          <w:rFonts w:ascii="Arial" w:hAnsi="Arial" w:cs="Arial"/>
          <w:bCs/>
          <w:sz w:val="22"/>
          <w:szCs w:val="22"/>
          <w:lang w:val="fr-FR"/>
        </w:rPr>
        <w:t xml:space="preserve">souscrivait </w:t>
      </w:r>
      <w:r w:rsidRPr="004B42F6">
        <w:rPr>
          <w:rFonts w:ascii="Arial" w:hAnsi="Arial" w:cs="Arial"/>
          <w:bCs/>
          <w:sz w:val="22"/>
          <w:szCs w:val="22"/>
          <w:lang w:val="fr-FR"/>
        </w:rPr>
        <w:t xml:space="preserve">également aux remarques </w:t>
      </w:r>
      <w:r>
        <w:rPr>
          <w:rFonts w:ascii="Arial" w:hAnsi="Arial" w:cs="Arial"/>
          <w:bCs/>
          <w:sz w:val="22"/>
          <w:szCs w:val="22"/>
          <w:lang w:val="fr-FR"/>
        </w:rPr>
        <w:t xml:space="preserve">formulées </w:t>
      </w:r>
      <w:r w:rsidRPr="004B42F6">
        <w:rPr>
          <w:rFonts w:ascii="Arial" w:hAnsi="Arial" w:cs="Arial"/>
          <w:bCs/>
          <w:sz w:val="22"/>
          <w:szCs w:val="22"/>
          <w:lang w:val="fr-FR"/>
        </w:rPr>
        <w:t>par les délégations soutenant l</w:t>
      </w:r>
      <w:r w:rsidR="008E532B">
        <w:rPr>
          <w:rFonts w:ascii="Arial" w:hAnsi="Arial" w:cs="Arial"/>
          <w:bCs/>
          <w:sz w:val="22"/>
          <w:szCs w:val="22"/>
          <w:lang w:val="fr-FR"/>
        </w:rPr>
        <w:t>’</w:t>
      </w:r>
      <w:r w:rsidRPr="004B42F6">
        <w:rPr>
          <w:rFonts w:ascii="Arial" w:hAnsi="Arial" w:cs="Arial"/>
          <w:bCs/>
          <w:sz w:val="22"/>
          <w:szCs w:val="22"/>
          <w:lang w:val="fr-FR"/>
        </w:rPr>
        <w:t>amendement du Mexique.</w:t>
      </w:r>
    </w:p>
    <w:p w14:paraId="6B53A376" w14:textId="3B9B456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AE7C5F">
        <w:rPr>
          <w:rFonts w:ascii="Arial" w:hAnsi="Arial" w:cs="Arial"/>
          <w:bCs/>
          <w:sz w:val="22"/>
          <w:szCs w:val="22"/>
          <w:lang w:val="fr-FR"/>
        </w:rPr>
        <w:t>délégation</w:t>
      </w:r>
      <w:r>
        <w:rPr>
          <w:rFonts w:ascii="Arial" w:hAnsi="Arial" w:cs="Arial"/>
          <w:bCs/>
          <w:sz w:val="22"/>
          <w:szCs w:val="22"/>
          <w:lang w:val="fr-FR"/>
        </w:rPr>
        <w:t xml:space="preserve"> de la </w:t>
      </w:r>
      <w:r w:rsidRPr="00AE7C5F">
        <w:rPr>
          <w:rFonts w:ascii="Arial" w:hAnsi="Arial" w:cs="Arial"/>
          <w:b/>
          <w:sz w:val="22"/>
          <w:szCs w:val="22"/>
          <w:lang w:val="fr-FR"/>
        </w:rPr>
        <w:t>Pologne</w:t>
      </w:r>
      <w:r>
        <w:rPr>
          <w:rFonts w:ascii="Arial" w:hAnsi="Arial" w:cs="Arial"/>
          <w:bCs/>
          <w:sz w:val="22"/>
          <w:szCs w:val="22"/>
          <w:lang w:val="fr-FR"/>
        </w:rPr>
        <w:t xml:space="preserve"> a réaffirmé son soutien à l</w:t>
      </w:r>
      <w:r w:rsidR="008E532B">
        <w:rPr>
          <w:rFonts w:ascii="Arial" w:hAnsi="Arial" w:cs="Arial"/>
          <w:bCs/>
          <w:sz w:val="22"/>
          <w:szCs w:val="22"/>
          <w:lang w:val="fr-FR"/>
        </w:rPr>
        <w:t>’</w:t>
      </w:r>
      <w:r>
        <w:rPr>
          <w:rFonts w:ascii="Arial" w:hAnsi="Arial" w:cs="Arial"/>
          <w:bCs/>
          <w:sz w:val="22"/>
          <w:szCs w:val="22"/>
          <w:lang w:val="fr-FR"/>
        </w:rPr>
        <w:t>option A.</w:t>
      </w:r>
    </w:p>
    <w:p w14:paraId="02B2E553" w14:textId="4EC301C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AE7C5F">
        <w:rPr>
          <w:rFonts w:ascii="Arial" w:hAnsi="Arial" w:cs="Arial"/>
          <w:bCs/>
          <w:sz w:val="22"/>
          <w:szCs w:val="22"/>
          <w:lang w:val="fr-FR"/>
        </w:rPr>
        <w:t>délégation</w:t>
      </w:r>
      <w:r>
        <w:rPr>
          <w:rFonts w:ascii="Arial" w:hAnsi="Arial" w:cs="Arial"/>
          <w:bCs/>
          <w:sz w:val="22"/>
          <w:szCs w:val="22"/>
          <w:lang w:val="fr-FR"/>
        </w:rPr>
        <w:t xml:space="preserve"> du </w:t>
      </w:r>
      <w:r w:rsidRPr="00AE7C5F">
        <w:rPr>
          <w:rFonts w:ascii="Arial" w:hAnsi="Arial" w:cs="Arial"/>
          <w:b/>
          <w:sz w:val="22"/>
          <w:szCs w:val="22"/>
          <w:lang w:val="fr-FR"/>
        </w:rPr>
        <w:t>Kenya</w:t>
      </w:r>
      <w:r>
        <w:rPr>
          <w:rFonts w:ascii="Arial" w:hAnsi="Arial" w:cs="Arial"/>
          <w:bCs/>
          <w:sz w:val="22"/>
          <w:szCs w:val="22"/>
          <w:lang w:val="fr-FR"/>
        </w:rPr>
        <w:t xml:space="preserve"> soutenait l</w:t>
      </w:r>
      <w:r w:rsidR="008E532B">
        <w:rPr>
          <w:rFonts w:ascii="Arial" w:hAnsi="Arial" w:cs="Arial"/>
          <w:bCs/>
          <w:sz w:val="22"/>
          <w:szCs w:val="22"/>
          <w:lang w:val="fr-FR"/>
        </w:rPr>
        <w:t>’</w:t>
      </w:r>
      <w:r w:rsidRPr="00AE7C5F">
        <w:rPr>
          <w:rFonts w:ascii="Arial" w:hAnsi="Arial" w:cs="Arial"/>
          <w:bCs/>
          <w:sz w:val="22"/>
          <w:szCs w:val="22"/>
          <w:lang w:val="fr-FR"/>
        </w:rPr>
        <w:t>amendement</w:t>
      </w:r>
      <w:r>
        <w:rPr>
          <w:rFonts w:ascii="Arial" w:hAnsi="Arial" w:cs="Arial"/>
          <w:bCs/>
          <w:sz w:val="22"/>
          <w:szCs w:val="22"/>
          <w:lang w:val="fr-FR"/>
        </w:rPr>
        <w:t xml:space="preserve"> du Mexique.</w:t>
      </w:r>
    </w:p>
    <w:p w14:paraId="24145395" w14:textId="016F144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E7C5F">
        <w:rPr>
          <w:rFonts w:ascii="Arial" w:hAnsi="Arial" w:cs="Arial"/>
          <w:bCs/>
          <w:sz w:val="22"/>
          <w:szCs w:val="22"/>
          <w:lang w:val="fr-FR"/>
        </w:rPr>
        <w:t>La délégation de l</w:t>
      </w:r>
      <w:r w:rsidR="008E532B">
        <w:rPr>
          <w:rFonts w:ascii="Arial" w:hAnsi="Arial" w:cs="Arial"/>
          <w:bCs/>
          <w:sz w:val="22"/>
          <w:szCs w:val="22"/>
          <w:lang w:val="fr-FR"/>
        </w:rPr>
        <w:t>’</w:t>
      </w:r>
      <w:r w:rsidRPr="00AE7C5F">
        <w:rPr>
          <w:rFonts w:ascii="Arial" w:hAnsi="Arial" w:cs="Arial"/>
          <w:b/>
          <w:sz w:val="22"/>
          <w:szCs w:val="22"/>
          <w:lang w:val="fr-FR"/>
        </w:rPr>
        <w:t>Équateur</w:t>
      </w:r>
      <w:r w:rsidRPr="00AE7C5F">
        <w:rPr>
          <w:rFonts w:ascii="Arial" w:hAnsi="Arial" w:cs="Arial"/>
          <w:bCs/>
          <w:sz w:val="22"/>
          <w:szCs w:val="22"/>
          <w:lang w:val="fr-FR"/>
        </w:rPr>
        <w:t xml:space="preserve"> approuv</w:t>
      </w:r>
      <w:r>
        <w:rPr>
          <w:rFonts w:ascii="Arial" w:hAnsi="Arial" w:cs="Arial"/>
          <w:bCs/>
          <w:sz w:val="22"/>
          <w:szCs w:val="22"/>
          <w:lang w:val="fr-FR"/>
        </w:rPr>
        <w:t xml:space="preserve">ait </w:t>
      </w:r>
      <w:r w:rsidRPr="00AE7C5F">
        <w:rPr>
          <w:rFonts w:ascii="Arial" w:hAnsi="Arial" w:cs="Arial"/>
          <w:bCs/>
          <w:color w:val="000000" w:themeColor="text1"/>
          <w:sz w:val="22"/>
          <w:szCs w:val="22"/>
          <w:lang w:val="fr-FR"/>
        </w:rPr>
        <w:t>également</w:t>
      </w:r>
      <w:r w:rsidRPr="00AE7C5F">
        <w:rPr>
          <w:rFonts w:ascii="Arial" w:hAnsi="Arial" w:cs="Arial"/>
          <w:bCs/>
          <w:sz w:val="22"/>
          <w:szCs w:val="22"/>
          <w:lang w:val="fr-FR"/>
        </w:rPr>
        <w:t xml:space="preserve"> la proposition du Mexique, notant qu</w:t>
      </w:r>
      <w:r w:rsidR="008E532B">
        <w:rPr>
          <w:rFonts w:ascii="Arial" w:hAnsi="Arial" w:cs="Arial"/>
          <w:bCs/>
          <w:sz w:val="22"/>
          <w:szCs w:val="22"/>
          <w:lang w:val="fr-FR"/>
        </w:rPr>
        <w:t>’</w:t>
      </w:r>
      <w:r w:rsidRPr="00AE7C5F">
        <w:rPr>
          <w:rFonts w:ascii="Arial" w:hAnsi="Arial" w:cs="Arial"/>
          <w:bCs/>
          <w:sz w:val="22"/>
          <w:szCs w:val="22"/>
          <w:lang w:val="fr-FR"/>
        </w:rPr>
        <w:t>un délai supplémentaire était nécessaire pour examiner la demande et pour faire respecter les normes de rigueur et d</w:t>
      </w:r>
      <w:r w:rsidR="008E532B">
        <w:rPr>
          <w:rFonts w:ascii="Arial" w:hAnsi="Arial" w:cs="Arial"/>
          <w:bCs/>
          <w:sz w:val="22"/>
          <w:szCs w:val="22"/>
          <w:lang w:val="fr-FR"/>
        </w:rPr>
        <w:t>’</w:t>
      </w:r>
      <w:r w:rsidRPr="00AE7C5F">
        <w:rPr>
          <w:rFonts w:ascii="Arial" w:hAnsi="Arial" w:cs="Arial"/>
          <w:bCs/>
          <w:sz w:val="22"/>
          <w:szCs w:val="22"/>
          <w:lang w:val="fr-FR"/>
        </w:rPr>
        <w:t xml:space="preserve">exactitude </w:t>
      </w:r>
      <w:r>
        <w:rPr>
          <w:rFonts w:ascii="Arial" w:hAnsi="Arial" w:cs="Arial"/>
          <w:bCs/>
          <w:sz w:val="22"/>
          <w:szCs w:val="22"/>
          <w:lang w:val="fr-FR"/>
        </w:rPr>
        <w:t>applicables aux</w:t>
      </w:r>
      <w:r w:rsidRPr="00AE7C5F">
        <w:rPr>
          <w:rFonts w:ascii="Arial" w:hAnsi="Arial" w:cs="Arial"/>
          <w:bCs/>
          <w:sz w:val="22"/>
          <w:szCs w:val="22"/>
          <w:lang w:val="fr-FR"/>
        </w:rPr>
        <w:t xml:space="preserve"> informations </w:t>
      </w:r>
      <w:r>
        <w:rPr>
          <w:rFonts w:ascii="Arial" w:hAnsi="Arial" w:cs="Arial"/>
          <w:bCs/>
          <w:sz w:val="22"/>
          <w:szCs w:val="22"/>
          <w:lang w:val="fr-FR"/>
        </w:rPr>
        <w:t>communiquées</w:t>
      </w:r>
      <w:r w:rsidRPr="00AE7C5F">
        <w:rPr>
          <w:rFonts w:ascii="Arial" w:hAnsi="Arial" w:cs="Arial"/>
          <w:bCs/>
          <w:sz w:val="22"/>
          <w:szCs w:val="22"/>
          <w:lang w:val="fr-FR"/>
        </w:rPr>
        <w:t>. Elle a</w:t>
      </w:r>
      <w:r>
        <w:rPr>
          <w:rFonts w:ascii="Arial" w:hAnsi="Arial" w:cs="Arial"/>
          <w:bCs/>
          <w:sz w:val="22"/>
          <w:szCs w:val="22"/>
          <w:lang w:val="fr-FR"/>
        </w:rPr>
        <w:t xml:space="preserve">pprouvait </w:t>
      </w:r>
      <w:r w:rsidRPr="00AE7C5F">
        <w:rPr>
          <w:rFonts w:ascii="Arial" w:hAnsi="Arial" w:cs="Arial"/>
          <w:bCs/>
          <w:sz w:val="22"/>
          <w:szCs w:val="22"/>
          <w:lang w:val="fr-FR"/>
        </w:rPr>
        <w:t>donc la proposition du Mexique.</w:t>
      </w:r>
    </w:p>
    <w:p w14:paraId="3AD737F9" w14:textId="1D69A9A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AE7C5F">
        <w:rPr>
          <w:rFonts w:ascii="Arial" w:hAnsi="Arial" w:cs="Arial"/>
          <w:bCs/>
          <w:sz w:val="22"/>
          <w:szCs w:val="22"/>
          <w:lang w:val="fr-FR"/>
        </w:rPr>
        <w:t>délégation</w:t>
      </w:r>
      <w:r>
        <w:rPr>
          <w:rFonts w:ascii="Arial" w:hAnsi="Arial" w:cs="Arial"/>
          <w:bCs/>
          <w:sz w:val="22"/>
          <w:szCs w:val="22"/>
          <w:lang w:val="fr-FR"/>
        </w:rPr>
        <w:t xml:space="preserve"> du </w:t>
      </w:r>
      <w:r w:rsidRPr="00AE7C5F">
        <w:rPr>
          <w:rFonts w:ascii="Arial" w:hAnsi="Arial" w:cs="Arial"/>
          <w:b/>
          <w:sz w:val="22"/>
          <w:szCs w:val="22"/>
          <w:lang w:val="fr-FR"/>
        </w:rPr>
        <w:t>Brésil</w:t>
      </w:r>
      <w:r>
        <w:rPr>
          <w:rFonts w:ascii="Arial" w:hAnsi="Arial" w:cs="Arial"/>
          <w:bCs/>
          <w:sz w:val="22"/>
          <w:szCs w:val="22"/>
          <w:lang w:val="fr-FR"/>
        </w:rPr>
        <w:t xml:space="preserve"> approuvait </w:t>
      </w:r>
      <w:r w:rsidRPr="00AE7C5F">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l</w:t>
      </w:r>
      <w:r w:rsidR="008E532B">
        <w:rPr>
          <w:rFonts w:ascii="Arial" w:hAnsi="Arial" w:cs="Arial"/>
          <w:bCs/>
          <w:color w:val="000000" w:themeColor="text1"/>
          <w:sz w:val="22"/>
          <w:szCs w:val="22"/>
          <w:lang w:val="fr-FR"/>
        </w:rPr>
        <w:t>’</w:t>
      </w:r>
      <w:r w:rsidRPr="00AE7C5F">
        <w:rPr>
          <w:rFonts w:ascii="Arial" w:hAnsi="Arial" w:cs="Arial"/>
          <w:bCs/>
          <w:color w:val="000000" w:themeColor="text1"/>
          <w:sz w:val="22"/>
          <w:szCs w:val="22"/>
          <w:lang w:val="fr-FR"/>
        </w:rPr>
        <w:t>amendement</w:t>
      </w:r>
      <w:r>
        <w:rPr>
          <w:rFonts w:ascii="Arial" w:hAnsi="Arial" w:cs="Arial"/>
          <w:bCs/>
          <w:color w:val="000000" w:themeColor="text1"/>
          <w:sz w:val="22"/>
          <w:szCs w:val="22"/>
          <w:lang w:val="fr-FR"/>
        </w:rPr>
        <w:t xml:space="preserve"> proposé par le Mexique.</w:t>
      </w:r>
    </w:p>
    <w:p w14:paraId="6D8B28D1" w14:textId="799E5EE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AE7C5F">
        <w:rPr>
          <w:rFonts w:ascii="Arial" w:hAnsi="Arial" w:cs="Arial"/>
          <w:b/>
          <w:sz w:val="22"/>
          <w:szCs w:val="22"/>
          <w:lang w:val="fr-FR"/>
        </w:rPr>
        <w:t>Présidente</w:t>
      </w:r>
      <w:r>
        <w:rPr>
          <w:rFonts w:ascii="Arial" w:hAnsi="Arial" w:cs="Arial"/>
          <w:bCs/>
          <w:sz w:val="22"/>
          <w:szCs w:val="22"/>
          <w:lang w:val="fr-FR"/>
        </w:rPr>
        <w:t xml:space="preserve"> a noté deux </w:t>
      </w:r>
      <w:r w:rsidRPr="00AE7C5F">
        <w:rPr>
          <w:rFonts w:ascii="Arial" w:hAnsi="Arial" w:cs="Arial"/>
          <w:bCs/>
          <w:sz w:val="22"/>
          <w:szCs w:val="22"/>
          <w:lang w:val="fr-FR"/>
        </w:rPr>
        <w:t>proposition</w:t>
      </w:r>
      <w:r>
        <w:rPr>
          <w:rFonts w:ascii="Arial" w:hAnsi="Arial" w:cs="Arial"/>
          <w:bCs/>
          <w:sz w:val="22"/>
          <w:szCs w:val="22"/>
          <w:lang w:val="fr-FR"/>
        </w:rPr>
        <w:t xml:space="preserve">s pour le </w:t>
      </w:r>
      <w:r w:rsidRPr="00AE7C5F">
        <w:rPr>
          <w:rFonts w:ascii="Arial" w:hAnsi="Arial" w:cs="Arial"/>
          <w:bCs/>
          <w:sz w:val="22"/>
          <w:szCs w:val="22"/>
          <w:lang w:val="fr-FR"/>
        </w:rPr>
        <w:t>paragraphe</w:t>
      </w:r>
      <w:r>
        <w:rPr>
          <w:rFonts w:ascii="Arial" w:hAnsi="Arial" w:cs="Arial"/>
          <w:bCs/>
          <w:sz w:val="22"/>
          <w:szCs w:val="22"/>
          <w:lang w:val="fr-FR"/>
        </w:rPr>
        <w:t xml:space="preserve"> 5, dont l</w:t>
      </w:r>
      <w:r w:rsidR="008E532B">
        <w:rPr>
          <w:rFonts w:ascii="Arial" w:hAnsi="Arial" w:cs="Arial"/>
          <w:bCs/>
          <w:sz w:val="22"/>
          <w:szCs w:val="22"/>
          <w:lang w:val="fr-FR"/>
        </w:rPr>
        <w:t>’</w:t>
      </w:r>
      <w:r>
        <w:rPr>
          <w:rFonts w:ascii="Arial" w:hAnsi="Arial" w:cs="Arial"/>
          <w:bCs/>
          <w:sz w:val="22"/>
          <w:szCs w:val="22"/>
          <w:lang w:val="fr-FR"/>
        </w:rPr>
        <w:t>une recevait un large soutien.</w:t>
      </w:r>
    </w:p>
    <w:p w14:paraId="0EA9C035" w14:textId="1AF5C89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E7C5F">
        <w:rPr>
          <w:rFonts w:ascii="Arial" w:hAnsi="Arial" w:cs="Arial"/>
          <w:bCs/>
          <w:sz w:val="22"/>
          <w:szCs w:val="22"/>
          <w:lang w:val="fr-FR"/>
        </w:rPr>
        <w:t xml:space="preserve">La délégation du </w:t>
      </w:r>
      <w:r w:rsidRPr="00AE7C5F">
        <w:rPr>
          <w:rFonts w:ascii="Arial" w:hAnsi="Arial" w:cs="Arial"/>
          <w:b/>
          <w:sz w:val="22"/>
          <w:szCs w:val="22"/>
          <w:lang w:val="fr-FR"/>
        </w:rPr>
        <w:t>Panama</w:t>
      </w:r>
      <w:r w:rsidRPr="00AE7C5F">
        <w:rPr>
          <w:rFonts w:ascii="Arial" w:hAnsi="Arial" w:cs="Arial"/>
          <w:bCs/>
          <w:sz w:val="22"/>
          <w:szCs w:val="22"/>
          <w:lang w:val="fr-FR"/>
        </w:rPr>
        <w:t xml:space="preserve"> a fait remarquer que le projet de décision, tel qu</w:t>
      </w:r>
      <w:r>
        <w:rPr>
          <w:rFonts w:ascii="Arial" w:hAnsi="Arial" w:cs="Arial"/>
          <w:bCs/>
          <w:sz w:val="22"/>
          <w:szCs w:val="22"/>
          <w:lang w:val="fr-FR"/>
        </w:rPr>
        <w:t xml:space="preserve">e </w:t>
      </w:r>
      <w:r w:rsidRPr="00AE7C5F">
        <w:rPr>
          <w:rFonts w:ascii="Arial" w:hAnsi="Arial" w:cs="Arial"/>
          <w:bCs/>
          <w:sz w:val="22"/>
          <w:szCs w:val="22"/>
          <w:lang w:val="fr-FR"/>
        </w:rPr>
        <w:t xml:space="preserve">projeté </w:t>
      </w:r>
      <w:r>
        <w:rPr>
          <w:rFonts w:ascii="Arial" w:hAnsi="Arial" w:cs="Arial"/>
          <w:bCs/>
          <w:sz w:val="22"/>
          <w:szCs w:val="22"/>
          <w:lang w:val="fr-FR"/>
        </w:rPr>
        <w:t xml:space="preserve">à </w:t>
      </w:r>
      <w:r w:rsidRPr="00AE7C5F">
        <w:rPr>
          <w:rFonts w:ascii="Arial" w:hAnsi="Arial" w:cs="Arial"/>
          <w:bCs/>
          <w:sz w:val="22"/>
          <w:szCs w:val="22"/>
          <w:lang w:val="fr-FR"/>
        </w:rPr>
        <w:t>l</w:t>
      </w:r>
      <w:r w:rsidR="008E532B">
        <w:rPr>
          <w:rFonts w:ascii="Arial" w:hAnsi="Arial" w:cs="Arial"/>
          <w:bCs/>
          <w:sz w:val="22"/>
          <w:szCs w:val="22"/>
          <w:lang w:val="fr-FR"/>
        </w:rPr>
        <w:t>’</w:t>
      </w:r>
      <w:r w:rsidRPr="00AE7C5F">
        <w:rPr>
          <w:rFonts w:ascii="Arial" w:hAnsi="Arial" w:cs="Arial"/>
          <w:bCs/>
          <w:sz w:val="22"/>
          <w:szCs w:val="22"/>
          <w:lang w:val="fr-FR"/>
        </w:rPr>
        <w:t>écran, n</w:t>
      </w:r>
      <w:r w:rsidR="008E532B">
        <w:rPr>
          <w:rFonts w:ascii="Arial" w:hAnsi="Arial" w:cs="Arial"/>
          <w:bCs/>
          <w:sz w:val="22"/>
          <w:szCs w:val="22"/>
          <w:lang w:val="fr-FR"/>
        </w:rPr>
        <w:t>’</w:t>
      </w:r>
      <w:r>
        <w:rPr>
          <w:rFonts w:ascii="Arial" w:hAnsi="Arial" w:cs="Arial"/>
          <w:bCs/>
          <w:sz w:val="22"/>
          <w:szCs w:val="22"/>
          <w:lang w:val="fr-FR"/>
        </w:rPr>
        <w:t xml:space="preserve">était </w:t>
      </w:r>
      <w:r w:rsidRPr="00AE7C5F">
        <w:rPr>
          <w:rFonts w:ascii="Arial" w:hAnsi="Arial" w:cs="Arial"/>
          <w:bCs/>
          <w:sz w:val="22"/>
          <w:szCs w:val="22"/>
          <w:lang w:val="fr-FR"/>
        </w:rPr>
        <w:t>pas clair car il se content</w:t>
      </w:r>
      <w:r>
        <w:rPr>
          <w:rFonts w:ascii="Arial" w:hAnsi="Arial" w:cs="Arial"/>
          <w:bCs/>
          <w:sz w:val="22"/>
          <w:szCs w:val="22"/>
          <w:lang w:val="fr-FR"/>
        </w:rPr>
        <w:t>ait</w:t>
      </w:r>
      <w:r w:rsidRPr="00AE7C5F">
        <w:rPr>
          <w:rFonts w:ascii="Arial" w:hAnsi="Arial" w:cs="Arial"/>
          <w:bCs/>
          <w:sz w:val="22"/>
          <w:szCs w:val="22"/>
          <w:lang w:val="fr-FR"/>
        </w:rPr>
        <w:t xml:space="preserve"> d</w:t>
      </w:r>
      <w:r w:rsidR="008E532B">
        <w:rPr>
          <w:rFonts w:ascii="Arial" w:hAnsi="Arial" w:cs="Arial"/>
          <w:bCs/>
          <w:sz w:val="22"/>
          <w:szCs w:val="22"/>
          <w:lang w:val="fr-FR"/>
        </w:rPr>
        <w:t>’</w:t>
      </w:r>
      <w:r w:rsidRPr="00AE7C5F">
        <w:rPr>
          <w:rFonts w:ascii="Arial" w:hAnsi="Arial" w:cs="Arial"/>
          <w:bCs/>
          <w:sz w:val="22"/>
          <w:szCs w:val="22"/>
          <w:lang w:val="fr-FR"/>
        </w:rPr>
        <w:t>énumérer les États qui le sout</w:t>
      </w:r>
      <w:r>
        <w:rPr>
          <w:rFonts w:ascii="Arial" w:hAnsi="Arial" w:cs="Arial"/>
          <w:bCs/>
          <w:sz w:val="22"/>
          <w:szCs w:val="22"/>
          <w:lang w:val="fr-FR"/>
        </w:rPr>
        <w:t>enaient</w:t>
      </w:r>
      <w:r w:rsidRPr="00AE7C5F">
        <w:rPr>
          <w:rFonts w:ascii="Arial" w:hAnsi="Arial" w:cs="Arial"/>
          <w:bCs/>
          <w:sz w:val="22"/>
          <w:szCs w:val="22"/>
          <w:lang w:val="fr-FR"/>
        </w:rPr>
        <w:t>. D</w:t>
      </w:r>
      <w:r w:rsidR="008E532B">
        <w:rPr>
          <w:rFonts w:ascii="Arial" w:hAnsi="Arial" w:cs="Arial"/>
          <w:bCs/>
          <w:sz w:val="22"/>
          <w:szCs w:val="22"/>
          <w:lang w:val="fr-FR"/>
        </w:rPr>
        <w:t>’</w:t>
      </w:r>
      <w:r w:rsidRPr="00AE7C5F">
        <w:rPr>
          <w:rFonts w:ascii="Arial" w:hAnsi="Arial" w:cs="Arial"/>
          <w:bCs/>
          <w:sz w:val="22"/>
          <w:szCs w:val="22"/>
          <w:lang w:val="fr-FR"/>
        </w:rPr>
        <w:t>une part, il y avait un soutien pour l</w:t>
      </w:r>
      <w:r w:rsidR="008E532B">
        <w:rPr>
          <w:rFonts w:ascii="Arial" w:hAnsi="Arial" w:cs="Arial"/>
          <w:bCs/>
          <w:sz w:val="22"/>
          <w:szCs w:val="22"/>
          <w:lang w:val="fr-FR"/>
        </w:rPr>
        <w:t>’</w:t>
      </w:r>
      <w:r w:rsidRPr="00AE7C5F">
        <w:rPr>
          <w:rFonts w:ascii="Arial" w:hAnsi="Arial" w:cs="Arial"/>
          <w:bCs/>
          <w:sz w:val="22"/>
          <w:szCs w:val="22"/>
          <w:lang w:val="fr-FR"/>
        </w:rPr>
        <w:t>accréditation d</w:t>
      </w:r>
      <w:r w:rsidR="008E532B">
        <w:rPr>
          <w:rFonts w:ascii="Arial" w:hAnsi="Arial" w:cs="Arial"/>
          <w:bCs/>
          <w:sz w:val="22"/>
          <w:szCs w:val="22"/>
          <w:lang w:val="fr-FR"/>
        </w:rPr>
        <w:t>’</w:t>
      </w:r>
      <w:r w:rsidRPr="00AE7C5F">
        <w:rPr>
          <w:rFonts w:ascii="Arial" w:hAnsi="Arial" w:cs="Arial"/>
          <w:bCs/>
          <w:sz w:val="22"/>
          <w:szCs w:val="22"/>
          <w:lang w:val="fr-FR"/>
        </w:rPr>
        <w:t>IPACIM et, d</w:t>
      </w:r>
      <w:r w:rsidR="008E532B">
        <w:rPr>
          <w:rFonts w:ascii="Arial" w:hAnsi="Arial" w:cs="Arial"/>
          <w:bCs/>
          <w:sz w:val="22"/>
          <w:szCs w:val="22"/>
          <w:lang w:val="fr-FR"/>
        </w:rPr>
        <w:t>’</w:t>
      </w:r>
      <w:r w:rsidRPr="00AE7C5F">
        <w:rPr>
          <w:rFonts w:ascii="Arial" w:hAnsi="Arial" w:cs="Arial"/>
          <w:bCs/>
          <w:sz w:val="22"/>
          <w:szCs w:val="22"/>
          <w:lang w:val="fr-FR"/>
        </w:rPr>
        <w:t>autre part, on demandait plus d</w:t>
      </w:r>
      <w:r w:rsidR="008E532B">
        <w:rPr>
          <w:rFonts w:ascii="Arial" w:hAnsi="Arial" w:cs="Arial"/>
          <w:bCs/>
          <w:sz w:val="22"/>
          <w:szCs w:val="22"/>
          <w:lang w:val="fr-FR"/>
        </w:rPr>
        <w:t>’</w:t>
      </w:r>
      <w:r w:rsidRPr="00AE7C5F">
        <w:rPr>
          <w:rFonts w:ascii="Arial" w:hAnsi="Arial" w:cs="Arial"/>
          <w:bCs/>
          <w:sz w:val="22"/>
          <w:szCs w:val="22"/>
          <w:lang w:val="fr-FR"/>
        </w:rPr>
        <w:t xml:space="preserve">informations à Direct </w:t>
      </w:r>
      <w:proofErr w:type="spellStart"/>
      <w:r w:rsidRPr="00AE7C5F">
        <w:rPr>
          <w:rFonts w:ascii="Arial" w:hAnsi="Arial" w:cs="Arial"/>
          <w:bCs/>
          <w:sz w:val="22"/>
          <w:szCs w:val="22"/>
          <w:lang w:val="fr-FR"/>
        </w:rPr>
        <w:t>Gradual</w:t>
      </w:r>
      <w:proofErr w:type="spellEnd"/>
      <w:r w:rsidRPr="00AE7C5F">
        <w:rPr>
          <w:rFonts w:ascii="Arial" w:hAnsi="Arial" w:cs="Arial"/>
          <w:bCs/>
          <w:sz w:val="22"/>
          <w:szCs w:val="22"/>
          <w:lang w:val="fr-FR"/>
        </w:rPr>
        <w:t xml:space="preserve"> </w:t>
      </w:r>
      <w:proofErr w:type="spellStart"/>
      <w:r w:rsidRPr="00AE7C5F">
        <w:rPr>
          <w:rFonts w:ascii="Arial" w:hAnsi="Arial" w:cs="Arial"/>
          <w:bCs/>
          <w:sz w:val="22"/>
          <w:szCs w:val="22"/>
          <w:lang w:val="fr-FR"/>
        </w:rPr>
        <w:t>Development</w:t>
      </w:r>
      <w:proofErr w:type="spellEnd"/>
      <w:r w:rsidRPr="00AE7C5F">
        <w:rPr>
          <w:rFonts w:ascii="Arial" w:hAnsi="Arial" w:cs="Arial"/>
          <w:bCs/>
          <w:sz w:val="22"/>
          <w:szCs w:val="22"/>
          <w:lang w:val="fr-FR"/>
        </w:rPr>
        <w:t>.</w:t>
      </w:r>
    </w:p>
    <w:p w14:paraId="213F627C" w14:textId="7AE775F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E75FE">
        <w:rPr>
          <w:rFonts w:ascii="Arial" w:hAnsi="Arial" w:cs="Arial"/>
          <w:bCs/>
          <w:sz w:val="22"/>
          <w:szCs w:val="22"/>
          <w:lang w:val="fr-FR"/>
        </w:rPr>
        <w:t xml:space="preserve">La </w:t>
      </w:r>
      <w:r w:rsidRPr="00DE75FE">
        <w:rPr>
          <w:rFonts w:ascii="Arial" w:hAnsi="Arial" w:cs="Arial"/>
          <w:b/>
          <w:sz w:val="22"/>
          <w:szCs w:val="22"/>
          <w:lang w:val="fr-FR"/>
        </w:rPr>
        <w:t>Présidente</w:t>
      </w:r>
      <w:r w:rsidRPr="00DE75FE">
        <w:rPr>
          <w:rFonts w:ascii="Arial" w:hAnsi="Arial" w:cs="Arial"/>
          <w:bCs/>
          <w:sz w:val="22"/>
          <w:szCs w:val="22"/>
          <w:lang w:val="fr-FR"/>
        </w:rPr>
        <w:t xml:space="preserve"> a demandé au Secrétariat de fournir une </w:t>
      </w:r>
      <w:r>
        <w:rPr>
          <w:rFonts w:ascii="Arial" w:hAnsi="Arial" w:cs="Arial"/>
          <w:bCs/>
          <w:sz w:val="22"/>
          <w:szCs w:val="22"/>
          <w:lang w:val="fr-FR"/>
        </w:rPr>
        <w:t>version au propre</w:t>
      </w:r>
      <w:r w:rsidRPr="00DE75FE">
        <w:rPr>
          <w:rFonts w:ascii="Arial" w:hAnsi="Arial" w:cs="Arial"/>
          <w:bCs/>
          <w:sz w:val="22"/>
          <w:szCs w:val="22"/>
          <w:lang w:val="fr-FR"/>
        </w:rPr>
        <w:t xml:space="preserve"> avec la liste des </w:t>
      </w:r>
      <w:r>
        <w:rPr>
          <w:rFonts w:ascii="Arial" w:hAnsi="Arial" w:cs="Arial"/>
          <w:bCs/>
          <w:sz w:val="22"/>
          <w:szCs w:val="22"/>
          <w:lang w:val="fr-FR"/>
        </w:rPr>
        <w:t>É</w:t>
      </w:r>
      <w:r w:rsidRPr="00DE75FE">
        <w:rPr>
          <w:rFonts w:ascii="Arial" w:hAnsi="Arial" w:cs="Arial"/>
          <w:bCs/>
          <w:sz w:val="22"/>
          <w:szCs w:val="22"/>
          <w:lang w:val="fr-FR"/>
        </w:rPr>
        <w:t xml:space="preserve">tats soutenant la proposition apparaissant séparément en bas de page. Deux options </w:t>
      </w:r>
      <w:r>
        <w:rPr>
          <w:rFonts w:ascii="Arial" w:hAnsi="Arial" w:cs="Arial"/>
          <w:bCs/>
          <w:sz w:val="22"/>
          <w:szCs w:val="22"/>
          <w:lang w:val="fr-FR"/>
        </w:rPr>
        <w:t xml:space="preserve">étaient </w:t>
      </w:r>
      <w:r w:rsidRPr="00DE75FE">
        <w:rPr>
          <w:rFonts w:ascii="Arial" w:hAnsi="Arial" w:cs="Arial"/>
          <w:bCs/>
          <w:sz w:val="22"/>
          <w:szCs w:val="22"/>
          <w:lang w:val="fr-FR"/>
        </w:rPr>
        <w:t>ainsi présentées. L</w:t>
      </w:r>
      <w:r w:rsidR="008E532B">
        <w:rPr>
          <w:rFonts w:ascii="Arial" w:hAnsi="Arial" w:cs="Arial"/>
          <w:bCs/>
          <w:sz w:val="22"/>
          <w:szCs w:val="22"/>
          <w:lang w:val="fr-FR"/>
        </w:rPr>
        <w:t>’</w:t>
      </w:r>
      <w:r w:rsidRPr="00DE75FE">
        <w:rPr>
          <w:rFonts w:ascii="Arial" w:hAnsi="Arial" w:cs="Arial"/>
          <w:bCs/>
          <w:sz w:val="22"/>
          <w:szCs w:val="22"/>
          <w:lang w:val="fr-FR"/>
        </w:rPr>
        <w:t>amendement du Mexique [</w:t>
      </w:r>
      <w:r>
        <w:rPr>
          <w:rFonts w:ascii="Arial" w:hAnsi="Arial" w:cs="Arial"/>
          <w:bCs/>
          <w:sz w:val="22"/>
          <w:szCs w:val="22"/>
          <w:lang w:val="fr-FR"/>
        </w:rPr>
        <w:t>o</w:t>
      </w:r>
      <w:r w:rsidRPr="00DE75FE">
        <w:rPr>
          <w:rFonts w:ascii="Arial" w:hAnsi="Arial" w:cs="Arial"/>
          <w:bCs/>
          <w:sz w:val="22"/>
          <w:szCs w:val="22"/>
          <w:lang w:val="fr-FR"/>
        </w:rPr>
        <w:t>ption C] se</w:t>
      </w:r>
      <w:r>
        <w:rPr>
          <w:rFonts w:ascii="Arial" w:hAnsi="Arial" w:cs="Arial"/>
          <w:bCs/>
          <w:sz w:val="22"/>
          <w:szCs w:val="22"/>
          <w:lang w:val="fr-FR"/>
        </w:rPr>
        <w:t>rait ainsi rédigé </w:t>
      </w:r>
      <w:r w:rsidRPr="00DE75FE">
        <w:rPr>
          <w:rFonts w:ascii="Arial" w:hAnsi="Arial" w:cs="Arial"/>
          <w:bCs/>
          <w:sz w:val="22"/>
          <w:szCs w:val="22"/>
          <w:lang w:val="fr-FR"/>
        </w:rPr>
        <w:t xml:space="preserve">: </w:t>
      </w:r>
      <w:r>
        <w:rPr>
          <w:rFonts w:ascii="Arial" w:hAnsi="Arial" w:cs="Arial"/>
          <w:bCs/>
          <w:sz w:val="22"/>
          <w:szCs w:val="22"/>
          <w:lang w:val="fr-FR"/>
        </w:rPr>
        <w:t>« </w:t>
      </w:r>
      <w:r w:rsidRPr="00DE75FE">
        <w:rPr>
          <w:rFonts w:ascii="Arial" w:hAnsi="Arial" w:cs="Arial"/>
          <w:bCs/>
          <w:sz w:val="22"/>
          <w:szCs w:val="22"/>
          <w:lang w:val="fr-FR"/>
        </w:rPr>
        <w:t>décide d</w:t>
      </w:r>
      <w:r w:rsidR="008E532B">
        <w:rPr>
          <w:rFonts w:ascii="Arial" w:hAnsi="Arial" w:cs="Arial"/>
          <w:bCs/>
          <w:sz w:val="22"/>
          <w:szCs w:val="22"/>
          <w:lang w:val="fr-FR"/>
        </w:rPr>
        <w:t>’</w:t>
      </w:r>
      <w:r w:rsidRPr="00DE75FE">
        <w:rPr>
          <w:rFonts w:ascii="Arial" w:hAnsi="Arial" w:cs="Arial"/>
          <w:bCs/>
          <w:sz w:val="22"/>
          <w:szCs w:val="22"/>
          <w:lang w:val="fr-FR"/>
        </w:rPr>
        <w:t xml:space="preserve">accréditer </w:t>
      </w:r>
      <w:r>
        <w:rPr>
          <w:rFonts w:ascii="Arial" w:hAnsi="Arial" w:cs="Arial"/>
          <w:bCs/>
          <w:sz w:val="22"/>
          <w:szCs w:val="22"/>
          <w:lang w:val="fr-FR"/>
        </w:rPr>
        <w:t>“ </w:t>
      </w:r>
      <w:r w:rsidRPr="00D9653F">
        <w:rPr>
          <w:rFonts w:ascii="Arial" w:hAnsi="Arial" w:cs="Arial"/>
          <w:bCs/>
          <w:sz w:val="22"/>
          <w:szCs w:val="22"/>
          <w:lang w:val="fr-FR"/>
        </w:rPr>
        <w:t xml:space="preserve">Institute for Intangible Cultural </w:t>
      </w:r>
      <w:proofErr w:type="spellStart"/>
      <w:r w:rsidRPr="00D9653F">
        <w:rPr>
          <w:rFonts w:ascii="Arial" w:hAnsi="Arial" w:cs="Arial"/>
          <w:bCs/>
          <w:sz w:val="22"/>
          <w:szCs w:val="22"/>
          <w:lang w:val="fr-FR"/>
        </w:rPr>
        <w:t>Heritage</w:t>
      </w:r>
      <w:proofErr w:type="spellEnd"/>
      <w:r w:rsidRPr="00D9653F">
        <w:rPr>
          <w:rFonts w:ascii="Arial" w:hAnsi="Arial" w:cs="Arial"/>
          <w:sz w:val="22"/>
          <w:szCs w:val="22"/>
          <w:lang w:val="fr-FR"/>
        </w:rPr>
        <w:t xml:space="preserve"> </w:t>
      </w:r>
      <w:r w:rsidRPr="00D9653F">
        <w:rPr>
          <w:rFonts w:ascii="Arial" w:hAnsi="Arial" w:cs="Arial"/>
          <w:bCs/>
          <w:sz w:val="22"/>
          <w:szCs w:val="22"/>
          <w:lang w:val="fr-FR"/>
        </w:rPr>
        <w:t>IPACIM ”</w:t>
      </w:r>
      <w:r w:rsidRPr="00DE75FE">
        <w:rPr>
          <w:rFonts w:ascii="Arial" w:hAnsi="Arial" w:cs="Arial"/>
          <w:bCs/>
          <w:sz w:val="22"/>
          <w:szCs w:val="22"/>
          <w:lang w:val="fr-FR"/>
        </w:rPr>
        <w:t xml:space="preserve"> pour </w:t>
      </w:r>
      <w:r>
        <w:rPr>
          <w:rFonts w:ascii="Arial" w:hAnsi="Arial" w:cs="Arial"/>
          <w:bCs/>
          <w:sz w:val="22"/>
          <w:szCs w:val="22"/>
          <w:lang w:val="fr-FR"/>
        </w:rPr>
        <w:t xml:space="preserve">exercer des fonctions </w:t>
      </w:r>
      <w:r w:rsidRPr="00DE75FE">
        <w:rPr>
          <w:rFonts w:ascii="Arial" w:hAnsi="Arial" w:cs="Arial"/>
          <w:bCs/>
          <w:sz w:val="22"/>
          <w:szCs w:val="22"/>
          <w:lang w:val="fr-FR"/>
        </w:rPr>
        <w:t>consultati</w:t>
      </w:r>
      <w:r>
        <w:rPr>
          <w:rFonts w:ascii="Arial" w:hAnsi="Arial" w:cs="Arial"/>
          <w:bCs/>
          <w:sz w:val="22"/>
          <w:szCs w:val="22"/>
          <w:lang w:val="fr-FR"/>
        </w:rPr>
        <w:t xml:space="preserve">ves </w:t>
      </w:r>
      <w:r w:rsidRPr="00DE75FE">
        <w:rPr>
          <w:rFonts w:ascii="Arial" w:hAnsi="Arial" w:cs="Arial"/>
          <w:bCs/>
          <w:sz w:val="22"/>
          <w:szCs w:val="22"/>
          <w:lang w:val="fr-FR"/>
        </w:rPr>
        <w:t>auprès du Comité</w:t>
      </w:r>
      <w:r>
        <w:rPr>
          <w:rFonts w:ascii="Arial" w:hAnsi="Arial" w:cs="Arial"/>
          <w:bCs/>
          <w:sz w:val="22"/>
          <w:szCs w:val="22"/>
          <w:lang w:val="fr-FR"/>
        </w:rPr>
        <w:t>,</w:t>
      </w:r>
      <w:r w:rsidRPr="00DE75FE">
        <w:rPr>
          <w:rFonts w:ascii="Arial" w:hAnsi="Arial" w:cs="Arial"/>
          <w:bCs/>
          <w:sz w:val="22"/>
          <w:szCs w:val="22"/>
          <w:lang w:val="fr-FR"/>
        </w:rPr>
        <w:t xml:space="preserve"> et </w:t>
      </w:r>
      <w:r>
        <w:rPr>
          <w:rFonts w:ascii="Arial" w:hAnsi="Arial" w:cs="Arial"/>
          <w:bCs/>
          <w:sz w:val="22"/>
          <w:szCs w:val="22"/>
          <w:lang w:val="fr-FR"/>
        </w:rPr>
        <w:t>d</w:t>
      </w:r>
      <w:r w:rsidR="008E532B">
        <w:rPr>
          <w:rFonts w:ascii="Arial" w:hAnsi="Arial" w:cs="Arial"/>
          <w:bCs/>
          <w:sz w:val="22"/>
          <w:szCs w:val="22"/>
          <w:lang w:val="fr-FR"/>
        </w:rPr>
        <w:t>’</w:t>
      </w:r>
      <w:r w:rsidRPr="00DE75FE">
        <w:rPr>
          <w:rFonts w:ascii="Arial" w:hAnsi="Arial" w:cs="Arial"/>
          <w:bCs/>
          <w:sz w:val="22"/>
          <w:szCs w:val="22"/>
          <w:lang w:val="fr-FR"/>
        </w:rPr>
        <w:t>invite</w:t>
      </w:r>
      <w:r>
        <w:rPr>
          <w:rFonts w:ascii="Arial" w:hAnsi="Arial" w:cs="Arial"/>
          <w:bCs/>
          <w:sz w:val="22"/>
          <w:szCs w:val="22"/>
          <w:lang w:val="fr-FR"/>
        </w:rPr>
        <w:t>r</w:t>
      </w:r>
      <w:r w:rsidRPr="00DE75FE">
        <w:rPr>
          <w:rFonts w:ascii="Arial" w:hAnsi="Arial" w:cs="Arial"/>
          <w:bCs/>
          <w:sz w:val="22"/>
          <w:szCs w:val="22"/>
          <w:lang w:val="fr-FR"/>
        </w:rPr>
        <w:t xml:space="preserve"> </w:t>
      </w:r>
      <w:r>
        <w:rPr>
          <w:rFonts w:ascii="Arial" w:hAnsi="Arial" w:cs="Arial"/>
          <w:bCs/>
          <w:sz w:val="22"/>
          <w:szCs w:val="22"/>
          <w:lang w:val="fr-FR"/>
        </w:rPr>
        <w:t>“ </w:t>
      </w:r>
      <w:r w:rsidRPr="00D3285B">
        <w:rPr>
          <w:rFonts w:ascii="Arial" w:hAnsi="Arial" w:cs="Arial"/>
          <w:bCs/>
          <w:sz w:val="22"/>
          <w:szCs w:val="22"/>
          <w:lang w:val="fr-FR"/>
        </w:rPr>
        <w:t xml:space="preserve">Direct </w:t>
      </w:r>
      <w:proofErr w:type="spellStart"/>
      <w:r w:rsidRPr="00D3285B">
        <w:rPr>
          <w:rFonts w:ascii="Arial" w:hAnsi="Arial" w:cs="Arial"/>
          <w:bCs/>
          <w:sz w:val="22"/>
          <w:szCs w:val="22"/>
          <w:lang w:val="fr-FR"/>
        </w:rPr>
        <w:t>Gradual</w:t>
      </w:r>
      <w:proofErr w:type="spellEnd"/>
      <w:r w:rsidRPr="00D3285B">
        <w:rPr>
          <w:rFonts w:ascii="Arial" w:hAnsi="Arial" w:cs="Arial"/>
          <w:bCs/>
          <w:sz w:val="22"/>
          <w:szCs w:val="22"/>
          <w:lang w:val="fr-FR"/>
        </w:rPr>
        <w:t xml:space="preserve"> </w:t>
      </w:r>
      <w:proofErr w:type="spellStart"/>
      <w:r w:rsidRPr="00D3285B">
        <w:rPr>
          <w:rFonts w:ascii="Arial" w:hAnsi="Arial" w:cs="Arial"/>
          <w:bCs/>
          <w:sz w:val="22"/>
          <w:szCs w:val="22"/>
          <w:lang w:val="fr-FR"/>
        </w:rPr>
        <w:t>Development</w:t>
      </w:r>
      <w:proofErr w:type="spellEnd"/>
      <w:r w:rsidRPr="00D3285B">
        <w:rPr>
          <w:rFonts w:ascii="Arial" w:hAnsi="Arial" w:cs="Arial"/>
          <w:bCs/>
          <w:sz w:val="22"/>
          <w:szCs w:val="22"/>
          <w:lang w:val="fr-FR"/>
        </w:rPr>
        <w:t>, Civil Association</w:t>
      </w:r>
      <w:r>
        <w:rPr>
          <w:rFonts w:ascii="Arial" w:hAnsi="Arial" w:cs="Arial"/>
          <w:bCs/>
          <w:sz w:val="22"/>
          <w:szCs w:val="22"/>
          <w:lang w:val="fr-FR"/>
        </w:rPr>
        <w:t> ”</w:t>
      </w:r>
      <w:r w:rsidRPr="00DE75FE">
        <w:rPr>
          <w:rFonts w:ascii="Arial" w:hAnsi="Arial" w:cs="Arial"/>
          <w:bCs/>
          <w:sz w:val="22"/>
          <w:szCs w:val="22"/>
          <w:lang w:val="fr-FR"/>
        </w:rPr>
        <w:t xml:space="preserve"> à soumettre à nouveau, si elle le souhaite, une demande d</w:t>
      </w:r>
      <w:r w:rsidR="008E532B">
        <w:rPr>
          <w:rFonts w:ascii="Arial" w:hAnsi="Arial" w:cs="Arial"/>
          <w:bCs/>
          <w:sz w:val="22"/>
          <w:szCs w:val="22"/>
          <w:lang w:val="fr-FR"/>
        </w:rPr>
        <w:t>’</w:t>
      </w:r>
      <w:r w:rsidRPr="00DE75FE">
        <w:rPr>
          <w:rFonts w:ascii="Arial" w:hAnsi="Arial" w:cs="Arial"/>
          <w:bCs/>
          <w:sz w:val="22"/>
          <w:szCs w:val="22"/>
          <w:lang w:val="fr-FR"/>
        </w:rPr>
        <w:t>accréditation lors d</w:t>
      </w:r>
      <w:r w:rsidR="008E532B">
        <w:rPr>
          <w:rFonts w:ascii="Arial" w:hAnsi="Arial" w:cs="Arial"/>
          <w:bCs/>
          <w:sz w:val="22"/>
          <w:szCs w:val="22"/>
          <w:lang w:val="fr-FR"/>
        </w:rPr>
        <w:t>’</w:t>
      </w:r>
      <w:r w:rsidRPr="00DE75FE">
        <w:rPr>
          <w:rFonts w:ascii="Arial" w:hAnsi="Arial" w:cs="Arial"/>
          <w:bCs/>
          <w:sz w:val="22"/>
          <w:szCs w:val="22"/>
          <w:lang w:val="fr-FR"/>
        </w:rPr>
        <w:t>un prochain cycle</w:t>
      </w:r>
      <w:r>
        <w:rPr>
          <w:rFonts w:ascii="Arial" w:hAnsi="Arial" w:cs="Arial"/>
          <w:bCs/>
          <w:sz w:val="22"/>
          <w:szCs w:val="22"/>
          <w:lang w:val="fr-FR"/>
        </w:rPr>
        <w:t> »</w:t>
      </w:r>
      <w:r w:rsidRPr="00DE75FE">
        <w:rPr>
          <w:rFonts w:ascii="Arial" w:hAnsi="Arial" w:cs="Arial"/>
          <w:bCs/>
          <w:sz w:val="22"/>
          <w:szCs w:val="22"/>
          <w:lang w:val="fr-FR"/>
        </w:rPr>
        <w:t>. L</w:t>
      </w:r>
      <w:r w:rsidR="008E532B">
        <w:rPr>
          <w:rFonts w:ascii="Arial" w:hAnsi="Arial" w:cs="Arial"/>
          <w:bCs/>
          <w:sz w:val="22"/>
          <w:szCs w:val="22"/>
          <w:lang w:val="fr-FR"/>
        </w:rPr>
        <w:t>’</w:t>
      </w:r>
      <w:r w:rsidRPr="00DE75FE">
        <w:rPr>
          <w:rFonts w:ascii="Arial" w:hAnsi="Arial" w:cs="Arial"/>
          <w:bCs/>
          <w:sz w:val="22"/>
          <w:szCs w:val="22"/>
          <w:lang w:val="fr-FR"/>
        </w:rPr>
        <w:t>autre option</w:t>
      </w:r>
      <w:r>
        <w:rPr>
          <w:rFonts w:ascii="Arial" w:hAnsi="Arial" w:cs="Arial"/>
          <w:bCs/>
          <w:sz w:val="22"/>
          <w:szCs w:val="22"/>
          <w:lang w:val="fr-FR"/>
        </w:rPr>
        <w:t xml:space="preserve"> proposée, l</w:t>
      </w:r>
      <w:r w:rsidR="008E532B">
        <w:rPr>
          <w:rFonts w:ascii="Arial" w:hAnsi="Arial" w:cs="Arial"/>
          <w:bCs/>
          <w:sz w:val="22"/>
          <w:szCs w:val="22"/>
          <w:lang w:val="fr-FR"/>
        </w:rPr>
        <w:t>’</w:t>
      </w:r>
      <w:r>
        <w:rPr>
          <w:rFonts w:ascii="Arial" w:hAnsi="Arial" w:cs="Arial"/>
          <w:bCs/>
          <w:sz w:val="22"/>
          <w:szCs w:val="22"/>
          <w:lang w:val="fr-FR"/>
        </w:rPr>
        <w:t>option</w:t>
      </w:r>
      <w:r w:rsidRPr="00DE75FE">
        <w:rPr>
          <w:rFonts w:ascii="Arial" w:hAnsi="Arial" w:cs="Arial"/>
          <w:bCs/>
          <w:sz w:val="22"/>
          <w:szCs w:val="22"/>
          <w:lang w:val="fr-FR"/>
        </w:rPr>
        <w:t xml:space="preserve"> A</w:t>
      </w:r>
      <w:r>
        <w:rPr>
          <w:rFonts w:ascii="Arial" w:hAnsi="Arial" w:cs="Arial"/>
          <w:bCs/>
          <w:sz w:val="22"/>
          <w:szCs w:val="22"/>
          <w:lang w:val="fr-FR"/>
        </w:rPr>
        <w:t>,</w:t>
      </w:r>
      <w:r w:rsidRPr="00DE75FE">
        <w:rPr>
          <w:rFonts w:ascii="Arial" w:hAnsi="Arial" w:cs="Arial"/>
          <w:bCs/>
          <w:sz w:val="22"/>
          <w:szCs w:val="22"/>
          <w:lang w:val="fr-FR"/>
        </w:rPr>
        <w:t xml:space="preserve"> se</w:t>
      </w:r>
      <w:r>
        <w:rPr>
          <w:rFonts w:ascii="Arial" w:hAnsi="Arial" w:cs="Arial"/>
          <w:bCs/>
          <w:sz w:val="22"/>
          <w:szCs w:val="22"/>
          <w:lang w:val="fr-FR"/>
        </w:rPr>
        <w:t>rait ainsi rédigée</w:t>
      </w:r>
      <w:r w:rsidRPr="00DE75FE">
        <w:rPr>
          <w:rFonts w:ascii="Arial" w:hAnsi="Arial" w:cs="Arial"/>
          <w:bCs/>
          <w:sz w:val="22"/>
          <w:szCs w:val="22"/>
          <w:lang w:val="fr-FR"/>
        </w:rPr>
        <w:t xml:space="preserve"> : </w:t>
      </w:r>
      <w:r>
        <w:rPr>
          <w:rFonts w:ascii="Arial" w:hAnsi="Arial" w:cs="Arial"/>
          <w:bCs/>
          <w:sz w:val="22"/>
          <w:szCs w:val="22"/>
          <w:lang w:val="fr-FR"/>
        </w:rPr>
        <w:t>« </w:t>
      </w:r>
      <w:r w:rsidRPr="00DE75FE">
        <w:rPr>
          <w:rFonts w:ascii="Arial" w:hAnsi="Arial" w:cs="Arial"/>
          <w:bCs/>
          <w:sz w:val="22"/>
          <w:szCs w:val="22"/>
          <w:lang w:val="fr-FR"/>
        </w:rPr>
        <w:t xml:space="preserve">accrédite en outre </w:t>
      </w:r>
      <w:r>
        <w:rPr>
          <w:rFonts w:ascii="Arial" w:hAnsi="Arial" w:cs="Arial"/>
          <w:bCs/>
          <w:sz w:val="22"/>
          <w:szCs w:val="22"/>
          <w:lang w:val="fr-FR"/>
        </w:rPr>
        <w:t>“ </w:t>
      </w:r>
      <w:r w:rsidRPr="00D9653F">
        <w:rPr>
          <w:rFonts w:ascii="Arial" w:hAnsi="Arial" w:cs="Arial"/>
          <w:bCs/>
          <w:sz w:val="22"/>
          <w:szCs w:val="22"/>
          <w:lang w:val="fr-FR"/>
        </w:rPr>
        <w:t xml:space="preserve">Institute for Intangible Cultural </w:t>
      </w:r>
      <w:proofErr w:type="spellStart"/>
      <w:r w:rsidRPr="00D9653F">
        <w:rPr>
          <w:rFonts w:ascii="Arial" w:hAnsi="Arial" w:cs="Arial"/>
          <w:bCs/>
          <w:sz w:val="22"/>
          <w:szCs w:val="22"/>
          <w:lang w:val="fr-FR"/>
        </w:rPr>
        <w:t>Heritage</w:t>
      </w:r>
      <w:proofErr w:type="spellEnd"/>
      <w:r w:rsidRPr="00D9653F">
        <w:rPr>
          <w:rFonts w:ascii="Arial" w:hAnsi="Arial" w:cs="Arial"/>
          <w:sz w:val="22"/>
          <w:szCs w:val="22"/>
          <w:lang w:val="fr-FR"/>
        </w:rPr>
        <w:t xml:space="preserve"> </w:t>
      </w:r>
      <w:r w:rsidRPr="00D9653F">
        <w:rPr>
          <w:rFonts w:ascii="Arial" w:hAnsi="Arial" w:cs="Arial"/>
          <w:bCs/>
          <w:sz w:val="22"/>
          <w:szCs w:val="22"/>
          <w:lang w:val="fr-FR"/>
        </w:rPr>
        <w:t>IPACIM ”</w:t>
      </w:r>
      <w:r w:rsidRPr="00DE75FE">
        <w:rPr>
          <w:rFonts w:ascii="Arial" w:hAnsi="Arial" w:cs="Arial"/>
          <w:bCs/>
          <w:sz w:val="22"/>
          <w:szCs w:val="22"/>
          <w:lang w:val="fr-FR"/>
        </w:rPr>
        <w:t xml:space="preserve"> et </w:t>
      </w:r>
      <w:r>
        <w:rPr>
          <w:rFonts w:ascii="Arial" w:hAnsi="Arial" w:cs="Arial"/>
          <w:bCs/>
          <w:sz w:val="22"/>
          <w:szCs w:val="22"/>
          <w:lang w:val="fr-FR"/>
        </w:rPr>
        <w:t>“ </w:t>
      </w:r>
      <w:r w:rsidRPr="00D3285B">
        <w:rPr>
          <w:rFonts w:ascii="Arial" w:hAnsi="Arial" w:cs="Arial"/>
          <w:bCs/>
          <w:sz w:val="22"/>
          <w:szCs w:val="22"/>
          <w:lang w:val="fr-FR"/>
        </w:rPr>
        <w:t xml:space="preserve">Direct </w:t>
      </w:r>
      <w:proofErr w:type="spellStart"/>
      <w:r w:rsidRPr="00D3285B">
        <w:rPr>
          <w:rFonts w:ascii="Arial" w:hAnsi="Arial" w:cs="Arial"/>
          <w:bCs/>
          <w:sz w:val="22"/>
          <w:szCs w:val="22"/>
          <w:lang w:val="fr-FR"/>
        </w:rPr>
        <w:t>Gradual</w:t>
      </w:r>
      <w:proofErr w:type="spellEnd"/>
      <w:r w:rsidRPr="00D3285B">
        <w:rPr>
          <w:rFonts w:ascii="Arial" w:hAnsi="Arial" w:cs="Arial"/>
          <w:bCs/>
          <w:sz w:val="22"/>
          <w:szCs w:val="22"/>
          <w:lang w:val="fr-FR"/>
        </w:rPr>
        <w:t xml:space="preserve"> </w:t>
      </w:r>
      <w:proofErr w:type="spellStart"/>
      <w:r w:rsidRPr="00D3285B">
        <w:rPr>
          <w:rFonts w:ascii="Arial" w:hAnsi="Arial" w:cs="Arial"/>
          <w:bCs/>
          <w:sz w:val="22"/>
          <w:szCs w:val="22"/>
          <w:lang w:val="fr-FR"/>
        </w:rPr>
        <w:t>Development</w:t>
      </w:r>
      <w:proofErr w:type="spellEnd"/>
      <w:r w:rsidRPr="00D3285B">
        <w:rPr>
          <w:rFonts w:ascii="Arial" w:hAnsi="Arial" w:cs="Arial"/>
          <w:bCs/>
          <w:sz w:val="22"/>
          <w:szCs w:val="22"/>
          <w:lang w:val="fr-FR"/>
        </w:rPr>
        <w:t>, Civil Association</w:t>
      </w:r>
      <w:r>
        <w:rPr>
          <w:rFonts w:ascii="Arial" w:hAnsi="Arial" w:cs="Arial"/>
          <w:bCs/>
          <w:sz w:val="22"/>
          <w:szCs w:val="22"/>
          <w:lang w:val="fr-FR"/>
        </w:rPr>
        <w:t> ”</w:t>
      </w:r>
      <w:r w:rsidRPr="00DE75FE">
        <w:rPr>
          <w:rFonts w:ascii="Arial" w:hAnsi="Arial" w:cs="Arial"/>
          <w:bCs/>
          <w:sz w:val="22"/>
          <w:szCs w:val="22"/>
          <w:lang w:val="fr-FR"/>
        </w:rPr>
        <w:t xml:space="preserve"> </w:t>
      </w:r>
      <w:r>
        <w:rPr>
          <w:rFonts w:ascii="Arial" w:hAnsi="Arial" w:cs="Arial"/>
          <w:bCs/>
          <w:sz w:val="22"/>
          <w:szCs w:val="22"/>
          <w:lang w:val="fr-FR"/>
        </w:rPr>
        <w:t xml:space="preserve">pour exercer des fonctions </w:t>
      </w:r>
      <w:r w:rsidRPr="00F71060">
        <w:rPr>
          <w:rFonts w:ascii="Arial" w:hAnsi="Arial" w:cs="Arial"/>
          <w:bCs/>
          <w:sz w:val="22"/>
          <w:szCs w:val="22"/>
          <w:lang w:val="fr-FR"/>
        </w:rPr>
        <w:t>consultati</w:t>
      </w:r>
      <w:r>
        <w:rPr>
          <w:rFonts w:ascii="Arial" w:hAnsi="Arial" w:cs="Arial"/>
          <w:bCs/>
          <w:sz w:val="22"/>
          <w:szCs w:val="22"/>
          <w:lang w:val="fr-FR"/>
        </w:rPr>
        <w:t xml:space="preserve">ves </w:t>
      </w:r>
      <w:r w:rsidRPr="00DE75FE">
        <w:rPr>
          <w:rFonts w:ascii="Arial" w:hAnsi="Arial" w:cs="Arial"/>
          <w:bCs/>
          <w:sz w:val="22"/>
          <w:szCs w:val="22"/>
          <w:lang w:val="fr-FR"/>
        </w:rPr>
        <w:t>auprès du Comité</w:t>
      </w:r>
      <w:r>
        <w:rPr>
          <w:rFonts w:ascii="Arial" w:hAnsi="Arial" w:cs="Arial"/>
          <w:bCs/>
          <w:sz w:val="22"/>
          <w:szCs w:val="22"/>
          <w:lang w:val="fr-FR"/>
        </w:rPr>
        <w:t> »</w:t>
      </w:r>
      <w:r w:rsidRPr="00DE75FE">
        <w:rPr>
          <w:rFonts w:ascii="Arial" w:hAnsi="Arial" w:cs="Arial"/>
          <w:bCs/>
          <w:sz w:val="22"/>
          <w:szCs w:val="22"/>
          <w:lang w:val="fr-FR"/>
        </w:rPr>
        <w:t>.</w:t>
      </w:r>
    </w:p>
    <w:p w14:paraId="17B1EF7D" w14:textId="5B55BF8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71060">
        <w:rPr>
          <w:rFonts w:ascii="Arial" w:hAnsi="Arial" w:cs="Arial"/>
          <w:bCs/>
          <w:sz w:val="22"/>
          <w:szCs w:val="22"/>
          <w:lang w:val="fr-FR"/>
        </w:rPr>
        <w:t xml:space="preserve">La délégation du </w:t>
      </w:r>
      <w:r w:rsidRPr="00F71060">
        <w:rPr>
          <w:rFonts w:ascii="Arial" w:hAnsi="Arial" w:cs="Arial"/>
          <w:b/>
          <w:sz w:val="22"/>
          <w:szCs w:val="22"/>
          <w:lang w:val="fr-FR"/>
        </w:rPr>
        <w:t>Panama</w:t>
      </w:r>
      <w:r w:rsidRPr="00F71060">
        <w:rPr>
          <w:rFonts w:ascii="Arial" w:hAnsi="Arial" w:cs="Arial"/>
          <w:bCs/>
          <w:sz w:val="22"/>
          <w:szCs w:val="22"/>
          <w:lang w:val="fr-FR"/>
        </w:rPr>
        <w:t xml:space="preserve"> a fait remarquer que l</w:t>
      </w:r>
      <w:r w:rsidR="008E532B">
        <w:rPr>
          <w:rFonts w:ascii="Arial" w:hAnsi="Arial" w:cs="Arial"/>
          <w:bCs/>
          <w:sz w:val="22"/>
          <w:szCs w:val="22"/>
          <w:lang w:val="fr-FR"/>
        </w:rPr>
        <w:t>’</w:t>
      </w:r>
      <w:r w:rsidRPr="00F71060">
        <w:rPr>
          <w:rFonts w:ascii="Arial" w:hAnsi="Arial" w:cs="Arial"/>
          <w:bCs/>
          <w:sz w:val="22"/>
          <w:szCs w:val="22"/>
          <w:lang w:val="fr-FR"/>
        </w:rPr>
        <w:t>option A n</w:t>
      </w:r>
      <w:r w:rsidR="008E532B">
        <w:rPr>
          <w:rFonts w:ascii="Arial" w:hAnsi="Arial" w:cs="Arial"/>
          <w:bCs/>
          <w:sz w:val="22"/>
          <w:szCs w:val="22"/>
          <w:lang w:val="fr-FR"/>
        </w:rPr>
        <w:t>’</w:t>
      </w:r>
      <w:r w:rsidRPr="00F71060">
        <w:rPr>
          <w:rFonts w:ascii="Arial" w:hAnsi="Arial" w:cs="Arial"/>
          <w:bCs/>
          <w:sz w:val="22"/>
          <w:szCs w:val="22"/>
          <w:lang w:val="fr-FR"/>
        </w:rPr>
        <w:t>avait plus lieu d</w:t>
      </w:r>
      <w:r w:rsidR="008E532B">
        <w:rPr>
          <w:rFonts w:ascii="Arial" w:hAnsi="Arial" w:cs="Arial"/>
          <w:bCs/>
          <w:sz w:val="22"/>
          <w:szCs w:val="22"/>
          <w:lang w:val="fr-FR"/>
        </w:rPr>
        <w:t>’</w:t>
      </w:r>
      <w:r w:rsidRPr="00F71060">
        <w:rPr>
          <w:rFonts w:ascii="Arial" w:hAnsi="Arial" w:cs="Arial"/>
          <w:bCs/>
          <w:sz w:val="22"/>
          <w:szCs w:val="22"/>
          <w:lang w:val="fr-FR"/>
        </w:rPr>
        <w:t>être, puisque la discussion portait sur la proposition du Mexique, qui t</w:t>
      </w:r>
      <w:r>
        <w:rPr>
          <w:rFonts w:ascii="Arial" w:hAnsi="Arial" w:cs="Arial"/>
          <w:bCs/>
          <w:sz w:val="22"/>
          <w:szCs w:val="22"/>
          <w:lang w:val="fr-FR"/>
        </w:rPr>
        <w:t>enait</w:t>
      </w:r>
      <w:r w:rsidRPr="00F71060">
        <w:rPr>
          <w:rFonts w:ascii="Arial" w:hAnsi="Arial" w:cs="Arial"/>
          <w:bCs/>
          <w:sz w:val="22"/>
          <w:szCs w:val="22"/>
          <w:lang w:val="fr-FR"/>
        </w:rPr>
        <w:t xml:space="preserve"> déjà compte de l</w:t>
      </w:r>
      <w:r w:rsidR="008E532B">
        <w:rPr>
          <w:rFonts w:ascii="Arial" w:hAnsi="Arial" w:cs="Arial"/>
          <w:bCs/>
          <w:sz w:val="22"/>
          <w:szCs w:val="22"/>
          <w:lang w:val="fr-FR"/>
        </w:rPr>
        <w:t>’</w:t>
      </w:r>
      <w:r w:rsidRPr="00F71060">
        <w:rPr>
          <w:rFonts w:ascii="Arial" w:hAnsi="Arial" w:cs="Arial"/>
          <w:bCs/>
          <w:sz w:val="22"/>
          <w:szCs w:val="22"/>
          <w:lang w:val="fr-FR"/>
        </w:rPr>
        <w:t>option A. Elle a donc suggéré de supprimer l</w:t>
      </w:r>
      <w:r w:rsidR="008E532B">
        <w:rPr>
          <w:rFonts w:ascii="Arial" w:hAnsi="Arial" w:cs="Arial"/>
          <w:bCs/>
          <w:sz w:val="22"/>
          <w:szCs w:val="22"/>
          <w:lang w:val="fr-FR"/>
        </w:rPr>
        <w:t>’</w:t>
      </w:r>
      <w:r w:rsidRPr="00F71060">
        <w:rPr>
          <w:rFonts w:ascii="Arial" w:hAnsi="Arial" w:cs="Arial"/>
          <w:bCs/>
          <w:sz w:val="22"/>
          <w:szCs w:val="22"/>
          <w:lang w:val="fr-FR"/>
        </w:rPr>
        <w:t>option A et de laisser la proposition du Mexique à l</w:t>
      </w:r>
      <w:r w:rsidR="008E532B">
        <w:rPr>
          <w:rFonts w:ascii="Arial" w:hAnsi="Arial" w:cs="Arial"/>
          <w:bCs/>
          <w:sz w:val="22"/>
          <w:szCs w:val="22"/>
          <w:lang w:val="fr-FR"/>
        </w:rPr>
        <w:t>’</w:t>
      </w:r>
      <w:r w:rsidRPr="00F71060">
        <w:rPr>
          <w:rFonts w:ascii="Arial" w:hAnsi="Arial" w:cs="Arial"/>
          <w:bCs/>
          <w:sz w:val="22"/>
          <w:szCs w:val="22"/>
          <w:lang w:val="fr-FR"/>
        </w:rPr>
        <w:t>écran.</w:t>
      </w:r>
    </w:p>
    <w:p w14:paraId="203D49FB" w14:textId="03A0AE0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71060">
        <w:rPr>
          <w:rFonts w:ascii="Arial" w:hAnsi="Arial" w:cs="Arial"/>
          <w:b/>
          <w:sz w:val="22"/>
          <w:szCs w:val="22"/>
          <w:lang w:val="fr-FR"/>
        </w:rPr>
        <w:t>Présidente</w:t>
      </w:r>
      <w:r>
        <w:rPr>
          <w:rFonts w:ascii="Arial" w:hAnsi="Arial" w:cs="Arial"/>
          <w:bCs/>
          <w:sz w:val="22"/>
          <w:szCs w:val="22"/>
          <w:lang w:val="fr-FR"/>
        </w:rPr>
        <w:t xml:space="preserve"> a signalé une motion d</w:t>
      </w:r>
      <w:r w:rsidR="008E532B">
        <w:rPr>
          <w:rFonts w:ascii="Arial" w:hAnsi="Arial" w:cs="Arial"/>
          <w:bCs/>
          <w:sz w:val="22"/>
          <w:szCs w:val="22"/>
          <w:lang w:val="fr-FR"/>
        </w:rPr>
        <w:t>’</w:t>
      </w:r>
      <w:r>
        <w:rPr>
          <w:rFonts w:ascii="Arial" w:hAnsi="Arial" w:cs="Arial"/>
          <w:bCs/>
          <w:sz w:val="22"/>
          <w:szCs w:val="22"/>
          <w:lang w:val="fr-FR"/>
        </w:rPr>
        <w:t>ordre de la part de la République bolivarienne du Venezuela.</w:t>
      </w:r>
    </w:p>
    <w:p w14:paraId="6A4BE52B" w14:textId="3638021B" w:rsidR="00D9653F" w:rsidRPr="00F71060"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71060">
        <w:rPr>
          <w:rFonts w:ascii="Arial" w:hAnsi="Arial" w:cs="Arial"/>
          <w:bCs/>
          <w:sz w:val="22"/>
          <w:szCs w:val="22"/>
          <w:lang w:val="fr-FR"/>
        </w:rPr>
        <w:t>La délégation d</w:t>
      </w:r>
      <w:r>
        <w:rPr>
          <w:rFonts w:ascii="Arial" w:hAnsi="Arial" w:cs="Arial"/>
          <w:bCs/>
          <w:sz w:val="22"/>
          <w:szCs w:val="22"/>
          <w:lang w:val="fr-FR"/>
        </w:rPr>
        <w:t xml:space="preserve">e la </w:t>
      </w:r>
      <w:r w:rsidRPr="006D154E">
        <w:rPr>
          <w:rFonts w:ascii="Arial" w:hAnsi="Arial" w:cs="Arial"/>
          <w:b/>
          <w:sz w:val="22"/>
          <w:szCs w:val="22"/>
          <w:lang w:val="fr-FR"/>
        </w:rPr>
        <w:t>République bolivarienne du Venezuela</w:t>
      </w:r>
      <w:r w:rsidRPr="00F71060">
        <w:rPr>
          <w:rFonts w:ascii="Arial" w:hAnsi="Arial" w:cs="Arial"/>
          <w:bCs/>
          <w:sz w:val="22"/>
          <w:szCs w:val="22"/>
          <w:lang w:val="fr-FR"/>
        </w:rPr>
        <w:t xml:space="preserve"> </w:t>
      </w:r>
      <w:r>
        <w:rPr>
          <w:rFonts w:ascii="Arial" w:hAnsi="Arial" w:cs="Arial"/>
          <w:bCs/>
          <w:sz w:val="22"/>
          <w:szCs w:val="22"/>
          <w:lang w:val="fr-FR"/>
        </w:rPr>
        <w:t xml:space="preserve">a </w:t>
      </w:r>
      <w:r w:rsidRPr="00F71060">
        <w:rPr>
          <w:rFonts w:ascii="Arial" w:hAnsi="Arial" w:cs="Arial"/>
          <w:bCs/>
          <w:sz w:val="22"/>
          <w:szCs w:val="22"/>
          <w:lang w:val="fr-FR"/>
        </w:rPr>
        <w:t>demand</w:t>
      </w:r>
      <w:r>
        <w:rPr>
          <w:rFonts w:ascii="Arial" w:hAnsi="Arial" w:cs="Arial"/>
          <w:bCs/>
          <w:sz w:val="22"/>
          <w:szCs w:val="22"/>
          <w:lang w:val="fr-FR"/>
        </w:rPr>
        <w:t>é</w:t>
      </w:r>
      <w:r w:rsidRPr="00F71060">
        <w:rPr>
          <w:rFonts w:ascii="Arial" w:hAnsi="Arial" w:cs="Arial"/>
          <w:bCs/>
          <w:sz w:val="22"/>
          <w:szCs w:val="22"/>
          <w:lang w:val="fr-FR"/>
        </w:rPr>
        <w:t xml:space="preserve"> au Secrétariat de </w:t>
      </w:r>
      <w:r>
        <w:rPr>
          <w:rFonts w:ascii="Arial" w:hAnsi="Arial" w:cs="Arial"/>
          <w:bCs/>
          <w:sz w:val="22"/>
          <w:szCs w:val="22"/>
          <w:lang w:val="fr-FR"/>
        </w:rPr>
        <w:t xml:space="preserve">mettre au propre </w:t>
      </w:r>
      <w:r w:rsidRPr="00F71060">
        <w:rPr>
          <w:rFonts w:ascii="Arial" w:hAnsi="Arial" w:cs="Arial"/>
          <w:bCs/>
          <w:sz w:val="22"/>
          <w:szCs w:val="22"/>
          <w:lang w:val="fr-FR"/>
        </w:rPr>
        <w:t xml:space="preserve">le texte du projet de décision projeté </w:t>
      </w:r>
      <w:r>
        <w:rPr>
          <w:rFonts w:ascii="Arial" w:hAnsi="Arial" w:cs="Arial"/>
          <w:bCs/>
          <w:sz w:val="22"/>
          <w:szCs w:val="22"/>
          <w:lang w:val="fr-FR"/>
        </w:rPr>
        <w:t xml:space="preserve">à </w:t>
      </w:r>
      <w:r w:rsidRPr="00F71060">
        <w:rPr>
          <w:rFonts w:ascii="Arial" w:hAnsi="Arial" w:cs="Arial"/>
          <w:bCs/>
          <w:sz w:val="22"/>
          <w:szCs w:val="22"/>
          <w:lang w:val="fr-FR"/>
        </w:rPr>
        <w:t>l</w:t>
      </w:r>
      <w:r w:rsidR="008E532B">
        <w:rPr>
          <w:rFonts w:ascii="Arial" w:hAnsi="Arial" w:cs="Arial"/>
          <w:bCs/>
          <w:sz w:val="22"/>
          <w:szCs w:val="22"/>
          <w:lang w:val="fr-FR"/>
        </w:rPr>
        <w:t>’</w:t>
      </w:r>
      <w:r w:rsidRPr="00F71060">
        <w:rPr>
          <w:rFonts w:ascii="Arial" w:hAnsi="Arial" w:cs="Arial"/>
          <w:bCs/>
          <w:sz w:val="22"/>
          <w:szCs w:val="22"/>
          <w:lang w:val="fr-FR"/>
        </w:rPr>
        <w:t>écran et d</w:t>
      </w:r>
      <w:r w:rsidR="008E532B">
        <w:rPr>
          <w:rFonts w:ascii="Arial" w:hAnsi="Arial" w:cs="Arial"/>
          <w:bCs/>
          <w:sz w:val="22"/>
          <w:szCs w:val="22"/>
          <w:lang w:val="fr-FR"/>
        </w:rPr>
        <w:t>’</w:t>
      </w:r>
      <w:r w:rsidRPr="00F71060">
        <w:rPr>
          <w:rFonts w:ascii="Arial" w:hAnsi="Arial" w:cs="Arial"/>
          <w:bCs/>
          <w:sz w:val="22"/>
          <w:szCs w:val="22"/>
          <w:lang w:val="fr-FR"/>
        </w:rPr>
        <w:t>é</w:t>
      </w:r>
      <w:r>
        <w:rPr>
          <w:rFonts w:ascii="Arial" w:hAnsi="Arial" w:cs="Arial"/>
          <w:bCs/>
          <w:sz w:val="22"/>
          <w:szCs w:val="22"/>
          <w:lang w:val="fr-FR"/>
        </w:rPr>
        <w:t>tablir la liste</w:t>
      </w:r>
      <w:r w:rsidRPr="00F71060">
        <w:rPr>
          <w:rFonts w:ascii="Arial" w:hAnsi="Arial" w:cs="Arial"/>
          <w:bCs/>
          <w:sz w:val="22"/>
          <w:szCs w:val="22"/>
          <w:lang w:val="fr-FR"/>
        </w:rPr>
        <w:t xml:space="preserve"> </w:t>
      </w:r>
      <w:r>
        <w:rPr>
          <w:rFonts w:ascii="Arial" w:hAnsi="Arial" w:cs="Arial"/>
          <w:bCs/>
          <w:sz w:val="22"/>
          <w:szCs w:val="22"/>
          <w:lang w:val="fr-FR"/>
        </w:rPr>
        <w:t>d</w:t>
      </w:r>
      <w:r w:rsidRPr="00F71060">
        <w:rPr>
          <w:rFonts w:ascii="Arial" w:hAnsi="Arial" w:cs="Arial"/>
          <w:bCs/>
          <w:sz w:val="22"/>
          <w:szCs w:val="22"/>
          <w:lang w:val="fr-FR"/>
        </w:rPr>
        <w:t>es pays qui souten</w:t>
      </w:r>
      <w:r>
        <w:rPr>
          <w:rFonts w:ascii="Arial" w:hAnsi="Arial" w:cs="Arial"/>
          <w:bCs/>
          <w:sz w:val="22"/>
          <w:szCs w:val="22"/>
          <w:lang w:val="fr-FR"/>
        </w:rPr>
        <w:t>aient</w:t>
      </w:r>
      <w:r w:rsidRPr="00F71060">
        <w:rPr>
          <w:rFonts w:ascii="Arial" w:hAnsi="Arial" w:cs="Arial"/>
          <w:bCs/>
          <w:sz w:val="22"/>
          <w:szCs w:val="22"/>
          <w:lang w:val="fr-FR"/>
        </w:rPr>
        <w:t xml:space="preserve"> la proposition du Mexique, </w:t>
      </w:r>
      <w:r>
        <w:rPr>
          <w:rFonts w:ascii="Arial" w:hAnsi="Arial" w:cs="Arial"/>
          <w:bCs/>
          <w:sz w:val="22"/>
          <w:szCs w:val="22"/>
          <w:lang w:val="fr-FR"/>
        </w:rPr>
        <w:t>et d</w:t>
      </w:r>
      <w:r w:rsidR="008E532B">
        <w:rPr>
          <w:rFonts w:ascii="Arial" w:hAnsi="Arial" w:cs="Arial"/>
          <w:bCs/>
          <w:sz w:val="22"/>
          <w:szCs w:val="22"/>
          <w:lang w:val="fr-FR"/>
        </w:rPr>
        <w:t>’</w:t>
      </w:r>
      <w:r>
        <w:rPr>
          <w:rFonts w:ascii="Arial" w:hAnsi="Arial" w:cs="Arial"/>
          <w:bCs/>
          <w:sz w:val="22"/>
          <w:szCs w:val="22"/>
          <w:lang w:val="fr-FR"/>
        </w:rPr>
        <w:t xml:space="preserve">en faire de même </w:t>
      </w:r>
      <w:r w:rsidRPr="00F71060">
        <w:rPr>
          <w:rFonts w:ascii="Arial" w:hAnsi="Arial" w:cs="Arial"/>
          <w:bCs/>
          <w:sz w:val="22"/>
          <w:szCs w:val="22"/>
          <w:lang w:val="fr-FR"/>
        </w:rPr>
        <w:t>pour l</w:t>
      </w:r>
      <w:r w:rsidR="008E532B">
        <w:rPr>
          <w:rFonts w:ascii="Arial" w:hAnsi="Arial" w:cs="Arial"/>
          <w:bCs/>
          <w:sz w:val="22"/>
          <w:szCs w:val="22"/>
          <w:lang w:val="fr-FR"/>
        </w:rPr>
        <w:t>’</w:t>
      </w:r>
      <w:r w:rsidRPr="00F71060">
        <w:rPr>
          <w:rFonts w:ascii="Arial" w:hAnsi="Arial" w:cs="Arial"/>
          <w:bCs/>
          <w:sz w:val="22"/>
          <w:szCs w:val="22"/>
          <w:lang w:val="fr-FR"/>
        </w:rPr>
        <w:t>autre option</w:t>
      </w:r>
      <w:r>
        <w:rPr>
          <w:rFonts w:ascii="Arial" w:hAnsi="Arial" w:cs="Arial"/>
          <w:bCs/>
          <w:sz w:val="22"/>
          <w:szCs w:val="22"/>
          <w:lang w:val="fr-FR"/>
        </w:rPr>
        <w:t>, l</w:t>
      </w:r>
      <w:r w:rsidR="008E532B">
        <w:rPr>
          <w:rFonts w:ascii="Arial" w:hAnsi="Arial" w:cs="Arial"/>
          <w:bCs/>
          <w:sz w:val="22"/>
          <w:szCs w:val="22"/>
          <w:lang w:val="fr-FR"/>
        </w:rPr>
        <w:t>’</w:t>
      </w:r>
      <w:r>
        <w:rPr>
          <w:rFonts w:ascii="Arial" w:hAnsi="Arial" w:cs="Arial"/>
          <w:bCs/>
          <w:sz w:val="22"/>
          <w:szCs w:val="22"/>
          <w:lang w:val="fr-FR"/>
        </w:rPr>
        <w:t>option</w:t>
      </w:r>
      <w:r w:rsidRPr="00F71060">
        <w:rPr>
          <w:rFonts w:ascii="Arial" w:hAnsi="Arial" w:cs="Arial"/>
          <w:bCs/>
          <w:sz w:val="22"/>
          <w:szCs w:val="22"/>
          <w:lang w:val="fr-FR"/>
        </w:rPr>
        <w:t xml:space="preserve"> A. L</w:t>
      </w:r>
      <w:r w:rsidR="008E532B">
        <w:rPr>
          <w:rFonts w:ascii="Arial" w:hAnsi="Arial" w:cs="Arial"/>
          <w:bCs/>
          <w:sz w:val="22"/>
          <w:szCs w:val="22"/>
          <w:lang w:val="fr-FR"/>
        </w:rPr>
        <w:t>’</w:t>
      </w:r>
      <w:r w:rsidRPr="00F71060">
        <w:rPr>
          <w:rFonts w:ascii="Arial" w:hAnsi="Arial" w:cs="Arial"/>
          <w:bCs/>
          <w:sz w:val="22"/>
          <w:szCs w:val="22"/>
          <w:lang w:val="fr-FR"/>
        </w:rPr>
        <w:t>Assemblée se prononcera</w:t>
      </w:r>
      <w:r>
        <w:rPr>
          <w:rFonts w:ascii="Arial" w:hAnsi="Arial" w:cs="Arial"/>
          <w:bCs/>
          <w:sz w:val="22"/>
          <w:szCs w:val="22"/>
          <w:lang w:val="fr-FR"/>
        </w:rPr>
        <w:t>it</w:t>
      </w:r>
      <w:r w:rsidRPr="00F71060">
        <w:rPr>
          <w:rFonts w:ascii="Arial" w:hAnsi="Arial" w:cs="Arial"/>
          <w:bCs/>
          <w:sz w:val="22"/>
          <w:szCs w:val="22"/>
          <w:lang w:val="fr-FR"/>
        </w:rPr>
        <w:t xml:space="preserve"> ensuite sur les paragraphes tels qu</w:t>
      </w:r>
      <w:r w:rsidR="008E532B">
        <w:rPr>
          <w:rFonts w:ascii="Arial" w:hAnsi="Arial" w:cs="Arial"/>
          <w:bCs/>
          <w:sz w:val="22"/>
          <w:szCs w:val="22"/>
          <w:lang w:val="fr-FR"/>
        </w:rPr>
        <w:t>’</w:t>
      </w:r>
      <w:r w:rsidRPr="00F71060">
        <w:rPr>
          <w:rFonts w:ascii="Arial" w:hAnsi="Arial" w:cs="Arial"/>
          <w:bCs/>
          <w:sz w:val="22"/>
          <w:szCs w:val="22"/>
          <w:lang w:val="fr-FR"/>
        </w:rPr>
        <w:t>ils apparaiss</w:t>
      </w:r>
      <w:r>
        <w:rPr>
          <w:rFonts w:ascii="Arial" w:hAnsi="Arial" w:cs="Arial"/>
          <w:bCs/>
          <w:sz w:val="22"/>
          <w:szCs w:val="22"/>
          <w:lang w:val="fr-FR"/>
        </w:rPr>
        <w:t>ai</w:t>
      </w:r>
      <w:r w:rsidRPr="00F71060">
        <w:rPr>
          <w:rFonts w:ascii="Arial" w:hAnsi="Arial" w:cs="Arial"/>
          <w:bCs/>
          <w:sz w:val="22"/>
          <w:szCs w:val="22"/>
          <w:lang w:val="fr-FR"/>
        </w:rPr>
        <w:t>ent.</w:t>
      </w:r>
    </w:p>
    <w:p w14:paraId="7CA38B4B" w14:textId="547E55F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95D6E">
        <w:rPr>
          <w:rFonts w:ascii="Arial" w:hAnsi="Arial" w:cs="Arial"/>
          <w:bCs/>
          <w:sz w:val="22"/>
          <w:szCs w:val="22"/>
          <w:lang w:val="fr-FR"/>
        </w:rPr>
        <w:t xml:space="preserve">Le </w:t>
      </w:r>
      <w:r w:rsidRPr="00695D6E">
        <w:rPr>
          <w:rFonts w:ascii="Arial" w:hAnsi="Arial" w:cs="Arial"/>
          <w:b/>
          <w:sz w:val="22"/>
          <w:szCs w:val="22"/>
          <w:lang w:val="fr-FR"/>
        </w:rPr>
        <w:t>Sous-Directeur général</w:t>
      </w:r>
      <w:r w:rsidRPr="00695D6E">
        <w:rPr>
          <w:rFonts w:ascii="Arial" w:hAnsi="Arial" w:cs="Arial"/>
          <w:bCs/>
          <w:sz w:val="22"/>
          <w:szCs w:val="22"/>
          <w:lang w:val="fr-FR"/>
        </w:rPr>
        <w:t xml:space="preserve"> </w:t>
      </w:r>
      <w:r>
        <w:rPr>
          <w:rFonts w:ascii="Arial" w:hAnsi="Arial" w:cs="Arial"/>
          <w:bCs/>
          <w:sz w:val="22"/>
          <w:szCs w:val="22"/>
          <w:lang w:val="fr-FR"/>
        </w:rPr>
        <w:t xml:space="preserve">a </w:t>
      </w:r>
      <w:r w:rsidRPr="00695D6E">
        <w:rPr>
          <w:rFonts w:ascii="Arial" w:hAnsi="Arial" w:cs="Arial"/>
          <w:bCs/>
          <w:sz w:val="22"/>
          <w:szCs w:val="22"/>
          <w:lang w:val="fr-FR"/>
        </w:rPr>
        <w:t xml:space="preserve">fait remarquer </w:t>
      </w:r>
      <w:r>
        <w:rPr>
          <w:rFonts w:ascii="Arial" w:hAnsi="Arial" w:cs="Arial"/>
          <w:bCs/>
          <w:sz w:val="22"/>
          <w:szCs w:val="22"/>
          <w:lang w:val="fr-FR"/>
        </w:rPr>
        <w:t xml:space="preserve">que </w:t>
      </w:r>
      <w:r w:rsidRPr="00695D6E">
        <w:rPr>
          <w:rFonts w:ascii="Arial" w:hAnsi="Arial" w:cs="Arial"/>
          <w:bCs/>
          <w:sz w:val="22"/>
          <w:szCs w:val="22"/>
          <w:lang w:val="fr-FR"/>
        </w:rPr>
        <w:t>la première motion d</w:t>
      </w:r>
      <w:r w:rsidR="008E532B">
        <w:rPr>
          <w:rFonts w:ascii="Arial" w:hAnsi="Arial" w:cs="Arial"/>
          <w:bCs/>
          <w:sz w:val="22"/>
          <w:szCs w:val="22"/>
          <w:lang w:val="fr-FR"/>
        </w:rPr>
        <w:t>’</w:t>
      </w:r>
      <w:r w:rsidRPr="00695D6E">
        <w:rPr>
          <w:rFonts w:ascii="Arial" w:hAnsi="Arial" w:cs="Arial"/>
          <w:bCs/>
          <w:sz w:val="22"/>
          <w:szCs w:val="22"/>
          <w:lang w:val="fr-FR"/>
        </w:rPr>
        <w:t>ordre</w:t>
      </w:r>
      <w:r>
        <w:rPr>
          <w:rFonts w:ascii="Arial" w:hAnsi="Arial" w:cs="Arial"/>
          <w:bCs/>
          <w:sz w:val="22"/>
          <w:szCs w:val="22"/>
          <w:lang w:val="fr-FR"/>
        </w:rPr>
        <w:t xml:space="preserve"> avait été accordée au Panama</w:t>
      </w:r>
      <w:r w:rsidRPr="00695D6E">
        <w:rPr>
          <w:rFonts w:ascii="Arial" w:hAnsi="Arial" w:cs="Arial"/>
          <w:bCs/>
          <w:sz w:val="22"/>
          <w:szCs w:val="22"/>
          <w:lang w:val="fr-FR"/>
        </w:rPr>
        <w:t>. La Présidente a</w:t>
      </w:r>
      <w:r>
        <w:rPr>
          <w:rFonts w:ascii="Arial" w:hAnsi="Arial" w:cs="Arial"/>
          <w:bCs/>
          <w:sz w:val="22"/>
          <w:szCs w:val="22"/>
          <w:lang w:val="fr-FR"/>
        </w:rPr>
        <w:t>vait</w:t>
      </w:r>
      <w:r w:rsidRPr="00695D6E">
        <w:rPr>
          <w:rFonts w:ascii="Arial" w:hAnsi="Arial" w:cs="Arial"/>
          <w:bCs/>
          <w:sz w:val="22"/>
          <w:szCs w:val="22"/>
          <w:lang w:val="fr-FR"/>
        </w:rPr>
        <w:t xml:space="preserve"> décidé de faciliter la présentation du projet de décision à l</w:t>
      </w:r>
      <w:r w:rsidR="008E532B">
        <w:rPr>
          <w:rFonts w:ascii="Arial" w:hAnsi="Arial" w:cs="Arial"/>
          <w:bCs/>
          <w:sz w:val="22"/>
          <w:szCs w:val="22"/>
          <w:lang w:val="fr-FR"/>
        </w:rPr>
        <w:t>’</w:t>
      </w:r>
      <w:r w:rsidRPr="00695D6E">
        <w:rPr>
          <w:rFonts w:ascii="Arial" w:hAnsi="Arial" w:cs="Arial"/>
          <w:bCs/>
          <w:sz w:val="22"/>
          <w:szCs w:val="22"/>
          <w:lang w:val="fr-FR"/>
        </w:rPr>
        <w:t xml:space="preserve">écran en faisant ressortir les deux versions dans des couleurs différentes. La liste complète des pays soutenant les deux versions </w:t>
      </w:r>
      <w:r>
        <w:rPr>
          <w:rFonts w:ascii="Arial" w:hAnsi="Arial" w:cs="Arial"/>
          <w:bCs/>
          <w:sz w:val="22"/>
          <w:szCs w:val="22"/>
          <w:lang w:val="fr-FR"/>
        </w:rPr>
        <w:t>était</w:t>
      </w:r>
      <w:r w:rsidRPr="00695D6E">
        <w:rPr>
          <w:rFonts w:ascii="Arial" w:hAnsi="Arial" w:cs="Arial"/>
          <w:bCs/>
          <w:sz w:val="22"/>
          <w:szCs w:val="22"/>
          <w:lang w:val="fr-FR"/>
        </w:rPr>
        <w:t xml:space="preserve"> réintroduite dans le projet de décision </w:t>
      </w:r>
      <w:r>
        <w:rPr>
          <w:rFonts w:ascii="Arial" w:hAnsi="Arial" w:cs="Arial"/>
          <w:bCs/>
          <w:sz w:val="22"/>
          <w:szCs w:val="22"/>
          <w:lang w:val="fr-FR"/>
        </w:rPr>
        <w:t>à</w:t>
      </w:r>
      <w:r w:rsidRPr="00695D6E">
        <w:rPr>
          <w:rFonts w:ascii="Arial" w:hAnsi="Arial" w:cs="Arial"/>
          <w:bCs/>
          <w:sz w:val="22"/>
          <w:szCs w:val="22"/>
          <w:lang w:val="fr-FR"/>
        </w:rPr>
        <w:t xml:space="preserve"> l</w:t>
      </w:r>
      <w:r w:rsidR="008E532B">
        <w:rPr>
          <w:rFonts w:ascii="Arial" w:hAnsi="Arial" w:cs="Arial"/>
          <w:bCs/>
          <w:sz w:val="22"/>
          <w:szCs w:val="22"/>
          <w:lang w:val="fr-FR"/>
        </w:rPr>
        <w:t>’</w:t>
      </w:r>
      <w:r w:rsidRPr="00695D6E">
        <w:rPr>
          <w:rFonts w:ascii="Arial" w:hAnsi="Arial" w:cs="Arial"/>
          <w:bCs/>
          <w:sz w:val="22"/>
          <w:szCs w:val="22"/>
          <w:lang w:val="fr-FR"/>
        </w:rPr>
        <w:t>écran.</w:t>
      </w:r>
    </w:p>
    <w:p w14:paraId="2923B2EF" w14:textId="494DEBF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95D6E">
        <w:rPr>
          <w:rFonts w:ascii="Arial" w:hAnsi="Arial" w:cs="Arial"/>
          <w:bCs/>
          <w:sz w:val="22"/>
          <w:szCs w:val="22"/>
          <w:lang w:val="fr-FR"/>
        </w:rPr>
        <w:t xml:space="preserve">La délégation de la </w:t>
      </w:r>
      <w:r w:rsidRPr="00695D6E">
        <w:rPr>
          <w:rFonts w:ascii="Arial" w:hAnsi="Arial" w:cs="Arial"/>
          <w:b/>
          <w:sz w:val="22"/>
          <w:szCs w:val="22"/>
          <w:lang w:val="fr-FR"/>
        </w:rPr>
        <w:t>Colombie</w:t>
      </w:r>
      <w:r w:rsidRPr="00695D6E">
        <w:rPr>
          <w:rFonts w:ascii="Arial" w:hAnsi="Arial" w:cs="Arial"/>
          <w:bCs/>
          <w:sz w:val="22"/>
          <w:szCs w:val="22"/>
          <w:lang w:val="fr-FR"/>
        </w:rPr>
        <w:t xml:space="preserve"> a demandé au Mexique de réitérer son explication et de </w:t>
      </w:r>
      <w:r>
        <w:rPr>
          <w:rFonts w:ascii="Arial" w:hAnsi="Arial" w:cs="Arial"/>
          <w:bCs/>
          <w:sz w:val="22"/>
          <w:szCs w:val="22"/>
          <w:lang w:val="fr-FR"/>
        </w:rPr>
        <w:t xml:space="preserve">donner </w:t>
      </w:r>
      <w:r w:rsidRPr="00695D6E">
        <w:rPr>
          <w:rFonts w:ascii="Arial" w:hAnsi="Arial" w:cs="Arial"/>
          <w:bCs/>
          <w:sz w:val="22"/>
          <w:szCs w:val="22"/>
          <w:lang w:val="fr-FR"/>
        </w:rPr>
        <w:t>un</w:t>
      </w:r>
      <w:r>
        <w:rPr>
          <w:rFonts w:ascii="Arial" w:hAnsi="Arial" w:cs="Arial"/>
          <w:bCs/>
          <w:sz w:val="22"/>
          <w:szCs w:val="22"/>
          <w:lang w:val="fr-FR"/>
        </w:rPr>
        <w:t xml:space="preserve"> </w:t>
      </w:r>
      <w:r w:rsidRPr="00695D6E">
        <w:rPr>
          <w:rFonts w:ascii="Arial" w:hAnsi="Arial" w:cs="Arial"/>
          <w:bCs/>
          <w:sz w:val="22"/>
          <w:szCs w:val="22"/>
          <w:lang w:val="fr-FR"/>
        </w:rPr>
        <w:t>éclaircissement</w:t>
      </w:r>
      <w:r>
        <w:rPr>
          <w:rFonts w:ascii="Arial" w:hAnsi="Arial" w:cs="Arial"/>
          <w:bCs/>
          <w:sz w:val="22"/>
          <w:szCs w:val="22"/>
          <w:lang w:val="fr-FR"/>
        </w:rPr>
        <w:t xml:space="preserve"> sur </w:t>
      </w:r>
      <w:r w:rsidRPr="00695D6E">
        <w:rPr>
          <w:rFonts w:ascii="Arial" w:hAnsi="Arial" w:cs="Arial"/>
          <w:bCs/>
          <w:sz w:val="22"/>
          <w:szCs w:val="22"/>
          <w:lang w:val="fr-FR"/>
        </w:rPr>
        <w:t>son amendement afin d</w:t>
      </w:r>
      <w:r w:rsidR="008E532B">
        <w:rPr>
          <w:rFonts w:ascii="Arial" w:hAnsi="Arial" w:cs="Arial"/>
          <w:bCs/>
          <w:sz w:val="22"/>
          <w:szCs w:val="22"/>
          <w:lang w:val="fr-FR"/>
        </w:rPr>
        <w:t>’</w:t>
      </w:r>
      <w:r w:rsidRPr="00695D6E">
        <w:rPr>
          <w:rFonts w:ascii="Arial" w:hAnsi="Arial" w:cs="Arial"/>
          <w:bCs/>
          <w:sz w:val="22"/>
          <w:szCs w:val="22"/>
          <w:lang w:val="fr-FR"/>
        </w:rPr>
        <w:t>apaiser les inquiétudes exprimées par plusieurs des délégations qui n</w:t>
      </w:r>
      <w:r w:rsidR="008E532B">
        <w:rPr>
          <w:rFonts w:ascii="Arial" w:hAnsi="Arial" w:cs="Arial"/>
          <w:bCs/>
          <w:sz w:val="22"/>
          <w:szCs w:val="22"/>
          <w:lang w:val="fr-FR"/>
        </w:rPr>
        <w:t>’</w:t>
      </w:r>
      <w:r>
        <w:rPr>
          <w:rFonts w:ascii="Arial" w:hAnsi="Arial" w:cs="Arial"/>
          <w:bCs/>
          <w:sz w:val="22"/>
          <w:szCs w:val="22"/>
          <w:lang w:val="fr-FR"/>
        </w:rPr>
        <w:t xml:space="preserve">avaient pas exprimé </w:t>
      </w:r>
      <w:r w:rsidRPr="00695D6E">
        <w:rPr>
          <w:rFonts w:ascii="Arial" w:hAnsi="Arial" w:cs="Arial"/>
          <w:bCs/>
          <w:sz w:val="22"/>
          <w:szCs w:val="22"/>
          <w:lang w:val="fr-FR"/>
        </w:rPr>
        <w:t>leur soutien. Cet</w:t>
      </w:r>
      <w:r>
        <w:rPr>
          <w:rFonts w:ascii="Arial" w:hAnsi="Arial" w:cs="Arial"/>
          <w:bCs/>
          <w:sz w:val="22"/>
          <w:szCs w:val="22"/>
          <w:lang w:val="fr-FR"/>
        </w:rPr>
        <w:t xml:space="preserve"> </w:t>
      </w:r>
      <w:r w:rsidRPr="00695D6E">
        <w:rPr>
          <w:rFonts w:ascii="Arial" w:hAnsi="Arial" w:cs="Arial"/>
          <w:bCs/>
          <w:sz w:val="22"/>
          <w:szCs w:val="22"/>
          <w:lang w:val="fr-FR"/>
        </w:rPr>
        <w:t>éclaircissement pourrait les aider à se joindre au consensus pour soutenir l</w:t>
      </w:r>
      <w:r w:rsidR="008E532B">
        <w:rPr>
          <w:rFonts w:ascii="Arial" w:hAnsi="Arial" w:cs="Arial"/>
          <w:bCs/>
          <w:sz w:val="22"/>
          <w:szCs w:val="22"/>
          <w:lang w:val="fr-FR"/>
        </w:rPr>
        <w:t>’</w:t>
      </w:r>
      <w:r w:rsidRPr="00695D6E">
        <w:rPr>
          <w:rFonts w:ascii="Arial" w:hAnsi="Arial" w:cs="Arial"/>
          <w:bCs/>
          <w:sz w:val="22"/>
          <w:szCs w:val="22"/>
          <w:lang w:val="fr-FR"/>
        </w:rPr>
        <w:t>amendement du Mexique, qui visait simplement à donner à l</w:t>
      </w:r>
      <w:r w:rsidR="008E532B">
        <w:rPr>
          <w:rFonts w:ascii="Arial" w:hAnsi="Arial" w:cs="Arial"/>
          <w:bCs/>
          <w:sz w:val="22"/>
          <w:szCs w:val="22"/>
          <w:lang w:val="fr-FR"/>
        </w:rPr>
        <w:t>’</w:t>
      </w:r>
      <w:r w:rsidRPr="00695D6E">
        <w:rPr>
          <w:rFonts w:ascii="Arial" w:hAnsi="Arial" w:cs="Arial"/>
          <w:bCs/>
          <w:sz w:val="22"/>
          <w:szCs w:val="22"/>
          <w:lang w:val="fr-FR"/>
        </w:rPr>
        <w:t>ONG concernée plus de temps pour soumettre à nouveau son dossier afin de corriger quelques inexactitudes.</w:t>
      </w:r>
    </w:p>
    <w:p w14:paraId="599449DF" w14:textId="4D6363B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E856D8">
        <w:rPr>
          <w:rFonts w:ascii="Arial" w:hAnsi="Arial" w:cs="Arial"/>
          <w:b/>
          <w:sz w:val="22"/>
          <w:szCs w:val="22"/>
          <w:lang w:val="fr-FR"/>
        </w:rPr>
        <w:t>Présidente</w:t>
      </w:r>
      <w:r>
        <w:rPr>
          <w:rFonts w:ascii="Arial" w:hAnsi="Arial" w:cs="Arial"/>
          <w:bCs/>
          <w:sz w:val="22"/>
          <w:szCs w:val="22"/>
          <w:lang w:val="fr-FR"/>
        </w:rPr>
        <w:t xml:space="preserve"> a signalé une motion d</w:t>
      </w:r>
      <w:r w:rsidR="008E532B">
        <w:rPr>
          <w:rFonts w:ascii="Arial" w:hAnsi="Arial" w:cs="Arial"/>
          <w:bCs/>
          <w:sz w:val="22"/>
          <w:szCs w:val="22"/>
          <w:lang w:val="fr-FR"/>
        </w:rPr>
        <w:t>’</w:t>
      </w:r>
      <w:r>
        <w:rPr>
          <w:rFonts w:ascii="Arial" w:hAnsi="Arial" w:cs="Arial"/>
          <w:bCs/>
          <w:sz w:val="22"/>
          <w:szCs w:val="22"/>
          <w:lang w:val="fr-FR"/>
        </w:rPr>
        <w:t>ordre de la part de la République bolivarienne du Venezuela.</w:t>
      </w:r>
    </w:p>
    <w:p w14:paraId="28E2E20E" w14:textId="5BF8527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856D8">
        <w:rPr>
          <w:rFonts w:ascii="Arial" w:hAnsi="Arial" w:cs="Arial"/>
          <w:bCs/>
          <w:sz w:val="22"/>
          <w:szCs w:val="22"/>
          <w:lang w:val="fr-FR"/>
        </w:rPr>
        <w:t>La délégation d</w:t>
      </w:r>
      <w:r>
        <w:rPr>
          <w:rFonts w:ascii="Arial" w:hAnsi="Arial" w:cs="Arial"/>
          <w:bCs/>
          <w:sz w:val="22"/>
          <w:szCs w:val="22"/>
          <w:lang w:val="fr-FR"/>
        </w:rPr>
        <w:t xml:space="preserve">e la </w:t>
      </w:r>
      <w:r w:rsidRPr="006D154E">
        <w:rPr>
          <w:rFonts w:ascii="Arial" w:hAnsi="Arial" w:cs="Arial"/>
          <w:b/>
          <w:sz w:val="22"/>
          <w:szCs w:val="22"/>
          <w:lang w:val="fr-FR"/>
        </w:rPr>
        <w:t>République bolivarienne du Venezuela</w:t>
      </w:r>
      <w:r w:rsidRPr="00E856D8">
        <w:rPr>
          <w:rFonts w:ascii="Arial" w:hAnsi="Arial" w:cs="Arial"/>
          <w:bCs/>
          <w:sz w:val="22"/>
          <w:szCs w:val="22"/>
          <w:lang w:val="fr-FR"/>
        </w:rPr>
        <w:t xml:space="preserve"> a rappelé la procédure selon laquelle, lorsqu</w:t>
      </w:r>
      <w:r w:rsidR="008E532B">
        <w:rPr>
          <w:rFonts w:ascii="Arial" w:hAnsi="Arial" w:cs="Arial"/>
          <w:bCs/>
          <w:sz w:val="22"/>
          <w:szCs w:val="22"/>
          <w:lang w:val="fr-FR"/>
        </w:rPr>
        <w:t>’</w:t>
      </w:r>
      <w:r w:rsidRPr="00E856D8">
        <w:rPr>
          <w:rFonts w:ascii="Arial" w:hAnsi="Arial" w:cs="Arial"/>
          <w:bCs/>
          <w:sz w:val="22"/>
          <w:szCs w:val="22"/>
          <w:lang w:val="fr-FR"/>
        </w:rPr>
        <w:t xml:space="preserve">une demande est présentée </w:t>
      </w:r>
      <w:r>
        <w:rPr>
          <w:rFonts w:ascii="Arial" w:hAnsi="Arial" w:cs="Arial"/>
          <w:bCs/>
          <w:sz w:val="22"/>
          <w:szCs w:val="22"/>
          <w:lang w:val="fr-FR"/>
        </w:rPr>
        <w:t>dans le cadre</w:t>
      </w:r>
      <w:r w:rsidRPr="00E856D8">
        <w:rPr>
          <w:rFonts w:ascii="Arial" w:hAnsi="Arial" w:cs="Arial"/>
          <w:bCs/>
          <w:sz w:val="22"/>
          <w:szCs w:val="22"/>
          <w:lang w:val="fr-FR"/>
        </w:rPr>
        <w:t xml:space="preserve"> d</w:t>
      </w:r>
      <w:r w:rsidR="008E532B">
        <w:rPr>
          <w:rFonts w:ascii="Arial" w:hAnsi="Arial" w:cs="Arial"/>
          <w:bCs/>
          <w:sz w:val="22"/>
          <w:szCs w:val="22"/>
          <w:lang w:val="fr-FR"/>
        </w:rPr>
        <w:t>’</w:t>
      </w:r>
      <w:r w:rsidRPr="00E856D8">
        <w:rPr>
          <w:rFonts w:ascii="Arial" w:hAnsi="Arial" w:cs="Arial"/>
          <w:bCs/>
          <w:sz w:val="22"/>
          <w:szCs w:val="22"/>
          <w:lang w:val="fr-FR"/>
        </w:rPr>
        <w:t>une motion d</w:t>
      </w:r>
      <w:r w:rsidR="008E532B">
        <w:rPr>
          <w:rFonts w:ascii="Arial" w:hAnsi="Arial" w:cs="Arial"/>
          <w:bCs/>
          <w:sz w:val="22"/>
          <w:szCs w:val="22"/>
          <w:lang w:val="fr-FR"/>
        </w:rPr>
        <w:t>’</w:t>
      </w:r>
      <w:r w:rsidRPr="00E856D8">
        <w:rPr>
          <w:rFonts w:ascii="Arial" w:hAnsi="Arial" w:cs="Arial"/>
          <w:bCs/>
          <w:sz w:val="22"/>
          <w:szCs w:val="22"/>
          <w:lang w:val="fr-FR"/>
        </w:rPr>
        <w:t>ordre, la Présidente doit</w:t>
      </w:r>
      <w:r>
        <w:rPr>
          <w:rFonts w:ascii="Arial" w:hAnsi="Arial" w:cs="Arial"/>
          <w:bCs/>
          <w:sz w:val="22"/>
          <w:szCs w:val="22"/>
          <w:lang w:val="fr-FR"/>
        </w:rPr>
        <w:t xml:space="preserve"> prendre une décision sur</w:t>
      </w:r>
      <w:r w:rsidRPr="00E856D8">
        <w:rPr>
          <w:rFonts w:ascii="Arial" w:hAnsi="Arial" w:cs="Arial"/>
          <w:bCs/>
          <w:sz w:val="22"/>
          <w:szCs w:val="22"/>
          <w:lang w:val="fr-FR"/>
        </w:rPr>
        <w:t xml:space="preserve"> la motion d</w:t>
      </w:r>
      <w:r w:rsidR="008E532B">
        <w:rPr>
          <w:rFonts w:ascii="Arial" w:hAnsi="Arial" w:cs="Arial"/>
          <w:bCs/>
          <w:sz w:val="22"/>
          <w:szCs w:val="22"/>
          <w:lang w:val="fr-FR"/>
        </w:rPr>
        <w:t>’</w:t>
      </w:r>
      <w:r w:rsidRPr="00E856D8">
        <w:rPr>
          <w:rFonts w:ascii="Arial" w:hAnsi="Arial" w:cs="Arial"/>
          <w:bCs/>
          <w:sz w:val="22"/>
          <w:szCs w:val="22"/>
          <w:lang w:val="fr-FR"/>
        </w:rPr>
        <w:t xml:space="preserve">ordre et donner suite à la demande de réintroduire la liste des pays </w:t>
      </w:r>
      <w:r>
        <w:rPr>
          <w:rFonts w:ascii="Arial" w:hAnsi="Arial" w:cs="Arial"/>
          <w:bCs/>
          <w:sz w:val="22"/>
          <w:szCs w:val="22"/>
          <w:lang w:val="fr-FR"/>
        </w:rPr>
        <w:t>soutenant les options</w:t>
      </w:r>
      <w:r w:rsidRPr="00E856D8">
        <w:rPr>
          <w:rFonts w:ascii="Arial" w:hAnsi="Arial" w:cs="Arial"/>
          <w:bCs/>
          <w:sz w:val="22"/>
          <w:szCs w:val="22"/>
          <w:lang w:val="fr-FR"/>
        </w:rPr>
        <w:t xml:space="preserve"> à côté des options</w:t>
      </w:r>
      <w:r>
        <w:rPr>
          <w:rFonts w:ascii="Arial" w:hAnsi="Arial" w:cs="Arial"/>
          <w:bCs/>
          <w:sz w:val="22"/>
          <w:szCs w:val="22"/>
          <w:lang w:val="fr-FR"/>
        </w:rPr>
        <w:t xml:space="preserve"> elles-mêmes.</w:t>
      </w:r>
      <w:r w:rsidRPr="00E856D8">
        <w:rPr>
          <w:rFonts w:ascii="Arial" w:hAnsi="Arial" w:cs="Arial"/>
          <w:bCs/>
          <w:sz w:val="22"/>
          <w:szCs w:val="22"/>
          <w:lang w:val="fr-FR"/>
        </w:rPr>
        <w:t xml:space="preserve"> </w:t>
      </w:r>
      <w:r>
        <w:rPr>
          <w:rFonts w:ascii="Arial" w:hAnsi="Arial" w:cs="Arial"/>
          <w:bCs/>
          <w:sz w:val="22"/>
          <w:szCs w:val="22"/>
          <w:lang w:val="fr-FR"/>
        </w:rPr>
        <w:t xml:space="preserve">Elle a </w:t>
      </w:r>
      <w:r w:rsidRPr="00E856D8">
        <w:rPr>
          <w:rFonts w:ascii="Arial" w:hAnsi="Arial" w:cs="Arial"/>
          <w:bCs/>
          <w:sz w:val="22"/>
          <w:szCs w:val="22"/>
          <w:lang w:val="fr-FR"/>
        </w:rPr>
        <w:t>remerc</w:t>
      </w:r>
      <w:r>
        <w:rPr>
          <w:rFonts w:ascii="Arial" w:hAnsi="Arial" w:cs="Arial"/>
          <w:bCs/>
          <w:sz w:val="22"/>
          <w:szCs w:val="22"/>
          <w:lang w:val="fr-FR"/>
        </w:rPr>
        <w:t>ié</w:t>
      </w:r>
      <w:r w:rsidRPr="00E856D8">
        <w:rPr>
          <w:rFonts w:ascii="Arial" w:hAnsi="Arial" w:cs="Arial"/>
          <w:bCs/>
          <w:sz w:val="22"/>
          <w:szCs w:val="22"/>
          <w:lang w:val="fr-FR"/>
        </w:rPr>
        <w:t xml:space="preserve"> le Sous-Directeur général pour sa contribution.</w:t>
      </w:r>
    </w:p>
    <w:p w14:paraId="2306F819" w14:textId="5C340F8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856D8">
        <w:rPr>
          <w:rFonts w:ascii="Arial" w:hAnsi="Arial" w:cs="Arial"/>
          <w:bCs/>
          <w:sz w:val="22"/>
          <w:szCs w:val="22"/>
          <w:lang w:val="fr-FR"/>
        </w:rPr>
        <w:t xml:space="preserve">La </w:t>
      </w:r>
      <w:r w:rsidRPr="00E856D8">
        <w:rPr>
          <w:rFonts w:ascii="Arial" w:hAnsi="Arial" w:cs="Arial"/>
          <w:b/>
          <w:sz w:val="22"/>
          <w:szCs w:val="22"/>
          <w:lang w:val="fr-FR"/>
        </w:rPr>
        <w:t>Présidente</w:t>
      </w:r>
      <w:r w:rsidRPr="00E856D8">
        <w:rPr>
          <w:rFonts w:ascii="Arial" w:hAnsi="Arial" w:cs="Arial"/>
          <w:bCs/>
          <w:sz w:val="22"/>
          <w:szCs w:val="22"/>
          <w:lang w:val="fr-FR"/>
        </w:rPr>
        <w:t xml:space="preserve"> a précisé que le Panama avait fait remarquer </w:t>
      </w:r>
      <w:r>
        <w:rPr>
          <w:rFonts w:ascii="Arial" w:hAnsi="Arial" w:cs="Arial"/>
          <w:bCs/>
          <w:sz w:val="22"/>
          <w:szCs w:val="22"/>
          <w:lang w:val="fr-FR"/>
        </w:rPr>
        <w:t>qu</w:t>
      </w:r>
      <w:r w:rsidR="008E532B">
        <w:rPr>
          <w:rFonts w:ascii="Arial" w:hAnsi="Arial" w:cs="Arial"/>
          <w:bCs/>
          <w:sz w:val="22"/>
          <w:szCs w:val="22"/>
          <w:lang w:val="fr-FR"/>
        </w:rPr>
        <w:t>’</w:t>
      </w:r>
      <w:r>
        <w:rPr>
          <w:rFonts w:ascii="Arial" w:hAnsi="Arial" w:cs="Arial"/>
          <w:bCs/>
          <w:sz w:val="22"/>
          <w:szCs w:val="22"/>
          <w:lang w:val="fr-FR"/>
        </w:rPr>
        <w:t xml:space="preserve">il était difficile </w:t>
      </w:r>
      <w:r w:rsidRPr="00E856D8">
        <w:rPr>
          <w:rFonts w:ascii="Arial" w:hAnsi="Arial" w:cs="Arial"/>
          <w:bCs/>
          <w:sz w:val="22"/>
          <w:szCs w:val="22"/>
          <w:lang w:val="fr-FR"/>
        </w:rPr>
        <w:t>de lire le projet de décision, d</w:t>
      </w:r>
      <w:r w:rsidR="008E532B">
        <w:rPr>
          <w:rFonts w:ascii="Arial" w:hAnsi="Arial" w:cs="Arial"/>
          <w:bCs/>
          <w:sz w:val="22"/>
          <w:szCs w:val="22"/>
          <w:lang w:val="fr-FR"/>
        </w:rPr>
        <w:t>’</w:t>
      </w:r>
      <w:r w:rsidRPr="00E856D8">
        <w:rPr>
          <w:rFonts w:ascii="Arial" w:hAnsi="Arial" w:cs="Arial"/>
          <w:bCs/>
          <w:sz w:val="22"/>
          <w:szCs w:val="22"/>
          <w:lang w:val="fr-FR"/>
        </w:rPr>
        <w:t xml:space="preserve">où sa suggestion de </w:t>
      </w:r>
      <w:r>
        <w:rPr>
          <w:rFonts w:ascii="Arial" w:hAnsi="Arial" w:cs="Arial"/>
          <w:bCs/>
          <w:sz w:val="22"/>
          <w:szCs w:val="22"/>
          <w:lang w:val="fr-FR"/>
        </w:rPr>
        <w:t>mettre</w:t>
      </w:r>
      <w:r w:rsidRPr="00E856D8">
        <w:rPr>
          <w:rFonts w:ascii="Arial" w:hAnsi="Arial" w:cs="Arial"/>
          <w:bCs/>
          <w:sz w:val="22"/>
          <w:szCs w:val="22"/>
          <w:lang w:val="fr-FR"/>
        </w:rPr>
        <w:t xml:space="preserve"> le texte </w:t>
      </w:r>
      <w:r>
        <w:rPr>
          <w:rFonts w:ascii="Arial" w:hAnsi="Arial" w:cs="Arial"/>
          <w:bCs/>
          <w:sz w:val="22"/>
          <w:szCs w:val="22"/>
          <w:lang w:val="fr-FR"/>
        </w:rPr>
        <w:t xml:space="preserve">au propre </w:t>
      </w:r>
      <w:r w:rsidRPr="00E856D8">
        <w:rPr>
          <w:rFonts w:ascii="Arial" w:hAnsi="Arial" w:cs="Arial"/>
          <w:bCs/>
          <w:sz w:val="22"/>
          <w:szCs w:val="22"/>
          <w:lang w:val="fr-FR"/>
        </w:rPr>
        <w:t>et d</w:t>
      </w:r>
      <w:r w:rsidR="008E532B">
        <w:rPr>
          <w:rFonts w:ascii="Arial" w:hAnsi="Arial" w:cs="Arial"/>
          <w:bCs/>
          <w:sz w:val="22"/>
          <w:szCs w:val="22"/>
          <w:lang w:val="fr-FR"/>
        </w:rPr>
        <w:t>’</w:t>
      </w:r>
      <w:r w:rsidRPr="00E856D8">
        <w:rPr>
          <w:rFonts w:ascii="Arial" w:hAnsi="Arial" w:cs="Arial"/>
          <w:bCs/>
          <w:sz w:val="22"/>
          <w:szCs w:val="22"/>
          <w:lang w:val="fr-FR"/>
        </w:rPr>
        <w:t xml:space="preserve">avoir une liste séparée des pays soutenant le projet, par souci de clarté. La Présidente </w:t>
      </w:r>
      <w:r>
        <w:rPr>
          <w:rFonts w:ascii="Arial" w:hAnsi="Arial" w:cs="Arial"/>
          <w:bCs/>
          <w:sz w:val="22"/>
          <w:szCs w:val="22"/>
          <w:lang w:val="fr-FR"/>
        </w:rPr>
        <w:t xml:space="preserve">a </w:t>
      </w:r>
      <w:r w:rsidRPr="00E856D8">
        <w:rPr>
          <w:rFonts w:ascii="Arial" w:hAnsi="Arial" w:cs="Arial"/>
          <w:bCs/>
          <w:sz w:val="22"/>
          <w:szCs w:val="22"/>
          <w:lang w:val="fr-FR"/>
        </w:rPr>
        <w:t>demand</w:t>
      </w:r>
      <w:r>
        <w:rPr>
          <w:rFonts w:ascii="Arial" w:hAnsi="Arial" w:cs="Arial"/>
          <w:bCs/>
          <w:sz w:val="22"/>
          <w:szCs w:val="22"/>
          <w:lang w:val="fr-FR"/>
        </w:rPr>
        <w:t>é</w:t>
      </w:r>
      <w:r w:rsidRPr="00E856D8">
        <w:rPr>
          <w:rFonts w:ascii="Arial" w:hAnsi="Arial" w:cs="Arial"/>
          <w:bCs/>
          <w:sz w:val="22"/>
          <w:szCs w:val="22"/>
          <w:lang w:val="fr-FR"/>
        </w:rPr>
        <w:t xml:space="preserve"> de revenir au format </w:t>
      </w:r>
      <w:r>
        <w:rPr>
          <w:rFonts w:ascii="Arial" w:hAnsi="Arial" w:cs="Arial"/>
          <w:bCs/>
          <w:sz w:val="22"/>
          <w:szCs w:val="22"/>
          <w:lang w:val="fr-FR"/>
        </w:rPr>
        <w:t>d</w:t>
      </w:r>
      <w:r w:rsidR="008E532B">
        <w:rPr>
          <w:rFonts w:ascii="Arial" w:hAnsi="Arial" w:cs="Arial"/>
          <w:bCs/>
          <w:sz w:val="22"/>
          <w:szCs w:val="22"/>
          <w:lang w:val="fr-FR"/>
        </w:rPr>
        <w:t>’</w:t>
      </w:r>
      <w:r w:rsidRPr="00E856D8">
        <w:rPr>
          <w:rFonts w:ascii="Arial" w:hAnsi="Arial" w:cs="Arial"/>
          <w:bCs/>
          <w:sz w:val="22"/>
          <w:szCs w:val="22"/>
          <w:lang w:val="fr-FR"/>
        </w:rPr>
        <w:t>origin</w:t>
      </w:r>
      <w:r>
        <w:rPr>
          <w:rFonts w:ascii="Arial" w:hAnsi="Arial" w:cs="Arial"/>
          <w:bCs/>
          <w:sz w:val="22"/>
          <w:szCs w:val="22"/>
          <w:lang w:val="fr-FR"/>
        </w:rPr>
        <w:t>e</w:t>
      </w:r>
      <w:r w:rsidRPr="00E856D8">
        <w:rPr>
          <w:rFonts w:ascii="Arial" w:hAnsi="Arial" w:cs="Arial"/>
          <w:bCs/>
          <w:sz w:val="22"/>
          <w:szCs w:val="22"/>
          <w:lang w:val="fr-FR"/>
        </w:rPr>
        <w:t>, e</w:t>
      </w:r>
      <w:r>
        <w:rPr>
          <w:rFonts w:ascii="Arial" w:hAnsi="Arial" w:cs="Arial"/>
          <w:bCs/>
          <w:sz w:val="22"/>
          <w:szCs w:val="22"/>
          <w:lang w:val="fr-FR"/>
        </w:rPr>
        <w:t>t</w:t>
      </w:r>
      <w:r w:rsidRPr="00E856D8">
        <w:rPr>
          <w:rFonts w:ascii="Arial" w:hAnsi="Arial" w:cs="Arial"/>
          <w:bCs/>
          <w:sz w:val="22"/>
          <w:szCs w:val="22"/>
          <w:lang w:val="fr-FR"/>
        </w:rPr>
        <w:t xml:space="preserve"> </w:t>
      </w:r>
      <w:r>
        <w:rPr>
          <w:rFonts w:ascii="Arial" w:hAnsi="Arial" w:cs="Arial"/>
          <w:bCs/>
          <w:sz w:val="22"/>
          <w:szCs w:val="22"/>
          <w:lang w:val="fr-FR"/>
        </w:rPr>
        <w:t xml:space="preserve">a </w:t>
      </w:r>
      <w:r w:rsidRPr="00E856D8">
        <w:rPr>
          <w:rFonts w:ascii="Arial" w:hAnsi="Arial" w:cs="Arial"/>
          <w:bCs/>
          <w:sz w:val="22"/>
          <w:szCs w:val="22"/>
          <w:lang w:val="fr-FR"/>
        </w:rPr>
        <w:t>invit</w:t>
      </w:r>
      <w:r>
        <w:rPr>
          <w:rFonts w:ascii="Arial" w:hAnsi="Arial" w:cs="Arial"/>
          <w:bCs/>
          <w:sz w:val="22"/>
          <w:szCs w:val="22"/>
          <w:lang w:val="fr-FR"/>
        </w:rPr>
        <w:t>é</w:t>
      </w:r>
      <w:r w:rsidRPr="00E856D8">
        <w:rPr>
          <w:rFonts w:ascii="Arial" w:hAnsi="Arial" w:cs="Arial"/>
          <w:bCs/>
          <w:sz w:val="22"/>
          <w:szCs w:val="22"/>
          <w:lang w:val="fr-FR"/>
        </w:rPr>
        <w:t xml:space="preserve"> le Mexique à répondre à la demande</w:t>
      </w:r>
      <w:r>
        <w:rPr>
          <w:rFonts w:ascii="Arial" w:hAnsi="Arial" w:cs="Arial"/>
          <w:bCs/>
          <w:sz w:val="22"/>
          <w:szCs w:val="22"/>
          <w:lang w:val="fr-FR"/>
        </w:rPr>
        <w:t>,</w:t>
      </w:r>
      <w:r w:rsidRPr="00E856D8">
        <w:rPr>
          <w:rFonts w:ascii="Arial" w:hAnsi="Arial" w:cs="Arial"/>
          <w:bCs/>
          <w:sz w:val="22"/>
          <w:szCs w:val="22"/>
          <w:lang w:val="fr-FR"/>
        </w:rPr>
        <w:t xml:space="preserve"> </w:t>
      </w:r>
      <w:r>
        <w:rPr>
          <w:rFonts w:ascii="Arial" w:hAnsi="Arial" w:cs="Arial"/>
          <w:bCs/>
          <w:sz w:val="22"/>
          <w:szCs w:val="22"/>
          <w:lang w:val="fr-FR"/>
        </w:rPr>
        <w:t xml:space="preserve">formulée par la Colombie, </w:t>
      </w:r>
      <w:r w:rsidRPr="00E856D8">
        <w:rPr>
          <w:rFonts w:ascii="Arial" w:hAnsi="Arial" w:cs="Arial"/>
          <w:bCs/>
          <w:sz w:val="22"/>
          <w:szCs w:val="22"/>
          <w:lang w:val="fr-FR"/>
        </w:rPr>
        <w:t>d</w:t>
      </w:r>
      <w:r w:rsidR="008E532B">
        <w:rPr>
          <w:rFonts w:ascii="Arial" w:hAnsi="Arial" w:cs="Arial"/>
          <w:bCs/>
          <w:sz w:val="22"/>
          <w:szCs w:val="22"/>
          <w:lang w:val="fr-FR"/>
        </w:rPr>
        <w:t>’</w:t>
      </w:r>
      <w:r w:rsidRPr="001F0D2A">
        <w:rPr>
          <w:rFonts w:ascii="Arial" w:hAnsi="Arial" w:cs="Arial"/>
          <w:bCs/>
          <w:sz w:val="22"/>
          <w:szCs w:val="22"/>
          <w:lang w:val="fr-FR"/>
        </w:rPr>
        <w:t>éclaircissement</w:t>
      </w:r>
      <w:r>
        <w:rPr>
          <w:rFonts w:ascii="Arial" w:hAnsi="Arial" w:cs="Arial"/>
          <w:bCs/>
          <w:sz w:val="22"/>
          <w:szCs w:val="22"/>
          <w:lang w:val="fr-FR"/>
        </w:rPr>
        <w:t xml:space="preserve"> </w:t>
      </w:r>
      <w:r w:rsidRPr="00E856D8">
        <w:rPr>
          <w:rFonts w:ascii="Arial" w:hAnsi="Arial" w:cs="Arial"/>
          <w:bCs/>
          <w:sz w:val="22"/>
          <w:szCs w:val="22"/>
          <w:lang w:val="fr-FR"/>
        </w:rPr>
        <w:t>sur son amendement.</w:t>
      </w:r>
    </w:p>
    <w:p w14:paraId="5D6895B8" w14:textId="2815522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D77F3">
        <w:rPr>
          <w:rFonts w:ascii="Arial" w:hAnsi="Arial" w:cs="Arial"/>
          <w:bCs/>
          <w:sz w:val="22"/>
          <w:szCs w:val="22"/>
          <w:lang w:val="fr-FR"/>
        </w:rPr>
        <w:t xml:space="preserve">La délégation du </w:t>
      </w:r>
      <w:r w:rsidRPr="009D77F3">
        <w:rPr>
          <w:rFonts w:ascii="Arial" w:hAnsi="Arial" w:cs="Arial"/>
          <w:b/>
          <w:sz w:val="22"/>
          <w:szCs w:val="22"/>
          <w:lang w:val="fr-FR"/>
        </w:rPr>
        <w:t>Mexique</w:t>
      </w:r>
      <w:r w:rsidRPr="009D77F3">
        <w:rPr>
          <w:rFonts w:ascii="Arial" w:hAnsi="Arial" w:cs="Arial"/>
          <w:bCs/>
          <w:sz w:val="22"/>
          <w:szCs w:val="22"/>
          <w:lang w:val="fr-FR"/>
        </w:rPr>
        <w:t xml:space="preserve"> a remercié l</w:t>
      </w:r>
      <w:r w:rsidR="008E532B">
        <w:rPr>
          <w:rFonts w:ascii="Arial" w:hAnsi="Arial" w:cs="Arial"/>
          <w:bCs/>
          <w:sz w:val="22"/>
          <w:szCs w:val="22"/>
          <w:lang w:val="fr-FR"/>
        </w:rPr>
        <w:t>’</w:t>
      </w:r>
      <w:r w:rsidRPr="009D77F3">
        <w:rPr>
          <w:rFonts w:ascii="Arial" w:hAnsi="Arial" w:cs="Arial"/>
          <w:bCs/>
          <w:sz w:val="22"/>
          <w:szCs w:val="22"/>
          <w:lang w:val="fr-FR"/>
        </w:rPr>
        <w:t>Assemblée pour le temps</w:t>
      </w:r>
      <w:r>
        <w:rPr>
          <w:rFonts w:ascii="Arial" w:hAnsi="Arial" w:cs="Arial"/>
          <w:bCs/>
          <w:sz w:val="22"/>
          <w:szCs w:val="22"/>
          <w:lang w:val="fr-FR"/>
        </w:rPr>
        <w:t xml:space="preserve"> consacré à cette question, auquel elle ne s</w:t>
      </w:r>
      <w:r w:rsidR="008E532B">
        <w:rPr>
          <w:rFonts w:ascii="Arial" w:hAnsi="Arial" w:cs="Arial"/>
          <w:bCs/>
          <w:sz w:val="22"/>
          <w:szCs w:val="22"/>
          <w:lang w:val="fr-FR"/>
        </w:rPr>
        <w:t>’</w:t>
      </w:r>
      <w:r>
        <w:rPr>
          <w:rFonts w:ascii="Arial" w:hAnsi="Arial" w:cs="Arial"/>
          <w:bCs/>
          <w:sz w:val="22"/>
          <w:szCs w:val="22"/>
          <w:lang w:val="fr-FR"/>
        </w:rPr>
        <w:t>attendait pas,</w:t>
      </w:r>
      <w:r w:rsidRPr="009D77F3">
        <w:rPr>
          <w:rFonts w:ascii="Arial" w:hAnsi="Arial" w:cs="Arial"/>
          <w:bCs/>
          <w:sz w:val="22"/>
          <w:szCs w:val="22"/>
          <w:lang w:val="fr-FR"/>
        </w:rPr>
        <w:t xml:space="preserve"> expliquant qu</w:t>
      </w:r>
      <w:r w:rsidR="008E532B">
        <w:rPr>
          <w:rFonts w:ascii="Arial" w:hAnsi="Arial" w:cs="Arial"/>
          <w:bCs/>
          <w:sz w:val="22"/>
          <w:szCs w:val="22"/>
          <w:lang w:val="fr-FR"/>
        </w:rPr>
        <w:t>’</w:t>
      </w:r>
      <w:r w:rsidRPr="009D77F3">
        <w:rPr>
          <w:rFonts w:ascii="Arial" w:hAnsi="Arial" w:cs="Arial"/>
          <w:bCs/>
          <w:sz w:val="22"/>
          <w:szCs w:val="22"/>
          <w:lang w:val="fr-FR"/>
        </w:rPr>
        <w:t xml:space="preserve">elle était préoccupée par la qualité des ONG accréditées </w:t>
      </w:r>
      <w:r>
        <w:rPr>
          <w:rFonts w:ascii="Arial" w:hAnsi="Arial" w:cs="Arial"/>
          <w:bCs/>
          <w:sz w:val="22"/>
          <w:szCs w:val="22"/>
          <w:lang w:val="fr-FR"/>
        </w:rPr>
        <w:t xml:space="preserve">à des fins </w:t>
      </w:r>
      <w:r w:rsidRPr="009D77F3">
        <w:rPr>
          <w:rFonts w:ascii="Arial" w:hAnsi="Arial" w:cs="Arial"/>
          <w:bCs/>
          <w:sz w:val="22"/>
          <w:szCs w:val="22"/>
          <w:lang w:val="fr-FR"/>
        </w:rPr>
        <w:t>consultati</w:t>
      </w:r>
      <w:r>
        <w:rPr>
          <w:rFonts w:ascii="Arial" w:hAnsi="Arial" w:cs="Arial"/>
          <w:bCs/>
          <w:sz w:val="22"/>
          <w:szCs w:val="22"/>
          <w:lang w:val="fr-FR"/>
        </w:rPr>
        <w:t>ves auprès de</w:t>
      </w:r>
      <w:r w:rsidRPr="009D77F3">
        <w:rPr>
          <w:rFonts w:ascii="Arial" w:hAnsi="Arial" w:cs="Arial"/>
          <w:bCs/>
          <w:sz w:val="22"/>
          <w:szCs w:val="22"/>
          <w:lang w:val="fr-FR"/>
        </w:rPr>
        <w:t xml:space="preserve"> cette Convention et qu</w:t>
      </w:r>
      <w:r w:rsidR="008E532B">
        <w:rPr>
          <w:rFonts w:ascii="Arial" w:hAnsi="Arial" w:cs="Arial"/>
          <w:bCs/>
          <w:sz w:val="22"/>
          <w:szCs w:val="22"/>
          <w:lang w:val="fr-FR"/>
        </w:rPr>
        <w:t>’</w:t>
      </w:r>
      <w:r w:rsidRPr="009D77F3">
        <w:rPr>
          <w:rFonts w:ascii="Arial" w:hAnsi="Arial" w:cs="Arial"/>
          <w:bCs/>
          <w:sz w:val="22"/>
          <w:szCs w:val="22"/>
          <w:lang w:val="fr-FR"/>
        </w:rPr>
        <w:t>elle avait donc examiné cette question en profondeur. L</w:t>
      </w:r>
      <w:r w:rsidR="008E532B">
        <w:rPr>
          <w:rFonts w:ascii="Arial" w:hAnsi="Arial" w:cs="Arial"/>
          <w:bCs/>
          <w:sz w:val="22"/>
          <w:szCs w:val="22"/>
          <w:lang w:val="fr-FR"/>
        </w:rPr>
        <w:t>’</w:t>
      </w:r>
      <w:r w:rsidRPr="009D77F3">
        <w:rPr>
          <w:rFonts w:ascii="Arial" w:hAnsi="Arial" w:cs="Arial"/>
          <w:bCs/>
          <w:sz w:val="22"/>
          <w:szCs w:val="22"/>
          <w:lang w:val="fr-FR"/>
        </w:rPr>
        <w:t>Institut du patrimoine culturel immatériel</w:t>
      </w:r>
      <w:r>
        <w:rPr>
          <w:rFonts w:ascii="Arial" w:hAnsi="Arial" w:cs="Arial"/>
          <w:bCs/>
          <w:sz w:val="22"/>
          <w:szCs w:val="22"/>
          <w:lang w:val="fr-FR"/>
        </w:rPr>
        <w:t xml:space="preserve"> au Mexique</w:t>
      </w:r>
      <w:r w:rsidRPr="009D77F3">
        <w:rPr>
          <w:rFonts w:ascii="Arial" w:hAnsi="Arial" w:cs="Arial"/>
          <w:bCs/>
          <w:sz w:val="22"/>
          <w:szCs w:val="22"/>
          <w:lang w:val="fr-FR"/>
        </w:rPr>
        <w:t xml:space="preserve"> avait examiné les demandes des ONG et avait trouvé quelques inexactitudes</w:t>
      </w:r>
      <w:r>
        <w:rPr>
          <w:rFonts w:ascii="Arial" w:hAnsi="Arial" w:cs="Arial"/>
          <w:bCs/>
          <w:sz w:val="22"/>
          <w:szCs w:val="22"/>
          <w:lang w:val="fr-FR"/>
        </w:rPr>
        <w:t>, notamment,</w:t>
      </w:r>
      <w:r w:rsidRPr="009D77F3">
        <w:rPr>
          <w:rFonts w:ascii="Arial" w:hAnsi="Arial" w:cs="Arial"/>
          <w:bCs/>
          <w:sz w:val="22"/>
          <w:szCs w:val="22"/>
          <w:lang w:val="fr-FR"/>
        </w:rPr>
        <w:t xml:space="preserve"> dans les déclarations de Direct </w:t>
      </w:r>
      <w:proofErr w:type="spellStart"/>
      <w:r w:rsidRPr="009D77F3">
        <w:rPr>
          <w:rFonts w:ascii="Arial" w:hAnsi="Arial" w:cs="Arial"/>
          <w:bCs/>
          <w:sz w:val="22"/>
          <w:szCs w:val="22"/>
          <w:lang w:val="fr-FR"/>
        </w:rPr>
        <w:t>Gradual</w:t>
      </w:r>
      <w:proofErr w:type="spellEnd"/>
      <w:r w:rsidRPr="009D77F3">
        <w:rPr>
          <w:rFonts w:ascii="Arial" w:hAnsi="Arial" w:cs="Arial"/>
          <w:bCs/>
          <w:sz w:val="22"/>
          <w:szCs w:val="22"/>
          <w:lang w:val="fr-FR"/>
        </w:rPr>
        <w:t xml:space="preserve"> </w:t>
      </w:r>
      <w:proofErr w:type="spellStart"/>
      <w:r w:rsidRPr="009D77F3">
        <w:rPr>
          <w:rFonts w:ascii="Arial" w:hAnsi="Arial" w:cs="Arial"/>
          <w:bCs/>
          <w:sz w:val="22"/>
          <w:szCs w:val="22"/>
          <w:lang w:val="fr-FR"/>
        </w:rPr>
        <w:t>Development</w:t>
      </w:r>
      <w:proofErr w:type="spellEnd"/>
      <w:r w:rsidRPr="009D77F3">
        <w:rPr>
          <w:rFonts w:ascii="Arial" w:hAnsi="Arial" w:cs="Arial"/>
          <w:bCs/>
          <w:sz w:val="22"/>
          <w:szCs w:val="22"/>
          <w:lang w:val="fr-FR"/>
        </w:rPr>
        <w:t xml:space="preserve">, </w:t>
      </w:r>
      <w:r>
        <w:rPr>
          <w:rFonts w:ascii="Arial" w:hAnsi="Arial" w:cs="Arial"/>
          <w:bCs/>
          <w:sz w:val="22"/>
          <w:szCs w:val="22"/>
          <w:lang w:val="fr-FR"/>
        </w:rPr>
        <w:t>Civil Association.</w:t>
      </w:r>
      <w:r w:rsidRPr="009D77F3">
        <w:rPr>
          <w:rFonts w:ascii="Arial" w:hAnsi="Arial" w:cs="Arial"/>
          <w:bCs/>
          <w:sz w:val="22"/>
          <w:szCs w:val="22"/>
          <w:lang w:val="fr-FR"/>
        </w:rPr>
        <w:t xml:space="preserve"> </w:t>
      </w:r>
      <w:r>
        <w:rPr>
          <w:rFonts w:ascii="Arial" w:hAnsi="Arial" w:cs="Arial"/>
          <w:bCs/>
          <w:sz w:val="22"/>
          <w:szCs w:val="22"/>
          <w:lang w:val="fr-FR"/>
        </w:rPr>
        <w:t>A</w:t>
      </w:r>
      <w:r w:rsidRPr="009D77F3">
        <w:rPr>
          <w:rFonts w:ascii="Arial" w:hAnsi="Arial" w:cs="Arial"/>
          <w:bCs/>
          <w:sz w:val="22"/>
          <w:szCs w:val="22"/>
          <w:lang w:val="fr-FR"/>
        </w:rPr>
        <w:t>vec cet amendement, une analyse complète et toutes les informations pertinentes seraient publiées, y compris les demandes des bureaux régionaux de l</w:t>
      </w:r>
      <w:r w:rsidR="008E532B">
        <w:rPr>
          <w:rFonts w:ascii="Arial" w:hAnsi="Arial" w:cs="Arial"/>
          <w:bCs/>
          <w:sz w:val="22"/>
          <w:szCs w:val="22"/>
          <w:lang w:val="fr-FR"/>
        </w:rPr>
        <w:t>’</w:t>
      </w:r>
      <w:r w:rsidRPr="009D77F3">
        <w:rPr>
          <w:rFonts w:ascii="Arial" w:hAnsi="Arial" w:cs="Arial"/>
          <w:bCs/>
          <w:sz w:val="22"/>
          <w:szCs w:val="22"/>
          <w:lang w:val="fr-FR"/>
        </w:rPr>
        <w:t>UNESCO</w:t>
      </w:r>
      <w:r>
        <w:rPr>
          <w:rFonts w:ascii="Arial" w:hAnsi="Arial" w:cs="Arial"/>
          <w:bCs/>
          <w:sz w:val="22"/>
          <w:szCs w:val="22"/>
          <w:lang w:val="fr-FR"/>
        </w:rPr>
        <w:t>,</w:t>
      </w:r>
      <w:r w:rsidRPr="009D77F3">
        <w:rPr>
          <w:rFonts w:ascii="Arial" w:hAnsi="Arial" w:cs="Arial"/>
          <w:bCs/>
          <w:sz w:val="22"/>
          <w:szCs w:val="22"/>
          <w:lang w:val="fr-FR"/>
        </w:rPr>
        <w:t xml:space="preserve"> qui contribuent à l</w:t>
      </w:r>
      <w:r w:rsidR="008E532B">
        <w:rPr>
          <w:rFonts w:ascii="Arial" w:hAnsi="Arial" w:cs="Arial"/>
          <w:bCs/>
          <w:sz w:val="22"/>
          <w:szCs w:val="22"/>
          <w:lang w:val="fr-FR"/>
        </w:rPr>
        <w:t>’</w:t>
      </w:r>
      <w:r w:rsidRPr="009D77F3">
        <w:rPr>
          <w:rFonts w:ascii="Arial" w:hAnsi="Arial" w:cs="Arial"/>
          <w:bCs/>
          <w:sz w:val="22"/>
          <w:szCs w:val="22"/>
          <w:lang w:val="fr-FR"/>
        </w:rPr>
        <w:t>évaluation des organisations de la société civile. Cet amendement n</w:t>
      </w:r>
      <w:r w:rsidR="008E532B">
        <w:rPr>
          <w:rFonts w:ascii="Arial" w:hAnsi="Arial" w:cs="Arial"/>
          <w:bCs/>
          <w:sz w:val="22"/>
          <w:szCs w:val="22"/>
          <w:lang w:val="fr-FR"/>
        </w:rPr>
        <w:t>’</w:t>
      </w:r>
      <w:r>
        <w:rPr>
          <w:rFonts w:ascii="Arial" w:hAnsi="Arial" w:cs="Arial"/>
          <w:bCs/>
          <w:sz w:val="22"/>
          <w:szCs w:val="22"/>
          <w:lang w:val="fr-FR"/>
        </w:rPr>
        <w:t>était</w:t>
      </w:r>
      <w:r w:rsidRPr="009D77F3">
        <w:rPr>
          <w:rFonts w:ascii="Arial" w:hAnsi="Arial" w:cs="Arial"/>
          <w:bCs/>
          <w:sz w:val="22"/>
          <w:szCs w:val="22"/>
          <w:lang w:val="fr-FR"/>
        </w:rPr>
        <w:t xml:space="preserve"> pas un acte contre les ONG, c</w:t>
      </w:r>
      <w:r w:rsidR="008E532B">
        <w:rPr>
          <w:rFonts w:ascii="Arial" w:hAnsi="Arial" w:cs="Arial"/>
          <w:bCs/>
          <w:sz w:val="22"/>
          <w:szCs w:val="22"/>
          <w:lang w:val="fr-FR"/>
        </w:rPr>
        <w:t>’</w:t>
      </w:r>
      <w:r>
        <w:rPr>
          <w:rFonts w:ascii="Arial" w:hAnsi="Arial" w:cs="Arial"/>
          <w:bCs/>
          <w:sz w:val="22"/>
          <w:szCs w:val="22"/>
          <w:lang w:val="fr-FR"/>
        </w:rPr>
        <w:t>était</w:t>
      </w:r>
      <w:r w:rsidRPr="009D77F3">
        <w:rPr>
          <w:rFonts w:ascii="Arial" w:hAnsi="Arial" w:cs="Arial"/>
          <w:bCs/>
          <w:sz w:val="22"/>
          <w:szCs w:val="22"/>
          <w:lang w:val="fr-FR"/>
        </w:rPr>
        <w:t xml:space="preserve"> un acte de responsabilité et d</w:t>
      </w:r>
      <w:r w:rsidR="008E532B">
        <w:rPr>
          <w:rFonts w:ascii="Arial" w:hAnsi="Arial" w:cs="Arial"/>
          <w:bCs/>
          <w:sz w:val="22"/>
          <w:szCs w:val="22"/>
          <w:lang w:val="fr-FR"/>
        </w:rPr>
        <w:t>’</w:t>
      </w:r>
      <w:r w:rsidRPr="009D77F3">
        <w:rPr>
          <w:rFonts w:ascii="Arial" w:hAnsi="Arial" w:cs="Arial"/>
          <w:bCs/>
          <w:sz w:val="22"/>
          <w:szCs w:val="22"/>
          <w:lang w:val="fr-FR"/>
        </w:rPr>
        <w:t xml:space="preserve">engagement du Mexique dans le cadre de la Convention </w:t>
      </w:r>
      <w:proofErr w:type="gramStart"/>
      <w:r w:rsidRPr="009D77F3">
        <w:rPr>
          <w:rFonts w:ascii="Arial" w:hAnsi="Arial" w:cs="Arial"/>
          <w:bCs/>
          <w:sz w:val="22"/>
          <w:szCs w:val="22"/>
          <w:lang w:val="fr-FR"/>
        </w:rPr>
        <w:t>suite à</w:t>
      </w:r>
      <w:proofErr w:type="gramEnd"/>
      <w:r w:rsidRPr="009D77F3">
        <w:rPr>
          <w:rFonts w:ascii="Arial" w:hAnsi="Arial" w:cs="Arial"/>
          <w:bCs/>
          <w:sz w:val="22"/>
          <w:szCs w:val="22"/>
          <w:lang w:val="fr-FR"/>
        </w:rPr>
        <w:t xml:space="preserve"> ses seize années d</w:t>
      </w:r>
      <w:r w:rsidR="008E532B">
        <w:rPr>
          <w:rFonts w:ascii="Arial" w:hAnsi="Arial" w:cs="Arial"/>
          <w:bCs/>
          <w:sz w:val="22"/>
          <w:szCs w:val="22"/>
          <w:lang w:val="fr-FR"/>
        </w:rPr>
        <w:t>’</w:t>
      </w:r>
      <w:r w:rsidRPr="009D77F3">
        <w:rPr>
          <w:rFonts w:ascii="Arial" w:hAnsi="Arial" w:cs="Arial"/>
          <w:bCs/>
          <w:sz w:val="22"/>
          <w:szCs w:val="22"/>
          <w:lang w:val="fr-FR"/>
        </w:rPr>
        <w:t>expérience dans sa mise en œuvre. Compte tenu de l</w:t>
      </w:r>
      <w:r w:rsidR="008E532B">
        <w:rPr>
          <w:rFonts w:ascii="Arial" w:hAnsi="Arial" w:cs="Arial"/>
          <w:bCs/>
          <w:sz w:val="22"/>
          <w:szCs w:val="22"/>
          <w:lang w:val="fr-FR"/>
        </w:rPr>
        <w:t>’</w:t>
      </w:r>
      <w:r w:rsidRPr="009D77F3">
        <w:rPr>
          <w:rFonts w:ascii="Arial" w:hAnsi="Arial" w:cs="Arial"/>
          <w:bCs/>
          <w:sz w:val="22"/>
          <w:szCs w:val="22"/>
          <w:lang w:val="fr-FR"/>
        </w:rPr>
        <w:t>heure, la délégation a suggéré de tenir une brève réunion avec les délégations exprimant une préférence pour l</w:t>
      </w:r>
      <w:r w:rsidR="008E532B">
        <w:rPr>
          <w:rFonts w:ascii="Arial" w:hAnsi="Arial" w:cs="Arial"/>
          <w:bCs/>
          <w:sz w:val="22"/>
          <w:szCs w:val="22"/>
          <w:lang w:val="fr-FR"/>
        </w:rPr>
        <w:t>’</w:t>
      </w:r>
      <w:r w:rsidRPr="009D77F3">
        <w:rPr>
          <w:rFonts w:ascii="Arial" w:hAnsi="Arial" w:cs="Arial"/>
          <w:bCs/>
          <w:sz w:val="22"/>
          <w:szCs w:val="22"/>
          <w:lang w:val="fr-FR"/>
        </w:rPr>
        <w:t xml:space="preserve">option A afin de leur </w:t>
      </w:r>
      <w:r>
        <w:rPr>
          <w:rFonts w:ascii="Arial" w:hAnsi="Arial" w:cs="Arial"/>
          <w:bCs/>
          <w:sz w:val="22"/>
          <w:szCs w:val="22"/>
          <w:lang w:val="fr-FR"/>
        </w:rPr>
        <w:t>communiquer</w:t>
      </w:r>
      <w:r w:rsidRPr="009D77F3">
        <w:rPr>
          <w:rFonts w:ascii="Arial" w:hAnsi="Arial" w:cs="Arial"/>
          <w:bCs/>
          <w:sz w:val="22"/>
          <w:szCs w:val="22"/>
          <w:lang w:val="fr-FR"/>
        </w:rPr>
        <w:t xml:space="preserve"> des détails supplémentaires de manière à finaliser cette question et à parvenir à un consensus.</w:t>
      </w:r>
    </w:p>
    <w:p w14:paraId="1044AE5B" w14:textId="74A7A27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A6F30">
        <w:rPr>
          <w:rFonts w:ascii="Arial" w:hAnsi="Arial" w:cs="Arial"/>
          <w:bCs/>
          <w:sz w:val="22"/>
          <w:szCs w:val="22"/>
          <w:lang w:val="fr-FR"/>
        </w:rPr>
        <w:t>La délégation d</w:t>
      </w:r>
      <w:r w:rsidR="008E532B">
        <w:rPr>
          <w:rFonts w:ascii="Arial" w:hAnsi="Arial" w:cs="Arial"/>
          <w:bCs/>
          <w:sz w:val="22"/>
          <w:szCs w:val="22"/>
          <w:lang w:val="fr-FR"/>
        </w:rPr>
        <w:t>’</w:t>
      </w:r>
      <w:r w:rsidRPr="00BA6F30">
        <w:rPr>
          <w:rFonts w:ascii="Arial" w:hAnsi="Arial" w:cs="Arial"/>
          <w:b/>
          <w:sz w:val="22"/>
          <w:szCs w:val="22"/>
          <w:lang w:val="fr-FR"/>
        </w:rPr>
        <w:t>Oman</w:t>
      </w:r>
      <w:r w:rsidRPr="00BA6F30">
        <w:rPr>
          <w:rFonts w:ascii="Arial" w:hAnsi="Arial" w:cs="Arial"/>
          <w:bCs/>
          <w:sz w:val="22"/>
          <w:szCs w:val="22"/>
          <w:lang w:val="fr-FR"/>
        </w:rPr>
        <w:t xml:space="preserve"> a fait remarquer que, puisque cet amendement du Mexique était dans l</w:t>
      </w:r>
      <w:r w:rsidR="008E532B">
        <w:rPr>
          <w:rFonts w:ascii="Arial" w:hAnsi="Arial" w:cs="Arial"/>
          <w:bCs/>
          <w:sz w:val="22"/>
          <w:szCs w:val="22"/>
          <w:lang w:val="fr-FR"/>
        </w:rPr>
        <w:t>’</w:t>
      </w:r>
      <w:r w:rsidRPr="00BA6F30">
        <w:rPr>
          <w:rFonts w:ascii="Arial" w:hAnsi="Arial" w:cs="Arial"/>
          <w:bCs/>
          <w:sz w:val="22"/>
          <w:szCs w:val="22"/>
          <w:lang w:val="fr-FR"/>
        </w:rPr>
        <w:t xml:space="preserve">intérêt du dossier, elle approuvait la proposition. Elle </w:t>
      </w:r>
      <w:r>
        <w:rPr>
          <w:rFonts w:ascii="Arial" w:hAnsi="Arial" w:cs="Arial"/>
          <w:bCs/>
          <w:sz w:val="22"/>
          <w:szCs w:val="22"/>
          <w:lang w:val="fr-FR"/>
        </w:rPr>
        <w:t xml:space="preserve">souscrivait </w:t>
      </w:r>
      <w:r w:rsidRPr="00BA6F30">
        <w:rPr>
          <w:rFonts w:ascii="Arial" w:hAnsi="Arial" w:cs="Arial"/>
          <w:bCs/>
          <w:sz w:val="22"/>
          <w:szCs w:val="22"/>
          <w:lang w:val="fr-FR"/>
        </w:rPr>
        <w:t xml:space="preserve">également </w:t>
      </w:r>
      <w:r>
        <w:rPr>
          <w:rFonts w:ascii="Arial" w:hAnsi="Arial" w:cs="Arial"/>
          <w:bCs/>
          <w:sz w:val="22"/>
          <w:szCs w:val="22"/>
          <w:lang w:val="fr-FR"/>
        </w:rPr>
        <w:t xml:space="preserve">à </w:t>
      </w:r>
      <w:r w:rsidRPr="00BA6F30">
        <w:rPr>
          <w:rFonts w:ascii="Arial" w:hAnsi="Arial" w:cs="Arial"/>
          <w:bCs/>
          <w:sz w:val="22"/>
          <w:szCs w:val="22"/>
          <w:lang w:val="fr-FR"/>
        </w:rPr>
        <w:t xml:space="preserve">la suggestion </w:t>
      </w:r>
      <w:r>
        <w:rPr>
          <w:rFonts w:ascii="Arial" w:hAnsi="Arial" w:cs="Arial"/>
          <w:bCs/>
          <w:sz w:val="22"/>
          <w:szCs w:val="22"/>
          <w:lang w:val="fr-FR"/>
        </w:rPr>
        <w:t>du Mexique de donner</w:t>
      </w:r>
      <w:r w:rsidRPr="00BA6F30">
        <w:rPr>
          <w:rFonts w:ascii="Arial" w:hAnsi="Arial" w:cs="Arial"/>
          <w:bCs/>
          <w:sz w:val="22"/>
          <w:szCs w:val="22"/>
          <w:lang w:val="fr-FR"/>
        </w:rPr>
        <w:t xml:space="preserve"> une explication aux délégations qui </w:t>
      </w:r>
      <w:r>
        <w:rPr>
          <w:rFonts w:ascii="Arial" w:hAnsi="Arial" w:cs="Arial"/>
          <w:bCs/>
          <w:sz w:val="22"/>
          <w:szCs w:val="22"/>
          <w:lang w:val="fr-FR"/>
        </w:rPr>
        <w:t>avaient</w:t>
      </w:r>
      <w:r w:rsidRPr="00BA6F30">
        <w:rPr>
          <w:rFonts w:ascii="Arial" w:hAnsi="Arial" w:cs="Arial"/>
          <w:bCs/>
          <w:sz w:val="22"/>
          <w:szCs w:val="22"/>
          <w:lang w:val="fr-FR"/>
        </w:rPr>
        <w:t xml:space="preserve"> encore des doutes sur l</w:t>
      </w:r>
      <w:r w:rsidR="008E532B">
        <w:rPr>
          <w:rFonts w:ascii="Arial" w:hAnsi="Arial" w:cs="Arial"/>
          <w:bCs/>
          <w:sz w:val="22"/>
          <w:szCs w:val="22"/>
          <w:lang w:val="fr-FR"/>
        </w:rPr>
        <w:t>’</w:t>
      </w:r>
      <w:r w:rsidRPr="00BA6F30">
        <w:rPr>
          <w:rFonts w:ascii="Arial" w:hAnsi="Arial" w:cs="Arial"/>
          <w:bCs/>
          <w:sz w:val="22"/>
          <w:szCs w:val="22"/>
          <w:lang w:val="fr-FR"/>
        </w:rPr>
        <w:t>amendement.</w:t>
      </w:r>
    </w:p>
    <w:p w14:paraId="35E18BDC" w14:textId="2EE5A2E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93170">
        <w:rPr>
          <w:rFonts w:ascii="Arial" w:hAnsi="Arial" w:cs="Arial"/>
          <w:bCs/>
          <w:sz w:val="22"/>
          <w:szCs w:val="22"/>
          <w:lang w:val="fr-FR"/>
        </w:rPr>
        <w:t xml:space="preserve">La délégation des </w:t>
      </w:r>
      <w:r w:rsidRPr="00193170">
        <w:rPr>
          <w:rFonts w:ascii="Arial" w:hAnsi="Arial" w:cs="Arial"/>
          <w:b/>
          <w:sz w:val="22"/>
          <w:szCs w:val="22"/>
          <w:lang w:val="fr-FR"/>
        </w:rPr>
        <w:t>Pays-Bas</w:t>
      </w:r>
      <w:r>
        <w:rPr>
          <w:rFonts w:ascii="Arial" w:hAnsi="Arial" w:cs="Arial"/>
          <w:bCs/>
          <w:sz w:val="22"/>
          <w:szCs w:val="22"/>
          <w:lang w:val="fr-FR"/>
        </w:rPr>
        <w:t xml:space="preserve"> </w:t>
      </w:r>
      <w:r w:rsidRPr="00193170">
        <w:rPr>
          <w:rFonts w:ascii="Arial" w:hAnsi="Arial" w:cs="Arial"/>
          <w:bCs/>
          <w:sz w:val="22"/>
          <w:szCs w:val="22"/>
          <w:lang w:val="fr-FR"/>
        </w:rPr>
        <w:t>crai</w:t>
      </w:r>
      <w:r>
        <w:rPr>
          <w:rFonts w:ascii="Arial" w:hAnsi="Arial" w:cs="Arial"/>
          <w:bCs/>
          <w:sz w:val="22"/>
          <w:szCs w:val="22"/>
          <w:lang w:val="fr-FR"/>
        </w:rPr>
        <w:t>gnait</w:t>
      </w:r>
      <w:r w:rsidRPr="00193170">
        <w:rPr>
          <w:rFonts w:ascii="Arial" w:hAnsi="Arial" w:cs="Arial"/>
          <w:bCs/>
          <w:sz w:val="22"/>
          <w:szCs w:val="22"/>
          <w:lang w:val="fr-FR"/>
        </w:rPr>
        <w:t xml:space="preserve"> toujours la création d</w:t>
      </w:r>
      <w:r w:rsidR="008E532B">
        <w:rPr>
          <w:rFonts w:ascii="Arial" w:hAnsi="Arial" w:cs="Arial"/>
          <w:bCs/>
          <w:sz w:val="22"/>
          <w:szCs w:val="22"/>
          <w:lang w:val="fr-FR"/>
        </w:rPr>
        <w:t>’</w:t>
      </w:r>
      <w:r w:rsidRPr="00193170">
        <w:rPr>
          <w:rFonts w:ascii="Arial" w:hAnsi="Arial" w:cs="Arial"/>
          <w:bCs/>
          <w:sz w:val="22"/>
          <w:szCs w:val="22"/>
          <w:lang w:val="fr-FR"/>
        </w:rPr>
        <w:t xml:space="preserve">un précédent, </w:t>
      </w:r>
      <w:r>
        <w:rPr>
          <w:rFonts w:ascii="Arial" w:hAnsi="Arial" w:cs="Arial"/>
          <w:bCs/>
          <w:sz w:val="22"/>
          <w:szCs w:val="22"/>
          <w:lang w:val="fr-FR"/>
        </w:rPr>
        <w:t xml:space="preserve">mais elle </w:t>
      </w:r>
      <w:r w:rsidRPr="00193170">
        <w:rPr>
          <w:rFonts w:ascii="Arial" w:hAnsi="Arial" w:cs="Arial"/>
          <w:bCs/>
          <w:sz w:val="22"/>
          <w:szCs w:val="22"/>
          <w:lang w:val="fr-FR"/>
        </w:rPr>
        <w:t>a proposé un amendement de compromis au nom des Pays-Bas et de la Suisse, qui se</w:t>
      </w:r>
      <w:r>
        <w:rPr>
          <w:rFonts w:ascii="Arial" w:hAnsi="Arial" w:cs="Arial"/>
          <w:bCs/>
          <w:sz w:val="22"/>
          <w:szCs w:val="22"/>
          <w:lang w:val="fr-FR"/>
        </w:rPr>
        <w:t>rait ainsi rédigé </w:t>
      </w:r>
      <w:r w:rsidRPr="00193170">
        <w:rPr>
          <w:rFonts w:ascii="Arial" w:hAnsi="Arial" w:cs="Arial"/>
          <w:bCs/>
          <w:sz w:val="22"/>
          <w:szCs w:val="22"/>
          <w:lang w:val="fr-FR"/>
        </w:rPr>
        <w:t xml:space="preserve">: </w:t>
      </w:r>
      <w:r>
        <w:rPr>
          <w:rFonts w:ascii="Arial" w:hAnsi="Arial" w:cs="Arial"/>
          <w:bCs/>
          <w:sz w:val="22"/>
          <w:szCs w:val="22"/>
          <w:lang w:val="fr-FR"/>
        </w:rPr>
        <w:t>« </w:t>
      </w:r>
      <w:r w:rsidRPr="00193170">
        <w:rPr>
          <w:rFonts w:ascii="Arial" w:hAnsi="Arial" w:cs="Arial"/>
          <w:bCs/>
          <w:sz w:val="22"/>
          <w:szCs w:val="22"/>
          <w:lang w:val="fr-FR"/>
        </w:rPr>
        <w:t xml:space="preserve">invite </w:t>
      </w:r>
      <w:r>
        <w:rPr>
          <w:rFonts w:ascii="Arial" w:hAnsi="Arial" w:cs="Arial"/>
          <w:bCs/>
          <w:sz w:val="22"/>
          <w:szCs w:val="22"/>
          <w:lang w:val="fr-FR"/>
        </w:rPr>
        <w:t>“ </w:t>
      </w:r>
      <w:r w:rsidRPr="00D3285B">
        <w:rPr>
          <w:rFonts w:ascii="Arial" w:hAnsi="Arial" w:cs="Arial"/>
          <w:bCs/>
          <w:sz w:val="22"/>
          <w:szCs w:val="22"/>
          <w:lang w:val="fr-FR"/>
        </w:rPr>
        <w:t xml:space="preserve">Direct </w:t>
      </w:r>
      <w:proofErr w:type="spellStart"/>
      <w:r w:rsidRPr="00D3285B">
        <w:rPr>
          <w:rFonts w:ascii="Arial" w:hAnsi="Arial" w:cs="Arial"/>
          <w:bCs/>
          <w:sz w:val="22"/>
          <w:szCs w:val="22"/>
          <w:lang w:val="fr-FR"/>
        </w:rPr>
        <w:t>Gradual</w:t>
      </w:r>
      <w:proofErr w:type="spellEnd"/>
      <w:r w:rsidRPr="00D3285B">
        <w:rPr>
          <w:rFonts w:ascii="Arial" w:hAnsi="Arial" w:cs="Arial"/>
          <w:bCs/>
          <w:sz w:val="22"/>
          <w:szCs w:val="22"/>
          <w:lang w:val="fr-FR"/>
        </w:rPr>
        <w:t xml:space="preserve"> </w:t>
      </w:r>
      <w:proofErr w:type="spellStart"/>
      <w:r w:rsidRPr="00D3285B">
        <w:rPr>
          <w:rFonts w:ascii="Arial" w:hAnsi="Arial" w:cs="Arial"/>
          <w:bCs/>
          <w:sz w:val="22"/>
          <w:szCs w:val="22"/>
          <w:lang w:val="fr-FR"/>
        </w:rPr>
        <w:t>Development</w:t>
      </w:r>
      <w:proofErr w:type="spellEnd"/>
      <w:r w:rsidRPr="00D3285B">
        <w:rPr>
          <w:rFonts w:ascii="Arial" w:hAnsi="Arial" w:cs="Arial"/>
          <w:bCs/>
          <w:sz w:val="22"/>
          <w:szCs w:val="22"/>
          <w:lang w:val="fr-FR"/>
        </w:rPr>
        <w:t>, Civil Association</w:t>
      </w:r>
      <w:r>
        <w:rPr>
          <w:rFonts w:ascii="Arial" w:hAnsi="Arial" w:cs="Arial"/>
          <w:bCs/>
          <w:sz w:val="22"/>
          <w:szCs w:val="22"/>
          <w:lang w:val="fr-FR"/>
        </w:rPr>
        <w:t xml:space="preserve"> ” </w:t>
      </w:r>
      <w:r w:rsidRPr="00193170">
        <w:rPr>
          <w:rFonts w:ascii="Arial" w:hAnsi="Arial" w:cs="Arial"/>
          <w:bCs/>
          <w:sz w:val="22"/>
          <w:szCs w:val="22"/>
          <w:lang w:val="fr-FR"/>
        </w:rPr>
        <w:t>à soumettre à nouveau, si elle le souhaite, une demande d</w:t>
      </w:r>
      <w:r w:rsidR="008E532B">
        <w:rPr>
          <w:rFonts w:ascii="Arial" w:hAnsi="Arial" w:cs="Arial"/>
          <w:bCs/>
          <w:sz w:val="22"/>
          <w:szCs w:val="22"/>
          <w:lang w:val="fr-FR"/>
        </w:rPr>
        <w:t>’</w:t>
      </w:r>
      <w:r w:rsidRPr="00193170">
        <w:rPr>
          <w:rFonts w:ascii="Arial" w:hAnsi="Arial" w:cs="Arial"/>
          <w:bCs/>
          <w:sz w:val="22"/>
          <w:szCs w:val="22"/>
          <w:lang w:val="fr-FR"/>
        </w:rPr>
        <w:t>accréditation dans un cycle</w:t>
      </w:r>
      <w:r>
        <w:rPr>
          <w:rFonts w:ascii="Arial" w:hAnsi="Arial" w:cs="Arial"/>
          <w:bCs/>
          <w:sz w:val="22"/>
          <w:szCs w:val="22"/>
          <w:lang w:val="fr-FR"/>
        </w:rPr>
        <w:t xml:space="preserve"> à venir</w:t>
      </w:r>
      <w:r w:rsidRPr="00193170">
        <w:rPr>
          <w:rFonts w:ascii="Arial" w:hAnsi="Arial" w:cs="Arial"/>
          <w:bCs/>
          <w:sz w:val="22"/>
          <w:szCs w:val="22"/>
          <w:lang w:val="fr-FR"/>
        </w:rPr>
        <w:t xml:space="preserve">, </w:t>
      </w:r>
      <w:r>
        <w:rPr>
          <w:rFonts w:ascii="Arial" w:hAnsi="Arial" w:cs="Arial"/>
          <w:bCs/>
          <w:sz w:val="22"/>
          <w:szCs w:val="22"/>
          <w:lang w:val="fr-FR"/>
        </w:rPr>
        <w:t>puisqu</w:t>
      </w:r>
      <w:r w:rsidR="008E532B">
        <w:rPr>
          <w:rFonts w:ascii="Arial" w:hAnsi="Arial" w:cs="Arial"/>
          <w:bCs/>
          <w:sz w:val="22"/>
          <w:szCs w:val="22"/>
          <w:lang w:val="fr-FR"/>
        </w:rPr>
        <w:t>’</w:t>
      </w:r>
      <w:r w:rsidRPr="00193170">
        <w:rPr>
          <w:rFonts w:ascii="Arial" w:hAnsi="Arial" w:cs="Arial"/>
          <w:bCs/>
          <w:sz w:val="22"/>
          <w:szCs w:val="22"/>
          <w:lang w:val="fr-FR"/>
        </w:rPr>
        <w:t>il n</w:t>
      </w:r>
      <w:r w:rsidR="008E532B">
        <w:rPr>
          <w:rFonts w:ascii="Arial" w:hAnsi="Arial" w:cs="Arial"/>
          <w:bCs/>
          <w:sz w:val="22"/>
          <w:szCs w:val="22"/>
          <w:lang w:val="fr-FR"/>
        </w:rPr>
        <w:t>’</w:t>
      </w:r>
      <w:r w:rsidRPr="00193170">
        <w:rPr>
          <w:rFonts w:ascii="Arial" w:hAnsi="Arial" w:cs="Arial"/>
          <w:bCs/>
          <w:sz w:val="22"/>
          <w:szCs w:val="22"/>
          <w:lang w:val="fr-FR"/>
        </w:rPr>
        <w:t xml:space="preserve">est pas possible de vérifier si la demande telle que soumise dans le cadre du cycle 2021 satisfait aux critères énoncés au paragraphe 91 des </w:t>
      </w:r>
      <w:r>
        <w:rPr>
          <w:rFonts w:ascii="Arial" w:hAnsi="Arial" w:cs="Arial"/>
          <w:bCs/>
          <w:sz w:val="22"/>
          <w:szCs w:val="22"/>
          <w:lang w:val="fr-FR"/>
        </w:rPr>
        <w:t>D</w:t>
      </w:r>
      <w:r w:rsidRPr="00193170">
        <w:rPr>
          <w:rFonts w:ascii="Arial" w:hAnsi="Arial" w:cs="Arial"/>
          <w:bCs/>
          <w:sz w:val="22"/>
          <w:szCs w:val="22"/>
          <w:lang w:val="fr-FR"/>
        </w:rPr>
        <w:t>irectives opérationnelles</w:t>
      </w:r>
      <w:r>
        <w:rPr>
          <w:rFonts w:ascii="Arial" w:hAnsi="Arial" w:cs="Arial"/>
          <w:bCs/>
          <w:sz w:val="22"/>
          <w:szCs w:val="22"/>
          <w:lang w:val="fr-FR"/>
        </w:rPr>
        <w:t> »</w:t>
      </w:r>
      <w:r w:rsidRPr="00193170">
        <w:rPr>
          <w:rFonts w:ascii="Arial" w:hAnsi="Arial" w:cs="Arial"/>
          <w:bCs/>
          <w:sz w:val="22"/>
          <w:szCs w:val="22"/>
          <w:lang w:val="fr-FR"/>
        </w:rPr>
        <w:t>.</w:t>
      </w:r>
    </w:p>
    <w:p w14:paraId="28BF569B"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93170">
        <w:rPr>
          <w:rFonts w:ascii="Arial" w:hAnsi="Arial" w:cs="Arial"/>
          <w:b/>
          <w:sz w:val="22"/>
          <w:szCs w:val="22"/>
          <w:lang w:val="fr-FR"/>
        </w:rPr>
        <w:t>Présidente</w:t>
      </w:r>
      <w:r>
        <w:rPr>
          <w:rFonts w:ascii="Arial" w:hAnsi="Arial" w:cs="Arial"/>
          <w:bCs/>
          <w:sz w:val="22"/>
          <w:szCs w:val="22"/>
          <w:lang w:val="fr-FR"/>
        </w:rPr>
        <w:t xml:space="preserve"> a remercié les Pays-Bas pour sa </w:t>
      </w:r>
      <w:r w:rsidRPr="00193170">
        <w:rPr>
          <w:rFonts w:ascii="Arial" w:hAnsi="Arial" w:cs="Arial"/>
          <w:bCs/>
          <w:sz w:val="22"/>
          <w:szCs w:val="22"/>
          <w:lang w:val="fr-FR"/>
        </w:rPr>
        <w:t>proposition</w:t>
      </w:r>
      <w:r>
        <w:rPr>
          <w:rFonts w:ascii="Arial" w:hAnsi="Arial" w:cs="Arial"/>
          <w:bCs/>
          <w:sz w:val="22"/>
          <w:szCs w:val="22"/>
          <w:lang w:val="fr-FR"/>
        </w:rPr>
        <w:t>.</w:t>
      </w:r>
    </w:p>
    <w:p w14:paraId="4F6A506C" w14:textId="3AA7AC0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93170">
        <w:rPr>
          <w:rFonts w:ascii="Arial" w:hAnsi="Arial" w:cs="Arial"/>
          <w:bCs/>
          <w:sz w:val="22"/>
          <w:szCs w:val="22"/>
          <w:lang w:val="fr-FR"/>
        </w:rPr>
        <w:t>délégation</w:t>
      </w:r>
      <w:r>
        <w:rPr>
          <w:rFonts w:ascii="Arial" w:hAnsi="Arial" w:cs="Arial"/>
          <w:bCs/>
          <w:sz w:val="22"/>
          <w:szCs w:val="22"/>
          <w:lang w:val="fr-FR"/>
        </w:rPr>
        <w:t xml:space="preserve"> de </w:t>
      </w:r>
      <w:r w:rsidRPr="00193170">
        <w:rPr>
          <w:rFonts w:ascii="Arial" w:hAnsi="Arial" w:cs="Arial"/>
          <w:b/>
          <w:sz w:val="22"/>
          <w:szCs w:val="22"/>
          <w:lang w:val="fr-FR"/>
        </w:rPr>
        <w:t>Cuba</w:t>
      </w:r>
      <w:r>
        <w:rPr>
          <w:rFonts w:ascii="Arial" w:hAnsi="Arial" w:cs="Arial"/>
          <w:bCs/>
          <w:sz w:val="22"/>
          <w:szCs w:val="22"/>
          <w:lang w:val="fr-FR"/>
        </w:rPr>
        <w:t xml:space="preserve"> souhaitait faire partie des pays soutenant l</w:t>
      </w:r>
      <w:r w:rsidR="008E532B">
        <w:rPr>
          <w:rFonts w:ascii="Arial" w:hAnsi="Arial" w:cs="Arial"/>
          <w:bCs/>
          <w:sz w:val="22"/>
          <w:szCs w:val="22"/>
          <w:lang w:val="fr-FR"/>
        </w:rPr>
        <w:t>’</w:t>
      </w:r>
      <w:r w:rsidRPr="00193170">
        <w:rPr>
          <w:rFonts w:ascii="Arial" w:hAnsi="Arial" w:cs="Arial"/>
          <w:bCs/>
          <w:sz w:val="22"/>
          <w:szCs w:val="22"/>
          <w:lang w:val="fr-FR"/>
        </w:rPr>
        <w:t>amendement</w:t>
      </w:r>
      <w:r>
        <w:rPr>
          <w:rFonts w:ascii="Arial" w:hAnsi="Arial" w:cs="Arial"/>
          <w:bCs/>
          <w:sz w:val="22"/>
          <w:szCs w:val="22"/>
          <w:lang w:val="fr-FR"/>
        </w:rPr>
        <w:t xml:space="preserve"> du Mexique.</w:t>
      </w:r>
    </w:p>
    <w:p w14:paraId="3C9C3074"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93170">
        <w:rPr>
          <w:rFonts w:ascii="Arial" w:hAnsi="Arial" w:cs="Arial"/>
          <w:b/>
          <w:sz w:val="22"/>
          <w:szCs w:val="22"/>
          <w:lang w:val="fr-FR"/>
        </w:rPr>
        <w:t>Présidente</w:t>
      </w:r>
      <w:r>
        <w:rPr>
          <w:rFonts w:ascii="Arial" w:hAnsi="Arial" w:cs="Arial"/>
          <w:bCs/>
          <w:sz w:val="22"/>
          <w:szCs w:val="22"/>
          <w:lang w:val="fr-FR"/>
        </w:rPr>
        <w:t xml:space="preserve"> a demandé si les </w:t>
      </w:r>
      <w:r w:rsidRPr="00193170">
        <w:rPr>
          <w:rFonts w:ascii="Arial" w:hAnsi="Arial" w:cs="Arial"/>
          <w:bCs/>
          <w:sz w:val="22"/>
          <w:szCs w:val="22"/>
          <w:lang w:val="fr-FR"/>
        </w:rPr>
        <w:t>délégatio</w:t>
      </w:r>
      <w:r>
        <w:rPr>
          <w:rFonts w:ascii="Arial" w:hAnsi="Arial" w:cs="Arial"/>
          <w:bCs/>
          <w:sz w:val="22"/>
          <w:szCs w:val="22"/>
          <w:lang w:val="fr-FR"/>
        </w:rPr>
        <w:t xml:space="preserve">ns avaient besoin de plus de temps pour lire le texte de compromis proposé par les Pays-Bas. </w:t>
      </w:r>
    </w:p>
    <w:p w14:paraId="4EFB9739" w14:textId="346CE8B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F1090">
        <w:rPr>
          <w:rFonts w:ascii="Arial" w:hAnsi="Arial" w:cs="Arial"/>
          <w:bCs/>
          <w:sz w:val="22"/>
          <w:szCs w:val="22"/>
          <w:lang w:val="fr-FR"/>
        </w:rPr>
        <w:t xml:space="preserve">La délégation du </w:t>
      </w:r>
      <w:r w:rsidRPr="004F1090">
        <w:rPr>
          <w:rFonts w:ascii="Arial" w:hAnsi="Arial" w:cs="Arial"/>
          <w:b/>
          <w:sz w:val="22"/>
          <w:szCs w:val="22"/>
          <w:lang w:val="fr-FR"/>
        </w:rPr>
        <w:t>Mexique</w:t>
      </w:r>
      <w:r w:rsidRPr="004F1090">
        <w:rPr>
          <w:rFonts w:ascii="Arial" w:hAnsi="Arial" w:cs="Arial"/>
          <w:bCs/>
          <w:sz w:val="22"/>
          <w:szCs w:val="22"/>
          <w:lang w:val="fr-FR"/>
        </w:rPr>
        <w:t xml:space="preserve"> ne souhait</w:t>
      </w:r>
      <w:r>
        <w:rPr>
          <w:rFonts w:ascii="Arial" w:hAnsi="Arial" w:cs="Arial"/>
          <w:bCs/>
          <w:sz w:val="22"/>
          <w:szCs w:val="22"/>
          <w:lang w:val="fr-FR"/>
        </w:rPr>
        <w:t>ait</w:t>
      </w:r>
      <w:r w:rsidRPr="004F1090">
        <w:rPr>
          <w:rFonts w:ascii="Arial" w:hAnsi="Arial" w:cs="Arial"/>
          <w:bCs/>
          <w:sz w:val="22"/>
          <w:szCs w:val="22"/>
          <w:lang w:val="fr-FR"/>
        </w:rPr>
        <w:t xml:space="preserve"> pas prendre plus de temps car il y a</w:t>
      </w:r>
      <w:r>
        <w:rPr>
          <w:rFonts w:ascii="Arial" w:hAnsi="Arial" w:cs="Arial"/>
          <w:bCs/>
          <w:sz w:val="22"/>
          <w:szCs w:val="22"/>
          <w:lang w:val="fr-FR"/>
        </w:rPr>
        <w:t>vait</w:t>
      </w:r>
      <w:r w:rsidRPr="004F1090">
        <w:rPr>
          <w:rFonts w:ascii="Arial" w:hAnsi="Arial" w:cs="Arial"/>
          <w:bCs/>
          <w:sz w:val="22"/>
          <w:szCs w:val="22"/>
          <w:lang w:val="fr-FR"/>
        </w:rPr>
        <w:t xml:space="preserve"> d</w:t>
      </w:r>
      <w:r w:rsidR="008E532B">
        <w:rPr>
          <w:rFonts w:ascii="Arial" w:hAnsi="Arial" w:cs="Arial"/>
          <w:bCs/>
          <w:sz w:val="22"/>
          <w:szCs w:val="22"/>
          <w:lang w:val="fr-FR"/>
        </w:rPr>
        <w:t>’</w:t>
      </w:r>
      <w:r w:rsidRPr="004F1090">
        <w:rPr>
          <w:rFonts w:ascii="Arial" w:hAnsi="Arial" w:cs="Arial"/>
          <w:bCs/>
          <w:sz w:val="22"/>
          <w:szCs w:val="22"/>
          <w:lang w:val="fr-FR"/>
        </w:rPr>
        <w:t>autres questions importantes à discuter. Elle a</w:t>
      </w:r>
      <w:r>
        <w:rPr>
          <w:rFonts w:ascii="Arial" w:hAnsi="Arial" w:cs="Arial"/>
          <w:bCs/>
          <w:sz w:val="22"/>
          <w:szCs w:val="22"/>
          <w:lang w:val="fr-FR"/>
        </w:rPr>
        <w:t xml:space="preserve"> adressé</w:t>
      </w:r>
      <w:r w:rsidRPr="004F1090">
        <w:rPr>
          <w:rFonts w:ascii="Arial" w:hAnsi="Arial" w:cs="Arial"/>
          <w:bCs/>
          <w:sz w:val="22"/>
          <w:szCs w:val="22"/>
          <w:lang w:val="fr-FR"/>
        </w:rPr>
        <w:t xml:space="preserve"> ses remerciements aux Pays-Bas pour sa proposition qui présent</w:t>
      </w:r>
      <w:r>
        <w:rPr>
          <w:rFonts w:ascii="Arial" w:hAnsi="Arial" w:cs="Arial"/>
          <w:bCs/>
          <w:sz w:val="22"/>
          <w:szCs w:val="22"/>
          <w:lang w:val="fr-FR"/>
        </w:rPr>
        <w:t>ait</w:t>
      </w:r>
      <w:r w:rsidRPr="004F1090">
        <w:rPr>
          <w:rFonts w:ascii="Arial" w:hAnsi="Arial" w:cs="Arial"/>
          <w:bCs/>
          <w:sz w:val="22"/>
          <w:szCs w:val="22"/>
          <w:lang w:val="fr-FR"/>
        </w:rPr>
        <w:t xml:space="preserve"> un texte de compromis pour les pays qui </w:t>
      </w:r>
      <w:r>
        <w:rPr>
          <w:rFonts w:ascii="Arial" w:hAnsi="Arial" w:cs="Arial"/>
          <w:bCs/>
          <w:sz w:val="22"/>
          <w:szCs w:val="22"/>
          <w:lang w:val="fr-FR"/>
        </w:rPr>
        <w:t>avaient</w:t>
      </w:r>
      <w:r w:rsidRPr="004F1090">
        <w:rPr>
          <w:rFonts w:ascii="Arial" w:hAnsi="Arial" w:cs="Arial"/>
          <w:bCs/>
          <w:sz w:val="22"/>
          <w:szCs w:val="22"/>
          <w:lang w:val="fr-FR"/>
        </w:rPr>
        <w:t xml:space="preserve"> exprimé des doutes sur son amendement. La délégation</w:t>
      </w:r>
      <w:r>
        <w:rPr>
          <w:rFonts w:ascii="Arial" w:hAnsi="Arial" w:cs="Arial"/>
          <w:bCs/>
          <w:sz w:val="22"/>
          <w:szCs w:val="22"/>
          <w:lang w:val="fr-FR"/>
        </w:rPr>
        <w:t xml:space="preserve">, qui </w:t>
      </w:r>
      <w:r w:rsidRPr="004F1090">
        <w:rPr>
          <w:rFonts w:ascii="Arial" w:hAnsi="Arial" w:cs="Arial"/>
          <w:bCs/>
          <w:sz w:val="22"/>
          <w:szCs w:val="22"/>
          <w:lang w:val="fr-FR"/>
        </w:rPr>
        <w:t>compr</w:t>
      </w:r>
      <w:r>
        <w:rPr>
          <w:rFonts w:ascii="Arial" w:hAnsi="Arial" w:cs="Arial"/>
          <w:bCs/>
          <w:sz w:val="22"/>
          <w:szCs w:val="22"/>
          <w:lang w:val="fr-FR"/>
        </w:rPr>
        <w:t>enait</w:t>
      </w:r>
      <w:r w:rsidRPr="004F1090">
        <w:rPr>
          <w:rFonts w:ascii="Arial" w:hAnsi="Arial" w:cs="Arial"/>
          <w:bCs/>
          <w:sz w:val="22"/>
          <w:szCs w:val="22"/>
          <w:lang w:val="fr-FR"/>
        </w:rPr>
        <w:t xml:space="preserve"> les préoccupations </w:t>
      </w:r>
      <w:r>
        <w:rPr>
          <w:rFonts w:ascii="Arial" w:hAnsi="Arial" w:cs="Arial"/>
          <w:bCs/>
          <w:sz w:val="22"/>
          <w:szCs w:val="22"/>
          <w:lang w:val="fr-FR"/>
        </w:rPr>
        <w:t xml:space="preserve">relatives à </w:t>
      </w:r>
      <w:r w:rsidRPr="004F1090">
        <w:rPr>
          <w:rFonts w:ascii="Arial" w:hAnsi="Arial" w:cs="Arial"/>
          <w:bCs/>
          <w:sz w:val="22"/>
          <w:szCs w:val="22"/>
          <w:lang w:val="fr-FR"/>
        </w:rPr>
        <w:t>la création d</w:t>
      </w:r>
      <w:r w:rsidR="008E532B">
        <w:rPr>
          <w:rFonts w:ascii="Arial" w:hAnsi="Arial" w:cs="Arial"/>
          <w:bCs/>
          <w:sz w:val="22"/>
          <w:szCs w:val="22"/>
          <w:lang w:val="fr-FR"/>
        </w:rPr>
        <w:t>’</w:t>
      </w:r>
      <w:r w:rsidRPr="004F1090">
        <w:rPr>
          <w:rFonts w:ascii="Arial" w:hAnsi="Arial" w:cs="Arial"/>
          <w:bCs/>
          <w:sz w:val="22"/>
          <w:szCs w:val="22"/>
          <w:lang w:val="fr-FR"/>
        </w:rPr>
        <w:t>un précédent</w:t>
      </w:r>
      <w:r>
        <w:rPr>
          <w:rFonts w:ascii="Arial" w:hAnsi="Arial" w:cs="Arial"/>
          <w:bCs/>
          <w:sz w:val="22"/>
          <w:szCs w:val="22"/>
          <w:lang w:val="fr-FR"/>
        </w:rPr>
        <w:t>,</w:t>
      </w:r>
      <w:r w:rsidRPr="004F1090">
        <w:rPr>
          <w:rFonts w:ascii="Arial" w:hAnsi="Arial" w:cs="Arial"/>
          <w:bCs/>
          <w:sz w:val="22"/>
          <w:szCs w:val="22"/>
          <w:lang w:val="fr-FR"/>
        </w:rPr>
        <w:t xml:space="preserve"> a donc accepté d</w:t>
      </w:r>
      <w:r w:rsidR="008E532B">
        <w:rPr>
          <w:rFonts w:ascii="Arial" w:hAnsi="Arial" w:cs="Arial"/>
          <w:bCs/>
          <w:sz w:val="22"/>
          <w:szCs w:val="22"/>
          <w:lang w:val="fr-FR"/>
        </w:rPr>
        <w:t>’</w:t>
      </w:r>
      <w:r w:rsidRPr="004F1090">
        <w:rPr>
          <w:rFonts w:ascii="Arial" w:hAnsi="Arial" w:cs="Arial"/>
          <w:bCs/>
          <w:sz w:val="22"/>
          <w:szCs w:val="22"/>
          <w:lang w:val="fr-FR"/>
        </w:rPr>
        <w:t xml:space="preserve">ajouter </w:t>
      </w:r>
      <w:r>
        <w:rPr>
          <w:rFonts w:ascii="Arial" w:hAnsi="Arial" w:cs="Arial"/>
          <w:bCs/>
          <w:sz w:val="22"/>
          <w:szCs w:val="22"/>
          <w:lang w:val="fr-FR"/>
        </w:rPr>
        <w:t xml:space="preserve">la modification </w:t>
      </w:r>
      <w:r w:rsidRPr="004F1090">
        <w:rPr>
          <w:rFonts w:ascii="Arial" w:hAnsi="Arial" w:cs="Arial"/>
          <w:bCs/>
          <w:sz w:val="22"/>
          <w:szCs w:val="22"/>
          <w:lang w:val="fr-FR"/>
        </w:rPr>
        <w:t>proposé</w:t>
      </w:r>
      <w:r>
        <w:rPr>
          <w:rFonts w:ascii="Arial" w:hAnsi="Arial" w:cs="Arial"/>
          <w:bCs/>
          <w:sz w:val="22"/>
          <w:szCs w:val="22"/>
          <w:lang w:val="fr-FR"/>
        </w:rPr>
        <w:t>e</w:t>
      </w:r>
      <w:r w:rsidRPr="004F1090">
        <w:rPr>
          <w:rFonts w:ascii="Arial" w:hAnsi="Arial" w:cs="Arial"/>
          <w:bCs/>
          <w:sz w:val="22"/>
          <w:szCs w:val="22"/>
          <w:lang w:val="fr-FR"/>
        </w:rPr>
        <w:t xml:space="preserve"> au deuxième paragraphe de sa propre option afin de parvenir à un consensus.</w:t>
      </w:r>
    </w:p>
    <w:p w14:paraId="24E551AE" w14:textId="5128DBB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F1090">
        <w:rPr>
          <w:rFonts w:ascii="Arial" w:hAnsi="Arial" w:cs="Arial"/>
          <w:b/>
          <w:sz w:val="22"/>
          <w:szCs w:val="22"/>
          <w:lang w:val="fr-FR"/>
        </w:rPr>
        <w:t>Présidente</w:t>
      </w:r>
      <w:r>
        <w:rPr>
          <w:rFonts w:ascii="Arial" w:hAnsi="Arial" w:cs="Arial"/>
          <w:bCs/>
          <w:sz w:val="22"/>
          <w:szCs w:val="22"/>
          <w:lang w:val="fr-FR"/>
        </w:rPr>
        <w:t xml:space="preserve"> a demandé s</w:t>
      </w:r>
      <w:r w:rsidR="008E532B">
        <w:rPr>
          <w:rFonts w:ascii="Arial" w:hAnsi="Arial" w:cs="Arial"/>
          <w:bCs/>
          <w:sz w:val="22"/>
          <w:szCs w:val="22"/>
          <w:lang w:val="fr-FR"/>
        </w:rPr>
        <w:t>’</w:t>
      </w:r>
      <w:r>
        <w:rPr>
          <w:rFonts w:ascii="Arial" w:hAnsi="Arial" w:cs="Arial"/>
          <w:bCs/>
          <w:sz w:val="22"/>
          <w:szCs w:val="22"/>
          <w:lang w:val="fr-FR"/>
        </w:rPr>
        <w:t xml:space="preserve">il y avait des </w:t>
      </w:r>
      <w:r w:rsidRPr="004F1090">
        <w:rPr>
          <w:rFonts w:ascii="Arial" w:hAnsi="Arial" w:cs="Arial"/>
          <w:bCs/>
          <w:sz w:val="22"/>
          <w:szCs w:val="22"/>
          <w:lang w:val="fr-FR"/>
        </w:rPr>
        <w:t>objections</w:t>
      </w:r>
      <w:r>
        <w:rPr>
          <w:rFonts w:ascii="Arial" w:hAnsi="Arial" w:cs="Arial"/>
          <w:bCs/>
          <w:sz w:val="22"/>
          <w:szCs w:val="22"/>
          <w:lang w:val="fr-FR"/>
        </w:rPr>
        <w:t xml:space="preserve"> au nouveau libellé proposé.</w:t>
      </w:r>
    </w:p>
    <w:p w14:paraId="0C7B503D" w14:textId="430E1E5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F1090">
        <w:rPr>
          <w:rFonts w:ascii="Arial" w:hAnsi="Arial" w:cs="Arial"/>
          <w:bCs/>
          <w:sz w:val="22"/>
          <w:szCs w:val="22"/>
          <w:lang w:val="fr-FR"/>
        </w:rPr>
        <w:t>délégation</w:t>
      </w:r>
      <w:r>
        <w:rPr>
          <w:rFonts w:ascii="Arial" w:hAnsi="Arial" w:cs="Arial"/>
          <w:bCs/>
          <w:sz w:val="22"/>
          <w:szCs w:val="22"/>
          <w:lang w:val="fr-FR"/>
        </w:rPr>
        <w:t xml:space="preserve"> du </w:t>
      </w:r>
      <w:r w:rsidRPr="004F1090">
        <w:rPr>
          <w:rFonts w:ascii="Arial" w:hAnsi="Arial" w:cs="Arial"/>
          <w:b/>
          <w:sz w:val="22"/>
          <w:szCs w:val="22"/>
          <w:lang w:val="fr-FR"/>
        </w:rPr>
        <w:t>Mali</w:t>
      </w:r>
      <w:r>
        <w:rPr>
          <w:rFonts w:ascii="Arial" w:hAnsi="Arial" w:cs="Arial"/>
          <w:bCs/>
          <w:sz w:val="22"/>
          <w:szCs w:val="22"/>
          <w:lang w:val="fr-FR"/>
        </w:rPr>
        <w:t xml:space="preserve">, qui soutenait la </w:t>
      </w:r>
      <w:r w:rsidRPr="004F1090">
        <w:rPr>
          <w:rFonts w:ascii="Arial" w:hAnsi="Arial" w:cs="Arial"/>
          <w:bCs/>
          <w:sz w:val="22"/>
          <w:szCs w:val="22"/>
          <w:lang w:val="fr-FR"/>
        </w:rPr>
        <w:t>proposition</w:t>
      </w:r>
      <w:r>
        <w:rPr>
          <w:rFonts w:ascii="Arial" w:hAnsi="Arial" w:cs="Arial"/>
          <w:bCs/>
          <w:sz w:val="22"/>
          <w:szCs w:val="22"/>
          <w:lang w:val="fr-FR"/>
        </w:rPr>
        <w:t xml:space="preserve"> du Mexique, a proposé qu</w:t>
      </w:r>
      <w:r w:rsidR="008E532B">
        <w:rPr>
          <w:rFonts w:ascii="Arial" w:hAnsi="Arial" w:cs="Arial"/>
          <w:bCs/>
          <w:sz w:val="22"/>
          <w:szCs w:val="22"/>
          <w:lang w:val="fr-FR"/>
        </w:rPr>
        <w:t>’</w:t>
      </w:r>
      <w:r>
        <w:rPr>
          <w:rFonts w:ascii="Arial" w:hAnsi="Arial" w:cs="Arial"/>
          <w:bCs/>
          <w:sz w:val="22"/>
          <w:szCs w:val="22"/>
          <w:lang w:val="fr-FR"/>
        </w:rPr>
        <w:t xml:space="preserve">au lieu de rencontrer toutes les </w:t>
      </w:r>
      <w:r w:rsidRPr="004F1090">
        <w:rPr>
          <w:rFonts w:ascii="Arial" w:hAnsi="Arial" w:cs="Arial"/>
          <w:bCs/>
          <w:sz w:val="22"/>
          <w:szCs w:val="22"/>
          <w:lang w:val="fr-FR"/>
        </w:rPr>
        <w:t>délégatio</w:t>
      </w:r>
      <w:r>
        <w:rPr>
          <w:rFonts w:ascii="Arial" w:hAnsi="Arial" w:cs="Arial"/>
          <w:bCs/>
          <w:sz w:val="22"/>
          <w:szCs w:val="22"/>
          <w:lang w:val="fr-FR"/>
        </w:rPr>
        <w:t xml:space="preserve">ns, le Mexique communique un document au </w:t>
      </w:r>
      <w:r w:rsidRPr="004F1090">
        <w:rPr>
          <w:rFonts w:ascii="Arial" w:hAnsi="Arial" w:cs="Arial"/>
          <w:bCs/>
          <w:sz w:val="22"/>
          <w:szCs w:val="22"/>
          <w:lang w:val="fr-FR"/>
        </w:rPr>
        <w:t>Secréta</w:t>
      </w:r>
      <w:r>
        <w:rPr>
          <w:rFonts w:ascii="Arial" w:hAnsi="Arial" w:cs="Arial"/>
          <w:bCs/>
          <w:sz w:val="22"/>
          <w:szCs w:val="22"/>
          <w:lang w:val="fr-FR"/>
        </w:rPr>
        <w:t xml:space="preserve">riat expliquant toutes ses réserves, et ce, afin de gagner du temps lorsque la même </w:t>
      </w:r>
      <w:r w:rsidRPr="004F1090">
        <w:rPr>
          <w:rFonts w:ascii="Arial" w:hAnsi="Arial" w:cs="Arial"/>
          <w:bCs/>
          <w:sz w:val="22"/>
          <w:szCs w:val="22"/>
          <w:lang w:val="fr-FR"/>
        </w:rPr>
        <w:t>proposition</w:t>
      </w:r>
      <w:r>
        <w:rPr>
          <w:rFonts w:ascii="Arial" w:hAnsi="Arial" w:cs="Arial"/>
          <w:bCs/>
          <w:sz w:val="22"/>
          <w:szCs w:val="22"/>
          <w:lang w:val="fr-FR"/>
        </w:rPr>
        <w:t xml:space="preserve"> serait soumise lors d</w:t>
      </w:r>
      <w:r w:rsidR="008E532B">
        <w:rPr>
          <w:rFonts w:ascii="Arial" w:hAnsi="Arial" w:cs="Arial"/>
          <w:bCs/>
          <w:sz w:val="22"/>
          <w:szCs w:val="22"/>
          <w:lang w:val="fr-FR"/>
        </w:rPr>
        <w:t>’</w:t>
      </w:r>
      <w:r>
        <w:rPr>
          <w:rFonts w:ascii="Arial" w:hAnsi="Arial" w:cs="Arial"/>
          <w:bCs/>
          <w:sz w:val="22"/>
          <w:szCs w:val="22"/>
          <w:lang w:val="fr-FR"/>
        </w:rPr>
        <w:t>un cycle à venir.</w:t>
      </w:r>
    </w:p>
    <w:p w14:paraId="71C1E755" w14:textId="0BEDCB2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F1090">
        <w:rPr>
          <w:rFonts w:ascii="Arial" w:hAnsi="Arial" w:cs="Arial"/>
          <w:bCs/>
          <w:sz w:val="22"/>
          <w:szCs w:val="22"/>
          <w:lang w:val="fr-FR"/>
        </w:rPr>
        <w:t xml:space="preserve">Le </w:t>
      </w:r>
      <w:r w:rsidRPr="004F1090">
        <w:rPr>
          <w:rFonts w:ascii="Arial" w:hAnsi="Arial" w:cs="Arial"/>
          <w:b/>
          <w:sz w:val="22"/>
          <w:szCs w:val="22"/>
          <w:lang w:val="fr-FR"/>
        </w:rPr>
        <w:t>Sous-Directeur général</w:t>
      </w:r>
      <w:r w:rsidRPr="004F1090">
        <w:rPr>
          <w:rFonts w:ascii="Arial" w:hAnsi="Arial" w:cs="Arial"/>
          <w:bCs/>
          <w:sz w:val="22"/>
          <w:szCs w:val="22"/>
          <w:lang w:val="fr-FR"/>
        </w:rPr>
        <w:t xml:space="preserve"> a fait remarquer que tous les documents relatifs à l</w:t>
      </w:r>
      <w:r w:rsidR="008E532B">
        <w:rPr>
          <w:rFonts w:ascii="Arial" w:hAnsi="Arial" w:cs="Arial"/>
          <w:bCs/>
          <w:sz w:val="22"/>
          <w:szCs w:val="22"/>
          <w:lang w:val="fr-FR"/>
        </w:rPr>
        <w:t>’</w:t>
      </w:r>
      <w:r w:rsidRPr="004F1090">
        <w:rPr>
          <w:rFonts w:ascii="Arial" w:hAnsi="Arial" w:cs="Arial"/>
          <w:bCs/>
          <w:sz w:val="22"/>
          <w:szCs w:val="22"/>
          <w:lang w:val="fr-FR"/>
        </w:rPr>
        <w:t xml:space="preserve">amendement du Mexique avaient déjà été soumis </w:t>
      </w:r>
      <w:r>
        <w:rPr>
          <w:rFonts w:ascii="Arial" w:hAnsi="Arial" w:cs="Arial"/>
          <w:bCs/>
          <w:sz w:val="22"/>
          <w:szCs w:val="22"/>
          <w:lang w:val="fr-FR"/>
        </w:rPr>
        <w:t xml:space="preserve">afin de </w:t>
      </w:r>
      <w:r w:rsidRPr="004F1090">
        <w:rPr>
          <w:rFonts w:ascii="Arial" w:hAnsi="Arial" w:cs="Arial"/>
          <w:bCs/>
          <w:sz w:val="22"/>
          <w:szCs w:val="22"/>
          <w:lang w:val="fr-FR"/>
        </w:rPr>
        <w:t xml:space="preserve">permettre aux États parties de prendre leur décision. </w:t>
      </w:r>
      <w:r w:rsidR="006221EA">
        <w:rPr>
          <w:rFonts w:ascii="Arial" w:hAnsi="Arial" w:cs="Arial"/>
          <w:bCs/>
          <w:sz w:val="22"/>
          <w:szCs w:val="22"/>
          <w:lang w:val="fr-FR"/>
        </w:rPr>
        <w:t>Le</w:t>
      </w:r>
      <w:r w:rsidR="006221EA" w:rsidRPr="006221EA">
        <w:rPr>
          <w:rFonts w:ascii="Arial" w:hAnsi="Arial" w:cs="Arial"/>
          <w:bCs/>
          <w:sz w:val="22"/>
          <w:szCs w:val="22"/>
          <w:lang w:val="fr-FR"/>
        </w:rPr>
        <w:t xml:space="preserve"> Sous-Directeur général </w:t>
      </w:r>
      <w:r w:rsidRPr="004F1090">
        <w:rPr>
          <w:rFonts w:ascii="Arial" w:hAnsi="Arial" w:cs="Arial"/>
          <w:bCs/>
          <w:sz w:val="22"/>
          <w:szCs w:val="22"/>
          <w:lang w:val="fr-FR"/>
        </w:rPr>
        <w:t xml:space="preserve">a </w:t>
      </w:r>
      <w:r w:rsidR="006221EA">
        <w:rPr>
          <w:rFonts w:ascii="Arial" w:hAnsi="Arial" w:cs="Arial"/>
          <w:bCs/>
          <w:sz w:val="22"/>
          <w:szCs w:val="22"/>
          <w:lang w:val="fr-FR"/>
        </w:rPr>
        <w:t>résumé les</w:t>
      </w:r>
      <w:r w:rsidRPr="004F1090">
        <w:rPr>
          <w:rFonts w:ascii="Arial" w:hAnsi="Arial" w:cs="Arial"/>
          <w:bCs/>
          <w:sz w:val="22"/>
          <w:szCs w:val="22"/>
          <w:lang w:val="fr-FR"/>
        </w:rPr>
        <w:t xml:space="preserve"> quatre options. Il </w:t>
      </w:r>
      <w:r>
        <w:rPr>
          <w:rFonts w:ascii="Arial" w:hAnsi="Arial" w:cs="Arial"/>
          <w:bCs/>
          <w:sz w:val="22"/>
          <w:szCs w:val="22"/>
          <w:lang w:val="fr-FR"/>
        </w:rPr>
        <w:t xml:space="preserve">a </w:t>
      </w:r>
      <w:r w:rsidRPr="004F1090">
        <w:rPr>
          <w:rFonts w:ascii="Arial" w:hAnsi="Arial" w:cs="Arial"/>
          <w:bCs/>
          <w:sz w:val="22"/>
          <w:szCs w:val="22"/>
          <w:lang w:val="fr-FR"/>
        </w:rPr>
        <w:t xml:space="preserve">fait </w:t>
      </w:r>
      <w:r>
        <w:rPr>
          <w:rFonts w:ascii="Arial" w:hAnsi="Arial" w:cs="Arial"/>
          <w:bCs/>
          <w:sz w:val="22"/>
          <w:szCs w:val="22"/>
          <w:lang w:val="fr-FR"/>
        </w:rPr>
        <w:t xml:space="preserve">remarquer </w:t>
      </w:r>
      <w:r w:rsidRPr="004F1090">
        <w:rPr>
          <w:rFonts w:ascii="Arial" w:hAnsi="Arial" w:cs="Arial"/>
          <w:bCs/>
          <w:sz w:val="22"/>
          <w:szCs w:val="22"/>
          <w:lang w:val="fr-FR"/>
        </w:rPr>
        <w:t>que la Présidente a</w:t>
      </w:r>
      <w:r>
        <w:rPr>
          <w:rFonts w:ascii="Arial" w:hAnsi="Arial" w:cs="Arial"/>
          <w:bCs/>
          <w:sz w:val="22"/>
          <w:szCs w:val="22"/>
          <w:lang w:val="fr-FR"/>
        </w:rPr>
        <w:t>vait</w:t>
      </w:r>
      <w:r w:rsidRPr="004F1090">
        <w:rPr>
          <w:rFonts w:ascii="Arial" w:hAnsi="Arial" w:cs="Arial"/>
          <w:bCs/>
          <w:sz w:val="22"/>
          <w:szCs w:val="22"/>
          <w:lang w:val="fr-FR"/>
        </w:rPr>
        <w:t xml:space="preserve"> demandé si une délégation avait un commentaire </w:t>
      </w:r>
      <w:r>
        <w:rPr>
          <w:rFonts w:ascii="Arial" w:hAnsi="Arial" w:cs="Arial"/>
          <w:bCs/>
          <w:sz w:val="22"/>
          <w:szCs w:val="22"/>
          <w:lang w:val="fr-FR"/>
        </w:rPr>
        <w:t xml:space="preserve">à formuler ou objectait </w:t>
      </w:r>
      <w:r w:rsidRPr="004F1090">
        <w:rPr>
          <w:rFonts w:ascii="Arial" w:hAnsi="Arial" w:cs="Arial"/>
          <w:bCs/>
          <w:sz w:val="22"/>
          <w:szCs w:val="22"/>
          <w:lang w:val="fr-FR"/>
        </w:rPr>
        <w:t xml:space="preserve">à la version </w:t>
      </w:r>
      <w:r>
        <w:rPr>
          <w:rFonts w:ascii="Arial" w:hAnsi="Arial" w:cs="Arial"/>
          <w:bCs/>
          <w:sz w:val="22"/>
          <w:szCs w:val="22"/>
          <w:lang w:val="fr-FR"/>
        </w:rPr>
        <w:t xml:space="preserve">de </w:t>
      </w:r>
      <w:r w:rsidRPr="004F1090">
        <w:rPr>
          <w:rFonts w:ascii="Arial" w:hAnsi="Arial" w:cs="Arial"/>
          <w:bCs/>
          <w:sz w:val="22"/>
          <w:szCs w:val="22"/>
          <w:lang w:val="fr-FR"/>
        </w:rPr>
        <w:t>consens</w:t>
      </w:r>
      <w:r>
        <w:rPr>
          <w:rFonts w:ascii="Arial" w:hAnsi="Arial" w:cs="Arial"/>
          <w:bCs/>
          <w:sz w:val="22"/>
          <w:szCs w:val="22"/>
          <w:lang w:val="fr-FR"/>
        </w:rPr>
        <w:t>us</w:t>
      </w:r>
      <w:r w:rsidRPr="004F1090">
        <w:rPr>
          <w:rFonts w:ascii="Arial" w:hAnsi="Arial" w:cs="Arial"/>
          <w:bCs/>
          <w:sz w:val="22"/>
          <w:szCs w:val="22"/>
          <w:lang w:val="fr-FR"/>
        </w:rPr>
        <w:t xml:space="preserve">. Les quatre options étaient les suivantes : </w:t>
      </w:r>
      <w:r>
        <w:rPr>
          <w:rFonts w:ascii="Arial" w:hAnsi="Arial" w:cs="Arial"/>
          <w:bCs/>
          <w:sz w:val="22"/>
          <w:szCs w:val="22"/>
          <w:lang w:val="fr-FR"/>
        </w:rPr>
        <w:t>l</w:t>
      </w:r>
      <w:r w:rsidR="008E532B">
        <w:rPr>
          <w:rFonts w:ascii="Arial" w:hAnsi="Arial" w:cs="Arial"/>
          <w:bCs/>
          <w:sz w:val="22"/>
          <w:szCs w:val="22"/>
          <w:lang w:val="fr-FR"/>
        </w:rPr>
        <w:t>’</w:t>
      </w:r>
      <w:r w:rsidRPr="004F1090">
        <w:rPr>
          <w:rFonts w:ascii="Arial" w:hAnsi="Arial" w:cs="Arial"/>
          <w:bCs/>
          <w:sz w:val="22"/>
          <w:szCs w:val="22"/>
          <w:lang w:val="fr-FR"/>
        </w:rPr>
        <w:t>option A [les deux ONG sont accréditées] ; l</w:t>
      </w:r>
      <w:r w:rsidR="008E532B">
        <w:rPr>
          <w:rFonts w:ascii="Arial" w:hAnsi="Arial" w:cs="Arial"/>
          <w:bCs/>
          <w:sz w:val="22"/>
          <w:szCs w:val="22"/>
          <w:lang w:val="fr-FR"/>
        </w:rPr>
        <w:t>’</w:t>
      </w:r>
      <w:r w:rsidRPr="004F1090">
        <w:rPr>
          <w:rFonts w:ascii="Arial" w:hAnsi="Arial" w:cs="Arial"/>
          <w:bCs/>
          <w:sz w:val="22"/>
          <w:szCs w:val="22"/>
          <w:lang w:val="fr-FR"/>
        </w:rPr>
        <w:t>option du Mexique [une seule des ONG est accréditée] ; la proposition de consensus [du Mexique et des Pays-Bas] ; et, en cas de non-accord, une consultation avec le Mexique et les délégations qui n</w:t>
      </w:r>
      <w:r w:rsidR="008E532B">
        <w:rPr>
          <w:rFonts w:ascii="Arial" w:hAnsi="Arial" w:cs="Arial"/>
          <w:bCs/>
          <w:sz w:val="22"/>
          <w:szCs w:val="22"/>
          <w:lang w:val="fr-FR"/>
        </w:rPr>
        <w:t>’</w:t>
      </w:r>
      <w:r w:rsidRPr="004F1090">
        <w:rPr>
          <w:rFonts w:ascii="Arial" w:hAnsi="Arial" w:cs="Arial"/>
          <w:bCs/>
          <w:sz w:val="22"/>
          <w:szCs w:val="22"/>
          <w:lang w:val="fr-FR"/>
        </w:rPr>
        <w:t>étaient pas d</w:t>
      </w:r>
      <w:r w:rsidR="008E532B">
        <w:rPr>
          <w:rFonts w:ascii="Arial" w:hAnsi="Arial" w:cs="Arial"/>
          <w:bCs/>
          <w:sz w:val="22"/>
          <w:szCs w:val="22"/>
          <w:lang w:val="fr-FR"/>
        </w:rPr>
        <w:t>’</w:t>
      </w:r>
      <w:r w:rsidRPr="004F1090">
        <w:rPr>
          <w:rFonts w:ascii="Arial" w:hAnsi="Arial" w:cs="Arial"/>
          <w:bCs/>
          <w:sz w:val="22"/>
          <w:szCs w:val="22"/>
          <w:lang w:val="fr-FR"/>
        </w:rPr>
        <w:t>accord avec sa proposition, en leur demandant de revenir après le déjeuner avec une proposition de consensus.</w:t>
      </w:r>
    </w:p>
    <w:p w14:paraId="36D4AA68" w14:textId="49341D3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C29FC">
        <w:rPr>
          <w:rFonts w:ascii="Arial" w:hAnsi="Arial" w:cs="Arial"/>
          <w:bCs/>
          <w:sz w:val="22"/>
          <w:szCs w:val="22"/>
          <w:lang w:val="fr-FR"/>
        </w:rPr>
        <w:t xml:space="preserve">La délégation de la </w:t>
      </w:r>
      <w:r w:rsidRPr="009C29FC">
        <w:rPr>
          <w:rFonts w:ascii="Arial" w:hAnsi="Arial" w:cs="Arial"/>
          <w:b/>
          <w:sz w:val="22"/>
          <w:szCs w:val="22"/>
          <w:lang w:val="fr-FR"/>
        </w:rPr>
        <w:t>Palestine</w:t>
      </w:r>
      <w:r w:rsidRPr="009C29FC">
        <w:rPr>
          <w:rFonts w:ascii="Arial" w:hAnsi="Arial" w:cs="Arial"/>
          <w:bCs/>
          <w:sz w:val="22"/>
          <w:szCs w:val="22"/>
          <w:lang w:val="fr-FR"/>
        </w:rPr>
        <w:t xml:space="preserve"> a remercié le Sous-Directeur général pour le résumé clair. Il a été noté qu</w:t>
      </w:r>
      <w:r w:rsidR="008E532B">
        <w:rPr>
          <w:rFonts w:ascii="Arial" w:hAnsi="Arial" w:cs="Arial"/>
          <w:bCs/>
          <w:sz w:val="22"/>
          <w:szCs w:val="22"/>
          <w:lang w:val="fr-FR"/>
        </w:rPr>
        <w:t>’</w:t>
      </w:r>
      <w:r w:rsidRPr="009C29FC">
        <w:rPr>
          <w:rFonts w:ascii="Arial" w:hAnsi="Arial" w:cs="Arial"/>
          <w:bCs/>
          <w:sz w:val="22"/>
          <w:szCs w:val="22"/>
          <w:lang w:val="fr-FR"/>
        </w:rPr>
        <w:t>il n</w:t>
      </w:r>
      <w:r w:rsidR="008E532B">
        <w:rPr>
          <w:rFonts w:ascii="Arial" w:hAnsi="Arial" w:cs="Arial"/>
          <w:bCs/>
          <w:sz w:val="22"/>
          <w:szCs w:val="22"/>
          <w:lang w:val="fr-FR"/>
        </w:rPr>
        <w:t>’</w:t>
      </w:r>
      <w:r w:rsidRPr="009C29FC">
        <w:rPr>
          <w:rFonts w:ascii="Arial" w:hAnsi="Arial" w:cs="Arial"/>
          <w:bCs/>
          <w:sz w:val="22"/>
          <w:szCs w:val="22"/>
          <w:lang w:val="fr-FR"/>
        </w:rPr>
        <w:t>y avait pas d</w:t>
      </w:r>
      <w:r w:rsidR="008E532B">
        <w:rPr>
          <w:rFonts w:ascii="Arial" w:hAnsi="Arial" w:cs="Arial"/>
          <w:bCs/>
          <w:sz w:val="22"/>
          <w:szCs w:val="22"/>
          <w:lang w:val="fr-FR"/>
        </w:rPr>
        <w:t>’</w:t>
      </w:r>
      <w:r w:rsidRPr="009C29FC">
        <w:rPr>
          <w:rFonts w:ascii="Arial" w:hAnsi="Arial" w:cs="Arial"/>
          <w:bCs/>
          <w:sz w:val="22"/>
          <w:szCs w:val="22"/>
          <w:lang w:val="fr-FR"/>
        </w:rPr>
        <w:t>objections à l</w:t>
      </w:r>
      <w:r w:rsidR="008E532B">
        <w:rPr>
          <w:rFonts w:ascii="Arial" w:hAnsi="Arial" w:cs="Arial"/>
          <w:bCs/>
          <w:sz w:val="22"/>
          <w:szCs w:val="22"/>
          <w:lang w:val="fr-FR"/>
        </w:rPr>
        <w:t>’</w:t>
      </w:r>
      <w:r w:rsidRPr="009C29FC">
        <w:rPr>
          <w:rFonts w:ascii="Arial" w:hAnsi="Arial" w:cs="Arial"/>
          <w:bCs/>
          <w:sz w:val="22"/>
          <w:szCs w:val="22"/>
          <w:lang w:val="fr-FR"/>
        </w:rPr>
        <w:t>option du Mexique telle q</w:t>
      </w:r>
      <w:r>
        <w:rPr>
          <w:rFonts w:ascii="Arial" w:hAnsi="Arial" w:cs="Arial"/>
          <w:bCs/>
          <w:sz w:val="22"/>
          <w:szCs w:val="22"/>
          <w:lang w:val="fr-FR"/>
        </w:rPr>
        <w:t>ue modifiée</w:t>
      </w:r>
      <w:r w:rsidRPr="009C29FC">
        <w:rPr>
          <w:rFonts w:ascii="Arial" w:hAnsi="Arial" w:cs="Arial"/>
          <w:bCs/>
          <w:sz w:val="22"/>
          <w:szCs w:val="22"/>
          <w:lang w:val="fr-FR"/>
        </w:rPr>
        <w:t xml:space="preserve"> par les Pays</w:t>
      </w:r>
      <w:r>
        <w:rPr>
          <w:rFonts w:ascii="Arial" w:hAnsi="Arial" w:cs="Arial"/>
          <w:bCs/>
          <w:sz w:val="22"/>
          <w:szCs w:val="22"/>
          <w:lang w:val="fr-FR"/>
        </w:rPr>
        <w:noBreakHyphen/>
      </w:r>
      <w:r w:rsidRPr="009C29FC">
        <w:rPr>
          <w:rFonts w:ascii="Arial" w:hAnsi="Arial" w:cs="Arial"/>
          <w:bCs/>
          <w:sz w:val="22"/>
          <w:szCs w:val="22"/>
          <w:lang w:val="fr-FR"/>
        </w:rPr>
        <w:t>Bas. La délégation a donc suggéré de passer à son adoption immédiate.</w:t>
      </w:r>
    </w:p>
    <w:p w14:paraId="179A1B72" w14:textId="55A5E55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C29FC">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9C29FC">
        <w:rPr>
          <w:rFonts w:ascii="Arial" w:hAnsi="Arial" w:cs="Arial"/>
          <w:b/>
          <w:sz w:val="22"/>
          <w:szCs w:val="22"/>
          <w:lang w:val="fr-FR"/>
        </w:rPr>
        <w:t>Éthiopie</w:t>
      </w:r>
      <w:r>
        <w:rPr>
          <w:rFonts w:ascii="Arial" w:hAnsi="Arial" w:cs="Arial"/>
          <w:bCs/>
          <w:sz w:val="22"/>
          <w:szCs w:val="22"/>
          <w:lang w:val="fr-FR"/>
        </w:rPr>
        <w:t xml:space="preserve"> a convenu avec la Palestine que l</w:t>
      </w:r>
      <w:r w:rsidR="008E532B">
        <w:rPr>
          <w:rFonts w:ascii="Arial" w:hAnsi="Arial" w:cs="Arial"/>
          <w:bCs/>
          <w:sz w:val="22"/>
          <w:szCs w:val="22"/>
          <w:lang w:val="fr-FR"/>
        </w:rPr>
        <w:t>’</w:t>
      </w:r>
      <w:r w:rsidRPr="009C29FC">
        <w:rPr>
          <w:rFonts w:ascii="Arial" w:hAnsi="Arial" w:cs="Arial"/>
          <w:bCs/>
          <w:sz w:val="22"/>
          <w:szCs w:val="22"/>
          <w:lang w:val="fr-FR"/>
        </w:rPr>
        <w:t>amendement</w:t>
      </w:r>
      <w:r>
        <w:rPr>
          <w:rFonts w:ascii="Arial" w:hAnsi="Arial" w:cs="Arial"/>
          <w:bCs/>
          <w:sz w:val="22"/>
          <w:szCs w:val="22"/>
          <w:lang w:val="fr-FR"/>
        </w:rPr>
        <w:t xml:space="preserve"> du Mexique était accepté, ce qui, avec la modification des Pays-Bas, permettrait de parvenir à un consensus.</w:t>
      </w:r>
    </w:p>
    <w:p w14:paraId="0E1B98B8"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C29FC">
        <w:rPr>
          <w:rFonts w:ascii="Arial" w:hAnsi="Arial" w:cs="Arial"/>
          <w:bCs/>
          <w:sz w:val="22"/>
          <w:szCs w:val="22"/>
          <w:lang w:val="fr-FR"/>
        </w:rPr>
        <w:t>délégation</w:t>
      </w:r>
      <w:r>
        <w:rPr>
          <w:rFonts w:ascii="Arial" w:hAnsi="Arial" w:cs="Arial"/>
          <w:bCs/>
          <w:sz w:val="22"/>
          <w:szCs w:val="22"/>
          <w:lang w:val="fr-FR"/>
        </w:rPr>
        <w:t xml:space="preserve"> de la </w:t>
      </w:r>
      <w:r w:rsidRPr="009C29FC">
        <w:rPr>
          <w:rFonts w:ascii="Arial" w:hAnsi="Arial" w:cs="Arial"/>
          <w:b/>
          <w:sz w:val="22"/>
          <w:szCs w:val="22"/>
          <w:lang w:val="fr-FR"/>
        </w:rPr>
        <w:t>Grenade</w:t>
      </w:r>
      <w:r>
        <w:rPr>
          <w:rFonts w:ascii="Arial" w:hAnsi="Arial" w:cs="Arial"/>
          <w:bCs/>
          <w:sz w:val="22"/>
          <w:szCs w:val="22"/>
          <w:lang w:val="fr-FR"/>
        </w:rPr>
        <w:t xml:space="preserve"> a remercié les Pays</w:t>
      </w:r>
      <w:r>
        <w:rPr>
          <w:rFonts w:ascii="Arial" w:hAnsi="Arial" w:cs="Arial"/>
          <w:bCs/>
          <w:sz w:val="22"/>
          <w:szCs w:val="22"/>
          <w:lang w:val="fr-FR"/>
        </w:rPr>
        <w:noBreakHyphen/>
        <w:t xml:space="preserve">Bas et la Suisse pour leur </w:t>
      </w:r>
      <w:r w:rsidRPr="009C29FC">
        <w:rPr>
          <w:rFonts w:ascii="Arial" w:hAnsi="Arial" w:cs="Arial"/>
          <w:bCs/>
          <w:sz w:val="22"/>
          <w:szCs w:val="22"/>
          <w:lang w:val="fr-FR"/>
        </w:rPr>
        <w:t>proposition</w:t>
      </w:r>
      <w:r>
        <w:rPr>
          <w:rFonts w:ascii="Arial" w:hAnsi="Arial" w:cs="Arial"/>
          <w:bCs/>
          <w:sz w:val="22"/>
          <w:szCs w:val="22"/>
          <w:lang w:val="fr-FR"/>
        </w:rPr>
        <w:t>. Elle a souligné un problème mineur de libellé dans la version française.</w:t>
      </w:r>
    </w:p>
    <w:p w14:paraId="53BE7614" w14:textId="585CD90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C29FC">
        <w:rPr>
          <w:rFonts w:ascii="Arial" w:hAnsi="Arial" w:cs="Arial"/>
          <w:b/>
          <w:sz w:val="22"/>
          <w:szCs w:val="22"/>
          <w:lang w:val="fr-FR"/>
        </w:rPr>
        <w:t>Présidente</w:t>
      </w:r>
      <w:r>
        <w:rPr>
          <w:rFonts w:ascii="Arial" w:hAnsi="Arial" w:cs="Arial"/>
          <w:bCs/>
          <w:sz w:val="22"/>
          <w:szCs w:val="22"/>
          <w:lang w:val="fr-FR"/>
        </w:rPr>
        <w:t xml:space="preserve"> a pris note du consensus et a demandé s</w:t>
      </w:r>
      <w:r w:rsidR="008E532B">
        <w:rPr>
          <w:rFonts w:ascii="Arial" w:hAnsi="Arial" w:cs="Arial"/>
          <w:bCs/>
          <w:sz w:val="22"/>
          <w:szCs w:val="22"/>
          <w:lang w:val="fr-FR"/>
        </w:rPr>
        <w:t>’</w:t>
      </w:r>
      <w:r>
        <w:rPr>
          <w:rFonts w:ascii="Arial" w:hAnsi="Arial" w:cs="Arial"/>
          <w:bCs/>
          <w:sz w:val="22"/>
          <w:szCs w:val="22"/>
          <w:lang w:val="fr-FR"/>
        </w:rPr>
        <w:t>il y avait opposition au nouveau texte.</w:t>
      </w:r>
    </w:p>
    <w:p w14:paraId="4CC4AFB0" w14:textId="7CFFD7B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C29FC">
        <w:rPr>
          <w:rFonts w:ascii="Arial" w:hAnsi="Arial" w:cs="Arial"/>
          <w:bCs/>
          <w:sz w:val="22"/>
          <w:szCs w:val="22"/>
          <w:lang w:val="fr-FR"/>
        </w:rPr>
        <w:t>délégation</w:t>
      </w:r>
      <w:r>
        <w:rPr>
          <w:rFonts w:ascii="Arial" w:hAnsi="Arial" w:cs="Arial"/>
          <w:bCs/>
          <w:sz w:val="22"/>
          <w:szCs w:val="22"/>
          <w:lang w:val="fr-FR"/>
        </w:rPr>
        <w:t xml:space="preserve"> du </w:t>
      </w:r>
      <w:r w:rsidRPr="009C29FC">
        <w:rPr>
          <w:rFonts w:ascii="Arial" w:hAnsi="Arial" w:cs="Arial"/>
          <w:b/>
          <w:sz w:val="22"/>
          <w:szCs w:val="22"/>
          <w:lang w:val="fr-FR"/>
        </w:rPr>
        <w:t>Mexique</w:t>
      </w:r>
      <w:r>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 xml:space="preserve">avait aucune </w:t>
      </w:r>
      <w:r w:rsidRPr="009C29FC">
        <w:rPr>
          <w:rFonts w:ascii="Arial" w:hAnsi="Arial" w:cs="Arial"/>
          <w:bCs/>
          <w:sz w:val="22"/>
          <w:szCs w:val="22"/>
          <w:lang w:val="fr-FR"/>
        </w:rPr>
        <w:t>objection</w:t>
      </w:r>
      <w:r>
        <w:rPr>
          <w:rFonts w:ascii="Arial" w:hAnsi="Arial" w:cs="Arial"/>
          <w:bCs/>
          <w:sz w:val="22"/>
          <w:szCs w:val="22"/>
          <w:lang w:val="fr-FR"/>
        </w:rPr>
        <w:t xml:space="preserve"> et a adressé ses remerciements aux Pays</w:t>
      </w:r>
      <w:r>
        <w:rPr>
          <w:rFonts w:ascii="Arial" w:hAnsi="Arial" w:cs="Arial"/>
          <w:bCs/>
          <w:sz w:val="22"/>
          <w:szCs w:val="22"/>
          <w:lang w:val="fr-FR"/>
        </w:rPr>
        <w:noBreakHyphen/>
        <w:t xml:space="preserve">Bas et à la Suisse pour leur </w:t>
      </w:r>
      <w:r w:rsidRPr="00477B42">
        <w:rPr>
          <w:rFonts w:ascii="Arial" w:hAnsi="Arial" w:cs="Arial"/>
          <w:bCs/>
          <w:sz w:val="22"/>
          <w:szCs w:val="22"/>
          <w:lang w:val="fr-FR"/>
        </w:rPr>
        <w:t>amendement</w:t>
      </w:r>
      <w:r>
        <w:rPr>
          <w:rFonts w:ascii="Arial" w:hAnsi="Arial" w:cs="Arial"/>
          <w:bCs/>
          <w:sz w:val="22"/>
          <w:szCs w:val="22"/>
          <w:lang w:val="fr-FR"/>
        </w:rPr>
        <w:t>.</w:t>
      </w:r>
    </w:p>
    <w:p w14:paraId="3094C549" w14:textId="379D45F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C29FC">
        <w:rPr>
          <w:rFonts w:ascii="Arial" w:hAnsi="Arial" w:cs="Arial"/>
          <w:b/>
          <w:sz w:val="22"/>
          <w:szCs w:val="22"/>
          <w:lang w:val="fr-FR"/>
        </w:rPr>
        <w:t>Présidente</w:t>
      </w:r>
      <w:r>
        <w:rPr>
          <w:rFonts w:ascii="Arial" w:hAnsi="Arial" w:cs="Arial"/>
          <w:bCs/>
          <w:sz w:val="22"/>
          <w:szCs w:val="22"/>
          <w:lang w:val="fr-FR"/>
        </w:rPr>
        <w:t xml:space="preserve"> a noté qu</w:t>
      </w:r>
      <w:r w:rsidR="008E532B">
        <w:rPr>
          <w:rFonts w:ascii="Arial" w:hAnsi="Arial" w:cs="Arial"/>
          <w:bCs/>
          <w:sz w:val="22"/>
          <w:szCs w:val="22"/>
          <w:lang w:val="fr-FR"/>
        </w:rPr>
        <w:t>’</w:t>
      </w:r>
      <w:r>
        <w:rPr>
          <w:rFonts w:ascii="Arial" w:hAnsi="Arial" w:cs="Arial"/>
          <w:bCs/>
          <w:sz w:val="22"/>
          <w:szCs w:val="22"/>
          <w:lang w:val="fr-FR"/>
        </w:rPr>
        <w:t>il n</w:t>
      </w:r>
      <w:r w:rsidR="008E532B">
        <w:rPr>
          <w:rFonts w:ascii="Arial" w:hAnsi="Arial" w:cs="Arial"/>
          <w:bCs/>
          <w:sz w:val="22"/>
          <w:szCs w:val="22"/>
          <w:lang w:val="fr-FR"/>
        </w:rPr>
        <w:t>’</w:t>
      </w:r>
      <w:r>
        <w:rPr>
          <w:rFonts w:ascii="Arial" w:hAnsi="Arial" w:cs="Arial"/>
          <w:bCs/>
          <w:sz w:val="22"/>
          <w:szCs w:val="22"/>
          <w:lang w:val="fr-FR"/>
        </w:rPr>
        <w:t>y avait pas d</w:t>
      </w:r>
      <w:r w:rsidR="008E532B">
        <w:rPr>
          <w:rFonts w:ascii="Arial" w:hAnsi="Arial" w:cs="Arial"/>
          <w:bCs/>
          <w:sz w:val="22"/>
          <w:szCs w:val="22"/>
          <w:lang w:val="fr-FR"/>
        </w:rPr>
        <w:t>’</w:t>
      </w:r>
      <w:r w:rsidRPr="009C29FC">
        <w:rPr>
          <w:rFonts w:ascii="Arial" w:hAnsi="Arial" w:cs="Arial"/>
          <w:bCs/>
          <w:sz w:val="22"/>
          <w:szCs w:val="22"/>
          <w:lang w:val="fr-FR"/>
        </w:rPr>
        <w:t>objections</w:t>
      </w:r>
      <w:r>
        <w:rPr>
          <w:rFonts w:ascii="Arial" w:hAnsi="Arial" w:cs="Arial"/>
          <w:bCs/>
          <w:sz w:val="22"/>
          <w:szCs w:val="22"/>
          <w:lang w:val="fr-FR"/>
        </w:rPr>
        <w:t xml:space="preserve"> à la nouvelle formulation, et le </w:t>
      </w:r>
      <w:r w:rsidRPr="009C29FC">
        <w:rPr>
          <w:rFonts w:ascii="Arial" w:hAnsi="Arial" w:cs="Arial"/>
          <w:bCs/>
          <w:sz w:val="22"/>
          <w:szCs w:val="22"/>
          <w:lang w:val="fr-FR"/>
        </w:rPr>
        <w:t>paragraphe</w:t>
      </w:r>
      <w:r>
        <w:rPr>
          <w:rFonts w:ascii="Arial" w:hAnsi="Arial" w:cs="Arial"/>
          <w:bCs/>
          <w:sz w:val="22"/>
          <w:szCs w:val="22"/>
          <w:lang w:val="fr-FR"/>
        </w:rPr>
        <w:t> 5 a été a dûment adopté.</w:t>
      </w:r>
    </w:p>
    <w:p w14:paraId="56614CE5" w14:textId="56DFC2E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C29FC">
        <w:rPr>
          <w:rFonts w:ascii="Arial" w:hAnsi="Arial" w:cs="Arial"/>
          <w:bCs/>
          <w:sz w:val="22"/>
          <w:szCs w:val="22"/>
          <w:lang w:val="fr-FR"/>
        </w:rPr>
        <w:t xml:space="preserve">Le </w:t>
      </w:r>
      <w:r w:rsidRPr="009C29FC">
        <w:rPr>
          <w:rFonts w:ascii="Arial" w:hAnsi="Arial" w:cs="Arial"/>
          <w:b/>
          <w:sz w:val="22"/>
          <w:szCs w:val="22"/>
          <w:lang w:val="fr-FR"/>
        </w:rPr>
        <w:t>Sous-Directeur général</w:t>
      </w:r>
      <w:r w:rsidRPr="009C29FC">
        <w:rPr>
          <w:rFonts w:ascii="Arial" w:hAnsi="Arial" w:cs="Arial"/>
          <w:bCs/>
          <w:sz w:val="22"/>
          <w:szCs w:val="22"/>
          <w:lang w:val="fr-FR"/>
        </w:rPr>
        <w:t xml:space="preserve"> a rappelé aux délégués l</w:t>
      </w:r>
      <w:r>
        <w:rPr>
          <w:rFonts w:ascii="Arial" w:hAnsi="Arial" w:cs="Arial"/>
          <w:bCs/>
          <w:sz w:val="22"/>
          <w:szCs w:val="22"/>
          <w:lang w:val="fr-FR"/>
        </w:rPr>
        <w:t>es horaires</w:t>
      </w:r>
      <w:r w:rsidRPr="009C29FC">
        <w:rPr>
          <w:rFonts w:ascii="Arial" w:hAnsi="Arial" w:cs="Arial"/>
          <w:bCs/>
          <w:sz w:val="22"/>
          <w:szCs w:val="22"/>
          <w:lang w:val="fr-FR"/>
        </w:rPr>
        <w:t xml:space="preserve"> </w:t>
      </w:r>
      <w:r>
        <w:rPr>
          <w:rFonts w:ascii="Arial" w:hAnsi="Arial" w:cs="Arial"/>
          <w:bCs/>
          <w:sz w:val="22"/>
          <w:szCs w:val="22"/>
          <w:lang w:val="fr-FR"/>
        </w:rPr>
        <w:t>d</w:t>
      </w:r>
      <w:r w:rsidR="008E532B">
        <w:rPr>
          <w:rFonts w:ascii="Arial" w:hAnsi="Arial" w:cs="Arial"/>
          <w:bCs/>
          <w:sz w:val="22"/>
          <w:szCs w:val="22"/>
          <w:lang w:val="fr-FR"/>
        </w:rPr>
        <w:t>’</w:t>
      </w:r>
      <w:r>
        <w:rPr>
          <w:rFonts w:ascii="Arial" w:hAnsi="Arial" w:cs="Arial"/>
          <w:bCs/>
          <w:sz w:val="22"/>
          <w:szCs w:val="22"/>
          <w:lang w:val="fr-FR"/>
        </w:rPr>
        <w:t xml:space="preserve">ouverture </w:t>
      </w:r>
      <w:r w:rsidRPr="009C29FC">
        <w:rPr>
          <w:rFonts w:ascii="Arial" w:hAnsi="Arial" w:cs="Arial"/>
          <w:bCs/>
          <w:sz w:val="22"/>
          <w:szCs w:val="22"/>
          <w:lang w:val="fr-FR"/>
        </w:rPr>
        <w:t>du vote pour l</w:t>
      </w:r>
      <w:r w:rsidR="008E532B">
        <w:rPr>
          <w:rFonts w:ascii="Arial" w:hAnsi="Arial" w:cs="Arial"/>
          <w:bCs/>
          <w:sz w:val="22"/>
          <w:szCs w:val="22"/>
          <w:lang w:val="fr-FR"/>
        </w:rPr>
        <w:t>’</w:t>
      </w:r>
      <w:r w:rsidRPr="009C29FC">
        <w:rPr>
          <w:rFonts w:ascii="Arial" w:hAnsi="Arial" w:cs="Arial"/>
          <w:bCs/>
          <w:sz w:val="22"/>
          <w:szCs w:val="22"/>
          <w:lang w:val="fr-FR"/>
        </w:rPr>
        <w:t xml:space="preserve">élection des membres du Comité, ainsi que les deux </w:t>
      </w:r>
      <w:r>
        <w:rPr>
          <w:rFonts w:ascii="Arial" w:hAnsi="Arial" w:cs="Arial"/>
          <w:bCs/>
          <w:sz w:val="22"/>
          <w:szCs w:val="22"/>
          <w:lang w:val="fr-FR"/>
        </w:rPr>
        <w:t xml:space="preserve">manifestations </w:t>
      </w:r>
      <w:r w:rsidRPr="009C29FC">
        <w:rPr>
          <w:rFonts w:ascii="Arial" w:hAnsi="Arial" w:cs="Arial"/>
          <w:bCs/>
          <w:sz w:val="22"/>
          <w:szCs w:val="22"/>
          <w:lang w:val="fr-FR"/>
        </w:rPr>
        <w:t>parallèles qui aur</w:t>
      </w:r>
      <w:r>
        <w:rPr>
          <w:rFonts w:ascii="Arial" w:hAnsi="Arial" w:cs="Arial"/>
          <w:bCs/>
          <w:sz w:val="22"/>
          <w:szCs w:val="22"/>
          <w:lang w:val="fr-FR"/>
        </w:rPr>
        <w:t>aie</w:t>
      </w:r>
      <w:r w:rsidRPr="009C29FC">
        <w:rPr>
          <w:rFonts w:ascii="Arial" w:hAnsi="Arial" w:cs="Arial"/>
          <w:bCs/>
          <w:sz w:val="22"/>
          <w:szCs w:val="22"/>
          <w:lang w:val="fr-FR"/>
        </w:rPr>
        <w:t>nt lieu ce jour. L</w:t>
      </w:r>
      <w:r>
        <w:rPr>
          <w:rFonts w:ascii="Arial" w:hAnsi="Arial" w:cs="Arial"/>
          <w:bCs/>
          <w:sz w:val="22"/>
          <w:szCs w:val="22"/>
          <w:lang w:val="fr-FR"/>
        </w:rPr>
        <w:t>a</w:t>
      </w:r>
      <w:r w:rsidRPr="009C29FC">
        <w:rPr>
          <w:rFonts w:ascii="Arial" w:hAnsi="Arial" w:cs="Arial"/>
          <w:bCs/>
          <w:sz w:val="22"/>
          <w:szCs w:val="22"/>
          <w:lang w:val="fr-FR"/>
        </w:rPr>
        <w:t xml:space="preserve"> premi</w:t>
      </w:r>
      <w:r>
        <w:rPr>
          <w:rFonts w:ascii="Arial" w:hAnsi="Arial" w:cs="Arial"/>
          <w:bCs/>
          <w:sz w:val="22"/>
          <w:szCs w:val="22"/>
          <w:lang w:val="fr-FR"/>
        </w:rPr>
        <w:t xml:space="preserve">ère </w:t>
      </w:r>
      <w:r w:rsidRPr="009C29FC">
        <w:rPr>
          <w:rFonts w:ascii="Arial" w:hAnsi="Arial" w:cs="Arial"/>
          <w:bCs/>
          <w:sz w:val="22"/>
          <w:szCs w:val="22"/>
          <w:lang w:val="fr-FR"/>
        </w:rPr>
        <w:t xml:space="preserve">était la réunion du </w:t>
      </w:r>
      <w:r>
        <w:rPr>
          <w:rFonts w:ascii="Arial" w:hAnsi="Arial" w:cs="Arial"/>
          <w:bCs/>
          <w:sz w:val="22"/>
          <w:szCs w:val="22"/>
          <w:lang w:val="fr-FR"/>
        </w:rPr>
        <w:t>r</w:t>
      </w:r>
      <w:r w:rsidRPr="009C29FC">
        <w:rPr>
          <w:rFonts w:ascii="Arial" w:hAnsi="Arial" w:cs="Arial"/>
          <w:bCs/>
          <w:sz w:val="22"/>
          <w:szCs w:val="22"/>
          <w:lang w:val="fr-FR"/>
        </w:rPr>
        <w:t>éseau européen des points focaux de la Convention de 2003 et l</w:t>
      </w:r>
      <w:r>
        <w:rPr>
          <w:rFonts w:ascii="Arial" w:hAnsi="Arial" w:cs="Arial"/>
          <w:bCs/>
          <w:sz w:val="22"/>
          <w:szCs w:val="22"/>
          <w:lang w:val="fr-FR"/>
        </w:rPr>
        <w:t xml:space="preserve">a </w:t>
      </w:r>
      <w:r w:rsidRPr="009C29FC">
        <w:rPr>
          <w:rFonts w:ascii="Arial" w:hAnsi="Arial" w:cs="Arial"/>
          <w:bCs/>
          <w:sz w:val="22"/>
          <w:szCs w:val="22"/>
          <w:lang w:val="fr-FR"/>
        </w:rPr>
        <w:t>second</w:t>
      </w:r>
      <w:r>
        <w:rPr>
          <w:rFonts w:ascii="Arial" w:hAnsi="Arial" w:cs="Arial"/>
          <w:bCs/>
          <w:sz w:val="22"/>
          <w:szCs w:val="22"/>
          <w:lang w:val="fr-FR"/>
        </w:rPr>
        <w:t>e</w:t>
      </w:r>
      <w:r w:rsidRPr="009C29FC">
        <w:rPr>
          <w:rFonts w:ascii="Arial" w:hAnsi="Arial" w:cs="Arial"/>
          <w:bCs/>
          <w:sz w:val="22"/>
          <w:szCs w:val="22"/>
          <w:lang w:val="fr-FR"/>
        </w:rPr>
        <w:t xml:space="preserve"> était une présentation</w:t>
      </w:r>
      <w:r>
        <w:rPr>
          <w:rFonts w:ascii="Arial" w:hAnsi="Arial" w:cs="Arial"/>
          <w:bCs/>
          <w:sz w:val="22"/>
          <w:szCs w:val="22"/>
          <w:lang w:val="fr-FR"/>
        </w:rPr>
        <w:t xml:space="preserve">, </w:t>
      </w:r>
      <w:r w:rsidRPr="009C29FC">
        <w:rPr>
          <w:rFonts w:ascii="Arial" w:hAnsi="Arial" w:cs="Arial"/>
          <w:bCs/>
          <w:sz w:val="22"/>
          <w:szCs w:val="22"/>
          <w:lang w:val="fr-FR"/>
        </w:rPr>
        <w:t>par le Secrétariat de l</w:t>
      </w:r>
      <w:r w:rsidR="008E532B">
        <w:rPr>
          <w:rFonts w:ascii="Arial" w:hAnsi="Arial" w:cs="Arial"/>
          <w:bCs/>
          <w:sz w:val="22"/>
          <w:szCs w:val="22"/>
          <w:lang w:val="fr-FR"/>
        </w:rPr>
        <w:t>’</w:t>
      </w:r>
      <w:r w:rsidRPr="009C29FC">
        <w:rPr>
          <w:rFonts w:ascii="Arial" w:hAnsi="Arial" w:cs="Arial"/>
          <w:bCs/>
          <w:sz w:val="22"/>
          <w:szCs w:val="22"/>
          <w:lang w:val="fr-FR"/>
        </w:rPr>
        <w:t>UNESCO</w:t>
      </w:r>
      <w:r>
        <w:rPr>
          <w:rFonts w:ascii="Arial" w:hAnsi="Arial" w:cs="Arial"/>
          <w:bCs/>
          <w:sz w:val="22"/>
          <w:szCs w:val="22"/>
          <w:lang w:val="fr-FR"/>
        </w:rPr>
        <w:t>,</w:t>
      </w:r>
      <w:r w:rsidRPr="009C29FC">
        <w:rPr>
          <w:rFonts w:ascii="Arial" w:hAnsi="Arial" w:cs="Arial"/>
          <w:bCs/>
          <w:sz w:val="22"/>
          <w:szCs w:val="22"/>
          <w:lang w:val="fr-FR"/>
        </w:rPr>
        <w:t xml:space="preserve"> d</w:t>
      </w:r>
      <w:r>
        <w:rPr>
          <w:rFonts w:ascii="Arial" w:hAnsi="Arial" w:cs="Arial"/>
          <w:bCs/>
          <w:sz w:val="22"/>
          <w:szCs w:val="22"/>
          <w:lang w:val="fr-FR"/>
        </w:rPr>
        <w:t xml:space="preserve">u </w:t>
      </w:r>
      <w:r w:rsidRPr="005F005E">
        <w:rPr>
          <w:rFonts w:ascii="Arial" w:hAnsi="Arial" w:cs="Arial"/>
          <w:bCs/>
          <w:i/>
          <w:iCs/>
          <w:sz w:val="22"/>
          <w:szCs w:val="22"/>
          <w:lang w:val="fr-FR"/>
        </w:rPr>
        <w:t>Guide pour faire une demande d</w:t>
      </w:r>
      <w:r w:rsidR="008E532B">
        <w:rPr>
          <w:rFonts w:ascii="Arial" w:hAnsi="Arial" w:cs="Arial"/>
          <w:bCs/>
          <w:i/>
          <w:iCs/>
          <w:sz w:val="22"/>
          <w:szCs w:val="22"/>
          <w:lang w:val="fr-FR"/>
        </w:rPr>
        <w:t>’</w:t>
      </w:r>
      <w:r w:rsidRPr="005F005E">
        <w:rPr>
          <w:rFonts w:ascii="Arial" w:hAnsi="Arial" w:cs="Arial"/>
          <w:bCs/>
          <w:i/>
          <w:iCs/>
          <w:sz w:val="22"/>
          <w:szCs w:val="22"/>
          <w:lang w:val="fr-FR"/>
        </w:rPr>
        <w:t>assistance internationale auprès du Fonds du PCI</w:t>
      </w:r>
      <w:r>
        <w:rPr>
          <w:rFonts w:ascii="Arial" w:hAnsi="Arial" w:cs="Arial"/>
          <w:bCs/>
          <w:sz w:val="22"/>
          <w:szCs w:val="22"/>
          <w:lang w:val="fr-FR"/>
        </w:rPr>
        <w:t>.</w:t>
      </w:r>
    </w:p>
    <w:p w14:paraId="35BF6D44" w14:textId="614509E2" w:rsidR="00D9653F" w:rsidRPr="00A96116" w:rsidRDefault="00D9653F" w:rsidP="00A96116">
      <w:pPr>
        <w:autoSpaceDE w:val="0"/>
        <w:spacing w:before="240" w:after="240"/>
        <w:ind w:left="709" w:hanging="709"/>
        <w:jc w:val="center"/>
        <w:outlineLvl w:val="0"/>
        <w:rPr>
          <w:rFonts w:ascii="Arial" w:eastAsia="SimSun" w:hAnsi="Arial" w:cs="Arial"/>
          <w:i/>
          <w:iCs/>
          <w:sz w:val="22"/>
          <w:szCs w:val="22"/>
          <w:lang w:val="fr-FR"/>
        </w:rPr>
      </w:pPr>
      <w:r w:rsidRPr="00A96116">
        <w:rPr>
          <w:rFonts w:ascii="Arial" w:eastAsia="SimSun" w:hAnsi="Arial" w:cs="Arial"/>
          <w:i/>
          <w:iCs/>
          <w:sz w:val="22"/>
          <w:szCs w:val="22"/>
          <w:lang w:val="fr-FR"/>
        </w:rPr>
        <w:t>[Mercredi 6 juillet, séance de l</w:t>
      </w:r>
      <w:r w:rsidR="008E532B">
        <w:rPr>
          <w:rFonts w:ascii="Arial" w:eastAsia="SimSun" w:hAnsi="Arial" w:cs="Arial"/>
          <w:i/>
          <w:iCs/>
          <w:sz w:val="22"/>
          <w:szCs w:val="22"/>
          <w:lang w:val="fr-FR"/>
        </w:rPr>
        <w:t>’</w:t>
      </w:r>
      <w:r w:rsidRPr="00A96116">
        <w:rPr>
          <w:rFonts w:ascii="Arial" w:eastAsia="SimSun" w:hAnsi="Arial" w:cs="Arial"/>
          <w:i/>
          <w:iCs/>
          <w:sz w:val="22"/>
          <w:szCs w:val="22"/>
          <w:lang w:val="fr-FR"/>
        </w:rPr>
        <w:t>après-midi]</w:t>
      </w:r>
    </w:p>
    <w:p w14:paraId="3404A83C" w14:textId="30990782" w:rsidR="00D9653F" w:rsidRPr="009F6BC9" w:rsidRDefault="00D9653F" w:rsidP="00A96116">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9F6BC9">
        <w:rPr>
          <w:b/>
          <w:color w:val="000000" w:themeColor="text1"/>
          <w:u w:val="single"/>
          <w:lang w:val="fr-FR"/>
        </w:rPr>
        <w:t>POINT 7 DE L</w:t>
      </w:r>
      <w:r w:rsidR="008E532B">
        <w:rPr>
          <w:b/>
          <w:color w:val="000000" w:themeColor="text1"/>
          <w:u w:val="single"/>
          <w:lang w:val="fr-FR"/>
        </w:rPr>
        <w:t>’</w:t>
      </w:r>
      <w:r w:rsidRPr="009F6BC9">
        <w:rPr>
          <w:b/>
          <w:color w:val="000000" w:themeColor="text1"/>
          <w:u w:val="single"/>
          <w:lang w:val="fr-FR"/>
        </w:rPr>
        <w:t xml:space="preserve">ORDRE DU JOUR [SUITE] : </w:t>
      </w:r>
    </w:p>
    <w:p w14:paraId="4E4CB1CB" w14:textId="79C1C8FC" w:rsidR="00D9653F" w:rsidRPr="009F6BC9" w:rsidRDefault="00D9653F" w:rsidP="00A96116">
      <w:pPr>
        <w:pStyle w:val="Orateurengris"/>
        <w:tabs>
          <w:tab w:val="clear" w:pos="709"/>
          <w:tab w:val="clear" w:pos="1418"/>
          <w:tab w:val="clear" w:pos="2126"/>
          <w:tab w:val="clear" w:pos="2835"/>
        </w:tabs>
        <w:outlineLvl w:val="0"/>
        <w:rPr>
          <w:b/>
          <w:color w:val="000000" w:themeColor="text1"/>
          <w:lang w:val="fr-FR"/>
        </w:rPr>
      </w:pPr>
      <w:r w:rsidRPr="009F6BC9">
        <w:rPr>
          <w:b/>
          <w:color w:val="000000" w:themeColor="text1"/>
          <w:lang w:val="fr-FR"/>
        </w:rPr>
        <w:t>ACCRÉDITATION DES ORGANISATIONS NON GOUVERNEMENTALES À DES FINS D</w:t>
      </w:r>
      <w:r w:rsidR="008E532B">
        <w:rPr>
          <w:b/>
          <w:color w:val="000000" w:themeColor="text1"/>
          <w:lang w:val="fr-FR"/>
        </w:rPr>
        <w:t>’</w:t>
      </w:r>
      <w:r w:rsidRPr="009F6BC9">
        <w:rPr>
          <w:b/>
          <w:color w:val="000000" w:themeColor="text1"/>
          <w:lang w:val="fr-FR"/>
        </w:rPr>
        <w:t>ASSISTANCE CONSULTATIVE AUPRÈS DU COMITÉ</w:t>
      </w:r>
    </w:p>
    <w:p w14:paraId="6F4D9A4D" w14:textId="1541AD4B" w:rsidR="00D9653F" w:rsidRDefault="00D9653F" w:rsidP="00D9653F">
      <w:pPr>
        <w:numPr>
          <w:ilvl w:val="0"/>
          <w:numId w:val="19"/>
        </w:numPr>
        <w:suppressAutoHyphens/>
        <w:autoSpaceDE w:val="0"/>
        <w:ind w:left="567" w:hanging="567"/>
        <w:jc w:val="both"/>
        <w:rPr>
          <w:rFonts w:ascii="Arial" w:hAnsi="Arial" w:cs="Arial"/>
          <w:bCs/>
          <w:sz w:val="22"/>
          <w:szCs w:val="22"/>
          <w:lang w:val="fr-FR"/>
        </w:rPr>
      </w:pPr>
      <w:r w:rsidRPr="008836C8">
        <w:rPr>
          <w:rFonts w:ascii="Arial" w:hAnsi="Arial" w:cs="Arial"/>
          <w:bCs/>
          <w:sz w:val="22"/>
          <w:szCs w:val="22"/>
          <w:lang w:val="fr-FR"/>
        </w:rPr>
        <w:t xml:space="preserve">La </w:t>
      </w:r>
      <w:r w:rsidRPr="008836C8">
        <w:rPr>
          <w:rFonts w:ascii="Arial" w:hAnsi="Arial" w:cs="Arial"/>
          <w:b/>
          <w:sz w:val="22"/>
          <w:szCs w:val="22"/>
          <w:lang w:val="fr-FR"/>
        </w:rPr>
        <w:t>Présidente</w:t>
      </w:r>
      <w:r w:rsidRPr="008836C8">
        <w:rPr>
          <w:rFonts w:ascii="Arial" w:hAnsi="Arial" w:cs="Arial"/>
          <w:bCs/>
          <w:sz w:val="22"/>
          <w:szCs w:val="22"/>
          <w:lang w:val="fr-FR"/>
        </w:rPr>
        <w:t xml:space="preserve"> a souhaité la bienvenue aux délégations à la s</w:t>
      </w:r>
      <w:r>
        <w:rPr>
          <w:rFonts w:ascii="Arial" w:hAnsi="Arial" w:cs="Arial"/>
          <w:bCs/>
          <w:sz w:val="22"/>
          <w:szCs w:val="22"/>
          <w:lang w:val="fr-FR"/>
        </w:rPr>
        <w:t>éance</w:t>
      </w:r>
      <w:r w:rsidRPr="008836C8">
        <w:rPr>
          <w:rFonts w:ascii="Arial" w:hAnsi="Arial" w:cs="Arial"/>
          <w:bCs/>
          <w:sz w:val="22"/>
          <w:szCs w:val="22"/>
          <w:lang w:val="fr-FR"/>
        </w:rPr>
        <w:t xml:space="preserve"> de l</w:t>
      </w:r>
      <w:r w:rsidR="008E532B">
        <w:rPr>
          <w:rFonts w:ascii="Arial" w:hAnsi="Arial" w:cs="Arial"/>
          <w:bCs/>
          <w:sz w:val="22"/>
          <w:szCs w:val="22"/>
          <w:lang w:val="fr-FR"/>
        </w:rPr>
        <w:t>’</w:t>
      </w:r>
      <w:r w:rsidRPr="008836C8">
        <w:rPr>
          <w:rFonts w:ascii="Arial" w:hAnsi="Arial" w:cs="Arial"/>
          <w:bCs/>
          <w:sz w:val="22"/>
          <w:szCs w:val="22"/>
          <w:lang w:val="fr-FR"/>
        </w:rPr>
        <w:t xml:space="preserve">après-midi et </w:t>
      </w:r>
      <w:r>
        <w:rPr>
          <w:rFonts w:ascii="Arial" w:hAnsi="Arial" w:cs="Arial"/>
          <w:bCs/>
          <w:sz w:val="22"/>
          <w:szCs w:val="22"/>
          <w:lang w:val="fr-FR"/>
        </w:rPr>
        <w:t>la</w:t>
      </w:r>
      <w:r w:rsidRPr="008836C8">
        <w:rPr>
          <w:rFonts w:ascii="Arial" w:hAnsi="Arial" w:cs="Arial"/>
          <w:bCs/>
          <w:sz w:val="22"/>
          <w:szCs w:val="22"/>
          <w:lang w:val="fr-FR"/>
        </w:rPr>
        <w:t xml:space="preserve"> reprise du débat sur le point 7, rappelant qu</w:t>
      </w:r>
      <w:r w:rsidR="008E532B">
        <w:rPr>
          <w:rFonts w:ascii="Arial" w:hAnsi="Arial" w:cs="Arial"/>
          <w:bCs/>
          <w:sz w:val="22"/>
          <w:szCs w:val="22"/>
          <w:lang w:val="fr-FR"/>
        </w:rPr>
        <w:t>’</w:t>
      </w:r>
      <w:r>
        <w:rPr>
          <w:rFonts w:ascii="Arial" w:hAnsi="Arial" w:cs="Arial"/>
          <w:bCs/>
          <w:sz w:val="22"/>
          <w:szCs w:val="22"/>
          <w:lang w:val="fr-FR"/>
        </w:rPr>
        <w:t>on était parvenu à un</w:t>
      </w:r>
      <w:r w:rsidRPr="008836C8">
        <w:rPr>
          <w:rFonts w:ascii="Arial" w:hAnsi="Arial" w:cs="Arial"/>
          <w:bCs/>
          <w:sz w:val="22"/>
          <w:szCs w:val="22"/>
          <w:lang w:val="fr-FR"/>
        </w:rPr>
        <w:t xml:space="preserve"> consensus sur l</w:t>
      </w:r>
      <w:r w:rsidR="008E532B">
        <w:rPr>
          <w:rFonts w:ascii="Arial" w:hAnsi="Arial" w:cs="Arial"/>
          <w:bCs/>
          <w:sz w:val="22"/>
          <w:szCs w:val="22"/>
          <w:lang w:val="fr-FR"/>
        </w:rPr>
        <w:t>’</w:t>
      </w:r>
      <w:r w:rsidRPr="008836C8">
        <w:rPr>
          <w:rFonts w:ascii="Arial" w:hAnsi="Arial" w:cs="Arial"/>
          <w:bCs/>
          <w:sz w:val="22"/>
          <w:szCs w:val="22"/>
          <w:lang w:val="fr-FR"/>
        </w:rPr>
        <w:t>amendement au paragraphe 5. Cela démontr</w:t>
      </w:r>
      <w:r>
        <w:rPr>
          <w:rFonts w:ascii="Arial" w:hAnsi="Arial" w:cs="Arial"/>
          <w:bCs/>
          <w:sz w:val="22"/>
          <w:szCs w:val="22"/>
          <w:lang w:val="fr-FR"/>
        </w:rPr>
        <w:t>ait</w:t>
      </w:r>
      <w:r w:rsidRPr="008836C8">
        <w:rPr>
          <w:rFonts w:ascii="Arial" w:hAnsi="Arial" w:cs="Arial"/>
          <w:bCs/>
          <w:sz w:val="22"/>
          <w:szCs w:val="22"/>
          <w:lang w:val="fr-FR"/>
        </w:rPr>
        <w:t xml:space="preserve"> la capacité de l</w:t>
      </w:r>
      <w:r w:rsidR="008E532B">
        <w:rPr>
          <w:rFonts w:ascii="Arial" w:hAnsi="Arial" w:cs="Arial"/>
          <w:bCs/>
          <w:sz w:val="22"/>
          <w:szCs w:val="22"/>
          <w:lang w:val="fr-FR"/>
        </w:rPr>
        <w:t>’</w:t>
      </w:r>
      <w:r w:rsidRPr="008836C8">
        <w:rPr>
          <w:rFonts w:ascii="Arial" w:hAnsi="Arial" w:cs="Arial"/>
          <w:bCs/>
          <w:sz w:val="22"/>
          <w:szCs w:val="22"/>
          <w:lang w:val="fr-FR"/>
        </w:rPr>
        <w:t xml:space="preserve">Assemblée à trouver un accord sur des questions complexes. Elle </w:t>
      </w:r>
      <w:r>
        <w:rPr>
          <w:rFonts w:ascii="Arial" w:hAnsi="Arial" w:cs="Arial"/>
          <w:bCs/>
          <w:sz w:val="22"/>
          <w:szCs w:val="22"/>
          <w:lang w:val="fr-FR"/>
        </w:rPr>
        <w:t xml:space="preserve">est ensuite </w:t>
      </w:r>
      <w:r w:rsidRPr="008836C8">
        <w:rPr>
          <w:rFonts w:ascii="Arial" w:hAnsi="Arial" w:cs="Arial"/>
          <w:bCs/>
          <w:sz w:val="22"/>
          <w:szCs w:val="22"/>
          <w:lang w:val="fr-FR"/>
        </w:rPr>
        <w:t>pass</w:t>
      </w:r>
      <w:r>
        <w:rPr>
          <w:rFonts w:ascii="Arial" w:hAnsi="Arial" w:cs="Arial"/>
          <w:bCs/>
          <w:sz w:val="22"/>
          <w:szCs w:val="22"/>
          <w:lang w:val="fr-FR"/>
        </w:rPr>
        <w:t>é</w:t>
      </w:r>
      <w:r w:rsidRPr="008836C8">
        <w:rPr>
          <w:rFonts w:ascii="Arial" w:hAnsi="Arial" w:cs="Arial"/>
          <w:bCs/>
          <w:sz w:val="22"/>
          <w:szCs w:val="22"/>
          <w:lang w:val="fr-FR"/>
        </w:rPr>
        <w:t xml:space="preserve">e au paragraphe 6 du projet de résolution, </w:t>
      </w:r>
      <w:r>
        <w:rPr>
          <w:rFonts w:ascii="Arial" w:hAnsi="Arial" w:cs="Arial"/>
          <w:bCs/>
          <w:sz w:val="22"/>
          <w:szCs w:val="22"/>
          <w:lang w:val="fr-FR"/>
        </w:rPr>
        <w:t>« </w:t>
      </w:r>
      <w:r w:rsidRPr="008836C8">
        <w:rPr>
          <w:rFonts w:ascii="Arial" w:hAnsi="Arial" w:cs="Arial"/>
          <w:bCs/>
          <w:sz w:val="22"/>
          <w:szCs w:val="22"/>
          <w:lang w:val="fr-FR"/>
        </w:rPr>
        <w:t xml:space="preserve">Encourage les ONG des groupes électoraux sous-représentés qui </w:t>
      </w:r>
      <w:r>
        <w:rPr>
          <w:rFonts w:ascii="Arial" w:hAnsi="Arial" w:cs="Arial"/>
          <w:bCs/>
          <w:sz w:val="22"/>
          <w:szCs w:val="22"/>
          <w:lang w:val="fr-FR"/>
        </w:rPr>
        <w:t>satisfont</w:t>
      </w:r>
      <w:r w:rsidRPr="008836C8">
        <w:rPr>
          <w:rFonts w:ascii="Arial" w:hAnsi="Arial" w:cs="Arial"/>
          <w:bCs/>
          <w:sz w:val="22"/>
          <w:szCs w:val="22"/>
          <w:lang w:val="fr-FR"/>
        </w:rPr>
        <w:t xml:space="preserve"> aux critères d</w:t>
      </w:r>
      <w:r w:rsidR="008E532B">
        <w:rPr>
          <w:rFonts w:ascii="Arial" w:hAnsi="Arial" w:cs="Arial"/>
          <w:bCs/>
          <w:sz w:val="22"/>
          <w:szCs w:val="22"/>
          <w:lang w:val="fr-FR"/>
        </w:rPr>
        <w:t>’</w:t>
      </w:r>
      <w:r w:rsidRPr="008836C8">
        <w:rPr>
          <w:rFonts w:ascii="Arial" w:hAnsi="Arial" w:cs="Arial"/>
          <w:bCs/>
          <w:sz w:val="22"/>
          <w:szCs w:val="22"/>
          <w:lang w:val="fr-FR"/>
        </w:rPr>
        <w:t xml:space="preserve">accréditation à </w:t>
      </w:r>
      <w:r>
        <w:rPr>
          <w:rFonts w:ascii="Arial" w:hAnsi="Arial" w:cs="Arial"/>
          <w:bCs/>
          <w:sz w:val="22"/>
          <w:szCs w:val="22"/>
          <w:lang w:val="fr-FR"/>
        </w:rPr>
        <w:t xml:space="preserve">présenter </w:t>
      </w:r>
      <w:r w:rsidRPr="008836C8">
        <w:rPr>
          <w:rFonts w:ascii="Arial" w:hAnsi="Arial" w:cs="Arial"/>
          <w:bCs/>
          <w:sz w:val="22"/>
          <w:szCs w:val="22"/>
          <w:lang w:val="fr-FR"/>
        </w:rPr>
        <w:t>leurs demandes d</w:t>
      </w:r>
      <w:r w:rsidR="008E532B">
        <w:rPr>
          <w:rFonts w:ascii="Arial" w:hAnsi="Arial" w:cs="Arial"/>
          <w:bCs/>
          <w:sz w:val="22"/>
          <w:szCs w:val="22"/>
          <w:lang w:val="fr-FR"/>
        </w:rPr>
        <w:t>’</w:t>
      </w:r>
      <w:r w:rsidRPr="008836C8">
        <w:rPr>
          <w:rFonts w:ascii="Arial" w:hAnsi="Arial" w:cs="Arial"/>
          <w:bCs/>
          <w:sz w:val="22"/>
          <w:szCs w:val="22"/>
          <w:lang w:val="fr-FR"/>
        </w:rPr>
        <w:t>accréditation d</w:t>
      </w:r>
      <w:r>
        <w:rPr>
          <w:rFonts w:ascii="Arial" w:hAnsi="Arial" w:cs="Arial"/>
          <w:bCs/>
          <w:sz w:val="22"/>
          <w:szCs w:val="22"/>
          <w:lang w:val="fr-FR"/>
        </w:rPr>
        <w:t>ans les meilleurs délais</w:t>
      </w:r>
      <w:r w:rsidRPr="008836C8">
        <w:rPr>
          <w:rFonts w:ascii="Arial" w:hAnsi="Arial" w:cs="Arial"/>
          <w:bCs/>
          <w:sz w:val="22"/>
          <w:szCs w:val="22"/>
          <w:lang w:val="fr-FR"/>
        </w:rPr>
        <w:t xml:space="preserve"> </w:t>
      </w:r>
      <w:r>
        <w:rPr>
          <w:rFonts w:ascii="Arial" w:hAnsi="Arial" w:cs="Arial"/>
          <w:bCs/>
          <w:sz w:val="22"/>
          <w:szCs w:val="22"/>
          <w:lang w:val="fr-FR"/>
        </w:rPr>
        <w:t>de façon à</w:t>
      </w:r>
      <w:r w:rsidRPr="008836C8">
        <w:rPr>
          <w:rFonts w:ascii="Arial" w:hAnsi="Arial" w:cs="Arial"/>
          <w:bCs/>
          <w:sz w:val="22"/>
          <w:szCs w:val="22"/>
          <w:lang w:val="fr-FR"/>
        </w:rPr>
        <w:t xml:space="preserve"> améliorer la </w:t>
      </w:r>
      <w:r w:rsidR="002512C5">
        <w:rPr>
          <w:rFonts w:ascii="Arial" w:hAnsi="Arial" w:cs="Arial"/>
          <w:bCs/>
          <w:sz w:val="22"/>
          <w:szCs w:val="22"/>
          <w:lang w:val="fr-FR"/>
        </w:rPr>
        <w:t>distribution</w:t>
      </w:r>
      <w:r w:rsidRPr="008836C8">
        <w:rPr>
          <w:rFonts w:ascii="Arial" w:hAnsi="Arial" w:cs="Arial"/>
          <w:bCs/>
          <w:sz w:val="22"/>
          <w:szCs w:val="22"/>
          <w:lang w:val="fr-FR"/>
        </w:rPr>
        <w:t xml:space="preserve"> géographique des ONG accréditées et invite les États parties de ces groupes électoraux à</w:t>
      </w:r>
      <w:r>
        <w:rPr>
          <w:rFonts w:ascii="Arial" w:hAnsi="Arial" w:cs="Arial"/>
          <w:bCs/>
          <w:sz w:val="22"/>
          <w:szCs w:val="22"/>
          <w:lang w:val="fr-FR"/>
        </w:rPr>
        <w:t xml:space="preserve"> diffuser </w:t>
      </w:r>
      <w:r w:rsidRPr="008836C8">
        <w:rPr>
          <w:rFonts w:ascii="Arial" w:hAnsi="Arial" w:cs="Arial"/>
          <w:bCs/>
          <w:sz w:val="22"/>
          <w:szCs w:val="22"/>
          <w:lang w:val="fr-FR"/>
        </w:rPr>
        <w:t>cet appel au</w:t>
      </w:r>
      <w:r>
        <w:rPr>
          <w:rFonts w:ascii="Arial" w:hAnsi="Arial" w:cs="Arial"/>
          <w:bCs/>
          <w:sz w:val="22"/>
          <w:szCs w:val="22"/>
          <w:lang w:val="fr-FR"/>
        </w:rPr>
        <w:t>près des</w:t>
      </w:r>
      <w:r w:rsidRPr="008836C8">
        <w:rPr>
          <w:rFonts w:ascii="Arial" w:hAnsi="Arial" w:cs="Arial"/>
          <w:bCs/>
          <w:sz w:val="22"/>
          <w:szCs w:val="22"/>
          <w:lang w:val="fr-FR"/>
        </w:rPr>
        <w:t xml:space="preserve"> ONG </w:t>
      </w:r>
      <w:r>
        <w:rPr>
          <w:rFonts w:ascii="Arial" w:hAnsi="Arial" w:cs="Arial"/>
          <w:bCs/>
          <w:sz w:val="22"/>
          <w:szCs w:val="22"/>
          <w:lang w:val="fr-FR"/>
        </w:rPr>
        <w:t>présentes</w:t>
      </w:r>
      <w:r w:rsidRPr="008836C8">
        <w:rPr>
          <w:rFonts w:ascii="Arial" w:hAnsi="Arial" w:cs="Arial"/>
          <w:bCs/>
          <w:sz w:val="22"/>
          <w:szCs w:val="22"/>
          <w:lang w:val="fr-FR"/>
        </w:rPr>
        <w:t xml:space="preserve"> sur leur territoire</w:t>
      </w:r>
      <w:r>
        <w:rPr>
          <w:rFonts w:ascii="Arial" w:hAnsi="Arial" w:cs="Arial"/>
          <w:bCs/>
          <w:sz w:val="22"/>
          <w:szCs w:val="22"/>
          <w:lang w:val="fr-FR"/>
        </w:rPr>
        <w:t> »</w:t>
      </w:r>
      <w:r w:rsidRPr="008836C8">
        <w:rPr>
          <w:rFonts w:ascii="Arial" w:hAnsi="Arial" w:cs="Arial"/>
          <w:bCs/>
          <w:sz w:val="22"/>
          <w:szCs w:val="22"/>
          <w:lang w:val="fr-FR"/>
        </w:rPr>
        <w:t xml:space="preserve">. </w:t>
      </w:r>
      <w:r>
        <w:rPr>
          <w:rFonts w:ascii="Arial" w:hAnsi="Arial" w:cs="Arial"/>
          <w:bCs/>
          <w:sz w:val="22"/>
          <w:szCs w:val="22"/>
          <w:lang w:val="fr-FR"/>
        </w:rPr>
        <w:t>Selon u</w:t>
      </w:r>
      <w:r w:rsidRPr="008836C8">
        <w:rPr>
          <w:rFonts w:ascii="Arial" w:hAnsi="Arial" w:cs="Arial"/>
          <w:bCs/>
          <w:sz w:val="22"/>
          <w:szCs w:val="22"/>
          <w:lang w:val="fr-FR"/>
        </w:rPr>
        <w:t>ne proposition de la Palestine, un nouveau paragraphe 6bis se</w:t>
      </w:r>
      <w:r>
        <w:rPr>
          <w:rFonts w:ascii="Arial" w:hAnsi="Arial" w:cs="Arial"/>
          <w:bCs/>
          <w:sz w:val="22"/>
          <w:szCs w:val="22"/>
          <w:lang w:val="fr-FR"/>
        </w:rPr>
        <w:t>rait ainsi rédigé</w:t>
      </w:r>
      <w:r w:rsidRPr="008836C8">
        <w:rPr>
          <w:rFonts w:ascii="Arial" w:hAnsi="Arial" w:cs="Arial"/>
          <w:bCs/>
          <w:sz w:val="22"/>
          <w:szCs w:val="22"/>
          <w:lang w:val="fr-FR"/>
        </w:rPr>
        <w:t xml:space="preserve"> : </w:t>
      </w:r>
      <w:r>
        <w:rPr>
          <w:rFonts w:ascii="Arial" w:hAnsi="Arial" w:cs="Arial"/>
          <w:bCs/>
          <w:sz w:val="22"/>
          <w:szCs w:val="22"/>
          <w:lang w:val="fr-FR"/>
        </w:rPr>
        <w:t>« </w:t>
      </w:r>
      <w:r w:rsidRPr="00C3115C">
        <w:rPr>
          <w:rFonts w:ascii="Arial" w:hAnsi="Arial" w:cs="Arial"/>
          <w:bCs/>
          <w:color w:val="000000" w:themeColor="text1"/>
          <w:sz w:val="22"/>
          <w:szCs w:val="22"/>
          <w:lang w:val="fr-FR"/>
        </w:rPr>
        <w:t>Affirme que seules les ONG des États parties peuvent être accréditées et éligibles à l</w:t>
      </w:r>
      <w:r w:rsidR="008E532B">
        <w:rPr>
          <w:rFonts w:ascii="Arial" w:hAnsi="Arial" w:cs="Arial"/>
          <w:bCs/>
          <w:color w:val="000000" w:themeColor="text1"/>
          <w:sz w:val="22"/>
          <w:szCs w:val="22"/>
          <w:lang w:val="fr-FR"/>
        </w:rPr>
        <w:t>’</w:t>
      </w:r>
      <w:r w:rsidRPr="00C3115C">
        <w:rPr>
          <w:rFonts w:ascii="Arial" w:hAnsi="Arial" w:cs="Arial"/>
          <w:bCs/>
          <w:color w:val="000000" w:themeColor="text1"/>
          <w:sz w:val="22"/>
          <w:szCs w:val="22"/>
          <w:lang w:val="fr-FR"/>
        </w:rPr>
        <w:t>Organe d</w:t>
      </w:r>
      <w:r w:rsidR="008E532B">
        <w:rPr>
          <w:rFonts w:ascii="Arial" w:hAnsi="Arial" w:cs="Arial"/>
          <w:bCs/>
          <w:color w:val="000000" w:themeColor="text1"/>
          <w:sz w:val="22"/>
          <w:szCs w:val="22"/>
          <w:lang w:val="fr-FR"/>
        </w:rPr>
        <w:t>’</w:t>
      </w:r>
      <w:r w:rsidRPr="00C3115C">
        <w:rPr>
          <w:rFonts w:ascii="Arial" w:hAnsi="Arial" w:cs="Arial"/>
          <w:bCs/>
          <w:color w:val="000000" w:themeColor="text1"/>
          <w:sz w:val="22"/>
          <w:szCs w:val="22"/>
          <w:lang w:val="fr-FR"/>
        </w:rPr>
        <w:t>évaluation </w:t>
      </w:r>
      <w:r>
        <w:rPr>
          <w:rFonts w:ascii="Arial" w:hAnsi="Arial" w:cs="Arial"/>
          <w:bCs/>
          <w:sz w:val="22"/>
          <w:szCs w:val="22"/>
          <w:lang w:val="fr-FR"/>
        </w:rPr>
        <w:t>»</w:t>
      </w:r>
      <w:r w:rsidRPr="008836C8">
        <w:rPr>
          <w:rFonts w:ascii="Arial" w:hAnsi="Arial" w:cs="Arial"/>
          <w:bCs/>
          <w:sz w:val="22"/>
          <w:szCs w:val="22"/>
          <w:lang w:val="fr-FR"/>
        </w:rPr>
        <w:t>.</w:t>
      </w:r>
    </w:p>
    <w:p w14:paraId="0F2568D9" w14:textId="4228FFD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47E0D">
        <w:rPr>
          <w:rFonts w:ascii="Arial" w:hAnsi="Arial" w:cs="Arial"/>
          <w:bCs/>
          <w:sz w:val="22"/>
          <w:szCs w:val="22"/>
          <w:lang w:val="fr-FR"/>
        </w:rPr>
        <w:t>délégation</w:t>
      </w:r>
      <w:r>
        <w:rPr>
          <w:rFonts w:ascii="Arial" w:hAnsi="Arial" w:cs="Arial"/>
          <w:bCs/>
          <w:sz w:val="22"/>
          <w:szCs w:val="22"/>
          <w:lang w:val="fr-FR"/>
        </w:rPr>
        <w:t xml:space="preserve"> de la </w:t>
      </w:r>
      <w:r w:rsidRPr="00747E0D">
        <w:rPr>
          <w:rFonts w:ascii="Arial" w:hAnsi="Arial" w:cs="Arial"/>
          <w:b/>
          <w:sz w:val="22"/>
          <w:szCs w:val="22"/>
          <w:lang w:val="fr-FR"/>
        </w:rPr>
        <w:t>Palestine</w:t>
      </w:r>
      <w:r>
        <w:rPr>
          <w:rFonts w:ascii="Arial" w:hAnsi="Arial" w:cs="Arial"/>
          <w:bCs/>
          <w:sz w:val="22"/>
          <w:szCs w:val="22"/>
          <w:lang w:val="fr-FR"/>
        </w:rPr>
        <w:t xml:space="preserve"> a suggéré d</w:t>
      </w:r>
      <w:r w:rsidR="008E532B">
        <w:rPr>
          <w:rFonts w:ascii="Arial" w:hAnsi="Arial" w:cs="Arial"/>
          <w:bCs/>
          <w:sz w:val="22"/>
          <w:szCs w:val="22"/>
          <w:lang w:val="fr-FR"/>
        </w:rPr>
        <w:t>’</w:t>
      </w:r>
      <w:r>
        <w:rPr>
          <w:rFonts w:ascii="Arial" w:hAnsi="Arial" w:cs="Arial"/>
          <w:bCs/>
          <w:sz w:val="22"/>
          <w:szCs w:val="22"/>
          <w:lang w:val="fr-FR"/>
        </w:rPr>
        <w:t>adopter d</w:t>
      </w:r>
      <w:r w:rsidR="008E532B">
        <w:rPr>
          <w:rFonts w:ascii="Arial" w:hAnsi="Arial" w:cs="Arial"/>
          <w:bCs/>
          <w:sz w:val="22"/>
          <w:szCs w:val="22"/>
          <w:lang w:val="fr-FR"/>
        </w:rPr>
        <w:t>’</w:t>
      </w:r>
      <w:r>
        <w:rPr>
          <w:rFonts w:ascii="Arial" w:hAnsi="Arial" w:cs="Arial"/>
          <w:bCs/>
          <w:sz w:val="22"/>
          <w:szCs w:val="22"/>
          <w:lang w:val="fr-FR"/>
        </w:rPr>
        <w:t xml:space="preserve">abord le </w:t>
      </w:r>
      <w:r w:rsidRPr="00747E0D">
        <w:rPr>
          <w:rFonts w:ascii="Arial" w:hAnsi="Arial" w:cs="Arial"/>
          <w:bCs/>
          <w:sz w:val="22"/>
          <w:szCs w:val="22"/>
          <w:lang w:val="fr-FR"/>
        </w:rPr>
        <w:t>paragraphe</w:t>
      </w:r>
      <w:r>
        <w:rPr>
          <w:rFonts w:ascii="Arial" w:hAnsi="Arial" w:cs="Arial"/>
          <w:bCs/>
          <w:sz w:val="22"/>
          <w:szCs w:val="22"/>
          <w:lang w:val="fr-FR"/>
        </w:rPr>
        <w:t xml:space="preserve"> 6, après quoi, on pourrait débattre du </w:t>
      </w:r>
      <w:r w:rsidRPr="00747E0D">
        <w:rPr>
          <w:rFonts w:ascii="Arial" w:hAnsi="Arial" w:cs="Arial"/>
          <w:bCs/>
          <w:sz w:val="22"/>
          <w:szCs w:val="22"/>
          <w:lang w:val="fr-FR"/>
        </w:rPr>
        <w:t>paragraphe</w:t>
      </w:r>
      <w:r>
        <w:rPr>
          <w:rFonts w:ascii="Arial" w:hAnsi="Arial" w:cs="Arial"/>
          <w:bCs/>
          <w:sz w:val="22"/>
          <w:szCs w:val="22"/>
          <w:lang w:val="fr-FR"/>
        </w:rPr>
        <w:t xml:space="preserve"> 6bis.</w:t>
      </w:r>
    </w:p>
    <w:p w14:paraId="2933FD76" w14:textId="39EBCE9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47E0D">
        <w:rPr>
          <w:rFonts w:ascii="Arial" w:hAnsi="Arial" w:cs="Arial"/>
          <w:b/>
          <w:sz w:val="22"/>
          <w:szCs w:val="22"/>
          <w:lang w:val="fr-FR"/>
        </w:rPr>
        <w:t>Présidente</w:t>
      </w:r>
      <w:r>
        <w:rPr>
          <w:rFonts w:ascii="Arial" w:hAnsi="Arial" w:cs="Arial"/>
          <w:bCs/>
          <w:sz w:val="22"/>
          <w:szCs w:val="22"/>
          <w:lang w:val="fr-FR"/>
        </w:rPr>
        <w:t xml:space="preserve"> a souscrit à ce qui venait d</w:t>
      </w:r>
      <w:r w:rsidR="008E532B">
        <w:rPr>
          <w:rFonts w:ascii="Arial" w:hAnsi="Arial" w:cs="Arial"/>
          <w:bCs/>
          <w:sz w:val="22"/>
          <w:szCs w:val="22"/>
          <w:lang w:val="fr-FR"/>
        </w:rPr>
        <w:t>’</w:t>
      </w:r>
      <w:r>
        <w:rPr>
          <w:rFonts w:ascii="Arial" w:hAnsi="Arial" w:cs="Arial"/>
          <w:bCs/>
          <w:sz w:val="22"/>
          <w:szCs w:val="22"/>
          <w:lang w:val="fr-FR"/>
        </w:rPr>
        <w:t>être dit et a donné la parole aux</w:t>
      </w:r>
      <w:r w:rsidRPr="00C624A6">
        <w:rPr>
          <w:rFonts w:ascii="Arial" w:hAnsi="Arial" w:cs="Arial"/>
          <w:sz w:val="22"/>
          <w:szCs w:val="22"/>
          <w:lang w:val="fr-FR"/>
        </w:rPr>
        <w:t xml:space="preserve"> </w:t>
      </w:r>
      <w:r>
        <w:rPr>
          <w:rFonts w:ascii="Arial" w:hAnsi="Arial" w:cs="Arial"/>
          <w:sz w:val="22"/>
          <w:szCs w:val="22"/>
          <w:lang w:val="fr-FR"/>
        </w:rPr>
        <w:t>orateurs</w:t>
      </w:r>
      <w:r>
        <w:rPr>
          <w:rFonts w:ascii="Arial" w:hAnsi="Arial" w:cs="Arial"/>
          <w:bCs/>
          <w:sz w:val="22"/>
          <w:szCs w:val="22"/>
          <w:lang w:val="fr-FR"/>
        </w:rPr>
        <w:t>.</w:t>
      </w:r>
    </w:p>
    <w:p w14:paraId="4A8F6D49" w14:textId="61B01E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47E0D">
        <w:rPr>
          <w:rFonts w:ascii="Arial" w:hAnsi="Arial" w:cs="Arial"/>
          <w:bCs/>
          <w:sz w:val="22"/>
          <w:szCs w:val="22"/>
          <w:lang w:val="fr-FR"/>
        </w:rPr>
        <w:t xml:space="preserve">La délégation de la </w:t>
      </w:r>
      <w:r w:rsidRPr="00747E0D">
        <w:rPr>
          <w:rFonts w:ascii="Arial" w:hAnsi="Arial" w:cs="Arial"/>
          <w:b/>
          <w:sz w:val="22"/>
          <w:szCs w:val="22"/>
          <w:lang w:val="fr-FR"/>
        </w:rPr>
        <w:t>Colombie</w:t>
      </w:r>
      <w:r w:rsidRPr="00747E0D">
        <w:rPr>
          <w:rFonts w:ascii="Arial" w:hAnsi="Arial" w:cs="Arial"/>
          <w:bCs/>
          <w:sz w:val="22"/>
          <w:szCs w:val="22"/>
          <w:lang w:val="fr-FR"/>
        </w:rPr>
        <w:t xml:space="preserve"> a rappelé le débat précédent au cours duquel un accord commun sur l</w:t>
      </w:r>
      <w:r w:rsidR="008E532B">
        <w:rPr>
          <w:rFonts w:ascii="Arial" w:hAnsi="Arial" w:cs="Arial"/>
          <w:bCs/>
          <w:sz w:val="22"/>
          <w:szCs w:val="22"/>
          <w:lang w:val="fr-FR"/>
        </w:rPr>
        <w:t>’</w:t>
      </w:r>
      <w:r w:rsidRPr="00747E0D">
        <w:rPr>
          <w:rFonts w:ascii="Arial" w:hAnsi="Arial" w:cs="Arial"/>
          <w:bCs/>
          <w:sz w:val="22"/>
          <w:szCs w:val="22"/>
          <w:lang w:val="fr-FR"/>
        </w:rPr>
        <w:t>importance de l</w:t>
      </w:r>
      <w:r w:rsidR="008E532B">
        <w:rPr>
          <w:rFonts w:ascii="Arial" w:hAnsi="Arial" w:cs="Arial"/>
          <w:bCs/>
          <w:sz w:val="22"/>
          <w:szCs w:val="22"/>
          <w:lang w:val="fr-FR"/>
        </w:rPr>
        <w:t>’</w:t>
      </w:r>
      <w:r w:rsidRPr="00747E0D">
        <w:rPr>
          <w:rFonts w:ascii="Arial" w:hAnsi="Arial" w:cs="Arial"/>
          <w:bCs/>
          <w:sz w:val="22"/>
          <w:szCs w:val="22"/>
          <w:lang w:val="fr-FR"/>
        </w:rPr>
        <w:t>équilibre géographique</w:t>
      </w:r>
      <w:r>
        <w:rPr>
          <w:rFonts w:ascii="Arial" w:hAnsi="Arial" w:cs="Arial"/>
          <w:bCs/>
          <w:sz w:val="22"/>
          <w:szCs w:val="22"/>
          <w:lang w:val="fr-FR"/>
        </w:rPr>
        <w:t xml:space="preserve"> avait été trouvé</w:t>
      </w:r>
      <w:r w:rsidRPr="00747E0D">
        <w:rPr>
          <w:rFonts w:ascii="Arial" w:hAnsi="Arial" w:cs="Arial"/>
          <w:bCs/>
          <w:sz w:val="22"/>
          <w:szCs w:val="22"/>
          <w:lang w:val="fr-FR"/>
        </w:rPr>
        <w:t>. À ce</w:t>
      </w:r>
      <w:r>
        <w:rPr>
          <w:rFonts w:ascii="Arial" w:hAnsi="Arial" w:cs="Arial"/>
          <w:bCs/>
          <w:sz w:val="22"/>
          <w:szCs w:val="22"/>
          <w:lang w:val="fr-FR"/>
        </w:rPr>
        <w:t xml:space="preserve"> sujet</w:t>
      </w:r>
      <w:r w:rsidRPr="00747E0D">
        <w:rPr>
          <w:rFonts w:ascii="Arial" w:hAnsi="Arial" w:cs="Arial"/>
          <w:bCs/>
          <w:sz w:val="22"/>
          <w:szCs w:val="22"/>
          <w:lang w:val="fr-FR"/>
        </w:rPr>
        <w:t xml:space="preserve">, elle a proposé un ajout au paragraphe 6 ou un nouveau paragraphe, qui serait </w:t>
      </w:r>
      <w:r>
        <w:rPr>
          <w:rFonts w:ascii="Arial" w:hAnsi="Arial" w:cs="Arial"/>
          <w:bCs/>
          <w:sz w:val="22"/>
          <w:szCs w:val="22"/>
          <w:lang w:val="fr-FR"/>
        </w:rPr>
        <w:t>ainsi rédigé</w:t>
      </w:r>
      <w:r w:rsidRPr="00747E0D">
        <w:rPr>
          <w:rFonts w:ascii="Arial" w:hAnsi="Arial" w:cs="Arial"/>
          <w:bCs/>
          <w:sz w:val="22"/>
          <w:szCs w:val="22"/>
          <w:lang w:val="fr-FR"/>
        </w:rPr>
        <w:t xml:space="preserve"> : </w:t>
      </w:r>
      <w:r>
        <w:rPr>
          <w:rFonts w:ascii="Arial" w:hAnsi="Arial" w:cs="Arial"/>
          <w:bCs/>
          <w:sz w:val="22"/>
          <w:szCs w:val="22"/>
          <w:lang w:val="fr-FR"/>
        </w:rPr>
        <w:t>« </w:t>
      </w:r>
      <w:r w:rsidRPr="00747E0D">
        <w:rPr>
          <w:rFonts w:ascii="Arial" w:hAnsi="Arial" w:cs="Arial"/>
          <w:bCs/>
          <w:sz w:val="22"/>
          <w:szCs w:val="22"/>
          <w:lang w:val="fr-FR"/>
        </w:rPr>
        <w:t xml:space="preserve">Demande au Secrétariat </w:t>
      </w:r>
      <w:r>
        <w:rPr>
          <w:rFonts w:ascii="Arial" w:hAnsi="Arial" w:cs="Arial"/>
          <w:bCs/>
          <w:sz w:val="22"/>
          <w:szCs w:val="22"/>
          <w:lang w:val="fr-FR"/>
        </w:rPr>
        <w:t xml:space="preserve">après </w:t>
      </w:r>
      <w:r w:rsidRPr="00747E0D">
        <w:rPr>
          <w:rFonts w:ascii="Arial" w:hAnsi="Arial" w:cs="Arial"/>
          <w:bCs/>
          <w:sz w:val="22"/>
          <w:szCs w:val="22"/>
          <w:lang w:val="fr-FR"/>
        </w:rPr>
        <w:t xml:space="preserve">consultation avec les États parties, les </w:t>
      </w:r>
      <w:r>
        <w:rPr>
          <w:rFonts w:ascii="Arial" w:hAnsi="Arial" w:cs="Arial"/>
          <w:bCs/>
          <w:sz w:val="22"/>
          <w:szCs w:val="22"/>
          <w:lang w:val="fr-FR"/>
        </w:rPr>
        <w:t>C</w:t>
      </w:r>
      <w:r w:rsidRPr="00747E0D">
        <w:rPr>
          <w:rFonts w:ascii="Arial" w:hAnsi="Arial" w:cs="Arial"/>
          <w:bCs/>
          <w:sz w:val="22"/>
          <w:szCs w:val="22"/>
          <w:lang w:val="fr-FR"/>
        </w:rPr>
        <w:t>ommissions nationales et le Forum des ONG du PCI, de soumettre</w:t>
      </w:r>
      <w:r>
        <w:rPr>
          <w:rFonts w:ascii="Arial" w:hAnsi="Arial" w:cs="Arial"/>
          <w:bCs/>
          <w:sz w:val="22"/>
          <w:szCs w:val="22"/>
          <w:lang w:val="fr-FR"/>
        </w:rPr>
        <w:t>,</w:t>
      </w:r>
      <w:r w:rsidRPr="00747E0D">
        <w:rPr>
          <w:rFonts w:ascii="Arial" w:hAnsi="Arial" w:cs="Arial"/>
          <w:bCs/>
          <w:sz w:val="22"/>
          <w:szCs w:val="22"/>
          <w:lang w:val="fr-FR"/>
        </w:rPr>
        <w:t xml:space="preserve"> à la prochaine session</w:t>
      </w:r>
      <w:r>
        <w:rPr>
          <w:rFonts w:ascii="Arial" w:hAnsi="Arial" w:cs="Arial"/>
          <w:bCs/>
          <w:sz w:val="22"/>
          <w:szCs w:val="22"/>
          <w:lang w:val="fr-FR"/>
        </w:rPr>
        <w:t>,</w:t>
      </w:r>
      <w:r w:rsidRPr="00747E0D">
        <w:rPr>
          <w:rFonts w:ascii="Arial" w:hAnsi="Arial" w:cs="Arial"/>
          <w:bCs/>
          <w:sz w:val="22"/>
          <w:szCs w:val="22"/>
          <w:lang w:val="fr-FR"/>
        </w:rPr>
        <w:t xml:space="preserve"> un plan </w:t>
      </w:r>
      <w:r w:rsidRPr="00C3115C">
        <w:rPr>
          <w:rFonts w:ascii="Arial" w:hAnsi="Arial" w:cs="Arial"/>
          <w:bCs/>
          <w:color w:val="000000" w:themeColor="text1"/>
          <w:sz w:val="22"/>
          <w:szCs w:val="22"/>
          <w:lang w:val="fr-FR"/>
        </w:rPr>
        <w:t xml:space="preserve">ou </w:t>
      </w:r>
      <w:r w:rsidRPr="00747E0D">
        <w:rPr>
          <w:rFonts w:ascii="Arial" w:hAnsi="Arial" w:cs="Arial"/>
          <w:bCs/>
          <w:sz w:val="22"/>
          <w:szCs w:val="22"/>
          <w:lang w:val="fr-FR"/>
        </w:rPr>
        <w:t xml:space="preserve">une stratégie visant à </w:t>
      </w:r>
      <w:r>
        <w:rPr>
          <w:rFonts w:ascii="Arial" w:hAnsi="Arial" w:cs="Arial"/>
          <w:bCs/>
          <w:sz w:val="22"/>
          <w:szCs w:val="22"/>
          <w:lang w:val="fr-FR"/>
        </w:rPr>
        <w:t xml:space="preserve">garantir </w:t>
      </w:r>
      <w:r w:rsidRPr="00C3115C">
        <w:rPr>
          <w:rFonts w:ascii="Arial" w:hAnsi="Arial" w:cs="Arial"/>
          <w:bCs/>
          <w:color w:val="000000" w:themeColor="text1"/>
          <w:sz w:val="22"/>
          <w:szCs w:val="22"/>
          <w:lang w:val="fr-FR"/>
        </w:rPr>
        <w:t xml:space="preserve">la représentation géographique </w:t>
      </w:r>
      <w:r>
        <w:rPr>
          <w:rFonts w:ascii="Arial" w:hAnsi="Arial" w:cs="Arial"/>
          <w:bCs/>
          <w:color w:val="000000" w:themeColor="text1"/>
          <w:sz w:val="22"/>
          <w:szCs w:val="22"/>
          <w:lang w:val="fr-FR"/>
        </w:rPr>
        <w:t xml:space="preserve">équilibrée </w:t>
      </w:r>
      <w:r>
        <w:rPr>
          <w:rFonts w:ascii="Arial" w:hAnsi="Arial" w:cs="Arial"/>
          <w:bCs/>
          <w:sz w:val="22"/>
          <w:szCs w:val="22"/>
          <w:lang w:val="fr-FR"/>
        </w:rPr>
        <w:t>entre</w:t>
      </w:r>
      <w:r w:rsidRPr="00747E0D">
        <w:rPr>
          <w:rFonts w:ascii="Arial" w:hAnsi="Arial" w:cs="Arial"/>
          <w:bCs/>
          <w:sz w:val="22"/>
          <w:szCs w:val="22"/>
          <w:lang w:val="fr-FR"/>
        </w:rPr>
        <w:t xml:space="preserve"> ses ONG</w:t>
      </w:r>
      <w:r>
        <w:rPr>
          <w:rFonts w:ascii="Arial" w:hAnsi="Arial" w:cs="Arial"/>
          <w:bCs/>
          <w:sz w:val="22"/>
          <w:szCs w:val="22"/>
          <w:lang w:val="fr-FR"/>
        </w:rPr>
        <w:t> »</w:t>
      </w:r>
      <w:r w:rsidRPr="00747E0D">
        <w:rPr>
          <w:rFonts w:ascii="Arial" w:hAnsi="Arial" w:cs="Arial"/>
          <w:bCs/>
          <w:sz w:val="22"/>
          <w:szCs w:val="22"/>
          <w:lang w:val="fr-FR"/>
        </w:rPr>
        <w:t>. La raison d</w:t>
      </w:r>
      <w:r w:rsidR="008E532B">
        <w:rPr>
          <w:rFonts w:ascii="Arial" w:hAnsi="Arial" w:cs="Arial"/>
          <w:bCs/>
          <w:sz w:val="22"/>
          <w:szCs w:val="22"/>
          <w:lang w:val="fr-FR"/>
        </w:rPr>
        <w:t>’</w:t>
      </w:r>
      <w:r w:rsidRPr="00747E0D">
        <w:rPr>
          <w:rFonts w:ascii="Arial" w:hAnsi="Arial" w:cs="Arial"/>
          <w:bCs/>
          <w:sz w:val="22"/>
          <w:szCs w:val="22"/>
          <w:lang w:val="fr-FR"/>
        </w:rPr>
        <w:t>être de cet amendement était d</w:t>
      </w:r>
      <w:r w:rsidR="008E532B">
        <w:rPr>
          <w:rFonts w:ascii="Arial" w:hAnsi="Arial" w:cs="Arial"/>
          <w:bCs/>
          <w:sz w:val="22"/>
          <w:szCs w:val="22"/>
          <w:lang w:val="fr-FR"/>
        </w:rPr>
        <w:t>’</w:t>
      </w:r>
      <w:r>
        <w:rPr>
          <w:rFonts w:ascii="Arial" w:hAnsi="Arial" w:cs="Arial"/>
          <w:bCs/>
          <w:sz w:val="22"/>
          <w:szCs w:val="22"/>
          <w:lang w:val="fr-FR"/>
        </w:rPr>
        <w:t>apporter</w:t>
      </w:r>
      <w:r w:rsidRPr="00747E0D">
        <w:rPr>
          <w:rFonts w:ascii="Arial" w:hAnsi="Arial" w:cs="Arial"/>
          <w:bCs/>
          <w:sz w:val="22"/>
          <w:szCs w:val="22"/>
          <w:lang w:val="fr-FR"/>
        </w:rPr>
        <w:t xml:space="preserve"> une solution concrète </w:t>
      </w:r>
      <w:r>
        <w:rPr>
          <w:rFonts w:ascii="Arial" w:hAnsi="Arial" w:cs="Arial"/>
          <w:bCs/>
          <w:sz w:val="22"/>
          <w:szCs w:val="22"/>
          <w:lang w:val="fr-FR"/>
        </w:rPr>
        <w:t xml:space="preserve">à </w:t>
      </w:r>
      <w:r w:rsidRPr="00747E0D">
        <w:rPr>
          <w:rFonts w:ascii="Arial" w:hAnsi="Arial" w:cs="Arial"/>
          <w:bCs/>
          <w:sz w:val="22"/>
          <w:szCs w:val="22"/>
          <w:lang w:val="fr-FR"/>
        </w:rPr>
        <w:t xml:space="preserve">une question </w:t>
      </w:r>
      <w:r>
        <w:rPr>
          <w:rFonts w:ascii="Arial" w:hAnsi="Arial" w:cs="Arial"/>
          <w:bCs/>
          <w:sz w:val="22"/>
          <w:szCs w:val="22"/>
          <w:lang w:val="fr-FR"/>
        </w:rPr>
        <w:t>à propos de</w:t>
      </w:r>
      <w:r w:rsidRPr="00747E0D">
        <w:rPr>
          <w:rFonts w:ascii="Arial" w:hAnsi="Arial" w:cs="Arial"/>
          <w:bCs/>
          <w:sz w:val="22"/>
          <w:szCs w:val="22"/>
          <w:lang w:val="fr-FR"/>
        </w:rPr>
        <w:t xml:space="preserve"> laquelle toutes les délégations avaient exprimé leur préoccupation.</w:t>
      </w:r>
    </w:p>
    <w:p w14:paraId="7B60660D" w14:textId="3C8D930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5531E5">
        <w:rPr>
          <w:rFonts w:ascii="Arial" w:hAnsi="Arial" w:cs="Arial"/>
          <w:bCs/>
          <w:sz w:val="22"/>
          <w:szCs w:val="22"/>
          <w:lang w:val="fr-FR"/>
        </w:rPr>
        <w:t>délégation</w:t>
      </w:r>
      <w:r>
        <w:rPr>
          <w:rFonts w:ascii="Arial" w:hAnsi="Arial" w:cs="Arial"/>
          <w:bCs/>
          <w:sz w:val="22"/>
          <w:szCs w:val="22"/>
          <w:lang w:val="fr-FR"/>
        </w:rPr>
        <w:t xml:space="preserve"> de la </w:t>
      </w:r>
      <w:r w:rsidRPr="005531E5">
        <w:rPr>
          <w:rFonts w:ascii="Arial" w:hAnsi="Arial" w:cs="Arial"/>
          <w:b/>
          <w:sz w:val="22"/>
          <w:szCs w:val="22"/>
          <w:lang w:val="fr-FR"/>
        </w:rPr>
        <w:t>Palestine</w:t>
      </w:r>
      <w:r>
        <w:rPr>
          <w:rFonts w:ascii="Arial" w:hAnsi="Arial" w:cs="Arial"/>
          <w:bCs/>
          <w:sz w:val="22"/>
          <w:szCs w:val="22"/>
          <w:lang w:val="fr-FR"/>
        </w:rPr>
        <w:t xml:space="preserve">, qui souscrivait pleinement à la </w:t>
      </w:r>
      <w:r w:rsidRPr="005531E5">
        <w:rPr>
          <w:rFonts w:ascii="Arial" w:hAnsi="Arial" w:cs="Arial"/>
          <w:bCs/>
          <w:sz w:val="22"/>
          <w:szCs w:val="22"/>
          <w:lang w:val="fr-FR"/>
        </w:rPr>
        <w:t>proposition</w:t>
      </w:r>
      <w:r>
        <w:rPr>
          <w:rFonts w:ascii="Arial" w:hAnsi="Arial" w:cs="Arial"/>
          <w:bCs/>
          <w:sz w:val="22"/>
          <w:szCs w:val="22"/>
          <w:lang w:val="fr-FR"/>
        </w:rPr>
        <w:t xml:space="preserve"> de la Colombie, souhaitait ajouter le texte suivant : « y compris la possibilité d</w:t>
      </w:r>
      <w:r w:rsidR="008E532B">
        <w:rPr>
          <w:rFonts w:ascii="Arial" w:hAnsi="Arial" w:cs="Arial"/>
          <w:bCs/>
          <w:sz w:val="22"/>
          <w:szCs w:val="22"/>
          <w:lang w:val="fr-FR"/>
        </w:rPr>
        <w:t>’</w:t>
      </w:r>
      <w:r>
        <w:rPr>
          <w:rFonts w:ascii="Arial" w:hAnsi="Arial" w:cs="Arial"/>
          <w:bCs/>
          <w:sz w:val="22"/>
          <w:szCs w:val="22"/>
          <w:lang w:val="fr-FR"/>
        </w:rPr>
        <w:t>inclure un quota par région ».</w:t>
      </w:r>
    </w:p>
    <w:p w14:paraId="3C380D70" w14:textId="0A031F3B" w:rsidR="00D9653F" w:rsidRPr="00331600"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531E5">
        <w:rPr>
          <w:rFonts w:ascii="Arial" w:hAnsi="Arial" w:cs="Arial"/>
          <w:bCs/>
          <w:sz w:val="22"/>
          <w:szCs w:val="22"/>
          <w:lang w:val="fr-FR"/>
        </w:rPr>
        <w:t xml:space="preserve">La délégation du </w:t>
      </w:r>
      <w:r w:rsidRPr="005531E5">
        <w:rPr>
          <w:rFonts w:ascii="Arial" w:hAnsi="Arial" w:cs="Arial"/>
          <w:b/>
          <w:sz w:val="22"/>
          <w:szCs w:val="22"/>
          <w:lang w:val="fr-FR"/>
        </w:rPr>
        <w:t>Koweït</w:t>
      </w:r>
      <w:r w:rsidRPr="005531E5">
        <w:rPr>
          <w:rFonts w:ascii="Arial" w:hAnsi="Arial" w:cs="Arial"/>
          <w:bCs/>
          <w:sz w:val="22"/>
          <w:szCs w:val="22"/>
          <w:lang w:val="fr-FR"/>
        </w:rPr>
        <w:t xml:space="preserve"> a félicité la Présidente, ajoutant qu</w:t>
      </w:r>
      <w:r w:rsidR="008E532B">
        <w:rPr>
          <w:rFonts w:ascii="Arial" w:hAnsi="Arial" w:cs="Arial"/>
          <w:bCs/>
          <w:sz w:val="22"/>
          <w:szCs w:val="22"/>
          <w:lang w:val="fr-FR"/>
        </w:rPr>
        <w:t>’</w:t>
      </w:r>
      <w:r w:rsidRPr="005531E5">
        <w:rPr>
          <w:rFonts w:ascii="Arial" w:hAnsi="Arial" w:cs="Arial"/>
          <w:bCs/>
          <w:sz w:val="22"/>
          <w:szCs w:val="22"/>
          <w:lang w:val="fr-FR"/>
        </w:rPr>
        <w:t xml:space="preserve">elle croyait fermement au rôle des ONG. La délégation a fait remarquer que le représentant </w:t>
      </w:r>
      <w:r>
        <w:rPr>
          <w:rFonts w:ascii="Arial" w:hAnsi="Arial" w:cs="Arial"/>
          <w:bCs/>
          <w:sz w:val="22"/>
          <w:szCs w:val="22"/>
          <w:lang w:val="fr-FR"/>
        </w:rPr>
        <w:t>d</w:t>
      </w:r>
      <w:r w:rsidR="008E532B">
        <w:rPr>
          <w:rFonts w:ascii="Arial" w:hAnsi="Arial" w:cs="Arial"/>
          <w:bCs/>
          <w:sz w:val="22"/>
          <w:szCs w:val="22"/>
          <w:lang w:val="fr-FR"/>
        </w:rPr>
        <w:t>’</w:t>
      </w:r>
      <w:r>
        <w:rPr>
          <w:rFonts w:ascii="Arial" w:hAnsi="Arial" w:cs="Arial"/>
          <w:bCs/>
          <w:sz w:val="22"/>
          <w:szCs w:val="22"/>
          <w:lang w:val="fr-FR"/>
        </w:rPr>
        <w:t>une région</w:t>
      </w:r>
      <w:r w:rsidRPr="005531E5">
        <w:rPr>
          <w:rFonts w:ascii="Arial" w:hAnsi="Arial" w:cs="Arial"/>
          <w:bCs/>
          <w:sz w:val="22"/>
          <w:szCs w:val="22"/>
          <w:lang w:val="fr-FR"/>
        </w:rPr>
        <w:t xml:space="preserve"> ne v</w:t>
      </w:r>
      <w:r>
        <w:rPr>
          <w:rFonts w:ascii="Arial" w:hAnsi="Arial" w:cs="Arial"/>
          <w:bCs/>
          <w:sz w:val="22"/>
          <w:szCs w:val="22"/>
          <w:lang w:val="fr-FR"/>
        </w:rPr>
        <w:t>ient</w:t>
      </w:r>
      <w:r w:rsidRPr="005531E5">
        <w:rPr>
          <w:rFonts w:ascii="Arial" w:hAnsi="Arial" w:cs="Arial"/>
          <w:bCs/>
          <w:sz w:val="22"/>
          <w:szCs w:val="22"/>
          <w:lang w:val="fr-FR"/>
        </w:rPr>
        <w:t xml:space="preserve"> pas seulement des ONG</w:t>
      </w:r>
      <w:r>
        <w:rPr>
          <w:rFonts w:ascii="Arial" w:hAnsi="Arial" w:cs="Arial"/>
          <w:bCs/>
          <w:sz w:val="22"/>
          <w:szCs w:val="22"/>
          <w:lang w:val="fr-FR"/>
        </w:rPr>
        <w:t xml:space="preserve">, </w:t>
      </w:r>
      <w:r w:rsidRPr="005531E5">
        <w:rPr>
          <w:rFonts w:ascii="Arial" w:hAnsi="Arial" w:cs="Arial"/>
          <w:bCs/>
          <w:sz w:val="22"/>
          <w:szCs w:val="22"/>
          <w:lang w:val="fr-FR"/>
        </w:rPr>
        <w:t xml:space="preserve">il y a </w:t>
      </w:r>
      <w:r>
        <w:rPr>
          <w:rFonts w:ascii="Arial" w:hAnsi="Arial" w:cs="Arial"/>
          <w:bCs/>
          <w:sz w:val="22"/>
          <w:szCs w:val="22"/>
          <w:lang w:val="fr-FR"/>
        </w:rPr>
        <w:t>également</w:t>
      </w:r>
      <w:r w:rsidRPr="00331600">
        <w:rPr>
          <w:rFonts w:ascii="Arial" w:hAnsi="Arial" w:cs="Arial"/>
          <w:bCs/>
          <w:sz w:val="22"/>
          <w:szCs w:val="22"/>
          <w:lang w:val="fr-FR"/>
        </w:rPr>
        <w:t xml:space="preserve"> des experts, etc. D</w:t>
      </w:r>
      <w:r w:rsidR="008E532B">
        <w:rPr>
          <w:rFonts w:ascii="Arial" w:hAnsi="Arial" w:cs="Arial"/>
          <w:bCs/>
          <w:sz w:val="22"/>
          <w:szCs w:val="22"/>
          <w:lang w:val="fr-FR"/>
        </w:rPr>
        <w:t>’</w:t>
      </w:r>
      <w:r w:rsidRPr="00331600">
        <w:rPr>
          <w:rFonts w:ascii="Arial" w:hAnsi="Arial" w:cs="Arial"/>
          <w:bCs/>
          <w:sz w:val="22"/>
          <w:szCs w:val="22"/>
          <w:lang w:val="fr-FR"/>
        </w:rPr>
        <w:t xml:space="preserve">après le tableau du Secrétariat [sur la </w:t>
      </w:r>
      <w:r w:rsidR="002512C5">
        <w:rPr>
          <w:rFonts w:ascii="Arial" w:hAnsi="Arial" w:cs="Arial"/>
          <w:bCs/>
          <w:sz w:val="22"/>
          <w:szCs w:val="22"/>
          <w:lang w:val="fr-FR"/>
        </w:rPr>
        <w:t>distribution</w:t>
      </w:r>
      <w:r w:rsidRPr="00331600">
        <w:rPr>
          <w:rFonts w:ascii="Arial" w:hAnsi="Arial" w:cs="Arial"/>
          <w:bCs/>
          <w:sz w:val="22"/>
          <w:szCs w:val="22"/>
          <w:lang w:val="fr-FR"/>
        </w:rPr>
        <w:t xml:space="preserve"> géographique des ONG], le </w:t>
      </w:r>
      <w:r>
        <w:rPr>
          <w:rFonts w:ascii="Arial" w:hAnsi="Arial" w:cs="Arial"/>
          <w:bCs/>
          <w:sz w:val="22"/>
          <w:szCs w:val="22"/>
          <w:lang w:val="fr-FR"/>
        </w:rPr>
        <w:t>G</w:t>
      </w:r>
      <w:r w:rsidRPr="00331600">
        <w:rPr>
          <w:rFonts w:ascii="Arial" w:hAnsi="Arial" w:cs="Arial"/>
          <w:bCs/>
          <w:sz w:val="22"/>
          <w:szCs w:val="22"/>
          <w:lang w:val="fr-FR"/>
        </w:rPr>
        <w:t>roupe</w:t>
      </w:r>
      <w:r>
        <w:rPr>
          <w:rFonts w:ascii="Arial" w:hAnsi="Arial" w:cs="Arial"/>
          <w:bCs/>
          <w:sz w:val="22"/>
          <w:szCs w:val="22"/>
          <w:lang w:val="fr-FR"/>
        </w:rPr>
        <w:t> </w:t>
      </w:r>
      <w:r w:rsidRPr="00331600">
        <w:rPr>
          <w:rFonts w:ascii="Arial" w:hAnsi="Arial" w:cs="Arial"/>
          <w:bCs/>
          <w:sz w:val="22"/>
          <w:szCs w:val="22"/>
          <w:lang w:val="fr-FR"/>
        </w:rPr>
        <w:t>V</w:t>
      </w:r>
      <w:r>
        <w:rPr>
          <w:rFonts w:ascii="Arial" w:hAnsi="Arial" w:cs="Arial"/>
          <w:bCs/>
          <w:sz w:val="22"/>
          <w:szCs w:val="22"/>
          <w:lang w:val="fr-FR"/>
        </w:rPr>
        <w:t> </w:t>
      </w:r>
      <w:r w:rsidRPr="00331600">
        <w:rPr>
          <w:rFonts w:ascii="Arial" w:hAnsi="Arial" w:cs="Arial"/>
          <w:bCs/>
          <w:sz w:val="22"/>
          <w:szCs w:val="22"/>
          <w:lang w:val="fr-FR"/>
        </w:rPr>
        <w:t xml:space="preserve">(b) était alors représenté à hauteur de </w:t>
      </w:r>
      <w:r>
        <w:rPr>
          <w:rFonts w:ascii="Arial" w:hAnsi="Arial" w:cs="Arial"/>
          <w:bCs/>
          <w:sz w:val="22"/>
          <w:szCs w:val="22"/>
          <w:lang w:val="fr-FR"/>
        </w:rPr>
        <w:t>4 %</w:t>
      </w:r>
      <w:r w:rsidRPr="00331600">
        <w:rPr>
          <w:rFonts w:ascii="Arial" w:hAnsi="Arial" w:cs="Arial"/>
          <w:bCs/>
          <w:sz w:val="22"/>
          <w:szCs w:val="22"/>
          <w:lang w:val="fr-FR"/>
        </w:rPr>
        <w:t xml:space="preserve"> et le </w:t>
      </w:r>
      <w:r>
        <w:rPr>
          <w:rFonts w:ascii="Arial" w:hAnsi="Arial" w:cs="Arial"/>
          <w:bCs/>
          <w:sz w:val="22"/>
          <w:szCs w:val="22"/>
          <w:lang w:val="fr-FR"/>
        </w:rPr>
        <w:t>G</w:t>
      </w:r>
      <w:r w:rsidRPr="00331600">
        <w:rPr>
          <w:rFonts w:ascii="Arial" w:hAnsi="Arial" w:cs="Arial"/>
          <w:bCs/>
          <w:sz w:val="22"/>
          <w:szCs w:val="22"/>
          <w:lang w:val="fr-FR"/>
        </w:rPr>
        <w:t>roupe</w:t>
      </w:r>
      <w:r>
        <w:rPr>
          <w:rFonts w:ascii="Arial" w:hAnsi="Arial" w:cs="Arial"/>
          <w:bCs/>
          <w:sz w:val="22"/>
          <w:szCs w:val="22"/>
          <w:lang w:val="fr-FR"/>
        </w:rPr>
        <w:t> </w:t>
      </w:r>
      <w:r w:rsidRPr="00331600">
        <w:rPr>
          <w:rFonts w:ascii="Arial" w:hAnsi="Arial" w:cs="Arial"/>
          <w:bCs/>
          <w:sz w:val="22"/>
          <w:szCs w:val="22"/>
          <w:lang w:val="fr-FR"/>
        </w:rPr>
        <w:t>III à hauteur de</w:t>
      </w:r>
      <w:r>
        <w:rPr>
          <w:rFonts w:ascii="Arial" w:hAnsi="Arial" w:cs="Arial"/>
          <w:bCs/>
          <w:sz w:val="22"/>
          <w:szCs w:val="22"/>
          <w:lang w:val="fr-FR"/>
        </w:rPr>
        <w:t xml:space="preserve"> 5 %.</w:t>
      </w:r>
      <w:r w:rsidRPr="00331600">
        <w:rPr>
          <w:rFonts w:ascii="Arial" w:hAnsi="Arial" w:cs="Arial"/>
          <w:bCs/>
          <w:sz w:val="22"/>
          <w:szCs w:val="22"/>
          <w:lang w:val="fr-FR"/>
        </w:rPr>
        <w:t xml:space="preserve"> La délégation </w:t>
      </w:r>
      <w:r>
        <w:rPr>
          <w:rFonts w:ascii="Arial" w:hAnsi="Arial" w:cs="Arial"/>
          <w:bCs/>
          <w:sz w:val="22"/>
          <w:szCs w:val="22"/>
          <w:lang w:val="fr-FR"/>
        </w:rPr>
        <w:t xml:space="preserve">souscrivait </w:t>
      </w:r>
      <w:r w:rsidRPr="00331600">
        <w:rPr>
          <w:rFonts w:ascii="Arial" w:hAnsi="Arial" w:cs="Arial"/>
          <w:bCs/>
          <w:sz w:val="22"/>
          <w:szCs w:val="22"/>
          <w:lang w:val="fr-FR"/>
        </w:rPr>
        <w:t xml:space="preserve">donc </w:t>
      </w:r>
      <w:r>
        <w:rPr>
          <w:rFonts w:ascii="Arial" w:hAnsi="Arial" w:cs="Arial"/>
          <w:bCs/>
          <w:sz w:val="22"/>
          <w:szCs w:val="22"/>
          <w:lang w:val="fr-FR"/>
        </w:rPr>
        <w:t>à l</w:t>
      </w:r>
      <w:r w:rsidR="008E532B">
        <w:rPr>
          <w:rFonts w:ascii="Arial" w:hAnsi="Arial" w:cs="Arial"/>
          <w:bCs/>
          <w:sz w:val="22"/>
          <w:szCs w:val="22"/>
          <w:lang w:val="fr-FR"/>
        </w:rPr>
        <w:t>’</w:t>
      </w:r>
      <w:r>
        <w:rPr>
          <w:rFonts w:ascii="Arial" w:hAnsi="Arial" w:cs="Arial"/>
          <w:bCs/>
          <w:sz w:val="22"/>
          <w:szCs w:val="22"/>
          <w:lang w:val="fr-FR"/>
        </w:rPr>
        <w:t>idée</w:t>
      </w:r>
      <w:r w:rsidRPr="00331600">
        <w:rPr>
          <w:rFonts w:ascii="Arial" w:hAnsi="Arial" w:cs="Arial"/>
          <w:bCs/>
          <w:sz w:val="22"/>
          <w:szCs w:val="22"/>
          <w:lang w:val="fr-FR"/>
        </w:rPr>
        <w:t xml:space="preserve"> </w:t>
      </w:r>
      <w:r>
        <w:rPr>
          <w:rFonts w:ascii="Arial" w:hAnsi="Arial" w:cs="Arial"/>
          <w:bCs/>
          <w:sz w:val="22"/>
          <w:szCs w:val="22"/>
          <w:lang w:val="fr-FR"/>
        </w:rPr>
        <w:t>d</w:t>
      </w:r>
      <w:r w:rsidR="008E532B">
        <w:rPr>
          <w:rFonts w:ascii="Arial" w:hAnsi="Arial" w:cs="Arial"/>
          <w:bCs/>
          <w:sz w:val="22"/>
          <w:szCs w:val="22"/>
          <w:lang w:val="fr-FR"/>
        </w:rPr>
        <w:t>’</w:t>
      </w:r>
      <w:r w:rsidRPr="00331600">
        <w:rPr>
          <w:rFonts w:ascii="Arial" w:hAnsi="Arial" w:cs="Arial"/>
          <w:bCs/>
          <w:sz w:val="22"/>
          <w:szCs w:val="22"/>
          <w:lang w:val="fr-FR"/>
        </w:rPr>
        <w:t>avoir un plan d</w:t>
      </w:r>
      <w:r w:rsidR="008E532B">
        <w:rPr>
          <w:rFonts w:ascii="Arial" w:hAnsi="Arial" w:cs="Arial"/>
          <w:bCs/>
          <w:sz w:val="22"/>
          <w:szCs w:val="22"/>
          <w:lang w:val="fr-FR"/>
        </w:rPr>
        <w:t>’</w:t>
      </w:r>
      <w:r w:rsidRPr="00331600">
        <w:rPr>
          <w:rFonts w:ascii="Arial" w:hAnsi="Arial" w:cs="Arial"/>
          <w:bCs/>
          <w:sz w:val="22"/>
          <w:szCs w:val="22"/>
          <w:lang w:val="fr-FR"/>
        </w:rPr>
        <w:t>action, des résultats et un aboutissement, ce qui permettrait d</w:t>
      </w:r>
      <w:r w:rsidR="008E532B">
        <w:rPr>
          <w:rFonts w:ascii="Arial" w:hAnsi="Arial" w:cs="Arial"/>
          <w:bCs/>
          <w:sz w:val="22"/>
          <w:szCs w:val="22"/>
          <w:lang w:val="fr-FR"/>
        </w:rPr>
        <w:t>’</w:t>
      </w:r>
      <w:r w:rsidRPr="00331600">
        <w:rPr>
          <w:rFonts w:ascii="Arial" w:hAnsi="Arial" w:cs="Arial"/>
          <w:bCs/>
          <w:sz w:val="22"/>
          <w:szCs w:val="22"/>
          <w:lang w:val="fr-FR"/>
        </w:rPr>
        <w:t>augmenter cette proportion dans deux ans. Cette approche axée sur les résultats permettrait ainsi d</w:t>
      </w:r>
      <w:r>
        <w:rPr>
          <w:rFonts w:ascii="Arial" w:hAnsi="Arial" w:cs="Arial"/>
          <w:bCs/>
          <w:sz w:val="22"/>
          <w:szCs w:val="22"/>
          <w:lang w:val="fr-FR"/>
        </w:rPr>
        <w:t>e parvenir à</w:t>
      </w:r>
      <w:r w:rsidRPr="00331600">
        <w:rPr>
          <w:rFonts w:ascii="Arial" w:hAnsi="Arial" w:cs="Arial"/>
          <w:bCs/>
          <w:sz w:val="22"/>
          <w:szCs w:val="22"/>
          <w:lang w:val="fr-FR"/>
        </w:rPr>
        <w:t xml:space="preserve"> un plus grand nombre d</w:t>
      </w:r>
      <w:r w:rsidR="008E532B">
        <w:rPr>
          <w:rFonts w:ascii="Arial" w:hAnsi="Arial" w:cs="Arial"/>
          <w:bCs/>
          <w:sz w:val="22"/>
          <w:szCs w:val="22"/>
          <w:lang w:val="fr-FR"/>
        </w:rPr>
        <w:t>’</w:t>
      </w:r>
      <w:r w:rsidRPr="00331600">
        <w:rPr>
          <w:rFonts w:ascii="Arial" w:hAnsi="Arial" w:cs="Arial"/>
          <w:bCs/>
          <w:sz w:val="22"/>
          <w:szCs w:val="22"/>
          <w:lang w:val="fr-FR"/>
        </w:rPr>
        <w:t xml:space="preserve">ONG dans les </w:t>
      </w:r>
      <w:r>
        <w:rPr>
          <w:rFonts w:ascii="Arial" w:hAnsi="Arial" w:cs="Arial"/>
          <w:bCs/>
          <w:sz w:val="22"/>
          <w:szCs w:val="22"/>
          <w:lang w:val="fr-FR"/>
        </w:rPr>
        <w:t>g</w:t>
      </w:r>
      <w:r w:rsidRPr="00331600">
        <w:rPr>
          <w:rFonts w:ascii="Arial" w:hAnsi="Arial" w:cs="Arial"/>
          <w:bCs/>
          <w:sz w:val="22"/>
          <w:szCs w:val="22"/>
          <w:lang w:val="fr-FR"/>
        </w:rPr>
        <w:t>roupes sous-représentés, offrant ainsi une plus grande sélection d</w:t>
      </w:r>
      <w:r w:rsidR="008E532B">
        <w:rPr>
          <w:rFonts w:ascii="Arial" w:hAnsi="Arial" w:cs="Arial"/>
          <w:bCs/>
          <w:sz w:val="22"/>
          <w:szCs w:val="22"/>
          <w:lang w:val="fr-FR"/>
        </w:rPr>
        <w:t>’</w:t>
      </w:r>
      <w:r w:rsidRPr="00331600">
        <w:rPr>
          <w:rFonts w:ascii="Arial" w:hAnsi="Arial" w:cs="Arial"/>
          <w:bCs/>
          <w:sz w:val="22"/>
          <w:szCs w:val="22"/>
          <w:lang w:val="fr-FR"/>
        </w:rPr>
        <w:t xml:space="preserve">ONG. Le Koweït </w:t>
      </w:r>
      <w:r>
        <w:rPr>
          <w:rFonts w:ascii="Arial" w:hAnsi="Arial" w:cs="Arial"/>
          <w:bCs/>
          <w:sz w:val="22"/>
          <w:szCs w:val="22"/>
          <w:lang w:val="fr-FR"/>
        </w:rPr>
        <w:t xml:space="preserve">soutenait </w:t>
      </w:r>
      <w:r w:rsidRPr="00331600">
        <w:rPr>
          <w:rFonts w:ascii="Arial" w:hAnsi="Arial" w:cs="Arial"/>
          <w:bCs/>
          <w:sz w:val="22"/>
          <w:szCs w:val="22"/>
          <w:lang w:val="fr-FR"/>
        </w:rPr>
        <w:t>donc l</w:t>
      </w:r>
      <w:r w:rsidR="008E532B">
        <w:rPr>
          <w:rFonts w:ascii="Arial" w:hAnsi="Arial" w:cs="Arial"/>
          <w:bCs/>
          <w:sz w:val="22"/>
          <w:szCs w:val="22"/>
          <w:lang w:val="fr-FR"/>
        </w:rPr>
        <w:t>’</w:t>
      </w:r>
      <w:r w:rsidRPr="00331600">
        <w:rPr>
          <w:rFonts w:ascii="Arial" w:hAnsi="Arial" w:cs="Arial"/>
          <w:bCs/>
          <w:sz w:val="22"/>
          <w:szCs w:val="22"/>
          <w:lang w:val="fr-FR"/>
        </w:rPr>
        <w:t xml:space="preserve">amendement de la Colombie </w:t>
      </w:r>
      <w:r>
        <w:rPr>
          <w:rFonts w:ascii="Arial" w:hAnsi="Arial" w:cs="Arial"/>
          <w:bCs/>
          <w:sz w:val="22"/>
          <w:szCs w:val="22"/>
          <w:lang w:val="fr-FR"/>
        </w:rPr>
        <w:t>en faveur d</w:t>
      </w:r>
      <w:r w:rsidR="008E532B">
        <w:rPr>
          <w:rFonts w:ascii="Arial" w:hAnsi="Arial" w:cs="Arial"/>
          <w:bCs/>
          <w:sz w:val="22"/>
          <w:szCs w:val="22"/>
          <w:lang w:val="fr-FR"/>
        </w:rPr>
        <w:t>’</w:t>
      </w:r>
      <w:r w:rsidRPr="00331600">
        <w:rPr>
          <w:rFonts w:ascii="Arial" w:hAnsi="Arial" w:cs="Arial"/>
          <w:bCs/>
          <w:sz w:val="22"/>
          <w:szCs w:val="22"/>
          <w:lang w:val="fr-FR"/>
        </w:rPr>
        <w:t>un nouveau paragraphe 7.</w:t>
      </w:r>
    </w:p>
    <w:p w14:paraId="4D686052" w14:textId="293CA01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31600">
        <w:rPr>
          <w:rFonts w:ascii="Arial" w:hAnsi="Arial" w:cs="Arial"/>
          <w:bCs/>
          <w:sz w:val="22"/>
          <w:szCs w:val="22"/>
          <w:lang w:val="fr-FR"/>
        </w:rPr>
        <w:t>La délégation de l</w:t>
      </w:r>
      <w:r w:rsidR="008E532B">
        <w:rPr>
          <w:rFonts w:ascii="Arial" w:hAnsi="Arial" w:cs="Arial"/>
          <w:bCs/>
          <w:sz w:val="22"/>
          <w:szCs w:val="22"/>
          <w:lang w:val="fr-FR"/>
        </w:rPr>
        <w:t>’</w:t>
      </w:r>
      <w:r w:rsidRPr="00331600">
        <w:rPr>
          <w:rFonts w:ascii="Arial" w:hAnsi="Arial" w:cs="Arial"/>
          <w:b/>
          <w:sz w:val="22"/>
          <w:szCs w:val="22"/>
          <w:lang w:val="fr-FR"/>
        </w:rPr>
        <w:t>Éthiopie</w:t>
      </w:r>
      <w:r>
        <w:rPr>
          <w:rFonts w:ascii="Arial" w:hAnsi="Arial" w:cs="Arial"/>
          <w:bCs/>
          <w:sz w:val="22"/>
          <w:szCs w:val="22"/>
          <w:lang w:val="fr-FR"/>
        </w:rPr>
        <w:t>, qui souscrivait</w:t>
      </w:r>
      <w:r w:rsidRPr="00331600">
        <w:rPr>
          <w:rFonts w:ascii="Arial" w:hAnsi="Arial" w:cs="Arial"/>
          <w:bCs/>
          <w:sz w:val="22"/>
          <w:szCs w:val="22"/>
          <w:lang w:val="fr-FR"/>
        </w:rPr>
        <w:t xml:space="preserve"> </w:t>
      </w:r>
      <w:r>
        <w:rPr>
          <w:rFonts w:ascii="Arial" w:hAnsi="Arial" w:cs="Arial"/>
          <w:bCs/>
          <w:sz w:val="22"/>
          <w:szCs w:val="22"/>
          <w:lang w:val="fr-FR"/>
        </w:rPr>
        <w:t xml:space="preserve">pleinement à </w:t>
      </w:r>
      <w:r w:rsidRPr="00331600">
        <w:rPr>
          <w:rFonts w:ascii="Arial" w:hAnsi="Arial" w:cs="Arial"/>
          <w:bCs/>
          <w:sz w:val="22"/>
          <w:szCs w:val="22"/>
          <w:lang w:val="fr-FR"/>
        </w:rPr>
        <w:t>l</w:t>
      </w:r>
      <w:r w:rsidR="008E532B">
        <w:rPr>
          <w:rFonts w:ascii="Arial" w:hAnsi="Arial" w:cs="Arial"/>
          <w:bCs/>
          <w:sz w:val="22"/>
          <w:szCs w:val="22"/>
          <w:lang w:val="fr-FR"/>
        </w:rPr>
        <w:t>’</w:t>
      </w:r>
      <w:r w:rsidRPr="00331600">
        <w:rPr>
          <w:rFonts w:ascii="Arial" w:hAnsi="Arial" w:cs="Arial"/>
          <w:bCs/>
          <w:sz w:val="22"/>
          <w:szCs w:val="22"/>
          <w:lang w:val="fr-FR"/>
        </w:rPr>
        <w:t xml:space="preserve">amendement de la Colombie tel que modifié par la Palestine, </w:t>
      </w:r>
      <w:r>
        <w:rPr>
          <w:rFonts w:ascii="Arial" w:hAnsi="Arial" w:cs="Arial"/>
          <w:bCs/>
          <w:sz w:val="22"/>
          <w:szCs w:val="22"/>
          <w:lang w:val="fr-FR"/>
        </w:rPr>
        <w:t>a déclaré</w:t>
      </w:r>
      <w:r w:rsidRPr="00331600">
        <w:rPr>
          <w:rFonts w:ascii="Arial" w:hAnsi="Arial" w:cs="Arial"/>
          <w:bCs/>
          <w:sz w:val="22"/>
          <w:szCs w:val="22"/>
          <w:lang w:val="fr-FR"/>
        </w:rPr>
        <w:t xml:space="preserve"> que le déséquilibre se poursuivrait et risquerait d</w:t>
      </w:r>
      <w:r w:rsidR="008E532B">
        <w:rPr>
          <w:rFonts w:ascii="Arial" w:hAnsi="Arial" w:cs="Arial"/>
          <w:bCs/>
          <w:sz w:val="22"/>
          <w:szCs w:val="22"/>
          <w:lang w:val="fr-FR"/>
        </w:rPr>
        <w:t>’</w:t>
      </w:r>
      <w:r w:rsidRPr="00331600">
        <w:rPr>
          <w:rFonts w:ascii="Arial" w:hAnsi="Arial" w:cs="Arial"/>
          <w:bCs/>
          <w:sz w:val="22"/>
          <w:szCs w:val="22"/>
          <w:lang w:val="fr-FR"/>
        </w:rPr>
        <w:t>augmenter si rien n</w:t>
      </w:r>
      <w:r w:rsidR="008E532B">
        <w:rPr>
          <w:rFonts w:ascii="Arial" w:hAnsi="Arial" w:cs="Arial"/>
          <w:bCs/>
          <w:sz w:val="22"/>
          <w:szCs w:val="22"/>
          <w:lang w:val="fr-FR"/>
        </w:rPr>
        <w:t>’</w:t>
      </w:r>
      <w:r w:rsidRPr="00331600">
        <w:rPr>
          <w:rFonts w:ascii="Arial" w:hAnsi="Arial" w:cs="Arial"/>
          <w:bCs/>
          <w:sz w:val="22"/>
          <w:szCs w:val="22"/>
          <w:lang w:val="fr-FR"/>
        </w:rPr>
        <w:t xml:space="preserve">était fait. Une stratégie </w:t>
      </w:r>
      <w:r>
        <w:rPr>
          <w:rFonts w:ascii="Arial" w:hAnsi="Arial" w:cs="Arial"/>
          <w:bCs/>
          <w:sz w:val="22"/>
          <w:szCs w:val="22"/>
          <w:lang w:val="fr-FR"/>
        </w:rPr>
        <w:t>était</w:t>
      </w:r>
      <w:r w:rsidRPr="00331600">
        <w:rPr>
          <w:rFonts w:ascii="Arial" w:hAnsi="Arial" w:cs="Arial"/>
          <w:bCs/>
          <w:sz w:val="22"/>
          <w:szCs w:val="22"/>
          <w:lang w:val="fr-FR"/>
        </w:rPr>
        <w:t xml:space="preserve"> en effet nécessaire pour corriger ce déséquilibre dans le temps, ce qui </w:t>
      </w:r>
      <w:r>
        <w:rPr>
          <w:rFonts w:ascii="Arial" w:hAnsi="Arial" w:cs="Arial"/>
          <w:bCs/>
          <w:sz w:val="22"/>
          <w:szCs w:val="22"/>
          <w:lang w:val="fr-FR"/>
        </w:rPr>
        <w:t xml:space="preserve">était </w:t>
      </w:r>
      <w:r w:rsidRPr="00331600">
        <w:rPr>
          <w:rFonts w:ascii="Arial" w:hAnsi="Arial" w:cs="Arial"/>
          <w:bCs/>
          <w:sz w:val="22"/>
          <w:szCs w:val="22"/>
          <w:lang w:val="fr-FR"/>
        </w:rPr>
        <w:t>une garantie d</w:t>
      </w:r>
      <w:r w:rsidR="008E532B">
        <w:rPr>
          <w:rFonts w:ascii="Arial" w:hAnsi="Arial" w:cs="Arial"/>
          <w:bCs/>
          <w:sz w:val="22"/>
          <w:szCs w:val="22"/>
          <w:lang w:val="fr-FR"/>
        </w:rPr>
        <w:t>’</w:t>
      </w:r>
      <w:r w:rsidRPr="00331600">
        <w:rPr>
          <w:rFonts w:ascii="Arial" w:hAnsi="Arial" w:cs="Arial"/>
          <w:bCs/>
          <w:sz w:val="22"/>
          <w:szCs w:val="22"/>
          <w:lang w:val="fr-FR"/>
        </w:rPr>
        <w:t>inclusivité.</w:t>
      </w:r>
    </w:p>
    <w:p w14:paraId="38441370" w14:textId="15D7822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E230C">
        <w:rPr>
          <w:rFonts w:ascii="Arial" w:hAnsi="Arial" w:cs="Arial"/>
          <w:bCs/>
          <w:sz w:val="22"/>
          <w:szCs w:val="22"/>
          <w:lang w:val="fr-FR"/>
        </w:rPr>
        <w:t>délégation</w:t>
      </w:r>
      <w:r>
        <w:rPr>
          <w:rFonts w:ascii="Arial" w:hAnsi="Arial" w:cs="Arial"/>
          <w:bCs/>
          <w:sz w:val="22"/>
          <w:szCs w:val="22"/>
          <w:lang w:val="fr-FR"/>
        </w:rPr>
        <w:t xml:space="preserve"> de la </w:t>
      </w:r>
      <w:r w:rsidRPr="001E230C">
        <w:rPr>
          <w:rFonts w:ascii="Arial" w:hAnsi="Arial" w:cs="Arial"/>
          <w:b/>
          <w:sz w:val="22"/>
          <w:szCs w:val="22"/>
          <w:lang w:val="fr-FR"/>
        </w:rPr>
        <w:t>République arabe syrienne</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 xml:space="preserve">est réjouie de voir la </w:t>
      </w:r>
      <w:r w:rsidRPr="001E230C">
        <w:rPr>
          <w:rFonts w:ascii="Arial" w:hAnsi="Arial" w:cs="Arial"/>
          <w:bCs/>
          <w:sz w:val="22"/>
          <w:szCs w:val="22"/>
          <w:lang w:val="fr-FR"/>
        </w:rPr>
        <w:t>proposition</w:t>
      </w:r>
      <w:r>
        <w:rPr>
          <w:rFonts w:ascii="Arial" w:hAnsi="Arial" w:cs="Arial"/>
          <w:bCs/>
          <w:sz w:val="22"/>
          <w:szCs w:val="22"/>
          <w:lang w:val="fr-FR"/>
        </w:rPr>
        <w:t xml:space="preserve"> faite par la Colombie, qui était conforme aux débats de la matinée. Elle a </w:t>
      </w:r>
      <w:r w:rsidRPr="001E230C">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remercié le Koweït et la Palestine pour leur soutien.</w:t>
      </w:r>
    </w:p>
    <w:p w14:paraId="26AA8DE0"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Les </w:t>
      </w:r>
      <w:r w:rsidRPr="001E230C">
        <w:rPr>
          <w:rFonts w:ascii="Arial" w:hAnsi="Arial" w:cs="Arial"/>
          <w:bCs/>
          <w:sz w:val="22"/>
          <w:szCs w:val="22"/>
          <w:lang w:val="fr-FR"/>
        </w:rPr>
        <w:t>délégation</w:t>
      </w:r>
      <w:r>
        <w:rPr>
          <w:rFonts w:ascii="Arial" w:hAnsi="Arial" w:cs="Arial"/>
          <w:bCs/>
          <w:sz w:val="22"/>
          <w:szCs w:val="22"/>
          <w:lang w:val="fr-FR"/>
        </w:rPr>
        <w:t xml:space="preserve">s du </w:t>
      </w:r>
      <w:r w:rsidRPr="001E230C">
        <w:rPr>
          <w:rFonts w:ascii="Arial" w:hAnsi="Arial" w:cs="Arial"/>
          <w:b/>
          <w:sz w:val="22"/>
          <w:szCs w:val="22"/>
          <w:lang w:val="fr-FR"/>
        </w:rPr>
        <w:t>Kazakhstan</w:t>
      </w:r>
      <w:r>
        <w:rPr>
          <w:rFonts w:ascii="Arial" w:hAnsi="Arial" w:cs="Arial"/>
          <w:bCs/>
          <w:sz w:val="22"/>
          <w:szCs w:val="22"/>
          <w:lang w:val="fr-FR"/>
        </w:rPr>
        <w:t xml:space="preserve"> et du </w:t>
      </w:r>
      <w:r w:rsidRPr="001E230C">
        <w:rPr>
          <w:rFonts w:ascii="Arial" w:hAnsi="Arial" w:cs="Arial"/>
          <w:b/>
          <w:sz w:val="22"/>
          <w:szCs w:val="22"/>
          <w:lang w:val="fr-FR"/>
        </w:rPr>
        <w:t>Maroc</w:t>
      </w:r>
      <w:r>
        <w:rPr>
          <w:rFonts w:ascii="Arial" w:hAnsi="Arial" w:cs="Arial"/>
          <w:bCs/>
          <w:sz w:val="22"/>
          <w:szCs w:val="22"/>
          <w:lang w:val="fr-FR"/>
        </w:rPr>
        <w:t xml:space="preserve"> soutenaient la </w:t>
      </w:r>
      <w:r w:rsidRPr="001E230C">
        <w:rPr>
          <w:rFonts w:ascii="Arial" w:hAnsi="Arial" w:cs="Arial"/>
          <w:bCs/>
          <w:sz w:val="22"/>
          <w:szCs w:val="22"/>
          <w:lang w:val="fr-FR"/>
        </w:rPr>
        <w:t>proposition</w:t>
      </w:r>
      <w:r>
        <w:rPr>
          <w:rFonts w:ascii="Arial" w:hAnsi="Arial" w:cs="Arial"/>
          <w:bCs/>
          <w:sz w:val="22"/>
          <w:szCs w:val="22"/>
          <w:lang w:val="fr-FR"/>
        </w:rPr>
        <w:t xml:space="preserve"> de la Colombie, modifiée par le Koweït.</w:t>
      </w:r>
    </w:p>
    <w:p w14:paraId="78118A36" w14:textId="190CB8D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E2B6F">
        <w:rPr>
          <w:rFonts w:ascii="Arial" w:hAnsi="Arial" w:cs="Arial"/>
          <w:bCs/>
          <w:sz w:val="22"/>
          <w:szCs w:val="22"/>
          <w:lang w:val="fr-FR"/>
        </w:rPr>
        <w:t>délégation</w:t>
      </w:r>
      <w:r>
        <w:rPr>
          <w:rFonts w:ascii="Arial" w:hAnsi="Arial" w:cs="Arial"/>
          <w:bCs/>
          <w:sz w:val="22"/>
          <w:szCs w:val="22"/>
          <w:lang w:val="fr-FR"/>
        </w:rPr>
        <w:t xml:space="preserve"> du </w:t>
      </w:r>
      <w:r w:rsidRPr="000E2B6F">
        <w:rPr>
          <w:rFonts w:ascii="Arial" w:hAnsi="Arial" w:cs="Arial"/>
          <w:b/>
          <w:sz w:val="22"/>
          <w:szCs w:val="22"/>
          <w:lang w:val="fr-FR"/>
        </w:rPr>
        <w:t>Liban</w:t>
      </w:r>
      <w:r>
        <w:rPr>
          <w:rFonts w:ascii="Arial" w:hAnsi="Arial" w:cs="Arial"/>
          <w:bCs/>
          <w:sz w:val="22"/>
          <w:szCs w:val="22"/>
          <w:lang w:val="fr-FR"/>
        </w:rPr>
        <w:t xml:space="preserve"> a demandé au Conseiller juridique si le </w:t>
      </w:r>
      <w:r w:rsidRPr="000E2B6F">
        <w:rPr>
          <w:rFonts w:ascii="Arial" w:hAnsi="Arial" w:cs="Arial"/>
          <w:bCs/>
          <w:sz w:val="22"/>
          <w:szCs w:val="22"/>
          <w:lang w:val="fr-FR"/>
        </w:rPr>
        <w:t>Secréta</w:t>
      </w:r>
      <w:r>
        <w:rPr>
          <w:rFonts w:ascii="Arial" w:hAnsi="Arial" w:cs="Arial"/>
          <w:bCs/>
          <w:sz w:val="22"/>
          <w:szCs w:val="22"/>
          <w:lang w:val="fr-FR"/>
        </w:rPr>
        <w:t>riat avait un mandat pour travailler de cette manière avec le Forum des ONG. Si c</w:t>
      </w:r>
      <w:r w:rsidR="008E532B">
        <w:rPr>
          <w:rFonts w:ascii="Arial" w:hAnsi="Arial" w:cs="Arial"/>
          <w:bCs/>
          <w:sz w:val="22"/>
          <w:szCs w:val="22"/>
          <w:lang w:val="fr-FR"/>
        </w:rPr>
        <w:t>’</w:t>
      </w:r>
      <w:r>
        <w:rPr>
          <w:rFonts w:ascii="Arial" w:hAnsi="Arial" w:cs="Arial"/>
          <w:bCs/>
          <w:sz w:val="22"/>
          <w:szCs w:val="22"/>
          <w:lang w:val="fr-FR"/>
        </w:rPr>
        <w:t>était l</w:t>
      </w:r>
      <w:r w:rsidR="008C78BC">
        <w:rPr>
          <w:rFonts w:ascii="Arial" w:hAnsi="Arial" w:cs="Arial"/>
          <w:bCs/>
          <w:sz w:val="22"/>
          <w:szCs w:val="22"/>
          <w:lang w:val="fr-FR"/>
        </w:rPr>
        <w:t>e</w:t>
      </w:r>
      <w:r>
        <w:rPr>
          <w:rFonts w:ascii="Arial" w:hAnsi="Arial" w:cs="Arial"/>
          <w:bCs/>
          <w:sz w:val="22"/>
          <w:szCs w:val="22"/>
          <w:lang w:val="fr-FR"/>
        </w:rPr>
        <w:t xml:space="preserve"> cas, le plan s</w:t>
      </w:r>
      <w:r w:rsidR="008E532B">
        <w:rPr>
          <w:rFonts w:ascii="Arial" w:hAnsi="Arial" w:cs="Arial"/>
          <w:bCs/>
          <w:sz w:val="22"/>
          <w:szCs w:val="22"/>
          <w:lang w:val="fr-FR"/>
        </w:rPr>
        <w:t>’</w:t>
      </w:r>
      <w:r>
        <w:rPr>
          <w:rFonts w:ascii="Arial" w:hAnsi="Arial" w:cs="Arial"/>
          <w:bCs/>
          <w:sz w:val="22"/>
          <w:szCs w:val="22"/>
          <w:lang w:val="fr-FR"/>
        </w:rPr>
        <w:t>appliquerait-il alors au Forum des ONG ?</w:t>
      </w:r>
    </w:p>
    <w:p w14:paraId="53F03087" w14:textId="4A5EF62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E2B6F">
        <w:rPr>
          <w:rFonts w:ascii="Arial" w:hAnsi="Arial" w:cs="Arial"/>
          <w:bCs/>
          <w:sz w:val="22"/>
          <w:szCs w:val="22"/>
          <w:lang w:val="fr-FR"/>
        </w:rPr>
        <w:t xml:space="preserve">La délégation </w:t>
      </w:r>
      <w:r>
        <w:rPr>
          <w:rFonts w:ascii="Arial" w:hAnsi="Arial" w:cs="Arial"/>
          <w:bCs/>
          <w:sz w:val="22"/>
          <w:szCs w:val="22"/>
          <w:lang w:val="fr-FR"/>
        </w:rPr>
        <w:t xml:space="preserve">de la </w:t>
      </w:r>
      <w:r w:rsidRPr="000E2B6F">
        <w:rPr>
          <w:rFonts w:ascii="Arial" w:hAnsi="Arial" w:cs="Arial"/>
          <w:b/>
          <w:sz w:val="22"/>
          <w:szCs w:val="22"/>
          <w:lang w:val="fr-FR"/>
        </w:rPr>
        <w:t>Belgique</w:t>
      </w:r>
      <w:r>
        <w:rPr>
          <w:rFonts w:ascii="Arial" w:hAnsi="Arial" w:cs="Arial"/>
          <w:bCs/>
          <w:sz w:val="22"/>
          <w:szCs w:val="22"/>
          <w:lang w:val="fr-FR"/>
        </w:rPr>
        <w:t xml:space="preserve"> </w:t>
      </w:r>
      <w:r w:rsidRPr="000E2B6F">
        <w:rPr>
          <w:rFonts w:ascii="Arial" w:hAnsi="Arial" w:cs="Arial"/>
          <w:bCs/>
          <w:sz w:val="22"/>
          <w:szCs w:val="22"/>
          <w:lang w:val="fr-FR"/>
        </w:rPr>
        <w:t>partag</w:t>
      </w:r>
      <w:r>
        <w:rPr>
          <w:rFonts w:ascii="Arial" w:hAnsi="Arial" w:cs="Arial"/>
          <w:bCs/>
          <w:sz w:val="22"/>
          <w:szCs w:val="22"/>
          <w:lang w:val="fr-FR"/>
        </w:rPr>
        <w:t>eait</w:t>
      </w:r>
      <w:r w:rsidRPr="000E2B6F">
        <w:rPr>
          <w:rFonts w:ascii="Arial" w:hAnsi="Arial" w:cs="Arial"/>
          <w:bCs/>
          <w:sz w:val="22"/>
          <w:szCs w:val="22"/>
          <w:lang w:val="fr-FR"/>
        </w:rPr>
        <w:t xml:space="preserve"> la préoccupation concernant le déséquilibre géographique. En même temps, il était très important de maintenir la qualité du travail </w:t>
      </w:r>
      <w:r>
        <w:rPr>
          <w:rFonts w:ascii="Arial" w:hAnsi="Arial" w:cs="Arial"/>
          <w:bCs/>
          <w:sz w:val="22"/>
          <w:szCs w:val="22"/>
          <w:lang w:val="fr-FR"/>
        </w:rPr>
        <w:t xml:space="preserve">apporté par les ONG </w:t>
      </w:r>
      <w:r w:rsidRPr="000E2B6F">
        <w:rPr>
          <w:rFonts w:ascii="Arial" w:hAnsi="Arial" w:cs="Arial"/>
          <w:bCs/>
          <w:sz w:val="22"/>
          <w:szCs w:val="22"/>
          <w:lang w:val="fr-FR"/>
        </w:rPr>
        <w:t xml:space="preserve">à cette Convention. </w:t>
      </w:r>
      <w:r>
        <w:rPr>
          <w:rFonts w:ascii="Arial" w:hAnsi="Arial" w:cs="Arial"/>
          <w:bCs/>
          <w:sz w:val="22"/>
          <w:szCs w:val="22"/>
          <w:lang w:val="fr-FR"/>
        </w:rPr>
        <w:t>À</w:t>
      </w:r>
      <w:r w:rsidRPr="000E2B6F">
        <w:rPr>
          <w:rFonts w:ascii="Arial" w:hAnsi="Arial" w:cs="Arial"/>
          <w:bCs/>
          <w:sz w:val="22"/>
          <w:szCs w:val="22"/>
          <w:lang w:val="fr-FR"/>
        </w:rPr>
        <w:t xml:space="preserve"> ce</w:t>
      </w:r>
      <w:r>
        <w:rPr>
          <w:rFonts w:ascii="Arial" w:hAnsi="Arial" w:cs="Arial"/>
          <w:bCs/>
          <w:sz w:val="22"/>
          <w:szCs w:val="22"/>
          <w:lang w:val="fr-FR"/>
        </w:rPr>
        <w:t xml:space="preserve"> sujet</w:t>
      </w:r>
      <w:r w:rsidRPr="000E2B6F">
        <w:rPr>
          <w:rFonts w:ascii="Arial" w:hAnsi="Arial" w:cs="Arial"/>
          <w:bCs/>
          <w:sz w:val="22"/>
          <w:szCs w:val="22"/>
          <w:lang w:val="fr-FR"/>
        </w:rPr>
        <w:t>, elle n</w:t>
      </w:r>
      <w:r w:rsidR="008E532B">
        <w:rPr>
          <w:rFonts w:ascii="Arial" w:hAnsi="Arial" w:cs="Arial"/>
          <w:bCs/>
          <w:sz w:val="22"/>
          <w:szCs w:val="22"/>
          <w:lang w:val="fr-FR"/>
        </w:rPr>
        <w:t>’</w:t>
      </w:r>
      <w:r>
        <w:rPr>
          <w:rFonts w:ascii="Arial" w:hAnsi="Arial" w:cs="Arial"/>
          <w:bCs/>
          <w:sz w:val="22"/>
          <w:szCs w:val="22"/>
          <w:lang w:val="fr-FR"/>
        </w:rPr>
        <w:t xml:space="preserve">était </w:t>
      </w:r>
      <w:r w:rsidRPr="000E2B6F">
        <w:rPr>
          <w:rFonts w:ascii="Arial" w:hAnsi="Arial" w:cs="Arial"/>
          <w:bCs/>
          <w:sz w:val="22"/>
          <w:szCs w:val="22"/>
          <w:lang w:val="fr-FR"/>
        </w:rPr>
        <w:t xml:space="preserve">pas </w:t>
      </w:r>
      <w:r>
        <w:rPr>
          <w:rFonts w:ascii="Arial" w:hAnsi="Arial" w:cs="Arial"/>
          <w:bCs/>
          <w:sz w:val="22"/>
          <w:szCs w:val="22"/>
          <w:lang w:val="fr-FR"/>
        </w:rPr>
        <w:t xml:space="preserve">favorable à </w:t>
      </w:r>
      <w:r w:rsidRPr="000E2B6F">
        <w:rPr>
          <w:rFonts w:ascii="Arial" w:hAnsi="Arial" w:cs="Arial"/>
          <w:bCs/>
          <w:sz w:val="22"/>
          <w:szCs w:val="22"/>
          <w:lang w:val="fr-FR"/>
        </w:rPr>
        <w:t>l</w:t>
      </w:r>
      <w:r w:rsidR="008E532B">
        <w:rPr>
          <w:rFonts w:ascii="Arial" w:hAnsi="Arial" w:cs="Arial"/>
          <w:bCs/>
          <w:sz w:val="22"/>
          <w:szCs w:val="22"/>
          <w:lang w:val="fr-FR"/>
        </w:rPr>
        <w:t>’</w:t>
      </w:r>
      <w:r w:rsidRPr="000E2B6F">
        <w:rPr>
          <w:rFonts w:ascii="Arial" w:hAnsi="Arial" w:cs="Arial"/>
          <w:bCs/>
          <w:sz w:val="22"/>
          <w:szCs w:val="22"/>
          <w:lang w:val="fr-FR"/>
        </w:rPr>
        <w:t>idée d</w:t>
      </w:r>
      <w:r w:rsidR="008E532B">
        <w:rPr>
          <w:rFonts w:ascii="Arial" w:hAnsi="Arial" w:cs="Arial"/>
          <w:bCs/>
          <w:sz w:val="22"/>
          <w:szCs w:val="22"/>
          <w:lang w:val="fr-FR"/>
        </w:rPr>
        <w:t>’</w:t>
      </w:r>
      <w:r w:rsidRPr="000E2B6F">
        <w:rPr>
          <w:rFonts w:ascii="Arial" w:hAnsi="Arial" w:cs="Arial"/>
          <w:bCs/>
          <w:sz w:val="22"/>
          <w:szCs w:val="22"/>
          <w:lang w:val="fr-FR"/>
        </w:rPr>
        <w:t>un quota.</w:t>
      </w:r>
    </w:p>
    <w:p w14:paraId="40828F13" w14:textId="3816843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56348C">
        <w:rPr>
          <w:rFonts w:ascii="Arial" w:hAnsi="Arial" w:cs="Arial"/>
          <w:bCs/>
          <w:sz w:val="22"/>
          <w:szCs w:val="22"/>
          <w:lang w:val="fr-FR"/>
        </w:rPr>
        <w:t>délégation</w:t>
      </w:r>
      <w:r>
        <w:rPr>
          <w:rFonts w:ascii="Arial" w:hAnsi="Arial" w:cs="Arial"/>
          <w:bCs/>
          <w:sz w:val="22"/>
          <w:szCs w:val="22"/>
          <w:lang w:val="fr-FR"/>
        </w:rPr>
        <w:t xml:space="preserve"> de </w:t>
      </w:r>
      <w:r w:rsidRPr="002117DE">
        <w:rPr>
          <w:rFonts w:ascii="Arial" w:hAnsi="Arial" w:cs="Arial"/>
          <w:b/>
          <w:sz w:val="22"/>
          <w:szCs w:val="22"/>
          <w:lang w:val="fr-FR"/>
        </w:rPr>
        <w:t>Haïti</w:t>
      </w:r>
      <w:r>
        <w:rPr>
          <w:rFonts w:ascii="Arial" w:hAnsi="Arial" w:cs="Arial"/>
          <w:bCs/>
          <w:sz w:val="22"/>
          <w:szCs w:val="22"/>
          <w:lang w:val="fr-FR"/>
        </w:rPr>
        <w:t xml:space="preserve"> soutenait </w:t>
      </w:r>
      <w:r w:rsidRPr="0056348C">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la </w:t>
      </w:r>
      <w:r w:rsidRPr="0056348C">
        <w:rPr>
          <w:rFonts w:ascii="Arial" w:hAnsi="Arial" w:cs="Arial"/>
          <w:bCs/>
          <w:color w:val="000000" w:themeColor="text1"/>
          <w:sz w:val="22"/>
          <w:szCs w:val="22"/>
          <w:lang w:val="fr-FR"/>
        </w:rPr>
        <w:t>proposition</w:t>
      </w:r>
      <w:r>
        <w:rPr>
          <w:rFonts w:ascii="Arial" w:hAnsi="Arial" w:cs="Arial"/>
          <w:bCs/>
          <w:color w:val="000000" w:themeColor="text1"/>
          <w:sz w:val="22"/>
          <w:szCs w:val="22"/>
          <w:lang w:val="fr-FR"/>
        </w:rPr>
        <w:t xml:space="preserve"> de la Colombie dans un souci d</w:t>
      </w:r>
      <w:r w:rsidR="008E532B">
        <w:rPr>
          <w:rFonts w:ascii="Arial" w:hAnsi="Arial" w:cs="Arial"/>
          <w:bCs/>
          <w:color w:val="000000" w:themeColor="text1"/>
          <w:sz w:val="22"/>
          <w:szCs w:val="22"/>
          <w:lang w:val="fr-FR"/>
        </w:rPr>
        <w:t>’</w:t>
      </w:r>
      <w:r>
        <w:rPr>
          <w:rFonts w:ascii="Arial" w:hAnsi="Arial" w:cs="Arial"/>
          <w:bCs/>
          <w:color w:val="000000" w:themeColor="text1"/>
          <w:sz w:val="22"/>
          <w:szCs w:val="22"/>
          <w:lang w:val="fr-FR"/>
        </w:rPr>
        <w:t xml:space="preserve">inclusivité et de </w:t>
      </w:r>
      <w:r w:rsidRPr="002117DE">
        <w:rPr>
          <w:rFonts w:ascii="Arial" w:hAnsi="Arial" w:cs="Arial"/>
          <w:bCs/>
          <w:color w:val="000000" w:themeColor="text1"/>
          <w:sz w:val="22"/>
          <w:szCs w:val="22"/>
          <w:lang w:val="fr-FR"/>
        </w:rPr>
        <w:t>représentati</w:t>
      </w:r>
      <w:r>
        <w:rPr>
          <w:rFonts w:ascii="Arial" w:hAnsi="Arial" w:cs="Arial"/>
          <w:bCs/>
          <w:color w:val="000000" w:themeColor="text1"/>
          <w:sz w:val="22"/>
          <w:szCs w:val="22"/>
          <w:lang w:val="fr-FR"/>
        </w:rPr>
        <w:t>vité pour les régions, notamment pour son pays.</w:t>
      </w:r>
    </w:p>
    <w:p w14:paraId="6BB7922F"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117DE">
        <w:rPr>
          <w:rFonts w:ascii="Arial" w:hAnsi="Arial" w:cs="Arial"/>
          <w:bCs/>
          <w:sz w:val="22"/>
          <w:szCs w:val="22"/>
          <w:lang w:val="fr-FR"/>
        </w:rPr>
        <w:t xml:space="preserve">La délégation </w:t>
      </w:r>
      <w:r>
        <w:rPr>
          <w:rFonts w:ascii="Arial" w:hAnsi="Arial" w:cs="Arial"/>
          <w:bCs/>
          <w:sz w:val="22"/>
          <w:szCs w:val="22"/>
          <w:lang w:val="fr-FR"/>
        </w:rPr>
        <w:t xml:space="preserve">de la </w:t>
      </w:r>
      <w:r w:rsidRPr="006D154E">
        <w:rPr>
          <w:rFonts w:ascii="Arial" w:hAnsi="Arial" w:cs="Arial"/>
          <w:b/>
          <w:sz w:val="22"/>
          <w:szCs w:val="22"/>
          <w:lang w:val="fr-FR"/>
        </w:rPr>
        <w:t>République bolivarienne du Venezuela</w:t>
      </w:r>
      <w:r>
        <w:rPr>
          <w:rFonts w:ascii="Arial" w:hAnsi="Arial" w:cs="Arial"/>
          <w:bCs/>
          <w:sz w:val="22"/>
          <w:szCs w:val="22"/>
          <w:lang w:val="fr-FR"/>
        </w:rPr>
        <w:t xml:space="preserve"> </w:t>
      </w:r>
      <w:r w:rsidRPr="002117DE">
        <w:rPr>
          <w:rFonts w:ascii="Arial" w:hAnsi="Arial" w:cs="Arial"/>
          <w:bCs/>
          <w:sz w:val="22"/>
          <w:szCs w:val="22"/>
          <w:lang w:val="fr-FR"/>
        </w:rPr>
        <w:t>sout</w:t>
      </w:r>
      <w:r>
        <w:rPr>
          <w:rFonts w:ascii="Arial" w:hAnsi="Arial" w:cs="Arial"/>
          <w:bCs/>
          <w:sz w:val="22"/>
          <w:szCs w:val="22"/>
          <w:lang w:val="fr-FR"/>
        </w:rPr>
        <w:t xml:space="preserve">enait </w:t>
      </w:r>
      <w:r w:rsidRPr="002117DE">
        <w:rPr>
          <w:rFonts w:ascii="Arial" w:hAnsi="Arial" w:cs="Arial"/>
          <w:bCs/>
          <w:sz w:val="22"/>
          <w:szCs w:val="22"/>
          <w:lang w:val="fr-FR"/>
        </w:rPr>
        <w:t>également la proposition de la Colombie, approuvée par un certain nombre de délégations. Dans un souci de cohérence, l</w:t>
      </w:r>
      <w:r>
        <w:rPr>
          <w:rFonts w:ascii="Arial" w:hAnsi="Arial" w:cs="Arial"/>
          <w:bCs/>
          <w:sz w:val="22"/>
          <w:szCs w:val="22"/>
          <w:lang w:val="fr-FR"/>
        </w:rPr>
        <w:t xml:space="preserve">e libellé </w:t>
      </w:r>
      <w:r w:rsidRPr="002117DE">
        <w:rPr>
          <w:rFonts w:ascii="Arial" w:hAnsi="Arial" w:cs="Arial"/>
          <w:bCs/>
          <w:sz w:val="22"/>
          <w:szCs w:val="22"/>
          <w:lang w:val="fr-FR"/>
        </w:rPr>
        <w:t>de la deuxième partie du paragraphe [</w:t>
      </w:r>
      <w:r>
        <w:rPr>
          <w:rFonts w:ascii="Arial" w:hAnsi="Arial" w:cs="Arial"/>
          <w:bCs/>
          <w:sz w:val="22"/>
          <w:szCs w:val="22"/>
          <w:lang w:val="fr-FR"/>
        </w:rPr>
        <w:t xml:space="preserve">proposée par la </w:t>
      </w:r>
      <w:r w:rsidRPr="002117DE">
        <w:rPr>
          <w:rFonts w:ascii="Arial" w:hAnsi="Arial" w:cs="Arial"/>
          <w:bCs/>
          <w:sz w:val="22"/>
          <w:szCs w:val="22"/>
          <w:lang w:val="fr-FR"/>
        </w:rPr>
        <w:t xml:space="preserve">Palestine] devrait </w:t>
      </w:r>
      <w:r>
        <w:rPr>
          <w:rFonts w:ascii="Arial" w:hAnsi="Arial" w:cs="Arial"/>
          <w:bCs/>
          <w:sz w:val="22"/>
          <w:szCs w:val="22"/>
          <w:lang w:val="fr-FR"/>
        </w:rPr>
        <w:t>mentionner le</w:t>
      </w:r>
      <w:r w:rsidRPr="002117DE">
        <w:rPr>
          <w:rFonts w:ascii="Arial" w:hAnsi="Arial" w:cs="Arial"/>
          <w:bCs/>
          <w:sz w:val="22"/>
          <w:szCs w:val="22"/>
          <w:lang w:val="fr-FR"/>
        </w:rPr>
        <w:t xml:space="preserve"> </w:t>
      </w:r>
      <w:r>
        <w:rPr>
          <w:rFonts w:ascii="Arial" w:hAnsi="Arial" w:cs="Arial"/>
          <w:bCs/>
          <w:sz w:val="22"/>
          <w:szCs w:val="22"/>
          <w:lang w:val="fr-FR"/>
        </w:rPr>
        <w:t>« g</w:t>
      </w:r>
      <w:r w:rsidRPr="002117DE">
        <w:rPr>
          <w:rFonts w:ascii="Arial" w:hAnsi="Arial" w:cs="Arial"/>
          <w:bCs/>
          <w:sz w:val="22"/>
          <w:szCs w:val="22"/>
          <w:lang w:val="fr-FR"/>
        </w:rPr>
        <w:t>roupe électora</w:t>
      </w:r>
      <w:r>
        <w:rPr>
          <w:rFonts w:ascii="Arial" w:hAnsi="Arial" w:cs="Arial"/>
          <w:bCs/>
          <w:sz w:val="22"/>
          <w:szCs w:val="22"/>
          <w:lang w:val="fr-FR"/>
        </w:rPr>
        <w:t xml:space="preserve">l » </w:t>
      </w:r>
      <w:r w:rsidRPr="002117DE">
        <w:rPr>
          <w:rFonts w:ascii="Arial" w:hAnsi="Arial" w:cs="Arial"/>
          <w:bCs/>
          <w:sz w:val="22"/>
          <w:szCs w:val="22"/>
          <w:lang w:val="fr-FR"/>
        </w:rPr>
        <w:t xml:space="preserve">au lieu de </w:t>
      </w:r>
      <w:r>
        <w:rPr>
          <w:rFonts w:ascii="Arial" w:hAnsi="Arial" w:cs="Arial"/>
          <w:bCs/>
          <w:sz w:val="22"/>
          <w:szCs w:val="22"/>
          <w:lang w:val="fr-FR"/>
        </w:rPr>
        <w:t>la « </w:t>
      </w:r>
      <w:r w:rsidRPr="002117DE">
        <w:rPr>
          <w:rFonts w:ascii="Arial" w:hAnsi="Arial" w:cs="Arial"/>
          <w:bCs/>
          <w:sz w:val="22"/>
          <w:szCs w:val="22"/>
          <w:lang w:val="fr-FR"/>
        </w:rPr>
        <w:t>région</w:t>
      </w:r>
      <w:r>
        <w:rPr>
          <w:rFonts w:ascii="Arial" w:hAnsi="Arial" w:cs="Arial"/>
          <w:bCs/>
          <w:sz w:val="22"/>
          <w:szCs w:val="22"/>
          <w:lang w:val="fr-FR"/>
        </w:rPr>
        <w:t> »</w:t>
      </w:r>
      <w:r w:rsidRPr="002117DE">
        <w:rPr>
          <w:rFonts w:ascii="Arial" w:hAnsi="Arial" w:cs="Arial"/>
          <w:bCs/>
          <w:sz w:val="22"/>
          <w:szCs w:val="22"/>
          <w:lang w:val="fr-FR"/>
        </w:rPr>
        <w:t>.</w:t>
      </w:r>
    </w:p>
    <w:p w14:paraId="7C6FFD72" w14:textId="52DB5CD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2117DE">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2117DE">
        <w:rPr>
          <w:rFonts w:ascii="Arial" w:hAnsi="Arial" w:cs="Arial"/>
          <w:b/>
          <w:sz w:val="22"/>
          <w:szCs w:val="22"/>
          <w:lang w:val="fr-FR"/>
        </w:rPr>
        <w:t>Égypte</w:t>
      </w:r>
      <w:r>
        <w:rPr>
          <w:rFonts w:ascii="Arial" w:hAnsi="Arial" w:cs="Arial"/>
          <w:bCs/>
          <w:sz w:val="22"/>
          <w:szCs w:val="22"/>
          <w:lang w:val="fr-FR"/>
        </w:rPr>
        <w:t xml:space="preserve"> soutenait la </w:t>
      </w:r>
      <w:r w:rsidRPr="002117DE">
        <w:rPr>
          <w:rFonts w:ascii="Arial" w:hAnsi="Arial" w:cs="Arial"/>
          <w:bCs/>
          <w:sz w:val="22"/>
          <w:szCs w:val="22"/>
          <w:lang w:val="fr-FR"/>
        </w:rPr>
        <w:t>proposition</w:t>
      </w:r>
      <w:r>
        <w:rPr>
          <w:rFonts w:ascii="Arial" w:hAnsi="Arial" w:cs="Arial"/>
          <w:bCs/>
          <w:sz w:val="22"/>
          <w:szCs w:val="22"/>
          <w:lang w:val="fr-FR"/>
        </w:rPr>
        <w:t xml:space="preserve"> de la Colombie.</w:t>
      </w:r>
    </w:p>
    <w:p w14:paraId="6F5AFFAA" w14:textId="190531E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117DE">
        <w:rPr>
          <w:rFonts w:ascii="Arial" w:hAnsi="Arial" w:cs="Arial"/>
          <w:bCs/>
          <w:sz w:val="22"/>
          <w:szCs w:val="22"/>
          <w:lang w:val="fr-FR"/>
        </w:rPr>
        <w:t xml:space="preserve">La délégation du </w:t>
      </w:r>
      <w:r w:rsidRPr="002117DE">
        <w:rPr>
          <w:rFonts w:ascii="Arial" w:hAnsi="Arial" w:cs="Arial"/>
          <w:b/>
          <w:sz w:val="22"/>
          <w:szCs w:val="22"/>
          <w:lang w:val="fr-FR"/>
        </w:rPr>
        <w:t>Chili</w:t>
      </w:r>
      <w:r>
        <w:rPr>
          <w:rFonts w:ascii="Arial" w:hAnsi="Arial" w:cs="Arial"/>
          <w:bCs/>
          <w:sz w:val="22"/>
          <w:szCs w:val="22"/>
          <w:lang w:val="fr-FR"/>
        </w:rPr>
        <w:t xml:space="preserve">, qui soutenait la </w:t>
      </w:r>
      <w:r w:rsidRPr="002117DE">
        <w:rPr>
          <w:rFonts w:ascii="Arial" w:hAnsi="Arial" w:cs="Arial"/>
          <w:bCs/>
          <w:sz w:val="22"/>
          <w:szCs w:val="22"/>
          <w:lang w:val="fr-FR"/>
        </w:rPr>
        <w:t>proposition</w:t>
      </w:r>
      <w:r>
        <w:rPr>
          <w:rFonts w:ascii="Arial" w:hAnsi="Arial" w:cs="Arial"/>
          <w:bCs/>
          <w:sz w:val="22"/>
          <w:szCs w:val="22"/>
          <w:lang w:val="fr-FR"/>
        </w:rPr>
        <w:t xml:space="preserve"> de la Colombie, a </w:t>
      </w:r>
      <w:r w:rsidRPr="002117DE">
        <w:rPr>
          <w:rFonts w:ascii="Arial" w:hAnsi="Arial" w:cs="Arial"/>
          <w:bCs/>
          <w:sz w:val="22"/>
          <w:szCs w:val="22"/>
          <w:lang w:val="fr-FR"/>
        </w:rPr>
        <w:t>félicit</w:t>
      </w:r>
      <w:r>
        <w:rPr>
          <w:rFonts w:ascii="Arial" w:hAnsi="Arial" w:cs="Arial"/>
          <w:bCs/>
          <w:sz w:val="22"/>
          <w:szCs w:val="22"/>
          <w:lang w:val="fr-FR"/>
        </w:rPr>
        <w:t>é</w:t>
      </w:r>
      <w:r w:rsidRPr="002117DE">
        <w:rPr>
          <w:rFonts w:ascii="Arial" w:hAnsi="Arial" w:cs="Arial"/>
          <w:bCs/>
          <w:sz w:val="22"/>
          <w:szCs w:val="22"/>
          <w:lang w:val="fr-FR"/>
        </w:rPr>
        <w:t xml:space="preserve"> la Présidente. Ayant écouté le débat précédent, elle </w:t>
      </w:r>
      <w:r>
        <w:rPr>
          <w:rFonts w:ascii="Arial" w:hAnsi="Arial" w:cs="Arial"/>
          <w:bCs/>
          <w:sz w:val="22"/>
          <w:szCs w:val="22"/>
          <w:lang w:val="fr-FR"/>
        </w:rPr>
        <w:t>pensait</w:t>
      </w:r>
      <w:r w:rsidRPr="002117DE">
        <w:rPr>
          <w:rFonts w:ascii="Arial" w:hAnsi="Arial" w:cs="Arial"/>
          <w:bCs/>
          <w:sz w:val="22"/>
          <w:szCs w:val="22"/>
          <w:lang w:val="fr-FR"/>
        </w:rPr>
        <w:t xml:space="preserve"> que l</w:t>
      </w:r>
      <w:r w:rsidR="008E532B">
        <w:rPr>
          <w:rFonts w:ascii="Arial" w:hAnsi="Arial" w:cs="Arial"/>
          <w:bCs/>
          <w:sz w:val="22"/>
          <w:szCs w:val="22"/>
          <w:lang w:val="fr-FR"/>
        </w:rPr>
        <w:t>’</w:t>
      </w:r>
      <w:r w:rsidRPr="002117DE">
        <w:rPr>
          <w:rFonts w:ascii="Arial" w:hAnsi="Arial" w:cs="Arial"/>
          <w:bCs/>
          <w:sz w:val="22"/>
          <w:szCs w:val="22"/>
          <w:lang w:val="fr-FR"/>
        </w:rPr>
        <w:t>Assemblée devrait se concentrer sur la proposition de la Colombie plutôt que de rouvrir le débat sur l</w:t>
      </w:r>
      <w:r w:rsidR="008E532B">
        <w:rPr>
          <w:rFonts w:ascii="Arial" w:hAnsi="Arial" w:cs="Arial"/>
          <w:bCs/>
          <w:sz w:val="22"/>
          <w:szCs w:val="22"/>
          <w:lang w:val="fr-FR"/>
        </w:rPr>
        <w:t>’</w:t>
      </w:r>
      <w:r w:rsidRPr="002117DE">
        <w:rPr>
          <w:rFonts w:ascii="Arial" w:hAnsi="Arial" w:cs="Arial"/>
          <w:bCs/>
          <w:sz w:val="22"/>
          <w:szCs w:val="22"/>
          <w:lang w:val="fr-FR"/>
        </w:rPr>
        <w:t xml:space="preserve">amendement de la Palestine. En outre, la proposition de la Colombie </w:t>
      </w:r>
      <w:r>
        <w:rPr>
          <w:rFonts w:ascii="Arial" w:hAnsi="Arial" w:cs="Arial"/>
          <w:bCs/>
          <w:sz w:val="22"/>
          <w:szCs w:val="22"/>
          <w:lang w:val="fr-FR"/>
        </w:rPr>
        <w:t xml:space="preserve">abordait </w:t>
      </w:r>
      <w:r w:rsidRPr="002117DE">
        <w:rPr>
          <w:rFonts w:ascii="Arial" w:hAnsi="Arial" w:cs="Arial"/>
          <w:bCs/>
          <w:sz w:val="22"/>
          <w:szCs w:val="22"/>
          <w:lang w:val="fr-FR"/>
        </w:rPr>
        <w:t xml:space="preserve">suffisamment les préoccupations soulevées par les délégations et </w:t>
      </w:r>
      <w:r>
        <w:rPr>
          <w:rFonts w:ascii="Arial" w:hAnsi="Arial" w:cs="Arial"/>
          <w:bCs/>
          <w:sz w:val="22"/>
          <w:szCs w:val="22"/>
          <w:lang w:val="fr-FR"/>
        </w:rPr>
        <w:t>ferait</w:t>
      </w:r>
      <w:r w:rsidRPr="002117DE">
        <w:rPr>
          <w:rFonts w:ascii="Arial" w:hAnsi="Arial" w:cs="Arial"/>
          <w:bCs/>
          <w:sz w:val="22"/>
          <w:szCs w:val="22"/>
          <w:lang w:val="fr-FR"/>
        </w:rPr>
        <w:t xml:space="preserve"> consensus [ne nécessitant donc pas l</w:t>
      </w:r>
      <w:r w:rsidR="008E532B">
        <w:rPr>
          <w:rFonts w:ascii="Arial" w:hAnsi="Arial" w:cs="Arial"/>
          <w:bCs/>
          <w:sz w:val="22"/>
          <w:szCs w:val="22"/>
          <w:lang w:val="fr-FR"/>
        </w:rPr>
        <w:t>’</w:t>
      </w:r>
      <w:r w:rsidRPr="002117DE">
        <w:rPr>
          <w:rFonts w:ascii="Arial" w:hAnsi="Arial" w:cs="Arial"/>
          <w:bCs/>
          <w:sz w:val="22"/>
          <w:szCs w:val="22"/>
          <w:lang w:val="fr-FR"/>
        </w:rPr>
        <w:t>amendement de la Palestine sur le quota].</w:t>
      </w:r>
    </w:p>
    <w:p w14:paraId="110F0356" w14:textId="43C7346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60F4C">
        <w:rPr>
          <w:rFonts w:ascii="Arial" w:hAnsi="Arial" w:cs="Arial"/>
          <w:bCs/>
          <w:sz w:val="22"/>
          <w:szCs w:val="22"/>
          <w:lang w:val="fr-FR"/>
        </w:rPr>
        <w:t xml:space="preserve">La délégation de la </w:t>
      </w:r>
      <w:r w:rsidRPr="00E60F4C">
        <w:rPr>
          <w:rFonts w:ascii="Arial" w:hAnsi="Arial" w:cs="Arial"/>
          <w:b/>
          <w:sz w:val="22"/>
          <w:szCs w:val="22"/>
          <w:lang w:val="fr-FR"/>
        </w:rPr>
        <w:t>Tchéquie</w:t>
      </w:r>
      <w:r w:rsidRPr="00E60F4C">
        <w:rPr>
          <w:rFonts w:ascii="Arial" w:hAnsi="Arial" w:cs="Arial"/>
          <w:bCs/>
          <w:sz w:val="22"/>
          <w:szCs w:val="22"/>
          <w:lang w:val="fr-FR"/>
        </w:rPr>
        <w:t xml:space="preserve"> compren</w:t>
      </w:r>
      <w:r>
        <w:rPr>
          <w:rFonts w:ascii="Arial" w:hAnsi="Arial" w:cs="Arial"/>
          <w:bCs/>
          <w:sz w:val="22"/>
          <w:szCs w:val="22"/>
          <w:lang w:val="fr-FR"/>
        </w:rPr>
        <w:t>ait</w:t>
      </w:r>
      <w:r w:rsidRPr="00E60F4C">
        <w:rPr>
          <w:rFonts w:ascii="Arial" w:hAnsi="Arial" w:cs="Arial"/>
          <w:bCs/>
          <w:sz w:val="22"/>
          <w:szCs w:val="22"/>
          <w:lang w:val="fr-FR"/>
        </w:rPr>
        <w:t xml:space="preserve"> parfaitement les préoccupations exprimées par les délégations concernant la nécessité d</w:t>
      </w:r>
      <w:r w:rsidR="008E532B">
        <w:rPr>
          <w:rFonts w:ascii="Arial" w:hAnsi="Arial" w:cs="Arial"/>
          <w:bCs/>
          <w:sz w:val="22"/>
          <w:szCs w:val="22"/>
          <w:lang w:val="fr-FR"/>
        </w:rPr>
        <w:t>’</w:t>
      </w:r>
      <w:r w:rsidRPr="00E60F4C">
        <w:rPr>
          <w:rFonts w:ascii="Arial" w:hAnsi="Arial" w:cs="Arial"/>
          <w:bCs/>
          <w:sz w:val="22"/>
          <w:szCs w:val="22"/>
          <w:lang w:val="fr-FR"/>
        </w:rPr>
        <w:t>une représentation géographique équilibrée des ONG. Néanmoins, elle ne partageait pas l</w:t>
      </w:r>
      <w:r w:rsidR="008E532B">
        <w:rPr>
          <w:rFonts w:ascii="Arial" w:hAnsi="Arial" w:cs="Arial"/>
          <w:bCs/>
          <w:sz w:val="22"/>
          <w:szCs w:val="22"/>
          <w:lang w:val="fr-FR"/>
        </w:rPr>
        <w:t>’</w:t>
      </w:r>
      <w:r w:rsidRPr="00E60F4C">
        <w:rPr>
          <w:rFonts w:ascii="Arial" w:hAnsi="Arial" w:cs="Arial"/>
          <w:bCs/>
          <w:sz w:val="22"/>
          <w:szCs w:val="22"/>
          <w:lang w:val="fr-FR"/>
        </w:rPr>
        <w:t>idée d</w:t>
      </w:r>
      <w:r w:rsidR="008E532B">
        <w:rPr>
          <w:rFonts w:ascii="Arial" w:hAnsi="Arial" w:cs="Arial"/>
          <w:bCs/>
          <w:sz w:val="22"/>
          <w:szCs w:val="22"/>
          <w:lang w:val="fr-FR"/>
        </w:rPr>
        <w:t>’</w:t>
      </w:r>
      <w:r w:rsidRPr="00E60F4C">
        <w:rPr>
          <w:rFonts w:ascii="Arial" w:hAnsi="Arial" w:cs="Arial"/>
          <w:bCs/>
          <w:sz w:val="22"/>
          <w:szCs w:val="22"/>
          <w:lang w:val="fr-FR"/>
        </w:rPr>
        <w:t xml:space="preserve">un quota imposé par </w:t>
      </w:r>
      <w:r>
        <w:rPr>
          <w:rFonts w:ascii="Arial" w:hAnsi="Arial" w:cs="Arial"/>
          <w:bCs/>
          <w:sz w:val="22"/>
          <w:szCs w:val="22"/>
          <w:lang w:val="fr-FR"/>
        </w:rPr>
        <w:t>gr</w:t>
      </w:r>
      <w:r w:rsidRPr="00E60F4C">
        <w:rPr>
          <w:rFonts w:ascii="Arial" w:hAnsi="Arial" w:cs="Arial"/>
          <w:bCs/>
          <w:sz w:val="22"/>
          <w:szCs w:val="22"/>
          <w:lang w:val="fr-FR"/>
        </w:rPr>
        <w:t>oupe électoral, car certaines ONG basées dans une région pou</w:t>
      </w:r>
      <w:r>
        <w:rPr>
          <w:rFonts w:ascii="Arial" w:hAnsi="Arial" w:cs="Arial"/>
          <w:bCs/>
          <w:sz w:val="22"/>
          <w:szCs w:val="22"/>
          <w:lang w:val="fr-FR"/>
        </w:rPr>
        <w:t>rr</w:t>
      </w:r>
      <w:r w:rsidRPr="00E60F4C">
        <w:rPr>
          <w:rFonts w:ascii="Arial" w:hAnsi="Arial" w:cs="Arial"/>
          <w:bCs/>
          <w:sz w:val="22"/>
          <w:szCs w:val="22"/>
          <w:lang w:val="fr-FR"/>
        </w:rPr>
        <w:t xml:space="preserve">aient travailler dans une autre région. La délégation </w:t>
      </w:r>
      <w:r>
        <w:rPr>
          <w:rFonts w:ascii="Arial" w:hAnsi="Arial" w:cs="Arial"/>
          <w:bCs/>
          <w:sz w:val="22"/>
          <w:szCs w:val="22"/>
          <w:lang w:val="fr-FR"/>
        </w:rPr>
        <w:t>préférait</w:t>
      </w:r>
      <w:r w:rsidRPr="00E60F4C">
        <w:rPr>
          <w:rFonts w:ascii="Arial" w:hAnsi="Arial" w:cs="Arial"/>
          <w:bCs/>
          <w:sz w:val="22"/>
          <w:szCs w:val="22"/>
          <w:lang w:val="fr-FR"/>
        </w:rPr>
        <w:t xml:space="preserve"> donc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intéresser à </w:t>
      </w:r>
      <w:r w:rsidRPr="00E60F4C">
        <w:rPr>
          <w:rFonts w:ascii="Arial" w:hAnsi="Arial" w:cs="Arial"/>
          <w:bCs/>
          <w:sz w:val="22"/>
          <w:szCs w:val="22"/>
          <w:lang w:val="fr-FR"/>
        </w:rPr>
        <w:t xml:space="preserve">la qualité et </w:t>
      </w:r>
      <w:r>
        <w:rPr>
          <w:rFonts w:ascii="Arial" w:hAnsi="Arial" w:cs="Arial"/>
          <w:bCs/>
          <w:sz w:val="22"/>
          <w:szCs w:val="22"/>
          <w:lang w:val="fr-FR"/>
        </w:rPr>
        <w:t>aux</w:t>
      </w:r>
      <w:r w:rsidRPr="00E60F4C">
        <w:rPr>
          <w:rFonts w:ascii="Arial" w:hAnsi="Arial" w:cs="Arial"/>
          <w:bCs/>
          <w:sz w:val="22"/>
          <w:szCs w:val="22"/>
          <w:lang w:val="fr-FR"/>
        </w:rPr>
        <w:t xml:space="preserve"> compétences de chacun</w:t>
      </w:r>
      <w:r>
        <w:rPr>
          <w:rFonts w:ascii="Arial" w:hAnsi="Arial" w:cs="Arial"/>
          <w:bCs/>
          <w:sz w:val="22"/>
          <w:szCs w:val="22"/>
          <w:lang w:val="fr-FR"/>
        </w:rPr>
        <w:t>e</w:t>
      </w:r>
      <w:r w:rsidRPr="00E60F4C">
        <w:rPr>
          <w:rFonts w:ascii="Arial" w:hAnsi="Arial" w:cs="Arial"/>
          <w:bCs/>
          <w:sz w:val="22"/>
          <w:szCs w:val="22"/>
          <w:lang w:val="fr-FR"/>
        </w:rPr>
        <w:t xml:space="preserve"> </w:t>
      </w:r>
      <w:r>
        <w:rPr>
          <w:rFonts w:ascii="Arial" w:hAnsi="Arial" w:cs="Arial"/>
          <w:bCs/>
          <w:sz w:val="22"/>
          <w:szCs w:val="22"/>
          <w:lang w:val="fr-FR"/>
        </w:rPr>
        <w:t xml:space="preserve">des ONG </w:t>
      </w:r>
      <w:r w:rsidRPr="00E60F4C">
        <w:rPr>
          <w:rFonts w:ascii="Arial" w:hAnsi="Arial" w:cs="Arial"/>
          <w:bCs/>
          <w:sz w:val="22"/>
          <w:szCs w:val="22"/>
          <w:lang w:val="fr-FR"/>
        </w:rPr>
        <w:t>plutôt que d</w:t>
      </w:r>
      <w:r w:rsidR="008E532B">
        <w:rPr>
          <w:rFonts w:ascii="Arial" w:hAnsi="Arial" w:cs="Arial"/>
          <w:bCs/>
          <w:sz w:val="22"/>
          <w:szCs w:val="22"/>
          <w:lang w:val="fr-FR"/>
        </w:rPr>
        <w:t>’</w:t>
      </w:r>
      <w:r w:rsidRPr="00E60F4C">
        <w:rPr>
          <w:rFonts w:ascii="Arial" w:hAnsi="Arial" w:cs="Arial"/>
          <w:bCs/>
          <w:sz w:val="22"/>
          <w:szCs w:val="22"/>
          <w:lang w:val="fr-FR"/>
        </w:rPr>
        <w:t xml:space="preserve">avoir des quotas stricts par région. </w:t>
      </w:r>
      <w:r>
        <w:rPr>
          <w:rFonts w:ascii="Arial" w:hAnsi="Arial" w:cs="Arial"/>
          <w:bCs/>
          <w:sz w:val="22"/>
          <w:szCs w:val="22"/>
          <w:lang w:val="fr-FR"/>
        </w:rPr>
        <w:t>Sur ce sujet, e</w:t>
      </w:r>
      <w:r w:rsidRPr="00E60F4C">
        <w:rPr>
          <w:rFonts w:ascii="Arial" w:hAnsi="Arial" w:cs="Arial"/>
          <w:bCs/>
          <w:sz w:val="22"/>
          <w:szCs w:val="22"/>
          <w:lang w:val="fr-FR"/>
        </w:rPr>
        <w:t>lle s</w:t>
      </w:r>
      <w:r w:rsidR="008E532B">
        <w:rPr>
          <w:rFonts w:ascii="Arial" w:hAnsi="Arial" w:cs="Arial"/>
          <w:bCs/>
          <w:sz w:val="22"/>
          <w:szCs w:val="22"/>
          <w:lang w:val="fr-FR"/>
        </w:rPr>
        <w:t>’</w:t>
      </w:r>
      <w:r>
        <w:rPr>
          <w:rFonts w:ascii="Arial" w:hAnsi="Arial" w:cs="Arial"/>
          <w:bCs/>
          <w:sz w:val="22"/>
          <w:szCs w:val="22"/>
          <w:lang w:val="fr-FR"/>
        </w:rPr>
        <w:t>alignait</w:t>
      </w:r>
      <w:r w:rsidRPr="00E60F4C">
        <w:rPr>
          <w:rFonts w:ascii="Arial" w:hAnsi="Arial" w:cs="Arial"/>
          <w:bCs/>
          <w:sz w:val="22"/>
          <w:szCs w:val="22"/>
          <w:lang w:val="fr-FR"/>
        </w:rPr>
        <w:t xml:space="preserve"> </w:t>
      </w:r>
      <w:r>
        <w:rPr>
          <w:rFonts w:ascii="Arial" w:hAnsi="Arial" w:cs="Arial"/>
          <w:bCs/>
          <w:sz w:val="22"/>
          <w:szCs w:val="22"/>
          <w:lang w:val="fr-FR"/>
        </w:rPr>
        <w:t xml:space="preserve">donc </w:t>
      </w:r>
      <w:r w:rsidRPr="00E60F4C">
        <w:rPr>
          <w:rFonts w:ascii="Arial" w:hAnsi="Arial" w:cs="Arial"/>
          <w:bCs/>
          <w:sz w:val="22"/>
          <w:szCs w:val="22"/>
          <w:lang w:val="fr-FR"/>
        </w:rPr>
        <w:t>sur la Belgique.</w:t>
      </w:r>
    </w:p>
    <w:p w14:paraId="07FFC759" w14:textId="6D2C5ED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B43B7">
        <w:rPr>
          <w:rFonts w:ascii="Arial" w:hAnsi="Arial" w:cs="Arial"/>
          <w:bCs/>
          <w:sz w:val="22"/>
          <w:szCs w:val="22"/>
          <w:lang w:val="fr-FR"/>
        </w:rPr>
        <w:t>La délégation de l</w:t>
      </w:r>
      <w:r w:rsidR="008E532B">
        <w:rPr>
          <w:rFonts w:ascii="Arial" w:hAnsi="Arial" w:cs="Arial"/>
          <w:bCs/>
          <w:sz w:val="22"/>
          <w:szCs w:val="22"/>
          <w:lang w:val="fr-FR"/>
        </w:rPr>
        <w:t>’</w:t>
      </w:r>
      <w:r w:rsidRPr="002B43B7">
        <w:rPr>
          <w:rFonts w:ascii="Arial" w:hAnsi="Arial" w:cs="Arial"/>
          <w:b/>
          <w:sz w:val="22"/>
          <w:szCs w:val="22"/>
          <w:lang w:val="fr-FR"/>
        </w:rPr>
        <w:t>Uruguay</w:t>
      </w:r>
      <w:r>
        <w:rPr>
          <w:rFonts w:ascii="Arial" w:hAnsi="Arial" w:cs="Arial"/>
          <w:bCs/>
          <w:sz w:val="22"/>
          <w:szCs w:val="22"/>
          <w:lang w:val="fr-FR"/>
        </w:rPr>
        <w:t>, qui</w:t>
      </w:r>
      <w:r w:rsidRPr="002B43B7">
        <w:rPr>
          <w:rFonts w:ascii="Arial" w:hAnsi="Arial" w:cs="Arial"/>
          <w:bCs/>
          <w:sz w:val="22"/>
          <w:szCs w:val="22"/>
          <w:lang w:val="fr-FR"/>
        </w:rPr>
        <w:t xml:space="preserve"> </w:t>
      </w:r>
      <w:r>
        <w:rPr>
          <w:rFonts w:ascii="Arial" w:hAnsi="Arial" w:cs="Arial"/>
          <w:bCs/>
          <w:sz w:val="22"/>
          <w:szCs w:val="22"/>
          <w:lang w:val="fr-FR"/>
        </w:rPr>
        <w:t xml:space="preserve">soutenait </w:t>
      </w:r>
      <w:r w:rsidRPr="002B43B7">
        <w:rPr>
          <w:rFonts w:ascii="Arial" w:hAnsi="Arial" w:cs="Arial"/>
          <w:bCs/>
          <w:sz w:val="22"/>
          <w:szCs w:val="22"/>
          <w:lang w:val="fr-FR"/>
        </w:rPr>
        <w:t>également la proposition de la Colombie avec l</w:t>
      </w:r>
      <w:r w:rsidR="008E532B">
        <w:rPr>
          <w:rFonts w:ascii="Arial" w:hAnsi="Arial" w:cs="Arial"/>
          <w:bCs/>
          <w:sz w:val="22"/>
          <w:szCs w:val="22"/>
          <w:lang w:val="fr-FR"/>
        </w:rPr>
        <w:t>’</w:t>
      </w:r>
      <w:r w:rsidRPr="002B43B7">
        <w:rPr>
          <w:rFonts w:ascii="Arial" w:hAnsi="Arial" w:cs="Arial"/>
          <w:bCs/>
          <w:sz w:val="22"/>
          <w:szCs w:val="22"/>
          <w:lang w:val="fr-FR"/>
        </w:rPr>
        <w:t xml:space="preserve">amendement proposé par la Palestine, </w:t>
      </w:r>
      <w:r>
        <w:rPr>
          <w:rFonts w:ascii="Arial" w:hAnsi="Arial" w:cs="Arial"/>
          <w:bCs/>
          <w:sz w:val="22"/>
          <w:szCs w:val="22"/>
          <w:lang w:val="fr-FR"/>
        </w:rPr>
        <w:t>a déclaré</w:t>
      </w:r>
      <w:r w:rsidRPr="002B43B7">
        <w:rPr>
          <w:rFonts w:ascii="Arial" w:hAnsi="Arial" w:cs="Arial"/>
          <w:bCs/>
          <w:sz w:val="22"/>
          <w:szCs w:val="22"/>
          <w:lang w:val="fr-FR"/>
        </w:rPr>
        <w:t xml:space="preserve"> que le raisonnement qui sous-tend</w:t>
      </w:r>
      <w:r>
        <w:rPr>
          <w:rFonts w:ascii="Arial" w:hAnsi="Arial" w:cs="Arial"/>
          <w:bCs/>
          <w:sz w:val="22"/>
          <w:szCs w:val="22"/>
          <w:lang w:val="fr-FR"/>
        </w:rPr>
        <w:t>ait</w:t>
      </w:r>
      <w:r w:rsidRPr="002B43B7">
        <w:rPr>
          <w:rFonts w:ascii="Arial" w:hAnsi="Arial" w:cs="Arial"/>
          <w:bCs/>
          <w:sz w:val="22"/>
          <w:szCs w:val="22"/>
          <w:lang w:val="fr-FR"/>
        </w:rPr>
        <w:t xml:space="preserve"> la proposition de la Colombie permettrait d</w:t>
      </w:r>
      <w:r w:rsidR="008E532B">
        <w:rPr>
          <w:rFonts w:ascii="Arial" w:hAnsi="Arial" w:cs="Arial"/>
          <w:bCs/>
          <w:sz w:val="22"/>
          <w:szCs w:val="22"/>
          <w:lang w:val="fr-FR"/>
        </w:rPr>
        <w:t>’</w:t>
      </w:r>
      <w:r w:rsidRPr="002B43B7">
        <w:rPr>
          <w:rFonts w:ascii="Arial" w:hAnsi="Arial" w:cs="Arial"/>
          <w:bCs/>
          <w:sz w:val="22"/>
          <w:szCs w:val="22"/>
          <w:lang w:val="fr-FR"/>
        </w:rPr>
        <w:t xml:space="preserve">assurer une </w:t>
      </w:r>
      <w:r w:rsidR="002512C5">
        <w:rPr>
          <w:rFonts w:ascii="Arial" w:hAnsi="Arial" w:cs="Arial"/>
          <w:bCs/>
          <w:sz w:val="22"/>
          <w:szCs w:val="22"/>
          <w:lang w:val="fr-FR"/>
        </w:rPr>
        <w:t>distribution</w:t>
      </w:r>
      <w:r w:rsidRPr="002B43B7">
        <w:rPr>
          <w:rFonts w:ascii="Arial" w:hAnsi="Arial" w:cs="Arial"/>
          <w:bCs/>
          <w:sz w:val="22"/>
          <w:szCs w:val="22"/>
          <w:lang w:val="fr-FR"/>
        </w:rPr>
        <w:t xml:space="preserve"> géographique équilibrée, </w:t>
      </w:r>
      <w:r>
        <w:rPr>
          <w:rFonts w:ascii="Arial" w:hAnsi="Arial" w:cs="Arial"/>
          <w:bCs/>
          <w:sz w:val="22"/>
          <w:szCs w:val="22"/>
          <w:lang w:val="fr-FR"/>
        </w:rPr>
        <w:t xml:space="preserve">ce qui concerne </w:t>
      </w:r>
      <w:r w:rsidRPr="002B43B7">
        <w:rPr>
          <w:rFonts w:ascii="Arial" w:hAnsi="Arial" w:cs="Arial"/>
          <w:bCs/>
          <w:sz w:val="22"/>
          <w:szCs w:val="22"/>
          <w:lang w:val="fr-FR"/>
        </w:rPr>
        <w:t xml:space="preserve">un certain nombre de régions. Elle </w:t>
      </w:r>
      <w:r>
        <w:rPr>
          <w:rFonts w:ascii="Arial" w:hAnsi="Arial" w:cs="Arial"/>
          <w:bCs/>
          <w:sz w:val="22"/>
          <w:szCs w:val="22"/>
          <w:lang w:val="fr-FR"/>
        </w:rPr>
        <w:t>souscrivait</w:t>
      </w:r>
      <w:r w:rsidRPr="002B43B7">
        <w:rPr>
          <w:rFonts w:ascii="Arial" w:hAnsi="Arial" w:cs="Arial"/>
          <w:bCs/>
          <w:sz w:val="22"/>
          <w:szCs w:val="22"/>
          <w:lang w:val="fr-FR"/>
        </w:rPr>
        <w:t xml:space="preserve"> également </w:t>
      </w:r>
      <w:r>
        <w:rPr>
          <w:rFonts w:ascii="Arial" w:hAnsi="Arial" w:cs="Arial"/>
          <w:bCs/>
          <w:sz w:val="22"/>
          <w:szCs w:val="22"/>
          <w:lang w:val="fr-FR"/>
        </w:rPr>
        <w:t xml:space="preserve">aux </w:t>
      </w:r>
      <w:r w:rsidRPr="002B43B7">
        <w:rPr>
          <w:rFonts w:ascii="Arial" w:hAnsi="Arial" w:cs="Arial"/>
          <w:bCs/>
          <w:sz w:val="22"/>
          <w:szCs w:val="22"/>
          <w:lang w:val="fr-FR"/>
        </w:rPr>
        <w:t xml:space="preserve">remarques du Chili </w:t>
      </w:r>
      <w:r>
        <w:rPr>
          <w:rFonts w:ascii="Arial" w:hAnsi="Arial" w:cs="Arial"/>
          <w:bCs/>
          <w:sz w:val="22"/>
          <w:szCs w:val="22"/>
          <w:lang w:val="fr-FR"/>
        </w:rPr>
        <w:t xml:space="preserve">selon lesquelles il fallait </w:t>
      </w:r>
      <w:r w:rsidRPr="002B43B7">
        <w:rPr>
          <w:rFonts w:ascii="Arial" w:hAnsi="Arial" w:cs="Arial"/>
          <w:bCs/>
          <w:sz w:val="22"/>
          <w:szCs w:val="22"/>
          <w:lang w:val="fr-FR"/>
        </w:rPr>
        <w:t>a</w:t>
      </w:r>
      <w:r>
        <w:rPr>
          <w:rFonts w:ascii="Arial" w:hAnsi="Arial" w:cs="Arial"/>
          <w:bCs/>
          <w:sz w:val="22"/>
          <w:szCs w:val="22"/>
          <w:lang w:val="fr-FR"/>
        </w:rPr>
        <w:t>vancer dans l</w:t>
      </w:r>
      <w:r w:rsidR="008E532B">
        <w:rPr>
          <w:rFonts w:ascii="Arial" w:hAnsi="Arial" w:cs="Arial"/>
          <w:bCs/>
          <w:sz w:val="22"/>
          <w:szCs w:val="22"/>
          <w:lang w:val="fr-FR"/>
        </w:rPr>
        <w:t>’</w:t>
      </w:r>
      <w:r w:rsidRPr="002B43B7">
        <w:rPr>
          <w:rFonts w:ascii="Arial" w:hAnsi="Arial" w:cs="Arial"/>
          <w:bCs/>
          <w:sz w:val="22"/>
          <w:szCs w:val="22"/>
          <w:lang w:val="fr-FR"/>
        </w:rPr>
        <w:t>ordre du jour</w:t>
      </w:r>
      <w:r>
        <w:rPr>
          <w:rFonts w:ascii="Arial" w:hAnsi="Arial" w:cs="Arial"/>
          <w:bCs/>
          <w:sz w:val="22"/>
          <w:szCs w:val="22"/>
          <w:lang w:val="fr-FR"/>
        </w:rPr>
        <w:t xml:space="preserve"> </w:t>
      </w:r>
      <w:r w:rsidRPr="002B43B7">
        <w:rPr>
          <w:rFonts w:ascii="Arial" w:hAnsi="Arial" w:cs="Arial"/>
          <w:bCs/>
          <w:sz w:val="22"/>
          <w:szCs w:val="22"/>
          <w:lang w:val="fr-FR"/>
        </w:rPr>
        <w:t>étant donné les autres points importants qui rest</w:t>
      </w:r>
      <w:r>
        <w:rPr>
          <w:rFonts w:ascii="Arial" w:hAnsi="Arial" w:cs="Arial"/>
          <w:bCs/>
          <w:sz w:val="22"/>
          <w:szCs w:val="22"/>
          <w:lang w:val="fr-FR"/>
        </w:rPr>
        <w:t>ai</w:t>
      </w:r>
      <w:r w:rsidRPr="002B43B7">
        <w:rPr>
          <w:rFonts w:ascii="Arial" w:hAnsi="Arial" w:cs="Arial"/>
          <w:bCs/>
          <w:sz w:val="22"/>
          <w:szCs w:val="22"/>
          <w:lang w:val="fr-FR"/>
        </w:rPr>
        <w:t>ent à couvrir.</w:t>
      </w:r>
    </w:p>
    <w:p w14:paraId="7A8F5148" w14:textId="5A3E52D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2B43B7">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2B43B7">
        <w:rPr>
          <w:rFonts w:ascii="Arial" w:hAnsi="Arial" w:cs="Arial"/>
          <w:b/>
          <w:sz w:val="22"/>
          <w:szCs w:val="22"/>
          <w:lang w:val="fr-FR"/>
        </w:rPr>
        <w:t>Algérie</w:t>
      </w:r>
      <w:r>
        <w:rPr>
          <w:rFonts w:ascii="Arial" w:hAnsi="Arial" w:cs="Arial"/>
          <w:bCs/>
          <w:sz w:val="22"/>
          <w:szCs w:val="22"/>
          <w:lang w:val="fr-FR"/>
        </w:rPr>
        <w:t xml:space="preserve"> soutenait la </w:t>
      </w:r>
      <w:r w:rsidRPr="002B43B7">
        <w:rPr>
          <w:rFonts w:ascii="Arial" w:hAnsi="Arial" w:cs="Arial"/>
          <w:bCs/>
          <w:sz w:val="22"/>
          <w:szCs w:val="22"/>
          <w:lang w:val="fr-FR"/>
        </w:rPr>
        <w:t>proposition</w:t>
      </w:r>
      <w:r>
        <w:rPr>
          <w:rFonts w:ascii="Arial" w:hAnsi="Arial" w:cs="Arial"/>
          <w:bCs/>
          <w:sz w:val="22"/>
          <w:szCs w:val="22"/>
          <w:lang w:val="fr-FR"/>
        </w:rPr>
        <w:t xml:space="preserve"> de la Colombie.</w:t>
      </w:r>
    </w:p>
    <w:p w14:paraId="672E40F3" w14:textId="23FBDC2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B43B7">
        <w:rPr>
          <w:rFonts w:ascii="Arial" w:hAnsi="Arial" w:cs="Arial"/>
          <w:bCs/>
          <w:sz w:val="22"/>
          <w:szCs w:val="22"/>
          <w:lang w:val="fr-FR"/>
        </w:rPr>
        <w:t xml:space="preserve">La délégation de la </w:t>
      </w:r>
      <w:r w:rsidRPr="002B43B7">
        <w:rPr>
          <w:rFonts w:ascii="Arial" w:hAnsi="Arial" w:cs="Arial"/>
          <w:b/>
          <w:sz w:val="22"/>
          <w:szCs w:val="22"/>
          <w:lang w:val="fr-FR"/>
        </w:rPr>
        <w:t>République démocratique du Congo</w:t>
      </w:r>
      <w:r w:rsidRPr="002B43B7">
        <w:rPr>
          <w:rFonts w:ascii="Arial" w:hAnsi="Arial" w:cs="Arial"/>
          <w:bCs/>
          <w:sz w:val="22"/>
          <w:szCs w:val="22"/>
          <w:lang w:val="fr-FR"/>
        </w:rPr>
        <w:t xml:space="preserve"> sout</w:t>
      </w:r>
      <w:r>
        <w:rPr>
          <w:rFonts w:ascii="Arial" w:hAnsi="Arial" w:cs="Arial"/>
          <w:bCs/>
          <w:sz w:val="22"/>
          <w:szCs w:val="22"/>
          <w:lang w:val="fr-FR"/>
        </w:rPr>
        <w:t>enait</w:t>
      </w:r>
      <w:r w:rsidRPr="002B43B7">
        <w:rPr>
          <w:rFonts w:ascii="Arial" w:hAnsi="Arial" w:cs="Arial"/>
          <w:bCs/>
          <w:sz w:val="22"/>
          <w:szCs w:val="22"/>
          <w:lang w:val="fr-FR"/>
        </w:rPr>
        <w:t xml:space="preserve"> la proposition de la Colombie, qui conduira</w:t>
      </w:r>
      <w:r>
        <w:rPr>
          <w:rFonts w:ascii="Arial" w:hAnsi="Arial" w:cs="Arial"/>
          <w:bCs/>
          <w:sz w:val="22"/>
          <w:szCs w:val="22"/>
          <w:lang w:val="fr-FR"/>
        </w:rPr>
        <w:t>it</w:t>
      </w:r>
      <w:r w:rsidRPr="002B43B7">
        <w:rPr>
          <w:rFonts w:ascii="Arial" w:hAnsi="Arial" w:cs="Arial"/>
          <w:bCs/>
          <w:sz w:val="22"/>
          <w:szCs w:val="22"/>
          <w:lang w:val="fr-FR"/>
        </w:rPr>
        <w:t xml:space="preserve"> sans aucun doute à une représentation géographique équitable. En outre, bien qu</w:t>
      </w:r>
      <w:r w:rsidR="008E532B">
        <w:rPr>
          <w:rFonts w:ascii="Arial" w:hAnsi="Arial" w:cs="Arial"/>
          <w:bCs/>
          <w:sz w:val="22"/>
          <w:szCs w:val="22"/>
          <w:lang w:val="fr-FR"/>
        </w:rPr>
        <w:t>’</w:t>
      </w:r>
      <w:r w:rsidRPr="002B43B7">
        <w:rPr>
          <w:rFonts w:ascii="Arial" w:hAnsi="Arial" w:cs="Arial"/>
          <w:bCs/>
          <w:sz w:val="22"/>
          <w:szCs w:val="22"/>
          <w:lang w:val="fr-FR"/>
        </w:rPr>
        <w:t>elle puisse soutenir la proposition concernant les quotas, elle d</w:t>
      </w:r>
      <w:r>
        <w:rPr>
          <w:rFonts w:ascii="Arial" w:hAnsi="Arial" w:cs="Arial"/>
          <w:bCs/>
          <w:sz w:val="22"/>
          <w:szCs w:val="22"/>
          <w:lang w:val="fr-FR"/>
        </w:rPr>
        <w:t>evait</w:t>
      </w:r>
      <w:r w:rsidRPr="002B43B7">
        <w:rPr>
          <w:rFonts w:ascii="Arial" w:hAnsi="Arial" w:cs="Arial"/>
          <w:bCs/>
          <w:sz w:val="22"/>
          <w:szCs w:val="22"/>
          <w:lang w:val="fr-FR"/>
        </w:rPr>
        <w:t xml:space="preserve"> être associée à un renforcement des capacités pour et entre les ONG de toutes les régions. Si des quotas devaient être appliqués, alors la qualité du travail proposé par les ONG d</w:t>
      </w:r>
      <w:r>
        <w:rPr>
          <w:rFonts w:ascii="Arial" w:hAnsi="Arial" w:cs="Arial"/>
          <w:bCs/>
          <w:sz w:val="22"/>
          <w:szCs w:val="22"/>
          <w:lang w:val="fr-FR"/>
        </w:rPr>
        <w:t>evait</w:t>
      </w:r>
      <w:r w:rsidRPr="002B43B7">
        <w:rPr>
          <w:rFonts w:ascii="Arial" w:hAnsi="Arial" w:cs="Arial"/>
          <w:bCs/>
          <w:sz w:val="22"/>
          <w:szCs w:val="22"/>
          <w:lang w:val="fr-FR"/>
        </w:rPr>
        <w:t xml:space="preserve"> refléter les attentes, sinon cela ne serait pas souhaitable.</w:t>
      </w:r>
    </w:p>
    <w:p w14:paraId="747E859D" w14:textId="10391E1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A02AD1">
        <w:rPr>
          <w:rFonts w:ascii="Arial" w:hAnsi="Arial" w:cs="Arial"/>
          <w:b/>
          <w:sz w:val="22"/>
          <w:szCs w:val="22"/>
          <w:lang w:val="fr-FR"/>
        </w:rPr>
        <w:t>Présidente</w:t>
      </w:r>
      <w:r>
        <w:rPr>
          <w:rFonts w:ascii="Arial" w:hAnsi="Arial" w:cs="Arial"/>
          <w:bCs/>
          <w:sz w:val="22"/>
          <w:szCs w:val="22"/>
          <w:lang w:val="fr-FR"/>
        </w:rPr>
        <w:t xml:space="preserve"> a précisé que seule la première partie du </w:t>
      </w:r>
      <w:r w:rsidRPr="00A02AD1">
        <w:rPr>
          <w:rFonts w:ascii="Arial" w:hAnsi="Arial" w:cs="Arial"/>
          <w:bCs/>
          <w:sz w:val="22"/>
          <w:szCs w:val="22"/>
          <w:lang w:val="fr-FR"/>
        </w:rPr>
        <w:t>paragraphe</w:t>
      </w:r>
      <w:r>
        <w:rPr>
          <w:rFonts w:ascii="Arial" w:hAnsi="Arial" w:cs="Arial"/>
          <w:bCs/>
          <w:sz w:val="22"/>
          <w:szCs w:val="22"/>
          <w:lang w:val="fr-FR"/>
        </w:rPr>
        <w:t xml:space="preserve"> 6 était en cours d</w:t>
      </w:r>
      <w:r w:rsidR="008E532B">
        <w:rPr>
          <w:rFonts w:ascii="Arial" w:hAnsi="Arial" w:cs="Arial"/>
          <w:bCs/>
          <w:sz w:val="22"/>
          <w:szCs w:val="22"/>
          <w:lang w:val="fr-FR"/>
        </w:rPr>
        <w:t>’</w:t>
      </w:r>
      <w:r>
        <w:rPr>
          <w:rFonts w:ascii="Arial" w:hAnsi="Arial" w:cs="Arial"/>
          <w:bCs/>
          <w:sz w:val="22"/>
          <w:szCs w:val="22"/>
          <w:lang w:val="fr-FR"/>
        </w:rPr>
        <w:t>examen.</w:t>
      </w:r>
    </w:p>
    <w:p w14:paraId="34D8C1FC" w14:textId="21BB004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02AD1">
        <w:rPr>
          <w:rFonts w:ascii="Arial" w:hAnsi="Arial" w:cs="Arial"/>
          <w:bCs/>
          <w:sz w:val="22"/>
          <w:szCs w:val="22"/>
          <w:lang w:val="fr-FR"/>
        </w:rPr>
        <w:t xml:space="preserve">La délégation de la </w:t>
      </w:r>
      <w:r w:rsidRPr="00A02AD1">
        <w:rPr>
          <w:rFonts w:ascii="Arial" w:hAnsi="Arial" w:cs="Arial"/>
          <w:b/>
          <w:sz w:val="22"/>
          <w:szCs w:val="22"/>
          <w:lang w:val="fr-FR"/>
        </w:rPr>
        <w:t>Lituanie</w:t>
      </w:r>
      <w:r w:rsidRPr="00A02AD1">
        <w:rPr>
          <w:rFonts w:ascii="Arial" w:hAnsi="Arial" w:cs="Arial"/>
          <w:bCs/>
          <w:sz w:val="22"/>
          <w:szCs w:val="22"/>
          <w:lang w:val="fr-FR"/>
        </w:rPr>
        <w:t xml:space="preserve"> a noté une divergence dans la numérotation des paragraphes affichés à l</w:t>
      </w:r>
      <w:r w:rsidR="008E532B">
        <w:rPr>
          <w:rFonts w:ascii="Arial" w:hAnsi="Arial" w:cs="Arial"/>
          <w:bCs/>
          <w:sz w:val="22"/>
          <w:szCs w:val="22"/>
          <w:lang w:val="fr-FR"/>
        </w:rPr>
        <w:t>’</w:t>
      </w:r>
      <w:r w:rsidRPr="00A02AD1">
        <w:rPr>
          <w:rFonts w:ascii="Arial" w:hAnsi="Arial" w:cs="Arial"/>
          <w:bCs/>
          <w:sz w:val="22"/>
          <w:szCs w:val="22"/>
          <w:lang w:val="fr-FR"/>
        </w:rPr>
        <w:t>écran entre les deux versions linguistiques. Elle souten</w:t>
      </w:r>
      <w:r>
        <w:rPr>
          <w:rFonts w:ascii="Arial" w:hAnsi="Arial" w:cs="Arial"/>
          <w:bCs/>
          <w:sz w:val="22"/>
          <w:szCs w:val="22"/>
          <w:lang w:val="fr-FR"/>
        </w:rPr>
        <w:t xml:space="preserve">ait </w:t>
      </w:r>
      <w:r w:rsidRPr="00A02AD1">
        <w:rPr>
          <w:rFonts w:ascii="Arial" w:hAnsi="Arial" w:cs="Arial"/>
          <w:bCs/>
          <w:sz w:val="22"/>
          <w:szCs w:val="22"/>
          <w:lang w:val="fr-FR"/>
        </w:rPr>
        <w:t xml:space="preserve">la proposition originale de la Colombie (le nouveau paragraphe 7) se terminant par </w:t>
      </w:r>
      <w:r>
        <w:rPr>
          <w:rFonts w:ascii="Arial" w:hAnsi="Arial" w:cs="Arial"/>
          <w:bCs/>
          <w:sz w:val="22"/>
          <w:szCs w:val="22"/>
          <w:lang w:val="fr-FR"/>
        </w:rPr>
        <w:t xml:space="preserve">« ONG » </w:t>
      </w:r>
      <w:r w:rsidRPr="00A02AD1">
        <w:rPr>
          <w:rFonts w:ascii="Arial" w:hAnsi="Arial" w:cs="Arial"/>
          <w:bCs/>
          <w:sz w:val="22"/>
          <w:szCs w:val="22"/>
          <w:lang w:val="fr-FR"/>
        </w:rPr>
        <w:t>en supposant que cela remplaçait l</w:t>
      </w:r>
      <w:r w:rsidR="008E532B">
        <w:rPr>
          <w:rFonts w:ascii="Arial" w:hAnsi="Arial" w:cs="Arial"/>
          <w:bCs/>
          <w:sz w:val="22"/>
          <w:szCs w:val="22"/>
          <w:lang w:val="fr-FR"/>
        </w:rPr>
        <w:t>’</w:t>
      </w:r>
      <w:r w:rsidRPr="00A02AD1">
        <w:rPr>
          <w:rFonts w:ascii="Arial" w:hAnsi="Arial" w:cs="Arial"/>
          <w:bCs/>
          <w:sz w:val="22"/>
          <w:szCs w:val="22"/>
          <w:lang w:val="fr-FR"/>
        </w:rPr>
        <w:t>amendement de la Palestine au paragraphe 6bis, comme mentionné par le Chili. La délégation n</w:t>
      </w:r>
      <w:r w:rsidR="008E532B">
        <w:rPr>
          <w:rFonts w:ascii="Arial" w:hAnsi="Arial" w:cs="Arial"/>
          <w:bCs/>
          <w:sz w:val="22"/>
          <w:szCs w:val="22"/>
          <w:lang w:val="fr-FR"/>
        </w:rPr>
        <w:t>’</w:t>
      </w:r>
      <w:r w:rsidRPr="00A02AD1">
        <w:rPr>
          <w:rFonts w:ascii="Arial" w:hAnsi="Arial" w:cs="Arial"/>
          <w:bCs/>
          <w:sz w:val="22"/>
          <w:szCs w:val="22"/>
          <w:lang w:val="fr-FR"/>
        </w:rPr>
        <w:t>était pas favorable à l</w:t>
      </w:r>
      <w:r w:rsidR="008E532B">
        <w:rPr>
          <w:rFonts w:ascii="Arial" w:hAnsi="Arial" w:cs="Arial"/>
          <w:bCs/>
          <w:sz w:val="22"/>
          <w:szCs w:val="22"/>
          <w:lang w:val="fr-FR"/>
        </w:rPr>
        <w:t>’</w:t>
      </w:r>
      <w:r w:rsidRPr="00A02AD1">
        <w:rPr>
          <w:rFonts w:ascii="Arial" w:hAnsi="Arial" w:cs="Arial"/>
          <w:bCs/>
          <w:sz w:val="22"/>
          <w:szCs w:val="22"/>
          <w:lang w:val="fr-FR"/>
        </w:rPr>
        <w:t>ajout d</w:t>
      </w:r>
      <w:r w:rsidR="008E532B">
        <w:rPr>
          <w:rFonts w:ascii="Arial" w:hAnsi="Arial" w:cs="Arial"/>
          <w:bCs/>
          <w:sz w:val="22"/>
          <w:szCs w:val="22"/>
          <w:lang w:val="fr-FR"/>
        </w:rPr>
        <w:t>’</w:t>
      </w:r>
      <w:r w:rsidRPr="00A02AD1">
        <w:rPr>
          <w:rFonts w:ascii="Arial" w:hAnsi="Arial" w:cs="Arial"/>
          <w:bCs/>
          <w:sz w:val="22"/>
          <w:szCs w:val="22"/>
          <w:lang w:val="fr-FR"/>
        </w:rPr>
        <w:t>un quota, comme l</w:t>
      </w:r>
      <w:r w:rsidR="008E532B">
        <w:rPr>
          <w:rFonts w:ascii="Arial" w:hAnsi="Arial" w:cs="Arial"/>
          <w:bCs/>
          <w:sz w:val="22"/>
          <w:szCs w:val="22"/>
          <w:lang w:val="fr-FR"/>
        </w:rPr>
        <w:t>’</w:t>
      </w:r>
      <w:r>
        <w:rPr>
          <w:rFonts w:ascii="Arial" w:hAnsi="Arial" w:cs="Arial"/>
          <w:bCs/>
          <w:sz w:val="22"/>
          <w:szCs w:val="22"/>
          <w:lang w:val="fr-FR"/>
        </w:rPr>
        <w:t>avaient</w:t>
      </w:r>
      <w:r w:rsidRPr="00A02AD1">
        <w:rPr>
          <w:rFonts w:ascii="Arial" w:hAnsi="Arial" w:cs="Arial"/>
          <w:bCs/>
          <w:sz w:val="22"/>
          <w:szCs w:val="22"/>
          <w:lang w:val="fr-FR"/>
        </w:rPr>
        <w:t xml:space="preserve"> expliqué la Belgique et la Tchéquie. Elle a </w:t>
      </w:r>
      <w:r>
        <w:rPr>
          <w:rFonts w:ascii="Arial" w:hAnsi="Arial" w:cs="Arial"/>
          <w:bCs/>
          <w:sz w:val="22"/>
          <w:szCs w:val="22"/>
          <w:lang w:val="fr-FR"/>
        </w:rPr>
        <w:t>exprimé le souhait</w:t>
      </w:r>
      <w:r w:rsidRPr="00A02AD1">
        <w:rPr>
          <w:rFonts w:ascii="Arial" w:hAnsi="Arial" w:cs="Arial"/>
          <w:bCs/>
          <w:sz w:val="22"/>
          <w:szCs w:val="22"/>
          <w:lang w:val="fr-FR"/>
        </w:rPr>
        <w:t xml:space="preserve"> que cela soit reflété à l</w:t>
      </w:r>
      <w:r w:rsidR="008E532B">
        <w:rPr>
          <w:rFonts w:ascii="Arial" w:hAnsi="Arial" w:cs="Arial"/>
          <w:bCs/>
          <w:sz w:val="22"/>
          <w:szCs w:val="22"/>
          <w:lang w:val="fr-FR"/>
        </w:rPr>
        <w:t>’</w:t>
      </w:r>
      <w:r w:rsidRPr="00A02AD1">
        <w:rPr>
          <w:rFonts w:ascii="Arial" w:hAnsi="Arial" w:cs="Arial"/>
          <w:bCs/>
          <w:sz w:val="22"/>
          <w:szCs w:val="22"/>
          <w:lang w:val="fr-FR"/>
        </w:rPr>
        <w:t>écran</w:t>
      </w:r>
      <w:r>
        <w:rPr>
          <w:rFonts w:ascii="Arial" w:hAnsi="Arial" w:cs="Arial"/>
          <w:bCs/>
          <w:sz w:val="22"/>
          <w:szCs w:val="22"/>
          <w:lang w:val="fr-FR"/>
        </w:rPr>
        <w:t xml:space="preserve"> parce qu</w:t>
      </w:r>
      <w:r w:rsidR="008E532B">
        <w:rPr>
          <w:rFonts w:ascii="Arial" w:hAnsi="Arial" w:cs="Arial"/>
          <w:bCs/>
          <w:sz w:val="22"/>
          <w:szCs w:val="22"/>
          <w:lang w:val="fr-FR"/>
        </w:rPr>
        <w:t>’</w:t>
      </w:r>
      <w:r w:rsidRPr="00A02AD1">
        <w:rPr>
          <w:rFonts w:ascii="Arial" w:hAnsi="Arial" w:cs="Arial"/>
          <w:bCs/>
          <w:sz w:val="22"/>
          <w:szCs w:val="22"/>
          <w:lang w:val="fr-FR"/>
        </w:rPr>
        <w:t>un certain nombre de pays n</w:t>
      </w:r>
      <w:r w:rsidR="008E532B">
        <w:rPr>
          <w:rFonts w:ascii="Arial" w:hAnsi="Arial" w:cs="Arial"/>
          <w:bCs/>
          <w:sz w:val="22"/>
          <w:szCs w:val="22"/>
          <w:lang w:val="fr-FR"/>
        </w:rPr>
        <w:t>’</w:t>
      </w:r>
      <w:r>
        <w:rPr>
          <w:rFonts w:ascii="Arial" w:hAnsi="Arial" w:cs="Arial"/>
          <w:bCs/>
          <w:sz w:val="22"/>
          <w:szCs w:val="22"/>
          <w:lang w:val="fr-FR"/>
        </w:rPr>
        <w:t xml:space="preserve">étaient </w:t>
      </w:r>
      <w:r w:rsidRPr="00A02AD1">
        <w:rPr>
          <w:rFonts w:ascii="Arial" w:hAnsi="Arial" w:cs="Arial"/>
          <w:bCs/>
          <w:sz w:val="22"/>
          <w:szCs w:val="22"/>
          <w:lang w:val="fr-FR"/>
        </w:rPr>
        <w:t>pas favorables à l</w:t>
      </w:r>
      <w:r w:rsidR="008E532B">
        <w:rPr>
          <w:rFonts w:ascii="Arial" w:hAnsi="Arial" w:cs="Arial"/>
          <w:bCs/>
          <w:sz w:val="22"/>
          <w:szCs w:val="22"/>
          <w:lang w:val="fr-FR"/>
        </w:rPr>
        <w:t>’</w:t>
      </w:r>
      <w:r w:rsidRPr="00A02AD1">
        <w:rPr>
          <w:rFonts w:ascii="Arial" w:hAnsi="Arial" w:cs="Arial"/>
          <w:bCs/>
          <w:sz w:val="22"/>
          <w:szCs w:val="22"/>
          <w:lang w:val="fr-FR"/>
        </w:rPr>
        <w:t>adoption d</w:t>
      </w:r>
      <w:r w:rsidR="008E532B">
        <w:rPr>
          <w:rFonts w:ascii="Arial" w:hAnsi="Arial" w:cs="Arial"/>
          <w:bCs/>
          <w:sz w:val="22"/>
          <w:szCs w:val="22"/>
          <w:lang w:val="fr-FR"/>
        </w:rPr>
        <w:t>’</w:t>
      </w:r>
      <w:r w:rsidRPr="00A02AD1">
        <w:rPr>
          <w:rFonts w:ascii="Arial" w:hAnsi="Arial" w:cs="Arial"/>
          <w:bCs/>
          <w:sz w:val="22"/>
          <w:szCs w:val="22"/>
          <w:lang w:val="fr-FR"/>
        </w:rPr>
        <w:t>un quota</w:t>
      </w:r>
      <w:r>
        <w:rPr>
          <w:rFonts w:ascii="Arial" w:hAnsi="Arial" w:cs="Arial"/>
          <w:bCs/>
          <w:sz w:val="22"/>
          <w:szCs w:val="22"/>
          <w:lang w:val="fr-FR"/>
        </w:rPr>
        <w:t xml:space="preserve">, car </w:t>
      </w:r>
      <w:r w:rsidRPr="00A02AD1">
        <w:rPr>
          <w:rFonts w:ascii="Arial" w:hAnsi="Arial" w:cs="Arial"/>
          <w:bCs/>
          <w:sz w:val="22"/>
          <w:szCs w:val="22"/>
          <w:lang w:val="fr-FR"/>
        </w:rPr>
        <w:t xml:space="preserve">les ONG </w:t>
      </w:r>
      <w:r>
        <w:rPr>
          <w:rFonts w:ascii="Arial" w:hAnsi="Arial" w:cs="Arial"/>
          <w:bCs/>
          <w:sz w:val="22"/>
          <w:szCs w:val="22"/>
          <w:lang w:val="fr-FR"/>
        </w:rPr>
        <w:t xml:space="preserve">peuvent </w:t>
      </w:r>
      <w:r w:rsidRPr="00A02AD1">
        <w:rPr>
          <w:rFonts w:ascii="Arial" w:hAnsi="Arial" w:cs="Arial"/>
          <w:bCs/>
          <w:sz w:val="22"/>
          <w:szCs w:val="22"/>
          <w:lang w:val="fr-FR"/>
        </w:rPr>
        <w:t xml:space="preserve">être multinationales, supranationales et ne </w:t>
      </w:r>
      <w:r>
        <w:rPr>
          <w:rFonts w:ascii="Arial" w:hAnsi="Arial" w:cs="Arial"/>
          <w:bCs/>
          <w:sz w:val="22"/>
          <w:szCs w:val="22"/>
          <w:lang w:val="fr-FR"/>
        </w:rPr>
        <w:t xml:space="preserve">peuvent </w:t>
      </w:r>
      <w:r w:rsidRPr="00A02AD1">
        <w:rPr>
          <w:rFonts w:ascii="Arial" w:hAnsi="Arial" w:cs="Arial"/>
          <w:bCs/>
          <w:sz w:val="22"/>
          <w:szCs w:val="22"/>
          <w:lang w:val="fr-FR"/>
        </w:rPr>
        <w:t>pas être définies par leur</w:t>
      </w:r>
      <w:r>
        <w:rPr>
          <w:rFonts w:ascii="Arial" w:hAnsi="Arial" w:cs="Arial"/>
          <w:sz w:val="22"/>
          <w:szCs w:val="22"/>
          <w:lang w:val="fr-FR"/>
        </w:rPr>
        <w:t xml:space="preserve"> domiciliation</w:t>
      </w:r>
      <w:r w:rsidRPr="00A02AD1">
        <w:rPr>
          <w:rFonts w:ascii="Arial" w:hAnsi="Arial" w:cs="Arial"/>
          <w:bCs/>
          <w:sz w:val="22"/>
          <w:szCs w:val="22"/>
          <w:lang w:val="fr-FR"/>
        </w:rPr>
        <w:t>,</w:t>
      </w:r>
      <w:r>
        <w:rPr>
          <w:rFonts w:ascii="Arial" w:hAnsi="Arial" w:cs="Arial"/>
          <w:bCs/>
          <w:sz w:val="22"/>
          <w:szCs w:val="22"/>
          <w:lang w:val="fr-FR"/>
        </w:rPr>
        <w:t xml:space="preserve"> puisqu</w:t>
      </w:r>
      <w:r w:rsidR="008E532B">
        <w:rPr>
          <w:rFonts w:ascii="Arial" w:hAnsi="Arial" w:cs="Arial"/>
          <w:bCs/>
          <w:sz w:val="22"/>
          <w:szCs w:val="22"/>
          <w:lang w:val="fr-FR"/>
        </w:rPr>
        <w:t>’</w:t>
      </w:r>
      <w:r>
        <w:rPr>
          <w:rFonts w:ascii="Arial" w:hAnsi="Arial" w:cs="Arial"/>
          <w:bCs/>
          <w:sz w:val="22"/>
          <w:szCs w:val="22"/>
          <w:lang w:val="fr-FR"/>
        </w:rPr>
        <w:t>elles</w:t>
      </w:r>
      <w:r w:rsidRPr="00A02AD1">
        <w:rPr>
          <w:rFonts w:ascii="Arial" w:hAnsi="Arial" w:cs="Arial"/>
          <w:bCs/>
          <w:sz w:val="22"/>
          <w:szCs w:val="22"/>
          <w:lang w:val="fr-FR"/>
        </w:rPr>
        <w:t xml:space="preserve"> elles peuvent travailler sur </w:t>
      </w:r>
      <w:r>
        <w:rPr>
          <w:rFonts w:ascii="Arial" w:hAnsi="Arial" w:cs="Arial"/>
          <w:bCs/>
          <w:sz w:val="22"/>
          <w:szCs w:val="22"/>
          <w:lang w:val="fr-FR"/>
        </w:rPr>
        <w:t>c</w:t>
      </w:r>
      <w:r w:rsidRPr="00A02AD1">
        <w:rPr>
          <w:rFonts w:ascii="Arial" w:hAnsi="Arial" w:cs="Arial"/>
          <w:bCs/>
          <w:sz w:val="22"/>
          <w:szCs w:val="22"/>
          <w:lang w:val="fr-FR"/>
        </w:rPr>
        <w:t>es questions dans une région différente.</w:t>
      </w:r>
    </w:p>
    <w:p w14:paraId="7A96B463" w14:textId="74144F8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C3BF5">
        <w:rPr>
          <w:rFonts w:ascii="Arial" w:hAnsi="Arial" w:cs="Arial"/>
          <w:bCs/>
          <w:sz w:val="22"/>
          <w:szCs w:val="22"/>
          <w:lang w:val="fr-FR"/>
        </w:rPr>
        <w:t xml:space="preserve">Le </w:t>
      </w:r>
      <w:r w:rsidRPr="006C3BF5">
        <w:rPr>
          <w:rFonts w:ascii="Arial" w:hAnsi="Arial" w:cs="Arial"/>
          <w:b/>
          <w:sz w:val="22"/>
          <w:szCs w:val="22"/>
          <w:lang w:val="fr-FR"/>
        </w:rPr>
        <w:t>Sous-Directeur général</w:t>
      </w:r>
      <w:r w:rsidRPr="006C3BF5">
        <w:rPr>
          <w:rFonts w:ascii="Arial" w:hAnsi="Arial" w:cs="Arial"/>
          <w:bCs/>
          <w:sz w:val="22"/>
          <w:szCs w:val="22"/>
          <w:lang w:val="fr-FR"/>
        </w:rPr>
        <w:t xml:space="preserve"> a précisé que le paragraphe 6 n</w:t>
      </w:r>
      <w:r w:rsidR="008E532B">
        <w:rPr>
          <w:rFonts w:ascii="Arial" w:hAnsi="Arial" w:cs="Arial"/>
          <w:bCs/>
          <w:sz w:val="22"/>
          <w:szCs w:val="22"/>
          <w:lang w:val="fr-FR"/>
        </w:rPr>
        <w:t>’</w:t>
      </w:r>
      <w:r w:rsidRPr="006C3BF5">
        <w:rPr>
          <w:rFonts w:ascii="Arial" w:hAnsi="Arial" w:cs="Arial"/>
          <w:bCs/>
          <w:sz w:val="22"/>
          <w:szCs w:val="22"/>
          <w:lang w:val="fr-FR"/>
        </w:rPr>
        <w:t>avait pas encore été approuvé. Il y avait un paragraphe 6bis de la Palestine [sur l</w:t>
      </w:r>
      <w:r w:rsidR="008E532B">
        <w:rPr>
          <w:rFonts w:ascii="Arial" w:hAnsi="Arial" w:cs="Arial"/>
          <w:bCs/>
          <w:sz w:val="22"/>
          <w:szCs w:val="22"/>
          <w:lang w:val="fr-FR"/>
        </w:rPr>
        <w:t>’</w:t>
      </w:r>
      <w:r w:rsidRPr="006C3BF5">
        <w:rPr>
          <w:rFonts w:ascii="Arial" w:hAnsi="Arial" w:cs="Arial"/>
          <w:bCs/>
          <w:sz w:val="22"/>
          <w:szCs w:val="22"/>
          <w:lang w:val="fr-FR"/>
        </w:rPr>
        <w:t>éligibilité des ONG d</w:t>
      </w:r>
      <w:r w:rsidR="008E532B">
        <w:rPr>
          <w:rFonts w:ascii="Arial" w:hAnsi="Arial" w:cs="Arial"/>
          <w:bCs/>
          <w:sz w:val="22"/>
          <w:szCs w:val="22"/>
          <w:lang w:val="fr-FR"/>
        </w:rPr>
        <w:t>’</w:t>
      </w:r>
      <w:r w:rsidRPr="006C3BF5">
        <w:rPr>
          <w:rFonts w:ascii="Arial" w:hAnsi="Arial" w:cs="Arial"/>
          <w:bCs/>
          <w:sz w:val="22"/>
          <w:szCs w:val="22"/>
          <w:lang w:val="fr-FR"/>
        </w:rPr>
        <w:t>États non-Parties], suivi d</w:t>
      </w:r>
      <w:r w:rsidR="008E532B">
        <w:rPr>
          <w:rFonts w:ascii="Arial" w:hAnsi="Arial" w:cs="Arial"/>
          <w:bCs/>
          <w:sz w:val="22"/>
          <w:szCs w:val="22"/>
          <w:lang w:val="fr-FR"/>
        </w:rPr>
        <w:t>’</w:t>
      </w:r>
      <w:r w:rsidRPr="006C3BF5">
        <w:rPr>
          <w:rFonts w:ascii="Arial" w:hAnsi="Arial" w:cs="Arial"/>
          <w:bCs/>
          <w:sz w:val="22"/>
          <w:szCs w:val="22"/>
          <w:lang w:val="fr-FR"/>
        </w:rPr>
        <w:t>un nouveau paragraphe 7 proposé par la Colombie, auquel la Palestine avait soumis un amendement [sur le quota].</w:t>
      </w:r>
    </w:p>
    <w:p w14:paraId="029343FD" w14:textId="4A3BC2D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C3BF5">
        <w:rPr>
          <w:rFonts w:ascii="Arial" w:hAnsi="Arial" w:cs="Arial"/>
          <w:bCs/>
          <w:sz w:val="22"/>
          <w:szCs w:val="22"/>
          <w:lang w:val="fr-FR"/>
        </w:rPr>
        <w:t xml:space="preserve">La délégation de la </w:t>
      </w:r>
      <w:r w:rsidRPr="006C3BF5">
        <w:rPr>
          <w:rFonts w:ascii="Arial" w:hAnsi="Arial" w:cs="Arial"/>
          <w:b/>
          <w:sz w:val="22"/>
          <w:szCs w:val="22"/>
          <w:lang w:val="fr-FR"/>
        </w:rPr>
        <w:t>Palestine</w:t>
      </w:r>
      <w:r w:rsidRPr="006C3BF5">
        <w:rPr>
          <w:rFonts w:ascii="Arial" w:hAnsi="Arial" w:cs="Arial"/>
          <w:bCs/>
          <w:sz w:val="22"/>
          <w:szCs w:val="22"/>
          <w:lang w:val="fr-FR"/>
        </w:rPr>
        <w:t xml:space="preserve"> a approuvé le résumé</w:t>
      </w:r>
      <w:r>
        <w:rPr>
          <w:rFonts w:ascii="Arial" w:hAnsi="Arial" w:cs="Arial"/>
          <w:bCs/>
          <w:sz w:val="22"/>
          <w:szCs w:val="22"/>
          <w:lang w:val="fr-FR"/>
        </w:rPr>
        <w:t>. T</w:t>
      </w:r>
      <w:r w:rsidRPr="006C3BF5">
        <w:rPr>
          <w:rFonts w:ascii="Arial" w:hAnsi="Arial" w:cs="Arial"/>
          <w:bCs/>
          <w:sz w:val="22"/>
          <w:szCs w:val="22"/>
          <w:lang w:val="fr-FR"/>
        </w:rPr>
        <w:t>outefois, pour une question d</w:t>
      </w:r>
      <w:r w:rsidR="008E532B">
        <w:rPr>
          <w:rFonts w:ascii="Arial" w:hAnsi="Arial" w:cs="Arial"/>
          <w:bCs/>
          <w:sz w:val="22"/>
          <w:szCs w:val="22"/>
          <w:lang w:val="fr-FR"/>
        </w:rPr>
        <w:t>’</w:t>
      </w:r>
      <w:r w:rsidRPr="006C3BF5">
        <w:rPr>
          <w:rFonts w:ascii="Arial" w:hAnsi="Arial" w:cs="Arial"/>
          <w:bCs/>
          <w:sz w:val="22"/>
          <w:szCs w:val="22"/>
          <w:lang w:val="fr-FR"/>
        </w:rPr>
        <w:t>ordre et de formalité, le paragraphe 6bis initial de la Palestine devrait suivre la proposition de la Colombie et devenir un nouveau paragraphe 7bis.</w:t>
      </w:r>
    </w:p>
    <w:p w14:paraId="66A3E480" w14:textId="71AF636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Le </w:t>
      </w:r>
      <w:r w:rsidRPr="006C3BF5">
        <w:rPr>
          <w:rFonts w:ascii="Arial" w:hAnsi="Arial" w:cs="Arial"/>
          <w:b/>
          <w:sz w:val="22"/>
          <w:szCs w:val="22"/>
          <w:lang w:val="fr-FR"/>
        </w:rPr>
        <w:t>Sous-Directeur général</w:t>
      </w:r>
      <w:r>
        <w:rPr>
          <w:rFonts w:ascii="Arial" w:hAnsi="Arial" w:cs="Arial"/>
          <w:bCs/>
          <w:sz w:val="22"/>
          <w:szCs w:val="22"/>
          <w:lang w:val="fr-FR"/>
        </w:rPr>
        <w:t xml:space="preserve"> a souscrit à la déclaration de la Palestine qu</w:t>
      </w:r>
      <w:r w:rsidR="008E532B">
        <w:rPr>
          <w:rFonts w:ascii="Arial" w:hAnsi="Arial" w:cs="Arial"/>
          <w:bCs/>
          <w:sz w:val="22"/>
          <w:szCs w:val="22"/>
          <w:lang w:val="fr-FR"/>
        </w:rPr>
        <w:t>’</w:t>
      </w:r>
      <w:r>
        <w:rPr>
          <w:rFonts w:ascii="Arial" w:hAnsi="Arial" w:cs="Arial"/>
          <w:bCs/>
          <w:sz w:val="22"/>
          <w:szCs w:val="22"/>
          <w:lang w:val="fr-FR"/>
        </w:rPr>
        <w:t>il a remerciée pour sa contribution.</w:t>
      </w:r>
    </w:p>
    <w:p w14:paraId="3881E70F" w14:textId="20DD34C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C3BF5">
        <w:rPr>
          <w:rFonts w:ascii="Arial" w:hAnsi="Arial" w:cs="Arial"/>
          <w:bCs/>
          <w:sz w:val="22"/>
          <w:szCs w:val="22"/>
          <w:lang w:val="fr-FR"/>
        </w:rPr>
        <w:t xml:space="preserve">La délégation de la </w:t>
      </w:r>
      <w:r w:rsidRPr="006C3BF5">
        <w:rPr>
          <w:rFonts w:ascii="Arial" w:hAnsi="Arial" w:cs="Arial"/>
          <w:b/>
          <w:sz w:val="22"/>
          <w:szCs w:val="22"/>
          <w:lang w:val="fr-FR"/>
        </w:rPr>
        <w:t>Slovaquie</w:t>
      </w:r>
      <w:r w:rsidRPr="006C3BF5">
        <w:rPr>
          <w:rFonts w:ascii="Arial" w:hAnsi="Arial" w:cs="Arial"/>
          <w:bCs/>
          <w:sz w:val="22"/>
          <w:szCs w:val="22"/>
          <w:lang w:val="fr-FR"/>
        </w:rPr>
        <w:t xml:space="preserve"> souten</w:t>
      </w:r>
      <w:r>
        <w:rPr>
          <w:rFonts w:ascii="Arial" w:hAnsi="Arial" w:cs="Arial"/>
          <w:bCs/>
          <w:sz w:val="22"/>
          <w:szCs w:val="22"/>
          <w:lang w:val="fr-FR"/>
        </w:rPr>
        <w:t>ait</w:t>
      </w:r>
      <w:r w:rsidRPr="006C3BF5">
        <w:rPr>
          <w:rFonts w:ascii="Arial" w:hAnsi="Arial" w:cs="Arial"/>
          <w:bCs/>
          <w:sz w:val="22"/>
          <w:szCs w:val="22"/>
          <w:lang w:val="fr-FR"/>
        </w:rPr>
        <w:t xml:space="preserve"> la proposition de la Colombie, qui était conforme à la déclaration précédente de la Slovaquie selon laquelle l</w:t>
      </w:r>
      <w:r w:rsidR="008E532B">
        <w:rPr>
          <w:rFonts w:ascii="Arial" w:hAnsi="Arial" w:cs="Arial"/>
          <w:bCs/>
          <w:sz w:val="22"/>
          <w:szCs w:val="22"/>
          <w:lang w:val="fr-FR"/>
        </w:rPr>
        <w:t>’</w:t>
      </w:r>
      <w:r w:rsidRPr="006C3BF5">
        <w:rPr>
          <w:rFonts w:ascii="Arial" w:hAnsi="Arial" w:cs="Arial"/>
          <w:bCs/>
          <w:sz w:val="22"/>
          <w:szCs w:val="22"/>
          <w:lang w:val="fr-FR"/>
        </w:rPr>
        <w:t xml:space="preserve">Assemblée devrait rechercher des mesures concrètes pour </w:t>
      </w:r>
      <w:r>
        <w:rPr>
          <w:rFonts w:ascii="Arial" w:hAnsi="Arial" w:cs="Arial"/>
          <w:bCs/>
          <w:sz w:val="22"/>
          <w:szCs w:val="22"/>
          <w:lang w:val="fr-FR"/>
        </w:rPr>
        <w:t>parvenir à</w:t>
      </w:r>
      <w:r w:rsidRPr="006C3BF5">
        <w:rPr>
          <w:rFonts w:ascii="Arial" w:hAnsi="Arial" w:cs="Arial"/>
          <w:bCs/>
          <w:sz w:val="22"/>
          <w:szCs w:val="22"/>
          <w:lang w:val="fr-FR"/>
        </w:rPr>
        <w:t xml:space="preserve"> une représentation géographique équilibrée. Comme l</w:t>
      </w:r>
      <w:r w:rsidR="008E532B">
        <w:rPr>
          <w:rFonts w:ascii="Arial" w:hAnsi="Arial" w:cs="Arial"/>
          <w:bCs/>
          <w:sz w:val="22"/>
          <w:szCs w:val="22"/>
          <w:lang w:val="fr-FR"/>
        </w:rPr>
        <w:t>’</w:t>
      </w:r>
      <w:r>
        <w:rPr>
          <w:rFonts w:ascii="Arial" w:hAnsi="Arial" w:cs="Arial"/>
          <w:bCs/>
          <w:sz w:val="22"/>
          <w:szCs w:val="22"/>
          <w:lang w:val="fr-FR"/>
        </w:rPr>
        <w:t>avaient</w:t>
      </w:r>
      <w:r w:rsidRPr="006C3BF5">
        <w:rPr>
          <w:rFonts w:ascii="Arial" w:hAnsi="Arial" w:cs="Arial"/>
          <w:bCs/>
          <w:sz w:val="22"/>
          <w:szCs w:val="22"/>
          <w:lang w:val="fr-FR"/>
        </w:rPr>
        <w:t xml:space="preserve"> mentionné le Chili, l</w:t>
      </w:r>
      <w:r w:rsidR="008E532B">
        <w:rPr>
          <w:rFonts w:ascii="Arial" w:hAnsi="Arial" w:cs="Arial"/>
          <w:bCs/>
          <w:sz w:val="22"/>
          <w:szCs w:val="22"/>
          <w:lang w:val="fr-FR"/>
        </w:rPr>
        <w:t>’</w:t>
      </w:r>
      <w:r w:rsidRPr="006C3BF5">
        <w:rPr>
          <w:rFonts w:ascii="Arial" w:hAnsi="Arial" w:cs="Arial"/>
          <w:bCs/>
          <w:sz w:val="22"/>
          <w:szCs w:val="22"/>
          <w:lang w:val="fr-FR"/>
        </w:rPr>
        <w:t>Uruguay et d</w:t>
      </w:r>
      <w:r w:rsidR="008E532B">
        <w:rPr>
          <w:rFonts w:ascii="Arial" w:hAnsi="Arial" w:cs="Arial"/>
          <w:bCs/>
          <w:sz w:val="22"/>
          <w:szCs w:val="22"/>
          <w:lang w:val="fr-FR"/>
        </w:rPr>
        <w:t>’</w:t>
      </w:r>
      <w:r w:rsidRPr="006C3BF5">
        <w:rPr>
          <w:rFonts w:ascii="Arial" w:hAnsi="Arial" w:cs="Arial"/>
          <w:bCs/>
          <w:sz w:val="22"/>
          <w:szCs w:val="22"/>
          <w:lang w:val="fr-FR"/>
        </w:rPr>
        <w:t>autres, la délégation espér</w:t>
      </w:r>
      <w:r>
        <w:rPr>
          <w:rFonts w:ascii="Arial" w:hAnsi="Arial" w:cs="Arial"/>
          <w:bCs/>
          <w:sz w:val="22"/>
          <w:szCs w:val="22"/>
          <w:lang w:val="fr-FR"/>
        </w:rPr>
        <w:t>ait</w:t>
      </w:r>
      <w:r w:rsidRPr="006C3BF5">
        <w:rPr>
          <w:rFonts w:ascii="Arial" w:hAnsi="Arial" w:cs="Arial"/>
          <w:bCs/>
          <w:sz w:val="22"/>
          <w:szCs w:val="22"/>
          <w:lang w:val="fr-FR"/>
        </w:rPr>
        <w:t xml:space="preserve"> que ce nouveau paragraphe 7 serait un bon compromis et qu</w:t>
      </w:r>
      <w:r w:rsidR="008E532B">
        <w:rPr>
          <w:rFonts w:ascii="Arial" w:hAnsi="Arial" w:cs="Arial"/>
          <w:bCs/>
          <w:sz w:val="22"/>
          <w:szCs w:val="22"/>
          <w:lang w:val="fr-FR"/>
        </w:rPr>
        <w:t>’</w:t>
      </w:r>
      <w:r w:rsidRPr="006C3BF5">
        <w:rPr>
          <w:rFonts w:ascii="Arial" w:hAnsi="Arial" w:cs="Arial"/>
          <w:bCs/>
          <w:sz w:val="22"/>
          <w:szCs w:val="22"/>
          <w:lang w:val="fr-FR"/>
        </w:rPr>
        <w:t xml:space="preserve">il remplacerait ainsi la proposition de la Palestine. Elle </w:t>
      </w:r>
      <w:r>
        <w:rPr>
          <w:rFonts w:ascii="Arial" w:hAnsi="Arial" w:cs="Arial"/>
          <w:bCs/>
          <w:sz w:val="22"/>
          <w:szCs w:val="22"/>
          <w:lang w:val="fr-FR"/>
        </w:rPr>
        <w:t>était hésitante</w:t>
      </w:r>
      <w:r w:rsidRPr="006C3BF5">
        <w:rPr>
          <w:rFonts w:ascii="Arial" w:hAnsi="Arial" w:cs="Arial"/>
          <w:bCs/>
          <w:sz w:val="22"/>
          <w:szCs w:val="22"/>
          <w:lang w:val="fr-FR"/>
        </w:rPr>
        <w:t xml:space="preserve"> sur l</w:t>
      </w:r>
      <w:r w:rsidR="008E532B">
        <w:rPr>
          <w:rFonts w:ascii="Arial" w:hAnsi="Arial" w:cs="Arial"/>
          <w:bCs/>
          <w:sz w:val="22"/>
          <w:szCs w:val="22"/>
          <w:lang w:val="fr-FR"/>
        </w:rPr>
        <w:t>’</w:t>
      </w:r>
      <w:r w:rsidRPr="006C3BF5">
        <w:rPr>
          <w:rFonts w:ascii="Arial" w:hAnsi="Arial" w:cs="Arial"/>
          <w:bCs/>
          <w:sz w:val="22"/>
          <w:szCs w:val="22"/>
          <w:lang w:val="fr-FR"/>
        </w:rPr>
        <w:t>idée d</w:t>
      </w:r>
      <w:r w:rsidR="008E532B">
        <w:rPr>
          <w:rFonts w:ascii="Arial" w:hAnsi="Arial" w:cs="Arial"/>
          <w:bCs/>
          <w:sz w:val="22"/>
          <w:szCs w:val="22"/>
          <w:lang w:val="fr-FR"/>
        </w:rPr>
        <w:t>’</w:t>
      </w:r>
      <w:r w:rsidRPr="006C3BF5">
        <w:rPr>
          <w:rFonts w:ascii="Arial" w:hAnsi="Arial" w:cs="Arial"/>
          <w:bCs/>
          <w:sz w:val="22"/>
          <w:szCs w:val="22"/>
          <w:lang w:val="fr-FR"/>
        </w:rPr>
        <w:t xml:space="preserve">un quota,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associant ainsi </w:t>
      </w:r>
      <w:r w:rsidRPr="006C3BF5">
        <w:rPr>
          <w:rFonts w:ascii="Arial" w:hAnsi="Arial" w:cs="Arial"/>
          <w:bCs/>
          <w:sz w:val="22"/>
          <w:szCs w:val="22"/>
          <w:lang w:val="fr-FR"/>
        </w:rPr>
        <w:t>avec la Tchéquie et la Belgique, car cela ne devrait pas préjuger du contenu ou des résultats des consultations ni poser de restrictions.</w:t>
      </w:r>
    </w:p>
    <w:p w14:paraId="6A89EBC9" w14:textId="47ABBE6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13EB1">
        <w:rPr>
          <w:rFonts w:ascii="Arial" w:hAnsi="Arial" w:cs="Arial"/>
          <w:bCs/>
          <w:sz w:val="22"/>
          <w:szCs w:val="22"/>
          <w:lang w:val="fr-FR"/>
        </w:rPr>
        <w:t xml:space="preserve">Le </w:t>
      </w:r>
      <w:r w:rsidRPr="00113EB1">
        <w:rPr>
          <w:rFonts w:ascii="Arial" w:hAnsi="Arial" w:cs="Arial"/>
          <w:b/>
          <w:sz w:val="22"/>
          <w:szCs w:val="22"/>
          <w:lang w:val="fr-FR"/>
        </w:rPr>
        <w:t>Sous-Directeur général</w:t>
      </w:r>
      <w:r w:rsidRPr="00113EB1">
        <w:rPr>
          <w:rFonts w:ascii="Arial" w:hAnsi="Arial" w:cs="Arial"/>
          <w:bCs/>
          <w:sz w:val="22"/>
          <w:szCs w:val="22"/>
          <w:lang w:val="fr-FR"/>
        </w:rPr>
        <w:t xml:space="preserve"> a demandé que l</w:t>
      </w:r>
      <w:r w:rsidR="008E532B">
        <w:rPr>
          <w:rFonts w:ascii="Arial" w:hAnsi="Arial" w:cs="Arial"/>
          <w:bCs/>
          <w:sz w:val="22"/>
          <w:szCs w:val="22"/>
          <w:lang w:val="fr-FR"/>
        </w:rPr>
        <w:t>’</w:t>
      </w:r>
      <w:r w:rsidRPr="00113EB1">
        <w:rPr>
          <w:rFonts w:ascii="Arial" w:hAnsi="Arial" w:cs="Arial"/>
          <w:bCs/>
          <w:sz w:val="22"/>
          <w:szCs w:val="22"/>
          <w:lang w:val="fr-FR"/>
        </w:rPr>
        <w:t>Assemblée envisage de permettre au Secrétariat de réfléchir à cette question, comme demandé dans le projet de décision. De cette façon, le résultat de l</w:t>
      </w:r>
      <w:r w:rsidR="008E532B">
        <w:rPr>
          <w:rFonts w:ascii="Arial" w:hAnsi="Arial" w:cs="Arial"/>
          <w:bCs/>
          <w:sz w:val="22"/>
          <w:szCs w:val="22"/>
          <w:lang w:val="fr-FR"/>
        </w:rPr>
        <w:t>’</w:t>
      </w:r>
      <w:r w:rsidRPr="00113EB1">
        <w:rPr>
          <w:rFonts w:ascii="Arial" w:hAnsi="Arial" w:cs="Arial"/>
          <w:bCs/>
          <w:sz w:val="22"/>
          <w:szCs w:val="22"/>
          <w:lang w:val="fr-FR"/>
        </w:rPr>
        <w:t>étude sur l</w:t>
      </w:r>
      <w:r w:rsidR="008E532B">
        <w:rPr>
          <w:rFonts w:ascii="Arial" w:hAnsi="Arial" w:cs="Arial"/>
          <w:bCs/>
          <w:sz w:val="22"/>
          <w:szCs w:val="22"/>
          <w:lang w:val="fr-FR"/>
        </w:rPr>
        <w:t>’</w:t>
      </w:r>
      <w:r w:rsidRPr="00113EB1">
        <w:rPr>
          <w:rFonts w:ascii="Arial" w:hAnsi="Arial" w:cs="Arial"/>
          <w:bCs/>
          <w:sz w:val="22"/>
          <w:szCs w:val="22"/>
          <w:lang w:val="fr-FR"/>
        </w:rPr>
        <w:t>équilibre géographique pourrait être examiné dans une étape ultérieure.</w:t>
      </w:r>
    </w:p>
    <w:p w14:paraId="482766D8" w14:textId="53FDDA7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13EB1">
        <w:rPr>
          <w:rFonts w:ascii="Arial" w:hAnsi="Arial" w:cs="Arial"/>
          <w:bCs/>
          <w:sz w:val="22"/>
          <w:szCs w:val="22"/>
          <w:lang w:val="fr-FR"/>
        </w:rPr>
        <w:t>délégation</w:t>
      </w:r>
      <w:r>
        <w:rPr>
          <w:rFonts w:ascii="Arial" w:hAnsi="Arial" w:cs="Arial"/>
          <w:bCs/>
          <w:sz w:val="22"/>
          <w:szCs w:val="22"/>
          <w:lang w:val="fr-FR"/>
        </w:rPr>
        <w:t xml:space="preserve"> du </w:t>
      </w:r>
      <w:r w:rsidRPr="00113EB1">
        <w:rPr>
          <w:rFonts w:ascii="Arial" w:hAnsi="Arial" w:cs="Arial"/>
          <w:b/>
          <w:sz w:val="22"/>
          <w:szCs w:val="22"/>
          <w:lang w:val="fr-FR"/>
        </w:rPr>
        <w:t>Brésil</w:t>
      </w:r>
      <w:r>
        <w:rPr>
          <w:rFonts w:ascii="Arial" w:hAnsi="Arial" w:cs="Arial"/>
          <w:bCs/>
          <w:sz w:val="22"/>
          <w:szCs w:val="22"/>
          <w:lang w:val="fr-FR"/>
        </w:rPr>
        <w:t xml:space="preserve"> soutenait l</w:t>
      </w:r>
      <w:r w:rsidR="008E532B">
        <w:rPr>
          <w:rFonts w:ascii="Arial" w:hAnsi="Arial" w:cs="Arial"/>
          <w:bCs/>
          <w:sz w:val="22"/>
          <w:szCs w:val="22"/>
          <w:lang w:val="fr-FR"/>
        </w:rPr>
        <w:t>’</w:t>
      </w:r>
      <w:r w:rsidRPr="00113EB1">
        <w:rPr>
          <w:rFonts w:ascii="Arial" w:hAnsi="Arial" w:cs="Arial"/>
          <w:bCs/>
          <w:sz w:val="22"/>
          <w:szCs w:val="22"/>
          <w:lang w:val="fr-FR"/>
        </w:rPr>
        <w:t>amendement</w:t>
      </w:r>
      <w:r>
        <w:rPr>
          <w:rFonts w:ascii="Arial" w:hAnsi="Arial" w:cs="Arial"/>
          <w:bCs/>
          <w:sz w:val="22"/>
          <w:szCs w:val="22"/>
          <w:lang w:val="fr-FR"/>
        </w:rPr>
        <w:t xml:space="preserve"> proposé par la Colombie. Depuis l</w:t>
      </w:r>
      <w:r w:rsidR="008E532B">
        <w:rPr>
          <w:rFonts w:ascii="Arial" w:hAnsi="Arial" w:cs="Arial"/>
          <w:bCs/>
          <w:sz w:val="22"/>
          <w:szCs w:val="22"/>
          <w:lang w:val="fr-FR"/>
        </w:rPr>
        <w:t>’</w:t>
      </w:r>
      <w:r>
        <w:rPr>
          <w:rFonts w:ascii="Arial" w:hAnsi="Arial" w:cs="Arial"/>
          <w:bCs/>
          <w:sz w:val="22"/>
          <w:szCs w:val="22"/>
          <w:lang w:val="fr-FR"/>
        </w:rPr>
        <w:t>an 2000, le Brésil avait travaillé sur des formes locales d</w:t>
      </w:r>
      <w:r w:rsidR="008E532B">
        <w:rPr>
          <w:rFonts w:ascii="Arial" w:hAnsi="Arial" w:cs="Arial"/>
          <w:bCs/>
          <w:sz w:val="22"/>
          <w:szCs w:val="22"/>
          <w:lang w:val="fr-FR"/>
        </w:rPr>
        <w:t>’</w:t>
      </w:r>
      <w:r w:rsidRPr="00113EB1">
        <w:rPr>
          <w:rFonts w:ascii="Arial" w:hAnsi="Arial" w:cs="Arial"/>
          <w:bCs/>
          <w:sz w:val="22"/>
          <w:szCs w:val="22"/>
          <w:lang w:val="fr-FR"/>
        </w:rPr>
        <w:t>organisation</w:t>
      </w:r>
      <w:r>
        <w:rPr>
          <w:rFonts w:ascii="Arial" w:hAnsi="Arial" w:cs="Arial"/>
          <w:bCs/>
          <w:sz w:val="22"/>
          <w:szCs w:val="22"/>
          <w:lang w:val="fr-FR"/>
        </w:rPr>
        <w:t xml:space="preserve"> afin de donner de l</w:t>
      </w:r>
      <w:r w:rsidR="008E532B">
        <w:rPr>
          <w:rFonts w:ascii="Arial" w:hAnsi="Arial" w:cs="Arial"/>
          <w:bCs/>
          <w:sz w:val="22"/>
          <w:szCs w:val="22"/>
          <w:lang w:val="fr-FR"/>
        </w:rPr>
        <w:t>’</w:t>
      </w:r>
      <w:r>
        <w:rPr>
          <w:rFonts w:ascii="Arial" w:hAnsi="Arial" w:cs="Arial"/>
          <w:bCs/>
          <w:sz w:val="22"/>
          <w:szCs w:val="22"/>
          <w:lang w:val="fr-FR"/>
        </w:rPr>
        <w:t xml:space="preserve">autonomie aux </w:t>
      </w:r>
      <w:r w:rsidRPr="00113EB1">
        <w:rPr>
          <w:rFonts w:ascii="Arial" w:hAnsi="Arial" w:cs="Arial"/>
          <w:bCs/>
          <w:color w:val="000000" w:themeColor="text1"/>
          <w:sz w:val="22"/>
          <w:szCs w:val="22"/>
          <w:lang w:val="fr-FR"/>
        </w:rPr>
        <w:t>communauté</w:t>
      </w:r>
      <w:r>
        <w:rPr>
          <w:rFonts w:ascii="Arial" w:hAnsi="Arial" w:cs="Arial"/>
          <w:bCs/>
          <w:color w:val="000000" w:themeColor="text1"/>
          <w:sz w:val="22"/>
          <w:szCs w:val="22"/>
          <w:lang w:val="fr-FR"/>
        </w:rPr>
        <w:t xml:space="preserve">s dans la gestion de leur </w:t>
      </w:r>
      <w:r w:rsidRPr="00113EB1">
        <w:rPr>
          <w:rFonts w:ascii="Arial" w:hAnsi="Arial" w:cs="Arial"/>
          <w:bCs/>
          <w:color w:val="000000" w:themeColor="text1"/>
          <w:sz w:val="22"/>
          <w:szCs w:val="22"/>
          <w:lang w:val="fr-FR"/>
        </w:rPr>
        <w:t>patrimoine</w:t>
      </w:r>
      <w:r>
        <w:rPr>
          <w:rFonts w:ascii="Arial" w:hAnsi="Arial" w:cs="Arial"/>
          <w:bCs/>
          <w:color w:val="000000" w:themeColor="text1"/>
          <w:sz w:val="22"/>
          <w:szCs w:val="22"/>
          <w:lang w:val="fr-FR"/>
        </w:rPr>
        <w:t>.</w:t>
      </w:r>
    </w:p>
    <w:p w14:paraId="2AA14ABB" w14:textId="4296803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B2DDB">
        <w:rPr>
          <w:rFonts w:ascii="Arial" w:hAnsi="Arial" w:cs="Arial"/>
          <w:bCs/>
          <w:sz w:val="22"/>
          <w:szCs w:val="22"/>
          <w:lang w:val="fr-FR"/>
        </w:rPr>
        <w:t xml:space="preserve">La délégation </w:t>
      </w:r>
      <w:r>
        <w:rPr>
          <w:rFonts w:ascii="Arial" w:hAnsi="Arial" w:cs="Arial"/>
          <w:bCs/>
          <w:sz w:val="22"/>
          <w:szCs w:val="22"/>
          <w:lang w:val="fr-FR"/>
        </w:rPr>
        <w:t xml:space="preserve">de la </w:t>
      </w:r>
      <w:r w:rsidRPr="008B2DDB">
        <w:rPr>
          <w:rFonts w:ascii="Arial" w:hAnsi="Arial" w:cs="Arial"/>
          <w:b/>
          <w:sz w:val="22"/>
          <w:szCs w:val="22"/>
          <w:lang w:val="fr-FR"/>
        </w:rPr>
        <w:t>France</w:t>
      </w:r>
      <w:r>
        <w:rPr>
          <w:rFonts w:ascii="Arial" w:hAnsi="Arial" w:cs="Arial"/>
          <w:bCs/>
          <w:sz w:val="22"/>
          <w:szCs w:val="22"/>
          <w:lang w:val="fr-FR"/>
        </w:rPr>
        <w:t xml:space="preserve"> </w:t>
      </w:r>
      <w:r w:rsidRPr="008B2DDB">
        <w:rPr>
          <w:rFonts w:ascii="Arial" w:hAnsi="Arial" w:cs="Arial"/>
          <w:bCs/>
          <w:sz w:val="22"/>
          <w:szCs w:val="22"/>
          <w:lang w:val="fr-FR"/>
        </w:rPr>
        <w:t>partage</w:t>
      </w:r>
      <w:r>
        <w:rPr>
          <w:rFonts w:ascii="Arial" w:hAnsi="Arial" w:cs="Arial"/>
          <w:bCs/>
          <w:sz w:val="22"/>
          <w:szCs w:val="22"/>
          <w:lang w:val="fr-FR"/>
        </w:rPr>
        <w:t>ait</w:t>
      </w:r>
      <w:r w:rsidRPr="008B2DDB">
        <w:rPr>
          <w:rFonts w:ascii="Arial" w:hAnsi="Arial" w:cs="Arial"/>
          <w:bCs/>
          <w:sz w:val="22"/>
          <w:szCs w:val="22"/>
          <w:lang w:val="fr-FR"/>
        </w:rPr>
        <w:t xml:space="preserve"> pleinement l</w:t>
      </w:r>
      <w:r w:rsidR="008E532B">
        <w:rPr>
          <w:rFonts w:ascii="Arial" w:hAnsi="Arial" w:cs="Arial"/>
          <w:bCs/>
          <w:sz w:val="22"/>
          <w:szCs w:val="22"/>
          <w:lang w:val="fr-FR"/>
        </w:rPr>
        <w:t>’</w:t>
      </w:r>
      <w:r w:rsidRPr="008B2DDB">
        <w:rPr>
          <w:rFonts w:ascii="Arial" w:hAnsi="Arial" w:cs="Arial"/>
          <w:bCs/>
          <w:sz w:val="22"/>
          <w:szCs w:val="22"/>
          <w:lang w:val="fr-FR"/>
        </w:rPr>
        <w:t>objectif d</w:t>
      </w:r>
      <w:r w:rsidR="008E532B">
        <w:rPr>
          <w:rFonts w:ascii="Arial" w:hAnsi="Arial" w:cs="Arial"/>
          <w:bCs/>
          <w:sz w:val="22"/>
          <w:szCs w:val="22"/>
          <w:lang w:val="fr-FR"/>
        </w:rPr>
        <w:t>’</w:t>
      </w:r>
      <w:r w:rsidRPr="008B2DDB">
        <w:rPr>
          <w:rFonts w:ascii="Arial" w:hAnsi="Arial" w:cs="Arial"/>
          <w:bCs/>
          <w:sz w:val="22"/>
          <w:szCs w:val="22"/>
          <w:lang w:val="fr-FR"/>
        </w:rPr>
        <w:t xml:space="preserve">une meilleure représentation géographique des ONG, </w:t>
      </w:r>
      <w:r>
        <w:rPr>
          <w:rFonts w:ascii="Arial" w:hAnsi="Arial" w:cs="Arial"/>
          <w:bCs/>
          <w:sz w:val="22"/>
          <w:szCs w:val="22"/>
          <w:lang w:val="fr-FR"/>
        </w:rPr>
        <w:t xml:space="preserve">objectif </w:t>
      </w:r>
      <w:r w:rsidRPr="008B2DDB">
        <w:rPr>
          <w:rFonts w:ascii="Arial" w:hAnsi="Arial" w:cs="Arial"/>
          <w:bCs/>
          <w:sz w:val="22"/>
          <w:szCs w:val="22"/>
          <w:lang w:val="fr-FR"/>
        </w:rPr>
        <w:t>pour lequel l</w:t>
      </w:r>
      <w:r w:rsidR="008E532B">
        <w:rPr>
          <w:rFonts w:ascii="Arial" w:hAnsi="Arial" w:cs="Arial"/>
          <w:bCs/>
          <w:sz w:val="22"/>
          <w:szCs w:val="22"/>
          <w:lang w:val="fr-FR"/>
        </w:rPr>
        <w:t>’</w:t>
      </w:r>
      <w:r w:rsidRPr="008B2DDB">
        <w:rPr>
          <w:rFonts w:ascii="Arial" w:hAnsi="Arial" w:cs="Arial"/>
          <w:bCs/>
          <w:sz w:val="22"/>
          <w:szCs w:val="22"/>
          <w:lang w:val="fr-FR"/>
        </w:rPr>
        <w:t xml:space="preserve">amendement de la Colombie </w:t>
      </w:r>
      <w:r>
        <w:rPr>
          <w:rFonts w:ascii="Arial" w:hAnsi="Arial" w:cs="Arial"/>
          <w:bCs/>
          <w:sz w:val="22"/>
          <w:szCs w:val="22"/>
          <w:lang w:val="fr-FR"/>
        </w:rPr>
        <w:t xml:space="preserve">semblait </w:t>
      </w:r>
      <w:r w:rsidRPr="008B2DDB">
        <w:rPr>
          <w:rFonts w:ascii="Arial" w:hAnsi="Arial" w:cs="Arial"/>
          <w:bCs/>
          <w:sz w:val="22"/>
          <w:szCs w:val="22"/>
          <w:lang w:val="fr-FR"/>
        </w:rPr>
        <w:t>une bonne proposition. Cependant, l</w:t>
      </w:r>
      <w:r w:rsidR="008E532B">
        <w:rPr>
          <w:rFonts w:ascii="Arial" w:hAnsi="Arial" w:cs="Arial"/>
          <w:bCs/>
          <w:sz w:val="22"/>
          <w:szCs w:val="22"/>
          <w:lang w:val="fr-FR"/>
        </w:rPr>
        <w:t>’</w:t>
      </w:r>
      <w:r w:rsidRPr="008B2DDB">
        <w:rPr>
          <w:rFonts w:ascii="Arial" w:hAnsi="Arial" w:cs="Arial"/>
          <w:bCs/>
          <w:sz w:val="22"/>
          <w:szCs w:val="22"/>
          <w:lang w:val="fr-FR"/>
        </w:rPr>
        <w:t>Assemblée a</w:t>
      </w:r>
      <w:r>
        <w:rPr>
          <w:rFonts w:ascii="Arial" w:hAnsi="Arial" w:cs="Arial"/>
          <w:bCs/>
          <w:sz w:val="22"/>
          <w:szCs w:val="22"/>
          <w:lang w:val="fr-FR"/>
        </w:rPr>
        <w:t>vait</w:t>
      </w:r>
      <w:r w:rsidRPr="008B2DDB">
        <w:rPr>
          <w:rFonts w:ascii="Arial" w:hAnsi="Arial" w:cs="Arial"/>
          <w:bCs/>
          <w:sz w:val="22"/>
          <w:szCs w:val="22"/>
          <w:lang w:val="fr-FR"/>
        </w:rPr>
        <w:t xml:space="preserve"> déjà largement débattu des conditions nécessaires pour accepter les demandes des ONG, une majorité écrasante s</w:t>
      </w:r>
      <w:r w:rsidR="008E532B">
        <w:rPr>
          <w:rFonts w:ascii="Arial" w:hAnsi="Arial" w:cs="Arial"/>
          <w:bCs/>
          <w:sz w:val="22"/>
          <w:szCs w:val="22"/>
          <w:lang w:val="fr-FR"/>
        </w:rPr>
        <w:t>’</w:t>
      </w:r>
      <w:r w:rsidRPr="008B2DDB">
        <w:rPr>
          <w:rFonts w:ascii="Arial" w:hAnsi="Arial" w:cs="Arial"/>
          <w:bCs/>
          <w:sz w:val="22"/>
          <w:szCs w:val="22"/>
          <w:lang w:val="fr-FR"/>
        </w:rPr>
        <w:t>étant prononcée en faveur d</w:t>
      </w:r>
      <w:r w:rsidR="008E532B">
        <w:rPr>
          <w:rFonts w:ascii="Arial" w:hAnsi="Arial" w:cs="Arial"/>
          <w:bCs/>
          <w:sz w:val="22"/>
          <w:szCs w:val="22"/>
          <w:lang w:val="fr-FR"/>
        </w:rPr>
        <w:t>’</w:t>
      </w:r>
      <w:r w:rsidRPr="008B2DDB">
        <w:rPr>
          <w:rFonts w:ascii="Arial" w:hAnsi="Arial" w:cs="Arial"/>
          <w:bCs/>
          <w:sz w:val="22"/>
          <w:szCs w:val="22"/>
          <w:lang w:val="fr-FR"/>
        </w:rPr>
        <w:t>une plus grande sélectivité et rigueur en la matière. La difficulté était donc de savoir comment concilier la notion de quota avec une plus grande sélectivité. La délégation a suggéré qu</w:t>
      </w:r>
      <w:r w:rsidR="008E532B">
        <w:rPr>
          <w:rFonts w:ascii="Arial" w:hAnsi="Arial" w:cs="Arial"/>
          <w:bCs/>
          <w:sz w:val="22"/>
          <w:szCs w:val="22"/>
          <w:lang w:val="fr-FR"/>
        </w:rPr>
        <w:t>’</w:t>
      </w:r>
      <w:r w:rsidRPr="008B2DDB">
        <w:rPr>
          <w:rFonts w:ascii="Arial" w:hAnsi="Arial" w:cs="Arial"/>
          <w:bCs/>
          <w:sz w:val="22"/>
          <w:szCs w:val="22"/>
          <w:lang w:val="fr-FR"/>
        </w:rPr>
        <w:t>une meilleure solution pourrait consister non pas en des quotas mais en une représentation minimale garantie, ou quelque chose de similaire.</w:t>
      </w:r>
    </w:p>
    <w:p w14:paraId="08BCAEBF" w14:textId="67DEB34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B2DDB">
        <w:rPr>
          <w:rFonts w:ascii="Arial" w:hAnsi="Arial" w:cs="Arial"/>
          <w:bCs/>
          <w:sz w:val="22"/>
          <w:szCs w:val="22"/>
          <w:lang w:val="fr-FR"/>
        </w:rPr>
        <w:t xml:space="preserve">La délégation du </w:t>
      </w:r>
      <w:r w:rsidRPr="008B2DDB">
        <w:rPr>
          <w:rFonts w:ascii="Arial" w:hAnsi="Arial" w:cs="Arial"/>
          <w:b/>
          <w:sz w:val="22"/>
          <w:szCs w:val="22"/>
          <w:lang w:val="fr-FR"/>
        </w:rPr>
        <w:t>Kazakhstan</w:t>
      </w:r>
      <w:r w:rsidRPr="008B2DDB">
        <w:rPr>
          <w:rFonts w:ascii="Arial" w:hAnsi="Arial" w:cs="Arial"/>
          <w:bCs/>
          <w:sz w:val="22"/>
          <w:szCs w:val="22"/>
          <w:lang w:val="fr-FR"/>
        </w:rPr>
        <w:t xml:space="preserve"> souten</w:t>
      </w:r>
      <w:r>
        <w:rPr>
          <w:rFonts w:ascii="Arial" w:hAnsi="Arial" w:cs="Arial"/>
          <w:bCs/>
          <w:sz w:val="22"/>
          <w:szCs w:val="22"/>
          <w:lang w:val="fr-FR"/>
        </w:rPr>
        <w:t xml:space="preserve">ait </w:t>
      </w:r>
      <w:r w:rsidRPr="008B2DDB">
        <w:rPr>
          <w:rFonts w:ascii="Arial" w:hAnsi="Arial" w:cs="Arial"/>
          <w:bCs/>
          <w:sz w:val="22"/>
          <w:szCs w:val="22"/>
          <w:lang w:val="fr-FR"/>
        </w:rPr>
        <w:t>la proposition de la Colombie avec l</w:t>
      </w:r>
      <w:r w:rsidR="008E532B">
        <w:rPr>
          <w:rFonts w:ascii="Arial" w:hAnsi="Arial" w:cs="Arial"/>
          <w:bCs/>
          <w:sz w:val="22"/>
          <w:szCs w:val="22"/>
          <w:lang w:val="fr-FR"/>
        </w:rPr>
        <w:t>’</w:t>
      </w:r>
      <w:r w:rsidRPr="008B2DDB">
        <w:rPr>
          <w:rFonts w:ascii="Arial" w:hAnsi="Arial" w:cs="Arial"/>
          <w:bCs/>
          <w:sz w:val="22"/>
          <w:szCs w:val="22"/>
          <w:lang w:val="fr-FR"/>
        </w:rPr>
        <w:t>amendement de la Palestine [sur l</w:t>
      </w:r>
      <w:r w:rsidR="008E532B">
        <w:rPr>
          <w:rFonts w:ascii="Arial" w:hAnsi="Arial" w:cs="Arial"/>
          <w:bCs/>
          <w:sz w:val="22"/>
          <w:szCs w:val="22"/>
          <w:lang w:val="fr-FR"/>
        </w:rPr>
        <w:t>’</w:t>
      </w:r>
      <w:r w:rsidRPr="008B2DDB">
        <w:rPr>
          <w:rFonts w:ascii="Arial" w:hAnsi="Arial" w:cs="Arial"/>
          <w:bCs/>
          <w:sz w:val="22"/>
          <w:szCs w:val="22"/>
          <w:lang w:val="fr-FR"/>
        </w:rPr>
        <w:t>éligibilité des ONG d</w:t>
      </w:r>
      <w:r w:rsidR="008E532B">
        <w:rPr>
          <w:rFonts w:ascii="Arial" w:hAnsi="Arial" w:cs="Arial"/>
          <w:bCs/>
          <w:sz w:val="22"/>
          <w:szCs w:val="22"/>
          <w:lang w:val="fr-FR"/>
        </w:rPr>
        <w:t>’</w:t>
      </w:r>
      <w:r w:rsidRPr="008B2DDB">
        <w:rPr>
          <w:rFonts w:ascii="Arial" w:hAnsi="Arial" w:cs="Arial"/>
          <w:bCs/>
          <w:sz w:val="22"/>
          <w:szCs w:val="22"/>
          <w:lang w:val="fr-FR"/>
        </w:rPr>
        <w:t xml:space="preserve">États non parties], mais elle </w:t>
      </w:r>
      <w:r>
        <w:rPr>
          <w:rFonts w:ascii="Arial" w:hAnsi="Arial" w:cs="Arial"/>
          <w:bCs/>
          <w:sz w:val="22"/>
          <w:szCs w:val="22"/>
          <w:lang w:val="fr-FR"/>
        </w:rPr>
        <w:t xml:space="preserve">ne </w:t>
      </w:r>
      <w:r w:rsidRPr="008B2DDB">
        <w:rPr>
          <w:rFonts w:ascii="Arial" w:hAnsi="Arial" w:cs="Arial"/>
          <w:bCs/>
          <w:sz w:val="22"/>
          <w:szCs w:val="22"/>
          <w:lang w:val="fr-FR"/>
        </w:rPr>
        <w:t>souten</w:t>
      </w:r>
      <w:r>
        <w:rPr>
          <w:rFonts w:ascii="Arial" w:hAnsi="Arial" w:cs="Arial"/>
          <w:bCs/>
          <w:sz w:val="22"/>
          <w:szCs w:val="22"/>
          <w:lang w:val="fr-FR"/>
        </w:rPr>
        <w:t xml:space="preserve">ait pas le recours à </w:t>
      </w:r>
      <w:r w:rsidRPr="008B2DDB">
        <w:rPr>
          <w:rFonts w:ascii="Arial" w:hAnsi="Arial" w:cs="Arial"/>
          <w:bCs/>
          <w:sz w:val="22"/>
          <w:szCs w:val="22"/>
          <w:lang w:val="fr-FR"/>
        </w:rPr>
        <w:t>de</w:t>
      </w:r>
      <w:r>
        <w:rPr>
          <w:rFonts w:ascii="Arial" w:hAnsi="Arial" w:cs="Arial"/>
          <w:bCs/>
          <w:sz w:val="22"/>
          <w:szCs w:val="22"/>
          <w:lang w:val="fr-FR"/>
        </w:rPr>
        <w:t>s</w:t>
      </w:r>
      <w:r w:rsidRPr="008B2DDB">
        <w:rPr>
          <w:rFonts w:ascii="Arial" w:hAnsi="Arial" w:cs="Arial"/>
          <w:bCs/>
          <w:sz w:val="22"/>
          <w:szCs w:val="22"/>
          <w:lang w:val="fr-FR"/>
        </w:rPr>
        <w:t xml:space="preserve"> quotas.</w:t>
      </w:r>
    </w:p>
    <w:p w14:paraId="49887B73" w14:textId="7EABDCB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B2DDB">
        <w:rPr>
          <w:rFonts w:ascii="Arial" w:hAnsi="Arial" w:cs="Arial"/>
          <w:bCs/>
          <w:sz w:val="22"/>
          <w:szCs w:val="22"/>
          <w:lang w:val="fr-FR"/>
        </w:rPr>
        <w:t>La délégation d</w:t>
      </w:r>
      <w:r>
        <w:rPr>
          <w:rFonts w:ascii="Arial" w:hAnsi="Arial" w:cs="Arial"/>
          <w:bCs/>
          <w:sz w:val="22"/>
          <w:szCs w:val="22"/>
          <w:lang w:val="fr-FR"/>
        </w:rPr>
        <w:t xml:space="preserve">e la </w:t>
      </w:r>
      <w:r w:rsidRPr="006D154E">
        <w:rPr>
          <w:rFonts w:ascii="Arial" w:hAnsi="Arial" w:cs="Arial"/>
          <w:b/>
          <w:sz w:val="22"/>
          <w:szCs w:val="22"/>
          <w:lang w:val="fr-FR"/>
        </w:rPr>
        <w:t>République bolivarienne du Venezuela</w:t>
      </w:r>
      <w:r w:rsidRPr="008B2DDB">
        <w:rPr>
          <w:rFonts w:ascii="Arial" w:hAnsi="Arial" w:cs="Arial"/>
          <w:bCs/>
          <w:sz w:val="22"/>
          <w:szCs w:val="22"/>
          <w:lang w:val="fr-FR"/>
        </w:rPr>
        <w:t xml:space="preserve"> souscri</w:t>
      </w:r>
      <w:r>
        <w:rPr>
          <w:rFonts w:ascii="Arial" w:hAnsi="Arial" w:cs="Arial"/>
          <w:bCs/>
          <w:sz w:val="22"/>
          <w:szCs w:val="22"/>
          <w:lang w:val="fr-FR"/>
        </w:rPr>
        <w:t>vai</w:t>
      </w:r>
      <w:r w:rsidRPr="008B2DDB">
        <w:rPr>
          <w:rFonts w:ascii="Arial" w:hAnsi="Arial" w:cs="Arial"/>
          <w:bCs/>
          <w:sz w:val="22"/>
          <w:szCs w:val="22"/>
          <w:lang w:val="fr-FR"/>
        </w:rPr>
        <w:t>t à la proposition de la Colombie. Elle souhait</w:t>
      </w:r>
      <w:r>
        <w:rPr>
          <w:rFonts w:ascii="Arial" w:hAnsi="Arial" w:cs="Arial"/>
          <w:bCs/>
          <w:sz w:val="22"/>
          <w:szCs w:val="22"/>
          <w:lang w:val="fr-FR"/>
        </w:rPr>
        <w:t>ait</w:t>
      </w:r>
      <w:r w:rsidRPr="008B2DDB">
        <w:rPr>
          <w:rFonts w:ascii="Arial" w:hAnsi="Arial" w:cs="Arial"/>
          <w:bCs/>
          <w:sz w:val="22"/>
          <w:szCs w:val="22"/>
          <w:lang w:val="fr-FR"/>
        </w:rPr>
        <w:t xml:space="preserve"> </w:t>
      </w:r>
      <w:r w:rsidRPr="0051283C">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w:t>
      </w:r>
      <w:r w:rsidRPr="008B2DDB">
        <w:rPr>
          <w:rFonts w:ascii="Arial" w:hAnsi="Arial" w:cs="Arial"/>
          <w:bCs/>
          <w:sz w:val="22"/>
          <w:szCs w:val="22"/>
          <w:lang w:val="fr-FR"/>
        </w:rPr>
        <w:t>proposer un texte alternatif à la proposition de la Palestine, expliquant qu</w:t>
      </w:r>
      <w:r w:rsidR="008E532B">
        <w:rPr>
          <w:rFonts w:ascii="Arial" w:hAnsi="Arial" w:cs="Arial"/>
          <w:bCs/>
          <w:sz w:val="22"/>
          <w:szCs w:val="22"/>
          <w:lang w:val="fr-FR"/>
        </w:rPr>
        <w:t>’</w:t>
      </w:r>
      <w:r w:rsidRPr="008B2DDB">
        <w:rPr>
          <w:rFonts w:ascii="Arial" w:hAnsi="Arial" w:cs="Arial"/>
          <w:bCs/>
          <w:sz w:val="22"/>
          <w:szCs w:val="22"/>
          <w:lang w:val="fr-FR"/>
        </w:rPr>
        <w:t>il ne s</w:t>
      </w:r>
      <w:r w:rsidR="008E532B">
        <w:rPr>
          <w:rFonts w:ascii="Arial" w:hAnsi="Arial" w:cs="Arial"/>
          <w:bCs/>
          <w:sz w:val="22"/>
          <w:szCs w:val="22"/>
          <w:lang w:val="fr-FR"/>
        </w:rPr>
        <w:t>’</w:t>
      </w:r>
      <w:r w:rsidRPr="008B2DDB">
        <w:rPr>
          <w:rFonts w:ascii="Arial" w:hAnsi="Arial" w:cs="Arial"/>
          <w:bCs/>
          <w:sz w:val="22"/>
          <w:szCs w:val="22"/>
          <w:lang w:val="fr-FR"/>
        </w:rPr>
        <w:t>agi</w:t>
      </w:r>
      <w:r>
        <w:rPr>
          <w:rFonts w:ascii="Arial" w:hAnsi="Arial" w:cs="Arial"/>
          <w:bCs/>
          <w:sz w:val="22"/>
          <w:szCs w:val="22"/>
          <w:lang w:val="fr-FR"/>
        </w:rPr>
        <w:t>ssai</w:t>
      </w:r>
      <w:r w:rsidRPr="008B2DDB">
        <w:rPr>
          <w:rFonts w:ascii="Arial" w:hAnsi="Arial" w:cs="Arial"/>
          <w:bCs/>
          <w:sz w:val="22"/>
          <w:szCs w:val="22"/>
          <w:lang w:val="fr-FR"/>
        </w:rPr>
        <w:t>t pas d</w:t>
      </w:r>
      <w:r w:rsidR="008E532B">
        <w:rPr>
          <w:rFonts w:ascii="Arial" w:hAnsi="Arial" w:cs="Arial"/>
          <w:bCs/>
          <w:sz w:val="22"/>
          <w:szCs w:val="22"/>
          <w:lang w:val="fr-FR"/>
        </w:rPr>
        <w:t>’</w:t>
      </w:r>
      <w:r w:rsidRPr="008B2DDB">
        <w:rPr>
          <w:rFonts w:ascii="Arial" w:hAnsi="Arial" w:cs="Arial"/>
          <w:bCs/>
          <w:sz w:val="22"/>
          <w:szCs w:val="22"/>
          <w:lang w:val="fr-FR"/>
        </w:rPr>
        <w:t>imposer un quota en soi mais plutôt d</w:t>
      </w:r>
      <w:r w:rsidR="008E532B">
        <w:rPr>
          <w:rFonts w:ascii="Arial" w:hAnsi="Arial" w:cs="Arial"/>
          <w:bCs/>
          <w:sz w:val="22"/>
          <w:szCs w:val="22"/>
          <w:lang w:val="fr-FR"/>
        </w:rPr>
        <w:t>’</w:t>
      </w:r>
      <w:r w:rsidRPr="008B2DDB">
        <w:rPr>
          <w:rFonts w:ascii="Arial" w:hAnsi="Arial" w:cs="Arial"/>
          <w:bCs/>
          <w:sz w:val="22"/>
          <w:szCs w:val="22"/>
          <w:lang w:val="fr-FR"/>
        </w:rPr>
        <w:t>envisager la possibilité d</w:t>
      </w:r>
      <w:r w:rsidR="008E532B">
        <w:rPr>
          <w:rFonts w:ascii="Arial" w:hAnsi="Arial" w:cs="Arial"/>
          <w:bCs/>
          <w:sz w:val="22"/>
          <w:szCs w:val="22"/>
          <w:lang w:val="fr-FR"/>
        </w:rPr>
        <w:t>’</w:t>
      </w:r>
      <w:r w:rsidRPr="008B2DDB">
        <w:rPr>
          <w:rFonts w:ascii="Arial" w:hAnsi="Arial" w:cs="Arial"/>
          <w:bCs/>
          <w:sz w:val="22"/>
          <w:szCs w:val="22"/>
          <w:lang w:val="fr-FR"/>
        </w:rPr>
        <w:t>appliquer un quota. Chaque fois qu</w:t>
      </w:r>
      <w:r w:rsidR="008E532B">
        <w:rPr>
          <w:rFonts w:ascii="Arial" w:hAnsi="Arial" w:cs="Arial"/>
          <w:bCs/>
          <w:sz w:val="22"/>
          <w:szCs w:val="22"/>
          <w:lang w:val="fr-FR"/>
        </w:rPr>
        <w:t>’</w:t>
      </w:r>
      <w:r w:rsidRPr="008B2DDB">
        <w:rPr>
          <w:rFonts w:ascii="Arial" w:hAnsi="Arial" w:cs="Arial"/>
          <w:bCs/>
          <w:sz w:val="22"/>
          <w:szCs w:val="22"/>
          <w:lang w:val="fr-FR"/>
        </w:rPr>
        <w:t xml:space="preserve">un document ou un rapport </w:t>
      </w:r>
      <w:r>
        <w:rPr>
          <w:rFonts w:ascii="Arial" w:hAnsi="Arial" w:cs="Arial"/>
          <w:bCs/>
          <w:sz w:val="22"/>
          <w:szCs w:val="22"/>
          <w:lang w:val="fr-FR"/>
        </w:rPr>
        <w:t>était</w:t>
      </w:r>
      <w:r w:rsidRPr="008B2DDB">
        <w:rPr>
          <w:rFonts w:ascii="Arial" w:hAnsi="Arial" w:cs="Arial"/>
          <w:bCs/>
          <w:sz w:val="22"/>
          <w:szCs w:val="22"/>
          <w:lang w:val="fr-FR"/>
        </w:rPr>
        <w:t xml:space="preserve"> demandé au Secrétariat, </w:t>
      </w:r>
      <w:r w:rsidRPr="00F026D4">
        <w:rPr>
          <w:rFonts w:ascii="Arial" w:hAnsi="Arial" w:cs="Arial"/>
          <w:bCs/>
          <w:sz w:val="22"/>
          <w:szCs w:val="22"/>
          <w:lang w:val="fr-FR"/>
        </w:rPr>
        <w:t>l</w:t>
      </w:r>
      <w:r w:rsidR="008E532B">
        <w:rPr>
          <w:rFonts w:ascii="Arial" w:hAnsi="Arial" w:cs="Arial"/>
          <w:bCs/>
          <w:sz w:val="22"/>
          <w:szCs w:val="22"/>
          <w:lang w:val="fr-FR"/>
        </w:rPr>
        <w:t>’</w:t>
      </w:r>
      <w:r w:rsidRPr="00F026D4">
        <w:rPr>
          <w:rFonts w:ascii="Arial" w:hAnsi="Arial" w:cs="Arial"/>
          <w:bCs/>
          <w:sz w:val="22"/>
          <w:szCs w:val="22"/>
          <w:lang w:val="fr-FR"/>
        </w:rPr>
        <w:t>Assemblée</w:t>
      </w:r>
      <w:r w:rsidRPr="0051283C">
        <w:rPr>
          <w:rFonts w:ascii="Arial" w:hAnsi="Arial" w:cs="Arial"/>
          <w:bCs/>
          <w:color w:val="FF0000"/>
          <w:sz w:val="22"/>
          <w:szCs w:val="22"/>
          <w:lang w:val="fr-FR"/>
        </w:rPr>
        <w:t xml:space="preserve"> </w:t>
      </w:r>
      <w:r w:rsidRPr="008B2DDB">
        <w:rPr>
          <w:rFonts w:ascii="Arial" w:hAnsi="Arial" w:cs="Arial"/>
          <w:bCs/>
          <w:sz w:val="22"/>
          <w:szCs w:val="22"/>
          <w:lang w:val="fr-FR"/>
        </w:rPr>
        <w:t>orient</w:t>
      </w:r>
      <w:r>
        <w:rPr>
          <w:rFonts w:ascii="Arial" w:hAnsi="Arial" w:cs="Arial"/>
          <w:bCs/>
          <w:sz w:val="22"/>
          <w:szCs w:val="22"/>
          <w:lang w:val="fr-FR"/>
        </w:rPr>
        <w:t>ait</w:t>
      </w:r>
      <w:r w:rsidRPr="008B2DDB">
        <w:rPr>
          <w:rFonts w:ascii="Arial" w:hAnsi="Arial" w:cs="Arial"/>
          <w:bCs/>
          <w:sz w:val="22"/>
          <w:szCs w:val="22"/>
          <w:lang w:val="fr-FR"/>
        </w:rPr>
        <w:t xml:space="preserve"> ou guid</w:t>
      </w:r>
      <w:r>
        <w:rPr>
          <w:rFonts w:ascii="Arial" w:hAnsi="Arial" w:cs="Arial"/>
          <w:bCs/>
          <w:sz w:val="22"/>
          <w:szCs w:val="22"/>
          <w:lang w:val="fr-FR"/>
        </w:rPr>
        <w:t>ait</w:t>
      </w:r>
      <w:r w:rsidRPr="008B2DDB">
        <w:rPr>
          <w:rFonts w:ascii="Arial" w:hAnsi="Arial" w:cs="Arial"/>
          <w:bCs/>
          <w:sz w:val="22"/>
          <w:szCs w:val="22"/>
          <w:lang w:val="fr-FR"/>
        </w:rPr>
        <w:t xml:space="preserve"> le Secrétariat dans la direction </w:t>
      </w:r>
      <w:r w:rsidRPr="00F026D4">
        <w:rPr>
          <w:rFonts w:ascii="Arial" w:hAnsi="Arial" w:cs="Arial"/>
          <w:bCs/>
          <w:sz w:val="22"/>
          <w:szCs w:val="22"/>
          <w:lang w:val="fr-FR"/>
        </w:rPr>
        <w:t>qu</w:t>
      </w:r>
      <w:r w:rsidR="008E532B">
        <w:rPr>
          <w:rFonts w:ascii="Arial" w:hAnsi="Arial" w:cs="Arial"/>
          <w:bCs/>
          <w:sz w:val="22"/>
          <w:szCs w:val="22"/>
          <w:lang w:val="fr-FR"/>
        </w:rPr>
        <w:t>’</w:t>
      </w:r>
      <w:r w:rsidRPr="00F026D4">
        <w:rPr>
          <w:rFonts w:ascii="Arial" w:hAnsi="Arial" w:cs="Arial"/>
          <w:bCs/>
          <w:sz w:val="22"/>
          <w:szCs w:val="22"/>
          <w:lang w:val="fr-FR"/>
        </w:rPr>
        <w:t xml:space="preserve">elle </w:t>
      </w:r>
      <w:r w:rsidRPr="008B2DDB">
        <w:rPr>
          <w:rFonts w:ascii="Arial" w:hAnsi="Arial" w:cs="Arial"/>
          <w:bCs/>
          <w:sz w:val="22"/>
          <w:szCs w:val="22"/>
          <w:lang w:val="fr-FR"/>
        </w:rPr>
        <w:t>souhait</w:t>
      </w:r>
      <w:r>
        <w:rPr>
          <w:rFonts w:ascii="Arial" w:hAnsi="Arial" w:cs="Arial"/>
          <w:bCs/>
          <w:sz w:val="22"/>
          <w:szCs w:val="22"/>
          <w:lang w:val="fr-FR"/>
        </w:rPr>
        <w:t>ait</w:t>
      </w:r>
      <w:r w:rsidRPr="008B2DDB">
        <w:rPr>
          <w:rFonts w:ascii="Arial" w:hAnsi="Arial" w:cs="Arial"/>
          <w:bCs/>
          <w:sz w:val="22"/>
          <w:szCs w:val="22"/>
          <w:lang w:val="fr-FR"/>
        </w:rPr>
        <w:t xml:space="preserve"> </w:t>
      </w:r>
      <w:r>
        <w:rPr>
          <w:rFonts w:ascii="Arial" w:hAnsi="Arial" w:cs="Arial"/>
          <w:bCs/>
          <w:sz w:val="22"/>
          <w:szCs w:val="22"/>
          <w:lang w:val="fr-FR"/>
        </w:rPr>
        <w:t>voir sa</w:t>
      </w:r>
      <w:r w:rsidRPr="008B2DDB">
        <w:rPr>
          <w:rFonts w:ascii="Arial" w:hAnsi="Arial" w:cs="Arial"/>
          <w:bCs/>
          <w:sz w:val="22"/>
          <w:szCs w:val="22"/>
          <w:lang w:val="fr-FR"/>
        </w:rPr>
        <w:t xml:space="preserve"> proposition</w:t>
      </w:r>
      <w:r>
        <w:rPr>
          <w:rFonts w:ascii="Arial" w:hAnsi="Arial" w:cs="Arial"/>
          <w:bCs/>
          <w:sz w:val="22"/>
          <w:szCs w:val="22"/>
          <w:lang w:val="fr-FR"/>
        </w:rPr>
        <w:t xml:space="preserve"> prendre</w:t>
      </w:r>
      <w:r w:rsidRPr="008B2DDB">
        <w:rPr>
          <w:rFonts w:ascii="Arial" w:hAnsi="Arial" w:cs="Arial"/>
          <w:bCs/>
          <w:sz w:val="22"/>
          <w:szCs w:val="22"/>
          <w:lang w:val="fr-FR"/>
        </w:rPr>
        <w:t>. Le texte supplémentaire s</w:t>
      </w:r>
      <w:r>
        <w:rPr>
          <w:rFonts w:ascii="Arial" w:hAnsi="Arial" w:cs="Arial"/>
          <w:bCs/>
          <w:sz w:val="22"/>
          <w:szCs w:val="22"/>
          <w:lang w:val="fr-FR"/>
        </w:rPr>
        <w:t>erait ainsi rédigé </w:t>
      </w:r>
      <w:r w:rsidRPr="008B2DDB">
        <w:rPr>
          <w:rFonts w:ascii="Arial" w:hAnsi="Arial" w:cs="Arial"/>
          <w:bCs/>
          <w:sz w:val="22"/>
          <w:szCs w:val="22"/>
          <w:lang w:val="fr-FR"/>
        </w:rPr>
        <w:t xml:space="preserve">: </w:t>
      </w:r>
      <w:r>
        <w:rPr>
          <w:rFonts w:ascii="Arial" w:hAnsi="Arial" w:cs="Arial"/>
          <w:bCs/>
          <w:sz w:val="22"/>
          <w:szCs w:val="22"/>
          <w:lang w:val="fr-FR"/>
        </w:rPr>
        <w:t>« </w:t>
      </w:r>
      <w:r w:rsidRPr="008B2DDB">
        <w:rPr>
          <w:rFonts w:ascii="Arial" w:hAnsi="Arial" w:cs="Arial"/>
          <w:bCs/>
          <w:sz w:val="22"/>
          <w:szCs w:val="22"/>
          <w:lang w:val="fr-FR"/>
        </w:rPr>
        <w:t>y compris l</w:t>
      </w:r>
      <w:r w:rsidR="008E532B">
        <w:rPr>
          <w:rFonts w:ascii="Arial" w:hAnsi="Arial" w:cs="Arial"/>
          <w:bCs/>
          <w:sz w:val="22"/>
          <w:szCs w:val="22"/>
          <w:lang w:val="fr-FR"/>
        </w:rPr>
        <w:t>’</w:t>
      </w:r>
      <w:r w:rsidRPr="008B2DDB">
        <w:rPr>
          <w:rFonts w:ascii="Arial" w:hAnsi="Arial" w:cs="Arial"/>
          <w:bCs/>
          <w:sz w:val="22"/>
          <w:szCs w:val="22"/>
          <w:lang w:val="fr-FR"/>
        </w:rPr>
        <w:t>étude des implications de l</w:t>
      </w:r>
      <w:r w:rsidR="008E532B">
        <w:rPr>
          <w:rFonts w:ascii="Arial" w:hAnsi="Arial" w:cs="Arial"/>
          <w:bCs/>
          <w:sz w:val="22"/>
          <w:szCs w:val="22"/>
          <w:lang w:val="fr-FR"/>
        </w:rPr>
        <w:t>’</w:t>
      </w:r>
      <w:r w:rsidRPr="008B2DDB">
        <w:rPr>
          <w:rFonts w:ascii="Arial" w:hAnsi="Arial" w:cs="Arial"/>
          <w:bCs/>
          <w:sz w:val="22"/>
          <w:szCs w:val="22"/>
          <w:lang w:val="fr-FR"/>
        </w:rPr>
        <w:t>adoption d</w:t>
      </w:r>
      <w:r w:rsidR="008E532B">
        <w:rPr>
          <w:rFonts w:ascii="Arial" w:hAnsi="Arial" w:cs="Arial"/>
          <w:bCs/>
          <w:sz w:val="22"/>
          <w:szCs w:val="22"/>
          <w:lang w:val="fr-FR"/>
        </w:rPr>
        <w:t>’</w:t>
      </w:r>
      <w:r w:rsidRPr="008B2DDB">
        <w:rPr>
          <w:rFonts w:ascii="Arial" w:hAnsi="Arial" w:cs="Arial"/>
          <w:bCs/>
          <w:sz w:val="22"/>
          <w:szCs w:val="22"/>
          <w:lang w:val="fr-FR"/>
        </w:rPr>
        <w:t>un quota par groupe électoral</w:t>
      </w:r>
      <w:r>
        <w:rPr>
          <w:rFonts w:ascii="Arial" w:hAnsi="Arial" w:cs="Arial"/>
          <w:bCs/>
          <w:sz w:val="22"/>
          <w:szCs w:val="22"/>
          <w:lang w:val="fr-FR"/>
        </w:rPr>
        <w:t> »</w:t>
      </w:r>
      <w:r w:rsidRPr="008B2DDB">
        <w:rPr>
          <w:rFonts w:ascii="Arial" w:hAnsi="Arial" w:cs="Arial"/>
          <w:bCs/>
          <w:sz w:val="22"/>
          <w:szCs w:val="22"/>
          <w:lang w:val="fr-FR"/>
        </w:rPr>
        <w:t>. Cela ne préjugerait pas de la décision à prendre à l</w:t>
      </w:r>
      <w:r w:rsidR="008E532B">
        <w:rPr>
          <w:rFonts w:ascii="Arial" w:hAnsi="Arial" w:cs="Arial"/>
          <w:bCs/>
          <w:sz w:val="22"/>
          <w:szCs w:val="22"/>
          <w:lang w:val="fr-FR"/>
        </w:rPr>
        <w:t>’</w:t>
      </w:r>
      <w:r w:rsidRPr="008B2DDB">
        <w:rPr>
          <w:rFonts w:ascii="Arial" w:hAnsi="Arial" w:cs="Arial"/>
          <w:bCs/>
          <w:sz w:val="22"/>
          <w:szCs w:val="22"/>
          <w:lang w:val="fr-FR"/>
        </w:rPr>
        <w:t xml:space="preserve">avenir ; au contraire, cela </w:t>
      </w:r>
      <w:r>
        <w:rPr>
          <w:rFonts w:ascii="Arial" w:hAnsi="Arial" w:cs="Arial"/>
          <w:bCs/>
          <w:sz w:val="22"/>
          <w:szCs w:val="22"/>
          <w:lang w:val="fr-FR"/>
        </w:rPr>
        <w:t xml:space="preserve">orienterait </w:t>
      </w:r>
      <w:r w:rsidRPr="008B2DDB">
        <w:rPr>
          <w:rFonts w:ascii="Arial" w:hAnsi="Arial" w:cs="Arial"/>
          <w:bCs/>
          <w:sz w:val="22"/>
          <w:szCs w:val="22"/>
          <w:lang w:val="fr-FR"/>
        </w:rPr>
        <w:t xml:space="preserve">simplement le Secrétariat </w:t>
      </w:r>
      <w:r>
        <w:rPr>
          <w:rFonts w:ascii="Arial" w:hAnsi="Arial" w:cs="Arial"/>
          <w:bCs/>
          <w:sz w:val="22"/>
          <w:szCs w:val="22"/>
          <w:lang w:val="fr-FR"/>
        </w:rPr>
        <w:t>vers l</w:t>
      </w:r>
      <w:r w:rsidR="008E532B">
        <w:rPr>
          <w:rFonts w:ascii="Arial" w:hAnsi="Arial" w:cs="Arial"/>
          <w:bCs/>
          <w:sz w:val="22"/>
          <w:szCs w:val="22"/>
          <w:lang w:val="fr-FR"/>
        </w:rPr>
        <w:t>’</w:t>
      </w:r>
      <w:r>
        <w:rPr>
          <w:rFonts w:ascii="Arial" w:hAnsi="Arial" w:cs="Arial"/>
          <w:bCs/>
          <w:sz w:val="22"/>
          <w:szCs w:val="22"/>
          <w:lang w:val="fr-FR"/>
        </w:rPr>
        <w:t>examen de</w:t>
      </w:r>
      <w:r w:rsidRPr="008B2DDB">
        <w:rPr>
          <w:rFonts w:ascii="Arial" w:hAnsi="Arial" w:cs="Arial"/>
          <w:bCs/>
          <w:sz w:val="22"/>
          <w:szCs w:val="22"/>
          <w:lang w:val="fr-FR"/>
        </w:rPr>
        <w:t xml:space="preserve"> la possibilité d</w:t>
      </w:r>
      <w:r w:rsidR="008E532B">
        <w:rPr>
          <w:rFonts w:ascii="Arial" w:hAnsi="Arial" w:cs="Arial"/>
          <w:bCs/>
          <w:sz w:val="22"/>
          <w:szCs w:val="22"/>
          <w:lang w:val="fr-FR"/>
        </w:rPr>
        <w:t>’</w:t>
      </w:r>
      <w:r w:rsidRPr="008B2DDB">
        <w:rPr>
          <w:rFonts w:ascii="Arial" w:hAnsi="Arial" w:cs="Arial"/>
          <w:bCs/>
          <w:sz w:val="22"/>
          <w:szCs w:val="22"/>
          <w:lang w:val="fr-FR"/>
        </w:rPr>
        <w:t>un mécanisme efficace pour assurer une représentation plus géographique des ONG, qui ne serait pas nécessairement un système de quotas.</w:t>
      </w:r>
    </w:p>
    <w:p w14:paraId="13F4CF1C" w14:textId="560631D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7677F">
        <w:rPr>
          <w:rFonts w:ascii="Arial" w:hAnsi="Arial" w:cs="Arial"/>
          <w:bCs/>
          <w:sz w:val="22"/>
          <w:szCs w:val="22"/>
          <w:lang w:val="fr-FR"/>
        </w:rPr>
        <w:t>La délégation de l</w:t>
      </w:r>
      <w:r w:rsidR="008E532B">
        <w:rPr>
          <w:rFonts w:ascii="Arial" w:hAnsi="Arial" w:cs="Arial"/>
          <w:bCs/>
          <w:sz w:val="22"/>
          <w:szCs w:val="22"/>
          <w:lang w:val="fr-FR"/>
        </w:rPr>
        <w:t>’</w:t>
      </w:r>
      <w:r w:rsidRPr="0057677F">
        <w:rPr>
          <w:rFonts w:ascii="Arial" w:hAnsi="Arial" w:cs="Arial"/>
          <w:b/>
          <w:sz w:val="22"/>
          <w:szCs w:val="22"/>
          <w:lang w:val="fr-FR"/>
        </w:rPr>
        <w:t xml:space="preserve">Arabie saoudite </w:t>
      </w:r>
      <w:r w:rsidRPr="0057677F">
        <w:rPr>
          <w:rFonts w:ascii="Arial" w:hAnsi="Arial" w:cs="Arial"/>
          <w:bCs/>
          <w:sz w:val="22"/>
          <w:szCs w:val="22"/>
          <w:lang w:val="fr-FR"/>
        </w:rPr>
        <w:t>souten</w:t>
      </w:r>
      <w:r>
        <w:rPr>
          <w:rFonts w:ascii="Arial" w:hAnsi="Arial" w:cs="Arial"/>
          <w:bCs/>
          <w:sz w:val="22"/>
          <w:szCs w:val="22"/>
          <w:lang w:val="fr-FR"/>
        </w:rPr>
        <w:t>ait</w:t>
      </w:r>
      <w:r w:rsidRPr="0057677F">
        <w:rPr>
          <w:rFonts w:ascii="Arial" w:hAnsi="Arial" w:cs="Arial"/>
          <w:bCs/>
          <w:sz w:val="22"/>
          <w:szCs w:val="22"/>
          <w:lang w:val="fr-FR"/>
        </w:rPr>
        <w:t xml:space="preserve"> la proposition de la Colombie telle qu</w:t>
      </w:r>
      <w:r w:rsidR="008E532B">
        <w:rPr>
          <w:rFonts w:ascii="Arial" w:hAnsi="Arial" w:cs="Arial"/>
          <w:bCs/>
          <w:sz w:val="22"/>
          <w:szCs w:val="22"/>
          <w:lang w:val="fr-FR"/>
        </w:rPr>
        <w:t>’</w:t>
      </w:r>
      <w:r w:rsidRPr="0057677F">
        <w:rPr>
          <w:rFonts w:ascii="Arial" w:hAnsi="Arial" w:cs="Arial"/>
          <w:bCs/>
          <w:sz w:val="22"/>
          <w:szCs w:val="22"/>
          <w:lang w:val="fr-FR"/>
        </w:rPr>
        <w:t>amendée par la Palestine et appuyée par d</w:t>
      </w:r>
      <w:r w:rsidR="008E532B">
        <w:rPr>
          <w:rFonts w:ascii="Arial" w:hAnsi="Arial" w:cs="Arial"/>
          <w:bCs/>
          <w:sz w:val="22"/>
          <w:szCs w:val="22"/>
          <w:lang w:val="fr-FR"/>
        </w:rPr>
        <w:t>’</w:t>
      </w:r>
      <w:r w:rsidRPr="0057677F">
        <w:rPr>
          <w:rFonts w:ascii="Arial" w:hAnsi="Arial" w:cs="Arial"/>
          <w:bCs/>
          <w:sz w:val="22"/>
          <w:szCs w:val="22"/>
          <w:lang w:val="fr-FR"/>
        </w:rPr>
        <w:t xml:space="preserve">autres États.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agissant du</w:t>
      </w:r>
      <w:r w:rsidRPr="0057677F">
        <w:rPr>
          <w:rFonts w:ascii="Arial" w:hAnsi="Arial" w:cs="Arial"/>
          <w:bCs/>
          <w:sz w:val="22"/>
          <w:szCs w:val="22"/>
          <w:lang w:val="fr-FR"/>
        </w:rPr>
        <w:t xml:space="preserve"> quota, elle </w:t>
      </w:r>
      <w:r>
        <w:rPr>
          <w:rFonts w:ascii="Arial" w:hAnsi="Arial" w:cs="Arial"/>
          <w:bCs/>
          <w:sz w:val="22"/>
          <w:szCs w:val="22"/>
          <w:lang w:val="fr-FR"/>
        </w:rPr>
        <w:t>voyait</w:t>
      </w:r>
      <w:r w:rsidRPr="0057677F">
        <w:rPr>
          <w:rFonts w:ascii="Arial" w:hAnsi="Arial" w:cs="Arial"/>
          <w:bCs/>
          <w:sz w:val="22"/>
          <w:szCs w:val="22"/>
          <w:lang w:val="fr-FR"/>
        </w:rPr>
        <w:t xml:space="preserve"> le bien-fondé de tous les arguments exprimés. Comme la proposition demand</w:t>
      </w:r>
      <w:r>
        <w:rPr>
          <w:rFonts w:ascii="Arial" w:hAnsi="Arial" w:cs="Arial"/>
          <w:bCs/>
          <w:sz w:val="22"/>
          <w:szCs w:val="22"/>
          <w:lang w:val="fr-FR"/>
        </w:rPr>
        <w:t>ait</w:t>
      </w:r>
      <w:r w:rsidRPr="0057677F">
        <w:rPr>
          <w:rFonts w:ascii="Arial" w:hAnsi="Arial" w:cs="Arial"/>
          <w:bCs/>
          <w:sz w:val="22"/>
          <w:szCs w:val="22"/>
          <w:lang w:val="fr-FR"/>
        </w:rPr>
        <w:t xml:space="preserve"> une étude, et que la France avait suggéré un nombre minimum d</w:t>
      </w:r>
      <w:r w:rsidR="008E532B">
        <w:rPr>
          <w:rFonts w:ascii="Arial" w:hAnsi="Arial" w:cs="Arial"/>
          <w:bCs/>
          <w:sz w:val="22"/>
          <w:szCs w:val="22"/>
          <w:lang w:val="fr-FR"/>
        </w:rPr>
        <w:t>’</w:t>
      </w:r>
      <w:r w:rsidRPr="0057677F">
        <w:rPr>
          <w:rFonts w:ascii="Arial" w:hAnsi="Arial" w:cs="Arial"/>
          <w:bCs/>
          <w:sz w:val="22"/>
          <w:szCs w:val="22"/>
          <w:lang w:val="fr-FR"/>
        </w:rPr>
        <w:t>ONG, la délégation a suggéré d</w:t>
      </w:r>
      <w:r w:rsidR="008E532B">
        <w:rPr>
          <w:rFonts w:ascii="Arial" w:hAnsi="Arial" w:cs="Arial"/>
          <w:bCs/>
          <w:sz w:val="22"/>
          <w:szCs w:val="22"/>
          <w:lang w:val="fr-FR"/>
        </w:rPr>
        <w:t>’</w:t>
      </w:r>
      <w:r w:rsidRPr="0057677F">
        <w:rPr>
          <w:rFonts w:ascii="Arial" w:hAnsi="Arial" w:cs="Arial"/>
          <w:bCs/>
          <w:sz w:val="22"/>
          <w:szCs w:val="22"/>
          <w:lang w:val="fr-FR"/>
        </w:rPr>
        <w:t xml:space="preserve">ajouter </w:t>
      </w:r>
      <w:r>
        <w:rPr>
          <w:rFonts w:ascii="Arial" w:hAnsi="Arial" w:cs="Arial"/>
          <w:bCs/>
          <w:sz w:val="22"/>
          <w:szCs w:val="22"/>
          <w:lang w:val="fr-FR"/>
        </w:rPr>
        <w:t>« </w:t>
      </w:r>
      <w:r w:rsidRPr="0057677F">
        <w:rPr>
          <w:rFonts w:ascii="Arial" w:hAnsi="Arial" w:cs="Arial"/>
          <w:bCs/>
          <w:sz w:val="22"/>
          <w:szCs w:val="22"/>
          <w:lang w:val="fr-FR"/>
        </w:rPr>
        <w:t>et/ou un nombre minimum garanti</w:t>
      </w:r>
      <w:r>
        <w:rPr>
          <w:rFonts w:ascii="Arial" w:hAnsi="Arial" w:cs="Arial"/>
          <w:bCs/>
          <w:sz w:val="22"/>
          <w:szCs w:val="22"/>
          <w:lang w:val="fr-FR"/>
        </w:rPr>
        <w:t> »</w:t>
      </w:r>
      <w:r w:rsidRPr="0057677F">
        <w:rPr>
          <w:rFonts w:ascii="Arial" w:hAnsi="Arial" w:cs="Arial"/>
          <w:bCs/>
          <w:sz w:val="22"/>
          <w:szCs w:val="22"/>
          <w:lang w:val="fr-FR"/>
        </w:rPr>
        <w:t>, laissant à l</w:t>
      </w:r>
      <w:r w:rsidR="008E532B">
        <w:rPr>
          <w:rFonts w:ascii="Arial" w:hAnsi="Arial" w:cs="Arial"/>
          <w:bCs/>
          <w:sz w:val="22"/>
          <w:szCs w:val="22"/>
          <w:lang w:val="fr-FR"/>
        </w:rPr>
        <w:t>’</w:t>
      </w:r>
      <w:r w:rsidRPr="0057677F">
        <w:rPr>
          <w:rFonts w:ascii="Arial" w:hAnsi="Arial" w:cs="Arial"/>
          <w:bCs/>
          <w:sz w:val="22"/>
          <w:szCs w:val="22"/>
          <w:lang w:val="fr-FR"/>
        </w:rPr>
        <w:t>étude le soin de fournir des options, sur la base desquelles les États parties pourraient ensuite décider.</w:t>
      </w:r>
    </w:p>
    <w:p w14:paraId="31BA20F7" w14:textId="70297D86" w:rsidR="00D9653F" w:rsidRPr="0057677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7677F">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57677F">
        <w:rPr>
          <w:rFonts w:ascii="Arial" w:hAnsi="Arial" w:cs="Arial"/>
          <w:b/>
          <w:sz w:val="22"/>
          <w:szCs w:val="22"/>
          <w:lang w:val="fr-FR"/>
        </w:rPr>
        <w:t>Estonie</w:t>
      </w:r>
      <w:r w:rsidRPr="0057677F">
        <w:rPr>
          <w:rFonts w:ascii="Arial" w:hAnsi="Arial" w:cs="Arial"/>
          <w:bCs/>
          <w:sz w:val="22"/>
          <w:szCs w:val="22"/>
          <w:lang w:val="fr-FR"/>
        </w:rPr>
        <w:t xml:space="preserve"> approuv</w:t>
      </w:r>
      <w:r>
        <w:rPr>
          <w:rFonts w:ascii="Arial" w:hAnsi="Arial" w:cs="Arial"/>
          <w:bCs/>
          <w:sz w:val="22"/>
          <w:szCs w:val="22"/>
          <w:lang w:val="fr-FR"/>
        </w:rPr>
        <w:t>ait</w:t>
      </w:r>
      <w:r w:rsidRPr="0057677F">
        <w:rPr>
          <w:rFonts w:ascii="Arial" w:hAnsi="Arial" w:cs="Arial"/>
          <w:bCs/>
          <w:sz w:val="22"/>
          <w:szCs w:val="22"/>
          <w:lang w:val="fr-FR"/>
        </w:rPr>
        <w:t xml:space="preserve"> la proposition d</w:t>
      </w:r>
      <w:r w:rsidR="008E532B">
        <w:rPr>
          <w:rFonts w:ascii="Arial" w:hAnsi="Arial" w:cs="Arial"/>
          <w:bCs/>
          <w:sz w:val="22"/>
          <w:szCs w:val="22"/>
          <w:lang w:val="fr-FR"/>
        </w:rPr>
        <w:t>’</w:t>
      </w:r>
      <w:r w:rsidRPr="0057677F">
        <w:rPr>
          <w:rFonts w:ascii="Arial" w:hAnsi="Arial" w:cs="Arial"/>
          <w:bCs/>
          <w:sz w:val="22"/>
          <w:szCs w:val="22"/>
          <w:lang w:val="fr-FR"/>
        </w:rPr>
        <w:t>un plan ou d</w:t>
      </w:r>
      <w:r w:rsidR="008E532B">
        <w:rPr>
          <w:rFonts w:ascii="Arial" w:hAnsi="Arial" w:cs="Arial"/>
          <w:bCs/>
          <w:sz w:val="22"/>
          <w:szCs w:val="22"/>
          <w:lang w:val="fr-FR"/>
        </w:rPr>
        <w:t>’</w:t>
      </w:r>
      <w:r w:rsidRPr="0057677F">
        <w:rPr>
          <w:rFonts w:ascii="Arial" w:hAnsi="Arial" w:cs="Arial"/>
          <w:bCs/>
          <w:sz w:val="22"/>
          <w:szCs w:val="22"/>
          <w:lang w:val="fr-FR"/>
        </w:rPr>
        <w:t>une stratégie pour</w:t>
      </w:r>
      <w:r>
        <w:rPr>
          <w:rFonts w:ascii="Arial" w:hAnsi="Arial" w:cs="Arial"/>
          <w:bCs/>
          <w:sz w:val="22"/>
          <w:szCs w:val="22"/>
          <w:lang w:val="fr-FR"/>
        </w:rPr>
        <w:t xml:space="preserve"> parvenir à</w:t>
      </w:r>
      <w:r w:rsidRPr="0057677F">
        <w:rPr>
          <w:rFonts w:ascii="Arial" w:hAnsi="Arial" w:cs="Arial"/>
          <w:bCs/>
          <w:sz w:val="22"/>
          <w:szCs w:val="22"/>
          <w:lang w:val="fr-FR"/>
        </w:rPr>
        <w:t xml:space="preserve"> une représentation géographique plus inclusive, </w:t>
      </w:r>
      <w:r>
        <w:rPr>
          <w:rFonts w:ascii="Arial" w:hAnsi="Arial" w:cs="Arial"/>
          <w:bCs/>
          <w:sz w:val="22"/>
          <w:szCs w:val="22"/>
          <w:lang w:val="fr-FR"/>
        </w:rPr>
        <w:t xml:space="preserve">qui était </w:t>
      </w:r>
      <w:r w:rsidRPr="0057677F">
        <w:rPr>
          <w:rFonts w:ascii="Arial" w:hAnsi="Arial" w:cs="Arial"/>
          <w:bCs/>
          <w:sz w:val="22"/>
          <w:szCs w:val="22"/>
          <w:lang w:val="fr-FR"/>
        </w:rPr>
        <w:t>une question très importante. Toutefois, l</w:t>
      </w:r>
      <w:r w:rsidR="008E532B">
        <w:rPr>
          <w:rFonts w:ascii="Arial" w:hAnsi="Arial" w:cs="Arial"/>
          <w:bCs/>
          <w:sz w:val="22"/>
          <w:szCs w:val="22"/>
          <w:lang w:val="fr-FR"/>
        </w:rPr>
        <w:t>’</w:t>
      </w:r>
      <w:r w:rsidRPr="0057677F">
        <w:rPr>
          <w:rFonts w:ascii="Arial" w:hAnsi="Arial" w:cs="Arial"/>
          <w:bCs/>
          <w:sz w:val="22"/>
          <w:szCs w:val="22"/>
          <w:lang w:val="fr-FR"/>
        </w:rPr>
        <w:t>idée d</w:t>
      </w:r>
      <w:r w:rsidR="008E532B">
        <w:rPr>
          <w:rFonts w:ascii="Arial" w:hAnsi="Arial" w:cs="Arial"/>
          <w:bCs/>
          <w:sz w:val="22"/>
          <w:szCs w:val="22"/>
          <w:lang w:val="fr-FR"/>
        </w:rPr>
        <w:t>’</w:t>
      </w:r>
      <w:r w:rsidRPr="0057677F">
        <w:rPr>
          <w:rFonts w:ascii="Arial" w:hAnsi="Arial" w:cs="Arial"/>
          <w:bCs/>
          <w:sz w:val="22"/>
          <w:szCs w:val="22"/>
          <w:lang w:val="fr-FR"/>
        </w:rPr>
        <w:t>un quota serait problématique du point de vue de l</w:t>
      </w:r>
      <w:r w:rsidR="008E532B">
        <w:rPr>
          <w:rFonts w:ascii="Arial" w:hAnsi="Arial" w:cs="Arial"/>
          <w:bCs/>
          <w:sz w:val="22"/>
          <w:szCs w:val="22"/>
          <w:lang w:val="fr-FR"/>
        </w:rPr>
        <w:t>’</w:t>
      </w:r>
      <w:r w:rsidRPr="0057677F">
        <w:rPr>
          <w:rFonts w:ascii="Arial" w:hAnsi="Arial" w:cs="Arial"/>
          <w:bCs/>
          <w:sz w:val="22"/>
          <w:szCs w:val="22"/>
          <w:lang w:val="fr-FR"/>
        </w:rPr>
        <w:t>inclusivité et dans la mise en œuvre de la Convention. L</w:t>
      </w:r>
      <w:r w:rsidR="008E532B">
        <w:rPr>
          <w:rFonts w:ascii="Arial" w:hAnsi="Arial" w:cs="Arial"/>
          <w:bCs/>
          <w:sz w:val="22"/>
          <w:szCs w:val="22"/>
          <w:lang w:val="fr-FR"/>
        </w:rPr>
        <w:t>’</w:t>
      </w:r>
      <w:r w:rsidRPr="0057677F">
        <w:rPr>
          <w:rFonts w:ascii="Arial" w:hAnsi="Arial" w:cs="Arial"/>
          <w:bCs/>
          <w:sz w:val="22"/>
          <w:szCs w:val="22"/>
          <w:lang w:val="fr-FR"/>
        </w:rPr>
        <w:t>Estonie n</w:t>
      </w:r>
      <w:r>
        <w:rPr>
          <w:rFonts w:ascii="Arial" w:hAnsi="Arial" w:cs="Arial"/>
          <w:bCs/>
          <w:sz w:val="22"/>
          <w:szCs w:val="22"/>
          <w:lang w:val="fr-FR"/>
        </w:rPr>
        <w:t xml:space="preserve">e soutenait </w:t>
      </w:r>
      <w:r w:rsidRPr="0057677F">
        <w:rPr>
          <w:rFonts w:ascii="Arial" w:hAnsi="Arial" w:cs="Arial"/>
          <w:bCs/>
          <w:sz w:val="22"/>
          <w:szCs w:val="22"/>
          <w:lang w:val="fr-FR"/>
        </w:rPr>
        <w:t>donc pas cette partie du paragraphe.</w:t>
      </w:r>
      <w:r>
        <w:rPr>
          <w:rFonts w:ascii="Arial" w:hAnsi="Arial" w:cs="Arial"/>
          <w:bCs/>
          <w:sz w:val="22"/>
          <w:szCs w:val="22"/>
          <w:lang w:val="fr-FR"/>
        </w:rPr>
        <w:t xml:space="preserve"> En guise de</w:t>
      </w:r>
      <w:r w:rsidRPr="0057677F">
        <w:rPr>
          <w:rFonts w:ascii="Arial" w:hAnsi="Arial" w:cs="Arial"/>
          <w:bCs/>
          <w:sz w:val="22"/>
          <w:szCs w:val="22"/>
          <w:lang w:val="fr-FR"/>
        </w:rPr>
        <w:t xml:space="preserve"> solution, la délégation </w:t>
      </w:r>
      <w:r>
        <w:rPr>
          <w:rFonts w:ascii="Arial" w:hAnsi="Arial" w:cs="Arial"/>
          <w:bCs/>
          <w:sz w:val="22"/>
          <w:szCs w:val="22"/>
          <w:lang w:val="fr-FR"/>
        </w:rPr>
        <w:t xml:space="preserve">a </w:t>
      </w:r>
      <w:r w:rsidRPr="0057677F">
        <w:rPr>
          <w:rFonts w:ascii="Arial" w:hAnsi="Arial" w:cs="Arial"/>
          <w:bCs/>
          <w:sz w:val="22"/>
          <w:szCs w:val="22"/>
          <w:lang w:val="fr-FR"/>
        </w:rPr>
        <w:t>suggér</w:t>
      </w:r>
      <w:r>
        <w:rPr>
          <w:rFonts w:ascii="Arial" w:hAnsi="Arial" w:cs="Arial"/>
          <w:bCs/>
          <w:sz w:val="22"/>
          <w:szCs w:val="22"/>
          <w:lang w:val="fr-FR"/>
        </w:rPr>
        <w:t>é</w:t>
      </w:r>
      <w:r w:rsidRPr="0057677F">
        <w:rPr>
          <w:rFonts w:ascii="Arial" w:hAnsi="Arial" w:cs="Arial"/>
          <w:bCs/>
          <w:sz w:val="22"/>
          <w:szCs w:val="22"/>
          <w:lang w:val="fr-FR"/>
        </w:rPr>
        <w:t xml:space="preserve"> la création d</w:t>
      </w:r>
      <w:r w:rsidR="008E532B">
        <w:rPr>
          <w:rFonts w:ascii="Arial" w:hAnsi="Arial" w:cs="Arial"/>
          <w:bCs/>
          <w:sz w:val="22"/>
          <w:szCs w:val="22"/>
          <w:lang w:val="fr-FR"/>
        </w:rPr>
        <w:t>’</w:t>
      </w:r>
      <w:r w:rsidRPr="0057677F">
        <w:rPr>
          <w:rFonts w:ascii="Arial" w:hAnsi="Arial" w:cs="Arial"/>
          <w:bCs/>
          <w:sz w:val="22"/>
          <w:szCs w:val="22"/>
          <w:lang w:val="fr-FR"/>
        </w:rPr>
        <w:t>un groupe de travail sur le renforcement de la représentation géographique.</w:t>
      </w:r>
    </w:p>
    <w:p w14:paraId="4C8F7B9F" w14:textId="1C9E688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57677F">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57677F">
        <w:rPr>
          <w:rFonts w:ascii="Arial" w:hAnsi="Arial" w:cs="Arial"/>
          <w:b/>
          <w:sz w:val="22"/>
          <w:szCs w:val="22"/>
          <w:lang w:val="fr-FR"/>
        </w:rPr>
        <w:t>Autriche</w:t>
      </w:r>
      <w:r>
        <w:rPr>
          <w:rFonts w:ascii="Arial" w:hAnsi="Arial" w:cs="Arial"/>
          <w:bCs/>
          <w:sz w:val="22"/>
          <w:szCs w:val="22"/>
          <w:lang w:val="fr-FR"/>
        </w:rPr>
        <w:t xml:space="preserve">, qui soutenait la </w:t>
      </w:r>
      <w:r w:rsidRPr="0057677F">
        <w:rPr>
          <w:rFonts w:ascii="Arial" w:hAnsi="Arial" w:cs="Arial"/>
          <w:bCs/>
          <w:sz w:val="22"/>
          <w:szCs w:val="22"/>
          <w:lang w:val="fr-FR"/>
        </w:rPr>
        <w:t>proposition</w:t>
      </w:r>
      <w:r>
        <w:rPr>
          <w:rFonts w:ascii="Arial" w:hAnsi="Arial" w:cs="Arial"/>
          <w:bCs/>
          <w:sz w:val="22"/>
          <w:szCs w:val="22"/>
          <w:lang w:val="fr-FR"/>
        </w:rPr>
        <w:t xml:space="preserve"> de la Colombie, a suggéré qu</w:t>
      </w:r>
      <w:r w:rsidR="008E532B">
        <w:rPr>
          <w:rFonts w:ascii="Arial" w:hAnsi="Arial" w:cs="Arial"/>
          <w:bCs/>
          <w:sz w:val="22"/>
          <w:szCs w:val="22"/>
          <w:lang w:val="fr-FR"/>
        </w:rPr>
        <w:t>’</w:t>
      </w:r>
      <w:r>
        <w:rPr>
          <w:rFonts w:ascii="Arial" w:hAnsi="Arial" w:cs="Arial"/>
          <w:bCs/>
          <w:sz w:val="22"/>
          <w:szCs w:val="22"/>
          <w:lang w:val="fr-FR"/>
        </w:rPr>
        <w:t>au lieu d</w:t>
      </w:r>
      <w:r w:rsidR="008E532B">
        <w:rPr>
          <w:rFonts w:ascii="Arial" w:hAnsi="Arial" w:cs="Arial"/>
          <w:bCs/>
          <w:sz w:val="22"/>
          <w:szCs w:val="22"/>
          <w:lang w:val="fr-FR"/>
        </w:rPr>
        <w:t>’</w:t>
      </w:r>
      <w:r>
        <w:rPr>
          <w:rFonts w:ascii="Arial" w:hAnsi="Arial" w:cs="Arial"/>
          <w:bCs/>
          <w:sz w:val="22"/>
          <w:szCs w:val="22"/>
          <w:lang w:val="fr-FR"/>
        </w:rPr>
        <w:t>un quota, l</w:t>
      </w:r>
      <w:r w:rsidR="008E532B">
        <w:rPr>
          <w:rFonts w:ascii="Arial" w:hAnsi="Arial" w:cs="Arial"/>
          <w:bCs/>
          <w:sz w:val="22"/>
          <w:szCs w:val="22"/>
          <w:lang w:val="fr-FR"/>
        </w:rPr>
        <w:t>’</w:t>
      </w:r>
      <w:r>
        <w:rPr>
          <w:rFonts w:ascii="Arial" w:hAnsi="Arial" w:cs="Arial"/>
          <w:bCs/>
          <w:sz w:val="22"/>
          <w:szCs w:val="22"/>
          <w:lang w:val="fr-FR"/>
        </w:rPr>
        <w:t>Assemblée puisse envisager un plan d</w:t>
      </w:r>
      <w:r w:rsidR="008E532B">
        <w:rPr>
          <w:rFonts w:ascii="Arial" w:hAnsi="Arial" w:cs="Arial"/>
          <w:bCs/>
          <w:sz w:val="22"/>
          <w:szCs w:val="22"/>
          <w:lang w:val="fr-FR"/>
        </w:rPr>
        <w:t>’</w:t>
      </w:r>
      <w:r>
        <w:rPr>
          <w:rFonts w:ascii="Arial" w:hAnsi="Arial" w:cs="Arial"/>
          <w:bCs/>
          <w:sz w:val="22"/>
          <w:szCs w:val="22"/>
          <w:lang w:val="fr-FR"/>
        </w:rPr>
        <w:t xml:space="preserve">action pour les groupes électoraux afin de parvenir à un équilibre concret. Un groupe de travail pourrait </w:t>
      </w:r>
      <w:r w:rsidRPr="0057677F">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être une possibilité.</w:t>
      </w:r>
    </w:p>
    <w:p w14:paraId="37865F13" w14:textId="3A39C99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C374B">
        <w:rPr>
          <w:rFonts w:ascii="Arial" w:hAnsi="Arial" w:cs="Arial"/>
          <w:bCs/>
          <w:sz w:val="22"/>
          <w:szCs w:val="22"/>
          <w:lang w:val="fr-FR"/>
        </w:rPr>
        <w:t xml:space="preserve">La délégation de </w:t>
      </w:r>
      <w:r w:rsidRPr="004C374B">
        <w:rPr>
          <w:rFonts w:ascii="Arial" w:hAnsi="Arial" w:cs="Arial"/>
          <w:b/>
          <w:sz w:val="22"/>
          <w:szCs w:val="22"/>
          <w:lang w:val="fr-FR"/>
        </w:rPr>
        <w:t>Madagascar</w:t>
      </w:r>
      <w:r w:rsidRPr="004C374B">
        <w:rPr>
          <w:rFonts w:ascii="Arial" w:hAnsi="Arial" w:cs="Arial"/>
          <w:bCs/>
          <w:sz w:val="22"/>
          <w:szCs w:val="22"/>
          <w:lang w:val="fr-FR"/>
        </w:rPr>
        <w:t xml:space="preserve"> a félicité la Présidente pour son élection, réitérant la proposition initialement faite par la Palestine [sur l</w:t>
      </w:r>
      <w:r w:rsidR="008E532B">
        <w:rPr>
          <w:rFonts w:ascii="Arial" w:hAnsi="Arial" w:cs="Arial"/>
          <w:bCs/>
          <w:sz w:val="22"/>
          <w:szCs w:val="22"/>
          <w:lang w:val="fr-FR"/>
        </w:rPr>
        <w:t>’</w:t>
      </w:r>
      <w:r w:rsidRPr="004C374B">
        <w:rPr>
          <w:rFonts w:ascii="Arial" w:hAnsi="Arial" w:cs="Arial"/>
          <w:bCs/>
          <w:sz w:val="22"/>
          <w:szCs w:val="22"/>
          <w:lang w:val="fr-FR"/>
        </w:rPr>
        <w:t>éligibilité des ONG d</w:t>
      </w:r>
      <w:r w:rsidR="008E532B">
        <w:rPr>
          <w:rFonts w:ascii="Arial" w:hAnsi="Arial" w:cs="Arial"/>
          <w:bCs/>
          <w:sz w:val="22"/>
          <w:szCs w:val="22"/>
          <w:lang w:val="fr-FR"/>
        </w:rPr>
        <w:t>’</w:t>
      </w:r>
      <w:r w:rsidRPr="004C374B">
        <w:rPr>
          <w:rFonts w:ascii="Arial" w:hAnsi="Arial" w:cs="Arial"/>
          <w:bCs/>
          <w:sz w:val="22"/>
          <w:szCs w:val="22"/>
          <w:lang w:val="fr-FR"/>
        </w:rPr>
        <w:t>États non parties], qui a</w:t>
      </w:r>
      <w:r>
        <w:rPr>
          <w:rFonts w:ascii="Arial" w:hAnsi="Arial" w:cs="Arial"/>
          <w:bCs/>
          <w:sz w:val="22"/>
          <w:szCs w:val="22"/>
          <w:lang w:val="fr-FR"/>
        </w:rPr>
        <w:t>vait</w:t>
      </w:r>
      <w:r w:rsidRPr="004C374B">
        <w:rPr>
          <w:rFonts w:ascii="Arial" w:hAnsi="Arial" w:cs="Arial"/>
          <w:bCs/>
          <w:sz w:val="22"/>
          <w:szCs w:val="22"/>
          <w:lang w:val="fr-FR"/>
        </w:rPr>
        <w:t xml:space="preserve"> été </w:t>
      </w:r>
      <w:r>
        <w:rPr>
          <w:rFonts w:ascii="Arial" w:hAnsi="Arial" w:cs="Arial"/>
          <w:bCs/>
          <w:sz w:val="22"/>
          <w:szCs w:val="22"/>
          <w:lang w:val="fr-FR"/>
        </w:rPr>
        <w:t xml:space="preserve">précédemment </w:t>
      </w:r>
      <w:r w:rsidRPr="004C374B">
        <w:rPr>
          <w:rFonts w:ascii="Arial" w:hAnsi="Arial" w:cs="Arial"/>
          <w:bCs/>
          <w:sz w:val="22"/>
          <w:szCs w:val="22"/>
          <w:lang w:val="fr-FR"/>
        </w:rPr>
        <w:t xml:space="preserve">examinée et adoptée au </w:t>
      </w:r>
      <w:r>
        <w:rPr>
          <w:rFonts w:ascii="Arial" w:hAnsi="Arial" w:cs="Arial"/>
          <w:bCs/>
          <w:sz w:val="22"/>
          <w:szCs w:val="22"/>
          <w:lang w:val="fr-FR"/>
        </w:rPr>
        <w:t xml:space="preserve">titre du </w:t>
      </w:r>
      <w:r w:rsidRPr="004C374B">
        <w:rPr>
          <w:rFonts w:ascii="Arial" w:hAnsi="Arial" w:cs="Arial"/>
          <w:bCs/>
          <w:sz w:val="22"/>
          <w:szCs w:val="22"/>
          <w:lang w:val="fr-FR"/>
        </w:rPr>
        <w:t>paragraphe 6. Madagascar souten</w:t>
      </w:r>
      <w:r>
        <w:rPr>
          <w:rFonts w:ascii="Arial" w:hAnsi="Arial" w:cs="Arial"/>
          <w:bCs/>
          <w:sz w:val="22"/>
          <w:szCs w:val="22"/>
          <w:lang w:val="fr-FR"/>
        </w:rPr>
        <w:t>ait</w:t>
      </w:r>
      <w:r w:rsidRPr="004C374B">
        <w:rPr>
          <w:rFonts w:ascii="Arial" w:hAnsi="Arial" w:cs="Arial"/>
          <w:bCs/>
          <w:sz w:val="22"/>
          <w:szCs w:val="22"/>
          <w:lang w:val="fr-FR"/>
        </w:rPr>
        <w:t xml:space="preserve"> la proposition de la Colombie.</w:t>
      </w:r>
    </w:p>
    <w:p w14:paraId="38FA2D5A" w14:textId="55F7BCC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C374B">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4C374B">
        <w:rPr>
          <w:rFonts w:ascii="Arial" w:hAnsi="Arial" w:cs="Arial"/>
          <w:b/>
          <w:sz w:val="22"/>
          <w:szCs w:val="22"/>
          <w:lang w:val="fr-FR"/>
        </w:rPr>
        <w:t>Égypte</w:t>
      </w:r>
      <w:r>
        <w:rPr>
          <w:rFonts w:ascii="Arial" w:hAnsi="Arial" w:cs="Arial"/>
          <w:bCs/>
          <w:sz w:val="22"/>
          <w:szCs w:val="22"/>
          <w:lang w:val="fr-FR"/>
        </w:rPr>
        <w:t xml:space="preserve"> souhaitait ajouter son soutien à la </w:t>
      </w:r>
      <w:r w:rsidRPr="004C374B">
        <w:rPr>
          <w:rFonts w:ascii="Arial" w:hAnsi="Arial" w:cs="Arial"/>
          <w:bCs/>
          <w:sz w:val="22"/>
          <w:szCs w:val="22"/>
          <w:lang w:val="fr-FR"/>
        </w:rPr>
        <w:t>proposition</w:t>
      </w:r>
      <w:r>
        <w:rPr>
          <w:rFonts w:ascii="Arial" w:hAnsi="Arial" w:cs="Arial"/>
          <w:bCs/>
          <w:sz w:val="22"/>
          <w:szCs w:val="22"/>
          <w:lang w:val="fr-FR"/>
        </w:rPr>
        <w:t xml:space="preserve"> de la Colombie.</w:t>
      </w:r>
    </w:p>
    <w:p w14:paraId="70AA9A2D" w14:textId="49F0E2E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P</w:t>
      </w:r>
      <w:r w:rsidRPr="005543FE">
        <w:rPr>
          <w:rFonts w:ascii="Arial" w:hAnsi="Arial" w:cs="Arial"/>
          <w:bCs/>
          <w:sz w:val="22"/>
          <w:szCs w:val="22"/>
          <w:lang w:val="fr-FR"/>
        </w:rPr>
        <w:t xml:space="preserve">our gagner du temps, la délégation du </w:t>
      </w:r>
      <w:r w:rsidRPr="005543FE">
        <w:rPr>
          <w:rFonts w:ascii="Arial" w:hAnsi="Arial" w:cs="Arial"/>
          <w:b/>
          <w:sz w:val="22"/>
          <w:szCs w:val="22"/>
          <w:lang w:val="fr-FR"/>
        </w:rPr>
        <w:t>Maroc</w:t>
      </w:r>
      <w:r w:rsidRPr="005543FE">
        <w:rPr>
          <w:rFonts w:ascii="Arial" w:hAnsi="Arial" w:cs="Arial"/>
          <w:bCs/>
          <w:sz w:val="22"/>
          <w:szCs w:val="22"/>
          <w:lang w:val="fr-FR"/>
        </w:rPr>
        <w:t xml:space="preserve"> a suggéré de conserver le paragraphe 7 [amendement de la Colombie] avec un petit changement dans la demande faite au Secrétariat. Il s</w:t>
      </w:r>
      <w:r w:rsidR="008E532B">
        <w:rPr>
          <w:rFonts w:ascii="Arial" w:hAnsi="Arial" w:cs="Arial"/>
          <w:bCs/>
          <w:sz w:val="22"/>
          <w:szCs w:val="22"/>
          <w:lang w:val="fr-FR"/>
        </w:rPr>
        <w:t>’</w:t>
      </w:r>
      <w:r w:rsidRPr="005543FE">
        <w:rPr>
          <w:rFonts w:ascii="Arial" w:hAnsi="Arial" w:cs="Arial"/>
          <w:bCs/>
          <w:sz w:val="22"/>
          <w:szCs w:val="22"/>
          <w:lang w:val="fr-FR"/>
        </w:rPr>
        <w:t>agirait d</w:t>
      </w:r>
      <w:r w:rsidR="008E532B">
        <w:rPr>
          <w:rFonts w:ascii="Arial" w:hAnsi="Arial" w:cs="Arial"/>
          <w:bCs/>
          <w:sz w:val="22"/>
          <w:szCs w:val="22"/>
          <w:lang w:val="fr-FR"/>
        </w:rPr>
        <w:t>’</w:t>
      </w:r>
      <w:r w:rsidRPr="005543FE">
        <w:rPr>
          <w:rFonts w:ascii="Arial" w:hAnsi="Arial" w:cs="Arial"/>
          <w:bCs/>
          <w:sz w:val="22"/>
          <w:szCs w:val="22"/>
          <w:lang w:val="fr-FR"/>
        </w:rPr>
        <w:t>abord d</w:t>
      </w:r>
      <w:r w:rsidR="008E532B">
        <w:rPr>
          <w:rFonts w:ascii="Arial" w:hAnsi="Arial" w:cs="Arial"/>
          <w:bCs/>
          <w:sz w:val="22"/>
          <w:szCs w:val="22"/>
          <w:lang w:val="fr-FR"/>
        </w:rPr>
        <w:t>’</w:t>
      </w:r>
      <w:r w:rsidRPr="005543FE">
        <w:rPr>
          <w:rFonts w:ascii="Arial" w:hAnsi="Arial" w:cs="Arial"/>
          <w:bCs/>
          <w:sz w:val="22"/>
          <w:szCs w:val="22"/>
          <w:lang w:val="fr-FR"/>
        </w:rPr>
        <w:t>un plan puis d</w:t>
      </w:r>
      <w:r w:rsidR="008E532B">
        <w:rPr>
          <w:rFonts w:ascii="Arial" w:hAnsi="Arial" w:cs="Arial"/>
          <w:bCs/>
          <w:sz w:val="22"/>
          <w:szCs w:val="22"/>
          <w:lang w:val="fr-FR"/>
        </w:rPr>
        <w:t>’</w:t>
      </w:r>
      <w:r w:rsidRPr="005543FE">
        <w:rPr>
          <w:rFonts w:ascii="Arial" w:hAnsi="Arial" w:cs="Arial"/>
          <w:bCs/>
          <w:sz w:val="22"/>
          <w:szCs w:val="22"/>
          <w:lang w:val="fr-FR"/>
        </w:rPr>
        <w:t>une stratégie, suivis de mécanismes clairs pour garantir la représentation géographique. De cette façon, l</w:t>
      </w:r>
      <w:r w:rsidR="008E532B">
        <w:rPr>
          <w:rFonts w:ascii="Arial" w:hAnsi="Arial" w:cs="Arial"/>
          <w:bCs/>
          <w:sz w:val="22"/>
          <w:szCs w:val="22"/>
          <w:lang w:val="fr-FR"/>
        </w:rPr>
        <w:t>’</w:t>
      </w:r>
      <w:r w:rsidRPr="005543FE">
        <w:rPr>
          <w:rFonts w:ascii="Arial" w:hAnsi="Arial" w:cs="Arial"/>
          <w:bCs/>
          <w:sz w:val="22"/>
          <w:szCs w:val="22"/>
          <w:lang w:val="fr-FR"/>
        </w:rPr>
        <w:t>amendement sur le quota, qui a divisé l</w:t>
      </w:r>
      <w:r w:rsidR="008E532B">
        <w:rPr>
          <w:rFonts w:ascii="Arial" w:hAnsi="Arial" w:cs="Arial"/>
          <w:bCs/>
          <w:sz w:val="22"/>
          <w:szCs w:val="22"/>
          <w:lang w:val="fr-FR"/>
        </w:rPr>
        <w:t>’</w:t>
      </w:r>
      <w:r w:rsidRPr="005543FE">
        <w:rPr>
          <w:rFonts w:ascii="Arial" w:hAnsi="Arial" w:cs="Arial"/>
          <w:bCs/>
          <w:sz w:val="22"/>
          <w:szCs w:val="22"/>
          <w:lang w:val="fr-FR"/>
        </w:rPr>
        <w:t>Assemblée, pourrait être supprimé. En effet, l</w:t>
      </w:r>
      <w:r w:rsidR="008E532B">
        <w:rPr>
          <w:rFonts w:ascii="Arial" w:hAnsi="Arial" w:cs="Arial"/>
          <w:bCs/>
          <w:sz w:val="22"/>
          <w:szCs w:val="22"/>
          <w:lang w:val="fr-FR"/>
        </w:rPr>
        <w:t>’</w:t>
      </w:r>
      <w:r w:rsidRPr="005543FE">
        <w:rPr>
          <w:rFonts w:ascii="Arial" w:hAnsi="Arial" w:cs="Arial"/>
          <w:bCs/>
          <w:sz w:val="22"/>
          <w:szCs w:val="22"/>
          <w:lang w:val="fr-FR"/>
        </w:rPr>
        <w:t xml:space="preserve">ajout de </w:t>
      </w:r>
      <w:r>
        <w:rPr>
          <w:rFonts w:ascii="Arial" w:hAnsi="Arial" w:cs="Arial"/>
          <w:bCs/>
          <w:sz w:val="22"/>
          <w:szCs w:val="22"/>
          <w:lang w:val="fr-FR"/>
        </w:rPr>
        <w:t>« </w:t>
      </w:r>
      <w:r w:rsidRPr="005543FE">
        <w:rPr>
          <w:rFonts w:ascii="Arial" w:hAnsi="Arial" w:cs="Arial"/>
          <w:bCs/>
          <w:sz w:val="22"/>
          <w:szCs w:val="22"/>
          <w:lang w:val="fr-FR"/>
        </w:rPr>
        <w:t>mécanismes</w:t>
      </w:r>
      <w:r>
        <w:rPr>
          <w:rFonts w:ascii="Arial" w:hAnsi="Arial" w:cs="Arial"/>
          <w:bCs/>
          <w:sz w:val="22"/>
          <w:szCs w:val="22"/>
          <w:lang w:val="fr-FR"/>
        </w:rPr>
        <w:t> »</w:t>
      </w:r>
      <w:r w:rsidRPr="005543FE">
        <w:rPr>
          <w:rFonts w:ascii="Arial" w:hAnsi="Arial" w:cs="Arial"/>
          <w:bCs/>
          <w:sz w:val="22"/>
          <w:szCs w:val="22"/>
          <w:lang w:val="fr-FR"/>
        </w:rPr>
        <w:t xml:space="preserve"> pourrait inclure l</w:t>
      </w:r>
      <w:r w:rsidR="008E532B">
        <w:rPr>
          <w:rFonts w:ascii="Arial" w:hAnsi="Arial" w:cs="Arial"/>
          <w:bCs/>
          <w:sz w:val="22"/>
          <w:szCs w:val="22"/>
          <w:lang w:val="fr-FR"/>
        </w:rPr>
        <w:t>’</w:t>
      </w:r>
      <w:r w:rsidRPr="005543FE">
        <w:rPr>
          <w:rFonts w:ascii="Arial" w:hAnsi="Arial" w:cs="Arial"/>
          <w:bCs/>
          <w:sz w:val="22"/>
          <w:szCs w:val="22"/>
          <w:lang w:val="fr-FR"/>
        </w:rPr>
        <w:t>application de quotas, ce qui serait également conforme aux remarques faites par le Sous-Directeur général de ne pas préjuger des résultats de la stratégie et du plan qui ser</w:t>
      </w:r>
      <w:r>
        <w:rPr>
          <w:rFonts w:ascii="Arial" w:hAnsi="Arial" w:cs="Arial"/>
          <w:bCs/>
          <w:sz w:val="22"/>
          <w:szCs w:val="22"/>
          <w:lang w:val="fr-FR"/>
        </w:rPr>
        <w:t>aie</w:t>
      </w:r>
      <w:r w:rsidRPr="005543FE">
        <w:rPr>
          <w:rFonts w:ascii="Arial" w:hAnsi="Arial" w:cs="Arial"/>
          <w:bCs/>
          <w:sz w:val="22"/>
          <w:szCs w:val="22"/>
          <w:lang w:val="fr-FR"/>
        </w:rPr>
        <w:t>nt proposés par le Secrétariat. Le paragraphe 7 se</w:t>
      </w:r>
      <w:r>
        <w:rPr>
          <w:rFonts w:ascii="Arial" w:hAnsi="Arial" w:cs="Arial"/>
          <w:bCs/>
          <w:sz w:val="22"/>
          <w:szCs w:val="22"/>
          <w:lang w:val="fr-FR"/>
        </w:rPr>
        <w:t>rait donc ainsi rédigé </w:t>
      </w:r>
      <w:r w:rsidRPr="005543FE">
        <w:rPr>
          <w:rFonts w:ascii="Arial" w:hAnsi="Arial" w:cs="Arial"/>
          <w:bCs/>
          <w:sz w:val="22"/>
          <w:szCs w:val="22"/>
          <w:lang w:val="fr-FR"/>
        </w:rPr>
        <w:t xml:space="preserve">: </w:t>
      </w:r>
      <w:r>
        <w:rPr>
          <w:rFonts w:ascii="Arial" w:hAnsi="Arial" w:cs="Arial"/>
          <w:bCs/>
          <w:sz w:val="22"/>
          <w:szCs w:val="22"/>
          <w:lang w:val="fr-FR"/>
        </w:rPr>
        <w:t>« D</w:t>
      </w:r>
      <w:r w:rsidRPr="005543FE">
        <w:rPr>
          <w:rFonts w:ascii="Arial" w:hAnsi="Arial" w:cs="Arial"/>
          <w:bCs/>
          <w:sz w:val="22"/>
          <w:szCs w:val="22"/>
          <w:lang w:val="fr-FR"/>
        </w:rPr>
        <w:t xml:space="preserve">emande au Secrétariat, en consultation avec les </w:t>
      </w:r>
      <w:r>
        <w:rPr>
          <w:rFonts w:ascii="Arial" w:hAnsi="Arial" w:cs="Arial"/>
          <w:bCs/>
          <w:sz w:val="22"/>
          <w:szCs w:val="22"/>
          <w:lang w:val="fr-FR"/>
        </w:rPr>
        <w:t>É</w:t>
      </w:r>
      <w:r w:rsidRPr="005543FE">
        <w:rPr>
          <w:rFonts w:ascii="Arial" w:hAnsi="Arial" w:cs="Arial"/>
          <w:bCs/>
          <w:sz w:val="22"/>
          <w:szCs w:val="22"/>
          <w:lang w:val="fr-FR"/>
        </w:rPr>
        <w:t xml:space="preserve">tats parties, les </w:t>
      </w:r>
      <w:r>
        <w:rPr>
          <w:rFonts w:ascii="Arial" w:hAnsi="Arial" w:cs="Arial"/>
          <w:bCs/>
          <w:sz w:val="22"/>
          <w:szCs w:val="22"/>
          <w:lang w:val="fr-FR"/>
        </w:rPr>
        <w:t>C</w:t>
      </w:r>
      <w:r w:rsidRPr="005543FE">
        <w:rPr>
          <w:rFonts w:ascii="Arial" w:hAnsi="Arial" w:cs="Arial"/>
          <w:bCs/>
          <w:sz w:val="22"/>
          <w:szCs w:val="22"/>
          <w:lang w:val="fr-FR"/>
        </w:rPr>
        <w:t xml:space="preserve">ommissions nationales et le Forum des ONG du PCI, de soumettre à la prochaine session un plan, une stratégie et des mécanismes clairs visant à </w:t>
      </w:r>
      <w:r>
        <w:rPr>
          <w:rFonts w:ascii="Arial" w:hAnsi="Arial" w:cs="Arial"/>
          <w:bCs/>
          <w:sz w:val="22"/>
          <w:szCs w:val="22"/>
          <w:lang w:val="fr-FR"/>
        </w:rPr>
        <w:t>garantir la</w:t>
      </w:r>
      <w:r w:rsidRPr="005543FE">
        <w:rPr>
          <w:rFonts w:ascii="Arial" w:hAnsi="Arial" w:cs="Arial"/>
          <w:bCs/>
          <w:sz w:val="22"/>
          <w:szCs w:val="22"/>
          <w:lang w:val="fr-FR"/>
        </w:rPr>
        <w:t xml:space="preserve"> représentation géographique équilibrée entre ces ONG</w:t>
      </w:r>
      <w:r>
        <w:rPr>
          <w:rFonts w:ascii="Arial" w:hAnsi="Arial" w:cs="Arial"/>
          <w:bCs/>
          <w:sz w:val="22"/>
          <w:szCs w:val="22"/>
          <w:lang w:val="fr-FR"/>
        </w:rPr>
        <w:t> »</w:t>
      </w:r>
      <w:r w:rsidRPr="005543FE">
        <w:rPr>
          <w:rFonts w:ascii="Arial" w:hAnsi="Arial" w:cs="Arial"/>
          <w:bCs/>
          <w:sz w:val="22"/>
          <w:szCs w:val="22"/>
          <w:lang w:val="fr-FR"/>
        </w:rPr>
        <w:t>.</w:t>
      </w:r>
    </w:p>
    <w:p w14:paraId="5BE9B14C" w14:textId="546A779A" w:rsidR="00D9653F" w:rsidRPr="005543F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543FE">
        <w:rPr>
          <w:rFonts w:ascii="Arial" w:hAnsi="Arial" w:cs="Arial"/>
          <w:bCs/>
          <w:sz w:val="22"/>
          <w:szCs w:val="22"/>
          <w:lang w:val="fr-FR"/>
        </w:rPr>
        <w:t xml:space="preserve">La </w:t>
      </w:r>
      <w:r w:rsidRPr="005543FE">
        <w:rPr>
          <w:rFonts w:ascii="Arial" w:hAnsi="Arial" w:cs="Arial"/>
          <w:b/>
          <w:sz w:val="22"/>
          <w:szCs w:val="22"/>
          <w:lang w:val="fr-FR"/>
        </w:rPr>
        <w:t>Présidente</w:t>
      </w:r>
      <w:r w:rsidRPr="005543FE">
        <w:rPr>
          <w:rFonts w:ascii="Arial" w:hAnsi="Arial" w:cs="Arial"/>
          <w:bCs/>
          <w:sz w:val="22"/>
          <w:szCs w:val="22"/>
          <w:lang w:val="fr-FR"/>
        </w:rPr>
        <w:t xml:space="preserve"> a remercié le Maroc pour sa proposition </w:t>
      </w:r>
      <w:r>
        <w:rPr>
          <w:rFonts w:ascii="Arial" w:hAnsi="Arial" w:cs="Arial"/>
          <w:bCs/>
          <w:sz w:val="22"/>
          <w:szCs w:val="22"/>
          <w:lang w:val="fr-FR"/>
        </w:rPr>
        <w:t xml:space="preserve">fort </w:t>
      </w:r>
      <w:r w:rsidRPr="005543FE">
        <w:rPr>
          <w:rFonts w:ascii="Arial" w:hAnsi="Arial" w:cs="Arial"/>
          <w:bCs/>
          <w:sz w:val="22"/>
          <w:szCs w:val="22"/>
          <w:lang w:val="fr-FR"/>
        </w:rPr>
        <w:t xml:space="preserve">utile et </w:t>
      </w:r>
      <w:r>
        <w:rPr>
          <w:rFonts w:ascii="Arial" w:hAnsi="Arial" w:cs="Arial"/>
          <w:bCs/>
          <w:sz w:val="22"/>
          <w:szCs w:val="22"/>
          <w:lang w:val="fr-FR"/>
        </w:rPr>
        <w:t xml:space="preserve">a </w:t>
      </w:r>
      <w:r w:rsidRPr="005543FE">
        <w:rPr>
          <w:rFonts w:ascii="Arial" w:hAnsi="Arial" w:cs="Arial"/>
          <w:bCs/>
          <w:sz w:val="22"/>
          <w:szCs w:val="22"/>
          <w:lang w:val="fr-FR"/>
        </w:rPr>
        <w:t>demand</w:t>
      </w:r>
      <w:r>
        <w:rPr>
          <w:rFonts w:ascii="Arial" w:hAnsi="Arial" w:cs="Arial"/>
          <w:bCs/>
          <w:sz w:val="22"/>
          <w:szCs w:val="22"/>
          <w:lang w:val="fr-FR"/>
        </w:rPr>
        <w:t xml:space="preserve">é </w:t>
      </w:r>
      <w:r w:rsidRPr="005543FE">
        <w:rPr>
          <w:rFonts w:ascii="Arial" w:hAnsi="Arial" w:cs="Arial"/>
          <w:bCs/>
          <w:sz w:val="22"/>
          <w:szCs w:val="22"/>
          <w:lang w:val="fr-FR"/>
        </w:rPr>
        <w:t>à l</w:t>
      </w:r>
      <w:r w:rsidR="008E532B">
        <w:rPr>
          <w:rFonts w:ascii="Arial" w:hAnsi="Arial" w:cs="Arial"/>
          <w:bCs/>
          <w:sz w:val="22"/>
          <w:szCs w:val="22"/>
          <w:lang w:val="fr-FR"/>
        </w:rPr>
        <w:t>’</w:t>
      </w:r>
      <w:r w:rsidRPr="005543FE">
        <w:rPr>
          <w:rFonts w:ascii="Arial" w:hAnsi="Arial" w:cs="Arial"/>
          <w:bCs/>
          <w:sz w:val="22"/>
          <w:szCs w:val="22"/>
          <w:lang w:val="fr-FR"/>
        </w:rPr>
        <w:t>Assemblée s</w:t>
      </w:r>
      <w:r w:rsidR="008E532B">
        <w:rPr>
          <w:rFonts w:ascii="Arial" w:hAnsi="Arial" w:cs="Arial"/>
          <w:bCs/>
          <w:sz w:val="22"/>
          <w:szCs w:val="22"/>
          <w:lang w:val="fr-FR"/>
        </w:rPr>
        <w:t>’</w:t>
      </w:r>
      <w:r w:rsidRPr="005543FE">
        <w:rPr>
          <w:rFonts w:ascii="Arial" w:hAnsi="Arial" w:cs="Arial"/>
          <w:bCs/>
          <w:sz w:val="22"/>
          <w:szCs w:val="22"/>
          <w:lang w:val="fr-FR"/>
        </w:rPr>
        <w:t xml:space="preserve">il y </w:t>
      </w:r>
      <w:r>
        <w:rPr>
          <w:rFonts w:ascii="Arial" w:hAnsi="Arial" w:cs="Arial"/>
          <w:bCs/>
          <w:sz w:val="22"/>
          <w:szCs w:val="22"/>
          <w:lang w:val="fr-FR"/>
        </w:rPr>
        <w:t>avait</w:t>
      </w:r>
      <w:r w:rsidRPr="005543FE">
        <w:rPr>
          <w:rFonts w:ascii="Arial" w:hAnsi="Arial" w:cs="Arial"/>
          <w:bCs/>
          <w:sz w:val="22"/>
          <w:szCs w:val="22"/>
          <w:lang w:val="fr-FR"/>
        </w:rPr>
        <w:t xml:space="preserve"> des objections à cette nouvelle proposition du Maroc. Aucune objection n</w:t>
      </w:r>
      <w:r w:rsidR="008E532B">
        <w:rPr>
          <w:rFonts w:ascii="Arial" w:hAnsi="Arial" w:cs="Arial"/>
          <w:bCs/>
          <w:sz w:val="22"/>
          <w:szCs w:val="22"/>
          <w:lang w:val="fr-FR"/>
        </w:rPr>
        <w:t>’</w:t>
      </w:r>
      <w:r>
        <w:rPr>
          <w:rFonts w:ascii="Arial" w:hAnsi="Arial" w:cs="Arial"/>
          <w:bCs/>
          <w:sz w:val="22"/>
          <w:szCs w:val="22"/>
          <w:lang w:val="fr-FR"/>
        </w:rPr>
        <w:t>a été</w:t>
      </w:r>
      <w:r w:rsidRPr="005543FE">
        <w:rPr>
          <w:rFonts w:ascii="Arial" w:hAnsi="Arial" w:cs="Arial"/>
          <w:bCs/>
          <w:sz w:val="22"/>
          <w:szCs w:val="22"/>
          <w:lang w:val="fr-FR"/>
        </w:rPr>
        <w:t xml:space="preserve"> exprimée. La Présidente </w:t>
      </w:r>
      <w:r>
        <w:rPr>
          <w:rFonts w:ascii="Arial" w:hAnsi="Arial" w:cs="Arial"/>
          <w:bCs/>
          <w:sz w:val="22"/>
          <w:szCs w:val="22"/>
          <w:lang w:val="fr-FR"/>
        </w:rPr>
        <w:t xml:space="preserve">a </w:t>
      </w:r>
      <w:r w:rsidRPr="005543FE">
        <w:rPr>
          <w:rFonts w:ascii="Arial" w:hAnsi="Arial" w:cs="Arial"/>
          <w:bCs/>
          <w:sz w:val="22"/>
          <w:szCs w:val="22"/>
          <w:lang w:val="fr-FR"/>
        </w:rPr>
        <w:t>demand</w:t>
      </w:r>
      <w:r>
        <w:rPr>
          <w:rFonts w:ascii="Arial" w:hAnsi="Arial" w:cs="Arial"/>
          <w:bCs/>
          <w:sz w:val="22"/>
          <w:szCs w:val="22"/>
          <w:lang w:val="fr-FR"/>
        </w:rPr>
        <w:t>é</w:t>
      </w:r>
      <w:r w:rsidRPr="005543FE">
        <w:rPr>
          <w:rFonts w:ascii="Arial" w:hAnsi="Arial" w:cs="Arial"/>
          <w:bCs/>
          <w:sz w:val="22"/>
          <w:szCs w:val="22"/>
          <w:lang w:val="fr-FR"/>
        </w:rPr>
        <w:t xml:space="preserve"> s</w:t>
      </w:r>
      <w:r w:rsidR="008E532B">
        <w:rPr>
          <w:rFonts w:ascii="Arial" w:hAnsi="Arial" w:cs="Arial"/>
          <w:bCs/>
          <w:sz w:val="22"/>
          <w:szCs w:val="22"/>
          <w:lang w:val="fr-FR"/>
        </w:rPr>
        <w:t>’</w:t>
      </w:r>
      <w:r w:rsidRPr="005543FE">
        <w:rPr>
          <w:rFonts w:ascii="Arial" w:hAnsi="Arial" w:cs="Arial"/>
          <w:bCs/>
          <w:sz w:val="22"/>
          <w:szCs w:val="22"/>
          <w:lang w:val="fr-FR"/>
        </w:rPr>
        <w:t>il y a</w:t>
      </w:r>
      <w:r>
        <w:rPr>
          <w:rFonts w:ascii="Arial" w:hAnsi="Arial" w:cs="Arial"/>
          <w:bCs/>
          <w:sz w:val="22"/>
          <w:szCs w:val="22"/>
          <w:lang w:val="fr-FR"/>
        </w:rPr>
        <w:t>vait</w:t>
      </w:r>
      <w:r w:rsidRPr="005543FE">
        <w:rPr>
          <w:rFonts w:ascii="Arial" w:hAnsi="Arial" w:cs="Arial"/>
          <w:bCs/>
          <w:sz w:val="22"/>
          <w:szCs w:val="22"/>
          <w:lang w:val="fr-FR"/>
        </w:rPr>
        <w:t xml:space="preserve"> des objections à l</w:t>
      </w:r>
      <w:r w:rsidR="008E532B">
        <w:rPr>
          <w:rFonts w:ascii="Arial" w:hAnsi="Arial" w:cs="Arial"/>
          <w:bCs/>
          <w:sz w:val="22"/>
          <w:szCs w:val="22"/>
          <w:lang w:val="fr-FR"/>
        </w:rPr>
        <w:t>’</w:t>
      </w:r>
      <w:r w:rsidRPr="005543FE">
        <w:rPr>
          <w:rFonts w:ascii="Arial" w:hAnsi="Arial" w:cs="Arial"/>
          <w:bCs/>
          <w:sz w:val="22"/>
          <w:szCs w:val="22"/>
          <w:lang w:val="fr-FR"/>
        </w:rPr>
        <w:t xml:space="preserve">ensemble du paragraphe 7 </w:t>
      </w:r>
      <w:r>
        <w:rPr>
          <w:rFonts w:ascii="Arial" w:hAnsi="Arial" w:cs="Arial"/>
          <w:bCs/>
          <w:sz w:val="22"/>
          <w:szCs w:val="22"/>
          <w:lang w:val="fr-FR"/>
        </w:rPr>
        <w:t>tel qu</w:t>
      </w:r>
      <w:r w:rsidR="008E532B">
        <w:rPr>
          <w:rFonts w:ascii="Arial" w:hAnsi="Arial" w:cs="Arial"/>
          <w:bCs/>
          <w:sz w:val="22"/>
          <w:szCs w:val="22"/>
          <w:lang w:val="fr-FR"/>
        </w:rPr>
        <w:t>’</w:t>
      </w:r>
      <w:r w:rsidRPr="005543FE">
        <w:rPr>
          <w:rFonts w:ascii="Arial" w:hAnsi="Arial" w:cs="Arial"/>
          <w:bCs/>
          <w:sz w:val="22"/>
          <w:szCs w:val="22"/>
          <w:lang w:val="fr-FR"/>
        </w:rPr>
        <w:t>amendé.</w:t>
      </w:r>
    </w:p>
    <w:p w14:paraId="2F43A1AD" w14:textId="59A9288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75845">
        <w:rPr>
          <w:rFonts w:ascii="Arial" w:hAnsi="Arial" w:cs="Arial"/>
          <w:bCs/>
          <w:sz w:val="22"/>
          <w:szCs w:val="22"/>
          <w:lang w:val="fr-FR"/>
        </w:rPr>
        <w:t>La délégation de l</w:t>
      </w:r>
      <w:r w:rsidR="008E532B">
        <w:rPr>
          <w:rFonts w:ascii="Arial" w:hAnsi="Arial" w:cs="Arial"/>
          <w:bCs/>
          <w:sz w:val="22"/>
          <w:szCs w:val="22"/>
          <w:lang w:val="fr-FR"/>
        </w:rPr>
        <w:t>’</w:t>
      </w:r>
      <w:r w:rsidRPr="00775845">
        <w:rPr>
          <w:rFonts w:ascii="Arial" w:hAnsi="Arial" w:cs="Arial"/>
          <w:b/>
          <w:sz w:val="22"/>
          <w:szCs w:val="22"/>
          <w:lang w:val="fr-FR"/>
        </w:rPr>
        <w:t>Éthiopie</w:t>
      </w:r>
      <w:r w:rsidRPr="00775845">
        <w:rPr>
          <w:rFonts w:ascii="Arial" w:hAnsi="Arial" w:cs="Arial"/>
          <w:bCs/>
          <w:sz w:val="22"/>
          <w:szCs w:val="22"/>
          <w:lang w:val="fr-FR"/>
        </w:rPr>
        <w:t xml:space="preserve"> soutenait pleinement le très bon compromis proposé par le Maroc. De nombreuses délégations </w:t>
      </w:r>
      <w:r>
        <w:rPr>
          <w:rFonts w:ascii="Arial" w:hAnsi="Arial" w:cs="Arial"/>
          <w:bCs/>
          <w:sz w:val="22"/>
          <w:szCs w:val="22"/>
          <w:lang w:val="fr-FR"/>
        </w:rPr>
        <w:t xml:space="preserve">avaient mentionné </w:t>
      </w:r>
      <w:r w:rsidRPr="00775845">
        <w:rPr>
          <w:rFonts w:ascii="Arial" w:hAnsi="Arial" w:cs="Arial"/>
          <w:bCs/>
          <w:sz w:val="22"/>
          <w:szCs w:val="22"/>
          <w:lang w:val="fr-FR"/>
        </w:rPr>
        <w:t>qu</w:t>
      </w:r>
      <w:r w:rsidR="008E532B">
        <w:rPr>
          <w:rFonts w:ascii="Arial" w:hAnsi="Arial" w:cs="Arial"/>
          <w:bCs/>
          <w:sz w:val="22"/>
          <w:szCs w:val="22"/>
          <w:lang w:val="fr-FR"/>
        </w:rPr>
        <w:t>’</w:t>
      </w:r>
      <w:r>
        <w:rPr>
          <w:rFonts w:ascii="Arial" w:hAnsi="Arial" w:cs="Arial"/>
          <w:bCs/>
          <w:sz w:val="22"/>
          <w:szCs w:val="22"/>
          <w:lang w:val="fr-FR"/>
        </w:rPr>
        <w:t>avec la diversité,</w:t>
      </w:r>
      <w:r w:rsidRPr="00775845">
        <w:rPr>
          <w:rFonts w:ascii="Arial" w:hAnsi="Arial" w:cs="Arial"/>
          <w:bCs/>
          <w:sz w:val="22"/>
          <w:szCs w:val="22"/>
          <w:lang w:val="fr-FR"/>
        </w:rPr>
        <w:t xml:space="preserve"> la qualité serait compromise</w:t>
      </w:r>
      <w:r>
        <w:rPr>
          <w:rFonts w:ascii="Arial" w:hAnsi="Arial" w:cs="Arial"/>
          <w:bCs/>
          <w:sz w:val="22"/>
          <w:szCs w:val="22"/>
          <w:lang w:val="fr-FR"/>
        </w:rPr>
        <w:t>. Toutefois</w:t>
      </w:r>
      <w:r w:rsidRPr="00775845">
        <w:rPr>
          <w:rFonts w:ascii="Arial" w:hAnsi="Arial" w:cs="Arial"/>
          <w:bCs/>
          <w:sz w:val="22"/>
          <w:szCs w:val="22"/>
          <w:lang w:val="fr-FR"/>
        </w:rPr>
        <w:t>, la délégation cro</w:t>
      </w:r>
      <w:r>
        <w:rPr>
          <w:rFonts w:ascii="Arial" w:hAnsi="Arial" w:cs="Arial"/>
          <w:bCs/>
          <w:sz w:val="22"/>
          <w:szCs w:val="22"/>
          <w:lang w:val="fr-FR"/>
        </w:rPr>
        <w:t>yait</w:t>
      </w:r>
      <w:r w:rsidRPr="00775845">
        <w:rPr>
          <w:rFonts w:ascii="Arial" w:hAnsi="Arial" w:cs="Arial"/>
          <w:bCs/>
          <w:sz w:val="22"/>
          <w:szCs w:val="22"/>
          <w:lang w:val="fr-FR"/>
        </w:rPr>
        <w:t xml:space="preserve"> fermement le contraire, à savoir que la diversité garanti</w:t>
      </w:r>
      <w:r>
        <w:rPr>
          <w:rFonts w:ascii="Arial" w:hAnsi="Arial" w:cs="Arial"/>
          <w:bCs/>
          <w:sz w:val="22"/>
          <w:szCs w:val="22"/>
          <w:lang w:val="fr-FR"/>
        </w:rPr>
        <w:t>ssait</w:t>
      </w:r>
      <w:r w:rsidRPr="00775845">
        <w:rPr>
          <w:rFonts w:ascii="Arial" w:hAnsi="Arial" w:cs="Arial"/>
          <w:bCs/>
          <w:sz w:val="22"/>
          <w:szCs w:val="22"/>
          <w:lang w:val="fr-FR"/>
        </w:rPr>
        <w:t xml:space="preserve"> la qualité. C</w:t>
      </w:r>
      <w:r w:rsidR="008E532B">
        <w:rPr>
          <w:rFonts w:ascii="Arial" w:hAnsi="Arial" w:cs="Arial"/>
          <w:bCs/>
          <w:sz w:val="22"/>
          <w:szCs w:val="22"/>
          <w:lang w:val="fr-FR"/>
        </w:rPr>
        <w:t>’</w:t>
      </w:r>
      <w:r>
        <w:rPr>
          <w:rFonts w:ascii="Arial" w:hAnsi="Arial" w:cs="Arial"/>
          <w:bCs/>
          <w:sz w:val="22"/>
          <w:szCs w:val="22"/>
          <w:lang w:val="fr-FR"/>
        </w:rPr>
        <w:t>était</w:t>
      </w:r>
      <w:r w:rsidRPr="00775845">
        <w:rPr>
          <w:rFonts w:ascii="Arial" w:hAnsi="Arial" w:cs="Arial"/>
          <w:bCs/>
          <w:sz w:val="22"/>
          <w:szCs w:val="22"/>
          <w:lang w:val="fr-FR"/>
        </w:rPr>
        <w:t xml:space="preserve"> le manque de diversité qui </w:t>
      </w:r>
      <w:r>
        <w:rPr>
          <w:rFonts w:ascii="Arial" w:hAnsi="Arial" w:cs="Arial"/>
          <w:bCs/>
          <w:sz w:val="22"/>
          <w:szCs w:val="22"/>
          <w:lang w:val="fr-FR"/>
        </w:rPr>
        <w:t xml:space="preserve">nuisait à </w:t>
      </w:r>
      <w:r w:rsidRPr="00775845">
        <w:rPr>
          <w:rFonts w:ascii="Arial" w:hAnsi="Arial" w:cs="Arial"/>
          <w:bCs/>
          <w:sz w:val="22"/>
          <w:szCs w:val="22"/>
          <w:lang w:val="fr-FR"/>
        </w:rPr>
        <w:t>la qualité nécessaire pour représenter tous les États parties.</w:t>
      </w:r>
    </w:p>
    <w:p w14:paraId="509E475C" w14:textId="4985044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75845">
        <w:rPr>
          <w:rFonts w:ascii="Arial" w:hAnsi="Arial" w:cs="Arial"/>
          <w:b/>
          <w:sz w:val="22"/>
          <w:szCs w:val="22"/>
          <w:lang w:val="fr-FR"/>
        </w:rPr>
        <w:t>Présidente</w:t>
      </w:r>
      <w:r>
        <w:rPr>
          <w:rFonts w:ascii="Arial" w:hAnsi="Arial" w:cs="Arial"/>
          <w:bCs/>
          <w:sz w:val="22"/>
          <w:szCs w:val="22"/>
          <w:lang w:val="fr-FR"/>
        </w:rPr>
        <w:t xml:space="preserve"> a signalé une motion d</w:t>
      </w:r>
      <w:r w:rsidR="008E532B">
        <w:rPr>
          <w:rFonts w:ascii="Arial" w:hAnsi="Arial" w:cs="Arial"/>
          <w:bCs/>
          <w:sz w:val="22"/>
          <w:szCs w:val="22"/>
          <w:lang w:val="fr-FR"/>
        </w:rPr>
        <w:t>’</w:t>
      </w:r>
      <w:r>
        <w:rPr>
          <w:rFonts w:ascii="Arial" w:hAnsi="Arial" w:cs="Arial"/>
          <w:bCs/>
          <w:sz w:val="22"/>
          <w:szCs w:val="22"/>
          <w:lang w:val="fr-FR"/>
        </w:rPr>
        <w:t>ordre de la part de la Palestine.</w:t>
      </w:r>
    </w:p>
    <w:p w14:paraId="63246245" w14:textId="79004A6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Après avoir remercié le Maroc pour sa </w:t>
      </w:r>
      <w:r w:rsidRPr="00775845">
        <w:rPr>
          <w:rFonts w:ascii="Arial" w:hAnsi="Arial" w:cs="Arial"/>
          <w:bCs/>
          <w:sz w:val="22"/>
          <w:szCs w:val="22"/>
          <w:lang w:val="fr-FR"/>
        </w:rPr>
        <w:t>proposition</w:t>
      </w:r>
      <w:r>
        <w:rPr>
          <w:rFonts w:ascii="Arial" w:hAnsi="Arial" w:cs="Arial"/>
          <w:bCs/>
          <w:sz w:val="22"/>
          <w:szCs w:val="22"/>
          <w:lang w:val="fr-FR"/>
        </w:rPr>
        <w:t xml:space="preserve"> consensuelle, la </w:t>
      </w:r>
      <w:r w:rsidRPr="00775845">
        <w:rPr>
          <w:rFonts w:ascii="Arial" w:hAnsi="Arial" w:cs="Arial"/>
          <w:bCs/>
          <w:sz w:val="22"/>
          <w:szCs w:val="22"/>
          <w:lang w:val="fr-FR"/>
        </w:rPr>
        <w:t>délégation</w:t>
      </w:r>
      <w:r>
        <w:rPr>
          <w:rFonts w:ascii="Arial" w:hAnsi="Arial" w:cs="Arial"/>
          <w:bCs/>
          <w:sz w:val="22"/>
          <w:szCs w:val="22"/>
          <w:lang w:val="fr-FR"/>
        </w:rPr>
        <w:t xml:space="preserve"> de la </w:t>
      </w:r>
      <w:r w:rsidRPr="00775845">
        <w:rPr>
          <w:rFonts w:ascii="Arial" w:hAnsi="Arial" w:cs="Arial"/>
          <w:b/>
          <w:sz w:val="22"/>
          <w:szCs w:val="22"/>
          <w:lang w:val="fr-FR"/>
        </w:rPr>
        <w:t>Palestine</w:t>
      </w:r>
      <w:r>
        <w:rPr>
          <w:rFonts w:ascii="Arial" w:hAnsi="Arial" w:cs="Arial"/>
          <w:bCs/>
          <w:sz w:val="22"/>
          <w:szCs w:val="22"/>
          <w:lang w:val="fr-FR"/>
        </w:rPr>
        <w:t xml:space="preserve"> a invoqué une motion d</w:t>
      </w:r>
      <w:r w:rsidR="008E532B">
        <w:rPr>
          <w:rFonts w:ascii="Arial" w:hAnsi="Arial" w:cs="Arial"/>
          <w:bCs/>
          <w:sz w:val="22"/>
          <w:szCs w:val="22"/>
          <w:lang w:val="fr-FR"/>
        </w:rPr>
        <w:t>’</w:t>
      </w:r>
      <w:r>
        <w:rPr>
          <w:rFonts w:ascii="Arial" w:hAnsi="Arial" w:cs="Arial"/>
          <w:bCs/>
          <w:sz w:val="22"/>
          <w:szCs w:val="22"/>
          <w:lang w:val="fr-FR"/>
        </w:rPr>
        <w:t>ordre. Afin de respecter la procédure, l</w:t>
      </w:r>
      <w:r w:rsidR="008E532B">
        <w:rPr>
          <w:rFonts w:ascii="Arial" w:hAnsi="Arial" w:cs="Arial"/>
          <w:bCs/>
          <w:sz w:val="22"/>
          <w:szCs w:val="22"/>
          <w:lang w:val="fr-FR"/>
        </w:rPr>
        <w:t>’</w:t>
      </w:r>
      <w:r>
        <w:rPr>
          <w:rFonts w:ascii="Arial" w:hAnsi="Arial" w:cs="Arial"/>
          <w:bCs/>
          <w:sz w:val="22"/>
          <w:szCs w:val="22"/>
          <w:lang w:val="fr-FR"/>
        </w:rPr>
        <w:t>Assemblée devait d</w:t>
      </w:r>
      <w:r w:rsidR="008E532B">
        <w:rPr>
          <w:rFonts w:ascii="Arial" w:hAnsi="Arial" w:cs="Arial"/>
          <w:bCs/>
          <w:sz w:val="22"/>
          <w:szCs w:val="22"/>
          <w:lang w:val="fr-FR"/>
        </w:rPr>
        <w:t>’</w:t>
      </w:r>
      <w:r>
        <w:rPr>
          <w:rFonts w:ascii="Arial" w:hAnsi="Arial" w:cs="Arial"/>
          <w:bCs/>
          <w:sz w:val="22"/>
          <w:szCs w:val="22"/>
          <w:lang w:val="fr-FR"/>
        </w:rPr>
        <w:t xml:space="preserve">abord adopter le </w:t>
      </w:r>
      <w:r w:rsidRPr="00775845">
        <w:rPr>
          <w:rFonts w:ascii="Arial" w:hAnsi="Arial" w:cs="Arial"/>
          <w:bCs/>
          <w:sz w:val="22"/>
          <w:szCs w:val="22"/>
          <w:lang w:val="fr-FR"/>
        </w:rPr>
        <w:t>paragraphe</w:t>
      </w:r>
      <w:r>
        <w:rPr>
          <w:rFonts w:ascii="Arial" w:hAnsi="Arial" w:cs="Arial"/>
          <w:bCs/>
          <w:sz w:val="22"/>
          <w:szCs w:val="22"/>
          <w:lang w:val="fr-FR"/>
        </w:rPr>
        <w:t xml:space="preserve"> 6 initial avant de passer à l</w:t>
      </w:r>
      <w:r w:rsidR="008E532B">
        <w:rPr>
          <w:rFonts w:ascii="Arial" w:hAnsi="Arial" w:cs="Arial"/>
          <w:bCs/>
          <w:sz w:val="22"/>
          <w:szCs w:val="22"/>
          <w:lang w:val="fr-FR"/>
        </w:rPr>
        <w:t>’</w:t>
      </w:r>
      <w:r>
        <w:rPr>
          <w:rFonts w:ascii="Arial" w:hAnsi="Arial" w:cs="Arial"/>
          <w:bCs/>
          <w:sz w:val="22"/>
          <w:szCs w:val="22"/>
          <w:lang w:val="fr-FR"/>
        </w:rPr>
        <w:t xml:space="preserve">adoption du nouveau </w:t>
      </w:r>
      <w:r w:rsidRPr="00775845">
        <w:rPr>
          <w:rFonts w:ascii="Arial" w:hAnsi="Arial" w:cs="Arial"/>
          <w:bCs/>
          <w:sz w:val="22"/>
          <w:szCs w:val="22"/>
          <w:lang w:val="fr-FR"/>
        </w:rPr>
        <w:t>paragraphe</w:t>
      </w:r>
      <w:r>
        <w:rPr>
          <w:rFonts w:ascii="Arial" w:hAnsi="Arial" w:cs="Arial"/>
          <w:bCs/>
          <w:sz w:val="22"/>
          <w:szCs w:val="22"/>
          <w:lang w:val="fr-FR"/>
        </w:rPr>
        <w:t xml:space="preserve"> 7.</w:t>
      </w:r>
    </w:p>
    <w:p w14:paraId="05DAE6B5" w14:textId="1B33D51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75845">
        <w:rPr>
          <w:rFonts w:ascii="Arial" w:hAnsi="Arial" w:cs="Arial"/>
          <w:bCs/>
          <w:sz w:val="22"/>
          <w:szCs w:val="22"/>
          <w:lang w:val="fr-FR"/>
        </w:rPr>
        <w:t xml:space="preserve">La délégation de la </w:t>
      </w:r>
      <w:r w:rsidRPr="00775845">
        <w:rPr>
          <w:rFonts w:ascii="Arial" w:hAnsi="Arial" w:cs="Arial"/>
          <w:b/>
          <w:sz w:val="22"/>
          <w:szCs w:val="22"/>
          <w:lang w:val="fr-FR"/>
        </w:rPr>
        <w:t>République islamique d</w:t>
      </w:r>
      <w:r w:rsidR="008E532B">
        <w:rPr>
          <w:rFonts w:ascii="Arial" w:hAnsi="Arial" w:cs="Arial"/>
          <w:b/>
          <w:sz w:val="22"/>
          <w:szCs w:val="22"/>
          <w:lang w:val="fr-FR"/>
        </w:rPr>
        <w:t>’</w:t>
      </w:r>
      <w:r w:rsidRPr="00775845">
        <w:rPr>
          <w:rFonts w:ascii="Arial" w:hAnsi="Arial" w:cs="Arial"/>
          <w:b/>
          <w:sz w:val="22"/>
          <w:szCs w:val="22"/>
          <w:lang w:val="fr-FR"/>
        </w:rPr>
        <w:t>Iran</w:t>
      </w:r>
      <w:r w:rsidRPr="00775845">
        <w:rPr>
          <w:rFonts w:ascii="Arial" w:hAnsi="Arial" w:cs="Arial"/>
          <w:bCs/>
          <w:sz w:val="22"/>
          <w:szCs w:val="22"/>
          <w:lang w:val="fr-FR"/>
        </w:rPr>
        <w:t xml:space="preserve"> soutenait la proposition de la Colombie. En ce qui concerne les quotas, la délégation estim</w:t>
      </w:r>
      <w:r>
        <w:rPr>
          <w:rFonts w:ascii="Arial" w:hAnsi="Arial" w:cs="Arial"/>
          <w:bCs/>
          <w:sz w:val="22"/>
          <w:szCs w:val="22"/>
          <w:lang w:val="fr-FR"/>
        </w:rPr>
        <w:t>ait</w:t>
      </w:r>
      <w:r w:rsidRPr="00775845">
        <w:rPr>
          <w:rFonts w:ascii="Arial" w:hAnsi="Arial" w:cs="Arial"/>
          <w:bCs/>
          <w:sz w:val="22"/>
          <w:szCs w:val="22"/>
          <w:lang w:val="fr-FR"/>
        </w:rPr>
        <w:t xml:space="preserve"> que les ONG devraient en fait être consultées.</w:t>
      </w:r>
    </w:p>
    <w:p w14:paraId="39D167F9" w14:textId="542B831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82D58">
        <w:rPr>
          <w:rFonts w:ascii="Arial" w:hAnsi="Arial" w:cs="Arial"/>
          <w:bCs/>
          <w:sz w:val="22"/>
          <w:szCs w:val="22"/>
          <w:lang w:val="fr-FR"/>
        </w:rPr>
        <w:t xml:space="preserve">Le </w:t>
      </w:r>
      <w:r w:rsidRPr="00E82D58">
        <w:rPr>
          <w:rFonts w:ascii="Arial" w:hAnsi="Arial" w:cs="Arial"/>
          <w:b/>
          <w:sz w:val="22"/>
          <w:szCs w:val="22"/>
          <w:lang w:val="fr-FR"/>
        </w:rPr>
        <w:t>Sous-Directeur général</w:t>
      </w:r>
      <w:r w:rsidRPr="00E82D58">
        <w:rPr>
          <w:rFonts w:ascii="Arial" w:hAnsi="Arial" w:cs="Arial"/>
          <w:bCs/>
          <w:sz w:val="22"/>
          <w:szCs w:val="22"/>
          <w:lang w:val="fr-FR"/>
        </w:rPr>
        <w:t xml:space="preserve"> présum</w:t>
      </w:r>
      <w:r>
        <w:rPr>
          <w:rFonts w:ascii="Arial" w:hAnsi="Arial" w:cs="Arial"/>
          <w:bCs/>
          <w:sz w:val="22"/>
          <w:szCs w:val="22"/>
          <w:lang w:val="fr-FR"/>
        </w:rPr>
        <w:t>ait</w:t>
      </w:r>
      <w:r w:rsidRPr="00E82D58">
        <w:rPr>
          <w:rFonts w:ascii="Arial" w:hAnsi="Arial" w:cs="Arial"/>
          <w:bCs/>
          <w:sz w:val="22"/>
          <w:szCs w:val="22"/>
          <w:lang w:val="fr-FR"/>
        </w:rPr>
        <w:t xml:space="preserve"> que la proposition de la Colombie suppos</w:t>
      </w:r>
      <w:r>
        <w:rPr>
          <w:rFonts w:ascii="Arial" w:hAnsi="Arial" w:cs="Arial"/>
          <w:bCs/>
          <w:sz w:val="22"/>
          <w:szCs w:val="22"/>
          <w:lang w:val="fr-FR"/>
        </w:rPr>
        <w:t>ait</w:t>
      </w:r>
      <w:r w:rsidRPr="00E82D58">
        <w:rPr>
          <w:rFonts w:ascii="Arial" w:hAnsi="Arial" w:cs="Arial"/>
          <w:bCs/>
          <w:sz w:val="22"/>
          <w:szCs w:val="22"/>
          <w:lang w:val="fr-FR"/>
        </w:rPr>
        <w:t xml:space="preserve"> </w:t>
      </w:r>
      <w:r>
        <w:rPr>
          <w:rFonts w:ascii="Arial" w:hAnsi="Arial" w:cs="Arial"/>
          <w:bCs/>
          <w:sz w:val="22"/>
          <w:szCs w:val="22"/>
          <w:lang w:val="fr-FR"/>
        </w:rPr>
        <w:t xml:space="preserve">de travailler avec </w:t>
      </w:r>
      <w:r w:rsidRPr="00E82D58">
        <w:rPr>
          <w:rFonts w:ascii="Arial" w:hAnsi="Arial" w:cs="Arial"/>
          <w:bCs/>
          <w:sz w:val="22"/>
          <w:szCs w:val="22"/>
          <w:lang w:val="fr-FR"/>
        </w:rPr>
        <w:t>le Forum des ONG, car il serait en effet étrange d</w:t>
      </w:r>
      <w:r w:rsidR="008E532B">
        <w:rPr>
          <w:rFonts w:ascii="Arial" w:hAnsi="Arial" w:cs="Arial"/>
          <w:bCs/>
          <w:sz w:val="22"/>
          <w:szCs w:val="22"/>
          <w:lang w:val="fr-FR"/>
        </w:rPr>
        <w:t>’</w:t>
      </w:r>
      <w:r w:rsidRPr="00E82D58">
        <w:rPr>
          <w:rFonts w:ascii="Arial" w:hAnsi="Arial" w:cs="Arial"/>
          <w:bCs/>
          <w:sz w:val="22"/>
          <w:szCs w:val="22"/>
          <w:lang w:val="fr-FR"/>
        </w:rPr>
        <w:t>imposer une stratégie au Forum, d</w:t>
      </w:r>
      <w:r w:rsidR="008E532B">
        <w:rPr>
          <w:rFonts w:ascii="Arial" w:hAnsi="Arial" w:cs="Arial"/>
          <w:bCs/>
          <w:sz w:val="22"/>
          <w:szCs w:val="22"/>
          <w:lang w:val="fr-FR"/>
        </w:rPr>
        <w:t>’</w:t>
      </w:r>
      <w:r w:rsidRPr="00E82D58">
        <w:rPr>
          <w:rFonts w:ascii="Arial" w:hAnsi="Arial" w:cs="Arial"/>
          <w:bCs/>
          <w:sz w:val="22"/>
          <w:szCs w:val="22"/>
          <w:lang w:val="fr-FR"/>
        </w:rPr>
        <w:t>autant plus que l</w:t>
      </w:r>
      <w:r w:rsidR="008E532B">
        <w:rPr>
          <w:rFonts w:ascii="Arial" w:hAnsi="Arial" w:cs="Arial"/>
          <w:bCs/>
          <w:sz w:val="22"/>
          <w:szCs w:val="22"/>
          <w:lang w:val="fr-FR"/>
        </w:rPr>
        <w:t>’</w:t>
      </w:r>
      <w:r w:rsidRPr="00E82D58">
        <w:rPr>
          <w:rFonts w:ascii="Arial" w:hAnsi="Arial" w:cs="Arial"/>
          <w:bCs/>
          <w:sz w:val="22"/>
          <w:szCs w:val="22"/>
          <w:lang w:val="fr-FR"/>
        </w:rPr>
        <w:t xml:space="preserve">intention </w:t>
      </w:r>
      <w:r>
        <w:rPr>
          <w:rFonts w:ascii="Arial" w:hAnsi="Arial" w:cs="Arial"/>
          <w:bCs/>
          <w:sz w:val="22"/>
          <w:szCs w:val="22"/>
          <w:lang w:val="fr-FR"/>
        </w:rPr>
        <w:t>était</w:t>
      </w:r>
      <w:r w:rsidRPr="00E82D58">
        <w:rPr>
          <w:rFonts w:ascii="Arial" w:hAnsi="Arial" w:cs="Arial"/>
          <w:bCs/>
          <w:sz w:val="22"/>
          <w:szCs w:val="22"/>
          <w:lang w:val="fr-FR"/>
        </w:rPr>
        <w:t xml:space="preserve"> de travailler aux côtés des ONG en tant que partenaires. Ainsi, tout résultat </w:t>
      </w:r>
      <w:r w:rsidR="006221EA">
        <w:rPr>
          <w:rFonts w:ascii="Arial" w:hAnsi="Arial" w:cs="Arial"/>
          <w:bCs/>
          <w:sz w:val="22"/>
          <w:szCs w:val="22"/>
          <w:lang w:val="fr-FR"/>
        </w:rPr>
        <w:t>serait</w:t>
      </w:r>
      <w:r w:rsidR="006221EA" w:rsidRPr="00E82D58">
        <w:rPr>
          <w:rFonts w:ascii="Arial" w:hAnsi="Arial" w:cs="Arial"/>
          <w:bCs/>
          <w:sz w:val="22"/>
          <w:szCs w:val="22"/>
          <w:lang w:val="fr-FR"/>
        </w:rPr>
        <w:t xml:space="preserve"> </w:t>
      </w:r>
      <w:r w:rsidRPr="00E82D58">
        <w:rPr>
          <w:rFonts w:ascii="Arial" w:hAnsi="Arial" w:cs="Arial"/>
          <w:bCs/>
          <w:sz w:val="22"/>
          <w:szCs w:val="22"/>
          <w:lang w:val="fr-FR"/>
        </w:rPr>
        <w:t>décidé en consultation avec le Forum des ONG du PCI qui a</w:t>
      </w:r>
      <w:r>
        <w:rPr>
          <w:rFonts w:ascii="Arial" w:hAnsi="Arial" w:cs="Arial"/>
          <w:bCs/>
          <w:sz w:val="22"/>
          <w:szCs w:val="22"/>
          <w:lang w:val="fr-FR"/>
        </w:rPr>
        <w:t>vait</w:t>
      </w:r>
      <w:r w:rsidRPr="00E82D58">
        <w:rPr>
          <w:rFonts w:ascii="Arial" w:hAnsi="Arial" w:cs="Arial"/>
          <w:bCs/>
          <w:sz w:val="22"/>
          <w:szCs w:val="22"/>
          <w:lang w:val="fr-FR"/>
        </w:rPr>
        <w:t xml:space="preserve"> déjà de l</w:t>
      </w:r>
      <w:r w:rsidR="008E532B">
        <w:rPr>
          <w:rFonts w:ascii="Arial" w:hAnsi="Arial" w:cs="Arial"/>
          <w:bCs/>
          <w:sz w:val="22"/>
          <w:szCs w:val="22"/>
          <w:lang w:val="fr-FR"/>
        </w:rPr>
        <w:t>’</w:t>
      </w:r>
      <w:r w:rsidRPr="00E82D58">
        <w:rPr>
          <w:rFonts w:ascii="Arial" w:hAnsi="Arial" w:cs="Arial"/>
          <w:bCs/>
          <w:sz w:val="22"/>
          <w:szCs w:val="22"/>
          <w:lang w:val="fr-FR"/>
        </w:rPr>
        <w:t xml:space="preserve">expérience sur ces questions. </w:t>
      </w:r>
      <w:r w:rsidR="006221EA" w:rsidRPr="006221EA">
        <w:rPr>
          <w:rFonts w:ascii="Arial" w:hAnsi="Arial" w:cs="Arial"/>
          <w:bCs/>
          <w:sz w:val="22"/>
          <w:szCs w:val="22"/>
          <w:lang w:val="fr-FR"/>
        </w:rPr>
        <w:t xml:space="preserve">Le Sous-Directeur général </w:t>
      </w:r>
      <w:r w:rsidRPr="00E82D58">
        <w:rPr>
          <w:rFonts w:ascii="Arial" w:hAnsi="Arial" w:cs="Arial"/>
          <w:bCs/>
          <w:sz w:val="22"/>
          <w:szCs w:val="22"/>
          <w:lang w:val="fr-FR"/>
        </w:rPr>
        <w:t>a demandé à la Colombie si telle était l</w:t>
      </w:r>
      <w:r w:rsidR="008E532B">
        <w:rPr>
          <w:rFonts w:ascii="Arial" w:hAnsi="Arial" w:cs="Arial"/>
          <w:bCs/>
          <w:sz w:val="22"/>
          <w:szCs w:val="22"/>
          <w:lang w:val="fr-FR"/>
        </w:rPr>
        <w:t>’</w:t>
      </w:r>
      <w:r w:rsidRPr="00E82D58">
        <w:rPr>
          <w:rFonts w:ascii="Arial" w:hAnsi="Arial" w:cs="Arial"/>
          <w:bCs/>
          <w:sz w:val="22"/>
          <w:szCs w:val="22"/>
          <w:lang w:val="fr-FR"/>
        </w:rPr>
        <w:t xml:space="preserve">intention </w:t>
      </w:r>
      <w:r>
        <w:rPr>
          <w:rFonts w:ascii="Arial" w:hAnsi="Arial" w:cs="Arial"/>
          <w:bCs/>
          <w:sz w:val="22"/>
          <w:szCs w:val="22"/>
          <w:lang w:val="fr-FR"/>
        </w:rPr>
        <w:t>qui sous-tendait</w:t>
      </w:r>
      <w:r w:rsidRPr="00E82D58">
        <w:rPr>
          <w:rFonts w:ascii="Arial" w:hAnsi="Arial" w:cs="Arial"/>
          <w:bCs/>
          <w:sz w:val="22"/>
          <w:szCs w:val="22"/>
          <w:lang w:val="fr-FR"/>
        </w:rPr>
        <w:t xml:space="preserve"> </w:t>
      </w:r>
      <w:r>
        <w:rPr>
          <w:rFonts w:ascii="Arial" w:hAnsi="Arial" w:cs="Arial"/>
          <w:bCs/>
          <w:sz w:val="22"/>
          <w:szCs w:val="22"/>
          <w:lang w:val="fr-FR"/>
        </w:rPr>
        <w:t>s</w:t>
      </w:r>
      <w:r w:rsidRPr="00E82D58">
        <w:rPr>
          <w:rFonts w:ascii="Arial" w:hAnsi="Arial" w:cs="Arial"/>
          <w:bCs/>
          <w:sz w:val="22"/>
          <w:szCs w:val="22"/>
          <w:lang w:val="fr-FR"/>
        </w:rPr>
        <w:t>a proposition.</w:t>
      </w:r>
    </w:p>
    <w:p w14:paraId="318E9A78" w14:textId="6827D75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82D58">
        <w:rPr>
          <w:rFonts w:ascii="Arial" w:hAnsi="Arial" w:cs="Arial"/>
          <w:bCs/>
          <w:sz w:val="22"/>
          <w:szCs w:val="22"/>
          <w:lang w:val="fr-FR"/>
        </w:rPr>
        <w:t xml:space="preserve">La délégation de la </w:t>
      </w:r>
      <w:r w:rsidRPr="00E82D58">
        <w:rPr>
          <w:rFonts w:ascii="Arial" w:hAnsi="Arial" w:cs="Arial"/>
          <w:b/>
          <w:sz w:val="22"/>
          <w:szCs w:val="22"/>
          <w:lang w:val="fr-FR"/>
        </w:rPr>
        <w:t>Colombie</w:t>
      </w:r>
      <w:r w:rsidRPr="00E82D58">
        <w:rPr>
          <w:rFonts w:ascii="Arial" w:hAnsi="Arial" w:cs="Arial"/>
          <w:bCs/>
          <w:sz w:val="22"/>
          <w:szCs w:val="22"/>
          <w:lang w:val="fr-FR"/>
        </w:rPr>
        <w:t xml:space="preserve"> a remercié le Sous-Directeur général pour l</w:t>
      </w:r>
      <w:r w:rsidR="008E532B">
        <w:rPr>
          <w:rFonts w:ascii="Arial" w:hAnsi="Arial" w:cs="Arial"/>
          <w:bCs/>
          <w:sz w:val="22"/>
          <w:szCs w:val="22"/>
          <w:lang w:val="fr-FR"/>
        </w:rPr>
        <w:t>’</w:t>
      </w:r>
      <w:r w:rsidRPr="00E82D58">
        <w:rPr>
          <w:rFonts w:ascii="Arial" w:hAnsi="Arial" w:cs="Arial"/>
          <w:bCs/>
          <w:sz w:val="22"/>
          <w:szCs w:val="22"/>
          <w:lang w:val="fr-FR"/>
        </w:rPr>
        <w:t>explication de cette proposition. En effet, l</w:t>
      </w:r>
      <w:r w:rsidR="008E532B">
        <w:rPr>
          <w:rFonts w:ascii="Arial" w:hAnsi="Arial" w:cs="Arial"/>
          <w:bCs/>
          <w:sz w:val="22"/>
          <w:szCs w:val="22"/>
          <w:lang w:val="fr-FR"/>
        </w:rPr>
        <w:t>’</w:t>
      </w:r>
      <w:r w:rsidRPr="00E82D58">
        <w:rPr>
          <w:rFonts w:ascii="Arial" w:hAnsi="Arial" w:cs="Arial"/>
          <w:bCs/>
          <w:sz w:val="22"/>
          <w:szCs w:val="22"/>
          <w:lang w:val="fr-FR"/>
        </w:rPr>
        <w:t>Assemblée souhait</w:t>
      </w:r>
      <w:r>
        <w:rPr>
          <w:rFonts w:ascii="Arial" w:hAnsi="Arial" w:cs="Arial"/>
          <w:bCs/>
          <w:sz w:val="22"/>
          <w:szCs w:val="22"/>
          <w:lang w:val="fr-FR"/>
        </w:rPr>
        <w:t>ait</w:t>
      </w:r>
      <w:r w:rsidRPr="00E82D58">
        <w:rPr>
          <w:rFonts w:ascii="Arial" w:hAnsi="Arial" w:cs="Arial"/>
          <w:bCs/>
          <w:sz w:val="22"/>
          <w:szCs w:val="22"/>
          <w:lang w:val="fr-FR"/>
        </w:rPr>
        <w:t xml:space="preserve"> que les ONG soient plus présentes, qu</w:t>
      </w:r>
      <w:r w:rsidR="008E532B">
        <w:rPr>
          <w:rFonts w:ascii="Arial" w:hAnsi="Arial" w:cs="Arial"/>
          <w:bCs/>
          <w:sz w:val="22"/>
          <w:szCs w:val="22"/>
          <w:lang w:val="fr-FR"/>
        </w:rPr>
        <w:t>’</w:t>
      </w:r>
      <w:r w:rsidRPr="00E82D58">
        <w:rPr>
          <w:rFonts w:ascii="Arial" w:hAnsi="Arial" w:cs="Arial"/>
          <w:bCs/>
          <w:sz w:val="22"/>
          <w:szCs w:val="22"/>
          <w:lang w:val="fr-FR"/>
        </w:rPr>
        <w:t xml:space="preserve">elles exploitent leur potentiel dans les travaux de la Convention et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assurent d</w:t>
      </w:r>
      <w:r w:rsidR="008E532B">
        <w:rPr>
          <w:rFonts w:ascii="Arial" w:hAnsi="Arial" w:cs="Arial"/>
          <w:bCs/>
          <w:sz w:val="22"/>
          <w:szCs w:val="22"/>
          <w:lang w:val="fr-FR"/>
        </w:rPr>
        <w:t>’</w:t>
      </w:r>
      <w:r>
        <w:rPr>
          <w:rFonts w:ascii="Arial" w:hAnsi="Arial" w:cs="Arial"/>
          <w:bCs/>
          <w:sz w:val="22"/>
          <w:szCs w:val="22"/>
          <w:lang w:val="fr-FR"/>
        </w:rPr>
        <w:t>avoir</w:t>
      </w:r>
      <w:r w:rsidRPr="00E82D58">
        <w:rPr>
          <w:rFonts w:ascii="Arial" w:hAnsi="Arial" w:cs="Arial"/>
          <w:bCs/>
          <w:sz w:val="22"/>
          <w:szCs w:val="22"/>
          <w:lang w:val="fr-FR"/>
        </w:rPr>
        <w:t xml:space="preserve"> la maturité requise, ce qui se refl</w:t>
      </w:r>
      <w:r>
        <w:rPr>
          <w:rFonts w:ascii="Arial" w:hAnsi="Arial" w:cs="Arial"/>
          <w:bCs/>
          <w:sz w:val="22"/>
          <w:szCs w:val="22"/>
          <w:lang w:val="fr-FR"/>
        </w:rPr>
        <w:t>était</w:t>
      </w:r>
      <w:r w:rsidRPr="00E82D58">
        <w:rPr>
          <w:rFonts w:ascii="Arial" w:hAnsi="Arial" w:cs="Arial"/>
          <w:bCs/>
          <w:sz w:val="22"/>
          <w:szCs w:val="22"/>
          <w:lang w:val="fr-FR"/>
        </w:rPr>
        <w:t xml:space="preserve"> dans leur statut juridique. Outre le Forum, le </w:t>
      </w:r>
      <w:r>
        <w:rPr>
          <w:rFonts w:ascii="Arial" w:hAnsi="Arial" w:cs="Arial"/>
          <w:bCs/>
          <w:sz w:val="22"/>
          <w:szCs w:val="22"/>
          <w:lang w:val="fr-FR"/>
        </w:rPr>
        <w:t>C</w:t>
      </w:r>
      <w:r w:rsidRPr="00E82D58">
        <w:rPr>
          <w:rFonts w:ascii="Arial" w:hAnsi="Arial" w:cs="Arial"/>
          <w:bCs/>
          <w:sz w:val="22"/>
          <w:szCs w:val="22"/>
          <w:lang w:val="fr-FR"/>
        </w:rPr>
        <w:t xml:space="preserve">omité </w:t>
      </w:r>
      <w:r>
        <w:rPr>
          <w:rFonts w:ascii="Arial" w:hAnsi="Arial" w:cs="Arial"/>
          <w:bCs/>
          <w:sz w:val="22"/>
          <w:szCs w:val="22"/>
          <w:lang w:val="fr-FR"/>
        </w:rPr>
        <w:t xml:space="preserve">de pilotage </w:t>
      </w:r>
      <w:r w:rsidRPr="00E82D58">
        <w:rPr>
          <w:rFonts w:ascii="Arial" w:hAnsi="Arial" w:cs="Arial"/>
          <w:bCs/>
          <w:sz w:val="22"/>
          <w:szCs w:val="22"/>
          <w:lang w:val="fr-FR"/>
        </w:rPr>
        <w:t>devrait également présenter un bon équilibre géographique. En d</w:t>
      </w:r>
      <w:r w:rsidR="008E532B">
        <w:rPr>
          <w:rFonts w:ascii="Arial" w:hAnsi="Arial" w:cs="Arial"/>
          <w:bCs/>
          <w:sz w:val="22"/>
          <w:szCs w:val="22"/>
          <w:lang w:val="fr-FR"/>
        </w:rPr>
        <w:t>’</w:t>
      </w:r>
      <w:r w:rsidRPr="00E82D58">
        <w:rPr>
          <w:rFonts w:ascii="Arial" w:hAnsi="Arial" w:cs="Arial"/>
          <w:bCs/>
          <w:sz w:val="22"/>
          <w:szCs w:val="22"/>
          <w:lang w:val="fr-FR"/>
        </w:rPr>
        <w:t xml:space="preserve">autres termes, la délégation souhaiterait que les ONG suivent un plan et une stratégie clairs à ce </w:t>
      </w:r>
      <w:r>
        <w:rPr>
          <w:rFonts w:ascii="Arial" w:hAnsi="Arial" w:cs="Arial"/>
          <w:bCs/>
          <w:sz w:val="22"/>
          <w:szCs w:val="22"/>
          <w:lang w:val="fr-FR"/>
        </w:rPr>
        <w:t>sujet</w:t>
      </w:r>
      <w:r w:rsidRPr="00E82D58">
        <w:rPr>
          <w:rFonts w:ascii="Arial" w:hAnsi="Arial" w:cs="Arial"/>
          <w:bCs/>
          <w:sz w:val="22"/>
          <w:szCs w:val="22"/>
          <w:lang w:val="fr-FR"/>
        </w:rPr>
        <w:t>, comme l</w:t>
      </w:r>
      <w:r w:rsidR="008E532B">
        <w:rPr>
          <w:rFonts w:ascii="Arial" w:hAnsi="Arial" w:cs="Arial"/>
          <w:bCs/>
          <w:sz w:val="22"/>
          <w:szCs w:val="22"/>
          <w:lang w:val="fr-FR"/>
        </w:rPr>
        <w:t>’</w:t>
      </w:r>
      <w:r w:rsidRPr="00E82D58">
        <w:rPr>
          <w:rFonts w:ascii="Arial" w:hAnsi="Arial" w:cs="Arial"/>
          <w:bCs/>
          <w:sz w:val="22"/>
          <w:szCs w:val="22"/>
          <w:lang w:val="fr-FR"/>
        </w:rPr>
        <w:t>a</w:t>
      </w:r>
      <w:r>
        <w:rPr>
          <w:rFonts w:ascii="Arial" w:hAnsi="Arial" w:cs="Arial"/>
          <w:bCs/>
          <w:sz w:val="22"/>
          <w:szCs w:val="22"/>
          <w:lang w:val="fr-FR"/>
        </w:rPr>
        <w:t xml:space="preserve">vait </w:t>
      </w:r>
      <w:r w:rsidRPr="00E82D58">
        <w:rPr>
          <w:rFonts w:ascii="Arial" w:hAnsi="Arial" w:cs="Arial"/>
          <w:bCs/>
          <w:sz w:val="22"/>
          <w:szCs w:val="22"/>
          <w:lang w:val="fr-FR"/>
        </w:rPr>
        <w:t xml:space="preserve">proposé le Maroc, car il </w:t>
      </w:r>
      <w:r>
        <w:rPr>
          <w:rFonts w:ascii="Arial" w:hAnsi="Arial" w:cs="Arial"/>
          <w:bCs/>
          <w:sz w:val="22"/>
          <w:szCs w:val="22"/>
          <w:lang w:val="fr-FR"/>
        </w:rPr>
        <w:t>était</w:t>
      </w:r>
      <w:r w:rsidRPr="00E82D58">
        <w:rPr>
          <w:rFonts w:ascii="Arial" w:hAnsi="Arial" w:cs="Arial"/>
          <w:bCs/>
          <w:sz w:val="22"/>
          <w:szCs w:val="22"/>
          <w:lang w:val="fr-FR"/>
        </w:rPr>
        <w:t xml:space="preserve"> important de mettre leurs idées en avant.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agissant de </w:t>
      </w:r>
      <w:r w:rsidRPr="00E82D58">
        <w:rPr>
          <w:rFonts w:ascii="Arial" w:hAnsi="Arial" w:cs="Arial"/>
          <w:bCs/>
          <w:sz w:val="22"/>
          <w:szCs w:val="22"/>
          <w:lang w:val="fr-FR"/>
        </w:rPr>
        <w:t>l</w:t>
      </w:r>
      <w:r w:rsidR="008E532B">
        <w:rPr>
          <w:rFonts w:ascii="Arial" w:hAnsi="Arial" w:cs="Arial"/>
          <w:bCs/>
          <w:sz w:val="22"/>
          <w:szCs w:val="22"/>
          <w:lang w:val="fr-FR"/>
        </w:rPr>
        <w:t>’</w:t>
      </w:r>
      <w:r w:rsidRPr="00E82D58">
        <w:rPr>
          <w:rFonts w:ascii="Arial" w:hAnsi="Arial" w:cs="Arial"/>
          <w:bCs/>
          <w:sz w:val="22"/>
          <w:szCs w:val="22"/>
          <w:lang w:val="fr-FR"/>
        </w:rPr>
        <w:t>ordre des paragraphes, la délégation a suggéré d</w:t>
      </w:r>
      <w:r w:rsidR="008E532B">
        <w:rPr>
          <w:rFonts w:ascii="Arial" w:hAnsi="Arial" w:cs="Arial"/>
          <w:bCs/>
          <w:sz w:val="22"/>
          <w:szCs w:val="22"/>
          <w:lang w:val="fr-FR"/>
        </w:rPr>
        <w:t>’</w:t>
      </w:r>
      <w:r w:rsidRPr="00E82D58">
        <w:rPr>
          <w:rFonts w:ascii="Arial" w:hAnsi="Arial" w:cs="Arial"/>
          <w:bCs/>
          <w:sz w:val="22"/>
          <w:szCs w:val="22"/>
          <w:lang w:val="fr-FR"/>
        </w:rPr>
        <w:t>inverser l</w:t>
      </w:r>
      <w:r w:rsidR="008E532B">
        <w:rPr>
          <w:rFonts w:ascii="Arial" w:hAnsi="Arial" w:cs="Arial"/>
          <w:bCs/>
          <w:sz w:val="22"/>
          <w:szCs w:val="22"/>
          <w:lang w:val="fr-FR"/>
        </w:rPr>
        <w:t>’</w:t>
      </w:r>
      <w:r w:rsidRPr="00E82D58">
        <w:rPr>
          <w:rFonts w:ascii="Arial" w:hAnsi="Arial" w:cs="Arial"/>
          <w:bCs/>
          <w:sz w:val="22"/>
          <w:szCs w:val="22"/>
          <w:lang w:val="fr-FR"/>
        </w:rPr>
        <w:t>ordre de sorte que l</w:t>
      </w:r>
      <w:r w:rsidR="008E532B">
        <w:rPr>
          <w:rFonts w:ascii="Arial" w:hAnsi="Arial" w:cs="Arial"/>
          <w:bCs/>
          <w:sz w:val="22"/>
          <w:szCs w:val="22"/>
          <w:lang w:val="fr-FR"/>
        </w:rPr>
        <w:t>’</w:t>
      </w:r>
      <w:r w:rsidRPr="00E82D58">
        <w:rPr>
          <w:rFonts w:ascii="Arial" w:hAnsi="Arial" w:cs="Arial"/>
          <w:bCs/>
          <w:sz w:val="22"/>
          <w:szCs w:val="22"/>
          <w:lang w:val="fr-FR"/>
        </w:rPr>
        <w:t>actuel paragraphe 7 [proposition de la Colombie] devienne 6 [</w:t>
      </w:r>
      <w:r>
        <w:rPr>
          <w:rFonts w:ascii="Arial" w:hAnsi="Arial" w:cs="Arial"/>
          <w:bCs/>
          <w:sz w:val="22"/>
          <w:szCs w:val="22"/>
          <w:lang w:val="fr-FR"/>
        </w:rPr>
        <w:t>« </w:t>
      </w:r>
      <w:r w:rsidRPr="00E82D58">
        <w:rPr>
          <w:rFonts w:ascii="Arial" w:hAnsi="Arial" w:cs="Arial"/>
          <w:bCs/>
          <w:sz w:val="22"/>
          <w:szCs w:val="22"/>
          <w:lang w:val="fr-FR"/>
        </w:rPr>
        <w:t>encourage les ONG des groupes électoraux sous-représentés</w:t>
      </w:r>
      <w:r>
        <w:rPr>
          <w:rFonts w:ascii="Arial" w:hAnsi="Arial" w:cs="Arial"/>
          <w:bCs/>
          <w:sz w:val="22"/>
          <w:szCs w:val="22"/>
          <w:lang w:val="fr-FR"/>
        </w:rPr>
        <w:t> »</w:t>
      </w:r>
      <w:r w:rsidRPr="00E82D58">
        <w:rPr>
          <w:rFonts w:ascii="Arial" w:hAnsi="Arial" w:cs="Arial"/>
          <w:bCs/>
          <w:sz w:val="22"/>
          <w:szCs w:val="22"/>
          <w:lang w:val="fr-FR"/>
        </w:rPr>
        <w:t>] et vice versa. Cela serait plus logique, car il y a</w:t>
      </w:r>
      <w:r>
        <w:rPr>
          <w:rFonts w:ascii="Arial" w:hAnsi="Arial" w:cs="Arial"/>
          <w:bCs/>
          <w:sz w:val="22"/>
          <w:szCs w:val="22"/>
          <w:lang w:val="fr-FR"/>
        </w:rPr>
        <w:t>vait</w:t>
      </w:r>
      <w:r w:rsidRPr="00E82D58">
        <w:rPr>
          <w:rFonts w:ascii="Arial" w:hAnsi="Arial" w:cs="Arial"/>
          <w:bCs/>
          <w:sz w:val="22"/>
          <w:szCs w:val="22"/>
          <w:lang w:val="fr-FR"/>
        </w:rPr>
        <w:t xml:space="preserve"> d</w:t>
      </w:r>
      <w:r w:rsidR="008E532B">
        <w:rPr>
          <w:rFonts w:ascii="Arial" w:hAnsi="Arial" w:cs="Arial"/>
          <w:bCs/>
          <w:sz w:val="22"/>
          <w:szCs w:val="22"/>
          <w:lang w:val="fr-FR"/>
        </w:rPr>
        <w:t>’</w:t>
      </w:r>
      <w:r w:rsidRPr="00E82D58">
        <w:rPr>
          <w:rFonts w:ascii="Arial" w:hAnsi="Arial" w:cs="Arial"/>
          <w:bCs/>
          <w:sz w:val="22"/>
          <w:szCs w:val="22"/>
          <w:lang w:val="fr-FR"/>
        </w:rPr>
        <w:t xml:space="preserve">abord </w:t>
      </w:r>
      <w:r>
        <w:rPr>
          <w:rFonts w:ascii="Arial" w:hAnsi="Arial" w:cs="Arial"/>
          <w:bCs/>
          <w:sz w:val="22"/>
          <w:szCs w:val="22"/>
          <w:lang w:val="fr-FR"/>
        </w:rPr>
        <w:t>l</w:t>
      </w:r>
      <w:r w:rsidR="008E532B">
        <w:rPr>
          <w:rFonts w:ascii="Arial" w:hAnsi="Arial" w:cs="Arial"/>
          <w:bCs/>
          <w:sz w:val="22"/>
          <w:szCs w:val="22"/>
          <w:lang w:val="fr-FR"/>
        </w:rPr>
        <w:t>’</w:t>
      </w:r>
      <w:r w:rsidRPr="00E82D58">
        <w:rPr>
          <w:rFonts w:ascii="Arial" w:hAnsi="Arial" w:cs="Arial"/>
          <w:bCs/>
          <w:sz w:val="22"/>
          <w:szCs w:val="22"/>
          <w:lang w:val="fr-FR"/>
        </w:rPr>
        <w:t>expression d</w:t>
      </w:r>
      <w:r w:rsidR="008E532B">
        <w:rPr>
          <w:rFonts w:ascii="Arial" w:hAnsi="Arial" w:cs="Arial"/>
          <w:bCs/>
          <w:sz w:val="22"/>
          <w:szCs w:val="22"/>
          <w:lang w:val="fr-FR"/>
        </w:rPr>
        <w:t>’</w:t>
      </w:r>
      <w:r>
        <w:rPr>
          <w:rFonts w:ascii="Arial" w:hAnsi="Arial" w:cs="Arial"/>
          <w:bCs/>
          <w:sz w:val="22"/>
          <w:szCs w:val="22"/>
          <w:lang w:val="fr-FR"/>
        </w:rPr>
        <w:t>une</w:t>
      </w:r>
      <w:r w:rsidRPr="00E82D58">
        <w:rPr>
          <w:rFonts w:ascii="Arial" w:hAnsi="Arial" w:cs="Arial"/>
          <w:bCs/>
          <w:sz w:val="22"/>
          <w:szCs w:val="22"/>
          <w:lang w:val="fr-FR"/>
        </w:rPr>
        <w:t xml:space="preserve"> préoccupation suivie d</w:t>
      </w:r>
      <w:r w:rsidR="008E532B">
        <w:rPr>
          <w:rFonts w:ascii="Arial" w:hAnsi="Arial" w:cs="Arial"/>
          <w:bCs/>
          <w:sz w:val="22"/>
          <w:szCs w:val="22"/>
          <w:lang w:val="fr-FR"/>
        </w:rPr>
        <w:t>’</w:t>
      </w:r>
      <w:r w:rsidRPr="00E82D58">
        <w:rPr>
          <w:rFonts w:ascii="Arial" w:hAnsi="Arial" w:cs="Arial"/>
          <w:bCs/>
          <w:sz w:val="22"/>
          <w:szCs w:val="22"/>
          <w:lang w:val="fr-FR"/>
        </w:rPr>
        <w:t>une demande de solution. L</w:t>
      </w:r>
      <w:r w:rsidR="008E532B">
        <w:rPr>
          <w:rFonts w:ascii="Arial" w:hAnsi="Arial" w:cs="Arial"/>
          <w:bCs/>
          <w:sz w:val="22"/>
          <w:szCs w:val="22"/>
          <w:lang w:val="fr-FR"/>
        </w:rPr>
        <w:t>’</w:t>
      </w:r>
      <w:r w:rsidRPr="00E82D58">
        <w:rPr>
          <w:rFonts w:ascii="Arial" w:hAnsi="Arial" w:cs="Arial"/>
          <w:bCs/>
          <w:sz w:val="22"/>
          <w:szCs w:val="22"/>
          <w:lang w:val="fr-FR"/>
        </w:rPr>
        <w:t>Assemblée pourrait ensuite poursuivre avec le paragraphe 7bis proposé par la Palestine.</w:t>
      </w:r>
    </w:p>
    <w:p w14:paraId="46C8AD5C" w14:textId="751E161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B7253">
        <w:rPr>
          <w:rFonts w:ascii="Arial" w:hAnsi="Arial" w:cs="Arial"/>
          <w:bCs/>
          <w:sz w:val="22"/>
          <w:szCs w:val="22"/>
          <w:lang w:val="fr-FR"/>
        </w:rPr>
        <w:t xml:space="preserve">La délégation de la </w:t>
      </w:r>
      <w:r w:rsidRPr="00CB7253">
        <w:rPr>
          <w:rFonts w:ascii="Arial" w:hAnsi="Arial" w:cs="Arial"/>
          <w:b/>
          <w:sz w:val="22"/>
          <w:szCs w:val="22"/>
          <w:lang w:val="fr-FR"/>
        </w:rPr>
        <w:t>République arabe syrienne</w:t>
      </w:r>
      <w:r w:rsidRPr="00CB7253">
        <w:rPr>
          <w:rFonts w:ascii="Arial" w:hAnsi="Arial" w:cs="Arial"/>
          <w:bCs/>
          <w:sz w:val="22"/>
          <w:szCs w:val="22"/>
          <w:lang w:val="fr-FR"/>
        </w:rPr>
        <w:t xml:space="preserve"> a fait remarquer que le débat intéressant avait abouti à un consensus très favorable. Elle a remercié le Maroc pour sa proposition, l</w:t>
      </w:r>
      <w:r w:rsidR="008E532B">
        <w:rPr>
          <w:rFonts w:ascii="Arial" w:hAnsi="Arial" w:cs="Arial"/>
          <w:bCs/>
          <w:sz w:val="22"/>
          <w:szCs w:val="22"/>
          <w:lang w:val="fr-FR"/>
        </w:rPr>
        <w:t>’</w:t>
      </w:r>
      <w:r w:rsidRPr="00CB7253">
        <w:rPr>
          <w:rFonts w:ascii="Arial" w:hAnsi="Arial" w:cs="Arial"/>
          <w:bCs/>
          <w:sz w:val="22"/>
          <w:szCs w:val="22"/>
          <w:lang w:val="fr-FR"/>
        </w:rPr>
        <w:t>idée du mécanisme éta</w:t>
      </w:r>
      <w:r>
        <w:rPr>
          <w:rFonts w:ascii="Arial" w:hAnsi="Arial" w:cs="Arial"/>
          <w:bCs/>
          <w:sz w:val="22"/>
          <w:szCs w:val="22"/>
          <w:lang w:val="fr-FR"/>
        </w:rPr>
        <w:t>i</w:t>
      </w:r>
      <w:r w:rsidRPr="00CB7253">
        <w:rPr>
          <w:rFonts w:ascii="Arial" w:hAnsi="Arial" w:cs="Arial"/>
          <w:bCs/>
          <w:sz w:val="22"/>
          <w:szCs w:val="22"/>
          <w:lang w:val="fr-FR"/>
        </w:rPr>
        <w:t>t en effet très importan</w:t>
      </w:r>
      <w:r>
        <w:rPr>
          <w:rFonts w:ascii="Arial" w:hAnsi="Arial" w:cs="Arial"/>
          <w:bCs/>
          <w:sz w:val="22"/>
          <w:szCs w:val="22"/>
          <w:lang w:val="fr-FR"/>
        </w:rPr>
        <w:t>te</w:t>
      </w:r>
      <w:r w:rsidRPr="00CB7253">
        <w:rPr>
          <w:rFonts w:ascii="Arial" w:hAnsi="Arial" w:cs="Arial"/>
          <w:bCs/>
          <w:sz w:val="22"/>
          <w:szCs w:val="22"/>
          <w:lang w:val="fr-FR"/>
        </w:rPr>
        <w:t xml:space="preserve"> car elle déterminera</w:t>
      </w:r>
      <w:r>
        <w:rPr>
          <w:rFonts w:ascii="Arial" w:hAnsi="Arial" w:cs="Arial"/>
          <w:bCs/>
          <w:sz w:val="22"/>
          <w:szCs w:val="22"/>
          <w:lang w:val="fr-FR"/>
        </w:rPr>
        <w:t>it</w:t>
      </w:r>
      <w:r w:rsidRPr="00CB7253">
        <w:rPr>
          <w:rFonts w:ascii="Arial" w:hAnsi="Arial" w:cs="Arial"/>
          <w:bCs/>
          <w:sz w:val="22"/>
          <w:szCs w:val="22"/>
          <w:lang w:val="fr-FR"/>
        </w:rPr>
        <w:t xml:space="preserve"> la </w:t>
      </w:r>
      <w:r w:rsidRPr="00521BAD">
        <w:rPr>
          <w:rFonts w:ascii="Arial" w:hAnsi="Arial" w:cs="Arial"/>
          <w:bCs/>
          <w:sz w:val="22"/>
          <w:szCs w:val="22"/>
          <w:lang w:val="fr-FR"/>
        </w:rPr>
        <w:t xml:space="preserve">teneur </w:t>
      </w:r>
      <w:r>
        <w:rPr>
          <w:rFonts w:ascii="Arial" w:hAnsi="Arial" w:cs="Arial"/>
          <w:bCs/>
          <w:sz w:val="22"/>
          <w:szCs w:val="22"/>
          <w:lang w:val="fr-FR"/>
        </w:rPr>
        <w:t>d</w:t>
      </w:r>
      <w:r w:rsidRPr="00CB7253">
        <w:rPr>
          <w:rFonts w:ascii="Arial" w:hAnsi="Arial" w:cs="Arial"/>
          <w:bCs/>
          <w:sz w:val="22"/>
          <w:szCs w:val="22"/>
          <w:lang w:val="fr-FR"/>
        </w:rPr>
        <w:t>es consultations. L</w:t>
      </w:r>
      <w:r w:rsidR="008E532B">
        <w:rPr>
          <w:rFonts w:ascii="Arial" w:hAnsi="Arial" w:cs="Arial"/>
          <w:bCs/>
          <w:sz w:val="22"/>
          <w:szCs w:val="22"/>
          <w:lang w:val="fr-FR"/>
        </w:rPr>
        <w:t>’</w:t>
      </w:r>
      <w:r w:rsidRPr="00CB7253">
        <w:rPr>
          <w:rFonts w:ascii="Arial" w:hAnsi="Arial" w:cs="Arial"/>
          <w:bCs/>
          <w:sz w:val="22"/>
          <w:szCs w:val="22"/>
          <w:lang w:val="fr-FR"/>
        </w:rPr>
        <w:t xml:space="preserve">Assemblée </w:t>
      </w:r>
      <w:r>
        <w:rPr>
          <w:rFonts w:ascii="Arial" w:hAnsi="Arial" w:cs="Arial"/>
          <w:bCs/>
          <w:sz w:val="22"/>
          <w:szCs w:val="22"/>
          <w:lang w:val="fr-FR"/>
        </w:rPr>
        <w:t>avait convenu d</w:t>
      </w:r>
      <w:r w:rsidRPr="00CB7253">
        <w:rPr>
          <w:rFonts w:ascii="Arial" w:hAnsi="Arial" w:cs="Arial"/>
          <w:bCs/>
          <w:sz w:val="22"/>
          <w:szCs w:val="22"/>
          <w:lang w:val="fr-FR"/>
        </w:rPr>
        <w:t>es principes et d</w:t>
      </w:r>
      <w:r>
        <w:rPr>
          <w:rFonts w:ascii="Arial" w:hAnsi="Arial" w:cs="Arial"/>
          <w:bCs/>
          <w:sz w:val="22"/>
          <w:szCs w:val="22"/>
          <w:lang w:val="fr-FR"/>
        </w:rPr>
        <w:t>evai</w:t>
      </w:r>
      <w:r w:rsidRPr="00CB7253">
        <w:rPr>
          <w:rFonts w:ascii="Arial" w:hAnsi="Arial" w:cs="Arial"/>
          <w:bCs/>
          <w:sz w:val="22"/>
          <w:szCs w:val="22"/>
          <w:lang w:val="fr-FR"/>
        </w:rPr>
        <w:t xml:space="preserve">t maintenant passer aux mécanismes. </w:t>
      </w:r>
      <w:r>
        <w:rPr>
          <w:rFonts w:ascii="Arial" w:hAnsi="Arial" w:cs="Arial"/>
          <w:bCs/>
          <w:sz w:val="22"/>
          <w:szCs w:val="22"/>
          <w:lang w:val="fr-FR"/>
        </w:rPr>
        <w:t>La délégation</w:t>
      </w:r>
      <w:r w:rsidRPr="00CB7253">
        <w:rPr>
          <w:rFonts w:ascii="Arial" w:hAnsi="Arial" w:cs="Arial"/>
          <w:bCs/>
          <w:sz w:val="22"/>
          <w:szCs w:val="22"/>
          <w:lang w:val="fr-FR"/>
        </w:rPr>
        <w:t xml:space="preserve"> a</w:t>
      </w:r>
      <w:r>
        <w:rPr>
          <w:rFonts w:ascii="Arial" w:hAnsi="Arial" w:cs="Arial"/>
          <w:bCs/>
          <w:sz w:val="22"/>
          <w:szCs w:val="22"/>
          <w:lang w:val="fr-FR"/>
        </w:rPr>
        <w:t>vait</w:t>
      </w:r>
      <w:r w:rsidRPr="00CB7253">
        <w:rPr>
          <w:rFonts w:ascii="Arial" w:hAnsi="Arial" w:cs="Arial"/>
          <w:bCs/>
          <w:sz w:val="22"/>
          <w:szCs w:val="22"/>
          <w:lang w:val="fr-FR"/>
        </w:rPr>
        <w:t xml:space="preserve"> également trouvé </w:t>
      </w:r>
      <w:r>
        <w:rPr>
          <w:rFonts w:ascii="Arial" w:hAnsi="Arial" w:cs="Arial"/>
          <w:bCs/>
          <w:sz w:val="22"/>
          <w:szCs w:val="22"/>
          <w:lang w:val="fr-FR"/>
        </w:rPr>
        <w:t xml:space="preserve">très pertinente </w:t>
      </w:r>
      <w:r w:rsidRPr="00CB7253">
        <w:rPr>
          <w:rFonts w:ascii="Arial" w:hAnsi="Arial" w:cs="Arial"/>
          <w:bCs/>
          <w:sz w:val="22"/>
          <w:szCs w:val="22"/>
          <w:lang w:val="fr-FR"/>
        </w:rPr>
        <w:t xml:space="preserve">la proposition de la </w:t>
      </w:r>
      <w:r>
        <w:rPr>
          <w:rFonts w:ascii="Arial" w:hAnsi="Arial" w:cs="Arial"/>
          <w:bCs/>
          <w:sz w:val="22"/>
          <w:szCs w:val="22"/>
          <w:lang w:val="fr-FR"/>
        </w:rPr>
        <w:t>France de fixer un nombre minimum [d</w:t>
      </w:r>
      <w:r w:rsidR="008E532B">
        <w:rPr>
          <w:rFonts w:ascii="Arial" w:hAnsi="Arial" w:cs="Arial"/>
          <w:bCs/>
          <w:sz w:val="22"/>
          <w:szCs w:val="22"/>
          <w:lang w:val="fr-FR"/>
        </w:rPr>
        <w:t>’</w:t>
      </w:r>
      <w:r>
        <w:rPr>
          <w:rFonts w:ascii="Arial" w:hAnsi="Arial" w:cs="Arial"/>
          <w:bCs/>
          <w:sz w:val="22"/>
          <w:szCs w:val="22"/>
          <w:lang w:val="fr-FR"/>
        </w:rPr>
        <w:t xml:space="preserve">ONG], </w:t>
      </w:r>
      <w:r w:rsidRPr="00B85154">
        <w:rPr>
          <w:rFonts w:ascii="Arial" w:hAnsi="Arial" w:cs="Arial"/>
          <w:bCs/>
          <w:sz w:val="22"/>
          <w:szCs w:val="22"/>
          <w:lang w:val="fr-FR"/>
        </w:rPr>
        <w:t>proposition</w:t>
      </w:r>
      <w:r>
        <w:rPr>
          <w:rFonts w:ascii="Arial" w:hAnsi="Arial" w:cs="Arial"/>
          <w:bCs/>
          <w:sz w:val="22"/>
          <w:szCs w:val="22"/>
          <w:lang w:val="fr-FR"/>
        </w:rPr>
        <w:t xml:space="preserve"> </w:t>
      </w:r>
      <w:r w:rsidRPr="00CB7253">
        <w:rPr>
          <w:rFonts w:ascii="Arial" w:hAnsi="Arial" w:cs="Arial"/>
          <w:bCs/>
          <w:sz w:val="22"/>
          <w:szCs w:val="22"/>
          <w:lang w:val="fr-FR"/>
        </w:rPr>
        <w:t>soutenue par l</w:t>
      </w:r>
      <w:r w:rsidR="008E532B">
        <w:rPr>
          <w:rFonts w:ascii="Arial" w:hAnsi="Arial" w:cs="Arial"/>
          <w:bCs/>
          <w:sz w:val="22"/>
          <w:szCs w:val="22"/>
          <w:lang w:val="fr-FR"/>
        </w:rPr>
        <w:t>’</w:t>
      </w:r>
      <w:r w:rsidRPr="00CB7253">
        <w:rPr>
          <w:rFonts w:ascii="Arial" w:hAnsi="Arial" w:cs="Arial"/>
          <w:bCs/>
          <w:sz w:val="22"/>
          <w:szCs w:val="22"/>
          <w:lang w:val="fr-FR"/>
        </w:rPr>
        <w:t>Arabie Saoudite. Si cela n</w:t>
      </w:r>
      <w:r w:rsidR="008E532B">
        <w:rPr>
          <w:rFonts w:ascii="Arial" w:hAnsi="Arial" w:cs="Arial"/>
          <w:bCs/>
          <w:sz w:val="22"/>
          <w:szCs w:val="22"/>
          <w:lang w:val="fr-FR"/>
        </w:rPr>
        <w:t>’</w:t>
      </w:r>
      <w:r>
        <w:rPr>
          <w:rFonts w:ascii="Arial" w:hAnsi="Arial" w:cs="Arial"/>
          <w:bCs/>
          <w:sz w:val="22"/>
          <w:szCs w:val="22"/>
          <w:lang w:val="fr-FR"/>
        </w:rPr>
        <w:t>était</w:t>
      </w:r>
      <w:r w:rsidRPr="00CB7253">
        <w:rPr>
          <w:rFonts w:ascii="Arial" w:hAnsi="Arial" w:cs="Arial"/>
          <w:bCs/>
          <w:sz w:val="22"/>
          <w:szCs w:val="22"/>
          <w:lang w:val="fr-FR"/>
        </w:rPr>
        <w:t xml:space="preserve"> pas dans le projet de résolution, la délégation souhait</w:t>
      </w:r>
      <w:r>
        <w:rPr>
          <w:rFonts w:ascii="Arial" w:hAnsi="Arial" w:cs="Arial"/>
          <w:bCs/>
          <w:sz w:val="22"/>
          <w:szCs w:val="22"/>
          <w:lang w:val="fr-FR"/>
        </w:rPr>
        <w:t>ait</w:t>
      </w:r>
      <w:r w:rsidRPr="00CB7253">
        <w:rPr>
          <w:rFonts w:ascii="Arial" w:hAnsi="Arial" w:cs="Arial"/>
          <w:bCs/>
          <w:sz w:val="22"/>
          <w:szCs w:val="22"/>
          <w:lang w:val="fr-FR"/>
        </w:rPr>
        <w:t xml:space="preserve"> que cela soit inclus dans le</w:t>
      </w:r>
      <w:r>
        <w:rPr>
          <w:rFonts w:ascii="Arial" w:hAnsi="Arial" w:cs="Arial"/>
          <w:bCs/>
          <w:sz w:val="22"/>
          <w:szCs w:val="22"/>
          <w:lang w:val="fr-FR"/>
        </w:rPr>
        <w:t xml:space="preserve"> </w:t>
      </w:r>
      <w:r w:rsidRPr="00CB7253">
        <w:rPr>
          <w:rFonts w:ascii="Arial" w:hAnsi="Arial" w:cs="Arial"/>
          <w:bCs/>
          <w:sz w:val="22"/>
          <w:szCs w:val="22"/>
          <w:lang w:val="fr-FR"/>
        </w:rPr>
        <w:t>compte rendu</w:t>
      </w:r>
      <w:r>
        <w:rPr>
          <w:rFonts w:ascii="Arial" w:hAnsi="Arial" w:cs="Arial"/>
          <w:bCs/>
          <w:sz w:val="22"/>
          <w:szCs w:val="22"/>
          <w:lang w:val="fr-FR"/>
        </w:rPr>
        <w:t xml:space="preserve"> afin de souligner </w:t>
      </w:r>
      <w:r w:rsidRPr="00CB7253">
        <w:rPr>
          <w:rFonts w:ascii="Arial" w:hAnsi="Arial" w:cs="Arial"/>
          <w:bCs/>
          <w:sz w:val="22"/>
          <w:szCs w:val="22"/>
          <w:lang w:val="fr-FR"/>
        </w:rPr>
        <w:t>l</w:t>
      </w:r>
      <w:r w:rsidR="008E532B">
        <w:rPr>
          <w:rFonts w:ascii="Arial" w:hAnsi="Arial" w:cs="Arial"/>
          <w:bCs/>
          <w:sz w:val="22"/>
          <w:szCs w:val="22"/>
          <w:lang w:val="fr-FR"/>
        </w:rPr>
        <w:t>’</w:t>
      </w:r>
      <w:r w:rsidRPr="00CB7253">
        <w:rPr>
          <w:rFonts w:ascii="Arial" w:hAnsi="Arial" w:cs="Arial"/>
          <w:bCs/>
          <w:sz w:val="22"/>
          <w:szCs w:val="22"/>
          <w:lang w:val="fr-FR"/>
        </w:rPr>
        <w:t>importance d</w:t>
      </w:r>
      <w:r w:rsidR="008E532B">
        <w:rPr>
          <w:rFonts w:ascii="Arial" w:hAnsi="Arial" w:cs="Arial"/>
          <w:bCs/>
          <w:sz w:val="22"/>
          <w:szCs w:val="22"/>
          <w:lang w:val="fr-FR"/>
        </w:rPr>
        <w:t>’</w:t>
      </w:r>
      <w:r w:rsidRPr="00CB7253">
        <w:rPr>
          <w:rFonts w:ascii="Arial" w:hAnsi="Arial" w:cs="Arial"/>
          <w:bCs/>
          <w:sz w:val="22"/>
          <w:szCs w:val="22"/>
          <w:lang w:val="fr-FR"/>
        </w:rPr>
        <w:t>atteindre un nombre minimum d</w:t>
      </w:r>
      <w:r w:rsidR="008E532B">
        <w:rPr>
          <w:rFonts w:ascii="Arial" w:hAnsi="Arial" w:cs="Arial"/>
          <w:bCs/>
          <w:sz w:val="22"/>
          <w:szCs w:val="22"/>
          <w:lang w:val="fr-FR"/>
        </w:rPr>
        <w:t>’</w:t>
      </w:r>
      <w:r w:rsidRPr="00CB7253">
        <w:rPr>
          <w:rFonts w:ascii="Arial" w:hAnsi="Arial" w:cs="Arial"/>
          <w:bCs/>
          <w:sz w:val="22"/>
          <w:szCs w:val="22"/>
          <w:lang w:val="fr-FR"/>
        </w:rPr>
        <w:t xml:space="preserve">ONG </w:t>
      </w:r>
      <w:r>
        <w:rPr>
          <w:rFonts w:ascii="Arial" w:hAnsi="Arial" w:cs="Arial"/>
          <w:bCs/>
          <w:sz w:val="22"/>
          <w:szCs w:val="22"/>
          <w:lang w:val="fr-FR"/>
        </w:rPr>
        <w:t xml:space="preserve">provenant </w:t>
      </w:r>
      <w:r w:rsidRPr="00CB7253">
        <w:rPr>
          <w:rFonts w:ascii="Arial" w:hAnsi="Arial" w:cs="Arial"/>
          <w:bCs/>
          <w:sz w:val="22"/>
          <w:szCs w:val="22"/>
          <w:lang w:val="fr-FR"/>
        </w:rPr>
        <w:t xml:space="preserve">de </w:t>
      </w:r>
      <w:r>
        <w:rPr>
          <w:rFonts w:ascii="Arial" w:hAnsi="Arial" w:cs="Arial"/>
          <w:bCs/>
          <w:sz w:val="22"/>
          <w:szCs w:val="22"/>
          <w:lang w:val="fr-FR"/>
        </w:rPr>
        <w:t>g</w:t>
      </w:r>
      <w:r w:rsidRPr="00CB7253">
        <w:rPr>
          <w:rFonts w:ascii="Arial" w:hAnsi="Arial" w:cs="Arial"/>
          <w:bCs/>
          <w:sz w:val="22"/>
          <w:szCs w:val="22"/>
          <w:lang w:val="fr-FR"/>
        </w:rPr>
        <w:t xml:space="preserve">roupes électoraux sous-représentés </w:t>
      </w:r>
      <w:r>
        <w:rPr>
          <w:rFonts w:ascii="Arial" w:hAnsi="Arial" w:cs="Arial"/>
          <w:bCs/>
          <w:sz w:val="22"/>
          <w:szCs w:val="22"/>
          <w:lang w:val="fr-FR"/>
        </w:rPr>
        <w:t>au sein de</w:t>
      </w:r>
      <w:r w:rsidRPr="00CB7253">
        <w:rPr>
          <w:rFonts w:ascii="Arial" w:hAnsi="Arial" w:cs="Arial"/>
          <w:bCs/>
          <w:sz w:val="22"/>
          <w:szCs w:val="22"/>
          <w:lang w:val="fr-FR"/>
        </w:rPr>
        <w:t xml:space="preserve"> l</w:t>
      </w:r>
      <w:r w:rsidR="008E532B">
        <w:rPr>
          <w:rFonts w:ascii="Arial" w:hAnsi="Arial" w:cs="Arial"/>
          <w:bCs/>
          <w:sz w:val="22"/>
          <w:szCs w:val="22"/>
          <w:lang w:val="fr-FR"/>
        </w:rPr>
        <w:t>’</w:t>
      </w:r>
      <w:r w:rsidRPr="00CB7253">
        <w:rPr>
          <w:rFonts w:ascii="Arial" w:hAnsi="Arial" w:cs="Arial"/>
          <w:bCs/>
          <w:sz w:val="22"/>
          <w:szCs w:val="22"/>
          <w:lang w:val="fr-FR"/>
        </w:rPr>
        <w:t>Organe d</w:t>
      </w:r>
      <w:r w:rsidR="008E532B">
        <w:rPr>
          <w:rFonts w:ascii="Arial" w:hAnsi="Arial" w:cs="Arial"/>
          <w:bCs/>
          <w:sz w:val="22"/>
          <w:szCs w:val="22"/>
          <w:lang w:val="fr-FR"/>
        </w:rPr>
        <w:t>’</w:t>
      </w:r>
      <w:r w:rsidRPr="00CB7253">
        <w:rPr>
          <w:rFonts w:ascii="Arial" w:hAnsi="Arial" w:cs="Arial"/>
          <w:bCs/>
          <w:sz w:val="22"/>
          <w:szCs w:val="22"/>
          <w:lang w:val="fr-FR"/>
        </w:rPr>
        <w:t>évaluation.</w:t>
      </w:r>
    </w:p>
    <w:p w14:paraId="1BAF6C01" w14:textId="6D616EF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D4A97">
        <w:rPr>
          <w:rFonts w:ascii="Arial" w:hAnsi="Arial" w:cs="Arial"/>
          <w:bCs/>
          <w:sz w:val="22"/>
          <w:szCs w:val="22"/>
          <w:lang w:val="fr-FR"/>
        </w:rPr>
        <w:t xml:space="preserve">La délégation de la </w:t>
      </w:r>
      <w:r w:rsidRPr="008D4A97">
        <w:rPr>
          <w:rFonts w:ascii="Arial" w:hAnsi="Arial" w:cs="Arial"/>
          <w:b/>
          <w:sz w:val="22"/>
          <w:szCs w:val="22"/>
          <w:lang w:val="fr-FR"/>
        </w:rPr>
        <w:t>Pologne</w:t>
      </w:r>
      <w:r w:rsidRPr="008D4A97">
        <w:rPr>
          <w:rFonts w:ascii="Arial" w:hAnsi="Arial" w:cs="Arial"/>
          <w:bCs/>
          <w:sz w:val="22"/>
          <w:szCs w:val="22"/>
          <w:lang w:val="fr-FR"/>
        </w:rPr>
        <w:t xml:space="preserve"> a remercié la Colombie </w:t>
      </w:r>
      <w:r>
        <w:rPr>
          <w:rFonts w:ascii="Arial" w:hAnsi="Arial" w:cs="Arial"/>
          <w:bCs/>
          <w:sz w:val="22"/>
          <w:szCs w:val="22"/>
          <w:lang w:val="fr-FR"/>
        </w:rPr>
        <w:t xml:space="preserve">pour </w:t>
      </w:r>
      <w:r w:rsidRPr="008D4A97">
        <w:rPr>
          <w:rFonts w:ascii="Arial" w:hAnsi="Arial" w:cs="Arial"/>
          <w:bCs/>
          <w:sz w:val="22"/>
          <w:szCs w:val="22"/>
          <w:lang w:val="fr-FR"/>
        </w:rPr>
        <w:t xml:space="preserve">sa proposition judicieuse </w:t>
      </w:r>
      <w:r>
        <w:rPr>
          <w:rFonts w:ascii="Arial" w:hAnsi="Arial" w:cs="Arial"/>
          <w:bCs/>
          <w:sz w:val="22"/>
          <w:szCs w:val="22"/>
          <w:lang w:val="fr-FR"/>
        </w:rPr>
        <w:t xml:space="preserve">ainsi que </w:t>
      </w:r>
      <w:r w:rsidRPr="008D4A97">
        <w:rPr>
          <w:rFonts w:ascii="Arial" w:hAnsi="Arial" w:cs="Arial"/>
          <w:bCs/>
          <w:sz w:val="22"/>
          <w:szCs w:val="22"/>
          <w:lang w:val="fr-FR"/>
        </w:rPr>
        <w:t xml:space="preserve">le Maroc </w:t>
      </w:r>
      <w:r>
        <w:rPr>
          <w:rFonts w:ascii="Arial" w:hAnsi="Arial" w:cs="Arial"/>
          <w:bCs/>
          <w:sz w:val="22"/>
          <w:szCs w:val="22"/>
          <w:lang w:val="fr-FR"/>
        </w:rPr>
        <w:t xml:space="preserve">pour la </w:t>
      </w:r>
      <w:r w:rsidRPr="008D4A97">
        <w:rPr>
          <w:rFonts w:ascii="Arial" w:hAnsi="Arial" w:cs="Arial"/>
          <w:bCs/>
          <w:sz w:val="22"/>
          <w:szCs w:val="22"/>
          <w:lang w:val="fr-FR"/>
        </w:rPr>
        <w:t>solution</w:t>
      </w:r>
      <w:r>
        <w:rPr>
          <w:rFonts w:ascii="Arial" w:hAnsi="Arial" w:cs="Arial"/>
          <w:bCs/>
          <w:sz w:val="22"/>
          <w:szCs w:val="22"/>
          <w:lang w:val="fr-FR"/>
        </w:rPr>
        <w:t xml:space="preserve"> qu</w:t>
      </w:r>
      <w:r w:rsidR="008E532B">
        <w:rPr>
          <w:rFonts w:ascii="Arial" w:hAnsi="Arial" w:cs="Arial"/>
          <w:bCs/>
          <w:sz w:val="22"/>
          <w:szCs w:val="22"/>
          <w:lang w:val="fr-FR"/>
        </w:rPr>
        <w:t>’</w:t>
      </w:r>
      <w:r>
        <w:rPr>
          <w:rFonts w:ascii="Arial" w:hAnsi="Arial" w:cs="Arial"/>
          <w:bCs/>
          <w:sz w:val="22"/>
          <w:szCs w:val="22"/>
          <w:lang w:val="fr-FR"/>
        </w:rPr>
        <w:t>il avait trouvée</w:t>
      </w:r>
      <w:r w:rsidRPr="008D4A97">
        <w:rPr>
          <w:rFonts w:ascii="Arial" w:hAnsi="Arial" w:cs="Arial"/>
          <w:bCs/>
          <w:sz w:val="22"/>
          <w:szCs w:val="22"/>
          <w:lang w:val="fr-FR"/>
        </w:rPr>
        <w:t>. En effet, il s</w:t>
      </w:r>
      <w:r w:rsidR="008E532B">
        <w:rPr>
          <w:rFonts w:ascii="Arial" w:hAnsi="Arial" w:cs="Arial"/>
          <w:bCs/>
          <w:sz w:val="22"/>
          <w:szCs w:val="22"/>
          <w:lang w:val="fr-FR"/>
        </w:rPr>
        <w:t>’</w:t>
      </w:r>
      <w:r w:rsidRPr="008D4A97">
        <w:rPr>
          <w:rFonts w:ascii="Arial" w:hAnsi="Arial" w:cs="Arial"/>
          <w:bCs/>
          <w:sz w:val="22"/>
          <w:szCs w:val="22"/>
          <w:lang w:val="fr-FR"/>
        </w:rPr>
        <w:t>agi</w:t>
      </w:r>
      <w:r>
        <w:rPr>
          <w:rFonts w:ascii="Arial" w:hAnsi="Arial" w:cs="Arial"/>
          <w:bCs/>
          <w:sz w:val="22"/>
          <w:szCs w:val="22"/>
          <w:lang w:val="fr-FR"/>
        </w:rPr>
        <w:t>ssai</w:t>
      </w:r>
      <w:r w:rsidRPr="008D4A97">
        <w:rPr>
          <w:rFonts w:ascii="Arial" w:hAnsi="Arial" w:cs="Arial"/>
          <w:bCs/>
          <w:sz w:val="22"/>
          <w:szCs w:val="22"/>
          <w:lang w:val="fr-FR"/>
        </w:rPr>
        <w:t>t d</w:t>
      </w:r>
      <w:r w:rsidR="008E532B">
        <w:rPr>
          <w:rFonts w:ascii="Arial" w:hAnsi="Arial" w:cs="Arial"/>
          <w:bCs/>
          <w:sz w:val="22"/>
          <w:szCs w:val="22"/>
          <w:lang w:val="fr-FR"/>
        </w:rPr>
        <w:t>’</w:t>
      </w:r>
      <w:r w:rsidRPr="008D4A97">
        <w:rPr>
          <w:rFonts w:ascii="Arial" w:hAnsi="Arial" w:cs="Arial"/>
          <w:bCs/>
          <w:sz w:val="22"/>
          <w:szCs w:val="22"/>
          <w:lang w:val="fr-FR"/>
        </w:rPr>
        <w:t>un sujet extrêmement important et la délégation souten</w:t>
      </w:r>
      <w:r>
        <w:rPr>
          <w:rFonts w:ascii="Arial" w:hAnsi="Arial" w:cs="Arial"/>
          <w:bCs/>
          <w:sz w:val="22"/>
          <w:szCs w:val="22"/>
          <w:lang w:val="fr-FR"/>
        </w:rPr>
        <w:t>ait</w:t>
      </w:r>
      <w:r w:rsidRPr="008D4A97">
        <w:rPr>
          <w:rFonts w:ascii="Arial" w:hAnsi="Arial" w:cs="Arial"/>
          <w:bCs/>
          <w:sz w:val="22"/>
          <w:szCs w:val="22"/>
          <w:lang w:val="fr-FR"/>
        </w:rPr>
        <w:t xml:space="preserve"> cet amendement, étant entendu qu</w:t>
      </w:r>
      <w:r w:rsidR="008E532B">
        <w:rPr>
          <w:rFonts w:ascii="Arial" w:hAnsi="Arial" w:cs="Arial"/>
          <w:bCs/>
          <w:sz w:val="22"/>
          <w:szCs w:val="22"/>
          <w:lang w:val="fr-FR"/>
        </w:rPr>
        <w:t>’</w:t>
      </w:r>
      <w:r w:rsidRPr="008D4A97">
        <w:rPr>
          <w:rFonts w:ascii="Arial" w:hAnsi="Arial" w:cs="Arial"/>
          <w:bCs/>
          <w:sz w:val="22"/>
          <w:szCs w:val="22"/>
          <w:lang w:val="fr-FR"/>
        </w:rPr>
        <w:t xml:space="preserve">il </w:t>
      </w:r>
      <w:r>
        <w:rPr>
          <w:rFonts w:ascii="Arial" w:hAnsi="Arial" w:cs="Arial"/>
          <w:bCs/>
          <w:sz w:val="22"/>
          <w:szCs w:val="22"/>
          <w:lang w:val="fr-FR"/>
        </w:rPr>
        <w:t xml:space="preserve">constituait </w:t>
      </w:r>
      <w:r w:rsidRPr="008D4A97">
        <w:rPr>
          <w:rFonts w:ascii="Arial" w:hAnsi="Arial" w:cs="Arial"/>
          <w:bCs/>
          <w:sz w:val="22"/>
          <w:szCs w:val="22"/>
          <w:lang w:val="fr-FR"/>
        </w:rPr>
        <w:t>une alternative à l</w:t>
      </w:r>
      <w:r w:rsidR="008E532B">
        <w:rPr>
          <w:rFonts w:ascii="Arial" w:hAnsi="Arial" w:cs="Arial"/>
          <w:bCs/>
          <w:sz w:val="22"/>
          <w:szCs w:val="22"/>
          <w:lang w:val="fr-FR"/>
        </w:rPr>
        <w:t>’</w:t>
      </w:r>
      <w:r w:rsidRPr="008D4A97">
        <w:rPr>
          <w:rFonts w:ascii="Arial" w:hAnsi="Arial" w:cs="Arial"/>
          <w:bCs/>
          <w:sz w:val="22"/>
          <w:szCs w:val="22"/>
          <w:lang w:val="fr-FR"/>
        </w:rPr>
        <w:t>amendement de la Palestine, comme l</w:t>
      </w:r>
      <w:r w:rsidR="008E532B">
        <w:rPr>
          <w:rFonts w:ascii="Arial" w:hAnsi="Arial" w:cs="Arial"/>
          <w:bCs/>
          <w:sz w:val="22"/>
          <w:szCs w:val="22"/>
          <w:lang w:val="fr-FR"/>
        </w:rPr>
        <w:t>’</w:t>
      </w:r>
      <w:r>
        <w:rPr>
          <w:rFonts w:ascii="Arial" w:hAnsi="Arial" w:cs="Arial"/>
          <w:bCs/>
          <w:sz w:val="22"/>
          <w:szCs w:val="22"/>
          <w:lang w:val="fr-FR"/>
        </w:rPr>
        <w:t>avaient</w:t>
      </w:r>
      <w:r w:rsidRPr="008D4A97">
        <w:rPr>
          <w:rFonts w:ascii="Arial" w:hAnsi="Arial" w:cs="Arial"/>
          <w:bCs/>
          <w:sz w:val="22"/>
          <w:szCs w:val="22"/>
          <w:lang w:val="fr-FR"/>
        </w:rPr>
        <w:t xml:space="preserve"> mentionné certaines délégations, </w:t>
      </w:r>
      <w:r>
        <w:rPr>
          <w:rFonts w:ascii="Arial" w:hAnsi="Arial" w:cs="Arial"/>
          <w:bCs/>
          <w:sz w:val="22"/>
          <w:szCs w:val="22"/>
          <w:lang w:val="fr-FR"/>
        </w:rPr>
        <w:t>telles que</w:t>
      </w:r>
      <w:r w:rsidRPr="008D4A97">
        <w:rPr>
          <w:rFonts w:ascii="Arial" w:hAnsi="Arial" w:cs="Arial"/>
          <w:bCs/>
          <w:sz w:val="22"/>
          <w:szCs w:val="22"/>
          <w:lang w:val="fr-FR"/>
        </w:rPr>
        <w:t xml:space="preserve"> le Chili. Elle </w:t>
      </w:r>
      <w:r>
        <w:rPr>
          <w:rFonts w:ascii="Arial" w:hAnsi="Arial" w:cs="Arial"/>
          <w:bCs/>
          <w:sz w:val="22"/>
          <w:szCs w:val="22"/>
          <w:lang w:val="fr-FR"/>
        </w:rPr>
        <w:t xml:space="preserve">pensait </w:t>
      </w:r>
      <w:r w:rsidRPr="008D4A97">
        <w:rPr>
          <w:rFonts w:ascii="Arial" w:hAnsi="Arial" w:cs="Arial"/>
          <w:bCs/>
          <w:sz w:val="22"/>
          <w:szCs w:val="22"/>
          <w:lang w:val="fr-FR"/>
        </w:rPr>
        <w:t>que l</w:t>
      </w:r>
      <w:r w:rsidR="008E532B">
        <w:rPr>
          <w:rFonts w:ascii="Arial" w:hAnsi="Arial" w:cs="Arial"/>
          <w:bCs/>
          <w:sz w:val="22"/>
          <w:szCs w:val="22"/>
          <w:lang w:val="fr-FR"/>
        </w:rPr>
        <w:t>’</w:t>
      </w:r>
      <w:r w:rsidRPr="008D4A97">
        <w:rPr>
          <w:rFonts w:ascii="Arial" w:hAnsi="Arial" w:cs="Arial"/>
          <w:bCs/>
          <w:sz w:val="22"/>
          <w:szCs w:val="22"/>
          <w:lang w:val="fr-FR"/>
        </w:rPr>
        <w:t>Assemblée devrait d</w:t>
      </w:r>
      <w:r w:rsidR="008E532B">
        <w:rPr>
          <w:rFonts w:ascii="Arial" w:hAnsi="Arial" w:cs="Arial"/>
          <w:bCs/>
          <w:sz w:val="22"/>
          <w:szCs w:val="22"/>
          <w:lang w:val="fr-FR"/>
        </w:rPr>
        <w:t>’</w:t>
      </w:r>
      <w:r w:rsidRPr="008D4A97">
        <w:rPr>
          <w:rFonts w:ascii="Arial" w:hAnsi="Arial" w:cs="Arial"/>
          <w:bCs/>
          <w:sz w:val="22"/>
          <w:szCs w:val="22"/>
          <w:lang w:val="fr-FR"/>
        </w:rPr>
        <w:t>abord se concentrer sur la recherche pour établir un plan d</w:t>
      </w:r>
      <w:r w:rsidR="008E532B">
        <w:rPr>
          <w:rFonts w:ascii="Arial" w:hAnsi="Arial" w:cs="Arial"/>
          <w:bCs/>
          <w:sz w:val="22"/>
          <w:szCs w:val="22"/>
          <w:lang w:val="fr-FR"/>
        </w:rPr>
        <w:t>’</w:t>
      </w:r>
      <w:r w:rsidRPr="008D4A97">
        <w:rPr>
          <w:rFonts w:ascii="Arial" w:hAnsi="Arial" w:cs="Arial"/>
          <w:bCs/>
          <w:sz w:val="22"/>
          <w:szCs w:val="22"/>
          <w:lang w:val="fr-FR"/>
        </w:rPr>
        <w:t>action, après quoi elle pourrait prendre des mesures pour avancer.</w:t>
      </w:r>
    </w:p>
    <w:p w14:paraId="33CF2414" w14:textId="0F5D31F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D4A97">
        <w:rPr>
          <w:rFonts w:ascii="Arial" w:hAnsi="Arial" w:cs="Arial"/>
          <w:bCs/>
          <w:sz w:val="22"/>
          <w:szCs w:val="22"/>
          <w:lang w:val="fr-FR"/>
        </w:rPr>
        <w:t xml:space="preserve">La </w:t>
      </w:r>
      <w:r w:rsidRPr="008D4A97">
        <w:rPr>
          <w:rFonts w:ascii="Arial" w:hAnsi="Arial" w:cs="Arial"/>
          <w:b/>
          <w:sz w:val="22"/>
          <w:szCs w:val="22"/>
          <w:lang w:val="fr-FR"/>
        </w:rPr>
        <w:t>Présidente</w:t>
      </w:r>
      <w:r w:rsidRPr="008D4A97">
        <w:rPr>
          <w:rFonts w:ascii="Arial" w:hAnsi="Arial" w:cs="Arial"/>
          <w:bCs/>
          <w:sz w:val="22"/>
          <w:szCs w:val="22"/>
          <w:lang w:val="fr-FR"/>
        </w:rPr>
        <w:t xml:space="preserve"> </w:t>
      </w:r>
      <w:r>
        <w:rPr>
          <w:rFonts w:ascii="Arial" w:hAnsi="Arial" w:cs="Arial"/>
          <w:bCs/>
          <w:sz w:val="22"/>
          <w:szCs w:val="22"/>
          <w:lang w:val="fr-FR"/>
        </w:rPr>
        <w:t>est</w:t>
      </w:r>
      <w:r w:rsidRPr="008D4A97">
        <w:rPr>
          <w:rFonts w:ascii="Arial" w:hAnsi="Arial" w:cs="Arial"/>
          <w:bCs/>
          <w:sz w:val="22"/>
          <w:szCs w:val="22"/>
          <w:lang w:val="fr-FR"/>
        </w:rPr>
        <w:t xml:space="preserve"> ensuite </w:t>
      </w:r>
      <w:r>
        <w:rPr>
          <w:rFonts w:ascii="Arial" w:hAnsi="Arial" w:cs="Arial"/>
          <w:bCs/>
          <w:sz w:val="22"/>
          <w:szCs w:val="22"/>
          <w:lang w:val="fr-FR"/>
        </w:rPr>
        <w:t xml:space="preserve">passée </w:t>
      </w:r>
      <w:r w:rsidRPr="008D4A97">
        <w:rPr>
          <w:rFonts w:ascii="Arial" w:hAnsi="Arial" w:cs="Arial"/>
          <w:bCs/>
          <w:sz w:val="22"/>
          <w:szCs w:val="22"/>
          <w:lang w:val="fr-FR"/>
        </w:rPr>
        <w:t>au paragraphe 6 [proposition de la Colombie]. En l</w:t>
      </w:r>
      <w:r w:rsidR="008E532B">
        <w:rPr>
          <w:rFonts w:ascii="Arial" w:hAnsi="Arial" w:cs="Arial"/>
          <w:bCs/>
          <w:sz w:val="22"/>
          <w:szCs w:val="22"/>
          <w:lang w:val="fr-FR"/>
        </w:rPr>
        <w:t>’</w:t>
      </w:r>
      <w:r w:rsidRPr="008D4A97">
        <w:rPr>
          <w:rFonts w:ascii="Arial" w:hAnsi="Arial" w:cs="Arial"/>
          <w:bCs/>
          <w:sz w:val="22"/>
          <w:szCs w:val="22"/>
          <w:lang w:val="fr-FR"/>
        </w:rPr>
        <w:t>absence</w:t>
      </w:r>
      <w:r>
        <w:rPr>
          <w:rFonts w:ascii="Arial" w:hAnsi="Arial" w:cs="Arial"/>
          <w:bCs/>
          <w:sz w:val="22"/>
          <w:szCs w:val="22"/>
          <w:lang w:val="fr-FR"/>
        </w:rPr>
        <w:t xml:space="preserve"> d</w:t>
      </w:r>
      <w:r w:rsidR="008E532B">
        <w:rPr>
          <w:rFonts w:ascii="Arial" w:hAnsi="Arial" w:cs="Arial"/>
          <w:bCs/>
          <w:sz w:val="22"/>
          <w:szCs w:val="22"/>
          <w:lang w:val="fr-FR"/>
        </w:rPr>
        <w:t>’</w:t>
      </w:r>
      <w:r w:rsidRPr="008D4A97">
        <w:rPr>
          <w:rFonts w:ascii="Arial" w:hAnsi="Arial" w:cs="Arial"/>
          <w:bCs/>
          <w:sz w:val="22"/>
          <w:szCs w:val="22"/>
          <w:lang w:val="fr-FR"/>
        </w:rPr>
        <w:t>objection</w:t>
      </w:r>
      <w:r>
        <w:rPr>
          <w:rFonts w:ascii="Arial" w:hAnsi="Arial" w:cs="Arial"/>
          <w:bCs/>
          <w:sz w:val="22"/>
          <w:szCs w:val="22"/>
          <w:lang w:val="fr-FR"/>
        </w:rPr>
        <w:t>s</w:t>
      </w:r>
      <w:r w:rsidRPr="008D4A97">
        <w:rPr>
          <w:rFonts w:ascii="Arial" w:hAnsi="Arial" w:cs="Arial"/>
          <w:bCs/>
          <w:sz w:val="22"/>
          <w:szCs w:val="22"/>
          <w:lang w:val="fr-FR"/>
        </w:rPr>
        <w:t xml:space="preserve">, il </w:t>
      </w:r>
      <w:r>
        <w:rPr>
          <w:rFonts w:ascii="Arial" w:hAnsi="Arial" w:cs="Arial"/>
          <w:bCs/>
          <w:sz w:val="22"/>
          <w:szCs w:val="22"/>
          <w:lang w:val="fr-FR"/>
        </w:rPr>
        <w:t>a été</w:t>
      </w:r>
      <w:r w:rsidRPr="008D4A97">
        <w:rPr>
          <w:rFonts w:ascii="Arial" w:hAnsi="Arial" w:cs="Arial"/>
          <w:bCs/>
          <w:sz w:val="22"/>
          <w:szCs w:val="22"/>
          <w:lang w:val="fr-FR"/>
        </w:rPr>
        <w:t xml:space="preserve"> dûment adopté. Il n</w:t>
      </w:r>
      <w:r w:rsidR="008E532B">
        <w:rPr>
          <w:rFonts w:ascii="Arial" w:hAnsi="Arial" w:cs="Arial"/>
          <w:bCs/>
          <w:sz w:val="22"/>
          <w:szCs w:val="22"/>
          <w:lang w:val="fr-FR"/>
        </w:rPr>
        <w:t>’</w:t>
      </w:r>
      <w:r w:rsidRPr="008D4A97">
        <w:rPr>
          <w:rFonts w:ascii="Arial" w:hAnsi="Arial" w:cs="Arial"/>
          <w:bCs/>
          <w:sz w:val="22"/>
          <w:szCs w:val="22"/>
          <w:lang w:val="fr-FR"/>
        </w:rPr>
        <w:t>y a</w:t>
      </w:r>
      <w:r>
        <w:rPr>
          <w:rFonts w:ascii="Arial" w:hAnsi="Arial" w:cs="Arial"/>
          <w:bCs/>
          <w:sz w:val="22"/>
          <w:szCs w:val="22"/>
          <w:lang w:val="fr-FR"/>
        </w:rPr>
        <w:t xml:space="preserve">vait </w:t>
      </w:r>
      <w:r w:rsidRPr="008D4A97">
        <w:rPr>
          <w:rFonts w:ascii="Arial" w:hAnsi="Arial" w:cs="Arial"/>
          <w:bCs/>
          <w:sz w:val="22"/>
          <w:szCs w:val="22"/>
          <w:lang w:val="fr-FR"/>
        </w:rPr>
        <w:t>pas d</w:t>
      </w:r>
      <w:r w:rsidR="008E532B">
        <w:rPr>
          <w:rFonts w:ascii="Arial" w:hAnsi="Arial" w:cs="Arial"/>
          <w:bCs/>
          <w:sz w:val="22"/>
          <w:szCs w:val="22"/>
          <w:lang w:val="fr-FR"/>
        </w:rPr>
        <w:t>’</w:t>
      </w:r>
      <w:r w:rsidRPr="008D4A97">
        <w:rPr>
          <w:rFonts w:ascii="Arial" w:hAnsi="Arial" w:cs="Arial"/>
          <w:bCs/>
          <w:sz w:val="22"/>
          <w:szCs w:val="22"/>
          <w:lang w:val="fr-FR"/>
        </w:rPr>
        <w:t>objections au paragraphe 7 [</w:t>
      </w:r>
      <w:r>
        <w:rPr>
          <w:rFonts w:ascii="Arial" w:hAnsi="Arial" w:cs="Arial"/>
          <w:bCs/>
          <w:sz w:val="22"/>
          <w:szCs w:val="22"/>
          <w:lang w:val="fr-FR"/>
        </w:rPr>
        <w:t>« </w:t>
      </w:r>
      <w:r w:rsidRPr="008D4A97">
        <w:rPr>
          <w:rFonts w:ascii="Arial" w:hAnsi="Arial" w:cs="Arial"/>
          <w:bCs/>
          <w:sz w:val="22"/>
          <w:szCs w:val="22"/>
          <w:lang w:val="fr-FR"/>
        </w:rPr>
        <w:t>Encourage les ONG des groupes électoraux sous-représentés</w:t>
      </w:r>
      <w:r>
        <w:rPr>
          <w:rFonts w:ascii="Arial" w:hAnsi="Arial" w:cs="Arial"/>
          <w:bCs/>
          <w:sz w:val="22"/>
          <w:szCs w:val="22"/>
          <w:lang w:val="fr-FR"/>
        </w:rPr>
        <w:t> »</w:t>
      </w:r>
      <w:r w:rsidRPr="008D4A97">
        <w:rPr>
          <w:rFonts w:ascii="Arial" w:hAnsi="Arial" w:cs="Arial"/>
          <w:bCs/>
          <w:sz w:val="22"/>
          <w:szCs w:val="22"/>
          <w:lang w:val="fr-FR"/>
        </w:rPr>
        <w:t xml:space="preserve">], qui </w:t>
      </w:r>
      <w:r>
        <w:rPr>
          <w:rFonts w:ascii="Arial" w:hAnsi="Arial" w:cs="Arial"/>
          <w:bCs/>
          <w:sz w:val="22"/>
          <w:szCs w:val="22"/>
          <w:lang w:val="fr-FR"/>
        </w:rPr>
        <w:t>a été</w:t>
      </w:r>
      <w:r w:rsidRPr="008D4A97">
        <w:rPr>
          <w:rFonts w:ascii="Arial" w:hAnsi="Arial" w:cs="Arial"/>
          <w:bCs/>
          <w:sz w:val="22"/>
          <w:szCs w:val="22"/>
          <w:lang w:val="fr-FR"/>
        </w:rPr>
        <w:t xml:space="preserve"> dûment adopté. La Présidente </w:t>
      </w:r>
      <w:r>
        <w:rPr>
          <w:rFonts w:ascii="Arial" w:hAnsi="Arial" w:cs="Arial"/>
          <w:bCs/>
          <w:sz w:val="22"/>
          <w:szCs w:val="22"/>
          <w:lang w:val="fr-FR"/>
        </w:rPr>
        <w:t xml:space="preserve">est ensuite </w:t>
      </w:r>
      <w:r w:rsidRPr="008D4A97">
        <w:rPr>
          <w:rFonts w:ascii="Arial" w:hAnsi="Arial" w:cs="Arial"/>
          <w:bCs/>
          <w:sz w:val="22"/>
          <w:szCs w:val="22"/>
          <w:lang w:val="fr-FR"/>
        </w:rPr>
        <w:t>pass</w:t>
      </w:r>
      <w:r>
        <w:rPr>
          <w:rFonts w:ascii="Arial" w:hAnsi="Arial" w:cs="Arial"/>
          <w:bCs/>
          <w:sz w:val="22"/>
          <w:szCs w:val="22"/>
          <w:lang w:val="fr-FR"/>
        </w:rPr>
        <w:t>ée</w:t>
      </w:r>
      <w:r w:rsidRPr="008D4A97">
        <w:rPr>
          <w:rFonts w:ascii="Arial" w:hAnsi="Arial" w:cs="Arial"/>
          <w:bCs/>
          <w:sz w:val="22"/>
          <w:szCs w:val="22"/>
          <w:lang w:val="fr-FR"/>
        </w:rPr>
        <w:t xml:space="preserve"> ensuite au paragraphe 7bis de la Palestine, qui se</w:t>
      </w:r>
      <w:r>
        <w:rPr>
          <w:rFonts w:ascii="Arial" w:hAnsi="Arial" w:cs="Arial"/>
          <w:bCs/>
          <w:sz w:val="22"/>
          <w:szCs w:val="22"/>
          <w:lang w:val="fr-FR"/>
        </w:rPr>
        <w:t>rait ainsi rédigé </w:t>
      </w:r>
      <w:r w:rsidRPr="008D4A97">
        <w:rPr>
          <w:rFonts w:ascii="Arial" w:hAnsi="Arial" w:cs="Arial"/>
          <w:bCs/>
          <w:sz w:val="22"/>
          <w:szCs w:val="22"/>
          <w:lang w:val="fr-FR"/>
        </w:rPr>
        <w:t xml:space="preserve">: </w:t>
      </w:r>
      <w:r>
        <w:rPr>
          <w:rFonts w:ascii="Arial" w:hAnsi="Arial" w:cs="Arial"/>
          <w:bCs/>
          <w:sz w:val="22"/>
          <w:szCs w:val="22"/>
          <w:lang w:val="fr-FR"/>
        </w:rPr>
        <w:t>« </w:t>
      </w:r>
      <w:r w:rsidRPr="008D4A97">
        <w:rPr>
          <w:rFonts w:ascii="Arial" w:hAnsi="Arial" w:cs="Arial"/>
          <w:bCs/>
          <w:sz w:val="22"/>
          <w:szCs w:val="22"/>
          <w:lang w:val="fr-FR"/>
        </w:rPr>
        <w:t>Affirme que seules les ONG des États parties peuvent être accréditées et éligibles à l</w:t>
      </w:r>
      <w:r w:rsidR="008E532B">
        <w:rPr>
          <w:rFonts w:ascii="Arial" w:hAnsi="Arial" w:cs="Arial"/>
          <w:bCs/>
          <w:sz w:val="22"/>
          <w:szCs w:val="22"/>
          <w:lang w:val="fr-FR"/>
        </w:rPr>
        <w:t>’</w:t>
      </w:r>
      <w:r>
        <w:rPr>
          <w:rFonts w:ascii="Arial" w:hAnsi="Arial" w:cs="Arial"/>
          <w:bCs/>
          <w:sz w:val="22"/>
          <w:szCs w:val="22"/>
          <w:lang w:val="fr-FR"/>
        </w:rPr>
        <w:t>O</w:t>
      </w:r>
      <w:r w:rsidRPr="008D4A97">
        <w:rPr>
          <w:rFonts w:ascii="Arial" w:hAnsi="Arial" w:cs="Arial"/>
          <w:bCs/>
          <w:sz w:val="22"/>
          <w:szCs w:val="22"/>
          <w:lang w:val="fr-FR"/>
        </w:rPr>
        <w:t>rgane d</w:t>
      </w:r>
      <w:r w:rsidR="008E532B">
        <w:rPr>
          <w:rFonts w:ascii="Arial" w:hAnsi="Arial" w:cs="Arial"/>
          <w:bCs/>
          <w:sz w:val="22"/>
          <w:szCs w:val="22"/>
          <w:lang w:val="fr-FR"/>
        </w:rPr>
        <w:t>’</w:t>
      </w:r>
      <w:r w:rsidRPr="008D4A97">
        <w:rPr>
          <w:rFonts w:ascii="Arial" w:hAnsi="Arial" w:cs="Arial"/>
          <w:bCs/>
          <w:sz w:val="22"/>
          <w:szCs w:val="22"/>
          <w:lang w:val="fr-FR"/>
        </w:rPr>
        <w:t>évaluation</w:t>
      </w:r>
      <w:r>
        <w:rPr>
          <w:rFonts w:ascii="Arial" w:hAnsi="Arial" w:cs="Arial"/>
          <w:bCs/>
          <w:sz w:val="22"/>
          <w:szCs w:val="22"/>
          <w:lang w:val="fr-FR"/>
        </w:rPr>
        <w:t> ».</w:t>
      </w:r>
    </w:p>
    <w:p w14:paraId="2CA7D235" w14:textId="3CDDA3A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D4A97">
        <w:rPr>
          <w:rFonts w:ascii="Arial" w:hAnsi="Arial" w:cs="Arial"/>
          <w:bCs/>
          <w:sz w:val="22"/>
          <w:szCs w:val="22"/>
          <w:lang w:val="fr-FR"/>
        </w:rPr>
        <w:t xml:space="preserve">La délégation de la </w:t>
      </w:r>
      <w:r w:rsidRPr="008D4A97">
        <w:rPr>
          <w:rFonts w:ascii="Arial" w:hAnsi="Arial" w:cs="Arial"/>
          <w:b/>
          <w:sz w:val="22"/>
          <w:szCs w:val="22"/>
          <w:lang w:val="fr-FR"/>
        </w:rPr>
        <w:t>Palestine</w:t>
      </w:r>
      <w:r w:rsidRPr="008D4A97">
        <w:rPr>
          <w:rFonts w:ascii="Arial" w:hAnsi="Arial" w:cs="Arial"/>
          <w:bCs/>
          <w:sz w:val="22"/>
          <w:szCs w:val="22"/>
          <w:lang w:val="fr-FR"/>
        </w:rPr>
        <w:t xml:space="preserve"> a précisé que cet amendement visait à encourager les États non</w:t>
      </w:r>
      <w:r>
        <w:rPr>
          <w:rFonts w:ascii="Arial" w:hAnsi="Arial" w:cs="Arial"/>
          <w:bCs/>
          <w:sz w:val="22"/>
          <w:szCs w:val="22"/>
          <w:lang w:val="fr-FR"/>
        </w:rPr>
        <w:t> </w:t>
      </w:r>
      <w:r w:rsidRPr="008D4A97">
        <w:rPr>
          <w:rFonts w:ascii="Arial" w:hAnsi="Arial" w:cs="Arial"/>
          <w:bCs/>
          <w:sz w:val="22"/>
          <w:szCs w:val="22"/>
          <w:lang w:val="fr-FR"/>
        </w:rPr>
        <w:t>parties à la Convention ayant des ONG dans le Forum (ou ayant des ONG intéressées par l</w:t>
      </w:r>
      <w:r w:rsidR="008E532B">
        <w:rPr>
          <w:rFonts w:ascii="Arial" w:hAnsi="Arial" w:cs="Arial"/>
          <w:bCs/>
          <w:sz w:val="22"/>
          <w:szCs w:val="22"/>
          <w:lang w:val="fr-FR"/>
        </w:rPr>
        <w:t>’</w:t>
      </w:r>
      <w:r w:rsidRPr="008D4A97">
        <w:rPr>
          <w:rFonts w:ascii="Arial" w:hAnsi="Arial" w:cs="Arial"/>
          <w:bCs/>
          <w:sz w:val="22"/>
          <w:szCs w:val="22"/>
          <w:lang w:val="fr-FR"/>
        </w:rPr>
        <w:t>obtention d</w:t>
      </w:r>
      <w:r w:rsidR="008E532B">
        <w:rPr>
          <w:rFonts w:ascii="Arial" w:hAnsi="Arial" w:cs="Arial"/>
          <w:bCs/>
          <w:sz w:val="22"/>
          <w:szCs w:val="22"/>
          <w:lang w:val="fr-FR"/>
        </w:rPr>
        <w:t>’</w:t>
      </w:r>
      <w:r w:rsidRPr="008D4A97">
        <w:rPr>
          <w:rFonts w:ascii="Arial" w:hAnsi="Arial" w:cs="Arial"/>
          <w:bCs/>
          <w:sz w:val="22"/>
          <w:szCs w:val="22"/>
          <w:lang w:val="fr-FR"/>
        </w:rPr>
        <w:t>une accréditation) à pousser leurs États à ratifier la Convention. Par principe, la délégation estim</w:t>
      </w:r>
      <w:r>
        <w:rPr>
          <w:rFonts w:ascii="Arial" w:hAnsi="Arial" w:cs="Arial"/>
          <w:bCs/>
          <w:sz w:val="22"/>
          <w:szCs w:val="22"/>
          <w:lang w:val="fr-FR"/>
        </w:rPr>
        <w:t>ait</w:t>
      </w:r>
      <w:r w:rsidRPr="008D4A97">
        <w:rPr>
          <w:rFonts w:ascii="Arial" w:hAnsi="Arial" w:cs="Arial"/>
          <w:bCs/>
          <w:sz w:val="22"/>
          <w:szCs w:val="22"/>
          <w:lang w:val="fr-FR"/>
        </w:rPr>
        <w:t xml:space="preserve"> qu</w:t>
      </w:r>
      <w:r w:rsidR="008E532B">
        <w:rPr>
          <w:rFonts w:ascii="Arial" w:hAnsi="Arial" w:cs="Arial"/>
          <w:bCs/>
          <w:sz w:val="22"/>
          <w:szCs w:val="22"/>
          <w:lang w:val="fr-FR"/>
        </w:rPr>
        <w:t>’</w:t>
      </w:r>
      <w:r w:rsidRPr="008D4A97">
        <w:rPr>
          <w:rFonts w:ascii="Arial" w:hAnsi="Arial" w:cs="Arial"/>
          <w:bCs/>
          <w:sz w:val="22"/>
          <w:szCs w:val="22"/>
          <w:lang w:val="fr-FR"/>
        </w:rPr>
        <w:t>il était inacceptable que les États obtiennent des avantages sans aucune obligation. À ce</w:t>
      </w:r>
      <w:r>
        <w:rPr>
          <w:rFonts w:ascii="Arial" w:hAnsi="Arial" w:cs="Arial"/>
          <w:bCs/>
          <w:sz w:val="22"/>
          <w:szCs w:val="22"/>
          <w:lang w:val="fr-FR"/>
        </w:rPr>
        <w:t xml:space="preserve"> sujet</w:t>
      </w:r>
      <w:r w:rsidRPr="008D4A97">
        <w:rPr>
          <w:rFonts w:ascii="Arial" w:hAnsi="Arial" w:cs="Arial"/>
          <w:bCs/>
          <w:sz w:val="22"/>
          <w:szCs w:val="22"/>
          <w:lang w:val="fr-FR"/>
        </w:rPr>
        <w:t xml:space="preserve">, la délégation a demandé au </w:t>
      </w:r>
      <w:r>
        <w:rPr>
          <w:rFonts w:ascii="Arial" w:hAnsi="Arial" w:cs="Arial"/>
          <w:bCs/>
          <w:sz w:val="22"/>
          <w:szCs w:val="22"/>
          <w:lang w:val="fr-FR"/>
        </w:rPr>
        <w:t>P</w:t>
      </w:r>
      <w:r w:rsidRPr="008D4A97">
        <w:rPr>
          <w:rFonts w:ascii="Arial" w:hAnsi="Arial" w:cs="Arial"/>
          <w:bCs/>
          <w:sz w:val="22"/>
          <w:szCs w:val="22"/>
          <w:lang w:val="fr-FR"/>
        </w:rPr>
        <w:t>résident du Forum si des mesures telles que le fait d</w:t>
      </w:r>
      <w:r w:rsidR="008E532B">
        <w:rPr>
          <w:rFonts w:ascii="Arial" w:hAnsi="Arial" w:cs="Arial"/>
          <w:bCs/>
          <w:sz w:val="22"/>
          <w:szCs w:val="22"/>
          <w:lang w:val="fr-FR"/>
        </w:rPr>
        <w:t>’</w:t>
      </w:r>
      <w:r w:rsidRPr="008D4A97">
        <w:rPr>
          <w:rFonts w:ascii="Arial" w:hAnsi="Arial" w:cs="Arial"/>
          <w:bCs/>
          <w:sz w:val="22"/>
          <w:szCs w:val="22"/>
          <w:lang w:val="fr-FR"/>
        </w:rPr>
        <w:t>empêcher les ONG d</w:t>
      </w:r>
      <w:r w:rsidR="008E532B">
        <w:rPr>
          <w:rFonts w:ascii="Arial" w:hAnsi="Arial" w:cs="Arial"/>
          <w:bCs/>
          <w:sz w:val="22"/>
          <w:szCs w:val="22"/>
          <w:lang w:val="fr-FR"/>
        </w:rPr>
        <w:t>’</w:t>
      </w:r>
      <w:r w:rsidRPr="008D4A97">
        <w:rPr>
          <w:rFonts w:ascii="Arial" w:hAnsi="Arial" w:cs="Arial"/>
          <w:bCs/>
          <w:sz w:val="22"/>
          <w:szCs w:val="22"/>
          <w:lang w:val="fr-FR"/>
        </w:rPr>
        <w:t>être accréditées ou d</w:t>
      </w:r>
      <w:r w:rsidR="008E532B">
        <w:rPr>
          <w:rFonts w:ascii="Arial" w:hAnsi="Arial" w:cs="Arial"/>
          <w:bCs/>
          <w:sz w:val="22"/>
          <w:szCs w:val="22"/>
          <w:lang w:val="fr-FR"/>
        </w:rPr>
        <w:t>’</w:t>
      </w:r>
      <w:r w:rsidRPr="008D4A97">
        <w:rPr>
          <w:rFonts w:ascii="Arial" w:hAnsi="Arial" w:cs="Arial"/>
          <w:bCs/>
          <w:sz w:val="22"/>
          <w:szCs w:val="22"/>
          <w:lang w:val="fr-FR"/>
        </w:rPr>
        <w:t>être élues à l</w:t>
      </w:r>
      <w:r w:rsidR="008E532B">
        <w:rPr>
          <w:rFonts w:ascii="Arial" w:hAnsi="Arial" w:cs="Arial"/>
          <w:bCs/>
          <w:sz w:val="22"/>
          <w:szCs w:val="22"/>
          <w:lang w:val="fr-FR"/>
        </w:rPr>
        <w:t>’</w:t>
      </w:r>
      <w:r>
        <w:rPr>
          <w:rFonts w:ascii="Arial" w:hAnsi="Arial" w:cs="Arial"/>
          <w:bCs/>
          <w:sz w:val="22"/>
          <w:szCs w:val="22"/>
          <w:lang w:val="fr-FR"/>
        </w:rPr>
        <w:t>O</w:t>
      </w:r>
      <w:r w:rsidRPr="008D4A97">
        <w:rPr>
          <w:rFonts w:ascii="Arial" w:hAnsi="Arial" w:cs="Arial"/>
          <w:bCs/>
          <w:sz w:val="22"/>
          <w:szCs w:val="22"/>
          <w:lang w:val="fr-FR"/>
        </w:rPr>
        <w:t>rgane d</w:t>
      </w:r>
      <w:r w:rsidR="008E532B">
        <w:rPr>
          <w:rFonts w:ascii="Arial" w:hAnsi="Arial" w:cs="Arial"/>
          <w:bCs/>
          <w:sz w:val="22"/>
          <w:szCs w:val="22"/>
          <w:lang w:val="fr-FR"/>
        </w:rPr>
        <w:t>’</w:t>
      </w:r>
      <w:r w:rsidRPr="008D4A97">
        <w:rPr>
          <w:rFonts w:ascii="Arial" w:hAnsi="Arial" w:cs="Arial"/>
          <w:bCs/>
          <w:sz w:val="22"/>
          <w:szCs w:val="22"/>
          <w:lang w:val="fr-FR"/>
        </w:rPr>
        <w:t>évaluation aideraient les ONG en encourageant leurs gouvernements à ratifier la Convention. Il a été rappelé que les treize États non parties à la Convention provenaient principalement du Groupe</w:t>
      </w:r>
      <w:r>
        <w:rPr>
          <w:rFonts w:ascii="Arial" w:hAnsi="Arial" w:cs="Arial"/>
          <w:bCs/>
          <w:sz w:val="22"/>
          <w:szCs w:val="22"/>
          <w:lang w:val="fr-FR"/>
        </w:rPr>
        <w:t> </w:t>
      </w:r>
      <w:r w:rsidRPr="008D4A97">
        <w:rPr>
          <w:rFonts w:ascii="Arial" w:hAnsi="Arial" w:cs="Arial"/>
          <w:bCs/>
          <w:sz w:val="22"/>
          <w:szCs w:val="22"/>
          <w:lang w:val="fr-FR"/>
        </w:rPr>
        <w:t>I et que, en tant que pays démocratiques, les sociétés civiles pouvaient fortement influencer leurs gouvernements.</w:t>
      </w:r>
    </w:p>
    <w:p w14:paraId="3D3804E9"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A474CE">
        <w:rPr>
          <w:rFonts w:ascii="Arial" w:hAnsi="Arial" w:cs="Arial"/>
          <w:b/>
          <w:sz w:val="22"/>
          <w:szCs w:val="22"/>
          <w:lang w:val="fr-FR"/>
        </w:rPr>
        <w:t>Présidente</w:t>
      </w:r>
      <w:r>
        <w:rPr>
          <w:rFonts w:ascii="Arial" w:hAnsi="Arial" w:cs="Arial"/>
          <w:bCs/>
          <w:sz w:val="22"/>
          <w:szCs w:val="22"/>
          <w:lang w:val="fr-FR"/>
        </w:rPr>
        <w:t xml:space="preserve"> a invité M. Turgeon du Forum des ONG du PCI à répondre à la question.</w:t>
      </w:r>
    </w:p>
    <w:p w14:paraId="29212754" w14:textId="76762304" w:rsidR="00D9653F" w:rsidRPr="00B07A20"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07A20">
        <w:rPr>
          <w:rFonts w:ascii="Arial" w:hAnsi="Arial" w:cs="Arial"/>
          <w:bCs/>
          <w:sz w:val="22"/>
          <w:szCs w:val="22"/>
          <w:lang w:val="fr-FR"/>
        </w:rPr>
        <w:t xml:space="preserve">Le </w:t>
      </w:r>
      <w:r w:rsidRPr="00B07A20">
        <w:rPr>
          <w:rFonts w:ascii="Arial" w:hAnsi="Arial" w:cs="Arial"/>
          <w:b/>
          <w:sz w:val="22"/>
          <w:szCs w:val="22"/>
          <w:lang w:val="fr-FR"/>
        </w:rPr>
        <w:t>Président du Forum des ONG du PCI</w:t>
      </w:r>
      <w:r w:rsidRPr="00B07A20">
        <w:rPr>
          <w:rFonts w:ascii="Arial" w:hAnsi="Arial" w:cs="Arial"/>
          <w:bCs/>
          <w:sz w:val="22"/>
          <w:szCs w:val="22"/>
          <w:lang w:val="fr-FR"/>
        </w:rPr>
        <w:t xml:space="preserve">, </w:t>
      </w:r>
      <w:r w:rsidRPr="00B07A20">
        <w:rPr>
          <w:rFonts w:ascii="Arial" w:hAnsi="Arial" w:cs="Arial"/>
          <w:b/>
          <w:sz w:val="22"/>
          <w:szCs w:val="22"/>
          <w:lang w:val="fr-FR"/>
        </w:rPr>
        <w:t>M.</w:t>
      </w:r>
      <w:r>
        <w:rPr>
          <w:rFonts w:ascii="Arial" w:hAnsi="Arial" w:cs="Arial"/>
          <w:b/>
          <w:sz w:val="22"/>
          <w:szCs w:val="22"/>
          <w:lang w:val="fr-FR"/>
        </w:rPr>
        <w:t> </w:t>
      </w:r>
      <w:r w:rsidRPr="00B07A20">
        <w:rPr>
          <w:rFonts w:ascii="Arial" w:hAnsi="Arial" w:cs="Arial"/>
          <w:b/>
          <w:sz w:val="22"/>
          <w:szCs w:val="22"/>
          <w:lang w:val="fr-FR"/>
        </w:rPr>
        <w:t>Laurier Turgeon</w:t>
      </w:r>
      <w:r w:rsidRPr="00B07A20">
        <w:rPr>
          <w:rFonts w:ascii="Arial" w:hAnsi="Arial" w:cs="Arial"/>
          <w:bCs/>
          <w:sz w:val="22"/>
          <w:szCs w:val="22"/>
          <w:lang w:val="fr-FR"/>
        </w:rPr>
        <w:t>, a remercié la Palestine d</w:t>
      </w:r>
      <w:r w:rsidR="008E532B">
        <w:rPr>
          <w:rFonts w:ascii="Arial" w:hAnsi="Arial" w:cs="Arial"/>
          <w:bCs/>
          <w:sz w:val="22"/>
          <w:szCs w:val="22"/>
          <w:lang w:val="fr-FR"/>
        </w:rPr>
        <w:t>’</w:t>
      </w:r>
      <w:r w:rsidRPr="00B07A20">
        <w:rPr>
          <w:rFonts w:ascii="Arial" w:hAnsi="Arial" w:cs="Arial"/>
          <w:bCs/>
          <w:sz w:val="22"/>
          <w:szCs w:val="22"/>
          <w:lang w:val="fr-FR"/>
        </w:rPr>
        <w:t>avoir posé cette question très importante et d</w:t>
      </w:r>
      <w:r w:rsidR="008E532B">
        <w:rPr>
          <w:rFonts w:ascii="Arial" w:hAnsi="Arial" w:cs="Arial"/>
          <w:bCs/>
          <w:sz w:val="22"/>
          <w:szCs w:val="22"/>
          <w:lang w:val="fr-FR"/>
        </w:rPr>
        <w:t>’</w:t>
      </w:r>
      <w:r w:rsidRPr="00B07A20">
        <w:rPr>
          <w:rFonts w:ascii="Arial" w:hAnsi="Arial" w:cs="Arial"/>
          <w:bCs/>
          <w:sz w:val="22"/>
          <w:szCs w:val="22"/>
          <w:lang w:val="fr-FR"/>
        </w:rPr>
        <w:t xml:space="preserve">avoir </w:t>
      </w:r>
      <w:r w:rsidRPr="00B07A20">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w:t>
      </w:r>
      <w:r w:rsidRPr="00B07A20">
        <w:rPr>
          <w:rFonts w:ascii="Arial" w:hAnsi="Arial" w:cs="Arial"/>
          <w:bCs/>
          <w:sz w:val="22"/>
          <w:szCs w:val="22"/>
          <w:lang w:val="fr-FR"/>
        </w:rPr>
        <w:t>donné aux ONG l</w:t>
      </w:r>
      <w:r w:rsidR="008E532B">
        <w:rPr>
          <w:rFonts w:ascii="Arial" w:hAnsi="Arial" w:cs="Arial"/>
          <w:bCs/>
          <w:sz w:val="22"/>
          <w:szCs w:val="22"/>
          <w:lang w:val="fr-FR"/>
        </w:rPr>
        <w:t>’</w:t>
      </w:r>
      <w:r w:rsidRPr="00B07A20">
        <w:rPr>
          <w:rFonts w:ascii="Arial" w:hAnsi="Arial" w:cs="Arial"/>
          <w:bCs/>
          <w:sz w:val="22"/>
          <w:szCs w:val="22"/>
          <w:lang w:val="fr-FR"/>
        </w:rPr>
        <w:t>occasion de s</w:t>
      </w:r>
      <w:r w:rsidR="008E532B">
        <w:rPr>
          <w:rFonts w:ascii="Arial" w:hAnsi="Arial" w:cs="Arial"/>
          <w:bCs/>
          <w:sz w:val="22"/>
          <w:szCs w:val="22"/>
          <w:lang w:val="fr-FR"/>
        </w:rPr>
        <w:t>’</w:t>
      </w:r>
      <w:r w:rsidRPr="00B07A20">
        <w:rPr>
          <w:rFonts w:ascii="Arial" w:hAnsi="Arial" w:cs="Arial"/>
          <w:bCs/>
          <w:sz w:val="22"/>
          <w:szCs w:val="22"/>
          <w:lang w:val="fr-FR"/>
        </w:rPr>
        <w:t xml:space="preserve">exprimer et de </w:t>
      </w:r>
      <w:r>
        <w:rPr>
          <w:rFonts w:ascii="Arial" w:hAnsi="Arial" w:cs="Arial"/>
          <w:bCs/>
          <w:sz w:val="22"/>
          <w:szCs w:val="22"/>
          <w:lang w:val="fr-FR"/>
        </w:rPr>
        <w:t xml:space="preserve">communiquer </w:t>
      </w:r>
      <w:r w:rsidRPr="00B07A20">
        <w:rPr>
          <w:rFonts w:ascii="Arial" w:hAnsi="Arial" w:cs="Arial"/>
          <w:bCs/>
          <w:sz w:val="22"/>
          <w:szCs w:val="22"/>
          <w:lang w:val="fr-FR"/>
        </w:rPr>
        <w:t>quelques informations pour contribuer à la discussion. M.</w:t>
      </w:r>
      <w:r>
        <w:rPr>
          <w:rFonts w:ascii="Arial" w:hAnsi="Arial" w:cs="Arial"/>
          <w:bCs/>
          <w:sz w:val="22"/>
          <w:szCs w:val="22"/>
          <w:lang w:val="fr-FR"/>
        </w:rPr>
        <w:t> </w:t>
      </w:r>
      <w:r w:rsidRPr="00B07A20">
        <w:rPr>
          <w:rFonts w:ascii="Arial" w:hAnsi="Arial" w:cs="Arial"/>
          <w:bCs/>
          <w:sz w:val="22"/>
          <w:szCs w:val="22"/>
          <w:lang w:val="fr-FR"/>
        </w:rPr>
        <w:t>Turgeon v</w:t>
      </w:r>
      <w:r>
        <w:rPr>
          <w:rFonts w:ascii="Arial" w:hAnsi="Arial" w:cs="Arial"/>
          <w:bCs/>
          <w:sz w:val="22"/>
          <w:szCs w:val="22"/>
          <w:lang w:val="fr-FR"/>
        </w:rPr>
        <w:t>enait</w:t>
      </w:r>
      <w:r w:rsidRPr="00B07A20">
        <w:rPr>
          <w:rFonts w:ascii="Arial" w:hAnsi="Arial" w:cs="Arial"/>
          <w:bCs/>
          <w:sz w:val="22"/>
          <w:szCs w:val="22"/>
          <w:lang w:val="fr-FR"/>
        </w:rPr>
        <w:t xml:space="preserve"> du Canada, un pays qui n</w:t>
      </w:r>
      <w:r w:rsidR="008E532B">
        <w:rPr>
          <w:rFonts w:ascii="Arial" w:hAnsi="Arial" w:cs="Arial"/>
          <w:bCs/>
          <w:sz w:val="22"/>
          <w:szCs w:val="22"/>
          <w:lang w:val="fr-FR"/>
        </w:rPr>
        <w:t>’</w:t>
      </w:r>
      <w:r w:rsidRPr="00B07A20">
        <w:rPr>
          <w:rFonts w:ascii="Arial" w:hAnsi="Arial" w:cs="Arial"/>
          <w:bCs/>
          <w:sz w:val="22"/>
          <w:szCs w:val="22"/>
          <w:lang w:val="fr-FR"/>
        </w:rPr>
        <w:t>a</w:t>
      </w:r>
      <w:r>
        <w:rPr>
          <w:rFonts w:ascii="Arial" w:hAnsi="Arial" w:cs="Arial"/>
          <w:bCs/>
          <w:sz w:val="22"/>
          <w:szCs w:val="22"/>
          <w:lang w:val="fr-FR"/>
        </w:rPr>
        <w:t>vait</w:t>
      </w:r>
      <w:r w:rsidRPr="00B07A20">
        <w:rPr>
          <w:rFonts w:ascii="Arial" w:hAnsi="Arial" w:cs="Arial"/>
          <w:bCs/>
          <w:sz w:val="22"/>
          <w:szCs w:val="22"/>
          <w:lang w:val="fr-FR"/>
        </w:rPr>
        <w:t xml:space="preserve"> pas encore ratifié la Convention, et le fait que les ONG canadiennes puissent participer </w:t>
      </w:r>
      <w:r>
        <w:rPr>
          <w:rFonts w:ascii="Arial" w:hAnsi="Arial" w:cs="Arial"/>
          <w:bCs/>
          <w:sz w:val="22"/>
          <w:szCs w:val="22"/>
          <w:lang w:val="fr-FR"/>
        </w:rPr>
        <w:t>était</w:t>
      </w:r>
      <w:r w:rsidRPr="00B07A20">
        <w:rPr>
          <w:rFonts w:ascii="Arial" w:hAnsi="Arial" w:cs="Arial"/>
          <w:bCs/>
          <w:sz w:val="22"/>
          <w:szCs w:val="22"/>
          <w:lang w:val="fr-FR"/>
        </w:rPr>
        <w:t xml:space="preserve"> effectivement utile pour faire pression sur le Canada afin qu</w:t>
      </w:r>
      <w:r w:rsidR="008E532B">
        <w:rPr>
          <w:rFonts w:ascii="Arial" w:hAnsi="Arial" w:cs="Arial"/>
          <w:bCs/>
          <w:sz w:val="22"/>
          <w:szCs w:val="22"/>
          <w:lang w:val="fr-FR"/>
        </w:rPr>
        <w:t>’</w:t>
      </w:r>
      <w:r w:rsidRPr="00B07A20">
        <w:rPr>
          <w:rFonts w:ascii="Arial" w:hAnsi="Arial" w:cs="Arial"/>
          <w:bCs/>
          <w:sz w:val="22"/>
          <w:szCs w:val="22"/>
          <w:lang w:val="fr-FR"/>
        </w:rPr>
        <w:t>il ratifie la Convention. C</w:t>
      </w:r>
      <w:r w:rsidR="008E532B">
        <w:rPr>
          <w:rFonts w:ascii="Arial" w:hAnsi="Arial" w:cs="Arial"/>
          <w:bCs/>
          <w:sz w:val="22"/>
          <w:szCs w:val="22"/>
          <w:lang w:val="fr-FR"/>
        </w:rPr>
        <w:t>’</w:t>
      </w:r>
      <w:r>
        <w:rPr>
          <w:rFonts w:ascii="Arial" w:hAnsi="Arial" w:cs="Arial"/>
          <w:bCs/>
          <w:sz w:val="22"/>
          <w:szCs w:val="22"/>
          <w:lang w:val="fr-FR"/>
        </w:rPr>
        <w:t>était</w:t>
      </w:r>
      <w:r w:rsidRPr="00B07A20">
        <w:rPr>
          <w:rFonts w:ascii="Arial" w:hAnsi="Arial" w:cs="Arial"/>
          <w:bCs/>
          <w:sz w:val="22"/>
          <w:szCs w:val="22"/>
          <w:lang w:val="fr-FR"/>
        </w:rPr>
        <w:t xml:space="preserve"> probablement aussi le cas dans de nombreux autres pays qui n</w:t>
      </w:r>
      <w:r w:rsidR="008E532B">
        <w:rPr>
          <w:rFonts w:ascii="Arial" w:hAnsi="Arial" w:cs="Arial"/>
          <w:bCs/>
          <w:sz w:val="22"/>
          <w:szCs w:val="22"/>
          <w:lang w:val="fr-FR"/>
        </w:rPr>
        <w:t>’</w:t>
      </w:r>
      <w:r>
        <w:rPr>
          <w:rFonts w:ascii="Arial" w:hAnsi="Arial" w:cs="Arial"/>
          <w:bCs/>
          <w:sz w:val="22"/>
          <w:szCs w:val="22"/>
          <w:lang w:val="fr-FR"/>
        </w:rPr>
        <w:t>avaient</w:t>
      </w:r>
      <w:r w:rsidRPr="00B07A20">
        <w:rPr>
          <w:rFonts w:ascii="Arial" w:hAnsi="Arial" w:cs="Arial"/>
          <w:bCs/>
          <w:sz w:val="22"/>
          <w:szCs w:val="22"/>
          <w:lang w:val="fr-FR"/>
        </w:rPr>
        <w:t xml:space="preserve"> pas encore signé la Convention. Le fait que les ONG accréditées puissent participer </w:t>
      </w:r>
      <w:r>
        <w:rPr>
          <w:rFonts w:ascii="Arial" w:hAnsi="Arial" w:cs="Arial"/>
          <w:bCs/>
          <w:sz w:val="22"/>
          <w:szCs w:val="22"/>
          <w:lang w:val="fr-FR"/>
        </w:rPr>
        <w:t xml:space="preserve">à la Convention était </w:t>
      </w:r>
      <w:r w:rsidRPr="00B07A20">
        <w:rPr>
          <w:rFonts w:ascii="Arial" w:hAnsi="Arial" w:cs="Arial"/>
          <w:bCs/>
          <w:sz w:val="22"/>
          <w:szCs w:val="22"/>
          <w:lang w:val="fr-FR"/>
        </w:rPr>
        <w:t xml:space="preserve">très utile pour convaincre les gouvernements de signer </w:t>
      </w:r>
      <w:r>
        <w:rPr>
          <w:rFonts w:ascii="Arial" w:hAnsi="Arial" w:cs="Arial"/>
          <w:bCs/>
          <w:sz w:val="22"/>
          <w:szCs w:val="22"/>
          <w:lang w:val="fr-FR"/>
        </w:rPr>
        <w:t>cette</w:t>
      </w:r>
      <w:r w:rsidRPr="00B07A20">
        <w:rPr>
          <w:rFonts w:ascii="Arial" w:hAnsi="Arial" w:cs="Arial"/>
          <w:bCs/>
          <w:sz w:val="22"/>
          <w:szCs w:val="22"/>
          <w:lang w:val="fr-FR"/>
        </w:rPr>
        <w:t xml:space="preserve"> Convention, car les ONG </w:t>
      </w:r>
      <w:r>
        <w:rPr>
          <w:rFonts w:ascii="Arial" w:hAnsi="Arial" w:cs="Arial"/>
          <w:bCs/>
          <w:sz w:val="22"/>
          <w:szCs w:val="22"/>
          <w:lang w:val="fr-FR"/>
        </w:rPr>
        <w:t xml:space="preserve">étaient </w:t>
      </w:r>
      <w:r w:rsidRPr="00B07A20">
        <w:rPr>
          <w:rFonts w:ascii="Arial" w:hAnsi="Arial" w:cs="Arial"/>
          <w:bCs/>
          <w:sz w:val="22"/>
          <w:szCs w:val="22"/>
          <w:lang w:val="fr-FR"/>
        </w:rPr>
        <w:t>mieux équipées pour discuter de la Convention avec les gouvernements, en leur faisant savoir ce que l</w:t>
      </w:r>
      <w:r w:rsidR="008E532B">
        <w:rPr>
          <w:rFonts w:ascii="Arial" w:hAnsi="Arial" w:cs="Arial"/>
          <w:bCs/>
          <w:sz w:val="22"/>
          <w:szCs w:val="22"/>
          <w:lang w:val="fr-FR"/>
        </w:rPr>
        <w:t>’</w:t>
      </w:r>
      <w:r w:rsidRPr="00B07A20">
        <w:rPr>
          <w:rFonts w:ascii="Arial" w:hAnsi="Arial" w:cs="Arial"/>
          <w:bCs/>
          <w:sz w:val="22"/>
          <w:szCs w:val="22"/>
          <w:lang w:val="fr-FR"/>
        </w:rPr>
        <w:t>on attend</w:t>
      </w:r>
      <w:r>
        <w:rPr>
          <w:rFonts w:ascii="Arial" w:hAnsi="Arial" w:cs="Arial"/>
          <w:bCs/>
          <w:sz w:val="22"/>
          <w:szCs w:val="22"/>
          <w:lang w:val="fr-FR"/>
        </w:rPr>
        <w:t>ait</w:t>
      </w:r>
      <w:r w:rsidRPr="00B07A20">
        <w:rPr>
          <w:rFonts w:ascii="Arial" w:hAnsi="Arial" w:cs="Arial"/>
          <w:bCs/>
          <w:sz w:val="22"/>
          <w:szCs w:val="22"/>
          <w:lang w:val="fr-FR"/>
        </w:rPr>
        <w:t xml:space="preserve"> d</w:t>
      </w:r>
      <w:r w:rsidR="008E532B">
        <w:rPr>
          <w:rFonts w:ascii="Arial" w:hAnsi="Arial" w:cs="Arial"/>
          <w:bCs/>
          <w:sz w:val="22"/>
          <w:szCs w:val="22"/>
          <w:lang w:val="fr-FR"/>
        </w:rPr>
        <w:t>’</w:t>
      </w:r>
      <w:r w:rsidRPr="00B07A20">
        <w:rPr>
          <w:rFonts w:ascii="Arial" w:hAnsi="Arial" w:cs="Arial"/>
          <w:bCs/>
          <w:sz w:val="22"/>
          <w:szCs w:val="22"/>
          <w:lang w:val="fr-FR"/>
        </w:rPr>
        <w:t>e</w:t>
      </w:r>
      <w:r>
        <w:rPr>
          <w:rFonts w:ascii="Arial" w:hAnsi="Arial" w:cs="Arial"/>
          <w:bCs/>
          <w:sz w:val="22"/>
          <w:szCs w:val="22"/>
          <w:lang w:val="fr-FR"/>
        </w:rPr>
        <w:t>ux</w:t>
      </w:r>
      <w:r w:rsidRPr="00B07A20">
        <w:rPr>
          <w:rFonts w:ascii="Arial" w:hAnsi="Arial" w:cs="Arial"/>
          <w:bCs/>
          <w:sz w:val="22"/>
          <w:szCs w:val="22"/>
          <w:lang w:val="fr-FR"/>
        </w:rPr>
        <w:t xml:space="preserve">. Mais il </w:t>
      </w:r>
      <w:r>
        <w:rPr>
          <w:rFonts w:ascii="Arial" w:hAnsi="Arial" w:cs="Arial"/>
          <w:bCs/>
          <w:sz w:val="22"/>
          <w:szCs w:val="22"/>
          <w:lang w:val="fr-FR"/>
        </w:rPr>
        <w:t>était</w:t>
      </w:r>
      <w:r w:rsidRPr="00B07A20">
        <w:rPr>
          <w:rFonts w:ascii="Arial" w:hAnsi="Arial" w:cs="Arial"/>
          <w:bCs/>
          <w:sz w:val="22"/>
          <w:szCs w:val="22"/>
          <w:lang w:val="fr-FR"/>
        </w:rPr>
        <w:t xml:space="preserve"> également rassurant pour les gouvernements de savoir que les ONG accréditées dans le pays </w:t>
      </w:r>
      <w:r>
        <w:rPr>
          <w:rFonts w:ascii="Arial" w:hAnsi="Arial" w:cs="Arial"/>
          <w:bCs/>
          <w:sz w:val="22"/>
          <w:szCs w:val="22"/>
          <w:lang w:val="fr-FR"/>
        </w:rPr>
        <w:t>avaient</w:t>
      </w:r>
      <w:r w:rsidRPr="00B07A20">
        <w:rPr>
          <w:rFonts w:ascii="Arial" w:hAnsi="Arial" w:cs="Arial"/>
          <w:bCs/>
          <w:sz w:val="22"/>
          <w:szCs w:val="22"/>
          <w:lang w:val="fr-FR"/>
        </w:rPr>
        <w:t xml:space="preserve"> une expérience de la Convention et qu</w:t>
      </w:r>
      <w:r w:rsidR="008E532B">
        <w:rPr>
          <w:rFonts w:ascii="Arial" w:hAnsi="Arial" w:cs="Arial"/>
          <w:bCs/>
          <w:sz w:val="22"/>
          <w:szCs w:val="22"/>
          <w:lang w:val="fr-FR"/>
        </w:rPr>
        <w:t>’</w:t>
      </w:r>
      <w:r w:rsidRPr="00B07A20">
        <w:rPr>
          <w:rFonts w:ascii="Arial" w:hAnsi="Arial" w:cs="Arial"/>
          <w:bCs/>
          <w:sz w:val="22"/>
          <w:szCs w:val="22"/>
          <w:lang w:val="fr-FR"/>
        </w:rPr>
        <w:t>elle</w:t>
      </w:r>
      <w:r>
        <w:rPr>
          <w:rFonts w:ascii="Arial" w:hAnsi="Arial" w:cs="Arial"/>
          <w:bCs/>
          <w:sz w:val="22"/>
          <w:szCs w:val="22"/>
          <w:lang w:val="fr-FR"/>
        </w:rPr>
        <w:t>s</w:t>
      </w:r>
      <w:r w:rsidRPr="00B07A20">
        <w:rPr>
          <w:rFonts w:ascii="Arial" w:hAnsi="Arial" w:cs="Arial"/>
          <w:bCs/>
          <w:sz w:val="22"/>
          <w:szCs w:val="22"/>
          <w:lang w:val="fr-FR"/>
        </w:rPr>
        <w:t xml:space="preserve"> pourrai</w:t>
      </w:r>
      <w:r>
        <w:rPr>
          <w:rFonts w:ascii="Arial" w:hAnsi="Arial" w:cs="Arial"/>
          <w:bCs/>
          <w:sz w:val="22"/>
          <w:szCs w:val="22"/>
          <w:lang w:val="fr-FR"/>
        </w:rPr>
        <w:t>en</w:t>
      </w:r>
      <w:r w:rsidRPr="00B07A20">
        <w:rPr>
          <w:rFonts w:ascii="Arial" w:hAnsi="Arial" w:cs="Arial"/>
          <w:bCs/>
          <w:sz w:val="22"/>
          <w:szCs w:val="22"/>
          <w:lang w:val="fr-FR"/>
        </w:rPr>
        <w:t>t être opérationnelle</w:t>
      </w:r>
      <w:r>
        <w:rPr>
          <w:rFonts w:ascii="Arial" w:hAnsi="Arial" w:cs="Arial"/>
          <w:bCs/>
          <w:sz w:val="22"/>
          <w:szCs w:val="22"/>
          <w:lang w:val="fr-FR"/>
        </w:rPr>
        <w:t>s</w:t>
      </w:r>
      <w:r w:rsidRPr="00B07A20">
        <w:rPr>
          <w:rFonts w:ascii="Arial" w:hAnsi="Arial" w:cs="Arial"/>
          <w:bCs/>
          <w:sz w:val="22"/>
          <w:szCs w:val="22"/>
          <w:lang w:val="fr-FR"/>
        </w:rPr>
        <w:t xml:space="preserve"> très rapidement. M.</w:t>
      </w:r>
      <w:r>
        <w:rPr>
          <w:rFonts w:ascii="Arial" w:hAnsi="Arial" w:cs="Arial"/>
          <w:bCs/>
          <w:sz w:val="22"/>
          <w:szCs w:val="22"/>
          <w:lang w:val="fr-FR"/>
        </w:rPr>
        <w:t> </w:t>
      </w:r>
      <w:r w:rsidRPr="00B07A20">
        <w:rPr>
          <w:rFonts w:ascii="Arial" w:hAnsi="Arial" w:cs="Arial"/>
          <w:bCs/>
          <w:sz w:val="22"/>
          <w:szCs w:val="22"/>
          <w:lang w:val="fr-FR"/>
        </w:rPr>
        <w:t xml:space="preserve">Turgeon a remercié les délégués pour la proposition </w:t>
      </w:r>
      <w:r>
        <w:rPr>
          <w:rFonts w:ascii="Arial" w:hAnsi="Arial" w:cs="Arial"/>
          <w:bCs/>
          <w:sz w:val="22"/>
          <w:szCs w:val="22"/>
          <w:lang w:val="fr-FR"/>
        </w:rPr>
        <w:t>visant à faire participer</w:t>
      </w:r>
      <w:r w:rsidRPr="00B07A20">
        <w:rPr>
          <w:rFonts w:ascii="Arial" w:hAnsi="Arial" w:cs="Arial"/>
          <w:bCs/>
          <w:sz w:val="22"/>
          <w:szCs w:val="22"/>
          <w:lang w:val="fr-FR"/>
        </w:rPr>
        <w:t xml:space="preserve"> le Forum des ONG du PCI à l</w:t>
      </w:r>
      <w:r w:rsidR="008E532B">
        <w:rPr>
          <w:rFonts w:ascii="Arial" w:hAnsi="Arial" w:cs="Arial"/>
          <w:bCs/>
          <w:sz w:val="22"/>
          <w:szCs w:val="22"/>
          <w:lang w:val="fr-FR"/>
        </w:rPr>
        <w:t>’</w:t>
      </w:r>
      <w:r w:rsidRPr="00B07A20">
        <w:rPr>
          <w:rFonts w:ascii="Arial" w:hAnsi="Arial" w:cs="Arial"/>
          <w:bCs/>
          <w:sz w:val="22"/>
          <w:szCs w:val="22"/>
          <w:lang w:val="fr-FR"/>
        </w:rPr>
        <w:t>élaboration d</w:t>
      </w:r>
      <w:r w:rsidR="008E532B">
        <w:rPr>
          <w:rFonts w:ascii="Arial" w:hAnsi="Arial" w:cs="Arial"/>
          <w:bCs/>
          <w:sz w:val="22"/>
          <w:szCs w:val="22"/>
          <w:lang w:val="fr-FR"/>
        </w:rPr>
        <w:t>’</w:t>
      </w:r>
      <w:r w:rsidRPr="00B07A20">
        <w:rPr>
          <w:rFonts w:ascii="Arial" w:hAnsi="Arial" w:cs="Arial"/>
          <w:bCs/>
          <w:sz w:val="22"/>
          <w:szCs w:val="22"/>
          <w:lang w:val="fr-FR"/>
        </w:rPr>
        <w:t>une stratégie et d</w:t>
      </w:r>
      <w:r w:rsidR="008E532B">
        <w:rPr>
          <w:rFonts w:ascii="Arial" w:hAnsi="Arial" w:cs="Arial"/>
          <w:bCs/>
          <w:sz w:val="22"/>
          <w:szCs w:val="22"/>
          <w:lang w:val="fr-FR"/>
        </w:rPr>
        <w:t>’</w:t>
      </w:r>
      <w:r w:rsidRPr="00B07A20">
        <w:rPr>
          <w:rFonts w:ascii="Arial" w:hAnsi="Arial" w:cs="Arial"/>
          <w:bCs/>
          <w:sz w:val="22"/>
          <w:szCs w:val="22"/>
          <w:lang w:val="fr-FR"/>
        </w:rPr>
        <w:t>un plan d</w:t>
      </w:r>
      <w:r w:rsidR="008E532B">
        <w:rPr>
          <w:rFonts w:ascii="Arial" w:hAnsi="Arial" w:cs="Arial"/>
          <w:bCs/>
          <w:sz w:val="22"/>
          <w:szCs w:val="22"/>
          <w:lang w:val="fr-FR"/>
        </w:rPr>
        <w:t>’</w:t>
      </w:r>
      <w:r w:rsidRPr="00B07A20">
        <w:rPr>
          <w:rFonts w:ascii="Arial" w:hAnsi="Arial" w:cs="Arial"/>
          <w:bCs/>
          <w:sz w:val="22"/>
          <w:szCs w:val="22"/>
          <w:lang w:val="fr-FR"/>
        </w:rPr>
        <w:t xml:space="preserve">action, car </w:t>
      </w:r>
      <w:r>
        <w:rPr>
          <w:rFonts w:ascii="Arial" w:hAnsi="Arial" w:cs="Arial"/>
          <w:bCs/>
          <w:sz w:val="22"/>
          <w:szCs w:val="22"/>
          <w:lang w:val="fr-FR"/>
        </w:rPr>
        <w:t>les ONG</w:t>
      </w:r>
      <w:r w:rsidRPr="00B07A20">
        <w:rPr>
          <w:rFonts w:ascii="Arial" w:hAnsi="Arial" w:cs="Arial"/>
          <w:bCs/>
          <w:sz w:val="22"/>
          <w:szCs w:val="22"/>
          <w:lang w:val="fr-FR"/>
        </w:rPr>
        <w:t xml:space="preserve"> </w:t>
      </w:r>
      <w:r>
        <w:rPr>
          <w:rFonts w:ascii="Arial" w:hAnsi="Arial" w:cs="Arial"/>
          <w:bCs/>
          <w:sz w:val="22"/>
          <w:szCs w:val="22"/>
          <w:lang w:val="fr-FR"/>
        </w:rPr>
        <w:t>avaient</w:t>
      </w:r>
      <w:r w:rsidRPr="00B07A20">
        <w:rPr>
          <w:rFonts w:ascii="Arial" w:hAnsi="Arial" w:cs="Arial"/>
          <w:bCs/>
          <w:sz w:val="22"/>
          <w:szCs w:val="22"/>
          <w:lang w:val="fr-FR"/>
        </w:rPr>
        <w:t xml:space="preserve"> beaucoup à apporter. En effet, cette question a</w:t>
      </w:r>
      <w:r>
        <w:rPr>
          <w:rFonts w:ascii="Arial" w:hAnsi="Arial" w:cs="Arial"/>
          <w:bCs/>
          <w:sz w:val="22"/>
          <w:szCs w:val="22"/>
          <w:lang w:val="fr-FR"/>
        </w:rPr>
        <w:t>vait</w:t>
      </w:r>
      <w:r w:rsidRPr="00B07A20">
        <w:rPr>
          <w:rFonts w:ascii="Arial" w:hAnsi="Arial" w:cs="Arial"/>
          <w:bCs/>
          <w:sz w:val="22"/>
          <w:szCs w:val="22"/>
          <w:lang w:val="fr-FR"/>
        </w:rPr>
        <w:t xml:space="preserve"> été prise très au sérieux au cours des deux dernières années. Le Forum dispos</w:t>
      </w:r>
      <w:r>
        <w:rPr>
          <w:rFonts w:ascii="Arial" w:hAnsi="Arial" w:cs="Arial"/>
          <w:bCs/>
          <w:sz w:val="22"/>
          <w:szCs w:val="22"/>
          <w:lang w:val="fr-FR"/>
        </w:rPr>
        <w:t>ait</w:t>
      </w:r>
      <w:r w:rsidRPr="00B07A20">
        <w:rPr>
          <w:rFonts w:ascii="Arial" w:hAnsi="Arial" w:cs="Arial"/>
          <w:bCs/>
          <w:sz w:val="22"/>
          <w:szCs w:val="22"/>
          <w:lang w:val="fr-FR"/>
        </w:rPr>
        <w:t xml:space="preserve"> d</w:t>
      </w:r>
      <w:r w:rsidR="008E532B">
        <w:rPr>
          <w:rFonts w:ascii="Arial" w:hAnsi="Arial" w:cs="Arial"/>
          <w:bCs/>
          <w:sz w:val="22"/>
          <w:szCs w:val="22"/>
          <w:lang w:val="fr-FR"/>
        </w:rPr>
        <w:t>’</w:t>
      </w:r>
      <w:r w:rsidRPr="00B07A20">
        <w:rPr>
          <w:rFonts w:ascii="Arial" w:hAnsi="Arial" w:cs="Arial"/>
          <w:bCs/>
          <w:sz w:val="22"/>
          <w:szCs w:val="22"/>
          <w:lang w:val="fr-FR"/>
        </w:rPr>
        <w:t xml:space="preserve">un groupe de travail qui </w:t>
      </w:r>
      <w:r>
        <w:rPr>
          <w:rFonts w:ascii="Arial" w:hAnsi="Arial" w:cs="Arial"/>
          <w:bCs/>
          <w:sz w:val="22"/>
          <w:szCs w:val="22"/>
          <w:lang w:val="fr-FR"/>
        </w:rPr>
        <w:t>travaillait</w:t>
      </w:r>
      <w:r w:rsidRPr="00B07A20">
        <w:rPr>
          <w:rFonts w:ascii="Arial" w:hAnsi="Arial" w:cs="Arial"/>
          <w:bCs/>
          <w:sz w:val="22"/>
          <w:szCs w:val="22"/>
          <w:lang w:val="fr-FR"/>
        </w:rPr>
        <w:t xml:space="preserve"> déjà très sérieusement sur cette question</w:t>
      </w:r>
      <w:r>
        <w:rPr>
          <w:rFonts w:ascii="Arial" w:hAnsi="Arial" w:cs="Arial"/>
          <w:bCs/>
          <w:sz w:val="22"/>
          <w:szCs w:val="22"/>
          <w:lang w:val="fr-FR"/>
        </w:rPr>
        <w:t xml:space="preserve"> et avait conçu</w:t>
      </w:r>
      <w:r w:rsidRPr="00B07A20">
        <w:rPr>
          <w:rFonts w:ascii="Arial" w:hAnsi="Arial" w:cs="Arial"/>
          <w:bCs/>
          <w:sz w:val="22"/>
          <w:szCs w:val="22"/>
          <w:lang w:val="fr-FR"/>
        </w:rPr>
        <w:t xml:space="preserve"> un plan d</w:t>
      </w:r>
      <w:r w:rsidR="008E532B">
        <w:rPr>
          <w:rFonts w:ascii="Arial" w:hAnsi="Arial" w:cs="Arial"/>
          <w:bCs/>
          <w:sz w:val="22"/>
          <w:szCs w:val="22"/>
          <w:lang w:val="fr-FR"/>
        </w:rPr>
        <w:t>’</w:t>
      </w:r>
      <w:r w:rsidRPr="00B07A20">
        <w:rPr>
          <w:rFonts w:ascii="Arial" w:hAnsi="Arial" w:cs="Arial"/>
          <w:bCs/>
          <w:sz w:val="22"/>
          <w:szCs w:val="22"/>
          <w:lang w:val="fr-FR"/>
        </w:rPr>
        <w:t>action qu</w:t>
      </w:r>
      <w:r w:rsidR="008E532B">
        <w:rPr>
          <w:rFonts w:ascii="Arial" w:hAnsi="Arial" w:cs="Arial"/>
          <w:bCs/>
          <w:sz w:val="22"/>
          <w:szCs w:val="22"/>
          <w:lang w:val="fr-FR"/>
        </w:rPr>
        <w:t>’</w:t>
      </w:r>
      <w:r w:rsidRPr="00B07A20">
        <w:rPr>
          <w:rFonts w:ascii="Arial" w:hAnsi="Arial" w:cs="Arial"/>
          <w:bCs/>
          <w:sz w:val="22"/>
          <w:szCs w:val="22"/>
          <w:lang w:val="fr-FR"/>
        </w:rPr>
        <w:t>il pourrait soumettre à l</w:t>
      </w:r>
      <w:r w:rsidR="008E532B">
        <w:rPr>
          <w:rFonts w:ascii="Arial" w:hAnsi="Arial" w:cs="Arial"/>
          <w:bCs/>
          <w:sz w:val="22"/>
          <w:szCs w:val="22"/>
          <w:lang w:val="fr-FR"/>
        </w:rPr>
        <w:t>’</w:t>
      </w:r>
      <w:r w:rsidRPr="00B07A20">
        <w:rPr>
          <w:rFonts w:ascii="Arial" w:hAnsi="Arial" w:cs="Arial"/>
          <w:bCs/>
          <w:sz w:val="22"/>
          <w:szCs w:val="22"/>
          <w:lang w:val="fr-FR"/>
        </w:rPr>
        <w:t>examen de l</w:t>
      </w:r>
      <w:r w:rsidR="008E532B">
        <w:rPr>
          <w:rFonts w:ascii="Arial" w:hAnsi="Arial" w:cs="Arial"/>
          <w:bCs/>
          <w:sz w:val="22"/>
          <w:szCs w:val="22"/>
          <w:lang w:val="fr-FR"/>
        </w:rPr>
        <w:t>’</w:t>
      </w:r>
      <w:r w:rsidRPr="00B07A20">
        <w:rPr>
          <w:rFonts w:ascii="Arial" w:hAnsi="Arial" w:cs="Arial"/>
          <w:bCs/>
          <w:sz w:val="22"/>
          <w:szCs w:val="22"/>
          <w:lang w:val="fr-FR"/>
        </w:rPr>
        <w:t>Assemblée. Le Forum a</w:t>
      </w:r>
      <w:r>
        <w:rPr>
          <w:rFonts w:ascii="Arial" w:hAnsi="Arial" w:cs="Arial"/>
          <w:bCs/>
          <w:sz w:val="22"/>
          <w:szCs w:val="22"/>
          <w:lang w:val="fr-FR"/>
        </w:rPr>
        <w:t>vait</w:t>
      </w:r>
      <w:r w:rsidRPr="00B07A20">
        <w:rPr>
          <w:rFonts w:ascii="Arial" w:hAnsi="Arial" w:cs="Arial"/>
          <w:bCs/>
          <w:sz w:val="22"/>
          <w:szCs w:val="22"/>
          <w:lang w:val="fr-FR"/>
        </w:rPr>
        <w:t xml:space="preserve"> mené cinquante-quatre entretiens individuels avec des ONG de régions sous-représentées pour essayer de comprendre </w:t>
      </w:r>
      <w:r>
        <w:rPr>
          <w:rFonts w:ascii="Arial" w:hAnsi="Arial" w:cs="Arial"/>
          <w:bCs/>
          <w:sz w:val="22"/>
          <w:szCs w:val="22"/>
          <w:lang w:val="fr-FR"/>
        </w:rPr>
        <w:t>de quelle façon</w:t>
      </w:r>
      <w:r w:rsidRPr="00B07A20">
        <w:rPr>
          <w:rFonts w:ascii="Arial" w:hAnsi="Arial" w:cs="Arial"/>
          <w:bCs/>
          <w:sz w:val="22"/>
          <w:szCs w:val="22"/>
          <w:lang w:val="fr-FR"/>
        </w:rPr>
        <w:t xml:space="preserve"> il pourrait les aider à mieux recruter davantage d</w:t>
      </w:r>
      <w:r w:rsidR="008E532B">
        <w:rPr>
          <w:rFonts w:ascii="Arial" w:hAnsi="Arial" w:cs="Arial"/>
          <w:bCs/>
          <w:sz w:val="22"/>
          <w:szCs w:val="22"/>
          <w:lang w:val="fr-FR"/>
        </w:rPr>
        <w:t>’</w:t>
      </w:r>
      <w:r w:rsidRPr="00B07A20">
        <w:rPr>
          <w:rFonts w:ascii="Arial" w:hAnsi="Arial" w:cs="Arial"/>
          <w:bCs/>
          <w:sz w:val="22"/>
          <w:szCs w:val="22"/>
          <w:lang w:val="fr-FR"/>
        </w:rPr>
        <w:t xml:space="preserve">ONG, mais aussi pour aider les ONG avec des </w:t>
      </w:r>
      <w:r>
        <w:rPr>
          <w:rFonts w:ascii="Arial" w:hAnsi="Arial" w:cs="Arial"/>
          <w:bCs/>
          <w:sz w:val="22"/>
          <w:szCs w:val="22"/>
          <w:lang w:val="fr-FR"/>
        </w:rPr>
        <w:t xml:space="preserve">choses banales </w:t>
      </w:r>
      <w:r w:rsidRPr="00B07A20">
        <w:rPr>
          <w:rFonts w:ascii="Arial" w:hAnsi="Arial" w:cs="Arial"/>
          <w:bCs/>
          <w:sz w:val="22"/>
          <w:szCs w:val="22"/>
          <w:lang w:val="fr-FR"/>
        </w:rPr>
        <w:t xml:space="preserve">comme remplir les formulaires de demande, </w:t>
      </w:r>
      <w:r>
        <w:rPr>
          <w:rFonts w:ascii="Arial" w:hAnsi="Arial" w:cs="Arial"/>
          <w:bCs/>
          <w:sz w:val="22"/>
          <w:szCs w:val="22"/>
          <w:lang w:val="fr-FR"/>
        </w:rPr>
        <w:t xml:space="preserve">faire de la </w:t>
      </w:r>
      <w:r w:rsidRPr="004E68B7">
        <w:rPr>
          <w:rFonts w:ascii="Arial" w:hAnsi="Arial" w:cs="Arial"/>
          <w:bCs/>
          <w:iCs/>
          <w:sz w:val="22"/>
          <w:szCs w:val="22"/>
          <w:lang w:val="fr-FR"/>
        </w:rPr>
        <w:t>sensibilisation</w:t>
      </w:r>
      <w:r>
        <w:rPr>
          <w:rFonts w:ascii="Arial" w:hAnsi="Arial" w:cs="Arial"/>
          <w:bCs/>
          <w:iCs/>
          <w:sz w:val="22"/>
          <w:szCs w:val="22"/>
          <w:lang w:val="fr-FR"/>
        </w:rPr>
        <w:t xml:space="preserve"> dans </w:t>
      </w:r>
      <w:r w:rsidRPr="00B07A20">
        <w:rPr>
          <w:rFonts w:ascii="Arial" w:hAnsi="Arial" w:cs="Arial"/>
          <w:bCs/>
          <w:sz w:val="22"/>
          <w:szCs w:val="22"/>
          <w:lang w:val="fr-FR"/>
        </w:rPr>
        <w:t>ces pays et faire mieux connaître les avantages de l</w:t>
      </w:r>
      <w:r w:rsidR="008E532B">
        <w:rPr>
          <w:rFonts w:ascii="Arial" w:hAnsi="Arial" w:cs="Arial"/>
          <w:bCs/>
          <w:sz w:val="22"/>
          <w:szCs w:val="22"/>
          <w:lang w:val="fr-FR"/>
        </w:rPr>
        <w:t>’</w:t>
      </w:r>
      <w:r w:rsidRPr="00B07A20">
        <w:rPr>
          <w:rFonts w:ascii="Arial" w:hAnsi="Arial" w:cs="Arial"/>
          <w:bCs/>
          <w:sz w:val="22"/>
          <w:szCs w:val="22"/>
          <w:lang w:val="fr-FR"/>
        </w:rPr>
        <w:t>accréditation. Le Forum aimerait beaucoup contribuer à cette discussion.</w:t>
      </w:r>
    </w:p>
    <w:p w14:paraId="77EE7C55" w14:textId="4B598F4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E68B7">
        <w:rPr>
          <w:rFonts w:ascii="Arial" w:hAnsi="Arial" w:cs="Arial"/>
          <w:b/>
          <w:sz w:val="22"/>
          <w:szCs w:val="22"/>
          <w:lang w:val="fr-FR"/>
        </w:rPr>
        <w:t>Présidente</w:t>
      </w:r>
      <w:r>
        <w:rPr>
          <w:rFonts w:ascii="Arial" w:hAnsi="Arial" w:cs="Arial"/>
          <w:bCs/>
          <w:sz w:val="22"/>
          <w:szCs w:val="22"/>
          <w:lang w:val="fr-FR"/>
        </w:rPr>
        <w:t xml:space="preserve"> est passée au </w:t>
      </w:r>
      <w:r w:rsidRPr="004E68B7">
        <w:rPr>
          <w:rFonts w:ascii="Arial" w:hAnsi="Arial" w:cs="Arial"/>
          <w:bCs/>
          <w:sz w:val="22"/>
          <w:szCs w:val="22"/>
          <w:lang w:val="fr-FR"/>
        </w:rPr>
        <w:t>paragraphe</w:t>
      </w:r>
      <w:r>
        <w:rPr>
          <w:rFonts w:ascii="Arial" w:hAnsi="Arial" w:cs="Arial"/>
          <w:bCs/>
          <w:sz w:val="22"/>
          <w:szCs w:val="22"/>
          <w:lang w:val="fr-FR"/>
        </w:rPr>
        <w:t xml:space="preserve"> 7bis proposé par la Palestine, qui serait ainsi rédigé : « </w:t>
      </w:r>
      <w:r w:rsidRPr="008D4A97">
        <w:rPr>
          <w:rFonts w:ascii="Arial" w:hAnsi="Arial" w:cs="Arial"/>
          <w:bCs/>
          <w:sz w:val="22"/>
          <w:szCs w:val="22"/>
          <w:lang w:val="fr-FR"/>
        </w:rPr>
        <w:t>Affirme que seules les ONG des États parties peuvent être accréditées et éligibles à l</w:t>
      </w:r>
      <w:r w:rsidR="008E532B">
        <w:rPr>
          <w:rFonts w:ascii="Arial" w:hAnsi="Arial" w:cs="Arial"/>
          <w:bCs/>
          <w:sz w:val="22"/>
          <w:szCs w:val="22"/>
          <w:lang w:val="fr-FR"/>
        </w:rPr>
        <w:t>’</w:t>
      </w:r>
      <w:r>
        <w:rPr>
          <w:rFonts w:ascii="Arial" w:hAnsi="Arial" w:cs="Arial"/>
          <w:bCs/>
          <w:sz w:val="22"/>
          <w:szCs w:val="22"/>
          <w:lang w:val="fr-FR"/>
        </w:rPr>
        <w:t>O</w:t>
      </w:r>
      <w:r w:rsidRPr="008D4A97">
        <w:rPr>
          <w:rFonts w:ascii="Arial" w:hAnsi="Arial" w:cs="Arial"/>
          <w:bCs/>
          <w:sz w:val="22"/>
          <w:szCs w:val="22"/>
          <w:lang w:val="fr-FR"/>
        </w:rPr>
        <w:t>rgane d</w:t>
      </w:r>
      <w:r w:rsidR="008E532B">
        <w:rPr>
          <w:rFonts w:ascii="Arial" w:hAnsi="Arial" w:cs="Arial"/>
          <w:bCs/>
          <w:sz w:val="22"/>
          <w:szCs w:val="22"/>
          <w:lang w:val="fr-FR"/>
        </w:rPr>
        <w:t>’</w:t>
      </w:r>
      <w:r w:rsidRPr="008D4A97">
        <w:rPr>
          <w:rFonts w:ascii="Arial" w:hAnsi="Arial" w:cs="Arial"/>
          <w:bCs/>
          <w:sz w:val="22"/>
          <w:szCs w:val="22"/>
          <w:lang w:val="fr-FR"/>
        </w:rPr>
        <w:t>évaluation</w:t>
      </w:r>
      <w:r>
        <w:rPr>
          <w:rFonts w:ascii="Arial" w:hAnsi="Arial" w:cs="Arial"/>
          <w:bCs/>
          <w:sz w:val="22"/>
          <w:szCs w:val="22"/>
          <w:lang w:val="fr-FR"/>
        </w:rPr>
        <w:t> ». Elle a donné la parole aux</w:t>
      </w:r>
      <w:r w:rsidRPr="00C624A6">
        <w:rPr>
          <w:rFonts w:ascii="Arial" w:hAnsi="Arial" w:cs="Arial"/>
          <w:sz w:val="22"/>
          <w:szCs w:val="22"/>
          <w:lang w:val="fr-FR"/>
        </w:rPr>
        <w:t xml:space="preserve"> </w:t>
      </w:r>
      <w:r>
        <w:rPr>
          <w:rFonts w:ascii="Arial" w:hAnsi="Arial" w:cs="Arial"/>
          <w:sz w:val="22"/>
          <w:szCs w:val="22"/>
          <w:lang w:val="fr-FR"/>
        </w:rPr>
        <w:t>orateurs</w:t>
      </w:r>
      <w:r>
        <w:rPr>
          <w:rFonts w:ascii="Arial" w:hAnsi="Arial" w:cs="Arial"/>
          <w:bCs/>
          <w:sz w:val="22"/>
          <w:szCs w:val="22"/>
          <w:lang w:val="fr-FR"/>
        </w:rPr>
        <w:t xml:space="preserve">. </w:t>
      </w:r>
    </w:p>
    <w:p w14:paraId="1324B946" w14:textId="28FD6AC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E08A3">
        <w:rPr>
          <w:rFonts w:ascii="Arial" w:hAnsi="Arial" w:cs="Arial"/>
          <w:bCs/>
          <w:sz w:val="22"/>
          <w:szCs w:val="22"/>
          <w:lang w:val="fr-FR"/>
        </w:rPr>
        <w:t xml:space="preserve">La délégation de la </w:t>
      </w:r>
      <w:r w:rsidRPr="000E08A3">
        <w:rPr>
          <w:rFonts w:ascii="Arial" w:hAnsi="Arial" w:cs="Arial"/>
          <w:b/>
          <w:sz w:val="22"/>
          <w:szCs w:val="22"/>
          <w:lang w:val="fr-FR"/>
        </w:rPr>
        <w:t>Grenade</w:t>
      </w:r>
      <w:r w:rsidRPr="000E08A3">
        <w:rPr>
          <w:rFonts w:ascii="Arial" w:hAnsi="Arial" w:cs="Arial"/>
          <w:bCs/>
          <w:sz w:val="22"/>
          <w:szCs w:val="22"/>
          <w:lang w:val="fr-FR"/>
        </w:rPr>
        <w:t xml:space="preserve"> est revenue sur le point soulevé par le Sous-Directeur général, à savoir que des ONG </w:t>
      </w:r>
      <w:r>
        <w:rPr>
          <w:rFonts w:ascii="Arial" w:hAnsi="Arial" w:cs="Arial"/>
          <w:bCs/>
          <w:sz w:val="22"/>
          <w:szCs w:val="22"/>
          <w:lang w:val="fr-FR"/>
        </w:rPr>
        <w:t xml:space="preserve">avaient </w:t>
      </w:r>
      <w:r w:rsidRPr="000E08A3">
        <w:rPr>
          <w:rFonts w:ascii="Arial" w:hAnsi="Arial" w:cs="Arial"/>
          <w:bCs/>
          <w:sz w:val="22"/>
          <w:szCs w:val="22"/>
          <w:lang w:val="fr-FR"/>
        </w:rPr>
        <w:t>été accréditées dans le passé alors qu</w:t>
      </w:r>
      <w:r w:rsidR="008E532B">
        <w:rPr>
          <w:rFonts w:ascii="Arial" w:hAnsi="Arial" w:cs="Arial"/>
          <w:bCs/>
          <w:sz w:val="22"/>
          <w:szCs w:val="22"/>
          <w:lang w:val="fr-FR"/>
        </w:rPr>
        <w:t>’</w:t>
      </w:r>
      <w:r w:rsidRPr="000E08A3">
        <w:rPr>
          <w:rFonts w:ascii="Arial" w:hAnsi="Arial" w:cs="Arial"/>
          <w:bCs/>
          <w:sz w:val="22"/>
          <w:szCs w:val="22"/>
          <w:lang w:val="fr-FR"/>
        </w:rPr>
        <w:t>elles n</w:t>
      </w:r>
      <w:r w:rsidR="008E532B">
        <w:rPr>
          <w:rFonts w:ascii="Arial" w:hAnsi="Arial" w:cs="Arial"/>
          <w:bCs/>
          <w:sz w:val="22"/>
          <w:szCs w:val="22"/>
          <w:lang w:val="fr-FR"/>
        </w:rPr>
        <w:t>’</w:t>
      </w:r>
      <w:r w:rsidRPr="000E08A3">
        <w:rPr>
          <w:rFonts w:ascii="Arial" w:hAnsi="Arial" w:cs="Arial"/>
          <w:bCs/>
          <w:sz w:val="22"/>
          <w:szCs w:val="22"/>
          <w:lang w:val="fr-FR"/>
        </w:rPr>
        <w:t>étaient pas affiliées à des États parties et que cela a</w:t>
      </w:r>
      <w:r>
        <w:rPr>
          <w:rFonts w:ascii="Arial" w:hAnsi="Arial" w:cs="Arial"/>
          <w:bCs/>
          <w:sz w:val="22"/>
          <w:szCs w:val="22"/>
          <w:lang w:val="fr-FR"/>
        </w:rPr>
        <w:t>vait, de</w:t>
      </w:r>
      <w:r w:rsidRPr="000E08A3">
        <w:rPr>
          <w:rFonts w:ascii="Arial" w:hAnsi="Arial" w:cs="Arial"/>
          <w:bCs/>
          <w:sz w:val="22"/>
          <w:szCs w:val="22"/>
          <w:lang w:val="fr-FR"/>
        </w:rPr>
        <w:t xml:space="preserve"> fait</w:t>
      </w:r>
      <w:r>
        <w:rPr>
          <w:rFonts w:ascii="Arial" w:hAnsi="Arial" w:cs="Arial"/>
          <w:bCs/>
          <w:sz w:val="22"/>
          <w:szCs w:val="22"/>
          <w:lang w:val="fr-FR"/>
        </w:rPr>
        <w:t>,</w:t>
      </w:r>
      <w:r w:rsidRPr="000E08A3">
        <w:rPr>
          <w:rFonts w:ascii="Arial" w:hAnsi="Arial" w:cs="Arial"/>
          <w:bCs/>
          <w:sz w:val="22"/>
          <w:szCs w:val="22"/>
          <w:lang w:val="fr-FR"/>
        </w:rPr>
        <w:t xml:space="preserve"> encouragé les États </w:t>
      </w:r>
      <w:r>
        <w:rPr>
          <w:rFonts w:ascii="Arial" w:hAnsi="Arial" w:cs="Arial"/>
          <w:bCs/>
          <w:sz w:val="22"/>
          <w:szCs w:val="22"/>
          <w:lang w:val="fr-FR"/>
        </w:rPr>
        <w:t>m</w:t>
      </w:r>
      <w:r w:rsidRPr="000E08A3">
        <w:rPr>
          <w:rFonts w:ascii="Arial" w:hAnsi="Arial" w:cs="Arial"/>
          <w:bCs/>
          <w:sz w:val="22"/>
          <w:szCs w:val="22"/>
          <w:lang w:val="fr-FR"/>
        </w:rPr>
        <w:t xml:space="preserve">embres à ratifier la Convention. </w:t>
      </w:r>
      <w:r>
        <w:rPr>
          <w:rFonts w:ascii="Arial" w:hAnsi="Arial" w:cs="Arial"/>
          <w:bCs/>
          <w:sz w:val="22"/>
          <w:szCs w:val="22"/>
          <w:lang w:val="fr-FR"/>
        </w:rPr>
        <w:t>Désormais</w:t>
      </w:r>
      <w:r w:rsidRPr="000E08A3">
        <w:rPr>
          <w:rFonts w:ascii="Arial" w:hAnsi="Arial" w:cs="Arial"/>
          <w:bCs/>
          <w:sz w:val="22"/>
          <w:szCs w:val="22"/>
          <w:lang w:val="fr-FR"/>
        </w:rPr>
        <w:t>, vingt an</w:t>
      </w:r>
      <w:r>
        <w:rPr>
          <w:rFonts w:ascii="Arial" w:hAnsi="Arial" w:cs="Arial"/>
          <w:bCs/>
          <w:sz w:val="22"/>
          <w:szCs w:val="22"/>
          <w:lang w:val="fr-FR"/>
        </w:rPr>
        <w:t xml:space="preserve">nées avaient passé et </w:t>
      </w:r>
      <w:r w:rsidRPr="000E08A3">
        <w:rPr>
          <w:rFonts w:ascii="Arial" w:hAnsi="Arial" w:cs="Arial"/>
          <w:bCs/>
          <w:sz w:val="22"/>
          <w:szCs w:val="22"/>
          <w:lang w:val="fr-FR"/>
        </w:rPr>
        <w:t xml:space="preserve">les stratégies </w:t>
      </w:r>
      <w:r>
        <w:rPr>
          <w:rFonts w:ascii="Arial" w:hAnsi="Arial" w:cs="Arial"/>
          <w:bCs/>
          <w:sz w:val="22"/>
          <w:szCs w:val="22"/>
          <w:lang w:val="fr-FR"/>
        </w:rPr>
        <w:t>pouvaient évoluer</w:t>
      </w:r>
      <w:r w:rsidRPr="000E08A3">
        <w:rPr>
          <w:rFonts w:ascii="Arial" w:hAnsi="Arial" w:cs="Arial"/>
          <w:bCs/>
          <w:sz w:val="22"/>
          <w:szCs w:val="22"/>
          <w:lang w:val="fr-FR"/>
        </w:rPr>
        <w:t xml:space="preserve">, la délégation </w:t>
      </w:r>
      <w:r>
        <w:rPr>
          <w:rFonts w:ascii="Arial" w:hAnsi="Arial" w:cs="Arial"/>
          <w:bCs/>
          <w:sz w:val="22"/>
          <w:szCs w:val="22"/>
          <w:lang w:val="fr-FR"/>
        </w:rPr>
        <w:t xml:space="preserve">pensait </w:t>
      </w:r>
      <w:r w:rsidRPr="000E08A3">
        <w:rPr>
          <w:rFonts w:ascii="Arial" w:hAnsi="Arial" w:cs="Arial"/>
          <w:bCs/>
          <w:sz w:val="22"/>
          <w:szCs w:val="22"/>
          <w:lang w:val="fr-FR"/>
        </w:rPr>
        <w:t xml:space="preserve">que le fait de ne pas autoriser </w:t>
      </w:r>
      <w:r>
        <w:rPr>
          <w:rFonts w:ascii="Arial" w:hAnsi="Arial" w:cs="Arial"/>
          <w:bCs/>
          <w:sz w:val="22"/>
          <w:szCs w:val="22"/>
          <w:lang w:val="fr-FR"/>
        </w:rPr>
        <w:t>d</w:t>
      </w:r>
      <w:r w:rsidRPr="000E08A3">
        <w:rPr>
          <w:rFonts w:ascii="Arial" w:hAnsi="Arial" w:cs="Arial"/>
          <w:bCs/>
          <w:sz w:val="22"/>
          <w:szCs w:val="22"/>
          <w:lang w:val="fr-FR"/>
        </w:rPr>
        <w:t>es ONG accréditées à se joindre à l</w:t>
      </w:r>
      <w:r w:rsidR="008E532B">
        <w:rPr>
          <w:rFonts w:ascii="Arial" w:hAnsi="Arial" w:cs="Arial"/>
          <w:bCs/>
          <w:sz w:val="22"/>
          <w:szCs w:val="22"/>
          <w:lang w:val="fr-FR"/>
        </w:rPr>
        <w:t>’</w:t>
      </w:r>
      <w:r w:rsidRPr="000E08A3">
        <w:rPr>
          <w:rFonts w:ascii="Arial" w:hAnsi="Arial" w:cs="Arial"/>
          <w:bCs/>
          <w:sz w:val="22"/>
          <w:szCs w:val="22"/>
          <w:lang w:val="fr-FR"/>
        </w:rPr>
        <w:t>Organe d</w:t>
      </w:r>
      <w:r w:rsidR="008E532B">
        <w:rPr>
          <w:rFonts w:ascii="Arial" w:hAnsi="Arial" w:cs="Arial"/>
          <w:bCs/>
          <w:sz w:val="22"/>
          <w:szCs w:val="22"/>
          <w:lang w:val="fr-FR"/>
        </w:rPr>
        <w:t>’</w:t>
      </w:r>
      <w:r w:rsidRPr="000E08A3">
        <w:rPr>
          <w:rFonts w:ascii="Arial" w:hAnsi="Arial" w:cs="Arial"/>
          <w:bCs/>
          <w:sz w:val="22"/>
          <w:szCs w:val="22"/>
          <w:lang w:val="fr-FR"/>
        </w:rPr>
        <w:t>évaluation, par exemple, ou de ne pas les autoriser à se prononcer sur la possibilité d</w:t>
      </w:r>
      <w:r w:rsidR="008E532B">
        <w:rPr>
          <w:rFonts w:ascii="Arial" w:hAnsi="Arial" w:cs="Arial"/>
          <w:bCs/>
          <w:sz w:val="22"/>
          <w:szCs w:val="22"/>
          <w:lang w:val="fr-FR"/>
        </w:rPr>
        <w:t>’</w:t>
      </w:r>
      <w:r w:rsidRPr="000E08A3">
        <w:rPr>
          <w:rFonts w:ascii="Arial" w:hAnsi="Arial" w:cs="Arial"/>
          <w:bCs/>
          <w:sz w:val="22"/>
          <w:szCs w:val="22"/>
          <w:lang w:val="fr-FR"/>
        </w:rPr>
        <w:t>inscrire un élément, p</w:t>
      </w:r>
      <w:r>
        <w:rPr>
          <w:rFonts w:ascii="Arial" w:hAnsi="Arial" w:cs="Arial"/>
          <w:bCs/>
          <w:sz w:val="22"/>
          <w:szCs w:val="22"/>
          <w:lang w:val="fr-FR"/>
        </w:rPr>
        <w:t>ouvait</w:t>
      </w:r>
      <w:r w:rsidRPr="000E08A3">
        <w:rPr>
          <w:rFonts w:ascii="Arial" w:hAnsi="Arial" w:cs="Arial"/>
          <w:bCs/>
          <w:sz w:val="22"/>
          <w:szCs w:val="22"/>
          <w:lang w:val="fr-FR"/>
        </w:rPr>
        <w:t xml:space="preserve"> </w:t>
      </w:r>
      <w:r>
        <w:rPr>
          <w:rFonts w:ascii="Arial" w:hAnsi="Arial" w:cs="Arial"/>
          <w:bCs/>
          <w:sz w:val="22"/>
          <w:szCs w:val="22"/>
          <w:lang w:val="fr-FR"/>
        </w:rPr>
        <w:t>également, de</w:t>
      </w:r>
      <w:r w:rsidRPr="000E08A3">
        <w:rPr>
          <w:rFonts w:ascii="Arial" w:hAnsi="Arial" w:cs="Arial"/>
          <w:bCs/>
          <w:sz w:val="22"/>
          <w:szCs w:val="22"/>
          <w:lang w:val="fr-FR"/>
        </w:rPr>
        <w:t xml:space="preserve"> fait</w:t>
      </w:r>
      <w:r>
        <w:rPr>
          <w:rFonts w:ascii="Arial" w:hAnsi="Arial" w:cs="Arial"/>
          <w:bCs/>
          <w:sz w:val="22"/>
          <w:szCs w:val="22"/>
          <w:lang w:val="fr-FR"/>
        </w:rPr>
        <w:t>,</w:t>
      </w:r>
      <w:r w:rsidRPr="000E08A3">
        <w:rPr>
          <w:rFonts w:ascii="Arial" w:hAnsi="Arial" w:cs="Arial"/>
          <w:bCs/>
          <w:sz w:val="22"/>
          <w:szCs w:val="22"/>
          <w:lang w:val="fr-FR"/>
        </w:rPr>
        <w:t xml:space="preserve"> encourager les États </w:t>
      </w:r>
      <w:r>
        <w:rPr>
          <w:rFonts w:ascii="Arial" w:hAnsi="Arial" w:cs="Arial"/>
          <w:bCs/>
          <w:sz w:val="22"/>
          <w:szCs w:val="22"/>
          <w:lang w:val="fr-FR"/>
        </w:rPr>
        <w:t>m</w:t>
      </w:r>
      <w:r w:rsidRPr="000E08A3">
        <w:rPr>
          <w:rFonts w:ascii="Arial" w:hAnsi="Arial" w:cs="Arial"/>
          <w:bCs/>
          <w:sz w:val="22"/>
          <w:szCs w:val="22"/>
          <w:lang w:val="fr-FR"/>
        </w:rPr>
        <w:t xml:space="preserve">embres à ratifier la Convention. </w:t>
      </w:r>
      <w:r>
        <w:rPr>
          <w:rFonts w:ascii="Arial" w:hAnsi="Arial" w:cs="Arial"/>
          <w:bCs/>
          <w:sz w:val="22"/>
          <w:szCs w:val="22"/>
          <w:lang w:val="fr-FR"/>
        </w:rPr>
        <w:t>En outre, l</w:t>
      </w:r>
      <w:r w:rsidRPr="000E08A3">
        <w:rPr>
          <w:rFonts w:ascii="Arial" w:hAnsi="Arial" w:cs="Arial"/>
          <w:bCs/>
          <w:sz w:val="22"/>
          <w:szCs w:val="22"/>
          <w:lang w:val="fr-FR"/>
        </w:rPr>
        <w:t>a délégation a rappelé que le Comité cherch</w:t>
      </w:r>
      <w:r>
        <w:rPr>
          <w:rFonts w:ascii="Arial" w:hAnsi="Arial" w:cs="Arial"/>
          <w:bCs/>
          <w:sz w:val="22"/>
          <w:szCs w:val="22"/>
          <w:lang w:val="fr-FR"/>
        </w:rPr>
        <w:t>ait</w:t>
      </w:r>
      <w:r w:rsidRPr="000E08A3">
        <w:rPr>
          <w:rFonts w:ascii="Arial" w:hAnsi="Arial" w:cs="Arial"/>
          <w:bCs/>
          <w:sz w:val="22"/>
          <w:szCs w:val="22"/>
          <w:lang w:val="fr-FR"/>
        </w:rPr>
        <w:t xml:space="preserve"> à avoir plus d</w:t>
      </w:r>
      <w:r w:rsidR="008E532B">
        <w:rPr>
          <w:rFonts w:ascii="Arial" w:hAnsi="Arial" w:cs="Arial"/>
          <w:bCs/>
          <w:sz w:val="22"/>
          <w:szCs w:val="22"/>
          <w:lang w:val="fr-FR"/>
        </w:rPr>
        <w:t>’</w:t>
      </w:r>
      <w:r w:rsidRPr="000E08A3">
        <w:rPr>
          <w:rFonts w:ascii="Arial" w:hAnsi="Arial" w:cs="Arial"/>
          <w:bCs/>
          <w:sz w:val="22"/>
          <w:szCs w:val="22"/>
          <w:lang w:val="fr-FR"/>
        </w:rPr>
        <w:t xml:space="preserve">informations sur les ONG afin de </w:t>
      </w:r>
      <w:r>
        <w:rPr>
          <w:rFonts w:ascii="Arial" w:hAnsi="Arial" w:cs="Arial"/>
          <w:bCs/>
          <w:sz w:val="22"/>
          <w:szCs w:val="22"/>
          <w:lang w:val="fr-FR"/>
        </w:rPr>
        <w:t>les</w:t>
      </w:r>
      <w:r w:rsidRPr="000E08A3">
        <w:rPr>
          <w:rFonts w:ascii="Arial" w:hAnsi="Arial" w:cs="Arial"/>
          <w:bCs/>
          <w:sz w:val="22"/>
          <w:szCs w:val="22"/>
          <w:lang w:val="fr-FR"/>
        </w:rPr>
        <w:t xml:space="preserve"> accrédit</w:t>
      </w:r>
      <w:r>
        <w:rPr>
          <w:rFonts w:ascii="Arial" w:hAnsi="Arial" w:cs="Arial"/>
          <w:bCs/>
          <w:sz w:val="22"/>
          <w:szCs w:val="22"/>
          <w:lang w:val="fr-FR"/>
        </w:rPr>
        <w:t>er</w:t>
      </w:r>
      <w:r w:rsidRPr="000E08A3">
        <w:rPr>
          <w:rFonts w:ascii="Arial" w:hAnsi="Arial" w:cs="Arial"/>
          <w:bCs/>
          <w:sz w:val="22"/>
          <w:szCs w:val="22"/>
          <w:lang w:val="fr-FR"/>
        </w:rPr>
        <w:t>, lorsqu</w:t>
      </w:r>
      <w:r w:rsidR="008E532B">
        <w:rPr>
          <w:rFonts w:ascii="Arial" w:hAnsi="Arial" w:cs="Arial"/>
          <w:bCs/>
          <w:sz w:val="22"/>
          <w:szCs w:val="22"/>
          <w:lang w:val="fr-FR"/>
        </w:rPr>
        <w:t>’</w:t>
      </w:r>
      <w:r w:rsidRPr="000E08A3">
        <w:rPr>
          <w:rFonts w:ascii="Arial" w:hAnsi="Arial" w:cs="Arial"/>
          <w:bCs/>
          <w:sz w:val="22"/>
          <w:szCs w:val="22"/>
          <w:lang w:val="fr-FR"/>
        </w:rPr>
        <w:t>il a</w:t>
      </w:r>
      <w:r>
        <w:rPr>
          <w:rFonts w:ascii="Arial" w:hAnsi="Arial" w:cs="Arial"/>
          <w:bCs/>
          <w:sz w:val="22"/>
          <w:szCs w:val="22"/>
          <w:lang w:val="fr-FR"/>
        </w:rPr>
        <w:t>vait</w:t>
      </w:r>
      <w:r w:rsidRPr="000E08A3">
        <w:rPr>
          <w:rFonts w:ascii="Arial" w:hAnsi="Arial" w:cs="Arial"/>
          <w:bCs/>
          <w:sz w:val="22"/>
          <w:szCs w:val="22"/>
          <w:lang w:val="fr-FR"/>
        </w:rPr>
        <w:t xml:space="preserve"> déc</w:t>
      </w:r>
      <w:r>
        <w:rPr>
          <w:rFonts w:ascii="Arial" w:hAnsi="Arial" w:cs="Arial"/>
          <w:bCs/>
          <w:sz w:val="22"/>
          <w:szCs w:val="22"/>
          <w:lang w:val="fr-FR"/>
        </w:rPr>
        <w:t>laré,</w:t>
      </w:r>
      <w:r w:rsidRPr="000E08A3">
        <w:rPr>
          <w:rFonts w:ascii="Arial" w:hAnsi="Arial" w:cs="Arial"/>
          <w:bCs/>
          <w:sz w:val="22"/>
          <w:szCs w:val="22"/>
          <w:lang w:val="fr-FR"/>
        </w:rPr>
        <w:t xml:space="preserve"> dans la </w:t>
      </w:r>
      <w:r>
        <w:rPr>
          <w:rFonts w:ascii="Arial" w:hAnsi="Arial" w:cs="Arial"/>
          <w:bCs/>
          <w:sz w:val="22"/>
          <w:szCs w:val="22"/>
          <w:lang w:val="fr-FR"/>
        </w:rPr>
        <w:t>d</w:t>
      </w:r>
      <w:r w:rsidRPr="000E08A3">
        <w:rPr>
          <w:rFonts w:ascii="Arial" w:hAnsi="Arial" w:cs="Arial"/>
          <w:bCs/>
          <w:sz w:val="22"/>
          <w:szCs w:val="22"/>
          <w:lang w:val="fr-FR"/>
        </w:rPr>
        <w:t>écision</w:t>
      </w:r>
      <w:r>
        <w:rPr>
          <w:rFonts w:ascii="Arial" w:hAnsi="Arial" w:cs="Arial"/>
          <w:bCs/>
          <w:sz w:val="22"/>
          <w:szCs w:val="22"/>
          <w:lang w:val="fr-FR"/>
        </w:rPr>
        <w:t> </w:t>
      </w:r>
      <w:r w:rsidRPr="000E08A3">
        <w:rPr>
          <w:rFonts w:ascii="Arial" w:hAnsi="Arial" w:cs="Arial"/>
          <w:bCs/>
          <w:sz w:val="22"/>
          <w:szCs w:val="22"/>
          <w:lang w:val="fr-FR"/>
        </w:rPr>
        <w:t>16.COM</w:t>
      </w:r>
      <w:r>
        <w:rPr>
          <w:rFonts w:ascii="Arial" w:hAnsi="Arial" w:cs="Arial"/>
          <w:bCs/>
          <w:sz w:val="22"/>
          <w:szCs w:val="22"/>
          <w:lang w:val="fr-FR"/>
        </w:rPr>
        <w:t> </w:t>
      </w:r>
      <w:r w:rsidRPr="000E08A3">
        <w:rPr>
          <w:rFonts w:ascii="Arial" w:hAnsi="Arial" w:cs="Arial"/>
          <w:bCs/>
          <w:sz w:val="22"/>
          <w:szCs w:val="22"/>
          <w:lang w:val="fr-FR"/>
        </w:rPr>
        <w:t xml:space="preserve">15, </w:t>
      </w:r>
      <w:r>
        <w:rPr>
          <w:rFonts w:ascii="Arial" w:hAnsi="Arial" w:cs="Arial"/>
          <w:bCs/>
          <w:sz w:val="22"/>
          <w:szCs w:val="22"/>
          <w:lang w:val="fr-FR"/>
        </w:rPr>
        <w:t>« D</w:t>
      </w:r>
      <w:r w:rsidRPr="00581237">
        <w:rPr>
          <w:rFonts w:ascii="Arial" w:hAnsi="Arial" w:cs="Arial"/>
          <w:bCs/>
          <w:sz w:val="22"/>
          <w:szCs w:val="22"/>
          <w:lang w:val="fr-FR"/>
        </w:rPr>
        <w:t>emande au Secrétariat de mettre en place un mécanisme de communication clair avec les États parties qui permette d</w:t>
      </w:r>
      <w:r w:rsidR="008E532B">
        <w:rPr>
          <w:rFonts w:ascii="Arial" w:hAnsi="Arial" w:cs="Arial"/>
          <w:bCs/>
          <w:sz w:val="22"/>
          <w:szCs w:val="22"/>
          <w:lang w:val="fr-FR"/>
        </w:rPr>
        <w:t>’</w:t>
      </w:r>
      <w:r w:rsidRPr="00581237">
        <w:rPr>
          <w:rFonts w:ascii="Arial" w:hAnsi="Arial" w:cs="Arial"/>
          <w:bCs/>
          <w:sz w:val="22"/>
          <w:szCs w:val="22"/>
          <w:lang w:val="fr-FR"/>
        </w:rPr>
        <w:t xml:space="preserve">obtenir </w:t>
      </w:r>
      <w:r>
        <w:rPr>
          <w:rFonts w:ascii="Arial" w:hAnsi="Arial" w:cs="Arial"/>
          <w:bCs/>
          <w:sz w:val="22"/>
          <w:szCs w:val="22"/>
          <w:lang w:val="fr-FR"/>
        </w:rPr>
        <w:t xml:space="preserve">un maximum </w:t>
      </w:r>
      <w:r w:rsidRPr="00581237">
        <w:rPr>
          <w:rFonts w:ascii="Arial" w:hAnsi="Arial" w:cs="Arial"/>
          <w:bCs/>
          <w:sz w:val="22"/>
          <w:szCs w:val="22"/>
          <w:lang w:val="fr-FR"/>
        </w:rPr>
        <w:t>d</w:t>
      </w:r>
      <w:r w:rsidR="008E532B">
        <w:rPr>
          <w:rFonts w:ascii="Arial" w:hAnsi="Arial" w:cs="Arial"/>
          <w:bCs/>
          <w:sz w:val="22"/>
          <w:szCs w:val="22"/>
          <w:lang w:val="fr-FR"/>
        </w:rPr>
        <w:t>’</w:t>
      </w:r>
      <w:r w:rsidRPr="00581237">
        <w:rPr>
          <w:rFonts w:ascii="Arial" w:hAnsi="Arial" w:cs="Arial"/>
          <w:bCs/>
          <w:sz w:val="22"/>
          <w:szCs w:val="22"/>
          <w:lang w:val="fr-FR"/>
        </w:rPr>
        <w:t>informations</w:t>
      </w:r>
      <w:r>
        <w:rPr>
          <w:rFonts w:ascii="Arial" w:hAnsi="Arial" w:cs="Arial"/>
          <w:bCs/>
          <w:sz w:val="22"/>
          <w:szCs w:val="22"/>
          <w:lang w:val="fr-FR"/>
        </w:rPr>
        <w:t xml:space="preserve"> </w:t>
      </w:r>
      <w:r w:rsidRPr="00581237">
        <w:rPr>
          <w:rFonts w:ascii="Arial" w:hAnsi="Arial" w:cs="Arial"/>
          <w:bCs/>
          <w:sz w:val="22"/>
          <w:szCs w:val="22"/>
          <w:lang w:val="fr-FR"/>
        </w:rPr>
        <w:t>sur les demandes d</w:t>
      </w:r>
      <w:r w:rsidR="008E532B">
        <w:rPr>
          <w:rFonts w:ascii="Arial" w:hAnsi="Arial" w:cs="Arial"/>
          <w:bCs/>
          <w:sz w:val="22"/>
          <w:szCs w:val="22"/>
          <w:lang w:val="fr-FR"/>
        </w:rPr>
        <w:t>’</w:t>
      </w:r>
      <w:r w:rsidRPr="00581237">
        <w:rPr>
          <w:rFonts w:ascii="Arial" w:hAnsi="Arial" w:cs="Arial"/>
          <w:bCs/>
          <w:sz w:val="22"/>
          <w:szCs w:val="22"/>
          <w:lang w:val="fr-FR"/>
        </w:rPr>
        <w:t xml:space="preserve">accréditation </w:t>
      </w:r>
      <w:r>
        <w:rPr>
          <w:rFonts w:ascii="Arial" w:hAnsi="Arial" w:cs="Arial"/>
          <w:bCs/>
          <w:sz w:val="22"/>
          <w:szCs w:val="22"/>
          <w:lang w:val="fr-FR"/>
        </w:rPr>
        <w:t xml:space="preserve">[…] ». </w:t>
      </w:r>
      <w:r w:rsidRPr="000E08A3">
        <w:rPr>
          <w:rFonts w:ascii="Arial" w:hAnsi="Arial" w:cs="Arial"/>
          <w:bCs/>
          <w:sz w:val="22"/>
          <w:szCs w:val="22"/>
          <w:lang w:val="fr-FR"/>
        </w:rPr>
        <w:t>La délégation a fait remarquer qu</w:t>
      </w:r>
      <w:r w:rsidR="008E532B">
        <w:rPr>
          <w:rFonts w:ascii="Arial" w:hAnsi="Arial" w:cs="Arial"/>
          <w:bCs/>
          <w:sz w:val="22"/>
          <w:szCs w:val="22"/>
          <w:lang w:val="fr-FR"/>
        </w:rPr>
        <w:t>’</w:t>
      </w:r>
      <w:r w:rsidRPr="000E08A3">
        <w:rPr>
          <w:rFonts w:ascii="Arial" w:hAnsi="Arial" w:cs="Arial"/>
          <w:bCs/>
          <w:sz w:val="22"/>
          <w:szCs w:val="22"/>
          <w:lang w:val="fr-FR"/>
        </w:rPr>
        <w:t xml:space="preserve">il était clairement indiqué </w:t>
      </w:r>
      <w:r>
        <w:rPr>
          <w:rFonts w:ascii="Arial" w:hAnsi="Arial" w:cs="Arial"/>
          <w:bCs/>
          <w:sz w:val="22"/>
          <w:szCs w:val="22"/>
          <w:lang w:val="fr-FR"/>
        </w:rPr>
        <w:t>« </w:t>
      </w:r>
      <w:r w:rsidRPr="000E08A3">
        <w:rPr>
          <w:rFonts w:ascii="Arial" w:hAnsi="Arial" w:cs="Arial"/>
          <w:bCs/>
          <w:sz w:val="22"/>
          <w:szCs w:val="22"/>
          <w:lang w:val="fr-FR"/>
        </w:rPr>
        <w:t>États parties</w:t>
      </w:r>
      <w:r>
        <w:rPr>
          <w:rFonts w:ascii="Arial" w:hAnsi="Arial" w:cs="Arial"/>
          <w:bCs/>
          <w:sz w:val="22"/>
          <w:szCs w:val="22"/>
          <w:lang w:val="fr-FR"/>
        </w:rPr>
        <w:t> »</w:t>
      </w:r>
      <w:r w:rsidRPr="000E08A3">
        <w:rPr>
          <w:rFonts w:ascii="Arial" w:hAnsi="Arial" w:cs="Arial"/>
          <w:bCs/>
          <w:sz w:val="22"/>
          <w:szCs w:val="22"/>
          <w:lang w:val="fr-FR"/>
        </w:rPr>
        <w:t xml:space="preserve"> et non </w:t>
      </w:r>
      <w:r>
        <w:rPr>
          <w:rFonts w:ascii="Arial" w:hAnsi="Arial" w:cs="Arial"/>
          <w:bCs/>
          <w:sz w:val="22"/>
          <w:szCs w:val="22"/>
          <w:lang w:val="fr-FR"/>
        </w:rPr>
        <w:t>« </w:t>
      </w:r>
      <w:r w:rsidRPr="000E08A3">
        <w:rPr>
          <w:rFonts w:ascii="Arial" w:hAnsi="Arial" w:cs="Arial"/>
          <w:bCs/>
          <w:sz w:val="22"/>
          <w:szCs w:val="22"/>
          <w:lang w:val="fr-FR"/>
        </w:rPr>
        <w:t xml:space="preserve">États </w:t>
      </w:r>
      <w:r>
        <w:rPr>
          <w:rFonts w:ascii="Arial" w:hAnsi="Arial" w:cs="Arial"/>
          <w:bCs/>
          <w:sz w:val="22"/>
          <w:szCs w:val="22"/>
          <w:lang w:val="fr-FR"/>
        </w:rPr>
        <w:t>m</w:t>
      </w:r>
      <w:r w:rsidRPr="000E08A3">
        <w:rPr>
          <w:rFonts w:ascii="Arial" w:hAnsi="Arial" w:cs="Arial"/>
          <w:bCs/>
          <w:sz w:val="22"/>
          <w:szCs w:val="22"/>
          <w:lang w:val="fr-FR"/>
        </w:rPr>
        <w:t>embres</w:t>
      </w:r>
      <w:r>
        <w:rPr>
          <w:rFonts w:ascii="Arial" w:hAnsi="Arial" w:cs="Arial"/>
          <w:bCs/>
          <w:sz w:val="22"/>
          <w:szCs w:val="22"/>
          <w:lang w:val="fr-FR"/>
        </w:rPr>
        <w:t xml:space="preserve"> » </w:t>
      </w:r>
      <w:r w:rsidRPr="000E08A3">
        <w:rPr>
          <w:rFonts w:ascii="Arial" w:hAnsi="Arial" w:cs="Arial"/>
          <w:bCs/>
          <w:sz w:val="22"/>
          <w:szCs w:val="22"/>
          <w:lang w:val="fr-FR"/>
        </w:rPr>
        <w:t>de l</w:t>
      </w:r>
      <w:r w:rsidR="008E532B">
        <w:rPr>
          <w:rFonts w:ascii="Arial" w:hAnsi="Arial" w:cs="Arial"/>
          <w:bCs/>
          <w:sz w:val="22"/>
          <w:szCs w:val="22"/>
          <w:lang w:val="fr-FR"/>
        </w:rPr>
        <w:t>’</w:t>
      </w:r>
      <w:r w:rsidRPr="000E08A3">
        <w:rPr>
          <w:rFonts w:ascii="Arial" w:hAnsi="Arial" w:cs="Arial"/>
          <w:bCs/>
          <w:sz w:val="22"/>
          <w:szCs w:val="22"/>
          <w:lang w:val="fr-FR"/>
        </w:rPr>
        <w:t>UNESCO. Ainsi, si l</w:t>
      </w:r>
      <w:r w:rsidR="008E532B">
        <w:rPr>
          <w:rFonts w:ascii="Arial" w:hAnsi="Arial" w:cs="Arial"/>
          <w:bCs/>
          <w:sz w:val="22"/>
          <w:szCs w:val="22"/>
          <w:lang w:val="fr-FR"/>
        </w:rPr>
        <w:t>’</w:t>
      </w:r>
      <w:r w:rsidRPr="000E08A3">
        <w:rPr>
          <w:rFonts w:ascii="Arial" w:hAnsi="Arial" w:cs="Arial"/>
          <w:bCs/>
          <w:sz w:val="22"/>
          <w:szCs w:val="22"/>
          <w:lang w:val="fr-FR"/>
        </w:rPr>
        <w:t>on s</w:t>
      </w:r>
      <w:r w:rsidR="008E532B">
        <w:rPr>
          <w:rFonts w:ascii="Arial" w:hAnsi="Arial" w:cs="Arial"/>
          <w:bCs/>
          <w:sz w:val="22"/>
          <w:szCs w:val="22"/>
          <w:lang w:val="fr-FR"/>
        </w:rPr>
        <w:t>’</w:t>
      </w:r>
      <w:r w:rsidRPr="000E08A3">
        <w:rPr>
          <w:rFonts w:ascii="Arial" w:hAnsi="Arial" w:cs="Arial"/>
          <w:bCs/>
          <w:sz w:val="22"/>
          <w:szCs w:val="22"/>
          <w:lang w:val="fr-FR"/>
        </w:rPr>
        <w:t>adress</w:t>
      </w:r>
      <w:r>
        <w:rPr>
          <w:rFonts w:ascii="Arial" w:hAnsi="Arial" w:cs="Arial"/>
          <w:bCs/>
          <w:sz w:val="22"/>
          <w:szCs w:val="22"/>
          <w:lang w:val="fr-FR"/>
        </w:rPr>
        <w:t>ait</w:t>
      </w:r>
      <w:r w:rsidRPr="000E08A3">
        <w:rPr>
          <w:rFonts w:ascii="Arial" w:hAnsi="Arial" w:cs="Arial"/>
          <w:bCs/>
          <w:sz w:val="22"/>
          <w:szCs w:val="22"/>
          <w:lang w:val="fr-FR"/>
        </w:rPr>
        <w:t xml:space="preserve"> uniquement aux États parties lorsqu</w:t>
      </w:r>
      <w:r w:rsidR="008E532B">
        <w:rPr>
          <w:rFonts w:ascii="Arial" w:hAnsi="Arial" w:cs="Arial"/>
          <w:bCs/>
          <w:sz w:val="22"/>
          <w:szCs w:val="22"/>
          <w:lang w:val="fr-FR"/>
        </w:rPr>
        <w:t>’</w:t>
      </w:r>
      <w:r w:rsidRPr="000E08A3">
        <w:rPr>
          <w:rFonts w:ascii="Arial" w:hAnsi="Arial" w:cs="Arial"/>
          <w:bCs/>
          <w:sz w:val="22"/>
          <w:szCs w:val="22"/>
          <w:lang w:val="fr-FR"/>
        </w:rPr>
        <w:t>on cherch</w:t>
      </w:r>
      <w:r>
        <w:rPr>
          <w:rFonts w:ascii="Arial" w:hAnsi="Arial" w:cs="Arial"/>
          <w:bCs/>
          <w:sz w:val="22"/>
          <w:szCs w:val="22"/>
          <w:lang w:val="fr-FR"/>
        </w:rPr>
        <w:t>ait</w:t>
      </w:r>
      <w:r w:rsidRPr="000E08A3">
        <w:rPr>
          <w:rFonts w:ascii="Arial" w:hAnsi="Arial" w:cs="Arial"/>
          <w:bCs/>
          <w:sz w:val="22"/>
          <w:szCs w:val="22"/>
          <w:lang w:val="fr-FR"/>
        </w:rPr>
        <w:t xml:space="preserve"> à obtenir plus d</w:t>
      </w:r>
      <w:r w:rsidR="008E532B">
        <w:rPr>
          <w:rFonts w:ascii="Arial" w:hAnsi="Arial" w:cs="Arial"/>
          <w:bCs/>
          <w:sz w:val="22"/>
          <w:szCs w:val="22"/>
          <w:lang w:val="fr-FR"/>
        </w:rPr>
        <w:t>’</w:t>
      </w:r>
      <w:r w:rsidRPr="000E08A3">
        <w:rPr>
          <w:rFonts w:ascii="Arial" w:hAnsi="Arial" w:cs="Arial"/>
          <w:bCs/>
          <w:sz w:val="22"/>
          <w:szCs w:val="22"/>
          <w:lang w:val="fr-FR"/>
        </w:rPr>
        <w:t>informations, à qui d</w:t>
      </w:r>
      <w:r>
        <w:rPr>
          <w:rFonts w:ascii="Arial" w:hAnsi="Arial" w:cs="Arial"/>
          <w:bCs/>
          <w:sz w:val="22"/>
          <w:szCs w:val="22"/>
          <w:lang w:val="fr-FR"/>
        </w:rPr>
        <w:t>evai</w:t>
      </w:r>
      <w:r w:rsidRPr="000E08A3">
        <w:rPr>
          <w:rFonts w:ascii="Arial" w:hAnsi="Arial" w:cs="Arial"/>
          <w:bCs/>
          <w:sz w:val="22"/>
          <w:szCs w:val="22"/>
          <w:lang w:val="fr-FR"/>
        </w:rPr>
        <w:t>t-on s</w:t>
      </w:r>
      <w:r w:rsidR="008E532B">
        <w:rPr>
          <w:rFonts w:ascii="Arial" w:hAnsi="Arial" w:cs="Arial"/>
          <w:bCs/>
          <w:sz w:val="22"/>
          <w:szCs w:val="22"/>
          <w:lang w:val="fr-FR"/>
        </w:rPr>
        <w:t>’</w:t>
      </w:r>
      <w:r w:rsidRPr="000E08A3">
        <w:rPr>
          <w:rFonts w:ascii="Arial" w:hAnsi="Arial" w:cs="Arial"/>
          <w:bCs/>
          <w:sz w:val="22"/>
          <w:szCs w:val="22"/>
          <w:lang w:val="fr-FR"/>
        </w:rPr>
        <w:t>adresser lorsqu</w:t>
      </w:r>
      <w:r w:rsidR="008E532B">
        <w:rPr>
          <w:rFonts w:ascii="Arial" w:hAnsi="Arial" w:cs="Arial"/>
          <w:bCs/>
          <w:sz w:val="22"/>
          <w:szCs w:val="22"/>
          <w:lang w:val="fr-FR"/>
        </w:rPr>
        <w:t>’</w:t>
      </w:r>
      <w:r w:rsidRPr="000E08A3">
        <w:rPr>
          <w:rFonts w:ascii="Arial" w:hAnsi="Arial" w:cs="Arial"/>
          <w:bCs/>
          <w:sz w:val="22"/>
          <w:szCs w:val="22"/>
          <w:lang w:val="fr-FR"/>
        </w:rPr>
        <w:t>on cherch</w:t>
      </w:r>
      <w:r>
        <w:rPr>
          <w:rFonts w:ascii="Arial" w:hAnsi="Arial" w:cs="Arial"/>
          <w:bCs/>
          <w:sz w:val="22"/>
          <w:szCs w:val="22"/>
          <w:lang w:val="fr-FR"/>
        </w:rPr>
        <w:t>ait</w:t>
      </w:r>
      <w:r w:rsidRPr="000E08A3">
        <w:rPr>
          <w:rFonts w:ascii="Arial" w:hAnsi="Arial" w:cs="Arial"/>
          <w:bCs/>
          <w:sz w:val="22"/>
          <w:szCs w:val="22"/>
          <w:lang w:val="fr-FR"/>
        </w:rPr>
        <w:t xml:space="preserve"> à obtenir plus d</w:t>
      </w:r>
      <w:r w:rsidR="008E532B">
        <w:rPr>
          <w:rFonts w:ascii="Arial" w:hAnsi="Arial" w:cs="Arial"/>
          <w:bCs/>
          <w:sz w:val="22"/>
          <w:szCs w:val="22"/>
          <w:lang w:val="fr-FR"/>
        </w:rPr>
        <w:t>’</w:t>
      </w:r>
      <w:r w:rsidRPr="000E08A3">
        <w:rPr>
          <w:rFonts w:ascii="Arial" w:hAnsi="Arial" w:cs="Arial"/>
          <w:bCs/>
          <w:sz w:val="22"/>
          <w:szCs w:val="22"/>
          <w:lang w:val="fr-FR"/>
        </w:rPr>
        <w:t>informations de la part d</w:t>
      </w:r>
      <w:r w:rsidR="008E532B">
        <w:rPr>
          <w:rFonts w:ascii="Arial" w:hAnsi="Arial" w:cs="Arial"/>
          <w:bCs/>
          <w:sz w:val="22"/>
          <w:szCs w:val="22"/>
          <w:lang w:val="fr-FR"/>
        </w:rPr>
        <w:t>’</w:t>
      </w:r>
      <w:r w:rsidRPr="000E08A3">
        <w:rPr>
          <w:rFonts w:ascii="Arial" w:hAnsi="Arial" w:cs="Arial"/>
          <w:bCs/>
          <w:sz w:val="22"/>
          <w:szCs w:val="22"/>
          <w:lang w:val="fr-FR"/>
        </w:rPr>
        <w:t>ONG non affiliées à un État partie</w:t>
      </w:r>
      <w:r>
        <w:rPr>
          <w:rFonts w:ascii="Arial" w:hAnsi="Arial" w:cs="Arial"/>
          <w:bCs/>
          <w:sz w:val="22"/>
          <w:szCs w:val="22"/>
          <w:lang w:val="fr-FR"/>
        </w:rPr>
        <w:t> </w:t>
      </w:r>
      <w:r w:rsidRPr="000E08A3">
        <w:rPr>
          <w:rFonts w:ascii="Arial" w:hAnsi="Arial" w:cs="Arial"/>
          <w:bCs/>
          <w:sz w:val="22"/>
          <w:szCs w:val="22"/>
          <w:lang w:val="fr-FR"/>
        </w:rPr>
        <w:t xml:space="preserve">? Pour cette raison, la délégation soutenait la proposition de la Palestine </w:t>
      </w:r>
      <w:r>
        <w:rPr>
          <w:rFonts w:ascii="Arial" w:hAnsi="Arial" w:cs="Arial"/>
          <w:bCs/>
          <w:sz w:val="22"/>
          <w:szCs w:val="22"/>
          <w:lang w:val="fr-FR"/>
        </w:rPr>
        <w:t xml:space="preserve">pour le </w:t>
      </w:r>
      <w:r w:rsidRPr="006E6107">
        <w:rPr>
          <w:rFonts w:ascii="Arial" w:hAnsi="Arial" w:cs="Arial"/>
          <w:bCs/>
          <w:sz w:val="22"/>
          <w:szCs w:val="22"/>
          <w:lang w:val="fr-FR"/>
        </w:rPr>
        <w:t>paragraphe</w:t>
      </w:r>
      <w:r w:rsidRPr="000E08A3">
        <w:rPr>
          <w:rFonts w:ascii="Arial" w:hAnsi="Arial" w:cs="Arial"/>
          <w:bCs/>
          <w:sz w:val="22"/>
          <w:szCs w:val="22"/>
          <w:lang w:val="fr-FR"/>
        </w:rPr>
        <w:t xml:space="preserve"> 7bis.</w:t>
      </w:r>
    </w:p>
    <w:p w14:paraId="02E47798" w14:textId="2AF1F4A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43BC0">
        <w:rPr>
          <w:rFonts w:ascii="Arial" w:hAnsi="Arial" w:cs="Arial"/>
          <w:bCs/>
          <w:sz w:val="22"/>
          <w:szCs w:val="22"/>
          <w:lang w:val="fr-FR"/>
        </w:rPr>
        <w:t>La délégation d</w:t>
      </w:r>
      <w:r w:rsidR="008E532B">
        <w:rPr>
          <w:rFonts w:ascii="Arial" w:hAnsi="Arial" w:cs="Arial"/>
          <w:bCs/>
          <w:sz w:val="22"/>
          <w:szCs w:val="22"/>
          <w:lang w:val="fr-FR"/>
        </w:rPr>
        <w:t>’</w:t>
      </w:r>
      <w:r w:rsidRPr="00243BC0">
        <w:rPr>
          <w:rFonts w:ascii="Arial" w:hAnsi="Arial" w:cs="Arial"/>
          <w:b/>
          <w:sz w:val="22"/>
          <w:szCs w:val="22"/>
          <w:lang w:val="fr-FR"/>
        </w:rPr>
        <w:t>Oman</w:t>
      </w:r>
      <w:r w:rsidRPr="00243BC0">
        <w:rPr>
          <w:rFonts w:ascii="Arial" w:hAnsi="Arial" w:cs="Arial"/>
          <w:bCs/>
          <w:sz w:val="22"/>
          <w:szCs w:val="22"/>
          <w:lang w:val="fr-FR"/>
        </w:rPr>
        <w:t xml:space="preserve"> </w:t>
      </w:r>
      <w:r>
        <w:rPr>
          <w:rFonts w:ascii="Arial" w:hAnsi="Arial" w:cs="Arial"/>
          <w:bCs/>
          <w:sz w:val="22"/>
          <w:szCs w:val="22"/>
          <w:lang w:val="fr-FR"/>
        </w:rPr>
        <w:t xml:space="preserve">a </w:t>
      </w:r>
      <w:r w:rsidRPr="00243BC0">
        <w:rPr>
          <w:rFonts w:ascii="Arial" w:hAnsi="Arial" w:cs="Arial"/>
          <w:bCs/>
          <w:sz w:val="22"/>
          <w:szCs w:val="22"/>
          <w:lang w:val="fr-FR"/>
        </w:rPr>
        <w:t>remerci</w:t>
      </w:r>
      <w:r>
        <w:rPr>
          <w:rFonts w:ascii="Arial" w:hAnsi="Arial" w:cs="Arial"/>
          <w:bCs/>
          <w:sz w:val="22"/>
          <w:szCs w:val="22"/>
          <w:lang w:val="fr-FR"/>
        </w:rPr>
        <w:t>é</w:t>
      </w:r>
      <w:r w:rsidRPr="00243BC0">
        <w:rPr>
          <w:rFonts w:ascii="Arial" w:hAnsi="Arial" w:cs="Arial"/>
          <w:bCs/>
          <w:sz w:val="22"/>
          <w:szCs w:val="22"/>
          <w:lang w:val="fr-FR"/>
        </w:rPr>
        <w:t xml:space="preserve"> tous les </w:t>
      </w:r>
      <w:r>
        <w:rPr>
          <w:rFonts w:ascii="Arial" w:hAnsi="Arial" w:cs="Arial"/>
          <w:sz w:val="22"/>
          <w:szCs w:val="22"/>
          <w:lang w:val="fr-FR"/>
        </w:rPr>
        <w:t>orateurs</w:t>
      </w:r>
      <w:r w:rsidRPr="00243BC0">
        <w:rPr>
          <w:rFonts w:ascii="Arial" w:hAnsi="Arial" w:cs="Arial"/>
          <w:bCs/>
          <w:sz w:val="22"/>
          <w:szCs w:val="22"/>
          <w:lang w:val="fr-FR"/>
        </w:rPr>
        <w:t xml:space="preserve"> et </w:t>
      </w:r>
      <w:r>
        <w:rPr>
          <w:rFonts w:ascii="Arial" w:hAnsi="Arial" w:cs="Arial"/>
          <w:bCs/>
          <w:sz w:val="22"/>
          <w:szCs w:val="22"/>
          <w:lang w:val="fr-FR"/>
        </w:rPr>
        <w:t>a observé que</w:t>
      </w:r>
      <w:r w:rsidRPr="00243BC0">
        <w:rPr>
          <w:rFonts w:ascii="Arial" w:hAnsi="Arial" w:cs="Arial"/>
          <w:bCs/>
          <w:sz w:val="22"/>
          <w:szCs w:val="22"/>
          <w:lang w:val="fr-FR"/>
        </w:rPr>
        <w:t xml:space="preserve"> la discussion sur ce point</w:t>
      </w:r>
      <w:r>
        <w:rPr>
          <w:rFonts w:ascii="Arial" w:hAnsi="Arial" w:cs="Arial"/>
          <w:bCs/>
          <w:sz w:val="22"/>
          <w:szCs w:val="22"/>
          <w:lang w:val="fr-FR"/>
        </w:rPr>
        <w:t xml:space="preserve"> était longue</w:t>
      </w:r>
      <w:r w:rsidRPr="00243BC0">
        <w:rPr>
          <w:rFonts w:ascii="Arial" w:hAnsi="Arial" w:cs="Arial"/>
          <w:bCs/>
          <w:sz w:val="22"/>
          <w:szCs w:val="22"/>
          <w:lang w:val="fr-FR"/>
        </w:rPr>
        <w:t>. Elle recherch</w:t>
      </w:r>
      <w:r>
        <w:rPr>
          <w:rFonts w:ascii="Arial" w:hAnsi="Arial" w:cs="Arial"/>
          <w:bCs/>
          <w:sz w:val="22"/>
          <w:szCs w:val="22"/>
          <w:lang w:val="fr-FR"/>
        </w:rPr>
        <w:t>ait donc</w:t>
      </w:r>
      <w:r w:rsidRPr="00243BC0">
        <w:rPr>
          <w:rFonts w:ascii="Arial" w:hAnsi="Arial" w:cs="Arial"/>
          <w:bCs/>
          <w:sz w:val="22"/>
          <w:szCs w:val="22"/>
          <w:lang w:val="fr-FR"/>
        </w:rPr>
        <w:t xml:space="preserve"> une solution sur la proposition de la Palestine.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agissant des </w:t>
      </w:r>
      <w:r w:rsidRPr="00243BC0">
        <w:rPr>
          <w:rFonts w:ascii="Arial" w:hAnsi="Arial" w:cs="Arial"/>
          <w:bCs/>
          <w:sz w:val="22"/>
          <w:szCs w:val="22"/>
          <w:lang w:val="fr-FR"/>
        </w:rPr>
        <w:t xml:space="preserve">ONG accréditées et </w:t>
      </w:r>
      <w:r>
        <w:rPr>
          <w:rFonts w:ascii="Arial" w:hAnsi="Arial" w:cs="Arial"/>
          <w:bCs/>
          <w:sz w:val="22"/>
          <w:szCs w:val="22"/>
          <w:lang w:val="fr-FR"/>
        </w:rPr>
        <w:t xml:space="preserve">de </w:t>
      </w:r>
      <w:r w:rsidRPr="00243BC0">
        <w:rPr>
          <w:rFonts w:ascii="Arial" w:hAnsi="Arial" w:cs="Arial"/>
          <w:bCs/>
          <w:sz w:val="22"/>
          <w:szCs w:val="22"/>
          <w:lang w:val="fr-FR"/>
        </w:rPr>
        <w:t>l</w:t>
      </w:r>
      <w:r w:rsidR="008E532B">
        <w:rPr>
          <w:rFonts w:ascii="Arial" w:hAnsi="Arial" w:cs="Arial"/>
          <w:bCs/>
          <w:sz w:val="22"/>
          <w:szCs w:val="22"/>
          <w:lang w:val="fr-FR"/>
        </w:rPr>
        <w:t>’</w:t>
      </w:r>
      <w:r w:rsidRPr="00243BC0">
        <w:rPr>
          <w:rFonts w:ascii="Arial" w:hAnsi="Arial" w:cs="Arial"/>
          <w:bCs/>
          <w:sz w:val="22"/>
          <w:szCs w:val="22"/>
          <w:lang w:val="fr-FR"/>
        </w:rPr>
        <w:t>éligibilité des ONG à participer à l</w:t>
      </w:r>
      <w:r w:rsidR="008E532B">
        <w:rPr>
          <w:rFonts w:ascii="Arial" w:hAnsi="Arial" w:cs="Arial"/>
          <w:bCs/>
          <w:sz w:val="22"/>
          <w:szCs w:val="22"/>
          <w:lang w:val="fr-FR"/>
        </w:rPr>
        <w:t>’</w:t>
      </w:r>
      <w:r w:rsidRPr="00243BC0">
        <w:rPr>
          <w:rFonts w:ascii="Arial" w:hAnsi="Arial" w:cs="Arial"/>
          <w:bCs/>
          <w:sz w:val="22"/>
          <w:szCs w:val="22"/>
          <w:lang w:val="fr-FR"/>
        </w:rPr>
        <w:t>Organe d</w:t>
      </w:r>
      <w:r w:rsidR="008E532B">
        <w:rPr>
          <w:rFonts w:ascii="Arial" w:hAnsi="Arial" w:cs="Arial"/>
          <w:bCs/>
          <w:sz w:val="22"/>
          <w:szCs w:val="22"/>
          <w:lang w:val="fr-FR"/>
        </w:rPr>
        <w:t>’</w:t>
      </w:r>
      <w:r w:rsidRPr="00243BC0">
        <w:rPr>
          <w:rFonts w:ascii="Arial" w:hAnsi="Arial" w:cs="Arial"/>
          <w:bCs/>
          <w:sz w:val="22"/>
          <w:szCs w:val="22"/>
          <w:lang w:val="fr-FR"/>
        </w:rPr>
        <w:t>évaluation, la délégation pens</w:t>
      </w:r>
      <w:r>
        <w:rPr>
          <w:rFonts w:ascii="Arial" w:hAnsi="Arial" w:cs="Arial"/>
          <w:bCs/>
          <w:sz w:val="22"/>
          <w:szCs w:val="22"/>
          <w:lang w:val="fr-FR"/>
        </w:rPr>
        <w:t>ait</w:t>
      </w:r>
      <w:r w:rsidRPr="00243BC0">
        <w:rPr>
          <w:rFonts w:ascii="Arial" w:hAnsi="Arial" w:cs="Arial"/>
          <w:bCs/>
          <w:sz w:val="22"/>
          <w:szCs w:val="22"/>
          <w:lang w:val="fr-FR"/>
        </w:rPr>
        <w:t xml:space="preserve"> qu</w:t>
      </w:r>
      <w:r w:rsidR="008E532B">
        <w:rPr>
          <w:rFonts w:ascii="Arial" w:hAnsi="Arial" w:cs="Arial"/>
          <w:bCs/>
          <w:sz w:val="22"/>
          <w:szCs w:val="22"/>
          <w:lang w:val="fr-FR"/>
        </w:rPr>
        <w:t>’</w:t>
      </w:r>
      <w:r>
        <w:rPr>
          <w:rFonts w:ascii="Arial" w:hAnsi="Arial" w:cs="Arial"/>
          <w:bCs/>
          <w:sz w:val="22"/>
          <w:szCs w:val="22"/>
          <w:lang w:val="fr-FR"/>
        </w:rPr>
        <w:t>on pourrait parvenir à un</w:t>
      </w:r>
      <w:r w:rsidRPr="00243BC0">
        <w:rPr>
          <w:rFonts w:ascii="Arial" w:hAnsi="Arial" w:cs="Arial"/>
          <w:bCs/>
          <w:sz w:val="22"/>
          <w:szCs w:val="22"/>
          <w:lang w:val="fr-FR"/>
        </w:rPr>
        <w:t xml:space="preserve"> compromis</w:t>
      </w:r>
      <w:r>
        <w:rPr>
          <w:rFonts w:ascii="Arial" w:hAnsi="Arial" w:cs="Arial"/>
          <w:bCs/>
          <w:sz w:val="22"/>
          <w:szCs w:val="22"/>
          <w:lang w:val="fr-FR"/>
        </w:rPr>
        <w:t xml:space="preserve"> </w:t>
      </w:r>
      <w:r w:rsidRPr="00243BC0">
        <w:rPr>
          <w:rFonts w:ascii="Arial" w:hAnsi="Arial" w:cs="Arial"/>
          <w:bCs/>
          <w:sz w:val="22"/>
          <w:szCs w:val="22"/>
          <w:lang w:val="fr-FR"/>
        </w:rPr>
        <w:t>par lequel l</w:t>
      </w:r>
      <w:r w:rsidR="008E532B">
        <w:rPr>
          <w:rFonts w:ascii="Arial" w:hAnsi="Arial" w:cs="Arial"/>
          <w:bCs/>
          <w:sz w:val="22"/>
          <w:szCs w:val="22"/>
          <w:lang w:val="fr-FR"/>
        </w:rPr>
        <w:t>’</w:t>
      </w:r>
      <w:r w:rsidRPr="00243BC0">
        <w:rPr>
          <w:rFonts w:ascii="Arial" w:hAnsi="Arial" w:cs="Arial"/>
          <w:bCs/>
          <w:sz w:val="22"/>
          <w:szCs w:val="22"/>
          <w:lang w:val="fr-FR"/>
        </w:rPr>
        <w:t>Assemblée pourrait accepter d</w:t>
      </w:r>
      <w:r w:rsidR="008E532B">
        <w:rPr>
          <w:rFonts w:ascii="Arial" w:hAnsi="Arial" w:cs="Arial"/>
          <w:bCs/>
          <w:sz w:val="22"/>
          <w:szCs w:val="22"/>
          <w:lang w:val="fr-FR"/>
        </w:rPr>
        <w:t>’</w:t>
      </w:r>
      <w:r w:rsidRPr="00243BC0">
        <w:rPr>
          <w:rFonts w:ascii="Arial" w:hAnsi="Arial" w:cs="Arial"/>
          <w:bCs/>
          <w:sz w:val="22"/>
          <w:szCs w:val="22"/>
          <w:lang w:val="fr-FR"/>
        </w:rPr>
        <w:t>accueillir les accréditations d</w:t>
      </w:r>
      <w:r w:rsidR="008E532B">
        <w:rPr>
          <w:rFonts w:ascii="Arial" w:hAnsi="Arial" w:cs="Arial"/>
          <w:bCs/>
          <w:sz w:val="22"/>
          <w:szCs w:val="22"/>
          <w:lang w:val="fr-FR"/>
        </w:rPr>
        <w:t>’</w:t>
      </w:r>
      <w:r w:rsidRPr="00243BC0">
        <w:rPr>
          <w:rFonts w:ascii="Arial" w:hAnsi="Arial" w:cs="Arial"/>
          <w:bCs/>
          <w:sz w:val="22"/>
          <w:szCs w:val="22"/>
          <w:lang w:val="fr-FR"/>
        </w:rPr>
        <w:t>ONG, même d</w:t>
      </w:r>
      <w:r w:rsidR="008E532B">
        <w:rPr>
          <w:rFonts w:ascii="Arial" w:hAnsi="Arial" w:cs="Arial"/>
          <w:bCs/>
          <w:sz w:val="22"/>
          <w:szCs w:val="22"/>
          <w:lang w:val="fr-FR"/>
        </w:rPr>
        <w:t>’</w:t>
      </w:r>
      <w:r w:rsidRPr="00243BC0">
        <w:rPr>
          <w:rFonts w:ascii="Arial" w:hAnsi="Arial" w:cs="Arial"/>
          <w:bCs/>
          <w:sz w:val="22"/>
          <w:szCs w:val="22"/>
          <w:lang w:val="fr-FR"/>
        </w:rPr>
        <w:t>États non parties, mais de reporter temporairement leur éventuelle élection à l</w:t>
      </w:r>
      <w:r w:rsidR="008E532B">
        <w:rPr>
          <w:rFonts w:ascii="Arial" w:hAnsi="Arial" w:cs="Arial"/>
          <w:bCs/>
          <w:sz w:val="22"/>
          <w:szCs w:val="22"/>
          <w:lang w:val="fr-FR"/>
        </w:rPr>
        <w:t>’</w:t>
      </w:r>
      <w:r w:rsidRPr="00243BC0">
        <w:rPr>
          <w:rFonts w:ascii="Arial" w:hAnsi="Arial" w:cs="Arial"/>
          <w:bCs/>
          <w:sz w:val="22"/>
          <w:szCs w:val="22"/>
          <w:lang w:val="fr-FR"/>
        </w:rPr>
        <w:t>Organe d</w:t>
      </w:r>
      <w:r w:rsidR="008E532B">
        <w:rPr>
          <w:rFonts w:ascii="Arial" w:hAnsi="Arial" w:cs="Arial"/>
          <w:bCs/>
          <w:sz w:val="22"/>
          <w:szCs w:val="22"/>
          <w:lang w:val="fr-FR"/>
        </w:rPr>
        <w:t>’</w:t>
      </w:r>
      <w:r w:rsidRPr="00243BC0">
        <w:rPr>
          <w:rFonts w:ascii="Arial" w:hAnsi="Arial" w:cs="Arial"/>
          <w:bCs/>
          <w:sz w:val="22"/>
          <w:szCs w:val="22"/>
          <w:lang w:val="fr-FR"/>
        </w:rPr>
        <w:t>évaluation jusqu</w:t>
      </w:r>
      <w:r w:rsidR="008E532B">
        <w:rPr>
          <w:rFonts w:ascii="Arial" w:hAnsi="Arial" w:cs="Arial"/>
          <w:bCs/>
          <w:sz w:val="22"/>
          <w:szCs w:val="22"/>
          <w:lang w:val="fr-FR"/>
        </w:rPr>
        <w:t>’</w:t>
      </w:r>
      <w:r w:rsidRPr="00243BC0">
        <w:rPr>
          <w:rFonts w:ascii="Arial" w:hAnsi="Arial" w:cs="Arial"/>
          <w:bCs/>
          <w:sz w:val="22"/>
          <w:szCs w:val="22"/>
          <w:lang w:val="fr-FR"/>
        </w:rPr>
        <w:t>à la prochaine Assemblée générale, lorsqu</w:t>
      </w:r>
      <w:r w:rsidR="008E532B">
        <w:rPr>
          <w:rFonts w:ascii="Arial" w:hAnsi="Arial" w:cs="Arial"/>
          <w:bCs/>
          <w:sz w:val="22"/>
          <w:szCs w:val="22"/>
          <w:lang w:val="fr-FR"/>
        </w:rPr>
        <w:t>’</w:t>
      </w:r>
      <w:r w:rsidRPr="00243BC0">
        <w:rPr>
          <w:rFonts w:ascii="Arial" w:hAnsi="Arial" w:cs="Arial"/>
          <w:bCs/>
          <w:sz w:val="22"/>
          <w:szCs w:val="22"/>
          <w:lang w:val="fr-FR"/>
        </w:rPr>
        <w:t>une solution pourra</w:t>
      </w:r>
      <w:r>
        <w:rPr>
          <w:rFonts w:ascii="Arial" w:hAnsi="Arial" w:cs="Arial"/>
          <w:bCs/>
          <w:sz w:val="22"/>
          <w:szCs w:val="22"/>
          <w:lang w:val="fr-FR"/>
        </w:rPr>
        <w:t>it</w:t>
      </w:r>
      <w:r w:rsidRPr="00243BC0">
        <w:rPr>
          <w:rFonts w:ascii="Arial" w:hAnsi="Arial" w:cs="Arial"/>
          <w:bCs/>
          <w:sz w:val="22"/>
          <w:szCs w:val="22"/>
          <w:lang w:val="fr-FR"/>
        </w:rPr>
        <w:t xml:space="preserve"> être trouvée.</w:t>
      </w:r>
    </w:p>
    <w:p w14:paraId="11CCA86F"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243BC0">
        <w:rPr>
          <w:rFonts w:ascii="Arial" w:hAnsi="Arial" w:cs="Arial"/>
          <w:b/>
          <w:sz w:val="22"/>
          <w:szCs w:val="22"/>
          <w:lang w:val="fr-FR"/>
        </w:rPr>
        <w:t>Présidente</w:t>
      </w:r>
      <w:r>
        <w:rPr>
          <w:rFonts w:ascii="Arial" w:hAnsi="Arial" w:cs="Arial"/>
          <w:bCs/>
          <w:sz w:val="22"/>
          <w:szCs w:val="22"/>
          <w:lang w:val="fr-FR"/>
        </w:rPr>
        <w:t xml:space="preserve"> a invité le Conseiller juridique à dispenser quelques conseils juridiques sur les mesures proposées.</w:t>
      </w:r>
    </w:p>
    <w:p w14:paraId="7366763A" w14:textId="2A7112B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43BC0">
        <w:rPr>
          <w:rFonts w:ascii="Arial" w:hAnsi="Arial" w:cs="Arial"/>
          <w:bCs/>
          <w:sz w:val="22"/>
          <w:szCs w:val="22"/>
          <w:lang w:val="fr-FR"/>
        </w:rPr>
        <w:t xml:space="preserve">Le </w:t>
      </w:r>
      <w:r w:rsidRPr="00243BC0">
        <w:rPr>
          <w:rFonts w:ascii="Arial" w:hAnsi="Arial" w:cs="Arial"/>
          <w:b/>
          <w:sz w:val="22"/>
          <w:szCs w:val="22"/>
          <w:lang w:val="fr-FR"/>
        </w:rPr>
        <w:t>Conseiller juridique</w:t>
      </w:r>
      <w:r w:rsidRPr="00243BC0">
        <w:rPr>
          <w:rFonts w:ascii="Arial" w:hAnsi="Arial" w:cs="Arial"/>
          <w:bCs/>
          <w:sz w:val="22"/>
          <w:szCs w:val="22"/>
          <w:lang w:val="fr-FR"/>
        </w:rPr>
        <w:t xml:space="preserve"> s</w:t>
      </w:r>
      <w:r w:rsidR="008E532B">
        <w:rPr>
          <w:rFonts w:ascii="Arial" w:hAnsi="Arial" w:cs="Arial"/>
          <w:bCs/>
          <w:sz w:val="22"/>
          <w:szCs w:val="22"/>
          <w:lang w:val="fr-FR"/>
        </w:rPr>
        <w:t>’</w:t>
      </w:r>
      <w:r w:rsidRPr="00243BC0">
        <w:rPr>
          <w:rFonts w:ascii="Arial" w:hAnsi="Arial" w:cs="Arial"/>
          <w:bCs/>
          <w:sz w:val="22"/>
          <w:szCs w:val="22"/>
          <w:lang w:val="fr-FR"/>
        </w:rPr>
        <w:t>est dit honoré d</w:t>
      </w:r>
      <w:r w:rsidR="008E532B">
        <w:rPr>
          <w:rFonts w:ascii="Arial" w:hAnsi="Arial" w:cs="Arial"/>
          <w:bCs/>
          <w:sz w:val="22"/>
          <w:szCs w:val="22"/>
          <w:lang w:val="fr-FR"/>
        </w:rPr>
        <w:t>’</w:t>
      </w:r>
      <w:r>
        <w:rPr>
          <w:rFonts w:ascii="Arial" w:hAnsi="Arial" w:cs="Arial"/>
          <w:bCs/>
          <w:sz w:val="22"/>
          <w:szCs w:val="22"/>
          <w:lang w:val="fr-FR"/>
        </w:rPr>
        <w:t>offrir ses services à</w:t>
      </w:r>
      <w:r w:rsidRPr="00243BC0">
        <w:rPr>
          <w:rFonts w:ascii="Arial" w:hAnsi="Arial" w:cs="Arial"/>
          <w:bCs/>
          <w:sz w:val="22"/>
          <w:szCs w:val="22"/>
          <w:lang w:val="fr-FR"/>
        </w:rPr>
        <w:t xml:space="preserve"> cette Assemblée sous la direction de la Présidente. La proposition à l</w:t>
      </w:r>
      <w:r w:rsidR="008E532B">
        <w:rPr>
          <w:rFonts w:ascii="Arial" w:hAnsi="Arial" w:cs="Arial"/>
          <w:bCs/>
          <w:sz w:val="22"/>
          <w:szCs w:val="22"/>
          <w:lang w:val="fr-FR"/>
        </w:rPr>
        <w:t>’</w:t>
      </w:r>
      <w:r w:rsidRPr="00243BC0">
        <w:rPr>
          <w:rFonts w:ascii="Arial" w:hAnsi="Arial" w:cs="Arial"/>
          <w:bCs/>
          <w:sz w:val="22"/>
          <w:szCs w:val="22"/>
          <w:lang w:val="fr-FR"/>
        </w:rPr>
        <w:t xml:space="preserve">écran posait deux séries de questions juridiques. La première question concernait les textes </w:t>
      </w:r>
      <w:r>
        <w:rPr>
          <w:rFonts w:ascii="Arial" w:hAnsi="Arial" w:cs="Arial"/>
          <w:bCs/>
          <w:sz w:val="22"/>
          <w:szCs w:val="22"/>
          <w:lang w:val="fr-FR"/>
        </w:rPr>
        <w:t xml:space="preserve">juridiques </w:t>
      </w:r>
      <w:r w:rsidRPr="00243BC0">
        <w:rPr>
          <w:rFonts w:ascii="Arial" w:hAnsi="Arial" w:cs="Arial"/>
          <w:bCs/>
          <w:sz w:val="22"/>
          <w:szCs w:val="22"/>
          <w:lang w:val="fr-FR"/>
        </w:rPr>
        <w:t>relatifs à l</w:t>
      </w:r>
      <w:r w:rsidR="008E532B">
        <w:rPr>
          <w:rFonts w:ascii="Arial" w:hAnsi="Arial" w:cs="Arial"/>
          <w:bCs/>
          <w:sz w:val="22"/>
          <w:szCs w:val="22"/>
          <w:lang w:val="fr-FR"/>
        </w:rPr>
        <w:t>’</w:t>
      </w:r>
      <w:r w:rsidRPr="00243BC0">
        <w:rPr>
          <w:rFonts w:ascii="Arial" w:hAnsi="Arial" w:cs="Arial"/>
          <w:bCs/>
          <w:sz w:val="22"/>
          <w:szCs w:val="22"/>
          <w:lang w:val="fr-FR"/>
        </w:rPr>
        <w:t xml:space="preserve">accréditation des ONG </w:t>
      </w:r>
      <w:r>
        <w:rPr>
          <w:rFonts w:ascii="Arial" w:hAnsi="Arial" w:cs="Arial"/>
          <w:bCs/>
          <w:sz w:val="22"/>
          <w:szCs w:val="22"/>
          <w:lang w:val="fr-FR"/>
        </w:rPr>
        <w:t xml:space="preserve">domiciliées </w:t>
      </w:r>
      <w:r w:rsidRPr="00243BC0">
        <w:rPr>
          <w:rFonts w:ascii="Arial" w:hAnsi="Arial" w:cs="Arial"/>
          <w:bCs/>
          <w:sz w:val="22"/>
          <w:szCs w:val="22"/>
          <w:lang w:val="fr-FR"/>
        </w:rPr>
        <w:t xml:space="preserve">dans un </w:t>
      </w:r>
      <w:r>
        <w:rPr>
          <w:rFonts w:ascii="Arial" w:hAnsi="Arial" w:cs="Arial"/>
          <w:bCs/>
          <w:sz w:val="22"/>
          <w:szCs w:val="22"/>
          <w:lang w:val="fr-FR"/>
        </w:rPr>
        <w:t>É</w:t>
      </w:r>
      <w:r w:rsidRPr="00243BC0">
        <w:rPr>
          <w:rFonts w:ascii="Arial" w:hAnsi="Arial" w:cs="Arial"/>
          <w:bCs/>
          <w:sz w:val="22"/>
          <w:szCs w:val="22"/>
          <w:lang w:val="fr-FR"/>
        </w:rPr>
        <w:t xml:space="preserve">tat </w:t>
      </w:r>
      <w:proofErr w:type="gramStart"/>
      <w:r w:rsidRPr="00243BC0">
        <w:rPr>
          <w:rFonts w:ascii="Arial" w:hAnsi="Arial" w:cs="Arial"/>
          <w:bCs/>
          <w:sz w:val="22"/>
          <w:szCs w:val="22"/>
          <w:lang w:val="fr-FR"/>
        </w:rPr>
        <w:t>non</w:t>
      </w:r>
      <w:r>
        <w:rPr>
          <w:rFonts w:ascii="Arial" w:hAnsi="Arial" w:cs="Arial"/>
          <w:bCs/>
          <w:sz w:val="22"/>
          <w:szCs w:val="22"/>
          <w:lang w:val="fr-FR"/>
        </w:rPr>
        <w:t> </w:t>
      </w:r>
      <w:r w:rsidRPr="00243BC0">
        <w:rPr>
          <w:rFonts w:ascii="Arial" w:hAnsi="Arial" w:cs="Arial"/>
          <w:bCs/>
          <w:sz w:val="22"/>
          <w:szCs w:val="22"/>
          <w:lang w:val="fr-FR"/>
        </w:rPr>
        <w:t>partie</w:t>
      </w:r>
      <w:proofErr w:type="gramEnd"/>
      <w:r w:rsidRPr="00243BC0">
        <w:rPr>
          <w:rFonts w:ascii="Arial" w:hAnsi="Arial" w:cs="Arial"/>
          <w:bCs/>
          <w:sz w:val="22"/>
          <w:szCs w:val="22"/>
          <w:lang w:val="fr-FR"/>
        </w:rPr>
        <w:t xml:space="preserve"> à la Convention, et elle concernait donc l</w:t>
      </w:r>
      <w:r w:rsidR="008E532B">
        <w:rPr>
          <w:rFonts w:ascii="Arial" w:hAnsi="Arial" w:cs="Arial"/>
          <w:bCs/>
          <w:sz w:val="22"/>
          <w:szCs w:val="22"/>
          <w:lang w:val="fr-FR"/>
        </w:rPr>
        <w:t>’</w:t>
      </w:r>
      <w:r w:rsidRPr="00243BC0">
        <w:rPr>
          <w:rFonts w:ascii="Arial" w:hAnsi="Arial" w:cs="Arial"/>
          <w:bCs/>
          <w:sz w:val="22"/>
          <w:szCs w:val="22"/>
          <w:lang w:val="fr-FR"/>
        </w:rPr>
        <w:t xml:space="preserve">accréditation. La deuxième question était de savoir si de telles ONG </w:t>
      </w:r>
      <w:proofErr w:type="gramStart"/>
      <w:r w:rsidRPr="00243BC0">
        <w:rPr>
          <w:rFonts w:ascii="Arial" w:hAnsi="Arial" w:cs="Arial"/>
          <w:bCs/>
          <w:sz w:val="22"/>
          <w:szCs w:val="22"/>
          <w:lang w:val="fr-FR"/>
        </w:rPr>
        <w:t>pouvaient</w:t>
      </w:r>
      <w:proofErr w:type="gramEnd"/>
      <w:r w:rsidRPr="00243BC0">
        <w:rPr>
          <w:rFonts w:ascii="Arial" w:hAnsi="Arial" w:cs="Arial"/>
          <w:bCs/>
          <w:sz w:val="22"/>
          <w:szCs w:val="22"/>
          <w:lang w:val="fr-FR"/>
        </w:rPr>
        <w:t xml:space="preserve"> être éligibles </w:t>
      </w:r>
      <w:r>
        <w:rPr>
          <w:rFonts w:ascii="Arial" w:hAnsi="Arial" w:cs="Arial"/>
          <w:bCs/>
          <w:sz w:val="22"/>
          <w:szCs w:val="22"/>
          <w:lang w:val="fr-FR"/>
        </w:rPr>
        <w:t>à la désignation en tant que</w:t>
      </w:r>
      <w:r w:rsidRPr="00243BC0">
        <w:rPr>
          <w:rFonts w:ascii="Arial" w:hAnsi="Arial" w:cs="Arial"/>
          <w:bCs/>
          <w:sz w:val="22"/>
          <w:szCs w:val="22"/>
          <w:lang w:val="fr-FR"/>
        </w:rPr>
        <w:t xml:space="preserve"> membres de l</w:t>
      </w:r>
      <w:r w:rsidR="008E532B">
        <w:rPr>
          <w:rFonts w:ascii="Arial" w:hAnsi="Arial" w:cs="Arial"/>
          <w:bCs/>
          <w:sz w:val="22"/>
          <w:szCs w:val="22"/>
          <w:lang w:val="fr-FR"/>
        </w:rPr>
        <w:t>’</w:t>
      </w:r>
      <w:r w:rsidRPr="00243BC0">
        <w:rPr>
          <w:rFonts w:ascii="Arial" w:hAnsi="Arial" w:cs="Arial"/>
          <w:bCs/>
          <w:sz w:val="22"/>
          <w:szCs w:val="22"/>
          <w:lang w:val="fr-FR"/>
        </w:rPr>
        <w:t>Organe d</w:t>
      </w:r>
      <w:r w:rsidR="008E532B">
        <w:rPr>
          <w:rFonts w:ascii="Arial" w:hAnsi="Arial" w:cs="Arial"/>
          <w:bCs/>
          <w:sz w:val="22"/>
          <w:szCs w:val="22"/>
          <w:lang w:val="fr-FR"/>
        </w:rPr>
        <w:t>’</w:t>
      </w:r>
      <w:r w:rsidRPr="00243BC0">
        <w:rPr>
          <w:rFonts w:ascii="Arial" w:hAnsi="Arial" w:cs="Arial"/>
          <w:bCs/>
          <w:sz w:val="22"/>
          <w:szCs w:val="22"/>
          <w:lang w:val="fr-FR"/>
        </w:rPr>
        <w:t xml:space="preserve">évaluation. Le cadre applicable </w:t>
      </w:r>
      <w:r>
        <w:rPr>
          <w:rFonts w:ascii="Arial" w:hAnsi="Arial" w:cs="Arial"/>
          <w:bCs/>
          <w:sz w:val="22"/>
          <w:szCs w:val="22"/>
          <w:lang w:val="fr-FR"/>
        </w:rPr>
        <w:t>était</w:t>
      </w:r>
      <w:r w:rsidRPr="00243BC0">
        <w:rPr>
          <w:rFonts w:ascii="Arial" w:hAnsi="Arial" w:cs="Arial"/>
          <w:bCs/>
          <w:sz w:val="22"/>
          <w:szCs w:val="22"/>
          <w:lang w:val="fr-FR"/>
        </w:rPr>
        <w:t xml:space="preserve"> l</w:t>
      </w:r>
      <w:r w:rsidR="008E532B">
        <w:rPr>
          <w:rFonts w:ascii="Arial" w:hAnsi="Arial" w:cs="Arial"/>
          <w:bCs/>
          <w:sz w:val="22"/>
          <w:szCs w:val="22"/>
          <w:lang w:val="fr-FR"/>
        </w:rPr>
        <w:t>’</w:t>
      </w:r>
      <w:r w:rsidRPr="00243BC0">
        <w:rPr>
          <w:rFonts w:ascii="Arial" w:hAnsi="Arial" w:cs="Arial"/>
          <w:bCs/>
          <w:sz w:val="22"/>
          <w:szCs w:val="22"/>
          <w:lang w:val="fr-FR"/>
        </w:rPr>
        <w:t>article 9 de la Convention, qui concerne l</w:t>
      </w:r>
      <w:r w:rsidR="008E532B">
        <w:rPr>
          <w:rFonts w:ascii="Arial" w:hAnsi="Arial" w:cs="Arial"/>
          <w:bCs/>
          <w:sz w:val="22"/>
          <w:szCs w:val="22"/>
          <w:lang w:val="fr-FR"/>
        </w:rPr>
        <w:t>’</w:t>
      </w:r>
      <w:r w:rsidRPr="00243BC0">
        <w:rPr>
          <w:rFonts w:ascii="Arial" w:hAnsi="Arial" w:cs="Arial"/>
          <w:bCs/>
          <w:sz w:val="22"/>
          <w:szCs w:val="22"/>
          <w:lang w:val="fr-FR"/>
        </w:rPr>
        <w:t xml:space="preserve">accréditation des organisations consultatives et qui prévoit au paragraphe 1 que </w:t>
      </w:r>
      <w:r>
        <w:rPr>
          <w:rFonts w:ascii="Arial" w:hAnsi="Arial" w:cs="Arial"/>
          <w:bCs/>
          <w:sz w:val="22"/>
          <w:szCs w:val="22"/>
          <w:lang w:val="fr-FR"/>
        </w:rPr>
        <w:t>« </w:t>
      </w:r>
      <w:r w:rsidRPr="00243BC0">
        <w:rPr>
          <w:rFonts w:ascii="Arial" w:hAnsi="Arial" w:cs="Arial"/>
          <w:bCs/>
          <w:sz w:val="22"/>
          <w:szCs w:val="22"/>
          <w:lang w:val="fr-FR"/>
        </w:rPr>
        <w:t>Le Comité propose à l</w:t>
      </w:r>
      <w:r w:rsidR="008E532B">
        <w:rPr>
          <w:rFonts w:ascii="Arial" w:hAnsi="Arial" w:cs="Arial"/>
          <w:bCs/>
          <w:sz w:val="22"/>
          <w:szCs w:val="22"/>
          <w:lang w:val="fr-FR"/>
        </w:rPr>
        <w:t>’</w:t>
      </w:r>
      <w:r w:rsidRPr="00243BC0">
        <w:rPr>
          <w:rFonts w:ascii="Arial" w:hAnsi="Arial" w:cs="Arial"/>
          <w:bCs/>
          <w:sz w:val="22"/>
          <w:szCs w:val="22"/>
          <w:lang w:val="fr-FR"/>
        </w:rPr>
        <w:t>Assemblée générale l</w:t>
      </w:r>
      <w:r w:rsidR="008E532B">
        <w:rPr>
          <w:rFonts w:ascii="Arial" w:hAnsi="Arial" w:cs="Arial"/>
          <w:bCs/>
          <w:sz w:val="22"/>
          <w:szCs w:val="22"/>
          <w:lang w:val="fr-FR"/>
        </w:rPr>
        <w:t>’</w:t>
      </w:r>
      <w:r w:rsidRPr="00243BC0">
        <w:rPr>
          <w:rFonts w:ascii="Arial" w:hAnsi="Arial" w:cs="Arial"/>
          <w:bCs/>
          <w:sz w:val="22"/>
          <w:szCs w:val="22"/>
          <w:lang w:val="fr-FR"/>
        </w:rPr>
        <w:t>accréditation d</w:t>
      </w:r>
      <w:r w:rsidR="008E532B">
        <w:rPr>
          <w:rFonts w:ascii="Arial" w:hAnsi="Arial" w:cs="Arial"/>
          <w:bCs/>
          <w:sz w:val="22"/>
          <w:szCs w:val="22"/>
          <w:lang w:val="fr-FR"/>
        </w:rPr>
        <w:t>’</w:t>
      </w:r>
      <w:r w:rsidRPr="00243BC0">
        <w:rPr>
          <w:rFonts w:ascii="Arial" w:hAnsi="Arial" w:cs="Arial"/>
          <w:bCs/>
          <w:sz w:val="22"/>
          <w:szCs w:val="22"/>
          <w:lang w:val="fr-FR"/>
        </w:rPr>
        <w:t xml:space="preserve">organisations non gouvernementales </w:t>
      </w:r>
      <w:r>
        <w:rPr>
          <w:rFonts w:ascii="Arial" w:hAnsi="Arial" w:cs="Arial"/>
          <w:bCs/>
          <w:sz w:val="22"/>
          <w:szCs w:val="22"/>
          <w:lang w:val="fr-FR"/>
        </w:rPr>
        <w:t>possédant des</w:t>
      </w:r>
      <w:r w:rsidRPr="00243BC0">
        <w:rPr>
          <w:rFonts w:ascii="Arial" w:hAnsi="Arial" w:cs="Arial"/>
          <w:bCs/>
          <w:sz w:val="22"/>
          <w:szCs w:val="22"/>
          <w:lang w:val="fr-FR"/>
        </w:rPr>
        <w:t xml:space="preserve"> compétence</w:t>
      </w:r>
      <w:r>
        <w:rPr>
          <w:rFonts w:ascii="Arial" w:hAnsi="Arial" w:cs="Arial"/>
          <w:bCs/>
          <w:sz w:val="22"/>
          <w:szCs w:val="22"/>
          <w:lang w:val="fr-FR"/>
        </w:rPr>
        <w:t>s avérées</w:t>
      </w:r>
      <w:r w:rsidRPr="00243BC0">
        <w:rPr>
          <w:rFonts w:ascii="Arial" w:hAnsi="Arial" w:cs="Arial"/>
          <w:bCs/>
          <w:sz w:val="22"/>
          <w:szCs w:val="22"/>
          <w:lang w:val="fr-FR"/>
        </w:rPr>
        <w:t xml:space="preserve"> dans le domaine du patrimoine culturel immatériel</w:t>
      </w:r>
      <w:r>
        <w:rPr>
          <w:rFonts w:ascii="Arial" w:hAnsi="Arial" w:cs="Arial"/>
          <w:bCs/>
          <w:sz w:val="22"/>
          <w:szCs w:val="22"/>
          <w:lang w:val="fr-FR"/>
        </w:rPr>
        <w:t xml:space="preserve">. Ces </w:t>
      </w:r>
      <w:r w:rsidRPr="00C31A39">
        <w:rPr>
          <w:rFonts w:ascii="Arial" w:hAnsi="Arial" w:cs="Arial"/>
          <w:bCs/>
          <w:sz w:val="22"/>
          <w:szCs w:val="22"/>
          <w:lang w:val="fr-FR"/>
        </w:rPr>
        <w:t>organisati</w:t>
      </w:r>
      <w:r>
        <w:rPr>
          <w:rFonts w:ascii="Arial" w:hAnsi="Arial" w:cs="Arial"/>
          <w:bCs/>
          <w:sz w:val="22"/>
          <w:szCs w:val="22"/>
          <w:lang w:val="fr-FR"/>
        </w:rPr>
        <w:t xml:space="preserve">ons auront des fonctions </w:t>
      </w:r>
      <w:r w:rsidRPr="00C31A39">
        <w:rPr>
          <w:rFonts w:ascii="Arial" w:hAnsi="Arial" w:cs="Arial"/>
          <w:bCs/>
          <w:sz w:val="22"/>
          <w:szCs w:val="22"/>
          <w:lang w:val="fr-FR"/>
        </w:rPr>
        <w:t>consultati</w:t>
      </w:r>
      <w:r>
        <w:rPr>
          <w:rFonts w:ascii="Arial" w:hAnsi="Arial" w:cs="Arial"/>
          <w:bCs/>
          <w:sz w:val="22"/>
          <w:szCs w:val="22"/>
          <w:lang w:val="fr-FR"/>
        </w:rPr>
        <w:t xml:space="preserve">ves auprès du </w:t>
      </w:r>
      <w:r w:rsidRPr="00243BC0">
        <w:rPr>
          <w:rFonts w:ascii="Arial" w:hAnsi="Arial" w:cs="Arial"/>
          <w:bCs/>
          <w:sz w:val="22"/>
          <w:szCs w:val="22"/>
          <w:lang w:val="fr-FR"/>
        </w:rPr>
        <w:t>Comité</w:t>
      </w:r>
      <w:r>
        <w:rPr>
          <w:rFonts w:ascii="Arial" w:hAnsi="Arial" w:cs="Arial"/>
          <w:bCs/>
          <w:sz w:val="22"/>
          <w:szCs w:val="22"/>
          <w:lang w:val="fr-FR"/>
        </w:rPr>
        <w:t>. »</w:t>
      </w:r>
      <w:r w:rsidRPr="00243BC0">
        <w:rPr>
          <w:rFonts w:ascii="Arial" w:hAnsi="Arial" w:cs="Arial"/>
          <w:bCs/>
          <w:sz w:val="22"/>
          <w:szCs w:val="22"/>
          <w:lang w:val="fr-FR"/>
        </w:rPr>
        <w:t xml:space="preserve"> Le paragraphe 2 </w:t>
      </w:r>
      <w:r>
        <w:rPr>
          <w:rFonts w:ascii="Arial" w:hAnsi="Arial" w:cs="Arial"/>
          <w:bCs/>
          <w:sz w:val="22"/>
          <w:szCs w:val="22"/>
          <w:lang w:val="fr-FR"/>
        </w:rPr>
        <w:t>était ainsi rédigé </w:t>
      </w:r>
      <w:r w:rsidRPr="00243BC0">
        <w:rPr>
          <w:rFonts w:ascii="Arial" w:hAnsi="Arial" w:cs="Arial"/>
          <w:bCs/>
          <w:sz w:val="22"/>
          <w:szCs w:val="22"/>
          <w:lang w:val="fr-FR"/>
        </w:rPr>
        <w:t xml:space="preserve">: </w:t>
      </w:r>
      <w:r>
        <w:rPr>
          <w:rFonts w:ascii="Arial" w:hAnsi="Arial" w:cs="Arial"/>
          <w:bCs/>
          <w:sz w:val="22"/>
          <w:szCs w:val="22"/>
          <w:lang w:val="fr-FR"/>
        </w:rPr>
        <w:t>« </w:t>
      </w:r>
      <w:r w:rsidRPr="00243BC0">
        <w:rPr>
          <w:rFonts w:ascii="Arial" w:hAnsi="Arial" w:cs="Arial"/>
          <w:bCs/>
          <w:sz w:val="22"/>
          <w:szCs w:val="22"/>
          <w:lang w:val="fr-FR"/>
        </w:rPr>
        <w:t>Le Comité propose également à l</w:t>
      </w:r>
      <w:r w:rsidR="008E532B">
        <w:rPr>
          <w:rFonts w:ascii="Arial" w:hAnsi="Arial" w:cs="Arial"/>
          <w:bCs/>
          <w:sz w:val="22"/>
          <w:szCs w:val="22"/>
          <w:lang w:val="fr-FR"/>
        </w:rPr>
        <w:t>’</w:t>
      </w:r>
      <w:r w:rsidRPr="00243BC0">
        <w:rPr>
          <w:rFonts w:ascii="Arial" w:hAnsi="Arial" w:cs="Arial"/>
          <w:bCs/>
          <w:sz w:val="22"/>
          <w:szCs w:val="22"/>
          <w:lang w:val="fr-FR"/>
        </w:rPr>
        <w:t>Assemblée générale les critères et modalités de cette accréditation</w:t>
      </w:r>
      <w:r>
        <w:rPr>
          <w:rFonts w:ascii="Arial" w:hAnsi="Arial" w:cs="Arial"/>
          <w:bCs/>
          <w:sz w:val="22"/>
          <w:szCs w:val="22"/>
          <w:lang w:val="fr-FR"/>
        </w:rPr>
        <w:t>. »</w:t>
      </w:r>
      <w:r w:rsidRPr="00243BC0">
        <w:rPr>
          <w:rFonts w:ascii="Arial" w:hAnsi="Arial" w:cs="Arial"/>
          <w:bCs/>
          <w:sz w:val="22"/>
          <w:szCs w:val="22"/>
          <w:lang w:val="fr-FR"/>
        </w:rPr>
        <w:t xml:space="preserve"> Les critères et modalités d</w:t>
      </w:r>
      <w:r w:rsidR="008E532B">
        <w:rPr>
          <w:rFonts w:ascii="Arial" w:hAnsi="Arial" w:cs="Arial"/>
          <w:bCs/>
          <w:sz w:val="22"/>
          <w:szCs w:val="22"/>
          <w:lang w:val="fr-FR"/>
        </w:rPr>
        <w:t>’</w:t>
      </w:r>
      <w:r w:rsidRPr="00243BC0">
        <w:rPr>
          <w:rFonts w:ascii="Arial" w:hAnsi="Arial" w:cs="Arial"/>
          <w:bCs/>
          <w:sz w:val="22"/>
          <w:szCs w:val="22"/>
          <w:lang w:val="fr-FR"/>
        </w:rPr>
        <w:t xml:space="preserve">accréditation des ONG </w:t>
      </w:r>
      <w:r>
        <w:rPr>
          <w:rFonts w:ascii="Arial" w:hAnsi="Arial" w:cs="Arial"/>
          <w:bCs/>
          <w:sz w:val="22"/>
          <w:szCs w:val="22"/>
          <w:lang w:val="fr-FR"/>
        </w:rPr>
        <w:t>étaient</w:t>
      </w:r>
      <w:r w:rsidRPr="00243BC0">
        <w:rPr>
          <w:rFonts w:ascii="Arial" w:hAnsi="Arial" w:cs="Arial"/>
          <w:bCs/>
          <w:sz w:val="22"/>
          <w:szCs w:val="22"/>
          <w:lang w:val="fr-FR"/>
        </w:rPr>
        <w:t xml:space="preserve"> donc énoncés </w:t>
      </w:r>
      <w:r>
        <w:rPr>
          <w:rFonts w:ascii="Arial" w:hAnsi="Arial" w:cs="Arial"/>
          <w:bCs/>
          <w:sz w:val="22"/>
          <w:szCs w:val="22"/>
          <w:lang w:val="fr-FR"/>
        </w:rPr>
        <w:t xml:space="preserve">au </w:t>
      </w:r>
      <w:r w:rsidRPr="00F026D4">
        <w:rPr>
          <w:rFonts w:ascii="Arial" w:hAnsi="Arial" w:cs="Arial"/>
          <w:bCs/>
          <w:sz w:val="22"/>
          <w:szCs w:val="22"/>
          <w:lang w:val="fr-FR"/>
        </w:rPr>
        <w:t xml:space="preserve">chapitre III.2 </w:t>
      </w:r>
      <w:r w:rsidRPr="00243BC0">
        <w:rPr>
          <w:rFonts w:ascii="Arial" w:hAnsi="Arial" w:cs="Arial"/>
          <w:bCs/>
          <w:sz w:val="22"/>
          <w:szCs w:val="22"/>
          <w:lang w:val="fr-FR"/>
        </w:rPr>
        <w:t>des Directives opérationnelles qui, conformément à l</w:t>
      </w:r>
      <w:r w:rsidR="008E532B">
        <w:rPr>
          <w:rFonts w:ascii="Arial" w:hAnsi="Arial" w:cs="Arial"/>
          <w:bCs/>
          <w:sz w:val="22"/>
          <w:szCs w:val="22"/>
          <w:lang w:val="fr-FR"/>
        </w:rPr>
        <w:t>’</w:t>
      </w:r>
      <w:r w:rsidRPr="00243BC0">
        <w:rPr>
          <w:rFonts w:ascii="Arial" w:hAnsi="Arial" w:cs="Arial"/>
          <w:bCs/>
          <w:sz w:val="22"/>
          <w:szCs w:val="22"/>
          <w:lang w:val="fr-FR"/>
        </w:rPr>
        <w:t xml:space="preserve">article 7(e) de la Convention, </w:t>
      </w:r>
      <w:r>
        <w:rPr>
          <w:rFonts w:ascii="Arial" w:hAnsi="Arial" w:cs="Arial"/>
          <w:bCs/>
          <w:sz w:val="22"/>
          <w:szCs w:val="22"/>
          <w:lang w:val="fr-FR"/>
        </w:rPr>
        <w:t>avaient été</w:t>
      </w:r>
      <w:r w:rsidRPr="00243BC0">
        <w:rPr>
          <w:rFonts w:ascii="Arial" w:hAnsi="Arial" w:cs="Arial"/>
          <w:bCs/>
          <w:sz w:val="22"/>
          <w:szCs w:val="22"/>
          <w:lang w:val="fr-FR"/>
        </w:rPr>
        <w:t xml:space="preserve"> préparé</w:t>
      </w:r>
      <w:r>
        <w:rPr>
          <w:rFonts w:ascii="Arial" w:hAnsi="Arial" w:cs="Arial"/>
          <w:bCs/>
          <w:sz w:val="22"/>
          <w:szCs w:val="22"/>
          <w:lang w:val="fr-FR"/>
        </w:rPr>
        <w:t>e</w:t>
      </w:r>
      <w:r w:rsidRPr="00243BC0">
        <w:rPr>
          <w:rFonts w:ascii="Arial" w:hAnsi="Arial" w:cs="Arial"/>
          <w:bCs/>
          <w:sz w:val="22"/>
          <w:szCs w:val="22"/>
          <w:lang w:val="fr-FR"/>
        </w:rPr>
        <w:t>s par le Comité et ensuite approuvées par l</w:t>
      </w:r>
      <w:r w:rsidR="008E532B">
        <w:rPr>
          <w:rFonts w:ascii="Arial" w:hAnsi="Arial" w:cs="Arial"/>
          <w:bCs/>
          <w:sz w:val="22"/>
          <w:szCs w:val="22"/>
          <w:lang w:val="fr-FR"/>
        </w:rPr>
        <w:t>’</w:t>
      </w:r>
      <w:r w:rsidRPr="00243BC0">
        <w:rPr>
          <w:rFonts w:ascii="Arial" w:hAnsi="Arial" w:cs="Arial"/>
          <w:bCs/>
          <w:sz w:val="22"/>
          <w:szCs w:val="22"/>
          <w:lang w:val="fr-FR"/>
        </w:rPr>
        <w:t>Assemblée générale. En particulier, le paragraphe 91 des Directives opérationnelles identifi</w:t>
      </w:r>
      <w:r>
        <w:rPr>
          <w:rFonts w:ascii="Arial" w:hAnsi="Arial" w:cs="Arial"/>
          <w:bCs/>
          <w:sz w:val="22"/>
          <w:szCs w:val="22"/>
          <w:lang w:val="fr-FR"/>
        </w:rPr>
        <w:t>ait</w:t>
      </w:r>
      <w:r w:rsidRPr="00243BC0">
        <w:rPr>
          <w:rFonts w:ascii="Arial" w:hAnsi="Arial" w:cs="Arial"/>
          <w:bCs/>
          <w:sz w:val="22"/>
          <w:szCs w:val="22"/>
          <w:lang w:val="fr-FR"/>
        </w:rPr>
        <w:t xml:space="preserve"> cinq critères pour l</w:t>
      </w:r>
      <w:r w:rsidR="008E532B">
        <w:rPr>
          <w:rFonts w:ascii="Arial" w:hAnsi="Arial" w:cs="Arial"/>
          <w:bCs/>
          <w:sz w:val="22"/>
          <w:szCs w:val="22"/>
          <w:lang w:val="fr-FR"/>
        </w:rPr>
        <w:t>’</w:t>
      </w:r>
      <w:r w:rsidRPr="00243BC0">
        <w:rPr>
          <w:rFonts w:ascii="Arial" w:hAnsi="Arial" w:cs="Arial"/>
          <w:bCs/>
          <w:sz w:val="22"/>
          <w:szCs w:val="22"/>
          <w:lang w:val="fr-FR"/>
        </w:rPr>
        <w:t>accréditation des ONG</w:t>
      </w:r>
      <w:r>
        <w:rPr>
          <w:rFonts w:ascii="Arial" w:hAnsi="Arial" w:cs="Arial"/>
          <w:bCs/>
          <w:sz w:val="22"/>
          <w:szCs w:val="22"/>
          <w:lang w:val="fr-FR"/>
        </w:rPr>
        <w:t xml:space="preserve">, dont </w:t>
      </w:r>
      <w:r w:rsidRPr="00243BC0">
        <w:rPr>
          <w:rFonts w:ascii="Arial" w:hAnsi="Arial" w:cs="Arial"/>
          <w:bCs/>
          <w:sz w:val="22"/>
          <w:szCs w:val="22"/>
          <w:lang w:val="fr-FR"/>
        </w:rPr>
        <w:t>l</w:t>
      </w:r>
      <w:r w:rsidR="008E532B">
        <w:rPr>
          <w:rFonts w:ascii="Arial" w:hAnsi="Arial" w:cs="Arial"/>
          <w:bCs/>
          <w:sz w:val="22"/>
          <w:szCs w:val="22"/>
          <w:lang w:val="fr-FR"/>
        </w:rPr>
        <w:t>’</w:t>
      </w:r>
      <w:r w:rsidRPr="00243BC0">
        <w:rPr>
          <w:rFonts w:ascii="Arial" w:hAnsi="Arial" w:cs="Arial"/>
          <w:bCs/>
          <w:sz w:val="22"/>
          <w:szCs w:val="22"/>
          <w:lang w:val="fr-FR"/>
        </w:rPr>
        <w:t xml:space="preserve">exigence que ces ONG </w:t>
      </w:r>
      <w:r>
        <w:rPr>
          <w:rFonts w:ascii="Arial" w:hAnsi="Arial" w:cs="Arial"/>
          <w:bCs/>
          <w:sz w:val="22"/>
          <w:szCs w:val="22"/>
          <w:lang w:val="fr-FR"/>
        </w:rPr>
        <w:t>soient</w:t>
      </w:r>
      <w:r w:rsidRPr="00243BC0">
        <w:rPr>
          <w:rFonts w:ascii="Arial" w:hAnsi="Arial" w:cs="Arial"/>
          <w:bCs/>
          <w:sz w:val="22"/>
          <w:szCs w:val="22"/>
          <w:lang w:val="fr-FR"/>
        </w:rPr>
        <w:t xml:space="preserve"> </w:t>
      </w:r>
      <w:r>
        <w:rPr>
          <w:rFonts w:ascii="Arial" w:hAnsi="Arial" w:cs="Arial"/>
          <w:bCs/>
          <w:sz w:val="22"/>
          <w:szCs w:val="22"/>
          <w:lang w:val="fr-FR"/>
        </w:rPr>
        <w:t xml:space="preserve">de </w:t>
      </w:r>
      <w:r w:rsidRPr="00243BC0">
        <w:rPr>
          <w:rFonts w:ascii="Arial" w:hAnsi="Arial" w:cs="Arial"/>
          <w:bCs/>
          <w:sz w:val="22"/>
          <w:szCs w:val="22"/>
          <w:lang w:val="fr-FR"/>
        </w:rPr>
        <w:t>caractère local, national, régional ou international, selon le cas, ainsi qu</w:t>
      </w:r>
      <w:r w:rsidR="008E532B">
        <w:rPr>
          <w:rFonts w:ascii="Arial" w:hAnsi="Arial" w:cs="Arial"/>
          <w:bCs/>
          <w:sz w:val="22"/>
          <w:szCs w:val="22"/>
          <w:lang w:val="fr-FR"/>
        </w:rPr>
        <w:t>’</w:t>
      </w:r>
      <w:r w:rsidRPr="00243BC0">
        <w:rPr>
          <w:rFonts w:ascii="Arial" w:hAnsi="Arial" w:cs="Arial"/>
          <w:bCs/>
          <w:sz w:val="22"/>
          <w:szCs w:val="22"/>
          <w:lang w:val="fr-FR"/>
        </w:rPr>
        <w:t>u</w:t>
      </w:r>
      <w:r>
        <w:rPr>
          <w:rFonts w:ascii="Arial" w:hAnsi="Arial" w:cs="Arial"/>
          <w:bCs/>
          <w:sz w:val="22"/>
          <w:szCs w:val="22"/>
          <w:lang w:val="fr-FR"/>
        </w:rPr>
        <w:t>ne domiciliation</w:t>
      </w:r>
      <w:r w:rsidRPr="00243BC0">
        <w:rPr>
          <w:rFonts w:ascii="Arial" w:hAnsi="Arial" w:cs="Arial"/>
          <w:bCs/>
          <w:sz w:val="22"/>
          <w:szCs w:val="22"/>
          <w:lang w:val="fr-FR"/>
        </w:rPr>
        <w:t xml:space="preserve"> établi</w:t>
      </w:r>
      <w:r>
        <w:rPr>
          <w:rFonts w:ascii="Arial" w:hAnsi="Arial" w:cs="Arial"/>
          <w:bCs/>
          <w:sz w:val="22"/>
          <w:szCs w:val="22"/>
          <w:lang w:val="fr-FR"/>
        </w:rPr>
        <w:t>e</w:t>
      </w:r>
      <w:r w:rsidRPr="00243BC0">
        <w:rPr>
          <w:rFonts w:ascii="Arial" w:hAnsi="Arial" w:cs="Arial"/>
          <w:bCs/>
          <w:sz w:val="22"/>
          <w:szCs w:val="22"/>
          <w:lang w:val="fr-FR"/>
        </w:rPr>
        <w:t xml:space="preserve"> et une personnalité juridique reconnue </w:t>
      </w:r>
      <w:r>
        <w:rPr>
          <w:rFonts w:ascii="Arial" w:hAnsi="Arial" w:cs="Arial"/>
          <w:bCs/>
          <w:sz w:val="22"/>
          <w:szCs w:val="22"/>
          <w:lang w:val="fr-FR"/>
        </w:rPr>
        <w:t>conforme au droit national</w:t>
      </w:r>
      <w:r w:rsidRPr="00243BC0">
        <w:rPr>
          <w:rFonts w:ascii="Arial" w:hAnsi="Arial" w:cs="Arial"/>
          <w:bCs/>
          <w:sz w:val="22"/>
          <w:szCs w:val="22"/>
          <w:lang w:val="fr-FR"/>
        </w:rPr>
        <w:t>. Le paragraphe 93 prévo</w:t>
      </w:r>
      <w:r>
        <w:rPr>
          <w:rFonts w:ascii="Arial" w:hAnsi="Arial" w:cs="Arial"/>
          <w:bCs/>
          <w:sz w:val="22"/>
          <w:szCs w:val="22"/>
          <w:lang w:val="fr-FR"/>
        </w:rPr>
        <w:t>yait</w:t>
      </w:r>
      <w:r w:rsidRPr="00243BC0">
        <w:rPr>
          <w:rFonts w:ascii="Arial" w:hAnsi="Arial" w:cs="Arial"/>
          <w:bCs/>
          <w:sz w:val="22"/>
          <w:szCs w:val="22"/>
          <w:lang w:val="fr-FR"/>
        </w:rPr>
        <w:t xml:space="preserve"> qu</w:t>
      </w:r>
      <w:r w:rsidR="008E532B">
        <w:rPr>
          <w:rFonts w:ascii="Arial" w:hAnsi="Arial" w:cs="Arial"/>
          <w:bCs/>
          <w:sz w:val="22"/>
          <w:szCs w:val="22"/>
          <w:lang w:val="fr-FR"/>
        </w:rPr>
        <w:t>’</w:t>
      </w:r>
      <w:r w:rsidRPr="00243BC0">
        <w:rPr>
          <w:rFonts w:ascii="Arial" w:hAnsi="Arial" w:cs="Arial"/>
          <w:bCs/>
          <w:sz w:val="22"/>
          <w:szCs w:val="22"/>
          <w:lang w:val="fr-FR"/>
        </w:rPr>
        <w:t>en recevant et en examinant les demandes d</w:t>
      </w:r>
      <w:r w:rsidR="008E532B">
        <w:rPr>
          <w:rFonts w:ascii="Arial" w:hAnsi="Arial" w:cs="Arial"/>
          <w:bCs/>
          <w:sz w:val="22"/>
          <w:szCs w:val="22"/>
          <w:lang w:val="fr-FR"/>
        </w:rPr>
        <w:t>’</w:t>
      </w:r>
      <w:r w:rsidRPr="00243BC0">
        <w:rPr>
          <w:rFonts w:ascii="Arial" w:hAnsi="Arial" w:cs="Arial"/>
          <w:bCs/>
          <w:sz w:val="22"/>
          <w:szCs w:val="22"/>
          <w:lang w:val="fr-FR"/>
        </w:rPr>
        <w:t>accréditation d</w:t>
      </w:r>
      <w:r w:rsidR="008E532B">
        <w:rPr>
          <w:rFonts w:ascii="Arial" w:hAnsi="Arial" w:cs="Arial"/>
          <w:bCs/>
          <w:sz w:val="22"/>
          <w:szCs w:val="22"/>
          <w:lang w:val="fr-FR"/>
        </w:rPr>
        <w:t>’</w:t>
      </w:r>
      <w:r w:rsidRPr="00243BC0">
        <w:rPr>
          <w:rFonts w:ascii="Arial" w:hAnsi="Arial" w:cs="Arial"/>
          <w:bCs/>
          <w:sz w:val="22"/>
          <w:szCs w:val="22"/>
          <w:lang w:val="fr-FR"/>
        </w:rPr>
        <w:t>ONG, le Comité accorde toute l</w:t>
      </w:r>
      <w:r w:rsidR="008E532B">
        <w:rPr>
          <w:rFonts w:ascii="Arial" w:hAnsi="Arial" w:cs="Arial"/>
          <w:bCs/>
          <w:sz w:val="22"/>
          <w:szCs w:val="22"/>
          <w:lang w:val="fr-FR"/>
        </w:rPr>
        <w:t>’</w:t>
      </w:r>
      <w:r w:rsidRPr="00243BC0">
        <w:rPr>
          <w:rFonts w:ascii="Arial" w:hAnsi="Arial" w:cs="Arial"/>
          <w:bCs/>
          <w:sz w:val="22"/>
          <w:szCs w:val="22"/>
          <w:lang w:val="fr-FR"/>
        </w:rPr>
        <w:t xml:space="preserve">attention </w:t>
      </w:r>
      <w:r>
        <w:rPr>
          <w:rFonts w:ascii="Arial" w:hAnsi="Arial" w:cs="Arial"/>
          <w:bCs/>
          <w:sz w:val="22"/>
          <w:szCs w:val="22"/>
          <w:lang w:val="fr-FR"/>
        </w:rPr>
        <w:t>nécessaire</w:t>
      </w:r>
      <w:r w:rsidRPr="00243BC0">
        <w:rPr>
          <w:rFonts w:ascii="Arial" w:hAnsi="Arial" w:cs="Arial"/>
          <w:bCs/>
          <w:sz w:val="22"/>
          <w:szCs w:val="22"/>
          <w:lang w:val="fr-FR"/>
        </w:rPr>
        <w:t xml:space="preserve"> au principe de représentation géographique équitable, sur la base des informations</w:t>
      </w:r>
      <w:r>
        <w:rPr>
          <w:rFonts w:ascii="Arial" w:hAnsi="Arial" w:cs="Arial"/>
          <w:bCs/>
          <w:sz w:val="22"/>
          <w:szCs w:val="22"/>
          <w:lang w:val="fr-FR"/>
        </w:rPr>
        <w:t xml:space="preserve"> </w:t>
      </w:r>
      <w:r w:rsidRPr="00243BC0">
        <w:rPr>
          <w:rFonts w:ascii="Arial" w:hAnsi="Arial" w:cs="Arial"/>
          <w:bCs/>
          <w:sz w:val="22"/>
          <w:szCs w:val="22"/>
          <w:lang w:val="fr-FR"/>
        </w:rPr>
        <w:t>fournies par le Secrétariat.</w:t>
      </w:r>
    </w:p>
    <w:p w14:paraId="3CD27FFD" w14:textId="7B2E042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B4E29">
        <w:rPr>
          <w:rFonts w:ascii="Arial" w:hAnsi="Arial" w:cs="Arial"/>
          <w:bCs/>
          <w:sz w:val="22"/>
          <w:szCs w:val="22"/>
          <w:lang w:val="fr-FR"/>
        </w:rPr>
        <w:t xml:space="preserve">Le </w:t>
      </w:r>
      <w:r w:rsidRPr="00EB4E29">
        <w:rPr>
          <w:rFonts w:ascii="Arial" w:hAnsi="Arial" w:cs="Arial"/>
          <w:b/>
          <w:sz w:val="22"/>
          <w:szCs w:val="22"/>
          <w:lang w:val="fr-FR"/>
        </w:rPr>
        <w:t>Conseiller juridique</w:t>
      </w:r>
      <w:r w:rsidRPr="00EB4E29">
        <w:rPr>
          <w:rFonts w:ascii="Arial" w:hAnsi="Arial" w:cs="Arial"/>
          <w:bCs/>
          <w:sz w:val="22"/>
          <w:szCs w:val="22"/>
          <w:lang w:val="fr-FR"/>
        </w:rPr>
        <w:t xml:space="preserve"> a poursuivi </w:t>
      </w:r>
      <w:r>
        <w:rPr>
          <w:rFonts w:ascii="Arial" w:hAnsi="Arial" w:cs="Arial"/>
          <w:bCs/>
          <w:sz w:val="22"/>
          <w:szCs w:val="22"/>
          <w:lang w:val="fr-FR"/>
        </w:rPr>
        <w:t xml:space="preserve">son </w:t>
      </w:r>
      <w:r w:rsidRPr="00EB4E29">
        <w:rPr>
          <w:rFonts w:ascii="Arial" w:hAnsi="Arial" w:cs="Arial"/>
          <w:bCs/>
          <w:sz w:val="22"/>
          <w:szCs w:val="22"/>
          <w:lang w:val="fr-FR"/>
        </w:rPr>
        <w:t>intervention</w:t>
      </w:r>
      <w:r>
        <w:rPr>
          <w:rFonts w:ascii="Arial" w:hAnsi="Arial" w:cs="Arial"/>
          <w:bCs/>
          <w:sz w:val="22"/>
          <w:szCs w:val="22"/>
          <w:lang w:val="fr-FR"/>
        </w:rPr>
        <w:t xml:space="preserve"> en précisant </w:t>
      </w:r>
      <w:r w:rsidRPr="00EB4E29">
        <w:rPr>
          <w:rFonts w:ascii="Arial" w:hAnsi="Arial" w:cs="Arial"/>
          <w:bCs/>
          <w:sz w:val="22"/>
          <w:szCs w:val="22"/>
          <w:lang w:val="fr-FR"/>
        </w:rPr>
        <w:t>que la procédure d</w:t>
      </w:r>
      <w:r w:rsidR="008E532B">
        <w:rPr>
          <w:rFonts w:ascii="Arial" w:hAnsi="Arial" w:cs="Arial"/>
          <w:bCs/>
          <w:sz w:val="22"/>
          <w:szCs w:val="22"/>
          <w:lang w:val="fr-FR"/>
        </w:rPr>
        <w:t>’</w:t>
      </w:r>
      <w:r w:rsidRPr="00EB4E29">
        <w:rPr>
          <w:rFonts w:ascii="Arial" w:hAnsi="Arial" w:cs="Arial"/>
          <w:bCs/>
          <w:sz w:val="22"/>
          <w:szCs w:val="22"/>
          <w:lang w:val="fr-FR"/>
        </w:rPr>
        <w:t>accréditation prévue au paragraphe 97 exige que l</w:t>
      </w:r>
      <w:r w:rsidR="008E532B">
        <w:rPr>
          <w:rFonts w:ascii="Arial" w:hAnsi="Arial" w:cs="Arial"/>
          <w:bCs/>
          <w:sz w:val="22"/>
          <w:szCs w:val="22"/>
          <w:lang w:val="fr-FR"/>
        </w:rPr>
        <w:t>’</w:t>
      </w:r>
      <w:r w:rsidRPr="00EB4E29">
        <w:rPr>
          <w:rFonts w:ascii="Arial" w:hAnsi="Arial" w:cs="Arial"/>
          <w:bCs/>
          <w:sz w:val="22"/>
          <w:szCs w:val="22"/>
          <w:lang w:val="fr-FR"/>
        </w:rPr>
        <w:t>ONG soumette au Secrétariat des informations précises qui comprennent son adresse complète et le nom du ou des pays dans lesquels elle est active. Par conséquent, l</w:t>
      </w:r>
      <w:r>
        <w:rPr>
          <w:rFonts w:ascii="Arial" w:hAnsi="Arial" w:cs="Arial"/>
          <w:bCs/>
          <w:sz w:val="22"/>
          <w:szCs w:val="22"/>
          <w:lang w:val="fr-FR"/>
        </w:rPr>
        <w:t xml:space="preserve">e chapitre </w:t>
      </w:r>
      <w:r w:rsidRPr="00EB4E29">
        <w:rPr>
          <w:rFonts w:ascii="Arial" w:hAnsi="Arial" w:cs="Arial"/>
          <w:bCs/>
          <w:sz w:val="22"/>
          <w:szCs w:val="22"/>
          <w:lang w:val="fr-FR"/>
        </w:rPr>
        <w:t>III</w:t>
      </w:r>
      <w:r>
        <w:rPr>
          <w:rFonts w:ascii="Arial" w:hAnsi="Arial" w:cs="Arial"/>
          <w:bCs/>
          <w:sz w:val="22"/>
          <w:szCs w:val="22"/>
          <w:lang w:val="fr-FR"/>
        </w:rPr>
        <w:t>.</w:t>
      </w:r>
      <w:r w:rsidRPr="00EB4E29">
        <w:rPr>
          <w:rFonts w:ascii="Arial" w:hAnsi="Arial" w:cs="Arial"/>
          <w:bCs/>
          <w:sz w:val="22"/>
          <w:szCs w:val="22"/>
          <w:lang w:val="fr-FR"/>
        </w:rPr>
        <w:t xml:space="preserve">2 des Directives opérationnelles, qui constitue le cadre </w:t>
      </w:r>
      <w:r>
        <w:rPr>
          <w:rFonts w:ascii="Arial" w:hAnsi="Arial" w:cs="Arial"/>
          <w:bCs/>
          <w:sz w:val="22"/>
          <w:szCs w:val="22"/>
          <w:lang w:val="fr-FR"/>
        </w:rPr>
        <w:t>juridique</w:t>
      </w:r>
      <w:r w:rsidRPr="00EB4E29">
        <w:rPr>
          <w:rFonts w:ascii="Arial" w:hAnsi="Arial" w:cs="Arial"/>
          <w:bCs/>
          <w:sz w:val="22"/>
          <w:szCs w:val="22"/>
          <w:lang w:val="fr-FR"/>
        </w:rPr>
        <w:t xml:space="preserve"> applicable en matière d</w:t>
      </w:r>
      <w:r w:rsidR="008E532B">
        <w:rPr>
          <w:rFonts w:ascii="Arial" w:hAnsi="Arial" w:cs="Arial"/>
          <w:bCs/>
          <w:sz w:val="22"/>
          <w:szCs w:val="22"/>
          <w:lang w:val="fr-FR"/>
        </w:rPr>
        <w:t>’</w:t>
      </w:r>
      <w:r w:rsidRPr="00EB4E29">
        <w:rPr>
          <w:rFonts w:ascii="Arial" w:hAnsi="Arial" w:cs="Arial"/>
          <w:bCs/>
          <w:sz w:val="22"/>
          <w:szCs w:val="22"/>
          <w:lang w:val="fr-FR"/>
        </w:rPr>
        <w:t>accréditation, ne cont</w:t>
      </w:r>
      <w:r>
        <w:rPr>
          <w:rFonts w:ascii="Arial" w:hAnsi="Arial" w:cs="Arial"/>
          <w:bCs/>
          <w:sz w:val="22"/>
          <w:szCs w:val="22"/>
          <w:lang w:val="fr-FR"/>
        </w:rPr>
        <w:t>enait</w:t>
      </w:r>
      <w:r w:rsidRPr="00EB4E29">
        <w:rPr>
          <w:rFonts w:ascii="Arial" w:hAnsi="Arial" w:cs="Arial"/>
          <w:bCs/>
          <w:sz w:val="22"/>
          <w:szCs w:val="22"/>
          <w:lang w:val="fr-FR"/>
        </w:rPr>
        <w:t xml:space="preserve"> aucune disposition explicative interdisant l</w:t>
      </w:r>
      <w:r w:rsidR="008E532B">
        <w:rPr>
          <w:rFonts w:ascii="Arial" w:hAnsi="Arial" w:cs="Arial"/>
          <w:bCs/>
          <w:sz w:val="22"/>
          <w:szCs w:val="22"/>
          <w:lang w:val="fr-FR"/>
        </w:rPr>
        <w:t>’</w:t>
      </w:r>
      <w:r w:rsidRPr="00EB4E29">
        <w:rPr>
          <w:rFonts w:ascii="Arial" w:hAnsi="Arial" w:cs="Arial"/>
          <w:bCs/>
          <w:sz w:val="22"/>
          <w:szCs w:val="22"/>
          <w:lang w:val="fr-FR"/>
        </w:rPr>
        <w:t>accès à une ONG établie</w:t>
      </w:r>
      <w:r>
        <w:rPr>
          <w:rFonts w:ascii="Arial" w:hAnsi="Arial" w:cs="Arial"/>
          <w:bCs/>
          <w:sz w:val="22"/>
          <w:szCs w:val="22"/>
          <w:lang w:val="fr-FR"/>
        </w:rPr>
        <w:t>,</w:t>
      </w:r>
      <w:r w:rsidRPr="00EB4E29">
        <w:rPr>
          <w:rFonts w:ascii="Arial" w:hAnsi="Arial" w:cs="Arial"/>
          <w:bCs/>
          <w:sz w:val="22"/>
          <w:szCs w:val="22"/>
          <w:lang w:val="fr-FR"/>
        </w:rPr>
        <w:t xml:space="preserve"> ou</w:t>
      </w:r>
      <w:r>
        <w:rPr>
          <w:rFonts w:ascii="Arial" w:hAnsi="Arial" w:cs="Arial"/>
          <w:bCs/>
          <w:sz w:val="22"/>
          <w:szCs w:val="22"/>
          <w:lang w:val="fr-FR"/>
        </w:rPr>
        <w:t xml:space="preserve"> dont la domiciliation est,</w:t>
      </w:r>
      <w:r w:rsidRPr="00EB4E29">
        <w:rPr>
          <w:rFonts w:ascii="Arial" w:hAnsi="Arial" w:cs="Arial"/>
          <w:bCs/>
          <w:sz w:val="22"/>
          <w:szCs w:val="22"/>
          <w:lang w:val="fr-FR"/>
        </w:rPr>
        <w:t xml:space="preserve"> dans un État </w:t>
      </w:r>
      <w:proofErr w:type="gramStart"/>
      <w:r w:rsidRPr="00EB4E29">
        <w:rPr>
          <w:rFonts w:ascii="Arial" w:hAnsi="Arial" w:cs="Arial"/>
          <w:bCs/>
          <w:sz w:val="22"/>
          <w:szCs w:val="22"/>
          <w:lang w:val="fr-FR"/>
        </w:rPr>
        <w:t>non</w:t>
      </w:r>
      <w:r>
        <w:rPr>
          <w:rFonts w:ascii="Arial" w:hAnsi="Arial" w:cs="Arial"/>
          <w:bCs/>
          <w:sz w:val="22"/>
          <w:szCs w:val="22"/>
          <w:lang w:val="fr-FR"/>
        </w:rPr>
        <w:t> </w:t>
      </w:r>
      <w:r w:rsidRPr="00EB4E29">
        <w:rPr>
          <w:rFonts w:ascii="Arial" w:hAnsi="Arial" w:cs="Arial"/>
          <w:bCs/>
          <w:sz w:val="22"/>
          <w:szCs w:val="22"/>
          <w:lang w:val="fr-FR"/>
        </w:rPr>
        <w:t>partie</w:t>
      </w:r>
      <w:proofErr w:type="gramEnd"/>
      <w:r w:rsidRPr="00EB4E29">
        <w:rPr>
          <w:rFonts w:ascii="Arial" w:hAnsi="Arial" w:cs="Arial"/>
          <w:bCs/>
          <w:sz w:val="22"/>
          <w:szCs w:val="22"/>
          <w:lang w:val="fr-FR"/>
        </w:rPr>
        <w:t xml:space="preserve"> à la Convention.</w:t>
      </w:r>
      <w:r>
        <w:rPr>
          <w:rFonts w:ascii="Arial" w:hAnsi="Arial" w:cs="Arial"/>
          <w:bCs/>
          <w:sz w:val="22"/>
          <w:szCs w:val="22"/>
          <w:lang w:val="fr-FR"/>
        </w:rPr>
        <w:t xml:space="preserve"> L</w:t>
      </w:r>
      <w:r w:rsidRPr="00EB4E29">
        <w:rPr>
          <w:rFonts w:ascii="Arial" w:hAnsi="Arial" w:cs="Arial"/>
          <w:bCs/>
          <w:sz w:val="22"/>
          <w:szCs w:val="22"/>
          <w:lang w:val="fr-FR"/>
        </w:rPr>
        <w:t xml:space="preserve">e Secrétariat et, en particulier, le Sous-Directeur général </w:t>
      </w:r>
      <w:r>
        <w:rPr>
          <w:rFonts w:ascii="Arial" w:hAnsi="Arial" w:cs="Arial"/>
          <w:bCs/>
          <w:sz w:val="22"/>
          <w:szCs w:val="22"/>
          <w:lang w:val="fr-FR"/>
        </w:rPr>
        <w:t>avaient d</w:t>
      </w:r>
      <w:r w:rsidR="008E532B">
        <w:rPr>
          <w:rFonts w:ascii="Arial" w:hAnsi="Arial" w:cs="Arial"/>
          <w:bCs/>
          <w:sz w:val="22"/>
          <w:szCs w:val="22"/>
          <w:lang w:val="fr-FR"/>
        </w:rPr>
        <w:t>’</w:t>
      </w:r>
      <w:r>
        <w:rPr>
          <w:rFonts w:ascii="Arial" w:hAnsi="Arial" w:cs="Arial"/>
          <w:bCs/>
          <w:sz w:val="22"/>
          <w:szCs w:val="22"/>
          <w:lang w:val="fr-FR"/>
        </w:rPr>
        <w:t xml:space="preserve">ailleurs </w:t>
      </w:r>
      <w:r w:rsidRPr="00EB4E29">
        <w:rPr>
          <w:rFonts w:ascii="Arial" w:hAnsi="Arial" w:cs="Arial"/>
          <w:bCs/>
          <w:sz w:val="22"/>
          <w:szCs w:val="22"/>
          <w:lang w:val="fr-FR"/>
        </w:rPr>
        <w:t xml:space="preserve">déjà expliqué que des ONG </w:t>
      </w:r>
      <w:r>
        <w:rPr>
          <w:rFonts w:ascii="Arial" w:hAnsi="Arial" w:cs="Arial"/>
          <w:bCs/>
          <w:sz w:val="22"/>
          <w:szCs w:val="22"/>
          <w:lang w:val="fr-FR"/>
        </w:rPr>
        <w:t>n</w:t>
      </w:r>
      <w:r w:rsidR="008E532B">
        <w:rPr>
          <w:rFonts w:ascii="Arial" w:hAnsi="Arial" w:cs="Arial"/>
          <w:bCs/>
          <w:sz w:val="22"/>
          <w:szCs w:val="22"/>
          <w:lang w:val="fr-FR"/>
        </w:rPr>
        <w:t>’</w:t>
      </w:r>
      <w:r>
        <w:rPr>
          <w:rFonts w:ascii="Arial" w:hAnsi="Arial" w:cs="Arial"/>
          <w:bCs/>
          <w:sz w:val="22"/>
          <w:szCs w:val="22"/>
          <w:lang w:val="fr-FR"/>
        </w:rPr>
        <w:t>ayant</w:t>
      </w:r>
      <w:r w:rsidRPr="00EB4E29">
        <w:rPr>
          <w:rFonts w:ascii="Arial" w:hAnsi="Arial" w:cs="Arial"/>
          <w:bCs/>
          <w:sz w:val="22"/>
          <w:szCs w:val="22"/>
          <w:lang w:val="fr-FR"/>
        </w:rPr>
        <w:t xml:space="preserve"> pas leur domicil</w:t>
      </w:r>
      <w:r>
        <w:rPr>
          <w:rFonts w:ascii="Arial" w:hAnsi="Arial" w:cs="Arial"/>
          <w:bCs/>
          <w:sz w:val="22"/>
          <w:szCs w:val="22"/>
          <w:lang w:val="fr-FR"/>
        </w:rPr>
        <w:t>iation</w:t>
      </w:r>
      <w:r w:rsidRPr="00EB4E29">
        <w:rPr>
          <w:rFonts w:ascii="Arial" w:hAnsi="Arial" w:cs="Arial"/>
          <w:bCs/>
          <w:sz w:val="22"/>
          <w:szCs w:val="22"/>
          <w:lang w:val="fr-FR"/>
        </w:rPr>
        <w:t xml:space="preserve"> dans un État partie avaient été accréditées dans le passé, comme l</w:t>
      </w:r>
      <w:r w:rsidR="008E532B">
        <w:rPr>
          <w:rFonts w:ascii="Arial" w:hAnsi="Arial" w:cs="Arial"/>
          <w:bCs/>
          <w:sz w:val="22"/>
          <w:szCs w:val="22"/>
          <w:lang w:val="fr-FR"/>
        </w:rPr>
        <w:t>’</w:t>
      </w:r>
      <w:r w:rsidRPr="00EB4E29">
        <w:rPr>
          <w:rFonts w:ascii="Arial" w:hAnsi="Arial" w:cs="Arial"/>
          <w:bCs/>
          <w:sz w:val="22"/>
          <w:szCs w:val="22"/>
          <w:lang w:val="fr-FR"/>
        </w:rPr>
        <w:t>a</w:t>
      </w:r>
      <w:r>
        <w:rPr>
          <w:rFonts w:ascii="Arial" w:hAnsi="Arial" w:cs="Arial"/>
          <w:bCs/>
          <w:sz w:val="22"/>
          <w:szCs w:val="22"/>
          <w:lang w:val="fr-FR"/>
        </w:rPr>
        <w:t>vait</w:t>
      </w:r>
      <w:r w:rsidRPr="00EB4E29">
        <w:rPr>
          <w:rFonts w:ascii="Arial" w:hAnsi="Arial" w:cs="Arial"/>
          <w:bCs/>
          <w:sz w:val="22"/>
          <w:szCs w:val="22"/>
          <w:lang w:val="fr-FR"/>
        </w:rPr>
        <w:t xml:space="preserve"> également mentionné le Président du Forum des ONG. Quant à la question de savoir si une ONG p</w:t>
      </w:r>
      <w:r>
        <w:rPr>
          <w:rFonts w:ascii="Arial" w:hAnsi="Arial" w:cs="Arial"/>
          <w:bCs/>
          <w:sz w:val="22"/>
          <w:szCs w:val="22"/>
          <w:lang w:val="fr-FR"/>
        </w:rPr>
        <w:t xml:space="preserve">ouvait </w:t>
      </w:r>
      <w:r w:rsidRPr="00EB4E29">
        <w:rPr>
          <w:rFonts w:ascii="Arial" w:hAnsi="Arial" w:cs="Arial"/>
          <w:bCs/>
          <w:sz w:val="22"/>
          <w:szCs w:val="22"/>
          <w:lang w:val="fr-FR"/>
        </w:rPr>
        <w:t xml:space="preserve">être éligible à la </w:t>
      </w:r>
      <w:r>
        <w:rPr>
          <w:rFonts w:ascii="Arial" w:hAnsi="Arial" w:cs="Arial"/>
          <w:bCs/>
          <w:sz w:val="22"/>
          <w:szCs w:val="22"/>
          <w:lang w:val="fr-FR"/>
        </w:rPr>
        <w:t xml:space="preserve">désignation en tant que membre de </w:t>
      </w:r>
      <w:r w:rsidRPr="00EB4E29">
        <w:rPr>
          <w:rFonts w:ascii="Arial" w:hAnsi="Arial" w:cs="Arial"/>
          <w:bCs/>
          <w:sz w:val="22"/>
          <w:szCs w:val="22"/>
          <w:lang w:val="fr-FR"/>
        </w:rPr>
        <w:t>l</w:t>
      </w:r>
      <w:r w:rsidR="008E532B">
        <w:rPr>
          <w:rFonts w:ascii="Arial" w:hAnsi="Arial" w:cs="Arial"/>
          <w:bCs/>
          <w:sz w:val="22"/>
          <w:szCs w:val="22"/>
          <w:lang w:val="fr-FR"/>
        </w:rPr>
        <w:t>’</w:t>
      </w:r>
      <w:r w:rsidRPr="00EB4E29">
        <w:rPr>
          <w:rFonts w:ascii="Arial" w:hAnsi="Arial" w:cs="Arial"/>
          <w:bCs/>
          <w:sz w:val="22"/>
          <w:szCs w:val="22"/>
          <w:lang w:val="fr-FR"/>
        </w:rPr>
        <w:t>Organe d</w:t>
      </w:r>
      <w:r w:rsidR="008E532B">
        <w:rPr>
          <w:rFonts w:ascii="Arial" w:hAnsi="Arial" w:cs="Arial"/>
          <w:bCs/>
          <w:sz w:val="22"/>
          <w:szCs w:val="22"/>
          <w:lang w:val="fr-FR"/>
        </w:rPr>
        <w:t>’</w:t>
      </w:r>
      <w:r w:rsidRPr="00EB4E29">
        <w:rPr>
          <w:rFonts w:ascii="Arial" w:hAnsi="Arial" w:cs="Arial"/>
          <w:bCs/>
          <w:sz w:val="22"/>
          <w:szCs w:val="22"/>
          <w:lang w:val="fr-FR"/>
        </w:rPr>
        <w:t>évaluation sans avoir de domicil</w:t>
      </w:r>
      <w:r>
        <w:rPr>
          <w:rFonts w:ascii="Arial" w:hAnsi="Arial" w:cs="Arial"/>
          <w:bCs/>
          <w:sz w:val="22"/>
          <w:szCs w:val="22"/>
          <w:lang w:val="fr-FR"/>
        </w:rPr>
        <w:t>iation</w:t>
      </w:r>
      <w:r w:rsidRPr="00EB4E29">
        <w:rPr>
          <w:rFonts w:ascii="Arial" w:hAnsi="Arial" w:cs="Arial"/>
          <w:bCs/>
          <w:sz w:val="22"/>
          <w:szCs w:val="22"/>
          <w:lang w:val="fr-FR"/>
        </w:rPr>
        <w:t xml:space="preserve"> dans un </w:t>
      </w:r>
      <w:r>
        <w:rPr>
          <w:rFonts w:ascii="Arial" w:hAnsi="Arial" w:cs="Arial"/>
          <w:bCs/>
          <w:sz w:val="22"/>
          <w:szCs w:val="22"/>
          <w:lang w:val="fr-FR"/>
        </w:rPr>
        <w:t>É</w:t>
      </w:r>
      <w:r w:rsidRPr="00EB4E29">
        <w:rPr>
          <w:rFonts w:ascii="Arial" w:hAnsi="Arial" w:cs="Arial"/>
          <w:bCs/>
          <w:sz w:val="22"/>
          <w:szCs w:val="22"/>
          <w:lang w:val="fr-FR"/>
        </w:rPr>
        <w:t>tat partie, la disposition applicable se trouv</w:t>
      </w:r>
      <w:r>
        <w:rPr>
          <w:rFonts w:ascii="Arial" w:hAnsi="Arial" w:cs="Arial"/>
          <w:bCs/>
          <w:sz w:val="22"/>
          <w:szCs w:val="22"/>
          <w:lang w:val="fr-FR"/>
        </w:rPr>
        <w:t>ait</w:t>
      </w:r>
      <w:r w:rsidRPr="00EB4E29">
        <w:rPr>
          <w:rFonts w:ascii="Arial" w:hAnsi="Arial" w:cs="Arial"/>
          <w:bCs/>
          <w:sz w:val="22"/>
          <w:szCs w:val="22"/>
          <w:lang w:val="fr-FR"/>
        </w:rPr>
        <w:t xml:space="preserve"> au paragraphe 27 des Directives opérationnelles, qui stipule que </w:t>
      </w:r>
      <w:r>
        <w:rPr>
          <w:rFonts w:ascii="Arial" w:hAnsi="Arial" w:cs="Arial"/>
          <w:bCs/>
          <w:sz w:val="22"/>
          <w:szCs w:val="22"/>
          <w:lang w:val="fr-FR"/>
        </w:rPr>
        <w:t>« </w:t>
      </w:r>
      <w:r w:rsidRPr="00EB4E29">
        <w:rPr>
          <w:rFonts w:ascii="Arial" w:hAnsi="Arial" w:cs="Arial"/>
          <w:bCs/>
          <w:sz w:val="22"/>
          <w:szCs w:val="22"/>
          <w:lang w:val="fr-FR"/>
        </w:rPr>
        <w:t>L</w:t>
      </w:r>
      <w:r w:rsidR="008E532B">
        <w:rPr>
          <w:rFonts w:ascii="Arial" w:hAnsi="Arial" w:cs="Arial"/>
          <w:bCs/>
          <w:sz w:val="22"/>
          <w:szCs w:val="22"/>
          <w:lang w:val="fr-FR"/>
        </w:rPr>
        <w:t>’</w:t>
      </w:r>
      <w:r w:rsidRPr="00EB4E29">
        <w:rPr>
          <w:rFonts w:ascii="Arial" w:hAnsi="Arial" w:cs="Arial"/>
          <w:bCs/>
          <w:sz w:val="22"/>
          <w:szCs w:val="22"/>
          <w:lang w:val="fr-FR"/>
        </w:rPr>
        <w:t>Organe d</w:t>
      </w:r>
      <w:r w:rsidR="008E532B">
        <w:rPr>
          <w:rFonts w:ascii="Arial" w:hAnsi="Arial" w:cs="Arial"/>
          <w:bCs/>
          <w:sz w:val="22"/>
          <w:szCs w:val="22"/>
          <w:lang w:val="fr-FR"/>
        </w:rPr>
        <w:t>’</w:t>
      </w:r>
      <w:r w:rsidRPr="00EB4E29">
        <w:rPr>
          <w:rFonts w:ascii="Arial" w:hAnsi="Arial" w:cs="Arial"/>
          <w:bCs/>
          <w:sz w:val="22"/>
          <w:szCs w:val="22"/>
          <w:lang w:val="fr-FR"/>
        </w:rPr>
        <w:t>évaluation est composé de douze membres nommés par le Comité</w:t>
      </w:r>
      <w:r>
        <w:rPr>
          <w:rFonts w:ascii="Arial" w:hAnsi="Arial" w:cs="Arial"/>
          <w:bCs/>
          <w:sz w:val="22"/>
          <w:szCs w:val="22"/>
          <w:lang w:val="fr-FR"/>
        </w:rPr>
        <w:t> :</w:t>
      </w:r>
      <w:r w:rsidRPr="00EB4E29">
        <w:rPr>
          <w:rFonts w:ascii="Arial" w:hAnsi="Arial" w:cs="Arial"/>
          <w:bCs/>
          <w:sz w:val="22"/>
          <w:szCs w:val="22"/>
          <w:lang w:val="fr-FR"/>
        </w:rPr>
        <w:t xml:space="preserve"> six experts qualifiés dans les di</w:t>
      </w:r>
      <w:r>
        <w:rPr>
          <w:rFonts w:ascii="Arial" w:hAnsi="Arial" w:cs="Arial"/>
          <w:bCs/>
          <w:sz w:val="22"/>
          <w:szCs w:val="22"/>
          <w:lang w:val="fr-FR"/>
        </w:rPr>
        <w:t>vers</w:t>
      </w:r>
      <w:r w:rsidRPr="00EB4E29">
        <w:rPr>
          <w:rFonts w:ascii="Arial" w:hAnsi="Arial" w:cs="Arial"/>
          <w:bCs/>
          <w:sz w:val="22"/>
          <w:szCs w:val="22"/>
          <w:lang w:val="fr-FR"/>
        </w:rPr>
        <w:t xml:space="preserve"> domaines du patrimoine culturel immatériel représentants d</w:t>
      </w:r>
      <w:r w:rsidR="008E532B">
        <w:rPr>
          <w:rFonts w:ascii="Arial" w:hAnsi="Arial" w:cs="Arial"/>
          <w:bCs/>
          <w:sz w:val="22"/>
          <w:szCs w:val="22"/>
          <w:lang w:val="fr-FR"/>
        </w:rPr>
        <w:t>’</w:t>
      </w:r>
      <w:r>
        <w:rPr>
          <w:rFonts w:ascii="Arial" w:hAnsi="Arial" w:cs="Arial"/>
          <w:bCs/>
          <w:sz w:val="22"/>
          <w:szCs w:val="22"/>
          <w:lang w:val="fr-FR"/>
        </w:rPr>
        <w:t>É</w:t>
      </w:r>
      <w:r w:rsidRPr="00EB4E29">
        <w:rPr>
          <w:rFonts w:ascii="Arial" w:hAnsi="Arial" w:cs="Arial"/>
          <w:bCs/>
          <w:sz w:val="22"/>
          <w:szCs w:val="22"/>
          <w:lang w:val="fr-FR"/>
        </w:rPr>
        <w:t>tats parties non membres du Comité et six organisations non gouvernementales accréditées, en tenant compte d</w:t>
      </w:r>
      <w:r w:rsidR="008E532B">
        <w:rPr>
          <w:rFonts w:ascii="Arial" w:hAnsi="Arial" w:cs="Arial"/>
          <w:bCs/>
          <w:sz w:val="22"/>
          <w:szCs w:val="22"/>
          <w:lang w:val="fr-FR"/>
        </w:rPr>
        <w:t>’</w:t>
      </w:r>
      <w:r w:rsidRPr="00EB4E29">
        <w:rPr>
          <w:rFonts w:ascii="Arial" w:hAnsi="Arial" w:cs="Arial"/>
          <w:bCs/>
          <w:sz w:val="22"/>
          <w:szCs w:val="22"/>
          <w:lang w:val="fr-FR"/>
        </w:rPr>
        <w:t>une représentation géographique équitable et des différents domaines du patrimoine culturel immatériel</w:t>
      </w:r>
      <w:r>
        <w:rPr>
          <w:rFonts w:ascii="Arial" w:hAnsi="Arial" w:cs="Arial"/>
          <w:bCs/>
          <w:sz w:val="22"/>
          <w:szCs w:val="22"/>
          <w:lang w:val="fr-FR"/>
        </w:rPr>
        <w:t>. »</w:t>
      </w:r>
      <w:r w:rsidRPr="00EB4E29">
        <w:rPr>
          <w:rFonts w:ascii="Arial" w:hAnsi="Arial" w:cs="Arial"/>
          <w:bCs/>
          <w:sz w:val="22"/>
          <w:szCs w:val="22"/>
          <w:lang w:val="fr-FR"/>
        </w:rPr>
        <w:t xml:space="preserve"> Cette disposition </w:t>
      </w:r>
      <w:r>
        <w:rPr>
          <w:rFonts w:ascii="Arial" w:hAnsi="Arial" w:cs="Arial"/>
          <w:bCs/>
          <w:sz w:val="22"/>
          <w:szCs w:val="22"/>
          <w:lang w:val="fr-FR"/>
        </w:rPr>
        <w:t>établissait</w:t>
      </w:r>
      <w:r w:rsidRPr="00EB4E29">
        <w:rPr>
          <w:rFonts w:ascii="Arial" w:hAnsi="Arial" w:cs="Arial"/>
          <w:bCs/>
          <w:sz w:val="22"/>
          <w:szCs w:val="22"/>
          <w:lang w:val="fr-FR"/>
        </w:rPr>
        <w:t xml:space="preserve"> clairement que les six experts de l</w:t>
      </w:r>
      <w:r w:rsidR="008E532B">
        <w:rPr>
          <w:rFonts w:ascii="Arial" w:hAnsi="Arial" w:cs="Arial"/>
          <w:bCs/>
          <w:sz w:val="22"/>
          <w:szCs w:val="22"/>
          <w:lang w:val="fr-FR"/>
        </w:rPr>
        <w:t>’</w:t>
      </w:r>
      <w:r>
        <w:rPr>
          <w:rFonts w:ascii="Arial" w:hAnsi="Arial" w:cs="Arial"/>
          <w:bCs/>
          <w:sz w:val="22"/>
          <w:szCs w:val="22"/>
          <w:lang w:val="fr-FR"/>
        </w:rPr>
        <w:t>O</w:t>
      </w:r>
      <w:r w:rsidRPr="00EB4E29">
        <w:rPr>
          <w:rFonts w:ascii="Arial" w:hAnsi="Arial" w:cs="Arial"/>
          <w:bCs/>
          <w:sz w:val="22"/>
          <w:szCs w:val="22"/>
          <w:lang w:val="fr-FR"/>
        </w:rPr>
        <w:t>rgane d</w:t>
      </w:r>
      <w:r w:rsidR="008E532B">
        <w:rPr>
          <w:rFonts w:ascii="Arial" w:hAnsi="Arial" w:cs="Arial"/>
          <w:bCs/>
          <w:sz w:val="22"/>
          <w:szCs w:val="22"/>
          <w:lang w:val="fr-FR"/>
        </w:rPr>
        <w:t>’</w:t>
      </w:r>
      <w:r w:rsidRPr="00EB4E29">
        <w:rPr>
          <w:rFonts w:ascii="Arial" w:hAnsi="Arial" w:cs="Arial"/>
          <w:bCs/>
          <w:sz w:val="22"/>
          <w:szCs w:val="22"/>
          <w:lang w:val="fr-FR"/>
        </w:rPr>
        <w:t xml:space="preserve">évaluation sont des représentants des États parties </w:t>
      </w:r>
      <w:proofErr w:type="gramStart"/>
      <w:r w:rsidRPr="00EB4E29">
        <w:rPr>
          <w:rFonts w:ascii="Arial" w:hAnsi="Arial" w:cs="Arial"/>
          <w:bCs/>
          <w:sz w:val="22"/>
          <w:szCs w:val="22"/>
          <w:lang w:val="fr-FR"/>
        </w:rPr>
        <w:t>non membres</w:t>
      </w:r>
      <w:proofErr w:type="gramEnd"/>
      <w:r w:rsidRPr="00EB4E29">
        <w:rPr>
          <w:rFonts w:ascii="Arial" w:hAnsi="Arial" w:cs="Arial"/>
          <w:bCs/>
          <w:sz w:val="22"/>
          <w:szCs w:val="22"/>
          <w:lang w:val="fr-FR"/>
        </w:rPr>
        <w:t xml:space="preserve"> du Comité. Le paragraphe 28 indiqu</w:t>
      </w:r>
      <w:r>
        <w:rPr>
          <w:rFonts w:ascii="Arial" w:hAnsi="Arial" w:cs="Arial"/>
          <w:bCs/>
          <w:sz w:val="22"/>
          <w:szCs w:val="22"/>
          <w:lang w:val="fr-FR"/>
        </w:rPr>
        <w:t>ait</w:t>
      </w:r>
      <w:r w:rsidRPr="00EB4E29">
        <w:rPr>
          <w:rFonts w:ascii="Arial" w:hAnsi="Arial" w:cs="Arial"/>
          <w:bCs/>
          <w:sz w:val="22"/>
          <w:szCs w:val="22"/>
          <w:lang w:val="fr-FR"/>
        </w:rPr>
        <w:t xml:space="preserve"> également que le Secrétariat </w:t>
      </w:r>
      <w:r>
        <w:rPr>
          <w:rFonts w:ascii="Arial" w:hAnsi="Arial" w:cs="Arial"/>
          <w:bCs/>
          <w:sz w:val="22"/>
          <w:szCs w:val="22"/>
          <w:lang w:val="fr-FR"/>
        </w:rPr>
        <w:t>« </w:t>
      </w:r>
      <w:r w:rsidRPr="00EB4E29">
        <w:rPr>
          <w:rFonts w:ascii="Arial" w:hAnsi="Arial" w:cs="Arial"/>
          <w:bCs/>
          <w:sz w:val="22"/>
          <w:szCs w:val="22"/>
          <w:lang w:val="fr-FR"/>
        </w:rPr>
        <w:t xml:space="preserve">informe les États parties </w:t>
      </w:r>
      <w:r>
        <w:rPr>
          <w:rFonts w:ascii="Arial" w:hAnsi="Arial" w:cs="Arial"/>
          <w:bCs/>
          <w:sz w:val="22"/>
          <w:szCs w:val="22"/>
          <w:lang w:val="fr-FR"/>
        </w:rPr>
        <w:t xml:space="preserve">au sein </w:t>
      </w:r>
      <w:r w:rsidRPr="00EB4E29">
        <w:rPr>
          <w:rFonts w:ascii="Arial" w:hAnsi="Arial" w:cs="Arial"/>
          <w:bCs/>
          <w:sz w:val="22"/>
          <w:szCs w:val="22"/>
          <w:lang w:val="fr-FR"/>
        </w:rPr>
        <w:t xml:space="preserve">de chaque groupe électoral </w:t>
      </w:r>
      <w:r>
        <w:rPr>
          <w:rFonts w:ascii="Arial" w:hAnsi="Arial" w:cs="Arial"/>
          <w:bCs/>
          <w:sz w:val="22"/>
          <w:szCs w:val="22"/>
          <w:lang w:val="fr-FR"/>
        </w:rPr>
        <w:t xml:space="preserve">ayant un siège vacant </w:t>
      </w:r>
      <w:r w:rsidRPr="00EB4E29">
        <w:rPr>
          <w:rFonts w:ascii="Arial" w:hAnsi="Arial" w:cs="Arial"/>
          <w:bCs/>
          <w:sz w:val="22"/>
          <w:szCs w:val="22"/>
          <w:lang w:val="fr-FR"/>
        </w:rPr>
        <w:t>à pourvoir</w:t>
      </w:r>
      <w:r>
        <w:rPr>
          <w:rFonts w:ascii="Arial" w:hAnsi="Arial" w:cs="Arial"/>
          <w:bCs/>
          <w:sz w:val="22"/>
          <w:szCs w:val="22"/>
          <w:lang w:val="fr-FR"/>
        </w:rPr>
        <w:t> »</w:t>
      </w:r>
      <w:r w:rsidRPr="00EB4E29">
        <w:rPr>
          <w:rFonts w:ascii="Arial" w:hAnsi="Arial" w:cs="Arial"/>
          <w:bCs/>
          <w:sz w:val="22"/>
          <w:szCs w:val="22"/>
          <w:lang w:val="fr-FR"/>
        </w:rPr>
        <w:t xml:space="preserve"> aux fins des élections. Ces dispositions ne cont</w:t>
      </w:r>
      <w:r>
        <w:rPr>
          <w:rFonts w:ascii="Arial" w:hAnsi="Arial" w:cs="Arial"/>
          <w:bCs/>
          <w:sz w:val="22"/>
          <w:szCs w:val="22"/>
          <w:lang w:val="fr-FR"/>
        </w:rPr>
        <w:t>enaient</w:t>
      </w:r>
      <w:r w:rsidRPr="00EB4E29">
        <w:rPr>
          <w:rFonts w:ascii="Arial" w:hAnsi="Arial" w:cs="Arial"/>
          <w:bCs/>
          <w:sz w:val="22"/>
          <w:szCs w:val="22"/>
          <w:lang w:val="fr-FR"/>
        </w:rPr>
        <w:t xml:space="preserve"> aucune exigence explicite selon laquelle seules les ONG</w:t>
      </w:r>
      <w:r>
        <w:rPr>
          <w:rFonts w:ascii="Arial" w:hAnsi="Arial" w:cs="Arial"/>
          <w:bCs/>
          <w:sz w:val="22"/>
          <w:szCs w:val="22"/>
          <w:lang w:val="fr-FR"/>
        </w:rPr>
        <w:t xml:space="preserve"> domiciliées</w:t>
      </w:r>
      <w:r w:rsidRPr="00EB4E29">
        <w:rPr>
          <w:rFonts w:ascii="Arial" w:hAnsi="Arial" w:cs="Arial"/>
          <w:bCs/>
          <w:sz w:val="22"/>
          <w:szCs w:val="22"/>
          <w:lang w:val="fr-FR"/>
        </w:rPr>
        <w:t xml:space="preserve"> dans un État partie peuvent être nommées à l</w:t>
      </w:r>
      <w:r w:rsidR="008E532B">
        <w:rPr>
          <w:rFonts w:ascii="Arial" w:hAnsi="Arial" w:cs="Arial"/>
          <w:bCs/>
          <w:sz w:val="22"/>
          <w:szCs w:val="22"/>
          <w:lang w:val="fr-FR"/>
        </w:rPr>
        <w:t>’</w:t>
      </w:r>
      <w:r w:rsidRPr="00EB4E29">
        <w:rPr>
          <w:rFonts w:ascii="Arial" w:hAnsi="Arial" w:cs="Arial"/>
          <w:bCs/>
          <w:sz w:val="22"/>
          <w:szCs w:val="22"/>
          <w:lang w:val="fr-FR"/>
        </w:rPr>
        <w:t>Organe d</w:t>
      </w:r>
      <w:r w:rsidR="008E532B">
        <w:rPr>
          <w:rFonts w:ascii="Arial" w:hAnsi="Arial" w:cs="Arial"/>
          <w:bCs/>
          <w:sz w:val="22"/>
          <w:szCs w:val="22"/>
          <w:lang w:val="fr-FR"/>
        </w:rPr>
        <w:t>’</w:t>
      </w:r>
      <w:r w:rsidRPr="00EB4E29">
        <w:rPr>
          <w:rFonts w:ascii="Arial" w:hAnsi="Arial" w:cs="Arial"/>
          <w:bCs/>
          <w:sz w:val="22"/>
          <w:szCs w:val="22"/>
          <w:lang w:val="fr-FR"/>
        </w:rPr>
        <w:t>évaluation. Le Secrétariat a</w:t>
      </w:r>
      <w:r>
        <w:rPr>
          <w:rFonts w:ascii="Arial" w:hAnsi="Arial" w:cs="Arial"/>
          <w:bCs/>
          <w:sz w:val="22"/>
          <w:szCs w:val="22"/>
          <w:lang w:val="fr-FR"/>
        </w:rPr>
        <w:t>vait</w:t>
      </w:r>
      <w:r w:rsidRPr="00EB4E29">
        <w:rPr>
          <w:rFonts w:ascii="Arial" w:hAnsi="Arial" w:cs="Arial"/>
          <w:bCs/>
          <w:sz w:val="22"/>
          <w:szCs w:val="22"/>
          <w:lang w:val="fr-FR"/>
        </w:rPr>
        <w:t xml:space="preserve"> également expliqué les pratiques concernant la participation de ces ONG à l</w:t>
      </w:r>
      <w:r w:rsidR="008E532B">
        <w:rPr>
          <w:rFonts w:ascii="Arial" w:hAnsi="Arial" w:cs="Arial"/>
          <w:bCs/>
          <w:sz w:val="22"/>
          <w:szCs w:val="22"/>
          <w:lang w:val="fr-FR"/>
        </w:rPr>
        <w:t>’</w:t>
      </w:r>
      <w:r w:rsidRPr="00EB4E29">
        <w:rPr>
          <w:rFonts w:ascii="Arial" w:hAnsi="Arial" w:cs="Arial"/>
          <w:bCs/>
          <w:sz w:val="22"/>
          <w:szCs w:val="22"/>
          <w:lang w:val="fr-FR"/>
        </w:rPr>
        <w:t>Organe d</w:t>
      </w:r>
      <w:r w:rsidR="008E532B">
        <w:rPr>
          <w:rFonts w:ascii="Arial" w:hAnsi="Arial" w:cs="Arial"/>
          <w:bCs/>
          <w:sz w:val="22"/>
          <w:szCs w:val="22"/>
          <w:lang w:val="fr-FR"/>
        </w:rPr>
        <w:t>’</w:t>
      </w:r>
      <w:r w:rsidRPr="00EB4E29">
        <w:rPr>
          <w:rFonts w:ascii="Arial" w:hAnsi="Arial" w:cs="Arial"/>
          <w:bCs/>
          <w:sz w:val="22"/>
          <w:szCs w:val="22"/>
          <w:lang w:val="fr-FR"/>
        </w:rPr>
        <w:t>évaluation. Ceci</w:t>
      </w:r>
      <w:r>
        <w:rPr>
          <w:rFonts w:ascii="Arial" w:hAnsi="Arial" w:cs="Arial"/>
          <w:bCs/>
          <w:sz w:val="22"/>
          <w:szCs w:val="22"/>
          <w:lang w:val="fr-FR"/>
        </w:rPr>
        <w:t xml:space="preserve"> permettait</w:t>
      </w:r>
      <w:r w:rsidRPr="00EB4E29">
        <w:rPr>
          <w:rFonts w:ascii="Arial" w:hAnsi="Arial" w:cs="Arial"/>
          <w:bCs/>
          <w:sz w:val="22"/>
          <w:szCs w:val="22"/>
          <w:lang w:val="fr-FR"/>
        </w:rPr>
        <w:t xml:space="preserve"> d</w:t>
      </w:r>
      <w:r w:rsidR="008E532B">
        <w:rPr>
          <w:rFonts w:ascii="Arial" w:hAnsi="Arial" w:cs="Arial"/>
          <w:bCs/>
          <w:sz w:val="22"/>
          <w:szCs w:val="22"/>
          <w:lang w:val="fr-FR"/>
        </w:rPr>
        <w:t>’</w:t>
      </w:r>
      <w:r w:rsidRPr="00EB4E29">
        <w:rPr>
          <w:rFonts w:ascii="Arial" w:hAnsi="Arial" w:cs="Arial"/>
          <w:bCs/>
          <w:sz w:val="22"/>
          <w:szCs w:val="22"/>
          <w:lang w:val="fr-FR"/>
        </w:rPr>
        <w:t>avoir une vue d</w:t>
      </w:r>
      <w:r w:rsidR="008E532B">
        <w:rPr>
          <w:rFonts w:ascii="Arial" w:hAnsi="Arial" w:cs="Arial"/>
          <w:bCs/>
          <w:sz w:val="22"/>
          <w:szCs w:val="22"/>
          <w:lang w:val="fr-FR"/>
        </w:rPr>
        <w:t>’</w:t>
      </w:r>
      <w:r w:rsidRPr="00EB4E29">
        <w:rPr>
          <w:rFonts w:ascii="Arial" w:hAnsi="Arial" w:cs="Arial"/>
          <w:bCs/>
          <w:sz w:val="22"/>
          <w:szCs w:val="22"/>
          <w:lang w:val="fr-FR"/>
        </w:rPr>
        <w:t xml:space="preserve">ensemble du cadre </w:t>
      </w:r>
      <w:r>
        <w:rPr>
          <w:rFonts w:ascii="Arial" w:hAnsi="Arial" w:cs="Arial"/>
          <w:bCs/>
          <w:sz w:val="22"/>
          <w:szCs w:val="22"/>
          <w:lang w:val="fr-FR"/>
        </w:rPr>
        <w:t xml:space="preserve">juridique relatif à </w:t>
      </w:r>
      <w:r w:rsidRPr="00EB4E29">
        <w:rPr>
          <w:rFonts w:ascii="Arial" w:hAnsi="Arial" w:cs="Arial"/>
          <w:bCs/>
          <w:sz w:val="22"/>
          <w:szCs w:val="22"/>
          <w:lang w:val="fr-FR"/>
        </w:rPr>
        <w:t>cette question.</w:t>
      </w:r>
    </w:p>
    <w:p w14:paraId="7284DC8E"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EC7EE9">
        <w:rPr>
          <w:rFonts w:ascii="Arial" w:hAnsi="Arial" w:cs="Arial"/>
          <w:b/>
          <w:sz w:val="22"/>
          <w:szCs w:val="22"/>
          <w:lang w:val="fr-FR"/>
        </w:rPr>
        <w:t>Présidente</w:t>
      </w:r>
      <w:r>
        <w:rPr>
          <w:rFonts w:ascii="Arial" w:hAnsi="Arial" w:cs="Arial"/>
          <w:bCs/>
          <w:sz w:val="22"/>
          <w:szCs w:val="22"/>
          <w:lang w:val="fr-FR"/>
        </w:rPr>
        <w:t xml:space="preserve"> a remercié le Conseiller juridique et a poursuivi la séance avec le reste des </w:t>
      </w:r>
      <w:r>
        <w:rPr>
          <w:rFonts w:ascii="Arial" w:hAnsi="Arial" w:cs="Arial"/>
          <w:sz w:val="22"/>
          <w:szCs w:val="22"/>
          <w:lang w:val="fr-FR"/>
        </w:rPr>
        <w:t>orateurs</w:t>
      </w:r>
      <w:r>
        <w:rPr>
          <w:rFonts w:ascii="Arial" w:hAnsi="Arial" w:cs="Arial"/>
          <w:bCs/>
          <w:sz w:val="22"/>
          <w:szCs w:val="22"/>
          <w:lang w:val="fr-FR"/>
        </w:rPr>
        <w:t xml:space="preserve"> inscrits sur la liste.</w:t>
      </w:r>
    </w:p>
    <w:p w14:paraId="6E0E3702" w14:textId="2F637A2F" w:rsidR="00D9653F" w:rsidRPr="00EC7EE9"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C7EE9">
        <w:rPr>
          <w:rFonts w:ascii="Arial" w:hAnsi="Arial" w:cs="Arial"/>
          <w:bCs/>
          <w:sz w:val="22"/>
          <w:szCs w:val="22"/>
          <w:lang w:val="fr-FR"/>
        </w:rPr>
        <w:t xml:space="preserve">La délégation du </w:t>
      </w:r>
      <w:r w:rsidRPr="00EC7EE9">
        <w:rPr>
          <w:rFonts w:ascii="Arial" w:hAnsi="Arial" w:cs="Arial"/>
          <w:b/>
          <w:sz w:val="22"/>
          <w:szCs w:val="22"/>
          <w:lang w:val="fr-FR"/>
        </w:rPr>
        <w:t>Liban</w:t>
      </w:r>
      <w:r w:rsidRPr="00EC7EE9">
        <w:rPr>
          <w:rFonts w:ascii="Arial" w:hAnsi="Arial" w:cs="Arial"/>
          <w:bCs/>
          <w:sz w:val="22"/>
          <w:szCs w:val="22"/>
          <w:lang w:val="fr-FR"/>
        </w:rPr>
        <w:t xml:space="preserve"> a réitéré s</w:t>
      </w:r>
      <w:r>
        <w:rPr>
          <w:rFonts w:ascii="Arial" w:hAnsi="Arial" w:cs="Arial"/>
          <w:bCs/>
          <w:sz w:val="22"/>
          <w:szCs w:val="22"/>
          <w:lang w:val="fr-FR"/>
        </w:rPr>
        <w:t>es</w:t>
      </w:r>
      <w:r w:rsidRPr="00EC7EE9">
        <w:rPr>
          <w:rFonts w:ascii="Arial" w:hAnsi="Arial" w:cs="Arial"/>
          <w:bCs/>
          <w:sz w:val="22"/>
          <w:szCs w:val="22"/>
          <w:lang w:val="fr-FR"/>
        </w:rPr>
        <w:t xml:space="preserve"> question</w:t>
      </w:r>
      <w:r>
        <w:rPr>
          <w:rFonts w:ascii="Arial" w:hAnsi="Arial" w:cs="Arial"/>
          <w:bCs/>
          <w:sz w:val="22"/>
          <w:szCs w:val="22"/>
          <w:lang w:val="fr-FR"/>
        </w:rPr>
        <w:t>s. Q</w:t>
      </w:r>
      <w:r w:rsidRPr="00EC7EE9">
        <w:rPr>
          <w:rFonts w:ascii="Arial" w:hAnsi="Arial" w:cs="Arial"/>
          <w:bCs/>
          <w:sz w:val="22"/>
          <w:szCs w:val="22"/>
          <w:lang w:val="fr-FR"/>
        </w:rPr>
        <w:t>uelle serait la nature de la relation juridique entre le Secrétariat et le Forum des ONG ? L</w:t>
      </w:r>
      <w:r w:rsidR="008E532B">
        <w:rPr>
          <w:rFonts w:ascii="Arial" w:hAnsi="Arial" w:cs="Arial"/>
          <w:bCs/>
          <w:sz w:val="22"/>
          <w:szCs w:val="22"/>
          <w:lang w:val="fr-FR"/>
        </w:rPr>
        <w:t>’</w:t>
      </w:r>
      <w:r w:rsidRPr="00EC7EE9">
        <w:rPr>
          <w:rFonts w:ascii="Arial" w:hAnsi="Arial" w:cs="Arial"/>
          <w:bCs/>
          <w:sz w:val="22"/>
          <w:szCs w:val="22"/>
          <w:lang w:val="fr-FR"/>
        </w:rPr>
        <w:t>Assemblée peut-elle imposer au Forum une décision concernant un plan ou une stratégie ? Le Forum a-t-il le droit de refuser ces recommandations ?</w:t>
      </w:r>
    </w:p>
    <w:p w14:paraId="326138A5" w14:textId="1FCD5F5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44F2C">
        <w:rPr>
          <w:rFonts w:ascii="Arial" w:hAnsi="Arial" w:cs="Arial"/>
          <w:bCs/>
          <w:sz w:val="22"/>
          <w:szCs w:val="22"/>
          <w:lang w:val="fr-FR"/>
        </w:rPr>
        <w:t xml:space="preserve">Le </w:t>
      </w:r>
      <w:r w:rsidRPr="00C44F2C">
        <w:rPr>
          <w:rFonts w:ascii="Arial" w:hAnsi="Arial" w:cs="Arial"/>
          <w:b/>
          <w:sz w:val="22"/>
          <w:szCs w:val="22"/>
          <w:lang w:val="fr-FR"/>
        </w:rPr>
        <w:t>Conseiller juridique</w:t>
      </w:r>
      <w:r w:rsidRPr="00C44F2C">
        <w:rPr>
          <w:rFonts w:ascii="Arial" w:hAnsi="Arial" w:cs="Arial"/>
          <w:bCs/>
          <w:sz w:val="22"/>
          <w:szCs w:val="22"/>
          <w:lang w:val="fr-FR"/>
        </w:rPr>
        <w:t xml:space="preserve"> a expliqué que le Forum des ONG n</w:t>
      </w:r>
      <w:r w:rsidR="008E532B">
        <w:rPr>
          <w:rFonts w:ascii="Arial" w:hAnsi="Arial" w:cs="Arial"/>
          <w:bCs/>
          <w:sz w:val="22"/>
          <w:szCs w:val="22"/>
          <w:lang w:val="fr-FR"/>
        </w:rPr>
        <w:t>’</w:t>
      </w:r>
      <w:r w:rsidRPr="00C44F2C">
        <w:rPr>
          <w:rFonts w:ascii="Arial" w:hAnsi="Arial" w:cs="Arial"/>
          <w:bCs/>
          <w:sz w:val="22"/>
          <w:szCs w:val="22"/>
          <w:lang w:val="fr-FR"/>
        </w:rPr>
        <w:t xml:space="preserve">est mentionné ni dans la Convention ni dans les Directives opérationnelles, mais que </w:t>
      </w:r>
      <w:r>
        <w:rPr>
          <w:rFonts w:ascii="Arial" w:hAnsi="Arial" w:cs="Arial"/>
          <w:bCs/>
          <w:sz w:val="22"/>
          <w:szCs w:val="22"/>
          <w:lang w:val="fr-FR"/>
        </w:rPr>
        <w:t>les deux textes</w:t>
      </w:r>
      <w:r w:rsidRPr="00C44F2C">
        <w:rPr>
          <w:rFonts w:ascii="Arial" w:hAnsi="Arial" w:cs="Arial"/>
          <w:bCs/>
          <w:sz w:val="22"/>
          <w:szCs w:val="22"/>
          <w:lang w:val="fr-FR"/>
        </w:rPr>
        <w:t xml:space="preserve"> mentionnent l</w:t>
      </w:r>
      <w:r w:rsidR="008E532B">
        <w:rPr>
          <w:rFonts w:ascii="Arial" w:hAnsi="Arial" w:cs="Arial"/>
          <w:bCs/>
          <w:sz w:val="22"/>
          <w:szCs w:val="22"/>
          <w:lang w:val="fr-FR"/>
        </w:rPr>
        <w:t>’</w:t>
      </w:r>
      <w:r w:rsidRPr="00C44F2C">
        <w:rPr>
          <w:rFonts w:ascii="Arial" w:hAnsi="Arial" w:cs="Arial"/>
          <w:bCs/>
          <w:sz w:val="22"/>
          <w:szCs w:val="22"/>
          <w:lang w:val="fr-FR"/>
        </w:rPr>
        <w:t xml:space="preserve">accréditation des ONG. Le Forum des ONG </w:t>
      </w:r>
      <w:r>
        <w:rPr>
          <w:rFonts w:ascii="Arial" w:hAnsi="Arial" w:cs="Arial"/>
          <w:bCs/>
          <w:sz w:val="22"/>
          <w:szCs w:val="22"/>
          <w:lang w:val="fr-FR"/>
        </w:rPr>
        <w:t>était</w:t>
      </w:r>
      <w:r w:rsidRPr="00C44F2C">
        <w:rPr>
          <w:rFonts w:ascii="Arial" w:hAnsi="Arial" w:cs="Arial"/>
          <w:bCs/>
          <w:sz w:val="22"/>
          <w:szCs w:val="22"/>
          <w:lang w:val="fr-FR"/>
        </w:rPr>
        <w:t xml:space="preserve"> une association créée en marge de cette Convention et</w:t>
      </w:r>
      <w:r>
        <w:rPr>
          <w:rFonts w:ascii="Arial" w:hAnsi="Arial" w:cs="Arial"/>
          <w:bCs/>
          <w:sz w:val="22"/>
          <w:szCs w:val="22"/>
          <w:lang w:val="fr-FR"/>
        </w:rPr>
        <w:t xml:space="preserve"> </w:t>
      </w:r>
      <w:r w:rsidRPr="00C44F2C">
        <w:rPr>
          <w:rFonts w:ascii="Arial" w:hAnsi="Arial" w:cs="Arial"/>
          <w:bCs/>
          <w:sz w:val="22"/>
          <w:szCs w:val="22"/>
          <w:lang w:val="fr-FR"/>
        </w:rPr>
        <w:t>composée d</w:t>
      </w:r>
      <w:r w:rsidR="008E532B">
        <w:rPr>
          <w:rFonts w:ascii="Arial" w:hAnsi="Arial" w:cs="Arial"/>
          <w:bCs/>
          <w:sz w:val="22"/>
          <w:szCs w:val="22"/>
          <w:lang w:val="fr-FR"/>
        </w:rPr>
        <w:t>’</w:t>
      </w:r>
      <w:r w:rsidRPr="00C44F2C">
        <w:rPr>
          <w:rFonts w:ascii="Arial" w:hAnsi="Arial" w:cs="Arial"/>
          <w:bCs/>
          <w:sz w:val="22"/>
          <w:szCs w:val="22"/>
          <w:lang w:val="fr-FR"/>
        </w:rPr>
        <w:t>ONG accréditées auprès de la Convention. D</w:t>
      </w:r>
      <w:r w:rsidR="008E532B">
        <w:rPr>
          <w:rFonts w:ascii="Arial" w:hAnsi="Arial" w:cs="Arial"/>
          <w:bCs/>
          <w:sz w:val="22"/>
          <w:szCs w:val="22"/>
          <w:lang w:val="fr-FR"/>
        </w:rPr>
        <w:t>’</w:t>
      </w:r>
      <w:r w:rsidRPr="00C44F2C">
        <w:rPr>
          <w:rFonts w:ascii="Arial" w:hAnsi="Arial" w:cs="Arial"/>
          <w:bCs/>
          <w:sz w:val="22"/>
          <w:szCs w:val="22"/>
          <w:lang w:val="fr-FR"/>
        </w:rPr>
        <w:t>un point de vue juridique, ce qui import</w:t>
      </w:r>
      <w:r>
        <w:rPr>
          <w:rFonts w:ascii="Arial" w:hAnsi="Arial" w:cs="Arial"/>
          <w:bCs/>
          <w:sz w:val="22"/>
          <w:szCs w:val="22"/>
          <w:lang w:val="fr-FR"/>
        </w:rPr>
        <w:t>ait</w:t>
      </w:r>
      <w:r w:rsidRPr="00C44F2C">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était</w:t>
      </w:r>
      <w:r w:rsidRPr="00C44F2C">
        <w:rPr>
          <w:rFonts w:ascii="Arial" w:hAnsi="Arial" w:cs="Arial"/>
          <w:bCs/>
          <w:sz w:val="22"/>
          <w:szCs w:val="22"/>
          <w:lang w:val="fr-FR"/>
        </w:rPr>
        <w:t xml:space="preserve"> pas tant la relation avec le Forum des ONG, qui s</w:t>
      </w:r>
      <w:r w:rsidR="008E532B">
        <w:rPr>
          <w:rFonts w:ascii="Arial" w:hAnsi="Arial" w:cs="Arial"/>
          <w:bCs/>
          <w:sz w:val="22"/>
          <w:szCs w:val="22"/>
          <w:lang w:val="fr-FR"/>
        </w:rPr>
        <w:t>’</w:t>
      </w:r>
      <w:r>
        <w:rPr>
          <w:rFonts w:ascii="Arial" w:hAnsi="Arial" w:cs="Arial"/>
          <w:bCs/>
          <w:sz w:val="22"/>
          <w:szCs w:val="22"/>
          <w:lang w:val="fr-FR"/>
        </w:rPr>
        <w:t>était</w:t>
      </w:r>
      <w:r w:rsidRPr="00C44F2C">
        <w:rPr>
          <w:rFonts w:ascii="Arial" w:hAnsi="Arial" w:cs="Arial"/>
          <w:bCs/>
          <w:sz w:val="22"/>
          <w:szCs w:val="22"/>
          <w:lang w:val="fr-FR"/>
        </w:rPr>
        <w:t xml:space="preserve"> développée dans la pratique, mais en fait la relation avec les ONG accréditées </w:t>
      </w:r>
      <w:r>
        <w:rPr>
          <w:rFonts w:ascii="Arial" w:hAnsi="Arial" w:cs="Arial"/>
          <w:bCs/>
          <w:sz w:val="22"/>
          <w:szCs w:val="22"/>
          <w:lang w:val="fr-FR"/>
        </w:rPr>
        <w:t xml:space="preserve">exerçant une </w:t>
      </w:r>
      <w:r w:rsidRPr="00C44F2C">
        <w:rPr>
          <w:rFonts w:ascii="Arial" w:hAnsi="Arial" w:cs="Arial"/>
          <w:bCs/>
          <w:sz w:val="22"/>
          <w:szCs w:val="22"/>
          <w:lang w:val="fr-FR"/>
        </w:rPr>
        <w:t>fonction consultative. C</w:t>
      </w:r>
      <w:r w:rsidR="008E532B">
        <w:rPr>
          <w:rFonts w:ascii="Arial" w:hAnsi="Arial" w:cs="Arial"/>
          <w:bCs/>
          <w:sz w:val="22"/>
          <w:szCs w:val="22"/>
          <w:lang w:val="fr-FR"/>
        </w:rPr>
        <w:t>’</w:t>
      </w:r>
      <w:r>
        <w:rPr>
          <w:rFonts w:ascii="Arial" w:hAnsi="Arial" w:cs="Arial"/>
          <w:bCs/>
          <w:sz w:val="22"/>
          <w:szCs w:val="22"/>
          <w:lang w:val="fr-FR"/>
        </w:rPr>
        <w:t>était</w:t>
      </w:r>
      <w:r w:rsidRPr="00C44F2C">
        <w:rPr>
          <w:rFonts w:ascii="Arial" w:hAnsi="Arial" w:cs="Arial"/>
          <w:bCs/>
          <w:sz w:val="22"/>
          <w:szCs w:val="22"/>
          <w:lang w:val="fr-FR"/>
        </w:rPr>
        <w:t xml:space="preserve"> donc en ces termes que la question se pos</w:t>
      </w:r>
      <w:r>
        <w:rPr>
          <w:rFonts w:ascii="Arial" w:hAnsi="Arial" w:cs="Arial"/>
          <w:bCs/>
          <w:sz w:val="22"/>
          <w:szCs w:val="22"/>
          <w:lang w:val="fr-FR"/>
        </w:rPr>
        <w:t>ait</w:t>
      </w:r>
      <w:r w:rsidRPr="00C44F2C">
        <w:rPr>
          <w:rFonts w:ascii="Arial" w:hAnsi="Arial" w:cs="Arial"/>
          <w:bCs/>
          <w:sz w:val="22"/>
          <w:szCs w:val="22"/>
          <w:lang w:val="fr-FR"/>
        </w:rPr>
        <w:t>. Quant à la question de savoir ce qui p</w:t>
      </w:r>
      <w:r>
        <w:rPr>
          <w:rFonts w:ascii="Arial" w:hAnsi="Arial" w:cs="Arial"/>
          <w:bCs/>
          <w:sz w:val="22"/>
          <w:szCs w:val="22"/>
          <w:lang w:val="fr-FR"/>
        </w:rPr>
        <w:t>ouvait</w:t>
      </w:r>
      <w:r w:rsidRPr="00C44F2C">
        <w:rPr>
          <w:rFonts w:ascii="Arial" w:hAnsi="Arial" w:cs="Arial"/>
          <w:bCs/>
          <w:sz w:val="22"/>
          <w:szCs w:val="22"/>
          <w:lang w:val="fr-FR"/>
        </w:rPr>
        <w:t xml:space="preserve"> être imposé ou refusé, le Conseiller juridique a noté que la proposition précédente, qui avait été adoptée par l</w:t>
      </w:r>
      <w:r w:rsidR="008E532B">
        <w:rPr>
          <w:rFonts w:ascii="Arial" w:hAnsi="Arial" w:cs="Arial"/>
          <w:bCs/>
          <w:sz w:val="22"/>
          <w:szCs w:val="22"/>
          <w:lang w:val="fr-FR"/>
        </w:rPr>
        <w:t>’</w:t>
      </w:r>
      <w:r w:rsidRPr="00C44F2C">
        <w:rPr>
          <w:rFonts w:ascii="Arial" w:hAnsi="Arial" w:cs="Arial"/>
          <w:bCs/>
          <w:sz w:val="22"/>
          <w:szCs w:val="22"/>
          <w:lang w:val="fr-FR"/>
        </w:rPr>
        <w:t>Assemblée, concernait les critères d</w:t>
      </w:r>
      <w:r w:rsidR="008E532B">
        <w:rPr>
          <w:rFonts w:ascii="Arial" w:hAnsi="Arial" w:cs="Arial"/>
          <w:bCs/>
          <w:sz w:val="22"/>
          <w:szCs w:val="22"/>
          <w:lang w:val="fr-FR"/>
        </w:rPr>
        <w:t>’</w:t>
      </w:r>
      <w:r w:rsidRPr="00C44F2C">
        <w:rPr>
          <w:rFonts w:ascii="Arial" w:hAnsi="Arial" w:cs="Arial"/>
          <w:bCs/>
          <w:sz w:val="22"/>
          <w:szCs w:val="22"/>
          <w:lang w:val="fr-FR"/>
        </w:rPr>
        <w:t xml:space="preserve">accréditation des ONG. En tant que tel, en réalité, cela </w:t>
      </w:r>
      <w:r>
        <w:rPr>
          <w:rFonts w:ascii="Arial" w:hAnsi="Arial" w:cs="Arial"/>
          <w:bCs/>
          <w:sz w:val="22"/>
          <w:szCs w:val="22"/>
          <w:lang w:val="fr-FR"/>
        </w:rPr>
        <w:t>était</w:t>
      </w:r>
      <w:r w:rsidRPr="00C44F2C">
        <w:rPr>
          <w:rFonts w:ascii="Arial" w:hAnsi="Arial" w:cs="Arial"/>
          <w:bCs/>
          <w:sz w:val="22"/>
          <w:szCs w:val="22"/>
          <w:lang w:val="fr-FR"/>
        </w:rPr>
        <w:t xml:space="preserve"> déjà imposé aux ONG puisque l</w:t>
      </w:r>
      <w:r w:rsidR="008E532B">
        <w:rPr>
          <w:rFonts w:ascii="Arial" w:hAnsi="Arial" w:cs="Arial"/>
          <w:bCs/>
          <w:sz w:val="22"/>
          <w:szCs w:val="22"/>
          <w:lang w:val="fr-FR"/>
        </w:rPr>
        <w:t>’</w:t>
      </w:r>
      <w:r w:rsidRPr="00C44F2C">
        <w:rPr>
          <w:rFonts w:ascii="Arial" w:hAnsi="Arial" w:cs="Arial"/>
          <w:bCs/>
          <w:sz w:val="22"/>
          <w:szCs w:val="22"/>
          <w:lang w:val="fr-FR"/>
        </w:rPr>
        <w:t>Assemblée a le pouvoir</w:t>
      </w:r>
      <w:r>
        <w:rPr>
          <w:rFonts w:ascii="Arial" w:hAnsi="Arial" w:cs="Arial"/>
          <w:bCs/>
          <w:sz w:val="22"/>
          <w:szCs w:val="22"/>
          <w:lang w:val="fr-FR"/>
        </w:rPr>
        <w:t xml:space="preserve">, </w:t>
      </w:r>
      <w:r w:rsidRPr="00C44F2C">
        <w:rPr>
          <w:rFonts w:ascii="Arial" w:hAnsi="Arial" w:cs="Arial"/>
          <w:bCs/>
          <w:sz w:val="22"/>
          <w:szCs w:val="22"/>
          <w:lang w:val="fr-FR"/>
        </w:rPr>
        <w:t>sur la base des recommandations qui lui sont faites par le Comité en première instance</w:t>
      </w:r>
      <w:r>
        <w:rPr>
          <w:rFonts w:ascii="Arial" w:hAnsi="Arial" w:cs="Arial"/>
          <w:bCs/>
          <w:sz w:val="22"/>
          <w:szCs w:val="22"/>
          <w:lang w:val="fr-FR"/>
        </w:rPr>
        <w:t xml:space="preserve">, </w:t>
      </w:r>
      <w:r w:rsidRPr="00C44F2C">
        <w:rPr>
          <w:rFonts w:ascii="Arial" w:hAnsi="Arial" w:cs="Arial"/>
          <w:bCs/>
          <w:sz w:val="22"/>
          <w:szCs w:val="22"/>
          <w:lang w:val="fr-FR"/>
        </w:rPr>
        <w:t>d</w:t>
      </w:r>
      <w:r w:rsidR="008E532B">
        <w:rPr>
          <w:rFonts w:ascii="Arial" w:hAnsi="Arial" w:cs="Arial"/>
          <w:bCs/>
          <w:sz w:val="22"/>
          <w:szCs w:val="22"/>
          <w:lang w:val="fr-FR"/>
        </w:rPr>
        <w:t>’</w:t>
      </w:r>
      <w:r w:rsidRPr="00C44F2C">
        <w:rPr>
          <w:rFonts w:ascii="Arial" w:hAnsi="Arial" w:cs="Arial"/>
          <w:bCs/>
          <w:sz w:val="22"/>
          <w:szCs w:val="22"/>
          <w:lang w:val="fr-FR"/>
        </w:rPr>
        <w:t>établir les critères d</w:t>
      </w:r>
      <w:r w:rsidR="008E532B">
        <w:rPr>
          <w:rFonts w:ascii="Arial" w:hAnsi="Arial" w:cs="Arial"/>
          <w:bCs/>
          <w:sz w:val="22"/>
          <w:szCs w:val="22"/>
          <w:lang w:val="fr-FR"/>
        </w:rPr>
        <w:t>’</w:t>
      </w:r>
      <w:r w:rsidRPr="00C44F2C">
        <w:rPr>
          <w:rFonts w:ascii="Arial" w:hAnsi="Arial" w:cs="Arial"/>
          <w:bCs/>
          <w:sz w:val="22"/>
          <w:szCs w:val="22"/>
          <w:lang w:val="fr-FR"/>
        </w:rPr>
        <w:t>accréditation, et ensuite, de prendre la décision sur l</w:t>
      </w:r>
      <w:r w:rsidR="008E532B">
        <w:rPr>
          <w:rFonts w:ascii="Arial" w:hAnsi="Arial" w:cs="Arial"/>
          <w:bCs/>
          <w:sz w:val="22"/>
          <w:szCs w:val="22"/>
          <w:lang w:val="fr-FR"/>
        </w:rPr>
        <w:t>’</w:t>
      </w:r>
      <w:r w:rsidRPr="00C44F2C">
        <w:rPr>
          <w:rFonts w:ascii="Arial" w:hAnsi="Arial" w:cs="Arial"/>
          <w:bCs/>
          <w:sz w:val="22"/>
          <w:szCs w:val="22"/>
          <w:lang w:val="fr-FR"/>
        </w:rPr>
        <w:t>accréditation des ONG.</w:t>
      </w:r>
    </w:p>
    <w:p w14:paraId="56C6E197" w14:textId="171BFD7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21966">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121966">
        <w:rPr>
          <w:rFonts w:ascii="Arial" w:hAnsi="Arial" w:cs="Arial"/>
          <w:b/>
          <w:sz w:val="22"/>
          <w:szCs w:val="22"/>
          <w:lang w:val="fr-FR"/>
        </w:rPr>
        <w:t>Estonie</w:t>
      </w:r>
      <w:r w:rsidRPr="00121966">
        <w:rPr>
          <w:rFonts w:ascii="Arial" w:hAnsi="Arial" w:cs="Arial"/>
          <w:bCs/>
          <w:sz w:val="22"/>
          <w:szCs w:val="22"/>
          <w:lang w:val="fr-FR"/>
        </w:rPr>
        <w:t xml:space="preserve"> est revenue sur la notion de compétence et d</w:t>
      </w:r>
      <w:r w:rsidR="008E532B">
        <w:rPr>
          <w:rFonts w:ascii="Arial" w:hAnsi="Arial" w:cs="Arial"/>
          <w:bCs/>
          <w:sz w:val="22"/>
          <w:szCs w:val="22"/>
          <w:lang w:val="fr-FR"/>
        </w:rPr>
        <w:t>’</w:t>
      </w:r>
      <w:r w:rsidRPr="00121966">
        <w:rPr>
          <w:rFonts w:ascii="Arial" w:hAnsi="Arial" w:cs="Arial"/>
          <w:bCs/>
          <w:sz w:val="22"/>
          <w:szCs w:val="22"/>
          <w:lang w:val="fr-FR"/>
        </w:rPr>
        <w:t xml:space="preserve">expertise dans les différents domaines du </w:t>
      </w:r>
      <w:r w:rsidR="0064242E">
        <w:rPr>
          <w:rFonts w:ascii="Arial" w:eastAsia="SimSun" w:hAnsi="Arial" w:cs="Arial"/>
          <w:bCs/>
          <w:sz w:val="22"/>
          <w:szCs w:val="22"/>
          <w:lang w:val="fr-FR" w:eastAsia="en-US"/>
        </w:rPr>
        <w:t>patrimoine culturel immatériel</w:t>
      </w:r>
      <w:r w:rsidRPr="00121966">
        <w:rPr>
          <w:rFonts w:ascii="Arial" w:hAnsi="Arial" w:cs="Arial"/>
          <w:bCs/>
          <w:sz w:val="22"/>
          <w:szCs w:val="22"/>
          <w:lang w:val="fr-FR"/>
        </w:rPr>
        <w:t>, car il s</w:t>
      </w:r>
      <w:r w:rsidR="008E532B">
        <w:rPr>
          <w:rFonts w:ascii="Arial" w:hAnsi="Arial" w:cs="Arial"/>
          <w:bCs/>
          <w:sz w:val="22"/>
          <w:szCs w:val="22"/>
          <w:lang w:val="fr-FR"/>
        </w:rPr>
        <w:t>’</w:t>
      </w:r>
      <w:r w:rsidRPr="00121966">
        <w:rPr>
          <w:rFonts w:ascii="Arial" w:hAnsi="Arial" w:cs="Arial"/>
          <w:bCs/>
          <w:sz w:val="22"/>
          <w:szCs w:val="22"/>
          <w:lang w:val="fr-FR"/>
        </w:rPr>
        <w:t>agi</w:t>
      </w:r>
      <w:r>
        <w:rPr>
          <w:rFonts w:ascii="Arial" w:hAnsi="Arial" w:cs="Arial"/>
          <w:bCs/>
          <w:sz w:val="22"/>
          <w:szCs w:val="22"/>
          <w:lang w:val="fr-FR"/>
        </w:rPr>
        <w:t>ssai</w:t>
      </w:r>
      <w:r w:rsidRPr="00121966">
        <w:rPr>
          <w:rFonts w:ascii="Arial" w:hAnsi="Arial" w:cs="Arial"/>
          <w:bCs/>
          <w:sz w:val="22"/>
          <w:szCs w:val="22"/>
          <w:lang w:val="fr-FR"/>
        </w:rPr>
        <w:t>t également d</w:t>
      </w:r>
      <w:r w:rsidR="008E532B">
        <w:rPr>
          <w:rFonts w:ascii="Arial" w:hAnsi="Arial" w:cs="Arial"/>
          <w:bCs/>
          <w:sz w:val="22"/>
          <w:szCs w:val="22"/>
          <w:lang w:val="fr-FR"/>
        </w:rPr>
        <w:t>’</w:t>
      </w:r>
      <w:r w:rsidRPr="00121966">
        <w:rPr>
          <w:rFonts w:ascii="Arial" w:hAnsi="Arial" w:cs="Arial"/>
          <w:bCs/>
          <w:sz w:val="22"/>
          <w:szCs w:val="22"/>
          <w:lang w:val="fr-FR"/>
        </w:rPr>
        <w:t xml:space="preserve">une considération importante, </w:t>
      </w:r>
      <w:r>
        <w:rPr>
          <w:rFonts w:ascii="Arial" w:hAnsi="Arial" w:cs="Arial"/>
          <w:bCs/>
          <w:sz w:val="22"/>
          <w:szCs w:val="22"/>
          <w:lang w:val="fr-FR"/>
        </w:rPr>
        <w:t xml:space="preserve">dont on avait débattu </w:t>
      </w:r>
      <w:r w:rsidRPr="00121966">
        <w:rPr>
          <w:rFonts w:ascii="Arial" w:hAnsi="Arial" w:cs="Arial"/>
          <w:bCs/>
          <w:sz w:val="22"/>
          <w:szCs w:val="22"/>
          <w:lang w:val="fr-FR"/>
        </w:rPr>
        <w:t>précédemment. L</w:t>
      </w:r>
      <w:r w:rsidR="008E532B">
        <w:rPr>
          <w:rFonts w:ascii="Arial" w:hAnsi="Arial" w:cs="Arial"/>
          <w:bCs/>
          <w:sz w:val="22"/>
          <w:szCs w:val="22"/>
          <w:lang w:val="fr-FR"/>
        </w:rPr>
        <w:t>’</w:t>
      </w:r>
      <w:r w:rsidRPr="00121966">
        <w:rPr>
          <w:rFonts w:ascii="Arial" w:hAnsi="Arial" w:cs="Arial"/>
          <w:bCs/>
          <w:sz w:val="22"/>
          <w:szCs w:val="22"/>
          <w:lang w:val="fr-FR"/>
        </w:rPr>
        <w:t>Estonie n</w:t>
      </w:r>
      <w:r>
        <w:rPr>
          <w:rFonts w:ascii="Arial" w:hAnsi="Arial" w:cs="Arial"/>
          <w:bCs/>
          <w:sz w:val="22"/>
          <w:szCs w:val="22"/>
          <w:lang w:val="fr-FR"/>
        </w:rPr>
        <w:t xml:space="preserve">e </w:t>
      </w:r>
      <w:r w:rsidRPr="00121966">
        <w:rPr>
          <w:rFonts w:ascii="Arial" w:hAnsi="Arial" w:cs="Arial"/>
          <w:bCs/>
          <w:sz w:val="22"/>
          <w:szCs w:val="22"/>
          <w:lang w:val="fr-FR"/>
        </w:rPr>
        <w:t>souten</w:t>
      </w:r>
      <w:r>
        <w:rPr>
          <w:rFonts w:ascii="Arial" w:hAnsi="Arial" w:cs="Arial"/>
          <w:bCs/>
          <w:sz w:val="22"/>
          <w:szCs w:val="22"/>
          <w:lang w:val="fr-FR"/>
        </w:rPr>
        <w:t>ait pas</w:t>
      </w:r>
      <w:r w:rsidRPr="00121966">
        <w:rPr>
          <w:rFonts w:ascii="Arial" w:hAnsi="Arial" w:cs="Arial"/>
          <w:bCs/>
          <w:sz w:val="22"/>
          <w:szCs w:val="22"/>
          <w:lang w:val="fr-FR"/>
        </w:rPr>
        <w:t xml:space="preserve"> l</w:t>
      </w:r>
      <w:r w:rsidR="008E532B">
        <w:rPr>
          <w:rFonts w:ascii="Arial" w:hAnsi="Arial" w:cs="Arial"/>
          <w:bCs/>
          <w:sz w:val="22"/>
          <w:szCs w:val="22"/>
          <w:lang w:val="fr-FR"/>
        </w:rPr>
        <w:t>’</w:t>
      </w:r>
      <w:r w:rsidRPr="00121966">
        <w:rPr>
          <w:rFonts w:ascii="Arial" w:hAnsi="Arial" w:cs="Arial"/>
          <w:bCs/>
          <w:sz w:val="22"/>
          <w:szCs w:val="22"/>
          <w:lang w:val="fr-FR"/>
        </w:rPr>
        <w:t xml:space="preserve">amendement proposé par la Palestine. Les ONG </w:t>
      </w:r>
      <w:r>
        <w:rPr>
          <w:rFonts w:ascii="Arial" w:hAnsi="Arial" w:cs="Arial"/>
          <w:bCs/>
          <w:sz w:val="22"/>
          <w:szCs w:val="22"/>
          <w:lang w:val="fr-FR"/>
        </w:rPr>
        <w:t>étaient</w:t>
      </w:r>
      <w:r w:rsidRPr="00121966">
        <w:rPr>
          <w:rFonts w:ascii="Arial" w:hAnsi="Arial" w:cs="Arial"/>
          <w:bCs/>
          <w:sz w:val="22"/>
          <w:szCs w:val="22"/>
          <w:lang w:val="fr-FR"/>
        </w:rPr>
        <w:t xml:space="preserve"> non gouvernementales par définition et ce qui compt</w:t>
      </w:r>
      <w:r>
        <w:rPr>
          <w:rFonts w:ascii="Arial" w:hAnsi="Arial" w:cs="Arial"/>
          <w:bCs/>
          <w:sz w:val="22"/>
          <w:szCs w:val="22"/>
          <w:lang w:val="fr-FR"/>
        </w:rPr>
        <w:t>ait</w:t>
      </w:r>
      <w:r w:rsidRPr="00121966">
        <w:rPr>
          <w:rFonts w:ascii="Arial" w:hAnsi="Arial" w:cs="Arial"/>
          <w:bCs/>
          <w:sz w:val="22"/>
          <w:szCs w:val="22"/>
          <w:lang w:val="fr-FR"/>
        </w:rPr>
        <w:t>, c</w:t>
      </w:r>
      <w:r w:rsidR="008E532B">
        <w:rPr>
          <w:rFonts w:ascii="Arial" w:hAnsi="Arial" w:cs="Arial"/>
          <w:bCs/>
          <w:sz w:val="22"/>
          <w:szCs w:val="22"/>
          <w:lang w:val="fr-FR"/>
        </w:rPr>
        <w:t>’</w:t>
      </w:r>
      <w:r>
        <w:rPr>
          <w:rFonts w:ascii="Arial" w:hAnsi="Arial" w:cs="Arial"/>
          <w:bCs/>
          <w:sz w:val="22"/>
          <w:szCs w:val="22"/>
          <w:lang w:val="fr-FR"/>
        </w:rPr>
        <w:t>était</w:t>
      </w:r>
      <w:r w:rsidRPr="00121966">
        <w:rPr>
          <w:rFonts w:ascii="Arial" w:hAnsi="Arial" w:cs="Arial"/>
          <w:bCs/>
          <w:sz w:val="22"/>
          <w:szCs w:val="22"/>
          <w:lang w:val="fr-FR"/>
        </w:rPr>
        <w:t xml:space="preserve"> leur compétence et leur expertise avérées dans les différents domaines du </w:t>
      </w:r>
      <w:r w:rsidR="0064242E">
        <w:rPr>
          <w:rFonts w:ascii="Arial" w:eastAsia="SimSun" w:hAnsi="Arial" w:cs="Arial"/>
          <w:bCs/>
          <w:sz w:val="22"/>
          <w:szCs w:val="22"/>
          <w:lang w:val="fr-FR" w:eastAsia="en-US"/>
        </w:rPr>
        <w:t>patrimoine culturel immatériel</w:t>
      </w:r>
      <w:r w:rsidRPr="00121966">
        <w:rPr>
          <w:rFonts w:ascii="Arial" w:hAnsi="Arial" w:cs="Arial"/>
          <w:bCs/>
          <w:sz w:val="22"/>
          <w:szCs w:val="22"/>
          <w:lang w:val="fr-FR"/>
        </w:rPr>
        <w:t xml:space="preserve">. De nombreuses ONG </w:t>
      </w:r>
      <w:r>
        <w:rPr>
          <w:rFonts w:ascii="Arial" w:hAnsi="Arial" w:cs="Arial"/>
          <w:bCs/>
          <w:sz w:val="22"/>
          <w:szCs w:val="22"/>
          <w:lang w:val="fr-FR"/>
        </w:rPr>
        <w:t>avaient</w:t>
      </w:r>
      <w:r w:rsidRPr="00121966">
        <w:rPr>
          <w:rFonts w:ascii="Arial" w:hAnsi="Arial" w:cs="Arial"/>
          <w:bCs/>
          <w:sz w:val="22"/>
          <w:szCs w:val="22"/>
          <w:lang w:val="fr-FR"/>
        </w:rPr>
        <w:t xml:space="preserve"> également une nature régionale ou internationale et leur domicil</w:t>
      </w:r>
      <w:r>
        <w:rPr>
          <w:rFonts w:ascii="Arial" w:hAnsi="Arial" w:cs="Arial"/>
          <w:bCs/>
          <w:sz w:val="22"/>
          <w:szCs w:val="22"/>
          <w:lang w:val="fr-FR"/>
        </w:rPr>
        <w:t>iation</w:t>
      </w:r>
      <w:r w:rsidRPr="00121966">
        <w:rPr>
          <w:rFonts w:ascii="Arial" w:hAnsi="Arial" w:cs="Arial"/>
          <w:bCs/>
          <w:sz w:val="22"/>
          <w:szCs w:val="22"/>
          <w:lang w:val="fr-FR"/>
        </w:rPr>
        <w:t xml:space="preserve"> ne les li</w:t>
      </w:r>
      <w:r>
        <w:rPr>
          <w:rFonts w:ascii="Arial" w:hAnsi="Arial" w:cs="Arial"/>
          <w:bCs/>
          <w:sz w:val="22"/>
          <w:szCs w:val="22"/>
          <w:lang w:val="fr-FR"/>
        </w:rPr>
        <w:t>ait</w:t>
      </w:r>
      <w:r w:rsidRPr="00121966">
        <w:rPr>
          <w:rFonts w:ascii="Arial" w:hAnsi="Arial" w:cs="Arial"/>
          <w:bCs/>
          <w:sz w:val="22"/>
          <w:szCs w:val="22"/>
          <w:lang w:val="fr-FR"/>
        </w:rPr>
        <w:t xml:space="preserve"> pas exclusivement à un pays particulier. L</w:t>
      </w:r>
      <w:r w:rsidR="008E532B">
        <w:rPr>
          <w:rFonts w:ascii="Arial" w:hAnsi="Arial" w:cs="Arial"/>
          <w:bCs/>
          <w:sz w:val="22"/>
          <w:szCs w:val="22"/>
          <w:lang w:val="fr-FR"/>
        </w:rPr>
        <w:t>’</w:t>
      </w:r>
      <w:r w:rsidRPr="00121966">
        <w:rPr>
          <w:rFonts w:ascii="Arial" w:hAnsi="Arial" w:cs="Arial"/>
          <w:bCs/>
          <w:sz w:val="22"/>
          <w:szCs w:val="22"/>
          <w:lang w:val="fr-FR"/>
        </w:rPr>
        <w:t>Estonie mainten</w:t>
      </w:r>
      <w:r>
        <w:rPr>
          <w:rFonts w:ascii="Arial" w:hAnsi="Arial" w:cs="Arial"/>
          <w:bCs/>
          <w:sz w:val="22"/>
          <w:szCs w:val="22"/>
          <w:lang w:val="fr-FR"/>
        </w:rPr>
        <w:t>ait donc</w:t>
      </w:r>
      <w:r w:rsidRPr="00121966">
        <w:rPr>
          <w:rFonts w:ascii="Arial" w:hAnsi="Arial" w:cs="Arial"/>
          <w:bCs/>
          <w:sz w:val="22"/>
          <w:szCs w:val="22"/>
          <w:lang w:val="fr-FR"/>
        </w:rPr>
        <w:t xml:space="preserve"> sa position.</w:t>
      </w:r>
    </w:p>
    <w:p w14:paraId="26C93AEB" w14:textId="5832BA9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A397B">
        <w:rPr>
          <w:rFonts w:ascii="Arial" w:hAnsi="Arial" w:cs="Arial"/>
          <w:bCs/>
          <w:sz w:val="22"/>
          <w:szCs w:val="22"/>
          <w:lang w:val="fr-FR"/>
        </w:rPr>
        <w:t xml:space="preserve">La délégation de la </w:t>
      </w:r>
      <w:r w:rsidRPr="002A397B">
        <w:rPr>
          <w:rFonts w:ascii="Arial" w:hAnsi="Arial" w:cs="Arial"/>
          <w:b/>
          <w:sz w:val="22"/>
          <w:szCs w:val="22"/>
          <w:lang w:val="fr-FR"/>
        </w:rPr>
        <w:t>République arabe syrienne</w:t>
      </w:r>
      <w:r w:rsidRPr="002A397B">
        <w:rPr>
          <w:rFonts w:ascii="Arial" w:hAnsi="Arial" w:cs="Arial"/>
          <w:bCs/>
          <w:sz w:val="22"/>
          <w:szCs w:val="22"/>
          <w:lang w:val="fr-FR"/>
        </w:rPr>
        <w:t xml:space="preserve"> a remercié la Présidente pour son excellente gestion des travaux de l</w:t>
      </w:r>
      <w:r w:rsidR="008E532B">
        <w:rPr>
          <w:rFonts w:ascii="Arial" w:hAnsi="Arial" w:cs="Arial"/>
          <w:bCs/>
          <w:sz w:val="22"/>
          <w:szCs w:val="22"/>
          <w:lang w:val="fr-FR"/>
        </w:rPr>
        <w:t>’</w:t>
      </w:r>
      <w:r w:rsidRPr="002A397B">
        <w:rPr>
          <w:rFonts w:ascii="Arial" w:hAnsi="Arial" w:cs="Arial"/>
          <w:bCs/>
          <w:sz w:val="22"/>
          <w:szCs w:val="22"/>
          <w:lang w:val="fr-FR"/>
        </w:rPr>
        <w:t xml:space="preserve">Assemblée, ainsi que le Conseiller juridique pour ses explications </w:t>
      </w:r>
      <w:r>
        <w:rPr>
          <w:rFonts w:ascii="Arial" w:hAnsi="Arial" w:cs="Arial"/>
          <w:bCs/>
          <w:sz w:val="22"/>
          <w:szCs w:val="22"/>
          <w:lang w:val="fr-FR"/>
        </w:rPr>
        <w:t>exhaustives</w:t>
      </w:r>
      <w:r w:rsidRPr="002A397B">
        <w:rPr>
          <w:rFonts w:ascii="Arial" w:hAnsi="Arial" w:cs="Arial"/>
          <w:bCs/>
          <w:sz w:val="22"/>
          <w:szCs w:val="22"/>
          <w:lang w:val="fr-FR"/>
        </w:rPr>
        <w:t>. La délégation est revenue sur l</w:t>
      </w:r>
      <w:r w:rsidR="008E532B">
        <w:rPr>
          <w:rFonts w:ascii="Arial" w:hAnsi="Arial" w:cs="Arial"/>
          <w:bCs/>
          <w:sz w:val="22"/>
          <w:szCs w:val="22"/>
          <w:lang w:val="fr-FR"/>
        </w:rPr>
        <w:t>’</w:t>
      </w:r>
      <w:r w:rsidRPr="002A397B">
        <w:rPr>
          <w:rFonts w:ascii="Arial" w:hAnsi="Arial" w:cs="Arial"/>
          <w:bCs/>
          <w:sz w:val="22"/>
          <w:szCs w:val="22"/>
          <w:lang w:val="fr-FR"/>
        </w:rPr>
        <w:t>intervention d</w:t>
      </w:r>
      <w:r w:rsidR="008E532B">
        <w:rPr>
          <w:rFonts w:ascii="Arial" w:hAnsi="Arial" w:cs="Arial"/>
          <w:bCs/>
          <w:sz w:val="22"/>
          <w:szCs w:val="22"/>
          <w:lang w:val="fr-FR"/>
        </w:rPr>
        <w:t>’</w:t>
      </w:r>
      <w:r w:rsidRPr="002A397B">
        <w:rPr>
          <w:rFonts w:ascii="Arial" w:hAnsi="Arial" w:cs="Arial"/>
          <w:bCs/>
          <w:sz w:val="22"/>
          <w:szCs w:val="22"/>
          <w:lang w:val="fr-FR"/>
        </w:rPr>
        <w:t xml:space="preserve">Oman qui </w:t>
      </w:r>
      <w:r>
        <w:rPr>
          <w:rFonts w:ascii="Arial" w:hAnsi="Arial" w:cs="Arial"/>
          <w:bCs/>
          <w:sz w:val="22"/>
          <w:szCs w:val="22"/>
          <w:lang w:val="fr-FR"/>
        </w:rPr>
        <w:t xml:space="preserve">établissait une </w:t>
      </w:r>
      <w:r w:rsidRPr="002A397B">
        <w:rPr>
          <w:rFonts w:ascii="Arial" w:hAnsi="Arial" w:cs="Arial"/>
          <w:bCs/>
          <w:sz w:val="22"/>
          <w:szCs w:val="22"/>
          <w:lang w:val="fr-FR"/>
        </w:rPr>
        <w:t>distinction entre l</w:t>
      </w:r>
      <w:r w:rsidR="008E532B">
        <w:rPr>
          <w:rFonts w:ascii="Arial" w:hAnsi="Arial" w:cs="Arial"/>
          <w:bCs/>
          <w:sz w:val="22"/>
          <w:szCs w:val="22"/>
          <w:lang w:val="fr-FR"/>
        </w:rPr>
        <w:t>’</w:t>
      </w:r>
      <w:r w:rsidRPr="002A397B">
        <w:rPr>
          <w:rFonts w:ascii="Arial" w:hAnsi="Arial" w:cs="Arial"/>
          <w:bCs/>
          <w:sz w:val="22"/>
          <w:szCs w:val="22"/>
          <w:lang w:val="fr-FR"/>
        </w:rPr>
        <w:t>accréditation et la représentation au sein de l</w:t>
      </w:r>
      <w:r w:rsidR="008E532B">
        <w:rPr>
          <w:rFonts w:ascii="Arial" w:hAnsi="Arial" w:cs="Arial"/>
          <w:bCs/>
          <w:sz w:val="22"/>
          <w:szCs w:val="22"/>
          <w:lang w:val="fr-FR"/>
        </w:rPr>
        <w:t>’</w:t>
      </w:r>
      <w:r w:rsidRPr="002A397B">
        <w:rPr>
          <w:rFonts w:ascii="Arial" w:hAnsi="Arial" w:cs="Arial"/>
          <w:bCs/>
          <w:sz w:val="22"/>
          <w:szCs w:val="22"/>
          <w:lang w:val="fr-FR"/>
        </w:rPr>
        <w:t>Organe d</w:t>
      </w:r>
      <w:r w:rsidR="008E532B">
        <w:rPr>
          <w:rFonts w:ascii="Arial" w:hAnsi="Arial" w:cs="Arial"/>
          <w:bCs/>
          <w:sz w:val="22"/>
          <w:szCs w:val="22"/>
          <w:lang w:val="fr-FR"/>
        </w:rPr>
        <w:t>’</w:t>
      </w:r>
      <w:r w:rsidRPr="002A397B">
        <w:rPr>
          <w:rFonts w:ascii="Arial" w:hAnsi="Arial" w:cs="Arial"/>
          <w:bCs/>
          <w:sz w:val="22"/>
          <w:szCs w:val="22"/>
          <w:lang w:val="fr-FR"/>
        </w:rPr>
        <w:t>évaluation, ce qui constitu</w:t>
      </w:r>
      <w:r>
        <w:rPr>
          <w:rFonts w:ascii="Arial" w:hAnsi="Arial" w:cs="Arial"/>
          <w:bCs/>
          <w:sz w:val="22"/>
          <w:szCs w:val="22"/>
          <w:lang w:val="fr-FR"/>
        </w:rPr>
        <w:t>ait</w:t>
      </w:r>
      <w:r w:rsidRPr="002A397B">
        <w:rPr>
          <w:rFonts w:ascii="Arial" w:hAnsi="Arial" w:cs="Arial"/>
          <w:bCs/>
          <w:sz w:val="22"/>
          <w:szCs w:val="22"/>
          <w:lang w:val="fr-FR"/>
        </w:rPr>
        <w:t xml:space="preserve"> une perspective intéressante. La Syrie soutenait la proposition faite par la Palestine</w:t>
      </w:r>
      <w:r>
        <w:rPr>
          <w:rFonts w:ascii="Arial" w:hAnsi="Arial" w:cs="Arial"/>
          <w:bCs/>
          <w:sz w:val="22"/>
          <w:szCs w:val="22"/>
          <w:lang w:val="fr-FR"/>
        </w:rPr>
        <w:t>,</w:t>
      </w:r>
      <w:r w:rsidRPr="002A397B">
        <w:rPr>
          <w:rFonts w:ascii="Arial" w:hAnsi="Arial" w:cs="Arial"/>
          <w:bCs/>
          <w:sz w:val="22"/>
          <w:szCs w:val="22"/>
          <w:lang w:val="fr-FR"/>
        </w:rPr>
        <w:t xml:space="preserve"> car la préoccupation fondamentale était de parvenir à la justice, à l</w:t>
      </w:r>
      <w:r w:rsidR="008E532B">
        <w:rPr>
          <w:rFonts w:ascii="Arial" w:hAnsi="Arial" w:cs="Arial"/>
          <w:bCs/>
          <w:sz w:val="22"/>
          <w:szCs w:val="22"/>
          <w:lang w:val="fr-FR"/>
        </w:rPr>
        <w:t>’</w:t>
      </w:r>
      <w:r w:rsidRPr="002A397B">
        <w:rPr>
          <w:rFonts w:ascii="Arial" w:hAnsi="Arial" w:cs="Arial"/>
          <w:bCs/>
          <w:sz w:val="22"/>
          <w:szCs w:val="22"/>
          <w:lang w:val="fr-FR"/>
        </w:rPr>
        <w:t>équité et à une représentation équitable et équilibrée des ONG au sein de l</w:t>
      </w:r>
      <w:r w:rsidR="008E532B">
        <w:rPr>
          <w:rFonts w:ascii="Arial" w:hAnsi="Arial" w:cs="Arial"/>
          <w:bCs/>
          <w:sz w:val="22"/>
          <w:szCs w:val="22"/>
          <w:lang w:val="fr-FR"/>
        </w:rPr>
        <w:t>’</w:t>
      </w:r>
      <w:r w:rsidRPr="002A397B">
        <w:rPr>
          <w:rFonts w:ascii="Arial" w:hAnsi="Arial" w:cs="Arial"/>
          <w:bCs/>
          <w:sz w:val="22"/>
          <w:szCs w:val="22"/>
          <w:lang w:val="fr-FR"/>
        </w:rPr>
        <w:t>Organe d</w:t>
      </w:r>
      <w:r w:rsidR="008E532B">
        <w:rPr>
          <w:rFonts w:ascii="Arial" w:hAnsi="Arial" w:cs="Arial"/>
          <w:bCs/>
          <w:sz w:val="22"/>
          <w:szCs w:val="22"/>
          <w:lang w:val="fr-FR"/>
        </w:rPr>
        <w:t>’</w:t>
      </w:r>
      <w:r w:rsidRPr="002A397B">
        <w:rPr>
          <w:rFonts w:ascii="Arial" w:hAnsi="Arial" w:cs="Arial"/>
          <w:bCs/>
          <w:sz w:val="22"/>
          <w:szCs w:val="22"/>
          <w:lang w:val="fr-FR"/>
        </w:rPr>
        <w:t>évaluation et dans le v</w:t>
      </w:r>
      <w:r>
        <w:rPr>
          <w:rFonts w:ascii="Arial" w:hAnsi="Arial" w:cs="Arial"/>
          <w:bCs/>
          <w:sz w:val="22"/>
          <w:szCs w:val="22"/>
          <w:lang w:val="fr-FR"/>
        </w:rPr>
        <w:t>aste ensemble</w:t>
      </w:r>
      <w:r w:rsidRPr="002A397B">
        <w:rPr>
          <w:rFonts w:ascii="Arial" w:hAnsi="Arial" w:cs="Arial"/>
          <w:bCs/>
          <w:sz w:val="22"/>
          <w:szCs w:val="22"/>
          <w:lang w:val="fr-FR"/>
        </w:rPr>
        <w:t xml:space="preserve"> des ONG accréditées </w:t>
      </w:r>
      <w:r>
        <w:rPr>
          <w:rFonts w:ascii="Arial" w:hAnsi="Arial" w:cs="Arial"/>
          <w:bCs/>
          <w:sz w:val="22"/>
          <w:szCs w:val="22"/>
          <w:lang w:val="fr-FR"/>
        </w:rPr>
        <w:t xml:space="preserve">exerçant </w:t>
      </w:r>
      <w:r w:rsidRPr="002A397B">
        <w:rPr>
          <w:rFonts w:ascii="Arial" w:hAnsi="Arial" w:cs="Arial"/>
          <w:bCs/>
          <w:sz w:val="22"/>
          <w:szCs w:val="22"/>
          <w:lang w:val="fr-FR"/>
        </w:rPr>
        <w:t xml:space="preserve">une </w:t>
      </w:r>
      <w:r>
        <w:rPr>
          <w:rFonts w:ascii="Arial" w:hAnsi="Arial" w:cs="Arial"/>
          <w:bCs/>
          <w:sz w:val="22"/>
          <w:szCs w:val="22"/>
          <w:lang w:val="fr-FR"/>
        </w:rPr>
        <w:t xml:space="preserve">fonction </w:t>
      </w:r>
      <w:r w:rsidRPr="002A397B">
        <w:rPr>
          <w:rFonts w:ascii="Arial" w:hAnsi="Arial" w:cs="Arial"/>
          <w:bCs/>
          <w:sz w:val="22"/>
          <w:szCs w:val="22"/>
          <w:lang w:val="fr-FR"/>
        </w:rPr>
        <w:t xml:space="preserve">consultative auprès de la Convention et du Comité. La délégation </w:t>
      </w:r>
      <w:r>
        <w:rPr>
          <w:rFonts w:ascii="Arial" w:hAnsi="Arial" w:cs="Arial"/>
          <w:bCs/>
          <w:sz w:val="22"/>
          <w:szCs w:val="22"/>
          <w:lang w:val="fr-FR"/>
        </w:rPr>
        <w:t xml:space="preserve">comprenait pleinement </w:t>
      </w:r>
      <w:r w:rsidRPr="002A397B">
        <w:rPr>
          <w:rFonts w:ascii="Arial" w:hAnsi="Arial" w:cs="Arial"/>
          <w:bCs/>
          <w:sz w:val="22"/>
          <w:szCs w:val="22"/>
          <w:lang w:val="fr-FR"/>
        </w:rPr>
        <w:t>les interventions concernant l</w:t>
      </w:r>
      <w:r w:rsidR="008E532B">
        <w:rPr>
          <w:rFonts w:ascii="Arial" w:hAnsi="Arial" w:cs="Arial"/>
          <w:bCs/>
          <w:sz w:val="22"/>
          <w:szCs w:val="22"/>
          <w:lang w:val="fr-FR"/>
        </w:rPr>
        <w:t>’</w:t>
      </w:r>
      <w:r w:rsidRPr="002A397B">
        <w:rPr>
          <w:rFonts w:ascii="Arial" w:hAnsi="Arial" w:cs="Arial"/>
          <w:bCs/>
          <w:sz w:val="22"/>
          <w:szCs w:val="22"/>
          <w:lang w:val="fr-FR"/>
        </w:rPr>
        <w:t xml:space="preserve">expertise et il </w:t>
      </w:r>
      <w:r>
        <w:rPr>
          <w:rFonts w:ascii="Arial" w:hAnsi="Arial" w:cs="Arial"/>
          <w:bCs/>
          <w:sz w:val="22"/>
          <w:szCs w:val="22"/>
          <w:lang w:val="fr-FR"/>
        </w:rPr>
        <w:t>était</w:t>
      </w:r>
      <w:r w:rsidRPr="002A397B">
        <w:rPr>
          <w:rFonts w:ascii="Arial" w:hAnsi="Arial" w:cs="Arial"/>
          <w:bCs/>
          <w:sz w:val="22"/>
          <w:szCs w:val="22"/>
          <w:lang w:val="fr-FR"/>
        </w:rPr>
        <w:t xml:space="preserve"> évident qu</w:t>
      </w:r>
      <w:r w:rsidR="008E532B">
        <w:rPr>
          <w:rFonts w:ascii="Arial" w:hAnsi="Arial" w:cs="Arial"/>
          <w:bCs/>
          <w:sz w:val="22"/>
          <w:szCs w:val="22"/>
          <w:lang w:val="fr-FR"/>
        </w:rPr>
        <w:t>’</w:t>
      </w:r>
      <w:r w:rsidRPr="002A397B">
        <w:rPr>
          <w:rFonts w:ascii="Arial" w:hAnsi="Arial" w:cs="Arial"/>
          <w:bCs/>
          <w:sz w:val="22"/>
          <w:szCs w:val="22"/>
          <w:lang w:val="fr-FR"/>
        </w:rPr>
        <w:t>une ONG sans expertise n</w:t>
      </w:r>
      <w:r w:rsidR="008E532B">
        <w:rPr>
          <w:rFonts w:ascii="Arial" w:hAnsi="Arial" w:cs="Arial"/>
          <w:bCs/>
          <w:sz w:val="22"/>
          <w:szCs w:val="22"/>
          <w:lang w:val="fr-FR"/>
        </w:rPr>
        <w:t>’</w:t>
      </w:r>
      <w:r w:rsidRPr="002A397B">
        <w:rPr>
          <w:rFonts w:ascii="Arial" w:hAnsi="Arial" w:cs="Arial"/>
          <w:bCs/>
          <w:sz w:val="22"/>
          <w:szCs w:val="22"/>
          <w:lang w:val="fr-FR"/>
        </w:rPr>
        <w:t>a</w:t>
      </w:r>
      <w:r>
        <w:rPr>
          <w:rFonts w:ascii="Arial" w:hAnsi="Arial" w:cs="Arial"/>
          <w:bCs/>
          <w:sz w:val="22"/>
          <w:szCs w:val="22"/>
          <w:lang w:val="fr-FR"/>
        </w:rPr>
        <w:t>vait</w:t>
      </w:r>
      <w:r w:rsidRPr="002A397B">
        <w:rPr>
          <w:rFonts w:ascii="Arial" w:hAnsi="Arial" w:cs="Arial"/>
          <w:bCs/>
          <w:sz w:val="22"/>
          <w:szCs w:val="22"/>
          <w:lang w:val="fr-FR"/>
        </w:rPr>
        <w:t xml:space="preserve"> pas sa place dans la Convention. Il était également évident que toutes les ONG susceptibles de faire partie de l</w:t>
      </w:r>
      <w:r w:rsidR="008E532B">
        <w:rPr>
          <w:rFonts w:ascii="Arial" w:hAnsi="Arial" w:cs="Arial"/>
          <w:bCs/>
          <w:sz w:val="22"/>
          <w:szCs w:val="22"/>
          <w:lang w:val="fr-FR"/>
        </w:rPr>
        <w:t>’</w:t>
      </w:r>
      <w:r w:rsidRPr="002A397B">
        <w:rPr>
          <w:rFonts w:ascii="Arial" w:hAnsi="Arial" w:cs="Arial"/>
          <w:bCs/>
          <w:sz w:val="22"/>
          <w:szCs w:val="22"/>
          <w:lang w:val="fr-FR"/>
        </w:rPr>
        <w:t>Organe d</w:t>
      </w:r>
      <w:r w:rsidR="008E532B">
        <w:rPr>
          <w:rFonts w:ascii="Arial" w:hAnsi="Arial" w:cs="Arial"/>
          <w:bCs/>
          <w:sz w:val="22"/>
          <w:szCs w:val="22"/>
          <w:lang w:val="fr-FR"/>
        </w:rPr>
        <w:t>’</w:t>
      </w:r>
      <w:r w:rsidRPr="002A397B">
        <w:rPr>
          <w:rFonts w:ascii="Arial" w:hAnsi="Arial" w:cs="Arial"/>
          <w:bCs/>
          <w:sz w:val="22"/>
          <w:szCs w:val="22"/>
          <w:lang w:val="fr-FR"/>
        </w:rPr>
        <w:t>évaluation aur</w:t>
      </w:r>
      <w:r>
        <w:rPr>
          <w:rFonts w:ascii="Arial" w:hAnsi="Arial" w:cs="Arial"/>
          <w:bCs/>
          <w:sz w:val="22"/>
          <w:szCs w:val="22"/>
          <w:lang w:val="fr-FR"/>
        </w:rPr>
        <w:t>aie</w:t>
      </w:r>
      <w:r w:rsidRPr="002A397B">
        <w:rPr>
          <w:rFonts w:ascii="Arial" w:hAnsi="Arial" w:cs="Arial"/>
          <w:bCs/>
          <w:sz w:val="22"/>
          <w:szCs w:val="22"/>
          <w:lang w:val="fr-FR"/>
        </w:rPr>
        <w:t>nt une excellente expertise dans leur domaine. La délégation a demandé au Conseiller juridique s</w:t>
      </w:r>
      <w:r w:rsidR="008E532B">
        <w:rPr>
          <w:rFonts w:ascii="Arial" w:hAnsi="Arial" w:cs="Arial"/>
          <w:bCs/>
          <w:sz w:val="22"/>
          <w:szCs w:val="22"/>
          <w:lang w:val="fr-FR"/>
        </w:rPr>
        <w:t>’</w:t>
      </w:r>
      <w:r w:rsidRPr="002A397B">
        <w:rPr>
          <w:rFonts w:ascii="Arial" w:hAnsi="Arial" w:cs="Arial"/>
          <w:bCs/>
          <w:sz w:val="22"/>
          <w:szCs w:val="22"/>
          <w:lang w:val="fr-FR"/>
        </w:rPr>
        <w:t>il y avait quelque chose dans la proposition de la Palestine qui empêcherait son adoption d</w:t>
      </w:r>
      <w:r w:rsidR="008E532B">
        <w:rPr>
          <w:rFonts w:ascii="Arial" w:hAnsi="Arial" w:cs="Arial"/>
          <w:bCs/>
          <w:sz w:val="22"/>
          <w:szCs w:val="22"/>
          <w:lang w:val="fr-FR"/>
        </w:rPr>
        <w:t>’</w:t>
      </w:r>
      <w:r w:rsidRPr="002A397B">
        <w:rPr>
          <w:rFonts w:ascii="Arial" w:hAnsi="Arial" w:cs="Arial"/>
          <w:bCs/>
          <w:sz w:val="22"/>
          <w:szCs w:val="22"/>
          <w:lang w:val="fr-FR"/>
        </w:rPr>
        <w:t>un point de vue juridique.</w:t>
      </w:r>
    </w:p>
    <w:p w14:paraId="10E613C7" w14:textId="4D16B21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6608F">
        <w:rPr>
          <w:rFonts w:ascii="Arial" w:hAnsi="Arial" w:cs="Arial"/>
          <w:bCs/>
          <w:sz w:val="22"/>
          <w:szCs w:val="22"/>
          <w:lang w:val="fr-FR"/>
        </w:rPr>
        <w:t xml:space="preserve">Le </w:t>
      </w:r>
      <w:r w:rsidRPr="0046608F">
        <w:rPr>
          <w:rFonts w:ascii="Arial" w:hAnsi="Arial" w:cs="Arial"/>
          <w:b/>
          <w:sz w:val="22"/>
          <w:szCs w:val="22"/>
          <w:lang w:val="fr-FR"/>
        </w:rPr>
        <w:t>Conseiller juridique</w:t>
      </w:r>
      <w:r w:rsidRPr="0046608F">
        <w:rPr>
          <w:rFonts w:ascii="Arial" w:hAnsi="Arial" w:cs="Arial"/>
          <w:bCs/>
          <w:sz w:val="22"/>
          <w:szCs w:val="22"/>
          <w:lang w:val="fr-FR"/>
        </w:rPr>
        <w:t xml:space="preserve"> a expliqué que la Convention indique, au paragraphe 2 de l</w:t>
      </w:r>
      <w:r w:rsidR="008E532B">
        <w:rPr>
          <w:rFonts w:ascii="Arial" w:hAnsi="Arial" w:cs="Arial"/>
          <w:bCs/>
          <w:sz w:val="22"/>
          <w:szCs w:val="22"/>
          <w:lang w:val="fr-FR"/>
        </w:rPr>
        <w:t>’</w:t>
      </w:r>
      <w:r w:rsidRPr="0046608F">
        <w:rPr>
          <w:rFonts w:ascii="Arial" w:hAnsi="Arial" w:cs="Arial"/>
          <w:bCs/>
          <w:sz w:val="22"/>
          <w:szCs w:val="22"/>
          <w:lang w:val="fr-FR"/>
        </w:rPr>
        <w:t>article 9, que le Comité propose à l</w:t>
      </w:r>
      <w:r w:rsidR="008E532B">
        <w:rPr>
          <w:rFonts w:ascii="Arial" w:hAnsi="Arial" w:cs="Arial"/>
          <w:bCs/>
          <w:sz w:val="22"/>
          <w:szCs w:val="22"/>
          <w:lang w:val="fr-FR"/>
        </w:rPr>
        <w:t>’</w:t>
      </w:r>
      <w:r w:rsidRPr="0046608F">
        <w:rPr>
          <w:rFonts w:ascii="Arial" w:hAnsi="Arial" w:cs="Arial"/>
          <w:bCs/>
          <w:sz w:val="22"/>
          <w:szCs w:val="22"/>
          <w:lang w:val="fr-FR"/>
        </w:rPr>
        <w:t>Assemblée générale les critères et méthodes d</w:t>
      </w:r>
      <w:r w:rsidR="008E532B">
        <w:rPr>
          <w:rFonts w:ascii="Arial" w:hAnsi="Arial" w:cs="Arial"/>
          <w:bCs/>
          <w:sz w:val="22"/>
          <w:szCs w:val="22"/>
          <w:lang w:val="fr-FR"/>
        </w:rPr>
        <w:t>’</w:t>
      </w:r>
      <w:r w:rsidRPr="0046608F">
        <w:rPr>
          <w:rFonts w:ascii="Arial" w:hAnsi="Arial" w:cs="Arial"/>
          <w:bCs/>
          <w:sz w:val="22"/>
          <w:szCs w:val="22"/>
          <w:lang w:val="fr-FR"/>
        </w:rPr>
        <w:t xml:space="preserve">accréditation. </w:t>
      </w:r>
      <w:r w:rsidRPr="00F026D4">
        <w:rPr>
          <w:rFonts w:ascii="Arial" w:hAnsi="Arial" w:cs="Arial"/>
          <w:bCs/>
          <w:sz w:val="22"/>
          <w:szCs w:val="22"/>
          <w:lang w:val="fr-FR"/>
        </w:rPr>
        <w:t>L</w:t>
      </w:r>
      <w:r w:rsidR="008E532B">
        <w:rPr>
          <w:rFonts w:ascii="Arial" w:hAnsi="Arial" w:cs="Arial"/>
          <w:bCs/>
          <w:sz w:val="22"/>
          <w:szCs w:val="22"/>
          <w:lang w:val="fr-FR"/>
        </w:rPr>
        <w:t>’</w:t>
      </w:r>
      <w:r w:rsidRPr="00F026D4">
        <w:rPr>
          <w:rFonts w:ascii="Arial" w:hAnsi="Arial" w:cs="Arial"/>
          <w:bCs/>
          <w:sz w:val="22"/>
          <w:szCs w:val="22"/>
          <w:lang w:val="fr-FR"/>
        </w:rPr>
        <w:t xml:space="preserve">Assemblée générale </w:t>
      </w:r>
      <w:r w:rsidRPr="0046608F">
        <w:rPr>
          <w:rFonts w:ascii="Arial" w:hAnsi="Arial" w:cs="Arial"/>
          <w:bCs/>
          <w:sz w:val="22"/>
          <w:szCs w:val="22"/>
          <w:lang w:val="fr-FR"/>
        </w:rPr>
        <w:t>p</w:t>
      </w:r>
      <w:r>
        <w:rPr>
          <w:rFonts w:ascii="Arial" w:hAnsi="Arial" w:cs="Arial"/>
          <w:bCs/>
          <w:sz w:val="22"/>
          <w:szCs w:val="22"/>
          <w:lang w:val="fr-FR"/>
        </w:rPr>
        <w:t>ouvait</w:t>
      </w:r>
      <w:r w:rsidRPr="0046608F">
        <w:rPr>
          <w:rFonts w:ascii="Arial" w:hAnsi="Arial" w:cs="Arial"/>
          <w:bCs/>
          <w:sz w:val="22"/>
          <w:szCs w:val="22"/>
          <w:lang w:val="fr-FR"/>
        </w:rPr>
        <w:t xml:space="preserve"> donc établir des critères et des </w:t>
      </w:r>
      <w:r>
        <w:rPr>
          <w:rFonts w:ascii="Arial" w:hAnsi="Arial" w:cs="Arial"/>
          <w:bCs/>
          <w:sz w:val="22"/>
          <w:szCs w:val="22"/>
          <w:lang w:val="fr-FR"/>
        </w:rPr>
        <w:t>modalités pour l</w:t>
      </w:r>
      <w:r w:rsidR="008E532B">
        <w:rPr>
          <w:rFonts w:ascii="Arial" w:hAnsi="Arial" w:cs="Arial"/>
          <w:bCs/>
          <w:sz w:val="22"/>
          <w:szCs w:val="22"/>
          <w:lang w:val="fr-FR"/>
        </w:rPr>
        <w:t>’</w:t>
      </w:r>
      <w:r w:rsidRPr="0046608F">
        <w:rPr>
          <w:rFonts w:ascii="Arial" w:hAnsi="Arial" w:cs="Arial"/>
          <w:bCs/>
          <w:sz w:val="22"/>
          <w:szCs w:val="22"/>
          <w:lang w:val="fr-FR"/>
        </w:rPr>
        <w:t xml:space="preserve">accréditation des ONG comme </w:t>
      </w:r>
      <w:r>
        <w:rPr>
          <w:rFonts w:ascii="Arial" w:hAnsi="Arial" w:cs="Arial"/>
          <w:bCs/>
          <w:sz w:val="22"/>
          <w:szCs w:val="22"/>
          <w:lang w:val="fr-FR"/>
        </w:rPr>
        <w:t>elle</w:t>
      </w:r>
      <w:r w:rsidRPr="0046608F">
        <w:rPr>
          <w:rFonts w:ascii="Arial" w:hAnsi="Arial" w:cs="Arial"/>
          <w:bCs/>
          <w:sz w:val="22"/>
          <w:szCs w:val="22"/>
          <w:lang w:val="fr-FR"/>
        </w:rPr>
        <w:t xml:space="preserve"> le souhait</w:t>
      </w:r>
      <w:r>
        <w:rPr>
          <w:rFonts w:ascii="Arial" w:hAnsi="Arial" w:cs="Arial"/>
          <w:bCs/>
          <w:sz w:val="22"/>
          <w:szCs w:val="22"/>
          <w:lang w:val="fr-FR"/>
        </w:rPr>
        <w:t xml:space="preserve">ait, </w:t>
      </w:r>
      <w:r w:rsidRPr="0046608F">
        <w:rPr>
          <w:rFonts w:ascii="Arial" w:hAnsi="Arial" w:cs="Arial"/>
          <w:bCs/>
          <w:sz w:val="22"/>
          <w:szCs w:val="22"/>
          <w:lang w:val="fr-FR"/>
        </w:rPr>
        <w:t>et</w:t>
      </w:r>
      <w:r>
        <w:rPr>
          <w:rFonts w:ascii="Arial" w:hAnsi="Arial" w:cs="Arial"/>
          <w:bCs/>
          <w:sz w:val="22"/>
          <w:szCs w:val="22"/>
          <w:lang w:val="fr-FR"/>
        </w:rPr>
        <w:t xml:space="preserve"> elle</w:t>
      </w:r>
      <w:r w:rsidRPr="0046608F">
        <w:rPr>
          <w:rFonts w:ascii="Arial" w:hAnsi="Arial" w:cs="Arial"/>
          <w:bCs/>
          <w:sz w:val="22"/>
          <w:szCs w:val="22"/>
          <w:lang w:val="fr-FR"/>
        </w:rPr>
        <w:t xml:space="preserve"> l</w:t>
      </w:r>
      <w:r w:rsidR="008E532B">
        <w:rPr>
          <w:rFonts w:ascii="Arial" w:hAnsi="Arial" w:cs="Arial"/>
          <w:bCs/>
          <w:sz w:val="22"/>
          <w:szCs w:val="22"/>
          <w:lang w:val="fr-FR"/>
        </w:rPr>
        <w:t>’</w:t>
      </w:r>
      <w:r w:rsidRPr="0046608F">
        <w:rPr>
          <w:rFonts w:ascii="Arial" w:hAnsi="Arial" w:cs="Arial"/>
          <w:bCs/>
          <w:sz w:val="22"/>
          <w:szCs w:val="22"/>
          <w:lang w:val="fr-FR"/>
        </w:rPr>
        <w:t>a</w:t>
      </w:r>
      <w:r>
        <w:rPr>
          <w:rFonts w:ascii="Arial" w:hAnsi="Arial" w:cs="Arial"/>
          <w:bCs/>
          <w:sz w:val="22"/>
          <w:szCs w:val="22"/>
          <w:lang w:val="fr-FR"/>
        </w:rPr>
        <w:t>vait d</w:t>
      </w:r>
      <w:r w:rsidR="008E532B">
        <w:rPr>
          <w:rFonts w:ascii="Arial" w:hAnsi="Arial" w:cs="Arial"/>
          <w:bCs/>
          <w:sz w:val="22"/>
          <w:szCs w:val="22"/>
          <w:lang w:val="fr-FR"/>
        </w:rPr>
        <w:t>’</w:t>
      </w:r>
      <w:r>
        <w:rPr>
          <w:rFonts w:ascii="Arial" w:hAnsi="Arial" w:cs="Arial"/>
          <w:bCs/>
          <w:sz w:val="22"/>
          <w:szCs w:val="22"/>
          <w:lang w:val="fr-FR"/>
        </w:rPr>
        <w:t>ailleurs</w:t>
      </w:r>
      <w:r w:rsidRPr="0046608F">
        <w:rPr>
          <w:rFonts w:ascii="Arial" w:hAnsi="Arial" w:cs="Arial"/>
          <w:bCs/>
          <w:sz w:val="22"/>
          <w:szCs w:val="22"/>
          <w:lang w:val="fr-FR"/>
        </w:rPr>
        <w:t xml:space="preserve"> fait à travers les Directives opérationnelles, </w:t>
      </w:r>
      <w:r>
        <w:rPr>
          <w:rFonts w:ascii="Arial" w:hAnsi="Arial" w:cs="Arial"/>
          <w:bCs/>
          <w:sz w:val="22"/>
          <w:szCs w:val="22"/>
          <w:lang w:val="fr-FR"/>
        </w:rPr>
        <w:t>notamment les</w:t>
      </w:r>
      <w:r w:rsidRPr="0046608F">
        <w:rPr>
          <w:rFonts w:ascii="Arial" w:hAnsi="Arial" w:cs="Arial"/>
          <w:bCs/>
          <w:sz w:val="22"/>
          <w:szCs w:val="22"/>
          <w:lang w:val="fr-FR"/>
        </w:rPr>
        <w:t xml:space="preserve"> articles 91 à 99 [concernant les ONG].</w:t>
      </w:r>
    </w:p>
    <w:p w14:paraId="65917AEE" w14:textId="646176E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F1A26">
        <w:rPr>
          <w:rFonts w:ascii="Arial" w:hAnsi="Arial" w:cs="Arial"/>
          <w:bCs/>
          <w:sz w:val="22"/>
          <w:szCs w:val="22"/>
          <w:lang w:val="fr-FR"/>
        </w:rPr>
        <w:t xml:space="preserve">La délégation </w:t>
      </w:r>
      <w:r>
        <w:rPr>
          <w:rFonts w:ascii="Arial" w:hAnsi="Arial" w:cs="Arial"/>
          <w:bCs/>
          <w:sz w:val="22"/>
          <w:szCs w:val="22"/>
          <w:lang w:val="fr-FR"/>
        </w:rPr>
        <w:t xml:space="preserve">de la </w:t>
      </w:r>
      <w:r w:rsidRPr="00EF1A26">
        <w:rPr>
          <w:rFonts w:ascii="Arial" w:hAnsi="Arial" w:cs="Arial"/>
          <w:b/>
          <w:sz w:val="22"/>
          <w:szCs w:val="22"/>
          <w:lang w:val="fr-FR"/>
        </w:rPr>
        <w:t>France</w:t>
      </w:r>
      <w:r>
        <w:rPr>
          <w:rFonts w:ascii="Arial" w:hAnsi="Arial" w:cs="Arial"/>
          <w:bCs/>
          <w:sz w:val="22"/>
          <w:szCs w:val="22"/>
          <w:lang w:val="fr-FR"/>
        </w:rPr>
        <w:t xml:space="preserve"> </w:t>
      </w:r>
      <w:r w:rsidRPr="00EF1A26">
        <w:rPr>
          <w:rFonts w:ascii="Arial" w:hAnsi="Arial" w:cs="Arial"/>
          <w:bCs/>
          <w:sz w:val="22"/>
          <w:szCs w:val="22"/>
          <w:lang w:val="fr-FR"/>
        </w:rPr>
        <w:t>compr</w:t>
      </w:r>
      <w:r>
        <w:rPr>
          <w:rFonts w:ascii="Arial" w:hAnsi="Arial" w:cs="Arial"/>
          <w:bCs/>
          <w:sz w:val="22"/>
          <w:szCs w:val="22"/>
          <w:lang w:val="fr-FR"/>
        </w:rPr>
        <w:t xml:space="preserve">enait </w:t>
      </w:r>
      <w:r w:rsidRPr="00EF1A26">
        <w:rPr>
          <w:rFonts w:ascii="Arial" w:hAnsi="Arial" w:cs="Arial"/>
          <w:bCs/>
          <w:sz w:val="22"/>
          <w:szCs w:val="22"/>
          <w:lang w:val="fr-FR"/>
        </w:rPr>
        <w:t>la préoccupation de la Palestine exprimée à travers cet amendement. Toutefois, deux considérations s</w:t>
      </w:r>
      <w:r w:rsidR="008E532B">
        <w:rPr>
          <w:rFonts w:ascii="Arial" w:hAnsi="Arial" w:cs="Arial"/>
          <w:bCs/>
          <w:sz w:val="22"/>
          <w:szCs w:val="22"/>
          <w:lang w:val="fr-FR"/>
        </w:rPr>
        <w:t>’</w:t>
      </w:r>
      <w:r w:rsidRPr="00EF1A26">
        <w:rPr>
          <w:rFonts w:ascii="Arial" w:hAnsi="Arial" w:cs="Arial"/>
          <w:bCs/>
          <w:sz w:val="22"/>
          <w:szCs w:val="22"/>
          <w:lang w:val="fr-FR"/>
        </w:rPr>
        <w:t xml:space="preserve">imposaient. La première était une question de principe. Les ONG </w:t>
      </w:r>
      <w:r>
        <w:rPr>
          <w:rFonts w:ascii="Arial" w:hAnsi="Arial" w:cs="Arial"/>
          <w:bCs/>
          <w:sz w:val="22"/>
          <w:szCs w:val="22"/>
          <w:lang w:val="fr-FR"/>
        </w:rPr>
        <w:t xml:space="preserve">étaient </w:t>
      </w:r>
      <w:r w:rsidRPr="00EF1A26">
        <w:rPr>
          <w:rFonts w:ascii="Arial" w:hAnsi="Arial" w:cs="Arial"/>
          <w:bCs/>
          <w:sz w:val="22"/>
          <w:szCs w:val="22"/>
          <w:lang w:val="fr-FR"/>
        </w:rPr>
        <w:t>par définition non</w:t>
      </w:r>
      <w:r>
        <w:rPr>
          <w:rFonts w:ascii="Arial" w:hAnsi="Arial" w:cs="Arial"/>
          <w:bCs/>
          <w:sz w:val="22"/>
          <w:szCs w:val="22"/>
          <w:lang w:val="fr-FR"/>
        </w:rPr>
        <w:t xml:space="preserve"> </w:t>
      </w:r>
      <w:r w:rsidRPr="00EF1A26">
        <w:rPr>
          <w:rFonts w:ascii="Arial" w:hAnsi="Arial" w:cs="Arial"/>
          <w:bCs/>
          <w:sz w:val="22"/>
          <w:szCs w:val="22"/>
          <w:lang w:val="fr-FR"/>
        </w:rPr>
        <w:t>gouvernementales, et attacher l</w:t>
      </w:r>
      <w:r w:rsidR="008E532B">
        <w:rPr>
          <w:rFonts w:ascii="Arial" w:hAnsi="Arial" w:cs="Arial"/>
          <w:bCs/>
          <w:sz w:val="22"/>
          <w:szCs w:val="22"/>
          <w:lang w:val="fr-FR"/>
        </w:rPr>
        <w:t>’</w:t>
      </w:r>
      <w:r w:rsidRPr="00EF1A26">
        <w:rPr>
          <w:rFonts w:ascii="Arial" w:hAnsi="Arial" w:cs="Arial"/>
          <w:bCs/>
          <w:sz w:val="22"/>
          <w:szCs w:val="22"/>
          <w:lang w:val="fr-FR"/>
        </w:rPr>
        <w:t>idée qu</w:t>
      </w:r>
      <w:r w:rsidR="008E532B">
        <w:rPr>
          <w:rFonts w:ascii="Arial" w:hAnsi="Arial" w:cs="Arial"/>
          <w:bCs/>
          <w:sz w:val="22"/>
          <w:szCs w:val="22"/>
          <w:lang w:val="fr-FR"/>
        </w:rPr>
        <w:t>’</w:t>
      </w:r>
      <w:r w:rsidRPr="00EF1A26">
        <w:rPr>
          <w:rFonts w:ascii="Arial" w:hAnsi="Arial" w:cs="Arial"/>
          <w:bCs/>
          <w:sz w:val="22"/>
          <w:szCs w:val="22"/>
          <w:lang w:val="fr-FR"/>
        </w:rPr>
        <w:t xml:space="preserve">elles sont associées à un </w:t>
      </w:r>
      <w:r>
        <w:rPr>
          <w:rFonts w:ascii="Arial" w:hAnsi="Arial" w:cs="Arial"/>
          <w:bCs/>
          <w:sz w:val="22"/>
          <w:szCs w:val="22"/>
          <w:lang w:val="fr-FR"/>
        </w:rPr>
        <w:t>É</w:t>
      </w:r>
      <w:r w:rsidRPr="00EF1A26">
        <w:rPr>
          <w:rFonts w:ascii="Arial" w:hAnsi="Arial" w:cs="Arial"/>
          <w:bCs/>
          <w:sz w:val="22"/>
          <w:szCs w:val="22"/>
          <w:lang w:val="fr-FR"/>
        </w:rPr>
        <w:t>tat serait difficile à accepter dans une décision de l</w:t>
      </w:r>
      <w:r w:rsidR="008E532B">
        <w:rPr>
          <w:rFonts w:ascii="Arial" w:hAnsi="Arial" w:cs="Arial"/>
          <w:bCs/>
          <w:sz w:val="22"/>
          <w:szCs w:val="22"/>
          <w:lang w:val="fr-FR"/>
        </w:rPr>
        <w:t>’</w:t>
      </w:r>
      <w:r w:rsidRPr="00EF1A26">
        <w:rPr>
          <w:rFonts w:ascii="Arial" w:hAnsi="Arial" w:cs="Arial"/>
          <w:bCs/>
          <w:sz w:val="22"/>
          <w:szCs w:val="22"/>
          <w:lang w:val="fr-FR"/>
        </w:rPr>
        <w:t>Assemblée générale. Deuxièmement, l</w:t>
      </w:r>
      <w:r w:rsidR="008E532B">
        <w:rPr>
          <w:rFonts w:ascii="Arial" w:hAnsi="Arial" w:cs="Arial"/>
          <w:bCs/>
          <w:sz w:val="22"/>
          <w:szCs w:val="22"/>
          <w:lang w:val="fr-FR"/>
        </w:rPr>
        <w:t>’</w:t>
      </w:r>
      <w:r w:rsidRPr="00EF1A26">
        <w:rPr>
          <w:rFonts w:ascii="Arial" w:hAnsi="Arial" w:cs="Arial"/>
          <w:bCs/>
          <w:sz w:val="22"/>
          <w:szCs w:val="22"/>
          <w:lang w:val="fr-FR"/>
        </w:rPr>
        <w:t>amendement précédent, qui vis</w:t>
      </w:r>
      <w:r>
        <w:rPr>
          <w:rFonts w:ascii="Arial" w:hAnsi="Arial" w:cs="Arial"/>
          <w:bCs/>
          <w:sz w:val="22"/>
          <w:szCs w:val="22"/>
          <w:lang w:val="fr-FR"/>
        </w:rPr>
        <w:t>ait</w:t>
      </w:r>
      <w:r w:rsidRPr="00EF1A26">
        <w:rPr>
          <w:rFonts w:ascii="Arial" w:hAnsi="Arial" w:cs="Arial"/>
          <w:bCs/>
          <w:sz w:val="22"/>
          <w:szCs w:val="22"/>
          <w:lang w:val="fr-FR"/>
        </w:rPr>
        <w:t xml:space="preserve"> à lancer une réflexion sur un mécanisme qui permettrait d</w:t>
      </w:r>
      <w:r w:rsidR="008E532B">
        <w:rPr>
          <w:rFonts w:ascii="Arial" w:hAnsi="Arial" w:cs="Arial"/>
          <w:bCs/>
          <w:sz w:val="22"/>
          <w:szCs w:val="22"/>
          <w:lang w:val="fr-FR"/>
        </w:rPr>
        <w:t>’</w:t>
      </w:r>
      <w:r w:rsidRPr="00EF1A26">
        <w:rPr>
          <w:rFonts w:ascii="Arial" w:hAnsi="Arial" w:cs="Arial"/>
          <w:bCs/>
          <w:sz w:val="22"/>
          <w:szCs w:val="22"/>
          <w:lang w:val="fr-FR"/>
        </w:rPr>
        <w:t>améliorer la représentation des ONG, pourrait répondre à cette préoccupation, y compris en ce qui concerne les questions d</w:t>
      </w:r>
      <w:r w:rsidR="008E532B">
        <w:rPr>
          <w:rFonts w:ascii="Arial" w:hAnsi="Arial" w:cs="Arial"/>
          <w:bCs/>
          <w:sz w:val="22"/>
          <w:szCs w:val="22"/>
          <w:lang w:val="fr-FR"/>
        </w:rPr>
        <w:t>’</w:t>
      </w:r>
      <w:r w:rsidRPr="00EF1A26">
        <w:rPr>
          <w:rFonts w:ascii="Arial" w:hAnsi="Arial" w:cs="Arial"/>
          <w:bCs/>
          <w:sz w:val="22"/>
          <w:szCs w:val="22"/>
          <w:lang w:val="fr-FR"/>
        </w:rPr>
        <w:t>accréditation et de l</w:t>
      </w:r>
      <w:r w:rsidR="008E532B">
        <w:rPr>
          <w:rFonts w:ascii="Arial" w:hAnsi="Arial" w:cs="Arial"/>
          <w:bCs/>
          <w:sz w:val="22"/>
          <w:szCs w:val="22"/>
          <w:lang w:val="fr-FR"/>
        </w:rPr>
        <w:t>’</w:t>
      </w:r>
      <w:r w:rsidRPr="00EF1A26">
        <w:rPr>
          <w:rFonts w:ascii="Arial" w:hAnsi="Arial" w:cs="Arial"/>
          <w:bCs/>
          <w:sz w:val="22"/>
          <w:szCs w:val="22"/>
          <w:lang w:val="fr-FR"/>
        </w:rPr>
        <w:t>Organe d</w:t>
      </w:r>
      <w:r w:rsidR="008E532B">
        <w:rPr>
          <w:rFonts w:ascii="Arial" w:hAnsi="Arial" w:cs="Arial"/>
          <w:bCs/>
          <w:sz w:val="22"/>
          <w:szCs w:val="22"/>
          <w:lang w:val="fr-FR"/>
        </w:rPr>
        <w:t>’</w:t>
      </w:r>
      <w:r w:rsidRPr="00EF1A26">
        <w:rPr>
          <w:rFonts w:ascii="Arial" w:hAnsi="Arial" w:cs="Arial"/>
          <w:bCs/>
          <w:sz w:val="22"/>
          <w:szCs w:val="22"/>
          <w:lang w:val="fr-FR"/>
        </w:rPr>
        <w:t>évaluation, qui pourraient être traitées dans le cadre de cette réflexion.</w:t>
      </w:r>
    </w:p>
    <w:p w14:paraId="1925DACC" w14:textId="5FC8B03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F1A26">
        <w:rPr>
          <w:rFonts w:ascii="Arial" w:hAnsi="Arial" w:cs="Arial"/>
          <w:bCs/>
          <w:sz w:val="22"/>
          <w:szCs w:val="22"/>
          <w:lang w:val="fr-FR"/>
        </w:rPr>
        <w:t xml:space="preserve">La délégation de la </w:t>
      </w:r>
      <w:r w:rsidRPr="00EF1A26">
        <w:rPr>
          <w:rFonts w:ascii="Arial" w:hAnsi="Arial" w:cs="Arial"/>
          <w:b/>
          <w:sz w:val="22"/>
          <w:szCs w:val="22"/>
          <w:lang w:val="fr-FR"/>
        </w:rPr>
        <w:t>Suisse</w:t>
      </w:r>
      <w:r w:rsidRPr="00EF1A26">
        <w:rPr>
          <w:rFonts w:ascii="Arial" w:hAnsi="Arial" w:cs="Arial"/>
          <w:bCs/>
          <w:sz w:val="22"/>
          <w:szCs w:val="22"/>
          <w:lang w:val="fr-FR"/>
        </w:rPr>
        <w:t xml:space="preserve"> a remercié le Conseiller juridique pour ses explications claires quant à la non-compatibilité de l</w:t>
      </w:r>
      <w:r w:rsidR="008E532B">
        <w:rPr>
          <w:rFonts w:ascii="Arial" w:hAnsi="Arial" w:cs="Arial"/>
          <w:bCs/>
          <w:sz w:val="22"/>
          <w:szCs w:val="22"/>
          <w:lang w:val="fr-FR"/>
        </w:rPr>
        <w:t>’</w:t>
      </w:r>
      <w:r w:rsidRPr="00EF1A26">
        <w:rPr>
          <w:rFonts w:ascii="Arial" w:hAnsi="Arial" w:cs="Arial"/>
          <w:bCs/>
          <w:sz w:val="22"/>
          <w:szCs w:val="22"/>
          <w:lang w:val="fr-FR"/>
        </w:rPr>
        <w:t xml:space="preserve">amendement avec les dispositions actuelles des </w:t>
      </w:r>
      <w:r>
        <w:rPr>
          <w:rFonts w:ascii="Arial" w:hAnsi="Arial" w:cs="Arial"/>
          <w:bCs/>
          <w:sz w:val="22"/>
          <w:szCs w:val="22"/>
          <w:lang w:val="fr-FR"/>
        </w:rPr>
        <w:t>D</w:t>
      </w:r>
      <w:r w:rsidRPr="00EF1A26">
        <w:rPr>
          <w:rFonts w:ascii="Arial" w:hAnsi="Arial" w:cs="Arial"/>
          <w:bCs/>
          <w:sz w:val="22"/>
          <w:szCs w:val="22"/>
          <w:lang w:val="fr-FR"/>
        </w:rPr>
        <w:t>irectives opérationnelles. La délégation a conclu que l</w:t>
      </w:r>
      <w:r w:rsidR="008E532B">
        <w:rPr>
          <w:rFonts w:ascii="Arial" w:hAnsi="Arial" w:cs="Arial"/>
          <w:bCs/>
          <w:sz w:val="22"/>
          <w:szCs w:val="22"/>
          <w:lang w:val="fr-FR"/>
        </w:rPr>
        <w:t>’</w:t>
      </w:r>
      <w:r w:rsidRPr="00EF1A26">
        <w:rPr>
          <w:rFonts w:ascii="Arial" w:hAnsi="Arial" w:cs="Arial"/>
          <w:bCs/>
          <w:sz w:val="22"/>
          <w:szCs w:val="22"/>
          <w:lang w:val="fr-FR"/>
        </w:rPr>
        <w:t>article 27 et l</w:t>
      </w:r>
      <w:r w:rsidR="008E532B">
        <w:rPr>
          <w:rFonts w:ascii="Arial" w:hAnsi="Arial" w:cs="Arial"/>
          <w:bCs/>
          <w:sz w:val="22"/>
          <w:szCs w:val="22"/>
          <w:lang w:val="fr-FR"/>
        </w:rPr>
        <w:t>’</w:t>
      </w:r>
      <w:r w:rsidRPr="00EF1A26">
        <w:rPr>
          <w:rFonts w:ascii="Arial" w:hAnsi="Arial" w:cs="Arial"/>
          <w:bCs/>
          <w:sz w:val="22"/>
          <w:szCs w:val="22"/>
          <w:lang w:val="fr-FR"/>
        </w:rPr>
        <w:t>article 91 correspondants devraient être modifiés pour adopter l</w:t>
      </w:r>
      <w:r w:rsidR="008E532B">
        <w:rPr>
          <w:rFonts w:ascii="Arial" w:hAnsi="Arial" w:cs="Arial"/>
          <w:bCs/>
          <w:sz w:val="22"/>
          <w:szCs w:val="22"/>
          <w:lang w:val="fr-FR"/>
        </w:rPr>
        <w:t>’</w:t>
      </w:r>
      <w:r w:rsidRPr="00EF1A26">
        <w:rPr>
          <w:rFonts w:ascii="Arial" w:hAnsi="Arial" w:cs="Arial"/>
          <w:bCs/>
          <w:sz w:val="22"/>
          <w:szCs w:val="22"/>
          <w:lang w:val="fr-FR"/>
        </w:rPr>
        <w:t xml:space="preserve">amendement. En outre, le </w:t>
      </w:r>
      <w:r>
        <w:rPr>
          <w:rFonts w:ascii="Arial" w:hAnsi="Arial" w:cs="Arial"/>
          <w:bCs/>
          <w:sz w:val="22"/>
          <w:szCs w:val="22"/>
          <w:lang w:val="fr-FR"/>
        </w:rPr>
        <w:t>g</w:t>
      </w:r>
      <w:r w:rsidRPr="00EF1A26">
        <w:rPr>
          <w:rFonts w:ascii="Arial" w:hAnsi="Arial" w:cs="Arial"/>
          <w:bCs/>
          <w:sz w:val="22"/>
          <w:szCs w:val="22"/>
          <w:lang w:val="fr-FR"/>
        </w:rPr>
        <w:t>roupe de travail à composition non limitée, qui a</w:t>
      </w:r>
      <w:r>
        <w:rPr>
          <w:rFonts w:ascii="Arial" w:hAnsi="Arial" w:cs="Arial"/>
          <w:bCs/>
          <w:sz w:val="22"/>
          <w:szCs w:val="22"/>
          <w:lang w:val="fr-FR"/>
        </w:rPr>
        <w:t>vait</w:t>
      </w:r>
      <w:r w:rsidRPr="00EF1A26">
        <w:rPr>
          <w:rFonts w:ascii="Arial" w:hAnsi="Arial" w:cs="Arial"/>
          <w:bCs/>
          <w:sz w:val="22"/>
          <w:szCs w:val="22"/>
          <w:lang w:val="fr-FR"/>
        </w:rPr>
        <w:t xml:space="preserve"> travaillé pendant deux ans sur les Directives opérationnelles, avec le soutien du Japon, n</w:t>
      </w:r>
      <w:r w:rsidR="008E532B">
        <w:rPr>
          <w:rFonts w:ascii="Arial" w:hAnsi="Arial" w:cs="Arial"/>
          <w:bCs/>
          <w:sz w:val="22"/>
          <w:szCs w:val="22"/>
          <w:lang w:val="fr-FR"/>
        </w:rPr>
        <w:t>’</w:t>
      </w:r>
      <w:r w:rsidRPr="00EF1A26">
        <w:rPr>
          <w:rFonts w:ascii="Arial" w:hAnsi="Arial" w:cs="Arial"/>
          <w:bCs/>
          <w:sz w:val="22"/>
          <w:szCs w:val="22"/>
          <w:lang w:val="fr-FR"/>
        </w:rPr>
        <w:t>a</w:t>
      </w:r>
      <w:r>
        <w:rPr>
          <w:rFonts w:ascii="Arial" w:hAnsi="Arial" w:cs="Arial"/>
          <w:bCs/>
          <w:sz w:val="22"/>
          <w:szCs w:val="22"/>
          <w:lang w:val="fr-FR"/>
        </w:rPr>
        <w:t>vait</w:t>
      </w:r>
      <w:r w:rsidRPr="00EF1A26">
        <w:rPr>
          <w:rFonts w:ascii="Arial" w:hAnsi="Arial" w:cs="Arial"/>
          <w:bCs/>
          <w:sz w:val="22"/>
          <w:szCs w:val="22"/>
          <w:lang w:val="fr-FR"/>
        </w:rPr>
        <w:t xml:space="preserve"> fait aucune recommandation concernant l</w:t>
      </w:r>
      <w:r w:rsidR="008E532B">
        <w:rPr>
          <w:rFonts w:ascii="Arial" w:hAnsi="Arial" w:cs="Arial"/>
          <w:bCs/>
          <w:sz w:val="22"/>
          <w:szCs w:val="22"/>
          <w:lang w:val="fr-FR"/>
        </w:rPr>
        <w:t>’</w:t>
      </w:r>
      <w:r w:rsidRPr="00EF1A26">
        <w:rPr>
          <w:rFonts w:ascii="Arial" w:hAnsi="Arial" w:cs="Arial"/>
          <w:bCs/>
          <w:sz w:val="22"/>
          <w:szCs w:val="22"/>
          <w:lang w:val="fr-FR"/>
        </w:rPr>
        <w:t>accréditation et l</w:t>
      </w:r>
      <w:r w:rsidR="008E532B">
        <w:rPr>
          <w:rFonts w:ascii="Arial" w:hAnsi="Arial" w:cs="Arial"/>
          <w:bCs/>
          <w:sz w:val="22"/>
          <w:szCs w:val="22"/>
          <w:lang w:val="fr-FR"/>
        </w:rPr>
        <w:t>’</w:t>
      </w:r>
      <w:r w:rsidRPr="00EF1A26">
        <w:rPr>
          <w:rFonts w:ascii="Arial" w:hAnsi="Arial" w:cs="Arial"/>
          <w:bCs/>
          <w:sz w:val="22"/>
          <w:szCs w:val="22"/>
          <w:lang w:val="fr-FR"/>
        </w:rPr>
        <w:t>éligibilité des ONG pour siéger à l</w:t>
      </w:r>
      <w:r w:rsidR="008E532B">
        <w:rPr>
          <w:rFonts w:ascii="Arial" w:hAnsi="Arial" w:cs="Arial"/>
          <w:bCs/>
          <w:sz w:val="22"/>
          <w:szCs w:val="22"/>
          <w:lang w:val="fr-FR"/>
        </w:rPr>
        <w:t>’</w:t>
      </w:r>
      <w:r w:rsidRPr="00EF1A26">
        <w:rPr>
          <w:rFonts w:ascii="Arial" w:hAnsi="Arial" w:cs="Arial"/>
          <w:bCs/>
          <w:sz w:val="22"/>
          <w:szCs w:val="22"/>
          <w:lang w:val="fr-FR"/>
        </w:rPr>
        <w:t>Organe d</w:t>
      </w:r>
      <w:r w:rsidR="008E532B">
        <w:rPr>
          <w:rFonts w:ascii="Arial" w:hAnsi="Arial" w:cs="Arial"/>
          <w:bCs/>
          <w:sz w:val="22"/>
          <w:szCs w:val="22"/>
          <w:lang w:val="fr-FR"/>
        </w:rPr>
        <w:t>’</w:t>
      </w:r>
      <w:r w:rsidRPr="00EF1A26">
        <w:rPr>
          <w:rFonts w:ascii="Arial" w:hAnsi="Arial" w:cs="Arial"/>
          <w:bCs/>
          <w:sz w:val="22"/>
          <w:szCs w:val="22"/>
          <w:lang w:val="fr-FR"/>
        </w:rPr>
        <w:t>évaluation. Au contraire, il a</w:t>
      </w:r>
      <w:r>
        <w:rPr>
          <w:rFonts w:ascii="Arial" w:hAnsi="Arial" w:cs="Arial"/>
          <w:bCs/>
          <w:sz w:val="22"/>
          <w:szCs w:val="22"/>
          <w:lang w:val="fr-FR"/>
        </w:rPr>
        <w:t>vait</w:t>
      </w:r>
      <w:r w:rsidRPr="00EF1A26">
        <w:rPr>
          <w:rFonts w:ascii="Arial" w:hAnsi="Arial" w:cs="Arial"/>
          <w:bCs/>
          <w:sz w:val="22"/>
          <w:szCs w:val="22"/>
          <w:lang w:val="fr-FR"/>
        </w:rPr>
        <w:t xml:space="preserve"> recommandé de confirmer la composition et le fonctionnement de l</w:t>
      </w:r>
      <w:r w:rsidR="008E532B">
        <w:rPr>
          <w:rFonts w:ascii="Arial" w:hAnsi="Arial" w:cs="Arial"/>
          <w:bCs/>
          <w:sz w:val="22"/>
          <w:szCs w:val="22"/>
          <w:lang w:val="fr-FR"/>
        </w:rPr>
        <w:t>’</w:t>
      </w:r>
      <w:r w:rsidRPr="00EF1A26">
        <w:rPr>
          <w:rFonts w:ascii="Arial" w:hAnsi="Arial" w:cs="Arial"/>
          <w:bCs/>
          <w:sz w:val="22"/>
          <w:szCs w:val="22"/>
          <w:lang w:val="fr-FR"/>
        </w:rPr>
        <w:t>Organe d</w:t>
      </w:r>
      <w:r w:rsidR="008E532B">
        <w:rPr>
          <w:rFonts w:ascii="Arial" w:hAnsi="Arial" w:cs="Arial"/>
          <w:bCs/>
          <w:sz w:val="22"/>
          <w:szCs w:val="22"/>
          <w:lang w:val="fr-FR"/>
        </w:rPr>
        <w:t>’</w:t>
      </w:r>
      <w:r w:rsidRPr="00EF1A26">
        <w:rPr>
          <w:rFonts w:ascii="Arial" w:hAnsi="Arial" w:cs="Arial"/>
          <w:bCs/>
          <w:sz w:val="22"/>
          <w:szCs w:val="22"/>
          <w:lang w:val="fr-FR"/>
        </w:rPr>
        <w:t>évaluation. La délégation ne vo</w:t>
      </w:r>
      <w:r>
        <w:rPr>
          <w:rFonts w:ascii="Arial" w:hAnsi="Arial" w:cs="Arial"/>
          <w:bCs/>
          <w:sz w:val="22"/>
          <w:szCs w:val="22"/>
          <w:lang w:val="fr-FR"/>
        </w:rPr>
        <w:t>yait</w:t>
      </w:r>
      <w:r w:rsidRPr="00EF1A26">
        <w:rPr>
          <w:rFonts w:ascii="Arial" w:hAnsi="Arial" w:cs="Arial"/>
          <w:bCs/>
          <w:sz w:val="22"/>
          <w:szCs w:val="22"/>
          <w:lang w:val="fr-FR"/>
        </w:rPr>
        <w:t xml:space="preserve"> pas pourquoi le travail du </w:t>
      </w:r>
      <w:r>
        <w:rPr>
          <w:rFonts w:ascii="Arial" w:hAnsi="Arial" w:cs="Arial"/>
          <w:bCs/>
          <w:sz w:val="22"/>
          <w:szCs w:val="22"/>
          <w:lang w:val="fr-FR"/>
        </w:rPr>
        <w:t>g</w:t>
      </w:r>
      <w:r w:rsidRPr="00EF1A26">
        <w:rPr>
          <w:rFonts w:ascii="Arial" w:hAnsi="Arial" w:cs="Arial"/>
          <w:bCs/>
          <w:sz w:val="22"/>
          <w:szCs w:val="22"/>
          <w:lang w:val="fr-FR"/>
        </w:rPr>
        <w:t xml:space="preserve">roupe de travail devrait </w:t>
      </w:r>
      <w:r w:rsidRPr="00693A73">
        <w:rPr>
          <w:rFonts w:ascii="Arial" w:hAnsi="Arial" w:cs="Arial"/>
          <w:bCs/>
          <w:color w:val="000000" w:themeColor="text1"/>
          <w:sz w:val="22"/>
          <w:szCs w:val="22"/>
          <w:lang w:val="fr-FR"/>
        </w:rPr>
        <w:t>désormais</w:t>
      </w:r>
      <w:r>
        <w:rPr>
          <w:rFonts w:ascii="Arial" w:hAnsi="Arial" w:cs="Arial"/>
          <w:bCs/>
          <w:color w:val="000000" w:themeColor="text1"/>
          <w:sz w:val="22"/>
          <w:szCs w:val="22"/>
          <w:lang w:val="fr-FR"/>
        </w:rPr>
        <w:t xml:space="preserve"> </w:t>
      </w:r>
      <w:r w:rsidRPr="00EF1A26">
        <w:rPr>
          <w:rFonts w:ascii="Arial" w:hAnsi="Arial" w:cs="Arial"/>
          <w:bCs/>
          <w:sz w:val="22"/>
          <w:szCs w:val="22"/>
          <w:lang w:val="fr-FR"/>
        </w:rPr>
        <w:t>être remis en question, sans raison, d</w:t>
      </w:r>
      <w:r w:rsidR="008E532B">
        <w:rPr>
          <w:rFonts w:ascii="Arial" w:hAnsi="Arial" w:cs="Arial"/>
          <w:bCs/>
          <w:sz w:val="22"/>
          <w:szCs w:val="22"/>
          <w:lang w:val="fr-FR"/>
        </w:rPr>
        <w:t>’</w:t>
      </w:r>
      <w:r w:rsidRPr="00EF1A26">
        <w:rPr>
          <w:rFonts w:ascii="Arial" w:hAnsi="Arial" w:cs="Arial"/>
          <w:bCs/>
          <w:sz w:val="22"/>
          <w:szCs w:val="22"/>
          <w:lang w:val="fr-FR"/>
        </w:rPr>
        <w:t>où son opposition à l</w:t>
      </w:r>
      <w:r w:rsidR="008E532B">
        <w:rPr>
          <w:rFonts w:ascii="Arial" w:hAnsi="Arial" w:cs="Arial"/>
          <w:bCs/>
          <w:sz w:val="22"/>
          <w:szCs w:val="22"/>
          <w:lang w:val="fr-FR"/>
        </w:rPr>
        <w:t>’</w:t>
      </w:r>
      <w:r w:rsidRPr="00EF1A26">
        <w:rPr>
          <w:rFonts w:ascii="Arial" w:hAnsi="Arial" w:cs="Arial"/>
          <w:bCs/>
          <w:sz w:val="22"/>
          <w:szCs w:val="22"/>
          <w:lang w:val="fr-FR"/>
        </w:rPr>
        <w:t>amendement de la Palestine.</w:t>
      </w:r>
    </w:p>
    <w:p w14:paraId="5C4791E2" w14:textId="614DF15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93A73">
        <w:rPr>
          <w:rFonts w:ascii="Arial" w:hAnsi="Arial" w:cs="Arial"/>
          <w:bCs/>
          <w:sz w:val="22"/>
          <w:szCs w:val="22"/>
          <w:lang w:val="fr-FR"/>
        </w:rPr>
        <w:t xml:space="preserve">La délégation de la </w:t>
      </w:r>
      <w:r w:rsidRPr="00693A73">
        <w:rPr>
          <w:rFonts w:ascii="Arial" w:hAnsi="Arial" w:cs="Arial"/>
          <w:b/>
          <w:sz w:val="22"/>
          <w:szCs w:val="22"/>
          <w:lang w:val="fr-FR"/>
        </w:rPr>
        <w:t>Tchéquie</w:t>
      </w:r>
      <w:r w:rsidRPr="00693A73">
        <w:rPr>
          <w:rFonts w:ascii="Arial" w:hAnsi="Arial" w:cs="Arial"/>
          <w:bCs/>
          <w:sz w:val="22"/>
          <w:szCs w:val="22"/>
          <w:lang w:val="fr-FR"/>
        </w:rPr>
        <w:t xml:space="preserve"> a</w:t>
      </w:r>
      <w:r>
        <w:rPr>
          <w:rFonts w:ascii="Arial" w:hAnsi="Arial" w:cs="Arial"/>
          <w:bCs/>
          <w:sz w:val="22"/>
          <w:szCs w:val="22"/>
          <w:lang w:val="fr-FR"/>
        </w:rPr>
        <w:t xml:space="preserve">vait écouté </w:t>
      </w:r>
      <w:r w:rsidRPr="00693A73">
        <w:rPr>
          <w:rFonts w:ascii="Arial" w:hAnsi="Arial" w:cs="Arial"/>
          <w:bCs/>
          <w:sz w:val="22"/>
          <w:szCs w:val="22"/>
          <w:lang w:val="fr-FR"/>
        </w:rPr>
        <w:t>attentivement les explications du Sous-Directeur général, du Président du Forum des ONG et du Conseiller juridique concernant la participation d</w:t>
      </w:r>
      <w:r w:rsidR="008E532B">
        <w:rPr>
          <w:rFonts w:ascii="Arial" w:hAnsi="Arial" w:cs="Arial"/>
          <w:bCs/>
          <w:sz w:val="22"/>
          <w:szCs w:val="22"/>
          <w:lang w:val="fr-FR"/>
        </w:rPr>
        <w:t>’</w:t>
      </w:r>
      <w:r w:rsidRPr="00693A73">
        <w:rPr>
          <w:rFonts w:ascii="Arial" w:hAnsi="Arial" w:cs="Arial"/>
          <w:bCs/>
          <w:sz w:val="22"/>
          <w:szCs w:val="22"/>
          <w:lang w:val="fr-FR"/>
        </w:rPr>
        <w:t>ONG d</w:t>
      </w:r>
      <w:r w:rsidR="008E532B">
        <w:rPr>
          <w:rFonts w:ascii="Arial" w:hAnsi="Arial" w:cs="Arial"/>
          <w:bCs/>
          <w:sz w:val="22"/>
          <w:szCs w:val="22"/>
          <w:lang w:val="fr-FR"/>
        </w:rPr>
        <w:t>’</w:t>
      </w:r>
      <w:r>
        <w:rPr>
          <w:rFonts w:ascii="Arial" w:hAnsi="Arial" w:cs="Arial"/>
          <w:bCs/>
          <w:sz w:val="22"/>
          <w:szCs w:val="22"/>
          <w:lang w:val="fr-FR"/>
        </w:rPr>
        <w:t>É</w:t>
      </w:r>
      <w:r w:rsidRPr="00693A73">
        <w:rPr>
          <w:rFonts w:ascii="Arial" w:hAnsi="Arial" w:cs="Arial"/>
          <w:bCs/>
          <w:sz w:val="22"/>
          <w:szCs w:val="22"/>
          <w:lang w:val="fr-FR"/>
        </w:rPr>
        <w:t>tats non parties à la Convention, et elle ne souhait</w:t>
      </w:r>
      <w:r>
        <w:rPr>
          <w:rFonts w:ascii="Arial" w:hAnsi="Arial" w:cs="Arial"/>
          <w:bCs/>
          <w:sz w:val="22"/>
          <w:szCs w:val="22"/>
          <w:lang w:val="fr-FR"/>
        </w:rPr>
        <w:t>ait</w:t>
      </w:r>
      <w:r w:rsidRPr="00693A73">
        <w:rPr>
          <w:rFonts w:ascii="Arial" w:hAnsi="Arial" w:cs="Arial"/>
          <w:bCs/>
          <w:sz w:val="22"/>
          <w:szCs w:val="22"/>
          <w:lang w:val="fr-FR"/>
        </w:rPr>
        <w:t xml:space="preserve"> pas modifier les règles d</w:t>
      </w:r>
      <w:r w:rsidR="008E532B">
        <w:rPr>
          <w:rFonts w:ascii="Arial" w:hAnsi="Arial" w:cs="Arial"/>
          <w:bCs/>
          <w:sz w:val="22"/>
          <w:szCs w:val="22"/>
          <w:lang w:val="fr-FR"/>
        </w:rPr>
        <w:t>’</w:t>
      </w:r>
      <w:r w:rsidRPr="00693A73">
        <w:rPr>
          <w:rFonts w:ascii="Arial" w:hAnsi="Arial" w:cs="Arial"/>
          <w:bCs/>
          <w:sz w:val="22"/>
          <w:szCs w:val="22"/>
          <w:lang w:val="fr-FR"/>
        </w:rPr>
        <w:t xml:space="preserve">inclusivité actuellement suivies et qui </w:t>
      </w:r>
      <w:r>
        <w:rPr>
          <w:rFonts w:ascii="Arial" w:hAnsi="Arial" w:cs="Arial"/>
          <w:bCs/>
          <w:sz w:val="22"/>
          <w:szCs w:val="22"/>
          <w:lang w:val="fr-FR"/>
        </w:rPr>
        <w:t>étaient</w:t>
      </w:r>
      <w:r w:rsidRPr="00693A73">
        <w:rPr>
          <w:rFonts w:ascii="Arial" w:hAnsi="Arial" w:cs="Arial"/>
          <w:bCs/>
          <w:sz w:val="22"/>
          <w:szCs w:val="22"/>
          <w:lang w:val="fr-FR"/>
        </w:rPr>
        <w:t xml:space="preserve"> tout à fait claires en ce qui concerne l</w:t>
      </w:r>
      <w:r w:rsidR="008E532B">
        <w:rPr>
          <w:rFonts w:ascii="Arial" w:hAnsi="Arial" w:cs="Arial"/>
          <w:bCs/>
          <w:sz w:val="22"/>
          <w:szCs w:val="22"/>
          <w:lang w:val="fr-FR"/>
        </w:rPr>
        <w:t>’</w:t>
      </w:r>
      <w:r w:rsidRPr="00693A73">
        <w:rPr>
          <w:rFonts w:ascii="Arial" w:hAnsi="Arial" w:cs="Arial"/>
          <w:bCs/>
          <w:sz w:val="22"/>
          <w:szCs w:val="22"/>
          <w:lang w:val="fr-FR"/>
        </w:rPr>
        <w:t>établissement</w:t>
      </w:r>
      <w:r>
        <w:rPr>
          <w:rFonts w:ascii="Arial" w:hAnsi="Arial" w:cs="Arial"/>
          <w:bCs/>
          <w:sz w:val="22"/>
          <w:szCs w:val="22"/>
          <w:lang w:val="fr-FR"/>
        </w:rPr>
        <w:t xml:space="preserve"> </w:t>
      </w:r>
      <w:r w:rsidRPr="00693A73">
        <w:rPr>
          <w:rFonts w:ascii="Arial" w:hAnsi="Arial" w:cs="Arial"/>
          <w:bCs/>
          <w:sz w:val="22"/>
          <w:szCs w:val="22"/>
          <w:lang w:val="fr-FR"/>
        </w:rPr>
        <w:t>de l</w:t>
      </w:r>
      <w:r w:rsidR="008E532B">
        <w:rPr>
          <w:rFonts w:ascii="Arial" w:hAnsi="Arial" w:cs="Arial"/>
          <w:bCs/>
          <w:sz w:val="22"/>
          <w:szCs w:val="22"/>
          <w:lang w:val="fr-FR"/>
        </w:rPr>
        <w:t>’</w:t>
      </w:r>
      <w:r w:rsidRPr="00693A73">
        <w:rPr>
          <w:rFonts w:ascii="Arial" w:hAnsi="Arial" w:cs="Arial"/>
          <w:bCs/>
          <w:sz w:val="22"/>
          <w:szCs w:val="22"/>
          <w:lang w:val="fr-FR"/>
        </w:rPr>
        <w:t>Organe d</w:t>
      </w:r>
      <w:r w:rsidR="008E532B">
        <w:rPr>
          <w:rFonts w:ascii="Arial" w:hAnsi="Arial" w:cs="Arial"/>
          <w:bCs/>
          <w:sz w:val="22"/>
          <w:szCs w:val="22"/>
          <w:lang w:val="fr-FR"/>
        </w:rPr>
        <w:t>’</w:t>
      </w:r>
      <w:r w:rsidRPr="00693A73">
        <w:rPr>
          <w:rFonts w:ascii="Arial" w:hAnsi="Arial" w:cs="Arial"/>
          <w:bCs/>
          <w:sz w:val="22"/>
          <w:szCs w:val="22"/>
          <w:lang w:val="fr-FR"/>
        </w:rPr>
        <w:t xml:space="preserve">évaluation. La délégation </w:t>
      </w:r>
      <w:r>
        <w:rPr>
          <w:rFonts w:ascii="Arial" w:hAnsi="Arial" w:cs="Arial"/>
          <w:bCs/>
          <w:sz w:val="22"/>
          <w:szCs w:val="22"/>
          <w:lang w:val="fr-FR"/>
        </w:rPr>
        <w:t>a repris à son compte</w:t>
      </w:r>
      <w:r w:rsidRPr="00693A73">
        <w:rPr>
          <w:rFonts w:ascii="Arial" w:hAnsi="Arial" w:cs="Arial"/>
          <w:bCs/>
          <w:sz w:val="22"/>
          <w:szCs w:val="22"/>
          <w:lang w:val="fr-FR"/>
        </w:rPr>
        <w:t xml:space="preserve"> </w:t>
      </w:r>
      <w:r>
        <w:rPr>
          <w:rFonts w:ascii="Arial" w:hAnsi="Arial" w:cs="Arial"/>
          <w:bCs/>
          <w:sz w:val="22"/>
          <w:szCs w:val="22"/>
          <w:lang w:val="fr-FR"/>
        </w:rPr>
        <w:t>l</w:t>
      </w:r>
      <w:r w:rsidRPr="00693A73">
        <w:rPr>
          <w:rFonts w:ascii="Arial" w:hAnsi="Arial" w:cs="Arial"/>
          <w:bCs/>
          <w:sz w:val="22"/>
          <w:szCs w:val="22"/>
          <w:lang w:val="fr-FR"/>
        </w:rPr>
        <w:t>es remarques de l</w:t>
      </w:r>
      <w:r w:rsidR="008E532B">
        <w:rPr>
          <w:rFonts w:ascii="Arial" w:hAnsi="Arial" w:cs="Arial"/>
          <w:bCs/>
          <w:sz w:val="22"/>
          <w:szCs w:val="22"/>
          <w:lang w:val="fr-FR"/>
        </w:rPr>
        <w:t>’</w:t>
      </w:r>
      <w:r w:rsidRPr="00693A73">
        <w:rPr>
          <w:rFonts w:ascii="Arial" w:hAnsi="Arial" w:cs="Arial"/>
          <w:bCs/>
          <w:sz w:val="22"/>
          <w:szCs w:val="22"/>
          <w:lang w:val="fr-FR"/>
        </w:rPr>
        <w:t>Estonie et de la Suisse, et s</w:t>
      </w:r>
      <w:r w:rsidR="008E532B">
        <w:rPr>
          <w:rFonts w:ascii="Arial" w:hAnsi="Arial" w:cs="Arial"/>
          <w:bCs/>
          <w:sz w:val="22"/>
          <w:szCs w:val="22"/>
          <w:lang w:val="fr-FR"/>
        </w:rPr>
        <w:t>’</w:t>
      </w:r>
      <w:r w:rsidRPr="00693A73">
        <w:rPr>
          <w:rFonts w:ascii="Arial" w:hAnsi="Arial" w:cs="Arial"/>
          <w:bCs/>
          <w:sz w:val="22"/>
          <w:szCs w:val="22"/>
          <w:lang w:val="fr-FR"/>
        </w:rPr>
        <w:t xml:space="preserve">est également prononcée en faveur de la diversité des partenaires non gouvernementaux dans la sauvegarde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693A73">
        <w:rPr>
          <w:rFonts w:ascii="Arial" w:hAnsi="Arial" w:cs="Arial"/>
          <w:bCs/>
          <w:sz w:val="22"/>
          <w:szCs w:val="22"/>
          <w:lang w:val="fr-FR"/>
        </w:rPr>
        <w:t>pour le bénéfice du partage de leurs connaissances et compétences. La délégation n</w:t>
      </w:r>
      <w:r>
        <w:rPr>
          <w:rFonts w:ascii="Arial" w:hAnsi="Arial" w:cs="Arial"/>
          <w:bCs/>
          <w:sz w:val="22"/>
          <w:szCs w:val="22"/>
          <w:lang w:val="fr-FR"/>
        </w:rPr>
        <w:t xml:space="preserve">e soutenait </w:t>
      </w:r>
      <w:r w:rsidRPr="00693A73">
        <w:rPr>
          <w:rFonts w:ascii="Arial" w:hAnsi="Arial" w:cs="Arial"/>
          <w:bCs/>
          <w:sz w:val="22"/>
          <w:szCs w:val="22"/>
          <w:lang w:val="fr-FR"/>
        </w:rPr>
        <w:t>donc pas l</w:t>
      </w:r>
      <w:r w:rsidR="008E532B">
        <w:rPr>
          <w:rFonts w:ascii="Arial" w:hAnsi="Arial" w:cs="Arial"/>
          <w:bCs/>
          <w:sz w:val="22"/>
          <w:szCs w:val="22"/>
          <w:lang w:val="fr-FR"/>
        </w:rPr>
        <w:t>’</w:t>
      </w:r>
      <w:r w:rsidRPr="00693A73">
        <w:rPr>
          <w:rFonts w:ascii="Arial" w:hAnsi="Arial" w:cs="Arial"/>
          <w:bCs/>
          <w:sz w:val="22"/>
          <w:szCs w:val="22"/>
          <w:lang w:val="fr-FR"/>
        </w:rPr>
        <w:t>amendement de la Palestine et souhait</w:t>
      </w:r>
      <w:r>
        <w:rPr>
          <w:rFonts w:ascii="Arial" w:hAnsi="Arial" w:cs="Arial"/>
          <w:bCs/>
          <w:sz w:val="22"/>
          <w:szCs w:val="22"/>
          <w:lang w:val="fr-FR"/>
        </w:rPr>
        <w:t>ait</w:t>
      </w:r>
      <w:r w:rsidRPr="00693A73">
        <w:rPr>
          <w:rFonts w:ascii="Arial" w:hAnsi="Arial" w:cs="Arial"/>
          <w:bCs/>
          <w:sz w:val="22"/>
          <w:szCs w:val="22"/>
          <w:lang w:val="fr-FR"/>
        </w:rPr>
        <w:t xml:space="preserve"> revenir au texte original.</w:t>
      </w:r>
    </w:p>
    <w:p w14:paraId="40B479C5" w14:textId="7C75D06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Rappelant les</w:t>
      </w:r>
      <w:r w:rsidRPr="00693A73">
        <w:rPr>
          <w:rFonts w:ascii="Arial" w:hAnsi="Arial" w:cs="Arial"/>
          <w:bCs/>
          <w:sz w:val="22"/>
          <w:szCs w:val="22"/>
          <w:lang w:val="fr-FR"/>
        </w:rPr>
        <w:t xml:space="preserve"> interventions de l</w:t>
      </w:r>
      <w:r w:rsidR="008E532B">
        <w:rPr>
          <w:rFonts w:ascii="Arial" w:hAnsi="Arial" w:cs="Arial"/>
          <w:bCs/>
          <w:sz w:val="22"/>
          <w:szCs w:val="22"/>
          <w:lang w:val="fr-FR"/>
        </w:rPr>
        <w:t>’</w:t>
      </w:r>
      <w:r w:rsidRPr="00693A73">
        <w:rPr>
          <w:rFonts w:ascii="Arial" w:hAnsi="Arial" w:cs="Arial"/>
          <w:bCs/>
          <w:sz w:val="22"/>
          <w:szCs w:val="22"/>
          <w:lang w:val="fr-FR"/>
        </w:rPr>
        <w:t>Estonie, de la Tchéquie et de la Suisse</w:t>
      </w:r>
      <w:r>
        <w:rPr>
          <w:rFonts w:ascii="Arial" w:hAnsi="Arial" w:cs="Arial"/>
          <w:bCs/>
          <w:sz w:val="22"/>
          <w:szCs w:val="22"/>
          <w:lang w:val="fr-FR"/>
        </w:rPr>
        <w:t>,</w:t>
      </w:r>
      <w:r w:rsidRPr="00693A73">
        <w:rPr>
          <w:rFonts w:ascii="Arial" w:hAnsi="Arial" w:cs="Arial"/>
          <w:bCs/>
          <w:sz w:val="22"/>
          <w:szCs w:val="22"/>
          <w:lang w:val="fr-FR"/>
        </w:rPr>
        <w:t xml:space="preserve"> </w:t>
      </w:r>
      <w:r>
        <w:rPr>
          <w:rFonts w:ascii="Arial" w:hAnsi="Arial" w:cs="Arial"/>
          <w:bCs/>
          <w:sz w:val="22"/>
          <w:szCs w:val="22"/>
          <w:lang w:val="fr-FR"/>
        </w:rPr>
        <w:t xml:space="preserve">la </w:t>
      </w:r>
      <w:r w:rsidRPr="00580957">
        <w:rPr>
          <w:rFonts w:ascii="Arial" w:hAnsi="Arial" w:cs="Arial"/>
          <w:bCs/>
          <w:sz w:val="22"/>
          <w:szCs w:val="22"/>
          <w:lang w:val="fr-FR"/>
        </w:rPr>
        <w:t>délégation</w:t>
      </w:r>
      <w:r>
        <w:rPr>
          <w:rFonts w:ascii="Arial" w:hAnsi="Arial" w:cs="Arial"/>
          <w:bCs/>
          <w:sz w:val="22"/>
          <w:szCs w:val="22"/>
          <w:lang w:val="fr-FR"/>
        </w:rPr>
        <w:t xml:space="preserve"> de la </w:t>
      </w:r>
      <w:r w:rsidRPr="00580957">
        <w:rPr>
          <w:rFonts w:ascii="Arial" w:hAnsi="Arial" w:cs="Arial"/>
          <w:b/>
          <w:sz w:val="22"/>
          <w:szCs w:val="22"/>
          <w:lang w:val="fr-FR"/>
        </w:rPr>
        <w:t>Belgique</w:t>
      </w:r>
      <w:r>
        <w:rPr>
          <w:rFonts w:ascii="Arial" w:hAnsi="Arial" w:cs="Arial"/>
          <w:bCs/>
          <w:sz w:val="22"/>
          <w:szCs w:val="22"/>
          <w:lang w:val="fr-FR"/>
        </w:rPr>
        <w:t xml:space="preserve"> </w:t>
      </w:r>
      <w:r w:rsidRPr="00693A73">
        <w:rPr>
          <w:rFonts w:ascii="Arial" w:hAnsi="Arial" w:cs="Arial"/>
          <w:bCs/>
          <w:sz w:val="22"/>
          <w:szCs w:val="22"/>
          <w:lang w:val="fr-FR"/>
        </w:rPr>
        <w:t>souten</w:t>
      </w:r>
      <w:r>
        <w:rPr>
          <w:rFonts w:ascii="Arial" w:hAnsi="Arial" w:cs="Arial"/>
          <w:bCs/>
          <w:sz w:val="22"/>
          <w:szCs w:val="22"/>
          <w:lang w:val="fr-FR"/>
        </w:rPr>
        <w:t>ait</w:t>
      </w:r>
      <w:r w:rsidRPr="00693A73">
        <w:rPr>
          <w:rFonts w:ascii="Arial" w:hAnsi="Arial" w:cs="Arial"/>
          <w:bCs/>
          <w:sz w:val="22"/>
          <w:szCs w:val="22"/>
          <w:lang w:val="fr-FR"/>
        </w:rPr>
        <w:t xml:space="preserve"> le travail des ONG dans le cadre de la Convention. Les ONG </w:t>
      </w:r>
      <w:r>
        <w:rPr>
          <w:rFonts w:ascii="Arial" w:hAnsi="Arial" w:cs="Arial"/>
          <w:bCs/>
          <w:sz w:val="22"/>
          <w:szCs w:val="22"/>
          <w:lang w:val="fr-FR"/>
        </w:rPr>
        <w:t>étaient</w:t>
      </w:r>
      <w:r w:rsidRPr="00693A73">
        <w:rPr>
          <w:rFonts w:ascii="Arial" w:hAnsi="Arial" w:cs="Arial"/>
          <w:bCs/>
          <w:sz w:val="22"/>
          <w:szCs w:val="22"/>
          <w:lang w:val="fr-FR"/>
        </w:rPr>
        <w:t xml:space="preserve"> non gouvernementales et, par conséquent, elle soutenait également l</w:t>
      </w:r>
      <w:r w:rsidR="008E532B">
        <w:rPr>
          <w:rFonts w:ascii="Arial" w:hAnsi="Arial" w:cs="Arial"/>
          <w:bCs/>
          <w:sz w:val="22"/>
          <w:szCs w:val="22"/>
          <w:lang w:val="fr-FR"/>
        </w:rPr>
        <w:t>’</w:t>
      </w:r>
      <w:r w:rsidRPr="00693A73">
        <w:rPr>
          <w:rFonts w:ascii="Arial" w:hAnsi="Arial" w:cs="Arial"/>
          <w:bCs/>
          <w:sz w:val="22"/>
          <w:szCs w:val="22"/>
          <w:lang w:val="fr-FR"/>
        </w:rPr>
        <w:t>accréditation des ONG domiciliées dans des États non parties à la Convention. Elle n</w:t>
      </w:r>
      <w:r>
        <w:rPr>
          <w:rFonts w:ascii="Arial" w:hAnsi="Arial" w:cs="Arial"/>
          <w:bCs/>
          <w:sz w:val="22"/>
          <w:szCs w:val="22"/>
          <w:lang w:val="fr-FR"/>
        </w:rPr>
        <w:t xml:space="preserve">e soutenait </w:t>
      </w:r>
      <w:r w:rsidRPr="00693A73">
        <w:rPr>
          <w:rFonts w:ascii="Arial" w:hAnsi="Arial" w:cs="Arial"/>
          <w:bCs/>
          <w:sz w:val="22"/>
          <w:szCs w:val="22"/>
          <w:lang w:val="fr-FR"/>
        </w:rPr>
        <w:t>pas l</w:t>
      </w:r>
      <w:r w:rsidR="008E532B">
        <w:rPr>
          <w:rFonts w:ascii="Arial" w:hAnsi="Arial" w:cs="Arial"/>
          <w:bCs/>
          <w:sz w:val="22"/>
          <w:szCs w:val="22"/>
          <w:lang w:val="fr-FR"/>
        </w:rPr>
        <w:t>’</w:t>
      </w:r>
      <w:r w:rsidRPr="00693A73">
        <w:rPr>
          <w:rFonts w:ascii="Arial" w:hAnsi="Arial" w:cs="Arial"/>
          <w:bCs/>
          <w:sz w:val="22"/>
          <w:szCs w:val="22"/>
          <w:lang w:val="fr-FR"/>
        </w:rPr>
        <w:t>amendement de la Palestine.</w:t>
      </w:r>
    </w:p>
    <w:p w14:paraId="66B05F45" w14:textId="34D3025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80957">
        <w:rPr>
          <w:rFonts w:ascii="Arial" w:hAnsi="Arial" w:cs="Arial"/>
          <w:bCs/>
          <w:sz w:val="22"/>
          <w:szCs w:val="22"/>
          <w:lang w:val="fr-FR"/>
        </w:rPr>
        <w:t xml:space="preserve">La délégation de la </w:t>
      </w:r>
      <w:r w:rsidRPr="00580957">
        <w:rPr>
          <w:rFonts w:ascii="Arial" w:hAnsi="Arial" w:cs="Arial"/>
          <w:b/>
          <w:sz w:val="22"/>
          <w:szCs w:val="22"/>
          <w:lang w:val="fr-FR"/>
        </w:rPr>
        <w:t>Palestine</w:t>
      </w:r>
      <w:r w:rsidRPr="00580957">
        <w:rPr>
          <w:rFonts w:ascii="Arial" w:hAnsi="Arial" w:cs="Arial"/>
          <w:bCs/>
          <w:sz w:val="22"/>
          <w:szCs w:val="22"/>
          <w:lang w:val="fr-FR"/>
        </w:rPr>
        <w:t xml:space="preserve"> a remercié le Conseiller juridique pour son explication </w:t>
      </w:r>
      <w:r>
        <w:rPr>
          <w:rFonts w:ascii="Arial" w:hAnsi="Arial" w:cs="Arial"/>
          <w:bCs/>
          <w:sz w:val="22"/>
          <w:szCs w:val="22"/>
          <w:lang w:val="fr-FR"/>
        </w:rPr>
        <w:t xml:space="preserve">basée </w:t>
      </w:r>
      <w:r w:rsidRPr="00580957">
        <w:rPr>
          <w:rFonts w:ascii="Arial" w:hAnsi="Arial" w:cs="Arial"/>
          <w:bCs/>
          <w:sz w:val="22"/>
          <w:szCs w:val="22"/>
          <w:lang w:val="fr-FR"/>
        </w:rPr>
        <w:t>sur le texte</w:t>
      </w:r>
      <w:r>
        <w:rPr>
          <w:rFonts w:ascii="Arial" w:hAnsi="Arial" w:cs="Arial"/>
          <w:bCs/>
          <w:sz w:val="22"/>
          <w:szCs w:val="22"/>
          <w:lang w:val="fr-FR"/>
        </w:rPr>
        <w:t>. Toutefois,</w:t>
      </w:r>
      <w:r w:rsidRPr="00580957">
        <w:rPr>
          <w:rFonts w:ascii="Arial" w:hAnsi="Arial" w:cs="Arial"/>
          <w:bCs/>
          <w:sz w:val="22"/>
          <w:szCs w:val="22"/>
          <w:lang w:val="fr-FR"/>
        </w:rPr>
        <w:t xml:space="preserve"> </w:t>
      </w:r>
      <w:r>
        <w:rPr>
          <w:rFonts w:ascii="Arial" w:hAnsi="Arial" w:cs="Arial"/>
          <w:bCs/>
          <w:sz w:val="22"/>
          <w:szCs w:val="22"/>
          <w:lang w:val="fr-FR"/>
        </w:rPr>
        <w:t>aucun élément n</w:t>
      </w:r>
      <w:r w:rsidR="008E532B">
        <w:rPr>
          <w:rFonts w:ascii="Arial" w:hAnsi="Arial" w:cs="Arial"/>
          <w:bCs/>
          <w:sz w:val="22"/>
          <w:szCs w:val="22"/>
          <w:lang w:val="fr-FR"/>
        </w:rPr>
        <w:t>’</w:t>
      </w:r>
      <w:r>
        <w:rPr>
          <w:rFonts w:ascii="Arial" w:hAnsi="Arial" w:cs="Arial"/>
          <w:bCs/>
          <w:sz w:val="22"/>
          <w:szCs w:val="22"/>
          <w:lang w:val="fr-FR"/>
        </w:rPr>
        <w:t xml:space="preserve">indiquait clairement </w:t>
      </w:r>
      <w:r w:rsidRPr="00580957">
        <w:rPr>
          <w:rFonts w:ascii="Arial" w:hAnsi="Arial" w:cs="Arial"/>
          <w:bCs/>
          <w:sz w:val="22"/>
          <w:szCs w:val="22"/>
          <w:lang w:val="fr-FR"/>
        </w:rPr>
        <w:t>si les textes actuels permett</w:t>
      </w:r>
      <w:r>
        <w:rPr>
          <w:rFonts w:ascii="Arial" w:hAnsi="Arial" w:cs="Arial"/>
          <w:bCs/>
          <w:sz w:val="22"/>
          <w:szCs w:val="22"/>
          <w:lang w:val="fr-FR"/>
        </w:rPr>
        <w:t>ai</w:t>
      </w:r>
      <w:r w:rsidRPr="00580957">
        <w:rPr>
          <w:rFonts w:ascii="Arial" w:hAnsi="Arial" w:cs="Arial"/>
          <w:bCs/>
          <w:sz w:val="22"/>
          <w:szCs w:val="22"/>
          <w:lang w:val="fr-FR"/>
        </w:rPr>
        <w:t xml:space="preserve">ent explicitement aux ONG </w:t>
      </w:r>
      <w:r>
        <w:rPr>
          <w:rFonts w:ascii="Arial" w:hAnsi="Arial" w:cs="Arial"/>
          <w:bCs/>
          <w:sz w:val="22"/>
          <w:szCs w:val="22"/>
          <w:lang w:val="fr-FR"/>
        </w:rPr>
        <w:t xml:space="preserve">non </w:t>
      </w:r>
      <w:r w:rsidRPr="00580957">
        <w:rPr>
          <w:rFonts w:ascii="Arial" w:hAnsi="Arial" w:cs="Arial"/>
          <w:bCs/>
          <w:sz w:val="22"/>
          <w:szCs w:val="22"/>
          <w:lang w:val="fr-FR"/>
        </w:rPr>
        <w:t>domiciliées dans les États parties d</w:t>
      </w:r>
      <w:r w:rsidR="008E532B">
        <w:rPr>
          <w:rFonts w:ascii="Arial" w:hAnsi="Arial" w:cs="Arial"/>
          <w:bCs/>
          <w:sz w:val="22"/>
          <w:szCs w:val="22"/>
          <w:lang w:val="fr-FR"/>
        </w:rPr>
        <w:t>’</w:t>
      </w:r>
      <w:r w:rsidRPr="00580957">
        <w:rPr>
          <w:rFonts w:ascii="Arial" w:hAnsi="Arial" w:cs="Arial"/>
          <w:bCs/>
          <w:sz w:val="22"/>
          <w:szCs w:val="22"/>
          <w:lang w:val="fr-FR"/>
        </w:rPr>
        <w:t>être accréditées. La délégation a</w:t>
      </w:r>
      <w:r>
        <w:rPr>
          <w:rFonts w:ascii="Arial" w:hAnsi="Arial" w:cs="Arial"/>
          <w:bCs/>
          <w:sz w:val="22"/>
          <w:szCs w:val="22"/>
          <w:lang w:val="fr-FR"/>
        </w:rPr>
        <w:t>vait</w:t>
      </w:r>
      <w:r w:rsidRPr="00580957">
        <w:rPr>
          <w:rFonts w:ascii="Arial" w:hAnsi="Arial" w:cs="Arial"/>
          <w:bCs/>
          <w:sz w:val="22"/>
          <w:szCs w:val="22"/>
          <w:lang w:val="fr-FR"/>
        </w:rPr>
        <w:t xml:space="preserve"> cru comprendre qu</w:t>
      </w:r>
      <w:r w:rsidR="008E532B">
        <w:rPr>
          <w:rFonts w:ascii="Arial" w:hAnsi="Arial" w:cs="Arial"/>
          <w:bCs/>
          <w:sz w:val="22"/>
          <w:szCs w:val="22"/>
          <w:lang w:val="fr-FR"/>
        </w:rPr>
        <w:t>’</w:t>
      </w:r>
      <w:r w:rsidRPr="00580957">
        <w:rPr>
          <w:rFonts w:ascii="Arial" w:hAnsi="Arial" w:cs="Arial"/>
          <w:bCs/>
          <w:sz w:val="22"/>
          <w:szCs w:val="22"/>
          <w:lang w:val="fr-FR"/>
        </w:rPr>
        <w:t>il n</w:t>
      </w:r>
      <w:r w:rsidR="008E532B">
        <w:rPr>
          <w:rFonts w:ascii="Arial" w:hAnsi="Arial" w:cs="Arial"/>
          <w:bCs/>
          <w:sz w:val="22"/>
          <w:szCs w:val="22"/>
          <w:lang w:val="fr-FR"/>
        </w:rPr>
        <w:t>’</w:t>
      </w:r>
      <w:r w:rsidRPr="00580957">
        <w:rPr>
          <w:rFonts w:ascii="Arial" w:hAnsi="Arial" w:cs="Arial"/>
          <w:bCs/>
          <w:sz w:val="22"/>
          <w:szCs w:val="22"/>
          <w:lang w:val="fr-FR"/>
        </w:rPr>
        <w:t>y avait rien qui leur permett</w:t>
      </w:r>
      <w:r>
        <w:rPr>
          <w:rFonts w:ascii="Arial" w:hAnsi="Arial" w:cs="Arial"/>
          <w:bCs/>
          <w:sz w:val="22"/>
          <w:szCs w:val="22"/>
          <w:lang w:val="fr-FR"/>
        </w:rPr>
        <w:t>ait</w:t>
      </w:r>
      <w:r w:rsidRPr="00580957">
        <w:rPr>
          <w:rFonts w:ascii="Arial" w:hAnsi="Arial" w:cs="Arial"/>
          <w:bCs/>
          <w:sz w:val="22"/>
          <w:szCs w:val="22"/>
          <w:lang w:val="fr-FR"/>
        </w:rPr>
        <w:t xml:space="preserve"> explicitement d</w:t>
      </w:r>
      <w:r w:rsidR="008E532B">
        <w:rPr>
          <w:rFonts w:ascii="Arial" w:hAnsi="Arial" w:cs="Arial"/>
          <w:bCs/>
          <w:sz w:val="22"/>
          <w:szCs w:val="22"/>
          <w:lang w:val="fr-FR"/>
        </w:rPr>
        <w:t>’</w:t>
      </w:r>
      <w:r w:rsidRPr="00580957">
        <w:rPr>
          <w:rFonts w:ascii="Arial" w:hAnsi="Arial" w:cs="Arial"/>
          <w:bCs/>
          <w:sz w:val="22"/>
          <w:szCs w:val="22"/>
          <w:lang w:val="fr-FR"/>
        </w:rPr>
        <w:t>être accréditées</w:t>
      </w:r>
      <w:r>
        <w:rPr>
          <w:rFonts w:ascii="Arial" w:hAnsi="Arial" w:cs="Arial"/>
          <w:bCs/>
          <w:sz w:val="22"/>
          <w:szCs w:val="22"/>
          <w:lang w:val="fr-FR"/>
        </w:rPr>
        <w:t>,</w:t>
      </w:r>
      <w:r w:rsidRPr="00580957">
        <w:rPr>
          <w:rFonts w:ascii="Arial" w:hAnsi="Arial" w:cs="Arial"/>
          <w:bCs/>
          <w:sz w:val="22"/>
          <w:szCs w:val="22"/>
          <w:lang w:val="fr-FR"/>
        </w:rPr>
        <w:t xml:space="preserve"> ni qui les empêch</w:t>
      </w:r>
      <w:r>
        <w:rPr>
          <w:rFonts w:ascii="Arial" w:hAnsi="Arial" w:cs="Arial"/>
          <w:bCs/>
          <w:sz w:val="22"/>
          <w:szCs w:val="22"/>
          <w:lang w:val="fr-FR"/>
        </w:rPr>
        <w:t>ait</w:t>
      </w:r>
      <w:r w:rsidRPr="00580957">
        <w:rPr>
          <w:rFonts w:ascii="Arial" w:hAnsi="Arial" w:cs="Arial"/>
          <w:bCs/>
          <w:sz w:val="22"/>
          <w:szCs w:val="22"/>
          <w:lang w:val="fr-FR"/>
        </w:rPr>
        <w:t xml:space="preserve"> explicitement de l</w:t>
      </w:r>
      <w:r w:rsidR="008E532B">
        <w:rPr>
          <w:rFonts w:ascii="Arial" w:hAnsi="Arial" w:cs="Arial"/>
          <w:bCs/>
          <w:sz w:val="22"/>
          <w:szCs w:val="22"/>
          <w:lang w:val="fr-FR"/>
        </w:rPr>
        <w:t>’</w:t>
      </w:r>
      <w:r w:rsidRPr="00580957">
        <w:rPr>
          <w:rFonts w:ascii="Arial" w:hAnsi="Arial" w:cs="Arial"/>
          <w:bCs/>
          <w:sz w:val="22"/>
          <w:szCs w:val="22"/>
          <w:lang w:val="fr-FR"/>
        </w:rPr>
        <w:t>être. La question était donc la suivante</w:t>
      </w:r>
      <w:r>
        <w:rPr>
          <w:rFonts w:ascii="Arial" w:hAnsi="Arial" w:cs="Arial"/>
          <w:bCs/>
          <w:sz w:val="22"/>
          <w:szCs w:val="22"/>
          <w:lang w:val="fr-FR"/>
        </w:rPr>
        <w:t> </w:t>
      </w:r>
      <w:r w:rsidRPr="00580957">
        <w:rPr>
          <w:rFonts w:ascii="Arial" w:hAnsi="Arial" w:cs="Arial"/>
          <w:bCs/>
          <w:sz w:val="22"/>
          <w:szCs w:val="22"/>
          <w:lang w:val="fr-FR"/>
        </w:rPr>
        <w:t>: Y</w:t>
      </w:r>
      <w:r>
        <w:rPr>
          <w:rFonts w:ascii="Arial" w:hAnsi="Arial" w:cs="Arial"/>
          <w:bCs/>
          <w:sz w:val="22"/>
          <w:szCs w:val="22"/>
          <w:lang w:val="fr-FR"/>
        </w:rPr>
        <w:t> </w:t>
      </w:r>
      <w:r w:rsidRPr="00580957">
        <w:rPr>
          <w:rFonts w:ascii="Arial" w:hAnsi="Arial" w:cs="Arial"/>
          <w:bCs/>
          <w:sz w:val="22"/>
          <w:szCs w:val="22"/>
          <w:lang w:val="fr-FR"/>
        </w:rPr>
        <w:t>a-t-il un texte spécifique dans les textes actuels qui permet</w:t>
      </w:r>
      <w:r>
        <w:rPr>
          <w:rFonts w:ascii="Arial" w:hAnsi="Arial" w:cs="Arial"/>
          <w:bCs/>
          <w:sz w:val="22"/>
          <w:szCs w:val="22"/>
          <w:lang w:val="fr-FR"/>
        </w:rPr>
        <w:t>te</w:t>
      </w:r>
      <w:r w:rsidRPr="00580957">
        <w:rPr>
          <w:rFonts w:ascii="Arial" w:hAnsi="Arial" w:cs="Arial"/>
          <w:bCs/>
          <w:sz w:val="22"/>
          <w:szCs w:val="22"/>
          <w:lang w:val="fr-FR"/>
        </w:rPr>
        <w:t xml:space="preserve"> ou interdi</w:t>
      </w:r>
      <w:r>
        <w:rPr>
          <w:rFonts w:ascii="Arial" w:hAnsi="Arial" w:cs="Arial"/>
          <w:bCs/>
          <w:sz w:val="22"/>
          <w:szCs w:val="22"/>
          <w:lang w:val="fr-FR"/>
        </w:rPr>
        <w:t xml:space="preserve">se </w:t>
      </w:r>
      <w:r w:rsidRPr="00580957">
        <w:rPr>
          <w:rFonts w:ascii="Arial" w:hAnsi="Arial" w:cs="Arial"/>
          <w:bCs/>
          <w:sz w:val="22"/>
          <w:szCs w:val="22"/>
          <w:lang w:val="fr-FR"/>
        </w:rPr>
        <w:t>aux ONG d</w:t>
      </w:r>
      <w:r w:rsidR="008E532B">
        <w:rPr>
          <w:rFonts w:ascii="Arial" w:hAnsi="Arial" w:cs="Arial"/>
          <w:bCs/>
          <w:sz w:val="22"/>
          <w:szCs w:val="22"/>
          <w:lang w:val="fr-FR"/>
        </w:rPr>
        <w:t>’</w:t>
      </w:r>
      <w:r w:rsidRPr="00580957">
        <w:rPr>
          <w:rFonts w:ascii="Arial" w:hAnsi="Arial" w:cs="Arial"/>
          <w:bCs/>
          <w:sz w:val="22"/>
          <w:szCs w:val="22"/>
          <w:lang w:val="fr-FR"/>
        </w:rPr>
        <w:t>être accréditées ? D</w:t>
      </w:r>
      <w:r w:rsidR="008E532B">
        <w:rPr>
          <w:rFonts w:ascii="Arial" w:hAnsi="Arial" w:cs="Arial"/>
          <w:bCs/>
          <w:sz w:val="22"/>
          <w:szCs w:val="22"/>
          <w:lang w:val="fr-FR"/>
        </w:rPr>
        <w:t>’</w:t>
      </w:r>
      <w:r w:rsidRPr="00580957">
        <w:rPr>
          <w:rFonts w:ascii="Arial" w:hAnsi="Arial" w:cs="Arial"/>
          <w:bCs/>
          <w:sz w:val="22"/>
          <w:szCs w:val="22"/>
          <w:lang w:val="fr-FR"/>
        </w:rPr>
        <w:t>un point de vue juridique, il s</w:t>
      </w:r>
      <w:r w:rsidR="008E532B">
        <w:rPr>
          <w:rFonts w:ascii="Arial" w:hAnsi="Arial" w:cs="Arial"/>
          <w:bCs/>
          <w:sz w:val="22"/>
          <w:szCs w:val="22"/>
          <w:lang w:val="fr-FR"/>
        </w:rPr>
        <w:t>’</w:t>
      </w:r>
      <w:r w:rsidRPr="00580957">
        <w:rPr>
          <w:rFonts w:ascii="Arial" w:hAnsi="Arial" w:cs="Arial"/>
          <w:bCs/>
          <w:sz w:val="22"/>
          <w:szCs w:val="22"/>
          <w:lang w:val="fr-FR"/>
        </w:rPr>
        <w:t>agissait d</w:t>
      </w:r>
      <w:r w:rsidR="008E532B">
        <w:rPr>
          <w:rFonts w:ascii="Arial" w:hAnsi="Arial" w:cs="Arial"/>
          <w:bCs/>
          <w:sz w:val="22"/>
          <w:szCs w:val="22"/>
          <w:lang w:val="fr-FR"/>
        </w:rPr>
        <w:t>’</w:t>
      </w:r>
      <w:r w:rsidRPr="00580957">
        <w:rPr>
          <w:rFonts w:ascii="Arial" w:hAnsi="Arial" w:cs="Arial"/>
          <w:bCs/>
          <w:sz w:val="22"/>
          <w:szCs w:val="22"/>
          <w:lang w:val="fr-FR"/>
        </w:rPr>
        <w:t>une zone grise. Lorsqu</w:t>
      </w:r>
      <w:r w:rsidR="008E532B">
        <w:rPr>
          <w:rFonts w:ascii="Arial" w:hAnsi="Arial" w:cs="Arial"/>
          <w:bCs/>
          <w:sz w:val="22"/>
          <w:szCs w:val="22"/>
          <w:lang w:val="fr-FR"/>
        </w:rPr>
        <w:t>’</w:t>
      </w:r>
      <w:r w:rsidRPr="00580957">
        <w:rPr>
          <w:rFonts w:ascii="Arial" w:hAnsi="Arial" w:cs="Arial"/>
          <w:bCs/>
          <w:sz w:val="22"/>
          <w:szCs w:val="22"/>
          <w:lang w:val="fr-FR"/>
        </w:rPr>
        <w:t>il y a</w:t>
      </w:r>
      <w:r>
        <w:rPr>
          <w:rFonts w:ascii="Arial" w:hAnsi="Arial" w:cs="Arial"/>
          <w:bCs/>
          <w:sz w:val="22"/>
          <w:szCs w:val="22"/>
          <w:lang w:val="fr-FR"/>
        </w:rPr>
        <w:t>vait</w:t>
      </w:r>
      <w:r w:rsidRPr="00580957">
        <w:rPr>
          <w:rFonts w:ascii="Arial" w:hAnsi="Arial" w:cs="Arial"/>
          <w:bCs/>
          <w:sz w:val="22"/>
          <w:szCs w:val="22"/>
          <w:lang w:val="fr-FR"/>
        </w:rPr>
        <w:t xml:space="preserve"> des zones grises dans les textes juridiques, c</w:t>
      </w:r>
      <w:r w:rsidR="008E532B">
        <w:rPr>
          <w:rFonts w:ascii="Arial" w:hAnsi="Arial" w:cs="Arial"/>
          <w:bCs/>
          <w:sz w:val="22"/>
          <w:szCs w:val="22"/>
          <w:lang w:val="fr-FR"/>
        </w:rPr>
        <w:t>’</w:t>
      </w:r>
      <w:r>
        <w:rPr>
          <w:rFonts w:ascii="Arial" w:hAnsi="Arial" w:cs="Arial"/>
          <w:bCs/>
          <w:sz w:val="22"/>
          <w:szCs w:val="22"/>
          <w:lang w:val="fr-FR"/>
        </w:rPr>
        <w:t>était</w:t>
      </w:r>
      <w:r w:rsidRPr="00580957">
        <w:rPr>
          <w:rFonts w:ascii="Arial" w:hAnsi="Arial" w:cs="Arial"/>
          <w:bCs/>
          <w:sz w:val="22"/>
          <w:szCs w:val="22"/>
          <w:lang w:val="fr-FR"/>
        </w:rPr>
        <w:t xml:space="preserve"> l</w:t>
      </w:r>
      <w:r w:rsidR="008E532B">
        <w:rPr>
          <w:rFonts w:ascii="Arial" w:hAnsi="Arial" w:cs="Arial"/>
          <w:bCs/>
          <w:sz w:val="22"/>
          <w:szCs w:val="22"/>
          <w:lang w:val="fr-FR"/>
        </w:rPr>
        <w:t>’</w:t>
      </w:r>
      <w:r w:rsidRPr="00580957">
        <w:rPr>
          <w:rFonts w:ascii="Arial" w:hAnsi="Arial" w:cs="Arial"/>
          <w:bCs/>
          <w:sz w:val="22"/>
          <w:szCs w:val="22"/>
          <w:lang w:val="fr-FR"/>
        </w:rPr>
        <w:t>Assemblée générale qui p</w:t>
      </w:r>
      <w:r>
        <w:rPr>
          <w:rFonts w:ascii="Arial" w:hAnsi="Arial" w:cs="Arial"/>
          <w:bCs/>
          <w:sz w:val="22"/>
          <w:szCs w:val="22"/>
          <w:lang w:val="fr-FR"/>
        </w:rPr>
        <w:t>ouvait</w:t>
      </w:r>
      <w:r w:rsidRPr="00580957">
        <w:rPr>
          <w:rFonts w:ascii="Arial" w:hAnsi="Arial" w:cs="Arial"/>
          <w:bCs/>
          <w:sz w:val="22"/>
          <w:szCs w:val="22"/>
          <w:lang w:val="fr-FR"/>
        </w:rPr>
        <w:t xml:space="preserve"> se prononcer et décider.</w:t>
      </w:r>
    </w:p>
    <w:p w14:paraId="1743B8B4" w14:textId="7144EC5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F5CD5">
        <w:rPr>
          <w:rFonts w:ascii="Arial" w:hAnsi="Arial" w:cs="Arial"/>
          <w:bCs/>
          <w:sz w:val="22"/>
          <w:szCs w:val="22"/>
          <w:lang w:val="fr-FR"/>
        </w:rPr>
        <w:t xml:space="preserve">Le </w:t>
      </w:r>
      <w:r w:rsidRPr="00DF5CD5">
        <w:rPr>
          <w:rFonts w:ascii="Arial" w:hAnsi="Arial" w:cs="Arial"/>
          <w:b/>
          <w:sz w:val="22"/>
          <w:szCs w:val="22"/>
          <w:lang w:val="fr-FR"/>
        </w:rPr>
        <w:t>Conseiller juridique</w:t>
      </w:r>
      <w:r w:rsidRPr="00DF5CD5">
        <w:rPr>
          <w:rFonts w:ascii="Arial" w:hAnsi="Arial" w:cs="Arial"/>
          <w:bCs/>
          <w:sz w:val="22"/>
          <w:szCs w:val="22"/>
          <w:lang w:val="fr-FR"/>
        </w:rPr>
        <w:t xml:space="preserve"> a rappelé </w:t>
      </w:r>
      <w:r>
        <w:rPr>
          <w:rFonts w:ascii="Arial" w:hAnsi="Arial" w:cs="Arial"/>
          <w:bCs/>
          <w:sz w:val="22"/>
          <w:szCs w:val="22"/>
          <w:lang w:val="fr-FR"/>
        </w:rPr>
        <w:t xml:space="preserve">le </w:t>
      </w:r>
      <w:r w:rsidRPr="00DF5CD5">
        <w:rPr>
          <w:rFonts w:ascii="Arial" w:hAnsi="Arial" w:cs="Arial"/>
          <w:bCs/>
          <w:sz w:val="22"/>
          <w:szCs w:val="22"/>
          <w:lang w:val="fr-FR"/>
        </w:rPr>
        <w:t>paragraphe</w:t>
      </w:r>
      <w:r>
        <w:rPr>
          <w:rFonts w:ascii="Arial" w:hAnsi="Arial" w:cs="Arial"/>
          <w:bCs/>
          <w:sz w:val="22"/>
          <w:szCs w:val="22"/>
          <w:lang w:val="fr-FR"/>
        </w:rPr>
        <w:t xml:space="preserve"> 2 de </w:t>
      </w:r>
      <w:r w:rsidRPr="00DF5CD5">
        <w:rPr>
          <w:rFonts w:ascii="Arial" w:hAnsi="Arial" w:cs="Arial"/>
          <w:bCs/>
          <w:sz w:val="22"/>
          <w:szCs w:val="22"/>
          <w:lang w:val="fr-FR"/>
        </w:rPr>
        <w:t>l</w:t>
      </w:r>
      <w:r w:rsidR="008E532B">
        <w:rPr>
          <w:rFonts w:ascii="Arial" w:hAnsi="Arial" w:cs="Arial"/>
          <w:bCs/>
          <w:sz w:val="22"/>
          <w:szCs w:val="22"/>
          <w:lang w:val="fr-FR"/>
        </w:rPr>
        <w:t>’</w:t>
      </w:r>
      <w:r w:rsidRPr="00DF5CD5">
        <w:rPr>
          <w:rFonts w:ascii="Arial" w:hAnsi="Arial" w:cs="Arial"/>
          <w:bCs/>
          <w:sz w:val="22"/>
          <w:szCs w:val="22"/>
          <w:lang w:val="fr-FR"/>
        </w:rPr>
        <w:t>arti</w:t>
      </w:r>
      <w:r>
        <w:rPr>
          <w:rFonts w:ascii="Arial" w:hAnsi="Arial" w:cs="Arial"/>
          <w:bCs/>
          <w:sz w:val="22"/>
          <w:szCs w:val="22"/>
          <w:lang w:val="fr-FR"/>
        </w:rPr>
        <w:t>cle 9 de la Convention</w:t>
      </w:r>
      <w:r w:rsidRPr="00DF5CD5">
        <w:rPr>
          <w:rFonts w:ascii="Arial" w:hAnsi="Arial" w:cs="Arial"/>
          <w:bCs/>
          <w:sz w:val="22"/>
          <w:szCs w:val="22"/>
          <w:lang w:val="fr-FR"/>
        </w:rPr>
        <w:t>, qui mentionn</w:t>
      </w:r>
      <w:r>
        <w:rPr>
          <w:rFonts w:ascii="Arial" w:hAnsi="Arial" w:cs="Arial"/>
          <w:bCs/>
          <w:sz w:val="22"/>
          <w:szCs w:val="22"/>
          <w:lang w:val="fr-FR"/>
        </w:rPr>
        <w:t>e</w:t>
      </w:r>
      <w:r w:rsidRPr="00DF5CD5">
        <w:rPr>
          <w:rFonts w:ascii="Arial" w:hAnsi="Arial" w:cs="Arial"/>
          <w:bCs/>
          <w:sz w:val="22"/>
          <w:szCs w:val="22"/>
          <w:lang w:val="fr-FR"/>
        </w:rPr>
        <w:t xml:space="preserve"> le fait que l</w:t>
      </w:r>
      <w:r w:rsidR="008E532B">
        <w:rPr>
          <w:rFonts w:ascii="Arial" w:hAnsi="Arial" w:cs="Arial"/>
          <w:bCs/>
          <w:sz w:val="22"/>
          <w:szCs w:val="22"/>
          <w:lang w:val="fr-FR"/>
        </w:rPr>
        <w:t>’</w:t>
      </w:r>
      <w:r w:rsidRPr="00DF5CD5">
        <w:rPr>
          <w:rFonts w:ascii="Arial" w:hAnsi="Arial" w:cs="Arial"/>
          <w:bCs/>
          <w:sz w:val="22"/>
          <w:szCs w:val="22"/>
          <w:lang w:val="fr-FR"/>
        </w:rPr>
        <w:t>Assemblée doit établir les critères d</w:t>
      </w:r>
      <w:r w:rsidR="008E532B">
        <w:rPr>
          <w:rFonts w:ascii="Arial" w:hAnsi="Arial" w:cs="Arial"/>
          <w:bCs/>
          <w:sz w:val="22"/>
          <w:szCs w:val="22"/>
          <w:lang w:val="fr-FR"/>
        </w:rPr>
        <w:t>’</w:t>
      </w:r>
      <w:r w:rsidRPr="00DF5CD5">
        <w:rPr>
          <w:rFonts w:ascii="Arial" w:hAnsi="Arial" w:cs="Arial"/>
          <w:bCs/>
          <w:sz w:val="22"/>
          <w:szCs w:val="22"/>
          <w:lang w:val="fr-FR"/>
        </w:rPr>
        <w:t>accréditation des ONG. L</w:t>
      </w:r>
      <w:r w:rsidR="008E532B">
        <w:rPr>
          <w:rFonts w:ascii="Arial" w:hAnsi="Arial" w:cs="Arial"/>
          <w:bCs/>
          <w:sz w:val="22"/>
          <w:szCs w:val="22"/>
          <w:lang w:val="fr-FR"/>
        </w:rPr>
        <w:t>’</w:t>
      </w:r>
      <w:r w:rsidRPr="00DF5CD5">
        <w:rPr>
          <w:rFonts w:ascii="Arial" w:hAnsi="Arial" w:cs="Arial"/>
          <w:bCs/>
          <w:sz w:val="22"/>
          <w:szCs w:val="22"/>
          <w:lang w:val="fr-FR"/>
        </w:rPr>
        <w:t xml:space="preserve">Assemblée </w:t>
      </w:r>
      <w:r>
        <w:rPr>
          <w:rFonts w:ascii="Arial" w:hAnsi="Arial" w:cs="Arial"/>
          <w:bCs/>
          <w:sz w:val="22"/>
          <w:szCs w:val="22"/>
          <w:lang w:val="fr-FR"/>
        </w:rPr>
        <w:t>l</w:t>
      </w:r>
      <w:r w:rsidR="008E532B">
        <w:rPr>
          <w:rFonts w:ascii="Arial" w:hAnsi="Arial" w:cs="Arial"/>
          <w:bCs/>
          <w:sz w:val="22"/>
          <w:szCs w:val="22"/>
          <w:lang w:val="fr-FR"/>
        </w:rPr>
        <w:t>’</w:t>
      </w:r>
      <w:r>
        <w:rPr>
          <w:rFonts w:ascii="Arial" w:hAnsi="Arial" w:cs="Arial"/>
          <w:bCs/>
          <w:sz w:val="22"/>
          <w:szCs w:val="22"/>
          <w:lang w:val="fr-FR"/>
        </w:rPr>
        <w:t xml:space="preserve">avait fait </w:t>
      </w:r>
      <w:r w:rsidRPr="00DF5CD5">
        <w:rPr>
          <w:rFonts w:ascii="Arial" w:hAnsi="Arial" w:cs="Arial"/>
          <w:bCs/>
          <w:sz w:val="22"/>
          <w:szCs w:val="22"/>
          <w:lang w:val="fr-FR"/>
        </w:rPr>
        <w:t xml:space="preserve">au paragraphe 91 des Directives opérationnelles, </w:t>
      </w:r>
      <w:r>
        <w:rPr>
          <w:rFonts w:ascii="Arial" w:hAnsi="Arial" w:cs="Arial"/>
          <w:bCs/>
          <w:sz w:val="22"/>
          <w:szCs w:val="22"/>
          <w:lang w:val="fr-FR"/>
        </w:rPr>
        <w:t>en définissant</w:t>
      </w:r>
      <w:r w:rsidRPr="00DF5CD5">
        <w:rPr>
          <w:rFonts w:ascii="Arial" w:hAnsi="Arial" w:cs="Arial"/>
          <w:bCs/>
          <w:sz w:val="22"/>
          <w:szCs w:val="22"/>
          <w:lang w:val="fr-FR"/>
        </w:rPr>
        <w:t xml:space="preserve"> cinq critères. Ces critères f</w:t>
      </w:r>
      <w:r>
        <w:rPr>
          <w:rFonts w:ascii="Arial" w:hAnsi="Arial" w:cs="Arial"/>
          <w:bCs/>
          <w:sz w:val="22"/>
          <w:szCs w:val="22"/>
          <w:lang w:val="fr-FR"/>
        </w:rPr>
        <w:t>aisaient</w:t>
      </w:r>
      <w:r w:rsidRPr="00DF5CD5">
        <w:rPr>
          <w:rFonts w:ascii="Arial" w:hAnsi="Arial" w:cs="Arial"/>
          <w:bCs/>
          <w:sz w:val="22"/>
          <w:szCs w:val="22"/>
          <w:lang w:val="fr-FR"/>
        </w:rPr>
        <w:t xml:space="preserve"> référence</w:t>
      </w:r>
      <w:r>
        <w:rPr>
          <w:rFonts w:ascii="Arial" w:hAnsi="Arial" w:cs="Arial"/>
          <w:bCs/>
          <w:sz w:val="22"/>
          <w:szCs w:val="22"/>
          <w:lang w:val="fr-FR"/>
        </w:rPr>
        <w:t xml:space="preserve"> à la domiciliation</w:t>
      </w:r>
      <w:r w:rsidRPr="00DF5CD5">
        <w:rPr>
          <w:rFonts w:ascii="Arial" w:hAnsi="Arial" w:cs="Arial"/>
          <w:bCs/>
          <w:sz w:val="22"/>
          <w:szCs w:val="22"/>
          <w:lang w:val="fr-FR"/>
        </w:rPr>
        <w:t>, mais ils n</w:t>
      </w:r>
      <w:r w:rsidR="008E532B">
        <w:rPr>
          <w:rFonts w:ascii="Arial" w:hAnsi="Arial" w:cs="Arial"/>
          <w:bCs/>
          <w:sz w:val="22"/>
          <w:szCs w:val="22"/>
          <w:lang w:val="fr-FR"/>
        </w:rPr>
        <w:t>’</w:t>
      </w:r>
      <w:r w:rsidRPr="00DF5CD5">
        <w:rPr>
          <w:rFonts w:ascii="Arial" w:hAnsi="Arial" w:cs="Arial"/>
          <w:bCs/>
          <w:sz w:val="22"/>
          <w:szCs w:val="22"/>
          <w:lang w:val="fr-FR"/>
        </w:rPr>
        <w:t>inclu</w:t>
      </w:r>
      <w:r>
        <w:rPr>
          <w:rFonts w:ascii="Arial" w:hAnsi="Arial" w:cs="Arial"/>
          <w:bCs/>
          <w:sz w:val="22"/>
          <w:szCs w:val="22"/>
          <w:lang w:val="fr-FR"/>
        </w:rPr>
        <w:t>ai</w:t>
      </w:r>
      <w:r w:rsidRPr="00DF5CD5">
        <w:rPr>
          <w:rFonts w:ascii="Arial" w:hAnsi="Arial" w:cs="Arial"/>
          <w:bCs/>
          <w:sz w:val="22"/>
          <w:szCs w:val="22"/>
          <w:lang w:val="fr-FR"/>
        </w:rPr>
        <w:t>ent pas le critère selon lequel l</w:t>
      </w:r>
      <w:r>
        <w:rPr>
          <w:rFonts w:ascii="Arial" w:hAnsi="Arial" w:cs="Arial"/>
          <w:bCs/>
          <w:sz w:val="22"/>
          <w:szCs w:val="22"/>
          <w:lang w:val="fr-FR"/>
        </w:rPr>
        <w:t>a</w:t>
      </w:r>
      <w:r w:rsidRPr="00DF5CD5">
        <w:rPr>
          <w:rFonts w:ascii="Arial" w:hAnsi="Arial" w:cs="Arial"/>
          <w:bCs/>
          <w:sz w:val="22"/>
          <w:szCs w:val="22"/>
          <w:lang w:val="fr-FR"/>
        </w:rPr>
        <w:t xml:space="preserve"> domi</w:t>
      </w:r>
      <w:r>
        <w:rPr>
          <w:rFonts w:ascii="Arial" w:hAnsi="Arial" w:cs="Arial"/>
          <w:bCs/>
          <w:sz w:val="22"/>
          <w:szCs w:val="22"/>
          <w:lang w:val="fr-FR"/>
        </w:rPr>
        <w:t xml:space="preserve">ciliation doit être établie </w:t>
      </w:r>
      <w:r w:rsidRPr="00DF5CD5">
        <w:rPr>
          <w:rFonts w:ascii="Arial" w:hAnsi="Arial" w:cs="Arial"/>
          <w:bCs/>
          <w:sz w:val="22"/>
          <w:szCs w:val="22"/>
          <w:lang w:val="fr-FR"/>
        </w:rPr>
        <w:t>dans un État partie à la Convention. Ainsi, ils ne l</w:t>
      </w:r>
      <w:r w:rsidR="008E532B">
        <w:rPr>
          <w:rFonts w:ascii="Arial" w:hAnsi="Arial" w:cs="Arial"/>
          <w:bCs/>
          <w:sz w:val="22"/>
          <w:szCs w:val="22"/>
          <w:lang w:val="fr-FR"/>
        </w:rPr>
        <w:t>’</w:t>
      </w:r>
      <w:r w:rsidRPr="00DF5CD5">
        <w:rPr>
          <w:rFonts w:ascii="Arial" w:hAnsi="Arial" w:cs="Arial"/>
          <w:bCs/>
          <w:sz w:val="22"/>
          <w:szCs w:val="22"/>
          <w:lang w:val="fr-FR"/>
        </w:rPr>
        <w:t>autoris</w:t>
      </w:r>
      <w:r>
        <w:rPr>
          <w:rFonts w:ascii="Arial" w:hAnsi="Arial" w:cs="Arial"/>
          <w:bCs/>
          <w:sz w:val="22"/>
          <w:szCs w:val="22"/>
          <w:lang w:val="fr-FR"/>
        </w:rPr>
        <w:t>ai</w:t>
      </w:r>
      <w:r w:rsidRPr="00DF5CD5">
        <w:rPr>
          <w:rFonts w:ascii="Arial" w:hAnsi="Arial" w:cs="Arial"/>
          <w:bCs/>
          <w:sz w:val="22"/>
          <w:szCs w:val="22"/>
          <w:lang w:val="fr-FR"/>
        </w:rPr>
        <w:t>ent pas explicitement et ne l</w:t>
      </w:r>
      <w:r w:rsidR="008E532B">
        <w:rPr>
          <w:rFonts w:ascii="Arial" w:hAnsi="Arial" w:cs="Arial"/>
          <w:bCs/>
          <w:sz w:val="22"/>
          <w:szCs w:val="22"/>
          <w:lang w:val="fr-FR"/>
        </w:rPr>
        <w:t>’</w:t>
      </w:r>
      <w:r w:rsidRPr="00DF5CD5">
        <w:rPr>
          <w:rFonts w:ascii="Arial" w:hAnsi="Arial" w:cs="Arial"/>
          <w:bCs/>
          <w:sz w:val="22"/>
          <w:szCs w:val="22"/>
          <w:lang w:val="fr-FR"/>
        </w:rPr>
        <w:t>empêch</w:t>
      </w:r>
      <w:r>
        <w:rPr>
          <w:rFonts w:ascii="Arial" w:hAnsi="Arial" w:cs="Arial"/>
          <w:bCs/>
          <w:sz w:val="22"/>
          <w:szCs w:val="22"/>
          <w:lang w:val="fr-FR"/>
        </w:rPr>
        <w:t>ai</w:t>
      </w:r>
      <w:r w:rsidRPr="00DF5CD5">
        <w:rPr>
          <w:rFonts w:ascii="Arial" w:hAnsi="Arial" w:cs="Arial"/>
          <w:bCs/>
          <w:sz w:val="22"/>
          <w:szCs w:val="22"/>
          <w:lang w:val="fr-FR"/>
        </w:rPr>
        <w:t>ent pas explicitement, mais il y a</w:t>
      </w:r>
      <w:r>
        <w:rPr>
          <w:rFonts w:ascii="Arial" w:hAnsi="Arial" w:cs="Arial"/>
          <w:bCs/>
          <w:sz w:val="22"/>
          <w:szCs w:val="22"/>
          <w:lang w:val="fr-FR"/>
        </w:rPr>
        <w:t>vait</w:t>
      </w:r>
      <w:r w:rsidRPr="00DF5CD5">
        <w:rPr>
          <w:rFonts w:ascii="Arial" w:hAnsi="Arial" w:cs="Arial"/>
          <w:bCs/>
          <w:sz w:val="22"/>
          <w:szCs w:val="22"/>
          <w:lang w:val="fr-FR"/>
        </w:rPr>
        <w:t xml:space="preserve"> cinq critères qui ne compren</w:t>
      </w:r>
      <w:r>
        <w:rPr>
          <w:rFonts w:ascii="Arial" w:hAnsi="Arial" w:cs="Arial"/>
          <w:bCs/>
          <w:sz w:val="22"/>
          <w:szCs w:val="22"/>
          <w:lang w:val="fr-FR"/>
        </w:rPr>
        <w:t>aient</w:t>
      </w:r>
      <w:r w:rsidRPr="00DF5CD5">
        <w:rPr>
          <w:rFonts w:ascii="Arial" w:hAnsi="Arial" w:cs="Arial"/>
          <w:bCs/>
          <w:sz w:val="22"/>
          <w:szCs w:val="22"/>
          <w:lang w:val="fr-FR"/>
        </w:rPr>
        <w:t xml:space="preserve"> pas cet élément. Par ailleurs, dans le cadre de l</w:t>
      </w:r>
      <w:r w:rsidR="008E532B">
        <w:rPr>
          <w:rFonts w:ascii="Arial" w:hAnsi="Arial" w:cs="Arial"/>
          <w:bCs/>
          <w:sz w:val="22"/>
          <w:szCs w:val="22"/>
          <w:lang w:val="fr-FR"/>
        </w:rPr>
        <w:t>’</w:t>
      </w:r>
      <w:r w:rsidRPr="00DF5CD5">
        <w:rPr>
          <w:rFonts w:ascii="Arial" w:hAnsi="Arial" w:cs="Arial"/>
          <w:bCs/>
          <w:sz w:val="22"/>
          <w:szCs w:val="22"/>
          <w:lang w:val="fr-FR"/>
        </w:rPr>
        <w:t>interprétation des textes, notamment des conventions et traités internationaux, on se fond</w:t>
      </w:r>
      <w:r>
        <w:rPr>
          <w:rFonts w:ascii="Arial" w:hAnsi="Arial" w:cs="Arial"/>
          <w:bCs/>
          <w:sz w:val="22"/>
          <w:szCs w:val="22"/>
          <w:lang w:val="fr-FR"/>
        </w:rPr>
        <w:t>ait</w:t>
      </w:r>
      <w:r w:rsidRPr="00DF5CD5">
        <w:rPr>
          <w:rFonts w:ascii="Arial" w:hAnsi="Arial" w:cs="Arial"/>
          <w:bCs/>
          <w:sz w:val="22"/>
          <w:szCs w:val="22"/>
          <w:lang w:val="fr-FR"/>
        </w:rPr>
        <w:t xml:space="preserve"> sur le texte lui-même, mais </w:t>
      </w:r>
      <w:r w:rsidRPr="00DF5CD5">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w:t>
      </w:r>
      <w:r w:rsidRPr="00DF5CD5">
        <w:rPr>
          <w:rFonts w:ascii="Arial" w:hAnsi="Arial" w:cs="Arial"/>
          <w:bCs/>
          <w:sz w:val="22"/>
          <w:szCs w:val="22"/>
          <w:lang w:val="fr-FR"/>
        </w:rPr>
        <w:t>sur la pratique ultérieure de l</w:t>
      </w:r>
      <w:r w:rsidR="008E532B">
        <w:rPr>
          <w:rFonts w:ascii="Arial" w:hAnsi="Arial" w:cs="Arial"/>
          <w:bCs/>
          <w:sz w:val="22"/>
          <w:szCs w:val="22"/>
          <w:lang w:val="fr-FR"/>
        </w:rPr>
        <w:t>’</w:t>
      </w:r>
      <w:r w:rsidRPr="00DF5CD5">
        <w:rPr>
          <w:rFonts w:ascii="Arial" w:hAnsi="Arial" w:cs="Arial"/>
          <w:bCs/>
          <w:sz w:val="22"/>
          <w:szCs w:val="22"/>
          <w:lang w:val="fr-FR"/>
        </w:rPr>
        <w:t>application et de l</w:t>
      </w:r>
      <w:r w:rsidR="008E532B">
        <w:rPr>
          <w:rFonts w:ascii="Arial" w:hAnsi="Arial" w:cs="Arial"/>
          <w:bCs/>
          <w:sz w:val="22"/>
          <w:szCs w:val="22"/>
          <w:lang w:val="fr-FR"/>
        </w:rPr>
        <w:t>’</w:t>
      </w:r>
      <w:r w:rsidRPr="00DF5CD5">
        <w:rPr>
          <w:rFonts w:ascii="Arial" w:hAnsi="Arial" w:cs="Arial"/>
          <w:bCs/>
          <w:sz w:val="22"/>
          <w:szCs w:val="22"/>
          <w:lang w:val="fr-FR"/>
        </w:rPr>
        <w:t xml:space="preserve">interprétation du texte. </w:t>
      </w:r>
      <w:r>
        <w:rPr>
          <w:rFonts w:ascii="Arial" w:hAnsi="Arial" w:cs="Arial"/>
          <w:bCs/>
          <w:sz w:val="22"/>
          <w:szCs w:val="22"/>
          <w:lang w:val="fr-FR"/>
        </w:rPr>
        <w:t>À propos de</w:t>
      </w:r>
      <w:r w:rsidRPr="00DF5CD5">
        <w:rPr>
          <w:rFonts w:ascii="Arial" w:hAnsi="Arial" w:cs="Arial"/>
          <w:bCs/>
          <w:sz w:val="22"/>
          <w:szCs w:val="22"/>
          <w:lang w:val="fr-FR"/>
        </w:rPr>
        <w:t xml:space="preserve"> cette pratique, le Conseiller juridique a rappelé que le Secrétariat avait déjà </w:t>
      </w:r>
      <w:r>
        <w:rPr>
          <w:rFonts w:ascii="Arial" w:hAnsi="Arial" w:cs="Arial"/>
          <w:bCs/>
          <w:sz w:val="22"/>
          <w:szCs w:val="22"/>
          <w:lang w:val="fr-FR"/>
        </w:rPr>
        <w:t xml:space="preserve">communiqué </w:t>
      </w:r>
      <w:r w:rsidRPr="00DF5CD5">
        <w:rPr>
          <w:rFonts w:ascii="Arial" w:hAnsi="Arial" w:cs="Arial"/>
          <w:bCs/>
          <w:sz w:val="22"/>
          <w:szCs w:val="22"/>
          <w:lang w:val="fr-FR"/>
        </w:rPr>
        <w:t xml:space="preserve">des informations lors de la </w:t>
      </w:r>
      <w:r>
        <w:rPr>
          <w:rFonts w:ascii="Arial" w:hAnsi="Arial" w:cs="Arial"/>
          <w:bCs/>
          <w:sz w:val="22"/>
          <w:szCs w:val="22"/>
          <w:lang w:val="fr-FR"/>
        </w:rPr>
        <w:t>présente session</w:t>
      </w:r>
      <w:r w:rsidRPr="00DF5CD5">
        <w:rPr>
          <w:rFonts w:ascii="Arial" w:hAnsi="Arial" w:cs="Arial"/>
          <w:bCs/>
          <w:sz w:val="22"/>
          <w:szCs w:val="22"/>
          <w:lang w:val="fr-FR"/>
        </w:rPr>
        <w:t>. Il a également rappelé la réponse à la question de la Syrie sur les compétences de cette Assemblée.</w:t>
      </w:r>
    </w:p>
    <w:p w14:paraId="1C1194AE" w14:textId="29B8148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52436">
        <w:rPr>
          <w:rFonts w:ascii="Arial" w:hAnsi="Arial" w:cs="Arial"/>
          <w:bCs/>
          <w:sz w:val="22"/>
          <w:szCs w:val="22"/>
          <w:lang w:val="fr-FR"/>
        </w:rPr>
        <w:t xml:space="preserve">La délégation de la </w:t>
      </w:r>
      <w:r w:rsidRPr="00E52436">
        <w:rPr>
          <w:rFonts w:ascii="Arial" w:hAnsi="Arial" w:cs="Arial"/>
          <w:b/>
          <w:sz w:val="22"/>
          <w:szCs w:val="22"/>
          <w:lang w:val="fr-FR"/>
        </w:rPr>
        <w:t>Palestine</w:t>
      </w:r>
      <w:r w:rsidRPr="00E52436">
        <w:rPr>
          <w:rFonts w:ascii="Arial" w:hAnsi="Arial" w:cs="Arial"/>
          <w:bCs/>
          <w:sz w:val="22"/>
          <w:szCs w:val="22"/>
          <w:lang w:val="fr-FR"/>
        </w:rPr>
        <w:t xml:space="preserve"> </w:t>
      </w:r>
      <w:r>
        <w:rPr>
          <w:rFonts w:ascii="Arial" w:hAnsi="Arial" w:cs="Arial"/>
          <w:bCs/>
          <w:sz w:val="22"/>
          <w:szCs w:val="22"/>
          <w:lang w:val="fr-FR"/>
        </w:rPr>
        <w:t>comprenait</w:t>
      </w:r>
      <w:r w:rsidRPr="00E52436">
        <w:rPr>
          <w:rFonts w:ascii="Arial" w:hAnsi="Arial" w:cs="Arial"/>
          <w:bCs/>
          <w:sz w:val="22"/>
          <w:szCs w:val="22"/>
          <w:lang w:val="fr-FR"/>
        </w:rPr>
        <w:t xml:space="preserve"> qu</w:t>
      </w:r>
      <w:r w:rsidR="008E532B">
        <w:rPr>
          <w:rFonts w:ascii="Arial" w:hAnsi="Arial" w:cs="Arial"/>
          <w:bCs/>
          <w:sz w:val="22"/>
          <w:szCs w:val="22"/>
          <w:lang w:val="fr-FR"/>
        </w:rPr>
        <w:t>’</w:t>
      </w:r>
      <w:r w:rsidRPr="00E52436">
        <w:rPr>
          <w:rFonts w:ascii="Arial" w:hAnsi="Arial" w:cs="Arial"/>
          <w:bCs/>
          <w:sz w:val="22"/>
          <w:szCs w:val="22"/>
          <w:lang w:val="fr-FR"/>
        </w:rPr>
        <w:t>il y avait un soutien clair pour l</w:t>
      </w:r>
      <w:r w:rsidR="008E532B">
        <w:rPr>
          <w:rFonts w:ascii="Arial" w:hAnsi="Arial" w:cs="Arial"/>
          <w:bCs/>
          <w:sz w:val="22"/>
          <w:szCs w:val="22"/>
          <w:lang w:val="fr-FR"/>
        </w:rPr>
        <w:t>’</w:t>
      </w:r>
      <w:r w:rsidRPr="00E52436">
        <w:rPr>
          <w:rFonts w:ascii="Arial" w:hAnsi="Arial" w:cs="Arial"/>
          <w:bCs/>
          <w:sz w:val="22"/>
          <w:szCs w:val="22"/>
          <w:lang w:val="fr-FR"/>
        </w:rPr>
        <w:t>accréditation des ONG</w:t>
      </w:r>
      <w:r>
        <w:rPr>
          <w:rFonts w:ascii="Arial" w:hAnsi="Arial" w:cs="Arial"/>
          <w:bCs/>
          <w:sz w:val="22"/>
          <w:szCs w:val="22"/>
          <w:lang w:val="fr-FR"/>
        </w:rPr>
        <w:t>,</w:t>
      </w:r>
      <w:r w:rsidRPr="00E52436">
        <w:rPr>
          <w:rFonts w:ascii="Arial" w:hAnsi="Arial" w:cs="Arial"/>
          <w:bCs/>
          <w:sz w:val="22"/>
          <w:szCs w:val="22"/>
          <w:lang w:val="fr-FR"/>
        </w:rPr>
        <w:t xml:space="preserve"> mais qu</w:t>
      </w:r>
      <w:r w:rsidR="008E532B">
        <w:rPr>
          <w:rFonts w:ascii="Arial" w:hAnsi="Arial" w:cs="Arial"/>
          <w:bCs/>
          <w:sz w:val="22"/>
          <w:szCs w:val="22"/>
          <w:lang w:val="fr-FR"/>
        </w:rPr>
        <w:t>’</w:t>
      </w:r>
      <w:r w:rsidRPr="00E52436">
        <w:rPr>
          <w:rFonts w:ascii="Arial" w:hAnsi="Arial" w:cs="Arial"/>
          <w:bCs/>
          <w:sz w:val="22"/>
          <w:szCs w:val="22"/>
          <w:lang w:val="fr-FR"/>
        </w:rPr>
        <w:t>il y avait aussi une opposition claire à leur élection à l</w:t>
      </w:r>
      <w:r w:rsidR="008E532B">
        <w:rPr>
          <w:rFonts w:ascii="Arial" w:hAnsi="Arial" w:cs="Arial"/>
          <w:bCs/>
          <w:sz w:val="22"/>
          <w:szCs w:val="22"/>
          <w:lang w:val="fr-FR"/>
        </w:rPr>
        <w:t>’</w:t>
      </w:r>
      <w:r w:rsidRPr="00E52436">
        <w:rPr>
          <w:rFonts w:ascii="Arial" w:hAnsi="Arial" w:cs="Arial"/>
          <w:bCs/>
          <w:sz w:val="22"/>
          <w:szCs w:val="22"/>
          <w:lang w:val="fr-FR"/>
        </w:rPr>
        <w:t>Organe d</w:t>
      </w:r>
      <w:r w:rsidR="008E532B">
        <w:rPr>
          <w:rFonts w:ascii="Arial" w:hAnsi="Arial" w:cs="Arial"/>
          <w:bCs/>
          <w:sz w:val="22"/>
          <w:szCs w:val="22"/>
          <w:lang w:val="fr-FR"/>
        </w:rPr>
        <w:t>’</w:t>
      </w:r>
      <w:r w:rsidRPr="00E52436">
        <w:rPr>
          <w:rFonts w:ascii="Arial" w:hAnsi="Arial" w:cs="Arial"/>
          <w:bCs/>
          <w:sz w:val="22"/>
          <w:szCs w:val="22"/>
          <w:lang w:val="fr-FR"/>
        </w:rPr>
        <w:t>évaluation. S</w:t>
      </w:r>
      <w:r w:rsidR="008E532B">
        <w:rPr>
          <w:rFonts w:ascii="Arial" w:hAnsi="Arial" w:cs="Arial"/>
          <w:bCs/>
          <w:sz w:val="22"/>
          <w:szCs w:val="22"/>
          <w:lang w:val="fr-FR"/>
        </w:rPr>
        <w:t>’</w:t>
      </w:r>
      <w:r w:rsidRPr="00E52436">
        <w:rPr>
          <w:rFonts w:ascii="Arial" w:hAnsi="Arial" w:cs="Arial"/>
          <w:bCs/>
          <w:sz w:val="22"/>
          <w:szCs w:val="22"/>
          <w:lang w:val="fr-FR"/>
        </w:rPr>
        <w:t>il y a</w:t>
      </w:r>
      <w:r>
        <w:rPr>
          <w:rFonts w:ascii="Arial" w:hAnsi="Arial" w:cs="Arial"/>
          <w:bCs/>
          <w:sz w:val="22"/>
          <w:szCs w:val="22"/>
          <w:lang w:val="fr-FR"/>
        </w:rPr>
        <w:t>vait</w:t>
      </w:r>
      <w:r w:rsidRPr="00E52436">
        <w:rPr>
          <w:rFonts w:ascii="Arial" w:hAnsi="Arial" w:cs="Arial"/>
          <w:bCs/>
          <w:sz w:val="22"/>
          <w:szCs w:val="22"/>
          <w:lang w:val="fr-FR"/>
        </w:rPr>
        <w:t xml:space="preserve"> une flexibilité à cet égard, la délégation a suggéré d</w:t>
      </w:r>
      <w:r w:rsidR="008E532B">
        <w:rPr>
          <w:rFonts w:ascii="Arial" w:hAnsi="Arial" w:cs="Arial"/>
          <w:bCs/>
          <w:sz w:val="22"/>
          <w:szCs w:val="22"/>
          <w:lang w:val="fr-FR"/>
        </w:rPr>
        <w:t>’</w:t>
      </w:r>
      <w:r w:rsidRPr="00E52436">
        <w:rPr>
          <w:rFonts w:ascii="Arial" w:hAnsi="Arial" w:cs="Arial"/>
          <w:bCs/>
          <w:sz w:val="22"/>
          <w:szCs w:val="22"/>
          <w:lang w:val="fr-FR"/>
        </w:rPr>
        <w:t>aller dans le sens de la proposition d</w:t>
      </w:r>
      <w:r w:rsidR="008E532B">
        <w:rPr>
          <w:rFonts w:ascii="Arial" w:hAnsi="Arial" w:cs="Arial"/>
          <w:bCs/>
          <w:sz w:val="22"/>
          <w:szCs w:val="22"/>
          <w:lang w:val="fr-FR"/>
        </w:rPr>
        <w:t>’</w:t>
      </w:r>
      <w:r w:rsidRPr="00E52436">
        <w:rPr>
          <w:rFonts w:ascii="Arial" w:hAnsi="Arial" w:cs="Arial"/>
          <w:bCs/>
          <w:sz w:val="22"/>
          <w:szCs w:val="22"/>
          <w:lang w:val="fr-FR"/>
        </w:rPr>
        <w:t>Oman, à savoir que les ONG continuent d</w:t>
      </w:r>
      <w:r w:rsidR="008E532B">
        <w:rPr>
          <w:rFonts w:ascii="Arial" w:hAnsi="Arial" w:cs="Arial"/>
          <w:bCs/>
          <w:sz w:val="22"/>
          <w:szCs w:val="22"/>
          <w:lang w:val="fr-FR"/>
        </w:rPr>
        <w:t>’</w:t>
      </w:r>
      <w:r w:rsidRPr="00E52436">
        <w:rPr>
          <w:rFonts w:ascii="Arial" w:hAnsi="Arial" w:cs="Arial"/>
          <w:bCs/>
          <w:sz w:val="22"/>
          <w:szCs w:val="22"/>
          <w:lang w:val="fr-FR"/>
        </w:rPr>
        <w:t>être accréditées mais que l</w:t>
      </w:r>
      <w:r w:rsidR="008E532B">
        <w:rPr>
          <w:rFonts w:ascii="Arial" w:hAnsi="Arial" w:cs="Arial"/>
          <w:bCs/>
          <w:sz w:val="22"/>
          <w:szCs w:val="22"/>
          <w:lang w:val="fr-FR"/>
        </w:rPr>
        <w:t>’</w:t>
      </w:r>
      <w:r w:rsidRPr="00E52436">
        <w:rPr>
          <w:rFonts w:ascii="Arial" w:hAnsi="Arial" w:cs="Arial"/>
          <w:bCs/>
          <w:sz w:val="22"/>
          <w:szCs w:val="22"/>
          <w:lang w:val="fr-FR"/>
        </w:rPr>
        <w:t>élection à l</w:t>
      </w:r>
      <w:r w:rsidR="008E532B">
        <w:rPr>
          <w:rFonts w:ascii="Arial" w:hAnsi="Arial" w:cs="Arial"/>
          <w:bCs/>
          <w:sz w:val="22"/>
          <w:szCs w:val="22"/>
          <w:lang w:val="fr-FR"/>
        </w:rPr>
        <w:t>’</w:t>
      </w:r>
      <w:r w:rsidRPr="00E52436">
        <w:rPr>
          <w:rFonts w:ascii="Arial" w:hAnsi="Arial" w:cs="Arial"/>
          <w:bCs/>
          <w:sz w:val="22"/>
          <w:szCs w:val="22"/>
          <w:lang w:val="fr-FR"/>
        </w:rPr>
        <w:t>Organe d</w:t>
      </w:r>
      <w:r w:rsidR="008E532B">
        <w:rPr>
          <w:rFonts w:ascii="Arial" w:hAnsi="Arial" w:cs="Arial"/>
          <w:bCs/>
          <w:sz w:val="22"/>
          <w:szCs w:val="22"/>
          <w:lang w:val="fr-FR"/>
        </w:rPr>
        <w:t>’</w:t>
      </w:r>
      <w:r w:rsidRPr="00E52436">
        <w:rPr>
          <w:rFonts w:ascii="Arial" w:hAnsi="Arial" w:cs="Arial"/>
          <w:bCs/>
          <w:sz w:val="22"/>
          <w:szCs w:val="22"/>
          <w:lang w:val="fr-FR"/>
        </w:rPr>
        <w:t xml:space="preserve">évaluation </w:t>
      </w:r>
      <w:r>
        <w:rPr>
          <w:rFonts w:ascii="Arial" w:hAnsi="Arial" w:cs="Arial"/>
          <w:bCs/>
          <w:sz w:val="22"/>
          <w:szCs w:val="22"/>
          <w:lang w:val="fr-FR"/>
        </w:rPr>
        <w:t xml:space="preserve">soit </w:t>
      </w:r>
      <w:r w:rsidRPr="00E52436">
        <w:rPr>
          <w:rFonts w:ascii="Arial" w:hAnsi="Arial" w:cs="Arial"/>
          <w:bCs/>
          <w:sz w:val="22"/>
          <w:szCs w:val="22"/>
          <w:lang w:val="fr-FR"/>
        </w:rPr>
        <w:t>réservée uniquement aux ONG des États parties à la Convention.</w:t>
      </w:r>
    </w:p>
    <w:p w14:paraId="69818F08" w14:textId="74933AF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E52436">
        <w:rPr>
          <w:rFonts w:ascii="Arial" w:hAnsi="Arial" w:cs="Arial"/>
          <w:bCs/>
          <w:sz w:val="22"/>
          <w:szCs w:val="22"/>
          <w:lang w:val="fr-FR"/>
        </w:rPr>
        <w:t>délégation</w:t>
      </w:r>
      <w:r>
        <w:rPr>
          <w:rFonts w:ascii="Arial" w:hAnsi="Arial" w:cs="Arial"/>
          <w:bCs/>
          <w:sz w:val="22"/>
          <w:szCs w:val="22"/>
          <w:lang w:val="fr-FR"/>
        </w:rPr>
        <w:t xml:space="preserve"> de </w:t>
      </w:r>
      <w:r w:rsidRPr="00E52436">
        <w:rPr>
          <w:rFonts w:ascii="Arial" w:hAnsi="Arial" w:cs="Arial"/>
          <w:b/>
          <w:sz w:val="22"/>
          <w:szCs w:val="22"/>
          <w:lang w:val="fr-FR"/>
        </w:rPr>
        <w:t>Chypre</w:t>
      </w:r>
      <w:r>
        <w:rPr>
          <w:rFonts w:ascii="Arial" w:hAnsi="Arial" w:cs="Arial"/>
          <w:bCs/>
          <w:sz w:val="22"/>
          <w:szCs w:val="22"/>
          <w:lang w:val="fr-FR"/>
        </w:rPr>
        <w:t xml:space="preserve"> a suggéré de suspendre le débat jusqu</w:t>
      </w:r>
      <w:r w:rsidR="008E532B">
        <w:rPr>
          <w:rFonts w:ascii="Arial" w:hAnsi="Arial" w:cs="Arial"/>
          <w:bCs/>
          <w:sz w:val="22"/>
          <w:szCs w:val="22"/>
          <w:lang w:val="fr-FR"/>
        </w:rPr>
        <w:t>’</w:t>
      </w:r>
      <w:r>
        <w:rPr>
          <w:rFonts w:ascii="Arial" w:hAnsi="Arial" w:cs="Arial"/>
          <w:bCs/>
          <w:sz w:val="22"/>
          <w:szCs w:val="22"/>
          <w:lang w:val="fr-FR"/>
        </w:rPr>
        <w:t>au lendemain compte tenu du nombre important de points encore inscrits à l</w:t>
      </w:r>
      <w:r w:rsidR="008E532B">
        <w:rPr>
          <w:rFonts w:ascii="Arial" w:hAnsi="Arial" w:cs="Arial"/>
          <w:bCs/>
          <w:sz w:val="22"/>
          <w:szCs w:val="22"/>
          <w:lang w:val="fr-FR"/>
        </w:rPr>
        <w:t>’</w:t>
      </w:r>
      <w:r w:rsidRPr="00E52436">
        <w:rPr>
          <w:rFonts w:ascii="Arial" w:hAnsi="Arial" w:cs="Arial"/>
          <w:bCs/>
          <w:sz w:val="22"/>
          <w:szCs w:val="22"/>
          <w:lang w:val="fr-FR"/>
        </w:rPr>
        <w:t>ordre du jour</w:t>
      </w:r>
      <w:r>
        <w:rPr>
          <w:rFonts w:ascii="Arial" w:hAnsi="Arial" w:cs="Arial"/>
          <w:bCs/>
          <w:sz w:val="22"/>
          <w:szCs w:val="22"/>
          <w:lang w:val="fr-FR"/>
        </w:rPr>
        <w:t xml:space="preserve"> sur lesquels on devait encore débattre.</w:t>
      </w:r>
    </w:p>
    <w:p w14:paraId="2A590C1C" w14:textId="77777777" w:rsidR="00D9653F" w:rsidRPr="004C60A9"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C60A9">
        <w:rPr>
          <w:rFonts w:ascii="Arial" w:hAnsi="Arial" w:cs="Arial"/>
          <w:b/>
          <w:sz w:val="22"/>
          <w:szCs w:val="22"/>
          <w:lang w:val="fr-FR"/>
        </w:rPr>
        <w:t>Présidente</w:t>
      </w:r>
      <w:r>
        <w:rPr>
          <w:rFonts w:ascii="Arial" w:hAnsi="Arial" w:cs="Arial"/>
          <w:bCs/>
          <w:sz w:val="22"/>
          <w:szCs w:val="22"/>
          <w:lang w:val="fr-FR"/>
        </w:rPr>
        <w:t xml:space="preserve"> a noté la suggestion de Chypre de suspendre le débat sur le </w:t>
      </w:r>
      <w:r w:rsidRPr="004C60A9">
        <w:rPr>
          <w:rFonts w:ascii="Arial" w:hAnsi="Arial" w:cs="Arial"/>
          <w:bCs/>
          <w:sz w:val="22"/>
          <w:szCs w:val="22"/>
          <w:lang w:val="fr-FR"/>
        </w:rPr>
        <w:t>paragraphe</w:t>
      </w:r>
      <w:r>
        <w:rPr>
          <w:rFonts w:ascii="Arial" w:hAnsi="Arial" w:cs="Arial"/>
          <w:bCs/>
          <w:sz w:val="22"/>
          <w:szCs w:val="22"/>
          <w:lang w:val="fr-FR"/>
        </w:rPr>
        <w:t xml:space="preserve"> 7bis du projet de décision et de reprendre la discussion le lendemain, avec le </w:t>
      </w:r>
      <w:r w:rsidRPr="004C60A9">
        <w:rPr>
          <w:rFonts w:ascii="Arial" w:hAnsi="Arial" w:cs="Arial"/>
          <w:bCs/>
          <w:sz w:val="22"/>
          <w:szCs w:val="22"/>
          <w:lang w:val="fr-FR"/>
        </w:rPr>
        <w:t>paragraphe</w:t>
      </w:r>
      <w:r>
        <w:rPr>
          <w:rFonts w:ascii="Arial" w:hAnsi="Arial" w:cs="Arial"/>
          <w:bCs/>
          <w:sz w:val="22"/>
          <w:szCs w:val="22"/>
          <w:lang w:val="fr-FR"/>
        </w:rPr>
        <w:t xml:space="preserve"> 4.</w:t>
      </w:r>
    </w:p>
    <w:p w14:paraId="35325EB9" w14:textId="77777777" w:rsidR="00D9653F" w:rsidRPr="004C60A9"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C60A9">
        <w:rPr>
          <w:rFonts w:ascii="Arial" w:hAnsi="Arial" w:cs="Arial"/>
          <w:bCs/>
          <w:sz w:val="22"/>
          <w:szCs w:val="22"/>
          <w:lang w:val="fr-FR"/>
        </w:rPr>
        <w:t>délégation</w:t>
      </w:r>
      <w:r>
        <w:rPr>
          <w:rFonts w:ascii="Arial" w:hAnsi="Arial" w:cs="Arial"/>
          <w:bCs/>
          <w:sz w:val="22"/>
          <w:szCs w:val="22"/>
          <w:lang w:val="fr-FR"/>
        </w:rPr>
        <w:t xml:space="preserve"> de la </w:t>
      </w:r>
      <w:r w:rsidRPr="004C60A9">
        <w:rPr>
          <w:rFonts w:ascii="Arial" w:hAnsi="Arial" w:cs="Arial"/>
          <w:b/>
          <w:sz w:val="22"/>
          <w:szCs w:val="22"/>
          <w:lang w:val="fr-FR"/>
        </w:rPr>
        <w:t>Palestine</w:t>
      </w:r>
      <w:r>
        <w:rPr>
          <w:rFonts w:ascii="Arial" w:hAnsi="Arial" w:cs="Arial"/>
          <w:bCs/>
          <w:sz w:val="22"/>
          <w:szCs w:val="22"/>
          <w:lang w:val="fr-FR"/>
        </w:rPr>
        <w:t xml:space="preserve"> préférait en finir avec ce point plutôt que de recommencer le lendemain. </w:t>
      </w:r>
    </w:p>
    <w:p w14:paraId="68689CCC" w14:textId="494B16B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C60A9">
        <w:rPr>
          <w:rFonts w:ascii="Arial" w:hAnsi="Arial" w:cs="Arial"/>
          <w:bCs/>
          <w:sz w:val="22"/>
          <w:szCs w:val="22"/>
          <w:lang w:val="fr-FR"/>
        </w:rPr>
        <w:t>délégation</w:t>
      </w:r>
      <w:r>
        <w:rPr>
          <w:rFonts w:ascii="Arial" w:hAnsi="Arial" w:cs="Arial"/>
          <w:bCs/>
          <w:sz w:val="22"/>
          <w:szCs w:val="22"/>
          <w:lang w:val="fr-FR"/>
        </w:rPr>
        <w:t xml:space="preserve"> de </w:t>
      </w:r>
      <w:r w:rsidRPr="004C60A9">
        <w:rPr>
          <w:rFonts w:ascii="Arial" w:hAnsi="Arial" w:cs="Arial"/>
          <w:b/>
          <w:sz w:val="22"/>
          <w:szCs w:val="22"/>
          <w:lang w:val="fr-FR"/>
        </w:rPr>
        <w:t>Chypre</w:t>
      </w:r>
      <w:r>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était pas du même avis que la Palestine. Toutefois, elle accepterait que l</w:t>
      </w:r>
      <w:r w:rsidR="008E532B">
        <w:rPr>
          <w:rFonts w:ascii="Arial" w:hAnsi="Arial" w:cs="Arial"/>
          <w:bCs/>
          <w:sz w:val="22"/>
          <w:szCs w:val="22"/>
          <w:lang w:val="fr-FR"/>
        </w:rPr>
        <w:t>’</w:t>
      </w:r>
      <w:r>
        <w:rPr>
          <w:rFonts w:ascii="Arial" w:hAnsi="Arial" w:cs="Arial"/>
          <w:bCs/>
          <w:sz w:val="22"/>
          <w:szCs w:val="22"/>
          <w:lang w:val="fr-FR"/>
        </w:rPr>
        <w:t xml:space="preserve">on accorde dix minutes </w:t>
      </w:r>
      <w:r w:rsidRPr="004C60A9">
        <w:rPr>
          <w:rFonts w:ascii="Arial" w:hAnsi="Arial" w:cs="Arial"/>
          <w:bCs/>
          <w:sz w:val="22"/>
          <w:szCs w:val="22"/>
          <w:lang w:val="fr-FR"/>
        </w:rPr>
        <w:t>supplémentair</w:t>
      </w:r>
      <w:r>
        <w:rPr>
          <w:rFonts w:ascii="Arial" w:hAnsi="Arial" w:cs="Arial"/>
          <w:bCs/>
          <w:sz w:val="22"/>
          <w:szCs w:val="22"/>
          <w:lang w:val="fr-FR"/>
        </w:rPr>
        <w:t>es, après quoi l</w:t>
      </w:r>
      <w:r w:rsidR="008E532B">
        <w:rPr>
          <w:rFonts w:ascii="Arial" w:hAnsi="Arial" w:cs="Arial"/>
          <w:bCs/>
          <w:sz w:val="22"/>
          <w:szCs w:val="22"/>
          <w:lang w:val="fr-FR"/>
        </w:rPr>
        <w:t>’</w:t>
      </w:r>
      <w:r>
        <w:rPr>
          <w:rFonts w:ascii="Arial" w:hAnsi="Arial" w:cs="Arial"/>
          <w:bCs/>
          <w:sz w:val="22"/>
          <w:szCs w:val="22"/>
          <w:lang w:val="fr-FR"/>
        </w:rPr>
        <w:t xml:space="preserve">Assemblée devrait aborder les autres points. </w:t>
      </w:r>
    </w:p>
    <w:p w14:paraId="105423CA" w14:textId="60B415F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C60A9">
        <w:rPr>
          <w:rFonts w:ascii="Arial" w:hAnsi="Arial" w:cs="Arial"/>
          <w:b/>
          <w:sz w:val="22"/>
          <w:szCs w:val="22"/>
          <w:lang w:val="fr-FR"/>
        </w:rPr>
        <w:t>Présidente</w:t>
      </w:r>
      <w:r>
        <w:rPr>
          <w:rFonts w:ascii="Arial" w:hAnsi="Arial" w:cs="Arial"/>
          <w:bCs/>
          <w:sz w:val="22"/>
          <w:szCs w:val="22"/>
          <w:lang w:val="fr-FR"/>
        </w:rPr>
        <w:t xml:space="preserve"> a fait remarquer que Chypre proposait de consacrer dix minutes à cette question car il y avait d</w:t>
      </w:r>
      <w:r w:rsidR="008E532B">
        <w:rPr>
          <w:rFonts w:ascii="Arial" w:hAnsi="Arial" w:cs="Arial"/>
          <w:bCs/>
          <w:sz w:val="22"/>
          <w:szCs w:val="22"/>
          <w:lang w:val="fr-FR"/>
        </w:rPr>
        <w:t>’</w:t>
      </w:r>
      <w:r>
        <w:rPr>
          <w:rFonts w:ascii="Arial" w:hAnsi="Arial" w:cs="Arial"/>
          <w:bCs/>
          <w:sz w:val="22"/>
          <w:szCs w:val="22"/>
          <w:lang w:val="fr-FR"/>
        </w:rPr>
        <w:t>autres points à aborder.</w:t>
      </w:r>
    </w:p>
    <w:p w14:paraId="06EDC285" w14:textId="4341A67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C60A9">
        <w:rPr>
          <w:rFonts w:ascii="Arial" w:hAnsi="Arial" w:cs="Arial"/>
          <w:bCs/>
          <w:sz w:val="22"/>
          <w:szCs w:val="22"/>
          <w:lang w:val="fr-FR"/>
        </w:rPr>
        <w:t xml:space="preserve">La délégation </w:t>
      </w:r>
      <w:r>
        <w:rPr>
          <w:rFonts w:ascii="Arial" w:hAnsi="Arial" w:cs="Arial"/>
          <w:bCs/>
          <w:sz w:val="22"/>
          <w:szCs w:val="22"/>
          <w:lang w:val="fr-FR"/>
        </w:rPr>
        <w:t xml:space="preserve">de la </w:t>
      </w:r>
      <w:r w:rsidRPr="006D154E">
        <w:rPr>
          <w:rFonts w:ascii="Arial" w:hAnsi="Arial" w:cs="Arial"/>
          <w:b/>
          <w:sz w:val="22"/>
          <w:szCs w:val="22"/>
          <w:lang w:val="fr-FR"/>
        </w:rPr>
        <w:t>République bolivarienne du Venezuela</w:t>
      </w:r>
      <w:r>
        <w:rPr>
          <w:rFonts w:ascii="Arial" w:hAnsi="Arial" w:cs="Arial"/>
          <w:bCs/>
          <w:sz w:val="22"/>
          <w:szCs w:val="22"/>
          <w:lang w:val="fr-FR"/>
        </w:rPr>
        <w:t xml:space="preserve"> </w:t>
      </w:r>
      <w:r w:rsidRPr="004C60A9">
        <w:rPr>
          <w:rFonts w:ascii="Arial" w:hAnsi="Arial" w:cs="Arial"/>
          <w:bCs/>
          <w:sz w:val="22"/>
          <w:szCs w:val="22"/>
          <w:lang w:val="fr-FR"/>
        </w:rPr>
        <w:t>préfér</w:t>
      </w:r>
      <w:r>
        <w:rPr>
          <w:rFonts w:ascii="Arial" w:hAnsi="Arial" w:cs="Arial"/>
          <w:bCs/>
          <w:sz w:val="22"/>
          <w:szCs w:val="22"/>
          <w:lang w:val="fr-FR"/>
        </w:rPr>
        <w:t>ait</w:t>
      </w:r>
      <w:r w:rsidRPr="004C60A9">
        <w:rPr>
          <w:rFonts w:ascii="Arial" w:hAnsi="Arial" w:cs="Arial"/>
          <w:bCs/>
          <w:sz w:val="22"/>
          <w:szCs w:val="22"/>
          <w:lang w:val="fr-FR"/>
        </w:rPr>
        <w:t xml:space="preserve"> </w:t>
      </w:r>
      <w:r>
        <w:rPr>
          <w:rFonts w:ascii="Arial" w:hAnsi="Arial" w:cs="Arial"/>
          <w:bCs/>
          <w:sz w:val="22"/>
          <w:szCs w:val="22"/>
          <w:lang w:val="fr-FR"/>
        </w:rPr>
        <w:t>achever</w:t>
      </w:r>
      <w:r w:rsidRPr="004C60A9">
        <w:rPr>
          <w:rFonts w:ascii="Arial" w:hAnsi="Arial" w:cs="Arial"/>
          <w:bCs/>
          <w:sz w:val="22"/>
          <w:szCs w:val="22"/>
          <w:lang w:val="fr-FR"/>
        </w:rPr>
        <w:t xml:space="preserve"> l</w:t>
      </w:r>
      <w:r>
        <w:rPr>
          <w:rFonts w:ascii="Arial" w:hAnsi="Arial" w:cs="Arial"/>
          <w:bCs/>
          <w:sz w:val="22"/>
          <w:szCs w:val="22"/>
          <w:lang w:val="fr-FR"/>
        </w:rPr>
        <w:t xml:space="preserve">e débat </w:t>
      </w:r>
      <w:r w:rsidRPr="004C60A9">
        <w:rPr>
          <w:rFonts w:ascii="Arial" w:hAnsi="Arial" w:cs="Arial"/>
          <w:bCs/>
          <w:sz w:val="22"/>
          <w:szCs w:val="22"/>
          <w:lang w:val="fr-FR"/>
        </w:rPr>
        <w:t>au cours de cette s</w:t>
      </w:r>
      <w:r>
        <w:rPr>
          <w:rFonts w:ascii="Arial" w:hAnsi="Arial" w:cs="Arial"/>
          <w:bCs/>
          <w:sz w:val="22"/>
          <w:szCs w:val="22"/>
          <w:lang w:val="fr-FR"/>
        </w:rPr>
        <w:t>éance</w:t>
      </w:r>
      <w:r w:rsidRPr="004C60A9">
        <w:rPr>
          <w:rFonts w:ascii="Arial" w:hAnsi="Arial" w:cs="Arial"/>
          <w:bCs/>
          <w:sz w:val="22"/>
          <w:szCs w:val="22"/>
          <w:lang w:val="fr-FR"/>
        </w:rPr>
        <w:t>, car c</w:t>
      </w:r>
      <w:r w:rsidR="008E532B">
        <w:rPr>
          <w:rFonts w:ascii="Arial" w:hAnsi="Arial" w:cs="Arial"/>
          <w:bCs/>
          <w:sz w:val="22"/>
          <w:szCs w:val="22"/>
          <w:lang w:val="fr-FR"/>
        </w:rPr>
        <w:t>’</w:t>
      </w:r>
      <w:r>
        <w:rPr>
          <w:rFonts w:ascii="Arial" w:hAnsi="Arial" w:cs="Arial"/>
          <w:bCs/>
          <w:sz w:val="22"/>
          <w:szCs w:val="22"/>
          <w:lang w:val="fr-FR"/>
        </w:rPr>
        <w:t xml:space="preserve">était </w:t>
      </w:r>
      <w:r w:rsidRPr="004C60A9">
        <w:rPr>
          <w:rFonts w:ascii="Arial" w:hAnsi="Arial" w:cs="Arial"/>
          <w:bCs/>
          <w:sz w:val="22"/>
          <w:szCs w:val="22"/>
          <w:lang w:val="fr-FR"/>
        </w:rPr>
        <w:t>la manière la plus productive d</w:t>
      </w:r>
      <w:r w:rsidR="008E532B">
        <w:rPr>
          <w:rFonts w:ascii="Arial" w:hAnsi="Arial" w:cs="Arial"/>
          <w:bCs/>
          <w:sz w:val="22"/>
          <w:szCs w:val="22"/>
          <w:lang w:val="fr-FR"/>
        </w:rPr>
        <w:t>’</w:t>
      </w:r>
      <w:r w:rsidRPr="004C60A9">
        <w:rPr>
          <w:rFonts w:ascii="Arial" w:hAnsi="Arial" w:cs="Arial"/>
          <w:bCs/>
          <w:sz w:val="22"/>
          <w:szCs w:val="22"/>
          <w:lang w:val="fr-FR"/>
        </w:rPr>
        <w:t>avancer. En outre, c</w:t>
      </w:r>
      <w:r w:rsidR="008E532B">
        <w:rPr>
          <w:rFonts w:ascii="Arial" w:hAnsi="Arial" w:cs="Arial"/>
          <w:bCs/>
          <w:sz w:val="22"/>
          <w:szCs w:val="22"/>
          <w:lang w:val="fr-FR"/>
        </w:rPr>
        <w:t>’</w:t>
      </w:r>
      <w:r>
        <w:rPr>
          <w:rFonts w:ascii="Arial" w:hAnsi="Arial" w:cs="Arial"/>
          <w:bCs/>
          <w:sz w:val="22"/>
          <w:szCs w:val="22"/>
          <w:lang w:val="fr-FR"/>
        </w:rPr>
        <w:t>était</w:t>
      </w:r>
      <w:r w:rsidRPr="004C60A9">
        <w:rPr>
          <w:rFonts w:ascii="Arial" w:hAnsi="Arial" w:cs="Arial"/>
          <w:bCs/>
          <w:sz w:val="22"/>
          <w:szCs w:val="22"/>
          <w:lang w:val="fr-FR"/>
        </w:rPr>
        <w:t xml:space="preserve"> le Bureau qui fix</w:t>
      </w:r>
      <w:r>
        <w:rPr>
          <w:rFonts w:ascii="Arial" w:hAnsi="Arial" w:cs="Arial"/>
          <w:bCs/>
          <w:sz w:val="22"/>
          <w:szCs w:val="22"/>
          <w:lang w:val="fr-FR"/>
        </w:rPr>
        <w:t>ait</w:t>
      </w:r>
      <w:r w:rsidRPr="004C60A9">
        <w:rPr>
          <w:rFonts w:ascii="Arial" w:hAnsi="Arial" w:cs="Arial"/>
          <w:bCs/>
          <w:sz w:val="22"/>
          <w:szCs w:val="22"/>
          <w:lang w:val="fr-FR"/>
        </w:rPr>
        <w:t xml:space="preserve"> le temps accordé à toute discussion et l</w:t>
      </w:r>
      <w:r w:rsidR="008E532B">
        <w:rPr>
          <w:rFonts w:ascii="Arial" w:hAnsi="Arial" w:cs="Arial"/>
          <w:bCs/>
          <w:sz w:val="22"/>
          <w:szCs w:val="22"/>
          <w:lang w:val="fr-FR"/>
        </w:rPr>
        <w:t>’</w:t>
      </w:r>
      <w:r w:rsidRPr="004C60A9">
        <w:rPr>
          <w:rFonts w:ascii="Arial" w:hAnsi="Arial" w:cs="Arial"/>
          <w:bCs/>
          <w:sz w:val="22"/>
          <w:szCs w:val="22"/>
          <w:lang w:val="fr-FR"/>
        </w:rPr>
        <w:t>Assemblée devrait respecter le mandat du Bureau. La délégation a suggéré de passer d</w:t>
      </w:r>
      <w:r w:rsidR="008E532B">
        <w:rPr>
          <w:rFonts w:ascii="Arial" w:hAnsi="Arial" w:cs="Arial"/>
          <w:bCs/>
          <w:sz w:val="22"/>
          <w:szCs w:val="22"/>
          <w:lang w:val="fr-FR"/>
        </w:rPr>
        <w:t>’</w:t>
      </w:r>
      <w:r w:rsidRPr="004C60A9">
        <w:rPr>
          <w:rFonts w:ascii="Arial" w:hAnsi="Arial" w:cs="Arial"/>
          <w:bCs/>
          <w:sz w:val="22"/>
          <w:szCs w:val="22"/>
          <w:lang w:val="fr-FR"/>
        </w:rPr>
        <w:t xml:space="preserve">abord en revue la liste des </w:t>
      </w:r>
      <w:r>
        <w:rPr>
          <w:rFonts w:ascii="Arial" w:hAnsi="Arial" w:cs="Arial"/>
          <w:bCs/>
          <w:sz w:val="22"/>
          <w:szCs w:val="22"/>
          <w:lang w:val="fr-FR"/>
        </w:rPr>
        <w:t>orateurs</w:t>
      </w:r>
      <w:r w:rsidRPr="004C60A9">
        <w:rPr>
          <w:rFonts w:ascii="Arial" w:hAnsi="Arial" w:cs="Arial"/>
          <w:bCs/>
          <w:sz w:val="22"/>
          <w:szCs w:val="22"/>
          <w:lang w:val="fr-FR"/>
        </w:rPr>
        <w:t>, puis, en l</w:t>
      </w:r>
      <w:r w:rsidR="008E532B">
        <w:rPr>
          <w:rFonts w:ascii="Arial" w:hAnsi="Arial" w:cs="Arial"/>
          <w:bCs/>
          <w:sz w:val="22"/>
          <w:szCs w:val="22"/>
          <w:lang w:val="fr-FR"/>
        </w:rPr>
        <w:t>’</w:t>
      </w:r>
      <w:r w:rsidRPr="004C60A9">
        <w:rPr>
          <w:rFonts w:ascii="Arial" w:hAnsi="Arial" w:cs="Arial"/>
          <w:bCs/>
          <w:sz w:val="22"/>
          <w:szCs w:val="22"/>
          <w:lang w:val="fr-FR"/>
        </w:rPr>
        <w:t>absence de consensus, de faire une pause de dix minutes pour laisser à l</w:t>
      </w:r>
      <w:r w:rsidR="008E532B">
        <w:rPr>
          <w:rFonts w:ascii="Arial" w:hAnsi="Arial" w:cs="Arial"/>
          <w:bCs/>
          <w:sz w:val="22"/>
          <w:szCs w:val="22"/>
          <w:lang w:val="fr-FR"/>
        </w:rPr>
        <w:t>’</w:t>
      </w:r>
      <w:r w:rsidRPr="004C60A9">
        <w:rPr>
          <w:rFonts w:ascii="Arial" w:hAnsi="Arial" w:cs="Arial"/>
          <w:bCs/>
          <w:sz w:val="22"/>
          <w:szCs w:val="22"/>
          <w:lang w:val="fr-FR"/>
        </w:rPr>
        <w:t xml:space="preserve">Assemblée le temps de </w:t>
      </w:r>
      <w:r>
        <w:rPr>
          <w:rFonts w:ascii="Arial" w:hAnsi="Arial" w:cs="Arial"/>
          <w:bCs/>
          <w:sz w:val="22"/>
          <w:szCs w:val="22"/>
          <w:lang w:val="fr-FR"/>
        </w:rPr>
        <w:t xml:space="preserve">formuler </w:t>
      </w:r>
      <w:r w:rsidRPr="004C60A9">
        <w:rPr>
          <w:rFonts w:ascii="Arial" w:hAnsi="Arial" w:cs="Arial"/>
          <w:bCs/>
          <w:sz w:val="22"/>
          <w:szCs w:val="22"/>
          <w:lang w:val="fr-FR"/>
        </w:rPr>
        <w:t>un texte consensuel.</w:t>
      </w:r>
    </w:p>
    <w:p w14:paraId="6A4C1C64" w14:textId="489AF4C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624A6">
        <w:rPr>
          <w:rFonts w:ascii="Arial" w:hAnsi="Arial" w:cs="Arial"/>
          <w:bCs/>
          <w:sz w:val="22"/>
          <w:szCs w:val="22"/>
          <w:lang w:val="fr-FR"/>
        </w:rPr>
        <w:t xml:space="preserve">La </w:t>
      </w:r>
      <w:r w:rsidRPr="00BD1E3D">
        <w:rPr>
          <w:rFonts w:ascii="Arial" w:hAnsi="Arial" w:cs="Arial"/>
          <w:b/>
          <w:sz w:val="22"/>
          <w:szCs w:val="22"/>
          <w:lang w:val="fr-FR"/>
        </w:rPr>
        <w:t>Présidente</w:t>
      </w:r>
      <w:r w:rsidRPr="00C624A6">
        <w:rPr>
          <w:rFonts w:ascii="Arial" w:hAnsi="Arial" w:cs="Arial"/>
          <w:bCs/>
          <w:sz w:val="22"/>
          <w:szCs w:val="22"/>
          <w:lang w:val="fr-FR"/>
        </w:rPr>
        <w:t xml:space="preserve"> </w:t>
      </w:r>
      <w:r>
        <w:rPr>
          <w:rFonts w:ascii="Arial" w:hAnsi="Arial" w:cs="Arial"/>
          <w:bCs/>
          <w:sz w:val="22"/>
          <w:szCs w:val="22"/>
          <w:lang w:val="fr-FR"/>
        </w:rPr>
        <w:t xml:space="preserve">a </w:t>
      </w:r>
      <w:r w:rsidRPr="00C624A6">
        <w:rPr>
          <w:rFonts w:ascii="Arial" w:hAnsi="Arial" w:cs="Arial"/>
          <w:bCs/>
          <w:sz w:val="22"/>
          <w:szCs w:val="22"/>
          <w:lang w:val="fr-FR"/>
        </w:rPr>
        <w:t>accept</w:t>
      </w:r>
      <w:r>
        <w:rPr>
          <w:rFonts w:ascii="Arial" w:hAnsi="Arial" w:cs="Arial"/>
          <w:bCs/>
          <w:sz w:val="22"/>
          <w:szCs w:val="22"/>
          <w:lang w:val="fr-FR"/>
        </w:rPr>
        <w:t>é</w:t>
      </w:r>
      <w:r w:rsidRPr="00C624A6">
        <w:rPr>
          <w:rFonts w:ascii="Arial" w:hAnsi="Arial" w:cs="Arial"/>
          <w:bCs/>
          <w:sz w:val="22"/>
          <w:szCs w:val="22"/>
          <w:lang w:val="fr-FR"/>
        </w:rPr>
        <w:t xml:space="preserve"> le compromis consistant à donner à toutes les délégations la possibilité de s</w:t>
      </w:r>
      <w:r w:rsidR="008E532B">
        <w:rPr>
          <w:rFonts w:ascii="Arial" w:hAnsi="Arial" w:cs="Arial"/>
          <w:bCs/>
          <w:sz w:val="22"/>
          <w:szCs w:val="22"/>
          <w:lang w:val="fr-FR"/>
        </w:rPr>
        <w:t>’</w:t>
      </w:r>
      <w:r w:rsidRPr="00C624A6">
        <w:rPr>
          <w:rFonts w:ascii="Arial" w:hAnsi="Arial" w:cs="Arial"/>
          <w:bCs/>
          <w:sz w:val="22"/>
          <w:szCs w:val="22"/>
          <w:lang w:val="fr-FR"/>
        </w:rPr>
        <w:t>exprimer avant de revenir au p</w:t>
      </w:r>
      <w:r>
        <w:rPr>
          <w:rFonts w:ascii="Arial" w:hAnsi="Arial" w:cs="Arial"/>
          <w:bCs/>
          <w:sz w:val="22"/>
          <w:szCs w:val="22"/>
          <w:lang w:val="fr-FR"/>
        </w:rPr>
        <w:t>aragraphe</w:t>
      </w:r>
      <w:r w:rsidRPr="00C624A6">
        <w:rPr>
          <w:rFonts w:ascii="Arial" w:hAnsi="Arial" w:cs="Arial"/>
          <w:bCs/>
          <w:sz w:val="22"/>
          <w:szCs w:val="22"/>
          <w:lang w:val="fr-FR"/>
        </w:rPr>
        <w:t xml:space="preserve"> 7bis, en rappelant aux délégations l</w:t>
      </w:r>
      <w:r>
        <w:rPr>
          <w:rFonts w:ascii="Arial" w:hAnsi="Arial" w:cs="Arial"/>
          <w:bCs/>
          <w:sz w:val="22"/>
          <w:szCs w:val="22"/>
          <w:lang w:val="fr-FR"/>
        </w:rPr>
        <w:t xml:space="preserve">a limite de </w:t>
      </w:r>
      <w:r w:rsidRPr="00C624A6">
        <w:rPr>
          <w:rFonts w:ascii="Arial" w:hAnsi="Arial" w:cs="Arial"/>
          <w:bCs/>
          <w:sz w:val="22"/>
          <w:szCs w:val="22"/>
          <w:lang w:val="fr-FR"/>
        </w:rPr>
        <w:t>temps</w:t>
      </w:r>
      <w:r>
        <w:rPr>
          <w:rFonts w:ascii="Arial" w:hAnsi="Arial" w:cs="Arial"/>
          <w:bCs/>
          <w:sz w:val="22"/>
          <w:szCs w:val="22"/>
          <w:lang w:val="fr-FR"/>
        </w:rPr>
        <w:t xml:space="preserve"> de parole</w:t>
      </w:r>
      <w:r w:rsidRPr="00C624A6">
        <w:rPr>
          <w:rFonts w:ascii="Arial" w:hAnsi="Arial" w:cs="Arial"/>
          <w:bCs/>
          <w:sz w:val="22"/>
          <w:szCs w:val="22"/>
          <w:lang w:val="fr-FR"/>
        </w:rPr>
        <w:t>.</w:t>
      </w:r>
    </w:p>
    <w:p w14:paraId="04EA0B63" w14:textId="5619776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624A6">
        <w:rPr>
          <w:rFonts w:ascii="Arial" w:hAnsi="Arial" w:cs="Arial"/>
          <w:bCs/>
          <w:sz w:val="22"/>
          <w:szCs w:val="22"/>
          <w:lang w:val="fr-FR"/>
        </w:rPr>
        <w:t>La délégation d</w:t>
      </w:r>
      <w:r>
        <w:rPr>
          <w:rFonts w:ascii="Arial" w:hAnsi="Arial" w:cs="Arial"/>
          <w:bCs/>
          <w:sz w:val="22"/>
          <w:szCs w:val="22"/>
          <w:lang w:val="fr-FR"/>
        </w:rPr>
        <w:t xml:space="preserve">e la </w:t>
      </w:r>
      <w:r w:rsidRPr="006D154E">
        <w:rPr>
          <w:rFonts w:ascii="Arial" w:hAnsi="Arial" w:cs="Arial"/>
          <w:b/>
          <w:sz w:val="22"/>
          <w:szCs w:val="22"/>
          <w:lang w:val="fr-FR"/>
        </w:rPr>
        <w:t>République bolivarienne du Venezuela</w:t>
      </w:r>
      <w:r w:rsidRPr="00C624A6">
        <w:rPr>
          <w:rFonts w:ascii="Arial" w:hAnsi="Arial" w:cs="Arial"/>
          <w:bCs/>
          <w:sz w:val="22"/>
          <w:szCs w:val="22"/>
          <w:lang w:val="fr-FR"/>
        </w:rPr>
        <w:t xml:space="preserve"> </w:t>
      </w:r>
      <w:r>
        <w:rPr>
          <w:rFonts w:ascii="Arial" w:hAnsi="Arial" w:cs="Arial"/>
          <w:bCs/>
          <w:sz w:val="22"/>
          <w:szCs w:val="22"/>
          <w:lang w:val="fr-FR"/>
        </w:rPr>
        <w:t xml:space="preserve">a </w:t>
      </w:r>
      <w:r w:rsidRPr="00C624A6">
        <w:rPr>
          <w:rFonts w:ascii="Arial" w:hAnsi="Arial" w:cs="Arial"/>
          <w:bCs/>
          <w:sz w:val="22"/>
          <w:szCs w:val="22"/>
          <w:lang w:val="fr-FR"/>
        </w:rPr>
        <w:t>remerci</w:t>
      </w:r>
      <w:r>
        <w:rPr>
          <w:rFonts w:ascii="Arial" w:hAnsi="Arial" w:cs="Arial"/>
          <w:bCs/>
          <w:sz w:val="22"/>
          <w:szCs w:val="22"/>
          <w:lang w:val="fr-FR"/>
        </w:rPr>
        <w:t>é</w:t>
      </w:r>
      <w:r w:rsidRPr="00C624A6">
        <w:rPr>
          <w:rFonts w:ascii="Arial" w:hAnsi="Arial" w:cs="Arial"/>
          <w:bCs/>
          <w:sz w:val="22"/>
          <w:szCs w:val="22"/>
          <w:lang w:val="fr-FR"/>
        </w:rPr>
        <w:t xml:space="preserve"> la Présidente de sa patience. Elle souhait</w:t>
      </w:r>
      <w:r>
        <w:rPr>
          <w:rFonts w:ascii="Arial" w:hAnsi="Arial" w:cs="Arial"/>
          <w:bCs/>
          <w:sz w:val="22"/>
          <w:szCs w:val="22"/>
          <w:lang w:val="fr-FR"/>
        </w:rPr>
        <w:t>ait</w:t>
      </w:r>
      <w:r w:rsidRPr="00C624A6">
        <w:rPr>
          <w:rFonts w:ascii="Arial" w:hAnsi="Arial" w:cs="Arial"/>
          <w:bCs/>
          <w:sz w:val="22"/>
          <w:szCs w:val="22"/>
          <w:lang w:val="fr-FR"/>
        </w:rPr>
        <w:t xml:space="preserve"> soutenir la proposition de la Palestine</w:t>
      </w:r>
      <w:r>
        <w:rPr>
          <w:rFonts w:ascii="Arial" w:hAnsi="Arial" w:cs="Arial"/>
          <w:bCs/>
          <w:sz w:val="22"/>
          <w:szCs w:val="22"/>
          <w:lang w:val="fr-FR"/>
        </w:rPr>
        <w:t>,</w:t>
      </w:r>
      <w:r w:rsidRPr="00C624A6">
        <w:rPr>
          <w:rFonts w:ascii="Arial" w:hAnsi="Arial" w:cs="Arial"/>
          <w:bCs/>
          <w:sz w:val="22"/>
          <w:szCs w:val="22"/>
          <w:lang w:val="fr-FR"/>
        </w:rPr>
        <w:t xml:space="preserve"> mais elle pouvait également soutenir la proposition d</w:t>
      </w:r>
      <w:r w:rsidR="008E532B">
        <w:rPr>
          <w:rFonts w:ascii="Arial" w:hAnsi="Arial" w:cs="Arial"/>
          <w:bCs/>
          <w:sz w:val="22"/>
          <w:szCs w:val="22"/>
          <w:lang w:val="fr-FR"/>
        </w:rPr>
        <w:t>’</w:t>
      </w:r>
      <w:r w:rsidRPr="00C624A6">
        <w:rPr>
          <w:rFonts w:ascii="Arial" w:hAnsi="Arial" w:cs="Arial"/>
          <w:bCs/>
          <w:sz w:val="22"/>
          <w:szCs w:val="22"/>
          <w:lang w:val="fr-FR"/>
        </w:rPr>
        <w:t>Oman qui méritait d</w:t>
      </w:r>
      <w:r w:rsidR="008E532B">
        <w:rPr>
          <w:rFonts w:ascii="Arial" w:hAnsi="Arial" w:cs="Arial"/>
          <w:bCs/>
          <w:sz w:val="22"/>
          <w:szCs w:val="22"/>
          <w:lang w:val="fr-FR"/>
        </w:rPr>
        <w:t>’</w:t>
      </w:r>
      <w:r w:rsidRPr="00C624A6">
        <w:rPr>
          <w:rFonts w:ascii="Arial" w:hAnsi="Arial" w:cs="Arial"/>
          <w:bCs/>
          <w:sz w:val="22"/>
          <w:szCs w:val="22"/>
          <w:lang w:val="fr-FR"/>
        </w:rPr>
        <w:t xml:space="preserve">être prise en considération étant donné que la discussion précédente </w:t>
      </w:r>
      <w:r>
        <w:rPr>
          <w:rFonts w:ascii="Arial" w:hAnsi="Arial" w:cs="Arial"/>
          <w:bCs/>
          <w:sz w:val="22"/>
          <w:szCs w:val="22"/>
          <w:lang w:val="fr-FR"/>
        </w:rPr>
        <w:t xml:space="preserve">avait </w:t>
      </w:r>
      <w:r w:rsidRPr="00C624A6">
        <w:rPr>
          <w:rFonts w:ascii="Arial" w:hAnsi="Arial" w:cs="Arial"/>
          <w:bCs/>
          <w:sz w:val="22"/>
          <w:szCs w:val="22"/>
          <w:lang w:val="fr-FR"/>
        </w:rPr>
        <w:t>mentionn</w:t>
      </w:r>
      <w:r>
        <w:rPr>
          <w:rFonts w:ascii="Arial" w:hAnsi="Arial" w:cs="Arial"/>
          <w:bCs/>
          <w:sz w:val="22"/>
          <w:szCs w:val="22"/>
          <w:lang w:val="fr-FR"/>
        </w:rPr>
        <w:t>é</w:t>
      </w:r>
      <w:r w:rsidRPr="00C624A6">
        <w:rPr>
          <w:rFonts w:ascii="Arial" w:hAnsi="Arial" w:cs="Arial"/>
          <w:bCs/>
          <w:sz w:val="22"/>
          <w:szCs w:val="22"/>
          <w:lang w:val="fr-FR"/>
        </w:rPr>
        <w:t xml:space="preserve"> le paragraphe 93 des Directives opérationnelles, qui stipule que </w:t>
      </w:r>
      <w:r>
        <w:rPr>
          <w:rFonts w:ascii="Arial" w:hAnsi="Arial" w:cs="Arial"/>
          <w:bCs/>
          <w:sz w:val="22"/>
          <w:szCs w:val="22"/>
          <w:lang w:val="fr-FR"/>
        </w:rPr>
        <w:t>« </w:t>
      </w:r>
      <w:r w:rsidRPr="00C624A6">
        <w:rPr>
          <w:rFonts w:ascii="Arial" w:hAnsi="Arial" w:cs="Arial"/>
          <w:bCs/>
          <w:sz w:val="22"/>
          <w:szCs w:val="22"/>
          <w:lang w:val="fr-FR"/>
        </w:rPr>
        <w:t xml:space="preserve">le Comité </w:t>
      </w:r>
      <w:r>
        <w:rPr>
          <w:rFonts w:ascii="Arial" w:hAnsi="Arial" w:cs="Arial"/>
          <w:bCs/>
          <w:sz w:val="22"/>
          <w:szCs w:val="22"/>
          <w:lang w:val="fr-FR"/>
        </w:rPr>
        <w:t>accordera l</w:t>
      </w:r>
      <w:r w:rsidR="008E532B">
        <w:rPr>
          <w:rFonts w:ascii="Arial" w:hAnsi="Arial" w:cs="Arial"/>
          <w:bCs/>
          <w:sz w:val="22"/>
          <w:szCs w:val="22"/>
          <w:lang w:val="fr-FR"/>
        </w:rPr>
        <w:t>’</w:t>
      </w:r>
      <w:r>
        <w:rPr>
          <w:rFonts w:ascii="Arial" w:hAnsi="Arial" w:cs="Arial"/>
          <w:bCs/>
          <w:sz w:val="22"/>
          <w:szCs w:val="22"/>
          <w:lang w:val="fr-FR"/>
        </w:rPr>
        <w:t xml:space="preserve">attention nécessaire au </w:t>
      </w:r>
      <w:r w:rsidRPr="00C624A6">
        <w:rPr>
          <w:rFonts w:ascii="Arial" w:hAnsi="Arial" w:cs="Arial"/>
          <w:bCs/>
          <w:sz w:val="22"/>
          <w:szCs w:val="22"/>
          <w:lang w:val="fr-FR"/>
        </w:rPr>
        <w:t>principe de représentation géographique équitable</w:t>
      </w:r>
      <w:r>
        <w:rPr>
          <w:rFonts w:ascii="Arial" w:hAnsi="Arial" w:cs="Arial"/>
          <w:bCs/>
          <w:sz w:val="22"/>
          <w:szCs w:val="22"/>
          <w:lang w:val="fr-FR"/>
        </w:rPr>
        <w:t> »</w:t>
      </w:r>
      <w:r w:rsidRPr="00C624A6">
        <w:rPr>
          <w:rFonts w:ascii="Arial" w:hAnsi="Arial" w:cs="Arial"/>
          <w:bCs/>
          <w:sz w:val="22"/>
          <w:szCs w:val="22"/>
          <w:lang w:val="fr-FR"/>
        </w:rPr>
        <w:t>. La délégation a expliqué qu</w:t>
      </w:r>
      <w:r w:rsidR="008E532B">
        <w:rPr>
          <w:rFonts w:ascii="Arial" w:hAnsi="Arial" w:cs="Arial"/>
          <w:bCs/>
          <w:sz w:val="22"/>
          <w:szCs w:val="22"/>
          <w:lang w:val="fr-FR"/>
        </w:rPr>
        <w:t>’</w:t>
      </w:r>
      <w:r w:rsidRPr="00C624A6">
        <w:rPr>
          <w:rFonts w:ascii="Arial" w:hAnsi="Arial" w:cs="Arial"/>
          <w:bCs/>
          <w:sz w:val="22"/>
          <w:szCs w:val="22"/>
          <w:lang w:val="fr-FR"/>
        </w:rPr>
        <w:t>il y avait des</w:t>
      </w:r>
      <w:r>
        <w:rPr>
          <w:rFonts w:ascii="Arial" w:hAnsi="Arial" w:cs="Arial"/>
          <w:bCs/>
          <w:sz w:val="22"/>
          <w:szCs w:val="22"/>
          <w:lang w:val="fr-FR"/>
        </w:rPr>
        <w:t xml:space="preserve"> </w:t>
      </w:r>
      <w:r w:rsidRPr="00C624A6">
        <w:rPr>
          <w:rFonts w:ascii="Arial" w:hAnsi="Arial" w:cs="Arial"/>
          <w:bCs/>
          <w:sz w:val="22"/>
          <w:szCs w:val="22"/>
          <w:lang w:val="fr-FR"/>
        </w:rPr>
        <w:t xml:space="preserve">ONG </w:t>
      </w:r>
      <w:r>
        <w:rPr>
          <w:rFonts w:ascii="Arial" w:hAnsi="Arial" w:cs="Arial"/>
          <w:bCs/>
          <w:sz w:val="22"/>
          <w:szCs w:val="22"/>
          <w:lang w:val="fr-FR"/>
        </w:rPr>
        <w:t xml:space="preserve">représentant </w:t>
      </w:r>
      <w:r w:rsidRPr="00C624A6">
        <w:rPr>
          <w:rFonts w:ascii="Arial" w:hAnsi="Arial" w:cs="Arial"/>
          <w:bCs/>
          <w:sz w:val="22"/>
          <w:szCs w:val="22"/>
          <w:lang w:val="fr-FR"/>
        </w:rPr>
        <w:t>d</w:t>
      </w:r>
      <w:r>
        <w:rPr>
          <w:rFonts w:ascii="Arial" w:hAnsi="Arial" w:cs="Arial"/>
          <w:bCs/>
          <w:sz w:val="22"/>
          <w:szCs w:val="22"/>
          <w:lang w:val="fr-FR"/>
        </w:rPr>
        <w:t xml:space="preserve">es </w:t>
      </w:r>
      <w:r w:rsidRPr="00C624A6">
        <w:rPr>
          <w:rFonts w:ascii="Arial" w:hAnsi="Arial" w:cs="Arial"/>
          <w:bCs/>
          <w:sz w:val="22"/>
          <w:szCs w:val="22"/>
          <w:lang w:val="fr-FR"/>
        </w:rPr>
        <w:t>États non parties à la Convention alors qu</w:t>
      </w:r>
      <w:r w:rsidR="008E532B">
        <w:rPr>
          <w:rFonts w:ascii="Arial" w:hAnsi="Arial" w:cs="Arial"/>
          <w:bCs/>
          <w:sz w:val="22"/>
          <w:szCs w:val="22"/>
          <w:lang w:val="fr-FR"/>
        </w:rPr>
        <w:t>’</w:t>
      </w:r>
      <w:r w:rsidRPr="00C624A6">
        <w:rPr>
          <w:rFonts w:ascii="Arial" w:hAnsi="Arial" w:cs="Arial"/>
          <w:bCs/>
          <w:sz w:val="22"/>
          <w:szCs w:val="22"/>
          <w:lang w:val="fr-FR"/>
        </w:rPr>
        <w:t>il y a</w:t>
      </w:r>
      <w:r>
        <w:rPr>
          <w:rFonts w:ascii="Arial" w:hAnsi="Arial" w:cs="Arial"/>
          <w:bCs/>
          <w:sz w:val="22"/>
          <w:szCs w:val="22"/>
          <w:lang w:val="fr-FR"/>
        </w:rPr>
        <w:t>vait</w:t>
      </w:r>
      <w:r w:rsidRPr="00C624A6">
        <w:rPr>
          <w:rFonts w:ascii="Arial" w:hAnsi="Arial" w:cs="Arial"/>
          <w:bCs/>
          <w:sz w:val="22"/>
          <w:szCs w:val="22"/>
          <w:lang w:val="fr-FR"/>
        </w:rPr>
        <w:t xml:space="preserve"> 180 États parties. Elle s</w:t>
      </w:r>
      <w:r>
        <w:rPr>
          <w:rFonts w:ascii="Arial" w:hAnsi="Arial" w:cs="Arial"/>
          <w:bCs/>
          <w:sz w:val="22"/>
          <w:szCs w:val="22"/>
          <w:lang w:val="fr-FR"/>
        </w:rPr>
        <w:t>e demandait</w:t>
      </w:r>
      <w:r w:rsidRPr="00C624A6">
        <w:rPr>
          <w:rFonts w:ascii="Arial" w:hAnsi="Arial" w:cs="Arial"/>
          <w:bCs/>
          <w:sz w:val="22"/>
          <w:szCs w:val="22"/>
          <w:lang w:val="fr-FR"/>
        </w:rPr>
        <w:t xml:space="preserve"> </w:t>
      </w:r>
      <w:r>
        <w:rPr>
          <w:rFonts w:ascii="Arial" w:hAnsi="Arial" w:cs="Arial"/>
          <w:bCs/>
          <w:sz w:val="22"/>
          <w:szCs w:val="22"/>
          <w:lang w:val="fr-FR"/>
        </w:rPr>
        <w:t xml:space="preserve">donc </w:t>
      </w:r>
      <w:r w:rsidRPr="00C624A6">
        <w:rPr>
          <w:rFonts w:ascii="Arial" w:hAnsi="Arial" w:cs="Arial"/>
          <w:bCs/>
          <w:sz w:val="22"/>
          <w:szCs w:val="22"/>
          <w:lang w:val="fr-FR"/>
        </w:rPr>
        <w:t>pourquoi on se préoccup</w:t>
      </w:r>
      <w:r>
        <w:rPr>
          <w:rFonts w:ascii="Arial" w:hAnsi="Arial" w:cs="Arial"/>
          <w:bCs/>
          <w:sz w:val="22"/>
          <w:szCs w:val="22"/>
          <w:lang w:val="fr-FR"/>
        </w:rPr>
        <w:t>ait</w:t>
      </w:r>
      <w:r w:rsidRPr="00C624A6">
        <w:rPr>
          <w:rFonts w:ascii="Arial" w:hAnsi="Arial" w:cs="Arial"/>
          <w:bCs/>
          <w:sz w:val="22"/>
          <w:szCs w:val="22"/>
          <w:lang w:val="fr-FR"/>
        </w:rPr>
        <w:t xml:space="preserve"> tant de savoir s</w:t>
      </w:r>
      <w:r>
        <w:rPr>
          <w:rFonts w:ascii="Arial" w:hAnsi="Arial" w:cs="Arial"/>
          <w:bCs/>
          <w:sz w:val="22"/>
          <w:szCs w:val="22"/>
          <w:lang w:val="fr-FR"/>
        </w:rPr>
        <w:t>i elles</w:t>
      </w:r>
      <w:r w:rsidRPr="00C624A6">
        <w:rPr>
          <w:rFonts w:ascii="Arial" w:hAnsi="Arial" w:cs="Arial"/>
          <w:bCs/>
          <w:sz w:val="22"/>
          <w:szCs w:val="22"/>
          <w:lang w:val="fr-FR"/>
        </w:rPr>
        <w:t xml:space="preserve"> </w:t>
      </w:r>
      <w:r>
        <w:rPr>
          <w:rFonts w:ascii="Arial" w:hAnsi="Arial" w:cs="Arial"/>
          <w:bCs/>
          <w:sz w:val="22"/>
          <w:szCs w:val="22"/>
          <w:lang w:val="fr-FR"/>
        </w:rPr>
        <w:t>étaient</w:t>
      </w:r>
      <w:r w:rsidRPr="00C624A6">
        <w:rPr>
          <w:rFonts w:ascii="Arial" w:hAnsi="Arial" w:cs="Arial"/>
          <w:bCs/>
          <w:sz w:val="22"/>
          <w:szCs w:val="22"/>
          <w:lang w:val="fr-FR"/>
        </w:rPr>
        <w:t xml:space="preserve"> affilié</w:t>
      </w:r>
      <w:r>
        <w:rPr>
          <w:rFonts w:ascii="Arial" w:hAnsi="Arial" w:cs="Arial"/>
          <w:bCs/>
          <w:sz w:val="22"/>
          <w:szCs w:val="22"/>
          <w:lang w:val="fr-FR"/>
        </w:rPr>
        <w:t>e</w:t>
      </w:r>
      <w:r w:rsidRPr="00C624A6">
        <w:rPr>
          <w:rFonts w:ascii="Arial" w:hAnsi="Arial" w:cs="Arial"/>
          <w:bCs/>
          <w:sz w:val="22"/>
          <w:szCs w:val="22"/>
          <w:lang w:val="fr-FR"/>
        </w:rPr>
        <w:t>s ou non à un État partie. La délégation a insisté sur le fait que la question concernait le fait d</w:t>
      </w:r>
      <w:r w:rsidR="008E532B">
        <w:rPr>
          <w:rFonts w:ascii="Arial" w:hAnsi="Arial" w:cs="Arial"/>
          <w:bCs/>
          <w:sz w:val="22"/>
          <w:szCs w:val="22"/>
          <w:lang w:val="fr-FR"/>
        </w:rPr>
        <w:t>’</w:t>
      </w:r>
      <w:r w:rsidRPr="00C624A6">
        <w:rPr>
          <w:rFonts w:ascii="Arial" w:hAnsi="Arial" w:cs="Arial"/>
          <w:bCs/>
          <w:sz w:val="22"/>
          <w:szCs w:val="22"/>
          <w:lang w:val="fr-FR"/>
        </w:rPr>
        <w:t xml:space="preserve">avoir une meilleure représentation parmi les ONG des régions sous-représentées. La délégation </w:t>
      </w:r>
      <w:r>
        <w:rPr>
          <w:rFonts w:ascii="Arial" w:hAnsi="Arial" w:cs="Arial"/>
          <w:bCs/>
          <w:sz w:val="22"/>
          <w:szCs w:val="22"/>
          <w:lang w:val="fr-FR"/>
        </w:rPr>
        <w:t>pensait</w:t>
      </w:r>
      <w:r w:rsidRPr="00C624A6">
        <w:rPr>
          <w:rFonts w:ascii="Arial" w:hAnsi="Arial" w:cs="Arial"/>
          <w:bCs/>
          <w:sz w:val="22"/>
          <w:szCs w:val="22"/>
          <w:lang w:val="fr-FR"/>
        </w:rPr>
        <w:t xml:space="preserve"> que la proposition </w:t>
      </w:r>
      <w:r>
        <w:rPr>
          <w:rFonts w:ascii="Arial" w:hAnsi="Arial" w:cs="Arial"/>
          <w:bCs/>
          <w:sz w:val="22"/>
          <w:szCs w:val="22"/>
          <w:lang w:val="fr-FR"/>
        </w:rPr>
        <w:t xml:space="preserve">de la Colombie précédemment </w:t>
      </w:r>
      <w:r w:rsidRPr="00C624A6">
        <w:rPr>
          <w:rFonts w:ascii="Arial" w:hAnsi="Arial" w:cs="Arial"/>
          <w:bCs/>
          <w:sz w:val="22"/>
          <w:szCs w:val="22"/>
          <w:lang w:val="fr-FR"/>
        </w:rPr>
        <w:t xml:space="preserve">adoptée </w:t>
      </w:r>
      <w:r>
        <w:rPr>
          <w:rFonts w:ascii="Arial" w:hAnsi="Arial" w:cs="Arial"/>
          <w:bCs/>
          <w:sz w:val="22"/>
          <w:szCs w:val="22"/>
          <w:lang w:val="fr-FR"/>
        </w:rPr>
        <w:t xml:space="preserve">était, de fait, plus utile </w:t>
      </w:r>
      <w:r w:rsidRPr="00C624A6">
        <w:rPr>
          <w:rFonts w:ascii="Arial" w:hAnsi="Arial" w:cs="Arial"/>
          <w:bCs/>
          <w:sz w:val="22"/>
          <w:szCs w:val="22"/>
          <w:lang w:val="fr-FR"/>
        </w:rPr>
        <w:t>pour aborder cette question d</w:t>
      </w:r>
      <w:r w:rsidR="008E532B">
        <w:rPr>
          <w:rFonts w:ascii="Arial" w:hAnsi="Arial" w:cs="Arial"/>
          <w:bCs/>
          <w:sz w:val="22"/>
          <w:szCs w:val="22"/>
          <w:lang w:val="fr-FR"/>
        </w:rPr>
        <w:t>’</w:t>
      </w:r>
      <w:r w:rsidRPr="00C624A6">
        <w:rPr>
          <w:rFonts w:ascii="Arial" w:hAnsi="Arial" w:cs="Arial"/>
          <w:bCs/>
          <w:sz w:val="22"/>
          <w:szCs w:val="22"/>
          <w:lang w:val="fr-FR"/>
        </w:rPr>
        <w:t xml:space="preserve">équilibre. </w:t>
      </w:r>
      <w:r>
        <w:rPr>
          <w:rFonts w:ascii="Arial" w:hAnsi="Arial" w:cs="Arial"/>
          <w:bCs/>
          <w:sz w:val="22"/>
          <w:szCs w:val="22"/>
          <w:lang w:val="fr-FR"/>
        </w:rPr>
        <w:t>Afin d</w:t>
      </w:r>
      <w:r w:rsidR="008E532B">
        <w:rPr>
          <w:rFonts w:ascii="Arial" w:hAnsi="Arial" w:cs="Arial"/>
          <w:bCs/>
          <w:sz w:val="22"/>
          <w:szCs w:val="22"/>
          <w:lang w:val="fr-FR"/>
        </w:rPr>
        <w:t>’</w:t>
      </w:r>
      <w:r>
        <w:rPr>
          <w:rFonts w:ascii="Arial" w:hAnsi="Arial" w:cs="Arial"/>
          <w:bCs/>
          <w:sz w:val="22"/>
          <w:szCs w:val="22"/>
          <w:lang w:val="fr-FR"/>
        </w:rPr>
        <w:t>avancer</w:t>
      </w:r>
      <w:r w:rsidRPr="00C624A6">
        <w:rPr>
          <w:rFonts w:ascii="Arial" w:hAnsi="Arial" w:cs="Arial"/>
          <w:bCs/>
          <w:sz w:val="22"/>
          <w:szCs w:val="22"/>
          <w:lang w:val="fr-FR"/>
        </w:rPr>
        <w:t xml:space="preserve">, la délégation a suggéré de </w:t>
      </w:r>
      <w:r>
        <w:rPr>
          <w:rFonts w:ascii="Arial" w:hAnsi="Arial" w:cs="Arial"/>
          <w:bCs/>
          <w:sz w:val="22"/>
          <w:szCs w:val="22"/>
          <w:lang w:val="fr-FR"/>
        </w:rPr>
        <w:t>maintenir la possibilité</w:t>
      </w:r>
      <w:r w:rsidRPr="00C624A6">
        <w:rPr>
          <w:rFonts w:ascii="Arial" w:hAnsi="Arial" w:cs="Arial"/>
          <w:bCs/>
          <w:sz w:val="22"/>
          <w:szCs w:val="22"/>
          <w:lang w:val="fr-FR"/>
        </w:rPr>
        <w:t xml:space="preserve"> </w:t>
      </w:r>
      <w:r>
        <w:rPr>
          <w:rFonts w:ascii="Arial" w:hAnsi="Arial" w:cs="Arial"/>
          <w:bCs/>
          <w:sz w:val="22"/>
          <w:szCs w:val="22"/>
          <w:lang w:val="fr-FR"/>
        </w:rPr>
        <w:t>d</w:t>
      </w:r>
      <w:r w:rsidR="008E532B">
        <w:rPr>
          <w:rFonts w:ascii="Arial" w:hAnsi="Arial" w:cs="Arial"/>
          <w:bCs/>
          <w:sz w:val="22"/>
          <w:szCs w:val="22"/>
          <w:lang w:val="fr-FR"/>
        </w:rPr>
        <w:t>’</w:t>
      </w:r>
      <w:r w:rsidRPr="00C624A6">
        <w:rPr>
          <w:rFonts w:ascii="Arial" w:hAnsi="Arial" w:cs="Arial"/>
          <w:bCs/>
          <w:sz w:val="22"/>
          <w:szCs w:val="22"/>
          <w:lang w:val="fr-FR"/>
        </w:rPr>
        <w:t>accréditation d</w:t>
      </w:r>
      <w:r w:rsidR="008E532B">
        <w:rPr>
          <w:rFonts w:ascii="Arial" w:hAnsi="Arial" w:cs="Arial"/>
          <w:bCs/>
          <w:sz w:val="22"/>
          <w:szCs w:val="22"/>
          <w:lang w:val="fr-FR"/>
        </w:rPr>
        <w:t>’</w:t>
      </w:r>
      <w:r w:rsidRPr="00C624A6">
        <w:rPr>
          <w:rFonts w:ascii="Arial" w:hAnsi="Arial" w:cs="Arial"/>
          <w:bCs/>
          <w:sz w:val="22"/>
          <w:szCs w:val="22"/>
          <w:lang w:val="fr-FR"/>
        </w:rPr>
        <w:t>ONG d</w:t>
      </w:r>
      <w:r w:rsidR="008E532B">
        <w:rPr>
          <w:rFonts w:ascii="Arial" w:hAnsi="Arial" w:cs="Arial"/>
          <w:bCs/>
          <w:sz w:val="22"/>
          <w:szCs w:val="22"/>
          <w:lang w:val="fr-FR"/>
        </w:rPr>
        <w:t>’</w:t>
      </w:r>
      <w:r w:rsidRPr="00C624A6">
        <w:rPr>
          <w:rFonts w:ascii="Arial" w:hAnsi="Arial" w:cs="Arial"/>
          <w:bCs/>
          <w:sz w:val="22"/>
          <w:szCs w:val="22"/>
          <w:lang w:val="fr-FR"/>
        </w:rPr>
        <w:t xml:space="preserve">États non parties à la Convention mais, </w:t>
      </w:r>
      <w:r>
        <w:rPr>
          <w:rFonts w:ascii="Arial" w:hAnsi="Arial" w:cs="Arial"/>
          <w:bCs/>
          <w:sz w:val="22"/>
          <w:szCs w:val="22"/>
          <w:lang w:val="fr-FR"/>
        </w:rPr>
        <w:t>a minima, que celles-ci</w:t>
      </w:r>
      <w:r w:rsidRPr="00C624A6">
        <w:rPr>
          <w:rFonts w:ascii="Arial" w:hAnsi="Arial" w:cs="Arial"/>
          <w:bCs/>
          <w:sz w:val="22"/>
          <w:szCs w:val="22"/>
          <w:lang w:val="fr-FR"/>
        </w:rPr>
        <w:t xml:space="preserve"> ne so</w:t>
      </w:r>
      <w:r>
        <w:rPr>
          <w:rFonts w:ascii="Arial" w:hAnsi="Arial" w:cs="Arial"/>
          <w:bCs/>
          <w:sz w:val="22"/>
          <w:szCs w:val="22"/>
          <w:lang w:val="fr-FR"/>
        </w:rPr>
        <w:t>ie</w:t>
      </w:r>
      <w:r w:rsidRPr="00C624A6">
        <w:rPr>
          <w:rFonts w:ascii="Arial" w:hAnsi="Arial" w:cs="Arial"/>
          <w:bCs/>
          <w:sz w:val="22"/>
          <w:szCs w:val="22"/>
          <w:lang w:val="fr-FR"/>
        </w:rPr>
        <w:t>nt pas admis</w:t>
      </w:r>
      <w:r>
        <w:rPr>
          <w:rFonts w:ascii="Arial" w:hAnsi="Arial" w:cs="Arial"/>
          <w:bCs/>
          <w:sz w:val="22"/>
          <w:szCs w:val="22"/>
          <w:lang w:val="fr-FR"/>
        </w:rPr>
        <w:t xml:space="preserve">es à </w:t>
      </w:r>
      <w:r w:rsidRPr="00C624A6">
        <w:rPr>
          <w:rFonts w:ascii="Arial" w:hAnsi="Arial" w:cs="Arial"/>
          <w:bCs/>
          <w:sz w:val="22"/>
          <w:szCs w:val="22"/>
          <w:lang w:val="fr-FR"/>
        </w:rPr>
        <w:t>siéger à l</w:t>
      </w:r>
      <w:r w:rsidR="008E532B">
        <w:rPr>
          <w:rFonts w:ascii="Arial" w:hAnsi="Arial" w:cs="Arial"/>
          <w:bCs/>
          <w:sz w:val="22"/>
          <w:szCs w:val="22"/>
          <w:lang w:val="fr-FR"/>
        </w:rPr>
        <w:t>’</w:t>
      </w:r>
      <w:r w:rsidRPr="00C624A6">
        <w:rPr>
          <w:rFonts w:ascii="Arial" w:hAnsi="Arial" w:cs="Arial"/>
          <w:bCs/>
          <w:sz w:val="22"/>
          <w:szCs w:val="22"/>
          <w:lang w:val="fr-FR"/>
        </w:rPr>
        <w:t>Organe d</w:t>
      </w:r>
      <w:r w:rsidR="008E532B">
        <w:rPr>
          <w:rFonts w:ascii="Arial" w:hAnsi="Arial" w:cs="Arial"/>
          <w:bCs/>
          <w:sz w:val="22"/>
          <w:szCs w:val="22"/>
          <w:lang w:val="fr-FR"/>
        </w:rPr>
        <w:t>’</w:t>
      </w:r>
      <w:r w:rsidRPr="00C624A6">
        <w:rPr>
          <w:rFonts w:ascii="Arial" w:hAnsi="Arial" w:cs="Arial"/>
          <w:bCs/>
          <w:sz w:val="22"/>
          <w:szCs w:val="22"/>
          <w:lang w:val="fr-FR"/>
        </w:rPr>
        <w:t>évaluation.</w:t>
      </w:r>
    </w:p>
    <w:p w14:paraId="21C38D63" w14:textId="3D87E16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E24B4">
        <w:rPr>
          <w:rFonts w:ascii="Arial" w:hAnsi="Arial" w:cs="Arial"/>
          <w:bCs/>
          <w:sz w:val="22"/>
          <w:szCs w:val="22"/>
          <w:lang w:val="fr-FR"/>
        </w:rPr>
        <w:t xml:space="preserve">La délégation de la </w:t>
      </w:r>
      <w:r w:rsidRPr="005E24B4">
        <w:rPr>
          <w:rFonts w:ascii="Arial" w:hAnsi="Arial" w:cs="Arial"/>
          <w:b/>
          <w:sz w:val="22"/>
          <w:szCs w:val="22"/>
          <w:lang w:val="fr-FR"/>
        </w:rPr>
        <w:t>Pologne</w:t>
      </w:r>
      <w:r w:rsidRPr="005E24B4">
        <w:rPr>
          <w:rFonts w:ascii="Arial" w:hAnsi="Arial" w:cs="Arial"/>
          <w:bCs/>
          <w:sz w:val="22"/>
          <w:szCs w:val="22"/>
          <w:lang w:val="fr-FR"/>
        </w:rPr>
        <w:t xml:space="preserve"> a remercié le Conseiller juridique d</w:t>
      </w:r>
      <w:r w:rsidR="008E532B">
        <w:rPr>
          <w:rFonts w:ascii="Arial" w:hAnsi="Arial" w:cs="Arial"/>
          <w:bCs/>
          <w:sz w:val="22"/>
          <w:szCs w:val="22"/>
          <w:lang w:val="fr-FR"/>
        </w:rPr>
        <w:t>’</w:t>
      </w:r>
      <w:r w:rsidRPr="005E24B4">
        <w:rPr>
          <w:rFonts w:ascii="Arial" w:hAnsi="Arial" w:cs="Arial"/>
          <w:bCs/>
          <w:sz w:val="22"/>
          <w:szCs w:val="22"/>
          <w:lang w:val="fr-FR"/>
        </w:rPr>
        <w:t>avoir apporté des éclaircissements sur les dispositions de la Convention et des Directives opérationnelles. La Pologne</w:t>
      </w:r>
      <w:r>
        <w:rPr>
          <w:rFonts w:ascii="Arial" w:hAnsi="Arial" w:cs="Arial"/>
          <w:bCs/>
          <w:sz w:val="22"/>
          <w:szCs w:val="22"/>
          <w:lang w:val="fr-FR"/>
        </w:rPr>
        <w:t>, qui</w:t>
      </w:r>
      <w:r w:rsidRPr="005E24B4">
        <w:rPr>
          <w:rFonts w:ascii="Arial" w:hAnsi="Arial" w:cs="Arial"/>
          <w:bCs/>
          <w:sz w:val="22"/>
          <w:szCs w:val="22"/>
          <w:lang w:val="fr-FR"/>
        </w:rPr>
        <w:t xml:space="preserve"> souten</w:t>
      </w:r>
      <w:r>
        <w:rPr>
          <w:rFonts w:ascii="Arial" w:hAnsi="Arial" w:cs="Arial"/>
          <w:bCs/>
          <w:sz w:val="22"/>
          <w:szCs w:val="22"/>
          <w:lang w:val="fr-FR"/>
        </w:rPr>
        <w:t>ait</w:t>
      </w:r>
      <w:r w:rsidRPr="005E24B4">
        <w:rPr>
          <w:rFonts w:ascii="Arial" w:hAnsi="Arial" w:cs="Arial"/>
          <w:bCs/>
          <w:sz w:val="22"/>
          <w:szCs w:val="22"/>
          <w:lang w:val="fr-FR"/>
        </w:rPr>
        <w:t xml:space="preserve"> l</w:t>
      </w:r>
      <w:r w:rsidR="008E532B">
        <w:rPr>
          <w:rFonts w:ascii="Arial" w:hAnsi="Arial" w:cs="Arial"/>
          <w:bCs/>
          <w:sz w:val="22"/>
          <w:szCs w:val="22"/>
          <w:lang w:val="fr-FR"/>
        </w:rPr>
        <w:t>’</w:t>
      </w:r>
      <w:r w:rsidRPr="005E24B4">
        <w:rPr>
          <w:rFonts w:ascii="Arial" w:hAnsi="Arial" w:cs="Arial"/>
          <w:bCs/>
          <w:sz w:val="22"/>
          <w:szCs w:val="22"/>
          <w:lang w:val="fr-FR"/>
        </w:rPr>
        <w:t>Estonie et la Suisse</w:t>
      </w:r>
      <w:r>
        <w:rPr>
          <w:rFonts w:ascii="Arial" w:hAnsi="Arial" w:cs="Arial"/>
          <w:bCs/>
          <w:sz w:val="22"/>
          <w:szCs w:val="22"/>
          <w:lang w:val="fr-FR"/>
        </w:rPr>
        <w:t>,</w:t>
      </w:r>
      <w:r w:rsidRPr="005E24B4">
        <w:rPr>
          <w:rFonts w:ascii="Arial" w:hAnsi="Arial" w:cs="Arial"/>
          <w:bCs/>
          <w:sz w:val="22"/>
          <w:szCs w:val="22"/>
          <w:lang w:val="fr-FR"/>
        </w:rPr>
        <w:t xml:space="preserve"> </w:t>
      </w:r>
      <w:r>
        <w:rPr>
          <w:rFonts w:ascii="Arial" w:hAnsi="Arial" w:cs="Arial"/>
          <w:bCs/>
          <w:sz w:val="22"/>
          <w:szCs w:val="22"/>
          <w:lang w:val="fr-FR"/>
        </w:rPr>
        <w:t xml:space="preserve">a </w:t>
      </w:r>
      <w:r w:rsidRPr="005E24B4">
        <w:rPr>
          <w:rFonts w:ascii="Arial" w:hAnsi="Arial" w:cs="Arial"/>
          <w:bCs/>
          <w:sz w:val="22"/>
          <w:szCs w:val="22"/>
          <w:lang w:val="fr-FR"/>
        </w:rPr>
        <w:t>conven</w:t>
      </w:r>
      <w:r>
        <w:rPr>
          <w:rFonts w:ascii="Arial" w:hAnsi="Arial" w:cs="Arial"/>
          <w:bCs/>
          <w:sz w:val="22"/>
          <w:szCs w:val="22"/>
          <w:lang w:val="fr-FR"/>
        </w:rPr>
        <w:t>u</w:t>
      </w:r>
      <w:r w:rsidRPr="005E24B4">
        <w:rPr>
          <w:rFonts w:ascii="Arial" w:hAnsi="Arial" w:cs="Arial"/>
          <w:bCs/>
          <w:sz w:val="22"/>
          <w:szCs w:val="22"/>
          <w:lang w:val="fr-FR"/>
        </w:rPr>
        <w:t xml:space="preserve"> avec l</w:t>
      </w:r>
      <w:r w:rsidR="008E532B">
        <w:rPr>
          <w:rFonts w:ascii="Arial" w:hAnsi="Arial" w:cs="Arial"/>
          <w:bCs/>
          <w:sz w:val="22"/>
          <w:szCs w:val="22"/>
          <w:lang w:val="fr-FR"/>
        </w:rPr>
        <w:t>’</w:t>
      </w:r>
      <w:r w:rsidRPr="005E24B4">
        <w:rPr>
          <w:rFonts w:ascii="Arial" w:hAnsi="Arial" w:cs="Arial"/>
          <w:bCs/>
          <w:sz w:val="22"/>
          <w:szCs w:val="22"/>
          <w:lang w:val="fr-FR"/>
        </w:rPr>
        <w:t xml:space="preserve">Estonie que les ONG </w:t>
      </w:r>
      <w:proofErr w:type="gramStart"/>
      <w:r w:rsidRPr="005E24B4">
        <w:rPr>
          <w:rFonts w:ascii="Arial" w:hAnsi="Arial" w:cs="Arial"/>
          <w:bCs/>
          <w:sz w:val="22"/>
          <w:szCs w:val="22"/>
          <w:lang w:val="fr-FR"/>
        </w:rPr>
        <w:t>ont</w:t>
      </w:r>
      <w:proofErr w:type="gramEnd"/>
      <w:r w:rsidRPr="005E24B4">
        <w:rPr>
          <w:rFonts w:ascii="Arial" w:hAnsi="Arial" w:cs="Arial"/>
          <w:bCs/>
          <w:sz w:val="22"/>
          <w:szCs w:val="22"/>
          <w:lang w:val="fr-FR"/>
        </w:rPr>
        <w:t xml:space="preserve"> un rôle spécifique et essentiel dans la mise en œuvre de la Convention. Elle </w:t>
      </w:r>
      <w:r>
        <w:rPr>
          <w:rFonts w:ascii="Arial" w:hAnsi="Arial" w:cs="Arial"/>
          <w:bCs/>
          <w:sz w:val="22"/>
          <w:szCs w:val="22"/>
          <w:lang w:val="fr-FR"/>
        </w:rPr>
        <w:t>était</w:t>
      </w:r>
      <w:r w:rsidRPr="005E24B4">
        <w:rPr>
          <w:rFonts w:ascii="Arial" w:hAnsi="Arial" w:cs="Arial"/>
          <w:bCs/>
          <w:sz w:val="22"/>
          <w:szCs w:val="22"/>
          <w:lang w:val="fr-FR"/>
        </w:rPr>
        <w:t xml:space="preserve"> également tout à fait d</w:t>
      </w:r>
      <w:r w:rsidR="008E532B">
        <w:rPr>
          <w:rFonts w:ascii="Arial" w:hAnsi="Arial" w:cs="Arial"/>
          <w:bCs/>
          <w:sz w:val="22"/>
          <w:szCs w:val="22"/>
          <w:lang w:val="fr-FR"/>
        </w:rPr>
        <w:t>’</w:t>
      </w:r>
      <w:r w:rsidRPr="005E24B4">
        <w:rPr>
          <w:rFonts w:ascii="Arial" w:hAnsi="Arial" w:cs="Arial"/>
          <w:bCs/>
          <w:sz w:val="22"/>
          <w:szCs w:val="22"/>
          <w:lang w:val="fr-FR"/>
        </w:rPr>
        <w:t>accord avec l</w:t>
      </w:r>
      <w:r w:rsidR="008E532B">
        <w:rPr>
          <w:rFonts w:ascii="Arial" w:hAnsi="Arial" w:cs="Arial"/>
          <w:bCs/>
          <w:sz w:val="22"/>
          <w:szCs w:val="22"/>
          <w:lang w:val="fr-FR"/>
        </w:rPr>
        <w:t>’</w:t>
      </w:r>
      <w:r w:rsidRPr="005E24B4">
        <w:rPr>
          <w:rFonts w:ascii="Arial" w:hAnsi="Arial" w:cs="Arial"/>
          <w:bCs/>
          <w:sz w:val="22"/>
          <w:szCs w:val="22"/>
          <w:lang w:val="fr-FR"/>
        </w:rPr>
        <w:t>Estonie sur le fait que les ONG sont non gouvernementales, et elle a remercié le Conseiller juridique d</w:t>
      </w:r>
      <w:r w:rsidR="008E532B">
        <w:rPr>
          <w:rFonts w:ascii="Arial" w:hAnsi="Arial" w:cs="Arial"/>
          <w:bCs/>
          <w:sz w:val="22"/>
          <w:szCs w:val="22"/>
          <w:lang w:val="fr-FR"/>
        </w:rPr>
        <w:t>’</w:t>
      </w:r>
      <w:r w:rsidRPr="005E24B4">
        <w:rPr>
          <w:rFonts w:ascii="Arial" w:hAnsi="Arial" w:cs="Arial"/>
          <w:bCs/>
          <w:sz w:val="22"/>
          <w:szCs w:val="22"/>
          <w:lang w:val="fr-FR"/>
        </w:rPr>
        <w:t>avoir rappelé à l</w:t>
      </w:r>
      <w:r w:rsidR="008E532B">
        <w:rPr>
          <w:rFonts w:ascii="Arial" w:hAnsi="Arial" w:cs="Arial"/>
          <w:bCs/>
          <w:sz w:val="22"/>
          <w:szCs w:val="22"/>
          <w:lang w:val="fr-FR"/>
        </w:rPr>
        <w:t>’</w:t>
      </w:r>
      <w:r w:rsidRPr="005E24B4">
        <w:rPr>
          <w:rFonts w:ascii="Arial" w:hAnsi="Arial" w:cs="Arial"/>
          <w:bCs/>
          <w:sz w:val="22"/>
          <w:szCs w:val="22"/>
          <w:lang w:val="fr-FR"/>
        </w:rPr>
        <w:t>Assemblée l</w:t>
      </w:r>
      <w:r w:rsidR="008E532B">
        <w:rPr>
          <w:rFonts w:ascii="Arial" w:hAnsi="Arial" w:cs="Arial"/>
          <w:bCs/>
          <w:sz w:val="22"/>
          <w:szCs w:val="22"/>
          <w:lang w:val="fr-FR"/>
        </w:rPr>
        <w:t>’</w:t>
      </w:r>
      <w:r w:rsidRPr="005E24B4">
        <w:rPr>
          <w:rFonts w:ascii="Arial" w:hAnsi="Arial" w:cs="Arial"/>
          <w:bCs/>
          <w:sz w:val="22"/>
          <w:szCs w:val="22"/>
          <w:lang w:val="fr-FR"/>
        </w:rPr>
        <w:t>article 9 de la Convention qui stipule très clairement les tâches spécifiques concernant l</w:t>
      </w:r>
      <w:r w:rsidR="008E532B">
        <w:rPr>
          <w:rFonts w:ascii="Arial" w:hAnsi="Arial" w:cs="Arial"/>
          <w:bCs/>
          <w:sz w:val="22"/>
          <w:szCs w:val="22"/>
          <w:lang w:val="fr-FR"/>
        </w:rPr>
        <w:t>’</w:t>
      </w:r>
      <w:r w:rsidRPr="005E24B4">
        <w:rPr>
          <w:rFonts w:ascii="Arial" w:hAnsi="Arial" w:cs="Arial"/>
          <w:bCs/>
          <w:sz w:val="22"/>
          <w:szCs w:val="22"/>
          <w:lang w:val="fr-FR"/>
        </w:rPr>
        <w:t xml:space="preserve">accréditation des ONG : </w:t>
      </w:r>
      <w:r>
        <w:rPr>
          <w:rFonts w:ascii="Arial" w:hAnsi="Arial" w:cs="Arial"/>
          <w:bCs/>
          <w:sz w:val="22"/>
          <w:szCs w:val="22"/>
          <w:lang w:val="fr-FR"/>
        </w:rPr>
        <w:t>« L</w:t>
      </w:r>
      <w:r w:rsidRPr="005E24B4">
        <w:rPr>
          <w:rFonts w:ascii="Arial" w:hAnsi="Arial" w:cs="Arial"/>
          <w:bCs/>
          <w:sz w:val="22"/>
          <w:szCs w:val="22"/>
          <w:lang w:val="fr-FR"/>
        </w:rPr>
        <w:t>e Comité propose à l</w:t>
      </w:r>
      <w:r w:rsidR="008E532B">
        <w:rPr>
          <w:rFonts w:ascii="Arial" w:hAnsi="Arial" w:cs="Arial"/>
          <w:bCs/>
          <w:sz w:val="22"/>
          <w:szCs w:val="22"/>
          <w:lang w:val="fr-FR"/>
        </w:rPr>
        <w:t>’</w:t>
      </w:r>
      <w:r w:rsidRPr="005E24B4">
        <w:rPr>
          <w:rFonts w:ascii="Arial" w:hAnsi="Arial" w:cs="Arial"/>
          <w:bCs/>
          <w:sz w:val="22"/>
          <w:szCs w:val="22"/>
          <w:lang w:val="fr-FR"/>
        </w:rPr>
        <w:t>Assemblée générale [...]</w:t>
      </w:r>
      <w:r>
        <w:rPr>
          <w:rFonts w:ascii="Arial" w:hAnsi="Arial" w:cs="Arial"/>
          <w:bCs/>
          <w:sz w:val="22"/>
          <w:szCs w:val="22"/>
          <w:lang w:val="fr-FR"/>
        </w:rPr>
        <w:t> »</w:t>
      </w:r>
      <w:r w:rsidRPr="005E24B4">
        <w:rPr>
          <w:rFonts w:ascii="Arial" w:hAnsi="Arial" w:cs="Arial"/>
          <w:bCs/>
          <w:sz w:val="22"/>
          <w:szCs w:val="22"/>
          <w:lang w:val="fr-FR"/>
        </w:rPr>
        <w:t>. Cela signifi</w:t>
      </w:r>
      <w:r>
        <w:rPr>
          <w:rFonts w:ascii="Arial" w:hAnsi="Arial" w:cs="Arial"/>
          <w:bCs/>
          <w:sz w:val="22"/>
          <w:szCs w:val="22"/>
          <w:lang w:val="fr-FR"/>
        </w:rPr>
        <w:t>ait</w:t>
      </w:r>
      <w:r w:rsidRPr="005E24B4">
        <w:rPr>
          <w:rFonts w:ascii="Arial" w:hAnsi="Arial" w:cs="Arial"/>
          <w:bCs/>
          <w:sz w:val="22"/>
          <w:szCs w:val="22"/>
          <w:lang w:val="fr-FR"/>
        </w:rPr>
        <w:t xml:space="preserve"> que c</w:t>
      </w:r>
      <w:r w:rsidR="008E532B">
        <w:rPr>
          <w:rFonts w:ascii="Arial" w:hAnsi="Arial" w:cs="Arial"/>
          <w:bCs/>
          <w:sz w:val="22"/>
          <w:szCs w:val="22"/>
          <w:lang w:val="fr-FR"/>
        </w:rPr>
        <w:t>’</w:t>
      </w:r>
      <w:r w:rsidRPr="005E24B4">
        <w:rPr>
          <w:rFonts w:ascii="Arial" w:hAnsi="Arial" w:cs="Arial"/>
          <w:bCs/>
          <w:sz w:val="22"/>
          <w:szCs w:val="22"/>
          <w:lang w:val="fr-FR"/>
        </w:rPr>
        <w:t>est le Comité qui vérifie l</w:t>
      </w:r>
      <w:r w:rsidR="008E532B">
        <w:rPr>
          <w:rFonts w:ascii="Arial" w:hAnsi="Arial" w:cs="Arial"/>
          <w:bCs/>
          <w:sz w:val="22"/>
          <w:szCs w:val="22"/>
          <w:lang w:val="fr-FR"/>
        </w:rPr>
        <w:t>’</w:t>
      </w:r>
      <w:r w:rsidRPr="005E24B4">
        <w:rPr>
          <w:rFonts w:ascii="Arial" w:hAnsi="Arial" w:cs="Arial"/>
          <w:bCs/>
          <w:sz w:val="22"/>
          <w:szCs w:val="22"/>
          <w:lang w:val="fr-FR"/>
        </w:rPr>
        <w:t>accréditation des ONG, qui est suivie par l</w:t>
      </w:r>
      <w:r w:rsidR="008E532B">
        <w:rPr>
          <w:rFonts w:ascii="Arial" w:hAnsi="Arial" w:cs="Arial"/>
          <w:bCs/>
          <w:sz w:val="22"/>
          <w:szCs w:val="22"/>
          <w:lang w:val="fr-FR"/>
        </w:rPr>
        <w:t>’</w:t>
      </w:r>
      <w:r w:rsidRPr="005E24B4">
        <w:rPr>
          <w:rFonts w:ascii="Arial" w:hAnsi="Arial" w:cs="Arial"/>
          <w:bCs/>
          <w:sz w:val="22"/>
          <w:szCs w:val="22"/>
          <w:lang w:val="fr-FR"/>
        </w:rPr>
        <w:t>Assemblée générale. C</w:t>
      </w:r>
      <w:r w:rsidR="008E532B">
        <w:rPr>
          <w:rFonts w:ascii="Arial" w:hAnsi="Arial" w:cs="Arial"/>
          <w:bCs/>
          <w:sz w:val="22"/>
          <w:szCs w:val="22"/>
          <w:lang w:val="fr-FR"/>
        </w:rPr>
        <w:t>’</w:t>
      </w:r>
      <w:r>
        <w:rPr>
          <w:rFonts w:ascii="Arial" w:hAnsi="Arial" w:cs="Arial"/>
          <w:bCs/>
          <w:sz w:val="22"/>
          <w:szCs w:val="22"/>
          <w:lang w:val="fr-FR"/>
        </w:rPr>
        <w:t>était</w:t>
      </w:r>
      <w:r w:rsidRPr="005E24B4">
        <w:rPr>
          <w:rFonts w:ascii="Arial" w:hAnsi="Arial" w:cs="Arial"/>
          <w:bCs/>
          <w:sz w:val="22"/>
          <w:szCs w:val="22"/>
          <w:lang w:val="fr-FR"/>
        </w:rPr>
        <w:t xml:space="preserve"> à ce stade que l</w:t>
      </w:r>
      <w:r w:rsidR="008E532B">
        <w:rPr>
          <w:rFonts w:ascii="Arial" w:hAnsi="Arial" w:cs="Arial"/>
          <w:bCs/>
          <w:sz w:val="22"/>
          <w:szCs w:val="22"/>
          <w:lang w:val="fr-FR"/>
        </w:rPr>
        <w:t>’</w:t>
      </w:r>
      <w:r w:rsidRPr="005E24B4">
        <w:rPr>
          <w:rFonts w:ascii="Arial" w:hAnsi="Arial" w:cs="Arial"/>
          <w:bCs/>
          <w:sz w:val="22"/>
          <w:szCs w:val="22"/>
          <w:lang w:val="fr-FR"/>
        </w:rPr>
        <w:t>éligibilité des ONG à l</w:t>
      </w:r>
      <w:r w:rsidR="008E532B">
        <w:rPr>
          <w:rFonts w:ascii="Arial" w:hAnsi="Arial" w:cs="Arial"/>
          <w:bCs/>
          <w:sz w:val="22"/>
          <w:szCs w:val="22"/>
          <w:lang w:val="fr-FR"/>
        </w:rPr>
        <w:t>’</w:t>
      </w:r>
      <w:r w:rsidRPr="005E24B4">
        <w:rPr>
          <w:rFonts w:ascii="Arial" w:hAnsi="Arial" w:cs="Arial"/>
          <w:bCs/>
          <w:sz w:val="22"/>
          <w:szCs w:val="22"/>
          <w:lang w:val="fr-FR"/>
        </w:rPr>
        <w:t>Organe d</w:t>
      </w:r>
      <w:r w:rsidR="008E532B">
        <w:rPr>
          <w:rFonts w:ascii="Arial" w:hAnsi="Arial" w:cs="Arial"/>
          <w:bCs/>
          <w:sz w:val="22"/>
          <w:szCs w:val="22"/>
          <w:lang w:val="fr-FR"/>
        </w:rPr>
        <w:t>’</w:t>
      </w:r>
      <w:r w:rsidRPr="005E24B4">
        <w:rPr>
          <w:rFonts w:ascii="Arial" w:hAnsi="Arial" w:cs="Arial"/>
          <w:bCs/>
          <w:sz w:val="22"/>
          <w:szCs w:val="22"/>
          <w:lang w:val="fr-FR"/>
        </w:rPr>
        <w:t xml:space="preserve">évaluation </w:t>
      </w:r>
      <w:r>
        <w:rPr>
          <w:rFonts w:ascii="Arial" w:hAnsi="Arial" w:cs="Arial"/>
          <w:bCs/>
          <w:sz w:val="22"/>
          <w:szCs w:val="22"/>
          <w:lang w:val="fr-FR"/>
        </w:rPr>
        <w:t>était</w:t>
      </w:r>
      <w:r w:rsidRPr="005E24B4">
        <w:rPr>
          <w:rFonts w:ascii="Arial" w:hAnsi="Arial" w:cs="Arial"/>
          <w:bCs/>
          <w:sz w:val="22"/>
          <w:szCs w:val="22"/>
          <w:lang w:val="fr-FR"/>
        </w:rPr>
        <w:t xml:space="preserve"> décidée. La Pologne ne pouvait donc pas soutenir la proposition de la Palestine, rejoignant ainsi la liste des pays qui s</w:t>
      </w:r>
      <w:r w:rsidR="008E532B">
        <w:rPr>
          <w:rFonts w:ascii="Arial" w:hAnsi="Arial" w:cs="Arial"/>
          <w:bCs/>
          <w:sz w:val="22"/>
          <w:szCs w:val="22"/>
          <w:lang w:val="fr-FR"/>
        </w:rPr>
        <w:t>’</w:t>
      </w:r>
      <w:r w:rsidRPr="005E24B4">
        <w:rPr>
          <w:rFonts w:ascii="Arial" w:hAnsi="Arial" w:cs="Arial"/>
          <w:bCs/>
          <w:sz w:val="22"/>
          <w:szCs w:val="22"/>
          <w:lang w:val="fr-FR"/>
        </w:rPr>
        <w:t>oppos</w:t>
      </w:r>
      <w:r>
        <w:rPr>
          <w:rFonts w:ascii="Arial" w:hAnsi="Arial" w:cs="Arial"/>
          <w:bCs/>
          <w:sz w:val="22"/>
          <w:szCs w:val="22"/>
          <w:lang w:val="fr-FR"/>
        </w:rPr>
        <w:t>ai</w:t>
      </w:r>
      <w:r w:rsidRPr="005E24B4">
        <w:rPr>
          <w:rFonts w:ascii="Arial" w:hAnsi="Arial" w:cs="Arial"/>
          <w:bCs/>
          <w:sz w:val="22"/>
          <w:szCs w:val="22"/>
          <w:lang w:val="fr-FR"/>
        </w:rPr>
        <w:t>ent à cet amendement.</w:t>
      </w:r>
    </w:p>
    <w:p w14:paraId="6613E02F" w14:textId="342FDD3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91FAD">
        <w:rPr>
          <w:rFonts w:ascii="Arial" w:hAnsi="Arial" w:cs="Arial"/>
          <w:bCs/>
          <w:sz w:val="22"/>
          <w:szCs w:val="22"/>
          <w:lang w:val="fr-FR"/>
        </w:rPr>
        <w:t xml:space="preserve">La délégation de la </w:t>
      </w:r>
      <w:r w:rsidRPr="00B715F8">
        <w:rPr>
          <w:rFonts w:ascii="Arial" w:hAnsi="Arial" w:cs="Arial"/>
          <w:b/>
          <w:sz w:val="22"/>
          <w:szCs w:val="22"/>
          <w:lang w:val="fr-FR"/>
        </w:rPr>
        <w:t>Slovaquie</w:t>
      </w:r>
      <w:r w:rsidRPr="00191FAD">
        <w:rPr>
          <w:rFonts w:ascii="Arial" w:hAnsi="Arial" w:cs="Arial"/>
          <w:bCs/>
          <w:sz w:val="22"/>
          <w:szCs w:val="22"/>
          <w:lang w:val="fr-FR"/>
        </w:rPr>
        <w:t xml:space="preserve"> </w:t>
      </w:r>
      <w:r>
        <w:rPr>
          <w:rFonts w:ascii="Arial" w:hAnsi="Arial" w:cs="Arial"/>
          <w:bCs/>
          <w:sz w:val="22"/>
          <w:szCs w:val="22"/>
          <w:lang w:val="fr-FR"/>
        </w:rPr>
        <w:t xml:space="preserve">pensait </w:t>
      </w:r>
      <w:r w:rsidRPr="00191FAD">
        <w:rPr>
          <w:rFonts w:ascii="Arial" w:hAnsi="Arial" w:cs="Arial"/>
          <w:bCs/>
          <w:sz w:val="22"/>
          <w:szCs w:val="22"/>
          <w:lang w:val="fr-FR"/>
        </w:rPr>
        <w:t>que le paragraphe 7 nouvellement adopté répondait suffisamment aux préoccupations soulevées par la Palestine. Elle n</w:t>
      </w:r>
      <w:r w:rsidR="008E532B">
        <w:rPr>
          <w:rFonts w:ascii="Arial" w:hAnsi="Arial" w:cs="Arial"/>
          <w:bCs/>
          <w:sz w:val="22"/>
          <w:szCs w:val="22"/>
          <w:lang w:val="fr-FR"/>
        </w:rPr>
        <w:t>’</w:t>
      </w:r>
      <w:r w:rsidRPr="00191FAD">
        <w:rPr>
          <w:rFonts w:ascii="Arial" w:hAnsi="Arial" w:cs="Arial"/>
          <w:bCs/>
          <w:sz w:val="22"/>
          <w:szCs w:val="22"/>
          <w:lang w:val="fr-FR"/>
        </w:rPr>
        <w:t>était donc pas favorable à l</w:t>
      </w:r>
      <w:r w:rsidR="008E532B">
        <w:rPr>
          <w:rFonts w:ascii="Arial" w:hAnsi="Arial" w:cs="Arial"/>
          <w:bCs/>
          <w:sz w:val="22"/>
          <w:szCs w:val="22"/>
          <w:lang w:val="fr-FR"/>
        </w:rPr>
        <w:t>’</w:t>
      </w:r>
      <w:r w:rsidRPr="00191FAD">
        <w:rPr>
          <w:rFonts w:ascii="Arial" w:hAnsi="Arial" w:cs="Arial"/>
          <w:bCs/>
          <w:sz w:val="22"/>
          <w:szCs w:val="22"/>
          <w:lang w:val="fr-FR"/>
        </w:rPr>
        <w:t xml:space="preserve">inclusion du paragraphe 7bis dans le projet de décision. Le </w:t>
      </w:r>
      <w:r>
        <w:rPr>
          <w:rFonts w:ascii="Arial" w:hAnsi="Arial" w:cs="Arial"/>
          <w:bCs/>
          <w:sz w:val="22"/>
          <w:szCs w:val="22"/>
          <w:lang w:val="fr-FR"/>
        </w:rPr>
        <w:t>P</w:t>
      </w:r>
      <w:r w:rsidRPr="00191FAD">
        <w:rPr>
          <w:rFonts w:ascii="Arial" w:hAnsi="Arial" w:cs="Arial"/>
          <w:bCs/>
          <w:sz w:val="22"/>
          <w:szCs w:val="22"/>
          <w:lang w:val="fr-FR"/>
        </w:rPr>
        <w:t>résident du Forum des ONG a</w:t>
      </w:r>
      <w:r>
        <w:rPr>
          <w:rFonts w:ascii="Arial" w:hAnsi="Arial" w:cs="Arial"/>
          <w:bCs/>
          <w:sz w:val="22"/>
          <w:szCs w:val="22"/>
          <w:lang w:val="fr-FR"/>
        </w:rPr>
        <w:t>vait</w:t>
      </w:r>
      <w:r w:rsidRPr="00191FAD">
        <w:rPr>
          <w:rFonts w:ascii="Arial" w:hAnsi="Arial" w:cs="Arial"/>
          <w:bCs/>
          <w:sz w:val="22"/>
          <w:szCs w:val="22"/>
          <w:lang w:val="fr-FR"/>
        </w:rPr>
        <w:t xml:space="preserve"> </w:t>
      </w:r>
      <w:r>
        <w:rPr>
          <w:rFonts w:ascii="Arial" w:hAnsi="Arial" w:cs="Arial"/>
          <w:bCs/>
          <w:sz w:val="22"/>
          <w:szCs w:val="22"/>
          <w:lang w:val="fr-FR"/>
        </w:rPr>
        <w:t>été très clair sur le fait</w:t>
      </w:r>
      <w:r w:rsidRPr="00191FAD">
        <w:rPr>
          <w:rFonts w:ascii="Arial" w:hAnsi="Arial" w:cs="Arial"/>
          <w:bCs/>
          <w:sz w:val="22"/>
          <w:szCs w:val="22"/>
          <w:lang w:val="fr-FR"/>
        </w:rPr>
        <w:t xml:space="preserve"> que la possibilité d</w:t>
      </w:r>
      <w:r w:rsidR="008E532B">
        <w:rPr>
          <w:rFonts w:ascii="Arial" w:hAnsi="Arial" w:cs="Arial"/>
          <w:bCs/>
          <w:sz w:val="22"/>
          <w:szCs w:val="22"/>
          <w:lang w:val="fr-FR"/>
        </w:rPr>
        <w:t>’</w:t>
      </w:r>
      <w:r w:rsidRPr="00191FAD">
        <w:rPr>
          <w:rFonts w:ascii="Arial" w:hAnsi="Arial" w:cs="Arial"/>
          <w:bCs/>
          <w:sz w:val="22"/>
          <w:szCs w:val="22"/>
          <w:lang w:val="fr-FR"/>
        </w:rPr>
        <w:t>accréditer des ONG d</w:t>
      </w:r>
      <w:r w:rsidR="008E532B">
        <w:rPr>
          <w:rFonts w:ascii="Arial" w:hAnsi="Arial" w:cs="Arial"/>
          <w:bCs/>
          <w:sz w:val="22"/>
          <w:szCs w:val="22"/>
          <w:lang w:val="fr-FR"/>
        </w:rPr>
        <w:t>’</w:t>
      </w:r>
      <w:r w:rsidRPr="00191FAD">
        <w:rPr>
          <w:rFonts w:ascii="Arial" w:hAnsi="Arial" w:cs="Arial"/>
          <w:bCs/>
          <w:sz w:val="22"/>
          <w:szCs w:val="22"/>
          <w:lang w:val="fr-FR"/>
        </w:rPr>
        <w:t xml:space="preserve">États non parties encourageait </w:t>
      </w:r>
      <w:r>
        <w:rPr>
          <w:rFonts w:ascii="Arial" w:hAnsi="Arial" w:cs="Arial"/>
          <w:bCs/>
          <w:sz w:val="22"/>
          <w:szCs w:val="22"/>
          <w:lang w:val="fr-FR"/>
        </w:rPr>
        <w:t xml:space="preserve">ces États </w:t>
      </w:r>
      <w:r w:rsidRPr="00191FAD">
        <w:rPr>
          <w:rFonts w:ascii="Arial" w:hAnsi="Arial" w:cs="Arial"/>
          <w:bCs/>
          <w:sz w:val="22"/>
          <w:szCs w:val="22"/>
          <w:lang w:val="fr-FR"/>
        </w:rPr>
        <w:t xml:space="preserve">à devenir partie à la Convention. </w:t>
      </w:r>
      <w:r>
        <w:rPr>
          <w:rFonts w:ascii="Arial" w:hAnsi="Arial" w:cs="Arial"/>
          <w:bCs/>
          <w:sz w:val="22"/>
          <w:szCs w:val="22"/>
          <w:lang w:val="fr-FR"/>
        </w:rPr>
        <w:t>De plus</w:t>
      </w:r>
      <w:r w:rsidRPr="00191FAD">
        <w:rPr>
          <w:rFonts w:ascii="Arial" w:hAnsi="Arial" w:cs="Arial"/>
          <w:bCs/>
          <w:sz w:val="22"/>
          <w:szCs w:val="22"/>
          <w:lang w:val="fr-FR"/>
        </w:rPr>
        <w:t>, le Conseiller juridique a</w:t>
      </w:r>
      <w:r>
        <w:rPr>
          <w:rFonts w:ascii="Arial" w:hAnsi="Arial" w:cs="Arial"/>
          <w:bCs/>
          <w:sz w:val="22"/>
          <w:szCs w:val="22"/>
          <w:lang w:val="fr-FR"/>
        </w:rPr>
        <w:t>vait</w:t>
      </w:r>
      <w:r w:rsidRPr="00191FAD">
        <w:rPr>
          <w:rFonts w:ascii="Arial" w:hAnsi="Arial" w:cs="Arial"/>
          <w:bCs/>
          <w:sz w:val="22"/>
          <w:szCs w:val="22"/>
          <w:lang w:val="fr-FR"/>
        </w:rPr>
        <w:t xml:space="preserve"> </w:t>
      </w:r>
      <w:r>
        <w:rPr>
          <w:rFonts w:ascii="Arial" w:hAnsi="Arial" w:cs="Arial"/>
          <w:bCs/>
          <w:sz w:val="22"/>
          <w:szCs w:val="22"/>
          <w:lang w:val="fr-FR"/>
        </w:rPr>
        <w:t xml:space="preserve">clairement </w:t>
      </w:r>
      <w:r w:rsidRPr="00191FAD">
        <w:rPr>
          <w:rFonts w:ascii="Arial" w:hAnsi="Arial" w:cs="Arial"/>
          <w:bCs/>
          <w:sz w:val="22"/>
          <w:szCs w:val="22"/>
          <w:lang w:val="fr-FR"/>
        </w:rPr>
        <w:t>déclaré que rien n</w:t>
      </w:r>
      <w:r w:rsidR="008E532B">
        <w:rPr>
          <w:rFonts w:ascii="Arial" w:hAnsi="Arial" w:cs="Arial"/>
          <w:bCs/>
          <w:sz w:val="22"/>
          <w:szCs w:val="22"/>
          <w:lang w:val="fr-FR"/>
        </w:rPr>
        <w:t>’</w:t>
      </w:r>
      <w:r w:rsidRPr="00191FAD">
        <w:rPr>
          <w:rFonts w:ascii="Arial" w:hAnsi="Arial" w:cs="Arial"/>
          <w:bCs/>
          <w:sz w:val="22"/>
          <w:szCs w:val="22"/>
          <w:lang w:val="fr-FR"/>
        </w:rPr>
        <w:t>empêchait une ONG de siéger à l</w:t>
      </w:r>
      <w:r w:rsidR="008E532B">
        <w:rPr>
          <w:rFonts w:ascii="Arial" w:hAnsi="Arial" w:cs="Arial"/>
          <w:bCs/>
          <w:sz w:val="22"/>
          <w:szCs w:val="22"/>
          <w:lang w:val="fr-FR"/>
        </w:rPr>
        <w:t>’</w:t>
      </w:r>
      <w:r w:rsidRPr="00191FAD">
        <w:rPr>
          <w:rFonts w:ascii="Arial" w:hAnsi="Arial" w:cs="Arial"/>
          <w:bCs/>
          <w:sz w:val="22"/>
          <w:szCs w:val="22"/>
          <w:lang w:val="fr-FR"/>
        </w:rPr>
        <w:t>Organe d</w:t>
      </w:r>
      <w:r w:rsidR="008E532B">
        <w:rPr>
          <w:rFonts w:ascii="Arial" w:hAnsi="Arial" w:cs="Arial"/>
          <w:bCs/>
          <w:sz w:val="22"/>
          <w:szCs w:val="22"/>
          <w:lang w:val="fr-FR"/>
        </w:rPr>
        <w:t>’</w:t>
      </w:r>
      <w:r w:rsidRPr="00191FAD">
        <w:rPr>
          <w:rFonts w:ascii="Arial" w:hAnsi="Arial" w:cs="Arial"/>
          <w:bCs/>
          <w:sz w:val="22"/>
          <w:szCs w:val="22"/>
          <w:lang w:val="fr-FR"/>
        </w:rPr>
        <w:t xml:space="preserve">évaluation. </w:t>
      </w:r>
      <w:r w:rsidRPr="00B61476">
        <w:rPr>
          <w:rFonts w:ascii="Arial" w:hAnsi="Arial" w:cs="Arial"/>
          <w:bCs/>
          <w:sz w:val="22"/>
          <w:szCs w:val="22"/>
          <w:lang w:val="fr-FR"/>
        </w:rPr>
        <w:t>Il n</w:t>
      </w:r>
      <w:r w:rsidR="008E532B">
        <w:rPr>
          <w:rFonts w:ascii="Arial" w:hAnsi="Arial" w:cs="Arial"/>
          <w:bCs/>
          <w:sz w:val="22"/>
          <w:szCs w:val="22"/>
          <w:lang w:val="fr-FR"/>
        </w:rPr>
        <w:t>’</w:t>
      </w:r>
      <w:r>
        <w:rPr>
          <w:rFonts w:ascii="Arial" w:hAnsi="Arial" w:cs="Arial"/>
          <w:bCs/>
          <w:sz w:val="22"/>
          <w:szCs w:val="22"/>
          <w:lang w:val="fr-FR"/>
        </w:rPr>
        <w:t>était</w:t>
      </w:r>
      <w:r w:rsidRPr="00B61476">
        <w:rPr>
          <w:rFonts w:ascii="Arial" w:hAnsi="Arial" w:cs="Arial"/>
          <w:bCs/>
          <w:sz w:val="22"/>
          <w:szCs w:val="22"/>
          <w:lang w:val="fr-FR"/>
        </w:rPr>
        <w:t xml:space="preserve"> donc pas possible de </w:t>
      </w:r>
      <w:r>
        <w:rPr>
          <w:rFonts w:ascii="Arial" w:hAnsi="Arial" w:cs="Arial"/>
          <w:bCs/>
          <w:sz w:val="22"/>
          <w:szCs w:val="22"/>
          <w:lang w:val="fr-FR"/>
        </w:rPr>
        <w:t>faire le choix de se conformer aux D</w:t>
      </w:r>
      <w:r w:rsidRPr="00B61476">
        <w:rPr>
          <w:rFonts w:ascii="Arial" w:hAnsi="Arial" w:cs="Arial"/>
          <w:bCs/>
          <w:sz w:val="22"/>
          <w:szCs w:val="22"/>
          <w:lang w:val="fr-FR"/>
        </w:rPr>
        <w:t xml:space="preserve">irectives opérationnelles en </w:t>
      </w:r>
      <w:r>
        <w:rPr>
          <w:rFonts w:ascii="Arial" w:hAnsi="Arial" w:cs="Arial"/>
          <w:bCs/>
          <w:sz w:val="22"/>
          <w:szCs w:val="22"/>
          <w:lang w:val="fr-FR"/>
        </w:rPr>
        <w:t>ce qui concerne l</w:t>
      </w:r>
      <w:r w:rsidR="008E532B">
        <w:rPr>
          <w:rFonts w:ascii="Arial" w:hAnsi="Arial" w:cs="Arial"/>
          <w:bCs/>
          <w:sz w:val="22"/>
          <w:szCs w:val="22"/>
          <w:lang w:val="fr-FR"/>
        </w:rPr>
        <w:t>’</w:t>
      </w:r>
      <w:r w:rsidRPr="00B61476">
        <w:rPr>
          <w:rFonts w:ascii="Arial" w:hAnsi="Arial" w:cs="Arial"/>
          <w:bCs/>
          <w:sz w:val="22"/>
          <w:szCs w:val="22"/>
          <w:lang w:val="fr-FR"/>
        </w:rPr>
        <w:t>accréditation</w:t>
      </w:r>
      <w:r>
        <w:rPr>
          <w:rFonts w:ascii="Arial" w:hAnsi="Arial" w:cs="Arial"/>
          <w:bCs/>
          <w:sz w:val="22"/>
          <w:szCs w:val="22"/>
          <w:lang w:val="fr-FR"/>
        </w:rPr>
        <w:t xml:space="preserve"> mais </w:t>
      </w:r>
      <w:r w:rsidRPr="00B61476">
        <w:rPr>
          <w:rFonts w:ascii="Arial" w:hAnsi="Arial" w:cs="Arial"/>
          <w:bCs/>
          <w:sz w:val="22"/>
          <w:szCs w:val="22"/>
          <w:lang w:val="fr-FR"/>
        </w:rPr>
        <w:t>de ne pas</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 xml:space="preserve">y conformer </w:t>
      </w:r>
      <w:r w:rsidRPr="00B107B9">
        <w:rPr>
          <w:rFonts w:ascii="Arial" w:hAnsi="Arial" w:cs="Arial"/>
          <w:bCs/>
          <w:sz w:val="22"/>
          <w:szCs w:val="22"/>
          <w:lang w:val="fr-FR"/>
        </w:rPr>
        <w:t>en ce qui concerne</w:t>
      </w:r>
      <w:r>
        <w:rPr>
          <w:rFonts w:ascii="Arial" w:hAnsi="Arial" w:cs="Arial"/>
          <w:bCs/>
          <w:sz w:val="22"/>
          <w:szCs w:val="22"/>
          <w:lang w:val="fr-FR"/>
        </w:rPr>
        <w:t xml:space="preserve"> l</w:t>
      </w:r>
      <w:r w:rsidR="008E532B">
        <w:rPr>
          <w:rFonts w:ascii="Arial" w:hAnsi="Arial" w:cs="Arial"/>
          <w:bCs/>
          <w:sz w:val="22"/>
          <w:szCs w:val="22"/>
          <w:lang w:val="fr-FR"/>
        </w:rPr>
        <w:t>’</w:t>
      </w:r>
      <w:r>
        <w:rPr>
          <w:rFonts w:ascii="Arial" w:hAnsi="Arial" w:cs="Arial"/>
          <w:bCs/>
          <w:sz w:val="22"/>
          <w:szCs w:val="22"/>
          <w:lang w:val="fr-FR"/>
        </w:rPr>
        <w:t>élection</w:t>
      </w:r>
      <w:r w:rsidRPr="00B61476">
        <w:rPr>
          <w:rFonts w:ascii="Arial" w:hAnsi="Arial" w:cs="Arial"/>
          <w:bCs/>
          <w:sz w:val="22"/>
          <w:szCs w:val="22"/>
          <w:lang w:val="fr-FR"/>
        </w:rPr>
        <w:t xml:space="preserve"> à l</w:t>
      </w:r>
      <w:r w:rsidR="008E532B">
        <w:rPr>
          <w:rFonts w:ascii="Arial" w:hAnsi="Arial" w:cs="Arial"/>
          <w:bCs/>
          <w:sz w:val="22"/>
          <w:szCs w:val="22"/>
          <w:lang w:val="fr-FR"/>
        </w:rPr>
        <w:t>’</w:t>
      </w:r>
      <w:r w:rsidRPr="00B61476">
        <w:rPr>
          <w:rFonts w:ascii="Arial" w:hAnsi="Arial" w:cs="Arial"/>
          <w:bCs/>
          <w:sz w:val="22"/>
          <w:szCs w:val="22"/>
          <w:lang w:val="fr-FR"/>
        </w:rPr>
        <w:t>Organe d</w:t>
      </w:r>
      <w:r w:rsidR="008E532B">
        <w:rPr>
          <w:rFonts w:ascii="Arial" w:hAnsi="Arial" w:cs="Arial"/>
          <w:bCs/>
          <w:sz w:val="22"/>
          <w:szCs w:val="22"/>
          <w:lang w:val="fr-FR"/>
        </w:rPr>
        <w:t>’</w:t>
      </w:r>
      <w:r w:rsidRPr="00B61476">
        <w:rPr>
          <w:rFonts w:ascii="Arial" w:hAnsi="Arial" w:cs="Arial"/>
          <w:bCs/>
          <w:sz w:val="22"/>
          <w:szCs w:val="22"/>
          <w:lang w:val="fr-FR"/>
        </w:rPr>
        <w:t>évaluation.</w:t>
      </w:r>
      <w:r w:rsidRPr="00191FAD">
        <w:rPr>
          <w:rFonts w:ascii="Arial" w:hAnsi="Arial" w:cs="Arial"/>
          <w:bCs/>
          <w:sz w:val="22"/>
          <w:szCs w:val="22"/>
          <w:lang w:val="fr-FR"/>
        </w:rPr>
        <w:t xml:space="preserve"> L</w:t>
      </w:r>
      <w:r w:rsidR="008E532B">
        <w:rPr>
          <w:rFonts w:ascii="Arial" w:hAnsi="Arial" w:cs="Arial"/>
          <w:bCs/>
          <w:sz w:val="22"/>
          <w:szCs w:val="22"/>
          <w:lang w:val="fr-FR"/>
        </w:rPr>
        <w:t>’</w:t>
      </w:r>
      <w:r w:rsidRPr="00191FAD">
        <w:rPr>
          <w:rFonts w:ascii="Arial" w:hAnsi="Arial" w:cs="Arial"/>
          <w:bCs/>
          <w:sz w:val="22"/>
          <w:szCs w:val="22"/>
          <w:lang w:val="fr-FR"/>
        </w:rPr>
        <w:t xml:space="preserve">Assemblée devrait </w:t>
      </w:r>
      <w:r>
        <w:rPr>
          <w:rFonts w:ascii="Arial" w:hAnsi="Arial" w:cs="Arial"/>
          <w:bCs/>
          <w:sz w:val="22"/>
          <w:szCs w:val="22"/>
          <w:lang w:val="fr-FR"/>
        </w:rPr>
        <w:t xml:space="preserve">respecter les </w:t>
      </w:r>
      <w:r w:rsidRPr="00191FAD">
        <w:rPr>
          <w:rFonts w:ascii="Arial" w:hAnsi="Arial" w:cs="Arial"/>
          <w:bCs/>
          <w:sz w:val="22"/>
          <w:szCs w:val="22"/>
          <w:lang w:val="fr-FR"/>
        </w:rPr>
        <w:t>règles</w:t>
      </w:r>
      <w:r>
        <w:rPr>
          <w:rFonts w:ascii="Arial" w:hAnsi="Arial" w:cs="Arial"/>
          <w:bCs/>
          <w:sz w:val="22"/>
          <w:szCs w:val="22"/>
          <w:lang w:val="fr-FR"/>
        </w:rPr>
        <w:t xml:space="preserve"> </w:t>
      </w:r>
      <w:r w:rsidRPr="00191FAD">
        <w:rPr>
          <w:rFonts w:ascii="Arial" w:hAnsi="Arial" w:cs="Arial"/>
          <w:bCs/>
          <w:sz w:val="22"/>
          <w:szCs w:val="22"/>
          <w:lang w:val="fr-FR"/>
        </w:rPr>
        <w:t xml:space="preserve">car elles </w:t>
      </w:r>
      <w:r>
        <w:rPr>
          <w:rFonts w:ascii="Arial" w:hAnsi="Arial" w:cs="Arial"/>
          <w:bCs/>
          <w:sz w:val="22"/>
          <w:szCs w:val="22"/>
          <w:lang w:val="fr-FR"/>
        </w:rPr>
        <w:t>étaient</w:t>
      </w:r>
      <w:r w:rsidRPr="00191FAD">
        <w:rPr>
          <w:rFonts w:ascii="Arial" w:hAnsi="Arial" w:cs="Arial"/>
          <w:bCs/>
          <w:sz w:val="22"/>
          <w:szCs w:val="22"/>
          <w:lang w:val="fr-FR"/>
        </w:rPr>
        <w:t xml:space="preserve"> claires sur ce point.</w:t>
      </w:r>
    </w:p>
    <w:p w14:paraId="238C6762" w14:textId="0659CC0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D5CCF">
        <w:rPr>
          <w:rFonts w:ascii="Arial" w:hAnsi="Arial" w:cs="Arial"/>
          <w:bCs/>
          <w:sz w:val="22"/>
          <w:szCs w:val="22"/>
          <w:lang w:val="fr-FR"/>
        </w:rPr>
        <w:t xml:space="preserve">La délégation du </w:t>
      </w:r>
      <w:r w:rsidRPr="00ED5CCF">
        <w:rPr>
          <w:rFonts w:ascii="Arial" w:hAnsi="Arial" w:cs="Arial"/>
          <w:b/>
          <w:sz w:val="22"/>
          <w:szCs w:val="22"/>
          <w:lang w:val="fr-FR"/>
        </w:rPr>
        <w:t>Maroc</w:t>
      </w:r>
      <w:r w:rsidRPr="00ED5CCF">
        <w:rPr>
          <w:rFonts w:ascii="Arial" w:hAnsi="Arial" w:cs="Arial"/>
          <w:bCs/>
          <w:sz w:val="22"/>
          <w:szCs w:val="22"/>
          <w:lang w:val="fr-FR"/>
        </w:rPr>
        <w:t xml:space="preserve"> a remercié le Conseiller juridique pour son explication, ajoutant toutefois que les choses n</w:t>
      </w:r>
      <w:r w:rsidR="008E532B">
        <w:rPr>
          <w:rFonts w:ascii="Arial" w:hAnsi="Arial" w:cs="Arial"/>
          <w:bCs/>
          <w:sz w:val="22"/>
          <w:szCs w:val="22"/>
          <w:lang w:val="fr-FR"/>
        </w:rPr>
        <w:t>’</w:t>
      </w:r>
      <w:r w:rsidRPr="00ED5CCF">
        <w:rPr>
          <w:rFonts w:ascii="Arial" w:hAnsi="Arial" w:cs="Arial"/>
          <w:bCs/>
          <w:sz w:val="22"/>
          <w:szCs w:val="22"/>
          <w:lang w:val="fr-FR"/>
        </w:rPr>
        <w:t>étaient pas si claires, comme le montr</w:t>
      </w:r>
      <w:r>
        <w:rPr>
          <w:rFonts w:ascii="Arial" w:hAnsi="Arial" w:cs="Arial"/>
          <w:bCs/>
          <w:sz w:val="22"/>
          <w:szCs w:val="22"/>
          <w:lang w:val="fr-FR"/>
        </w:rPr>
        <w:t>ait</w:t>
      </w:r>
      <w:r w:rsidRPr="00ED5CCF">
        <w:rPr>
          <w:rFonts w:ascii="Arial" w:hAnsi="Arial" w:cs="Arial"/>
          <w:bCs/>
          <w:sz w:val="22"/>
          <w:szCs w:val="22"/>
          <w:lang w:val="fr-FR"/>
        </w:rPr>
        <w:t xml:space="preserve"> le paragraphe 91 des Directives opérationnelles. </w:t>
      </w:r>
      <w:r>
        <w:rPr>
          <w:rFonts w:ascii="Arial" w:hAnsi="Arial" w:cs="Arial"/>
          <w:bCs/>
          <w:sz w:val="22"/>
          <w:szCs w:val="22"/>
          <w:lang w:val="fr-FR"/>
        </w:rPr>
        <w:t>Désireuse d</w:t>
      </w:r>
      <w:r w:rsidR="008E532B">
        <w:rPr>
          <w:rFonts w:ascii="Arial" w:hAnsi="Arial" w:cs="Arial"/>
          <w:bCs/>
          <w:sz w:val="22"/>
          <w:szCs w:val="22"/>
          <w:lang w:val="fr-FR"/>
        </w:rPr>
        <w:t>’</w:t>
      </w:r>
      <w:r>
        <w:rPr>
          <w:rFonts w:ascii="Arial" w:hAnsi="Arial" w:cs="Arial"/>
          <w:bCs/>
          <w:sz w:val="22"/>
          <w:szCs w:val="22"/>
          <w:lang w:val="fr-FR"/>
        </w:rPr>
        <w:t>a</w:t>
      </w:r>
      <w:r w:rsidRPr="00ED5CCF">
        <w:rPr>
          <w:rFonts w:ascii="Arial" w:hAnsi="Arial" w:cs="Arial"/>
          <w:bCs/>
          <w:sz w:val="22"/>
          <w:szCs w:val="22"/>
          <w:lang w:val="fr-FR"/>
        </w:rPr>
        <w:t>dopt</w:t>
      </w:r>
      <w:r>
        <w:rPr>
          <w:rFonts w:ascii="Arial" w:hAnsi="Arial" w:cs="Arial"/>
          <w:bCs/>
          <w:sz w:val="22"/>
          <w:szCs w:val="22"/>
          <w:lang w:val="fr-FR"/>
        </w:rPr>
        <w:t>er</w:t>
      </w:r>
      <w:r w:rsidRPr="00ED5CCF">
        <w:rPr>
          <w:rFonts w:ascii="Arial" w:hAnsi="Arial" w:cs="Arial"/>
          <w:bCs/>
          <w:sz w:val="22"/>
          <w:szCs w:val="22"/>
          <w:lang w:val="fr-FR"/>
        </w:rPr>
        <w:t xml:space="preserve"> une approche constructive, la délégation </w:t>
      </w:r>
      <w:r>
        <w:rPr>
          <w:rFonts w:ascii="Arial" w:hAnsi="Arial" w:cs="Arial"/>
          <w:bCs/>
          <w:sz w:val="22"/>
          <w:szCs w:val="22"/>
          <w:lang w:val="fr-FR"/>
        </w:rPr>
        <w:t xml:space="preserve">a </w:t>
      </w:r>
      <w:r w:rsidRPr="00ED5CCF">
        <w:rPr>
          <w:rFonts w:ascii="Arial" w:hAnsi="Arial" w:cs="Arial"/>
          <w:bCs/>
          <w:sz w:val="22"/>
          <w:szCs w:val="22"/>
          <w:lang w:val="fr-FR"/>
        </w:rPr>
        <w:t>conven</w:t>
      </w:r>
      <w:r>
        <w:rPr>
          <w:rFonts w:ascii="Arial" w:hAnsi="Arial" w:cs="Arial"/>
          <w:bCs/>
          <w:sz w:val="22"/>
          <w:szCs w:val="22"/>
          <w:lang w:val="fr-FR"/>
        </w:rPr>
        <w:t>u</w:t>
      </w:r>
      <w:r w:rsidRPr="00ED5CCF">
        <w:rPr>
          <w:rFonts w:ascii="Arial" w:hAnsi="Arial" w:cs="Arial"/>
          <w:bCs/>
          <w:sz w:val="22"/>
          <w:szCs w:val="22"/>
          <w:lang w:val="fr-FR"/>
        </w:rPr>
        <w:t xml:space="preserve"> que toutes les ONG p</w:t>
      </w:r>
      <w:r>
        <w:rPr>
          <w:rFonts w:ascii="Arial" w:hAnsi="Arial" w:cs="Arial"/>
          <w:bCs/>
          <w:sz w:val="22"/>
          <w:szCs w:val="22"/>
          <w:lang w:val="fr-FR"/>
        </w:rPr>
        <w:t>euvent</w:t>
      </w:r>
      <w:r w:rsidRPr="00ED5CCF">
        <w:rPr>
          <w:rFonts w:ascii="Arial" w:hAnsi="Arial" w:cs="Arial"/>
          <w:bCs/>
          <w:sz w:val="22"/>
          <w:szCs w:val="22"/>
          <w:lang w:val="fr-FR"/>
        </w:rPr>
        <w:t xml:space="preserve"> être accréditées. Ce qui pos</w:t>
      </w:r>
      <w:r>
        <w:rPr>
          <w:rFonts w:ascii="Arial" w:hAnsi="Arial" w:cs="Arial"/>
          <w:bCs/>
          <w:sz w:val="22"/>
          <w:szCs w:val="22"/>
          <w:lang w:val="fr-FR"/>
        </w:rPr>
        <w:t>ait</w:t>
      </w:r>
      <w:r w:rsidRPr="00ED5CCF">
        <w:rPr>
          <w:rFonts w:ascii="Arial" w:hAnsi="Arial" w:cs="Arial"/>
          <w:bCs/>
          <w:sz w:val="22"/>
          <w:szCs w:val="22"/>
          <w:lang w:val="fr-FR"/>
        </w:rPr>
        <w:t xml:space="preserve"> problème, c</w:t>
      </w:r>
      <w:r w:rsidR="008E532B">
        <w:rPr>
          <w:rFonts w:ascii="Arial" w:hAnsi="Arial" w:cs="Arial"/>
          <w:bCs/>
          <w:sz w:val="22"/>
          <w:szCs w:val="22"/>
          <w:lang w:val="fr-FR"/>
        </w:rPr>
        <w:t>’</w:t>
      </w:r>
      <w:r>
        <w:rPr>
          <w:rFonts w:ascii="Arial" w:hAnsi="Arial" w:cs="Arial"/>
          <w:bCs/>
          <w:sz w:val="22"/>
          <w:szCs w:val="22"/>
          <w:lang w:val="fr-FR"/>
        </w:rPr>
        <w:t>était</w:t>
      </w:r>
      <w:r w:rsidRPr="00ED5CCF">
        <w:rPr>
          <w:rFonts w:ascii="Arial" w:hAnsi="Arial" w:cs="Arial"/>
          <w:bCs/>
          <w:sz w:val="22"/>
          <w:szCs w:val="22"/>
          <w:lang w:val="fr-FR"/>
        </w:rPr>
        <w:t xml:space="preserve"> le paragraphe 27 des Directives opérationnelles</w:t>
      </w:r>
      <w:r>
        <w:rPr>
          <w:rFonts w:ascii="Arial" w:hAnsi="Arial" w:cs="Arial"/>
          <w:bCs/>
          <w:sz w:val="22"/>
          <w:szCs w:val="22"/>
          <w:lang w:val="fr-FR"/>
        </w:rPr>
        <w:t xml:space="preserve"> qui </w:t>
      </w:r>
      <w:r w:rsidRPr="00ED5CCF">
        <w:rPr>
          <w:rFonts w:ascii="Arial" w:hAnsi="Arial" w:cs="Arial"/>
          <w:bCs/>
          <w:sz w:val="22"/>
          <w:szCs w:val="22"/>
          <w:lang w:val="fr-FR"/>
        </w:rPr>
        <w:t>fai</w:t>
      </w:r>
      <w:r>
        <w:rPr>
          <w:rFonts w:ascii="Arial" w:hAnsi="Arial" w:cs="Arial"/>
          <w:bCs/>
          <w:sz w:val="22"/>
          <w:szCs w:val="22"/>
          <w:lang w:val="fr-FR"/>
        </w:rPr>
        <w:t>t</w:t>
      </w:r>
      <w:r w:rsidRPr="00ED5CCF">
        <w:rPr>
          <w:rFonts w:ascii="Arial" w:hAnsi="Arial" w:cs="Arial"/>
          <w:bCs/>
          <w:sz w:val="22"/>
          <w:szCs w:val="22"/>
          <w:lang w:val="fr-FR"/>
        </w:rPr>
        <w:t xml:space="preserve"> deux fois référence aux </w:t>
      </w:r>
      <w:r>
        <w:rPr>
          <w:rFonts w:ascii="Arial" w:hAnsi="Arial" w:cs="Arial"/>
          <w:bCs/>
          <w:sz w:val="22"/>
          <w:szCs w:val="22"/>
          <w:lang w:val="fr-FR"/>
        </w:rPr>
        <w:t>« </w:t>
      </w:r>
      <w:r w:rsidRPr="00ED5CCF">
        <w:rPr>
          <w:rFonts w:ascii="Arial" w:hAnsi="Arial" w:cs="Arial"/>
          <w:bCs/>
          <w:sz w:val="22"/>
          <w:szCs w:val="22"/>
          <w:lang w:val="fr-FR"/>
        </w:rPr>
        <w:t>États parties</w:t>
      </w:r>
      <w:r>
        <w:rPr>
          <w:rFonts w:ascii="Arial" w:hAnsi="Arial" w:cs="Arial"/>
          <w:bCs/>
          <w:sz w:val="22"/>
          <w:szCs w:val="22"/>
          <w:lang w:val="fr-FR"/>
        </w:rPr>
        <w:t> »</w:t>
      </w:r>
      <w:r w:rsidRPr="00ED5CCF">
        <w:rPr>
          <w:rFonts w:ascii="Arial" w:hAnsi="Arial" w:cs="Arial"/>
          <w:bCs/>
          <w:sz w:val="22"/>
          <w:szCs w:val="22"/>
          <w:lang w:val="fr-FR"/>
        </w:rPr>
        <w:t xml:space="preserve"> lorsqu</w:t>
      </w:r>
      <w:r w:rsidR="008E532B">
        <w:rPr>
          <w:rFonts w:ascii="Arial" w:hAnsi="Arial" w:cs="Arial"/>
          <w:bCs/>
          <w:sz w:val="22"/>
          <w:szCs w:val="22"/>
          <w:lang w:val="fr-FR"/>
        </w:rPr>
        <w:t>’</w:t>
      </w:r>
      <w:r w:rsidRPr="00ED5CCF">
        <w:rPr>
          <w:rFonts w:ascii="Arial" w:hAnsi="Arial" w:cs="Arial"/>
          <w:bCs/>
          <w:sz w:val="22"/>
          <w:szCs w:val="22"/>
          <w:lang w:val="fr-FR"/>
        </w:rPr>
        <w:t>il trait</w:t>
      </w:r>
      <w:r>
        <w:rPr>
          <w:rFonts w:ascii="Arial" w:hAnsi="Arial" w:cs="Arial"/>
          <w:bCs/>
          <w:sz w:val="22"/>
          <w:szCs w:val="22"/>
          <w:lang w:val="fr-FR"/>
        </w:rPr>
        <w:t>e</w:t>
      </w:r>
      <w:r w:rsidRPr="00ED5CCF">
        <w:rPr>
          <w:rFonts w:ascii="Arial" w:hAnsi="Arial" w:cs="Arial"/>
          <w:bCs/>
          <w:sz w:val="22"/>
          <w:szCs w:val="22"/>
          <w:lang w:val="fr-FR"/>
        </w:rPr>
        <w:t xml:space="preserve"> de l</w:t>
      </w:r>
      <w:r w:rsidR="008E532B">
        <w:rPr>
          <w:rFonts w:ascii="Arial" w:hAnsi="Arial" w:cs="Arial"/>
          <w:bCs/>
          <w:sz w:val="22"/>
          <w:szCs w:val="22"/>
          <w:lang w:val="fr-FR"/>
        </w:rPr>
        <w:t>’</w:t>
      </w:r>
      <w:r w:rsidRPr="00ED5CCF">
        <w:rPr>
          <w:rFonts w:ascii="Arial" w:hAnsi="Arial" w:cs="Arial"/>
          <w:bCs/>
          <w:sz w:val="22"/>
          <w:szCs w:val="22"/>
          <w:lang w:val="fr-FR"/>
        </w:rPr>
        <w:t>éligibilité à l</w:t>
      </w:r>
      <w:r w:rsidR="008E532B">
        <w:rPr>
          <w:rFonts w:ascii="Arial" w:hAnsi="Arial" w:cs="Arial"/>
          <w:bCs/>
          <w:sz w:val="22"/>
          <w:szCs w:val="22"/>
          <w:lang w:val="fr-FR"/>
        </w:rPr>
        <w:t>’</w:t>
      </w:r>
      <w:r>
        <w:rPr>
          <w:rFonts w:ascii="Arial" w:hAnsi="Arial" w:cs="Arial"/>
          <w:bCs/>
          <w:sz w:val="22"/>
          <w:szCs w:val="22"/>
          <w:lang w:val="fr-FR"/>
        </w:rPr>
        <w:t>O</w:t>
      </w:r>
      <w:r w:rsidRPr="00ED5CCF">
        <w:rPr>
          <w:rFonts w:ascii="Arial" w:hAnsi="Arial" w:cs="Arial"/>
          <w:bCs/>
          <w:sz w:val="22"/>
          <w:szCs w:val="22"/>
          <w:lang w:val="fr-FR"/>
        </w:rPr>
        <w:t>rgane d</w:t>
      </w:r>
      <w:r w:rsidR="008E532B">
        <w:rPr>
          <w:rFonts w:ascii="Arial" w:hAnsi="Arial" w:cs="Arial"/>
          <w:bCs/>
          <w:sz w:val="22"/>
          <w:szCs w:val="22"/>
          <w:lang w:val="fr-FR"/>
        </w:rPr>
        <w:t>’</w:t>
      </w:r>
      <w:r w:rsidRPr="00ED5CCF">
        <w:rPr>
          <w:rFonts w:ascii="Arial" w:hAnsi="Arial" w:cs="Arial"/>
          <w:bCs/>
          <w:sz w:val="22"/>
          <w:szCs w:val="22"/>
          <w:lang w:val="fr-FR"/>
        </w:rPr>
        <w:t>évaluation et ne fai</w:t>
      </w:r>
      <w:r>
        <w:rPr>
          <w:rFonts w:ascii="Arial" w:hAnsi="Arial" w:cs="Arial"/>
          <w:bCs/>
          <w:sz w:val="22"/>
          <w:szCs w:val="22"/>
          <w:lang w:val="fr-FR"/>
        </w:rPr>
        <w:t>t</w:t>
      </w:r>
      <w:r w:rsidRPr="00ED5CCF">
        <w:rPr>
          <w:rFonts w:ascii="Arial" w:hAnsi="Arial" w:cs="Arial"/>
          <w:bCs/>
          <w:sz w:val="22"/>
          <w:szCs w:val="22"/>
          <w:lang w:val="fr-FR"/>
        </w:rPr>
        <w:t xml:space="preserve"> aucunement référence aux organisations domiciliées dans un État </w:t>
      </w:r>
      <w:proofErr w:type="gramStart"/>
      <w:r w:rsidRPr="00ED5CCF">
        <w:rPr>
          <w:rFonts w:ascii="Arial" w:hAnsi="Arial" w:cs="Arial"/>
          <w:bCs/>
          <w:sz w:val="22"/>
          <w:szCs w:val="22"/>
          <w:lang w:val="fr-FR"/>
        </w:rPr>
        <w:t>non</w:t>
      </w:r>
      <w:r>
        <w:rPr>
          <w:rFonts w:ascii="Arial" w:hAnsi="Arial" w:cs="Arial"/>
          <w:bCs/>
          <w:sz w:val="22"/>
          <w:szCs w:val="22"/>
          <w:lang w:val="fr-FR"/>
        </w:rPr>
        <w:t> </w:t>
      </w:r>
      <w:r w:rsidRPr="00ED5CCF">
        <w:rPr>
          <w:rFonts w:ascii="Arial" w:hAnsi="Arial" w:cs="Arial"/>
          <w:bCs/>
          <w:sz w:val="22"/>
          <w:szCs w:val="22"/>
          <w:lang w:val="fr-FR"/>
        </w:rPr>
        <w:t>partie</w:t>
      </w:r>
      <w:proofErr w:type="gramEnd"/>
      <w:r w:rsidRPr="00ED5CCF">
        <w:rPr>
          <w:rFonts w:ascii="Arial" w:hAnsi="Arial" w:cs="Arial"/>
          <w:bCs/>
          <w:sz w:val="22"/>
          <w:szCs w:val="22"/>
          <w:lang w:val="fr-FR"/>
        </w:rPr>
        <w:t xml:space="preserve"> à la Convention. Quant aux critères énoncés au paragraphe 91 des Directives opérationnelles, ils ne pos</w:t>
      </w:r>
      <w:r>
        <w:rPr>
          <w:rFonts w:ascii="Arial" w:hAnsi="Arial" w:cs="Arial"/>
          <w:bCs/>
          <w:sz w:val="22"/>
          <w:szCs w:val="22"/>
          <w:lang w:val="fr-FR"/>
        </w:rPr>
        <w:t>ai</w:t>
      </w:r>
      <w:r w:rsidRPr="00ED5CCF">
        <w:rPr>
          <w:rFonts w:ascii="Arial" w:hAnsi="Arial" w:cs="Arial"/>
          <w:bCs/>
          <w:sz w:val="22"/>
          <w:szCs w:val="22"/>
          <w:lang w:val="fr-FR"/>
        </w:rPr>
        <w:t>ent pas de problème s</w:t>
      </w:r>
      <w:r w:rsidR="008E532B">
        <w:rPr>
          <w:rFonts w:ascii="Arial" w:hAnsi="Arial" w:cs="Arial"/>
          <w:bCs/>
          <w:sz w:val="22"/>
          <w:szCs w:val="22"/>
          <w:lang w:val="fr-FR"/>
        </w:rPr>
        <w:t>’</w:t>
      </w:r>
      <w:r w:rsidRPr="00ED5CCF">
        <w:rPr>
          <w:rFonts w:ascii="Arial" w:hAnsi="Arial" w:cs="Arial"/>
          <w:bCs/>
          <w:sz w:val="22"/>
          <w:szCs w:val="22"/>
          <w:lang w:val="fr-FR"/>
        </w:rPr>
        <w:t xml:space="preserve">ils </w:t>
      </w:r>
      <w:r>
        <w:rPr>
          <w:rFonts w:ascii="Arial" w:hAnsi="Arial" w:cs="Arial"/>
          <w:bCs/>
          <w:sz w:val="22"/>
          <w:szCs w:val="22"/>
          <w:lang w:val="fr-FR"/>
        </w:rPr>
        <w:t xml:space="preserve">étaient </w:t>
      </w:r>
      <w:r w:rsidRPr="00ED5CCF">
        <w:rPr>
          <w:rFonts w:ascii="Arial" w:hAnsi="Arial" w:cs="Arial"/>
          <w:bCs/>
          <w:sz w:val="22"/>
          <w:szCs w:val="22"/>
          <w:lang w:val="fr-FR"/>
        </w:rPr>
        <w:t>pris de manière positive et constructive. Évidemment, la question de l</w:t>
      </w:r>
      <w:r w:rsidR="008E532B">
        <w:rPr>
          <w:rFonts w:ascii="Arial" w:hAnsi="Arial" w:cs="Arial"/>
          <w:bCs/>
          <w:sz w:val="22"/>
          <w:szCs w:val="22"/>
          <w:lang w:val="fr-FR"/>
        </w:rPr>
        <w:t>’</w:t>
      </w:r>
      <w:r w:rsidRPr="00ED5CCF">
        <w:rPr>
          <w:rFonts w:ascii="Arial" w:hAnsi="Arial" w:cs="Arial"/>
          <w:bCs/>
          <w:sz w:val="22"/>
          <w:szCs w:val="22"/>
          <w:lang w:val="fr-FR"/>
        </w:rPr>
        <w:t xml:space="preserve">inclusivité </w:t>
      </w:r>
      <w:r>
        <w:rPr>
          <w:rFonts w:ascii="Arial" w:hAnsi="Arial" w:cs="Arial"/>
          <w:bCs/>
          <w:sz w:val="22"/>
          <w:szCs w:val="22"/>
          <w:lang w:val="fr-FR"/>
        </w:rPr>
        <w:t>était</w:t>
      </w:r>
      <w:r w:rsidRPr="00ED5CCF">
        <w:rPr>
          <w:rFonts w:ascii="Arial" w:hAnsi="Arial" w:cs="Arial"/>
          <w:bCs/>
          <w:sz w:val="22"/>
          <w:szCs w:val="22"/>
          <w:lang w:val="fr-FR"/>
        </w:rPr>
        <w:t xml:space="preserve"> importante, même si</w:t>
      </w:r>
      <w:r>
        <w:rPr>
          <w:rFonts w:ascii="Arial" w:hAnsi="Arial" w:cs="Arial"/>
          <w:bCs/>
          <w:sz w:val="22"/>
          <w:szCs w:val="22"/>
          <w:lang w:val="fr-FR"/>
        </w:rPr>
        <w:t xml:space="preserve">, </w:t>
      </w:r>
      <w:r w:rsidRPr="00ED5CCF">
        <w:rPr>
          <w:rFonts w:ascii="Arial" w:hAnsi="Arial" w:cs="Arial"/>
          <w:bCs/>
          <w:sz w:val="22"/>
          <w:szCs w:val="22"/>
          <w:lang w:val="fr-FR"/>
        </w:rPr>
        <w:t>comme cela a</w:t>
      </w:r>
      <w:r>
        <w:rPr>
          <w:rFonts w:ascii="Arial" w:hAnsi="Arial" w:cs="Arial"/>
          <w:bCs/>
          <w:sz w:val="22"/>
          <w:szCs w:val="22"/>
          <w:lang w:val="fr-FR"/>
        </w:rPr>
        <w:t>vait</w:t>
      </w:r>
      <w:r w:rsidRPr="00ED5CCF">
        <w:rPr>
          <w:rFonts w:ascii="Arial" w:hAnsi="Arial" w:cs="Arial"/>
          <w:bCs/>
          <w:sz w:val="22"/>
          <w:szCs w:val="22"/>
          <w:lang w:val="fr-FR"/>
        </w:rPr>
        <w:t xml:space="preserve"> été souligné</w:t>
      </w:r>
      <w:r>
        <w:rPr>
          <w:rFonts w:ascii="Arial" w:hAnsi="Arial" w:cs="Arial"/>
          <w:bCs/>
          <w:sz w:val="22"/>
          <w:szCs w:val="22"/>
          <w:lang w:val="fr-FR"/>
        </w:rPr>
        <w:t xml:space="preserve">, </w:t>
      </w:r>
      <w:r w:rsidRPr="00ED5CCF">
        <w:rPr>
          <w:rFonts w:ascii="Arial" w:hAnsi="Arial" w:cs="Arial"/>
          <w:bCs/>
          <w:sz w:val="22"/>
          <w:szCs w:val="22"/>
          <w:lang w:val="fr-FR"/>
        </w:rPr>
        <w:t>il y a</w:t>
      </w:r>
      <w:r>
        <w:rPr>
          <w:rFonts w:ascii="Arial" w:hAnsi="Arial" w:cs="Arial"/>
          <w:bCs/>
          <w:sz w:val="22"/>
          <w:szCs w:val="22"/>
          <w:lang w:val="fr-FR"/>
        </w:rPr>
        <w:t>vait</w:t>
      </w:r>
      <w:r w:rsidRPr="00ED5CCF">
        <w:rPr>
          <w:rFonts w:ascii="Arial" w:hAnsi="Arial" w:cs="Arial"/>
          <w:bCs/>
          <w:sz w:val="22"/>
          <w:szCs w:val="22"/>
          <w:lang w:val="fr-FR"/>
        </w:rPr>
        <w:t xml:space="preserve"> 180 États parties à cette Convention, </w:t>
      </w:r>
      <w:r>
        <w:rPr>
          <w:rFonts w:ascii="Arial" w:hAnsi="Arial" w:cs="Arial"/>
          <w:bCs/>
          <w:sz w:val="22"/>
          <w:szCs w:val="22"/>
          <w:lang w:val="fr-FR"/>
        </w:rPr>
        <w:t xml:space="preserve">c.-à-d. </w:t>
      </w:r>
      <w:r w:rsidRPr="00ED5CCF">
        <w:rPr>
          <w:rFonts w:ascii="Arial" w:hAnsi="Arial" w:cs="Arial"/>
          <w:bCs/>
          <w:sz w:val="22"/>
          <w:szCs w:val="22"/>
          <w:lang w:val="fr-FR"/>
        </w:rPr>
        <w:t>un nombre suffisant d</w:t>
      </w:r>
      <w:r w:rsidR="008E532B">
        <w:rPr>
          <w:rFonts w:ascii="Arial" w:hAnsi="Arial" w:cs="Arial"/>
          <w:bCs/>
          <w:sz w:val="22"/>
          <w:szCs w:val="22"/>
          <w:lang w:val="fr-FR"/>
        </w:rPr>
        <w:t>’</w:t>
      </w:r>
      <w:r w:rsidRPr="00ED5CCF">
        <w:rPr>
          <w:rFonts w:ascii="Arial" w:hAnsi="Arial" w:cs="Arial"/>
          <w:bCs/>
          <w:sz w:val="22"/>
          <w:szCs w:val="22"/>
          <w:lang w:val="fr-FR"/>
        </w:rPr>
        <w:t>ONG pour représenter le Forum des ONG de manière professionnelle et compétente, y compris au sein de l</w:t>
      </w:r>
      <w:r w:rsidR="008E532B">
        <w:rPr>
          <w:rFonts w:ascii="Arial" w:hAnsi="Arial" w:cs="Arial"/>
          <w:bCs/>
          <w:sz w:val="22"/>
          <w:szCs w:val="22"/>
          <w:lang w:val="fr-FR"/>
        </w:rPr>
        <w:t>’</w:t>
      </w:r>
      <w:r w:rsidRPr="00ED5CCF">
        <w:rPr>
          <w:rFonts w:ascii="Arial" w:hAnsi="Arial" w:cs="Arial"/>
          <w:bCs/>
          <w:sz w:val="22"/>
          <w:szCs w:val="22"/>
          <w:lang w:val="fr-FR"/>
        </w:rPr>
        <w:t>Organe d</w:t>
      </w:r>
      <w:r w:rsidR="008E532B">
        <w:rPr>
          <w:rFonts w:ascii="Arial" w:hAnsi="Arial" w:cs="Arial"/>
          <w:bCs/>
          <w:sz w:val="22"/>
          <w:szCs w:val="22"/>
          <w:lang w:val="fr-FR"/>
        </w:rPr>
        <w:t>’</w:t>
      </w:r>
      <w:r w:rsidRPr="00ED5CCF">
        <w:rPr>
          <w:rFonts w:ascii="Arial" w:hAnsi="Arial" w:cs="Arial"/>
          <w:bCs/>
          <w:sz w:val="22"/>
          <w:szCs w:val="22"/>
          <w:lang w:val="fr-FR"/>
        </w:rPr>
        <w:t xml:space="preserve">évaluation. </w:t>
      </w:r>
      <w:r>
        <w:rPr>
          <w:rFonts w:ascii="Arial" w:hAnsi="Arial" w:cs="Arial"/>
          <w:bCs/>
          <w:sz w:val="22"/>
          <w:szCs w:val="22"/>
          <w:lang w:val="fr-FR"/>
        </w:rPr>
        <w:t>À</w:t>
      </w:r>
      <w:r w:rsidRPr="00ED5CCF">
        <w:rPr>
          <w:rFonts w:ascii="Arial" w:hAnsi="Arial" w:cs="Arial"/>
          <w:bCs/>
          <w:sz w:val="22"/>
          <w:szCs w:val="22"/>
          <w:lang w:val="fr-FR"/>
        </w:rPr>
        <w:t xml:space="preserve"> l</w:t>
      </w:r>
      <w:r w:rsidR="008E532B">
        <w:rPr>
          <w:rFonts w:ascii="Arial" w:hAnsi="Arial" w:cs="Arial"/>
          <w:bCs/>
          <w:sz w:val="22"/>
          <w:szCs w:val="22"/>
          <w:lang w:val="fr-FR"/>
        </w:rPr>
        <w:t>’</w:t>
      </w:r>
      <w:r w:rsidRPr="00ED5CCF">
        <w:rPr>
          <w:rFonts w:ascii="Arial" w:hAnsi="Arial" w:cs="Arial"/>
          <w:bCs/>
          <w:sz w:val="22"/>
          <w:szCs w:val="22"/>
          <w:lang w:val="fr-FR"/>
        </w:rPr>
        <w:t>inverse, le paragraphe 27 fai</w:t>
      </w:r>
      <w:r>
        <w:rPr>
          <w:rFonts w:ascii="Arial" w:hAnsi="Arial" w:cs="Arial"/>
          <w:bCs/>
          <w:sz w:val="22"/>
          <w:szCs w:val="22"/>
          <w:lang w:val="fr-FR"/>
        </w:rPr>
        <w:t>sai</w:t>
      </w:r>
      <w:r w:rsidRPr="00ED5CCF">
        <w:rPr>
          <w:rFonts w:ascii="Arial" w:hAnsi="Arial" w:cs="Arial"/>
          <w:bCs/>
          <w:sz w:val="22"/>
          <w:szCs w:val="22"/>
          <w:lang w:val="fr-FR"/>
        </w:rPr>
        <w:t xml:space="preserve">t clairement référence aux </w:t>
      </w:r>
      <w:r>
        <w:rPr>
          <w:rFonts w:ascii="Arial" w:hAnsi="Arial" w:cs="Arial"/>
          <w:bCs/>
          <w:sz w:val="22"/>
          <w:szCs w:val="22"/>
          <w:lang w:val="fr-FR"/>
        </w:rPr>
        <w:t>É</w:t>
      </w:r>
      <w:r w:rsidRPr="00ED5CCF">
        <w:rPr>
          <w:rFonts w:ascii="Arial" w:hAnsi="Arial" w:cs="Arial"/>
          <w:bCs/>
          <w:sz w:val="22"/>
          <w:szCs w:val="22"/>
          <w:lang w:val="fr-FR"/>
        </w:rPr>
        <w:t xml:space="preserve">tats parties </w:t>
      </w:r>
      <w:r>
        <w:rPr>
          <w:rFonts w:ascii="Arial" w:hAnsi="Arial" w:cs="Arial"/>
          <w:bCs/>
          <w:sz w:val="22"/>
          <w:szCs w:val="22"/>
          <w:lang w:val="fr-FR"/>
        </w:rPr>
        <w:t xml:space="preserve">mais pas </w:t>
      </w:r>
      <w:r w:rsidRPr="00ED5CCF">
        <w:rPr>
          <w:rFonts w:ascii="Arial" w:hAnsi="Arial" w:cs="Arial"/>
          <w:bCs/>
          <w:sz w:val="22"/>
          <w:szCs w:val="22"/>
          <w:lang w:val="fr-FR"/>
        </w:rPr>
        <w:t xml:space="preserve">aux </w:t>
      </w:r>
      <w:r>
        <w:rPr>
          <w:rFonts w:ascii="Arial" w:hAnsi="Arial" w:cs="Arial"/>
          <w:bCs/>
          <w:sz w:val="22"/>
          <w:szCs w:val="22"/>
          <w:lang w:val="fr-FR"/>
        </w:rPr>
        <w:t>É</w:t>
      </w:r>
      <w:r w:rsidRPr="00ED5CCF">
        <w:rPr>
          <w:rFonts w:ascii="Arial" w:hAnsi="Arial" w:cs="Arial"/>
          <w:bCs/>
          <w:sz w:val="22"/>
          <w:szCs w:val="22"/>
          <w:lang w:val="fr-FR"/>
        </w:rPr>
        <w:t>tats non parties à la Convention. La question de l</w:t>
      </w:r>
      <w:r w:rsidR="008E532B">
        <w:rPr>
          <w:rFonts w:ascii="Arial" w:hAnsi="Arial" w:cs="Arial"/>
          <w:bCs/>
          <w:sz w:val="22"/>
          <w:szCs w:val="22"/>
          <w:lang w:val="fr-FR"/>
        </w:rPr>
        <w:t>’</w:t>
      </w:r>
      <w:r w:rsidRPr="00ED5CCF">
        <w:rPr>
          <w:rFonts w:ascii="Arial" w:hAnsi="Arial" w:cs="Arial"/>
          <w:bCs/>
          <w:sz w:val="22"/>
          <w:szCs w:val="22"/>
          <w:lang w:val="fr-FR"/>
        </w:rPr>
        <w:t>éligibilité à l</w:t>
      </w:r>
      <w:r w:rsidR="008E532B">
        <w:rPr>
          <w:rFonts w:ascii="Arial" w:hAnsi="Arial" w:cs="Arial"/>
          <w:bCs/>
          <w:sz w:val="22"/>
          <w:szCs w:val="22"/>
          <w:lang w:val="fr-FR"/>
        </w:rPr>
        <w:t>’</w:t>
      </w:r>
      <w:r w:rsidRPr="00ED5CCF">
        <w:rPr>
          <w:rFonts w:ascii="Arial" w:hAnsi="Arial" w:cs="Arial"/>
          <w:bCs/>
          <w:sz w:val="22"/>
          <w:szCs w:val="22"/>
          <w:lang w:val="fr-FR"/>
        </w:rPr>
        <w:t>Organe d</w:t>
      </w:r>
      <w:r w:rsidR="008E532B">
        <w:rPr>
          <w:rFonts w:ascii="Arial" w:hAnsi="Arial" w:cs="Arial"/>
          <w:bCs/>
          <w:sz w:val="22"/>
          <w:szCs w:val="22"/>
          <w:lang w:val="fr-FR"/>
        </w:rPr>
        <w:t>’</w:t>
      </w:r>
      <w:r w:rsidRPr="00ED5CCF">
        <w:rPr>
          <w:rFonts w:ascii="Arial" w:hAnsi="Arial" w:cs="Arial"/>
          <w:bCs/>
          <w:sz w:val="22"/>
          <w:szCs w:val="22"/>
          <w:lang w:val="fr-FR"/>
        </w:rPr>
        <w:t>évaluation pos</w:t>
      </w:r>
      <w:r>
        <w:rPr>
          <w:rFonts w:ascii="Arial" w:hAnsi="Arial" w:cs="Arial"/>
          <w:bCs/>
          <w:sz w:val="22"/>
          <w:szCs w:val="22"/>
          <w:lang w:val="fr-FR"/>
        </w:rPr>
        <w:t>ait</w:t>
      </w:r>
      <w:r w:rsidRPr="00ED5CCF">
        <w:rPr>
          <w:rFonts w:ascii="Arial" w:hAnsi="Arial" w:cs="Arial"/>
          <w:bCs/>
          <w:sz w:val="22"/>
          <w:szCs w:val="22"/>
          <w:lang w:val="fr-FR"/>
        </w:rPr>
        <w:t xml:space="preserve"> donc clairement un problème. L</w:t>
      </w:r>
      <w:r w:rsidR="008E532B">
        <w:rPr>
          <w:rFonts w:ascii="Arial" w:hAnsi="Arial" w:cs="Arial"/>
          <w:bCs/>
          <w:sz w:val="22"/>
          <w:szCs w:val="22"/>
          <w:lang w:val="fr-FR"/>
        </w:rPr>
        <w:t>’</w:t>
      </w:r>
      <w:r w:rsidRPr="00ED5CCF">
        <w:rPr>
          <w:rFonts w:ascii="Arial" w:hAnsi="Arial" w:cs="Arial"/>
          <w:bCs/>
          <w:sz w:val="22"/>
          <w:szCs w:val="22"/>
          <w:lang w:val="fr-FR"/>
        </w:rPr>
        <w:t>accréditation n</w:t>
      </w:r>
      <w:r w:rsidR="008E532B">
        <w:rPr>
          <w:rFonts w:ascii="Arial" w:hAnsi="Arial" w:cs="Arial"/>
          <w:bCs/>
          <w:sz w:val="22"/>
          <w:szCs w:val="22"/>
          <w:lang w:val="fr-FR"/>
        </w:rPr>
        <w:t>’</w:t>
      </w:r>
      <w:r>
        <w:rPr>
          <w:rFonts w:ascii="Arial" w:hAnsi="Arial" w:cs="Arial"/>
          <w:bCs/>
          <w:sz w:val="22"/>
          <w:szCs w:val="22"/>
          <w:lang w:val="fr-FR"/>
        </w:rPr>
        <w:t xml:space="preserve">était </w:t>
      </w:r>
      <w:r w:rsidRPr="00ED5CCF">
        <w:rPr>
          <w:rFonts w:ascii="Arial" w:hAnsi="Arial" w:cs="Arial"/>
          <w:bCs/>
          <w:sz w:val="22"/>
          <w:szCs w:val="22"/>
          <w:lang w:val="fr-FR"/>
        </w:rPr>
        <w:t>pas un problème, mais l</w:t>
      </w:r>
      <w:r w:rsidR="008E532B">
        <w:rPr>
          <w:rFonts w:ascii="Arial" w:hAnsi="Arial" w:cs="Arial"/>
          <w:bCs/>
          <w:sz w:val="22"/>
          <w:szCs w:val="22"/>
          <w:lang w:val="fr-FR"/>
        </w:rPr>
        <w:t>’</w:t>
      </w:r>
      <w:r w:rsidRPr="00ED5CCF">
        <w:rPr>
          <w:rFonts w:ascii="Arial" w:hAnsi="Arial" w:cs="Arial"/>
          <w:bCs/>
          <w:sz w:val="22"/>
          <w:szCs w:val="22"/>
          <w:lang w:val="fr-FR"/>
        </w:rPr>
        <w:t>éligibilité à l</w:t>
      </w:r>
      <w:r w:rsidR="008E532B">
        <w:rPr>
          <w:rFonts w:ascii="Arial" w:hAnsi="Arial" w:cs="Arial"/>
          <w:bCs/>
          <w:sz w:val="22"/>
          <w:szCs w:val="22"/>
          <w:lang w:val="fr-FR"/>
        </w:rPr>
        <w:t>’</w:t>
      </w:r>
      <w:r w:rsidRPr="00ED5CCF">
        <w:rPr>
          <w:rFonts w:ascii="Arial" w:hAnsi="Arial" w:cs="Arial"/>
          <w:bCs/>
          <w:sz w:val="22"/>
          <w:szCs w:val="22"/>
          <w:lang w:val="fr-FR"/>
        </w:rPr>
        <w:t>Organe d</w:t>
      </w:r>
      <w:r w:rsidR="008E532B">
        <w:rPr>
          <w:rFonts w:ascii="Arial" w:hAnsi="Arial" w:cs="Arial"/>
          <w:bCs/>
          <w:sz w:val="22"/>
          <w:szCs w:val="22"/>
          <w:lang w:val="fr-FR"/>
        </w:rPr>
        <w:t>’</w:t>
      </w:r>
      <w:r w:rsidRPr="00ED5CCF">
        <w:rPr>
          <w:rFonts w:ascii="Arial" w:hAnsi="Arial" w:cs="Arial"/>
          <w:bCs/>
          <w:sz w:val="22"/>
          <w:szCs w:val="22"/>
          <w:lang w:val="fr-FR"/>
        </w:rPr>
        <w:t>évaluation l</w:t>
      </w:r>
      <w:r w:rsidR="008E532B">
        <w:rPr>
          <w:rFonts w:ascii="Arial" w:hAnsi="Arial" w:cs="Arial"/>
          <w:bCs/>
          <w:sz w:val="22"/>
          <w:szCs w:val="22"/>
          <w:lang w:val="fr-FR"/>
        </w:rPr>
        <w:t>’</w:t>
      </w:r>
      <w:r>
        <w:rPr>
          <w:rFonts w:ascii="Arial" w:hAnsi="Arial" w:cs="Arial"/>
          <w:bCs/>
          <w:sz w:val="22"/>
          <w:szCs w:val="22"/>
          <w:lang w:val="fr-FR"/>
        </w:rPr>
        <w:t>était</w:t>
      </w:r>
      <w:r w:rsidRPr="00ED5CCF">
        <w:rPr>
          <w:rFonts w:ascii="Arial" w:hAnsi="Arial" w:cs="Arial"/>
          <w:bCs/>
          <w:sz w:val="22"/>
          <w:szCs w:val="22"/>
          <w:lang w:val="fr-FR"/>
        </w:rPr>
        <w:t xml:space="preserve"> clairement et elle n</w:t>
      </w:r>
      <w:r w:rsidR="008E532B">
        <w:rPr>
          <w:rFonts w:ascii="Arial" w:hAnsi="Arial" w:cs="Arial"/>
          <w:bCs/>
          <w:sz w:val="22"/>
          <w:szCs w:val="22"/>
          <w:lang w:val="fr-FR"/>
        </w:rPr>
        <w:t>’</w:t>
      </w:r>
      <w:r>
        <w:rPr>
          <w:rFonts w:ascii="Arial" w:hAnsi="Arial" w:cs="Arial"/>
          <w:bCs/>
          <w:sz w:val="22"/>
          <w:szCs w:val="22"/>
          <w:lang w:val="fr-FR"/>
        </w:rPr>
        <w:t>était</w:t>
      </w:r>
      <w:r w:rsidRPr="00ED5CCF">
        <w:rPr>
          <w:rFonts w:ascii="Arial" w:hAnsi="Arial" w:cs="Arial"/>
          <w:bCs/>
          <w:sz w:val="22"/>
          <w:szCs w:val="22"/>
          <w:lang w:val="fr-FR"/>
        </w:rPr>
        <w:t xml:space="preserve"> pas soutenue juridiquement par les</w:t>
      </w:r>
      <w:r>
        <w:rPr>
          <w:rFonts w:ascii="Arial" w:hAnsi="Arial" w:cs="Arial"/>
          <w:bCs/>
          <w:sz w:val="22"/>
          <w:szCs w:val="22"/>
          <w:lang w:val="fr-FR"/>
        </w:rPr>
        <w:t xml:space="preserve"> </w:t>
      </w:r>
      <w:r w:rsidRPr="00ED5CCF">
        <w:rPr>
          <w:rFonts w:ascii="Arial" w:hAnsi="Arial" w:cs="Arial"/>
          <w:bCs/>
          <w:sz w:val="22"/>
          <w:szCs w:val="22"/>
          <w:lang w:val="fr-FR"/>
        </w:rPr>
        <w:t>Directives opérationnelles. C</w:t>
      </w:r>
      <w:r w:rsidR="008E532B">
        <w:rPr>
          <w:rFonts w:ascii="Arial" w:hAnsi="Arial" w:cs="Arial"/>
          <w:bCs/>
          <w:sz w:val="22"/>
          <w:szCs w:val="22"/>
          <w:lang w:val="fr-FR"/>
        </w:rPr>
        <w:t>’</w:t>
      </w:r>
      <w:r>
        <w:rPr>
          <w:rFonts w:ascii="Arial" w:hAnsi="Arial" w:cs="Arial"/>
          <w:bCs/>
          <w:sz w:val="22"/>
          <w:szCs w:val="22"/>
          <w:lang w:val="fr-FR"/>
        </w:rPr>
        <w:t>était</w:t>
      </w:r>
      <w:r w:rsidRPr="00ED5CCF">
        <w:rPr>
          <w:rFonts w:ascii="Arial" w:hAnsi="Arial" w:cs="Arial"/>
          <w:bCs/>
          <w:sz w:val="22"/>
          <w:szCs w:val="22"/>
          <w:lang w:val="fr-FR"/>
        </w:rPr>
        <w:t xml:space="preserve"> ce que la délégation a</w:t>
      </w:r>
      <w:r>
        <w:rPr>
          <w:rFonts w:ascii="Arial" w:hAnsi="Arial" w:cs="Arial"/>
          <w:bCs/>
          <w:sz w:val="22"/>
          <w:szCs w:val="22"/>
          <w:lang w:val="fr-FR"/>
        </w:rPr>
        <w:t>vait</w:t>
      </w:r>
      <w:r w:rsidRPr="00ED5CCF">
        <w:rPr>
          <w:rFonts w:ascii="Arial" w:hAnsi="Arial" w:cs="Arial"/>
          <w:bCs/>
          <w:sz w:val="22"/>
          <w:szCs w:val="22"/>
          <w:lang w:val="fr-FR"/>
        </w:rPr>
        <w:t xml:space="preserve"> compris des explications </w:t>
      </w:r>
      <w:r>
        <w:rPr>
          <w:rFonts w:ascii="Arial" w:hAnsi="Arial" w:cs="Arial"/>
          <w:bCs/>
          <w:sz w:val="22"/>
          <w:szCs w:val="22"/>
          <w:lang w:val="fr-FR"/>
        </w:rPr>
        <w:t xml:space="preserve">données </w:t>
      </w:r>
      <w:r w:rsidRPr="00ED5CCF">
        <w:rPr>
          <w:rFonts w:ascii="Arial" w:hAnsi="Arial" w:cs="Arial"/>
          <w:bCs/>
          <w:sz w:val="22"/>
          <w:szCs w:val="22"/>
          <w:lang w:val="fr-FR"/>
        </w:rPr>
        <w:t>par le Conseiller juridique.</w:t>
      </w:r>
    </w:p>
    <w:p w14:paraId="5C66DB30" w14:textId="7CECBEA6" w:rsidR="00D9653F" w:rsidRPr="00913CB7"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13CB7">
        <w:rPr>
          <w:rFonts w:ascii="Arial" w:hAnsi="Arial" w:cs="Arial"/>
          <w:bCs/>
          <w:sz w:val="22"/>
          <w:szCs w:val="22"/>
          <w:lang w:val="fr-FR"/>
        </w:rPr>
        <w:t xml:space="preserve">La délégation de la </w:t>
      </w:r>
      <w:r w:rsidRPr="00D22E03">
        <w:rPr>
          <w:rFonts w:ascii="Arial" w:hAnsi="Arial" w:cs="Arial"/>
          <w:b/>
          <w:sz w:val="22"/>
          <w:szCs w:val="22"/>
          <w:lang w:val="fr-FR"/>
        </w:rPr>
        <w:t>Lituanie</w:t>
      </w:r>
      <w:r w:rsidRPr="00913CB7">
        <w:rPr>
          <w:rFonts w:ascii="Arial" w:hAnsi="Arial" w:cs="Arial"/>
          <w:bCs/>
          <w:sz w:val="22"/>
          <w:szCs w:val="22"/>
          <w:lang w:val="fr-FR"/>
        </w:rPr>
        <w:t xml:space="preserve"> n</w:t>
      </w:r>
      <w:r>
        <w:rPr>
          <w:rFonts w:ascii="Arial" w:hAnsi="Arial" w:cs="Arial"/>
          <w:bCs/>
          <w:sz w:val="22"/>
          <w:szCs w:val="22"/>
          <w:lang w:val="fr-FR"/>
        </w:rPr>
        <w:t xml:space="preserve">e </w:t>
      </w:r>
      <w:r w:rsidRPr="00913CB7">
        <w:rPr>
          <w:rFonts w:ascii="Arial" w:hAnsi="Arial" w:cs="Arial"/>
          <w:bCs/>
          <w:sz w:val="22"/>
          <w:szCs w:val="22"/>
          <w:lang w:val="fr-FR"/>
        </w:rPr>
        <w:t>souten</w:t>
      </w:r>
      <w:r>
        <w:rPr>
          <w:rFonts w:ascii="Arial" w:hAnsi="Arial" w:cs="Arial"/>
          <w:bCs/>
          <w:sz w:val="22"/>
          <w:szCs w:val="22"/>
          <w:lang w:val="fr-FR"/>
        </w:rPr>
        <w:t>ait pas</w:t>
      </w:r>
      <w:r w:rsidRPr="00913CB7">
        <w:rPr>
          <w:rFonts w:ascii="Arial" w:hAnsi="Arial" w:cs="Arial"/>
          <w:bCs/>
          <w:sz w:val="22"/>
          <w:szCs w:val="22"/>
          <w:lang w:val="fr-FR"/>
        </w:rPr>
        <w:t xml:space="preserve"> l</w:t>
      </w:r>
      <w:r w:rsidR="008E532B">
        <w:rPr>
          <w:rFonts w:ascii="Arial" w:hAnsi="Arial" w:cs="Arial"/>
          <w:bCs/>
          <w:sz w:val="22"/>
          <w:szCs w:val="22"/>
          <w:lang w:val="fr-FR"/>
        </w:rPr>
        <w:t>’</w:t>
      </w:r>
      <w:r w:rsidRPr="00913CB7">
        <w:rPr>
          <w:rFonts w:ascii="Arial" w:hAnsi="Arial" w:cs="Arial"/>
          <w:bCs/>
          <w:sz w:val="22"/>
          <w:szCs w:val="22"/>
          <w:lang w:val="fr-FR"/>
        </w:rPr>
        <w:t xml:space="preserve">amendement de la Palestine. La proposition de la Colombie dans le paragraphe 6 nouvellement adopté </w:t>
      </w:r>
      <w:r>
        <w:rPr>
          <w:rFonts w:ascii="Arial" w:hAnsi="Arial" w:cs="Arial"/>
          <w:bCs/>
          <w:sz w:val="22"/>
          <w:szCs w:val="22"/>
          <w:lang w:val="fr-FR"/>
        </w:rPr>
        <w:t>abordait</w:t>
      </w:r>
      <w:r w:rsidRPr="00913CB7">
        <w:rPr>
          <w:rFonts w:ascii="Arial" w:hAnsi="Arial" w:cs="Arial"/>
          <w:bCs/>
          <w:sz w:val="22"/>
          <w:szCs w:val="22"/>
          <w:lang w:val="fr-FR"/>
        </w:rPr>
        <w:t xml:space="preserve"> cette question car elle demand</w:t>
      </w:r>
      <w:r>
        <w:rPr>
          <w:rFonts w:ascii="Arial" w:hAnsi="Arial" w:cs="Arial"/>
          <w:bCs/>
          <w:sz w:val="22"/>
          <w:szCs w:val="22"/>
          <w:lang w:val="fr-FR"/>
        </w:rPr>
        <w:t>ait</w:t>
      </w:r>
      <w:r w:rsidRPr="00913CB7">
        <w:rPr>
          <w:rFonts w:ascii="Arial" w:hAnsi="Arial" w:cs="Arial"/>
          <w:bCs/>
          <w:sz w:val="22"/>
          <w:szCs w:val="22"/>
          <w:lang w:val="fr-FR"/>
        </w:rPr>
        <w:t xml:space="preserve"> un plan d</w:t>
      </w:r>
      <w:r w:rsidR="008E532B">
        <w:rPr>
          <w:rFonts w:ascii="Arial" w:hAnsi="Arial" w:cs="Arial"/>
          <w:bCs/>
          <w:sz w:val="22"/>
          <w:szCs w:val="22"/>
          <w:lang w:val="fr-FR"/>
        </w:rPr>
        <w:t>’</w:t>
      </w:r>
      <w:r w:rsidRPr="00913CB7">
        <w:rPr>
          <w:rFonts w:ascii="Arial" w:hAnsi="Arial" w:cs="Arial"/>
          <w:bCs/>
          <w:sz w:val="22"/>
          <w:szCs w:val="22"/>
          <w:lang w:val="fr-FR"/>
        </w:rPr>
        <w:t xml:space="preserve">action et une stratégie pour aider à redresser le déséquilibre géographique, et </w:t>
      </w:r>
      <w:r>
        <w:rPr>
          <w:rFonts w:ascii="Arial" w:hAnsi="Arial" w:cs="Arial"/>
          <w:bCs/>
          <w:sz w:val="22"/>
          <w:szCs w:val="22"/>
          <w:lang w:val="fr-FR"/>
        </w:rPr>
        <w:t>cela</w:t>
      </w:r>
      <w:r w:rsidRPr="00913CB7">
        <w:rPr>
          <w:rFonts w:ascii="Arial" w:hAnsi="Arial" w:cs="Arial"/>
          <w:bCs/>
          <w:sz w:val="22"/>
          <w:szCs w:val="22"/>
          <w:lang w:val="fr-FR"/>
        </w:rPr>
        <w:t xml:space="preserve"> pourrait également couvrir le sujet de l</w:t>
      </w:r>
      <w:r w:rsidR="008E532B">
        <w:rPr>
          <w:rFonts w:ascii="Arial" w:hAnsi="Arial" w:cs="Arial"/>
          <w:bCs/>
          <w:sz w:val="22"/>
          <w:szCs w:val="22"/>
          <w:lang w:val="fr-FR"/>
        </w:rPr>
        <w:t>’</w:t>
      </w:r>
      <w:r w:rsidRPr="00913CB7">
        <w:rPr>
          <w:rFonts w:ascii="Arial" w:hAnsi="Arial" w:cs="Arial"/>
          <w:bCs/>
          <w:sz w:val="22"/>
          <w:szCs w:val="22"/>
          <w:lang w:val="fr-FR"/>
        </w:rPr>
        <w:t>éligibilité. L</w:t>
      </w:r>
      <w:r w:rsidR="008E532B">
        <w:rPr>
          <w:rFonts w:ascii="Arial" w:hAnsi="Arial" w:cs="Arial"/>
          <w:bCs/>
          <w:sz w:val="22"/>
          <w:szCs w:val="22"/>
          <w:lang w:val="fr-FR"/>
        </w:rPr>
        <w:t>’</w:t>
      </w:r>
      <w:r>
        <w:rPr>
          <w:rFonts w:ascii="Arial" w:hAnsi="Arial" w:cs="Arial"/>
          <w:bCs/>
          <w:sz w:val="22"/>
          <w:szCs w:val="22"/>
          <w:lang w:val="fr-FR"/>
        </w:rPr>
        <w:t>O</w:t>
      </w:r>
      <w:r w:rsidRPr="00913CB7">
        <w:rPr>
          <w:rFonts w:ascii="Arial" w:hAnsi="Arial" w:cs="Arial"/>
          <w:bCs/>
          <w:sz w:val="22"/>
          <w:szCs w:val="22"/>
          <w:lang w:val="fr-FR"/>
        </w:rPr>
        <w:t>rgane d</w:t>
      </w:r>
      <w:r w:rsidR="008E532B">
        <w:rPr>
          <w:rFonts w:ascii="Arial" w:hAnsi="Arial" w:cs="Arial"/>
          <w:bCs/>
          <w:sz w:val="22"/>
          <w:szCs w:val="22"/>
          <w:lang w:val="fr-FR"/>
        </w:rPr>
        <w:t>’</w:t>
      </w:r>
      <w:r w:rsidRPr="00913CB7">
        <w:rPr>
          <w:rFonts w:ascii="Arial" w:hAnsi="Arial" w:cs="Arial"/>
          <w:bCs/>
          <w:sz w:val="22"/>
          <w:szCs w:val="22"/>
          <w:lang w:val="fr-FR"/>
        </w:rPr>
        <w:t xml:space="preserve">évaluation </w:t>
      </w:r>
      <w:r>
        <w:rPr>
          <w:rFonts w:ascii="Arial" w:hAnsi="Arial" w:cs="Arial"/>
          <w:bCs/>
          <w:sz w:val="22"/>
          <w:szCs w:val="22"/>
          <w:lang w:val="fr-FR"/>
        </w:rPr>
        <w:t xml:space="preserve">était </w:t>
      </w:r>
      <w:r w:rsidRPr="00913CB7">
        <w:rPr>
          <w:rFonts w:ascii="Arial" w:hAnsi="Arial" w:cs="Arial"/>
          <w:bCs/>
          <w:sz w:val="22"/>
          <w:szCs w:val="22"/>
          <w:lang w:val="fr-FR"/>
        </w:rPr>
        <w:t>composé de six experts délégués par les États parties et de six membres d</w:t>
      </w:r>
      <w:r w:rsidR="008E532B">
        <w:rPr>
          <w:rFonts w:ascii="Arial" w:hAnsi="Arial" w:cs="Arial"/>
          <w:bCs/>
          <w:sz w:val="22"/>
          <w:szCs w:val="22"/>
          <w:lang w:val="fr-FR"/>
        </w:rPr>
        <w:t>’</w:t>
      </w:r>
      <w:r w:rsidRPr="00913CB7">
        <w:rPr>
          <w:rFonts w:ascii="Arial" w:hAnsi="Arial" w:cs="Arial"/>
          <w:bCs/>
          <w:sz w:val="22"/>
          <w:szCs w:val="22"/>
          <w:lang w:val="fr-FR"/>
        </w:rPr>
        <w:t>ONG qui ne p</w:t>
      </w:r>
      <w:r>
        <w:rPr>
          <w:rFonts w:ascii="Arial" w:hAnsi="Arial" w:cs="Arial"/>
          <w:bCs/>
          <w:sz w:val="22"/>
          <w:szCs w:val="22"/>
          <w:lang w:val="fr-FR"/>
        </w:rPr>
        <w:t>ouvaient</w:t>
      </w:r>
      <w:r w:rsidRPr="00913CB7">
        <w:rPr>
          <w:rFonts w:ascii="Arial" w:hAnsi="Arial" w:cs="Arial"/>
          <w:bCs/>
          <w:sz w:val="22"/>
          <w:szCs w:val="22"/>
          <w:lang w:val="fr-FR"/>
        </w:rPr>
        <w:t xml:space="preserve"> </w:t>
      </w:r>
      <w:r>
        <w:rPr>
          <w:rFonts w:ascii="Arial" w:hAnsi="Arial" w:cs="Arial"/>
          <w:bCs/>
          <w:sz w:val="22"/>
          <w:szCs w:val="22"/>
          <w:lang w:val="fr-FR"/>
        </w:rPr>
        <w:t xml:space="preserve">pas </w:t>
      </w:r>
      <w:r w:rsidRPr="00913CB7">
        <w:rPr>
          <w:rFonts w:ascii="Arial" w:hAnsi="Arial" w:cs="Arial"/>
          <w:bCs/>
          <w:sz w:val="22"/>
          <w:szCs w:val="22"/>
          <w:lang w:val="fr-FR"/>
        </w:rPr>
        <w:t>et ne d</w:t>
      </w:r>
      <w:r>
        <w:rPr>
          <w:rFonts w:ascii="Arial" w:hAnsi="Arial" w:cs="Arial"/>
          <w:bCs/>
          <w:sz w:val="22"/>
          <w:szCs w:val="22"/>
          <w:lang w:val="fr-FR"/>
        </w:rPr>
        <w:t>evaient pas</w:t>
      </w:r>
      <w:r w:rsidRPr="00913CB7">
        <w:rPr>
          <w:rFonts w:ascii="Arial" w:hAnsi="Arial" w:cs="Arial"/>
          <w:bCs/>
          <w:sz w:val="22"/>
          <w:szCs w:val="22"/>
          <w:lang w:val="fr-FR"/>
        </w:rPr>
        <w:t xml:space="preserve"> être défini</w:t>
      </w:r>
      <w:r>
        <w:rPr>
          <w:rFonts w:ascii="Arial" w:hAnsi="Arial" w:cs="Arial"/>
          <w:bCs/>
          <w:sz w:val="22"/>
          <w:szCs w:val="22"/>
          <w:lang w:val="fr-FR"/>
        </w:rPr>
        <w:t>es</w:t>
      </w:r>
      <w:r w:rsidRPr="00913CB7">
        <w:rPr>
          <w:rFonts w:ascii="Arial" w:hAnsi="Arial" w:cs="Arial"/>
          <w:bCs/>
          <w:sz w:val="22"/>
          <w:szCs w:val="22"/>
          <w:lang w:val="fr-FR"/>
        </w:rPr>
        <w:t xml:space="preserve"> par leur siège </w:t>
      </w:r>
      <w:r>
        <w:rPr>
          <w:rFonts w:ascii="Arial" w:hAnsi="Arial" w:cs="Arial"/>
          <w:bCs/>
          <w:sz w:val="22"/>
          <w:szCs w:val="22"/>
          <w:lang w:val="fr-FR"/>
        </w:rPr>
        <w:t xml:space="preserve">social </w:t>
      </w:r>
      <w:r w:rsidRPr="00913CB7">
        <w:rPr>
          <w:rFonts w:ascii="Arial" w:hAnsi="Arial" w:cs="Arial"/>
          <w:bCs/>
          <w:sz w:val="22"/>
          <w:szCs w:val="22"/>
          <w:lang w:val="fr-FR"/>
        </w:rPr>
        <w:t>physique. C</w:t>
      </w:r>
      <w:r w:rsidR="008E532B">
        <w:rPr>
          <w:rFonts w:ascii="Arial" w:hAnsi="Arial" w:cs="Arial"/>
          <w:bCs/>
          <w:sz w:val="22"/>
          <w:szCs w:val="22"/>
          <w:lang w:val="fr-FR"/>
        </w:rPr>
        <w:t>’</w:t>
      </w:r>
      <w:r>
        <w:rPr>
          <w:rFonts w:ascii="Arial" w:hAnsi="Arial" w:cs="Arial"/>
          <w:bCs/>
          <w:sz w:val="22"/>
          <w:szCs w:val="22"/>
          <w:lang w:val="fr-FR"/>
        </w:rPr>
        <w:t>est</w:t>
      </w:r>
      <w:r w:rsidRPr="00913CB7">
        <w:rPr>
          <w:rFonts w:ascii="Arial" w:hAnsi="Arial" w:cs="Arial"/>
          <w:bCs/>
          <w:sz w:val="22"/>
          <w:szCs w:val="22"/>
          <w:lang w:val="fr-FR"/>
        </w:rPr>
        <w:t xml:space="preserve"> la raison pour laquelle la Lituanie ne p</w:t>
      </w:r>
      <w:r>
        <w:rPr>
          <w:rFonts w:ascii="Arial" w:hAnsi="Arial" w:cs="Arial"/>
          <w:bCs/>
          <w:sz w:val="22"/>
          <w:szCs w:val="22"/>
          <w:lang w:val="fr-FR"/>
        </w:rPr>
        <w:t xml:space="preserve">ouvait </w:t>
      </w:r>
      <w:r w:rsidRPr="00913CB7">
        <w:rPr>
          <w:rFonts w:ascii="Arial" w:hAnsi="Arial" w:cs="Arial"/>
          <w:bCs/>
          <w:sz w:val="22"/>
          <w:szCs w:val="22"/>
          <w:lang w:val="fr-FR"/>
        </w:rPr>
        <w:t>pas être d</w:t>
      </w:r>
      <w:r w:rsidR="008E532B">
        <w:rPr>
          <w:rFonts w:ascii="Arial" w:hAnsi="Arial" w:cs="Arial"/>
          <w:bCs/>
          <w:sz w:val="22"/>
          <w:szCs w:val="22"/>
          <w:lang w:val="fr-FR"/>
        </w:rPr>
        <w:t>’</w:t>
      </w:r>
      <w:r w:rsidRPr="00913CB7">
        <w:rPr>
          <w:rFonts w:ascii="Arial" w:hAnsi="Arial" w:cs="Arial"/>
          <w:bCs/>
          <w:sz w:val="22"/>
          <w:szCs w:val="22"/>
          <w:lang w:val="fr-FR"/>
        </w:rPr>
        <w:t>accord avec ce paragraphe.</w:t>
      </w:r>
    </w:p>
    <w:p w14:paraId="70F3B04E" w14:textId="394F691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4451C">
        <w:rPr>
          <w:rFonts w:ascii="Arial" w:hAnsi="Arial" w:cs="Arial"/>
          <w:bCs/>
          <w:sz w:val="22"/>
          <w:szCs w:val="22"/>
          <w:lang w:val="fr-FR"/>
        </w:rPr>
        <w:t xml:space="preserve">La délégation du </w:t>
      </w:r>
      <w:r w:rsidRPr="00D4451C">
        <w:rPr>
          <w:rFonts w:ascii="Arial" w:hAnsi="Arial" w:cs="Arial"/>
          <w:b/>
          <w:sz w:val="22"/>
          <w:szCs w:val="22"/>
          <w:lang w:val="fr-FR"/>
        </w:rPr>
        <w:t>Panama</w:t>
      </w:r>
      <w:r w:rsidRPr="00D4451C">
        <w:rPr>
          <w:rFonts w:ascii="Arial" w:hAnsi="Arial" w:cs="Arial"/>
          <w:bCs/>
          <w:sz w:val="22"/>
          <w:szCs w:val="22"/>
          <w:lang w:val="fr-FR"/>
        </w:rPr>
        <w:t xml:space="preserve"> a noté que vingt-cinq États parties avaient demandé la parole, ce qui signifiait au moins cinquante minutes de discussion supplémentaires</w:t>
      </w:r>
      <w:r>
        <w:rPr>
          <w:rFonts w:ascii="Arial" w:hAnsi="Arial" w:cs="Arial"/>
          <w:bCs/>
          <w:sz w:val="22"/>
          <w:szCs w:val="22"/>
          <w:lang w:val="fr-FR"/>
        </w:rPr>
        <w:t xml:space="preserve">. Elle a </w:t>
      </w:r>
      <w:r w:rsidRPr="00D4451C">
        <w:rPr>
          <w:rFonts w:ascii="Arial" w:hAnsi="Arial" w:cs="Arial"/>
          <w:bCs/>
          <w:sz w:val="22"/>
          <w:szCs w:val="22"/>
          <w:lang w:val="fr-FR"/>
        </w:rPr>
        <w:t>ajout</w:t>
      </w:r>
      <w:r>
        <w:rPr>
          <w:rFonts w:ascii="Arial" w:hAnsi="Arial" w:cs="Arial"/>
          <w:bCs/>
          <w:sz w:val="22"/>
          <w:szCs w:val="22"/>
          <w:lang w:val="fr-FR"/>
        </w:rPr>
        <w:t>é</w:t>
      </w:r>
      <w:r w:rsidRPr="00D4451C">
        <w:rPr>
          <w:rFonts w:ascii="Arial" w:hAnsi="Arial" w:cs="Arial"/>
          <w:bCs/>
          <w:sz w:val="22"/>
          <w:szCs w:val="22"/>
          <w:lang w:val="fr-FR"/>
        </w:rPr>
        <w:t xml:space="preserve"> qu</w:t>
      </w:r>
      <w:r w:rsidR="008E532B">
        <w:rPr>
          <w:rFonts w:ascii="Arial" w:hAnsi="Arial" w:cs="Arial"/>
          <w:bCs/>
          <w:sz w:val="22"/>
          <w:szCs w:val="22"/>
          <w:lang w:val="fr-FR"/>
        </w:rPr>
        <w:t>’</w:t>
      </w:r>
      <w:r w:rsidRPr="00D4451C">
        <w:rPr>
          <w:rFonts w:ascii="Arial" w:hAnsi="Arial" w:cs="Arial"/>
          <w:bCs/>
          <w:sz w:val="22"/>
          <w:szCs w:val="22"/>
          <w:lang w:val="fr-FR"/>
        </w:rPr>
        <w:t>avec autant d</w:t>
      </w:r>
      <w:r w:rsidR="008E532B">
        <w:rPr>
          <w:rFonts w:ascii="Arial" w:hAnsi="Arial" w:cs="Arial"/>
          <w:bCs/>
          <w:sz w:val="22"/>
          <w:szCs w:val="22"/>
          <w:lang w:val="fr-FR"/>
        </w:rPr>
        <w:t>’</w:t>
      </w:r>
      <w:r w:rsidRPr="00D4451C">
        <w:rPr>
          <w:rFonts w:ascii="Arial" w:hAnsi="Arial" w:cs="Arial"/>
          <w:bCs/>
          <w:sz w:val="22"/>
          <w:szCs w:val="22"/>
          <w:lang w:val="fr-FR"/>
        </w:rPr>
        <w:t>arguments, il était peu probable que l</w:t>
      </w:r>
      <w:r w:rsidR="008E532B">
        <w:rPr>
          <w:rFonts w:ascii="Arial" w:hAnsi="Arial" w:cs="Arial"/>
          <w:bCs/>
          <w:sz w:val="22"/>
          <w:szCs w:val="22"/>
          <w:lang w:val="fr-FR"/>
        </w:rPr>
        <w:t>’</w:t>
      </w:r>
      <w:r w:rsidRPr="00D4451C">
        <w:rPr>
          <w:rFonts w:ascii="Arial" w:hAnsi="Arial" w:cs="Arial"/>
          <w:bCs/>
          <w:sz w:val="22"/>
          <w:szCs w:val="22"/>
          <w:lang w:val="fr-FR"/>
        </w:rPr>
        <w:t>Assemblée parvienne à un accord au cours de la s</w:t>
      </w:r>
      <w:r>
        <w:rPr>
          <w:rFonts w:ascii="Arial" w:hAnsi="Arial" w:cs="Arial"/>
          <w:bCs/>
          <w:sz w:val="22"/>
          <w:szCs w:val="22"/>
          <w:lang w:val="fr-FR"/>
        </w:rPr>
        <w:t>éance</w:t>
      </w:r>
      <w:r w:rsidRPr="00D4451C">
        <w:rPr>
          <w:rFonts w:ascii="Arial" w:hAnsi="Arial" w:cs="Arial"/>
          <w:bCs/>
          <w:sz w:val="22"/>
          <w:szCs w:val="22"/>
          <w:lang w:val="fr-FR"/>
        </w:rPr>
        <w:t xml:space="preserve"> de l</w:t>
      </w:r>
      <w:r w:rsidR="008E532B">
        <w:rPr>
          <w:rFonts w:ascii="Arial" w:hAnsi="Arial" w:cs="Arial"/>
          <w:bCs/>
          <w:sz w:val="22"/>
          <w:szCs w:val="22"/>
          <w:lang w:val="fr-FR"/>
        </w:rPr>
        <w:t>’</w:t>
      </w:r>
      <w:r w:rsidRPr="00D4451C">
        <w:rPr>
          <w:rFonts w:ascii="Arial" w:hAnsi="Arial" w:cs="Arial"/>
          <w:bCs/>
          <w:sz w:val="22"/>
          <w:szCs w:val="22"/>
          <w:lang w:val="fr-FR"/>
        </w:rPr>
        <w:t>après-midi, d</w:t>
      </w:r>
      <w:r w:rsidR="008E532B">
        <w:rPr>
          <w:rFonts w:ascii="Arial" w:hAnsi="Arial" w:cs="Arial"/>
          <w:bCs/>
          <w:sz w:val="22"/>
          <w:szCs w:val="22"/>
          <w:lang w:val="fr-FR"/>
        </w:rPr>
        <w:t>’</w:t>
      </w:r>
      <w:r w:rsidRPr="00D4451C">
        <w:rPr>
          <w:rFonts w:ascii="Arial" w:hAnsi="Arial" w:cs="Arial"/>
          <w:bCs/>
          <w:sz w:val="22"/>
          <w:szCs w:val="22"/>
          <w:lang w:val="fr-FR"/>
        </w:rPr>
        <w:t xml:space="preserve">autant plus que de nombreux États </w:t>
      </w:r>
      <w:r>
        <w:rPr>
          <w:rFonts w:ascii="Arial" w:hAnsi="Arial" w:cs="Arial"/>
          <w:bCs/>
          <w:sz w:val="22"/>
          <w:szCs w:val="22"/>
          <w:lang w:val="fr-FR"/>
        </w:rPr>
        <w:t xml:space="preserve">estimaient </w:t>
      </w:r>
      <w:r w:rsidRPr="00D4451C">
        <w:rPr>
          <w:rFonts w:ascii="Arial" w:hAnsi="Arial" w:cs="Arial"/>
          <w:bCs/>
          <w:sz w:val="22"/>
          <w:szCs w:val="22"/>
          <w:lang w:val="fr-FR"/>
        </w:rPr>
        <w:t xml:space="preserve">que la proposition de la Palestine </w:t>
      </w:r>
      <w:r>
        <w:rPr>
          <w:rFonts w:ascii="Arial" w:hAnsi="Arial" w:cs="Arial"/>
          <w:bCs/>
          <w:sz w:val="22"/>
          <w:szCs w:val="22"/>
          <w:lang w:val="fr-FR"/>
        </w:rPr>
        <w:t>était digne d</w:t>
      </w:r>
      <w:r w:rsidR="008E532B">
        <w:rPr>
          <w:rFonts w:ascii="Arial" w:hAnsi="Arial" w:cs="Arial"/>
          <w:bCs/>
          <w:sz w:val="22"/>
          <w:szCs w:val="22"/>
          <w:lang w:val="fr-FR"/>
        </w:rPr>
        <w:t>’</w:t>
      </w:r>
      <w:r>
        <w:rPr>
          <w:rFonts w:ascii="Arial" w:hAnsi="Arial" w:cs="Arial"/>
          <w:bCs/>
          <w:sz w:val="22"/>
          <w:szCs w:val="22"/>
          <w:lang w:val="fr-FR"/>
        </w:rPr>
        <w:t>intérêt</w:t>
      </w:r>
      <w:r w:rsidRPr="00D4451C">
        <w:rPr>
          <w:rFonts w:ascii="Arial" w:hAnsi="Arial" w:cs="Arial"/>
          <w:bCs/>
          <w:sz w:val="22"/>
          <w:szCs w:val="22"/>
          <w:lang w:val="fr-FR"/>
        </w:rPr>
        <w:t xml:space="preserve">. Il était donc nécessaire de consulter le Secrétariat afin de mieux comprendre les aspects juridiques de cette proposition. La délégation a donc proposé de suspendre cette discussion sur la proposition de la Palestine et de créer un groupe de travail à composition non limitée qui ferait rapport à la prochaine Assemblée sur les aspects positifs et négatifs de cette proposition. La délégation </w:t>
      </w:r>
      <w:r>
        <w:rPr>
          <w:rFonts w:ascii="Arial" w:hAnsi="Arial" w:cs="Arial"/>
          <w:bCs/>
          <w:sz w:val="22"/>
          <w:szCs w:val="22"/>
          <w:lang w:val="fr-FR"/>
        </w:rPr>
        <w:t>pensait</w:t>
      </w:r>
      <w:r w:rsidRPr="00D4451C">
        <w:rPr>
          <w:rFonts w:ascii="Arial" w:hAnsi="Arial" w:cs="Arial"/>
          <w:bCs/>
          <w:sz w:val="22"/>
          <w:szCs w:val="22"/>
          <w:lang w:val="fr-FR"/>
        </w:rPr>
        <w:t xml:space="preserve"> que la discussion était très importante car certaines régions n</w:t>
      </w:r>
      <w:r w:rsidR="008E532B">
        <w:rPr>
          <w:rFonts w:ascii="Arial" w:hAnsi="Arial" w:cs="Arial"/>
          <w:bCs/>
          <w:sz w:val="22"/>
          <w:szCs w:val="22"/>
          <w:lang w:val="fr-FR"/>
        </w:rPr>
        <w:t>’</w:t>
      </w:r>
      <w:r>
        <w:rPr>
          <w:rFonts w:ascii="Arial" w:hAnsi="Arial" w:cs="Arial"/>
          <w:bCs/>
          <w:sz w:val="22"/>
          <w:szCs w:val="22"/>
          <w:lang w:val="fr-FR"/>
        </w:rPr>
        <w:t>étaient</w:t>
      </w:r>
      <w:r w:rsidRPr="00D4451C">
        <w:rPr>
          <w:rFonts w:ascii="Arial" w:hAnsi="Arial" w:cs="Arial"/>
          <w:bCs/>
          <w:sz w:val="22"/>
          <w:szCs w:val="22"/>
          <w:lang w:val="fr-FR"/>
        </w:rPr>
        <w:t xml:space="preserve"> pas aussi bien représentées que d</w:t>
      </w:r>
      <w:r w:rsidR="008E532B">
        <w:rPr>
          <w:rFonts w:ascii="Arial" w:hAnsi="Arial" w:cs="Arial"/>
          <w:bCs/>
          <w:sz w:val="22"/>
          <w:szCs w:val="22"/>
          <w:lang w:val="fr-FR"/>
        </w:rPr>
        <w:t>’</w:t>
      </w:r>
      <w:r w:rsidRPr="00D4451C">
        <w:rPr>
          <w:rFonts w:ascii="Arial" w:hAnsi="Arial" w:cs="Arial"/>
          <w:bCs/>
          <w:sz w:val="22"/>
          <w:szCs w:val="22"/>
          <w:lang w:val="fr-FR"/>
        </w:rPr>
        <w:t xml:space="preserve">autres au sein du Forum des ONG. Des États </w:t>
      </w:r>
      <w:r>
        <w:rPr>
          <w:rFonts w:ascii="Arial" w:hAnsi="Arial" w:cs="Arial"/>
          <w:bCs/>
          <w:sz w:val="22"/>
          <w:szCs w:val="22"/>
          <w:lang w:val="fr-FR"/>
        </w:rPr>
        <w:t xml:space="preserve">voyaient </w:t>
      </w:r>
      <w:r w:rsidRPr="00D4451C">
        <w:rPr>
          <w:rFonts w:ascii="Arial" w:hAnsi="Arial" w:cs="Arial"/>
          <w:bCs/>
          <w:sz w:val="22"/>
          <w:szCs w:val="22"/>
          <w:lang w:val="fr-FR"/>
        </w:rPr>
        <w:t>des ONG affiliées à des États non parties qui circul</w:t>
      </w:r>
      <w:r>
        <w:rPr>
          <w:rFonts w:ascii="Arial" w:hAnsi="Arial" w:cs="Arial"/>
          <w:bCs/>
          <w:sz w:val="22"/>
          <w:szCs w:val="22"/>
          <w:lang w:val="fr-FR"/>
        </w:rPr>
        <w:t>aient</w:t>
      </w:r>
      <w:r w:rsidRPr="00D4451C">
        <w:rPr>
          <w:rFonts w:ascii="Arial" w:hAnsi="Arial" w:cs="Arial"/>
          <w:bCs/>
          <w:sz w:val="22"/>
          <w:szCs w:val="22"/>
          <w:lang w:val="fr-FR"/>
        </w:rPr>
        <w:t xml:space="preserve"> librement dans leur pays parce qu</w:t>
      </w:r>
      <w:r w:rsidR="008E532B">
        <w:rPr>
          <w:rFonts w:ascii="Arial" w:hAnsi="Arial" w:cs="Arial"/>
          <w:bCs/>
          <w:sz w:val="22"/>
          <w:szCs w:val="22"/>
          <w:lang w:val="fr-FR"/>
        </w:rPr>
        <w:t>’</w:t>
      </w:r>
      <w:r w:rsidRPr="00D4451C">
        <w:rPr>
          <w:rFonts w:ascii="Arial" w:hAnsi="Arial" w:cs="Arial"/>
          <w:bCs/>
          <w:sz w:val="22"/>
          <w:szCs w:val="22"/>
          <w:lang w:val="fr-FR"/>
        </w:rPr>
        <w:t xml:space="preserve">elles </w:t>
      </w:r>
      <w:r>
        <w:rPr>
          <w:rFonts w:ascii="Arial" w:hAnsi="Arial" w:cs="Arial"/>
          <w:bCs/>
          <w:sz w:val="22"/>
          <w:szCs w:val="22"/>
          <w:lang w:val="fr-FR"/>
        </w:rPr>
        <w:t>avaient</w:t>
      </w:r>
      <w:r w:rsidRPr="00D4451C">
        <w:rPr>
          <w:rFonts w:ascii="Arial" w:hAnsi="Arial" w:cs="Arial"/>
          <w:bCs/>
          <w:sz w:val="22"/>
          <w:szCs w:val="22"/>
          <w:lang w:val="fr-FR"/>
        </w:rPr>
        <w:t xml:space="preserve"> été accréditées par l</w:t>
      </w:r>
      <w:r w:rsidR="008E532B">
        <w:rPr>
          <w:rFonts w:ascii="Arial" w:hAnsi="Arial" w:cs="Arial"/>
          <w:bCs/>
          <w:sz w:val="22"/>
          <w:szCs w:val="22"/>
          <w:lang w:val="fr-FR"/>
        </w:rPr>
        <w:t>’</w:t>
      </w:r>
      <w:r w:rsidRPr="00D4451C">
        <w:rPr>
          <w:rFonts w:ascii="Arial" w:hAnsi="Arial" w:cs="Arial"/>
          <w:bCs/>
          <w:sz w:val="22"/>
          <w:szCs w:val="22"/>
          <w:lang w:val="fr-FR"/>
        </w:rPr>
        <w:t>Assemblée. Cependant, ces États n</w:t>
      </w:r>
      <w:r w:rsidR="008E532B">
        <w:rPr>
          <w:rFonts w:ascii="Arial" w:hAnsi="Arial" w:cs="Arial"/>
          <w:bCs/>
          <w:sz w:val="22"/>
          <w:szCs w:val="22"/>
          <w:lang w:val="fr-FR"/>
        </w:rPr>
        <w:t>’</w:t>
      </w:r>
      <w:r>
        <w:rPr>
          <w:rFonts w:ascii="Arial" w:hAnsi="Arial" w:cs="Arial"/>
          <w:bCs/>
          <w:sz w:val="22"/>
          <w:szCs w:val="22"/>
          <w:lang w:val="fr-FR"/>
        </w:rPr>
        <w:t>avaient</w:t>
      </w:r>
      <w:r w:rsidRPr="00D4451C">
        <w:rPr>
          <w:rFonts w:ascii="Arial" w:hAnsi="Arial" w:cs="Arial"/>
          <w:bCs/>
          <w:sz w:val="22"/>
          <w:szCs w:val="22"/>
          <w:lang w:val="fr-FR"/>
        </w:rPr>
        <w:t xml:space="preserve"> pas besoin </w:t>
      </w:r>
      <w:r>
        <w:rPr>
          <w:rFonts w:ascii="Arial" w:hAnsi="Arial" w:cs="Arial"/>
          <w:bCs/>
          <w:sz w:val="22"/>
          <w:szCs w:val="22"/>
          <w:lang w:val="fr-FR"/>
        </w:rPr>
        <w:t xml:space="preserve">de ces ONG </w:t>
      </w:r>
      <w:r w:rsidRPr="00D4451C">
        <w:rPr>
          <w:rFonts w:ascii="Arial" w:hAnsi="Arial" w:cs="Arial"/>
          <w:bCs/>
          <w:sz w:val="22"/>
          <w:szCs w:val="22"/>
          <w:lang w:val="fr-FR"/>
        </w:rPr>
        <w:t>car elles ne pro</w:t>
      </w:r>
      <w:r>
        <w:rPr>
          <w:rFonts w:ascii="Arial" w:hAnsi="Arial" w:cs="Arial"/>
          <w:bCs/>
          <w:sz w:val="22"/>
          <w:szCs w:val="22"/>
          <w:lang w:val="fr-FR"/>
        </w:rPr>
        <w:t>venaient</w:t>
      </w:r>
      <w:r w:rsidRPr="00D4451C">
        <w:rPr>
          <w:rFonts w:ascii="Arial" w:hAnsi="Arial" w:cs="Arial"/>
          <w:bCs/>
          <w:sz w:val="22"/>
          <w:szCs w:val="22"/>
          <w:lang w:val="fr-FR"/>
        </w:rPr>
        <w:t xml:space="preserve"> pas d</w:t>
      </w:r>
      <w:r w:rsidR="008E532B">
        <w:rPr>
          <w:rFonts w:ascii="Arial" w:hAnsi="Arial" w:cs="Arial"/>
          <w:bCs/>
          <w:sz w:val="22"/>
          <w:szCs w:val="22"/>
          <w:lang w:val="fr-FR"/>
        </w:rPr>
        <w:t>’</w:t>
      </w:r>
      <w:r w:rsidRPr="00D4451C">
        <w:rPr>
          <w:rFonts w:ascii="Arial" w:hAnsi="Arial" w:cs="Arial"/>
          <w:bCs/>
          <w:sz w:val="22"/>
          <w:szCs w:val="22"/>
          <w:lang w:val="fr-FR"/>
        </w:rPr>
        <w:t xml:space="preserve">États </w:t>
      </w:r>
      <w:r>
        <w:rPr>
          <w:rFonts w:ascii="Arial" w:hAnsi="Arial" w:cs="Arial"/>
          <w:bCs/>
          <w:sz w:val="22"/>
          <w:szCs w:val="22"/>
          <w:lang w:val="fr-FR"/>
        </w:rPr>
        <w:t>m</w:t>
      </w:r>
      <w:r w:rsidRPr="00D4451C">
        <w:rPr>
          <w:rFonts w:ascii="Arial" w:hAnsi="Arial" w:cs="Arial"/>
          <w:bCs/>
          <w:sz w:val="22"/>
          <w:szCs w:val="22"/>
          <w:lang w:val="fr-FR"/>
        </w:rPr>
        <w:t xml:space="preserve">embres. </w:t>
      </w:r>
      <w:r>
        <w:rPr>
          <w:rFonts w:ascii="Arial" w:hAnsi="Arial" w:cs="Arial"/>
          <w:bCs/>
          <w:sz w:val="22"/>
          <w:szCs w:val="22"/>
          <w:lang w:val="fr-FR"/>
        </w:rPr>
        <w:t>L</w:t>
      </w:r>
      <w:r w:rsidRPr="00D4451C">
        <w:rPr>
          <w:rFonts w:ascii="Arial" w:hAnsi="Arial" w:cs="Arial"/>
          <w:bCs/>
          <w:sz w:val="22"/>
          <w:szCs w:val="22"/>
          <w:lang w:val="fr-FR"/>
        </w:rPr>
        <w:t xml:space="preserve">a délégation </w:t>
      </w:r>
      <w:r>
        <w:rPr>
          <w:rFonts w:ascii="Arial" w:hAnsi="Arial" w:cs="Arial"/>
          <w:bCs/>
          <w:sz w:val="22"/>
          <w:szCs w:val="22"/>
          <w:lang w:val="fr-FR"/>
        </w:rPr>
        <w:t>avait toutefois</w:t>
      </w:r>
      <w:r w:rsidRPr="00D4451C">
        <w:rPr>
          <w:rFonts w:ascii="Arial" w:hAnsi="Arial" w:cs="Arial"/>
          <w:bCs/>
          <w:sz w:val="22"/>
          <w:szCs w:val="22"/>
          <w:lang w:val="fr-FR"/>
        </w:rPr>
        <w:t xml:space="preserve"> </w:t>
      </w:r>
      <w:r>
        <w:rPr>
          <w:rFonts w:ascii="Arial" w:hAnsi="Arial" w:cs="Arial"/>
          <w:bCs/>
          <w:sz w:val="22"/>
          <w:szCs w:val="22"/>
          <w:lang w:val="fr-FR"/>
        </w:rPr>
        <w:t xml:space="preserve">compris </w:t>
      </w:r>
      <w:r w:rsidRPr="00D4451C">
        <w:rPr>
          <w:rFonts w:ascii="Arial" w:hAnsi="Arial" w:cs="Arial"/>
          <w:bCs/>
          <w:sz w:val="22"/>
          <w:szCs w:val="22"/>
          <w:lang w:val="fr-FR"/>
        </w:rPr>
        <w:t>pourquoi certains États parties estim</w:t>
      </w:r>
      <w:r>
        <w:rPr>
          <w:rFonts w:ascii="Arial" w:hAnsi="Arial" w:cs="Arial"/>
          <w:bCs/>
          <w:sz w:val="22"/>
          <w:szCs w:val="22"/>
          <w:lang w:val="fr-FR"/>
        </w:rPr>
        <w:t>ai</w:t>
      </w:r>
      <w:r w:rsidRPr="00D4451C">
        <w:rPr>
          <w:rFonts w:ascii="Arial" w:hAnsi="Arial" w:cs="Arial"/>
          <w:bCs/>
          <w:sz w:val="22"/>
          <w:szCs w:val="22"/>
          <w:lang w:val="fr-FR"/>
        </w:rPr>
        <w:t>ent que ce type de mesure pourrait également limiter la libre circulation des ONG, ce que personne ne souhait</w:t>
      </w:r>
      <w:r>
        <w:rPr>
          <w:rFonts w:ascii="Arial" w:hAnsi="Arial" w:cs="Arial"/>
          <w:bCs/>
          <w:sz w:val="22"/>
          <w:szCs w:val="22"/>
          <w:lang w:val="fr-FR"/>
        </w:rPr>
        <w:t>ait</w:t>
      </w:r>
      <w:r w:rsidRPr="00D4451C">
        <w:rPr>
          <w:rFonts w:ascii="Arial" w:hAnsi="Arial" w:cs="Arial"/>
          <w:bCs/>
          <w:sz w:val="22"/>
          <w:szCs w:val="22"/>
          <w:lang w:val="fr-FR"/>
        </w:rPr>
        <w:t>. L</w:t>
      </w:r>
      <w:r w:rsidR="008E532B">
        <w:rPr>
          <w:rFonts w:ascii="Arial" w:hAnsi="Arial" w:cs="Arial"/>
          <w:bCs/>
          <w:sz w:val="22"/>
          <w:szCs w:val="22"/>
          <w:lang w:val="fr-FR"/>
        </w:rPr>
        <w:t>’</w:t>
      </w:r>
      <w:r w:rsidRPr="00D4451C">
        <w:rPr>
          <w:rFonts w:ascii="Arial" w:hAnsi="Arial" w:cs="Arial"/>
          <w:bCs/>
          <w:sz w:val="22"/>
          <w:szCs w:val="22"/>
          <w:lang w:val="fr-FR"/>
        </w:rPr>
        <w:t>Assemblée appréci</w:t>
      </w:r>
      <w:r>
        <w:rPr>
          <w:rFonts w:ascii="Arial" w:hAnsi="Arial" w:cs="Arial"/>
          <w:bCs/>
          <w:sz w:val="22"/>
          <w:szCs w:val="22"/>
          <w:lang w:val="fr-FR"/>
        </w:rPr>
        <w:t>ait</w:t>
      </w:r>
      <w:r w:rsidRPr="00D4451C">
        <w:rPr>
          <w:rFonts w:ascii="Arial" w:hAnsi="Arial" w:cs="Arial"/>
          <w:bCs/>
          <w:sz w:val="22"/>
          <w:szCs w:val="22"/>
          <w:lang w:val="fr-FR"/>
        </w:rPr>
        <w:t xml:space="preserve"> et sout</w:t>
      </w:r>
      <w:r>
        <w:rPr>
          <w:rFonts w:ascii="Arial" w:hAnsi="Arial" w:cs="Arial"/>
          <w:bCs/>
          <w:sz w:val="22"/>
          <w:szCs w:val="22"/>
          <w:lang w:val="fr-FR"/>
        </w:rPr>
        <w:t>enait</w:t>
      </w:r>
      <w:r w:rsidRPr="00D4451C">
        <w:rPr>
          <w:rFonts w:ascii="Arial" w:hAnsi="Arial" w:cs="Arial"/>
          <w:bCs/>
          <w:sz w:val="22"/>
          <w:szCs w:val="22"/>
          <w:lang w:val="fr-FR"/>
        </w:rPr>
        <w:t xml:space="preserve"> la collaboration avec les ONG. Étant donné l</w:t>
      </w:r>
      <w:r w:rsidR="008E532B">
        <w:rPr>
          <w:rFonts w:ascii="Arial" w:hAnsi="Arial" w:cs="Arial"/>
          <w:bCs/>
          <w:sz w:val="22"/>
          <w:szCs w:val="22"/>
          <w:lang w:val="fr-FR"/>
        </w:rPr>
        <w:t>’</w:t>
      </w:r>
      <w:r w:rsidRPr="00D4451C">
        <w:rPr>
          <w:rFonts w:ascii="Arial" w:hAnsi="Arial" w:cs="Arial"/>
          <w:bCs/>
          <w:sz w:val="22"/>
          <w:szCs w:val="22"/>
          <w:lang w:val="fr-FR"/>
        </w:rPr>
        <w:t xml:space="preserve">importance de cette question, la délégation a demandé de mettre cette proposition de côté et </w:t>
      </w:r>
      <w:r>
        <w:rPr>
          <w:rFonts w:ascii="Arial" w:hAnsi="Arial" w:cs="Arial"/>
          <w:bCs/>
          <w:sz w:val="22"/>
          <w:szCs w:val="22"/>
          <w:lang w:val="fr-FR"/>
        </w:rPr>
        <w:t>d</w:t>
      </w:r>
      <w:r w:rsidR="008E532B">
        <w:rPr>
          <w:rFonts w:ascii="Arial" w:hAnsi="Arial" w:cs="Arial"/>
          <w:bCs/>
          <w:sz w:val="22"/>
          <w:szCs w:val="22"/>
          <w:lang w:val="fr-FR"/>
        </w:rPr>
        <w:t>’</w:t>
      </w:r>
      <w:r>
        <w:rPr>
          <w:rFonts w:ascii="Arial" w:hAnsi="Arial" w:cs="Arial"/>
          <w:bCs/>
          <w:sz w:val="22"/>
          <w:szCs w:val="22"/>
          <w:lang w:val="fr-FR"/>
        </w:rPr>
        <w:t xml:space="preserve">avancer dans </w:t>
      </w:r>
      <w:r w:rsidRPr="00D4451C">
        <w:rPr>
          <w:rFonts w:ascii="Arial" w:hAnsi="Arial" w:cs="Arial"/>
          <w:bCs/>
          <w:sz w:val="22"/>
          <w:szCs w:val="22"/>
          <w:lang w:val="fr-FR"/>
        </w:rPr>
        <w:t>la résolution</w:t>
      </w:r>
      <w:r>
        <w:rPr>
          <w:rFonts w:ascii="Arial" w:hAnsi="Arial" w:cs="Arial"/>
          <w:bCs/>
          <w:sz w:val="22"/>
          <w:szCs w:val="22"/>
          <w:lang w:val="fr-FR"/>
        </w:rPr>
        <w:t xml:space="preserve"> avec </w:t>
      </w:r>
      <w:r w:rsidRPr="00D4451C">
        <w:rPr>
          <w:rFonts w:ascii="Arial" w:hAnsi="Arial" w:cs="Arial"/>
          <w:bCs/>
          <w:sz w:val="22"/>
          <w:szCs w:val="22"/>
          <w:lang w:val="fr-FR"/>
        </w:rPr>
        <w:t>l</w:t>
      </w:r>
      <w:r w:rsidR="008E532B">
        <w:rPr>
          <w:rFonts w:ascii="Arial" w:hAnsi="Arial" w:cs="Arial"/>
          <w:bCs/>
          <w:sz w:val="22"/>
          <w:szCs w:val="22"/>
          <w:lang w:val="fr-FR"/>
        </w:rPr>
        <w:t>’</w:t>
      </w:r>
      <w:r w:rsidRPr="00D4451C">
        <w:rPr>
          <w:rFonts w:ascii="Arial" w:hAnsi="Arial" w:cs="Arial"/>
          <w:bCs/>
          <w:sz w:val="22"/>
          <w:szCs w:val="22"/>
          <w:lang w:val="fr-FR"/>
        </w:rPr>
        <w:t>accréditation des trente-deux ONG</w:t>
      </w:r>
      <w:r>
        <w:rPr>
          <w:rFonts w:ascii="Arial" w:hAnsi="Arial" w:cs="Arial"/>
          <w:bCs/>
          <w:sz w:val="22"/>
          <w:szCs w:val="22"/>
          <w:lang w:val="fr-FR"/>
        </w:rPr>
        <w:t xml:space="preserve"> </w:t>
      </w:r>
      <w:r w:rsidRPr="00D4451C">
        <w:rPr>
          <w:rFonts w:ascii="Arial" w:hAnsi="Arial" w:cs="Arial"/>
          <w:bCs/>
          <w:sz w:val="22"/>
          <w:szCs w:val="22"/>
          <w:lang w:val="fr-FR"/>
        </w:rPr>
        <w:t>approuvées par le Comité</w:t>
      </w:r>
      <w:r>
        <w:rPr>
          <w:rFonts w:ascii="Arial" w:hAnsi="Arial" w:cs="Arial"/>
          <w:bCs/>
          <w:sz w:val="22"/>
          <w:szCs w:val="22"/>
          <w:lang w:val="fr-FR"/>
        </w:rPr>
        <w:t xml:space="preserve"> qui </w:t>
      </w:r>
      <w:r w:rsidRPr="00D4451C">
        <w:rPr>
          <w:rFonts w:ascii="Arial" w:hAnsi="Arial" w:cs="Arial"/>
          <w:bCs/>
          <w:sz w:val="22"/>
          <w:szCs w:val="22"/>
          <w:lang w:val="fr-FR"/>
        </w:rPr>
        <w:t>attend</w:t>
      </w:r>
      <w:r>
        <w:rPr>
          <w:rFonts w:ascii="Arial" w:hAnsi="Arial" w:cs="Arial"/>
          <w:bCs/>
          <w:sz w:val="22"/>
          <w:szCs w:val="22"/>
          <w:lang w:val="fr-FR"/>
        </w:rPr>
        <w:t>ai</w:t>
      </w:r>
      <w:r w:rsidRPr="00D4451C">
        <w:rPr>
          <w:rFonts w:ascii="Arial" w:hAnsi="Arial" w:cs="Arial"/>
          <w:bCs/>
          <w:sz w:val="22"/>
          <w:szCs w:val="22"/>
          <w:lang w:val="fr-FR"/>
        </w:rPr>
        <w:t>ent l</w:t>
      </w:r>
      <w:r w:rsidR="008E532B">
        <w:rPr>
          <w:rFonts w:ascii="Arial" w:hAnsi="Arial" w:cs="Arial"/>
          <w:bCs/>
          <w:sz w:val="22"/>
          <w:szCs w:val="22"/>
          <w:lang w:val="fr-FR"/>
        </w:rPr>
        <w:t>’</w:t>
      </w:r>
      <w:r w:rsidRPr="00D4451C">
        <w:rPr>
          <w:rFonts w:ascii="Arial" w:hAnsi="Arial" w:cs="Arial"/>
          <w:bCs/>
          <w:sz w:val="22"/>
          <w:szCs w:val="22"/>
          <w:lang w:val="fr-FR"/>
        </w:rPr>
        <w:t>approbation de l</w:t>
      </w:r>
      <w:r w:rsidR="008E532B">
        <w:rPr>
          <w:rFonts w:ascii="Arial" w:hAnsi="Arial" w:cs="Arial"/>
          <w:bCs/>
          <w:sz w:val="22"/>
          <w:szCs w:val="22"/>
          <w:lang w:val="fr-FR"/>
        </w:rPr>
        <w:t>’</w:t>
      </w:r>
      <w:r w:rsidRPr="00D4451C">
        <w:rPr>
          <w:rFonts w:ascii="Arial" w:hAnsi="Arial" w:cs="Arial"/>
          <w:bCs/>
          <w:sz w:val="22"/>
          <w:szCs w:val="22"/>
          <w:lang w:val="fr-FR"/>
        </w:rPr>
        <w:t>Assemblée.</w:t>
      </w:r>
    </w:p>
    <w:p w14:paraId="4FBF8171" w14:textId="7D3A3AE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E71DE">
        <w:rPr>
          <w:rFonts w:ascii="Arial" w:hAnsi="Arial" w:cs="Arial"/>
          <w:b/>
          <w:sz w:val="22"/>
          <w:szCs w:val="22"/>
          <w:lang w:val="fr-FR"/>
        </w:rPr>
        <w:t>Présidente</w:t>
      </w:r>
      <w:r>
        <w:rPr>
          <w:rFonts w:ascii="Arial" w:hAnsi="Arial" w:cs="Arial"/>
          <w:bCs/>
          <w:sz w:val="22"/>
          <w:szCs w:val="22"/>
          <w:lang w:val="fr-FR"/>
        </w:rPr>
        <w:t xml:space="preserve"> a remercié le Panama pour les points soulevés. Constatant que l</w:t>
      </w:r>
      <w:r w:rsidR="008E532B">
        <w:rPr>
          <w:rFonts w:ascii="Arial" w:hAnsi="Arial" w:cs="Arial"/>
          <w:bCs/>
          <w:sz w:val="22"/>
          <w:szCs w:val="22"/>
          <w:lang w:val="fr-FR"/>
        </w:rPr>
        <w:t>’</w:t>
      </w:r>
      <w:r>
        <w:rPr>
          <w:rFonts w:ascii="Arial" w:hAnsi="Arial" w:cs="Arial"/>
          <w:bCs/>
          <w:sz w:val="22"/>
          <w:szCs w:val="22"/>
          <w:lang w:val="fr-FR"/>
        </w:rPr>
        <w:t xml:space="preserve">Assemblée avait pris du retard, elle a proposé de suspendre le point 7 afin que les </w:t>
      </w:r>
      <w:r w:rsidRPr="007E71DE">
        <w:rPr>
          <w:rFonts w:ascii="Arial" w:hAnsi="Arial" w:cs="Arial"/>
          <w:bCs/>
          <w:sz w:val="22"/>
          <w:szCs w:val="22"/>
          <w:lang w:val="fr-FR"/>
        </w:rPr>
        <w:t>délégatio</w:t>
      </w:r>
      <w:r>
        <w:rPr>
          <w:rFonts w:ascii="Arial" w:hAnsi="Arial" w:cs="Arial"/>
          <w:bCs/>
          <w:sz w:val="22"/>
          <w:szCs w:val="22"/>
          <w:lang w:val="fr-FR"/>
        </w:rPr>
        <w:t xml:space="preserve">ns puissent entreprendre les </w:t>
      </w:r>
      <w:r w:rsidRPr="00C865BE">
        <w:rPr>
          <w:rFonts w:ascii="Arial" w:hAnsi="Arial" w:cs="Arial"/>
          <w:bCs/>
          <w:sz w:val="22"/>
          <w:szCs w:val="22"/>
          <w:lang w:val="fr-FR"/>
        </w:rPr>
        <w:t>consultations</w:t>
      </w:r>
      <w:r>
        <w:rPr>
          <w:rFonts w:ascii="Arial" w:hAnsi="Arial" w:cs="Arial"/>
          <w:bCs/>
          <w:sz w:val="22"/>
          <w:szCs w:val="22"/>
          <w:lang w:val="fr-FR"/>
        </w:rPr>
        <w:t xml:space="preserve"> nécessaires sur le </w:t>
      </w:r>
      <w:r w:rsidRPr="00C865BE">
        <w:rPr>
          <w:rFonts w:ascii="Arial" w:hAnsi="Arial" w:cs="Arial"/>
          <w:bCs/>
          <w:sz w:val="22"/>
          <w:szCs w:val="22"/>
          <w:lang w:val="fr-FR"/>
        </w:rPr>
        <w:t>paragraphe</w:t>
      </w:r>
      <w:r>
        <w:rPr>
          <w:rFonts w:ascii="Arial" w:hAnsi="Arial" w:cs="Arial"/>
          <w:bCs/>
          <w:sz w:val="22"/>
          <w:szCs w:val="22"/>
          <w:lang w:val="fr-FR"/>
        </w:rPr>
        <w:t xml:space="preserve"> 7bis et reviennent avec un texte ayant fait l</w:t>
      </w:r>
      <w:r w:rsidR="008E532B">
        <w:rPr>
          <w:rFonts w:ascii="Arial" w:hAnsi="Arial" w:cs="Arial"/>
          <w:bCs/>
          <w:sz w:val="22"/>
          <w:szCs w:val="22"/>
          <w:lang w:val="fr-FR"/>
        </w:rPr>
        <w:t>’</w:t>
      </w:r>
      <w:r>
        <w:rPr>
          <w:rFonts w:ascii="Arial" w:hAnsi="Arial" w:cs="Arial"/>
          <w:bCs/>
          <w:sz w:val="22"/>
          <w:szCs w:val="22"/>
          <w:lang w:val="fr-FR"/>
        </w:rPr>
        <w:t>objet d</w:t>
      </w:r>
      <w:r w:rsidR="008E532B">
        <w:rPr>
          <w:rFonts w:ascii="Arial" w:hAnsi="Arial" w:cs="Arial"/>
          <w:bCs/>
          <w:sz w:val="22"/>
          <w:szCs w:val="22"/>
          <w:lang w:val="fr-FR"/>
        </w:rPr>
        <w:t>’</w:t>
      </w:r>
      <w:r>
        <w:rPr>
          <w:rFonts w:ascii="Arial" w:hAnsi="Arial" w:cs="Arial"/>
          <w:bCs/>
          <w:sz w:val="22"/>
          <w:szCs w:val="22"/>
          <w:lang w:val="fr-FR"/>
        </w:rPr>
        <w:t xml:space="preserve">un accord à la séance suivante. </w:t>
      </w:r>
    </w:p>
    <w:p w14:paraId="00D5B57B" w14:textId="3DF367E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C865BE">
        <w:rPr>
          <w:rFonts w:ascii="Arial" w:hAnsi="Arial" w:cs="Arial"/>
          <w:bCs/>
          <w:sz w:val="22"/>
          <w:szCs w:val="22"/>
          <w:lang w:val="fr-FR"/>
        </w:rPr>
        <w:t>délégation</w:t>
      </w:r>
      <w:r>
        <w:rPr>
          <w:rFonts w:ascii="Arial" w:hAnsi="Arial" w:cs="Arial"/>
          <w:bCs/>
          <w:sz w:val="22"/>
          <w:szCs w:val="22"/>
          <w:lang w:val="fr-FR"/>
        </w:rPr>
        <w:t xml:space="preserve"> de la </w:t>
      </w:r>
      <w:r w:rsidRPr="00C865BE">
        <w:rPr>
          <w:rFonts w:ascii="Arial" w:hAnsi="Arial" w:cs="Arial"/>
          <w:b/>
          <w:sz w:val="22"/>
          <w:szCs w:val="22"/>
          <w:lang w:val="fr-FR"/>
        </w:rPr>
        <w:t>Palestine</w:t>
      </w:r>
      <w:r>
        <w:rPr>
          <w:rFonts w:ascii="Arial" w:hAnsi="Arial" w:cs="Arial"/>
          <w:bCs/>
          <w:sz w:val="22"/>
          <w:szCs w:val="22"/>
          <w:lang w:val="fr-FR"/>
        </w:rPr>
        <w:t xml:space="preserve"> ne voyait pas comment les </w:t>
      </w:r>
      <w:r w:rsidRPr="00C865BE">
        <w:rPr>
          <w:rFonts w:ascii="Arial" w:hAnsi="Arial" w:cs="Arial"/>
          <w:bCs/>
          <w:sz w:val="22"/>
          <w:szCs w:val="22"/>
          <w:lang w:val="fr-FR"/>
        </w:rPr>
        <w:t>délégatio</w:t>
      </w:r>
      <w:r>
        <w:rPr>
          <w:rFonts w:ascii="Arial" w:hAnsi="Arial" w:cs="Arial"/>
          <w:bCs/>
          <w:sz w:val="22"/>
          <w:szCs w:val="22"/>
          <w:lang w:val="fr-FR"/>
        </w:rPr>
        <w:t xml:space="preserve">ns pourraient parvenir à un texte de consensus sans prendre une décision sur un groupe de travail ou quelque chose de semblable. La </w:t>
      </w:r>
      <w:r w:rsidRPr="00C865BE">
        <w:rPr>
          <w:rFonts w:ascii="Arial" w:hAnsi="Arial" w:cs="Arial"/>
          <w:bCs/>
          <w:sz w:val="22"/>
          <w:szCs w:val="22"/>
          <w:lang w:val="fr-FR"/>
        </w:rPr>
        <w:t>délégation</w:t>
      </w:r>
      <w:r>
        <w:rPr>
          <w:rFonts w:ascii="Arial" w:hAnsi="Arial" w:cs="Arial"/>
          <w:bCs/>
          <w:sz w:val="22"/>
          <w:szCs w:val="22"/>
          <w:lang w:val="fr-FR"/>
        </w:rPr>
        <w:t xml:space="preserve"> a donc suggéré que La Présidente demande à une ou deux personnes, au maximum, dans chaque groupe électoral de se réunir à propos de cette question et de revenir devant l</w:t>
      </w:r>
      <w:r w:rsidR="008E532B">
        <w:rPr>
          <w:rFonts w:ascii="Arial" w:hAnsi="Arial" w:cs="Arial"/>
          <w:bCs/>
          <w:sz w:val="22"/>
          <w:szCs w:val="22"/>
          <w:lang w:val="fr-FR"/>
        </w:rPr>
        <w:t>’</w:t>
      </w:r>
      <w:r>
        <w:rPr>
          <w:rFonts w:ascii="Arial" w:hAnsi="Arial" w:cs="Arial"/>
          <w:bCs/>
          <w:sz w:val="22"/>
          <w:szCs w:val="22"/>
          <w:lang w:val="fr-FR"/>
        </w:rPr>
        <w:t xml:space="preserve">Assemblée avec leurs conclusions. </w:t>
      </w:r>
    </w:p>
    <w:p w14:paraId="219FD29A" w14:textId="3DE689B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C865BE">
        <w:rPr>
          <w:rFonts w:ascii="Arial" w:hAnsi="Arial" w:cs="Arial"/>
          <w:b/>
          <w:sz w:val="22"/>
          <w:szCs w:val="22"/>
          <w:lang w:val="fr-FR"/>
        </w:rPr>
        <w:t>Présidente</w:t>
      </w:r>
      <w:r>
        <w:rPr>
          <w:rFonts w:ascii="Arial" w:hAnsi="Arial" w:cs="Arial"/>
          <w:bCs/>
          <w:sz w:val="22"/>
          <w:szCs w:val="22"/>
          <w:lang w:val="fr-FR"/>
        </w:rPr>
        <w:t xml:space="preserve"> a fait observer qu</w:t>
      </w:r>
      <w:r w:rsidR="008E532B">
        <w:rPr>
          <w:rFonts w:ascii="Arial" w:hAnsi="Arial" w:cs="Arial"/>
          <w:bCs/>
          <w:sz w:val="22"/>
          <w:szCs w:val="22"/>
          <w:lang w:val="fr-FR"/>
        </w:rPr>
        <w:t>’</w:t>
      </w:r>
      <w:r>
        <w:rPr>
          <w:rFonts w:ascii="Arial" w:hAnsi="Arial" w:cs="Arial"/>
          <w:bCs/>
          <w:sz w:val="22"/>
          <w:szCs w:val="22"/>
          <w:lang w:val="fr-FR"/>
        </w:rPr>
        <w:t xml:space="preserve">il y avait donc deux </w:t>
      </w:r>
      <w:r w:rsidRPr="00C865BE">
        <w:rPr>
          <w:rFonts w:ascii="Arial" w:hAnsi="Arial" w:cs="Arial"/>
          <w:bCs/>
          <w:sz w:val="22"/>
          <w:szCs w:val="22"/>
          <w:lang w:val="fr-FR"/>
        </w:rPr>
        <w:t>propositio</w:t>
      </w:r>
      <w:r>
        <w:rPr>
          <w:rFonts w:ascii="Arial" w:hAnsi="Arial" w:cs="Arial"/>
          <w:bCs/>
          <w:sz w:val="22"/>
          <w:szCs w:val="22"/>
          <w:lang w:val="fr-FR"/>
        </w:rPr>
        <w:t xml:space="preserve">ns. Le Panama avait proposé un groupe de travail à </w:t>
      </w:r>
      <w:r w:rsidRPr="00C865BE">
        <w:rPr>
          <w:rFonts w:ascii="Arial" w:hAnsi="Arial" w:cs="Arial"/>
          <w:bCs/>
          <w:sz w:val="22"/>
          <w:szCs w:val="22"/>
          <w:lang w:val="fr-FR"/>
        </w:rPr>
        <w:t>compos</w:t>
      </w:r>
      <w:r>
        <w:rPr>
          <w:rFonts w:ascii="Arial" w:hAnsi="Arial" w:cs="Arial"/>
          <w:bCs/>
          <w:sz w:val="22"/>
          <w:szCs w:val="22"/>
          <w:lang w:val="fr-FR"/>
        </w:rPr>
        <w:t xml:space="preserve">ition non limitée et la Palestine avait proposé que les groupes électoraux désignent deux ou plusieurs </w:t>
      </w:r>
      <w:r w:rsidRPr="009235BE">
        <w:rPr>
          <w:rFonts w:ascii="Arial" w:hAnsi="Arial" w:cs="Arial"/>
          <w:bCs/>
          <w:sz w:val="22"/>
          <w:szCs w:val="22"/>
          <w:lang w:val="fr-FR"/>
        </w:rPr>
        <w:t>représenta</w:t>
      </w:r>
      <w:r>
        <w:rPr>
          <w:rFonts w:ascii="Arial" w:hAnsi="Arial" w:cs="Arial"/>
          <w:bCs/>
          <w:sz w:val="22"/>
          <w:szCs w:val="22"/>
          <w:lang w:val="fr-FR"/>
        </w:rPr>
        <w:t xml:space="preserve">nts pour constituer </w:t>
      </w:r>
      <w:r w:rsidRPr="0032106D">
        <w:rPr>
          <w:rFonts w:ascii="Arial" w:hAnsi="Arial" w:cs="Arial"/>
          <w:bCs/>
          <w:sz w:val="22"/>
          <w:szCs w:val="22"/>
          <w:lang w:val="fr-FR"/>
        </w:rPr>
        <w:t xml:space="preserve">un </w:t>
      </w:r>
      <w:r>
        <w:rPr>
          <w:rFonts w:ascii="Arial" w:hAnsi="Arial" w:cs="Arial"/>
          <w:bCs/>
          <w:sz w:val="22"/>
          <w:szCs w:val="22"/>
          <w:lang w:val="fr-FR"/>
        </w:rPr>
        <w:t xml:space="preserve">groupe de travail. </w:t>
      </w:r>
    </w:p>
    <w:p w14:paraId="0B5F2A27" w14:textId="503D5E0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F3461">
        <w:rPr>
          <w:rFonts w:ascii="Arial" w:hAnsi="Arial" w:cs="Arial"/>
          <w:bCs/>
          <w:sz w:val="22"/>
          <w:szCs w:val="22"/>
          <w:lang w:val="fr-FR"/>
        </w:rPr>
        <w:t>délégation</w:t>
      </w:r>
      <w:r>
        <w:rPr>
          <w:rFonts w:ascii="Arial" w:hAnsi="Arial" w:cs="Arial"/>
          <w:bCs/>
          <w:sz w:val="22"/>
          <w:szCs w:val="22"/>
          <w:lang w:val="fr-FR"/>
        </w:rPr>
        <w:t xml:space="preserve"> du </w:t>
      </w:r>
      <w:r w:rsidRPr="000F3461">
        <w:rPr>
          <w:rFonts w:ascii="Arial" w:hAnsi="Arial" w:cs="Arial"/>
          <w:b/>
          <w:sz w:val="22"/>
          <w:szCs w:val="22"/>
          <w:lang w:val="fr-FR"/>
        </w:rPr>
        <w:t>Koweït</w:t>
      </w:r>
      <w:r>
        <w:rPr>
          <w:rFonts w:ascii="Arial" w:hAnsi="Arial" w:cs="Arial"/>
          <w:bCs/>
          <w:sz w:val="22"/>
          <w:szCs w:val="22"/>
          <w:lang w:val="fr-FR"/>
        </w:rPr>
        <w:t xml:space="preserve">, qui soutenait la </w:t>
      </w:r>
      <w:r w:rsidRPr="000F3461">
        <w:rPr>
          <w:rFonts w:ascii="Arial" w:hAnsi="Arial" w:cs="Arial"/>
          <w:bCs/>
          <w:sz w:val="22"/>
          <w:szCs w:val="22"/>
          <w:lang w:val="fr-FR"/>
        </w:rPr>
        <w:t>proposition</w:t>
      </w:r>
      <w:r>
        <w:rPr>
          <w:rFonts w:ascii="Arial" w:hAnsi="Arial" w:cs="Arial"/>
          <w:bCs/>
          <w:sz w:val="22"/>
          <w:szCs w:val="22"/>
          <w:lang w:val="fr-FR"/>
        </w:rPr>
        <w:t xml:space="preserve"> du Panama, a ajouté que cette question n</w:t>
      </w:r>
      <w:r w:rsidR="008E532B">
        <w:rPr>
          <w:rFonts w:ascii="Arial" w:hAnsi="Arial" w:cs="Arial"/>
          <w:bCs/>
          <w:sz w:val="22"/>
          <w:szCs w:val="22"/>
          <w:lang w:val="fr-FR"/>
        </w:rPr>
        <w:t>’</w:t>
      </w:r>
      <w:r>
        <w:rPr>
          <w:rFonts w:ascii="Arial" w:hAnsi="Arial" w:cs="Arial"/>
          <w:bCs/>
          <w:sz w:val="22"/>
          <w:szCs w:val="22"/>
          <w:lang w:val="fr-FR"/>
        </w:rPr>
        <w:t xml:space="preserve">était pas très claire et que plus de temps était nécessaire. Elle était donc en faveur de la suppression du </w:t>
      </w:r>
      <w:r w:rsidRPr="000F3461">
        <w:rPr>
          <w:rFonts w:ascii="Arial" w:hAnsi="Arial" w:cs="Arial"/>
          <w:bCs/>
          <w:sz w:val="22"/>
          <w:szCs w:val="22"/>
          <w:lang w:val="fr-FR"/>
        </w:rPr>
        <w:t>paragraphe</w:t>
      </w:r>
      <w:r>
        <w:rPr>
          <w:rFonts w:ascii="Arial" w:hAnsi="Arial" w:cs="Arial"/>
          <w:bCs/>
          <w:sz w:val="22"/>
          <w:szCs w:val="22"/>
          <w:lang w:val="fr-FR"/>
        </w:rPr>
        <w:t xml:space="preserve"> 7bis du projet de décision et souhaitait avancer comme suggéré par le Panama. </w:t>
      </w:r>
    </w:p>
    <w:p w14:paraId="5CE0CEBB" w14:textId="6B0D3A8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F3461">
        <w:rPr>
          <w:rFonts w:ascii="Arial" w:hAnsi="Arial" w:cs="Arial"/>
          <w:bCs/>
          <w:sz w:val="22"/>
          <w:szCs w:val="22"/>
          <w:lang w:val="fr-FR"/>
        </w:rPr>
        <w:t xml:space="preserve">Le </w:t>
      </w:r>
      <w:r w:rsidRPr="000F3461">
        <w:rPr>
          <w:rFonts w:ascii="Arial" w:hAnsi="Arial" w:cs="Arial"/>
          <w:b/>
          <w:sz w:val="22"/>
          <w:szCs w:val="22"/>
          <w:lang w:val="fr-FR"/>
        </w:rPr>
        <w:t>Sous-Directeur général</w:t>
      </w:r>
      <w:r w:rsidRPr="000F3461">
        <w:rPr>
          <w:rFonts w:ascii="Arial" w:hAnsi="Arial" w:cs="Arial"/>
          <w:bCs/>
          <w:sz w:val="22"/>
          <w:szCs w:val="22"/>
          <w:lang w:val="fr-FR"/>
        </w:rPr>
        <w:t xml:space="preserve"> a </w:t>
      </w:r>
      <w:r w:rsidR="006221EA">
        <w:rPr>
          <w:rFonts w:ascii="Arial" w:hAnsi="Arial" w:cs="Arial"/>
          <w:bCs/>
          <w:sz w:val="22"/>
          <w:szCs w:val="22"/>
          <w:lang w:val="fr-FR"/>
        </w:rPr>
        <w:t>noté</w:t>
      </w:r>
      <w:r w:rsidRPr="000F3461">
        <w:rPr>
          <w:rFonts w:ascii="Arial" w:hAnsi="Arial" w:cs="Arial"/>
          <w:bCs/>
          <w:sz w:val="22"/>
          <w:szCs w:val="22"/>
          <w:lang w:val="fr-FR"/>
        </w:rPr>
        <w:t xml:space="preserve"> la proposition du Panama, soutenue par le Koweït, </w:t>
      </w:r>
      <w:r w:rsidR="006221EA">
        <w:rPr>
          <w:rFonts w:ascii="Arial" w:hAnsi="Arial" w:cs="Arial"/>
          <w:bCs/>
          <w:sz w:val="22"/>
          <w:szCs w:val="22"/>
          <w:lang w:val="fr-FR"/>
        </w:rPr>
        <w:t>selon laquelle</w:t>
      </w:r>
      <w:r w:rsidRPr="000F3461">
        <w:rPr>
          <w:rFonts w:ascii="Arial" w:hAnsi="Arial" w:cs="Arial"/>
          <w:bCs/>
          <w:sz w:val="22"/>
          <w:szCs w:val="22"/>
          <w:lang w:val="fr-FR"/>
        </w:rPr>
        <w:t xml:space="preserve"> les </w:t>
      </w:r>
      <w:r>
        <w:rPr>
          <w:rFonts w:ascii="Arial" w:hAnsi="Arial" w:cs="Arial"/>
          <w:bCs/>
          <w:sz w:val="22"/>
          <w:szCs w:val="22"/>
          <w:lang w:val="fr-FR"/>
        </w:rPr>
        <w:t>p</w:t>
      </w:r>
      <w:r w:rsidRPr="000F3461">
        <w:rPr>
          <w:rFonts w:ascii="Arial" w:hAnsi="Arial" w:cs="Arial"/>
          <w:bCs/>
          <w:sz w:val="22"/>
          <w:szCs w:val="22"/>
          <w:lang w:val="fr-FR"/>
        </w:rPr>
        <w:t xml:space="preserve">résidents des </w:t>
      </w:r>
      <w:r>
        <w:rPr>
          <w:rFonts w:ascii="Arial" w:hAnsi="Arial" w:cs="Arial"/>
          <w:bCs/>
          <w:sz w:val="22"/>
          <w:szCs w:val="22"/>
          <w:lang w:val="fr-FR"/>
        </w:rPr>
        <w:t>g</w:t>
      </w:r>
      <w:r w:rsidRPr="000F3461">
        <w:rPr>
          <w:rFonts w:ascii="Arial" w:hAnsi="Arial" w:cs="Arial"/>
          <w:bCs/>
          <w:sz w:val="22"/>
          <w:szCs w:val="22"/>
          <w:lang w:val="fr-FR"/>
        </w:rPr>
        <w:t xml:space="preserve">roupes électoraux invitent deux ou plusieurs membres de leur </w:t>
      </w:r>
      <w:r>
        <w:rPr>
          <w:rFonts w:ascii="Arial" w:hAnsi="Arial" w:cs="Arial"/>
          <w:bCs/>
          <w:sz w:val="22"/>
          <w:szCs w:val="22"/>
          <w:lang w:val="fr-FR"/>
        </w:rPr>
        <w:t>g</w:t>
      </w:r>
      <w:r w:rsidRPr="000F3461">
        <w:rPr>
          <w:rFonts w:ascii="Arial" w:hAnsi="Arial" w:cs="Arial"/>
          <w:bCs/>
          <w:sz w:val="22"/>
          <w:szCs w:val="22"/>
          <w:lang w:val="fr-FR"/>
        </w:rPr>
        <w:t xml:space="preserve">roupe à se réunir pour rédiger une proposition consensuelle </w:t>
      </w:r>
      <w:r w:rsidR="006221EA">
        <w:rPr>
          <w:rFonts w:ascii="Arial" w:hAnsi="Arial" w:cs="Arial"/>
          <w:bCs/>
          <w:sz w:val="22"/>
          <w:szCs w:val="22"/>
          <w:lang w:val="fr-FR"/>
        </w:rPr>
        <w:t>qui serait débattue</w:t>
      </w:r>
      <w:r w:rsidRPr="000F3461">
        <w:rPr>
          <w:rFonts w:ascii="Arial" w:hAnsi="Arial" w:cs="Arial"/>
          <w:bCs/>
          <w:sz w:val="22"/>
          <w:szCs w:val="22"/>
          <w:lang w:val="fr-FR"/>
        </w:rPr>
        <w:t xml:space="preserve"> le lendemain. </w:t>
      </w:r>
      <w:r w:rsidR="006221EA" w:rsidRPr="006221EA">
        <w:rPr>
          <w:rFonts w:ascii="Arial" w:hAnsi="Arial" w:cs="Arial"/>
          <w:bCs/>
          <w:sz w:val="22"/>
          <w:szCs w:val="22"/>
          <w:lang w:val="fr-FR"/>
        </w:rPr>
        <w:t xml:space="preserve">Le Sous-Directeur général </w:t>
      </w:r>
      <w:r w:rsidRPr="000F3461">
        <w:rPr>
          <w:rFonts w:ascii="Arial" w:hAnsi="Arial" w:cs="Arial"/>
          <w:bCs/>
          <w:sz w:val="22"/>
          <w:szCs w:val="22"/>
          <w:lang w:val="fr-FR"/>
        </w:rPr>
        <w:t>a a</w:t>
      </w:r>
      <w:r>
        <w:rPr>
          <w:rFonts w:ascii="Arial" w:hAnsi="Arial" w:cs="Arial"/>
          <w:bCs/>
          <w:sz w:val="22"/>
          <w:szCs w:val="22"/>
          <w:lang w:val="fr-FR"/>
        </w:rPr>
        <w:t>ttribué</w:t>
      </w:r>
      <w:r w:rsidRPr="000F3461">
        <w:rPr>
          <w:rFonts w:ascii="Arial" w:hAnsi="Arial" w:cs="Arial"/>
          <w:bCs/>
          <w:sz w:val="22"/>
          <w:szCs w:val="22"/>
          <w:lang w:val="fr-FR"/>
        </w:rPr>
        <w:t xml:space="preserve"> une salle à cet effet.</w:t>
      </w:r>
    </w:p>
    <w:p w14:paraId="3767B2BD" w14:textId="106A6AA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201EC">
        <w:rPr>
          <w:rFonts w:ascii="Arial" w:hAnsi="Arial" w:cs="Arial"/>
          <w:bCs/>
          <w:sz w:val="22"/>
          <w:szCs w:val="22"/>
          <w:lang w:val="fr-FR"/>
        </w:rPr>
        <w:t xml:space="preserve">La délégation de </w:t>
      </w:r>
      <w:r w:rsidRPr="001201EC">
        <w:rPr>
          <w:rFonts w:ascii="Arial" w:hAnsi="Arial" w:cs="Arial"/>
          <w:b/>
          <w:sz w:val="22"/>
          <w:szCs w:val="22"/>
          <w:lang w:val="fr-FR"/>
        </w:rPr>
        <w:t>Cuba</w:t>
      </w:r>
      <w:r w:rsidRPr="001201EC">
        <w:rPr>
          <w:rFonts w:ascii="Arial" w:hAnsi="Arial" w:cs="Arial"/>
          <w:bCs/>
          <w:sz w:val="22"/>
          <w:szCs w:val="22"/>
          <w:lang w:val="fr-FR"/>
        </w:rPr>
        <w:t xml:space="preserve"> n</w:t>
      </w:r>
      <w:r>
        <w:rPr>
          <w:rFonts w:ascii="Arial" w:hAnsi="Arial" w:cs="Arial"/>
          <w:bCs/>
          <w:sz w:val="22"/>
          <w:szCs w:val="22"/>
          <w:lang w:val="fr-FR"/>
        </w:rPr>
        <w:t>e voyait pas</w:t>
      </w:r>
      <w:r w:rsidRPr="001201EC">
        <w:rPr>
          <w:rFonts w:ascii="Arial" w:hAnsi="Arial" w:cs="Arial"/>
          <w:bCs/>
          <w:sz w:val="22"/>
          <w:szCs w:val="22"/>
          <w:lang w:val="fr-FR"/>
        </w:rPr>
        <w:t xml:space="preserve"> la proposition du Panama re</w:t>
      </w:r>
      <w:r>
        <w:rPr>
          <w:rFonts w:ascii="Arial" w:hAnsi="Arial" w:cs="Arial"/>
          <w:bCs/>
          <w:sz w:val="22"/>
          <w:szCs w:val="22"/>
          <w:lang w:val="fr-FR"/>
        </w:rPr>
        <w:t>prise</w:t>
      </w:r>
      <w:r w:rsidRPr="001201EC">
        <w:rPr>
          <w:rFonts w:ascii="Arial" w:hAnsi="Arial" w:cs="Arial"/>
          <w:bCs/>
          <w:sz w:val="22"/>
          <w:szCs w:val="22"/>
          <w:lang w:val="fr-FR"/>
        </w:rPr>
        <w:t xml:space="preserve"> dans la discussion, ajoutant qu</w:t>
      </w:r>
      <w:r w:rsidR="008E532B">
        <w:rPr>
          <w:rFonts w:ascii="Arial" w:hAnsi="Arial" w:cs="Arial"/>
          <w:bCs/>
          <w:sz w:val="22"/>
          <w:szCs w:val="22"/>
          <w:lang w:val="fr-FR"/>
        </w:rPr>
        <w:t>’</w:t>
      </w:r>
      <w:r w:rsidRPr="001201EC">
        <w:rPr>
          <w:rFonts w:ascii="Arial" w:hAnsi="Arial" w:cs="Arial"/>
          <w:bCs/>
          <w:sz w:val="22"/>
          <w:szCs w:val="22"/>
          <w:lang w:val="fr-FR"/>
        </w:rPr>
        <w:t>il s</w:t>
      </w:r>
      <w:r w:rsidR="008E532B">
        <w:rPr>
          <w:rFonts w:ascii="Arial" w:hAnsi="Arial" w:cs="Arial"/>
          <w:bCs/>
          <w:sz w:val="22"/>
          <w:szCs w:val="22"/>
          <w:lang w:val="fr-FR"/>
        </w:rPr>
        <w:t>’</w:t>
      </w:r>
      <w:r w:rsidRPr="001201EC">
        <w:rPr>
          <w:rFonts w:ascii="Arial" w:hAnsi="Arial" w:cs="Arial"/>
          <w:bCs/>
          <w:sz w:val="22"/>
          <w:szCs w:val="22"/>
          <w:lang w:val="fr-FR"/>
        </w:rPr>
        <w:t>agissait d</w:t>
      </w:r>
      <w:r w:rsidR="008E532B">
        <w:rPr>
          <w:rFonts w:ascii="Arial" w:hAnsi="Arial" w:cs="Arial"/>
          <w:bCs/>
          <w:sz w:val="22"/>
          <w:szCs w:val="22"/>
          <w:lang w:val="fr-FR"/>
        </w:rPr>
        <w:t>’</w:t>
      </w:r>
      <w:r w:rsidRPr="001201EC">
        <w:rPr>
          <w:rFonts w:ascii="Arial" w:hAnsi="Arial" w:cs="Arial"/>
          <w:bCs/>
          <w:sz w:val="22"/>
          <w:szCs w:val="22"/>
          <w:lang w:val="fr-FR"/>
        </w:rPr>
        <w:t>une question plus profonde que la simple rédaction d</w:t>
      </w:r>
      <w:r w:rsidR="008E532B">
        <w:rPr>
          <w:rFonts w:ascii="Arial" w:hAnsi="Arial" w:cs="Arial"/>
          <w:bCs/>
          <w:sz w:val="22"/>
          <w:szCs w:val="22"/>
          <w:lang w:val="fr-FR"/>
        </w:rPr>
        <w:t>’</w:t>
      </w:r>
      <w:r w:rsidRPr="001201EC">
        <w:rPr>
          <w:rFonts w:ascii="Arial" w:hAnsi="Arial" w:cs="Arial"/>
          <w:bCs/>
          <w:sz w:val="22"/>
          <w:szCs w:val="22"/>
          <w:lang w:val="fr-FR"/>
        </w:rPr>
        <w:t>une proposition. La discussion d</w:t>
      </w:r>
      <w:r>
        <w:rPr>
          <w:rFonts w:ascii="Arial" w:hAnsi="Arial" w:cs="Arial"/>
          <w:bCs/>
          <w:sz w:val="22"/>
          <w:szCs w:val="22"/>
          <w:lang w:val="fr-FR"/>
        </w:rPr>
        <w:t>u</w:t>
      </w:r>
      <w:r w:rsidRPr="001201EC">
        <w:rPr>
          <w:rFonts w:ascii="Arial" w:hAnsi="Arial" w:cs="Arial"/>
          <w:bCs/>
          <w:sz w:val="22"/>
          <w:szCs w:val="22"/>
          <w:lang w:val="fr-FR"/>
        </w:rPr>
        <w:t xml:space="preserve"> matin sur l</w:t>
      </w:r>
      <w:r w:rsidR="008E532B">
        <w:rPr>
          <w:rFonts w:ascii="Arial" w:hAnsi="Arial" w:cs="Arial"/>
          <w:bCs/>
          <w:sz w:val="22"/>
          <w:szCs w:val="22"/>
          <w:lang w:val="fr-FR"/>
        </w:rPr>
        <w:t>’</w:t>
      </w:r>
      <w:r w:rsidRPr="001201EC">
        <w:rPr>
          <w:rFonts w:ascii="Arial" w:hAnsi="Arial" w:cs="Arial"/>
          <w:bCs/>
          <w:sz w:val="22"/>
          <w:szCs w:val="22"/>
          <w:lang w:val="fr-FR"/>
        </w:rPr>
        <w:t>accréditation d</w:t>
      </w:r>
      <w:r>
        <w:rPr>
          <w:rFonts w:ascii="Arial" w:hAnsi="Arial" w:cs="Arial"/>
          <w:bCs/>
          <w:sz w:val="22"/>
          <w:szCs w:val="22"/>
          <w:lang w:val="fr-FR"/>
        </w:rPr>
        <w:t>e deux</w:t>
      </w:r>
      <w:r w:rsidRPr="001201EC">
        <w:rPr>
          <w:rFonts w:ascii="Arial" w:hAnsi="Arial" w:cs="Arial"/>
          <w:bCs/>
          <w:sz w:val="22"/>
          <w:szCs w:val="22"/>
          <w:lang w:val="fr-FR"/>
        </w:rPr>
        <w:t xml:space="preserve"> ONG avait déclenché une discussion très importante sur la participation et de l</w:t>
      </w:r>
      <w:r w:rsidR="008E532B">
        <w:rPr>
          <w:rFonts w:ascii="Arial" w:hAnsi="Arial" w:cs="Arial"/>
          <w:bCs/>
          <w:sz w:val="22"/>
          <w:szCs w:val="22"/>
          <w:lang w:val="fr-FR"/>
        </w:rPr>
        <w:t>’</w:t>
      </w:r>
      <w:r w:rsidRPr="001201EC">
        <w:rPr>
          <w:rFonts w:ascii="Arial" w:hAnsi="Arial" w:cs="Arial"/>
          <w:bCs/>
          <w:sz w:val="22"/>
          <w:szCs w:val="22"/>
          <w:lang w:val="fr-FR"/>
        </w:rPr>
        <w:t>accrédi</w:t>
      </w:r>
      <w:r>
        <w:rPr>
          <w:rFonts w:ascii="Arial" w:hAnsi="Arial" w:cs="Arial"/>
          <w:bCs/>
          <w:sz w:val="22"/>
          <w:szCs w:val="22"/>
          <w:lang w:val="fr-FR"/>
        </w:rPr>
        <w:t>ta</w:t>
      </w:r>
      <w:r w:rsidRPr="001201EC">
        <w:rPr>
          <w:rFonts w:ascii="Arial" w:hAnsi="Arial" w:cs="Arial"/>
          <w:bCs/>
          <w:sz w:val="22"/>
          <w:szCs w:val="22"/>
          <w:lang w:val="fr-FR"/>
        </w:rPr>
        <w:t>tion</w:t>
      </w:r>
      <w:r>
        <w:rPr>
          <w:rFonts w:ascii="Arial" w:hAnsi="Arial" w:cs="Arial"/>
          <w:bCs/>
          <w:sz w:val="22"/>
          <w:szCs w:val="22"/>
          <w:lang w:val="fr-FR"/>
        </w:rPr>
        <w:t>, dans leur ensemble,</w:t>
      </w:r>
      <w:r w:rsidRPr="001201EC">
        <w:rPr>
          <w:rFonts w:ascii="Arial" w:hAnsi="Arial" w:cs="Arial"/>
          <w:bCs/>
          <w:sz w:val="22"/>
          <w:szCs w:val="22"/>
          <w:lang w:val="fr-FR"/>
        </w:rPr>
        <w:t xml:space="preserve"> des ONG dans la Convention qui méritait toute l</w:t>
      </w:r>
      <w:r w:rsidR="008E532B">
        <w:rPr>
          <w:rFonts w:ascii="Arial" w:hAnsi="Arial" w:cs="Arial"/>
          <w:bCs/>
          <w:sz w:val="22"/>
          <w:szCs w:val="22"/>
          <w:lang w:val="fr-FR"/>
        </w:rPr>
        <w:t>’</w:t>
      </w:r>
      <w:r w:rsidRPr="001201EC">
        <w:rPr>
          <w:rFonts w:ascii="Arial" w:hAnsi="Arial" w:cs="Arial"/>
          <w:bCs/>
          <w:sz w:val="22"/>
          <w:szCs w:val="22"/>
          <w:lang w:val="fr-FR"/>
        </w:rPr>
        <w:t>attention de l</w:t>
      </w:r>
      <w:r w:rsidR="008E532B">
        <w:rPr>
          <w:rFonts w:ascii="Arial" w:hAnsi="Arial" w:cs="Arial"/>
          <w:bCs/>
          <w:sz w:val="22"/>
          <w:szCs w:val="22"/>
          <w:lang w:val="fr-FR"/>
        </w:rPr>
        <w:t>’</w:t>
      </w:r>
      <w:r w:rsidRPr="001201EC">
        <w:rPr>
          <w:rFonts w:ascii="Arial" w:hAnsi="Arial" w:cs="Arial"/>
          <w:bCs/>
          <w:sz w:val="22"/>
          <w:szCs w:val="22"/>
          <w:lang w:val="fr-FR"/>
        </w:rPr>
        <w:t>Assemblée, indépendamment de la décision prise. La délégation n</w:t>
      </w:r>
      <w:r w:rsidR="008E532B">
        <w:rPr>
          <w:rFonts w:ascii="Arial" w:hAnsi="Arial" w:cs="Arial"/>
          <w:bCs/>
          <w:sz w:val="22"/>
          <w:szCs w:val="22"/>
          <w:lang w:val="fr-FR"/>
        </w:rPr>
        <w:t>’</w:t>
      </w:r>
      <w:r>
        <w:rPr>
          <w:rFonts w:ascii="Arial" w:hAnsi="Arial" w:cs="Arial"/>
          <w:bCs/>
          <w:sz w:val="22"/>
          <w:szCs w:val="22"/>
          <w:lang w:val="fr-FR"/>
        </w:rPr>
        <w:t xml:space="preserve">était </w:t>
      </w:r>
      <w:r w:rsidRPr="001201EC">
        <w:rPr>
          <w:rFonts w:ascii="Arial" w:hAnsi="Arial" w:cs="Arial"/>
          <w:bCs/>
          <w:sz w:val="22"/>
          <w:szCs w:val="22"/>
          <w:lang w:val="fr-FR"/>
        </w:rPr>
        <w:t xml:space="preserve">pas </w:t>
      </w:r>
      <w:r>
        <w:rPr>
          <w:rFonts w:ascii="Arial" w:hAnsi="Arial" w:cs="Arial"/>
          <w:bCs/>
          <w:sz w:val="22"/>
          <w:szCs w:val="22"/>
          <w:lang w:val="fr-FR"/>
        </w:rPr>
        <w:t>opposée à</w:t>
      </w:r>
      <w:r w:rsidRPr="001201EC">
        <w:rPr>
          <w:rFonts w:ascii="Arial" w:hAnsi="Arial" w:cs="Arial"/>
          <w:bCs/>
          <w:sz w:val="22"/>
          <w:szCs w:val="22"/>
          <w:lang w:val="fr-FR"/>
        </w:rPr>
        <w:t xml:space="preserve"> la suggestion de la Présidente</w:t>
      </w:r>
      <w:r>
        <w:rPr>
          <w:rFonts w:ascii="Arial" w:hAnsi="Arial" w:cs="Arial"/>
          <w:bCs/>
          <w:sz w:val="22"/>
          <w:szCs w:val="22"/>
          <w:lang w:val="fr-FR"/>
        </w:rPr>
        <w:t>,</w:t>
      </w:r>
      <w:r w:rsidRPr="001201EC">
        <w:rPr>
          <w:rFonts w:ascii="Arial" w:hAnsi="Arial" w:cs="Arial"/>
          <w:bCs/>
          <w:sz w:val="22"/>
          <w:szCs w:val="22"/>
          <w:lang w:val="fr-FR"/>
        </w:rPr>
        <w:t xml:space="preserve"> mais </w:t>
      </w:r>
      <w:r>
        <w:rPr>
          <w:rFonts w:ascii="Arial" w:hAnsi="Arial" w:cs="Arial"/>
          <w:bCs/>
          <w:sz w:val="22"/>
          <w:szCs w:val="22"/>
          <w:lang w:val="fr-FR"/>
        </w:rPr>
        <w:t xml:space="preserve">elle </w:t>
      </w:r>
      <w:r w:rsidRPr="001201EC">
        <w:rPr>
          <w:rFonts w:ascii="Arial" w:hAnsi="Arial" w:cs="Arial"/>
          <w:bCs/>
          <w:sz w:val="22"/>
          <w:szCs w:val="22"/>
          <w:lang w:val="fr-FR"/>
        </w:rPr>
        <w:t>estim</w:t>
      </w:r>
      <w:r>
        <w:rPr>
          <w:rFonts w:ascii="Arial" w:hAnsi="Arial" w:cs="Arial"/>
          <w:bCs/>
          <w:sz w:val="22"/>
          <w:szCs w:val="22"/>
          <w:lang w:val="fr-FR"/>
        </w:rPr>
        <w:t xml:space="preserve">ait </w:t>
      </w:r>
      <w:r w:rsidRPr="001201EC">
        <w:rPr>
          <w:rFonts w:ascii="Arial" w:hAnsi="Arial" w:cs="Arial"/>
          <w:bCs/>
          <w:sz w:val="22"/>
          <w:szCs w:val="22"/>
          <w:lang w:val="fr-FR"/>
        </w:rPr>
        <w:t xml:space="preserve">que cette question </w:t>
      </w:r>
      <w:r>
        <w:rPr>
          <w:rFonts w:ascii="Arial" w:hAnsi="Arial" w:cs="Arial"/>
          <w:bCs/>
          <w:sz w:val="22"/>
          <w:szCs w:val="22"/>
          <w:lang w:val="fr-FR"/>
        </w:rPr>
        <w:t>allait</w:t>
      </w:r>
      <w:r w:rsidRPr="001201EC">
        <w:rPr>
          <w:rFonts w:ascii="Arial" w:hAnsi="Arial" w:cs="Arial"/>
          <w:bCs/>
          <w:sz w:val="22"/>
          <w:szCs w:val="22"/>
          <w:lang w:val="fr-FR"/>
        </w:rPr>
        <w:t xml:space="preserve"> au-delà d</w:t>
      </w:r>
      <w:r w:rsidR="008E532B">
        <w:rPr>
          <w:rFonts w:ascii="Arial" w:hAnsi="Arial" w:cs="Arial"/>
          <w:bCs/>
          <w:sz w:val="22"/>
          <w:szCs w:val="22"/>
          <w:lang w:val="fr-FR"/>
        </w:rPr>
        <w:t>’</w:t>
      </w:r>
      <w:r>
        <w:rPr>
          <w:rFonts w:ascii="Arial" w:hAnsi="Arial" w:cs="Arial"/>
          <w:bCs/>
          <w:sz w:val="22"/>
          <w:szCs w:val="22"/>
          <w:lang w:val="fr-FR"/>
        </w:rPr>
        <w:t>un</w:t>
      </w:r>
      <w:r w:rsidRPr="001201EC">
        <w:rPr>
          <w:rFonts w:ascii="Arial" w:hAnsi="Arial" w:cs="Arial"/>
          <w:bCs/>
          <w:sz w:val="22"/>
          <w:szCs w:val="22"/>
          <w:lang w:val="fr-FR"/>
        </w:rPr>
        <w:t xml:space="preserve"> simple </w:t>
      </w:r>
      <w:r>
        <w:rPr>
          <w:rFonts w:ascii="Arial" w:hAnsi="Arial" w:cs="Arial"/>
          <w:bCs/>
          <w:sz w:val="22"/>
          <w:szCs w:val="22"/>
          <w:lang w:val="fr-FR"/>
        </w:rPr>
        <w:t xml:space="preserve">problème de formulation de la </w:t>
      </w:r>
      <w:r w:rsidRPr="001201EC">
        <w:rPr>
          <w:rFonts w:ascii="Arial" w:eastAsia="SimSun" w:hAnsi="Arial" w:cs="Arial"/>
          <w:bCs/>
          <w:sz w:val="22"/>
          <w:szCs w:val="22"/>
          <w:lang w:val="fr-FR" w:eastAsia="en-US"/>
        </w:rPr>
        <w:t>résolution</w:t>
      </w:r>
      <w:r w:rsidRPr="001201EC">
        <w:rPr>
          <w:rFonts w:ascii="Arial" w:hAnsi="Arial" w:cs="Arial"/>
          <w:bCs/>
          <w:sz w:val="22"/>
          <w:szCs w:val="22"/>
          <w:lang w:val="fr-FR"/>
        </w:rPr>
        <w:t>.</w:t>
      </w:r>
    </w:p>
    <w:p w14:paraId="2040D3E1" w14:textId="113A1C2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2106D">
        <w:rPr>
          <w:rFonts w:ascii="Arial" w:hAnsi="Arial" w:cs="Arial"/>
          <w:bCs/>
          <w:sz w:val="22"/>
          <w:szCs w:val="22"/>
          <w:lang w:val="fr-FR"/>
        </w:rPr>
        <w:t xml:space="preserve">Le </w:t>
      </w:r>
      <w:r w:rsidRPr="0032106D">
        <w:rPr>
          <w:rFonts w:ascii="Arial" w:hAnsi="Arial" w:cs="Arial"/>
          <w:b/>
          <w:sz w:val="22"/>
          <w:szCs w:val="22"/>
          <w:lang w:val="fr-FR"/>
        </w:rPr>
        <w:t>Sous-Directeur général</w:t>
      </w:r>
      <w:r w:rsidRPr="0032106D">
        <w:rPr>
          <w:rFonts w:ascii="Arial" w:hAnsi="Arial" w:cs="Arial"/>
          <w:bCs/>
          <w:sz w:val="22"/>
          <w:szCs w:val="22"/>
          <w:lang w:val="fr-FR"/>
        </w:rPr>
        <w:t xml:space="preserve"> a précisé que la suggestion du Panama de former un groupe de travail était courante lorsqu</w:t>
      </w:r>
      <w:r w:rsidR="008E532B">
        <w:rPr>
          <w:rFonts w:ascii="Arial" w:hAnsi="Arial" w:cs="Arial"/>
          <w:bCs/>
          <w:sz w:val="22"/>
          <w:szCs w:val="22"/>
          <w:lang w:val="fr-FR"/>
        </w:rPr>
        <w:t>’</w:t>
      </w:r>
      <w:r w:rsidRPr="0032106D">
        <w:rPr>
          <w:rFonts w:ascii="Arial" w:hAnsi="Arial" w:cs="Arial"/>
          <w:bCs/>
          <w:sz w:val="22"/>
          <w:szCs w:val="22"/>
          <w:lang w:val="fr-FR"/>
        </w:rPr>
        <w:t>il n</w:t>
      </w:r>
      <w:r w:rsidR="008E532B">
        <w:rPr>
          <w:rFonts w:ascii="Arial" w:hAnsi="Arial" w:cs="Arial"/>
          <w:bCs/>
          <w:sz w:val="22"/>
          <w:szCs w:val="22"/>
          <w:lang w:val="fr-FR"/>
        </w:rPr>
        <w:t>’</w:t>
      </w:r>
      <w:r w:rsidRPr="0032106D">
        <w:rPr>
          <w:rFonts w:ascii="Arial" w:hAnsi="Arial" w:cs="Arial"/>
          <w:bCs/>
          <w:sz w:val="22"/>
          <w:szCs w:val="22"/>
          <w:lang w:val="fr-FR"/>
        </w:rPr>
        <w:t>y avait pas de consensus dans la salle. Cuba a</w:t>
      </w:r>
      <w:r>
        <w:rPr>
          <w:rFonts w:ascii="Arial" w:hAnsi="Arial" w:cs="Arial"/>
          <w:bCs/>
          <w:sz w:val="22"/>
          <w:szCs w:val="22"/>
          <w:lang w:val="fr-FR"/>
        </w:rPr>
        <w:t>vait</w:t>
      </w:r>
      <w:r w:rsidRPr="0032106D">
        <w:rPr>
          <w:rFonts w:ascii="Arial" w:hAnsi="Arial" w:cs="Arial"/>
          <w:bCs/>
          <w:sz w:val="22"/>
          <w:szCs w:val="22"/>
          <w:lang w:val="fr-FR"/>
        </w:rPr>
        <w:t xml:space="preserve"> mentionné qu</w:t>
      </w:r>
      <w:r w:rsidR="008E532B">
        <w:rPr>
          <w:rFonts w:ascii="Arial" w:hAnsi="Arial" w:cs="Arial"/>
          <w:bCs/>
          <w:sz w:val="22"/>
          <w:szCs w:val="22"/>
          <w:lang w:val="fr-FR"/>
        </w:rPr>
        <w:t>’</w:t>
      </w:r>
      <w:r w:rsidRPr="0032106D">
        <w:rPr>
          <w:rFonts w:ascii="Arial" w:hAnsi="Arial" w:cs="Arial"/>
          <w:bCs/>
          <w:sz w:val="22"/>
          <w:szCs w:val="22"/>
          <w:lang w:val="fr-FR"/>
        </w:rPr>
        <w:t xml:space="preserve">il y avait une question substantielle et sous-jacente. La proposition était de suspendre la discussion sur le paragraphe 7bis, comme cela avait été le cas pour le paragraphe 4. </w:t>
      </w:r>
      <w:r w:rsidR="006221EA" w:rsidRPr="006221EA">
        <w:rPr>
          <w:rFonts w:ascii="Arial" w:hAnsi="Arial" w:cs="Arial"/>
          <w:bCs/>
          <w:sz w:val="22"/>
          <w:szCs w:val="22"/>
          <w:lang w:val="fr-FR"/>
        </w:rPr>
        <w:t xml:space="preserve">Le Sous-Directeur général </w:t>
      </w:r>
      <w:r>
        <w:rPr>
          <w:rFonts w:ascii="Arial" w:hAnsi="Arial" w:cs="Arial"/>
          <w:bCs/>
          <w:sz w:val="22"/>
          <w:szCs w:val="22"/>
          <w:lang w:val="fr-FR"/>
        </w:rPr>
        <w:t xml:space="preserve">a </w:t>
      </w:r>
      <w:r w:rsidRPr="0032106D">
        <w:rPr>
          <w:rFonts w:ascii="Arial" w:hAnsi="Arial" w:cs="Arial"/>
          <w:bCs/>
          <w:sz w:val="22"/>
          <w:szCs w:val="22"/>
          <w:lang w:val="fr-FR"/>
        </w:rPr>
        <w:t>demand</w:t>
      </w:r>
      <w:r>
        <w:rPr>
          <w:rFonts w:ascii="Arial" w:hAnsi="Arial" w:cs="Arial"/>
          <w:bCs/>
          <w:sz w:val="22"/>
          <w:szCs w:val="22"/>
          <w:lang w:val="fr-FR"/>
        </w:rPr>
        <w:t>é</w:t>
      </w:r>
      <w:r w:rsidRPr="0032106D">
        <w:rPr>
          <w:rFonts w:ascii="Arial" w:hAnsi="Arial" w:cs="Arial"/>
          <w:bCs/>
          <w:sz w:val="22"/>
          <w:szCs w:val="22"/>
          <w:lang w:val="fr-FR"/>
        </w:rPr>
        <w:t xml:space="preserve"> si la proposition du groupe de travail prévo</w:t>
      </w:r>
      <w:r>
        <w:rPr>
          <w:rFonts w:ascii="Arial" w:hAnsi="Arial" w:cs="Arial"/>
          <w:bCs/>
          <w:sz w:val="22"/>
          <w:szCs w:val="22"/>
          <w:lang w:val="fr-FR"/>
        </w:rPr>
        <w:t>yait</w:t>
      </w:r>
      <w:r w:rsidRPr="0032106D">
        <w:rPr>
          <w:rFonts w:ascii="Arial" w:hAnsi="Arial" w:cs="Arial"/>
          <w:bCs/>
          <w:sz w:val="22"/>
          <w:szCs w:val="22"/>
          <w:lang w:val="fr-FR"/>
        </w:rPr>
        <w:t xml:space="preserve"> de d</w:t>
      </w:r>
      <w:r>
        <w:rPr>
          <w:rFonts w:ascii="Arial" w:hAnsi="Arial" w:cs="Arial"/>
          <w:bCs/>
          <w:sz w:val="22"/>
          <w:szCs w:val="22"/>
          <w:lang w:val="fr-FR"/>
        </w:rPr>
        <w:t>ébattre</w:t>
      </w:r>
      <w:r w:rsidRPr="0032106D">
        <w:rPr>
          <w:rFonts w:ascii="Arial" w:hAnsi="Arial" w:cs="Arial"/>
          <w:bCs/>
          <w:sz w:val="22"/>
          <w:szCs w:val="22"/>
          <w:lang w:val="fr-FR"/>
        </w:rPr>
        <w:t xml:space="preserve"> à la fois </w:t>
      </w:r>
      <w:r>
        <w:rPr>
          <w:rFonts w:ascii="Arial" w:hAnsi="Arial" w:cs="Arial"/>
          <w:bCs/>
          <w:sz w:val="22"/>
          <w:szCs w:val="22"/>
          <w:lang w:val="fr-FR"/>
        </w:rPr>
        <w:t>des</w:t>
      </w:r>
      <w:r w:rsidRPr="0032106D">
        <w:rPr>
          <w:rFonts w:ascii="Arial" w:hAnsi="Arial" w:cs="Arial"/>
          <w:bCs/>
          <w:sz w:val="22"/>
          <w:szCs w:val="22"/>
          <w:lang w:val="fr-FR"/>
        </w:rPr>
        <w:t xml:space="preserve"> paragraphes 4 et 7bis ou seulement </w:t>
      </w:r>
      <w:r>
        <w:rPr>
          <w:rFonts w:ascii="Arial" w:hAnsi="Arial" w:cs="Arial"/>
          <w:bCs/>
          <w:sz w:val="22"/>
          <w:szCs w:val="22"/>
          <w:lang w:val="fr-FR"/>
        </w:rPr>
        <w:t>du</w:t>
      </w:r>
      <w:r w:rsidRPr="0032106D">
        <w:rPr>
          <w:rFonts w:ascii="Arial" w:hAnsi="Arial" w:cs="Arial"/>
          <w:bCs/>
          <w:sz w:val="22"/>
          <w:szCs w:val="22"/>
          <w:lang w:val="fr-FR"/>
        </w:rPr>
        <w:t xml:space="preserve"> paragraphe 7bis</w:t>
      </w:r>
      <w:r w:rsidR="006221EA">
        <w:rPr>
          <w:rFonts w:ascii="Arial" w:hAnsi="Arial" w:cs="Arial"/>
          <w:bCs/>
          <w:sz w:val="22"/>
          <w:szCs w:val="22"/>
          <w:lang w:val="fr-FR"/>
        </w:rPr>
        <w:t xml:space="preserve">, tout en </w:t>
      </w:r>
      <w:proofErr w:type="gramStart"/>
      <w:r w:rsidR="006221EA">
        <w:rPr>
          <w:rFonts w:ascii="Arial" w:hAnsi="Arial" w:cs="Arial"/>
          <w:bCs/>
          <w:sz w:val="22"/>
          <w:szCs w:val="22"/>
          <w:lang w:val="fr-FR"/>
        </w:rPr>
        <w:t xml:space="preserve">suggérant </w:t>
      </w:r>
      <w:r w:rsidRPr="0032106D">
        <w:rPr>
          <w:rFonts w:ascii="Arial" w:hAnsi="Arial" w:cs="Arial"/>
          <w:bCs/>
          <w:sz w:val="22"/>
          <w:szCs w:val="22"/>
          <w:lang w:val="fr-FR"/>
        </w:rPr>
        <w:t xml:space="preserve"> de</w:t>
      </w:r>
      <w:proofErr w:type="gramEnd"/>
      <w:r w:rsidRPr="0032106D">
        <w:rPr>
          <w:rFonts w:ascii="Arial" w:hAnsi="Arial" w:cs="Arial"/>
          <w:bCs/>
          <w:sz w:val="22"/>
          <w:szCs w:val="22"/>
          <w:lang w:val="fr-FR"/>
        </w:rPr>
        <w:t xml:space="preserve"> passer à l</w:t>
      </w:r>
      <w:r w:rsidR="008E532B">
        <w:rPr>
          <w:rFonts w:ascii="Arial" w:hAnsi="Arial" w:cs="Arial"/>
          <w:bCs/>
          <w:sz w:val="22"/>
          <w:szCs w:val="22"/>
          <w:lang w:val="fr-FR"/>
        </w:rPr>
        <w:t>’</w:t>
      </w:r>
      <w:r w:rsidRPr="0032106D">
        <w:rPr>
          <w:rFonts w:ascii="Arial" w:hAnsi="Arial" w:cs="Arial"/>
          <w:bCs/>
          <w:sz w:val="22"/>
          <w:szCs w:val="22"/>
          <w:lang w:val="fr-FR"/>
        </w:rPr>
        <w:t>adoption des paragraphes 8 et 9 et de revenir ensuite aux paragraphes suspendus.</w:t>
      </w:r>
    </w:p>
    <w:p w14:paraId="720D22B2" w14:textId="7D5634A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32106D">
        <w:rPr>
          <w:rFonts w:ascii="Arial" w:hAnsi="Arial" w:cs="Arial"/>
          <w:bCs/>
          <w:sz w:val="22"/>
          <w:szCs w:val="22"/>
          <w:lang w:val="fr-FR"/>
        </w:rPr>
        <w:t>délégation</w:t>
      </w:r>
      <w:r>
        <w:rPr>
          <w:rFonts w:ascii="Arial" w:hAnsi="Arial" w:cs="Arial"/>
          <w:bCs/>
          <w:sz w:val="22"/>
          <w:szCs w:val="22"/>
          <w:lang w:val="fr-FR"/>
        </w:rPr>
        <w:t xml:space="preserve"> de </w:t>
      </w:r>
      <w:r w:rsidRPr="0032106D">
        <w:rPr>
          <w:rFonts w:ascii="Arial" w:hAnsi="Arial" w:cs="Arial"/>
          <w:b/>
          <w:sz w:val="22"/>
          <w:szCs w:val="22"/>
          <w:lang w:val="fr-FR"/>
        </w:rPr>
        <w:t>Panama</w:t>
      </w:r>
      <w:r>
        <w:rPr>
          <w:rFonts w:ascii="Arial" w:hAnsi="Arial" w:cs="Arial"/>
          <w:bCs/>
          <w:sz w:val="22"/>
          <w:szCs w:val="22"/>
          <w:lang w:val="fr-FR"/>
        </w:rPr>
        <w:t xml:space="preserve"> était tout à fait d</w:t>
      </w:r>
      <w:r w:rsidR="008E532B">
        <w:rPr>
          <w:rFonts w:ascii="Arial" w:hAnsi="Arial" w:cs="Arial"/>
          <w:bCs/>
          <w:sz w:val="22"/>
          <w:szCs w:val="22"/>
          <w:lang w:val="fr-FR"/>
        </w:rPr>
        <w:t>’</w:t>
      </w:r>
      <w:r>
        <w:rPr>
          <w:rFonts w:ascii="Arial" w:hAnsi="Arial" w:cs="Arial"/>
          <w:bCs/>
          <w:sz w:val="22"/>
          <w:szCs w:val="22"/>
          <w:lang w:val="fr-FR"/>
        </w:rPr>
        <w:t xml:space="preserve">accord avec cette </w:t>
      </w:r>
      <w:r w:rsidRPr="0032106D">
        <w:rPr>
          <w:rFonts w:ascii="Arial" w:hAnsi="Arial" w:cs="Arial"/>
          <w:bCs/>
          <w:sz w:val="22"/>
          <w:szCs w:val="22"/>
          <w:lang w:val="fr-FR"/>
        </w:rPr>
        <w:t>interprétation</w:t>
      </w:r>
      <w:r>
        <w:rPr>
          <w:rFonts w:ascii="Arial" w:hAnsi="Arial" w:cs="Arial"/>
          <w:bCs/>
          <w:sz w:val="22"/>
          <w:szCs w:val="22"/>
          <w:lang w:val="fr-FR"/>
        </w:rPr>
        <w:t>.</w:t>
      </w:r>
    </w:p>
    <w:p w14:paraId="7CF8FD32" w14:textId="349DC88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2106D">
        <w:rPr>
          <w:rFonts w:ascii="Arial" w:hAnsi="Arial" w:cs="Arial"/>
          <w:bCs/>
          <w:sz w:val="22"/>
          <w:szCs w:val="22"/>
          <w:lang w:val="fr-FR"/>
        </w:rPr>
        <w:t xml:space="preserve">La délégation de la </w:t>
      </w:r>
      <w:r w:rsidRPr="0032106D">
        <w:rPr>
          <w:rFonts w:ascii="Arial" w:hAnsi="Arial" w:cs="Arial"/>
          <w:b/>
          <w:sz w:val="22"/>
          <w:szCs w:val="22"/>
          <w:lang w:val="fr-FR"/>
        </w:rPr>
        <w:t>Palestine</w:t>
      </w:r>
      <w:r w:rsidRPr="0032106D">
        <w:rPr>
          <w:rFonts w:ascii="Arial" w:hAnsi="Arial" w:cs="Arial"/>
          <w:bCs/>
          <w:sz w:val="22"/>
          <w:szCs w:val="22"/>
          <w:lang w:val="fr-FR"/>
        </w:rPr>
        <w:t xml:space="preserve"> </w:t>
      </w:r>
      <w:r>
        <w:rPr>
          <w:rFonts w:ascii="Arial" w:hAnsi="Arial" w:cs="Arial"/>
          <w:bCs/>
          <w:sz w:val="22"/>
          <w:szCs w:val="22"/>
          <w:lang w:val="fr-FR"/>
        </w:rPr>
        <w:t>était</w:t>
      </w:r>
      <w:r w:rsidRPr="0032106D">
        <w:rPr>
          <w:rFonts w:ascii="Arial" w:hAnsi="Arial" w:cs="Arial"/>
          <w:bCs/>
          <w:sz w:val="22"/>
          <w:szCs w:val="22"/>
          <w:lang w:val="fr-FR"/>
        </w:rPr>
        <w:t xml:space="preserve"> </w:t>
      </w:r>
      <w:r>
        <w:rPr>
          <w:rFonts w:ascii="Arial" w:hAnsi="Arial" w:cs="Arial"/>
          <w:bCs/>
          <w:sz w:val="22"/>
          <w:szCs w:val="22"/>
          <w:lang w:val="fr-FR"/>
        </w:rPr>
        <w:t>tout à fait</w:t>
      </w:r>
      <w:r w:rsidRPr="0032106D">
        <w:rPr>
          <w:rFonts w:ascii="Arial" w:hAnsi="Arial" w:cs="Arial"/>
          <w:bCs/>
          <w:sz w:val="22"/>
          <w:szCs w:val="22"/>
          <w:lang w:val="fr-FR"/>
        </w:rPr>
        <w:t xml:space="preserve"> d</w:t>
      </w:r>
      <w:r w:rsidR="008E532B">
        <w:rPr>
          <w:rFonts w:ascii="Arial" w:hAnsi="Arial" w:cs="Arial"/>
          <w:bCs/>
          <w:sz w:val="22"/>
          <w:szCs w:val="22"/>
          <w:lang w:val="fr-FR"/>
        </w:rPr>
        <w:t>’</w:t>
      </w:r>
      <w:r w:rsidRPr="0032106D">
        <w:rPr>
          <w:rFonts w:ascii="Arial" w:hAnsi="Arial" w:cs="Arial"/>
          <w:bCs/>
          <w:sz w:val="22"/>
          <w:szCs w:val="22"/>
          <w:lang w:val="fr-FR"/>
        </w:rPr>
        <w:t>accord avec la proposition du Sous-Directeur général</w:t>
      </w:r>
      <w:r>
        <w:rPr>
          <w:rFonts w:ascii="Arial" w:hAnsi="Arial" w:cs="Arial"/>
          <w:bCs/>
          <w:sz w:val="22"/>
          <w:szCs w:val="22"/>
          <w:lang w:val="fr-FR"/>
        </w:rPr>
        <w:t>. C</w:t>
      </w:r>
      <w:r w:rsidRPr="0032106D">
        <w:rPr>
          <w:rFonts w:ascii="Arial" w:hAnsi="Arial" w:cs="Arial"/>
          <w:bCs/>
          <w:sz w:val="22"/>
          <w:szCs w:val="22"/>
          <w:lang w:val="fr-FR"/>
        </w:rPr>
        <w:t>ependant, il y avait deux propositions. Le Panama avait proposé un groupe de travail à composition non limitée</w:t>
      </w:r>
      <w:r>
        <w:rPr>
          <w:rFonts w:ascii="Arial" w:hAnsi="Arial" w:cs="Arial"/>
          <w:bCs/>
          <w:sz w:val="22"/>
          <w:szCs w:val="22"/>
          <w:lang w:val="fr-FR"/>
        </w:rPr>
        <w:t xml:space="preserve">, ayant un </w:t>
      </w:r>
      <w:r w:rsidRPr="0032106D">
        <w:rPr>
          <w:rFonts w:ascii="Arial" w:hAnsi="Arial" w:cs="Arial"/>
          <w:bCs/>
          <w:sz w:val="22"/>
          <w:szCs w:val="22"/>
          <w:lang w:val="fr-FR"/>
        </w:rPr>
        <w:t>coût financier élev</w:t>
      </w:r>
      <w:r>
        <w:rPr>
          <w:rFonts w:ascii="Arial" w:hAnsi="Arial" w:cs="Arial"/>
          <w:bCs/>
          <w:sz w:val="22"/>
          <w:szCs w:val="22"/>
          <w:lang w:val="fr-FR"/>
        </w:rPr>
        <w:t xml:space="preserve">é, </w:t>
      </w:r>
      <w:r w:rsidRPr="0032106D">
        <w:rPr>
          <w:rFonts w:ascii="Arial" w:hAnsi="Arial" w:cs="Arial"/>
          <w:bCs/>
          <w:sz w:val="22"/>
          <w:szCs w:val="22"/>
          <w:lang w:val="fr-FR"/>
        </w:rPr>
        <w:t>qui se tiendrait après l</w:t>
      </w:r>
      <w:r w:rsidR="008E532B">
        <w:rPr>
          <w:rFonts w:ascii="Arial" w:hAnsi="Arial" w:cs="Arial"/>
          <w:bCs/>
          <w:sz w:val="22"/>
          <w:szCs w:val="22"/>
          <w:lang w:val="fr-FR"/>
        </w:rPr>
        <w:t>’</w:t>
      </w:r>
      <w:r w:rsidRPr="0032106D">
        <w:rPr>
          <w:rFonts w:ascii="Arial" w:hAnsi="Arial" w:cs="Arial"/>
          <w:bCs/>
          <w:sz w:val="22"/>
          <w:szCs w:val="22"/>
          <w:lang w:val="fr-FR"/>
        </w:rPr>
        <w:t xml:space="preserve">Assemblée générale, alors que la Palestine avait proposé un petit groupe de membres pour terminer le travail le jour suivant. Elle </w:t>
      </w:r>
      <w:r>
        <w:rPr>
          <w:rFonts w:ascii="Arial" w:hAnsi="Arial" w:cs="Arial"/>
          <w:bCs/>
          <w:sz w:val="22"/>
          <w:szCs w:val="22"/>
          <w:lang w:val="fr-FR"/>
        </w:rPr>
        <w:t xml:space="preserve">souscrivait à la </w:t>
      </w:r>
      <w:r w:rsidRPr="00374C56">
        <w:rPr>
          <w:rFonts w:ascii="Arial" w:hAnsi="Arial" w:cs="Arial"/>
          <w:bCs/>
          <w:sz w:val="22"/>
          <w:szCs w:val="22"/>
          <w:lang w:val="fr-FR"/>
        </w:rPr>
        <w:t>proposition</w:t>
      </w:r>
      <w:r>
        <w:rPr>
          <w:rFonts w:ascii="Arial" w:hAnsi="Arial" w:cs="Arial"/>
          <w:bCs/>
          <w:sz w:val="22"/>
          <w:szCs w:val="22"/>
          <w:lang w:val="fr-FR"/>
        </w:rPr>
        <w:t xml:space="preserve"> du </w:t>
      </w:r>
      <w:r w:rsidRPr="0032106D">
        <w:rPr>
          <w:rFonts w:ascii="Arial" w:hAnsi="Arial" w:cs="Arial"/>
          <w:bCs/>
          <w:sz w:val="22"/>
          <w:szCs w:val="22"/>
          <w:lang w:val="fr-FR"/>
        </w:rPr>
        <w:t xml:space="preserve">Sous-Directeur général </w:t>
      </w:r>
      <w:r>
        <w:rPr>
          <w:rFonts w:ascii="Arial" w:hAnsi="Arial" w:cs="Arial"/>
          <w:bCs/>
          <w:sz w:val="22"/>
          <w:szCs w:val="22"/>
          <w:lang w:val="fr-FR"/>
        </w:rPr>
        <w:t>d</w:t>
      </w:r>
      <w:r w:rsidR="008E532B">
        <w:rPr>
          <w:rFonts w:ascii="Arial" w:hAnsi="Arial" w:cs="Arial"/>
          <w:bCs/>
          <w:sz w:val="22"/>
          <w:szCs w:val="22"/>
          <w:lang w:val="fr-FR"/>
        </w:rPr>
        <w:t>’</w:t>
      </w:r>
      <w:r w:rsidRPr="0032106D">
        <w:rPr>
          <w:rFonts w:ascii="Arial" w:hAnsi="Arial" w:cs="Arial"/>
          <w:bCs/>
          <w:sz w:val="22"/>
          <w:szCs w:val="22"/>
          <w:lang w:val="fr-FR"/>
        </w:rPr>
        <w:t>adopter d</w:t>
      </w:r>
      <w:r w:rsidR="008E532B">
        <w:rPr>
          <w:rFonts w:ascii="Arial" w:hAnsi="Arial" w:cs="Arial"/>
          <w:bCs/>
          <w:sz w:val="22"/>
          <w:szCs w:val="22"/>
          <w:lang w:val="fr-FR"/>
        </w:rPr>
        <w:t>’</w:t>
      </w:r>
      <w:r w:rsidRPr="0032106D">
        <w:rPr>
          <w:rFonts w:ascii="Arial" w:hAnsi="Arial" w:cs="Arial"/>
          <w:bCs/>
          <w:sz w:val="22"/>
          <w:szCs w:val="22"/>
          <w:lang w:val="fr-FR"/>
        </w:rPr>
        <w:t>abord les paragraphes 8 et 9 et de suspendre les paragraphes 4 et 7bis jusqu</w:t>
      </w:r>
      <w:r w:rsidR="008E532B">
        <w:rPr>
          <w:rFonts w:ascii="Arial" w:hAnsi="Arial" w:cs="Arial"/>
          <w:bCs/>
          <w:sz w:val="22"/>
          <w:szCs w:val="22"/>
          <w:lang w:val="fr-FR"/>
        </w:rPr>
        <w:t>’</w:t>
      </w:r>
      <w:r w:rsidRPr="0032106D">
        <w:rPr>
          <w:rFonts w:ascii="Arial" w:hAnsi="Arial" w:cs="Arial"/>
          <w:bCs/>
          <w:sz w:val="22"/>
          <w:szCs w:val="22"/>
          <w:lang w:val="fr-FR"/>
        </w:rPr>
        <w:t>à plus tard dans la session, lorsque l</w:t>
      </w:r>
      <w:r w:rsidR="008E532B">
        <w:rPr>
          <w:rFonts w:ascii="Arial" w:hAnsi="Arial" w:cs="Arial"/>
          <w:bCs/>
          <w:sz w:val="22"/>
          <w:szCs w:val="22"/>
          <w:lang w:val="fr-FR"/>
        </w:rPr>
        <w:t>’</w:t>
      </w:r>
      <w:r w:rsidRPr="0032106D">
        <w:rPr>
          <w:rFonts w:ascii="Arial" w:hAnsi="Arial" w:cs="Arial"/>
          <w:bCs/>
          <w:sz w:val="22"/>
          <w:szCs w:val="22"/>
          <w:lang w:val="fr-FR"/>
        </w:rPr>
        <w:t xml:space="preserve">Assemblée </w:t>
      </w:r>
      <w:r>
        <w:rPr>
          <w:rFonts w:ascii="Arial" w:hAnsi="Arial" w:cs="Arial"/>
          <w:bCs/>
          <w:sz w:val="22"/>
          <w:szCs w:val="22"/>
          <w:lang w:val="fr-FR"/>
        </w:rPr>
        <w:t>aurait reçu</w:t>
      </w:r>
      <w:r w:rsidRPr="0032106D">
        <w:rPr>
          <w:rFonts w:ascii="Arial" w:hAnsi="Arial" w:cs="Arial"/>
          <w:bCs/>
          <w:sz w:val="22"/>
          <w:szCs w:val="22"/>
          <w:lang w:val="fr-FR"/>
        </w:rPr>
        <w:t xml:space="preserve"> l</w:t>
      </w:r>
      <w:r>
        <w:rPr>
          <w:rFonts w:ascii="Arial" w:hAnsi="Arial" w:cs="Arial"/>
          <w:bCs/>
          <w:sz w:val="22"/>
          <w:szCs w:val="22"/>
          <w:lang w:val="fr-FR"/>
        </w:rPr>
        <w:t>e projet</w:t>
      </w:r>
      <w:r w:rsidRPr="0032106D">
        <w:rPr>
          <w:rFonts w:ascii="Arial" w:hAnsi="Arial" w:cs="Arial"/>
          <w:bCs/>
          <w:sz w:val="22"/>
          <w:szCs w:val="22"/>
          <w:lang w:val="fr-FR"/>
        </w:rPr>
        <w:t xml:space="preserve"> de consensus. La délégation a suggéré de convoquer les délégations qui pourraient être intéressées </w:t>
      </w:r>
      <w:r>
        <w:rPr>
          <w:rFonts w:ascii="Arial" w:hAnsi="Arial" w:cs="Arial"/>
          <w:bCs/>
          <w:sz w:val="22"/>
          <w:szCs w:val="22"/>
          <w:lang w:val="fr-FR"/>
        </w:rPr>
        <w:t>par une</w:t>
      </w:r>
      <w:r w:rsidRPr="0032106D">
        <w:rPr>
          <w:rFonts w:ascii="Arial" w:hAnsi="Arial" w:cs="Arial"/>
          <w:bCs/>
          <w:sz w:val="22"/>
          <w:szCs w:val="22"/>
          <w:lang w:val="fr-FR"/>
        </w:rPr>
        <w:t xml:space="preserve"> particip</w:t>
      </w:r>
      <w:r>
        <w:rPr>
          <w:rFonts w:ascii="Arial" w:hAnsi="Arial" w:cs="Arial"/>
          <w:bCs/>
          <w:sz w:val="22"/>
          <w:szCs w:val="22"/>
          <w:lang w:val="fr-FR"/>
        </w:rPr>
        <w:t>ation</w:t>
      </w:r>
      <w:r w:rsidRPr="0032106D">
        <w:rPr>
          <w:rFonts w:ascii="Arial" w:hAnsi="Arial" w:cs="Arial"/>
          <w:bCs/>
          <w:sz w:val="22"/>
          <w:szCs w:val="22"/>
          <w:lang w:val="fr-FR"/>
        </w:rPr>
        <w:t xml:space="preserve"> au groupe de travail après l</w:t>
      </w:r>
      <w:r w:rsidR="008E532B">
        <w:rPr>
          <w:rFonts w:ascii="Arial" w:hAnsi="Arial" w:cs="Arial"/>
          <w:bCs/>
          <w:sz w:val="22"/>
          <w:szCs w:val="22"/>
          <w:lang w:val="fr-FR"/>
        </w:rPr>
        <w:t>’</w:t>
      </w:r>
      <w:r w:rsidRPr="0032106D">
        <w:rPr>
          <w:rFonts w:ascii="Arial" w:hAnsi="Arial" w:cs="Arial"/>
          <w:bCs/>
          <w:sz w:val="22"/>
          <w:szCs w:val="22"/>
          <w:lang w:val="fr-FR"/>
        </w:rPr>
        <w:t>adoption des deux paragraphes.</w:t>
      </w:r>
    </w:p>
    <w:p w14:paraId="77167526" w14:textId="4DA9300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26985">
        <w:rPr>
          <w:rFonts w:ascii="Arial" w:hAnsi="Arial" w:cs="Arial"/>
          <w:bCs/>
          <w:sz w:val="22"/>
          <w:szCs w:val="22"/>
          <w:lang w:val="fr-FR"/>
        </w:rPr>
        <w:t xml:space="preserve">La délégation </w:t>
      </w:r>
      <w:r>
        <w:rPr>
          <w:rFonts w:ascii="Arial" w:hAnsi="Arial" w:cs="Arial"/>
          <w:bCs/>
          <w:sz w:val="22"/>
          <w:szCs w:val="22"/>
          <w:lang w:val="fr-FR"/>
        </w:rPr>
        <w:t xml:space="preserve">de la </w:t>
      </w:r>
      <w:r w:rsidRPr="006D154E">
        <w:rPr>
          <w:rFonts w:ascii="Arial" w:hAnsi="Arial" w:cs="Arial"/>
          <w:b/>
          <w:sz w:val="22"/>
          <w:szCs w:val="22"/>
          <w:lang w:val="fr-FR"/>
        </w:rPr>
        <w:t>République bolivarienne du Venezuela</w:t>
      </w:r>
      <w:r w:rsidRPr="00226985">
        <w:rPr>
          <w:rFonts w:ascii="Arial" w:hAnsi="Arial" w:cs="Arial"/>
          <w:bCs/>
          <w:sz w:val="22"/>
          <w:szCs w:val="22"/>
          <w:lang w:val="fr-FR"/>
        </w:rPr>
        <w:t xml:space="preserve"> a formulé deux observations. Premièrement, le nom d</w:t>
      </w:r>
      <w:r>
        <w:rPr>
          <w:rFonts w:ascii="Arial" w:hAnsi="Arial" w:cs="Arial"/>
          <w:bCs/>
          <w:sz w:val="22"/>
          <w:szCs w:val="22"/>
          <w:lang w:val="fr-FR"/>
        </w:rPr>
        <w:t>e la République bolivarienne du Venezuela</w:t>
      </w:r>
      <w:r w:rsidRPr="00226985">
        <w:rPr>
          <w:rFonts w:ascii="Arial" w:hAnsi="Arial" w:cs="Arial"/>
          <w:bCs/>
          <w:sz w:val="22"/>
          <w:szCs w:val="22"/>
          <w:lang w:val="fr-FR"/>
        </w:rPr>
        <w:t>, parmi d</w:t>
      </w:r>
      <w:r w:rsidR="008E532B">
        <w:rPr>
          <w:rFonts w:ascii="Arial" w:hAnsi="Arial" w:cs="Arial"/>
          <w:bCs/>
          <w:sz w:val="22"/>
          <w:szCs w:val="22"/>
          <w:lang w:val="fr-FR"/>
        </w:rPr>
        <w:t>’</w:t>
      </w:r>
      <w:r w:rsidRPr="00226985">
        <w:rPr>
          <w:rFonts w:ascii="Arial" w:hAnsi="Arial" w:cs="Arial"/>
          <w:bCs/>
          <w:sz w:val="22"/>
          <w:szCs w:val="22"/>
          <w:lang w:val="fr-FR"/>
        </w:rPr>
        <w:t xml:space="preserve">autres, ne figurait pas </w:t>
      </w:r>
      <w:r>
        <w:rPr>
          <w:rFonts w:ascii="Arial" w:hAnsi="Arial" w:cs="Arial"/>
          <w:bCs/>
          <w:sz w:val="22"/>
          <w:szCs w:val="22"/>
          <w:lang w:val="fr-FR"/>
        </w:rPr>
        <w:t xml:space="preserve">sur </w:t>
      </w:r>
      <w:r w:rsidRPr="00226985">
        <w:rPr>
          <w:rFonts w:ascii="Arial" w:hAnsi="Arial" w:cs="Arial"/>
          <w:bCs/>
          <w:sz w:val="22"/>
          <w:szCs w:val="22"/>
          <w:lang w:val="fr-FR"/>
        </w:rPr>
        <w:t>la liste des États soutenant l</w:t>
      </w:r>
      <w:r w:rsidR="008E532B">
        <w:rPr>
          <w:rFonts w:ascii="Arial" w:hAnsi="Arial" w:cs="Arial"/>
          <w:bCs/>
          <w:sz w:val="22"/>
          <w:szCs w:val="22"/>
          <w:lang w:val="fr-FR"/>
        </w:rPr>
        <w:t>’</w:t>
      </w:r>
      <w:r w:rsidRPr="00226985">
        <w:rPr>
          <w:rFonts w:ascii="Arial" w:hAnsi="Arial" w:cs="Arial"/>
          <w:bCs/>
          <w:sz w:val="22"/>
          <w:szCs w:val="22"/>
          <w:lang w:val="fr-FR"/>
        </w:rPr>
        <w:t>amendement de la Palestine. Deuxièmement, elle a remercié le Sous-Directeur général pour sa proposition et, étant donné que les paragraphes 4 et 7bis étaient liés à cette discussion, elle pouvait soutenir l</w:t>
      </w:r>
      <w:r w:rsidR="008E532B">
        <w:rPr>
          <w:rFonts w:ascii="Arial" w:hAnsi="Arial" w:cs="Arial"/>
          <w:bCs/>
          <w:sz w:val="22"/>
          <w:szCs w:val="22"/>
          <w:lang w:val="fr-FR"/>
        </w:rPr>
        <w:t>’</w:t>
      </w:r>
      <w:r w:rsidRPr="00226985">
        <w:rPr>
          <w:rFonts w:ascii="Arial" w:hAnsi="Arial" w:cs="Arial"/>
          <w:bCs/>
          <w:sz w:val="22"/>
          <w:szCs w:val="22"/>
          <w:lang w:val="fr-FR"/>
        </w:rPr>
        <w:t>idée d</w:t>
      </w:r>
      <w:r w:rsidR="008E532B">
        <w:rPr>
          <w:rFonts w:ascii="Arial" w:hAnsi="Arial" w:cs="Arial"/>
          <w:bCs/>
          <w:sz w:val="22"/>
          <w:szCs w:val="22"/>
          <w:lang w:val="fr-FR"/>
        </w:rPr>
        <w:t>’</w:t>
      </w:r>
      <w:r w:rsidRPr="00226985">
        <w:rPr>
          <w:rFonts w:ascii="Arial" w:hAnsi="Arial" w:cs="Arial"/>
          <w:bCs/>
          <w:sz w:val="22"/>
          <w:szCs w:val="22"/>
          <w:lang w:val="fr-FR"/>
        </w:rPr>
        <w:t>un groupe de travail qui se réunirait le lendemain, qui pourrait être un groupe de travail restreint. Mais s</w:t>
      </w:r>
      <w:r w:rsidR="008E532B">
        <w:rPr>
          <w:rFonts w:ascii="Arial" w:hAnsi="Arial" w:cs="Arial"/>
          <w:bCs/>
          <w:sz w:val="22"/>
          <w:szCs w:val="22"/>
          <w:lang w:val="fr-FR"/>
        </w:rPr>
        <w:t>’</w:t>
      </w:r>
      <w:r w:rsidRPr="00226985">
        <w:rPr>
          <w:rFonts w:ascii="Arial" w:hAnsi="Arial" w:cs="Arial"/>
          <w:bCs/>
          <w:sz w:val="22"/>
          <w:szCs w:val="22"/>
          <w:lang w:val="fr-FR"/>
        </w:rPr>
        <w:t>il n</w:t>
      </w:r>
      <w:r w:rsidR="008E532B">
        <w:rPr>
          <w:rFonts w:ascii="Arial" w:hAnsi="Arial" w:cs="Arial"/>
          <w:bCs/>
          <w:sz w:val="22"/>
          <w:szCs w:val="22"/>
          <w:lang w:val="fr-FR"/>
        </w:rPr>
        <w:t>’</w:t>
      </w:r>
      <w:r w:rsidRPr="00226985">
        <w:rPr>
          <w:rFonts w:ascii="Arial" w:hAnsi="Arial" w:cs="Arial"/>
          <w:bCs/>
          <w:sz w:val="22"/>
          <w:szCs w:val="22"/>
          <w:lang w:val="fr-FR"/>
        </w:rPr>
        <w:t xml:space="preserve">y avait pas de consensus ou de décision claire à la fin, alors un groupe de travail à durée indéterminée pourrait être nécessaire entre les sessions, </w:t>
      </w:r>
      <w:r>
        <w:rPr>
          <w:rFonts w:ascii="Arial" w:hAnsi="Arial" w:cs="Arial"/>
          <w:bCs/>
          <w:sz w:val="22"/>
          <w:szCs w:val="22"/>
          <w:lang w:val="fr-FR"/>
        </w:rPr>
        <w:t xml:space="preserve">c.-à-d. </w:t>
      </w:r>
      <w:r w:rsidRPr="00226985">
        <w:rPr>
          <w:rFonts w:ascii="Arial" w:hAnsi="Arial" w:cs="Arial"/>
          <w:bCs/>
          <w:sz w:val="22"/>
          <w:szCs w:val="22"/>
          <w:lang w:val="fr-FR"/>
        </w:rPr>
        <w:t>avant la prochaine Assemblée générale. Entre-temps, l</w:t>
      </w:r>
      <w:r w:rsidR="008E532B">
        <w:rPr>
          <w:rFonts w:ascii="Arial" w:hAnsi="Arial" w:cs="Arial"/>
          <w:bCs/>
          <w:sz w:val="22"/>
          <w:szCs w:val="22"/>
          <w:lang w:val="fr-FR"/>
        </w:rPr>
        <w:t>’</w:t>
      </w:r>
      <w:r w:rsidRPr="00226985">
        <w:rPr>
          <w:rFonts w:ascii="Arial" w:hAnsi="Arial" w:cs="Arial"/>
          <w:bCs/>
          <w:sz w:val="22"/>
          <w:szCs w:val="22"/>
          <w:lang w:val="fr-FR"/>
        </w:rPr>
        <w:t xml:space="preserve">Assemblée pourrait continuer avec la pratique actuelle, à savoir que toutes les ONG </w:t>
      </w:r>
      <w:r>
        <w:rPr>
          <w:rFonts w:ascii="Arial" w:hAnsi="Arial" w:cs="Arial"/>
          <w:bCs/>
          <w:sz w:val="22"/>
          <w:szCs w:val="22"/>
          <w:lang w:val="fr-FR"/>
        </w:rPr>
        <w:t>étaient</w:t>
      </w:r>
      <w:r w:rsidRPr="00226985">
        <w:rPr>
          <w:rFonts w:ascii="Arial" w:hAnsi="Arial" w:cs="Arial"/>
          <w:bCs/>
          <w:sz w:val="22"/>
          <w:szCs w:val="22"/>
          <w:lang w:val="fr-FR"/>
        </w:rPr>
        <w:t xml:space="preserve"> les bienvenues, sauf celles qui n</w:t>
      </w:r>
      <w:r w:rsidR="008E532B">
        <w:rPr>
          <w:rFonts w:ascii="Arial" w:hAnsi="Arial" w:cs="Arial"/>
          <w:bCs/>
          <w:sz w:val="22"/>
          <w:szCs w:val="22"/>
          <w:lang w:val="fr-FR"/>
        </w:rPr>
        <w:t>’</w:t>
      </w:r>
      <w:r>
        <w:rPr>
          <w:rFonts w:ascii="Arial" w:hAnsi="Arial" w:cs="Arial"/>
          <w:bCs/>
          <w:sz w:val="22"/>
          <w:szCs w:val="22"/>
          <w:lang w:val="fr-FR"/>
        </w:rPr>
        <w:t>étaient</w:t>
      </w:r>
      <w:r w:rsidRPr="00226985">
        <w:rPr>
          <w:rFonts w:ascii="Arial" w:hAnsi="Arial" w:cs="Arial"/>
          <w:bCs/>
          <w:sz w:val="22"/>
          <w:szCs w:val="22"/>
          <w:lang w:val="fr-FR"/>
        </w:rPr>
        <w:t xml:space="preserve"> pas domiciliées dans les États parties. De cette façon, l</w:t>
      </w:r>
      <w:r w:rsidR="008E532B">
        <w:rPr>
          <w:rFonts w:ascii="Arial" w:hAnsi="Arial" w:cs="Arial"/>
          <w:bCs/>
          <w:sz w:val="22"/>
          <w:szCs w:val="22"/>
          <w:lang w:val="fr-FR"/>
        </w:rPr>
        <w:t>’</w:t>
      </w:r>
      <w:r w:rsidRPr="00226985">
        <w:rPr>
          <w:rFonts w:ascii="Arial" w:hAnsi="Arial" w:cs="Arial"/>
          <w:bCs/>
          <w:sz w:val="22"/>
          <w:szCs w:val="22"/>
          <w:lang w:val="fr-FR"/>
        </w:rPr>
        <w:t>Assemblée serait fidèle à la pratique et pourrait traiter la question lors de la prochaine Assemblée générale.</w:t>
      </w:r>
    </w:p>
    <w:p w14:paraId="33993B1A" w14:textId="247CBE21" w:rsidR="00D9653F" w:rsidRPr="00226985"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26985">
        <w:rPr>
          <w:rFonts w:ascii="Arial" w:hAnsi="Arial" w:cs="Arial"/>
          <w:bCs/>
          <w:sz w:val="22"/>
          <w:szCs w:val="22"/>
          <w:lang w:val="fr-FR"/>
        </w:rPr>
        <w:t xml:space="preserve">La délégation </w:t>
      </w:r>
      <w:r>
        <w:rPr>
          <w:rFonts w:ascii="Arial" w:hAnsi="Arial" w:cs="Arial"/>
          <w:bCs/>
          <w:sz w:val="22"/>
          <w:szCs w:val="22"/>
          <w:lang w:val="fr-FR"/>
        </w:rPr>
        <w:t xml:space="preserve">de la </w:t>
      </w:r>
      <w:r w:rsidRPr="00226985">
        <w:rPr>
          <w:rFonts w:ascii="Arial" w:hAnsi="Arial" w:cs="Arial"/>
          <w:b/>
          <w:sz w:val="22"/>
          <w:szCs w:val="22"/>
          <w:lang w:val="fr-FR"/>
        </w:rPr>
        <w:t>Suisse</w:t>
      </w:r>
      <w:r w:rsidRPr="00226985">
        <w:rPr>
          <w:rFonts w:ascii="Arial" w:hAnsi="Arial" w:cs="Arial"/>
          <w:bCs/>
          <w:sz w:val="22"/>
          <w:szCs w:val="22"/>
          <w:lang w:val="fr-FR"/>
        </w:rPr>
        <w:t xml:space="preserve"> soutenait la proposition faite par le Sous-Directeur général et relayée par la Palestine, à savoir l</w:t>
      </w:r>
      <w:r w:rsidR="008E532B">
        <w:rPr>
          <w:rFonts w:ascii="Arial" w:hAnsi="Arial" w:cs="Arial"/>
          <w:bCs/>
          <w:sz w:val="22"/>
          <w:szCs w:val="22"/>
          <w:lang w:val="fr-FR"/>
        </w:rPr>
        <w:t>’</w:t>
      </w:r>
      <w:r w:rsidRPr="00226985">
        <w:rPr>
          <w:rFonts w:ascii="Arial" w:hAnsi="Arial" w:cs="Arial"/>
          <w:bCs/>
          <w:sz w:val="22"/>
          <w:szCs w:val="22"/>
          <w:lang w:val="fr-FR"/>
        </w:rPr>
        <w:t>organisation d</w:t>
      </w:r>
      <w:r w:rsidR="008E532B">
        <w:rPr>
          <w:rFonts w:ascii="Arial" w:hAnsi="Arial" w:cs="Arial"/>
          <w:bCs/>
          <w:sz w:val="22"/>
          <w:szCs w:val="22"/>
          <w:lang w:val="fr-FR"/>
        </w:rPr>
        <w:t>’</w:t>
      </w:r>
      <w:r w:rsidRPr="00226985">
        <w:rPr>
          <w:rFonts w:ascii="Arial" w:hAnsi="Arial" w:cs="Arial"/>
          <w:bCs/>
          <w:sz w:val="22"/>
          <w:szCs w:val="22"/>
          <w:lang w:val="fr-FR"/>
        </w:rPr>
        <w:t xml:space="preserve">un groupe de consultation le lendemain </w:t>
      </w:r>
      <w:r>
        <w:rPr>
          <w:rFonts w:ascii="Arial" w:hAnsi="Arial" w:cs="Arial"/>
          <w:bCs/>
          <w:sz w:val="22"/>
          <w:szCs w:val="22"/>
          <w:lang w:val="fr-FR"/>
        </w:rPr>
        <w:t>pour parvenir à l</w:t>
      </w:r>
      <w:r w:rsidR="008E532B">
        <w:rPr>
          <w:rFonts w:ascii="Arial" w:hAnsi="Arial" w:cs="Arial"/>
          <w:bCs/>
          <w:sz w:val="22"/>
          <w:szCs w:val="22"/>
          <w:lang w:val="fr-FR"/>
        </w:rPr>
        <w:t>’</w:t>
      </w:r>
      <w:r w:rsidRPr="00226985">
        <w:rPr>
          <w:rFonts w:ascii="Arial" w:hAnsi="Arial" w:cs="Arial"/>
          <w:bCs/>
          <w:sz w:val="22"/>
          <w:szCs w:val="22"/>
          <w:lang w:val="fr-FR"/>
        </w:rPr>
        <w:t>élaboration</w:t>
      </w:r>
      <w:r>
        <w:rPr>
          <w:rFonts w:ascii="Arial" w:hAnsi="Arial" w:cs="Arial"/>
          <w:bCs/>
          <w:sz w:val="22"/>
          <w:szCs w:val="22"/>
          <w:lang w:val="fr-FR"/>
        </w:rPr>
        <w:t xml:space="preserve"> d</w:t>
      </w:r>
      <w:r w:rsidR="008E532B">
        <w:rPr>
          <w:rFonts w:ascii="Arial" w:hAnsi="Arial" w:cs="Arial"/>
          <w:bCs/>
          <w:sz w:val="22"/>
          <w:szCs w:val="22"/>
          <w:lang w:val="fr-FR"/>
        </w:rPr>
        <w:t>’</w:t>
      </w:r>
      <w:r w:rsidRPr="00226985">
        <w:rPr>
          <w:rFonts w:ascii="Arial" w:hAnsi="Arial" w:cs="Arial"/>
          <w:bCs/>
          <w:sz w:val="22"/>
          <w:szCs w:val="22"/>
          <w:lang w:val="fr-FR"/>
        </w:rPr>
        <w:t>une proposition consensuelle en ce qui concerne</w:t>
      </w:r>
      <w:r>
        <w:rPr>
          <w:rFonts w:ascii="Arial" w:hAnsi="Arial" w:cs="Arial"/>
          <w:bCs/>
          <w:sz w:val="22"/>
          <w:szCs w:val="22"/>
          <w:lang w:val="fr-FR"/>
        </w:rPr>
        <w:t xml:space="preserve"> le </w:t>
      </w:r>
      <w:r w:rsidRPr="00226985">
        <w:rPr>
          <w:rFonts w:ascii="Arial" w:hAnsi="Arial" w:cs="Arial"/>
          <w:bCs/>
          <w:sz w:val="22"/>
          <w:szCs w:val="22"/>
          <w:lang w:val="fr-FR"/>
        </w:rPr>
        <w:t>paragraphe 7bis. Il semblait tout à fait prématuré d</w:t>
      </w:r>
      <w:r w:rsidR="008E532B">
        <w:rPr>
          <w:rFonts w:ascii="Arial" w:hAnsi="Arial" w:cs="Arial"/>
          <w:bCs/>
          <w:sz w:val="22"/>
          <w:szCs w:val="22"/>
          <w:lang w:val="fr-FR"/>
        </w:rPr>
        <w:t>’</w:t>
      </w:r>
      <w:r w:rsidRPr="00226985">
        <w:rPr>
          <w:rFonts w:ascii="Arial" w:hAnsi="Arial" w:cs="Arial"/>
          <w:bCs/>
          <w:sz w:val="22"/>
          <w:szCs w:val="22"/>
          <w:lang w:val="fr-FR"/>
        </w:rPr>
        <w:t xml:space="preserve">envisager un groupe de travail à composition non limitée. Le sujet </w:t>
      </w:r>
      <w:r>
        <w:rPr>
          <w:rFonts w:ascii="Arial" w:hAnsi="Arial" w:cs="Arial"/>
          <w:bCs/>
          <w:sz w:val="22"/>
          <w:szCs w:val="22"/>
          <w:lang w:val="fr-FR"/>
        </w:rPr>
        <w:t xml:space="preserve">était </w:t>
      </w:r>
      <w:r w:rsidRPr="00226985">
        <w:rPr>
          <w:rFonts w:ascii="Arial" w:hAnsi="Arial" w:cs="Arial"/>
          <w:bCs/>
          <w:sz w:val="22"/>
          <w:szCs w:val="22"/>
          <w:lang w:val="fr-FR"/>
        </w:rPr>
        <w:t>certes important, mais l</w:t>
      </w:r>
      <w:r w:rsidR="008E532B">
        <w:rPr>
          <w:rFonts w:ascii="Arial" w:hAnsi="Arial" w:cs="Arial"/>
          <w:bCs/>
          <w:sz w:val="22"/>
          <w:szCs w:val="22"/>
          <w:lang w:val="fr-FR"/>
        </w:rPr>
        <w:t>’</w:t>
      </w:r>
      <w:r w:rsidRPr="00226985">
        <w:rPr>
          <w:rFonts w:ascii="Arial" w:hAnsi="Arial" w:cs="Arial"/>
          <w:bCs/>
          <w:sz w:val="22"/>
          <w:szCs w:val="22"/>
          <w:lang w:val="fr-FR"/>
        </w:rPr>
        <w:t>Assemblée devra</w:t>
      </w:r>
      <w:r>
        <w:rPr>
          <w:rFonts w:ascii="Arial" w:hAnsi="Arial" w:cs="Arial"/>
          <w:bCs/>
          <w:sz w:val="22"/>
          <w:szCs w:val="22"/>
          <w:lang w:val="fr-FR"/>
        </w:rPr>
        <w:t xml:space="preserve">it </w:t>
      </w:r>
      <w:r w:rsidRPr="00226985">
        <w:rPr>
          <w:rFonts w:ascii="Arial" w:hAnsi="Arial" w:cs="Arial"/>
          <w:bCs/>
          <w:sz w:val="22"/>
          <w:szCs w:val="22"/>
          <w:lang w:val="fr-FR"/>
        </w:rPr>
        <w:t>se mettre d</w:t>
      </w:r>
      <w:r w:rsidR="008E532B">
        <w:rPr>
          <w:rFonts w:ascii="Arial" w:hAnsi="Arial" w:cs="Arial"/>
          <w:bCs/>
          <w:sz w:val="22"/>
          <w:szCs w:val="22"/>
          <w:lang w:val="fr-FR"/>
        </w:rPr>
        <w:t>’</w:t>
      </w:r>
      <w:r w:rsidRPr="00226985">
        <w:rPr>
          <w:rFonts w:ascii="Arial" w:hAnsi="Arial" w:cs="Arial"/>
          <w:bCs/>
          <w:sz w:val="22"/>
          <w:szCs w:val="22"/>
          <w:lang w:val="fr-FR"/>
        </w:rPr>
        <w:t>accord sur les modalités et le financement de ce groupe à composition non limitée, et ce n</w:t>
      </w:r>
      <w:r w:rsidR="008E532B">
        <w:rPr>
          <w:rFonts w:ascii="Arial" w:hAnsi="Arial" w:cs="Arial"/>
          <w:bCs/>
          <w:sz w:val="22"/>
          <w:szCs w:val="22"/>
          <w:lang w:val="fr-FR"/>
        </w:rPr>
        <w:t>’</w:t>
      </w:r>
      <w:r>
        <w:rPr>
          <w:rFonts w:ascii="Arial" w:hAnsi="Arial" w:cs="Arial"/>
          <w:bCs/>
          <w:sz w:val="22"/>
          <w:szCs w:val="22"/>
          <w:lang w:val="fr-FR"/>
        </w:rPr>
        <w:t>était</w:t>
      </w:r>
      <w:r w:rsidRPr="00226985">
        <w:rPr>
          <w:rFonts w:ascii="Arial" w:hAnsi="Arial" w:cs="Arial"/>
          <w:bCs/>
          <w:sz w:val="22"/>
          <w:szCs w:val="22"/>
          <w:lang w:val="fr-FR"/>
        </w:rPr>
        <w:t xml:space="preserve"> pas le moment de prendre une telle décision. La délégation a appelé tous les États parties à soutenir la proposition d</w:t>
      </w:r>
      <w:r w:rsidR="008E532B">
        <w:rPr>
          <w:rFonts w:ascii="Arial" w:hAnsi="Arial" w:cs="Arial"/>
          <w:bCs/>
          <w:sz w:val="22"/>
          <w:szCs w:val="22"/>
          <w:lang w:val="fr-FR"/>
        </w:rPr>
        <w:t>’</w:t>
      </w:r>
      <w:r w:rsidRPr="00226985">
        <w:rPr>
          <w:rFonts w:ascii="Arial" w:hAnsi="Arial" w:cs="Arial"/>
          <w:bCs/>
          <w:sz w:val="22"/>
          <w:szCs w:val="22"/>
          <w:lang w:val="fr-FR"/>
        </w:rPr>
        <w:t xml:space="preserve">un groupe informel, après quoi les modalités pourraient être </w:t>
      </w:r>
      <w:r>
        <w:rPr>
          <w:rFonts w:ascii="Arial" w:hAnsi="Arial" w:cs="Arial"/>
          <w:bCs/>
          <w:sz w:val="22"/>
          <w:szCs w:val="22"/>
          <w:lang w:val="fr-FR"/>
        </w:rPr>
        <w:t xml:space="preserve">envisagées </w:t>
      </w:r>
      <w:r w:rsidRPr="00226985">
        <w:rPr>
          <w:rFonts w:ascii="Arial" w:hAnsi="Arial" w:cs="Arial"/>
          <w:bCs/>
          <w:sz w:val="22"/>
          <w:szCs w:val="22"/>
          <w:lang w:val="fr-FR"/>
        </w:rPr>
        <w:t>de manière flexible afin de conclure et de trouver une solution d</w:t>
      </w:r>
      <w:r w:rsidR="008E532B">
        <w:rPr>
          <w:rFonts w:ascii="Arial" w:hAnsi="Arial" w:cs="Arial"/>
          <w:bCs/>
          <w:sz w:val="22"/>
          <w:szCs w:val="22"/>
          <w:lang w:val="fr-FR"/>
        </w:rPr>
        <w:t>’</w:t>
      </w:r>
      <w:r w:rsidRPr="00226985">
        <w:rPr>
          <w:rFonts w:ascii="Arial" w:hAnsi="Arial" w:cs="Arial"/>
          <w:bCs/>
          <w:sz w:val="22"/>
          <w:szCs w:val="22"/>
          <w:lang w:val="fr-FR"/>
        </w:rPr>
        <w:t>ici le lendemain.</w:t>
      </w:r>
    </w:p>
    <w:p w14:paraId="187D1782" w14:textId="457DBF0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26985">
        <w:rPr>
          <w:rFonts w:ascii="Arial" w:hAnsi="Arial" w:cs="Arial"/>
          <w:bCs/>
          <w:sz w:val="22"/>
          <w:szCs w:val="22"/>
          <w:lang w:val="fr-FR"/>
        </w:rPr>
        <w:t xml:space="preserve">La délégation </w:t>
      </w:r>
      <w:r>
        <w:rPr>
          <w:rFonts w:ascii="Arial" w:hAnsi="Arial" w:cs="Arial"/>
          <w:bCs/>
          <w:sz w:val="22"/>
          <w:szCs w:val="22"/>
          <w:lang w:val="fr-FR"/>
        </w:rPr>
        <w:t xml:space="preserve">du </w:t>
      </w:r>
      <w:r w:rsidRPr="00226985">
        <w:rPr>
          <w:rFonts w:ascii="Arial" w:hAnsi="Arial" w:cs="Arial"/>
          <w:b/>
          <w:sz w:val="22"/>
          <w:szCs w:val="22"/>
          <w:lang w:val="fr-FR"/>
        </w:rPr>
        <w:t>Japon</w:t>
      </w:r>
      <w:r>
        <w:rPr>
          <w:rFonts w:ascii="Arial" w:hAnsi="Arial" w:cs="Arial"/>
          <w:bCs/>
          <w:sz w:val="22"/>
          <w:szCs w:val="22"/>
          <w:lang w:val="fr-FR"/>
        </w:rPr>
        <w:t xml:space="preserve"> </w:t>
      </w:r>
      <w:r w:rsidRPr="00226985">
        <w:rPr>
          <w:rFonts w:ascii="Arial" w:hAnsi="Arial" w:cs="Arial"/>
          <w:bCs/>
          <w:sz w:val="22"/>
          <w:szCs w:val="22"/>
          <w:lang w:val="fr-FR"/>
        </w:rPr>
        <w:t>a</w:t>
      </w:r>
      <w:r>
        <w:rPr>
          <w:rFonts w:ascii="Arial" w:hAnsi="Arial" w:cs="Arial"/>
          <w:bCs/>
          <w:sz w:val="22"/>
          <w:szCs w:val="22"/>
          <w:lang w:val="fr-FR"/>
        </w:rPr>
        <w:t xml:space="preserve">vait </w:t>
      </w:r>
      <w:r w:rsidRPr="00226985">
        <w:rPr>
          <w:rFonts w:ascii="Arial" w:hAnsi="Arial" w:cs="Arial"/>
          <w:bCs/>
          <w:sz w:val="22"/>
          <w:szCs w:val="22"/>
          <w:lang w:val="fr-FR"/>
        </w:rPr>
        <w:t>présidé un certain nombre de réunions en 2021 et</w:t>
      </w:r>
      <w:r>
        <w:rPr>
          <w:rFonts w:ascii="Arial" w:hAnsi="Arial" w:cs="Arial"/>
          <w:bCs/>
          <w:sz w:val="22"/>
          <w:szCs w:val="22"/>
          <w:lang w:val="fr-FR"/>
        </w:rPr>
        <w:t>,</w:t>
      </w:r>
      <w:r w:rsidRPr="00226985">
        <w:rPr>
          <w:rFonts w:ascii="Arial" w:hAnsi="Arial" w:cs="Arial"/>
          <w:bCs/>
          <w:sz w:val="22"/>
          <w:szCs w:val="22"/>
          <w:lang w:val="fr-FR"/>
        </w:rPr>
        <w:t xml:space="preserve"> dans des cas </w:t>
      </w:r>
      <w:r>
        <w:rPr>
          <w:rFonts w:ascii="Arial" w:hAnsi="Arial" w:cs="Arial"/>
          <w:bCs/>
          <w:sz w:val="22"/>
          <w:szCs w:val="22"/>
          <w:lang w:val="fr-FR"/>
        </w:rPr>
        <w:t>similaires</w:t>
      </w:r>
      <w:r w:rsidRPr="00226985">
        <w:rPr>
          <w:rFonts w:ascii="Arial" w:hAnsi="Arial" w:cs="Arial"/>
          <w:bCs/>
          <w:sz w:val="22"/>
          <w:szCs w:val="22"/>
          <w:lang w:val="fr-FR"/>
        </w:rPr>
        <w:t>, il n</w:t>
      </w:r>
      <w:r w:rsidR="008E532B">
        <w:rPr>
          <w:rFonts w:ascii="Arial" w:hAnsi="Arial" w:cs="Arial"/>
          <w:bCs/>
          <w:sz w:val="22"/>
          <w:szCs w:val="22"/>
          <w:lang w:val="fr-FR"/>
        </w:rPr>
        <w:t>’</w:t>
      </w:r>
      <w:r w:rsidRPr="00226985">
        <w:rPr>
          <w:rFonts w:ascii="Arial" w:hAnsi="Arial" w:cs="Arial"/>
          <w:bCs/>
          <w:sz w:val="22"/>
          <w:szCs w:val="22"/>
          <w:lang w:val="fr-FR"/>
        </w:rPr>
        <w:t>y a</w:t>
      </w:r>
      <w:r>
        <w:rPr>
          <w:rFonts w:ascii="Arial" w:hAnsi="Arial" w:cs="Arial"/>
          <w:bCs/>
          <w:sz w:val="22"/>
          <w:szCs w:val="22"/>
          <w:lang w:val="fr-FR"/>
        </w:rPr>
        <w:t>vait</w:t>
      </w:r>
      <w:r w:rsidRPr="00226985">
        <w:rPr>
          <w:rFonts w:ascii="Arial" w:hAnsi="Arial" w:cs="Arial"/>
          <w:bCs/>
          <w:sz w:val="22"/>
          <w:szCs w:val="22"/>
          <w:lang w:val="fr-FR"/>
        </w:rPr>
        <w:t xml:space="preserve"> que deux options : des consultations informelles ou un groupe de travail à composition non limitée. Dans ce cas particulier, la délégation </w:t>
      </w:r>
      <w:r>
        <w:rPr>
          <w:rFonts w:ascii="Arial" w:hAnsi="Arial" w:cs="Arial"/>
          <w:bCs/>
          <w:sz w:val="22"/>
          <w:szCs w:val="22"/>
          <w:lang w:val="fr-FR"/>
        </w:rPr>
        <w:t xml:space="preserve">avait le sentiment </w:t>
      </w:r>
      <w:r w:rsidRPr="00226985">
        <w:rPr>
          <w:rFonts w:ascii="Arial" w:hAnsi="Arial" w:cs="Arial"/>
          <w:bCs/>
          <w:sz w:val="22"/>
          <w:szCs w:val="22"/>
          <w:lang w:val="fr-FR"/>
        </w:rPr>
        <w:t>qu</w:t>
      </w:r>
      <w:r w:rsidR="008E532B">
        <w:rPr>
          <w:rFonts w:ascii="Arial" w:hAnsi="Arial" w:cs="Arial"/>
          <w:bCs/>
          <w:sz w:val="22"/>
          <w:szCs w:val="22"/>
          <w:lang w:val="fr-FR"/>
        </w:rPr>
        <w:t>’</w:t>
      </w:r>
      <w:r w:rsidRPr="00226985">
        <w:rPr>
          <w:rFonts w:ascii="Arial" w:hAnsi="Arial" w:cs="Arial"/>
          <w:bCs/>
          <w:sz w:val="22"/>
          <w:szCs w:val="22"/>
          <w:lang w:val="fr-FR"/>
        </w:rPr>
        <w:t>il serait impossible de se mettre d</w:t>
      </w:r>
      <w:r w:rsidR="008E532B">
        <w:rPr>
          <w:rFonts w:ascii="Arial" w:hAnsi="Arial" w:cs="Arial"/>
          <w:bCs/>
          <w:sz w:val="22"/>
          <w:szCs w:val="22"/>
          <w:lang w:val="fr-FR"/>
        </w:rPr>
        <w:t>’</w:t>
      </w:r>
      <w:r w:rsidRPr="00226985">
        <w:rPr>
          <w:rFonts w:ascii="Arial" w:hAnsi="Arial" w:cs="Arial"/>
          <w:bCs/>
          <w:sz w:val="22"/>
          <w:szCs w:val="22"/>
          <w:lang w:val="fr-FR"/>
        </w:rPr>
        <w:t>accord sur cette question d</w:t>
      </w:r>
      <w:r w:rsidR="008E532B">
        <w:rPr>
          <w:rFonts w:ascii="Arial" w:hAnsi="Arial" w:cs="Arial"/>
          <w:bCs/>
          <w:sz w:val="22"/>
          <w:szCs w:val="22"/>
          <w:lang w:val="fr-FR"/>
        </w:rPr>
        <w:t>’</w:t>
      </w:r>
      <w:r w:rsidRPr="00226985">
        <w:rPr>
          <w:rFonts w:ascii="Arial" w:hAnsi="Arial" w:cs="Arial"/>
          <w:bCs/>
          <w:sz w:val="22"/>
          <w:szCs w:val="22"/>
          <w:lang w:val="fr-FR"/>
        </w:rPr>
        <w:t xml:space="preserve">ici le lendemain et </w:t>
      </w:r>
      <w:r>
        <w:rPr>
          <w:rFonts w:ascii="Arial" w:hAnsi="Arial" w:cs="Arial"/>
          <w:bCs/>
          <w:sz w:val="22"/>
          <w:szCs w:val="22"/>
          <w:lang w:val="fr-FR"/>
        </w:rPr>
        <w:t xml:space="preserve">elle </w:t>
      </w:r>
      <w:r w:rsidRPr="00226985">
        <w:rPr>
          <w:rFonts w:ascii="Arial" w:hAnsi="Arial" w:cs="Arial"/>
          <w:bCs/>
          <w:sz w:val="22"/>
          <w:szCs w:val="22"/>
          <w:lang w:val="fr-FR"/>
        </w:rPr>
        <w:t>a suggéré qu</w:t>
      </w:r>
      <w:r w:rsidR="008E532B">
        <w:rPr>
          <w:rFonts w:ascii="Arial" w:hAnsi="Arial" w:cs="Arial"/>
          <w:bCs/>
          <w:sz w:val="22"/>
          <w:szCs w:val="22"/>
          <w:lang w:val="fr-FR"/>
        </w:rPr>
        <w:t>’</w:t>
      </w:r>
      <w:r w:rsidRPr="00226985">
        <w:rPr>
          <w:rFonts w:ascii="Arial" w:hAnsi="Arial" w:cs="Arial"/>
          <w:bCs/>
          <w:sz w:val="22"/>
          <w:szCs w:val="22"/>
          <w:lang w:val="fr-FR"/>
        </w:rPr>
        <w:t xml:space="preserve">un groupe de travail à composition non limitée se charge de cette question.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agissant de</w:t>
      </w:r>
      <w:r w:rsidRPr="00226985">
        <w:rPr>
          <w:rFonts w:ascii="Arial" w:hAnsi="Arial" w:cs="Arial"/>
          <w:bCs/>
          <w:sz w:val="22"/>
          <w:szCs w:val="22"/>
          <w:lang w:val="fr-FR"/>
        </w:rPr>
        <w:t xml:space="preserve"> l</w:t>
      </w:r>
      <w:r w:rsidR="008E532B">
        <w:rPr>
          <w:rFonts w:ascii="Arial" w:hAnsi="Arial" w:cs="Arial"/>
          <w:bCs/>
          <w:sz w:val="22"/>
          <w:szCs w:val="22"/>
          <w:lang w:val="fr-FR"/>
        </w:rPr>
        <w:t>’</w:t>
      </w:r>
      <w:r w:rsidRPr="00226985">
        <w:rPr>
          <w:rFonts w:ascii="Arial" w:hAnsi="Arial" w:cs="Arial"/>
          <w:bCs/>
          <w:sz w:val="22"/>
          <w:szCs w:val="22"/>
          <w:lang w:val="fr-FR"/>
        </w:rPr>
        <w:t>accréditation, la délégation a noté que même la Palestine était flexible, et elle a donc suggéré de se concentrer sur l</w:t>
      </w:r>
      <w:r w:rsidR="008E532B">
        <w:rPr>
          <w:rFonts w:ascii="Arial" w:hAnsi="Arial" w:cs="Arial"/>
          <w:bCs/>
          <w:sz w:val="22"/>
          <w:szCs w:val="22"/>
          <w:lang w:val="fr-FR"/>
        </w:rPr>
        <w:t>’</w:t>
      </w:r>
      <w:r w:rsidRPr="00226985">
        <w:rPr>
          <w:rFonts w:ascii="Arial" w:hAnsi="Arial" w:cs="Arial"/>
          <w:bCs/>
          <w:sz w:val="22"/>
          <w:szCs w:val="22"/>
          <w:lang w:val="fr-FR"/>
        </w:rPr>
        <w:t>éligibilité des ONG à l</w:t>
      </w:r>
      <w:r w:rsidR="008E532B">
        <w:rPr>
          <w:rFonts w:ascii="Arial" w:hAnsi="Arial" w:cs="Arial"/>
          <w:bCs/>
          <w:sz w:val="22"/>
          <w:szCs w:val="22"/>
          <w:lang w:val="fr-FR"/>
        </w:rPr>
        <w:t>’</w:t>
      </w:r>
      <w:r w:rsidRPr="00226985">
        <w:rPr>
          <w:rFonts w:ascii="Arial" w:hAnsi="Arial" w:cs="Arial"/>
          <w:bCs/>
          <w:sz w:val="22"/>
          <w:szCs w:val="22"/>
          <w:lang w:val="fr-FR"/>
        </w:rPr>
        <w:t>Organe d</w:t>
      </w:r>
      <w:r w:rsidR="008E532B">
        <w:rPr>
          <w:rFonts w:ascii="Arial" w:hAnsi="Arial" w:cs="Arial"/>
          <w:bCs/>
          <w:sz w:val="22"/>
          <w:szCs w:val="22"/>
          <w:lang w:val="fr-FR"/>
        </w:rPr>
        <w:t>’</w:t>
      </w:r>
      <w:r w:rsidRPr="00226985">
        <w:rPr>
          <w:rFonts w:ascii="Arial" w:hAnsi="Arial" w:cs="Arial"/>
          <w:bCs/>
          <w:sz w:val="22"/>
          <w:szCs w:val="22"/>
          <w:lang w:val="fr-FR"/>
        </w:rPr>
        <w:t>évaluation. En outre, un groupe de travail a</w:t>
      </w:r>
      <w:r>
        <w:rPr>
          <w:rFonts w:ascii="Arial" w:hAnsi="Arial" w:cs="Arial"/>
          <w:bCs/>
          <w:sz w:val="22"/>
          <w:szCs w:val="22"/>
          <w:lang w:val="fr-FR"/>
        </w:rPr>
        <w:t>vait</w:t>
      </w:r>
      <w:r w:rsidRPr="00226985">
        <w:rPr>
          <w:rFonts w:ascii="Arial" w:hAnsi="Arial" w:cs="Arial"/>
          <w:bCs/>
          <w:sz w:val="22"/>
          <w:szCs w:val="22"/>
          <w:lang w:val="fr-FR"/>
        </w:rPr>
        <w:t xml:space="preserve"> été </w:t>
      </w:r>
      <w:r>
        <w:rPr>
          <w:rFonts w:ascii="Arial" w:hAnsi="Arial" w:cs="Arial"/>
          <w:bCs/>
          <w:sz w:val="22"/>
          <w:szCs w:val="22"/>
          <w:lang w:val="fr-FR"/>
        </w:rPr>
        <w:t>établi</w:t>
      </w:r>
      <w:r w:rsidRPr="00226985">
        <w:rPr>
          <w:rFonts w:ascii="Arial" w:hAnsi="Arial" w:cs="Arial"/>
          <w:bCs/>
          <w:sz w:val="22"/>
          <w:szCs w:val="22"/>
          <w:lang w:val="fr-FR"/>
        </w:rPr>
        <w:t xml:space="preserve"> pour travailler sur les implications plus </w:t>
      </w:r>
      <w:r>
        <w:rPr>
          <w:rFonts w:ascii="Arial" w:hAnsi="Arial" w:cs="Arial"/>
          <w:bCs/>
          <w:sz w:val="22"/>
          <w:szCs w:val="22"/>
          <w:lang w:val="fr-FR"/>
        </w:rPr>
        <w:t xml:space="preserve">vastes </w:t>
      </w:r>
      <w:r w:rsidRPr="00226985">
        <w:rPr>
          <w:rFonts w:ascii="Arial" w:hAnsi="Arial" w:cs="Arial"/>
          <w:bCs/>
          <w:sz w:val="22"/>
          <w:szCs w:val="22"/>
          <w:lang w:val="fr-FR"/>
        </w:rPr>
        <w:t>de l</w:t>
      </w:r>
      <w:r w:rsidR="008E532B">
        <w:rPr>
          <w:rFonts w:ascii="Arial" w:hAnsi="Arial" w:cs="Arial"/>
          <w:bCs/>
          <w:sz w:val="22"/>
          <w:szCs w:val="22"/>
          <w:lang w:val="fr-FR"/>
        </w:rPr>
        <w:t>’</w:t>
      </w:r>
      <w:r w:rsidRPr="00226985">
        <w:rPr>
          <w:rFonts w:ascii="Arial" w:hAnsi="Arial" w:cs="Arial"/>
          <w:bCs/>
          <w:sz w:val="22"/>
          <w:szCs w:val="22"/>
          <w:lang w:val="fr-FR"/>
        </w:rPr>
        <w:t>article 18, qui sera</w:t>
      </w:r>
      <w:r>
        <w:rPr>
          <w:rFonts w:ascii="Arial" w:hAnsi="Arial" w:cs="Arial"/>
          <w:bCs/>
          <w:sz w:val="22"/>
          <w:szCs w:val="22"/>
          <w:lang w:val="fr-FR"/>
        </w:rPr>
        <w:t>it</w:t>
      </w:r>
      <w:r w:rsidRPr="00226985">
        <w:rPr>
          <w:rFonts w:ascii="Arial" w:hAnsi="Arial" w:cs="Arial"/>
          <w:bCs/>
          <w:sz w:val="22"/>
          <w:szCs w:val="22"/>
          <w:lang w:val="fr-FR"/>
        </w:rPr>
        <w:t xml:space="preserve"> présidé par la Suède. Le rôle le plus important de ce groupe de travail était de d</w:t>
      </w:r>
      <w:r>
        <w:rPr>
          <w:rFonts w:ascii="Arial" w:hAnsi="Arial" w:cs="Arial"/>
          <w:bCs/>
          <w:sz w:val="22"/>
          <w:szCs w:val="22"/>
          <w:lang w:val="fr-FR"/>
        </w:rPr>
        <w:t>ébattre</w:t>
      </w:r>
      <w:r w:rsidRPr="00226985">
        <w:rPr>
          <w:rFonts w:ascii="Arial" w:hAnsi="Arial" w:cs="Arial"/>
          <w:bCs/>
          <w:sz w:val="22"/>
          <w:szCs w:val="22"/>
          <w:lang w:val="fr-FR"/>
        </w:rPr>
        <w:t xml:space="preserve"> du rôle des ONG</w:t>
      </w:r>
      <w:r>
        <w:rPr>
          <w:rFonts w:ascii="Arial" w:hAnsi="Arial" w:cs="Arial"/>
          <w:bCs/>
          <w:sz w:val="22"/>
          <w:szCs w:val="22"/>
          <w:lang w:val="fr-FR"/>
        </w:rPr>
        <w:t> ;</w:t>
      </w:r>
      <w:r w:rsidRPr="00226985">
        <w:rPr>
          <w:rFonts w:ascii="Arial" w:hAnsi="Arial" w:cs="Arial"/>
          <w:bCs/>
          <w:sz w:val="22"/>
          <w:szCs w:val="22"/>
          <w:lang w:val="fr-FR"/>
        </w:rPr>
        <w:t xml:space="preserve"> il était donc parfaitement approprié pour ce groupe de poursuivre cette discussion et donc de ne pas perdre plus de temps sur cette question pour le moment. Bien sûr, à moins qu</w:t>
      </w:r>
      <w:r w:rsidR="008E532B">
        <w:rPr>
          <w:rFonts w:ascii="Arial" w:hAnsi="Arial" w:cs="Arial"/>
          <w:bCs/>
          <w:sz w:val="22"/>
          <w:szCs w:val="22"/>
          <w:lang w:val="fr-FR"/>
        </w:rPr>
        <w:t>’</w:t>
      </w:r>
      <w:r>
        <w:rPr>
          <w:rFonts w:ascii="Arial" w:hAnsi="Arial" w:cs="Arial"/>
          <w:bCs/>
          <w:sz w:val="22"/>
          <w:szCs w:val="22"/>
          <w:lang w:val="fr-FR"/>
        </w:rPr>
        <w:t>une voix s</w:t>
      </w:r>
      <w:r w:rsidR="008E532B">
        <w:rPr>
          <w:rFonts w:ascii="Arial" w:hAnsi="Arial" w:cs="Arial"/>
          <w:bCs/>
          <w:sz w:val="22"/>
          <w:szCs w:val="22"/>
          <w:lang w:val="fr-FR"/>
        </w:rPr>
        <w:t>’</w:t>
      </w:r>
      <w:r>
        <w:rPr>
          <w:rFonts w:ascii="Arial" w:hAnsi="Arial" w:cs="Arial"/>
          <w:bCs/>
          <w:sz w:val="22"/>
          <w:szCs w:val="22"/>
          <w:lang w:val="fr-FR"/>
        </w:rPr>
        <w:t>y oppose</w:t>
      </w:r>
      <w:r w:rsidRPr="00226985">
        <w:rPr>
          <w:rFonts w:ascii="Arial" w:hAnsi="Arial" w:cs="Arial"/>
          <w:bCs/>
          <w:sz w:val="22"/>
          <w:szCs w:val="22"/>
          <w:lang w:val="fr-FR"/>
        </w:rPr>
        <w:t xml:space="preserve">, le groupe de travail de la Suède serait le meilleur forum pour </w:t>
      </w:r>
      <w:r>
        <w:rPr>
          <w:rFonts w:ascii="Arial" w:hAnsi="Arial" w:cs="Arial"/>
          <w:bCs/>
          <w:sz w:val="22"/>
          <w:szCs w:val="22"/>
          <w:lang w:val="fr-FR"/>
        </w:rPr>
        <w:t xml:space="preserve">débattre </w:t>
      </w:r>
      <w:r w:rsidRPr="00226985">
        <w:rPr>
          <w:rFonts w:ascii="Arial" w:hAnsi="Arial" w:cs="Arial"/>
          <w:bCs/>
          <w:sz w:val="22"/>
          <w:szCs w:val="22"/>
          <w:lang w:val="fr-FR"/>
        </w:rPr>
        <w:t xml:space="preserve">de cette question. Étant donné la nature </w:t>
      </w:r>
      <w:r>
        <w:rPr>
          <w:rFonts w:ascii="Arial" w:hAnsi="Arial" w:cs="Arial"/>
          <w:bCs/>
          <w:sz w:val="22"/>
          <w:szCs w:val="22"/>
          <w:lang w:val="fr-FR"/>
        </w:rPr>
        <w:t xml:space="preserve">clivante </w:t>
      </w:r>
      <w:r w:rsidRPr="00226985">
        <w:rPr>
          <w:rFonts w:ascii="Arial" w:hAnsi="Arial" w:cs="Arial"/>
          <w:bCs/>
          <w:sz w:val="22"/>
          <w:szCs w:val="22"/>
          <w:lang w:val="fr-FR"/>
        </w:rPr>
        <w:t>de ce débat, la délégation a ré</w:t>
      </w:r>
      <w:r>
        <w:rPr>
          <w:rFonts w:ascii="Arial" w:hAnsi="Arial" w:cs="Arial"/>
          <w:bCs/>
          <w:sz w:val="22"/>
          <w:szCs w:val="22"/>
          <w:lang w:val="fr-FR"/>
        </w:rPr>
        <w:t>affirmé</w:t>
      </w:r>
      <w:r w:rsidRPr="00226985">
        <w:rPr>
          <w:rFonts w:ascii="Arial" w:hAnsi="Arial" w:cs="Arial"/>
          <w:bCs/>
          <w:sz w:val="22"/>
          <w:szCs w:val="22"/>
          <w:lang w:val="fr-FR"/>
        </w:rPr>
        <w:t xml:space="preserve"> qu</w:t>
      </w:r>
      <w:r w:rsidR="008E532B">
        <w:rPr>
          <w:rFonts w:ascii="Arial" w:hAnsi="Arial" w:cs="Arial"/>
          <w:bCs/>
          <w:sz w:val="22"/>
          <w:szCs w:val="22"/>
          <w:lang w:val="fr-FR"/>
        </w:rPr>
        <w:t>’</w:t>
      </w:r>
      <w:r w:rsidRPr="00226985">
        <w:rPr>
          <w:rFonts w:ascii="Arial" w:hAnsi="Arial" w:cs="Arial"/>
          <w:bCs/>
          <w:sz w:val="22"/>
          <w:szCs w:val="22"/>
          <w:lang w:val="fr-FR"/>
        </w:rPr>
        <w:t>il serait impossible pour les délégations de se mettre d</w:t>
      </w:r>
      <w:r w:rsidR="008E532B">
        <w:rPr>
          <w:rFonts w:ascii="Arial" w:hAnsi="Arial" w:cs="Arial"/>
          <w:bCs/>
          <w:sz w:val="22"/>
          <w:szCs w:val="22"/>
          <w:lang w:val="fr-FR"/>
        </w:rPr>
        <w:t>’</w:t>
      </w:r>
      <w:r w:rsidRPr="00226985">
        <w:rPr>
          <w:rFonts w:ascii="Arial" w:hAnsi="Arial" w:cs="Arial"/>
          <w:bCs/>
          <w:sz w:val="22"/>
          <w:szCs w:val="22"/>
          <w:lang w:val="fr-FR"/>
        </w:rPr>
        <w:t>accord d</w:t>
      </w:r>
      <w:r w:rsidR="008E532B">
        <w:rPr>
          <w:rFonts w:ascii="Arial" w:hAnsi="Arial" w:cs="Arial"/>
          <w:bCs/>
          <w:sz w:val="22"/>
          <w:szCs w:val="22"/>
          <w:lang w:val="fr-FR"/>
        </w:rPr>
        <w:t>’</w:t>
      </w:r>
      <w:r w:rsidRPr="00226985">
        <w:rPr>
          <w:rFonts w:ascii="Arial" w:hAnsi="Arial" w:cs="Arial"/>
          <w:bCs/>
          <w:sz w:val="22"/>
          <w:szCs w:val="22"/>
          <w:lang w:val="fr-FR"/>
        </w:rPr>
        <w:t>ici</w:t>
      </w:r>
      <w:r>
        <w:rPr>
          <w:rFonts w:ascii="Arial" w:hAnsi="Arial" w:cs="Arial"/>
          <w:bCs/>
          <w:sz w:val="22"/>
          <w:szCs w:val="22"/>
          <w:lang w:val="fr-FR"/>
        </w:rPr>
        <w:t xml:space="preserve"> le lendemain</w:t>
      </w:r>
      <w:r w:rsidRPr="00226985">
        <w:rPr>
          <w:rFonts w:ascii="Arial" w:hAnsi="Arial" w:cs="Arial"/>
          <w:bCs/>
          <w:sz w:val="22"/>
          <w:szCs w:val="22"/>
          <w:lang w:val="fr-FR"/>
        </w:rPr>
        <w:t>.</w:t>
      </w:r>
    </w:p>
    <w:p w14:paraId="11FB9F82" w14:textId="11C053F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E2D93">
        <w:rPr>
          <w:rFonts w:ascii="Arial" w:hAnsi="Arial" w:cs="Arial"/>
          <w:bCs/>
          <w:sz w:val="22"/>
          <w:szCs w:val="22"/>
          <w:lang w:val="fr-FR"/>
        </w:rPr>
        <w:t xml:space="preserve">La délégation du </w:t>
      </w:r>
      <w:r w:rsidRPr="003E2D93">
        <w:rPr>
          <w:rFonts w:ascii="Arial" w:hAnsi="Arial" w:cs="Arial"/>
          <w:b/>
          <w:sz w:val="22"/>
          <w:szCs w:val="22"/>
          <w:lang w:val="fr-FR"/>
        </w:rPr>
        <w:t>Panama</w:t>
      </w:r>
      <w:r w:rsidRPr="003E2D93">
        <w:rPr>
          <w:rFonts w:ascii="Arial" w:hAnsi="Arial" w:cs="Arial"/>
          <w:bCs/>
          <w:sz w:val="22"/>
          <w:szCs w:val="22"/>
          <w:lang w:val="fr-FR"/>
        </w:rPr>
        <w:t xml:space="preserve"> pourrait </w:t>
      </w:r>
      <w:r>
        <w:rPr>
          <w:rFonts w:ascii="Arial" w:hAnsi="Arial" w:cs="Arial"/>
          <w:bCs/>
          <w:sz w:val="22"/>
          <w:szCs w:val="22"/>
          <w:lang w:val="fr-FR"/>
        </w:rPr>
        <w:t>convenir</w:t>
      </w:r>
      <w:r w:rsidRPr="003E2D93">
        <w:rPr>
          <w:rFonts w:ascii="Arial" w:hAnsi="Arial" w:cs="Arial"/>
          <w:bCs/>
          <w:sz w:val="22"/>
          <w:szCs w:val="22"/>
          <w:lang w:val="fr-FR"/>
        </w:rPr>
        <w:t xml:space="preserve"> </w:t>
      </w:r>
      <w:r>
        <w:rPr>
          <w:rFonts w:ascii="Arial" w:hAnsi="Arial" w:cs="Arial"/>
          <w:bCs/>
          <w:sz w:val="22"/>
          <w:szCs w:val="22"/>
          <w:lang w:val="fr-FR"/>
        </w:rPr>
        <w:t xml:space="preserve">de </w:t>
      </w:r>
      <w:r w:rsidRPr="003E2D93">
        <w:rPr>
          <w:rFonts w:ascii="Arial" w:hAnsi="Arial" w:cs="Arial"/>
          <w:bCs/>
          <w:sz w:val="22"/>
          <w:szCs w:val="22"/>
          <w:lang w:val="fr-FR"/>
        </w:rPr>
        <w:t xml:space="preserve">la suppression du point 7bis et </w:t>
      </w:r>
      <w:r>
        <w:rPr>
          <w:rFonts w:ascii="Arial" w:hAnsi="Arial" w:cs="Arial"/>
          <w:bCs/>
          <w:sz w:val="22"/>
          <w:szCs w:val="22"/>
          <w:lang w:val="fr-FR"/>
        </w:rPr>
        <w:t>de l</w:t>
      </w:r>
      <w:r w:rsidR="008E532B">
        <w:rPr>
          <w:rFonts w:ascii="Arial" w:hAnsi="Arial" w:cs="Arial"/>
          <w:bCs/>
          <w:sz w:val="22"/>
          <w:szCs w:val="22"/>
          <w:lang w:val="fr-FR"/>
        </w:rPr>
        <w:t>’</w:t>
      </w:r>
      <w:r w:rsidRPr="003E2D93">
        <w:rPr>
          <w:rFonts w:ascii="Arial" w:hAnsi="Arial" w:cs="Arial"/>
          <w:bCs/>
          <w:sz w:val="22"/>
          <w:szCs w:val="22"/>
          <w:lang w:val="fr-FR"/>
        </w:rPr>
        <w:t>établissement d</w:t>
      </w:r>
      <w:r w:rsidR="008E532B">
        <w:rPr>
          <w:rFonts w:ascii="Arial" w:hAnsi="Arial" w:cs="Arial"/>
          <w:bCs/>
          <w:sz w:val="22"/>
          <w:szCs w:val="22"/>
          <w:lang w:val="fr-FR"/>
        </w:rPr>
        <w:t>’</w:t>
      </w:r>
      <w:r w:rsidRPr="003E2D93">
        <w:rPr>
          <w:rFonts w:ascii="Arial" w:hAnsi="Arial" w:cs="Arial"/>
          <w:bCs/>
          <w:sz w:val="22"/>
          <w:szCs w:val="22"/>
          <w:lang w:val="fr-FR"/>
        </w:rPr>
        <w:t>un groupe de travail à composition non limitée pour d</w:t>
      </w:r>
      <w:r>
        <w:rPr>
          <w:rFonts w:ascii="Arial" w:hAnsi="Arial" w:cs="Arial"/>
          <w:bCs/>
          <w:sz w:val="22"/>
          <w:szCs w:val="22"/>
          <w:lang w:val="fr-FR"/>
        </w:rPr>
        <w:t>ébattre</w:t>
      </w:r>
      <w:r w:rsidRPr="003E2D93">
        <w:rPr>
          <w:rFonts w:ascii="Arial" w:hAnsi="Arial" w:cs="Arial"/>
          <w:bCs/>
          <w:sz w:val="22"/>
          <w:szCs w:val="22"/>
          <w:lang w:val="fr-FR"/>
        </w:rPr>
        <w:t xml:space="preserve"> plus avant de cette question. Cependant, </w:t>
      </w:r>
      <w:proofErr w:type="gramStart"/>
      <w:r w:rsidRPr="003E2D93">
        <w:rPr>
          <w:rFonts w:ascii="Arial" w:hAnsi="Arial" w:cs="Arial"/>
          <w:bCs/>
          <w:sz w:val="22"/>
          <w:szCs w:val="22"/>
          <w:lang w:val="fr-FR"/>
        </w:rPr>
        <w:t>suite à</w:t>
      </w:r>
      <w:proofErr w:type="gramEnd"/>
      <w:r w:rsidRPr="003E2D93">
        <w:rPr>
          <w:rFonts w:ascii="Arial" w:hAnsi="Arial" w:cs="Arial"/>
          <w:bCs/>
          <w:sz w:val="22"/>
          <w:szCs w:val="22"/>
          <w:lang w:val="fr-FR"/>
        </w:rPr>
        <w:t xml:space="preserve"> l</w:t>
      </w:r>
      <w:r w:rsidR="008E532B">
        <w:rPr>
          <w:rFonts w:ascii="Arial" w:hAnsi="Arial" w:cs="Arial"/>
          <w:bCs/>
          <w:sz w:val="22"/>
          <w:szCs w:val="22"/>
          <w:lang w:val="fr-FR"/>
        </w:rPr>
        <w:t>’</w:t>
      </w:r>
      <w:r w:rsidRPr="003E2D93">
        <w:rPr>
          <w:rFonts w:ascii="Arial" w:hAnsi="Arial" w:cs="Arial"/>
          <w:bCs/>
          <w:sz w:val="22"/>
          <w:szCs w:val="22"/>
          <w:lang w:val="fr-FR"/>
        </w:rPr>
        <w:t xml:space="preserve">intervention du Japon, </w:t>
      </w:r>
      <w:r>
        <w:rPr>
          <w:rFonts w:ascii="Arial" w:hAnsi="Arial" w:cs="Arial"/>
          <w:bCs/>
          <w:sz w:val="22"/>
          <w:szCs w:val="22"/>
          <w:lang w:val="fr-FR"/>
        </w:rPr>
        <w:t>rien n</w:t>
      </w:r>
      <w:r w:rsidR="008E532B">
        <w:rPr>
          <w:rFonts w:ascii="Arial" w:hAnsi="Arial" w:cs="Arial"/>
          <w:bCs/>
          <w:sz w:val="22"/>
          <w:szCs w:val="22"/>
          <w:lang w:val="fr-FR"/>
        </w:rPr>
        <w:t>’</w:t>
      </w:r>
      <w:r>
        <w:rPr>
          <w:rFonts w:ascii="Arial" w:hAnsi="Arial" w:cs="Arial"/>
          <w:bCs/>
          <w:sz w:val="22"/>
          <w:szCs w:val="22"/>
          <w:lang w:val="fr-FR"/>
        </w:rPr>
        <w:t xml:space="preserve">indiquait clairement </w:t>
      </w:r>
      <w:r w:rsidRPr="003E2D93">
        <w:rPr>
          <w:rFonts w:ascii="Arial" w:hAnsi="Arial" w:cs="Arial"/>
          <w:bCs/>
          <w:sz w:val="22"/>
          <w:szCs w:val="22"/>
          <w:lang w:val="fr-FR"/>
        </w:rPr>
        <w:t>si la proposition était d</w:t>
      </w:r>
      <w:r w:rsidR="008E532B">
        <w:rPr>
          <w:rFonts w:ascii="Arial" w:hAnsi="Arial" w:cs="Arial"/>
          <w:bCs/>
          <w:sz w:val="22"/>
          <w:szCs w:val="22"/>
          <w:lang w:val="fr-FR"/>
        </w:rPr>
        <w:t>’</w:t>
      </w:r>
      <w:r w:rsidRPr="003E2D93">
        <w:rPr>
          <w:rFonts w:ascii="Arial" w:hAnsi="Arial" w:cs="Arial"/>
          <w:bCs/>
          <w:sz w:val="22"/>
          <w:szCs w:val="22"/>
          <w:lang w:val="fr-FR"/>
        </w:rPr>
        <w:t>inclure ce point dans le groupe à composition non limitée déjà existant ou d</w:t>
      </w:r>
      <w:r w:rsidR="008E532B">
        <w:rPr>
          <w:rFonts w:ascii="Arial" w:hAnsi="Arial" w:cs="Arial"/>
          <w:bCs/>
          <w:sz w:val="22"/>
          <w:szCs w:val="22"/>
          <w:lang w:val="fr-FR"/>
        </w:rPr>
        <w:t>’</w:t>
      </w:r>
      <w:r>
        <w:rPr>
          <w:rFonts w:ascii="Arial" w:hAnsi="Arial" w:cs="Arial"/>
          <w:bCs/>
          <w:sz w:val="22"/>
          <w:szCs w:val="22"/>
          <w:lang w:val="fr-FR"/>
        </w:rPr>
        <w:t>établir</w:t>
      </w:r>
      <w:r w:rsidRPr="003E2D93">
        <w:rPr>
          <w:rFonts w:ascii="Arial" w:hAnsi="Arial" w:cs="Arial"/>
          <w:bCs/>
          <w:sz w:val="22"/>
          <w:szCs w:val="22"/>
          <w:lang w:val="fr-FR"/>
        </w:rPr>
        <w:t xml:space="preserve"> un nouveau</w:t>
      </w:r>
      <w:r>
        <w:rPr>
          <w:rFonts w:ascii="Arial" w:hAnsi="Arial" w:cs="Arial"/>
          <w:bCs/>
          <w:sz w:val="22"/>
          <w:szCs w:val="22"/>
          <w:lang w:val="fr-FR"/>
        </w:rPr>
        <w:t xml:space="preserve"> groupe</w:t>
      </w:r>
      <w:r w:rsidRPr="003E2D93">
        <w:rPr>
          <w:rFonts w:ascii="Arial" w:hAnsi="Arial" w:cs="Arial"/>
          <w:bCs/>
          <w:sz w:val="22"/>
          <w:szCs w:val="22"/>
          <w:lang w:val="fr-FR"/>
        </w:rPr>
        <w:t>. Quoi qu</w:t>
      </w:r>
      <w:r w:rsidR="008E532B">
        <w:rPr>
          <w:rFonts w:ascii="Arial" w:hAnsi="Arial" w:cs="Arial"/>
          <w:bCs/>
          <w:sz w:val="22"/>
          <w:szCs w:val="22"/>
          <w:lang w:val="fr-FR"/>
        </w:rPr>
        <w:t>’</w:t>
      </w:r>
      <w:r w:rsidRPr="003E2D93">
        <w:rPr>
          <w:rFonts w:ascii="Arial" w:hAnsi="Arial" w:cs="Arial"/>
          <w:bCs/>
          <w:sz w:val="22"/>
          <w:szCs w:val="22"/>
          <w:lang w:val="fr-FR"/>
        </w:rPr>
        <w:t xml:space="preserve">il en soit, le paragraphe 7bis </w:t>
      </w:r>
      <w:r>
        <w:rPr>
          <w:rFonts w:ascii="Arial" w:hAnsi="Arial" w:cs="Arial"/>
          <w:bCs/>
          <w:sz w:val="22"/>
          <w:szCs w:val="22"/>
          <w:lang w:val="fr-FR"/>
        </w:rPr>
        <w:t>devait</w:t>
      </w:r>
      <w:r w:rsidRPr="003E2D93">
        <w:rPr>
          <w:rFonts w:ascii="Arial" w:hAnsi="Arial" w:cs="Arial"/>
          <w:bCs/>
          <w:sz w:val="22"/>
          <w:szCs w:val="22"/>
          <w:lang w:val="fr-FR"/>
        </w:rPr>
        <w:t xml:space="preserve"> être suspendu afin que l</w:t>
      </w:r>
      <w:r w:rsidR="008E532B">
        <w:rPr>
          <w:rFonts w:ascii="Arial" w:hAnsi="Arial" w:cs="Arial"/>
          <w:bCs/>
          <w:sz w:val="22"/>
          <w:szCs w:val="22"/>
          <w:lang w:val="fr-FR"/>
        </w:rPr>
        <w:t>’</w:t>
      </w:r>
      <w:r w:rsidRPr="003E2D93">
        <w:rPr>
          <w:rFonts w:ascii="Arial" w:hAnsi="Arial" w:cs="Arial"/>
          <w:bCs/>
          <w:sz w:val="22"/>
          <w:szCs w:val="22"/>
          <w:lang w:val="fr-FR"/>
        </w:rPr>
        <w:t>Assemblée puisse finir de d</w:t>
      </w:r>
      <w:r>
        <w:rPr>
          <w:rFonts w:ascii="Arial" w:hAnsi="Arial" w:cs="Arial"/>
          <w:bCs/>
          <w:sz w:val="22"/>
          <w:szCs w:val="22"/>
          <w:lang w:val="fr-FR"/>
        </w:rPr>
        <w:t>ébattre</w:t>
      </w:r>
      <w:r w:rsidRPr="003E2D93">
        <w:rPr>
          <w:rFonts w:ascii="Arial" w:hAnsi="Arial" w:cs="Arial"/>
          <w:bCs/>
          <w:sz w:val="22"/>
          <w:szCs w:val="22"/>
          <w:lang w:val="fr-FR"/>
        </w:rPr>
        <w:t xml:space="preserve"> du projet de résolution. En outre, le groupe de travail [informel] se réunira</w:t>
      </w:r>
      <w:r>
        <w:rPr>
          <w:rFonts w:ascii="Arial" w:hAnsi="Arial" w:cs="Arial"/>
          <w:bCs/>
          <w:sz w:val="22"/>
          <w:szCs w:val="22"/>
          <w:lang w:val="fr-FR"/>
        </w:rPr>
        <w:t>it</w:t>
      </w:r>
      <w:r w:rsidRPr="003E2D93">
        <w:rPr>
          <w:rFonts w:ascii="Arial" w:hAnsi="Arial" w:cs="Arial"/>
          <w:bCs/>
          <w:sz w:val="22"/>
          <w:szCs w:val="22"/>
          <w:lang w:val="fr-FR"/>
        </w:rPr>
        <w:t xml:space="preserve"> le lendemain et décidera</w:t>
      </w:r>
      <w:r>
        <w:rPr>
          <w:rFonts w:ascii="Arial" w:hAnsi="Arial" w:cs="Arial"/>
          <w:bCs/>
          <w:sz w:val="22"/>
          <w:szCs w:val="22"/>
          <w:lang w:val="fr-FR"/>
        </w:rPr>
        <w:t>it</w:t>
      </w:r>
      <w:r w:rsidRPr="003E2D93">
        <w:rPr>
          <w:rFonts w:ascii="Arial" w:hAnsi="Arial" w:cs="Arial"/>
          <w:bCs/>
          <w:sz w:val="22"/>
          <w:szCs w:val="22"/>
          <w:lang w:val="fr-FR"/>
        </w:rPr>
        <w:t xml:space="preserve"> si le sujet sera</w:t>
      </w:r>
      <w:r>
        <w:rPr>
          <w:rFonts w:ascii="Arial" w:hAnsi="Arial" w:cs="Arial"/>
          <w:bCs/>
          <w:sz w:val="22"/>
          <w:szCs w:val="22"/>
          <w:lang w:val="fr-FR"/>
        </w:rPr>
        <w:t>it</w:t>
      </w:r>
      <w:r w:rsidRPr="003E2D93">
        <w:rPr>
          <w:rFonts w:ascii="Arial" w:hAnsi="Arial" w:cs="Arial"/>
          <w:bCs/>
          <w:sz w:val="22"/>
          <w:szCs w:val="22"/>
          <w:lang w:val="fr-FR"/>
        </w:rPr>
        <w:t xml:space="preserve"> ajouté à l</w:t>
      </w:r>
      <w:r w:rsidR="008E532B">
        <w:rPr>
          <w:rFonts w:ascii="Arial" w:hAnsi="Arial" w:cs="Arial"/>
          <w:bCs/>
          <w:sz w:val="22"/>
          <w:szCs w:val="22"/>
          <w:lang w:val="fr-FR"/>
        </w:rPr>
        <w:t>’</w:t>
      </w:r>
      <w:r w:rsidRPr="003E2D93">
        <w:rPr>
          <w:rFonts w:ascii="Arial" w:hAnsi="Arial" w:cs="Arial"/>
          <w:bCs/>
          <w:sz w:val="22"/>
          <w:szCs w:val="22"/>
          <w:lang w:val="fr-FR"/>
        </w:rPr>
        <w:t>ordre du jour de la prochaine Assemblée. La délégation ne souhait</w:t>
      </w:r>
      <w:r>
        <w:rPr>
          <w:rFonts w:ascii="Arial" w:hAnsi="Arial" w:cs="Arial"/>
          <w:bCs/>
          <w:sz w:val="22"/>
          <w:szCs w:val="22"/>
          <w:lang w:val="fr-FR"/>
        </w:rPr>
        <w:t xml:space="preserve">ait </w:t>
      </w:r>
      <w:r w:rsidRPr="003E2D93">
        <w:rPr>
          <w:rFonts w:ascii="Arial" w:hAnsi="Arial" w:cs="Arial"/>
          <w:bCs/>
          <w:sz w:val="22"/>
          <w:szCs w:val="22"/>
          <w:lang w:val="fr-FR"/>
        </w:rPr>
        <w:t>pas anticiper la décision du groupe et il serait donc préférable d</w:t>
      </w:r>
      <w:r w:rsidR="008E532B">
        <w:rPr>
          <w:rFonts w:ascii="Arial" w:hAnsi="Arial" w:cs="Arial"/>
          <w:bCs/>
          <w:sz w:val="22"/>
          <w:szCs w:val="22"/>
          <w:lang w:val="fr-FR"/>
        </w:rPr>
        <w:t>’</w:t>
      </w:r>
      <w:r>
        <w:rPr>
          <w:rFonts w:ascii="Arial" w:hAnsi="Arial" w:cs="Arial"/>
          <w:bCs/>
          <w:sz w:val="22"/>
          <w:szCs w:val="22"/>
          <w:lang w:val="fr-FR"/>
        </w:rPr>
        <w:t xml:space="preserve">établir </w:t>
      </w:r>
      <w:r w:rsidRPr="003E2D93">
        <w:rPr>
          <w:rFonts w:ascii="Arial" w:hAnsi="Arial" w:cs="Arial"/>
          <w:bCs/>
          <w:sz w:val="22"/>
          <w:szCs w:val="22"/>
          <w:lang w:val="fr-FR"/>
        </w:rPr>
        <w:t>un groupe de travail à composition non limitée et de n</w:t>
      </w:r>
      <w:r w:rsidR="008E532B">
        <w:rPr>
          <w:rFonts w:ascii="Arial" w:hAnsi="Arial" w:cs="Arial"/>
          <w:bCs/>
          <w:sz w:val="22"/>
          <w:szCs w:val="22"/>
          <w:lang w:val="fr-FR"/>
        </w:rPr>
        <w:t>’</w:t>
      </w:r>
      <w:r w:rsidRPr="003E2D93">
        <w:rPr>
          <w:rFonts w:ascii="Arial" w:hAnsi="Arial" w:cs="Arial"/>
          <w:bCs/>
          <w:sz w:val="22"/>
          <w:szCs w:val="22"/>
          <w:lang w:val="fr-FR"/>
        </w:rPr>
        <w:t xml:space="preserve">avoir que le paragraphe 7bis comme sujet de discussion.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agissant du </w:t>
      </w:r>
      <w:r w:rsidRPr="003E2D93">
        <w:rPr>
          <w:rFonts w:ascii="Arial" w:hAnsi="Arial" w:cs="Arial"/>
          <w:bCs/>
          <w:sz w:val="22"/>
          <w:szCs w:val="22"/>
          <w:lang w:val="fr-FR"/>
        </w:rPr>
        <w:t>paragraphe 4 sur l</w:t>
      </w:r>
      <w:r w:rsidR="008E532B">
        <w:rPr>
          <w:rFonts w:ascii="Arial" w:hAnsi="Arial" w:cs="Arial"/>
          <w:bCs/>
          <w:sz w:val="22"/>
          <w:szCs w:val="22"/>
          <w:lang w:val="fr-FR"/>
        </w:rPr>
        <w:t>’</w:t>
      </w:r>
      <w:r w:rsidRPr="003E2D93">
        <w:rPr>
          <w:rFonts w:ascii="Arial" w:hAnsi="Arial" w:cs="Arial"/>
          <w:bCs/>
          <w:sz w:val="22"/>
          <w:szCs w:val="22"/>
          <w:lang w:val="fr-FR"/>
        </w:rPr>
        <w:t>accréditation en attente des trente-deux ONG, la délégation ne pens</w:t>
      </w:r>
      <w:r>
        <w:rPr>
          <w:rFonts w:ascii="Arial" w:hAnsi="Arial" w:cs="Arial"/>
          <w:bCs/>
          <w:sz w:val="22"/>
          <w:szCs w:val="22"/>
          <w:lang w:val="fr-FR"/>
        </w:rPr>
        <w:t>ait</w:t>
      </w:r>
      <w:r w:rsidRPr="003E2D93">
        <w:rPr>
          <w:rFonts w:ascii="Arial" w:hAnsi="Arial" w:cs="Arial"/>
          <w:bCs/>
          <w:sz w:val="22"/>
          <w:szCs w:val="22"/>
          <w:lang w:val="fr-FR"/>
        </w:rPr>
        <w:t xml:space="preserve"> pas que ce point doive être </w:t>
      </w:r>
      <w:r>
        <w:rPr>
          <w:rFonts w:ascii="Arial" w:hAnsi="Arial" w:cs="Arial"/>
          <w:bCs/>
          <w:sz w:val="22"/>
          <w:szCs w:val="22"/>
          <w:lang w:val="fr-FR"/>
        </w:rPr>
        <w:t xml:space="preserve">soustrait à la décision </w:t>
      </w:r>
      <w:r w:rsidRPr="003E2D93">
        <w:rPr>
          <w:rFonts w:ascii="Arial" w:hAnsi="Arial" w:cs="Arial"/>
          <w:bCs/>
          <w:sz w:val="22"/>
          <w:szCs w:val="22"/>
          <w:lang w:val="fr-FR"/>
        </w:rPr>
        <w:t>de cette manière. En tant que membre du Comité qui a</w:t>
      </w:r>
      <w:r>
        <w:rPr>
          <w:rFonts w:ascii="Arial" w:hAnsi="Arial" w:cs="Arial"/>
          <w:bCs/>
          <w:sz w:val="22"/>
          <w:szCs w:val="22"/>
          <w:lang w:val="fr-FR"/>
        </w:rPr>
        <w:t>vait</w:t>
      </w:r>
      <w:r w:rsidRPr="003E2D93">
        <w:rPr>
          <w:rFonts w:ascii="Arial" w:hAnsi="Arial" w:cs="Arial"/>
          <w:bCs/>
          <w:sz w:val="22"/>
          <w:szCs w:val="22"/>
          <w:lang w:val="fr-FR"/>
        </w:rPr>
        <w:t xml:space="preserve"> avalisé leur accréditation</w:t>
      </w:r>
      <w:r>
        <w:rPr>
          <w:rFonts w:ascii="Arial" w:hAnsi="Arial" w:cs="Arial"/>
          <w:bCs/>
          <w:sz w:val="22"/>
          <w:szCs w:val="22"/>
          <w:lang w:val="fr-FR"/>
        </w:rPr>
        <w:t xml:space="preserve">, </w:t>
      </w:r>
      <w:r w:rsidRPr="003E2D93">
        <w:rPr>
          <w:rFonts w:ascii="Arial" w:hAnsi="Arial" w:cs="Arial"/>
          <w:bCs/>
          <w:sz w:val="22"/>
          <w:szCs w:val="22"/>
          <w:lang w:val="fr-FR"/>
        </w:rPr>
        <w:t>sur la base des règles actuelles, le Panama a proposé que l</w:t>
      </w:r>
      <w:r w:rsidR="008E532B">
        <w:rPr>
          <w:rFonts w:ascii="Arial" w:hAnsi="Arial" w:cs="Arial"/>
          <w:bCs/>
          <w:sz w:val="22"/>
          <w:szCs w:val="22"/>
          <w:lang w:val="fr-FR"/>
        </w:rPr>
        <w:t>’</w:t>
      </w:r>
      <w:r w:rsidRPr="003E2D93">
        <w:rPr>
          <w:rFonts w:ascii="Arial" w:hAnsi="Arial" w:cs="Arial"/>
          <w:bCs/>
          <w:sz w:val="22"/>
          <w:szCs w:val="22"/>
          <w:lang w:val="fr-FR"/>
        </w:rPr>
        <w:t xml:space="preserve">Assemblée adopte le paragraphe 4, toute nouvelle décision prise </w:t>
      </w:r>
      <w:r>
        <w:rPr>
          <w:rFonts w:ascii="Arial" w:hAnsi="Arial" w:cs="Arial"/>
          <w:bCs/>
          <w:sz w:val="22"/>
          <w:szCs w:val="22"/>
          <w:lang w:val="fr-FR"/>
        </w:rPr>
        <w:t>au sein du</w:t>
      </w:r>
      <w:r w:rsidRPr="003E2D93">
        <w:rPr>
          <w:rFonts w:ascii="Arial" w:hAnsi="Arial" w:cs="Arial"/>
          <w:bCs/>
          <w:sz w:val="22"/>
          <w:szCs w:val="22"/>
          <w:lang w:val="fr-FR"/>
        </w:rPr>
        <w:t xml:space="preserve"> groupe </w:t>
      </w:r>
      <w:r>
        <w:rPr>
          <w:rFonts w:ascii="Arial" w:hAnsi="Arial" w:cs="Arial"/>
          <w:bCs/>
          <w:sz w:val="22"/>
          <w:szCs w:val="22"/>
          <w:lang w:val="fr-FR"/>
        </w:rPr>
        <w:t xml:space="preserve">de travail </w:t>
      </w:r>
      <w:r w:rsidRPr="003E2D93">
        <w:rPr>
          <w:rFonts w:ascii="Arial" w:hAnsi="Arial" w:cs="Arial"/>
          <w:bCs/>
          <w:sz w:val="22"/>
          <w:szCs w:val="22"/>
          <w:lang w:val="fr-FR"/>
        </w:rPr>
        <w:t>à composition non limitée devant s</w:t>
      </w:r>
      <w:r w:rsidR="008E532B">
        <w:rPr>
          <w:rFonts w:ascii="Arial" w:hAnsi="Arial" w:cs="Arial"/>
          <w:bCs/>
          <w:sz w:val="22"/>
          <w:szCs w:val="22"/>
          <w:lang w:val="fr-FR"/>
        </w:rPr>
        <w:t>’</w:t>
      </w:r>
      <w:r w:rsidRPr="003E2D93">
        <w:rPr>
          <w:rFonts w:ascii="Arial" w:hAnsi="Arial" w:cs="Arial"/>
          <w:bCs/>
          <w:sz w:val="22"/>
          <w:szCs w:val="22"/>
          <w:lang w:val="fr-FR"/>
        </w:rPr>
        <w:t>appliquer aux accréditations futures lorsque la prochaine Assemblée adoptera</w:t>
      </w:r>
      <w:r>
        <w:rPr>
          <w:rFonts w:ascii="Arial" w:hAnsi="Arial" w:cs="Arial"/>
          <w:bCs/>
          <w:sz w:val="22"/>
          <w:szCs w:val="22"/>
          <w:lang w:val="fr-FR"/>
        </w:rPr>
        <w:t>it</w:t>
      </w:r>
      <w:r w:rsidRPr="003E2D93">
        <w:rPr>
          <w:rFonts w:ascii="Arial" w:hAnsi="Arial" w:cs="Arial"/>
          <w:bCs/>
          <w:sz w:val="22"/>
          <w:szCs w:val="22"/>
          <w:lang w:val="fr-FR"/>
        </w:rPr>
        <w:t xml:space="preserve"> les nouvelles règles.</w:t>
      </w:r>
    </w:p>
    <w:p w14:paraId="7D230A6D" w14:textId="1A61BAB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E162B">
        <w:rPr>
          <w:rFonts w:ascii="Arial" w:hAnsi="Arial" w:cs="Arial"/>
          <w:bCs/>
          <w:sz w:val="22"/>
          <w:szCs w:val="22"/>
          <w:lang w:val="fr-FR"/>
        </w:rPr>
        <w:t xml:space="preserve">La </w:t>
      </w:r>
      <w:r w:rsidRPr="008E162B">
        <w:rPr>
          <w:rFonts w:ascii="Arial" w:hAnsi="Arial" w:cs="Arial"/>
          <w:b/>
          <w:sz w:val="22"/>
          <w:szCs w:val="22"/>
          <w:lang w:val="fr-FR"/>
        </w:rPr>
        <w:t>Présidente</w:t>
      </w:r>
      <w:r w:rsidRPr="008E162B">
        <w:rPr>
          <w:rFonts w:ascii="Arial" w:hAnsi="Arial" w:cs="Arial"/>
          <w:bCs/>
          <w:sz w:val="22"/>
          <w:szCs w:val="22"/>
          <w:lang w:val="fr-FR"/>
        </w:rPr>
        <w:t xml:space="preserve"> a noté qu</w:t>
      </w:r>
      <w:r w:rsidR="008E532B">
        <w:rPr>
          <w:rFonts w:ascii="Arial" w:hAnsi="Arial" w:cs="Arial"/>
          <w:bCs/>
          <w:sz w:val="22"/>
          <w:szCs w:val="22"/>
          <w:lang w:val="fr-FR"/>
        </w:rPr>
        <w:t>’</w:t>
      </w:r>
      <w:r w:rsidRPr="008E162B">
        <w:rPr>
          <w:rFonts w:ascii="Arial" w:hAnsi="Arial" w:cs="Arial"/>
          <w:bCs/>
          <w:sz w:val="22"/>
          <w:szCs w:val="22"/>
          <w:lang w:val="fr-FR"/>
        </w:rPr>
        <w:t>il y avait plusieurs propositions</w:t>
      </w:r>
      <w:r>
        <w:rPr>
          <w:rFonts w:ascii="Arial" w:hAnsi="Arial" w:cs="Arial"/>
          <w:bCs/>
          <w:sz w:val="22"/>
          <w:szCs w:val="22"/>
          <w:lang w:val="fr-FR"/>
        </w:rPr>
        <w:t xml:space="preserve"> </w:t>
      </w:r>
      <w:r w:rsidRPr="008E162B">
        <w:rPr>
          <w:rFonts w:ascii="Arial" w:hAnsi="Arial" w:cs="Arial"/>
          <w:bCs/>
          <w:sz w:val="22"/>
          <w:szCs w:val="22"/>
          <w:lang w:val="fr-FR"/>
        </w:rPr>
        <w:t>ayant le même objectif</w:t>
      </w:r>
      <w:r>
        <w:rPr>
          <w:rFonts w:ascii="Arial" w:hAnsi="Arial" w:cs="Arial"/>
          <w:bCs/>
          <w:sz w:val="22"/>
          <w:szCs w:val="22"/>
          <w:lang w:val="fr-FR"/>
        </w:rPr>
        <w:t>. Elle a invité</w:t>
      </w:r>
      <w:r w:rsidRPr="008E162B">
        <w:rPr>
          <w:rFonts w:ascii="Arial" w:hAnsi="Arial" w:cs="Arial"/>
          <w:bCs/>
          <w:sz w:val="22"/>
          <w:szCs w:val="22"/>
          <w:lang w:val="fr-FR"/>
        </w:rPr>
        <w:t xml:space="preserve"> le Sous-Directeur général à trouver une solution.</w:t>
      </w:r>
    </w:p>
    <w:p w14:paraId="4453ED63" w14:textId="5255007E" w:rsidR="00D9653F" w:rsidRPr="008E162B"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Désireux d</w:t>
      </w:r>
      <w:r w:rsidR="008E532B">
        <w:rPr>
          <w:rFonts w:ascii="Arial" w:hAnsi="Arial" w:cs="Arial"/>
          <w:bCs/>
          <w:sz w:val="22"/>
          <w:szCs w:val="22"/>
          <w:lang w:val="fr-FR"/>
        </w:rPr>
        <w:t>’</w:t>
      </w:r>
      <w:r>
        <w:rPr>
          <w:rFonts w:ascii="Arial" w:hAnsi="Arial" w:cs="Arial"/>
          <w:bCs/>
          <w:sz w:val="22"/>
          <w:szCs w:val="22"/>
          <w:lang w:val="fr-FR"/>
        </w:rPr>
        <w:t>aller de l</w:t>
      </w:r>
      <w:r w:rsidR="008E532B">
        <w:rPr>
          <w:rFonts w:ascii="Arial" w:hAnsi="Arial" w:cs="Arial"/>
          <w:bCs/>
          <w:sz w:val="22"/>
          <w:szCs w:val="22"/>
          <w:lang w:val="fr-FR"/>
        </w:rPr>
        <w:t>’</w:t>
      </w:r>
      <w:r>
        <w:rPr>
          <w:rFonts w:ascii="Arial" w:hAnsi="Arial" w:cs="Arial"/>
          <w:bCs/>
          <w:sz w:val="22"/>
          <w:szCs w:val="22"/>
          <w:lang w:val="fr-FR"/>
        </w:rPr>
        <w:t>avant, l</w:t>
      </w:r>
      <w:r w:rsidRPr="008E162B">
        <w:rPr>
          <w:rFonts w:ascii="Arial" w:hAnsi="Arial" w:cs="Arial"/>
          <w:bCs/>
          <w:sz w:val="22"/>
          <w:szCs w:val="22"/>
          <w:lang w:val="fr-FR"/>
        </w:rPr>
        <w:t xml:space="preserve">e </w:t>
      </w:r>
      <w:r w:rsidRPr="008E162B">
        <w:rPr>
          <w:rFonts w:ascii="Arial" w:hAnsi="Arial" w:cs="Arial"/>
          <w:b/>
          <w:sz w:val="22"/>
          <w:szCs w:val="22"/>
          <w:lang w:val="fr-FR"/>
        </w:rPr>
        <w:t>Sous-Directeur général</w:t>
      </w:r>
      <w:r w:rsidRPr="008E162B">
        <w:rPr>
          <w:rFonts w:ascii="Arial" w:hAnsi="Arial" w:cs="Arial"/>
          <w:bCs/>
          <w:sz w:val="22"/>
          <w:szCs w:val="22"/>
          <w:lang w:val="fr-FR"/>
        </w:rPr>
        <w:t xml:space="preserve"> a résumé les options. </w:t>
      </w:r>
      <w:r>
        <w:rPr>
          <w:rFonts w:ascii="Arial" w:hAnsi="Arial" w:cs="Arial"/>
          <w:bCs/>
          <w:sz w:val="22"/>
          <w:szCs w:val="22"/>
          <w:lang w:val="fr-FR"/>
        </w:rPr>
        <w:t xml:space="preserve">Une </w:t>
      </w:r>
      <w:r w:rsidRPr="00F746B7">
        <w:rPr>
          <w:rFonts w:ascii="Arial" w:hAnsi="Arial" w:cs="Arial"/>
          <w:bCs/>
          <w:sz w:val="22"/>
          <w:szCs w:val="22"/>
          <w:lang w:val="fr-FR"/>
        </w:rPr>
        <w:t>proposition</w:t>
      </w:r>
      <w:r>
        <w:rPr>
          <w:rFonts w:ascii="Arial" w:hAnsi="Arial" w:cs="Arial"/>
          <w:bCs/>
          <w:sz w:val="22"/>
          <w:szCs w:val="22"/>
          <w:lang w:val="fr-FR"/>
        </w:rPr>
        <w:t xml:space="preserve"> consistait à </w:t>
      </w:r>
      <w:r w:rsidRPr="008E162B">
        <w:rPr>
          <w:rFonts w:ascii="Arial" w:hAnsi="Arial" w:cs="Arial"/>
          <w:bCs/>
          <w:sz w:val="22"/>
          <w:szCs w:val="22"/>
          <w:lang w:val="fr-FR"/>
        </w:rPr>
        <w:t xml:space="preserve">créer un groupe de travail informel composé de deux membres ou plus, choisis par les présidents de chaque groupe </w:t>
      </w:r>
      <w:r>
        <w:rPr>
          <w:rFonts w:ascii="Arial" w:hAnsi="Arial" w:cs="Arial"/>
          <w:bCs/>
          <w:sz w:val="22"/>
          <w:szCs w:val="22"/>
          <w:lang w:val="fr-FR"/>
        </w:rPr>
        <w:t xml:space="preserve">électoral </w:t>
      </w:r>
      <w:r w:rsidRPr="008E162B">
        <w:rPr>
          <w:rFonts w:ascii="Arial" w:hAnsi="Arial" w:cs="Arial"/>
          <w:bCs/>
          <w:sz w:val="22"/>
          <w:szCs w:val="22"/>
          <w:lang w:val="fr-FR"/>
        </w:rPr>
        <w:t>pour travailler sur le paragraphe 7bis. Si aucune solution n</w:t>
      </w:r>
      <w:r w:rsidR="008E532B">
        <w:rPr>
          <w:rFonts w:ascii="Arial" w:hAnsi="Arial" w:cs="Arial"/>
          <w:bCs/>
          <w:sz w:val="22"/>
          <w:szCs w:val="22"/>
          <w:lang w:val="fr-FR"/>
        </w:rPr>
        <w:t>’</w:t>
      </w:r>
      <w:r w:rsidRPr="008E162B">
        <w:rPr>
          <w:rFonts w:ascii="Arial" w:hAnsi="Arial" w:cs="Arial"/>
          <w:bCs/>
          <w:sz w:val="22"/>
          <w:szCs w:val="22"/>
          <w:lang w:val="fr-FR"/>
        </w:rPr>
        <w:t>était trouvée, le point serait suspendu jusqu</w:t>
      </w:r>
      <w:r w:rsidR="008E532B">
        <w:rPr>
          <w:rFonts w:ascii="Arial" w:hAnsi="Arial" w:cs="Arial"/>
          <w:bCs/>
          <w:sz w:val="22"/>
          <w:szCs w:val="22"/>
          <w:lang w:val="fr-FR"/>
        </w:rPr>
        <w:t>’</w:t>
      </w:r>
      <w:r w:rsidRPr="008E162B">
        <w:rPr>
          <w:rFonts w:ascii="Arial" w:hAnsi="Arial" w:cs="Arial"/>
          <w:bCs/>
          <w:sz w:val="22"/>
          <w:szCs w:val="22"/>
          <w:lang w:val="fr-FR"/>
        </w:rPr>
        <w:t>à la prochaine session de l</w:t>
      </w:r>
      <w:r w:rsidR="008E532B">
        <w:rPr>
          <w:rFonts w:ascii="Arial" w:hAnsi="Arial" w:cs="Arial"/>
          <w:bCs/>
          <w:sz w:val="22"/>
          <w:szCs w:val="22"/>
          <w:lang w:val="fr-FR"/>
        </w:rPr>
        <w:t>’</w:t>
      </w:r>
      <w:r w:rsidRPr="008E162B">
        <w:rPr>
          <w:rFonts w:ascii="Arial" w:hAnsi="Arial" w:cs="Arial"/>
          <w:bCs/>
          <w:sz w:val="22"/>
          <w:szCs w:val="22"/>
          <w:lang w:val="fr-FR"/>
        </w:rPr>
        <w:t>Assemblée.</w:t>
      </w:r>
      <w:r w:rsidR="006221EA">
        <w:rPr>
          <w:rFonts w:ascii="Arial" w:hAnsi="Arial" w:cs="Arial"/>
          <w:bCs/>
          <w:sz w:val="22"/>
          <w:szCs w:val="22"/>
          <w:lang w:val="fr-FR"/>
        </w:rPr>
        <w:t xml:space="preserve"> </w:t>
      </w:r>
      <w:r w:rsidR="006221EA" w:rsidRPr="006221EA">
        <w:rPr>
          <w:rFonts w:ascii="Arial" w:hAnsi="Arial" w:cs="Arial"/>
          <w:bCs/>
          <w:sz w:val="22"/>
          <w:szCs w:val="22"/>
          <w:lang w:val="fr-FR"/>
        </w:rPr>
        <w:t xml:space="preserve">Le Sous-Directeur général </w:t>
      </w:r>
      <w:r w:rsidR="006221EA">
        <w:rPr>
          <w:rFonts w:ascii="Arial" w:hAnsi="Arial" w:cs="Arial"/>
          <w:bCs/>
          <w:sz w:val="22"/>
          <w:szCs w:val="22"/>
          <w:lang w:val="fr-FR"/>
        </w:rPr>
        <w:t>a suggéré que</w:t>
      </w:r>
      <w:r w:rsidRPr="008E162B">
        <w:rPr>
          <w:rFonts w:ascii="Arial" w:hAnsi="Arial" w:cs="Arial"/>
          <w:bCs/>
          <w:sz w:val="22"/>
          <w:szCs w:val="22"/>
          <w:lang w:val="fr-FR"/>
        </w:rPr>
        <w:t xml:space="preserve"> le groupe de travail informel restreint soit chargé de trouver une solution plutôt que de créer davantage de groupes à composition non limitée. Sur un deuxième point, </w:t>
      </w:r>
      <w:r w:rsidR="006221EA">
        <w:rPr>
          <w:rFonts w:ascii="Arial" w:hAnsi="Arial" w:cs="Arial"/>
          <w:bCs/>
          <w:sz w:val="22"/>
          <w:szCs w:val="22"/>
          <w:lang w:val="fr-FR"/>
        </w:rPr>
        <w:t>l</w:t>
      </w:r>
      <w:r w:rsidR="006221EA" w:rsidRPr="006221EA">
        <w:rPr>
          <w:rFonts w:ascii="Arial" w:hAnsi="Arial" w:cs="Arial"/>
          <w:bCs/>
          <w:sz w:val="22"/>
          <w:szCs w:val="22"/>
          <w:lang w:val="fr-FR"/>
        </w:rPr>
        <w:t xml:space="preserve">e Sous-Directeur général </w:t>
      </w:r>
      <w:r w:rsidR="006221EA">
        <w:rPr>
          <w:rFonts w:ascii="Arial" w:hAnsi="Arial" w:cs="Arial"/>
          <w:bCs/>
          <w:sz w:val="22"/>
          <w:szCs w:val="22"/>
          <w:lang w:val="fr-FR"/>
        </w:rPr>
        <w:t>a noté que</w:t>
      </w:r>
      <w:r w:rsidRPr="008E162B">
        <w:rPr>
          <w:rFonts w:ascii="Arial" w:hAnsi="Arial" w:cs="Arial"/>
          <w:bCs/>
          <w:sz w:val="22"/>
          <w:szCs w:val="22"/>
          <w:lang w:val="fr-FR"/>
        </w:rPr>
        <w:t xml:space="preserve"> </w:t>
      </w:r>
      <w:r w:rsidR="006221EA">
        <w:rPr>
          <w:rFonts w:ascii="Arial" w:hAnsi="Arial" w:cs="Arial"/>
          <w:bCs/>
          <w:sz w:val="22"/>
          <w:szCs w:val="22"/>
          <w:lang w:val="fr-FR"/>
        </w:rPr>
        <w:t>c</w:t>
      </w:r>
      <w:r w:rsidR="008E532B">
        <w:rPr>
          <w:rFonts w:ascii="Arial" w:hAnsi="Arial" w:cs="Arial"/>
          <w:bCs/>
          <w:sz w:val="22"/>
          <w:szCs w:val="22"/>
          <w:lang w:val="fr-FR"/>
        </w:rPr>
        <w:t>’</w:t>
      </w:r>
      <w:r>
        <w:rPr>
          <w:rFonts w:ascii="Arial" w:hAnsi="Arial" w:cs="Arial"/>
          <w:bCs/>
          <w:sz w:val="22"/>
          <w:szCs w:val="22"/>
          <w:lang w:val="fr-FR"/>
        </w:rPr>
        <w:t xml:space="preserve">était </w:t>
      </w:r>
      <w:r w:rsidRPr="008E162B">
        <w:rPr>
          <w:rFonts w:ascii="Arial" w:hAnsi="Arial" w:cs="Arial"/>
          <w:bCs/>
          <w:sz w:val="22"/>
          <w:szCs w:val="22"/>
          <w:lang w:val="fr-FR"/>
        </w:rPr>
        <w:t>la prérogative de l</w:t>
      </w:r>
      <w:r w:rsidR="008E532B">
        <w:rPr>
          <w:rFonts w:ascii="Arial" w:hAnsi="Arial" w:cs="Arial"/>
          <w:bCs/>
          <w:sz w:val="22"/>
          <w:szCs w:val="22"/>
          <w:lang w:val="fr-FR"/>
        </w:rPr>
        <w:t>’</w:t>
      </w:r>
      <w:r w:rsidRPr="008E162B">
        <w:rPr>
          <w:rFonts w:ascii="Arial" w:hAnsi="Arial" w:cs="Arial"/>
          <w:bCs/>
          <w:sz w:val="22"/>
          <w:szCs w:val="22"/>
          <w:lang w:val="fr-FR"/>
        </w:rPr>
        <w:t>Assemblée, si elle le souhait</w:t>
      </w:r>
      <w:r>
        <w:rPr>
          <w:rFonts w:ascii="Arial" w:hAnsi="Arial" w:cs="Arial"/>
          <w:bCs/>
          <w:sz w:val="22"/>
          <w:szCs w:val="22"/>
          <w:lang w:val="fr-FR"/>
        </w:rPr>
        <w:t>ait</w:t>
      </w:r>
      <w:r w:rsidRPr="008E162B">
        <w:rPr>
          <w:rFonts w:ascii="Arial" w:hAnsi="Arial" w:cs="Arial"/>
          <w:bCs/>
          <w:sz w:val="22"/>
          <w:szCs w:val="22"/>
          <w:lang w:val="fr-FR"/>
        </w:rPr>
        <w:t>, de changer les règles avec le Comité, mais actuellement le paragraphe 4 n</w:t>
      </w:r>
      <w:r w:rsidR="008E532B">
        <w:rPr>
          <w:rFonts w:ascii="Arial" w:hAnsi="Arial" w:cs="Arial"/>
          <w:bCs/>
          <w:sz w:val="22"/>
          <w:szCs w:val="22"/>
          <w:lang w:val="fr-FR"/>
        </w:rPr>
        <w:t>’</w:t>
      </w:r>
      <w:r>
        <w:rPr>
          <w:rFonts w:ascii="Arial" w:hAnsi="Arial" w:cs="Arial"/>
          <w:bCs/>
          <w:sz w:val="22"/>
          <w:szCs w:val="22"/>
          <w:lang w:val="fr-FR"/>
        </w:rPr>
        <w:t>était</w:t>
      </w:r>
      <w:r w:rsidRPr="008E162B">
        <w:rPr>
          <w:rFonts w:ascii="Arial" w:hAnsi="Arial" w:cs="Arial"/>
          <w:bCs/>
          <w:sz w:val="22"/>
          <w:szCs w:val="22"/>
          <w:lang w:val="fr-FR"/>
        </w:rPr>
        <w:t xml:space="preserve"> pas en discussion. Il </w:t>
      </w:r>
      <w:r>
        <w:rPr>
          <w:rFonts w:ascii="Arial" w:hAnsi="Arial" w:cs="Arial"/>
          <w:bCs/>
          <w:sz w:val="22"/>
          <w:szCs w:val="22"/>
          <w:lang w:val="fr-FR"/>
        </w:rPr>
        <w:t xml:space="preserve">a </w:t>
      </w:r>
      <w:r w:rsidRPr="008E162B">
        <w:rPr>
          <w:rFonts w:ascii="Arial" w:hAnsi="Arial" w:cs="Arial"/>
          <w:bCs/>
          <w:sz w:val="22"/>
          <w:szCs w:val="22"/>
          <w:lang w:val="fr-FR"/>
        </w:rPr>
        <w:t>rappel</w:t>
      </w:r>
      <w:r>
        <w:rPr>
          <w:rFonts w:ascii="Arial" w:hAnsi="Arial" w:cs="Arial"/>
          <w:bCs/>
          <w:sz w:val="22"/>
          <w:szCs w:val="22"/>
          <w:lang w:val="fr-FR"/>
        </w:rPr>
        <w:t>é</w:t>
      </w:r>
      <w:r w:rsidRPr="008E162B">
        <w:rPr>
          <w:rFonts w:ascii="Arial" w:hAnsi="Arial" w:cs="Arial"/>
          <w:bCs/>
          <w:sz w:val="22"/>
          <w:szCs w:val="22"/>
          <w:lang w:val="fr-FR"/>
        </w:rPr>
        <w:t xml:space="preserve"> que les paragraphes 8 et 9 </w:t>
      </w:r>
      <w:r>
        <w:rPr>
          <w:rFonts w:ascii="Arial" w:hAnsi="Arial" w:cs="Arial"/>
          <w:bCs/>
          <w:sz w:val="22"/>
          <w:szCs w:val="22"/>
          <w:lang w:val="fr-FR"/>
        </w:rPr>
        <w:t>étaient</w:t>
      </w:r>
      <w:r w:rsidRPr="008E162B">
        <w:rPr>
          <w:rFonts w:ascii="Arial" w:hAnsi="Arial" w:cs="Arial"/>
          <w:bCs/>
          <w:sz w:val="22"/>
          <w:szCs w:val="22"/>
          <w:lang w:val="fr-FR"/>
        </w:rPr>
        <w:t xml:space="preserve"> toujours en suspens, ainsi que d</w:t>
      </w:r>
      <w:r w:rsidR="008E532B">
        <w:rPr>
          <w:rFonts w:ascii="Arial" w:hAnsi="Arial" w:cs="Arial"/>
          <w:bCs/>
          <w:sz w:val="22"/>
          <w:szCs w:val="22"/>
          <w:lang w:val="fr-FR"/>
        </w:rPr>
        <w:t>’</w:t>
      </w:r>
      <w:r w:rsidRPr="008E162B">
        <w:rPr>
          <w:rFonts w:ascii="Arial" w:hAnsi="Arial" w:cs="Arial"/>
          <w:bCs/>
          <w:sz w:val="22"/>
          <w:szCs w:val="22"/>
          <w:lang w:val="fr-FR"/>
        </w:rPr>
        <w:t>autres points de l</w:t>
      </w:r>
      <w:r w:rsidR="008E532B">
        <w:rPr>
          <w:rFonts w:ascii="Arial" w:hAnsi="Arial" w:cs="Arial"/>
          <w:bCs/>
          <w:sz w:val="22"/>
          <w:szCs w:val="22"/>
          <w:lang w:val="fr-FR"/>
        </w:rPr>
        <w:t>’</w:t>
      </w:r>
      <w:r w:rsidRPr="008E162B">
        <w:rPr>
          <w:rFonts w:ascii="Arial" w:hAnsi="Arial" w:cs="Arial"/>
          <w:bCs/>
          <w:sz w:val="22"/>
          <w:szCs w:val="22"/>
          <w:lang w:val="fr-FR"/>
        </w:rPr>
        <w:t>ordre du jour.</w:t>
      </w:r>
    </w:p>
    <w:p w14:paraId="62C6B71E" w14:textId="32940B0E" w:rsidR="00D9653F" w:rsidRPr="00C457A7"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457A7">
        <w:rPr>
          <w:rFonts w:ascii="Arial" w:hAnsi="Arial" w:cs="Arial"/>
          <w:bCs/>
          <w:sz w:val="22"/>
          <w:szCs w:val="22"/>
          <w:lang w:val="fr-FR"/>
        </w:rPr>
        <w:t>Prenant note de l</w:t>
      </w:r>
      <w:r w:rsidR="008E532B">
        <w:rPr>
          <w:rFonts w:ascii="Arial" w:hAnsi="Arial" w:cs="Arial"/>
          <w:bCs/>
          <w:sz w:val="22"/>
          <w:szCs w:val="22"/>
          <w:lang w:val="fr-FR"/>
        </w:rPr>
        <w:t>’</w:t>
      </w:r>
      <w:r w:rsidRPr="00C457A7">
        <w:rPr>
          <w:rFonts w:ascii="Arial" w:hAnsi="Arial" w:cs="Arial"/>
          <w:bCs/>
          <w:sz w:val="22"/>
          <w:szCs w:val="22"/>
          <w:lang w:val="fr-FR"/>
        </w:rPr>
        <w:t xml:space="preserve">heure, la délégation du </w:t>
      </w:r>
      <w:r w:rsidRPr="00C457A7">
        <w:rPr>
          <w:rFonts w:ascii="Arial" w:hAnsi="Arial" w:cs="Arial"/>
          <w:b/>
          <w:sz w:val="22"/>
          <w:szCs w:val="22"/>
          <w:lang w:val="fr-FR"/>
        </w:rPr>
        <w:t>Koweït</w:t>
      </w:r>
      <w:r w:rsidRPr="00C457A7">
        <w:rPr>
          <w:rFonts w:ascii="Arial" w:hAnsi="Arial" w:cs="Arial"/>
          <w:bCs/>
          <w:sz w:val="22"/>
          <w:szCs w:val="22"/>
          <w:lang w:val="fr-FR"/>
        </w:rPr>
        <w:t xml:space="preserve"> a </w:t>
      </w:r>
      <w:r>
        <w:rPr>
          <w:rFonts w:ascii="Arial" w:hAnsi="Arial" w:cs="Arial"/>
          <w:bCs/>
          <w:sz w:val="22"/>
          <w:szCs w:val="22"/>
          <w:lang w:val="fr-FR"/>
        </w:rPr>
        <w:t>invoqué</w:t>
      </w:r>
      <w:r w:rsidRPr="00C457A7">
        <w:rPr>
          <w:rFonts w:ascii="Arial" w:hAnsi="Arial" w:cs="Arial"/>
          <w:bCs/>
          <w:sz w:val="22"/>
          <w:szCs w:val="22"/>
          <w:lang w:val="fr-FR"/>
        </w:rPr>
        <w:t xml:space="preserve"> un</w:t>
      </w:r>
      <w:r>
        <w:rPr>
          <w:rFonts w:ascii="Arial" w:hAnsi="Arial" w:cs="Arial"/>
          <w:bCs/>
          <w:sz w:val="22"/>
          <w:szCs w:val="22"/>
          <w:lang w:val="fr-FR"/>
        </w:rPr>
        <w:t>e</w:t>
      </w:r>
      <w:r w:rsidRPr="00C457A7">
        <w:rPr>
          <w:rFonts w:ascii="Arial" w:hAnsi="Arial" w:cs="Arial"/>
          <w:bCs/>
          <w:sz w:val="22"/>
          <w:szCs w:val="22"/>
          <w:lang w:val="fr-FR"/>
        </w:rPr>
        <w:t xml:space="preserve"> </w:t>
      </w:r>
      <w:r>
        <w:rPr>
          <w:rFonts w:ascii="Arial" w:hAnsi="Arial" w:cs="Arial"/>
          <w:bCs/>
          <w:sz w:val="22"/>
          <w:szCs w:val="22"/>
          <w:lang w:val="fr-FR"/>
        </w:rPr>
        <w:t>motion</w:t>
      </w:r>
      <w:r w:rsidRPr="00C457A7">
        <w:rPr>
          <w:rFonts w:ascii="Arial" w:hAnsi="Arial" w:cs="Arial"/>
          <w:bCs/>
          <w:sz w:val="22"/>
          <w:szCs w:val="22"/>
          <w:lang w:val="fr-FR"/>
        </w:rPr>
        <w:t xml:space="preserve"> d</w:t>
      </w:r>
      <w:r w:rsidR="008E532B">
        <w:rPr>
          <w:rFonts w:ascii="Arial" w:hAnsi="Arial" w:cs="Arial"/>
          <w:bCs/>
          <w:sz w:val="22"/>
          <w:szCs w:val="22"/>
          <w:lang w:val="fr-FR"/>
        </w:rPr>
        <w:t>’</w:t>
      </w:r>
      <w:r w:rsidRPr="00C457A7">
        <w:rPr>
          <w:rFonts w:ascii="Arial" w:hAnsi="Arial" w:cs="Arial"/>
          <w:bCs/>
          <w:sz w:val="22"/>
          <w:szCs w:val="22"/>
          <w:lang w:val="fr-FR"/>
        </w:rPr>
        <w:t>ordre</w:t>
      </w:r>
      <w:r>
        <w:rPr>
          <w:rFonts w:ascii="Arial" w:hAnsi="Arial" w:cs="Arial"/>
          <w:bCs/>
          <w:sz w:val="22"/>
          <w:szCs w:val="22"/>
          <w:lang w:val="fr-FR"/>
        </w:rPr>
        <w:t xml:space="preserve"> et a </w:t>
      </w:r>
      <w:r w:rsidRPr="00C457A7">
        <w:rPr>
          <w:rFonts w:ascii="Arial" w:hAnsi="Arial" w:cs="Arial"/>
          <w:bCs/>
          <w:sz w:val="22"/>
          <w:szCs w:val="22"/>
          <w:lang w:val="fr-FR"/>
        </w:rPr>
        <w:t>résum</w:t>
      </w:r>
      <w:r>
        <w:rPr>
          <w:rFonts w:ascii="Arial" w:hAnsi="Arial" w:cs="Arial"/>
          <w:bCs/>
          <w:sz w:val="22"/>
          <w:szCs w:val="22"/>
          <w:lang w:val="fr-FR"/>
        </w:rPr>
        <w:t>é</w:t>
      </w:r>
      <w:r w:rsidRPr="00C457A7">
        <w:rPr>
          <w:rFonts w:ascii="Arial" w:hAnsi="Arial" w:cs="Arial"/>
          <w:bCs/>
          <w:sz w:val="22"/>
          <w:szCs w:val="22"/>
          <w:lang w:val="fr-FR"/>
        </w:rPr>
        <w:t xml:space="preserve"> les options</w:t>
      </w:r>
      <w:r>
        <w:rPr>
          <w:rFonts w:ascii="Arial" w:hAnsi="Arial" w:cs="Arial"/>
          <w:bCs/>
          <w:sz w:val="22"/>
          <w:szCs w:val="22"/>
          <w:lang w:val="fr-FR"/>
        </w:rPr>
        <w:t xml:space="preserve"> en présence</w:t>
      </w:r>
      <w:r w:rsidRPr="00C457A7">
        <w:rPr>
          <w:rFonts w:ascii="Arial" w:hAnsi="Arial" w:cs="Arial"/>
          <w:bCs/>
          <w:sz w:val="22"/>
          <w:szCs w:val="22"/>
          <w:lang w:val="fr-FR"/>
        </w:rPr>
        <w:t>. Il y avait l</w:t>
      </w:r>
      <w:r w:rsidR="008E532B">
        <w:rPr>
          <w:rFonts w:ascii="Arial" w:hAnsi="Arial" w:cs="Arial"/>
          <w:bCs/>
          <w:sz w:val="22"/>
          <w:szCs w:val="22"/>
          <w:lang w:val="fr-FR"/>
        </w:rPr>
        <w:t>’</w:t>
      </w:r>
      <w:r w:rsidRPr="00C457A7">
        <w:rPr>
          <w:rFonts w:ascii="Arial" w:hAnsi="Arial" w:cs="Arial"/>
          <w:bCs/>
          <w:sz w:val="22"/>
          <w:szCs w:val="22"/>
          <w:lang w:val="fr-FR"/>
        </w:rPr>
        <w:t>option d</w:t>
      </w:r>
      <w:r w:rsidR="008E532B">
        <w:rPr>
          <w:rFonts w:ascii="Arial" w:hAnsi="Arial" w:cs="Arial"/>
          <w:bCs/>
          <w:sz w:val="22"/>
          <w:szCs w:val="22"/>
          <w:lang w:val="fr-FR"/>
        </w:rPr>
        <w:t>’</w:t>
      </w:r>
      <w:r w:rsidRPr="00C457A7">
        <w:rPr>
          <w:rFonts w:ascii="Arial" w:hAnsi="Arial" w:cs="Arial"/>
          <w:bCs/>
          <w:sz w:val="22"/>
          <w:szCs w:val="22"/>
          <w:lang w:val="fr-FR"/>
        </w:rPr>
        <w:t>un groupe de travail le jour suivant</w:t>
      </w:r>
      <w:r>
        <w:rPr>
          <w:rFonts w:ascii="Arial" w:hAnsi="Arial" w:cs="Arial"/>
          <w:bCs/>
          <w:sz w:val="22"/>
          <w:szCs w:val="22"/>
          <w:lang w:val="fr-FR"/>
        </w:rPr>
        <w:t>,</w:t>
      </w:r>
      <w:r w:rsidRPr="00C457A7">
        <w:rPr>
          <w:rFonts w:ascii="Arial" w:hAnsi="Arial" w:cs="Arial"/>
          <w:bCs/>
          <w:sz w:val="22"/>
          <w:szCs w:val="22"/>
          <w:lang w:val="fr-FR"/>
        </w:rPr>
        <w:t xml:space="preserve"> </w:t>
      </w:r>
      <w:r>
        <w:rPr>
          <w:rFonts w:ascii="Arial" w:hAnsi="Arial" w:cs="Arial"/>
          <w:bCs/>
          <w:sz w:val="22"/>
          <w:szCs w:val="22"/>
          <w:lang w:val="fr-FR"/>
        </w:rPr>
        <w:t>l</w:t>
      </w:r>
      <w:r w:rsidR="008E532B">
        <w:rPr>
          <w:rFonts w:ascii="Arial" w:hAnsi="Arial" w:cs="Arial"/>
          <w:bCs/>
          <w:sz w:val="22"/>
          <w:szCs w:val="22"/>
          <w:lang w:val="fr-FR"/>
        </w:rPr>
        <w:t>’</w:t>
      </w:r>
      <w:r w:rsidRPr="00C457A7">
        <w:rPr>
          <w:rFonts w:ascii="Arial" w:hAnsi="Arial" w:cs="Arial"/>
          <w:bCs/>
          <w:sz w:val="22"/>
          <w:szCs w:val="22"/>
          <w:lang w:val="fr-FR"/>
        </w:rPr>
        <w:t>option du Panama d</w:t>
      </w:r>
      <w:r w:rsidR="008E532B">
        <w:rPr>
          <w:rFonts w:ascii="Arial" w:hAnsi="Arial" w:cs="Arial"/>
          <w:bCs/>
          <w:sz w:val="22"/>
          <w:szCs w:val="22"/>
          <w:lang w:val="fr-FR"/>
        </w:rPr>
        <w:t>’</w:t>
      </w:r>
      <w:r w:rsidRPr="00C457A7">
        <w:rPr>
          <w:rFonts w:ascii="Arial" w:hAnsi="Arial" w:cs="Arial"/>
          <w:bCs/>
          <w:sz w:val="22"/>
          <w:szCs w:val="22"/>
          <w:lang w:val="fr-FR"/>
        </w:rPr>
        <w:t>avoir un groupe de travail à composition non limitée et la suggestion du Japon d</w:t>
      </w:r>
      <w:r w:rsidR="008E532B">
        <w:rPr>
          <w:rFonts w:ascii="Arial" w:hAnsi="Arial" w:cs="Arial"/>
          <w:bCs/>
          <w:sz w:val="22"/>
          <w:szCs w:val="22"/>
          <w:lang w:val="fr-FR"/>
        </w:rPr>
        <w:t>’</w:t>
      </w:r>
      <w:r w:rsidRPr="00C457A7">
        <w:rPr>
          <w:rFonts w:ascii="Arial" w:hAnsi="Arial" w:cs="Arial"/>
          <w:bCs/>
          <w:sz w:val="22"/>
          <w:szCs w:val="22"/>
          <w:lang w:val="fr-FR"/>
        </w:rPr>
        <w:t xml:space="preserve">ajouter le sujet au mandat du </w:t>
      </w:r>
      <w:r>
        <w:rPr>
          <w:rFonts w:ascii="Arial" w:hAnsi="Arial" w:cs="Arial"/>
          <w:bCs/>
          <w:sz w:val="22"/>
          <w:szCs w:val="22"/>
          <w:lang w:val="fr-FR"/>
        </w:rPr>
        <w:t>g</w:t>
      </w:r>
      <w:r w:rsidRPr="00C457A7">
        <w:rPr>
          <w:rFonts w:ascii="Arial" w:hAnsi="Arial" w:cs="Arial"/>
          <w:bCs/>
          <w:sz w:val="22"/>
          <w:szCs w:val="22"/>
          <w:lang w:val="fr-FR"/>
        </w:rPr>
        <w:t>roupe de travail à composition non limitée travaillant sur les questions relatives aux ONG. L</w:t>
      </w:r>
      <w:r w:rsidR="008E532B">
        <w:rPr>
          <w:rFonts w:ascii="Arial" w:hAnsi="Arial" w:cs="Arial"/>
          <w:bCs/>
          <w:sz w:val="22"/>
          <w:szCs w:val="22"/>
          <w:lang w:val="fr-FR"/>
        </w:rPr>
        <w:t>’</w:t>
      </w:r>
      <w:r w:rsidRPr="00C457A7">
        <w:rPr>
          <w:rFonts w:ascii="Arial" w:hAnsi="Arial" w:cs="Arial"/>
          <w:bCs/>
          <w:sz w:val="22"/>
          <w:szCs w:val="22"/>
          <w:lang w:val="fr-FR"/>
        </w:rPr>
        <w:t>Assemblée devait donc prendre une direction pour a</w:t>
      </w:r>
      <w:r>
        <w:rPr>
          <w:rFonts w:ascii="Arial" w:hAnsi="Arial" w:cs="Arial"/>
          <w:bCs/>
          <w:sz w:val="22"/>
          <w:szCs w:val="22"/>
          <w:lang w:val="fr-FR"/>
        </w:rPr>
        <w:t>vancer.</w:t>
      </w:r>
    </w:p>
    <w:p w14:paraId="7C6BF706" w14:textId="13EAEB6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457A7">
        <w:rPr>
          <w:rFonts w:ascii="Arial" w:hAnsi="Arial" w:cs="Arial"/>
          <w:bCs/>
          <w:sz w:val="22"/>
          <w:szCs w:val="22"/>
          <w:lang w:val="fr-FR"/>
        </w:rPr>
        <w:t xml:space="preserve">La délégation de la </w:t>
      </w:r>
      <w:r w:rsidRPr="00C457A7">
        <w:rPr>
          <w:rFonts w:ascii="Arial" w:hAnsi="Arial" w:cs="Arial"/>
          <w:b/>
          <w:sz w:val="22"/>
          <w:szCs w:val="22"/>
          <w:lang w:val="fr-FR"/>
        </w:rPr>
        <w:t>Palestine</w:t>
      </w:r>
      <w:r w:rsidRPr="00C457A7">
        <w:rPr>
          <w:rFonts w:ascii="Arial" w:hAnsi="Arial" w:cs="Arial"/>
          <w:bCs/>
          <w:sz w:val="22"/>
          <w:szCs w:val="22"/>
          <w:lang w:val="fr-FR"/>
        </w:rPr>
        <w:t xml:space="preserve"> a proposé de passer à l</w:t>
      </w:r>
      <w:r w:rsidR="008E532B">
        <w:rPr>
          <w:rFonts w:ascii="Arial" w:hAnsi="Arial" w:cs="Arial"/>
          <w:bCs/>
          <w:sz w:val="22"/>
          <w:szCs w:val="22"/>
          <w:lang w:val="fr-FR"/>
        </w:rPr>
        <w:t>’</w:t>
      </w:r>
      <w:r w:rsidRPr="00C457A7">
        <w:rPr>
          <w:rFonts w:ascii="Arial" w:hAnsi="Arial" w:cs="Arial"/>
          <w:bCs/>
          <w:sz w:val="22"/>
          <w:szCs w:val="22"/>
          <w:lang w:val="fr-FR"/>
        </w:rPr>
        <w:t>adoption des paragraphes 8 et 9, comme mentionné par le Sous-Directeur général. En ce qui concerne les trois propositions, la délégation a suggéré de commencer par le groupe de travail restreint qui se réunira</w:t>
      </w:r>
      <w:r>
        <w:rPr>
          <w:rFonts w:ascii="Arial" w:hAnsi="Arial" w:cs="Arial"/>
          <w:bCs/>
          <w:sz w:val="22"/>
          <w:szCs w:val="22"/>
          <w:lang w:val="fr-FR"/>
        </w:rPr>
        <w:t>it</w:t>
      </w:r>
      <w:r w:rsidRPr="00C457A7">
        <w:rPr>
          <w:rFonts w:ascii="Arial" w:hAnsi="Arial" w:cs="Arial"/>
          <w:bCs/>
          <w:sz w:val="22"/>
          <w:szCs w:val="22"/>
          <w:lang w:val="fr-FR"/>
        </w:rPr>
        <w:t xml:space="preserve"> le lendemain pour voir s</w:t>
      </w:r>
      <w:r w:rsidR="008E532B">
        <w:rPr>
          <w:rFonts w:ascii="Arial" w:hAnsi="Arial" w:cs="Arial"/>
          <w:bCs/>
          <w:sz w:val="22"/>
          <w:szCs w:val="22"/>
          <w:lang w:val="fr-FR"/>
        </w:rPr>
        <w:t>’</w:t>
      </w:r>
      <w:r w:rsidRPr="00C457A7">
        <w:rPr>
          <w:rFonts w:ascii="Arial" w:hAnsi="Arial" w:cs="Arial"/>
          <w:bCs/>
          <w:sz w:val="22"/>
          <w:szCs w:val="22"/>
          <w:lang w:val="fr-FR"/>
        </w:rPr>
        <w:t>il p</w:t>
      </w:r>
      <w:r>
        <w:rPr>
          <w:rFonts w:ascii="Arial" w:hAnsi="Arial" w:cs="Arial"/>
          <w:bCs/>
          <w:sz w:val="22"/>
          <w:szCs w:val="22"/>
          <w:lang w:val="fr-FR"/>
        </w:rPr>
        <w:t>ouvait</w:t>
      </w:r>
      <w:r w:rsidRPr="00C457A7">
        <w:rPr>
          <w:rFonts w:ascii="Arial" w:hAnsi="Arial" w:cs="Arial"/>
          <w:bCs/>
          <w:sz w:val="22"/>
          <w:szCs w:val="22"/>
          <w:lang w:val="fr-FR"/>
        </w:rPr>
        <w:t xml:space="preserve"> parvenir à un consensus. Si ce n</w:t>
      </w:r>
      <w:r w:rsidR="008E532B">
        <w:rPr>
          <w:rFonts w:ascii="Arial" w:hAnsi="Arial" w:cs="Arial"/>
          <w:bCs/>
          <w:sz w:val="22"/>
          <w:szCs w:val="22"/>
          <w:lang w:val="fr-FR"/>
        </w:rPr>
        <w:t>’</w:t>
      </w:r>
      <w:r>
        <w:rPr>
          <w:rFonts w:ascii="Arial" w:hAnsi="Arial" w:cs="Arial"/>
          <w:bCs/>
          <w:sz w:val="22"/>
          <w:szCs w:val="22"/>
          <w:lang w:val="fr-FR"/>
        </w:rPr>
        <w:t xml:space="preserve">était </w:t>
      </w:r>
      <w:r w:rsidRPr="00C457A7">
        <w:rPr>
          <w:rFonts w:ascii="Arial" w:hAnsi="Arial" w:cs="Arial"/>
          <w:bCs/>
          <w:sz w:val="22"/>
          <w:szCs w:val="22"/>
          <w:lang w:val="fr-FR"/>
        </w:rPr>
        <w:t>pas le cas, l</w:t>
      </w:r>
      <w:r w:rsidR="008E532B">
        <w:rPr>
          <w:rFonts w:ascii="Arial" w:hAnsi="Arial" w:cs="Arial"/>
          <w:bCs/>
          <w:sz w:val="22"/>
          <w:szCs w:val="22"/>
          <w:lang w:val="fr-FR"/>
        </w:rPr>
        <w:t>’</w:t>
      </w:r>
      <w:r w:rsidRPr="00C457A7">
        <w:rPr>
          <w:rFonts w:ascii="Arial" w:hAnsi="Arial" w:cs="Arial"/>
          <w:bCs/>
          <w:sz w:val="22"/>
          <w:szCs w:val="22"/>
          <w:lang w:val="fr-FR"/>
        </w:rPr>
        <w:t>Assemblée pourrait suivre le conseil du Japon et la proposition du Panama d</w:t>
      </w:r>
      <w:r w:rsidR="008E532B">
        <w:rPr>
          <w:rFonts w:ascii="Arial" w:hAnsi="Arial" w:cs="Arial"/>
          <w:bCs/>
          <w:sz w:val="22"/>
          <w:szCs w:val="22"/>
          <w:lang w:val="fr-FR"/>
        </w:rPr>
        <w:t>’</w:t>
      </w:r>
      <w:r>
        <w:rPr>
          <w:rFonts w:ascii="Arial" w:hAnsi="Arial" w:cs="Arial"/>
          <w:bCs/>
          <w:sz w:val="22"/>
          <w:szCs w:val="22"/>
          <w:lang w:val="fr-FR"/>
        </w:rPr>
        <w:t>établir</w:t>
      </w:r>
      <w:r w:rsidRPr="00C457A7">
        <w:rPr>
          <w:rFonts w:ascii="Arial" w:hAnsi="Arial" w:cs="Arial"/>
          <w:bCs/>
          <w:sz w:val="22"/>
          <w:szCs w:val="22"/>
          <w:lang w:val="fr-FR"/>
        </w:rPr>
        <w:t xml:space="preserve"> un autre groupe de travail à composition non limitée, bien que cela puisse être difficile pour des raisons financières et autres raisons pratiques. Ou l</w:t>
      </w:r>
      <w:r w:rsidR="008E532B">
        <w:rPr>
          <w:rFonts w:ascii="Arial" w:hAnsi="Arial" w:cs="Arial"/>
          <w:bCs/>
          <w:sz w:val="22"/>
          <w:szCs w:val="22"/>
          <w:lang w:val="fr-FR"/>
        </w:rPr>
        <w:t>’</w:t>
      </w:r>
      <w:r w:rsidRPr="00C457A7">
        <w:rPr>
          <w:rFonts w:ascii="Arial" w:hAnsi="Arial" w:cs="Arial"/>
          <w:bCs/>
          <w:sz w:val="22"/>
          <w:szCs w:val="22"/>
          <w:lang w:val="fr-FR"/>
        </w:rPr>
        <w:t>Assemblée pourrait suivre la proposition du Japon [d</w:t>
      </w:r>
      <w:r w:rsidR="008E532B">
        <w:rPr>
          <w:rFonts w:ascii="Arial" w:hAnsi="Arial" w:cs="Arial"/>
          <w:bCs/>
          <w:sz w:val="22"/>
          <w:szCs w:val="22"/>
          <w:lang w:val="fr-FR"/>
        </w:rPr>
        <w:t>’</w:t>
      </w:r>
      <w:r w:rsidRPr="00C457A7">
        <w:rPr>
          <w:rFonts w:ascii="Arial" w:hAnsi="Arial" w:cs="Arial"/>
          <w:bCs/>
          <w:sz w:val="22"/>
          <w:szCs w:val="22"/>
          <w:lang w:val="fr-FR"/>
        </w:rPr>
        <w:t xml:space="preserve">inclure cette question dans le </w:t>
      </w:r>
      <w:r>
        <w:rPr>
          <w:rFonts w:ascii="Arial" w:hAnsi="Arial" w:cs="Arial"/>
          <w:bCs/>
          <w:sz w:val="22"/>
          <w:szCs w:val="22"/>
          <w:lang w:val="fr-FR"/>
        </w:rPr>
        <w:t>g</w:t>
      </w:r>
      <w:r w:rsidRPr="00C457A7">
        <w:rPr>
          <w:rFonts w:ascii="Arial" w:hAnsi="Arial" w:cs="Arial"/>
          <w:bCs/>
          <w:sz w:val="22"/>
          <w:szCs w:val="22"/>
          <w:lang w:val="fr-FR"/>
        </w:rPr>
        <w:t>roupe de travail à composition non limitée sur l</w:t>
      </w:r>
      <w:r w:rsidR="008E532B">
        <w:rPr>
          <w:rFonts w:ascii="Arial" w:hAnsi="Arial" w:cs="Arial"/>
          <w:bCs/>
          <w:sz w:val="22"/>
          <w:szCs w:val="22"/>
          <w:lang w:val="fr-FR"/>
        </w:rPr>
        <w:t>’</w:t>
      </w:r>
      <w:r w:rsidRPr="00C457A7">
        <w:rPr>
          <w:rFonts w:ascii="Arial" w:hAnsi="Arial" w:cs="Arial"/>
          <w:bCs/>
          <w:sz w:val="22"/>
          <w:szCs w:val="22"/>
          <w:lang w:val="fr-FR"/>
        </w:rPr>
        <w:t>article 18</w:t>
      </w:r>
      <w:r>
        <w:rPr>
          <w:rFonts w:ascii="Arial" w:hAnsi="Arial" w:cs="Arial"/>
          <w:bCs/>
          <w:sz w:val="22"/>
          <w:szCs w:val="22"/>
          <w:lang w:val="fr-FR"/>
        </w:rPr>
        <w:t>, déjà établi</w:t>
      </w:r>
      <w:r w:rsidRPr="00C457A7">
        <w:rPr>
          <w:rFonts w:ascii="Arial" w:hAnsi="Arial" w:cs="Arial"/>
          <w:bCs/>
          <w:sz w:val="22"/>
          <w:szCs w:val="22"/>
          <w:lang w:val="fr-FR"/>
        </w:rPr>
        <w:t>]. La délégation a proposé de commencer par l</w:t>
      </w:r>
      <w:r w:rsidR="008E532B">
        <w:rPr>
          <w:rFonts w:ascii="Arial" w:hAnsi="Arial" w:cs="Arial"/>
          <w:bCs/>
          <w:sz w:val="22"/>
          <w:szCs w:val="22"/>
          <w:lang w:val="fr-FR"/>
        </w:rPr>
        <w:t>’</w:t>
      </w:r>
      <w:r w:rsidRPr="00C457A7">
        <w:rPr>
          <w:rFonts w:ascii="Arial" w:hAnsi="Arial" w:cs="Arial"/>
          <w:bCs/>
          <w:sz w:val="22"/>
          <w:szCs w:val="22"/>
          <w:lang w:val="fr-FR"/>
        </w:rPr>
        <w:t>adoption des points 8 et 9, après quoi la Présidente pourrait désigner l</w:t>
      </w:r>
      <w:r w:rsidR="008E532B">
        <w:rPr>
          <w:rFonts w:ascii="Arial" w:hAnsi="Arial" w:cs="Arial"/>
          <w:bCs/>
          <w:sz w:val="22"/>
          <w:szCs w:val="22"/>
          <w:lang w:val="fr-FR"/>
        </w:rPr>
        <w:t>’</w:t>
      </w:r>
      <w:r w:rsidRPr="00C457A7">
        <w:rPr>
          <w:rFonts w:ascii="Arial" w:hAnsi="Arial" w:cs="Arial"/>
          <w:bCs/>
          <w:sz w:val="22"/>
          <w:szCs w:val="22"/>
          <w:lang w:val="fr-FR"/>
        </w:rPr>
        <w:t>une des délégations (par exemple, l</w:t>
      </w:r>
      <w:r w:rsidR="008E532B">
        <w:rPr>
          <w:rFonts w:ascii="Arial" w:hAnsi="Arial" w:cs="Arial"/>
          <w:bCs/>
          <w:sz w:val="22"/>
          <w:szCs w:val="22"/>
          <w:lang w:val="fr-FR"/>
        </w:rPr>
        <w:t>’</w:t>
      </w:r>
      <w:r w:rsidRPr="00C457A7">
        <w:rPr>
          <w:rFonts w:ascii="Arial" w:hAnsi="Arial" w:cs="Arial"/>
          <w:bCs/>
          <w:sz w:val="22"/>
          <w:szCs w:val="22"/>
          <w:lang w:val="fr-FR"/>
        </w:rPr>
        <w:t>Éthiopie ou le Japon) pour présider ce groupe de travail restreint.</w:t>
      </w:r>
    </w:p>
    <w:p w14:paraId="54F0AE6B" w14:textId="3655764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275F99">
        <w:rPr>
          <w:rFonts w:ascii="Arial" w:hAnsi="Arial" w:cs="Arial"/>
          <w:b/>
          <w:sz w:val="22"/>
          <w:szCs w:val="22"/>
          <w:lang w:val="fr-FR"/>
        </w:rPr>
        <w:t>Présidente</w:t>
      </w:r>
      <w:r>
        <w:rPr>
          <w:rFonts w:ascii="Arial" w:hAnsi="Arial" w:cs="Arial"/>
          <w:bCs/>
          <w:sz w:val="22"/>
          <w:szCs w:val="22"/>
          <w:lang w:val="fr-FR"/>
        </w:rPr>
        <w:t xml:space="preserve"> a noté qu</w:t>
      </w:r>
      <w:r w:rsidR="008E532B">
        <w:rPr>
          <w:rFonts w:ascii="Arial" w:hAnsi="Arial" w:cs="Arial"/>
          <w:bCs/>
          <w:sz w:val="22"/>
          <w:szCs w:val="22"/>
          <w:lang w:val="fr-FR"/>
        </w:rPr>
        <w:t>’</w:t>
      </w:r>
      <w:r>
        <w:rPr>
          <w:rFonts w:ascii="Arial" w:hAnsi="Arial" w:cs="Arial"/>
          <w:bCs/>
          <w:sz w:val="22"/>
          <w:szCs w:val="22"/>
          <w:lang w:val="fr-FR"/>
        </w:rPr>
        <w:t>il y avait quatre autres orateurs sur la liste.</w:t>
      </w:r>
    </w:p>
    <w:p w14:paraId="306027D9"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275F99">
        <w:rPr>
          <w:rFonts w:ascii="Arial" w:hAnsi="Arial" w:cs="Arial"/>
          <w:bCs/>
          <w:sz w:val="22"/>
          <w:szCs w:val="22"/>
          <w:lang w:val="fr-FR"/>
        </w:rPr>
        <w:t>délégation</w:t>
      </w:r>
      <w:r>
        <w:rPr>
          <w:rFonts w:ascii="Arial" w:hAnsi="Arial" w:cs="Arial"/>
          <w:bCs/>
          <w:sz w:val="22"/>
          <w:szCs w:val="22"/>
          <w:lang w:val="fr-FR"/>
        </w:rPr>
        <w:t xml:space="preserve"> de la </w:t>
      </w:r>
      <w:r w:rsidRPr="00275F99">
        <w:rPr>
          <w:rFonts w:ascii="Arial" w:hAnsi="Arial" w:cs="Arial"/>
          <w:b/>
          <w:sz w:val="22"/>
          <w:szCs w:val="22"/>
          <w:lang w:val="fr-FR"/>
        </w:rPr>
        <w:t>Palestine</w:t>
      </w:r>
      <w:r>
        <w:rPr>
          <w:rFonts w:ascii="Arial" w:hAnsi="Arial" w:cs="Arial"/>
          <w:bCs/>
          <w:sz w:val="22"/>
          <w:szCs w:val="22"/>
          <w:lang w:val="fr-FR"/>
        </w:rPr>
        <w:t xml:space="preserve"> a proposé de clôturer le débat.</w:t>
      </w:r>
    </w:p>
    <w:p w14:paraId="73E575AA" w14:textId="7FDE1DA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275F99">
        <w:rPr>
          <w:rFonts w:ascii="Arial" w:hAnsi="Arial" w:cs="Arial"/>
          <w:b/>
          <w:sz w:val="22"/>
          <w:szCs w:val="22"/>
          <w:lang w:val="fr-FR"/>
        </w:rPr>
        <w:t>Présidente</w:t>
      </w:r>
      <w:r>
        <w:rPr>
          <w:rFonts w:ascii="Arial" w:hAnsi="Arial" w:cs="Arial"/>
          <w:bCs/>
          <w:sz w:val="22"/>
          <w:szCs w:val="22"/>
          <w:lang w:val="fr-FR"/>
        </w:rPr>
        <w:t xml:space="preserve"> a noté qu</w:t>
      </w:r>
      <w:r w:rsidR="008E532B">
        <w:rPr>
          <w:rFonts w:ascii="Arial" w:hAnsi="Arial" w:cs="Arial"/>
          <w:bCs/>
          <w:sz w:val="22"/>
          <w:szCs w:val="22"/>
          <w:lang w:val="fr-FR"/>
        </w:rPr>
        <w:t>’</w:t>
      </w:r>
      <w:r>
        <w:rPr>
          <w:rFonts w:ascii="Arial" w:hAnsi="Arial" w:cs="Arial"/>
          <w:bCs/>
          <w:sz w:val="22"/>
          <w:szCs w:val="22"/>
          <w:lang w:val="fr-FR"/>
        </w:rPr>
        <w:t>il n</w:t>
      </w:r>
      <w:r w:rsidR="008E532B">
        <w:rPr>
          <w:rFonts w:ascii="Arial" w:hAnsi="Arial" w:cs="Arial"/>
          <w:bCs/>
          <w:sz w:val="22"/>
          <w:szCs w:val="22"/>
          <w:lang w:val="fr-FR"/>
        </w:rPr>
        <w:t>’</w:t>
      </w:r>
      <w:r>
        <w:rPr>
          <w:rFonts w:ascii="Arial" w:hAnsi="Arial" w:cs="Arial"/>
          <w:bCs/>
          <w:sz w:val="22"/>
          <w:szCs w:val="22"/>
          <w:lang w:val="fr-FR"/>
        </w:rPr>
        <w:t>y avait pas d</w:t>
      </w:r>
      <w:r w:rsidR="008E532B">
        <w:rPr>
          <w:rFonts w:ascii="Arial" w:hAnsi="Arial" w:cs="Arial"/>
          <w:bCs/>
          <w:sz w:val="22"/>
          <w:szCs w:val="22"/>
          <w:lang w:val="fr-FR"/>
        </w:rPr>
        <w:t>’</w:t>
      </w:r>
      <w:r>
        <w:rPr>
          <w:rFonts w:ascii="Arial" w:hAnsi="Arial" w:cs="Arial"/>
          <w:bCs/>
          <w:sz w:val="22"/>
          <w:szCs w:val="22"/>
          <w:lang w:val="fr-FR"/>
        </w:rPr>
        <w:t>objections et a clôturé le débat.</w:t>
      </w:r>
    </w:p>
    <w:p w14:paraId="44DFDFB0"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66AC2">
        <w:rPr>
          <w:rFonts w:ascii="Arial" w:hAnsi="Arial" w:cs="Arial"/>
          <w:bCs/>
          <w:sz w:val="22"/>
          <w:szCs w:val="22"/>
          <w:lang w:val="fr-FR"/>
        </w:rPr>
        <w:t>délégation</w:t>
      </w:r>
      <w:r>
        <w:rPr>
          <w:rFonts w:ascii="Arial" w:hAnsi="Arial" w:cs="Arial"/>
          <w:bCs/>
          <w:sz w:val="22"/>
          <w:szCs w:val="22"/>
          <w:lang w:val="fr-FR"/>
        </w:rPr>
        <w:t xml:space="preserve"> des </w:t>
      </w:r>
      <w:r w:rsidRPr="00066AC2">
        <w:rPr>
          <w:rFonts w:ascii="Arial" w:hAnsi="Arial" w:cs="Arial"/>
          <w:b/>
          <w:sz w:val="22"/>
          <w:szCs w:val="22"/>
          <w:lang w:val="fr-FR"/>
        </w:rPr>
        <w:t>Pays</w:t>
      </w:r>
      <w:r w:rsidRPr="00066AC2">
        <w:rPr>
          <w:rFonts w:ascii="Arial" w:hAnsi="Arial" w:cs="Arial"/>
          <w:b/>
          <w:sz w:val="22"/>
          <w:szCs w:val="22"/>
          <w:lang w:val="fr-FR"/>
        </w:rPr>
        <w:noBreakHyphen/>
        <w:t>Bas</w:t>
      </w:r>
      <w:r>
        <w:rPr>
          <w:rFonts w:ascii="Arial" w:hAnsi="Arial" w:cs="Arial"/>
          <w:bCs/>
          <w:sz w:val="22"/>
          <w:szCs w:val="22"/>
          <w:lang w:val="fr-FR"/>
        </w:rPr>
        <w:t xml:space="preserve"> a demandé quels pays participeraient au groupe de travail.</w:t>
      </w:r>
    </w:p>
    <w:p w14:paraId="5B953030"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66AC2">
        <w:rPr>
          <w:rFonts w:ascii="Arial" w:hAnsi="Arial" w:cs="Arial"/>
          <w:b/>
          <w:sz w:val="22"/>
          <w:szCs w:val="22"/>
          <w:lang w:val="fr-FR"/>
        </w:rPr>
        <w:t>Présidente</w:t>
      </w:r>
      <w:r>
        <w:rPr>
          <w:rFonts w:ascii="Arial" w:hAnsi="Arial" w:cs="Arial"/>
          <w:bCs/>
          <w:sz w:val="22"/>
          <w:szCs w:val="22"/>
          <w:lang w:val="fr-FR"/>
        </w:rPr>
        <w:t xml:space="preserve"> a reconnu la sagesse de la </w:t>
      </w:r>
      <w:r w:rsidRPr="00066AC2">
        <w:rPr>
          <w:rFonts w:ascii="Arial" w:hAnsi="Arial" w:cs="Arial"/>
          <w:bCs/>
          <w:sz w:val="22"/>
          <w:szCs w:val="22"/>
          <w:lang w:val="fr-FR"/>
        </w:rPr>
        <w:t>proposition</w:t>
      </w:r>
      <w:r>
        <w:rPr>
          <w:rFonts w:ascii="Arial" w:hAnsi="Arial" w:cs="Arial"/>
          <w:bCs/>
          <w:sz w:val="22"/>
          <w:szCs w:val="22"/>
          <w:lang w:val="fr-FR"/>
        </w:rPr>
        <w:t xml:space="preserve"> de la Palestine de commencer avec un groupe plus petit composé de deux ou trois </w:t>
      </w:r>
      <w:r w:rsidRPr="00066AC2">
        <w:rPr>
          <w:rFonts w:ascii="Arial" w:hAnsi="Arial" w:cs="Arial"/>
          <w:bCs/>
          <w:sz w:val="22"/>
          <w:szCs w:val="22"/>
          <w:lang w:val="fr-FR"/>
        </w:rPr>
        <w:t>représenta</w:t>
      </w:r>
      <w:r>
        <w:rPr>
          <w:rFonts w:ascii="Arial" w:hAnsi="Arial" w:cs="Arial"/>
          <w:bCs/>
          <w:sz w:val="22"/>
          <w:szCs w:val="22"/>
          <w:lang w:val="fr-FR"/>
        </w:rPr>
        <w:t>nts par groupe électoral.</w:t>
      </w:r>
    </w:p>
    <w:p w14:paraId="056685B2"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66AC2">
        <w:rPr>
          <w:rFonts w:ascii="Arial" w:hAnsi="Arial" w:cs="Arial"/>
          <w:bCs/>
          <w:sz w:val="22"/>
          <w:szCs w:val="22"/>
          <w:lang w:val="fr-FR"/>
        </w:rPr>
        <w:t xml:space="preserve">La délégation du </w:t>
      </w:r>
      <w:r w:rsidRPr="00066AC2">
        <w:rPr>
          <w:rFonts w:ascii="Arial" w:hAnsi="Arial" w:cs="Arial"/>
          <w:b/>
          <w:sz w:val="22"/>
          <w:szCs w:val="22"/>
          <w:lang w:val="fr-FR"/>
        </w:rPr>
        <w:t>Mexique</w:t>
      </w:r>
      <w:r w:rsidRPr="00066AC2">
        <w:rPr>
          <w:rFonts w:ascii="Arial" w:hAnsi="Arial" w:cs="Arial"/>
          <w:bCs/>
          <w:sz w:val="22"/>
          <w:szCs w:val="22"/>
          <w:lang w:val="fr-FR"/>
        </w:rPr>
        <w:t xml:space="preserve"> a noté que le paragraphe 4 du projet de décision avait été suspendu. Comme il </w:t>
      </w:r>
      <w:r>
        <w:rPr>
          <w:rFonts w:ascii="Arial" w:hAnsi="Arial" w:cs="Arial"/>
          <w:bCs/>
          <w:sz w:val="22"/>
          <w:szCs w:val="22"/>
          <w:lang w:val="fr-FR"/>
        </w:rPr>
        <w:t xml:space="preserve">était </w:t>
      </w:r>
      <w:r w:rsidRPr="00066AC2">
        <w:rPr>
          <w:rFonts w:ascii="Arial" w:hAnsi="Arial" w:cs="Arial"/>
          <w:bCs/>
          <w:sz w:val="22"/>
          <w:szCs w:val="22"/>
          <w:lang w:val="fr-FR"/>
        </w:rPr>
        <w:t>lié au paragraphe 5, et non au paragraphe 7, elle s</w:t>
      </w:r>
      <w:r>
        <w:rPr>
          <w:rFonts w:ascii="Arial" w:hAnsi="Arial" w:cs="Arial"/>
          <w:bCs/>
          <w:sz w:val="22"/>
          <w:szCs w:val="22"/>
          <w:lang w:val="fr-FR"/>
        </w:rPr>
        <w:t>e demandait</w:t>
      </w:r>
      <w:r w:rsidRPr="00066AC2">
        <w:rPr>
          <w:rFonts w:ascii="Arial" w:hAnsi="Arial" w:cs="Arial"/>
          <w:bCs/>
          <w:sz w:val="22"/>
          <w:szCs w:val="22"/>
          <w:lang w:val="fr-FR"/>
        </w:rPr>
        <w:t xml:space="preserve"> si le Secrétariat p</w:t>
      </w:r>
      <w:r>
        <w:rPr>
          <w:rFonts w:ascii="Arial" w:hAnsi="Arial" w:cs="Arial"/>
          <w:bCs/>
          <w:sz w:val="22"/>
          <w:szCs w:val="22"/>
          <w:lang w:val="fr-FR"/>
        </w:rPr>
        <w:t>ourrait</w:t>
      </w:r>
      <w:r w:rsidRPr="00066AC2">
        <w:rPr>
          <w:rFonts w:ascii="Arial" w:hAnsi="Arial" w:cs="Arial"/>
          <w:bCs/>
          <w:sz w:val="22"/>
          <w:szCs w:val="22"/>
          <w:lang w:val="fr-FR"/>
        </w:rPr>
        <w:t xml:space="preserve"> procéder aux ajustements concernant les ONG du paragraphe 4.</w:t>
      </w:r>
    </w:p>
    <w:p w14:paraId="4923B27D" w14:textId="0EA4DF8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66AC2">
        <w:rPr>
          <w:rFonts w:ascii="Arial" w:hAnsi="Arial" w:cs="Arial"/>
          <w:b/>
          <w:sz w:val="22"/>
          <w:szCs w:val="22"/>
          <w:lang w:val="fr-FR"/>
        </w:rPr>
        <w:t>Présidente</w:t>
      </w:r>
      <w:r>
        <w:rPr>
          <w:rFonts w:ascii="Arial" w:hAnsi="Arial" w:cs="Arial"/>
          <w:bCs/>
          <w:sz w:val="22"/>
          <w:szCs w:val="22"/>
          <w:lang w:val="fr-FR"/>
        </w:rPr>
        <w:t xml:space="preserve"> a invité le Panama à s</w:t>
      </w:r>
      <w:r w:rsidR="008E532B">
        <w:rPr>
          <w:rFonts w:ascii="Arial" w:hAnsi="Arial" w:cs="Arial"/>
          <w:bCs/>
          <w:sz w:val="22"/>
          <w:szCs w:val="22"/>
          <w:lang w:val="fr-FR"/>
        </w:rPr>
        <w:t>’</w:t>
      </w:r>
      <w:r>
        <w:rPr>
          <w:rFonts w:ascii="Arial" w:hAnsi="Arial" w:cs="Arial"/>
          <w:bCs/>
          <w:sz w:val="22"/>
          <w:szCs w:val="22"/>
          <w:lang w:val="fr-FR"/>
        </w:rPr>
        <w:t>exprimer avant d</w:t>
      </w:r>
      <w:r w:rsidR="008E532B">
        <w:rPr>
          <w:rFonts w:ascii="Arial" w:hAnsi="Arial" w:cs="Arial"/>
          <w:bCs/>
          <w:sz w:val="22"/>
          <w:szCs w:val="22"/>
          <w:lang w:val="fr-FR"/>
        </w:rPr>
        <w:t>’</w:t>
      </w:r>
      <w:r>
        <w:rPr>
          <w:rFonts w:ascii="Arial" w:hAnsi="Arial" w:cs="Arial"/>
          <w:bCs/>
          <w:sz w:val="22"/>
          <w:szCs w:val="22"/>
          <w:lang w:val="fr-FR"/>
        </w:rPr>
        <w:t>aborder la question du Mexique.</w:t>
      </w:r>
    </w:p>
    <w:p w14:paraId="7983416B" w14:textId="2F6F4C4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66AC2">
        <w:rPr>
          <w:rFonts w:ascii="Arial" w:hAnsi="Arial" w:cs="Arial"/>
          <w:bCs/>
          <w:sz w:val="22"/>
          <w:szCs w:val="22"/>
          <w:lang w:val="fr-FR"/>
        </w:rPr>
        <w:t xml:space="preserve">La délégation du </w:t>
      </w:r>
      <w:r w:rsidRPr="00066AC2">
        <w:rPr>
          <w:rFonts w:ascii="Arial" w:hAnsi="Arial" w:cs="Arial"/>
          <w:b/>
          <w:sz w:val="22"/>
          <w:szCs w:val="22"/>
          <w:lang w:val="fr-FR"/>
        </w:rPr>
        <w:t>Panama</w:t>
      </w:r>
      <w:r w:rsidRPr="00066AC2">
        <w:rPr>
          <w:rFonts w:ascii="Arial" w:hAnsi="Arial" w:cs="Arial"/>
          <w:bCs/>
          <w:sz w:val="22"/>
          <w:szCs w:val="22"/>
          <w:lang w:val="fr-FR"/>
        </w:rPr>
        <w:t xml:space="preserve"> souhait</w:t>
      </w:r>
      <w:r>
        <w:rPr>
          <w:rFonts w:ascii="Arial" w:hAnsi="Arial" w:cs="Arial"/>
          <w:bCs/>
          <w:sz w:val="22"/>
          <w:szCs w:val="22"/>
          <w:lang w:val="fr-FR"/>
        </w:rPr>
        <w:t>ait</w:t>
      </w:r>
      <w:r w:rsidRPr="00066AC2">
        <w:rPr>
          <w:rFonts w:ascii="Arial" w:hAnsi="Arial" w:cs="Arial"/>
          <w:bCs/>
          <w:sz w:val="22"/>
          <w:szCs w:val="22"/>
          <w:lang w:val="fr-FR"/>
        </w:rPr>
        <w:t xml:space="preserve"> apporter un amendement au paragraphe 8 du projet de décision, qui n</w:t>
      </w:r>
      <w:r w:rsidR="008E532B">
        <w:rPr>
          <w:rFonts w:ascii="Arial" w:hAnsi="Arial" w:cs="Arial"/>
          <w:bCs/>
          <w:sz w:val="22"/>
          <w:szCs w:val="22"/>
          <w:lang w:val="fr-FR"/>
        </w:rPr>
        <w:t>’</w:t>
      </w:r>
      <w:r>
        <w:rPr>
          <w:rFonts w:ascii="Arial" w:hAnsi="Arial" w:cs="Arial"/>
          <w:bCs/>
          <w:sz w:val="22"/>
          <w:szCs w:val="22"/>
          <w:lang w:val="fr-FR"/>
        </w:rPr>
        <w:t xml:space="preserve">était </w:t>
      </w:r>
      <w:r w:rsidRPr="00066AC2">
        <w:rPr>
          <w:rFonts w:ascii="Arial" w:hAnsi="Arial" w:cs="Arial"/>
          <w:bCs/>
          <w:sz w:val="22"/>
          <w:szCs w:val="22"/>
          <w:lang w:val="fr-FR"/>
        </w:rPr>
        <w:t>pas lié aux interventions du Mexique ou de la Palestine. En ce qui concerne le paragraphe 8</w:t>
      </w:r>
      <w:r>
        <w:rPr>
          <w:rFonts w:ascii="Arial" w:hAnsi="Arial" w:cs="Arial"/>
          <w:bCs/>
          <w:sz w:val="22"/>
          <w:szCs w:val="22"/>
          <w:lang w:val="fr-FR"/>
        </w:rPr>
        <w:t xml:space="preserve"> ainsi rédigé :</w:t>
      </w:r>
      <w:r w:rsidRPr="00066AC2">
        <w:rPr>
          <w:rFonts w:ascii="Arial" w:hAnsi="Arial" w:cs="Arial"/>
          <w:bCs/>
          <w:sz w:val="22"/>
          <w:szCs w:val="22"/>
          <w:lang w:val="fr-FR"/>
        </w:rPr>
        <w:t xml:space="preserve"> </w:t>
      </w:r>
      <w:r>
        <w:rPr>
          <w:rFonts w:ascii="Arial" w:hAnsi="Arial" w:cs="Arial"/>
          <w:bCs/>
          <w:sz w:val="22"/>
          <w:szCs w:val="22"/>
          <w:lang w:val="fr-FR"/>
        </w:rPr>
        <w:t>« </w:t>
      </w:r>
      <w:r w:rsidRPr="00066AC2">
        <w:rPr>
          <w:rFonts w:ascii="Arial" w:hAnsi="Arial" w:cs="Arial"/>
          <w:bCs/>
          <w:sz w:val="22"/>
          <w:szCs w:val="22"/>
          <w:lang w:val="fr-FR"/>
        </w:rPr>
        <w:t>Rappelle aux ONG accréditées en 2010, 2014 et 2018 qu</w:t>
      </w:r>
      <w:r w:rsidR="008E532B">
        <w:rPr>
          <w:rFonts w:ascii="Arial" w:hAnsi="Arial" w:cs="Arial"/>
          <w:bCs/>
          <w:sz w:val="22"/>
          <w:szCs w:val="22"/>
          <w:lang w:val="fr-FR"/>
        </w:rPr>
        <w:t>’</w:t>
      </w:r>
      <w:r w:rsidRPr="00066AC2">
        <w:rPr>
          <w:rFonts w:ascii="Arial" w:hAnsi="Arial" w:cs="Arial"/>
          <w:bCs/>
          <w:sz w:val="22"/>
          <w:szCs w:val="22"/>
          <w:lang w:val="fr-FR"/>
        </w:rPr>
        <w:t xml:space="preserve">elles doivent </w:t>
      </w:r>
      <w:r>
        <w:rPr>
          <w:rFonts w:ascii="Arial" w:hAnsi="Arial" w:cs="Arial"/>
          <w:bCs/>
          <w:sz w:val="22"/>
          <w:szCs w:val="22"/>
          <w:lang w:val="fr-FR"/>
        </w:rPr>
        <w:t>présenter leur</w:t>
      </w:r>
      <w:r w:rsidRPr="00066AC2">
        <w:rPr>
          <w:rFonts w:ascii="Arial" w:hAnsi="Arial" w:cs="Arial"/>
          <w:bCs/>
          <w:sz w:val="22"/>
          <w:szCs w:val="22"/>
          <w:lang w:val="fr-FR"/>
        </w:rPr>
        <w:t xml:space="preserve"> rapport </w:t>
      </w:r>
      <w:r>
        <w:rPr>
          <w:rFonts w:ascii="Arial" w:hAnsi="Arial" w:cs="Arial"/>
          <w:bCs/>
          <w:sz w:val="22"/>
          <w:szCs w:val="22"/>
          <w:lang w:val="fr-FR"/>
        </w:rPr>
        <w:t>quadriennal »</w:t>
      </w:r>
      <w:r w:rsidRPr="00066AC2">
        <w:rPr>
          <w:rFonts w:ascii="Arial" w:hAnsi="Arial" w:cs="Arial"/>
          <w:bCs/>
          <w:sz w:val="22"/>
          <w:szCs w:val="22"/>
          <w:lang w:val="fr-FR"/>
        </w:rPr>
        <w:t>, la délégation souhait</w:t>
      </w:r>
      <w:r>
        <w:rPr>
          <w:rFonts w:ascii="Arial" w:hAnsi="Arial" w:cs="Arial"/>
          <w:bCs/>
          <w:sz w:val="22"/>
          <w:szCs w:val="22"/>
          <w:lang w:val="fr-FR"/>
        </w:rPr>
        <w:t>ait</w:t>
      </w:r>
      <w:r w:rsidRPr="00066AC2">
        <w:rPr>
          <w:rFonts w:ascii="Arial" w:hAnsi="Arial" w:cs="Arial"/>
          <w:bCs/>
          <w:sz w:val="22"/>
          <w:szCs w:val="22"/>
          <w:lang w:val="fr-FR"/>
        </w:rPr>
        <w:t xml:space="preserve"> ajouter </w:t>
      </w:r>
      <w:r>
        <w:rPr>
          <w:rFonts w:ascii="Arial" w:hAnsi="Arial" w:cs="Arial"/>
          <w:bCs/>
          <w:sz w:val="22"/>
          <w:szCs w:val="22"/>
          <w:lang w:val="fr-FR"/>
        </w:rPr>
        <w:t xml:space="preserve">à la fin du </w:t>
      </w:r>
      <w:r w:rsidRPr="00976095">
        <w:rPr>
          <w:rFonts w:ascii="Arial" w:hAnsi="Arial" w:cs="Arial"/>
          <w:bCs/>
          <w:sz w:val="22"/>
          <w:szCs w:val="22"/>
          <w:lang w:val="fr-FR"/>
        </w:rPr>
        <w:t>paragraphe</w:t>
      </w:r>
      <w:r>
        <w:rPr>
          <w:rFonts w:ascii="Arial" w:hAnsi="Arial" w:cs="Arial"/>
          <w:bCs/>
          <w:sz w:val="22"/>
          <w:szCs w:val="22"/>
          <w:lang w:val="fr-FR"/>
        </w:rPr>
        <w:t xml:space="preserve">, après « chaque </w:t>
      </w:r>
      <w:r w:rsidRPr="00976095">
        <w:rPr>
          <w:rFonts w:ascii="Arial" w:hAnsi="Arial" w:cs="Arial"/>
          <w:bCs/>
          <w:sz w:val="22"/>
          <w:szCs w:val="22"/>
          <w:lang w:val="fr-FR"/>
        </w:rPr>
        <w:t>organisation</w:t>
      </w:r>
      <w:r>
        <w:rPr>
          <w:rFonts w:ascii="Arial" w:hAnsi="Arial" w:cs="Arial"/>
          <w:bCs/>
          <w:sz w:val="22"/>
          <w:szCs w:val="22"/>
          <w:lang w:val="fr-FR"/>
        </w:rPr>
        <w:t xml:space="preserve"> </w:t>
      </w:r>
      <w:r w:rsidRPr="00976095">
        <w:rPr>
          <w:rFonts w:ascii="Arial" w:hAnsi="Arial" w:cs="Arial"/>
          <w:bCs/>
          <w:sz w:val="22"/>
          <w:szCs w:val="22"/>
          <w:lang w:val="fr-FR"/>
        </w:rPr>
        <w:t>consultati</w:t>
      </w:r>
      <w:r>
        <w:rPr>
          <w:rFonts w:ascii="Arial" w:hAnsi="Arial" w:cs="Arial"/>
          <w:bCs/>
          <w:sz w:val="22"/>
          <w:szCs w:val="22"/>
          <w:lang w:val="fr-FR"/>
        </w:rPr>
        <w:t>ve », « </w:t>
      </w:r>
      <w:r w:rsidRPr="00066AC2">
        <w:rPr>
          <w:rFonts w:ascii="Arial" w:hAnsi="Arial" w:cs="Arial"/>
          <w:bCs/>
          <w:sz w:val="22"/>
          <w:szCs w:val="22"/>
          <w:lang w:val="fr-FR"/>
        </w:rPr>
        <w:t>et décide</w:t>
      </w:r>
      <w:r>
        <w:rPr>
          <w:rFonts w:ascii="Arial" w:hAnsi="Arial" w:cs="Arial"/>
          <w:bCs/>
          <w:sz w:val="22"/>
          <w:szCs w:val="22"/>
          <w:lang w:val="fr-FR"/>
        </w:rPr>
        <w:t>r</w:t>
      </w:r>
      <w:r w:rsidRPr="00066AC2">
        <w:rPr>
          <w:rFonts w:ascii="Arial" w:hAnsi="Arial" w:cs="Arial"/>
          <w:bCs/>
          <w:sz w:val="22"/>
          <w:szCs w:val="22"/>
          <w:lang w:val="fr-FR"/>
        </w:rPr>
        <w:t xml:space="preserve"> de ses relations futures avec la Convention, telles qu</w:t>
      </w:r>
      <w:r w:rsidR="008E532B">
        <w:rPr>
          <w:rFonts w:ascii="Arial" w:hAnsi="Arial" w:cs="Arial"/>
          <w:bCs/>
          <w:sz w:val="22"/>
          <w:szCs w:val="22"/>
          <w:lang w:val="fr-FR"/>
        </w:rPr>
        <w:t>’</w:t>
      </w:r>
      <w:r w:rsidRPr="00066AC2">
        <w:rPr>
          <w:rFonts w:ascii="Arial" w:hAnsi="Arial" w:cs="Arial"/>
          <w:bCs/>
          <w:sz w:val="22"/>
          <w:szCs w:val="22"/>
          <w:lang w:val="fr-FR"/>
        </w:rPr>
        <w:t>établies par l</w:t>
      </w:r>
      <w:r w:rsidR="008E532B">
        <w:rPr>
          <w:rFonts w:ascii="Arial" w:hAnsi="Arial" w:cs="Arial"/>
          <w:bCs/>
          <w:sz w:val="22"/>
          <w:szCs w:val="22"/>
          <w:lang w:val="fr-FR"/>
        </w:rPr>
        <w:t>’</w:t>
      </w:r>
      <w:r w:rsidRPr="00066AC2">
        <w:rPr>
          <w:rFonts w:ascii="Arial" w:hAnsi="Arial" w:cs="Arial"/>
          <w:bCs/>
          <w:sz w:val="22"/>
          <w:szCs w:val="22"/>
          <w:lang w:val="fr-FR"/>
        </w:rPr>
        <w:t>article 95 des Directives opérationnelles</w:t>
      </w:r>
      <w:r>
        <w:rPr>
          <w:rFonts w:ascii="Arial" w:hAnsi="Arial" w:cs="Arial"/>
          <w:bCs/>
          <w:sz w:val="22"/>
          <w:szCs w:val="22"/>
          <w:lang w:val="fr-FR"/>
        </w:rPr>
        <w:t> »</w:t>
      </w:r>
      <w:r w:rsidRPr="00066AC2">
        <w:rPr>
          <w:rFonts w:ascii="Arial" w:hAnsi="Arial" w:cs="Arial"/>
          <w:bCs/>
          <w:sz w:val="22"/>
          <w:szCs w:val="22"/>
          <w:lang w:val="fr-FR"/>
        </w:rPr>
        <w:t xml:space="preserve">. La délégation </w:t>
      </w:r>
      <w:r>
        <w:rPr>
          <w:rFonts w:ascii="Arial" w:hAnsi="Arial" w:cs="Arial"/>
          <w:bCs/>
          <w:sz w:val="22"/>
          <w:szCs w:val="22"/>
          <w:lang w:val="fr-FR"/>
        </w:rPr>
        <w:t xml:space="preserve">se </w:t>
      </w:r>
      <w:r w:rsidRPr="00066AC2">
        <w:rPr>
          <w:rFonts w:ascii="Arial" w:hAnsi="Arial" w:cs="Arial"/>
          <w:bCs/>
          <w:sz w:val="22"/>
          <w:szCs w:val="22"/>
          <w:lang w:val="fr-FR"/>
        </w:rPr>
        <w:t>demand</w:t>
      </w:r>
      <w:r>
        <w:rPr>
          <w:rFonts w:ascii="Arial" w:hAnsi="Arial" w:cs="Arial"/>
          <w:bCs/>
          <w:sz w:val="22"/>
          <w:szCs w:val="22"/>
          <w:lang w:val="fr-FR"/>
        </w:rPr>
        <w:t>ait</w:t>
      </w:r>
      <w:r w:rsidRPr="00066AC2">
        <w:rPr>
          <w:rFonts w:ascii="Arial" w:hAnsi="Arial" w:cs="Arial"/>
          <w:bCs/>
          <w:sz w:val="22"/>
          <w:szCs w:val="22"/>
          <w:lang w:val="fr-FR"/>
        </w:rPr>
        <w:t xml:space="preserve"> à quoi servirait une ONG qui n</w:t>
      </w:r>
      <w:r w:rsidR="008E532B">
        <w:rPr>
          <w:rFonts w:ascii="Arial" w:hAnsi="Arial" w:cs="Arial"/>
          <w:bCs/>
          <w:sz w:val="22"/>
          <w:szCs w:val="22"/>
          <w:lang w:val="fr-FR"/>
        </w:rPr>
        <w:t>’</w:t>
      </w:r>
      <w:r w:rsidRPr="00066AC2">
        <w:rPr>
          <w:rFonts w:ascii="Arial" w:hAnsi="Arial" w:cs="Arial"/>
          <w:bCs/>
          <w:sz w:val="22"/>
          <w:szCs w:val="22"/>
          <w:lang w:val="fr-FR"/>
        </w:rPr>
        <w:t>a</w:t>
      </w:r>
      <w:r>
        <w:rPr>
          <w:rFonts w:ascii="Arial" w:hAnsi="Arial" w:cs="Arial"/>
          <w:bCs/>
          <w:sz w:val="22"/>
          <w:szCs w:val="22"/>
          <w:lang w:val="fr-FR"/>
        </w:rPr>
        <w:t>vait</w:t>
      </w:r>
      <w:r w:rsidRPr="00066AC2">
        <w:rPr>
          <w:rFonts w:ascii="Arial" w:hAnsi="Arial" w:cs="Arial"/>
          <w:bCs/>
          <w:sz w:val="22"/>
          <w:szCs w:val="22"/>
          <w:lang w:val="fr-FR"/>
        </w:rPr>
        <w:t xml:space="preserve"> pas présenté de rapport depuis 2010 ou 2014</w:t>
      </w:r>
      <w:r>
        <w:rPr>
          <w:rFonts w:ascii="Arial" w:hAnsi="Arial" w:cs="Arial"/>
          <w:bCs/>
          <w:sz w:val="22"/>
          <w:szCs w:val="22"/>
          <w:lang w:val="fr-FR"/>
        </w:rPr>
        <w:t>.</w:t>
      </w:r>
      <w:r w:rsidRPr="00066AC2">
        <w:rPr>
          <w:rFonts w:ascii="Arial" w:hAnsi="Arial" w:cs="Arial"/>
          <w:bCs/>
          <w:sz w:val="22"/>
          <w:szCs w:val="22"/>
          <w:lang w:val="fr-FR"/>
        </w:rPr>
        <w:t xml:space="preserve"> Pour quelle raison </w:t>
      </w:r>
      <w:r>
        <w:rPr>
          <w:rFonts w:ascii="Arial" w:hAnsi="Arial" w:cs="Arial"/>
          <w:bCs/>
          <w:sz w:val="22"/>
          <w:szCs w:val="22"/>
          <w:lang w:val="fr-FR"/>
        </w:rPr>
        <w:t>se présenterait</w:t>
      </w:r>
      <w:r w:rsidRPr="00066AC2">
        <w:rPr>
          <w:rFonts w:ascii="Arial" w:hAnsi="Arial" w:cs="Arial"/>
          <w:bCs/>
          <w:sz w:val="22"/>
          <w:szCs w:val="22"/>
          <w:lang w:val="fr-FR"/>
        </w:rPr>
        <w:t xml:space="preserve">-elle </w:t>
      </w:r>
      <w:r>
        <w:rPr>
          <w:rFonts w:ascii="Arial" w:hAnsi="Arial" w:cs="Arial"/>
          <w:bCs/>
          <w:sz w:val="22"/>
          <w:szCs w:val="22"/>
          <w:lang w:val="fr-FR"/>
        </w:rPr>
        <w:t>devant le</w:t>
      </w:r>
      <w:r w:rsidRPr="00066AC2">
        <w:rPr>
          <w:rFonts w:ascii="Arial" w:hAnsi="Arial" w:cs="Arial"/>
          <w:bCs/>
          <w:sz w:val="22"/>
          <w:szCs w:val="22"/>
          <w:lang w:val="fr-FR"/>
        </w:rPr>
        <w:t xml:space="preserve"> Comité avec un rapport à examiner ? Le Comité devrait donc décider si les relations avec cette ONG se poursuivr</w:t>
      </w:r>
      <w:r>
        <w:rPr>
          <w:rFonts w:ascii="Arial" w:hAnsi="Arial" w:cs="Arial"/>
          <w:bCs/>
          <w:sz w:val="22"/>
          <w:szCs w:val="22"/>
          <w:lang w:val="fr-FR"/>
        </w:rPr>
        <w:t>aie</w:t>
      </w:r>
      <w:r w:rsidRPr="00066AC2">
        <w:rPr>
          <w:rFonts w:ascii="Arial" w:hAnsi="Arial" w:cs="Arial"/>
          <w:bCs/>
          <w:sz w:val="22"/>
          <w:szCs w:val="22"/>
          <w:lang w:val="fr-FR"/>
        </w:rPr>
        <w:t>nt ou non sur la base de l</w:t>
      </w:r>
      <w:r w:rsidR="008E532B">
        <w:rPr>
          <w:rFonts w:ascii="Arial" w:hAnsi="Arial" w:cs="Arial"/>
          <w:bCs/>
          <w:sz w:val="22"/>
          <w:szCs w:val="22"/>
          <w:lang w:val="fr-FR"/>
        </w:rPr>
        <w:t>’</w:t>
      </w:r>
      <w:r w:rsidRPr="00066AC2">
        <w:rPr>
          <w:rFonts w:ascii="Arial" w:hAnsi="Arial" w:cs="Arial"/>
          <w:bCs/>
          <w:sz w:val="22"/>
          <w:szCs w:val="22"/>
          <w:lang w:val="fr-FR"/>
        </w:rPr>
        <w:t>article 95 des Directives opérationnelles.</w:t>
      </w:r>
    </w:p>
    <w:p w14:paraId="3B71A82C" w14:textId="5BCDE28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76095">
        <w:rPr>
          <w:rFonts w:ascii="Arial" w:hAnsi="Arial" w:cs="Arial"/>
          <w:b/>
          <w:sz w:val="22"/>
          <w:szCs w:val="22"/>
          <w:lang w:val="fr-FR"/>
        </w:rPr>
        <w:t>Présidente</w:t>
      </w:r>
      <w:r>
        <w:rPr>
          <w:rFonts w:ascii="Arial" w:hAnsi="Arial" w:cs="Arial"/>
          <w:bCs/>
          <w:sz w:val="22"/>
          <w:szCs w:val="22"/>
          <w:lang w:val="fr-FR"/>
        </w:rPr>
        <w:t xml:space="preserve"> a signalé une motion d</w:t>
      </w:r>
      <w:r w:rsidR="008E532B">
        <w:rPr>
          <w:rFonts w:ascii="Arial" w:hAnsi="Arial" w:cs="Arial"/>
          <w:bCs/>
          <w:sz w:val="22"/>
          <w:szCs w:val="22"/>
          <w:lang w:val="fr-FR"/>
        </w:rPr>
        <w:t>’</w:t>
      </w:r>
      <w:r>
        <w:rPr>
          <w:rFonts w:ascii="Arial" w:hAnsi="Arial" w:cs="Arial"/>
          <w:bCs/>
          <w:sz w:val="22"/>
          <w:szCs w:val="22"/>
          <w:lang w:val="fr-FR"/>
        </w:rPr>
        <w:t>ordre de la part de la Pologne.</w:t>
      </w:r>
    </w:p>
    <w:p w14:paraId="124D7508" w14:textId="667E8FB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D335F">
        <w:rPr>
          <w:rFonts w:ascii="Arial" w:hAnsi="Arial" w:cs="Arial"/>
          <w:bCs/>
          <w:sz w:val="22"/>
          <w:szCs w:val="22"/>
          <w:lang w:val="fr-FR"/>
        </w:rPr>
        <w:t xml:space="preserve">La délégation de la </w:t>
      </w:r>
      <w:r w:rsidRPr="002D335F">
        <w:rPr>
          <w:rFonts w:ascii="Arial" w:hAnsi="Arial" w:cs="Arial"/>
          <w:b/>
          <w:sz w:val="22"/>
          <w:szCs w:val="22"/>
          <w:lang w:val="fr-FR"/>
        </w:rPr>
        <w:t>Pologne</w:t>
      </w:r>
      <w:r w:rsidRPr="002D335F">
        <w:rPr>
          <w:rFonts w:ascii="Arial" w:hAnsi="Arial" w:cs="Arial"/>
          <w:bCs/>
          <w:sz w:val="22"/>
          <w:szCs w:val="22"/>
          <w:lang w:val="fr-FR"/>
        </w:rPr>
        <w:t xml:space="preserve"> s</w:t>
      </w:r>
      <w:r w:rsidR="008E532B">
        <w:rPr>
          <w:rFonts w:ascii="Arial" w:hAnsi="Arial" w:cs="Arial"/>
          <w:bCs/>
          <w:sz w:val="22"/>
          <w:szCs w:val="22"/>
          <w:lang w:val="fr-FR"/>
        </w:rPr>
        <w:t>’</w:t>
      </w:r>
      <w:r w:rsidRPr="002D335F">
        <w:rPr>
          <w:rFonts w:ascii="Arial" w:hAnsi="Arial" w:cs="Arial"/>
          <w:bCs/>
          <w:sz w:val="22"/>
          <w:szCs w:val="22"/>
          <w:lang w:val="fr-FR"/>
        </w:rPr>
        <w:t>est excusée</w:t>
      </w:r>
      <w:r>
        <w:rPr>
          <w:rFonts w:ascii="Arial" w:hAnsi="Arial" w:cs="Arial"/>
          <w:bCs/>
          <w:sz w:val="22"/>
          <w:szCs w:val="22"/>
          <w:lang w:val="fr-FR"/>
        </w:rPr>
        <w:t xml:space="preserve"> d</w:t>
      </w:r>
      <w:r w:rsidR="008E532B">
        <w:rPr>
          <w:rFonts w:ascii="Arial" w:hAnsi="Arial" w:cs="Arial"/>
          <w:bCs/>
          <w:sz w:val="22"/>
          <w:szCs w:val="22"/>
          <w:lang w:val="fr-FR"/>
        </w:rPr>
        <w:t>’</w:t>
      </w:r>
      <w:r>
        <w:rPr>
          <w:rFonts w:ascii="Arial" w:hAnsi="Arial" w:cs="Arial"/>
          <w:bCs/>
          <w:sz w:val="22"/>
          <w:szCs w:val="22"/>
          <w:lang w:val="fr-FR"/>
        </w:rPr>
        <w:t xml:space="preserve">interrompre le débat </w:t>
      </w:r>
      <w:r w:rsidRPr="002D335F">
        <w:rPr>
          <w:rFonts w:ascii="Arial" w:hAnsi="Arial" w:cs="Arial"/>
          <w:bCs/>
          <w:sz w:val="22"/>
          <w:szCs w:val="22"/>
          <w:lang w:val="fr-FR"/>
        </w:rPr>
        <w:t>mais l</w:t>
      </w:r>
      <w:r w:rsidR="008E532B">
        <w:rPr>
          <w:rFonts w:ascii="Arial" w:hAnsi="Arial" w:cs="Arial"/>
          <w:bCs/>
          <w:sz w:val="22"/>
          <w:szCs w:val="22"/>
          <w:lang w:val="fr-FR"/>
        </w:rPr>
        <w:t>’</w:t>
      </w:r>
      <w:r w:rsidRPr="002D335F">
        <w:rPr>
          <w:rFonts w:ascii="Arial" w:hAnsi="Arial" w:cs="Arial"/>
          <w:bCs/>
          <w:sz w:val="22"/>
          <w:szCs w:val="22"/>
          <w:lang w:val="fr-FR"/>
        </w:rPr>
        <w:t>Assemblée n</w:t>
      </w:r>
      <w:r w:rsidR="008E532B">
        <w:rPr>
          <w:rFonts w:ascii="Arial" w:hAnsi="Arial" w:cs="Arial"/>
          <w:bCs/>
          <w:sz w:val="22"/>
          <w:szCs w:val="22"/>
          <w:lang w:val="fr-FR"/>
        </w:rPr>
        <w:t>’</w:t>
      </w:r>
      <w:r w:rsidRPr="002D335F">
        <w:rPr>
          <w:rFonts w:ascii="Arial" w:hAnsi="Arial" w:cs="Arial"/>
          <w:bCs/>
          <w:sz w:val="22"/>
          <w:szCs w:val="22"/>
          <w:lang w:val="fr-FR"/>
        </w:rPr>
        <w:t>a</w:t>
      </w:r>
      <w:r>
        <w:rPr>
          <w:rFonts w:ascii="Arial" w:hAnsi="Arial" w:cs="Arial"/>
          <w:bCs/>
          <w:sz w:val="22"/>
          <w:szCs w:val="22"/>
          <w:lang w:val="fr-FR"/>
        </w:rPr>
        <w:t>vait</w:t>
      </w:r>
      <w:r w:rsidRPr="002D335F">
        <w:rPr>
          <w:rFonts w:ascii="Arial" w:hAnsi="Arial" w:cs="Arial"/>
          <w:bCs/>
          <w:sz w:val="22"/>
          <w:szCs w:val="22"/>
          <w:lang w:val="fr-FR"/>
        </w:rPr>
        <w:t xml:space="preserve"> pas encore décidé si elle souhaitait ou non </w:t>
      </w:r>
      <w:r>
        <w:rPr>
          <w:rFonts w:ascii="Arial" w:hAnsi="Arial" w:cs="Arial"/>
          <w:bCs/>
          <w:sz w:val="22"/>
          <w:szCs w:val="22"/>
          <w:lang w:val="fr-FR"/>
        </w:rPr>
        <w:t>établir</w:t>
      </w:r>
      <w:r w:rsidRPr="002D335F">
        <w:rPr>
          <w:rFonts w:ascii="Arial" w:hAnsi="Arial" w:cs="Arial"/>
          <w:bCs/>
          <w:sz w:val="22"/>
          <w:szCs w:val="22"/>
          <w:lang w:val="fr-FR"/>
        </w:rPr>
        <w:t xml:space="preserve"> un groupe de travail restreint le lendemain</w:t>
      </w:r>
      <w:r>
        <w:rPr>
          <w:rFonts w:ascii="Arial" w:hAnsi="Arial" w:cs="Arial"/>
          <w:bCs/>
          <w:sz w:val="22"/>
          <w:szCs w:val="22"/>
          <w:lang w:val="fr-FR"/>
        </w:rPr>
        <w:t>,</w:t>
      </w:r>
      <w:r w:rsidRPr="002D335F">
        <w:rPr>
          <w:rFonts w:ascii="Arial" w:hAnsi="Arial" w:cs="Arial"/>
          <w:bCs/>
          <w:sz w:val="22"/>
          <w:szCs w:val="22"/>
          <w:lang w:val="fr-FR"/>
        </w:rPr>
        <w:t xml:space="preserve"> car il y a</w:t>
      </w:r>
      <w:r>
        <w:rPr>
          <w:rFonts w:ascii="Arial" w:hAnsi="Arial" w:cs="Arial"/>
          <w:bCs/>
          <w:sz w:val="22"/>
          <w:szCs w:val="22"/>
          <w:lang w:val="fr-FR"/>
        </w:rPr>
        <w:t>vait</w:t>
      </w:r>
      <w:r w:rsidRPr="002D335F">
        <w:rPr>
          <w:rFonts w:ascii="Arial" w:hAnsi="Arial" w:cs="Arial"/>
          <w:bCs/>
          <w:sz w:val="22"/>
          <w:szCs w:val="22"/>
          <w:lang w:val="fr-FR"/>
        </w:rPr>
        <w:t xml:space="preserve"> encore plusieurs plaques </w:t>
      </w:r>
      <w:r>
        <w:rPr>
          <w:rFonts w:ascii="Arial" w:hAnsi="Arial" w:cs="Arial"/>
          <w:bCs/>
          <w:sz w:val="22"/>
          <w:szCs w:val="22"/>
          <w:lang w:val="fr-FR"/>
        </w:rPr>
        <w:t xml:space="preserve">de pays </w:t>
      </w:r>
      <w:r w:rsidRPr="002D335F">
        <w:rPr>
          <w:rFonts w:ascii="Arial" w:hAnsi="Arial" w:cs="Arial"/>
          <w:bCs/>
          <w:sz w:val="22"/>
          <w:szCs w:val="22"/>
          <w:lang w:val="fr-FR"/>
        </w:rPr>
        <w:t xml:space="preserve">levées. </w:t>
      </w:r>
      <w:r>
        <w:rPr>
          <w:rFonts w:ascii="Arial" w:hAnsi="Arial" w:cs="Arial"/>
          <w:bCs/>
          <w:sz w:val="22"/>
          <w:szCs w:val="22"/>
          <w:lang w:val="fr-FR"/>
        </w:rPr>
        <w:t>Par ailleurs, e</w:t>
      </w:r>
      <w:r w:rsidRPr="002D335F">
        <w:rPr>
          <w:rFonts w:ascii="Arial" w:hAnsi="Arial" w:cs="Arial"/>
          <w:bCs/>
          <w:sz w:val="22"/>
          <w:szCs w:val="22"/>
          <w:lang w:val="fr-FR"/>
        </w:rPr>
        <w:t>n ce qui concerne le paragraphe 7bis, proposé par la Palestine, elle souhait</w:t>
      </w:r>
      <w:r>
        <w:rPr>
          <w:rFonts w:ascii="Arial" w:hAnsi="Arial" w:cs="Arial"/>
          <w:bCs/>
          <w:sz w:val="22"/>
          <w:szCs w:val="22"/>
          <w:lang w:val="fr-FR"/>
        </w:rPr>
        <w:t>ait</w:t>
      </w:r>
      <w:r w:rsidRPr="002D335F">
        <w:rPr>
          <w:rFonts w:ascii="Arial" w:hAnsi="Arial" w:cs="Arial"/>
          <w:bCs/>
          <w:sz w:val="22"/>
          <w:szCs w:val="22"/>
          <w:lang w:val="fr-FR"/>
        </w:rPr>
        <w:t xml:space="preserve"> que le Conseiller juridique lui dise si le texte du </w:t>
      </w:r>
      <w:r w:rsidRPr="00711A0A">
        <w:rPr>
          <w:rFonts w:ascii="Arial" w:hAnsi="Arial" w:cs="Arial"/>
          <w:bCs/>
          <w:sz w:val="22"/>
          <w:szCs w:val="22"/>
          <w:lang w:val="fr-FR"/>
        </w:rPr>
        <w:t>paragraphe</w:t>
      </w:r>
      <w:r>
        <w:rPr>
          <w:rFonts w:ascii="Arial" w:hAnsi="Arial" w:cs="Arial"/>
          <w:bCs/>
          <w:sz w:val="22"/>
          <w:szCs w:val="22"/>
          <w:lang w:val="fr-FR"/>
        </w:rPr>
        <w:t xml:space="preserve"> </w:t>
      </w:r>
      <w:r w:rsidRPr="002D335F">
        <w:rPr>
          <w:rFonts w:ascii="Arial" w:hAnsi="Arial" w:cs="Arial"/>
          <w:bCs/>
          <w:sz w:val="22"/>
          <w:szCs w:val="22"/>
          <w:lang w:val="fr-FR"/>
        </w:rPr>
        <w:t xml:space="preserve">7bis </w:t>
      </w:r>
      <w:r>
        <w:rPr>
          <w:rFonts w:ascii="Arial" w:hAnsi="Arial" w:cs="Arial"/>
          <w:bCs/>
          <w:sz w:val="22"/>
          <w:szCs w:val="22"/>
          <w:lang w:val="fr-FR"/>
        </w:rPr>
        <w:t>était</w:t>
      </w:r>
      <w:r w:rsidRPr="002D335F">
        <w:rPr>
          <w:rFonts w:ascii="Arial" w:hAnsi="Arial" w:cs="Arial"/>
          <w:bCs/>
          <w:sz w:val="22"/>
          <w:szCs w:val="22"/>
          <w:lang w:val="fr-FR"/>
        </w:rPr>
        <w:t xml:space="preserve"> en contradiction avec l</w:t>
      </w:r>
      <w:r w:rsidR="008E532B">
        <w:rPr>
          <w:rFonts w:ascii="Arial" w:hAnsi="Arial" w:cs="Arial"/>
          <w:bCs/>
          <w:sz w:val="22"/>
          <w:szCs w:val="22"/>
          <w:lang w:val="fr-FR"/>
        </w:rPr>
        <w:t>’</w:t>
      </w:r>
      <w:r w:rsidRPr="002D335F">
        <w:rPr>
          <w:rFonts w:ascii="Arial" w:hAnsi="Arial" w:cs="Arial"/>
          <w:bCs/>
          <w:sz w:val="22"/>
          <w:szCs w:val="22"/>
          <w:lang w:val="fr-FR"/>
        </w:rPr>
        <w:t xml:space="preserve">article 27 des Directives opérationnelles. </w:t>
      </w:r>
    </w:p>
    <w:p w14:paraId="408F6D9A" w14:textId="204408C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D335F">
        <w:rPr>
          <w:rFonts w:ascii="Arial" w:hAnsi="Arial" w:cs="Arial"/>
          <w:bCs/>
          <w:sz w:val="22"/>
          <w:szCs w:val="22"/>
          <w:lang w:val="fr-FR"/>
        </w:rPr>
        <w:t xml:space="preserve">Le </w:t>
      </w:r>
      <w:r w:rsidRPr="002D335F">
        <w:rPr>
          <w:rFonts w:ascii="Arial" w:hAnsi="Arial" w:cs="Arial"/>
          <w:b/>
          <w:sz w:val="22"/>
          <w:szCs w:val="22"/>
          <w:lang w:val="fr-FR"/>
        </w:rPr>
        <w:t>Conseiller juridique</w:t>
      </w:r>
      <w:r w:rsidRPr="002D335F">
        <w:rPr>
          <w:rFonts w:ascii="Arial" w:hAnsi="Arial" w:cs="Arial"/>
          <w:bCs/>
          <w:sz w:val="22"/>
          <w:szCs w:val="22"/>
          <w:lang w:val="fr-FR"/>
        </w:rPr>
        <w:t xml:space="preserve"> a répondu que cela dépendrait de la lecture </w:t>
      </w:r>
      <w:r>
        <w:rPr>
          <w:rFonts w:ascii="Arial" w:hAnsi="Arial" w:cs="Arial"/>
          <w:bCs/>
          <w:sz w:val="22"/>
          <w:szCs w:val="22"/>
          <w:lang w:val="fr-FR"/>
        </w:rPr>
        <w:t>que l</w:t>
      </w:r>
      <w:r w:rsidR="008E532B">
        <w:rPr>
          <w:rFonts w:ascii="Arial" w:hAnsi="Arial" w:cs="Arial"/>
          <w:bCs/>
          <w:sz w:val="22"/>
          <w:szCs w:val="22"/>
          <w:lang w:val="fr-FR"/>
        </w:rPr>
        <w:t>’</w:t>
      </w:r>
      <w:r>
        <w:rPr>
          <w:rFonts w:ascii="Arial" w:hAnsi="Arial" w:cs="Arial"/>
          <w:bCs/>
          <w:sz w:val="22"/>
          <w:szCs w:val="22"/>
          <w:lang w:val="fr-FR"/>
        </w:rPr>
        <w:t xml:space="preserve">on faisait </w:t>
      </w:r>
      <w:r w:rsidRPr="002D335F">
        <w:rPr>
          <w:rFonts w:ascii="Arial" w:hAnsi="Arial" w:cs="Arial"/>
          <w:bCs/>
          <w:sz w:val="22"/>
          <w:szCs w:val="22"/>
          <w:lang w:val="fr-FR"/>
        </w:rPr>
        <w:t>de l</w:t>
      </w:r>
      <w:r w:rsidR="008E532B">
        <w:rPr>
          <w:rFonts w:ascii="Arial" w:hAnsi="Arial" w:cs="Arial"/>
          <w:bCs/>
          <w:sz w:val="22"/>
          <w:szCs w:val="22"/>
          <w:lang w:val="fr-FR"/>
        </w:rPr>
        <w:t>’</w:t>
      </w:r>
      <w:r w:rsidRPr="002D335F">
        <w:rPr>
          <w:rFonts w:ascii="Arial" w:hAnsi="Arial" w:cs="Arial"/>
          <w:bCs/>
          <w:sz w:val="22"/>
          <w:szCs w:val="22"/>
          <w:lang w:val="fr-FR"/>
        </w:rPr>
        <w:t>article 27, ajoutant qu</w:t>
      </w:r>
      <w:r w:rsidR="008E532B">
        <w:rPr>
          <w:rFonts w:ascii="Arial" w:hAnsi="Arial" w:cs="Arial"/>
          <w:bCs/>
          <w:sz w:val="22"/>
          <w:szCs w:val="22"/>
          <w:lang w:val="fr-FR"/>
        </w:rPr>
        <w:t>’</w:t>
      </w:r>
      <w:r w:rsidRPr="002D335F">
        <w:rPr>
          <w:rFonts w:ascii="Arial" w:hAnsi="Arial" w:cs="Arial"/>
          <w:bCs/>
          <w:sz w:val="22"/>
          <w:szCs w:val="22"/>
          <w:lang w:val="fr-FR"/>
        </w:rPr>
        <w:t xml:space="preserve">il avait déjà expliqué le cadre juridique </w:t>
      </w:r>
      <w:r>
        <w:rPr>
          <w:rFonts w:ascii="Arial" w:hAnsi="Arial" w:cs="Arial"/>
          <w:bCs/>
          <w:sz w:val="22"/>
          <w:szCs w:val="22"/>
          <w:lang w:val="fr-FR"/>
        </w:rPr>
        <w:t>au Comité</w:t>
      </w:r>
      <w:r w:rsidRPr="002D335F">
        <w:rPr>
          <w:rFonts w:ascii="Arial" w:hAnsi="Arial" w:cs="Arial"/>
          <w:bCs/>
          <w:sz w:val="22"/>
          <w:szCs w:val="22"/>
          <w:lang w:val="fr-FR"/>
        </w:rPr>
        <w:t xml:space="preserve">. </w:t>
      </w:r>
      <w:r>
        <w:rPr>
          <w:rFonts w:ascii="Arial" w:hAnsi="Arial" w:cs="Arial"/>
          <w:bCs/>
          <w:sz w:val="22"/>
          <w:szCs w:val="22"/>
          <w:lang w:val="fr-FR"/>
        </w:rPr>
        <w:t>Il revenait</w:t>
      </w:r>
      <w:r w:rsidRPr="002D335F">
        <w:rPr>
          <w:rFonts w:ascii="Arial" w:hAnsi="Arial" w:cs="Arial"/>
          <w:bCs/>
          <w:sz w:val="22"/>
          <w:szCs w:val="22"/>
          <w:lang w:val="fr-FR"/>
        </w:rPr>
        <w:t xml:space="preserve"> à l</w:t>
      </w:r>
      <w:r w:rsidR="008E532B">
        <w:rPr>
          <w:rFonts w:ascii="Arial" w:hAnsi="Arial" w:cs="Arial"/>
          <w:bCs/>
          <w:sz w:val="22"/>
          <w:szCs w:val="22"/>
          <w:lang w:val="fr-FR"/>
        </w:rPr>
        <w:t>’</w:t>
      </w:r>
      <w:r w:rsidRPr="002D335F">
        <w:rPr>
          <w:rFonts w:ascii="Arial" w:hAnsi="Arial" w:cs="Arial"/>
          <w:bCs/>
          <w:sz w:val="22"/>
          <w:szCs w:val="22"/>
          <w:lang w:val="fr-FR"/>
        </w:rPr>
        <w:t>Assemblée d</w:t>
      </w:r>
      <w:r w:rsidR="008E532B">
        <w:rPr>
          <w:rFonts w:ascii="Arial" w:hAnsi="Arial" w:cs="Arial"/>
          <w:bCs/>
          <w:sz w:val="22"/>
          <w:szCs w:val="22"/>
          <w:lang w:val="fr-FR"/>
        </w:rPr>
        <w:t>’</w:t>
      </w:r>
      <w:r w:rsidRPr="002D335F">
        <w:rPr>
          <w:rFonts w:ascii="Arial" w:hAnsi="Arial" w:cs="Arial"/>
          <w:bCs/>
          <w:sz w:val="22"/>
          <w:szCs w:val="22"/>
          <w:lang w:val="fr-FR"/>
        </w:rPr>
        <w:t>interpréter ce qui est écrit et de déterminer si cela serait contradictoire. Le Conseiller juridique a demandé à la Pologne en quoi elle considérait que le paragraphe était contradictoire.</w:t>
      </w:r>
    </w:p>
    <w:p w14:paraId="596C818A" w14:textId="734259A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D1332">
        <w:rPr>
          <w:rFonts w:ascii="Arial" w:hAnsi="Arial" w:cs="Arial"/>
          <w:bCs/>
          <w:sz w:val="22"/>
          <w:szCs w:val="22"/>
          <w:lang w:val="fr-FR"/>
        </w:rPr>
        <w:t xml:space="preserve">La délégation de la </w:t>
      </w:r>
      <w:r w:rsidRPr="003D1332">
        <w:rPr>
          <w:rFonts w:ascii="Arial" w:hAnsi="Arial" w:cs="Arial"/>
          <w:b/>
          <w:sz w:val="22"/>
          <w:szCs w:val="22"/>
          <w:lang w:val="fr-FR"/>
        </w:rPr>
        <w:t>Pologne</w:t>
      </w:r>
      <w:r w:rsidRPr="003D1332">
        <w:rPr>
          <w:rFonts w:ascii="Arial" w:hAnsi="Arial" w:cs="Arial"/>
          <w:bCs/>
          <w:sz w:val="22"/>
          <w:szCs w:val="22"/>
          <w:lang w:val="fr-FR"/>
        </w:rPr>
        <w:t xml:space="preserve"> a expliqué que la proposition de la Palestine exclu</w:t>
      </w:r>
      <w:r>
        <w:rPr>
          <w:rFonts w:ascii="Arial" w:hAnsi="Arial" w:cs="Arial"/>
          <w:bCs/>
          <w:sz w:val="22"/>
          <w:szCs w:val="22"/>
          <w:lang w:val="fr-FR"/>
        </w:rPr>
        <w:t>ai</w:t>
      </w:r>
      <w:r w:rsidRPr="003D1332">
        <w:rPr>
          <w:rFonts w:ascii="Arial" w:hAnsi="Arial" w:cs="Arial"/>
          <w:bCs/>
          <w:sz w:val="22"/>
          <w:szCs w:val="22"/>
          <w:lang w:val="fr-FR"/>
        </w:rPr>
        <w:t>t certaines ONG de l</w:t>
      </w:r>
      <w:r w:rsidR="008E532B">
        <w:rPr>
          <w:rFonts w:ascii="Arial" w:hAnsi="Arial" w:cs="Arial"/>
          <w:bCs/>
          <w:sz w:val="22"/>
          <w:szCs w:val="22"/>
          <w:lang w:val="fr-FR"/>
        </w:rPr>
        <w:t>’</w:t>
      </w:r>
      <w:r w:rsidRPr="003D1332">
        <w:rPr>
          <w:rFonts w:ascii="Arial" w:hAnsi="Arial" w:cs="Arial"/>
          <w:bCs/>
          <w:sz w:val="22"/>
          <w:szCs w:val="22"/>
          <w:lang w:val="fr-FR"/>
        </w:rPr>
        <w:t>Organe d</w:t>
      </w:r>
      <w:r w:rsidR="008E532B">
        <w:rPr>
          <w:rFonts w:ascii="Arial" w:hAnsi="Arial" w:cs="Arial"/>
          <w:bCs/>
          <w:sz w:val="22"/>
          <w:szCs w:val="22"/>
          <w:lang w:val="fr-FR"/>
        </w:rPr>
        <w:t>’</w:t>
      </w:r>
      <w:r w:rsidRPr="003D1332">
        <w:rPr>
          <w:rFonts w:ascii="Arial" w:hAnsi="Arial" w:cs="Arial"/>
          <w:bCs/>
          <w:sz w:val="22"/>
          <w:szCs w:val="22"/>
          <w:lang w:val="fr-FR"/>
        </w:rPr>
        <w:t xml:space="preserve">évaluation, </w:t>
      </w:r>
      <w:r>
        <w:rPr>
          <w:rFonts w:ascii="Arial" w:hAnsi="Arial" w:cs="Arial"/>
          <w:bCs/>
          <w:sz w:val="22"/>
          <w:szCs w:val="22"/>
          <w:lang w:val="fr-FR"/>
        </w:rPr>
        <w:t>c.-à-d.</w:t>
      </w:r>
      <w:r w:rsidRPr="003D1332">
        <w:rPr>
          <w:rFonts w:ascii="Arial" w:hAnsi="Arial" w:cs="Arial"/>
          <w:bCs/>
          <w:sz w:val="22"/>
          <w:szCs w:val="22"/>
          <w:lang w:val="fr-FR"/>
        </w:rPr>
        <w:t xml:space="preserve"> celles des États non parties à la Convention. Cela signifierait que les Directives opérationnelles devraient être modifiées car</w:t>
      </w:r>
      <w:r>
        <w:rPr>
          <w:rFonts w:ascii="Arial" w:hAnsi="Arial" w:cs="Arial"/>
          <w:bCs/>
          <w:sz w:val="22"/>
          <w:szCs w:val="22"/>
          <w:lang w:val="fr-FR"/>
        </w:rPr>
        <w:t>, à ce jour, l</w:t>
      </w:r>
      <w:r w:rsidR="008E532B">
        <w:rPr>
          <w:rFonts w:ascii="Arial" w:hAnsi="Arial" w:cs="Arial"/>
          <w:bCs/>
          <w:sz w:val="22"/>
          <w:szCs w:val="22"/>
          <w:lang w:val="fr-FR"/>
        </w:rPr>
        <w:t>’</w:t>
      </w:r>
      <w:r>
        <w:rPr>
          <w:rFonts w:ascii="Arial" w:hAnsi="Arial" w:cs="Arial"/>
          <w:bCs/>
          <w:sz w:val="22"/>
          <w:szCs w:val="22"/>
          <w:lang w:val="fr-FR"/>
        </w:rPr>
        <w:t>article </w:t>
      </w:r>
      <w:r w:rsidRPr="003D1332">
        <w:rPr>
          <w:rFonts w:ascii="Arial" w:hAnsi="Arial" w:cs="Arial"/>
          <w:bCs/>
          <w:sz w:val="22"/>
          <w:szCs w:val="22"/>
          <w:lang w:val="fr-FR"/>
        </w:rPr>
        <w:t>27 stipul</w:t>
      </w:r>
      <w:r>
        <w:rPr>
          <w:rFonts w:ascii="Arial" w:hAnsi="Arial" w:cs="Arial"/>
          <w:bCs/>
          <w:sz w:val="22"/>
          <w:szCs w:val="22"/>
          <w:lang w:val="fr-FR"/>
        </w:rPr>
        <w:t>ait</w:t>
      </w:r>
      <w:r w:rsidRPr="003D1332">
        <w:rPr>
          <w:rFonts w:ascii="Arial" w:hAnsi="Arial" w:cs="Arial"/>
          <w:bCs/>
          <w:sz w:val="22"/>
          <w:szCs w:val="22"/>
          <w:lang w:val="fr-FR"/>
        </w:rPr>
        <w:t xml:space="preserve"> que toute ONG accréditée peut être élue à l</w:t>
      </w:r>
      <w:r w:rsidR="008E532B">
        <w:rPr>
          <w:rFonts w:ascii="Arial" w:hAnsi="Arial" w:cs="Arial"/>
          <w:bCs/>
          <w:sz w:val="22"/>
          <w:szCs w:val="22"/>
          <w:lang w:val="fr-FR"/>
        </w:rPr>
        <w:t>’</w:t>
      </w:r>
      <w:r w:rsidRPr="003D1332">
        <w:rPr>
          <w:rFonts w:ascii="Arial" w:hAnsi="Arial" w:cs="Arial"/>
          <w:bCs/>
          <w:sz w:val="22"/>
          <w:szCs w:val="22"/>
          <w:lang w:val="fr-FR"/>
        </w:rPr>
        <w:t>Organe d</w:t>
      </w:r>
      <w:r w:rsidR="008E532B">
        <w:rPr>
          <w:rFonts w:ascii="Arial" w:hAnsi="Arial" w:cs="Arial"/>
          <w:bCs/>
          <w:sz w:val="22"/>
          <w:szCs w:val="22"/>
          <w:lang w:val="fr-FR"/>
        </w:rPr>
        <w:t>’</w:t>
      </w:r>
      <w:r w:rsidRPr="003D1332">
        <w:rPr>
          <w:rFonts w:ascii="Arial" w:hAnsi="Arial" w:cs="Arial"/>
          <w:bCs/>
          <w:sz w:val="22"/>
          <w:szCs w:val="22"/>
          <w:lang w:val="fr-FR"/>
        </w:rPr>
        <w:t>évaluation. Ainsi, le paragraphe</w:t>
      </w:r>
      <w:r>
        <w:rPr>
          <w:rFonts w:ascii="Arial" w:hAnsi="Arial" w:cs="Arial"/>
          <w:bCs/>
          <w:sz w:val="22"/>
          <w:szCs w:val="22"/>
          <w:lang w:val="fr-FR"/>
        </w:rPr>
        <w:t> </w:t>
      </w:r>
      <w:r w:rsidRPr="003D1332">
        <w:rPr>
          <w:rFonts w:ascii="Arial" w:hAnsi="Arial" w:cs="Arial"/>
          <w:bCs/>
          <w:sz w:val="22"/>
          <w:szCs w:val="22"/>
          <w:lang w:val="fr-FR"/>
        </w:rPr>
        <w:t>7bis exclurait un groupe d</w:t>
      </w:r>
      <w:r w:rsidR="008E532B">
        <w:rPr>
          <w:rFonts w:ascii="Arial" w:hAnsi="Arial" w:cs="Arial"/>
          <w:bCs/>
          <w:sz w:val="22"/>
          <w:szCs w:val="22"/>
          <w:lang w:val="fr-FR"/>
        </w:rPr>
        <w:t>’</w:t>
      </w:r>
      <w:r w:rsidRPr="003D1332">
        <w:rPr>
          <w:rFonts w:ascii="Arial" w:hAnsi="Arial" w:cs="Arial"/>
          <w:bCs/>
          <w:sz w:val="22"/>
          <w:szCs w:val="22"/>
          <w:lang w:val="fr-FR"/>
        </w:rPr>
        <w:t>ONG qui sont</w:t>
      </w:r>
      <w:r>
        <w:rPr>
          <w:rFonts w:ascii="Arial" w:hAnsi="Arial" w:cs="Arial"/>
          <w:bCs/>
          <w:sz w:val="22"/>
          <w:szCs w:val="22"/>
          <w:lang w:val="fr-FR"/>
        </w:rPr>
        <w:t>,</w:t>
      </w:r>
      <w:r w:rsidRPr="003D1332">
        <w:rPr>
          <w:rFonts w:ascii="Arial" w:hAnsi="Arial" w:cs="Arial"/>
          <w:bCs/>
          <w:sz w:val="22"/>
          <w:szCs w:val="22"/>
          <w:lang w:val="fr-FR"/>
        </w:rPr>
        <w:t xml:space="preserve"> </w:t>
      </w:r>
      <w:r>
        <w:rPr>
          <w:rFonts w:ascii="Arial" w:hAnsi="Arial" w:cs="Arial"/>
          <w:bCs/>
          <w:sz w:val="22"/>
          <w:szCs w:val="22"/>
          <w:lang w:val="fr-FR"/>
        </w:rPr>
        <w:t>de</w:t>
      </w:r>
      <w:r w:rsidRPr="003D1332">
        <w:rPr>
          <w:rFonts w:ascii="Arial" w:hAnsi="Arial" w:cs="Arial"/>
          <w:bCs/>
          <w:sz w:val="22"/>
          <w:szCs w:val="22"/>
          <w:lang w:val="fr-FR"/>
        </w:rPr>
        <w:t xml:space="preserve"> fait</w:t>
      </w:r>
      <w:r>
        <w:rPr>
          <w:rFonts w:ascii="Arial" w:hAnsi="Arial" w:cs="Arial"/>
          <w:bCs/>
          <w:sz w:val="22"/>
          <w:szCs w:val="22"/>
          <w:lang w:val="fr-FR"/>
        </w:rPr>
        <w:t>,</w:t>
      </w:r>
      <w:r w:rsidRPr="003D1332">
        <w:rPr>
          <w:rFonts w:ascii="Arial" w:hAnsi="Arial" w:cs="Arial"/>
          <w:bCs/>
          <w:sz w:val="22"/>
          <w:szCs w:val="22"/>
          <w:lang w:val="fr-FR"/>
        </w:rPr>
        <w:t xml:space="preserve"> éligibles pour siéger à l</w:t>
      </w:r>
      <w:r w:rsidR="008E532B">
        <w:rPr>
          <w:rFonts w:ascii="Arial" w:hAnsi="Arial" w:cs="Arial"/>
          <w:bCs/>
          <w:sz w:val="22"/>
          <w:szCs w:val="22"/>
          <w:lang w:val="fr-FR"/>
        </w:rPr>
        <w:t>’</w:t>
      </w:r>
      <w:r w:rsidRPr="003D1332">
        <w:rPr>
          <w:rFonts w:ascii="Arial" w:hAnsi="Arial" w:cs="Arial"/>
          <w:bCs/>
          <w:sz w:val="22"/>
          <w:szCs w:val="22"/>
          <w:lang w:val="fr-FR"/>
        </w:rPr>
        <w:t>Organe d</w:t>
      </w:r>
      <w:r w:rsidR="008E532B">
        <w:rPr>
          <w:rFonts w:ascii="Arial" w:hAnsi="Arial" w:cs="Arial"/>
          <w:bCs/>
          <w:sz w:val="22"/>
          <w:szCs w:val="22"/>
          <w:lang w:val="fr-FR"/>
        </w:rPr>
        <w:t>’</w:t>
      </w:r>
      <w:r w:rsidRPr="003D1332">
        <w:rPr>
          <w:rFonts w:ascii="Arial" w:hAnsi="Arial" w:cs="Arial"/>
          <w:bCs/>
          <w:sz w:val="22"/>
          <w:szCs w:val="22"/>
          <w:lang w:val="fr-FR"/>
        </w:rPr>
        <w:t>évaluation.</w:t>
      </w:r>
    </w:p>
    <w:p w14:paraId="32B267BF" w14:textId="5A65345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D1332">
        <w:rPr>
          <w:rFonts w:ascii="Arial" w:hAnsi="Arial" w:cs="Arial"/>
          <w:bCs/>
          <w:sz w:val="22"/>
          <w:szCs w:val="22"/>
          <w:lang w:val="fr-FR"/>
        </w:rPr>
        <w:t xml:space="preserve">Le </w:t>
      </w:r>
      <w:r w:rsidRPr="003D1332">
        <w:rPr>
          <w:rFonts w:ascii="Arial" w:hAnsi="Arial" w:cs="Arial"/>
          <w:b/>
          <w:sz w:val="22"/>
          <w:szCs w:val="22"/>
          <w:lang w:val="fr-FR"/>
        </w:rPr>
        <w:t>Conseiller juridique</w:t>
      </w:r>
      <w:r w:rsidRPr="003D1332">
        <w:rPr>
          <w:rFonts w:ascii="Arial" w:hAnsi="Arial" w:cs="Arial"/>
          <w:bCs/>
          <w:sz w:val="22"/>
          <w:szCs w:val="22"/>
          <w:lang w:val="fr-FR"/>
        </w:rPr>
        <w:t xml:space="preserve"> a confirmé que les Directives opérationnelles</w:t>
      </w:r>
      <w:r>
        <w:rPr>
          <w:rFonts w:ascii="Arial" w:hAnsi="Arial" w:cs="Arial"/>
          <w:bCs/>
          <w:sz w:val="22"/>
          <w:szCs w:val="22"/>
          <w:lang w:val="fr-FR"/>
        </w:rPr>
        <w:t>,</w:t>
      </w:r>
      <w:r w:rsidRPr="003D1332">
        <w:rPr>
          <w:rFonts w:ascii="Arial" w:hAnsi="Arial" w:cs="Arial"/>
          <w:bCs/>
          <w:sz w:val="22"/>
          <w:szCs w:val="22"/>
          <w:lang w:val="fr-FR"/>
        </w:rPr>
        <w:t xml:space="preserve"> au paragraphe 27</w:t>
      </w:r>
      <w:r>
        <w:rPr>
          <w:rFonts w:ascii="Arial" w:hAnsi="Arial" w:cs="Arial"/>
          <w:bCs/>
          <w:sz w:val="22"/>
          <w:szCs w:val="22"/>
          <w:lang w:val="fr-FR"/>
        </w:rPr>
        <w:t>,</w:t>
      </w:r>
      <w:r w:rsidRPr="003D1332">
        <w:rPr>
          <w:rFonts w:ascii="Arial" w:hAnsi="Arial" w:cs="Arial"/>
          <w:bCs/>
          <w:sz w:val="22"/>
          <w:szCs w:val="22"/>
          <w:lang w:val="fr-FR"/>
        </w:rPr>
        <w:t xml:space="preserve"> n</w:t>
      </w:r>
      <w:r w:rsidR="008E532B">
        <w:rPr>
          <w:rFonts w:ascii="Arial" w:hAnsi="Arial" w:cs="Arial"/>
          <w:bCs/>
          <w:sz w:val="22"/>
          <w:szCs w:val="22"/>
          <w:lang w:val="fr-FR"/>
        </w:rPr>
        <w:t>’</w:t>
      </w:r>
      <w:r w:rsidRPr="003D1332">
        <w:rPr>
          <w:rFonts w:ascii="Arial" w:hAnsi="Arial" w:cs="Arial"/>
          <w:bCs/>
          <w:sz w:val="22"/>
          <w:szCs w:val="22"/>
          <w:lang w:val="fr-FR"/>
        </w:rPr>
        <w:t>indiqu</w:t>
      </w:r>
      <w:r>
        <w:rPr>
          <w:rFonts w:ascii="Arial" w:hAnsi="Arial" w:cs="Arial"/>
          <w:bCs/>
          <w:sz w:val="22"/>
          <w:szCs w:val="22"/>
          <w:lang w:val="fr-FR"/>
        </w:rPr>
        <w:t>ai</w:t>
      </w:r>
      <w:r w:rsidRPr="003D1332">
        <w:rPr>
          <w:rFonts w:ascii="Arial" w:hAnsi="Arial" w:cs="Arial"/>
          <w:bCs/>
          <w:sz w:val="22"/>
          <w:szCs w:val="22"/>
          <w:lang w:val="fr-FR"/>
        </w:rPr>
        <w:t>ent pas que les ONG</w:t>
      </w:r>
      <w:r>
        <w:rPr>
          <w:rFonts w:ascii="Arial" w:hAnsi="Arial" w:cs="Arial"/>
          <w:bCs/>
          <w:sz w:val="22"/>
          <w:szCs w:val="22"/>
          <w:lang w:val="fr-FR"/>
        </w:rPr>
        <w:t xml:space="preserve"> ayant </w:t>
      </w:r>
      <w:r w:rsidRPr="003D1332">
        <w:rPr>
          <w:rFonts w:ascii="Arial" w:hAnsi="Arial" w:cs="Arial"/>
          <w:bCs/>
          <w:sz w:val="22"/>
          <w:szCs w:val="22"/>
          <w:lang w:val="fr-FR"/>
        </w:rPr>
        <w:t xml:space="preserve">leur domicile établi dans un </w:t>
      </w:r>
      <w:r>
        <w:rPr>
          <w:rFonts w:ascii="Arial" w:hAnsi="Arial" w:cs="Arial"/>
          <w:bCs/>
          <w:sz w:val="22"/>
          <w:szCs w:val="22"/>
          <w:lang w:val="fr-FR"/>
        </w:rPr>
        <w:t>É</w:t>
      </w:r>
      <w:r w:rsidRPr="003D1332">
        <w:rPr>
          <w:rFonts w:ascii="Arial" w:hAnsi="Arial" w:cs="Arial"/>
          <w:bCs/>
          <w:sz w:val="22"/>
          <w:szCs w:val="22"/>
          <w:lang w:val="fr-FR"/>
        </w:rPr>
        <w:t xml:space="preserve">tat </w:t>
      </w:r>
      <w:proofErr w:type="gramStart"/>
      <w:r w:rsidRPr="003D1332">
        <w:rPr>
          <w:rFonts w:ascii="Arial" w:hAnsi="Arial" w:cs="Arial"/>
          <w:bCs/>
          <w:sz w:val="22"/>
          <w:szCs w:val="22"/>
          <w:lang w:val="fr-FR"/>
        </w:rPr>
        <w:t>non partie</w:t>
      </w:r>
      <w:proofErr w:type="gramEnd"/>
      <w:r w:rsidRPr="003D1332">
        <w:rPr>
          <w:rFonts w:ascii="Arial" w:hAnsi="Arial" w:cs="Arial"/>
          <w:bCs/>
          <w:sz w:val="22"/>
          <w:szCs w:val="22"/>
          <w:lang w:val="fr-FR"/>
        </w:rPr>
        <w:t xml:space="preserve"> à la Convention </w:t>
      </w:r>
      <w:r>
        <w:rPr>
          <w:rFonts w:ascii="Arial" w:hAnsi="Arial" w:cs="Arial"/>
          <w:bCs/>
          <w:sz w:val="22"/>
          <w:szCs w:val="22"/>
          <w:lang w:val="fr-FR"/>
        </w:rPr>
        <w:t>n</w:t>
      </w:r>
      <w:r w:rsidR="008E532B">
        <w:rPr>
          <w:rFonts w:ascii="Arial" w:hAnsi="Arial" w:cs="Arial"/>
          <w:bCs/>
          <w:sz w:val="22"/>
          <w:szCs w:val="22"/>
          <w:lang w:val="fr-FR"/>
        </w:rPr>
        <w:t>’</w:t>
      </w:r>
      <w:r>
        <w:rPr>
          <w:rFonts w:ascii="Arial" w:hAnsi="Arial" w:cs="Arial"/>
          <w:bCs/>
          <w:sz w:val="22"/>
          <w:szCs w:val="22"/>
          <w:lang w:val="fr-FR"/>
        </w:rPr>
        <w:t>étaient</w:t>
      </w:r>
      <w:r w:rsidRPr="003D1332">
        <w:rPr>
          <w:rFonts w:ascii="Arial" w:hAnsi="Arial" w:cs="Arial"/>
          <w:bCs/>
          <w:sz w:val="22"/>
          <w:szCs w:val="22"/>
          <w:lang w:val="fr-FR"/>
        </w:rPr>
        <w:t xml:space="preserve"> pas éligibles pour siéger à l</w:t>
      </w:r>
      <w:r w:rsidR="008E532B">
        <w:rPr>
          <w:rFonts w:ascii="Arial" w:hAnsi="Arial" w:cs="Arial"/>
          <w:bCs/>
          <w:sz w:val="22"/>
          <w:szCs w:val="22"/>
          <w:lang w:val="fr-FR"/>
        </w:rPr>
        <w:t>’</w:t>
      </w:r>
      <w:r w:rsidRPr="003D1332">
        <w:rPr>
          <w:rFonts w:ascii="Arial" w:hAnsi="Arial" w:cs="Arial"/>
          <w:bCs/>
          <w:sz w:val="22"/>
          <w:szCs w:val="22"/>
          <w:lang w:val="fr-FR"/>
        </w:rPr>
        <w:t>Organe d</w:t>
      </w:r>
      <w:r w:rsidR="008E532B">
        <w:rPr>
          <w:rFonts w:ascii="Arial" w:hAnsi="Arial" w:cs="Arial"/>
          <w:bCs/>
          <w:sz w:val="22"/>
          <w:szCs w:val="22"/>
          <w:lang w:val="fr-FR"/>
        </w:rPr>
        <w:t>’</w:t>
      </w:r>
      <w:r w:rsidRPr="003D1332">
        <w:rPr>
          <w:rFonts w:ascii="Arial" w:hAnsi="Arial" w:cs="Arial"/>
          <w:bCs/>
          <w:sz w:val="22"/>
          <w:szCs w:val="22"/>
          <w:lang w:val="fr-FR"/>
        </w:rPr>
        <w:t>évaluation. L</w:t>
      </w:r>
      <w:r w:rsidR="008E532B">
        <w:rPr>
          <w:rFonts w:ascii="Arial" w:hAnsi="Arial" w:cs="Arial"/>
          <w:bCs/>
          <w:sz w:val="22"/>
          <w:szCs w:val="22"/>
          <w:lang w:val="fr-FR"/>
        </w:rPr>
        <w:t>’</w:t>
      </w:r>
      <w:r w:rsidRPr="003D1332">
        <w:rPr>
          <w:rFonts w:ascii="Arial" w:hAnsi="Arial" w:cs="Arial"/>
          <w:bCs/>
          <w:sz w:val="22"/>
          <w:szCs w:val="22"/>
          <w:lang w:val="fr-FR"/>
        </w:rPr>
        <w:t>article 27 ne fai</w:t>
      </w:r>
      <w:r>
        <w:rPr>
          <w:rFonts w:ascii="Arial" w:hAnsi="Arial" w:cs="Arial"/>
          <w:bCs/>
          <w:sz w:val="22"/>
          <w:szCs w:val="22"/>
          <w:lang w:val="fr-FR"/>
        </w:rPr>
        <w:t>sai</w:t>
      </w:r>
      <w:r w:rsidRPr="003D1332">
        <w:rPr>
          <w:rFonts w:ascii="Arial" w:hAnsi="Arial" w:cs="Arial"/>
          <w:bCs/>
          <w:sz w:val="22"/>
          <w:szCs w:val="22"/>
          <w:lang w:val="fr-FR"/>
        </w:rPr>
        <w:t>t référence qu</w:t>
      </w:r>
      <w:r w:rsidR="008E532B">
        <w:rPr>
          <w:rFonts w:ascii="Arial" w:hAnsi="Arial" w:cs="Arial"/>
          <w:bCs/>
          <w:sz w:val="22"/>
          <w:szCs w:val="22"/>
          <w:lang w:val="fr-FR"/>
        </w:rPr>
        <w:t>’</w:t>
      </w:r>
      <w:r w:rsidRPr="003D1332">
        <w:rPr>
          <w:rFonts w:ascii="Arial" w:hAnsi="Arial" w:cs="Arial"/>
          <w:bCs/>
          <w:sz w:val="22"/>
          <w:szCs w:val="22"/>
          <w:lang w:val="fr-FR"/>
        </w:rPr>
        <w:t xml:space="preserve">aux </w:t>
      </w:r>
      <w:r>
        <w:rPr>
          <w:rFonts w:ascii="Arial" w:hAnsi="Arial" w:cs="Arial"/>
          <w:bCs/>
          <w:sz w:val="22"/>
          <w:szCs w:val="22"/>
          <w:lang w:val="fr-FR"/>
        </w:rPr>
        <w:t>« </w:t>
      </w:r>
      <w:r w:rsidRPr="003D1332">
        <w:rPr>
          <w:rFonts w:ascii="Arial" w:hAnsi="Arial" w:cs="Arial"/>
          <w:bCs/>
          <w:sz w:val="22"/>
          <w:szCs w:val="22"/>
          <w:lang w:val="fr-FR"/>
        </w:rPr>
        <w:t>six ONG accréditées</w:t>
      </w:r>
      <w:r>
        <w:rPr>
          <w:rFonts w:ascii="Arial" w:hAnsi="Arial" w:cs="Arial"/>
          <w:bCs/>
          <w:sz w:val="22"/>
          <w:szCs w:val="22"/>
          <w:lang w:val="fr-FR"/>
        </w:rPr>
        <w:t> »</w:t>
      </w:r>
      <w:r w:rsidRPr="003D1332">
        <w:rPr>
          <w:rFonts w:ascii="Arial" w:hAnsi="Arial" w:cs="Arial"/>
          <w:bCs/>
          <w:sz w:val="22"/>
          <w:szCs w:val="22"/>
          <w:lang w:val="fr-FR"/>
        </w:rPr>
        <w:t>. À cet égard, l</w:t>
      </w:r>
      <w:r w:rsidR="008E532B">
        <w:rPr>
          <w:rFonts w:ascii="Arial" w:hAnsi="Arial" w:cs="Arial"/>
          <w:bCs/>
          <w:sz w:val="22"/>
          <w:szCs w:val="22"/>
          <w:lang w:val="fr-FR"/>
        </w:rPr>
        <w:t>’</w:t>
      </w:r>
      <w:r w:rsidRPr="003D1332">
        <w:rPr>
          <w:rFonts w:ascii="Arial" w:hAnsi="Arial" w:cs="Arial"/>
          <w:bCs/>
          <w:sz w:val="22"/>
          <w:szCs w:val="22"/>
          <w:lang w:val="fr-FR"/>
        </w:rPr>
        <w:t>observation de la Pologne était effectivement correcte.</w:t>
      </w:r>
    </w:p>
    <w:p w14:paraId="0142D159" w14:textId="54AA60A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428DA">
        <w:rPr>
          <w:rFonts w:ascii="Arial" w:hAnsi="Arial" w:cs="Arial"/>
          <w:b/>
          <w:sz w:val="22"/>
          <w:szCs w:val="22"/>
          <w:lang w:val="fr-FR"/>
        </w:rPr>
        <w:t>Présidente</w:t>
      </w:r>
      <w:r>
        <w:rPr>
          <w:rFonts w:ascii="Arial" w:hAnsi="Arial" w:cs="Arial"/>
          <w:bCs/>
          <w:sz w:val="22"/>
          <w:szCs w:val="22"/>
          <w:lang w:val="fr-FR"/>
        </w:rPr>
        <w:t xml:space="preserve"> est revenue sur l</w:t>
      </w:r>
      <w:r w:rsidR="008E532B">
        <w:rPr>
          <w:rFonts w:ascii="Arial" w:hAnsi="Arial" w:cs="Arial"/>
          <w:bCs/>
          <w:sz w:val="22"/>
          <w:szCs w:val="22"/>
          <w:lang w:val="fr-FR"/>
        </w:rPr>
        <w:t>’</w:t>
      </w:r>
      <w:r w:rsidRPr="00F428DA">
        <w:rPr>
          <w:rFonts w:ascii="Arial" w:hAnsi="Arial" w:cs="Arial"/>
          <w:bCs/>
          <w:sz w:val="22"/>
          <w:szCs w:val="22"/>
          <w:lang w:val="fr-FR"/>
        </w:rPr>
        <w:t>établissement</w:t>
      </w:r>
      <w:r>
        <w:rPr>
          <w:rFonts w:ascii="Arial" w:hAnsi="Arial" w:cs="Arial"/>
          <w:bCs/>
          <w:sz w:val="22"/>
          <w:szCs w:val="22"/>
          <w:lang w:val="fr-FR"/>
        </w:rPr>
        <w:t xml:space="preserve"> d</w:t>
      </w:r>
      <w:r w:rsidR="008E532B">
        <w:rPr>
          <w:rFonts w:ascii="Arial" w:hAnsi="Arial" w:cs="Arial"/>
          <w:bCs/>
          <w:sz w:val="22"/>
          <w:szCs w:val="22"/>
          <w:lang w:val="fr-FR"/>
        </w:rPr>
        <w:t>’</w:t>
      </w:r>
      <w:r>
        <w:rPr>
          <w:rFonts w:ascii="Arial" w:hAnsi="Arial" w:cs="Arial"/>
          <w:bCs/>
          <w:sz w:val="22"/>
          <w:szCs w:val="22"/>
          <w:lang w:val="fr-FR"/>
        </w:rPr>
        <w:t xml:space="preserve">un plus petit groupe de travail destiné à débattre du </w:t>
      </w:r>
      <w:r w:rsidRPr="00F428DA">
        <w:rPr>
          <w:rFonts w:ascii="Arial" w:hAnsi="Arial" w:cs="Arial"/>
          <w:bCs/>
          <w:sz w:val="22"/>
          <w:szCs w:val="22"/>
          <w:lang w:val="fr-FR"/>
        </w:rPr>
        <w:t>paragraphe</w:t>
      </w:r>
      <w:r>
        <w:rPr>
          <w:rFonts w:ascii="Arial" w:hAnsi="Arial" w:cs="Arial"/>
          <w:bCs/>
          <w:sz w:val="22"/>
          <w:szCs w:val="22"/>
          <w:lang w:val="fr-FR"/>
        </w:rPr>
        <w:t xml:space="preserve"> 7bis. Elle a demandé à l</w:t>
      </w:r>
      <w:r w:rsidR="008E532B">
        <w:rPr>
          <w:rFonts w:ascii="Arial" w:hAnsi="Arial" w:cs="Arial"/>
          <w:bCs/>
          <w:sz w:val="22"/>
          <w:szCs w:val="22"/>
          <w:lang w:val="fr-FR"/>
        </w:rPr>
        <w:t>’</w:t>
      </w:r>
      <w:r>
        <w:rPr>
          <w:rFonts w:ascii="Arial" w:hAnsi="Arial" w:cs="Arial"/>
          <w:bCs/>
          <w:sz w:val="22"/>
          <w:szCs w:val="22"/>
          <w:lang w:val="fr-FR"/>
        </w:rPr>
        <w:t xml:space="preserve">Assemblée si elle approuvait cette </w:t>
      </w:r>
      <w:r w:rsidRPr="00F428DA">
        <w:rPr>
          <w:rFonts w:ascii="Arial" w:hAnsi="Arial" w:cs="Arial"/>
          <w:bCs/>
          <w:sz w:val="22"/>
          <w:szCs w:val="22"/>
          <w:lang w:val="fr-FR"/>
        </w:rPr>
        <w:t>proposition</w:t>
      </w:r>
      <w:r>
        <w:rPr>
          <w:rFonts w:ascii="Arial" w:hAnsi="Arial" w:cs="Arial"/>
          <w:bCs/>
          <w:sz w:val="22"/>
          <w:szCs w:val="22"/>
          <w:lang w:val="fr-FR"/>
        </w:rPr>
        <w:t>.</w:t>
      </w:r>
    </w:p>
    <w:p w14:paraId="7B65F754" w14:textId="4C13642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428DA">
        <w:rPr>
          <w:rFonts w:ascii="Arial" w:hAnsi="Arial" w:cs="Arial"/>
          <w:bCs/>
          <w:sz w:val="22"/>
          <w:szCs w:val="22"/>
          <w:lang w:val="fr-FR"/>
        </w:rPr>
        <w:t xml:space="preserve">La délégation de la </w:t>
      </w:r>
      <w:r w:rsidRPr="00F428DA">
        <w:rPr>
          <w:rFonts w:ascii="Arial" w:hAnsi="Arial" w:cs="Arial"/>
          <w:b/>
          <w:sz w:val="22"/>
          <w:szCs w:val="22"/>
          <w:lang w:val="fr-FR"/>
        </w:rPr>
        <w:t>Grenade</w:t>
      </w:r>
      <w:r w:rsidRPr="00F428DA">
        <w:rPr>
          <w:rFonts w:ascii="Arial" w:hAnsi="Arial" w:cs="Arial"/>
          <w:bCs/>
          <w:sz w:val="22"/>
          <w:szCs w:val="22"/>
          <w:lang w:val="fr-FR"/>
        </w:rPr>
        <w:t xml:space="preserve"> a fait remarquer que la Pologne </w:t>
      </w:r>
      <w:r>
        <w:rPr>
          <w:rFonts w:ascii="Arial" w:hAnsi="Arial" w:cs="Arial"/>
          <w:bCs/>
          <w:sz w:val="22"/>
          <w:szCs w:val="22"/>
          <w:lang w:val="fr-FR"/>
        </w:rPr>
        <w:t>faisait référence</w:t>
      </w:r>
      <w:r w:rsidRPr="00F428DA">
        <w:rPr>
          <w:rFonts w:ascii="Arial" w:hAnsi="Arial" w:cs="Arial"/>
          <w:bCs/>
          <w:sz w:val="22"/>
          <w:szCs w:val="22"/>
          <w:lang w:val="fr-FR"/>
        </w:rPr>
        <w:t xml:space="preserve"> à l</w:t>
      </w:r>
      <w:r w:rsidR="008E532B">
        <w:rPr>
          <w:rFonts w:ascii="Arial" w:hAnsi="Arial" w:cs="Arial"/>
          <w:bCs/>
          <w:sz w:val="22"/>
          <w:szCs w:val="22"/>
          <w:lang w:val="fr-FR"/>
        </w:rPr>
        <w:t>’</w:t>
      </w:r>
      <w:r w:rsidRPr="00F428DA">
        <w:rPr>
          <w:rFonts w:ascii="Arial" w:hAnsi="Arial" w:cs="Arial"/>
          <w:bCs/>
          <w:sz w:val="22"/>
          <w:szCs w:val="22"/>
          <w:lang w:val="fr-FR"/>
        </w:rPr>
        <w:t>article 7bis</w:t>
      </w:r>
      <w:r>
        <w:rPr>
          <w:rFonts w:ascii="Arial" w:hAnsi="Arial" w:cs="Arial"/>
          <w:bCs/>
          <w:sz w:val="22"/>
          <w:szCs w:val="22"/>
          <w:lang w:val="fr-FR"/>
        </w:rPr>
        <w:t>,</w:t>
      </w:r>
      <w:r w:rsidRPr="00F428DA">
        <w:rPr>
          <w:rFonts w:ascii="Arial" w:hAnsi="Arial" w:cs="Arial"/>
          <w:bCs/>
          <w:sz w:val="22"/>
          <w:szCs w:val="22"/>
          <w:lang w:val="fr-FR"/>
        </w:rPr>
        <w:t xml:space="preserve"> mais que la proposition </w:t>
      </w:r>
      <w:r>
        <w:rPr>
          <w:rFonts w:ascii="Arial" w:hAnsi="Arial" w:cs="Arial"/>
          <w:bCs/>
          <w:sz w:val="22"/>
          <w:szCs w:val="22"/>
          <w:lang w:val="fr-FR"/>
        </w:rPr>
        <w:t xml:space="preserve">à </w:t>
      </w:r>
      <w:r w:rsidRPr="00F428DA">
        <w:rPr>
          <w:rFonts w:ascii="Arial" w:hAnsi="Arial" w:cs="Arial"/>
          <w:bCs/>
          <w:sz w:val="22"/>
          <w:szCs w:val="22"/>
          <w:lang w:val="fr-FR"/>
        </w:rPr>
        <w:t>l</w:t>
      </w:r>
      <w:r w:rsidR="008E532B">
        <w:rPr>
          <w:rFonts w:ascii="Arial" w:hAnsi="Arial" w:cs="Arial"/>
          <w:bCs/>
          <w:sz w:val="22"/>
          <w:szCs w:val="22"/>
          <w:lang w:val="fr-FR"/>
        </w:rPr>
        <w:t>’</w:t>
      </w:r>
      <w:r w:rsidRPr="00F428DA">
        <w:rPr>
          <w:rFonts w:ascii="Arial" w:hAnsi="Arial" w:cs="Arial"/>
          <w:bCs/>
          <w:sz w:val="22"/>
          <w:szCs w:val="22"/>
          <w:lang w:val="fr-FR"/>
        </w:rPr>
        <w:t>écran n</w:t>
      </w:r>
      <w:r w:rsidR="008E532B">
        <w:rPr>
          <w:rFonts w:ascii="Arial" w:hAnsi="Arial" w:cs="Arial"/>
          <w:bCs/>
          <w:sz w:val="22"/>
          <w:szCs w:val="22"/>
          <w:lang w:val="fr-FR"/>
        </w:rPr>
        <w:t>’</w:t>
      </w:r>
      <w:r w:rsidRPr="00F428DA">
        <w:rPr>
          <w:rFonts w:ascii="Arial" w:hAnsi="Arial" w:cs="Arial"/>
          <w:bCs/>
          <w:sz w:val="22"/>
          <w:szCs w:val="22"/>
          <w:lang w:val="fr-FR"/>
        </w:rPr>
        <w:t>était pas celle d</w:t>
      </w:r>
      <w:r w:rsidR="008E532B">
        <w:rPr>
          <w:rFonts w:ascii="Arial" w:hAnsi="Arial" w:cs="Arial"/>
          <w:bCs/>
          <w:sz w:val="22"/>
          <w:szCs w:val="22"/>
          <w:lang w:val="fr-FR"/>
        </w:rPr>
        <w:t>’</w:t>
      </w:r>
      <w:r w:rsidRPr="00F428DA">
        <w:rPr>
          <w:rFonts w:ascii="Arial" w:hAnsi="Arial" w:cs="Arial"/>
          <w:bCs/>
          <w:sz w:val="22"/>
          <w:szCs w:val="22"/>
          <w:lang w:val="fr-FR"/>
        </w:rPr>
        <w:t xml:space="preserve">Oman car elle </w:t>
      </w:r>
      <w:r>
        <w:rPr>
          <w:rFonts w:ascii="Arial" w:hAnsi="Arial" w:cs="Arial"/>
          <w:bCs/>
          <w:sz w:val="22"/>
          <w:szCs w:val="22"/>
          <w:lang w:val="fr-FR"/>
        </w:rPr>
        <w:t>mentionnait les</w:t>
      </w:r>
      <w:r w:rsidRPr="00F428DA">
        <w:rPr>
          <w:rFonts w:ascii="Arial" w:hAnsi="Arial" w:cs="Arial"/>
          <w:bCs/>
          <w:sz w:val="22"/>
          <w:szCs w:val="22"/>
          <w:lang w:val="fr-FR"/>
        </w:rPr>
        <w:t xml:space="preserve"> ONG des </w:t>
      </w:r>
      <w:r>
        <w:rPr>
          <w:rFonts w:ascii="Arial" w:hAnsi="Arial" w:cs="Arial"/>
          <w:bCs/>
          <w:sz w:val="22"/>
          <w:szCs w:val="22"/>
          <w:lang w:val="fr-FR"/>
        </w:rPr>
        <w:t>É</w:t>
      </w:r>
      <w:r w:rsidRPr="00F428DA">
        <w:rPr>
          <w:rFonts w:ascii="Arial" w:hAnsi="Arial" w:cs="Arial"/>
          <w:bCs/>
          <w:sz w:val="22"/>
          <w:szCs w:val="22"/>
          <w:lang w:val="fr-FR"/>
        </w:rPr>
        <w:t>tats non-Parties qui ne p</w:t>
      </w:r>
      <w:r>
        <w:rPr>
          <w:rFonts w:ascii="Arial" w:hAnsi="Arial" w:cs="Arial"/>
          <w:bCs/>
          <w:sz w:val="22"/>
          <w:szCs w:val="22"/>
          <w:lang w:val="fr-FR"/>
        </w:rPr>
        <w:t>ourraient</w:t>
      </w:r>
      <w:r w:rsidRPr="00F428DA">
        <w:rPr>
          <w:rFonts w:ascii="Arial" w:hAnsi="Arial" w:cs="Arial"/>
          <w:bCs/>
          <w:sz w:val="22"/>
          <w:szCs w:val="22"/>
          <w:lang w:val="fr-FR"/>
        </w:rPr>
        <w:t xml:space="preserve"> être ni accréditées ni éligibles. La délégation et d</w:t>
      </w:r>
      <w:r w:rsidR="008E532B">
        <w:rPr>
          <w:rFonts w:ascii="Arial" w:hAnsi="Arial" w:cs="Arial"/>
          <w:bCs/>
          <w:sz w:val="22"/>
          <w:szCs w:val="22"/>
          <w:lang w:val="fr-FR"/>
        </w:rPr>
        <w:t>’</w:t>
      </w:r>
      <w:r w:rsidRPr="00F428DA">
        <w:rPr>
          <w:rFonts w:ascii="Arial" w:hAnsi="Arial" w:cs="Arial"/>
          <w:bCs/>
          <w:sz w:val="22"/>
          <w:szCs w:val="22"/>
          <w:lang w:val="fr-FR"/>
        </w:rPr>
        <w:t>autres délégatio</w:t>
      </w:r>
      <w:r>
        <w:rPr>
          <w:rFonts w:ascii="Arial" w:hAnsi="Arial" w:cs="Arial"/>
          <w:bCs/>
          <w:sz w:val="22"/>
          <w:szCs w:val="22"/>
          <w:lang w:val="fr-FR"/>
        </w:rPr>
        <w:t xml:space="preserve">ns </w:t>
      </w:r>
      <w:r w:rsidRPr="00F428DA">
        <w:rPr>
          <w:rFonts w:ascii="Arial" w:hAnsi="Arial" w:cs="Arial"/>
          <w:bCs/>
          <w:sz w:val="22"/>
          <w:szCs w:val="22"/>
          <w:lang w:val="fr-FR"/>
        </w:rPr>
        <w:t>accept</w:t>
      </w:r>
      <w:r>
        <w:rPr>
          <w:rFonts w:ascii="Arial" w:hAnsi="Arial" w:cs="Arial"/>
          <w:bCs/>
          <w:sz w:val="22"/>
          <w:szCs w:val="22"/>
          <w:lang w:val="fr-FR"/>
        </w:rPr>
        <w:t>aient</w:t>
      </w:r>
      <w:r w:rsidRPr="00F428DA">
        <w:rPr>
          <w:rFonts w:ascii="Arial" w:hAnsi="Arial" w:cs="Arial"/>
          <w:bCs/>
          <w:sz w:val="22"/>
          <w:szCs w:val="22"/>
          <w:lang w:val="fr-FR"/>
        </w:rPr>
        <w:t xml:space="preserve"> la proposition d</w:t>
      </w:r>
      <w:r w:rsidR="008E532B">
        <w:rPr>
          <w:rFonts w:ascii="Arial" w:hAnsi="Arial" w:cs="Arial"/>
          <w:bCs/>
          <w:sz w:val="22"/>
          <w:szCs w:val="22"/>
          <w:lang w:val="fr-FR"/>
        </w:rPr>
        <w:t>’</w:t>
      </w:r>
      <w:r w:rsidRPr="00F428DA">
        <w:rPr>
          <w:rFonts w:ascii="Arial" w:hAnsi="Arial" w:cs="Arial"/>
          <w:bCs/>
          <w:sz w:val="22"/>
          <w:szCs w:val="22"/>
          <w:lang w:val="fr-FR"/>
        </w:rPr>
        <w:t>Oman [sur l</w:t>
      </w:r>
      <w:r w:rsidR="008E532B">
        <w:rPr>
          <w:rFonts w:ascii="Arial" w:hAnsi="Arial" w:cs="Arial"/>
          <w:bCs/>
          <w:sz w:val="22"/>
          <w:szCs w:val="22"/>
          <w:lang w:val="fr-FR"/>
        </w:rPr>
        <w:t>’</w:t>
      </w:r>
      <w:r w:rsidRPr="00F428DA">
        <w:rPr>
          <w:rFonts w:ascii="Arial" w:hAnsi="Arial" w:cs="Arial"/>
          <w:bCs/>
          <w:sz w:val="22"/>
          <w:szCs w:val="22"/>
          <w:lang w:val="fr-FR"/>
        </w:rPr>
        <w:t>accréditation], qui pourrait donc constituer la base de la discussion. En outre, l</w:t>
      </w:r>
      <w:r w:rsidR="008E532B">
        <w:rPr>
          <w:rFonts w:ascii="Arial" w:hAnsi="Arial" w:cs="Arial"/>
          <w:bCs/>
          <w:sz w:val="22"/>
          <w:szCs w:val="22"/>
          <w:lang w:val="fr-FR"/>
        </w:rPr>
        <w:t>’</w:t>
      </w:r>
      <w:r w:rsidRPr="00F428DA">
        <w:rPr>
          <w:rFonts w:ascii="Arial" w:hAnsi="Arial" w:cs="Arial"/>
          <w:bCs/>
          <w:sz w:val="22"/>
          <w:szCs w:val="22"/>
          <w:lang w:val="fr-FR"/>
        </w:rPr>
        <w:t xml:space="preserve">article 27 pourrait être modifié pour inclure </w:t>
      </w:r>
      <w:r>
        <w:rPr>
          <w:rFonts w:ascii="Arial" w:hAnsi="Arial" w:cs="Arial"/>
          <w:bCs/>
          <w:sz w:val="22"/>
          <w:szCs w:val="22"/>
          <w:lang w:val="fr-FR"/>
        </w:rPr>
        <w:t>« </w:t>
      </w:r>
      <w:r w:rsidRPr="00F428DA">
        <w:rPr>
          <w:rFonts w:ascii="Arial" w:hAnsi="Arial" w:cs="Arial"/>
          <w:bCs/>
          <w:sz w:val="22"/>
          <w:szCs w:val="22"/>
          <w:lang w:val="fr-FR"/>
        </w:rPr>
        <w:t>à titre expérimental</w:t>
      </w:r>
      <w:r>
        <w:rPr>
          <w:rFonts w:ascii="Arial" w:hAnsi="Arial" w:cs="Arial"/>
          <w:bCs/>
          <w:sz w:val="22"/>
          <w:szCs w:val="22"/>
          <w:lang w:val="fr-FR"/>
        </w:rPr>
        <w:t> »</w:t>
      </w:r>
      <w:r w:rsidRPr="00F428DA">
        <w:rPr>
          <w:rFonts w:ascii="Arial" w:hAnsi="Arial" w:cs="Arial"/>
          <w:bCs/>
          <w:sz w:val="22"/>
          <w:szCs w:val="22"/>
          <w:lang w:val="fr-FR"/>
        </w:rPr>
        <w:t>, si nécessaire.</w:t>
      </w:r>
    </w:p>
    <w:p w14:paraId="11CE53F8"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428DA">
        <w:rPr>
          <w:rFonts w:ascii="Arial" w:hAnsi="Arial" w:cs="Arial"/>
          <w:b/>
          <w:sz w:val="22"/>
          <w:szCs w:val="22"/>
          <w:lang w:val="fr-FR"/>
        </w:rPr>
        <w:t>Présidente</w:t>
      </w:r>
      <w:r>
        <w:rPr>
          <w:rFonts w:ascii="Arial" w:hAnsi="Arial" w:cs="Arial"/>
          <w:bCs/>
          <w:sz w:val="22"/>
          <w:szCs w:val="22"/>
          <w:lang w:val="fr-FR"/>
        </w:rPr>
        <w:t xml:space="preserve"> a réitéré sa </w:t>
      </w:r>
      <w:r w:rsidRPr="00F428DA">
        <w:rPr>
          <w:rFonts w:ascii="Arial" w:hAnsi="Arial" w:cs="Arial"/>
          <w:bCs/>
          <w:sz w:val="22"/>
          <w:szCs w:val="22"/>
          <w:lang w:val="fr-FR"/>
        </w:rPr>
        <w:t>proposition</w:t>
      </w:r>
      <w:r>
        <w:rPr>
          <w:rFonts w:ascii="Arial" w:hAnsi="Arial" w:cs="Arial"/>
          <w:bCs/>
          <w:sz w:val="22"/>
          <w:szCs w:val="22"/>
          <w:lang w:val="fr-FR"/>
        </w:rPr>
        <w:t xml:space="preserve"> visant à établir un groupe de travail plus petit, sur la base de la </w:t>
      </w:r>
      <w:r w:rsidRPr="00F428DA">
        <w:rPr>
          <w:rFonts w:ascii="Arial" w:hAnsi="Arial" w:cs="Arial"/>
          <w:bCs/>
          <w:sz w:val="22"/>
          <w:szCs w:val="22"/>
          <w:lang w:val="fr-FR"/>
        </w:rPr>
        <w:t>proposition</w:t>
      </w:r>
      <w:r>
        <w:rPr>
          <w:rFonts w:ascii="Arial" w:hAnsi="Arial" w:cs="Arial"/>
          <w:bCs/>
          <w:sz w:val="22"/>
          <w:szCs w:val="22"/>
          <w:lang w:val="fr-FR"/>
        </w:rPr>
        <w:t xml:space="preserve"> de la Palestine au </w:t>
      </w:r>
      <w:r w:rsidRPr="00F428DA">
        <w:rPr>
          <w:rFonts w:ascii="Arial" w:hAnsi="Arial" w:cs="Arial"/>
          <w:bCs/>
          <w:sz w:val="22"/>
          <w:szCs w:val="22"/>
          <w:lang w:val="fr-FR"/>
        </w:rPr>
        <w:t>paragraphe</w:t>
      </w:r>
      <w:r>
        <w:rPr>
          <w:rFonts w:ascii="Arial" w:hAnsi="Arial" w:cs="Arial"/>
          <w:bCs/>
          <w:sz w:val="22"/>
          <w:szCs w:val="22"/>
          <w:lang w:val="fr-FR"/>
        </w:rPr>
        <w:t xml:space="preserve"> 7bis. </w:t>
      </w:r>
    </w:p>
    <w:p w14:paraId="33781940" w14:textId="4994A83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2585E">
        <w:rPr>
          <w:rFonts w:ascii="Arial" w:hAnsi="Arial" w:cs="Arial"/>
          <w:bCs/>
          <w:sz w:val="22"/>
          <w:szCs w:val="22"/>
          <w:lang w:val="fr-FR"/>
        </w:rPr>
        <w:t xml:space="preserve">La délégation du </w:t>
      </w:r>
      <w:r w:rsidRPr="0072585E">
        <w:rPr>
          <w:rFonts w:ascii="Arial" w:hAnsi="Arial" w:cs="Arial"/>
          <w:b/>
          <w:sz w:val="22"/>
          <w:szCs w:val="22"/>
          <w:lang w:val="fr-FR"/>
        </w:rPr>
        <w:t>Maroc</w:t>
      </w:r>
      <w:r w:rsidRPr="0072585E">
        <w:rPr>
          <w:rFonts w:ascii="Arial" w:hAnsi="Arial" w:cs="Arial"/>
          <w:bCs/>
          <w:sz w:val="22"/>
          <w:szCs w:val="22"/>
          <w:lang w:val="fr-FR"/>
        </w:rPr>
        <w:t xml:space="preserve"> a fait </w:t>
      </w:r>
      <w:r>
        <w:rPr>
          <w:rFonts w:ascii="Arial" w:hAnsi="Arial" w:cs="Arial"/>
          <w:bCs/>
          <w:sz w:val="22"/>
          <w:szCs w:val="22"/>
          <w:lang w:val="fr-FR"/>
        </w:rPr>
        <w:t xml:space="preserve">observer </w:t>
      </w:r>
      <w:r w:rsidRPr="0072585E">
        <w:rPr>
          <w:rFonts w:ascii="Arial" w:hAnsi="Arial" w:cs="Arial"/>
          <w:bCs/>
          <w:sz w:val="22"/>
          <w:szCs w:val="22"/>
          <w:lang w:val="fr-FR"/>
        </w:rPr>
        <w:t xml:space="preserve">que le paragraphe 7bis </w:t>
      </w:r>
      <w:r>
        <w:rPr>
          <w:rFonts w:ascii="Arial" w:hAnsi="Arial" w:cs="Arial"/>
          <w:bCs/>
          <w:sz w:val="22"/>
          <w:szCs w:val="22"/>
          <w:lang w:val="fr-FR"/>
        </w:rPr>
        <w:t>initial</w:t>
      </w:r>
      <w:r w:rsidRPr="0072585E">
        <w:rPr>
          <w:rFonts w:ascii="Arial" w:hAnsi="Arial" w:cs="Arial"/>
          <w:bCs/>
          <w:sz w:val="22"/>
          <w:szCs w:val="22"/>
          <w:lang w:val="fr-FR"/>
        </w:rPr>
        <w:t xml:space="preserve"> n</w:t>
      </w:r>
      <w:r w:rsidR="008E532B">
        <w:rPr>
          <w:rFonts w:ascii="Arial" w:hAnsi="Arial" w:cs="Arial"/>
          <w:bCs/>
          <w:sz w:val="22"/>
          <w:szCs w:val="22"/>
          <w:lang w:val="fr-FR"/>
        </w:rPr>
        <w:t>’</w:t>
      </w:r>
      <w:r w:rsidRPr="0072585E">
        <w:rPr>
          <w:rFonts w:ascii="Arial" w:hAnsi="Arial" w:cs="Arial"/>
          <w:bCs/>
          <w:sz w:val="22"/>
          <w:szCs w:val="22"/>
          <w:lang w:val="fr-FR"/>
        </w:rPr>
        <w:t>était plus pertinent puisque la question de l</w:t>
      </w:r>
      <w:r w:rsidR="008E532B">
        <w:rPr>
          <w:rFonts w:ascii="Arial" w:hAnsi="Arial" w:cs="Arial"/>
          <w:bCs/>
          <w:sz w:val="22"/>
          <w:szCs w:val="22"/>
          <w:lang w:val="fr-FR"/>
        </w:rPr>
        <w:t>’</w:t>
      </w:r>
      <w:r w:rsidRPr="0072585E">
        <w:rPr>
          <w:rFonts w:ascii="Arial" w:hAnsi="Arial" w:cs="Arial"/>
          <w:bCs/>
          <w:sz w:val="22"/>
          <w:szCs w:val="22"/>
          <w:lang w:val="fr-FR"/>
        </w:rPr>
        <w:t>accréditation avait été réglée. La question concernait l</w:t>
      </w:r>
      <w:r w:rsidR="008E532B">
        <w:rPr>
          <w:rFonts w:ascii="Arial" w:hAnsi="Arial" w:cs="Arial"/>
          <w:bCs/>
          <w:sz w:val="22"/>
          <w:szCs w:val="22"/>
          <w:lang w:val="fr-FR"/>
        </w:rPr>
        <w:t>’</w:t>
      </w:r>
      <w:r w:rsidRPr="0072585E">
        <w:rPr>
          <w:rFonts w:ascii="Arial" w:hAnsi="Arial" w:cs="Arial"/>
          <w:bCs/>
          <w:sz w:val="22"/>
          <w:szCs w:val="22"/>
          <w:lang w:val="fr-FR"/>
        </w:rPr>
        <w:t xml:space="preserve">éligibilité des ONG à siéger </w:t>
      </w:r>
      <w:r>
        <w:rPr>
          <w:rFonts w:ascii="Arial" w:hAnsi="Arial" w:cs="Arial"/>
          <w:bCs/>
          <w:sz w:val="22"/>
          <w:szCs w:val="22"/>
          <w:lang w:val="fr-FR"/>
        </w:rPr>
        <w:t>à</w:t>
      </w:r>
      <w:r w:rsidRPr="0072585E">
        <w:rPr>
          <w:rFonts w:ascii="Arial" w:hAnsi="Arial" w:cs="Arial"/>
          <w:bCs/>
          <w:sz w:val="22"/>
          <w:szCs w:val="22"/>
          <w:lang w:val="fr-FR"/>
        </w:rPr>
        <w:t xml:space="preserve"> l</w:t>
      </w:r>
      <w:r w:rsidR="008E532B">
        <w:rPr>
          <w:rFonts w:ascii="Arial" w:hAnsi="Arial" w:cs="Arial"/>
          <w:bCs/>
          <w:sz w:val="22"/>
          <w:szCs w:val="22"/>
          <w:lang w:val="fr-FR"/>
        </w:rPr>
        <w:t>’</w:t>
      </w:r>
      <w:r>
        <w:rPr>
          <w:rFonts w:ascii="Arial" w:hAnsi="Arial" w:cs="Arial"/>
          <w:bCs/>
          <w:sz w:val="22"/>
          <w:szCs w:val="22"/>
          <w:lang w:val="fr-FR"/>
        </w:rPr>
        <w:t>O</w:t>
      </w:r>
      <w:r w:rsidRPr="0072585E">
        <w:rPr>
          <w:rFonts w:ascii="Arial" w:hAnsi="Arial" w:cs="Arial"/>
          <w:bCs/>
          <w:sz w:val="22"/>
          <w:szCs w:val="22"/>
          <w:lang w:val="fr-FR"/>
        </w:rPr>
        <w:t>rgane d</w:t>
      </w:r>
      <w:r w:rsidR="008E532B">
        <w:rPr>
          <w:rFonts w:ascii="Arial" w:hAnsi="Arial" w:cs="Arial"/>
          <w:bCs/>
          <w:sz w:val="22"/>
          <w:szCs w:val="22"/>
          <w:lang w:val="fr-FR"/>
        </w:rPr>
        <w:t>’</w:t>
      </w:r>
      <w:r w:rsidRPr="0072585E">
        <w:rPr>
          <w:rFonts w:ascii="Arial" w:hAnsi="Arial" w:cs="Arial"/>
          <w:bCs/>
          <w:sz w:val="22"/>
          <w:szCs w:val="22"/>
          <w:lang w:val="fr-FR"/>
        </w:rPr>
        <w:t>évaluation, et donc la formulation du paragraphe</w:t>
      </w:r>
      <w:r>
        <w:rPr>
          <w:rFonts w:ascii="Arial" w:hAnsi="Arial" w:cs="Arial"/>
          <w:bCs/>
          <w:sz w:val="22"/>
          <w:szCs w:val="22"/>
          <w:lang w:val="fr-FR"/>
        </w:rPr>
        <w:t> </w:t>
      </w:r>
      <w:r w:rsidRPr="0072585E">
        <w:rPr>
          <w:rFonts w:ascii="Arial" w:hAnsi="Arial" w:cs="Arial"/>
          <w:bCs/>
          <w:sz w:val="22"/>
          <w:szCs w:val="22"/>
          <w:lang w:val="fr-FR"/>
        </w:rPr>
        <w:t>7bis devrait être corrigée.</w:t>
      </w:r>
    </w:p>
    <w:p w14:paraId="216D8305"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2585E">
        <w:rPr>
          <w:rFonts w:ascii="Arial" w:hAnsi="Arial" w:cs="Arial"/>
          <w:bCs/>
          <w:sz w:val="22"/>
          <w:szCs w:val="22"/>
          <w:lang w:val="fr-FR"/>
        </w:rPr>
        <w:t>délégation</w:t>
      </w:r>
      <w:r>
        <w:rPr>
          <w:rFonts w:ascii="Arial" w:hAnsi="Arial" w:cs="Arial"/>
          <w:bCs/>
          <w:sz w:val="22"/>
          <w:szCs w:val="22"/>
          <w:lang w:val="fr-FR"/>
        </w:rPr>
        <w:t xml:space="preserve"> de la </w:t>
      </w:r>
      <w:r w:rsidRPr="006D154E">
        <w:rPr>
          <w:rFonts w:ascii="Arial" w:hAnsi="Arial" w:cs="Arial"/>
          <w:b/>
          <w:sz w:val="22"/>
          <w:szCs w:val="22"/>
          <w:lang w:val="fr-FR"/>
        </w:rPr>
        <w:t>République bolivarienne du Venezuela</w:t>
      </w:r>
      <w:r>
        <w:rPr>
          <w:rFonts w:ascii="Arial" w:hAnsi="Arial" w:cs="Arial"/>
          <w:bCs/>
          <w:sz w:val="22"/>
          <w:szCs w:val="22"/>
          <w:lang w:val="fr-FR"/>
        </w:rPr>
        <w:t xml:space="preserve"> a souhaité savoir si le groupe serait limité à deux ou trois membres.</w:t>
      </w:r>
    </w:p>
    <w:p w14:paraId="01481755" w14:textId="6AD2941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2585E">
        <w:rPr>
          <w:rFonts w:ascii="Arial" w:hAnsi="Arial" w:cs="Arial"/>
          <w:b/>
          <w:sz w:val="22"/>
          <w:szCs w:val="22"/>
          <w:lang w:val="fr-FR"/>
        </w:rPr>
        <w:t>Présidente</w:t>
      </w:r>
      <w:r>
        <w:rPr>
          <w:rFonts w:ascii="Arial" w:hAnsi="Arial" w:cs="Arial"/>
          <w:bCs/>
          <w:sz w:val="22"/>
          <w:szCs w:val="22"/>
          <w:lang w:val="fr-FR"/>
        </w:rPr>
        <w:t xml:space="preserve"> a expliqué qu</w:t>
      </w:r>
      <w:r w:rsidR="008E532B">
        <w:rPr>
          <w:rFonts w:ascii="Arial" w:hAnsi="Arial" w:cs="Arial"/>
          <w:bCs/>
          <w:sz w:val="22"/>
          <w:szCs w:val="22"/>
          <w:lang w:val="fr-FR"/>
        </w:rPr>
        <w:t>’</w:t>
      </w:r>
      <w:r>
        <w:rPr>
          <w:rFonts w:ascii="Arial" w:hAnsi="Arial" w:cs="Arial"/>
          <w:bCs/>
          <w:sz w:val="22"/>
          <w:szCs w:val="22"/>
          <w:lang w:val="fr-FR"/>
        </w:rPr>
        <w:t>il y avait une certaine flexibilité dans la définition d</w:t>
      </w:r>
      <w:r w:rsidR="008E532B">
        <w:rPr>
          <w:rFonts w:ascii="Arial" w:hAnsi="Arial" w:cs="Arial"/>
          <w:bCs/>
          <w:sz w:val="22"/>
          <w:szCs w:val="22"/>
          <w:lang w:val="fr-FR"/>
        </w:rPr>
        <w:t>’</w:t>
      </w:r>
      <w:r>
        <w:rPr>
          <w:rFonts w:ascii="Arial" w:hAnsi="Arial" w:cs="Arial"/>
          <w:bCs/>
          <w:sz w:val="22"/>
          <w:szCs w:val="22"/>
          <w:lang w:val="fr-FR"/>
        </w:rPr>
        <w:t xml:space="preserve">un ratio approprié en fonction de la taille des </w:t>
      </w:r>
      <w:r w:rsidRPr="0072585E">
        <w:rPr>
          <w:rFonts w:ascii="Arial" w:hAnsi="Arial" w:cs="Arial"/>
          <w:bCs/>
          <w:sz w:val="22"/>
          <w:szCs w:val="22"/>
          <w:lang w:val="fr-FR"/>
        </w:rPr>
        <w:t>délégatio</w:t>
      </w:r>
      <w:r>
        <w:rPr>
          <w:rFonts w:ascii="Arial" w:hAnsi="Arial" w:cs="Arial"/>
          <w:bCs/>
          <w:sz w:val="22"/>
          <w:szCs w:val="22"/>
          <w:lang w:val="fr-FR"/>
        </w:rPr>
        <w:t>ns.</w:t>
      </w:r>
    </w:p>
    <w:p w14:paraId="45B3DA6A" w14:textId="2B8812E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2585E">
        <w:rPr>
          <w:rFonts w:ascii="Arial" w:hAnsi="Arial" w:cs="Arial"/>
          <w:bCs/>
          <w:sz w:val="22"/>
          <w:szCs w:val="22"/>
          <w:lang w:val="fr-FR"/>
        </w:rPr>
        <w:t>délégation</w:t>
      </w:r>
      <w:r>
        <w:rPr>
          <w:rFonts w:ascii="Arial" w:hAnsi="Arial" w:cs="Arial"/>
          <w:bCs/>
          <w:sz w:val="22"/>
          <w:szCs w:val="22"/>
          <w:lang w:val="fr-FR"/>
        </w:rPr>
        <w:t xml:space="preserve"> de la </w:t>
      </w:r>
      <w:r w:rsidRPr="0072585E">
        <w:rPr>
          <w:rFonts w:ascii="Arial" w:hAnsi="Arial" w:cs="Arial"/>
          <w:b/>
          <w:sz w:val="22"/>
          <w:szCs w:val="22"/>
          <w:lang w:val="fr-FR"/>
        </w:rPr>
        <w:t>Palestine</w:t>
      </w:r>
      <w:r>
        <w:rPr>
          <w:rFonts w:ascii="Arial" w:hAnsi="Arial" w:cs="Arial"/>
          <w:bCs/>
          <w:sz w:val="22"/>
          <w:szCs w:val="22"/>
          <w:lang w:val="fr-FR"/>
        </w:rPr>
        <w:t xml:space="preserve"> a demandé qu</w:t>
      </w:r>
      <w:r w:rsidR="008E532B">
        <w:rPr>
          <w:rFonts w:ascii="Arial" w:hAnsi="Arial" w:cs="Arial"/>
          <w:bCs/>
          <w:sz w:val="22"/>
          <w:szCs w:val="22"/>
          <w:lang w:val="fr-FR"/>
        </w:rPr>
        <w:t>’</w:t>
      </w:r>
      <w:r>
        <w:rPr>
          <w:rFonts w:ascii="Arial" w:hAnsi="Arial" w:cs="Arial"/>
          <w:bCs/>
          <w:sz w:val="22"/>
          <w:szCs w:val="22"/>
          <w:lang w:val="fr-FR"/>
        </w:rPr>
        <w:t>un président soit désigné immédiatement et a proposé que le Japon préside ce groupe de travail.</w:t>
      </w:r>
    </w:p>
    <w:p w14:paraId="1FCEF9BD" w14:textId="08D5F21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2585E">
        <w:rPr>
          <w:rFonts w:ascii="Arial" w:hAnsi="Arial" w:cs="Arial"/>
          <w:bCs/>
          <w:sz w:val="22"/>
          <w:szCs w:val="22"/>
          <w:lang w:val="fr-FR"/>
        </w:rPr>
        <w:t>délégation</w:t>
      </w:r>
      <w:r>
        <w:rPr>
          <w:rFonts w:ascii="Arial" w:hAnsi="Arial" w:cs="Arial"/>
          <w:bCs/>
          <w:sz w:val="22"/>
          <w:szCs w:val="22"/>
          <w:lang w:val="fr-FR"/>
        </w:rPr>
        <w:t xml:space="preserve"> du </w:t>
      </w:r>
      <w:r w:rsidRPr="0072585E">
        <w:rPr>
          <w:rFonts w:ascii="Arial" w:hAnsi="Arial" w:cs="Arial"/>
          <w:b/>
          <w:sz w:val="22"/>
          <w:szCs w:val="22"/>
          <w:lang w:val="fr-FR"/>
        </w:rPr>
        <w:t>Japon</w:t>
      </w:r>
      <w:r>
        <w:rPr>
          <w:rFonts w:ascii="Arial" w:hAnsi="Arial" w:cs="Arial"/>
          <w:bCs/>
          <w:sz w:val="22"/>
          <w:szCs w:val="22"/>
          <w:lang w:val="fr-FR"/>
        </w:rPr>
        <w:t xml:space="preserve"> a fait remarquer qu</w:t>
      </w:r>
      <w:r w:rsidR="008E532B">
        <w:rPr>
          <w:rFonts w:ascii="Arial" w:hAnsi="Arial" w:cs="Arial"/>
          <w:bCs/>
          <w:sz w:val="22"/>
          <w:szCs w:val="22"/>
          <w:lang w:val="fr-FR"/>
        </w:rPr>
        <w:t>’</w:t>
      </w:r>
      <w:r>
        <w:rPr>
          <w:rFonts w:ascii="Arial" w:hAnsi="Arial" w:cs="Arial"/>
          <w:bCs/>
          <w:sz w:val="22"/>
          <w:szCs w:val="22"/>
          <w:lang w:val="fr-FR"/>
        </w:rPr>
        <w:t>elle était trop pessimiste quant au résultat de groupe de travail, et elle a proposé l</w:t>
      </w:r>
      <w:r w:rsidR="008E532B">
        <w:rPr>
          <w:rFonts w:ascii="Arial" w:hAnsi="Arial" w:cs="Arial"/>
          <w:bCs/>
          <w:sz w:val="22"/>
          <w:szCs w:val="22"/>
          <w:lang w:val="fr-FR"/>
        </w:rPr>
        <w:t>’</w:t>
      </w:r>
      <w:r>
        <w:rPr>
          <w:rFonts w:ascii="Arial" w:hAnsi="Arial" w:cs="Arial"/>
          <w:bCs/>
          <w:sz w:val="22"/>
          <w:szCs w:val="22"/>
          <w:lang w:val="fr-FR"/>
        </w:rPr>
        <w:t>Éthiopie ou le Koweït.</w:t>
      </w:r>
    </w:p>
    <w:p w14:paraId="22331159" w14:textId="13E2562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2585E">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72585E">
        <w:rPr>
          <w:rFonts w:ascii="Arial" w:hAnsi="Arial" w:cs="Arial"/>
          <w:b/>
          <w:sz w:val="22"/>
          <w:szCs w:val="22"/>
          <w:lang w:val="fr-FR"/>
        </w:rPr>
        <w:t>Inde</w:t>
      </w:r>
      <w:r>
        <w:rPr>
          <w:rFonts w:ascii="Arial" w:hAnsi="Arial" w:cs="Arial"/>
          <w:bCs/>
          <w:sz w:val="22"/>
          <w:szCs w:val="22"/>
          <w:lang w:val="fr-FR"/>
        </w:rPr>
        <w:t xml:space="preserve"> a souhaité que l</w:t>
      </w:r>
      <w:r w:rsidR="008E532B">
        <w:rPr>
          <w:rFonts w:ascii="Arial" w:hAnsi="Arial" w:cs="Arial"/>
          <w:bCs/>
          <w:sz w:val="22"/>
          <w:szCs w:val="22"/>
          <w:lang w:val="fr-FR"/>
        </w:rPr>
        <w:t>’</w:t>
      </w:r>
      <w:r>
        <w:rPr>
          <w:rFonts w:ascii="Arial" w:hAnsi="Arial" w:cs="Arial"/>
          <w:bCs/>
          <w:sz w:val="22"/>
          <w:szCs w:val="22"/>
          <w:lang w:val="fr-FR"/>
        </w:rPr>
        <w:t xml:space="preserve">Assemblée parvienne à une résolution rapide de cette impasse. Elle soutenait la </w:t>
      </w:r>
      <w:r w:rsidRPr="0007326B">
        <w:rPr>
          <w:rFonts w:ascii="Arial" w:hAnsi="Arial" w:cs="Arial"/>
          <w:bCs/>
          <w:sz w:val="22"/>
          <w:szCs w:val="22"/>
          <w:lang w:val="fr-FR"/>
        </w:rPr>
        <w:t>proposition</w:t>
      </w:r>
      <w:r>
        <w:rPr>
          <w:rFonts w:ascii="Arial" w:hAnsi="Arial" w:cs="Arial"/>
          <w:bCs/>
          <w:sz w:val="22"/>
          <w:szCs w:val="22"/>
          <w:lang w:val="fr-FR"/>
        </w:rPr>
        <w:t xml:space="preserve"> en faveur de l</w:t>
      </w:r>
      <w:r w:rsidR="008E532B">
        <w:rPr>
          <w:rFonts w:ascii="Arial" w:hAnsi="Arial" w:cs="Arial"/>
          <w:bCs/>
          <w:sz w:val="22"/>
          <w:szCs w:val="22"/>
          <w:lang w:val="fr-FR"/>
        </w:rPr>
        <w:t>’</w:t>
      </w:r>
      <w:r>
        <w:rPr>
          <w:rFonts w:ascii="Arial" w:hAnsi="Arial" w:cs="Arial"/>
          <w:bCs/>
          <w:sz w:val="22"/>
          <w:szCs w:val="22"/>
          <w:lang w:val="fr-FR"/>
        </w:rPr>
        <w:t>Éthiopie pour présider le groupe de travail.</w:t>
      </w:r>
    </w:p>
    <w:p w14:paraId="1C2D536F" w14:textId="6D10FA9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7326B">
        <w:rPr>
          <w:rFonts w:ascii="Arial" w:hAnsi="Arial" w:cs="Arial"/>
          <w:b/>
          <w:sz w:val="22"/>
          <w:szCs w:val="22"/>
          <w:lang w:val="fr-FR"/>
        </w:rPr>
        <w:t>Présidente</w:t>
      </w:r>
      <w:r>
        <w:rPr>
          <w:rFonts w:ascii="Arial" w:hAnsi="Arial" w:cs="Arial"/>
          <w:bCs/>
          <w:sz w:val="22"/>
          <w:szCs w:val="22"/>
          <w:lang w:val="fr-FR"/>
        </w:rPr>
        <w:t xml:space="preserve"> a noté que l</w:t>
      </w:r>
      <w:r w:rsidR="008E532B">
        <w:rPr>
          <w:rFonts w:ascii="Arial" w:hAnsi="Arial" w:cs="Arial"/>
          <w:bCs/>
          <w:sz w:val="22"/>
          <w:szCs w:val="22"/>
          <w:lang w:val="fr-FR"/>
        </w:rPr>
        <w:t>’</w:t>
      </w:r>
      <w:r>
        <w:rPr>
          <w:rFonts w:ascii="Arial" w:hAnsi="Arial" w:cs="Arial"/>
          <w:bCs/>
          <w:sz w:val="22"/>
          <w:szCs w:val="22"/>
          <w:lang w:val="fr-FR"/>
        </w:rPr>
        <w:t>Éthiopie était le choix majoritaire.</w:t>
      </w:r>
    </w:p>
    <w:p w14:paraId="11E68379" w14:textId="3F6AC24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7326B">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07326B">
        <w:rPr>
          <w:rFonts w:ascii="Arial" w:hAnsi="Arial" w:cs="Arial"/>
          <w:b/>
          <w:sz w:val="22"/>
          <w:szCs w:val="22"/>
          <w:lang w:val="fr-FR"/>
        </w:rPr>
        <w:t>Éthiopie</w:t>
      </w:r>
      <w:r>
        <w:rPr>
          <w:rFonts w:ascii="Arial" w:hAnsi="Arial" w:cs="Arial"/>
          <w:bCs/>
          <w:sz w:val="22"/>
          <w:szCs w:val="22"/>
          <w:lang w:val="fr-FR"/>
        </w:rPr>
        <w:t xml:space="preserve"> a fait remarquer que le Japon avait une connaissance exhaustive des groupes de travail et serait un choix plus approprié.</w:t>
      </w:r>
    </w:p>
    <w:p w14:paraId="534E6AA2" w14:textId="2B472D1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7326B">
        <w:rPr>
          <w:rFonts w:ascii="Arial" w:hAnsi="Arial" w:cs="Arial"/>
          <w:bCs/>
          <w:sz w:val="22"/>
          <w:szCs w:val="22"/>
          <w:lang w:val="fr-FR"/>
        </w:rPr>
        <w:t xml:space="preserve">La délégation de </w:t>
      </w:r>
      <w:r w:rsidRPr="0007326B">
        <w:rPr>
          <w:rFonts w:ascii="Arial" w:hAnsi="Arial" w:cs="Arial"/>
          <w:b/>
          <w:sz w:val="22"/>
          <w:szCs w:val="22"/>
          <w:lang w:val="fr-FR"/>
        </w:rPr>
        <w:t>Djibouti</w:t>
      </w:r>
      <w:r w:rsidRPr="0007326B">
        <w:rPr>
          <w:rFonts w:ascii="Arial" w:hAnsi="Arial" w:cs="Arial"/>
          <w:bCs/>
          <w:sz w:val="22"/>
          <w:szCs w:val="22"/>
          <w:lang w:val="fr-FR"/>
        </w:rPr>
        <w:t xml:space="preserve"> a ré</w:t>
      </w:r>
      <w:r>
        <w:rPr>
          <w:rFonts w:ascii="Arial" w:hAnsi="Arial" w:cs="Arial"/>
          <w:bCs/>
          <w:sz w:val="22"/>
          <w:szCs w:val="22"/>
          <w:lang w:val="fr-FR"/>
        </w:rPr>
        <w:t>affirmé</w:t>
      </w:r>
      <w:r w:rsidRPr="0007326B">
        <w:rPr>
          <w:rFonts w:ascii="Arial" w:hAnsi="Arial" w:cs="Arial"/>
          <w:bCs/>
          <w:sz w:val="22"/>
          <w:szCs w:val="22"/>
          <w:lang w:val="fr-FR"/>
        </w:rPr>
        <w:t xml:space="preserve"> qu</w:t>
      </w:r>
      <w:r w:rsidR="008E532B">
        <w:rPr>
          <w:rFonts w:ascii="Arial" w:hAnsi="Arial" w:cs="Arial"/>
          <w:bCs/>
          <w:sz w:val="22"/>
          <w:szCs w:val="22"/>
          <w:lang w:val="fr-FR"/>
        </w:rPr>
        <w:t>’</w:t>
      </w:r>
      <w:r w:rsidRPr="0007326B">
        <w:rPr>
          <w:rFonts w:ascii="Arial" w:hAnsi="Arial" w:cs="Arial"/>
          <w:bCs/>
          <w:sz w:val="22"/>
          <w:szCs w:val="22"/>
          <w:lang w:val="fr-FR"/>
        </w:rPr>
        <w:t>il devrait y avoir trois pays par groupe et qu</w:t>
      </w:r>
      <w:r>
        <w:rPr>
          <w:rFonts w:ascii="Arial" w:hAnsi="Arial" w:cs="Arial"/>
          <w:bCs/>
          <w:sz w:val="22"/>
          <w:szCs w:val="22"/>
          <w:lang w:val="fr-FR"/>
        </w:rPr>
        <w:t>e celui-ci</w:t>
      </w:r>
      <w:r w:rsidRPr="0007326B">
        <w:rPr>
          <w:rFonts w:ascii="Arial" w:hAnsi="Arial" w:cs="Arial"/>
          <w:bCs/>
          <w:sz w:val="22"/>
          <w:szCs w:val="22"/>
          <w:lang w:val="fr-FR"/>
        </w:rPr>
        <w:t xml:space="preserve"> devrait être présidé par </w:t>
      </w:r>
      <w:r>
        <w:rPr>
          <w:rFonts w:ascii="Arial" w:hAnsi="Arial" w:cs="Arial"/>
          <w:bCs/>
          <w:sz w:val="22"/>
          <w:szCs w:val="22"/>
          <w:lang w:val="fr-FR"/>
        </w:rPr>
        <w:t>d</w:t>
      </w:r>
      <w:r w:rsidRPr="0007326B">
        <w:rPr>
          <w:rFonts w:ascii="Arial" w:hAnsi="Arial" w:cs="Arial"/>
          <w:bCs/>
          <w:sz w:val="22"/>
          <w:szCs w:val="22"/>
          <w:lang w:val="fr-FR"/>
        </w:rPr>
        <w:t>es coprésidents, l</w:t>
      </w:r>
      <w:r w:rsidR="008E532B">
        <w:rPr>
          <w:rFonts w:ascii="Arial" w:hAnsi="Arial" w:cs="Arial"/>
          <w:bCs/>
          <w:sz w:val="22"/>
          <w:szCs w:val="22"/>
          <w:lang w:val="fr-FR"/>
        </w:rPr>
        <w:t>’</w:t>
      </w:r>
      <w:r w:rsidRPr="0007326B">
        <w:rPr>
          <w:rFonts w:ascii="Arial" w:hAnsi="Arial" w:cs="Arial"/>
          <w:bCs/>
          <w:sz w:val="22"/>
          <w:szCs w:val="22"/>
          <w:lang w:val="fr-FR"/>
        </w:rPr>
        <w:t>Éthiopie et le Japon. Elle a également demandé que le groupe de travail examine également les paragraphes 7, 8 et 9, y compris le paragraphe</w:t>
      </w:r>
      <w:r>
        <w:rPr>
          <w:rFonts w:ascii="Arial" w:hAnsi="Arial" w:cs="Arial"/>
          <w:bCs/>
          <w:sz w:val="22"/>
          <w:szCs w:val="22"/>
          <w:lang w:val="fr-FR"/>
        </w:rPr>
        <w:t> </w:t>
      </w:r>
      <w:r w:rsidRPr="0007326B">
        <w:rPr>
          <w:rFonts w:ascii="Arial" w:hAnsi="Arial" w:cs="Arial"/>
          <w:bCs/>
          <w:sz w:val="22"/>
          <w:szCs w:val="22"/>
          <w:lang w:val="fr-FR"/>
        </w:rPr>
        <w:t>4 du projet de décision, afin de présenter une proposition claire. En outre, la parole ne devrait pas être donnée aux mêmes délégations à de nombreuses reprises car il y a</w:t>
      </w:r>
      <w:r>
        <w:rPr>
          <w:rFonts w:ascii="Arial" w:hAnsi="Arial" w:cs="Arial"/>
          <w:bCs/>
          <w:sz w:val="22"/>
          <w:szCs w:val="22"/>
          <w:lang w:val="fr-FR"/>
        </w:rPr>
        <w:t>vait</w:t>
      </w:r>
      <w:r w:rsidRPr="0007326B">
        <w:rPr>
          <w:rFonts w:ascii="Arial" w:hAnsi="Arial" w:cs="Arial"/>
          <w:bCs/>
          <w:sz w:val="22"/>
          <w:szCs w:val="22"/>
          <w:lang w:val="fr-FR"/>
        </w:rPr>
        <w:t xml:space="preserve"> encore un ordre du jour complet à d</w:t>
      </w:r>
      <w:r>
        <w:rPr>
          <w:rFonts w:ascii="Arial" w:hAnsi="Arial" w:cs="Arial"/>
          <w:bCs/>
          <w:sz w:val="22"/>
          <w:szCs w:val="22"/>
          <w:lang w:val="fr-FR"/>
        </w:rPr>
        <w:t>ébattre</w:t>
      </w:r>
      <w:r w:rsidRPr="0007326B">
        <w:rPr>
          <w:rFonts w:ascii="Arial" w:hAnsi="Arial" w:cs="Arial"/>
          <w:bCs/>
          <w:sz w:val="22"/>
          <w:szCs w:val="22"/>
          <w:lang w:val="fr-FR"/>
        </w:rPr>
        <w:t>.</w:t>
      </w:r>
    </w:p>
    <w:p w14:paraId="025DB31B" w14:textId="6499595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7326B">
        <w:rPr>
          <w:rFonts w:ascii="Arial" w:hAnsi="Arial" w:cs="Arial"/>
          <w:b/>
          <w:sz w:val="22"/>
          <w:szCs w:val="22"/>
          <w:lang w:val="fr-FR"/>
        </w:rPr>
        <w:t>Présidente</w:t>
      </w:r>
      <w:r>
        <w:rPr>
          <w:rFonts w:ascii="Arial" w:hAnsi="Arial" w:cs="Arial"/>
          <w:bCs/>
          <w:sz w:val="22"/>
          <w:szCs w:val="22"/>
          <w:lang w:val="fr-FR"/>
        </w:rPr>
        <w:t xml:space="preserve"> a sollicité les avis de l</w:t>
      </w:r>
      <w:r w:rsidR="008E532B">
        <w:rPr>
          <w:rFonts w:ascii="Arial" w:hAnsi="Arial" w:cs="Arial"/>
          <w:bCs/>
          <w:sz w:val="22"/>
          <w:szCs w:val="22"/>
          <w:lang w:val="fr-FR"/>
        </w:rPr>
        <w:t>’</w:t>
      </w:r>
      <w:r>
        <w:rPr>
          <w:rFonts w:ascii="Arial" w:hAnsi="Arial" w:cs="Arial"/>
          <w:bCs/>
          <w:sz w:val="22"/>
          <w:szCs w:val="22"/>
          <w:lang w:val="fr-FR"/>
        </w:rPr>
        <w:t xml:space="preserve">Assemblée sur la </w:t>
      </w:r>
      <w:r w:rsidRPr="0007326B">
        <w:rPr>
          <w:rFonts w:ascii="Arial" w:hAnsi="Arial" w:cs="Arial"/>
          <w:bCs/>
          <w:sz w:val="22"/>
          <w:szCs w:val="22"/>
          <w:lang w:val="fr-FR"/>
        </w:rPr>
        <w:t>proposition</w:t>
      </w:r>
      <w:r>
        <w:rPr>
          <w:rFonts w:ascii="Arial" w:hAnsi="Arial" w:cs="Arial"/>
          <w:bCs/>
          <w:sz w:val="22"/>
          <w:szCs w:val="22"/>
          <w:lang w:val="fr-FR"/>
        </w:rPr>
        <w:t xml:space="preserve"> de Djibouti.</w:t>
      </w:r>
    </w:p>
    <w:p w14:paraId="5FACB5A6" w14:textId="4EA7E91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7326B">
        <w:rPr>
          <w:rFonts w:ascii="Arial" w:hAnsi="Arial" w:cs="Arial"/>
          <w:bCs/>
          <w:sz w:val="22"/>
          <w:szCs w:val="22"/>
          <w:lang w:val="fr-FR"/>
        </w:rPr>
        <w:t>délégation</w:t>
      </w:r>
      <w:r>
        <w:rPr>
          <w:rFonts w:ascii="Arial" w:hAnsi="Arial" w:cs="Arial"/>
          <w:bCs/>
          <w:sz w:val="22"/>
          <w:szCs w:val="22"/>
          <w:lang w:val="fr-FR"/>
        </w:rPr>
        <w:t xml:space="preserve"> de </w:t>
      </w:r>
      <w:r w:rsidRPr="004C338C">
        <w:rPr>
          <w:rFonts w:ascii="Arial" w:hAnsi="Arial" w:cs="Arial"/>
          <w:b/>
          <w:sz w:val="22"/>
          <w:szCs w:val="22"/>
          <w:lang w:val="fr-FR"/>
        </w:rPr>
        <w:t>Panama</w:t>
      </w:r>
      <w:r>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était pas d</w:t>
      </w:r>
      <w:r w:rsidR="008E532B">
        <w:rPr>
          <w:rFonts w:ascii="Arial" w:hAnsi="Arial" w:cs="Arial"/>
          <w:bCs/>
          <w:sz w:val="22"/>
          <w:szCs w:val="22"/>
          <w:lang w:val="fr-FR"/>
        </w:rPr>
        <w:t>’</w:t>
      </w:r>
      <w:r>
        <w:rPr>
          <w:rFonts w:ascii="Arial" w:hAnsi="Arial" w:cs="Arial"/>
          <w:bCs/>
          <w:sz w:val="22"/>
          <w:szCs w:val="22"/>
          <w:lang w:val="fr-FR"/>
        </w:rPr>
        <w:t xml:space="preserve">accord avec la </w:t>
      </w:r>
      <w:r w:rsidRPr="0007326B">
        <w:rPr>
          <w:rFonts w:ascii="Arial" w:hAnsi="Arial" w:cs="Arial"/>
          <w:bCs/>
          <w:sz w:val="22"/>
          <w:szCs w:val="22"/>
          <w:lang w:val="fr-FR"/>
        </w:rPr>
        <w:t>proposition</w:t>
      </w:r>
      <w:r>
        <w:rPr>
          <w:rFonts w:ascii="Arial" w:hAnsi="Arial" w:cs="Arial"/>
          <w:bCs/>
          <w:sz w:val="22"/>
          <w:szCs w:val="22"/>
          <w:lang w:val="fr-FR"/>
        </w:rPr>
        <w:t xml:space="preserve"> de Djibouti, car le groupe de travail avait été établi pour examiner uniquement le </w:t>
      </w:r>
      <w:r w:rsidRPr="0007326B">
        <w:rPr>
          <w:rFonts w:ascii="Arial" w:hAnsi="Arial" w:cs="Arial"/>
          <w:bCs/>
          <w:sz w:val="22"/>
          <w:szCs w:val="22"/>
          <w:lang w:val="fr-FR"/>
        </w:rPr>
        <w:t>paragraphe</w:t>
      </w:r>
      <w:r>
        <w:rPr>
          <w:rFonts w:ascii="Arial" w:hAnsi="Arial" w:cs="Arial"/>
          <w:bCs/>
          <w:sz w:val="22"/>
          <w:szCs w:val="22"/>
          <w:lang w:val="fr-FR"/>
        </w:rPr>
        <w:t xml:space="preserve"> 7bis. Les autres </w:t>
      </w:r>
      <w:r w:rsidRPr="0007326B">
        <w:rPr>
          <w:rFonts w:ascii="Arial" w:hAnsi="Arial" w:cs="Arial"/>
          <w:bCs/>
          <w:sz w:val="22"/>
          <w:szCs w:val="22"/>
          <w:lang w:val="fr-FR"/>
        </w:rPr>
        <w:t>paragraph</w:t>
      </w:r>
      <w:r>
        <w:rPr>
          <w:rFonts w:ascii="Arial" w:hAnsi="Arial" w:cs="Arial"/>
          <w:bCs/>
          <w:sz w:val="22"/>
          <w:szCs w:val="22"/>
          <w:lang w:val="fr-FR"/>
        </w:rPr>
        <w:t xml:space="preserve">es de ce projet de </w:t>
      </w:r>
      <w:r w:rsidRPr="0007326B">
        <w:rPr>
          <w:rFonts w:ascii="Arial" w:eastAsia="SimSun" w:hAnsi="Arial" w:cs="Arial"/>
          <w:bCs/>
          <w:sz w:val="22"/>
          <w:szCs w:val="22"/>
          <w:lang w:val="fr-FR" w:eastAsia="en-US"/>
        </w:rPr>
        <w:t>résolution</w:t>
      </w:r>
      <w:r>
        <w:rPr>
          <w:rFonts w:ascii="Arial" w:eastAsia="SimSun" w:hAnsi="Arial" w:cs="Arial"/>
          <w:bCs/>
          <w:sz w:val="22"/>
          <w:szCs w:val="22"/>
          <w:lang w:val="fr-FR" w:eastAsia="en-US"/>
        </w:rPr>
        <w:t xml:space="preserve"> devaient faire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objet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une décision au cours de la présente séance.</w:t>
      </w:r>
    </w:p>
    <w:p w14:paraId="7FC18CE7" w14:textId="2160905C" w:rsidR="00D9653F" w:rsidRPr="004C338C"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C338C">
        <w:rPr>
          <w:rFonts w:ascii="Arial" w:hAnsi="Arial" w:cs="Arial"/>
          <w:bCs/>
          <w:sz w:val="22"/>
          <w:szCs w:val="22"/>
          <w:lang w:val="fr-FR"/>
        </w:rPr>
        <w:t xml:space="preserve">Le </w:t>
      </w:r>
      <w:r w:rsidRPr="004C338C">
        <w:rPr>
          <w:rFonts w:ascii="Arial" w:hAnsi="Arial" w:cs="Arial"/>
          <w:b/>
          <w:sz w:val="22"/>
          <w:szCs w:val="22"/>
          <w:lang w:val="fr-FR"/>
        </w:rPr>
        <w:t>Sous-Directeur général</w:t>
      </w:r>
      <w:r w:rsidRPr="004C338C">
        <w:rPr>
          <w:rFonts w:ascii="Arial" w:hAnsi="Arial" w:cs="Arial"/>
          <w:bCs/>
          <w:sz w:val="22"/>
          <w:szCs w:val="22"/>
          <w:lang w:val="fr-FR"/>
        </w:rPr>
        <w:t xml:space="preserve"> a </w:t>
      </w:r>
      <w:r w:rsidR="005645CB">
        <w:rPr>
          <w:rFonts w:ascii="Arial" w:hAnsi="Arial" w:cs="Arial"/>
          <w:bCs/>
          <w:sz w:val="22"/>
          <w:szCs w:val="22"/>
          <w:lang w:val="fr-FR"/>
        </w:rPr>
        <w:t>noté qu’</w:t>
      </w:r>
      <w:r w:rsidRPr="004C338C">
        <w:rPr>
          <w:rFonts w:ascii="Arial" w:hAnsi="Arial" w:cs="Arial"/>
          <w:bCs/>
          <w:sz w:val="22"/>
          <w:szCs w:val="22"/>
          <w:lang w:val="fr-FR"/>
        </w:rPr>
        <w:t>il s</w:t>
      </w:r>
      <w:r w:rsidR="008E532B">
        <w:rPr>
          <w:rFonts w:ascii="Arial" w:hAnsi="Arial" w:cs="Arial"/>
          <w:bCs/>
          <w:sz w:val="22"/>
          <w:szCs w:val="22"/>
          <w:lang w:val="fr-FR"/>
        </w:rPr>
        <w:t>’</w:t>
      </w:r>
      <w:r w:rsidRPr="004C338C">
        <w:rPr>
          <w:rFonts w:ascii="Arial" w:hAnsi="Arial" w:cs="Arial"/>
          <w:bCs/>
          <w:sz w:val="22"/>
          <w:szCs w:val="22"/>
          <w:lang w:val="fr-FR"/>
        </w:rPr>
        <w:t>agissait d</w:t>
      </w:r>
      <w:r w:rsidR="008E532B">
        <w:rPr>
          <w:rFonts w:ascii="Arial" w:hAnsi="Arial" w:cs="Arial"/>
          <w:bCs/>
          <w:sz w:val="22"/>
          <w:szCs w:val="22"/>
          <w:lang w:val="fr-FR"/>
        </w:rPr>
        <w:t>’</w:t>
      </w:r>
      <w:r w:rsidRPr="004C338C">
        <w:rPr>
          <w:rFonts w:ascii="Arial" w:hAnsi="Arial" w:cs="Arial"/>
          <w:bCs/>
          <w:sz w:val="22"/>
          <w:szCs w:val="22"/>
          <w:lang w:val="fr-FR"/>
        </w:rPr>
        <w:t>un groupe informel qui n</w:t>
      </w:r>
      <w:r w:rsidR="008E532B">
        <w:rPr>
          <w:rFonts w:ascii="Arial" w:hAnsi="Arial" w:cs="Arial"/>
          <w:bCs/>
          <w:sz w:val="22"/>
          <w:szCs w:val="22"/>
          <w:lang w:val="fr-FR"/>
        </w:rPr>
        <w:t>’</w:t>
      </w:r>
      <w:r w:rsidRPr="004C338C">
        <w:rPr>
          <w:rFonts w:ascii="Arial" w:hAnsi="Arial" w:cs="Arial"/>
          <w:bCs/>
          <w:sz w:val="22"/>
          <w:szCs w:val="22"/>
          <w:lang w:val="fr-FR"/>
        </w:rPr>
        <w:t>avait pas besoin d</w:t>
      </w:r>
      <w:r w:rsidR="008E532B">
        <w:rPr>
          <w:rFonts w:ascii="Arial" w:hAnsi="Arial" w:cs="Arial"/>
          <w:bCs/>
          <w:sz w:val="22"/>
          <w:szCs w:val="22"/>
          <w:lang w:val="fr-FR"/>
        </w:rPr>
        <w:t>’</w:t>
      </w:r>
      <w:r w:rsidRPr="004C338C">
        <w:rPr>
          <w:rFonts w:ascii="Arial" w:hAnsi="Arial" w:cs="Arial"/>
          <w:bCs/>
          <w:sz w:val="22"/>
          <w:szCs w:val="22"/>
          <w:lang w:val="fr-FR"/>
        </w:rPr>
        <w:t>un président</w:t>
      </w:r>
      <w:r w:rsidR="005645CB">
        <w:rPr>
          <w:rFonts w:ascii="Arial" w:hAnsi="Arial" w:cs="Arial"/>
          <w:bCs/>
          <w:sz w:val="22"/>
          <w:szCs w:val="22"/>
          <w:lang w:val="fr-FR"/>
        </w:rPr>
        <w:t xml:space="preserve"> s’il n’y avait pas de volontaires, </w:t>
      </w:r>
      <w:r w:rsidRPr="004C338C">
        <w:rPr>
          <w:rFonts w:ascii="Arial" w:hAnsi="Arial" w:cs="Arial"/>
          <w:bCs/>
          <w:sz w:val="22"/>
          <w:szCs w:val="22"/>
          <w:lang w:val="fr-FR"/>
        </w:rPr>
        <w:t>d</w:t>
      </w:r>
      <w:r w:rsidR="008E532B">
        <w:rPr>
          <w:rFonts w:ascii="Arial" w:hAnsi="Arial" w:cs="Arial"/>
          <w:bCs/>
          <w:sz w:val="22"/>
          <w:szCs w:val="22"/>
          <w:lang w:val="fr-FR"/>
        </w:rPr>
        <w:t>’</w:t>
      </w:r>
      <w:r w:rsidRPr="004C338C">
        <w:rPr>
          <w:rFonts w:ascii="Arial" w:hAnsi="Arial" w:cs="Arial"/>
          <w:bCs/>
          <w:sz w:val="22"/>
          <w:szCs w:val="22"/>
          <w:lang w:val="fr-FR"/>
        </w:rPr>
        <w:t>autant plus qu</w:t>
      </w:r>
      <w:r w:rsidR="008E532B">
        <w:rPr>
          <w:rFonts w:ascii="Arial" w:hAnsi="Arial" w:cs="Arial"/>
          <w:bCs/>
          <w:sz w:val="22"/>
          <w:szCs w:val="22"/>
          <w:lang w:val="fr-FR"/>
        </w:rPr>
        <w:t>’</w:t>
      </w:r>
      <w:r w:rsidRPr="004C338C">
        <w:rPr>
          <w:rFonts w:ascii="Arial" w:hAnsi="Arial" w:cs="Arial"/>
          <w:bCs/>
          <w:sz w:val="22"/>
          <w:szCs w:val="22"/>
          <w:lang w:val="fr-FR"/>
        </w:rPr>
        <w:t>il s</w:t>
      </w:r>
      <w:r w:rsidR="008E532B">
        <w:rPr>
          <w:rFonts w:ascii="Arial" w:hAnsi="Arial" w:cs="Arial"/>
          <w:bCs/>
          <w:sz w:val="22"/>
          <w:szCs w:val="22"/>
          <w:lang w:val="fr-FR"/>
        </w:rPr>
        <w:t>’</w:t>
      </w:r>
      <w:r w:rsidRPr="004C338C">
        <w:rPr>
          <w:rFonts w:ascii="Arial" w:hAnsi="Arial" w:cs="Arial"/>
          <w:bCs/>
          <w:sz w:val="22"/>
          <w:szCs w:val="22"/>
          <w:lang w:val="fr-FR"/>
        </w:rPr>
        <w:t>agissait de l</w:t>
      </w:r>
      <w:r w:rsidR="008E532B">
        <w:rPr>
          <w:rFonts w:ascii="Arial" w:hAnsi="Arial" w:cs="Arial"/>
          <w:bCs/>
          <w:sz w:val="22"/>
          <w:szCs w:val="22"/>
          <w:lang w:val="fr-FR"/>
        </w:rPr>
        <w:t>’</w:t>
      </w:r>
      <w:r w:rsidRPr="004C338C">
        <w:rPr>
          <w:rFonts w:ascii="Arial" w:hAnsi="Arial" w:cs="Arial"/>
          <w:bCs/>
          <w:sz w:val="22"/>
          <w:szCs w:val="22"/>
          <w:lang w:val="fr-FR"/>
        </w:rPr>
        <w:t>examen d</w:t>
      </w:r>
      <w:r w:rsidR="008E532B">
        <w:rPr>
          <w:rFonts w:ascii="Arial" w:hAnsi="Arial" w:cs="Arial"/>
          <w:bCs/>
          <w:sz w:val="22"/>
          <w:szCs w:val="22"/>
          <w:lang w:val="fr-FR"/>
        </w:rPr>
        <w:t>’</w:t>
      </w:r>
      <w:r w:rsidRPr="004C338C">
        <w:rPr>
          <w:rFonts w:ascii="Arial" w:hAnsi="Arial" w:cs="Arial"/>
          <w:bCs/>
          <w:sz w:val="22"/>
          <w:szCs w:val="22"/>
          <w:lang w:val="fr-FR"/>
        </w:rPr>
        <w:t xml:space="preserve">un seul point dans le but de trouver un accord commun. </w:t>
      </w:r>
      <w:r w:rsidR="005645CB">
        <w:rPr>
          <w:rFonts w:ascii="Arial" w:hAnsi="Arial" w:cs="Arial"/>
          <w:bCs/>
          <w:sz w:val="22"/>
          <w:szCs w:val="22"/>
          <w:lang w:val="fr-FR"/>
        </w:rPr>
        <w:t>Le Sous-Directeur général</w:t>
      </w:r>
      <w:r w:rsidRPr="004C338C">
        <w:rPr>
          <w:rFonts w:ascii="Arial" w:hAnsi="Arial" w:cs="Arial"/>
          <w:bCs/>
          <w:sz w:val="22"/>
          <w:szCs w:val="22"/>
          <w:lang w:val="fr-FR"/>
        </w:rPr>
        <w:t xml:space="preserve"> a noté que Djibouti avait ouvert un nouveau débat avec la proposition d</w:t>
      </w:r>
      <w:r w:rsidR="008E532B">
        <w:rPr>
          <w:rFonts w:ascii="Arial" w:hAnsi="Arial" w:cs="Arial"/>
          <w:bCs/>
          <w:sz w:val="22"/>
          <w:szCs w:val="22"/>
          <w:lang w:val="fr-FR"/>
        </w:rPr>
        <w:t>’</w:t>
      </w:r>
      <w:r>
        <w:rPr>
          <w:rFonts w:ascii="Arial" w:hAnsi="Arial" w:cs="Arial"/>
          <w:bCs/>
          <w:sz w:val="22"/>
          <w:szCs w:val="22"/>
          <w:lang w:val="fr-FR"/>
        </w:rPr>
        <w:t>examen par</w:t>
      </w:r>
      <w:r w:rsidRPr="004C338C">
        <w:rPr>
          <w:rFonts w:ascii="Arial" w:hAnsi="Arial" w:cs="Arial"/>
          <w:bCs/>
          <w:sz w:val="22"/>
          <w:szCs w:val="22"/>
          <w:lang w:val="fr-FR"/>
        </w:rPr>
        <w:t xml:space="preserve"> le groupe de travail </w:t>
      </w:r>
      <w:r>
        <w:rPr>
          <w:rFonts w:ascii="Arial" w:hAnsi="Arial" w:cs="Arial"/>
          <w:bCs/>
          <w:sz w:val="22"/>
          <w:szCs w:val="22"/>
          <w:lang w:val="fr-FR"/>
        </w:rPr>
        <w:t>d</w:t>
      </w:r>
      <w:r w:rsidRPr="004C338C">
        <w:rPr>
          <w:rFonts w:ascii="Arial" w:hAnsi="Arial" w:cs="Arial"/>
          <w:bCs/>
          <w:sz w:val="22"/>
          <w:szCs w:val="22"/>
          <w:lang w:val="fr-FR"/>
        </w:rPr>
        <w:t>es paragraphes 8, 9 et 4 en plus du paragraphe 7bis, bien que certaines délégations aient exprimé leur opposition. Il a demandé si les deux coprésidents pouvaient se mettre d</w:t>
      </w:r>
      <w:r w:rsidR="008E532B">
        <w:rPr>
          <w:rFonts w:ascii="Arial" w:hAnsi="Arial" w:cs="Arial"/>
          <w:bCs/>
          <w:sz w:val="22"/>
          <w:szCs w:val="22"/>
          <w:lang w:val="fr-FR"/>
        </w:rPr>
        <w:t>’</w:t>
      </w:r>
      <w:r w:rsidRPr="004C338C">
        <w:rPr>
          <w:rFonts w:ascii="Arial" w:hAnsi="Arial" w:cs="Arial"/>
          <w:bCs/>
          <w:sz w:val="22"/>
          <w:szCs w:val="22"/>
          <w:lang w:val="fr-FR"/>
        </w:rPr>
        <w:t>accord pour coprésider le groupe.</w:t>
      </w:r>
    </w:p>
    <w:p w14:paraId="3F476477" w14:textId="108EF06B" w:rsidR="00D9653F" w:rsidRPr="009E264C"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E264C">
        <w:rPr>
          <w:rFonts w:ascii="Arial" w:hAnsi="Arial" w:cs="Arial"/>
          <w:b/>
          <w:sz w:val="22"/>
          <w:szCs w:val="22"/>
          <w:lang w:val="fr-FR"/>
        </w:rPr>
        <w:t>Présidente</w:t>
      </w:r>
      <w:r>
        <w:rPr>
          <w:rFonts w:ascii="Arial" w:hAnsi="Arial" w:cs="Arial"/>
          <w:bCs/>
          <w:sz w:val="22"/>
          <w:szCs w:val="22"/>
          <w:lang w:val="fr-FR"/>
        </w:rPr>
        <w:t xml:space="preserve"> a indiqué que l</w:t>
      </w:r>
      <w:r w:rsidR="008E532B">
        <w:rPr>
          <w:rFonts w:ascii="Arial" w:hAnsi="Arial" w:cs="Arial"/>
          <w:bCs/>
          <w:sz w:val="22"/>
          <w:szCs w:val="22"/>
          <w:lang w:val="fr-FR"/>
        </w:rPr>
        <w:t>’</w:t>
      </w:r>
      <w:r>
        <w:rPr>
          <w:rFonts w:ascii="Arial" w:hAnsi="Arial" w:cs="Arial"/>
          <w:bCs/>
          <w:sz w:val="22"/>
          <w:szCs w:val="22"/>
          <w:lang w:val="fr-FR"/>
        </w:rPr>
        <w:t xml:space="preserve">Éthiopie et le Japon avaient convenu de coprésider le groupe de travail </w:t>
      </w:r>
    </w:p>
    <w:p w14:paraId="30E60E76" w14:textId="77777777" w:rsidR="00D9653F" w:rsidRPr="009E264C"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E264C">
        <w:rPr>
          <w:rFonts w:ascii="Arial" w:hAnsi="Arial" w:cs="Arial"/>
          <w:bCs/>
          <w:sz w:val="22"/>
          <w:szCs w:val="22"/>
          <w:lang w:val="fr-FR"/>
        </w:rPr>
        <w:t>délégation</w:t>
      </w:r>
      <w:r>
        <w:rPr>
          <w:rFonts w:ascii="Arial" w:hAnsi="Arial" w:cs="Arial"/>
          <w:bCs/>
          <w:sz w:val="22"/>
          <w:szCs w:val="22"/>
          <w:lang w:val="fr-FR"/>
        </w:rPr>
        <w:t xml:space="preserve"> de la </w:t>
      </w:r>
      <w:r w:rsidRPr="009E264C">
        <w:rPr>
          <w:rFonts w:ascii="Arial" w:hAnsi="Arial" w:cs="Arial"/>
          <w:b/>
          <w:sz w:val="22"/>
          <w:szCs w:val="22"/>
          <w:lang w:val="fr-FR"/>
        </w:rPr>
        <w:t>Palestine</w:t>
      </w:r>
      <w:r>
        <w:rPr>
          <w:rFonts w:ascii="Arial" w:hAnsi="Arial" w:cs="Arial"/>
          <w:bCs/>
          <w:sz w:val="22"/>
          <w:szCs w:val="22"/>
          <w:lang w:val="fr-FR"/>
        </w:rPr>
        <w:t xml:space="preserve"> a suggéré de passer aux </w:t>
      </w:r>
      <w:r w:rsidRPr="009E264C">
        <w:rPr>
          <w:rFonts w:ascii="Arial" w:hAnsi="Arial" w:cs="Arial"/>
          <w:bCs/>
          <w:sz w:val="22"/>
          <w:szCs w:val="22"/>
          <w:lang w:val="fr-FR"/>
        </w:rPr>
        <w:t>paragraph</w:t>
      </w:r>
      <w:r>
        <w:rPr>
          <w:rFonts w:ascii="Arial" w:hAnsi="Arial" w:cs="Arial"/>
          <w:bCs/>
          <w:sz w:val="22"/>
          <w:szCs w:val="22"/>
          <w:lang w:val="fr-FR"/>
        </w:rPr>
        <w:t>es 8 et 9.</w:t>
      </w:r>
    </w:p>
    <w:p w14:paraId="04C5878F" w14:textId="47B46FA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E264C">
        <w:rPr>
          <w:rFonts w:ascii="Arial" w:hAnsi="Arial" w:cs="Arial"/>
          <w:bCs/>
          <w:sz w:val="22"/>
          <w:szCs w:val="22"/>
          <w:lang w:val="fr-FR"/>
        </w:rPr>
        <w:t xml:space="preserve">La délégation du </w:t>
      </w:r>
      <w:r w:rsidRPr="009E264C">
        <w:rPr>
          <w:rFonts w:ascii="Arial" w:hAnsi="Arial" w:cs="Arial"/>
          <w:b/>
          <w:sz w:val="22"/>
          <w:szCs w:val="22"/>
          <w:lang w:val="fr-FR"/>
        </w:rPr>
        <w:t>Maroc</w:t>
      </w:r>
      <w:r w:rsidRPr="009E264C">
        <w:rPr>
          <w:rFonts w:ascii="Arial" w:hAnsi="Arial" w:cs="Arial"/>
          <w:bCs/>
          <w:sz w:val="22"/>
          <w:szCs w:val="22"/>
          <w:lang w:val="fr-FR"/>
        </w:rPr>
        <w:t xml:space="preserve"> a fait remarquer qu</w:t>
      </w:r>
      <w:r w:rsidR="008E532B">
        <w:rPr>
          <w:rFonts w:ascii="Arial" w:hAnsi="Arial" w:cs="Arial"/>
          <w:bCs/>
          <w:sz w:val="22"/>
          <w:szCs w:val="22"/>
          <w:lang w:val="fr-FR"/>
        </w:rPr>
        <w:t>’</w:t>
      </w:r>
      <w:r w:rsidRPr="009E264C">
        <w:rPr>
          <w:rFonts w:ascii="Arial" w:hAnsi="Arial" w:cs="Arial"/>
          <w:bCs/>
          <w:sz w:val="22"/>
          <w:szCs w:val="22"/>
          <w:lang w:val="fr-FR"/>
        </w:rPr>
        <w:t>ils</w:t>
      </w:r>
      <w:r>
        <w:rPr>
          <w:rFonts w:ascii="Arial" w:hAnsi="Arial" w:cs="Arial"/>
          <w:bCs/>
          <w:sz w:val="22"/>
          <w:szCs w:val="22"/>
          <w:lang w:val="fr-FR"/>
        </w:rPr>
        <w:t xml:space="preserve"> [l</w:t>
      </w:r>
      <w:r w:rsidR="008E532B">
        <w:rPr>
          <w:rFonts w:ascii="Arial" w:hAnsi="Arial" w:cs="Arial"/>
          <w:bCs/>
          <w:sz w:val="22"/>
          <w:szCs w:val="22"/>
          <w:lang w:val="fr-FR"/>
        </w:rPr>
        <w:t>’</w:t>
      </w:r>
      <w:r>
        <w:rPr>
          <w:rFonts w:ascii="Arial" w:hAnsi="Arial" w:cs="Arial"/>
          <w:bCs/>
          <w:sz w:val="22"/>
          <w:szCs w:val="22"/>
          <w:lang w:val="fr-FR"/>
        </w:rPr>
        <w:t>Éthiopie et le Japon]</w:t>
      </w:r>
      <w:r w:rsidRPr="009E264C">
        <w:rPr>
          <w:rFonts w:ascii="Arial" w:hAnsi="Arial" w:cs="Arial"/>
          <w:bCs/>
          <w:sz w:val="22"/>
          <w:szCs w:val="22"/>
          <w:lang w:val="fr-FR"/>
        </w:rPr>
        <w:t xml:space="preserve"> n</w:t>
      </w:r>
      <w:r w:rsidR="008E532B">
        <w:rPr>
          <w:rFonts w:ascii="Arial" w:hAnsi="Arial" w:cs="Arial"/>
          <w:bCs/>
          <w:sz w:val="22"/>
          <w:szCs w:val="22"/>
          <w:lang w:val="fr-FR"/>
        </w:rPr>
        <w:t>’</w:t>
      </w:r>
      <w:r w:rsidRPr="009E264C">
        <w:rPr>
          <w:rFonts w:ascii="Arial" w:hAnsi="Arial" w:cs="Arial"/>
          <w:bCs/>
          <w:sz w:val="22"/>
          <w:szCs w:val="22"/>
          <w:lang w:val="fr-FR"/>
        </w:rPr>
        <w:t xml:space="preserve">étaient pas coprésidents mais plutôt facilitateurs, ajoutant que leur </w:t>
      </w:r>
      <w:r>
        <w:rPr>
          <w:rFonts w:ascii="Arial" w:hAnsi="Arial" w:cs="Arial"/>
          <w:bCs/>
          <w:sz w:val="22"/>
          <w:szCs w:val="22"/>
          <w:lang w:val="fr-FR"/>
        </w:rPr>
        <w:t>désignation</w:t>
      </w:r>
      <w:r w:rsidRPr="009E264C">
        <w:rPr>
          <w:rFonts w:ascii="Arial" w:hAnsi="Arial" w:cs="Arial"/>
          <w:bCs/>
          <w:sz w:val="22"/>
          <w:szCs w:val="22"/>
          <w:lang w:val="fr-FR"/>
        </w:rPr>
        <w:t xml:space="preserve"> était un excellent choix en raison de leur sagesse et de leur capacité à surmonter les difficultés et à trouver une issue à cette impasse. La délégation soutenait l</w:t>
      </w:r>
      <w:r w:rsidR="008E532B">
        <w:rPr>
          <w:rFonts w:ascii="Arial" w:hAnsi="Arial" w:cs="Arial"/>
          <w:bCs/>
          <w:sz w:val="22"/>
          <w:szCs w:val="22"/>
          <w:lang w:val="fr-FR"/>
        </w:rPr>
        <w:t>’</w:t>
      </w:r>
      <w:r w:rsidRPr="009E264C">
        <w:rPr>
          <w:rFonts w:ascii="Arial" w:hAnsi="Arial" w:cs="Arial"/>
          <w:bCs/>
          <w:sz w:val="22"/>
          <w:szCs w:val="22"/>
          <w:lang w:val="fr-FR"/>
        </w:rPr>
        <w:t>idée de passer à l</w:t>
      </w:r>
      <w:r w:rsidR="008E532B">
        <w:rPr>
          <w:rFonts w:ascii="Arial" w:hAnsi="Arial" w:cs="Arial"/>
          <w:bCs/>
          <w:sz w:val="22"/>
          <w:szCs w:val="22"/>
          <w:lang w:val="fr-FR"/>
        </w:rPr>
        <w:t>’</w:t>
      </w:r>
      <w:r w:rsidRPr="009E264C">
        <w:rPr>
          <w:rFonts w:ascii="Arial" w:hAnsi="Arial" w:cs="Arial"/>
          <w:bCs/>
          <w:sz w:val="22"/>
          <w:szCs w:val="22"/>
          <w:lang w:val="fr-FR"/>
        </w:rPr>
        <w:t>adoption des paragraphes 8 et 9 et de terminer ainsi la journée sur une note positive.</w:t>
      </w:r>
    </w:p>
    <w:p w14:paraId="28EE1F64" w14:textId="50747FC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81E74">
        <w:rPr>
          <w:rFonts w:ascii="Arial" w:hAnsi="Arial" w:cs="Arial"/>
          <w:bCs/>
          <w:sz w:val="22"/>
          <w:szCs w:val="22"/>
          <w:lang w:val="fr-FR"/>
        </w:rPr>
        <w:t xml:space="preserve">La délégation de la </w:t>
      </w:r>
      <w:r w:rsidRPr="00981E74">
        <w:rPr>
          <w:rFonts w:ascii="Arial" w:hAnsi="Arial" w:cs="Arial"/>
          <w:b/>
          <w:sz w:val="22"/>
          <w:szCs w:val="22"/>
          <w:lang w:val="fr-FR"/>
        </w:rPr>
        <w:t>Colombie</w:t>
      </w:r>
      <w:r w:rsidRPr="00981E74">
        <w:rPr>
          <w:rFonts w:ascii="Arial" w:hAnsi="Arial" w:cs="Arial"/>
          <w:bCs/>
          <w:sz w:val="22"/>
          <w:szCs w:val="22"/>
          <w:lang w:val="fr-FR"/>
        </w:rPr>
        <w:t xml:space="preserve"> a félicité les coprésidents et les a remerciés de leur soutien. Elle souhait</w:t>
      </w:r>
      <w:r>
        <w:rPr>
          <w:rFonts w:ascii="Arial" w:hAnsi="Arial" w:cs="Arial"/>
          <w:bCs/>
          <w:sz w:val="22"/>
          <w:szCs w:val="22"/>
          <w:lang w:val="fr-FR"/>
        </w:rPr>
        <w:t>ait</w:t>
      </w:r>
      <w:r w:rsidRPr="00981E74">
        <w:rPr>
          <w:rFonts w:ascii="Arial" w:hAnsi="Arial" w:cs="Arial"/>
          <w:bCs/>
          <w:sz w:val="22"/>
          <w:szCs w:val="22"/>
          <w:lang w:val="fr-FR"/>
        </w:rPr>
        <w:t xml:space="preserve"> revenir sur les paragraphes 8 et 9</w:t>
      </w:r>
      <w:r>
        <w:rPr>
          <w:rFonts w:ascii="Arial" w:hAnsi="Arial" w:cs="Arial"/>
          <w:bCs/>
          <w:sz w:val="22"/>
          <w:szCs w:val="22"/>
          <w:lang w:val="fr-FR"/>
        </w:rPr>
        <w:t>, ainsi que sur</w:t>
      </w:r>
      <w:r w:rsidRPr="00981E74">
        <w:rPr>
          <w:rFonts w:ascii="Arial" w:hAnsi="Arial" w:cs="Arial"/>
          <w:bCs/>
          <w:sz w:val="22"/>
          <w:szCs w:val="22"/>
          <w:lang w:val="fr-FR"/>
        </w:rPr>
        <w:t xml:space="preserve"> le paragraphe 4</w:t>
      </w:r>
      <w:r>
        <w:rPr>
          <w:rFonts w:ascii="Arial" w:hAnsi="Arial" w:cs="Arial"/>
          <w:bCs/>
          <w:sz w:val="22"/>
          <w:szCs w:val="22"/>
          <w:lang w:val="fr-FR"/>
        </w:rPr>
        <w:t xml:space="preserve"> </w:t>
      </w:r>
      <w:r w:rsidRPr="00981E74">
        <w:rPr>
          <w:rFonts w:ascii="Arial" w:hAnsi="Arial" w:cs="Arial"/>
          <w:bCs/>
          <w:sz w:val="22"/>
          <w:szCs w:val="22"/>
          <w:lang w:val="fr-FR"/>
        </w:rPr>
        <w:t xml:space="preserve">qui </w:t>
      </w:r>
      <w:r>
        <w:rPr>
          <w:rFonts w:ascii="Arial" w:hAnsi="Arial" w:cs="Arial"/>
          <w:bCs/>
          <w:sz w:val="22"/>
          <w:szCs w:val="22"/>
          <w:lang w:val="fr-FR"/>
        </w:rPr>
        <w:t>avait</w:t>
      </w:r>
      <w:r w:rsidRPr="00981E74">
        <w:rPr>
          <w:rFonts w:ascii="Arial" w:hAnsi="Arial" w:cs="Arial"/>
          <w:bCs/>
          <w:sz w:val="22"/>
          <w:szCs w:val="22"/>
          <w:lang w:val="fr-FR"/>
        </w:rPr>
        <w:t xml:space="preserve"> déjà fait l</w:t>
      </w:r>
      <w:r w:rsidR="008E532B">
        <w:rPr>
          <w:rFonts w:ascii="Arial" w:hAnsi="Arial" w:cs="Arial"/>
          <w:bCs/>
          <w:sz w:val="22"/>
          <w:szCs w:val="22"/>
          <w:lang w:val="fr-FR"/>
        </w:rPr>
        <w:t>’</w:t>
      </w:r>
      <w:r w:rsidRPr="00981E74">
        <w:rPr>
          <w:rFonts w:ascii="Arial" w:hAnsi="Arial" w:cs="Arial"/>
          <w:bCs/>
          <w:sz w:val="22"/>
          <w:szCs w:val="22"/>
          <w:lang w:val="fr-FR"/>
        </w:rPr>
        <w:t>objet d</w:t>
      </w:r>
      <w:r w:rsidR="008E532B">
        <w:rPr>
          <w:rFonts w:ascii="Arial" w:hAnsi="Arial" w:cs="Arial"/>
          <w:bCs/>
          <w:sz w:val="22"/>
          <w:szCs w:val="22"/>
          <w:lang w:val="fr-FR"/>
        </w:rPr>
        <w:t>’</w:t>
      </w:r>
      <w:r w:rsidRPr="00981E74">
        <w:rPr>
          <w:rFonts w:ascii="Arial" w:hAnsi="Arial" w:cs="Arial"/>
          <w:bCs/>
          <w:sz w:val="22"/>
          <w:szCs w:val="22"/>
          <w:lang w:val="fr-FR"/>
        </w:rPr>
        <w:t xml:space="preserve">une décision du Comité, comme </w:t>
      </w:r>
      <w:r>
        <w:rPr>
          <w:rFonts w:ascii="Arial" w:hAnsi="Arial" w:cs="Arial"/>
          <w:bCs/>
          <w:sz w:val="22"/>
          <w:szCs w:val="22"/>
          <w:lang w:val="fr-FR"/>
        </w:rPr>
        <w:t>l</w:t>
      </w:r>
      <w:r w:rsidR="008E532B">
        <w:rPr>
          <w:rFonts w:ascii="Arial" w:hAnsi="Arial" w:cs="Arial"/>
          <w:bCs/>
          <w:sz w:val="22"/>
          <w:szCs w:val="22"/>
          <w:lang w:val="fr-FR"/>
        </w:rPr>
        <w:t>’</w:t>
      </w:r>
      <w:r>
        <w:rPr>
          <w:rFonts w:ascii="Arial" w:hAnsi="Arial" w:cs="Arial"/>
          <w:bCs/>
          <w:sz w:val="22"/>
          <w:szCs w:val="22"/>
          <w:lang w:val="fr-FR"/>
        </w:rPr>
        <w:t xml:space="preserve">avait </w:t>
      </w:r>
      <w:r w:rsidRPr="00981E74">
        <w:rPr>
          <w:rFonts w:ascii="Arial" w:hAnsi="Arial" w:cs="Arial"/>
          <w:bCs/>
          <w:sz w:val="22"/>
          <w:szCs w:val="22"/>
          <w:lang w:val="fr-FR"/>
        </w:rPr>
        <w:t>expliqué</w:t>
      </w:r>
      <w:r>
        <w:rPr>
          <w:rFonts w:ascii="Arial" w:hAnsi="Arial" w:cs="Arial"/>
          <w:bCs/>
          <w:sz w:val="22"/>
          <w:szCs w:val="22"/>
          <w:lang w:val="fr-FR"/>
        </w:rPr>
        <w:t xml:space="preserve"> </w:t>
      </w:r>
      <w:r w:rsidRPr="00981E74">
        <w:rPr>
          <w:rFonts w:ascii="Arial" w:hAnsi="Arial" w:cs="Arial"/>
          <w:bCs/>
          <w:sz w:val="22"/>
          <w:szCs w:val="22"/>
          <w:lang w:val="fr-FR"/>
        </w:rPr>
        <w:t>le Panama. De cette manière, il n</w:t>
      </w:r>
      <w:r w:rsidR="008E532B">
        <w:rPr>
          <w:rFonts w:ascii="Arial" w:hAnsi="Arial" w:cs="Arial"/>
          <w:bCs/>
          <w:sz w:val="22"/>
          <w:szCs w:val="22"/>
          <w:lang w:val="fr-FR"/>
        </w:rPr>
        <w:t>’</w:t>
      </w:r>
      <w:r w:rsidRPr="00981E74">
        <w:rPr>
          <w:rFonts w:ascii="Arial" w:hAnsi="Arial" w:cs="Arial"/>
          <w:bCs/>
          <w:sz w:val="22"/>
          <w:szCs w:val="22"/>
          <w:lang w:val="fr-FR"/>
        </w:rPr>
        <w:t>y aurait pas d</w:t>
      </w:r>
      <w:r w:rsidR="008E532B">
        <w:rPr>
          <w:rFonts w:ascii="Arial" w:hAnsi="Arial" w:cs="Arial"/>
          <w:bCs/>
          <w:sz w:val="22"/>
          <w:szCs w:val="22"/>
          <w:lang w:val="fr-FR"/>
        </w:rPr>
        <w:t>’</w:t>
      </w:r>
      <w:r w:rsidRPr="00981E74">
        <w:rPr>
          <w:rFonts w:ascii="Arial" w:hAnsi="Arial" w:cs="Arial"/>
          <w:bCs/>
          <w:sz w:val="22"/>
          <w:szCs w:val="22"/>
          <w:lang w:val="fr-FR"/>
        </w:rPr>
        <w:t>application rétroactive de toute décision prise au titre du paragraphe</w:t>
      </w:r>
      <w:r>
        <w:rPr>
          <w:rFonts w:ascii="Arial" w:hAnsi="Arial" w:cs="Arial"/>
          <w:bCs/>
          <w:sz w:val="22"/>
          <w:szCs w:val="22"/>
          <w:lang w:val="fr-FR"/>
        </w:rPr>
        <w:t xml:space="preserve"> </w:t>
      </w:r>
      <w:r w:rsidRPr="00981E74">
        <w:rPr>
          <w:rFonts w:ascii="Arial" w:hAnsi="Arial" w:cs="Arial"/>
          <w:bCs/>
          <w:sz w:val="22"/>
          <w:szCs w:val="22"/>
          <w:lang w:val="fr-FR"/>
        </w:rPr>
        <w:t>7bis, ce qui signifi</w:t>
      </w:r>
      <w:r>
        <w:rPr>
          <w:rFonts w:ascii="Arial" w:hAnsi="Arial" w:cs="Arial"/>
          <w:bCs/>
          <w:sz w:val="22"/>
          <w:szCs w:val="22"/>
          <w:lang w:val="fr-FR"/>
        </w:rPr>
        <w:t xml:space="preserve">ait </w:t>
      </w:r>
      <w:r w:rsidRPr="00981E74">
        <w:rPr>
          <w:rFonts w:ascii="Arial" w:hAnsi="Arial" w:cs="Arial"/>
          <w:bCs/>
          <w:sz w:val="22"/>
          <w:szCs w:val="22"/>
          <w:lang w:val="fr-FR"/>
        </w:rPr>
        <w:t>que seul le paragraphe</w:t>
      </w:r>
      <w:r>
        <w:rPr>
          <w:rFonts w:ascii="Arial" w:hAnsi="Arial" w:cs="Arial"/>
          <w:bCs/>
          <w:sz w:val="22"/>
          <w:szCs w:val="22"/>
          <w:lang w:val="fr-FR"/>
        </w:rPr>
        <w:t xml:space="preserve"> </w:t>
      </w:r>
      <w:r w:rsidRPr="00981E74">
        <w:rPr>
          <w:rFonts w:ascii="Arial" w:hAnsi="Arial" w:cs="Arial"/>
          <w:bCs/>
          <w:sz w:val="22"/>
          <w:szCs w:val="22"/>
          <w:lang w:val="fr-FR"/>
        </w:rPr>
        <w:t>7bis serait d</w:t>
      </w:r>
      <w:r>
        <w:rPr>
          <w:rFonts w:ascii="Arial" w:hAnsi="Arial" w:cs="Arial"/>
          <w:bCs/>
          <w:sz w:val="22"/>
          <w:szCs w:val="22"/>
          <w:lang w:val="fr-FR"/>
        </w:rPr>
        <w:t>ébattu</w:t>
      </w:r>
      <w:r w:rsidRPr="00981E74">
        <w:rPr>
          <w:rFonts w:ascii="Arial" w:hAnsi="Arial" w:cs="Arial"/>
          <w:bCs/>
          <w:sz w:val="22"/>
          <w:szCs w:val="22"/>
          <w:lang w:val="fr-FR"/>
        </w:rPr>
        <w:t xml:space="preserve"> par le groupe de travail, permettant ainsi l</w:t>
      </w:r>
      <w:r w:rsidR="008E532B">
        <w:rPr>
          <w:rFonts w:ascii="Arial" w:hAnsi="Arial" w:cs="Arial"/>
          <w:bCs/>
          <w:sz w:val="22"/>
          <w:szCs w:val="22"/>
          <w:lang w:val="fr-FR"/>
        </w:rPr>
        <w:t>’</w:t>
      </w:r>
      <w:r w:rsidRPr="00981E74">
        <w:rPr>
          <w:rFonts w:ascii="Arial" w:hAnsi="Arial" w:cs="Arial"/>
          <w:bCs/>
          <w:sz w:val="22"/>
          <w:szCs w:val="22"/>
          <w:lang w:val="fr-FR"/>
        </w:rPr>
        <w:t>adoption des autres paragraphes.</w:t>
      </w:r>
    </w:p>
    <w:p w14:paraId="5236F9C5" w14:textId="2057B0A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81E74">
        <w:rPr>
          <w:rFonts w:ascii="Arial" w:hAnsi="Arial" w:cs="Arial"/>
          <w:b/>
          <w:sz w:val="22"/>
          <w:szCs w:val="22"/>
          <w:lang w:val="fr-FR"/>
        </w:rPr>
        <w:t>Présidente</w:t>
      </w:r>
      <w:r>
        <w:rPr>
          <w:rFonts w:ascii="Arial" w:hAnsi="Arial" w:cs="Arial"/>
          <w:bCs/>
          <w:sz w:val="22"/>
          <w:szCs w:val="22"/>
          <w:lang w:val="fr-FR"/>
        </w:rPr>
        <w:t xml:space="preserve"> a signalé une motion d</w:t>
      </w:r>
      <w:r w:rsidR="008E532B">
        <w:rPr>
          <w:rFonts w:ascii="Arial" w:hAnsi="Arial" w:cs="Arial"/>
          <w:bCs/>
          <w:sz w:val="22"/>
          <w:szCs w:val="22"/>
          <w:lang w:val="fr-FR"/>
        </w:rPr>
        <w:t>’</w:t>
      </w:r>
      <w:r>
        <w:rPr>
          <w:rFonts w:ascii="Arial" w:hAnsi="Arial" w:cs="Arial"/>
          <w:bCs/>
          <w:sz w:val="22"/>
          <w:szCs w:val="22"/>
          <w:lang w:val="fr-FR"/>
        </w:rPr>
        <w:t>ordre de la part de la Palestine.</w:t>
      </w:r>
    </w:p>
    <w:p w14:paraId="2218EE7C" w14:textId="3A4FF81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07489">
        <w:rPr>
          <w:rFonts w:ascii="Arial" w:hAnsi="Arial" w:cs="Arial"/>
          <w:bCs/>
          <w:sz w:val="22"/>
          <w:szCs w:val="22"/>
          <w:lang w:val="fr-FR"/>
        </w:rPr>
        <w:t xml:space="preserve">La délégation de la </w:t>
      </w:r>
      <w:r w:rsidRPr="00407489">
        <w:rPr>
          <w:rFonts w:ascii="Arial" w:hAnsi="Arial" w:cs="Arial"/>
          <w:b/>
          <w:sz w:val="22"/>
          <w:szCs w:val="22"/>
          <w:lang w:val="fr-FR"/>
        </w:rPr>
        <w:t>Palestine</w:t>
      </w:r>
      <w:r w:rsidRPr="00407489">
        <w:rPr>
          <w:rFonts w:ascii="Arial" w:hAnsi="Arial" w:cs="Arial"/>
          <w:bCs/>
          <w:sz w:val="22"/>
          <w:szCs w:val="22"/>
          <w:lang w:val="fr-FR"/>
        </w:rPr>
        <w:t xml:space="preserve"> a </w:t>
      </w:r>
      <w:r w:rsidR="006221EA">
        <w:rPr>
          <w:rFonts w:ascii="Arial" w:hAnsi="Arial" w:cs="Arial"/>
          <w:bCs/>
          <w:sz w:val="22"/>
          <w:szCs w:val="22"/>
          <w:lang w:val="fr-FR"/>
        </w:rPr>
        <w:t>demandé l’adoption du</w:t>
      </w:r>
      <w:r w:rsidRPr="00407489">
        <w:rPr>
          <w:rFonts w:ascii="Arial" w:hAnsi="Arial" w:cs="Arial"/>
          <w:bCs/>
          <w:sz w:val="22"/>
          <w:szCs w:val="22"/>
          <w:lang w:val="fr-FR"/>
        </w:rPr>
        <w:t xml:space="preserve"> paragraphe 4 avant de résoudre le paragraphe 7bis, car ils étaient toujours liés à la question de l</w:t>
      </w:r>
      <w:r w:rsidR="008E532B">
        <w:rPr>
          <w:rFonts w:ascii="Arial" w:hAnsi="Arial" w:cs="Arial"/>
          <w:bCs/>
          <w:sz w:val="22"/>
          <w:szCs w:val="22"/>
          <w:lang w:val="fr-FR"/>
        </w:rPr>
        <w:t>’</w:t>
      </w:r>
      <w:r w:rsidRPr="00407489">
        <w:rPr>
          <w:rFonts w:ascii="Arial" w:hAnsi="Arial" w:cs="Arial"/>
          <w:bCs/>
          <w:sz w:val="22"/>
          <w:szCs w:val="22"/>
          <w:lang w:val="fr-FR"/>
        </w:rPr>
        <w:t>accréditation et de l</w:t>
      </w:r>
      <w:r w:rsidR="008E532B">
        <w:rPr>
          <w:rFonts w:ascii="Arial" w:hAnsi="Arial" w:cs="Arial"/>
          <w:bCs/>
          <w:sz w:val="22"/>
          <w:szCs w:val="22"/>
          <w:lang w:val="fr-FR"/>
        </w:rPr>
        <w:t>’</w:t>
      </w:r>
      <w:r w:rsidRPr="00407489">
        <w:rPr>
          <w:rFonts w:ascii="Arial" w:hAnsi="Arial" w:cs="Arial"/>
          <w:bCs/>
          <w:sz w:val="22"/>
          <w:szCs w:val="22"/>
          <w:lang w:val="fr-FR"/>
        </w:rPr>
        <w:t>éligibilité, du moins jusqu</w:t>
      </w:r>
      <w:r w:rsidR="008E532B">
        <w:rPr>
          <w:rFonts w:ascii="Arial" w:hAnsi="Arial" w:cs="Arial"/>
          <w:bCs/>
          <w:sz w:val="22"/>
          <w:szCs w:val="22"/>
          <w:lang w:val="fr-FR"/>
        </w:rPr>
        <w:t>’</w:t>
      </w:r>
      <w:r w:rsidRPr="00407489">
        <w:rPr>
          <w:rFonts w:ascii="Arial" w:hAnsi="Arial" w:cs="Arial"/>
          <w:bCs/>
          <w:sz w:val="22"/>
          <w:szCs w:val="22"/>
          <w:lang w:val="fr-FR"/>
        </w:rPr>
        <w:t>à ce que l</w:t>
      </w:r>
      <w:r w:rsidR="008E532B">
        <w:rPr>
          <w:rFonts w:ascii="Arial" w:hAnsi="Arial" w:cs="Arial"/>
          <w:bCs/>
          <w:sz w:val="22"/>
          <w:szCs w:val="22"/>
          <w:lang w:val="fr-FR"/>
        </w:rPr>
        <w:t>’</w:t>
      </w:r>
      <w:r w:rsidRPr="00407489">
        <w:rPr>
          <w:rFonts w:ascii="Arial" w:hAnsi="Arial" w:cs="Arial"/>
          <w:bCs/>
          <w:sz w:val="22"/>
          <w:szCs w:val="22"/>
          <w:lang w:val="fr-FR"/>
        </w:rPr>
        <w:t xml:space="preserve">Assemblée parvienne à un consensus. La délégation pourrait </w:t>
      </w:r>
      <w:r>
        <w:rPr>
          <w:rFonts w:ascii="Arial" w:hAnsi="Arial" w:cs="Arial"/>
          <w:bCs/>
          <w:sz w:val="22"/>
          <w:szCs w:val="22"/>
          <w:lang w:val="fr-FR"/>
        </w:rPr>
        <w:t xml:space="preserve">être </w:t>
      </w:r>
      <w:r w:rsidRPr="00407489">
        <w:rPr>
          <w:rFonts w:ascii="Arial" w:hAnsi="Arial" w:cs="Arial"/>
          <w:bCs/>
          <w:sz w:val="22"/>
          <w:szCs w:val="22"/>
          <w:lang w:val="fr-FR"/>
        </w:rPr>
        <w:t>d</w:t>
      </w:r>
      <w:r w:rsidR="008E532B">
        <w:rPr>
          <w:rFonts w:ascii="Arial" w:hAnsi="Arial" w:cs="Arial"/>
          <w:bCs/>
          <w:sz w:val="22"/>
          <w:szCs w:val="22"/>
          <w:lang w:val="fr-FR"/>
        </w:rPr>
        <w:t>’</w:t>
      </w:r>
      <w:r w:rsidRPr="00407489">
        <w:rPr>
          <w:rFonts w:ascii="Arial" w:hAnsi="Arial" w:cs="Arial"/>
          <w:bCs/>
          <w:sz w:val="22"/>
          <w:szCs w:val="22"/>
          <w:lang w:val="fr-FR"/>
        </w:rPr>
        <w:t>accord sur la question de l</w:t>
      </w:r>
      <w:r w:rsidR="008E532B">
        <w:rPr>
          <w:rFonts w:ascii="Arial" w:hAnsi="Arial" w:cs="Arial"/>
          <w:bCs/>
          <w:sz w:val="22"/>
          <w:szCs w:val="22"/>
          <w:lang w:val="fr-FR"/>
        </w:rPr>
        <w:t>’</w:t>
      </w:r>
      <w:r w:rsidRPr="00407489">
        <w:rPr>
          <w:rFonts w:ascii="Arial" w:hAnsi="Arial" w:cs="Arial"/>
          <w:bCs/>
          <w:sz w:val="22"/>
          <w:szCs w:val="22"/>
          <w:lang w:val="fr-FR"/>
        </w:rPr>
        <w:t>accréditation si l</w:t>
      </w:r>
      <w:r w:rsidR="008E532B">
        <w:rPr>
          <w:rFonts w:ascii="Arial" w:hAnsi="Arial" w:cs="Arial"/>
          <w:bCs/>
          <w:sz w:val="22"/>
          <w:szCs w:val="22"/>
          <w:lang w:val="fr-FR"/>
        </w:rPr>
        <w:t>’</w:t>
      </w:r>
      <w:r w:rsidRPr="00407489">
        <w:rPr>
          <w:rFonts w:ascii="Arial" w:hAnsi="Arial" w:cs="Arial"/>
          <w:bCs/>
          <w:sz w:val="22"/>
          <w:szCs w:val="22"/>
          <w:lang w:val="fr-FR"/>
        </w:rPr>
        <w:t>Assemblée parvenait à un consensus sur la question de l</w:t>
      </w:r>
      <w:r w:rsidR="008E532B">
        <w:rPr>
          <w:rFonts w:ascii="Arial" w:hAnsi="Arial" w:cs="Arial"/>
          <w:bCs/>
          <w:sz w:val="22"/>
          <w:szCs w:val="22"/>
          <w:lang w:val="fr-FR"/>
        </w:rPr>
        <w:t>’</w:t>
      </w:r>
      <w:r w:rsidRPr="00407489">
        <w:rPr>
          <w:rFonts w:ascii="Arial" w:hAnsi="Arial" w:cs="Arial"/>
          <w:bCs/>
          <w:sz w:val="22"/>
          <w:szCs w:val="22"/>
          <w:lang w:val="fr-FR"/>
        </w:rPr>
        <w:t xml:space="preserve">élection. </w:t>
      </w:r>
      <w:r>
        <w:rPr>
          <w:rFonts w:ascii="Arial" w:hAnsi="Arial" w:cs="Arial"/>
          <w:bCs/>
          <w:sz w:val="22"/>
          <w:szCs w:val="22"/>
          <w:lang w:val="fr-FR"/>
        </w:rPr>
        <w:t>Entretemps</w:t>
      </w:r>
      <w:r w:rsidRPr="00407489">
        <w:rPr>
          <w:rFonts w:ascii="Arial" w:hAnsi="Arial" w:cs="Arial"/>
          <w:bCs/>
          <w:sz w:val="22"/>
          <w:szCs w:val="22"/>
          <w:lang w:val="fr-FR"/>
        </w:rPr>
        <w:t>, le paragraphe 4 resterait suspendu jusqu</w:t>
      </w:r>
      <w:r w:rsidR="008E532B">
        <w:rPr>
          <w:rFonts w:ascii="Arial" w:hAnsi="Arial" w:cs="Arial"/>
          <w:bCs/>
          <w:sz w:val="22"/>
          <w:szCs w:val="22"/>
          <w:lang w:val="fr-FR"/>
        </w:rPr>
        <w:t>’</w:t>
      </w:r>
      <w:r w:rsidRPr="00407489">
        <w:rPr>
          <w:rFonts w:ascii="Arial" w:hAnsi="Arial" w:cs="Arial"/>
          <w:bCs/>
          <w:sz w:val="22"/>
          <w:szCs w:val="22"/>
          <w:lang w:val="fr-FR"/>
        </w:rPr>
        <w:t>à ce que le paragraphe 7bis soit résolu.</w:t>
      </w:r>
    </w:p>
    <w:p w14:paraId="3181BE73" w14:textId="4EE3975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07489">
        <w:rPr>
          <w:rFonts w:ascii="Arial" w:hAnsi="Arial" w:cs="Arial"/>
          <w:bCs/>
          <w:sz w:val="22"/>
          <w:szCs w:val="22"/>
          <w:lang w:val="fr-FR"/>
        </w:rPr>
        <w:t xml:space="preserve">La </w:t>
      </w:r>
      <w:r w:rsidRPr="00407489">
        <w:rPr>
          <w:rFonts w:ascii="Arial" w:hAnsi="Arial" w:cs="Arial"/>
          <w:b/>
          <w:sz w:val="22"/>
          <w:szCs w:val="22"/>
          <w:lang w:val="fr-FR"/>
        </w:rPr>
        <w:t>Présidente</w:t>
      </w:r>
      <w:r w:rsidRPr="00407489">
        <w:rPr>
          <w:rFonts w:ascii="Arial" w:hAnsi="Arial" w:cs="Arial"/>
          <w:bCs/>
          <w:sz w:val="22"/>
          <w:szCs w:val="22"/>
          <w:lang w:val="fr-FR"/>
        </w:rPr>
        <w:t xml:space="preserve"> </w:t>
      </w:r>
      <w:r>
        <w:rPr>
          <w:rFonts w:ascii="Arial" w:hAnsi="Arial" w:cs="Arial"/>
          <w:bCs/>
          <w:sz w:val="22"/>
          <w:szCs w:val="22"/>
          <w:lang w:val="fr-FR"/>
        </w:rPr>
        <w:t xml:space="preserve">a </w:t>
      </w:r>
      <w:r w:rsidRPr="00407489">
        <w:rPr>
          <w:rFonts w:ascii="Arial" w:hAnsi="Arial" w:cs="Arial"/>
          <w:bCs/>
          <w:sz w:val="22"/>
          <w:szCs w:val="22"/>
          <w:lang w:val="fr-FR"/>
        </w:rPr>
        <w:t>propos</w:t>
      </w:r>
      <w:r>
        <w:rPr>
          <w:rFonts w:ascii="Arial" w:hAnsi="Arial" w:cs="Arial"/>
          <w:bCs/>
          <w:sz w:val="22"/>
          <w:szCs w:val="22"/>
          <w:lang w:val="fr-FR"/>
        </w:rPr>
        <w:t>é</w:t>
      </w:r>
      <w:r w:rsidRPr="00407489">
        <w:rPr>
          <w:rFonts w:ascii="Arial" w:hAnsi="Arial" w:cs="Arial"/>
          <w:bCs/>
          <w:sz w:val="22"/>
          <w:szCs w:val="22"/>
          <w:lang w:val="fr-FR"/>
        </w:rPr>
        <w:t xml:space="preserve"> d</w:t>
      </w:r>
      <w:r w:rsidR="008E532B">
        <w:rPr>
          <w:rFonts w:ascii="Arial" w:hAnsi="Arial" w:cs="Arial"/>
          <w:bCs/>
          <w:sz w:val="22"/>
          <w:szCs w:val="22"/>
          <w:lang w:val="fr-FR"/>
        </w:rPr>
        <w:t>’</w:t>
      </w:r>
      <w:r w:rsidRPr="00407489">
        <w:rPr>
          <w:rFonts w:ascii="Arial" w:hAnsi="Arial" w:cs="Arial"/>
          <w:bCs/>
          <w:sz w:val="22"/>
          <w:szCs w:val="22"/>
          <w:lang w:val="fr-FR"/>
        </w:rPr>
        <w:t>adopter les paragraphes 8 et 9 et de revenir aux paragraphes 7bis et 4 le lendemain. Le paragraphe 8 se</w:t>
      </w:r>
      <w:r>
        <w:rPr>
          <w:rFonts w:ascii="Arial" w:hAnsi="Arial" w:cs="Arial"/>
          <w:bCs/>
          <w:sz w:val="22"/>
          <w:szCs w:val="22"/>
          <w:lang w:val="fr-FR"/>
        </w:rPr>
        <w:t>rait ainsi rédigé</w:t>
      </w:r>
      <w:r w:rsidRPr="00407489">
        <w:rPr>
          <w:rFonts w:ascii="Arial" w:hAnsi="Arial" w:cs="Arial"/>
          <w:bCs/>
          <w:sz w:val="22"/>
          <w:szCs w:val="22"/>
          <w:lang w:val="fr-FR"/>
        </w:rPr>
        <w:t xml:space="preserve"> : </w:t>
      </w:r>
      <w:r>
        <w:rPr>
          <w:rFonts w:ascii="Arial" w:hAnsi="Arial" w:cs="Arial"/>
          <w:bCs/>
          <w:sz w:val="22"/>
          <w:szCs w:val="22"/>
          <w:lang w:val="fr-FR"/>
        </w:rPr>
        <w:t>« </w:t>
      </w:r>
      <w:r w:rsidRPr="00407489">
        <w:rPr>
          <w:rFonts w:ascii="Arial" w:hAnsi="Arial" w:cs="Arial"/>
          <w:bCs/>
          <w:sz w:val="22"/>
          <w:szCs w:val="22"/>
          <w:lang w:val="fr-FR"/>
        </w:rPr>
        <w:t>Rappelle aux ONG accréditées en 2010, 2014 et 2018 qu</w:t>
      </w:r>
      <w:r w:rsidR="008E532B">
        <w:rPr>
          <w:rFonts w:ascii="Arial" w:hAnsi="Arial" w:cs="Arial"/>
          <w:bCs/>
          <w:sz w:val="22"/>
          <w:szCs w:val="22"/>
          <w:lang w:val="fr-FR"/>
        </w:rPr>
        <w:t>’</w:t>
      </w:r>
      <w:r w:rsidRPr="00407489">
        <w:rPr>
          <w:rFonts w:ascii="Arial" w:hAnsi="Arial" w:cs="Arial"/>
          <w:bCs/>
          <w:sz w:val="22"/>
          <w:szCs w:val="22"/>
          <w:lang w:val="fr-FR"/>
        </w:rPr>
        <w:t xml:space="preserve">elles doivent </w:t>
      </w:r>
      <w:r>
        <w:rPr>
          <w:rFonts w:ascii="Arial" w:hAnsi="Arial" w:cs="Arial"/>
          <w:bCs/>
          <w:sz w:val="22"/>
          <w:szCs w:val="22"/>
          <w:lang w:val="fr-FR"/>
        </w:rPr>
        <w:t>présenter</w:t>
      </w:r>
      <w:r w:rsidRPr="00407489">
        <w:rPr>
          <w:rFonts w:ascii="Arial" w:hAnsi="Arial" w:cs="Arial"/>
          <w:bCs/>
          <w:sz w:val="22"/>
          <w:szCs w:val="22"/>
          <w:lang w:val="fr-FR"/>
        </w:rPr>
        <w:t xml:space="preserve"> leur rapport quadriennal au Secrétariat avant la date limite du 15 février 2023 afin que </w:t>
      </w:r>
      <w:r>
        <w:rPr>
          <w:rFonts w:ascii="Arial" w:hAnsi="Arial" w:cs="Arial"/>
          <w:bCs/>
          <w:sz w:val="22"/>
          <w:szCs w:val="22"/>
          <w:lang w:val="fr-FR"/>
        </w:rPr>
        <w:t xml:space="preserve">le </w:t>
      </w:r>
      <w:r w:rsidRPr="00407489">
        <w:rPr>
          <w:rFonts w:ascii="Arial" w:hAnsi="Arial" w:cs="Arial"/>
          <w:bCs/>
          <w:color w:val="000000" w:themeColor="text1"/>
          <w:sz w:val="22"/>
          <w:szCs w:val="22"/>
          <w:lang w:val="fr-FR"/>
        </w:rPr>
        <w:t>Comité</w:t>
      </w:r>
      <w:r>
        <w:rPr>
          <w:rFonts w:ascii="Arial" w:hAnsi="Arial" w:cs="Arial"/>
          <w:bCs/>
          <w:color w:val="000000" w:themeColor="text1"/>
          <w:sz w:val="22"/>
          <w:szCs w:val="22"/>
          <w:lang w:val="fr-FR"/>
        </w:rPr>
        <w:t xml:space="preserve"> puisse, lors de </w:t>
      </w:r>
      <w:r>
        <w:rPr>
          <w:rFonts w:ascii="Arial" w:hAnsi="Arial" w:cs="Arial"/>
          <w:bCs/>
          <w:sz w:val="22"/>
          <w:szCs w:val="22"/>
          <w:lang w:val="fr-FR"/>
        </w:rPr>
        <w:t>s</w:t>
      </w:r>
      <w:r w:rsidRPr="00407489">
        <w:rPr>
          <w:rFonts w:ascii="Arial" w:hAnsi="Arial" w:cs="Arial"/>
          <w:bCs/>
          <w:sz w:val="22"/>
          <w:szCs w:val="22"/>
          <w:lang w:val="fr-FR"/>
        </w:rPr>
        <w:t>a dix-huitième session</w:t>
      </w:r>
      <w:r>
        <w:rPr>
          <w:rFonts w:ascii="Arial" w:hAnsi="Arial" w:cs="Arial"/>
          <w:bCs/>
          <w:sz w:val="22"/>
          <w:szCs w:val="22"/>
          <w:lang w:val="fr-FR"/>
        </w:rPr>
        <w:t xml:space="preserve">, </w:t>
      </w:r>
      <w:r w:rsidRPr="00407489">
        <w:rPr>
          <w:rFonts w:ascii="Arial" w:hAnsi="Arial" w:cs="Arial"/>
          <w:bCs/>
          <w:sz w:val="22"/>
          <w:szCs w:val="22"/>
          <w:lang w:val="fr-FR"/>
        </w:rPr>
        <w:t>examiner l</w:t>
      </w:r>
      <w:r>
        <w:rPr>
          <w:rFonts w:ascii="Arial" w:hAnsi="Arial" w:cs="Arial"/>
          <w:bCs/>
          <w:sz w:val="22"/>
          <w:szCs w:val="22"/>
          <w:lang w:val="fr-FR"/>
        </w:rPr>
        <w:t>a</w:t>
      </w:r>
      <w:r w:rsidRPr="00407489">
        <w:rPr>
          <w:rFonts w:ascii="Arial" w:hAnsi="Arial" w:cs="Arial"/>
          <w:bCs/>
          <w:sz w:val="22"/>
          <w:szCs w:val="22"/>
          <w:lang w:val="fr-FR"/>
        </w:rPr>
        <w:t xml:space="preserve"> contribution et l</w:t>
      </w:r>
      <w:r w:rsidR="008E532B">
        <w:rPr>
          <w:rFonts w:ascii="Arial" w:hAnsi="Arial" w:cs="Arial"/>
          <w:bCs/>
          <w:sz w:val="22"/>
          <w:szCs w:val="22"/>
          <w:lang w:val="fr-FR"/>
        </w:rPr>
        <w:t>’</w:t>
      </w:r>
      <w:r>
        <w:rPr>
          <w:rFonts w:ascii="Arial" w:hAnsi="Arial" w:cs="Arial"/>
          <w:bCs/>
          <w:sz w:val="22"/>
          <w:szCs w:val="22"/>
          <w:lang w:val="fr-FR"/>
        </w:rPr>
        <w:t>implication</w:t>
      </w:r>
      <w:r w:rsidRPr="00407489">
        <w:rPr>
          <w:rFonts w:ascii="Arial" w:hAnsi="Arial" w:cs="Arial"/>
          <w:bCs/>
          <w:sz w:val="22"/>
          <w:szCs w:val="22"/>
          <w:lang w:val="fr-FR"/>
        </w:rPr>
        <w:t xml:space="preserve"> de chaque organisation consultative</w:t>
      </w:r>
      <w:r>
        <w:rPr>
          <w:rFonts w:ascii="Arial" w:hAnsi="Arial" w:cs="Arial"/>
          <w:bCs/>
          <w:sz w:val="22"/>
          <w:szCs w:val="22"/>
          <w:lang w:val="fr-FR"/>
        </w:rPr>
        <w:t> »</w:t>
      </w:r>
      <w:r w:rsidRPr="00407489">
        <w:rPr>
          <w:rFonts w:ascii="Arial" w:hAnsi="Arial" w:cs="Arial"/>
          <w:bCs/>
          <w:sz w:val="22"/>
          <w:szCs w:val="22"/>
          <w:lang w:val="fr-FR"/>
        </w:rPr>
        <w:t xml:space="preserve">. Il a été </w:t>
      </w:r>
      <w:r>
        <w:rPr>
          <w:rFonts w:ascii="Arial" w:hAnsi="Arial" w:cs="Arial"/>
          <w:bCs/>
          <w:sz w:val="22"/>
          <w:szCs w:val="22"/>
          <w:lang w:val="fr-FR"/>
        </w:rPr>
        <w:t xml:space="preserve">rappelé </w:t>
      </w:r>
      <w:r w:rsidRPr="00407489">
        <w:rPr>
          <w:rFonts w:ascii="Arial" w:hAnsi="Arial" w:cs="Arial"/>
          <w:bCs/>
          <w:sz w:val="22"/>
          <w:szCs w:val="22"/>
          <w:lang w:val="fr-FR"/>
        </w:rPr>
        <w:t>que le Panama avait proposé d</w:t>
      </w:r>
      <w:r w:rsidR="008E532B">
        <w:rPr>
          <w:rFonts w:ascii="Arial" w:hAnsi="Arial" w:cs="Arial"/>
          <w:bCs/>
          <w:sz w:val="22"/>
          <w:szCs w:val="22"/>
          <w:lang w:val="fr-FR"/>
        </w:rPr>
        <w:t>’</w:t>
      </w:r>
      <w:r w:rsidRPr="00407489">
        <w:rPr>
          <w:rFonts w:ascii="Arial" w:hAnsi="Arial" w:cs="Arial"/>
          <w:bCs/>
          <w:sz w:val="22"/>
          <w:szCs w:val="22"/>
          <w:lang w:val="fr-FR"/>
        </w:rPr>
        <w:t>ajouter un texte qui se</w:t>
      </w:r>
      <w:r>
        <w:rPr>
          <w:rFonts w:ascii="Arial" w:hAnsi="Arial" w:cs="Arial"/>
          <w:bCs/>
          <w:sz w:val="22"/>
          <w:szCs w:val="22"/>
          <w:lang w:val="fr-FR"/>
        </w:rPr>
        <w:t>rait ainsi rédigé</w:t>
      </w:r>
      <w:r w:rsidRPr="00407489">
        <w:rPr>
          <w:rFonts w:ascii="Arial" w:hAnsi="Arial" w:cs="Arial"/>
          <w:bCs/>
          <w:sz w:val="22"/>
          <w:szCs w:val="22"/>
          <w:lang w:val="fr-FR"/>
        </w:rPr>
        <w:t xml:space="preserve"> : </w:t>
      </w:r>
      <w:r>
        <w:rPr>
          <w:rFonts w:ascii="Arial" w:hAnsi="Arial" w:cs="Arial"/>
          <w:bCs/>
          <w:sz w:val="22"/>
          <w:szCs w:val="22"/>
          <w:lang w:val="fr-FR"/>
        </w:rPr>
        <w:t>« </w:t>
      </w:r>
      <w:r w:rsidRPr="00066AC2">
        <w:rPr>
          <w:rFonts w:ascii="Arial" w:hAnsi="Arial" w:cs="Arial"/>
          <w:bCs/>
          <w:sz w:val="22"/>
          <w:szCs w:val="22"/>
          <w:lang w:val="fr-FR"/>
        </w:rPr>
        <w:t>et décide</w:t>
      </w:r>
      <w:r>
        <w:rPr>
          <w:rFonts w:ascii="Arial" w:hAnsi="Arial" w:cs="Arial"/>
          <w:bCs/>
          <w:sz w:val="22"/>
          <w:szCs w:val="22"/>
          <w:lang w:val="fr-FR"/>
        </w:rPr>
        <w:t>r</w:t>
      </w:r>
      <w:r w:rsidRPr="00066AC2">
        <w:rPr>
          <w:rFonts w:ascii="Arial" w:hAnsi="Arial" w:cs="Arial"/>
          <w:bCs/>
          <w:sz w:val="22"/>
          <w:szCs w:val="22"/>
          <w:lang w:val="fr-FR"/>
        </w:rPr>
        <w:t xml:space="preserve"> de </w:t>
      </w:r>
      <w:r>
        <w:rPr>
          <w:rFonts w:ascii="Arial" w:hAnsi="Arial" w:cs="Arial"/>
          <w:bCs/>
          <w:sz w:val="22"/>
          <w:szCs w:val="22"/>
          <w:lang w:val="fr-FR"/>
        </w:rPr>
        <w:t>leurs</w:t>
      </w:r>
      <w:r w:rsidRPr="00066AC2">
        <w:rPr>
          <w:rFonts w:ascii="Arial" w:hAnsi="Arial" w:cs="Arial"/>
          <w:bCs/>
          <w:sz w:val="22"/>
          <w:szCs w:val="22"/>
          <w:lang w:val="fr-FR"/>
        </w:rPr>
        <w:t xml:space="preserve"> relations futures avec la Convention</w:t>
      </w:r>
      <w:r>
        <w:rPr>
          <w:rFonts w:ascii="Arial" w:hAnsi="Arial" w:cs="Arial"/>
          <w:bCs/>
          <w:sz w:val="22"/>
          <w:szCs w:val="22"/>
          <w:lang w:val="fr-FR"/>
        </w:rPr>
        <w:t xml:space="preserve"> en vertu des </w:t>
      </w:r>
      <w:r w:rsidRPr="00447A71">
        <w:rPr>
          <w:rFonts w:ascii="Arial" w:hAnsi="Arial" w:cs="Arial"/>
          <w:bCs/>
          <w:sz w:val="22"/>
          <w:szCs w:val="22"/>
          <w:lang w:val="fr-FR"/>
        </w:rPr>
        <w:t>dispositio</w:t>
      </w:r>
      <w:r>
        <w:rPr>
          <w:rFonts w:ascii="Arial" w:hAnsi="Arial" w:cs="Arial"/>
          <w:bCs/>
          <w:sz w:val="22"/>
          <w:szCs w:val="22"/>
          <w:lang w:val="fr-FR"/>
        </w:rPr>
        <w:t xml:space="preserve">ns du </w:t>
      </w:r>
      <w:r w:rsidRPr="00447A71">
        <w:rPr>
          <w:rFonts w:ascii="Arial" w:hAnsi="Arial" w:cs="Arial"/>
          <w:bCs/>
          <w:sz w:val="22"/>
          <w:szCs w:val="22"/>
          <w:lang w:val="fr-FR"/>
        </w:rPr>
        <w:t>paragraphe</w:t>
      </w:r>
      <w:r w:rsidRPr="00066AC2">
        <w:rPr>
          <w:rFonts w:ascii="Arial" w:hAnsi="Arial" w:cs="Arial"/>
          <w:bCs/>
          <w:sz w:val="22"/>
          <w:szCs w:val="22"/>
          <w:lang w:val="fr-FR"/>
        </w:rPr>
        <w:t xml:space="preserve"> 95 des Directives opérationnelles</w:t>
      </w:r>
      <w:r>
        <w:rPr>
          <w:rFonts w:ascii="Arial" w:hAnsi="Arial" w:cs="Arial"/>
          <w:bCs/>
          <w:sz w:val="22"/>
          <w:szCs w:val="22"/>
          <w:lang w:val="fr-FR"/>
        </w:rPr>
        <w:t> ».</w:t>
      </w:r>
    </w:p>
    <w:p w14:paraId="59740C7B" w14:textId="0BF0A99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82AA2">
        <w:rPr>
          <w:rFonts w:ascii="Arial" w:hAnsi="Arial" w:cs="Arial"/>
          <w:bCs/>
          <w:sz w:val="22"/>
          <w:szCs w:val="22"/>
          <w:lang w:val="fr-FR"/>
        </w:rPr>
        <w:t xml:space="preserve">La délégation </w:t>
      </w:r>
      <w:r>
        <w:rPr>
          <w:rFonts w:ascii="Arial" w:hAnsi="Arial" w:cs="Arial"/>
          <w:bCs/>
          <w:sz w:val="22"/>
          <w:szCs w:val="22"/>
          <w:lang w:val="fr-FR"/>
        </w:rPr>
        <w:t xml:space="preserve">de la </w:t>
      </w:r>
      <w:r w:rsidRPr="006D154E">
        <w:rPr>
          <w:rFonts w:ascii="Arial" w:hAnsi="Arial" w:cs="Arial"/>
          <w:b/>
          <w:sz w:val="22"/>
          <w:szCs w:val="22"/>
          <w:lang w:val="fr-FR"/>
        </w:rPr>
        <w:t>République bolivarienne du Venezuela</w:t>
      </w:r>
      <w:r>
        <w:rPr>
          <w:rFonts w:ascii="Arial" w:hAnsi="Arial" w:cs="Arial"/>
          <w:bCs/>
          <w:sz w:val="22"/>
          <w:szCs w:val="22"/>
          <w:lang w:val="fr-FR"/>
        </w:rPr>
        <w:t xml:space="preserve"> a </w:t>
      </w:r>
      <w:r w:rsidRPr="00E82AA2">
        <w:rPr>
          <w:rFonts w:ascii="Arial" w:hAnsi="Arial" w:cs="Arial"/>
          <w:bCs/>
          <w:sz w:val="22"/>
          <w:szCs w:val="22"/>
          <w:lang w:val="fr-FR"/>
        </w:rPr>
        <w:t>remerci</w:t>
      </w:r>
      <w:r>
        <w:rPr>
          <w:rFonts w:ascii="Arial" w:hAnsi="Arial" w:cs="Arial"/>
          <w:bCs/>
          <w:sz w:val="22"/>
          <w:szCs w:val="22"/>
          <w:lang w:val="fr-FR"/>
        </w:rPr>
        <w:t>é</w:t>
      </w:r>
      <w:r w:rsidRPr="00E82AA2">
        <w:rPr>
          <w:rFonts w:ascii="Arial" w:hAnsi="Arial" w:cs="Arial"/>
          <w:bCs/>
          <w:sz w:val="22"/>
          <w:szCs w:val="22"/>
          <w:lang w:val="fr-FR"/>
        </w:rPr>
        <w:t xml:space="preserve"> le Panama pour sa proposition mais </w:t>
      </w:r>
      <w:r>
        <w:rPr>
          <w:rFonts w:ascii="Arial" w:hAnsi="Arial" w:cs="Arial"/>
          <w:bCs/>
          <w:sz w:val="22"/>
          <w:szCs w:val="22"/>
          <w:lang w:val="fr-FR"/>
        </w:rPr>
        <w:t xml:space="preserve">elle </w:t>
      </w:r>
      <w:r w:rsidRPr="00E82AA2">
        <w:rPr>
          <w:rFonts w:ascii="Arial" w:hAnsi="Arial" w:cs="Arial"/>
          <w:bCs/>
          <w:sz w:val="22"/>
          <w:szCs w:val="22"/>
          <w:lang w:val="fr-FR"/>
        </w:rPr>
        <w:t>préf</w:t>
      </w:r>
      <w:r>
        <w:rPr>
          <w:rFonts w:ascii="Arial" w:hAnsi="Arial" w:cs="Arial"/>
          <w:bCs/>
          <w:sz w:val="22"/>
          <w:szCs w:val="22"/>
          <w:lang w:val="fr-FR"/>
        </w:rPr>
        <w:t>érait</w:t>
      </w:r>
      <w:r w:rsidRPr="00E82AA2">
        <w:rPr>
          <w:rFonts w:ascii="Arial" w:hAnsi="Arial" w:cs="Arial"/>
          <w:bCs/>
          <w:sz w:val="22"/>
          <w:szCs w:val="22"/>
          <w:lang w:val="fr-FR"/>
        </w:rPr>
        <w:t xml:space="preserve"> la supprimer car, au cours des trois dernières heures, il </w:t>
      </w:r>
      <w:r>
        <w:rPr>
          <w:rFonts w:ascii="Arial" w:hAnsi="Arial" w:cs="Arial"/>
          <w:bCs/>
          <w:sz w:val="22"/>
          <w:szCs w:val="22"/>
          <w:lang w:val="fr-FR"/>
        </w:rPr>
        <w:t>était</w:t>
      </w:r>
      <w:r w:rsidRPr="00E82AA2">
        <w:rPr>
          <w:rFonts w:ascii="Arial" w:hAnsi="Arial" w:cs="Arial"/>
          <w:bCs/>
          <w:sz w:val="22"/>
          <w:szCs w:val="22"/>
          <w:lang w:val="fr-FR"/>
        </w:rPr>
        <w:t xml:space="preserve"> apparu clairement qu</w:t>
      </w:r>
      <w:r w:rsidR="008E532B">
        <w:rPr>
          <w:rFonts w:ascii="Arial" w:hAnsi="Arial" w:cs="Arial"/>
          <w:bCs/>
          <w:sz w:val="22"/>
          <w:szCs w:val="22"/>
          <w:lang w:val="fr-FR"/>
        </w:rPr>
        <w:t>’</w:t>
      </w:r>
      <w:r w:rsidRPr="00E82AA2">
        <w:rPr>
          <w:rFonts w:ascii="Arial" w:hAnsi="Arial" w:cs="Arial"/>
          <w:bCs/>
          <w:sz w:val="22"/>
          <w:szCs w:val="22"/>
          <w:lang w:val="fr-FR"/>
        </w:rPr>
        <w:t>il exist</w:t>
      </w:r>
      <w:r>
        <w:rPr>
          <w:rFonts w:ascii="Arial" w:hAnsi="Arial" w:cs="Arial"/>
          <w:bCs/>
          <w:sz w:val="22"/>
          <w:szCs w:val="22"/>
          <w:lang w:val="fr-FR"/>
        </w:rPr>
        <w:t>ait</w:t>
      </w:r>
      <w:r w:rsidRPr="00E82AA2">
        <w:rPr>
          <w:rFonts w:ascii="Arial" w:hAnsi="Arial" w:cs="Arial"/>
          <w:bCs/>
          <w:sz w:val="22"/>
          <w:szCs w:val="22"/>
          <w:lang w:val="fr-FR"/>
        </w:rPr>
        <w:t xml:space="preserve"> une diversité d</w:t>
      </w:r>
      <w:r w:rsidR="008E532B">
        <w:rPr>
          <w:rFonts w:ascii="Arial" w:hAnsi="Arial" w:cs="Arial"/>
          <w:bCs/>
          <w:sz w:val="22"/>
          <w:szCs w:val="22"/>
          <w:lang w:val="fr-FR"/>
        </w:rPr>
        <w:t>’</w:t>
      </w:r>
      <w:r w:rsidRPr="00E82AA2">
        <w:rPr>
          <w:rFonts w:ascii="Arial" w:hAnsi="Arial" w:cs="Arial"/>
          <w:bCs/>
          <w:sz w:val="22"/>
          <w:szCs w:val="22"/>
          <w:lang w:val="fr-FR"/>
        </w:rPr>
        <w:t xml:space="preserve">interprétations </w:t>
      </w:r>
      <w:r>
        <w:rPr>
          <w:rFonts w:ascii="Arial" w:hAnsi="Arial" w:cs="Arial"/>
          <w:bCs/>
          <w:sz w:val="22"/>
          <w:szCs w:val="22"/>
          <w:lang w:val="fr-FR"/>
        </w:rPr>
        <w:t>quant à</w:t>
      </w:r>
      <w:r w:rsidRPr="00E82AA2">
        <w:rPr>
          <w:rFonts w:ascii="Arial" w:hAnsi="Arial" w:cs="Arial"/>
          <w:bCs/>
          <w:sz w:val="22"/>
          <w:szCs w:val="22"/>
          <w:lang w:val="fr-FR"/>
        </w:rPr>
        <w:t xml:space="preserve"> la relation avec les ONG. En outre, l</w:t>
      </w:r>
      <w:r w:rsidR="008E532B">
        <w:rPr>
          <w:rFonts w:ascii="Arial" w:hAnsi="Arial" w:cs="Arial"/>
          <w:bCs/>
          <w:sz w:val="22"/>
          <w:szCs w:val="22"/>
          <w:lang w:val="fr-FR"/>
        </w:rPr>
        <w:t>’</w:t>
      </w:r>
      <w:r w:rsidRPr="00E82AA2">
        <w:rPr>
          <w:rFonts w:ascii="Arial" w:hAnsi="Arial" w:cs="Arial"/>
          <w:bCs/>
          <w:sz w:val="22"/>
          <w:szCs w:val="22"/>
          <w:lang w:val="fr-FR"/>
        </w:rPr>
        <w:t>Assemblée ne connaissait pas le résultat de la décision du groupe de travail informel et il serait donc plus facile de supprimer simplement l</w:t>
      </w:r>
      <w:r w:rsidR="008E532B">
        <w:rPr>
          <w:rFonts w:ascii="Arial" w:hAnsi="Arial" w:cs="Arial"/>
          <w:bCs/>
          <w:sz w:val="22"/>
          <w:szCs w:val="22"/>
          <w:lang w:val="fr-FR"/>
        </w:rPr>
        <w:t>’</w:t>
      </w:r>
      <w:r w:rsidRPr="00E82AA2">
        <w:rPr>
          <w:rFonts w:ascii="Arial" w:hAnsi="Arial" w:cs="Arial"/>
          <w:bCs/>
          <w:sz w:val="22"/>
          <w:szCs w:val="22"/>
          <w:lang w:val="fr-FR"/>
        </w:rPr>
        <w:t>amendement</w:t>
      </w:r>
      <w:r>
        <w:rPr>
          <w:rFonts w:ascii="Arial" w:hAnsi="Arial" w:cs="Arial"/>
          <w:bCs/>
          <w:sz w:val="22"/>
          <w:szCs w:val="22"/>
          <w:lang w:val="fr-FR"/>
        </w:rPr>
        <w:t xml:space="preserve"> et de garder le libellé original.</w:t>
      </w:r>
    </w:p>
    <w:p w14:paraId="540FA831" w14:textId="44F4100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82AA2">
        <w:rPr>
          <w:rFonts w:ascii="Arial" w:hAnsi="Arial" w:cs="Arial"/>
          <w:bCs/>
          <w:sz w:val="22"/>
          <w:szCs w:val="22"/>
          <w:lang w:val="fr-FR"/>
        </w:rPr>
        <w:t xml:space="preserve">La délégation du </w:t>
      </w:r>
      <w:r w:rsidRPr="00E82AA2">
        <w:rPr>
          <w:rFonts w:ascii="Arial" w:hAnsi="Arial" w:cs="Arial"/>
          <w:b/>
          <w:sz w:val="22"/>
          <w:szCs w:val="22"/>
          <w:lang w:val="fr-FR"/>
        </w:rPr>
        <w:t>Panama</w:t>
      </w:r>
      <w:r w:rsidRPr="00E82AA2">
        <w:rPr>
          <w:rFonts w:ascii="Arial" w:hAnsi="Arial" w:cs="Arial"/>
          <w:bCs/>
          <w:sz w:val="22"/>
          <w:szCs w:val="22"/>
          <w:lang w:val="fr-FR"/>
        </w:rPr>
        <w:t xml:space="preserve"> </w:t>
      </w:r>
      <w:r>
        <w:rPr>
          <w:rFonts w:ascii="Arial" w:hAnsi="Arial" w:cs="Arial"/>
          <w:bCs/>
          <w:sz w:val="22"/>
          <w:szCs w:val="22"/>
          <w:lang w:val="fr-FR"/>
        </w:rPr>
        <w:t>pensait</w:t>
      </w:r>
      <w:r w:rsidRPr="00E82AA2">
        <w:rPr>
          <w:rFonts w:ascii="Arial" w:hAnsi="Arial" w:cs="Arial"/>
          <w:bCs/>
          <w:sz w:val="22"/>
          <w:szCs w:val="22"/>
          <w:lang w:val="fr-FR"/>
        </w:rPr>
        <w:t xml:space="preserve"> qu</w:t>
      </w:r>
      <w:r w:rsidR="008E532B">
        <w:rPr>
          <w:rFonts w:ascii="Arial" w:hAnsi="Arial" w:cs="Arial"/>
          <w:bCs/>
          <w:sz w:val="22"/>
          <w:szCs w:val="22"/>
          <w:lang w:val="fr-FR"/>
        </w:rPr>
        <w:t>’</w:t>
      </w:r>
      <w:r w:rsidRPr="00E82AA2">
        <w:rPr>
          <w:rFonts w:ascii="Arial" w:hAnsi="Arial" w:cs="Arial"/>
          <w:bCs/>
          <w:sz w:val="22"/>
          <w:szCs w:val="22"/>
          <w:lang w:val="fr-FR"/>
        </w:rPr>
        <w:t>il s</w:t>
      </w:r>
      <w:r w:rsidR="008E532B">
        <w:rPr>
          <w:rFonts w:ascii="Arial" w:hAnsi="Arial" w:cs="Arial"/>
          <w:bCs/>
          <w:sz w:val="22"/>
          <w:szCs w:val="22"/>
          <w:lang w:val="fr-FR"/>
        </w:rPr>
        <w:t>’</w:t>
      </w:r>
      <w:r w:rsidRPr="00E82AA2">
        <w:rPr>
          <w:rFonts w:ascii="Arial" w:hAnsi="Arial" w:cs="Arial"/>
          <w:bCs/>
          <w:sz w:val="22"/>
          <w:szCs w:val="22"/>
          <w:lang w:val="fr-FR"/>
        </w:rPr>
        <w:t>agi</w:t>
      </w:r>
      <w:r>
        <w:rPr>
          <w:rFonts w:ascii="Arial" w:hAnsi="Arial" w:cs="Arial"/>
          <w:bCs/>
          <w:sz w:val="22"/>
          <w:szCs w:val="22"/>
          <w:lang w:val="fr-FR"/>
        </w:rPr>
        <w:t>ssai</w:t>
      </w:r>
      <w:r w:rsidRPr="00E82AA2">
        <w:rPr>
          <w:rFonts w:ascii="Arial" w:hAnsi="Arial" w:cs="Arial"/>
          <w:bCs/>
          <w:sz w:val="22"/>
          <w:szCs w:val="22"/>
          <w:lang w:val="fr-FR"/>
        </w:rPr>
        <w:t>t d</w:t>
      </w:r>
      <w:r w:rsidR="008E532B">
        <w:rPr>
          <w:rFonts w:ascii="Arial" w:hAnsi="Arial" w:cs="Arial"/>
          <w:bCs/>
          <w:sz w:val="22"/>
          <w:szCs w:val="22"/>
          <w:lang w:val="fr-FR"/>
        </w:rPr>
        <w:t>’</w:t>
      </w:r>
      <w:r w:rsidRPr="00E82AA2">
        <w:rPr>
          <w:rFonts w:ascii="Arial" w:hAnsi="Arial" w:cs="Arial"/>
          <w:bCs/>
          <w:sz w:val="22"/>
          <w:szCs w:val="22"/>
          <w:lang w:val="fr-FR"/>
        </w:rPr>
        <w:t>un amendement important et nécessaire pour se conformer au paragraphe 95 des Directives opérationnelles. Les rapports soumis par les ONG donn</w:t>
      </w:r>
      <w:r>
        <w:rPr>
          <w:rFonts w:ascii="Arial" w:hAnsi="Arial" w:cs="Arial"/>
          <w:bCs/>
          <w:sz w:val="22"/>
          <w:szCs w:val="22"/>
          <w:lang w:val="fr-FR"/>
        </w:rPr>
        <w:t>ai</w:t>
      </w:r>
      <w:r w:rsidRPr="00E82AA2">
        <w:rPr>
          <w:rFonts w:ascii="Arial" w:hAnsi="Arial" w:cs="Arial"/>
          <w:bCs/>
          <w:sz w:val="22"/>
          <w:szCs w:val="22"/>
          <w:lang w:val="fr-FR"/>
        </w:rPr>
        <w:t>ent une légitimité à leur compétence et à leur travail sur le terrain avec les communautés. Les ONG d</w:t>
      </w:r>
      <w:r>
        <w:rPr>
          <w:rFonts w:ascii="Arial" w:hAnsi="Arial" w:cs="Arial"/>
          <w:bCs/>
          <w:sz w:val="22"/>
          <w:szCs w:val="22"/>
          <w:lang w:val="fr-FR"/>
        </w:rPr>
        <w:t>evaient</w:t>
      </w:r>
      <w:r w:rsidRPr="00E82AA2">
        <w:rPr>
          <w:rFonts w:ascii="Arial" w:hAnsi="Arial" w:cs="Arial"/>
          <w:bCs/>
          <w:sz w:val="22"/>
          <w:szCs w:val="22"/>
          <w:lang w:val="fr-FR"/>
        </w:rPr>
        <w:t xml:space="preserve"> présenter un rapport tous les quatre ans, mais certaines d</w:t>
      </w:r>
      <w:r w:rsidR="008E532B">
        <w:rPr>
          <w:rFonts w:ascii="Arial" w:hAnsi="Arial" w:cs="Arial"/>
          <w:bCs/>
          <w:sz w:val="22"/>
          <w:szCs w:val="22"/>
          <w:lang w:val="fr-FR"/>
        </w:rPr>
        <w:t>’</w:t>
      </w:r>
      <w:r w:rsidRPr="00E82AA2">
        <w:rPr>
          <w:rFonts w:ascii="Arial" w:hAnsi="Arial" w:cs="Arial"/>
          <w:bCs/>
          <w:sz w:val="22"/>
          <w:szCs w:val="22"/>
          <w:lang w:val="fr-FR"/>
        </w:rPr>
        <w:t>entre elles n</w:t>
      </w:r>
      <w:r w:rsidR="008E532B">
        <w:rPr>
          <w:rFonts w:ascii="Arial" w:hAnsi="Arial" w:cs="Arial"/>
          <w:bCs/>
          <w:sz w:val="22"/>
          <w:szCs w:val="22"/>
          <w:lang w:val="fr-FR"/>
        </w:rPr>
        <w:t>’</w:t>
      </w:r>
      <w:r>
        <w:rPr>
          <w:rFonts w:ascii="Arial" w:hAnsi="Arial" w:cs="Arial"/>
          <w:bCs/>
          <w:sz w:val="22"/>
          <w:szCs w:val="22"/>
          <w:lang w:val="fr-FR"/>
        </w:rPr>
        <w:t>étaient pas parvenues à soumettre leurs rapports. Or,</w:t>
      </w:r>
      <w:r w:rsidRPr="00E82AA2">
        <w:rPr>
          <w:rFonts w:ascii="Arial" w:hAnsi="Arial" w:cs="Arial"/>
          <w:bCs/>
          <w:sz w:val="22"/>
          <w:szCs w:val="22"/>
          <w:lang w:val="fr-FR"/>
        </w:rPr>
        <w:t xml:space="preserve"> le rôle du Comité </w:t>
      </w:r>
      <w:r>
        <w:rPr>
          <w:rFonts w:ascii="Arial" w:hAnsi="Arial" w:cs="Arial"/>
          <w:bCs/>
          <w:sz w:val="22"/>
          <w:szCs w:val="22"/>
          <w:lang w:val="fr-FR"/>
        </w:rPr>
        <w:t>était</w:t>
      </w:r>
      <w:r w:rsidRPr="00E82AA2">
        <w:rPr>
          <w:rFonts w:ascii="Arial" w:hAnsi="Arial" w:cs="Arial"/>
          <w:bCs/>
          <w:sz w:val="22"/>
          <w:szCs w:val="22"/>
          <w:lang w:val="fr-FR"/>
        </w:rPr>
        <w:t xml:space="preserve"> de recevoir et d</w:t>
      </w:r>
      <w:r w:rsidR="008E532B">
        <w:rPr>
          <w:rFonts w:ascii="Arial" w:hAnsi="Arial" w:cs="Arial"/>
          <w:bCs/>
          <w:sz w:val="22"/>
          <w:szCs w:val="22"/>
          <w:lang w:val="fr-FR"/>
        </w:rPr>
        <w:t>’</w:t>
      </w:r>
      <w:r w:rsidRPr="00E82AA2">
        <w:rPr>
          <w:rFonts w:ascii="Arial" w:hAnsi="Arial" w:cs="Arial"/>
          <w:bCs/>
          <w:sz w:val="22"/>
          <w:szCs w:val="22"/>
          <w:lang w:val="fr-FR"/>
        </w:rPr>
        <w:t>examiner les rapports et de décider de leurs relations futures, comme stipul</w:t>
      </w:r>
      <w:r>
        <w:rPr>
          <w:rFonts w:ascii="Arial" w:hAnsi="Arial" w:cs="Arial"/>
          <w:bCs/>
          <w:sz w:val="22"/>
          <w:szCs w:val="22"/>
          <w:lang w:val="fr-FR"/>
        </w:rPr>
        <w:t>é au</w:t>
      </w:r>
      <w:r w:rsidRPr="00E82AA2">
        <w:rPr>
          <w:rFonts w:ascii="Arial" w:hAnsi="Arial" w:cs="Arial"/>
          <w:bCs/>
          <w:sz w:val="22"/>
          <w:szCs w:val="22"/>
          <w:lang w:val="fr-FR"/>
        </w:rPr>
        <w:t xml:space="preserve"> paragraphe 95 des Directives opérationnelles. </w:t>
      </w:r>
      <w:r>
        <w:rPr>
          <w:rFonts w:ascii="Arial" w:hAnsi="Arial" w:cs="Arial"/>
          <w:bCs/>
          <w:sz w:val="22"/>
          <w:szCs w:val="22"/>
          <w:lang w:val="fr-FR"/>
        </w:rPr>
        <w:t xml:space="preserve">À </w:t>
      </w:r>
      <w:r w:rsidRPr="00E82AA2">
        <w:rPr>
          <w:rFonts w:ascii="Arial" w:hAnsi="Arial" w:cs="Arial"/>
          <w:bCs/>
          <w:sz w:val="22"/>
          <w:szCs w:val="22"/>
          <w:lang w:val="fr-FR"/>
        </w:rPr>
        <w:t>aucun moment au cours de ce débat, des doutes n</w:t>
      </w:r>
      <w:r w:rsidR="008E532B">
        <w:rPr>
          <w:rFonts w:ascii="Arial" w:hAnsi="Arial" w:cs="Arial"/>
          <w:bCs/>
          <w:sz w:val="22"/>
          <w:szCs w:val="22"/>
          <w:lang w:val="fr-FR"/>
        </w:rPr>
        <w:t>’</w:t>
      </w:r>
      <w:r>
        <w:rPr>
          <w:rFonts w:ascii="Arial" w:hAnsi="Arial" w:cs="Arial"/>
          <w:bCs/>
          <w:sz w:val="22"/>
          <w:szCs w:val="22"/>
          <w:lang w:val="fr-FR"/>
        </w:rPr>
        <w:t>avaient</w:t>
      </w:r>
      <w:r w:rsidRPr="00E82AA2">
        <w:rPr>
          <w:rFonts w:ascii="Arial" w:hAnsi="Arial" w:cs="Arial"/>
          <w:bCs/>
          <w:sz w:val="22"/>
          <w:szCs w:val="22"/>
          <w:lang w:val="fr-FR"/>
        </w:rPr>
        <w:t xml:space="preserve"> été exprimés sur le paragraphe 95 des Directives opérationnelles. La proposition de la Palestine ne se rapportait pas au paragraphe 95 et n</w:t>
      </w:r>
      <w:r w:rsidR="008E532B">
        <w:rPr>
          <w:rFonts w:ascii="Arial" w:hAnsi="Arial" w:cs="Arial"/>
          <w:bCs/>
          <w:sz w:val="22"/>
          <w:szCs w:val="22"/>
          <w:lang w:val="fr-FR"/>
        </w:rPr>
        <w:t>’</w:t>
      </w:r>
      <w:r w:rsidRPr="00E82AA2">
        <w:rPr>
          <w:rFonts w:ascii="Arial" w:hAnsi="Arial" w:cs="Arial"/>
          <w:bCs/>
          <w:sz w:val="22"/>
          <w:szCs w:val="22"/>
          <w:lang w:val="fr-FR"/>
        </w:rPr>
        <w:t>a</w:t>
      </w:r>
      <w:r>
        <w:rPr>
          <w:rFonts w:ascii="Arial" w:hAnsi="Arial" w:cs="Arial"/>
          <w:bCs/>
          <w:sz w:val="22"/>
          <w:szCs w:val="22"/>
          <w:lang w:val="fr-FR"/>
        </w:rPr>
        <w:t>vait aucune incidence sur celui-ci</w:t>
      </w:r>
      <w:r w:rsidRPr="00E82AA2">
        <w:rPr>
          <w:rFonts w:ascii="Arial" w:hAnsi="Arial" w:cs="Arial"/>
          <w:bCs/>
          <w:sz w:val="22"/>
          <w:szCs w:val="22"/>
          <w:lang w:val="fr-FR"/>
        </w:rPr>
        <w:t>. Le Panama</w:t>
      </w:r>
      <w:r>
        <w:rPr>
          <w:rFonts w:ascii="Arial" w:hAnsi="Arial" w:cs="Arial"/>
          <w:bCs/>
          <w:sz w:val="22"/>
          <w:szCs w:val="22"/>
          <w:lang w:val="fr-FR"/>
        </w:rPr>
        <w:t xml:space="preserve"> ne souscrivait donc pas à</w:t>
      </w:r>
      <w:r w:rsidRPr="00E82AA2">
        <w:rPr>
          <w:rFonts w:ascii="Arial" w:hAnsi="Arial" w:cs="Arial"/>
          <w:bCs/>
          <w:sz w:val="22"/>
          <w:szCs w:val="22"/>
          <w:lang w:val="fr-FR"/>
        </w:rPr>
        <w:t xml:space="preserve"> la proposition d</w:t>
      </w:r>
      <w:r>
        <w:rPr>
          <w:rFonts w:ascii="Arial" w:hAnsi="Arial" w:cs="Arial"/>
          <w:bCs/>
          <w:sz w:val="22"/>
          <w:szCs w:val="22"/>
          <w:lang w:val="fr-FR"/>
        </w:rPr>
        <w:t xml:space="preserve">e la République bolivarienne du Venezuela </w:t>
      </w:r>
      <w:r w:rsidRPr="00E82AA2">
        <w:rPr>
          <w:rFonts w:ascii="Arial" w:hAnsi="Arial" w:cs="Arial"/>
          <w:bCs/>
          <w:sz w:val="22"/>
          <w:szCs w:val="22"/>
          <w:lang w:val="fr-FR"/>
        </w:rPr>
        <w:t>de retirer son amendement, ajoutant qu</w:t>
      </w:r>
      <w:r w:rsidR="008E532B">
        <w:rPr>
          <w:rFonts w:ascii="Arial" w:hAnsi="Arial" w:cs="Arial"/>
          <w:bCs/>
          <w:sz w:val="22"/>
          <w:szCs w:val="22"/>
          <w:lang w:val="fr-FR"/>
        </w:rPr>
        <w:t>’</w:t>
      </w:r>
      <w:r w:rsidRPr="00E82AA2">
        <w:rPr>
          <w:rFonts w:ascii="Arial" w:hAnsi="Arial" w:cs="Arial"/>
          <w:bCs/>
          <w:sz w:val="22"/>
          <w:szCs w:val="22"/>
          <w:lang w:val="fr-FR"/>
        </w:rPr>
        <w:t>il était nécessaire non seulement d</w:t>
      </w:r>
      <w:r w:rsidR="008E532B">
        <w:rPr>
          <w:rFonts w:ascii="Arial" w:hAnsi="Arial" w:cs="Arial"/>
          <w:bCs/>
          <w:sz w:val="22"/>
          <w:szCs w:val="22"/>
          <w:lang w:val="fr-FR"/>
        </w:rPr>
        <w:t>’</w:t>
      </w:r>
      <w:r w:rsidRPr="00E82AA2">
        <w:rPr>
          <w:rFonts w:ascii="Arial" w:hAnsi="Arial" w:cs="Arial"/>
          <w:bCs/>
          <w:sz w:val="22"/>
          <w:szCs w:val="22"/>
          <w:lang w:val="fr-FR"/>
        </w:rPr>
        <w:t>examiner le travail effectué par les ONG mais aussi de décider de l</w:t>
      </w:r>
      <w:r w:rsidR="008E532B">
        <w:rPr>
          <w:rFonts w:ascii="Arial" w:hAnsi="Arial" w:cs="Arial"/>
          <w:bCs/>
          <w:sz w:val="22"/>
          <w:szCs w:val="22"/>
          <w:lang w:val="fr-FR"/>
        </w:rPr>
        <w:t>’</w:t>
      </w:r>
      <w:r w:rsidRPr="00E82AA2">
        <w:rPr>
          <w:rFonts w:ascii="Arial" w:hAnsi="Arial" w:cs="Arial"/>
          <w:bCs/>
          <w:sz w:val="22"/>
          <w:szCs w:val="22"/>
          <w:lang w:val="fr-FR"/>
        </w:rPr>
        <w:t>avenir des relations entre ces ONG et la Convention.</w:t>
      </w:r>
    </w:p>
    <w:p w14:paraId="77B45403"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52C21">
        <w:rPr>
          <w:rFonts w:ascii="Arial" w:hAnsi="Arial" w:cs="Arial"/>
          <w:b/>
          <w:sz w:val="22"/>
          <w:szCs w:val="22"/>
          <w:lang w:val="fr-FR"/>
        </w:rPr>
        <w:t>Présidente</w:t>
      </w:r>
      <w:r>
        <w:rPr>
          <w:rFonts w:ascii="Arial" w:hAnsi="Arial" w:cs="Arial"/>
          <w:bCs/>
          <w:sz w:val="22"/>
          <w:szCs w:val="22"/>
          <w:lang w:val="fr-FR"/>
        </w:rPr>
        <w:t xml:space="preserve"> a demandé à la République bolivarienne du Venezuela si elle était disposée à retirer sa </w:t>
      </w:r>
      <w:r w:rsidRPr="00F52C21">
        <w:rPr>
          <w:rFonts w:ascii="Arial" w:hAnsi="Arial" w:cs="Arial"/>
          <w:bCs/>
          <w:sz w:val="22"/>
          <w:szCs w:val="22"/>
          <w:lang w:val="fr-FR"/>
        </w:rPr>
        <w:t>proposition</w:t>
      </w:r>
      <w:r>
        <w:rPr>
          <w:rFonts w:ascii="Arial" w:hAnsi="Arial" w:cs="Arial"/>
          <w:bCs/>
          <w:sz w:val="22"/>
          <w:szCs w:val="22"/>
          <w:lang w:val="fr-FR"/>
        </w:rPr>
        <w:t xml:space="preserve"> compte tenu de la détermination du Panama à maintenir son </w:t>
      </w:r>
      <w:r w:rsidRPr="00F52C21">
        <w:rPr>
          <w:rFonts w:ascii="Arial" w:hAnsi="Arial" w:cs="Arial"/>
          <w:bCs/>
          <w:sz w:val="22"/>
          <w:szCs w:val="22"/>
          <w:lang w:val="fr-FR"/>
        </w:rPr>
        <w:t>amendement</w:t>
      </w:r>
      <w:r>
        <w:rPr>
          <w:rFonts w:ascii="Arial" w:hAnsi="Arial" w:cs="Arial"/>
          <w:bCs/>
          <w:sz w:val="22"/>
          <w:szCs w:val="22"/>
          <w:lang w:val="fr-FR"/>
        </w:rPr>
        <w:t>.</w:t>
      </w:r>
    </w:p>
    <w:p w14:paraId="5C07ECBA" w14:textId="2004AF2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52C21">
        <w:rPr>
          <w:rFonts w:ascii="Arial" w:hAnsi="Arial" w:cs="Arial"/>
          <w:bCs/>
          <w:sz w:val="22"/>
          <w:szCs w:val="22"/>
          <w:lang w:val="fr-FR"/>
        </w:rPr>
        <w:t>La délégation d</w:t>
      </w:r>
      <w:r>
        <w:rPr>
          <w:rFonts w:ascii="Arial" w:hAnsi="Arial" w:cs="Arial"/>
          <w:bCs/>
          <w:sz w:val="22"/>
          <w:szCs w:val="22"/>
          <w:lang w:val="fr-FR"/>
        </w:rPr>
        <w:t xml:space="preserve">e la </w:t>
      </w:r>
      <w:r w:rsidRPr="006D154E">
        <w:rPr>
          <w:rFonts w:ascii="Arial" w:hAnsi="Arial" w:cs="Arial"/>
          <w:b/>
          <w:sz w:val="22"/>
          <w:szCs w:val="22"/>
          <w:lang w:val="fr-FR"/>
        </w:rPr>
        <w:t>République bolivarienne du Venezuela</w:t>
      </w:r>
      <w:r>
        <w:rPr>
          <w:rFonts w:ascii="Arial" w:hAnsi="Arial" w:cs="Arial"/>
          <w:bCs/>
          <w:sz w:val="22"/>
          <w:szCs w:val="22"/>
          <w:lang w:val="fr-FR"/>
        </w:rPr>
        <w:t xml:space="preserve"> qui comprenait </w:t>
      </w:r>
      <w:r w:rsidRPr="00F52C21">
        <w:rPr>
          <w:rFonts w:ascii="Arial" w:hAnsi="Arial" w:cs="Arial"/>
          <w:bCs/>
          <w:sz w:val="22"/>
          <w:szCs w:val="22"/>
          <w:lang w:val="fr-FR"/>
        </w:rPr>
        <w:t>les préoccupations exprimées par le Panama</w:t>
      </w:r>
      <w:r>
        <w:rPr>
          <w:rFonts w:ascii="Arial" w:hAnsi="Arial" w:cs="Arial"/>
          <w:bCs/>
          <w:sz w:val="22"/>
          <w:szCs w:val="22"/>
          <w:lang w:val="fr-FR"/>
        </w:rPr>
        <w:t>,</w:t>
      </w:r>
      <w:r w:rsidRPr="00F52C21">
        <w:rPr>
          <w:rFonts w:ascii="Arial" w:hAnsi="Arial" w:cs="Arial"/>
          <w:bCs/>
          <w:sz w:val="22"/>
          <w:szCs w:val="22"/>
          <w:lang w:val="fr-FR"/>
        </w:rPr>
        <w:t xml:space="preserve"> a suggéré de revoir la formulation pour la simplifier. Plutôt que </w:t>
      </w:r>
      <w:r>
        <w:rPr>
          <w:rFonts w:ascii="Arial" w:hAnsi="Arial" w:cs="Arial"/>
          <w:bCs/>
          <w:sz w:val="22"/>
          <w:szCs w:val="22"/>
          <w:lang w:val="fr-FR"/>
        </w:rPr>
        <w:t>« </w:t>
      </w:r>
      <w:r w:rsidRPr="00F52C21">
        <w:rPr>
          <w:rFonts w:ascii="Arial" w:hAnsi="Arial" w:cs="Arial"/>
          <w:bCs/>
          <w:sz w:val="22"/>
          <w:szCs w:val="22"/>
          <w:lang w:val="fr-FR"/>
        </w:rPr>
        <w:t xml:space="preserve">et décider de </w:t>
      </w:r>
      <w:r>
        <w:rPr>
          <w:rFonts w:ascii="Arial" w:hAnsi="Arial" w:cs="Arial"/>
          <w:bCs/>
          <w:sz w:val="22"/>
          <w:szCs w:val="22"/>
          <w:lang w:val="fr-FR"/>
        </w:rPr>
        <w:t>ses</w:t>
      </w:r>
      <w:r w:rsidRPr="00F52C21">
        <w:rPr>
          <w:rFonts w:ascii="Arial" w:hAnsi="Arial" w:cs="Arial"/>
          <w:bCs/>
          <w:sz w:val="22"/>
          <w:szCs w:val="22"/>
          <w:lang w:val="fr-FR"/>
        </w:rPr>
        <w:t xml:space="preserve"> relations futures</w:t>
      </w:r>
      <w:r>
        <w:rPr>
          <w:rFonts w:ascii="Arial" w:hAnsi="Arial" w:cs="Arial"/>
          <w:bCs/>
          <w:sz w:val="22"/>
          <w:szCs w:val="22"/>
          <w:lang w:val="fr-FR"/>
        </w:rPr>
        <w:t> »</w:t>
      </w:r>
      <w:r w:rsidRPr="00F52C21">
        <w:rPr>
          <w:rFonts w:ascii="Arial" w:hAnsi="Arial" w:cs="Arial"/>
          <w:bCs/>
          <w:sz w:val="22"/>
          <w:szCs w:val="22"/>
          <w:lang w:val="fr-FR"/>
        </w:rPr>
        <w:t xml:space="preserve">, la délégation a proposé </w:t>
      </w:r>
      <w:r>
        <w:rPr>
          <w:rFonts w:ascii="Arial" w:hAnsi="Arial" w:cs="Arial"/>
          <w:bCs/>
          <w:sz w:val="22"/>
          <w:szCs w:val="22"/>
          <w:lang w:val="fr-FR"/>
        </w:rPr>
        <w:t>« </w:t>
      </w:r>
      <w:r w:rsidRPr="00F52C21">
        <w:rPr>
          <w:rFonts w:ascii="Arial" w:hAnsi="Arial" w:cs="Arial"/>
          <w:bCs/>
          <w:sz w:val="22"/>
          <w:szCs w:val="22"/>
          <w:lang w:val="fr-FR"/>
        </w:rPr>
        <w:t>gardant à l</w:t>
      </w:r>
      <w:r w:rsidR="008E532B">
        <w:rPr>
          <w:rFonts w:ascii="Arial" w:hAnsi="Arial" w:cs="Arial"/>
          <w:bCs/>
          <w:sz w:val="22"/>
          <w:szCs w:val="22"/>
          <w:lang w:val="fr-FR"/>
        </w:rPr>
        <w:t>’</w:t>
      </w:r>
      <w:r w:rsidRPr="00F52C21">
        <w:rPr>
          <w:rFonts w:ascii="Arial" w:hAnsi="Arial" w:cs="Arial"/>
          <w:bCs/>
          <w:sz w:val="22"/>
          <w:szCs w:val="22"/>
          <w:lang w:val="fr-FR"/>
        </w:rPr>
        <w:t xml:space="preserve">esprit </w:t>
      </w:r>
      <w:r>
        <w:rPr>
          <w:rFonts w:ascii="Arial" w:hAnsi="Arial" w:cs="Arial"/>
          <w:bCs/>
          <w:sz w:val="22"/>
          <w:szCs w:val="22"/>
          <w:lang w:val="fr-FR"/>
        </w:rPr>
        <w:t xml:space="preserve">les </w:t>
      </w:r>
      <w:r w:rsidRPr="00F52C21">
        <w:rPr>
          <w:rFonts w:ascii="Arial" w:hAnsi="Arial" w:cs="Arial"/>
          <w:bCs/>
          <w:sz w:val="22"/>
          <w:szCs w:val="22"/>
          <w:lang w:val="fr-FR"/>
        </w:rPr>
        <w:t>dispositio</w:t>
      </w:r>
      <w:r>
        <w:rPr>
          <w:rFonts w:ascii="Arial" w:hAnsi="Arial" w:cs="Arial"/>
          <w:bCs/>
          <w:sz w:val="22"/>
          <w:szCs w:val="22"/>
          <w:lang w:val="fr-FR"/>
        </w:rPr>
        <w:t>ns du</w:t>
      </w:r>
      <w:r w:rsidRPr="00F52C21">
        <w:rPr>
          <w:rFonts w:ascii="Arial" w:hAnsi="Arial" w:cs="Arial"/>
          <w:bCs/>
          <w:sz w:val="22"/>
          <w:szCs w:val="22"/>
          <w:lang w:val="fr-FR"/>
        </w:rPr>
        <w:t xml:space="preserve"> paragraphe 95 des Directives opérationnelles</w:t>
      </w:r>
      <w:r>
        <w:rPr>
          <w:rFonts w:ascii="Arial" w:hAnsi="Arial" w:cs="Arial"/>
          <w:bCs/>
          <w:sz w:val="22"/>
          <w:szCs w:val="22"/>
          <w:lang w:val="fr-FR"/>
        </w:rPr>
        <w:t> »</w:t>
      </w:r>
      <w:r w:rsidRPr="00F52C21">
        <w:rPr>
          <w:rFonts w:ascii="Arial" w:hAnsi="Arial" w:cs="Arial"/>
          <w:bCs/>
          <w:sz w:val="22"/>
          <w:szCs w:val="22"/>
          <w:lang w:val="fr-FR"/>
        </w:rPr>
        <w:t>. Cela perm</w:t>
      </w:r>
      <w:r>
        <w:rPr>
          <w:rFonts w:ascii="Arial" w:hAnsi="Arial" w:cs="Arial"/>
          <w:bCs/>
          <w:sz w:val="22"/>
          <w:szCs w:val="22"/>
          <w:lang w:val="fr-FR"/>
        </w:rPr>
        <w:t>ettait</w:t>
      </w:r>
      <w:r w:rsidRPr="00F52C21">
        <w:rPr>
          <w:rFonts w:ascii="Arial" w:hAnsi="Arial" w:cs="Arial"/>
          <w:bCs/>
          <w:sz w:val="22"/>
          <w:szCs w:val="22"/>
          <w:lang w:val="fr-FR"/>
        </w:rPr>
        <w:t xml:space="preserve"> d</w:t>
      </w:r>
      <w:r w:rsidR="008E532B">
        <w:rPr>
          <w:rFonts w:ascii="Arial" w:hAnsi="Arial" w:cs="Arial"/>
          <w:bCs/>
          <w:sz w:val="22"/>
          <w:szCs w:val="22"/>
          <w:lang w:val="fr-FR"/>
        </w:rPr>
        <w:t>’</w:t>
      </w:r>
      <w:r w:rsidRPr="00F52C21">
        <w:rPr>
          <w:rFonts w:ascii="Arial" w:hAnsi="Arial" w:cs="Arial"/>
          <w:bCs/>
          <w:sz w:val="22"/>
          <w:szCs w:val="22"/>
          <w:lang w:val="fr-FR"/>
        </w:rPr>
        <w:t xml:space="preserve">apaiser les inquiétudes du Panama, tout en évitant </w:t>
      </w:r>
      <w:r>
        <w:rPr>
          <w:rFonts w:ascii="Arial" w:hAnsi="Arial" w:cs="Arial"/>
          <w:bCs/>
          <w:sz w:val="22"/>
          <w:szCs w:val="22"/>
          <w:lang w:val="fr-FR"/>
        </w:rPr>
        <w:t xml:space="preserve">de préjuger des </w:t>
      </w:r>
      <w:r w:rsidRPr="00F52C21">
        <w:rPr>
          <w:rFonts w:ascii="Arial" w:hAnsi="Arial" w:cs="Arial"/>
          <w:bCs/>
          <w:sz w:val="22"/>
          <w:szCs w:val="22"/>
          <w:lang w:val="fr-FR"/>
        </w:rPr>
        <w:t>résultat</w:t>
      </w:r>
      <w:r>
        <w:rPr>
          <w:rFonts w:ascii="Arial" w:hAnsi="Arial" w:cs="Arial"/>
          <w:bCs/>
          <w:sz w:val="22"/>
          <w:szCs w:val="22"/>
          <w:lang w:val="fr-FR"/>
        </w:rPr>
        <w:t>s</w:t>
      </w:r>
      <w:r w:rsidRPr="00F52C21">
        <w:rPr>
          <w:rFonts w:ascii="Arial" w:hAnsi="Arial" w:cs="Arial"/>
          <w:bCs/>
          <w:sz w:val="22"/>
          <w:szCs w:val="22"/>
          <w:lang w:val="fr-FR"/>
        </w:rPr>
        <w:t xml:space="preserve"> d</w:t>
      </w:r>
      <w:r>
        <w:rPr>
          <w:rFonts w:ascii="Arial" w:hAnsi="Arial" w:cs="Arial"/>
          <w:bCs/>
          <w:sz w:val="22"/>
          <w:szCs w:val="22"/>
          <w:lang w:val="fr-FR"/>
        </w:rPr>
        <w:t>u débat</w:t>
      </w:r>
      <w:r w:rsidRPr="00F52C21">
        <w:rPr>
          <w:rFonts w:ascii="Arial" w:hAnsi="Arial" w:cs="Arial"/>
          <w:bCs/>
          <w:sz w:val="22"/>
          <w:szCs w:val="22"/>
          <w:lang w:val="fr-FR"/>
        </w:rPr>
        <w:t xml:space="preserve"> du groupe informel.</w:t>
      </w:r>
    </w:p>
    <w:p w14:paraId="37117C4E" w14:textId="7CBBAB0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81F2F">
        <w:rPr>
          <w:rFonts w:ascii="Arial" w:hAnsi="Arial" w:cs="Arial"/>
          <w:bCs/>
          <w:sz w:val="22"/>
          <w:szCs w:val="22"/>
          <w:lang w:val="fr-FR"/>
        </w:rPr>
        <w:t xml:space="preserve">La délégation de la </w:t>
      </w:r>
      <w:r w:rsidRPr="00681F2F">
        <w:rPr>
          <w:rFonts w:ascii="Arial" w:hAnsi="Arial" w:cs="Arial"/>
          <w:b/>
          <w:sz w:val="22"/>
          <w:szCs w:val="22"/>
          <w:lang w:val="fr-FR"/>
        </w:rPr>
        <w:t>République arabe syrienne</w:t>
      </w:r>
      <w:r w:rsidRPr="00681F2F">
        <w:rPr>
          <w:rFonts w:ascii="Arial" w:hAnsi="Arial" w:cs="Arial"/>
          <w:bCs/>
          <w:sz w:val="22"/>
          <w:szCs w:val="22"/>
          <w:lang w:val="fr-FR"/>
        </w:rPr>
        <w:t xml:space="preserve"> a remercié le Panama et l</w:t>
      </w:r>
      <w:r>
        <w:rPr>
          <w:rFonts w:ascii="Arial" w:hAnsi="Arial" w:cs="Arial"/>
          <w:bCs/>
          <w:sz w:val="22"/>
          <w:szCs w:val="22"/>
          <w:lang w:val="fr-FR"/>
        </w:rPr>
        <w:t xml:space="preserve">a République bolivarienne du Venezuela </w:t>
      </w:r>
      <w:r w:rsidRPr="00681F2F">
        <w:rPr>
          <w:rFonts w:ascii="Arial" w:hAnsi="Arial" w:cs="Arial"/>
          <w:bCs/>
          <w:sz w:val="22"/>
          <w:szCs w:val="22"/>
          <w:lang w:val="fr-FR"/>
        </w:rPr>
        <w:t>pour leurs explications</w:t>
      </w:r>
      <w:r>
        <w:rPr>
          <w:rFonts w:ascii="Arial" w:hAnsi="Arial" w:cs="Arial"/>
          <w:bCs/>
          <w:sz w:val="22"/>
          <w:szCs w:val="22"/>
          <w:lang w:val="fr-FR"/>
        </w:rPr>
        <w:t xml:space="preserve"> et a </w:t>
      </w:r>
      <w:r w:rsidRPr="00681F2F">
        <w:rPr>
          <w:rFonts w:ascii="Arial" w:hAnsi="Arial" w:cs="Arial"/>
          <w:bCs/>
          <w:sz w:val="22"/>
          <w:szCs w:val="22"/>
          <w:lang w:val="fr-FR"/>
        </w:rPr>
        <w:t>conven</w:t>
      </w:r>
      <w:r>
        <w:rPr>
          <w:rFonts w:ascii="Arial" w:hAnsi="Arial" w:cs="Arial"/>
          <w:bCs/>
          <w:sz w:val="22"/>
          <w:szCs w:val="22"/>
          <w:lang w:val="fr-FR"/>
        </w:rPr>
        <w:t>u</w:t>
      </w:r>
      <w:r w:rsidRPr="00681F2F">
        <w:rPr>
          <w:rFonts w:ascii="Arial" w:hAnsi="Arial" w:cs="Arial"/>
          <w:bCs/>
          <w:sz w:val="22"/>
          <w:szCs w:val="22"/>
          <w:lang w:val="fr-FR"/>
        </w:rPr>
        <w:t xml:space="preserve"> que la proposition du Panama était effectivement très pertinente. Dans </w:t>
      </w:r>
      <w:r>
        <w:rPr>
          <w:rFonts w:ascii="Arial" w:hAnsi="Arial" w:cs="Arial"/>
          <w:bCs/>
          <w:sz w:val="22"/>
          <w:szCs w:val="22"/>
          <w:lang w:val="fr-FR"/>
        </w:rPr>
        <w:t xml:space="preserve">un </w:t>
      </w:r>
      <w:r w:rsidRPr="00681F2F">
        <w:rPr>
          <w:rFonts w:ascii="Arial" w:hAnsi="Arial" w:cs="Arial"/>
          <w:bCs/>
          <w:sz w:val="22"/>
          <w:szCs w:val="22"/>
          <w:lang w:val="fr-FR"/>
        </w:rPr>
        <w:t>esprit du consensus, l</w:t>
      </w:r>
      <w:r w:rsidR="008E532B">
        <w:rPr>
          <w:rFonts w:ascii="Arial" w:hAnsi="Arial" w:cs="Arial"/>
          <w:bCs/>
          <w:sz w:val="22"/>
          <w:szCs w:val="22"/>
          <w:lang w:val="fr-FR"/>
        </w:rPr>
        <w:t>’</w:t>
      </w:r>
      <w:r w:rsidRPr="00681F2F">
        <w:rPr>
          <w:rFonts w:ascii="Arial" w:hAnsi="Arial" w:cs="Arial"/>
          <w:bCs/>
          <w:sz w:val="22"/>
          <w:szCs w:val="22"/>
          <w:lang w:val="fr-FR"/>
        </w:rPr>
        <w:t>amendement révisé par l</w:t>
      </w:r>
      <w:r>
        <w:rPr>
          <w:rFonts w:ascii="Arial" w:hAnsi="Arial" w:cs="Arial"/>
          <w:bCs/>
          <w:sz w:val="22"/>
          <w:szCs w:val="22"/>
          <w:lang w:val="fr-FR"/>
        </w:rPr>
        <w:t>a République bolivarienne du Venezuela</w:t>
      </w:r>
      <w:r w:rsidRPr="00681F2F">
        <w:rPr>
          <w:rFonts w:ascii="Arial" w:hAnsi="Arial" w:cs="Arial"/>
          <w:bCs/>
          <w:sz w:val="22"/>
          <w:szCs w:val="22"/>
          <w:lang w:val="fr-FR"/>
        </w:rPr>
        <w:t xml:space="preserve"> </w:t>
      </w:r>
      <w:r>
        <w:rPr>
          <w:rFonts w:ascii="Arial" w:hAnsi="Arial" w:cs="Arial"/>
          <w:bCs/>
          <w:sz w:val="22"/>
          <w:szCs w:val="22"/>
          <w:lang w:val="fr-FR"/>
        </w:rPr>
        <w:t>était</w:t>
      </w:r>
      <w:r w:rsidRPr="00681F2F">
        <w:rPr>
          <w:rFonts w:ascii="Arial" w:hAnsi="Arial" w:cs="Arial"/>
          <w:bCs/>
          <w:sz w:val="22"/>
          <w:szCs w:val="22"/>
          <w:lang w:val="fr-FR"/>
        </w:rPr>
        <w:t xml:space="preserve"> acceptable. Avant l</w:t>
      </w:r>
      <w:r w:rsidR="008E532B">
        <w:rPr>
          <w:rFonts w:ascii="Arial" w:hAnsi="Arial" w:cs="Arial"/>
          <w:bCs/>
          <w:sz w:val="22"/>
          <w:szCs w:val="22"/>
          <w:lang w:val="fr-FR"/>
        </w:rPr>
        <w:t>’</w:t>
      </w:r>
      <w:r w:rsidRPr="00681F2F">
        <w:rPr>
          <w:rFonts w:ascii="Arial" w:hAnsi="Arial" w:cs="Arial"/>
          <w:bCs/>
          <w:sz w:val="22"/>
          <w:szCs w:val="22"/>
          <w:lang w:val="fr-FR"/>
        </w:rPr>
        <w:t>intervention d</w:t>
      </w:r>
      <w:r>
        <w:rPr>
          <w:rFonts w:ascii="Arial" w:hAnsi="Arial" w:cs="Arial"/>
          <w:bCs/>
          <w:sz w:val="22"/>
          <w:szCs w:val="22"/>
          <w:lang w:val="fr-FR"/>
        </w:rPr>
        <w:t>e la République bolivarienne du Venezuela</w:t>
      </w:r>
      <w:r w:rsidRPr="00681F2F">
        <w:rPr>
          <w:rFonts w:ascii="Arial" w:hAnsi="Arial" w:cs="Arial"/>
          <w:bCs/>
          <w:sz w:val="22"/>
          <w:szCs w:val="22"/>
          <w:lang w:val="fr-FR"/>
        </w:rPr>
        <w:t>, la délégation avait souhaité attirer l</w:t>
      </w:r>
      <w:r w:rsidR="008E532B">
        <w:rPr>
          <w:rFonts w:ascii="Arial" w:hAnsi="Arial" w:cs="Arial"/>
          <w:bCs/>
          <w:sz w:val="22"/>
          <w:szCs w:val="22"/>
          <w:lang w:val="fr-FR"/>
        </w:rPr>
        <w:t>’</w:t>
      </w:r>
      <w:r w:rsidRPr="00681F2F">
        <w:rPr>
          <w:rFonts w:ascii="Arial" w:hAnsi="Arial" w:cs="Arial"/>
          <w:bCs/>
          <w:sz w:val="22"/>
          <w:szCs w:val="22"/>
          <w:lang w:val="fr-FR"/>
        </w:rPr>
        <w:t>attention sur le fait que la phrase ne faisait aucune référence à une situation très spécifique</w:t>
      </w:r>
      <w:r>
        <w:rPr>
          <w:rFonts w:ascii="Arial" w:hAnsi="Arial" w:cs="Arial"/>
          <w:bCs/>
          <w:sz w:val="22"/>
          <w:szCs w:val="22"/>
          <w:lang w:val="fr-FR"/>
        </w:rPr>
        <w:t>, celle</w:t>
      </w:r>
      <w:r w:rsidRPr="00681F2F">
        <w:rPr>
          <w:rFonts w:ascii="Arial" w:hAnsi="Arial" w:cs="Arial"/>
          <w:bCs/>
          <w:sz w:val="22"/>
          <w:szCs w:val="22"/>
          <w:lang w:val="fr-FR"/>
        </w:rPr>
        <w:t xml:space="preserve"> des ONG accréditées en 2010 puis en 2014 </w:t>
      </w:r>
      <w:r>
        <w:rPr>
          <w:rFonts w:ascii="Arial" w:hAnsi="Arial" w:cs="Arial"/>
          <w:bCs/>
          <w:sz w:val="22"/>
          <w:szCs w:val="22"/>
          <w:lang w:val="fr-FR"/>
        </w:rPr>
        <w:t xml:space="preserve">qui </w:t>
      </w:r>
      <w:r w:rsidRPr="00681F2F">
        <w:rPr>
          <w:rFonts w:ascii="Arial" w:hAnsi="Arial" w:cs="Arial"/>
          <w:bCs/>
          <w:sz w:val="22"/>
          <w:szCs w:val="22"/>
          <w:lang w:val="fr-FR"/>
        </w:rPr>
        <w:t>n</w:t>
      </w:r>
      <w:r w:rsidR="008E532B">
        <w:rPr>
          <w:rFonts w:ascii="Arial" w:hAnsi="Arial" w:cs="Arial"/>
          <w:bCs/>
          <w:sz w:val="22"/>
          <w:szCs w:val="22"/>
          <w:lang w:val="fr-FR"/>
        </w:rPr>
        <w:t>’</w:t>
      </w:r>
      <w:r w:rsidRPr="00681F2F">
        <w:rPr>
          <w:rFonts w:ascii="Arial" w:hAnsi="Arial" w:cs="Arial"/>
          <w:bCs/>
          <w:sz w:val="22"/>
          <w:szCs w:val="22"/>
          <w:lang w:val="fr-FR"/>
        </w:rPr>
        <w:t>avaient pas encore soumis leurs rapport</w:t>
      </w:r>
      <w:r>
        <w:rPr>
          <w:rFonts w:ascii="Arial" w:hAnsi="Arial" w:cs="Arial"/>
          <w:bCs/>
          <w:sz w:val="22"/>
          <w:szCs w:val="22"/>
          <w:lang w:val="fr-FR"/>
        </w:rPr>
        <w:t>s, commettant ainsi une</w:t>
      </w:r>
      <w:r w:rsidRPr="00681F2F">
        <w:rPr>
          <w:rFonts w:ascii="Arial" w:hAnsi="Arial" w:cs="Arial"/>
          <w:bCs/>
          <w:sz w:val="22"/>
          <w:szCs w:val="22"/>
          <w:lang w:val="fr-FR"/>
        </w:rPr>
        <w:t xml:space="preserve"> infraction </w:t>
      </w:r>
      <w:r>
        <w:rPr>
          <w:rFonts w:ascii="Arial" w:hAnsi="Arial" w:cs="Arial"/>
          <w:bCs/>
          <w:sz w:val="22"/>
          <w:szCs w:val="22"/>
          <w:lang w:val="fr-FR"/>
        </w:rPr>
        <w:t>au</w:t>
      </w:r>
      <w:r w:rsidRPr="00681F2F">
        <w:rPr>
          <w:rFonts w:ascii="Arial" w:hAnsi="Arial" w:cs="Arial"/>
          <w:bCs/>
          <w:sz w:val="22"/>
          <w:szCs w:val="22"/>
          <w:lang w:val="fr-FR"/>
        </w:rPr>
        <w:t xml:space="preserve"> paragraphe 95 des Directives opérationnelles. Mais elle pouvait également accepter de faire simplement référence aux Directives opérationnelles dans la résolution.</w:t>
      </w:r>
    </w:p>
    <w:p w14:paraId="34DA82EB" w14:textId="469C9A3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681F2F">
        <w:rPr>
          <w:rFonts w:ascii="Arial" w:hAnsi="Arial" w:cs="Arial"/>
          <w:b/>
          <w:sz w:val="22"/>
          <w:szCs w:val="22"/>
          <w:lang w:val="fr-FR"/>
        </w:rPr>
        <w:t>Présidente</w:t>
      </w:r>
      <w:r>
        <w:rPr>
          <w:rFonts w:ascii="Arial" w:hAnsi="Arial" w:cs="Arial"/>
          <w:bCs/>
          <w:sz w:val="22"/>
          <w:szCs w:val="22"/>
          <w:lang w:val="fr-FR"/>
        </w:rPr>
        <w:t xml:space="preserve"> a demandé au Panama s</w:t>
      </w:r>
      <w:r w:rsidR="008E532B">
        <w:rPr>
          <w:rFonts w:ascii="Arial" w:hAnsi="Arial" w:cs="Arial"/>
          <w:bCs/>
          <w:sz w:val="22"/>
          <w:szCs w:val="22"/>
          <w:lang w:val="fr-FR"/>
        </w:rPr>
        <w:t>’</w:t>
      </w:r>
      <w:r>
        <w:rPr>
          <w:rFonts w:ascii="Arial" w:hAnsi="Arial" w:cs="Arial"/>
          <w:bCs/>
          <w:sz w:val="22"/>
          <w:szCs w:val="22"/>
          <w:lang w:val="fr-FR"/>
        </w:rPr>
        <w:t xml:space="preserve">il pouvait accepter la nouvelle </w:t>
      </w:r>
      <w:r w:rsidRPr="00681F2F">
        <w:rPr>
          <w:rFonts w:ascii="Arial" w:hAnsi="Arial" w:cs="Arial"/>
          <w:bCs/>
          <w:sz w:val="22"/>
          <w:szCs w:val="22"/>
          <w:lang w:val="fr-FR"/>
        </w:rPr>
        <w:t>proposition</w:t>
      </w:r>
      <w:r>
        <w:rPr>
          <w:rFonts w:ascii="Arial" w:hAnsi="Arial" w:cs="Arial"/>
          <w:bCs/>
          <w:sz w:val="22"/>
          <w:szCs w:val="22"/>
          <w:lang w:val="fr-FR"/>
        </w:rPr>
        <w:t xml:space="preserve"> de la République bolivarienne du Venezuela.</w:t>
      </w:r>
    </w:p>
    <w:p w14:paraId="3DDD4F42"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Compte tenu du temps limité, la </w:t>
      </w:r>
      <w:r w:rsidRPr="00681F2F">
        <w:rPr>
          <w:rFonts w:ascii="Arial" w:hAnsi="Arial" w:cs="Arial"/>
          <w:bCs/>
          <w:sz w:val="22"/>
          <w:szCs w:val="22"/>
          <w:lang w:val="fr-FR"/>
        </w:rPr>
        <w:t>délégation</w:t>
      </w:r>
      <w:r>
        <w:rPr>
          <w:rFonts w:ascii="Arial" w:hAnsi="Arial" w:cs="Arial"/>
          <w:bCs/>
          <w:sz w:val="22"/>
          <w:szCs w:val="22"/>
          <w:lang w:val="fr-FR"/>
        </w:rPr>
        <w:t xml:space="preserve"> du </w:t>
      </w:r>
      <w:r w:rsidRPr="00681F2F">
        <w:rPr>
          <w:rFonts w:ascii="Arial" w:hAnsi="Arial" w:cs="Arial"/>
          <w:b/>
          <w:sz w:val="22"/>
          <w:szCs w:val="22"/>
          <w:lang w:val="fr-FR"/>
        </w:rPr>
        <w:t>Panama</w:t>
      </w:r>
      <w:r>
        <w:rPr>
          <w:rFonts w:ascii="Arial" w:hAnsi="Arial" w:cs="Arial"/>
          <w:bCs/>
          <w:sz w:val="22"/>
          <w:szCs w:val="22"/>
          <w:lang w:val="fr-FR"/>
        </w:rPr>
        <w:t xml:space="preserve"> était prête à accepter la </w:t>
      </w:r>
      <w:r w:rsidRPr="00681F2F">
        <w:rPr>
          <w:rFonts w:ascii="Arial" w:hAnsi="Arial" w:cs="Arial"/>
          <w:bCs/>
          <w:sz w:val="22"/>
          <w:szCs w:val="22"/>
          <w:lang w:val="fr-FR"/>
        </w:rPr>
        <w:t>proposition</w:t>
      </w:r>
      <w:r>
        <w:rPr>
          <w:rFonts w:ascii="Arial" w:hAnsi="Arial" w:cs="Arial"/>
          <w:bCs/>
          <w:sz w:val="22"/>
          <w:szCs w:val="22"/>
          <w:lang w:val="fr-FR"/>
        </w:rPr>
        <w:t>.</w:t>
      </w:r>
    </w:p>
    <w:p w14:paraId="6E36614E" w14:textId="1F67D88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81F2F">
        <w:rPr>
          <w:rFonts w:ascii="Arial" w:hAnsi="Arial" w:cs="Arial"/>
          <w:bCs/>
          <w:sz w:val="22"/>
          <w:szCs w:val="22"/>
          <w:lang w:val="fr-FR"/>
        </w:rPr>
        <w:t xml:space="preserve">La </w:t>
      </w:r>
      <w:r w:rsidRPr="00447A71">
        <w:rPr>
          <w:rFonts w:ascii="Arial" w:hAnsi="Arial" w:cs="Arial"/>
          <w:b/>
          <w:sz w:val="22"/>
          <w:szCs w:val="22"/>
          <w:lang w:val="fr-FR"/>
        </w:rPr>
        <w:t>Présidente</w:t>
      </w:r>
      <w:r w:rsidRPr="00681F2F">
        <w:rPr>
          <w:rFonts w:ascii="Arial" w:hAnsi="Arial" w:cs="Arial"/>
          <w:bCs/>
          <w:sz w:val="22"/>
          <w:szCs w:val="22"/>
          <w:lang w:val="fr-FR"/>
        </w:rPr>
        <w:t xml:space="preserve"> </w:t>
      </w:r>
      <w:r>
        <w:rPr>
          <w:rFonts w:ascii="Arial" w:hAnsi="Arial" w:cs="Arial"/>
          <w:bCs/>
          <w:sz w:val="22"/>
          <w:szCs w:val="22"/>
          <w:lang w:val="fr-FR"/>
        </w:rPr>
        <w:t>n</w:t>
      </w:r>
      <w:r w:rsidR="008E532B">
        <w:rPr>
          <w:rFonts w:ascii="Arial" w:hAnsi="Arial" w:cs="Arial"/>
          <w:bCs/>
          <w:sz w:val="22"/>
          <w:szCs w:val="22"/>
          <w:lang w:val="fr-FR"/>
        </w:rPr>
        <w:t>’</w:t>
      </w:r>
      <w:r>
        <w:rPr>
          <w:rFonts w:ascii="Arial" w:hAnsi="Arial" w:cs="Arial"/>
          <w:bCs/>
          <w:sz w:val="22"/>
          <w:szCs w:val="22"/>
          <w:lang w:val="fr-FR"/>
        </w:rPr>
        <w:t xml:space="preserve">a </w:t>
      </w:r>
      <w:r w:rsidRPr="00681F2F">
        <w:rPr>
          <w:rFonts w:ascii="Arial" w:hAnsi="Arial" w:cs="Arial"/>
          <w:bCs/>
          <w:sz w:val="22"/>
          <w:szCs w:val="22"/>
          <w:lang w:val="fr-FR"/>
        </w:rPr>
        <w:t>not</w:t>
      </w:r>
      <w:r>
        <w:rPr>
          <w:rFonts w:ascii="Arial" w:hAnsi="Arial" w:cs="Arial"/>
          <w:bCs/>
          <w:sz w:val="22"/>
          <w:szCs w:val="22"/>
          <w:lang w:val="fr-FR"/>
        </w:rPr>
        <w:t>é</w:t>
      </w:r>
      <w:r w:rsidRPr="00681F2F">
        <w:rPr>
          <w:rFonts w:ascii="Arial" w:hAnsi="Arial" w:cs="Arial"/>
          <w:bCs/>
          <w:sz w:val="22"/>
          <w:szCs w:val="22"/>
          <w:lang w:val="fr-FR"/>
        </w:rPr>
        <w:t xml:space="preserve"> aucune objection à l</w:t>
      </w:r>
      <w:r w:rsidR="008E532B">
        <w:rPr>
          <w:rFonts w:ascii="Arial" w:hAnsi="Arial" w:cs="Arial"/>
          <w:bCs/>
          <w:sz w:val="22"/>
          <w:szCs w:val="22"/>
          <w:lang w:val="fr-FR"/>
        </w:rPr>
        <w:t>’</w:t>
      </w:r>
      <w:r w:rsidRPr="00681F2F">
        <w:rPr>
          <w:rFonts w:ascii="Arial" w:hAnsi="Arial" w:cs="Arial"/>
          <w:bCs/>
          <w:sz w:val="22"/>
          <w:szCs w:val="22"/>
          <w:lang w:val="fr-FR"/>
        </w:rPr>
        <w:t>adoption du paragraphe 8 avec la formulation amendée et il</w:t>
      </w:r>
      <w:r>
        <w:rPr>
          <w:rFonts w:ascii="Arial" w:hAnsi="Arial" w:cs="Arial"/>
          <w:bCs/>
          <w:sz w:val="22"/>
          <w:szCs w:val="22"/>
          <w:lang w:val="fr-FR"/>
        </w:rPr>
        <w:t xml:space="preserve"> a été </w:t>
      </w:r>
      <w:r w:rsidRPr="00681F2F">
        <w:rPr>
          <w:rFonts w:ascii="Arial" w:hAnsi="Arial" w:cs="Arial"/>
          <w:bCs/>
          <w:sz w:val="22"/>
          <w:szCs w:val="22"/>
          <w:lang w:val="fr-FR"/>
        </w:rPr>
        <w:t xml:space="preserve">dûment adopté. Elle passe au paragraphe 9, qui serait </w:t>
      </w:r>
      <w:r>
        <w:rPr>
          <w:rFonts w:ascii="Arial" w:hAnsi="Arial" w:cs="Arial"/>
          <w:bCs/>
          <w:sz w:val="22"/>
          <w:szCs w:val="22"/>
          <w:lang w:val="fr-FR"/>
        </w:rPr>
        <w:t>ainsi rédigé :</w:t>
      </w:r>
      <w:r w:rsidRPr="00681F2F">
        <w:rPr>
          <w:rFonts w:ascii="Arial" w:hAnsi="Arial" w:cs="Arial"/>
          <w:bCs/>
          <w:sz w:val="22"/>
          <w:szCs w:val="22"/>
          <w:lang w:val="fr-FR"/>
        </w:rPr>
        <w:t xml:space="preserve"> </w:t>
      </w:r>
      <w:r>
        <w:rPr>
          <w:rFonts w:ascii="Arial" w:hAnsi="Arial" w:cs="Arial"/>
          <w:bCs/>
          <w:sz w:val="22"/>
          <w:szCs w:val="22"/>
          <w:lang w:val="fr-FR"/>
        </w:rPr>
        <w:t>« </w:t>
      </w:r>
      <w:r w:rsidRPr="00681F2F">
        <w:rPr>
          <w:rFonts w:ascii="Arial" w:hAnsi="Arial" w:cs="Arial"/>
          <w:bCs/>
          <w:sz w:val="22"/>
          <w:szCs w:val="22"/>
          <w:lang w:val="fr-FR"/>
        </w:rPr>
        <w:t xml:space="preserve">Prend note des propositions </w:t>
      </w:r>
      <w:r>
        <w:rPr>
          <w:rFonts w:ascii="Arial" w:hAnsi="Arial" w:cs="Arial"/>
          <w:bCs/>
          <w:sz w:val="22"/>
          <w:szCs w:val="22"/>
          <w:lang w:val="fr-FR"/>
        </w:rPr>
        <w:t>de</w:t>
      </w:r>
      <w:r w:rsidRPr="00681F2F">
        <w:rPr>
          <w:rFonts w:ascii="Arial" w:hAnsi="Arial" w:cs="Arial"/>
          <w:bCs/>
          <w:sz w:val="22"/>
          <w:szCs w:val="22"/>
          <w:lang w:val="fr-FR"/>
        </w:rPr>
        <w:t xml:space="preserve"> traitement des demandes d</w:t>
      </w:r>
      <w:r w:rsidR="008E532B">
        <w:rPr>
          <w:rFonts w:ascii="Arial" w:hAnsi="Arial" w:cs="Arial"/>
          <w:bCs/>
          <w:sz w:val="22"/>
          <w:szCs w:val="22"/>
          <w:lang w:val="fr-FR"/>
        </w:rPr>
        <w:t>’</w:t>
      </w:r>
      <w:r w:rsidRPr="00681F2F">
        <w:rPr>
          <w:rFonts w:ascii="Arial" w:hAnsi="Arial" w:cs="Arial"/>
          <w:bCs/>
          <w:sz w:val="22"/>
          <w:szCs w:val="22"/>
          <w:lang w:val="fr-FR"/>
        </w:rPr>
        <w:t xml:space="preserve">accréditation et de renouvellement des ONG à savoir le </w:t>
      </w:r>
      <w:r>
        <w:rPr>
          <w:rFonts w:ascii="Arial" w:hAnsi="Arial" w:cs="Arial"/>
          <w:bCs/>
          <w:sz w:val="22"/>
          <w:szCs w:val="22"/>
          <w:lang w:val="fr-FR"/>
        </w:rPr>
        <w:t xml:space="preserve">calendrier de </w:t>
      </w:r>
      <w:r w:rsidRPr="00681F2F">
        <w:rPr>
          <w:rFonts w:ascii="Arial" w:hAnsi="Arial" w:cs="Arial"/>
          <w:bCs/>
          <w:sz w:val="22"/>
          <w:szCs w:val="22"/>
          <w:lang w:val="fr-FR"/>
        </w:rPr>
        <w:t>publication de ces demandes et la participation des bureaux hors</w:t>
      </w:r>
      <w:r>
        <w:rPr>
          <w:rFonts w:ascii="Arial" w:hAnsi="Arial" w:cs="Arial"/>
          <w:bCs/>
          <w:sz w:val="22"/>
          <w:szCs w:val="22"/>
          <w:lang w:val="fr-FR"/>
        </w:rPr>
        <w:t>-S</w:t>
      </w:r>
      <w:r w:rsidRPr="00681F2F">
        <w:rPr>
          <w:rFonts w:ascii="Arial" w:hAnsi="Arial" w:cs="Arial"/>
          <w:bCs/>
          <w:sz w:val="22"/>
          <w:szCs w:val="22"/>
          <w:lang w:val="fr-FR"/>
        </w:rPr>
        <w:t>iège de l</w:t>
      </w:r>
      <w:r w:rsidR="008E532B">
        <w:rPr>
          <w:rFonts w:ascii="Arial" w:hAnsi="Arial" w:cs="Arial"/>
          <w:bCs/>
          <w:sz w:val="22"/>
          <w:szCs w:val="22"/>
          <w:lang w:val="fr-FR"/>
        </w:rPr>
        <w:t>’</w:t>
      </w:r>
      <w:r w:rsidRPr="00681F2F">
        <w:rPr>
          <w:rFonts w:ascii="Arial" w:hAnsi="Arial" w:cs="Arial"/>
          <w:bCs/>
          <w:sz w:val="22"/>
          <w:szCs w:val="22"/>
          <w:lang w:val="fr-FR"/>
        </w:rPr>
        <w:t>UNESCO</w:t>
      </w:r>
      <w:r>
        <w:rPr>
          <w:rFonts w:ascii="Arial" w:hAnsi="Arial" w:cs="Arial"/>
          <w:bCs/>
          <w:sz w:val="22"/>
          <w:szCs w:val="22"/>
          <w:lang w:val="fr-FR"/>
        </w:rPr>
        <w:t> »</w:t>
      </w:r>
      <w:r w:rsidRPr="00681F2F">
        <w:rPr>
          <w:rFonts w:ascii="Arial" w:hAnsi="Arial" w:cs="Arial"/>
          <w:bCs/>
          <w:sz w:val="22"/>
          <w:szCs w:val="22"/>
          <w:lang w:val="fr-FR"/>
        </w:rPr>
        <w:t xml:space="preserve">. </w:t>
      </w:r>
      <w:r>
        <w:rPr>
          <w:rFonts w:ascii="Arial" w:hAnsi="Arial" w:cs="Arial"/>
          <w:bCs/>
          <w:sz w:val="22"/>
          <w:szCs w:val="22"/>
          <w:lang w:val="fr-FR"/>
        </w:rPr>
        <w:t>En l</w:t>
      </w:r>
      <w:r w:rsidR="008E532B">
        <w:rPr>
          <w:rFonts w:ascii="Arial" w:hAnsi="Arial" w:cs="Arial"/>
          <w:bCs/>
          <w:sz w:val="22"/>
          <w:szCs w:val="22"/>
          <w:lang w:val="fr-FR"/>
        </w:rPr>
        <w:t>’</w:t>
      </w:r>
      <w:r>
        <w:rPr>
          <w:rFonts w:ascii="Arial" w:hAnsi="Arial" w:cs="Arial"/>
          <w:bCs/>
          <w:sz w:val="22"/>
          <w:szCs w:val="22"/>
          <w:lang w:val="fr-FR"/>
        </w:rPr>
        <w:t xml:space="preserve">absence de </w:t>
      </w:r>
      <w:r w:rsidRPr="00681F2F">
        <w:rPr>
          <w:rFonts w:ascii="Arial" w:hAnsi="Arial" w:cs="Arial"/>
          <w:bCs/>
          <w:sz w:val="22"/>
          <w:szCs w:val="22"/>
          <w:lang w:val="fr-FR"/>
        </w:rPr>
        <w:t xml:space="preserve">commentaires </w:t>
      </w:r>
      <w:r>
        <w:rPr>
          <w:rFonts w:ascii="Arial" w:hAnsi="Arial" w:cs="Arial"/>
          <w:bCs/>
          <w:sz w:val="22"/>
          <w:szCs w:val="22"/>
          <w:lang w:val="fr-FR"/>
        </w:rPr>
        <w:t>ou d</w:t>
      </w:r>
      <w:r w:rsidR="008E532B">
        <w:rPr>
          <w:rFonts w:ascii="Arial" w:hAnsi="Arial" w:cs="Arial"/>
          <w:bCs/>
          <w:sz w:val="22"/>
          <w:szCs w:val="22"/>
          <w:lang w:val="fr-FR"/>
        </w:rPr>
        <w:t>’</w:t>
      </w:r>
      <w:r w:rsidRPr="00681F2F">
        <w:rPr>
          <w:rFonts w:ascii="Arial" w:hAnsi="Arial" w:cs="Arial"/>
          <w:bCs/>
          <w:sz w:val="22"/>
          <w:szCs w:val="22"/>
          <w:lang w:val="fr-FR"/>
        </w:rPr>
        <w:t xml:space="preserve">objections, le paragraphe 9 </w:t>
      </w:r>
      <w:r>
        <w:rPr>
          <w:rFonts w:ascii="Arial" w:hAnsi="Arial" w:cs="Arial"/>
          <w:bCs/>
          <w:sz w:val="22"/>
          <w:szCs w:val="22"/>
          <w:lang w:val="fr-FR"/>
        </w:rPr>
        <w:t xml:space="preserve">a été </w:t>
      </w:r>
      <w:r w:rsidRPr="00681F2F">
        <w:rPr>
          <w:rFonts w:ascii="Arial" w:hAnsi="Arial" w:cs="Arial"/>
          <w:bCs/>
          <w:sz w:val="22"/>
          <w:szCs w:val="22"/>
          <w:lang w:val="fr-FR"/>
        </w:rPr>
        <w:t>adopté. L</w:t>
      </w:r>
      <w:r>
        <w:rPr>
          <w:rFonts w:ascii="Arial" w:hAnsi="Arial" w:cs="Arial"/>
          <w:bCs/>
          <w:sz w:val="22"/>
          <w:szCs w:val="22"/>
          <w:lang w:val="fr-FR"/>
        </w:rPr>
        <w:t>e débat sur les</w:t>
      </w:r>
      <w:r w:rsidRPr="00681F2F">
        <w:rPr>
          <w:rFonts w:ascii="Arial" w:hAnsi="Arial" w:cs="Arial"/>
          <w:bCs/>
          <w:sz w:val="22"/>
          <w:szCs w:val="22"/>
          <w:lang w:val="fr-FR"/>
        </w:rPr>
        <w:t xml:space="preserve"> paragraphes restants </w:t>
      </w:r>
      <w:r>
        <w:rPr>
          <w:rFonts w:ascii="Arial" w:hAnsi="Arial" w:cs="Arial"/>
          <w:bCs/>
          <w:sz w:val="22"/>
          <w:szCs w:val="22"/>
          <w:lang w:val="fr-FR"/>
        </w:rPr>
        <w:t xml:space="preserve">a été </w:t>
      </w:r>
      <w:r w:rsidRPr="00681F2F">
        <w:rPr>
          <w:rFonts w:ascii="Arial" w:hAnsi="Arial" w:cs="Arial"/>
          <w:bCs/>
          <w:sz w:val="22"/>
          <w:szCs w:val="22"/>
          <w:lang w:val="fr-FR"/>
        </w:rPr>
        <w:t>suspendu jusqu</w:t>
      </w:r>
      <w:r w:rsidR="008E532B">
        <w:rPr>
          <w:rFonts w:ascii="Arial" w:hAnsi="Arial" w:cs="Arial"/>
          <w:bCs/>
          <w:sz w:val="22"/>
          <w:szCs w:val="22"/>
          <w:lang w:val="fr-FR"/>
        </w:rPr>
        <w:t>’</w:t>
      </w:r>
      <w:r w:rsidRPr="00681F2F">
        <w:rPr>
          <w:rFonts w:ascii="Arial" w:hAnsi="Arial" w:cs="Arial"/>
          <w:bCs/>
          <w:sz w:val="22"/>
          <w:szCs w:val="22"/>
          <w:lang w:val="fr-FR"/>
        </w:rPr>
        <w:t>au lendemain et aux résultats de la discussion informelle.</w:t>
      </w:r>
    </w:p>
    <w:p w14:paraId="25DCCEAE" w14:textId="6DE99637" w:rsidR="00D9653F" w:rsidRPr="0026573F" w:rsidRDefault="00D9653F" w:rsidP="0026573F">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26573F">
        <w:rPr>
          <w:b/>
          <w:color w:val="000000" w:themeColor="text1"/>
          <w:u w:val="single"/>
          <w:lang w:val="fr-FR"/>
        </w:rPr>
        <w:t>POINT 11 DE L</w:t>
      </w:r>
      <w:r w:rsidR="008E532B">
        <w:rPr>
          <w:b/>
          <w:color w:val="000000" w:themeColor="text1"/>
          <w:u w:val="single"/>
          <w:lang w:val="fr-FR"/>
        </w:rPr>
        <w:t>’</w:t>
      </w:r>
      <w:r w:rsidRPr="0026573F">
        <w:rPr>
          <w:b/>
          <w:color w:val="000000" w:themeColor="text1"/>
          <w:u w:val="single"/>
          <w:lang w:val="fr-FR"/>
        </w:rPr>
        <w:t xml:space="preserve">ORDRE DU JOUR [SUITE] : </w:t>
      </w:r>
    </w:p>
    <w:p w14:paraId="22F1BD95" w14:textId="77777777" w:rsidR="00D9653F" w:rsidRPr="009F6BC9" w:rsidRDefault="00D9653F" w:rsidP="0026573F">
      <w:pPr>
        <w:pStyle w:val="Orateurengris"/>
        <w:tabs>
          <w:tab w:val="clear" w:pos="709"/>
          <w:tab w:val="clear" w:pos="1418"/>
          <w:tab w:val="clear" w:pos="2126"/>
          <w:tab w:val="clear" w:pos="2835"/>
        </w:tabs>
        <w:outlineLvl w:val="0"/>
        <w:rPr>
          <w:b/>
          <w:color w:val="000000" w:themeColor="text1"/>
          <w:lang w:val="fr-FR"/>
        </w:rPr>
      </w:pPr>
      <w:r w:rsidRPr="009F6BC9">
        <w:rPr>
          <w:b/>
          <w:color w:val="000000" w:themeColor="text1"/>
          <w:lang w:val="fr-FR"/>
        </w:rPr>
        <w:t xml:space="preserve">ÉLECTION DES MEMBRES DU COMITÉ INTERGOUVERNEMENTAL DE SAUVEGARDE DU PATRIMOINE CULTUREL IMMATÉRIEL </w:t>
      </w:r>
    </w:p>
    <w:p w14:paraId="18461911" w14:textId="18FB9242" w:rsidR="00D9653F" w:rsidRDefault="00D9653F" w:rsidP="00D9653F">
      <w:pPr>
        <w:numPr>
          <w:ilvl w:val="0"/>
          <w:numId w:val="19"/>
        </w:numPr>
        <w:suppressAutoHyphens/>
        <w:autoSpaceDE w:val="0"/>
        <w:ind w:left="567" w:hanging="567"/>
        <w:jc w:val="both"/>
        <w:rPr>
          <w:rFonts w:ascii="Arial" w:hAnsi="Arial" w:cs="Arial"/>
          <w:bCs/>
          <w:sz w:val="22"/>
          <w:szCs w:val="22"/>
          <w:lang w:val="fr-FR"/>
        </w:rPr>
      </w:pPr>
      <w:r w:rsidRPr="0095185B">
        <w:rPr>
          <w:rFonts w:ascii="Arial" w:hAnsi="Arial" w:cs="Arial"/>
          <w:bCs/>
          <w:sz w:val="22"/>
          <w:szCs w:val="22"/>
          <w:lang w:val="fr-FR"/>
        </w:rPr>
        <w:t xml:space="preserve">La </w:t>
      </w:r>
      <w:r w:rsidRPr="0095185B">
        <w:rPr>
          <w:rFonts w:ascii="Arial" w:hAnsi="Arial" w:cs="Arial"/>
          <w:b/>
          <w:sz w:val="22"/>
          <w:szCs w:val="22"/>
          <w:lang w:val="fr-FR"/>
        </w:rPr>
        <w:t>Présidente</w:t>
      </w:r>
      <w:r w:rsidRPr="0095185B">
        <w:rPr>
          <w:rFonts w:ascii="Arial" w:hAnsi="Arial" w:cs="Arial"/>
          <w:bCs/>
          <w:sz w:val="22"/>
          <w:szCs w:val="22"/>
          <w:lang w:val="fr-FR"/>
        </w:rPr>
        <w:t xml:space="preserve"> </w:t>
      </w:r>
      <w:r>
        <w:rPr>
          <w:rFonts w:ascii="Arial" w:hAnsi="Arial" w:cs="Arial"/>
          <w:bCs/>
          <w:sz w:val="22"/>
          <w:szCs w:val="22"/>
          <w:lang w:val="fr-FR"/>
        </w:rPr>
        <w:t xml:space="preserve">a </w:t>
      </w:r>
      <w:r w:rsidRPr="0095185B">
        <w:rPr>
          <w:rFonts w:ascii="Arial" w:hAnsi="Arial" w:cs="Arial"/>
          <w:bCs/>
          <w:sz w:val="22"/>
          <w:szCs w:val="22"/>
          <w:lang w:val="fr-FR"/>
        </w:rPr>
        <w:t>inform</w:t>
      </w:r>
      <w:r>
        <w:rPr>
          <w:rFonts w:ascii="Arial" w:hAnsi="Arial" w:cs="Arial"/>
          <w:bCs/>
          <w:sz w:val="22"/>
          <w:szCs w:val="22"/>
          <w:lang w:val="fr-FR"/>
        </w:rPr>
        <w:t>é</w:t>
      </w:r>
      <w:r w:rsidRPr="0095185B">
        <w:rPr>
          <w:rFonts w:ascii="Arial" w:hAnsi="Arial" w:cs="Arial"/>
          <w:bCs/>
          <w:sz w:val="22"/>
          <w:szCs w:val="22"/>
          <w:lang w:val="fr-FR"/>
        </w:rPr>
        <w:t xml:space="preserve"> l</w:t>
      </w:r>
      <w:r w:rsidR="008E532B">
        <w:rPr>
          <w:rFonts w:ascii="Arial" w:hAnsi="Arial" w:cs="Arial"/>
          <w:bCs/>
          <w:sz w:val="22"/>
          <w:szCs w:val="22"/>
          <w:lang w:val="fr-FR"/>
        </w:rPr>
        <w:t>’</w:t>
      </w:r>
      <w:r w:rsidRPr="0095185B">
        <w:rPr>
          <w:rFonts w:ascii="Arial" w:hAnsi="Arial" w:cs="Arial"/>
          <w:bCs/>
          <w:sz w:val="22"/>
          <w:szCs w:val="22"/>
          <w:lang w:val="fr-FR"/>
        </w:rPr>
        <w:t xml:space="preserve">Assemblée que les bulletins de vote </w:t>
      </w:r>
      <w:r>
        <w:rPr>
          <w:rFonts w:ascii="Arial" w:hAnsi="Arial" w:cs="Arial"/>
          <w:bCs/>
          <w:sz w:val="22"/>
          <w:szCs w:val="22"/>
          <w:lang w:val="fr-FR"/>
        </w:rPr>
        <w:t>avaient</w:t>
      </w:r>
      <w:r w:rsidRPr="0095185B">
        <w:rPr>
          <w:rFonts w:ascii="Arial" w:hAnsi="Arial" w:cs="Arial"/>
          <w:bCs/>
          <w:sz w:val="22"/>
          <w:szCs w:val="22"/>
          <w:lang w:val="fr-FR"/>
        </w:rPr>
        <w:t xml:space="preserve"> été comptés. Elle </w:t>
      </w:r>
      <w:r>
        <w:rPr>
          <w:rFonts w:ascii="Arial" w:hAnsi="Arial" w:cs="Arial"/>
          <w:bCs/>
          <w:sz w:val="22"/>
          <w:szCs w:val="22"/>
          <w:lang w:val="fr-FR"/>
        </w:rPr>
        <w:t xml:space="preserve">a </w:t>
      </w:r>
      <w:r w:rsidRPr="0095185B">
        <w:rPr>
          <w:rFonts w:ascii="Arial" w:hAnsi="Arial" w:cs="Arial"/>
          <w:bCs/>
          <w:sz w:val="22"/>
          <w:szCs w:val="22"/>
          <w:lang w:val="fr-FR"/>
        </w:rPr>
        <w:t>remerci</w:t>
      </w:r>
      <w:r>
        <w:rPr>
          <w:rFonts w:ascii="Arial" w:hAnsi="Arial" w:cs="Arial"/>
          <w:bCs/>
          <w:sz w:val="22"/>
          <w:szCs w:val="22"/>
          <w:lang w:val="fr-FR"/>
        </w:rPr>
        <w:t>é</w:t>
      </w:r>
      <w:r w:rsidRPr="0095185B">
        <w:rPr>
          <w:rFonts w:ascii="Arial" w:hAnsi="Arial" w:cs="Arial"/>
          <w:bCs/>
          <w:sz w:val="22"/>
          <w:szCs w:val="22"/>
          <w:lang w:val="fr-FR"/>
        </w:rPr>
        <w:t xml:space="preserve"> les scrutateurs, </w:t>
      </w:r>
      <w:r w:rsidR="008D65C3">
        <w:rPr>
          <w:rFonts w:ascii="Arial" w:hAnsi="Arial" w:cs="Arial"/>
          <w:bCs/>
          <w:sz w:val="22"/>
          <w:szCs w:val="22"/>
          <w:lang w:val="fr-FR"/>
        </w:rPr>
        <w:t>Mme</w:t>
      </w:r>
      <w:r>
        <w:rPr>
          <w:rFonts w:ascii="Arial" w:hAnsi="Arial" w:cs="Arial"/>
          <w:bCs/>
          <w:sz w:val="22"/>
          <w:szCs w:val="22"/>
          <w:lang w:val="fr-FR"/>
        </w:rPr>
        <w:t> </w:t>
      </w:r>
      <w:r w:rsidRPr="0095185B">
        <w:rPr>
          <w:rFonts w:ascii="Arial" w:hAnsi="Arial" w:cs="Arial"/>
          <w:bCs/>
          <w:sz w:val="22"/>
          <w:szCs w:val="22"/>
          <w:lang w:val="fr-FR"/>
        </w:rPr>
        <w:t>Paola Gómez Barletta du Panama et M.</w:t>
      </w:r>
      <w:r>
        <w:rPr>
          <w:rFonts w:ascii="Arial" w:hAnsi="Arial" w:cs="Arial"/>
          <w:bCs/>
          <w:sz w:val="22"/>
          <w:szCs w:val="22"/>
          <w:lang w:val="fr-FR"/>
        </w:rPr>
        <w:t> </w:t>
      </w:r>
      <w:r w:rsidRPr="0095185B">
        <w:rPr>
          <w:rFonts w:ascii="Arial" w:hAnsi="Arial" w:cs="Arial"/>
          <w:bCs/>
          <w:sz w:val="22"/>
          <w:szCs w:val="22"/>
          <w:lang w:val="fr-FR"/>
        </w:rPr>
        <w:t xml:space="preserve">Julius </w:t>
      </w:r>
      <w:proofErr w:type="spellStart"/>
      <w:r w:rsidRPr="0095185B">
        <w:rPr>
          <w:rFonts w:ascii="Arial" w:hAnsi="Arial" w:cs="Arial"/>
          <w:bCs/>
          <w:sz w:val="22"/>
          <w:szCs w:val="22"/>
          <w:lang w:val="fr-FR"/>
        </w:rPr>
        <w:t>Shoboi</w:t>
      </w:r>
      <w:proofErr w:type="spellEnd"/>
      <w:r w:rsidRPr="0095185B">
        <w:rPr>
          <w:rFonts w:ascii="Arial" w:hAnsi="Arial" w:cs="Arial"/>
          <w:bCs/>
          <w:sz w:val="22"/>
          <w:szCs w:val="22"/>
          <w:lang w:val="fr-FR"/>
        </w:rPr>
        <w:t xml:space="preserve"> </w:t>
      </w:r>
      <w:proofErr w:type="spellStart"/>
      <w:r w:rsidRPr="0095185B">
        <w:rPr>
          <w:rFonts w:ascii="Arial" w:hAnsi="Arial" w:cs="Arial"/>
          <w:bCs/>
          <w:sz w:val="22"/>
          <w:szCs w:val="22"/>
          <w:lang w:val="fr-FR"/>
        </w:rPr>
        <w:t>Mwahunga</w:t>
      </w:r>
      <w:proofErr w:type="spellEnd"/>
      <w:r w:rsidRPr="0095185B">
        <w:rPr>
          <w:rFonts w:ascii="Arial" w:hAnsi="Arial" w:cs="Arial"/>
          <w:bCs/>
          <w:sz w:val="22"/>
          <w:szCs w:val="22"/>
          <w:lang w:val="fr-FR"/>
        </w:rPr>
        <w:t xml:space="preserve"> du Kenya. La Présidente </w:t>
      </w:r>
      <w:r>
        <w:rPr>
          <w:rFonts w:ascii="Arial" w:hAnsi="Arial" w:cs="Arial"/>
          <w:bCs/>
          <w:sz w:val="22"/>
          <w:szCs w:val="22"/>
          <w:lang w:val="fr-FR"/>
        </w:rPr>
        <w:t xml:space="preserve">a </w:t>
      </w:r>
      <w:r w:rsidRPr="0095185B">
        <w:rPr>
          <w:rFonts w:ascii="Arial" w:hAnsi="Arial" w:cs="Arial"/>
          <w:bCs/>
          <w:sz w:val="22"/>
          <w:szCs w:val="22"/>
          <w:lang w:val="fr-FR"/>
        </w:rPr>
        <w:t>invit</w:t>
      </w:r>
      <w:r>
        <w:rPr>
          <w:rFonts w:ascii="Arial" w:hAnsi="Arial" w:cs="Arial"/>
          <w:bCs/>
          <w:sz w:val="22"/>
          <w:szCs w:val="22"/>
          <w:lang w:val="fr-FR"/>
        </w:rPr>
        <w:t>é</w:t>
      </w:r>
      <w:r w:rsidRPr="0095185B">
        <w:rPr>
          <w:rFonts w:ascii="Arial" w:hAnsi="Arial" w:cs="Arial"/>
          <w:bCs/>
          <w:sz w:val="22"/>
          <w:szCs w:val="22"/>
          <w:lang w:val="fr-FR"/>
        </w:rPr>
        <w:t xml:space="preserve"> le Sous-Directeur général à annoncer les résultats du vote pour l</w:t>
      </w:r>
      <w:r w:rsidR="008E532B">
        <w:rPr>
          <w:rFonts w:ascii="Arial" w:hAnsi="Arial" w:cs="Arial"/>
          <w:bCs/>
          <w:sz w:val="22"/>
          <w:szCs w:val="22"/>
          <w:lang w:val="fr-FR"/>
        </w:rPr>
        <w:t>’</w:t>
      </w:r>
      <w:r w:rsidRPr="0095185B">
        <w:rPr>
          <w:rFonts w:ascii="Arial" w:hAnsi="Arial" w:cs="Arial"/>
          <w:bCs/>
          <w:sz w:val="22"/>
          <w:szCs w:val="22"/>
          <w:lang w:val="fr-FR"/>
        </w:rPr>
        <w:t>élection des membres du Comité.</w:t>
      </w:r>
    </w:p>
    <w:p w14:paraId="543C540D" w14:textId="798C806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5185B">
        <w:rPr>
          <w:rFonts w:ascii="Arial" w:hAnsi="Arial" w:cs="Arial"/>
          <w:bCs/>
          <w:sz w:val="22"/>
          <w:szCs w:val="22"/>
          <w:lang w:val="fr-FR"/>
        </w:rPr>
        <w:t xml:space="preserve">Le </w:t>
      </w:r>
      <w:r w:rsidRPr="0095185B">
        <w:rPr>
          <w:rFonts w:ascii="Arial" w:hAnsi="Arial" w:cs="Arial"/>
          <w:b/>
          <w:sz w:val="22"/>
          <w:szCs w:val="22"/>
          <w:lang w:val="fr-FR"/>
        </w:rPr>
        <w:t>Sous-Directeur général</w:t>
      </w:r>
      <w:r w:rsidRPr="0095185B">
        <w:rPr>
          <w:rFonts w:ascii="Arial" w:hAnsi="Arial" w:cs="Arial"/>
          <w:bCs/>
          <w:sz w:val="22"/>
          <w:szCs w:val="22"/>
          <w:lang w:val="fr-FR"/>
        </w:rPr>
        <w:t xml:space="preserv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est dit</w:t>
      </w:r>
      <w:r w:rsidRPr="0095185B">
        <w:rPr>
          <w:rFonts w:ascii="Arial" w:hAnsi="Arial" w:cs="Arial"/>
          <w:bCs/>
          <w:sz w:val="22"/>
          <w:szCs w:val="22"/>
          <w:lang w:val="fr-FR"/>
        </w:rPr>
        <w:t xml:space="preserve"> heureux d</w:t>
      </w:r>
      <w:r w:rsidR="008E532B">
        <w:rPr>
          <w:rFonts w:ascii="Arial" w:hAnsi="Arial" w:cs="Arial"/>
          <w:bCs/>
          <w:sz w:val="22"/>
          <w:szCs w:val="22"/>
          <w:lang w:val="fr-FR"/>
        </w:rPr>
        <w:t>’</w:t>
      </w:r>
      <w:r w:rsidRPr="0095185B">
        <w:rPr>
          <w:rFonts w:ascii="Arial" w:hAnsi="Arial" w:cs="Arial"/>
          <w:bCs/>
          <w:sz w:val="22"/>
          <w:szCs w:val="22"/>
          <w:lang w:val="fr-FR"/>
        </w:rPr>
        <w:t>annoncer les résultats du vote. Nombre de pays votants</w:t>
      </w:r>
      <w:r>
        <w:rPr>
          <w:rFonts w:ascii="Arial" w:hAnsi="Arial" w:cs="Arial"/>
          <w:bCs/>
          <w:sz w:val="22"/>
          <w:szCs w:val="22"/>
          <w:lang w:val="fr-FR"/>
        </w:rPr>
        <w:t> </w:t>
      </w:r>
      <w:r w:rsidRPr="0095185B">
        <w:rPr>
          <w:rFonts w:ascii="Arial" w:hAnsi="Arial" w:cs="Arial"/>
          <w:bCs/>
          <w:sz w:val="22"/>
          <w:szCs w:val="22"/>
          <w:lang w:val="fr-FR"/>
        </w:rPr>
        <w:t>: 155. Votes nuls</w:t>
      </w:r>
      <w:r>
        <w:rPr>
          <w:rFonts w:ascii="Arial" w:hAnsi="Arial" w:cs="Arial"/>
          <w:bCs/>
          <w:sz w:val="22"/>
          <w:szCs w:val="22"/>
          <w:lang w:val="fr-FR"/>
        </w:rPr>
        <w:t> </w:t>
      </w:r>
      <w:r w:rsidRPr="0095185B">
        <w:rPr>
          <w:rFonts w:ascii="Arial" w:hAnsi="Arial" w:cs="Arial"/>
          <w:bCs/>
          <w:sz w:val="22"/>
          <w:szCs w:val="22"/>
          <w:lang w:val="fr-FR"/>
        </w:rPr>
        <w:t>: 4. Abstentions</w:t>
      </w:r>
      <w:r>
        <w:rPr>
          <w:rFonts w:ascii="Arial" w:hAnsi="Arial" w:cs="Arial"/>
          <w:bCs/>
          <w:sz w:val="22"/>
          <w:szCs w:val="22"/>
          <w:lang w:val="fr-FR"/>
        </w:rPr>
        <w:t> </w:t>
      </w:r>
      <w:r w:rsidRPr="0095185B">
        <w:rPr>
          <w:rFonts w:ascii="Arial" w:hAnsi="Arial" w:cs="Arial"/>
          <w:bCs/>
          <w:sz w:val="22"/>
          <w:szCs w:val="22"/>
          <w:lang w:val="fr-FR"/>
        </w:rPr>
        <w:t xml:space="preserve">: 19. Les résultats par groupe électoral </w:t>
      </w:r>
      <w:r>
        <w:rPr>
          <w:rFonts w:ascii="Arial" w:hAnsi="Arial" w:cs="Arial"/>
          <w:bCs/>
          <w:sz w:val="22"/>
          <w:szCs w:val="22"/>
          <w:lang w:val="fr-FR"/>
        </w:rPr>
        <w:t>étaient</w:t>
      </w:r>
      <w:r w:rsidRPr="0095185B">
        <w:rPr>
          <w:rFonts w:ascii="Arial" w:hAnsi="Arial" w:cs="Arial"/>
          <w:bCs/>
          <w:sz w:val="22"/>
          <w:szCs w:val="22"/>
          <w:lang w:val="fr-FR"/>
        </w:rPr>
        <w:t xml:space="preserve"> les suivants. Pour le groupe</w:t>
      </w:r>
      <w:r>
        <w:rPr>
          <w:rFonts w:ascii="Arial" w:hAnsi="Arial" w:cs="Arial"/>
          <w:bCs/>
          <w:sz w:val="22"/>
          <w:szCs w:val="22"/>
          <w:lang w:val="fr-FR"/>
        </w:rPr>
        <w:t> </w:t>
      </w:r>
      <w:r w:rsidRPr="0095185B">
        <w:rPr>
          <w:rFonts w:ascii="Arial" w:hAnsi="Arial" w:cs="Arial"/>
          <w:bCs/>
          <w:sz w:val="22"/>
          <w:szCs w:val="22"/>
          <w:lang w:val="fr-FR"/>
        </w:rPr>
        <w:t>II, 2 sièges à pourvoir</w:t>
      </w:r>
      <w:r>
        <w:rPr>
          <w:rFonts w:ascii="Arial" w:hAnsi="Arial" w:cs="Arial"/>
          <w:bCs/>
          <w:sz w:val="22"/>
          <w:szCs w:val="22"/>
          <w:lang w:val="fr-FR"/>
        </w:rPr>
        <w:t> </w:t>
      </w:r>
      <w:r w:rsidRPr="0095185B">
        <w:rPr>
          <w:rFonts w:ascii="Arial" w:hAnsi="Arial" w:cs="Arial"/>
          <w:bCs/>
          <w:sz w:val="22"/>
          <w:szCs w:val="22"/>
          <w:lang w:val="fr-FR"/>
        </w:rPr>
        <w:t>: Bosnie-Herzégovine, 9 voix ; Bulgarie, 26</w:t>
      </w:r>
      <w:r w:rsidR="0026573F">
        <w:rPr>
          <w:rFonts w:ascii="Arial" w:hAnsi="Arial" w:cs="Arial"/>
          <w:bCs/>
          <w:sz w:val="22"/>
          <w:szCs w:val="22"/>
          <w:lang w:val="fr-FR"/>
        </w:rPr>
        <w:t> </w:t>
      </w:r>
      <w:r w:rsidRPr="0095185B">
        <w:rPr>
          <w:rFonts w:ascii="Arial" w:hAnsi="Arial" w:cs="Arial"/>
          <w:bCs/>
          <w:sz w:val="22"/>
          <w:szCs w:val="22"/>
          <w:lang w:val="fr-FR"/>
        </w:rPr>
        <w:t xml:space="preserve">voix ; Estonie, 69 voix ; Slovaquie, 94 voix ; Ouzbékistan, 105 voix. </w:t>
      </w:r>
      <w:r w:rsidRPr="0095185B">
        <w:rPr>
          <w:rFonts w:ascii="Arial" w:hAnsi="Arial" w:cs="Arial"/>
          <w:b/>
          <w:sz w:val="22"/>
          <w:szCs w:val="22"/>
          <w:lang w:val="fr-FR"/>
        </w:rPr>
        <w:t>La Slovaquie et l</w:t>
      </w:r>
      <w:r w:rsidR="008E532B">
        <w:rPr>
          <w:rFonts w:ascii="Arial" w:hAnsi="Arial" w:cs="Arial"/>
          <w:b/>
          <w:sz w:val="22"/>
          <w:szCs w:val="22"/>
          <w:lang w:val="fr-FR"/>
        </w:rPr>
        <w:t>’</w:t>
      </w:r>
      <w:r w:rsidRPr="0095185B">
        <w:rPr>
          <w:rFonts w:ascii="Arial" w:hAnsi="Arial" w:cs="Arial"/>
          <w:b/>
          <w:sz w:val="22"/>
          <w:szCs w:val="22"/>
          <w:lang w:val="fr-FR"/>
        </w:rPr>
        <w:t>Ouzbékistan étaient élus</w:t>
      </w:r>
      <w:r w:rsidRPr="0095185B">
        <w:rPr>
          <w:rFonts w:ascii="Arial" w:hAnsi="Arial" w:cs="Arial"/>
          <w:bCs/>
          <w:sz w:val="22"/>
          <w:szCs w:val="22"/>
          <w:lang w:val="fr-FR"/>
        </w:rPr>
        <w:t>. Pour le groupe</w:t>
      </w:r>
      <w:r>
        <w:rPr>
          <w:rFonts w:ascii="Arial" w:hAnsi="Arial" w:cs="Arial"/>
          <w:bCs/>
          <w:sz w:val="22"/>
          <w:szCs w:val="22"/>
          <w:lang w:val="fr-FR"/>
        </w:rPr>
        <w:t> </w:t>
      </w:r>
      <w:r w:rsidRPr="0095185B">
        <w:rPr>
          <w:rFonts w:ascii="Arial" w:hAnsi="Arial" w:cs="Arial"/>
          <w:bCs/>
          <w:sz w:val="22"/>
          <w:szCs w:val="22"/>
          <w:lang w:val="fr-FR"/>
        </w:rPr>
        <w:t>IV, 4 sièges à pourvoir : Bangladesh, 97 voix ; Cambodge, 95 voix ; Inde, 110 voix ; Malaisie, 110 voix ; Thaïlande, 75 voix ; Viet</w:t>
      </w:r>
      <w:r>
        <w:rPr>
          <w:rFonts w:ascii="Arial" w:hAnsi="Arial" w:cs="Arial"/>
          <w:bCs/>
          <w:sz w:val="22"/>
          <w:szCs w:val="22"/>
          <w:lang w:val="fr-FR"/>
        </w:rPr>
        <w:t xml:space="preserve"> N</w:t>
      </w:r>
      <w:r w:rsidRPr="0095185B">
        <w:rPr>
          <w:rFonts w:ascii="Arial" w:hAnsi="Arial" w:cs="Arial"/>
          <w:bCs/>
          <w:sz w:val="22"/>
          <w:szCs w:val="22"/>
          <w:lang w:val="fr-FR"/>
        </w:rPr>
        <w:t>am, 120</w:t>
      </w:r>
      <w:r w:rsidR="0026573F">
        <w:rPr>
          <w:rFonts w:ascii="Arial" w:hAnsi="Arial" w:cs="Arial"/>
          <w:bCs/>
          <w:sz w:val="22"/>
          <w:szCs w:val="22"/>
          <w:lang w:val="fr-FR"/>
        </w:rPr>
        <w:t> </w:t>
      </w:r>
      <w:r w:rsidRPr="0095185B">
        <w:rPr>
          <w:rFonts w:ascii="Arial" w:hAnsi="Arial" w:cs="Arial"/>
          <w:bCs/>
          <w:sz w:val="22"/>
          <w:szCs w:val="22"/>
          <w:lang w:val="fr-FR"/>
        </w:rPr>
        <w:t xml:space="preserve">voix. </w:t>
      </w:r>
      <w:r w:rsidRPr="0095185B">
        <w:rPr>
          <w:rFonts w:ascii="Arial" w:hAnsi="Arial" w:cs="Arial"/>
          <w:b/>
          <w:sz w:val="22"/>
          <w:szCs w:val="22"/>
          <w:lang w:val="fr-FR"/>
        </w:rPr>
        <w:t>Le Bangladesh, l</w:t>
      </w:r>
      <w:r w:rsidR="008E532B">
        <w:rPr>
          <w:rFonts w:ascii="Arial" w:hAnsi="Arial" w:cs="Arial"/>
          <w:b/>
          <w:sz w:val="22"/>
          <w:szCs w:val="22"/>
          <w:lang w:val="fr-FR"/>
        </w:rPr>
        <w:t>’</w:t>
      </w:r>
      <w:r w:rsidRPr="0095185B">
        <w:rPr>
          <w:rFonts w:ascii="Arial" w:hAnsi="Arial" w:cs="Arial"/>
          <w:b/>
          <w:sz w:val="22"/>
          <w:szCs w:val="22"/>
          <w:lang w:val="fr-FR"/>
        </w:rPr>
        <w:t>Inde, la Malaisie et le Viet Nam étaient élus</w:t>
      </w:r>
      <w:r w:rsidRPr="0095185B">
        <w:rPr>
          <w:rFonts w:ascii="Arial" w:hAnsi="Arial" w:cs="Arial"/>
          <w:bCs/>
          <w:sz w:val="22"/>
          <w:szCs w:val="22"/>
          <w:lang w:val="fr-FR"/>
        </w:rPr>
        <w:t>. Enfin, pour le groupe</w:t>
      </w:r>
      <w:r>
        <w:rPr>
          <w:rFonts w:ascii="Arial" w:hAnsi="Arial" w:cs="Arial"/>
          <w:bCs/>
          <w:sz w:val="22"/>
          <w:szCs w:val="22"/>
          <w:lang w:val="fr-FR"/>
        </w:rPr>
        <w:t> </w:t>
      </w:r>
      <w:r w:rsidRPr="0095185B">
        <w:rPr>
          <w:rFonts w:ascii="Arial" w:hAnsi="Arial" w:cs="Arial"/>
          <w:bCs/>
          <w:sz w:val="22"/>
          <w:szCs w:val="22"/>
          <w:lang w:val="fr-FR"/>
        </w:rPr>
        <w:t xml:space="preserve">V(b), 1 siège à pourvoir : Irak, 70 voix ; Mauritanie, 82 voix. </w:t>
      </w:r>
      <w:r w:rsidRPr="0095185B">
        <w:rPr>
          <w:rFonts w:ascii="Arial" w:hAnsi="Arial" w:cs="Arial"/>
          <w:b/>
          <w:sz w:val="22"/>
          <w:szCs w:val="22"/>
          <w:lang w:val="fr-FR"/>
        </w:rPr>
        <w:t>La Mauritanie était élue</w:t>
      </w:r>
      <w:r w:rsidRPr="0095185B">
        <w:rPr>
          <w:rFonts w:ascii="Arial" w:hAnsi="Arial" w:cs="Arial"/>
          <w:bCs/>
          <w:sz w:val="22"/>
          <w:szCs w:val="22"/>
          <w:lang w:val="fr-FR"/>
        </w:rPr>
        <w:t>.</w:t>
      </w:r>
    </w:p>
    <w:p w14:paraId="29715D60" w14:textId="39AABE8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54075">
        <w:rPr>
          <w:rFonts w:ascii="Arial" w:hAnsi="Arial" w:cs="Arial"/>
          <w:bCs/>
          <w:sz w:val="22"/>
          <w:szCs w:val="22"/>
          <w:lang w:val="fr-FR"/>
        </w:rPr>
        <w:t xml:space="preserve">La </w:t>
      </w:r>
      <w:r w:rsidRPr="00A54075">
        <w:rPr>
          <w:rFonts w:ascii="Arial" w:hAnsi="Arial" w:cs="Arial"/>
          <w:b/>
          <w:sz w:val="22"/>
          <w:szCs w:val="22"/>
          <w:lang w:val="fr-FR"/>
        </w:rPr>
        <w:t>Présidente</w:t>
      </w:r>
      <w:r w:rsidRPr="00A54075">
        <w:rPr>
          <w:rFonts w:ascii="Arial" w:hAnsi="Arial" w:cs="Arial"/>
          <w:bCs/>
          <w:sz w:val="22"/>
          <w:szCs w:val="22"/>
          <w:lang w:val="fr-FR"/>
        </w:rPr>
        <w:t xml:space="preserve"> </w:t>
      </w:r>
      <w:r>
        <w:rPr>
          <w:rFonts w:ascii="Arial" w:hAnsi="Arial" w:cs="Arial"/>
          <w:bCs/>
          <w:sz w:val="22"/>
          <w:szCs w:val="22"/>
          <w:lang w:val="fr-FR"/>
        </w:rPr>
        <w:t xml:space="preserve">a </w:t>
      </w:r>
      <w:r w:rsidRPr="00A54075">
        <w:rPr>
          <w:rFonts w:ascii="Arial" w:hAnsi="Arial" w:cs="Arial"/>
          <w:bCs/>
          <w:sz w:val="22"/>
          <w:szCs w:val="22"/>
          <w:lang w:val="fr-FR"/>
        </w:rPr>
        <w:t>félicit</w:t>
      </w:r>
      <w:r>
        <w:rPr>
          <w:rFonts w:ascii="Arial" w:hAnsi="Arial" w:cs="Arial"/>
          <w:bCs/>
          <w:sz w:val="22"/>
          <w:szCs w:val="22"/>
          <w:lang w:val="fr-FR"/>
        </w:rPr>
        <w:t>é</w:t>
      </w:r>
      <w:r w:rsidRPr="00A54075">
        <w:rPr>
          <w:rFonts w:ascii="Arial" w:hAnsi="Arial" w:cs="Arial"/>
          <w:bCs/>
          <w:sz w:val="22"/>
          <w:szCs w:val="22"/>
          <w:lang w:val="fr-FR"/>
        </w:rPr>
        <w:t xml:space="preserve"> les membres nouvellement élus du Comité. L</w:t>
      </w:r>
      <w:r w:rsidR="008E532B">
        <w:rPr>
          <w:rFonts w:ascii="Arial" w:hAnsi="Arial" w:cs="Arial"/>
          <w:bCs/>
          <w:sz w:val="22"/>
          <w:szCs w:val="22"/>
          <w:lang w:val="fr-FR"/>
        </w:rPr>
        <w:t>’</w:t>
      </w:r>
      <w:r w:rsidRPr="00A54075">
        <w:rPr>
          <w:rFonts w:ascii="Arial" w:hAnsi="Arial" w:cs="Arial"/>
          <w:bCs/>
          <w:sz w:val="22"/>
          <w:szCs w:val="22"/>
          <w:lang w:val="fr-FR"/>
        </w:rPr>
        <w:t>Assemblée aura</w:t>
      </w:r>
      <w:r>
        <w:rPr>
          <w:rFonts w:ascii="Arial" w:hAnsi="Arial" w:cs="Arial"/>
          <w:bCs/>
          <w:sz w:val="22"/>
          <w:szCs w:val="22"/>
          <w:lang w:val="fr-FR"/>
        </w:rPr>
        <w:t>it</w:t>
      </w:r>
      <w:r w:rsidRPr="00A54075">
        <w:rPr>
          <w:rFonts w:ascii="Arial" w:hAnsi="Arial" w:cs="Arial"/>
          <w:bCs/>
          <w:sz w:val="22"/>
          <w:szCs w:val="22"/>
          <w:lang w:val="fr-FR"/>
        </w:rPr>
        <w:t xml:space="preserve"> l</w:t>
      </w:r>
      <w:r w:rsidR="008E532B">
        <w:rPr>
          <w:rFonts w:ascii="Arial" w:hAnsi="Arial" w:cs="Arial"/>
          <w:bCs/>
          <w:sz w:val="22"/>
          <w:szCs w:val="22"/>
          <w:lang w:val="fr-FR"/>
        </w:rPr>
        <w:t>’</w:t>
      </w:r>
      <w:r w:rsidRPr="00A54075">
        <w:rPr>
          <w:rFonts w:ascii="Arial" w:hAnsi="Arial" w:cs="Arial"/>
          <w:bCs/>
          <w:sz w:val="22"/>
          <w:szCs w:val="22"/>
          <w:lang w:val="fr-FR"/>
        </w:rPr>
        <w:t>occasion de reconnaître officiellement les résultats par l</w:t>
      </w:r>
      <w:r w:rsidR="008E532B">
        <w:rPr>
          <w:rFonts w:ascii="Arial" w:hAnsi="Arial" w:cs="Arial"/>
          <w:bCs/>
          <w:sz w:val="22"/>
          <w:szCs w:val="22"/>
          <w:lang w:val="fr-FR"/>
        </w:rPr>
        <w:t>’</w:t>
      </w:r>
      <w:r w:rsidRPr="00A54075">
        <w:rPr>
          <w:rFonts w:ascii="Arial" w:hAnsi="Arial" w:cs="Arial"/>
          <w:bCs/>
          <w:sz w:val="22"/>
          <w:szCs w:val="22"/>
          <w:lang w:val="fr-FR"/>
        </w:rPr>
        <w:t>adoption du projet de résolution 11 le lendemain.</w:t>
      </w:r>
    </w:p>
    <w:p w14:paraId="1CBFD93E" w14:textId="665BBFEB" w:rsidR="00D9653F" w:rsidRPr="00A54075" w:rsidRDefault="00D9653F" w:rsidP="0026573F">
      <w:pPr>
        <w:pStyle w:val="Orateurengris"/>
        <w:keepNext/>
        <w:tabs>
          <w:tab w:val="clear" w:pos="709"/>
          <w:tab w:val="clear" w:pos="1418"/>
          <w:tab w:val="clear" w:pos="2126"/>
          <w:tab w:val="clear" w:pos="2835"/>
        </w:tabs>
        <w:spacing w:before="360" w:after="60"/>
        <w:jc w:val="left"/>
        <w:outlineLvl w:val="0"/>
        <w:rPr>
          <w:b/>
          <w:u w:val="single"/>
          <w:lang w:val="fr-FR"/>
        </w:rPr>
      </w:pPr>
      <w:r>
        <w:rPr>
          <w:b/>
          <w:u w:val="single"/>
          <w:lang w:val="fr-FR"/>
        </w:rPr>
        <w:t>POINT 8 DE L</w:t>
      </w:r>
      <w:r w:rsidR="008E532B">
        <w:rPr>
          <w:b/>
          <w:u w:val="single"/>
          <w:lang w:val="fr-FR"/>
        </w:rPr>
        <w:t>’</w:t>
      </w:r>
      <w:r w:rsidRPr="00A54075">
        <w:rPr>
          <w:b/>
          <w:u w:val="single"/>
          <w:lang w:val="fr-FR"/>
        </w:rPr>
        <w:t xml:space="preserve">ORDRE DU </w:t>
      </w:r>
      <w:r w:rsidRPr="0026573F">
        <w:rPr>
          <w:b/>
          <w:color w:val="000000" w:themeColor="text1"/>
          <w:u w:val="single"/>
          <w:lang w:val="fr-FR"/>
        </w:rPr>
        <w:t>JOUR</w:t>
      </w:r>
      <w:r>
        <w:rPr>
          <w:b/>
          <w:u w:val="single"/>
          <w:lang w:val="fr-FR"/>
        </w:rPr>
        <w:t> :</w:t>
      </w:r>
    </w:p>
    <w:p w14:paraId="54B0E05C" w14:textId="3AB25B0E" w:rsidR="00D9653F" w:rsidRPr="009F6BC9" w:rsidRDefault="00D9653F" w:rsidP="0026573F">
      <w:pPr>
        <w:pStyle w:val="Orateurengris"/>
        <w:tabs>
          <w:tab w:val="clear" w:pos="709"/>
          <w:tab w:val="clear" w:pos="1418"/>
          <w:tab w:val="clear" w:pos="2126"/>
          <w:tab w:val="clear" w:pos="2835"/>
        </w:tabs>
        <w:outlineLvl w:val="0"/>
        <w:rPr>
          <w:b/>
          <w:color w:val="000000" w:themeColor="text1"/>
          <w:lang w:val="fr-FR"/>
        </w:rPr>
      </w:pPr>
      <w:r w:rsidRPr="009F6BC9">
        <w:rPr>
          <w:b/>
          <w:color w:val="000000" w:themeColor="text1"/>
          <w:lang w:val="fr-FR"/>
        </w:rPr>
        <w:t>APPROBATION DE LA PROCÉDURE SUIVIE POUR L</w:t>
      </w:r>
      <w:r w:rsidR="008E532B">
        <w:rPr>
          <w:b/>
          <w:color w:val="000000" w:themeColor="text1"/>
          <w:lang w:val="fr-FR"/>
        </w:rPr>
        <w:t>’</w:t>
      </w:r>
      <w:r w:rsidRPr="009F6BC9">
        <w:rPr>
          <w:b/>
          <w:color w:val="000000" w:themeColor="text1"/>
          <w:lang w:val="fr-FR"/>
        </w:rPr>
        <w:t>INSCRIPTION DE LA « SOUPE AU GIRAUMON », SOUMISE PAR HAÏTI, SUR LA LISTE REPRÉSENTATIVE DU PATRIMOINE CULTUREL IMMATÉRIEL DE L</w:t>
      </w:r>
      <w:r w:rsidR="008E532B">
        <w:rPr>
          <w:b/>
          <w:color w:val="000000" w:themeColor="text1"/>
          <w:lang w:val="fr-FR"/>
        </w:rPr>
        <w:t>’</w:t>
      </w:r>
      <w:r w:rsidRPr="009F6BC9">
        <w:rPr>
          <w:b/>
          <w:color w:val="000000" w:themeColor="text1"/>
          <w:lang w:val="fr-FR"/>
        </w:rPr>
        <w:t>HUMANITÉ</w:t>
      </w:r>
    </w:p>
    <w:p w14:paraId="209BFB52" w14:textId="4ED9DD3F" w:rsidR="00D9653F" w:rsidRPr="00A54075" w:rsidRDefault="00D9653F" w:rsidP="000438FF">
      <w:pPr>
        <w:tabs>
          <w:tab w:val="left" w:pos="567"/>
          <w:tab w:val="left" w:pos="2127"/>
        </w:tabs>
        <w:suppressAutoHyphens/>
        <w:autoSpaceDE w:val="0"/>
        <w:spacing w:after="120"/>
        <w:jc w:val="both"/>
        <w:rPr>
          <w:rFonts w:ascii="Arial" w:hAnsi="Arial" w:cs="Arial"/>
          <w:b/>
          <w:sz w:val="22"/>
          <w:szCs w:val="22"/>
          <w:lang w:val="fr-FR"/>
        </w:rPr>
      </w:pPr>
      <w:r w:rsidRPr="00A54075">
        <w:rPr>
          <w:rFonts w:ascii="Arial" w:hAnsi="Arial" w:cs="Arial"/>
          <w:b/>
          <w:sz w:val="22"/>
          <w:szCs w:val="22"/>
          <w:lang w:val="fr-FR"/>
        </w:rPr>
        <w:tab/>
      </w:r>
      <w:r>
        <w:rPr>
          <w:rFonts w:ascii="Arial" w:hAnsi="Arial" w:cs="Arial"/>
          <w:b/>
          <w:sz w:val="22"/>
          <w:szCs w:val="22"/>
          <w:lang w:val="fr-FR"/>
        </w:rPr>
        <w:t>Document</w:t>
      </w:r>
      <w:r w:rsidR="00BA6601">
        <w:rPr>
          <w:rFonts w:ascii="Arial" w:hAnsi="Arial" w:cs="Arial"/>
          <w:b/>
          <w:sz w:val="22"/>
          <w:szCs w:val="22"/>
          <w:lang w:val="fr-FR"/>
        </w:rPr>
        <w:t> :</w:t>
      </w:r>
      <w:r w:rsidR="00BA6601">
        <w:rPr>
          <w:rFonts w:ascii="Arial" w:hAnsi="Arial" w:cs="Arial"/>
          <w:b/>
          <w:sz w:val="22"/>
          <w:szCs w:val="22"/>
          <w:lang w:val="fr-FR"/>
        </w:rPr>
        <w:tab/>
      </w:r>
      <w:hyperlink r:id="rId41" w:history="1">
        <w:r w:rsidRPr="00A54075">
          <w:rPr>
            <w:rStyle w:val="Hyperlink"/>
            <w:rFonts w:ascii="Arial" w:hAnsi="Arial" w:cs="Arial"/>
            <w:bCs/>
            <w:i/>
            <w:iCs/>
            <w:sz w:val="22"/>
            <w:szCs w:val="22"/>
            <w:lang w:val="fr-FR"/>
          </w:rPr>
          <w:t>LHE/22/9.GA/8</w:t>
        </w:r>
      </w:hyperlink>
      <w:r w:rsidRPr="00A54075">
        <w:rPr>
          <w:rFonts w:ascii="Arial" w:hAnsi="Arial" w:cs="Arial"/>
          <w:bCs/>
          <w:i/>
          <w:iCs/>
          <w:sz w:val="22"/>
          <w:szCs w:val="22"/>
          <w:lang w:val="fr-FR"/>
        </w:rPr>
        <w:t xml:space="preserve"> </w:t>
      </w:r>
    </w:p>
    <w:p w14:paraId="3390BB12" w14:textId="170987D1" w:rsidR="00D9653F" w:rsidRPr="0026573F" w:rsidRDefault="00D9653F" w:rsidP="009F6BC9">
      <w:pPr>
        <w:tabs>
          <w:tab w:val="left" w:pos="567"/>
          <w:tab w:val="left" w:pos="709"/>
        </w:tabs>
        <w:suppressAutoHyphens/>
        <w:autoSpaceDE w:val="0"/>
        <w:spacing w:before="120" w:after="240"/>
        <w:jc w:val="both"/>
        <w:rPr>
          <w:rFonts w:ascii="Arial" w:hAnsi="Arial" w:cs="Arial"/>
          <w:b/>
          <w:sz w:val="22"/>
          <w:szCs w:val="22"/>
          <w:lang w:val="fr-FR"/>
        </w:rPr>
      </w:pPr>
      <w:r w:rsidRPr="00A54075">
        <w:rPr>
          <w:rFonts w:ascii="Arial" w:hAnsi="Arial" w:cs="Arial"/>
          <w:b/>
          <w:sz w:val="22"/>
          <w:szCs w:val="22"/>
          <w:lang w:val="fr-FR"/>
        </w:rPr>
        <w:tab/>
        <w:t>R</w:t>
      </w:r>
      <w:r>
        <w:rPr>
          <w:rFonts w:ascii="Arial" w:hAnsi="Arial" w:cs="Arial"/>
          <w:b/>
          <w:sz w:val="22"/>
          <w:szCs w:val="22"/>
          <w:lang w:val="fr-FR"/>
        </w:rPr>
        <w:t>é</w:t>
      </w:r>
      <w:r w:rsidRPr="00A54075">
        <w:rPr>
          <w:rFonts w:ascii="Arial" w:hAnsi="Arial" w:cs="Arial"/>
          <w:b/>
          <w:sz w:val="22"/>
          <w:szCs w:val="22"/>
          <w:lang w:val="fr-FR"/>
        </w:rPr>
        <w:t>solution</w:t>
      </w:r>
      <w:r>
        <w:rPr>
          <w:rFonts w:ascii="Arial" w:hAnsi="Arial" w:cs="Arial"/>
          <w:b/>
          <w:sz w:val="22"/>
          <w:szCs w:val="22"/>
          <w:lang w:val="fr-FR"/>
        </w:rPr>
        <w:t> </w:t>
      </w:r>
      <w:r w:rsidRPr="00A54075">
        <w:rPr>
          <w:rFonts w:ascii="Arial" w:hAnsi="Arial" w:cs="Arial"/>
          <w:b/>
          <w:sz w:val="22"/>
          <w:szCs w:val="22"/>
          <w:lang w:val="fr-FR"/>
        </w:rPr>
        <w:t xml:space="preserve">: </w:t>
      </w:r>
      <w:r w:rsidR="0026573F">
        <w:rPr>
          <w:rFonts w:ascii="Arial" w:hAnsi="Arial" w:cs="Arial"/>
          <w:b/>
          <w:sz w:val="22"/>
          <w:szCs w:val="22"/>
          <w:lang w:val="fr-FR"/>
        </w:rPr>
        <w:tab/>
      </w:r>
      <w:hyperlink r:id="rId42" w:history="1">
        <w:r w:rsidRPr="00A54075">
          <w:rPr>
            <w:rStyle w:val="Hyperlink"/>
            <w:rFonts w:ascii="Arial" w:hAnsi="Arial" w:cs="Arial"/>
            <w:bCs/>
            <w:i/>
            <w:iCs/>
            <w:sz w:val="22"/>
            <w:szCs w:val="22"/>
            <w:lang w:val="fr-FR"/>
          </w:rPr>
          <w:t>9.GA 8</w:t>
        </w:r>
      </w:hyperlink>
      <w:r w:rsidRPr="00A54075">
        <w:rPr>
          <w:rFonts w:ascii="Arial" w:hAnsi="Arial" w:cs="Arial"/>
          <w:b/>
          <w:sz w:val="22"/>
          <w:szCs w:val="22"/>
          <w:lang w:val="fr-FR"/>
        </w:rPr>
        <w:t xml:space="preserve"> </w:t>
      </w:r>
    </w:p>
    <w:p w14:paraId="52656E6A" w14:textId="5A74174C" w:rsidR="00D9653F" w:rsidRDefault="00D9653F" w:rsidP="00D9653F">
      <w:pPr>
        <w:numPr>
          <w:ilvl w:val="0"/>
          <w:numId w:val="19"/>
        </w:numPr>
        <w:suppressAutoHyphens/>
        <w:autoSpaceDE w:val="0"/>
        <w:ind w:left="567" w:hanging="567"/>
        <w:jc w:val="both"/>
        <w:rPr>
          <w:rFonts w:ascii="Arial" w:hAnsi="Arial" w:cs="Arial"/>
          <w:bCs/>
          <w:sz w:val="22"/>
          <w:szCs w:val="22"/>
          <w:lang w:val="fr-FR"/>
        </w:rPr>
      </w:pPr>
      <w:r w:rsidRPr="00A54075">
        <w:rPr>
          <w:rFonts w:ascii="Arial" w:hAnsi="Arial" w:cs="Arial"/>
          <w:bCs/>
          <w:sz w:val="22"/>
          <w:szCs w:val="22"/>
          <w:lang w:val="fr-FR"/>
        </w:rPr>
        <w:t xml:space="preserve">La </w:t>
      </w:r>
      <w:r w:rsidRPr="00A54075">
        <w:rPr>
          <w:rFonts w:ascii="Arial" w:hAnsi="Arial" w:cs="Arial"/>
          <w:b/>
          <w:sz w:val="22"/>
          <w:szCs w:val="22"/>
          <w:lang w:val="fr-FR"/>
        </w:rPr>
        <w:t>Présidente</w:t>
      </w:r>
      <w:r w:rsidRPr="00A54075">
        <w:rPr>
          <w:rFonts w:ascii="Arial" w:hAnsi="Arial" w:cs="Arial"/>
          <w:bCs/>
          <w:sz w:val="22"/>
          <w:szCs w:val="22"/>
          <w:lang w:val="fr-FR"/>
        </w:rPr>
        <w:t xml:space="preserve"> </w:t>
      </w:r>
      <w:r>
        <w:rPr>
          <w:rFonts w:ascii="Arial" w:hAnsi="Arial" w:cs="Arial"/>
          <w:bCs/>
          <w:sz w:val="22"/>
          <w:szCs w:val="22"/>
          <w:lang w:val="fr-FR"/>
        </w:rPr>
        <w:t xml:space="preserve">est </w:t>
      </w:r>
      <w:r w:rsidRPr="00A54075">
        <w:rPr>
          <w:rFonts w:ascii="Arial" w:hAnsi="Arial" w:cs="Arial"/>
          <w:bCs/>
          <w:sz w:val="22"/>
          <w:szCs w:val="22"/>
          <w:lang w:val="fr-FR"/>
        </w:rPr>
        <w:t>pass</w:t>
      </w:r>
      <w:r>
        <w:rPr>
          <w:rFonts w:ascii="Arial" w:hAnsi="Arial" w:cs="Arial"/>
          <w:bCs/>
          <w:sz w:val="22"/>
          <w:szCs w:val="22"/>
          <w:lang w:val="fr-FR"/>
        </w:rPr>
        <w:t>é</w:t>
      </w:r>
      <w:r w:rsidRPr="00A54075">
        <w:rPr>
          <w:rFonts w:ascii="Arial" w:hAnsi="Arial" w:cs="Arial"/>
          <w:bCs/>
          <w:sz w:val="22"/>
          <w:szCs w:val="22"/>
          <w:lang w:val="fr-FR"/>
        </w:rPr>
        <w:t>e au point 8 et à l</w:t>
      </w:r>
      <w:r w:rsidR="008E532B">
        <w:rPr>
          <w:rFonts w:ascii="Arial" w:hAnsi="Arial" w:cs="Arial"/>
          <w:bCs/>
          <w:sz w:val="22"/>
          <w:szCs w:val="22"/>
          <w:lang w:val="fr-FR"/>
        </w:rPr>
        <w:t>’</w:t>
      </w:r>
      <w:r w:rsidRPr="00A54075">
        <w:rPr>
          <w:rFonts w:ascii="Arial" w:hAnsi="Arial" w:cs="Arial"/>
          <w:bCs/>
          <w:sz w:val="22"/>
          <w:szCs w:val="22"/>
          <w:lang w:val="fr-FR"/>
        </w:rPr>
        <w:t>approbation de la procédure suivie pour l</w:t>
      </w:r>
      <w:r w:rsidR="008E532B">
        <w:rPr>
          <w:rFonts w:ascii="Arial" w:hAnsi="Arial" w:cs="Arial"/>
          <w:bCs/>
          <w:sz w:val="22"/>
          <w:szCs w:val="22"/>
          <w:lang w:val="fr-FR"/>
        </w:rPr>
        <w:t>’</w:t>
      </w:r>
      <w:r w:rsidRPr="00A54075">
        <w:rPr>
          <w:rFonts w:ascii="Arial" w:hAnsi="Arial" w:cs="Arial"/>
          <w:bCs/>
          <w:sz w:val="22"/>
          <w:szCs w:val="22"/>
          <w:lang w:val="fr-FR"/>
        </w:rPr>
        <w:t xml:space="preserve">inscription </w:t>
      </w:r>
      <w:r>
        <w:rPr>
          <w:rFonts w:ascii="Arial" w:hAnsi="Arial" w:cs="Arial"/>
          <w:bCs/>
          <w:sz w:val="22"/>
          <w:szCs w:val="22"/>
          <w:lang w:val="fr-FR"/>
        </w:rPr>
        <w:t xml:space="preserve">sur la Liste représentative </w:t>
      </w:r>
      <w:r w:rsidRPr="00A54075">
        <w:rPr>
          <w:rFonts w:ascii="Arial" w:hAnsi="Arial" w:cs="Arial"/>
          <w:bCs/>
          <w:sz w:val="22"/>
          <w:szCs w:val="22"/>
          <w:lang w:val="fr-FR"/>
        </w:rPr>
        <w:t xml:space="preserve">de la soupe </w:t>
      </w:r>
      <w:r>
        <w:rPr>
          <w:rFonts w:ascii="Arial" w:hAnsi="Arial" w:cs="Arial"/>
          <w:bCs/>
          <w:sz w:val="22"/>
          <w:szCs w:val="22"/>
          <w:lang w:val="fr-FR"/>
        </w:rPr>
        <w:t>au giraumon</w:t>
      </w:r>
      <w:r w:rsidRPr="00A54075">
        <w:rPr>
          <w:rFonts w:ascii="Arial" w:hAnsi="Arial" w:cs="Arial"/>
          <w:bCs/>
          <w:sz w:val="22"/>
          <w:szCs w:val="22"/>
          <w:lang w:val="fr-FR"/>
        </w:rPr>
        <w:t xml:space="preserve">, soumise par Haïti, et </w:t>
      </w:r>
      <w:r>
        <w:rPr>
          <w:rFonts w:ascii="Arial" w:hAnsi="Arial" w:cs="Arial"/>
          <w:bCs/>
          <w:sz w:val="22"/>
          <w:szCs w:val="22"/>
          <w:lang w:val="fr-FR"/>
        </w:rPr>
        <w:t xml:space="preserve">a </w:t>
      </w:r>
      <w:r w:rsidRPr="00A54075">
        <w:rPr>
          <w:rFonts w:ascii="Arial" w:hAnsi="Arial" w:cs="Arial"/>
          <w:bCs/>
          <w:sz w:val="22"/>
          <w:szCs w:val="22"/>
          <w:lang w:val="fr-FR"/>
        </w:rPr>
        <w:t>invit</w:t>
      </w:r>
      <w:r>
        <w:rPr>
          <w:rFonts w:ascii="Arial" w:hAnsi="Arial" w:cs="Arial"/>
          <w:bCs/>
          <w:sz w:val="22"/>
          <w:szCs w:val="22"/>
          <w:lang w:val="fr-FR"/>
        </w:rPr>
        <w:t>é</w:t>
      </w:r>
      <w:r w:rsidRPr="00A54075">
        <w:rPr>
          <w:rFonts w:ascii="Arial" w:hAnsi="Arial" w:cs="Arial"/>
          <w:bCs/>
          <w:sz w:val="22"/>
          <w:szCs w:val="22"/>
          <w:lang w:val="fr-FR"/>
        </w:rPr>
        <w:t xml:space="preserve"> le Sous-Directeur général à présenter ce point.</w:t>
      </w:r>
    </w:p>
    <w:p w14:paraId="1849C049" w14:textId="7C563F7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D2013">
        <w:rPr>
          <w:rFonts w:ascii="Arial" w:hAnsi="Arial" w:cs="Arial"/>
          <w:bCs/>
          <w:sz w:val="22"/>
          <w:szCs w:val="22"/>
          <w:lang w:val="fr-FR"/>
        </w:rPr>
        <w:t xml:space="preserve">Le </w:t>
      </w:r>
      <w:r w:rsidRPr="00CD2013">
        <w:rPr>
          <w:rFonts w:ascii="Arial" w:hAnsi="Arial" w:cs="Arial"/>
          <w:b/>
          <w:sz w:val="22"/>
          <w:szCs w:val="22"/>
          <w:lang w:val="fr-FR"/>
        </w:rPr>
        <w:t>Sous-Directeur général</w:t>
      </w:r>
      <w:r w:rsidRPr="00CD2013">
        <w:rPr>
          <w:rFonts w:ascii="Arial" w:hAnsi="Arial" w:cs="Arial"/>
          <w:bCs/>
          <w:sz w:val="22"/>
          <w:szCs w:val="22"/>
          <w:lang w:val="fr-FR"/>
        </w:rPr>
        <w:t xml:space="preserve"> a expliqué qu</w:t>
      </w:r>
      <w:r w:rsidR="008E532B">
        <w:rPr>
          <w:rFonts w:ascii="Arial" w:hAnsi="Arial" w:cs="Arial"/>
          <w:bCs/>
          <w:sz w:val="22"/>
          <w:szCs w:val="22"/>
          <w:lang w:val="fr-FR"/>
        </w:rPr>
        <w:t>’</w:t>
      </w:r>
      <w:r w:rsidRPr="00CD2013">
        <w:rPr>
          <w:rFonts w:ascii="Arial" w:hAnsi="Arial" w:cs="Arial"/>
          <w:bCs/>
          <w:sz w:val="22"/>
          <w:szCs w:val="22"/>
          <w:lang w:val="fr-FR"/>
        </w:rPr>
        <w:t>une demande avait été f</w:t>
      </w:r>
      <w:r>
        <w:rPr>
          <w:rFonts w:ascii="Arial" w:hAnsi="Arial" w:cs="Arial"/>
          <w:bCs/>
          <w:sz w:val="22"/>
          <w:szCs w:val="22"/>
          <w:lang w:val="fr-FR"/>
        </w:rPr>
        <w:t>aite</w:t>
      </w:r>
      <w:r w:rsidRPr="00CD2013">
        <w:rPr>
          <w:rFonts w:ascii="Arial" w:hAnsi="Arial" w:cs="Arial"/>
          <w:bCs/>
          <w:sz w:val="22"/>
          <w:szCs w:val="22"/>
          <w:lang w:val="fr-FR"/>
        </w:rPr>
        <w:t xml:space="preserve"> par Haïti </w:t>
      </w:r>
      <w:r>
        <w:rPr>
          <w:rFonts w:ascii="Arial" w:hAnsi="Arial" w:cs="Arial"/>
          <w:bCs/>
          <w:sz w:val="22"/>
          <w:szCs w:val="22"/>
          <w:lang w:val="fr-FR"/>
        </w:rPr>
        <w:t xml:space="preserve">afin de </w:t>
      </w:r>
      <w:r w:rsidRPr="00CD2013">
        <w:rPr>
          <w:rFonts w:ascii="Arial" w:hAnsi="Arial" w:cs="Arial"/>
          <w:bCs/>
          <w:sz w:val="22"/>
          <w:szCs w:val="22"/>
          <w:lang w:val="fr-FR"/>
        </w:rPr>
        <w:t xml:space="preserve">traiter la candidature </w:t>
      </w:r>
      <w:r>
        <w:rPr>
          <w:rFonts w:ascii="Arial" w:hAnsi="Arial" w:cs="Arial"/>
          <w:bCs/>
          <w:sz w:val="22"/>
          <w:szCs w:val="22"/>
          <w:lang w:val="fr-FR"/>
        </w:rPr>
        <w:t xml:space="preserve">de la soupe au giraumon, </w:t>
      </w:r>
      <w:r w:rsidRPr="00CD2013">
        <w:rPr>
          <w:rFonts w:ascii="Arial" w:hAnsi="Arial" w:cs="Arial"/>
          <w:bCs/>
          <w:sz w:val="22"/>
          <w:szCs w:val="22"/>
          <w:lang w:val="fr-FR"/>
        </w:rPr>
        <w:t>en vue de son inscription sur la Liste représentative au titre du cycle 2021</w:t>
      </w:r>
      <w:r>
        <w:rPr>
          <w:rFonts w:ascii="Arial" w:hAnsi="Arial" w:cs="Arial"/>
          <w:bCs/>
          <w:sz w:val="22"/>
          <w:szCs w:val="22"/>
          <w:lang w:val="fr-FR"/>
        </w:rPr>
        <w:t>,</w:t>
      </w:r>
      <w:r w:rsidRPr="00CD2013">
        <w:rPr>
          <w:rFonts w:ascii="Arial" w:hAnsi="Arial" w:cs="Arial"/>
          <w:bCs/>
          <w:sz w:val="22"/>
          <w:szCs w:val="22"/>
          <w:lang w:val="fr-FR"/>
        </w:rPr>
        <w:t xml:space="preserve"> </w:t>
      </w:r>
      <w:r>
        <w:rPr>
          <w:rFonts w:ascii="Arial" w:hAnsi="Arial" w:cs="Arial"/>
          <w:bCs/>
          <w:sz w:val="22"/>
          <w:szCs w:val="22"/>
          <w:lang w:val="fr-FR"/>
        </w:rPr>
        <w:t>dans le cadre d</w:t>
      </w:r>
      <w:r w:rsidR="008E532B">
        <w:rPr>
          <w:rFonts w:ascii="Arial" w:hAnsi="Arial" w:cs="Arial"/>
          <w:bCs/>
          <w:sz w:val="22"/>
          <w:szCs w:val="22"/>
          <w:lang w:val="fr-FR"/>
        </w:rPr>
        <w:t>’</w:t>
      </w:r>
      <w:r>
        <w:rPr>
          <w:rFonts w:ascii="Arial" w:hAnsi="Arial" w:cs="Arial"/>
          <w:bCs/>
          <w:sz w:val="22"/>
          <w:szCs w:val="22"/>
          <w:lang w:val="fr-FR"/>
        </w:rPr>
        <w:t>une procédure</w:t>
      </w:r>
      <w:r w:rsidRPr="00CD2013">
        <w:rPr>
          <w:rFonts w:ascii="Arial" w:hAnsi="Arial" w:cs="Arial"/>
          <w:bCs/>
          <w:sz w:val="22"/>
          <w:szCs w:val="22"/>
          <w:lang w:val="fr-FR"/>
        </w:rPr>
        <w:t xml:space="preserve"> accélérée exceptionnelle pour des raisons de compassion. Cette demande faisait suite aux catastrophes naturelles </w:t>
      </w:r>
      <w:r>
        <w:rPr>
          <w:rFonts w:ascii="Arial" w:hAnsi="Arial" w:cs="Arial"/>
          <w:bCs/>
          <w:sz w:val="22"/>
          <w:szCs w:val="22"/>
          <w:lang w:val="fr-FR"/>
        </w:rPr>
        <w:t xml:space="preserve">successives </w:t>
      </w:r>
      <w:r w:rsidRPr="00CD2013">
        <w:rPr>
          <w:rFonts w:ascii="Arial" w:hAnsi="Arial" w:cs="Arial"/>
          <w:bCs/>
          <w:sz w:val="22"/>
          <w:szCs w:val="22"/>
          <w:lang w:val="fr-FR"/>
        </w:rPr>
        <w:t>qui avaient frappé le pays en août 2021</w:t>
      </w:r>
      <w:r>
        <w:rPr>
          <w:rFonts w:ascii="Arial" w:hAnsi="Arial" w:cs="Arial"/>
          <w:bCs/>
          <w:sz w:val="22"/>
          <w:szCs w:val="22"/>
          <w:lang w:val="fr-FR"/>
        </w:rPr>
        <w:t>,</w:t>
      </w:r>
      <w:r w:rsidRPr="00CD2013">
        <w:rPr>
          <w:rFonts w:ascii="Arial" w:hAnsi="Arial" w:cs="Arial"/>
          <w:bCs/>
          <w:sz w:val="22"/>
          <w:szCs w:val="22"/>
          <w:lang w:val="fr-FR"/>
        </w:rPr>
        <w:t xml:space="preserve"> dans un contexte de </w:t>
      </w:r>
      <w:r>
        <w:rPr>
          <w:rFonts w:ascii="Arial" w:hAnsi="Arial" w:cs="Arial"/>
          <w:bCs/>
          <w:sz w:val="22"/>
          <w:szCs w:val="22"/>
          <w:lang w:val="fr-FR"/>
        </w:rPr>
        <w:t xml:space="preserve">vastes </w:t>
      </w:r>
      <w:r w:rsidRPr="00CD2013">
        <w:rPr>
          <w:rFonts w:ascii="Arial" w:hAnsi="Arial" w:cs="Arial"/>
          <w:bCs/>
          <w:sz w:val="22"/>
          <w:szCs w:val="22"/>
          <w:lang w:val="fr-FR"/>
        </w:rPr>
        <w:t>troubles sociaux et politiques. Le document de travail 8 décri</w:t>
      </w:r>
      <w:r>
        <w:rPr>
          <w:rFonts w:ascii="Arial" w:hAnsi="Arial" w:cs="Arial"/>
          <w:bCs/>
          <w:sz w:val="22"/>
          <w:szCs w:val="22"/>
          <w:lang w:val="fr-FR"/>
        </w:rPr>
        <w:t>vai</w:t>
      </w:r>
      <w:r w:rsidRPr="00CD2013">
        <w:rPr>
          <w:rFonts w:ascii="Arial" w:hAnsi="Arial" w:cs="Arial"/>
          <w:bCs/>
          <w:sz w:val="22"/>
          <w:szCs w:val="22"/>
          <w:lang w:val="fr-FR"/>
        </w:rPr>
        <w:t>t les étapes suivies pour traiter la demande. Le dossier de candidature a</w:t>
      </w:r>
      <w:r>
        <w:rPr>
          <w:rFonts w:ascii="Arial" w:hAnsi="Arial" w:cs="Arial"/>
          <w:bCs/>
          <w:sz w:val="22"/>
          <w:szCs w:val="22"/>
          <w:lang w:val="fr-FR"/>
        </w:rPr>
        <w:t>vait</w:t>
      </w:r>
      <w:r w:rsidRPr="00CD2013">
        <w:rPr>
          <w:rFonts w:ascii="Arial" w:hAnsi="Arial" w:cs="Arial"/>
          <w:bCs/>
          <w:sz w:val="22"/>
          <w:szCs w:val="22"/>
          <w:lang w:val="fr-FR"/>
        </w:rPr>
        <w:t xml:space="preserve"> </w:t>
      </w:r>
      <w:r>
        <w:rPr>
          <w:rFonts w:ascii="Arial" w:hAnsi="Arial" w:cs="Arial"/>
          <w:bCs/>
          <w:sz w:val="22"/>
          <w:szCs w:val="22"/>
          <w:lang w:val="fr-FR"/>
        </w:rPr>
        <w:t xml:space="preserve">été évalué dans sa totalité et avait reçu </w:t>
      </w:r>
      <w:r w:rsidRPr="00CD2013">
        <w:rPr>
          <w:rFonts w:ascii="Arial" w:hAnsi="Arial" w:cs="Arial"/>
          <w:bCs/>
          <w:sz w:val="22"/>
          <w:szCs w:val="22"/>
          <w:lang w:val="fr-FR"/>
        </w:rPr>
        <w:t>une recommandation positive de l</w:t>
      </w:r>
      <w:r w:rsidR="008E532B">
        <w:rPr>
          <w:rFonts w:ascii="Arial" w:hAnsi="Arial" w:cs="Arial"/>
          <w:bCs/>
          <w:sz w:val="22"/>
          <w:szCs w:val="22"/>
          <w:lang w:val="fr-FR"/>
        </w:rPr>
        <w:t>’</w:t>
      </w:r>
      <w:r>
        <w:rPr>
          <w:rFonts w:ascii="Arial" w:hAnsi="Arial" w:cs="Arial"/>
          <w:bCs/>
          <w:sz w:val="22"/>
          <w:szCs w:val="22"/>
          <w:lang w:val="fr-FR"/>
        </w:rPr>
        <w:t>O</w:t>
      </w:r>
      <w:r w:rsidRPr="00CD2013">
        <w:rPr>
          <w:rFonts w:ascii="Arial" w:hAnsi="Arial" w:cs="Arial"/>
          <w:bCs/>
          <w:sz w:val="22"/>
          <w:szCs w:val="22"/>
          <w:lang w:val="fr-FR"/>
        </w:rPr>
        <w:t>rgane d</w:t>
      </w:r>
      <w:r w:rsidR="008E532B">
        <w:rPr>
          <w:rFonts w:ascii="Arial" w:hAnsi="Arial" w:cs="Arial"/>
          <w:bCs/>
          <w:sz w:val="22"/>
          <w:szCs w:val="22"/>
          <w:lang w:val="fr-FR"/>
        </w:rPr>
        <w:t>’</w:t>
      </w:r>
      <w:r w:rsidRPr="00CD2013">
        <w:rPr>
          <w:rFonts w:ascii="Arial" w:hAnsi="Arial" w:cs="Arial"/>
          <w:bCs/>
          <w:sz w:val="22"/>
          <w:szCs w:val="22"/>
          <w:lang w:val="fr-FR"/>
        </w:rPr>
        <w:t>évaluation. Sur cette base, le Secrétariat a</w:t>
      </w:r>
      <w:r>
        <w:rPr>
          <w:rFonts w:ascii="Arial" w:hAnsi="Arial" w:cs="Arial"/>
          <w:bCs/>
          <w:sz w:val="22"/>
          <w:szCs w:val="22"/>
          <w:lang w:val="fr-FR"/>
        </w:rPr>
        <w:t>vait</w:t>
      </w:r>
      <w:r w:rsidRPr="00CD2013">
        <w:rPr>
          <w:rFonts w:ascii="Arial" w:hAnsi="Arial" w:cs="Arial"/>
          <w:bCs/>
          <w:sz w:val="22"/>
          <w:szCs w:val="22"/>
          <w:lang w:val="fr-FR"/>
        </w:rPr>
        <w:t xml:space="preserve"> inclus la question dans l</w:t>
      </w:r>
      <w:r w:rsidR="008E532B">
        <w:rPr>
          <w:rFonts w:ascii="Arial" w:hAnsi="Arial" w:cs="Arial"/>
          <w:bCs/>
          <w:sz w:val="22"/>
          <w:szCs w:val="22"/>
          <w:lang w:val="fr-FR"/>
        </w:rPr>
        <w:t>’</w:t>
      </w:r>
      <w:r w:rsidRPr="00CD2013">
        <w:rPr>
          <w:rFonts w:ascii="Arial" w:hAnsi="Arial" w:cs="Arial"/>
          <w:bCs/>
          <w:sz w:val="22"/>
          <w:szCs w:val="22"/>
          <w:lang w:val="fr-FR"/>
        </w:rPr>
        <w:t>ordre du jour provisoire de la</w:t>
      </w:r>
      <w:r>
        <w:rPr>
          <w:rFonts w:ascii="Arial" w:hAnsi="Arial" w:cs="Arial"/>
          <w:bCs/>
          <w:sz w:val="22"/>
          <w:szCs w:val="22"/>
          <w:lang w:val="fr-FR"/>
        </w:rPr>
        <w:t xml:space="preserve"> seizième</w:t>
      </w:r>
      <w:r w:rsidRPr="00CD2013">
        <w:rPr>
          <w:rFonts w:ascii="Arial" w:hAnsi="Arial" w:cs="Arial"/>
          <w:bCs/>
          <w:sz w:val="22"/>
          <w:szCs w:val="22"/>
          <w:lang w:val="fr-FR"/>
        </w:rPr>
        <w:t xml:space="preserve"> session du Comité, en informant le Bureau en conséquence. Le Comité a</w:t>
      </w:r>
      <w:r>
        <w:rPr>
          <w:rFonts w:ascii="Arial" w:hAnsi="Arial" w:cs="Arial"/>
          <w:bCs/>
          <w:sz w:val="22"/>
          <w:szCs w:val="22"/>
          <w:lang w:val="fr-FR"/>
        </w:rPr>
        <w:t>vait</w:t>
      </w:r>
      <w:r w:rsidRPr="00CD2013">
        <w:rPr>
          <w:rFonts w:ascii="Arial" w:hAnsi="Arial" w:cs="Arial"/>
          <w:bCs/>
          <w:sz w:val="22"/>
          <w:szCs w:val="22"/>
          <w:lang w:val="fr-FR"/>
        </w:rPr>
        <w:t xml:space="preserve"> été informé que, selon les dispositions de la Convention, le Comité est</w:t>
      </w:r>
      <w:r>
        <w:rPr>
          <w:rFonts w:ascii="Arial" w:hAnsi="Arial" w:cs="Arial"/>
          <w:bCs/>
          <w:sz w:val="22"/>
          <w:szCs w:val="22"/>
          <w:lang w:val="fr-FR"/>
        </w:rPr>
        <w:t xml:space="preserve"> investi du pouvoir d</w:t>
      </w:r>
      <w:r w:rsidR="008E532B">
        <w:rPr>
          <w:rFonts w:ascii="Arial" w:hAnsi="Arial" w:cs="Arial"/>
          <w:bCs/>
          <w:sz w:val="22"/>
          <w:szCs w:val="22"/>
          <w:lang w:val="fr-FR"/>
        </w:rPr>
        <w:t>’</w:t>
      </w:r>
      <w:r w:rsidRPr="00CD2013">
        <w:rPr>
          <w:rFonts w:ascii="Arial" w:hAnsi="Arial" w:cs="Arial"/>
          <w:bCs/>
          <w:sz w:val="22"/>
          <w:szCs w:val="22"/>
          <w:lang w:val="fr-FR"/>
        </w:rPr>
        <w:t>examiner une demande d</w:t>
      </w:r>
      <w:r w:rsidR="008E532B">
        <w:rPr>
          <w:rFonts w:ascii="Arial" w:hAnsi="Arial" w:cs="Arial"/>
          <w:bCs/>
          <w:sz w:val="22"/>
          <w:szCs w:val="22"/>
          <w:lang w:val="fr-FR"/>
        </w:rPr>
        <w:t>’</w:t>
      </w:r>
      <w:r w:rsidRPr="00CD2013">
        <w:rPr>
          <w:rFonts w:ascii="Arial" w:hAnsi="Arial" w:cs="Arial"/>
          <w:bCs/>
          <w:sz w:val="22"/>
          <w:szCs w:val="22"/>
          <w:lang w:val="fr-FR"/>
        </w:rPr>
        <w:t xml:space="preserve">inscription et </w:t>
      </w:r>
      <w:r>
        <w:rPr>
          <w:rFonts w:ascii="Arial" w:hAnsi="Arial" w:cs="Arial"/>
          <w:bCs/>
          <w:sz w:val="22"/>
          <w:szCs w:val="22"/>
          <w:lang w:val="fr-FR"/>
        </w:rPr>
        <w:t>de statuer sur celle-ci,</w:t>
      </w:r>
      <w:r w:rsidRPr="00CD2013">
        <w:rPr>
          <w:rFonts w:ascii="Arial" w:hAnsi="Arial" w:cs="Arial"/>
          <w:bCs/>
          <w:sz w:val="22"/>
          <w:szCs w:val="22"/>
          <w:lang w:val="fr-FR"/>
        </w:rPr>
        <w:t xml:space="preserve"> sur la base des procédures prévues par les Directives opérationnelles, qui sont établies par l</w:t>
      </w:r>
      <w:r w:rsidR="008E532B">
        <w:rPr>
          <w:rFonts w:ascii="Arial" w:hAnsi="Arial" w:cs="Arial"/>
          <w:bCs/>
          <w:sz w:val="22"/>
          <w:szCs w:val="22"/>
          <w:lang w:val="fr-FR"/>
        </w:rPr>
        <w:t>’</w:t>
      </w:r>
      <w:r w:rsidRPr="00CD2013">
        <w:rPr>
          <w:rFonts w:ascii="Arial" w:hAnsi="Arial" w:cs="Arial"/>
          <w:bCs/>
          <w:sz w:val="22"/>
          <w:szCs w:val="22"/>
          <w:lang w:val="fr-FR"/>
        </w:rPr>
        <w:t>Assemblée générale. Il s</w:t>
      </w:r>
      <w:r w:rsidR="008E532B">
        <w:rPr>
          <w:rFonts w:ascii="Arial" w:hAnsi="Arial" w:cs="Arial"/>
          <w:bCs/>
          <w:sz w:val="22"/>
          <w:szCs w:val="22"/>
          <w:lang w:val="fr-FR"/>
        </w:rPr>
        <w:t>’</w:t>
      </w:r>
      <w:r w:rsidRPr="00CD2013">
        <w:rPr>
          <w:rFonts w:ascii="Arial" w:hAnsi="Arial" w:cs="Arial"/>
          <w:bCs/>
          <w:sz w:val="22"/>
          <w:szCs w:val="22"/>
          <w:lang w:val="fr-FR"/>
        </w:rPr>
        <w:t>ensui</w:t>
      </w:r>
      <w:r>
        <w:rPr>
          <w:rFonts w:ascii="Arial" w:hAnsi="Arial" w:cs="Arial"/>
          <w:bCs/>
          <w:sz w:val="22"/>
          <w:szCs w:val="22"/>
          <w:lang w:val="fr-FR"/>
        </w:rPr>
        <w:t>vait</w:t>
      </w:r>
      <w:r w:rsidRPr="00CD2013">
        <w:rPr>
          <w:rFonts w:ascii="Arial" w:hAnsi="Arial" w:cs="Arial"/>
          <w:bCs/>
          <w:sz w:val="22"/>
          <w:szCs w:val="22"/>
          <w:lang w:val="fr-FR"/>
        </w:rPr>
        <w:t xml:space="preserve"> que, l</w:t>
      </w:r>
      <w:r w:rsidR="008E532B">
        <w:rPr>
          <w:rFonts w:ascii="Arial" w:hAnsi="Arial" w:cs="Arial"/>
          <w:bCs/>
          <w:sz w:val="22"/>
          <w:szCs w:val="22"/>
          <w:lang w:val="fr-FR"/>
        </w:rPr>
        <w:t>’</w:t>
      </w:r>
      <w:r w:rsidRPr="00CD2013">
        <w:rPr>
          <w:rFonts w:ascii="Arial" w:hAnsi="Arial" w:cs="Arial"/>
          <w:bCs/>
          <w:sz w:val="22"/>
          <w:szCs w:val="22"/>
          <w:lang w:val="fr-FR"/>
        </w:rPr>
        <w:t>inscription ayant eu lieu dans des circonstances qui n</w:t>
      </w:r>
      <w:r>
        <w:rPr>
          <w:rFonts w:ascii="Arial" w:hAnsi="Arial" w:cs="Arial"/>
          <w:bCs/>
          <w:sz w:val="22"/>
          <w:szCs w:val="22"/>
          <w:lang w:val="fr-FR"/>
        </w:rPr>
        <w:t>e sont</w:t>
      </w:r>
      <w:r w:rsidRPr="00CD2013">
        <w:rPr>
          <w:rFonts w:ascii="Arial" w:hAnsi="Arial" w:cs="Arial"/>
          <w:bCs/>
          <w:sz w:val="22"/>
          <w:szCs w:val="22"/>
          <w:lang w:val="fr-FR"/>
        </w:rPr>
        <w:t xml:space="preserve"> pas prévues par les Directives opérationnelles, la décision d</w:t>
      </w:r>
      <w:r w:rsidR="008E532B">
        <w:rPr>
          <w:rFonts w:ascii="Arial" w:hAnsi="Arial" w:cs="Arial"/>
          <w:bCs/>
          <w:sz w:val="22"/>
          <w:szCs w:val="22"/>
          <w:lang w:val="fr-FR"/>
        </w:rPr>
        <w:t>’</w:t>
      </w:r>
      <w:r w:rsidRPr="00CD2013">
        <w:rPr>
          <w:rFonts w:ascii="Arial" w:hAnsi="Arial" w:cs="Arial"/>
          <w:bCs/>
          <w:sz w:val="22"/>
          <w:szCs w:val="22"/>
          <w:lang w:val="fr-FR"/>
        </w:rPr>
        <w:t>inscription du Comité nécessitait l</w:t>
      </w:r>
      <w:r w:rsidR="008E532B">
        <w:rPr>
          <w:rFonts w:ascii="Arial" w:hAnsi="Arial" w:cs="Arial"/>
          <w:bCs/>
          <w:sz w:val="22"/>
          <w:szCs w:val="22"/>
          <w:lang w:val="fr-FR"/>
        </w:rPr>
        <w:t>’</w:t>
      </w:r>
      <w:r w:rsidRPr="00CD2013">
        <w:rPr>
          <w:rFonts w:ascii="Arial" w:hAnsi="Arial" w:cs="Arial"/>
          <w:bCs/>
          <w:sz w:val="22"/>
          <w:szCs w:val="22"/>
          <w:lang w:val="fr-FR"/>
        </w:rPr>
        <w:t>aval de l</w:t>
      </w:r>
      <w:r w:rsidR="008E532B">
        <w:rPr>
          <w:rFonts w:ascii="Arial" w:hAnsi="Arial" w:cs="Arial"/>
          <w:bCs/>
          <w:sz w:val="22"/>
          <w:szCs w:val="22"/>
          <w:lang w:val="fr-FR"/>
        </w:rPr>
        <w:t>’</w:t>
      </w:r>
      <w:r w:rsidRPr="00CD2013">
        <w:rPr>
          <w:rFonts w:ascii="Arial" w:hAnsi="Arial" w:cs="Arial"/>
          <w:bCs/>
          <w:sz w:val="22"/>
          <w:szCs w:val="22"/>
          <w:lang w:val="fr-FR"/>
        </w:rPr>
        <w:t>Assemblée générale. C</w:t>
      </w:r>
      <w:r w:rsidR="008E532B">
        <w:rPr>
          <w:rFonts w:ascii="Arial" w:hAnsi="Arial" w:cs="Arial"/>
          <w:bCs/>
          <w:sz w:val="22"/>
          <w:szCs w:val="22"/>
          <w:lang w:val="fr-FR"/>
        </w:rPr>
        <w:t>’</w:t>
      </w:r>
      <w:r>
        <w:rPr>
          <w:rFonts w:ascii="Arial" w:hAnsi="Arial" w:cs="Arial"/>
          <w:bCs/>
          <w:sz w:val="22"/>
          <w:szCs w:val="22"/>
          <w:lang w:val="fr-FR"/>
        </w:rPr>
        <w:t>est</w:t>
      </w:r>
      <w:r w:rsidRPr="00CD2013">
        <w:rPr>
          <w:rFonts w:ascii="Arial" w:hAnsi="Arial" w:cs="Arial"/>
          <w:bCs/>
          <w:sz w:val="22"/>
          <w:szCs w:val="22"/>
          <w:lang w:val="fr-FR"/>
        </w:rPr>
        <w:t xml:space="preserve"> la raison pour laquelle ce cas </w:t>
      </w:r>
      <w:r>
        <w:rPr>
          <w:rFonts w:ascii="Arial" w:hAnsi="Arial" w:cs="Arial"/>
          <w:bCs/>
          <w:sz w:val="22"/>
          <w:szCs w:val="22"/>
          <w:lang w:val="fr-FR"/>
        </w:rPr>
        <w:t>était</w:t>
      </w:r>
      <w:r w:rsidRPr="00CD2013">
        <w:rPr>
          <w:rFonts w:ascii="Arial" w:hAnsi="Arial" w:cs="Arial"/>
          <w:bCs/>
          <w:sz w:val="22"/>
          <w:szCs w:val="22"/>
          <w:lang w:val="fr-FR"/>
        </w:rPr>
        <w:t xml:space="preserve"> porté à l</w:t>
      </w:r>
      <w:r w:rsidR="008E532B">
        <w:rPr>
          <w:rFonts w:ascii="Arial" w:hAnsi="Arial" w:cs="Arial"/>
          <w:bCs/>
          <w:sz w:val="22"/>
          <w:szCs w:val="22"/>
          <w:lang w:val="fr-FR"/>
        </w:rPr>
        <w:t>’</w:t>
      </w:r>
      <w:r w:rsidRPr="00CD2013">
        <w:rPr>
          <w:rFonts w:ascii="Arial" w:hAnsi="Arial" w:cs="Arial"/>
          <w:bCs/>
          <w:sz w:val="22"/>
          <w:szCs w:val="22"/>
          <w:lang w:val="fr-FR"/>
        </w:rPr>
        <w:t>attention de la présente session</w:t>
      </w:r>
      <w:r>
        <w:rPr>
          <w:rFonts w:ascii="Arial" w:hAnsi="Arial" w:cs="Arial"/>
          <w:bCs/>
          <w:sz w:val="22"/>
          <w:szCs w:val="22"/>
          <w:lang w:val="fr-FR"/>
        </w:rPr>
        <w:t>,</w:t>
      </w:r>
      <w:r w:rsidRPr="00CD2013">
        <w:rPr>
          <w:rFonts w:ascii="Arial" w:hAnsi="Arial" w:cs="Arial"/>
          <w:bCs/>
          <w:sz w:val="22"/>
          <w:szCs w:val="22"/>
          <w:lang w:val="fr-FR"/>
        </w:rPr>
        <w:t xml:space="preserve"> à la demande du Comité. Tout en décidant d</w:t>
      </w:r>
      <w:r w:rsidR="008E532B">
        <w:rPr>
          <w:rFonts w:ascii="Arial" w:hAnsi="Arial" w:cs="Arial"/>
          <w:bCs/>
          <w:sz w:val="22"/>
          <w:szCs w:val="22"/>
          <w:lang w:val="fr-FR"/>
        </w:rPr>
        <w:t>’</w:t>
      </w:r>
      <w:r w:rsidRPr="00CD2013">
        <w:rPr>
          <w:rFonts w:ascii="Arial" w:hAnsi="Arial" w:cs="Arial"/>
          <w:bCs/>
          <w:sz w:val="22"/>
          <w:szCs w:val="22"/>
          <w:lang w:val="fr-FR"/>
        </w:rPr>
        <w:t xml:space="preserve">inscrire </w:t>
      </w:r>
      <w:r>
        <w:rPr>
          <w:rFonts w:ascii="Arial" w:hAnsi="Arial" w:cs="Arial"/>
          <w:bCs/>
          <w:sz w:val="22"/>
          <w:szCs w:val="22"/>
          <w:lang w:val="fr-FR"/>
        </w:rPr>
        <w:t>la soupe au giraumon</w:t>
      </w:r>
      <w:r w:rsidRPr="00CD2013">
        <w:rPr>
          <w:rFonts w:ascii="Arial" w:hAnsi="Arial" w:cs="Arial"/>
          <w:bCs/>
          <w:sz w:val="22"/>
          <w:szCs w:val="22"/>
          <w:lang w:val="fr-FR"/>
        </w:rPr>
        <w:t xml:space="preserve"> sur la Liste représentative, le Comité a</w:t>
      </w:r>
      <w:r>
        <w:rPr>
          <w:rFonts w:ascii="Arial" w:hAnsi="Arial" w:cs="Arial"/>
          <w:bCs/>
          <w:sz w:val="22"/>
          <w:szCs w:val="22"/>
          <w:lang w:val="fr-FR"/>
        </w:rPr>
        <w:t>vait</w:t>
      </w:r>
      <w:r w:rsidRPr="00CD2013">
        <w:rPr>
          <w:rFonts w:ascii="Arial" w:hAnsi="Arial" w:cs="Arial"/>
          <w:bCs/>
          <w:sz w:val="22"/>
          <w:szCs w:val="22"/>
          <w:lang w:val="fr-FR"/>
        </w:rPr>
        <w:t xml:space="preserve"> invité le groupe de travail à composition non limitée sur les mécanismes d</w:t>
      </w:r>
      <w:r w:rsidR="008E532B">
        <w:rPr>
          <w:rFonts w:ascii="Arial" w:hAnsi="Arial" w:cs="Arial"/>
          <w:bCs/>
          <w:sz w:val="22"/>
          <w:szCs w:val="22"/>
          <w:lang w:val="fr-FR"/>
        </w:rPr>
        <w:t>’</w:t>
      </w:r>
      <w:r w:rsidRPr="00CD2013">
        <w:rPr>
          <w:rFonts w:ascii="Arial" w:hAnsi="Arial" w:cs="Arial"/>
          <w:bCs/>
          <w:sz w:val="22"/>
          <w:szCs w:val="22"/>
          <w:lang w:val="fr-FR"/>
        </w:rPr>
        <w:t>inscription à examiner les procédures pour les cas exceptionnels, ce qui fai</w:t>
      </w:r>
      <w:r>
        <w:rPr>
          <w:rFonts w:ascii="Arial" w:hAnsi="Arial" w:cs="Arial"/>
          <w:bCs/>
          <w:sz w:val="22"/>
          <w:szCs w:val="22"/>
          <w:lang w:val="fr-FR"/>
        </w:rPr>
        <w:t>sait</w:t>
      </w:r>
      <w:r w:rsidRPr="00CD2013">
        <w:rPr>
          <w:rFonts w:ascii="Arial" w:hAnsi="Arial" w:cs="Arial"/>
          <w:bCs/>
          <w:sz w:val="22"/>
          <w:szCs w:val="22"/>
          <w:lang w:val="fr-FR"/>
        </w:rPr>
        <w:t xml:space="preserve"> partie de la question couverte par le point 9 de l</w:t>
      </w:r>
      <w:r w:rsidR="008E532B">
        <w:rPr>
          <w:rFonts w:ascii="Arial" w:hAnsi="Arial" w:cs="Arial"/>
          <w:bCs/>
          <w:sz w:val="22"/>
          <w:szCs w:val="22"/>
          <w:lang w:val="fr-FR"/>
        </w:rPr>
        <w:t>’</w:t>
      </w:r>
      <w:r w:rsidRPr="00CD2013">
        <w:rPr>
          <w:rFonts w:ascii="Arial" w:hAnsi="Arial" w:cs="Arial"/>
          <w:bCs/>
          <w:sz w:val="22"/>
          <w:szCs w:val="22"/>
          <w:lang w:val="fr-FR"/>
        </w:rPr>
        <w:t>ordre du jour.</w:t>
      </w:r>
    </w:p>
    <w:p w14:paraId="606279F3"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57508F">
        <w:rPr>
          <w:rFonts w:ascii="Arial" w:hAnsi="Arial" w:cs="Arial"/>
          <w:b/>
          <w:sz w:val="22"/>
          <w:szCs w:val="22"/>
          <w:lang w:val="fr-FR"/>
        </w:rPr>
        <w:t>Présidente</w:t>
      </w:r>
      <w:r>
        <w:rPr>
          <w:rFonts w:ascii="Arial" w:hAnsi="Arial" w:cs="Arial"/>
          <w:bCs/>
          <w:sz w:val="22"/>
          <w:szCs w:val="22"/>
          <w:lang w:val="fr-FR"/>
        </w:rPr>
        <w:t xml:space="preserve"> a ouvert le débat afin que les orateurs formulent des </w:t>
      </w:r>
      <w:r w:rsidRPr="0057508F">
        <w:rPr>
          <w:rFonts w:ascii="Arial" w:hAnsi="Arial" w:cs="Arial"/>
          <w:bCs/>
          <w:sz w:val="22"/>
          <w:szCs w:val="22"/>
          <w:lang w:val="fr-FR"/>
        </w:rPr>
        <w:t>commentaires</w:t>
      </w:r>
      <w:r>
        <w:rPr>
          <w:rFonts w:ascii="Arial" w:hAnsi="Arial" w:cs="Arial"/>
          <w:bCs/>
          <w:sz w:val="22"/>
          <w:szCs w:val="22"/>
          <w:lang w:val="fr-FR"/>
        </w:rPr>
        <w:t>.</w:t>
      </w:r>
    </w:p>
    <w:p w14:paraId="3CED396B" w14:textId="7A718F4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7508F">
        <w:rPr>
          <w:rFonts w:ascii="Arial" w:hAnsi="Arial" w:cs="Arial"/>
          <w:bCs/>
          <w:sz w:val="22"/>
          <w:szCs w:val="22"/>
          <w:lang w:val="fr-FR"/>
        </w:rPr>
        <w:t xml:space="preserve">La délégation de </w:t>
      </w:r>
      <w:r>
        <w:rPr>
          <w:rFonts w:ascii="Arial" w:hAnsi="Arial" w:cs="Arial"/>
          <w:bCs/>
          <w:sz w:val="22"/>
          <w:szCs w:val="22"/>
          <w:lang w:val="fr-FR"/>
        </w:rPr>
        <w:t xml:space="preserve">la </w:t>
      </w:r>
      <w:r w:rsidRPr="0057508F">
        <w:rPr>
          <w:rFonts w:ascii="Arial" w:hAnsi="Arial" w:cs="Arial"/>
          <w:b/>
          <w:sz w:val="22"/>
          <w:szCs w:val="22"/>
          <w:lang w:val="fr-FR"/>
        </w:rPr>
        <w:t>Grenade</w:t>
      </w:r>
      <w:r w:rsidRPr="0057508F">
        <w:rPr>
          <w:rFonts w:ascii="Arial" w:hAnsi="Arial" w:cs="Arial"/>
          <w:bCs/>
          <w:sz w:val="22"/>
          <w:szCs w:val="22"/>
          <w:lang w:val="fr-FR"/>
        </w:rPr>
        <w:t xml:space="preserve"> a félicité Haïti pour l</w:t>
      </w:r>
      <w:r w:rsidR="008E532B">
        <w:rPr>
          <w:rFonts w:ascii="Arial" w:hAnsi="Arial" w:cs="Arial"/>
          <w:bCs/>
          <w:sz w:val="22"/>
          <w:szCs w:val="22"/>
          <w:lang w:val="fr-FR"/>
        </w:rPr>
        <w:t>’</w:t>
      </w:r>
      <w:r w:rsidRPr="0057508F">
        <w:rPr>
          <w:rFonts w:ascii="Arial" w:hAnsi="Arial" w:cs="Arial"/>
          <w:bCs/>
          <w:sz w:val="22"/>
          <w:szCs w:val="22"/>
          <w:lang w:val="fr-FR"/>
        </w:rPr>
        <w:t xml:space="preserve">inscription de la soupe </w:t>
      </w:r>
      <w:r>
        <w:rPr>
          <w:rFonts w:ascii="Arial" w:hAnsi="Arial" w:cs="Arial"/>
          <w:bCs/>
          <w:sz w:val="22"/>
          <w:szCs w:val="22"/>
          <w:lang w:val="fr-FR"/>
        </w:rPr>
        <w:t>au giraumon</w:t>
      </w:r>
      <w:r w:rsidRPr="0057508F">
        <w:rPr>
          <w:rFonts w:ascii="Arial" w:hAnsi="Arial" w:cs="Arial"/>
          <w:bCs/>
          <w:sz w:val="22"/>
          <w:szCs w:val="22"/>
          <w:lang w:val="fr-FR"/>
        </w:rPr>
        <w:t xml:space="preserve"> sur la Liste représentative</w:t>
      </w:r>
      <w:r>
        <w:rPr>
          <w:rFonts w:ascii="Arial" w:hAnsi="Arial" w:cs="Arial"/>
          <w:bCs/>
          <w:sz w:val="22"/>
          <w:szCs w:val="22"/>
          <w:lang w:val="fr-FR"/>
        </w:rPr>
        <w:t xml:space="preserve">, </w:t>
      </w:r>
      <w:r w:rsidRPr="0057508F">
        <w:rPr>
          <w:rFonts w:ascii="Arial" w:hAnsi="Arial" w:cs="Arial"/>
          <w:bCs/>
          <w:sz w:val="22"/>
          <w:szCs w:val="22"/>
          <w:lang w:val="fr-FR"/>
        </w:rPr>
        <w:t>sa première inscription. Il n</w:t>
      </w:r>
      <w:r w:rsidR="008E532B">
        <w:rPr>
          <w:rFonts w:ascii="Arial" w:hAnsi="Arial" w:cs="Arial"/>
          <w:bCs/>
          <w:sz w:val="22"/>
          <w:szCs w:val="22"/>
          <w:lang w:val="fr-FR"/>
        </w:rPr>
        <w:t>’</w:t>
      </w:r>
      <w:r w:rsidRPr="0057508F">
        <w:rPr>
          <w:rFonts w:ascii="Arial" w:hAnsi="Arial" w:cs="Arial"/>
          <w:bCs/>
          <w:sz w:val="22"/>
          <w:szCs w:val="22"/>
          <w:lang w:val="fr-FR"/>
        </w:rPr>
        <w:t>y avait aucun doute qu</w:t>
      </w:r>
      <w:r w:rsidR="008E532B">
        <w:rPr>
          <w:rFonts w:ascii="Arial" w:hAnsi="Arial" w:cs="Arial"/>
          <w:bCs/>
          <w:sz w:val="22"/>
          <w:szCs w:val="22"/>
          <w:lang w:val="fr-FR"/>
        </w:rPr>
        <w:t>’</w:t>
      </w:r>
      <w:r w:rsidRPr="0057508F">
        <w:rPr>
          <w:rFonts w:ascii="Arial" w:hAnsi="Arial" w:cs="Arial"/>
          <w:bCs/>
          <w:sz w:val="22"/>
          <w:szCs w:val="22"/>
          <w:lang w:val="fr-FR"/>
        </w:rPr>
        <w:t>elle serait inscrite. La procédure a</w:t>
      </w:r>
      <w:r>
        <w:rPr>
          <w:rFonts w:ascii="Arial" w:hAnsi="Arial" w:cs="Arial"/>
          <w:bCs/>
          <w:sz w:val="22"/>
          <w:szCs w:val="22"/>
          <w:lang w:val="fr-FR"/>
        </w:rPr>
        <w:t>vait</w:t>
      </w:r>
      <w:r w:rsidRPr="0057508F">
        <w:rPr>
          <w:rFonts w:ascii="Arial" w:hAnsi="Arial" w:cs="Arial"/>
          <w:bCs/>
          <w:sz w:val="22"/>
          <w:szCs w:val="22"/>
          <w:lang w:val="fr-FR"/>
        </w:rPr>
        <w:t xml:space="preserve"> été entreprise dans des circonstances exceptionnelles</w:t>
      </w:r>
      <w:r>
        <w:rPr>
          <w:rFonts w:ascii="Arial" w:hAnsi="Arial" w:cs="Arial"/>
          <w:bCs/>
          <w:sz w:val="22"/>
          <w:szCs w:val="22"/>
          <w:lang w:val="fr-FR"/>
        </w:rPr>
        <w:t>,</w:t>
      </w:r>
      <w:r w:rsidRPr="0057508F">
        <w:rPr>
          <w:rFonts w:ascii="Arial" w:hAnsi="Arial" w:cs="Arial"/>
          <w:bCs/>
          <w:sz w:val="22"/>
          <w:szCs w:val="22"/>
          <w:lang w:val="fr-FR"/>
        </w:rPr>
        <w:t xml:space="preserve"> et l</w:t>
      </w:r>
      <w:r w:rsidR="008E532B">
        <w:rPr>
          <w:rFonts w:ascii="Arial" w:hAnsi="Arial" w:cs="Arial"/>
          <w:bCs/>
          <w:sz w:val="22"/>
          <w:szCs w:val="22"/>
          <w:lang w:val="fr-FR"/>
        </w:rPr>
        <w:t>’</w:t>
      </w:r>
      <w:r w:rsidRPr="0057508F">
        <w:rPr>
          <w:rFonts w:ascii="Arial" w:hAnsi="Arial" w:cs="Arial"/>
          <w:bCs/>
          <w:sz w:val="22"/>
          <w:szCs w:val="22"/>
          <w:lang w:val="fr-FR"/>
        </w:rPr>
        <w:t>Assemblée acceptera</w:t>
      </w:r>
      <w:r>
        <w:rPr>
          <w:rFonts w:ascii="Arial" w:hAnsi="Arial" w:cs="Arial"/>
          <w:bCs/>
          <w:sz w:val="22"/>
          <w:szCs w:val="22"/>
          <w:lang w:val="fr-FR"/>
        </w:rPr>
        <w:t>it</w:t>
      </w:r>
      <w:r w:rsidRPr="0057508F">
        <w:rPr>
          <w:rFonts w:ascii="Arial" w:hAnsi="Arial" w:cs="Arial"/>
          <w:bCs/>
          <w:sz w:val="22"/>
          <w:szCs w:val="22"/>
          <w:lang w:val="fr-FR"/>
        </w:rPr>
        <w:t xml:space="preserve"> sans aucun doute cette procédure exceptionnelle. La délégation a</w:t>
      </w:r>
      <w:r>
        <w:rPr>
          <w:rFonts w:ascii="Arial" w:hAnsi="Arial" w:cs="Arial"/>
          <w:bCs/>
          <w:sz w:val="22"/>
          <w:szCs w:val="22"/>
          <w:lang w:val="fr-FR"/>
        </w:rPr>
        <w:t>vait</w:t>
      </w:r>
      <w:r w:rsidRPr="0057508F">
        <w:rPr>
          <w:rFonts w:ascii="Arial" w:hAnsi="Arial" w:cs="Arial"/>
          <w:bCs/>
          <w:sz w:val="22"/>
          <w:szCs w:val="22"/>
          <w:lang w:val="fr-FR"/>
        </w:rPr>
        <w:t xml:space="preserve"> un léger amendement au paragraphe 5 du projet de décision.</w:t>
      </w:r>
    </w:p>
    <w:p w14:paraId="73C0850D"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D6259">
        <w:rPr>
          <w:rFonts w:ascii="Arial" w:hAnsi="Arial" w:cs="Arial"/>
          <w:b/>
          <w:sz w:val="22"/>
          <w:szCs w:val="22"/>
          <w:lang w:val="fr-FR"/>
        </w:rPr>
        <w:t>Présidente</w:t>
      </w:r>
      <w:r>
        <w:rPr>
          <w:rFonts w:ascii="Arial" w:hAnsi="Arial" w:cs="Arial"/>
          <w:bCs/>
          <w:sz w:val="22"/>
          <w:szCs w:val="22"/>
          <w:lang w:val="fr-FR"/>
        </w:rPr>
        <w:t xml:space="preserve"> a pris note de la liste des orateurs et a clôturé la liste en raison des contraintes de temps.</w:t>
      </w:r>
    </w:p>
    <w:p w14:paraId="3BBD32FE" w14:textId="4EF77CB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D6259">
        <w:rPr>
          <w:rFonts w:ascii="Arial" w:hAnsi="Arial" w:cs="Arial"/>
          <w:bCs/>
          <w:sz w:val="22"/>
          <w:szCs w:val="22"/>
          <w:lang w:val="fr-FR"/>
        </w:rPr>
        <w:t xml:space="preserve">La délégation de la </w:t>
      </w:r>
      <w:r w:rsidRPr="000D6259">
        <w:rPr>
          <w:rFonts w:ascii="Arial" w:hAnsi="Arial" w:cs="Arial"/>
          <w:b/>
          <w:sz w:val="22"/>
          <w:szCs w:val="22"/>
          <w:lang w:val="fr-FR"/>
        </w:rPr>
        <w:t>Barbade</w:t>
      </w:r>
      <w:r w:rsidRPr="000D6259">
        <w:rPr>
          <w:rFonts w:ascii="Arial" w:hAnsi="Arial" w:cs="Arial"/>
          <w:bCs/>
          <w:sz w:val="22"/>
          <w:szCs w:val="22"/>
          <w:lang w:val="fr-FR"/>
        </w:rPr>
        <w:t xml:space="preserve"> a félicité Haïti pour son inscription de la soupe </w:t>
      </w:r>
      <w:r>
        <w:rPr>
          <w:rFonts w:ascii="Arial" w:hAnsi="Arial" w:cs="Arial"/>
          <w:bCs/>
          <w:sz w:val="22"/>
          <w:szCs w:val="22"/>
          <w:lang w:val="fr-FR"/>
        </w:rPr>
        <w:t>au giraumon et a adressé ses compliments au</w:t>
      </w:r>
      <w:r w:rsidRPr="000D6259">
        <w:rPr>
          <w:rFonts w:ascii="Arial" w:hAnsi="Arial" w:cs="Arial"/>
          <w:bCs/>
          <w:sz w:val="22"/>
          <w:szCs w:val="22"/>
          <w:lang w:val="fr-FR"/>
        </w:rPr>
        <w:t xml:space="preserve"> Comité </w:t>
      </w:r>
      <w:r>
        <w:rPr>
          <w:rFonts w:ascii="Arial" w:hAnsi="Arial" w:cs="Arial"/>
          <w:bCs/>
          <w:sz w:val="22"/>
          <w:szCs w:val="22"/>
          <w:lang w:val="fr-FR"/>
        </w:rPr>
        <w:t xml:space="preserve">pour </w:t>
      </w:r>
      <w:r w:rsidRPr="000D6259">
        <w:rPr>
          <w:rFonts w:ascii="Arial" w:hAnsi="Arial" w:cs="Arial"/>
          <w:bCs/>
          <w:sz w:val="22"/>
          <w:szCs w:val="22"/>
          <w:lang w:val="fr-FR"/>
        </w:rPr>
        <w:t xml:space="preserve">avoir </w:t>
      </w:r>
      <w:r>
        <w:rPr>
          <w:rFonts w:ascii="Arial" w:hAnsi="Arial" w:cs="Arial"/>
          <w:bCs/>
          <w:sz w:val="22"/>
          <w:szCs w:val="22"/>
          <w:lang w:val="fr-FR"/>
        </w:rPr>
        <w:t xml:space="preserve">bien </w:t>
      </w:r>
      <w:r w:rsidRPr="000D6259">
        <w:rPr>
          <w:rFonts w:ascii="Arial" w:hAnsi="Arial" w:cs="Arial"/>
          <w:bCs/>
          <w:sz w:val="22"/>
          <w:szCs w:val="22"/>
          <w:lang w:val="fr-FR"/>
        </w:rPr>
        <w:t xml:space="preserve">compris les circonstances qui </w:t>
      </w:r>
      <w:r>
        <w:rPr>
          <w:rFonts w:ascii="Arial" w:hAnsi="Arial" w:cs="Arial"/>
          <w:bCs/>
          <w:sz w:val="22"/>
          <w:szCs w:val="22"/>
          <w:lang w:val="fr-FR"/>
        </w:rPr>
        <w:t>avaient</w:t>
      </w:r>
      <w:r w:rsidRPr="000D6259">
        <w:rPr>
          <w:rFonts w:ascii="Arial" w:hAnsi="Arial" w:cs="Arial"/>
          <w:bCs/>
          <w:sz w:val="22"/>
          <w:szCs w:val="22"/>
          <w:lang w:val="fr-FR"/>
        </w:rPr>
        <w:t xml:space="preserve"> entraîné ce processus accéléré et </w:t>
      </w:r>
      <w:r>
        <w:rPr>
          <w:rFonts w:ascii="Arial" w:hAnsi="Arial" w:cs="Arial"/>
          <w:bCs/>
          <w:sz w:val="22"/>
          <w:szCs w:val="22"/>
          <w:lang w:val="fr-FR"/>
        </w:rPr>
        <w:t xml:space="preserve">pour </w:t>
      </w:r>
      <w:r w:rsidRPr="000D6259">
        <w:rPr>
          <w:rFonts w:ascii="Arial" w:hAnsi="Arial" w:cs="Arial"/>
          <w:bCs/>
          <w:sz w:val="22"/>
          <w:szCs w:val="22"/>
          <w:lang w:val="fr-FR"/>
        </w:rPr>
        <w:t>avoir maintenu le haut niveau d</w:t>
      </w:r>
      <w:r w:rsidR="008E532B">
        <w:rPr>
          <w:rFonts w:ascii="Arial" w:hAnsi="Arial" w:cs="Arial"/>
          <w:bCs/>
          <w:sz w:val="22"/>
          <w:szCs w:val="22"/>
          <w:lang w:val="fr-FR"/>
        </w:rPr>
        <w:t>’</w:t>
      </w:r>
      <w:r w:rsidRPr="000D6259">
        <w:rPr>
          <w:rFonts w:ascii="Arial" w:hAnsi="Arial" w:cs="Arial"/>
          <w:bCs/>
          <w:sz w:val="22"/>
          <w:szCs w:val="22"/>
          <w:lang w:val="fr-FR"/>
        </w:rPr>
        <w:t xml:space="preserve">évaluation, tout en suivant avec diligence les procédures de la Convention. </w:t>
      </w:r>
      <w:r>
        <w:rPr>
          <w:rFonts w:ascii="Arial" w:hAnsi="Arial" w:cs="Arial"/>
          <w:bCs/>
          <w:sz w:val="22"/>
          <w:szCs w:val="22"/>
          <w:lang w:val="fr-FR"/>
        </w:rPr>
        <w:t>Elle</w:t>
      </w:r>
      <w:r w:rsidRPr="000D6259">
        <w:rPr>
          <w:rFonts w:ascii="Arial" w:hAnsi="Arial" w:cs="Arial"/>
          <w:bCs/>
          <w:sz w:val="22"/>
          <w:szCs w:val="22"/>
          <w:lang w:val="fr-FR"/>
        </w:rPr>
        <w:t xml:space="preserve"> a fait remarquer que </w:t>
      </w:r>
      <w:r>
        <w:rPr>
          <w:rFonts w:ascii="Arial" w:hAnsi="Arial" w:cs="Arial"/>
          <w:bCs/>
          <w:sz w:val="22"/>
          <w:szCs w:val="22"/>
          <w:lang w:val="fr-FR"/>
        </w:rPr>
        <w:t>d</w:t>
      </w:r>
      <w:r w:rsidRPr="000D6259">
        <w:rPr>
          <w:rFonts w:ascii="Arial" w:hAnsi="Arial" w:cs="Arial"/>
          <w:bCs/>
          <w:sz w:val="22"/>
          <w:szCs w:val="22"/>
          <w:lang w:val="fr-FR"/>
        </w:rPr>
        <w:t xml:space="preserve">es circonstances </w:t>
      </w:r>
      <w:r>
        <w:rPr>
          <w:rFonts w:ascii="Arial" w:hAnsi="Arial" w:cs="Arial"/>
          <w:bCs/>
          <w:sz w:val="22"/>
          <w:szCs w:val="22"/>
          <w:lang w:val="fr-FR"/>
        </w:rPr>
        <w:t>semblables à celles qu</w:t>
      </w:r>
      <w:r w:rsidR="008E532B">
        <w:rPr>
          <w:rFonts w:ascii="Arial" w:hAnsi="Arial" w:cs="Arial"/>
          <w:bCs/>
          <w:sz w:val="22"/>
          <w:szCs w:val="22"/>
          <w:lang w:val="fr-FR"/>
        </w:rPr>
        <w:t>’</w:t>
      </w:r>
      <w:r>
        <w:rPr>
          <w:rFonts w:ascii="Arial" w:hAnsi="Arial" w:cs="Arial"/>
          <w:bCs/>
          <w:sz w:val="22"/>
          <w:szCs w:val="22"/>
          <w:lang w:val="fr-FR"/>
        </w:rPr>
        <w:t xml:space="preserve">avait connues </w:t>
      </w:r>
      <w:r w:rsidRPr="000D6259">
        <w:rPr>
          <w:rFonts w:ascii="Arial" w:hAnsi="Arial" w:cs="Arial"/>
          <w:bCs/>
          <w:sz w:val="22"/>
          <w:szCs w:val="22"/>
          <w:lang w:val="fr-FR"/>
        </w:rPr>
        <w:t>Haïti pouvaient être observées dans tous les États membres d</w:t>
      </w:r>
      <w:r>
        <w:rPr>
          <w:rFonts w:ascii="Arial" w:hAnsi="Arial" w:cs="Arial"/>
          <w:bCs/>
          <w:sz w:val="22"/>
          <w:szCs w:val="22"/>
          <w:lang w:val="fr-FR"/>
        </w:rPr>
        <w:t>e la</w:t>
      </w:r>
      <w:r w:rsidRPr="000D6259">
        <w:rPr>
          <w:rFonts w:ascii="Arial" w:hAnsi="Arial" w:cs="Arial"/>
          <w:bCs/>
          <w:sz w:val="22"/>
          <w:szCs w:val="22"/>
          <w:lang w:val="fr-FR"/>
        </w:rPr>
        <w:t xml:space="preserve"> CARICOM</w:t>
      </w:r>
      <w:r>
        <w:rPr>
          <w:rStyle w:val="FootnoteReference"/>
          <w:rFonts w:ascii="Arial" w:hAnsi="Arial" w:cs="Arial"/>
          <w:bCs/>
          <w:sz w:val="22"/>
          <w:szCs w:val="22"/>
          <w:lang w:val="fr-FR"/>
        </w:rPr>
        <w:footnoteReference w:id="34"/>
      </w:r>
      <w:r w:rsidRPr="000D6259">
        <w:rPr>
          <w:rFonts w:ascii="Arial" w:hAnsi="Arial" w:cs="Arial"/>
          <w:bCs/>
          <w:sz w:val="22"/>
          <w:szCs w:val="22"/>
          <w:lang w:val="fr-FR"/>
        </w:rPr>
        <w:t xml:space="preserve"> en raison de la menace toujours présente des catastrophes naturelles et de leurs effets délétères sur leur </w:t>
      </w:r>
      <w:r w:rsidR="0064242E">
        <w:rPr>
          <w:rFonts w:ascii="Arial" w:eastAsia="SimSun" w:hAnsi="Arial" w:cs="Arial"/>
          <w:bCs/>
          <w:sz w:val="22"/>
          <w:szCs w:val="22"/>
          <w:lang w:val="fr-FR" w:eastAsia="en-US"/>
        </w:rPr>
        <w:t>patrimoine culturel immatériel</w:t>
      </w:r>
      <w:r w:rsidRPr="000D6259">
        <w:rPr>
          <w:rFonts w:ascii="Arial" w:hAnsi="Arial" w:cs="Arial"/>
          <w:bCs/>
          <w:sz w:val="22"/>
          <w:szCs w:val="22"/>
          <w:lang w:val="fr-FR"/>
        </w:rPr>
        <w:t xml:space="preserve">. Dans les Caraïbes, la sauvegarde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0D6259">
        <w:rPr>
          <w:rFonts w:ascii="Arial" w:hAnsi="Arial" w:cs="Arial"/>
          <w:bCs/>
          <w:sz w:val="22"/>
          <w:szCs w:val="22"/>
          <w:lang w:val="fr-FR"/>
        </w:rPr>
        <w:t>deven</w:t>
      </w:r>
      <w:r>
        <w:rPr>
          <w:rFonts w:ascii="Arial" w:hAnsi="Arial" w:cs="Arial"/>
          <w:bCs/>
          <w:sz w:val="22"/>
          <w:szCs w:val="22"/>
          <w:lang w:val="fr-FR"/>
        </w:rPr>
        <w:t>ait</w:t>
      </w:r>
      <w:r w:rsidRPr="000D6259">
        <w:rPr>
          <w:rFonts w:ascii="Arial" w:hAnsi="Arial" w:cs="Arial"/>
          <w:bCs/>
          <w:sz w:val="22"/>
          <w:szCs w:val="22"/>
          <w:lang w:val="fr-FR"/>
        </w:rPr>
        <w:t xml:space="preserve"> de plus en plus urgente, surtout</w:t>
      </w:r>
      <w:r>
        <w:rPr>
          <w:rFonts w:ascii="Arial" w:hAnsi="Arial" w:cs="Arial"/>
          <w:bCs/>
          <w:sz w:val="22"/>
          <w:szCs w:val="22"/>
          <w:lang w:val="fr-FR"/>
        </w:rPr>
        <w:t xml:space="preserve"> compte tenu de</w:t>
      </w:r>
      <w:r w:rsidRPr="000D6259">
        <w:rPr>
          <w:rFonts w:ascii="Arial" w:hAnsi="Arial" w:cs="Arial"/>
          <w:bCs/>
          <w:sz w:val="22"/>
          <w:szCs w:val="22"/>
          <w:lang w:val="fr-FR"/>
        </w:rPr>
        <w:t xml:space="preserve"> l</w:t>
      </w:r>
      <w:r w:rsidR="008E532B">
        <w:rPr>
          <w:rFonts w:ascii="Arial" w:hAnsi="Arial" w:cs="Arial"/>
          <w:bCs/>
          <w:sz w:val="22"/>
          <w:szCs w:val="22"/>
          <w:lang w:val="fr-FR"/>
        </w:rPr>
        <w:t>’</w:t>
      </w:r>
      <w:r w:rsidRPr="000D6259">
        <w:rPr>
          <w:rFonts w:ascii="Arial" w:hAnsi="Arial" w:cs="Arial"/>
          <w:bCs/>
          <w:sz w:val="22"/>
          <w:szCs w:val="22"/>
          <w:lang w:val="fr-FR"/>
        </w:rPr>
        <w:t>impact dévastateur de la saison des ouragans, imprévisible et destructrice, sur ces pays et leurs économies. La gestion des risques de catastrophes et la résilience des PEID, comme la Barbade, deven</w:t>
      </w:r>
      <w:r>
        <w:rPr>
          <w:rFonts w:ascii="Arial" w:hAnsi="Arial" w:cs="Arial"/>
          <w:bCs/>
          <w:sz w:val="22"/>
          <w:szCs w:val="22"/>
          <w:lang w:val="fr-FR"/>
        </w:rPr>
        <w:t xml:space="preserve">aient </w:t>
      </w:r>
      <w:r w:rsidRPr="000D6259">
        <w:rPr>
          <w:rFonts w:ascii="Arial" w:hAnsi="Arial" w:cs="Arial"/>
          <w:bCs/>
          <w:sz w:val="22"/>
          <w:szCs w:val="22"/>
          <w:lang w:val="fr-FR"/>
        </w:rPr>
        <w:t xml:space="preserve">une partie intégrante de la planification du développement, en particulier lorsque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Pr>
          <w:rFonts w:ascii="Arial" w:hAnsi="Arial" w:cs="Arial"/>
          <w:bCs/>
          <w:sz w:val="22"/>
          <w:szCs w:val="22"/>
          <w:lang w:val="fr-FR"/>
        </w:rPr>
        <w:t>était</w:t>
      </w:r>
      <w:r w:rsidRPr="000D6259">
        <w:rPr>
          <w:rFonts w:ascii="Arial" w:hAnsi="Arial" w:cs="Arial"/>
          <w:bCs/>
          <w:sz w:val="22"/>
          <w:szCs w:val="22"/>
          <w:lang w:val="fr-FR"/>
        </w:rPr>
        <w:t xml:space="preserve"> concerné. Ces catastrophes </w:t>
      </w:r>
      <w:proofErr w:type="gramStart"/>
      <w:r>
        <w:rPr>
          <w:rFonts w:ascii="Arial" w:hAnsi="Arial" w:cs="Arial"/>
          <w:bCs/>
          <w:sz w:val="22"/>
          <w:szCs w:val="22"/>
          <w:lang w:val="fr-FR"/>
        </w:rPr>
        <w:t>avaient</w:t>
      </w:r>
      <w:proofErr w:type="gramEnd"/>
      <w:r w:rsidRPr="000D6259">
        <w:rPr>
          <w:rFonts w:ascii="Arial" w:hAnsi="Arial" w:cs="Arial"/>
          <w:bCs/>
          <w:sz w:val="22"/>
          <w:szCs w:val="22"/>
          <w:lang w:val="fr-FR"/>
        </w:rPr>
        <w:t xml:space="preserve"> des conséquences dévastatrices et laiss</w:t>
      </w:r>
      <w:r>
        <w:rPr>
          <w:rFonts w:ascii="Arial" w:hAnsi="Arial" w:cs="Arial"/>
          <w:bCs/>
          <w:sz w:val="22"/>
          <w:szCs w:val="22"/>
          <w:lang w:val="fr-FR"/>
        </w:rPr>
        <w:t>ai</w:t>
      </w:r>
      <w:r w:rsidRPr="000D6259">
        <w:rPr>
          <w:rFonts w:ascii="Arial" w:hAnsi="Arial" w:cs="Arial"/>
          <w:bCs/>
          <w:sz w:val="22"/>
          <w:szCs w:val="22"/>
          <w:lang w:val="fr-FR"/>
        </w:rPr>
        <w:t xml:space="preserve">ent des dommages durables, selon les populations touchées et la résilience des infrastructures. Cependant, les menaces </w:t>
      </w:r>
      <w:r>
        <w:rPr>
          <w:rFonts w:ascii="Arial" w:hAnsi="Arial" w:cs="Arial"/>
          <w:bCs/>
          <w:sz w:val="22"/>
          <w:szCs w:val="22"/>
          <w:lang w:val="fr-FR"/>
        </w:rPr>
        <w:t xml:space="preserve">pesant </w:t>
      </w:r>
      <w:r w:rsidRPr="000D6259">
        <w:rPr>
          <w:rFonts w:ascii="Arial" w:hAnsi="Arial" w:cs="Arial"/>
          <w:bCs/>
          <w:sz w:val="22"/>
          <w:szCs w:val="22"/>
          <w:lang w:val="fr-FR"/>
        </w:rPr>
        <w:t xml:space="preserve">sur le secteur de la culture dans toute la région </w:t>
      </w:r>
      <w:r>
        <w:rPr>
          <w:rFonts w:ascii="Arial" w:hAnsi="Arial" w:cs="Arial"/>
          <w:bCs/>
          <w:sz w:val="22"/>
          <w:szCs w:val="22"/>
          <w:lang w:val="fr-FR"/>
        </w:rPr>
        <w:t xml:space="preserve">étaient </w:t>
      </w:r>
      <w:r w:rsidRPr="000D6259">
        <w:rPr>
          <w:rFonts w:ascii="Arial" w:hAnsi="Arial" w:cs="Arial"/>
          <w:bCs/>
          <w:sz w:val="22"/>
          <w:szCs w:val="22"/>
          <w:lang w:val="fr-FR"/>
        </w:rPr>
        <w:t xml:space="preserve">moins visibles. En réponse, le </w:t>
      </w:r>
      <w:r>
        <w:rPr>
          <w:rFonts w:ascii="Arial" w:hAnsi="Arial" w:cs="Arial"/>
          <w:bCs/>
          <w:sz w:val="22"/>
          <w:szCs w:val="22"/>
          <w:lang w:val="fr-FR"/>
        </w:rPr>
        <w:t>G</w:t>
      </w:r>
      <w:r w:rsidRPr="000D6259">
        <w:rPr>
          <w:rFonts w:ascii="Arial" w:hAnsi="Arial" w:cs="Arial"/>
          <w:bCs/>
          <w:sz w:val="22"/>
          <w:szCs w:val="22"/>
          <w:lang w:val="fr-FR"/>
        </w:rPr>
        <w:t>ouvernement de la Barbade cherch</w:t>
      </w:r>
      <w:r>
        <w:rPr>
          <w:rFonts w:ascii="Arial" w:hAnsi="Arial" w:cs="Arial"/>
          <w:bCs/>
          <w:sz w:val="22"/>
          <w:szCs w:val="22"/>
          <w:lang w:val="fr-FR"/>
        </w:rPr>
        <w:t>ait</w:t>
      </w:r>
      <w:r w:rsidRPr="000D6259">
        <w:rPr>
          <w:rFonts w:ascii="Arial" w:hAnsi="Arial" w:cs="Arial"/>
          <w:bCs/>
          <w:sz w:val="22"/>
          <w:szCs w:val="22"/>
          <w:lang w:val="fr-FR"/>
        </w:rPr>
        <w:t xml:space="preserve"> à atténuer ces impacts par un vaste programme de numérisation. Il reconna</w:t>
      </w:r>
      <w:r>
        <w:rPr>
          <w:rFonts w:ascii="Arial" w:hAnsi="Arial" w:cs="Arial"/>
          <w:bCs/>
          <w:sz w:val="22"/>
          <w:szCs w:val="22"/>
          <w:lang w:val="fr-FR"/>
        </w:rPr>
        <w:t>issait</w:t>
      </w:r>
      <w:r w:rsidRPr="000D6259">
        <w:rPr>
          <w:rFonts w:ascii="Arial" w:hAnsi="Arial" w:cs="Arial"/>
          <w:bCs/>
          <w:sz w:val="22"/>
          <w:szCs w:val="22"/>
          <w:lang w:val="fr-FR"/>
        </w:rPr>
        <w:t xml:space="preserve"> que la numérisation est essentielle à l</w:t>
      </w:r>
      <w:r w:rsidR="008E532B">
        <w:rPr>
          <w:rFonts w:ascii="Arial" w:hAnsi="Arial" w:cs="Arial"/>
          <w:bCs/>
          <w:sz w:val="22"/>
          <w:szCs w:val="22"/>
          <w:lang w:val="fr-FR"/>
        </w:rPr>
        <w:t>’</w:t>
      </w:r>
      <w:r w:rsidRPr="000D6259">
        <w:rPr>
          <w:rFonts w:ascii="Arial" w:hAnsi="Arial" w:cs="Arial"/>
          <w:bCs/>
          <w:sz w:val="22"/>
          <w:szCs w:val="22"/>
          <w:lang w:val="fr-FR"/>
        </w:rPr>
        <w:t>ensemble du processus de protection du patrimoine culturel et qu</w:t>
      </w:r>
      <w:r w:rsidR="008E532B">
        <w:rPr>
          <w:rFonts w:ascii="Arial" w:hAnsi="Arial" w:cs="Arial"/>
          <w:bCs/>
          <w:sz w:val="22"/>
          <w:szCs w:val="22"/>
          <w:lang w:val="fr-FR"/>
        </w:rPr>
        <w:t>’</w:t>
      </w:r>
      <w:r w:rsidRPr="000D6259">
        <w:rPr>
          <w:rFonts w:ascii="Arial" w:hAnsi="Arial" w:cs="Arial"/>
          <w:bCs/>
          <w:sz w:val="22"/>
          <w:szCs w:val="22"/>
          <w:lang w:val="fr-FR"/>
        </w:rPr>
        <w:t>elle a également le potentiel de bénéficier à plusieurs catégories d</w:t>
      </w:r>
      <w:r w:rsidR="008E532B">
        <w:rPr>
          <w:rFonts w:ascii="Arial" w:hAnsi="Arial" w:cs="Arial"/>
          <w:bCs/>
          <w:sz w:val="22"/>
          <w:szCs w:val="22"/>
          <w:lang w:val="fr-FR"/>
        </w:rPr>
        <w:t>’</w:t>
      </w:r>
      <w:r w:rsidRPr="000D6259">
        <w:rPr>
          <w:rFonts w:ascii="Arial" w:hAnsi="Arial" w:cs="Arial"/>
          <w:bCs/>
          <w:sz w:val="22"/>
          <w:szCs w:val="22"/>
          <w:lang w:val="fr-FR"/>
        </w:rPr>
        <w:t>utilisateurs et aux générations futures</w:t>
      </w:r>
      <w:r>
        <w:rPr>
          <w:rFonts w:ascii="Arial" w:hAnsi="Arial" w:cs="Arial"/>
          <w:bCs/>
          <w:sz w:val="22"/>
          <w:szCs w:val="22"/>
          <w:lang w:val="fr-FR"/>
        </w:rPr>
        <w:t>,</w:t>
      </w:r>
      <w:r w:rsidRPr="000D6259">
        <w:rPr>
          <w:rFonts w:ascii="Arial" w:hAnsi="Arial" w:cs="Arial"/>
          <w:bCs/>
          <w:sz w:val="22"/>
          <w:szCs w:val="22"/>
          <w:lang w:val="fr-FR"/>
        </w:rPr>
        <w:t xml:space="preserve"> car elle est un moyen de préserver les images du passé et du présent. Le </w:t>
      </w:r>
      <w:r>
        <w:rPr>
          <w:rFonts w:ascii="Arial" w:hAnsi="Arial" w:cs="Arial"/>
          <w:bCs/>
          <w:sz w:val="22"/>
          <w:szCs w:val="22"/>
          <w:lang w:val="fr-FR"/>
        </w:rPr>
        <w:t>G</w:t>
      </w:r>
      <w:r w:rsidRPr="000D6259">
        <w:rPr>
          <w:rFonts w:ascii="Arial" w:hAnsi="Arial" w:cs="Arial"/>
          <w:bCs/>
          <w:sz w:val="22"/>
          <w:szCs w:val="22"/>
          <w:lang w:val="fr-FR"/>
        </w:rPr>
        <w:t>ouvernement a</w:t>
      </w:r>
      <w:r>
        <w:rPr>
          <w:rFonts w:ascii="Arial" w:hAnsi="Arial" w:cs="Arial"/>
          <w:bCs/>
          <w:sz w:val="22"/>
          <w:szCs w:val="22"/>
          <w:lang w:val="fr-FR"/>
        </w:rPr>
        <w:t>vait</w:t>
      </w:r>
      <w:r w:rsidRPr="000D6259">
        <w:rPr>
          <w:rFonts w:ascii="Arial" w:hAnsi="Arial" w:cs="Arial"/>
          <w:bCs/>
          <w:sz w:val="22"/>
          <w:szCs w:val="22"/>
          <w:lang w:val="fr-FR"/>
        </w:rPr>
        <w:t xml:space="preserve"> également l</w:t>
      </w:r>
      <w:r w:rsidR="008E532B">
        <w:rPr>
          <w:rFonts w:ascii="Arial" w:hAnsi="Arial" w:cs="Arial"/>
          <w:bCs/>
          <w:sz w:val="22"/>
          <w:szCs w:val="22"/>
          <w:lang w:val="fr-FR"/>
        </w:rPr>
        <w:t>’</w:t>
      </w:r>
      <w:r w:rsidRPr="000D6259">
        <w:rPr>
          <w:rFonts w:ascii="Arial" w:hAnsi="Arial" w:cs="Arial"/>
          <w:bCs/>
          <w:sz w:val="22"/>
          <w:szCs w:val="22"/>
          <w:lang w:val="fr-FR"/>
        </w:rPr>
        <w:t>intention de s</w:t>
      </w:r>
      <w:r w:rsidR="008E532B">
        <w:rPr>
          <w:rFonts w:ascii="Arial" w:hAnsi="Arial" w:cs="Arial"/>
          <w:bCs/>
          <w:sz w:val="22"/>
          <w:szCs w:val="22"/>
          <w:lang w:val="fr-FR"/>
        </w:rPr>
        <w:t>’</w:t>
      </w:r>
      <w:r w:rsidRPr="000D6259">
        <w:rPr>
          <w:rFonts w:ascii="Arial" w:hAnsi="Arial" w:cs="Arial"/>
          <w:bCs/>
          <w:sz w:val="22"/>
          <w:szCs w:val="22"/>
          <w:lang w:val="fr-FR"/>
        </w:rPr>
        <w:t xml:space="preserve">attaquer aux impacts du changement climatique sur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0D6259">
        <w:rPr>
          <w:rFonts w:ascii="Arial" w:hAnsi="Arial" w:cs="Arial"/>
          <w:bCs/>
          <w:sz w:val="22"/>
          <w:szCs w:val="22"/>
          <w:lang w:val="fr-FR"/>
        </w:rPr>
        <w:t>par le biais d</w:t>
      </w:r>
      <w:r>
        <w:rPr>
          <w:rFonts w:ascii="Arial" w:hAnsi="Arial" w:cs="Arial"/>
          <w:bCs/>
          <w:sz w:val="22"/>
          <w:szCs w:val="22"/>
          <w:lang w:val="fr-FR"/>
        </w:rPr>
        <w:t>e la</w:t>
      </w:r>
      <w:r w:rsidRPr="000D6259">
        <w:rPr>
          <w:rFonts w:ascii="Arial" w:hAnsi="Arial" w:cs="Arial"/>
          <w:bCs/>
          <w:sz w:val="22"/>
          <w:szCs w:val="22"/>
          <w:lang w:val="fr-FR"/>
        </w:rPr>
        <w:t xml:space="preserve"> coopération mondiale. La Barbade </w:t>
      </w:r>
      <w:r>
        <w:rPr>
          <w:rFonts w:ascii="Arial" w:hAnsi="Arial" w:cs="Arial"/>
          <w:bCs/>
          <w:sz w:val="22"/>
          <w:szCs w:val="22"/>
          <w:lang w:val="fr-FR"/>
        </w:rPr>
        <w:t xml:space="preserve">était </w:t>
      </w:r>
      <w:r w:rsidRPr="000D6259">
        <w:rPr>
          <w:rFonts w:ascii="Arial" w:hAnsi="Arial" w:cs="Arial"/>
          <w:bCs/>
          <w:sz w:val="22"/>
          <w:szCs w:val="22"/>
          <w:lang w:val="fr-FR"/>
        </w:rPr>
        <w:t>à la tête de l</w:t>
      </w:r>
      <w:r w:rsidR="008E532B">
        <w:rPr>
          <w:rFonts w:ascii="Arial" w:hAnsi="Arial" w:cs="Arial"/>
          <w:bCs/>
          <w:sz w:val="22"/>
          <w:szCs w:val="22"/>
          <w:lang w:val="fr-FR"/>
        </w:rPr>
        <w:t>’</w:t>
      </w:r>
      <w:r w:rsidRPr="000D6259">
        <w:rPr>
          <w:rFonts w:ascii="Arial" w:hAnsi="Arial" w:cs="Arial"/>
          <w:bCs/>
          <w:sz w:val="22"/>
          <w:szCs w:val="22"/>
          <w:lang w:val="fr-FR"/>
        </w:rPr>
        <w:t>appel à l</w:t>
      </w:r>
      <w:r w:rsidR="008E532B">
        <w:rPr>
          <w:rFonts w:ascii="Arial" w:hAnsi="Arial" w:cs="Arial"/>
          <w:bCs/>
          <w:sz w:val="22"/>
          <w:szCs w:val="22"/>
          <w:lang w:val="fr-FR"/>
        </w:rPr>
        <w:t>’</w:t>
      </w:r>
      <w:r w:rsidRPr="000D6259">
        <w:rPr>
          <w:rFonts w:ascii="Arial" w:hAnsi="Arial" w:cs="Arial"/>
          <w:bCs/>
          <w:sz w:val="22"/>
          <w:szCs w:val="22"/>
          <w:lang w:val="fr-FR"/>
        </w:rPr>
        <w:t>augmentation du soutien technique et financier aux PEID et à l</w:t>
      </w:r>
      <w:r w:rsidR="008E532B">
        <w:rPr>
          <w:rFonts w:ascii="Arial" w:hAnsi="Arial" w:cs="Arial"/>
          <w:bCs/>
          <w:sz w:val="22"/>
          <w:szCs w:val="22"/>
          <w:lang w:val="fr-FR"/>
        </w:rPr>
        <w:t>’</w:t>
      </w:r>
      <w:r w:rsidRPr="000D6259">
        <w:rPr>
          <w:rFonts w:ascii="Arial" w:hAnsi="Arial" w:cs="Arial"/>
          <w:bCs/>
          <w:sz w:val="22"/>
          <w:szCs w:val="22"/>
          <w:lang w:val="fr-FR"/>
        </w:rPr>
        <w:t xml:space="preserve">atténuation de ces impacts. </w:t>
      </w:r>
      <w:r>
        <w:rPr>
          <w:rFonts w:ascii="Arial" w:hAnsi="Arial" w:cs="Arial"/>
          <w:bCs/>
          <w:sz w:val="22"/>
          <w:szCs w:val="22"/>
          <w:lang w:val="fr-FR"/>
        </w:rPr>
        <w:t>D</w:t>
      </w:r>
      <w:r w:rsidRPr="000D6259">
        <w:rPr>
          <w:rFonts w:ascii="Arial" w:hAnsi="Arial" w:cs="Arial"/>
          <w:bCs/>
          <w:sz w:val="22"/>
          <w:szCs w:val="22"/>
          <w:lang w:val="fr-FR"/>
        </w:rPr>
        <w:t>ans son discours à la COP26</w:t>
      </w:r>
      <w:r>
        <w:rPr>
          <w:rFonts w:ascii="Arial" w:hAnsi="Arial" w:cs="Arial"/>
          <w:bCs/>
          <w:sz w:val="22"/>
          <w:szCs w:val="22"/>
          <w:lang w:val="fr-FR"/>
        </w:rPr>
        <w:t>, la</w:t>
      </w:r>
      <w:r w:rsidRPr="000D6259">
        <w:rPr>
          <w:rFonts w:ascii="Arial" w:hAnsi="Arial" w:cs="Arial"/>
          <w:bCs/>
          <w:sz w:val="22"/>
          <w:szCs w:val="22"/>
          <w:lang w:val="fr-FR"/>
        </w:rPr>
        <w:t xml:space="preserve"> Premi</w:t>
      </w:r>
      <w:r>
        <w:rPr>
          <w:rFonts w:ascii="Arial" w:hAnsi="Arial" w:cs="Arial"/>
          <w:bCs/>
          <w:sz w:val="22"/>
          <w:szCs w:val="22"/>
          <w:lang w:val="fr-FR"/>
        </w:rPr>
        <w:t>ère</w:t>
      </w:r>
      <w:r w:rsidRPr="000D6259">
        <w:rPr>
          <w:rFonts w:ascii="Arial" w:hAnsi="Arial" w:cs="Arial"/>
          <w:bCs/>
          <w:sz w:val="22"/>
          <w:szCs w:val="22"/>
          <w:lang w:val="fr-FR"/>
        </w:rPr>
        <w:t xml:space="preserve"> ministre de la Barbade, </w:t>
      </w:r>
      <w:r w:rsidR="008D65C3">
        <w:rPr>
          <w:rFonts w:ascii="Arial" w:hAnsi="Arial" w:cs="Arial"/>
          <w:bCs/>
          <w:sz w:val="22"/>
          <w:szCs w:val="22"/>
          <w:lang w:val="fr-FR"/>
        </w:rPr>
        <w:t xml:space="preserve">S.Exc. </w:t>
      </w:r>
      <w:r w:rsidRPr="000D6259">
        <w:rPr>
          <w:rFonts w:ascii="Arial" w:hAnsi="Arial" w:cs="Arial"/>
          <w:bCs/>
          <w:sz w:val="22"/>
          <w:szCs w:val="22"/>
          <w:lang w:val="fr-FR"/>
        </w:rPr>
        <w:t>Mia</w:t>
      </w:r>
      <w:r>
        <w:rPr>
          <w:rFonts w:ascii="Arial" w:hAnsi="Arial" w:cs="Arial"/>
          <w:bCs/>
          <w:sz w:val="22"/>
          <w:szCs w:val="22"/>
          <w:lang w:val="fr-FR"/>
        </w:rPr>
        <w:t> </w:t>
      </w:r>
      <w:proofErr w:type="spellStart"/>
      <w:r w:rsidRPr="000D6259">
        <w:rPr>
          <w:rFonts w:ascii="Arial" w:hAnsi="Arial" w:cs="Arial"/>
          <w:bCs/>
          <w:sz w:val="22"/>
          <w:szCs w:val="22"/>
          <w:lang w:val="fr-FR"/>
        </w:rPr>
        <w:t>Mottley</w:t>
      </w:r>
      <w:proofErr w:type="spellEnd"/>
      <w:r w:rsidRPr="000D6259">
        <w:rPr>
          <w:rFonts w:ascii="Arial" w:hAnsi="Arial" w:cs="Arial"/>
          <w:bCs/>
          <w:sz w:val="22"/>
          <w:szCs w:val="22"/>
          <w:lang w:val="fr-FR"/>
        </w:rPr>
        <w:t>, a</w:t>
      </w:r>
      <w:r>
        <w:rPr>
          <w:rFonts w:ascii="Arial" w:hAnsi="Arial" w:cs="Arial"/>
          <w:bCs/>
          <w:sz w:val="22"/>
          <w:szCs w:val="22"/>
          <w:lang w:val="fr-FR"/>
        </w:rPr>
        <w:t>vait</w:t>
      </w:r>
      <w:r w:rsidRPr="000D6259">
        <w:rPr>
          <w:rFonts w:ascii="Arial" w:hAnsi="Arial" w:cs="Arial"/>
          <w:bCs/>
          <w:sz w:val="22"/>
          <w:szCs w:val="22"/>
          <w:lang w:val="fr-FR"/>
        </w:rPr>
        <w:t xml:space="preserve"> appelé à un plus grand engagement financier mondial pour faire face aux effets désastreux du changement climatique, mettant les nations au défi d</w:t>
      </w:r>
      <w:r w:rsidR="008E532B">
        <w:rPr>
          <w:rFonts w:ascii="Arial" w:hAnsi="Arial" w:cs="Arial"/>
          <w:bCs/>
          <w:sz w:val="22"/>
          <w:szCs w:val="22"/>
          <w:lang w:val="fr-FR"/>
        </w:rPr>
        <w:t>’</w:t>
      </w:r>
      <w:r>
        <w:rPr>
          <w:rFonts w:ascii="Arial" w:hAnsi="Arial" w:cs="Arial"/>
          <w:bCs/>
          <w:sz w:val="22"/>
          <w:szCs w:val="22"/>
          <w:lang w:val="fr-FR"/>
        </w:rPr>
        <w:t>en</w:t>
      </w:r>
      <w:r w:rsidRPr="000D6259">
        <w:rPr>
          <w:rFonts w:ascii="Arial" w:hAnsi="Arial" w:cs="Arial"/>
          <w:bCs/>
          <w:sz w:val="22"/>
          <w:szCs w:val="22"/>
          <w:lang w:val="fr-FR"/>
        </w:rPr>
        <w:t xml:space="preserve"> faire plus. L</w:t>
      </w:r>
      <w:r w:rsidR="008E532B">
        <w:rPr>
          <w:rFonts w:ascii="Arial" w:hAnsi="Arial" w:cs="Arial"/>
          <w:bCs/>
          <w:sz w:val="22"/>
          <w:szCs w:val="22"/>
          <w:lang w:val="fr-FR"/>
        </w:rPr>
        <w:t>’</w:t>
      </w:r>
      <w:r w:rsidRPr="000D6259">
        <w:rPr>
          <w:rFonts w:ascii="Arial" w:hAnsi="Arial" w:cs="Arial"/>
          <w:bCs/>
          <w:sz w:val="22"/>
          <w:szCs w:val="22"/>
          <w:lang w:val="fr-FR"/>
        </w:rPr>
        <w:t xml:space="preserve">incapacité à </w:t>
      </w:r>
      <w:r>
        <w:rPr>
          <w:rFonts w:ascii="Arial" w:hAnsi="Arial" w:cs="Arial"/>
          <w:bCs/>
          <w:sz w:val="22"/>
          <w:szCs w:val="22"/>
          <w:lang w:val="fr-FR"/>
        </w:rPr>
        <w:t xml:space="preserve">accorder </w:t>
      </w:r>
      <w:r w:rsidRPr="000D6259">
        <w:rPr>
          <w:rFonts w:ascii="Arial" w:hAnsi="Arial" w:cs="Arial"/>
          <w:bCs/>
          <w:sz w:val="22"/>
          <w:szCs w:val="22"/>
          <w:lang w:val="fr-FR"/>
        </w:rPr>
        <w:t xml:space="preserve">les financements indispensables et les dommages mesurés en vies et moyens de subsistance perdus </w:t>
      </w:r>
      <w:r>
        <w:rPr>
          <w:rFonts w:ascii="Arial" w:hAnsi="Arial" w:cs="Arial"/>
          <w:bCs/>
          <w:sz w:val="22"/>
          <w:szCs w:val="22"/>
          <w:lang w:val="fr-FR"/>
        </w:rPr>
        <w:t>étaient</w:t>
      </w:r>
      <w:r w:rsidRPr="000D6259">
        <w:rPr>
          <w:rFonts w:ascii="Arial" w:hAnsi="Arial" w:cs="Arial"/>
          <w:bCs/>
          <w:sz w:val="22"/>
          <w:szCs w:val="22"/>
          <w:lang w:val="fr-FR"/>
        </w:rPr>
        <w:t xml:space="preserve"> immoraux et injustes. Le temps de l</w:t>
      </w:r>
      <w:r w:rsidR="008E532B">
        <w:rPr>
          <w:rFonts w:ascii="Arial" w:hAnsi="Arial" w:cs="Arial"/>
          <w:bCs/>
          <w:sz w:val="22"/>
          <w:szCs w:val="22"/>
          <w:lang w:val="fr-FR"/>
        </w:rPr>
        <w:t>’</w:t>
      </w:r>
      <w:r w:rsidRPr="000D6259">
        <w:rPr>
          <w:rFonts w:ascii="Arial" w:hAnsi="Arial" w:cs="Arial"/>
          <w:bCs/>
          <w:sz w:val="22"/>
          <w:szCs w:val="22"/>
          <w:lang w:val="fr-FR"/>
        </w:rPr>
        <w:t xml:space="preserve">action </w:t>
      </w:r>
      <w:r>
        <w:rPr>
          <w:rFonts w:ascii="Arial" w:hAnsi="Arial" w:cs="Arial"/>
          <w:bCs/>
          <w:sz w:val="22"/>
          <w:szCs w:val="22"/>
          <w:lang w:val="fr-FR"/>
        </w:rPr>
        <w:t>était</w:t>
      </w:r>
      <w:r w:rsidRPr="000D6259">
        <w:rPr>
          <w:rFonts w:ascii="Arial" w:hAnsi="Arial" w:cs="Arial"/>
          <w:bCs/>
          <w:sz w:val="22"/>
          <w:szCs w:val="22"/>
          <w:lang w:val="fr-FR"/>
        </w:rPr>
        <w:t xml:space="preserve"> ven</w:t>
      </w:r>
      <w:r>
        <w:rPr>
          <w:rFonts w:ascii="Arial" w:hAnsi="Arial" w:cs="Arial"/>
          <w:bCs/>
          <w:sz w:val="22"/>
          <w:szCs w:val="22"/>
          <w:lang w:val="fr-FR"/>
        </w:rPr>
        <w:t xml:space="preserve">u </w:t>
      </w:r>
      <w:r w:rsidRPr="000D6259">
        <w:rPr>
          <w:rFonts w:ascii="Arial" w:hAnsi="Arial" w:cs="Arial"/>
          <w:bCs/>
          <w:sz w:val="22"/>
          <w:szCs w:val="22"/>
          <w:lang w:val="fr-FR"/>
        </w:rPr>
        <w:t>et</w:t>
      </w:r>
      <w:r>
        <w:rPr>
          <w:rFonts w:ascii="Arial" w:hAnsi="Arial" w:cs="Arial"/>
          <w:bCs/>
          <w:sz w:val="22"/>
          <w:szCs w:val="22"/>
          <w:lang w:val="fr-FR"/>
        </w:rPr>
        <w:t>,</w:t>
      </w:r>
      <w:r w:rsidRPr="000D6259">
        <w:rPr>
          <w:rFonts w:ascii="Arial" w:hAnsi="Arial" w:cs="Arial"/>
          <w:bCs/>
          <w:sz w:val="22"/>
          <w:szCs w:val="22"/>
          <w:lang w:val="fr-FR"/>
        </w:rPr>
        <w:t xml:space="preserve"> à l</w:t>
      </w:r>
      <w:r w:rsidR="008E532B">
        <w:rPr>
          <w:rFonts w:ascii="Arial" w:hAnsi="Arial" w:cs="Arial"/>
          <w:bCs/>
          <w:sz w:val="22"/>
          <w:szCs w:val="22"/>
          <w:lang w:val="fr-FR"/>
        </w:rPr>
        <w:t>’</w:t>
      </w:r>
      <w:r w:rsidRPr="000D6259">
        <w:rPr>
          <w:rFonts w:ascii="Arial" w:hAnsi="Arial" w:cs="Arial"/>
          <w:bCs/>
          <w:sz w:val="22"/>
          <w:szCs w:val="22"/>
          <w:lang w:val="fr-FR"/>
        </w:rPr>
        <w:t>approche du vingtième anniversaire de la Convention, la Barbade souhait</w:t>
      </w:r>
      <w:r>
        <w:rPr>
          <w:rFonts w:ascii="Arial" w:hAnsi="Arial" w:cs="Arial"/>
          <w:bCs/>
          <w:sz w:val="22"/>
          <w:szCs w:val="22"/>
          <w:lang w:val="fr-FR"/>
        </w:rPr>
        <w:t>ait</w:t>
      </w:r>
      <w:r w:rsidRPr="000D6259">
        <w:rPr>
          <w:rFonts w:ascii="Arial" w:hAnsi="Arial" w:cs="Arial"/>
          <w:bCs/>
          <w:sz w:val="22"/>
          <w:szCs w:val="22"/>
          <w:lang w:val="fr-FR"/>
        </w:rPr>
        <w:t xml:space="preserve"> une plus grande </w:t>
      </w:r>
      <w:r>
        <w:rPr>
          <w:rFonts w:ascii="Arial" w:hAnsi="Arial" w:cs="Arial"/>
          <w:bCs/>
          <w:sz w:val="22"/>
          <w:szCs w:val="22"/>
          <w:lang w:val="fr-FR"/>
        </w:rPr>
        <w:t xml:space="preserve">prise de conscience </w:t>
      </w:r>
      <w:r w:rsidRPr="000D6259">
        <w:rPr>
          <w:rFonts w:ascii="Arial" w:hAnsi="Arial" w:cs="Arial"/>
          <w:bCs/>
          <w:sz w:val="22"/>
          <w:szCs w:val="22"/>
          <w:lang w:val="fr-FR"/>
        </w:rPr>
        <w:t>et un soutien international.</w:t>
      </w:r>
    </w:p>
    <w:p w14:paraId="645A0A12" w14:textId="0778D32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32735F">
        <w:rPr>
          <w:rFonts w:ascii="Arial" w:hAnsi="Arial" w:cs="Arial"/>
          <w:b/>
          <w:sz w:val="22"/>
          <w:szCs w:val="22"/>
          <w:lang w:val="fr-FR"/>
        </w:rPr>
        <w:t>Présidente</w:t>
      </w:r>
      <w:r>
        <w:rPr>
          <w:rFonts w:ascii="Arial" w:hAnsi="Arial" w:cs="Arial"/>
          <w:bCs/>
          <w:sz w:val="22"/>
          <w:szCs w:val="22"/>
          <w:lang w:val="fr-FR"/>
        </w:rPr>
        <w:t xml:space="preserve"> a rappelé aux </w:t>
      </w:r>
      <w:r w:rsidRPr="0032735F">
        <w:rPr>
          <w:rFonts w:ascii="Arial" w:hAnsi="Arial" w:cs="Arial"/>
          <w:bCs/>
          <w:sz w:val="22"/>
          <w:szCs w:val="22"/>
          <w:lang w:val="fr-FR"/>
        </w:rPr>
        <w:t>délégation</w:t>
      </w:r>
      <w:r>
        <w:rPr>
          <w:rFonts w:ascii="Arial" w:hAnsi="Arial" w:cs="Arial"/>
          <w:bCs/>
          <w:sz w:val="22"/>
          <w:szCs w:val="22"/>
          <w:lang w:val="fr-FR"/>
        </w:rPr>
        <w:t>s qu</w:t>
      </w:r>
      <w:r w:rsidR="008E532B">
        <w:rPr>
          <w:rFonts w:ascii="Arial" w:hAnsi="Arial" w:cs="Arial"/>
          <w:bCs/>
          <w:sz w:val="22"/>
          <w:szCs w:val="22"/>
          <w:lang w:val="fr-FR"/>
        </w:rPr>
        <w:t>’</w:t>
      </w:r>
      <w:r>
        <w:rPr>
          <w:rFonts w:ascii="Arial" w:hAnsi="Arial" w:cs="Arial"/>
          <w:bCs/>
          <w:sz w:val="22"/>
          <w:szCs w:val="22"/>
          <w:lang w:val="fr-FR"/>
        </w:rPr>
        <w:t xml:space="preserve">elles devaient limiter leurs </w:t>
      </w:r>
      <w:r w:rsidRPr="0032735F">
        <w:rPr>
          <w:rFonts w:ascii="Arial" w:hAnsi="Arial" w:cs="Arial"/>
          <w:bCs/>
          <w:sz w:val="22"/>
          <w:szCs w:val="22"/>
          <w:lang w:val="fr-FR"/>
        </w:rPr>
        <w:t>interventio</w:t>
      </w:r>
      <w:r>
        <w:rPr>
          <w:rFonts w:ascii="Arial" w:hAnsi="Arial" w:cs="Arial"/>
          <w:bCs/>
          <w:sz w:val="22"/>
          <w:szCs w:val="22"/>
          <w:lang w:val="fr-FR"/>
        </w:rPr>
        <w:t>ns à deux minutes.</w:t>
      </w:r>
    </w:p>
    <w:p w14:paraId="6D413F89" w14:textId="109BA71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2735F">
        <w:rPr>
          <w:rFonts w:ascii="Arial" w:hAnsi="Arial" w:cs="Arial"/>
          <w:bCs/>
          <w:sz w:val="22"/>
          <w:szCs w:val="22"/>
          <w:lang w:val="fr-FR"/>
        </w:rPr>
        <w:t>La délégation de l</w:t>
      </w:r>
      <w:r w:rsidR="008E532B">
        <w:rPr>
          <w:rFonts w:ascii="Arial" w:hAnsi="Arial" w:cs="Arial"/>
          <w:bCs/>
          <w:sz w:val="22"/>
          <w:szCs w:val="22"/>
          <w:lang w:val="fr-FR"/>
        </w:rPr>
        <w:t>’</w:t>
      </w:r>
      <w:r w:rsidRPr="0032735F">
        <w:rPr>
          <w:rFonts w:ascii="Arial" w:hAnsi="Arial" w:cs="Arial"/>
          <w:b/>
          <w:sz w:val="22"/>
          <w:szCs w:val="22"/>
          <w:lang w:val="fr-FR"/>
        </w:rPr>
        <w:t>Azerbaïdjan</w:t>
      </w:r>
      <w:r w:rsidRPr="0032735F">
        <w:rPr>
          <w:rFonts w:ascii="Arial" w:hAnsi="Arial" w:cs="Arial"/>
          <w:bCs/>
          <w:sz w:val="22"/>
          <w:szCs w:val="22"/>
          <w:lang w:val="fr-FR"/>
        </w:rPr>
        <w:t xml:space="preserve"> a félicité les membres nouvellement élus au Comité, ainsi qu</w:t>
      </w:r>
      <w:r w:rsidR="008E532B">
        <w:rPr>
          <w:rFonts w:ascii="Arial" w:hAnsi="Arial" w:cs="Arial"/>
          <w:bCs/>
          <w:sz w:val="22"/>
          <w:szCs w:val="22"/>
          <w:lang w:val="fr-FR"/>
        </w:rPr>
        <w:t>’</w:t>
      </w:r>
      <w:r w:rsidRPr="0032735F">
        <w:rPr>
          <w:rFonts w:ascii="Arial" w:hAnsi="Arial" w:cs="Arial"/>
          <w:bCs/>
          <w:sz w:val="22"/>
          <w:szCs w:val="22"/>
          <w:lang w:val="fr-FR"/>
        </w:rPr>
        <w:t>Haïti et son peuple pour cette inscription, qui donn</w:t>
      </w:r>
      <w:r>
        <w:rPr>
          <w:rFonts w:ascii="Arial" w:hAnsi="Arial" w:cs="Arial"/>
          <w:bCs/>
          <w:sz w:val="22"/>
          <w:szCs w:val="22"/>
          <w:lang w:val="fr-FR"/>
        </w:rPr>
        <w:t>ait</w:t>
      </w:r>
      <w:r w:rsidRPr="0032735F">
        <w:rPr>
          <w:rFonts w:ascii="Arial" w:hAnsi="Arial" w:cs="Arial"/>
          <w:bCs/>
          <w:sz w:val="22"/>
          <w:szCs w:val="22"/>
          <w:lang w:val="fr-FR"/>
        </w:rPr>
        <w:t xml:space="preserve"> un sentiment de fierté et d</w:t>
      </w:r>
      <w:r w:rsidR="008E532B">
        <w:rPr>
          <w:rFonts w:ascii="Arial" w:hAnsi="Arial" w:cs="Arial"/>
          <w:bCs/>
          <w:sz w:val="22"/>
          <w:szCs w:val="22"/>
          <w:lang w:val="fr-FR"/>
        </w:rPr>
        <w:t>’</w:t>
      </w:r>
      <w:r w:rsidRPr="0032735F">
        <w:rPr>
          <w:rFonts w:ascii="Arial" w:hAnsi="Arial" w:cs="Arial"/>
          <w:bCs/>
          <w:sz w:val="22"/>
          <w:szCs w:val="22"/>
          <w:lang w:val="fr-FR"/>
        </w:rPr>
        <w:t>encouragement aux communautés d</w:t>
      </w:r>
      <w:r w:rsidR="008E532B">
        <w:rPr>
          <w:rFonts w:ascii="Arial" w:hAnsi="Arial" w:cs="Arial"/>
          <w:bCs/>
          <w:sz w:val="22"/>
          <w:szCs w:val="22"/>
          <w:lang w:val="fr-FR"/>
        </w:rPr>
        <w:t>’</w:t>
      </w:r>
      <w:r w:rsidRPr="0032735F">
        <w:rPr>
          <w:rFonts w:ascii="Arial" w:hAnsi="Arial" w:cs="Arial"/>
          <w:bCs/>
          <w:sz w:val="22"/>
          <w:szCs w:val="22"/>
          <w:lang w:val="fr-FR"/>
        </w:rPr>
        <w:t xml:space="preserve">Haïti, contribuant à les unir et à les rendre plus inclusives. La délégation a rappelé </w:t>
      </w:r>
      <w:r>
        <w:rPr>
          <w:rFonts w:ascii="Arial" w:hAnsi="Arial" w:cs="Arial"/>
          <w:bCs/>
          <w:sz w:val="22"/>
          <w:szCs w:val="22"/>
          <w:lang w:val="fr-FR"/>
        </w:rPr>
        <w:t>l</w:t>
      </w:r>
      <w:r w:rsidRPr="0032735F">
        <w:rPr>
          <w:rFonts w:ascii="Arial" w:hAnsi="Arial" w:cs="Arial"/>
          <w:bCs/>
          <w:sz w:val="22"/>
          <w:szCs w:val="22"/>
          <w:lang w:val="fr-FR"/>
        </w:rPr>
        <w:t xml:space="preserve">es discussions approfondies </w:t>
      </w:r>
      <w:r>
        <w:rPr>
          <w:rFonts w:ascii="Arial" w:hAnsi="Arial" w:cs="Arial"/>
          <w:bCs/>
          <w:sz w:val="22"/>
          <w:szCs w:val="22"/>
          <w:lang w:val="fr-FR"/>
        </w:rPr>
        <w:t>qui avaient</w:t>
      </w:r>
      <w:r w:rsidRPr="0032735F">
        <w:rPr>
          <w:rFonts w:ascii="Arial" w:hAnsi="Arial" w:cs="Arial"/>
          <w:bCs/>
          <w:sz w:val="22"/>
          <w:szCs w:val="22"/>
          <w:lang w:val="fr-FR"/>
        </w:rPr>
        <w:t xml:space="preserve"> eu lieu sur ce sujet lors de la dernière réunion du Comité et la raison pour laquelle </w:t>
      </w:r>
      <w:r>
        <w:rPr>
          <w:rFonts w:ascii="Arial" w:hAnsi="Arial" w:cs="Arial"/>
          <w:bCs/>
          <w:sz w:val="22"/>
          <w:szCs w:val="22"/>
          <w:lang w:val="fr-FR"/>
        </w:rPr>
        <w:t xml:space="preserve">elle </w:t>
      </w:r>
      <w:r w:rsidRPr="0032735F">
        <w:rPr>
          <w:rFonts w:ascii="Arial" w:hAnsi="Arial" w:cs="Arial"/>
          <w:bCs/>
          <w:sz w:val="22"/>
          <w:szCs w:val="22"/>
          <w:lang w:val="fr-FR"/>
        </w:rPr>
        <w:t>invit</w:t>
      </w:r>
      <w:r>
        <w:rPr>
          <w:rFonts w:ascii="Arial" w:hAnsi="Arial" w:cs="Arial"/>
          <w:bCs/>
          <w:sz w:val="22"/>
          <w:szCs w:val="22"/>
          <w:lang w:val="fr-FR"/>
        </w:rPr>
        <w:t>ait</w:t>
      </w:r>
      <w:r w:rsidRPr="0032735F">
        <w:rPr>
          <w:rFonts w:ascii="Arial" w:hAnsi="Arial" w:cs="Arial"/>
          <w:bCs/>
          <w:sz w:val="22"/>
          <w:szCs w:val="22"/>
          <w:lang w:val="fr-FR"/>
        </w:rPr>
        <w:t xml:space="preserve"> l</w:t>
      </w:r>
      <w:r w:rsidR="008E532B">
        <w:rPr>
          <w:rFonts w:ascii="Arial" w:hAnsi="Arial" w:cs="Arial"/>
          <w:bCs/>
          <w:sz w:val="22"/>
          <w:szCs w:val="22"/>
          <w:lang w:val="fr-FR"/>
        </w:rPr>
        <w:t>’</w:t>
      </w:r>
      <w:r w:rsidRPr="0032735F">
        <w:rPr>
          <w:rFonts w:ascii="Arial" w:hAnsi="Arial" w:cs="Arial"/>
          <w:bCs/>
          <w:sz w:val="22"/>
          <w:szCs w:val="22"/>
          <w:lang w:val="fr-FR"/>
        </w:rPr>
        <w:t>Assemblée à approuver cette inscription et à adopter le projet de résolution dans son ensemble.</w:t>
      </w:r>
    </w:p>
    <w:p w14:paraId="7B2F534B" w14:textId="1FA4B9D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47A7C">
        <w:rPr>
          <w:rFonts w:ascii="Arial" w:hAnsi="Arial" w:cs="Arial"/>
          <w:bCs/>
          <w:sz w:val="22"/>
          <w:szCs w:val="22"/>
          <w:lang w:val="fr-FR"/>
        </w:rPr>
        <w:t>La délégation de l</w:t>
      </w:r>
      <w:r w:rsidR="008E532B">
        <w:rPr>
          <w:rFonts w:ascii="Arial" w:hAnsi="Arial" w:cs="Arial"/>
          <w:bCs/>
          <w:sz w:val="22"/>
          <w:szCs w:val="22"/>
          <w:lang w:val="fr-FR"/>
        </w:rPr>
        <w:t>’</w:t>
      </w:r>
      <w:r w:rsidRPr="00C47A7C">
        <w:rPr>
          <w:rFonts w:ascii="Arial" w:hAnsi="Arial" w:cs="Arial"/>
          <w:b/>
          <w:sz w:val="22"/>
          <w:szCs w:val="22"/>
          <w:lang w:val="fr-FR"/>
        </w:rPr>
        <w:t>Estonie</w:t>
      </w:r>
      <w:r w:rsidRPr="00C47A7C">
        <w:rPr>
          <w:rFonts w:ascii="Arial" w:hAnsi="Arial" w:cs="Arial"/>
          <w:bCs/>
          <w:sz w:val="22"/>
          <w:szCs w:val="22"/>
          <w:lang w:val="fr-FR"/>
        </w:rPr>
        <w:t xml:space="preserve"> a félicité les nouveaux membres du Comité. Elle </w:t>
      </w:r>
      <w:r>
        <w:rPr>
          <w:rFonts w:ascii="Arial" w:hAnsi="Arial" w:cs="Arial"/>
          <w:bCs/>
          <w:sz w:val="22"/>
          <w:szCs w:val="22"/>
          <w:lang w:val="fr-FR"/>
        </w:rPr>
        <w:t>pensait</w:t>
      </w:r>
      <w:r w:rsidRPr="00C47A7C">
        <w:rPr>
          <w:rFonts w:ascii="Arial" w:hAnsi="Arial" w:cs="Arial"/>
          <w:bCs/>
          <w:sz w:val="22"/>
          <w:szCs w:val="22"/>
          <w:lang w:val="fr-FR"/>
        </w:rPr>
        <w:t xml:space="preserve"> que l</w:t>
      </w:r>
      <w:r w:rsidR="008E532B">
        <w:rPr>
          <w:rFonts w:ascii="Arial" w:hAnsi="Arial" w:cs="Arial"/>
          <w:bCs/>
          <w:sz w:val="22"/>
          <w:szCs w:val="22"/>
          <w:lang w:val="fr-FR"/>
        </w:rPr>
        <w:t>’</w:t>
      </w:r>
      <w:r w:rsidRPr="00C47A7C">
        <w:rPr>
          <w:rFonts w:ascii="Arial" w:hAnsi="Arial" w:cs="Arial"/>
          <w:bCs/>
          <w:sz w:val="22"/>
          <w:szCs w:val="22"/>
          <w:lang w:val="fr-FR"/>
        </w:rPr>
        <w:t xml:space="preserve">examen accéléré par le Comité de la soupe </w:t>
      </w:r>
      <w:r>
        <w:rPr>
          <w:rFonts w:ascii="Arial" w:hAnsi="Arial" w:cs="Arial"/>
          <w:bCs/>
          <w:sz w:val="22"/>
          <w:szCs w:val="22"/>
          <w:lang w:val="fr-FR"/>
        </w:rPr>
        <w:t xml:space="preserve">au giraumon, un élément </w:t>
      </w:r>
      <w:r w:rsidRPr="00C47A7C">
        <w:rPr>
          <w:rFonts w:ascii="Arial" w:hAnsi="Arial" w:cs="Arial"/>
          <w:bCs/>
          <w:sz w:val="22"/>
          <w:szCs w:val="22"/>
          <w:lang w:val="fr-FR"/>
        </w:rPr>
        <w:t>proposé par Haïti</w:t>
      </w:r>
      <w:r>
        <w:rPr>
          <w:rFonts w:ascii="Arial" w:hAnsi="Arial" w:cs="Arial"/>
          <w:bCs/>
          <w:sz w:val="22"/>
          <w:szCs w:val="22"/>
          <w:lang w:val="fr-FR"/>
        </w:rPr>
        <w:t>,</w:t>
      </w:r>
      <w:r w:rsidRPr="00C47A7C">
        <w:rPr>
          <w:rFonts w:ascii="Arial" w:hAnsi="Arial" w:cs="Arial"/>
          <w:bCs/>
          <w:sz w:val="22"/>
          <w:szCs w:val="22"/>
          <w:lang w:val="fr-FR"/>
        </w:rPr>
        <w:t xml:space="preserve"> était un bon exemple de la </w:t>
      </w:r>
      <w:r>
        <w:rPr>
          <w:rFonts w:ascii="Arial" w:hAnsi="Arial" w:cs="Arial"/>
          <w:bCs/>
          <w:sz w:val="22"/>
          <w:szCs w:val="22"/>
          <w:lang w:val="fr-FR"/>
        </w:rPr>
        <w:t xml:space="preserve">flexibilité et </w:t>
      </w:r>
      <w:r w:rsidRPr="00C47A7C">
        <w:rPr>
          <w:rFonts w:ascii="Arial" w:hAnsi="Arial" w:cs="Arial"/>
          <w:bCs/>
          <w:sz w:val="22"/>
          <w:szCs w:val="22"/>
          <w:lang w:val="fr-FR"/>
        </w:rPr>
        <w:t xml:space="preserve">de la bonne volonté </w:t>
      </w:r>
      <w:r>
        <w:rPr>
          <w:rFonts w:ascii="Arial" w:hAnsi="Arial" w:cs="Arial"/>
          <w:bCs/>
          <w:sz w:val="22"/>
          <w:szCs w:val="22"/>
          <w:lang w:val="fr-FR"/>
        </w:rPr>
        <w:t xml:space="preserve">du Comité ainsi que </w:t>
      </w:r>
      <w:r w:rsidRPr="00C47A7C">
        <w:rPr>
          <w:rFonts w:ascii="Arial" w:hAnsi="Arial" w:cs="Arial"/>
          <w:bCs/>
          <w:sz w:val="22"/>
          <w:szCs w:val="22"/>
          <w:lang w:val="fr-FR"/>
        </w:rPr>
        <w:t xml:space="preserve">de </w:t>
      </w:r>
      <w:r>
        <w:rPr>
          <w:rFonts w:ascii="Arial" w:hAnsi="Arial" w:cs="Arial"/>
          <w:bCs/>
          <w:sz w:val="22"/>
          <w:szCs w:val="22"/>
          <w:lang w:val="fr-FR"/>
        </w:rPr>
        <w:t>sa</w:t>
      </w:r>
      <w:r w:rsidRPr="00C47A7C">
        <w:rPr>
          <w:rFonts w:ascii="Arial" w:hAnsi="Arial" w:cs="Arial"/>
          <w:bCs/>
          <w:sz w:val="22"/>
          <w:szCs w:val="22"/>
          <w:lang w:val="fr-FR"/>
        </w:rPr>
        <w:t xml:space="preserve"> capacité</w:t>
      </w:r>
      <w:r>
        <w:rPr>
          <w:rFonts w:ascii="Arial" w:hAnsi="Arial" w:cs="Arial"/>
          <w:bCs/>
          <w:sz w:val="22"/>
          <w:szCs w:val="22"/>
          <w:lang w:val="fr-FR"/>
        </w:rPr>
        <w:t xml:space="preserve"> </w:t>
      </w:r>
      <w:r w:rsidRPr="00C47A7C">
        <w:rPr>
          <w:rFonts w:ascii="Arial" w:hAnsi="Arial" w:cs="Arial"/>
          <w:bCs/>
          <w:sz w:val="22"/>
          <w:szCs w:val="22"/>
          <w:lang w:val="fr-FR"/>
        </w:rPr>
        <w:t>à agir rapidement, même en terr</w:t>
      </w:r>
      <w:r>
        <w:rPr>
          <w:rFonts w:ascii="Arial" w:hAnsi="Arial" w:cs="Arial"/>
          <w:bCs/>
          <w:sz w:val="22"/>
          <w:szCs w:val="22"/>
          <w:lang w:val="fr-FR"/>
        </w:rPr>
        <w:t>e</w:t>
      </w:r>
      <w:r w:rsidRPr="00C47A7C">
        <w:rPr>
          <w:rFonts w:ascii="Arial" w:hAnsi="Arial" w:cs="Arial"/>
          <w:bCs/>
          <w:sz w:val="22"/>
          <w:szCs w:val="22"/>
          <w:lang w:val="fr-FR"/>
        </w:rPr>
        <w:t xml:space="preserve"> inconnu</w:t>
      </w:r>
      <w:r>
        <w:rPr>
          <w:rFonts w:ascii="Arial" w:hAnsi="Arial" w:cs="Arial"/>
          <w:bCs/>
          <w:sz w:val="22"/>
          <w:szCs w:val="22"/>
          <w:lang w:val="fr-FR"/>
        </w:rPr>
        <w:t>e</w:t>
      </w:r>
      <w:r w:rsidRPr="00C47A7C">
        <w:rPr>
          <w:rFonts w:ascii="Arial" w:hAnsi="Arial" w:cs="Arial"/>
          <w:bCs/>
          <w:sz w:val="22"/>
          <w:szCs w:val="22"/>
          <w:lang w:val="fr-FR"/>
        </w:rPr>
        <w:t>. La délégation n</w:t>
      </w:r>
      <w:r w:rsidR="008E532B">
        <w:rPr>
          <w:rFonts w:ascii="Arial" w:hAnsi="Arial" w:cs="Arial"/>
          <w:bCs/>
          <w:sz w:val="22"/>
          <w:szCs w:val="22"/>
          <w:lang w:val="fr-FR"/>
        </w:rPr>
        <w:t>’</w:t>
      </w:r>
      <w:r w:rsidRPr="00C47A7C">
        <w:rPr>
          <w:rFonts w:ascii="Arial" w:hAnsi="Arial" w:cs="Arial"/>
          <w:bCs/>
          <w:sz w:val="22"/>
          <w:szCs w:val="22"/>
          <w:lang w:val="fr-FR"/>
        </w:rPr>
        <w:t>a</w:t>
      </w:r>
      <w:r>
        <w:rPr>
          <w:rFonts w:ascii="Arial" w:hAnsi="Arial" w:cs="Arial"/>
          <w:bCs/>
          <w:sz w:val="22"/>
          <w:szCs w:val="22"/>
          <w:lang w:val="fr-FR"/>
        </w:rPr>
        <w:t>vait aucune hésitation</w:t>
      </w:r>
      <w:r w:rsidRPr="00C47A7C">
        <w:rPr>
          <w:rFonts w:ascii="Arial" w:hAnsi="Arial" w:cs="Arial"/>
          <w:bCs/>
          <w:sz w:val="22"/>
          <w:szCs w:val="22"/>
          <w:lang w:val="fr-FR"/>
        </w:rPr>
        <w:t xml:space="preserve"> à approuver la procédure exceptionnelle utilisée</w:t>
      </w:r>
      <w:r>
        <w:rPr>
          <w:rFonts w:ascii="Arial" w:hAnsi="Arial" w:cs="Arial"/>
          <w:bCs/>
          <w:sz w:val="22"/>
          <w:szCs w:val="22"/>
          <w:lang w:val="fr-FR"/>
        </w:rPr>
        <w:t>,</w:t>
      </w:r>
      <w:r w:rsidRPr="00C47A7C">
        <w:rPr>
          <w:rFonts w:ascii="Arial" w:hAnsi="Arial" w:cs="Arial"/>
          <w:bCs/>
          <w:sz w:val="22"/>
          <w:szCs w:val="22"/>
          <w:lang w:val="fr-FR"/>
        </w:rPr>
        <w:t xml:space="preserve"> car le Secrétariat et le Comité </w:t>
      </w:r>
      <w:r>
        <w:rPr>
          <w:rFonts w:ascii="Arial" w:hAnsi="Arial" w:cs="Arial"/>
          <w:bCs/>
          <w:sz w:val="22"/>
          <w:szCs w:val="22"/>
          <w:lang w:val="fr-FR"/>
        </w:rPr>
        <w:t>avaient</w:t>
      </w:r>
      <w:r w:rsidRPr="00C47A7C">
        <w:rPr>
          <w:rFonts w:ascii="Arial" w:hAnsi="Arial" w:cs="Arial"/>
          <w:bCs/>
          <w:sz w:val="22"/>
          <w:szCs w:val="22"/>
          <w:lang w:val="fr-FR"/>
        </w:rPr>
        <w:t xml:space="preserve"> pris grand soin de la traiter dans les mêmes conditions de fond que tout autre dossier de candidature. L</w:t>
      </w:r>
      <w:r w:rsidR="008E532B">
        <w:rPr>
          <w:rFonts w:ascii="Arial" w:hAnsi="Arial" w:cs="Arial"/>
          <w:bCs/>
          <w:sz w:val="22"/>
          <w:szCs w:val="22"/>
          <w:lang w:val="fr-FR"/>
        </w:rPr>
        <w:t>’</w:t>
      </w:r>
      <w:r>
        <w:rPr>
          <w:rFonts w:ascii="Arial" w:hAnsi="Arial" w:cs="Arial"/>
          <w:bCs/>
          <w:sz w:val="22"/>
          <w:szCs w:val="22"/>
          <w:lang w:val="fr-FR"/>
        </w:rPr>
        <w:t>O</w:t>
      </w:r>
      <w:r w:rsidRPr="00C47A7C">
        <w:rPr>
          <w:rFonts w:ascii="Arial" w:hAnsi="Arial" w:cs="Arial"/>
          <w:bCs/>
          <w:sz w:val="22"/>
          <w:szCs w:val="22"/>
          <w:lang w:val="fr-FR"/>
        </w:rPr>
        <w:t>rgane d</w:t>
      </w:r>
      <w:r w:rsidR="008E532B">
        <w:rPr>
          <w:rFonts w:ascii="Arial" w:hAnsi="Arial" w:cs="Arial"/>
          <w:bCs/>
          <w:sz w:val="22"/>
          <w:szCs w:val="22"/>
          <w:lang w:val="fr-FR"/>
        </w:rPr>
        <w:t>’</w:t>
      </w:r>
      <w:r w:rsidRPr="00C47A7C">
        <w:rPr>
          <w:rFonts w:ascii="Arial" w:hAnsi="Arial" w:cs="Arial"/>
          <w:bCs/>
          <w:sz w:val="22"/>
          <w:szCs w:val="22"/>
          <w:lang w:val="fr-FR"/>
        </w:rPr>
        <w:t>évaluation avait procédé à une évaluation complète du dossier, le recommandant pour l</w:t>
      </w:r>
      <w:r w:rsidR="008E532B">
        <w:rPr>
          <w:rFonts w:ascii="Arial" w:hAnsi="Arial" w:cs="Arial"/>
          <w:bCs/>
          <w:sz w:val="22"/>
          <w:szCs w:val="22"/>
          <w:lang w:val="fr-FR"/>
        </w:rPr>
        <w:t>’</w:t>
      </w:r>
      <w:r w:rsidRPr="00C47A7C">
        <w:rPr>
          <w:rFonts w:ascii="Arial" w:hAnsi="Arial" w:cs="Arial"/>
          <w:bCs/>
          <w:sz w:val="22"/>
          <w:szCs w:val="22"/>
          <w:lang w:val="fr-FR"/>
        </w:rPr>
        <w:t xml:space="preserve">inscription. </w:t>
      </w:r>
      <w:r>
        <w:rPr>
          <w:rFonts w:ascii="Arial" w:hAnsi="Arial" w:cs="Arial"/>
          <w:bCs/>
          <w:sz w:val="22"/>
          <w:szCs w:val="22"/>
          <w:lang w:val="fr-FR"/>
        </w:rPr>
        <w:t>Elle</w:t>
      </w:r>
      <w:r w:rsidRPr="00C47A7C">
        <w:rPr>
          <w:rFonts w:ascii="Arial" w:hAnsi="Arial" w:cs="Arial"/>
          <w:bCs/>
          <w:sz w:val="22"/>
          <w:szCs w:val="22"/>
          <w:lang w:val="fr-FR"/>
        </w:rPr>
        <w:t xml:space="preserve"> a félicité une nouvelle fois Haïti pour cette inscription bien méritée. Quelques jours auparavant, </w:t>
      </w:r>
      <w:r w:rsidRPr="00B86E68">
        <w:rPr>
          <w:rFonts w:ascii="Arial" w:eastAsia="SimSun" w:hAnsi="Arial" w:cs="Arial"/>
          <w:sz w:val="22"/>
          <w:szCs w:val="22"/>
          <w:lang w:val="fr-FR"/>
        </w:rPr>
        <w:t xml:space="preserve">la </w:t>
      </w:r>
      <w:r>
        <w:rPr>
          <w:rFonts w:ascii="Arial" w:eastAsia="SimSun" w:hAnsi="Arial" w:cs="Arial"/>
          <w:sz w:val="22"/>
          <w:szCs w:val="22"/>
          <w:lang w:val="fr-FR"/>
        </w:rPr>
        <w:t>c</w:t>
      </w:r>
      <w:r w:rsidRPr="00BF4BDA">
        <w:rPr>
          <w:rFonts w:ascii="Arial" w:eastAsia="SimSun" w:hAnsi="Arial" w:cs="Arial"/>
          <w:sz w:val="22"/>
          <w:szCs w:val="22"/>
          <w:lang w:val="fr-FR"/>
        </w:rPr>
        <w:t xml:space="preserve">ulture de la </w:t>
      </w:r>
      <w:r>
        <w:rPr>
          <w:rFonts w:ascii="Arial" w:eastAsia="SimSun" w:hAnsi="Arial" w:cs="Arial"/>
          <w:sz w:val="22"/>
          <w:szCs w:val="22"/>
          <w:lang w:val="fr-FR"/>
        </w:rPr>
        <w:t xml:space="preserve">préparation du bortsch </w:t>
      </w:r>
      <w:r w:rsidRPr="00BF4BDA">
        <w:rPr>
          <w:rFonts w:ascii="Arial" w:eastAsia="SimSun" w:hAnsi="Arial" w:cs="Arial"/>
          <w:sz w:val="22"/>
          <w:szCs w:val="22"/>
          <w:lang w:val="fr-FR"/>
        </w:rPr>
        <w:t>ukrainien</w:t>
      </w:r>
      <w:r w:rsidRPr="00B86E68">
        <w:rPr>
          <w:rFonts w:ascii="Arial" w:eastAsia="SimSun" w:hAnsi="Arial" w:cs="Arial"/>
          <w:sz w:val="22"/>
          <w:szCs w:val="22"/>
          <w:lang w:val="fr-FR"/>
        </w:rPr>
        <w:t xml:space="preserve"> </w:t>
      </w:r>
      <w:r w:rsidRPr="00C47A7C">
        <w:rPr>
          <w:rFonts w:ascii="Arial" w:hAnsi="Arial" w:cs="Arial"/>
          <w:bCs/>
          <w:sz w:val="22"/>
          <w:szCs w:val="22"/>
          <w:lang w:val="fr-FR"/>
        </w:rPr>
        <w:t>avait été inscrit</w:t>
      </w:r>
      <w:r>
        <w:rPr>
          <w:rFonts w:ascii="Arial" w:hAnsi="Arial" w:cs="Arial"/>
          <w:bCs/>
          <w:sz w:val="22"/>
          <w:szCs w:val="22"/>
          <w:lang w:val="fr-FR"/>
        </w:rPr>
        <w:t>e</w:t>
      </w:r>
      <w:r w:rsidRPr="00C47A7C">
        <w:rPr>
          <w:rFonts w:ascii="Arial" w:hAnsi="Arial" w:cs="Arial"/>
          <w:bCs/>
          <w:sz w:val="22"/>
          <w:szCs w:val="22"/>
          <w:lang w:val="fr-FR"/>
        </w:rPr>
        <w:t xml:space="preserve"> sur la Liste de sauvegarde urgente en tant que cas d</w:t>
      </w:r>
      <w:r w:rsidR="008E532B">
        <w:rPr>
          <w:rFonts w:ascii="Arial" w:hAnsi="Arial" w:cs="Arial"/>
          <w:bCs/>
          <w:sz w:val="22"/>
          <w:szCs w:val="22"/>
          <w:lang w:val="fr-FR"/>
        </w:rPr>
        <w:t>’</w:t>
      </w:r>
      <w:r w:rsidRPr="00C47A7C">
        <w:rPr>
          <w:rFonts w:ascii="Arial" w:hAnsi="Arial" w:cs="Arial"/>
          <w:bCs/>
          <w:sz w:val="22"/>
          <w:szCs w:val="22"/>
          <w:lang w:val="fr-FR"/>
        </w:rPr>
        <w:t>extrême urgence au sens de l</w:t>
      </w:r>
      <w:r w:rsidR="008E532B">
        <w:rPr>
          <w:rFonts w:ascii="Arial" w:hAnsi="Arial" w:cs="Arial"/>
          <w:bCs/>
          <w:sz w:val="22"/>
          <w:szCs w:val="22"/>
          <w:lang w:val="fr-FR"/>
        </w:rPr>
        <w:t>’</w:t>
      </w:r>
      <w:r w:rsidRPr="00C47A7C">
        <w:rPr>
          <w:rFonts w:ascii="Arial" w:hAnsi="Arial" w:cs="Arial"/>
          <w:bCs/>
          <w:sz w:val="22"/>
          <w:szCs w:val="22"/>
          <w:lang w:val="fr-FR"/>
        </w:rPr>
        <w:t>article 17.3</w:t>
      </w:r>
      <w:r>
        <w:rPr>
          <w:rStyle w:val="FootnoteReference"/>
          <w:rFonts w:ascii="Arial" w:hAnsi="Arial" w:cs="Arial"/>
          <w:bCs/>
          <w:sz w:val="22"/>
          <w:szCs w:val="22"/>
          <w:lang w:val="fr-FR"/>
        </w:rPr>
        <w:footnoteReference w:id="35"/>
      </w:r>
      <w:r w:rsidRPr="00C47A7C">
        <w:rPr>
          <w:rFonts w:ascii="Arial" w:hAnsi="Arial" w:cs="Arial"/>
          <w:bCs/>
          <w:sz w:val="22"/>
          <w:szCs w:val="22"/>
          <w:lang w:val="fr-FR"/>
        </w:rPr>
        <w:t xml:space="preserve"> de la Convention. En effet, </w:t>
      </w:r>
      <w:r w:rsidR="006221EA">
        <w:rPr>
          <w:rFonts w:ascii="Arial" w:hAnsi="Arial" w:cs="Arial"/>
          <w:bCs/>
          <w:sz w:val="22"/>
          <w:szCs w:val="22"/>
          <w:lang w:val="fr-FR"/>
        </w:rPr>
        <w:t xml:space="preserve">la délégation a noté que </w:t>
      </w:r>
      <w:r w:rsidRPr="00C47A7C">
        <w:rPr>
          <w:rFonts w:ascii="Arial" w:hAnsi="Arial" w:cs="Arial"/>
          <w:bCs/>
          <w:sz w:val="22"/>
          <w:szCs w:val="22"/>
          <w:lang w:val="fr-FR"/>
        </w:rPr>
        <w:t>compte tenu de la guerre totale que m</w:t>
      </w:r>
      <w:r>
        <w:rPr>
          <w:rFonts w:ascii="Arial" w:hAnsi="Arial" w:cs="Arial"/>
          <w:bCs/>
          <w:sz w:val="22"/>
          <w:szCs w:val="22"/>
          <w:lang w:val="fr-FR"/>
        </w:rPr>
        <w:t>enait</w:t>
      </w:r>
      <w:r w:rsidRPr="00C47A7C">
        <w:rPr>
          <w:rFonts w:ascii="Arial" w:hAnsi="Arial" w:cs="Arial"/>
          <w:bCs/>
          <w:sz w:val="22"/>
          <w:szCs w:val="22"/>
          <w:lang w:val="fr-FR"/>
        </w:rPr>
        <w:t xml:space="preserve"> </w:t>
      </w:r>
      <w:r>
        <w:rPr>
          <w:rFonts w:ascii="Arial" w:hAnsi="Arial" w:cs="Arial"/>
          <w:bCs/>
          <w:sz w:val="22"/>
          <w:szCs w:val="22"/>
          <w:lang w:val="fr-FR"/>
        </w:rPr>
        <w:t xml:space="preserve">alors </w:t>
      </w:r>
      <w:r w:rsidRPr="00C47A7C">
        <w:rPr>
          <w:rFonts w:ascii="Arial" w:hAnsi="Arial" w:cs="Arial"/>
          <w:bCs/>
          <w:sz w:val="22"/>
          <w:szCs w:val="22"/>
          <w:lang w:val="fr-FR"/>
        </w:rPr>
        <w:t>la Fédération de Russie contre l</w:t>
      </w:r>
      <w:r w:rsidR="008E532B">
        <w:rPr>
          <w:rFonts w:ascii="Arial" w:hAnsi="Arial" w:cs="Arial"/>
          <w:bCs/>
          <w:sz w:val="22"/>
          <w:szCs w:val="22"/>
          <w:lang w:val="fr-FR"/>
        </w:rPr>
        <w:t>’</w:t>
      </w:r>
      <w:r w:rsidRPr="00C47A7C">
        <w:rPr>
          <w:rFonts w:ascii="Arial" w:hAnsi="Arial" w:cs="Arial"/>
          <w:bCs/>
          <w:sz w:val="22"/>
          <w:szCs w:val="22"/>
          <w:lang w:val="fr-FR"/>
        </w:rPr>
        <w:t xml:space="preserve">Ukraine, et des catastrophes naturelles et des troubles sociaux qui </w:t>
      </w:r>
      <w:r>
        <w:rPr>
          <w:rFonts w:ascii="Arial" w:hAnsi="Arial" w:cs="Arial"/>
          <w:bCs/>
          <w:sz w:val="22"/>
          <w:szCs w:val="22"/>
          <w:lang w:val="fr-FR"/>
        </w:rPr>
        <w:t>avaient</w:t>
      </w:r>
      <w:r w:rsidRPr="00C47A7C">
        <w:rPr>
          <w:rFonts w:ascii="Arial" w:hAnsi="Arial" w:cs="Arial"/>
          <w:bCs/>
          <w:sz w:val="22"/>
          <w:szCs w:val="22"/>
          <w:lang w:val="fr-FR"/>
        </w:rPr>
        <w:t xml:space="preserve"> frappé Haïti, l</w:t>
      </w:r>
      <w:r w:rsidR="008E532B">
        <w:rPr>
          <w:rFonts w:ascii="Arial" w:hAnsi="Arial" w:cs="Arial"/>
          <w:bCs/>
          <w:sz w:val="22"/>
          <w:szCs w:val="22"/>
          <w:lang w:val="fr-FR"/>
        </w:rPr>
        <w:t>’</w:t>
      </w:r>
      <w:r w:rsidRPr="00C47A7C">
        <w:rPr>
          <w:rFonts w:ascii="Arial" w:hAnsi="Arial" w:cs="Arial"/>
          <w:bCs/>
          <w:sz w:val="22"/>
          <w:szCs w:val="22"/>
          <w:lang w:val="fr-FR"/>
        </w:rPr>
        <w:t>Assemblée s</w:t>
      </w:r>
      <w:r>
        <w:rPr>
          <w:rFonts w:ascii="Arial" w:hAnsi="Arial" w:cs="Arial"/>
          <w:bCs/>
          <w:sz w:val="22"/>
          <w:szCs w:val="22"/>
          <w:lang w:val="fr-FR"/>
        </w:rPr>
        <w:t>e voyait</w:t>
      </w:r>
      <w:r w:rsidRPr="00C47A7C">
        <w:rPr>
          <w:rFonts w:ascii="Arial" w:hAnsi="Arial" w:cs="Arial"/>
          <w:bCs/>
          <w:sz w:val="22"/>
          <w:szCs w:val="22"/>
          <w:lang w:val="fr-FR"/>
        </w:rPr>
        <w:t xml:space="preserve"> rappeler une fois de plus que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C47A7C">
        <w:rPr>
          <w:rFonts w:ascii="Arial" w:hAnsi="Arial" w:cs="Arial"/>
          <w:bCs/>
          <w:sz w:val="22"/>
          <w:szCs w:val="22"/>
          <w:lang w:val="fr-FR"/>
        </w:rPr>
        <w:t>ne peut être séparé de ses praticiens</w:t>
      </w:r>
      <w:r>
        <w:rPr>
          <w:rFonts w:ascii="Arial" w:hAnsi="Arial" w:cs="Arial"/>
          <w:bCs/>
          <w:sz w:val="22"/>
          <w:szCs w:val="22"/>
          <w:lang w:val="fr-FR"/>
        </w:rPr>
        <w:t xml:space="preserve">, </w:t>
      </w:r>
      <w:r w:rsidRPr="00C47A7C">
        <w:rPr>
          <w:rFonts w:ascii="Arial" w:hAnsi="Arial" w:cs="Arial"/>
          <w:bCs/>
          <w:sz w:val="22"/>
          <w:szCs w:val="22"/>
          <w:lang w:val="fr-FR"/>
        </w:rPr>
        <w:t xml:space="preserve">sa sauvegarde </w:t>
      </w:r>
      <w:r>
        <w:rPr>
          <w:rFonts w:ascii="Arial" w:hAnsi="Arial" w:cs="Arial"/>
          <w:bCs/>
          <w:sz w:val="22"/>
          <w:szCs w:val="22"/>
          <w:lang w:val="fr-FR"/>
        </w:rPr>
        <w:t>étant</w:t>
      </w:r>
      <w:r w:rsidRPr="00C47A7C">
        <w:rPr>
          <w:rFonts w:ascii="Arial" w:hAnsi="Arial" w:cs="Arial"/>
          <w:bCs/>
          <w:sz w:val="22"/>
          <w:szCs w:val="22"/>
          <w:lang w:val="fr-FR"/>
        </w:rPr>
        <w:t xml:space="preserve"> indissociable de la protection de la vie et du bien-être de ses détenteurs. Il était intéressant de noter que les deux </w:t>
      </w:r>
      <w:r w:rsidRPr="009366BD">
        <w:rPr>
          <w:rFonts w:ascii="Arial" w:hAnsi="Arial" w:cs="Arial"/>
          <w:bCs/>
          <w:sz w:val="22"/>
          <w:szCs w:val="22"/>
          <w:lang w:val="fr-FR"/>
        </w:rPr>
        <w:t>candidatur</w:t>
      </w:r>
      <w:r>
        <w:rPr>
          <w:rFonts w:ascii="Arial" w:hAnsi="Arial" w:cs="Arial"/>
          <w:bCs/>
          <w:sz w:val="22"/>
          <w:szCs w:val="22"/>
          <w:lang w:val="fr-FR"/>
        </w:rPr>
        <w:t xml:space="preserve">es </w:t>
      </w:r>
      <w:r w:rsidRPr="00C47A7C">
        <w:rPr>
          <w:rFonts w:ascii="Arial" w:hAnsi="Arial" w:cs="Arial"/>
          <w:bCs/>
          <w:sz w:val="22"/>
          <w:szCs w:val="22"/>
          <w:lang w:val="fr-FR"/>
        </w:rPr>
        <w:t>concern</w:t>
      </w:r>
      <w:r>
        <w:rPr>
          <w:rFonts w:ascii="Arial" w:hAnsi="Arial" w:cs="Arial"/>
          <w:bCs/>
          <w:sz w:val="22"/>
          <w:szCs w:val="22"/>
          <w:lang w:val="fr-FR"/>
        </w:rPr>
        <w:t>ai</w:t>
      </w:r>
      <w:r w:rsidRPr="00C47A7C">
        <w:rPr>
          <w:rFonts w:ascii="Arial" w:hAnsi="Arial" w:cs="Arial"/>
          <w:bCs/>
          <w:sz w:val="22"/>
          <w:szCs w:val="22"/>
          <w:lang w:val="fr-FR"/>
        </w:rPr>
        <w:t xml:space="preserve">ent la culture de la </w:t>
      </w:r>
      <w:r>
        <w:rPr>
          <w:rFonts w:ascii="Arial" w:hAnsi="Arial" w:cs="Arial"/>
          <w:bCs/>
          <w:sz w:val="22"/>
          <w:szCs w:val="22"/>
          <w:lang w:val="fr-FR"/>
        </w:rPr>
        <w:t xml:space="preserve">préparation </w:t>
      </w:r>
      <w:r w:rsidRPr="00C47A7C">
        <w:rPr>
          <w:rFonts w:ascii="Arial" w:hAnsi="Arial" w:cs="Arial"/>
          <w:bCs/>
          <w:sz w:val="22"/>
          <w:szCs w:val="22"/>
          <w:lang w:val="fr-FR"/>
        </w:rPr>
        <w:t xml:space="preserve">de la soupe. La nourriture </w:t>
      </w:r>
      <w:r>
        <w:rPr>
          <w:rFonts w:ascii="Arial" w:hAnsi="Arial" w:cs="Arial"/>
          <w:bCs/>
          <w:sz w:val="22"/>
          <w:szCs w:val="22"/>
          <w:lang w:val="fr-FR"/>
        </w:rPr>
        <w:t>était</w:t>
      </w:r>
      <w:r w:rsidRPr="00C47A7C">
        <w:rPr>
          <w:rFonts w:ascii="Arial" w:hAnsi="Arial" w:cs="Arial"/>
          <w:bCs/>
          <w:sz w:val="22"/>
          <w:szCs w:val="22"/>
          <w:lang w:val="fr-FR"/>
        </w:rPr>
        <w:t xml:space="preserve"> partagée et appréciée ensemble. Tant la soupe</w:t>
      </w:r>
      <w:r>
        <w:rPr>
          <w:rFonts w:ascii="Arial" w:hAnsi="Arial" w:cs="Arial"/>
          <w:bCs/>
          <w:sz w:val="22"/>
          <w:szCs w:val="22"/>
          <w:lang w:val="fr-FR"/>
        </w:rPr>
        <w:t xml:space="preserve"> au giraumon</w:t>
      </w:r>
      <w:r w:rsidRPr="00C47A7C">
        <w:rPr>
          <w:rFonts w:ascii="Arial" w:hAnsi="Arial" w:cs="Arial"/>
          <w:bCs/>
          <w:sz w:val="22"/>
          <w:szCs w:val="22"/>
          <w:lang w:val="fr-FR"/>
        </w:rPr>
        <w:t xml:space="preserve"> que la </w:t>
      </w:r>
      <w:r>
        <w:rPr>
          <w:rFonts w:ascii="Arial" w:hAnsi="Arial" w:cs="Arial"/>
          <w:bCs/>
          <w:sz w:val="22"/>
          <w:szCs w:val="22"/>
          <w:lang w:val="fr-FR"/>
        </w:rPr>
        <w:t>préparation du bortsch</w:t>
      </w:r>
      <w:r w:rsidRPr="00C47A7C">
        <w:rPr>
          <w:rFonts w:ascii="Arial" w:hAnsi="Arial" w:cs="Arial"/>
          <w:bCs/>
          <w:sz w:val="22"/>
          <w:szCs w:val="22"/>
          <w:lang w:val="fr-FR"/>
        </w:rPr>
        <w:t xml:space="preserve"> ukrainien</w:t>
      </w:r>
      <w:r>
        <w:rPr>
          <w:rFonts w:ascii="Arial" w:hAnsi="Arial" w:cs="Arial"/>
          <w:bCs/>
          <w:sz w:val="22"/>
          <w:szCs w:val="22"/>
          <w:lang w:val="fr-FR"/>
        </w:rPr>
        <w:t xml:space="preserve"> </w:t>
      </w:r>
      <w:r w:rsidRPr="00C47A7C">
        <w:rPr>
          <w:rFonts w:ascii="Arial" w:hAnsi="Arial" w:cs="Arial"/>
          <w:bCs/>
          <w:sz w:val="22"/>
          <w:szCs w:val="22"/>
          <w:lang w:val="fr-FR"/>
        </w:rPr>
        <w:t>représent</w:t>
      </w:r>
      <w:r>
        <w:rPr>
          <w:rFonts w:ascii="Arial" w:hAnsi="Arial" w:cs="Arial"/>
          <w:bCs/>
          <w:sz w:val="22"/>
          <w:szCs w:val="22"/>
          <w:lang w:val="fr-FR"/>
        </w:rPr>
        <w:t>ai</w:t>
      </w:r>
      <w:r w:rsidRPr="00C47A7C">
        <w:rPr>
          <w:rFonts w:ascii="Arial" w:hAnsi="Arial" w:cs="Arial"/>
          <w:bCs/>
          <w:sz w:val="22"/>
          <w:szCs w:val="22"/>
          <w:lang w:val="fr-FR"/>
        </w:rPr>
        <w:t>ent un phénomène culturel inclusif dans lequel tous les segments de la société se reconnaiss</w:t>
      </w:r>
      <w:r>
        <w:rPr>
          <w:rFonts w:ascii="Arial" w:hAnsi="Arial" w:cs="Arial"/>
          <w:bCs/>
          <w:sz w:val="22"/>
          <w:szCs w:val="22"/>
          <w:lang w:val="fr-FR"/>
        </w:rPr>
        <w:t>ai</w:t>
      </w:r>
      <w:r w:rsidRPr="00C47A7C">
        <w:rPr>
          <w:rFonts w:ascii="Arial" w:hAnsi="Arial" w:cs="Arial"/>
          <w:bCs/>
          <w:sz w:val="22"/>
          <w:szCs w:val="22"/>
          <w:lang w:val="fr-FR"/>
        </w:rPr>
        <w:t>ent.</w:t>
      </w:r>
    </w:p>
    <w:p w14:paraId="619B4D12" w14:textId="20E1E44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12214">
        <w:rPr>
          <w:rFonts w:ascii="Arial" w:hAnsi="Arial" w:cs="Arial"/>
          <w:bCs/>
          <w:sz w:val="22"/>
          <w:szCs w:val="22"/>
          <w:lang w:val="fr-FR"/>
        </w:rPr>
        <w:t>La délégation</w:t>
      </w:r>
      <w:r>
        <w:rPr>
          <w:rFonts w:ascii="Arial" w:hAnsi="Arial" w:cs="Arial"/>
          <w:bCs/>
          <w:sz w:val="22"/>
          <w:szCs w:val="22"/>
          <w:lang w:val="fr-FR"/>
        </w:rPr>
        <w:t xml:space="preserve"> de la </w:t>
      </w:r>
      <w:r w:rsidRPr="00412214">
        <w:rPr>
          <w:rFonts w:ascii="Arial" w:hAnsi="Arial" w:cs="Arial"/>
          <w:b/>
          <w:sz w:val="22"/>
          <w:szCs w:val="22"/>
          <w:lang w:val="fr-FR"/>
        </w:rPr>
        <w:t>France</w:t>
      </w:r>
      <w:r w:rsidRPr="00412214">
        <w:rPr>
          <w:rFonts w:ascii="Arial" w:hAnsi="Arial" w:cs="Arial"/>
          <w:bCs/>
          <w:sz w:val="22"/>
          <w:szCs w:val="22"/>
          <w:lang w:val="fr-FR"/>
        </w:rPr>
        <w:t xml:space="preserve"> a félicité Haïti pour l</w:t>
      </w:r>
      <w:r w:rsidR="008E532B">
        <w:rPr>
          <w:rFonts w:ascii="Arial" w:hAnsi="Arial" w:cs="Arial"/>
          <w:bCs/>
          <w:sz w:val="22"/>
          <w:szCs w:val="22"/>
          <w:lang w:val="fr-FR"/>
        </w:rPr>
        <w:t>’</w:t>
      </w:r>
      <w:r w:rsidRPr="00412214">
        <w:rPr>
          <w:rFonts w:ascii="Arial" w:hAnsi="Arial" w:cs="Arial"/>
          <w:bCs/>
          <w:sz w:val="22"/>
          <w:szCs w:val="22"/>
          <w:lang w:val="fr-FR"/>
        </w:rPr>
        <w:t xml:space="preserve">inscription de ce nouvel élément sur la Liste représentative. Elle a </w:t>
      </w:r>
      <w:r>
        <w:rPr>
          <w:rFonts w:ascii="Arial" w:hAnsi="Arial" w:cs="Arial"/>
          <w:bCs/>
          <w:sz w:val="22"/>
          <w:szCs w:val="22"/>
          <w:lang w:val="fr-FR"/>
        </w:rPr>
        <w:t xml:space="preserve">toutefois </w:t>
      </w:r>
      <w:r w:rsidRPr="00412214">
        <w:rPr>
          <w:rFonts w:ascii="Arial" w:hAnsi="Arial" w:cs="Arial"/>
          <w:bCs/>
          <w:sz w:val="22"/>
          <w:szCs w:val="22"/>
          <w:lang w:val="fr-FR"/>
        </w:rPr>
        <w:t xml:space="preserve">regretté que les Directives opérationnelles </w:t>
      </w:r>
      <w:r>
        <w:rPr>
          <w:rFonts w:ascii="Arial" w:hAnsi="Arial" w:cs="Arial"/>
          <w:bCs/>
          <w:sz w:val="22"/>
          <w:szCs w:val="22"/>
          <w:lang w:val="fr-FR"/>
        </w:rPr>
        <w:t>ne disent mot</w:t>
      </w:r>
      <w:r w:rsidRPr="00412214">
        <w:rPr>
          <w:rFonts w:ascii="Arial" w:hAnsi="Arial" w:cs="Arial"/>
          <w:bCs/>
          <w:sz w:val="22"/>
          <w:szCs w:val="22"/>
          <w:lang w:val="fr-FR"/>
        </w:rPr>
        <w:t xml:space="preserve"> sur les procédures non programmées, comme celle qui a</w:t>
      </w:r>
      <w:r>
        <w:rPr>
          <w:rFonts w:ascii="Arial" w:hAnsi="Arial" w:cs="Arial"/>
          <w:bCs/>
          <w:sz w:val="22"/>
          <w:szCs w:val="22"/>
          <w:lang w:val="fr-FR"/>
        </w:rPr>
        <w:t>vait</w:t>
      </w:r>
      <w:r w:rsidRPr="00412214">
        <w:rPr>
          <w:rFonts w:ascii="Arial" w:hAnsi="Arial" w:cs="Arial"/>
          <w:bCs/>
          <w:sz w:val="22"/>
          <w:szCs w:val="22"/>
          <w:lang w:val="fr-FR"/>
        </w:rPr>
        <w:t xml:space="preserve"> permis l</w:t>
      </w:r>
      <w:r w:rsidR="008E532B">
        <w:rPr>
          <w:rFonts w:ascii="Arial" w:hAnsi="Arial" w:cs="Arial"/>
          <w:bCs/>
          <w:sz w:val="22"/>
          <w:szCs w:val="22"/>
          <w:lang w:val="fr-FR"/>
        </w:rPr>
        <w:t>’</w:t>
      </w:r>
      <w:r w:rsidRPr="00412214">
        <w:rPr>
          <w:rFonts w:ascii="Arial" w:hAnsi="Arial" w:cs="Arial"/>
          <w:bCs/>
          <w:sz w:val="22"/>
          <w:szCs w:val="22"/>
          <w:lang w:val="fr-FR"/>
        </w:rPr>
        <w:t>examen de ce dossier. En</w:t>
      </w:r>
      <w:r>
        <w:rPr>
          <w:rFonts w:ascii="Arial" w:hAnsi="Arial" w:cs="Arial"/>
          <w:bCs/>
          <w:sz w:val="22"/>
          <w:szCs w:val="22"/>
          <w:lang w:val="fr-FR"/>
        </w:rPr>
        <w:t xml:space="preserve"> fait</w:t>
      </w:r>
      <w:r w:rsidRPr="00412214">
        <w:rPr>
          <w:rFonts w:ascii="Arial" w:hAnsi="Arial" w:cs="Arial"/>
          <w:bCs/>
          <w:sz w:val="22"/>
          <w:szCs w:val="22"/>
          <w:lang w:val="fr-FR"/>
        </w:rPr>
        <w:t>, le manque de clarté des statuts, règlements et procédures de l</w:t>
      </w:r>
      <w:r w:rsidR="008E532B">
        <w:rPr>
          <w:rFonts w:ascii="Arial" w:hAnsi="Arial" w:cs="Arial"/>
          <w:bCs/>
          <w:sz w:val="22"/>
          <w:szCs w:val="22"/>
          <w:lang w:val="fr-FR"/>
        </w:rPr>
        <w:t>’</w:t>
      </w:r>
      <w:r w:rsidRPr="00412214">
        <w:rPr>
          <w:rFonts w:ascii="Arial" w:hAnsi="Arial" w:cs="Arial"/>
          <w:bCs/>
          <w:sz w:val="22"/>
          <w:szCs w:val="22"/>
          <w:lang w:val="fr-FR"/>
        </w:rPr>
        <w:t xml:space="preserve">UNESCO </w:t>
      </w:r>
      <w:r>
        <w:rPr>
          <w:rFonts w:ascii="Arial" w:hAnsi="Arial" w:cs="Arial"/>
          <w:bCs/>
          <w:sz w:val="22"/>
          <w:szCs w:val="22"/>
          <w:lang w:val="fr-FR"/>
        </w:rPr>
        <w:t xml:space="preserve">pouvait </w:t>
      </w:r>
      <w:r w:rsidRPr="00412214">
        <w:rPr>
          <w:rFonts w:ascii="Arial" w:hAnsi="Arial" w:cs="Arial"/>
          <w:bCs/>
          <w:sz w:val="22"/>
          <w:szCs w:val="22"/>
          <w:lang w:val="fr-FR"/>
        </w:rPr>
        <w:t>parfois être considéré</w:t>
      </w:r>
      <w:r>
        <w:rPr>
          <w:rFonts w:ascii="Arial" w:hAnsi="Arial" w:cs="Arial"/>
          <w:bCs/>
          <w:sz w:val="22"/>
          <w:szCs w:val="22"/>
          <w:lang w:val="fr-FR"/>
        </w:rPr>
        <w:t>, de façon générale,</w:t>
      </w:r>
      <w:r w:rsidRPr="00412214">
        <w:rPr>
          <w:rFonts w:ascii="Arial" w:hAnsi="Arial" w:cs="Arial"/>
          <w:bCs/>
          <w:sz w:val="22"/>
          <w:szCs w:val="22"/>
          <w:lang w:val="fr-FR"/>
        </w:rPr>
        <w:t xml:space="preserve"> comme une forme de flexibilité et un atou</w:t>
      </w:r>
      <w:r>
        <w:rPr>
          <w:rFonts w:ascii="Arial" w:hAnsi="Arial" w:cs="Arial"/>
          <w:bCs/>
          <w:sz w:val="22"/>
          <w:szCs w:val="22"/>
          <w:lang w:val="fr-FR"/>
        </w:rPr>
        <w:t>t</w:t>
      </w:r>
      <w:r w:rsidRPr="00412214">
        <w:rPr>
          <w:rFonts w:ascii="Arial" w:hAnsi="Arial" w:cs="Arial"/>
          <w:bCs/>
          <w:sz w:val="22"/>
          <w:szCs w:val="22"/>
          <w:lang w:val="fr-FR"/>
        </w:rPr>
        <w:t>, mais la délégation estim</w:t>
      </w:r>
      <w:r>
        <w:rPr>
          <w:rFonts w:ascii="Arial" w:hAnsi="Arial" w:cs="Arial"/>
          <w:bCs/>
          <w:sz w:val="22"/>
          <w:szCs w:val="22"/>
          <w:lang w:val="fr-FR"/>
        </w:rPr>
        <w:t>ait</w:t>
      </w:r>
      <w:r w:rsidRPr="00412214">
        <w:rPr>
          <w:rFonts w:ascii="Arial" w:hAnsi="Arial" w:cs="Arial"/>
          <w:bCs/>
          <w:sz w:val="22"/>
          <w:szCs w:val="22"/>
          <w:lang w:val="fr-FR"/>
        </w:rPr>
        <w:t xml:space="preserve"> qu</w:t>
      </w:r>
      <w:r>
        <w:rPr>
          <w:rFonts w:ascii="Arial" w:hAnsi="Arial" w:cs="Arial"/>
          <w:bCs/>
          <w:sz w:val="22"/>
          <w:szCs w:val="22"/>
          <w:lang w:val="fr-FR"/>
        </w:rPr>
        <w:t xml:space="preserve">e cela </w:t>
      </w:r>
      <w:r w:rsidRPr="00412214">
        <w:rPr>
          <w:rFonts w:ascii="Arial" w:hAnsi="Arial" w:cs="Arial"/>
          <w:bCs/>
          <w:sz w:val="22"/>
          <w:szCs w:val="22"/>
          <w:lang w:val="fr-FR"/>
        </w:rPr>
        <w:t>d</w:t>
      </w:r>
      <w:r>
        <w:rPr>
          <w:rFonts w:ascii="Arial" w:hAnsi="Arial" w:cs="Arial"/>
          <w:bCs/>
          <w:sz w:val="22"/>
          <w:szCs w:val="22"/>
          <w:lang w:val="fr-FR"/>
        </w:rPr>
        <w:t>evait</w:t>
      </w:r>
      <w:r w:rsidRPr="00412214">
        <w:rPr>
          <w:rFonts w:ascii="Arial" w:hAnsi="Arial" w:cs="Arial"/>
          <w:bCs/>
          <w:sz w:val="22"/>
          <w:szCs w:val="22"/>
          <w:lang w:val="fr-FR"/>
        </w:rPr>
        <w:t xml:space="preserve"> être modifié car </w:t>
      </w:r>
      <w:r>
        <w:rPr>
          <w:rFonts w:ascii="Arial" w:hAnsi="Arial" w:cs="Arial"/>
          <w:bCs/>
          <w:sz w:val="22"/>
          <w:szCs w:val="22"/>
          <w:lang w:val="fr-FR"/>
        </w:rPr>
        <w:t>ce manque de clarté était porteur</w:t>
      </w:r>
      <w:r w:rsidRPr="00412214">
        <w:rPr>
          <w:rFonts w:ascii="Arial" w:hAnsi="Arial" w:cs="Arial"/>
          <w:bCs/>
          <w:sz w:val="22"/>
          <w:szCs w:val="22"/>
          <w:lang w:val="fr-FR"/>
        </w:rPr>
        <w:t xml:space="preserve"> </w:t>
      </w:r>
      <w:r>
        <w:rPr>
          <w:rFonts w:ascii="Arial" w:hAnsi="Arial" w:cs="Arial"/>
          <w:bCs/>
          <w:sz w:val="22"/>
          <w:szCs w:val="22"/>
          <w:lang w:val="fr-FR"/>
        </w:rPr>
        <w:t>d</w:t>
      </w:r>
      <w:r w:rsidR="008E532B">
        <w:rPr>
          <w:rFonts w:ascii="Arial" w:hAnsi="Arial" w:cs="Arial"/>
          <w:bCs/>
          <w:sz w:val="22"/>
          <w:szCs w:val="22"/>
          <w:lang w:val="fr-FR"/>
        </w:rPr>
        <w:t>’</w:t>
      </w:r>
      <w:r w:rsidRPr="00412214">
        <w:rPr>
          <w:rFonts w:ascii="Arial" w:hAnsi="Arial" w:cs="Arial"/>
          <w:bCs/>
          <w:sz w:val="22"/>
          <w:szCs w:val="22"/>
          <w:lang w:val="fr-FR"/>
        </w:rPr>
        <w:t>un risque non négligeable d</w:t>
      </w:r>
      <w:r w:rsidR="008E532B">
        <w:rPr>
          <w:rFonts w:ascii="Arial" w:hAnsi="Arial" w:cs="Arial"/>
          <w:bCs/>
          <w:sz w:val="22"/>
          <w:szCs w:val="22"/>
          <w:lang w:val="fr-FR"/>
        </w:rPr>
        <w:t>’</w:t>
      </w:r>
      <w:r w:rsidRPr="00412214">
        <w:rPr>
          <w:rFonts w:ascii="Arial" w:hAnsi="Arial" w:cs="Arial"/>
          <w:bCs/>
          <w:sz w:val="22"/>
          <w:szCs w:val="22"/>
          <w:lang w:val="fr-FR"/>
        </w:rPr>
        <w:t>empêcher et de bloquer des programmes traitant de questions politiques et culturelles pouvant faire l</w:t>
      </w:r>
      <w:r w:rsidR="008E532B">
        <w:rPr>
          <w:rFonts w:ascii="Arial" w:hAnsi="Arial" w:cs="Arial"/>
          <w:bCs/>
          <w:sz w:val="22"/>
          <w:szCs w:val="22"/>
          <w:lang w:val="fr-FR"/>
        </w:rPr>
        <w:t>’</w:t>
      </w:r>
      <w:r w:rsidRPr="00412214">
        <w:rPr>
          <w:rFonts w:ascii="Arial" w:hAnsi="Arial" w:cs="Arial"/>
          <w:bCs/>
          <w:sz w:val="22"/>
          <w:szCs w:val="22"/>
          <w:lang w:val="fr-FR"/>
        </w:rPr>
        <w:t xml:space="preserve">objet de tensions, comme cela </w:t>
      </w:r>
      <w:r>
        <w:rPr>
          <w:rFonts w:ascii="Arial" w:hAnsi="Arial" w:cs="Arial"/>
          <w:bCs/>
          <w:sz w:val="22"/>
          <w:szCs w:val="22"/>
          <w:lang w:val="fr-FR"/>
        </w:rPr>
        <w:t>avait été le cas,</w:t>
      </w:r>
      <w:r w:rsidRPr="00412214">
        <w:rPr>
          <w:rFonts w:ascii="Arial" w:hAnsi="Arial" w:cs="Arial"/>
          <w:bCs/>
          <w:sz w:val="22"/>
          <w:szCs w:val="22"/>
          <w:lang w:val="fr-FR"/>
        </w:rPr>
        <w:t xml:space="preserve"> par exemple</w:t>
      </w:r>
      <w:r>
        <w:rPr>
          <w:rFonts w:ascii="Arial" w:hAnsi="Arial" w:cs="Arial"/>
          <w:bCs/>
          <w:sz w:val="22"/>
          <w:szCs w:val="22"/>
          <w:lang w:val="fr-FR"/>
        </w:rPr>
        <w:t>,</w:t>
      </w:r>
      <w:r w:rsidRPr="00412214">
        <w:rPr>
          <w:rFonts w:ascii="Arial" w:hAnsi="Arial" w:cs="Arial"/>
          <w:bCs/>
          <w:sz w:val="22"/>
          <w:szCs w:val="22"/>
          <w:lang w:val="fr-FR"/>
        </w:rPr>
        <w:t xml:space="preserve"> avec Mémoire du monde jusqu</w:t>
      </w:r>
      <w:r w:rsidR="008E532B">
        <w:rPr>
          <w:rFonts w:ascii="Arial" w:hAnsi="Arial" w:cs="Arial"/>
          <w:bCs/>
          <w:sz w:val="22"/>
          <w:szCs w:val="22"/>
          <w:lang w:val="fr-FR"/>
        </w:rPr>
        <w:t>’</w:t>
      </w:r>
      <w:r w:rsidRPr="00412214">
        <w:rPr>
          <w:rFonts w:ascii="Arial" w:hAnsi="Arial" w:cs="Arial"/>
          <w:bCs/>
          <w:sz w:val="22"/>
          <w:szCs w:val="22"/>
          <w:lang w:val="fr-FR"/>
        </w:rPr>
        <w:t>en 2021. C</w:t>
      </w:r>
      <w:r w:rsidR="008E532B">
        <w:rPr>
          <w:rFonts w:ascii="Arial" w:hAnsi="Arial" w:cs="Arial"/>
          <w:bCs/>
          <w:sz w:val="22"/>
          <w:szCs w:val="22"/>
          <w:lang w:val="fr-FR"/>
        </w:rPr>
        <w:t>’</w:t>
      </w:r>
      <w:r>
        <w:rPr>
          <w:rFonts w:ascii="Arial" w:hAnsi="Arial" w:cs="Arial"/>
          <w:bCs/>
          <w:sz w:val="22"/>
          <w:szCs w:val="22"/>
          <w:lang w:val="fr-FR"/>
        </w:rPr>
        <w:t>est la raison pour laquelle</w:t>
      </w:r>
      <w:r w:rsidRPr="00412214">
        <w:rPr>
          <w:rFonts w:ascii="Arial" w:hAnsi="Arial" w:cs="Arial"/>
          <w:bCs/>
          <w:sz w:val="22"/>
          <w:szCs w:val="22"/>
          <w:lang w:val="fr-FR"/>
        </w:rPr>
        <w:t xml:space="preserve"> la France souhait</w:t>
      </w:r>
      <w:r>
        <w:rPr>
          <w:rFonts w:ascii="Arial" w:hAnsi="Arial" w:cs="Arial"/>
          <w:bCs/>
          <w:sz w:val="22"/>
          <w:szCs w:val="22"/>
          <w:lang w:val="fr-FR"/>
        </w:rPr>
        <w:t>ait</w:t>
      </w:r>
      <w:r w:rsidRPr="00412214">
        <w:rPr>
          <w:rFonts w:ascii="Arial" w:hAnsi="Arial" w:cs="Arial"/>
          <w:bCs/>
          <w:sz w:val="22"/>
          <w:szCs w:val="22"/>
          <w:lang w:val="fr-FR"/>
        </w:rPr>
        <w:t xml:space="preserve"> disposer de critères aussi clairs que possible pour l</w:t>
      </w:r>
      <w:r w:rsidR="008E532B">
        <w:rPr>
          <w:rFonts w:ascii="Arial" w:hAnsi="Arial" w:cs="Arial"/>
          <w:bCs/>
          <w:sz w:val="22"/>
          <w:szCs w:val="22"/>
          <w:lang w:val="fr-FR"/>
        </w:rPr>
        <w:t>’</w:t>
      </w:r>
      <w:r w:rsidRPr="00412214">
        <w:rPr>
          <w:rFonts w:ascii="Arial" w:hAnsi="Arial" w:cs="Arial"/>
          <w:bCs/>
          <w:sz w:val="22"/>
          <w:szCs w:val="22"/>
          <w:lang w:val="fr-FR"/>
        </w:rPr>
        <w:t xml:space="preserve">inscription des sites sur le </w:t>
      </w:r>
      <w:r>
        <w:rPr>
          <w:rFonts w:ascii="Arial" w:hAnsi="Arial" w:cs="Arial"/>
          <w:bCs/>
          <w:sz w:val="22"/>
          <w:szCs w:val="22"/>
          <w:lang w:val="fr-FR"/>
        </w:rPr>
        <w:t>R</w:t>
      </w:r>
      <w:r w:rsidRPr="00412214">
        <w:rPr>
          <w:rFonts w:ascii="Arial" w:hAnsi="Arial" w:cs="Arial"/>
          <w:bCs/>
          <w:sz w:val="22"/>
          <w:szCs w:val="22"/>
          <w:lang w:val="fr-FR"/>
        </w:rPr>
        <w:t xml:space="preserve">egistre Mémoire du monde ou </w:t>
      </w:r>
      <w:r>
        <w:rPr>
          <w:rFonts w:ascii="Arial" w:hAnsi="Arial" w:cs="Arial"/>
          <w:bCs/>
          <w:sz w:val="22"/>
          <w:szCs w:val="22"/>
          <w:lang w:val="fr-FR"/>
        </w:rPr>
        <w:t xml:space="preserve">de </w:t>
      </w:r>
      <w:r w:rsidRPr="00412214">
        <w:rPr>
          <w:rFonts w:ascii="Arial" w:hAnsi="Arial" w:cs="Arial"/>
          <w:bCs/>
          <w:sz w:val="22"/>
          <w:szCs w:val="22"/>
          <w:lang w:val="fr-FR"/>
        </w:rPr>
        <w:t>ceux associés à des conflits récents dans le cadre de la Convention du patrimoine mondial de 1972.</w:t>
      </w:r>
    </w:p>
    <w:p w14:paraId="1DE889E0" w14:textId="13A54512" w:rsidR="00D9653F" w:rsidRPr="00DF75A0"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En tant que PEID et voisin d</w:t>
      </w:r>
      <w:r w:rsidR="008E532B">
        <w:rPr>
          <w:rFonts w:ascii="Arial" w:hAnsi="Arial" w:cs="Arial"/>
          <w:bCs/>
          <w:sz w:val="22"/>
          <w:szCs w:val="22"/>
          <w:lang w:val="fr-FR"/>
        </w:rPr>
        <w:t>’</w:t>
      </w:r>
      <w:r>
        <w:rPr>
          <w:rFonts w:ascii="Arial" w:hAnsi="Arial" w:cs="Arial"/>
          <w:bCs/>
          <w:sz w:val="22"/>
          <w:szCs w:val="22"/>
          <w:lang w:val="fr-FR"/>
        </w:rPr>
        <w:t>Haïti, l</w:t>
      </w:r>
      <w:r w:rsidRPr="00DF75A0">
        <w:rPr>
          <w:rFonts w:ascii="Arial" w:hAnsi="Arial" w:cs="Arial"/>
          <w:bCs/>
          <w:sz w:val="22"/>
          <w:szCs w:val="22"/>
          <w:lang w:val="fr-FR"/>
        </w:rPr>
        <w:t xml:space="preserve">a délégation de </w:t>
      </w:r>
      <w:r w:rsidRPr="005032DA">
        <w:rPr>
          <w:rFonts w:ascii="Arial" w:hAnsi="Arial" w:cs="Arial"/>
          <w:b/>
          <w:sz w:val="22"/>
          <w:szCs w:val="22"/>
          <w:lang w:val="fr-FR"/>
        </w:rPr>
        <w:t>Cuba</w:t>
      </w:r>
      <w:r w:rsidRPr="00DF75A0">
        <w:rPr>
          <w:rFonts w:ascii="Arial" w:hAnsi="Arial" w:cs="Arial"/>
          <w:bCs/>
          <w:sz w:val="22"/>
          <w:szCs w:val="22"/>
          <w:lang w:val="fr-FR"/>
        </w:rPr>
        <w:t xml:space="preserve"> </w:t>
      </w:r>
      <w:r>
        <w:rPr>
          <w:rFonts w:ascii="Arial" w:hAnsi="Arial" w:cs="Arial"/>
          <w:bCs/>
          <w:sz w:val="22"/>
          <w:szCs w:val="22"/>
          <w:lang w:val="fr-FR"/>
        </w:rPr>
        <w:t xml:space="preserve">souhaitait </w:t>
      </w:r>
      <w:r w:rsidRPr="00DF75A0">
        <w:rPr>
          <w:rFonts w:ascii="Arial" w:hAnsi="Arial" w:cs="Arial"/>
          <w:bCs/>
          <w:sz w:val="22"/>
          <w:szCs w:val="22"/>
          <w:lang w:val="fr-FR"/>
        </w:rPr>
        <w:t>célébr</w:t>
      </w:r>
      <w:r>
        <w:rPr>
          <w:rFonts w:ascii="Arial" w:hAnsi="Arial" w:cs="Arial"/>
          <w:bCs/>
          <w:sz w:val="22"/>
          <w:szCs w:val="22"/>
          <w:lang w:val="fr-FR"/>
        </w:rPr>
        <w:t>er</w:t>
      </w:r>
      <w:r w:rsidRPr="00DF75A0">
        <w:rPr>
          <w:rFonts w:ascii="Arial" w:hAnsi="Arial" w:cs="Arial"/>
          <w:bCs/>
          <w:sz w:val="22"/>
          <w:szCs w:val="22"/>
          <w:lang w:val="fr-FR"/>
        </w:rPr>
        <w:t xml:space="preserve"> l</w:t>
      </w:r>
      <w:r w:rsidR="008E532B">
        <w:rPr>
          <w:rFonts w:ascii="Arial" w:hAnsi="Arial" w:cs="Arial"/>
          <w:bCs/>
          <w:sz w:val="22"/>
          <w:szCs w:val="22"/>
          <w:lang w:val="fr-FR"/>
        </w:rPr>
        <w:t>’</w:t>
      </w:r>
      <w:r w:rsidRPr="00DF75A0">
        <w:rPr>
          <w:rFonts w:ascii="Arial" w:hAnsi="Arial" w:cs="Arial"/>
          <w:bCs/>
          <w:sz w:val="22"/>
          <w:szCs w:val="22"/>
          <w:lang w:val="fr-FR"/>
        </w:rPr>
        <w:t xml:space="preserve">inscription de la soupe </w:t>
      </w:r>
      <w:r>
        <w:rPr>
          <w:rFonts w:ascii="Arial" w:hAnsi="Arial" w:cs="Arial"/>
          <w:bCs/>
          <w:sz w:val="22"/>
          <w:szCs w:val="22"/>
          <w:lang w:val="fr-FR"/>
        </w:rPr>
        <w:t>au giraumon</w:t>
      </w:r>
      <w:r w:rsidRPr="00DF75A0">
        <w:rPr>
          <w:rFonts w:ascii="Arial" w:hAnsi="Arial" w:cs="Arial"/>
          <w:bCs/>
          <w:sz w:val="22"/>
          <w:szCs w:val="22"/>
          <w:lang w:val="fr-FR"/>
        </w:rPr>
        <w:t xml:space="preserve"> sur la Liste représentative, surtout </w:t>
      </w:r>
      <w:r>
        <w:rPr>
          <w:rFonts w:ascii="Arial" w:hAnsi="Arial" w:cs="Arial"/>
          <w:bCs/>
          <w:sz w:val="22"/>
          <w:szCs w:val="22"/>
          <w:lang w:val="fr-FR"/>
        </w:rPr>
        <w:t>compte tenu</w:t>
      </w:r>
      <w:r w:rsidRPr="00DF75A0">
        <w:rPr>
          <w:rFonts w:ascii="Arial" w:hAnsi="Arial" w:cs="Arial"/>
          <w:bCs/>
          <w:sz w:val="22"/>
          <w:szCs w:val="22"/>
          <w:lang w:val="fr-FR"/>
        </w:rPr>
        <w:t xml:space="preserve"> </w:t>
      </w:r>
      <w:r>
        <w:rPr>
          <w:rFonts w:ascii="Arial" w:hAnsi="Arial" w:cs="Arial"/>
          <w:bCs/>
          <w:sz w:val="22"/>
          <w:szCs w:val="22"/>
          <w:lang w:val="fr-FR"/>
        </w:rPr>
        <w:t>du</w:t>
      </w:r>
      <w:r w:rsidRPr="00DF75A0">
        <w:rPr>
          <w:rFonts w:ascii="Arial" w:hAnsi="Arial" w:cs="Arial"/>
          <w:bCs/>
          <w:sz w:val="22"/>
          <w:szCs w:val="22"/>
          <w:lang w:val="fr-FR"/>
        </w:rPr>
        <w:t xml:space="preserve"> contexte complexe dans lequel elle a</w:t>
      </w:r>
      <w:r>
        <w:rPr>
          <w:rFonts w:ascii="Arial" w:hAnsi="Arial" w:cs="Arial"/>
          <w:bCs/>
          <w:sz w:val="22"/>
          <w:szCs w:val="22"/>
          <w:lang w:val="fr-FR"/>
        </w:rPr>
        <w:t>vait</w:t>
      </w:r>
      <w:r w:rsidRPr="00DF75A0">
        <w:rPr>
          <w:rFonts w:ascii="Arial" w:hAnsi="Arial" w:cs="Arial"/>
          <w:bCs/>
          <w:sz w:val="22"/>
          <w:szCs w:val="22"/>
          <w:lang w:val="fr-FR"/>
        </w:rPr>
        <w:t xml:space="preserve"> été inscrite. C</w:t>
      </w:r>
      <w:r w:rsidR="008E532B">
        <w:rPr>
          <w:rFonts w:ascii="Arial" w:hAnsi="Arial" w:cs="Arial"/>
          <w:bCs/>
          <w:sz w:val="22"/>
          <w:szCs w:val="22"/>
          <w:lang w:val="fr-FR"/>
        </w:rPr>
        <w:t>’</w:t>
      </w:r>
      <w:r>
        <w:rPr>
          <w:rFonts w:ascii="Arial" w:hAnsi="Arial" w:cs="Arial"/>
          <w:bCs/>
          <w:sz w:val="22"/>
          <w:szCs w:val="22"/>
          <w:lang w:val="fr-FR"/>
        </w:rPr>
        <w:t>était</w:t>
      </w:r>
      <w:r w:rsidRPr="00DF75A0">
        <w:rPr>
          <w:rFonts w:ascii="Arial" w:hAnsi="Arial" w:cs="Arial"/>
          <w:bCs/>
          <w:sz w:val="22"/>
          <w:szCs w:val="22"/>
          <w:lang w:val="fr-FR"/>
        </w:rPr>
        <w:t xml:space="preserve"> un grand message </w:t>
      </w:r>
      <w:r>
        <w:rPr>
          <w:rFonts w:ascii="Arial" w:hAnsi="Arial" w:cs="Arial"/>
          <w:bCs/>
          <w:sz w:val="22"/>
          <w:szCs w:val="22"/>
          <w:lang w:val="fr-FR"/>
        </w:rPr>
        <w:t>en faveur de</w:t>
      </w:r>
      <w:r w:rsidRPr="00DF75A0">
        <w:rPr>
          <w:rFonts w:ascii="Arial" w:hAnsi="Arial" w:cs="Arial"/>
          <w:bCs/>
          <w:sz w:val="22"/>
          <w:szCs w:val="22"/>
          <w:lang w:val="fr-FR"/>
        </w:rPr>
        <w:t xml:space="preserve"> la réconciliation, pour les peuples et le développement d</w:t>
      </w:r>
      <w:r w:rsidR="008E532B">
        <w:rPr>
          <w:rFonts w:ascii="Arial" w:hAnsi="Arial" w:cs="Arial"/>
          <w:bCs/>
          <w:sz w:val="22"/>
          <w:szCs w:val="22"/>
          <w:lang w:val="fr-FR"/>
        </w:rPr>
        <w:t>’</w:t>
      </w:r>
      <w:r w:rsidRPr="00DF75A0">
        <w:rPr>
          <w:rFonts w:ascii="Arial" w:hAnsi="Arial" w:cs="Arial"/>
          <w:bCs/>
          <w:sz w:val="22"/>
          <w:szCs w:val="22"/>
          <w:lang w:val="fr-FR"/>
        </w:rPr>
        <w:t>une culture de la paix</w:t>
      </w:r>
      <w:r>
        <w:rPr>
          <w:rFonts w:ascii="Arial" w:hAnsi="Arial" w:cs="Arial"/>
          <w:bCs/>
          <w:sz w:val="22"/>
          <w:szCs w:val="22"/>
          <w:lang w:val="fr-FR"/>
        </w:rPr>
        <w:t>.</w:t>
      </w:r>
      <w:r w:rsidRPr="00DF75A0">
        <w:rPr>
          <w:rFonts w:ascii="Arial" w:hAnsi="Arial" w:cs="Arial"/>
          <w:bCs/>
          <w:sz w:val="22"/>
          <w:szCs w:val="22"/>
          <w:lang w:val="fr-FR"/>
        </w:rPr>
        <w:t xml:space="preserve"> </w:t>
      </w:r>
      <w:r>
        <w:rPr>
          <w:rFonts w:ascii="Arial" w:hAnsi="Arial" w:cs="Arial"/>
          <w:bCs/>
          <w:sz w:val="22"/>
          <w:szCs w:val="22"/>
          <w:lang w:val="fr-FR"/>
        </w:rPr>
        <w:t>C</w:t>
      </w:r>
      <w:r w:rsidR="008E532B">
        <w:rPr>
          <w:rFonts w:ascii="Arial" w:hAnsi="Arial" w:cs="Arial"/>
          <w:bCs/>
          <w:sz w:val="22"/>
          <w:szCs w:val="22"/>
          <w:lang w:val="fr-FR"/>
        </w:rPr>
        <w:t>’</w:t>
      </w:r>
      <w:r>
        <w:rPr>
          <w:rFonts w:ascii="Arial" w:hAnsi="Arial" w:cs="Arial"/>
          <w:bCs/>
          <w:sz w:val="22"/>
          <w:szCs w:val="22"/>
          <w:lang w:val="fr-FR"/>
        </w:rPr>
        <w:t>est la raison pour laquelle</w:t>
      </w:r>
      <w:r w:rsidRPr="00DF75A0">
        <w:rPr>
          <w:rFonts w:ascii="Arial" w:hAnsi="Arial" w:cs="Arial"/>
          <w:bCs/>
          <w:sz w:val="22"/>
          <w:szCs w:val="22"/>
          <w:lang w:val="fr-FR"/>
        </w:rPr>
        <w:t xml:space="preserve"> Cuba s</w:t>
      </w:r>
      <w:r>
        <w:rPr>
          <w:rFonts w:ascii="Arial" w:hAnsi="Arial" w:cs="Arial"/>
          <w:bCs/>
          <w:sz w:val="22"/>
          <w:szCs w:val="22"/>
          <w:lang w:val="fr-FR"/>
        </w:rPr>
        <w:t>e joignait</w:t>
      </w:r>
      <w:r w:rsidRPr="00DF75A0">
        <w:rPr>
          <w:rFonts w:ascii="Arial" w:hAnsi="Arial" w:cs="Arial"/>
          <w:bCs/>
          <w:sz w:val="22"/>
          <w:szCs w:val="22"/>
          <w:lang w:val="fr-FR"/>
        </w:rPr>
        <w:t xml:space="preserve"> à toutes les autres voix pour féliciter Haïti. La délégation a</w:t>
      </w:r>
      <w:r>
        <w:rPr>
          <w:rFonts w:ascii="Arial" w:hAnsi="Arial" w:cs="Arial"/>
          <w:bCs/>
          <w:sz w:val="22"/>
          <w:szCs w:val="22"/>
          <w:lang w:val="fr-FR"/>
        </w:rPr>
        <w:t>vait</w:t>
      </w:r>
      <w:r w:rsidRPr="00DF75A0">
        <w:rPr>
          <w:rFonts w:ascii="Arial" w:hAnsi="Arial" w:cs="Arial"/>
          <w:bCs/>
          <w:sz w:val="22"/>
          <w:szCs w:val="22"/>
          <w:lang w:val="fr-FR"/>
        </w:rPr>
        <w:t xml:space="preserve"> suivi avec attention la présentation de ce dossier, mais Haïti présent</w:t>
      </w:r>
      <w:r>
        <w:rPr>
          <w:rFonts w:ascii="Arial" w:hAnsi="Arial" w:cs="Arial"/>
          <w:bCs/>
          <w:sz w:val="22"/>
          <w:szCs w:val="22"/>
          <w:lang w:val="fr-FR"/>
        </w:rPr>
        <w:t>ait</w:t>
      </w:r>
      <w:r w:rsidRPr="00DF75A0">
        <w:rPr>
          <w:rFonts w:ascii="Arial" w:hAnsi="Arial" w:cs="Arial"/>
          <w:bCs/>
          <w:sz w:val="22"/>
          <w:szCs w:val="22"/>
          <w:lang w:val="fr-FR"/>
        </w:rPr>
        <w:t xml:space="preserve"> des spécificités qui rend</w:t>
      </w:r>
      <w:r>
        <w:rPr>
          <w:rFonts w:ascii="Arial" w:hAnsi="Arial" w:cs="Arial"/>
          <w:bCs/>
          <w:sz w:val="22"/>
          <w:szCs w:val="22"/>
          <w:lang w:val="fr-FR"/>
        </w:rPr>
        <w:t>ai</w:t>
      </w:r>
      <w:r w:rsidRPr="00DF75A0">
        <w:rPr>
          <w:rFonts w:ascii="Arial" w:hAnsi="Arial" w:cs="Arial"/>
          <w:bCs/>
          <w:sz w:val="22"/>
          <w:szCs w:val="22"/>
          <w:lang w:val="fr-FR"/>
        </w:rPr>
        <w:t>ent</w:t>
      </w:r>
      <w:r>
        <w:rPr>
          <w:rFonts w:ascii="Arial" w:hAnsi="Arial" w:cs="Arial"/>
          <w:bCs/>
          <w:sz w:val="22"/>
          <w:szCs w:val="22"/>
          <w:lang w:val="fr-FR"/>
        </w:rPr>
        <w:t xml:space="preserve"> ce dossier</w:t>
      </w:r>
      <w:r w:rsidRPr="00DF75A0">
        <w:rPr>
          <w:rFonts w:ascii="Arial" w:hAnsi="Arial" w:cs="Arial"/>
          <w:bCs/>
          <w:sz w:val="22"/>
          <w:szCs w:val="22"/>
          <w:lang w:val="fr-FR"/>
        </w:rPr>
        <w:t xml:space="preserve"> très particulier et qui</w:t>
      </w:r>
      <w:r>
        <w:rPr>
          <w:rFonts w:ascii="Arial" w:hAnsi="Arial" w:cs="Arial"/>
          <w:bCs/>
          <w:sz w:val="22"/>
          <w:szCs w:val="22"/>
          <w:lang w:val="fr-FR"/>
        </w:rPr>
        <w:t xml:space="preserve"> justifiaient qu</w:t>
      </w:r>
      <w:r w:rsidR="008E532B">
        <w:rPr>
          <w:rFonts w:ascii="Arial" w:hAnsi="Arial" w:cs="Arial"/>
          <w:bCs/>
          <w:sz w:val="22"/>
          <w:szCs w:val="22"/>
          <w:lang w:val="fr-FR"/>
        </w:rPr>
        <w:t>’</w:t>
      </w:r>
      <w:r>
        <w:rPr>
          <w:rFonts w:ascii="Arial" w:hAnsi="Arial" w:cs="Arial"/>
          <w:bCs/>
          <w:sz w:val="22"/>
          <w:szCs w:val="22"/>
          <w:lang w:val="fr-FR"/>
        </w:rPr>
        <w:t xml:space="preserve">on lui accorde </w:t>
      </w:r>
      <w:r w:rsidRPr="00DF75A0">
        <w:rPr>
          <w:rFonts w:ascii="Arial" w:hAnsi="Arial" w:cs="Arial"/>
          <w:bCs/>
          <w:sz w:val="22"/>
          <w:szCs w:val="22"/>
          <w:lang w:val="fr-FR"/>
        </w:rPr>
        <w:t>une attention</w:t>
      </w:r>
      <w:r>
        <w:rPr>
          <w:rFonts w:ascii="Arial" w:hAnsi="Arial" w:cs="Arial"/>
          <w:bCs/>
          <w:sz w:val="22"/>
          <w:szCs w:val="22"/>
          <w:lang w:val="fr-FR"/>
        </w:rPr>
        <w:t xml:space="preserve"> spéciale</w:t>
      </w:r>
      <w:r w:rsidRPr="00DF75A0">
        <w:rPr>
          <w:rFonts w:ascii="Arial" w:hAnsi="Arial" w:cs="Arial"/>
          <w:bCs/>
          <w:sz w:val="22"/>
          <w:szCs w:val="22"/>
          <w:lang w:val="fr-FR"/>
        </w:rPr>
        <w:t>. Cuba a réaffirmé l</w:t>
      </w:r>
      <w:r w:rsidR="008E532B">
        <w:rPr>
          <w:rFonts w:ascii="Arial" w:hAnsi="Arial" w:cs="Arial"/>
          <w:bCs/>
          <w:sz w:val="22"/>
          <w:szCs w:val="22"/>
          <w:lang w:val="fr-FR"/>
        </w:rPr>
        <w:t>’</w:t>
      </w:r>
      <w:r w:rsidRPr="00DF75A0">
        <w:rPr>
          <w:rFonts w:ascii="Arial" w:hAnsi="Arial" w:cs="Arial"/>
          <w:bCs/>
          <w:sz w:val="22"/>
          <w:szCs w:val="22"/>
          <w:lang w:val="fr-FR"/>
        </w:rPr>
        <w:t>importance de renforcer les mécanismes de conciliation sur ces questions afin d</w:t>
      </w:r>
      <w:r w:rsidR="008E532B">
        <w:rPr>
          <w:rFonts w:ascii="Arial" w:hAnsi="Arial" w:cs="Arial"/>
          <w:bCs/>
          <w:sz w:val="22"/>
          <w:szCs w:val="22"/>
          <w:lang w:val="fr-FR"/>
        </w:rPr>
        <w:t>’</w:t>
      </w:r>
      <w:r w:rsidRPr="00DF75A0">
        <w:rPr>
          <w:rFonts w:ascii="Arial" w:hAnsi="Arial" w:cs="Arial"/>
          <w:bCs/>
          <w:sz w:val="22"/>
          <w:szCs w:val="22"/>
          <w:lang w:val="fr-FR"/>
        </w:rPr>
        <w:t xml:space="preserve">éviter des situations qui mènent à des discussions et des situations compliquées au sein du Comité en ce qui concerne les pouvoirs de </w:t>
      </w:r>
      <w:r>
        <w:rPr>
          <w:rFonts w:ascii="Arial" w:hAnsi="Arial" w:cs="Arial"/>
          <w:bCs/>
          <w:sz w:val="22"/>
          <w:szCs w:val="22"/>
          <w:lang w:val="fr-FR"/>
        </w:rPr>
        <w:t xml:space="preserve">prise de </w:t>
      </w:r>
      <w:r w:rsidRPr="00DF75A0">
        <w:rPr>
          <w:rFonts w:ascii="Arial" w:hAnsi="Arial" w:cs="Arial"/>
          <w:bCs/>
          <w:sz w:val="22"/>
          <w:szCs w:val="22"/>
          <w:lang w:val="fr-FR"/>
        </w:rPr>
        <w:t>décision. Il</w:t>
      </w:r>
      <w:r>
        <w:rPr>
          <w:rFonts w:ascii="Arial" w:hAnsi="Arial" w:cs="Arial"/>
          <w:bCs/>
          <w:sz w:val="22"/>
          <w:szCs w:val="22"/>
          <w:lang w:val="fr-FR"/>
        </w:rPr>
        <w:t xml:space="preserve"> </w:t>
      </w:r>
      <w:r w:rsidRPr="00DF75A0">
        <w:rPr>
          <w:rFonts w:ascii="Arial" w:hAnsi="Arial" w:cs="Arial"/>
          <w:bCs/>
          <w:sz w:val="22"/>
          <w:szCs w:val="22"/>
          <w:lang w:val="fr-FR"/>
        </w:rPr>
        <w:t>importa</w:t>
      </w:r>
      <w:r>
        <w:rPr>
          <w:rFonts w:ascii="Arial" w:hAnsi="Arial" w:cs="Arial"/>
          <w:bCs/>
          <w:sz w:val="22"/>
          <w:szCs w:val="22"/>
          <w:lang w:val="fr-FR"/>
        </w:rPr>
        <w:t>i</w:t>
      </w:r>
      <w:r w:rsidRPr="00DF75A0">
        <w:rPr>
          <w:rFonts w:ascii="Arial" w:hAnsi="Arial" w:cs="Arial"/>
          <w:bCs/>
          <w:sz w:val="22"/>
          <w:szCs w:val="22"/>
          <w:lang w:val="fr-FR"/>
        </w:rPr>
        <w:t>t que la Convention et l</w:t>
      </w:r>
      <w:r w:rsidR="008E532B">
        <w:rPr>
          <w:rFonts w:ascii="Arial" w:hAnsi="Arial" w:cs="Arial"/>
          <w:bCs/>
          <w:sz w:val="22"/>
          <w:szCs w:val="22"/>
          <w:lang w:val="fr-FR"/>
        </w:rPr>
        <w:t>’</w:t>
      </w:r>
      <w:r w:rsidRPr="00DF75A0">
        <w:rPr>
          <w:rFonts w:ascii="Arial" w:hAnsi="Arial" w:cs="Arial"/>
          <w:bCs/>
          <w:sz w:val="22"/>
          <w:szCs w:val="22"/>
          <w:lang w:val="fr-FR"/>
        </w:rPr>
        <w:t>UNESCO continuent à promouvoir la culture comme moyen de réconciliation dans les situations de conflit et pour les pays comme les PEID qui souffrent d</w:t>
      </w:r>
      <w:r w:rsidR="008E532B">
        <w:rPr>
          <w:rFonts w:ascii="Arial" w:hAnsi="Arial" w:cs="Arial"/>
          <w:bCs/>
          <w:sz w:val="22"/>
          <w:szCs w:val="22"/>
          <w:lang w:val="fr-FR"/>
        </w:rPr>
        <w:t>’</w:t>
      </w:r>
      <w:r w:rsidRPr="00DF75A0">
        <w:rPr>
          <w:rFonts w:ascii="Arial" w:hAnsi="Arial" w:cs="Arial"/>
          <w:bCs/>
          <w:sz w:val="22"/>
          <w:szCs w:val="22"/>
          <w:lang w:val="fr-FR"/>
        </w:rPr>
        <w:t>urgences vitales et où la culture joue un rôle si important dans la transformation sociale et la résolution de ces difficultés. La délégation a félicité l</w:t>
      </w:r>
      <w:r w:rsidR="008E532B">
        <w:rPr>
          <w:rFonts w:ascii="Arial" w:hAnsi="Arial" w:cs="Arial"/>
          <w:bCs/>
          <w:sz w:val="22"/>
          <w:szCs w:val="22"/>
          <w:lang w:val="fr-FR"/>
        </w:rPr>
        <w:t>’A</w:t>
      </w:r>
      <w:r w:rsidRPr="00DF75A0">
        <w:rPr>
          <w:rFonts w:ascii="Arial" w:hAnsi="Arial" w:cs="Arial"/>
          <w:bCs/>
          <w:sz w:val="22"/>
          <w:szCs w:val="22"/>
          <w:lang w:val="fr-FR"/>
        </w:rPr>
        <w:t>mbassa</w:t>
      </w:r>
      <w:r w:rsidR="008E532B">
        <w:rPr>
          <w:rFonts w:ascii="Arial" w:hAnsi="Arial" w:cs="Arial"/>
          <w:bCs/>
          <w:sz w:val="22"/>
          <w:szCs w:val="22"/>
          <w:lang w:val="fr-FR"/>
        </w:rPr>
        <w:t>deur</w:t>
      </w:r>
      <w:r w:rsidRPr="00DF75A0">
        <w:rPr>
          <w:rFonts w:ascii="Arial" w:hAnsi="Arial" w:cs="Arial"/>
          <w:bCs/>
          <w:sz w:val="22"/>
          <w:szCs w:val="22"/>
          <w:lang w:val="fr-FR"/>
        </w:rPr>
        <w:t xml:space="preserve"> d</w:t>
      </w:r>
      <w:r w:rsidR="008E532B">
        <w:rPr>
          <w:rFonts w:ascii="Arial" w:hAnsi="Arial" w:cs="Arial"/>
          <w:bCs/>
          <w:sz w:val="22"/>
          <w:szCs w:val="22"/>
          <w:lang w:val="fr-FR"/>
        </w:rPr>
        <w:t>’</w:t>
      </w:r>
      <w:r w:rsidRPr="00DF75A0">
        <w:rPr>
          <w:rFonts w:ascii="Arial" w:hAnsi="Arial" w:cs="Arial"/>
          <w:bCs/>
          <w:sz w:val="22"/>
          <w:szCs w:val="22"/>
          <w:lang w:val="fr-FR"/>
        </w:rPr>
        <w:t>Haïti</w:t>
      </w:r>
      <w:r>
        <w:rPr>
          <w:rFonts w:ascii="Arial" w:hAnsi="Arial" w:cs="Arial"/>
          <w:bCs/>
          <w:sz w:val="22"/>
          <w:szCs w:val="22"/>
          <w:lang w:val="fr-FR"/>
        </w:rPr>
        <w:t xml:space="preserve">, </w:t>
      </w:r>
      <w:r w:rsidRPr="00DF75A0">
        <w:rPr>
          <w:rFonts w:ascii="Arial" w:hAnsi="Arial" w:cs="Arial"/>
          <w:bCs/>
          <w:sz w:val="22"/>
          <w:szCs w:val="22"/>
          <w:lang w:val="fr-FR"/>
        </w:rPr>
        <w:t>Dominique Dupuy</w:t>
      </w:r>
      <w:r>
        <w:rPr>
          <w:rFonts w:ascii="Arial" w:hAnsi="Arial" w:cs="Arial"/>
          <w:bCs/>
          <w:sz w:val="22"/>
          <w:szCs w:val="22"/>
          <w:lang w:val="fr-FR"/>
        </w:rPr>
        <w:t>,</w:t>
      </w:r>
      <w:r w:rsidRPr="00DF75A0">
        <w:rPr>
          <w:rFonts w:ascii="Arial" w:hAnsi="Arial" w:cs="Arial"/>
          <w:bCs/>
          <w:sz w:val="22"/>
          <w:szCs w:val="22"/>
          <w:lang w:val="fr-FR"/>
        </w:rPr>
        <w:t xml:space="preserve"> pour la première inscription d</w:t>
      </w:r>
      <w:r>
        <w:rPr>
          <w:rFonts w:ascii="Arial" w:hAnsi="Arial" w:cs="Arial"/>
          <w:bCs/>
          <w:sz w:val="22"/>
          <w:szCs w:val="22"/>
          <w:lang w:val="fr-FR"/>
        </w:rPr>
        <w:t>e son</w:t>
      </w:r>
      <w:r w:rsidRPr="00DF75A0">
        <w:rPr>
          <w:rFonts w:ascii="Arial" w:hAnsi="Arial" w:cs="Arial"/>
          <w:bCs/>
          <w:sz w:val="22"/>
          <w:szCs w:val="22"/>
          <w:lang w:val="fr-FR"/>
        </w:rPr>
        <w:t xml:space="preserve"> pays sur la Liste représentative.</w:t>
      </w:r>
    </w:p>
    <w:p w14:paraId="7CFE2426" w14:textId="673F6A4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460C4">
        <w:rPr>
          <w:rFonts w:ascii="Arial" w:hAnsi="Arial" w:cs="Arial"/>
          <w:bCs/>
          <w:sz w:val="22"/>
          <w:szCs w:val="22"/>
          <w:lang w:val="fr-FR"/>
        </w:rPr>
        <w:t xml:space="preserve">La délégation du </w:t>
      </w:r>
      <w:r w:rsidRPr="00B460C4">
        <w:rPr>
          <w:rFonts w:ascii="Arial" w:hAnsi="Arial" w:cs="Arial"/>
          <w:b/>
          <w:sz w:val="22"/>
          <w:szCs w:val="22"/>
          <w:lang w:val="fr-FR"/>
        </w:rPr>
        <w:t>Maroc</w:t>
      </w:r>
      <w:r w:rsidRPr="00B460C4">
        <w:rPr>
          <w:rFonts w:ascii="Arial" w:hAnsi="Arial" w:cs="Arial"/>
          <w:bCs/>
          <w:sz w:val="22"/>
          <w:szCs w:val="22"/>
          <w:lang w:val="fr-FR"/>
        </w:rPr>
        <w:t xml:space="preserve"> a félicité Haïti pour son inscription et a dit combien elle était heureuse que le Comité, lors de sa dernière session, n</w:t>
      </w:r>
      <w:r w:rsidR="008E532B">
        <w:rPr>
          <w:rFonts w:ascii="Arial" w:hAnsi="Arial" w:cs="Arial"/>
          <w:bCs/>
          <w:sz w:val="22"/>
          <w:szCs w:val="22"/>
          <w:lang w:val="fr-FR"/>
        </w:rPr>
        <w:t>’</w:t>
      </w:r>
      <w:r w:rsidRPr="00B460C4">
        <w:rPr>
          <w:rFonts w:ascii="Arial" w:hAnsi="Arial" w:cs="Arial"/>
          <w:bCs/>
          <w:sz w:val="22"/>
          <w:szCs w:val="22"/>
          <w:lang w:val="fr-FR"/>
        </w:rPr>
        <w:t xml:space="preserve">ait pas fonctionné comme des techniciens de la culture mais comme des personnes imprégnées de valeurs et de principes, rassemblant tout le monde, montrant </w:t>
      </w:r>
      <w:r>
        <w:rPr>
          <w:rFonts w:ascii="Arial" w:hAnsi="Arial" w:cs="Arial"/>
          <w:bCs/>
          <w:sz w:val="22"/>
          <w:szCs w:val="22"/>
          <w:lang w:val="fr-FR"/>
        </w:rPr>
        <w:t xml:space="preserve">ainsi </w:t>
      </w:r>
      <w:r w:rsidRPr="00B460C4">
        <w:rPr>
          <w:rFonts w:ascii="Arial" w:hAnsi="Arial" w:cs="Arial"/>
          <w:bCs/>
          <w:sz w:val="22"/>
          <w:szCs w:val="22"/>
          <w:lang w:val="fr-FR"/>
        </w:rPr>
        <w:t>la beauté de cette Convention. Il s</w:t>
      </w:r>
      <w:r w:rsidR="008E532B">
        <w:rPr>
          <w:rFonts w:ascii="Arial" w:hAnsi="Arial" w:cs="Arial"/>
          <w:bCs/>
          <w:sz w:val="22"/>
          <w:szCs w:val="22"/>
          <w:lang w:val="fr-FR"/>
        </w:rPr>
        <w:t>’</w:t>
      </w:r>
      <w:r w:rsidRPr="00B460C4">
        <w:rPr>
          <w:rFonts w:ascii="Arial" w:hAnsi="Arial" w:cs="Arial"/>
          <w:bCs/>
          <w:sz w:val="22"/>
          <w:szCs w:val="22"/>
          <w:lang w:val="fr-FR"/>
        </w:rPr>
        <w:t>agissait d</w:t>
      </w:r>
      <w:r w:rsidR="008E532B">
        <w:rPr>
          <w:rFonts w:ascii="Arial" w:hAnsi="Arial" w:cs="Arial"/>
          <w:bCs/>
          <w:sz w:val="22"/>
          <w:szCs w:val="22"/>
          <w:lang w:val="fr-FR"/>
        </w:rPr>
        <w:t>’</w:t>
      </w:r>
      <w:r w:rsidRPr="00B460C4">
        <w:rPr>
          <w:rFonts w:ascii="Arial" w:hAnsi="Arial" w:cs="Arial"/>
          <w:bCs/>
          <w:sz w:val="22"/>
          <w:szCs w:val="22"/>
          <w:lang w:val="fr-FR"/>
        </w:rPr>
        <w:t>un message de solidarité, de compassion et d</w:t>
      </w:r>
      <w:r w:rsidR="008E532B">
        <w:rPr>
          <w:rFonts w:ascii="Arial" w:hAnsi="Arial" w:cs="Arial"/>
          <w:bCs/>
          <w:sz w:val="22"/>
          <w:szCs w:val="22"/>
          <w:lang w:val="fr-FR"/>
        </w:rPr>
        <w:t>’</w:t>
      </w:r>
      <w:r w:rsidRPr="00B460C4">
        <w:rPr>
          <w:rFonts w:ascii="Arial" w:hAnsi="Arial" w:cs="Arial"/>
          <w:bCs/>
          <w:sz w:val="22"/>
          <w:szCs w:val="22"/>
          <w:lang w:val="fr-FR"/>
        </w:rPr>
        <w:t xml:space="preserve">amitié adressé à tout le peuple haïtien dans un contexte de drame national. La délégation a félicité </w:t>
      </w:r>
      <w:r w:rsidR="008E532B">
        <w:rPr>
          <w:rFonts w:ascii="Arial" w:hAnsi="Arial" w:cs="Arial"/>
          <w:bCs/>
          <w:sz w:val="22"/>
          <w:szCs w:val="22"/>
          <w:lang w:val="fr-FR"/>
        </w:rPr>
        <w:t xml:space="preserve">Madame </w:t>
      </w:r>
      <w:r w:rsidRPr="00B460C4">
        <w:rPr>
          <w:rFonts w:ascii="Arial" w:hAnsi="Arial" w:cs="Arial"/>
          <w:bCs/>
          <w:sz w:val="22"/>
          <w:szCs w:val="22"/>
          <w:lang w:val="fr-FR"/>
        </w:rPr>
        <w:t>l</w:t>
      </w:r>
      <w:r w:rsidR="008E532B">
        <w:rPr>
          <w:rFonts w:ascii="Arial" w:hAnsi="Arial" w:cs="Arial"/>
          <w:bCs/>
          <w:sz w:val="22"/>
          <w:szCs w:val="22"/>
          <w:lang w:val="fr-FR"/>
        </w:rPr>
        <w:t>’a</w:t>
      </w:r>
      <w:r w:rsidRPr="00B460C4">
        <w:rPr>
          <w:rFonts w:ascii="Arial" w:hAnsi="Arial" w:cs="Arial"/>
          <w:bCs/>
          <w:sz w:val="22"/>
          <w:szCs w:val="22"/>
          <w:lang w:val="fr-FR"/>
        </w:rPr>
        <w:t>mbassad</w:t>
      </w:r>
      <w:r w:rsidR="008E532B">
        <w:rPr>
          <w:rFonts w:ascii="Arial" w:hAnsi="Arial" w:cs="Arial"/>
          <w:bCs/>
          <w:sz w:val="22"/>
          <w:szCs w:val="22"/>
          <w:lang w:val="fr-FR"/>
        </w:rPr>
        <w:t>eur</w:t>
      </w:r>
      <w:r w:rsidRPr="00B460C4">
        <w:rPr>
          <w:rFonts w:ascii="Arial" w:hAnsi="Arial" w:cs="Arial"/>
          <w:bCs/>
          <w:sz w:val="22"/>
          <w:szCs w:val="22"/>
          <w:lang w:val="fr-FR"/>
        </w:rPr>
        <w:t xml:space="preserve"> Dominique Dupuy et tout le peuple d</w:t>
      </w:r>
      <w:r w:rsidR="008E532B">
        <w:rPr>
          <w:rFonts w:ascii="Arial" w:hAnsi="Arial" w:cs="Arial"/>
          <w:bCs/>
          <w:sz w:val="22"/>
          <w:szCs w:val="22"/>
          <w:lang w:val="fr-FR"/>
        </w:rPr>
        <w:t>’</w:t>
      </w:r>
      <w:r w:rsidRPr="00B460C4">
        <w:rPr>
          <w:rFonts w:ascii="Arial" w:hAnsi="Arial" w:cs="Arial"/>
          <w:bCs/>
          <w:sz w:val="22"/>
          <w:szCs w:val="22"/>
          <w:lang w:val="fr-FR"/>
        </w:rPr>
        <w:t>Haïti.</w:t>
      </w:r>
    </w:p>
    <w:p w14:paraId="3CBDB479" w14:textId="06D57B5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460C4">
        <w:rPr>
          <w:rFonts w:ascii="Arial" w:hAnsi="Arial" w:cs="Arial"/>
          <w:bCs/>
          <w:sz w:val="22"/>
          <w:szCs w:val="22"/>
          <w:lang w:val="fr-FR"/>
        </w:rPr>
        <w:t xml:space="preserve">La délégation du </w:t>
      </w:r>
      <w:r w:rsidRPr="00B460C4">
        <w:rPr>
          <w:rFonts w:ascii="Arial" w:hAnsi="Arial" w:cs="Arial"/>
          <w:b/>
          <w:sz w:val="22"/>
          <w:szCs w:val="22"/>
          <w:lang w:val="fr-FR"/>
        </w:rPr>
        <w:t>Paraguay</w:t>
      </w:r>
      <w:r w:rsidRPr="00B460C4">
        <w:rPr>
          <w:rFonts w:ascii="Arial" w:hAnsi="Arial" w:cs="Arial"/>
          <w:bCs/>
          <w:sz w:val="22"/>
          <w:szCs w:val="22"/>
          <w:lang w:val="fr-FR"/>
        </w:rPr>
        <w:t xml:space="preserve"> a félicité la Présidente pour son excellent</w:t>
      </w:r>
      <w:r>
        <w:rPr>
          <w:rFonts w:ascii="Arial" w:hAnsi="Arial" w:cs="Arial"/>
          <w:bCs/>
          <w:sz w:val="22"/>
          <w:szCs w:val="22"/>
          <w:lang w:val="fr-FR"/>
        </w:rPr>
        <w:t>e conduite des travaux de l</w:t>
      </w:r>
      <w:r w:rsidR="008E532B">
        <w:rPr>
          <w:rFonts w:ascii="Arial" w:hAnsi="Arial" w:cs="Arial"/>
          <w:bCs/>
          <w:sz w:val="22"/>
          <w:szCs w:val="22"/>
          <w:lang w:val="fr-FR"/>
        </w:rPr>
        <w:t>’</w:t>
      </w:r>
      <w:r>
        <w:rPr>
          <w:rFonts w:ascii="Arial" w:hAnsi="Arial" w:cs="Arial"/>
          <w:bCs/>
          <w:sz w:val="22"/>
          <w:szCs w:val="22"/>
          <w:lang w:val="fr-FR"/>
        </w:rPr>
        <w:t>Assemblée</w:t>
      </w:r>
      <w:r w:rsidRPr="00B460C4">
        <w:rPr>
          <w:rFonts w:ascii="Arial" w:hAnsi="Arial" w:cs="Arial"/>
          <w:bCs/>
          <w:sz w:val="22"/>
          <w:szCs w:val="22"/>
          <w:lang w:val="fr-FR"/>
        </w:rPr>
        <w:t xml:space="preserve"> et a exprimé son soutien à la procédure exceptionnelle qui a</w:t>
      </w:r>
      <w:r>
        <w:rPr>
          <w:rFonts w:ascii="Arial" w:hAnsi="Arial" w:cs="Arial"/>
          <w:bCs/>
          <w:sz w:val="22"/>
          <w:szCs w:val="22"/>
          <w:lang w:val="fr-FR"/>
        </w:rPr>
        <w:t xml:space="preserve">vait </w:t>
      </w:r>
      <w:r w:rsidRPr="00B460C4">
        <w:rPr>
          <w:rFonts w:ascii="Arial" w:hAnsi="Arial" w:cs="Arial"/>
          <w:bCs/>
          <w:sz w:val="22"/>
          <w:szCs w:val="22"/>
          <w:lang w:val="fr-FR"/>
        </w:rPr>
        <w:t xml:space="preserve">été appliquée lors de la </w:t>
      </w:r>
      <w:r>
        <w:rPr>
          <w:rFonts w:ascii="Arial" w:hAnsi="Arial" w:cs="Arial"/>
          <w:bCs/>
          <w:sz w:val="22"/>
          <w:szCs w:val="22"/>
          <w:lang w:val="fr-FR"/>
        </w:rPr>
        <w:t>seizième</w:t>
      </w:r>
      <w:r w:rsidRPr="00B460C4">
        <w:rPr>
          <w:rFonts w:ascii="Arial" w:hAnsi="Arial" w:cs="Arial"/>
          <w:bCs/>
          <w:sz w:val="22"/>
          <w:szCs w:val="22"/>
          <w:lang w:val="fr-FR"/>
        </w:rPr>
        <w:t xml:space="preserve"> session du Comité pour l</w:t>
      </w:r>
      <w:r w:rsidR="008E532B">
        <w:rPr>
          <w:rFonts w:ascii="Arial" w:hAnsi="Arial" w:cs="Arial"/>
          <w:bCs/>
          <w:sz w:val="22"/>
          <w:szCs w:val="22"/>
          <w:lang w:val="fr-FR"/>
        </w:rPr>
        <w:t>’</w:t>
      </w:r>
      <w:r w:rsidRPr="00B460C4">
        <w:rPr>
          <w:rFonts w:ascii="Arial" w:hAnsi="Arial" w:cs="Arial"/>
          <w:bCs/>
          <w:sz w:val="22"/>
          <w:szCs w:val="22"/>
          <w:lang w:val="fr-FR"/>
        </w:rPr>
        <w:t xml:space="preserve">inscription de </w:t>
      </w:r>
      <w:r>
        <w:rPr>
          <w:rFonts w:ascii="Arial" w:hAnsi="Arial" w:cs="Arial"/>
          <w:bCs/>
          <w:sz w:val="22"/>
          <w:szCs w:val="22"/>
          <w:lang w:val="fr-FR"/>
        </w:rPr>
        <w:t>la soupe au giraumon</w:t>
      </w:r>
      <w:r w:rsidRPr="00B460C4">
        <w:rPr>
          <w:rFonts w:ascii="Arial" w:hAnsi="Arial" w:cs="Arial"/>
          <w:bCs/>
          <w:sz w:val="22"/>
          <w:szCs w:val="22"/>
          <w:lang w:val="fr-FR"/>
        </w:rPr>
        <w:t xml:space="preserve"> sur la Liste représentative. À la demande d</w:t>
      </w:r>
      <w:r w:rsidR="008E532B">
        <w:rPr>
          <w:rFonts w:ascii="Arial" w:hAnsi="Arial" w:cs="Arial"/>
          <w:bCs/>
          <w:sz w:val="22"/>
          <w:szCs w:val="22"/>
          <w:lang w:val="fr-FR"/>
        </w:rPr>
        <w:t>’</w:t>
      </w:r>
      <w:r w:rsidRPr="00B460C4">
        <w:rPr>
          <w:rFonts w:ascii="Arial" w:hAnsi="Arial" w:cs="Arial"/>
          <w:bCs/>
          <w:sz w:val="22"/>
          <w:szCs w:val="22"/>
          <w:lang w:val="fr-FR"/>
        </w:rPr>
        <w:t>Haïti, le Comité a</w:t>
      </w:r>
      <w:r>
        <w:rPr>
          <w:rFonts w:ascii="Arial" w:hAnsi="Arial" w:cs="Arial"/>
          <w:bCs/>
          <w:sz w:val="22"/>
          <w:szCs w:val="22"/>
          <w:lang w:val="fr-FR"/>
        </w:rPr>
        <w:t>vait</w:t>
      </w:r>
      <w:r w:rsidRPr="00B460C4">
        <w:rPr>
          <w:rFonts w:ascii="Arial" w:hAnsi="Arial" w:cs="Arial"/>
          <w:bCs/>
          <w:sz w:val="22"/>
          <w:szCs w:val="22"/>
          <w:lang w:val="fr-FR"/>
        </w:rPr>
        <w:t xml:space="preserve"> examiné la candidature de manière accélérée pour le cycle 2020/2021 </w:t>
      </w:r>
      <w:proofErr w:type="gramStart"/>
      <w:r w:rsidRPr="00B460C4">
        <w:rPr>
          <w:rFonts w:ascii="Arial" w:hAnsi="Arial" w:cs="Arial"/>
          <w:bCs/>
          <w:sz w:val="22"/>
          <w:szCs w:val="22"/>
          <w:lang w:val="fr-FR"/>
        </w:rPr>
        <w:t>suite à une</w:t>
      </w:r>
      <w:proofErr w:type="gramEnd"/>
      <w:r w:rsidRPr="00B460C4">
        <w:rPr>
          <w:rFonts w:ascii="Arial" w:hAnsi="Arial" w:cs="Arial"/>
          <w:bCs/>
          <w:sz w:val="22"/>
          <w:szCs w:val="22"/>
          <w:lang w:val="fr-FR"/>
        </w:rPr>
        <w:t xml:space="preserve"> série de catastrophes naturelles. Cela a</w:t>
      </w:r>
      <w:r>
        <w:rPr>
          <w:rFonts w:ascii="Arial" w:hAnsi="Arial" w:cs="Arial"/>
          <w:bCs/>
          <w:sz w:val="22"/>
          <w:szCs w:val="22"/>
          <w:lang w:val="fr-FR"/>
        </w:rPr>
        <w:t>vait</w:t>
      </w:r>
      <w:r w:rsidRPr="00B460C4">
        <w:rPr>
          <w:rFonts w:ascii="Arial" w:hAnsi="Arial" w:cs="Arial"/>
          <w:bCs/>
          <w:sz w:val="22"/>
          <w:szCs w:val="22"/>
          <w:lang w:val="fr-FR"/>
        </w:rPr>
        <w:t xml:space="preserve"> permis à l</w:t>
      </w:r>
      <w:r w:rsidR="008E532B">
        <w:rPr>
          <w:rFonts w:ascii="Arial" w:hAnsi="Arial" w:cs="Arial"/>
          <w:bCs/>
          <w:sz w:val="22"/>
          <w:szCs w:val="22"/>
          <w:lang w:val="fr-FR"/>
        </w:rPr>
        <w:t>’</w:t>
      </w:r>
      <w:r>
        <w:rPr>
          <w:rFonts w:ascii="Arial" w:hAnsi="Arial" w:cs="Arial"/>
          <w:bCs/>
          <w:sz w:val="22"/>
          <w:szCs w:val="22"/>
          <w:lang w:val="fr-FR"/>
        </w:rPr>
        <w:t>O</w:t>
      </w:r>
      <w:r w:rsidRPr="00B460C4">
        <w:rPr>
          <w:rFonts w:ascii="Arial" w:hAnsi="Arial" w:cs="Arial"/>
          <w:bCs/>
          <w:sz w:val="22"/>
          <w:szCs w:val="22"/>
          <w:lang w:val="fr-FR"/>
        </w:rPr>
        <w:t>rgane d</w:t>
      </w:r>
      <w:r w:rsidR="008E532B">
        <w:rPr>
          <w:rFonts w:ascii="Arial" w:hAnsi="Arial" w:cs="Arial"/>
          <w:bCs/>
          <w:sz w:val="22"/>
          <w:szCs w:val="22"/>
          <w:lang w:val="fr-FR"/>
        </w:rPr>
        <w:t>’</w:t>
      </w:r>
      <w:r w:rsidRPr="00B460C4">
        <w:rPr>
          <w:rFonts w:ascii="Arial" w:hAnsi="Arial" w:cs="Arial"/>
          <w:bCs/>
          <w:sz w:val="22"/>
          <w:szCs w:val="22"/>
          <w:lang w:val="fr-FR"/>
        </w:rPr>
        <w:t xml:space="preserve">évaluation de procéder à un examen complet dans le contexte de nombreux facteurs, notamment les catastrophes naturelles qui </w:t>
      </w:r>
      <w:r>
        <w:rPr>
          <w:rFonts w:ascii="Arial" w:hAnsi="Arial" w:cs="Arial"/>
          <w:bCs/>
          <w:sz w:val="22"/>
          <w:szCs w:val="22"/>
          <w:lang w:val="fr-FR"/>
        </w:rPr>
        <w:t>t</w:t>
      </w:r>
      <w:r w:rsidRPr="00B460C4">
        <w:rPr>
          <w:rFonts w:ascii="Arial" w:hAnsi="Arial" w:cs="Arial"/>
          <w:bCs/>
          <w:sz w:val="22"/>
          <w:szCs w:val="22"/>
          <w:lang w:val="fr-FR"/>
        </w:rPr>
        <w:t>ouch</w:t>
      </w:r>
      <w:r>
        <w:rPr>
          <w:rFonts w:ascii="Arial" w:hAnsi="Arial" w:cs="Arial"/>
          <w:bCs/>
          <w:sz w:val="22"/>
          <w:szCs w:val="22"/>
          <w:lang w:val="fr-FR"/>
        </w:rPr>
        <w:t>aient</w:t>
      </w:r>
      <w:r w:rsidRPr="00B460C4">
        <w:rPr>
          <w:rFonts w:ascii="Arial" w:hAnsi="Arial" w:cs="Arial"/>
          <w:bCs/>
          <w:sz w:val="22"/>
          <w:szCs w:val="22"/>
          <w:lang w:val="fr-FR"/>
        </w:rPr>
        <w:t xml:space="preserve"> le pays à un moment de grands bouleversements sociaux et politiques. L</w:t>
      </w:r>
      <w:r w:rsidR="008E532B">
        <w:rPr>
          <w:rFonts w:ascii="Arial" w:hAnsi="Arial" w:cs="Arial"/>
          <w:bCs/>
          <w:sz w:val="22"/>
          <w:szCs w:val="22"/>
          <w:lang w:val="fr-FR"/>
        </w:rPr>
        <w:t>’</w:t>
      </w:r>
      <w:r w:rsidRPr="00B460C4">
        <w:rPr>
          <w:rFonts w:ascii="Arial" w:hAnsi="Arial" w:cs="Arial"/>
          <w:bCs/>
          <w:sz w:val="22"/>
          <w:szCs w:val="22"/>
          <w:lang w:val="fr-FR"/>
        </w:rPr>
        <w:t>art de la cuisine respect</w:t>
      </w:r>
      <w:r>
        <w:rPr>
          <w:rFonts w:ascii="Arial" w:hAnsi="Arial" w:cs="Arial"/>
          <w:bCs/>
          <w:sz w:val="22"/>
          <w:szCs w:val="22"/>
          <w:lang w:val="fr-FR"/>
        </w:rPr>
        <w:t>ait</w:t>
      </w:r>
      <w:r w:rsidRPr="00B460C4">
        <w:rPr>
          <w:rFonts w:ascii="Arial" w:hAnsi="Arial" w:cs="Arial"/>
          <w:bCs/>
          <w:sz w:val="22"/>
          <w:szCs w:val="22"/>
          <w:lang w:val="fr-FR"/>
        </w:rPr>
        <w:t xml:space="preserve"> et sui</w:t>
      </w:r>
      <w:r>
        <w:rPr>
          <w:rFonts w:ascii="Arial" w:hAnsi="Arial" w:cs="Arial"/>
          <w:bCs/>
          <w:sz w:val="22"/>
          <w:szCs w:val="22"/>
          <w:lang w:val="fr-FR"/>
        </w:rPr>
        <w:t>vai</w:t>
      </w:r>
      <w:r w:rsidRPr="00B460C4">
        <w:rPr>
          <w:rFonts w:ascii="Arial" w:hAnsi="Arial" w:cs="Arial"/>
          <w:bCs/>
          <w:sz w:val="22"/>
          <w:szCs w:val="22"/>
          <w:lang w:val="fr-FR"/>
        </w:rPr>
        <w:t>t souvent l</w:t>
      </w:r>
      <w:r w:rsidR="008E532B">
        <w:rPr>
          <w:rFonts w:ascii="Arial" w:hAnsi="Arial" w:cs="Arial"/>
          <w:bCs/>
          <w:sz w:val="22"/>
          <w:szCs w:val="22"/>
          <w:lang w:val="fr-FR"/>
        </w:rPr>
        <w:t>’</w:t>
      </w:r>
      <w:r w:rsidRPr="00B460C4">
        <w:rPr>
          <w:rFonts w:ascii="Arial" w:hAnsi="Arial" w:cs="Arial"/>
          <w:bCs/>
          <w:sz w:val="22"/>
          <w:szCs w:val="22"/>
          <w:lang w:val="fr-FR"/>
        </w:rPr>
        <w:t>histoire et la culture des peuples, et ces éléments se retrouv</w:t>
      </w:r>
      <w:r>
        <w:rPr>
          <w:rFonts w:ascii="Arial" w:hAnsi="Arial" w:cs="Arial"/>
          <w:bCs/>
          <w:sz w:val="22"/>
          <w:szCs w:val="22"/>
          <w:lang w:val="fr-FR"/>
        </w:rPr>
        <w:t>ai</w:t>
      </w:r>
      <w:r w:rsidRPr="00B460C4">
        <w:rPr>
          <w:rFonts w:ascii="Arial" w:hAnsi="Arial" w:cs="Arial"/>
          <w:bCs/>
          <w:sz w:val="22"/>
          <w:szCs w:val="22"/>
          <w:lang w:val="fr-FR"/>
        </w:rPr>
        <w:t>ent dans la soupe</w:t>
      </w:r>
      <w:r>
        <w:rPr>
          <w:rFonts w:ascii="Arial" w:hAnsi="Arial" w:cs="Arial"/>
          <w:bCs/>
          <w:sz w:val="22"/>
          <w:szCs w:val="22"/>
          <w:lang w:val="fr-FR"/>
        </w:rPr>
        <w:t xml:space="preserve"> au giraumon</w:t>
      </w:r>
      <w:r w:rsidRPr="00B460C4">
        <w:rPr>
          <w:rFonts w:ascii="Arial" w:hAnsi="Arial" w:cs="Arial"/>
          <w:bCs/>
          <w:sz w:val="22"/>
          <w:szCs w:val="22"/>
          <w:lang w:val="fr-FR"/>
        </w:rPr>
        <w:t xml:space="preserve"> d</w:t>
      </w:r>
      <w:r w:rsidR="008E532B">
        <w:rPr>
          <w:rFonts w:ascii="Arial" w:hAnsi="Arial" w:cs="Arial"/>
          <w:bCs/>
          <w:sz w:val="22"/>
          <w:szCs w:val="22"/>
          <w:lang w:val="fr-FR"/>
        </w:rPr>
        <w:t>’</w:t>
      </w:r>
      <w:r w:rsidRPr="00B460C4">
        <w:rPr>
          <w:rFonts w:ascii="Arial" w:hAnsi="Arial" w:cs="Arial"/>
          <w:bCs/>
          <w:sz w:val="22"/>
          <w:szCs w:val="22"/>
          <w:lang w:val="fr-FR"/>
        </w:rPr>
        <w:t>Haïti. La délégation a réitéré son soutien à l</w:t>
      </w:r>
      <w:r w:rsidR="008E532B">
        <w:rPr>
          <w:rFonts w:ascii="Arial" w:hAnsi="Arial" w:cs="Arial"/>
          <w:bCs/>
          <w:sz w:val="22"/>
          <w:szCs w:val="22"/>
          <w:lang w:val="fr-FR"/>
        </w:rPr>
        <w:t>’</w:t>
      </w:r>
      <w:r w:rsidRPr="00B460C4">
        <w:rPr>
          <w:rFonts w:ascii="Arial" w:hAnsi="Arial" w:cs="Arial"/>
          <w:bCs/>
          <w:sz w:val="22"/>
          <w:szCs w:val="22"/>
          <w:lang w:val="fr-FR"/>
        </w:rPr>
        <w:t xml:space="preserve">inscription de la soupe </w:t>
      </w:r>
      <w:r>
        <w:rPr>
          <w:rFonts w:ascii="Arial" w:hAnsi="Arial" w:cs="Arial"/>
          <w:bCs/>
          <w:sz w:val="22"/>
          <w:szCs w:val="22"/>
          <w:lang w:val="fr-FR"/>
        </w:rPr>
        <w:t>au giraumon</w:t>
      </w:r>
      <w:r w:rsidRPr="00B460C4">
        <w:rPr>
          <w:rFonts w:ascii="Arial" w:hAnsi="Arial" w:cs="Arial"/>
          <w:bCs/>
          <w:sz w:val="22"/>
          <w:szCs w:val="22"/>
          <w:lang w:val="fr-FR"/>
        </w:rPr>
        <w:t xml:space="preserve"> sur la Liste représentative et a félicité la nation </w:t>
      </w:r>
      <w:r>
        <w:rPr>
          <w:rFonts w:ascii="Arial" w:hAnsi="Arial" w:cs="Arial"/>
          <w:bCs/>
          <w:sz w:val="22"/>
          <w:szCs w:val="22"/>
          <w:lang w:val="fr-FR"/>
        </w:rPr>
        <w:t>sœur</w:t>
      </w:r>
      <w:r w:rsidRPr="00B460C4">
        <w:rPr>
          <w:rFonts w:ascii="Arial" w:hAnsi="Arial" w:cs="Arial"/>
          <w:bCs/>
          <w:sz w:val="22"/>
          <w:szCs w:val="22"/>
          <w:lang w:val="fr-FR"/>
        </w:rPr>
        <w:t xml:space="preserve"> d</w:t>
      </w:r>
      <w:r w:rsidR="008E532B">
        <w:rPr>
          <w:rFonts w:ascii="Arial" w:hAnsi="Arial" w:cs="Arial"/>
          <w:bCs/>
          <w:sz w:val="22"/>
          <w:szCs w:val="22"/>
          <w:lang w:val="fr-FR"/>
        </w:rPr>
        <w:t>’</w:t>
      </w:r>
      <w:r w:rsidRPr="00B460C4">
        <w:rPr>
          <w:rFonts w:ascii="Arial" w:hAnsi="Arial" w:cs="Arial"/>
          <w:bCs/>
          <w:sz w:val="22"/>
          <w:szCs w:val="22"/>
          <w:lang w:val="fr-FR"/>
        </w:rPr>
        <w:t>Haïti.</w:t>
      </w:r>
    </w:p>
    <w:p w14:paraId="54C16ABC" w14:textId="1FFBCCA9" w:rsidR="00D9653F" w:rsidRPr="007E5D73"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E5D73">
        <w:rPr>
          <w:rFonts w:ascii="Arial" w:hAnsi="Arial" w:cs="Arial"/>
          <w:bCs/>
          <w:sz w:val="22"/>
          <w:szCs w:val="22"/>
          <w:lang w:val="fr-FR"/>
        </w:rPr>
        <w:t xml:space="preserve">La délégation du </w:t>
      </w:r>
      <w:r w:rsidRPr="007E5D73">
        <w:rPr>
          <w:rFonts w:ascii="Arial" w:hAnsi="Arial" w:cs="Arial"/>
          <w:b/>
          <w:sz w:val="22"/>
          <w:szCs w:val="22"/>
          <w:lang w:val="fr-FR"/>
        </w:rPr>
        <w:t>Japon</w:t>
      </w:r>
      <w:r w:rsidRPr="007E5D73">
        <w:rPr>
          <w:rFonts w:ascii="Arial" w:hAnsi="Arial" w:cs="Arial"/>
          <w:bCs/>
          <w:sz w:val="22"/>
          <w:szCs w:val="22"/>
          <w:lang w:val="fr-FR"/>
        </w:rPr>
        <w:t xml:space="preserve"> a félicité Haïti, notant qu</w:t>
      </w:r>
      <w:r w:rsidR="008E532B">
        <w:rPr>
          <w:rFonts w:ascii="Arial" w:hAnsi="Arial" w:cs="Arial"/>
          <w:bCs/>
          <w:sz w:val="22"/>
          <w:szCs w:val="22"/>
          <w:lang w:val="fr-FR"/>
        </w:rPr>
        <w:t>’</w:t>
      </w:r>
      <w:r w:rsidRPr="007E5D73">
        <w:rPr>
          <w:rFonts w:ascii="Arial" w:hAnsi="Arial" w:cs="Arial"/>
          <w:bCs/>
          <w:sz w:val="22"/>
          <w:szCs w:val="22"/>
          <w:lang w:val="fr-FR"/>
        </w:rPr>
        <w:t>il s</w:t>
      </w:r>
      <w:r w:rsidR="008E532B">
        <w:rPr>
          <w:rFonts w:ascii="Arial" w:hAnsi="Arial" w:cs="Arial"/>
          <w:bCs/>
          <w:sz w:val="22"/>
          <w:szCs w:val="22"/>
          <w:lang w:val="fr-FR"/>
        </w:rPr>
        <w:t>’</w:t>
      </w:r>
      <w:r w:rsidRPr="007E5D73">
        <w:rPr>
          <w:rFonts w:ascii="Arial" w:hAnsi="Arial" w:cs="Arial"/>
          <w:bCs/>
          <w:sz w:val="22"/>
          <w:szCs w:val="22"/>
          <w:lang w:val="fr-FR"/>
        </w:rPr>
        <w:t>agissait de la première inscription</w:t>
      </w:r>
      <w:r>
        <w:rPr>
          <w:rFonts w:ascii="Arial" w:hAnsi="Arial" w:cs="Arial"/>
          <w:bCs/>
          <w:sz w:val="22"/>
          <w:szCs w:val="22"/>
          <w:lang w:val="fr-FR"/>
        </w:rPr>
        <w:t xml:space="preserve"> du pays et de la première inscription</w:t>
      </w:r>
      <w:r w:rsidRPr="007E5D73">
        <w:rPr>
          <w:rFonts w:ascii="Arial" w:hAnsi="Arial" w:cs="Arial"/>
          <w:bCs/>
          <w:sz w:val="22"/>
          <w:szCs w:val="22"/>
          <w:lang w:val="fr-FR"/>
        </w:rPr>
        <w:t xml:space="preserve"> sur la base de catastrophes naturelles</w:t>
      </w:r>
      <w:r>
        <w:rPr>
          <w:rFonts w:ascii="Arial" w:hAnsi="Arial" w:cs="Arial"/>
          <w:bCs/>
          <w:sz w:val="22"/>
          <w:szCs w:val="22"/>
          <w:lang w:val="fr-FR"/>
        </w:rPr>
        <w:t xml:space="preserve">, un dossier </w:t>
      </w:r>
      <w:r w:rsidRPr="007E5D73">
        <w:rPr>
          <w:rFonts w:ascii="Arial" w:hAnsi="Arial" w:cs="Arial"/>
          <w:bCs/>
          <w:sz w:val="22"/>
          <w:szCs w:val="22"/>
          <w:lang w:val="fr-FR"/>
        </w:rPr>
        <w:t xml:space="preserve">que le Comité </w:t>
      </w:r>
      <w:r>
        <w:rPr>
          <w:rFonts w:ascii="Arial" w:hAnsi="Arial" w:cs="Arial"/>
          <w:bCs/>
          <w:sz w:val="22"/>
          <w:szCs w:val="22"/>
          <w:lang w:val="fr-FR"/>
        </w:rPr>
        <w:t>avait</w:t>
      </w:r>
      <w:r w:rsidRPr="007E5D73">
        <w:rPr>
          <w:rFonts w:ascii="Arial" w:hAnsi="Arial" w:cs="Arial"/>
          <w:bCs/>
          <w:sz w:val="22"/>
          <w:szCs w:val="22"/>
          <w:lang w:val="fr-FR"/>
        </w:rPr>
        <w:t xml:space="preserve"> pris en considération avec un résultat très positif. La délégation a rappelé à l</w:t>
      </w:r>
      <w:r w:rsidR="008E532B">
        <w:rPr>
          <w:rFonts w:ascii="Arial" w:hAnsi="Arial" w:cs="Arial"/>
          <w:bCs/>
          <w:sz w:val="22"/>
          <w:szCs w:val="22"/>
          <w:lang w:val="fr-FR"/>
        </w:rPr>
        <w:t>’</w:t>
      </w:r>
      <w:r w:rsidRPr="007E5D73">
        <w:rPr>
          <w:rFonts w:ascii="Arial" w:hAnsi="Arial" w:cs="Arial"/>
          <w:bCs/>
          <w:sz w:val="22"/>
          <w:szCs w:val="22"/>
          <w:lang w:val="fr-FR"/>
        </w:rPr>
        <w:t>Assemblée qu</w:t>
      </w:r>
      <w:r w:rsidR="008E532B">
        <w:rPr>
          <w:rFonts w:ascii="Arial" w:hAnsi="Arial" w:cs="Arial"/>
          <w:bCs/>
          <w:sz w:val="22"/>
          <w:szCs w:val="22"/>
          <w:lang w:val="fr-FR"/>
        </w:rPr>
        <w:t>’</w:t>
      </w:r>
      <w:r w:rsidRPr="007E5D73">
        <w:rPr>
          <w:rFonts w:ascii="Arial" w:hAnsi="Arial" w:cs="Arial"/>
          <w:bCs/>
          <w:sz w:val="22"/>
          <w:szCs w:val="22"/>
          <w:lang w:val="fr-FR"/>
        </w:rPr>
        <w:t>à l</w:t>
      </w:r>
      <w:r w:rsidR="008E532B">
        <w:rPr>
          <w:rFonts w:ascii="Arial" w:hAnsi="Arial" w:cs="Arial"/>
          <w:bCs/>
          <w:sz w:val="22"/>
          <w:szCs w:val="22"/>
          <w:lang w:val="fr-FR"/>
        </w:rPr>
        <w:t>’</w:t>
      </w:r>
      <w:r w:rsidRPr="007E5D73">
        <w:rPr>
          <w:rFonts w:ascii="Arial" w:hAnsi="Arial" w:cs="Arial"/>
          <w:bCs/>
          <w:sz w:val="22"/>
          <w:szCs w:val="22"/>
          <w:lang w:val="fr-FR"/>
        </w:rPr>
        <w:t xml:space="preserve">époque, quelques pays avaient exprimé </w:t>
      </w:r>
      <w:r>
        <w:rPr>
          <w:rFonts w:ascii="Arial" w:hAnsi="Arial" w:cs="Arial"/>
          <w:bCs/>
          <w:sz w:val="22"/>
          <w:szCs w:val="22"/>
          <w:lang w:val="fr-FR"/>
        </w:rPr>
        <w:t xml:space="preserve">certaines </w:t>
      </w:r>
      <w:r w:rsidRPr="007E5D73">
        <w:rPr>
          <w:rFonts w:ascii="Arial" w:hAnsi="Arial" w:cs="Arial"/>
          <w:bCs/>
          <w:sz w:val="22"/>
          <w:szCs w:val="22"/>
          <w:lang w:val="fr-FR"/>
        </w:rPr>
        <w:t>inquiétudes, non pas au sujet du dossier d</w:t>
      </w:r>
      <w:r w:rsidR="008E532B">
        <w:rPr>
          <w:rFonts w:ascii="Arial" w:hAnsi="Arial" w:cs="Arial"/>
          <w:bCs/>
          <w:sz w:val="22"/>
          <w:szCs w:val="22"/>
          <w:lang w:val="fr-FR"/>
        </w:rPr>
        <w:t>’</w:t>
      </w:r>
      <w:r w:rsidRPr="007E5D73">
        <w:rPr>
          <w:rFonts w:ascii="Arial" w:hAnsi="Arial" w:cs="Arial"/>
          <w:bCs/>
          <w:sz w:val="22"/>
          <w:szCs w:val="22"/>
          <w:lang w:val="fr-FR"/>
        </w:rPr>
        <w:t>Haïti qu</w:t>
      </w:r>
      <w:r w:rsidR="008E532B">
        <w:rPr>
          <w:rFonts w:ascii="Arial" w:hAnsi="Arial" w:cs="Arial"/>
          <w:bCs/>
          <w:sz w:val="22"/>
          <w:szCs w:val="22"/>
          <w:lang w:val="fr-FR"/>
        </w:rPr>
        <w:t>’</w:t>
      </w:r>
      <w:r w:rsidRPr="007E5D73">
        <w:rPr>
          <w:rFonts w:ascii="Arial" w:hAnsi="Arial" w:cs="Arial"/>
          <w:bCs/>
          <w:sz w:val="22"/>
          <w:szCs w:val="22"/>
          <w:lang w:val="fr-FR"/>
        </w:rPr>
        <w:t>ils soutenaient, mais au sujet des implications de la décision, qui a</w:t>
      </w:r>
      <w:r>
        <w:rPr>
          <w:rFonts w:ascii="Arial" w:hAnsi="Arial" w:cs="Arial"/>
          <w:bCs/>
          <w:sz w:val="22"/>
          <w:szCs w:val="22"/>
          <w:lang w:val="fr-FR"/>
        </w:rPr>
        <w:t>vait</w:t>
      </w:r>
      <w:r w:rsidRPr="007E5D73">
        <w:rPr>
          <w:rFonts w:ascii="Arial" w:hAnsi="Arial" w:cs="Arial"/>
          <w:bCs/>
          <w:sz w:val="22"/>
          <w:szCs w:val="22"/>
          <w:lang w:val="fr-FR"/>
        </w:rPr>
        <w:t xml:space="preserve"> ensuite </w:t>
      </w:r>
      <w:r>
        <w:rPr>
          <w:rFonts w:ascii="Arial" w:hAnsi="Arial" w:cs="Arial"/>
          <w:bCs/>
          <w:sz w:val="22"/>
          <w:szCs w:val="22"/>
          <w:lang w:val="fr-FR"/>
        </w:rPr>
        <w:t>fait l</w:t>
      </w:r>
      <w:r w:rsidR="008E532B">
        <w:rPr>
          <w:rFonts w:ascii="Arial" w:hAnsi="Arial" w:cs="Arial"/>
          <w:bCs/>
          <w:sz w:val="22"/>
          <w:szCs w:val="22"/>
          <w:lang w:val="fr-FR"/>
        </w:rPr>
        <w:t>’</w:t>
      </w:r>
      <w:r>
        <w:rPr>
          <w:rFonts w:ascii="Arial" w:hAnsi="Arial" w:cs="Arial"/>
          <w:bCs/>
          <w:sz w:val="22"/>
          <w:szCs w:val="22"/>
          <w:lang w:val="fr-FR"/>
        </w:rPr>
        <w:t>objet de débats</w:t>
      </w:r>
      <w:r w:rsidRPr="007E5D73">
        <w:rPr>
          <w:rFonts w:ascii="Arial" w:hAnsi="Arial" w:cs="Arial"/>
          <w:bCs/>
          <w:sz w:val="22"/>
          <w:szCs w:val="22"/>
          <w:lang w:val="fr-FR"/>
        </w:rPr>
        <w:t xml:space="preserve"> au sein du </w:t>
      </w:r>
      <w:r>
        <w:rPr>
          <w:rFonts w:ascii="Arial" w:hAnsi="Arial" w:cs="Arial"/>
          <w:bCs/>
          <w:sz w:val="22"/>
          <w:szCs w:val="22"/>
          <w:lang w:val="fr-FR"/>
        </w:rPr>
        <w:t>g</w:t>
      </w:r>
      <w:r w:rsidRPr="007E5D73">
        <w:rPr>
          <w:rFonts w:ascii="Arial" w:hAnsi="Arial" w:cs="Arial"/>
          <w:bCs/>
          <w:sz w:val="22"/>
          <w:szCs w:val="22"/>
          <w:lang w:val="fr-FR"/>
        </w:rPr>
        <w:t>roupe de travail à composition non limitée. Il existait désormais un accord sur la manière de traiter les cas d</w:t>
      </w:r>
      <w:r w:rsidR="008E532B">
        <w:rPr>
          <w:rFonts w:ascii="Arial" w:hAnsi="Arial" w:cs="Arial"/>
          <w:bCs/>
          <w:sz w:val="22"/>
          <w:szCs w:val="22"/>
          <w:lang w:val="fr-FR"/>
        </w:rPr>
        <w:t>’</w:t>
      </w:r>
      <w:r w:rsidRPr="007E5D73">
        <w:rPr>
          <w:rFonts w:ascii="Arial" w:hAnsi="Arial" w:cs="Arial"/>
          <w:bCs/>
          <w:sz w:val="22"/>
          <w:szCs w:val="22"/>
          <w:lang w:val="fr-FR"/>
        </w:rPr>
        <w:t>urgence et la délégation en rendra</w:t>
      </w:r>
      <w:r>
        <w:rPr>
          <w:rFonts w:ascii="Arial" w:hAnsi="Arial" w:cs="Arial"/>
          <w:bCs/>
          <w:sz w:val="22"/>
          <w:szCs w:val="22"/>
          <w:lang w:val="fr-FR"/>
        </w:rPr>
        <w:t>it</w:t>
      </w:r>
      <w:r w:rsidRPr="007E5D73">
        <w:rPr>
          <w:rFonts w:ascii="Arial" w:hAnsi="Arial" w:cs="Arial"/>
          <w:bCs/>
          <w:sz w:val="22"/>
          <w:szCs w:val="22"/>
          <w:lang w:val="fr-FR"/>
        </w:rPr>
        <w:t xml:space="preserve"> compte au </w:t>
      </w:r>
      <w:r>
        <w:rPr>
          <w:rFonts w:ascii="Arial" w:hAnsi="Arial" w:cs="Arial"/>
          <w:bCs/>
          <w:sz w:val="22"/>
          <w:szCs w:val="22"/>
          <w:lang w:val="fr-FR"/>
        </w:rPr>
        <w:t xml:space="preserve">titre du </w:t>
      </w:r>
      <w:r w:rsidRPr="007E5D73">
        <w:rPr>
          <w:rFonts w:ascii="Arial" w:hAnsi="Arial" w:cs="Arial"/>
          <w:bCs/>
          <w:sz w:val="22"/>
          <w:szCs w:val="22"/>
          <w:lang w:val="fr-FR"/>
        </w:rPr>
        <w:t>point 9 de l</w:t>
      </w:r>
      <w:r w:rsidR="008E532B">
        <w:rPr>
          <w:rFonts w:ascii="Arial" w:hAnsi="Arial" w:cs="Arial"/>
          <w:bCs/>
          <w:sz w:val="22"/>
          <w:szCs w:val="22"/>
          <w:lang w:val="fr-FR"/>
        </w:rPr>
        <w:t>’</w:t>
      </w:r>
      <w:r w:rsidRPr="007E5D73">
        <w:rPr>
          <w:rFonts w:ascii="Arial" w:hAnsi="Arial" w:cs="Arial"/>
          <w:bCs/>
          <w:sz w:val="22"/>
          <w:szCs w:val="22"/>
          <w:lang w:val="fr-FR"/>
        </w:rPr>
        <w:t>ordre du jour [sur la réflexion globale sur les mécanismes d</w:t>
      </w:r>
      <w:r w:rsidR="008E532B">
        <w:rPr>
          <w:rFonts w:ascii="Arial" w:hAnsi="Arial" w:cs="Arial"/>
          <w:bCs/>
          <w:sz w:val="22"/>
          <w:szCs w:val="22"/>
          <w:lang w:val="fr-FR"/>
        </w:rPr>
        <w:t>’</w:t>
      </w:r>
      <w:r w:rsidRPr="007E5D73">
        <w:rPr>
          <w:rFonts w:ascii="Arial" w:hAnsi="Arial" w:cs="Arial"/>
          <w:bCs/>
          <w:sz w:val="22"/>
          <w:szCs w:val="22"/>
          <w:lang w:val="fr-FR"/>
        </w:rPr>
        <w:t xml:space="preserve">inscription]. Elle a conclu </w:t>
      </w:r>
      <w:r>
        <w:rPr>
          <w:rFonts w:ascii="Arial" w:hAnsi="Arial" w:cs="Arial"/>
          <w:bCs/>
          <w:sz w:val="22"/>
          <w:szCs w:val="22"/>
          <w:lang w:val="fr-FR"/>
        </w:rPr>
        <w:t xml:space="preserve">son </w:t>
      </w:r>
      <w:r w:rsidRPr="007E5D73">
        <w:rPr>
          <w:rFonts w:ascii="Arial" w:hAnsi="Arial" w:cs="Arial"/>
          <w:bCs/>
          <w:sz w:val="22"/>
          <w:szCs w:val="22"/>
          <w:lang w:val="fr-FR"/>
        </w:rPr>
        <w:t>intervention</w:t>
      </w:r>
      <w:r>
        <w:rPr>
          <w:rFonts w:ascii="Arial" w:hAnsi="Arial" w:cs="Arial"/>
          <w:bCs/>
          <w:sz w:val="22"/>
          <w:szCs w:val="22"/>
          <w:lang w:val="fr-FR"/>
        </w:rPr>
        <w:t xml:space="preserve"> </w:t>
      </w:r>
      <w:r w:rsidRPr="007E5D73">
        <w:rPr>
          <w:rFonts w:ascii="Arial" w:hAnsi="Arial" w:cs="Arial"/>
          <w:bCs/>
          <w:sz w:val="22"/>
          <w:szCs w:val="22"/>
          <w:lang w:val="fr-FR"/>
        </w:rPr>
        <w:t>en félicitant toutes les parties concernées et, en particulier, l</w:t>
      </w:r>
      <w:r w:rsidR="008E532B">
        <w:rPr>
          <w:rFonts w:ascii="Arial" w:hAnsi="Arial" w:cs="Arial"/>
          <w:bCs/>
          <w:sz w:val="22"/>
          <w:szCs w:val="22"/>
          <w:lang w:val="fr-FR"/>
        </w:rPr>
        <w:t>’a</w:t>
      </w:r>
      <w:r w:rsidRPr="007E5D73">
        <w:rPr>
          <w:rFonts w:ascii="Arial" w:hAnsi="Arial" w:cs="Arial"/>
          <w:bCs/>
          <w:sz w:val="22"/>
          <w:szCs w:val="22"/>
          <w:lang w:val="fr-FR"/>
        </w:rPr>
        <w:t>mbassad</w:t>
      </w:r>
      <w:r w:rsidR="008E532B">
        <w:rPr>
          <w:rFonts w:ascii="Arial" w:hAnsi="Arial" w:cs="Arial"/>
          <w:bCs/>
          <w:sz w:val="22"/>
          <w:szCs w:val="22"/>
          <w:lang w:val="fr-FR"/>
        </w:rPr>
        <w:t>eur</w:t>
      </w:r>
      <w:r>
        <w:rPr>
          <w:rFonts w:ascii="Arial" w:hAnsi="Arial" w:cs="Arial"/>
          <w:bCs/>
          <w:sz w:val="22"/>
          <w:szCs w:val="22"/>
          <w:lang w:val="fr-FR"/>
        </w:rPr>
        <w:t xml:space="preserve"> </w:t>
      </w:r>
      <w:r w:rsidRPr="007E5D73">
        <w:rPr>
          <w:rFonts w:ascii="Arial" w:hAnsi="Arial" w:cs="Arial"/>
          <w:bCs/>
          <w:sz w:val="22"/>
          <w:szCs w:val="22"/>
          <w:lang w:val="fr-FR"/>
        </w:rPr>
        <w:t>d</w:t>
      </w:r>
      <w:r w:rsidR="008E532B">
        <w:rPr>
          <w:rFonts w:ascii="Arial" w:hAnsi="Arial" w:cs="Arial"/>
          <w:bCs/>
          <w:sz w:val="22"/>
          <w:szCs w:val="22"/>
          <w:lang w:val="fr-FR"/>
        </w:rPr>
        <w:t>’</w:t>
      </w:r>
      <w:r w:rsidRPr="007E5D73">
        <w:rPr>
          <w:rFonts w:ascii="Arial" w:hAnsi="Arial" w:cs="Arial"/>
          <w:bCs/>
          <w:sz w:val="22"/>
          <w:szCs w:val="22"/>
          <w:lang w:val="fr-FR"/>
        </w:rPr>
        <w:t>Haïti, Dominique Dupuy, pour cette inscription.</w:t>
      </w:r>
    </w:p>
    <w:p w14:paraId="1B2893E7" w14:textId="198E321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73A03">
        <w:rPr>
          <w:rFonts w:ascii="Arial" w:hAnsi="Arial" w:cs="Arial"/>
          <w:bCs/>
          <w:sz w:val="22"/>
          <w:szCs w:val="22"/>
          <w:lang w:val="fr-FR"/>
        </w:rPr>
        <w:t xml:space="preserve">La délégation de la </w:t>
      </w:r>
      <w:r w:rsidRPr="00F73A03">
        <w:rPr>
          <w:rFonts w:ascii="Arial" w:hAnsi="Arial" w:cs="Arial"/>
          <w:b/>
          <w:sz w:val="22"/>
          <w:szCs w:val="22"/>
          <w:lang w:val="fr-FR"/>
        </w:rPr>
        <w:t>Malaisie</w:t>
      </w:r>
      <w:r w:rsidRPr="00F73A03">
        <w:rPr>
          <w:rFonts w:ascii="Arial" w:hAnsi="Arial" w:cs="Arial"/>
          <w:bCs/>
          <w:sz w:val="22"/>
          <w:szCs w:val="22"/>
          <w:lang w:val="fr-FR"/>
        </w:rPr>
        <w:t xml:space="preserve"> a félicité les nouveaux membres du Comité. La Malaisie a exprimé sa solidarité avec Haïti et son peuple et a reconnu la pertinence d</w:t>
      </w:r>
      <w:r w:rsidR="008E532B">
        <w:rPr>
          <w:rFonts w:ascii="Arial" w:hAnsi="Arial" w:cs="Arial"/>
          <w:bCs/>
          <w:sz w:val="22"/>
          <w:szCs w:val="22"/>
          <w:lang w:val="fr-FR"/>
        </w:rPr>
        <w:t>’</w:t>
      </w:r>
      <w:r w:rsidRPr="00F73A03">
        <w:rPr>
          <w:rFonts w:ascii="Arial" w:hAnsi="Arial" w:cs="Arial"/>
          <w:bCs/>
          <w:sz w:val="22"/>
          <w:szCs w:val="22"/>
          <w:lang w:val="fr-FR"/>
        </w:rPr>
        <w:t>accélérer l</w:t>
      </w:r>
      <w:r w:rsidR="008E532B">
        <w:rPr>
          <w:rFonts w:ascii="Arial" w:hAnsi="Arial" w:cs="Arial"/>
          <w:bCs/>
          <w:sz w:val="22"/>
          <w:szCs w:val="22"/>
          <w:lang w:val="fr-FR"/>
        </w:rPr>
        <w:t>’</w:t>
      </w:r>
      <w:r w:rsidRPr="00F73A03">
        <w:rPr>
          <w:rFonts w:ascii="Arial" w:hAnsi="Arial" w:cs="Arial"/>
          <w:bCs/>
          <w:sz w:val="22"/>
          <w:szCs w:val="22"/>
          <w:lang w:val="fr-FR"/>
        </w:rPr>
        <w:t>inscription de la soupe</w:t>
      </w:r>
      <w:r>
        <w:rPr>
          <w:rFonts w:ascii="Arial" w:hAnsi="Arial" w:cs="Arial"/>
          <w:bCs/>
          <w:sz w:val="22"/>
          <w:szCs w:val="22"/>
          <w:lang w:val="fr-FR"/>
        </w:rPr>
        <w:t xml:space="preserve"> au giraumon</w:t>
      </w:r>
      <w:r w:rsidRPr="00F73A03">
        <w:rPr>
          <w:rFonts w:ascii="Arial" w:hAnsi="Arial" w:cs="Arial"/>
          <w:bCs/>
          <w:sz w:val="22"/>
          <w:szCs w:val="22"/>
          <w:lang w:val="fr-FR"/>
        </w:rPr>
        <w:t>. Elle a</w:t>
      </w:r>
      <w:r>
        <w:rPr>
          <w:rFonts w:ascii="Arial" w:hAnsi="Arial" w:cs="Arial"/>
          <w:bCs/>
          <w:sz w:val="22"/>
          <w:szCs w:val="22"/>
          <w:lang w:val="fr-FR"/>
        </w:rPr>
        <w:t xml:space="preserve"> noté</w:t>
      </w:r>
      <w:r w:rsidRPr="00F73A03">
        <w:rPr>
          <w:rFonts w:ascii="Arial" w:hAnsi="Arial" w:cs="Arial"/>
          <w:bCs/>
          <w:sz w:val="22"/>
          <w:szCs w:val="22"/>
          <w:lang w:val="fr-FR"/>
        </w:rPr>
        <w:t xml:space="preserve"> que l</w:t>
      </w:r>
      <w:r w:rsidR="008E532B">
        <w:rPr>
          <w:rFonts w:ascii="Arial" w:hAnsi="Arial" w:cs="Arial"/>
          <w:bCs/>
          <w:sz w:val="22"/>
          <w:szCs w:val="22"/>
          <w:lang w:val="fr-FR"/>
        </w:rPr>
        <w:t>’</w:t>
      </w:r>
      <w:r>
        <w:rPr>
          <w:rFonts w:ascii="Arial" w:hAnsi="Arial" w:cs="Arial"/>
          <w:bCs/>
          <w:sz w:val="22"/>
          <w:szCs w:val="22"/>
          <w:lang w:val="fr-FR"/>
        </w:rPr>
        <w:t>O</w:t>
      </w:r>
      <w:r w:rsidRPr="00F73A03">
        <w:rPr>
          <w:rFonts w:ascii="Arial" w:hAnsi="Arial" w:cs="Arial"/>
          <w:bCs/>
          <w:sz w:val="22"/>
          <w:szCs w:val="22"/>
          <w:lang w:val="fr-FR"/>
        </w:rPr>
        <w:t>rgane d</w:t>
      </w:r>
      <w:r w:rsidR="008E532B">
        <w:rPr>
          <w:rFonts w:ascii="Arial" w:hAnsi="Arial" w:cs="Arial"/>
          <w:bCs/>
          <w:sz w:val="22"/>
          <w:szCs w:val="22"/>
          <w:lang w:val="fr-FR"/>
        </w:rPr>
        <w:t>’</w:t>
      </w:r>
      <w:r w:rsidRPr="00F73A03">
        <w:rPr>
          <w:rFonts w:ascii="Arial" w:hAnsi="Arial" w:cs="Arial"/>
          <w:bCs/>
          <w:sz w:val="22"/>
          <w:szCs w:val="22"/>
          <w:lang w:val="fr-FR"/>
        </w:rPr>
        <w:t>évaluation a</w:t>
      </w:r>
      <w:r>
        <w:rPr>
          <w:rFonts w:ascii="Arial" w:hAnsi="Arial" w:cs="Arial"/>
          <w:bCs/>
          <w:sz w:val="22"/>
          <w:szCs w:val="22"/>
          <w:lang w:val="fr-FR"/>
        </w:rPr>
        <w:t>vait</w:t>
      </w:r>
      <w:r w:rsidRPr="00F73A03">
        <w:rPr>
          <w:rFonts w:ascii="Arial" w:hAnsi="Arial" w:cs="Arial"/>
          <w:bCs/>
          <w:sz w:val="22"/>
          <w:szCs w:val="22"/>
          <w:lang w:val="fr-FR"/>
        </w:rPr>
        <w:t xml:space="preserve"> estimé que la candidature satisfaisait aux cinq critères d</w:t>
      </w:r>
      <w:r w:rsidR="008E532B">
        <w:rPr>
          <w:rFonts w:ascii="Arial" w:hAnsi="Arial" w:cs="Arial"/>
          <w:bCs/>
          <w:sz w:val="22"/>
          <w:szCs w:val="22"/>
          <w:lang w:val="fr-FR"/>
        </w:rPr>
        <w:t>’</w:t>
      </w:r>
      <w:r w:rsidRPr="00F73A03">
        <w:rPr>
          <w:rFonts w:ascii="Arial" w:hAnsi="Arial" w:cs="Arial"/>
          <w:bCs/>
          <w:sz w:val="22"/>
          <w:szCs w:val="22"/>
          <w:lang w:val="fr-FR"/>
        </w:rPr>
        <w:t xml:space="preserve">inscription sur la Liste représentative. La délégation a convenu que la sauvegarde et la préservation de la soupe </w:t>
      </w:r>
      <w:r>
        <w:rPr>
          <w:rFonts w:ascii="Arial" w:hAnsi="Arial" w:cs="Arial"/>
          <w:bCs/>
          <w:sz w:val="22"/>
          <w:szCs w:val="22"/>
          <w:lang w:val="fr-FR"/>
        </w:rPr>
        <w:t xml:space="preserve">au giraumon </w:t>
      </w:r>
      <w:r w:rsidRPr="00F73A03">
        <w:rPr>
          <w:rFonts w:ascii="Arial" w:hAnsi="Arial" w:cs="Arial"/>
          <w:bCs/>
          <w:sz w:val="22"/>
          <w:szCs w:val="22"/>
          <w:lang w:val="fr-FR"/>
        </w:rPr>
        <w:t>ne dev</w:t>
      </w:r>
      <w:r>
        <w:rPr>
          <w:rFonts w:ascii="Arial" w:hAnsi="Arial" w:cs="Arial"/>
          <w:bCs/>
          <w:sz w:val="22"/>
          <w:szCs w:val="22"/>
          <w:lang w:val="fr-FR"/>
        </w:rPr>
        <w:t>r</w:t>
      </w:r>
      <w:r w:rsidRPr="00F73A03">
        <w:rPr>
          <w:rFonts w:ascii="Arial" w:hAnsi="Arial" w:cs="Arial"/>
          <w:bCs/>
          <w:sz w:val="22"/>
          <w:szCs w:val="22"/>
          <w:lang w:val="fr-FR"/>
        </w:rPr>
        <w:t>aient pas être retardées, son inscription servant à renforcer la visibilité de l</w:t>
      </w:r>
      <w:r w:rsidR="008E532B">
        <w:rPr>
          <w:rFonts w:ascii="Arial" w:hAnsi="Arial" w:cs="Arial"/>
          <w:bCs/>
          <w:sz w:val="22"/>
          <w:szCs w:val="22"/>
          <w:lang w:val="fr-FR"/>
        </w:rPr>
        <w:t>’</w:t>
      </w:r>
      <w:r w:rsidRPr="00F73A03">
        <w:rPr>
          <w:rFonts w:ascii="Arial" w:hAnsi="Arial" w:cs="Arial"/>
          <w:bCs/>
          <w:sz w:val="22"/>
          <w:szCs w:val="22"/>
          <w:lang w:val="fr-FR"/>
        </w:rPr>
        <w:t>élément et contribuant au r</w:t>
      </w:r>
      <w:r>
        <w:rPr>
          <w:rFonts w:ascii="Arial" w:hAnsi="Arial" w:cs="Arial"/>
          <w:bCs/>
          <w:sz w:val="22"/>
          <w:szCs w:val="22"/>
          <w:lang w:val="fr-FR"/>
        </w:rPr>
        <w:t>elèvement</w:t>
      </w:r>
      <w:r w:rsidRPr="00F73A03">
        <w:rPr>
          <w:rFonts w:ascii="Arial" w:hAnsi="Arial" w:cs="Arial"/>
          <w:bCs/>
          <w:sz w:val="22"/>
          <w:szCs w:val="22"/>
          <w:lang w:val="fr-FR"/>
        </w:rPr>
        <w:t xml:space="preserve"> national après les effets des catastrophes naturelles. Elle a félicité Haïti pour son inscription de la soupe</w:t>
      </w:r>
      <w:r>
        <w:rPr>
          <w:rFonts w:ascii="Arial" w:hAnsi="Arial" w:cs="Arial"/>
          <w:bCs/>
          <w:sz w:val="22"/>
          <w:szCs w:val="22"/>
          <w:lang w:val="fr-FR"/>
        </w:rPr>
        <w:t xml:space="preserve"> au giraumon</w:t>
      </w:r>
      <w:r w:rsidRPr="00F73A03">
        <w:rPr>
          <w:rFonts w:ascii="Arial" w:hAnsi="Arial" w:cs="Arial"/>
          <w:bCs/>
          <w:sz w:val="22"/>
          <w:szCs w:val="22"/>
          <w:lang w:val="fr-FR"/>
        </w:rPr>
        <w:t>.</w:t>
      </w:r>
    </w:p>
    <w:p w14:paraId="7EBEC414" w14:textId="235D6C1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11EB1">
        <w:rPr>
          <w:rFonts w:ascii="Arial" w:hAnsi="Arial" w:cs="Arial"/>
          <w:bCs/>
          <w:sz w:val="22"/>
          <w:szCs w:val="22"/>
          <w:lang w:val="fr-FR"/>
        </w:rPr>
        <w:t xml:space="preserve">La délégation de la </w:t>
      </w:r>
      <w:r w:rsidRPr="00911EB1">
        <w:rPr>
          <w:rFonts w:ascii="Arial" w:hAnsi="Arial" w:cs="Arial"/>
          <w:b/>
          <w:sz w:val="22"/>
          <w:szCs w:val="22"/>
          <w:lang w:val="fr-FR"/>
        </w:rPr>
        <w:t>Pologne</w:t>
      </w:r>
      <w:r w:rsidRPr="00911EB1">
        <w:rPr>
          <w:rFonts w:ascii="Arial" w:hAnsi="Arial" w:cs="Arial"/>
          <w:bCs/>
          <w:sz w:val="22"/>
          <w:szCs w:val="22"/>
          <w:lang w:val="fr-FR"/>
        </w:rPr>
        <w:t xml:space="preserve"> a félicité Haïti pour l</w:t>
      </w:r>
      <w:r w:rsidR="008E532B">
        <w:rPr>
          <w:rFonts w:ascii="Arial" w:hAnsi="Arial" w:cs="Arial"/>
          <w:bCs/>
          <w:sz w:val="22"/>
          <w:szCs w:val="22"/>
          <w:lang w:val="fr-FR"/>
        </w:rPr>
        <w:t>’</w:t>
      </w:r>
      <w:r w:rsidRPr="00911EB1">
        <w:rPr>
          <w:rFonts w:ascii="Arial" w:hAnsi="Arial" w:cs="Arial"/>
          <w:bCs/>
          <w:sz w:val="22"/>
          <w:szCs w:val="22"/>
          <w:lang w:val="fr-FR"/>
        </w:rPr>
        <w:t xml:space="preserve">inscription de la soupe </w:t>
      </w:r>
      <w:r>
        <w:rPr>
          <w:rFonts w:ascii="Arial" w:hAnsi="Arial" w:cs="Arial"/>
          <w:bCs/>
          <w:sz w:val="22"/>
          <w:szCs w:val="22"/>
          <w:lang w:val="fr-FR"/>
        </w:rPr>
        <w:t>au giraumon</w:t>
      </w:r>
      <w:r w:rsidRPr="00911EB1">
        <w:rPr>
          <w:rFonts w:ascii="Arial" w:hAnsi="Arial" w:cs="Arial"/>
          <w:bCs/>
          <w:sz w:val="22"/>
          <w:szCs w:val="22"/>
          <w:lang w:val="fr-FR"/>
        </w:rPr>
        <w:t xml:space="preserve"> sur la Liste représentative. En effet, les périodes difficiles exigent des actions particulières. La Pologne était fière que cette décision ait été prise lors de la session du Comité en 2021, après un</w:t>
      </w:r>
      <w:r>
        <w:rPr>
          <w:rFonts w:ascii="Arial" w:hAnsi="Arial" w:cs="Arial"/>
          <w:bCs/>
          <w:sz w:val="22"/>
          <w:szCs w:val="22"/>
          <w:lang w:val="fr-FR"/>
        </w:rPr>
        <w:t xml:space="preserve"> long débat</w:t>
      </w:r>
      <w:r w:rsidRPr="00911EB1">
        <w:rPr>
          <w:rFonts w:ascii="Arial" w:hAnsi="Arial" w:cs="Arial"/>
          <w:bCs/>
          <w:sz w:val="22"/>
          <w:szCs w:val="22"/>
          <w:lang w:val="fr-FR"/>
        </w:rPr>
        <w:t xml:space="preserve"> sur la manière dont </w:t>
      </w:r>
      <w:r>
        <w:rPr>
          <w:rFonts w:ascii="Arial" w:hAnsi="Arial" w:cs="Arial"/>
          <w:bCs/>
          <w:sz w:val="22"/>
          <w:szCs w:val="22"/>
          <w:lang w:val="fr-FR"/>
        </w:rPr>
        <w:t>il</w:t>
      </w:r>
      <w:r w:rsidRPr="00911EB1">
        <w:rPr>
          <w:rFonts w:ascii="Arial" w:hAnsi="Arial" w:cs="Arial"/>
          <w:bCs/>
          <w:sz w:val="22"/>
          <w:szCs w:val="22"/>
          <w:lang w:val="fr-FR"/>
        </w:rPr>
        <w:t xml:space="preserve"> souhaitait procéder </w:t>
      </w:r>
      <w:r>
        <w:rPr>
          <w:rFonts w:ascii="Arial" w:hAnsi="Arial" w:cs="Arial"/>
          <w:bCs/>
          <w:sz w:val="22"/>
          <w:szCs w:val="22"/>
          <w:lang w:val="fr-FR"/>
        </w:rPr>
        <w:t xml:space="preserve">avec </w:t>
      </w:r>
      <w:r w:rsidRPr="00911EB1">
        <w:rPr>
          <w:rFonts w:ascii="Arial" w:hAnsi="Arial" w:cs="Arial"/>
          <w:bCs/>
          <w:sz w:val="22"/>
          <w:szCs w:val="22"/>
          <w:lang w:val="fr-FR"/>
        </w:rPr>
        <w:t xml:space="preserve">cette demande </w:t>
      </w:r>
      <w:r>
        <w:rPr>
          <w:rFonts w:ascii="Arial" w:hAnsi="Arial" w:cs="Arial"/>
          <w:bCs/>
          <w:sz w:val="22"/>
          <w:szCs w:val="22"/>
          <w:lang w:val="fr-FR"/>
        </w:rPr>
        <w:t>particulière</w:t>
      </w:r>
      <w:r w:rsidRPr="00911EB1">
        <w:rPr>
          <w:rFonts w:ascii="Arial" w:hAnsi="Arial" w:cs="Arial"/>
          <w:bCs/>
          <w:sz w:val="22"/>
          <w:szCs w:val="22"/>
          <w:lang w:val="fr-FR"/>
        </w:rPr>
        <w:t xml:space="preserve"> du </w:t>
      </w:r>
      <w:r>
        <w:rPr>
          <w:rFonts w:ascii="Arial" w:hAnsi="Arial" w:cs="Arial"/>
          <w:bCs/>
          <w:sz w:val="22"/>
          <w:szCs w:val="22"/>
          <w:lang w:val="fr-FR"/>
        </w:rPr>
        <w:t>G</w:t>
      </w:r>
      <w:r w:rsidRPr="00911EB1">
        <w:rPr>
          <w:rFonts w:ascii="Arial" w:hAnsi="Arial" w:cs="Arial"/>
          <w:bCs/>
          <w:sz w:val="22"/>
          <w:szCs w:val="22"/>
          <w:lang w:val="fr-FR"/>
        </w:rPr>
        <w:t>ouvernement d</w:t>
      </w:r>
      <w:r w:rsidR="008E532B">
        <w:rPr>
          <w:rFonts w:ascii="Arial" w:hAnsi="Arial" w:cs="Arial"/>
          <w:bCs/>
          <w:sz w:val="22"/>
          <w:szCs w:val="22"/>
          <w:lang w:val="fr-FR"/>
        </w:rPr>
        <w:t>’</w:t>
      </w:r>
      <w:r w:rsidRPr="00911EB1">
        <w:rPr>
          <w:rFonts w:ascii="Arial" w:hAnsi="Arial" w:cs="Arial"/>
          <w:bCs/>
          <w:sz w:val="22"/>
          <w:szCs w:val="22"/>
          <w:lang w:val="fr-FR"/>
        </w:rPr>
        <w:t xml:space="preserve">Haïti et en raison des risques naturels </w:t>
      </w:r>
      <w:r>
        <w:rPr>
          <w:rFonts w:ascii="Arial" w:hAnsi="Arial" w:cs="Arial"/>
          <w:bCs/>
          <w:sz w:val="22"/>
          <w:szCs w:val="22"/>
          <w:lang w:val="fr-FR"/>
        </w:rPr>
        <w:t>que l</w:t>
      </w:r>
      <w:r w:rsidRPr="00911EB1">
        <w:rPr>
          <w:rFonts w:ascii="Arial" w:hAnsi="Arial" w:cs="Arial"/>
          <w:bCs/>
          <w:sz w:val="22"/>
          <w:szCs w:val="22"/>
          <w:lang w:val="fr-FR"/>
        </w:rPr>
        <w:t>e pays</w:t>
      </w:r>
      <w:r>
        <w:rPr>
          <w:rFonts w:ascii="Arial" w:hAnsi="Arial" w:cs="Arial"/>
          <w:bCs/>
          <w:sz w:val="22"/>
          <w:szCs w:val="22"/>
          <w:lang w:val="fr-FR"/>
        </w:rPr>
        <w:t xml:space="preserve"> avait connus</w:t>
      </w:r>
      <w:r w:rsidRPr="00911EB1">
        <w:rPr>
          <w:rFonts w:ascii="Arial" w:hAnsi="Arial" w:cs="Arial"/>
          <w:bCs/>
          <w:sz w:val="22"/>
          <w:szCs w:val="22"/>
          <w:lang w:val="fr-FR"/>
        </w:rPr>
        <w:t xml:space="preserve"> pendant une période de bouleversements politiques. La délégation a souligné que cette décision avait été prise parce que le Comité avait décidé d</w:t>
      </w:r>
      <w:r w:rsidR="008E532B">
        <w:rPr>
          <w:rFonts w:ascii="Arial" w:hAnsi="Arial" w:cs="Arial"/>
          <w:bCs/>
          <w:sz w:val="22"/>
          <w:szCs w:val="22"/>
          <w:lang w:val="fr-FR"/>
        </w:rPr>
        <w:t>’</w:t>
      </w:r>
      <w:r w:rsidRPr="00911EB1">
        <w:rPr>
          <w:rFonts w:ascii="Arial" w:hAnsi="Arial" w:cs="Arial"/>
          <w:bCs/>
          <w:sz w:val="22"/>
          <w:szCs w:val="22"/>
          <w:lang w:val="fr-FR"/>
        </w:rPr>
        <w:t xml:space="preserve">inscrire la soupe </w:t>
      </w:r>
      <w:r>
        <w:rPr>
          <w:rFonts w:ascii="Arial" w:hAnsi="Arial" w:cs="Arial"/>
          <w:bCs/>
          <w:sz w:val="22"/>
          <w:szCs w:val="22"/>
          <w:lang w:val="fr-FR"/>
        </w:rPr>
        <w:t>au giraumon</w:t>
      </w:r>
      <w:r w:rsidRPr="00911EB1">
        <w:rPr>
          <w:rFonts w:ascii="Arial" w:hAnsi="Arial" w:cs="Arial"/>
          <w:bCs/>
          <w:sz w:val="22"/>
          <w:szCs w:val="22"/>
          <w:lang w:val="fr-FR"/>
        </w:rPr>
        <w:t xml:space="preserve"> malgré l</w:t>
      </w:r>
      <w:r w:rsidR="008E532B">
        <w:rPr>
          <w:rFonts w:ascii="Arial" w:hAnsi="Arial" w:cs="Arial"/>
          <w:bCs/>
          <w:sz w:val="22"/>
          <w:szCs w:val="22"/>
          <w:lang w:val="fr-FR"/>
        </w:rPr>
        <w:t>’</w:t>
      </w:r>
      <w:r w:rsidRPr="00911EB1">
        <w:rPr>
          <w:rFonts w:ascii="Arial" w:hAnsi="Arial" w:cs="Arial"/>
          <w:bCs/>
          <w:sz w:val="22"/>
          <w:szCs w:val="22"/>
          <w:lang w:val="fr-FR"/>
        </w:rPr>
        <w:t>absence d</w:t>
      </w:r>
      <w:r>
        <w:rPr>
          <w:rFonts w:ascii="Arial" w:hAnsi="Arial" w:cs="Arial"/>
          <w:bCs/>
          <w:sz w:val="22"/>
          <w:szCs w:val="22"/>
          <w:lang w:val="fr-FR"/>
        </w:rPr>
        <w:t>e</w:t>
      </w:r>
      <w:r w:rsidRPr="00911EB1">
        <w:rPr>
          <w:rFonts w:ascii="Arial" w:hAnsi="Arial" w:cs="Arial"/>
          <w:bCs/>
          <w:sz w:val="22"/>
          <w:szCs w:val="22"/>
          <w:lang w:val="fr-FR"/>
        </w:rPr>
        <w:t xml:space="preserve"> procédure </w:t>
      </w:r>
      <w:r>
        <w:rPr>
          <w:rFonts w:ascii="Arial" w:hAnsi="Arial" w:cs="Arial"/>
          <w:bCs/>
          <w:sz w:val="22"/>
          <w:szCs w:val="22"/>
          <w:lang w:val="fr-FR"/>
        </w:rPr>
        <w:t xml:space="preserve">prévue pour </w:t>
      </w:r>
      <w:r w:rsidRPr="00911EB1">
        <w:rPr>
          <w:rFonts w:ascii="Arial" w:hAnsi="Arial" w:cs="Arial"/>
          <w:bCs/>
          <w:sz w:val="22"/>
          <w:szCs w:val="22"/>
          <w:lang w:val="fr-FR"/>
        </w:rPr>
        <w:t>l</w:t>
      </w:r>
      <w:r w:rsidR="008E532B">
        <w:rPr>
          <w:rFonts w:ascii="Arial" w:hAnsi="Arial" w:cs="Arial"/>
          <w:bCs/>
          <w:sz w:val="22"/>
          <w:szCs w:val="22"/>
          <w:lang w:val="fr-FR"/>
        </w:rPr>
        <w:t>’</w:t>
      </w:r>
      <w:r w:rsidRPr="00911EB1">
        <w:rPr>
          <w:rFonts w:ascii="Arial" w:hAnsi="Arial" w:cs="Arial"/>
          <w:bCs/>
          <w:sz w:val="22"/>
          <w:szCs w:val="22"/>
          <w:lang w:val="fr-FR"/>
        </w:rPr>
        <w:t>inscription d</w:t>
      </w:r>
      <w:r w:rsidR="008E532B">
        <w:rPr>
          <w:rFonts w:ascii="Arial" w:hAnsi="Arial" w:cs="Arial"/>
          <w:bCs/>
          <w:sz w:val="22"/>
          <w:szCs w:val="22"/>
          <w:lang w:val="fr-FR"/>
        </w:rPr>
        <w:t>’</w:t>
      </w:r>
      <w:r w:rsidRPr="00911EB1">
        <w:rPr>
          <w:rFonts w:ascii="Arial" w:hAnsi="Arial" w:cs="Arial"/>
          <w:bCs/>
          <w:sz w:val="22"/>
          <w:szCs w:val="22"/>
          <w:lang w:val="fr-FR"/>
        </w:rPr>
        <w:t>éléments</w:t>
      </w:r>
      <w:r>
        <w:rPr>
          <w:rFonts w:ascii="Arial" w:hAnsi="Arial" w:cs="Arial"/>
          <w:bCs/>
          <w:sz w:val="22"/>
          <w:szCs w:val="22"/>
          <w:lang w:val="fr-FR"/>
        </w:rPr>
        <w:t xml:space="preserve"> sur la base de circonstances </w:t>
      </w:r>
      <w:r w:rsidRPr="00911EB1">
        <w:rPr>
          <w:rFonts w:ascii="Arial" w:hAnsi="Arial" w:cs="Arial"/>
          <w:bCs/>
          <w:sz w:val="22"/>
          <w:szCs w:val="22"/>
          <w:lang w:val="fr-FR"/>
        </w:rPr>
        <w:t>extrême</w:t>
      </w:r>
      <w:r>
        <w:rPr>
          <w:rFonts w:ascii="Arial" w:hAnsi="Arial" w:cs="Arial"/>
          <w:bCs/>
          <w:sz w:val="22"/>
          <w:szCs w:val="22"/>
          <w:lang w:val="fr-FR"/>
        </w:rPr>
        <w:t>s</w:t>
      </w:r>
      <w:r w:rsidRPr="00911EB1">
        <w:rPr>
          <w:rFonts w:ascii="Arial" w:hAnsi="Arial" w:cs="Arial"/>
          <w:bCs/>
          <w:sz w:val="22"/>
          <w:szCs w:val="22"/>
          <w:lang w:val="fr-FR"/>
        </w:rPr>
        <w:t>. En outre, la question de savoir si l</w:t>
      </w:r>
      <w:r w:rsidR="008E532B">
        <w:rPr>
          <w:rFonts w:ascii="Arial" w:hAnsi="Arial" w:cs="Arial"/>
          <w:bCs/>
          <w:sz w:val="22"/>
          <w:szCs w:val="22"/>
          <w:lang w:val="fr-FR"/>
        </w:rPr>
        <w:t>’</w:t>
      </w:r>
      <w:r w:rsidRPr="00911EB1">
        <w:rPr>
          <w:rFonts w:ascii="Arial" w:hAnsi="Arial" w:cs="Arial"/>
          <w:bCs/>
          <w:sz w:val="22"/>
          <w:szCs w:val="22"/>
          <w:lang w:val="fr-FR"/>
        </w:rPr>
        <w:t xml:space="preserve">Assemblée </w:t>
      </w:r>
      <w:r>
        <w:rPr>
          <w:rFonts w:ascii="Arial" w:hAnsi="Arial" w:cs="Arial"/>
          <w:bCs/>
          <w:sz w:val="22"/>
          <w:szCs w:val="22"/>
          <w:lang w:val="fr-FR"/>
        </w:rPr>
        <w:t>est</w:t>
      </w:r>
      <w:r w:rsidRPr="00911EB1">
        <w:rPr>
          <w:rFonts w:ascii="Arial" w:hAnsi="Arial" w:cs="Arial"/>
          <w:bCs/>
          <w:sz w:val="22"/>
          <w:szCs w:val="22"/>
          <w:lang w:val="fr-FR"/>
        </w:rPr>
        <w:t xml:space="preserve"> compétente pour entériner les actes du Comité a</w:t>
      </w:r>
      <w:r>
        <w:rPr>
          <w:rFonts w:ascii="Arial" w:hAnsi="Arial" w:cs="Arial"/>
          <w:bCs/>
          <w:sz w:val="22"/>
          <w:szCs w:val="22"/>
          <w:lang w:val="fr-FR"/>
        </w:rPr>
        <w:t>vait</w:t>
      </w:r>
      <w:r w:rsidRPr="00911EB1">
        <w:rPr>
          <w:rFonts w:ascii="Arial" w:hAnsi="Arial" w:cs="Arial"/>
          <w:bCs/>
          <w:sz w:val="22"/>
          <w:szCs w:val="22"/>
          <w:lang w:val="fr-FR"/>
        </w:rPr>
        <w:t xml:space="preserve"> fait l</w:t>
      </w:r>
      <w:r w:rsidR="008E532B">
        <w:rPr>
          <w:rFonts w:ascii="Arial" w:hAnsi="Arial" w:cs="Arial"/>
          <w:bCs/>
          <w:sz w:val="22"/>
          <w:szCs w:val="22"/>
          <w:lang w:val="fr-FR"/>
        </w:rPr>
        <w:t>’</w:t>
      </w:r>
      <w:r w:rsidRPr="00911EB1">
        <w:rPr>
          <w:rFonts w:ascii="Arial" w:hAnsi="Arial" w:cs="Arial"/>
          <w:bCs/>
          <w:sz w:val="22"/>
          <w:szCs w:val="22"/>
          <w:lang w:val="fr-FR"/>
        </w:rPr>
        <w:t>objet de nombreu</w:t>
      </w:r>
      <w:r>
        <w:rPr>
          <w:rFonts w:ascii="Arial" w:hAnsi="Arial" w:cs="Arial"/>
          <w:bCs/>
          <w:sz w:val="22"/>
          <w:szCs w:val="22"/>
          <w:lang w:val="fr-FR"/>
        </w:rPr>
        <w:t>x débats</w:t>
      </w:r>
      <w:r w:rsidRPr="00911EB1">
        <w:rPr>
          <w:rFonts w:ascii="Arial" w:hAnsi="Arial" w:cs="Arial"/>
          <w:bCs/>
          <w:sz w:val="22"/>
          <w:szCs w:val="22"/>
          <w:lang w:val="fr-FR"/>
        </w:rPr>
        <w:t xml:space="preserve">. </w:t>
      </w:r>
      <w:r>
        <w:rPr>
          <w:rFonts w:ascii="Arial" w:hAnsi="Arial" w:cs="Arial"/>
          <w:bCs/>
          <w:sz w:val="22"/>
          <w:szCs w:val="22"/>
          <w:lang w:val="fr-FR"/>
        </w:rPr>
        <w:t>À ce sujet</w:t>
      </w:r>
      <w:r w:rsidRPr="00911EB1">
        <w:rPr>
          <w:rFonts w:ascii="Arial" w:hAnsi="Arial" w:cs="Arial"/>
          <w:bCs/>
          <w:sz w:val="22"/>
          <w:szCs w:val="22"/>
          <w:lang w:val="fr-FR"/>
        </w:rPr>
        <w:t xml:space="preserve">, elle a </w:t>
      </w:r>
      <w:r>
        <w:rPr>
          <w:rFonts w:ascii="Arial" w:hAnsi="Arial" w:cs="Arial"/>
          <w:bCs/>
          <w:sz w:val="22"/>
          <w:szCs w:val="22"/>
          <w:lang w:val="fr-FR"/>
        </w:rPr>
        <w:t xml:space="preserve">exprimé le </w:t>
      </w:r>
      <w:r w:rsidRPr="00911EB1">
        <w:rPr>
          <w:rFonts w:ascii="Arial" w:hAnsi="Arial" w:cs="Arial"/>
          <w:bCs/>
          <w:sz w:val="22"/>
          <w:szCs w:val="22"/>
          <w:lang w:val="fr-FR"/>
        </w:rPr>
        <w:t>souhait</w:t>
      </w:r>
      <w:r>
        <w:rPr>
          <w:rFonts w:ascii="Arial" w:hAnsi="Arial" w:cs="Arial"/>
          <w:bCs/>
          <w:sz w:val="22"/>
          <w:szCs w:val="22"/>
          <w:lang w:val="fr-FR"/>
        </w:rPr>
        <w:t xml:space="preserve"> de</w:t>
      </w:r>
      <w:r w:rsidRPr="00911EB1">
        <w:rPr>
          <w:rFonts w:ascii="Arial" w:hAnsi="Arial" w:cs="Arial"/>
          <w:bCs/>
          <w:sz w:val="22"/>
          <w:szCs w:val="22"/>
          <w:lang w:val="fr-FR"/>
        </w:rPr>
        <w:t xml:space="preserve"> voir l</w:t>
      </w:r>
      <w:r w:rsidR="008E532B">
        <w:rPr>
          <w:rFonts w:ascii="Arial" w:hAnsi="Arial" w:cs="Arial"/>
          <w:bCs/>
          <w:sz w:val="22"/>
          <w:szCs w:val="22"/>
          <w:lang w:val="fr-FR"/>
        </w:rPr>
        <w:t>’</w:t>
      </w:r>
      <w:r w:rsidRPr="00911EB1">
        <w:rPr>
          <w:rFonts w:ascii="Arial" w:hAnsi="Arial" w:cs="Arial"/>
          <w:bCs/>
          <w:sz w:val="22"/>
          <w:szCs w:val="22"/>
          <w:lang w:val="fr-FR"/>
        </w:rPr>
        <w:t>amendement de la Grenade.</w:t>
      </w:r>
    </w:p>
    <w:p w14:paraId="7775382F" w14:textId="7AFD155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133DB">
        <w:rPr>
          <w:rFonts w:ascii="Arial" w:hAnsi="Arial" w:cs="Arial"/>
          <w:bCs/>
          <w:sz w:val="22"/>
          <w:szCs w:val="22"/>
          <w:lang w:val="fr-FR"/>
        </w:rPr>
        <w:t xml:space="preserve">La délégation de la </w:t>
      </w:r>
      <w:r w:rsidRPr="005133DB">
        <w:rPr>
          <w:rFonts w:ascii="Arial" w:hAnsi="Arial" w:cs="Arial"/>
          <w:b/>
          <w:sz w:val="22"/>
          <w:szCs w:val="22"/>
          <w:lang w:val="fr-FR"/>
        </w:rPr>
        <w:t>Palestine</w:t>
      </w:r>
      <w:r w:rsidRPr="005133DB">
        <w:rPr>
          <w:rFonts w:ascii="Arial" w:hAnsi="Arial" w:cs="Arial"/>
          <w:bCs/>
          <w:sz w:val="22"/>
          <w:szCs w:val="22"/>
          <w:lang w:val="fr-FR"/>
        </w:rPr>
        <w:t xml:space="preserve"> a félicité Haïti pour l</w:t>
      </w:r>
      <w:r w:rsidR="008E532B">
        <w:rPr>
          <w:rFonts w:ascii="Arial" w:hAnsi="Arial" w:cs="Arial"/>
          <w:bCs/>
          <w:sz w:val="22"/>
          <w:szCs w:val="22"/>
          <w:lang w:val="fr-FR"/>
        </w:rPr>
        <w:t>’</w:t>
      </w:r>
      <w:r w:rsidRPr="005133DB">
        <w:rPr>
          <w:rFonts w:ascii="Arial" w:hAnsi="Arial" w:cs="Arial"/>
          <w:bCs/>
          <w:sz w:val="22"/>
          <w:szCs w:val="22"/>
          <w:lang w:val="fr-FR"/>
        </w:rPr>
        <w:t>inscription de la soupe</w:t>
      </w:r>
      <w:r>
        <w:rPr>
          <w:rFonts w:ascii="Arial" w:hAnsi="Arial" w:cs="Arial"/>
          <w:bCs/>
          <w:sz w:val="22"/>
          <w:szCs w:val="22"/>
          <w:lang w:val="fr-FR"/>
        </w:rPr>
        <w:t xml:space="preserve"> au giraumon</w:t>
      </w:r>
      <w:r w:rsidRPr="005133DB">
        <w:rPr>
          <w:rFonts w:ascii="Arial" w:hAnsi="Arial" w:cs="Arial"/>
          <w:bCs/>
          <w:sz w:val="22"/>
          <w:szCs w:val="22"/>
          <w:lang w:val="fr-FR"/>
        </w:rPr>
        <w:t>. Elle a souligné les remarques f</w:t>
      </w:r>
      <w:r>
        <w:rPr>
          <w:rFonts w:ascii="Arial" w:hAnsi="Arial" w:cs="Arial"/>
          <w:bCs/>
          <w:sz w:val="22"/>
          <w:szCs w:val="22"/>
          <w:lang w:val="fr-FR"/>
        </w:rPr>
        <w:t>ormulées</w:t>
      </w:r>
      <w:r w:rsidRPr="005133DB">
        <w:rPr>
          <w:rFonts w:ascii="Arial" w:hAnsi="Arial" w:cs="Arial"/>
          <w:bCs/>
          <w:sz w:val="22"/>
          <w:szCs w:val="22"/>
          <w:lang w:val="fr-FR"/>
        </w:rPr>
        <w:t xml:space="preserve"> par la France et le Japon selon lesquelles il n</w:t>
      </w:r>
      <w:r w:rsidR="008E532B">
        <w:rPr>
          <w:rFonts w:ascii="Arial" w:hAnsi="Arial" w:cs="Arial"/>
          <w:bCs/>
          <w:sz w:val="22"/>
          <w:szCs w:val="22"/>
          <w:lang w:val="fr-FR"/>
        </w:rPr>
        <w:t>’</w:t>
      </w:r>
      <w:r w:rsidRPr="005133DB">
        <w:rPr>
          <w:rFonts w:ascii="Arial" w:hAnsi="Arial" w:cs="Arial"/>
          <w:bCs/>
          <w:sz w:val="22"/>
          <w:szCs w:val="22"/>
          <w:lang w:val="fr-FR"/>
        </w:rPr>
        <w:t>existe pas de texte juridique pour les cas d</w:t>
      </w:r>
      <w:r w:rsidR="008E532B">
        <w:rPr>
          <w:rFonts w:ascii="Arial" w:hAnsi="Arial" w:cs="Arial"/>
          <w:bCs/>
          <w:sz w:val="22"/>
          <w:szCs w:val="22"/>
          <w:lang w:val="fr-FR"/>
        </w:rPr>
        <w:t>’</w:t>
      </w:r>
      <w:r w:rsidRPr="005133DB">
        <w:rPr>
          <w:rFonts w:ascii="Arial" w:hAnsi="Arial" w:cs="Arial"/>
          <w:bCs/>
          <w:sz w:val="22"/>
          <w:szCs w:val="22"/>
          <w:lang w:val="fr-FR"/>
        </w:rPr>
        <w:t>urgence, comme</w:t>
      </w:r>
      <w:r>
        <w:rPr>
          <w:rFonts w:ascii="Arial" w:hAnsi="Arial" w:cs="Arial"/>
          <w:bCs/>
          <w:sz w:val="22"/>
          <w:szCs w:val="22"/>
          <w:lang w:val="fr-FR"/>
        </w:rPr>
        <w:t xml:space="preserve"> </w:t>
      </w:r>
      <w:r w:rsidRPr="005133DB">
        <w:rPr>
          <w:rFonts w:ascii="Arial" w:hAnsi="Arial" w:cs="Arial"/>
          <w:bCs/>
          <w:sz w:val="22"/>
          <w:szCs w:val="22"/>
          <w:lang w:val="fr-FR"/>
        </w:rPr>
        <w:t>le groupe de travail</w:t>
      </w:r>
      <w:r>
        <w:rPr>
          <w:rFonts w:ascii="Arial" w:hAnsi="Arial" w:cs="Arial"/>
          <w:bCs/>
          <w:sz w:val="22"/>
          <w:szCs w:val="22"/>
          <w:lang w:val="fr-FR"/>
        </w:rPr>
        <w:t xml:space="preserve"> en avait débattu</w:t>
      </w:r>
      <w:r w:rsidRPr="005133DB">
        <w:rPr>
          <w:rFonts w:ascii="Arial" w:hAnsi="Arial" w:cs="Arial"/>
          <w:bCs/>
          <w:sz w:val="22"/>
          <w:szCs w:val="22"/>
          <w:lang w:val="fr-FR"/>
        </w:rPr>
        <w:t>. Le Comité a</w:t>
      </w:r>
      <w:r>
        <w:rPr>
          <w:rFonts w:ascii="Arial" w:hAnsi="Arial" w:cs="Arial"/>
          <w:bCs/>
          <w:sz w:val="22"/>
          <w:szCs w:val="22"/>
          <w:lang w:val="fr-FR"/>
        </w:rPr>
        <w:t>vait</w:t>
      </w:r>
      <w:r w:rsidRPr="005133DB">
        <w:rPr>
          <w:rFonts w:ascii="Arial" w:hAnsi="Arial" w:cs="Arial"/>
          <w:bCs/>
          <w:sz w:val="22"/>
          <w:szCs w:val="22"/>
          <w:lang w:val="fr-FR"/>
        </w:rPr>
        <w:t xml:space="preserve"> pris la </w:t>
      </w:r>
      <w:r>
        <w:rPr>
          <w:rFonts w:ascii="Arial" w:hAnsi="Arial" w:cs="Arial"/>
          <w:bCs/>
          <w:sz w:val="22"/>
          <w:szCs w:val="22"/>
          <w:lang w:val="fr-FR"/>
        </w:rPr>
        <w:t xml:space="preserve">nécessaire </w:t>
      </w:r>
      <w:r w:rsidRPr="005133DB">
        <w:rPr>
          <w:rFonts w:ascii="Arial" w:hAnsi="Arial" w:cs="Arial"/>
          <w:bCs/>
          <w:sz w:val="22"/>
          <w:szCs w:val="22"/>
          <w:lang w:val="fr-FR"/>
        </w:rPr>
        <w:t>décision d</w:t>
      </w:r>
      <w:r w:rsidR="008E532B">
        <w:rPr>
          <w:rFonts w:ascii="Arial" w:hAnsi="Arial" w:cs="Arial"/>
          <w:bCs/>
          <w:sz w:val="22"/>
          <w:szCs w:val="22"/>
          <w:lang w:val="fr-FR"/>
        </w:rPr>
        <w:t>’</w:t>
      </w:r>
      <w:r w:rsidRPr="005133DB">
        <w:rPr>
          <w:rFonts w:ascii="Arial" w:hAnsi="Arial" w:cs="Arial"/>
          <w:bCs/>
          <w:sz w:val="22"/>
          <w:szCs w:val="22"/>
          <w:lang w:val="fr-FR"/>
        </w:rPr>
        <w:t xml:space="preserve">inscrire la soupe </w:t>
      </w:r>
      <w:r>
        <w:rPr>
          <w:rFonts w:ascii="Arial" w:hAnsi="Arial" w:cs="Arial"/>
          <w:bCs/>
          <w:sz w:val="22"/>
          <w:szCs w:val="22"/>
          <w:lang w:val="fr-FR"/>
        </w:rPr>
        <w:t xml:space="preserve">au giraumon car la situation était </w:t>
      </w:r>
      <w:r w:rsidRPr="005133DB">
        <w:rPr>
          <w:rFonts w:ascii="Arial" w:hAnsi="Arial" w:cs="Arial"/>
          <w:bCs/>
          <w:sz w:val="22"/>
          <w:szCs w:val="22"/>
          <w:lang w:val="fr-FR"/>
        </w:rPr>
        <w:t>urgen</w:t>
      </w:r>
      <w:r>
        <w:rPr>
          <w:rFonts w:ascii="Arial" w:hAnsi="Arial" w:cs="Arial"/>
          <w:bCs/>
          <w:sz w:val="22"/>
          <w:szCs w:val="22"/>
          <w:lang w:val="fr-FR"/>
        </w:rPr>
        <w:t>te</w:t>
      </w:r>
      <w:r w:rsidRPr="005133DB">
        <w:rPr>
          <w:rFonts w:ascii="Arial" w:hAnsi="Arial" w:cs="Arial"/>
          <w:bCs/>
          <w:sz w:val="22"/>
          <w:szCs w:val="22"/>
          <w:lang w:val="fr-FR"/>
        </w:rPr>
        <w:t>. Une session extraordinaire avait également été convoquée pour l</w:t>
      </w:r>
      <w:r w:rsidR="008E532B">
        <w:rPr>
          <w:rFonts w:ascii="Arial" w:hAnsi="Arial" w:cs="Arial"/>
          <w:bCs/>
          <w:sz w:val="22"/>
          <w:szCs w:val="22"/>
          <w:lang w:val="fr-FR"/>
        </w:rPr>
        <w:t>’</w:t>
      </w:r>
      <w:r w:rsidRPr="005133DB">
        <w:rPr>
          <w:rFonts w:ascii="Arial" w:hAnsi="Arial" w:cs="Arial"/>
          <w:bCs/>
          <w:sz w:val="22"/>
          <w:szCs w:val="22"/>
          <w:lang w:val="fr-FR"/>
        </w:rPr>
        <w:t xml:space="preserve">Ukraine dans un cas similaire. Ces cas </w:t>
      </w:r>
      <w:r>
        <w:rPr>
          <w:rFonts w:ascii="Arial" w:hAnsi="Arial" w:cs="Arial"/>
          <w:bCs/>
          <w:sz w:val="22"/>
          <w:szCs w:val="22"/>
          <w:lang w:val="fr-FR"/>
        </w:rPr>
        <w:t>avaient</w:t>
      </w:r>
      <w:r w:rsidRPr="005133DB">
        <w:rPr>
          <w:rFonts w:ascii="Arial" w:hAnsi="Arial" w:cs="Arial"/>
          <w:bCs/>
          <w:sz w:val="22"/>
          <w:szCs w:val="22"/>
          <w:lang w:val="fr-FR"/>
        </w:rPr>
        <w:t xml:space="preserve"> été inscrits à titre exceptionnel</w:t>
      </w:r>
      <w:r>
        <w:rPr>
          <w:rFonts w:ascii="Arial" w:hAnsi="Arial" w:cs="Arial"/>
          <w:bCs/>
          <w:sz w:val="22"/>
          <w:szCs w:val="22"/>
          <w:lang w:val="fr-FR"/>
        </w:rPr>
        <w:t>,</w:t>
      </w:r>
      <w:r w:rsidRPr="005133DB">
        <w:rPr>
          <w:rFonts w:ascii="Arial" w:hAnsi="Arial" w:cs="Arial"/>
          <w:bCs/>
          <w:sz w:val="22"/>
          <w:szCs w:val="22"/>
          <w:lang w:val="fr-FR"/>
        </w:rPr>
        <w:t xml:space="preserve"> et la délégation a félicité le Comité d</w:t>
      </w:r>
      <w:r w:rsidR="008E532B">
        <w:rPr>
          <w:rFonts w:ascii="Arial" w:hAnsi="Arial" w:cs="Arial"/>
          <w:bCs/>
          <w:sz w:val="22"/>
          <w:szCs w:val="22"/>
          <w:lang w:val="fr-FR"/>
        </w:rPr>
        <w:t>’</w:t>
      </w:r>
      <w:r w:rsidRPr="005133DB">
        <w:rPr>
          <w:rFonts w:ascii="Arial" w:hAnsi="Arial" w:cs="Arial"/>
          <w:bCs/>
          <w:sz w:val="22"/>
          <w:szCs w:val="22"/>
          <w:lang w:val="fr-FR"/>
        </w:rPr>
        <w:t>être parvenu à un accord sur ces éléments. Néanmoins, pour l</w:t>
      </w:r>
      <w:r w:rsidR="008E532B">
        <w:rPr>
          <w:rFonts w:ascii="Arial" w:hAnsi="Arial" w:cs="Arial"/>
          <w:bCs/>
          <w:sz w:val="22"/>
          <w:szCs w:val="22"/>
          <w:lang w:val="fr-FR"/>
        </w:rPr>
        <w:t>’</w:t>
      </w:r>
      <w:r w:rsidRPr="005133DB">
        <w:rPr>
          <w:rFonts w:ascii="Arial" w:hAnsi="Arial" w:cs="Arial"/>
          <w:bCs/>
          <w:sz w:val="22"/>
          <w:szCs w:val="22"/>
          <w:lang w:val="fr-FR"/>
        </w:rPr>
        <w:t>avenir, cela devrait servir de leçon. La Convention d</w:t>
      </w:r>
      <w:r>
        <w:rPr>
          <w:rFonts w:ascii="Arial" w:hAnsi="Arial" w:cs="Arial"/>
          <w:bCs/>
          <w:sz w:val="22"/>
          <w:szCs w:val="22"/>
          <w:lang w:val="fr-FR"/>
        </w:rPr>
        <w:t>evait</w:t>
      </w:r>
      <w:r w:rsidRPr="005133DB">
        <w:rPr>
          <w:rFonts w:ascii="Arial" w:hAnsi="Arial" w:cs="Arial"/>
          <w:bCs/>
          <w:sz w:val="22"/>
          <w:szCs w:val="22"/>
          <w:lang w:val="fr-FR"/>
        </w:rPr>
        <w:t xml:space="preserve"> disposer d</w:t>
      </w:r>
      <w:r w:rsidR="008E532B">
        <w:rPr>
          <w:rFonts w:ascii="Arial" w:hAnsi="Arial" w:cs="Arial"/>
          <w:bCs/>
          <w:sz w:val="22"/>
          <w:szCs w:val="22"/>
          <w:lang w:val="fr-FR"/>
        </w:rPr>
        <w:t>’</w:t>
      </w:r>
      <w:r w:rsidRPr="005133DB">
        <w:rPr>
          <w:rFonts w:ascii="Arial" w:hAnsi="Arial" w:cs="Arial"/>
          <w:bCs/>
          <w:sz w:val="22"/>
          <w:szCs w:val="22"/>
          <w:lang w:val="fr-FR"/>
        </w:rPr>
        <w:t>un texte juridique pour les cas d</w:t>
      </w:r>
      <w:r w:rsidR="008E532B">
        <w:rPr>
          <w:rFonts w:ascii="Arial" w:hAnsi="Arial" w:cs="Arial"/>
          <w:bCs/>
          <w:sz w:val="22"/>
          <w:szCs w:val="22"/>
          <w:lang w:val="fr-FR"/>
        </w:rPr>
        <w:t>’</w:t>
      </w:r>
      <w:r w:rsidRPr="005133DB">
        <w:rPr>
          <w:rFonts w:ascii="Arial" w:hAnsi="Arial" w:cs="Arial"/>
          <w:bCs/>
          <w:sz w:val="22"/>
          <w:szCs w:val="22"/>
          <w:lang w:val="fr-FR"/>
        </w:rPr>
        <w:t>urgence plutôt que de traiter ces cas comme exceptionnels. L</w:t>
      </w:r>
      <w:r w:rsidR="008E532B">
        <w:rPr>
          <w:rFonts w:ascii="Arial" w:hAnsi="Arial" w:cs="Arial"/>
          <w:bCs/>
          <w:sz w:val="22"/>
          <w:szCs w:val="22"/>
          <w:lang w:val="fr-FR"/>
        </w:rPr>
        <w:t>’</w:t>
      </w:r>
      <w:r w:rsidRPr="005133DB">
        <w:rPr>
          <w:rFonts w:ascii="Arial" w:hAnsi="Arial" w:cs="Arial"/>
          <w:bCs/>
          <w:sz w:val="22"/>
          <w:szCs w:val="22"/>
          <w:lang w:val="fr-FR"/>
        </w:rPr>
        <w:t>Assemblée pourrait s</w:t>
      </w:r>
      <w:r w:rsidR="008E532B">
        <w:rPr>
          <w:rFonts w:ascii="Arial" w:hAnsi="Arial" w:cs="Arial"/>
          <w:bCs/>
          <w:sz w:val="22"/>
          <w:szCs w:val="22"/>
          <w:lang w:val="fr-FR"/>
        </w:rPr>
        <w:t>’</w:t>
      </w:r>
      <w:r w:rsidRPr="005133DB">
        <w:rPr>
          <w:rFonts w:ascii="Arial" w:hAnsi="Arial" w:cs="Arial"/>
          <w:bCs/>
          <w:sz w:val="22"/>
          <w:szCs w:val="22"/>
          <w:lang w:val="fr-FR"/>
        </w:rPr>
        <w:t xml:space="preserve">inspirer de la Convention de 1972 </w:t>
      </w:r>
      <w:r>
        <w:rPr>
          <w:rFonts w:ascii="Arial" w:hAnsi="Arial" w:cs="Arial"/>
          <w:bCs/>
          <w:sz w:val="22"/>
          <w:szCs w:val="22"/>
          <w:lang w:val="fr-FR"/>
        </w:rPr>
        <w:t>qui prévoit</w:t>
      </w:r>
      <w:r w:rsidRPr="005133DB">
        <w:rPr>
          <w:rFonts w:ascii="Arial" w:hAnsi="Arial" w:cs="Arial"/>
          <w:bCs/>
          <w:sz w:val="22"/>
          <w:szCs w:val="22"/>
          <w:lang w:val="fr-FR"/>
        </w:rPr>
        <w:t xml:space="preserve"> une procédure d</w:t>
      </w:r>
      <w:r w:rsidR="008E532B">
        <w:rPr>
          <w:rFonts w:ascii="Arial" w:hAnsi="Arial" w:cs="Arial"/>
          <w:bCs/>
          <w:sz w:val="22"/>
          <w:szCs w:val="22"/>
          <w:lang w:val="fr-FR"/>
        </w:rPr>
        <w:t>’</w:t>
      </w:r>
      <w:r w:rsidRPr="005133DB">
        <w:rPr>
          <w:rFonts w:ascii="Arial" w:hAnsi="Arial" w:cs="Arial"/>
          <w:bCs/>
          <w:sz w:val="22"/>
          <w:szCs w:val="22"/>
          <w:lang w:val="fr-FR"/>
        </w:rPr>
        <w:t xml:space="preserve">urgence spéciale </w:t>
      </w:r>
      <w:r>
        <w:rPr>
          <w:rFonts w:ascii="Arial" w:hAnsi="Arial" w:cs="Arial"/>
          <w:bCs/>
          <w:sz w:val="22"/>
          <w:szCs w:val="22"/>
          <w:lang w:val="fr-FR"/>
        </w:rPr>
        <w:t>pour</w:t>
      </w:r>
      <w:r w:rsidRPr="005133DB">
        <w:rPr>
          <w:rFonts w:ascii="Arial" w:hAnsi="Arial" w:cs="Arial"/>
          <w:bCs/>
          <w:sz w:val="22"/>
          <w:szCs w:val="22"/>
          <w:lang w:val="fr-FR"/>
        </w:rPr>
        <w:t xml:space="preserve"> laquelle un calendrier différent est appliqué. Il a été demandé au Secrétariat d</w:t>
      </w:r>
      <w:r w:rsidR="008E532B">
        <w:rPr>
          <w:rFonts w:ascii="Arial" w:hAnsi="Arial" w:cs="Arial"/>
          <w:bCs/>
          <w:sz w:val="22"/>
          <w:szCs w:val="22"/>
          <w:lang w:val="fr-FR"/>
        </w:rPr>
        <w:t>’</w:t>
      </w:r>
      <w:r w:rsidRPr="005133DB">
        <w:rPr>
          <w:rFonts w:ascii="Arial" w:hAnsi="Arial" w:cs="Arial"/>
          <w:bCs/>
          <w:sz w:val="22"/>
          <w:szCs w:val="22"/>
          <w:lang w:val="fr-FR"/>
        </w:rPr>
        <w:t>e</w:t>
      </w:r>
      <w:r>
        <w:rPr>
          <w:rFonts w:ascii="Arial" w:hAnsi="Arial" w:cs="Arial"/>
          <w:bCs/>
          <w:sz w:val="22"/>
          <w:szCs w:val="22"/>
          <w:lang w:val="fr-FR"/>
        </w:rPr>
        <w:t>n</w:t>
      </w:r>
      <w:r w:rsidRPr="005133DB">
        <w:rPr>
          <w:rFonts w:ascii="Arial" w:hAnsi="Arial" w:cs="Arial"/>
          <w:bCs/>
          <w:sz w:val="22"/>
          <w:szCs w:val="22"/>
          <w:lang w:val="fr-FR"/>
        </w:rPr>
        <w:t xml:space="preserve"> prendre note et de modifier les </w:t>
      </w:r>
      <w:r>
        <w:rPr>
          <w:rFonts w:ascii="Arial" w:hAnsi="Arial" w:cs="Arial"/>
          <w:bCs/>
          <w:sz w:val="22"/>
          <w:szCs w:val="22"/>
          <w:lang w:val="fr-FR"/>
        </w:rPr>
        <w:t>D</w:t>
      </w:r>
      <w:r w:rsidRPr="005133DB">
        <w:rPr>
          <w:rFonts w:ascii="Arial" w:hAnsi="Arial" w:cs="Arial"/>
          <w:bCs/>
          <w:sz w:val="22"/>
          <w:szCs w:val="22"/>
          <w:lang w:val="fr-FR"/>
        </w:rPr>
        <w:t>irectives opérationnelles à l</w:t>
      </w:r>
      <w:r w:rsidR="008E532B">
        <w:rPr>
          <w:rFonts w:ascii="Arial" w:hAnsi="Arial" w:cs="Arial"/>
          <w:bCs/>
          <w:sz w:val="22"/>
          <w:szCs w:val="22"/>
          <w:lang w:val="fr-FR"/>
        </w:rPr>
        <w:t>’</w:t>
      </w:r>
      <w:r w:rsidRPr="005133DB">
        <w:rPr>
          <w:rFonts w:ascii="Arial" w:hAnsi="Arial" w:cs="Arial"/>
          <w:bCs/>
          <w:sz w:val="22"/>
          <w:szCs w:val="22"/>
          <w:lang w:val="fr-FR"/>
        </w:rPr>
        <w:t xml:space="preserve">avenir pour </w:t>
      </w:r>
      <w:r>
        <w:rPr>
          <w:rFonts w:ascii="Arial" w:hAnsi="Arial" w:cs="Arial"/>
          <w:bCs/>
          <w:sz w:val="22"/>
          <w:szCs w:val="22"/>
          <w:lang w:val="fr-FR"/>
        </w:rPr>
        <w:t>qu</w:t>
      </w:r>
      <w:r w:rsidR="008E532B">
        <w:rPr>
          <w:rFonts w:ascii="Arial" w:hAnsi="Arial" w:cs="Arial"/>
          <w:bCs/>
          <w:sz w:val="22"/>
          <w:szCs w:val="22"/>
          <w:lang w:val="fr-FR"/>
        </w:rPr>
        <w:t>’</w:t>
      </w:r>
      <w:r>
        <w:rPr>
          <w:rFonts w:ascii="Arial" w:hAnsi="Arial" w:cs="Arial"/>
          <w:bCs/>
          <w:sz w:val="22"/>
          <w:szCs w:val="22"/>
          <w:lang w:val="fr-FR"/>
        </w:rPr>
        <w:t xml:space="preserve">existe </w:t>
      </w:r>
      <w:r w:rsidRPr="005133DB">
        <w:rPr>
          <w:rFonts w:ascii="Arial" w:hAnsi="Arial" w:cs="Arial"/>
          <w:bCs/>
          <w:sz w:val="22"/>
          <w:szCs w:val="22"/>
          <w:lang w:val="fr-FR"/>
        </w:rPr>
        <w:t>une procédure d</w:t>
      </w:r>
      <w:r w:rsidR="008E532B">
        <w:rPr>
          <w:rFonts w:ascii="Arial" w:hAnsi="Arial" w:cs="Arial"/>
          <w:bCs/>
          <w:sz w:val="22"/>
          <w:szCs w:val="22"/>
          <w:lang w:val="fr-FR"/>
        </w:rPr>
        <w:t>’</w:t>
      </w:r>
      <w:r w:rsidRPr="005133DB">
        <w:rPr>
          <w:rFonts w:ascii="Arial" w:hAnsi="Arial" w:cs="Arial"/>
          <w:bCs/>
          <w:sz w:val="22"/>
          <w:szCs w:val="22"/>
          <w:lang w:val="fr-FR"/>
        </w:rPr>
        <w:t>urgence dans ces cas spéciaux.</w:t>
      </w:r>
    </w:p>
    <w:p w14:paraId="66F96C44" w14:textId="55C5C1D6" w:rsidR="00D9653F" w:rsidRPr="00AB22D8"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93A67">
        <w:rPr>
          <w:rFonts w:ascii="Arial" w:hAnsi="Arial" w:cs="Arial"/>
          <w:bCs/>
          <w:sz w:val="22"/>
          <w:szCs w:val="22"/>
          <w:lang w:val="fr-FR"/>
        </w:rPr>
        <w:t xml:space="preserve">La délégation du </w:t>
      </w:r>
      <w:r w:rsidRPr="00A93A67">
        <w:rPr>
          <w:rFonts w:ascii="Arial" w:hAnsi="Arial" w:cs="Arial"/>
          <w:b/>
          <w:sz w:val="22"/>
          <w:szCs w:val="22"/>
          <w:lang w:val="fr-FR"/>
        </w:rPr>
        <w:t>Panama</w:t>
      </w:r>
      <w:r w:rsidRPr="00A93A67">
        <w:rPr>
          <w:rFonts w:ascii="Arial" w:hAnsi="Arial" w:cs="Arial"/>
          <w:bCs/>
          <w:sz w:val="22"/>
          <w:szCs w:val="22"/>
          <w:lang w:val="fr-FR"/>
        </w:rPr>
        <w:t xml:space="preserve"> s</w:t>
      </w:r>
      <w:r w:rsidR="008E532B">
        <w:rPr>
          <w:rFonts w:ascii="Arial" w:hAnsi="Arial" w:cs="Arial"/>
          <w:bCs/>
          <w:sz w:val="22"/>
          <w:szCs w:val="22"/>
          <w:lang w:val="fr-FR"/>
        </w:rPr>
        <w:t>’</w:t>
      </w:r>
      <w:r w:rsidRPr="00A93A67">
        <w:rPr>
          <w:rFonts w:ascii="Arial" w:hAnsi="Arial" w:cs="Arial"/>
          <w:bCs/>
          <w:sz w:val="22"/>
          <w:szCs w:val="22"/>
          <w:lang w:val="fr-FR"/>
        </w:rPr>
        <w:t>est associée à la célébration de l</w:t>
      </w:r>
      <w:r w:rsidR="008E532B">
        <w:rPr>
          <w:rFonts w:ascii="Arial" w:hAnsi="Arial" w:cs="Arial"/>
          <w:bCs/>
          <w:sz w:val="22"/>
          <w:szCs w:val="22"/>
          <w:lang w:val="fr-FR"/>
        </w:rPr>
        <w:t>’</w:t>
      </w:r>
      <w:r w:rsidRPr="00A93A67">
        <w:rPr>
          <w:rFonts w:ascii="Arial" w:hAnsi="Arial" w:cs="Arial"/>
          <w:bCs/>
          <w:sz w:val="22"/>
          <w:szCs w:val="22"/>
          <w:lang w:val="fr-FR"/>
        </w:rPr>
        <w:t>inscription de la soupe</w:t>
      </w:r>
      <w:r>
        <w:rPr>
          <w:rFonts w:ascii="Arial" w:hAnsi="Arial" w:cs="Arial"/>
          <w:bCs/>
          <w:sz w:val="22"/>
          <w:szCs w:val="22"/>
          <w:lang w:val="fr-FR"/>
        </w:rPr>
        <w:t xml:space="preserve"> au giraumon</w:t>
      </w:r>
      <w:r w:rsidRPr="00A93A67">
        <w:rPr>
          <w:rFonts w:ascii="Arial" w:hAnsi="Arial" w:cs="Arial"/>
          <w:bCs/>
          <w:sz w:val="22"/>
          <w:szCs w:val="22"/>
          <w:lang w:val="fr-FR"/>
        </w:rPr>
        <w:t>, rappelant le bonheur qu</w:t>
      </w:r>
      <w:r w:rsidR="008E532B">
        <w:rPr>
          <w:rFonts w:ascii="Arial" w:hAnsi="Arial" w:cs="Arial"/>
          <w:bCs/>
          <w:sz w:val="22"/>
          <w:szCs w:val="22"/>
          <w:lang w:val="fr-FR"/>
        </w:rPr>
        <w:t>’</w:t>
      </w:r>
      <w:r>
        <w:rPr>
          <w:rFonts w:ascii="Arial" w:hAnsi="Arial" w:cs="Arial"/>
          <w:bCs/>
          <w:sz w:val="22"/>
          <w:szCs w:val="22"/>
          <w:lang w:val="fr-FR"/>
        </w:rPr>
        <w:t xml:space="preserve">Haïti avait connu </w:t>
      </w:r>
      <w:r w:rsidRPr="00A93A67">
        <w:rPr>
          <w:rFonts w:ascii="Arial" w:hAnsi="Arial" w:cs="Arial"/>
          <w:bCs/>
          <w:sz w:val="22"/>
          <w:szCs w:val="22"/>
          <w:lang w:val="fr-FR"/>
        </w:rPr>
        <w:t>en décembre 2021</w:t>
      </w:r>
      <w:r>
        <w:rPr>
          <w:rFonts w:ascii="Arial" w:hAnsi="Arial" w:cs="Arial"/>
          <w:bCs/>
          <w:sz w:val="22"/>
          <w:szCs w:val="22"/>
          <w:lang w:val="fr-FR"/>
        </w:rPr>
        <w:t xml:space="preserve"> </w:t>
      </w:r>
      <w:r w:rsidRPr="00A93A67">
        <w:rPr>
          <w:rFonts w:ascii="Arial" w:hAnsi="Arial" w:cs="Arial"/>
          <w:bCs/>
          <w:sz w:val="22"/>
          <w:szCs w:val="22"/>
          <w:lang w:val="fr-FR"/>
        </w:rPr>
        <w:t>lors</w:t>
      </w:r>
      <w:r>
        <w:rPr>
          <w:rFonts w:ascii="Arial" w:hAnsi="Arial" w:cs="Arial"/>
          <w:bCs/>
          <w:sz w:val="22"/>
          <w:szCs w:val="22"/>
          <w:lang w:val="fr-FR"/>
        </w:rPr>
        <w:t>que l</w:t>
      </w:r>
      <w:r w:rsidR="008E532B">
        <w:rPr>
          <w:rFonts w:ascii="Arial" w:hAnsi="Arial" w:cs="Arial"/>
          <w:bCs/>
          <w:sz w:val="22"/>
          <w:szCs w:val="22"/>
          <w:lang w:val="fr-FR"/>
        </w:rPr>
        <w:t>’</w:t>
      </w:r>
      <w:r>
        <w:rPr>
          <w:rFonts w:ascii="Arial" w:hAnsi="Arial" w:cs="Arial"/>
          <w:bCs/>
          <w:sz w:val="22"/>
          <w:szCs w:val="22"/>
          <w:lang w:val="fr-FR"/>
        </w:rPr>
        <w:t>élément avait été inscrit.</w:t>
      </w:r>
      <w:r w:rsidRPr="00A93A67">
        <w:rPr>
          <w:rFonts w:ascii="Arial" w:hAnsi="Arial" w:cs="Arial"/>
          <w:bCs/>
          <w:sz w:val="22"/>
          <w:szCs w:val="22"/>
          <w:lang w:val="fr-FR"/>
        </w:rPr>
        <w:t xml:space="preserve"> </w:t>
      </w:r>
      <w:r w:rsidRPr="00AB22D8">
        <w:rPr>
          <w:rFonts w:ascii="Arial" w:hAnsi="Arial" w:cs="Arial"/>
          <w:bCs/>
          <w:sz w:val="22"/>
          <w:szCs w:val="22"/>
          <w:lang w:val="fr-FR"/>
        </w:rPr>
        <w:t>Il s</w:t>
      </w:r>
      <w:r w:rsidR="008E532B">
        <w:rPr>
          <w:rFonts w:ascii="Arial" w:hAnsi="Arial" w:cs="Arial"/>
          <w:bCs/>
          <w:sz w:val="22"/>
          <w:szCs w:val="22"/>
          <w:lang w:val="fr-FR"/>
        </w:rPr>
        <w:t>’</w:t>
      </w:r>
      <w:r w:rsidRPr="00AB22D8">
        <w:rPr>
          <w:rFonts w:ascii="Arial" w:hAnsi="Arial" w:cs="Arial"/>
          <w:bCs/>
          <w:sz w:val="22"/>
          <w:szCs w:val="22"/>
          <w:lang w:val="fr-FR"/>
        </w:rPr>
        <w:t>agissait d</w:t>
      </w:r>
      <w:r w:rsidR="008E532B">
        <w:rPr>
          <w:rFonts w:ascii="Arial" w:hAnsi="Arial" w:cs="Arial"/>
          <w:bCs/>
          <w:sz w:val="22"/>
          <w:szCs w:val="22"/>
          <w:lang w:val="fr-FR"/>
        </w:rPr>
        <w:t>’</w:t>
      </w:r>
      <w:r w:rsidRPr="00AB22D8">
        <w:rPr>
          <w:rFonts w:ascii="Arial" w:hAnsi="Arial" w:cs="Arial"/>
          <w:bCs/>
          <w:sz w:val="22"/>
          <w:szCs w:val="22"/>
          <w:lang w:val="fr-FR"/>
        </w:rPr>
        <w:t>une question nouvelle et</w:t>
      </w:r>
      <w:r>
        <w:rPr>
          <w:rFonts w:ascii="Arial" w:hAnsi="Arial" w:cs="Arial"/>
          <w:bCs/>
          <w:sz w:val="22"/>
          <w:szCs w:val="22"/>
          <w:lang w:val="fr-FR"/>
        </w:rPr>
        <w:t>,</w:t>
      </w:r>
      <w:r w:rsidRPr="00AB22D8">
        <w:rPr>
          <w:rFonts w:ascii="Arial" w:hAnsi="Arial" w:cs="Arial"/>
          <w:bCs/>
          <w:sz w:val="22"/>
          <w:szCs w:val="22"/>
          <w:lang w:val="fr-FR"/>
        </w:rPr>
        <w:t xml:space="preserve"> faisant référence à l</w:t>
      </w:r>
      <w:r w:rsidR="008E532B">
        <w:rPr>
          <w:rFonts w:ascii="Arial" w:hAnsi="Arial" w:cs="Arial"/>
          <w:bCs/>
          <w:sz w:val="22"/>
          <w:szCs w:val="22"/>
          <w:lang w:val="fr-FR"/>
        </w:rPr>
        <w:t>’</w:t>
      </w:r>
      <w:r w:rsidRPr="00AB22D8">
        <w:rPr>
          <w:rFonts w:ascii="Arial" w:hAnsi="Arial" w:cs="Arial"/>
          <w:bCs/>
          <w:sz w:val="22"/>
          <w:szCs w:val="22"/>
          <w:lang w:val="fr-FR"/>
        </w:rPr>
        <w:t>avant-propos par la Directrice générale de l</w:t>
      </w:r>
      <w:r w:rsidR="008E532B">
        <w:rPr>
          <w:rFonts w:ascii="Arial" w:hAnsi="Arial" w:cs="Arial"/>
          <w:bCs/>
          <w:sz w:val="22"/>
          <w:szCs w:val="22"/>
          <w:lang w:val="fr-FR"/>
        </w:rPr>
        <w:t>’</w:t>
      </w:r>
      <w:r w:rsidRPr="00AB22D8">
        <w:rPr>
          <w:rFonts w:ascii="Arial" w:hAnsi="Arial" w:cs="Arial"/>
          <w:bCs/>
          <w:sz w:val="22"/>
          <w:szCs w:val="22"/>
          <w:lang w:val="fr-FR"/>
        </w:rPr>
        <w:t>UNESCO de l</w:t>
      </w:r>
      <w:r w:rsidR="008E532B">
        <w:rPr>
          <w:rFonts w:ascii="Arial" w:hAnsi="Arial" w:cs="Arial"/>
          <w:bCs/>
          <w:sz w:val="22"/>
          <w:szCs w:val="22"/>
          <w:lang w:val="fr-FR"/>
        </w:rPr>
        <w:t>’</w:t>
      </w:r>
      <w:r w:rsidRPr="00AB22D8">
        <w:rPr>
          <w:rFonts w:ascii="Arial" w:hAnsi="Arial" w:cs="Arial"/>
          <w:bCs/>
          <w:sz w:val="22"/>
          <w:szCs w:val="22"/>
          <w:lang w:val="fr-FR"/>
        </w:rPr>
        <w:t xml:space="preserve">édition 2020 des Textes fondamentaux de la Convention, la délégation a rappelé </w:t>
      </w:r>
      <w:r w:rsidRPr="00A81A71">
        <w:rPr>
          <w:rFonts w:ascii="Arial" w:hAnsi="Arial" w:cs="Arial"/>
          <w:bCs/>
          <w:sz w:val="22"/>
          <w:szCs w:val="22"/>
          <w:lang w:val="fr-FR"/>
        </w:rPr>
        <w:t>qu</w:t>
      </w:r>
      <w:r w:rsidR="008E532B">
        <w:rPr>
          <w:rFonts w:ascii="Arial" w:hAnsi="Arial" w:cs="Arial"/>
          <w:bCs/>
          <w:sz w:val="22"/>
          <w:szCs w:val="22"/>
          <w:lang w:val="fr-FR"/>
        </w:rPr>
        <w:t>’</w:t>
      </w:r>
      <w:r w:rsidRPr="00A81A71">
        <w:rPr>
          <w:rFonts w:ascii="Arial" w:hAnsi="Arial" w:cs="Arial"/>
          <w:bCs/>
          <w:sz w:val="22"/>
          <w:szCs w:val="22"/>
          <w:lang w:val="fr-FR"/>
        </w:rPr>
        <w:t>afin de tenir compte des évolutions du patrimoine immatériel et du patrimoine vivant, des changements majeurs pour sa portée et son rayonnement avaient eu lieu. Le premier concernait le dialogue qui avait été amélioré dans le cadre du processus de candidature. Le deuxième concernait la mise à disposition d</w:t>
      </w:r>
      <w:r w:rsidR="008E532B">
        <w:rPr>
          <w:rFonts w:ascii="Arial" w:hAnsi="Arial" w:cs="Arial"/>
          <w:bCs/>
          <w:sz w:val="22"/>
          <w:szCs w:val="22"/>
          <w:lang w:val="fr-FR"/>
        </w:rPr>
        <w:t>’</w:t>
      </w:r>
      <w:r w:rsidRPr="00A81A71">
        <w:rPr>
          <w:rFonts w:ascii="Arial" w:hAnsi="Arial" w:cs="Arial"/>
          <w:bCs/>
          <w:sz w:val="22"/>
          <w:szCs w:val="22"/>
          <w:lang w:val="fr-FR"/>
        </w:rPr>
        <w:t>orientations pour la sauvegarde dans les situations d</w:t>
      </w:r>
      <w:r w:rsidR="008E532B">
        <w:rPr>
          <w:rFonts w:ascii="Arial" w:hAnsi="Arial" w:cs="Arial"/>
          <w:bCs/>
          <w:sz w:val="22"/>
          <w:szCs w:val="22"/>
          <w:lang w:val="fr-FR"/>
        </w:rPr>
        <w:t>’</w:t>
      </w:r>
      <w:r w:rsidRPr="00A81A71">
        <w:rPr>
          <w:rFonts w:ascii="Arial" w:hAnsi="Arial" w:cs="Arial"/>
          <w:bCs/>
          <w:sz w:val="22"/>
          <w:szCs w:val="22"/>
          <w:lang w:val="fr-FR"/>
        </w:rPr>
        <w:t>urgence, en réponse à la multiplication des conflits et des catastrophes naturelles dans le monde.</w:t>
      </w:r>
      <w:r w:rsidRPr="00AB22D8">
        <w:rPr>
          <w:rFonts w:ascii="Arial" w:hAnsi="Arial" w:cs="Arial"/>
          <w:bCs/>
          <w:sz w:val="22"/>
          <w:szCs w:val="22"/>
          <w:lang w:val="fr-FR"/>
        </w:rPr>
        <w:t xml:space="preserve"> La délégation a souligné le fait que le texte mentionne comment le patrimoine vivant est un outil puissant de résilience et de relèvement. Cela avait été l</w:t>
      </w:r>
      <w:r w:rsidR="008E532B">
        <w:rPr>
          <w:rFonts w:ascii="Arial" w:hAnsi="Arial" w:cs="Arial"/>
          <w:bCs/>
          <w:sz w:val="22"/>
          <w:szCs w:val="22"/>
          <w:lang w:val="fr-FR"/>
        </w:rPr>
        <w:t>’</w:t>
      </w:r>
      <w:r w:rsidRPr="00AB22D8">
        <w:rPr>
          <w:rFonts w:ascii="Arial" w:hAnsi="Arial" w:cs="Arial"/>
          <w:bCs/>
          <w:sz w:val="22"/>
          <w:szCs w:val="22"/>
          <w:lang w:val="fr-FR"/>
        </w:rPr>
        <w:t>un des thèmes centraux de discussion [lors de la session du Comité] en 2021. La candidature d</w:t>
      </w:r>
      <w:r w:rsidR="008E532B">
        <w:rPr>
          <w:rFonts w:ascii="Arial" w:hAnsi="Arial" w:cs="Arial"/>
          <w:bCs/>
          <w:sz w:val="22"/>
          <w:szCs w:val="22"/>
          <w:lang w:val="fr-FR"/>
        </w:rPr>
        <w:t>’</w:t>
      </w:r>
      <w:r w:rsidRPr="00AB22D8">
        <w:rPr>
          <w:rFonts w:ascii="Arial" w:hAnsi="Arial" w:cs="Arial"/>
          <w:bCs/>
          <w:sz w:val="22"/>
          <w:szCs w:val="22"/>
          <w:lang w:val="fr-FR"/>
        </w:rPr>
        <w:t>Haïti allait au-delà des réglementations et des directives pour révéler ce que les populations traversaient pour se remettre des conflits, de la mort du Président de l</w:t>
      </w:r>
      <w:r w:rsidR="008E532B">
        <w:rPr>
          <w:rFonts w:ascii="Arial" w:hAnsi="Arial" w:cs="Arial"/>
          <w:bCs/>
          <w:sz w:val="22"/>
          <w:szCs w:val="22"/>
          <w:lang w:val="fr-FR"/>
        </w:rPr>
        <w:t>’</w:t>
      </w:r>
      <w:r w:rsidRPr="00AB22D8">
        <w:rPr>
          <w:rFonts w:ascii="Arial" w:hAnsi="Arial" w:cs="Arial"/>
          <w:bCs/>
          <w:sz w:val="22"/>
          <w:szCs w:val="22"/>
          <w:lang w:val="fr-FR"/>
        </w:rPr>
        <w:t>époque et des catastrophes naturelles qui frappaient le pays. Les États parties devraient donc se féliciter d</w:t>
      </w:r>
      <w:r w:rsidR="008E532B">
        <w:rPr>
          <w:rFonts w:ascii="Arial" w:hAnsi="Arial" w:cs="Arial"/>
          <w:bCs/>
          <w:sz w:val="22"/>
          <w:szCs w:val="22"/>
          <w:lang w:val="fr-FR"/>
        </w:rPr>
        <w:t>’</w:t>
      </w:r>
      <w:r w:rsidRPr="00AB22D8">
        <w:rPr>
          <w:rFonts w:ascii="Arial" w:hAnsi="Arial" w:cs="Arial"/>
          <w:bCs/>
          <w:sz w:val="22"/>
          <w:szCs w:val="22"/>
          <w:lang w:val="fr-FR"/>
        </w:rPr>
        <w:t>avoir répondu à la demande d</w:t>
      </w:r>
      <w:r w:rsidR="008E532B">
        <w:rPr>
          <w:rFonts w:ascii="Arial" w:hAnsi="Arial" w:cs="Arial"/>
          <w:bCs/>
          <w:sz w:val="22"/>
          <w:szCs w:val="22"/>
          <w:lang w:val="fr-FR"/>
        </w:rPr>
        <w:t>’</w:t>
      </w:r>
      <w:r w:rsidRPr="00AB22D8">
        <w:rPr>
          <w:rFonts w:ascii="Arial" w:hAnsi="Arial" w:cs="Arial"/>
          <w:bCs/>
          <w:sz w:val="22"/>
          <w:szCs w:val="22"/>
          <w:lang w:val="fr-FR"/>
        </w:rPr>
        <w:t>un État membre. La délégation soutenait tant le projet de décision dans son ensemble que l</w:t>
      </w:r>
      <w:r w:rsidR="008E532B">
        <w:rPr>
          <w:rFonts w:ascii="Arial" w:hAnsi="Arial" w:cs="Arial"/>
          <w:bCs/>
          <w:sz w:val="22"/>
          <w:szCs w:val="22"/>
          <w:lang w:val="fr-FR"/>
        </w:rPr>
        <w:t>’</w:t>
      </w:r>
      <w:r w:rsidRPr="00AB22D8">
        <w:rPr>
          <w:rFonts w:ascii="Arial" w:hAnsi="Arial" w:cs="Arial"/>
          <w:bCs/>
          <w:sz w:val="22"/>
          <w:szCs w:val="22"/>
          <w:lang w:val="fr-FR"/>
        </w:rPr>
        <w:t>approbation requise de la part de cette Assemblée.</w:t>
      </w:r>
    </w:p>
    <w:p w14:paraId="09BB5D06" w14:textId="6C9ECE76" w:rsidR="00D9653F" w:rsidRPr="00061C62"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61C62">
        <w:rPr>
          <w:rFonts w:ascii="Arial" w:hAnsi="Arial" w:cs="Arial"/>
          <w:bCs/>
          <w:sz w:val="22"/>
          <w:szCs w:val="22"/>
          <w:lang w:val="fr-FR"/>
        </w:rPr>
        <w:t>La délégation de l</w:t>
      </w:r>
      <w:r w:rsidR="008E532B">
        <w:rPr>
          <w:rFonts w:ascii="Arial" w:hAnsi="Arial" w:cs="Arial"/>
          <w:bCs/>
          <w:sz w:val="22"/>
          <w:szCs w:val="22"/>
          <w:lang w:val="fr-FR"/>
        </w:rPr>
        <w:t>’</w:t>
      </w:r>
      <w:r w:rsidRPr="00061C62">
        <w:rPr>
          <w:rFonts w:ascii="Arial" w:hAnsi="Arial" w:cs="Arial"/>
          <w:b/>
          <w:sz w:val="22"/>
          <w:szCs w:val="22"/>
          <w:lang w:val="fr-FR"/>
        </w:rPr>
        <w:t>Uruguay</w:t>
      </w:r>
      <w:r w:rsidRPr="00061C62">
        <w:rPr>
          <w:rFonts w:ascii="Arial" w:hAnsi="Arial" w:cs="Arial"/>
          <w:bCs/>
          <w:sz w:val="22"/>
          <w:szCs w:val="22"/>
          <w:lang w:val="fr-FR"/>
        </w:rPr>
        <w:t xml:space="preserve"> a félicité les membres nouvellement élus au Comité. En </w:t>
      </w:r>
      <w:r w:rsidRPr="00AB22D8">
        <w:rPr>
          <w:rFonts w:ascii="Arial" w:hAnsi="Arial" w:cs="Arial"/>
          <w:bCs/>
          <w:sz w:val="22"/>
          <w:szCs w:val="22"/>
          <w:lang w:val="fr-FR"/>
        </w:rPr>
        <w:t>1878</w:t>
      </w:r>
      <w:r w:rsidRPr="00061C62">
        <w:rPr>
          <w:rFonts w:ascii="Arial" w:hAnsi="Arial" w:cs="Arial"/>
          <w:bCs/>
          <w:sz w:val="22"/>
          <w:szCs w:val="22"/>
          <w:lang w:val="fr-FR"/>
        </w:rPr>
        <w:t>, l</w:t>
      </w:r>
      <w:r w:rsidR="008E532B">
        <w:rPr>
          <w:rFonts w:ascii="Arial" w:hAnsi="Arial" w:cs="Arial"/>
          <w:bCs/>
          <w:sz w:val="22"/>
          <w:szCs w:val="22"/>
          <w:lang w:val="fr-FR"/>
        </w:rPr>
        <w:t>’</w:t>
      </w:r>
      <w:r w:rsidRPr="00061C62">
        <w:rPr>
          <w:rFonts w:ascii="Arial" w:hAnsi="Arial" w:cs="Arial"/>
          <w:bCs/>
          <w:sz w:val="22"/>
          <w:szCs w:val="22"/>
          <w:lang w:val="fr-FR"/>
        </w:rPr>
        <w:t>Uruguay avait participé</w:t>
      </w:r>
      <w:r>
        <w:rPr>
          <w:rFonts w:ascii="Arial" w:hAnsi="Arial" w:cs="Arial"/>
          <w:bCs/>
          <w:sz w:val="22"/>
          <w:szCs w:val="22"/>
          <w:lang w:val="fr-FR"/>
        </w:rPr>
        <w:t>, avec Haïti,</w:t>
      </w:r>
      <w:r w:rsidRPr="00061C62">
        <w:rPr>
          <w:rFonts w:ascii="Arial" w:hAnsi="Arial" w:cs="Arial"/>
          <w:bCs/>
          <w:sz w:val="22"/>
          <w:szCs w:val="22"/>
          <w:lang w:val="fr-FR"/>
        </w:rPr>
        <w:t xml:space="preserve"> à une exposition universelle</w:t>
      </w:r>
      <w:r>
        <w:rPr>
          <w:rFonts w:ascii="Arial" w:hAnsi="Arial" w:cs="Arial"/>
          <w:bCs/>
          <w:sz w:val="22"/>
          <w:szCs w:val="22"/>
          <w:lang w:val="fr-FR"/>
        </w:rPr>
        <w:t xml:space="preserve"> </w:t>
      </w:r>
      <w:r w:rsidRPr="00061C62">
        <w:rPr>
          <w:rFonts w:ascii="Arial" w:hAnsi="Arial" w:cs="Arial"/>
          <w:bCs/>
          <w:sz w:val="22"/>
          <w:szCs w:val="22"/>
          <w:lang w:val="fr-FR"/>
        </w:rPr>
        <w:t xml:space="preserve">à Paris, </w:t>
      </w:r>
      <w:r>
        <w:rPr>
          <w:rFonts w:ascii="Arial" w:hAnsi="Arial" w:cs="Arial"/>
          <w:bCs/>
          <w:sz w:val="22"/>
          <w:szCs w:val="22"/>
          <w:lang w:val="fr-FR"/>
        </w:rPr>
        <w:t xml:space="preserve">ce qui </w:t>
      </w:r>
      <w:r w:rsidRPr="00061C62">
        <w:rPr>
          <w:rFonts w:ascii="Arial" w:hAnsi="Arial" w:cs="Arial"/>
          <w:bCs/>
          <w:sz w:val="22"/>
          <w:szCs w:val="22"/>
          <w:lang w:val="fr-FR"/>
        </w:rPr>
        <w:t>démontra</w:t>
      </w:r>
      <w:r>
        <w:rPr>
          <w:rFonts w:ascii="Arial" w:hAnsi="Arial" w:cs="Arial"/>
          <w:bCs/>
          <w:sz w:val="22"/>
          <w:szCs w:val="22"/>
          <w:lang w:val="fr-FR"/>
        </w:rPr>
        <w:t>i</w:t>
      </w:r>
      <w:r w:rsidRPr="00061C62">
        <w:rPr>
          <w:rFonts w:ascii="Arial" w:hAnsi="Arial" w:cs="Arial"/>
          <w:bCs/>
          <w:sz w:val="22"/>
          <w:szCs w:val="22"/>
          <w:lang w:val="fr-FR"/>
        </w:rPr>
        <w:t xml:space="preserve">t sa proximité avec le peuple haïtien et </w:t>
      </w:r>
      <w:r>
        <w:rPr>
          <w:rFonts w:ascii="Arial" w:hAnsi="Arial" w:cs="Arial"/>
          <w:bCs/>
          <w:sz w:val="22"/>
          <w:szCs w:val="22"/>
          <w:lang w:val="fr-FR"/>
        </w:rPr>
        <w:t>expliquait pourquoi</w:t>
      </w:r>
      <w:r w:rsidRPr="00061C62">
        <w:rPr>
          <w:rFonts w:ascii="Arial" w:hAnsi="Arial" w:cs="Arial"/>
          <w:bCs/>
          <w:sz w:val="22"/>
          <w:szCs w:val="22"/>
          <w:lang w:val="fr-FR"/>
        </w:rPr>
        <w:t xml:space="preserve"> il était ravi que la soupe </w:t>
      </w:r>
      <w:r>
        <w:rPr>
          <w:rFonts w:ascii="Arial" w:hAnsi="Arial" w:cs="Arial"/>
          <w:bCs/>
          <w:sz w:val="22"/>
          <w:szCs w:val="22"/>
          <w:lang w:val="fr-FR"/>
        </w:rPr>
        <w:t xml:space="preserve">au giraumon </w:t>
      </w:r>
      <w:r w:rsidRPr="00061C62">
        <w:rPr>
          <w:rFonts w:ascii="Arial" w:hAnsi="Arial" w:cs="Arial"/>
          <w:bCs/>
          <w:sz w:val="22"/>
          <w:szCs w:val="22"/>
          <w:lang w:val="fr-FR"/>
        </w:rPr>
        <w:t>soit inscrite. La délégation compr</w:t>
      </w:r>
      <w:r>
        <w:rPr>
          <w:rFonts w:ascii="Arial" w:hAnsi="Arial" w:cs="Arial"/>
          <w:bCs/>
          <w:sz w:val="22"/>
          <w:szCs w:val="22"/>
          <w:lang w:val="fr-FR"/>
        </w:rPr>
        <w:t>enait</w:t>
      </w:r>
      <w:r w:rsidRPr="00061C62">
        <w:rPr>
          <w:rFonts w:ascii="Arial" w:hAnsi="Arial" w:cs="Arial"/>
          <w:bCs/>
          <w:sz w:val="22"/>
          <w:szCs w:val="22"/>
          <w:lang w:val="fr-FR"/>
        </w:rPr>
        <w:t xml:space="preserve"> qu</w:t>
      </w:r>
      <w:r w:rsidR="008E532B">
        <w:rPr>
          <w:rFonts w:ascii="Arial" w:hAnsi="Arial" w:cs="Arial"/>
          <w:bCs/>
          <w:sz w:val="22"/>
          <w:szCs w:val="22"/>
          <w:lang w:val="fr-FR"/>
        </w:rPr>
        <w:t>’</w:t>
      </w:r>
      <w:r w:rsidRPr="00061C62">
        <w:rPr>
          <w:rFonts w:ascii="Arial" w:hAnsi="Arial" w:cs="Arial"/>
          <w:bCs/>
          <w:sz w:val="22"/>
          <w:szCs w:val="22"/>
          <w:lang w:val="fr-FR"/>
        </w:rPr>
        <w:t>il s</w:t>
      </w:r>
      <w:r w:rsidR="008E532B">
        <w:rPr>
          <w:rFonts w:ascii="Arial" w:hAnsi="Arial" w:cs="Arial"/>
          <w:bCs/>
          <w:sz w:val="22"/>
          <w:szCs w:val="22"/>
          <w:lang w:val="fr-FR"/>
        </w:rPr>
        <w:t>’</w:t>
      </w:r>
      <w:r w:rsidRPr="00061C62">
        <w:rPr>
          <w:rFonts w:ascii="Arial" w:hAnsi="Arial" w:cs="Arial"/>
          <w:bCs/>
          <w:sz w:val="22"/>
          <w:szCs w:val="22"/>
          <w:lang w:val="fr-FR"/>
        </w:rPr>
        <w:t xml:space="preserve">agissait </w:t>
      </w:r>
      <w:r>
        <w:rPr>
          <w:rFonts w:ascii="Arial" w:hAnsi="Arial" w:cs="Arial"/>
          <w:bCs/>
          <w:sz w:val="22"/>
          <w:szCs w:val="22"/>
          <w:lang w:val="fr-FR"/>
        </w:rPr>
        <w:t xml:space="preserve">là </w:t>
      </w:r>
      <w:r w:rsidRPr="00061C62">
        <w:rPr>
          <w:rFonts w:ascii="Arial" w:hAnsi="Arial" w:cs="Arial"/>
          <w:bCs/>
          <w:sz w:val="22"/>
          <w:szCs w:val="22"/>
          <w:lang w:val="fr-FR"/>
        </w:rPr>
        <w:t>d</w:t>
      </w:r>
      <w:r w:rsidR="008E532B">
        <w:rPr>
          <w:rFonts w:ascii="Arial" w:hAnsi="Arial" w:cs="Arial"/>
          <w:bCs/>
          <w:sz w:val="22"/>
          <w:szCs w:val="22"/>
          <w:lang w:val="fr-FR"/>
        </w:rPr>
        <w:t>’</w:t>
      </w:r>
      <w:r w:rsidRPr="00061C62">
        <w:rPr>
          <w:rFonts w:ascii="Arial" w:hAnsi="Arial" w:cs="Arial"/>
          <w:bCs/>
          <w:sz w:val="22"/>
          <w:szCs w:val="22"/>
          <w:lang w:val="fr-FR"/>
        </w:rPr>
        <w:t>une preuve de flexibilité basée sur les principes de la Convention au service du patrimoine vivant et de l</w:t>
      </w:r>
      <w:r w:rsidR="008E532B">
        <w:rPr>
          <w:rFonts w:ascii="Arial" w:hAnsi="Arial" w:cs="Arial"/>
          <w:bCs/>
          <w:sz w:val="22"/>
          <w:szCs w:val="22"/>
          <w:lang w:val="fr-FR"/>
        </w:rPr>
        <w:t>’</w:t>
      </w:r>
      <w:r w:rsidRPr="00061C62">
        <w:rPr>
          <w:rFonts w:ascii="Arial" w:hAnsi="Arial" w:cs="Arial"/>
          <w:bCs/>
          <w:sz w:val="22"/>
          <w:szCs w:val="22"/>
          <w:lang w:val="fr-FR"/>
        </w:rPr>
        <w:t>humanité en général. C</w:t>
      </w:r>
      <w:r w:rsidR="008E532B">
        <w:rPr>
          <w:rFonts w:ascii="Arial" w:hAnsi="Arial" w:cs="Arial"/>
          <w:bCs/>
          <w:sz w:val="22"/>
          <w:szCs w:val="22"/>
          <w:lang w:val="fr-FR"/>
        </w:rPr>
        <w:t>’</w:t>
      </w:r>
      <w:r w:rsidRPr="00061C62">
        <w:rPr>
          <w:rFonts w:ascii="Arial" w:hAnsi="Arial" w:cs="Arial"/>
          <w:bCs/>
          <w:sz w:val="22"/>
          <w:szCs w:val="22"/>
          <w:lang w:val="fr-FR"/>
        </w:rPr>
        <w:t xml:space="preserve">était un grand moment pour la Convention. Elle </w:t>
      </w:r>
      <w:r>
        <w:rPr>
          <w:rFonts w:ascii="Arial" w:hAnsi="Arial" w:cs="Arial"/>
          <w:bCs/>
          <w:sz w:val="22"/>
          <w:szCs w:val="22"/>
          <w:lang w:val="fr-FR"/>
        </w:rPr>
        <w:t xml:space="preserve">comprenait </w:t>
      </w:r>
      <w:r w:rsidRPr="00061C62">
        <w:rPr>
          <w:rFonts w:ascii="Arial" w:hAnsi="Arial" w:cs="Arial"/>
          <w:bCs/>
          <w:sz w:val="22"/>
          <w:szCs w:val="22"/>
          <w:lang w:val="fr-FR"/>
        </w:rPr>
        <w:t>également que l</w:t>
      </w:r>
      <w:r w:rsidR="008E532B">
        <w:rPr>
          <w:rFonts w:ascii="Arial" w:hAnsi="Arial" w:cs="Arial"/>
          <w:bCs/>
          <w:sz w:val="22"/>
          <w:szCs w:val="22"/>
          <w:lang w:val="fr-FR"/>
        </w:rPr>
        <w:t>’</w:t>
      </w:r>
      <w:r w:rsidRPr="00061C62">
        <w:rPr>
          <w:rFonts w:ascii="Arial" w:hAnsi="Arial" w:cs="Arial"/>
          <w:bCs/>
          <w:sz w:val="22"/>
          <w:szCs w:val="22"/>
          <w:lang w:val="fr-FR"/>
        </w:rPr>
        <w:t>Assemblée se trouv</w:t>
      </w:r>
      <w:r>
        <w:rPr>
          <w:rFonts w:ascii="Arial" w:hAnsi="Arial" w:cs="Arial"/>
          <w:bCs/>
          <w:sz w:val="22"/>
          <w:szCs w:val="22"/>
          <w:lang w:val="fr-FR"/>
        </w:rPr>
        <w:t>ait</w:t>
      </w:r>
      <w:r w:rsidRPr="00061C62">
        <w:rPr>
          <w:rFonts w:ascii="Arial" w:hAnsi="Arial" w:cs="Arial"/>
          <w:bCs/>
          <w:sz w:val="22"/>
          <w:szCs w:val="22"/>
          <w:lang w:val="fr-FR"/>
        </w:rPr>
        <w:t xml:space="preserve"> dans une situation inhabituelle, comme l</w:t>
      </w:r>
      <w:r w:rsidR="008E532B">
        <w:rPr>
          <w:rFonts w:ascii="Arial" w:hAnsi="Arial" w:cs="Arial"/>
          <w:bCs/>
          <w:sz w:val="22"/>
          <w:szCs w:val="22"/>
          <w:lang w:val="fr-FR"/>
        </w:rPr>
        <w:t>’</w:t>
      </w:r>
      <w:r w:rsidRPr="00061C62">
        <w:rPr>
          <w:rFonts w:ascii="Arial" w:hAnsi="Arial" w:cs="Arial"/>
          <w:bCs/>
          <w:sz w:val="22"/>
          <w:szCs w:val="22"/>
          <w:lang w:val="fr-FR"/>
        </w:rPr>
        <w:t>a</w:t>
      </w:r>
      <w:r>
        <w:rPr>
          <w:rFonts w:ascii="Arial" w:hAnsi="Arial" w:cs="Arial"/>
          <w:bCs/>
          <w:sz w:val="22"/>
          <w:szCs w:val="22"/>
          <w:lang w:val="fr-FR"/>
        </w:rPr>
        <w:t>vait</w:t>
      </w:r>
      <w:r w:rsidRPr="00061C62">
        <w:rPr>
          <w:rFonts w:ascii="Arial" w:hAnsi="Arial" w:cs="Arial"/>
          <w:bCs/>
          <w:sz w:val="22"/>
          <w:szCs w:val="22"/>
          <w:lang w:val="fr-FR"/>
        </w:rPr>
        <w:t xml:space="preserve"> dit à juste titre la Barbade, en ce sens que cette situation pourrait nous arriver à tous et qu</w:t>
      </w:r>
      <w:r w:rsidR="008E532B">
        <w:rPr>
          <w:rFonts w:ascii="Arial" w:hAnsi="Arial" w:cs="Arial"/>
          <w:bCs/>
          <w:sz w:val="22"/>
          <w:szCs w:val="22"/>
          <w:lang w:val="fr-FR"/>
        </w:rPr>
        <w:t>’</w:t>
      </w:r>
      <w:r w:rsidRPr="00061C62">
        <w:rPr>
          <w:rFonts w:ascii="Arial" w:hAnsi="Arial" w:cs="Arial"/>
          <w:bCs/>
          <w:sz w:val="22"/>
          <w:szCs w:val="22"/>
          <w:lang w:val="fr-FR"/>
        </w:rPr>
        <w:t>une réflexion sur ces questions était donc nécessaire. Comme Cuba l</w:t>
      </w:r>
      <w:r w:rsidR="008E532B">
        <w:rPr>
          <w:rFonts w:ascii="Arial" w:hAnsi="Arial" w:cs="Arial"/>
          <w:bCs/>
          <w:sz w:val="22"/>
          <w:szCs w:val="22"/>
          <w:lang w:val="fr-FR"/>
        </w:rPr>
        <w:t>’</w:t>
      </w:r>
      <w:r w:rsidRPr="00061C62">
        <w:rPr>
          <w:rFonts w:ascii="Arial" w:hAnsi="Arial" w:cs="Arial"/>
          <w:bCs/>
          <w:sz w:val="22"/>
          <w:szCs w:val="22"/>
          <w:lang w:val="fr-FR"/>
        </w:rPr>
        <w:t>a</w:t>
      </w:r>
      <w:r>
        <w:rPr>
          <w:rFonts w:ascii="Arial" w:hAnsi="Arial" w:cs="Arial"/>
          <w:bCs/>
          <w:sz w:val="22"/>
          <w:szCs w:val="22"/>
          <w:lang w:val="fr-FR"/>
        </w:rPr>
        <w:t>vait</w:t>
      </w:r>
      <w:r w:rsidRPr="00061C62">
        <w:rPr>
          <w:rFonts w:ascii="Arial" w:hAnsi="Arial" w:cs="Arial"/>
          <w:bCs/>
          <w:sz w:val="22"/>
          <w:szCs w:val="22"/>
          <w:lang w:val="fr-FR"/>
        </w:rPr>
        <w:t xml:space="preserve"> dit</w:t>
      </w:r>
      <w:r>
        <w:rPr>
          <w:rFonts w:ascii="Arial" w:hAnsi="Arial" w:cs="Arial"/>
          <w:bCs/>
          <w:sz w:val="22"/>
          <w:szCs w:val="22"/>
          <w:lang w:val="fr-FR"/>
        </w:rPr>
        <w:t xml:space="preserve">, </w:t>
      </w:r>
      <w:r w:rsidRPr="00802A33">
        <w:rPr>
          <w:rFonts w:ascii="Arial" w:hAnsi="Arial" w:cs="Arial"/>
          <w:bCs/>
          <w:color w:val="000000" w:themeColor="text1"/>
          <w:sz w:val="22"/>
          <w:szCs w:val="22"/>
          <w:lang w:val="fr-FR"/>
        </w:rPr>
        <w:t>également</w:t>
      </w:r>
      <w:r w:rsidRPr="00061C62">
        <w:rPr>
          <w:rFonts w:ascii="Arial" w:hAnsi="Arial" w:cs="Arial"/>
          <w:bCs/>
          <w:sz w:val="22"/>
          <w:szCs w:val="22"/>
          <w:lang w:val="fr-FR"/>
        </w:rPr>
        <w:t xml:space="preserve"> à juste titre, la culture a un pouvoir de transformation et de guérison. Cela a</w:t>
      </w:r>
      <w:r>
        <w:rPr>
          <w:rFonts w:ascii="Arial" w:hAnsi="Arial" w:cs="Arial"/>
          <w:bCs/>
          <w:sz w:val="22"/>
          <w:szCs w:val="22"/>
          <w:lang w:val="fr-FR"/>
        </w:rPr>
        <w:t>vait</w:t>
      </w:r>
      <w:r w:rsidRPr="00061C62">
        <w:rPr>
          <w:rFonts w:ascii="Arial" w:hAnsi="Arial" w:cs="Arial"/>
          <w:bCs/>
          <w:sz w:val="22"/>
          <w:szCs w:val="22"/>
          <w:lang w:val="fr-FR"/>
        </w:rPr>
        <w:t xml:space="preserve"> été répété à de nombreuses reprises et cela p</w:t>
      </w:r>
      <w:r>
        <w:rPr>
          <w:rFonts w:ascii="Arial" w:hAnsi="Arial" w:cs="Arial"/>
          <w:bCs/>
          <w:sz w:val="22"/>
          <w:szCs w:val="22"/>
          <w:lang w:val="fr-FR"/>
        </w:rPr>
        <w:t xml:space="preserve">ouvait </w:t>
      </w:r>
      <w:r w:rsidRPr="00061C62">
        <w:rPr>
          <w:rFonts w:ascii="Arial" w:hAnsi="Arial" w:cs="Arial"/>
          <w:bCs/>
          <w:sz w:val="22"/>
          <w:szCs w:val="22"/>
          <w:lang w:val="fr-FR"/>
        </w:rPr>
        <w:t xml:space="preserve">être célébré. La culture </w:t>
      </w:r>
      <w:r>
        <w:rPr>
          <w:rFonts w:ascii="Arial" w:hAnsi="Arial" w:cs="Arial"/>
          <w:bCs/>
          <w:sz w:val="22"/>
          <w:szCs w:val="22"/>
          <w:lang w:val="fr-FR"/>
        </w:rPr>
        <w:t>était</w:t>
      </w:r>
      <w:r w:rsidRPr="00061C62">
        <w:rPr>
          <w:rFonts w:ascii="Arial" w:hAnsi="Arial" w:cs="Arial"/>
          <w:bCs/>
          <w:sz w:val="22"/>
          <w:szCs w:val="22"/>
          <w:lang w:val="fr-FR"/>
        </w:rPr>
        <w:t xml:space="preserve"> un exercice d</w:t>
      </w:r>
      <w:r w:rsidR="008E532B">
        <w:rPr>
          <w:rFonts w:ascii="Arial" w:hAnsi="Arial" w:cs="Arial"/>
          <w:bCs/>
          <w:sz w:val="22"/>
          <w:szCs w:val="22"/>
          <w:lang w:val="fr-FR"/>
        </w:rPr>
        <w:t>’</w:t>
      </w:r>
      <w:r w:rsidRPr="00061C62">
        <w:rPr>
          <w:rFonts w:ascii="Arial" w:hAnsi="Arial" w:cs="Arial"/>
          <w:bCs/>
          <w:sz w:val="22"/>
          <w:szCs w:val="22"/>
          <w:lang w:val="fr-FR"/>
        </w:rPr>
        <w:t xml:space="preserve">identité, et la gastronomie </w:t>
      </w:r>
      <w:r>
        <w:rPr>
          <w:rFonts w:ascii="Arial" w:hAnsi="Arial" w:cs="Arial"/>
          <w:bCs/>
          <w:sz w:val="22"/>
          <w:szCs w:val="22"/>
          <w:lang w:val="fr-FR"/>
        </w:rPr>
        <w:t>était</w:t>
      </w:r>
      <w:r w:rsidRPr="00061C62">
        <w:rPr>
          <w:rFonts w:ascii="Arial" w:hAnsi="Arial" w:cs="Arial"/>
          <w:bCs/>
          <w:sz w:val="22"/>
          <w:szCs w:val="22"/>
          <w:lang w:val="fr-FR"/>
        </w:rPr>
        <w:t xml:space="preserve"> une pierre fondatrice de l</w:t>
      </w:r>
      <w:r w:rsidR="008E532B">
        <w:rPr>
          <w:rFonts w:ascii="Arial" w:hAnsi="Arial" w:cs="Arial"/>
          <w:bCs/>
          <w:sz w:val="22"/>
          <w:szCs w:val="22"/>
          <w:lang w:val="fr-FR"/>
        </w:rPr>
        <w:t>’</w:t>
      </w:r>
      <w:r w:rsidRPr="00061C62">
        <w:rPr>
          <w:rFonts w:ascii="Arial" w:hAnsi="Arial" w:cs="Arial"/>
          <w:bCs/>
          <w:sz w:val="22"/>
          <w:szCs w:val="22"/>
          <w:lang w:val="fr-FR"/>
        </w:rPr>
        <w:t xml:space="preserve">identité culturelle. La Convention </w:t>
      </w:r>
      <w:r>
        <w:rPr>
          <w:rFonts w:ascii="Arial" w:hAnsi="Arial" w:cs="Arial"/>
          <w:bCs/>
          <w:sz w:val="22"/>
          <w:szCs w:val="22"/>
          <w:lang w:val="fr-FR"/>
        </w:rPr>
        <w:t xml:space="preserve">était </w:t>
      </w:r>
      <w:r w:rsidRPr="00061C62">
        <w:rPr>
          <w:rFonts w:ascii="Arial" w:hAnsi="Arial" w:cs="Arial"/>
          <w:bCs/>
          <w:sz w:val="22"/>
          <w:szCs w:val="22"/>
          <w:lang w:val="fr-FR"/>
        </w:rPr>
        <w:t>plus riche grâce à l</w:t>
      </w:r>
      <w:r w:rsidR="008E532B">
        <w:rPr>
          <w:rFonts w:ascii="Arial" w:hAnsi="Arial" w:cs="Arial"/>
          <w:bCs/>
          <w:sz w:val="22"/>
          <w:szCs w:val="22"/>
          <w:lang w:val="fr-FR"/>
        </w:rPr>
        <w:t>’</w:t>
      </w:r>
      <w:r w:rsidRPr="00061C62">
        <w:rPr>
          <w:rFonts w:ascii="Arial" w:hAnsi="Arial" w:cs="Arial"/>
          <w:bCs/>
          <w:sz w:val="22"/>
          <w:szCs w:val="22"/>
          <w:lang w:val="fr-FR"/>
        </w:rPr>
        <w:t>ajout de l</w:t>
      </w:r>
      <w:r w:rsidR="008E532B">
        <w:rPr>
          <w:rFonts w:ascii="Arial" w:hAnsi="Arial" w:cs="Arial"/>
          <w:bCs/>
          <w:sz w:val="22"/>
          <w:szCs w:val="22"/>
          <w:lang w:val="fr-FR"/>
        </w:rPr>
        <w:t>’</w:t>
      </w:r>
      <w:r w:rsidRPr="00061C62">
        <w:rPr>
          <w:rFonts w:ascii="Arial" w:hAnsi="Arial" w:cs="Arial"/>
          <w:bCs/>
          <w:sz w:val="22"/>
          <w:szCs w:val="22"/>
          <w:lang w:val="fr-FR"/>
        </w:rPr>
        <w:t xml:space="preserve">élément </w:t>
      </w:r>
      <w:r>
        <w:rPr>
          <w:rFonts w:ascii="Arial" w:hAnsi="Arial" w:cs="Arial"/>
          <w:bCs/>
          <w:sz w:val="22"/>
          <w:szCs w:val="22"/>
          <w:lang w:val="fr-FR"/>
        </w:rPr>
        <w:t>h</w:t>
      </w:r>
      <w:r w:rsidRPr="00061C62">
        <w:rPr>
          <w:rFonts w:ascii="Arial" w:hAnsi="Arial" w:cs="Arial"/>
          <w:bCs/>
          <w:sz w:val="22"/>
          <w:szCs w:val="22"/>
          <w:lang w:val="fr-FR"/>
        </w:rPr>
        <w:t>aïti</w:t>
      </w:r>
      <w:r>
        <w:rPr>
          <w:rFonts w:ascii="Arial" w:hAnsi="Arial" w:cs="Arial"/>
          <w:bCs/>
          <w:sz w:val="22"/>
          <w:szCs w:val="22"/>
          <w:lang w:val="fr-FR"/>
        </w:rPr>
        <w:t>en</w:t>
      </w:r>
      <w:r w:rsidRPr="00061C62">
        <w:rPr>
          <w:rFonts w:ascii="Arial" w:hAnsi="Arial" w:cs="Arial"/>
          <w:bCs/>
          <w:sz w:val="22"/>
          <w:szCs w:val="22"/>
          <w:lang w:val="fr-FR"/>
        </w:rPr>
        <w:t>, et la délégation applaudi</w:t>
      </w:r>
      <w:r>
        <w:rPr>
          <w:rFonts w:ascii="Arial" w:hAnsi="Arial" w:cs="Arial"/>
          <w:bCs/>
          <w:sz w:val="22"/>
          <w:szCs w:val="22"/>
          <w:lang w:val="fr-FR"/>
        </w:rPr>
        <w:t xml:space="preserve">ssait </w:t>
      </w:r>
      <w:r w:rsidRPr="00061C62">
        <w:rPr>
          <w:rFonts w:ascii="Arial" w:hAnsi="Arial" w:cs="Arial"/>
          <w:bCs/>
          <w:sz w:val="22"/>
          <w:szCs w:val="22"/>
          <w:lang w:val="fr-FR"/>
        </w:rPr>
        <w:t>et célébr</w:t>
      </w:r>
      <w:r>
        <w:rPr>
          <w:rFonts w:ascii="Arial" w:hAnsi="Arial" w:cs="Arial"/>
          <w:bCs/>
          <w:sz w:val="22"/>
          <w:szCs w:val="22"/>
          <w:lang w:val="fr-FR"/>
        </w:rPr>
        <w:t>ait</w:t>
      </w:r>
      <w:r w:rsidRPr="00061C62">
        <w:rPr>
          <w:rFonts w:ascii="Arial" w:hAnsi="Arial" w:cs="Arial"/>
          <w:bCs/>
          <w:sz w:val="22"/>
          <w:szCs w:val="22"/>
          <w:lang w:val="fr-FR"/>
        </w:rPr>
        <w:t xml:space="preserve"> cette inscription.</w:t>
      </w:r>
    </w:p>
    <w:p w14:paraId="73EC6D5E" w14:textId="26FBD29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02A33">
        <w:rPr>
          <w:rFonts w:ascii="Arial" w:hAnsi="Arial" w:cs="Arial"/>
          <w:bCs/>
          <w:sz w:val="22"/>
          <w:szCs w:val="22"/>
          <w:lang w:val="fr-FR"/>
        </w:rPr>
        <w:t xml:space="preserve">La délégation </w:t>
      </w:r>
      <w:r>
        <w:rPr>
          <w:rFonts w:ascii="Arial" w:hAnsi="Arial" w:cs="Arial"/>
          <w:bCs/>
          <w:sz w:val="22"/>
          <w:szCs w:val="22"/>
          <w:lang w:val="fr-FR"/>
        </w:rPr>
        <w:t xml:space="preserve">de </w:t>
      </w:r>
      <w:r w:rsidRPr="00802A33">
        <w:rPr>
          <w:rFonts w:ascii="Arial" w:hAnsi="Arial" w:cs="Arial"/>
          <w:b/>
          <w:sz w:val="22"/>
          <w:szCs w:val="22"/>
          <w:lang w:val="fr-FR"/>
        </w:rPr>
        <w:t>Djibouti</w:t>
      </w:r>
      <w:r w:rsidRPr="00802A33">
        <w:rPr>
          <w:rFonts w:ascii="Arial" w:hAnsi="Arial" w:cs="Arial"/>
          <w:bCs/>
          <w:sz w:val="22"/>
          <w:szCs w:val="22"/>
          <w:lang w:val="fr-FR"/>
        </w:rPr>
        <w:t xml:space="preserve"> a réitéré sa position exprimée lors de la réunion du Comité en soutenant pleinement l</w:t>
      </w:r>
      <w:r w:rsidR="008E532B">
        <w:rPr>
          <w:rFonts w:ascii="Arial" w:hAnsi="Arial" w:cs="Arial"/>
          <w:bCs/>
          <w:sz w:val="22"/>
          <w:szCs w:val="22"/>
          <w:lang w:val="fr-FR"/>
        </w:rPr>
        <w:t>’</w:t>
      </w:r>
      <w:r w:rsidRPr="00802A33">
        <w:rPr>
          <w:rFonts w:ascii="Arial" w:hAnsi="Arial" w:cs="Arial"/>
          <w:bCs/>
          <w:sz w:val="22"/>
          <w:szCs w:val="22"/>
          <w:lang w:val="fr-FR"/>
        </w:rPr>
        <w:t xml:space="preserve">inscription méritée de la soupe </w:t>
      </w:r>
      <w:r>
        <w:rPr>
          <w:rFonts w:ascii="Arial" w:hAnsi="Arial" w:cs="Arial"/>
          <w:bCs/>
          <w:sz w:val="22"/>
          <w:szCs w:val="22"/>
          <w:lang w:val="fr-FR"/>
        </w:rPr>
        <w:t xml:space="preserve">au giraumon </w:t>
      </w:r>
      <w:r w:rsidRPr="00802A33">
        <w:rPr>
          <w:rFonts w:ascii="Arial" w:hAnsi="Arial" w:cs="Arial"/>
          <w:bCs/>
          <w:sz w:val="22"/>
          <w:szCs w:val="22"/>
          <w:lang w:val="fr-FR"/>
        </w:rPr>
        <w:t>par Haïti</w:t>
      </w:r>
      <w:r>
        <w:rPr>
          <w:rFonts w:ascii="Arial" w:hAnsi="Arial" w:cs="Arial"/>
          <w:bCs/>
          <w:sz w:val="22"/>
          <w:szCs w:val="22"/>
          <w:lang w:val="fr-FR"/>
        </w:rPr>
        <w:t xml:space="preserve">. Elle a </w:t>
      </w:r>
      <w:r w:rsidRPr="00802A33">
        <w:rPr>
          <w:rFonts w:ascii="Arial" w:hAnsi="Arial" w:cs="Arial"/>
          <w:bCs/>
          <w:sz w:val="22"/>
          <w:szCs w:val="22"/>
          <w:lang w:val="fr-FR"/>
        </w:rPr>
        <w:t>félicit</w:t>
      </w:r>
      <w:r>
        <w:rPr>
          <w:rFonts w:ascii="Arial" w:hAnsi="Arial" w:cs="Arial"/>
          <w:bCs/>
          <w:sz w:val="22"/>
          <w:szCs w:val="22"/>
          <w:lang w:val="fr-FR"/>
        </w:rPr>
        <w:t>é</w:t>
      </w:r>
      <w:r w:rsidRPr="00802A33">
        <w:rPr>
          <w:rFonts w:ascii="Arial" w:hAnsi="Arial" w:cs="Arial"/>
          <w:bCs/>
          <w:sz w:val="22"/>
          <w:szCs w:val="22"/>
          <w:lang w:val="fr-FR"/>
        </w:rPr>
        <w:t xml:space="preserve"> le pays depuis la recommandation de l</w:t>
      </w:r>
      <w:r w:rsidR="008E532B">
        <w:rPr>
          <w:rFonts w:ascii="Arial" w:hAnsi="Arial" w:cs="Arial"/>
          <w:bCs/>
          <w:sz w:val="22"/>
          <w:szCs w:val="22"/>
          <w:lang w:val="fr-FR"/>
        </w:rPr>
        <w:t>’</w:t>
      </w:r>
      <w:r w:rsidRPr="00802A33">
        <w:rPr>
          <w:rFonts w:ascii="Arial" w:hAnsi="Arial" w:cs="Arial"/>
          <w:bCs/>
          <w:sz w:val="22"/>
          <w:szCs w:val="22"/>
          <w:lang w:val="fr-FR"/>
        </w:rPr>
        <w:t>Organe d</w:t>
      </w:r>
      <w:r w:rsidR="008E532B">
        <w:rPr>
          <w:rFonts w:ascii="Arial" w:hAnsi="Arial" w:cs="Arial"/>
          <w:bCs/>
          <w:sz w:val="22"/>
          <w:szCs w:val="22"/>
          <w:lang w:val="fr-FR"/>
        </w:rPr>
        <w:t>’</w:t>
      </w:r>
      <w:r w:rsidRPr="00802A33">
        <w:rPr>
          <w:rFonts w:ascii="Arial" w:hAnsi="Arial" w:cs="Arial"/>
          <w:bCs/>
          <w:sz w:val="22"/>
          <w:szCs w:val="22"/>
          <w:lang w:val="fr-FR"/>
        </w:rPr>
        <w:t>évaluation dans laquelle les cinq critères avaient été</w:t>
      </w:r>
      <w:r>
        <w:rPr>
          <w:rFonts w:ascii="Arial" w:hAnsi="Arial" w:cs="Arial"/>
          <w:bCs/>
          <w:sz w:val="22"/>
          <w:szCs w:val="22"/>
          <w:lang w:val="fr-FR"/>
        </w:rPr>
        <w:t xml:space="preserve"> satisfaits</w:t>
      </w:r>
      <w:r w:rsidRPr="00802A33">
        <w:rPr>
          <w:rFonts w:ascii="Arial" w:hAnsi="Arial" w:cs="Arial"/>
          <w:bCs/>
          <w:sz w:val="22"/>
          <w:szCs w:val="22"/>
          <w:lang w:val="fr-FR"/>
        </w:rPr>
        <w:t>. En tant qu</w:t>
      </w:r>
      <w:r w:rsidR="008E532B">
        <w:rPr>
          <w:rFonts w:ascii="Arial" w:hAnsi="Arial" w:cs="Arial"/>
          <w:bCs/>
          <w:sz w:val="22"/>
          <w:szCs w:val="22"/>
          <w:lang w:val="fr-FR"/>
        </w:rPr>
        <w:t>’</w:t>
      </w:r>
      <w:r w:rsidRPr="00802A33">
        <w:rPr>
          <w:rFonts w:ascii="Arial" w:hAnsi="Arial" w:cs="Arial"/>
          <w:bCs/>
          <w:sz w:val="22"/>
          <w:szCs w:val="22"/>
          <w:lang w:val="fr-FR"/>
        </w:rPr>
        <w:t>êtres humains réunis ici avec des principes et des valeurs, et compte tenu de la situation qui prévalait à l</w:t>
      </w:r>
      <w:r w:rsidR="008E532B">
        <w:rPr>
          <w:rFonts w:ascii="Arial" w:hAnsi="Arial" w:cs="Arial"/>
          <w:bCs/>
          <w:sz w:val="22"/>
          <w:szCs w:val="22"/>
          <w:lang w:val="fr-FR"/>
        </w:rPr>
        <w:t>’</w:t>
      </w:r>
      <w:r w:rsidRPr="00802A33">
        <w:rPr>
          <w:rFonts w:ascii="Arial" w:hAnsi="Arial" w:cs="Arial"/>
          <w:bCs/>
          <w:sz w:val="22"/>
          <w:szCs w:val="22"/>
          <w:lang w:val="fr-FR"/>
        </w:rPr>
        <w:t xml:space="preserve">époque, les États parties avaient fait preuve de solidarité et de compassion envers le peuple haïtien. </w:t>
      </w:r>
      <w:r>
        <w:rPr>
          <w:rFonts w:ascii="Arial" w:hAnsi="Arial" w:cs="Arial"/>
          <w:bCs/>
          <w:sz w:val="22"/>
          <w:szCs w:val="22"/>
          <w:lang w:val="fr-FR"/>
        </w:rPr>
        <w:t>À l</w:t>
      </w:r>
      <w:r w:rsidR="008E532B">
        <w:rPr>
          <w:rFonts w:ascii="Arial" w:hAnsi="Arial" w:cs="Arial"/>
          <w:bCs/>
          <w:sz w:val="22"/>
          <w:szCs w:val="22"/>
          <w:lang w:val="fr-FR"/>
        </w:rPr>
        <w:t>’</w:t>
      </w:r>
      <w:r>
        <w:rPr>
          <w:rFonts w:ascii="Arial" w:hAnsi="Arial" w:cs="Arial"/>
          <w:bCs/>
          <w:sz w:val="22"/>
          <w:szCs w:val="22"/>
          <w:lang w:val="fr-FR"/>
        </w:rPr>
        <w:t>occasion de cette journée de célébration qui démontrait l</w:t>
      </w:r>
      <w:r w:rsidR="008E532B">
        <w:rPr>
          <w:rFonts w:ascii="Arial" w:hAnsi="Arial" w:cs="Arial"/>
          <w:bCs/>
          <w:sz w:val="22"/>
          <w:szCs w:val="22"/>
          <w:lang w:val="fr-FR"/>
        </w:rPr>
        <w:t>’</w:t>
      </w:r>
      <w:r>
        <w:rPr>
          <w:rFonts w:ascii="Arial" w:hAnsi="Arial" w:cs="Arial"/>
          <w:bCs/>
          <w:sz w:val="22"/>
          <w:szCs w:val="22"/>
          <w:lang w:val="fr-FR"/>
        </w:rPr>
        <w:t>unité de l</w:t>
      </w:r>
      <w:r w:rsidR="008E532B">
        <w:rPr>
          <w:rFonts w:ascii="Arial" w:hAnsi="Arial" w:cs="Arial"/>
          <w:bCs/>
          <w:sz w:val="22"/>
          <w:szCs w:val="22"/>
          <w:lang w:val="fr-FR"/>
        </w:rPr>
        <w:t>’</w:t>
      </w:r>
      <w:r>
        <w:rPr>
          <w:rFonts w:ascii="Arial" w:hAnsi="Arial" w:cs="Arial"/>
          <w:bCs/>
          <w:sz w:val="22"/>
          <w:szCs w:val="22"/>
          <w:lang w:val="fr-FR"/>
        </w:rPr>
        <w:t>Assemblée dans la diversité, l</w:t>
      </w:r>
      <w:r w:rsidRPr="00802A33">
        <w:rPr>
          <w:rFonts w:ascii="Arial" w:hAnsi="Arial" w:cs="Arial"/>
          <w:bCs/>
          <w:sz w:val="22"/>
          <w:szCs w:val="22"/>
          <w:lang w:val="fr-FR"/>
        </w:rPr>
        <w:t>a délégation a félicité l</w:t>
      </w:r>
      <w:r w:rsidR="008E532B">
        <w:rPr>
          <w:rFonts w:ascii="Arial" w:hAnsi="Arial" w:cs="Arial"/>
          <w:bCs/>
          <w:sz w:val="22"/>
          <w:szCs w:val="22"/>
          <w:lang w:val="fr-FR"/>
        </w:rPr>
        <w:t>’</w:t>
      </w:r>
      <w:r w:rsidRPr="00802A33">
        <w:rPr>
          <w:rFonts w:ascii="Arial" w:hAnsi="Arial" w:cs="Arial"/>
          <w:bCs/>
          <w:sz w:val="22"/>
          <w:szCs w:val="22"/>
          <w:lang w:val="fr-FR"/>
        </w:rPr>
        <w:t>ambassad</w:t>
      </w:r>
      <w:r w:rsidR="008E532B">
        <w:rPr>
          <w:rFonts w:ascii="Arial" w:hAnsi="Arial" w:cs="Arial"/>
          <w:bCs/>
          <w:sz w:val="22"/>
          <w:szCs w:val="22"/>
          <w:lang w:val="fr-FR"/>
        </w:rPr>
        <w:t>eur</w:t>
      </w:r>
      <w:r w:rsidRPr="00802A33">
        <w:rPr>
          <w:rFonts w:ascii="Arial" w:hAnsi="Arial" w:cs="Arial"/>
          <w:bCs/>
          <w:sz w:val="22"/>
          <w:szCs w:val="22"/>
          <w:lang w:val="fr-FR"/>
        </w:rPr>
        <w:t xml:space="preserve"> d</w:t>
      </w:r>
      <w:r w:rsidR="008E532B">
        <w:rPr>
          <w:rFonts w:ascii="Arial" w:hAnsi="Arial" w:cs="Arial"/>
          <w:bCs/>
          <w:sz w:val="22"/>
          <w:szCs w:val="22"/>
          <w:lang w:val="fr-FR"/>
        </w:rPr>
        <w:t>’</w:t>
      </w:r>
      <w:r w:rsidRPr="00802A33">
        <w:rPr>
          <w:rFonts w:ascii="Arial" w:hAnsi="Arial" w:cs="Arial"/>
          <w:bCs/>
          <w:sz w:val="22"/>
          <w:szCs w:val="22"/>
          <w:lang w:val="fr-FR"/>
        </w:rPr>
        <w:t>Haïti pour son grand travail. Elle a félicité les membres élus du Comité. Ayant siégé au Comité pendant les quatre dernières années et en tant que Vice-</w:t>
      </w:r>
      <w:r>
        <w:rPr>
          <w:rFonts w:ascii="Arial" w:hAnsi="Arial" w:cs="Arial"/>
          <w:bCs/>
          <w:sz w:val="22"/>
          <w:szCs w:val="22"/>
          <w:lang w:val="fr-FR"/>
        </w:rPr>
        <w:t>P</w:t>
      </w:r>
      <w:r w:rsidRPr="00802A33">
        <w:rPr>
          <w:rFonts w:ascii="Arial" w:hAnsi="Arial" w:cs="Arial"/>
          <w:bCs/>
          <w:sz w:val="22"/>
          <w:szCs w:val="22"/>
          <w:lang w:val="fr-FR"/>
        </w:rPr>
        <w:t>résident du Groupe V(a) pendant deux ans, Djibouti a remercié tous</w:t>
      </w:r>
      <w:r>
        <w:rPr>
          <w:rFonts w:ascii="Arial" w:hAnsi="Arial" w:cs="Arial"/>
          <w:bCs/>
          <w:sz w:val="22"/>
          <w:szCs w:val="22"/>
          <w:lang w:val="fr-FR"/>
        </w:rPr>
        <w:t xml:space="preserve"> ceux qui l</w:t>
      </w:r>
      <w:r w:rsidR="008E532B">
        <w:rPr>
          <w:rFonts w:ascii="Arial" w:hAnsi="Arial" w:cs="Arial"/>
          <w:bCs/>
          <w:sz w:val="22"/>
          <w:szCs w:val="22"/>
          <w:lang w:val="fr-FR"/>
        </w:rPr>
        <w:t>’</w:t>
      </w:r>
      <w:r>
        <w:rPr>
          <w:rFonts w:ascii="Arial" w:hAnsi="Arial" w:cs="Arial"/>
          <w:bCs/>
          <w:sz w:val="22"/>
          <w:szCs w:val="22"/>
          <w:lang w:val="fr-FR"/>
        </w:rPr>
        <w:t>avaient soutenu</w:t>
      </w:r>
      <w:r w:rsidRPr="00802A33">
        <w:rPr>
          <w:rFonts w:ascii="Arial" w:hAnsi="Arial" w:cs="Arial"/>
          <w:bCs/>
          <w:sz w:val="22"/>
          <w:szCs w:val="22"/>
          <w:lang w:val="fr-FR"/>
        </w:rPr>
        <w:t xml:space="preserve"> et, en particulier, </w:t>
      </w:r>
      <w:r>
        <w:rPr>
          <w:rFonts w:ascii="Arial" w:hAnsi="Arial" w:cs="Arial"/>
          <w:bCs/>
          <w:sz w:val="22"/>
          <w:szCs w:val="22"/>
          <w:lang w:val="fr-FR"/>
        </w:rPr>
        <w:t xml:space="preserve">les États parties </w:t>
      </w:r>
      <w:r w:rsidRPr="00802A33">
        <w:rPr>
          <w:rFonts w:ascii="Arial" w:hAnsi="Arial" w:cs="Arial"/>
          <w:bCs/>
          <w:sz w:val="22"/>
          <w:szCs w:val="22"/>
          <w:lang w:val="fr-FR"/>
        </w:rPr>
        <w:t>du Groupe V(a) pour leur confiance pendant deux mandats, souhaitant bonne chance aux nouveaux venus. Le Comité a</w:t>
      </w:r>
      <w:r>
        <w:rPr>
          <w:rFonts w:ascii="Arial" w:hAnsi="Arial" w:cs="Arial"/>
          <w:bCs/>
          <w:sz w:val="22"/>
          <w:szCs w:val="22"/>
          <w:lang w:val="fr-FR"/>
        </w:rPr>
        <w:t xml:space="preserve">vait montré </w:t>
      </w:r>
      <w:r w:rsidRPr="00802A33">
        <w:rPr>
          <w:rFonts w:ascii="Arial" w:hAnsi="Arial" w:cs="Arial"/>
          <w:bCs/>
          <w:sz w:val="22"/>
          <w:szCs w:val="22"/>
          <w:lang w:val="fr-FR"/>
        </w:rPr>
        <w:t>sa solidarité et que l</w:t>
      </w:r>
      <w:r w:rsidR="008E532B">
        <w:rPr>
          <w:rFonts w:ascii="Arial" w:hAnsi="Arial" w:cs="Arial"/>
          <w:bCs/>
          <w:sz w:val="22"/>
          <w:szCs w:val="22"/>
          <w:lang w:val="fr-FR"/>
        </w:rPr>
        <w:t>’</w:t>
      </w:r>
      <w:r w:rsidRPr="00802A33">
        <w:rPr>
          <w:rFonts w:ascii="Arial" w:hAnsi="Arial" w:cs="Arial"/>
          <w:bCs/>
          <w:sz w:val="22"/>
          <w:szCs w:val="22"/>
          <w:lang w:val="fr-FR"/>
        </w:rPr>
        <w:t>UNESCO ne se résume pas à des mots mais à des actes.</w:t>
      </w:r>
    </w:p>
    <w:p w14:paraId="502CA635" w14:textId="6F1D634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7769A">
        <w:rPr>
          <w:rFonts w:ascii="Arial" w:hAnsi="Arial" w:cs="Arial"/>
          <w:bCs/>
          <w:sz w:val="22"/>
          <w:szCs w:val="22"/>
          <w:lang w:val="fr-FR"/>
        </w:rPr>
        <w:t xml:space="preserve">La délégation </w:t>
      </w:r>
      <w:r>
        <w:rPr>
          <w:rFonts w:ascii="Arial" w:hAnsi="Arial" w:cs="Arial"/>
          <w:bCs/>
          <w:sz w:val="22"/>
          <w:szCs w:val="22"/>
          <w:lang w:val="fr-FR"/>
        </w:rPr>
        <w:t xml:space="preserve">de la </w:t>
      </w:r>
      <w:r w:rsidRPr="0067769A">
        <w:rPr>
          <w:rFonts w:ascii="Arial" w:hAnsi="Arial" w:cs="Arial"/>
          <w:b/>
          <w:sz w:val="22"/>
          <w:szCs w:val="22"/>
          <w:lang w:val="fr-FR"/>
        </w:rPr>
        <w:t>Colombie</w:t>
      </w:r>
      <w:r>
        <w:rPr>
          <w:rFonts w:ascii="Arial" w:hAnsi="Arial" w:cs="Arial"/>
          <w:bCs/>
          <w:sz w:val="22"/>
          <w:szCs w:val="22"/>
          <w:lang w:val="fr-FR"/>
        </w:rPr>
        <w:t xml:space="preserve"> </w:t>
      </w:r>
      <w:r w:rsidRPr="0067769A">
        <w:rPr>
          <w:rFonts w:ascii="Arial" w:hAnsi="Arial" w:cs="Arial"/>
          <w:bCs/>
          <w:sz w:val="22"/>
          <w:szCs w:val="22"/>
          <w:lang w:val="fr-FR"/>
        </w:rPr>
        <w:t xml:space="preserve">a félicité Haïti pour son inscription ainsi que </w:t>
      </w:r>
      <w:r>
        <w:rPr>
          <w:rFonts w:ascii="Arial" w:hAnsi="Arial" w:cs="Arial"/>
          <w:bCs/>
          <w:sz w:val="22"/>
          <w:szCs w:val="22"/>
          <w:lang w:val="fr-FR"/>
        </w:rPr>
        <w:t xml:space="preserve">le Comité </w:t>
      </w:r>
      <w:r w:rsidRPr="0067769A">
        <w:rPr>
          <w:rFonts w:ascii="Arial" w:hAnsi="Arial" w:cs="Arial"/>
          <w:bCs/>
          <w:sz w:val="22"/>
          <w:szCs w:val="22"/>
          <w:lang w:val="fr-FR"/>
        </w:rPr>
        <w:t xml:space="preserve">pour la démonstration </w:t>
      </w:r>
      <w:r>
        <w:rPr>
          <w:rFonts w:ascii="Arial" w:hAnsi="Arial" w:cs="Arial"/>
          <w:bCs/>
          <w:sz w:val="22"/>
          <w:szCs w:val="22"/>
          <w:lang w:val="fr-FR"/>
        </w:rPr>
        <w:t>qu</w:t>
      </w:r>
      <w:r w:rsidR="008E532B">
        <w:rPr>
          <w:rFonts w:ascii="Arial" w:hAnsi="Arial" w:cs="Arial"/>
          <w:bCs/>
          <w:sz w:val="22"/>
          <w:szCs w:val="22"/>
          <w:lang w:val="fr-FR"/>
        </w:rPr>
        <w:t>’</w:t>
      </w:r>
      <w:r>
        <w:rPr>
          <w:rFonts w:ascii="Arial" w:hAnsi="Arial" w:cs="Arial"/>
          <w:bCs/>
          <w:sz w:val="22"/>
          <w:szCs w:val="22"/>
          <w:lang w:val="fr-FR"/>
        </w:rPr>
        <w:t xml:space="preserve">il avait faite </w:t>
      </w:r>
      <w:r w:rsidRPr="0067769A">
        <w:rPr>
          <w:rFonts w:ascii="Arial" w:hAnsi="Arial" w:cs="Arial"/>
          <w:bCs/>
          <w:sz w:val="22"/>
          <w:szCs w:val="22"/>
          <w:lang w:val="fr-FR"/>
        </w:rPr>
        <w:t xml:space="preserve">de </w:t>
      </w:r>
      <w:r>
        <w:rPr>
          <w:rFonts w:ascii="Arial" w:hAnsi="Arial" w:cs="Arial"/>
          <w:bCs/>
          <w:sz w:val="22"/>
          <w:szCs w:val="22"/>
          <w:lang w:val="fr-FR"/>
        </w:rPr>
        <w:t xml:space="preserve">sa </w:t>
      </w:r>
      <w:r w:rsidRPr="0067769A">
        <w:rPr>
          <w:rFonts w:ascii="Arial" w:hAnsi="Arial" w:cs="Arial"/>
          <w:bCs/>
          <w:sz w:val="22"/>
          <w:szCs w:val="22"/>
          <w:lang w:val="fr-FR"/>
        </w:rPr>
        <w:t xml:space="preserve">flexibilité </w:t>
      </w:r>
      <w:r>
        <w:rPr>
          <w:rFonts w:ascii="Arial" w:hAnsi="Arial" w:cs="Arial"/>
          <w:bCs/>
          <w:sz w:val="22"/>
          <w:szCs w:val="22"/>
          <w:lang w:val="fr-FR"/>
        </w:rPr>
        <w:t>et de</w:t>
      </w:r>
      <w:r w:rsidRPr="0067769A">
        <w:rPr>
          <w:rFonts w:ascii="Arial" w:hAnsi="Arial" w:cs="Arial"/>
          <w:bCs/>
          <w:sz w:val="22"/>
          <w:szCs w:val="22"/>
          <w:lang w:val="fr-FR"/>
        </w:rPr>
        <w:t xml:space="preserve"> sa capacité à tirer </w:t>
      </w:r>
      <w:r>
        <w:rPr>
          <w:rFonts w:ascii="Arial" w:hAnsi="Arial" w:cs="Arial"/>
          <w:bCs/>
          <w:sz w:val="22"/>
          <w:szCs w:val="22"/>
          <w:lang w:val="fr-FR"/>
        </w:rPr>
        <w:t xml:space="preserve">les </w:t>
      </w:r>
      <w:r w:rsidRPr="008354A6">
        <w:rPr>
          <w:rFonts w:ascii="Arial" w:hAnsi="Arial" w:cs="Arial"/>
          <w:bCs/>
          <w:sz w:val="22"/>
          <w:szCs w:val="22"/>
          <w:lang w:val="fr-FR"/>
        </w:rPr>
        <w:t>enseignemen</w:t>
      </w:r>
      <w:r>
        <w:rPr>
          <w:rFonts w:ascii="Arial" w:hAnsi="Arial" w:cs="Arial"/>
          <w:bCs/>
          <w:sz w:val="22"/>
          <w:szCs w:val="22"/>
          <w:lang w:val="fr-FR"/>
        </w:rPr>
        <w:t>ts</w:t>
      </w:r>
      <w:r w:rsidRPr="0067769A">
        <w:rPr>
          <w:rFonts w:ascii="Arial" w:hAnsi="Arial" w:cs="Arial"/>
          <w:bCs/>
          <w:sz w:val="22"/>
          <w:szCs w:val="22"/>
          <w:lang w:val="fr-FR"/>
        </w:rPr>
        <w:t xml:space="preserve"> de situations inhabituelles </w:t>
      </w:r>
      <w:r>
        <w:rPr>
          <w:rFonts w:ascii="Arial" w:hAnsi="Arial" w:cs="Arial"/>
          <w:bCs/>
          <w:sz w:val="22"/>
          <w:szCs w:val="22"/>
          <w:lang w:val="fr-FR"/>
        </w:rPr>
        <w:t>à l</w:t>
      </w:r>
      <w:r w:rsidR="008E532B">
        <w:rPr>
          <w:rFonts w:ascii="Arial" w:hAnsi="Arial" w:cs="Arial"/>
          <w:bCs/>
          <w:sz w:val="22"/>
          <w:szCs w:val="22"/>
          <w:lang w:val="fr-FR"/>
        </w:rPr>
        <w:t>’</w:t>
      </w:r>
      <w:r>
        <w:rPr>
          <w:rFonts w:ascii="Arial" w:hAnsi="Arial" w:cs="Arial"/>
          <w:bCs/>
          <w:sz w:val="22"/>
          <w:szCs w:val="22"/>
          <w:lang w:val="fr-FR"/>
        </w:rPr>
        <w:t>occasion</w:t>
      </w:r>
      <w:r w:rsidRPr="0067769A">
        <w:rPr>
          <w:rFonts w:ascii="Arial" w:hAnsi="Arial" w:cs="Arial"/>
          <w:bCs/>
          <w:sz w:val="22"/>
          <w:szCs w:val="22"/>
          <w:lang w:val="fr-FR"/>
        </w:rPr>
        <w:t xml:space="preserve"> de la mise au point de ses procédures au cours des derniers mois. Elle a </w:t>
      </w:r>
      <w:r>
        <w:rPr>
          <w:rFonts w:ascii="Arial" w:hAnsi="Arial" w:cs="Arial"/>
          <w:bCs/>
          <w:sz w:val="22"/>
          <w:szCs w:val="22"/>
          <w:lang w:val="fr-FR"/>
        </w:rPr>
        <w:t>salué</w:t>
      </w:r>
      <w:r w:rsidRPr="0067769A">
        <w:rPr>
          <w:rFonts w:ascii="Arial" w:hAnsi="Arial" w:cs="Arial"/>
          <w:bCs/>
          <w:sz w:val="22"/>
          <w:szCs w:val="22"/>
          <w:lang w:val="fr-FR"/>
        </w:rPr>
        <w:t xml:space="preserve"> la preuve de solidarité et d</w:t>
      </w:r>
      <w:r w:rsidR="008E532B">
        <w:rPr>
          <w:rFonts w:ascii="Arial" w:hAnsi="Arial" w:cs="Arial"/>
          <w:bCs/>
          <w:sz w:val="22"/>
          <w:szCs w:val="22"/>
          <w:lang w:val="fr-FR"/>
        </w:rPr>
        <w:t>’</w:t>
      </w:r>
      <w:r w:rsidRPr="0067769A">
        <w:rPr>
          <w:rFonts w:ascii="Arial" w:hAnsi="Arial" w:cs="Arial"/>
          <w:bCs/>
          <w:sz w:val="22"/>
          <w:szCs w:val="22"/>
          <w:lang w:val="fr-FR"/>
        </w:rPr>
        <w:t>amitié démontrée par cette inscription. La délégation</w:t>
      </w:r>
      <w:r>
        <w:rPr>
          <w:rFonts w:ascii="Arial" w:hAnsi="Arial" w:cs="Arial"/>
          <w:bCs/>
          <w:sz w:val="22"/>
          <w:szCs w:val="22"/>
          <w:lang w:val="fr-FR"/>
        </w:rPr>
        <w:t xml:space="preserve">, qui </w:t>
      </w:r>
      <w:r w:rsidRPr="0067769A">
        <w:rPr>
          <w:rFonts w:ascii="Arial" w:hAnsi="Arial" w:cs="Arial"/>
          <w:bCs/>
          <w:sz w:val="22"/>
          <w:szCs w:val="22"/>
          <w:lang w:val="fr-FR"/>
        </w:rPr>
        <w:t>a</w:t>
      </w:r>
      <w:r>
        <w:rPr>
          <w:rFonts w:ascii="Arial" w:hAnsi="Arial" w:cs="Arial"/>
          <w:bCs/>
          <w:sz w:val="22"/>
          <w:szCs w:val="22"/>
          <w:lang w:val="fr-FR"/>
        </w:rPr>
        <w:t>vait</w:t>
      </w:r>
      <w:r w:rsidRPr="0067769A">
        <w:rPr>
          <w:rFonts w:ascii="Arial" w:hAnsi="Arial" w:cs="Arial"/>
          <w:bCs/>
          <w:sz w:val="22"/>
          <w:szCs w:val="22"/>
          <w:lang w:val="fr-FR"/>
        </w:rPr>
        <w:t xml:space="preserve"> déjà présenté ses commentaires techniques</w:t>
      </w:r>
      <w:r>
        <w:rPr>
          <w:rFonts w:ascii="Arial" w:hAnsi="Arial" w:cs="Arial"/>
          <w:bCs/>
          <w:sz w:val="22"/>
          <w:szCs w:val="22"/>
          <w:lang w:val="fr-FR"/>
        </w:rPr>
        <w:t>,</w:t>
      </w:r>
      <w:r w:rsidRPr="0067769A">
        <w:rPr>
          <w:rFonts w:ascii="Arial" w:hAnsi="Arial" w:cs="Arial"/>
          <w:bCs/>
          <w:sz w:val="22"/>
          <w:szCs w:val="22"/>
          <w:lang w:val="fr-FR"/>
        </w:rPr>
        <w:t xml:space="preserve"> </w:t>
      </w:r>
      <w:r>
        <w:rPr>
          <w:rFonts w:ascii="Arial" w:hAnsi="Arial" w:cs="Arial"/>
          <w:bCs/>
          <w:sz w:val="22"/>
          <w:szCs w:val="22"/>
          <w:lang w:val="fr-FR"/>
        </w:rPr>
        <w:t xml:space="preserve">a donc approuvé </w:t>
      </w:r>
      <w:r w:rsidRPr="0067769A">
        <w:rPr>
          <w:rFonts w:ascii="Arial" w:hAnsi="Arial" w:cs="Arial"/>
          <w:bCs/>
          <w:sz w:val="22"/>
          <w:szCs w:val="22"/>
          <w:lang w:val="fr-FR"/>
        </w:rPr>
        <w:t>pleinement et félicit</w:t>
      </w:r>
      <w:r>
        <w:rPr>
          <w:rFonts w:ascii="Arial" w:hAnsi="Arial" w:cs="Arial"/>
          <w:bCs/>
          <w:sz w:val="22"/>
          <w:szCs w:val="22"/>
          <w:lang w:val="fr-FR"/>
        </w:rPr>
        <w:t>é</w:t>
      </w:r>
      <w:r w:rsidRPr="0067769A">
        <w:rPr>
          <w:rFonts w:ascii="Arial" w:hAnsi="Arial" w:cs="Arial"/>
          <w:bCs/>
          <w:sz w:val="22"/>
          <w:szCs w:val="22"/>
          <w:lang w:val="fr-FR"/>
        </w:rPr>
        <w:t xml:space="preserve"> tous les nouveaux membres du Comité, leur souhaitant bonne chance pour l</w:t>
      </w:r>
      <w:r w:rsidR="008E532B">
        <w:rPr>
          <w:rFonts w:ascii="Arial" w:hAnsi="Arial" w:cs="Arial"/>
          <w:bCs/>
          <w:sz w:val="22"/>
          <w:szCs w:val="22"/>
          <w:lang w:val="fr-FR"/>
        </w:rPr>
        <w:t>’</w:t>
      </w:r>
      <w:r w:rsidRPr="0067769A">
        <w:rPr>
          <w:rFonts w:ascii="Arial" w:hAnsi="Arial" w:cs="Arial"/>
          <w:bCs/>
          <w:sz w:val="22"/>
          <w:szCs w:val="22"/>
          <w:lang w:val="fr-FR"/>
        </w:rPr>
        <w:t>avenir.</w:t>
      </w:r>
    </w:p>
    <w:p w14:paraId="5BF13138" w14:textId="1D9CE70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354A6">
        <w:rPr>
          <w:rFonts w:ascii="Arial" w:hAnsi="Arial" w:cs="Arial"/>
          <w:bCs/>
          <w:sz w:val="22"/>
          <w:szCs w:val="22"/>
          <w:lang w:val="fr-FR"/>
        </w:rPr>
        <w:t xml:space="preserve">La délégation </w:t>
      </w:r>
      <w:r>
        <w:rPr>
          <w:rFonts w:ascii="Arial" w:hAnsi="Arial" w:cs="Arial"/>
          <w:bCs/>
          <w:sz w:val="22"/>
          <w:szCs w:val="22"/>
          <w:lang w:val="fr-FR"/>
        </w:rPr>
        <w:t xml:space="preserve">de la </w:t>
      </w:r>
      <w:r w:rsidRPr="006D154E">
        <w:rPr>
          <w:rFonts w:ascii="Arial" w:hAnsi="Arial" w:cs="Arial"/>
          <w:b/>
          <w:sz w:val="22"/>
          <w:szCs w:val="22"/>
          <w:lang w:val="fr-FR"/>
        </w:rPr>
        <w:t>République bolivarienne du Venezuela</w:t>
      </w:r>
      <w:r w:rsidRPr="008354A6">
        <w:rPr>
          <w:rFonts w:ascii="Arial" w:hAnsi="Arial" w:cs="Arial"/>
          <w:bCs/>
          <w:sz w:val="22"/>
          <w:szCs w:val="22"/>
          <w:lang w:val="fr-FR"/>
        </w:rPr>
        <w:t xml:space="preserve"> a joint sa voix </w:t>
      </w:r>
      <w:r>
        <w:rPr>
          <w:rFonts w:ascii="Arial" w:hAnsi="Arial" w:cs="Arial"/>
          <w:bCs/>
          <w:sz w:val="22"/>
          <w:szCs w:val="22"/>
          <w:lang w:val="fr-FR"/>
        </w:rPr>
        <w:t>à celles des</w:t>
      </w:r>
      <w:r w:rsidRPr="008354A6">
        <w:rPr>
          <w:rFonts w:ascii="Arial" w:hAnsi="Arial" w:cs="Arial"/>
          <w:bCs/>
          <w:sz w:val="22"/>
          <w:szCs w:val="22"/>
          <w:lang w:val="fr-FR"/>
        </w:rPr>
        <w:t xml:space="preserve"> autres membres du GRULAC ainsi qu</w:t>
      </w:r>
      <w:r>
        <w:rPr>
          <w:rFonts w:ascii="Arial" w:hAnsi="Arial" w:cs="Arial"/>
          <w:bCs/>
          <w:sz w:val="22"/>
          <w:szCs w:val="22"/>
          <w:lang w:val="fr-FR"/>
        </w:rPr>
        <w:t>e des</w:t>
      </w:r>
      <w:r w:rsidRPr="008354A6">
        <w:rPr>
          <w:rFonts w:ascii="Arial" w:hAnsi="Arial" w:cs="Arial"/>
          <w:bCs/>
          <w:sz w:val="22"/>
          <w:szCs w:val="22"/>
          <w:lang w:val="fr-FR"/>
        </w:rPr>
        <w:t xml:space="preserve"> autres groupes régionaux pour féliciter Haïti de l</w:t>
      </w:r>
      <w:r w:rsidR="008E532B">
        <w:rPr>
          <w:rFonts w:ascii="Arial" w:hAnsi="Arial" w:cs="Arial"/>
          <w:bCs/>
          <w:sz w:val="22"/>
          <w:szCs w:val="22"/>
          <w:lang w:val="fr-FR"/>
        </w:rPr>
        <w:t>’</w:t>
      </w:r>
      <w:r w:rsidRPr="008354A6">
        <w:rPr>
          <w:rFonts w:ascii="Arial" w:hAnsi="Arial" w:cs="Arial"/>
          <w:bCs/>
          <w:sz w:val="22"/>
          <w:szCs w:val="22"/>
          <w:lang w:val="fr-FR"/>
        </w:rPr>
        <w:t xml:space="preserve">inscription de la </w:t>
      </w:r>
      <w:r>
        <w:rPr>
          <w:rFonts w:ascii="Arial" w:hAnsi="Arial" w:cs="Arial"/>
          <w:bCs/>
          <w:sz w:val="22"/>
          <w:szCs w:val="22"/>
          <w:lang w:val="fr-FR"/>
        </w:rPr>
        <w:t>soupe au giraumon</w:t>
      </w:r>
      <w:r w:rsidRPr="008354A6">
        <w:rPr>
          <w:rFonts w:ascii="Arial" w:hAnsi="Arial" w:cs="Arial"/>
          <w:bCs/>
          <w:sz w:val="22"/>
          <w:szCs w:val="22"/>
          <w:lang w:val="fr-FR"/>
        </w:rPr>
        <w:t xml:space="preserve">. </w:t>
      </w:r>
      <w:r>
        <w:rPr>
          <w:rFonts w:ascii="Arial" w:hAnsi="Arial" w:cs="Arial"/>
          <w:bCs/>
          <w:sz w:val="22"/>
          <w:szCs w:val="22"/>
          <w:lang w:val="fr-FR"/>
        </w:rPr>
        <w:t xml:space="preserve">La République bolivarienne du Venezuela, qui </w:t>
      </w:r>
      <w:r w:rsidRPr="008354A6">
        <w:rPr>
          <w:rFonts w:ascii="Arial" w:hAnsi="Arial" w:cs="Arial"/>
          <w:bCs/>
          <w:sz w:val="22"/>
          <w:szCs w:val="22"/>
          <w:lang w:val="fr-FR"/>
        </w:rPr>
        <w:t>entret</w:t>
      </w:r>
      <w:r>
        <w:rPr>
          <w:rFonts w:ascii="Arial" w:hAnsi="Arial" w:cs="Arial"/>
          <w:bCs/>
          <w:sz w:val="22"/>
          <w:szCs w:val="22"/>
          <w:lang w:val="fr-FR"/>
        </w:rPr>
        <w:t>enait</w:t>
      </w:r>
      <w:r w:rsidRPr="008354A6">
        <w:rPr>
          <w:rFonts w:ascii="Arial" w:hAnsi="Arial" w:cs="Arial"/>
          <w:bCs/>
          <w:sz w:val="22"/>
          <w:szCs w:val="22"/>
          <w:lang w:val="fr-FR"/>
        </w:rPr>
        <w:t xml:space="preserve"> avec Haïti une relation et une amitié de longue date, antérieure à la Révolution haïtienne, s</w:t>
      </w:r>
      <w:r w:rsidR="008E532B">
        <w:rPr>
          <w:rFonts w:ascii="Arial" w:hAnsi="Arial" w:cs="Arial"/>
          <w:bCs/>
          <w:sz w:val="22"/>
          <w:szCs w:val="22"/>
          <w:lang w:val="fr-FR"/>
        </w:rPr>
        <w:t>’</w:t>
      </w:r>
      <w:r w:rsidRPr="008354A6">
        <w:rPr>
          <w:rFonts w:ascii="Arial" w:hAnsi="Arial" w:cs="Arial"/>
          <w:bCs/>
          <w:sz w:val="22"/>
          <w:szCs w:val="22"/>
          <w:lang w:val="fr-FR"/>
        </w:rPr>
        <w:t>est réjoui</w:t>
      </w:r>
      <w:r>
        <w:rPr>
          <w:rFonts w:ascii="Arial" w:hAnsi="Arial" w:cs="Arial"/>
          <w:bCs/>
          <w:sz w:val="22"/>
          <w:szCs w:val="22"/>
          <w:lang w:val="fr-FR"/>
        </w:rPr>
        <w:t>e</w:t>
      </w:r>
      <w:r w:rsidRPr="008354A6">
        <w:rPr>
          <w:rFonts w:ascii="Arial" w:hAnsi="Arial" w:cs="Arial"/>
          <w:bCs/>
          <w:sz w:val="22"/>
          <w:szCs w:val="22"/>
          <w:lang w:val="fr-FR"/>
        </w:rPr>
        <w:t xml:space="preserve"> de cette première inscription. </w:t>
      </w:r>
      <w:r>
        <w:rPr>
          <w:rFonts w:ascii="Arial" w:hAnsi="Arial" w:cs="Arial"/>
          <w:bCs/>
          <w:sz w:val="22"/>
          <w:szCs w:val="22"/>
          <w:lang w:val="fr-FR"/>
        </w:rPr>
        <w:t>Elle</w:t>
      </w:r>
      <w:r w:rsidRPr="008354A6">
        <w:rPr>
          <w:rFonts w:ascii="Arial" w:hAnsi="Arial" w:cs="Arial"/>
          <w:bCs/>
          <w:sz w:val="22"/>
          <w:szCs w:val="22"/>
          <w:lang w:val="fr-FR"/>
        </w:rPr>
        <w:t xml:space="preserve"> attend</w:t>
      </w:r>
      <w:r>
        <w:rPr>
          <w:rFonts w:ascii="Arial" w:hAnsi="Arial" w:cs="Arial"/>
          <w:bCs/>
          <w:sz w:val="22"/>
          <w:szCs w:val="22"/>
          <w:lang w:val="fr-FR"/>
        </w:rPr>
        <w:t>ait</w:t>
      </w:r>
      <w:r w:rsidRPr="008354A6">
        <w:rPr>
          <w:rFonts w:ascii="Arial" w:hAnsi="Arial" w:cs="Arial"/>
          <w:bCs/>
          <w:sz w:val="22"/>
          <w:szCs w:val="22"/>
          <w:lang w:val="fr-FR"/>
        </w:rPr>
        <w:t xml:space="preserve"> avec impatience d</w:t>
      </w:r>
      <w:r w:rsidR="008E532B">
        <w:rPr>
          <w:rFonts w:ascii="Arial" w:hAnsi="Arial" w:cs="Arial"/>
          <w:bCs/>
          <w:sz w:val="22"/>
          <w:szCs w:val="22"/>
          <w:lang w:val="fr-FR"/>
        </w:rPr>
        <w:t>’</w:t>
      </w:r>
      <w:r w:rsidRPr="008354A6">
        <w:rPr>
          <w:rFonts w:ascii="Arial" w:hAnsi="Arial" w:cs="Arial"/>
          <w:bCs/>
          <w:sz w:val="22"/>
          <w:szCs w:val="22"/>
          <w:lang w:val="fr-FR"/>
        </w:rPr>
        <w:t>autres éléments étant donné la richesse culturelle d</w:t>
      </w:r>
      <w:r w:rsidR="008E532B">
        <w:rPr>
          <w:rFonts w:ascii="Arial" w:hAnsi="Arial" w:cs="Arial"/>
          <w:bCs/>
          <w:sz w:val="22"/>
          <w:szCs w:val="22"/>
          <w:lang w:val="fr-FR"/>
        </w:rPr>
        <w:t>’</w:t>
      </w:r>
      <w:r w:rsidRPr="008354A6">
        <w:rPr>
          <w:rFonts w:ascii="Arial" w:hAnsi="Arial" w:cs="Arial"/>
          <w:bCs/>
          <w:sz w:val="22"/>
          <w:szCs w:val="22"/>
          <w:lang w:val="fr-FR"/>
        </w:rPr>
        <w:t>Haïti, qu</w:t>
      </w:r>
      <w:r>
        <w:rPr>
          <w:rFonts w:ascii="Arial" w:hAnsi="Arial" w:cs="Arial"/>
          <w:bCs/>
          <w:sz w:val="22"/>
          <w:szCs w:val="22"/>
          <w:lang w:val="fr-FR"/>
        </w:rPr>
        <w:t>e le pays</w:t>
      </w:r>
      <w:r w:rsidRPr="008354A6">
        <w:rPr>
          <w:rFonts w:ascii="Arial" w:hAnsi="Arial" w:cs="Arial"/>
          <w:bCs/>
          <w:sz w:val="22"/>
          <w:szCs w:val="22"/>
          <w:lang w:val="fr-FR"/>
        </w:rPr>
        <w:t xml:space="preserve"> pourra</w:t>
      </w:r>
      <w:r>
        <w:rPr>
          <w:rFonts w:ascii="Arial" w:hAnsi="Arial" w:cs="Arial"/>
          <w:bCs/>
          <w:sz w:val="22"/>
          <w:szCs w:val="22"/>
          <w:lang w:val="fr-FR"/>
        </w:rPr>
        <w:t>it</w:t>
      </w:r>
      <w:r w:rsidRPr="008354A6">
        <w:rPr>
          <w:rFonts w:ascii="Arial" w:hAnsi="Arial" w:cs="Arial"/>
          <w:bCs/>
          <w:sz w:val="22"/>
          <w:szCs w:val="22"/>
          <w:lang w:val="fr-FR"/>
        </w:rPr>
        <w:t xml:space="preserve"> partager avec le monde. La délégation </w:t>
      </w:r>
      <w:r>
        <w:rPr>
          <w:rFonts w:ascii="Arial" w:hAnsi="Arial" w:cs="Arial"/>
          <w:bCs/>
          <w:sz w:val="22"/>
          <w:szCs w:val="22"/>
          <w:lang w:val="fr-FR"/>
        </w:rPr>
        <w:t xml:space="preserve">soutenait </w:t>
      </w:r>
      <w:r w:rsidRPr="008354A6">
        <w:rPr>
          <w:rFonts w:ascii="Arial" w:hAnsi="Arial" w:cs="Arial"/>
          <w:bCs/>
          <w:sz w:val="22"/>
          <w:szCs w:val="22"/>
          <w:lang w:val="fr-FR"/>
        </w:rPr>
        <w:t>également</w:t>
      </w:r>
      <w:r>
        <w:rPr>
          <w:rFonts w:ascii="Arial" w:hAnsi="Arial" w:cs="Arial"/>
          <w:bCs/>
          <w:sz w:val="22"/>
          <w:szCs w:val="22"/>
          <w:lang w:val="fr-FR"/>
        </w:rPr>
        <w:t xml:space="preserve"> </w:t>
      </w:r>
      <w:r w:rsidRPr="008354A6">
        <w:rPr>
          <w:rFonts w:ascii="Arial" w:hAnsi="Arial" w:cs="Arial"/>
          <w:bCs/>
          <w:sz w:val="22"/>
          <w:szCs w:val="22"/>
          <w:lang w:val="fr-FR"/>
        </w:rPr>
        <w:t>les remarques concernant cette expérience d</w:t>
      </w:r>
      <w:r w:rsidR="008E532B">
        <w:rPr>
          <w:rFonts w:ascii="Arial" w:hAnsi="Arial" w:cs="Arial"/>
          <w:bCs/>
          <w:sz w:val="22"/>
          <w:szCs w:val="22"/>
          <w:lang w:val="fr-FR"/>
        </w:rPr>
        <w:t>’</w:t>
      </w:r>
      <w:r w:rsidRPr="008354A6">
        <w:rPr>
          <w:rFonts w:ascii="Arial" w:hAnsi="Arial" w:cs="Arial"/>
          <w:bCs/>
          <w:sz w:val="22"/>
          <w:szCs w:val="22"/>
          <w:lang w:val="fr-FR"/>
        </w:rPr>
        <w:t>apprentissage, ainsi que les discussions sur la manière de faire face à ce type de situations, pour lesquelles il serait nécessaire d</w:t>
      </w:r>
      <w:r w:rsidR="008E532B">
        <w:rPr>
          <w:rFonts w:ascii="Arial" w:hAnsi="Arial" w:cs="Arial"/>
          <w:bCs/>
          <w:sz w:val="22"/>
          <w:szCs w:val="22"/>
          <w:lang w:val="fr-FR"/>
        </w:rPr>
        <w:t>’</w:t>
      </w:r>
      <w:r w:rsidRPr="008354A6">
        <w:rPr>
          <w:rFonts w:ascii="Arial" w:hAnsi="Arial" w:cs="Arial"/>
          <w:bCs/>
          <w:sz w:val="22"/>
          <w:szCs w:val="22"/>
          <w:lang w:val="fr-FR"/>
        </w:rPr>
        <w:t>établir un cadre permett</w:t>
      </w:r>
      <w:r>
        <w:rPr>
          <w:rFonts w:ascii="Arial" w:hAnsi="Arial" w:cs="Arial"/>
          <w:bCs/>
          <w:sz w:val="22"/>
          <w:szCs w:val="22"/>
          <w:lang w:val="fr-FR"/>
        </w:rPr>
        <w:t>ant</w:t>
      </w:r>
      <w:r w:rsidRPr="008354A6">
        <w:rPr>
          <w:rFonts w:ascii="Arial" w:hAnsi="Arial" w:cs="Arial"/>
          <w:bCs/>
          <w:sz w:val="22"/>
          <w:szCs w:val="22"/>
          <w:lang w:val="fr-FR"/>
        </w:rPr>
        <w:t xml:space="preserve"> à la Convention de répondre à ces événements. Elle a également félicité les membres nouvellement élus du Comité, exprimant son intérêt à leur apporter son soutien lors des prochaines sessions.</w:t>
      </w:r>
    </w:p>
    <w:p w14:paraId="4EFA15BF" w14:textId="6175297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354A6">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8354A6">
        <w:rPr>
          <w:rFonts w:ascii="Arial" w:hAnsi="Arial" w:cs="Arial"/>
          <w:b/>
          <w:sz w:val="22"/>
          <w:szCs w:val="22"/>
          <w:lang w:val="fr-FR"/>
        </w:rPr>
        <w:t>Argentine</w:t>
      </w:r>
      <w:r w:rsidRPr="008354A6">
        <w:rPr>
          <w:rFonts w:ascii="Arial" w:hAnsi="Arial" w:cs="Arial"/>
          <w:bCs/>
          <w:sz w:val="22"/>
          <w:szCs w:val="22"/>
          <w:lang w:val="fr-FR"/>
        </w:rPr>
        <w:t xml:space="preserve"> a félicité les membres nouvellement élus du Comité et les frères d</w:t>
      </w:r>
      <w:r w:rsidR="008E532B">
        <w:rPr>
          <w:rFonts w:ascii="Arial" w:hAnsi="Arial" w:cs="Arial"/>
          <w:bCs/>
          <w:sz w:val="22"/>
          <w:szCs w:val="22"/>
          <w:lang w:val="fr-FR"/>
        </w:rPr>
        <w:t>’</w:t>
      </w:r>
      <w:r w:rsidRPr="008354A6">
        <w:rPr>
          <w:rFonts w:ascii="Arial" w:hAnsi="Arial" w:cs="Arial"/>
          <w:bCs/>
          <w:sz w:val="22"/>
          <w:szCs w:val="22"/>
          <w:lang w:val="fr-FR"/>
        </w:rPr>
        <w:t>Haïti pour célébrer l</w:t>
      </w:r>
      <w:r w:rsidR="008E532B">
        <w:rPr>
          <w:rFonts w:ascii="Arial" w:hAnsi="Arial" w:cs="Arial"/>
          <w:bCs/>
          <w:sz w:val="22"/>
          <w:szCs w:val="22"/>
          <w:lang w:val="fr-FR"/>
        </w:rPr>
        <w:t>’</w:t>
      </w:r>
      <w:r w:rsidRPr="008354A6">
        <w:rPr>
          <w:rFonts w:ascii="Arial" w:hAnsi="Arial" w:cs="Arial"/>
          <w:bCs/>
          <w:sz w:val="22"/>
          <w:szCs w:val="22"/>
          <w:lang w:val="fr-FR"/>
        </w:rPr>
        <w:t xml:space="preserve">inscription de la </w:t>
      </w:r>
      <w:r>
        <w:rPr>
          <w:rFonts w:ascii="Arial" w:hAnsi="Arial" w:cs="Arial"/>
          <w:bCs/>
          <w:sz w:val="22"/>
          <w:szCs w:val="22"/>
          <w:lang w:val="fr-FR"/>
        </w:rPr>
        <w:t>soupe au giraumon</w:t>
      </w:r>
      <w:r w:rsidRPr="008354A6">
        <w:rPr>
          <w:rFonts w:ascii="Arial" w:hAnsi="Arial" w:cs="Arial"/>
          <w:bCs/>
          <w:sz w:val="22"/>
          <w:szCs w:val="22"/>
          <w:lang w:val="fr-FR"/>
        </w:rPr>
        <w:t xml:space="preserve"> sur la Liste représentative. Elle partage</w:t>
      </w:r>
      <w:r>
        <w:rPr>
          <w:rFonts w:ascii="Arial" w:hAnsi="Arial" w:cs="Arial"/>
          <w:bCs/>
          <w:sz w:val="22"/>
          <w:szCs w:val="22"/>
          <w:lang w:val="fr-FR"/>
        </w:rPr>
        <w:t>ait</w:t>
      </w:r>
      <w:r w:rsidRPr="008354A6">
        <w:rPr>
          <w:rFonts w:ascii="Arial" w:hAnsi="Arial" w:cs="Arial"/>
          <w:bCs/>
          <w:sz w:val="22"/>
          <w:szCs w:val="22"/>
          <w:lang w:val="fr-FR"/>
        </w:rPr>
        <w:t xml:space="preserve"> le sentiment qui a</w:t>
      </w:r>
      <w:r>
        <w:rPr>
          <w:rFonts w:ascii="Arial" w:hAnsi="Arial" w:cs="Arial"/>
          <w:bCs/>
          <w:sz w:val="22"/>
          <w:szCs w:val="22"/>
          <w:lang w:val="fr-FR"/>
        </w:rPr>
        <w:t>vait</w:t>
      </w:r>
      <w:r w:rsidRPr="008354A6">
        <w:rPr>
          <w:rFonts w:ascii="Arial" w:hAnsi="Arial" w:cs="Arial"/>
          <w:bCs/>
          <w:sz w:val="22"/>
          <w:szCs w:val="22"/>
          <w:lang w:val="fr-FR"/>
        </w:rPr>
        <w:t xml:space="preserve"> été magnifiquement exprimé par l</w:t>
      </w:r>
      <w:r w:rsidR="008E532B">
        <w:rPr>
          <w:rFonts w:ascii="Arial" w:hAnsi="Arial" w:cs="Arial"/>
          <w:bCs/>
          <w:sz w:val="22"/>
          <w:szCs w:val="22"/>
          <w:lang w:val="fr-FR"/>
        </w:rPr>
        <w:t>’</w:t>
      </w:r>
      <w:r w:rsidRPr="008354A6">
        <w:rPr>
          <w:rFonts w:ascii="Arial" w:hAnsi="Arial" w:cs="Arial"/>
          <w:bCs/>
          <w:sz w:val="22"/>
          <w:szCs w:val="22"/>
          <w:lang w:val="fr-FR"/>
        </w:rPr>
        <w:t>Uruguay. La délégation esp</w:t>
      </w:r>
      <w:r>
        <w:rPr>
          <w:rFonts w:ascii="Arial" w:hAnsi="Arial" w:cs="Arial"/>
          <w:bCs/>
          <w:sz w:val="22"/>
          <w:szCs w:val="22"/>
          <w:lang w:val="fr-FR"/>
        </w:rPr>
        <w:t>érait</w:t>
      </w:r>
      <w:r w:rsidRPr="008354A6">
        <w:rPr>
          <w:rFonts w:ascii="Arial" w:hAnsi="Arial" w:cs="Arial"/>
          <w:bCs/>
          <w:sz w:val="22"/>
          <w:szCs w:val="22"/>
          <w:lang w:val="fr-FR"/>
        </w:rPr>
        <w:t xml:space="preserve"> que l</w:t>
      </w:r>
      <w:r w:rsidR="008E532B">
        <w:rPr>
          <w:rFonts w:ascii="Arial" w:hAnsi="Arial" w:cs="Arial"/>
          <w:bCs/>
          <w:sz w:val="22"/>
          <w:szCs w:val="22"/>
          <w:lang w:val="fr-FR"/>
        </w:rPr>
        <w:t>’</w:t>
      </w:r>
      <w:r w:rsidRPr="008354A6">
        <w:rPr>
          <w:rFonts w:ascii="Arial" w:hAnsi="Arial" w:cs="Arial"/>
          <w:bCs/>
          <w:sz w:val="22"/>
          <w:szCs w:val="22"/>
          <w:lang w:val="fr-FR"/>
        </w:rPr>
        <w:t>Assemblée approuvera</w:t>
      </w:r>
      <w:r>
        <w:rPr>
          <w:rFonts w:ascii="Arial" w:hAnsi="Arial" w:cs="Arial"/>
          <w:bCs/>
          <w:sz w:val="22"/>
          <w:szCs w:val="22"/>
          <w:lang w:val="fr-FR"/>
        </w:rPr>
        <w:t>it</w:t>
      </w:r>
      <w:r w:rsidRPr="008354A6">
        <w:rPr>
          <w:rFonts w:ascii="Arial" w:hAnsi="Arial" w:cs="Arial"/>
          <w:bCs/>
          <w:sz w:val="22"/>
          <w:szCs w:val="22"/>
          <w:lang w:val="fr-FR"/>
        </w:rPr>
        <w:t xml:space="preserve"> les recommandations du Comité. Elle souten</w:t>
      </w:r>
      <w:r>
        <w:rPr>
          <w:rFonts w:ascii="Arial" w:hAnsi="Arial" w:cs="Arial"/>
          <w:bCs/>
          <w:sz w:val="22"/>
          <w:szCs w:val="22"/>
          <w:lang w:val="fr-FR"/>
        </w:rPr>
        <w:t>ait</w:t>
      </w:r>
      <w:r w:rsidRPr="008354A6">
        <w:rPr>
          <w:rFonts w:ascii="Arial" w:hAnsi="Arial" w:cs="Arial"/>
          <w:bCs/>
          <w:sz w:val="22"/>
          <w:szCs w:val="22"/>
          <w:lang w:val="fr-FR"/>
        </w:rPr>
        <w:t xml:space="preserve"> le projet de décision.</w:t>
      </w:r>
    </w:p>
    <w:p w14:paraId="6B212982" w14:textId="36FD999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90403">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D90403">
        <w:rPr>
          <w:rFonts w:ascii="Arial" w:hAnsi="Arial" w:cs="Arial"/>
          <w:b/>
          <w:sz w:val="22"/>
          <w:szCs w:val="22"/>
          <w:lang w:val="fr-FR"/>
        </w:rPr>
        <w:t>Éthiopie</w:t>
      </w:r>
      <w:r w:rsidRPr="00D90403">
        <w:rPr>
          <w:rFonts w:ascii="Arial" w:hAnsi="Arial" w:cs="Arial"/>
          <w:bCs/>
          <w:sz w:val="22"/>
          <w:szCs w:val="22"/>
          <w:lang w:val="fr-FR"/>
        </w:rPr>
        <w:t xml:space="preserve"> s</w:t>
      </w:r>
      <w:r w:rsidR="008E532B">
        <w:rPr>
          <w:rFonts w:ascii="Arial" w:hAnsi="Arial" w:cs="Arial"/>
          <w:bCs/>
          <w:sz w:val="22"/>
          <w:szCs w:val="22"/>
          <w:lang w:val="fr-FR"/>
        </w:rPr>
        <w:t>’</w:t>
      </w:r>
      <w:r w:rsidRPr="00D90403">
        <w:rPr>
          <w:rFonts w:ascii="Arial" w:hAnsi="Arial" w:cs="Arial"/>
          <w:bCs/>
          <w:sz w:val="22"/>
          <w:szCs w:val="22"/>
          <w:lang w:val="fr-FR"/>
        </w:rPr>
        <w:t>est jointe aux nombreuses délégations pour féliciter Haïti, son peuple et l</w:t>
      </w:r>
      <w:r w:rsidR="008E532B">
        <w:rPr>
          <w:rFonts w:ascii="Arial" w:hAnsi="Arial" w:cs="Arial"/>
          <w:bCs/>
          <w:sz w:val="22"/>
          <w:szCs w:val="22"/>
          <w:lang w:val="fr-FR"/>
        </w:rPr>
        <w:t>’</w:t>
      </w:r>
      <w:r w:rsidRPr="00D90403">
        <w:rPr>
          <w:rFonts w:ascii="Arial" w:hAnsi="Arial" w:cs="Arial"/>
          <w:bCs/>
          <w:sz w:val="22"/>
          <w:szCs w:val="22"/>
          <w:lang w:val="fr-FR"/>
        </w:rPr>
        <w:t>ambassad</w:t>
      </w:r>
      <w:r w:rsidR="008E532B">
        <w:rPr>
          <w:rFonts w:ascii="Arial" w:hAnsi="Arial" w:cs="Arial"/>
          <w:bCs/>
          <w:sz w:val="22"/>
          <w:szCs w:val="22"/>
          <w:lang w:val="fr-FR"/>
        </w:rPr>
        <w:t>eur</w:t>
      </w:r>
      <w:r w:rsidRPr="00D90403">
        <w:rPr>
          <w:rFonts w:ascii="Arial" w:hAnsi="Arial" w:cs="Arial"/>
          <w:bCs/>
          <w:sz w:val="22"/>
          <w:szCs w:val="22"/>
          <w:lang w:val="fr-FR"/>
        </w:rPr>
        <w:t xml:space="preserve"> Dominique Dupuy pour l</w:t>
      </w:r>
      <w:r w:rsidR="008E532B">
        <w:rPr>
          <w:rFonts w:ascii="Arial" w:hAnsi="Arial" w:cs="Arial"/>
          <w:bCs/>
          <w:sz w:val="22"/>
          <w:szCs w:val="22"/>
          <w:lang w:val="fr-FR"/>
        </w:rPr>
        <w:t>’</w:t>
      </w:r>
      <w:r w:rsidRPr="00D90403">
        <w:rPr>
          <w:rFonts w:ascii="Arial" w:hAnsi="Arial" w:cs="Arial"/>
          <w:bCs/>
          <w:sz w:val="22"/>
          <w:szCs w:val="22"/>
          <w:lang w:val="fr-FR"/>
        </w:rPr>
        <w:t xml:space="preserve">inscription de la </w:t>
      </w:r>
      <w:r>
        <w:rPr>
          <w:rFonts w:ascii="Arial" w:hAnsi="Arial" w:cs="Arial"/>
          <w:bCs/>
          <w:sz w:val="22"/>
          <w:szCs w:val="22"/>
          <w:lang w:val="fr-FR"/>
        </w:rPr>
        <w:t>soupe au giraumon.</w:t>
      </w:r>
      <w:r w:rsidRPr="00D90403">
        <w:rPr>
          <w:rFonts w:ascii="Arial" w:hAnsi="Arial" w:cs="Arial"/>
          <w:bCs/>
          <w:sz w:val="22"/>
          <w:szCs w:val="22"/>
          <w:lang w:val="fr-FR"/>
        </w:rPr>
        <w:t xml:space="preserve"> C</w:t>
      </w:r>
      <w:r w:rsidR="008E532B">
        <w:rPr>
          <w:rFonts w:ascii="Arial" w:hAnsi="Arial" w:cs="Arial"/>
          <w:bCs/>
          <w:sz w:val="22"/>
          <w:szCs w:val="22"/>
          <w:lang w:val="fr-FR"/>
        </w:rPr>
        <w:t>’</w:t>
      </w:r>
      <w:r w:rsidRPr="00D90403">
        <w:rPr>
          <w:rFonts w:ascii="Arial" w:hAnsi="Arial" w:cs="Arial"/>
          <w:bCs/>
          <w:sz w:val="22"/>
          <w:szCs w:val="22"/>
          <w:lang w:val="fr-FR"/>
        </w:rPr>
        <w:t>était vraiment mérité. Haïti occup</w:t>
      </w:r>
      <w:r>
        <w:rPr>
          <w:rFonts w:ascii="Arial" w:hAnsi="Arial" w:cs="Arial"/>
          <w:bCs/>
          <w:sz w:val="22"/>
          <w:szCs w:val="22"/>
          <w:lang w:val="fr-FR"/>
        </w:rPr>
        <w:t>ait</w:t>
      </w:r>
      <w:r w:rsidRPr="00D90403">
        <w:rPr>
          <w:rFonts w:ascii="Arial" w:hAnsi="Arial" w:cs="Arial"/>
          <w:bCs/>
          <w:sz w:val="22"/>
          <w:szCs w:val="22"/>
          <w:lang w:val="fr-FR"/>
        </w:rPr>
        <w:t xml:space="preserve"> une place particulière parmi les populations de l</w:t>
      </w:r>
      <w:r w:rsidR="008E532B">
        <w:rPr>
          <w:rFonts w:ascii="Arial" w:hAnsi="Arial" w:cs="Arial"/>
          <w:bCs/>
          <w:sz w:val="22"/>
          <w:szCs w:val="22"/>
          <w:lang w:val="fr-FR"/>
        </w:rPr>
        <w:t>’</w:t>
      </w:r>
      <w:r w:rsidRPr="00D90403">
        <w:rPr>
          <w:rFonts w:ascii="Arial" w:hAnsi="Arial" w:cs="Arial"/>
          <w:bCs/>
          <w:sz w:val="22"/>
          <w:szCs w:val="22"/>
          <w:lang w:val="fr-FR"/>
        </w:rPr>
        <w:t>Éthiopie et de l</w:t>
      </w:r>
      <w:r w:rsidR="008E532B">
        <w:rPr>
          <w:rFonts w:ascii="Arial" w:hAnsi="Arial" w:cs="Arial"/>
          <w:bCs/>
          <w:sz w:val="22"/>
          <w:szCs w:val="22"/>
          <w:lang w:val="fr-FR"/>
        </w:rPr>
        <w:t>’</w:t>
      </w:r>
      <w:r w:rsidRPr="00D90403">
        <w:rPr>
          <w:rFonts w:ascii="Arial" w:hAnsi="Arial" w:cs="Arial"/>
          <w:bCs/>
          <w:sz w:val="22"/>
          <w:szCs w:val="22"/>
          <w:lang w:val="fr-FR"/>
        </w:rPr>
        <w:t>Afrique qui la considèrent comme faisant partie intégrante du continent bien qu</w:t>
      </w:r>
      <w:r w:rsidR="008E532B">
        <w:rPr>
          <w:rFonts w:ascii="Arial" w:hAnsi="Arial" w:cs="Arial"/>
          <w:bCs/>
          <w:sz w:val="22"/>
          <w:szCs w:val="22"/>
          <w:lang w:val="fr-FR"/>
        </w:rPr>
        <w:t>’</w:t>
      </w:r>
      <w:r w:rsidRPr="00D90403">
        <w:rPr>
          <w:rFonts w:ascii="Arial" w:hAnsi="Arial" w:cs="Arial"/>
          <w:bCs/>
          <w:sz w:val="22"/>
          <w:szCs w:val="22"/>
          <w:lang w:val="fr-FR"/>
        </w:rPr>
        <w:t xml:space="preserve">elle se trouve dans la région du GRULAC. Leurs cœurs </w:t>
      </w:r>
      <w:r>
        <w:rPr>
          <w:rFonts w:ascii="Arial" w:hAnsi="Arial" w:cs="Arial"/>
          <w:bCs/>
          <w:sz w:val="22"/>
          <w:szCs w:val="22"/>
          <w:lang w:val="fr-FR"/>
        </w:rPr>
        <w:t>étaient</w:t>
      </w:r>
      <w:r w:rsidRPr="00D90403">
        <w:rPr>
          <w:rFonts w:ascii="Arial" w:hAnsi="Arial" w:cs="Arial"/>
          <w:bCs/>
          <w:sz w:val="22"/>
          <w:szCs w:val="22"/>
          <w:lang w:val="fr-FR"/>
        </w:rPr>
        <w:t xml:space="preserve"> avec le peuple d</w:t>
      </w:r>
      <w:r w:rsidR="008E532B">
        <w:rPr>
          <w:rFonts w:ascii="Arial" w:hAnsi="Arial" w:cs="Arial"/>
          <w:bCs/>
          <w:sz w:val="22"/>
          <w:szCs w:val="22"/>
          <w:lang w:val="fr-FR"/>
        </w:rPr>
        <w:t>’</w:t>
      </w:r>
      <w:r w:rsidRPr="00D90403">
        <w:rPr>
          <w:rFonts w:ascii="Arial" w:hAnsi="Arial" w:cs="Arial"/>
          <w:bCs/>
          <w:sz w:val="22"/>
          <w:szCs w:val="22"/>
          <w:lang w:val="fr-FR"/>
        </w:rPr>
        <w:t>Haïti en ces temps difficiles et le fait que l</w:t>
      </w:r>
      <w:r w:rsidR="008E532B">
        <w:rPr>
          <w:rFonts w:ascii="Arial" w:hAnsi="Arial" w:cs="Arial"/>
          <w:bCs/>
          <w:sz w:val="22"/>
          <w:szCs w:val="22"/>
          <w:lang w:val="fr-FR"/>
        </w:rPr>
        <w:t>’</w:t>
      </w:r>
      <w:r w:rsidRPr="00D90403">
        <w:rPr>
          <w:rFonts w:ascii="Arial" w:hAnsi="Arial" w:cs="Arial"/>
          <w:bCs/>
          <w:sz w:val="22"/>
          <w:szCs w:val="22"/>
          <w:lang w:val="fr-FR"/>
        </w:rPr>
        <w:t>UNESCO s</w:t>
      </w:r>
      <w:r w:rsidR="008E532B">
        <w:rPr>
          <w:rFonts w:ascii="Arial" w:hAnsi="Arial" w:cs="Arial"/>
          <w:bCs/>
          <w:sz w:val="22"/>
          <w:szCs w:val="22"/>
          <w:lang w:val="fr-FR"/>
        </w:rPr>
        <w:t>’</w:t>
      </w:r>
      <w:r w:rsidRPr="00D90403">
        <w:rPr>
          <w:rFonts w:ascii="Arial" w:hAnsi="Arial" w:cs="Arial"/>
          <w:bCs/>
          <w:sz w:val="22"/>
          <w:szCs w:val="22"/>
          <w:lang w:val="fr-FR"/>
        </w:rPr>
        <w:t>aligne sur sa Constitution a</w:t>
      </w:r>
      <w:r>
        <w:rPr>
          <w:rFonts w:ascii="Arial" w:hAnsi="Arial" w:cs="Arial"/>
          <w:bCs/>
          <w:sz w:val="22"/>
          <w:szCs w:val="22"/>
          <w:lang w:val="fr-FR"/>
        </w:rPr>
        <w:t>vait</w:t>
      </w:r>
      <w:r w:rsidRPr="00D90403">
        <w:rPr>
          <w:rFonts w:ascii="Arial" w:hAnsi="Arial" w:cs="Arial"/>
          <w:bCs/>
          <w:sz w:val="22"/>
          <w:szCs w:val="22"/>
          <w:lang w:val="fr-FR"/>
        </w:rPr>
        <w:t xml:space="preserve"> montré une véritable solidarité morale avec le peuple d</w:t>
      </w:r>
      <w:r w:rsidR="008E532B">
        <w:rPr>
          <w:rFonts w:ascii="Arial" w:hAnsi="Arial" w:cs="Arial"/>
          <w:bCs/>
          <w:sz w:val="22"/>
          <w:szCs w:val="22"/>
          <w:lang w:val="fr-FR"/>
        </w:rPr>
        <w:t>’</w:t>
      </w:r>
      <w:r w:rsidRPr="00D90403">
        <w:rPr>
          <w:rFonts w:ascii="Arial" w:hAnsi="Arial" w:cs="Arial"/>
          <w:bCs/>
          <w:sz w:val="22"/>
          <w:szCs w:val="22"/>
          <w:lang w:val="fr-FR"/>
        </w:rPr>
        <w:t xml:space="preserve">Haïti en inscrivant la </w:t>
      </w:r>
      <w:r>
        <w:rPr>
          <w:rFonts w:ascii="Arial" w:hAnsi="Arial" w:cs="Arial"/>
          <w:bCs/>
          <w:sz w:val="22"/>
          <w:szCs w:val="22"/>
          <w:lang w:val="fr-FR"/>
        </w:rPr>
        <w:t>soupe au giraumon</w:t>
      </w:r>
      <w:r w:rsidRPr="00D90403">
        <w:rPr>
          <w:rFonts w:ascii="Arial" w:hAnsi="Arial" w:cs="Arial"/>
          <w:bCs/>
          <w:sz w:val="22"/>
          <w:szCs w:val="22"/>
          <w:lang w:val="fr-FR"/>
        </w:rPr>
        <w:t xml:space="preserve"> sur une base accélérée. C</w:t>
      </w:r>
      <w:r w:rsidR="008E532B">
        <w:rPr>
          <w:rFonts w:ascii="Arial" w:hAnsi="Arial" w:cs="Arial"/>
          <w:bCs/>
          <w:sz w:val="22"/>
          <w:szCs w:val="22"/>
          <w:lang w:val="fr-FR"/>
        </w:rPr>
        <w:t>’</w:t>
      </w:r>
      <w:r w:rsidRPr="00D90403">
        <w:rPr>
          <w:rFonts w:ascii="Arial" w:hAnsi="Arial" w:cs="Arial"/>
          <w:bCs/>
          <w:sz w:val="22"/>
          <w:szCs w:val="22"/>
          <w:lang w:val="fr-FR"/>
        </w:rPr>
        <w:t xml:space="preserve">était une confirmation </w:t>
      </w:r>
      <w:r>
        <w:rPr>
          <w:rFonts w:ascii="Arial" w:hAnsi="Arial" w:cs="Arial"/>
          <w:bCs/>
          <w:sz w:val="22"/>
          <w:szCs w:val="22"/>
          <w:lang w:val="fr-FR"/>
        </w:rPr>
        <w:t>de la capacité de</w:t>
      </w:r>
      <w:r w:rsidRPr="00D90403">
        <w:rPr>
          <w:rFonts w:ascii="Arial" w:hAnsi="Arial" w:cs="Arial"/>
          <w:bCs/>
          <w:sz w:val="22"/>
          <w:szCs w:val="22"/>
          <w:lang w:val="fr-FR"/>
        </w:rPr>
        <w:t xml:space="preserve"> l</w:t>
      </w:r>
      <w:r w:rsidR="008E532B">
        <w:rPr>
          <w:rFonts w:ascii="Arial" w:hAnsi="Arial" w:cs="Arial"/>
          <w:bCs/>
          <w:sz w:val="22"/>
          <w:szCs w:val="22"/>
          <w:lang w:val="fr-FR"/>
        </w:rPr>
        <w:t>’</w:t>
      </w:r>
      <w:r w:rsidRPr="00D90403">
        <w:rPr>
          <w:rFonts w:ascii="Arial" w:hAnsi="Arial" w:cs="Arial"/>
          <w:bCs/>
          <w:sz w:val="22"/>
          <w:szCs w:val="22"/>
          <w:lang w:val="fr-FR"/>
        </w:rPr>
        <w:t xml:space="preserve">UNESCO </w:t>
      </w:r>
      <w:r>
        <w:rPr>
          <w:rFonts w:ascii="Arial" w:hAnsi="Arial" w:cs="Arial"/>
          <w:bCs/>
          <w:sz w:val="22"/>
          <w:szCs w:val="22"/>
          <w:lang w:val="fr-FR"/>
        </w:rPr>
        <w:t xml:space="preserve">à </w:t>
      </w:r>
      <w:r w:rsidRPr="00D90403">
        <w:rPr>
          <w:rFonts w:ascii="Arial" w:hAnsi="Arial" w:cs="Arial"/>
          <w:bCs/>
          <w:sz w:val="22"/>
          <w:szCs w:val="22"/>
          <w:lang w:val="fr-FR"/>
        </w:rPr>
        <w:t>jouer un rôle positif en aidant à</w:t>
      </w:r>
      <w:r>
        <w:rPr>
          <w:rFonts w:ascii="Arial" w:hAnsi="Arial" w:cs="Arial"/>
          <w:bCs/>
          <w:sz w:val="22"/>
          <w:szCs w:val="22"/>
          <w:lang w:val="fr-FR"/>
        </w:rPr>
        <w:t xml:space="preserve"> rendre meilleur le sort des </w:t>
      </w:r>
      <w:r w:rsidRPr="00742E18">
        <w:rPr>
          <w:rFonts w:ascii="Arial" w:hAnsi="Arial" w:cs="Arial"/>
          <w:bCs/>
          <w:sz w:val="22"/>
          <w:szCs w:val="22"/>
          <w:lang w:val="fr-FR"/>
        </w:rPr>
        <w:t>populations</w:t>
      </w:r>
      <w:r>
        <w:rPr>
          <w:rFonts w:ascii="Arial" w:hAnsi="Arial" w:cs="Arial"/>
          <w:bCs/>
          <w:sz w:val="22"/>
          <w:szCs w:val="22"/>
          <w:lang w:val="fr-FR"/>
        </w:rPr>
        <w:t xml:space="preserve"> </w:t>
      </w:r>
      <w:r w:rsidRPr="00D90403">
        <w:rPr>
          <w:rFonts w:ascii="Arial" w:hAnsi="Arial" w:cs="Arial"/>
          <w:bCs/>
          <w:sz w:val="22"/>
          <w:szCs w:val="22"/>
          <w:lang w:val="fr-FR"/>
        </w:rPr>
        <w:t>qui vivent dans des circonstances exceptionnelles et qui subissent des épreuves, qu</w:t>
      </w:r>
      <w:r w:rsidR="008E532B">
        <w:rPr>
          <w:rFonts w:ascii="Arial" w:hAnsi="Arial" w:cs="Arial"/>
          <w:bCs/>
          <w:sz w:val="22"/>
          <w:szCs w:val="22"/>
          <w:lang w:val="fr-FR"/>
        </w:rPr>
        <w:t>’</w:t>
      </w:r>
      <w:r w:rsidRPr="00D90403">
        <w:rPr>
          <w:rFonts w:ascii="Arial" w:hAnsi="Arial" w:cs="Arial"/>
          <w:bCs/>
          <w:sz w:val="22"/>
          <w:szCs w:val="22"/>
          <w:lang w:val="fr-FR"/>
        </w:rPr>
        <w:t>elles soient d</w:t>
      </w:r>
      <w:r w:rsidR="008E532B">
        <w:rPr>
          <w:rFonts w:ascii="Arial" w:hAnsi="Arial" w:cs="Arial"/>
          <w:bCs/>
          <w:sz w:val="22"/>
          <w:szCs w:val="22"/>
          <w:lang w:val="fr-FR"/>
        </w:rPr>
        <w:t>’</w:t>
      </w:r>
      <w:r w:rsidRPr="00D90403">
        <w:rPr>
          <w:rFonts w:ascii="Arial" w:hAnsi="Arial" w:cs="Arial"/>
          <w:bCs/>
          <w:sz w:val="22"/>
          <w:szCs w:val="22"/>
          <w:lang w:val="fr-FR"/>
        </w:rPr>
        <w:t>origine humaine ou naturelle. Le fait que le Comité se soit montré à la hauteur de sa responsabilité signifi</w:t>
      </w:r>
      <w:r>
        <w:rPr>
          <w:rFonts w:ascii="Arial" w:hAnsi="Arial" w:cs="Arial"/>
          <w:bCs/>
          <w:sz w:val="22"/>
          <w:szCs w:val="22"/>
          <w:lang w:val="fr-FR"/>
        </w:rPr>
        <w:t>ait</w:t>
      </w:r>
      <w:r w:rsidRPr="00D90403">
        <w:rPr>
          <w:rFonts w:ascii="Arial" w:hAnsi="Arial" w:cs="Arial"/>
          <w:bCs/>
          <w:sz w:val="22"/>
          <w:szCs w:val="22"/>
          <w:lang w:val="fr-FR"/>
        </w:rPr>
        <w:t xml:space="preserve"> qu</w:t>
      </w:r>
      <w:r w:rsidR="008E532B">
        <w:rPr>
          <w:rFonts w:ascii="Arial" w:hAnsi="Arial" w:cs="Arial"/>
          <w:bCs/>
          <w:sz w:val="22"/>
          <w:szCs w:val="22"/>
          <w:lang w:val="fr-FR"/>
        </w:rPr>
        <w:t>’</w:t>
      </w:r>
      <w:r w:rsidRPr="00D90403">
        <w:rPr>
          <w:rFonts w:ascii="Arial" w:hAnsi="Arial" w:cs="Arial"/>
          <w:bCs/>
          <w:sz w:val="22"/>
          <w:szCs w:val="22"/>
          <w:lang w:val="fr-FR"/>
        </w:rPr>
        <w:t>il nous a</w:t>
      </w:r>
      <w:r>
        <w:rPr>
          <w:rFonts w:ascii="Arial" w:hAnsi="Arial" w:cs="Arial"/>
          <w:bCs/>
          <w:sz w:val="22"/>
          <w:szCs w:val="22"/>
          <w:lang w:val="fr-FR"/>
        </w:rPr>
        <w:t>vait</w:t>
      </w:r>
      <w:r w:rsidRPr="00D90403">
        <w:rPr>
          <w:rFonts w:ascii="Arial" w:hAnsi="Arial" w:cs="Arial"/>
          <w:bCs/>
          <w:sz w:val="22"/>
          <w:szCs w:val="22"/>
          <w:lang w:val="fr-FR"/>
        </w:rPr>
        <w:t xml:space="preserve"> également</w:t>
      </w:r>
      <w:r>
        <w:rPr>
          <w:rFonts w:ascii="Arial" w:hAnsi="Arial" w:cs="Arial"/>
          <w:bCs/>
          <w:sz w:val="22"/>
          <w:szCs w:val="22"/>
          <w:lang w:val="fr-FR"/>
        </w:rPr>
        <w:t xml:space="preserve"> rendus meilleur</w:t>
      </w:r>
      <w:r w:rsidRPr="00D90403">
        <w:rPr>
          <w:rFonts w:ascii="Arial" w:hAnsi="Arial" w:cs="Arial"/>
          <w:bCs/>
          <w:sz w:val="22"/>
          <w:szCs w:val="22"/>
          <w:lang w:val="fr-FR"/>
        </w:rPr>
        <w:t xml:space="preserve">. La délégation </w:t>
      </w:r>
      <w:r>
        <w:rPr>
          <w:rFonts w:ascii="Arial" w:hAnsi="Arial" w:cs="Arial"/>
          <w:bCs/>
          <w:sz w:val="22"/>
          <w:szCs w:val="22"/>
          <w:lang w:val="fr-FR"/>
        </w:rPr>
        <w:t xml:space="preserve">approuvait </w:t>
      </w:r>
      <w:r w:rsidRPr="00D90403">
        <w:rPr>
          <w:rFonts w:ascii="Arial" w:hAnsi="Arial" w:cs="Arial"/>
          <w:bCs/>
          <w:sz w:val="22"/>
          <w:szCs w:val="22"/>
          <w:lang w:val="fr-FR"/>
        </w:rPr>
        <w:t>donc pleinement le projet de décision présenté et n</w:t>
      </w:r>
      <w:r w:rsidR="008E532B">
        <w:rPr>
          <w:rFonts w:ascii="Arial" w:hAnsi="Arial" w:cs="Arial"/>
          <w:bCs/>
          <w:sz w:val="22"/>
          <w:szCs w:val="22"/>
          <w:lang w:val="fr-FR"/>
        </w:rPr>
        <w:t>’</w:t>
      </w:r>
      <w:r w:rsidRPr="00D90403">
        <w:rPr>
          <w:rFonts w:ascii="Arial" w:hAnsi="Arial" w:cs="Arial"/>
          <w:bCs/>
          <w:sz w:val="22"/>
          <w:szCs w:val="22"/>
          <w:lang w:val="fr-FR"/>
        </w:rPr>
        <w:t>acceptera</w:t>
      </w:r>
      <w:r>
        <w:rPr>
          <w:rFonts w:ascii="Arial" w:hAnsi="Arial" w:cs="Arial"/>
          <w:bCs/>
          <w:sz w:val="22"/>
          <w:szCs w:val="22"/>
          <w:lang w:val="fr-FR"/>
        </w:rPr>
        <w:t>it</w:t>
      </w:r>
      <w:r w:rsidRPr="00D90403">
        <w:rPr>
          <w:rFonts w:ascii="Arial" w:hAnsi="Arial" w:cs="Arial"/>
          <w:bCs/>
          <w:sz w:val="22"/>
          <w:szCs w:val="22"/>
          <w:lang w:val="fr-FR"/>
        </w:rPr>
        <w:t xml:space="preserve"> aucun amendement qui diluerait cette résolution. Elle esp</w:t>
      </w:r>
      <w:r>
        <w:rPr>
          <w:rFonts w:ascii="Arial" w:hAnsi="Arial" w:cs="Arial"/>
          <w:bCs/>
          <w:sz w:val="22"/>
          <w:szCs w:val="22"/>
          <w:lang w:val="fr-FR"/>
        </w:rPr>
        <w:t>érait</w:t>
      </w:r>
      <w:r w:rsidRPr="00D90403">
        <w:rPr>
          <w:rFonts w:ascii="Arial" w:hAnsi="Arial" w:cs="Arial"/>
          <w:bCs/>
          <w:sz w:val="22"/>
          <w:szCs w:val="22"/>
          <w:lang w:val="fr-FR"/>
        </w:rPr>
        <w:t xml:space="preserve"> qu</w:t>
      </w:r>
      <w:r w:rsidR="008E532B">
        <w:rPr>
          <w:rFonts w:ascii="Arial" w:hAnsi="Arial" w:cs="Arial"/>
          <w:bCs/>
          <w:sz w:val="22"/>
          <w:szCs w:val="22"/>
          <w:lang w:val="fr-FR"/>
        </w:rPr>
        <w:t>’</w:t>
      </w:r>
      <w:r w:rsidRPr="00D90403">
        <w:rPr>
          <w:rFonts w:ascii="Arial" w:hAnsi="Arial" w:cs="Arial"/>
          <w:bCs/>
          <w:sz w:val="22"/>
          <w:szCs w:val="22"/>
          <w:lang w:val="fr-FR"/>
        </w:rPr>
        <w:t>un esprit similaire animera</w:t>
      </w:r>
      <w:r>
        <w:rPr>
          <w:rFonts w:ascii="Arial" w:hAnsi="Arial" w:cs="Arial"/>
          <w:bCs/>
          <w:sz w:val="22"/>
          <w:szCs w:val="22"/>
          <w:lang w:val="fr-FR"/>
        </w:rPr>
        <w:t>it</w:t>
      </w:r>
      <w:r w:rsidRPr="00D90403">
        <w:rPr>
          <w:rFonts w:ascii="Arial" w:hAnsi="Arial" w:cs="Arial"/>
          <w:bCs/>
          <w:sz w:val="22"/>
          <w:szCs w:val="22"/>
          <w:lang w:val="fr-FR"/>
        </w:rPr>
        <w:t xml:space="preserve"> les nouveaux membres du Comité, dont l</w:t>
      </w:r>
      <w:r w:rsidR="008E532B">
        <w:rPr>
          <w:rFonts w:ascii="Arial" w:hAnsi="Arial" w:cs="Arial"/>
          <w:bCs/>
          <w:sz w:val="22"/>
          <w:szCs w:val="22"/>
          <w:lang w:val="fr-FR"/>
        </w:rPr>
        <w:t>’</w:t>
      </w:r>
      <w:r w:rsidRPr="00D90403">
        <w:rPr>
          <w:rFonts w:ascii="Arial" w:hAnsi="Arial" w:cs="Arial"/>
          <w:bCs/>
          <w:sz w:val="22"/>
          <w:szCs w:val="22"/>
          <w:lang w:val="fr-FR"/>
        </w:rPr>
        <w:t>Éthiopie fai</w:t>
      </w:r>
      <w:r>
        <w:rPr>
          <w:rFonts w:ascii="Arial" w:hAnsi="Arial" w:cs="Arial"/>
          <w:bCs/>
          <w:sz w:val="22"/>
          <w:szCs w:val="22"/>
          <w:lang w:val="fr-FR"/>
        </w:rPr>
        <w:t>sai</w:t>
      </w:r>
      <w:r w:rsidRPr="00D90403">
        <w:rPr>
          <w:rFonts w:ascii="Arial" w:hAnsi="Arial" w:cs="Arial"/>
          <w:bCs/>
          <w:sz w:val="22"/>
          <w:szCs w:val="22"/>
          <w:lang w:val="fr-FR"/>
        </w:rPr>
        <w:t>t partie, afin d</w:t>
      </w:r>
      <w:r w:rsidR="008E532B">
        <w:rPr>
          <w:rFonts w:ascii="Arial" w:hAnsi="Arial" w:cs="Arial"/>
          <w:bCs/>
          <w:sz w:val="22"/>
          <w:szCs w:val="22"/>
          <w:lang w:val="fr-FR"/>
        </w:rPr>
        <w:t>’</w:t>
      </w:r>
      <w:r w:rsidRPr="00D90403">
        <w:rPr>
          <w:rFonts w:ascii="Arial" w:hAnsi="Arial" w:cs="Arial"/>
          <w:bCs/>
          <w:sz w:val="22"/>
          <w:szCs w:val="22"/>
          <w:lang w:val="fr-FR"/>
        </w:rPr>
        <w:t>assurer la pertinence</w:t>
      </w:r>
      <w:r>
        <w:rPr>
          <w:rFonts w:ascii="Arial" w:hAnsi="Arial" w:cs="Arial"/>
          <w:bCs/>
          <w:sz w:val="22"/>
          <w:szCs w:val="22"/>
          <w:lang w:val="fr-FR"/>
        </w:rPr>
        <w:t xml:space="preserve"> de la </w:t>
      </w:r>
      <w:r w:rsidRPr="003E11CD">
        <w:rPr>
          <w:rFonts w:ascii="Arial" w:hAnsi="Arial" w:cs="Arial"/>
          <w:bCs/>
          <w:sz w:val="22"/>
          <w:szCs w:val="22"/>
          <w:lang w:val="fr-FR"/>
        </w:rPr>
        <w:t>Convention</w:t>
      </w:r>
      <w:r w:rsidRPr="00D90403">
        <w:rPr>
          <w:rFonts w:ascii="Arial" w:hAnsi="Arial" w:cs="Arial"/>
          <w:bCs/>
          <w:sz w:val="22"/>
          <w:szCs w:val="22"/>
          <w:lang w:val="fr-FR"/>
        </w:rPr>
        <w:t xml:space="preserve"> pour les personnes qui souffrent dans le monde entier et pas seulement dans une partie</w:t>
      </w:r>
      <w:r>
        <w:rPr>
          <w:rFonts w:ascii="Arial" w:hAnsi="Arial" w:cs="Arial"/>
          <w:bCs/>
          <w:sz w:val="22"/>
          <w:szCs w:val="22"/>
          <w:lang w:val="fr-FR"/>
        </w:rPr>
        <w:t xml:space="preserve"> de celui-ci</w:t>
      </w:r>
      <w:r w:rsidRPr="00D90403">
        <w:rPr>
          <w:rFonts w:ascii="Arial" w:hAnsi="Arial" w:cs="Arial"/>
          <w:bCs/>
          <w:sz w:val="22"/>
          <w:szCs w:val="22"/>
          <w:lang w:val="fr-FR"/>
        </w:rPr>
        <w:t>.</w:t>
      </w:r>
    </w:p>
    <w:p w14:paraId="72425A5B" w14:textId="7539C63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bookmarkStart w:id="1" w:name="_Hlk114473963"/>
      <w:r w:rsidRPr="00392495">
        <w:rPr>
          <w:rFonts w:ascii="Arial" w:hAnsi="Arial" w:cs="Arial"/>
          <w:bCs/>
          <w:sz w:val="22"/>
          <w:szCs w:val="22"/>
          <w:lang w:val="fr-FR"/>
        </w:rPr>
        <w:t xml:space="preserve">La délégation du </w:t>
      </w:r>
      <w:r w:rsidRPr="00392495">
        <w:rPr>
          <w:rFonts w:ascii="Arial" w:hAnsi="Arial" w:cs="Arial"/>
          <w:b/>
          <w:sz w:val="22"/>
          <w:szCs w:val="22"/>
          <w:lang w:val="fr-FR"/>
        </w:rPr>
        <w:t>Kenya</w:t>
      </w:r>
      <w:r w:rsidRPr="00392495">
        <w:rPr>
          <w:rFonts w:ascii="Arial" w:hAnsi="Arial" w:cs="Arial"/>
          <w:bCs/>
          <w:sz w:val="22"/>
          <w:szCs w:val="22"/>
          <w:lang w:val="fr-FR"/>
        </w:rPr>
        <w:t xml:space="preserve"> a félicité Haïti pour l</w:t>
      </w:r>
      <w:r w:rsidR="008E532B">
        <w:rPr>
          <w:rFonts w:ascii="Arial" w:hAnsi="Arial" w:cs="Arial"/>
          <w:bCs/>
          <w:sz w:val="22"/>
          <w:szCs w:val="22"/>
          <w:lang w:val="fr-FR"/>
        </w:rPr>
        <w:t>’</w:t>
      </w:r>
      <w:r w:rsidRPr="00392495">
        <w:rPr>
          <w:rFonts w:ascii="Arial" w:hAnsi="Arial" w:cs="Arial"/>
          <w:bCs/>
          <w:sz w:val="22"/>
          <w:szCs w:val="22"/>
          <w:lang w:val="fr-FR"/>
        </w:rPr>
        <w:t xml:space="preserve">inscription de la soupe </w:t>
      </w:r>
      <w:r>
        <w:rPr>
          <w:rFonts w:ascii="Arial" w:hAnsi="Arial" w:cs="Arial"/>
          <w:bCs/>
          <w:sz w:val="22"/>
          <w:szCs w:val="22"/>
          <w:lang w:val="fr-FR"/>
        </w:rPr>
        <w:t>au giraumon</w:t>
      </w:r>
      <w:r w:rsidRPr="00392495">
        <w:rPr>
          <w:rFonts w:ascii="Arial" w:hAnsi="Arial" w:cs="Arial"/>
          <w:bCs/>
          <w:sz w:val="22"/>
          <w:szCs w:val="22"/>
          <w:lang w:val="fr-FR"/>
        </w:rPr>
        <w:t xml:space="preserve"> sur la Liste représentative. Il s</w:t>
      </w:r>
      <w:r w:rsidR="008E532B">
        <w:rPr>
          <w:rFonts w:ascii="Arial" w:hAnsi="Arial" w:cs="Arial"/>
          <w:bCs/>
          <w:sz w:val="22"/>
          <w:szCs w:val="22"/>
          <w:lang w:val="fr-FR"/>
        </w:rPr>
        <w:t>’</w:t>
      </w:r>
      <w:r w:rsidRPr="00392495">
        <w:rPr>
          <w:rFonts w:ascii="Arial" w:hAnsi="Arial" w:cs="Arial"/>
          <w:bCs/>
          <w:sz w:val="22"/>
          <w:szCs w:val="22"/>
          <w:lang w:val="fr-FR"/>
        </w:rPr>
        <w:t>agi</w:t>
      </w:r>
      <w:r>
        <w:rPr>
          <w:rFonts w:ascii="Arial" w:hAnsi="Arial" w:cs="Arial"/>
          <w:bCs/>
          <w:sz w:val="22"/>
          <w:szCs w:val="22"/>
          <w:lang w:val="fr-FR"/>
        </w:rPr>
        <w:t>ssait</w:t>
      </w:r>
      <w:r w:rsidRPr="00392495">
        <w:rPr>
          <w:rFonts w:ascii="Arial" w:hAnsi="Arial" w:cs="Arial"/>
          <w:bCs/>
          <w:sz w:val="22"/>
          <w:szCs w:val="22"/>
          <w:lang w:val="fr-FR"/>
        </w:rPr>
        <w:t xml:space="preserve"> d</w:t>
      </w:r>
      <w:r w:rsidR="008E532B">
        <w:rPr>
          <w:rFonts w:ascii="Arial" w:hAnsi="Arial" w:cs="Arial"/>
          <w:bCs/>
          <w:sz w:val="22"/>
          <w:szCs w:val="22"/>
          <w:lang w:val="fr-FR"/>
        </w:rPr>
        <w:t>’</w:t>
      </w:r>
      <w:r w:rsidRPr="00392495">
        <w:rPr>
          <w:rFonts w:ascii="Arial" w:hAnsi="Arial" w:cs="Arial"/>
          <w:bCs/>
          <w:sz w:val="22"/>
          <w:szCs w:val="22"/>
          <w:lang w:val="fr-FR"/>
        </w:rPr>
        <w:t>une grande étape pour Haïti</w:t>
      </w:r>
      <w:r>
        <w:rPr>
          <w:rFonts w:ascii="Arial" w:hAnsi="Arial" w:cs="Arial"/>
          <w:bCs/>
          <w:sz w:val="22"/>
          <w:szCs w:val="22"/>
          <w:lang w:val="fr-FR"/>
        </w:rPr>
        <w:t xml:space="preserve"> </w:t>
      </w:r>
      <w:r w:rsidRPr="00392495">
        <w:rPr>
          <w:rFonts w:ascii="Arial" w:hAnsi="Arial" w:cs="Arial"/>
          <w:bCs/>
          <w:sz w:val="22"/>
          <w:szCs w:val="22"/>
          <w:lang w:val="fr-FR"/>
        </w:rPr>
        <w:t>qui démontr</w:t>
      </w:r>
      <w:r>
        <w:rPr>
          <w:rFonts w:ascii="Arial" w:hAnsi="Arial" w:cs="Arial"/>
          <w:bCs/>
          <w:sz w:val="22"/>
          <w:szCs w:val="22"/>
          <w:lang w:val="fr-FR"/>
        </w:rPr>
        <w:t>ait</w:t>
      </w:r>
      <w:r w:rsidRPr="00392495">
        <w:rPr>
          <w:rFonts w:ascii="Arial" w:hAnsi="Arial" w:cs="Arial"/>
          <w:bCs/>
          <w:sz w:val="22"/>
          <w:szCs w:val="22"/>
          <w:lang w:val="fr-FR"/>
        </w:rPr>
        <w:t xml:space="preserve"> sa résilience après une série de catastrophes naturelles qui </w:t>
      </w:r>
      <w:r>
        <w:rPr>
          <w:rFonts w:ascii="Arial" w:hAnsi="Arial" w:cs="Arial"/>
          <w:bCs/>
          <w:sz w:val="22"/>
          <w:szCs w:val="22"/>
          <w:lang w:val="fr-FR"/>
        </w:rPr>
        <w:t>avaient</w:t>
      </w:r>
      <w:r w:rsidRPr="00392495">
        <w:rPr>
          <w:rFonts w:ascii="Arial" w:hAnsi="Arial" w:cs="Arial"/>
          <w:bCs/>
          <w:sz w:val="22"/>
          <w:szCs w:val="22"/>
          <w:lang w:val="fr-FR"/>
        </w:rPr>
        <w:t xml:space="preserve"> frappé le pays en août 2021. Le Kenya a également félicité le Comité pour avoir examiné l</w:t>
      </w:r>
      <w:r w:rsidR="008E532B">
        <w:rPr>
          <w:rFonts w:ascii="Arial" w:hAnsi="Arial" w:cs="Arial"/>
          <w:bCs/>
          <w:sz w:val="22"/>
          <w:szCs w:val="22"/>
          <w:lang w:val="fr-FR"/>
        </w:rPr>
        <w:t>’</w:t>
      </w:r>
      <w:r w:rsidRPr="00392495">
        <w:rPr>
          <w:rFonts w:ascii="Arial" w:hAnsi="Arial" w:cs="Arial"/>
          <w:bCs/>
          <w:sz w:val="22"/>
          <w:szCs w:val="22"/>
          <w:lang w:val="fr-FR"/>
        </w:rPr>
        <w:t xml:space="preserve">élément de manière accélérée et proposé son inscription. La soupe </w:t>
      </w:r>
      <w:r>
        <w:rPr>
          <w:rFonts w:ascii="Arial" w:hAnsi="Arial" w:cs="Arial"/>
          <w:bCs/>
          <w:sz w:val="22"/>
          <w:szCs w:val="22"/>
          <w:lang w:val="fr-FR"/>
        </w:rPr>
        <w:t xml:space="preserve">au giraumon était </w:t>
      </w:r>
      <w:r w:rsidRPr="00392495">
        <w:rPr>
          <w:rFonts w:ascii="Arial" w:hAnsi="Arial" w:cs="Arial"/>
          <w:bCs/>
          <w:sz w:val="22"/>
          <w:szCs w:val="22"/>
          <w:lang w:val="fr-FR"/>
        </w:rPr>
        <w:t>un symbole de la liberté d</w:t>
      </w:r>
      <w:r w:rsidR="008E532B">
        <w:rPr>
          <w:rFonts w:ascii="Arial" w:hAnsi="Arial" w:cs="Arial"/>
          <w:bCs/>
          <w:sz w:val="22"/>
          <w:szCs w:val="22"/>
          <w:lang w:val="fr-FR"/>
        </w:rPr>
        <w:t>’</w:t>
      </w:r>
      <w:r w:rsidRPr="00392495">
        <w:rPr>
          <w:rFonts w:ascii="Arial" w:hAnsi="Arial" w:cs="Arial"/>
          <w:bCs/>
          <w:sz w:val="22"/>
          <w:szCs w:val="22"/>
          <w:lang w:val="fr-FR"/>
        </w:rPr>
        <w:t>Haïti après l</w:t>
      </w:r>
      <w:r w:rsidR="008E532B">
        <w:rPr>
          <w:rFonts w:ascii="Arial" w:hAnsi="Arial" w:cs="Arial"/>
          <w:bCs/>
          <w:sz w:val="22"/>
          <w:szCs w:val="22"/>
          <w:lang w:val="fr-FR"/>
        </w:rPr>
        <w:t>’</w:t>
      </w:r>
      <w:r w:rsidRPr="00392495">
        <w:rPr>
          <w:rFonts w:ascii="Arial" w:hAnsi="Arial" w:cs="Arial"/>
          <w:bCs/>
          <w:sz w:val="22"/>
          <w:szCs w:val="22"/>
          <w:lang w:val="fr-FR"/>
        </w:rPr>
        <w:t>indépendance, offrant un signe d</w:t>
      </w:r>
      <w:r w:rsidR="008E532B">
        <w:rPr>
          <w:rFonts w:ascii="Arial" w:hAnsi="Arial" w:cs="Arial"/>
          <w:bCs/>
          <w:sz w:val="22"/>
          <w:szCs w:val="22"/>
          <w:lang w:val="fr-FR"/>
        </w:rPr>
        <w:t>’</w:t>
      </w:r>
      <w:r w:rsidRPr="00392495">
        <w:rPr>
          <w:rFonts w:ascii="Arial" w:hAnsi="Arial" w:cs="Arial"/>
          <w:bCs/>
          <w:sz w:val="22"/>
          <w:szCs w:val="22"/>
          <w:lang w:val="fr-FR"/>
        </w:rPr>
        <w:t>espoir et d</w:t>
      </w:r>
      <w:r w:rsidR="008E532B">
        <w:rPr>
          <w:rFonts w:ascii="Arial" w:hAnsi="Arial" w:cs="Arial"/>
          <w:bCs/>
          <w:sz w:val="22"/>
          <w:szCs w:val="22"/>
          <w:lang w:val="fr-FR"/>
        </w:rPr>
        <w:t>’</w:t>
      </w:r>
      <w:r w:rsidRPr="00392495">
        <w:rPr>
          <w:rFonts w:ascii="Arial" w:hAnsi="Arial" w:cs="Arial"/>
          <w:bCs/>
          <w:sz w:val="22"/>
          <w:szCs w:val="22"/>
          <w:lang w:val="fr-FR"/>
        </w:rPr>
        <w:t>encouragement au peuple haïtien qui s</w:t>
      </w:r>
      <w:r w:rsidR="008E532B">
        <w:rPr>
          <w:rFonts w:ascii="Arial" w:hAnsi="Arial" w:cs="Arial"/>
          <w:bCs/>
          <w:sz w:val="22"/>
          <w:szCs w:val="22"/>
          <w:lang w:val="fr-FR"/>
        </w:rPr>
        <w:t>’</w:t>
      </w:r>
      <w:r>
        <w:rPr>
          <w:rFonts w:ascii="Arial" w:hAnsi="Arial" w:cs="Arial"/>
          <w:bCs/>
          <w:sz w:val="22"/>
          <w:szCs w:val="22"/>
          <w:lang w:val="fr-FR"/>
        </w:rPr>
        <w:t>était</w:t>
      </w:r>
      <w:r w:rsidRPr="00392495">
        <w:rPr>
          <w:rFonts w:ascii="Arial" w:hAnsi="Arial" w:cs="Arial"/>
          <w:bCs/>
          <w:sz w:val="22"/>
          <w:szCs w:val="22"/>
          <w:lang w:val="fr-FR"/>
        </w:rPr>
        <w:t xml:space="preserve"> battu pour se re</w:t>
      </w:r>
      <w:r>
        <w:rPr>
          <w:rFonts w:ascii="Arial" w:hAnsi="Arial" w:cs="Arial"/>
          <w:bCs/>
          <w:sz w:val="22"/>
          <w:szCs w:val="22"/>
          <w:lang w:val="fr-FR"/>
        </w:rPr>
        <w:t>mettre</w:t>
      </w:r>
      <w:r w:rsidRPr="00392495">
        <w:rPr>
          <w:rFonts w:ascii="Arial" w:hAnsi="Arial" w:cs="Arial"/>
          <w:bCs/>
          <w:sz w:val="22"/>
          <w:szCs w:val="22"/>
          <w:lang w:val="fr-FR"/>
        </w:rPr>
        <w:t xml:space="preserve"> de circonstances exceptionnellement difficiles. Cette inscription confirm</w:t>
      </w:r>
      <w:r>
        <w:rPr>
          <w:rFonts w:ascii="Arial" w:hAnsi="Arial" w:cs="Arial"/>
          <w:bCs/>
          <w:sz w:val="22"/>
          <w:szCs w:val="22"/>
          <w:lang w:val="fr-FR"/>
        </w:rPr>
        <w:t>ait</w:t>
      </w:r>
      <w:r w:rsidRPr="00392495">
        <w:rPr>
          <w:rFonts w:ascii="Arial" w:hAnsi="Arial" w:cs="Arial"/>
          <w:bCs/>
          <w:sz w:val="22"/>
          <w:szCs w:val="22"/>
          <w:lang w:val="fr-FR"/>
        </w:rPr>
        <w:t xml:space="preserve"> la flexibilité du Comité dans la prise de décisions critiques concernant l</w:t>
      </w:r>
      <w:r w:rsidR="008E532B">
        <w:rPr>
          <w:rFonts w:ascii="Arial" w:hAnsi="Arial" w:cs="Arial"/>
          <w:bCs/>
          <w:sz w:val="22"/>
          <w:szCs w:val="22"/>
          <w:lang w:val="fr-FR"/>
        </w:rPr>
        <w:t>’</w:t>
      </w:r>
      <w:r w:rsidRPr="00392495">
        <w:rPr>
          <w:rFonts w:ascii="Arial" w:hAnsi="Arial" w:cs="Arial"/>
          <w:bCs/>
          <w:sz w:val="22"/>
          <w:szCs w:val="22"/>
          <w:lang w:val="fr-FR"/>
        </w:rPr>
        <w:t>examen des éléments. Le peuple d</w:t>
      </w:r>
      <w:r w:rsidR="008E532B">
        <w:rPr>
          <w:rFonts w:ascii="Arial" w:hAnsi="Arial" w:cs="Arial"/>
          <w:bCs/>
          <w:sz w:val="22"/>
          <w:szCs w:val="22"/>
          <w:lang w:val="fr-FR"/>
        </w:rPr>
        <w:t>’</w:t>
      </w:r>
      <w:r w:rsidRPr="00392495">
        <w:rPr>
          <w:rFonts w:ascii="Arial" w:hAnsi="Arial" w:cs="Arial"/>
          <w:bCs/>
          <w:sz w:val="22"/>
          <w:szCs w:val="22"/>
          <w:lang w:val="fr-FR"/>
        </w:rPr>
        <w:t xml:space="preserve">Haïti pouvait </w:t>
      </w:r>
      <w:r>
        <w:rPr>
          <w:rFonts w:ascii="Arial" w:hAnsi="Arial" w:cs="Arial"/>
          <w:bCs/>
          <w:sz w:val="22"/>
          <w:szCs w:val="22"/>
          <w:lang w:val="fr-FR"/>
        </w:rPr>
        <w:t xml:space="preserve">désormais </w:t>
      </w:r>
      <w:r w:rsidRPr="00392495">
        <w:rPr>
          <w:rFonts w:ascii="Arial" w:hAnsi="Arial" w:cs="Arial"/>
          <w:bCs/>
          <w:sz w:val="22"/>
          <w:szCs w:val="22"/>
          <w:lang w:val="fr-FR"/>
        </w:rPr>
        <w:t>profiter de cette grande inscription qui lui donn</w:t>
      </w:r>
      <w:r>
        <w:rPr>
          <w:rFonts w:ascii="Arial" w:hAnsi="Arial" w:cs="Arial"/>
          <w:bCs/>
          <w:sz w:val="22"/>
          <w:szCs w:val="22"/>
          <w:lang w:val="fr-FR"/>
        </w:rPr>
        <w:t>ait</w:t>
      </w:r>
      <w:r w:rsidRPr="00392495">
        <w:rPr>
          <w:rFonts w:ascii="Arial" w:hAnsi="Arial" w:cs="Arial"/>
          <w:bCs/>
          <w:sz w:val="22"/>
          <w:szCs w:val="22"/>
          <w:lang w:val="fr-FR"/>
        </w:rPr>
        <w:t xml:space="preserve"> un sentiment d</w:t>
      </w:r>
      <w:r w:rsidR="008E532B">
        <w:rPr>
          <w:rFonts w:ascii="Arial" w:hAnsi="Arial" w:cs="Arial"/>
          <w:bCs/>
          <w:sz w:val="22"/>
          <w:szCs w:val="22"/>
          <w:lang w:val="fr-FR"/>
        </w:rPr>
        <w:t>’</w:t>
      </w:r>
      <w:r w:rsidRPr="00392495">
        <w:rPr>
          <w:rFonts w:ascii="Arial" w:hAnsi="Arial" w:cs="Arial"/>
          <w:bCs/>
          <w:sz w:val="22"/>
          <w:szCs w:val="22"/>
          <w:lang w:val="fr-FR"/>
        </w:rPr>
        <w:t>identité et de continuité. Des situations comme celle qui a</w:t>
      </w:r>
      <w:r>
        <w:rPr>
          <w:rFonts w:ascii="Arial" w:hAnsi="Arial" w:cs="Arial"/>
          <w:bCs/>
          <w:sz w:val="22"/>
          <w:szCs w:val="22"/>
          <w:lang w:val="fr-FR"/>
        </w:rPr>
        <w:t>vait</w:t>
      </w:r>
      <w:r w:rsidRPr="00392495">
        <w:rPr>
          <w:rFonts w:ascii="Arial" w:hAnsi="Arial" w:cs="Arial"/>
          <w:bCs/>
          <w:sz w:val="22"/>
          <w:szCs w:val="22"/>
          <w:lang w:val="fr-FR"/>
        </w:rPr>
        <w:t xml:space="preserve"> frappé Haïti n</w:t>
      </w:r>
      <w:r w:rsidR="008E532B">
        <w:rPr>
          <w:rFonts w:ascii="Arial" w:hAnsi="Arial" w:cs="Arial"/>
          <w:bCs/>
          <w:sz w:val="22"/>
          <w:szCs w:val="22"/>
          <w:lang w:val="fr-FR"/>
        </w:rPr>
        <w:t>’</w:t>
      </w:r>
      <w:r>
        <w:rPr>
          <w:rFonts w:ascii="Arial" w:hAnsi="Arial" w:cs="Arial"/>
          <w:bCs/>
          <w:sz w:val="22"/>
          <w:szCs w:val="22"/>
          <w:lang w:val="fr-FR"/>
        </w:rPr>
        <w:t xml:space="preserve">étaient </w:t>
      </w:r>
      <w:r w:rsidRPr="00392495">
        <w:rPr>
          <w:rFonts w:ascii="Arial" w:hAnsi="Arial" w:cs="Arial"/>
          <w:bCs/>
          <w:sz w:val="22"/>
          <w:szCs w:val="22"/>
          <w:lang w:val="fr-FR"/>
        </w:rPr>
        <w:t>pas exceptionnelles, car tous les pays p</w:t>
      </w:r>
      <w:r>
        <w:rPr>
          <w:rFonts w:ascii="Arial" w:hAnsi="Arial" w:cs="Arial"/>
          <w:bCs/>
          <w:sz w:val="22"/>
          <w:szCs w:val="22"/>
          <w:lang w:val="fr-FR"/>
        </w:rPr>
        <w:t>ouvaient</w:t>
      </w:r>
      <w:r w:rsidRPr="00392495">
        <w:rPr>
          <w:rFonts w:ascii="Arial" w:hAnsi="Arial" w:cs="Arial"/>
          <w:bCs/>
          <w:sz w:val="22"/>
          <w:szCs w:val="22"/>
          <w:lang w:val="fr-FR"/>
        </w:rPr>
        <w:t xml:space="preserve"> potentiellement connaître une telle vulnérabilité. </w:t>
      </w:r>
      <w:r>
        <w:rPr>
          <w:rFonts w:ascii="Arial" w:hAnsi="Arial" w:cs="Arial"/>
          <w:bCs/>
          <w:sz w:val="22"/>
          <w:szCs w:val="22"/>
          <w:lang w:val="fr-FR"/>
        </w:rPr>
        <w:t xml:space="preserve">En </w:t>
      </w:r>
      <w:r w:rsidRPr="0088315A">
        <w:rPr>
          <w:rFonts w:ascii="Arial" w:hAnsi="Arial" w:cs="Arial"/>
          <w:bCs/>
          <w:sz w:val="22"/>
          <w:szCs w:val="22"/>
          <w:lang w:val="fr-FR"/>
        </w:rPr>
        <w:t>conséquence</w:t>
      </w:r>
      <w:r>
        <w:rPr>
          <w:rFonts w:ascii="Arial" w:hAnsi="Arial" w:cs="Arial"/>
          <w:bCs/>
          <w:sz w:val="22"/>
          <w:szCs w:val="22"/>
          <w:lang w:val="fr-FR"/>
        </w:rPr>
        <w:t>, ce n</w:t>
      </w:r>
      <w:r w:rsidR="008E532B">
        <w:rPr>
          <w:rFonts w:ascii="Arial" w:hAnsi="Arial" w:cs="Arial"/>
          <w:bCs/>
          <w:sz w:val="22"/>
          <w:szCs w:val="22"/>
          <w:lang w:val="fr-FR"/>
        </w:rPr>
        <w:t>’</w:t>
      </w:r>
      <w:r>
        <w:rPr>
          <w:rFonts w:ascii="Arial" w:hAnsi="Arial" w:cs="Arial"/>
          <w:bCs/>
          <w:sz w:val="22"/>
          <w:szCs w:val="22"/>
          <w:lang w:val="fr-FR"/>
        </w:rPr>
        <w:t xml:space="preserve">était que justice </w:t>
      </w:r>
      <w:r w:rsidRPr="00392495">
        <w:rPr>
          <w:rFonts w:ascii="Arial" w:hAnsi="Arial" w:cs="Arial"/>
          <w:bCs/>
          <w:sz w:val="22"/>
          <w:szCs w:val="22"/>
          <w:lang w:val="fr-FR"/>
        </w:rPr>
        <w:t xml:space="preserve">que </w:t>
      </w:r>
      <w:r>
        <w:rPr>
          <w:rFonts w:ascii="Arial" w:hAnsi="Arial" w:cs="Arial"/>
          <w:bCs/>
          <w:sz w:val="22"/>
          <w:szCs w:val="22"/>
          <w:lang w:val="fr-FR"/>
        </w:rPr>
        <w:t xml:space="preserve">dans </w:t>
      </w:r>
      <w:r w:rsidRPr="00392495">
        <w:rPr>
          <w:rFonts w:ascii="Arial" w:hAnsi="Arial" w:cs="Arial"/>
          <w:bCs/>
          <w:sz w:val="22"/>
          <w:szCs w:val="22"/>
          <w:lang w:val="fr-FR"/>
        </w:rPr>
        <w:t>de telles situations</w:t>
      </w:r>
      <w:r>
        <w:rPr>
          <w:rFonts w:ascii="Arial" w:hAnsi="Arial" w:cs="Arial"/>
          <w:bCs/>
          <w:sz w:val="22"/>
          <w:szCs w:val="22"/>
          <w:lang w:val="fr-FR"/>
        </w:rPr>
        <w:t>,</w:t>
      </w:r>
      <w:r w:rsidRPr="00392495">
        <w:rPr>
          <w:rFonts w:ascii="Arial" w:hAnsi="Arial" w:cs="Arial"/>
          <w:bCs/>
          <w:sz w:val="22"/>
          <w:szCs w:val="22"/>
          <w:lang w:val="fr-FR"/>
        </w:rPr>
        <w:t xml:space="preserve"> auxquelles </w:t>
      </w:r>
      <w:r>
        <w:rPr>
          <w:rFonts w:ascii="Arial" w:hAnsi="Arial" w:cs="Arial"/>
          <w:bCs/>
          <w:sz w:val="22"/>
          <w:szCs w:val="22"/>
          <w:lang w:val="fr-FR"/>
        </w:rPr>
        <w:t>n</w:t>
      </w:r>
      <w:r w:rsidR="008E532B">
        <w:rPr>
          <w:rFonts w:ascii="Arial" w:hAnsi="Arial" w:cs="Arial"/>
          <w:bCs/>
          <w:sz w:val="22"/>
          <w:szCs w:val="22"/>
          <w:lang w:val="fr-FR"/>
        </w:rPr>
        <w:t>’</w:t>
      </w:r>
      <w:r>
        <w:rPr>
          <w:rFonts w:ascii="Arial" w:hAnsi="Arial" w:cs="Arial"/>
          <w:bCs/>
          <w:sz w:val="22"/>
          <w:szCs w:val="22"/>
          <w:lang w:val="fr-FR"/>
        </w:rPr>
        <w:t xml:space="preserve">importe quel </w:t>
      </w:r>
      <w:r w:rsidRPr="00392495">
        <w:rPr>
          <w:rFonts w:ascii="Arial" w:hAnsi="Arial" w:cs="Arial"/>
          <w:bCs/>
          <w:sz w:val="22"/>
          <w:szCs w:val="22"/>
          <w:lang w:val="fr-FR"/>
        </w:rPr>
        <w:t>autre pays</w:t>
      </w:r>
      <w:r>
        <w:rPr>
          <w:rFonts w:ascii="Arial" w:hAnsi="Arial" w:cs="Arial"/>
          <w:bCs/>
          <w:sz w:val="22"/>
          <w:szCs w:val="22"/>
          <w:lang w:val="fr-FR"/>
        </w:rPr>
        <w:t xml:space="preserve"> pouvait être</w:t>
      </w:r>
      <w:r w:rsidRPr="00392495">
        <w:rPr>
          <w:rFonts w:ascii="Arial" w:hAnsi="Arial" w:cs="Arial"/>
          <w:bCs/>
          <w:sz w:val="22"/>
          <w:szCs w:val="22"/>
          <w:lang w:val="fr-FR"/>
        </w:rPr>
        <w:t xml:space="preserve"> confronté</w:t>
      </w:r>
      <w:r>
        <w:rPr>
          <w:rFonts w:ascii="Arial" w:hAnsi="Arial" w:cs="Arial"/>
          <w:bCs/>
          <w:sz w:val="22"/>
          <w:szCs w:val="22"/>
          <w:lang w:val="fr-FR"/>
        </w:rPr>
        <w:t>,</w:t>
      </w:r>
      <w:r w:rsidRPr="00392495">
        <w:rPr>
          <w:rFonts w:ascii="Arial" w:hAnsi="Arial" w:cs="Arial"/>
          <w:bCs/>
          <w:sz w:val="22"/>
          <w:szCs w:val="22"/>
          <w:lang w:val="fr-FR"/>
        </w:rPr>
        <w:t xml:space="preserve"> </w:t>
      </w:r>
      <w:r>
        <w:rPr>
          <w:rFonts w:ascii="Arial" w:hAnsi="Arial" w:cs="Arial"/>
          <w:bCs/>
          <w:sz w:val="22"/>
          <w:szCs w:val="22"/>
          <w:lang w:val="fr-FR"/>
        </w:rPr>
        <w:t xml:space="preserve">une aide </w:t>
      </w:r>
      <w:r w:rsidRPr="00392495">
        <w:rPr>
          <w:rFonts w:ascii="Arial" w:hAnsi="Arial" w:cs="Arial"/>
          <w:bCs/>
          <w:sz w:val="22"/>
          <w:szCs w:val="22"/>
          <w:lang w:val="fr-FR"/>
        </w:rPr>
        <w:t>puiss</w:t>
      </w:r>
      <w:r>
        <w:rPr>
          <w:rFonts w:ascii="Arial" w:hAnsi="Arial" w:cs="Arial"/>
          <w:bCs/>
          <w:sz w:val="22"/>
          <w:szCs w:val="22"/>
          <w:lang w:val="fr-FR"/>
        </w:rPr>
        <w:t>e être</w:t>
      </w:r>
      <w:r w:rsidRPr="00392495">
        <w:rPr>
          <w:rFonts w:ascii="Arial" w:hAnsi="Arial" w:cs="Arial"/>
          <w:bCs/>
          <w:sz w:val="22"/>
          <w:szCs w:val="22"/>
          <w:lang w:val="fr-FR"/>
        </w:rPr>
        <w:t xml:space="preserve"> invoqu</w:t>
      </w:r>
      <w:r>
        <w:rPr>
          <w:rFonts w:ascii="Arial" w:hAnsi="Arial" w:cs="Arial"/>
          <w:bCs/>
          <w:sz w:val="22"/>
          <w:szCs w:val="22"/>
          <w:lang w:val="fr-FR"/>
        </w:rPr>
        <w:t>ée</w:t>
      </w:r>
      <w:r w:rsidRPr="00392495">
        <w:rPr>
          <w:rFonts w:ascii="Arial" w:hAnsi="Arial" w:cs="Arial"/>
          <w:bCs/>
          <w:sz w:val="22"/>
          <w:szCs w:val="22"/>
          <w:lang w:val="fr-FR"/>
        </w:rPr>
        <w:t xml:space="preserve"> pour protéger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392495">
        <w:rPr>
          <w:rFonts w:ascii="Arial" w:hAnsi="Arial" w:cs="Arial"/>
          <w:bCs/>
          <w:sz w:val="22"/>
          <w:szCs w:val="22"/>
          <w:lang w:val="fr-FR"/>
        </w:rPr>
        <w:t>par l</w:t>
      </w:r>
      <w:r w:rsidR="008E532B">
        <w:rPr>
          <w:rFonts w:ascii="Arial" w:hAnsi="Arial" w:cs="Arial"/>
          <w:bCs/>
          <w:sz w:val="22"/>
          <w:szCs w:val="22"/>
          <w:lang w:val="fr-FR"/>
        </w:rPr>
        <w:t>’</w:t>
      </w:r>
      <w:r w:rsidRPr="00392495">
        <w:rPr>
          <w:rFonts w:ascii="Arial" w:hAnsi="Arial" w:cs="Arial"/>
          <w:bCs/>
          <w:sz w:val="22"/>
          <w:szCs w:val="22"/>
          <w:lang w:val="fr-FR"/>
        </w:rPr>
        <w:t>inscription d</w:t>
      </w:r>
      <w:r w:rsidR="008E532B">
        <w:rPr>
          <w:rFonts w:ascii="Arial" w:hAnsi="Arial" w:cs="Arial"/>
          <w:bCs/>
          <w:sz w:val="22"/>
          <w:szCs w:val="22"/>
          <w:lang w:val="fr-FR"/>
        </w:rPr>
        <w:t>’</w:t>
      </w:r>
      <w:r w:rsidRPr="00392495">
        <w:rPr>
          <w:rFonts w:ascii="Arial" w:hAnsi="Arial" w:cs="Arial"/>
          <w:bCs/>
          <w:sz w:val="22"/>
          <w:szCs w:val="22"/>
          <w:lang w:val="fr-FR"/>
        </w:rPr>
        <w:t xml:space="preserve">éléments proposés dans le cadre de la Convention. Cela motiverait les parties prenantes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392495">
        <w:rPr>
          <w:rFonts w:ascii="Arial" w:hAnsi="Arial" w:cs="Arial"/>
          <w:bCs/>
          <w:sz w:val="22"/>
          <w:szCs w:val="22"/>
          <w:lang w:val="fr-FR"/>
        </w:rPr>
        <w:t xml:space="preserve">à continuer à pratiquer et à </w:t>
      </w:r>
      <w:r>
        <w:rPr>
          <w:rFonts w:ascii="Arial" w:hAnsi="Arial" w:cs="Arial"/>
          <w:bCs/>
          <w:sz w:val="22"/>
          <w:szCs w:val="22"/>
          <w:lang w:val="fr-FR"/>
        </w:rPr>
        <w:t>interpréter</w:t>
      </w:r>
      <w:r w:rsidRPr="00392495">
        <w:rPr>
          <w:rFonts w:ascii="Arial" w:hAnsi="Arial" w:cs="Arial"/>
          <w:bCs/>
          <w:sz w:val="22"/>
          <w:szCs w:val="22"/>
          <w:lang w:val="fr-FR"/>
        </w:rPr>
        <w:t xml:space="preserve"> leurs cultures. La procédure d</w:t>
      </w:r>
      <w:r w:rsidR="008E532B">
        <w:rPr>
          <w:rFonts w:ascii="Arial" w:hAnsi="Arial" w:cs="Arial"/>
          <w:bCs/>
          <w:sz w:val="22"/>
          <w:szCs w:val="22"/>
          <w:lang w:val="fr-FR"/>
        </w:rPr>
        <w:t>’</w:t>
      </w:r>
      <w:r w:rsidRPr="00392495">
        <w:rPr>
          <w:rFonts w:ascii="Arial" w:hAnsi="Arial" w:cs="Arial"/>
          <w:bCs/>
          <w:sz w:val="22"/>
          <w:szCs w:val="22"/>
          <w:lang w:val="fr-FR"/>
        </w:rPr>
        <w:t>évaluation et d</w:t>
      </w:r>
      <w:r w:rsidR="008E532B">
        <w:rPr>
          <w:rFonts w:ascii="Arial" w:hAnsi="Arial" w:cs="Arial"/>
          <w:bCs/>
          <w:sz w:val="22"/>
          <w:szCs w:val="22"/>
          <w:lang w:val="fr-FR"/>
        </w:rPr>
        <w:t>’</w:t>
      </w:r>
      <w:r w:rsidRPr="00392495">
        <w:rPr>
          <w:rFonts w:ascii="Arial" w:hAnsi="Arial" w:cs="Arial"/>
          <w:bCs/>
          <w:sz w:val="22"/>
          <w:szCs w:val="22"/>
          <w:lang w:val="fr-FR"/>
        </w:rPr>
        <w:t xml:space="preserve">examen des candidatures et, en particulier, son calendrier </w:t>
      </w:r>
      <w:r>
        <w:rPr>
          <w:rFonts w:ascii="Arial" w:hAnsi="Arial" w:cs="Arial"/>
          <w:bCs/>
          <w:sz w:val="22"/>
          <w:szCs w:val="22"/>
          <w:lang w:val="fr-FR"/>
        </w:rPr>
        <w:t>étaient</w:t>
      </w:r>
      <w:r w:rsidRPr="00392495">
        <w:rPr>
          <w:rFonts w:ascii="Arial" w:hAnsi="Arial" w:cs="Arial"/>
          <w:bCs/>
          <w:sz w:val="22"/>
          <w:szCs w:val="22"/>
          <w:lang w:val="fr-FR"/>
        </w:rPr>
        <w:t xml:space="preserve"> définis dans les Directives opérationnelles. Le Comité a</w:t>
      </w:r>
      <w:r>
        <w:rPr>
          <w:rFonts w:ascii="Arial" w:hAnsi="Arial" w:cs="Arial"/>
          <w:bCs/>
          <w:sz w:val="22"/>
          <w:szCs w:val="22"/>
          <w:lang w:val="fr-FR"/>
        </w:rPr>
        <w:t>vait</w:t>
      </w:r>
      <w:r w:rsidRPr="00392495">
        <w:rPr>
          <w:rFonts w:ascii="Arial" w:hAnsi="Arial" w:cs="Arial"/>
          <w:bCs/>
          <w:sz w:val="22"/>
          <w:szCs w:val="22"/>
          <w:lang w:val="fr-FR"/>
        </w:rPr>
        <w:t xml:space="preserve"> donc examiné une demande et pris sa décision sur la base des procédures prévues dans les Directives opérationnelles. Le Kenya</w:t>
      </w:r>
      <w:r>
        <w:rPr>
          <w:rFonts w:ascii="Arial" w:hAnsi="Arial" w:cs="Arial"/>
          <w:bCs/>
          <w:sz w:val="22"/>
          <w:szCs w:val="22"/>
          <w:lang w:val="fr-FR"/>
        </w:rPr>
        <w:t xml:space="preserve"> était donc</w:t>
      </w:r>
      <w:r w:rsidRPr="00392495">
        <w:rPr>
          <w:rFonts w:ascii="Arial" w:hAnsi="Arial" w:cs="Arial"/>
          <w:bCs/>
          <w:sz w:val="22"/>
          <w:szCs w:val="22"/>
          <w:lang w:val="fr-FR"/>
        </w:rPr>
        <w:t xml:space="preserve"> </w:t>
      </w:r>
      <w:r>
        <w:rPr>
          <w:rFonts w:ascii="Arial" w:hAnsi="Arial" w:cs="Arial"/>
          <w:bCs/>
          <w:sz w:val="22"/>
          <w:szCs w:val="22"/>
          <w:lang w:val="fr-FR"/>
        </w:rPr>
        <w:t xml:space="preserve">sensible aux </w:t>
      </w:r>
      <w:r w:rsidRPr="00392495">
        <w:rPr>
          <w:rFonts w:ascii="Arial" w:hAnsi="Arial" w:cs="Arial"/>
          <w:bCs/>
          <w:sz w:val="22"/>
          <w:szCs w:val="22"/>
          <w:lang w:val="fr-FR"/>
        </w:rPr>
        <w:t xml:space="preserve">circonstances exceptionnelles vécues par Haïti qui </w:t>
      </w:r>
      <w:r>
        <w:rPr>
          <w:rFonts w:ascii="Arial" w:hAnsi="Arial" w:cs="Arial"/>
          <w:bCs/>
          <w:sz w:val="22"/>
          <w:szCs w:val="22"/>
          <w:lang w:val="fr-FR"/>
        </w:rPr>
        <w:t>avaient</w:t>
      </w:r>
      <w:r w:rsidRPr="00392495">
        <w:rPr>
          <w:rFonts w:ascii="Arial" w:hAnsi="Arial" w:cs="Arial"/>
          <w:bCs/>
          <w:sz w:val="22"/>
          <w:szCs w:val="22"/>
          <w:lang w:val="fr-FR"/>
        </w:rPr>
        <w:t xml:space="preserve"> nécessité l</w:t>
      </w:r>
      <w:r w:rsidR="008E532B">
        <w:rPr>
          <w:rFonts w:ascii="Arial" w:hAnsi="Arial" w:cs="Arial"/>
          <w:bCs/>
          <w:sz w:val="22"/>
          <w:szCs w:val="22"/>
          <w:lang w:val="fr-FR"/>
        </w:rPr>
        <w:t>’</w:t>
      </w:r>
      <w:r w:rsidRPr="00392495">
        <w:rPr>
          <w:rFonts w:ascii="Arial" w:hAnsi="Arial" w:cs="Arial"/>
          <w:bCs/>
          <w:sz w:val="22"/>
          <w:szCs w:val="22"/>
          <w:lang w:val="fr-FR"/>
        </w:rPr>
        <w:t>examen de la candidature selon une procédure accélérée. Néanmoins, sa décision d</w:t>
      </w:r>
      <w:r w:rsidR="008E532B">
        <w:rPr>
          <w:rFonts w:ascii="Arial" w:hAnsi="Arial" w:cs="Arial"/>
          <w:bCs/>
          <w:sz w:val="22"/>
          <w:szCs w:val="22"/>
          <w:lang w:val="fr-FR"/>
        </w:rPr>
        <w:t>’</w:t>
      </w:r>
      <w:r w:rsidRPr="00392495">
        <w:rPr>
          <w:rFonts w:ascii="Arial" w:hAnsi="Arial" w:cs="Arial"/>
          <w:bCs/>
          <w:sz w:val="22"/>
          <w:szCs w:val="22"/>
          <w:lang w:val="fr-FR"/>
        </w:rPr>
        <w:t>inscription nécessitait l</w:t>
      </w:r>
      <w:r w:rsidR="008E532B">
        <w:rPr>
          <w:rFonts w:ascii="Arial" w:hAnsi="Arial" w:cs="Arial"/>
          <w:bCs/>
          <w:sz w:val="22"/>
          <w:szCs w:val="22"/>
          <w:lang w:val="fr-FR"/>
        </w:rPr>
        <w:t>’</w:t>
      </w:r>
      <w:r w:rsidRPr="00392495">
        <w:rPr>
          <w:rFonts w:ascii="Arial" w:hAnsi="Arial" w:cs="Arial"/>
          <w:bCs/>
          <w:sz w:val="22"/>
          <w:szCs w:val="22"/>
          <w:lang w:val="fr-FR"/>
        </w:rPr>
        <w:t>aval de l</w:t>
      </w:r>
      <w:r w:rsidR="008E532B">
        <w:rPr>
          <w:rFonts w:ascii="Arial" w:hAnsi="Arial" w:cs="Arial"/>
          <w:bCs/>
          <w:sz w:val="22"/>
          <w:szCs w:val="22"/>
          <w:lang w:val="fr-FR"/>
        </w:rPr>
        <w:t>’</w:t>
      </w:r>
      <w:r w:rsidRPr="00392495">
        <w:rPr>
          <w:rFonts w:ascii="Arial" w:hAnsi="Arial" w:cs="Arial"/>
          <w:bCs/>
          <w:sz w:val="22"/>
          <w:szCs w:val="22"/>
          <w:lang w:val="fr-FR"/>
        </w:rPr>
        <w:t>Assemblée générale. Le Kenya a en outre salué la décision de l</w:t>
      </w:r>
      <w:r w:rsidR="008E532B">
        <w:rPr>
          <w:rFonts w:ascii="Arial" w:hAnsi="Arial" w:cs="Arial"/>
          <w:bCs/>
          <w:sz w:val="22"/>
          <w:szCs w:val="22"/>
          <w:lang w:val="fr-FR"/>
        </w:rPr>
        <w:t>’</w:t>
      </w:r>
      <w:r>
        <w:rPr>
          <w:rFonts w:ascii="Arial" w:hAnsi="Arial" w:cs="Arial"/>
          <w:bCs/>
          <w:sz w:val="22"/>
          <w:szCs w:val="22"/>
          <w:lang w:val="fr-FR"/>
        </w:rPr>
        <w:t>O</w:t>
      </w:r>
      <w:r w:rsidRPr="00392495">
        <w:rPr>
          <w:rFonts w:ascii="Arial" w:hAnsi="Arial" w:cs="Arial"/>
          <w:bCs/>
          <w:sz w:val="22"/>
          <w:szCs w:val="22"/>
          <w:lang w:val="fr-FR"/>
        </w:rPr>
        <w:t>rgane d</w:t>
      </w:r>
      <w:r w:rsidR="008E532B">
        <w:rPr>
          <w:rFonts w:ascii="Arial" w:hAnsi="Arial" w:cs="Arial"/>
          <w:bCs/>
          <w:sz w:val="22"/>
          <w:szCs w:val="22"/>
          <w:lang w:val="fr-FR"/>
        </w:rPr>
        <w:t>’</w:t>
      </w:r>
      <w:r w:rsidRPr="00392495">
        <w:rPr>
          <w:rFonts w:ascii="Arial" w:hAnsi="Arial" w:cs="Arial"/>
          <w:bCs/>
          <w:sz w:val="22"/>
          <w:szCs w:val="22"/>
          <w:lang w:val="fr-FR"/>
        </w:rPr>
        <w:t>évaluation d</w:t>
      </w:r>
      <w:r w:rsidR="008E532B">
        <w:rPr>
          <w:rFonts w:ascii="Arial" w:hAnsi="Arial" w:cs="Arial"/>
          <w:bCs/>
          <w:sz w:val="22"/>
          <w:szCs w:val="22"/>
          <w:lang w:val="fr-FR"/>
        </w:rPr>
        <w:t>’</w:t>
      </w:r>
      <w:r w:rsidRPr="00392495">
        <w:rPr>
          <w:rFonts w:ascii="Arial" w:hAnsi="Arial" w:cs="Arial"/>
          <w:bCs/>
          <w:sz w:val="22"/>
          <w:szCs w:val="22"/>
          <w:lang w:val="fr-FR"/>
        </w:rPr>
        <w:t>examiner l</w:t>
      </w:r>
      <w:r w:rsidR="008E532B">
        <w:rPr>
          <w:rFonts w:ascii="Arial" w:hAnsi="Arial" w:cs="Arial"/>
          <w:bCs/>
          <w:sz w:val="22"/>
          <w:szCs w:val="22"/>
          <w:lang w:val="fr-FR"/>
        </w:rPr>
        <w:t>’</w:t>
      </w:r>
      <w:r w:rsidRPr="00392495">
        <w:rPr>
          <w:rFonts w:ascii="Arial" w:hAnsi="Arial" w:cs="Arial"/>
          <w:bCs/>
          <w:sz w:val="22"/>
          <w:szCs w:val="22"/>
          <w:lang w:val="fr-FR"/>
        </w:rPr>
        <w:t xml:space="preserve">élément dans les mêmes conditions que celles appliquées pour évaluer les dossiers de candidature </w:t>
      </w:r>
      <w:r>
        <w:rPr>
          <w:rFonts w:ascii="Arial" w:hAnsi="Arial" w:cs="Arial"/>
          <w:bCs/>
          <w:sz w:val="22"/>
          <w:szCs w:val="22"/>
          <w:lang w:val="fr-FR"/>
        </w:rPr>
        <w:t>au cours du</w:t>
      </w:r>
      <w:r w:rsidRPr="00392495">
        <w:rPr>
          <w:rFonts w:ascii="Arial" w:hAnsi="Arial" w:cs="Arial"/>
          <w:bCs/>
          <w:sz w:val="22"/>
          <w:szCs w:val="22"/>
          <w:lang w:val="fr-FR"/>
        </w:rPr>
        <w:t xml:space="preserve"> cycle 2020/2021. Il </w:t>
      </w:r>
      <w:r>
        <w:rPr>
          <w:rFonts w:ascii="Arial" w:hAnsi="Arial" w:cs="Arial"/>
          <w:bCs/>
          <w:sz w:val="22"/>
          <w:szCs w:val="22"/>
          <w:lang w:val="fr-FR"/>
        </w:rPr>
        <w:t xml:space="preserve">appréciait </w:t>
      </w:r>
      <w:r w:rsidRPr="00392495">
        <w:rPr>
          <w:rFonts w:ascii="Arial" w:hAnsi="Arial" w:cs="Arial"/>
          <w:bCs/>
          <w:sz w:val="22"/>
          <w:szCs w:val="22"/>
          <w:lang w:val="fr-FR"/>
        </w:rPr>
        <w:t xml:space="preserve">également le travail </w:t>
      </w:r>
      <w:r>
        <w:rPr>
          <w:rFonts w:ascii="Arial" w:hAnsi="Arial" w:cs="Arial"/>
          <w:bCs/>
          <w:sz w:val="22"/>
          <w:szCs w:val="22"/>
          <w:lang w:val="fr-FR"/>
        </w:rPr>
        <w:t xml:space="preserve">entrepris par le </w:t>
      </w:r>
      <w:r w:rsidRPr="00392495">
        <w:rPr>
          <w:rFonts w:ascii="Arial" w:hAnsi="Arial" w:cs="Arial"/>
          <w:bCs/>
          <w:sz w:val="22"/>
          <w:szCs w:val="22"/>
          <w:lang w:val="fr-FR"/>
        </w:rPr>
        <w:t>groupe de travail à composition non limitée sur la réflexion globale sur les mécanismes d</w:t>
      </w:r>
      <w:r w:rsidR="008E532B">
        <w:rPr>
          <w:rFonts w:ascii="Arial" w:hAnsi="Arial" w:cs="Arial"/>
          <w:bCs/>
          <w:sz w:val="22"/>
          <w:szCs w:val="22"/>
          <w:lang w:val="fr-FR"/>
        </w:rPr>
        <w:t>’</w:t>
      </w:r>
      <w:r w:rsidRPr="00392495">
        <w:rPr>
          <w:rFonts w:ascii="Arial" w:hAnsi="Arial" w:cs="Arial"/>
          <w:bCs/>
          <w:sz w:val="22"/>
          <w:szCs w:val="22"/>
          <w:lang w:val="fr-FR"/>
        </w:rPr>
        <w:t xml:space="preserve">inscription </w:t>
      </w:r>
      <w:r>
        <w:rPr>
          <w:rFonts w:ascii="Arial" w:hAnsi="Arial" w:cs="Arial"/>
          <w:bCs/>
          <w:sz w:val="22"/>
          <w:szCs w:val="22"/>
          <w:lang w:val="fr-FR"/>
        </w:rPr>
        <w:t xml:space="preserve">afin de </w:t>
      </w:r>
      <w:r w:rsidRPr="00392495">
        <w:rPr>
          <w:rFonts w:ascii="Arial" w:hAnsi="Arial" w:cs="Arial"/>
          <w:bCs/>
          <w:sz w:val="22"/>
          <w:szCs w:val="22"/>
          <w:lang w:val="fr-FR"/>
        </w:rPr>
        <w:t>discuter de cette question. Compte tenu de la situation particulière d</w:t>
      </w:r>
      <w:r w:rsidR="008E532B">
        <w:rPr>
          <w:rFonts w:ascii="Arial" w:hAnsi="Arial" w:cs="Arial"/>
          <w:bCs/>
          <w:sz w:val="22"/>
          <w:szCs w:val="22"/>
          <w:lang w:val="fr-FR"/>
        </w:rPr>
        <w:t>’</w:t>
      </w:r>
      <w:r w:rsidRPr="00392495">
        <w:rPr>
          <w:rFonts w:ascii="Arial" w:hAnsi="Arial" w:cs="Arial"/>
          <w:bCs/>
          <w:sz w:val="22"/>
          <w:szCs w:val="22"/>
          <w:lang w:val="fr-FR"/>
        </w:rPr>
        <w:t>Haïti, il souhait</w:t>
      </w:r>
      <w:r>
        <w:rPr>
          <w:rFonts w:ascii="Arial" w:hAnsi="Arial" w:cs="Arial"/>
          <w:bCs/>
          <w:sz w:val="22"/>
          <w:szCs w:val="22"/>
          <w:lang w:val="fr-FR"/>
        </w:rPr>
        <w:t>ait</w:t>
      </w:r>
      <w:r w:rsidRPr="00392495">
        <w:rPr>
          <w:rFonts w:ascii="Arial" w:hAnsi="Arial" w:cs="Arial"/>
          <w:bCs/>
          <w:sz w:val="22"/>
          <w:szCs w:val="22"/>
          <w:lang w:val="fr-FR"/>
        </w:rPr>
        <w:t xml:space="preserve"> que l</w:t>
      </w:r>
      <w:r w:rsidR="008E532B">
        <w:rPr>
          <w:rFonts w:ascii="Arial" w:hAnsi="Arial" w:cs="Arial"/>
          <w:bCs/>
          <w:sz w:val="22"/>
          <w:szCs w:val="22"/>
          <w:lang w:val="fr-FR"/>
        </w:rPr>
        <w:t>’</w:t>
      </w:r>
      <w:r w:rsidRPr="00392495">
        <w:rPr>
          <w:rFonts w:ascii="Arial" w:hAnsi="Arial" w:cs="Arial"/>
          <w:bCs/>
          <w:sz w:val="22"/>
          <w:szCs w:val="22"/>
          <w:lang w:val="fr-FR"/>
        </w:rPr>
        <w:t>Assemblée générale entérine l</w:t>
      </w:r>
      <w:r w:rsidR="008E532B">
        <w:rPr>
          <w:rFonts w:ascii="Arial" w:hAnsi="Arial" w:cs="Arial"/>
          <w:bCs/>
          <w:sz w:val="22"/>
          <w:szCs w:val="22"/>
          <w:lang w:val="fr-FR"/>
        </w:rPr>
        <w:t>’</w:t>
      </w:r>
      <w:r w:rsidRPr="00392495">
        <w:rPr>
          <w:rFonts w:ascii="Arial" w:hAnsi="Arial" w:cs="Arial"/>
          <w:bCs/>
          <w:sz w:val="22"/>
          <w:szCs w:val="22"/>
          <w:lang w:val="fr-FR"/>
        </w:rPr>
        <w:t>inscription de la soupe</w:t>
      </w:r>
      <w:r>
        <w:rPr>
          <w:rFonts w:ascii="Arial" w:hAnsi="Arial" w:cs="Arial"/>
          <w:bCs/>
          <w:sz w:val="22"/>
          <w:szCs w:val="22"/>
          <w:lang w:val="fr-FR"/>
        </w:rPr>
        <w:t xml:space="preserve"> au giraumon</w:t>
      </w:r>
      <w:r w:rsidRPr="00392495">
        <w:rPr>
          <w:rFonts w:ascii="Arial" w:hAnsi="Arial" w:cs="Arial"/>
          <w:bCs/>
          <w:sz w:val="22"/>
          <w:szCs w:val="22"/>
          <w:lang w:val="fr-FR"/>
        </w:rPr>
        <w:t>.</w:t>
      </w:r>
    </w:p>
    <w:bookmarkEnd w:id="1"/>
    <w:p w14:paraId="76915841" w14:textId="60B2B2C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84412">
        <w:rPr>
          <w:rFonts w:ascii="Arial" w:hAnsi="Arial" w:cs="Arial"/>
          <w:bCs/>
          <w:sz w:val="22"/>
          <w:szCs w:val="22"/>
          <w:lang w:val="fr-FR"/>
        </w:rPr>
        <w:t xml:space="preserve">La délégation des </w:t>
      </w:r>
      <w:r>
        <w:rPr>
          <w:rFonts w:ascii="Arial" w:hAnsi="Arial" w:cs="Arial"/>
          <w:b/>
          <w:sz w:val="22"/>
          <w:szCs w:val="22"/>
          <w:lang w:val="fr-FR"/>
        </w:rPr>
        <w:t>Î</w:t>
      </w:r>
      <w:r w:rsidRPr="00984412">
        <w:rPr>
          <w:rFonts w:ascii="Arial" w:hAnsi="Arial" w:cs="Arial"/>
          <w:b/>
          <w:sz w:val="22"/>
          <w:szCs w:val="22"/>
          <w:lang w:val="fr-FR"/>
        </w:rPr>
        <w:t>les Cook</w:t>
      </w:r>
      <w:r w:rsidRPr="00984412">
        <w:rPr>
          <w:rFonts w:ascii="Arial" w:hAnsi="Arial" w:cs="Arial"/>
          <w:bCs/>
          <w:sz w:val="22"/>
          <w:szCs w:val="22"/>
          <w:lang w:val="fr-FR"/>
        </w:rPr>
        <w:t xml:space="preserve"> a félicité la Présidente pour son élection et a souhaité la bienvenue aux nouveaux membres du Comité, ajoutant que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984412">
        <w:rPr>
          <w:rFonts w:ascii="Arial" w:hAnsi="Arial" w:cs="Arial"/>
          <w:bCs/>
          <w:sz w:val="22"/>
          <w:szCs w:val="22"/>
          <w:lang w:val="fr-FR"/>
        </w:rPr>
        <w:t xml:space="preserve">est très important pour les </w:t>
      </w:r>
      <w:r>
        <w:rPr>
          <w:rFonts w:ascii="Arial" w:hAnsi="Arial" w:cs="Arial"/>
          <w:bCs/>
          <w:sz w:val="22"/>
          <w:szCs w:val="22"/>
          <w:lang w:val="fr-FR"/>
        </w:rPr>
        <w:t>Î</w:t>
      </w:r>
      <w:r w:rsidRPr="00984412">
        <w:rPr>
          <w:rFonts w:ascii="Arial" w:hAnsi="Arial" w:cs="Arial"/>
          <w:bCs/>
          <w:sz w:val="22"/>
          <w:szCs w:val="22"/>
          <w:lang w:val="fr-FR"/>
        </w:rPr>
        <w:t xml:space="preserve">les Cook. La délégation a félicité Haïti et son </w:t>
      </w:r>
      <w:r>
        <w:rPr>
          <w:rFonts w:ascii="Arial" w:hAnsi="Arial" w:cs="Arial"/>
          <w:bCs/>
          <w:sz w:val="22"/>
          <w:szCs w:val="22"/>
          <w:lang w:val="fr-FR"/>
        </w:rPr>
        <w:t>a</w:t>
      </w:r>
      <w:r w:rsidRPr="00984412">
        <w:rPr>
          <w:rFonts w:ascii="Arial" w:hAnsi="Arial" w:cs="Arial"/>
          <w:bCs/>
          <w:sz w:val="22"/>
          <w:szCs w:val="22"/>
          <w:lang w:val="fr-FR"/>
        </w:rPr>
        <w:t>mbassa</w:t>
      </w:r>
      <w:r>
        <w:rPr>
          <w:rFonts w:ascii="Arial" w:hAnsi="Arial" w:cs="Arial"/>
          <w:bCs/>
          <w:sz w:val="22"/>
          <w:szCs w:val="22"/>
          <w:lang w:val="fr-FR"/>
        </w:rPr>
        <w:t>d</w:t>
      </w:r>
      <w:r w:rsidR="008E532B">
        <w:rPr>
          <w:rFonts w:ascii="Arial" w:hAnsi="Arial" w:cs="Arial"/>
          <w:bCs/>
          <w:sz w:val="22"/>
          <w:szCs w:val="22"/>
          <w:lang w:val="fr-FR"/>
        </w:rPr>
        <w:t>eur</w:t>
      </w:r>
      <w:r w:rsidRPr="00984412">
        <w:rPr>
          <w:rFonts w:ascii="Arial" w:hAnsi="Arial" w:cs="Arial"/>
          <w:bCs/>
          <w:sz w:val="22"/>
          <w:szCs w:val="22"/>
          <w:lang w:val="fr-FR"/>
        </w:rPr>
        <w:t xml:space="preserve"> pour l</w:t>
      </w:r>
      <w:r w:rsidR="008E532B">
        <w:rPr>
          <w:rFonts w:ascii="Arial" w:hAnsi="Arial" w:cs="Arial"/>
          <w:bCs/>
          <w:sz w:val="22"/>
          <w:szCs w:val="22"/>
          <w:lang w:val="fr-FR"/>
        </w:rPr>
        <w:t>’</w:t>
      </w:r>
      <w:r w:rsidRPr="00984412">
        <w:rPr>
          <w:rFonts w:ascii="Arial" w:hAnsi="Arial" w:cs="Arial"/>
          <w:bCs/>
          <w:sz w:val="22"/>
          <w:szCs w:val="22"/>
          <w:lang w:val="fr-FR"/>
        </w:rPr>
        <w:t xml:space="preserve">inscription de la soupe </w:t>
      </w:r>
      <w:r>
        <w:rPr>
          <w:rFonts w:ascii="Arial" w:hAnsi="Arial" w:cs="Arial"/>
          <w:bCs/>
          <w:sz w:val="22"/>
          <w:szCs w:val="22"/>
          <w:lang w:val="fr-FR"/>
        </w:rPr>
        <w:t xml:space="preserve">au giraumon, son </w:t>
      </w:r>
      <w:r w:rsidRPr="00984412">
        <w:rPr>
          <w:rFonts w:ascii="Arial" w:hAnsi="Arial" w:cs="Arial"/>
          <w:bCs/>
          <w:sz w:val="22"/>
          <w:szCs w:val="22"/>
          <w:lang w:val="fr-FR"/>
        </w:rPr>
        <w:t xml:space="preserve">premier élément. La soupe </w:t>
      </w:r>
      <w:r>
        <w:rPr>
          <w:rFonts w:ascii="Arial" w:hAnsi="Arial" w:cs="Arial"/>
          <w:bCs/>
          <w:sz w:val="22"/>
          <w:szCs w:val="22"/>
          <w:lang w:val="fr-FR"/>
        </w:rPr>
        <w:t>au giraumon</w:t>
      </w:r>
      <w:r w:rsidRPr="00984412">
        <w:rPr>
          <w:rFonts w:ascii="Arial" w:hAnsi="Arial" w:cs="Arial"/>
          <w:bCs/>
          <w:sz w:val="22"/>
          <w:szCs w:val="22"/>
          <w:lang w:val="fr-FR"/>
        </w:rPr>
        <w:t xml:space="preserve"> a</w:t>
      </w:r>
      <w:r>
        <w:rPr>
          <w:rFonts w:ascii="Arial" w:hAnsi="Arial" w:cs="Arial"/>
          <w:bCs/>
          <w:sz w:val="22"/>
          <w:szCs w:val="22"/>
          <w:lang w:val="fr-FR"/>
        </w:rPr>
        <w:t>vait</w:t>
      </w:r>
      <w:r w:rsidRPr="00984412">
        <w:rPr>
          <w:rFonts w:ascii="Arial" w:hAnsi="Arial" w:cs="Arial"/>
          <w:bCs/>
          <w:sz w:val="22"/>
          <w:szCs w:val="22"/>
          <w:lang w:val="fr-FR"/>
        </w:rPr>
        <w:t xml:space="preserve"> une importance considérable pour le peuple d</w:t>
      </w:r>
      <w:r w:rsidR="008E532B">
        <w:rPr>
          <w:rFonts w:ascii="Arial" w:hAnsi="Arial" w:cs="Arial"/>
          <w:bCs/>
          <w:sz w:val="22"/>
          <w:szCs w:val="22"/>
          <w:lang w:val="fr-FR"/>
        </w:rPr>
        <w:t>’</w:t>
      </w:r>
      <w:r w:rsidRPr="00984412">
        <w:rPr>
          <w:rFonts w:ascii="Arial" w:hAnsi="Arial" w:cs="Arial"/>
          <w:bCs/>
          <w:sz w:val="22"/>
          <w:szCs w:val="22"/>
          <w:lang w:val="fr-FR"/>
        </w:rPr>
        <w:t>Haïti. Il ne s</w:t>
      </w:r>
      <w:r w:rsidR="008E532B">
        <w:rPr>
          <w:rFonts w:ascii="Arial" w:hAnsi="Arial" w:cs="Arial"/>
          <w:bCs/>
          <w:sz w:val="22"/>
          <w:szCs w:val="22"/>
          <w:lang w:val="fr-FR"/>
        </w:rPr>
        <w:t>’</w:t>
      </w:r>
      <w:r w:rsidRPr="00984412">
        <w:rPr>
          <w:rFonts w:ascii="Arial" w:hAnsi="Arial" w:cs="Arial"/>
          <w:bCs/>
          <w:sz w:val="22"/>
          <w:szCs w:val="22"/>
          <w:lang w:val="fr-FR"/>
        </w:rPr>
        <w:t>agi</w:t>
      </w:r>
      <w:r>
        <w:rPr>
          <w:rFonts w:ascii="Arial" w:hAnsi="Arial" w:cs="Arial"/>
          <w:bCs/>
          <w:sz w:val="22"/>
          <w:szCs w:val="22"/>
          <w:lang w:val="fr-FR"/>
        </w:rPr>
        <w:t>ssai</w:t>
      </w:r>
      <w:r w:rsidRPr="00984412">
        <w:rPr>
          <w:rFonts w:ascii="Arial" w:hAnsi="Arial" w:cs="Arial"/>
          <w:bCs/>
          <w:sz w:val="22"/>
          <w:szCs w:val="22"/>
          <w:lang w:val="fr-FR"/>
        </w:rPr>
        <w:t>t pas seulement d</w:t>
      </w:r>
      <w:r w:rsidR="008E532B">
        <w:rPr>
          <w:rFonts w:ascii="Arial" w:hAnsi="Arial" w:cs="Arial"/>
          <w:bCs/>
          <w:sz w:val="22"/>
          <w:szCs w:val="22"/>
          <w:lang w:val="fr-FR"/>
        </w:rPr>
        <w:t>’</w:t>
      </w:r>
      <w:r w:rsidRPr="00984412">
        <w:rPr>
          <w:rFonts w:ascii="Arial" w:hAnsi="Arial" w:cs="Arial"/>
          <w:bCs/>
          <w:sz w:val="22"/>
          <w:szCs w:val="22"/>
          <w:lang w:val="fr-FR"/>
        </w:rPr>
        <w:t>une soupe</w:t>
      </w:r>
      <w:r>
        <w:rPr>
          <w:rFonts w:ascii="Arial" w:hAnsi="Arial" w:cs="Arial"/>
          <w:bCs/>
          <w:sz w:val="22"/>
          <w:szCs w:val="22"/>
          <w:lang w:val="fr-FR"/>
        </w:rPr>
        <w:t>,</w:t>
      </w:r>
      <w:r w:rsidRPr="00984412">
        <w:rPr>
          <w:rFonts w:ascii="Arial" w:hAnsi="Arial" w:cs="Arial"/>
          <w:bCs/>
          <w:sz w:val="22"/>
          <w:szCs w:val="22"/>
          <w:lang w:val="fr-FR"/>
        </w:rPr>
        <w:t xml:space="preserve"> mais d</w:t>
      </w:r>
      <w:r w:rsidR="008E532B">
        <w:rPr>
          <w:rFonts w:ascii="Arial" w:hAnsi="Arial" w:cs="Arial"/>
          <w:bCs/>
          <w:sz w:val="22"/>
          <w:szCs w:val="22"/>
          <w:lang w:val="fr-FR"/>
        </w:rPr>
        <w:t>’</w:t>
      </w:r>
      <w:r w:rsidRPr="00984412">
        <w:rPr>
          <w:rFonts w:ascii="Arial" w:hAnsi="Arial" w:cs="Arial"/>
          <w:bCs/>
          <w:sz w:val="22"/>
          <w:szCs w:val="22"/>
          <w:lang w:val="fr-FR"/>
        </w:rPr>
        <w:t xml:space="preserve">un symbole de réconciliation dans un pays qui </w:t>
      </w:r>
      <w:r>
        <w:rPr>
          <w:rFonts w:ascii="Arial" w:hAnsi="Arial" w:cs="Arial"/>
          <w:bCs/>
          <w:sz w:val="22"/>
          <w:szCs w:val="22"/>
          <w:lang w:val="fr-FR"/>
        </w:rPr>
        <w:t xml:space="preserve">subissait de </w:t>
      </w:r>
      <w:r w:rsidRPr="00984412">
        <w:rPr>
          <w:rFonts w:ascii="Arial" w:hAnsi="Arial" w:cs="Arial"/>
          <w:bCs/>
          <w:sz w:val="22"/>
          <w:szCs w:val="22"/>
          <w:lang w:val="fr-FR"/>
        </w:rPr>
        <w:t>nombreux traumatismes. Comme l</w:t>
      </w:r>
      <w:r w:rsidR="008E532B">
        <w:rPr>
          <w:rFonts w:ascii="Arial" w:hAnsi="Arial" w:cs="Arial"/>
          <w:bCs/>
          <w:sz w:val="22"/>
          <w:szCs w:val="22"/>
          <w:lang w:val="fr-FR"/>
        </w:rPr>
        <w:t>’</w:t>
      </w:r>
      <w:r w:rsidRPr="00984412">
        <w:rPr>
          <w:rFonts w:ascii="Arial" w:hAnsi="Arial" w:cs="Arial"/>
          <w:bCs/>
          <w:sz w:val="22"/>
          <w:szCs w:val="22"/>
          <w:lang w:val="fr-FR"/>
        </w:rPr>
        <w:t>a</w:t>
      </w:r>
      <w:r>
        <w:rPr>
          <w:rFonts w:ascii="Arial" w:hAnsi="Arial" w:cs="Arial"/>
          <w:bCs/>
          <w:sz w:val="22"/>
          <w:szCs w:val="22"/>
          <w:lang w:val="fr-FR"/>
        </w:rPr>
        <w:t>vait</w:t>
      </w:r>
      <w:r w:rsidRPr="00984412">
        <w:rPr>
          <w:rFonts w:ascii="Arial" w:hAnsi="Arial" w:cs="Arial"/>
          <w:bCs/>
          <w:sz w:val="22"/>
          <w:szCs w:val="22"/>
          <w:lang w:val="fr-FR"/>
        </w:rPr>
        <w:t xml:space="preserve"> mentionné la Barbade, les PEID </w:t>
      </w:r>
      <w:r>
        <w:rPr>
          <w:rFonts w:ascii="Arial" w:hAnsi="Arial" w:cs="Arial"/>
          <w:bCs/>
          <w:sz w:val="22"/>
          <w:szCs w:val="22"/>
          <w:lang w:val="fr-FR"/>
        </w:rPr>
        <w:t xml:space="preserve">étaient </w:t>
      </w:r>
      <w:r w:rsidRPr="00984412">
        <w:rPr>
          <w:rFonts w:ascii="Arial" w:hAnsi="Arial" w:cs="Arial"/>
          <w:bCs/>
          <w:sz w:val="22"/>
          <w:szCs w:val="22"/>
          <w:lang w:val="fr-FR"/>
        </w:rPr>
        <w:t>très vulnérables et lorsqu</w:t>
      </w:r>
      <w:r w:rsidR="008E532B">
        <w:rPr>
          <w:rFonts w:ascii="Arial" w:hAnsi="Arial" w:cs="Arial"/>
          <w:bCs/>
          <w:sz w:val="22"/>
          <w:szCs w:val="22"/>
          <w:lang w:val="fr-FR"/>
        </w:rPr>
        <w:t>’</w:t>
      </w:r>
      <w:r w:rsidRPr="00984412">
        <w:rPr>
          <w:rFonts w:ascii="Arial" w:hAnsi="Arial" w:cs="Arial"/>
          <w:bCs/>
          <w:sz w:val="22"/>
          <w:szCs w:val="22"/>
          <w:lang w:val="fr-FR"/>
        </w:rPr>
        <w:t xml:space="preserve">il </w:t>
      </w:r>
      <w:r>
        <w:rPr>
          <w:rFonts w:ascii="Arial" w:hAnsi="Arial" w:cs="Arial"/>
          <w:bCs/>
          <w:sz w:val="22"/>
          <w:szCs w:val="22"/>
          <w:lang w:val="fr-FR"/>
        </w:rPr>
        <w:t>était</w:t>
      </w:r>
      <w:r w:rsidRPr="00984412">
        <w:rPr>
          <w:rFonts w:ascii="Arial" w:hAnsi="Arial" w:cs="Arial"/>
          <w:bCs/>
          <w:sz w:val="22"/>
          <w:szCs w:val="22"/>
          <w:lang w:val="fr-FR"/>
        </w:rPr>
        <w:t xml:space="preserve"> possible de célébrer un événement, tel que cette inscription, les PEID aim</w:t>
      </w:r>
      <w:r>
        <w:rPr>
          <w:rFonts w:ascii="Arial" w:hAnsi="Arial" w:cs="Arial"/>
          <w:bCs/>
          <w:sz w:val="22"/>
          <w:szCs w:val="22"/>
          <w:lang w:val="fr-FR"/>
        </w:rPr>
        <w:t>ai</w:t>
      </w:r>
      <w:r w:rsidRPr="00984412">
        <w:rPr>
          <w:rFonts w:ascii="Arial" w:hAnsi="Arial" w:cs="Arial"/>
          <w:bCs/>
          <w:sz w:val="22"/>
          <w:szCs w:val="22"/>
          <w:lang w:val="fr-FR"/>
        </w:rPr>
        <w:t xml:space="preserve">ent se joindre à la fête. Il a été noté que seuls </w:t>
      </w:r>
      <w:r>
        <w:rPr>
          <w:rFonts w:ascii="Arial" w:hAnsi="Arial" w:cs="Arial"/>
          <w:bCs/>
          <w:sz w:val="22"/>
          <w:szCs w:val="22"/>
          <w:lang w:val="fr-FR"/>
        </w:rPr>
        <w:t>onze</w:t>
      </w:r>
      <w:r w:rsidRPr="00984412">
        <w:rPr>
          <w:rFonts w:ascii="Arial" w:hAnsi="Arial" w:cs="Arial"/>
          <w:bCs/>
          <w:sz w:val="22"/>
          <w:szCs w:val="22"/>
          <w:lang w:val="fr-FR"/>
        </w:rPr>
        <w:t xml:space="preserve"> PEID avaient été en mesure de présenter des éléments et que seuls </w:t>
      </w:r>
      <w:r>
        <w:rPr>
          <w:rFonts w:ascii="Arial" w:hAnsi="Arial" w:cs="Arial"/>
          <w:bCs/>
          <w:sz w:val="22"/>
          <w:szCs w:val="22"/>
          <w:lang w:val="fr-FR"/>
        </w:rPr>
        <w:t>9 %</w:t>
      </w:r>
      <w:r w:rsidRPr="00984412">
        <w:rPr>
          <w:rFonts w:ascii="Arial" w:hAnsi="Arial" w:cs="Arial"/>
          <w:bCs/>
          <w:sz w:val="22"/>
          <w:szCs w:val="22"/>
          <w:lang w:val="fr-FR"/>
        </w:rPr>
        <w:t xml:space="preserve"> des 631 éléments [inscrits sur les Listes] provenaient de PEID. Des félicitations ont été à nouveau adressées à Haïti et, sans aucun doute, il y aura</w:t>
      </w:r>
      <w:r>
        <w:rPr>
          <w:rFonts w:ascii="Arial" w:hAnsi="Arial" w:cs="Arial"/>
          <w:bCs/>
          <w:sz w:val="22"/>
          <w:szCs w:val="22"/>
          <w:lang w:val="fr-FR"/>
        </w:rPr>
        <w:t>it</w:t>
      </w:r>
      <w:r w:rsidRPr="00984412">
        <w:rPr>
          <w:rFonts w:ascii="Arial" w:hAnsi="Arial" w:cs="Arial"/>
          <w:bCs/>
          <w:sz w:val="22"/>
          <w:szCs w:val="22"/>
          <w:lang w:val="fr-FR"/>
        </w:rPr>
        <w:t xml:space="preserve"> </w:t>
      </w:r>
      <w:r>
        <w:rPr>
          <w:rFonts w:ascii="Arial" w:hAnsi="Arial" w:cs="Arial"/>
          <w:bCs/>
          <w:sz w:val="22"/>
          <w:szCs w:val="22"/>
          <w:lang w:val="fr-FR"/>
        </w:rPr>
        <w:t>davantage</w:t>
      </w:r>
      <w:r w:rsidRPr="00984412">
        <w:rPr>
          <w:rFonts w:ascii="Arial" w:hAnsi="Arial" w:cs="Arial"/>
          <w:bCs/>
          <w:sz w:val="22"/>
          <w:szCs w:val="22"/>
          <w:lang w:val="fr-FR"/>
        </w:rPr>
        <w:t xml:space="preserve"> d</w:t>
      </w:r>
      <w:r w:rsidR="008E532B">
        <w:rPr>
          <w:rFonts w:ascii="Arial" w:hAnsi="Arial" w:cs="Arial"/>
          <w:bCs/>
          <w:sz w:val="22"/>
          <w:szCs w:val="22"/>
          <w:lang w:val="fr-FR"/>
        </w:rPr>
        <w:t>’</w:t>
      </w:r>
      <w:r w:rsidRPr="00984412">
        <w:rPr>
          <w:rFonts w:ascii="Arial" w:hAnsi="Arial" w:cs="Arial"/>
          <w:bCs/>
          <w:sz w:val="22"/>
          <w:szCs w:val="22"/>
          <w:lang w:val="fr-FR"/>
        </w:rPr>
        <w:t xml:space="preserve">éléments </w:t>
      </w:r>
      <w:r>
        <w:rPr>
          <w:rFonts w:ascii="Arial" w:hAnsi="Arial" w:cs="Arial"/>
          <w:bCs/>
          <w:sz w:val="22"/>
          <w:szCs w:val="22"/>
          <w:lang w:val="fr-FR"/>
        </w:rPr>
        <w:t xml:space="preserve">soumis </w:t>
      </w:r>
      <w:r w:rsidRPr="00984412">
        <w:rPr>
          <w:rFonts w:ascii="Arial" w:hAnsi="Arial" w:cs="Arial"/>
          <w:bCs/>
          <w:sz w:val="22"/>
          <w:szCs w:val="22"/>
          <w:lang w:val="fr-FR"/>
        </w:rPr>
        <w:t xml:space="preserve">par </w:t>
      </w:r>
      <w:r>
        <w:rPr>
          <w:rFonts w:ascii="Arial" w:hAnsi="Arial" w:cs="Arial"/>
          <w:bCs/>
          <w:sz w:val="22"/>
          <w:szCs w:val="22"/>
          <w:lang w:val="fr-FR"/>
        </w:rPr>
        <w:t>davantage</w:t>
      </w:r>
      <w:r w:rsidRPr="00984412">
        <w:rPr>
          <w:rFonts w:ascii="Arial" w:hAnsi="Arial" w:cs="Arial"/>
          <w:bCs/>
          <w:sz w:val="22"/>
          <w:szCs w:val="22"/>
          <w:lang w:val="fr-FR"/>
        </w:rPr>
        <w:t xml:space="preserve"> de PEID dans un avenir proche. Il fa</w:t>
      </w:r>
      <w:r>
        <w:rPr>
          <w:rFonts w:ascii="Arial" w:hAnsi="Arial" w:cs="Arial"/>
          <w:bCs/>
          <w:sz w:val="22"/>
          <w:szCs w:val="22"/>
          <w:lang w:val="fr-FR"/>
        </w:rPr>
        <w:t xml:space="preserve">llait </w:t>
      </w:r>
      <w:r w:rsidRPr="00984412">
        <w:rPr>
          <w:rFonts w:ascii="Arial" w:hAnsi="Arial" w:cs="Arial"/>
          <w:bCs/>
          <w:sz w:val="22"/>
          <w:szCs w:val="22"/>
          <w:lang w:val="fr-FR"/>
        </w:rPr>
        <w:t>espérer que cela pourra</w:t>
      </w:r>
      <w:r>
        <w:rPr>
          <w:rFonts w:ascii="Arial" w:hAnsi="Arial" w:cs="Arial"/>
          <w:bCs/>
          <w:sz w:val="22"/>
          <w:szCs w:val="22"/>
          <w:lang w:val="fr-FR"/>
        </w:rPr>
        <w:t>it</w:t>
      </w:r>
      <w:r w:rsidRPr="00984412">
        <w:rPr>
          <w:rFonts w:ascii="Arial" w:hAnsi="Arial" w:cs="Arial"/>
          <w:bCs/>
          <w:sz w:val="22"/>
          <w:szCs w:val="22"/>
          <w:lang w:val="fr-FR"/>
        </w:rPr>
        <w:t xml:space="preserve"> se faire avec l</w:t>
      </w:r>
      <w:r w:rsidR="008E532B">
        <w:rPr>
          <w:rFonts w:ascii="Arial" w:hAnsi="Arial" w:cs="Arial"/>
          <w:bCs/>
          <w:sz w:val="22"/>
          <w:szCs w:val="22"/>
          <w:lang w:val="fr-FR"/>
        </w:rPr>
        <w:t>’</w:t>
      </w:r>
      <w:r w:rsidRPr="00984412">
        <w:rPr>
          <w:rFonts w:ascii="Arial" w:hAnsi="Arial" w:cs="Arial"/>
          <w:bCs/>
          <w:sz w:val="22"/>
          <w:szCs w:val="22"/>
          <w:lang w:val="fr-FR"/>
        </w:rPr>
        <w:t>aide des nouveaux membres du Comité, le développement du renforcement des capacités et la simplification du processus. Il s</w:t>
      </w:r>
      <w:r w:rsidR="008E532B">
        <w:rPr>
          <w:rFonts w:ascii="Arial" w:hAnsi="Arial" w:cs="Arial"/>
          <w:bCs/>
          <w:sz w:val="22"/>
          <w:szCs w:val="22"/>
          <w:lang w:val="fr-FR"/>
        </w:rPr>
        <w:t>’</w:t>
      </w:r>
      <w:r w:rsidRPr="00984412">
        <w:rPr>
          <w:rFonts w:ascii="Arial" w:hAnsi="Arial" w:cs="Arial"/>
          <w:bCs/>
          <w:sz w:val="22"/>
          <w:szCs w:val="22"/>
          <w:lang w:val="fr-FR"/>
        </w:rPr>
        <w:t>agi</w:t>
      </w:r>
      <w:r>
        <w:rPr>
          <w:rFonts w:ascii="Arial" w:hAnsi="Arial" w:cs="Arial"/>
          <w:bCs/>
          <w:sz w:val="22"/>
          <w:szCs w:val="22"/>
          <w:lang w:val="fr-FR"/>
        </w:rPr>
        <w:t>ssai</w:t>
      </w:r>
      <w:r w:rsidRPr="00984412">
        <w:rPr>
          <w:rFonts w:ascii="Arial" w:hAnsi="Arial" w:cs="Arial"/>
          <w:bCs/>
          <w:sz w:val="22"/>
          <w:szCs w:val="22"/>
          <w:lang w:val="fr-FR"/>
        </w:rPr>
        <w:t>t d</w:t>
      </w:r>
      <w:r w:rsidR="008E532B">
        <w:rPr>
          <w:rFonts w:ascii="Arial" w:hAnsi="Arial" w:cs="Arial"/>
          <w:bCs/>
          <w:sz w:val="22"/>
          <w:szCs w:val="22"/>
          <w:lang w:val="fr-FR"/>
        </w:rPr>
        <w:t>’</w:t>
      </w:r>
      <w:r w:rsidRPr="00984412">
        <w:rPr>
          <w:rFonts w:ascii="Arial" w:hAnsi="Arial" w:cs="Arial"/>
          <w:bCs/>
          <w:sz w:val="22"/>
          <w:szCs w:val="22"/>
          <w:lang w:val="fr-FR"/>
        </w:rPr>
        <w:t>une question urgente</w:t>
      </w:r>
      <w:r>
        <w:rPr>
          <w:rFonts w:ascii="Arial" w:hAnsi="Arial" w:cs="Arial"/>
          <w:bCs/>
          <w:sz w:val="22"/>
          <w:szCs w:val="22"/>
          <w:lang w:val="fr-FR"/>
        </w:rPr>
        <w:t>,</w:t>
      </w:r>
      <w:r w:rsidRPr="00984412">
        <w:rPr>
          <w:rFonts w:ascii="Arial" w:hAnsi="Arial" w:cs="Arial"/>
          <w:bCs/>
          <w:sz w:val="22"/>
          <w:szCs w:val="22"/>
          <w:lang w:val="fr-FR"/>
        </w:rPr>
        <w:t xml:space="preserve"> et la délégation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est jointe</w:t>
      </w:r>
      <w:r w:rsidRPr="00984412">
        <w:rPr>
          <w:rFonts w:ascii="Arial" w:hAnsi="Arial" w:cs="Arial"/>
          <w:bCs/>
          <w:sz w:val="22"/>
          <w:szCs w:val="22"/>
          <w:lang w:val="fr-FR"/>
        </w:rPr>
        <w:t xml:space="preserve"> à l</w:t>
      </w:r>
      <w:r w:rsidR="008E532B">
        <w:rPr>
          <w:rFonts w:ascii="Arial" w:hAnsi="Arial" w:cs="Arial"/>
          <w:bCs/>
          <w:sz w:val="22"/>
          <w:szCs w:val="22"/>
          <w:lang w:val="fr-FR"/>
        </w:rPr>
        <w:t>’</w:t>
      </w:r>
      <w:r w:rsidRPr="00984412">
        <w:rPr>
          <w:rFonts w:ascii="Arial" w:hAnsi="Arial" w:cs="Arial"/>
          <w:bCs/>
          <w:sz w:val="22"/>
          <w:szCs w:val="22"/>
          <w:lang w:val="fr-FR"/>
        </w:rPr>
        <w:t>appel en faveur de règles régissant les cas d</w:t>
      </w:r>
      <w:r w:rsidR="008E532B">
        <w:rPr>
          <w:rFonts w:ascii="Arial" w:hAnsi="Arial" w:cs="Arial"/>
          <w:bCs/>
          <w:sz w:val="22"/>
          <w:szCs w:val="22"/>
          <w:lang w:val="fr-FR"/>
        </w:rPr>
        <w:t>’</w:t>
      </w:r>
      <w:r w:rsidRPr="00984412">
        <w:rPr>
          <w:rFonts w:ascii="Arial" w:hAnsi="Arial" w:cs="Arial"/>
          <w:bCs/>
          <w:sz w:val="22"/>
          <w:szCs w:val="22"/>
          <w:lang w:val="fr-FR"/>
        </w:rPr>
        <w:t>urgence, notamment parce que le changement climatique touch</w:t>
      </w:r>
      <w:r>
        <w:rPr>
          <w:rFonts w:ascii="Arial" w:hAnsi="Arial" w:cs="Arial"/>
          <w:bCs/>
          <w:sz w:val="22"/>
          <w:szCs w:val="22"/>
          <w:lang w:val="fr-FR"/>
        </w:rPr>
        <w:t>ait</w:t>
      </w:r>
      <w:r w:rsidRPr="00984412">
        <w:rPr>
          <w:rFonts w:ascii="Arial" w:hAnsi="Arial" w:cs="Arial"/>
          <w:bCs/>
          <w:sz w:val="22"/>
          <w:szCs w:val="22"/>
          <w:lang w:val="fr-FR"/>
        </w:rPr>
        <w:t xml:space="preserve"> de plus en plus de PEID. Tuvalu a</w:t>
      </w:r>
      <w:r>
        <w:rPr>
          <w:rFonts w:ascii="Arial" w:hAnsi="Arial" w:cs="Arial"/>
          <w:bCs/>
          <w:sz w:val="22"/>
          <w:szCs w:val="22"/>
          <w:lang w:val="fr-FR"/>
        </w:rPr>
        <w:t>vait</w:t>
      </w:r>
      <w:r w:rsidRPr="00984412">
        <w:rPr>
          <w:rFonts w:ascii="Arial" w:hAnsi="Arial" w:cs="Arial"/>
          <w:bCs/>
          <w:sz w:val="22"/>
          <w:szCs w:val="22"/>
          <w:lang w:val="fr-FR"/>
        </w:rPr>
        <w:t xml:space="preserve"> déclaré l</w:t>
      </w:r>
      <w:r w:rsidR="008E532B">
        <w:rPr>
          <w:rFonts w:ascii="Arial" w:hAnsi="Arial" w:cs="Arial"/>
          <w:bCs/>
          <w:sz w:val="22"/>
          <w:szCs w:val="22"/>
          <w:lang w:val="fr-FR"/>
        </w:rPr>
        <w:t>’</w:t>
      </w:r>
      <w:r w:rsidRPr="00984412">
        <w:rPr>
          <w:rFonts w:ascii="Arial" w:hAnsi="Arial" w:cs="Arial"/>
          <w:bCs/>
          <w:sz w:val="22"/>
          <w:szCs w:val="22"/>
          <w:lang w:val="fr-FR"/>
        </w:rPr>
        <w:t>état d</w:t>
      </w:r>
      <w:r w:rsidR="008E532B">
        <w:rPr>
          <w:rFonts w:ascii="Arial" w:hAnsi="Arial" w:cs="Arial"/>
          <w:bCs/>
          <w:sz w:val="22"/>
          <w:szCs w:val="22"/>
          <w:lang w:val="fr-FR"/>
        </w:rPr>
        <w:t>’</w:t>
      </w:r>
      <w:r w:rsidRPr="00984412">
        <w:rPr>
          <w:rFonts w:ascii="Arial" w:hAnsi="Arial" w:cs="Arial"/>
          <w:bCs/>
          <w:sz w:val="22"/>
          <w:szCs w:val="22"/>
          <w:lang w:val="fr-FR"/>
        </w:rPr>
        <w:t>urgence le 20</w:t>
      </w:r>
      <w:r>
        <w:rPr>
          <w:rFonts w:ascii="Arial" w:hAnsi="Arial" w:cs="Arial"/>
          <w:bCs/>
          <w:sz w:val="22"/>
          <w:szCs w:val="22"/>
          <w:lang w:val="fr-FR"/>
        </w:rPr>
        <w:t> </w:t>
      </w:r>
      <w:r w:rsidRPr="00984412">
        <w:rPr>
          <w:rFonts w:ascii="Arial" w:hAnsi="Arial" w:cs="Arial"/>
          <w:bCs/>
          <w:sz w:val="22"/>
          <w:szCs w:val="22"/>
          <w:lang w:val="fr-FR"/>
        </w:rPr>
        <w:t>mars</w:t>
      </w:r>
      <w:r>
        <w:rPr>
          <w:rFonts w:ascii="Arial" w:hAnsi="Arial" w:cs="Arial"/>
          <w:bCs/>
          <w:sz w:val="22"/>
          <w:szCs w:val="22"/>
          <w:lang w:val="fr-FR"/>
        </w:rPr>
        <w:t> </w:t>
      </w:r>
      <w:r w:rsidRPr="00984412">
        <w:rPr>
          <w:rFonts w:ascii="Arial" w:hAnsi="Arial" w:cs="Arial"/>
          <w:bCs/>
          <w:sz w:val="22"/>
          <w:szCs w:val="22"/>
          <w:lang w:val="fr-FR"/>
        </w:rPr>
        <w:t xml:space="preserve">2020. La hausse du niveau des mers </w:t>
      </w:r>
      <w:r>
        <w:rPr>
          <w:rFonts w:ascii="Arial" w:hAnsi="Arial" w:cs="Arial"/>
          <w:bCs/>
          <w:sz w:val="22"/>
          <w:szCs w:val="22"/>
          <w:lang w:val="fr-FR"/>
        </w:rPr>
        <w:t>était</w:t>
      </w:r>
      <w:r w:rsidRPr="00984412">
        <w:rPr>
          <w:rFonts w:ascii="Arial" w:hAnsi="Arial" w:cs="Arial"/>
          <w:bCs/>
          <w:sz w:val="22"/>
          <w:szCs w:val="22"/>
          <w:lang w:val="fr-FR"/>
        </w:rPr>
        <w:t xml:space="preserve"> une réalité dans la région du Pacifique, ce qui pourrait entraîner la migration forcée d</w:t>
      </w:r>
      <w:r w:rsidR="008E532B">
        <w:rPr>
          <w:rFonts w:ascii="Arial" w:hAnsi="Arial" w:cs="Arial"/>
          <w:bCs/>
          <w:sz w:val="22"/>
          <w:szCs w:val="22"/>
          <w:lang w:val="fr-FR"/>
        </w:rPr>
        <w:t>’</w:t>
      </w:r>
      <w:r w:rsidRPr="00984412">
        <w:rPr>
          <w:rFonts w:ascii="Arial" w:hAnsi="Arial" w:cs="Arial"/>
          <w:bCs/>
          <w:sz w:val="22"/>
          <w:szCs w:val="22"/>
          <w:lang w:val="fr-FR"/>
        </w:rPr>
        <w:t>une partie ou de la totalité de la population vers des pays étrangers. Bien que ces nations fassent tout leur possible pour emmener leur patrimoine immatériel avec elles, sans protection adéquate, il pourrait être perdu à jamais.</w:t>
      </w:r>
    </w:p>
    <w:p w14:paraId="40F3B7EA" w14:textId="6848DCB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77718">
        <w:rPr>
          <w:rFonts w:ascii="Arial" w:hAnsi="Arial" w:cs="Arial"/>
          <w:bCs/>
          <w:sz w:val="22"/>
          <w:szCs w:val="22"/>
          <w:lang w:val="fr-FR"/>
        </w:rPr>
        <w:t xml:space="preserve">La délégation </w:t>
      </w:r>
      <w:r>
        <w:rPr>
          <w:rFonts w:ascii="Arial" w:hAnsi="Arial" w:cs="Arial"/>
          <w:bCs/>
          <w:sz w:val="22"/>
          <w:szCs w:val="22"/>
          <w:lang w:val="fr-FR"/>
        </w:rPr>
        <w:t xml:space="preserve">de la </w:t>
      </w:r>
      <w:r w:rsidRPr="00577718">
        <w:rPr>
          <w:rFonts w:ascii="Arial" w:hAnsi="Arial" w:cs="Arial"/>
          <w:b/>
          <w:sz w:val="22"/>
          <w:szCs w:val="22"/>
          <w:lang w:val="fr-FR"/>
        </w:rPr>
        <w:t>Slovaquie</w:t>
      </w:r>
      <w:r w:rsidRPr="00577718">
        <w:rPr>
          <w:rFonts w:ascii="Arial" w:hAnsi="Arial" w:cs="Arial"/>
          <w:bCs/>
          <w:sz w:val="22"/>
          <w:szCs w:val="22"/>
          <w:lang w:val="fr-FR"/>
        </w:rPr>
        <w:t xml:space="preserve"> a félicité Haïti pour l</w:t>
      </w:r>
      <w:r w:rsidR="008E532B">
        <w:rPr>
          <w:rFonts w:ascii="Arial" w:hAnsi="Arial" w:cs="Arial"/>
          <w:bCs/>
          <w:sz w:val="22"/>
          <w:szCs w:val="22"/>
          <w:lang w:val="fr-FR"/>
        </w:rPr>
        <w:t>’</w:t>
      </w:r>
      <w:r w:rsidRPr="00577718">
        <w:rPr>
          <w:rFonts w:ascii="Arial" w:hAnsi="Arial" w:cs="Arial"/>
          <w:bCs/>
          <w:sz w:val="22"/>
          <w:szCs w:val="22"/>
          <w:lang w:val="fr-FR"/>
        </w:rPr>
        <w:t xml:space="preserve">inscription de la </w:t>
      </w:r>
      <w:r>
        <w:rPr>
          <w:rFonts w:ascii="Arial" w:hAnsi="Arial" w:cs="Arial"/>
          <w:bCs/>
          <w:sz w:val="22"/>
          <w:szCs w:val="22"/>
          <w:lang w:val="fr-FR"/>
        </w:rPr>
        <w:t>soupe au giraumon</w:t>
      </w:r>
      <w:r w:rsidRPr="00577718">
        <w:rPr>
          <w:rFonts w:ascii="Arial" w:hAnsi="Arial" w:cs="Arial"/>
          <w:bCs/>
          <w:sz w:val="22"/>
          <w:szCs w:val="22"/>
          <w:lang w:val="fr-FR"/>
        </w:rPr>
        <w:t>,</w:t>
      </w:r>
      <w:r>
        <w:rPr>
          <w:rFonts w:ascii="Arial" w:hAnsi="Arial" w:cs="Arial"/>
          <w:bCs/>
          <w:sz w:val="22"/>
          <w:szCs w:val="22"/>
          <w:lang w:val="fr-FR"/>
        </w:rPr>
        <w:t xml:space="preserve"> une</w:t>
      </w:r>
      <w:r w:rsidRPr="00577718">
        <w:rPr>
          <w:rFonts w:ascii="Arial" w:hAnsi="Arial" w:cs="Arial"/>
          <w:bCs/>
          <w:sz w:val="22"/>
          <w:szCs w:val="22"/>
          <w:lang w:val="fr-FR"/>
        </w:rPr>
        <w:t xml:space="preserve"> </w:t>
      </w:r>
      <w:r>
        <w:rPr>
          <w:rFonts w:ascii="Arial" w:hAnsi="Arial" w:cs="Arial"/>
          <w:bCs/>
          <w:sz w:val="22"/>
          <w:szCs w:val="22"/>
          <w:lang w:val="fr-FR"/>
        </w:rPr>
        <w:t xml:space="preserve">illustration très positive de </w:t>
      </w:r>
      <w:r w:rsidRPr="00577718">
        <w:rPr>
          <w:rFonts w:ascii="Arial" w:hAnsi="Arial" w:cs="Arial"/>
          <w:bCs/>
          <w:sz w:val="22"/>
          <w:szCs w:val="22"/>
          <w:lang w:val="fr-FR"/>
        </w:rPr>
        <w:t>la réaction très rapide du Comité face à la situation qui a</w:t>
      </w:r>
      <w:r>
        <w:rPr>
          <w:rFonts w:ascii="Arial" w:hAnsi="Arial" w:cs="Arial"/>
          <w:bCs/>
          <w:sz w:val="22"/>
          <w:szCs w:val="22"/>
          <w:lang w:val="fr-FR"/>
        </w:rPr>
        <w:t>vait</w:t>
      </w:r>
      <w:r w:rsidRPr="00577718">
        <w:rPr>
          <w:rFonts w:ascii="Arial" w:hAnsi="Arial" w:cs="Arial"/>
          <w:bCs/>
          <w:sz w:val="22"/>
          <w:szCs w:val="22"/>
          <w:lang w:val="fr-FR"/>
        </w:rPr>
        <w:t xml:space="preserve"> abouti à son inscription selon une procédure accélérée dans une situation d</w:t>
      </w:r>
      <w:r w:rsidR="008E532B">
        <w:rPr>
          <w:rFonts w:ascii="Arial" w:hAnsi="Arial" w:cs="Arial"/>
          <w:bCs/>
          <w:sz w:val="22"/>
          <w:szCs w:val="22"/>
          <w:lang w:val="fr-FR"/>
        </w:rPr>
        <w:t>’</w:t>
      </w:r>
      <w:r w:rsidRPr="00577718">
        <w:rPr>
          <w:rFonts w:ascii="Arial" w:hAnsi="Arial" w:cs="Arial"/>
          <w:bCs/>
          <w:sz w:val="22"/>
          <w:szCs w:val="22"/>
          <w:lang w:val="fr-FR"/>
        </w:rPr>
        <w:t>urgence. Il s</w:t>
      </w:r>
      <w:r w:rsidR="008E532B">
        <w:rPr>
          <w:rFonts w:ascii="Arial" w:hAnsi="Arial" w:cs="Arial"/>
          <w:bCs/>
          <w:sz w:val="22"/>
          <w:szCs w:val="22"/>
          <w:lang w:val="fr-FR"/>
        </w:rPr>
        <w:t>’</w:t>
      </w:r>
      <w:r w:rsidRPr="00577718">
        <w:rPr>
          <w:rFonts w:ascii="Arial" w:hAnsi="Arial" w:cs="Arial"/>
          <w:bCs/>
          <w:sz w:val="22"/>
          <w:szCs w:val="22"/>
          <w:lang w:val="fr-FR"/>
        </w:rPr>
        <w:t>agissait d</w:t>
      </w:r>
      <w:r w:rsidR="008E532B">
        <w:rPr>
          <w:rFonts w:ascii="Arial" w:hAnsi="Arial" w:cs="Arial"/>
          <w:bCs/>
          <w:sz w:val="22"/>
          <w:szCs w:val="22"/>
          <w:lang w:val="fr-FR"/>
        </w:rPr>
        <w:t>’</w:t>
      </w:r>
      <w:r w:rsidRPr="00577718">
        <w:rPr>
          <w:rFonts w:ascii="Arial" w:hAnsi="Arial" w:cs="Arial"/>
          <w:bCs/>
          <w:sz w:val="22"/>
          <w:szCs w:val="22"/>
          <w:lang w:val="fr-FR"/>
        </w:rPr>
        <w:t xml:space="preserve">un outil </w:t>
      </w:r>
      <w:r>
        <w:rPr>
          <w:rFonts w:ascii="Arial" w:hAnsi="Arial" w:cs="Arial"/>
          <w:bCs/>
          <w:sz w:val="22"/>
          <w:szCs w:val="22"/>
          <w:lang w:val="fr-FR"/>
        </w:rPr>
        <w:t xml:space="preserve">fort </w:t>
      </w:r>
      <w:r w:rsidRPr="00577718">
        <w:rPr>
          <w:rFonts w:ascii="Arial" w:hAnsi="Arial" w:cs="Arial"/>
          <w:bCs/>
          <w:sz w:val="22"/>
          <w:szCs w:val="22"/>
          <w:lang w:val="fr-FR"/>
        </w:rPr>
        <w:t>utile pour sauvegarder cet élément pour le peuple d</w:t>
      </w:r>
      <w:r w:rsidR="008E532B">
        <w:rPr>
          <w:rFonts w:ascii="Arial" w:hAnsi="Arial" w:cs="Arial"/>
          <w:bCs/>
          <w:sz w:val="22"/>
          <w:szCs w:val="22"/>
          <w:lang w:val="fr-FR"/>
        </w:rPr>
        <w:t>’</w:t>
      </w:r>
      <w:r w:rsidRPr="00577718">
        <w:rPr>
          <w:rFonts w:ascii="Arial" w:hAnsi="Arial" w:cs="Arial"/>
          <w:bCs/>
          <w:sz w:val="22"/>
          <w:szCs w:val="22"/>
          <w:lang w:val="fr-FR"/>
        </w:rPr>
        <w:t xml:space="preserve">Haïti, mais </w:t>
      </w:r>
      <w:r>
        <w:rPr>
          <w:rFonts w:ascii="Arial" w:hAnsi="Arial" w:cs="Arial"/>
          <w:bCs/>
          <w:sz w:val="22"/>
          <w:szCs w:val="22"/>
          <w:lang w:val="fr-FR"/>
        </w:rPr>
        <w:t>c</w:t>
      </w:r>
      <w:r w:rsidR="008E532B">
        <w:rPr>
          <w:rFonts w:ascii="Arial" w:hAnsi="Arial" w:cs="Arial"/>
          <w:bCs/>
          <w:sz w:val="22"/>
          <w:szCs w:val="22"/>
          <w:lang w:val="fr-FR"/>
        </w:rPr>
        <w:t>’</w:t>
      </w:r>
      <w:r>
        <w:rPr>
          <w:rFonts w:ascii="Arial" w:hAnsi="Arial" w:cs="Arial"/>
          <w:bCs/>
          <w:sz w:val="22"/>
          <w:szCs w:val="22"/>
          <w:lang w:val="fr-FR"/>
        </w:rPr>
        <w:t xml:space="preserve">était </w:t>
      </w:r>
      <w:r w:rsidRPr="00577718">
        <w:rPr>
          <w:rFonts w:ascii="Arial" w:hAnsi="Arial" w:cs="Arial"/>
          <w:bCs/>
          <w:color w:val="000000" w:themeColor="text1"/>
          <w:sz w:val="22"/>
          <w:szCs w:val="22"/>
          <w:lang w:val="fr-FR"/>
        </w:rPr>
        <w:t>également</w:t>
      </w:r>
      <w:r w:rsidRPr="00577718">
        <w:rPr>
          <w:rFonts w:ascii="Arial" w:hAnsi="Arial" w:cs="Arial"/>
          <w:bCs/>
          <w:sz w:val="22"/>
          <w:szCs w:val="22"/>
          <w:lang w:val="fr-FR"/>
        </w:rPr>
        <w:t xml:space="preserve"> une importante expression de solidarité. La délégation soutenait l</w:t>
      </w:r>
      <w:r w:rsidR="008E532B">
        <w:rPr>
          <w:rFonts w:ascii="Arial" w:hAnsi="Arial" w:cs="Arial"/>
          <w:bCs/>
          <w:sz w:val="22"/>
          <w:szCs w:val="22"/>
          <w:lang w:val="fr-FR"/>
        </w:rPr>
        <w:t>’</w:t>
      </w:r>
      <w:r w:rsidRPr="00577718">
        <w:rPr>
          <w:rFonts w:ascii="Arial" w:hAnsi="Arial" w:cs="Arial"/>
          <w:bCs/>
          <w:sz w:val="22"/>
          <w:szCs w:val="22"/>
          <w:lang w:val="fr-FR"/>
        </w:rPr>
        <w:t>élaboration de procédures d</w:t>
      </w:r>
      <w:r w:rsidR="008E532B">
        <w:rPr>
          <w:rFonts w:ascii="Arial" w:hAnsi="Arial" w:cs="Arial"/>
          <w:bCs/>
          <w:sz w:val="22"/>
          <w:szCs w:val="22"/>
          <w:lang w:val="fr-FR"/>
        </w:rPr>
        <w:t>’</w:t>
      </w:r>
      <w:r w:rsidRPr="00577718">
        <w:rPr>
          <w:rFonts w:ascii="Arial" w:hAnsi="Arial" w:cs="Arial"/>
          <w:bCs/>
          <w:sz w:val="22"/>
          <w:szCs w:val="22"/>
          <w:lang w:val="fr-FR"/>
        </w:rPr>
        <w:t>urgence spéciales pour de futurs événements de ce type dans le monde.</w:t>
      </w:r>
    </w:p>
    <w:p w14:paraId="60E3610D" w14:textId="72A3DA0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A38E0">
        <w:rPr>
          <w:rFonts w:ascii="Arial" w:hAnsi="Arial" w:cs="Arial"/>
          <w:bCs/>
          <w:sz w:val="22"/>
          <w:szCs w:val="22"/>
          <w:lang w:val="fr-FR"/>
        </w:rPr>
        <w:t xml:space="preserve">La délégation du </w:t>
      </w:r>
      <w:r w:rsidRPr="008A38E0">
        <w:rPr>
          <w:rFonts w:ascii="Arial" w:hAnsi="Arial" w:cs="Arial"/>
          <w:b/>
          <w:sz w:val="22"/>
          <w:szCs w:val="22"/>
          <w:lang w:val="fr-FR"/>
        </w:rPr>
        <w:t>Chili</w:t>
      </w:r>
      <w:r w:rsidRPr="008A38E0">
        <w:rPr>
          <w:rFonts w:ascii="Arial" w:hAnsi="Arial" w:cs="Arial"/>
          <w:bCs/>
          <w:sz w:val="22"/>
          <w:szCs w:val="22"/>
          <w:lang w:val="fr-FR"/>
        </w:rPr>
        <w:t xml:space="preserve"> a félicité les membres nouvellement élus du Comité et a exprimé son soutien à la procédure suivie par le Comité pour l</w:t>
      </w:r>
      <w:r w:rsidR="008E532B">
        <w:rPr>
          <w:rFonts w:ascii="Arial" w:hAnsi="Arial" w:cs="Arial"/>
          <w:bCs/>
          <w:sz w:val="22"/>
          <w:szCs w:val="22"/>
          <w:lang w:val="fr-FR"/>
        </w:rPr>
        <w:t>’</w:t>
      </w:r>
      <w:r w:rsidRPr="008A38E0">
        <w:rPr>
          <w:rFonts w:ascii="Arial" w:hAnsi="Arial" w:cs="Arial"/>
          <w:bCs/>
          <w:sz w:val="22"/>
          <w:szCs w:val="22"/>
          <w:lang w:val="fr-FR"/>
        </w:rPr>
        <w:t xml:space="preserve">inscription de </w:t>
      </w:r>
      <w:r>
        <w:rPr>
          <w:rFonts w:ascii="Arial" w:hAnsi="Arial" w:cs="Arial"/>
          <w:bCs/>
          <w:sz w:val="22"/>
          <w:szCs w:val="22"/>
          <w:lang w:val="fr-FR"/>
        </w:rPr>
        <w:t>la soupe au giraumon</w:t>
      </w:r>
      <w:r w:rsidRPr="008A38E0">
        <w:rPr>
          <w:rFonts w:ascii="Arial" w:hAnsi="Arial" w:cs="Arial"/>
          <w:bCs/>
          <w:sz w:val="22"/>
          <w:szCs w:val="22"/>
          <w:lang w:val="fr-FR"/>
        </w:rPr>
        <w:t xml:space="preserve"> sur la Liste représentative</w:t>
      </w:r>
      <w:r>
        <w:rPr>
          <w:rFonts w:ascii="Arial" w:hAnsi="Arial" w:cs="Arial"/>
          <w:bCs/>
          <w:sz w:val="22"/>
          <w:szCs w:val="22"/>
          <w:lang w:val="fr-FR"/>
        </w:rPr>
        <w:t xml:space="preserve">, une </w:t>
      </w:r>
      <w:r w:rsidRPr="008A38E0">
        <w:rPr>
          <w:rFonts w:ascii="Arial" w:hAnsi="Arial" w:cs="Arial"/>
          <w:bCs/>
          <w:sz w:val="22"/>
          <w:szCs w:val="22"/>
          <w:lang w:val="fr-FR"/>
        </w:rPr>
        <w:t xml:space="preserve">candidature présentée par Haïti. Elle </w:t>
      </w:r>
      <w:r>
        <w:rPr>
          <w:rFonts w:ascii="Arial" w:hAnsi="Arial" w:cs="Arial"/>
          <w:bCs/>
          <w:sz w:val="22"/>
          <w:szCs w:val="22"/>
          <w:lang w:val="fr-FR"/>
        </w:rPr>
        <w:t xml:space="preserve">était heureuse </w:t>
      </w:r>
      <w:r w:rsidRPr="008A38E0">
        <w:rPr>
          <w:rFonts w:ascii="Arial" w:hAnsi="Arial" w:cs="Arial"/>
          <w:bCs/>
          <w:sz w:val="22"/>
          <w:szCs w:val="22"/>
          <w:lang w:val="fr-FR"/>
        </w:rPr>
        <w:t>d</w:t>
      </w:r>
      <w:r w:rsidR="008E532B">
        <w:rPr>
          <w:rFonts w:ascii="Arial" w:hAnsi="Arial" w:cs="Arial"/>
          <w:bCs/>
          <w:sz w:val="22"/>
          <w:szCs w:val="22"/>
          <w:lang w:val="fr-FR"/>
        </w:rPr>
        <w:t>’</w:t>
      </w:r>
      <w:r w:rsidRPr="008A38E0">
        <w:rPr>
          <w:rFonts w:ascii="Arial" w:hAnsi="Arial" w:cs="Arial"/>
          <w:bCs/>
          <w:sz w:val="22"/>
          <w:szCs w:val="22"/>
          <w:lang w:val="fr-FR"/>
        </w:rPr>
        <w:t xml:space="preserve">entendre le soutien massif exprimé dans cette Assemblée </w:t>
      </w:r>
      <w:r>
        <w:rPr>
          <w:rFonts w:ascii="Arial" w:hAnsi="Arial" w:cs="Arial"/>
          <w:bCs/>
          <w:sz w:val="22"/>
          <w:szCs w:val="22"/>
          <w:lang w:val="fr-FR"/>
        </w:rPr>
        <w:t xml:space="preserve">en faveur de </w:t>
      </w:r>
      <w:r w:rsidRPr="008A38E0">
        <w:rPr>
          <w:rFonts w:ascii="Arial" w:hAnsi="Arial" w:cs="Arial"/>
          <w:bCs/>
          <w:sz w:val="22"/>
          <w:szCs w:val="22"/>
          <w:lang w:val="fr-FR"/>
        </w:rPr>
        <w:t>la décision prise par le Comité. La délégation cro</w:t>
      </w:r>
      <w:r>
        <w:rPr>
          <w:rFonts w:ascii="Arial" w:hAnsi="Arial" w:cs="Arial"/>
          <w:bCs/>
          <w:sz w:val="22"/>
          <w:szCs w:val="22"/>
          <w:lang w:val="fr-FR"/>
        </w:rPr>
        <w:t>yait</w:t>
      </w:r>
      <w:r w:rsidRPr="008A38E0">
        <w:rPr>
          <w:rFonts w:ascii="Arial" w:hAnsi="Arial" w:cs="Arial"/>
          <w:bCs/>
          <w:sz w:val="22"/>
          <w:szCs w:val="22"/>
          <w:lang w:val="fr-FR"/>
        </w:rPr>
        <w:t xml:space="preserve"> en la nécessité de faire preuve de solidarité, de flexibilité et de compréhension pour la situation des pays qui souffrent le plus. Elle a convenu de l</w:t>
      </w:r>
      <w:r w:rsidR="008E532B">
        <w:rPr>
          <w:rFonts w:ascii="Arial" w:hAnsi="Arial" w:cs="Arial"/>
          <w:bCs/>
          <w:sz w:val="22"/>
          <w:szCs w:val="22"/>
          <w:lang w:val="fr-FR"/>
        </w:rPr>
        <w:t>’</w:t>
      </w:r>
      <w:r w:rsidRPr="008A38E0">
        <w:rPr>
          <w:rFonts w:ascii="Arial" w:hAnsi="Arial" w:cs="Arial"/>
          <w:bCs/>
          <w:sz w:val="22"/>
          <w:szCs w:val="22"/>
          <w:lang w:val="fr-FR"/>
        </w:rPr>
        <w:t>importance de renforcer les procédures afin de garantir que ce type de décision importante puisse</w:t>
      </w:r>
      <w:r>
        <w:rPr>
          <w:rFonts w:ascii="Arial" w:hAnsi="Arial" w:cs="Arial"/>
          <w:bCs/>
          <w:sz w:val="22"/>
          <w:szCs w:val="22"/>
          <w:lang w:val="fr-FR"/>
        </w:rPr>
        <w:t xml:space="preserve"> s</w:t>
      </w:r>
      <w:r w:rsidR="008E532B">
        <w:rPr>
          <w:rFonts w:ascii="Arial" w:hAnsi="Arial" w:cs="Arial"/>
          <w:bCs/>
          <w:sz w:val="22"/>
          <w:szCs w:val="22"/>
          <w:lang w:val="fr-FR"/>
        </w:rPr>
        <w:t>’</w:t>
      </w:r>
      <w:r w:rsidRPr="008A38E0">
        <w:rPr>
          <w:rFonts w:ascii="Arial" w:hAnsi="Arial" w:cs="Arial"/>
          <w:bCs/>
          <w:sz w:val="22"/>
          <w:szCs w:val="22"/>
          <w:lang w:val="fr-FR"/>
        </w:rPr>
        <w:t>appliqu</w:t>
      </w:r>
      <w:r>
        <w:rPr>
          <w:rFonts w:ascii="Arial" w:hAnsi="Arial" w:cs="Arial"/>
          <w:bCs/>
          <w:sz w:val="22"/>
          <w:szCs w:val="22"/>
          <w:lang w:val="fr-FR"/>
        </w:rPr>
        <w:t>er</w:t>
      </w:r>
      <w:r w:rsidRPr="008A38E0">
        <w:rPr>
          <w:rFonts w:ascii="Arial" w:hAnsi="Arial" w:cs="Arial"/>
          <w:bCs/>
          <w:sz w:val="22"/>
          <w:szCs w:val="22"/>
          <w:lang w:val="fr-FR"/>
        </w:rPr>
        <w:t xml:space="preserve"> à toutes les nations à l</w:t>
      </w:r>
      <w:r w:rsidR="008E532B">
        <w:rPr>
          <w:rFonts w:ascii="Arial" w:hAnsi="Arial" w:cs="Arial"/>
          <w:bCs/>
          <w:sz w:val="22"/>
          <w:szCs w:val="22"/>
          <w:lang w:val="fr-FR"/>
        </w:rPr>
        <w:t>’</w:t>
      </w:r>
      <w:r w:rsidRPr="008A38E0">
        <w:rPr>
          <w:rFonts w:ascii="Arial" w:hAnsi="Arial" w:cs="Arial"/>
          <w:bCs/>
          <w:sz w:val="22"/>
          <w:szCs w:val="22"/>
          <w:lang w:val="fr-FR"/>
        </w:rPr>
        <w:t>avenir.</w:t>
      </w:r>
    </w:p>
    <w:p w14:paraId="0E0F0FC9" w14:textId="3014BB7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C2C0D">
        <w:rPr>
          <w:rFonts w:ascii="Arial" w:hAnsi="Arial" w:cs="Arial"/>
          <w:bCs/>
          <w:sz w:val="22"/>
          <w:szCs w:val="22"/>
          <w:lang w:val="fr-FR"/>
        </w:rPr>
        <w:t xml:space="preserve">La délégation du </w:t>
      </w:r>
      <w:r w:rsidRPr="00AC2C0D">
        <w:rPr>
          <w:rFonts w:ascii="Arial" w:hAnsi="Arial" w:cs="Arial"/>
          <w:b/>
          <w:sz w:val="22"/>
          <w:szCs w:val="22"/>
          <w:lang w:val="fr-FR"/>
        </w:rPr>
        <w:t>Brésil</w:t>
      </w:r>
      <w:r w:rsidRPr="00AC2C0D">
        <w:rPr>
          <w:rFonts w:ascii="Arial" w:hAnsi="Arial" w:cs="Arial"/>
          <w:bCs/>
          <w:sz w:val="22"/>
          <w:szCs w:val="22"/>
          <w:lang w:val="fr-FR"/>
        </w:rPr>
        <w:t xml:space="preserve"> a souhaité la bienvenue aux nouveaux membres du Comité et a remercié le Secrétariat pour cette présentation. Le Brésil fai</w:t>
      </w:r>
      <w:r>
        <w:rPr>
          <w:rFonts w:ascii="Arial" w:hAnsi="Arial" w:cs="Arial"/>
          <w:bCs/>
          <w:sz w:val="22"/>
          <w:szCs w:val="22"/>
          <w:lang w:val="fr-FR"/>
        </w:rPr>
        <w:t>sai</w:t>
      </w:r>
      <w:r w:rsidRPr="00AC2C0D">
        <w:rPr>
          <w:rFonts w:ascii="Arial" w:hAnsi="Arial" w:cs="Arial"/>
          <w:bCs/>
          <w:sz w:val="22"/>
          <w:szCs w:val="22"/>
          <w:lang w:val="fr-FR"/>
        </w:rPr>
        <w:t xml:space="preserve">t partie des pays qui </w:t>
      </w:r>
      <w:r>
        <w:rPr>
          <w:rFonts w:ascii="Arial" w:hAnsi="Arial" w:cs="Arial"/>
          <w:bCs/>
          <w:sz w:val="22"/>
          <w:szCs w:val="22"/>
          <w:lang w:val="fr-FR"/>
        </w:rPr>
        <w:t xml:space="preserve">avaient </w:t>
      </w:r>
      <w:r w:rsidRPr="00AC2C0D">
        <w:rPr>
          <w:rFonts w:ascii="Arial" w:hAnsi="Arial" w:cs="Arial"/>
          <w:bCs/>
          <w:sz w:val="22"/>
          <w:szCs w:val="22"/>
          <w:lang w:val="fr-FR"/>
        </w:rPr>
        <w:t>soutenu la procédure d</w:t>
      </w:r>
      <w:r w:rsidR="008E532B">
        <w:rPr>
          <w:rFonts w:ascii="Arial" w:hAnsi="Arial" w:cs="Arial"/>
          <w:bCs/>
          <w:sz w:val="22"/>
          <w:szCs w:val="22"/>
          <w:lang w:val="fr-FR"/>
        </w:rPr>
        <w:t>’</w:t>
      </w:r>
      <w:r w:rsidRPr="00AC2C0D">
        <w:rPr>
          <w:rFonts w:ascii="Arial" w:hAnsi="Arial" w:cs="Arial"/>
          <w:bCs/>
          <w:sz w:val="22"/>
          <w:szCs w:val="22"/>
          <w:lang w:val="fr-FR"/>
        </w:rPr>
        <w:t>adoption de l</w:t>
      </w:r>
      <w:r w:rsidR="008E532B">
        <w:rPr>
          <w:rFonts w:ascii="Arial" w:hAnsi="Arial" w:cs="Arial"/>
          <w:bCs/>
          <w:sz w:val="22"/>
          <w:szCs w:val="22"/>
          <w:lang w:val="fr-FR"/>
        </w:rPr>
        <w:t>’</w:t>
      </w:r>
      <w:r w:rsidRPr="00AC2C0D">
        <w:rPr>
          <w:rFonts w:ascii="Arial" w:hAnsi="Arial" w:cs="Arial"/>
          <w:bCs/>
          <w:sz w:val="22"/>
          <w:szCs w:val="22"/>
          <w:lang w:val="fr-FR"/>
        </w:rPr>
        <w:t xml:space="preserve">inscription de la soupe </w:t>
      </w:r>
      <w:r>
        <w:rPr>
          <w:rFonts w:ascii="Arial" w:hAnsi="Arial" w:cs="Arial"/>
          <w:bCs/>
          <w:sz w:val="22"/>
          <w:szCs w:val="22"/>
          <w:lang w:val="fr-FR"/>
        </w:rPr>
        <w:t xml:space="preserve">au giraumon </w:t>
      </w:r>
      <w:r w:rsidRPr="00AC2C0D">
        <w:rPr>
          <w:rFonts w:ascii="Arial" w:hAnsi="Arial" w:cs="Arial"/>
          <w:bCs/>
          <w:sz w:val="22"/>
          <w:szCs w:val="22"/>
          <w:lang w:val="fr-FR"/>
        </w:rPr>
        <w:t xml:space="preserve">sur la Liste représentative. </w:t>
      </w:r>
      <w:r>
        <w:rPr>
          <w:rFonts w:ascii="Arial" w:hAnsi="Arial" w:cs="Arial"/>
          <w:bCs/>
          <w:sz w:val="22"/>
          <w:szCs w:val="22"/>
          <w:lang w:val="fr-FR"/>
        </w:rPr>
        <w:t>Il</w:t>
      </w:r>
      <w:r w:rsidRPr="00AC2C0D">
        <w:rPr>
          <w:rFonts w:ascii="Arial" w:hAnsi="Arial" w:cs="Arial"/>
          <w:bCs/>
          <w:sz w:val="22"/>
          <w:szCs w:val="22"/>
          <w:lang w:val="fr-FR"/>
        </w:rPr>
        <w:t xml:space="preserve"> s</w:t>
      </w:r>
      <w:r w:rsidR="008E532B">
        <w:rPr>
          <w:rFonts w:ascii="Arial" w:hAnsi="Arial" w:cs="Arial"/>
          <w:bCs/>
          <w:sz w:val="22"/>
          <w:szCs w:val="22"/>
          <w:lang w:val="fr-FR"/>
        </w:rPr>
        <w:t>’</w:t>
      </w:r>
      <w:r w:rsidRPr="00AC2C0D">
        <w:rPr>
          <w:rFonts w:ascii="Arial" w:hAnsi="Arial" w:cs="Arial"/>
          <w:bCs/>
          <w:sz w:val="22"/>
          <w:szCs w:val="22"/>
          <w:lang w:val="fr-FR"/>
        </w:rPr>
        <w:t xml:space="preserve">est réjoui du fait que, </w:t>
      </w:r>
      <w:r>
        <w:rPr>
          <w:rFonts w:ascii="Arial" w:hAnsi="Arial" w:cs="Arial"/>
          <w:bCs/>
          <w:sz w:val="22"/>
          <w:szCs w:val="22"/>
          <w:lang w:val="fr-FR"/>
        </w:rPr>
        <w:t>malgré l</w:t>
      </w:r>
      <w:r w:rsidRPr="00AC2C0D">
        <w:rPr>
          <w:rFonts w:ascii="Arial" w:hAnsi="Arial" w:cs="Arial"/>
          <w:bCs/>
          <w:sz w:val="22"/>
          <w:szCs w:val="22"/>
          <w:lang w:val="fr-FR"/>
        </w:rPr>
        <w:t>es</w:t>
      </w:r>
      <w:r>
        <w:rPr>
          <w:rFonts w:ascii="Arial" w:hAnsi="Arial" w:cs="Arial"/>
          <w:bCs/>
          <w:sz w:val="22"/>
          <w:szCs w:val="22"/>
          <w:lang w:val="fr-FR"/>
        </w:rPr>
        <w:t xml:space="preserve"> inquiétudes exprimées</w:t>
      </w:r>
      <w:r w:rsidRPr="00AC2C0D">
        <w:rPr>
          <w:rFonts w:ascii="Arial" w:hAnsi="Arial" w:cs="Arial"/>
          <w:bCs/>
          <w:sz w:val="22"/>
          <w:szCs w:val="22"/>
          <w:lang w:val="fr-FR"/>
        </w:rPr>
        <w:t xml:space="preserve"> à l</w:t>
      </w:r>
      <w:r w:rsidR="008E532B">
        <w:rPr>
          <w:rFonts w:ascii="Arial" w:hAnsi="Arial" w:cs="Arial"/>
          <w:bCs/>
          <w:sz w:val="22"/>
          <w:szCs w:val="22"/>
          <w:lang w:val="fr-FR"/>
        </w:rPr>
        <w:t>’</w:t>
      </w:r>
      <w:r w:rsidRPr="00AC2C0D">
        <w:rPr>
          <w:rFonts w:ascii="Arial" w:hAnsi="Arial" w:cs="Arial"/>
          <w:bCs/>
          <w:sz w:val="22"/>
          <w:szCs w:val="22"/>
          <w:lang w:val="fr-FR"/>
        </w:rPr>
        <w:t xml:space="preserve">époque </w:t>
      </w:r>
      <w:r>
        <w:rPr>
          <w:rFonts w:ascii="Arial" w:hAnsi="Arial" w:cs="Arial"/>
          <w:bCs/>
          <w:sz w:val="22"/>
          <w:szCs w:val="22"/>
          <w:lang w:val="fr-FR"/>
        </w:rPr>
        <w:t xml:space="preserve">quant à </w:t>
      </w:r>
      <w:r w:rsidRPr="00AC2C0D">
        <w:rPr>
          <w:rFonts w:ascii="Arial" w:hAnsi="Arial" w:cs="Arial"/>
          <w:bCs/>
          <w:sz w:val="22"/>
          <w:szCs w:val="22"/>
          <w:lang w:val="fr-FR"/>
        </w:rPr>
        <w:t>l</w:t>
      </w:r>
      <w:r w:rsidR="008E532B">
        <w:rPr>
          <w:rFonts w:ascii="Arial" w:hAnsi="Arial" w:cs="Arial"/>
          <w:bCs/>
          <w:sz w:val="22"/>
          <w:szCs w:val="22"/>
          <w:lang w:val="fr-FR"/>
        </w:rPr>
        <w:t>’</w:t>
      </w:r>
      <w:r w:rsidRPr="00AC2C0D">
        <w:rPr>
          <w:rFonts w:ascii="Arial" w:hAnsi="Arial" w:cs="Arial"/>
          <w:bCs/>
          <w:sz w:val="22"/>
          <w:szCs w:val="22"/>
          <w:lang w:val="fr-FR"/>
        </w:rPr>
        <w:t>adoption de procédures exceptionnelles pour cette inscription, le Comité soit parvenu à une décision consensuelle, remplissant ainsi le rôle de l</w:t>
      </w:r>
      <w:r w:rsidR="008E532B">
        <w:rPr>
          <w:rFonts w:ascii="Arial" w:hAnsi="Arial" w:cs="Arial"/>
          <w:bCs/>
          <w:sz w:val="22"/>
          <w:szCs w:val="22"/>
          <w:lang w:val="fr-FR"/>
        </w:rPr>
        <w:t>’</w:t>
      </w:r>
      <w:r w:rsidRPr="00AC2C0D">
        <w:rPr>
          <w:rFonts w:ascii="Arial" w:hAnsi="Arial" w:cs="Arial"/>
          <w:bCs/>
          <w:sz w:val="22"/>
          <w:szCs w:val="22"/>
          <w:lang w:val="fr-FR"/>
        </w:rPr>
        <w:t xml:space="preserve">UNESCO, non seulement </w:t>
      </w:r>
      <w:r>
        <w:rPr>
          <w:rFonts w:ascii="Arial" w:hAnsi="Arial" w:cs="Arial"/>
          <w:bCs/>
          <w:sz w:val="22"/>
          <w:szCs w:val="22"/>
          <w:lang w:val="fr-FR"/>
        </w:rPr>
        <w:t>de</w:t>
      </w:r>
      <w:r w:rsidRPr="00AC2C0D">
        <w:rPr>
          <w:rFonts w:ascii="Arial" w:hAnsi="Arial" w:cs="Arial"/>
          <w:bCs/>
          <w:sz w:val="22"/>
          <w:szCs w:val="22"/>
          <w:lang w:val="fr-FR"/>
        </w:rPr>
        <w:t xml:space="preserve"> sauvegard</w:t>
      </w:r>
      <w:r>
        <w:rPr>
          <w:rFonts w:ascii="Arial" w:hAnsi="Arial" w:cs="Arial"/>
          <w:bCs/>
          <w:sz w:val="22"/>
          <w:szCs w:val="22"/>
          <w:lang w:val="fr-FR"/>
        </w:rPr>
        <w:t>e</w:t>
      </w:r>
      <w:r w:rsidRPr="00AC2C0D">
        <w:rPr>
          <w:rFonts w:ascii="Arial" w:hAnsi="Arial" w:cs="Arial"/>
          <w:bCs/>
          <w:sz w:val="22"/>
          <w:szCs w:val="22"/>
          <w:lang w:val="fr-FR"/>
        </w:rPr>
        <w:t xml:space="preserve"> </w:t>
      </w:r>
      <w:r>
        <w:rPr>
          <w:rFonts w:ascii="Arial" w:hAnsi="Arial" w:cs="Arial"/>
          <w:bCs/>
          <w:sz w:val="22"/>
          <w:szCs w:val="22"/>
          <w:lang w:val="fr-FR"/>
        </w:rPr>
        <w:t>du</w:t>
      </w:r>
      <w:r w:rsidRPr="00AC2C0D">
        <w:rPr>
          <w:rFonts w:ascii="Arial" w:hAnsi="Arial" w:cs="Arial"/>
          <w:bCs/>
          <w:sz w:val="22"/>
          <w:szCs w:val="22"/>
          <w:lang w:val="fr-FR"/>
        </w:rPr>
        <w:t xml:space="preserve"> patrimoine immatériel, mais </w:t>
      </w:r>
      <w:r w:rsidRPr="00AC2C0D">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d</w:t>
      </w:r>
      <w:r w:rsidR="008E532B">
        <w:rPr>
          <w:rFonts w:ascii="Arial" w:hAnsi="Arial" w:cs="Arial"/>
          <w:bCs/>
          <w:color w:val="000000" w:themeColor="text1"/>
          <w:sz w:val="22"/>
          <w:szCs w:val="22"/>
          <w:lang w:val="fr-FR"/>
        </w:rPr>
        <w:t>’</w:t>
      </w:r>
      <w:r>
        <w:rPr>
          <w:rFonts w:ascii="Arial" w:hAnsi="Arial" w:cs="Arial"/>
          <w:bCs/>
          <w:color w:val="000000" w:themeColor="text1"/>
          <w:sz w:val="22"/>
          <w:szCs w:val="22"/>
          <w:lang w:val="fr-FR"/>
        </w:rPr>
        <w:t>utilisation de</w:t>
      </w:r>
      <w:r w:rsidRPr="00AC2C0D">
        <w:rPr>
          <w:rFonts w:ascii="Arial" w:hAnsi="Arial" w:cs="Arial"/>
          <w:bCs/>
          <w:sz w:val="22"/>
          <w:szCs w:val="22"/>
          <w:lang w:val="fr-FR"/>
        </w:rPr>
        <w:t xml:space="preserve"> la culture comme source d</w:t>
      </w:r>
      <w:r w:rsidR="008E532B">
        <w:rPr>
          <w:rFonts w:ascii="Arial" w:hAnsi="Arial" w:cs="Arial"/>
          <w:bCs/>
          <w:sz w:val="22"/>
          <w:szCs w:val="22"/>
          <w:lang w:val="fr-FR"/>
        </w:rPr>
        <w:t>’</w:t>
      </w:r>
      <w:r w:rsidRPr="00AC2C0D">
        <w:rPr>
          <w:rFonts w:ascii="Arial" w:hAnsi="Arial" w:cs="Arial"/>
          <w:bCs/>
          <w:sz w:val="22"/>
          <w:szCs w:val="22"/>
          <w:lang w:val="fr-FR"/>
        </w:rPr>
        <w:t xml:space="preserve">espoir et de résilience pour les communautés en détresse confrontées à une grave crise humanitaire. En prenant cette importante décision, le Comité ne pouvait pas </w:t>
      </w:r>
      <w:r>
        <w:rPr>
          <w:rFonts w:ascii="Arial" w:hAnsi="Arial" w:cs="Arial"/>
          <w:bCs/>
          <w:sz w:val="22"/>
          <w:szCs w:val="22"/>
          <w:lang w:val="fr-FR"/>
        </w:rPr>
        <w:t xml:space="preserve">outrepasser, </w:t>
      </w:r>
      <w:r w:rsidRPr="00AC2C0D">
        <w:rPr>
          <w:rFonts w:ascii="Arial" w:hAnsi="Arial" w:cs="Arial"/>
          <w:bCs/>
          <w:sz w:val="22"/>
          <w:szCs w:val="22"/>
          <w:lang w:val="fr-FR"/>
        </w:rPr>
        <w:t>et n</w:t>
      </w:r>
      <w:r w:rsidR="008E532B">
        <w:rPr>
          <w:rFonts w:ascii="Arial" w:hAnsi="Arial" w:cs="Arial"/>
          <w:bCs/>
          <w:sz w:val="22"/>
          <w:szCs w:val="22"/>
          <w:lang w:val="fr-FR"/>
        </w:rPr>
        <w:t>’</w:t>
      </w:r>
      <w:r w:rsidRPr="00AC2C0D">
        <w:rPr>
          <w:rFonts w:ascii="Arial" w:hAnsi="Arial" w:cs="Arial"/>
          <w:bCs/>
          <w:sz w:val="22"/>
          <w:szCs w:val="22"/>
          <w:lang w:val="fr-FR"/>
        </w:rPr>
        <w:t>outrepass</w:t>
      </w:r>
      <w:r>
        <w:rPr>
          <w:rFonts w:ascii="Arial" w:hAnsi="Arial" w:cs="Arial"/>
          <w:bCs/>
          <w:sz w:val="22"/>
          <w:szCs w:val="22"/>
          <w:lang w:val="fr-FR"/>
        </w:rPr>
        <w:t>ait pas,</w:t>
      </w:r>
      <w:r w:rsidRPr="00AC2C0D">
        <w:rPr>
          <w:rFonts w:ascii="Arial" w:hAnsi="Arial" w:cs="Arial"/>
          <w:bCs/>
          <w:sz w:val="22"/>
          <w:szCs w:val="22"/>
          <w:lang w:val="fr-FR"/>
        </w:rPr>
        <w:t xml:space="preserve"> </w:t>
      </w:r>
      <w:r>
        <w:rPr>
          <w:rFonts w:ascii="Arial" w:hAnsi="Arial" w:cs="Arial"/>
          <w:bCs/>
          <w:sz w:val="22"/>
          <w:szCs w:val="22"/>
          <w:lang w:val="fr-FR"/>
        </w:rPr>
        <w:t>son</w:t>
      </w:r>
      <w:r w:rsidRPr="00AC2C0D">
        <w:rPr>
          <w:rFonts w:ascii="Arial" w:hAnsi="Arial" w:cs="Arial"/>
          <w:bCs/>
          <w:sz w:val="22"/>
          <w:szCs w:val="22"/>
          <w:lang w:val="fr-FR"/>
        </w:rPr>
        <w:t xml:space="preserve"> mandat </w:t>
      </w:r>
      <w:r>
        <w:rPr>
          <w:rFonts w:ascii="Arial" w:hAnsi="Arial" w:cs="Arial"/>
          <w:bCs/>
          <w:sz w:val="22"/>
          <w:szCs w:val="22"/>
          <w:lang w:val="fr-FR"/>
        </w:rPr>
        <w:t>tel qu</w:t>
      </w:r>
      <w:r w:rsidR="008E532B">
        <w:rPr>
          <w:rFonts w:ascii="Arial" w:hAnsi="Arial" w:cs="Arial"/>
          <w:bCs/>
          <w:sz w:val="22"/>
          <w:szCs w:val="22"/>
          <w:lang w:val="fr-FR"/>
        </w:rPr>
        <w:t>’</w:t>
      </w:r>
      <w:r>
        <w:rPr>
          <w:rFonts w:ascii="Arial" w:hAnsi="Arial" w:cs="Arial"/>
          <w:bCs/>
          <w:sz w:val="22"/>
          <w:szCs w:val="22"/>
          <w:lang w:val="fr-FR"/>
        </w:rPr>
        <w:t>établi</w:t>
      </w:r>
      <w:r w:rsidRPr="00AC2C0D">
        <w:rPr>
          <w:rFonts w:ascii="Arial" w:hAnsi="Arial" w:cs="Arial"/>
          <w:bCs/>
          <w:sz w:val="22"/>
          <w:szCs w:val="22"/>
          <w:lang w:val="fr-FR"/>
        </w:rPr>
        <w:t xml:space="preserve"> par la Convention, et n</w:t>
      </w:r>
      <w:r>
        <w:rPr>
          <w:rFonts w:ascii="Arial" w:hAnsi="Arial" w:cs="Arial"/>
          <w:bCs/>
          <w:sz w:val="22"/>
          <w:szCs w:val="22"/>
          <w:lang w:val="fr-FR"/>
        </w:rPr>
        <w:t xml:space="preserve">e </w:t>
      </w:r>
      <w:r w:rsidRPr="00AC2C0D">
        <w:rPr>
          <w:rFonts w:ascii="Arial" w:hAnsi="Arial" w:cs="Arial"/>
          <w:bCs/>
          <w:sz w:val="22"/>
          <w:szCs w:val="22"/>
          <w:lang w:val="fr-FR"/>
        </w:rPr>
        <w:t>dévi</w:t>
      </w:r>
      <w:r>
        <w:rPr>
          <w:rFonts w:ascii="Arial" w:hAnsi="Arial" w:cs="Arial"/>
          <w:bCs/>
          <w:sz w:val="22"/>
          <w:szCs w:val="22"/>
          <w:lang w:val="fr-FR"/>
        </w:rPr>
        <w:t>ait pas</w:t>
      </w:r>
      <w:r w:rsidRPr="00AC2C0D">
        <w:rPr>
          <w:rFonts w:ascii="Arial" w:hAnsi="Arial" w:cs="Arial"/>
          <w:bCs/>
          <w:sz w:val="22"/>
          <w:szCs w:val="22"/>
          <w:lang w:val="fr-FR"/>
        </w:rPr>
        <w:t xml:space="preserve"> de son rôle défini par l</w:t>
      </w:r>
      <w:r w:rsidR="008E532B">
        <w:rPr>
          <w:rFonts w:ascii="Arial" w:hAnsi="Arial" w:cs="Arial"/>
          <w:bCs/>
          <w:sz w:val="22"/>
          <w:szCs w:val="22"/>
          <w:lang w:val="fr-FR"/>
        </w:rPr>
        <w:t>’</w:t>
      </w:r>
      <w:r w:rsidRPr="00AC2C0D">
        <w:rPr>
          <w:rFonts w:ascii="Arial" w:hAnsi="Arial" w:cs="Arial"/>
          <w:bCs/>
          <w:sz w:val="22"/>
          <w:szCs w:val="22"/>
          <w:lang w:val="fr-FR"/>
        </w:rPr>
        <w:t>Assemblée générale dans les Directives opérationnelles. L</w:t>
      </w:r>
      <w:r w:rsidR="008E532B">
        <w:rPr>
          <w:rFonts w:ascii="Arial" w:hAnsi="Arial" w:cs="Arial"/>
          <w:bCs/>
          <w:sz w:val="22"/>
          <w:szCs w:val="22"/>
          <w:lang w:val="fr-FR"/>
        </w:rPr>
        <w:t>’</w:t>
      </w:r>
      <w:r w:rsidRPr="00AC2C0D">
        <w:rPr>
          <w:rFonts w:ascii="Arial" w:hAnsi="Arial" w:cs="Arial"/>
          <w:bCs/>
          <w:sz w:val="22"/>
          <w:szCs w:val="22"/>
          <w:lang w:val="fr-FR"/>
        </w:rPr>
        <w:t>ensemble de la procédure d</w:t>
      </w:r>
      <w:r w:rsidR="008E532B">
        <w:rPr>
          <w:rFonts w:ascii="Arial" w:hAnsi="Arial" w:cs="Arial"/>
          <w:bCs/>
          <w:sz w:val="22"/>
          <w:szCs w:val="22"/>
          <w:lang w:val="fr-FR"/>
        </w:rPr>
        <w:t>’</w:t>
      </w:r>
      <w:r w:rsidRPr="00AC2C0D">
        <w:rPr>
          <w:rFonts w:ascii="Arial" w:hAnsi="Arial" w:cs="Arial"/>
          <w:bCs/>
          <w:sz w:val="22"/>
          <w:szCs w:val="22"/>
          <w:lang w:val="fr-FR"/>
        </w:rPr>
        <w:t>évaluation a</w:t>
      </w:r>
      <w:r>
        <w:rPr>
          <w:rFonts w:ascii="Arial" w:hAnsi="Arial" w:cs="Arial"/>
          <w:bCs/>
          <w:sz w:val="22"/>
          <w:szCs w:val="22"/>
          <w:lang w:val="fr-FR"/>
        </w:rPr>
        <w:t>vait</w:t>
      </w:r>
      <w:r w:rsidRPr="00AC2C0D">
        <w:rPr>
          <w:rFonts w:ascii="Arial" w:hAnsi="Arial" w:cs="Arial"/>
          <w:bCs/>
          <w:sz w:val="22"/>
          <w:szCs w:val="22"/>
          <w:lang w:val="fr-FR"/>
        </w:rPr>
        <w:t xml:space="preserve"> été strictement suivi dans les mêmes conditions, critères et méthodologie que ceux utilisés pour tout autre dossier. Le recours exceptionnel au calendrier accéléré a</w:t>
      </w:r>
      <w:r>
        <w:rPr>
          <w:rFonts w:ascii="Arial" w:hAnsi="Arial" w:cs="Arial"/>
          <w:bCs/>
          <w:sz w:val="22"/>
          <w:szCs w:val="22"/>
          <w:lang w:val="fr-FR"/>
        </w:rPr>
        <w:t>vait fait l</w:t>
      </w:r>
      <w:r w:rsidR="008E532B">
        <w:rPr>
          <w:rFonts w:ascii="Arial" w:hAnsi="Arial" w:cs="Arial"/>
          <w:bCs/>
          <w:sz w:val="22"/>
          <w:szCs w:val="22"/>
          <w:lang w:val="fr-FR"/>
        </w:rPr>
        <w:t>’</w:t>
      </w:r>
      <w:r>
        <w:rPr>
          <w:rFonts w:ascii="Arial" w:hAnsi="Arial" w:cs="Arial"/>
          <w:bCs/>
          <w:sz w:val="22"/>
          <w:szCs w:val="22"/>
          <w:lang w:val="fr-FR"/>
        </w:rPr>
        <w:t xml:space="preserve">objet de nombreux débats </w:t>
      </w:r>
      <w:r w:rsidRPr="00AC2C0D">
        <w:rPr>
          <w:rFonts w:ascii="Arial" w:hAnsi="Arial" w:cs="Arial"/>
          <w:bCs/>
          <w:sz w:val="22"/>
          <w:szCs w:val="22"/>
          <w:lang w:val="fr-FR"/>
        </w:rPr>
        <w:t>en concertation avec l</w:t>
      </w:r>
      <w:r>
        <w:rPr>
          <w:rFonts w:ascii="Arial" w:hAnsi="Arial" w:cs="Arial"/>
          <w:bCs/>
          <w:sz w:val="22"/>
          <w:szCs w:val="22"/>
          <w:lang w:val="fr-FR"/>
        </w:rPr>
        <w:t>a Division</w:t>
      </w:r>
      <w:r w:rsidRPr="00AC2C0D">
        <w:rPr>
          <w:rFonts w:ascii="Arial" w:hAnsi="Arial" w:cs="Arial"/>
          <w:bCs/>
          <w:sz w:val="22"/>
          <w:szCs w:val="22"/>
          <w:lang w:val="fr-FR"/>
        </w:rPr>
        <w:t xml:space="preserve"> des </w:t>
      </w:r>
      <w:r>
        <w:rPr>
          <w:rFonts w:ascii="Arial" w:hAnsi="Arial" w:cs="Arial"/>
          <w:bCs/>
          <w:sz w:val="22"/>
          <w:szCs w:val="22"/>
          <w:lang w:val="fr-FR"/>
        </w:rPr>
        <w:t>a</w:t>
      </w:r>
      <w:r w:rsidRPr="00AC2C0D">
        <w:rPr>
          <w:rFonts w:ascii="Arial" w:hAnsi="Arial" w:cs="Arial"/>
          <w:bCs/>
          <w:sz w:val="22"/>
          <w:szCs w:val="22"/>
          <w:lang w:val="fr-FR"/>
        </w:rPr>
        <w:t xml:space="preserve">ffaires </w:t>
      </w:r>
      <w:r>
        <w:rPr>
          <w:rFonts w:ascii="Arial" w:hAnsi="Arial" w:cs="Arial"/>
          <w:bCs/>
          <w:sz w:val="22"/>
          <w:szCs w:val="22"/>
          <w:lang w:val="fr-FR"/>
        </w:rPr>
        <w:t>j</w:t>
      </w:r>
      <w:r w:rsidRPr="00AC2C0D">
        <w:rPr>
          <w:rFonts w:ascii="Arial" w:hAnsi="Arial" w:cs="Arial"/>
          <w:bCs/>
          <w:sz w:val="22"/>
          <w:szCs w:val="22"/>
          <w:lang w:val="fr-FR"/>
        </w:rPr>
        <w:t xml:space="preserve">uridiques </w:t>
      </w:r>
      <w:r>
        <w:rPr>
          <w:rFonts w:ascii="Arial" w:hAnsi="Arial" w:cs="Arial"/>
          <w:bCs/>
          <w:sz w:val="22"/>
          <w:szCs w:val="22"/>
          <w:lang w:val="fr-FR"/>
        </w:rPr>
        <w:t>afin de</w:t>
      </w:r>
      <w:r w:rsidRPr="00AC2C0D">
        <w:rPr>
          <w:rFonts w:ascii="Arial" w:hAnsi="Arial" w:cs="Arial"/>
          <w:bCs/>
          <w:sz w:val="22"/>
          <w:szCs w:val="22"/>
          <w:lang w:val="fr-FR"/>
        </w:rPr>
        <w:t xml:space="preserve"> s</w:t>
      </w:r>
      <w:r w:rsidR="008E532B">
        <w:rPr>
          <w:rFonts w:ascii="Arial" w:hAnsi="Arial" w:cs="Arial"/>
          <w:bCs/>
          <w:sz w:val="22"/>
          <w:szCs w:val="22"/>
          <w:lang w:val="fr-FR"/>
        </w:rPr>
        <w:t>’</w:t>
      </w:r>
      <w:r w:rsidRPr="00AC2C0D">
        <w:rPr>
          <w:rFonts w:ascii="Arial" w:hAnsi="Arial" w:cs="Arial"/>
          <w:bCs/>
          <w:sz w:val="22"/>
          <w:szCs w:val="22"/>
          <w:lang w:val="fr-FR"/>
        </w:rPr>
        <w:t>assurer que la décision était prise en toute légalité dans le cadre des prérogatives du Comité et à l</w:t>
      </w:r>
      <w:r w:rsidR="008E532B">
        <w:rPr>
          <w:rFonts w:ascii="Arial" w:hAnsi="Arial" w:cs="Arial"/>
          <w:bCs/>
          <w:sz w:val="22"/>
          <w:szCs w:val="22"/>
          <w:lang w:val="fr-FR"/>
        </w:rPr>
        <w:t>’</w:t>
      </w:r>
      <w:r>
        <w:rPr>
          <w:rFonts w:ascii="Arial" w:hAnsi="Arial" w:cs="Arial"/>
          <w:bCs/>
          <w:sz w:val="22"/>
          <w:szCs w:val="22"/>
          <w:lang w:val="fr-FR"/>
        </w:rPr>
        <w:t>aune</w:t>
      </w:r>
      <w:r w:rsidRPr="00AC2C0D">
        <w:rPr>
          <w:rFonts w:ascii="Arial" w:hAnsi="Arial" w:cs="Arial"/>
          <w:bCs/>
          <w:sz w:val="22"/>
          <w:szCs w:val="22"/>
          <w:lang w:val="fr-FR"/>
        </w:rPr>
        <w:t xml:space="preserve"> de la flexibilité offerte par le texte de la Convention et de ses Directives opérationnelles. Ainsi, en tant que membre du Comité, ayant pris part à la décision, le Brésil </w:t>
      </w:r>
      <w:r>
        <w:rPr>
          <w:rFonts w:ascii="Arial" w:hAnsi="Arial" w:cs="Arial"/>
          <w:bCs/>
          <w:sz w:val="22"/>
          <w:szCs w:val="22"/>
          <w:lang w:val="fr-FR"/>
        </w:rPr>
        <w:t xml:space="preserve">a </w:t>
      </w:r>
      <w:r w:rsidRPr="00AC2C0D">
        <w:rPr>
          <w:rFonts w:ascii="Arial" w:hAnsi="Arial" w:cs="Arial"/>
          <w:bCs/>
          <w:sz w:val="22"/>
          <w:szCs w:val="22"/>
          <w:lang w:val="fr-FR"/>
        </w:rPr>
        <w:t>demand</w:t>
      </w:r>
      <w:r>
        <w:rPr>
          <w:rFonts w:ascii="Arial" w:hAnsi="Arial" w:cs="Arial"/>
          <w:bCs/>
          <w:sz w:val="22"/>
          <w:szCs w:val="22"/>
          <w:lang w:val="fr-FR"/>
        </w:rPr>
        <w:t>é</w:t>
      </w:r>
      <w:r w:rsidRPr="00AC2C0D">
        <w:rPr>
          <w:rFonts w:ascii="Arial" w:hAnsi="Arial" w:cs="Arial"/>
          <w:bCs/>
          <w:sz w:val="22"/>
          <w:szCs w:val="22"/>
          <w:lang w:val="fr-FR"/>
        </w:rPr>
        <w:t xml:space="preserve"> à l</w:t>
      </w:r>
      <w:r w:rsidR="008E532B">
        <w:rPr>
          <w:rFonts w:ascii="Arial" w:hAnsi="Arial" w:cs="Arial"/>
          <w:bCs/>
          <w:sz w:val="22"/>
          <w:szCs w:val="22"/>
          <w:lang w:val="fr-FR"/>
        </w:rPr>
        <w:t>’</w:t>
      </w:r>
      <w:r w:rsidRPr="00AC2C0D">
        <w:rPr>
          <w:rFonts w:ascii="Arial" w:hAnsi="Arial" w:cs="Arial"/>
          <w:bCs/>
          <w:sz w:val="22"/>
          <w:szCs w:val="22"/>
          <w:lang w:val="fr-FR"/>
        </w:rPr>
        <w:t>Assemblée d</w:t>
      </w:r>
      <w:r w:rsidR="008E532B">
        <w:rPr>
          <w:rFonts w:ascii="Arial" w:hAnsi="Arial" w:cs="Arial"/>
          <w:bCs/>
          <w:sz w:val="22"/>
          <w:szCs w:val="22"/>
          <w:lang w:val="fr-FR"/>
        </w:rPr>
        <w:t>’</w:t>
      </w:r>
      <w:r w:rsidRPr="00AC2C0D">
        <w:rPr>
          <w:rFonts w:ascii="Arial" w:hAnsi="Arial" w:cs="Arial"/>
          <w:bCs/>
          <w:sz w:val="22"/>
          <w:szCs w:val="22"/>
          <w:lang w:val="fr-FR"/>
        </w:rPr>
        <w:t>entériner la décision du Comité et de réaffirmer son message d</w:t>
      </w:r>
      <w:r w:rsidR="008E532B">
        <w:rPr>
          <w:rFonts w:ascii="Arial" w:hAnsi="Arial" w:cs="Arial"/>
          <w:bCs/>
          <w:sz w:val="22"/>
          <w:szCs w:val="22"/>
          <w:lang w:val="fr-FR"/>
        </w:rPr>
        <w:t>’</w:t>
      </w:r>
      <w:r w:rsidRPr="00AC2C0D">
        <w:rPr>
          <w:rFonts w:ascii="Arial" w:hAnsi="Arial" w:cs="Arial"/>
          <w:bCs/>
          <w:sz w:val="22"/>
          <w:szCs w:val="22"/>
          <w:lang w:val="fr-FR"/>
        </w:rPr>
        <w:t>espoir et de solidarité au peuple haïtien.</w:t>
      </w:r>
    </w:p>
    <w:p w14:paraId="72DD403F" w14:textId="518C077F" w:rsidR="00D9653F" w:rsidRPr="000A1534"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A1534">
        <w:rPr>
          <w:rFonts w:ascii="Arial" w:hAnsi="Arial" w:cs="Arial"/>
          <w:bCs/>
          <w:sz w:val="22"/>
          <w:szCs w:val="22"/>
          <w:lang w:val="fr-FR"/>
        </w:rPr>
        <w:t xml:space="preserve">La délégation du </w:t>
      </w:r>
      <w:r w:rsidRPr="000A1534">
        <w:rPr>
          <w:rFonts w:ascii="Arial" w:hAnsi="Arial" w:cs="Arial"/>
          <w:b/>
          <w:sz w:val="22"/>
          <w:szCs w:val="22"/>
          <w:lang w:val="fr-FR"/>
        </w:rPr>
        <w:t>Botswana</w:t>
      </w:r>
      <w:r w:rsidRPr="000A1534">
        <w:rPr>
          <w:rFonts w:ascii="Arial" w:hAnsi="Arial" w:cs="Arial"/>
          <w:bCs/>
          <w:sz w:val="22"/>
          <w:szCs w:val="22"/>
          <w:lang w:val="fr-FR"/>
        </w:rPr>
        <w:t xml:space="preserve"> a félicité les nouveaux membres du Comité et a remercié tous les membres sortants</w:t>
      </w:r>
      <w:r>
        <w:rPr>
          <w:rFonts w:ascii="Arial" w:hAnsi="Arial" w:cs="Arial"/>
          <w:bCs/>
          <w:sz w:val="22"/>
          <w:szCs w:val="22"/>
          <w:lang w:val="fr-FR"/>
        </w:rPr>
        <w:t>. Elle a également félicité l</w:t>
      </w:r>
      <w:r w:rsidR="008E532B">
        <w:rPr>
          <w:rFonts w:ascii="Arial" w:hAnsi="Arial" w:cs="Arial"/>
          <w:bCs/>
          <w:sz w:val="22"/>
          <w:szCs w:val="22"/>
          <w:lang w:val="fr-FR"/>
        </w:rPr>
        <w:t>’</w:t>
      </w:r>
      <w:r>
        <w:rPr>
          <w:rFonts w:ascii="Arial" w:hAnsi="Arial" w:cs="Arial"/>
          <w:bCs/>
          <w:sz w:val="22"/>
          <w:szCs w:val="22"/>
          <w:lang w:val="fr-FR"/>
        </w:rPr>
        <w:t>ambassad</w:t>
      </w:r>
      <w:r w:rsidR="008E532B">
        <w:rPr>
          <w:rFonts w:ascii="Arial" w:hAnsi="Arial" w:cs="Arial"/>
          <w:bCs/>
          <w:sz w:val="22"/>
          <w:szCs w:val="22"/>
          <w:lang w:val="fr-FR"/>
        </w:rPr>
        <w:t>eu</w:t>
      </w:r>
      <w:r>
        <w:rPr>
          <w:rFonts w:ascii="Arial" w:hAnsi="Arial" w:cs="Arial"/>
          <w:bCs/>
          <w:sz w:val="22"/>
          <w:szCs w:val="22"/>
          <w:lang w:val="fr-FR"/>
        </w:rPr>
        <w:t>r d</w:t>
      </w:r>
      <w:r w:rsidR="008E532B">
        <w:rPr>
          <w:rFonts w:ascii="Arial" w:hAnsi="Arial" w:cs="Arial"/>
          <w:bCs/>
          <w:sz w:val="22"/>
          <w:szCs w:val="22"/>
          <w:lang w:val="fr-FR"/>
        </w:rPr>
        <w:t>’</w:t>
      </w:r>
      <w:r>
        <w:rPr>
          <w:rFonts w:ascii="Arial" w:hAnsi="Arial" w:cs="Arial"/>
          <w:bCs/>
          <w:sz w:val="22"/>
          <w:szCs w:val="22"/>
          <w:lang w:val="fr-FR"/>
        </w:rPr>
        <w:t xml:space="preserve">Haïti, le </w:t>
      </w:r>
      <w:r w:rsidRPr="000A1534">
        <w:rPr>
          <w:rFonts w:ascii="Arial" w:hAnsi="Arial" w:cs="Arial"/>
          <w:bCs/>
          <w:sz w:val="22"/>
          <w:szCs w:val="22"/>
          <w:lang w:val="fr-FR"/>
        </w:rPr>
        <w:t>Gouvernement</w:t>
      </w:r>
      <w:r>
        <w:rPr>
          <w:rFonts w:ascii="Arial" w:hAnsi="Arial" w:cs="Arial"/>
          <w:bCs/>
          <w:sz w:val="22"/>
          <w:szCs w:val="22"/>
          <w:lang w:val="fr-FR"/>
        </w:rPr>
        <w:t xml:space="preserve"> d</w:t>
      </w:r>
      <w:r w:rsidR="008E532B">
        <w:rPr>
          <w:rFonts w:ascii="Arial" w:hAnsi="Arial" w:cs="Arial"/>
          <w:bCs/>
          <w:sz w:val="22"/>
          <w:szCs w:val="22"/>
          <w:lang w:val="fr-FR"/>
        </w:rPr>
        <w:t>’</w:t>
      </w:r>
      <w:r>
        <w:rPr>
          <w:rFonts w:ascii="Arial" w:hAnsi="Arial" w:cs="Arial"/>
          <w:bCs/>
          <w:sz w:val="22"/>
          <w:szCs w:val="22"/>
          <w:lang w:val="fr-FR"/>
        </w:rPr>
        <w:t xml:space="preserve">Haïti et son peuple pour cette </w:t>
      </w:r>
      <w:r w:rsidRPr="000A1534">
        <w:rPr>
          <w:rFonts w:ascii="Arial" w:hAnsi="Arial" w:cs="Arial"/>
          <w:bCs/>
          <w:sz w:val="22"/>
          <w:szCs w:val="22"/>
          <w:lang w:val="fr-FR"/>
        </w:rPr>
        <w:t>inscription</w:t>
      </w:r>
      <w:r>
        <w:rPr>
          <w:rFonts w:ascii="Arial" w:hAnsi="Arial" w:cs="Arial"/>
          <w:bCs/>
          <w:sz w:val="22"/>
          <w:szCs w:val="22"/>
          <w:lang w:val="fr-FR"/>
        </w:rPr>
        <w:t xml:space="preserve">. La </w:t>
      </w:r>
      <w:r w:rsidRPr="000A1534">
        <w:rPr>
          <w:rFonts w:ascii="Arial" w:hAnsi="Arial" w:cs="Arial"/>
          <w:bCs/>
          <w:sz w:val="22"/>
          <w:szCs w:val="22"/>
          <w:lang w:val="fr-FR"/>
        </w:rPr>
        <w:t>délégation</w:t>
      </w:r>
      <w:r>
        <w:rPr>
          <w:rFonts w:ascii="Arial" w:hAnsi="Arial" w:cs="Arial"/>
          <w:bCs/>
          <w:sz w:val="22"/>
          <w:szCs w:val="22"/>
          <w:lang w:val="fr-FR"/>
        </w:rPr>
        <w:t xml:space="preserve"> soutenait le projet de </w:t>
      </w:r>
      <w:r w:rsidRPr="000A1534">
        <w:rPr>
          <w:rFonts w:ascii="Arial" w:eastAsia="SimSun" w:hAnsi="Arial" w:cs="Arial"/>
          <w:bCs/>
          <w:sz w:val="22"/>
          <w:szCs w:val="22"/>
          <w:lang w:val="fr-FR" w:eastAsia="en-US"/>
        </w:rPr>
        <w:t>résolution</w:t>
      </w:r>
      <w:r>
        <w:rPr>
          <w:rFonts w:ascii="Arial" w:eastAsia="SimSun" w:hAnsi="Arial" w:cs="Arial"/>
          <w:bCs/>
          <w:sz w:val="22"/>
          <w:szCs w:val="22"/>
          <w:lang w:val="fr-FR" w:eastAsia="en-US"/>
        </w:rPr>
        <w:t>.</w:t>
      </w:r>
    </w:p>
    <w:p w14:paraId="2CF6B3DD" w14:textId="558DFAC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A1534">
        <w:rPr>
          <w:rFonts w:ascii="Arial" w:hAnsi="Arial" w:cs="Arial"/>
          <w:bCs/>
          <w:sz w:val="22"/>
          <w:szCs w:val="22"/>
          <w:lang w:val="fr-FR"/>
        </w:rPr>
        <w:t>délégation</w:t>
      </w:r>
      <w:r>
        <w:rPr>
          <w:rFonts w:ascii="Arial" w:hAnsi="Arial" w:cs="Arial"/>
          <w:bCs/>
          <w:sz w:val="22"/>
          <w:szCs w:val="22"/>
          <w:lang w:val="fr-FR"/>
        </w:rPr>
        <w:t xml:space="preserve"> de </w:t>
      </w:r>
      <w:r w:rsidRPr="00A22AB8">
        <w:rPr>
          <w:rFonts w:ascii="Arial" w:hAnsi="Arial" w:cs="Arial"/>
          <w:b/>
          <w:sz w:val="22"/>
          <w:szCs w:val="22"/>
          <w:lang w:val="fr-FR"/>
        </w:rPr>
        <w:t>Chypre</w:t>
      </w:r>
      <w:r>
        <w:rPr>
          <w:rFonts w:ascii="Arial" w:hAnsi="Arial" w:cs="Arial"/>
          <w:bCs/>
          <w:sz w:val="22"/>
          <w:szCs w:val="22"/>
          <w:lang w:val="fr-FR"/>
        </w:rPr>
        <w:t xml:space="preserve"> a félicité Haïti pour son </w:t>
      </w:r>
      <w:r w:rsidRPr="000A1534">
        <w:rPr>
          <w:rFonts w:ascii="Arial" w:hAnsi="Arial" w:cs="Arial"/>
          <w:bCs/>
          <w:sz w:val="22"/>
          <w:szCs w:val="22"/>
          <w:lang w:val="fr-FR"/>
        </w:rPr>
        <w:t>inscription</w:t>
      </w:r>
      <w:r>
        <w:rPr>
          <w:rFonts w:ascii="Arial" w:hAnsi="Arial" w:cs="Arial"/>
          <w:bCs/>
          <w:sz w:val="22"/>
          <w:szCs w:val="22"/>
          <w:lang w:val="fr-FR"/>
        </w:rPr>
        <w:t>, ajoutant qu</w:t>
      </w:r>
      <w:r w:rsidR="008E532B">
        <w:rPr>
          <w:rFonts w:ascii="Arial" w:hAnsi="Arial" w:cs="Arial"/>
          <w:bCs/>
          <w:sz w:val="22"/>
          <w:szCs w:val="22"/>
          <w:lang w:val="fr-FR"/>
        </w:rPr>
        <w:t>’</w:t>
      </w:r>
      <w:r>
        <w:rPr>
          <w:rFonts w:ascii="Arial" w:hAnsi="Arial" w:cs="Arial"/>
          <w:bCs/>
          <w:sz w:val="22"/>
          <w:szCs w:val="22"/>
          <w:lang w:val="fr-FR"/>
        </w:rPr>
        <w:t xml:space="preserve">elle approuvait les </w:t>
      </w:r>
      <w:r w:rsidRPr="000A1534">
        <w:rPr>
          <w:rFonts w:ascii="Arial" w:hAnsi="Arial" w:cs="Arial"/>
          <w:bCs/>
          <w:sz w:val="22"/>
          <w:szCs w:val="22"/>
          <w:lang w:val="fr-FR"/>
        </w:rPr>
        <w:t>inscriptio</w:t>
      </w:r>
      <w:r>
        <w:rPr>
          <w:rFonts w:ascii="Arial" w:hAnsi="Arial" w:cs="Arial"/>
          <w:bCs/>
          <w:sz w:val="22"/>
          <w:szCs w:val="22"/>
          <w:lang w:val="fr-FR"/>
        </w:rPr>
        <w:t>ns adoptées sur la base d</w:t>
      </w:r>
      <w:r w:rsidR="008E532B">
        <w:rPr>
          <w:rFonts w:ascii="Arial" w:hAnsi="Arial" w:cs="Arial"/>
          <w:bCs/>
          <w:sz w:val="22"/>
          <w:szCs w:val="22"/>
          <w:lang w:val="fr-FR"/>
        </w:rPr>
        <w:t>’</w:t>
      </w:r>
      <w:r>
        <w:rPr>
          <w:rFonts w:ascii="Arial" w:hAnsi="Arial" w:cs="Arial"/>
          <w:bCs/>
          <w:sz w:val="22"/>
          <w:szCs w:val="22"/>
          <w:lang w:val="fr-FR"/>
        </w:rPr>
        <w:t>une extrême urgence. En outre, des procédures pour ce type d</w:t>
      </w:r>
      <w:r w:rsidR="008E532B">
        <w:rPr>
          <w:rFonts w:ascii="Arial" w:hAnsi="Arial" w:cs="Arial"/>
          <w:bCs/>
          <w:sz w:val="22"/>
          <w:szCs w:val="22"/>
          <w:lang w:val="fr-FR"/>
        </w:rPr>
        <w:t>’</w:t>
      </w:r>
      <w:r w:rsidRPr="00A22AB8">
        <w:rPr>
          <w:rFonts w:ascii="Arial" w:hAnsi="Arial" w:cs="Arial"/>
          <w:bCs/>
          <w:sz w:val="22"/>
          <w:szCs w:val="22"/>
          <w:lang w:val="fr-FR"/>
        </w:rPr>
        <w:t>inscription</w:t>
      </w:r>
      <w:r>
        <w:rPr>
          <w:rFonts w:ascii="Arial" w:hAnsi="Arial" w:cs="Arial"/>
          <w:bCs/>
          <w:sz w:val="22"/>
          <w:szCs w:val="22"/>
          <w:lang w:val="fr-FR"/>
        </w:rPr>
        <w:t xml:space="preserve"> </w:t>
      </w:r>
      <w:r w:rsidRPr="00A22AB8">
        <w:rPr>
          <w:rFonts w:ascii="Arial" w:hAnsi="Arial" w:cs="Arial"/>
          <w:bCs/>
          <w:sz w:val="22"/>
          <w:szCs w:val="22"/>
          <w:lang w:val="fr-FR"/>
        </w:rPr>
        <w:t>exceptionne</w:t>
      </w:r>
      <w:r>
        <w:rPr>
          <w:rFonts w:ascii="Arial" w:hAnsi="Arial" w:cs="Arial"/>
          <w:bCs/>
          <w:sz w:val="22"/>
          <w:szCs w:val="22"/>
          <w:lang w:val="fr-FR"/>
        </w:rPr>
        <w:t xml:space="preserve">lle devaient être établies. </w:t>
      </w:r>
    </w:p>
    <w:p w14:paraId="0F5EEC3F" w14:textId="2A136F9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22AB8">
        <w:rPr>
          <w:rFonts w:ascii="Arial" w:hAnsi="Arial" w:cs="Arial"/>
          <w:bCs/>
          <w:sz w:val="22"/>
          <w:szCs w:val="22"/>
          <w:lang w:val="fr-FR"/>
        </w:rPr>
        <w:t xml:space="preserve">La délégation du </w:t>
      </w:r>
      <w:r w:rsidRPr="00A22AB8">
        <w:rPr>
          <w:rFonts w:ascii="Arial" w:hAnsi="Arial" w:cs="Arial"/>
          <w:b/>
          <w:sz w:val="22"/>
          <w:szCs w:val="22"/>
          <w:lang w:val="fr-FR"/>
        </w:rPr>
        <w:t>Viet Nam</w:t>
      </w:r>
      <w:r w:rsidRPr="00A22AB8">
        <w:rPr>
          <w:rFonts w:ascii="Arial" w:hAnsi="Arial" w:cs="Arial"/>
          <w:bCs/>
          <w:sz w:val="22"/>
          <w:szCs w:val="22"/>
          <w:lang w:val="fr-FR"/>
        </w:rPr>
        <w:t xml:space="preserve"> a félicité Haïti et son peuple pour l</w:t>
      </w:r>
      <w:r w:rsidR="008E532B">
        <w:rPr>
          <w:rFonts w:ascii="Arial" w:hAnsi="Arial" w:cs="Arial"/>
          <w:bCs/>
          <w:sz w:val="22"/>
          <w:szCs w:val="22"/>
          <w:lang w:val="fr-FR"/>
        </w:rPr>
        <w:t>’</w:t>
      </w:r>
      <w:r w:rsidRPr="00A22AB8">
        <w:rPr>
          <w:rFonts w:ascii="Arial" w:hAnsi="Arial" w:cs="Arial"/>
          <w:bCs/>
          <w:sz w:val="22"/>
          <w:szCs w:val="22"/>
          <w:lang w:val="fr-FR"/>
        </w:rPr>
        <w:t xml:space="preserve">inscription de la </w:t>
      </w:r>
      <w:r>
        <w:rPr>
          <w:rFonts w:ascii="Arial" w:hAnsi="Arial" w:cs="Arial"/>
          <w:bCs/>
          <w:sz w:val="22"/>
          <w:szCs w:val="22"/>
          <w:lang w:val="fr-FR"/>
        </w:rPr>
        <w:t>soupe au giraumon</w:t>
      </w:r>
      <w:r w:rsidRPr="00A22AB8">
        <w:rPr>
          <w:rFonts w:ascii="Arial" w:hAnsi="Arial" w:cs="Arial"/>
          <w:bCs/>
          <w:sz w:val="22"/>
          <w:szCs w:val="22"/>
          <w:lang w:val="fr-FR"/>
        </w:rPr>
        <w:t xml:space="preserve"> sur la Liste représentative. Elle partag</w:t>
      </w:r>
      <w:r>
        <w:rPr>
          <w:rFonts w:ascii="Arial" w:hAnsi="Arial" w:cs="Arial"/>
          <w:bCs/>
          <w:sz w:val="22"/>
          <w:szCs w:val="22"/>
          <w:lang w:val="fr-FR"/>
        </w:rPr>
        <w:t>eait</w:t>
      </w:r>
      <w:r w:rsidRPr="00A22AB8">
        <w:rPr>
          <w:rFonts w:ascii="Arial" w:hAnsi="Arial" w:cs="Arial"/>
          <w:bCs/>
          <w:sz w:val="22"/>
          <w:szCs w:val="22"/>
          <w:lang w:val="fr-FR"/>
        </w:rPr>
        <w:t xml:space="preserve"> les points de vue des nombreux orateurs précédents. Compte tenu de la situation difficile à laquelle le peuple haïtien a</w:t>
      </w:r>
      <w:r>
        <w:rPr>
          <w:rFonts w:ascii="Arial" w:hAnsi="Arial" w:cs="Arial"/>
          <w:bCs/>
          <w:sz w:val="22"/>
          <w:szCs w:val="22"/>
          <w:lang w:val="fr-FR"/>
        </w:rPr>
        <w:t>vait</w:t>
      </w:r>
      <w:r w:rsidRPr="00A22AB8">
        <w:rPr>
          <w:rFonts w:ascii="Arial" w:hAnsi="Arial" w:cs="Arial"/>
          <w:bCs/>
          <w:sz w:val="22"/>
          <w:szCs w:val="22"/>
          <w:lang w:val="fr-FR"/>
        </w:rPr>
        <w:t xml:space="preserve"> été confronté, cette soupe </w:t>
      </w:r>
      <w:r>
        <w:rPr>
          <w:rFonts w:ascii="Arial" w:hAnsi="Arial" w:cs="Arial"/>
          <w:bCs/>
          <w:sz w:val="22"/>
          <w:szCs w:val="22"/>
          <w:lang w:val="fr-FR"/>
        </w:rPr>
        <w:t>était</w:t>
      </w:r>
      <w:r w:rsidRPr="00A22AB8">
        <w:rPr>
          <w:rFonts w:ascii="Arial" w:hAnsi="Arial" w:cs="Arial"/>
          <w:bCs/>
          <w:sz w:val="22"/>
          <w:szCs w:val="22"/>
          <w:lang w:val="fr-FR"/>
        </w:rPr>
        <w:t xml:space="preserve"> un symbole de réconciliation, de résilience et des valeurs de la culture. L</w:t>
      </w:r>
      <w:r w:rsidR="008E532B">
        <w:rPr>
          <w:rFonts w:ascii="Arial" w:hAnsi="Arial" w:cs="Arial"/>
          <w:bCs/>
          <w:sz w:val="22"/>
          <w:szCs w:val="22"/>
          <w:lang w:val="fr-FR"/>
        </w:rPr>
        <w:t>’</w:t>
      </w:r>
      <w:r w:rsidRPr="00A22AB8">
        <w:rPr>
          <w:rFonts w:ascii="Arial" w:hAnsi="Arial" w:cs="Arial"/>
          <w:bCs/>
          <w:sz w:val="22"/>
          <w:szCs w:val="22"/>
          <w:lang w:val="fr-FR"/>
        </w:rPr>
        <w:t>inscription refl</w:t>
      </w:r>
      <w:r>
        <w:rPr>
          <w:rFonts w:ascii="Arial" w:hAnsi="Arial" w:cs="Arial"/>
          <w:bCs/>
          <w:sz w:val="22"/>
          <w:szCs w:val="22"/>
          <w:lang w:val="fr-FR"/>
        </w:rPr>
        <w:t>était</w:t>
      </w:r>
      <w:r w:rsidRPr="00A22AB8">
        <w:rPr>
          <w:rFonts w:ascii="Arial" w:hAnsi="Arial" w:cs="Arial"/>
          <w:bCs/>
          <w:sz w:val="22"/>
          <w:szCs w:val="22"/>
          <w:lang w:val="fr-FR"/>
        </w:rPr>
        <w:t xml:space="preserve"> véritablement l</w:t>
      </w:r>
      <w:r w:rsidR="008E532B">
        <w:rPr>
          <w:rFonts w:ascii="Arial" w:hAnsi="Arial" w:cs="Arial"/>
          <w:bCs/>
          <w:sz w:val="22"/>
          <w:szCs w:val="22"/>
          <w:lang w:val="fr-FR"/>
        </w:rPr>
        <w:t>’</w:t>
      </w:r>
      <w:r w:rsidRPr="00A22AB8">
        <w:rPr>
          <w:rFonts w:ascii="Arial" w:hAnsi="Arial" w:cs="Arial"/>
          <w:bCs/>
          <w:sz w:val="22"/>
          <w:szCs w:val="22"/>
          <w:lang w:val="fr-FR"/>
        </w:rPr>
        <w:t xml:space="preserve">amitié, la solidarité et la beauté de cette </w:t>
      </w:r>
      <w:r>
        <w:rPr>
          <w:rFonts w:ascii="Arial" w:hAnsi="Arial" w:cs="Arial"/>
          <w:bCs/>
          <w:sz w:val="22"/>
          <w:szCs w:val="22"/>
          <w:lang w:val="fr-FR"/>
        </w:rPr>
        <w:t>C</w:t>
      </w:r>
      <w:r w:rsidRPr="00A22AB8">
        <w:rPr>
          <w:rFonts w:ascii="Arial" w:hAnsi="Arial" w:cs="Arial"/>
          <w:bCs/>
          <w:sz w:val="22"/>
          <w:szCs w:val="22"/>
          <w:lang w:val="fr-FR"/>
        </w:rPr>
        <w:t>onvention. Le Viet</w:t>
      </w:r>
      <w:r>
        <w:rPr>
          <w:rFonts w:ascii="Arial" w:hAnsi="Arial" w:cs="Arial"/>
          <w:bCs/>
          <w:sz w:val="22"/>
          <w:szCs w:val="22"/>
          <w:lang w:val="fr-FR"/>
        </w:rPr>
        <w:t> </w:t>
      </w:r>
      <w:r w:rsidRPr="00A22AB8">
        <w:rPr>
          <w:rFonts w:ascii="Arial" w:hAnsi="Arial" w:cs="Arial"/>
          <w:bCs/>
          <w:sz w:val="22"/>
          <w:szCs w:val="22"/>
          <w:lang w:val="fr-FR"/>
        </w:rPr>
        <w:t xml:space="preserve">Nam a réitéré son soutien </w:t>
      </w:r>
      <w:r>
        <w:rPr>
          <w:rFonts w:ascii="Arial" w:hAnsi="Arial" w:cs="Arial"/>
          <w:bCs/>
          <w:sz w:val="22"/>
          <w:szCs w:val="22"/>
          <w:lang w:val="fr-FR"/>
        </w:rPr>
        <w:t>au projet de décision qu</w:t>
      </w:r>
      <w:r w:rsidR="008E532B">
        <w:rPr>
          <w:rFonts w:ascii="Arial" w:hAnsi="Arial" w:cs="Arial"/>
          <w:bCs/>
          <w:sz w:val="22"/>
          <w:szCs w:val="22"/>
          <w:lang w:val="fr-FR"/>
        </w:rPr>
        <w:t>’</w:t>
      </w:r>
      <w:r>
        <w:rPr>
          <w:rFonts w:ascii="Arial" w:hAnsi="Arial" w:cs="Arial"/>
          <w:bCs/>
          <w:sz w:val="22"/>
          <w:szCs w:val="22"/>
          <w:lang w:val="fr-FR"/>
        </w:rPr>
        <w:t xml:space="preserve">il approuvait </w:t>
      </w:r>
      <w:r w:rsidRPr="00A22AB8">
        <w:rPr>
          <w:rFonts w:ascii="Arial" w:hAnsi="Arial" w:cs="Arial"/>
          <w:bCs/>
          <w:sz w:val="22"/>
          <w:szCs w:val="22"/>
          <w:lang w:val="fr-FR"/>
        </w:rPr>
        <w:t>pleinement</w:t>
      </w:r>
      <w:r>
        <w:rPr>
          <w:rFonts w:ascii="Arial" w:hAnsi="Arial" w:cs="Arial"/>
          <w:bCs/>
          <w:sz w:val="22"/>
          <w:szCs w:val="22"/>
          <w:lang w:val="fr-FR"/>
        </w:rPr>
        <w:t>, et a</w:t>
      </w:r>
      <w:r w:rsidRPr="00A22AB8">
        <w:rPr>
          <w:rFonts w:ascii="Arial" w:hAnsi="Arial" w:cs="Arial"/>
          <w:bCs/>
          <w:sz w:val="22"/>
          <w:szCs w:val="22"/>
          <w:lang w:val="fr-FR"/>
        </w:rPr>
        <w:t xml:space="preserve"> félicit</w:t>
      </w:r>
      <w:r>
        <w:rPr>
          <w:rFonts w:ascii="Arial" w:hAnsi="Arial" w:cs="Arial"/>
          <w:bCs/>
          <w:sz w:val="22"/>
          <w:szCs w:val="22"/>
          <w:lang w:val="fr-FR"/>
        </w:rPr>
        <w:t>é</w:t>
      </w:r>
      <w:r w:rsidRPr="00A22AB8">
        <w:rPr>
          <w:rFonts w:ascii="Arial" w:hAnsi="Arial" w:cs="Arial"/>
          <w:bCs/>
          <w:sz w:val="22"/>
          <w:szCs w:val="22"/>
          <w:lang w:val="fr-FR"/>
        </w:rPr>
        <w:t xml:space="preserve"> Haïti</w:t>
      </w:r>
      <w:r>
        <w:rPr>
          <w:rFonts w:ascii="Arial" w:hAnsi="Arial" w:cs="Arial"/>
          <w:bCs/>
          <w:sz w:val="22"/>
          <w:szCs w:val="22"/>
          <w:lang w:val="fr-FR"/>
        </w:rPr>
        <w:t xml:space="preserve">, </w:t>
      </w:r>
      <w:r w:rsidRPr="00A22AB8">
        <w:rPr>
          <w:rFonts w:ascii="Arial" w:hAnsi="Arial" w:cs="Arial"/>
          <w:bCs/>
          <w:sz w:val="22"/>
          <w:szCs w:val="22"/>
          <w:lang w:val="fr-FR"/>
        </w:rPr>
        <w:t>et son ambassad</w:t>
      </w:r>
      <w:r w:rsidR="008E532B">
        <w:rPr>
          <w:rFonts w:ascii="Arial" w:hAnsi="Arial" w:cs="Arial"/>
          <w:bCs/>
          <w:sz w:val="22"/>
          <w:szCs w:val="22"/>
          <w:lang w:val="fr-FR"/>
        </w:rPr>
        <w:t>eu</w:t>
      </w:r>
      <w:r>
        <w:rPr>
          <w:rFonts w:ascii="Arial" w:hAnsi="Arial" w:cs="Arial"/>
          <w:bCs/>
          <w:sz w:val="22"/>
          <w:szCs w:val="22"/>
          <w:lang w:val="fr-FR"/>
        </w:rPr>
        <w:t xml:space="preserve">r, </w:t>
      </w:r>
      <w:r w:rsidRPr="00A22AB8">
        <w:rPr>
          <w:rFonts w:ascii="Arial" w:hAnsi="Arial" w:cs="Arial"/>
          <w:bCs/>
          <w:sz w:val="22"/>
          <w:szCs w:val="22"/>
          <w:lang w:val="fr-FR"/>
        </w:rPr>
        <w:t>pour son premier élément bien mérité.</w:t>
      </w:r>
    </w:p>
    <w:p w14:paraId="4799E0E3" w14:textId="420ECE8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22AB8">
        <w:rPr>
          <w:rFonts w:ascii="Arial" w:hAnsi="Arial" w:cs="Arial"/>
          <w:bCs/>
          <w:sz w:val="22"/>
          <w:szCs w:val="22"/>
          <w:lang w:val="fr-FR"/>
        </w:rPr>
        <w:t xml:space="preserve">La </w:t>
      </w:r>
      <w:r w:rsidRPr="00A22AB8">
        <w:rPr>
          <w:rFonts w:ascii="Arial" w:hAnsi="Arial" w:cs="Arial"/>
          <w:b/>
          <w:sz w:val="22"/>
          <w:szCs w:val="22"/>
          <w:lang w:val="fr-FR"/>
        </w:rPr>
        <w:t>Présidente</w:t>
      </w:r>
      <w:r w:rsidRPr="00A22AB8">
        <w:rPr>
          <w:rFonts w:ascii="Arial" w:hAnsi="Arial" w:cs="Arial"/>
          <w:bCs/>
          <w:sz w:val="22"/>
          <w:szCs w:val="22"/>
          <w:lang w:val="fr-FR"/>
        </w:rPr>
        <w:t xml:space="preserve"> a fait remarquer que la procédure utilisée avait été clairement expliquée, ainsi que les considérations pertinentes quant au rôle du Comité et de l</w:t>
      </w:r>
      <w:r w:rsidR="008E532B">
        <w:rPr>
          <w:rFonts w:ascii="Arial" w:hAnsi="Arial" w:cs="Arial"/>
          <w:bCs/>
          <w:sz w:val="22"/>
          <w:szCs w:val="22"/>
          <w:lang w:val="fr-FR"/>
        </w:rPr>
        <w:t>’</w:t>
      </w:r>
      <w:r w:rsidRPr="00A22AB8">
        <w:rPr>
          <w:rFonts w:ascii="Arial" w:hAnsi="Arial" w:cs="Arial"/>
          <w:bCs/>
          <w:sz w:val="22"/>
          <w:szCs w:val="22"/>
          <w:lang w:val="fr-FR"/>
        </w:rPr>
        <w:t>Assemblée générale dans ce cas</w:t>
      </w:r>
      <w:r>
        <w:rPr>
          <w:rFonts w:ascii="Arial" w:hAnsi="Arial" w:cs="Arial"/>
          <w:bCs/>
          <w:sz w:val="22"/>
          <w:szCs w:val="22"/>
          <w:lang w:val="fr-FR"/>
        </w:rPr>
        <w:t xml:space="preserve"> précis</w:t>
      </w:r>
      <w:r w:rsidRPr="00A22AB8">
        <w:rPr>
          <w:rFonts w:ascii="Arial" w:hAnsi="Arial" w:cs="Arial"/>
          <w:bCs/>
          <w:sz w:val="22"/>
          <w:szCs w:val="22"/>
          <w:lang w:val="fr-FR"/>
        </w:rPr>
        <w:t xml:space="preserve">. Elle </w:t>
      </w:r>
      <w:r>
        <w:rPr>
          <w:rFonts w:ascii="Arial" w:hAnsi="Arial" w:cs="Arial"/>
          <w:bCs/>
          <w:sz w:val="22"/>
          <w:szCs w:val="22"/>
          <w:lang w:val="fr-FR"/>
        </w:rPr>
        <w:t xml:space="preserve">est ensuite </w:t>
      </w:r>
      <w:r w:rsidRPr="00A22AB8">
        <w:rPr>
          <w:rFonts w:ascii="Arial" w:hAnsi="Arial" w:cs="Arial"/>
          <w:bCs/>
          <w:sz w:val="22"/>
          <w:szCs w:val="22"/>
          <w:lang w:val="fr-FR"/>
        </w:rPr>
        <w:t>pass</w:t>
      </w:r>
      <w:r>
        <w:rPr>
          <w:rFonts w:ascii="Arial" w:hAnsi="Arial" w:cs="Arial"/>
          <w:bCs/>
          <w:sz w:val="22"/>
          <w:szCs w:val="22"/>
          <w:lang w:val="fr-FR"/>
        </w:rPr>
        <w:t>é</w:t>
      </w:r>
      <w:r w:rsidRPr="00A22AB8">
        <w:rPr>
          <w:rFonts w:ascii="Arial" w:hAnsi="Arial" w:cs="Arial"/>
          <w:bCs/>
          <w:sz w:val="22"/>
          <w:szCs w:val="22"/>
          <w:lang w:val="fr-FR"/>
        </w:rPr>
        <w:t>e</w:t>
      </w:r>
      <w:r>
        <w:rPr>
          <w:rFonts w:ascii="Arial" w:hAnsi="Arial" w:cs="Arial"/>
          <w:bCs/>
          <w:sz w:val="22"/>
          <w:szCs w:val="22"/>
          <w:lang w:val="fr-FR"/>
        </w:rPr>
        <w:t xml:space="preserve"> </w:t>
      </w:r>
      <w:r w:rsidRPr="00A22AB8">
        <w:rPr>
          <w:rFonts w:ascii="Arial" w:hAnsi="Arial" w:cs="Arial"/>
          <w:bCs/>
          <w:sz w:val="22"/>
          <w:szCs w:val="22"/>
          <w:lang w:val="fr-FR"/>
        </w:rPr>
        <w:t>à l</w:t>
      </w:r>
      <w:r w:rsidR="008E532B">
        <w:rPr>
          <w:rFonts w:ascii="Arial" w:hAnsi="Arial" w:cs="Arial"/>
          <w:bCs/>
          <w:sz w:val="22"/>
          <w:szCs w:val="22"/>
          <w:lang w:val="fr-FR"/>
        </w:rPr>
        <w:t>’</w:t>
      </w:r>
      <w:r w:rsidRPr="00A22AB8">
        <w:rPr>
          <w:rFonts w:ascii="Arial" w:hAnsi="Arial" w:cs="Arial"/>
          <w:bCs/>
          <w:sz w:val="22"/>
          <w:szCs w:val="22"/>
          <w:lang w:val="fr-FR"/>
        </w:rPr>
        <w:t>adoption du projet de décision</w:t>
      </w:r>
      <w:r>
        <w:rPr>
          <w:rFonts w:ascii="Arial" w:hAnsi="Arial" w:cs="Arial"/>
          <w:bCs/>
          <w:sz w:val="22"/>
          <w:szCs w:val="22"/>
          <w:lang w:val="fr-FR"/>
        </w:rPr>
        <w:t xml:space="preserve"> </w:t>
      </w:r>
      <w:r w:rsidRPr="00A22AB8">
        <w:rPr>
          <w:rFonts w:ascii="Arial" w:hAnsi="Arial" w:cs="Arial"/>
          <w:bCs/>
          <w:sz w:val="22"/>
          <w:szCs w:val="22"/>
          <w:lang w:val="fr-FR"/>
        </w:rPr>
        <w:t>paragraphe par paragraphe. Les paragraphes 1 à 4 n</w:t>
      </w:r>
      <w:r w:rsidR="008E532B">
        <w:rPr>
          <w:rFonts w:ascii="Arial" w:hAnsi="Arial" w:cs="Arial"/>
          <w:bCs/>
          <w:sz w:val="22"/>
          <w:szCs w:val="22"/>
          <w:lang w:val="fr-FR"/>
        </w:rPr>
        <w:t>’</w:t>
      </w:r>
      <w:r>
        <w:rPr>
          <w:rFonts w:ascii="Arial" w:hAnsi="Arial" w:cs="Arial"/>
          <w:bCs/>
          <w:sz w:val="22"/>
          <w:szCs w:val="22"/>
          <w:lang w:val="fr-FR"/>
        </w:rPr>
        <w:t xml:space="preserve">ont fait </w:t>
      </w:r>
      <w:r w:rsidRPr="00A22AB8">
        <w:rPr>
          <w:rFonts w:ascii="Arial" w:hAnsi="Arial" w:cs="Arial"/>
          <w:bCs/>
          <w:sz w:val="22"/>
          <w:szCs w:val="22"/>
          <w:lang w:val="fr-FR"/>
        </w:rPr>
        <w:t>l</w:t>
      </w:r>
      <w:r w:rsidR="008E532B">
        <w:rPr>
          <w:rFonts w:ascii="Arial" w:hAnsi="Arial" w:cs="Arial"/>
          <w:bCs/>
          <w:sz w:val="22"/>
          <w:szCs w:val="22"/>
          <w:lang w:val="fr-FR"/>
        </w:rPr>
        <w:t>’</w:t>
      </w:r>
      <w:r w:rsidRPr="00A22AB8">
        <w:rPr>
          <w:rFonts w:ascii="Arial" w:hAnsi="Arial" w:cs="Arial"/>
          <w:bCs/>
          <w:sz w:val="22"/>
          <w:szCs w:val="22"/>
          <w:lang w:val="fr-FR"/>
        </w:rPr>
        <w:t>objet d</w:t>
      </w:r>
      <w:r w:rsidR="008E532B">
        <w:rPr>
          <w:rFonts w:ascii="Arial" w:hAnsi="Arial" w:cs="Arial"/>
          <w:bCs/>
          <w:sz w:val="22"/>
          <w:szCs w:val="22"/>
          <w:lang w:val="fr-FR"/>
        </w:rPr>
        <w:t>’</w:t>
      </w:r>
      <w:r w:rsidRPr="00A22AB8">
        <w:rPr>
          <w:rFonts w:ascii="Arial" w:hAnsi="Arial" w:cs="Arial"/>
          <w:bCs/>
          <w:sz w:val="22"/>
          <w:szCs w:val="22"/>
          <w:lang w:val="fr-FR"/>
        </w:rPr>
        <w:t xml:space="preserve">aucun commentaire ou objection et </w:t>
      </w:r>
      <w:r>
        <w:rPr>
          <w:rFonts w:ascii="Arial" w:hAnsi="Arial" w:cs="Arial"/>
          <w:bCs/>
          <w:sz w:val="22"/>
          <w:szCs w:val="22"/>
          <w:lang w:val="fr-FR"/>
        </w:rPr>
        <w:t>ont été</w:t>
      </w:r>
      <w:r w:rsidRPr="00A22AB8">
        <w:rPr>
          <w:rFonts w:ascii="Arial" w:hAnsi="Arial" w:cs="Arial"/>
          <w:bCs/>
          <w:sz w:val="22"/>
          <w:szCs w:val="22"/>
          <w:lang w:val="fr-FR"/>
        </w:rPr>
        <w:t xml:space="preserve"> dûment adoptés. </w:t>
      </w:r>
      <w:r>
        <w:rPr>
          <w:rFonts w:ascii="Arial" w:hAnsi="Arial" w:cs="Arial"/>
          <w:bCs/>
          <w:sz w:val="22"/>
          <w:szCs w:val="22"/>
          <w:lang w:val="fr-FR"/>
        </w:rPr>
        <w:t>U</w:t>
      </w:r>
      <w:r w:rsidRPr="00A22AB8">
        <w:rPr>
          <w:rFonts w:ascii="Arial" w:hAnsi="Arial" w:cs="Arial"/>
          <w:bCs/>
          <w:sz w:val="22"/>
          <w:szCs w:val="22"/>
          <w:lang w:val="fr-FR"/>
        </w:rPr>
        <w:t>ne proposition d</w:t>
      </w:r>
      <w:r w:rsidR="008E532B">
        <w:rPr>
          <w:rFonts w:ascii="Arial" w:hAnsi="Arial" w:cs="Arial"/>
          <w:bCs/>
          <w:sz w:val="22"/>
          <w:szCs w:val="22"/>
          <w:lang w:val="fr-FR"/>
        </w:rPr>
        <w:t>’</w:t>
      </w:r>
      <w:r w:rsidRPr="00A22AB8">
        <w:rPr>
          <w:rFonts w:ascii="Arial" w:hAnsi="Arial" w:cs="Arial"/>
          <w:bCs/>
          <w:sz w:val="22"/>
          <w:szCs w:val="22"/>
          <w:lang w:val="fr-FR"/>
        </w:rPr>
        <w:t>amendement de la Grenade</w:t>
      </w:r>
      <w:r>
        <w:rPr>
          <w:rFonts w:ascii="Arial" w:hAnsi="Arial" w:cs="Arial"/>
          <w:bCs/>
          <w:sz w:val="22"/>
          <w:szCs w:val="22"/>
          <w:lang w:val="fr-FR"/>
        </w:rPr>
        <w:t xml:space="preserve"> était soumise</w:t>
      </w:r>
      <w:r w:rsidRPr="00A22AB8">
        <w:rPr>
          <w:rFonts w:ascii="Arial" w:hAnsi="Arial" w:cs="Arial"/>
          <w:bCs/>
          <w:sz w:val="22"/>
          <w:szCs w:val="22"/>
          <w:lang w:val="fr-FR"/>
        </w:rPr>
        <w:t xml:space="preserve"> qui rempla</w:t>
      </w:r>
      <w:r>
        <w:rPr>
          <w:rFonts w:ascii="Arial" w:hAnsi="Arial" w:cs="Arial"/>
          <w:bCs/>
          <w:sz w:val="22"/>
          <w:szCs w:val="22"/>
          <w:lang w:val="fr-FR"/>
        </w:rPr>
        <w:t xml:space="preserve">çait, au début du </w:t>
      </w:r>
      <w:r w:rsidRPr="00A22AB8">
        <w:rPr>
          <w:rFonts w:ascii="Arial" w:hAnsi="Arial" w:cs="Arial"/>
          <w:bCs/>
          <w:sz w:val="22"/>
          <w:szCs w:val="22"/>
          <w:lang w:val="fr-FR"/>
        </w:rPr>
        <w:t>paragraphe</w:t>
      </w:r>
      <w:r>
        <w:rPr>
          <w:rFonts w:ascii="Arial" w:hAnsi="Arial" w:cs="Arial"/>
          <w:bCs/>
          <w:sz w:val="22"/>
          <w:szCs w:val="22"/>
          <w:lang w:val="fr-FR"/>
        </w:rPr>
        <w:t xml:space="preserve"> 5, « Approuve la procédure »</w:t>
      </w:r>
      <w:r w:rsidRPr="00A22AB8">
        <w:rPr>
          <w:rFonts w:ascii="Arial" w:hAnsi="Arial" w:cs="Arial"/>
          <w:bCs/>
          <w:sz w:val="22"/>
          <w:szCs w:val="22"/>
          <w:lang w:val="fr-FR"/>
        </w:rPr>
        <w:t xml:space="preserve"> par </w:t>
      </w:r>
      <w:r>
        <w:rPr>
          <w:rFonts w:ascii="Arial" w:hAnsi="Arial" w:cs="Arial"/>
          <w:bCs/>
          <w:sz w:val="22"/>
          <w:szCs w:val="22"/>
          <w:lang w:val="fr-FR"/>
        </w:rPr>
        <w:t>« Prend en outre note de la procédure »</w:t>
      </w:r>
      <w:r w:rsidRPr="00A22AB8">
        <w:rPr>
          <w:rFonts w:ascii="Arial" w:hAnsi="Arial" w:cs="Arial"/>
          <w:bCs/>
          <w:sz w:val="22"/>
          <w:szCs w:val="22"/>
          <w:lang w:val="fr-FR"/>
        </w:rPr>
        <w:t>.</w:t>
      </w:r>
    </w:p>
    <w:p w14:paraId="7555408C" w14:textId="68A8D45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61DC9">
        <w:rPr>
          <w:rFonts w:ascii="Arial" w:hAnsi="Arial" w:cs="Arial"/>
          <w:bCs/>
          <w:sz w:val="22"/>
          <w:szCs w:val="22"/>
          <w:lang w:val="fr-FR"/>
        </w:rPr>
        <w:t xml:space="preserve">La délégation de la </w:t>
      </w:r>
      <w:r w:rsidRPr="00161DC9">
        <w:rPr>
          <w:rFonts w:ascii="Arial" w:hAnsi="Arial" w:cs="Arial"/>
          <w:b/>
          <w:sz w:val="22"/>
          <w:szCs w:val="22"/>
          <w:lang w:val="fr-FR"/>
        </w:rPr>
        <w:t>Grenade</w:t>
      </w:r>
      <w:r w:rsidRPr="00161DC9">
        <w:rPr>
          <w:rFonts w:ascii="Arial" w:hAnsi="Arial" w:cs="Arial"/>
          <w:bCs/>
          <w:sz w:val="22"/>
          <w:szCs w:val="22"/>
          <w:lang w:val="fr-FR"/>
        </w:rPr>
        <w:t>, qui soutenait pleinement l</w:t>
      </w:r>
      <w:r w:rsidR="008E532B">
        <w:rPr>
          <w:rFonts w:ascii="Arial" w:hAnsi="Arial" w:cs="Arial"/>
          <w:bCs/>
          <w:sz w:val="22"/>
          <w:szCs w:val="22"/>
          <w:lang w:val="fr-FR"/>
        </w:rPr>
        <w:t>’</w:t>
      </w:r>
      <w:r w:rsidRPr="00161DC9">
        <w:rPr>
          <w:rFonts w:ascii="Arial" w:hAnsi="Arial" w:cs="Arial"/>
          <w:bCs/>
          <w:sz w:val="22"/>
          <w:szCs w:val="22"/>
          <w:lang w:val="fr-FR"/>
        </w:rPr>
        <w:t xml:space="preserve">inscription de la </w:t>
      </w:r>
      <w:r>
        <w:rPr>
          <w:rFonts w:ascii="Arial" w:hAnsi="Arial" w:cs="Arial"/>
          <w:bCs/>
          <w:sz w:val="22"/>
          <w:szCs w:val="22"/>
          <w:lang w:val="fr-FR"/>
        </w:rPr>
        <w:t xml:space="preserve">soupe au giraumon, a </w:t>
      </w:r>
      <w:r w:rsidRPr="00161DC9">
        <w:rPr>
          <w:rFonts w:ascii="Arial" w:hAnsi="Arial" w:cs="Arial"/>
          <w:bCs/>
          <w:sz w:val="22"/>
          <w:szCs w:val="22"/>
          <w:lang w:val="fr-FR"/>
        </w:rPr>
        <w:t>félicit</w:t>
      </w:r>
      <w:r>
        <w:rPr>
          <w:rFonts w:ascii="Arial" w:hAnsi="Arial" w:cs="Arial"/>
          <w:bCs/>
          <w:sz w:val="22"/>
          <w:szCs w:val="22"/>
          <w:lang w:val="fr-FR"/>
        </w:rPr>
        <w:t>é</w:t>
      </w:r>
      <w:r w:rsidRPr="00161DC9">
        <w:rPr>
          <w:rFonts w:ascii="Arial" w:hAnsi="Arial" w:cs="Arial"/>
          <w:bCs/>
          <w:sz w:val="22"/>
          <w:szCs w:val="22"/>
          <w:lang w:val="fr-FR"/>
        </w:rPr>
        <w:t xml:space="preserve"> le Comité d</w:t>
      </w:r>
      <w:r w:rsidR="008E532B">
        <w:rPr>
          <w:rFonts w:ascii="Arial" w:hAnsi="Arial" w:cs="Arial"/>
          <w:bCs/>
          <w:sz w:val="22"/>
          <w:szCs w:val="22"/>
          <w:lang w:val="fr-FR"/>
        </w:rPr>
        <w:t>’</w:t>
      </w:r>
      <w:r w:rsidRPr="00161DC9">
        <w:rPr>
          <w:rFonts w:ascii="Arial" w:hAnsi="Arial" w:cs="Arial"/>
          <w:bCs/>
          <w:sz w:val="22"/>
          <w:szCs w:val="22"/>
          <w:lang w:val="fr-FR"/>
        </w:rPr>
        <w:t>avoir répondu à la demande d</w:t>
      </w:r>
      <w:r w:rsidR="008E532B">
        <w:rPr>
          <w:rFonts w:ascii="Arial" w:hAnsi="Arial" w:cs="Arial"/>
          <w:bCs/>
          <w:sz w:val="22"/>
          <w:szCs w:val="22"/>
          <w:lang w:val="fr-FR"/>
        </w:rPr>
        <w:t>’</w:t>
      </w:r>
      <w:r w:rsidRPr="00161DC9">
        <w:rPr>
          <w:rFonts w:ascii="Arial" w:hAnsi="Arial" w:cs="Arial"/>
          <w:bCs/>
          <w:sz w:val="22"/>
          <w:szCs w:val="22"/>
          <w:lang w:val="fr-FR"/>
        </w:rPr>
        <w:t>Haïti d</w:t>
      </w:r>
      <w:r>
        <w:rPr>
          <w:rFonts w:ascii="Arial" w:hAnsi="Arial" w:cs="Arial"/>
          <w:bCs/>
          <w:sz w:val="22"/>
          <w:szCs w:val="22"/>
          <w:lang w:val="fr-FR"/>
        </w:rPr>
        <w:t>e</w:t>
      </w:r>
      <w:r w:rsidRPr="00161DC9">
        <w:rPr>
          <w:rFonts w:ascii="Arial" w:hAnsi="Arial" w:cs="Arial"/>
          <w:bCs/>
          <w:sz w:val="22"/>
          <w:szCs w:val="22"/>
          <w:lang w:val="fr-FR"/>
        </w:rPr>
        <w:t xml:space="preserve"> procédure accélérée pour inscrire la </w:t>
      </w:r>
      <w:r>
        <w:rPr>
          <w:rFonts w:ascii="Arial" w:hAnsi="Arial" w:cs="Arial"/>
          <w:bCs/>
          <w:sz w:val="22"/>
          <w:szCs w:val="22"/>
          <w:lang w:val="fr-FR"/>
        </w:rPr>
        <w:t xml:space="preserve">soupe au giraumon </w:t>
      </w:r>
      <w:r w:rsidRPr="00161DC9">
        <w:rPr>
          <w:rFonts w:ascii="Arial" w:hAnsi="Arial" w:cs="Arial"/>
          <w:bCs/>
          <w:sz w:val="22"/>
          <w:szCs w:val="22"/>
          <w:lang w:val="fr-FR"/>
        </w:rPr>
        <w:t>sur la Liste représentative. Elle a expliqué qu</w:t>
      </w:r>
      <w:r w:rsidR="008E532B">
        <w:rPr>
          <w:rFonts w:ascii="Arial" w:hAnsi="Arial" w:cs="Arial"/>
          <w:bCs/>
          <w:sz w:val="22"/>
          <w:szCs w:val="22"/>
          <w:lang w:val="fr-FR"/>
        </w:rPr>
        <w:t>’</w:t>
      </w:r>
      <w:r w:rsidRPr="00161DC9">
        <w:rPr>
          <w:rFonts w:ascii="Arial" w:hAnsi="Arial" w:cs="Arial"/>
          <w:bCs/>
          <w:sz w:val="22"/>
          <w:szCs w:val="22"/>
          <w:lang w:val="fr-FR"/>
        </w:rPr>
        <w:t>elle ne souhaitait pas édulcorer la décision mais, au contraire, l</w:t>
      </w:r>
      <w:r w:rsidR="008E532B">
        <w:rPr>
          <w:rFonts w:ascii="Arial" w:hAnsi="Arial" w:cs="Arial"/>
          <w:bCs/>
          <w:sz w:val="22"/>
          <w:szCs w:val="22"/>
          <w:lang w:val="fr-FR"/>
        </w:rPr>
        <w:t>’</w:t>
      </w:r>
      <w:r w:rsidRPr="00161DC9">
        <w:rPr>
          <w:rFonts w:ascii="Arial" w:hAnsi="Arial" w:cs="Arial"/>
          <w:bCs/>
          <w:sz w:val="22"/>
          <w:szCs w:val="22"/>
          <w:lang w:val="fr-FR"/>
        </w:rPr>
        <w:t>améliorer. L</w:t>
      </w:r>
      <w:r w:rsidR="008E532B">
        <w:rPr>
          <w:rFonts w:ascii="Arial" w:hAnsi="Arial" w:cs="Arial"/>
          <w:bCs/>
          <w:sz w:val="22"/>
          <w:szCs w:val="22"/>
          <w:lang w:val="fr-FR"/>
        </w:rPr>
        <w:t>’</w:t>
      </w:r>
      <w:r w:rsidRPr="00161DC9">
        <w:rPr>
          <w:rFonts w:ascii="Arial" w:hAnsi="Arial" w:cs="Arial"/>
          <w:bCs/>
          <w:sz w:val="22"/>
          <w:szCs w:val="22"/>
          <w:lang w:val="fr-FR"/>
        </w:rPr>
        <w:t>inscription</w:t>
      </w:r>
      <w:r>
        <w:rPr>
          <w:rFonts w:ascii="Arial" w:hAnsi="Arial" w:cs="Arial"/>
          <w:bCs/>
          <w:sz w:val="22"/>
          <w:szCs w:val="22"/>
          <w:lang w:val="fr-FR"/>
        </w:rPr>
        <w:t xml:space="preserve"> était</w:t>
      </w:r>
      <w:r w:rsidRPr="00161DC9">
        <w:rPr>
          <w:rFonts w:ascii="Arial" w:hAnsi="Arial" w:cs="Arial"/>
          <w:bCs/>
          <w:sz w:val="22"/>
          <w:szCs w:val="22"/>
          <w:lang w:val="fr-FR"/>
        </w:rPr>
        <w:t xml:space="preserve"> massivement soutenue et </w:t>
      </w:r>
      <w:r>
        <w:rPr>
          <w:rFonts w:ascii="Arial" w:hAnsi="Arial" w:cs="Arial"/>
          <w:bCs/>
          <w:sz w:val="22"/>
          <w:szCs w:val="22"/>
          <w:lang w:val="fr-FR"/>
        </w:rPr>
        <w:t xml:space="preserve">la </w:t>
      </w:r>
      <w:r w:rsidRPr="00161DC9">
        <w:rPr>
          <w:rFonts w:ascii="Arial" w:hAnsi="Arial" w:cs="Arial"/>
          <w:bCs/>
          <w:sz w:val="22"/>
          <w:szCs w:val="22"/>
          <w:lang w:val="fr-FR"/>
        </w:rPr>
        <w:t>délégation</w:t>
      </w:r>
      <w:r>
        <w:rPr>
          <w:rFonts w:ascii="Arial" w:hAnsi="Arial" w:cs="Arial"/>
          <w:bCs/>
          <w:sz w:val="22"/>
          <w:szCs w:val="22"/>
          <w:lang w:val="fr-FR"/>
        </w:rPr>
        <w:t xml:space="preserve"> </w:t>
      </w:r>
      <w:r w:rsidRPr="00161DC9">
        <w:rPr>
          <w:rFonts w:ascii="Arial" w:hAnsi="Arial" w:cs="Arial"/>
          <w:bCs/>
          <w:sz w:val="22"/>
          <w:szCs w:val="22"/>
          <w:lang w:val="fr-FR"/>
        </w:rPr>
        <w:t>souten</w:t>
      </w:r>
      <w:r>
        <w:rPr>
          <w:rFonts w:ascii="Arial" w:hAnsi="Arial" w:cs="Arial"/>
          <w:bCs/>
          <w:sz w:val="22"/>
          <w:szCs w:val="22"/>
          <w:lang w:val="fr-FR"/>
        </w:rPr>
        <w:t>ait</w:t>
      </w:r>
      <w:r w:rsidRPr="00161DC9">
        <w:rPr>
          <w:rFonts w:ascii="Arial" w:hAnsi="Arial" w:cs="Arial"/>
          <w:bCs/>
          <w:sz w:val="22"/>
          <w:szCs w:val="22"/>
          <w:lang w:val="fr-FR"/>
        </w:rPr>
        <w:t xml:space="preserve"> la décision du Comité. Cependant, en </w:t>
      </w:r>
      <w:r>
        <w:rPr>
          <w:rFonts w:ascii="Arial" w:hAnsi="Arial" w:cs="Arial"/>
          <w:bCs/>
          <w:sz w:val="22"/>
          <w:szCs w:val="22"/>
          <w:lang w:val="fr-FR"/>
        </w:rPr>
        <w:t>« </w:t>
      </w:r>
      <w:r w:rsidRPr="00161DC9">
        <w:rPr>
          <w:rFonts w:ascii="Arial" w:hAnsi="Arial" w:cs="Arial"/>
          <w:bCs/>
          <w:sz w:val="22"/>
          <w:szCs w:val="22"/>
          <w:lang w:val="fr-FR"/>
        </w:rPr>
        <w:t>approuvant</w:t>
      </w:r>
      <w:r>
        <w:rPr>
          <w:rFonts w:ascii="Arial" w:hAnsi="Arial" w:cs="Arial"/>
          <w:bCs/>
          <w:sz w:val="22"/>
          <w:szCs w:val="22"/>
          <w:lang w:val="fr-FR"/>
        </w:rPr>
        <w:t> »</w:t>
      </w:r>
      <w:r w:rsidRPr="00161DC9">
        <w:rPr>
          <w:rFonts w:ascii="Arial" w:hAnsi="Arial" w:cs="Arial"/>
          <w:bCs/>
          <w:sz w:val="22"/>
          <w:szCs w:val="22"/>
          <w:lang w:val="fr-FR"/>
        </w:rPr>
        <w:t xml:space="preserve"> la procédure elle-même, l</w:t>
      </w:r>
      <w:r w:rsidR="008E532B">
        <w:rPr>
          <w:rFonts w:ascii="Arial" w:hAnsi="Arial" w:cs="Arial"/>
          <w:bCs/>
          <w:sz w:val="22"/>
          <w:szCs w:val="22"/>
          <w:lang w:val="fr-FR"/>
        </w:rPr>
        <w:t>’</w:t>
      </w:r>
      <w:r w:rsidRPr="00161DC9">
        <w:rPr>
          <w:rFonts w:ascii="Arial" w:hAnsi="Arial" w:cs="Arial"/>
          <w:bCs/>
          <w:sz w:val="22"/>
          <w:szCs w:val="22"/>
          <w:lang w:val="fr-FR"/>
        </w:rPr>
        <w:t>Assemblée était en contradiction car elle validait une procédure d</w:t>
      </w:r>
      <w:r w:rsidR="008E532B">
        <w:rPr>
          <w:rFonts w:ascii="Arial" w:hAnsi="Arial" w:cs="Arial"/>
          <w:bCs/>
          <w:sz w:val="22"/>
          <w:szCs w:val="22"/>
          <w:lang w:val="fr-FR"/>
        </w:rPr>
        <w:t>’</w:t>
      </w:r>
      <w:r w:rsidRPr="00161DC9">
        <w:rPr>
          <w:rFonts w:ascii="Arial" w:hAnsi="Arial" w:cs="Arial"/>
          <w:bCs/>
          <w:sz w:val="22"/>
          <w:szCs w:val="22"/>
          <w:lang w:val="fr-FR"/>
        </w:rPr>
        <w:t>inscription. Le groupe de travail à composition non limitée avait d</w:t>
      </w:r>
      <w:r>
        <w:rPr>
          <w:rFonts w:ascii="Arial" w:hAnsi="Arial" w:cs="Arial"/>
          <w:bCs/>
          <w:sz w:val="22"/>
          <w:szCs w:val="22"/>
          <w:lang w:val="fr-FR"/>
        </w:rPr>
        <w:t>ébattu</w:t>
      </w:r>
      <w:r w:rsidRPr="00161DC9">
        <w:rPr>
          <w:rFonts w:ascii="Arial" w:hAnsi="Arial" w:cs="Arial"/>
          <w:bCs/>
          <w:sz w:val="22"/>
          <w:szCs w:val="22"/>
          <w:lang w:val="fr-FR"/>
        </w:rPr>
        <w:t xml:space="preserve"> de cette procédure dans le cadre de la réflexion globale sur les mécanismes d</w:t>
      </w:r>
      <w:r w:rsidR="008E532B">
        <w:rPr>
          <w:rFonts w:ascii="Arial" w:hAnsi="Arial" w:cs="Arial"/>
          <w:bCs/>
          <w:sz w:val="22"/>
          <w:szCs w:val="22"/>
          <w:lang w:val="fr-FR"/>
        </w:rPr>
        <w:t>’</w:t>
      </w:r>
      <w:r w:rsidRPr="00161DC9">
        <w:rPr>
          <w:rFonts w:ascii="Arial" w:hAnsi="Arial" w:cs="Arial"/>
          <w:bCs/>
          <w:sz w:val="22"/>
          <w:szCs w:val="22"/>
          <w:lang w:val="fr-FR"/>
        </w:rPr>
        <w:t>inscription et devait présenter une recommandation pour un processus accéléré au point 9 de l</w:t>
      </w:r>
      <w:r w:rsidR="008E532B">
        <w:rPr>
          <w:rFonts w:ascii="Arial" w:hAnsi="Arial" w:cs="Arial"/>
          <w:bCs/>
          <w:sz w:val="22"/>
          <w:szCs w:val="22"/>
          <w:lang w:val="fr-FR"/>
        </w:rPr>
        <w:t>’</w:t>
      </w:r>
      <w:r w:rsidRPr="00161DC9">
        <w:rPr>
          <w:rFonts w:ascii="Arial" w:hAnsi="Arial" w:cs="Arial"/>
          <w:bCs/>
          <w:sz w:val="22"/>
          <w:szCs w:val="22"/>
          <w:lang w:val="fr-FR"/>
        </w:rPr>
        <w:t xml:space="preserve">ordre du jour, comme </w:t>
      </w:r>
      <w:r>
        <w:rPr>
          <w:rFonts w:ascii="Arial" w:hAnsi="Arial" w:cs="Arial"/>
          <w:bCs/>
          <w:sz w:val="22"/>
          <w:szCs w:val="22"/>
          <w:lang w:val="fr-FR"/>
        </w:rPr>
        <w:t>expliqué dans</w:t>
      </w:r>
      <w:r w:rsidRPr="00161DC9">
        <w:rPr>
          <w:rFonts w:ascii="Arial" w:hAnsi="Arial" w:cs="Arial"/>
          <w:bCs/>
          <w:sz w:val="22"/>
          <w:szCs w:val="22"/>
          <w:lang w:val="fr-FR"/>
        </w:rPr>
        <w:t xml:space="preserve"> le paragraphe </w:t>
      </w:r>
      <w:r>
        <w:rPr>
          <w:rFonts w:ascii="Arial" w:hAnsi="Arial" w:cs="Arial"/>
          <w:bCs/>
          <w:sz w:val="22"/>
          <w:szCs w:val="22"/>
          <w:lang w:val="fr-FR"/>
        </w:rPr>
        <w:t>1</w:t>
      </w:r>
      <w:r w:rsidRPr="00161DC9">
        <w:rPr>
          <w:rFonts w:ascii="Arial" w:hAnsi="Arial" w:cs="Arial"/>
          <w:bCs/>
          <w:sz w:val="22"/>
          <w:szCs w:val="22"/>
          <w:lang w:val="fr-FR"/>
        </w:rPr>
        <w:t xml:space="preserve">190 </w:t>
      </w:r>
      <w:r>
        <w:rPr>
          <w:rFonts w:ascii="Arial" w:hAnsi="Arial" w:cs="Arial"/>
          <w:bCs/>
          <w:sz w:val="22"/>
          <w:szCs w:val="22"/>
          <w:lang w:val="fr-FR"/>
        </w:rPr>
        <w:t xml:space="preserve">du </w:t>
      </w:r>
      <w:r w:rsidR="00A5302E">
        <w:rPr>
          <w:rFonts w:ascii="Arial" w:hAnsi="Arial" w:cs="Arial"/>
          <w:bCs/>
          <w:sz w:val="22"/>
          <w:szCs w:val="22"/>
          <w:lang w:val="fr-FR"/>
        </w:rPr>
        <w:t>document </w:t>
      </w:r>
      <w:hyperlink r:id="rId43" w:history="1">
        <w:r w:rsidR="00A5302E" w:rsidRPr="009F6BC9">
          <w:rPr>
            <w:rStyle w:val="Hyperlink"/>
            <w:rFonts w:ascii="Arial" w:hAnsi="Arial" w:cs="Arial"/>
            <w:bCs/>
            <w:sz w:val="22"/>
            <w:szCs w:val="22"/>
            <w:lang w:val="fr-FR"/>
          </w:rPr>
          <w:t>LHE/22/5.EXT.C</w:t>
        </w:r>
        <w:r w:rsidR="00A5302E" w:rsidRPr="009F6BC9">
          <w:rPr>
            <w:rStyle w:val="Hyperlink"/>
            <w:rFonts w:ascii="Arial" w:hAnsi="Arial" w:cs="Arial"/>
            <w:bCs/>
            <w:sz w:val="22"/>
            <w:szCs w:val="22"/>
            <w:lang w:val="fr-FR"/>
          </w:rPr>
          <w:t>O</w:t>
        </w:r>
        <w:r w:rsidR="00A5302E" w:rsidRPr="009F6BC9">
          <w:rPr>
            <w:rStyle w:val="Hyperlink"/>
            <w:rFonts w:ascii="Arial" w:hAnsi="Arial" w:cs="Arial"/>
            <w:bCs/>
            <w:sz w:val="22"/>
            <w:szCs w:val="22"/>
            <w:lang w:val="fr-FR"/>
          </w:rPr>
          <w:t>M/INF.4</w:t>
        </w:r>
      </w:hyperlink>
      <w:r>
        <w:rPr>
          <w:rFonts w:ascii="Arial" w:hAnsi="Arial" w:cs="Arial"/>
          <w:bCs/>
          <w:sz w:val="22"/>
          <w:szCs w:val="22"/>
          <w:lang w:val="fr-FR"/>
        </w:rPr>
        <w:t xml:space="preserve">, le </w:t>
      </w:r>
      <w:r w:rsidRPr="00161DC9">
        <w:rPr>
          <w:rFonts w:ascii="Arial" w:hAnsi="Arial" w:cs="Arial"/>
          <w:bCs/>
          <w:sz w:val="22"/>
          <w:szCs w:val="22"/>
          <w:lang w:val="fr-FR"/>
        </w:rPr>
        <w:t>compte-rendu</w:t>
      </w:r>
      <w:r>
        <w:rPr>
          <w:rFonts w:ascii="Arial" w:hAnsi="Arial" w:cs="Arial"/>
          <w:bCs/>
          <w:sz w:val="22"/>
          <w:szCs w:val="22"/>
          <w:lang w:val="fr-FR"/>
        </w:rPr>
        <w:t xml:space="preserve"> de la réunion </w:t>
      </w:r>
      <w:r w:rsidRPr="00161DC9">
        <w:rPr>
          <w:rFonts w:ascii="Arial" w:hAnsi="Arial" w:cs="Arial"/>
          <w:bCs/>
          <w:sz w:val="22"/>
          <w:szCs w:val="22"/>
          <w:lang w:val="fr-FR"/>
        </w:rPr>
        <w:t>du groupe de travail</w:t>
      </w:r>
      <w:r>
        <w:rPr>
          <w:rFonts w:ascii="Arial" w:hAnsi="Arial" w:cs="Arial"/>
          <w:bCs/>
          <w:sz w:val="22"/>
          <w:szCs w:val="22"/>
          <w:lang w:val="fr-FR"/>
        </w:rPr>
        <w:t>.</w:t>
      </w:r>
      <w:r w:rsidRPr="00161DC9">
        <w:rPr>
          <w:rFonts w:ascii="Arial" w:hAnsi="Arial" w:cs="Arial"/>
          <w:bCs/>
          <w:sz w:val="22"/>
          <w:szCs w:val="22"/>
          <w:lang w:val="fr-FR"/>
        </w:rPr>
        <w:t xml:space="preserve"> Ainsi, si l</w:t>
      </w:r>
      <w:r w:rsidR="008E532B">
        <w:rPr>
          <w:rFonts w:ascii="Arial" w:hAnsi="Arial" w:cs="Arial"/>
          <w:bCs/>
          <w:sz w:val="22"/>
          <w:szCs w:val="22"/>
          <w:lang w:val="fr-FR"/>
        </w:rPr>
        <w:t>’</w:t>
      </w:r>
      <w:r w:rsidRPr="00161DC9">
        <w:rPr>
          <w:rFonts w:ascii="Arial" w:hAnsi="Arial" w:cs="Arial"/>
          <w:bCs/>
          <w:sz w:val="22"/>
          <w:szCs w:val="22"/>
          <w:lang w:val="fr-FR"/>
        </w:rPr>
        <w:t>Assemblée approuvait maintenant la procédure, elle serait en contradiction avec la recommandation du groupe de travail à</w:t>
      </w:r>
      <w:r>
        <w:rPr>
          <w:rFonts w:ascii="Arial" w:hAnsi="Arial" w:cs="Arial"/>
          <w:bCs/>
          <w:sz w:val="22"/>
          <w:szCs w:val="22"/>
          <w:lang w:val="fr-FR"/>
        </w:rPr>
        <w:t xml:space="preserve"> examiner</w:t>
      </w:r>
      <w:r w:rsidRPr="00161DC9">
        <w:rPr>
          <w:rFonts w:ascii="Arial" w:hAnsi="Arial" w:cs="Arial"/>
          <w:bCs/>
          <w:sz w:val="22"/>
          <w:szCs w:val="22"/>
          <w:lang w:val="fr-FR"/>
        </w:rPr>
        <w:t>. D</w:t>
      </w:r>
      <w:r w:rsidR="008E532B">
        <w:rPr>
          <w:rFonts w:ascii="Arial" w:hAnsi="Arial" w:cs="Arial"/>
          <w:bCs/>
          <w:sz w:val="22"/>
          <w:szCs w:val="22"/>
          <w:lang w:val="fr-FR"/>
        </w:rPr>
        <w:t>’</w:t>
      </w:r>
      <w:r w:rsidRPr="00161DC9">
        <w:rPr>
          <w:rFonts w:ascii="Arial" w:hAnsi="Arial" w:cs="Arial"/>
          <w:bCs/>
          <w:sz w:val="22"/>
          <w:szCs w:val="22"/>
          <w:lang w:val="fr-FR"/>
        </w:rPr>
        <w:t xml:space="preserve">où sa proposition de </w:t>
      </w:r>
      <w:r>
        <w:rPr>
          <w:rFonts w:ascii="Arial" w:hAnsi="Arial" w:cs="Arial"/>
          <w:bCs/>
          <w:sz w:val="22"/>
          <w:szCs w:val="22"/>
          <w:lang w:val="fr-FR"/>
        </w:rPr>
        <w:t>« P</w:t>
      </w:r>
      <w:r w:rsidRPr="00161DC9">
        <w:rPr>
          <w:rFonts w:ascii="Arial" w:hAnsi="Arial" w:cs="Arial"/>
          <w:bCs/>
          <w:sz w:val="22"/>
          <w:szCs w:val="22"/>
          <w:lang w:val="fr-FR"/>
        </w:rPr>
        <w:t xml:space="preserve">rend en outre note </w:t>
      </w:r>
      <w:r>
        <w:rPr>
          <w:rFonts w:ascii="Arial" w:hAnsi="Arial" w:cs="Arial"/>
          <w:bCs/>
          <w:sz w:val="22"/>
          <w:szCs w:val="22"/>
          <w:lang w:val="fr-FR"/>
        </w:rPr>
        <w:t>de »</w:t>
      </w:r>
      <w:r w:rsidRPr="00161DC9">
        <w:rPr>
          <w:rFonts w:ascii="Arial" w:hAnsi="Arial" w:cs="Arial"/>
          <w:bCs/>
          <w:sz w:val="22"/>
          <w:szCs w:val="22"/>
          <w:lang w:val="fr-FR"/>
        </w:rPr>
        <w:t>.</w:t>
      </w:r>
    </w:p>
    <w:p w14:paraId="629A4420" w14:textId="2842532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466C5">
        <w:rPr>
          <w:rFonts w:ascii="Arial" w:hAnsi="Arial" w:cs="Arial"/>
          <w:bCs/>
          <w:sz w:val="22"/>
          <w:szCs w:val="22"/>
          <w:lang w:val="fr-FR"/>
        </w:rPr>
        <w:t>La délégation de l</w:t>
      </w:r>
      <w:r w:rsidR="008E532B">
        <w:rPr>
          <w:rFonts w:ascii="Arial" w:hAnsi="Arial" w:cs="Arial"/>
          <w:bCs/>
          <w:sz w:val="22"/>
          <w:szCs w:val="22"/>
          <w:lang w:val="fr-FR"/>
        </w:rPr>
        <w:t>’</w:t>
      </w:r>
      <w:r w:rsidRPr="00D466C5">
        <w:rPr>
          <w:rFonts w:ascii="Arial" w:hAnsi="Arial" w:cs="Arial"/>
          <w:b/>
          <w:sz w:val="22"/>
          <w:szCs w:val="22"/>
          <w:lang w:val="fr-FR"/>
        </w:rPr>
        <w:t>Éthiopie</w:t>
      </w:r>
      <w:r w:rsidRPr="00D466C5">
        <w:rPr>
          <w:rFonts w:ascii="Arial" w:hAnsi="Arial" w:cs="Arial"/>
          <w:bCs/>
          <w:sz w:val="22"/>
          <w:szCs w:val="22"/>
          <w:lang w:val="fr-FR"/>
        </w:rPr>
        <w:t xml:space="preserve"> </w:t>
      </w:r>
      <w:r>
        <w:rPr>
          <w:rFonts w:ascii="Arial" w:hAnsi="Arial" w:cs="Arial"/>
          <w:bCs/>
          <w:sz w:val="22"/>
          <w:szCs w:val="22"/>
          <w:lang w:val="fr-FR"/>
        </w:rPr>
        <w:t>s</w:t>
      </w:r>
      <w:r w:rsidR="008E532B">
        <w:rPr>
          <w:rFonts w:ascii="Arial" w:hAnsi="Arial" w:cs="Arial"/>
          <w:bCs/>
          <w:sz w:val="22"/>
          <w:szCs w:val="22"/>
          <w:lang w:val="fr-FR"/>
        </w:rPr>
        <w:t>’</w:t>
      </w:r>
      <w:r w:rsidRPr="00D466C5">
        <w:rPr>
          <w:rFonts w:ascii="Arial" w:hAnsi="Arial" w:cs="Arial"/>
          <w:bCs/>
          <w:sz w:val="22"/>
          <w:szCs w:val="22"/>
          <w:lang w:val="fr-FR"/>
        </w:rPr>
        <w:t xml:space="preserve">est </w:t>
      </w:r>
      <w:proofErr w:type="gramStart"/>
      <w:r>
        <w:rPr>
          <w:rFonts w:ascii="Arial" w:hAnsi="Arial" w:cs="Arial"/>
          <w:bCs/>
          <w:sz w:val="22"/>
          <w:szCs w:val="22"/>
          <w:lang w:val="fr-FR"/>
        </w:rPr>
        <w:t>dite</w:t>
      </w:r>
      <w:proofErr w:type="gramEnd"/>
      <w:r>
        <w:rPr>
          <w:rFonts w:ascii="Arial" w:hAnsi="Arial" w:cs="Arial"/>
          <w:bCs/>
          <w:sz w:val="22"/>
          <w:szCs w:val="22"/>
          <w:lang w:val="fr-FR"/>
        </w:rPr>
        <w:t xml:space="preserve"> </w:t>
      </w:r>
      <w:r w:rsidRPr="00D466C5">
        <w:rPr>
          <w:rFonts w:ascii="Arial" w:hAnsi="Arial" w:cs="Arial"/>
          <w:bCs/>
          <w:sz w:val="22"/>
          <w:szCs w:val="22"/>
          <w:lang w:val="fr-FR"/>
        </w:rPr>
        <w:t>respectueusement en désaccord avec l</w:t>
      </w:r>
      <w:r w:rsidR="008E532B">
        <w:rPr>
          <w:rFonts w:ascii="Arial" w:hAnsi="Arial" w:cs="Arial"/>
          <w:bCs/>
          <w:sz w:val="22"/>
          <w:szCs w:val="22"/>
          <w:lang w:val="fr-FR"/>
        </w:rPr>
        <w:t>’</w:t>
      </w:r>
      <w:r w:rsidRPr="00D466C5">
        <w:rPr>
          <w:rFonts w:ascii="Arial" w:hAnsi="Arial" w:cs="Arial"/>
          <w:bCs/>
          <w:sz w:val="22"/>
          <w:szCs w:val="22"/>
          <w:lang w:val="fr-FR"/>
        </w:rPr>
        <w:t>amendement de la Grenade. Il s</w:t>
      </w:r>
      <w:r w:rsidR="008E532B">
        <w:rPr>
          <w:rFonts w:ascii="Arial" w:hAnsi="Arial" w:cs="Arial"/>
          <w:bCs/>
          <w:sz w:val="22"/>
          <w:szCs w:val="22"/>
          <w:lang w:val="fr-FR"/>
        </w:rPr>
        <w:t>’</w:t>
      </w:r>
      <w:r w:rsidRPr="00D466C5">
        <w:rPr>
          <w:rFonts w:ascii="Arial" w:hAnsi="Arial" w:cs="Arial"/>
          <w:bCs/>
          <w:sz w:val="22"/>
          <w:szCs w:val="22"/>
          <w:lang w:val="fr-FR"/>
        </w:rPr>
        <w:t>agissait d</w:t>
      </w:r>
      <w:r w:rsidR="008E532B">
        <w:rPr>
          <w:rFonts w:ascii="Arial" w:hAnsi="Arial" w:cs="Arial"/>
          <w:bCs/>
          <w:sz w:val="22"/>
          <w:szCs w:val="22"/>
          <w:lang w:val="fr-FR"/>
        </w:rPr>
        <w:t>’</w:t>
      </w:r>
      <w:r w:rsidRPr="00D466C5">
        <w:rPr>
          <w:rFonts w:ascii="Arial" w:hAnsi="Arial" w:cs="Arial"/>
          <w:bCs/>
          <w:sz w:val="22"/>
          <w:szCs w:val="22"/>
          <w:lang w:val="fr-FR"/>
        </w:rPr>
        <w:t>une question de fond et de savoir si l</w:t>
      </w:r>
      <w:r w:rsidR="008E532B">
        <w:rPr>
          <w:rFonts w:ascii="Arial" w:hAnsi="Arial" w:cs="Arial"/>
          <w:bCs/>
          <w:sz w:val="22"/>
          <w:szCs w:val="22"/>
          <w:lang w:val="fr-FR"/>
        </w:rPr>
        <w:t>’</w:t>
      </w:r>
      <w:r w:rsidRPr="00D466C5">
        <w:rPr>
          <w:rFonts w:ascii="Arial" w:hAnsi="Arial" w:cs="Arial"/>
          <w:bCs/>
          <w:sz w:val="22"/>
          <w:szCs w:val="22"/>
          <w:lang w:val="fr-FR"/>
        </w:rPr>
        <w:t xml:space="preserve">Assemblée approuvait ou non le calendrier accéléré, les </w:t>
      </w:r>
      <w:r>
        <w:rPr>
          <w:rFonts w:ascii="Arial" w:hAnsi="Arial" w:cs="Arial"/>
          <w:bCs/>
          <w:sz w:val="22"/>
          <w:szCs w:val="22"/>
          <w:lang w:val="fr-FR"/>
        </w:rPr>
        <w:t>raisons</w:t>
      </w:r>
      <w:r w:rsidRPr="00D466C5">
        <w:rPr>
          <w:rFonts w:ascii="Arial" w:hAnsi="Arial" w:cs="Arial"/>
          <w:bCs/>
          <w:sz w:val="22"/>
          <w:szCs w:val="22"/>
          <w:lang w:val="fr-FR"/>
        </w:rPr>
        <w:t xml:space="preserve"> de compassion et la nature exceptionnelle de la procédure qui a</w:t>
      </w:r>
      <w:r>
        <w:rPr>
          <w:rFonts w:ascii="Arial" w:hAnsi="Arial" w:cs="Arial"/>
          <w:bCs/>
          <w:sz w:val="22"/>
          <w:szCs w:val="22"/>
          <w:lang w:val="fr-FR"/>
        </w:rPr>
        <w:t>vait</w:t>
      </w:r>
      <w:r w:rsidRPr="00D466C5">
        <w:rPr>
          <w:rFonts w:ascii="Arial" w:hAnsi="Arial" w:cs="Arial"/>
          <w:bCs/>
          <w:sz w:val="22"/>
          <w:szCs w:val="22"/>
          <w:lang w:val="fr-FR"/>
        </w:rPr>
        <w:t xml:space="preserve"> été suivie compte tenu de la souffrance du peuple haïtien. Il s</w:t>
      </w:r>
      <w:r w:rsidR="008E532B">
        <w:rPr>
          <w:rFonts w:ascii="Arial" w:hAnsi="Arial" w:cs="Arial"/>
          <w:bCs/>
          <w:sz w:val="22"/>
          <w:szCs w:val="22"/>
          <w:lang w:val="fr-FR"/>
        </w:rPr>
        <w:t>’</w:t>
      </w:r>
      <w:r w:rsidRPr="00D466C5">
        <w:rPr>
          <w:rFonts w:ascii="Arial" w:hAnsi="Arial" w:cs="Arial"/>
          <w:bCs/>
          <w:sz w:val="22"/>
          <w:szCs w:val="22"/>
          <w:lang w:val="fr-FR"/>
        </w:rPr>
        <w:t>agissait d</w:t>
      </w:r>
      <w:r w:rsidR="008E532B">
        <w:rPr>
          <w:rFonts w:ascii="Arial" w:hAnsi="Arial" w:cs="Arial"/>
          <w:bCs/>
          <w:sz w:val="22"/>
          <w:szCs w:val="22"/>
          <w:lang w:val="fr-FR"/>
        </w:rPr>
        <w:t>’</w:t>
      </w:r>
      <w:r w:rsidRPr="00D466C5">
        <w:rPr>
          <w:rFonts w:ascii="Arial" w:hAnsi="Arial" w:cs="Arial"/>
          <w:bCs/>
          <w:sz w:val="22"/>
          <w:szCs w:val="22"/>
          <w:lang w:val="fr-FR"/>
        </w:rPr>
        <w:t>une question politique, et non d</w:t>
      </w:r>
      <w:r w:rsidR="008E532B">
        <w:rPr>
          <w:rFonts w:ascii="Arial" w:hAnsi="Arial" w:cs="Arial"/>
          <w:bCs/>
          <w:sz w:val="22"/>
          <w:szCs w:val="22"/>
          <w:lang w:val="fr-FR"/>
        </w:rPr>
        <w:t>’</w:t>
      </w:r>
      <w:r w:rsidRPr="00D466C5">
        <w:rPr>
          <w:rFonts w:ascii="Arial" w:hAnsi="Arial" w:cs="Arial"/>
          <w:bCs/>
          <w:sz w:val="22"/>
          <w:szCs w:val="22"/>
          <w:lang w:val="fr-FR"/>
        </w:rPr>
        <w:t>un simple détail technique. La délégation n</w:t>
      </w:r>
      <w:r w:rsidR="008E532B">
        <w:rPr>
          <w:rFonts w:ascii="Arial" w:hAnsi="Arial" w:cs="Arial"/>
          <w:bCs/>
          <w:sz w:val="22"/>
          <w:szCs w:val="22"/>
          <w:lang w:val="fr-FR"/>
        </w:rPr>
        <w:t>’</w:t>
      </w:r>
      <w:r w:rsidRPr="00D466C5">
        <w:rPr>
          <w:rFonts w:ascii="Arial" w:hAnsi="Arial" w:cs="Arial"/>
          <w:bCs/>
          <w:sz w:val="22"/>
          <w:szCs w:val="22"/>
          <w:lang w:val="fr-FR"/>
        </w:rPr>
        <w:t>a</w:t>
      </w:r>
      <w:r>
        <w:rPr>
          <w:rFonts w:ascii="Arial" w:hAnsi="Arial" w:cs="Arial"/>
          <w:bCs/>
          <w:sz w:val="22"/>
          <w:szCs w:val="22"/>
          <w:lang w:val="fr-FR"/>
        </w:rPr>
        <w:t>cceptait pas « P</w:t>
      </w:r>
      <w:r w:rsidRPr="00D466C5">
        <w:rPr>
          <w:rFonts w:ascii="Arial" w:hAnsi="Arial" w:cs="Arial"/>
          <w:bCs/>
          <w:sz w:val="22"/>
          <w:szCs w:val="22"/>
          <w:lang w:val="fr-FR"/>
        </w:rPr>
        <w:t>rend note</w:t>
      </w:r>
      <w:r>
        <w:rPr>
          <w:rFonts w:ascii="Arial" w:hAnsi="Arial" w:cs="Arial"/>
          <w:bCs/>
          <w:sz w:val="22"/>
          <w:szCs w:val="22"/>
          <w:lang w:val="fr-FR"/>
        </w:rPr>
        <w:t> »</w:t>
      </w:r>
      <w:r w:rsidRPr="00D466C5">
        <w:rPr>
          <w:rFonts w:ascii="Arial" w:hAnsi="Arial" w:cs="Arial"/>
          <w:bCs/>
          <w:sz w:val="22"/>
          <w:szCs w:val="22"/>
          <w:lang w:val="fr-FR"/>
        </w:rPr>
        <w:t>, proposant plutôt d</w:t>
      </w:r>
      <w:r w:rsidR="008E532B">
        <w:rPr>
          <w:rFonts w:ascii="Arial" w:hAnsi="Arial" w:cs="Arial"/>
          <w:bCs/>
          <w:sz w:val="22"/>
          <w:szCs w:val="22"/>
          <w:lang w:val="fr-FR"/>
        </w:rPr>
        <w:t>’</w:t>
      </w:r>
      <w:r>
        <w:rPr>
          <w:rFonts w:ascii="Arial" w:hAnsi="Arial" w:cs="Arial"/>
          <w:bCs/>
          <w:sz w:val="22"/>
          <w:szCs w:val="22"/>
          <w:lang w:val="fr-FR"/>
        </w:rPr>
        <w:t>a</w:t>
      </w:r>
      <w:r w:rsidRPr="00D466C5">
        <w:rPr>
          <w:rFonts w:ascii="Arial" w:hAnsi="Arial" w:cs="Arial"/>
          <w:bCs/>
          <w:sz w:val="22"/>
          <w:szCs w:val="22"/>
          <w:lang w:val="fr-FR"/>
        </w:rPr>
        <w:t xml:space="preserve">pprouver </w:t>
      </w:r>
      <w:r>
        <w:rPr>
          <w:rFonts w:ascii="Arial" w:hAnsi="Arial" w:cs="Arial"/>
          <w:bCs/>
          <w:sz w:val="22"/>
          <w:szCs w:val="22"/>
          <w:lang w:val="fr-FR"/>
        </w:rPr>
        <w:t>« </w:t>
      </w:r>
      <w:r w:rsidRPr="00D466C5">
        <w:rPr>
          <w:rFonts w:ascii="Arial" w:hAnsi="Arial" w:cs="Arial"/>
          <w:bCs/>
          <w:sz w:val="22"/>
          <w:szCs w:val="22"/>
          <w:lang w:val="fr-FR"/>
        </w:rPr>
        <w:t>pleinement</w:t>
      </w:r>
      <w:r>
        <w:rPr>
          <w:rFonts w:ascii="Arial" w:hAnsi="Arial" w:cs="Arial"/>
          <w:bCs/>
          <w:sz w:val="22"/>
          <w:szCs w:val="22"/>
          <w:lang w:val="fr-FR"/>
        </w:rPr>
        <w:t> »</w:t>
      </w:r>
      <w:r w:rsidRPr="00D466C5">
        <w:rPr>
          <w:rFonts w:ascii="Arial" w:hAnsi="Arial" w:cs="Arial"/>
          <w:bCs/>
          <w:sz w:val="22"/>
          <w:szCs w:val="22"/>
          <w:lang w:val="fr-FR"/>
        </w:rPr>
        <w:t xml:space="preserve"> la procédure.</w:t>
      </w:r>
    </w:p>
    <w:p w14:paraId="533476D6" w14:textId="0DB1492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466C5">
        <w:rPr>
          <w:rFonts w:ascii="Arial" w:hAnsi="Arial" w:cs="Arial"/>
          <w:bCs/>
          <w:sz w:val="22"/>
          <w:szCs w:val="22"/>
          <w:lang w:val="fr-FR"/>
        </w:rPr>
        <w:t xml:space="preserve">La délégation du </w:t>
      </w:r>
      <w:r w:rsidRPr="00D466C5">
        <w:rPr>
          <w:rFonts w:ascii="Arial" w:hAnsi="Arial" w:cs="Arial"/>
          <w:b/>
          <w:sz w:val="22"/>
          <w:szCs w:val="22"/>
          <w:lang w:val="fr-FR"/>
        </w:rPr>
        <w:t>Japon</w:t>
      </w:r>
      <w:r w:rsidRPr="00D466C5">
        <w:rPr>
          <w:rFonts w:ascii="Arial" w:hAnsi="Arial" w:cs="Arial"/>
          <w:bCs/>
          <w:sz w:val="22"/>
          <w:szCs w:val="22"/>
          <w:lang w:val="fr-FR"/>
        </w:rPr>
        <w:t xml:space="preserve"> a félicité les nouveaux membres du Comité. Elle a rappelé les longues discussions au sein du Comité à l</w:t>
      </w:r>
      <w:r w:rsidR="008E532B">
        <w:rPr>
          <w:rFonts w:ascii="Arial" w:hAnsi="Arial" w:cs="Arial"/>
          <w:bCs/>
          <w:sz w:val="22"/>
          <w:szCs w:val="22"/>
          <w:lang w:val="fr-FR"/>
        </w:rPr>
        <w:t>’</w:t>
      </w:r>
      <w:r w:rsidRPr="00D466C5">
        <w:rPr>
          <w:rFonts w:ascii="Arial" w:hAnsi="Arial" w:cs="Arial"/>
          <w:bCs/>
          <w:sz w:val="22"/>
          <w:szCs w:val="22"/>
          <w:lang w:val="fr-FR"/>
        </w:rPr>
        <w:t>époque, car il n</w:t>
      </w:r>
      <w:r w:rsidR="008E532B">
        <w:rPr>
          <w:rFonts w:ascii="Arial" w:hAnsi="Arial" w:cs="Arial"/>
          <w:bCs/>
          <w:sz w:val="22"/>
          <w:szCs w:val="22"/>
          <w:lang w:val="fr-FR"/>
        </w:rPr>
        <w:t>’</w:t>
      </w:r>
      <w:r w:rsidRPr="00D466C5">
        <w:rPr>
          <w:rFonts w:ascii="Arial" w:hAnsi="Arial" w:cs="Arial"/>
          <w:bCs/>
          <w:sz w:val="22"/>
          <w:szCs w:val="22"/>
          <w:lang w:val="fr-FR"/>
        </w:rPr>
        <w:t>y avait pas de procédure claire pour cette action. Finalement, il a</w:t>
      </w:r>
      <w:r>
        <w:rPr>
          <w:rFonts w:ascii="Arial" w:hAnsi="Arial" w:cs="Arial"/>
          <w:bCs/>
          <w:sz w:val="22"/>
          <w:szCs w:val="22"/>
          <w:lang w:val="fr-FR"/>
        </w:rPr>
        <w:t>vait</w:t>
      </w:r>
      <w:r w:rsidRPr="00D466C5">
        <w:rPr>
          <w:rFonts w:ascii="Arial" w:hAnsi="Arial" w:cs="Arial"/>
          <w:bCs/>
          <w:sz w:val="22"/>
          <w:szCs w:val="22"/>
          <w:lang w:val="fr-FR"/>
        </w:rPr>
        <w:t xml:space="preserve"> été convenu que la décision serait portée à </w:t>
      </w:r>
      <w:r>
        <w:rPr>
          <w:rFonts w:ascii="Arial" w:hAnsi="Arial" w:cs="Arial"/>
          <w:bCs/>
          <w:sz w:val="22"/>
          <w:szCs w:val="22"/>
          <w:lang w:val="fr-FR"/>
        </w:rPr>
        <w:t>l</w:t>
      </w:r>
      <w:r w:rsidR="008E532B">
        <w:rPr>
          <w:rFonts w:ascii="Arial" w:hAnsi="Arial" w:cs="Arial"/>
          <w:bCs/>
          <w:sz w:val="22"/>
          <w:szCs w:val="22"/>
          <w:lang w:val="fr-FR"/>
        </w:rPr>
        <w:t>’</w:t>
      </w:r>
      <w:r>
        <w:rPr>
          <w:rFonts w:ascii="Arial" w:hAnsi="Arial" w:cs="Arial"/>
          <w:bCs/>
          <w:sz w:val="22"/>
          <w:szCs w:val="22"/>
          <w:lang w:val="fr-FR"/>
        </w:rPr>
        <w:t xml:space="preserve">attention de </w:t>
      </w:r>
      <w:r w:rsidRPr="00D466C5">
        <w:rPr>
          <w:rFonts w:ascii="Arial" w:hAnsi="Arial" w:cs="Arial"/>
          <w:bCs/>
          <w:sz w:val="22"/>
          <w:szCs w:val="22"/>
          <w:lang w:val="fr-FR"/>
        </w:rPr>
        <w:t>l</w:t>
      </w:r>
      <w:r w:rsidR="008E532B">
        <w:rPr>
          <w:rFonts w:ascii="Arial" w:hAnsi="Arial" w:cs="Arial"/>
          <w:bCs/>
          <w:sz w:val="22"/>
          <w:szCs w:val="22"/>
          <w:lang w:val="fr-FR"/>
        </w:rPr>
        <w:t>’</w:t>
      </w:r>
      <w:r w:rsidRPr="00D466C5">
        <w:rPr>
          <w:rFonts w:ascii="Arial" w:hAnsi="Arial" w:cs="Arial"/>
          <w:bCs/>
          <w:sz w:val="22"/>
          <w:szCs w:val="22"/>
          <w:lang w:val="fr-FR"/>
        </w:rPr>
        <w:t xml:space="preserve">Assemblée générale. La délégation </w:t>
      </w:r>
      <w:r>
        <w:rPr>
          <w:rFonts w:ascii="Arial" w:hAnsi="Arial" w:cs="Arial"/>
          <w:bCs/>
          <w:sz w:val="22"/>
          <w:szCs w:val="22"/>
          <w:lang w:val="fr-FR"/>
        </w:rPr>
        <w:t xml:space="preserve">pensait </w:t>
      </w:r>
      <w:r w:rsidRPr="00D466C5">
        <w:rPr>
          <w:rFonts w:ascii="Arial" w:hAnsi="Arial" w:cs="Arial"/>
          <w:bCs/>
          <w:sz w:val="22"/>
          <w:szCs w:val="22"/>
          <w:lang w:val="fr-FR"/>
        </w:rPr>
        <w:t xml:space="preserve">que le fait de remplacer le mot </w:t>
      </w:r>
      <w:r>
        <w:rPr>
          <w:rFonts w:ascii="Arial" w:hAnsi="Arial" w:cs="Arial"/>
          <w:bCs/>
          <w:sz w:val="22"/>
          <w:szCs w:val="22"/>
          <w:lang w:val="fr-FR"/>
        </w:rPr>
        <w:t>« A</w:t>
      </w:r>
      <w:r w:rsidRPr="00D466C5">
        <w:rPr>
          <w:rFonts w:ascii="Arial" w:hAnsi="Arial" w:cs="Arial"/>
          <w:bCs/>
          <w:sz w:val="22"/>
          <w:szCs w:val="22"/>
          <w:lang w:val="fr-FR"/>
        </w:rPr>
        <w:t>pprouve</w:t>
      </w:r>
      <w:r>
        <w:rPr>
          <w:rFonts w:ascii="Arial" w:hAnsi="Arial" w:cs="Arial"/>
          <w:bCs/>
          <w:sz w:val="22"/>
          <w:szCs w:val="22"/>
          <w:lang w:val="fr-FR"/>
        </w:rPr>
        <w:t> »</w:t>
      </w:r>
      <w:r w:rsidRPr="00D466C5">
        <w:rPr>
          <w:rFonts w:ascii="Arial" w:hAnsi="Arial" w:cs="Arial"/>
          <w:bCs/>
          <w:sz w:val="22"/>
          <w:szCs w:val="22"/>
          <w:lang w:val="fr-FR"/>
        </w:rPr>
        <w:t xml:space="preserve"> par </w:t>
      </w:r>
      <w:r>
        <w:rPr>
          <w:rFonts w:ascii="Arial" w:hAnsi="Arial" w:cs="Arial"/>
          <w:bCs/>
          <w:sz w:val="22"/>
          <w:szCs w:val="22"/>
          <w:lang w:val="fr-FR"/>
        </w:rPr>
        <w:t>« P</w:t>
      </w:r>
      <w:r w:rsidRPr="00D466C5">
        <w:rPr>
          <w:rFonts w:ascii="Arial" w:hAnsi="Arial" w:cs="Arial"/>
          <w:bCs/>
          <w:sz w:val="22"/>
          <w:szCs w:val="22"/>
          <w:lang w:val="fr-FR"/>
        </w:rPr>
        <w:t>rend note</w:t>
      </w:r>
      <w:r>
        <w:rPr>
          <w:rFonts w:ascii="Arial" w:hAnsi="Arial" w:cs="Arial"/>
          <w:bCs/>
          <w:sz w:val="22"/>
          <w:szCs w:val="22"/>
          <w:lang w:val="fr-FR"/>
        </w:rPr>
        <w:t> »</w:t>
      </w:r>
      <w:r w:rsidRPr="00D466C5">
        <w:rPr>
          <w:rFonts w:ascii="Arial" w:hAnsi="Arial" w:cs="Arial"/>
          <w:bCs/>
          <w:sz w:val="22"/>
          <w:szCs w:val="22"/>
          <w:lang w:val="fr-FR"/>
        </w:rPr>
        <w:t xml:space="preserve"> signifierait que l</w:t>
      </w:r>
      <w:r w:rsidR="008E532B">
        <w:rPr>
          <w:rFonts w:ascii="Arial" w:hAnsi="Arial" w:cs="Arial"/>
          <w:bCs/>
          <w:sz w:val="22"/>
          <w:szCs w:val="22"/>
          <w:lang w:val="fr-FR"/>
        </w:rPr>
        <w:t>’</w:t>
      </w:r>
      <w:r w:rsidRPr="00D466C5">
        <w:rPr>
          <w:rFonts w:ascii="Arial" w:hAnsi="Arial" w:cs="Arial"/>
          <w:bCs/>
          <w:sz w:val="22"/>
          <w:szCs w:val="22"/>
          <w:lang w:val="fr-FR"/>
        </w:rPr>
        <w:t>Assemblée ne pou</w:t>
      </w:r>
      <w:r>
        <w:rPr>
          <w:rFonts w:ascii="Arial" w:hAnsi="Arial" w:cs="Arial"/>
          <w:bCs/>
          <w:sz w:val="22"/>
          <w:szCs w:val="22"/>
          <w:lang w:val="fr-FR"/>
        </w:rPr>
        <w:t>v</w:t>
      </w:r>
      <w:r w:rsidRPr="00D466C5">
        <w:rPr>
          <w:rFonts w:ascii="Arial" w:hAnsi="Arial" w:cs="Arial"/>
          <w:bCs/>
          <w:sz w:val="22"/>
          <w:szCs w:val="22"/>
          <w:lang w:val="fr-FR"/>
        </w:rPr>
        <w:t>ait pas inscrire le dossier d</w:t>
      </w:r>
      <w:r w:rsidR="008E532B">
        <w:rPr>
          <w:rFonts w:ascii="Arial" w:hAnsi="Arial" w:cs="Arial"/>
          <w:bCs/>
          <w:sz w:val="22"/>
          <w:szCs w:val="22"/>
          <w:lang w:val="fr-FR"/>
        </w:rPr>
        <w:t>’</w:t>
      </w:r>
      <w:r w:rsidRPr="00D466C5">
        <w:rPr>
          <w:rFonts w:ascii="Arial" w:hAnsi="Arial" w:cs="Arial"/>
          <w:bCs/>
          <w:sz w:val="22"/>
          <w:szCs w:val="22"/>
          <w:lang w:val="fr-FR"/>
        </w:rPr>
        <w:t>Haïti. Il était entendu que le Comité avait convenu que l</w:t>
      </w:r>
      <w:r w:rsidR="008E532B">
        <w:rPr>
          <w:rFonts w:ascii="Arial" w:hAnsi="Arial" w:cs="Arial"/>
          <w:bCs/>
          <w:sz w:val="22"/>
          <w:szCs w:val="22"/>
          <w:lang w:val="fr-FR"/>
        </w:rPr>
        <w:t>’</w:t>
      </w:r>
      <w:r w:rsidRPr="00D466C5">
        <w:rPr>
          <w:rFonts w:ascii="Arial" w:hAnsi="Arial" w:cs="Arial"/>
          <w:bCs/>
          <w:sz w:val="22"/>
          <w:szCs w:val="22"/>
          <w:lang w:val="fr-FR"/>
        </w:rPr>
        <w:t>Assemblée générale devait l</w:t>
      </w:r>
      <w:r w:rsidR="008E532B">
        <w:rPr>
          <w:rFonts w:ascii="Arial" w:hAnsi="Arial" w:cs="Arial"/>
          <w:bCs/>
          <w:sz w:val="22"/>
          <w:szCs w:val="22"/>
          <w:lang w:val="fr-FR"/>
        </w:rPr>
        <w:t>’</w:t>
      </w:r>
      <w:r w:rsidRPr="00D466C5">
        <w:rPr>
          <w:rFonts w:ascii="Arial" w:hAnsi="Arial" w:cs="Arial"/>
          <w:bCs/>
          <w:sz w:val="22"/>
          <w:szCs w:val="22"/>
          <w:lang w:val="fr-FR"/>
        </w:rPr>
        <w:t>approuver. La délégation a demandé des éclaircissements au Conseiller juridique, ajoutant qu</w:t>
      </w:r>
      <w:r w:rsidR="008E532B">
        <w:rPr>
          <w:rFonts w:ascii="Arial" w:hAnsi="Arial" w:cs="Arial"/>
          <w:bCs/>
          <w:sz w:val="22"/>
          <w:szCs w:val="22"/>
          <w:lang w:val="fr-FR"/>
        </w:rPr>
        <w:t>’</w:t>
      </w:r>
      <w:r w:rsidRPr="00D466C5">
        <w:rPr>
          <w:rFonts w:ascii="Arial" w:hAnsi="Arial" w:cs="Arial"/>
          <w:bCs/>
          <w:sz w:val="22"/>
          <w:szCs w:val="22"/>
          <w:lang w:val="fr-FR"/>
        </w:rPr>
        <w:t>elle était entièrement d</w:t>
      </w:r>
      <w:r w:rsidR="008E532B">
        <w:rPr>
          <w:rFonts w:ascii="Arial" w:hAnsi="Arial" w:cs="Arial"/>
          <w:bCs/>
          <w:sz w:val="22"/>
          <w:szCs w:val="22"/>
          <w:lang w:val="fr-FR"/>
        </w:rPr>
        <w:t>’</w:t>
      </w:r>
      <w:r w:rsidRPr="00D466C5">
        <w:rPr>
          <w:rFonts w:ascii="Arial" w:hAnsi="Arial" w:cs="Arial"/>
          <w:bCs/>
          <w:sz w:val="22"/>
          <w:szCs w:val="22"/>
          <w:lang w:val="fr-FR"/>
        </w:rPr>
        <w:t>accord avec l</w:t>
      </w:r>
      <w:r w:rsidR="008E532B">
        <w:rPr>
          <w:rFonts w:ascii="Arial" w:hAnsi="Arial" w:cs="Arial"/>
          <w:bCs/>
          <w:sz w:val="22"/>
          <w:szCs w:val="22"/>
          <w:lang w:val="fr-FR"/>
        </w:rPr>
        <w:t>’</w:t>
      </w:r>
      <w:r w:rsidRPr="00D466C5">
        <w:rPr>
          <w:rFonts w:ascii="Arial" w:hAnsi="Arial" w:cs="Arial"/>
          <w:bCs/>
          <w:sz w:val="22"/>
          <w:szCs w:val="22"/>
          <w:lang w:val="fr-FR"/>
        </w:rPr>
        <w:t>Éthiopie pour dire que la décision devait être pleinement approuvée.</w:t>
      </w:r>
    </w:p>
    <w:p w14:paraId="1EBFC935"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A40FA">
        <w:rPr>
          <w:rFonts w:ascii="Arial" w:hAnsi="Arial" w:cs="Arial"/>
          <w:b/>
          <w:sz w:val="22"/>
          <w:szCs w:val="22"/>
          <w:lang w:val="fr-FR"/>
        </w:rPr>
        <w:t>Présidente</w:t>
      </w:r>
      <w:r>
        <w:rPr>
          <w:rFonts w:ascii="Arial" w:hAnsi="Arial" w:cs="Arial"/>
          <w:bCs/>
          <w:sz w:val="22"/>
          <w:szCs w:val="22"/>
          <w:lang w:val="fr-FR"/>
        </w:rPr>
        <w:t xml:space="preserve"> solliciterait le Conseiller juridique après les </w:t>
      </w:r>
      <w:r w:rsidRPr="004A40FA">
        <w:rPr>
          <w:rFonts w:ascii="Arial" w:hAnsi="Arial" w:cs="Arial"/>
          <w:bCs/>
          <w:sz w:val="22"/>
          <w:szCs w:val="22"/>
          <w:lang w:val="fr-FR"/>
        </w:rPr>
        <w:t>interventio</w:t>
      </w:r>
      <w:r>
        <w:rPr>
          <w:rFonts w:ascii="Arial" w:hAnsi="Arial" w:cs="Arial"/>
          <w:bCs/>
          <w:sz w:val="22"/>
          <w:szCs w:val="22"/>
          <w:lang w:val="fr-FR"/>
        </w:rPr>
        <w:t>ns des orateurs.</w:t>
      </w:r>
    </w:p>
    <w:p w14:paraId="3E96CB73" w14:textId="129C683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22A2C">
        <w:rPr>
          <w:rFonts w:ascii="Arial" w:hAnsi="Arial" w:cs="Arial"/>
          <w:bCs/>
          <w:sz w:val="22"/>
          <w:szCs w:val="22"/>
          <w:lang w:val="fr-FR"/>
        </w:rPr>
        <w:t xml:space="preserve">La délégation </w:t>
      </w:r>
      <w:r>
        <w:rPr>
          <w:rFonts w:ascii="Arial" w:hAnsi="Arial" w:cs="Arial"/>
          <w:bCs/>
          <w:sz w:val="22"/>
          <w:szCs w:val="22"/>
          <w:lang w:val="fr-FR"/>
        </w:rPr>
        <w:t xml:space="preserve">de la </w:t>
      </w:r>
      <w:r w:rsidRPr="00422A2C">
        <w:rPr>
          <w:rFonts w:ascii="Arial" w:hAnsi="Arial" w:cs="Arial"/>
          <w:b/>
          <w:sz w:val="22"/>
          <w:szCs w:val="22"/>
          <w:lang w:val="fr-FR"/>
        </w:rPr>
        <w:t>Colombie</w:t>
      </w:r>
      <w:r>
        <w:rPr>
          <w:rFonts w:ascii="Arial" w:hAnsi="Arial" w:cs="Arial"/>
          <w:bCs/>
          <w:sz w:val="22"/>
          <w:szCs w:val="22"/>
          <w:lang w:val="fr-FR"/>
        </w:rPr>
        <w:t xml:space="preserve"> pensait </w:t>
      </w:r>
      <w:r w:rsidRPr="00422A2C">
        <w:rPr>
          <w:rFonts w:ascii="Arial" w:hAnsi="Arial" w:cs="Arial"/>
          <w:bCs/>
          <w:sz w:val="22"/>
          <w:szCs w:val="22"/>
          <w:lang w:val="fr-FR"/>
        </w:rPr>
        <w:t xml:space="preserve">que la proposition de </w:t>
      </w:r>
      <w:r>
        <w:rPr>
          <w:rFonts w:ascii="Arial" w:hAnsi="Arial" w:cs="Arial"/>
          <w:bCs/>
          <w:sz w:val="22"/>
          <w:szCs w:val="22"/>
          <w:lang w:val="fr-FR"/>
        </w:rPr>
        <w:t xml:space="preserve">la </w:t>
      </w:r>
      <w:r w:rsidRPr="00422A2C">
        <w:rPr>
          <w:rFonts w:ascii="Arial" w:hAnsi="Arial" w:cs="Arial"/>
          <w:bCs/>
          <w:sz w:val="22"/>
          <w:szCs w:val="22"/>
          <w:lang w:val="fr-FR"/>
        </w:rPr>
        <w:t>Grenade, qui avait été expliquée au groupe de travail, visait uniquement à dire qu</w:t>
      </w:r>
      <w:r w:rsidR="008E532B">
        <w:rPr>
          <w:rFonts w:ascii="Arial" w:hAnsi="Arial" w:cs="Arial"/>
          <w:bCs/>
          <w:sz w:val="22"/>
          <w:szCs w:val="22"/>
          <w:lang w:val="fr-FR"/>
        </w:rPr>
        <w:t>’</w:t>
      </w:r>
      <w:r w:rsidRPr="00422A2C">
        <w:rPr>
          <w:rFonts w:ascii="Arial" w:hAnsi="Arial" w:cs="Arial"/>
          <w:bCs/>
          <w:sz w:val="22"/>
          <w:szCs w:val="22"/>
          <w:lang w:val="fr-FR"/>
        </w:rPr>
        <w:t>il s</w:t>
      </w:r>
      <w:r w:rsidR="008E532B">
        <w:rPr>
          <w:rFonts w:ascii="Arial" w:hAnsi="Arial" w:cs="Arial"/>
          <w:bCs/>
          <w:sz w:val="22"/>
          <w:szCs w:val="22"/>
          <w:lang w:val="fr-FR"/>
        </w:rPr>
        <w:t>’</w:t>
      </w:r>
      <w:r w:rsidRPr="00422A2C">
        <w:rPr>
          <w:rFonts w:ascii="Arial" w:hAnsi="Arial" w:cs="Arial"/>
          <w:bCs/>
          <w:sz w:val="22"/>
          <w:szCs w:val="22"/>
          <w:lang w:val="fr-FR"/>
        </w:rPr>
        <w:t>agissait d</w:t>
      </w:r>
      <w:r w:rsidR="008E532B">
        <w:rPr>
          <w:rFonts w:ascii="Arial" w:hAnsi="Arial" w:cs="Arial"/>
          <w:bCs/>
          <w:sz w:val="22"/>
          <w:szCs w:val="22"/>
          <w:lang w:val="fr-FR"/>
        </w:rPr>
        <w:t>’</w:t>
      </w:r>
      <w:r w:rsidRPr="00422A2C">
        <w:rPr>
          <w:rFonts w:ascii="Arial" w:hAnsi="Arial" w:cs="Arial"/>
          <w:bCs/>
          <w:sz w:val="22"/>
          <w:szCs w:val="22"/>
          <w:lang w:val="fr-FR"/>
        </w:rPr>
        <w:t>une procédure extraordinaire. Bien que l</w:t>
      </w:r>
      <w:r w:rsidR="008E532B">
        <w:rPr>
          <w:rFonts w:ascii="Arial" w:hAnsi="Arial" w:cs="Arial"/>
          <w:bCs/>
          <w:sz w:val="22"/>
          <w:szCs w:val="22"/>
          <w:lang w:val="fr-FR"/>
        </w:rPr>
        <w:t>’</w:t>
      </w:r>
      <w:r w:rsidRPr="00422A2C">
        <w:rPr>
          <w:rFonts w:ascii="Arial" w:hAnsi="Arial" w:cs="Arial"/>
          <w:bCs/>
          <w:sz w:val="22"/>
          <w:szCs w:val="22"/>
          <w:lang w:val="fr-FR"/>
        </w:rPr>
        <w:t>inscription soit soutenue par tous, elle créait un précédent qui nécessitait un</w:t>
      </w:r>
      <w:r>
        <w:rPr>
          <w:rFonts w:ascii="Arial" w:hAnsi="Arial" w:cs="Arial"/>
          <w:bCs/>
          <w:sz w:val="22"/>
          <w:szCs w:val="22"/>
          <w:lang w:val="fr-FR"/>
        </w:rPr>
        <w:t xml:space="preserve"> </w:t>
      </w:r>
      <w:r w:rsidRPr="00422A2C">
        <w:rPr>
          <w:rFonts w:ascii="Arial" w:hAnsi="Arial" w:cs="Arial"/>
          <w:bCs/>
          <w:sz w:val="22"/>
          <w:szCs w:val="22"/>
          <w:lang w:val="fr-FR"/>
        </w:rPr>
        <w:t>éclaircissement</w:t>
      </w:r>
      <w:r>
        <w:rPr>
          <w:rFonts w:ascii="Arial" w:hAnsi="Arial" w:cs="Arial"/>
          <w:bCs/>
          <w:sz w:val="22"/>
          <w:szCs w:val="22"/>
          <w:lang w:val="fr-FR"/>
        </w:rPr>
        <w:t xml:space="preserve"> </w:t>
      </w:r>
      <w:r w:rsidRPr="00422A2C">
        <w:rPr>
          <w:rFonts w:ascii="Arial" w:hAnsi="Arial" w:cs="Arial"/>
          <w:bCs/>
          <w:sz w:val="22"/>
          <w:szCs w:val="22"/>
          <w:lang w:val="fr-FR"/>
        </w:rPr>
        <w:t>dans l</w:t>
      </w:r>
      <w:r w:rsidR="008E532B">
        <w:rPr>
          <w:rFonts w:ascii="Arial" w:hAnsi="Arial" w:cs="Arial"/>
          <w:bCs/>
          <w:sz w:val="22"/>
          <w:szCs w:val="22"/>
          <w:lang w:val="fr-FR"/>
        </w:rPr>
        <w:t>’</w:t>
      </w:r>
      <w:r w:rsidRPr="00422A2C">
        <w:rPr>
          <w:rFonts w:ascii="Arial" w:hAnsi="Arial" w:cs="Arial"/>
          <w:bCs/>
          <w:sz w:val="22"/>
          <w:szCs w:val="22"/>
          <w:lang w:val="fr-FR"/>
        </w:rPr>
        <w:t>éventu</w:t>
      </w:r>
      <w:r>
        <w:rPr>
          <w:rFonts w:ascii="Arial" w:hAnsi="Arial" w:cs="Arial"/>
          <w:bCs/>
          <w:sz w:val="22"/>
          <w:szCs w:val="22"/>
          <w:lang w:val="fr-FR"/>
        </w:rPr>
        <w:t xml:space="preserve">alité de </w:t>
      </w:r>
      <w:r w:rsidRPr="00422A2C">
        <w:rPr>
          <w:rFonts w:ascii="Arial" w:hAnsi="Arial" w:cs="Arial"/>
          <w:bCs/>
          <w:sz w:val="22"/>
          <w:szCs w:val="22"/>
          <w:lang w:val="fr-FR"/>
        </w:rPr>
        <w:t>futurs cas portés</w:t>
      </w:r>
      <w:r>
        <w:rPr>
          <w:rFonts w:ascii="Arial" w:hAnsi="Arial" w:cs="Arial"/>
          <w:bCs/>
          <w:sz w:val="22"/>
          <w:szCs w:val="22"/>
          <w:lang w:val="fr-FR"/>
        </w:rPr>
        <w:t xml:space="preserve"> à l</w:t>
      </w:r>
      <w:r w:rsidR="008E532B">
        <w:rPr>
          <w:rFonts w:ascii="Arial" w:hAnsi="Arial" w:cs="Arial"/>
          <w:bCs/>
          <w:sz w:val="22"/>
          <w:szCs w:val="22"/>
          <w:lang w:val="fr-FR"/>
        </w:rPr>
        <w:t>’</w:t>
      </w:r>
      <w:r>
        <w:rPr>
          <w:rFonts w:ascii="Arial" w:hAnsi="Arial" w:cs="Arial"/>
          <w:bCs/>
          <w:sz w:val="22"/>
          <w:szCs w:val="22"/>
          <w:lang w:val="fr-FR"/>
        </w:rPr>
        <w:t>attention du</w:t>
      </w:r>
      <w:r w:rsidRPr="00422A2C">
        <w:rPr>
          <w:rFonts w:ascii="Arial" w:hAnsi="Arial" w:cs="Arial"/>
          <w:bCs/>
          <w:sz w:val="22"/>
          <w:szCs w:val="22"/>
          <w:lang w:val="fr-FR"/>
        </w:rPr>
        <w:t xml:space="preserve"> Comité. La délégation </w:t>
      </w:r>
      <w:r>
        <w:rPr>
          <w:rFonts w:ascii="Arial" w:hAnsi="Arial" w:cs="Arial"/>
          <w:bCs/>
          <w:sz w:val="22"/>
          <w:szCs w:val="22"/>
          <w:lang w:val="fr-FR"/>
        </w:rPr>
        <w:t xml:space="preserve">souhaitait </w:t>
      </w:r>
      <w:r w:rsidRPr="00422A2C">
        <w:rPr>
          <w:rFonts w:ascii="Arial" w:hAnsi="Arial" w:cs="Arial"/>
          <w:bCs/>
          <w:sz w:val="22"/>
          <w:szCs w:val="22"/>
          <w:lang w:val="fr-FR"/>
        </w:rPr>
        <w:t>également entendre l</w:t>
      </w:r>
      <w:r w:rsidR="008E532B">
        <w:rPr>
          <w:rFonts w:ascii="Arial" w:hAnsi="Arial" w:cs="Arial"/>
          <w:bCs/>
          <w:sz w:val="22"/>
          <w:szCs w:val="22"/>
          <w:lang w:val="fr-FR"/>
        </w:rPr>
        <w:t>’</w:t>
      </w:r>
      <w:r w:rsidRPr="00422A2C">
        <w:rPr>
          <w:rFonts w:ascii="Arial" w:hAnsi="Arial" w:cs="Arial"/>
          <w:bCs/>
          <w:sz w:val="22"/>
          <w:szCs w:val="22"/>
          <w:lang w:val="fr-FR"/>
        </w:rPr>
        <w:t>avis du Conseiller juridique pour voir comment cela serait reconnu comme un cas légitime, pleinement approuvé par l</w:t>
      </w:r>
      <w:r w:rsidR="008E532B">
        <w:rPr>
          <w:rFonts w:ascii="Arial" w:hAnsi="Arial" w:cs="Arial"/>
          <w:bCs/>
          <w:sz w:val="22"/>
          <w:szCs w:val="22"/>
          <w:lang w:val="fr-FR"/>
        </w:rPr>
        <w:t>’</w:t>
      </w:r>
      <w:r w:rsidRPr="00422A2C">
        <w:rPr>
          <w:rFonts w:ascii="Arial" w:hAnsi="Arial" w:cs="Arial"/>
          <w:bCs/>
          <w:sz w:val="22"/>
          <w:szCs w:val="22"/>
          <w:lang w:val="fr-FR"/>
        </w:rPr>
        <w:t xml:space="preserve">Assemblée. Comme indiqué précédemment, la délégation ne souhaiterait pas que cette </w:t>
      </w:r>
      <w:r>
        <w:rPr>
          <w:rFonts w:ascii="Arial" w:hAnsi="Arial" w:cs="Arial"/>
          <w:bCs/>
          <w:sz w:val="22"/>
          <w:szCs w:val="22"/>
          <w:lang w:val="fr-FR"/>
        </w:rPr>
        <w:t>procédure</w:t>
      </w:r>
      <w:r w:rsidRPr="00422A2C">
        <w:rPr>
          <w:rFonts w:ascii="Arial" w:hAnsi="Arial" w:cs="Arial"/>
          <w:bCs/>
          <w:sz w:val="22"/>
          <w:szCs w:val="22"/>
          <w:lang w:val="fr-FR"/>
        </w:rPr>
        <w:t xml:space="preserve"> rapide soit à nouveau utilisée. Elle préfère</w:t>
      </w:r>
      <w:r>
        <w:rPr>
          <w:rFonts w:ascii="Arial" w:hAnsi="Arial" w:cs="Arial"/>
          <w:bCs/>
          <w:sz w:val="22"/>
          <w:szCs w:val="22"/>
          <w:lang w:val="fr-FR"/>
        </w:rPr>
        <w:t>rait</w:t>
      </w:r>
      <w:r w:rsidRPr="00422A2C">
        <w:rPr>
          <w:rFonts w:ascii="Arial" w:hAnsi="Arial" w:cs="Arial"/>
          <w:bCs/>
          <w:sz w:val="22"/>
          <w:szCs w:val="22"/>
          <w:lang w:val="fr-FR"/>
        </w:rPr>
        <w:t xml:space="preserve"> </w:t>
      </w:r>
      <w:r>
        <w:rPr>
          <w:rFonts w:ascii="Arial" w:hAnsi="Arial" w:cs="Arial"/>
          <w:bCs/>
          <w:sz w:val="22"/>
          <w:szCs w:val="22"/>
          <w:lang w:val="fr-FR"/>
        </w:rPr>
        <w:t xml:space="preserve">avoir recours à </w:t>
      </w:r>
      <w:r w:rsidRPr="00422A2C">
        <w:rPr>
          <w:rFonts w:ascii="Arial" w:hAnsi="Arial" w:cs="Arial"/>
          <w:bCs/>
          <w:sz w:val="22"/>
          <w:szCs w:val="22"/>
          <w:lang w:val="fr-FR"/>
        </w:rPr>
        <w:t>l</w:t>
      </w:r>
      <w:r w:rsidR="008E532B">
        <w:rPr>
          <w:rFonts w:ascii="Arial" w:hAnsi="Arial" w:cs="Arial"/>
          <w:bCs/>
          <w:sz w:val="22"/>
          <w:szCs w:val="22"/>
          <w:lang w:val="fr-FR"/>
        </w:rPr>
        <w:t>’</w:t>
      </w:r>
      <w:r w:rsidRPr="00422A2C">
        <w:rPr>
          <w:rFonts w:ascii="Arial" w:hAnsi="Arial" w:cs="Arial"/>
          <w:bCs/>
          <w:sz w:val="22"/>
          <w:szCs w:val="22"/>
          <w:lang w:val="fr-FR"/>
        </w:rPr>
        <w:t>article 17.3, dont la procédure p</w:t>
      </w:r>
      <w:r>
        <w:rPr>
          <w:rFonts w:ascii="Arial" w:hAnsi="Arial" w:cs="Arial"/>
          <w:bCs/>
          <w:sz w:val="22"/>
          <w:szCs w:val="22"/>
          <w:lang w:val="fr-FR"/>
        </w:rPr>
        <w:t>ouvait</w:t>
      </w:r>
      <w:r w:rsidRPr="00422A2C">
        <w:rPr>
          <w:rFonts w:ascii="Arial" w:hAnsi="Arial" w:cs="Arial"/>
          <w:bCs/>
          <w:sz w:val="22"/>
          <w:szCs w:val="22"/>
          <w:lang w:val="fr-FR"/>
        </w:rPr>
        <w:t xml:space="preserve"> effectivement nécessiter quelques</w:t>
      </w:r>
      <w:r>
        <w:rPr>
          <w:rFonts w:ascii="Arial" w:hAnsi="Arial" w:cs="Arial"/>
          <w:bCs/>
          <w:sz w:val="22"/>
          <w:szCs w:val="22"/>
          <w:lang w:val="fr-FR"/>
        </w:rPr>
        <w:t xml:space="preserve"> </w:t>
      </w:r>
      <w:r w:rsidRPr="00422A2C">
        <w:rPr>
          <w:rFonts w:ascii="Arial" w:hAnsi="Arial" w:cs="Arial"/>
          <w:bCs/>
          <w:sz w:val="22"/>
          <w:szCs w:val="22"/>
          <w:lang w:val="fr-FR"/>
        </w:rPr>
        <w:t>éclaircissements, comme l</w:t>
      </w:r>
      <w:r w:rsidR="008E532B">
        <w:rPr>
          <w:rFonts w:ascii="Arial" w:hAnsi="Arial" w:cs="Arial"/>
          <w:bCs/>
          <w:sz w:val="22"/>
          <w:szCs w:val="22"/>
          <w:lang w:val="fr-FR"/>
        </w:rPr>
        <w:t>’</w:t>
      </w:r>
      <w:r>
        <w:rPr>
          <w:rFonts w:ascii="Arial" w:hAnsi="Arial" w:cs="Arial"/>
          <w:bCs/>
          <w:sz w:val="22"/>
          <w:szCs w:val="22"/>
          <w:lang w:val="fr-FR"/>
        </w:rPr>
        <w:t>avaient</w:t>
      </w:r>
      <w:r w:rsidRPr="00422A2C">
        <w:rPr>
          <w:rFonts w:ascii="Arial" w:hAnsi="Arial" w:cs="Arial"/>
          <w:bCs/>
          <w:sz w:val="22"/>
          <w:szCs w:val="22"/>
          <w:lang w:val="fr-FR"/>
        </w:rPr>
        <w:t xml:space="preserve"> mentionné à juste titre la Palestine, Chypre et d</w:t>
      </w:r>
      <w:r w:rsidR="008E532B">
        <w:rPr>
          <w:rFonts w:ascii="Arial" w:hAnsi="Arial" w:cs="Arial"/>
          <w:bCs/>
          <w:sz w:val="22"/>
          <w:szCs w:val="22"/>
          <w:lang w:val="fr-FR"/>
        </w:rPr>
        <w:t>’</w:t>
      </w:r>
      <w:r w:rsidRPr="00422A2C">
        <w:rPr>
          <w:rFonts w:ascii="Arial" w:hAnsi="Arial" w:cs="Arial"/>
          <w:bCs/>
          <w:sz w:val="22"/>
          <w:szCs w:val="22"/>
          <w:lang w:val="fr-FR"/>
        </w:rPr>
        <w:t>autres</w:t>
      </w:r>
      <w:r>
        <w:rPr>
          <w:rFonts w:ascii="Arial" w:hAnsi="Arial" w:cs="Arial"/>
          <w:bCs/>
          <w:sz w:val="22"/>
          <w:szCs w:val="22"/>
          <w:lang w:val="fr-FR"/>
        </w:rPr>
        <w:t xml:space="preserve"> </w:t>
      </w:r>
      <w:r w:rsidRPr="00422A2C">
        <w:rPr>
          <w:rFonts w:ascii="Arial" w:hAnsi="Arial" w:cs="Arial"/>
          <w:bCs/>
          <w:sz w:val="22"/>
          <w:szCs w:val="22"/>
          <w:lang w:val="fr-FR"/>
        </w:rPr>
        <w:t>délégatio</w:t>
      </w:r>
      <w:r>
        <w:rPr>
          <w:rFonts w:ascii="Arial" w:hAnsi="Arial" w:cs="Arial"/>
          <w:bCs/>
          <w:sz w:val="22"/>
          <w:szCs w:val="22"/>
          <w:lang w:val="fr-FR"/>
        </w:rPr>
        <w:t>ns</w:t>
      </w:r>
      <w:r w:rsidRPr="00422A2C">
        <w:rPr>
          <w:rFonts w:ascii="Arial" w:hAnsi="Arial" w:cs="Arial"/>
          <w:bCs/>
          <w:sz w:val="22"/>
          <w:szCs w:val="22"/>
          <w:lang w:val="fr-FR"/>
        </w:rPr>
        <w:t>.</w:t>
      </w:r>
    </w:p>
    <w:p w14:paraId="3A07C269" w14:textId="2BE9334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92A3D">
        <w:rPr>
          <w:rFonts w:ascii="Arial" w:hAnsi="Arial" w:cs="Arial"/>
          <w:bCs/>
          <w:sz w:val="22"/>
          <w:szCs w:val="22"/>
          <w:lang w:val="fr-FR"/>
        </w:rPr>
        <w:t xml:space="preserve">La délégation de la </w:t>
      </w:r>
      <w:r w:rsidRPr="00292A3D">
        <w:rPr>
          <w:rFonts w:ascii="Arial" w:hAnsi="Arial" w:cs="Arial"/>
          <w:b/>
          <w:sz w:val="22"/>
          <w:szCs w:val="22"/>
          <w:lang w:val="fr-FR"/>
        </w:rPr>
        <w:t>Palestine</w:t>
      </w:r>
      <w:r w:rsidRPr="00292A3D">
        <w:rPr>
          <w:rFonts w:ascii="Arial" w:hAnsi="Arial" w:cs="Arial"/>
          <w:bCs/>
          <w:sz w:val="22"/>
          <w:szCs w:val="22"/>
          <w:lang w:val="fr-FR"/>
        </w:rPr>
        <w:t xml:space="preserve"> </w:t>
      </w:r>
      <w:r>
        <w:rPr>
          <w:rFonts w:ascii="Arial" w:hAnsi="Arial" w:cs="Arial"/>
          <w:bCs/>
          <w:sz w:val="22"/>
          <w:szCs w:val="22"/>
          <w:lang w:val="fr-FR"/>
        </w:rPr>
        <w:t xml:space="preserve">pensait </w:t>
      </w:r>
      <w:r w:rsidRPr="00292A3D">
        <w:rPr>
          <w:rFonts w:ascii="Arial" w:hAnsi="Arial" w:cs="Arial"/>
          <w:bCs/>
          <w:sz w:val="22"/>
          <w:szCs w:val="22"/>
          <w:lang w:val="fr-FR"/>
        </w:rPr>
        <w:t>qu</w:t>
      </w:r>
      <w:r w:rsidR="008E532B">
        <w:rPr>
          <w:rFonts w:ascii="Arial" w:hAnsi="Arial" w:cs="Arial"/>
          <w:bCs/>
          <w:sz w:val="22"/>
          <w:szCs w:val="22"/>
          <w:lang w:val="fr-FR"/>
        </w:rPr>
        <w:t>’</w:t>
      </w:r>
      <w:r w:rsidRPr="00292A3D">
        <w:rPr>
          <w:rFonts w:ascii="Arial" w:hAnsi="Arial" w:cs="Arial"/>
          <w:bCs/>
          <w:sz w:val="22"/>
          <w:szCs w:val="22"/>
          <w:lang w:val="fr-FR"/>
        </w:rPr>
        <w:t xml:space="preserve">il y avait un malentendu. Aucun État partie ne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était</w:t>
      </w:r>
      <w:r w:rsidRPr="00292A3D">
        <w:rPr>
          <w:rFonts w:ascii="Arial" w:hAnsi="Arial" w:cs="Arial"/>
          <w:bCs/>
          <w:sz w:val="22"/>
          <w:szCs w:val="22"/>
          <w:lang w:val="fr-FR"/>
        </w:rPr>
        <w:t xml:space="preserve"> opposé à l</w:t>
      </w:r>
      <w:r w:rsidR="008E532B">
        <w:rPr>
          <w:rFonts w:ascii="Arial" w:hAnsi="Arial" w:cs="Arial"/>
          <w:bCs/>
          <w:sz w:val="22"/>
          <w:szCs w:val="22"/>
          <w:lang w:val="fr-FR"/>
        </w:rPr>
        <w:t>’</w:t>
      </w:r>
      <w:r w:rsidRPr="00292A3D">
        <w:rPr>
          <w:rFonts w:ascii="Arial" w:hAnsi="Arial" w:cs="Arial"/>
          <w:bCs/>
          <w:sz w:val="22"/>
          <w:szCs w:val="22"/>
          <w:lang w:val="fr-FR"/>
        </w:rPr>
        <w:t xml:space="preserve">inscription de la </w:t>
      </w:r>
      <w:r>
        <w:rPr>
          <w:rFonts w:ascii="Arial" w:hAnsi="Arial" w:cs="Arial"/>
          <w:bCs/>
          <w:sz w:val="22"/>
          <w:szCs w:val="22"/>
          <w:lang w:val="fr-FR"/>
        </w:rPr>
        <w:t xml:space="preserve">soupe au giraumon et </w:t>
      </w:r>
      <w:r w:rsidRPr="00292A3D">
        <w:rPr>
          <w:rFonts w:ascii="Arial" w:hAnsi="Arial" w:cs="Arial"/>
          <w:bCs/>
          <w:sz w:val="22"/>
          <w:szCs w:val="22"/>
          <w:lang w:val="fr-FR"/>
        </w:rPr>
        <w:t xml:space="preserve">tout le monde </w:t>
      </w:r>
      <w:r>
        <w:rPr>
          <w:rFonts w:ascii="Arial" w:hAnsi="Arial" w:cs="Arial"/>
          <w:bCs/>
          <w:sz w:val="22"/>
          <w:szCs w:val="22"/>
          <w:lang w:val="fr-FR"/>
        </w:rPr>
        <w:t xml:space="preserve">avait adressé </w:t>
      </w:r>
      <w:r w:rsidRPr="00292A3D">
        <w:rPr>
          <w:rFonts w:ascii="Arial" w:hAnsi="Arial" w:cs="Arial"/>
          <w:bCs/>
          <w:sz w:val="22"/>
          <w:szCs w:val="22"/>
          <w:lang w:val="fr-FR"/>
        </w:rPr>
        <w:t xml:space="preserve">ses félicitations à Haïti, y compris la Grenade. </w:t>
      </w:r>
      <w:r>
        <w:rPr>
          <w:rFonts w:ascii="Arial" w:hAnsi="Arial" w:cs="Arial"/>
          <w:bCs/>
          <w:sz w:val="22"/>
          <w:szCs w:val="22"/>
          <w:lang w:val="fr-FR"/>
        </w:rPr>
        <w:t xml:space="preserve">La </w:t>
      </w:r>
      <w:r w:rsidRPr="00292A3D">
        <w:rPr>
          <w:rFonts w:ascii="Arial" w:hAnsi="Arial" w:cs="Arial"/>
          <w:bCs/>
          <w:sz w:val="22"/>
          <w:szCs w:val="22"/>
          <w:lang w:val="fr-FR"/>
        </w:rPr>
        <w:t>délégation n</w:t>
      </w:r>
      <w:r w:rsidR="008E532B">
        <w:rPr>
          <w:rFonts w:ascii="Arial" w:hAnsi="Arial" w:cs="Arial"/>
          <w:bCs/>
          <w:sz w:val="22"/>
          <w:szCs w:val="22"/>
          <w:lang w:val="fr-FR"/>
        </w:rPr>
        <w:t>’</w:t>
      </w:r>
      <w:r w:rsidRPr="00292A3D">
        <w:rPr>
          <w:rFonts w:ascii="Arial" w:hAnsi="Arial" w:cs="Arial"/>
          <w:bCs/>
          <w:sz w:val="22"/>
          <w:szCs w:val="22"/>
          <w:lang w:val="fr-FR"/>
        </w:rPr>
        <w:t>était pas d</w:t>
      </w:r>
      <w:r w:rsidR="008E532B">
        <w:rPr>
          <w:rFonts w:ascii="Arial" w:hAnsi="Arial" w:cs="Arial"/>
          <w:bCs/>
          <w:sz w:val="22"/>
          <w:szCs w:val="22"/>
          <w:lang w:val="fr-FR"/>
        </w:rPr>
        <w:t>’</w:t>
      </w:r>
      <w:r w:rsidRPr="00292A3D">
        <w:rPr>
          <w:rFonts w:ascii="Arial" w:hAnsi="Arial" w:cs="Arial"/>
          <w:bCs/>
          <w:sz w:val="22"/>
          <w:szCs w:val="22"/>
          <w:lang w:val="fr-FR"/>
        </w:rPr>
        <w:t>accord avec l</w:t>
      </w:r>
      <w:r w:rsidR="008E532B">
        <w:rPr>
          <w:rFonts w:ascii="Arial" w:hAnsi="Arial" w:cs="Arial"/>
          <w:bCs/>
          <w:sz w:val="22"/>
          <w:szCs w:val="22"/>
          <w:lang w:val="fr-FR"/>
        </w:rPr>
        <w:t>’</w:t>
      </w:r>
      <w:r>
        <w:rPr>
          <w:rFonts w:ascii="Arial" w:hAnsi="Arial" w:cs="Arial"/>
          <w:bCs/>
          <w:sz w:val="22"/>
          <w:szCs w:val="22"/>
          <w:lang w:val="fr-FR"/>
        </w:rPr>
        <w:t>É</w:t>
      </w:r>
      <w:r w:rsidRPr="00292A3D">
        <w:rPr>
          <w:rFonts w:ascii="Arial" w:hAnsi="Arial" w:cs="Arial"/>
          <w:bCs/>
          <w:sz w:val="22"/>
          <w:szCs w:val="22"/>
          <w:lang w:val="fr-FR"/>
        </w:rPr>
        <w:t>thiopie en ce sens que l</w:t>
      </w:r>
      <w:r w:rsidR="008E532B">
        <w:rPr>
          <w:rFonts w:ascii="Arial" w:hAnsi="Arial" w:cs="Arial"/>
          <w:bCs/>
          <w:sz w:val="22"/>
          <w:szCs w:val="22"/>
          <w:lang w:val="fr-FR"/>
        </w:rPr>
        <w:t>’</w:t>
      </w:r>
      <w:r w:rsidRPr="00292A3D">
        <w:rPr>
          <w:rFonts w:ascii="Arial" w:hAnsi="Arial" w:cs="Arial"/>
          <w:bCs/>
          <w:sz w:val="22"/>
          <w:szCs w:val="22"/>
          <w:lang w:val="fr-FR"/>
        </w:rPr>
        <w:t xml:space="preserve">Assemblée ne pouvait pas, pour des raisons juridiques, approuver pleinement cette procédure sans faire référence </w:t>
      </w:r>
      <w:r>
        <w:rPr>
          <w:rFonts w:ascii="Arial" w:hAnsi="Arial" w:cs="Arial"/>
          <w:bCs/>
          <w:sz w:val="22"/>
          <w:szCs w:val="22"/>
          <w:lang w:val="fr-FR"/>
        </w:rPr>
        <w:t>aux</w:t>
      </w:r>
      <w:r w:rsidRPr="00292A3D">
        <w:rPr>
          <w:rFonts w:ascii="Arial" w:hAnsi="Arial" w:cs="Arial"/>
          <w:bCs/>
          <w:sz w:val="22"/>
          <w:szCs w:val="22"/>
          <w:lang w:val="fr-FR"/>
        </w:rPr>
        <w:t xml:space="preserve"> Directives opérationnelles. La délégation a suggéré un compromis entre </w:t>
      </w:r>
      <w:r>
        <w:rPr>
          <w:rFonts w:ascii="Arial" w:hAnsi="Arial" w:cs="Arial"/>
          <w:bCs/>
          <w:sz w:val="22"/>
          <w:szCs w:val="22"/>
          <w:lang w:val="fr-FR"/>
        </w:rPr>
        <w:t>« A</w:t>
      </w:r>
      <w:r w:rsidRPr="00292A3D">
        <w:rPr>
          <w:rFonts w:ascii="Arial" w:hAnsi="Arial" w:cs="Arial"/>
          <w:bCs/>
          <w:sz w:val="22"/>
          <w:szCs w:val="22"/>
          <w:lang w:val="fr-FR"/>
        </w:rPr>
        <w:t>pprouve</w:t>
      </w:r>
      <w:r>
        <w:rPr>
          <w:rFonts w:ascii="Arial" w:hAnsi="Arial" w:cs="Arial"/>
          <w:bCs/>
          <w:sz w:val="22"/>
          <w:szCs w:val="22"/>
          <w:lang w:val="fr-FR"/>
        </w:rPr>
        <w:t> »</w:t>
      </w:r>
      <w:r w:rsidRPr="00292A3D">
        <w:rPr>
          <w:rFonts w:ascii="Arial" w:hAnsi="Arial" w:cs="Arial"/>
          <w:bCs/>
          <w:sz w:val="22"/>
          <w:szCs w:val="22"/>
          <w:lang w:val="fr-FR"/>
        </w:rPr>
        <w:t xml:space="preserve"> et </w:t>
      </w:r>
      <w:r>
        <w:rPr>
          <w:rFonts w:ascii="Arial" w:hAnsi="Arial" w:cs="Arial"/>
          <w:bCs/>
          <w:sz w:val="22"/>
          <w:szCs w:val="22"/>
          <w:lang w:val="fr-FR"/>
        </w:rPr>
        <w:t>« P</w:t>
      </w:r>
      <w:r w:rsidRPr="00292A3D">
        <w:rPr>
          <w:rFonts w:ascii="Arial" w:hAnsi="Arial" w:cs="Arial"/>
          <w:bCs/>
          <w:sz w:val="22"/>
          <w:szCs w:val="22"/>
          <w:lang w:val="fr-FR"/>
        </w:rPr>
        <w:t>rend note</w:t>
      </w:r>
      <w:r>
        <w:rPr>
          <w:rFonts w:ascii="Arial" w:hAnsi="Arial" w:cs="Arial"/>
          <w:bCs/>
          <w:sz w:val="22"/>
          <w:szCs w:val="22"/>
          <w:lang w:val="fr-FR"/>
        </w:rPr>
        <w:t xml:space="preserve"> » avec, </w:t>
      </w:r>
      <w:r w:rsidRPr="00292A3D">
        <w:rPr>
          <w:rFonts w:ascii="Arial" w:hAnsi="Arial" w:cs="Arial"/>
          <w:bCs/>
          <w:sz w:val="22"/>
          <w:szCs w:val="22"/>
          <w:lang w:val="fr-FR"/>
        </w:rPr>
        <w:t xml:space="preserve">par exemple, </w:t>
      </w:r>
      <w:r>
        <w:rPr>
          <w:rFonts w:ascii="Arial" w:hAnsi="Arial" w:cs="Arial"/>
          <w:bCs/>
          <w:sz w:val="22"/>
          <w:szCs w:val="22"/>
          <w:lang w:val="fr-FR"/>
        </w:rPr>
        <w:t>« P</w:t>
      </w:r>
      <w:r w:rsidRPr="00292A3D">
        <w:rPr>
          <w:rFonts w:ascii="Arial" w:hAnsi="Arial" w:cs="Arial"/>
          <w:bCs/>
          <w:sz w:val="22"/>
          <w:szCs w:val="22"/>
          <w:lang w:val="fr-FR"/>
        </w:rPr>
        <w:t>rend note avec satisfaction</w:t>
      </w:r>
      <w:r>
        <w:rPr>
          <w:rFonts w:ascii="Arial" w:hAnsi="Arial" w:cs="Arial"/>
          <w:bCs/>
          <w:sz w:val="22"/>
          <w:szCs w:val="22"/>
          <w:lang w:val="fr-FR"/>
        </w:rPr>
        <w:t> »</w:t>
      </w:r>
      <w:r w:rsidRPr="00292A3D">
        <w:rPr>
          <w:rFonts w:ascii="Arial" w:hAnsi="Arial" w:cs="Arial"/>
          <w:bCs/>
          <w:sz w:val="22"/>
          <w:szCs w:val="22"/>
          <w:lang w:val="fr-FR"/>
        </w:rPr>
        <w:t xml:space="preserve">, ce qui serait la meilleure façon de respecter le travail </w:t>
      </w:r>
      <w:r>
        <w:rPr>
          <w:rFonts w:ascii="Arial" w:hAnsi="Arial" w:cs="Arial"/>
          <w:bCs/>
          <w:sz w:val="22"/>
          <w:szCs w:val="22"/>
          <w:lang w:val="fr-FR"/>
        </w:rPr>
        <w:t xml:space="preserve">à venir </w:t>
      </w:r>
      <w:r w:rsidRPr="00292A3D">
        <w:rPr>
          <w:rFonts w:ascii="Arial" w:hAnsi="Arial" w:cs="Arial"/>
          <w:bCs/>
          <w:sz w:val="22"/>
          <w:szCs w:val="22"/>
          <w:lang w:val="fr-FR"/>
        </w:rPr>
        <w:t>de l</w:t>
      </w:r>
      <w:r w:rsidR="008E532B">
        <w:rPr>
          <w:rFonts w:ascii="Arial" w:hAnsi="Arial" w:cs="Arial"/>
          <w:bCs/>
          <w:sz w:val="22"/>
          <w:szCs w:val="22"/>
          <w:lang w:val="fr-FR"/>
        </w:rPr>
        <w:t>’</w:t>
      </w:r>
      <w:r w:rsidRPr="00292A3D">
        <w:rPr>
          <w:rFonts w:ascii="Arial" w:hAnsi="Arial" w:cs="Arial"/>
          <w:bCs/>
          <w:sz w:val="22"/>
          <w:szCs w:val="22"/>
          <w:lang w:val="fr-FR"/>
        </w:rPr>
        <w:t xml:space="preserve">Assemblée et des groupes de travail [en cours]. Cela garantirait </w:t>
      </w:r>
      <w:r>
        <w:rPr>
          <w:rFonts w:ascii="Arial" w:hAnsi="Arial" w:cs="Arial"/>
          <w:bCs/>
          <w:sz w:val="22"/>
          <w:szCs w:val="22"/>
          <w:lang w:val="fr-FR"/>
        </w:rPr>
        <w:t>que cette question était prise en compte d</w:t>
      </w:r>
      <w:r w:rsidR="008E532B">
        <w:rPr>
          <w:rFonts w:ascii="Arial" w:hAnsi="Arial" w:cs="Arial"/>
          <w:bCs/>
          <w:sz w:val="22"/>
          <w:szCs w:val="22"/>
          <w:lang w:val="fr-FR"/>
        </w:rPr>
        <w:t>’</w:t>
      </w:r>
      <w:r>
        <w:rPr>
          <w:rFonts w:ascii="Arial" w:hAnsi="Arial" w:cs="Arial"/>
          <w:bCs/>
          <w:sz w:val="22"/>
          <w:szCs w:val="22"/>
          <w:lang w:val="fr-FR"/>
        </w:rPr>
        <w:t xml:space="preserve">un point de vue juridique, </w:t>
      </w:r>
      <w:r w:rsidRPr="00292A3D">
        <w:rPr>
          <w:rFonts w:ascii="Arial" w:hAnsi="Arial" w:cs="Arial"/>
          <w:bCs/>
          <w:sz w:val="22"/>
          <w:szCs w:val="22"/>
          <w:lang w:val="fr-FR"/>
        </w:rPr>
        <w:t xml:space="preserve">de manière à refléter ces procédures dans le texte juridique de la Convention et, surtout, dans les </w:t>
      </w:r>
      <w:r>
        <w:rPr>
          <w:rFonts w:ascii="Arial" w:hAnsi="Arial" w:cs="Arial"/>
          <w:bCs/>
          <w:sz w:val="22"/>
          <w:szCs w:val="22"/>
          <w:lang w:val="fr-FR"/>
        </w:rPr>
        <w:t>D</w:t>
      </w:r>
      <w:r w:rsidRPr="00292A3D">
        <w:rPr>
          <w:rFonts w:ascii="Arial" w:hAnsi="Arial" w:cs="Arial"/>
          <w:bCs/>
          <w:sz w:val="22"/>
          <w:szCs w:val="22"/>
          <w:lang w:val="fr-FR"/>
        </w:rPr>
        <w:t>irectives opérationnelles.</w:t>
      </w:r>
    </w:p>
    <w:p w14:paraId="56BA027F" w14:textId="4FAF3FC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35673">
        <w:rPr>
          <w:rFonts w:ascii="Arial" w:hAnsi="Arial" w:cs="Arial"/>
          <w:bCs/>
          <w:sz w:val="22"/>
          <w:szCs w:val="22"/>
          <w:lang w:val="fr-FR"/>
        </w:rPr>
        <w:t xml:space="preserve">La délégation de </w:t>
      </w:r>
      <w:r w:rsidRPr="00C35673">
        <w:rPr>
          <w:rFonts w:ascii="Arial" w:hAnsi="Arial" w:cs="Arial"/>
          <w:b/>
          <w:sz w:val="22"/>
          <w:szCs w:val="22"/>
          <w:lang w:val="fr-FR"/>
        </w:rPr>
        <w:t>Djibouti</w:t>
      </w:r>
      <w:r w:rsidRPr="00C35673">
        <w:rPr>
          <w:rFonts w:ascii="Arial" w:hAnsi="Arial" w:cs="Arial"/>
          <w:bCs/>
          <w:sz w:val="22"/>
          <w:szCs w:val="22"/>
          <w:lang w:val="fr-FR"/>
        </w:rPr>
        <w:t xml:space="preserve"> a rappelé qu</w:t>
      </w:r>
      <w:r w:rsidR="008E532B">
        <w:rPr>
          <w:rFonts w:ascii="Arial" w:hAnsi="Arial" w:cs="Arial"/>
          <w:bCs/>
          <w:sz w:val="22"/>
          <w:szCs w:val="22"/>
          <w:lang w:val="fr-FR"/>
        </w:rPr>
        <w:t>’</w:t>
      </w:r>
      <w:r w:rsidRPr="00C35673">
        <w:rPr>
          <w:rFonts w:ascii="Arial" w:hAnsi="Arial" w:cs="Arial"/>
          <w:bCs/>
          <w:sz w:val="22"/>
          <w:szCs w:val="22"/>
          <w:lang w:val="fr-FR"/>
        </w:rPr>
        <w:t>elle était présente dans la salle lors</w:t>
      </w:r>
      <w:r>
        <w:rPr>
          <w:rFonts w:ascii="Arial" w:hAnsi="Arial" w:cs="Arial"/>
          <w:bCs/>
          <w:sz w:val="22"/>
          <w:szCs w:val="22"/>
          <w:lang w:val="fr-FR"/>
        </w:rPr>
        <w:t>que cet élément avait été défendu et</w:t>
      </w:r>
      <w:r w:rsidRPr="00C35673">
        <w:rPr>
          <w:rFonts w:ascii="Arial" w:hAnsi="Arial" w:cs="Arial"/>
          <w:bCs/>
          <w:sz w:val="22"/>
          <w:szCs w:val="22"/>
          <w:lang w:val="fr-FR"/>
        </w:rPr>
        <w:t xml:space="preserve"> que</w:t>
      </w:r>
      <w:r>
        <w:rPr>
          <w:rFonts w:ascii="Arial" w:hAnsi="Arial" w:cs="Arial"/>
          <w:bCs/>
          <w:sz w:val="22"/>
          <w:szCs w:val="22"/>
          <w:lang w:val="fr-FR"/>
        </w:rPr>
        <w:t xml:space="preserve"> </w:t>
      </w:r>
      <w:r w:rsidRPr="00C35673">
        <w:rPr>
          <w:rFonts w:ascii="Arial" w:hAnsi="Arial" w:cs="Arial"/>
          <w:bCs/>
          <w:sz w:val="22"/>
          <w:szCs w:val="22"/>
          <w:lang w:val="fr-FR"/>
        </w:rPr>
        <w:t>l</w:t>
      </w:r>
      <w:r w:rsidR="008E532B">
        <w:rPr>
          <w:rFonts w:ascii="Arial" w:hAnsi="Arial" w:cs="Arial"/>
          <w:bCs/>
          <w:sz w:val="22"/>
          <w:szCs w:val="22"/>
          <w:lang w:val="fr-FR"/>
        </w:rPr>
        <w:t>’</w:t>
      </w:r>
      <w:r w:rsidRPr="00C35673">
        <w:rPr>
          <w:rFonts w:ascii="Arial" w:hAnsi="Arial" w:cs="Arial"/>
          <w:bCs/>
          <w:sz w:val="22"/>
          <w:szCs w:val="22"/>
          <w:lang w:val="fr-FR"/>
        </w:rPr>
        <w:t xml:space="preserve">Assemblée ne devrait pas commencer à modifier des mots qui </w:t>
      </w:r>
      <w:r>
        <w:rPr>
          <w:rFonts w:ascii="Arial" w:hAnsi="Arial" w:cs="Arial"/>
          <w:bCs/>
          <w:sz w:val="22"/>
          <w:szCs w:val="22"/>
          <w:lang w:val="fr-FR"/>
        </w:rPr>
        <w:t xml:space="preserve">avaient </w:t>
      </w:r>
      <w:r w:rsidRPr="00C35673">
        <w:rPr>
          <w:rFonts w:ascii="Arial" w:hAnsi="Arial" w:cs="Arial"/>
          <w:bCs/>
          <w:sz w:val="22"/>
          <w:szCs w:val="22"/>
          <w:lang w:val="fr-FR"/>
        </w:rPr>
        <w:t>une signification importante, surtout à cette heure tardive. Elle soutenait la proposition de l</w:t>
      </w:r>
      <w:r w:rsidR="008E532B">
        <w:rPr>
          <w:rFonts w:ascii="Arial" w:hAnsi="Arial" w:cs="Arial"/>
          <w:bCs/>
          <w:sz w:val="22"/>
          <w:szCs w:val="22"/>
          <w:lang w:val="fr-FR"/>
        </w:rPr>
        <w:t>’</w:t>
      </w:r>
      <w:r w:rsidRPr="00C35673">
        <w:rPr>
          <w:rFonts w:ascii="Arial" w:hAnsi="Arial" w:cs="Arial"/>
          <w:bCs/>
          <w:sz w:val="22"/>
          <w:szCs w:val="22"/>
          <w:lang w:val="fr-FR"/>
        </w:rPr>
        <w:t>Éthiopie de laisser le texte inchangé, voire de l</w:t>
      </w:r>
      <w:r w:rsidR="008E532B">
        <w:rPr>
          <w:rFonts w:ascii="Arial" w:hAnsi="Arial" w:cs="Arial"/>
          <w:bCs/>
          <w:sz w:val="22"/>
          <w:szCs w:val="22"/>
          <w:lang w:val="fr-FR"/>
        </w:rPr>
        <w:t>’</w:t>
      </w:r>
      <w:r w:rsidRPr="00C35673">
        <w:rPr>
          <w:rFonts w:ascii="Arial" w:hAnsi="Arial" w:cs="Arial"/>
          <w:bCs/>
          <w:sz w:val="22"/>
          <w:szCs w:val="22"/>
          <w:lang w:val="fr-FR"/>
        </w:rPr>
        <w:t>améliorer en ajoutant qu</w:t>
      </w:r>
      <w:r w:rsidR="008E532B">
        <w:rPr>
          <w:rFonts w:ascii="Arial" w:hAnsi="Arial" w:cs="Arial"/>
          <w:bCs/>
          <w:sz w:val="22"/>
          <w:szCs w:val="22"/>
          <w:lang w:val="fr-FR"/>
        </w:rPr>
        <w:t>’</w:t>
      </w:r>
      <w:r w:rsidRPr="00C35673">
        <w:rPr>
          <w:rFonts w:ascii="Arial" w:hAnsi="Arial" w:cs="Arial"/>
          <w:bCs/>
          <w:sz w:val="22"/>
          <w:szCs w:val="22"/>
          <w:lang w:val="fr-FR"/>
        </w:rPr>
        <w:t xml:space="preserve">elle approuvait </w:t>
      </w:r>
      <w:r>
        <w:rPr>
          <w:rFonts w:ascii="Arial" w:hAnsi="Arial" w:cs="Arial"/>
          <w:bCs/>
          <w:sz w:val="22"/>
          <w:szCs w:val="22"/>
          <w:lang w:val="fr-FR"/>
        </w:rPr>
        <w:t>« </w:t>
      </w:r>
      <w:r w:rsidRPr="00C35673">
        <w:rPr>
          <w:rFonts w:ascii="Arial" w:hAnsi="Arial" w:cs="Arial"/>
          <w:bCs/>
          <w:sz w:val="22"/>
          <w:szCs w:val="22"/>
          <w:lang w:val="fr-FR"/>
        </w:rPr>
        <w:t>pleinement</w:t>
      </w:r>
      <w:r>
        <w:rPr>
          <w:rFonts w:ascii="Arial" w:hAnsi="Arial" w:cs="Arial"/>
          <w:bCs/>
          <w:sz w:val="22"/>
          <w:szCs w:val="22"/>
          <w:lang w:val="fr-FR"/>
        </w:rPr>
        <w:t> »</w:t>
      </w:r>
      <w:r w:rsidRPr="00C35673">
        <w:rPr>
          <w:rFonts w:ascii="Arial" w:hAnsi="Arial" w:cs="Arial"/>
          <w:bCs/>
          <w:sz w:val="22"/>
          <w:szCs w:val="22"/>
          <w:lang w:val="fr-FR"/>
        </w:rPr>
        <w:t xml:space="preserve"> l</w:t>
      </w:r>
      <w:r w:rsidR="008E532B">
        <w:rPr>
          <w:rFonts w:ascii="Arial" w:hAnsi="Arial" w:cs="Arial"/>
          <w:bCs/>
          <w:sz w:val="22"/>
          <w:szCs w:val="22"/>
          <w:lang w:val="fr-FR"/>
        </w:rPr>
        <w:t>’</w:t>
      </w:r>
      <w:r w:rsidRPr="00C35673">
        <w:rPr>
          <w:rFonts w:ascii="Arial" w:hAnsi="Arial" w:cs="Arial"/>
          <w:bCs/>
          <w:sz w:val="22"/>
          <w:szCs w:val="22"/>
          <w:lang w:val="fr-FR"/>
        </w:rPr>
        <w:t xml:space="preserve">inscription de la </w:t>
      </w:r>
      <w:r>
        <w:rPr>
          <w:rFonts w:ascii="Arial" w:hAnsi="Arial" w:cs="Arial"/>
          <w:bCs/>
          <w:sz w:val="22"/>
          <w:szCs w:val="22"/>
          <w:lang w:val="fr-FR"/>
        </w:rPr>
        <w:t>soupe au giraumon</w:t>
      </w:r>
      <w:r w:rsidRPr="00C35673">
        <w:rPr>
          <w:rFonts w:ascii="Arial" w:hAnsi="Arial" w:cs="Arial"/>
          <w:bCs/>
          <w:sz w:val="22"/>
          <w:szCs w:val="22"/>
          <w:lang w:val="fr-FR"/>
        </w:rPr>
        <w:t>. La délégation a</w:t>
      </w:r>
      <w:r>
        <w:rPr>
          <w:rFonts w:ascii="Arial" w:hAnsi="Arial" w:cs="Arial"/>
          <w:bCs/>
          <w:sz w:val="22"/>
          <w:szCs w:val="22"/>
          <w:lang w:val="fr-FR"/>
        </w:rPr>
        <w:t xml:space="preserve"> rappelé </w:t>
      </w:r>
      <w:r w:rsidRPr="00C35673">
        <w:rPr>
          <w:rFonts w:ascii="Arial" w:hAnsi="Arial" w:cs="Arial"/>
          <w:bCs/>
          <w:sz w:val="22"/>
          <w:szCs w:val="22"/>
          <w:lang w:val="fr-FR"/>
        </w:rPr>
        <w:t>que tout le pays regard</w:t>
      </w:r>
      <w:r>
        <w:rPr>
          <w:rFonts w:ascii="Arial" w:hAnsi="Arial" w:cs="Arial"/>
          <w:bCs/>
          <w:sz w:val="22"/>
          <w:szCs w:val="22"/>
          <w:lang w:val="fr-FR"/>
        </w:rPr>
        <w:t>ait</w:t>
      </w:r>
      <w:r w:rsidRPr="00C35673">
        <w:rPr>
          <w:rFonts w:ascii="Arial" w:hAnsi="Arial" w:cs="Arial"/>
          <w:bCs/>
          <w:sz w:val="22"/>
          <w:szCs w:val="22"/>
          <w:lang w:val="fr-FR"/>
        </w:rPr>
        <w:t xml:space="preserve"> les délibérations et que l</w:t>
      </w:r>
      <w:r w:rsidR="008E532B">
        <w:rPr>
          <w:rFonts w:ascii="Arial" w:hAnsi="Arial" w:cs="Arial"/>
          <w:bCs/>
          <w:sz w:val="22"/>
          <w:szCs w:val="22"/>
          <w:lang w:val="fr-FR"/>
        </w:rPr>
        <w:t>’</w:t>
      </w:r>
      <w:r w:rsidRPr="00C35673">
        <w:rPr>
          <w:rFonts w:ascii="Arial" w:hAnsi="Arial" w:cs="Arial"/>
          <w:bCs/>
          <w:sz w:val="22"/>
          <w:szCs w:val="22"/>
          <w:lang w:val="fr-FR"/>
        </w:rPr>
        <w:t>Assemblée devrait être unie et ne pas ouvrir une boîte de Pandore. La délégation a lancé un appel aux délégations pour qu</w:t>
      </w:r>
      <w:r w:rsidR="008E532B">
        <w:rPr>
          <w:rFonts w:ascii="Arial" w:hAnsi="Arial" w:cs="Arial"/>
          <w:bCs/>
          <w:sz w:val="22"/>
          <w:szCs w:val="22"/>
          <w:lang w:val="fr-FR"/>
        </w:rPr>
        <w:t>’</w:t>
      </w:r>
      <w:r w:rsidRPr="00C35673">
        <w:rPr>
          <w:rFonts w:ascii="Arial" w:hAnsi="Arial" w:cs="Arial"/>
          <w:bCs/>
          <w:sz w:val="22"/>
          <w:szCs w:val="22"/>
          <w:lang w:val="fr-FR"/>
        </w:rPr>
        <w:t xml:space="preserve">elles acceptent le texte </w:t>
      </w:r>
      <w:r>
        <w:rPr>
          <w:rFonts w:ascii="Arial" w:hAnsi="Arial" w:cs="Arial"/>
          <w:bCs/>
          <w:sz w:val="22"/>
          <w:szCs w:val="22"/>
          <w:lang w:val="fr-FR"/>
        </w:rPr>
        <w:t xml:space="preserve">initial </w:t>
      </w:r>
      <w:r w:rsidRPr="00C35673">
        <w:rPr>
          <w:rFonts w:ascii="Arial" w:hAnsi="Arial" w:cs="Arial"/>
          <w:bCs/>
          <w:sz w:val="22"/>
          <w:szCs w:val="22"/>
          <w:lang w:val="fr-FR"/>
        </w:rPr>
        <w:t>tel que présenté.</w:t>
      </w:r>
    </w:p>
    <w:p w14:paraId="38FE9F80"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BB07CE">
        <w:rPr>
          <w:rFonts w:ascii="Arial" w:hAnsi="Arial" w:cs="Arial"/>
          <w:b/>
          <w:sz w:val="22"/>
          <w:szCs w:val="22"/>
          <w:lang w:val="fr-FR"/>
        </w:rPr>
        <w:t>Présidente</w:t>
      </w:r>
      <w:r>
        <w:rPr>
          <w:rFonts w:ascii="Arial" w:hAnsi="Arial" w:cs="Arial"/>
          <w:bCs/>
          <w:sz w:val="22"/>
          <w:szCs w:val="22"/>
          <w:lang w:val="fr-FR"/>
        </w:rPr>
        <w:t xml:space="preserve"> a invité le Conseiller juridique à répondre aux points soulevés.</w:t>
      </w:r>
    </w:p>
    <w:p w14:paraId="1B39B16B" w14:textId="0B6FAEB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B07CE">
        <w:rPr>
          <w:rFonts w:ascii="Arial" w:hAnsi="Arial" w:cs="Arial"/>
          <w:bCs/>
          <w:sz w:val="22"/>
          <w:szCs w:val="22"/>
          <w:lang w:val="fr-FR"/>
        </w:rPr>
        <w:t xml:space="preserve">Le </w:t>
      </w:r>
      <w:r w:rsidRPr="00BB07CE">
        <w:rPr>
          <w:rFonts w:ascii="Arial" w:hAnsi="Arial" w:cs="Arial"/>
          <w:b/>
          <w:sz w:val="22"/>
          <w:szCs w:val="22"/>
          <w:lang w:val="fr-FR"/>
        </w:rPr>
        <w:t>Conseiller juridique</w:t>
      </w:r>
      <w:r>
        <w:rPr>
          <w:rFonts w:ascii="Arial" w:hAnsi="Arial" w:cs="Arial"/>
          <w:bCs/>
          <w:sz w:val="22"/>
          <w:szCs w:val="22"/>
          <w:lang w:val="fr-FR"/>
        </w:rPr>
        <w:t xml:space="preserve"> a estimé, </w:t>
      </w:r>
      <w:r w:rsidRPr="00BB07CE">
        <w:rPr>
          <w:rFonts w:ascii="Arial" w:hAnsi="Arial" w:cs="Arial"/>
          <w:bCs/>
          <w:sz w:val="22"/>
          <w:szCs w:val="22"/>
          <w:lang w:val="fr-FR"/>
        </w:rPr>
        <w:t>qu</w:t>
      </w:r>
      <w:r w:rsidR="008E532B">
        <w:rPr>
          <w:rFonts w:ascii="Arial" w:hAnsi="Arial" w:cs="Arial"/>
          <w:bCs/>
          <w:sz w:val="22"/>
          <w:szCs w:val="22"/>
          <w:lang w:val="fr-FR"/>
        </w:rPr>
        <w:t>’</w:t>
      </w:r>
      <w:r w:rsidRPr="00BB07CE">
        <w:rPr>
          <w:rFonts w:ascii="Arial" w:hAnsi="Arial" w:cs="Arial"/>
          <w:bCs/>
          <w:sz w:val="22"/>
          <w:szCs w:val="22"/>
          <w:lang w:val="fr-FR"/>
        </w:rPr>
        <w:t>en fin de compte</w:t>
      </w:r>
      <w:r>
        <w:rPr>
          <w:rFonts w:ascii="Arial" w:hAnsi="Arial" w:cs="Arial"/>
          <w:bCs/>
          <w:sz w:val="22"/>
          <w:szCs w:val="22"/>
          <w:lang w:val="fr-FR"/>
        </w:rPr>
        <w:t>,</w:t>
      </w:r>
      <w:r w:rsidRPr="00BB07CE">
        <w:rPr>
          <w:rFonts w:ascii="Arial" w:hAnsi="Arial" w:cs="Arial"/>
          <w:bCs/>
          <w:sz w:val="22"/>
          <w:szCs w:val="22"/>
          <w:lang w:val="fr-FR"/>
        </w:rPr>
        <w:t xml:space="preserve"> il y avait une seule question posée mais</w:t>
      </w:r>
      <w:r>
        <w:rPr>
          <w:rFonts w:ascii="Arial" w:hAnsi="Arial" w:cs="Arial"/>
          <w:bCs/>
          <w:sz w:val="22"/>
          <w:szCs w:val="22"/>
          <w:lang w:val="fr-FR"/>
        </w:rPr>
        <w:t xml:space="preserve"> à plusieurs reprises,</w:t>
      </w:r>
      <w:r w:rsidRPr="00BB07CE">
        <w:rPr>
          <w:rFonts w:ascii="Arial" w:hAnsi="Arial" w:cs="Arial"/>
          <w:bCs/>
          <w:sz w:val="22"/>
          <w:szCs w:val="22"/>
          <w:lang w:val="fr-FR"/>
        </w:rPr>
        <w:t xml:space="preserve"> et il a rappelé le consensus écrasant au sein du Comité en décembre 2021 sur deux choses. La première était d</w:t>
      </w:r>
      <w:r w:rsidR="008E532B">
        <w:rPr>
          <w:rFonts w:ascii="Arial" w:hAnsi="Arial" w:cs="Arial"/>
          <w:bCs/>
          <w:sz w:val="22"/>
          <w:szCs w:val="22"/>
          <w:lang w:val="fr-FR"/>
        </w:rPr>
        <w:t>’</w:t>
      </w:r>
      <w:r w:rsidRPr="00BB07CE">
        <w:rPr>
          <w:rFonts w:ascii="Arial" w:hAnsi="Arial" w:cs="Arial"/>
          <w:bCs/>
          <w:sz w:val="22"/>
          <w:szCs w:val="22"/>
          <w:lang w:val="fr-FR"/>
        </w:rPr>
        <w:t xml:space="preserve">inscrire la </w:t>
      </w:r>
      <w:r>
        <w:rPr>
          <w:rFonts w:ascii="Arial" w:hAnsi="Arial" w:cs="Arial"/>
          <w:bCs/>
          <w:sz w:val="22"/>
          <w:szCs w:val="22"/>
          <w:lang w:val="fr-FR"/>
        </w:rPr>
        <w:t>soupe au giraumon</w:t>
      </w:r>
      <w:r w:rsidRPr="00BB07CE">
        <w:rPr>
          <w:rFonts w:ascii="Arial" w:hAnsi="Arial" w:cs="Arial"/>
          <w:bCs/>
          <w:sz w:val="22"/>
          <w:szCs w:val="22"/>
          <w:lang w:val="fr-FR"/>
        </w:rPr>
        <w:t xml:space="preserve"> sur la Liste représentative et, </w:t>
      </w:r>
      <w:r>
        <w:rPr>
          <w:rFonts w:ascii="Arial" w:hAnsi="Arial" w:cs="Arial"/>
          <w:bCs/>
          <w:sz w:val="22"/>
          <w:szCs w:val="22"/>
          <w:lang w:val="fr-FR"/>
        </w:rPr>
        <w:t>la deuxième</w:t>
      </w:r>
      <w:r w:rsidRPr="00BB07CE">
        <w:rPr>
          <w:rFonts w:ascii="Arial" w:hAnsi="Arial" w:cs="Arial"/>
          <w:bCs/>
          <w:sz w:val="22"/>
          <w:szCs w:val="22"/>
          <w:lang w:val="fr-FR"/>
        </w:rPr>
        <w:t>, de ne pas laisser les organes directeurs de cette Convention arrêter la procédure, bien qu</w:t>
      </w:r>
      <w:r>
        <w:rPr>
          <w:rFonts w:ascii="Arial" w:hAnsi="Arial" w:cs="Arial"/>
          <w:bCs/>
          <w:sz w:val="22"/>
          <w:szCs w:val="22"/>
          <w:lang w:val="fr-FR"/>
        </w:rPr>
        <w:t>e celle-ci</w:t>
      </w:r>
      <w:r w:rsidRPr="00BB07CE">
        <w:rPr>
          <w:rFonts w:ascii="Arial" w:hAnsi="Arial" w:cs="Arial"/>
          <w:bCs/>
          <w:sz w:val="22"/>
          <w:szCs w:val="22"/>
          <w:lang w:val="fr-FR"/>
        </w:rPr>
        <w:t xml:space="preserve"> ne soit pas spécifiquement prévu</w:t>
      </w:r>
      <w:r>
        <w:rPr>
          <w:rFonts w:ascii="Arial" w:hAnsi="Arial" w:cs="Arial"/>
          <w:bCs/>
          <w:sz w:val="22"/>
          <w:szCs w:val="22"/>
          <w:lang w:val="fr-FR"/>
        </w:rPr>
        <w:t>e</w:t>
      </w:r>
      <w:r w:rsidRPr="00BB07CE">
        <w:rPr>
          <w:rFonts w:ascii="Arial" w:hAnsi="Arial" w:cs="Arial"/>
          <w:bCs/>
          <w:sz w:val="22"/>
          <w:szCs w:val="22"/>
          <w:lang w:val="fr-FR"/>
        </w:rPr>
        <w:t xml:space="preserve">, du moins dans ce cas précis. </w:t>
      </w:r>
      <w:r>
        <w:rPr>
          <w:rFonts w:ascii="Arial" w:hAnsi="Arial" w:cs="Arial"/>
          <w:bCs/>
          <w:sz w:val="22"/>
          <w:szCs w:val="22"/>
          <w:lang w:val="fr-FR"/>
        </w:rPr>
        <w:t>S</w:t>
      </w:r>
      <w:r w:rsidRPr="00BB07CE">
        <w:rPr>
          <w:rFonts w:ascii="Arial" w:hAnsi="Arial" w:cs="Arial"/>
          <w:bCs/>
          <w:sz w:val="22"/>
          <w:szCs w:val="22"/>
          <w:lang w:val="fr-FR"/>
        </w:rPr>
        <w:t>on avis juridique avait déjà été sollicité par le Comité (lors de sa</w:t>
      </w:r>
      <w:r>
        <w:rPr>
          <w:rFonts w:ascii="Arial" w:hAnsi="Arial" w:cs="Arial"/>
          <w:bCs/>
          <w:sz w:val="22"/>
          <w:szCs w:val="22"/>
          <w:lang w:val="fr-FR"/>
        </w:rPr>
        <w:t xml:space="preserve"> seizième</w:t>
      </w:r>
      <w:r w:rsidRPr="00BB07CE">
        <w:rPr>
          <w:rFonts w:ascii="Arial" w:hAnsi="Arial" w:cs="Arial"/>
          <w:bCs/>
          <w:sz w:val="22"/>
          <w:szCs w:val="22"/>
          <w:lang w:val="fr-FR"/>
        </w:rPr>
        <w:t xml:space="preserve"> session) sur ce dossier de candidature. Le Conseiller juridique a rappelé les principaux points de cet avis juridique, car ils répond</w:t>
      </w:r>
      <w:r>
        <w:rPr>
          <w:rFonts w:ascii="Arial" w:hAnsi="Arial" w:cs="Arial"/>
          <w:bCs/>
          <w:sz w:val="22"/>
          <w:szCs w:val="22"/>
          <w:lang w:val="fr-FR"/>
        </w:rPr>
        <w:t>ai</w:t>
      </w:r>
      <w:r w:rsidRPr="00BB07CE">
        <w:rPr>
          <w:rFonts w:ascii="Arial" w:hAnsi="Arial" w:cs="Arial"/>
          <w:bCs/>
          <w:sz w:val="22"/>
          <w:szCs w:val="22"/>
          <w:lang w:val="fr-FR"/>
        </w:rPr>
        <w:t xml:space="preserve">ent aux questions posées par le Japon et la Colombie. Comme expliqué alors, les Directives opérationnelles </w:t>
      </w:r>
      <w:r>
        <w:rPr>
          <w:rFonts w:ascii="Arial" w:hAnsi="Arial" w:cs="Arial"/>
          <w:bCs/>
          <w:sz w:val="22"/>
          <w:szCs w:val="22"/>
          <w:lang w:val="fr-FR"/>
        </w:rPr>
        <w:t>exposaient</w:t>
      </w:r>
      <w:r w:rsidRPr="00BB07CE">
        <w:rPr>
          <w:rFonts w:ascii="Arial" w:hAnsi="Arial" w:cs="Arial"/>
          <w:bCs/>
          <w:sz w:val="22"/>
          <w:szCs w:val="22"/>
          <w:lang w:val="fr-FR"/>
        </w:rPr>
        <w:t xml:space="preserve"> un calendrier précis pour l</w:t>
      </w:r>
      <w:r w:rsidR="008E532B">
        <w:rPr>
          <w:rFonts w:ascii="Arial" w:hAnsi="Arial" w:cs="Arial"/>
          <w:bCs/>
          <w:sz w:val="22"/>
          <w:szCs w:val="22"/>
          <w:lang w:val="fr-FR"/>
        </w:rPr>
        <w:t>’</w:t>
      </w:r>
      <w:r w:rsidRPr="00BB07CE">
        <w:rPr>
          <w:rFonts w:ascii="Arial" w:hAnsi="Arial" w:cs="Arial"/>
          <w:bCs/>
          <w:sz w:val="22"/>
          <w:szCs w:val="22"/>
          <w:lang w:val="fr-FR"/>
        </w:rPr>
        <w:t>évaluation et l</w:t>
      </w:r>
      <w:r w:rsidR="008E532B">
        <w:rPr>
          <w:rFonts w:ascii="Arial" w:hAnsi="Arial" w:cs="Arial"/>
          <w:bCs/>
          <w:sz w:val="22"/>
          <w:szCs w:val="22"/>
          <w:lang w:val="fr-FR"/>
        </w:rPr>
        <w:t>’</w:t>
      </w:r>
      <w:r w:rsidRPr="00BB07CE">
        <w:rPr>
          <w:rFonts w:ascii="Arial" w:hAnsi="Arial" w:cs="Arial"/>
          <w:bCs/>
          <w:sz w:val="22"/>
          <w:szCs w:val="22"/>
          <w:lang w:val="fr-FR"/>
        </w:rPr>
        <w:t>examen des candidatures, qui n</w:t>
      </w:r>
      <w:r>
        <w:rPr>
          <w:rFonts w:ascii="Arial" w:hAnsi="Arial" w:cs="Arial"/>
          <w:bCs/>
          <w:sz w:val="22"/>
          <w:szCs w:val="22"/>
          <w:lang w:val="fr-FR"/>
        </w:rPr>
        <w:t xml:space="preserve">e prévoit </w:t>
      </w:r>
      <w:r w:rsidRPr="00BB07CE">
        <w:rPr>
          <w:rFonts w:ascii="Arial" w:hAnsi="Arial" w:cs="Arial"/>
          <w:bCs/>
          <w:sz w:val="22"/>
          <w:szCs w:val="22"/>
          <w:lang w:val="fr-FR"/>
        </w:rPr>
        <w:t>pas l</w:t>
      </w:r>
      <w:r w:rsidR="008E532B">
        <w:rPr>
          <w:rFonts w:ascii="Arial" w:hAnsi="Arial" w:cs="Arial"/>
          <w:bCs/>
          <w:sz w:val="22"/>
          <w:szCs w:val="22"/>
          <w:lang w:val="fr-FR"/>
        </w:rPr>
        <w:t>’</w:t>
      </w:r>
      <w:r w:rsidRPr="00BB07CE">
        <w:rPr>
          <w:rFonts w:ascii="Arial" w:hAnsi="Arial" w:cs="Arial"/>
          <w:bCs/>
          <w:sz w:val="22"/>
          <w:szCs w:val="22"/>
          <w:lang w:val="fr-FR"/>
        </w:rPr>
        <w:t>examen d</w:t>
      </w:r>
      <w:r w:rsidR="008E532B">
        <w:rPr>
          <w:rFonts w:ascii="Arial" w:hAnsi="Arial" w:cs="Arial"/>
          <w:bCs/>
          <w:sz w:val="22"/>
          <w:szCs w:val="22"/>
          <w:lang w:val="fr-FR"/>
        </w:rPr>
        <w:t>’</w:t>
      </w:r>
      <w:r w:rsidRPr="00BB07CE">
        <w:rPr>
          <w:rFonts w:ascii="Arial" w:hAnsi="Arial" w:cs="Arial"/>
          <w:bCs/>
          <w:sz w:val="22"/>
          <w:szCs w:val="22"/>
          <w:lang w:val="fr-FR"/>
        </w:rPr>
        <w:t xml:space="preserve">une candidature sur une base accélérée, comme mentionné à plusieurs reprises. Face à ce silence, il </w:t>
      </w:r>
      <w:r>
        <w:rPr>
          <w:rFonts w:ascii="Arial" w:hAnsi="Arial" w:cs="Arial"/>
          <w:bCs/>
          <w:sz w:val="22"/>
          <w:szCs w:val="22"/>
          <w:lang w:val="fr-FR"/>
        </w:rPr>
        <w:t>a été</w:t>
      </w:r>
      <w:r w:rsidRPr="00BB07CE">
        <w:rPr>
          <w:rFonts w:ascii="Arial" w:hAnsi="Arial" w:cs="Arial"/>
          <w:bCs/>
          <w:sz w:val="22"/>
          <w:szCs w:val="22"/>
          <w:lang w:val="fr-FR"/>
        </w:rPr>
        <w:t xml:space="preserve"> fait référence à la Convention, qui établit un mécanisme institutionnel de contrôle et d</w:t>
      </w:r>
      <w:r w:rsidR="008E532B">
        <w:rPr>
          <w:rFonts w:ascii="Arial" w:hAnsi="Arial" w:cs="Arial"/>
          <w:bCs/>
          <w:sz w:val="22"/>
          <w:szCs w:val="22"/>
          <w:lang w:val="fr-FR"/>
        </w:rPr>
        <w:t>’</w:t>
      </w:r>
      <w:r w:rsidRPr="00BB07CE">
        <w:rPr>
          <w:rFonts w:ascii="Arial" w:hAnsi="Arial" w:cs="Arial"/>
          <w:bCs/>
          <w:sz w:val="22"/>
          <w:szCs w:val="22"/>
          <w:lang w:val="fr-FR"/>
        </w:rPr>
        <w:t>équilibre par lequel, en vertu de l</w:t>
      </w:r>
      <w:r w:rsidR="008E532B">
        <w:rPr>
          <w:rFonts w:ascii="Arial" w:hAnsi="Arial" w:cs="Arial"/>
          <w:bCs/>
          <w:sz w:val="22"/>
          <w:szCs w:val="22"/>
          <w:lang w:val="fr-FR"/>
        </w:rPr>
        <w:t>’</w:t>
      </w:r>
      <w:r w:rsidRPr="00BB07CE">
        <w:rPr>
          <w:rFonts w:ascii="Arial" w:hAnsi="Arial" w:cs="Arial"/>
          <w:bCs/>
          <w:sz w:val="22"/>
          <w:szCs w:val="22"/>
          <w:lang w:val="fr-FR"/>
        </w:rPr>
        <w:t>article 7(g), le Comité est investi de l</w:t>
      </w:r>
      <w:r w:rsidR="008E532B">
        <w:rPr>
          <w:rFonts w:ascii="Arial" w:hAnsi="Arial" w:cs="Arial"/>
          <w:bCs/>
          <w:sz w:val="22"/>
          <w:szCs w:val="22"/>
          <w:lang w:val="fr-FR"/>
        </w:rPr>
        <w:t>’</w:t>
      </w:r>
      <w:r w:rsidRPr="00BB07CE">
        <w:rPr>
          <w:rFonts w:ascii="Arial" w:hAnsi="Arial" w:cs="Arial"/>
          <w:bCs/>
          <w:sz w:val="22"/>
          <w:szCs w:val="22"/>
          <w:lang w:val="fr-FR"/>
        </w:rPr>
        <w:t>autorité d</w:t>
      </w:r>
      <w:r w:rsidR="008E532B">
        <w:rPr>
          <w:rFonts w:ascii="Arial" w:hAnsi="Arial" w:cs="Arial"/>
          <w:bCs/>
          <w:sz w:val="22"/>
          <w:szCs w:val="22"/>
          <w:lang w:val="fr-FR"/>
        </w:rPr>
        <w:t>’</w:t>
      </w:r>
      <w:r w:rsidRPr="00BB07CE">
        <w:rPr>
          <w:rFonts w:ascii="Arial" w:hAnsi="Arial" w:cs="Arial"/>
          <w:bCs/>
          <w:sz w:val="22"/>
          <w:szCs w:val="22"/>
          <w:lang w:val="fr-FR"/>
        </w:rPr>
        <w:t>examiner les demandes d</w:t>
      </w:r>
      <w:r w:rsidR="008E532B">
        <w:rPr>
          <w:rFonts w:ascii="Arial" w:hAnsi="Arial" w:cs="Arial"/>
          <w:bCs/>
          <w:sz w:val="22"/>
          <w:szCs w:val="22"/>
          <w:lang w:val="fr-FR"/>
        </w:rPr>
        <w:t>’</w:t>
      </w:r>
      <w:r w:rsidRPr="00BB07CE">
        <w:rPr>
          <w:rFonts w:ascii="Arial" w:hAnsi="Arial" w:cs="Arial"/>
          <w:bCs/>
          <w:sz w:val="22"/>
          <w:szCs w:val="22"/>
          <w:lang w:val="fr-FR"/>
        </w:rPr>
        <w:t>inscription et de</w:t>
      </w:r>
      <w:r>
        <w:rPr>
          <w:rFonts w:ascii="Arial" w:hAnsi="Arial" w:cs="Arial"/>
          <w:bCs/>
          <w:sz w:val="22"/>
          <w:szCs w:val="22"/>
          <w:lang w:val="fr-FR"/>
        </w:rPr>
        <w:t xml:space="preserve"> décider de ces demandes</w:t>
      </w:r>
      <w:r w:rsidRPr="00BB07CE">
        <w:rPr>
          <w:rFonts w:ascii="Arial" w:hAnsi="Arial" w:cs="Arial"/>
          <w:bCs/>
          <w:sz w:val="22"/>
          <w:szCs w:val="22"/>
          <w:lang w:val="fr-FR"/>
        </w:rPr>
        <w:t>. Cependant, en même temps, l</w:t>
      </w:r>
      <w:r w:rsidR="008E532B">
        <w:rPr>
          <w:rFonts w:ascii="Arial" w:hAnsi="Arial" w:cs="Arial"/>
          <w:bCs/>
          <w:sz w:val="22"/>
          <w:szCs w:val="22"/>
          <w:lang w:val="fr-FR"/>
        </w:rPr>
        <w:t>’</w:t>
      </w:r>
      <w:r w:rsidRPr="00BB07CE">
        <w:rPr>
          <w:rFonts w:ascii="Arial" w:hAnsi="Arial" w:cs="Arial"/>
          <w:bCs/>
          <w:sz w:val="22"/>
          <w:szCs w:val="22"/>
          <w:lang w:val="fr-FR"/>
        </w:rPr>
        <w:t>article 7(e) dit qu</w:t>
      </w:r>
      <w:r w:rsidR="008E532B">
        <w:rPr>
          <w:rFonts w:ascii="Arial" w:hAnsi="Arial" w:cs="Arial"/>
          <w:bCs/>
          <w:sz w:val="22"/>
          <w:szCs w:val="22"/>
          <w:lang w:val="fr-FR"/>
        </w:rPr>
        <w:t>’</w:t>
      </w:r>
      <w:r w:rsidRPr="00BB07CE">
        <w:rPr>
          <w:rFonts w:ascii="Arial" w:hAnsi="Arial" w:cs="Arial"/>
          <w:bCs/>
          <w:sz w:val="22"/>
          <w:szCs w:val="22"/>
          <w:lang w:val="fr-FR"/>
        </w:rPr>
        <w:t>il doit le faire en suivant les procédures prévues dans les Directives opérationnelles, qui sont préparées par le Comité mais approuvées par cette Assemblée. Le Conseiller juridique a</w:t>
      </w:r>
      <w:r>
        <w:rPr>
          <w:rFonts w:ascii="Arial" w:hAnsi="Arial" w:cs="Arial"/>
          <w:bCs/>
          <w:sz w:val="22"/>
          <w:szCs w:val="22"/>
          <w:lang w:val="fr-FR"/>
        </w:rPr>
        <w:t>vait</w:t>
      </w:r>
      <w:r w:rsidRPr="00BB07CE">
        <w:rPr>
          <w:rFonts w:ascii="Arial" w:hAnsi="Arial" w:cs="Arial"/>
          <w:bCs/>
          <w:sz w:val="22"/>
          <w:szCs w:val="22"/>
          <w:lang w:val="fr-FR"/>
        </w:rPr>
        <w:t xml:space="preserve"> donc expliqué à l</w:t>
      </w:r>
      <w:r w:rsidR="008E532B">
        <w:rPr>
          <w:rFonts w:ascii="Arial" w:hAnsi="Arial" w:cs="Arial"/>
          <w:bCs/>
          <w:sz w:val="22"/>
          <w:szCs w:val="22"/>
          <w:lang w:val="fr-FR"/>
        </w:rPr>
        <w:t>’</w:t>
      </w:r>
      <w:r w:rsidRPr="00BB07CE">
        <w:rPr>
          <w:rFonts w:ascii="Arial" w:hAnsi="Arial" w:cs="Arial"/>
          <w:bCs/>
          <w:sz w:val="22"/>
          <w:szCs w:val="22"/>
          <w:lang w:val="fr-FR"/>
        </w:rPr>
        <w:t>époque que si le Comité considérait que des circonstances exceptionnelles justifiaient l</w:t>
      </w:r>
      <w:r w:rsidR="008E532B">
        <w:rPr>
          <w:rFonts w:ascii="Arial" w:hAnsi="Arial" w:cs="Arial"/>
          <w:bCs/>
          <w:sz w:val="22"/>
          <w:szCs w:val="22"/>
          <w:lang w:val="fr-FR"/>
        </w:rPr>
        <w:t>’</w:t>
      </w:r>
      <w:r w:rsidRPr="00BB07CE">
        <w:rPr>
          <w:rFonts w:ascii="Arial" w:hAnsi="Arial" w:cs="Arial"/>
          <w:bCs/>
          <w:sz w:val="22"/>
          <w:szCs w:val="22"/>
          <w:lang w:val="fr-FR"/>
        </w:rPr>
        <w:t>examen accéléré de cette candidature, il pourrait envisager la possibilité de le faire et, s</w:t>
      </w:r>
      <w:r w:rsidR="008E532B">
        <w:rPr>
          <w:rFonts w:ascii="Arial" w:hAnsi="Arial" w:cs="Arial"/>
          <w:bCs/>
          <w:sz w:val="22"/>
          <w:szCs w:val="22"/>
          <w:lang w:val="fr-FR"/>
        </w:rPr>
        <w:t>’</w:t>
      </w:r>
      <w:r w:rsidRPr="00BB07CE">
        <w:rPr>
          <w:rFonts w:ascii="Arial" w:hAnsi="Arial" w:cs="Arial"/>
          <w:bCs/>
          <w:sz w:val="22"/>
          <w:szCs w:val="22"/>
          <w:lang w:val="fr-FR"/>
        </w:rPr>
        <w:t>il devait constater que les conditions étaient remplies, il pourrait inscrire l</w:t>
      </w:r>
      <w:r w:rsidR="008E532B">
        <w:rPr>
          <w:rFonts w:ascii="Arial" w:hAnsi="Arial" w:cs="Arial"/>
          <w:bCs/>
          <w:sz w:val="22"/>
          <w:szCs w:val="22"/>
          <w:lang w:val="fr-FR"/>
        </w:rPr>
        <w:t>’</w:t>
      </w:r>
      <w:r w:rsidRPr="00BB07CE">
        <w:rPr>
          <w:rFonts w:ascii="Arial" w:hAnsi="Arial" w:cs="Arial"/>
          <w:bCs/>
          <w:sz w:val="22"/>
          <w:szCs w:val="22"/>
          <w:lang w:val="fr-FR"/>
        </w:rPr>
        <w:t>élément sur la Liste représentative, ce qui a</w:t>
      </w:r>
      <w:r>
        <w:rPr>
          <w:rFonts w:ascii="Arial" w:hAnsi="Arial" w:cs="Arial"/>
          <w:bCs/>
          <w:sz w:val="22"/>
          <w:szCs w:val="22"/>
          <w:lang w:val="fr-FR"/>
        </w:rPr>
        <w:t>vait</w:t>
      </w:r>
      <w:r w:rsidRPr="00BB07CE">
        <w:rPr>
          <w:rFonts w:ascii="Arial" w:hAnsi="Arial" w:cs="Arial"/>
          <w:bCs/>
          <w:sz w:val="22"/>
          <w:szCs w:val="22"/>
          <w:lang w:val="fr-FR"/>
        </w:rPr>
        <w:t xml:space="preserve"> eu lieu.</w:t>
      </w:r>
    </w:p>
    <w:p w14:paraId="0F580707" w14:textId="78C241B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566A6">
        <w:rPr>
          <w:rFonts w:ascii="Arial" w:hAnsi="Arial" w:cs="Arial"/>
          <w:bCs/>
          <w:sz w:val="22"/>
          <w:szCs w:val="22"/>
          <w:lang w:val="fr-FR"/>
        </w:rPr>
        <w:t xml:space="preserve">Le </w:t>
      </w:r>
      <w:r w:rsidRPr="001566A6">
        <w:rPr>
          <w:rFonts w:ascii="Arial" w:hAnsi="Arial" w:cs="Arial"/>
          <w:b/>
          <w:sz w:val="22"/>
          <w:szCs w:val="22"/>
          <w:lang w:val="fr-FR"/>
        </w:rPr>
        <w:t>Conseiller juridique</w:t>
      </w:r>
      <w:r w:rsidRPr="001566A6">
        <w:rPr>
          <w:rFonts w:ascii="Arial" w:hAnsi="Arial" w:cs="Arial"/>
          <w:bCs/>
          <w:sz w:val="22"/>
          <w:szCs w:val="22"/>
          <w:lang w:val="fr-FR"/>
        </w:rPr>
        <w:t xml:space="preserve"> a</w:t>
      </w:r>
      <w:r>
        <w:rPr>
          <w:rFonts w:ascii="Arial" w:hAnsi="Arial" w:cs="Arial"/>
          <w:bCs/>
          <w:sz w:val="22"/>
          <w:szCs w:val="22"/>
          <w:lang w:val="fr-FR"/>
        </w:rPr>
        <w:t>vait</w:t>
      </w:r>
      <w:r w:rsidRPr="001566A6">
        <w:rPr>
          <w:rFonts w:ascii="Arial" w:hAnsi="Arial" w:cs="Arial"/>
          <w:bCs/>
          <w:sz w:val="22"/>
          <w:szCs w:val="22"/>
          <w:lang w:val="fr-FR"/>
        </w:rPr>
        <w:t xml:space="preserve"> également fait remarquer à l</w:t>
      </w:r>
      <w:r w:rsidR="008E532B">
        <w:rPr>
          <w:rFonts w:ascii="Arial" w:hAnsi="Arial" w:cs="Arial"/>
          <w:bCs/>
          <w:sz w:val="22"/>
          <w:szCs w:val="22"/>
          <w:lang w:val="fr-FR"/>
        </w:rPr>
        <w:t>’</w:t>
      </w:r>
      <w:r w:rsidRPr="001566A6">
        <w:rPr>
          <w:rFonts w:ascii="Arial" w:hAnsi="Arial" w:cs="Arial"/>
          <w:bCs/>
          <w:sz w:val="22"/>
          <w:szCs w:val="22"/>
          <w:lang w:val="fr-FR"/>
        </w:rPr>
        <w:t>époque que, étant donné que l</w:t>
      </w:r>
      <w:r w:rsidR="008E532B">
        <w:rPr>
          <w:rFonts w:ascii="Arial" w:hAnsi="Arial" w:cs="Arial"/>
          <w:bCs/>
          <w:sz w:val="22"/>
          <w:szCs w:val="22"/>
          <w:lang w:val="fr-FR"/>
        </w:rPr>
        <w:t>’</w:t>
      </w:r>
      <w:r w:rsidRPr="001566A6">
        <w:rPr>
          <w:rFonts w:ascii="Arial" w:hAnsi="Arial" w:cs="Arial"/>
          <w:bCs/>
          <w:sz w:val="22"/>
          <w:szCs w:val="22"/>
          <w:lang w:val="fr-FR"/>
        </w:rPr>
        <w:t>inscription aurait alors eu lieu dans des circonstances non prévues par les Directives opérationnelles et selon une procédure non prévue par les Directives opérationnelles, la procédure suivie pour l</w:t>
      </w:r>
      <w:r w:rsidR="008E532B">
        <w:rPr>
          <w:rFonts w:ascii="Arial" w:hAnsi="Arial" w:cs="Arial"/>
          <w:bCs/>
          <w:sz w:val="22"/>
          <w:szCs w:val="22"/>
          <w:lang w:val="fr-FR"/>
        </w:rPr>
        <w:t>’</w:t>
      </w:r>
      <w:r w:rsidRPr="001566A6">
        <w:rPr>
          <w:rFonts w:ascii="Arial" w:hAnsi="Arial" w:cs="Arial"/>
          <w:bCs/>
          <w:sz w:val="22"/>
          <w:szCs w:val="22"/>
          <w:lang w:val="fr-FR"/>
        </w:rPr>
        <w:t>inscription (et non l</w:t>
      </w:r>
      <w:r w:rsidR="008E532B">
        <w:rPr>
          <w:rFonts w:ascii="Arial" w:hAnsi="Arial" w:cs="Arial"/>
          <w:bCs/>
          <w:sz w:val="22"/>
          <w:szCs w:val="22"/>
          <w:lang w:val="fr-FR"/>
        </w:rPr>
        <w:t>’</w:t>
      </w:r>
      <w:r w:rsidRPr="001566A6">
        <w:rPr>
          <w:rFonts w:ascii="Arial" w:hAnsi="Arial" w:cs="Arial"/>
          <w:bCs/>
          <w:sz w:val="22"/>
          <w:szCs w:val="22"/>
          <w:lang w:val="fr-FR"/>
        </w:rPr>
        <w:t>inscription elle-même) nécessiterait l</w:t>
      </w:r>
      <w:r w:rsidR="008E532B">
        <w:rPr>
          <w:rFonts w:ascii="Arial" w:hAnsi="Arial" w:cs="Arial"/>
          <w:bCs/>
          <w:sz w:val="22"/>
          <w:szCs w:val="22"/>
          <w:lang w:val="fr-FR"/>
        </w:rPr>
        <w:t>’</w:t>
      </w:r>
      <w:r w:rsidRPr="001566A6">
        <w:rPr>
          <w:rFonts w:ascii="Arial" w:hAnsi="Arial" w:cs="Arial"/>
          <w:bCs/>
          <w:sz w:val="22"/>
          <w:szCs w:val="22"/>
          <w:lang w:val="fr-FR"/>
        </w:rPr>
        <w:t>aval de l</w:t>
      </w:r>
      <w:r w:rsidR="008E532B">
        <w:rPr>
          <w:rFonts w:ascii="Arial" w:hAnsi="Arial" w:cs="Arial"/>
          <w:bCs/>
          <w:sz w:val="22"/>
          <w:szCs w:val="22"/>
          <w:lang w:val="fr-FR"/>
        </w:rPr>
        <w:t>’</w:t>
      </w:r>
      <w:r w:rsidRPr="001566A6">
        <w:rPr>
          <w:rFonts w:ascii="Arial" w:hAnsi="Arial" w:cs="Arial"/>
          <w:bCs/>
          <w:sz w:val="22"/>
          <w:szCs w:val="22"/>
          <w:lang w:val="fr-FR"/>
        </w:rPr>
        <w:t>Assemblée générale. C</w:t>
      </w:r>
      <w:r w:rsidR="008E532B">
        <w:rPr>
          <w:rFonts w:ascii="Arial" w:hAnsi="Arial" w:cs="Arial"/>
          <w:bCs/>
          <w:sz w:val="22"/>
          <w:szCs w:val="22"/>
          <w:lang w:val="fr-FR"/>
        </w:rPr>
        <w:t>’</w:t>
      </w:r>
      <w:r>
        <w:rPr>
          <w:rFonts w:ascii="Arial" w:hAnsi="Arial" w:cs="Arial"/>
          <w:bCs/>
          <w:sz w:val="22"/>
          <w:szCs w:val="22"/>
          <w:lang w:val="fr-FR"/>
        </w:rPr>
        <w:t>était</w:t>
      </w:r>
      <w:r w:rsidRPr="001566A6">
        <w:rPr>
          <w:rFonts w:ascii="Arial" w:hAnsi="Arial" w:cs="Arial"/>
          <w:bCs/>
          <w:sz w:val="22"/>
          <w:szCs w:val="22"/>
          <w:lang w:val="fr-FR"/>
        </w:rPr>
        <w:t xml:space="preserve"> sur cette base que le Comité a</w:t>
      </w:r>
      <w:r>
        <w:rPr>
          <w:rFonts w:ascii="Arial" w:hAnsi="Arial" w:cs="Arial"/>
          <w:bCs/>
          <w:sz w:val="22"/>
          <w:szCs w:val="22"/>
          <w:lang w:val="fr-FR"/>
        </w:rPr>
        <w:t>vait</w:t>
      </w:r>
      <w:r w:rsidRPr="001566A6">
        <w:rPr>
          <w:rFonts w:ascii="Arial" w:hAnsi="Arial" w:cs="Arial"/>
          <w:bCs/>
          <w:sz w:val="22"/>
          <w:szCs w:val="22"/>
          <w:lang w:val="fr-FR"/>
        </w:rPr>
        <w:t xml:space="preserve"> pris sa décision. Le Conseiller juridique suppos</w:t>
      </w:r>
      <w:r>
        <w:rPr>
          <w:rFonts w:ascii="Arial" w:hAnsi="Arial" w:cs="Arial"/>
          <w:bCs/>
          <w:sz w:val="22"/>
          <w:szCs w:val="22"/>
          <w:lang w:val="fr-FR"/>
        </w:rPr>
        <w:t>ait</w:t>
      </w:r>
      <w:r w:rsidRPr="001566A6">
        <w:rPr>
          <w:rFonts w:ascii="Arial" w:hAnsi="Arial" w:cs="Arial"/>
          <w:bCs/>
          <w:sz w:val="22"/>
          <w:szCs w:val="22"/>
          <w:lang w:val="fr-FR"/>
        </w:rPr>
        <w:t xml:space="preserve"> que cette discussion découl</w:t>
      </w:r>
      <w:r>
        <w:rPr>
          <w:rFonts w:ascii="Arial" w:hAnsi="Arial" w:cs="Arial"/>
          <w:bCs/>
          <w:sz w:val="22"/>
          <w:szCs w:val="22"/>
          <w:lang w:val="fr-FR"/>
        </w:rPr>
        <w:t>ait</w:t>
      </w:r>
      <w:r w:rsidRPr="001566A6">
        <w:rPr>
          <w:rFonts w:ascii="Arial" w:hAnsi="Arial" w:cs="Arial"/>
          <w:bCs/>
          <w:sz w:val="22"/>
          <w:szCs w:val="22"/>
          <w:lang w:val="fr-FR"/>
        </w:rPr>
        <w:t xml:space="preserve"> d</w:t>
      </w:r>
      <w:r w:rsidR="008E532B">
        <w:rPr>
          <w:rFonts w:ascii="Arial" w:hAnsi="Arial" w:cs="Arial"/>
          <w:bCs/>
          <w:sz w:val="22"/>
          <w:szCs w:val="22"/>
          <w:lang w:val="fr-FR"/>
        </w:rPr>
        <w:t>’</w:t>
      </w:r>
      <w:r w:rsidRPr="001566A6">
        <w:rPr>
          <w:rFonts w:ascii="Arial" w:hAnsi="Arial" w:cs="Arial"/>
          <w:bCs/>
          <w:sz w:val="22"/>
          <w:szCs w:val="22"/>
          <w:lang w:val="fr-FR"/>
        </w:rPr>
        <w:t>une possible ambiguïté dans le paragraphe 5 [du projet de résolution]. Ce que l</w:t>
      </w:r>
      <w:r w:rsidR="008E532B">
        <w:rPr>
          <w:rFonts w:ascii="Arial" w:hAnsi="Arial" w:cs="Arial"/>
          <w:bCs/>
          <w:sz w:val="22"/>
          <w:szCs w:val="22"/>
          <w:lang w:val="fr-FR"/>
        </w:rPr>
        <w:t>’</w:t>
      </w:r>
      <w:r w:rsidRPr="001566A6">
        <w:rPr>
          <w:rFonts w:ascii="Arial" w:hAnsi="Arial" w:cs="Arial"/>
          <w:bCs/>
          <w:sz w:val="22"/>
          <w:szCs w:val="22"/>
          <w:lang w:val="fr-FR"/>
        </w:rPr>
        <w:t>Assemblée déciderait d</w:t>
      </w:r>
      <w:r w:rsidR="008E532B">
        <w:rPr>
          <w:rFonts w:ascii="Arial" w:hAnsi="Arial" w:cs="Arial"/>
          <w:bCs/>
          <w:sz w:val="22"/>
          <w:szCs w:val="22"/>
          <w:lang w:val="fr-FR"/>
        </w:rPr>
        <w:t>’</w:t>
      </w:r>
      <w:r w:rsidRPr="001566A6">
        <w:rPr>
          <w:rFonts w:ascii="Arial" w:hAnsi="Arial" w:cs="Arial"/>
          <w:bCs/>
          <w:sz w:val="22"/>
          <w:szCs w:val="22"/>
          <w:lang w:val="fr-FR"/>
        </w:rPr>
        <w:t>approuver, c</w:t>
      </w:r>
      <w:r w:rsidR="008E532B">
        <w:rPr>
          <w:rFonts w:ascii="Arial" w:hAnsi="Arial" w:cs="Arial"/>
          <w:bCs/>
          <w:sz w:val="22"/>
          <w:szCs w:val="22"/>
          <w:lang w:val="fr-FR"/>
        </w:rPr>
        <w:t>’</w:t>
      </w:r>
      <w:r>
        <w:rPr>
          <w:rFonts w:ascii="Arial" w:hAnsi="Arial" w:cs="Arial"/>
          <w:bCs/>
          <w:sz w:val="22"/>
          <w:szCs w:val="22"/>
          <w:lang w:val="fr-FR"/>
        </w:rPr>
        <w:t>était</w:t>
      </w:r>
      <w:r w:rsidRPr="001566A6">
        <w:rPr>
          <w:rFonts w:ascii="Arial" w:hAnsi="Arial" w:cs="Arial"/>
          <w:bCs/>
          <w:sz w:val="22"/>
          <w:szCs w:val="22"/>
          <w:lang w:val="fr-FR"/>
        </w:rPr>
        <w:t xml:space="preserve"> la </w:t>
      </w:r>
      <w:r w:rsidRPr="00E92EA8">
        <w:rPr>
          <w:rFonts w:ascii="Arial" w:hAnsi="Arial" w:cs="Arial"/>
          <w:bCs/>
          <w:i/>
          <w:iCs/>
          <w:sz w:val="22"/>
          <w:szCs w:val="22"/>
          <w:lang w:val="fr-FR"/>
        </w:rPr>
        <w:t>procédure</w:t>
      </w:r>
      <w:r w:rsidRPr="001566A6">
        <w:rPr>
          <w:rFonts w:ascii="Arial" w:hAnsi="Arial" w:cs="Arial"/>
          <w:bCs/>
          <w:sz w:val="22"/>
          <w:szCs w:val="22"/>
          <w:lang w:val="fr-FR"/>
        </w:rPr>
        <w:t xml:space="preserve"> qui a</w:t>
      </w:r>
      <w:r>
        <w:rPr>
          <w:rFonts w:ascii="Arial" w:hAnsi="Arial" w:cs="Arial"/>
          <w:bCs/>
          <w:sz w:val="22"/>
          <w:szCs w:val="22"/>
          <w:lang w:val="fr-FR"/>
        </w:rPr>
        <w:t>vait</w:t>
      </w:r>
      <w:r w:rsidRPr="001566A6">
        <w:rPr>
          <w:rFonts w:ascii="Arial" w:hAnsi="Arial" w:cs="Arial"/>
          <w:bCs/>
          <w:sz w:val="22"/>
          <w:szCs w:val="22"/>
          <w:lang w:val="fr-FR"/>
        </w:rPr>
        <w:t xml:space="preserve"> été suivie dans ce cas précis, qui</w:t>
      </w:r>
      <w:r>
        <w:rPr>
          <w:rFonts w:ascii="Arial" w:hAnsi="Arial" w:cs="Arial"/>
          <w:bCs/>
          <w:sz w:val="22"/>
          <w:szCs w:val="22"/>
          <w:lang w:val="fr-FR"/>
        </w:rPr>
        <w:t xml:space="preserve">, </w:t>
      </w:r>
      <w:r w:rsidRPr="001566A6">
        <w:rPr>
          <w:rFonts w:ascii="Arial" w:hAnsi="Arial" w:cs="Arial"/>
          <w:bCs/>
          <w:sz w:val="22"/>
          <w:szCs w:val="22"/>
          <w:lang w:val="fr-FR"/>
        </w:rPr>
        <w:t>comme l</w:t>
      </w:r>
      <w:r w:rsidR="008E532B">
        <w:rPr>
          <w:rFonts w:ascii="Arial" w:hAnsi="Arial" w:cs="Arial"/>
          <w:bCs/>
          <w:sz w:val="22"/>
          <w:szCs w:val="22"/>
          <w:lang w:val="fr-FR"/>
        </w:rPr>
        <w:t>’</w:t>
      </w:r>
      <w:r w:rsidRPr="001566A6">
        <w:rPr>
          <w:rFonts w:ascii="Arial" w:hAnsi="Arial" w:cs="Arial"/>
          <w:bCs/>
          <w:sz w:val="22"/>
          <w:szCs w:val="22"/>
          <w:lang w:val="fr-FR"/>
        </w:rPr>
        <w:t>a</w:t>
      </w:r>
      <w:r>
        <w:rPr>
          <w:rFonts w:ascii="Arial" w:hAnsi="Arial" w:cs="Arial"/>
          <w:bCs/>
          <w:sz w:val="22"/>
          <w:szCs w:val="22"/>
          <w:lang w:val="fr-FR"/>
        </w:rPr>
        <w:t>vait</w:t>
      </w:r>
      <w:r w:rsidRPr="001566A6">
        <w:rPr>
          <w:rFonts w:ascii="Arial" w:hAnsi="Arial" w:cs="Arial"/>
          <w:bCs/>
          <w:sz w:val="22"/>
          <w:szCs w:val="22"/>
          <w:lang w:val="fr-FR"/>
        </w:rPr>
        <w:t xml:space="preserve"> souligné le Comité</w:t>
      </w:r>
      <w:r>
        <w:rPr>
          <w:rFonts w:ascii="Arial" w:hAnsi="Arial" w:cs="Arial"/>
          <w:bCs/>
          <w:sz w:val="22"/>
          <w:szCs w:val="22"/>
          <w:lang w:val="fr-FR"/>
        </w:rPr>
        <w:t xml:space="preserve">, </w:t>
      </w:r>
      <w:r w:rsidRPr="001566A6">
        <w:rPr>
          <w:rFonts w:ascii="Arial" w:hAnsi="Arial" w:cs="Arial"/>
          <w:bCs/>
          <w:sz w:val="22"/>
          <w:szCs w:val="22"/>
          <w:lang w:val="fr-FR"/>
        </w:rPr>
        <w:t>était exceptionnel</w:t>
      </w:r>
      <w:r>
        <w:rPr>
          <w:rFonts w:ascii="Arial" w:hAnsi="Arial" w:cs="Arial"/>
          <w:bCs/>
          <w:sz w:val="22"/>
          <w:szCs w:val="22"/>
          <w:lang w:val="fr-FR"/>
        </w:rPr>
        <w:t>le</w:t>
      </w:r>
      <w:r w:rsidRPr="001566A6">
        <w:rPr>
          <w:rFonts w:ascii="Arial" w:hAnsi="Arial" w:cs="Arial"/>
          <w:bCs/>
          <w:sz w:val="22"/>
          <w:szCs w:val="22"/>
          <w:lang w:val="fr-FR"/>
        </w:rPr>
        <w:t xml:space="preserve">, comme le </w:t>
      </w:r>
      <w:r>
        <w:rPr>
          <w:rFonts w:ascii="Arial" w:hAnsi="Arial" w:cs="Arial"/>
          <w:bCs/>
          <w:sz w:val="22"/>
          <w:szCs w:val="22"/>
          <w:lang w:val="fr-FR"/>
        </w:rPr>
        <w:t>précisait</w:t>
      </w:r>
      <w:r w:rsidRPr="001566A6">
        <w:rPr>
          <w:rFonts w:ascii="Arial" w:hAnsi="Arial" w:cs="Arial"/>
          <w:bCs/>
          <w:sz w:val="22"/>
          <w:szCs w:val="22"/>
          <w:lang w:val="fr-FR"/>
        </w:rPr>
        <w:t xml:space="preserve"> le paragraphe 7 de </w:t>
      </w:r>
      <w:r w:rsidRPr="00E92EA8">
        <w:rPr>
          <w:rFonts w:ascii="Arial" w:hAnsi="Arial" w:cs="Arial"/>
          <w:bCs/>
          <w:sz w:val="22"/>
          <w:szCs w:val="22"/>
          <w:lang w:val="fr-FR"/>
        </w:rPr>
        <w:t xml:space="preserve">la </w:t>
      </w:r>
      <w:r w:rsidR="00A5302E">
        <w:rPr>
          <w:rFonts w:ascii="Arial" w:hAnsi="Arial" w:cs="Arial"/>
          <w:bCs/>
          <w:sz w:val="22"/>
          <w:szCs w:val="22"/>
          <w:lang w:val="fr-FR"/>
        </w:rPr>
        <w:t>décision </w:t>
      </w:r>
      <w:hyperlink r:id="rId44" w:history="1">
        <w:r w:rsidRPr="00E92EA8">
          <w:rPr>
            <w:rStyle w:val="Hyperlink"/>
            <w:rFonts w:ascii="Arial" w:hAnsi="Arial" w:cs="Arial"/>
            <w:bCs/>
            <w:sz w:val="22"/>
            <w:szCs w:val="22"/>
            <w:lang w:val="fr-FR"/>
          </w:rPr>
          <w:t>16.COM 19</w:t>
        </w:r>
      </w:hyperlink>
      <w:r w:rsidRPr="00E92EA8">
        <w:rPr>
          <w:rFonts w:ascii="Arial" w:hAnsi="Arial" w:cs="Arial"/>
          <w:bCs/>
          <w:sz w:val="22"/>
          <w:szCs w:val="22"/>
          <w:lang w:val="fr-FR"/>
        </w:rPr>
        <w:t xml:space="preserve"> (qui</w:t>
      </w:r>
      <w:r w:rsidRPr="001566A6">
        <w:rPr>
          <w:rFonts w:ascii="Arial" w:hAnsi="Arial" w:cs="Arial"/>
          <w:bCs/>
          <w:sz w:val="22"/>
          <w:szCs w:val="22"/>
          <w:lang w:val="fr-FR"/>
        </w:rPr>
        <w:t xml:space="preserve"> décid</w:t>
      </w:r>
      <w:r>
        <w:rPr>
          <w:rFonts w:ascii="Arial" w:hAnsi="Arial" w:cs="Arial"/>
          <w:bCs/>
          <w:sz w:val="22"/>
          <w:szCs w:val="22"/>
          <w:lang w:val="fr-FR"/>
        </w:rPr>
        <w:t>e</w:t>
      </w:r>
      <w:r w:rsidRPr="001566A6">
        <w:rPr>
          <w:rFonts w:ascii="Arial" w:hAnsi="Arial" w:cs="Arial"/>
          <w:bCs/>
          <w:sz w:val="22"/>
          <w:szCs w:val="22"/>
          <w:lang w:val="fr-FR"/>
        </w:rPr>
        <w:t xml:space="preserve"> de l</w:t>
      </w:r>
      <w:r w:rsidR="008E532B">
        <w:rPr>
          <w:rFonts w:ascii="Arial" w:hAnsi="Arial" w:cs="Arial"/>
          <w:bCs/>
          <w:sz w:val="22"/>
          <w:szCs w:val="22"/>
          <w:lang w:val="fr-FR"/>
        </w:rPr>
        <w:t>’</w:t>
      </w:r>
      <w:r w:rsidRPr="001566A6">
        <w:rPr>
          <w:rFonts w:ascii="Arial" w:hAnsi="Arial" w:cs="Arial"/>
          <w:bCs/>
          <w:sz w:val="22"/>
          <w:szCs w:val="22"/>
          <w:lang w:val="fr-FR"/>
        </w:rPr>
        <w:t xml:space="preserve">inscription), suivi du paragraphe 8 (qui note que cette inscription </w:t>
      </w:r>
      <w:r>
        <w:rPr>
          <w:rFonts w:ascii="Arial" w:hAnsi="Arial" w:cs="Arial"/>
          <w:bCs/>
          <w:sz w:val="22"/>
          <w:szCs w:val="22"/>
          <w:lang w:val="fr-FR"/>
        </w:rPr>
        <w:t xml:space="preserve">a eu lieu sur une base exceptionnelle en ce qui concerne les procédures). </w:t>
      </w:r>
      <w:r w:rsidRPr="001566A6">
        <w:rPr>
          <w:rFonts w:ascii="Arial" w:hAnsi="Arial" w:cs="Arial"/>
          <w:bCs/>
          <w:sz w:val="22"/>
          <w:szCs w:val="22"/>
          <w:lang w:val="fr-FR"/>
        </w:rPr>
        <w:t xml:space="preserve">Ceci </w:t>
      </w:r>
      <w:r>
        <w:rPr>
          <w:rFonts w:ascii="Arial" w:hAnsi="Arial" w:cs="Arial"/>
          <w:bCs/>
          <w:sz w:val="22"/>
          <w:szCs w:val="22"/>
          <w:lang w:val="fr-FR"/>
        </w:rPr>
        <w:t>était</w:t>
      </w:r>
      <w:r w:rsidRPr="001566A6">
        <w:rPr>
          <w:rFonts w:ascii="Arial" w:hAnsi="Arial" w:cs="Arial"/>
          <w:bCs/>
          <w:sz w:val="22"/>
          <w:szCs w:val="22"/>
          <w:lang w:val="fr-FR"/>
        </w:rPr>
        <w:t xml:space="preserve"> sans préjudice</w:t>
      </w:r>
      <w:r>
        <w:rPr>
          <w:rFonts w:ascii="Arial" w:hAnsi="Arial" w:cs="Arial"/>
          <w:bCs/>
          <w:sz w:val="22"/>
          <w:szCs w:val="22"/>
          <w:lang w:val="fr-FR"/>
        </w:rPr>
        <w:t xml:space="preserve"> </w:t>
      </w:r>
      <w:r w:rsidRPr="001566A6">
        <w:rPr>
          <w:rFonts w:ascii="Arial" w:hAnsi="Arial" w:cs="Arial"/>
          <w:bCs/>
          <w:sz w:val="22"/>
          <w:szCs w:val="22"/>
          <w:lang w:val="fr-FR"/>
        </w:rPr>
        <w:t xml:space="preserve">des travaux </w:t>
      </w:r>
      <w:r>
        <w:rPr>
          <w:rFonts w:ascii="Arial" w:hAnsi="Arial" w:cs="Arial"/>
          <w:bCs/>
          <w:sz w:val="22"/>
          <w:szCs w:val="22"/>
          <w:lang w:val="fr-FR"/>
        </w:rPr>
        <w:t>ultérieurs dans le cadre des</w:t>
      </w:r>
      <w:r w:rsidRPr="001566A6">
        <w:rPr>
          <w:rFonts w:ascii="Arial" w:hAnsi="Arial" w:cs="Arial"/>
          <w:bCs/>
          <w:sz w:val="22"/>
          <w:szCs w:val="22"/>
          <w:lang w:val="fr-FR"/>
        </w:rPr>
        <w:t xml:space="preserve"> propositions issues du groupe de travail</w:t>
      </w:r>
      <w:r>
        <w:rPr>
          <w:rFonts w:ascii="Arial" w:hAnsi="Arial" w:cs="Arial"/>
          <w:bCs/>
          <w:sz w:val="22"/>
          <w:szCs w:val="22"/>
          <w:lang w:val="fr-FR"/>
        </w:rPr>
        <w:t>,</w:t>
      </w:r>
      <w:r w:rsidRPr="001566A6">
        <w:rPr>
          <w:rFonts w:ascii="Arial" w:hAnsi="Arial" w:cs="Arial"/>
          <w:bCs/>
          <w:sz w:val="22"/>
          <w:szCs w:val="22"/>
          <w:lang w:val="fr-FR"/>
        </w:rPr>
        <w:t xml:space="preserve"> que l</w:t>
      </w:r>
      <w:r w:rsidR="008E532B">
        <w:rPr>
          <w:rFonts w:ascii="Arial" w:hAnsi="Arial" w:cs="Arial"/>
          <w:bCs/>
          <w:sz w:val="22"/>
          <w:szCs w:val="22"/>
          <w:lang w:val="fr-FR"/>
        </w:rPr>
        <w:t>’</w:t>
      </w:r>
      <w:r w:rsidRPr="001566A6">
        <w:rPr>
          <w:rFonts w:ascii="Arial" w:hAnsi="Arial" w:cs="Arial"/>
          <w:bCs/>
          <w:sz w:val="22"/>
          <w:szCs w:val="22"/>
          <w:lang w:val="fr-FR"/>
        </w:rPr>
        <w:t>Assemblée pourrait décider d</w:t>
      </w:r>
      <w:r w:rsidR="008E532B">
        <w:rPr>
          <w:rFonts w:ascii="Arial" w:hAnsi="Arial" w:cs="Arial"/>
          <w:bCs/>
          <w:sz w:val="22"/>
          <w:szCs w:val="22"/>
          <w:lang w:val="fr-FR"/>
        </w:rPr>
        <w:t>’</w:t>
      </w:r>
      <w:r w:rsidRPr="001566A6">
        <w:rPr>
          <w:rFonts w:ascii="Arial" w:hAnsi="Arial" w:cs="Arial"/>
          <w:bCs/>
          <w:sz w:val="22"/>
          <w:szCs w:val="22"/>
          <w:lang w:val="fr-FR"/>
        </w:rPr>
        <w:t xml:space="preserve">entreprendre en ce qui concerne les </w:t>
      </w:r>
      <w:r>
        <w:rPr>
          <w:rFonts w:ascii="Arial" w:hAnsi="Arial" w:cs="Arial"/>
          <w:bCs/>
          <w:sz w:val="22"/>
          <w:szCs w:val="22"/>
          <w:lang w:val="fr-FR"/>
        </w:rPr>
        <w:t>D</w:t>
      </w:r>
      <w:r w:rsidRPr="001566A6">
        <w:rPr>
          <w:rFonts w:ascii="Arial" w:hAnsi="Arial" w:cs="Arial"/>
          <w:bCs/>
          <w:sz w:val="22"/>
          <w:szCs w:val="22"/>
          <w:lang w:val="fr-FR"/>
        </w:rPr>
        <w:t xml:space="preserve">irectives opérationnelles. Le </w:t>
      </w:r>
      <w:r>
        <w:rPr>
          <w:rFonts w:ascii="Arial" w:hAnsi="Arial" w:cs="Arial"/>
          <w:bCs/>
          <w:sz w:val="22"/>
          <w:szCs w:val="22"/>
          <w:lang w:val="fr-FR"/>
        </w:rPr>
        <w:t>C</w:t>
      </w:r>
      <w:r w:rsidRPr="001566A6">
        <w:rPr>
          <w:rFonts w:ascii="Arial" w:hAnsi="Arial" w:cs="Arial"/>
          <w:bCs/>
          <w:sz w:val="22"/>
          <w:szCs w:val="22"/>
          <w:lang w:val="fr-FR"/>
        </w:rPr>
        <w:t>onseiller juridique a donc suggéré de souligner ce point, en disant</w:t>
      </w:r>
      <w:r>
        <w:rPr>
          <w:rFonts w:ascii="Arial" w:hAnsi="Arial" w:cs="Arial"/>
          <w:bCs/>
          <w:sz w:val="22"/>
          <w:szCs w:val="22"/>
          <w:lang w:val="fr-FR"/>
        </w:rPr>
        <w:t>, par exemple,</w:t>
      </w:r>
      <w:r w:rsidRPr="001566A6">
        <w:rPr>
          <w:rFonts w:ascii="Arial" w:hAnsi="Arial" w:cs="Arial"/>
          <w:bCs/>
          <w:sz w:val="22"/>
          <w:szCs w:val="22"/>
          <w:lang w:val="fr-FR"/>
        </w:rPr>
        <w:t xml:space="preserve"> </w:t>
      </w:r>
      <w:r>
        <w:rPr>
          <w:rFonts w:ascii="Arial" w:hAnsi="Arial" w:cs="Arial"/>
          <w:bCs/>
          <w:sz w:val="22"/>
          <w:szCs w:val="22"/>
          <w:lang w:val="fr-FR"/>
        </w:rPr>
        <w:t>« A</w:t>
      </w:r>
      <w:r w:rsidRPr="001566A6">
        <w:rPr>
          <w:rFonts w:ascii="Arial" w:hAnsi="Arial" w:cs="Arial"/>
          <w:bCs/>
          <w:sz w:val="22"/>
          <w:szCs w:val="22"/>
          <w:lang w:val="fr-FR"/>
        </w:rPr>
        <w:t xml:space="preserve">pprouve la procédure suivie </w:t>
      </w:r>
      <w:r>
        <w:rPr>
          <w:rFonts w:ascii="Arial" w:hAnsi="Arial" w:cs="Arial"/>
          <w:bCs/>
          <w:sz w:val="22"/>
          <w:szCs w:val="22"/>
          <w:lang w:val="fr-FR"/>
        </w:rPr>
        <w:t xml:space="preserve">sur une base </w:t>
      </w:r>
      <w:r w:rsidRPr="001566A6">
        <w:rPr>
          <w:rFonts w:ascii="Arial" w:hAnsi="Arial" w:cs="Arial"/>
          <w:bCs/>
          <w:sz w:val="22"/>
          <w:szCs w:val="22"/>
          <w:lang w:val="fr-FR"/>
        </w:rPr>
        <w:t>exceptionnel</w:t>
      </w:r>
      <w:r>
        <w:rPr>
          <w:rFonts w:ascii="Arial" w:hAnsi="Arial" w:cs="Arial"/>
          <w:bCs/>
          <w:sz w:val="22"/>
          <w:szCs w:val="22"/>
          <w:lang w:val="fr-FR"/>
        </w:rPr>
        <w:t>le</w:t>
      </w:r>
      <w:r w:rsidRPr="001566A6">
        <w:rPr>
          <w:rFonts w:ascii="Arial" w:hAnsi="Arial" w:cs="Arial"/>
          <w:bCs/>
          <w:sz w:val="22"/>
          <w:szCs w:val="22"/>
          <w:lang w:val="fr-FR"/>
        </w:rPr>
        <w:t xml:space="preserve"> pour l</w:t>
      </w:r>
      <w:r w:rsidR="008E532B">
        <w:rPr>
          <w:rFonts w:ascii="Arial" w:hAnsi="Arial" w:cs="Arial"/>
          <w:bCs/>
          <w:sz w:val="22"/>
          <w:szCs w:val="22"/>
          <w:lang w:val="fr-FR"/>
        </w:rPr>
        <w:t>’</w:t>
      </w:r>
      <w:r w:rsidRPr="001566A6">
        <w:rPr>
          <w:rFonts w:ascii="Arial" w:hAnsi="Arial" w:cs="Arial"/>
          <w:bCs/>
          <w:sz w:val="22"/>
          <w:szCs w:val="22"/>
          <w:lang w:val="fr-FR"/>
        </w:rPr>
        <w:t xml:space="preserve">inscription de la </w:t>
      </w:r>
      <w:r>
        <w:rPr>
          <w:rFonts w:ascii="Arial" w:hAnsi="Arial" w:cs="Arial"/>
          <w:bCs/>
          <w:sz w:val="22"/>
          <w:szCs w:val="22"/>
          <w:lang w:val="fr-FR"/>
        </w:rPr>
        <w:t>soupe au giraumon »</w:t>
      </w:r>
      <w:r w:rsidRPr="001566A6">
        <w:rPr>
          <w:rFonts w:ascii="Arial" w:hAnsi="Arial" w:cs="Arial"/>
          <w:bCs/>
          <w:sz w:val="22"/>
          <w:szCs w:val="22"/>
          <w:lang w:val="fr-FR"/>
        </w:rPr>
        <w:t xml:space="preserve">, ce qui pourrait </w:t>
      </w:r>
      <w:r>
        <w:rPr>
          <w:rFonts w:ascii="Arial" w:hAnsi="Arial" w:cs="Arial"/>
          <w:bCs/>
          <w:sz w:val="22"/>
          <w:szCs w:val="22"/>
          <w:lang w:val="fr-FR"/>
        </w:rPr>
        <w:t>répondre aux inquiétudes exprimées par les</w:t>
      </w:r>
      <w:r w:rsidRPr="001566A6">
        <w:rPr>
          <w:rFonts w:ascii="Arial" w:hAnsi="Arial" w:cs="Arial"/>
          <w:bCs/>
          <w:sz w:val="22"/>
          <w:szCs w:val="22"/>
          <w:lang w:val="fr-FR"/>
        </w:rPr>
        <w:t xml:space="preserve"> deux parties.</w:t>
      </w:r>
    </w:p>
    <w:p w14:paraId="3F125103" w14:textId="3CD871B6" w:rsidR="00D9653F" w:rsidRPr="00270980"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70980">
        <w:rPr>
          <w:rFonts w:ascii="Arial" w:hAnsi="Arial" w:cs="Arial"/>
          <w:bCs/>
          <w:sz w:val="22"/>
          <w:szCs w:val="22"/>
          <w:lang w:val="fr-FR"/>
        </w:rPr>
        <w:t xml:space="preserve">La délégation de la </w:t>
      </w:r>
      <w:r w:rsidRPr="00270980">
        <w:rPr>
          <w:rFonts w:ascii="Arial" w:hAnsi="Arial" w:cs="Arial"/>
          <w:b/>
          <w:sz w:val="22"/>
          <w:szCs w:val="22"/>
          <w:lang w:val="fr-FR"/>
        </w:rPr>
        <w:t>Pologne</w:t>
      </w:r>
      <w:r w:rsidRPr="00270980">
        <w:rPr>
          <w:rFonts w:ascii="Arial" w:hAnsi="Arial" w:cs="Arial"/>
          <w:bCs/>
          <w:sz w:val="22"/>
          <w:szCs w:val="22"/>
          <w:lang w:val="fr-FR"/>
        </w:rPr>
        <w:t xml:space="preserve"> </w:t>
      </w:r>
      <w:r>
        <w:rPr>
          <w:rFonts w:ascii="Arial" w:hAnsi="Arial" w:cs="Arial"/>
          <w:bCs/>
          <w:sz w:val="22"/>
          <w:szCs w:val="22"/>
          <w:lang w:val="fr-FR"/>
        </w:rPr>
        <w:t>était</w:t>
      </w:r>
      <w:r w:rsidRPr="00270980">
        <w:rPr>
          <w:rFonts w:ascii="Arial" w:hAnsi="Arial" w:cs="Arial"/>
          <w:bCs/>
          <w:sz w:val="22"/>
          <w:szCs w:val="22"/>
          <w:lang w:val="fr-FR"/>
        </w:rPr>
        <w:t xml:space="preserve"> un membre du Comité très favorable à l</w:t>
      </w:r>
      <w:r w:rsidR="008E532B">
        <w:rPr>
          <w:rFonts w:ascii="Arial" w:hAnsi="Arial" w:cs="Arial"/>
          <w:bCs/>
          <w:sz w:val="22"/>
          <w:szCs w:val="22"/>
          <w:lang w:val="fr-FR"/>
        </w:rPr>
        <w:t>’</w:t>
      </w:r>
      <w:r w:rsidRPr="00270980">
        <w:rPr>
          <w:rFonts w:ascii="Arial" w:hAnsi="Arial" w:cs="Arial"/>
          <w:bCs/>
          <w:sz w:val="22"/>
          <w:szCs w:val="22"/>
          <w:lang w:val="fr-FR"/>
        </w:rPr>
        <w:t xml:space="preserve">inscription de la </w:t>
      </w:r>
      <w:r>
        <w:rPr>
          <w:rFonts w:ascii="Arial" w:hAnsi="Arial" w:cs="Arial"/>
          <w:bCs/>
          <w:sz w:val="22"/>
          <w:szCs w:val="22"/>
          <w:lang w:val="fr-FR"/>
        </w:rPr>
        <w:t>soupe au giraumon</w:t>
      </w:r>
      <w:r w:rsidRPr="00270980">
        <w:rPr>
          <w:rFonts w:ascii="Arial" w:hAnsi="Arial" w:cs="Arial"/>
          <w:bCs/>
          <w:sz w:val="22"/>
          <w:szCs w:val="22"/>
          <w:lang w:val="fr-FR"/>
        </w:rPr>
        <w:t xml:space="preserve"> sur la Liste représentative. Elle souhait</w:t>
      </w:r>
      <w:r>
        <w:rPr>
          <w:rFonts w:ascii="Arial" w:hAnsi="Arial" w:cs="Arial"/>
          <w:bCs/>
          <w:sz w:val="22"/>
          <w:szCs w:val="22"/>
          <w:lang w:val="fr-FR"/>
        </w:rPr>
        <w:t>ait</w:t>
      </w:r>
      <w:r w:rsidRPr="00270980">
        <w:rPr>
          <w:rFonts w:ascii="Arial" w:hAnsi="Arial" w:cs="Arial"/>
          <w:bCs/>
          <w:sz w:val="22"/>
          <w:szCs w:val="22"/>
          <w:lang w:val="fr-FR"/>
        </w:rPr>
        <w:t xml:space="preserve"> demander au Conseiller juridique, et la question avait </w:t>
      </w:r>
      <w:r w:rsidRPr="00604509">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w:t>
      </w:r>
      <w:r w:rsidRPr="00270980">
        <w:rPr>
          <w:rFonts w:ascii="Arial" w:hAnsi="Arial" w:cs="Arial"/>
          <w:bCs/>
          <w:sz w:val="22"/>
          <w:szCs w:val="22"/>
          <w:lang w:val="fr-FR"/>
        </w:rPr>
        <w:t>été soulevée à l</w:t>
      </w:r>
      <w:r w:rsidR="008E532B">
        <w:rPr>
          <w:rFonts w:ascii="Arial" w:hAnsi="Arial" w:cs="Arial"/>
          <w:bCs/>
          <w:sz w:val="22"/>
          <w:szCs w:val="22"/>
          <w:lang w:val="fr-FR"/>
        </w:rPr>
        <w:t>’</w:t>
      </w:r>
      <w:r w:rsidRPr="00270980">
        <w:rPr>
          <w:rFonts w:ascii="Arial" w:hAnsi="Arial" w:cs="Arial"/>
          <w:bCs/>
          <w:sz w:val="22"/>
          <w:szCs w:val="22"/>
          <w:lang w:val="fr-FR"/>
        </w:rPr>
        <w:t xml:space="preserve">époque, quelle </w:t>
      </w:r>
      <w:r>
        <w:rPr>
          <w:rFonts w:ascii="Arial" w:hAnsi="Arial" w:cs="Arial"/>
          <w:bCs/>
          <w:sz w:val="22"/>
          <w:szCs w:val="22"/>
          <w:lang w:val="fr-FR"/>
        </w:rPr>
        <w:t>était</w:t>
      </w:r>
      <w:r w:rsidRPr="00270980">
        <w:rPr>
          <w:rFonts w:ascii="Arial" w:hAnsi="Arial" w:cs="Arial"/>
          <w:bCs/>
          <w:sz w:val="22"/>
          <w:szCs w:val="22"/>
          <w:lang w:val="fr-FR"/>
        </w:rPr>
        <w:t xml:space="preserve"> la base juridique de l</w:t>
      </w:r>
      <w:r w:rsidR="008E532B">
        <w:rPr>
          <w:rFonts w:ascii="Arial" w:hAnsi="Arial" w:cs="Arial"/>
          <w:bCs/>
          <w:sz w:val="22"/>
          <w:szCs w:val="22"/>
          <w:lang w:val="fr-FR"/>
        </w:rPr>
        <w:t>’</w:t>
      </w:r>
      <w:r w:rsidRPr="00270980">
        <w:rPr>
          <w:rFonts w:ascii="Arial" w:hAnsi="Arial" w:cs="Arial"/>
          <w:bCs/>
          <w:sz w:val="22"/>
          <w:szCs w:val="22"/>
          <w:lang w:val="fr-FR"/>
        </w:rPr>
        <w:t>approbation par l</w:t>
      </w:r>
      <w:r w:rsidR="008E532B">
        <w:rPr>
          <w:rFonts w:ascii="Arial" w:hAnsi="Arial" w:cs="Arial"/>
          <w:bCs/>
          <w:sz w:val="22"/>
          <w:szCs w:val="22"/>
          <w:lang w:val="fr-FR"/>
        </w:rPr>
        <w:t>’</w:t>
      </w:r>
      <w:r w:rsidRPr="00270980">
        <w:rPr>
          <w:rFonts w:ascii="Arial" w:hAnsi="Arial" w:cs="Arial"/>
          <w:bCs/>
          <w:sz w:val="22"/>
          <w:szCs w:val="22"/>
          <w:lang w:val="fr-FR"/>
        </w:rPr>
        <w:t>Assemblée générale de toute décision du Comité</w:t>
      </w:r>
      <w:r>
        <w:rPr>
          <w:rFonts w:ascii="Arial" w:hAnsi="Arial" w:cs="Arial"/>
          <w:bCs/>
          <w:sz w:val="22"/>
          <w:szCs w:val="22"/>
          <w:lang w:val="fr-FR"/>
        </w:rPr>
        <w:t>.</w:t>
      </w:r>
      <w:r w:rsidRPr="00270980">
        <w:rPr>
          <w:rFonts w:ascii="Arial" w:hAnsi="Arial" w:cs="Arial"/>
          <w:bCs/>
          <w:sz w:val="22"/>
          <w:szCs w:val="22"/>
          <w:lang w:val="fr-FR"/>
        </w:rPr>
        <w:t xml:space="preserve"> La délégation a également demandé des éclaircissements au Conseiller juridique sur un autre point. Le paragraphe 7 de la </w:t>
      </w:r>
      <w:r>
        <w:rPr>
          <w:rFonts w:ascii="Arial" w:hAnsi="Arial" w:cs="Arial"/>
          <w:bCs/>
          <w:sz w:val="22"/>
          <w:szCs w:val="22"/>
          <w:lang w:val="fr-FR"/>
        </w:rPr>
        <w:t>d</w:t>
      </w:r>
      <w:r w:rsidRPr="00270980">
        <w:rPr>
          <w:rFonts w:ascii="Arial" w:hAnsi="Arial" w:cs="Arial"/>
          <w:bCs/>
          <w:sz w:val="22"/>
          <w:szCs w:val="22"/>
          <w:lang w:val="fr-FR"/>
        </w:rPr>
        <w:t>écision 16.COM</w:t>
      </w:r>
      <w:r>
        <w:rPr>
          <w:rFonts w:ascii="Arial" w:hAnsi="Arial" w:cs="Arial"/>
          <w:bCs/>
          <w:sz w:val="22"/>
          <w:szCs w:val="22"/>
          <w:lang w:val="fr-FR"/>
        </w:rPr>
        <w:t> </w:t>
      </w:r>
      <w:r w:rsidRPr="00270980">
        <w:rPr>
          <w:rFonts w:ascii="Arial" w:hAnsi="Arial" w:cs="Arial"/>
          <w:bCs/>
          <w:sz w:val="22"/>
          <w:szCs w:val="22"/>
          <w:lang w:val="fr-FR"/>
        </w:rPr>
        <w:t>19 décid</w:t>
      </w:r>
      <w:r>
        <w:rPr>
          <w:rFonts w:ascii="Arial" w:hAnsi="Arial" w:cs="Arial"/>
          <w:bCs/>
          <w:sz w:val="22"/>
          <w:szCs w:val="22"/>
          <w:lang w:val="fr-FR"/>
        </w:rPr>
        <w:t>ait</w:t>
      </w:r>
      <w:r w:rsidRPr="00270980">
        <w:rPr>
          <w:rFonts w:ascii="Arial" w:hAnsi="Arial" w:cs="Arial"/>
          <w:bCs/>
          <w:sz w:val="22"/>
          <w:szCs w:val="22"/>
          <w:lang w:val="fr-FR"/>
        </w:rPr>
        <w:t xml:space="preserve"> d</w:t>
      </w:r>
      <w:r w:rsidR="008E532B">
        <w:rPr>
          <w:rFonts w:ascii="Arial" w:hAnsi="Arial" w:cs="Arial"/>
          <w:bCs/>
          <w:sz w:val="22"/>
          <w:szCs w:val="22"/>
          <w:lang w:val="fr-FR"/>
        </w:rPr>
        <w:t>’</w:t>
      </w:r>
      <w:r w:rsidRPr="00270980">
        <w:rPr>
          <w:rFonts w:ascii="Arial" w:hAnsi="Arial" w:cs="Arial"/>
          <w:bCs/>
          <w:sz w:val="22"/>
          <w:szCs w:val="22"/>
          <w:lang w:val="fr-FR"/>
        </w:rPr>
        <w:t xml:space="preserve">inscrire la </w:t>
      </w:r>
      <w:r>
        <w:rPr>
          <w:rFonts w:ascii="Arial" w:hAnsi="Arial" w:cs="Arial"/>
          <w:bCs/>
          <w:sz w:val="22"/>
          <w:szCs w:val="22"/>
          <w:lang w:val="fr-FR"/>
        </w:rPr>
        <w:t xml:space="preserve">soupe au giraumon </w:t>
      </w:r>
      <w:r w:rsidRPr="00270980">
        <w:rPr>
          <w:rFonts w:ascii="Arial" w:hAnsi="Arial" w:cs="Arial"/>
          <w:bCs/>
          <w:sz w:val="22"/>
          <w:szCs w:val="22"/>
          <w:lang w:val="fr-FR"/>
        </w:rPr>
        <w:t>sur la Liste représentative, pourtant</w:t>
      </w:r>
      <w:r>
        <w:rPr>
          <w:rFonts w:ascii="Arial" w:hAnsi="Arial" w:cs="Arial"/>
          <w:bCs/>
          <w:sz w:val="22"/>
          <w:szCs w:val="22"/>
          <w:lang w:val="fr-FR"/>
        </w:rPr>
        <w:t xml:space="preserve">, </w:t>
      </w:r>
      <w:r w:rsidRPr="00270980">
        <w:rPr>
          <w:rFonts w:ascii="Arial" w:hAnsi="Arial" w:cs="Arial"/>
          <w:bCs/>
          <w:sz w:val="22"/>
          <w:szCs w:val="22"/>
          <w:lang w:val="fr-FR"/>
        </w:rPr>
        <w:t xml:space="preserve">lors de </w:t>
      </w:r>
      <w:r>
        <w:rPr>
          <w:rFonts w:ascii="Arial" w:hAnsi="Arial" w:cs="Arial"/>
          <w:bCs/>
          <w:sz w:val="22"/>
          <w:szCs w:val="22"/>
          <w:lang w:val="fr-FR"/>
        </w:rPr>
        <w:t xml:space="preserve">la présente </w:t>
      </w:r>
      <w:r w:rsidRPr="00270980">
        <w:rPr>
          <w:rFonts w:ascii="Arial" w:hAnsi="Arial" w:cs="Arial"/>
          <w:bCs/>
          <w:sz w:val="22"/>
          <w:szCs w:val="22"/>
          <w:lang w:val="fr-FR"/>
        </w:rPr>
        <w:t>session</w:t>
      </w:r>
      <w:r>
        <w:rPr>
          <w:rFonts w:ascii="Arial" w:hAnsi="Arial" w:cs="Arial"/>
          <w:bCs/>
          <w:sz w:val="22"/>
          <w:szCs w:val="22"/>
          <w:lang w:val="fr-FR"/>
        </w:rPr>
        <w:t>,</w:t>
      </w:r>
      <w:r w:rsidRPr="00270980">
        <w:rPr>
          <w:rFonts w:ascii="Arial" w:hAnsi="Arial" w:cs="Arial"/>
          <w:bCs/>
          <w:sz w:val="22"/>
          <w:szCs w:val="22"/>
          <w:lang w:val="fr-FR"/>
        </w:rPr>
        <w:t xml:space="preserve"> certaines délégations </w:t>
      </w:r>
      <w:r>
        <w:rPr>
          <w:rFonts w:ascii="Arial" w:hAnsi="Arial" w:cs="Arial"/>
          <w:bCs/>
          <w:sz w:val="22"/>
          <w:szCs w:val="22"/>
          <w:lang w:val="fr-FR"/>
        </w:rPr>
        <w:t>avaient</w:t>
      </w:r>
      <w:r w:rsidRPr="00270980">
        <w:rPr>
          <w:rFonts w:ascii="Arial" w:hAnsi="Arial" w:cs="Arial"/>
          <w:bCs/>
          <w:sz w:val="22"/>
          <w:szCs w:val="22"/>
          <w:lang w:val="fr-FR"/>
        </w:rPr>
        <w:t xml:space="preserve"> considéré que l</w:t>
      </w:r>
      <w:r w:rsidR="008E532B">
        <w:rPr>
          <w:rFonts w:ascii="Arial" w:hAnsi="Arial" w:cs="Arial"/>
          <w:bCs/>
          <w:sz w:val="22"/>
          <w:szCs w:val="22"/>
          <w:lang w:val="fr-FR"/>
        </w:rPr>
        <w:t>’</w:t>
      </w:r>
      <w:r w:rsidRPr="00270980">
        <w:rPr>
          <w:rFonts w:ascii="Arial" w:hAnsi="Arial" w:cs="Arial"/>
          <w:bCs/>
          <w:sz w:val="22"/>
          <w:szCs w:val="22"/>
          <w:lang w:val="fr-FR"/>
        </w:rPr>
        <w:t>élément n</w:t>
      </w:r>
      <w:r w:rsidR="008E532B">
        <w:rPr>
          <w:rFonts w:ascii="Arial" w:hAnsi="Arial" w:cs="Arial"/>
          <w:bCs/>
          <w:sz w:val="22"/>
          <w:szCs w:val="22"/>
          <w:lang w:val="fr-FR"/>
        </w:rPr>
        <w:t>’</w:t>
      </w:r>
      <w:r w:rsidRPr="00270980">
        <w:rPr>
          <w:rFonts w:ascii="Arial" w:hAnsi="Arial" w:cs="Arial"/>
          <w:bCs/>
          <w:sz w:val="22"/>
          <w:szCs w:val="22"/>
          <w:lang w:val="fr-FR"/>
        </w:rPr>
        <w:t xml:space="preserve">était pas inscrit. La délégation </w:t>
      </w:r>
      <w:r>
        <w:rPr>
          <w:rFonts w:ascii="Arial" w:hAnsi="Arial" w:cs="Arial"/>
          <w:bCs/>
          <w:sz w:val="22"/>
          <w:szCs w:val="22"/>
          <w:lang w:val="fr-FR"/>
        </w:rPr>
        <w:t xml:space="preserve">avait cru </w:t>
      </w:r>
      <w:r w:rsidRPr="00270980">
        <w:rPr>
          <w:rFonts w:ascii="Arial" w:hAnsi="Arial" w:cs="Arial"/>
          <w:bCs/>
          <w:sz w:val="22"/>
          <w:szCs w:val="22"/>
          <w:lang w:val="fr-FR"/>
        </w:rPr>
        <w:t>comprendre que le Comité avait pris une décision solide et avait déjà inscrit l</w:t>
      </w:r>
      <w:r w:rsidR="008E532B">
        <w:rPr>
          <w:rFonts w:ascii="Arial" w:hAnsi="Arial" w:cs="Arial"/>
          <w:bCs/>
          <w:sz w:val="22"/>
          <w:szCs w:val="22"/>
          <w:lang w:val="fr-FR"/>
        </w:rPr>
        <w:t>’</w:t>
      </w:r>
      <w:r w:rsidRPr="00270980">
        <w:rPr>
          <w:rFonts w:ascii="Arial" w:hAnsi="Arial" w:cs="Arial"/>
          <w:bCs/>
          <w:sz w:val="22"/>
          <w:szCs w:val="22"/>
          <w:lang w:val="fr-FR"/>
        </w:rPr>
        <w:t>élément sur la Liste représentative.</w:t>
      </w:r>
    </w:p>
    <w:p w14:paraId="3CBAC625" w14:textId="739D541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F0F11">
        <w:rPr>
          <w:rFonts w:ascii="Arial" w:hAnsi="Arial" w:cs="Arial"/>
          <w:bCs/>
          <w:sz w:val="22"/>
          <w:szCs w:val="22"/>
          <w:lang w:val="fr-FR"/>
        </w:rPr>
        <w:t xml:space="preserve">La délégation du </w:t>
      </w:r>
      <w:r w:rsidRPr="000F0F11">
        <w:rPr>
          <w:rFonts w:ascii="Arial" w:hAnsi="Arial" w:cs="Arial"/>
          <w:b/>
          <w:sz w:val="22"/>
          <w:szCs w:val="22"/>
          <w:lang w:val="fr-FR"/>
        </w:rPr>
        <w:t>Cameroun</w:t>
      </w:r>
      <w:r w:rsidRPr="000F0F11">
        <w:rPr>
          <w:rFonts w:ascii="Arial" w:hAnsi="Arial" w:cs="Arial"/>
          <w:bCs/>
          <w:sz w:val="22"/>
          <w:szCs w:val="22"/>
          <w:lang w:val="fr-FR"/>
        </w:rPr>
        <w:t xml:space="preserve"> a</w:t>
      </w:r>
      <w:r>
        <w:rPr>
          <w:rFonts w:ascii="Arial" w:hAnsi="Arial" w:cs="Arial"/>
          <w:bCs/>
          <w:sz w:val="22"/>
          <w:szCs w:val="22"/>
          <w:lang w:val="fr-FR"/>
        </w:rPr>
        <w:t>vait</w:t>
      </w:r>
      <w:r w:rsidRPr="000F0F11">
        <w:rPr>
          <w:rFonts w:ascii="Arial" w:hAnsi="Arial" w:cs="Arial"/>
          <w:bCs/>
          <w:sz w:val="22"/>
          <w:szCs w:val="22"/>
          <w:lang w:val="fr-FR"/>
        </w:rPr>
        <w:t xml:space="preserve"> participé en tant que membre du Comité à l</w:t>
      </w:r>
      <w:r w:rsidR="008E532B">
        <w:rPr>
          <w:rFonts w:ascii="Arial" w:hAnsi="Arial" w:cs="Arial"/>
          <w:bCs/>
          <w:sz w:val="22"/>
          <w:szCs w:val="22"/>
          <w:lang w:val="fr-FR"/>
        </w:rPr>
        <w:t>’</w:t>
      </w:r>
      <w:r w:rsidRPr="000F0F11">
        <w:rPr>
          <w:rFonts w:ascii="Arial" w:hAnsi="Arial" w:cs="Arial"/>
          <w:bCs/>
          <w:sz w:val="22"/>
          <w:szCs w:val="22"/>
          <w:lang w:val="fr-FR"/>
        </w:rPr>
        <w:t>adoption ou à la validation de l</w:t>
      </w:r>
      <w:r w:rsidR="008E532B">
        <w:rPr>
          <w:rFonts w:ascii="Arial" w:hAnsi="Arial" w:cs="Arial"/>
          <w:bCs/>
          <w:sz w:val="22"/>
          <w:szCs w:val="22"/>
          <w:lang w:val="fr-FR"/>
        </w:rPr>
        <w:t>’</w:t>
      </w:r>
      <w:r w:rsidRPr="000F0F11">
        <w:rPr>
          <w:rFonts w:ascii="Arial" w:hAnsi="Arial" w:cs="Arial"/>
          <w:bCs/>
          <w:sz w:val="22"/>
          <w:szCs w:val="22"/>
          <w:lang w:val="fr-FR"/>
        </w:rPr>
        <w:t xml:space="preserve">inscription de la </w:t>
      </w:r>
      <w:r>
        <w:rPr>
          <w:rFonts w:ascii="Arial" w:hAnsi="Arial" w:cs="Arial"/>
          <w:bCs/>
          <w:sz w:val="22"/>
          <w:szCs w:val="22"/>
          <w:lang w:val="fr-FR"/>
        </w:rPr>
        <w:t>soupe au giraumon</w:t>
      </w:r>
      <w:r w:rsidRPr="000F0F11">
        <w:rPr>
          <w:rFonts w:ascii="Arial" w:hAnsi="Arial" w:cs="Arial"/>
          <w:bCs/>
          <w:sz w:val="22"/>
          <w:szCs w:val="22"/>
          <w:lang w:val="fr-FR"/>
        </w:rPr>
        <w:t xml:space="preserve"> sur la base de la situation exceptionnelle qui avait été présentée. Par ailleurs, les éléments qui avaient conduit à cette demande étaient clairs et il avait été décidé de manière consensuelle</w:t>
      </w:r>
      <w:r>
        <w:rPr>
          <w:rFonts w:ascii="Arial" w:hAnsi="Arial" w:cs="Arial"/>
          <w:bCs/>
          <w:sz w:val="22"/>
          <w:szCs w:val="22"/>
          <w:lang w:val="fr-FR"/>
        </w:rPr>
        <w:t>,</w:t>
      </w:r>
      <w:r w:rsidRPr="000F0F11">
        <w:rPr>
          <w:rFonts w:ascii="Arial" w:hAnsi="Arial" w:cs="Arial"/>
          <w:bCs/>
          <w:sz w:val="22"/>
          <w:szCs w:val="22"/>
          <w:lang w:val="fr-FR"/>
        </w:rPr>
        <w:t xml:space="preserve"> au regard des valeurs de fraternité et de solidarité, de soutenir la demande d</w:t>
      </w:r>
      <w:r w:rsidR="008E532B">
        <w:rPr>
          <w:rFonts w:ascii="Arial" w:hAnsi="Arial" w:cs="Arial"/>
          <w:bCs/>
          <w:sz w:val="22"/>
          <w:szCs w:val="22"/>
          <w:lang w:val="fr-FR"/>
        </w:rPr>
        <w:t>’</w:t>
      </w:r>
      <w:r w:rsidRPr="000F0F11">
        <w:rPr>
          <w:rFonts w:ascii="Arial" w:hAnsi="Arial" w:cs="Arial"/>
          <w:bCs/>
          <w:sz w:val="22"/>
          <w:szCs w:val="22"/>
          <w:lang w:val="fr-FR"/>
        </w:rPr>
        <w:t>Haïti. Aujourd</w:t>
      </w:r>
      <w:r w:rsidR="008E532B">
        <w:rPr>
          <w:rFonts w:ascii="Arial" w:hAnsi="Arial" w:cs="Arial"/>
          <w:bCs/>
          <w:sz w:val="22"/>
          <w:szCs w:val="22"/>
          <w:lang w:val="fr-FR"/>
        </w:rPr>
        <w:t>’</w:t>
      </w:r>
      <w:r w:rsidRPr="000F0F11">
        <w:rPr>
          <w:rFonts w:ascii="Arial" w:hAnsi="Arial" w:cs="Arial"/>
          <w:bCs/>
          <w:sz w:val="22"/>
          <w:szCs w:val="22"/>
          <w:lang w:val="fr-FR"/>
        </w:rPr>
        <w:t>hui, dans le cadre de cette Assemblée, le Cameroun réitér</w:t>
      </w:r>
      <w:r>
        <w:rPr>
          <w:rFonts w:ascii="Arial" w:hAnsi="Arial" w:cs="Arial"/>
          <w:bCs/>
          <w:sz w:val="22"/>
          <w:szCs w:val="22"/>
          <w:lang w:val="fr-FR"/>
        </w:rPr>
        <w:t>ait</w:t>
      </w:r>
      <w:r w:rsidRPr="000F0F11">
        <w:rPr>
          <w:rFonts w:ascii="Arial" w:hAnsi="Arial" w:cs="Arial"/>
          <w:bCs/>
          <w:sz w:val="22"/>
          <w:szCs w:val="22"/>
          <w:lang w:val="fr-FR"/>
        </w:rPr>
        <w:t xml:space="preserve"> son soutien total à cette décision. La délégation a concédé qu</w:t>
      </w:r>
      <w:r w:rsidR="008E532B">
        <w:rPr>
          <w:rFonts w:ascii="Arial" w:hAnsi="Arial" w:cs="Arial"/>
          <w:bCs/>
          <w:sz w:val="22"/>
          <w:szCs w:val="22"/>
          <w:lang w:val="fr-FR"/>
        </w:rPr>
        <w:t>’</w:t>
      </w:r>
      <w:r w:rsidRPr="000F0F11">
        <w:rPr>
          <w:rFonts w:ascii="Arial" w:hAnsi="Arial" w:cs="Arial"/>
          <w:bCs/>
          <w:sz w:val="22"/>
          <w:szCs w:val="22"/>
          <w:lang w:val="fr-FR"/>
        </w:rPr>
        <w:t>il y avait certainement une nuanc</w:t>
      </w:r>
      <w:r>
        <w:rPr>
          <w:rFonts w:ascii="Arial" w:hAnsi="Arial" w:cs="Arial"/>
          <w:bCs/>
          <w:sz w:val="22"/>
          <w:szCs w:val="22"/>
          <w:lang w:val="fr-FR"/>
        </w:rPr>
        <w:t>e</w:t>
      </w:r>
      <w:r w:rsidRPr="000F0F11">
        <w:rPr>
          <w:rFonts w:ascii="Arial" w:hAnsi="Arial" w:cs="Arial"/>
          <w:bCs/>
          <w:sz w:val="22"/>
          <w:szCs w:val="22"/>
          <w:lang w:val="fr-FR"/>
        </w:rPr>
        <w:t xml:space="preserve"> entre une procédure et une décision de fond. Cependant, si un texte juridique ne prévo</w:t>
      </w:r>
      <w:r>
        <w:rPr>
          <w:rFonts w:ascii="Arial" w:hAnsi="Arial" w:cs="Arial"/>
          <w:bCs/>
          <w:sz w:val="22"/>
          <w:szCs w:val="22"/>
          <w:lang w:val="fr-FR"/>
        </w:rPr>
        <w:t>it</w:t>
      </w:r>
      <w:r w:rsidRPr="000F0F11">
        <w:rPr>
          <w:rFonts w:ascii="Arial" w:hAnsi="Arial" w:cs="Arial"/>
          <w:bCs/>
          <w:sz w:val="22"/>
          <w:szCs w:val="22"/>
          <w:lang w:val="fr-FR"/>
        </w:rPr>
        <w:t xml:space="preserve"> pas de procédure mais autoris</w:t>
      </w:r>
      <w:r>
        <w:rPr>
          <w:rFonts w:ascii="Arial" w:hAnsi="Arial" w:cs="Arial"/>
          <w:bCs/>
          <w:sz w:val="22"/>
          <w:szCs w:val="22"/>
          <w:lang w:val="fr-FR"/>
        </w:rPr>
        <w:t xml:space="preserve">e </w:t>
      </w:r>
      <w:r w:rsidRPr="000F0F11">
        <w:rPr>
          <w:rFonts w:ascii="Arial" w:hAnsi="Arial" w:cs="Arial"/>
          <w:bCs/>
          <w:sz w:val="22"/>
          <w:szCs w:val="22"/>
          <w:lang w:val="fr-FR"/>
        </w:rPr>
        <w:t xml:space="preserve">potentiellement le Comité à adopter une telle décision à titre exceptionnel pour répondre à une situation </w:t>
      </w:r>
      <w:r>
        <w:rPr>
          <w:rFonts w:ascii="Arial" w:hAnsi="Arial" w:cs="Arial"/>
          <w:bCs/>
          <w:sz w:val="22"/>
          <w:szCs w:val="22"/>
          <w:lang w:val="fr-FR"/>
        </w:rPr>
        <w:t>d</w:t>
      </w:r>
      <w:r w:rsidR="008E532B">
        <w:rPr>
          <w:rFonts w:ascii="Arial" w:hAnsi="Arial" w:cs="Arial"/>
          <w:bCs/>
          <w:sz w:val="22"/>
          <w:szCs w:val="22"/>
          <w:lang w:val="fr-FR"/>
        </w:rPr>
        <w:t>’</w:t>
      </w:r>
      <w:r w:rsidRPr="000F0F11">
        <w:rPr>
          <w:rFonts w:ascii="Arial" w:hAnsi="Arial" w:cs="Arial"/>
          <w:bCs/>
          <w:sz w:val="22"/>
          <w:szCs w:val="22"/>
          <w:lang w:val="fr-FR"/>
        </w:rPr>
        <w:t>urgen</w:t>
      </w:r>
      <w:r>
        <w:rPr>
          <w:rFonts w:ascii="Arial" w:hAnsi="Arial" w:cs="Arial"/>
          <w:bCs/>
          <w:sz w:val="22"/>
          <w:szCs w:val="22"/>
          <w:lang w:val="fr-FR"/>
        </w:rPr>
        <w:t>ce</w:t>
      </w:r>
      <w:r w:rsidRPr="000F0F11">
        <w:rPr>
          <w:rFonts w:ascii="Arial" w:hAnsi="Arial" w:cs="Arial"/>
          <w:bCs/>
          <w:sz w:val="22"/>
          <w:szCs w:val="22"/>
          <w:lang w:val="fr-FR"/>
        </w:rPr>
        <w:t>, il reconn</w:t>
      </w:r>
      <w:r>
        <w:rPr>
          <w:rFonts w:ascii="Arial" w:hAnsi="Arial" w:cs="Arial"/>
          <w:bCs/>
          <w:sz w:val="22"/>
          <w:szCs w:val="22"/>
          <w:lang w:val="fr-FR"/>
        </w:rPr>
        <w:t>aît</w:t>
      </w:r>
      <w:r w:rsidRPr="000F0F11">
        <w:rPr>
          <w:rFonts w:ascii="Arial" w:hAnsi="Arial" w:cs="Arial"/>
          <w:bCs/>
          <w:sz w:val="22"/>
          <w:szCs w:val="22"/>
          <w:lang w:val="fr-FR"/>
        </w:rPr>
        <w:t xml:space="preserve"> également l</w:t>
      </w:r>
      <w:r w:rsidR="008E532B">
        <w:rPr>
          <w:rFonts w:ascii="Arial" w:hAnsi="Arial" w:cs="Arial"/>
          <w:bCs/>
          <w:sz w:val="22"/>
          <w:szCs w:val="22"/>
          <w:lang w:val="fr-FR"/>
        </w:rPr>
        <w:t>’</w:t>
      </w:r>
      <w:r w:rsidRPr="000F0F11">
        <w:rPr>
          <w:rFonts w:ascii="Arial" w:hAnsi="Arial" w:cs="Arial"/>
          <w:bCs/>
          <w:sz w:val="22"/>
          <w:szCs w:val="22"/>
          <w:lang w:val="fr-FR"/>
        </w:rPr>
        <w:t>autorité du Comité, même si cette décision nécessit</w:t>
      </w:r>
      <w:r>
        <w:rPr>
          <w:rFonts w:ascii="Arial" w:hAnsi="Arial" w:cs="Arial"/>
          <w:bCs/>
          <w:sz w:val="22"/>
          <w:szCs w:val="22"/>
          <w:lang w:val="fr-FR"/>
        </w:rPr>
        <w:t>e</w:t>
      </w:r>
      <w:r w:rsidRPr="000F0F11">
        <w:rPr>
          <w:rFonts w:ascii="Arial" w:hAnsi="Arial" w:cs="Arial"/>
          <w:bCs/>
          <w:sz w:val="22"/>
          <w:szCs w:val="22"/>
          <w:lang w:val="fr-FR"/>
        </w:rPr>
        <w:t xml:space="preserve"> l</w:t>
      </w:r>
      <w:r w:rsidR="008E532B">
        <w:rPr>
          <w:rFonts w:ascii="Arial" w:hAnsi="Arial" w:cs="Arial"/>
          <w:bCs/>
          <w:sz w:val="22"/>
          <w:szCs w:val="22"/>
          <w:lang w:val="fr-FR"/>
        </w:rPr>
        <w:t>’</w:t>
      </w:r>
      <w:r w:rsidRPr="000F0F11">
        <w:rPr>
          <w:rFonts w:ascii="Arial" w:hAnsi="Arial" w:cs="Arial"/>
          <w:bCs/>
          <w:sz w:val="22"/>
          <w:szCs w:val="22"/>
          <w:lang w:val="fr-FR"/>
        </w:rPr>
        <w:t>approbation de l</w:t>
      </w:r>
      <w:r w:rsidR="008E532B">
        <w:rPr>
          <w:rFonts w:ascii="Arial" w:hAnsi="Arial" w:cs="Arial"/>
          <w:bCs/>
          <w:sz w:val="22"/>
          <w:szCs w:val="22"/>
          <w:lang w:val="fr-FR"/>
        </w:rPr>
        <w:t>’</w:t>
      </w:r>
      <w:r w:rsidRPr="000F0F11">
        <w:rPr>
          <w:rFonts w:ascii="Arial" w:hAnsi="Arial" w:cs="Arial"/>
          <w:bCs/>
          <w:sz w:val="22"/>
          <w:szCs w:val="22"/>
          <w:lang w:val="fr-FR"/>
        </w:rPr>
        <w:t xml:space="preserve">Assemblée générale.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agissant des</w:t>
      </w:r>
      <w:r w:rsidRPr="000F0F11">
        <w:rPr>
          <w:rFonts w:ascii="Arial" w:hAnsi="Arial" w:cs="Arial"/>
          <w:bCs/>
          <w:sz w:val="22"/>
          <w:szCs w:val="22"/>
          <w:lang w:val="fr-FR"/>
        </w:rPr>
        <w:t xml:space="preserve"> mécanismes d</w:t>
      </w:r>
      <w:r w:rsidR="008E532B">
        <w:rPr>
          <w:rFonts w:ascii="Arial" w:hAnsi="Arial" w:cs="Arial"/>
          <w:bCs/>
          <w:sz w:val="22"/>
          <w:szCs w:val="22"/>
          <w:lang w:val="fr-FR"/>
        </w:rPr>
        <w:t>’</w:t>
      </w:r>
      <w:r w:rsidRPr="000F0F11">
        <w:rPr>
          <w:rFonts w:ascii="Arial" w:hAnsi="Arial" w:cs="Arial"/>
          <w:bCs/>
          <w:sz w:val="22"/>
          <w:szCs w:val="22"/>
          <w:lang w:val="fr-FR"/>
        </w:rPr>
        <w:t>inscription en cours de révision, la délégation estim</w:t>
      </w:r>
      <w:r>
        <w:rPr>
          <w:rFonts w:ascii="Arial" w:hAnsi="Arial" w:cs="Arial"/>
          <w:bCs/>
          <w:sz w:val="22"/>
          <w:szCs w:val="22"/>
          <w:lang w:val="fr-FR"/>
        </w:rPr>
        <w:t>ait</w:t>
      </w:r>
      <w:r w:rsidRPr="000F0F11">
        <w:rPr>
          <w:rFonts w:ascii="Arial" w:hAnsi="Arial" w:cs="Arial"/>
          <w:bCs/>
          <w:sz w:val="22"/>
          <w:szCs w:val="22"/>
          <w:lang w:val="fr-FR"/>
        </w:rPr>
        <w:t xml:space="preserve"> que les amendements, même si de nouvelles procédures </w:t>
      </w:r>
      <w:r>
        <w:rPr>
          <w:rFonts w:ascii="Arial" w:hAnsi="Arial" w:cs="Arial"/>
          <w:bCs/>
          <w:sz w:val="22"/>
          <w:szCs w:val="22"/>
          <w:lang w:val="fr-FR"/>
        </w:rPr>
        <w:t xml:space="preserve">étaient </w:t>
      </w:r>
      <w:r w:rsidRPr="000F0F11">
        <w:rPr>
          <w:rFonts w:ascii="Arial" w:hAnsi="Arial" w:cs="Arial"/>
          <w:bCs/>
          <w:sz w:val="22"/>
          <w:szCs w:val="22"/>
          <w:lang w:val="fr-FR"/>
        </w:rPr>
        <w:t>proposées, ne devraient pas être appliqués rétroactivement mais à des situations à venir. La délégation souten</w:t>
      </w:r>
      <w:r>
        <w:rPr>
          <w:rFonts w:ascii="Arial" w:hAnsi="Arial" w:cs="Arial"/>
          <w:bCs/>
          <w:sz w:val="22"/>
          <w:szCs w:val="22"/>
          <w:lang w:val="fr-FR"/>
        </w:rPr>
        <w:t>ait</w:t>
      </w:r>
      <w:r w:rsidRPr="000F0F11">
        <w:rPr>
          <w:rFonts w:ascii="Arial" w:hAnsi="Arial" w:cs="Arial"/>
          <w:bCs/>
          <w:sz w:val="22"/>
          <w:szCs w:val="22"/>
          <w:lang w:val="fr-FR"/>
        </w:rPr>
        <w:t xml:space="preserve"> pleinement l</w:t>
      </w:r>
      <w:r w:rsidR="008E532B">
        <w:rPr>
          <w:rFonts w:ascii="Arial" w:hAnsi="Arial" w:cs="Arial"/>
          <w:bCs/>
          <w:sz w:val="22"/>
          <w:szCs w:val="22"/>
          <w:lang w:val="fr-FR"/>
        </w:rPr>
        <w:t>’</w:t>
      </w:r>
      <w:r w:rsidRPr="000F0F11">
        <w:rPr>
          <w:rFonts w:ascii="Arial" w:hAnsi="Arial" w:cs="Arial"/>
          <w:bCs/>
          <w:sz w:val="22"/>
          <w:szCs w:val="22"/>
          <w:lang w:val="fr-FR"/>
        </w:rPr>
        <w:t>inscription d</w:t>
      </w:r>
      <w:r w:rsidR="008E532B">
        <w:rPr>
          <w:rFonts w:ascii="Arial" w:hAnsi="Arial" w:cs="Arial"/>
          <w:bCs/>
          <w:sz w:val="22"/>
          <w:szCs w:val="22"/>
          <w:lang w:val="fr-FR"/>
        </w:rPr>
        <w:t>’</w:t>
      </w:r>
      <w:r w:rsidRPr="000F0F11">
        <w:rPr>
          <w:rFonts w:ascii="Arial" w:hAnsi="Arial" w:cs="Arial"/>
          <w:bCs/>
          <w:sz w:val="22"/>
          <w:szCs w:val="22"/>
          <w:lang w:val="fr-FR"/>
        </w:rPr>
        <w:t>Haïti.</w:t>
      </w:r>
    </w:p>
    <w:p w14:paraId="64503C0D" w14:textId="03AB09C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076D2">
        <w:rPr>
          <w:rFonts w:ascii="Arial" w:hAnsi="Arial" w:cs="Arial"/>
          <w:bCs/>
          <w:sz w:val="22"/>
          <w:szCs w:val="22"/>
          <w:lang w:val="fr-FR"/>
        </w:rPr>
        <w:t xml:space="preserve">La délégation de la </w:t>
      </w:r>
      <w:r w:rsidRPr="00C076D2">
        <w:rPr>
          <w:rFonts w:ascii="Arial" w:hAnsi="Arial" w:cs="Arial"/>
          <w:b/>
          <w:sz w:val="22"/>
          <w:szCs w:val="22"/>
          <w:lang w:val="fr-FR"/>
        </w:rPr>
        <w:t>Grenade</w:t>
      </w:r>
      <w:r w:rsidRPr="00C076D2">
        <w:rPr>
          <w:rFonts w:ascii="Arial" w:hAnsi="Arial" w:cs="Arial"/>
          <w:bCs/>
          <w:sz w:val="22"/>
          <w:szCs w:val="22"/>
          <w:lang w:val="fr-FR"/>
        </w:rPr>
        <w:t xml:space="preserve"> a répété, comme l</w:t>
      </w:r>
      <w:r w:rsidR="008E532B">
        <w:rPr>
          <w:rFonts w:ascii="Arial" w:hAnsi="Arial" w:cs="Arial"/>
          <w:bCs/>
          <w:sz w:val="22"/>
          <w:szCs w:val="22"/>
          <w:lang w:val="fr-FR"/>
        </w:rPr>
        <w:t>’</w:t>
      </w:r>
      <w:r w:rsidRPr="00C076D2">
        <w:rPr>
          <w:rFonts w:ascii="Arial" w:hAnsi="Arial" w:cs="Arial"/>
          <w:bCs/>
          <w:sz w:val="22"/>
          <w:szCs w:val="22"/>
          <w:lang w:val="fr-FR"/>
        </w:rPr>
        <w:t>a</w:t>
      </w:r>
      <w:r>
        <w:rPr>
          <w:rFonts w:ascii="Arial" w:hAnsi="Arial" w:cs="Arial"/>
          <w:bCs/>
          <w:sz w:val="22"/>
          <w:szCs w:val="22"/>
          <w:lang w:val="fr-FR"/>
        </w:rPr>
        <w:t>vait</w:t>
      </w:r>
      <w:r w:rsidRPr="00C076D2">
        <w:rPr>
          <w:rFonts w:ascii="Arial" w:hAnsi="Arial" w:cs="Arial"/>
          <w:bCs/>
          <w:sz w:val="22"/>
          <w:szCs w:val="22"/>
          <w:lang w:val="fr-FR"/>
        </w:rPr>
        <w:t xml:space="preserve"> mentionné le Conseiller juridique, que la question concernait la procédure</w:t>
      </w:r>
      <w:r>
        <w:rPr>
          <w:rFonts w:ascii="Arial" w:hAnsi="Arial" w:cs="Arial"/>
          <w:bCs/>
          <w:sz w:val="22"/>
          <w:szCs w:val="22"/>
          <w:lang w:val="fr-FR"/>
        </w:rPr>
        <w:t xml:space="preserve"> </w:t>
      </w:r>
      <w:r w:rsidRPr="00C076D2">
        <w:rPr>
          <w:rFonts w:ascii="Arial" w:hAnsi="Arial" w:cs="Arial"/>
          <w:bCs/>
          <w:sz w:val="22"/>
          <w:szCs w:val="22"/>
          <w:lang w:val="fr-FR"/>
        </w:rPr>
        <w:t>et non l</w:t>
      </w:r>
      <w:r w:rsidR="008E532B">
        <w:rPr>
          <w:rFonts w:ascii="Arial" w:hAnsi="Arial" w:cs="Arial"/>
          <w:bCs/>
          <w:sz w:val="22"/>
          <w:szCs w:val="22"/>
          <w:lang w:val="fr-FR"/>
        </w:rPr>
        <w:t>’</w:t>
      </w:r>
      <w:r w:rsidRPr="00C076D2">
        <w:rPr>
          <w:rFonts w:ascii="Arial" w:hAnsi="Arial" w:cs="Arial"/>
          <w:bCs/>
          <w:sz w:val="22"/>
          <w:szCs w:val="22"/>
          <w:lang w:val="fr-FR"/>
        </w:rPr>
        <w:t>inscription, qui n</w:t>
      </w:r>
      <w:r w:rsidR="008E532B">
        <w:rPr>
          <w:rFonts w:ascii="Arial" w:hAnsi="Arial" w:cs="Arial"/>
          <w:bCs/>
          <w:sz w:val="22"/>
          <w:szCs w:val="22"/>
          <w:lang w:val="fr-FR"/>
        </w:rPr>
        <w:t>’</w:t>
      </w:r>
      <w:r w:rsidRPr="00C076D2">
        <w:rPr>
          <w:rFonts w:ascii="Arial" w:hAnsi="Arial" w:cs="Arial"/>
          <w:bCs/>
          <w:sz w:val="22"/>
          <w:szCs w:val="22"/>
          <w:lang w:val="fr-FR"/>
        </w:rPr>
        <w:t>était pas en cause. La soupe a</w:t>
      </w:r>
      <w:r>
        <w:rPr>
          <w:rFonts w:ascii="Arial" w:hAnsi="Arial" w:cs="Arial"/>
          <w:bCs/>
          <w:sz w:val="22"/>
          <w:szCs w:val="22"/>
          <w:lang w:val="fr-FR"/>
        </w:rPr>
        <w:t>vait</w:t>
      </w:r>
      <w:r w:rsidRPr="00C076D2">
        <w:rPr>
          <w:rFonts w:ascii="Arial" w:hAnsi="Arial" w:cs="Arial"/>
          <w:bCs/>
          <w:sz w:val="22"/>
          <w:szCs w:val="22"/>
          <w:lang w:val="fr-FR"/>
        </w:rPr>
        <w:t xml:space="preserve"> été inscrite et toutes les délégations qui s</w:t>
      </w:r>
      <w:r w:rsidR="008E532B">
        <w:rPr>
          <w:rFonts w:ascii="Arial" w:hAnsi="Arial" w:cs="Arial"/>
          <w:bCs/>
          <w:sz w:val="22"/>
          <w:szCs w:val="22"/>
          <w:lang w:val="fr-FR"/>
        </w:rPr>
        <w:t>’</w:t>
      </w:r>
      <w:r>
        <w:rPr>
          <w:rFonts w:ascii="Arial" w:hAnsi="Arial" w:cs="Arial"/>
          <w:bCs/>
          <w:sz w:val="22"/>
          <w:szCs w:val="22"/>
          <w:lang w:val="fr-FR"/>
        </w:rPr>
        <w:t>étaient</w:t>
      </w:r>
      <w:r w:rsidRPr="00C076D2">
        <w:rPr>
          <w:rFonts w:ascii="Arial" w:hAnsi="Arial" w:cs="Arial"/>
          <w:bCs/>
          <w:sz w:val="22"/>
          <w:szCs w:val="22"/>
          <w:lang w:val="fr-FR"/>
        </w:rPr>
        <w:t xml:space="preserve"> exprimées </w:t>
      </w:r>
      <w:r>
        <w:rPr>
          <w:rFonts w:ascii="Arial" w:hAnsi="Arial" w:cs="Arial"/>
          <w:bCs/>
          <w:sz w:val="22"/>
          <w:szCs w:val="22"/>
          <w:lang w:val="fr-FR"/>
        </w:rPr>
        <w:t>avaient</w:t>
      </w:r>
      <w:r w:rsidRPr="00C076D2">
        <w:rPr>
          <w:rFonts w:ascii="Arial" w:hAnsi="Arial" w:cs="Arial"/>
          <w:bCs/>
          <w:sz w:val="22"/>
          <w:szCs w:val="22"/>
          <w:lang w:val="fr-FR"/>
        </w:rPr>
        <w:t xml:space="preserve"> </w:t>
      </w:r>
      <w:r>
        <w:rPr>
          <w:rFonts w:ascii="Arial" w:hAnsi="Arial" w:cs="Arial"/>
          <w:bCs/>
          <w:sz w:val="22"/>
          <w:szCs w:val="22"/>
          <w:lang w:val="fr-FR"/>
        </w:rPr>
        <w:t>complimenté</w:t>
      </w:r>
      <w:r w:rsidRPr="00C076D2">
        <w:rPr>
          <w:rFonts w:ascii="Arial" w:hAnsi="Arial" w:cs="Arial"/>
          <w:bCs/>
          <w:sz w:val="22"/>
          <w:szCs w:val="22"/>
          <w:lang w:val="fr-FR"/>
        </w:rPr>
        <w:t xml:space="preserve"> Haïti et </w:t>
      </w:r>
      <w:r>
        <w:rPr>
          <w:rFonts w:ascii="Arial" w:hAnsi="Arial" w:cs="Arial"/>
          <w:bCs/>
          <w:sz w:val="22"/>
          <w:szCs w:val="22"/>
          <w:lang w:val="fr-FR"/>
        </w:rPr>
        <w:t xml:space="preserve">félicité </w:t>
      </w:r>
      <w:r w:rsidRPr="00C076D2">
        <w:rPr>
          <w:rFonts w:ascii="Arial" w:hAnsi="Arial" w:cs="Arial"/>
          <w:bCs/>
          <w:sz w:val="22"/>
          <w:szCs w:val="22"/>
          <w:lang w:val="fr-FR"/>
        </w:rPr>
        <w:t xml:space="preserve">le Comité </w:t>
      </w:r>
      <w:r>
        <w:rPr>
          <w:rFonts w:ascii="Arial" w:hAnsi="Arial" w:cs="Arial"/>
          <w:bCs/>
          <w:sz w:val="22"/>
          <w:szCs w:val="22"/>
          <w:lang w:val="fr-FR"/>
        </w:rPr>
        <w:t>d</w:t>
      </w:r>
      <w:r w:rsidR="008E532B">
        <w:rPr>
          <w:rFonts w:ascii="Arial" w:hAnsi="Arial" w:cs="Arial"/>
          <w:bCs/>
          <w:sz w:val="22"/>
          <w:szCs w:val="22"/>
          <w:lang w:val="fr-FR"/>
        </w:rPr>
        <w:t>’</w:t>
      </w:r>
      <w:r w:rsidRPr="00C076D2">
        <w:rPr>
          <w:rFonts w:ascii="Arial" w:hAnsi="Arial" w:cs="Arial"/>
          <w:bCs/>
          <w:sz w:val="22"/>
          <w:szCs w:val="22"/>
          <w:lang w:val="fr-FR"/>
        </w:rPr>
        <w:t xml:space="preserve">avoir trouvé une solution accélérée à </w:t>
      </w:r>
      <w:r>
        <w:rPr>
          <w:rFonts w:ascii="Arial" w:hAnsi="Arial" w:cs="Arial"/>
          <w:bCs/>
          <w:sz w:val="22"/>
          <w:szCs w:val="22"/>
          <w:lang w:val="fr-FR"/>
        </w:rPr>
        <w:t>cette</w:t>
      </w:r>
      <w:r w:rsidRPr="00C076D2">
        <w:rPr>
          <w:rFonts w:ascii="Arial" w:hAnsi="Arial" w:cs="Arial"/>
          <w:bCs/>
          <w:sz w:val="22"/>
          <w:szCs w:val="22"/>
          <w:lang w:val="fr-FR"/>
        </w:rPr>
        <w:t xml:space="preserve"> demande spéciale. </w:t>
      </w:r>
      <w:r>
        <w:rPr>
          <w:rFonts w:ascii="Arial" w:hAnsi="Arial" w:cs="Arial"/>
          <w:bCs/>
          <w:sz w:val="22"/>
          <w:szCs w:val="22"/>
          <w:lang w:val="fr-FR"/>
        </w:rPr>
        <w:t xml:space="preserve">La </w:t>
      </w:r>
      <w:r w:rsidRPr="00C076D2">
        <w:rPr>
          <w:rFonts w:ascii="Arial" w:hAnsi="Arial" w:cs="Arial"/>
          <w:bCs/>
          <w:sz w:val="22"/>
          <w:szCs w:val="22"/>
          <w:lang w:val="fr-FR"/>
        </w:rPr>
        <w:t>délégation</w:t>
      </w:r>
      <w:r>
        <w:rPr>
          <w:rFonts w:ascii="Arial" w:hAnsi="Arial" w:cs="Arial"/>
          <w:bCs/>
          <w:sz w:val="22"/>
          <w:szCs w:val="22"/>
          <w:lang w:val="fr-FR"/>
        </w:rPr>
        <w:t xml:space="preserve"> était</w:t>
      </w:r>
      <w:r w:rsidRPr="00C076D2">
        <w:rPr>
          <w:rFonts w:ascii="Arial" w:hAnsi="Arial" w:cs="Arial"/>
          <w:bCs/>
          <w:sz w:val="22"/>
          <w:szCs w:val="22"/>
          <w:lang w:val="fr-FR"/>
        </w:rPr>
        <w:t xml:space="preserve"> surprise d</w:t>
      </w:r>
      <w:r w:rsidR="008E532B">
        <w:rPr>
          <w:rFonts w:ascii="Arial" w:hAnsi="Arial" w:cs="Arial"/>
          <w:bCs/>
          <w:sz w:val="22"/>
          <w:szCs w:val="22"/>
          <w:lang w:val="fr-FR"/>
        </w:rPr>
        <w:t>’</w:t>
      </w:r>
      <w:r w:rsidRPr="00C076D2">
        <w:rPr>
          <w:rFonts w:ascii="Arial" w:hAnsi="Arial" w:cs="Arial"/>
          <w:bCs/>
          <w:sz w:val="22"/>
          <w:szCs w:val="22"/>
          <w:lang w:val="fr-FR"/>
        </w:rPr>
        <w:t xml:space="preserve">entendre </w:t>
      </w:r>
      <w:r>
        <w:rPr>
          <w:rFonts w:ascii="Arial" w:hAnsi="Arial" w:cs="Arial"/>
          <w:bCs/>
          <w:sz w:val="22"/>
          <w:szCs w:val="22"/>
          <w:lang w:val="fr-FR"/>
        </w:rPr>
        <w:t xml:space="preserve">évoquer une </w:t>
      </w:r>
      <w:r w:rsidRPr="00C076D2">
        <w:rPr>
          <w:rFonts w:ascii="Arial" w:hAnsi="Arial" w:cs="Arial"/>
          <w:bCs/>
          <w:sz w:val="22"/>
          <w:szCs w:val="22"/>
          <w:lang w:val="fr-FR"/>
        </w:rPr>
        <w:t xml:space="preserve">connotation politique. </w:t>
      </w:r>
      <w:r>
        <w:rPr>
          <w:rFonts w:ascii="Arial" w:hAnsi="Arial" w:cs="Arial"/>
          <w:bCs/>
          <w:sz w:val="22"/>
          <w:szCs w:val="22"/>
          <w:lang w:val="fr-FR"/>
        </w:rPr>
        <w:t>Elle</w:t>
      </w:r>
      <w:r w:rsidRPr="00C076D2">
        <w:rPr>
          <w:rFonts w:ascii="Arial" w:hAnsi="Arial" w:cs="Arial"/>
          <w:bCs/>
          <w:sz w:val="22"/>
          <w:szCs w:val="22"/>
          <w:lang w:val="fr-FR"/>
        </w:rPr>
        <w:t xml:space="preserve"> aurait accepté </w:t>
      </w:r>
      <w:r>
        <w:rPr>
          <w:rFonts w:ascii="Arial" w:hAnsi="Arial" w:cs="Arial"/>
          <w:bCs/>
          <w:sz w:val="22"/>
          <w:szCs w:val="22"/>
          <w:lang w:val="fr-FR"/>
        </w:rPr>
        <w:t>« P</w:t>
      </w:r>
      <w:r w:rsidRPr="00C076D2">
        <w:rPr>
          <w:rFonts w:ascii="Arial" w:hAnsi="Arial" w:cs="Arial"/>
          <w:bCs/>
          <w:sz w:val="22"/>
          <w:szCs w:val="22"/>
          <w:lang w:val="fr-FR"/>
        </w:rPr>
        <w:t>rend note avec satisfaction</w:t>
      </w:r>
      <w:r>
        <w:rPr>
          <w:rFonts w:ascii="Arial" w:hAnsi="Arial" w:cs="Arial"/>
          <w:bCs/>
          <w:sz w:val="22"/>
          <w:szCs w:val="22"/>
          <w:lang w:val="fr-FR"/>
        </w:rPr>
        <w:t> »</w:t>
      </w:r>
      <w:r w:rsidRPr="00C076D2">
        <w:rPr>
          <w:rFonts w:ascii="Arial" w:hAnsi="Arial" w:cs="Arial"/>
          <w:bCs/>
          <w:sz w:val="22"/>
          <w:szCs w:val="22"/>
          <w:lang w:val="fr-FR"/>
        </w:rPr>
        <w:t xml:space="preserve"> ou la proposition du </w:t>
      </w:r>
      <w:r>
        <w:rPr>
          <w:rFonts w:ascii="Arial" w:hAnsi="Arial" w:cs="Arial"/>
          <w:bCs/>
          <w:sz w:val="22"/>
          <w:szCs w:val="22"/>
          <w:lang w:val="fr-FR"/>
        </w:rPr>
        <w:t>C</w:t>
      </w:r>
      <w:r w:rsidRPr="00C076D2">
        <w:rPr>
          <w:rFonts w:ascii="Arial" w:hAnsi="Arial" w:cs="Arial"/>
          <w:bCs/>
          <w:sz w:val="22"/>
          <w:szCs w:val="22"/>
          <w:lang w:val="fr-FR"/>
        </w:rPr>
        <w:t xml:space="preserve">onseiller juridique </w:t>
      </w:r>
      <w:r>
        <w:rPr>
          <w:rFonts w:ascii="Arial" w:hAnsi="Arial" w:cs="Arial"/>
          <w:bCs/>
          <w:sz w:val="22"/>
          <w:szCs w:val="22"/>
          <w:lang w:val="fr-FR"/>
        </w:rPr>
        <w:t>« A</w:t>
      </w:r>
      <w:r w:rsidRPr="00C076D2">
        <w:rPr>
          <w:rFonts w:ascii="Arial" w:hAnsi="Arial" w:cs="Arial"/>
          <w:bCs/>
          <w:sz w:val="22"/>
          <w:szCs w:val="22"/>
          <w:lang w:val="fr-FR"/>
        </w:rPr>
        <w:t xml:space="preserve">pprouve la procédure </w:t>
      </w:r>
      <w:r>
        <w:rPr>
          <w:rFonts w:ascii="Arial" w:hAnsi="Arial" w:cs="Arial"/>
          <w:bCs/>
          <w:sz w:val="22"/>
          <w:szCs w:val="22"/>
          <w:lang w:val="fr-FR"/>
        </w:rPr>
        <w:t>sur une base exceptionnelle »</w:t>
      </w:r>
      <w:r w:rsidRPr="00C076D2">
        <w:rPr>
          <w:rFonts w:ascii="Arial" w:hAnsi="Arial" w:cs="Arial"/>
          <w:bCs/>
          <w:sz w:val="22"/>
          <w:szCs w:val="22"/>
          <w:lang w:val="fr-FR"/>
        </w:rPr>
        <w:t>, mais ce n</w:t>
      </w:r>
      <w:r w:rsidR="008E532B">
        <w:rPr>
          <w:rFonts w:ascii="Arial" w:hAnsi="Arial" w:cs="Arial"/>
          <w:bCs/>
          <w:sz w:val="22"/>
          <w:szCs w:val="22"/>
          <w:lang w:val="fr-FR"/>
        </w:rPr>
        <w:t>’</w:t>
      </w:r>
      <w:r>
        <w:rPr>
          <w:rFonts w:ascii="Arial" w:hAnsi="Arial" w:cs="Arial"/>
          <w:bCs/>
          <w:sz w:val="22"/>
          <w:szCs w:val="22"/>
          <w:lang w:val="fr-FR"/>
        </w:rPr>
        <w:t>était</w:t>
      </w:r>
      <w:r w:rsidRPr="00C076D2">
        <w:rPr>
          <w:rFonts w:ascii="Arial" w:hAnsi="Arial" w:cs="Arial"/>
          <w:bCs/>
          <w:sz w:val="22"/>
          <w:szCs w:val="22"/>
          <w:lang w:val="fr-FR"/>
        </w:rPr>
        <w:t xml:space="preserve"> pas le lieu </w:t>
      </w:r>
      <w:r>
        <w:rPr>
          <w:rFonts w:ascii="Arial" w:hAnsi="Arial" w:cs="Arial"/>
          <w:bCs/>
          <w:sz w:val="22"/>
          <w:szCs w:val="22"/>
          <w:lang w:val="fr-FR"/>
        </w:rPr>
        <w:t>pour</w:t>
      </w:r>
      <w:r w:rsidRPr="00C076D2">
        <w:rPr>
          <w:rFonts w:ascii="Arial" w:hAnsi="Arial" w:cs="Arial"/>
          <w:bCs/>
          <w:sz w:val="22"/>
          <w:szCs w:val="22"/>
          <w:lang w:val="fr-FR"/>
        </w:rPr>
        <w:t xml:space="preserve"> remettre en question l</w:t>
      </w:r>
      <w:r w:rsidR="008E532B">
        <w:rPr>
          <w:rFonts w:ascii="Arial" w:hAnsi="Arial" w:cs="Arial"/>
          <w:bCs/>
          <w:sz w:val="22"/>
          <w:szCs w:val="22"/>
          <w:lang w:val="fr-FR"/>
        </w:rPr>
        <w:t>’</w:t>
      </w:r>
      <w:r w:rsidRPr="00C076D2">
        <w:rPr>
          <w:rFonts w:ascii="Arial" w:hAnsi="Arial" w:cs="Arial"/>
          <w:bCs/>
          <w:sz w:val="22"/>
          <w:szCs w:val="22"/>
          <w:lang w:val="fr-FR"/>
        </w:rPr>
        <w:t xml:space="preserve">inscription. La délégation a réitéré ses félicitations à </w:t>
      </w:r>
      <w:r w:rsidR="008E532B" w:rsidRPr="00C076D2">
        <w:rPr>
          <w:rFonts w:ascii="Arial" w:hAnsi="Arial" w:cs="Arial"/>
          <w:bCs/>
          <w:sz w:val="22"/>
          <w:szCs w:val="22"/>
          <w:lang w:val="fr-FR"/>
        </w:rPr>
        <w:t>l</w:t>
      </w:r>
      <w:r w:rsidR="008E532B">
        <w:rPr>
          <w:rFonts w:ascii="Arial" w:hAnsi="Arial" w:cs="Arial"/>
          <w:bCs/>
          <w:sz w:val="22"/>
          <w:szCs w:val="22"/>
          <w:lang w:val="fr-FR"/>
        </w:rPr>
        <w:t>’ambassadeur</w:t>
      </w:r>
      <w:r w:rsidR="008E532B" w:rsidRPr="00C076D2">
        <w:rPr>
          <w:rFonts w:ascii="Arial" w:hAnsi="Arial" w:cs="Arial"/>
          <w:bCs/>
          <w:sz w:val="22"/>
          <w:szCs w:val="22"/>
          <w:lang w:val="fr-FR"/>
        </w:rPr>
        <w:t xml:space="preserve"> </w:t>
      </w:r>
      <w:r w:rsidRPr="00C076D2">
        <w:rPr>
          <w:rFonts w:ascii="Arial" w:hAnsi="Arial" w:cs="Arial"/>
          <w:bCs/>
          <w:sz w:val="22"/>
          <w:szCs w:val="22"/>
          <w:lang w:val="fr-FR"/>
        </w:rPr>
        <w:t>d</w:t>
      </w:r>
      <w:r w:rsidR="008E532B">
        <w:rPr>
          <w:rFonts w:ascii="Arial" w:hAnsi="Arial" w:cs="Arial"/>
          <w:bCs/>
          <w:sz w:val="22"/>
          <w:szCs w:val="22"/>
          <w:lang w:val="fr-FR"/>
        </w:rPr>
        <w:t>’</w:t>
      </w:r>
      <w:r w:rsidRPr="00C076D2">
        <w:rPr>
          <w:rFonts w:ascii="Arial" w:hAnsi="Arial" w:cs="Arial"/>
          <w:bCs/>
          <w:sz w:val="22"/>
          <w:szCs w:val="22"/>
          <w:lang w:val="fr-FR"/>
        </w:rPr>
        <w:t>Haïti pour avoir si bien préparé le dossier dans le court délai imparti. Il y a</w:t>
      </w:r>
      <w:r>
        <w:rPr>
          <w:rFonts w:ascii="Arial" w:hAnsi="Arial" w:cs="Arial"/>
          <w:bCs/>
          <w:sz w:val="22"/>
          <w:szCs w:val="22"/>
          <w:lang w:val="fr-FR"/>
        </w:rPr>
        <w:t>vait</w:t>
      </w:r>
      <w:r w:rsidRPr="00C076D2">
        <w:rPr>
          <w:rFonts w:ascii="Arial" w:hAnsi="Arial" w:cs="Arial"/>
          <w:bCs/>
          <w:sz w:val="22"/>
          <w:szCs w:val="22"/>
          <w:lang w:val="fr-FR"/>
        </w:rPr>
        <w:t xml:space="preserve"> certainement des enseignement</w:t>
      </w:r>
      <w:r>
        <w:rPr>
          <w:rFonts w:ascii="Arial" w:hAnsi="Arial" w:cs="Arial"/>
          <w:bCs/>
          <w:sz w:val="22"/>
          <w:szCs w:val="22"/>
          <w:lang w:val="fr-FR"/>
        </w:rPr>
        <w:t>s</w:t>
      </w:r>
      <w:r w:rsidRPr="00C076D2">
        <w:rPr>
          <w:rFonts w:ascii="Arial" w:hAnsi="Arial" w:cs="Arial"/>
          <w:bCs/>
          <w:sz w:val="22"/>
          <w:szCs w:val="22"/>
          <w:lang w:val="fr-FR"/>
        </w:rPr>
        <w:t xml:space="preserve"> à tirer</w:t>
      </w:r>
      <w:r>
        <w:rPr>
          <w:rFonts w:ascii="Arial" w:hAnsi="Arial" w:cs="Arial"/>
          <w:bCs/>
          <w:sz w:val="22"/>
          <w:szCs w:val="22"/>
          <w:lang w:val="fr-FR"/>
        </w:rPr>
        <w:t>,</w:t>
      </w:r>
      <w:r w:rsidRPr="00C076D2">
        <w:rPr>
          <w:rFonts w:ascii="Arial" w:hAnsi="Arial" w:cs="Arial"/>
          <w:bCs/>
          <w:sz w:val="22"/>
          <w:szCs w:val="22"/>
          <w:lang w:val="fr-FR"/>
        </w:rPr>
        <w:t xml:space="preserve"> </w:t>
      </w:r>
      <w:r>
        <w:rPr>
          <w:rFonts w:ascii="Arial" w:hAnsi="Arial" w:cs="Arial"/>
          <w:bCs/>
          <w:sz w:val="22"/>
          <w:szCs w:val="22"/>
          <w:lang w:val="fr-FR"/>
        </w:rPr>
        <w:t>et on pouvait</w:t>
      </w:r>
      <w:r w:rsidRPr="00C076D2">
        <w:rPr>
          <w:rFonts w:ascii="Arial" w:hAnsi="Arial" w:cs="Arial"/>
          <w:bCs/>
          <w:sz w:val="22"/>
          <w:szCs w:val="22"/>
          <w:lang w:val="fr-FR"/>
        </w:rPr>
        <w:t xml:space="preserve"> </w:t>
      </w:r>
      <w:r>
        <w:rPr>
          <w:rFonts w:ascii="Arial" w:hAnsi="Arial" w:cs="Arial"/>
          <w:bCs/>
          <w:sz w:val="22"/>
          <w:szCs w:val="22"/>
          <w:lang w:val="fr-FR"/>
        </w:rPr>
        <w:t>espérait</w:t>
      </w:r>
      <w:r w:rsidRPr="00C076D2">
        <w:rPr>
          <w:rFonts w:ascii="Arial" w:hAnsi="Arial" w:cs="Arial"/>
          <w:bCs/>
          <w:sz w:val="22"/>
          <w:szCs w:val="22"/>
          <w:lang w:val="fr-FR"/>
        </w:rPr>
        <w:t xml:space="preserve"> que le groupe de travail proposera</w:t>
      </w:r>
      <w:r>
        <w:rPr>
          <w:rFonts w:ascii="Arial" w:hAnsi="Arial" w:cs="Arial"/>
          <w:bCs/>
          <w:sz w:val="22"/>
          <w:szCs w:val="22"/>
          <w:lang w:val="fr-FR"/>
        </w:rPr>
        <w:t>it</w:t>
      </w:r>
      <w:r w:rsidRPr="00C076D2">
        <w:rPr>
          <w:rFonts w:ascii="Arial" w:hAnsi="Arial" w:cs="Arial"/>
          <w:bCs/>
          <w:sz w:val="22"/>
          <w:szCs w:val="22"/>
          <w:lang w:val="fr-FR"/>
        </w:rPr>
        <w:t xml:space="preserve"> une nouvelle procédure accélérée que toutes les délégations accepter</w:t>
      </w:r>
      <w:r>
        <w:rPr>
          <w:rFonts w:ascii="Arial" w:hAnsi="Arial" w:cs="Arial"/>
          <w:bCs/>
          <w:sz w:val="22"/>
          <w:szCs w:val="22"/>
          <w:lang w:val="fr-FR"/>
        </w:rPr>
        <w:t>aie</w:t>
      </w:r>
      <w:r w:rsidRPr="00C076D2">
        <w:rPr>
          <w:rFonts w:ascii="Arial" w:hAnsi="Arial" w:cs="Arial"/>
          <w:bCs/>
          <w:sz w:val="22"/>
          <w:szCs w:val="22"/>
          <w:lang w:val="fr-FR"/>
        </w:rPr>
        <w:t xml:space="preserve">nt </w:t>
      </w:r>
      <w:r>
        <w:rPr>
          <w:rFonts w:ascii="Arial" w:hAnsi="Arial" w:cs="Arial"/>
          <w:bCs/>
          <w:sz w:val="22"/>
          <w:szCs w:val="22"/>
          <w:lang w:val="fr-FR"/>
        </w:rPr>
        <w:t xml:space="preserve">de façon </w:t>
      </w:r>
      <w:r w:rsidRPr="00C076D2">
        <w:rPr>
          <w:rFonts w:ascii="Arial" w:hAnsi="Arial" w:cs="Arial"/>
          <w:bCs/>
          <w:sz w:val="22"/>
          <w:szCs w:val="22"/>
          <w:lang w:val="fr-FR"/>
        </w:rPr>
        <w:t>consensu</w:t>
      </w:r>
      <w:r>
        <w:rPr>
          <w:rFonts w:ascii="Arial" w:hAnsi="Arial" w:cs="Arial"/>
          <w:bCs/>
          <w:sz w:val="22"/>
          <w:szCs w:val="22"/>
          <w:lang w:val="fr-FR"/>
        </w:rPr>
        <w:t>elle</w:t>
      </w:r>
      <w:r w:rsidRPr="00C076D2">
        <w:rPr>
          <w:rFonts w:ascii="Arial" w:hAnsi="Arial" w:cs="Arial"/>
          <w:bCs/>
          <w:sz w:val="22"/>
          <w:szCs w:val="22"/>
          <w:lang w:val="fr-FR"/>
        </w:rPr>
        <w:t xml:space="preserve">. En guise de solution, la délégation </w:t>
      </w:r>
      <w:r>
        <w:rPr>
          <w:rFonts w:ascii="Arial" w:hAnsi="Arial" w:cs="Arial"/>
          <w:bCs/>
          <w:sz w:val="22"/>
          <w:szCs w:val="22"/>
          <w:lang w:val="fr-FR"/>
        </w:rPr>
        <w:t xml:space="preserve">a </w:t>
      </w:r>
      <w:r w:rsidRPr="00C076D2">
        <w:rPr>
          <w:rFonts w:ascii="Arial" w:hAnsi="Arial" w:cs="Arial"/>
          <w:bCs/>
          <w:sz w:val="22"/>
          <w:szCs w:val="22"/>
          <w:lang w:val="fr-FR"/>
        </w:rPr>
        <w:t>retir</w:t>
      </w:r>
      <w:r>
        <w:rPr>
          <w:rFonts w:ascii="Arial" w:hAnsi="Arial" w:cs="Arial"/>
          <w:bCs/>
          <w:sz w:val="22"/>
          <w:szCs w:val="22"/>
          <w:lang w:val="fr-FR"/>
        </w:rPr>
        <w:t>é</w:t>
      </w:r>
      <w:r w:rsidRPr="00C076D2">
        <w:rPr>
          <w:rFonts w:ascii="Arial" w:hAnsi="Arial" w:cs="Arial"/>
          <w:bCs/>
          <w:sz w:val="22"/>
          <w:szCs w:val="22"/>
          <w:lang w:val="fr-FR"/>
        </w:rPr>
        <w:t xml:space="preserve"> son amendement.</w:t>
      </w:r>
    </w:p>
    <w:p w14:paraId="751CAAEB" w14:textId="3A439EA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365A0">
        <w:rPr>
          <w:rFonts w:ascii="Arial" w:hAnsi="Arial" w:cs="Arial"/>
          <w:b/>
          <w:sz w:val="22"/>
          <w:szCs w:val="22"/>
          <w:lang w:val="fr-FR"/>
        </w:rPr>
        <w:t>Présidente</w:t>
      </w:r>
      <w:r>
        <w:rPr>
          <w:rFonts w:ascii="Arial" w:hAnsi="Arial" w:cs="Arial"/>
          <w:bCs/>
          <w:sz w:val="22"/>
          <w:szCs w:val="22"/>
          <w:lang w:val="fr-FR"/>
        </w:rPr>
        <w:t xml:space="preserve"> a noté une motion d</w:t>
      </w:r>
      <w:r w:rsidR="008E532B">
        <w:rPr>
          <w:rFonts w:ascii="Arial" w:hAnsi="Arial" w:cs="Arial"/>
          <w:bCs/>
          <w:sz w:val="22"/>
          <w:szCs w:val="22"/>
          <w:lang w:val="fr-FR"/>
        </w:rPr>
        <w:t>’</w:t>
      </w:r>
      <w:r>
        <w:rPr>
          <w:rFonts w:ascii="Arial" w:hAnsi="Arial" w:cs="Arial"/>
          <w:bCs/>
          <w:sz w:val="22"/>
          <w:szCs w:val="22"/>
          <w:lang w:val="fr-FR"/>
        </w:rPr>
        <w:t>ordre invoquée par l</w:t>
      </w:r>
      <w:r w:rsidR="008E532B">
        <w:rPr>
          <w:rFonts w:ascii="Arial" w:hAnsi="Arial" w:cs="Arial"/>
          <w:bCs/>
          <w:sz w:val="22"/>
          <w:szCs w:val="22"/>
          <w:lang w:val="fr-FR"/>
        </w:rPr>
        <w:t>’</w:t>
      </w:r>
      <w:r>
        <w:rPr>
          <w:rFonts w:ascii="Arial" w:hAnsi="Arial" w:cs="Arial"/>
          <w:bCs/>
          <w:sz w:val="22"/>
          <w:szCs w:val="22"/>
          <w:lang w:val="fr-FR"/>
        </w:rPr>
        <w:t>Uruguay.</w:t>
      </w:r>
    </w:p>
    <w:p w14:paraId="67D5DE4C" w14:textId="21F6094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365A0">
        <w:rPr>
          <w:rFonts w:ascii="Arial" w:hAnsi="Arial" w:cs="Arial"/>
          <w:bCs/>
          <w:sz w:val="22"/>
          <w:szCs w:val="22"/>
          <w:lang w:val="fr-FR"/>
        </w:rPr>
        <w:t>La délégation de l</w:t>
      </w:r>
      <w:r w:rsidR="008E532B">
        <w:rPr>
          <w:rFonts w:ascii="Arial" w:hAnsi="Arial" w:cs="Arial"/>
          <w:bCs/>
          <w:sz w:val="22"/>
          <w:szCs w:val="22"/>
          <w:lang w:val="fr-FR"/>
        </w:rPr>
        <w:t>’</w:t>
      </w:r>
      <w:r w:rsidRPr="007365A0">
        <w:rPr>
          <w:rFonts w:ascii="Arial" w:hAnsi="Arial" w:cs="Arial"/>
          <w:b/>
          <w:sz w:val="22"/>
          <w:szCs w:val="22"/>
          <w:lang w:val="fr-FR"/>
        </w:rPr>
        <w:t>Uruguay</w:t>
      </w:r>
      <w:r w:rsidRPr="007365A0">
        <w:rPr>
          <w:rFonts w:ascii="Arial" w:hAnsi="Arial" w:cs="Arial"/>
          <w:bCs/>
          <w:sz w:val="22"/>
          <w:szCs w:val="22"/>
          <w:lang w:val="fr-FR"/>
        </w:rPr>
        <w:t xml:space="preserve"> avait souhaité prendre la parole avant la Grenade, qui a</w:t>
      </w:r>
      <w:r>
        <w:rPr>
          <w:rFonts w:ascii="Arial" w:hAnsi="Arial" w:cs="Arial"/>
          <w:bCs/>
          <w:sz w:val="22"/>
          <w:szCs w:val="22"/>
          <w:lang w:val="fr-FR"/>
        </w:rPr>
        <w:t>vait</w:t>
      </w:r>
      <w:r w:rsidRPr="007365A0">
        <w:rPr>
          <w:rFonts w:ascii="Arial" w:hAnsi="Arial" w:cs="Arial"/>
          <w:bCs/>
          <w:sz w:val="22"/>
          <w:szCs w:val="22"/>
          <w:lang w:val="fr-FR"/>
        </w:rPr>
        <w:t xml:space="preserve"> </w:t>
      </w:r>
      <w:r w:rsidRPr="007365A0">
        <w:rPr>
          <w:rFonts w:ascii="Arial" w:hAnsi="Arial" w:cs="Arial"/>
          <w:bCs/>
          <w:color w:val="000000" w:themeColor="text1"/>
          <w:sz w:val="22"/>
          <w:szCs w:val="22"/>
          <w:lang w:val="fr-FR"/>
        </w:rPr>
        <w:t>désormais</w:t>
      </w:r>
      <w:r>
        <w:rPr>
          <w:rFonts w:ascii="Arial" w:hAnsi="Arial" w:cs="Arial"/>
          <w:bCs/>
          <w:color w:val="000000" w:themeColor="text1"/>
          <w:sz w:val="22"/>
          <w:szCs w:val="22"/>
          <w:lang w:val="fr-FR"/>
        </w:rPr>
        <w:t xml:space="preserve"> </w:t>
      </w:r>
      <w:r w:rsidRPr="007365A0">
        <w:rPr>
          <w:rFonts w:ascii="Arial" w:hAnsi="Arial" w:cs="Arial"/>
          <w:bCs/>
          <w:sz w:val="22"/>
          <w:szCs w:val="22"/>
          <w:lang w:val="fr-FR"/>
        </w:rPr>
        <w:t>retiré son amendement. Elle estim</w:t>
      </w:r>
      <w:r>
        <w:rPr>
          <w:rFonts w:ascii="Arial" w:hAnsi="Arial" w:cs="Arial"/>
          <w:bCs/>
          <w:sz w:val="22"/>
          <w:szCs w:val="22"/>
          <w:lang w:val="fr-FR"/>
        </w:rPr>
        <w:t>ait</w:t>
      </w:r>
      <w:r w:rsidRPr="007365A0">
        <w:rPr>
          <w:rFonts w:ascii="Arial" w:hAnsi="Arial" w:cs="Arial"/>
          <w:bCs/>
          <w:sz w:val="22"/>
          <w:szCs w:val="22"/>
          <w:lang w:val="fr-FR"/>
        </w:rPr>
        <w:t xml:space="preserve"> qu</w:t>
      </w:r>
      <w:r w:rsidR="008E532B">
        <w:rPr>
          <w:rFonts w:ascii="Arial" w:hAnsi="Arial" w:cs="Arial"/>
          <w:bCs/>
          <w:sz w:val="22"/>
          <w:szCs w:val="22"/>
          <w:lang w:val="fr-FR"/>
        </w:rPr>
        <w:t>’</w:t>
      </w:r>
      <w:r w:rsidRPr="007365A0">
        <w:rPr>
          <w:rFonts w:ascii="Arial" w:hAnsi="Arial" w:cs="Arial"/>
          <w:bCs/>
          <w:sz w:val="22"/>
          <w:szCs w:val="22"/>
          <w:lang w:val="fr-FR"/>
        </w:rPr>
        <w:t xml:space="preserve">un consensus pouvait être obtenu </w:t>
      </w:r>
      <w:r>
        <w:rPr>
          <w:rFonts w:ascii="Arial" w:hAnsi="Arial" w:cs="Arial"/>
          <w:bCs/>
          <w:sz w:val="22"/>
          <w:szCs w:val="22"/>
          <w:lang w:val="fr-FR"/>
        </w:rPr>
        <w:t>en faveur de</w:t>
      </w:r>
      <w:r w:rsidRPr="007365A0">
        <w:rPr>
          <w:rFonts w:ascii="Arial" w:hAnsi="Arial" w:cs="Arial"/>
          <w:bCs/>
          <w:sz w:val="22"/>
          <w:szCs w:val="22"/>
          <w:lang w:val="fr-FR"/>
        </w:rPr>
        <w:t xml:space="preserve"> la proposition du Conseiller juridique concernant la procédure plutôt que l</w:t>
      </w:r>
      <w:r w:rsidR="008E532B">
        <w:rPr>
          <w:rFonts w:ascii="Arial" w:hAnsi="Arial" w:cs="Arial"/>
          <w:bCs/>
          <w:sz w:val="22"/>
          <w:szCs w:val="22"/>
          <w:lang w:val="fr-FR"/>
        </w:rPr>
        <w:t>’</w:t>
      </w:r>
      <w:r w:rsidRPr="007365A0">
        <w:rPr>
          <w:rFonts w:ascii="Arial" w:hAnsi="Arial" w:cs="Arial"/>
          <w:bCs/>
          <w:sz w:val="22"/>
          <w:szCs w:val="22"/>
          <w:lang w:val="fr-FR"/>
        </w:rPr>
        <w:t xml:space="preserve">inscription, qui </w:t>
      </w:r>
      <w:r>
        <w:rPr>
          <w:rFonts w:ascii="Arial" w:hAnsi="Arial" w:cs="Arial"/>
          <w:bCs/>
          <w:sz w:val="22"/>
          <w:szCs w:val="22"/>
          <w:lang w:val="fr-FR"/>
        </w:rPr>
        <w:t xml:space="preserve">était </w:t>
      </w:r>
      <w:r w:rsidRPr="007365A0">
        <w:rPr>
          <w:rFonts w:ascii="Arial" w:hAnsi="Arial" w:cs="Arial"/>
          <w:bCs/>
          <w:sz w:val="22"/>
          <w:szCs w:val="22"/>
          <w:lang w:val="fr-FR"/>
        </w:rPr>
        <w:t xml:space="preserve">indispensable et </w:t>
      </w:r>
      <w:r>
        <w:rPr>
          <w:rFonts w:ascii="Arial" w:hAnsi="Arial" w:cs="Arial"/>
          <w:bCs/>
          <w:sz w:val="22"/>
          <w:szCs w:val="22"/>
          <w:lang w:val="fr-FR"/>
        </w:rPr>
        <w:t xml:space="preserve">à laquelle </w:t>
      </w:r>
      <w:r w:rsidRPr="007365A0">
        <w:rPr>
          <w:rFonts w:ascii="Arial" w:hAnsi="Arial" w:cs="Arial"/>
          <w:bCs/>
          <w:sz w:val="22"/>
          <w:szCs w:val="22"/>
          <w:lang w:val="fr-FR"/>
        </w:rPr>
        <w:t>toutes les délégations</w:t>
      </w:r>
      <w:r>
        <w:rPr>
          <w:rFonts w:ascii="Arial" w:hAnsi="Arial" w:cs="Arial"/>
          <w:bCs/>
          <w:sz w:val="22"/>
          <w:szCs w:val="22"/>
          <w:lang w:val="fr-FR"/>
        </w:rPr>
        <w:t xml:space="preserve"> adhéraient</w:t>
      </w:r>
      <w:r w:rsidRPr="007365A0">
        <w:rPr>
          <w:rFonts w:ascii="Arial" w:hAnsi="Arial" w:cs="Arial"/>
          <w:bCs/>
          <w:sz w:val="22"/>
          <w:szCs w:val="22"/>
          <w:lang w:val="fr-FR"/>
        </w:rPr>
        <w:t>. L</w:t>
      </w:r>
      <w:r w:rsidR="008E532B">
        <w:rPr>
          <w:rFonts w:ascii="Arial" w:hAnsi="Arial" w:cs="Arial"/>
          <w:bCs/>
          <w:sz w:val="22"/>
          <w:szCs w:val="22"/>
          <w:lang w:val="fr-FR"/>
        </w:rPr>
        <w:t>’</w:t>
      </w:r>
      <w:r w:rsidRPr="007365A0">
        <w:rPr>
          <w:rFonts w:ascii="Arial" w:hAnsi="Arial" w:cs="Arial"/>
          <w:bCs/>
          <w:sz w:val="22"/>
          <w:szCs w:val="22"/>
          <w:lang w:val="fr-FR"/>
        </w:rPr>
        <w:t>Uruguay approuv</w:t>
      </w:r>
      <w:r>
        <w:rPr>
          <w:rFonts w:ascii="Arial" w:hAnsi="Arial" w:cs="Arial"/>
          <w:bCs/>
          <w:sz w:val="22"/>
          <w:szCs w:val="22"/>
          <w:lang w:val="fr-FR"/>
        </w:rPr>
        <w:t xml:space="preserve">ait donc </w:t>
      </w:r>
      <w:r w:rsidRPr="007365A0">
        <w:rPr>
          <w:rFonts w:ascii="Arial" w:hAnsi="Arial" w:cs="Arial"/>
          <w:bCs/>
          <w:sz w:val="22"/>
          <w:szCs w:val="22"/>
          <w:lang w:val="fr-FR"/>
        </w:rPr>
        <w:t>la proposition du Conseiller juridique.</w:t>
      </w:r>
    </w:p>
    <w:p w14:paraId="12BDFD3A" w14:textId="67D92A9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365A0">
        <w:rPr>
          <w:rFonts w:ascii="Arial" w:hAnsi="Arial" w:cs="Arial"/>
          <w:b/>
          <w:sz w:val="22"/>
          <w:szCs w:val="22"/>
          <w:lang w:val="fr-FR"/>
        </w:rPr>
        <w:t>Présidente</w:t>
      </w:r>
      <w:r>
        <w:rPr>
          <w:rFonts w:ascii="Arial" w:hAnsi="Arial" w:cs="Arial"/>
          <w:bCs/>
          <w:sz w:val="22"/>
          <w:szCs w:val="22"/>
          <w:lang w:val="fr-FR"/>
        </w:rPr>
        <w:t xml:space="preserve"> a noté le dernier </w:t>
      </w:r>
      <w:r w:rsidRPr="007365A0">
        <w:rPr>
          <w:rFonts w:ascii="Arial" w:hAnsi="Arial" w:cs="Arial"/>
          <w:bCs/>
          <w:sz w:val="22"/>
          <w:szCs w:val="22"/>
          <w:lang w:val="fr-FR"/>
        </w:rPr>
        <w:t>amendement</w:t>
      </w:r>
      <w:r>
        <w:rPr>
          <w:rFonts w:ascii="Arial" w:hAnsi="Arial" w:cs="Arial"/>
          <w:bCs/>
          <w:sz w:val="22"/>
          <w:szCs w:val="22"/>
          <w:lang w:val="fr-FR"/>
        </w:rPr>
        <w:t xml:space="preserve">. Le </w:t>
      </w:r>
      <w:r w:rsidRPr="007365A0">
        <w:rPr>
          <w:rFonts w:ascii="Arial" w:hAnsi="Arial" w:cs="Arial"/>
          <w:bCs/>
          <w:sz w:val="22"/>
          <w:szCs w:val="22"/>
          <w:lang w:val="fr-FR"/>
        </w:rPr>
        <w:t>paragraphe</w:t>
      </w:r>
      <w:r>
        <w:rPr>
          <w:rFonts w:ascii="Arial" w:hAnsi="Arial" w:cs="Arial"/>
          <w:bCs/>
          <w:sz w:val="22"/>
          <w:szCs w:val="22"/>
          <w:lang w:val="fr-FR"/>
        </w:rPr>
        <w:t xml:space="preserve"> serait ainsi rédigé : « Approuve la procédure suivie pour l</w:t>
      </w:r>
      <w:r w:rsidR="008E532B">
        <w:rPr>
          <w:rFonts w:ascii="Arial" w:hAnsi="Arial" w:cs="Arial"/>
          <w:bCs/>
          <w:sz w:val="22"/>
          <w:szCs w:val="22"/>
          <w:lang w:val="fr-FR"/>
        </w:rPr>
        <w:t>’</w:t>
      </w:r>
      <w:r w:rsidRPr="007365A0">
        <w:rPr>
          <w:rFonts w:ascii="Arial" w:hAnsi="Arial" w:cs="Arial"/>
          <w:bCs/>
          <w:sz w:val="22"/>
          <w:szCs w:val="22"/>
          <w:lang w:val="fr-FR"/>
        </w:rPr>
        <w:t>inscription</w:t>
      </w:r>
      <w:r>
        <w:rPr>
          <w:rFonts w:ascii="Arial" w:hAnsi="Arial" w:cs="Arial"/>
          <w:bCs/>
          <w:sz w:val="22"/>
          <w:szCs w:val="22"/>
          <w:lang w:val="fr-FR"/>
        </w:rPr>
        <w:t xml:space="preserve"> de la soupe au giraumon sur une base exceptionnelle, dans le cadre du cycle 2021, sur la Liste représentative du patrimoine culturel immatériel de l</w:t>
      </w:r>
      <w:r w:rsidR="008E532B">
        <w:rPr>
          <w:rFonts w:ascii="Arial" w:hAnsi="Arial" w:cs="Arial"/>
          <w:bCs/>
          <w:sz w:val="22"/>
          <w:szCs w:val="22"/>
          <w:lang w:val="fr-FR"/>
        </w:rPr>
        <w:t>’</w:t>
      </w:r>
      <w:r>
        <w:rPr>
          <w:rFonts w:ascii="Arial" w:hAnsi="Arial" w:cs="Arial"/>
          <w:bCs/>
          <w:sz w:val="22"/>
          <w:szCs w:val="22"/>
          <w:lang w:val="fr-FR"/>
        </w:rPr>
        <w:t>humanité. »</w:t>
      </w:r>
    </w:p>
    <w:p w14:paraId="1DA857F7" w14:textId="0D40EA0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F6939">
        <w:rPr>
          <w:rFonts w:ascii="Arial" w:hAnsi="Arial" w:cs="Arial"/>
          <w:bCs/>
          <w:sz w:val="22"/>
          <w:szCs w:val="22"/>
          <w:lang w:val="fr-FR"/>
        </w:rPr>
        <w:t>délégation</w:t>
      </w:r>
      <w:r>
        <w:rPr>
          <w:rFonts w:ascii="Arial" w:hAnsi="Arial" w:cs="Arial"/>
          <w:bCs/>
          <w:sz w:val="22"/>
          <w:szCs w:val="22"/>
          <w:lang w:val="fr-FR"/>
        </w:rPr>
        <w:t xml:space="preserve"> de la </w:t>
      </w:r>
      <w:r w:rsidRPr="00EE3D12">
        <w:rPr>
          <w:rFonts w:ascii="Arial" w:hAnsi="Arial" w:cs="Arial"/>
          <w:b/>
          <w:sz w:val="22"/>
          <w:szCs w:val="22"/>
          <w:lang w:val="fr-FR"/>
        </w:rPr>
        <w:t>Palestine</w:t>
      </w:r>
      <w:r>
        <w:rPr>
          <w:rFonts w:ascii="Arial" w:hAnsi="Arial" w:cs="Arial"/>
          <w:bCs/>
          <w:sz w:val="22"/>
          <w:szCs w:val="22"/>
          <w:lang w:val="fr-FR"/>
        </w:rPr>
        <w:t xml:space="preserve"> pouvait souscrire à la </w:t>
      </w:r>
      <w:r w:rsidRPr="000F6939">
        <w:rPr>
          <w:rFonts w:ascii="Arial" w:hAnsi="Arial" w:cs="Arial"/>
          <w:bCs/>
          <w:sz w:val="22"/>
          <w:szCs w:val="22"/>
          <w:lang w:val="fr-FR"/>
        </w:rPr>
        <w:t>proposition</w:t>
      </w:r>
      <w:r>
        <w:rPr>
          <w:rFonts w:ascii="Arial" w:hAnsi="Arial" w:cs="Arial"/>
          <w:bCs/>
          <w:sz w:val="22"/>
          <w:szCs w:val="22"/>
          <w:lang w:val="fr-FR"/>
        </w:rPr>
        <w:t>, mais elle a suggéré d</w:t>
      </w:r>
      <w:r w:rsidR="008E532B">
        <w:rPr>
          <w:rFonts w:ascii="Arial" w:hAnsi="Arial" w:cs="Arial"/>
          <w:bCs/>
          <w:sz w:val="22"/>
          <w:szCs w:val="22"/>
          <w:lang w:val="fr-FR"/>
        </w:rPr>
        <w:t>’</w:t>
      </w:r>
      <w:r>
        <w:rPr>
          <w:rFonts w:ascii="Arial" w:hAnsi="Arial" w:cs="Arial"/>
          <w:bCs/>
          <w:sz w:val="22"/>
          <w:szCs w:val="22"/>
          <w:lang w:val="fr-FR"/>
        </w:rPr>
        <w:t xml:space="preserve">insérer « sur une base </w:t>
      </w:r>
      <w:r w:rsidRPr="00EE3D12">
        <w:rPr>
          <w:rFonts w:ascii="Arial" w:hAnsi="Arial" w:cs="Arial"/>
          <w:bCs/>
          <w:sz w:val="22"/>
          <w:szCs w:val="22"/>
          <w:lang w:val="fr-FR"/>
        </w:rPr>
        <w:t>exceptionne</w:t>
      </w:r>
      <w:r>
        <w:rPr>
          <w:rFonts w:ascii="Arial" w:hAnsi="Arial" w:cs="Arial"/>
          <w:bCs/>
          <w:sz w:val="22"/>
          <w:szCs w:val="22"/>
          <w:lang w:val="fr-FR"/>
        </w:rPr>
        <w:t>lle » juste après « Approuve », car c</w:t>
      </w:r>
      <w:r w:rsidR="008E532B">
        <w:rPr>
          <w:rFonts w:ascii="Arial" w:hAnsi="Arial" w:cs="Arial"/>
          <w:bCs/>
          <w:sz w:val="22"/>
          <w:szCs w:val="22"/>
          <w:lang w:val="fr-FR"/>
        </w:rPr>
        <w:t>’</w:t>
      </w:r>
      <w:r>
        <w:rPr>
          <w:rFonts w:ascii="Arial" w:hAnsi="Arial" w:cs="Arial"/>
          <w:bCs/>
          <w:sz w:val="22"/>
          <w:szCs w:val="22"/>
          <w:lang w:val="fr-FR"/>
        </w:rPr>
        <w:t xml:space="preserve">était la procédure qui était approuvée sur une base </w:t>
      </w:r>
      <w:r w:rsidRPr="00EE3D12">
        <w:rPr>
          <w:rFonts w:ascii="Arial" w:hAnsi="Arial" w:cs="Arial"/>
          <w:bCs/>
          <w:sz w:val="22"/>
          <w:szCs w:val="22"/>
          <w:lang w:val="fr-FR"/>
        </w:rPr>
        <w:t>exceptionne</w:t>
      </w:r>
      <w:r>
        <w:rPr>
          <w:rFonts w:ascii="Arial" w:hAnsi="Arial" w:cs="Arial"/>
          <w:bCs/>
          <w:sz w:val="22"/>
          <w:szCs w:val="22"/>
          <w:lang w:val="fr-FR"/>
        </w:rPr>
        <w:t>lle.</w:t>
      </w:r>
    </w:p>
    <w:p w14:paraId="5E43538E" w14:textId="609DC31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71531">
        <w:rPr>
          <w:rFonts w:ascii="Arial" w:hAnsi="Arial" w:cs="Arial"/>
          <w:bCs/>
          <w:sz w:val="22"/>
          <w:szCs w:val="22"/>
          <w:lang w:val="fr-FR"/>
        </w:rPr>
        <w:t xml:space="preserve">Le </w:t>
      </w:r>
      <w:r w:rsidRPr="00171531">
        <w:rPr>
          <w:rFonts w:ascii="Arial" w:hAnsi="Arial" w:cs="Arial"/>
          <w:b/>
          <w:sz w:val="22"/>
          <w:szCs w:val="22"/>
          <w:lang w:val="fr-FR"/>
        </w:rPr>
        <w:t>Conseiller juridique</w:t>
      </w:r>
      <w:r w:rsidRPr="00171531">
        <w:rPr>
          <w:rFonts w:ascii="Arial" w:hAnsi="Arial" w:cs="Arial"/>
          <w:bCs/>
          <w:sz w:val="22"/>
          <w:szCs w:val="22"/>
          <w:lang w:val="fr-FR"/>
        </w:rPr>
        <w:t xml:space="preserve"> </w:t>
      </w:r>
      <w:r>
        <w:rPr>
          <w:rFonts w:ascii="Arial" w:hAnsi="Arial" w:cs="Arial"/>
          <w:bCs/>
          <w:sz w:val="22"/>
          <w:szCs w:val="22"/>
          <w:lang w:val="fr-FR"/>
        </w:rPr>
        <w:t>a convenu</w:t>
      </w:r>
      <w:r w:rsidRPr="00171531">
        <w:rPr>
          <w:rFonts w:ascii="Arial" w:hAnsi="Arial" w:cs="Arial"/>
          <w:bCs/>
          <w:sz w:val="22"/>
          <w:szCs w:val="22"/>
          <w:lang w:val="fr-FR"/>
        </w:rPr>
        <w:t xml:space="preserve"> que l</w:t>
      </w:r>
      <w:r w:rsidR="008E532B">
        <w:rPr>
          <w:rFonts w:ascii="Arial" w:hAnsi="Arial" w:cs="Arial"/>
          <w:bCs/>
          <w:sz w:val="22"/>
          <w:szCs w:val="22"/>
          <w:lang w:val="fr-FR"/>
        </w:rPr>
        <w:t>’</w:t>
      </w:r>
      <w:r w:rsidRPr="00171531">
        <w:rPr>
          <w:rFonts w:ascii="Arial" w:hAnsi="Arial" w:cs="Arial"/>
          <w:bCs/>
          <w:sz w:val="22"/>
          <w:szCs w:val="22"/>
          <w:lang w:val="fr-FR"/>
        </w:rPr>
        <w:t xml:space="preserve">insertion de </w:t>
      </w:r>
      <w:r>
        <w:rPr>
          <w:rFonts w:ascii="Arial" w:hAnsi="Arial" w:cs="Arial"/>
          <w:bCs/>
          <w:sz w:val="22"/>
          <w:szCs w:val="22"/>
          <w:lang w:val="fr-FR"/>
        </w:rPr>
        <w:t>« sur une base</w:t>
      </w:r>
      <w:r w:rsidRPr="00171531">
        <w:rPr>
          <w:rFonts w:ascii="Arial" w:hAnsi="Arial" w:cs="Arial"/>
          <w:bCs/>
          <w:sz w:val="22"/>
          <w:szCs w:val="22"/>
          <w:lang w:val="fr-FR"/>
        </w:rPr>
        <w:t xml:space="preserve"> exceptionnel</w:t>
      </w:r>
      <w:r>
        <w:rPr>
          <w:rFonts w:ascii="Arial" w:hAnsi="Arial" w:cs="Arial"/>
          <w:bCs/>
          <w:sz w:val="22"/>
          <w:szCs w:val="22"/>
          <w:lang w:val="fr-FR"/>
        </w:rPr>
        <w:t>le »</w:t>
      </w:r>
      <w:r w:rsidRPr="00171531">
        <w:rPr>
          <w:rFonts w:ascii="Arial" w:hAnsi="Arial" w:cs="Arial"/>
          <w:bCs/>
          <w:sz w:val="22"/>
          <w:szCs w:val="22"/>
          <w:lang w:val="fr-FR"/>
        </w:rPr>
        <w:t xml:space="preserve"> modifi</w:t>
      </w:r>
      <w:r>
        <w:rPr>
          <w:rFonts w:ascii="Arial" w:hAnsi="Arial" w:cs="Arial"/>
          <w:bCs/>
          <w:sz w:val="22"/>
          <w:szCs w:val="22"/>
          <w:lang w:val="fr-FR"/>
        </w:rPr>
        <w:t>ait</w:t>
      </w:r>
      <w:r w:rsidRPr="00171531">
        <w:rPr>
          <w:rFonts w:ascii="Arial" w:hAnsi="Arial" w:cs="Arial"/>
          <w:bCs/>
          <w:sz w:val="22"/>
          <w:szCs w:val="22"/>
          <w:lang w:val="fr-FR"/>
        </w:rPr>
        <w:t xml:space="preserve"> le sens de la phrase. Dans ce cas</w:t>
      </w:r>
      <w:r>
        <w:rPr>
          <w:rFonts w:ascii="Arial" w:hAnsi="Arial" w:cs="Arial"/>
          <w:bCs/>
          <w:sz w:val="22"/>
          <w:szCs w:val="22"/>
          <w:lang w:val="fr-FR"/>
        </w:rPr>
        <w:t xml:space="preserve"> précis</w:t>
      </w:r>
      <w:r w:rsidRPr="00171531">
        <w:rPr>
          <w:rFonts w:ascii="Arial" w:hAnsi="Arial" w:cs="Arial"/>
          <w:bCs/>
          <w:sz w:val="22"/>
          <w:szCs w:val="22"/>
          <w:lang w:val="fr-FR"/>
        </w:rPr>
        <w:t>, le nouveau libellé impliqu</w:t>
      </w:r>
      <w:r>
        <w:rPr>
          <w:rFonts w:ascii="Arial" w:hAnsi="Arial" w:cs="Arial"/>
          <w:bCs/>
          <w:sz w:val="22"/>
          <w:szCs w:val="22"/>
          <w:lang w:val="fr-FR"/>
        </w:rPr>
        <w:t>ait</w:t>
      </w:r>
      <w:r w:rsidRPr="00171531">
        <w:rPr>
          <w:rFonts w:ascii="Arial" w:hAnsi="Arial" w:cs="Arial"/>
          <w:bCs/>
          <w:sz w:val="22"/>
          <w:szCs w:val="22"/>
          <w:lang w:val="fr-FR"/>
        </w:rPr>
        <w:t xml:space="preserve"> que l</w:t>
      </w:r>
      <w:r w:rsidR="008E532B">
        <w:rPr>
          <w:rFonts w:ascii="Arial" w:hAnsi="Arial" w:cs="Arial"/>
          <w:bCs/>
          <w:sz w:val="22"/>
          <w:szCs w:val="22"/>
          <w:lang w:val="fr-FR"/>
        </w:rPr>
        <w:t>’</w:t>
      </w:r>
      <w:r w:rsidRPr="00171531">
        <w:rPr>
          <w:rFonts w:ascii="Arial" w:hAnsi="Arial" w:cs="Arial"/>
          <w:bCs/>
          <w:sz w:val="22"/>
          <w:szCs w:val="22"/>
          <w:lang w:val="fr-FR"/>
        </w:rPr>
        <w:t xml:space="preserve">Assemblée </w:t>
      </w:r>
      <w:r>
        <w:rPr>
          <w:rFonts w:ascii="Arial" w:hAnsi="Arial" w:cs="Arial"/>
          <w:bCs/>
          <w:sz w:val="22"/>
          <w:szCs w:val="22"/>
          <w:lang w:val="fr-FR"/>
        </w:rPr>
        <w:t>« A</w:t>
      </w:r>
      <w:r w:rsidRPr="00171531">
        <w:rPr>
          <w:rFonts w:ascii="Arial" w:hAnsi="Arial" w:cs="Arial"/>
          <w:bCs/>
          <w:sz w:val="22"/>
          <w:szCs w:val="22"/>
          <w:lang w:val="fr-FR"/>
        </w:rPr>
        <w:t xml:space="preserve">pprouve </w:t>
      </w:r>
      <w:r>
        <w:rPr>
          <w:rFonts w:ascii="Arial" w:hAnsi="Arial" w:cs="Arial"/>
          <w:bCs/>
          <w:sz w:val="22"/>
          <w:szCs w:val="22"/>
          <w:lang w:val="fr-FR"/>
        </w:rPr>
        <w:t>sur une base exceptionnelle »</w:t>
      </w:r>
      <w:r w:rsidRPr="00171531">
        <w:rPr>
          <w:rFonts w:ascii="Arial" w:hAnsi="Arial" w:cs="Arial"/>
          <w:bCs/>
          <w:sz w:val="22"/>
          <w:szCs w:val="22"/>
          <w:lang w:val="fr-FR"/>
        </w:rPr>
        <w:t xml:space="preserve">, </w:t>
      </w:r>
      <w:r>
        <w:rPr>
          <w:rFonts w:ascii="Arial" w:hAnsi="Arial" w:cs="Arial"/>
          <w:bCs/>
          <w:sz w:val="22"/>
          <w:szCs w:val="22"/>
          <w:lang w:val="fr-FR"/>
        </w:rPr>
        <w:t xml:space="preserve">c.-à-d. </w:t>
      </w:r>
      <w:r w:rsidRPr="00171531">
        <w:rPr>
          <w:rFonts w:ascii="Arial" w:hAnsi="Arial" w:cs="Arial"/>
          <w:bCs/>
          <w:sz w:val="22"/>
          <w:szCs w:val="22"/>
          <w:lang w:val="fr-FR"/>
        </w:rPr>
        <w:t>que l</w:t>
      </w:r>
      <w:r w:rsidR="008E532B">
        <w:rPr>
          <w:rFonts w:ascii="Arial" w:hAnsi="Arial" w:cs="Arial"/>
          <w:bCs/>
          <w:sz w:val="22"/>
          <w:szCs w:val="22"/>
          <w:lang w:val="fr-FR"/>
        </w:rPr>
        <w:t>’</w:t>
      </w:r>
      <w:r w:rsidRPr="00171531">
        <w:rPr>
          <w:rFonts w:ascii="Arial" w:hAnsi="Arial" w:cs="Arial"/>
          <w:bCs/>
          <w:sz w:val="22"/>
          <w:szCs w:val="22"/>
          <w:lang w:val="fr-FR"/>
        </w:rPr>
        <w:t>on insist</w:t>
      </w:r>
      <w:r>
        <w:rPr>
          <w:rFonts w:ascii="Arial" w:hAnsi="Arial" w:cs="Arial"/>
          <w:bCs/>
          <w:sz w:val="22"/>
          <w:szCs w:val="22"/>
          <w:lang w:val="fr-FR"/>
        </w:rPr>
        <w:t>ait</w:t>
      </w:r>
      <w:r w:rsidRPr="00171531">
        <w:rPr>
          <w:rFonts w:ascii="Arial" w:hAnsi="Arial" w:cs="Arial"/>
          <w:bCs/>
          <w:sz w:val="22"/>
          <w:szCs w:val="22"/>
          <w:lang w:val="fr-FR"/>
        </w:rPr>
        <w:t xml:space="preserve"> sur le fait que ce qui est exceptionnel est </w:t>
      </w:r>
      <w:r w:rsidRPr="00171531">
        <w:rPr>
          <w:rFonts w:ascii="Arial" w:hAnsi="Arial" w:cs="Arial"/>
          <w:bCs/>
          <w:i/>
          <w:iCs/>
          <w:sz w:val="22"/>
          <w:szCs w:val="22"/>
          <w:lang w:val="fr-FR"/>
        </w:rPr>
        <w:t>l</w:t>
      </w:r>
      <w:r w:rsidR="008E532B">
        <w:rPr>
          <w:rFonts w:ascii="Arial" w:hAnsi="Arial" w:cs="Arial"/>
          <w:bCs/>
          <w:i/>
          <w:iCs/>
          <w:sz w:val="22"/>
          <w:szCs w:val="22"/>
          <w:lang w:val="fr-FR"/>
        </w:rPr>
        <w:t>’</w:t>
      </w:r>
      <w:r w:rsidRPr="00171531">
        <w:rPr>
          <w:rFonts w:ascii="Arial" w:hAnsi="Arial" w:cs="Arial"/>
          <w:bCs/>
          <w:i/>
          <w:iCs/>
          <w:sz w:val="22"/>
          <w:szCs w:val="22"/>
          <w:lang w:val="fr-FR"/>
        </w:rPr>
        <w:t>approbation</w:t>
      </w:r>
      <w:r w:rsidRPr="00171531">
        <w:rPr>
          <w:rFonts w:ascii="Arial" w:hAnsi="Arial" w:cs="Arial"/>
          <w:bCs/>
          <w:sz w:val="22"/>
          <w:szCs w:val="22"/>
          <w:lang w:val="fr-FR"/>
        </w:rPr>
        <w:t xml:space="preserve"> par l</w:t>
      </w:r>
      <w:r w:rsidR="008E532B">
        <w:rPr>
          <w:rFonts w:ascii="Arial" w:hAnsi="Arial" w:cs="Arial"/>
          <w:bCs/>
          <w:sz w:val="22"/>
          <w:szCs w:val="22"/>
          <w:lang w:val="fr-FR"/>
        </w:rPr>
        <w:t>’</w:t>
      </w:r>
      <w:r w:rsidRPr="00171531">
        <w:rPr>
          <w:rFonts w:ascii="Arial" w:hAnsi="Arial" w:cs="Arial"/>
          <w:bCs/>
          <w:sz w:val="22"/>
          <w:szCs w:val="22"/>
          <w:lang w:val="fr-FR"/>
        </w:rPr>
        <w:t>Assemblée générale. Si, au contraire, l</w:t>
      </w:r>
      <w:r w:rsidR="008E532B">
        <w:rPr>
          <w:rFonts w:ascii="Arial" w:hAnsi="Arial" w:cs="Arial"/>
          <w:bCs/>
          <w:sz w:val="22"/>
          <w:szCs w:val="22"/>
          <w:lang w:val="fr-FR"/>
        </w:rPr>
        <w:t>’</w:t>
      </w:r>
      <w:r w:rsidRPr="00171531">
        <w:rPr>
          <w:rFonts w:ascii="Arial" w:hAnsi="Arial" w:cs="Arial"/>
          <w:bCs/>
          <w:sz w:val="22"/>
          <w:szCs w:val="22"/>
          <w:lang w:val="fr-FR"/>
        </w:rPr>
        <w:t>Assemblée acceptait la formulation originale, elle soulign</w:t>
      </w:r>
      <w:r>
        <w:rPr>
          <w:rFonts w:ascii="Arial" w:hAnsi="Arial" w:cs="Arial"/>
          <w:bCs/>
          <w:sz w:val="22"/>
          <w:szCs w:val="22"/>
          <w:lang w:val="fr-FR"/>
        </w:rPr>
        <w:t>erait</w:t>
      </w:r>
      <w:r w:rsidRPr="00171531">
        <w:rPr>
          <w:rFonts w:ascii="Arial" w:hAnsi="Arial" w:cs="Arial"/>
          <w:bCs/>
          <w:sz w:val="22"/>
          <w:szCs w:val="22"/>
          <w:lang w:val="fr-FR"/>
        </w:rPr>
        <w:t xml:space="preserve"> ce qui appara</w:t>
      </w:r>
      <w:r>
        <w:rPr>
          <w:rFonts w:ascii="Arial" w:hAnsi="Arial" w:cs="Arial"/>
          <w:bCs/>
          <w:sz w:val="22"/>
          <w:szCs w:val="22"/>
          <w:lang w:val="fr-FR"/>
        </w:rPr>
        <w:t>issait</w:t>
      </w:r>
      <w:r w:rsidRPr="00171531">
        <w:rPr>
          <w:rFonts w:ascii="Arial" w:hAnsi="Arial" w:cs="Arial"/>
          <w:bCs/>
          <w:sz w:val="22"/>
          <w:szCs w:val="22"/>
          <w:lang w:val="fr-FR"/>
        </w:rPr>
        <w:t xml:space="preserve"> au paragraphe 8 de la décision</w:t>
      </w:r>
      <w:r>
        <w:rPr>
          <w:rFonts w:ascii="Arial" w:hAnsi="Arial" w:cs="Arial"/>
          <w:bCs/>
          <w:sz w:val="22"/>
          <w:szCs w:val="22"/>
          <w:lang w:val="fr-FR"/>
        </w:rPr>
        <w:t> </w:t>
      </w:r>
      <w:r w:rsidRPr="00171531">
        <w:rPr>
          <w:rFonts w:ascii="Arial" w:hAnsi="Arial" w:cs="Arial"/>
          <w:bCs/>
          <w:sz w:val="22"/>
          <w:szCs w:val="22"/>
          <w:lang w:val="fr-FR"/>
        </w:rPr>
        <w:t>16.COM</w:t>
      </w:r>
      <w:r>
        <w:rPr>
          <w:rFonts w:ascii="Arial" w:hAnsi="Arial" w:cs="Arial"/>
          <w:bCs/>
          <w:sz w:val="22"/>
          <w:szCs w:val="22"/>
          <w:lang w:val="fr-FR"/>
        </w:rPr>
        <w:t> </w:t>
      </w:r>
      <w:r w:rsidRPr="00171531">
        <w:rPr>
          <w:rFonts w:ascii="Arial" w:hAnsi="Arial" w:cs="Arial"/>
          <w:bCs/>
          <w:sz w:val="22"/>
          <w:szCs w:val="22"/>
          <w:lang w:val="fr-FR"/>
        </w:rPr>
        <w:t xml:space="preserve">19 du Comité, </w:t>
      </w:r>
      <w:r>
        <w:rPr>
          <w:rFonts w:ascii="Arial" w:hAnsi="Arial" w:cs="Arial"/>
          <w:bCs/>
          <w:sz w:val="22"/>
          <w:szCs w:val="22"/>
          <w:lang w:val="fr-FR"/>
        </w:rPr>
        <w:t>c.-à-d.</w:t>
      </w:r>
      <w:r w:rsidRPr="00171531">
        <w:rPr>
          <w:rFonts w:ascii="Arial" w:hAnsi="Arial" w:cs="Arial"/>
          <w:bCs/>
          <w:sz w:val="22"/>
          <w:szCs w:val="22"/>
          <w:lang w:val="fr-FR"/>
        </w:rPr>
        <w:t xml:space="preserve"> que la </w:t>
      </w:r>
      <w:r w:rsidRPr="00171531">
        <w:rPr>
          <w:rFonts w:ascii="Arial" w:hAnsi="Arial" w:cs="Arial"/>
          <w:bCs/>
          <w:i/>
          <w:iCs/>
          <w:sz w:val="22"/>
          <w:szCs w:val="22"/>
          <w:lang w:val="fr-FR"/>
        </w:rPr>
        <w:t>procédure</w:t>
      </w:r>
      <w:r w:rsidRPr="00171531">
        <w:rPr>
          <w:rFonts w:ascii="Arial" w:hAnsi="Arial" w:cs="Arial"/>
          <w:bCs/>
          <w:sz w:val="22"/>
          <w:szCs w:val="22"/>
          <w:lang w:val="fr-FR"/>
        </w:rPr>
        <w:t xml:space="preserve"> d</w:t>
      </w:r>
      <w:r w:rsidR="008E532B">
        <w:rPr>
          <w:rFonts w:ascii="Arial" w:hAnsi="Arial" w:cs="Arial"/>
          <w:bCs/>
          <w:sz w:val="22"/>
          <w:szCs w:val="22"/>
          <w:lang w:val="fr-FR"/>
        </w:rPr>
        <w:t>’</w:t>
      </w:r>
      <w:r w:rsidRPr="00171531">
        <w:rPr>
          <w:rFonts w:ascii="Arial" w:hAnsi="Arial" w:cs="Arial"/>
          <w:bCs/>
          <w:sz w:val="22"/>
          <w:szCs w:val="22"/>
          <w:lang w:val="fr-FR"/>
        </w:rPr>
        <w:t xml:space="preserve">inscription </w:t>
      </w:r>
      <w:r>
        <w:rPr>
          <w:rFonts w:ascii="Arial" w:hAnsi="Arial" w:cs="Arial"/>
          <w:bCs/>
          <w:sz w:val="22"/>
          <w:szCs w:val="22"/>
          <w:lang w:val="fr-FR"/>
        </w:rPr>
        <w:t xml:space="preserve">avait été </w:t>
      </w:r>
      <w:r w:rsidRPr="00171531">
        <w:rPr>
          <w:rFonts w:ascii="Arial" w:hAnsi="Arial" w:cs="Arial"/>
          <w:bCs/>
          <w:sz w:val="22"/>
          <w:szCs w:val="22"/>
          <w:lang w:val="fr-FR"/>
        </w:rPr>
        <w:t xml:space="preserve">appliquée </w:t>
      </w:r>
      <w:r>
        <w:rPr>
          <w:rFonts w:ascii="Arial" w:hAnsi="Arial" w:cs="Arial"/>
          <w:bCs/>
          <w:sz w:val="22"/>
          <w:szCs w:val="22"/>
          <w:lang w:val="fr-FR"/>
        </w:rPr>
        <w:t xml:space="preserve">sur une base </w:t>
      </w:r>
      <w:r w:rsidRPr="00171531">
        <w:rPr>
          <w:rFonts w:ascii="Arial" w:hAnsi="Arial" w:cs="Arial"/>
          <w:bCs/>
          <w:sz w:val="22"/>
          <w:szCs w:val="22"/>
          <w:lang w:val="fr-FR"/>
        </w:rPr>
        <w:t>exceptionne</w:t>
      </w:r>
      <w:r>
        <w:rPr>
          <w:rFonts w:ascii="Arial" w:hAnsi="Arial" w:cs="Arial"/>
          <w:bCs/>
          <w:sz w:val="22"/>
          <w:szCs w:val="22"/>
          <w:lang w:val="fr-FR"/>
        </w:rPr>
        <w:t>lle</w:t>
      </w:r>
      <w:r w:rsidRPr="00171531">
        <w:rPr>
          <w:rFonts w:ascii="Arial" w:hAnsi="Arial" w:cs="Arial"/>
          <w:bCs/>
          <w:sz w:val="22"/>
          <w:szCs w:val="22"/>
          <w:lang w:val="fr-FR"/>
        </w:rPr>
        <w:t>. L</w:t>
      </w:r>
      <w:r w:rsidR="008E532B">
        <w:rPr>
          <w:rFonts w:ascii="Arial" w:hAnsi="Arial" w:cs="Arial"/>
          <w:bCs/>
          <w:sz w:val="22"/>
          <w:szCs w:val="22"/>
          <w:lang w:val="fr-FR"/>
        </w:rPr>
        <w:t>’</w:t>
      </w:r>
      <w:r>
        <w:rPr>
          <w:rFonts w:ascii="Arial" w:hAnsi="Arial" w:cs="Arial"/>
          <w:bCs/>
          <w:sz w:val="22"/>
          <w:szCs w:val="22"/>
          <w:lang w:val="fr-FR"/>
        </w:rPr>
        <w:t xml:space="preserve">insertion de « sur une base </w:t>
      </w:r>
      <w:r w:rsidRPr="00171531">
        <w:rPr>
          <w:rFonts w:ascii="Arial" w:hAnsi="Arial" w:cs="Arial"/>
          <w:bCs/>
          <w:sz w:val="22"/>
          <w:szCs w:val="22"/>
          <w:lang w:val="fr-FR"/>
        </w:rPr>
        <w:t>exceptionne</w:t>
      </w:r>
      <w:r>
        <w:rPr>
          <w:rFonts w:ascii="Arial" w:hAnsi="Arial" w:cs="Arial"/>
          <w:bCs/>
          <w:sz w:val="22"/>
          <w:szCs w:val="22"/>
          <w:lang w:val="fr-FR"/>
        </w:rPr>
        <w:t xml:space="preserve">lle » </w:t>
      </w:r>
      <w:r w:rsidRPr="00171531">
        <w:rPr>
          <w:rFonts w:ascii="Arial" w:hAnsi="Arial" w:cs="Arial"/>
          <w:bCs/>
          <w:sz w:val="22"/>
          <w:szCs w:val="22"/>
          <w:lang w:val="fr-FR"/>
        </w:rPr>
        <w:t>tel</w:t>
      </w:r>
      <w:r>
        <w:rPr>
          <w:rFonts w:ascii="Arial" w:hAnsi="Arial" w:cs="Arial"/>
          <w:bCs/>
          <w:sz w:val="22"/>
          <w:szCs w:val="22"/>
          <w:lang w:val="fr-FR"/>
        </w:rPr>
        <w:t>le</w:t>
      </w:r>
      <w:r w:rsidRPr="00171531">
        <w:rPr>
          <w:rFonts w:ascii="Arial" w:hAnsi="Arial" w:cs="Arial"/>
          <w:bCs/>
          <w:sz w:val="22"/>
          <w:szCs w:val="22"/>
          <w:lang w:val="fr-FR"/>
        </w:rPr>
        <w:t xml:space="preserve"> qu</w:t>
      </w:r>
      <w:r w:rsidR="008E532B">
        <w:rPr>
          <w:rFonts w:ascii="Arial" w:hAnsi="Arial" w:cs="Arial"/>
          <w:bCs/>
          <w:sz w:val="22"/>
          <w:szCs w:val="22"/>
          <w:lang w:val="fr-FR"/>
        </w:rPr>
        <w:t>’</w:t>
      </w:r>
      <w:r>
        <w:rPr>
          <w:rFonts w:ascii="Arial" w:hAnsi="Arial" w:cs="Arial"/>
          <w:bCs/>
          <w:sz w:val="22"/>
          <w:szCs w:val="22"/>
          <w:lang w:val="fr-FR"/>
        </w:rPr>
        <w:t>elle</w:t>
      </w:r>
      <w:r w:rsidRPr="00171531">
        <w:rPr>
          <w:rFonts w:ascii="Arial" w:hAnsi="Arial" w:cs="Arial"/>
          <w:bCs/>
          <w:sz w:val="22"/>
          <w:szCs w:val="22"/>
          <w:lang w:val="fr-FR"/>
        </w:rPr>
        <w:t xml:space="preserve"> </w:t>
      </w:r>
      <w:r>
        <w:rPr>
          <w:rFonts w:ascii="Arial" w:hAnsi="Arial" w:cs="Arial"/>
          <w:bCs/>
          <w:sz w:val="22"/>
          <w:szCs w:val="22"/>
          <w:lang w:val="fr-FR"/>
        </w:rPr>
        <w:t>était</w:t>
      </w:r>
      <w:r w:rsidRPr="00171531">
        <w:rPr>
          <w:rFonts w:ascii="Arial" w:hAnsi="Arial" w:cs="Arial"/>
          <w:bCs/>
          <w:sz w:val="22"/>
          <w:szCs w:val="22"/>
          <w:lang w:val="fr-FR"/>
        </w:rPr>
        <w:t xml:space="preserve"> </w:t>
      </w:r>
      <w:r>
        <w:rPr>
          <w:rFonts w:ascii="Arial" w:hAnsi="Arial" w:cs="Arial"/>
          <w:bCs/>
          <w:sz w:val="22"/>
          <w:szCs w:val="22"/>
          <w:lang w:val="fr-FR"/>
        </w:rPr>
        <w:t>jusqu</w:t>
      </w:r>
      <w:r w:rsidR="008E532B">
        <w:rPr>
          <w:rFonts w:ascii="Arial" w:hAnsi="Arial" w:cs="Arial"/>
          <w:bCs/>
          <w:sz w:val="22"/>
          <w:szCs w:val="22"/>
          <w:lang w:val="fr-FR"/>
        </w:rPr>
        <w:t>’</w:t>
      </w:r>
      <w:r>
        <w:rPr>
          <w:rFonts w:ascii="Arial" w:hAnsi="Arial" w:cs="Arial"/>
          <w:bCs/>
          <w:sz w:val="22"/>
          <w:szCs w:val="22"/>
          <w:lang w:val="fr-FR"/>
        </w:rPr>
        <w:t xml:space="preserve">alors présentée </w:t>
      </w:r>
      <w:r w:rsidRPr="00171531">
        <w:rPr>
          <w:rFonts w:ascii="Arial" w:hAnsi="Arial" w:cs="Arial"/>
          <w:bCs/>
          <w:sz w:val="22"/>
          <w:szCs w:val="22"/>
          <w:lang w:val="fr-FR"/>
        </w:rPr>
        <w:t>impliquait que l</w:t>
      </w:r>
      <w:r w:rsidR="008E532B">
        <w:rPr>
          <w:rFonts w:ascii="Arial" w:hAnsi="Arial" w:cs="Arial"/>
          <w:bCs/>
          <w:sz w:val="22"/>
          <w:szCs w:val="22"/>
          <w:lang w:val="fr-FR"/>
        </w:rPr>
        <w:t>’</w:t>
      </w:r>
      <w:r w:rsidRPr="00171531">
        <w:rPr>
          <w:rFonts w:ascii="Arial" w:hAnsi="Arial" w:cs="Arial"/>
          <w:bCs/>
          <w:sz w:val="22"/>
          <w:szCs w:val="22"/>
          <w:lang w:val="fr-FR"/>
        </w:rPr>
        <w:t>Assemblée approuvait une procédure appliquée à titre exceptionnel.</w:t>
      </w:r>
    </w:p>
    <w:p w14:paraId="57E94A99" w14:textId="4F60697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E7D83">
        <w:rPr>
          <w:rFonts w:ascii="Arial" w:hAnsi="Arial" w:cs="Arial"/>
          <w:bCs/>
          <w:sz w:val="22"/>
          <w:szCs w:val="22"/>
          <w:lang w:val="fr-FR"/>
        </w:rPr>
        <w:t xml:space="preserve">La délégation de la </w:t>
      </w:r>
      <w:r w:rsidRPr="004E7D83">
        <w:rPr>
          <w:rFonts w:ascii="Arial" w:hAnsi="Arial" w:cs="Arial"/>
          <w:b/>
          <w:sz w:val="22"/>
          <w:szCs w:val="22"/>
          <w:lang w:val="fr-FR"/>
        </w:rPr>
        <w:t>Palestine</w:t>
      </w:r>
      <w:r w:rsidRPr="004E7D83">
        <w:rPr>
          <w:rFonts w:ascii="Arial" w:hAnsi="Arial" w:cs="Arial"/>
          <w:bCs/>
          <w:sz w:val="22"/>
          <w:szCs w:val="22"/>
          <w:lang w:val="fr-FR"/>
        </w:rPr>
        <w:t xml:space="preserve"> </w:t>
      </w:r>
      <w:r>
        <w:rPr>
          <w:rFonts w:ascii="Arial" w:hAnsi="Arial" w:cs="Arial"/>
          <w:bCs/>
          <w:sz w:val="22"/>
          <w:szCs w:val="22"/>
          <w:lang w:val="fr-FR"/>
        </w:rPr>
        <w:t xml:space="preserve">estimait </w:t>
      </w:r>
      <w:r w:rsidRPr="004E7D83">
        <w:rPr>
          <w:rFonts w:ascii="Arial" w:hAnsi="Arial" w:cs="Arial"/>
          <w:bCs/>
          <w:sz w:val="22"/>
          <w:szCs w:val="22"/>
          <w:lang w:val="fr-FR"/>
        </w:rPr>
        <w:t>qu</w:t>
      </w:r>
      <w:r w:rsidR="008E532B">
        <w:rPr>
          <w:rFonts w:ascii="Arial" w:hAnsi="Arial" w:cs="Arial"/>
          <w:bCs/>
          <w:sz w:val="22"/>
          <w:szCs w:val="22"/>
          <w:lang w:val="fr-FR"/>
        </w:rPr>
        <w:t>’</w:t>
      </w:r>
      <w:r w:rsidRPr="004E7D83">
        <w:rPr>
          <w:rFonts w:ascii="Arial" w:hAnsi="Arial" w:cs="Arial"/>
          <w:bCs/>
          <w:sz w:val="22"/>
          <w:szCs w:val="22"/>
          <w:lang w:val="fr-FR"/>
        </w:rPr>
        <w:t>il était du devoir de l</w:t>
      </w:r>
      <w:r w:rsidR="008E532B">
        <w:rPr>
          <w:rFonts w:ascii="Arial" w:hAnsi="Arial" w:cs="Arial"/>
          <w:bCs/>
          <w:sz w:val="22"/>
          <w:szCs w:val="22"/>
          <w:lang w:val="fr-FR"/>
        </w:rPr>
        <w:t>’</w:t>
      </w:r>
      <w:r w:rsidRPr="004E7D83">
        <w:rPr>
          <w:rFonts w:ascii="Arial" w:hAnsi="Arial" w:cs="Arial"/>
          <w:bCs/>
          <w:sz w:val="22"/>
          <w:szCs w:val="22"/>
          <w:lang w:val="fr-FR"/>
        </w:rPr>
        <w:t xml:space="preserve">Assemblée de dire si elle approuvait </w:t>
      </w:r>
      <w:r>
        <w:rPr>
          <w:rFonts w:ascii="Arial" w:hAnsi="Arial" w:cs="Arial"/>
          <w:bCs/>
          <w:sz w:val="22"/>
          <w:szCs w:val="22"/>
          <w:lang w:val="fr-FR"/>
        </w:rPr>
        <w:t>sur une</w:t>
      </w:r>
      <w:r w:rsidRPr="004E7D83">
        <w:rPr>
          <w:rFonts w:ascii="Arial" w:hAnsi="Arial" w:cs="Arial"/>
          <w:bCs/>
          <w:sz w:val="22"/>
          <w:szCs w:val="22"/>
          <w:lang w:val="fr-FR"/>
        </w:rPr>
        <w:t xml:space="preserve"> </w:t>
      </w:r>
      <w:r>
        <w:rPr>
          <w:rFonts w:ascii="Arial" w:hAnsi="Arial" w:cs="Arial"/>
          <w:bCs/>
          <w:sz w:val="22"/>
          <w:szCs w:val="22"/>
          <w:lang w:val="fr-FR"/>
        </w:rPr>
        <w:t xml:space="preserve">base </w:t>
      </w:r>
      <w:r w:rsidRPr="004E7D83">
        <w:rPr>
          <w:rFonts w:ascii="Arial" w:hAnsi="Arial" w:cs="Arial"/>
          <w:bCs/>
          <w:sz w:val="22"/>
          <w:szCs w:val="22"/>
          <w:lang w:val="fr-FR"/>
        </w:rPr>
        <w:t>exceptionnel</w:t>
      </w:r>
      <w:r>
        <w:rPr>
          <w:rFonts w:ascii="Arial" w:hAnsi="Arial" w:cs="Arial"/>
          <w:bCs/>
          <w:sz w:val="22"/>
          <w:szCs w:val="22"/>
          <w:lang w:val="fr-FR"/>
        </w:rPr>
        <w:t>le</w:t>
      </w:r>
      <w:r w:rsidRPr="004E7D83">
        <w:rPr>
          <w:rFonts w:ascii="Arial" w:hAnsi="Arial" w:cs="Arial"/>
          <w:bCs/>
          <w:sz w:val="22"/>
          <w:szCs w:val="22"/>
          <w:lang w:val="fr-FR"/>
        </w:rPr>
        <w:t xml:space="preserve"> ou non. La délégation </w:t>
      </w:r>
      <w:r>
        <w:rPr>
          <w:rFonts w:ascii="Arial" w:hAnsi="Arial" w:cs="Arial"/>
          <w:bCs/>
          <w:sz w:val="22"/>
          <w:szCs w:val="22"/>
          <w:lang w:val="fr-FR"/>
        </w:rPr>
        <w:t xml:space="preserve">comprenait </w:t>
      </w:r>
      <w:r w:rsidRPr="004E7D83">
        <w:rPr>
          <w:rFonts w:ascii="Arial" w:hAnsi="Arial" w:cs="Arial"/>
          <w:bCs/>
          <w:sz w:val="22"/>
          <w:szCs w:val="22"/>
          <w:lang w:val="fr-FR"/>
        </w:rPr>
        <w:t xml:space="preserve">que le Comité avait déjà suivi cette procédure </w:t>
      </w:r>
      <w:r>
        <w:rPr>
          <w:rFonts w:ascii="Arial" w:hAnsi="Arial" w:cs="Arial"/>
          <w:bCs/>
          <w:sz w:val="22"/>
          <w:szCs w:val="22"/>
          <w:lang w:val="fr-FR"/>
        </w:rPr>
        <w:t xml:space="preserve">sur une base </w:t>
      </w:r>
      <w:r w:rsidRPr="004E7D83">
        <w:rPr>
          <w:rFonts w:ascii="Arial" w:hAnsi="Arial" w:cs="Arial"/>
          <w:bCs/>
          <w:sz w:val="22"/>
          <w:szCs w:val="22"/>
          <w:lang w:val="fr-FR"/>
        </w:rPr>
        <w:t>exceptionnel</w:t>
      </w:r>
      <w:r>
        <w:rPr>
          <w:rFonts w:ascii="Arial" w:hAnsi="Arial" w:cs="Arial"/>
          <w:bCs/>
          <w:sz w:val="22"/>
          <w:szCs w:val="22"/>
          <w:lang w:val="fr-FR"/>
        </w:rPr>
        <w:t>le</w:t>
      </w:r>
      <w:r w:rsidRPr="004E7D83">
        <w:rPr>
          <w:rFonts w:ascii="Arial" w:hAnsi="Arial" w:cs="Arial"/>
          <w:bCs/>
          <w:sz w:val="22"/>
          <w:szCs w:val="22"/>
          <w:lang w:val="fr-FR"/>
        </w:rPr>
        <w:t>, comme mentionné</w:t>
      </w:r>
      <w:r>
        <w:rPr>
          <w:rFonts w:ascii="Arial" w:hAnsi="Arial" w:cs="Arial"/>
          <w:bCs/>
          <w:sz w:val="22"/>
          <w:szCs w:val="22"/>
          <w:lang w:val="fr-FR"/>
        </w:rPr>
        <w:t xml:space="preserve"> précédemment</w:t>
      </w:r>
      <w:r w:rsidRPr="004E7D83">
        <w:rPr>
          <w:rFonts w:ascii="Arial" w:hAnsi="Arial" w:cs="Arial"/>
          <w:bCs/>
          <w:sz w:val="22"/>
          <w:szCs w:val="22"/>
          <w:lang w:val="fr-FR"/>
        </w:rPr>
        <w:t>. L</w:t>
      </w:r>
      <w:r w:rsidR="008E532B">
        <w:rPr>
          <w:rFonts w:ascii="Arial" w:hAnsi="Arial" w:cs="Arial"/>
          <w:bCs/>
          <w:sz w:val="22"/>
          <w:szCs w:val="22"/>
          <w:lang w:val="fr-FR"/>
        </w:rPr>
        <w:t>’</w:t>
      </w:r>
      <w:r w:rsidRPr="004E7D83">
        <w:rPr>
          <w:rFonts w:ascii="Arial" w:hAnsi="Arial" w:cs="Arial"/>
          <w:bCs/>
          <w:sz w:val="22"/>
          <w:szCs w:val="22"/>
          <w:lang w:val="fr-FR"/>
        </w:rPr>
        <w:t xml:space="preserve">Assemblée </w:t>
      </w:r>
      <w:r>
        <w:rPr>
          <w:rFonts w:ascii="Arial" w:hAnsi="Arial" w:cs="Arial"/>
          <w:bCs/>
          <w:sz w:val="22"/>
          <w:szCs w:val="22"/>
          <w:lang w:val="fr-FR"/>
        </w:rPr>
        <w:t xml:space="preserve">approuvait </w:t>
      </w:r>
      <w:r w:rsidRPr="004E7D83">
        <w:rPr>
          <w:rFonts w:ascii="Arial" w:hAnsi="Arial" w:cs="Arial"/>
          <w:bCs/>
          <w:sz w:val="22"/>
          <w:szCs w:val="22"/>
          <w:lang w:val="fr-FR"/>
        </w:rPr>
        <w:t xml:space="preserve">également la procédure, mais </w:t>
      </w:r>
      <w:r>
        <w:rPr>
          <w:rFonts w:ascii="Arial" w:hAnsi="Arial" w:cs="Arial"/>
          <w:bCs/>
          <w:sz w:val="22"/>
          <w:szCs w:val="22"/>
          <w:lang w:val="fr-FR"/>
        </w:rPr>
        <w:t xml:space="preserve">sur une base </w:t>
      </w:r>
      <w:r w:rsidRPr="004E7D83">
        <w:rPr>
          <w:rFonts w:ascii="Arial" w:hAnsi="Arial" w:cs="Arial"/>
          <w:bCs/>
          <w:sz w:val="22"/>
          <w:szCs w:val="22"/>
          <w:lang w:val="fr-FR"/>
        </w:rPr>
        <w:t>exceptionnel</w:t>
      </w:r>
      <w:r>
        <w:rPr>
          <w:rFonts w:ascii="Arial" w:hAnsi="Arial" w:cs="Arial"/>
          <w:bCs/>
          <w:sz w:val="22"/>
          <w:szCs w:val="22"/>
          <w:lang w:val="fr-FR"/>
        </w:rPr>
        <w:t>le</w:t>
      </w:r>
      <w:r w:rsidRPr="004E7D83">
        <w:rPr>
          <w:rFonts w:ascii="Arial" w:hAnsi="Arial" w:cs="Arial"/>
          <w:bCs/>
          <w:sz w:val="22"/>
          <w:szCs w:val="22"/>
          <w:lang w:val="fr-FR"/>
        </w:rPr>
        <w:t xml:space="preserve">, car le souhait </w:t>
      </w:r>
      <w:r>
        <w:rPr>
          <w:rFonts w:ascii="Arial" w:hAnsi="Arial" w:cs="Arial"/>
          <w:bCs/>
          <w:sz w:val="22"/>
          <w:szCs w:val="22"/>
          <w:lang w:val="fr-FR"/>
        </w:rPr>
        <w:t xml:space="preserve">était </w:t>
      </w:r>
      <w:r w:rsidRPr="004E7D83">
        <w:rPr>
          <w:rFonts w:ascii="Arial" w:hAnsi="Arial" w:cs="Arial"/>
          <w:bCs/>
          <w:sz w:val="22"/>
          <w:szCs w:val="22"/>
          <w:lang w:val="fr-FR"/>
        </w:rPr>
        <w:t>que de telles procédures soient re</w:t>
      </w:r>
      <w:r>
        <w:rPr>
          <w:rFonts w:ascii="Arial" w:hAnsi="Arial" w:cs="Arial"/>
          <w:bCs/>
          <w:sz w:val="22"/>
          <w:szCs w:val="22"/>
          <w:lang w:val="fr-FR"/>
        </w:rPr>
        <w:t>prises</w:t>
      </w:r>
      <w:r w:rsidRPr="004E7D83">
        <w:rPr>
          <w:rFonts w:ascii="Arial" w:hAnsi="Arial" w:cs="Arial"/>
          <w:bCs/>
          <w:sz w:val="22"/>
          <w:szCs w:val="22"/>
          <w:lang w:val="fr-FR"/>
        </w:rPr>
        <w:t xml:space="preserve"> dans les </w:t>
      </w:r>
      <w:r>
        <w:rPr>
          <w:rFonts w:ascii="Arial" w:hAnsi="Arial" w:cs="Arial"/>
          <w:bCs/>
          <w:sz w:val="22"/>
          <w:szCs w:val="22"/>
          <w:lang w:val="fr-FR"/>
        </w:rPr>
        <w:t>D</w:t>
      </w:r>
      <w:r w:rsidRPr="004E7D83">
        <w:rPr>
          <w:rFonts w:ascii="Arial" w:hAnsi="Arial" w:cs="Arial"/>
          <w:bCs/>
          <w:sz w:val="22"/>
          <w:szCs w:val="22"/>
          <w:lang w:val="fr-FR"/>
        </w:rPr>
        <w:t>irectives opérationnelles [à l</w:t>
      </w:r>
      <w:r w:rsidR="008E532B">
        <w:rPr>
          <w:rFonts w:ascii="Arial" w:hAnsi="Arial" w:cs="Arial"/>
          <w:bCs/>
          <w:sz w:val="22"/>
          <w:szCs w:val="22"/>
          <w:lang w:val="fr-FR"/>
        </w:rPr>
        <w:t>’</w:t>
      </w:r>
      <w:r w:rsidRPr="004E7D83">
        <w:rPr>
          <w:rFonts w:ascii="Arial" w:hAnsi="Arial" w:cs="Arial"/>
          <w:bCs/>
          <w:sz w:val="22"/>
          <w:szCs w:val="22"/>
          <w:lang w:val="fr-FR"/>
        </w:rPr>
        <w:t xml:space="preserve">avenir]. </w:t>
      </w:r>
      <w:r>
        <w:rPr>
          <w:rFonts w:ascii="Arial" w:hAnsi="Arial" w:cs="Arial"/>
          <w:bCs/>
          <w:sz w:val="22"/>
          <w:szCs w:val="22"/>
          <w:lang w:val="fr-FR"/>
        </w:rPr>
        <w:t>U</w:t>
      </w:r>
      <w:r w:rsidRPr="004E7D83">
        <w:rPr>
          <w:rFonts w:ascii="Arial" w:hAnsi="Arial" w:cs="Arial"/>
          <w:bCs/>
          <w:sz w:val="22"/>
          <w:szCs w:val="22"/>
          <w:lang w:val="fr-FR"/>
        </w:rPr>
        <w:t xml:space="preserve">n mécanisme clair </w:t>
      </w:r>
      <w:r>
        <w:rPr>
          <w:rFonts w:ascii="Arial" w:hAnsi="Arial" w:cs="Arial"/>
          <w:bCs/>
          <w:sz w:val="22"/>
          <w:szCs w:val="22"/>
          <w:lang w:val="fr-FR"/>
        </w:rPr>
        <w:t xml:space="preserve">devrait être défini </w:t>
      </w:r>
      <w:r w:rsidRPr="004E7D83">
        <w:rPr>
          <w:rFonts w:ascii="Arial" w:hAnsi="Arial" w:cs="Arial"/>
          <w:bCs/>
          <w:sz w:val="22"/>
          <w:szCs w:val="22"/>
          <w:lang w:val="fr-FR"/>
        </w:rPr>
        <w:t xml:space="preserve">afin que </w:t>
      </w:r>
      <w:r>
        <w:rPr>
          <w:rFonts w:ascii="Arial" w:hAnsi="Arial" w:cs="Arial"/>
          <w:bCs/>
          <w:sz w:val="22"/>
          <w:szCs w:val="22"/>
          <w:lang w:val="fr-FR"/>
        </w:rPr>
        <w:t>d</w:t>
      </w:r>
      <w:r w:rsidRPr="004E7D83">
        <w:rPr>
          <w:rFonts w:ascii="Arial" w:hAnsi="Arial" w:cs="Arial"/>
          <w:bCs/>
          <w:sz w:val="22"/>
          <w:szCs w:val="22"/>
          <w:lang w:val="fr-FR"/>
        </w:rPr>
        <w:t>es exceptions ne se produisent pas tout le temps. La délégation p</w:t>
      </w:r>
      <w:r>
        <w:rPr>
          <w:rFonts w:ascii="Arial" w:hAnsi="Arial" w:cs="Arial"/>
          <w:bCs/>
          <w:sz w:val="22"/>
          <w:szCs w:val="22"/>
          <w:lang w:val="fr-FR"/>
        </w:rPr>
        <w:t xml:space="preserve">ouvait </w:t>
      </w:r>
      <w:r w:rsidRPr="004E7D83">
        <w:rPr>
          <w:rFonts w:ascii="Arial" w:hAnsi="Arial" w:cs="Arial"/>
          <w:bCs/>
          <w:sz w:val="22"/>
          <w:szCs w:val="22"/>
          <w:lang w:val="fr-FR"/>
        </w:rPr>
        <w:t>accepter l</w:t>
      </w:r>
      <w:r w:rsidR="008E532B">
        <w:rPr>
          <w:rFonts w:ascii="Arial" w:hAnsi="Arial" w:cs="Arial"/>
          <w:bCs/>
          <w:sz w:val="22"/>
          <w:szCs w:val="22"/>
          <w:lang w:val="fr-FR"/>
        </w:rPr>
        <w:t>’</w:t>
      </w:r>
      <w:r w:rsidRPr="004E7D83">
        <w:rPr>
          <w:rFonts w:ascii="Arial" w:hAnsi="Arial" w:cs="Arial"/>
          <w:bCs/>
          <w:sz w:val="22"/>
          <w:szCs w:val="22"/>
          <w:lang w:val="fr-FR"/>
        </w:rPr>
        <w:t xml:space="preserve">amendement </w:t>
      </w:r>
      <w:r>
        <w:rPr>
          <w:rFonts w:ascii="Arial" w:hAnsi="Arial" w:cs="Arial"/>
          <w:bCs/>
          <w:sz w:val="22"/>
          <w:szCs w:val="22"/>
          <w:lang w:val="fr-FR"/>
        </w:rPr>
        <w:t>ainsi rédigé : « </w:t>
      </w:r>
      <w:r w:rsidRPr="004E7D83">
        <w:rPr>
          <w:rFonts w:ascii="Arial" w:hAnsi="Arial" w:cs="Arial"/>
          <w:bCs/>
          <w:sz w:val="22"/>
          <w:szCs w:val="22"/>
          <w:lang w:val="fr-FR"/>
        </w:rPr>
        <w:t xml:space="preserve">Approuve, </w:t>
      </w:r>
      <w:r>
        <w:rPr>
          <w:rFonts w:ascii="Arial" w:hAnsi="Arial" w:cs="Arial"/>
          <w:bCs/>
          <w:sz w:val="22"/>
          <w:szCs w:val="22"/>
          <w:lang w:val="fr-FR"/>
        </w:rPr>
        <w:t xml:space="preserve">sur une base </w:t>
      </w:r>
      <w:r w:rsidRPr="00901BE9">
        <w:rPr>
          <w:rFonts w:ascii="Arial" w:hAnsi="Arial" w:cs="Arial"/>
          <w:bCs/>
          <w:sz w:val="22"/>
          <w:szCs w:val="22"/>
          <w:lang w:val="fr-FR"/>
        </w:rPr>
        <w:t>exceptionne</w:t>
      </w:r>
      <w:r>
        <w:rPr>
          <w:rFonts w:ascii="Arial" w:hAnsi="Arial" w:cs="Arial"/>
          <w:bCs/>
          <w:sz w:val="22"/>
          <w:szCs w:val="22"/>
          <w:lang w:val="fr-FR"/>
        </w:rPr>
        <w:t>lle</w:t>
      </w:r>
      <w:r w:rsidRPr="004E7D83">
        <w:rPr>
          <w:rFonts w:ascii="Arial" w:hAnsi="Arial" w:cs="Arial"/>
          <w:bCs/>
          <w:sz w:val="22"/>
          <w:szCs w:val="22"/>
          <w:lang w:val="fr-FR"/>
        </w:rPr>
        <w:t>, la procédure</w:t>
      </w:r>
      <w:r>
        <w:rPr>
          <w:rFonts w:ascii="Arial" w:hAnsi="Arial" w:cs="Arial"/>
          <w:bCs/>
          <w:sz w:val="22"/>
          <w:szCs w:val="22"/>
          <w:lang w:val="fr-FR"/>
        </w:rPr>
        <w:t> ».</w:t>
      </w:r>
    </w:p>
    <w:p w14:paraId="2BDFAB85" w14:textId="4444BD2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01BE9">
        <w:rPr>
          <w:rFonts w:ascii="Arial" w:hAnsi="Arial" w:cs="Arial"/>
          <w:bCs/>
          <w:sz w:val="22"/>
          <w:szCs w:val="22"/>
          <w:lang w:val="fr-FR"/>
        </w:rPr>
        <w:t>La délégation de l</w:t>
      </w:r>
      <w:r w:rsidR="008E532B">
        <w:rPr>
          <w:rFonts w:ascii="Arial" w:hAnsi="Arial" w:cs="Arial"/>
          <w:bCs/>
          <w:sz w:val="22"/>
          <w:szCs w:val="22"/>
          <w:lang w:val="fr-FR"/>
        </w:rPr>
        <w:t>’</w:t>
      </w:r>
      <w:r w:rsidRPr="00901BE9">
        <w:rPr>
          <w:rFonts w:ascii="Arial" w:hAnsi="Arial" w:cs="Arial"/>
          <w:b/>
          <w:sz w:val="22"/>
          <w:szCs w:val="22"/>
          <w:lang w:val="fr-FR"/>
        </w:rPr>
        <w:t>Uruguay</w:t>
      </w:r>
      <w:r w:rsidRPr="00901BE9">
        <w:rPr>
          <w:rFonts w:ascii="Arial" w:hAnsi="Arial" w:cs="Arial"/>
          <w:bCs/>
          <w:sz w:val="22"/>
          <w:szCs w:val="22"/>
          <w:lang w:val="fr-FR"/>
        </w:rPr>
        <w:t xml:space="preserve"> a fait remarquer que pour parvenir à un consensus, </w:t>
      </w:r>
      <w:r>
        <w:rPr>
          <w:rFonts w:ascii="Arial" w:hAnsi="Arial" w:cs="Arial"/>
          <w:bCs/>
          <w:sz w:val="22"/>
          <w:szCs w:val="22"/>
          <w:lang w:val="fr-FR"/>
        </w:rPr>
        <w:t xml:space="preserve">chacun </w:t>
      </w:r>
      <w:r w:rsidRPr="00901BE9">
        <w:rPr>
          <w:rFonts w:ascii="Arial" w:hAnsi="Arial" w:cs="Arial"/>
          <w:bCs/>
          <w:sz w:val="22"/>
          <w:szCs w:val="22"/>
          <w:lang w:val="fr-FR"/>
        </w:rPr>
        <w:t>devait se rapprocher</w:t>
      </w:r>
      <w:r>
        <w:rPr>
          <w:rFonts w:ascii="Arial" w:hAnsi="Arial" w:cs="Arial"/>
          <w:bCs/>
          <w:sz w:val="22"/>
          <w:szCs w:val="22"/>
          <w:lang w:val="fr-FR"/>
        </w:rPr>
        <w:t xml:space="preserve"> de l</w:t>
      </w:r>
      <w:r w:rsidR="008E532B">
        <w:rPr>
          <w:rFonts w:ascii="Arial" w:hAnsi="Arial" w:cs="Arial"/>
          <w:bCs/>
          <w:sz w:val="22"/>
          <w:szCs w:val="22"/>
          <w:lang w:val="fr-FR"/>
        </w:rPr>
        <w:t>’</w:t>
      </w:r>
      <w:r>
        <w:rPr>
          <w:rFonts w:ascii="Arial" w:hAnsi="Arial" w:cs="Arial"/>
          <w:bCs/>
          <w:sz w:val="22"/>
          <w:szCs w:val="22"/>
          <w:lang w:val="fr-FR"/>
        </w:rPr>
        <w:t>autre</w:t>
      </w:r>
      <w:r w:rsidRPr="00901BE9">
        <w:rPr>
          <w:rFonts w:ascii="Arial" w:hAnsi="Arial" w:cs="Arial"/>
          <w:bCs/>
          <w:sz w:val="22"/>
          <w:szCs w:val="22"/>
          <w:lang w:val="fr-FR"/>
        </w:rPr>
        <w:t>. L</w:t>
      </w:r>
      <w:r w:rsidR="008E532B">
        <w:rPr>
          <w:rFonts w:ascii="Arial" w:hAnsi="Arial" w:cs="Arial"/>
          <w:bCs/>
          <w:sz w:val="22"/>
          <w:szCs w:val="22"/>
          <w:lang w:val="fr-FR"/>
        </w:rPr>
        <w:t>’</w:t>
      </w:r>
      <w:r w:rsidRPr="00901BE9">
        <w:rPr>
          <w:rFonts w:ascii="Arial" w:hAnsi="Arial" w:cs="Arial"/>
          <w:bCs/>
          <w:sz w:val="22"/>
          <w:szCs w:val="22"/>
          <w:lang w:val="fr-FR"/>
        </w:rPr>
        <w:t>Uruguay n</w:t>
      </w:r>
      <w:r w:rsidR="008E532B">
        <w:rPr>
          <w:rFonts w:ascii="Arial" w:hAnsi="Arial" w:cs="Arial"/>
          <w:bCs/>
          <w:sz w:val="22"/>
          <w:szCs w:val="22"/>
          <w:lang w:val="fr-FR"/>
        </w:rPr>
        <w:t>’</w:t>
      </w:r>
      <w:r w:rsidRPr="00901BE9">
        <w:rPr>
          <w:rFonts w:ascii="Arial" w:hAnsi="Arial" w:cs="Arial"/>
          <w:bCs/>
          <w:sz w:val="22"/>
          <w:szCs w:val="22"/>
          <w:lang w:val="fr-FR"/>
        </w:rPr>
        <w:t>avait aucune difficulté à accepter la proposition de la Palestine, ajoutant qu</w:t>
      </w:r>
      <w:r w:rsidR="008E532B">
        <w:rPr>
          <w:rFonts w:ascii="Arial" w:hAnsi="Arial" w:cs="Arial"/>
          <w:bCs/>
          <w:sz w:val="22"/>
          <w:szCs w:val="22"/>
          <w:lang w:val="fr-FR"/>
        </w:rPr>
        <w:t>’</w:t>
      </w:r>
      <w:r w:rsidRPr="00901BE9">
        <w:rPr>
          <w:rFonts w:ascii="Arial" w:hAnsi="Arial" w:cs="Arial"/>
          <w:bCs/>
          <w:sz w:val="22"/>
          <w:szCs w:val="22"/>
          <w:lang w:val="fr-FR"/>
        </w:rPr>
        <w:t xml:space="preserve">une </w:t>
      </w:r>
      <w:r>
        <w:rPr>
          <w:rFonts w:ascii="Arial" w:hAnsi="Arial" w:cs="Arial"/>
          <w:bCs/>
          <w:sz w:val="22"/>
          <w:szCs w:val="22"/>
          <w:lang w:val="fr-FR"/>
        </w:rPr>
        <w:t>« </w:t>
      </w:r>
      <w:r w:rsidRPr="00901BE9">
        <w:rPr>
          <w:rFonts w:ascii="Arial" w:hAnsi="Arial" w:cs="Arial"/>
          <w:bCs/>
          <w:sz w:val="22"/>
          <w:szCs w:val="22"/>
          <w:lang w:val="fr-FR"/>
        </w:rPr>
        <w:t>base exceptionnelle</w:t>
      </w:r>
      <w:r>
        <w:rPr>
          <w:rFonts w:ascii="Arial" w:hAnsi="Arial" w:cs="Arial"/>
          <w:bCs/>
          <w:sz w:val="22"/>
          <w:szCs w:val="22"/>
          <w:lang w:val="fr-FR"/>
        </w:rPr>
        <w:t> »</w:t>
      </w:r>
      <w:r w:rsidRPr="00901BE9">
        <w:rPr>
          <w:rFonts w:ascii="Arial" w:hAnsi="Arial" w:cs="Arial"/>
          <w:bCs/>
          <w:sz w:val="22"/>
          <w:szCs w:val="22"/>
          <w:lang w:val="fr-FR"/>
        </w:rPr>
        <w:t xml:space="preserve"> pouvait être citée deux fois si cela permettait d</w:t>
      </w:r>
      <w:r w:rsidR="008E532B">
        <w:rPr>
          <w:rFonts w:ascii="Arial" w:hAnsi="Arial" w:cs="Arial"/>
          <w:bCs/>
          <w:sz w:val="22"/>
          <w:szCs w:val="22"/>
          <w:lang w:val="fr-FR"/>
        </w:rPr>
        <w:t>’</w:t>
      </w:r>
      <w:r w:rsidRPr="00901BE9">
        <w:rPr>
          <w:rFonts w:ascii="Arial" w:hAnsi="Arial" w:cs="Arial"/>
          <w:bCs/>
          <w:sz w:val="22"/>
          <w:szCs w:val="22"/>
          <w:lang w:val="fr-FR"/>
        </w:rPr>
        <w:t>avancer et de fermer la porte à toute situation exceptionnelle à l</w:t>
      </w:r>
      <w:r w:rsidR="008E532B">
        <w:rPr>
          <w:rFonts w:ascii="Arial" w:hAnsi="Arial" w:cs="Arial"/>
          <w:bCs/>
          <w:sz w:val="22"/>
          <w:szCs w:val="22"/>
          <w:lang w:val="fr-FR"/>
        </w:rPr>
        <w:t>’</w:t>
      </w:r>
      <w:r w:rsidRPr="00901BE9">
        <w:rPr>
          <w:rFonts w:ascii="Arial" w:hAnsi="Arial" w:cs="Arial"/>
          <w:bCs/>
          <w:sz w:val="22"/>
          <w:szCs w:val="22"/>
          <w:lang w:val="fr-FR"/>
        </w:rPr>
        <w:t xml:space="preserve">avenir, qui bénéficierait </w:t>
      </w:r>
      <w:r>
        <w:rPr>
          <w:rFonts w:ascii="Arial" w:hAnsi="Arial" w:cs="Arial"/>
          <w:bCs/>
          <w:sz w:val="22"/>
          <w:szCs w:val="22"/>
          <w:lang w:val="fr-FR"/>
        </w:rPr>
        <w:t xml:space="preserve">de toute façon </w:t>
      </w:r>
      <w:r w:rsidRPr="00901BE9">
        <w:rPr>
          <w:rFonts w:ascii="Arial" w:hAnsi="Arial" w:cs="Arial"/>
          <w:bCs/>
          <w:sz w:val="22"/>
          <w:szCs w:val="22"/>
          <w:lang w:val="fr-FR"/>
        </w:rPr>
        <w:t>d</w:t>
      </w:r>
      <w:r w:rsidR="008E532B">
        <w:rPr>
          <w:rFonts w:ascii="Arial" w:hAnsi="Arial" w:cs="Arial"/>
          <w:bCs/>
          <w:sz w:val="22"/>
          <w:szCs w:val="22"/>
          <w:lang w:val="fr-FR"/>
        </w:rPr>
        <w:t>’</w:t>
      </w:r>
      <w:r w:rsidRPr="00901BE9">
        <w:rPr>
          <w:rFonts w:ascii="Arial" w:hAnsi="Arial" w:cs="Arial"/>
          <w:bCs/>
          <w:sz w:val="22"/>
          <w:szCs w:val="22"/>
          <w:lang w:val="fr-FR"/>
        </w:rPr>
        <w:t>un cadre spécifique.</w:t>
      </w:r>
    </w:p>
    <w:p w14:paraId="3EC3E249" w14:textId="345EB7F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01BE9">
        <w:rPr>
          <w:rFonts w:ascii="Arial" w:hAnsi="Arial" w:cs="Arial"/>
          <w:bCs/>
          <w:sz w:val="22"/>
          <w:szCs w:val="22"/>
          <w:lang w:val="fr-FR"/>
        </w:rPr>
        <w:t xml:space="preserve">La délégation du </w:t>
      </w:r>
      <w:r w:rsidRPr="00901BE9">
        <w:rPr>
          <w:rFonts w:ascii="Arial" w:hAnsi="Arial" w:cs="Arial"/>
          <w:b/>
          <w:sz w:val="22"/>
          <w:szCs w:val="22"/>
          <w:lang w:val="fr-FR"/>
        </w:rPr>
        <w:t>Pérou</w:t>
      </w:r>
      <w:r w:rsidRPr="00901BE9">
        <w:rPr>
          <w:rFonts w:ascii="Arial" w:hAnsi="Arial" w:cs="Arial"/>
          <w:bCs/>
          <w:sz w:val="22"/>
          <w:szCs w:val="22"/>
          <w:lang w:val="fr-FR"/>
        </w:rPr>
        <w:t xml:space="preserve"> estim</w:t>
      </w:r>
      <w:r>
        <w:rPr>
          <w:rFonts w:ascii="Arial" w:hAnsi="Arial" w:cs="Arial"/>
          <w:bCs/>
          <w:sz w:val="22"/>
          <w:szCs w:val="22"/>
          <w:lang w:val="fr-FR"/>
        </w:rPr>
        <w:t>ait</w:t>
      </w:r>
      <w:r w:rsidRPr="00901BE9">
        <w:rPr>
          <w:rFonts w:ascii="Arial" w:hAnsi="Arial" w:cs="Arial"/>
          <w:bCs/>
          <w:sz w:val="22"/>
          <w:szCs w:val="22"/>
          <w:lang w:val="fr-FR"/>
        </w:rPr>
        <w:t xml:space="preserve"> que tous les États parties souhait</w:t>
      </w:r>
      <w:r>
        <w:rPr>
          <w:rFonts w:ascii="Arial" w:hAnsi="Arial" w:cs="Arial"/>
          <w:bCs/>
          <w:sz w:val="22"/>
          <w:szCs w:val="22"/>
          <w:lang w:val="fr-FR"/>
        </w:rPr>
        <w:t>ai</w:t>
      </w:r>
      <w:r w:rsidRPr="00901BE9">
        <w:rPr>
          <w:rFonts w:ascii="Arial" w:hAnsi="Arial" w:cs="Arial"/>
          <w:bCs/>
          <w:sz w:val="22"/>
          <w:szCs w:val="22"/>
          <w:lang w:val="fr-FR"/>
        </w:rPr>
        <w:t>ent célébrer et féliciter Haïti pour cette inscription. Ainsi, tout amendement qui s</w:t>
      </w:r>
      <w:r>
        <w:rPr>
          <w:rFonts w:ascii="Arial" w:hAnsi="Arial" w:cs="Arial"/>
          <w:bCs/>
          <w:sz w:val="22"/>
          <w:szCs w:val="22"/>
          <w:lang w:val="fr-FR"/>
        </w:rPr>
        <w:t>usciterait</w:t>
      </w:r>
      <w:r w:rsidRPr="00901BE9">
        <w:rPr>
          <w:rFonts w:ascii="Arial" w:hAnsi="Arial" w:cs="Arial"/>
          <w:bCs/>
          <w:sz w:val="22"/>
          <w:szCs w:val="22"/>
          <w:lang w:val="fr-FR"/>
        </w:rPr>
        <w:t xml:space="preserve"> des doutes quant à la légalité du processus et des procédures suivies par le Comité, dont le Pérou </w:t>
      </w:r>
      <w:r>
        <w:rPr>
          <w:rFonts w:ascii="Arial" w:hAnsi="Arial" w:cs="Arial"/>
          <w:bCs/>
          <w:sz w:val="22"/>
          <w:szCs w:val="22"/>
          <w:lang w:val="fr-FR"/>
        </w:rPr>
        <w:t>était</w:t>
      </w:r>
      <w:r w:rsidRPr="00901BE9">
        <w:rPr>
          <w:rFonts w:ascii="Arial" w:hAnsi="Arial" w:cs="Arial"/>
          <w:bCs/>
          <w:sz w:val="22"/>
          <w:szCs w:val="22"/>
          <w:lang w:val="fr-FR"/>
        </w:rPr>
        <w:t xml:space="preserve"> membre, porterait atteinte à la décision qui a</w:t>
      </w:r>
      <w:r>
        <w:rPr>
          <w:rFonts w:ascii="Arial" w:hAnsi="Arial" w:cs="Arial"/>
          <w:bCs/>
          <w:sz w:val="22"/>
          <w:szCs w:val="22"/>
          <w:lang w:val="fr-FR"/>
        </w:rPr>
        <w:t>vait</w:t>
      </w:r>
      <w:r w:rsidRPr="00901BE9">
        <w:rPr>
          <w:rFonts w:ascii="Arial" w:hAnsi="Arial" w:cs="Arial"/>
          <w:bCs/>
          <w:sz w:val="22"/>
          <w:szCs w:val="22"/>
          <w:lang w:val="fr-FR"/>
        </w:rPr>
        <w:t xml:space="preserve"> été fermement prise par le Comité, comme l</w:t>
      </w:r>
      <w:r w:rsidR="008E532B">
        <w:rPr>
          <w:rFonts w:ascii="Arial" w:hAnsi="Arial" w:cs="Arial"/>
          <w:bCs/>
          <w:sz w:val="22"/>
          <w:szCs w:val="22"/>
          <w:lang w:val="fr-FR"/>
        </w:rPr>
        <w:t>’</w:t>
      </w:r>
      <w:r w:rsidRPr="00901BE9">
        <w:rPr>
          <w:rFonts w:ascii="Arial" w:hAnsi="Arial" w:cs="Arial"/>
          <w:bCs/>
          <w:sz w:val="22"/>
          <w:szCs w:val="22"/>
          <w:lang w:val="fr-FR"/>
        </w:rPr>
        <w:t>a</w:t>
      </w:r>
      <w:r>
        <w:rPr>
          <w:rFonts w:ascii="Arial" w:hAnsi="Arial" w:cs="Arial"/>
          <w:bCs/>
          <w:sz w:val="22"/>
          <w:szCs w:val="22"/>
          <w:lang w:val="fr-FR"/>
        </w:rPr>
        <w:t>vait</w:t>
      </w:r>
      <w:r w:rsidRPr="00901BE9">
        <w:rPr>
          <w:rFonts w:ascii="Arial" w:hAnsi="Arial" w:cs="Arial"/>
          <w:bCs/>
          <w:sz w:val="22"/>
          <w:szCs w:val="22"/>
          <w:lang w:val="fr-FR"/>
        </w:rPr>
        <w:t xml:space="preserve"> mentionné à juste titre la Pologne. L</w:t>
      </w:r>
      <w:r w:rsidR="008E532B">
        <w:rPr>
          <w:rFonts w:ascii="Arial" w:hAnsi="Arial" w:cs="Arial"/>
          <w:bCs/>
          <w:sz w:val="22"/>
          <w:szCs w:val="22"/>
          <w:lang w:val="fr-FR"/>
        </w:rPr>
        <w:t>’</w:t>
      </w:r>
      <w:r w:rsidRPr="00901BE9">
        <w:rPr>
          <w:rFonts w:ascii="Arial" w:hAnsi="Arial" w:cs="Arial"/>
          <w:bCs/>
          <w:sz w:val="22"/>
          <w:szCs w:val="22"/>
          <w:lang w:val="fr-FR"/>
        </w:rPr>
        <w:t>amendement de la Palestine n</w:t>
      </w:r>
      <w:r>
        <w:rPr>
          <w:rFonts w:ascii="Arial" w:hAnsi="Arial" w:cs="Arial"/>
          <w:bCs/>
          <w:sz w:val="22"/>
          <w:szCs w:val="22"/>
          <w:lang w:val="fr-FR"/>
        </w:rPr>
        <w:t xml:space="preserve">e </w:t>
      </w:r>
      <w:r w:rsidRPr="00901BE9">
        <w:rPr>
          <w:rFonts w:ascii="Arial" w:hAnsi="Arial" w:cs="Arial"/>
          <w:bCs/>
          <w:sz w:val="22"/>
          <w:szCs w:val="22"/>
          <w:lang w:val="fr-FR"/>
        </w:rPr>
        <w:t>contribu</w:t>
      </w:r>
      <w:r>
        <w:rPr>
          <w:rFonts w:ascii="Arial" w:hAnsi="Arial" w:cs="Arial"/>
          <w:bCs/>
          <w:sz w:val="22"/>
          <w:szCs w:val="22"/>
          <w:lang w:val="fr-FR"/>
        </w:rPr>
        <w:t>ait pas</w:t>
      </w:r>
      <w:r w:rsidRPr="00901BE9">
        <w:rPr>
          <w:rFonts w:ascii="Arial" w:hAnsi="Arial" w:cs="Arial"/>
          <w:bCs/>
          <w:sz w:val="22"/>
          <w:szCs w:val="22"/>
          <w:lang w:val="fr-FR"/>
        </w:rPr>
        <w:t xml:space="preserve"> à créer une atmosphère de fête et </w:t>
      </w:r>
      <w:r>
        <w:rPr>
          <w:rFonts w:ascii="Arial" w:hAnsi="Arial" w:cs="Arial"/>
          <w:bCs/>
          <w:sz w:val="22"/>
          <w:szCs w:val="22"/>
          <w:lang w:val="fr-FR"/>
        </w:rPr>
        <w:t xml:space="preserve">la </w:t>
      </w:r>
      <w:r w:rsidRPr="00901BE9">
        <w:rPr>
          <w:rFonts w:ascii="Arial" w:hAnsi="Arial" w:cs="Arial"/>
          <w:bCs/>
          <w:sz w:val="22"/>
          <w:szCs w:val="22"/>
          <w:lang w:val="fr-FR"/>
        </w:rPr>
        <w:t>délégation</w:t>
      </w:r>
      <w:r>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acceptait pas</w:t>
      </w:r>
      <w:r w:rsidRPr="00901BE9">
        <w:rPr>
          <w:rFonts w:ascii="Arial" w:hAnsi="Arial" w:cs="Arial"/>
          <w:bCs/>
          <w:sz w:val="22"/>
          <w:szCs w:val="22"/>
          <w:lang w:val="fr-FR"/>
        </w:rPr>
        <w:t xml:space="preserve"> </w:t>
      </w:r>
      <w:r>
        <w:rPr>
          <w:rFonts w:ascii="Arial" w:hAnsi="Arial" w:cs="Arial"/>
          <w:bCs/>
          <w:sz w:val="22"/>
          <w:szCs w:val="22"/>
          <w:lang w:val="fr-FR"/>
        </w:rPr>
        <w:t>d</w:t>
      </w:r>
      <w:r w:rsidR="008E532B">
        <w:rPr>
          <w:rFonts w:ascii="Arial" w:hAnsi="Arial" w:cs="Arial"/>
          <w:bCs/>
          <w:sz w:val="22"/>
          <w:szCs w:val="22"/>
          <w:lang w:val="fr-FR"/>
        </w:rPr>
        <w:t>’</w:t>
      </w:r>
      <w:r>
        <w:rPr>
          <w:rFonts w:ascii="Arial" w:hAnsi="Arial" w:cs="Arial"/>
          <w:bCs/>
          <w:sz w:val="22"/>
          <w:szCs w:val="22"/>
          <w:lang w:val="fr-FR"/>
        </w:rPr>
        <w:t>insérer</w:t>
      </w:r>
      <w:r w:rsidRPr="00901BE9">
        <w:rPr>
          <w:rFonts w:ascii="Arial" w:hAnsi="Arial" w:cs="Arial"/>
          <w:bCs/>
          <w:sz w:val="22"/>
          <w:szCs w:val="22"/>
          <w:lang w:val="fr-FR"/>
        </w:rPr>
        <w:t xml:space="preserve"> </w:t>
      </w:r>
      <w:r>
        <w:rPr>
          <w:rFonts w:ascii="Arial" w:hAnsi="Arial" w:cs="Arial"/>
          <w:bCs/>
          <w:sz w:val="22"/>
          <w:szCs w:val="22"/>
          <w:lang w:val="fr-FR"/>
        </w:rPr>
        <w:t>« sur une base</w:t>
      </w:r>
      <w:r w:rsidRPr="00901BE9">
        <w:rPr>
          <w:rFonts w:ascii="Arial" w:hAnsi="Arial" w:cs="Arial"/>
          <w:bCs/>
          <w:sz w:val="22"/>
          <w:szCs w:val="22"/>
          <w:lang w:val="fr-FR"/>
        </w:rPr>
        <w:t xml:space="preserve"> exceptionnel</w:t>
      </w:r>
      <w:r>
        <w:rPr>
          <w:rFonts w:ascii="Arial" w:hAnsi="Arial" w:cs="Arial"/>
          <w:bCs/>
          <w:sz w:val="22"/>
          <w:szCs w:val="22"/>
          <w:lang w:val="fr-FR"/>
        </w:rPr>
        <w:t xml:space="preserve">le » </w:t>
      </w:r>
      <w:r w:rsidRPr="00901BE9">
        <w:rPr>
          <w:rFonts w:ascii="Arial" w:hAnsi="Arial" w:cs="Arial"/>
          <w:bCs/>
          <w:sz w:val="22"/>
          <w:szCs w:val="22"/>
          <w:lang w:val="fr-FR"/>
        </w:rPr>
        <w:t xml:space="preserve">après </w:t>
      </w:r>
      <w:r>
        <w:rPr>
          <w:rFonts w:ascii="Arial" w:hAnsi="Arial" w:cs="Arial"/>
          <w:bCs/>
          <w:sz w:val="22"/>
          <w:szCs w:val="22"/>
          <w:lang w:val="fr-FR"/>
        </w:rPr>
        <w:t>« </w:t>
      </w:r>
      <w:r w:rsidRPr="00901BE9">
        <w:rPr>
          <w:rFonts w:ascii="Arial" w:hAnsi="Arial" w:cs="Arial"/>
          <w:bCs/>
          <w:sz w:val="22"/>
          <w:szCs w:val="22"/>
          <w:lang w:val="fr-FR"/>
        </w:rPr>
        <w:t>Approuve</w:t>
      </w:r>
      <w:r>
        <w:rPr>
          <w:rFonts w:ascii="Arial" w:hAnsi="Arial" w:cs="Arial"/>
          <w:bCs/>
          <w:sz w:val="22"/>
          <w:szCs w:val="22"/>
          <w:lang w:val="fr-FR"/>
        </w:rPr>
        <w:t> »</w:t>
      </w:r>
      <w:r w:rsidRPr="00901BE9">
        <w:rPr>
          <w:rFonts w:ascii="Arial" w:hAnsi="Arial" w:cs="Arial"/>
          <w:bCs/>
          <w:sz w:val="22"/>
          <w:szCs w:val="22"/>
          <w:lang w:val="fr-FR"/>
        </w:rPr>
        <w:t xml:space="preserve">. Afin de </w:t>
      </w:r>
      <w:r>
        <w:rPr>
          <w:rFonts w:ascii="Arial" w:hAnsi="Arial" w:cs="Arial"/>
          <w:bCs/>
          <w:sz w:val="22"/>
          <w:szCs w:val="22"/>
          <w:lang w:val="fr-FR"/>
        </w:rPr>
        <w:t>parvenir à</w:t>
      </w:r>
      <w:r w:rsidRPr="00901BE9">
        <w:rPr>
          <w:rFonts w:ascii="Arial" w:hAnsi="Arial" w:cs="Arial"/>
          <w:bCs/>
          <w:sz w:val="22"/>
          <w:szCs w:val="22"/>
          <w:lang w:val="fr-FR"/>
        </w:rPr>
        <w:t xml:space="preserve"> un consensus, elle </w:t>
      </w:r>
      <w:r>
        <w:rPr>
          <w:rFonts w:ascii="Arial" w:hAnsi="Arial" w:cs="Arial"/>
          <w:bCs/>
          <w:sz w:val="22"/>
          <w:szCs w:val="22"/>
          <w:lang w:val="fr-FR"/>
        </w:rPr>
        <w:t>souscrivait à</w:t>
      </w:r>
      <w:r w:rsidRPr="00901BE9">
        <w:rPr>
          <w:rFonts w:ascii="Arial" w:hAnsi="Arial" w:cs="Arial"/>
          <w:bCs/>
          <w:sz w:val="22"/>
          <w:szCs w:val="22"/>
          <w:lang w:val="fr-FR"/>
        </w:rPr>
        <w:t xml:space="preserve"> la suggestion du </w:t>
      </w:r>
      <w:r>
        <w:rPr>
          <w:rFonts w:ascii="Arial" w:hAnsi="Arial" w:cs="Arial"/>
          <w:bCs/>
          <w:sz w:val="22"/>
          <w:szCs w:val="22"/>
          <w:lang w:val="fr-FR"/>
        </w:rPr>
        <w:t>C</w:t>
      </w:r>
      <w:r w:rsidRPr="00901BE9">
        <w:rPr>
          <w:rFonts w:ascii="Arial" w:hAnsi="Arial" w:cs="Arial"/>
          <w:bCs/>
          <w:sz w:val="22"/>
          <w:szCs w:val="22"/>
          <w:lang w:val="fr-FR"/>
        </w:rPr>
        <w:t xml:space="preserve">onseiller juridique, où </w:t>
      </w:r>
      <w:r>
        <w:rPr>
          <w:rFonts w:ascii="Arial" w:hAnsi="Arial" w:cs="Arial"/>
          <w:bCs/>
          <w:sz w:val="22"/>
          <w:szCs w:val="22"/>
          <w:lang w:val="fr-FR"/>
        </w:rPr>
        <w:t>le terme « sur une base exceptionnelle » était inséré après « soupe au giraumon »</w:t>
      </w:r>
      <w:r w:rsidRPr="00901BE9">
        <w:rPr>
          <w:rFonts w:ascii="Arial" w:hAnsi="Arial" w:cs="Arial"/>
          <w:bCs/>
          <w:sz w:val="22"/>
          <w:szCs w:val="22"/>
          <w:lang w:val="fr-FR"/>
        </w:rPr>
        <w:t>.</w:t>
      </w:r>
    </w:p>
    <w:p w14:paraId="7BCCE39B" w14:textId="6C93AF8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A3DA8">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3A3DA8">
        <w:rPr>
          <w:rFonts w:ascii="Arial" w:hAnsi="Arial" w:cs="Arial"/>
          <w:b/>
          <w:sz w:val="22"/>
          <w:szCs w:val="22"/>
          <w:lang w:val="fr-FR"/>
        </w:rPr>
        <w:t>Éthiopie</w:t>
      </w:r>
      <w:r>
        <w:rPr>
          <w:rFonts w:ascii="Arial" w:hAnsi="Arial" w:cs="Arial"/>
          <w:bCs/>
          <w:sz w:val="22"/>
          <w:szCs w:val="22"/>
          <w:lang w:val="fr-FR"/>
        </w:rPr>
        <w:t xml:space="preserve"> avait</w:t>
      </w:r>
      <w:r w:rsidRPr="003A3DA8">
        <w:rPr>
          <w:rFonts w:ascii="Arial" w:hAnsi="Arial" w:cs="Arial"/>
          <w:bCs/>
          <w:sz w:val="22"/>
          <w:szCs w:val="22"/>
          <w:lang w:val="fr-FR"/>
        </w:rPr>
        <w:t xml:space="preserve"> du mal à comprendre que la Palestine </w:t>
      </w:r>
      <w:r>
        <w:rPr>
          <w:rFonts w:ascii="Arial" w:hAnsi="Arial" w:cs="Arial"/>
          <w:bCs/>
          <w:sz w:val="22"/>
          <w:szCs w:val="22"/>
          <w:lang w:val="fr-FR"/>
        </w:rPr>
        <w:t xml:space="preserve">insiste à ce point sur </w:t>
      </w:r>
      <w:r w:rsidRPr="003A3DA8">
        <w:rPr>
          <w:rFonts w:ascii="Arial" w:hAnsi="Arial" w:cs="Arial"/>
          <w:bCs/>
          <w:sz w:val="22"/>
          <w:szCs w:val="22"/>
          <w:lang w:val="fr-FR"/>
        </w:rPr>
        <w:t>cette question, ajoutant que l</w:t>
      </w:r>
      <w:r w:rsidR="008E532B">
        <w:rPr>
          <w:rFonts w:ascii="Arial" w:hAnsi="Arial" w:cs="Arial"/>
          <w:bCs/>
          <w:sz w:val="22"/>
          <w:szCs w:val="22"/>
          <w:lang w:val="fr-FR"/>
        </w:rPr>
        <w:t>’</w:t>
      </w:r>
      <w:r w:rsidRPr="003A3DA8">
        <w:rPr>
          <w:rFonts w:ascii="Arial" w:hAnsi="Arial" w:cs="Arial"/>
          <w:bCs/>
          <w:sz w:val="22"/>
          <w:szCs w:val="22"/>
          <w:lang w:val="fr-FR"/>
        </w:rPr>
        <w:t>idée d</w:t>
      </w:r>
      <w:r w:rsidR="008E532B">
        <w:rPr>
          <w:rFonts w:ascii="Arial" w:hAnsi="Arial" w:cs="Arial"/>
          <w:bCs/>
          <w:sz w:val="22"/>
          <w:szCs w:val="22"/>
          <w:lang w:val="fr-FR"/>
        </w:rPr>
        <w:t>’</w:t>
      </w:r>
      <w:r w:rsidRPr="003A3DA8">
        <w:rPr>
          <w:rFonts w:ascii="Arial" w:hAnsi="Arial" w:cs="Arial"/>
          <w:bCs/>
          <w:sz w:val="22"/>
          <w:szCs w:val="22"/>
          <w:lang w:val="fr-FR"/>
        </w:rPr>
        <w:t xml:space="preserve">un calendrier accéléré, de </w:t>
      </w:r>
      <w:r>
        <w:rPr>
          <w:rFonts w:ascii="Arial" w:hAnsi="Arial" w:cs="Arial"/>
          <w:bCs/>
          <w:sz w:val="22"/>
          <w:szCs w:val="22"/>
          <w:lang w:val="fr-FR"/>
        </w:rPr>
        <w:t>motifs</w:t>
      </w:r>
      <w:r w:rsidRPr="003A3DA8">
        <w:rPr>
          <w:rFonts w:ascii="Arial" w:hAnsi="Arial" w:cs="Arial"/>
          <w:bCs/>
          <w:sz w:val="22"/>
          <w:szCs w:val="22"/>
          <w:lang w:val="fr-FR"/>
        </w:rPr>
        <w:t xml:space="preserve"> de compassion et d</w:t>
      </w:r>
      <w:r w:rsidR="008E532B">
        <w:rPr>
          <w:rFonts w:ascii="Arial" w:hAnsi="Arial" w:cs="Arial"/>
          <w:bCs/>
          <w:sz w:val="22"/>
          <w:szCs w:val="22"/>
          <w:lang w:val="fr-FR"/>
        </w:rPr>
        <w:t>’</w:t>
      </w:r>
      <w:r w:rsidRPr="003A3DA8">
        <w:rPr>
          <w:rFonts w:ascii="Arial" w:hAnsi="Arial" w:cs="Arial"/>
          <w:bCs/>
          <w:sz w:val="22"/>
          <w:szCs w:val="22"/>
          <w:lang w:val="fr-FR"/>
        </w:rPr>
        <w:t xml:space="preserve">une base exceptionnelle devrait être approuvée par tous, en particulier par </w:t>
      </w:r>
      <w:r>
        <w:rPr>
          <w:rFonts w:ascii="Arial" w:hAnsi="Arial" w:cs="Arial"/>
          <w:bCs/>
          <w:sz w:val="22"/>
          <w:szCs w:val="22"/>
          <w:lang w:val="fr-FR"/>
        </w:rPr>
        <w:t>d</w:t>
      </w:r>
      <w:r w:rsidRPr="003A3DA8">
        <w:rPr>
          <w:rFonts w:ascii="Arial" w:hAnsi="Arial" w:cs="Arial"/>
          <w:bCs/>
          <w:sz w:val="22"/>
          <w:szCs w:val="22"/>
          <w:lang w:val="fr-FR"/>
        </w:rPr>
        <w:t xml:space="preserve">es États qui </w:t>
      </w:r>
      <w:r>
        <w:rPr>
          <w:rFonts w:ascii="Arial" w:hAnsi="Arial" w:cs="Arial"/>
          <w:bCs/>
          <w:sz w:val="22"/>
          <w:szCs w:val="22"/>
          <w:lang w:val="fr-FR"/>
        </w:rPr>
        <w:t xml:space="preserve">sont confrontés à </w:t>
      </w:r>
      <w:r w:rsidRPr="003A3DA8">
        <w:rPr>
          <w:rFonts w:ascii="Arial" w:hAnsi="Arial" w:cs="Arial"/>
          <w:bCs/>
          <w:sz w:val="22"/>
          <w:szCs w:val="22"/>
          <w:lang w:val="fr-FR"/>
        </w:rPr>
        <w:t xml:space="preserve">des difficultés. </w:t>
      </w:r>
      <w:r>
        <w:rPr>
          <w:rFonts w:ascii="Arial" w:hAnsi="Arial" w:cs="Arial"/>
          <w:bCs/>
          <w:sz w:val="22"/>
          <w:szCs w:val="22"/>
          <w:lang w:val="fr-FR"/>
        </w:rPr>
        <w:t xml:space="preserve">Toutefois, </w:t>
      </w:r>
      <w:r w:rsidRPr="003A3DA8">
        <w:rPr>
          <w:rFonts w:ascii="Arial" w:hAnsi="Arial" w:cs="Arial"/>
          <w:bCs/>
          <w:sz w:val="22"/>
          <w:szCs w:val="22"/>
          <w:lang w:val="fr-FR"/>
        </w:rPr>
        <w:t>dans un souci de compromis, elle pou</w:t>
      </w:r>
      <w:r>
        <w:rPr>
          <w:rFonts w:ascii="Arial" w:hAnsi="Arial" w:cs="Arial"/>
          <w:bCs/>
          <w:sz w:val="22"/>
          <w:szCs w:val="22"/>
          <w:lang w:val="fr-FR"/>
        </w:rPr>
        <w:t>vait</w:t>
      </w:r>
      <w:r w:rsidRPr="003A3DA8">
        <w:rPr>
          <w:rFonts w:ascii="Arial" w:hAnsi="Arial" w:cs="Arial"/>
          <w:bCs/>
          <w:sz w:val="22"/>
          <w:szCs w:val="22"/>
          <w:lang w:val="fr-FR"/>
        </w:rPr>
        <w:t xml:space="preserve"> accepter l</w:t>
      </w:r>
      <w:r w:rsidR="008E532B">
        <w:rPr>
          <w:rFonts w:ascii="Arial" w:hAnsi="Arial" w:cs="Arial"/>
          <w:bCs/>
          <w:sz w:val="22"/>
          <w:szCs w:val="22"/>
          <w:lang w:val="fr-FR"/>
        </w:rPr>
        <w:t>’</w:t>
      </w:r>
      <w:r w:rsidRPr="003A3DA8">
        <w:rPr>
          <w:rFonts w:ascii="Arial" w:hAnsi="Arial" w:cs="Arial"/>
          <w:bCs/>
          <w:sz w:val="22"/>
          <w:szCs w:val="22"/>
          <w:lang w:val="fr-FR"/>
        </w:rPr>
        <w:t xml:space="preserve">amendement de la Palestine, après </w:t>
      </w:r>
      <w:r>
        <w:rPr>
          <w:rFonts w:ascii="Arial" w:hAnsi="Arial" w:cs="Arial"/>
          <w:bCs/>
          <w:sz w:val="22"/>
          <w:szCs w:val="22"/>
          <w:lang w:val="fr-FR"/>
        </w:rPr>
        <w:t>« A</w:t>
      </w:r>
      <w:r w:rsidRPr="003A3DA8">
        <w:rPr>
          <w:rFonts w:ascii="Arial" w:hAnsi="Arial" w:cs="Arial"/>
          <w:bCs/>
          <w:sz w:val="22"/>
          <w:szCs w:val="22"/>
          <w:lang w:val="fr-FR"/>
        </w:rPr>
        <w:t>pprouve</w:t>
      </w:r>
      <w:r>
        <w:rPr>
          <w:rFonts w:ascii="Arial" w:hAnsi="Arial" w:cs="Arial"/>
          <w:bCs/>
          <w:sz w:val="22"/>
          <w:szCs w:val="22"/>
          <w:lang w:val="fr-FR"/>
        </w:rPr>
        <w:t> »</w:t>
      </w:r>
      <w:r w:rsidRPr="003A3DA8">
        <w:rPr>
          <w:rFonts w:ascii="Arial" w:hAnsi="Arial" w:cs="Arial"/>
          <w:bCs/>
          <w:sz w:val="22"/>
          <w:szCs w:val="22"/>
          <w:lang w:val="fr-FR"/>
        </w:rPr>
        <w:t xml:space="preserve"> qui </w:t>
      </w:r>
      <w:r>
        <w:rPr>
          <w:rFonts w:ascii="Arial" w:hAnsi="Arial" w:cs="Arial"/>
          <w:bCs/>
          <w:sz w:val="22"/>
          <w:szCs w:val="22"/>
          <w:lang w:val="fr-FR"/>
        </w:rPr>
        <w:t xml:space="preserve">devait </w:t>
      </w:r>
      <w:r w:rsidRPr="003A3DA8">
        <w:rPr>
          <w:rFonts w:ascii="Arial" w:hAnsi="Arial" w:cs="Arial"/>
          <w:bCs/>
          <w:sz w:val="22"/>
          <w:szCs w:val="22"/>
          <w:lang w:val="fr-FR"/>
        </w:rPr>
        <w:t>rest</w:t>
      </w:r>
      <w:r>
        <w:rPr>
          <w:rFonts w:ascii="Arial" w:hAnsi="Arial" w:cs="Arial"/>
          <w:bCs/>
          <w:sz w:val="22"/>
          <w:szCs w:val="22"/>
          <w:lang w:val="fr-FR"/>
        </w:rPr>
        <w:t>er</w:t>
      </w:r>
      <w:r w:rsidRPr="003A3DA8">
        <w:rPr>
          <w:rFonts w:ascii="Arial" w:hAnsi="Arial" w:cs="Arial"/>
          <w:bCs/>
          <w:sz w:val="22"/>
          <w:szCs w:val="22"/>
          <w:lang w:val="fr-FR"/>
        </w:rPr>
        <w:t>.</w:t>
      </w:r>
    </w:p>
    <w:p w14:paraId="7E44B062" w14:textId="78C21F3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A3DA8">
        <w:rPr>
          <w:rFonts w:ascii="Arial" w:hAnsi="Arial" w:cs="Arial"/>
          <w:bCs/>
          <w:sz w:val="22"/>
          <w:szCs w:val="22"/>
          <w:lang w:val="fr-FR"/>
        </w:rPr>
        <w:t xml:space="preserve">La délégation de </w:t>
      </w:r>
      <w:r w:rsidRPr="003A3DA8">
        <w:rPr>
          <w:rFonts w:ascii="Arial" w:hAnsi="Arial" w:cs="Arial"/>
          <w:b/>
          <w:sz w:val="22"/>
          <w:szCs w:val="22"/>
          <w:lang w:val="fr-FR"/>
        </w:rPr>
        <w:t>Djibouti</w:t>
      </w:r>
      <w:r w:rsidRPr="003A3DA8">
        <w:rPr>
          <w:rFonts w:ascii="Arial" w:hAnsi="Arial" w:cs="Arial"/>
          <w:bCs/>
          <w:sz w:val="22"/>
          <w:szCs w:val="22"/>
          <w:lang w:val="fr-FR"/>
        </w:rPr>
        <w:t xml:space="preserve"> a fait remarquer que le Conseiller juridique avait fait une proposition, </w:t>
      </w:r>
      <w:r>
        <w:rPr>
          <w:rFonts w:ascii="Arial" w:hAnsi="Arial" w:cs="Arial"/>
          <w:bCs/>
          <w:sz w:val="22"/>
          <w:szCs w:val="22"/>
          <w:lang w:val="fr-FR"/>
        </w:rPr>
        <w:t>soutenue</w:t>
      </w:r>
      <w:r w:rsidRPr="003A3DA8">
        <w:rPr>
          <w:rFonts w:ascii="Arial" w:hAnsi="Arial" w:cs="Arial"/>
          <w:bCs/>
          <w:sz w:val="22"/>
          <w:szCs w:val="22"/>
          <w:lang w:val="fr-FR"/>
        </w:rPr>
        <w:t xml:space="preserve"> par le Pérou. Elle ne souhaitait pas passer plus de temps sur les détails techniques et perdre de vue l</w:t>
      </w:r>
      <w:r w:rsidR="008E532B">
        <w:rPr>
          <w:rFonts w:ascii="Arial" w:hAnsi="Arial" w:cs="Arial"/>
          <w:bCs/>
          <w:sz w:val="22"/>
          <w:szCs w:val="22"/>
          <w:lang w:val="fr-FR"/>
        </w:rPr>
        <w:t>’</w:t>
      </w:r>
      <w:r w:rsidRPr="003A3DA8">
        <w:rPr>
          <w:rFonts w:ascii="Arial" w:hAnsi="Arial" w:cs="Arial"/>
          <w:bCs/>
          <w:sz w:val="22"/>
          <w:szCs w:val="22"/>
          <w:lang w:val="fr-FR"/>
        </w:rPr>
        <w:t xml:space="preserve">inscription. </w:t>
      </w:r>
      <w:r>
        <w:rPr>
          <w:rFonts w:ascii="Arial" w:hAnsi="Arial" w:cs="Arial"/>
          <w:bCs/>
          <w:sz w:val="22"/>
          <w:szCs w:val="22"/>
          <w:lang w:val="fr-FR"/>
        </w:rPr>
        <w:t xml:space="preserve">Prenant </w:t>
      </w:r>
      <w:r w:rsidRPr="003A3DA8">
        <w:rPr>
          <w:rFonts w:ascii="Arial" w:hAnsi="Arial" w:cs="Arial"/>
          <w:bCs/>
          <w:sz w:val="22"/>
          <w:szCs w:val="22"/>
          <w:lang w:val="fr-FR"/>
        </w:rPr>
        <w:t xml:space="preserve">note du large consensus </w:t>
      </w:r>
      <w:r>
        <w:rPr>
          <w:rFonts w:ascii="Arial" w:hAnsi="Arial" w:cs="Arial"/>
          <w:bCs/>
          <w:sz w:val="22"/>
          <w:szCs w:val="22"/>
          <w:lang w:val="fr-FR"/>
        </w:rPr>
        <w:t>sur le</w:t>
      </w:r>
      <w:r w:rsidRPr="003A3DA8">
        <w:rPr>
          <w:rFonts w:ascii="Arial" w:hAnsi="Arial" w:cs="Arial"/>
          <w:bCs/>
          <w:sz w:val="22"/>
          <w:szCs w:val="22"/>
          <w:lang w:val="fr-FR"/>
        </w:rPr>
        <w:t xml:space="preserve"> texte</w:t>
      </w:r>
      <w:r>
        <w:rPr>
          <w:rFonts w:ascii="Arial" w:hAnsi="Arial" w:cs="Arial"/>
          <w:bCs/>
          <w:sz w:val="22"/>
          <w:szCs w:val="22"/>
          <w:lang w:val="fr-FR"/>
        </w:rPr>
        <w:t xml:space="preserve">, la </w:t>
      </w:r>
      <w:r w:rsidRPr="00D31B8A">
        <w:rPr>
          <w:rFonts w:ascii="Arial" w:hAnsi="Arial" w:cs="Arial"/>
          <w:bCs/>
          <w:sz w:val="22"/>
          <w:szCs w:val="22"/>
          <w:lang w:val="fr-FR"/>
        </w:rPr>
        <w:t>délégation</w:t>
      </w:r>
      <w:r>
        <w:rPr>
          <w:rFonts w:ascii="Arial" w:hAnsi="Arial" w:cs="Arial"/>
          <w:bCs/>
          <w:sz w:val="22"/>
          <w:szCs w:val="22"/>
          <w:lang w:val="fr-FR"/>
        </w:rPr>
        <w:t xml:space="preserve"> a </w:t>
      </w:r>
      <w:r w:rsidRPr="003A3DA8">
        <w:rPr>
          <w:rFonts w:ascii="Arial" w:hAnsi="Arial" w:cs="Arial"/>
          <w:bCs/>
          <w:sz w:val="22"/>
          <w:szCs w:val="22"/>
          <w:lang w:val="fr-FR"/>
        </w:rPr>
        <w:t>demand</w:t>
      </w:r>
      <w:r>
        <w:rPr>
          <w:rFonts w:ascii="Arial" w:hAnsi="Arial" w:cs="Arial"/>
          <w:bCs/>
          <w:sz w:val="22"/>
          <w:szCs w:val="22"/>
          <w:lang w:val="fr-FR"/>
        </w:rPr>
        <w:t xml:space="preserve">é </w:t>
      </w:r>
      <w:r w:rsidRPr="003A3DA8">
        <w:rPr>
          <w:rFonts w:ascii="Arial" w:hAnsi="Arial" w:cs="Arial"/>
          <w:bCs/>
          <w:sz w:val="22"/>
          <w:szCs w:val="22"/>
          <w:lang w:val="fr-FR"/>
        </w:rPr>
        <w:t>à la Présidente de clore le débat sur ce point.</w:t>
      </w:r>
    </w:p>
    <w:p w14:paraId="2C2FA234" w14:textId="7A4605E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D31B8A">
        <w:rPr>
          <w:rFonts w:ascii="Arial" w:hAnsi="Arial" w:cs="Arial"/>
          <w:b/>
          <w:sz w:val="22"/>
          <w:szCs w:val="22"/>
          <w:lang w:val="fr-FR"/>
        </w:rPr>
        <w:t>Présidente</w:t>
      </w:r>
      <w:r>
        <w:rPr>
          <w:rFonts w:ascii="Arial" w:hAnsi="Arial" w:cs="Arial"/>
          <w:bCs/>
          <w:sz w:val="22"/>
          <w:szCs w:val="22"/>
          <w:lang w:val="fr-FR"/>
        </w:rPr>
        <w:t xml:space="preserve"> a demandé si le texte, tel qu</w:t>
      </w:r>
      <w:r w:rsidR="008E532B">
        <w:rPr>
          <w:rFonts w:ascii="Arial" w:hAnsi="Arial" w:cs="Arial"/>
          <w:bCs/>
          <w:sz w:val="22"/>
          <w:szCs w:val="22"/>
          <w:lang w:val="fr-FR"/>
        </w:rPr>
        <w:t>’</w:t>
      </w:r>
      <w:r>
        <w:rPr>
          <w:rFonts w:ascii="Arial" w:hAnsi="Arial" w:cs="Arial"/>
          <w:bCs/>
          <w:sz w:val="22"/>
          <w:szCs w:val="22"/>
          <w:lang w:val="fr-FR"/>
        </w:rPr>
        <w:t>il apparaissait à l</w:t>
      </w:r>
      <w:r w:rsidR="008E532B">
        <w:rPr>
          <w:rFonts w:ascii="Arial" w:hAnsi="Arial" w:cs="Arial"/>
          <w:bCs/>
          <w:sz w:val="22"/>
          <w:szCs w:val="22"/>
          <w:lang w:val="fr-FR"/>
        </w:rPr>
        <w:t>’</w:t>
      </w:r>
      <w:r>
        <w:rPr>
          <w:rFonts w:ascii="Arial" w:hAnsi="Arial" w:cs="Arial"/>
          <w:bCs/>
          <w:sz w:val="22"/>
          <w:szCs w:val="22"/>
          <w:lang w:val="fr-FR"/>
        </w:rPr>
        <w:t>écran, était acceptable. Le Koweït a invoqué une motion d</w:t>
      </w:r>
      <w:r w:rsidR="008E532B">
        <w:rPr>
          <w:rFonts w:ascii="Arial" w:hAnsi="Arial" w:cs="Arial"/>
          <w:bCs/>
          <w:sz w:val="22"/>
          <w:szCs w:val="22"/>
          <w:lang w:val="fr-FR"/>
        </w:rPr>
        <w:t>’</w:t>
      </w:r>
      <w:r>
        <w:rPr>
          <w:rFonts w:ascii="Arial" w:hAnsi="Arial" w:cs="Arial"/>
          <w:bCs/>
          <w:sz w:val="22"/>
          <w:szCs w:val="22"/>
          <w:lang w:val="fr-FR"/>
        </w:rPr>
        <w:t xml:space="preserve">ordre. </w:t>
      </w:r>
    </w:p>
    <w:p w14:paraId="3A6E6F72" w14:textId="6B7ADA4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31B8A">
        <w:rPr>
          <w:rFonts w:ascii="Arial" w:hAnsi="Arial" w:cs="Arial"/>
          <w:bCs/>
          <w:sz w:val="22"/>
          <w:szCs w:val="22"/>
          <w:lang w:val="fr-FR"/>
        </w:rPr>
        <w:t xml:space="preserve">La délégation du </w:t>
      </w:r>
      <w:r w:rsidRPr="00D31B8A">
        <w:rPr>
          <w:rFonts w:ascii="Arial" w:hAnsi="Arial" w:cs="Arial"/>
          <w:b/>
          <w:sz w:val="22"/>
          <w:szCs w:val="22"/>
          <w:lang w:val="fr-FR"/>
        </w:rPr>
        <w:t>Koweït</w:t>
      </w:r>
      <w:r w:rsidRPr="00D31B8A">
        <w:rPr>
          <w:rFonts w:ascii="Arial" w:hAnsi="Arial" w:cs="Arial"/>
          <w:bCs/>
          <w:sz w:val="22"/>
          <w:szCs w:val="22"/>
          <w:lang w:val="fr-FR"/>
        </w:rPr>
        <w:t xml:space="preserve"> a rappelé que l</w:t>
      </w:r>
      <w:r w:rsidR="008E532B">
        <w:rPr>
          <w:rFonts w:ascii="Arial" w:hAnsi="Arial" w:cs="Arial"/>
          <w:bCs/>
          <w:sz w:val="22"/>
          <w:szCs w:val="22"/>
          <w:lang w:val="fr-FR"/>
        </w:rPr>
        <w:t>’</w:t>
      </w:r>
      <w:r>
        <w:rPr>
          <w:rFonts w:ascii="Arial" w:hAnsi="Arial" w:cs="Arial"/>
          <w:bCs/>
          <w:sz w:val="22"/>
          <w:szCs w:val="22"/>
          <w:lang w:val="fr-FR"/>
        </w:rPr>
        <w:t xml:space="preserve">insertion de « sur une base </w:t>
      </w:r>
      <w:r w:rsidRPr="00D31B8A">
        <w:rPr>
          <w:rFonts w:ascii="Arial" w:hAnsi="Arial" w:cs="Arial"/>
          <w:bCs/>
          <w:sz w:val="22"/>
          <w:szCs w:val="22"/>
          <w:lang w:val="fr-FR"/>
        </w:rPr>
        <w:t>exceptionne</w:t>
      </w:r>
      <w:r>
        <w:rPr>
          <w:rFonts w:ascii="Arial" w:hAnsi="Arial" w:cs="Arial"/>
          <w:bCs/>
          <w:sz w:val="22"/>
          <w:szCs w:val="22"/>
          <w:lang w:val="fr-FR"/>
        </w:rPr>
        <w:t>lle »</w:t>
      </w:r>
      <w:r w:rsidRPr="00D31B8A">
        <w:rPr>
          <w:rFonts w:ascii="Arial" w:hAnsi="Arial" w:cs="Arial"/>
          <w:bCs/>
          <w:sz w:val="22"/>
          <w:szCs w:val="22"/>
          <w:lang w:val="fr-FR"/>
        </w:rPr>
        <w:t xml:space="preserve"> avait </w:t>
      </w:r>
      <w:r>
        <w:rPr>
          <w:rFonts w:ascii="Arial" w:hAnsi="Arial" w:cs="Arial"/>
          <w:bCs/>
          <w:sz w:val="22"/>
          <w:szCs w:val="22"/>
          <w:lang w:val="fr-FR"/>
        </w:rPr>
        <w:t>fait l</w:t>
      </w:r>
      <w:r w:rsidR="008E532B">
        <w:rPr>
          <w:rFonts w:ascii="Arial" w:hAnsi="Arial" w:cs="Arial"/>
          <w:bCs/>
          <w:sz w:val="22"/>
          <w:szCs w:val="22"/>
          <w:lang w:val="fr-FR"/>
        </w:rPr>
        <w:t>’</w:t>
      </w:r>
      <w:r>
        <w:rPr>
          <w:rFonts w:ascii="Arial" w:hAnsi="Arial" w:cs="Arial"/>
          <w:bCs/>
          <w:sz w:val="22"/>
          <w:szCs w:val="22"/>
          <w:lang w:val="fr-FR"/>
        </w:rPr>
        <w:t xml:space="preserve">objet de débats </w:t>
      </w:r>
      <w:r w:rsidRPr="00D31B8A">
        <w:rPr>
          <w:rFonts w:ascii="Arial" w:hAnsi="Arial" w:cs="Arial"/>
          <w:bCs/>
          <w:sz w:val="22"/>
          <w:szCs w:val="22"/>
          <w:lang w:val="fr-FR"/>
        </w:rPr>
        <w:t>au sein du Comité dans l</w:t>
      </w:r>
      <w:r w:rsidR="008E532B">
        <w:rPr>
          <w:rFonts w:ascii="Arial" w:hAnsi="Arial" w:cs="Arial"/>
          <w:bCs/>
          <w:sz w:val="22"/>
          <w:szCs w:val="22"/>
          <w:lang w:val="fr-FR"/>
        </w:rPr>
        <w:t>’</w:t>
      </w:r>
      <w:r w:rsidRPr="00D31B8A">
        <w:rPr>
          <w:rFonts w:ascii="Arial" w:hAnsi="Arial" w:cs="Arial"/>
          <w:bCs/>
          <w:sz w:val="22"/>
          <w:szCs w:val="22"/>
          <w:lang w:val="fr-FR"/>
        </w:rPr>
        <w:t>intention de donner à l</w:t>
      </w:r>
      <w:r w:rsidR="008E532B">
        <w:rPr>
          <w:rFonts w:ascii="Arial" w:hAnsi="Arial" w:cs="Arial"/>
          <w:bCs/>
          <w:sz w:val="22"/>
          <w:szCs w:val="22"/>
          <w:lang w:val="fr-FR"/>
        </w:rPr>
        <w:t>’</w:t>
      </w:r>
      <w:r w:rsidRPr="00D31B8A">
        <w:rPr>
          <w:rFonts w:ascii="Arial" w:hAnsi="Arial" w:cs="Arial"/>
          <w:bCs/>
          <w:sz w:val="22"/>
          <w:szCs w:val="22"/>
          <w:lang w:val="fr-FR"/>
        </w:rPr>
        <w:t>Assemblée générale la possibilité d</w:t>
      </w:r>
      <w:proofErr w:type="gramStart"/>
      <w:r w:rsidR="008E532B">
        <w:rPr>
          <w:rFonts w:ascii="Arial" w:hAnsi="Arial" w:cs="Arial"/>
          <w:bCs/>
          <w:sz w:val="22"/>
          <w:szCs w:val="22"/>
          <w:lang w:val="fr-FR"/>
        </w:rPr>
        <w:t>’</w:t>
      </w:r>
      <w:r>
        <w:rPr>
          <w:rFonts w:ascii="Arial" w:hAnsi="Arial" w:cs="Arial"/>
          <w:bCs/>
          <w:sz w:val="22"/>
          <w:szCs w:val="22"/>
          <w:lang w:val="fr-FR"/>
        </w:rPr>
        <w:t>«</w:t>
      </w:r>
      <w:proofErr w:type="gramEnd"/>
      <w:r>
        <w:rPr>
          <w:rFonts w:ascii="Arial" w:hAnsi="Arial" w:cs="Arial"/>
          <w:bCs/>
          <w:sz w:val="22"/>
          <w:szCs w:val="22"/>
          <w:lang w:val="fr-FR"/>
        </w:rPr>
        <w:t> </w:t>
      </w:r>
      <w:r w:rsidRPr="00D31B8A">
        <w:rPr>
          <w:rFonts w:ascii="Arial" w:hAnsi="Arial" w:cs="Arial"/>
          <w:bCs/>
          <w:sz w:val="22"/>
          <w:szCs w:val="22"/>
          <w:lang w:val="fr-FR"/>
        </w:rPr>
        <w:t>approuver</w:t>
      </w:r>
      <w:r>
        <w:rPr>
          <w:rFonts w:ascii="Arial" w:hAnsi="Arial" w:cs="Arial"/>
          <w:bCs/>
          <w:sz w:val="22"/>
          <w:szCs w:val="22"/>
          <w:lang w:val="fr-FR"/>
        </w:rPr>
        <w:t> »</w:t>
      </w:r>
      <w:r w:rsidRPr="00D31B8A">
        <w:rPr>
          <w:rFonts w:ascii="Arial" w:hAnsi="Arial" w:cs="Arial"/>
          <w:bCs/>
          <w:sz w:val="22"/>
          <w:szCs w:val="22"/>
          <w:lang w:val="fr-FR"/>
        </w:rPr>
        <w:t>. La délégation</w:t>
      </w:r>
      <w:r>
        <w:rPr>
          <w:rFonts w:ascii="Arial" w:hAnsi="Arial" w:cs="Arial"/>
          <w:bCs/>
          <w:sz w:val="22"/>
          <w:szCs w:val="22"/>
          <w:lang w:val="fr-FR"/>
        </w:rPr>
        <w:t xml:space="preserve"> </w:t>
      </w:r>
      <w:r w:rsidRPr="00D31B8A">
        <w:rPr>
          <w:rFonts w:ascii="Arial" w:hAnsi="Arial" w:cs="Arial"/>
          <w:bCs/>
          <w:sz w:val="22"/>
          <w:szCs w:val="22"/>
          <w:lang w:val="fr-FR"/>
        </w:rPr>
        <w:t>estim</w:t>
      </w:r>
      <w:r>
        <w:rPr>
          <w:rFonts w:ascii="Arial" w:hAnsi="Arial" w:cs="Arial"/>
          <w:bCs/>
          <w:sz w:val="22"/>
          <w:szCs w:val="22"/>
          <w:lang w:val="fr-FR"/>
        </w:rPr>
        <w:t>ait</w:t>
      </w:r>
      <w:r w:rsidRPr="00D31B8A">
        <w:rPr>
          <w:rFonts w:ascii="Arial" w:hAnsi="Arial" w:cs="Arial"/>
          <w:bCs/>
          <w:sz w:val="22"/>
          <w:szCs w:val="22"/>
          <w:lang w:val="fr-FR"/>
        </w:rPr>
        <w:t xml:space="preserve"> que l</w:t>
      </w:r>
      <w:r w:rsidR="008E532B">
        <w:rPr>
          <w:rFonts w:ascii="Arial" w:hAnsi="Arial" w:cs="Arial"/>
          <w:bCs/>
          <w:sz w:val="22"/>
          <w:szCs w:val="22"/>
          <w:lang w:val="fr-FR"/>
        </w:rPr>
        <w:t>’</w:t>
      </w:r>
      <w:r w:rsidRPr="00D31B8A">
        <w:rPr>
          <w:rFonts w:ascii="Arial" w:hAnsi="Arial" w:cs="Arial"/>
          <w:bCs/>
          <w:sz w:val="22"/>
          <w:szCs w:val="22"/>
          <w:lang w:val="fr-FR"/>
        </w:rPr>
        <w:t xml:space="preserve">amendement de la Palestine constituait un moyen terme, </w:t>
      </w:r>
      <w:r>
        <w:rPr>
          <w:rFonts w:ascii="Arial" w:hAnsi="Arial" w:cs="Arial"/>
          <w:bCs/>
          <w:sz w:val="22"/>
          <w:szCs w:val="22"/>
          <w:lang w:val="fr-FR"/>
        </w:rPr>
        <w:t xml:space="preserve">c.-à-d. </w:t>
      </w:r>
      <w:r w:rsidRPr="00D31B8A">
        <w:rPr>
          <w:rFonts w:ascii="Arial" w:hAnsi="Arial" w:cs="Arial"/>
          <w:bCs/>
          <w:sz w:val="22"/>
          <w:szCs w:val="22"/>
          <w:lang w:val="fr-FR"/>
        </w:rPr>
        <w:t>qu</w:t>
      </w:r>
      <w:r w:rsidR="008E532B">
        <w:rPr>
          <w:rFonts w:ascii="Arial" w:hAnsi="Arial" w:cs="Arial"/>
          <w:bCs/>
          <w:sz w:val="22"/>
          <w:szCs w:val="22"/>
          <w:lang w:val="fr-FR"/>
        </w:rPr>
        <w:t>’</w:t>
      </w:r>
      <w:r w:rsidRPr="00D31B8A">
        <w:rPr>
          <w:rFonts w:ascii="Arial" w:hAnsi="Arial" w:cs="Arial"/>
          <w:bCs/>
          <w:sz w:val="22"/>
          <w:szCs w:val="22"/>
          <w:lang w:val="fr-FR"/>
        </w:rPr>
        <w:t xml:space="preserve">il fallait </w:t>
      </w:r>
      <w:r>
        <w:rPr>
          <w:rFonts w:ascii="Arial" w:hAnsi="Arial" w:cs="Arial"/>
          <w:bCs/>
          <w:sz w:val="22"/>
          <w:szCs w:val="22"/>
          <w:lang w:val="fr-FR"/>
        </w:rPr>
        <w:t>insérer « sur une base</w:t>
      </w:r>
      <w:r w:rsidRPr="00D31B8A">
        <w:rPr>
          <w:rFonts w:ascii="Arial" w:hAnsi="Arial" w:cs="Arial"/>
          <w:bCs/>
          <w:sz w:val="22"/>
          <w:szCs w:val="22"/>
          <w:lang w:val="fr-FR"/>
        </w:rPr>
        <w:t xml:space="preserve"> exceptionnel</w:t>
      </w:r>
      <w:r>
        <w:rPr>
          <w:rFonts w:ascii="Arial" w:hAnsi="Arial" w:cs="Arial"/>
          <w:bCs/>
          <w:sz w:val="22"/>
          <w:szCs w:val="22"/>
          <w:lang w:val="fr-FR"/>
        </w:rPr>
        <w:t>le »</w:t>
      </w:r>
      <w:r w:rsidRPr="00D31B8A">
        <w:rPr>
          <w:rFonts w:ascii="Arial" w:hAnsi="Arial" w:cs="Arial"/>
          <w:bCs/>
          <w:sz w:val="22"/>
          <w:szCs w:val="22"/>
          <w:lang w:val="fr-FR"/>
        </w:rPr>
        <w:t xml:space="preserve"> après </w:t>
      </w:r>
      <w:r>
        <w:rPr>
          <w:rFonts w:ascii="Arial" w:hAnsi="Arial" w:cs="Arial"/>
          <w:bCs/>
          <w:sz w:val="22"/>
          <w:szCs w:val="22"/>
          <w:lang w:val="fr-FR"/>
        </w:rPr>
        <w:t>« A</w:t>
      </w:r>
      <w:r w:rsidRPr="00D31B8A">
        <w:rPr>
          <w:rFonts w:ascii="Arial" w:hAnsi="Arial" w:cs="Arial"/>
          <w:bCs/>
          <w:sz w:val="22"/>
          <w:szCs w:val="22"/>
          <w:lang w:val="fr-FR"/>
        </w:rPr>
        <w:t>pprouve</w:t>
      </w:r>
      <w:r>
        <w:rPr>
          <w:rFonts w:ascii="Arial" w:hAnsi="Arial" w:cs="Arial"/>
          <w:bCs/>
          <w:sz w:val="22"/>
          <w:szCs w:val="22"/>
          <w:lang w:val="fr-FR"/>
        </w:rPr>
        <w:t> »</w:t>
      </w:r>
      <w:r w:rsidRPr="00D31B8A">
        <w:rPr>
          <w:rFonts w:ascii="Arial" w:hAnsi="Arial" w:cs="Arial"/>
          <w:bCs/>
          <w:sz w:val="22"/>
          <w:szCs w:val="22"/>
          <w:lang w:val="fr-FR"/>
        </w:rPr>
        <w:t>. En effet, aucune délégation n</w:t>
      </w:r>
      <w:r>
        <w:rPr>
          <w:rFonts w:ascii="Arial" w:hAnsi="Arial" w:cs="Arial"/>
          <w:bCs/>
          <w:sz w:val="22"/>
          <w:szCs w:val="22"/>
          <w:lang w:val="fr-FR"/>
        </w:rPr>
        <w:t xml:space="preserve">e remettait </w:t>
      </w:r>
      <w:r w:rsidRPr="00D31B8A">
        <w:rPr>
          <w:rFonts w:ascii="Arial" w:hAnsi="Arial" w:cs="Arial"/>
          <w:bCs/>
          <w:sz w:val="22"/>
          <w:szCs w:val="22"/>
          <w:lang w:val="fr-FR"/>
        </w:rPr>
        <w:t>en cause l</w:t>
      </w:r>
      <w:r w:rsidR="008E532B">
        <w:rPr>
          <w:rFonts w:ascii="Arial" w:hAnsi="Arial" w:cs="Arial"/>
          <w:bCs/>
          <w:sz w:val="22"/>
          <w:szCs w:val="22"/>
          <w:lang w:val="fr-FR"/>
        </w:rPr>
        <w:t>’</w:t>
      </w:r>
      <w:r w:rsidRPr="00D31B8A">
        <w:rPr>
          <w:rFonts w:ascii="Arial" w:hAnsi="Arial" w:cs="Arial"/>
          <w:bCs/>
          <w:sz w:val="22"/>
          <w:szCs w:val="22"/>
          <w:lang w:val="fr-FR"/>
        </w:rPr>
        <w:t>inscription, qui satisfai</w:t>
      </w:r>
      <w:r>
        <w:rPr>
          <w:rFonts w:ascii="Arial" w:hAnsi="Arial" w:cs="Arial"/>
          <w:bCs/>
          <w:sz w:val="22"/>
          <w:szCs w:val="22"/>
          <w:lang w:val="fr-FR"/>
        </w:rPr>
        <w:t>sai</w:t>
      </w:r>
      <w:r w:rsidRPr="00D31B8A">
        <w:rPr>
          <w:rFonts w:ascii="Arial" w:hAnsi="Arial" w:cs="Arial"/>
          <w:bCs/>
          <w:sz w:val="22"/>
          <w:szCs w:val="22"/>
          <w:lang w:val="fr-FR"/>
        </w:rPr>
        <w:t>t aux cinq critères, et la question port</w:t>
      </w:r>
      <w:r>
        <w:rPr>
          <w:rFonts w:ascii="Arial" w:hAnsi="Arial" w:cs="Arial"/>
          <w:bCs/>
          <w:sz w:val="22"/>
          <w:szCs w:val="22"/>
          <w:lang w:val="fr-FR"/>
        </w:rPr>
        <w:t>ait</w:t>
      </w:r>
      <w:r w:rsidRPr="00D31B8A">
        <w:rPr>
          <w:rFonts w:ascii="Arial" w:hAnsi="Arial" w:cs="Arial"/>
          <w:bCs/>
          <w:sz w:val="22"/>
          <w:szCs w:val="22"/>
          <w:lang w:val="fr-FR"/>
        </w:rPr>
        <w:t xml:space="preserve"> donc sur la </w:t>
      </w:r>
      <w:r w:rsidRPr="00D31B8A">
        <w:rPr>
          <w:rFonts w:ascii="Arial" w:hAnsi="Arial" w:cs="Arial"/>
          <w:bCs/>
          <w:i/>
          <w:iCs/>
          <w:sz w:val="22"/>
          <w:szCs w:val="22"/>
          <w:lang w:val="fr-FR"/>
        </w:rPr>
        <w:t>procédure</w:t>
      </w:r>
      <w:r w:rsidRPr="00D31B8A">
        <w:rPr>
          <w:rFonts w:ascii="Arial" w:hAnsi="Arial" w:cs="Arial"/>
          <w:bCs/>
          <w:sz w:val="22"/>
          <w:szCs w:val="22"/>
          <w:lang w:val="fr-FR"/>
        </w:rPr>
        <w:t>. La raison pour laquelle l</w:t>
      </w:r>
      <w:r>
        <w:rPr>
          <w:rFonts w:ascii="Arial" w:hAnsi="Arial" w:cs="Arial"/>
          <w:bCs/>
          <w:sz w:val="22"/>
          <w:szCs w:val="22"/>
          <w:lang w:val="fr-FR"/>
        </w:rPr>
        <w:t xml:space="preserve">e terme </w:t>
      </w:r>
      <w:r w:rsidRPr="00D31B8A">
        <w:rPr>
          <w:rFonts w:ascii="Arial" w:hAnsi="Arial" w:cs="Arial"/>
          <w:bCs/>
          <w:sz w:val="22"/>
          <w:szCs w:val="22"/>
          <w:lang w:val="fr-FR"/>
        </w:rPr>
        <w:t>d</w:t>
      </w:r>
      <w:r>
        <w:rPr>
          <w:rFonts w:ascii="Arial" w:hAnsi="Arial" w:cs="Arial"/>
          <w:bCs/>
          <w:sz w:val="22"/>
          <w:szCs w:val="22"/>
          <w:lang w:val="fr-FR"/>
        </w:rPr>
        <w:t>evait</w:t>
      </w:r>
      <w:r w:rsidRPr="00D31B8A">
        <w:rPr>
          <w:rFonts w:ascii="Arial" w:hAnsi="Arial" w:cs="Arial"/>
          <w:bCs/>
          <w:sz w:val="22"/>
          <w:szCs w:val="22"/>
          <w:lang w:val="fr-FR"/>
        </w:rPr>
        <w:t xml:space="preserve"> être placé au début </w:t>
      </w:r>
      <w:r>
        <w:rPr>
          <w:rFonts w:ascii="Arial" w:hAnsi="Arial" w:cs="Arial"/>
          <w:bCs/>
          <w:sz w:val="22"/>
          <w:szCs w:val="22"/>
          <w:lang w:val="fr-FR"/>
        </w:rPr>
        <w:t>était</w:t>
      </w:r>
      <w:r w:rsidRPr="00D31B8A">
        <w:rPr>
          <w:rFonts w:ascii="Arial" w:hAnsi="Arial" w:cs="Arial"/>
          <w:bCs/>
          <w:sz w:val="22"/>
          <w:szCs w:val="22"/>
          <w:lang w:val="fr-FR"/>
        </w:rPr>
        <w:t xml:space="preserve"> due au fait qu</w:t>
      </w:r>
      <w:r w:rsidR="008E532B">
        <w:rPr>
          <w:rFonts w:ascii="Arial" w:hAnsi="Arial" w:cs="Arial"/>
          <w:bCs/>
          <w:sz w:val="22"/>
          <w:szCs w:val="22"/>
          <w:lang w:val="fr-FR"/>
        </w:rPr>
        <w:t>’</w:t>
      </w:r>
      <w:r w:rsidRPr="00D31B8A">
        <w:rPr>
          <w:rFonts w:ascii="Arial" w:hAnsi="Arial" w:cs="Arial"/>
          <w:bCs/>
          <w:sz w:val="22"/>
          <w:szCs w:val="22"/>
          <w:lang w:val="fr-FR"/>
        </w:rPr>
        <w:t>il n</w:t>
      </w:r>
      <w:r w:rsidR="008E532B">
        <w:rPr>
          <w:rFonts w:ascii="Arial" w:hAnsi="Arial" w:cs="Arial"/>
          <w:bCs/>
          <w:sz w:val="22"/>
          <w:szCs w:val="22"/>
          <w:lang w:val="fr-FR"/>
        </w:rPr>
        <w:t>’</w:t>
      </w:r>
      <w:r w:rsidRPr="00D31B8A">
        <w:rPr>
          <w:rFonts w:ascii="Arial" w:hAnsi="Arial" w:cs="Arial"/>
          <w:bCs/>
          <w:sz w:val="22"/>
          <w:szCs w:val="22"/>
          <w:lang w:val="fr-FR"/>
        </w:rPr>
        <w:t>y a</w:t>
      </w:r>
      <w:r>
        <w:rPr>
          <w:rFonts w:ascii="Arial" w:hAnsi="Arial" w:cs="Arial"/>
          <w:bCs/>
          <w:sz w:val="22"/>
          <w:szCs w:val="22"/>
          <w:lang w:val="fr-FR"/>
        </w:rPr>
        <w:t>vait</w:t>
      </w:r>
      <w:r w:rsidRPr="00D31B8A">
        <w:rPr>
          <w:rFonts w:ascii="Arial" w:hAnsi="Arial" w:cs="Arial"/>
          <w:bCs/>
          <w:sz w:val="22"/>
          <w:szCs w:val="22"/>
          <w:lang w:val="fr-FR"/>
        </w:rPr>
        <w:t xml:space="preserve"> aucune référence [dans les textes] à la procédure. </w:t>
      </w:r>
      <w:r>
        <w:rPr>
          <w:rFonts w:ascii="Arial" w:hAnsi="Arial" w:cs="Arial"/>
          <w:bCs/>
          <w:sz w:val="22"/>
          <w:szCs w:val="22"/>
          <w:lang w:val="fr-FR"/>
        </w:rPr>
        <w:t>Afin d</w:t>
      </w:r>
      <w:r w:rsidR="008E532B">
        <w:rPr>
          <w:rFonts w:ascii="Arial" w:hAnsi="Arial" w:cs="Arial"/>
          <w:bCs/>
          <w:sz w:val="22"/>
          <w:szCs w:val="22"/>
          <w:lang w:val="fr-FR"/>
        </w:rPr>
        <w:t>’</w:t>
      </w:r>
      <w:r>
        <w:rPr>
          <w:rFonts w:ascii="Arial" w:hAnsi="Arial" w:cs="Arial"/>
          <w:bCs/>
          <w:sz w:val="22"/>
          <w:szCs w:val="22"/>
          <w:lang w:val="fr-FR"/>
        </w:rPr>
        <w:t>avancer, l</w:t>
      </w:r>
      <w:r w:rsidRPr="00D31B8A">
        <w:rPr>
          <w:rFonts w:ascii="Arial" w:hAnsi="Arial" w:cs="Arial"/>
          <w:bCs/>
          <w:sz w:val="22"/>
          <w:szCs w:val="22"/>
          <w:lang w:val="fr-FR"/>
        </w:rPr>
        <w:t>e Koweït a donc suggéré de clore le débat, d</w:t>
      </w:r>
      <w:r w:rsidR="008E532B">
        <w:rPr>
          <w:rFonts w:ascii="Arial" w:hAnsi="Arial" w:cs="Arial"/>
          <w:bCs/>
          <w:sz w:val="22"/>
          <w:szCs w:val="22"/>
          <w:lang w:val="fr-FR"/>
        </w:rPr>
        <w:t>’</w:t>
      </w:r>
      <w:r w:rsidRPr="00D31B8A">
        <w:rPr>
          <w:rFonts w:ascii="Arial" w:hAnsi="Arial" w:cs="Arial"/>
          <w:bCs/>
          <w:sz w:val="22"/>
          <w:szCs w:val="22"/>
          <w:lang w:val="fr-FR"/>
        </w:rPr>
        <w:t>approuver l</w:t>
      </w:r>
      <w:r w:rsidR="008E532B">
        <w:rPr>
          <w:rFonts w:ascii="Arial" w:hAnsi="Arial" w:cs="Arial"/>
          <w:bCs/>
          <w:sz w:val="22"/>
          <w:szCs w:val="22"/>
          <w:lang w:val="fr-FR"/>
        </w:rPr>
        <w:t>’</w:t>
      </w:r>
      <w:r w:rsidRPr="00D31B8A">
        <w:rPr>
          <w:rFonts w:ascii="Arial" w:hAnsi="Arial" w:cs="Arial"/>
          <w:bCs/>
          <w:sz w:val="22"/>
          <w:szCs w:val="22"/>
          <w:lang w:val="fr-FR"/>
        </w:rPr>
        <w:t>inscription et de placer l</w:t>
      </w:r>
      <w:r>
        <w:rPr>
          <w:rFonts w:ascii="Arial" w:hAnsi="Arial" w:cs="Arial"/>
          <w:bCs/>
          <w:sz w:val="22"/>
          <w:szCs w:val="22"/>
          <w:lang w:val="fr-FR"/>
        </w:rPr>
        <w:t>e terme</w:t>
      </w:r>
      <w:r w:rsidRPr="00D31B8A">
        <w:rPr>
          <w:rFonts w:ascii="Arial" w:hAnsi="Arial" w:cs="Arial"/>
          <w:bCs/>
          <w:sz w:val="22"/>
          <w:szCs w:val="22"/>
          <w:lang w:val="fr-FR"/>
        </w:rPr>
        <w:t xml:space="preserve"> après </w:t>
      </w:r>
      <w:r>
        <w:rPr>
          <w:rFonts w:ascii="Arial" w:hAnsi="Arial" w:cs="Arial"/>
          <w:bCs/>
          <w:sz w:val="22"/>
          <w:szCs w:val="22"/>
          <w:lang w:val="fr-FR"/>
        </w:rPr>
        <w:t>« </w:t>
      </w:r>
      <w:r w:rsidRPr="00D31B8A">
        <w:rPr>
          <w:rFonts w:ascii="Arial" w:hAnsi="Arial" w:cs="Arial"/>
          <w:bCs/>
          <w:sz w:val="22"/>
          <w:szCs w:val="22"/>
          <w:lang w:val="fr-FR"/>
        </w:rPr>
        <w:t>Approuve</w:t>
      </w:r>
      <w:r>
        <w:rPr>
          <w:rFonts w:ascii="Arial" w:hAnsi="Arial" w:cs="Arial"/>
          <w:bCs/>
          <w:sz w:val="22"/>
          <w:szCs w:val="22"/>
          <w:lang w:val="fr-FR"/>
        </w:rPr>
        <w:t> »</w:t>
      </w:r>
      <w:r w:rsidRPr="00D31B8A">
        <w:rPr>
          <w:rFonts w:ascii="Arial" w:hAnsi="Arial" w:cs="Arial"/>
          <w:bCs/>
          <w:sz w:val="22"/>
          <w:szCs w:val="22"/>
          <w:lang w:val="fr-FR"/>
        </w:rPr>
        <w:t>.</w:t>
      </w:r>
    </w:p>
    <w:p w14:paraId="39B637FD"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8825D9">
        <w:rPr>
          <w:rFonts w:ascii="Arial" w:hAnsi="Arial" w:cs="Arial"/>
          <w:bCs/>
          <w:sz w:val="22"/>
          <w:szCs w:val="22"/>
          <w:lang w:val="fr-FR"/>
        </w:rPr>
        <w:t>délégation</w:t>
      </w:r>
      <w:r>
        <w:rPr>
          <w:rFonts w:ascii="Arial" w:hAnsi="Arial" w:cs="Arial"/>
          <w:bCs/>
          <w:sz w:val="22"/>
          <w:szCs w:val="22"/>
          <w:lang w:val="fr-FR"/>
        </w:rPr>
        <w:t xml:space="preserve"> de </w:t>
      </w:r>
      <w:r w:rsidRPr="008825D9">
        <w:rPr>
          <w:rFonts w:ascii="Arial" w:hAnsi="Arial" w:cs="Arial"/>
          <w:b/>
          <w:sz w:val="22"/>
          <w:szCs w:val="22"/>
          <w:lang w:val="fr-FR"/>
        </w:rPr>
        <w:t>Chypre</w:t>
      </w:r>
      <w:r>
        <w:rPr>
          <w:rFonts w:ascii="Arial" w:hAnsi="Arial" w:cs="Arial"/>
          <w:bCs/>
          <w:sz w:val="22"/>
          <w:szCs w:val="22"/>
          <w:lang w:val="fr-FR"/>
        </w:rPr>
        <w:t xml:space="preserve"> préférait la </w:t>
      </w:r>
      <w:r w:rsidRPr="008825D9">
        <w:rPr>
          <w:rFonts w:ascii="Arial" w:hAnsi="Arial" w:cs="Arial"/>
          <w:bCs/>
          <w:sz w:val="22"/>
          <w:szCs w:val="22"/>
          <w:lang w:val="fr-FR"/>
        </w:rPr>
        <w:t>proposition</w:t>
      </w:r>
      <w:r>
        <w:rPr>
          <w:rFonts w:ascii="Arial" w:hAnsi="Arial" w:cs="Arial"/>
          <w:bCs/>
          <w:sz w:val="22"/>
          <w:szCs w:val="22"/>
          <w:lang w:val="fr-FR"/>
        </w:rPr>
        <w:t xml:space="preserve"> du Conseiller juridique, mais dans un souci de parvenir à un consensus, elle pouvait envisager que « sur une base </w:t>
      </w:r>
      <w:r w:rsidRPr="008825D9">
        <w:rPr>
          <w:rFonts w:ascii="Arial" w:hAnsi="Arial" w:cs="Arial"/>
          <w:bCs/>
          <w:sz w:val="22"/>
          <w:szCs w:val="22"/>
          <w:lang w:val="fr-FR"/>
        </w:rPr>
        <w:t>exceptionne</w:t>
      </w:r>
      <w:r>
        <w:rPr>
          <w:rFonts w:ascii="Arial" w:hAnsi="Arial" w:cs="Arial"/>
          <w:bCs/>
          <w:sz w:val="22"/>
          <w:szCs w:val="22"/>
          <w:lang w:val="fr-FR"/>
        </w:rPr>
        <w:t>lle » soit mentionné deux fois.</w:t>
      </w:r>
    </w:p>
    <w:p w14:paraId="1E8EBB01"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8825D9">
        <w:rPr>
          <w:rFonts w:ascii="Arial" w:hAnsi="Arial" w:cs="Arial"/>
          <w:bCs/>
          <w:sz w:val="22"/>
          <w:szCs w:val="22"/>
          <w:lang w:val="fr-FR"/>
        </w:rPr>
        <w:t>délégation</w:t>
      </w:r>
      <w:r>
        <w:rPr>
          <w:rFonts w:ascii="Arial" w:hAnsi="Arial" w:cs="Arial"/>
          <w:bCs/>
          <w:sz w:val="22"/>
          <w:szCs w:val="22"/>
          <w:lang w:val="fr-FR"/>
        </w:rPr>
        <w:t xml:space="preserve"> de la </w:t>
      </w:r>
      <w:r w:rsidRPr="008825D9">
        <w:rPr>
          <w:rFonts w:ascii="Arial" w:hAnsi="Arial" w:cs="Arial"/>
          <w:b/>
          <w:sz w:val="22"/>
          <w:szCs w:val="22"/>
          <w:lang w:val="fr-FR"/>
        </w:rPr>
        <w:t>Palestine</w:t>
      </w:r>
      <w:r>
        <w:rPr>
          <w:rFonts w:ascii="Arial" w:hAnsi="Arial" w:cs="Arial"/>
          <w:bCs/>
          <w:sz w:val="22"/>
          <w:szCs w:val="22"/>
          <w:lang w:val="fr-FR"/>
        </w:rPr>
        <w:t xml:space="preserve"> pourrait accepter cette </w:t>
      </w:r>
      <w:r w:rsidRPr="008825D9">
        <w:rPr>
          <w:rFonts w:ascii="Arial" w:hAnsi="Arial" w:cs="Arial"/>
          <w:bCs/>
          <w:sz w:val="22"/>
          <w:szCs w:val="22"/>
          <w:lang w:val="fr-FR"/>
        </w:rPr>
        <w:t>proposition</w:t>
      </w:r>
      <w:r>
        <w:rPr>
          <w:rFonts w:ascii="Arial" w:hAnsi="Arial" w:cs="Arial"/>
          <w:bCs/>
          <w:sz w:val="22"/>
          <w:szCs w:val="22"/>
          <w:lang w:val="fr-FR"/>
        </w:rPr>
        <w:t>.</w:t>
      </w:r>
    </w:p>
    <w:p w14:paraId="64A8E3E3" w14:textId="553C35C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8825D9">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F1425E">
        <w:rPr>
          <w:rFonts w:ascii="Arial" w:hAnsi="Arial" w:cs="Arial"/>
          <w:b/>
          <w:sz w:val="22"/>
          <w:szCs w:val="22"/>
          <w:lang w:val="fr-FR"/>
        </w:rPr>
        <w:t>Éthiopie</w:t>
      </w:r>
      <w:r>
        <w:rPr>
          <w:rFonts w:ascii="Arial" w:hAnsi="Arial" w:cs="Arial"/>
          <w:bCs/>
          <w:sz w:val="22"/>
          <w:szCs w:val="22"/>
          <w:lang w:val="fr-FR"/>
        </w:rPr>
        <w:t xml:space="preserve"> a fait remarquer qu</w:t>
      </w:r>
      <w:r w:rsidR="008E532B">
        <w:rPr>
          <w:rFonts w:ascii="Arial" w:hAnsi="Arial" w:cs="Arial"/>
          <w:bCs/>
          <w:sz w:val="22"/>
          <w:szCs w:val="22"/>
          <w:lang w:val="fr-FR"/>
        </w:rPr>
        <w:t>’</w:t>
      </w:r>
      <w:r>
        <w:rPr>
          <w:rFonts w:ascii="Arial" w:hAnsi="Arial" w:cs="Arial"/>
          <w:bCs/>
          <w:sz w:val="22"/>
          <w:szCs w:val="22"/>
          <w:lang w:val="fr-FR"/>
        </w:rPr>
        <w:t>elle avait accepté d</w:t>
      </w:r>
      <w:r w:rsidR="008E532B">
        <w:rPr>
          <w:rFonts w:ascii="Arial" w:hAnsi="Arial" w:cs="Arial"/>
          <w:bCs/>
          <w:sz w:val="22"/>
          <w:szCs w:val="22"/>
          <w:lang w:val="fr-FR"/>
        </w:rPr>
        <w:t>’</w:t>
      </w:r>
      <w:r>
        <w:rPr>
          <w:rFonts w:ascii="Arial" w:hAnsi="Arial" w:cs="Arial"/>
          <w:bCs/>
          <w:sz w:val="22"/>
          <w:szCs w:val="22"/>
          <w:lang w:val="fr-FR"/>
        </w:rPr>
        <w:t xml:space="preserve">insérer « sur une base </w:t>
      </w:r>
      <w:r w:rsidRPr="00F1425E">
        <w:rPr>
          <w:rFonts w:ascii="Arial" w:hAnsi="Arial" w:cs="Arial"/>
          <w:bCs/>
          <w:sz w:val="22"/>
          <w:szCs w:val="22"/>
          <w:lang w:val="fr-FR"/>
        </w:rPr>
        <w:t>exceptionne</w:t>
      </w:r>
      <w:r>
        <w:rPr>
          <w:rFonts w:ascii="Arial" w:hAnsi="Arial" w:cs="Arial"/>
          <w:bCs/>
          <w:sz w:val="22"/>
          <w:szCs w:val="22"/>
          <w:lang w:val="fr-FR"/>
        </w:rPr>
        <w:t>lle » après « Approuve », mais qu</w:t>
      </w:r>
      <w:r w:rsidR="008E532B">
        <w:rPr>
          <w:rFonts w:ascii="Arial" w:hAnsi="Arial" w:cs="Arial"/>
          <w:bCs/>
          <w:sz w:val="22"/>
          <w:szCs w:val="22"/>
          <w:lang w:val="fr-FR"/>
        </w:rPr>
        <w:t>’</w:t>
      </w:r>
      <w:r>
        <w:rPr>
          <w:rFonts w:ascii="Arial" w:hAnsi="Arial" w:cs="Arial"/>
          <w:bCs/>
          <w:sz w:val="22"/>
          <w:szCs w:val="22"/>
          <w:lang w:val="fr-FR"/>
        </w:rPr>
        <w:t>elle n</w:t>
      </w:r>
      <w:r w:rsidR="008E532B">
        <w:rPr>
          <w:rFonts w:ascii="Arial" w:hAnsi="Arial" w:cs="Arial"/>
          <w:bCs/>
          <w:sz w:val="22"/>
          <w:szCs w:val="22"/>
          <w:lang w:val="fr-FR"/>
        </w:rPr>
        <w:t>’</w:t>
      </w:r>
      <w:r>
        <w:rPr>
          <w:rFonts w:ascii="Arial" w:hAnsi="Arial" w:cs="Arial"/>
          <w:bCs/>
          <w:sz w:val="22"/>
          <w:szCs w:val="22"/>
          <w:lang w:val="fr-FR"/>
        </w:rPr>
        <w:t>accepterait pas le terme deux fois dans la même phrase.</w:t>
      </w:r>
    </w:p>
    <w:p w14:paraId="3E3B6317" w14:textId="5C48393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1425E">
        <w:rPr>
          <w:rFonts w:ascii="Arial" w:hAnsi="Arial" w:cs="Arial"/>
          <w:bCs/>
          <w:sz w:val="22"/>
          <w:szCs w:val="22"/>
          <w:lang w:val="fr-FR"/>
        </w:rPr>
        <w:t xml:space="preserve">La délégation de </w:t>
      </w:r>
      <w:r w:rsidRPr="00F1425E">
        <w:rPr>
          <w:rFonts w:ascii="Arial" w:hAnsi="Arial" w:cs="Arial"/>
          <w:b/>
          <w:sz w:val="22"/>
          <w:szCs w:val="22"/>
          <w:lang w:val="fr-FR"/>
        </w:rPr>
        <w:t>Djibouti</w:t>
      </w:r>
      <w:r w:rsidRPr="00F1425E">
        <w:rPr>
          <w:rFonts w:ascii="Arial" w:hAnsi="Arial" w:cs="Arial"/>
          <w:bCs/>
          <w:sz w:val="22"/>
          <w:szCs w:val="22"/>
          <w:lang w:val="fr-FR"/>
        </w:rPr>
        <w:t xml:space="preserve"> a demandé pourquoi le projet de résolution, tel qu</w:t>
      </w:r>
      <w:r w:rsidR="008E532B">
        <w:rPr>
          <w:rFonts w:ascii="Arial" w:hAnsi="Arial" w:cs="Arial"/>
          <w:bCs/>
          <w:sz w:val="22"/>
          <w:szCs w:val="22"/>
          <w:lang w:val="fr-FR"/>
        </w:rPr>
        <w:t>’</w:t>
      </w:r>
      <w:r w:rsidRPr="00F1425E">
        <w:rPr>
          <w:rFonts w:ascii="Arial" w:hAnsi="Arial" w:cs="Arial"/>
          <w:bCs/>
          <w:sz w:val="22"/>
          <w:szCs w:val="22"/>
          <w:lang w:val="fr-FR"/>
        </w:rPr>
        <w:t>il apparaissait à l</w:t>
      </w:r>
      <w:r w:rsidR="008E532B">
        <w:rPr>
          <w:rFonts w:ascii="Arial" w:hAnsi="Arial" w:cs="Arial"/>
          <w:bCs/>
          <w:sz w:val="22"/>
          <w:szCs w:val="22"/>
          <w:lang w:val="fr-FR"/>
        </w:rPr>
        <w:t>’</w:t>
      </w:r>
      <w:r w:rsidRPr="00F1425E">
        <w:rPr>
          <w:rFonts w:ascii="Arial" w:hAnsi="Arial" w:cs="Arial"/>
          <w:bCs/>
          <w:sz w:val="22"/>
          <w:szCs w:val="22"/>
          <w:lang w:val="fr-FR"/>
        </w:rPr>
        <w:t>écran, ne pouvait pas être simplement adopté, ce qui serait l</w:t>
      </w:r>
      <w:r w:rsidR="008E532B">
        <w:rPr>
          <w:rFonts w:ascii="Arial" w:hAnsi="Arial" w:cs="Arial"/>
          <w:bCs/>
          <w:sz w:val="22"/>
          <w:szCs w:val="22"/>
          <w:lang w:val="fr-FR"/>
        </w:rPr>
        <w:t>’</w:t>
      </w:r>
      <w:r w:rsidRPr="00F1425E">
        <w:rPr>
          <w:rFonts w:ascii="Arial" w:hAnsi="Arial" w:cs="Arial"/>
          <w:bCs/>
          <w:sz w:val="22"/>
          <w:szCs w:val="22"/>
          <w:lang w:val="fr-FR"/>
        </w:rPr>
        <w:t>option la plus facile, partageant l</w:t>
      </w:r>
      <w:r w:rsidR="008E532B">
        <w:rPr>
          <w:rFonts w:ascii="Arial" w:hAnsi="Arial" w:cs="Arial"/>
          <w:bCs/>
          <w:sz w:val="22"/>
          <w:szCs w:val="22"/>
          <w:lang w:val="fr-FR"/>
        </w:rPr>
        <w:t>’</w:t>
      </w:r>
      <w:r w:rsidRPr="00F1425E">
        <w:rPr>
          <w:rFonts w:ascii="Arial" w:hAnsi="Arial" w:cs="Arial"/>
          <w:bCs/>
          <w:sz w:val="22"/>
          <w:szCs w:val="22"/>
          <w:lang w:val="fr-FR"/>
        </w:rPr>
        <w:t>avis du Koweït sur la nécessité de s</w:t>
      </w:r>
      <w:r w:rsidR="008E532B">
        <w:rPr>
          <w:rFonts w:ascii="Arial" w:hAnsi="Arial" w:cs="Arial"/>
          <w:bCs/>
          <w:sz w:val="22"/>
          <w:szCs w:val="22"/>
          <w:lang w:val="fr-FR"/>
        </w:rPr>
        <w:t>’</w:t>
      </w:r>
      <w:r w:rsidRPr="00F1425E">
        <w:rPr>
          <w:rFonts w:ascii="Arial" w:hAnsi="Arial" w:cs="Arial"/>
          <w:bCs/>
          <w:sz w:val="22"/>
          <w:szCs w:val="22"/>
          <w:lang w:val="fr-FR"/>
        </w:rPr>
        <w:t>entendre sur le texte et d</w:t>
      </w:r>
      <w:r w:rsidR="008E532B">
        <w:rPr>
          <w:rFonts w:ascii="Arial" w:hAnsi="Arial" w:cs="Arial"/>
          <w:bCs/>
          <w:sz w:val="22"/>
          <w:szCs w:val="22"/>
          <w:lang w:val="fr-FR"/>
        </w:rPr>
        <w:t>’</w:t>
      </w:r>
      <w:r w:rsidRPr="00F1425E">
        <w:rPr>
          <w:rFonts w:ascii="Arial" w:hAnsi="Arial" w:cs="Arial"/>
          <w:bCs/>
          <w:sz w:val="22"/>
          <w:szCs w:val="22"/>
          <w:lang w:val="fr-FR"/>
        </w:rPr>
        <w:t>aller de l</w:t>
      </w:r>
      <w:r w:rsidR="008E532B">
        <w:rPr>
          <w:rFonts w:ascii="Arial" w:hAnsi="Arial" w:cs="Arial"/>
          <w:bCs/>
          <w:sz w:val="22"/>
          <w:szCs w:val="22"/>
          <w:lang w:val="fr-FR"/>
        </w:rPr>
        <w:t>’</w:t>
      </w:r>
      <w:r w:rsidRPr="00F1425E">
        <w:rPr>
          <w:rFonts w:ascii="Arial" w:hAnsi="Arial" w:cs="Arial"/>
          <w:bCs/>
          <w:sz w:val="22"/>
          <w:szCs w:val="22"/>
          <w:lang w:val="fr-FR"/>
        </w:rPr>
        <w:t>avan</w:t>
      </w:r>
      <w:r>
        <w:rPr>
          <w:rFonts w:ascii="Arial" w:hAnsi="Arial" w:cs="Arial"/>
          <w:bCs/>
          <w:sz w:val="22"/>
          <w:szCs w:val="22"/>
          <w:lang w:val="fr-FR"/>
        </w:rPr>
        <w:t>t</w:t>
      </w:r>
      <w:r w:rsidRPr="00F1425E">
        <w:rPr>
          <w:rFonts w:ascii="Arial" w:hAnsi="Arial" w:cs="Arial"/>
          <w:bCs/>
          <w:sz w:val="22"/>
          <w:szCs w:val="22"/>
          <w:lang w:val="fr-FR"/>
        </w:rPr>
        <w:t>. De plus, la modification proposée était mineure et le Conseiller juridique avait déjà fourni son conseil ainsi qu</w:t>
      </w:r>
      <w:r w:rsidR="008E532B">
        <w:rPr>
          <w:rFonts w:ascii="Arial" w:hAnsi="Arial" w:cs="Arial"/>
          <w:bCs/>
          <w:sz w:val="22"/>
          <w:szCs w:val="22"/>
          <w:lang w:val="fr-FR"/>
        </w:rPr>
        <w:t>’</w:t>
      </w:r>
      <w:r w:rsidRPr="00F1425E">
        <w:rPr>
          <w:rFonts w:ascii="Arial" w:hAnsi="Arial" w:cs="Arial"/>
          <w:bCs/>
          <w:sz w:val="22"/>
          <w:szCs w:val="22"/>
          <w:lang w:val="fr-FR"/>
        </w:rPr>
        <w:t>un texte acceptable, que l</w:t>
      </w:r>
      <w:r w:rsidR="008E532B">
        <w:rPr>
          <w:rFonts w:ascii="Arial" w:hAnsi="Arial" w:cs="Arial"/>
          <w:bCs/>
          <w:sz w:val="22"/>
          <w:szCs w:val="22"/>
          <w:lang w:val="fr-FR"/>
        </w:rPr>
        <w:t>’</w:t>
      </w:r>
      <w:r w:rsidRPr="00F1425E">
        <w:rPr>
          <w:rFonts w:ascii="Arial" w:hAnsi="Arial" w:cs="Arial"/>
          <w:bCs/>
          <w:sz w:val="22"/>
          <w:szCs w:val="22"/>
          <w:lang w:val="fr-FR"/>
        </w:rPr>
        <w:t>Assemblée était prête à adopter.</w:t>
      </w:r>
    </w:p>
    <w:p w14:paraId="07554B37" w14:textId="30826B9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1425E">
        <w:rPr>
          <w:rFonts w:ascii="Arial" w:hAnsi="Arial" w:cs="Arial"/>
          <w:bCs/>
          <w:sz w:val="22"/>
          <w:szCs w:val="22"/>
          <w:lang w:val="fr-FR"/>
        </w:rPr>
        <w:t>délégation</w:t>
      </w:r>
      <w:r>
        <w:rPr>
          <w:rFonts w:ascii="Arial" w:hAnsi="Arial" w:cs="Arial"/>
          <w:bCs/>
          <w:sz w:val="22"/>
          <w:szCs w:val="22"/>
          <w:lang w:val="fr-FR"/>
        </w:rPr>
        <w:t xml:space="preserve"> de la </w:t>
      </w:r>
      <w:r w:rsidRPr="00F1425E">
        <w:rPr>
          <w:rFonts w:ascii="Arial" w:hAnsi="Arial" w:cs="Arial"/>
          <w:b/>
          <w:sz w:val="22"/>
          <w:szCs w:val="22"/>
          <w:lang w:val="fr-FR"/>
        </w:rPr>
        <w:t>Palestine</w:t>
      </w:r>
      <w:r>
        <w:rPr>
          <w:rFonts w:ascii="Arial" w:hAnsi="Arial" w:cs="Arial"/>
          <w:bCs/>
          <w:sz w:val="22"/>
          <w:szCs w:val="22"/>
          <w:lang w:val="fr-FR"/>
        </w:rPr>
        <w:t xml:space="preserve"> a invoqué une motion d</w:t>
      </w:r>
      <w:r w:rsidR="008E532B">
        <w:rPr>
          <w:rFonts w:ascii="Arial" w:hAnsi="Arial" w:cs="Arial"/>
          <w:bCs/>
          <w:sz w:val="22"/>
          <w:szCs w:val="22"/>
          <w:lang w:val="fr-FR"/>
        </w:rPr>
        <w:t>’</w:t>
      </w:r>
      <w:r>
        <w:rPr>
          <w:rFonts w:ascii="Arial" w:hAnsi="Arial" w:cs="Arial"/>
          <w:bCs/>
          <w:sz w:val="22"/>
          <w:szCs w:val="22"/>
          <w:lang w:val="fr-FR"/>
        </w:rPr>
        <w:t>ordre, ajoutant qu</w:t>
      </w:r>
      <w:r w:rsidR="008E532B">
        <w:rPr>
          <w:rFonts w:ascii="Arial" w:hAnsi="Arial" w:cs="Arial"/>
          <w:bCs/>
          <w:sz w:val="22"/>
          <w:szCs w:val="22"/>
          <w:lang w:val="fr-FR"/>
        </w:rPr>
        <w:t>’</w:t>
      </w:r>
      <w:r>
        <w:rPr>
          <w:rFonts w:ascii="Arial" w:hAnsi="Arial" w:cs="Arial"/>
          <w:bCs/>
          <w:sz w:val="22"/>
          <w:szCs w:val="22"/>
          <w:lang w:val="fr-FR"/>
        </w:rPr>
        <w:t xml:space="preserve">elle avait fait une </w:t>
      </w:r>
      <w:r w:rsidRPr="00F1425E">
        <w:rPr>
          <w:rFonts w:ascii="Arial" w:hAnsi="Arial" w:cs="Arial"/>
          <w:bCs/>
          <w:sz w:val="22"/>
          <w:szCs w:val="22"/>
          <w:lang w:val="fr-FR"/>
        </w:rPr>
        <w:t>proposition</w:t>
      </w:r>
      <w:r>
        <w:rPr>
          <w:rFonts w:ascii="Arial" w:hAnsi="Arial" w:cs="Arial"/>
          <w:bCs/>
          <w:sz w:val="22"/>
          <w:szCs w:val="22"/>
          <w:lang w:val="fr-FR"/>
        </w:rPr>
        <w:t xml:space="preserve"> qui avait reçu le soutien d</w:t>
      </w:r>
      <w:r w:rsidR="008E532B">
        <w:rPr>
          <w:rFonts w:ascii="Arial" w:hAnsi="Arial" w:cs="Arial"/>
          <w:bCs/>
          <w:sz w:val="22"/>
          <w:szCs w:val="22"/>
          <w:lang w:val="fr-FR"/>
        </w:rPr>
        <w:t>’</w:t>
      </w:r>
      <w:r>
        <w:rPr>
          <w:rFonts w:ascii="Arial" w:hAnsi="Arial" w:cs="Arial"/>
          <w:bCs/>
          <w:sz w:val="22"/>
          <w:szCs w:val="22"/>
          <w:lang w:val="fr-FR"/>
        </w:rPr>
        <w:t xml:space="preserve">autres </w:t>
      </w:r>
      <w:r w:rsidRPr="00F1425E">
        <w:rPr>
          <w:rFonts w:ascii="Arial" w:hAnsi="Arial" w:cs="Arial"/>
          <w:bCs/>
          <w:sz w:val="22"/>
          <w:szCs w:val="22"/>
          <w:lang w:val="fr-FR"/>
        </w:rPr>
        <w:t>délégatio</w:t>
      </w:r>
      <w:r>
        <w:rPr>
          <w:rFonts w:ascii="Arial" w:hAnsi="Arial" w:cs="Arial"/>
          <w:bCs/>
          <w:sz w:val="22"/>
          <w:szCs w:val="22"/>
          <w:lang w:val="fr-FR"/>
        </w:rPr>
        <w:t xml:space="preserve">ns, y compris celles qui y étaient </w:t>
      </w:r>
      <w:r w:rsidRPr="00F1425E">
        <w:rPr>
          <w:rFonts w:ascii="Arial" w:hAnsi="Arial" w:cs="Arial"/>
          <w:bCs/>
          <w:sz w:val="22"/>
          <w:szCs w:val="22"/>
          <w:lang w:val="fr-FR"/>
        </w:rPr>
        <w:t>initia</w:t>
      </w:r>
      <w:r>
        <w:rPr>
          <w:rFonts w:ascii="Arial" w:hAnsi="Arial" w:cs="Arial"/>
          <w:bCs/>
          <w:sz w:val="22"/>
          <w:szCs w:val="22"/>
          <w:lang w:val="fr-FR"/>
        </w:rPr>
        <w:t>lement opposées. Elle a d</w:t>
      </w:r>
      <w:r w:rsidR="008E532B">
        <w:rPr>
          <w:rFonts w:ascii="Arial" w:hAnsi="Arial" w:cs="Arial"/>
          <w:bCs/>
          <w:sz w:val="22"/>
          <w:szCs w:val="22"/>
          <w:lang w:val="fr-FR"/>
        </w:rPr>
        <w:t>’</w:t>
      </w:r>
      <w:r>
        <w:rPr>
          <w:rFonts w:ascii="Arial" w:hAnsi="Arial" w:cs="Arial"/>
          <w:bCs/>
          <w:sz w:val="22"/>
          <w:szCs w:val="22"/>
          <w:lang w:val="fr-FR"/>
        </w:rPr>
        <w:t>ailleurs remercié l</w:t>
      </w:r>
      <w:r w:rsidR="008E532B">
        <w:rPr>
          <w:rFonts w:ascii="Arial" w:hAnsi="Arial" w:cs="Arial"/>
          <w:bCs/>
          <w:sz w:val="22"/>
          <w:szCs w:val="22"/>
          <w:lang w:val="fr-FR"/>
        </w:rPr>
        <w:t>’</w:t>
      </w:r>
      <w:r>
        <w:rPr>
          <w:rFonts w:ascii="Arial" w:hAnsi="Arial" w:cs="Arial"/>
          <w:bCs/>
          <w:sz w:val="22"/>
          <w:szCs w:val="22"/>
          <w:lang w:val="fr-FR"/>
        </w:rPr>
        <w:t xml:space="preserve">Éthiopie pour sa flexibilité. En outre, de nombreuses </w:t>
      </w:r>
      <w:r w:rsidRPr="00F1425E">
        <w:rPr>
          <w:rFonts w:ascii="Arial" w:hAnsi="Arial" w:cs="Arial"/>
          <w:bCs/>
          <w:sz w:val="22"/>
          <w:szCs w:val="22"/>
          <w:lang w:val="fr-FR"/>
        </w:rPr>
        <w:t>délégatio</w:t>
      </w:r>
      <w:r>
        <w:rPr>
          <w:rFonts w:ascii="Arial" w:hAnsi="Arial" w:cs="Arial"/>
          <w:bCs/>
          <w:sz w:val="22"/>
          <w:szCs w:val="22"/>
          <w:lang w:val="fr-FR"/>
        </w:rPr>
        <w:t xml:space="preserve">ns soutenaient la double insertion du terme, après « Approuve » et après « soupe au giraumon ». La </w:t>
      </w:r>
      <w:r w:rsidRPr="00F1425E">
        <w:rPr>
          <w:rFonts w:ascii="Arial" w:hAnsi="Arial" w:cs="Arial"/>
          <w:bCs/>
          <w:sz w:val="22"/>
          <w:szCs w:val="22"/>
          <w:lang w:val="fr-FR"/>
        </w:rPr>
        <w:t>délégation</w:t>
      </w:r>
      <w:r>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était pas opposée à cette solution.</w:t>
      </w:r>
    </w:p>
    <w:p w14:paraId="6E3338FF" w14:textId="4A2AA1D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5E7069">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5E7069">
        <w:rPr>
          <w:rFonts w:ascii="Arial" w:hAnsi="Arial" w:cs="Arial"/>
          <w:b/>
          <w:sz w:val="22"/>
          <w:szCs w:val="22"/>
          <w:lang w:val="fr-FR"/>
        </w:rPr>
        <w:t>Éthiopie</w:t>
      </w:r>
      <w:r>
        <w:rPr>
          <w:rFonts w:ascii="Arial" w:hAnsi="Arial" w:cs="Arial"/>
          <w:bCs/>
          <w:sz w:val="22"/>
          <w:szCs w:val="22"/>
          <w:lang w:val="fr-FR"/>
        </w:rPr>
        <w:t xml:space="preserve"> ne consentait pas à insérer deux fois « sur une base exceptionnelle » et elle a demandé que l</w:t>
      </w:r>
      <w:r w:rsidR="008E532B">
        <w:rPr>
          <w:rFonts w:ascii="Arial" w:hAnsi="Arial" w:cs="Arial"/>
          <w:bCs/>
          <w:sz w:val="22"/>
          <w:szCs w:val="22"/>
          <w:lang w:val="fr-FR"/>
        </w:rPr>
        <w:t>’</w:t>
      </w:r>
      <w:r>
        <w:rPr>
          <w:rFonts w:ascii="Arial" w:hAnsi="Arial" w:cs="Arial"/>
          <w:bCs/>
          <w:sz w:val="22"/>
          <w:szCs w:val="22"/>
          <w:lang w:val="fr-FR"/>
        </w:rPr>
        <w:t>on supprime la deuxième occurrence.</w:t>
      </w:r>
    </w:p>
    <w:p w14:paraId="3E1E7B6F" w14:textId="6090659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5E7069">
        <w:rPr>
          <w:rFonts w:ascii="Arial" w:hAnsi="Arial" w:cs="Arial"/>
          <w:bCs/>
          <w:sz w:val="22"/>
          <w:szCs w:val="22"/>
          <w:lang w:val="fr-FR"/>
        </w:rPr>
        <w:t>délégation</w:t>
      </w:r>
      <w:r>
        <w:rPr>
          <w:rFonts w:ascii="Arial" w:hAnsi="Arial" w:cs="Arial"/>
          <w:bCs/>
          <w:sz w:val="22"/>
          <w:szCs w:val="22"/>
          <w:lang w:val="fr-FR"/>
        </w:rPr>
        <w:t xml:space="preserve"> du </w:t>
      </w:r>
      <w:r w:rsidRPr="00903BE0">
        <w:rPr>
          <w:rFonts w:ascii="Arial" w:hAnsi="Arial" w:cs="Arial"/>
          <w:b/>
          <w:sz w:val="22"/>
          <w:szCs w:val="22"/>
          <w:lang w:val="fr-FR"/>
        </w:rPr>
        <w:t>Japon</w:t>
      </w:r>
      <w:r>
        <w:rPr>
          <w:rFonts w:ascii="Arial" w:hAnsi="Arial" w:cs="Arial"/>
          <w:bCs/>
          <w:sz w:val="22"/>
          <w:szCs w:val="22"/>
          <w:lang w:val="fr-FR"/>
        </w:rPr>
        <w:t xml:space="preserve"> a demandé à la Présidente de faire une </w:t>
      </w:r>
      <w:r w:rsidRPr="005E7069">
        <w:rPr>
          <w:rFonts w:ascii="Arial" w:hAnsi="Arial" w:cs="Arial"/>
          <w:bCs/>
          <w:sz w:val="22"/>
          <w:szCs w:val="22"/>
          <w:lang w:val="fr-FR"/>
        </w:rPr>
        <w:t>proposition</w:t>
      </w:r>
      <w:r>
        <w:rPr>
          <w:rFonts w:ascii="Arial" w:hAnsi="Arial" w:cs="Arial"/>
          <w:bCs/>
          <w:sz w:val="22"/>
          <w:szCs w:val="22"/>
          <w:lang w:val="fr-FR"/>
        </w:rPr>
        <w:t xml:space="preserve"> à laquelle l</w:t>
      </w:r>
      <w:r w:rsidR="008E532B">
        <w:rPr>
          <w:rFonts w:ascii="Arial" w:hAnsi="Arial" w:cs="Arial"/>
          <w:bCs/>
          <w:sz w:val="22"/>
          <w:szCs w:val="22"/>
          <w:lang w:val="fr-FR"/>
        </w:rPr>
        <w:t>’</w:t>
      </w:r>
      <w:r>
        <w:rPr>
          <w:rFonts w:ascii="Arial" w:hAnsi="Arial" w:cs="Arial"/>
          <w:bCs/>
          <w:sz w:val="22"/>
          <w:szCs w:val="22"/>
          <w:lang w:val="fr-FR"/>
        </w:rPr>
        <w:t>Assemblée souscrirait probablement.</w:t>
      </w:r>
    </w:p>
    <w:p w14:paraId="32722146" w14:textId="25A983A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03BE0">
        <w:rPr>
          <w:rFonts w:ascii="Arial" w:hAnsi="Arial" w:cs="Arial"/>
          <w:bCs/>
          <w:sz w:val="22"/>
          <w:szCs w:val="22"/>
          <w:lang w:val="fr-FR"/>
        </w:rPr>
        <w:t xml:space="preserve">La </w:t>
      </w:r>
      <w:r w:rsidRPr="00903BE0">
        <w:rPr>
          <w:rFonts w:ascii="Arial" w:hAnsi="Arial" w:cs="Arial"/>
          <w:b/>
          <w:sz w:val="22"/>
          <w:szCs w:val="22"/>
          <w:lang w:val="fr-FR"/>
        </w:rPr>
        <w:t>Présidente</w:t>
      </w:r>
      <w:r w:rsidRPr="00903BE0">
        <w:rPr>
          <w:rFonts w:ascii="Arial" w:hAnsi="Arial" w:cs="Arial"/>
          <w:bCs/>
          <w:sz w:val="22"/>
          <w:szCs w:val="22"/>
          <w:lang w:val="fr-FR"/>
        </w:rPr>
        <w:t xml:space="preserve"> a constaté </w:t>
      </w:r>
      <w:r>
        <w:rPr>
          <w:rFonts w:ascii="Arial" w:hAnsi="Arial" w:cs="Arial"/>
          <w:bCs/>
          <w:sz w:val="22"/>
          <w:szCs w:val="22"/>
          <w:lang w:val="fr-FR"/>
        </w:rPr>
        <w:t xml:space="preserve">que le </w:t>
      </w:r>
      <w:r w:rsidRPr="00903BE0">
        <w:rPr>
          <w:rFonts w:ascii="Arial" w:hAnsi="Arial" w:cs="Arial"/>
          <w:bCs/>
          <w:sz w:val="22"/>
          <w:szCs w:val="22"/>
          <w:lang w:val="fr-FR"/>
        </w:rPr>
        <w:t>consensus</w:t>
      </w:r>
      <w:r>
        <w:rPr>
          <w:rFonts w:ascii="Arial" w:hAnsi="Arial" w:cs="Arial"/>
          <w:bCs/>
          <w:sz w:val="22"/>
          <w:szCs w:val="22"/>
          <w:lang w:val="fr-FR"/>
        </w:rPr>
        <w:t xml:space="preserve"> croissant était </w:t>
      </w:r>
      <w:r w:rsidRPr="00903BE0">
        <w:rPr>
          <w:rFonts w:ascii="Arial" w:hAnsi="Arial" w:cs="Arial"/>
          <w:bCs/>
          <w:sz w:val="22"/>
          <w:szCs w:val="22"/>
          <w:lang w:val="fr-FR"/>
        </w:rPr>
        <w:t>tel qu</w:t>
      </w:r>
      <w:r w:rsidR="008E532B">
        <w:rPr>
          <w:rFonts w:ascii="Arial" w:hAnsi="Arial" w:cs="Arial"/>
          <w:bCs/>
          <w:sz w:val="22"/>
          <w:szCs w:val="22"/>
          <w:lang w:val="fr-FR"/>
        </w:rPr>
        <w:t>’</w:t>
      </w:r>
      <w:r w:rsidRPr="00903BE0">
        <w:rPr>
          <w:rFonts w:ascii="Arial" w:hAnsi="Arial" w:cs="Arial"/>
          <w:bCs/>
          <w:sz w:val="22"/>
          <w:szCs w:val="22"/>
          <w:lang w:val="fr-FR"/>
        </w:rPr>
        <w:t xml:space="preserve">il ne serait pas difficile de trouver un langage commun. </w:t>
      </w:r>
      <w:r>
        <w:rPr>
          <w:rFonts w:ascii="Arial" w:hAnsi="Arial" w:cs="Arial"/>
          <w:bCs/>
          <w:sz w:val="22"/>
          <w:szCs w:val="22"/>
          <w:lang w:val="fr-FR"/>
        </w:rPr>
        <w:t>Afin de finaliser la décision, c</w:t>
      </w:r>
      <w:r w:rsidR="008E532B">
        <w:rPr>
          <w:rFonts w:ascii="Arial" w:hAnsi="Arial" w:cs="Arial"/>
          <w:bCs/>
          <w:sz w:val="22"/>
          <w:szCs w:val="22"/>
          <w:lang w:val="fr-FR"/>
        </w:rPr>
        <w:t>’</w:t>
      </w:r>
      <w:r>
        <w:rPr>
          <w:rFonts w:ascii="Arial" w:hAnsi="Arial" w:cs="Arial"/>
          <w:bCs/>
          <w:sz w:val="22"/>
          <w:szCs w:val="22"/>
          <w:lang w:val="fr-FR"/>
        </w:rPr>
        <w:t xml:space="preserve">était </w:t>
      </w:r>
      <w:r w:rsidRPr="00903BE0">
        <w:rPr>
          <w:rFonts w:ascii="Arial" w:hAnsi="Arial" w:cs="Arial"/>
          <w:bCs/>
          <w:color w:val="000000" w:themeColor="text1"/>
          <w:sz w:val="22"/>
          <w:szCs w:val="22"/>
          <w:lang w:val="fr-FR"/>
        </w:rPr>
        <w:t>désormais</w:t>
      </w:r>
      <w:r>
        <w:rPr>
          <w:rFonts w:ascii="Arial" w:hAnsi="Arial" w:cs="Arial"/>
          <w:bCs/>
          <w:color w:val="000000" w:themeColor="text1"/>
          <w:sz w:val="22"/>
          <w:szCs w:val="22"/>
          <w:lang w:val="fr-FR"/>
        </w:rPr>
        <w:t xml:space="preserve"> </w:t>
      </w:r>
      <w:r w:rsidRPr="00903BE0">
        <w:rPr>
          <w:rFonts w:ascii="Arial" w:hAnsi="Arial" w:cs="Arial"/>
          <w:bCs/>
          <w:sz w:val="22"/>
          <w:szCs w:val="22"/>
          <w:lang w:val="fr-FR"/>
        </w:rPr>
        <w:t>une question de flexibilité</w:t>
      </w:r>
      <w:r>
        <w:rPr>
          <w:rFonts w:ascii="Arial" w:hAnsi="Arial" w:cs="Arial"/>
          <w:bCs/>
          <w:sz w:val="22"/>
          <w:szCs w:val="22"/>
          <w:lang w:val="fr-FR"/>
        </w:rPr>
        <w:t xml:space="preserve"> autour du terme « sur une </w:t>
      </w:r>
      <w:r w:rsidRPr="00903BE0">
        <w:rPr>
          <w:rFonts w:ascii="Arial" w:hAnsi="Arial" w:cs="Arial"/>
          <w:bCs/>
          <w:sz w:val="22"/>
          <w:szCs w:val="22"/>
          <w:lang w:val="fr-FR"/>
        </w:rPr>
        <w:t>base exceptionnelle</w:t>
      </w:r>
      <w:r>
        <w:rPr>
          <w:rFonts w:ascii="Arial" w:hAnsi="Arial" w:cs="Arial"/>
          <w:bCs/>
          <w:sz w:val="22"/>
          <w:szCs w:val="22"/>
          <w:lang w:val="fr-FR"/>
        </w:rPr>
        <w:t> »</w:t>
      </w:r>
      <w:r w:rsidRPr="00903BE0">
        <w:rPr>
          <w:rFonts w:ascii="Arial" w:hAnsi="Arial" w:cs="Arial"/>
          <w:bCs/>
          <w:sz w:val="22"/>
          <w:szCs w:val="22"/>
          <w:lang w:val="fr-FR"/>
        </w:rPr>
        <w:t xml:space="preserve"> mentionné deux fois</w:t>
      </w:r>
      <w:r>
        <w:rPr>
          <w:rFonts w:ascii="Arial" w:hAnsi="Arial" w:cs="Arial"/>
          <w:bCs/>
          <w:sz w:val="22"/>
          <w:szCs w:val="22"/>
          <w:lang w:val="fr-FR"/>
        </w:rPr>
        <w:t>.</w:t>
      </w:r>
    </w:p>
    <w:p w14:paraId="5F734D00" w14:textId="5F00074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03BE0">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903BE0">
        <w:rPr>
          <w:rFonts w:ascii="Arial" w:hAnsi="Arial" w:cs="Arial"/>
          <w:b/>
          <w:sz w:val="22"/>
          <w:szCs w:val="22"/>
          <w:lang w:val="fr-FR"/>
        </w:rPr>
        <w:t>Éthiopie</w:t>
      </w:r>
      <w:r w:rsidRPr="00903BE0">
        <w:rPr>
          <w:rFonts w:ascii="Arial" w:hAnsi="Arial" w:cs="Arial"/>
          <w:bCs/>
          <w:sz w:val="22"/>
          <w:szCs w:val="22"/>
          <w:lang w:val="fr-FR"/>
        </w:rPr>
        <w:t xml:space="preserve"> a expliqué qu</w:t>
      </w:r>
      <w:r w:rsidR="008E532B">
        <w:rPr>
          <w:rFonts w:ascii="Arial" w:hAnsi="Arial" w:cs="Arial"/>
          <w:bCs/>
          <w:sz w:val="22"/>
          <w:szCs w:val="22"/>
          <w:lang w:val="fr-FR"/>
        </w:rPr>
        <w:t>’</w:t>
      </w:r>
      <w:r w:rsidRPr="00903BE0">
        <w:rPr>
          <w:rFonts w:ascii="Arial" w:hAnsi="Arial" w:cs="Arial"/>
          <w:bCs/>
          <w:sz w:val="22"/>
          <w:szCs w:val="22"/>
          <w:lang w:val="fr-FR"/>
        </w:rPr>
        <w:t>elle avait accepté de se rapprocher de l</w:t>
      </w:r>
      <w:r w:rsidR="008E532B">
        <w:rPr>
          <w:rFonts w:ascii="Arial" w:hAnsi="Arial" w:cs="Arial"/>
          <w:bCs/>
          <w:sz w:val="22"/>
          <w:szCs w:val="22"/>
          <w:lang w:val="fr-FR"/>
        </w:rPr>
        <w:t>’</w:t>
      </w:r>
      <w:r w:rsidRPr="00903BE0">
        <w:rPr>
          <w:rFonts w:ascii="Arial" w:hAnsi="Arial" w:cs="Arial"/>
          <w:bCs/>
          <w:sz w:val="22"/>
          <w:szCs w:val="22"/>
          <w:lang w:val="fr-FR"/>
        </w:rPr>
        <w:t xml:space="preserve">amendement de la Palestine, </w:t>
      </w:r>
      <w:r>
        <w:rPr>
          <w:rFonts w:ascii="Arial" w:hAnsi="Arial" w:cs="Arial"/>
          <w:bCs/>
          <w:sz w:val="22"/>
          <w:szCs w:val="22"/>
          <w:lang w:val="fr-FR"/>
        </w:rPr>
        <w:t>c.-à-d. insérer</w:t>
      </w:r>
      <w:r w:rsidRPr="00903BE0">
        <w:rPr>
          <w:rFonts w:ascii="Arial" w:hAnsi="Arial" w:cs="Arial"/>
          <w:bCs/>
          <w:sz w:val="22"/>
          <w:szCs w:val="22"/>
          <w:lang w:val="fr-FR"/>
        </w:rPr>
        <w:t xml:space="preserve"> </w:t>
      </w:r>
      <w:r>
        <w:rPr>
          <w:rFonts w:ascii="Arial" w:hAnsi="Arial" w:cs="Arial"/>
          <w:bCs/>
          <w:sz w:val="22"/>
          <w:szCs w:val="22"/>
          <w:lang w:val="fr-FR"/>
        </w:rPr>
        <w:t xml:space="preserve">« sur une </w:t>
      </w:r>
      <w:r w:rsidRPr="00903BE0">
        <w:rPr>
          <w:rFonts w:ascii="Arial" w:hAnsi="Arial" w:cs="Arial"/>
          <w:bCs/>
          <w:sz w:val="22"/>
          <w:szCs w:val="22"/>
          <w:lang w:val="fr-FR"/>
        </w:rPr>
        <w:t>base exceptionnelle</w:t>
      </w:r>
      <w:r>
        <w:rPr>
          <w:rFonts w:ascii="Arial" w:hAnsi="Arial" w:cs="Arial"/>
          <w:bCs/>
          <w:sz w:val="22"/>
          <w:szCs w:val="22"/>
          <w:lang w:val="fr-FR"/>
        </w:rPr>
        <w:t> »</w:t>
      </w:r>
      <w:r w:rsidRPr="00903BE0">
        <w:rPr>
          <w:rFonts w:ascii="Arial" w:hAnsi="Arial" w:cs="Arial"/>
          <w:bCs/>
          <w:sz w:val="22"/>
          <w:szCs w:val="22"/>
          <w:lang w:val="fr-FR"/>
        </w:rPr>
        <w:t xml:space="preserve"> après </w:t>
      </w:r>
      <w:r>
        <w:rPr>
          <w:rFonts w:ascii="Arial" w:hAnsi="Arial" w:cs="Arial"/>
          <w:bCs/>
          <w:sz w:val="22"/>
          <w:szCs w:val="22"/>
          <w:lang w:val="fr-FR"/>
        </w:rPr>
        <w:t>« A</w:t>
      </w:r>
      <w:r w:rsidRPr="00903BE0">
        <w:rPr>
          <w:rFonts w:ascii="Arial" w:hAnsi="Arial" w:cs="Arial"/>
          <w:bCs/>
          <w:sz w:val="22"/>
          <w:szCs w:val="22"/>
          <w:lang w:val="fr-FR"/>
        </w:rPr>
        <w:t>pprouve</w:t>
      </w:r>
      <w:r>
        <w:rPr>
          <w:rFonts w:ascii="Arial" w:hAnsi="Arial" w:cs="Arial"/>
          <w:bCs/>
          <w:sz w:val="22"/>
          <w:szCs w:val="22"/>
          <w:lang w:val="fr-FR"/>
        </w:rPr>
        <w:t> ».</w:t>
      </w:r>
      <w:r w:rsidRPr="00903BE0">
        <w:rPr>
          <w:rFonts w:ascii="Arial" w:hAnsi="Arial" w:cs="Arial"/>
          <w:bCs/>
          <w:sz w:val="22"/>
          <w:szCs w:val="22"/>
          <w:lang w:val="fr-FR"/>
        </w:rPr>
        <w:t xml:space="preserve"> </w:t>
      </w:r>
      <w:r>
        <w:rPr>
          <w:rFonts w:ascii="Arial" w:hAnsi="Arial" w:cs="Arial"/>
          <w:bCs/>
          <w:sz w:val="22"/>
          <w:szCs w:val="22"/>
          <w:lang w:val="fr-FR"/>
        </w:rPr>
        <w:t>M</w:t>
      </w:r>
      <w:r w:rsidRPr="00903BE0">
        <w:rPr>
          <w:rFonts w:ascii="Arial" w:hAnsi="Arial" w:cs="Arial"/>
          <w:bCs/>
          <w:sz w:val="22"/>
          <w:szCs w:val="22"/>
          <w:lang w:val="fr-FR"/>
        </w:rPr>
        <w:t>ême si elle n</w:t>
      </w:r>
      <w:r w:rsidR="008E532B">
        <w:rPr>
          <w:rFonts w:ascii="Arial" w:hAnsi="Arial" w:cs="Arial"/>
          <w:bCs/>
          <w:sz w:val="22"/>
          <w:szCs w:val="22"/>
          <w:lang w:val="fr-FR"/>
        </w:rPr>
        <w:t>’</w:t>
      </w:r>
      <w:r w:rsidRPr="00903BE0">
        <w:rPr>
          <w:rFonts w:ascii="Arial" w:hAnsi="Arial" w:cs="Arial"/>
          <w:bCs/>
          <w:sz w:val="22"/>
          <w:szCs w:val="22"/>
          <w:lang w:val="fr-FR"/>
        </w:rPr>
        <w:t>y était pas favorable, elle l</w:t>
      </w:r>
      <w:r w:rsidR="008E532B">
        <w:rPr>
          <w:rFonts w:ascii="Arial" w:hAnsi="Arial" w:cs="Arial"/>
          <w:bCs/>
          <w:sz w:val="22"/>
          <w:szCs w:val="22"/>
          <w:lang w:val="fr-FR"/>
        </w:rPr>
        <w:t>’</w:t>
      </w:r>
      <w:r w:rsidRPr="00903BE0">
        <w:rPr>
          <w:rFonts w:ascii="Arial" w:hAnsi="Arial" w:cs="Arial"/>
          <w:bCs/>
          <w:sz w:val="22"/>
          <w:szCs w:val="22"/>
          <w:lang w:val="fr-FR"/>
        </w:rPr>
        <w:t xml:space="preserve">accepterait dans </w:t>
      </w:r>
      <w:r>
        <w:rPr>
          <w:rFonts w:ascii="Arial" w:hAnsi="Arial" w:cs="Arial"/>
          <w:bCs/>
          <w:sz w:val="22"/>
          <w:szCs w:val="22"/>
          <w:lang w:val="fr-FR"/>
        </w:rPr>
        <w:t xml:space="preserve">un </w:t>
      </w:r>
      <w:r w:rsidRPr="00903BE0">
        <w:rPr>
          <w:rFonts w:ascii="Arial" w:hAnsi="Arial" w:cs="Arial"/>
          <w:bCs/>
          <w:sz w:val="22"/>
          <w:szCs w:val="22"/>
          <w:lang w:val="fr-FR"/>
        </w:rPr>
        <w:t xml:space="preserve">esprit du consensus. Mais </w:t>
      </w:r>
      <w:r>
        <w:rPr>
          <w:rFonts w:ascii="Arial" w:hAnsi="Arial" w:cs="Arial"/>
          <w:bCs/>
          <w:sz w:val="22"/>
          <w:szCs w:val="22"/>
          <w:lang w:val="fr-FR"/>
        </w:rPr>
        <w:t>elle</w:t>
      </w:r>
      <w:r w:rsidRPr="00903BE0">
        <w:rPr>
          <w:rFonts w:ascii="Arial" w:hAnsi="Arial" w:cs="Arial"/>
          <w:bCs/>
          <w:sz w:val="22"/>
          <w:szCs w:val="22"/>
          <w:lang w:val="fr-FR"/>
        </w:rPr>
        <w:t xml:space="preserve"> n</w:t>
      </w:r>
      <w:r w:rsidR="008E532B">
        <w:rPr>
          <w:rFonts w:ascii="Arial" w:hAnsi="Arial" w:cs="Arial"/>
          <w:bCs/>
          <w:sz w:val="22"/>
          <w:szCs w:val="22"/>
          <w:lang w:val="fr-FR"/>
        </w:rPr>
        <w:t>’</w:t>
      </w:r>
      <w:r w:rsidRPr="00903BE0">
        <w:rPr>
          <w:rFonts w:ascii="Arial" w:hAnsi="Arial" w:cs="Arial"/>
          <w:bCs/>
          <w:sz w:val="22"/>
          <w:szCs w:val="22"/>
          <w:lang w:val="fr-FR"/>
        </w:rPr>
        <w:t xml:space="preserve">accepterait pas de mentionner deux fois </w:t>
      </w:r>
      <w:r>
        <w:rPr>
          <w:rFonts w:ascii="Arial" w:hAnsi="Arial" w:cs="Arial"/>
          <w:bCs/>
          <w:sz w:val="22"/>
          <w:szCs w:val="22"/>
          <w:lang w:val="fr-FR"/>
        </w:rPr>
        <w:t xml:space="preserve">« sur une base </w:t>
      </w:r>
      <w:r w:rsidRPr="00903BE0">
        <w:rPr>
          <w:rFonts w:ascii="Arial" w:hAnsi="Arial" w:cs="Arial"/>
          <w:bCs/>
          <w:sz w:val="22"/>
          <w:szCs w:val="22"/>
          <w:lang w:val="fr-FR"/>
        </w:rPr>
        <w:t>exceptionne</w:t>
      </w:r>
      <w:r>
        <w:rPr>
          <w:rFonts w:ascii="Arial" w:hAnsi="Arial" w:cs="Arial"/>
          <w:bCs/>
          <w:sz w:val="22"/>
          <w:szCs w:val="22"/>
          <w:lang w:val="fr-FR"/>
        </w:rPr>
        <w:t>lle »</w:t>
      </w:r>
      <w:r w:rsidRPr="00903BE0">
        <w:rPr>
          <w:rFonts w:ascii="Arial" w:hAnsi="Arial" w:cs="Arial"/>
          <w:bCs/>
          <w:sz w:val="22"/>
          <w:szCs w:val="22"/>
          <w:lang w:val="fr-FR"/>
        </w:rPr>
        <w:t>, ce qui était le consensus.</w:t>
      </w:r>
    </w:p>
    <w:p w14:paraId="655DD948" w14:textId="30AC344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03BE0">
        <w:rPr>
          <w:rFonts w:ascii="Arial" w:hAnsi="Arial" w:cs="Arial"/>
          <w:bCs/>
          <w:sz w:val="22"/>
          <w:szCs w:val="22"/>
          <w:lang w:val="fr-FR"/>
        </w:rPr>
        <w:t xml:space="preserve">Le </w:t>
      </w:r>
      <w:r w:rsidRPr="00903BE0">
        <w:rPr>
          <w:rFonts w:ascii="Arial" w:hAnsi="Arial" w:cs="Arial"/>
          <w:b/>
          <w:sz w:val="22"/>
          <w:szCs w:val="22"/>
          <w:lang w:val="fr-FR"/>
        </w:rPr>
        <w:t>Sous-Directeur général</w:t>
      </w:r>
      <w:r w:rsidRPr="00903BE0">
        <w:rPr>
          <w:rFonts w:ascii="Arial" w:hAnsi="Arial" w:cs="Arial"/>
          <w:bCs/>
          <w:sz w:val="22"/>
          <w:szCs w:val="22"/>
          <w:lang w:val="fr-FR"/>
        </w:rPr>
        <w:t xml:space="preserve"> a félicité les interprètes pour leur travail [applaudissements]. Il a</w:t>
      </w:r>
      <w:r>
        <w:rPr>
          <w:rFonts w:ascii="Arial" w:hAnsi="Arial" w:cs="Arial"/>
          <w:bCs/>
          <w:sz w:val="22"/>
          <w:szCs w:val="22"/>
          <w:lang w:val="fr-FR"/>
        </w:rPr>
        <w:t>vait</w:t>
      </w:r>
      <w:r w:rsidRPr="00903BE0">
        <w:rPr>
          <w:rFonts w:ascii="Arial" w:hAnsi="Arial" w:cs="Arial"/>
          <w:bCs/>
          <w:sz w:val="22"/>
          <w:szCs w:val="22"/>
          <w:lang w:val="fr-FR"/>
        </w:rPr>
        <w:t xml:space="preserve"> noté trois propositions différentes, pour lesquelles il n</w:t>
      </w:r>
      <w:r w:rsidR="008E532B">
        <w:rPr>
          <w:rFonts w:ascii="Arial" w:hAnsi="Arial" w:cs="Arial"/>
          <w:bCs/>
          <w:sz w:val="22"/>
          <w:szCs w:val="22"/>
          <w:lang w:val="fr-FR"/>
        </w:rPr>
        <w:t>’</w:t>
      </w:r>
      <w:r w:rsidRPr="00903BE0">
        <w:rPr>
          <w:rFonts w:ascii="Arial" w:hAnsi="Arial" w:cs="Arial"/>
          <w:bCs/>
          <w:sz w:val="22"/>
          <w:szCs w:val="22"/>
          <w:lang w:val="fr-FR"/>
        </w:rPr>
        <w:t>y a</w:t>
      </w:r>
      <w:r>
        <w:rPr>
          <w:rFonts w:ascii="Arial" w:hAnsi="Arial" w:cs="Arial"/>
          <w:bCs/>
          <w:sz w:val="22"/>
          <w:szCs w:val="22"/>
          <w:lang w:val="fr-FR"/>
        </w:rPr>
        <w:t>vait</w:t>
      </w:r>
      <w:r w:rsidRPr="00903BE0">
        <w:rPr>
          <w:rFonts w:ascii="Arial" w:hAnsi="Arial" w:cs="Arial"/>
          <w:bCs/>
          <w:sz w:val="22"/>
          <w:szCs w:val="22"/>
          <w:lang w:val="fr-FR"/>
        </w:rPr>
        <w:t xml:space="preserve"> pas de position unanime. Même si les délégations </w:t>
      </w:r>
      <w:r>
        <w:rPr>
          <w:rFonts w:ascii="Arial" w:hAnsi="Arial" w:cs="Arial"/>
          <w:bCs/>
          <w:sz w:val="22"/>
          <w:szCs w:val="22"/>
          <w:lang w:val="fr-FR"/>
        </w:rPr>
        <w:t>étaient</w:t>
      </w:r>
      <w:r w:rsidRPr="00903BE0">
        <w:rPr>
          <w:rFonts w:ascii="Arial" w:hAnsi="Arial" w:cs="Arial"/>
          <w:bCs/>
          <w:sz w:val="22"/>
          <w:szCs w:val="22"/>
          <w:lang w:val="fr-FR"/>
        </w:rPr>
        <w:t xml:space="preserve"> d</w:t>
      </w:r>
      <w:r w:rsidR="008E532B">
        <w:rPr>
          <w:rFonts w:ascii="Arial" w:hAnsi="Arial" w:cs="Arial"/>
          <w:bCs/>
          <w:sz w:val="22"/>
          <w:szCs w:val="22"/>
          <w:lang w:val="fr-FR"/>
        </w:rPr>
        <w:t>’</w:t>
      </w:r>
      <w:r w:rsidRPr="00903BE0">
        <w:rPr>
          <w:rFonts w:ascii="Arial" w:hAnsi="Arial" w:cs="Arial"/>
          <w:bCs/>
          <w:sz w:val="22"/>
          <w:szCs w:val="22"/>
          <w:lang w:val="fr-FR"/>
        </w:rPr>
        <w:t>accord avec le contenu du paragraphe 5, la question de l</w:t>
      </w:r>
      <w:r w:rsidR="008E532B">
        <w:rPr>
          <w:rFonts w:ascii="Arial" w:hAnsi="Arial" w:cs="Arial"/>
          <w:bCs/>
          <w:sz w:val="22"/>
          <w:szCs w:val="22"/>
          <w:lang w:val="fr-FR"/>
        </w:rPr>
        <w:t>’</w:t>
      </w:r>
      <w:r w:rsidRPr="00AB4524">
        <w:rPr>
          <w:rFonts w:ascii="Arial" w:hAnsi="Arial" w:cs="Arial"/>
          <w:bCs/>
          <w:sz w:val="22"/>
          <w:szCs w:val="22"/>
          <w:lang w:val="fr-FR"/>
        </w:rPr>
        <w:t>emplacement</w:t>
      </w:r>
      <w:r>
        <w:rPr>
          <w:rFonts w:ascii="Arial" w:hAnsi="Arial" w:cs="Arial"/>
          <w:bCs/>
          <w:sz w:val="22"/>
          <w:szCs w:val="22"/>
          <w:lang w:val="fr-FR"/>
        </w:rPr>
        <w:t xml:space="preserve"> </w:t>
      </w:r>
      <w:r w:rsidRPr="00903BE0">
        <w:rPr>
          <w:rFonts w:ascii="Arial" w:hAnsi="Arial" w:cs="Arial"/>
          <w:bCs/>
          <w:sz w:val="22"/>
          <w:szCs w:val="22"/>
          <w:lang w:val="fr-FR"/>
        </w:rPr>
        <w:t>d</w:t>
      </w:r>
      <w:r>
        <w:rPr>
          <w:rFonts w:ascii="Arial" w:hAnsi="Arial" w:cs="Arial"/>
          <w:bCs/>
          <w:sz w:val="22"/>
          <w:szCs w:val="22"/>
          <w:lang w:val="fr-FR"/>
        </w:rPr>
        <w:t>u terme</w:t>
      </w:r>
      <w:r w:rsidRPr="00903BE0">
        <w:rPr>
          <w:rFonts w:ascii="Arial" w:hAnsi="Arial" w:cs="Arial"/>
          <w:bCs/>
          <w:sz w:val="22"/>
          <w:szCs w:val="22"/>
          <w:lang w:val="fr-FR"/>
        </w:rPr>
        <w:t xml:space="preserve"> </w:t>
      </w:r>
      <w:r>
        <w:rPr>
          <w:rFonts w:ascii="Arial" w:hAnsi="Arial" w:cs="Arial"/>
          <w:bCs/>
          <w:sz w:val="22"/>
          <w:szCs w:val="22"/>
          <w:lang w:val="fr-FR"/>
        </w:rPr>
        <w:t xml:space="preserve">« sur une </w:t>
      </w:r>
      <w:r w:rsidRPr="00903BE0">
        <w:rPr>
          <w:rFonts w:ascii="Arial" w:hAnsi="Arial" w:cs="Arial"/>
          <w:bCs/>
          <w:sz w:val="22"/>
          <w:szCs w:val="22"/>
          <w:lang w:val="fr-FR"/>
        </w:rPr>
        <w:t>base exceptionnelle</w:t>
      </w:r>
      <w:r>
        <w:rPr>
          <w:rFonts w:ascii="Arial" w:hAnsi="Arial" w:cs="Arial"/>
          <w:bCs/>
          <w:sz w:val="22"/>
          <w:szCs w:val="22"/>
          <w:lang w:val="fr-FR"/>
        </w:rPr>
        <w:t> »</w:t>
      </w:r>
      <w:r w:rsidRPr="00903BE0">
        <w:rPr>
          <w:rFonts w:ascii="Arial" w:hAnsi="Arial" w:cs="Arial"/>
          <w:bCs/>
          <w:sz w:val="22"/>
          <w:szCs w:val="22"/>
          <w:lang w:val="fr-FR"/>
        </w:rPr>
        <w:t xml:space="preserve"> rest</w:t>
      </w:r>
      <w:r>
        <w:rPr>
          <w:rFonts w:ascii="Arial" w:hAnsi="Arial" w:cs="Arial"/>
          <w:bCs/>
          <w:sz w:val="22"/>
          <w:szCs w:val="22"/>
          <w:lang w:val="fr-FR"/>
        </w:rPr>
        <w:t>ait</w:t>
      </w:r>
      <w:r w:rsidRPr="00903BE0">
        <w:rPr>
          <w:rFonts w:ascii="Arial" w:hAnsi="Arial" w:cs="Arial"/>
          <w:bCs/>
          <w:sz w:val="22"/>
          <w:szCs w:val="22"/>
          <w:lang w:val="fr-FR"/>
        </w:rPr>
        <w:t xml:space="preserve"> posée. Une option l</w:t>
      </w:r>
      <w:r w:rsidR="008E532B">
        <w:rPr>
          <w:rFonts w:ascii="Arial" w:hAnsi="Arial" w:cs="Arial"/>
          <w:bCs/>
          <w:sz w:val="22"/>
          <w:szCs w:val="22"/>
          <w:lang w:val="fr-FR"/>
        </w:rPr>
        <w:t>’</w:t>
      </w:r>
      <w:r>
        <w:rPr>
          <w:rFonts w:ascii="Arial" w:hAnsi="Arial" w:cs="Arial"/>
          <w:bCs/>
          <w:sz w:val="22"/>
          <w:szCs w:val="22"/>
          <w:lang w:val="fr-FR"/>
        </w:rPr>
        <w:t>insérait</w:t>
      </w:r>
      <w:r w:rsidRPr="00903BE0">
        <w:rPr>
          <w:rFonts w:ascii="Arial" w:hAnsi="Arial" w:cs="Arial"/>
          <w:bCs/>
          <w:sz w:val="22"/>
          <w:szCs w:val="22"/>
          <w:lang w:val="fr-FR"/>
        </w:rPr>
        <w:t xml:space="preserve"> après </w:t>
      </w:r>
      <w:r>
        <w:rPr>
          <w:rFonts w:ascii="Arial" w:hAnsi="Arial" w:cs="Arial"/>
          <w:bCs/>
          <w:sz w:val="22"/>
          <w:szCs w:val="22"/>
          <w:lang w:val="fr-FR"/>
        </w:rPr>
        <w:t xml:space="preserve">« Approuve », </w:t>
      </w:r>
      <w:r w:rsidRPr="00903BE0">
        <w:rPr>
          <w:rFonts w:ascii="Arial" w:hAnsi="Arial" w:cs="Arial"/>
          <w:bCs/>
          <w:sz w:val="22"/>
          <w:szCs w:val="22"/>
          <w:lang w:val="fr-FR"/>
        </w:rPr>
        <w:t>la deuxième option l</w:t>
      </w:r>
      <w:r w:rsidR="008E532B">
        <w:rPr>
          <w:rFonts w:ascii="Arial" w:hAnsi="Arial" w:cs="Arial"/>
          <w:bCs/>
          <w:sz w:val="22"/>
          <w:szCs w:val="22"/>
          <w:lang w:val="fr-FR"/>
        </w:rPr>
        <w:t>’</w:t>
      </w:r>
      <w:r>
        <w:rPr>
          <w:rFonts w:ascii="Arial" w:hAnsi="Arial" w:cs="Arial"/>
          <w:bCs/>
          <w:sz w:val="22"/>
          <w:szCs w:val="22"/>
          <w:lang w:val="fr-FR"/>
        </w:rPr>
        <w:t>insérait</w:t>
      </w:r>
      <w:r w:rsidRPr="00903BE0">
        <w:rPr>
          <w:rFonts w:ascii="Arial" w:hAnsi="Arial" w:cs="Arial"/>
          <w:bCs/>
          <w:sz w:val="22"/>
          <w:szCs w:val="22"/>
          <w:lang w:val="fr-FR"/>
        </w:rPr>
        <w:t xml:space="preserve"> après </w:t>
      </w:r>
      <w:r>
        <w:rPr>
          <w:rFonts w:ascii="Arial" w:hAnsi="Arial" w:cs="Arial"/>
          <w:bCs/>
          <w:sz w:val="22"/>
          <w:szCs w:val="22"/>
          <w:lang w:val="fr-FR"/>
        </w:rPr>
        <w:t xml:space="preserve">« soupe au giraumon », </w:t>
      </w:r>
      <w:r w:rsidRPr="00903BE0">
        <w:rPr>
          <w:rFonts w:ascii="Arial" w:hAnsi="Arial" w:cs="Arial"/>
          <w:bCs/>
          <w:sz w:val="22"/>
          <w:szCs w:val="22"/>
          <w:lang w:val="fr-FR"/>
        </w:rPr>
        <w:t xml:space="preserve">et la troisième option </w:t>
      </w:r>
      <w:r>
        <w:rPr>
          <w:rFonts w:ascii="Arial" w:hAnsi="Arial" w:cs="Arial"/>
          <w:bCs/>
          <w:sz w:val="22"/>
          <w:szCs w:val="22"/>
          <w:lang w:val="fr-FR"/>
        </w:rPr>
        <w:t>insérait le terme</w:t>
      </w:r>
      <w:r w:rsidRPr="00903BE0">
        <w:rPr>
          <w:rFonts w:ascii="Arial" w:hAnsi="Arial" w:cs="Arial"/>
          <w:bCs/>
          <w:sz w:val="22"/>
          <w:szCs w:val="22"/>
          <w:lang w:val="fr-FR"/>
        </w:rPr>
        <w:t xml:space="preserve"> dans les deux positions.</w:t>
      </w:r>
    </w:p>
    <w:p w14:paraId="5C6588A7" w14:textId="3A0E4CB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B4524">
        <w:rPr>
          <w:rFonts w:ascii="Arial" w:hAnsi="Arial" w:cs="Arial"/>
          <w:bCs/>
          <w:sz w:val="22"/>
          <w:szCs w:val="22"/>
          <w:lang w:val="fr-FR"/>
        </w:rPr>
        <w:t xml:space="preserve">La délégation du </w:t>
      </w:r>
      <w:r w:rsidRPr="00AB4524">
        <w:rPr>
          <w:rFonts w:ascii="Arial" w:hAnsi="Arial" w:cs="Arial"/>
          <w:b/>
          <w:sz w:val="22"/>
          <w:szCs w:val="22"/>
          <w:lang w:val="fr-FR"/>
        </w:rPr>
        <w:t>Panama</w:t>
      </w:r>
      <w:r w:rsidRPr="00AB4524">
        <w:rPr>
          <w:rFonts w:ascii="Arial" w:hAnsi="Arial" w:cs="Arial"/>
          <w:bCs/>
          <w:sz w:val="22"/>
          <w:szCs w:val="22"/>
          <w:lang w:val="fr-FR"/>
        </w:rPr>
        <w:t xml:space="preserve"> a évoqué la </w:t>
      </w:r>
      <w:r>
        <w:rPr>
          <w:rFonts w:ascii="Arial" w:hAnsi="Arial" w:cs="Arial"/>
          <w:bCs/>
          <w:sz w:val="22"/>
          <w:szCs w:val="22"/>
          <w:lang w:val="fr-FR"/>
        </w:rPr>
        <w:t xml:space="preserve">triste </w:t>
      </w:r>
      <w:r w:rsidRPr="00AB4524">
        <w:rPr>
          <w:rFonts w:ascii="Arial" w:hAnsi="Arial" w:cs="Arial"/>
          <w:bCs/>
          <w:sz w:val="22"/>
          <w:szCs w:val="22"/>
          <w:lang w:val="fr-FR"/>
        </w:rPr>
        <w:t xml:space="preserve">situation </w:t>
      </w:r>
      <w:r>
        <w:rPr>
          <w:rFonts w:ascii="Arial" w:hAnsi="Arial" w:cs="Arial"/>
          <w:bCs/>
          <w:sz w:val="22"/>
          <w:szCs w:val="22"/>
          <w:lang w:val="fr-FR"/>
        </w:rPr>
        <w:t xml:space="preserve">pour le </w:t>
      </w:r>
      <w:r w:rsidRPr="00AB4524">
        <w:rPr>
          <w:rFonts w:ascii="Arial" w:hAnsi="Arial" w:cs="Arial"/>
          <w:bCs/>
          <w:sz w:val="22"/>
          <w:szCs w:val="22"/>
          <w:lang w:val="fr-FR"/>
        </w:rPr>
        <w:t>peuple haïtien, ajoutant qu</w:t>
      </w:r>
      <w:r w:rsidR="008E532B">
        <w:rPr>
          <w:rFonts w:ascii="Arial" w:hAnsi="Arial" w:cs="Arial"/>
          <w:bCs/>
          <w:sz w:val="22"/>
          <w:szCs w:val="22"/>
          <w:lang w:val="fr-FR"/>
        </w:rPr>
        <w:t>’</w:t>
      </w:r>
      <w:r>
        <w:rPr>
          <w:rFonts w:ascii="Arial" w:hAnsi="Arial" w:cs="Arial"/>
          <w:bCs/>
          <w:sz w:val="22"/>
          <w:szCs w:val="22"/>
          <w:lang w:val="fr-FR"/>
        </w:rPr>
        <w:t xml:space="preserve">il </w:t>
      </w:r>
      <w:r w:rsidRPr="00AB4524">
        <w:rPr>
          <w:rFonts w:ascii="Arial" w:hAnsi="Arial" w:cs="Arial"/>
          <w:bCs/>
          <w:sz w:val="22"/>
          <w:szCs w:val="22"/>
          <w:lang w:val="fr-FR"/>
        </w:rPr>
        <w:t xml:space="preserve">était plus important que de </w:t>
      </w:r>
      <w:r>
        <w:rPr>
          <w:rFonts w:ascii="Arial" w:hAnsi="Arial" w:cs="Arial"/>
          <w:bCs/>
          <w:sz w:val="22"/>
          <w:szCs w:val="22"/>
          <w:lang w:val="fr-FR"/>
        </w:rPr>
        <w:t xml:space="preserve">simplement </w:t>
      </w:r>
      <w:r w:rsidRPr="00AB4524">
        <w:rPr>
          <w:rFonts w:ascii="Arial" w:hAnsi="Arial" w:cs="Arial"/>
          <w:bCs/>
          <w:sz w:val="22"/>
          <w:szCs w:val="22"/>
          <w:lang w:val="fr-FR"/>
        </w:rPr>
        <w:t>jouer sur les mots. Le Conseiller juridique avait conseillé l</w:t>
      </w:r>
      <w:r w:rsidR="008E532B">
        <w:rPr>
          <w:rFonts w:ascii="Arial" w:hAnsi="Arial" w:cs="Arial"/>
          <w:bCs/>
          <w:sz w:val="22"/>
          <w:szCs w:val="22"/>
          <w:lang w:val="fr-FR"/>
        </w:rPr>
        <w:t>’</w:t>
      </w:r>
      <w:r w:rsidRPr="00AB4524">
        <w:rPr>
          <w:rFonts w:ascii="Arial" w:hAnsi="Arial" w:cs="Arial"/>
          <w:bCs/>
          <w:sz w:val="22"/>
          <w:szCs w:val="22"/>
          <w:lang w:val="fr-FR"/>
        </w:rPr>
        <w:t>Assemblée sur la position juridique correcte, que le Panama soutenait. La délégation a rappelé l</w:t>
      </w:r>
      <w:r w:rsidR="008E532B">
        <w:rPr>
          <w:rFonts w:ascii="Arial" w:hAnsi="Arial" w:cs="Arial"/>
          <w:bCs/>
          <w:sz w:val="22"/>
          <w:szCs w:val="22"/>
          <w:lang w:val="fr-FR"/>
        </w:rPr>
        <w:t>’</w:t>
      </w:r>
      <w:r w:rsidRPr="00AB4524">
        <w:rPr>
          <w:rFonts w:ascii="Arial" w:hAnsi="Arial" w:cs="Arial"/>
          <w:bCs/>
          <w:sz w:val="22"/>
          <w:szCs w:val="22"/>
          <w:lang w:val="fr-FR"/>
        </w:rPr>
        <w:t>enthousiasme de l</w:t>
      </w:r>
      <w:r w:rsidR="008E532B">
        <w:rPr>
          <w:rFonts w:ascii="Arial" w:hAnsi="Arial" w:cs="Arial"/>
          <w:bCs/>
          <w:sz w:val="22"/>
          <w:szCs w:val="22"/>
          <w:lang w:val="fr-FR"/>
        </w:rPr>
        <w:t>’</w:t>
      </w:r>
      <w:r w:rsidRPr="00AB4524">
        <w:rPr>
          <w:rFonts w:ascii="Arial" w:hAnsi="Arial" w:cs="Arial"/>
          <w:bCs/>
          <w:sz w:val="22"/>
          <w:szCs w:val="22"/>
          <w:lang w:val="fr-FR"/>
        </w:rPr>
        <w:t>Assemblée pour l</w:t>
      </w:r>
      <w:r w:rsidR="008E532B">
        <w:rPr>
          <w:rFonts w:ascii="Arial" w:hAnsi="Arial" w:cs="Arial"/>
          <w:bCs/>
          <w:sz w:val="22"/>
          <w:szCs w:val="22"/>
          <w:lang w:val="fr-FR"/>
        </w:rPr>
        <w:t>’</w:t>
      </w:r>
      <w:r w:rsidRPr="00AB4524">
        <w:rPr>
          <w:rFonts w:ascii="Arial" w:hAnsi="Arial" w:cs="Arial"/>
          <w:bCs/>
          <w:sz w:val="22"/>
          <w:szCs w:val="22"/>
          <w:lang w:val="fr-FR"/>
        </w:rPr>
        <w:t>inscription de la</w:t>
      </w:r>
      <w:r>
        <w:rPr>
          <w:rFonts w:ascii="Arial" w:hAnsi="Arial" w:cs="Arial"/>
          <w:bCs/>
          <w:sz w:val="22"/>
          <w:szCs w:val="22"/>
          <w:lang w:val="fr-FR"/>
        </w:rPr>
        <w:t xml:space="preserve"> soupe au giraumon</w:t>
      </w:r>
      <w:r w:rsidRPr="00AB4524">
        <w:rPr>
          <w:rFonts w:ascii="Arial" w:hAnsi="Arial" w:cs="Arial"/>
          <w:bCs/>
          <w:sz w:val="22"/>
          <w:szCs w:val="22"/>
          <w:lang w:val="fr-FR"/>
        </w:rPr>
        <w:t>, sur laquelle tout le monde était d</w:t>
      </w:r>
      <w:r w:rsidR="008E532B">
        <w:rPr>
          <w:rFonts w:ascii="Arial" w:hAnsi="Arial" w:cs="Arial"/>
          <w:bCs/>
          <w:sz w:val="22"/>
          <w:szCs w:val="22"/>
          <w:lang w:val="fr-FR"/>
        </w:rPr>
        <w:t>’</w:t>
      </w:r>
      <w:r w:rsidRPr="00AB4524">
        <w:rPr>
          <w:rFonts w:ascii="Arial" w:hAnsi="Arial" w:cs="Arial"/>
          <w:bCs/>
          <w:sz w:val="22"/>
          <w:szCs w:val="22"/>
          <w:lang w:val="fr-FR"/>
        </w:rPr>
        <w:t xml:space="preserve">accord. </w:t>
      </w:r>
      <w:r>
        <w:rPr>
          <w:rFonts w:ascii="Arial" w:hAnsi="Arial" w:cs="Arial"/>
          <w:bCs/>
          <w:sz w:val="22"/>
          <w:szCs w:val="22"/>
          <w:lang w:val="fr-FR"/>
        </w:rPr>
        <w:t>U</w:t>
      </w:r>
      <w:r w:rsidRPr="00AB4524">
        <w:rPr>
          <w:rFonts w:ascii="Arial" w:hAnsi="Arial" w:cs="Arial"/>
          <w:bCs/>
          <w:sz w:val="22"/>
          <w:szCs w:val="22"/>
          <w:lang w:val="fr-FR"/>
        </w:rPr>
        <w:t xml:space="preserve">ne option </w:t>
      </w:r>
      <w:r>
        <w:rPr>
          <w:rFonts w:ascii="Arial" w:hAnsi="Arial" w:cs="Arial"/>
          <w:bCs/>
          <w:sz w:val="22"/>
          <w:szCs w:val="22"/>
          <w:lang w:val="fr-FR"/>
        </w:rPr>
        <w:t xml:space="preserve">différente de celle </w:t>
      </w:r>
      <w:r w:rsidRPr="00AB4524">
        <w:rPr>
          <w:rFonts w:ascii="Arial" w:hAnsi="Arial" w:cs="Arial"/>
          <w:bCs/>
          <w:sz w:val="22"/>
          <w:szCs w:val="22"/>
          <w:lang w:val="fr-FR"/>
        </w:rPr>
        <w:t>recommandée à l</w:t>
      </w:r>
      <w:r w:rsidR="008E532B">
        <w:rPr>
          <w:rFonts w:ascii="Arial" w:hAnsi="Arial" w:cs="Arial"/>
          <w:bCs/>
          <w:sz w:val="22"/>
          <w:szCs w:val="22"/>
          <w:lang w:val="fr-FR"/>
        </w:rPr>
        <w:t>’</w:t>
      </w:r>
      <w:r w:rsidRPr="00AB4524">
        <w:rPr>
          <w:rFonts w:ascii="Arial" w:hAnsi="Arial" w:cs="Arial"/>
          <w:bCs/>
          <w:sz w:val="22"/>
          <w:szCs w:val="22"/>
          <w:lang w:val="fr-FR"/>
        </w:rPr>
        <w:t>Assemblée par le Conseiller juridique</w:t>
      </w:r>
      <w:r>
        <w:rPr>
          <w:rFonts w:ascii="Arial" w:hAnsi="Arial" w:cs="Arial"/>
          <w:bCs/>
          <w:sz w:val="22"/>
          <w:szCs w:val="22"/>
          <w:lang w:val="fr-FR"/>
        </w:rPr>
        <w:t xml:space="preserve"> ne la convainquait pas</w:t>
      </w:r>
      <w:r w:rsidRPr="00AB4524">
        <w:rPr>
          <w:rFonts w:ascii="Arial" w:hAnsi="Arial" w:cs="Arial"/>
          <w:bCs/>
          <w:sz w:val="22"/>
          <w:szCs w:val="22"/>
          <w:lang w:val="fr-FR"/>
        </w:rPr>
        <w:t xml:space="preserve">. </w:t>
      </w:r>
      <w:r>
        <w:rPr>
          <w:rFonts w:ascii="Arial" w:hAnsi="Arial" w:cs="Arial"/>
          <w:bCs/>
          <w:sz w:val="22"/>
          <w:szCs w:val="22"/>
          <w:lang w:val="fr-FR"/>
        </w:rPr>
        <w:t xml:space="preserve">La </w:t>
      </w:r>
      <w:r w:rsidRPr="00AB4524">
        <w:rPr>
          <w:rFonts w:ascii="Arial" w:hAnsi="Arial" w:cs="Arial"/>
          <w:bCs/>
          <w:sz w:val="22"/>
          <w:szCs w:val="22"/>
          <w:lang w:val="fr-FR"/>
        </w:rPr>
        <w:t>pédant</w:t>
      </w:r>
      <w:r>
        <w:rPr>
          <w:rFonts w:ascii="Arial" w:hAnsi="Arial" w:cs="Arial"/>
          <w:bCs/>
          <w:sz w:val="22"/>
          <w:szCs w:val="22"/>
          <w:lang w:val="fr-FR"/>
        </w:rPr>
        <w:t>erie</w:t>
      </w:r>
      <w:r w:rsidRPr="00AB4524">
        <w:rPr>
          <w:rFonts w:ascii="Arial" w:hAnsi="Arial" w:cs="Arial"/>
          <w:bCs/>
          <w:sz w:val="22"/>
          <w:szCs w:val="22"/>
          <w:lang w:val="fr-FR"/>
        </w:rPr>
        <w:t xml:space="preserve"> </w:t>
      </w:r>
      <w:r>
        <w:rPr>
          <w:rFonts w:ascii="Arial" w:hAnsi="Arial" w:cs="Arial"/>
          <w:bCs/>
          <w:sz w:val="22"/>
          <w:szCs w:val="22"/>
          <w:lang w:val="fr-FR"/>
        </w:rPr>
        <w:t xml:space="preserve">ne devrait pas être de mise </w:t>
      </w:r>
      <w:r w:rsidRPr="00AB4524">
        <w:rPr>
          <w:rFonts w:ascii="Arial" w:hAnsi="Arial" w:cs="Arial"/>
          <w:bCs/>
          <w:sz w:val="22"/>
          <w:szCs w:val="22"/>
          <w:lang w:val="fr-FR"/>
        </w:rPr>
        <w:t>et l</w:t>
      </w:r>
      <w:r w:rsidR="008E532B">
        <w:rPr>
          <w:rFonts w:ascii="Arial" w:hAnsi="Arial" w:cs="Arial"/>
          <w:bCs/>
          <w:sz w:val="22"/>
          <w:szCs w:val="22"/>
          <w:lang w:val="fr-FR"/>
        </w:rPr>
        <w:t>’</w:t>
      </w:r>
      <w:r w:rsidRPr="00AB4524">
        <w:rPr>
          <w:rFonts w:ascii="Arial" w:hAnsi="Arial" w:cs="Arial"/>
          <w:bCs/>
          <w:sz w:val="22"/>
          <w:szCs w:val="22"/>
          <w:lang w:val="fr-FR"/>
        </w:rPr>
        <w:t>Assemblée devrait opter pour la bonne chose à faire, d</w:t>
      </w:r>
      <w:r w:rsidR="008E532B">
        <w:rPr>
          <w:rFonts w:ascii="Arial" w:hAnsi="Arial" w:cs="Arial"/>
          <w:bCs/>
          <w:sz w:val="22"/>
          <w:szCs w:val="22"/>
          <w:lang w:val="fr-FR"/>
        </w:rPr>
        <w:t>’</w:t>
      </w:r>
      <w:r w:rsidRPr="00AB4524">
        <w:rPr>
          <w:rFonts w:ascii="Arial" w:hAnsi="Arial" w:cs="Arial"/>
          <w:bCs/>
          <w:sz w:val="22"/>
          <w:szCs w:val="22"/>
          <w:lang w:val="fr-FR"/>
        </w:rPr>
        <w:t>où la proposition</w:t>
      </w:r>
      <w:r>
        <w:rPr>
          <w:rFonts w:ascii="Arial" w:hAnsi="Arial" w:cs="Arial"/>
          <w:bCs/>
          <w:sz w:val="22"/>
          <w:szCs w:val="22"/>
          <w:lang w:val="fr-FR"/>
        </w:rPr>
        <w:t xml:space="preserve"> présentée </w:t>
      </w:r>
      <w:r w:rsidRPr="00AB4524">
        <w:rPr>
          <w:rFonts w:ascii="Arial" w:hAnsi="Arial" w:cs="Arial"/>
          <w:bCs/>
          <w:sz w:val="22"/>
          <w:szCs w:val="22"/>
          <w:lang w:val="fr-FR"/>
        </w:rPr>
        <w:t>par le Conseiller juridique.</w:t>
      </w:r>
    </w:p>
    <w:p w14:paraId="3E386548" w14:textId="06B9C86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51FFA">
        <w:rPr>
          <w:rFonts w:ascii="Arial" w:hAnsi="Arial" w:cs="Arial"/>
          <w:bCs/>
          <w:sz w:val="22"/>
          <w:szCs w:val="22"/>
          <w:lang w:val="fr-FR"/>
        </w:rPr>
        <w:t xml:space="preserve">La délégation </w:t>
      </w:r>
      <w:r>
        <w:rPr>
          <w:rFonts w:ascii="Arial" w:hAnsi="Arial" w:cs="Arial"/>
          <w:bCs/>
          <w:sz w:val="22"/>
          <w:szCs w:val="22"/>
          <w:lang w:val="fr-FR"/>
        </w:rPr>
        <w:t xml:space="preserve">de </w:t>
      </w:r>
      <w:r w:rsidRPr="00351FFA">
        <w:rPr>
          <w:rFonts w:ascii="Arial" w:hAnsi="Arial" w:cs="Arial"/>
          <w:b/>
          <w:sz w:val="22"/>
          <w:szCs w:val="22"/>
          <w:lang w:val="fr-FR"/>
        </w:rPr>
        <w:t>Madagascar</w:t>
      </w:r>
      <w:r>
        <w:rPr>
          <w:rFonts w:ascii="Arial" w:hAnsi="Arial" w:cs="Arial"/>
          <w:bCs/>
          <w:sz w:val="22"/>
          <w:szCs w:val="22"/>
          <w:lang w:val="fr-FR"/>
        </w:rPr>
        <w:t xml:space="preserve"> </w:t>
      </w:r>
      <w:r w:rsidRPr="00351FFA">
        <w:rPr>
          <w:rFonts w:ascii="Arial" w:hAnsi="Arial" w:cs="Arial"/>
          <w:bCs/>
          <w:sz w:val="22"/>
          <w:szCs w:val="22"/>
          <w:lang w:val="fr-FR"/>
        </w:rPr>
        <w:t>est revenue sur l</w:t>
      </w:r>
      <w:r w:rsidR="008E532B">
        <w:rPr>
          <w:rFonts w:ascii="Arial" w:hAnsi="Arial" w:cs="Arial"/>
          <w:bCs/>
          <w:sz w:val="22"/>
          <w:szCs w:val="22"/>
          <w:lang w:val="fr-FR"/>
        </w:rPr>
        <w:t>’</w:t>
      </w:r>
      <w:r w:rsidRPr="00351FFA">
        <w:rPr>
          <w:rFonts w:ascii="Arial" w:hAnsi="Arial" w:cs="Arial"/>
          <w:bCs/>
          <w:sz w:val="22"/>
          <w:szCs w:val="22"/>
          <w:lang w:val="fr-FR"/>
        </w:rPr>
        <w:t>explication du Conseiller juridique, qui a</w:t>
      </w:r>
      <w:r>
        <w:rPr>
          <w:rFonts w:ascii="Arial" w:hAnsi="Arial" w:cs="Arial"/>
          <w:bCs/>
          <w:sz w:val="22"/>
          <w:szCs w:val="22"/>
          <w:lang w:val="fr-FR"/>
        </w:rPr>
        <w:t>vait</w:t>
      </w:r>
      <w:r w:rsidRPr="00351FFA">
        <w:rPr>
          <w:rFonts w:ascii="Arial" w:hAnsi="Arial" w:cs="Arial"/>
          <w:bCs/>
          <w:sz w:val="22"/>
          <w:szCs w:val="22"/>
          <w:lang w:val="fr-FR"/>
        </w:rPr>
        <w:t xml:space="preserve"> déclaré que le plus important était d</w:t>
      </w:r>
      <w:r w:rsidR="008E532B">
        <w:rPr>
          <w:rFonts w:ascii="Arial" w:hAnsi="Arial" w:cs="Arial"/>
          <w:bCs/>
          <w:sz w:val="22"/>
          <w:szCs w:val="22"/>
          <w:lang w:val="fr-FR"/>
        </w:rPr>
        <w:t>’</w:t>
      </w:r>
      <w:r w:rsidRPr="00351FFA">
        <w:rPr>
          <w:rFonts w:ascii="Arial" w:hAnsi="Arial" w:cs="Arial"/>
          <w:bCs/>
          <w:sz w:val="22"/>
          <w:szCs w:val="22"/>
          <w:lang w:val="fr-FR"/>
        </w:rPr>
        <w:t xml:space="preserve">approuver la procédure, </w:t>
      </w:r>
      <w:r>
        <w:rPr>
          <w:rFonts w:ascii="Arial" w:hAnsi="Arial" w:cs="Arial"/>
          <w:bCs/>
          <w:sz w:val="22"/>
          <w:szCs w:val="22"/>
          <w:lang w:val="fr-FR"/>
        </w:rPr>
        <w:t xml:space="preserve">c.-à-d. </w:t>
      </w:r>
      <w:r w:rsidRPr="00351FFA">
        <w:rPr>
          <w:rFonts w:ascii="Arial" w:hAnsi="Arial" w:cs="Arial"/>
          <w:bCs/>
          <w:sz w:val="22"/>
          <w:szCs w:val="22"/>
          <w:lang w:val="fr-FR"/>
        </w:rPr>
        <w:t>d</w:t>
      </w:r>
      <w:r w:rsidR="008E532B">
        <w:rPr>
          <w:rFonts w:ascii="Arial" w:hAnsi="Arial" w:cs="Arial"/>
          <w:bCs/>
          <w:sz w:val="22"/>
          <w:szCs w:val="22"/>
          <w:lang w:val="fr-FR"/>
        </w:rPr>
        <w:t>’</w:t>
      </w:r>
      <w:r w:rsidRPr="00351FFA">
        <w:rPr>
          <w:rFonts w:ascii="Arial" w:hAnsi="Arial" w:cs="Arial"/>
          <w:bCs/>
          <w:sz w:val="22"/>
          <w:szCs w:val="22"/>
          <w:lang w:val="fr-FR"/>
        </w:rPr>
        <w:t>approuver la procédure d</w:t>
      </w:r>
      <w:r w:rsidR="008E532B">
        <w:rPr>
          <w:rFonts w:ascii="Arial" w:hAnsi="Arial" w:cs="Arial"/>
          <w:bCs/>
          <w:sz w:val="22"/>
          <w:szCs w:val="22"/>
          <w:lang w:val="fr-FR"/>
        </w:rPr>
        <w:t>’</w:t>
      </w:r>
      <w:r w:rsidRPr="00351FFA">
        <w:rPr>
          <w:rFonts w:ascii="Arial" w:hAnsi="Arial" w:cs="Arial"/>
          <w:bCs/>
          <w:sz w:val="22"/>
          <w:szCs w:val="22"/>
          <w:lang w:val="fr-FR"/>
        </w:rPr>
        <w:t xml:space="preserve">inscription de la </w:t>
      </w:r>
      <w:r>
        <w:rPr>
          <w:rFonts w:ascii="Arial" w:hAnsi="Arial" w:cs="Arial"/>
          <w:bCs/>
          <w:sz w:val="22"/>
          <w:szCs w:val="22"/>
          <w:lang w:val="fr-FR"/>
        </w:rPr>
        <w:t>soupe au giraumon</w:t>
      </w:r>
      <w:r w:rsidRPr="00351FFA">
        <w:rPr>
          <w:rFonts w:ascii="Arial" w:hAnsi="Arial" w:cs="Arial"/>
          <w:bCs/>
          <w:sz w:val="22"/>
          <w:szCs w:val="22"/>
          <w:lang w:val="fr-FR"/>
        </w:rPr>
        <w:t xml:space="preserve"> et à titre exceptionnel. </w:t>
      </w:r>
      <w:r>
        <w:rPr>
          <w:rFonts w:ascii="Arial" w:hAnsi="Arial" w:cs="Arial"/>
          <w:bCs/>
          <w:sz w:val="22"/>
          <w:szCs w:val="22"/>
          <w:lang w:val="fr-FR"/>
        </w:rPr>
        <w:t>À</w:t>
      </w:r>
      <w:r w:rsidRPr="00351FFA">
        <w:rPr>
          <w:rFonts w:ascii="Arial" w:hAnsi="Arial" w:cs="Arial"/>
          <w:bCs/>
          <w:sz w:val="22"/>
          <w:szCs w:val="22"/>
          <w:lang w:val="fr-FR"/>
        </w:rPr>
        <w:t xml:space="preserve"> ce</w:t>
      </w:r>
      <w:r>
        <w:rPr>
          <w:rFonts w:ascii="Arial" w:hAnsi="Arial" w:cs="Arial"/>
          <w:bCs/>
          <w:sz w:val="22"/>
          <w:szCs w:val="22"/>
          <w:lang w:val="fr-FR"/>
        </w:rPr>
        <w:t xml:space="preserve"> sujet</w:t>
      </w:r>
      <w:r w:rsidRPr="00351FFA">
        <w:rPr>
          <w:rFonts w:ascii="Arial" w:hAnsi="Arial" w:cs="Arial"/>
          <w:bCs/>
          <w:sz w:val="22"/>
          <w:szCs w:val="22"/>
          <w:lang w:val="fr-FR"/>
        </w:rPr>
        <w:t>, la première formulation respectait à la fois le fond et la forme.</w:t>
      </w:r>
    </w:p>
    <w:p w14:paraId="1492433E" w14:textId="528F7D0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D09F6">
        <w:rPr>
          <w:rFonts w:ascii="Arial" w:hAnsi="Arial" w:cs="Arial"/>
          <w:bCs/>
          <w:sz w:val="22"/>
          <w:szCs w:val="22"/>
          <w:lang w:val="fr-FR"/>
        </w:rPr>
        <w:t xml:space="preserve">La délégation du </w:t>
      </w:r>
      <w:r w:rsidRPr="008D09F6">
        <w:rPr>
          <w:rFonts w:ascii="Arial" w:hAnsi="Arial" w:cs="Arial"/>
          <w:b/>
          <w:sz w:val="22"/>
          <w:szCs w:val="22"/>
          <w:lang w:val="fr-FR"/>
        </w:rPr>
        <w:t>Liban</w:t>
      </w:r>
      <w:r w:rsidRPr="008D09F6">
        <w:rPr>
          <w:rFonts w:ascii="Arial" w:hAnsi="Arial" w:cs="Arial"/>
          <w:bCs/>
          <w:sz w:val="22"/>
          <w:szCs w:val="22"/>
          <w:lang w:val="fr-FR"/>
        </w:rPr>
        <w:t xml:space="preserve"> </w:t>
      </w:r>
      <w:r>
        <w:rPr>
          <w:rFonts w:ascii="Arial" w:hAnsi="Arial" w:cs="Arial"/>
          <w:bCs/>
          <w:sz w:val="22"/>
          <w:szCs w:val="22"/>
          <w:lang w:val="fr-FR"/>
        </w:rPr>
        <w:t xml:space="preserve">était </w:t>
      </w:r>
      <w:r w:rsidRPr="008D09F6">
        <w:rPr>
          <w:rFonts w:ascii="Arial" w:hAnsi="Arial" w:cs="Arial"/>
          <w:bCs/>
          <w:sz w:val="22"/>
          <w:szCs w:val="22"/>
          <w:lang w:val="fr-FR"/>
        </w:rPr>
        <w:t xml:space="preserve">surprise par les réactions dans la salle. Le Conseiller juridique avait donné son avis et certains États parties avaient fait un effort de consensus en approuvant </w:t>
      </w:r>
      <w:r>
        <w:rPr>
          <w:rFonts w:ascii="Arial" w:hAnsi="Arial" w:cs="Arial"/>
          <w:bCs/>
          <w:sz w:val="22"/>
          <w:szCs w:val="22"/>
          <w:lang w:val="fr-FR"/>
        </w:rPr>
        <w:t xml:space="preserve">« sur une base </w:t>
      </w:r>
      <w:r w:rsidRPr="008D09F6">
        <w:rPr>
          <w:rFonts w:ascii="Arial" w:hAnsi="Arial" w:cs="Arial"/>
          <w:bCs/>
          <w:sz w:val="22"/>
          <w:szCs w:val="22"/>
          <w:lang w:val="fr-FR"/>
        </w:rPr>
        <w:t>exceptionnel</w:t>
      </w:r>
      <w:r>
        <w:rPr>
          <w:rFonts w:ascii="Arial" w:hAnsi="Arial" w:cs="Arial"/>
          <w:bCs/>
          <w:sz w:val="22"/>
          <w:szCs w:val="22"/>
          <w:lang w:val="fr-FR"/>
        </w:rPr>
        <w:t>le »</w:t>
      </w:r>
      <w:r w:rsidRPr="008D09F6">
        <w:rPr>
          <w:rFonts w:ascii="Arial" w:hAnsi="Arial" w:cs="Arial"/>
          <w:bCs/>
          <w:sz w:val="22"/>
          <w:szCs w:val="22"/>
          <w:lang w:val="fr-FR"/>
        </w:rPr>
        <w:t xml:space="preserve">. </w:t>
      </w:r>
      <w:r>
        <w:rPr>
          <w:rFonts w:ascii="Arial" w:hAnsi="Arial" w:cs="Arial"/>
          <w:bCs/>
          <w:sz w:val="22"/>
          <w:szCs w:val="22"/>
          <w:lang w:val="fr-FR"/>
        </w:rPr>
        <w:t>Par ailleurs, un point</w:t>
      </w:r>
      <w:r w:rsidRPr="008D09F6">
        <w:rPr>
          <w:rFonts w:ascii="Arial" w:hAnsi="Arial" w:cs="Arial"/>
          <w:bCs/>
          <w:sz w:val="22"/>
          <w:szCs w:val="22"/>
          <w:lang w:val="fr-FR"/>
        </w:rPr>
        <w:t xml:space="preserve"> d</w:t>
      </w:r>
      <w:r w:rsidR="008E532B">
        <w:rPr>
          <w:rFonts w:ascii="Arial" w:hAnsi="Arial" w:cs="Arial"/>
          <w:bCs/>
          <w:sz w:val="22"/>
          <w:szCs w:val="22"/>
          <w:lang w:val="fr-FR"/>
        </w:rPr>
        <w:t>’</w:t>
      </w:r>
      <w:r w:rsidRPr="008D09F6">
        <w:rPr>
          <w:rFonts w:ascii="Arial" w:hAnsi="Arial" w:cs="Arial"/>
          <w:bCs/>
          <w:sz w:val="22"/>
          <w:szCs w:val="22"/>
          <w:lang w:val="fr-FR"/>
        </w:rPr>
        <w:t>ordre</w:t>
      </w:r>
      <w:r>
        <w:rPr>
          <w:rFonts w:ascii="Arial" w:hAnsi="Arial" w:cs="Arial"/>
          <w:bCs/>
          <w:sz w:val="22"/>
          <w:szCs w:val="22"/>
          <w:lang w:val="fr-FR"/>
        </w:rPr>
        <w:t xml:space="preserve"> : </w:t>
      </w:r>
      <w:r w:rsidRPr="008D09F6">
        <w:rPr>
          <w:rFonts w:ascii="Arial" w:hAnsi="Arial" w:cs="Arial"/>
          <w:bCs/>
          <w:sz w:val="22"/>
          <w:szCs w:val="22"/>
          <w:lang w:val="fr-FR"/>
        </w:rPr>
        <w:t xml:space="preserve">à plusieurs reprises, les États parties </w:t>
      </w:r>
      <w:r>
        <w:rPr>
          <w:rFonts w:ascii="Arial" w:hAnsi="Arial" w:cs="Arial"/>
          <w:bCs/>
          <w:sz w:val="22"/>
          <w:szCs w:val="22"/>
          <w:lang w:val="fr-FR"/>
        </w:rPr>
        <w:t>avaient</w:t>
      </w:r>
      <w:r w:rsidRPr="008D09F6">
        <w:rPr>
          <w:rFonts w:ascii="Arial" w:hAnsi="Arial" w:cs="Arial"/>
          <w:bCs/>
          <w:sz w:val="22"/>
          <w:szCs w:val="22"/>
          <w:lang w:val="fr-FR"/>
        </w:rPr>
        <w:t xml:space="preserve"> demandé que le second </w:t>
      </w:r>
      <w:r>
        <w:rPr>
          <w:rFonts w:ascii="Arial" w:hAnsi="Arial" w:cs="Arial"/>
          <w:bCs/>
          <w:sz w:val="22"/>
          <w:szCs w:val="22"/>
          <w:lang w:val="fr-FR"/>
        </w:rPr>
        <w:t xml:space="preserve">« sur une base </w:t>
      </w:r>
      <w:r w:rsidRPr="008D09F6">
        <w:rPr>
          <w:rFonts w:ascii="Arial" w:hAnsi="Arial" w:cs="Arial"/>
          <w:bCs/>
          <w:sz w:val="22"/>
          <w:szCs w:val="22"/>
          <w:lang w:val="fr-FR"/>
        </w:rPr>
        <w:t>exceptionne</w:t>
      </w:r>
      <w:r>
        <w:rPr>
          <w:rFonts w:ascii="Arial" w:hAnsi="Arial" w:cs="Arial"/>
          <w:bCs/>
          <w:sz w:val="22"/>
          <w:szCs w:val="22"/>
          <w:lang w:val="fr-FR"/>
        </w:rPr>
        <w:t xml:space="preserve">lle » </w:t>
      </w:r>
      <w:r w:rsidRPr="008D09F6">
        <w:rPr>
          <w:rFonts w:ascii="Arial" w:hAnsi="Arial" w:cs="Arial"/>
          <w:bCs/>
          <w:sz w:val="22"/>
          <w:szCs w:val="22"/>
          <w:lang w:val="fr-FR"/>
        </w:rPr>
        <w:t>soit</w:t>
      </w:r>
      <w:r>
        <w:rPr>
          <w:rFonts w:ascii="Arial" w:hAnsi="Arial" w:cs="Arial"/>
          <w:bCs/>
          <w:sz w:val="22"/>
          <w:szCs w:val="22"/>
          <w:lang w:val="fr-FR"/>
        </w:rPr>
        <w:t xml:space="preserve"> retiré</w:t>
      </w:r>
      <w:r w:rsidRPr="008D09F6">
        <w:rPr>
          <w:rFonts w:ascii="Arial" w:hAnsi="Arial" w:cs="Arial"/>
          <w:bCs/>
          <w:sz w:val="22"/>
          <w:szCs w:val="22"/>
          <w:lang w:val="fr-FR"/>
        </w:rPr>
        <w:t xml:space="preserve">, </w:t>
      </w:r>
      <w:r>
        <w:rPr>
          <w:rFonts w:ascii="Arial" w:hAnsi="Arial" w:cs="Arial"/>
          <w:bCs/>
          <w:sz w:val="22"/>
          <w:szCs w:val="22"/>
          <w:lang w:val="fr-FR"/>
        </w:rPr>
        <w:t xml:space="preserve">une demande </w:t>
      </w:r>
      <w:r w:rsidRPr="008D09F6">
        <w:rPr>
          <w:rFonts w:ascii="Arial" w:hAnsi="Arial" w:cs="Arial"/>
          <w:bCs/>
          <w:sz w:val="22"/>
          <w:szCs w:val="22"/>
          <w:lang w:val="fr-FR"/>
        </w:rPr>
        <w:t>qui n</w:t>
      </w:r>
      <w:r w:rsidR="008E532B">
        <w:rPr>
          <w:rFonts w:ascii="Arial" w:hAnsi="Arial" w:cs="Arial"/>
          <w:bCs/>
          <w:sz w:val="22"/>
          <w:szCs w:val="22"/>
          <w:lang w:val="fr-FR"/>
        </w:rPr>
        <w:t>’</w:t>
      </w:r>
      <w:r w:rsidRPr="008D09F6">
        <w:rPr>
          <w:rFonts w:ascii="Arial" w:hAnsi="Arial" w:cs="Arial"/>
          <w:bCs/>
          <w:sz w:val="22"/>
          <w:szCs w:val="22"/>
          <w:lang w:val="fr-FR"/>
        </w:rPr>
        <w:t>a</w:t>
      </w:r>
      <w:r>
        <w:rPr>
          <w:rFonts w:ascii="Arial" w:hAnsi="Arial" w:cs="Arial"/>
          <w:bCs/>
          <w:sz w:val="22"/>
          <w:szCs w:val="22"/>
          <w:lang w:val="fr-FR"/>
        </w:rPr>
        <w:t xml:space="preserve">vait </w:t>
      </w:r>
      <w:r w:rsidRPr="008D09F6">
        <w:rPr>
          <w:rFonts w:ascii="Arial" w:hAnsi="Arial" w:cs="Arial"/>
          <w:bCs/>
          <w:sz w:val="22"/>
          <w:szCs w:val="22"/>
          <w:lang w:val="fr-FR"/>
        </w:rPr>
        <w:t>pas été respecté</w:t>
      </w:r>
      <w:r>
        <w:rPr>
          <w:rFonts w:ascii="Arial" w:hAnsi="Arial" w:cs="Arial"/>
          <w:bCs/>
          <w:sz w:val="22"/>
          <w:szCs w:val="22"/>
          <w:lang w:val="fr-FR"/>
        </w:rPr>
        <w:t>e</w:t>
      </w:r>
      <w:r w:rsidRPr="008D09F6">
        <w:rPr>
          <w:rFonts w:ascii="Arial" w:hAnsi="Arial" w:cs="Arial"/>
          <w:bCs/>
          <w:sz w:val="22"/>
          <w:szCs w:val="22"/>
          <w:lang w:val="fr-FR"/>
        </w:rPr>
        <w:t xml:space="preserve">. Si cela avait été fait, la Présidente aurait pu demander si des États parties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y opposaient</w:t>
      </w:r>
      <w:r w:rsidRPr="008D09F6">
        <w:rPr>
          <w:rFonts w:ascii="Arial" w:hAnsi="Arial" w:cs="Arial"/>
          <w:bCs/>
          <w:sz w:val="22"/>
          <w:szCs w:val="22"/>
          <w:lang w:val="fr-FR"/>
        </w:rPr>
        <w:t>, avec la probabilité qu</w:t>
      </w:r>
      <w:r>
        <w:rPr>
          <w:rFonts w:ascii="Arial" w:hAnsi="Arial" w:cs="Arial"/>
          <w:bCs/>
          <w:sz w:val="22"/>
          <w:szCs w:val="22"/>
          <w:lang w:val="fr-FR"/>
        </w:rPr>
        <w:t>e cela</w:t>
      </w:r>
      <w:r w:rsidRPr="008D09F6">
        <w:rPr>
          <w:rFonts w:ascii="Arial" w:hAnsi="Arial" w:cs="Arial"/>
          <w:bCs/>
          <w:sz w:val="22"/>
          <w:szCs w:val="22"/>
          <w:lang w:val="fr-FR"/>
        </w:rPr>
        <w:t xml:space="preserve"> soit adopté.</w:t>
      </w:r>
    </w:p>
    <w:p w14:paraId="4A2A4AF5" w14:textId="472940F9" w:rsidR="00D9653F" w:rsidRPr="008D09F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D09F6">
        <w:rPr>
          <w:rFonts w:ascii="Arial" w:hAnsi="Arial" w:cs="Arial"/>
          <w:bCs/>
          <w:sz w:val="22"/>
          <w:szCs w:val="22"/>
          <w:lang w:val="fr-FR"/>
        </w:rPr>
        <w:t>La délégation d</w:t>
      </w:r>
      <w:r w:rsidR="008E532B">
        <w:rPr>
          <w:rFonts w:ascii="Arial" w:hAnsi="Arial" w:cs="Arial"/>
          <w:bCs/>
          <w:sz w:val="22"/>
          <w:szCs w:val="22"/>
          <w:lang w:val="fr-FR"/>
        </w:rPr>
        <w:t>’</w:t>
      </w:r>
      <w:r w:rsidRPr="00A75D7E">
        <w:rPr>
          <w:rFonts w:ascii="Arial" w:hAnsi="Arial" w:cs="Arial"/>
          <w:b/>
          <w:sz w:val="22"/>
          <w:szCs w:val="22"/>
          <w:lang w:val="fr-FR"/>
        </w:rPr>
        <w:t>Haïti</w:t>
      </w:r>
      <w:r w:rsidRPr="008D09F6">
        <w:rPr>
          <w:rFonts w:ascii="Arial" w:hAnsi="Arial" w:cs="Arial"/>
          <w:bCs/>
          <w:sz w:val="22"/>
          <w:szCs w:val="22"/>
          <w:lang w:val="fr-FR"/>
        </w:rPr>
        <w:t xml:space="preserve"> estim</w:t>
      </w:r>
      <w:r>
        <w:rPr>
          <w:rFonts w:ascii="Arial" w:hAnsi="Arial" w:cs="Arial"/>
          <w:bCs/>
          <w:sz w:val="22"/>
          <w:szCs w:val="22"/>
          <w:lang w:val="fr-FR"/>
        </w:rPr>
        <w:t>ait</w:t>
      </w:r>
      <w:r w:rsidRPr="008D09F6">
        <w:rPr>
          <w:rFonts w:ascii="Arial" w:hAnsi="Arial" w:cs="Arial"/>
          <w:bCs/>
          <w:sz w:val="22"/>
          <w:szCs w:val="22"/>
          <w:lang w:val="fr-FR"/>
        </w:rPr>
        <w:t xml:space="preserve"> qu</w:t>
      </w:r>
      <w:r w:rsidR="008E532B">
        <w:rPr>
          <w:rFonts w:ascii="Arial" w:hAnsi="Arial" w:cs="Arial"/>
          <w:bCs/>
          <w:sz w:val="22"/>
          <w:szCs w:val="22"/>
          <w:lang w:val="fr-FR"/>
        </w:rPr>
        <w:t>’</w:t>
      </w:r>
      <w:r w:rsidRPr="008D09F6">
        <w:rPr>
          <w:rFonts w:ascii="Arial" w:hAnsi="Arial" w:cs="Arial"/>
          <w:bCs/>
          <w:sz w:val="22"/>
          <w:szCs w:val="22"/>
          <w:lang w:val="fr-FR"/>
        </w:rPr>
        <w:t>il y a</w:t>
      </w:r>
      <w:r>
        <w:rPr>
          <w:rFonts w:ascii="Arial" w:hAnsi="Arial" w:cs="Arial"/>
          <w:bCs/>
          <w:sz w:val="22"/>
          <w:szCs w:val="22"/>
          <w:lang w:val="fr-FR"/>
        </w:rPr>
        <w:t>vait</w:t>
      </w:r>
      <w:r w:rsidRPr="008D09F6">
        <w:rPr>
          <w:rFonts w:ascii="Arial" w:hAnsi="Arial" w:cs="Arial"/>
          <w:bCs/>
          <w:sz w:val="22"/>
          <w:szCs w:val="22"/>
          <w:lang w:val="fr-FR"/>
        </w:rPr>
        <w:t xml:space="preserve"> effectivement un point d</w:t>
      </w:r>
      <w:r w:rsidR="008E532B">
        <w:rPr>
          <w:rFonts w:ascii="Arial" w:hAnsi="Arial" w:cs="Arial"/>
          <w:bCs/>
          <w:sz w:val="22"/>
          <w:szCs w:val="22"/>
          <w:lang w:val="fr-FR"/>
        </w:rPr>
        <w:t>’</w:t>
      </w:r>
      <w:r w:rsidRPr="008D09F6">
        <w:rPr>
          <w:rFonts w:ascii="Arial" w:hAnsi="Arial" w:cs="Arial"/>
          <w:bCs/>
          <w:sz w:val="22"/>
          <w:szCs w:val="22"/>
          <w:lang w:val="fr-FR"/>
        </w:rPr>
        <w:t>ordre</w:t>
      </w:r>
      <w:r>
        <w:rPr>
          <w:rFonts w:ascii="Arial" w:hAnsi="Arial" w:cs="Arial"/>
          <w:bCs/>
          <w:sz w:val="22"/>
          <w:szCs w:val="22"/>
          <w:lang w:val="fr-FR"/>
        </w:rPr>
        <w:t xml:space="preserve">, </w:t>
      </w:r>
      <w:r w:rsidRPr="008D09F6">
        <w:rPr>
          <w:rFonts w:ascii="Arial" w:hAnsi="Arial" w:cs="Arial"/>
          <w:bCs/>
          <w:sz w:val="22"/>
          <w:szCs w:val="22"/>
          <w:lang w:val="fr-FR"/>
        </w:rPr>
        <w:t>car une proposition a</w:t>
      </w:r>
      <w:r>
        <w:rPr>
          <w:rFonts w:ascii="Arial" w:hAnsi="Arial" w:cs="Arial"/>
          <w:bCs/>
          <w:sz w:val="22"/>
          <w:szCs w:val="22"/>
          <w:lang w:val="fr-FR"/>
        </w:rPr>
        <w:t>vait</w:t>
      </w:r>
      <w:r w:rsidRPr="008D09F6">
        <w:rPr>
          <w:rFonts w:ascii="Arial" w:hAnsi="Arial" w:cs="Arial"/>
          <w:bCs/>
          <w:sz w:val="22"/>
          <w:szCs w:val="22"/>
          <w:lang w:val="fr-FR"/>
        </w:rPr>
        <w:t xml:space="preserve"> été faite, qui a</w:t>
      </w:r>
      <w:r>
        <w:rPr>
          <w:rFonts w:ascii="Arial" w:hAnsi="Arial" w:cs="Arial"/>
          <w:bCs/>
          <w:sz w:val="22"/>
          <w:szCs w:val="22"/>
          <w:lang w:val="fr-FR"/>
        </w:rPr>
        <w:t>vait</w:t>
      </w:r>
      <w:r w:rsidRPr="008D09F6">
        <w:rPr>
          <w:rFonts w:ascii="Arial" w:hAnsi="Arial" w:cs="Arial"/>
          <w:bCs/>
          <w:sz w:val="22"/>
          <w:szCs w:val="22"/>
          <w:lang w:val="fr-FR"/>
        </w:rPr>
        <w:t xml:space="preserve"> reçu le soutien de l</w:t>
      </w:r>
      <w:r w:rsidR="008E532B">
        <w:rPr>
          <w:rFonts w:ascii="Arial" w:hAnsi="Arial" w:cs="Arial"/>
          <w:bCs/>
          <w:sz w:val="22"/>
          <w:szCs w:val="22"/>
          <w:lang w:val="fr-FR"/>
        </w:rPr>
        <w:t>’</w:t>
      </w:r>
      <w:r w:rsidRPr="008D09F6">
        <w:rPr>
          <w:rFonts w:ascii="Arial" w:hAnsi="Arial" w:cs="Arial"/>
          <w:bCs/>
          <w:sz w:val="22"/>
          <w:szCs w:val="22"/>
          <w:lang w:val="fr-FR"/>
        </w:rPr>
        <w:t xml:space="preserve">Assemblée, malgré certaines réserves. Dans </w:t>
      </w:r>
      <w:r>
        <w:rPr>
          <w:rFonts w:ascii="Arial" w:hAnsi="Arial" w:cs="Arial"/>
          <w:bCs/>
          <w:sz w:val="22"/>
          <w:szCs w:val="22"/>
          <w:lang w:val="fr-FR"/>
        </w:rPr>
        <w:t xml:space="preserve">un </w:t>
      </w:r>
      <w:r w:rsidRPr="008D09F6">
        <w:rPr>
          <w:rFonts w:ascii="Arial" w:hAnsi="Arial" w:cs="Arial"/>
          <w:bCs/>
          <w:sz w:val="22"/>
          <w:szCs w:val="22"/>
          <w:lang w:val="fr-FR"/>
        </w:rPr>
        <w:t>esprit du consensus, tel qu</w:t>
      </w:r>
      <w:r w:rsidR="008E532B">
        <w:rPr>
          <w:rFonts w:ascii="Arial" w:hAnsi="Arial" w:cs="Arial"/>
          <w:bCs/>
          <w:sz w:val="22"/>
          <w:szCs w:val="22"/>
          <w:lang w:val="fr-FR"/>
        </w:rPr>
        <w:t>’</w:t>
      </w:r>
      <w:r w:rsidRPr="008D09F6">
        <w:rPr>
          <w:rFonts w:ascii="Arial" w:hAnsi="Arial" w:cs="Arial"/>
          <w:bCs/>
          <w:sz w:val="22"/>
          <w:szCs w:val="22"/>
          <w:lang w:val="fr-FR"/>
        </w:rPr>
        <w:t>exprimé par l</w:t>
      </w:r>
      <w:r w:rsidR="008E532B">
        <w:rPr>
          <w:rFonts w:ascii="Arial" w:hAnsi="Arial" w:cs="Arial"/>
          <w:bCs/>
          <w:sz w:val="22"/>
          <w:szCs w:val="22"/>
          <w:lang w:val="fr-FR"/>
        </w:rPr>
        <w:t>’</w:t>
      </w:r>
      <w:r w:rsidRPr="008D09F6">
        <w:rPr>
          <w:rFonts w:ascii="Arial" w:hAnsi="Arial" w:cs="Arial"/>
          <w:bCs/>
          <w:sz w:val="22"/>
          <w:szCs w:val="22"/>
          <w:lang w:val="fr-FR"/>
        </w:rPr>
        <w:t>Éthiopie, la délégation pouvait être d</w:t>
      </w:r>
      <w:r w:rsidR="008E532B">
        <w:rPr>
          <w:rFonts w:ascii="Arial" w:hAnsi="Arial" w:cs="Arial"/>
          <w:bCs/>
          <w:sz w:val="22"/>
          <w:szCs w:val="22"/>
          <w:lang w:val="fr-FR"/>
        </w:rPr>
        <w:t>’</w:t>
      </w:r>
      <w:r w:rsidRPr="008D09F6">
        <w:rPr>
          <w:rFonts w:ascii="Arial" w:hAnsi="Arial" w:cs="Arial"/>
          <w:bCs/>
          <w:sz w:val="22"/>
          <w:szCs w:val="22"/>
          <w:lang w:val="fr-FR"/>
        </w:rPr>
        <w:t>accord avec la proposition faite par la Palestine. La délégation a appelé l</w:t>
      </w:r>
      <w:r w:rsidR="008E532B">
        <w:rPr>
          <w:rFonts w:ascii="Arial" w:hAnsi="Arial" w:cs="Arial"/>
          <w:bCs/>
          <w:sz w:val="22"/>
          <w:szCs w:val="22"/>
          <w:lang w:val="fr-FR"/>
        </w:rPr>
        <w:t>’</w:t>
      </w:r>
      <w:r w:rsidRPr="008D09F6">
        <w:rPr>
          <w:rFonts w:ascii="Arial" w:hAnsi="Arial" w:cs="Arial"/>
          <w:bCs/>
          <w:sz w:val="22"/>
          <w:szCs w:val="22"/>
          <w:lang w:val="fr-FR"/>
        </w:rPr>
        <w:t>Assemblée à soutenir la proposition de la Palestine afin de conclure la décision et d</w:t>
      </w:r>
      <w:r w:rsidR="008E532B">
        <w:rPr>
          <w:rFonts w:ascii="Arial" w:hAnsi="Arial" w:cs="Arial"/>
          <w:bCs/>
          <w:sz w:val="22"/>
          <w:szCs w:val="22"/>
          <w:lang w:val="fr-FR"/>
        </w:rPr>
        <w:t>’</w:t>
      </w:r>
      <w:r w:rsidRPr="008D09F6">
        <w:rPr>
          <w:rFonts w:ascii="Arial" w:hAnsi="Arial" w:cs="Arial"/>
          <w:bCs/>
          <w:sz w:val="22"/>
          <w:szCs w:val="22"/>
          <w:lang w:val="fr-FR"/>
        </w:rPr>
        <w:t>aller de l</w:t>
      </w:r>
      <w:r w:rsidR="008E532B">
        <w:rPr>
          <w:rFonts w:ascii="Arial" w:hAnsi="Arial" w:cs="Arial"/>
          <w:bCs/>
          <w:sz w:val="22"/>
          <w:szCs w:val="22"/>
          <w:lang w:val="fr-FR"/>
        </w:rPr>
        <w:t>’</w:t>
      </w:r>
      <w:r w:rsidRPr="008D09F6">
        <w:rPr>
          <w:rFonts w:ascii="Arial" w:hAnsi="Arial" w:cs="Arial"/>
          <w:bCs/>
          <w:sz w:val="22"/>
          <w:szCs w:val="22"/>
          <w:lang w:val="fr-FR"/>
        </w:rPr>
        <w:t>avant.</w:t>
      </w:r>
    </w:p>
    <w:p w14:paraId="538A8400" w14:textId="7D8DBCBB" w:rsidR="00D9653F" w:rsidRPr="008D09F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D09F6">
        <w:rPr>
          <w:rFonts w:ascii="Arial" w:hAnsi="Arial" w:cs="Arial"/>
          <w:bCs/>
          <w:sz w:val="22"/>
          <w:szCs w:val="22"/>
          <w:lang w:val="fr-FR"/>
        </w:rPr>
        <w:t xml:space="preserve">La </w:t>
      </w:r>
      <w:r w:rsidRPr="008D09F6">
        <w:rPr>
          <w:rFonts w:ascii="Arial" w:hAnsi="Arial" w:cs="Arial"/>
          <w:b/>
          <w:sz w:val="22"/>
          <w:szCs w:val="22"/>
          <w:lang w:val="fr-FR"/>
        </w:rPr>
        <w:t>Présidente</w:t>
      </w:r>
      <w:r w:rsidRPr="008D09F6">
        <w:rPr>
          <w:rFonts w:ascii="Arial" w:hAnsi="Arial" w:cs="Arial"/>
          <w:bCs/>
          <w:sz w:val="22"/>
          <w:szCs w:val="22"/>
          <w:lang w:val="fr-FR"/>
        </w:rPr>
        <w:t xml:space="preserve"> </w:t>
      </w:r>
      <w:r>
        <w:rPr>
          <w:rFonts w:ascii="Arial" w:hAnsi="Arial" w:cs="Arial"/>
          <w:bCs/>
          <w:sz w:val="22"/>
          <w:szCs w:val="22"/>
          <w:lang w:val="fr-FR"/>
        </w:rPr>
        <w:t xml:space="preserve">a </w:t>
      </w:r>
      <w:r w:rsidRPr="008D09F6">
        <w:rPr>
          <w:rFonts w:ascii="Arial" w:hAnsi="Arial" w:cs="Arial"/>
          <w:bCs/>
          <w:sz w:val="22"/>
          <w:szCs w:val="22"/>
          <w:lang w:val="fr-FR"/>
        </w:rPr>
        <w:t>donn</w:t>
      </w:r>
      <w:r>
        <w:rPr>
          <w:rFonts w:ascii="Arial" w:hAnsi="Arial" w:cs="Arial"/>
          <w:bCs/>
          <w:sz w:val="22"/>
          <w:szCs w:val="22"/>
          <w:lang w:val="fr-FR"/>
        </w:rPr>
        <w:t>é</w:t>
      </w:r>
      <w:r w:rsidRPr="008D09F6">
        <w:rPr>
          <w:rFonts w:ascii="Arial" w:hAnsi="Arial" w:cs="Arial"/>
          <w:bCs/>
          <w:sz w:val="22"/>
          <w:szCs w:val="22"/>
          <w:lang w:val="fr-FR"/>
        </w:rPr>
        <w:t xml:space="preserve"> lecture du paragraphe 5 </w:t>
      </w:r>
      <w:r>
        <w:rPr>
          <w:rFonts w:ascii="Arial" w:hAnsi="Arial" w:cs="Arial"/>
          <w:bCs/>
          <w:sz w:val="22"/>
          <w:szCs w:val="22"/>
          <w:lang w:val="fr-FR"/>
        </w:rPr>
        <w:t>tel qu</w:t>
      </w:r>
      <w:r w:rsidR="008E532B">
        <w:rPr>
          <w:rFonts w:ascii="Arial" w:hAnsi="Arial" w:cs="Arial"/>
          <w:bCs/>
          <w:sz w:val="22"/>
          <w:szCs w:val="22"/>
          <w:lang w:val="fr-FR"/>
        </w:rPr>
        <w:t>’</w:t>
      </w:r>
      <w:r w:rsidRPr="008D09F6">
        <w:rPr>
          <w:rFonts w:ascii="Arial" w:hAnsi="Arial" w:cs="Arial"/>
          <w:bCs/>
          <w:sz w:val="22"/>
          <w:szCs w:val="22"/>
          <w:lang w:val="fr-FR"/>
        </w:rPr>
        <w:t>amendé</w:t>
      </w:r>
      <w:r>
        <w:rPr>
          <w:rFonts w:ascii="Arial" w:hAnsi="Arial" w:cs="Arial"/>
          <w:bCs/>
          <w:sz w:val="22"/>
          <w:szCs w:val="22"/>
          <w:lang w:val="fr-FR"/>
        </w:rPr>
        <w:t xml:space="preserve">, </w:t>
      </w:r>
      <w:r w:rsidRPr="008D09F6">
        <w:rPr>
          <w:rFonts w:ascii="Arial" w:hAnsi="Arial" w:cs="Arial"/>
          <w:bCs/>
          <w:sz w:val="22"/>
          <w:szCs w:val="22"/>
          <w:lang w:val="fr-FR"/>
        </w:rPr>
        <w:t xml:space="preserve">qui </w:t>
      </w:r>
      <w:r>
        <w:rPr>
          <w:rFonts w:ascii="Arial" w:hAnsi="Arial" w:cs="Arial"/>
          <w:bCs/>
          <w:sz w:val="22"/>
          <w:szCs w:val="22"/>
          <w:lang w:val="fr-FR"/>
        </w:rPr>
        <w:t>serait ainsi rédigé</w:t>
      </w:r>
      <w:r w:rsidRPr="008D09F6">
        <w:rPr>
          <w:rFonts w:ascii="Arial" w:hAnsi="Arial" w:cs="Arial"/>
          <w:bCs/>
          <w:sz w:val="22"/>
          <w:szCs w:val="22"/>
          <w:lang w:val="fr-FR"/>
        </w:rPr>
        <w:t xml:space="preserve"> : </w:t>
      </w:r>
      <w:r>
        <w:rPr>
          <w:rFonts w:ascii="Arial" w:hAnsi="Arial" w:cs="Arial"/>
          <w:bCs/>
          <w:sz w:val="22"/>
          <w:szCs w:val="22"/>
          <w:lang w:val="fr-FR"/>
        </w:rPr>
        <w:t>« </w:t>
      </w:r>
      <w:r w:rsidRPr="008D09F6">
        <w:rPr>
          <w:rFonts w:ascii="Arial" w:hAnsi="Arial" w:cs="Arial"/>
          <w:bCs/>
          <w:sz w:val="22"/>
          <w:szCs w:val="22"/>
          <w:lang w:val="fr-FR"/>
        </w:rPr>
        <w:t>Approuve,</w:t>
      </w:r>
      <w:r>
        <w:rPr>
          <w:rFonts w:ascii="Arial" w:hAnsi="Arial" w:cs="Arial"/>
          <w:bCs/>
          <w:sz w:val="22"/>
          <w:szCs w:val="22"/>
          <w:lang w:val="fr-FR"/>
        </w:rPr>
        <w:t xml:space="preserve"> sur une base </w:t>
      </w:r>
      <w:r w:rsidRPr="008D09F6">
        <w:rPr>
          <w:rFonts w:ascii="Arial" w:hAnsi="Arial" w:cs="Arial"/>
          <w:bCs/>
          <w:sz w:val="22"/>
          <w:szCs w:val="22"/>
          <w:lang w:val="fr-FR"/>
        </w:rPr>
        <w:t>exceptionne</w:t>
      </w:r>
      <w:r>
        <w:rPr>
          <w:rFonts w:ascii="Arial" w:hAnsi="Arial" w:cs="Arial"/>
          <w:bCs/>
          <w:sz w:val="22"/>
          <w:szCs w:val="22"/>
          <w:lang w:val="fr-FR"/>
        </w:rPr>
        <w:t>lle</w:t>
      </w:r>
      <w:r w:rsidRPr="008D09F6">
        <w:rPr>
          <w:rFonts w:ascii="Arial" w:hAnsi="Arial" w:cs="Arial"/>
          <w:bCs/>
          <w:sz w:val="22"/>
          <w:szCs w:val="22"/>
          <w:lang w:val="fr-FR"/>
        </w:rPr>
        <w:t>, la procédure suivie pour l</w:t>
      </w:r>
      <w:r w:rsidR="008E532B">
        <w:rPr>
          <w:rFonts w:ascii="Arial" w:hAnsi="Arial" w:cs="Arial"/>
          <w:bCs/>
          <w:sz w:val="22"/>
          <w:szCs w:val="22"/>
          <w:lang w:val="fr-FR"/>
        </w:rPr>
        <w:t>’</w:t>
      </w:r>
      <w:r w:rsidRPr="008D09F6">
        <w:rPr>
          <w:rFonts w:ascii="Arial" w:hAnsi="Arial" w:cs="Arial"/>
          <w:bCs/>
          <w:sz w:val="22"/>
          <w:szCs w:val="22"/>
          <w:lang w:val="fr-FR"/>
        </w:rPr>
        <w:t>inscription de la</w:t>
      </w:r>
      <w:r>
        <w:rPr>
          <w:rFonts w:ascii="Arial" w:hAnsi="Arial" w:cs="Arial"/>
          <w:bCs/>
          <w:sz w:val="22"/>
          <w:szCs w:val="22"/>
          <w:lang w:val="fr-FR"/>
        </w:rPr>
        <w:t xml:space="preserve"> soupe au giraumon,</w:t>
      </w:r>
      <w:r w:rsidRPr="008D09F6">
        <w:rPr>
          <w:rFonts w:ascii="Arial" w:hAnsi="Arial" w:cs="Arial"/>
          <w:bCs/>
          <w:sz w:val="22"/>
          <w:szCs w:val="22"/>
          <w:lang w:val="fr-FR"/>
        </w:rPr>
        <w:t xml:space="preserve"> dans le cadre du cycle 2021</w:t>
      </w:r>
      <w:r>
        <w:rPr>
          <w:rFonts w:ascii="Arial" w:hAnsi="Arial" w:cs="Arial"/>
          <w:bCs/>
          <w:sz w:val="22"/>
          <w:szCs w:val="22"/>
          <w:lang w:val="fr-FR"/>
        </w:rPr>
        <w:t>,</w:t>
      </w:r>
      <w:r w:rsidRPr="008D09F6">
        <w:rPr>
          <w:rFonts w:ascii="Arial" w:hAnsi="Arial" w:cs="Arial"/>
          <w:bCs/>
          <w:sz w:val="22"/>
          <w:szCs w:val="22"/>
          <w:lang w:val="fr-FR"/>
        </w:rPr>
        <w:t xml:space="preserve"> sur la Liste représentative du patrimoine culturel immatériel de l</w:t>
      </w:r>
      <w:r w:rsidR="008E532B">
        <w:rPr>
          <w:rFonts w:ascii="Arial" w:hAnsi="Arial" w:cs="Arial"/>
          <w:bCs/>
          <w:sz w:val="22"/>
          <w:szCs w:val="22"/>
          <w:lang w:val="fr-FR"/>
        </w:rPr>
        <w:t>’</w:t>
      </w:r>
      <w:r w:rsidRPr="008D09F6">
        <w:rPr>
          <w:rFonts w:ascii="Arial" w:hAnsi="Arial" w:cs="Arial"/>
          <w:bCs/>
          <w:sz w:val="22"/>
          <w:szCs w:val="22"/>
          <w:lang w:val="fr-FR"/>
        </w:rPr>
        <w:t>humanité</w:t>
      </w:r>
      <w:r>
        <w:rPr>
          <w:rFonts w:ascii="Arial" w:hAnsi="Arial" w:cs="Arial"/>
          <w:bCs/>
          <w:sz w:val="22"/>
          <w:szCs w:val="22"/>
          <w:lang w:val="fr-FR"/>
        </w:rPr>
        <w:t>. »</w:t>
      </w:r>
      <w:r w:rsidRPr="008D09F6">
        <w:rPr>
          <w:rFonts w:ascii="Arial" w:hAnsi="Arial" w:cs="Arial"/>
          <w:bCs/>
          <w:sz w:val="22"/>
          <w:szCs w:val="22"/>
          <w:lang w:val="fr-FR"/>
        </w:rPr>
        <w:t xml:space="preserve"> </w:t>
      </w:r>
      <w:r w:rsidRPr="002F323C">
        <w:rPr>
          <w:rFonts w:ascii="Arial" w:hAnsi="Arial" w:cs="Arial"/>
          <w:bCs/>
          <w:sz w:val="22"/>
          <w:szCs w:val="22"/>
          <w:lang w:val="fr-FR"/>
        </w:rPr>
        <w:t>En l</w:t>
      </w:r>
      <w:r w:rsidR="008E532B">
        <w:rPr>
          <w:rFonts w:ascii="Arial" w:hAnsi="Arial" w:cs="Arial"/>
          <w:bCs/>
          <w:sz w:val="22"/>
          <w:szCs w:val="22"/>
          <w:lang w:val="fr-FR"/>
        </w:rPr>
        <w:t>’</w:t>
      </w:r>
      <w:r w:rsidRPr="002F323C">
        <w:rPr>
          <w:rFonts w:ascii="Arial" w:hAnsi="Arial" w:cs="Arial"/>
          <w:bCs/>
          <w:sz w:val="22"/>
          <w:szCs w:val="22"/>
          <w:lang w:val="fr-FR"/>
        </w:rPr>
        <w:t>absence</w:t>
      </w:r>
      <w:r>
        <w:rPr>
          <w:rFonts w:ascii="Arial" w:hAnsi="Arial" w:cs="Arial"/>
          <w:bCs/>
          <w:sz w:val="22"/>
          <w:szCs w:val="22"/>
          <w:lang w:val="fr-FR"/>
        </w:rPr>
        <w:t xml:space="preserve"> d</w:t>
      </w:r>
      <w:r w:rsidR="008E532B">
        <w:rPr>
          <w:rFonts w:ascii="Arial" w:hAnsi="Arial" w:cs="Arial"/>
          <w:bCs/>
          <w:sz w:val="22"/>
          <w:szCs w:val="22"/>
          <w:lang w:val="fr-FR"/>
        </w:rPr>
        <w:t>’</w:t>
      </w:r>
      <w:r>
        <w:rPr>
          <w:rFonts w:ascii="Arial" w:hAnsi="Arial" w:cs="Arial"/>
          <w:bCs/>
          <w:sz w:val="22"/>
          <w:szCs w:val="22"/>
          <w:lang w:val="fr-FR"/>
        </w:rPr>
        <w:t>objections</w:t>
      </w:r>
      <w:r w:rsidRPr="008D09F6">
        <w:rPr>
          <w:rFonts w:ascii="Arial" w:hAnsi="Arial" w:cs="Arial"/>
          <w:bCs/>
          <w:sz w:val="22"/>
          <w:szCs w:val="22"/>
          <w:lang w:val="fr-FR"/>
        </w:rPr>
        <w:t xml:space="preserve">, le paragraphe </w:t>
      </w:r>
      <w:r>
        <w:rPr>
          <w:rFonts w:ascii="Arial" w:hAnsi="Arial" w:cs="Arial"/>
          <w:bCs/>
          <w:sz w:val="22"/>
          <w:szCs w:val="22"/>
          <w:lang w:val="fr-FR"/>
        </w:rPr>
        <w:t>a été</w:t>
      </w:r>
      <w:r w:rsidRPr="008D09F6">
        <w:rPr>
          <w:rFonts w:ascii="Arial" w:hAnsi="Arial" w:cs="Arial"/>
          <w:bCs/>
          <w:sz w:val="22"/>
          <w:szCs w:val="22"/>
          <w:lang w:val="fr-FR"/>
        </w:rPr>
        <w:t xml:space="preserve"> adopté. Passant à l</w:t>
      </w:r>
      <w:r w:rsidR="008E532B">
        <w:rPr>
          <w:rFonts w:ascii="Arial" w:hAnsi="Arial" w:cs="Arial"/>
          <w:bCs/>
          <w:sz w:val="22"/>
          <w:szCs w:val="22"/>
          <w:lang w:val="fr-FR"/>
        </w:rPr>
        <w:t>’</w:t>
      </w:r>
      <w:r w:rsidRPr="008D09F6">
        <w:rPr>
          <w:rFonts w:ascii="Arial" w:hAnsi="Arial" w:cs="Arial"/>
          <w:bCs/>
          <w:sz w:val="22"/>
          <w:szCs w:val="22"/>
          <w:lang w:val="fr-FR"/>
        </w:rPr>
        <w:t xml:space="preserve">adoption du projet de résolution dans son ensemble, </w:t>
      </w:r>
      <w:r>
        <w:rPr>
          <w:rFonts w:ascii="Arial" w:hAnsi="Arial" w:cs="Arial"/>
          <w:bCs/>
          <w:sz w:val="22"/>
          <w:szCs w:val="22"/>
          <w:lang w:val="fr-FR"/>
        </w:rPr>
        <w:t>l</w:t>
      </w:r>
      <w:r w:rsidRPr="008D09F6">
        <w:rPr>
          <w:rFonts w:ascii="Arial" w:hAnsi="Arial" w:cs="Arial"/>
          <w:bCs/>
          <w:sz w:val="22"/>
          <w:szCs w:val="22"/>
          <w:lang w:val="fr-FR"/>
        </w:rPr>
        <w:t xml:space="preserve">a </w:t>
      </w:r>
      <w:r w:rsidRPr="002F323C">
        <w:rPr>
          <w:rFonts w:ascii="Arial" w:hAnsi="Arial" w:cs="Arial"/>
          <w:b/>
          <w:sz w:val="22"/>
          <w:szCs w:val="22"/>
          <w:lang w:val="fr-FR"/>
        </w:rPr>
        <w:t xml:space="preserve">Présidente a déclaré la </w:t>
      </w:r>
      <w:r>
        <w:rPr>
          <w:rFonts w:ascii="Arial" w:hAnsi="Arial" w:cs="Arial"/>
          <w:b/>
          <w:sz w:val="22"/>
          <w:szCs w:val="22"/>
          <w:lang w:val="fr-FR"/>
        </w:rPr>
        <w:t xml:space="preserve">résolution </w:t>
      </w:r>
      <w:r w:rsidRPr="002F323C">
        <w:rPr>
          <w:rFonts w:ascii="Arial" w:hAnsi="Arial" w:cs="Arial"/>
          <w:b/>
          <w:sz w:val="22"/>
          <w:szCs w:val="22"/>
          <w:lang w:val="fr-FR"/>
        </w:rPr>
        <w:t>9.GA 8 adoptée</w:t>
      </w:r>
      <w:r w:rsidRPr="008D09F6">
        <w:rPr>
          <w:rFonts w:ascii="Arial" w:hAnsi="Arial" w:cs="Arial"/>
          <w:bCs/>
          <w:sz w:val="22"/>
          <w:szCs w:val="22"/>
          <w:lang w:val="fr-FR"/>
        </w:rPr>
        <w:t>.</w:t>
      </w:r>
    </w:p>
    <w:p w14:paraId="03F6DC87" w14:textId="599C8915" w:rsidR="00D9653F" w:rsidRPr="00A83DA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83DA6">
        <w:rPr>
          <w:rFonts w:ascii="Arial" w:hAnsi="Arial" w:cs="Arial"/>
          <w:bCs/>
          <w:sz w:val="22"/>
          <w:szCs w:val="22"/>
          <w:lang w:val="fr-FR"/>
        </w:rPr>
        <w:t>La délégation d</w:t>
      </w:r>
      <w:r w:rsidR="008E532B">
        <w:rPr>
          <w:rFonts w:ascii="Arial" w:hAnsi="Arial" w:cs="Arial"/>
          <w:bCs/>
          <w:sz w:val="22"/>
          <w:szCs w:val="22"/>
          <w:lang w:val="fr-FR"/>
        </w:rPr>
        <w:t>’</w:t>
      </w:r>
      <w:r w:rsidRPr="00A83DA6">
        <w:rPr>
          <w:rFonts w:ascii="Arial" w:hAnsi="Arial" w:cs="Arial"/>
          <w:b/>
          <w:sz w:val="22"/>
          <w:szCs w:val="22"/>
          <w:lang w:val="fr-FR"/>
        </w:rPr>
        <w:t>Haïti</w:t>
      </w:r>
      <w:r w:rsidRPr="00A83DA6">
        <w:rPr>
          <w:rFonts w:ascii="Arial" w:hAnsi="Arial" w:cs="Arial"/>
          <w:bCs/>
          <w:sz w:val="22"/>
          <w:szCs w:val="22"/>
          <w:lang w:val="fr-FR"/>
        </w:rPr>
        <w:t xml:space="preserve"> a </w:t>
      </w:r>
      <w:r>
        <w:rPr>
          <w:rFonts w:ascii="Arial" w:hAnsi="Arial" w:cs="Arial"/>
          <w:bCs/>
          <w:sz w:val="22"/>
          <w:szCs w:val="22"/>
          <w:lang w:val="fr-FR"/>
        </w:rPr>
        <w:t>adressé</w:t>
      </w:r>
      <w:r w:rsidRPr="00A83DA6">
        <w:rPr>
          <w:rFonts w:ascii="Arial" w:hAnsi="Arial" w:cs="Arial"/>
          <w:bCs/>
          <w:sz w:val="22"/>
          <w:szCs w:val="22"/>
          <w:lang w:val="fr-FR"/>
        </w:rPr>
        <w:t xml:space="preserve"> ses sincères félicitations aux nouveaux membres élus du Comité. Elle a rappelé qu</w:t>
      </w:r>
      <w:r w:rsidR="008E532B">
        <w:rPr>
          <w:rFonts w:ascii="Arial" w:hAnsi="Arial" w:cs="Arial"/>
          <w:bCs/>
          <w:sz w:val="22"/>
          <w:szCs w:val="22"/>
          <w:lang w:val="fr-FR"/>
        </w:rPr>
        <w:t>’</w:t>
      </w:r>
      <w:r w:rsidRPr="00A83DA6">
        <w:rPr>
          <w:rFonts w:ascii="Arial" w:hAnsi="Arial" w:cs="Arial"/>
          <w:bCs/>
          <w:sz w:val="22"/>
          <w:szCs w:val="22"/>
          <w:lang w:val="fr-FR"/>
        </w:rPr>
        <w:t>exactement un an</w:t>
      </w:r>
      <w:r>
        <w:rPr>
          <w:rFonts w:ascii="Arial" w:hAnsi="Arial" w:cs="Arial"/>
          <w:bCs/>
          <w:sz w:val="22"/>
          <w:szCs w:val="22"/>
          <w:lang w:val="fr-FR"/>
        </w:rPr>
        <w:t xml:space="preserve"> auparavant</w:t>
      </w:r>
      <w:r w:rsidRPr="00A83DA6">
        <w:rPr>
          <w:rFonts w:ascii="Arial" w:hAnsi="Arial" w:cs="Arial"/>
          <w:bCs/>
          <w:sz w:val="22"/>
          <w:szCs w:val="22"/>
          <w:lang w:val="fr-FR"/>
        </w:rPr>
        <w:t>, le 7</w:t>
      </w:r>
      <w:r>
        <w:rPr>
          <w:rFonts w:ascii="Arial" w:hAnsi="Arial" w:cs="Arial"/>
          <w:bCs/>
          <w:sz w:val="22"/>
          <w:szCs w:val="22"/>
          <w:lang w:val="fr-FR"/>
        </w:rPr>
        <w:t> </w:t>
      </w:r>
      <w:r w:rsidRPr="00A83DA6">
        <w:rPr>
          <w:rFonts w:ascii="Arial" w:hAnsi="Arial" w:cs="Arial"/>
          <w:bCs/>
          <w:sz w:val="22"/>
          <w:szCs w:val="22"/>
          <w:lang w:val="fr-FR"/>
        </w:rPr>
        <w:t>juillet</w:t>
      </w:r>
      <w:r>
        <w:rPr>
          <w:rFonts w:ascii="Arial" w:hAnsi="Arial" w:cs="Arial"/>
          <w:bCs/>
          <w:sz w:val="22"/>
          <w:szCs w:val="22"/>
          <w:lang w:val="fr-FR"/>
        </w:rPr>
        <w:t> </w:t>
      </w:r>
      <w:r w:rsidRPr="00A83DA6">
        <w:rPr>
          <w:rFonts w:ascii="Arial" w:hAnsi="Arial" w:cs="Arial"/>
          <w:bCs/>
          <w:sz w:val="22"/>
          <w:szCs w:val="22"/>
          <w:lang w:val="fr-FR"/>
        </w:rPr>
        <w:t>2021, la population s</w:t>
      </w:r>
      <w:r w:rsidR="008E532B">
        <w:rPr>
          <w:rFonts w:ascii="Arial" w:hAnsi="Arial" w:cs="Arial"/>
          <w:bCs/>
          <w:sz w:val="22"/>
          <w:szCs w:val="22"/>
          <w:lang w:val="fr-FR"/>
        </w:rPr>
        <w:t>’</w:t>
      </w:r>
      <w:r w:rsidRPr="00A83DA6">
        <w:rPr>
          <w:rFonts w:ascii="Arial" w:hAnsi="Arial" w:cs="Arial"/>
          <w:bCs/>
          <w:sz w:val="22"/>
          <w:szCs w:val="22"/>
          <w:lang w:val="fr-FR"/>
        </w:rPr>
        <w:t xml:space="preserve">était réveillée avec la nouvelle glaçante et choquante que le Président en exercice, </w:t>
      </w:r>
      <w:r w:rsidR="008C78BC">
        <w:rPr>
          <w:rFonts w:ascii="Arial" w:hAnsi="Arial" w:cs="Arial"/>
          <w:bCs/>
          <w:sz w:val="22"/>
          <w:szCs w:val="22"/>
          <w:lang w:val="fr-FR"/>
        </w:rPr>
        <w:t>S.Exc. M. </w:t>
      </w:r>
      <w:proofErr w:type="spellStart"/>
      <w:r w:rsidRPr="00A83DA6">
        <w:rPr>
          <w:rFonts w:ascii="Arial" w:hAnsi="Arial" w:cs="Arial"/>
          <w:bCs/>
          <w:sz w:val="22"/>
          <w:szCs w:val="22"/>
          <w:lang w:val="fr-FR"/>
        </w:rPr>
        <w:t>Jovenel</w:t>
      </w:r>
      <w:proofErr w:type="spellEnd"/>
      <w:r w:rsidRPr="00A83DA6">
        <w:rPr>
          <w:rFonts w:ascii="Arial" w:hAnsi="Arial" w:cs="Arial"/>
          <w:bCs/>
          <w:sz w:val="22"/>
          <w:szCs w:val="22"/>
          <w:lang w:val="fr-FR"/>
        </w:rPr>
        <w:t xml:space="preserve"> Moïse, avait été assassiné dans sa résidence par des mercenaires étrangers. Cela a</w:t>
      </w:r>
      <w:r>
        <w:rPr>
          <w:rFonts w:ascii="Arial" w:hAnsi="Arial" w:cs="Arial"/>
          <w:bCs/>
          <w:sz w:val="22"/>
          <w:szCs w:val="22"/>
          <w:lang w:val="fr-FR"/>
        </w:rPr>
        <w:t>vait</w:t>
      </w:r>
      <w:r w:rsidRPr="00A83DA6">
        <w:rPr>
          <w:rFonts w:ascii="Arial" w:hAnsi="Arial" w:cs="Arial"/>
          <w:bCs/>
          <w:sz w:val="22"/>
          <w:szCs w:val="22"/>
          <w:lang w:val="fr-FR"/>
        </w:rPr>
        <w:t xml:space="preserve"> entraîné un deuil sans précédent dans tous les </w:t>
      </w:r>
      <w:r>
        <w:rPr>
          <w:rFonts w:ascii="Arial" w:hAnsi="Arial" w:cs="Arial"/>
          <w:bCs/>
          <w:sz w:val="22"/>
          <w:szCs w:val="22"/>
          <w:lang w:val="fr-FR"/>
        </w:rPr>
        <w:t>re</w:t>
      </w:r>
      <w:r w:rsidRPr="00A83DA6">
        <w:rPr>
          <w:rFonts w:ascii="Arial" w:hAnsi="Arial" w:cs="Arial"/>
          <w:bCs/>
          <w:sz w:val="22"/>
          <w:szCs w:val="22"/>
          <w:lang w:val="fr-FR"/>
        </w:rPr>
        <w:t>coins d</w:t>
      </w:r>
      <w:r w:rsidR="008E532B">
        <w:rPr>
          <w:rFonts w:ascii="Arial" w:hAnsi="Arial" w:cs="Arial"/>
          <w:bCs/>
          <w:sz w:val="22"/>
          <w:szCs w:val="22"/>
          <w:lang w:val="fr-FR"/>
        </w:rPr>
        <w:t>’</w:t>
      </w:r>
      <w:r w:rsidRPr="00A83DA6">
        <w:rPr>
          <w:rFonts w:ascii="Arial" w:hAnsi="Arial" w:cs="Arial"/>
          <w:bCs/>
          <w:sz w:val="22"/>
          <w:szCs w:val="22"/>
          <w:lang w:val="fr-FR"/>
        </w:rPr>
        <w:t xml:space="preserve">Haïti, ajoutant </w:t>
      </w:r>
      <w:r>
        <w:rPr>
          <w:rFonts w:ascii="Arial" w:hAnsi="Arial" w:cs="Arial"/>
          <w:bCs/>
          <w:sz w:val="22"/>
          <w:szCs w:val="22"/>
          <w:lang w:val="fr-FR"/>
        </w:rPr>
        <w:t>un</w:t>
      </w:r>
      <w:r w:rsidRPr="00A83DA6">
        <w:rPr>
          <w:rFonts w:ascii="Arial" w:hAnsi="Arial" w:cs="Arial"/>
          <w:bCs/>
          <w:sz w:val="22"/>
          <w:szCs w:val="22"/>
          <w:lang w:val="fr-FR"/>
        </w:rPr>
        <w:t xml:space="preserve"> sentiment d</w:t>
      </w:r>
      <w:r w:rsidR="008E532B">
        <w:rPr>
          <w:rFonts w:ascii="Arial" w:hAnsi="Arial" w:cs="Arial"/>
          <w:bCs/>
          <w:sz w:val="22"/>
          <w:szCs w:val="22"/>
          <w:lang w:val="fr-FR"/>
        </w:rPr>
        <w:t>’</w:t>
      </w:r>
      <w:r w:rsidRPr="00A83DA6">
        <w:rPr>
          <w:rFonts w:ascii="Arial" w:hAnsi="Arial" w:cs="Arial"/>
          <w:bCs/>
          <w:sz w:val="22"/>
          <w:szCs w:val="22"/>
          <w:lang w:val="fr-FR"/>
        </w:rPr>
        <w:t>incrédulité et de panique aux nombreux défis auxquels les Haïtiens étaient déjà confrontés. Le continent américain n</w:t>
      </w:r>
      <w:r w:rsidR="008E532B">
        <w:rPr>
          <w:rFonts w:ascii="Arial" w:hAnsi="Arial" w:cs="Arial"/>
          <w:bCs/>
          <w:sz w:val="22"/>
          <w:szCs w:val="22"/>
          <w:lang w:val="fr-FR"/>
        </w:rPr>
        <w:t>’</w:t>
      </w:r>
      <w:r w:rsidRPr="00A83DA6">
        <w:rPr>
          <w:rFonts w:ascii="Arial" w:hAnsi="Arial" w:cs="Arial"/>
          <w:bCs/>
          <w:sz w:val="22"/>
          <w:szCs w:val="22"/>
          <w:lang w:val="fr-FR"/>
        </w:rPr>
        <w:t>avait pas ressenti une telle ampleur de souffrance depuis plus d</w:t>
      </w:r>
      <w:r w:rsidR="008E532B">
        <w:rPr>
          <w:rFonts w:ascii="Arial" w:hAnsi="Arial" w:cs="Arial"/>
          <w:bCs/>
          <w:sz w:val="22"/>
          <w:szCs w:val="22"/>
          <w:lang w:val="fr-FR"/>
        </w:rPr>
        <w:t>’</w:t>
      </w:r>
      <w:r w:rsidRPr="00A83DA6">
        <w:rPr>
          <w:rFonts w:ascii="Arial" w:hAnsi="Arial" w:cs="Arial"/>
          <w:bCs/>
          <w:sz w:val="22"/>
          <w:szCs w:val="22"/>
          <w:lang w:val="fr-FR"/>
        </w:rPr>
        <w:t>un siècle. L</w:t>
      </w:r>
      <w:r w:rsidR="008E532B">
        <w:rPr>
          <w:rFonts w:ascii="Arial" w:hAnsi="Arial" w:cs="Arial"/>
          <w:bCs/>
          <w:sz w:val="22"/>
          <w:szCs w:val="22"/>
          <w:lang w:val="fr-FR"/>
        </w:rPr>
        <w:t>’</w:t>
      </w:r>
      <w:r w:rsidRPr="00A83DA6">
        <w:rPr>
          <w:rFonts w:ascii="Arial" w:hAnsi="Arial" w:cs="Arial"/>
          <w:bCs/>
          <w:sz w:val="22"/>
          <w:szCs w:val="22"/>
          <w:lang w:val="fr-FR"/>
        </w:rPr>
        <w:t>ass</w:t>
      </w:r>
      <w:r>
        <w:rPr>
          <w:rFonts w:ascii="Arial" w:hAnsi="Arial" w:cs="Arial"/>
          <w:bCs/>
          <w:sz w:val="22"/>
          <w:szCs w:val="22"/>
          <w:lang w:val="fr-FR"/>
        </w:rPr>
        <w:t>assinat</w:t>
      </w:r>
      <w:r w:rsidRPr="00A83DA6">
        <w:rPr>
          <w:rFonts w:ascii="Arial" w:hAnsi="Arial" w:cs="Arial"/>
          <w:bCs/>
          <w:sz w:val="22"/>
          <w:szCs w:val="22"/>
          <w:lang w:val="fr-FR"/>
        </w:rPr>
        <w:t xml:space="preserve"> a</w:t>
      </w:r>
      <w:r>
        <w:rPr>
          <w:rFonts w:ascii="Arial" w:hAnsi="Arial" w:cs="Arial"/>
          <w:bCs/>
          <w:sz w:val="22"/>
          <w:szCs w:val="22"/>
          <w:lang w:val="fr-FR"/>
        </w:rPr>
        <w:t>vait</w:t>
      </w:r>
      <w:r w:rsidRPr="00A83DA6">
        <w:rPr>
          <w:rFonts w:ascii="Arial" w:hAnsi="Arial" w:cs="Arial"/>
          <w:bCs/>
          <w:sz w:val="22"/>
          <w:szCs w:val="22"/>
          <w:lang w:val="fr-FR"/>
        </w:rPr>
        <w:t xml:space="preserve"> </w:t>
      </w:r>
      <w:r>
        <w:rPr>
          <w:rFonts w:ascii="Arial" w:hAnsi="Arial" w:cs="Arial"/>
          <w:bCs/>
          <w:sz w:val="22"/>
          <w:szCs w:val="22"/>
          <w:lang w:val="fr-FR"/>
        </w:rPr>
        <w:t xml:space="preserve">alors </w:t>
      </w:r>
      <w:r w:rsidRPr="00A83DA6">
        <w:rPr>
          <w:rFonts w:ascii="Arial" w:hAnsi="Arial" w:cs="Arial"/>
          <w:bCs/>
          <w:sz w:val="22"/>
          <w:szCs w:val="22"/>
          <w:lang w:val="fr-FR"/>
        </w:rPr>
        <w:t>déclenché une situation politique compliquée lorsqu</w:t>
      </w:r>
      <w:r w:rsidR="008E532B">
        <w:rPr>
          <w:rFonts w:ascii="Arial" w:hAnsi="Arial" w:cs="Arial"/>
          <w:bCs/>
          <w:sz w:val="22"/>
          <w:szCs w:val="22"/>
          <w:lang w:val="fr-FR"/>
        </w:rPr>
        <w:t>’</w:t>
      </w:r>
      <w:r w:rsidRPr="00A83DA6">
        <w:rPr>
          <w:rFonts w:ascii="Arial" w:hAnsi="Arial" w:cs="Arial"/>
          <w:bCs/>
          <w:sz w:val="22"/>
          <w:szCs w:val="22"/>
          <w:lang w:val="fr-FR"/>
        </w:rPr>
        <w:t>un mois plus tard, le 14</w:t>
      </w:r>
      <w:r>
        <w:rPr>
          <w:rFonts w:ascii="Arial" w:hAnsi="Arial" w:cs="Arial"/>
          <w:bCs/>
          <w:sz w:val="22"/>
          <w:szCs w:val="22"/>
          <w:lang w:val="fr-FR"/>
        </w:rPr>
        <w:t> </w:t>
      </w:r>
      <w:r w:rsidRPr="00A83DA6">
        <w:rPr>
          <w:rFonts w:ascii="Arial" w:hAnsi="Arial" w:cs="Arial"/>
          <w:bCs/>
          <w:sz w:val="22"/>
          <w:szCs w:val="22"/>
          <w:lang w:val="fr-FR"/>
        </w:rPr>
        <w:t>août, un séisme majeur secou</w:t>
      </w:r>
      <w:r>
        <w:rPr>
          <w:rFonts w:ascii="Arial" w:hAnsi="Arial" w:cs="Arial"/>
          <w:bCs/>
          <w:sz w:val="22"/>
          <w:szCs w:val="22"/>
          <w:lang w:val="fr-FR"/>
        </w:rPr>
        <w:t>ait</w:t>
      </w:r>
      <w:r w:rsidRPr="00A83DA6">
        <w:rPr>
          <w:rFonts w:ascii="Arial" w:hAnsi="Arial" w:cs="Arial"/>
          <w:bCs/>
          <w:sz w:val="22"/>
          <w:szCs w:val="22"/>
          <w:lang w:val="fr-FR"/>
        </w:rPr>
        <w:t xml:space="preserve"> le pays et dévast</w:t>
      </w:r>
      <w:r>
        <w:rPr>
          <w:rFonts w:ascii="Arial" w:hAnsi="Arial" w:cs="Arial"/>
          <w:bCs/>
          <w:sz w:val="22"/>
          <w:szCs w:val="22"/>
          <w:lang w:val="fr-FR"/>
        </w:rPr>
        <w:t>ait</w:t>
      </w:r>
      <w:r w:rsidRPr="00A83DA6">
        <w:rPr>
          <w:rFonts w:ascii="Arial" w:hAnsi="Arial" w:cs="Arial"/>
          <w:bCs/>
          <w:sz w:val="22"/>
          <w:szCs w:val="22"/>
          <w:lang w:val="fr-FR"/>
        </w:rPr>
        <w:t xml:space="preserve"> sa péninsule sud, ravageant tout sur son passage et n</w:t>
      </w:r>
      <w:r w:rsidR="008E532B">
        <w:rPr>
          <w:rFonts w:ascii="Arial" w:hAnsi="Arial" w:cs="Arial"/>
          <w:bCs/>
          <w:sz w:val="22"/>
          <w:szCs w:val="22"/>
          <w:lang w:val="fr-FR"/>
        </w:rPr>
        <w:t>’</w:t>
      </w:r>
      <w:r w:rsidRPr="00A83DA6">
        <w:rPr>
          <w:rFonts w:ascii="Arial" w:hAnsi="Arial" w:cs="Arial"/>
          <w:bCs/>
          <w:sz w:val="22"/>
          <w:szCs w:val="22"/>
          <w:lang w:val="fr-FR"/>
        </w:rPr>
        <w:t>épargnant aucune école, aucun hôpital, aucune église ni aucune vie humaine. Deux jours plus tard, l</w:t>
      </w:r>
      <w:r w:rsidR="008E532B">
        <w:rPr>
          <w:rFonts w:ascii="Arial" w:hAnsi="Arial" w:cs="Arial"/>
          <w:bCs/>
          <w:sz w:val="22"/>
          <w:szCs w:val="22"/>
          <w:lang w:val="fr-FR"/>
        </w:rPr>
        <w:t>’</w:t>
      </w:r>
      <w:r w:rsidRPr="00A83DA6">
        <w:rPr>
          <w:rFonts w:ascii="Arial" w:hAnsi="Arial" w:cs="Arial"/>
          <w:bCs/>
          <w:sz w:val="22"/>
          <w:szCs w:val="22"/>
          <w:lang w:val="fr-FR"/>
        </w:rPr>
        <w:t>ouragan Grace balayait la même péninsule, entraînant une grave crise humanitaire avec près de 600</w:t>
      </w:r>
      <w:r>
        <w:rPr>
          <w:rFonts w:ascii="Arial" w:hAnsi="Arial" w:cs="Arial"/>
          <w:bCs/>
          <w:sz w:val="22"/>
          <w:szCs w:val="22"/>
          <w:lang w:val="fr-FR"/>
        </w:rPr>
        <w:t> </w:t>
      </w:r>
      <w:r w:rsidRPr="00A83DA6">
        <w:rPr>
          <w:rFonts w:ascii="Arial" w:hAnsi="Arial" w:cs="Arial"/>
          <w:bCs/>
          <w:sz w:val="22"/>
          <w:szCs w:val="22"/>
          <w:lang w:val="fr-FR"/>
        </w:rPr>
        <w:t>000 personnes déplacées</w:t>
      </w:r>
      <w:r>
        <w:rPr>
          <w:rFonts w:ascii="Arial" w:hAnsi="Arial" w:cs="Arial"/>
          <w:bCs/>
          <w:sz w:val="22"/>
          <w:szCs w:val="22"/>
          <w:lang w:val="fr-FR"/>
        </w:rPr>
        <w:t xml:space="preserve"> qui venait s</w:t>
      </w:r>
      <w:r w:rsidR="008E532B">
        <w:rPr>
          <w:rFonts w:ascii="Arial" w:hAnsi="Arial" w:cs="Arial"/>
          <w:bCs/>
          <w:sz w:val="22"/>
          <w:szCs w:val="22"/>
          <w:lang w:val="fr-FR"/>
        </w:rPr>
        <w:t>’</w:t>
      </w:r>
      <w:r>
        <w:rPr>
          <w:rFonts w:ascii="Arial" w:hAnsi="Arial" w:cs="Arial"/>
          <w:bCs/>
          <w:sz w:val="22"/>
          <w:szCs w:val="22"/>
          <w:lang w:val="fr-FR"/>
        </w:rPr>
        <w:t>ajouter à un</w:t>
      </w:r>
      <w:r w:rsidRPr="00A83DA6">
        <w:rPr>
          <w:rFonts w:ascii="Arial" w:hAnsi="Arial" w:cs="Arial"/>
          <w:bCs/>
          <w:sz w:val="22"/>
          <w:szCs w:val="22"/>
          <w:lang w:val="fr-FR"/>
        </w:rPr>
        <w:t xml:space="preserve"> traumatisme collectif. Seule la dignité pouvait aider les hommes et les femmes à se relever de tels événements et défis déchirants</w:t>
      </w:r>
      <w:r>
        <w:rPr>
          <w:rFonts w:ascii="Arial" w:hAnsi="Arial" w:cs="Arial"/>
          <w:bCs/>
          <w:sz w:val="22"/>
          <w:szCs w:val="22"/>
          <w:lang w:val="fr-FR"/>
        </w:rPr>
        <w:t xml:space="preserve"> ; </w:t>
      </w:r>
      <w:r w:rsidRPr="00A83DA6">
        <w:rPr>
          <w:rFonts w:ascii="Arial" w:hAnsi="Arial" w:cs="Arial"/>
          <w:bCs/>
          <w:sz w:val="22"/>
          <w:szCs w:val="22"/>
          <w:lang w:val="fr-FR"/>
        </w:rPr>
        <w:t xml:space="preserve">cette même dignité, la conviction inébranlable que la vie continue, qui </w:t>
      </w:r>
      <w:r>
        <w:rPr>
          <w:rFonts w:ascii="Arial" w:hAnsi="Arial" w:cs="Arial"/>
          <w:bCs/>
          <w:sz w:val="22"/>
          <w:szCs w:val="22"/>
          <w:lang w:val="fr-FR"/>
        </w:rPr>
        <w:t>était</w:t>
      </w:r>
      <w:r w:rsidRPr="00A83DA6">
        <w:rPr>
          <w:rFonts w:ascii="Arial" w:hAnsi="Arial" w:cs="Arial"/>
          <w:bCs/>
          <w:sz w:val="22"/>
          <w:szCs w:val="22"/>
          <w:lang w:val="fr-FR"/>
        </w:rPr>
        <w:t xml:space="preserve"> vécue par chaque Haïtien</w:t>
      </w:r>
      <w:r>
        <w:rPr>
          <w:rFonts w:ascii="Arial" w:hAnsi="Arial" w:cs="Arial"/>
          <w:bCs/>
          <w:sz w:val="22"/>
          <w:szCs w:val="22"/>
          <w:lang w:val="fr-FR"/>
        </w:rPr>
        <w:t xml:space="preserve"> </w:t>
      </w:r>
      <w:r w:rsidRPr="00A83DA6">
        <w:rPr>
          <w:rFonts w:ascii="Arial" w:hAnsi="Arial" w:cs="Arial"/>
          <w:bCs/>
          <w:sz w:val="22"/>
          <w:szCs w:val="22"/>
          <w:lang w:val="fr-FR"/>
        </w:rPr>
        <w:t>et qui a</w:t>
      </w:r>
      <w:r>
        <w:rPr>
          <w:rFonts w:ascii="Arial" w:hAnsi="Arial" w:cs="Arial"/>
          <w:bCs/>
          <w:sz w:val="22"/>
          <w:szCs w:val="22"/>
          <w:lang w:val="fr-FR"/>
        </w:rPr>
        <w:t xml:space="preserve">vait </w:t>
      </w:r>
      <w:r w:rsidRPr="00A83DA6">
        <w:rPr>
          <w:rFonts w:ascii="Arial" w:hAnsi="Arial" w:cs="Arial"/>
          <w:bCs/>
          <w:sz w:val="22"/>
          <w:szCs w:val="22"/>
          <w:lang w:val="fr-FR"/>
        </w:rPr>
        <w:t>inspiré la première révolution réussie contre l</w:t>
      </w:r>
      <w:r w:rsidR="008E532B">
        <w:rPr>
          <w:rFonts w:ascii="Arial" w:hAnsi="Arial" w:cs="Arial"/>
          <w:bCs/>
          <w:sz w:val="22"/>
          <w:szCs w:val="22"/>
          <w:lang w:val="fr-FR"/>
        </w:rPr>
        <w:t>’</w:t>
      </w:r>
      <w:r w:rsidRPr="00A83DA6">
        <w:rPr>
          <w:rFonts w:ascii="Arial" w:hAnsi="Arial" w:cs="Arial"/>
          <w:bCs/>
          <w:sz w:val="22"/>
          <w:szCs w:val="22"/>
          <w:lang w:val="fr-FR"/>
        </w:rPr>
        <w:t>esclavage. Elle a</w:t>
      </w:r>
      <w:r>
        <w:rPr>
          <w:rFonts w:ascii="Arial" w:hAnsi="Arial" w:cs="Arial"/>
          <w:bCs/>
          <w:sz w:val="22"/>
          <w:szCs w:val="22"/>
          <w:lang w:val="fr-FR"/>
        </w:rPr>
        <w:t>vait</w:t>
      </w:r>
      <w:r w:rsidRPr="00A83DA6">
        <w:rPr>
          <w:rFonts w:ascii="Arial" w:hAnsi="Arial" w:cs="Arial"/>
          <w:bCs/>
          <w:sz w:val="22"/>
          <w:szCs w:val="22"/>
          <w:lang w:val="fr-FR"/>
        </w:rPr>
        <w:t xml:space="preserve"> permis la victoire de l</w:t>
      </w:r>
      <w:r w:rsidR="008E532B">
        <w:rPr>
          <w:rFonts w:ascii="Arial" w:hAnsi="Arial" w:cs="Arial"/>
          <w:bCs/>
          <w:sz w:val="22"/>
          <w:szCs w:val="22"/>
          <w:lang w:val="fr-FR"/>
        </w:rPr>
        <w:t>’</w:t>
      </w:r>
      <w:r w:rsidRPr="00A83DA6">
        <w:rPr>
          <w:rFonts w:ascii="Arial" w:hAnsi="Arial" w:cs="Arial"/>
          <w:bCs/>
          <w:sz w:val="22"/>
          <w:szCs w:val="22"/>
          <w:lang w:val="fr-FR"/>
        </w:rPr>
        <w:t>armée contre le régime colonial oppressif et son système esclavag</w:t>
      </w:r>
      <w:r>
        <w:rPr>
          <w:rFonts w:ascii="Arial" w:hAnsi="Arial" w:cs="Arial"/>
          <w:bCs/>
          <w:sz w:val="22"/>
          <w:szCs w:val="22"/>
          <w:lang w:val="fr-FR"/>
        </w:rPr>
        <w:t>iste</w:t>
      </w:r>
      <w:r w:rsidRPr="00A83DA6">
        <w:rPr>
          <w:rFonts w:ascii="Arial" w:hAnsi="Arial" w:cs="Arial"/>
          <w:bCs/>
          <w:sz w:val="22"/>
          <w:szCs w:val="22"/>
          <w:lang w:val="fr-FR"/>
        </w:rPr>
        <w:t xml:space="preserve">. De cette dignité </w:t>
      </w:r>
      <w:r>
        <w:rPr>
          <w:rFonts w:ascii="Arial" w:hAnsi="Arial" w:cs="Arial"/>
          <w:bCs/>
          <w:sz w:val="22"/>
          <w:szCs w:val="22"/>
          <w:lang w:val="fr-FR"/>
        </w:rPr>
        <w:t>était</w:t>
      </w:r>
      <w:r w:rsidRPr="00A83DA6">
        <w:rPr>
          <w:rFonts w:ascii="Arial" w:hAnsi="Arial" w:cs="Arial"/>
          <w:bCs/>
          <w:sz w:val="22"/>
          <w:szCs w:val="22"/>
          <w:lang w:val="fr-FR"/>
        </w:rPr>
        <w:t xml:space="preserve"> née, en Haïti, la première République noire de l</w:t>
      </w:r>
      <w:r w:rsidR="008E532B">
        <w:rPr>
          <w:rFonts w:ascii="Arial" w:hAnsi="Arial" w:cs="Arial"/>
          <w:bCs/>
          <w:sz w:val="22"/>
          <w:szCs w:val="22"/>
          <w:lang w:val="fr-FR"/>
        </w:rPr>
        <w:t>’</w:t>
      </w:r>
      <w:r w:rsidRPr="00A83DA6">
        <w:rPr>
          <w:rFonts w:ascii="Arial" w:hAnsi="Arial" w:cs="Arial"/>
          <w:bCs/>
          <w:sz w:val="22"/>
          <w:szCs w:val="22"/>
          <w:lang w:val="fr-FR"/>
        </w:rPr>
        <w:t>histoire de l</w:t>
      </w:r>
      <w:r w:rsidR="008E532B">
        <w:rPr>
          <w:rFonts w:ascii="Arial" w:hAnsi="Arial" w:cs="Arial"/>
          <w:bCs/>
          <w:sz w:val="22"/>
          <w:szCs w:val="22"/>
          <w:lang w:val="fr-FR"/>
        </w:rPr>
        <w:t>’</w:t>
      </w:r>
      <w:r w:rsidRPr="00A83DA6">
        <w:rPr>
          <w:rFonts w:ascii="Arial" w:hAnsi="Arial" w:cs="Arial"/>
          <w:bCs/>
          <w:sz w:val="22"/>
          <w:szCs w:val="22"/>
          <w:lang w:val="fr-FR"/>
        </w:rPr>
        <w:t xml:space="preserve">humanité. </w:t>
      </w:r>
      <w:r>
        <w:rPr>
          <w:rFonts w:ascii="Arial" w:hAnsi="Arial" w:cs="Arial"/>
          <w:bCs/>
          <w:sz w:val="22"/>
          <w:szCs w:val="22"/>
          <w:lang w:val="fr-FR"/>
        </w:rPr>
        <w:t>Désormais</w:t>
      </w:r>
      <w:r w:rsidRPr="00A83DA6">
        <w:rPr>
          <w:rFonts w:ascii="Arial" w:hAnsi="Arial" w:cs="Arial"/>
          <w:bCs/>
          <w:sz w:val="22"/>
          <w:szCs w:val="22"/>
          <w:lang w:val="fr-FR"/>
        </w:rPr>
        <w:t>, le grain d</w:t>
      </w:r>
      <w:r w:rsidR="008E532B">
        <w:rPr>
          <w:rFonts w:ascii="Arial" w:hAnsi="Arial" w:cs="Arial"/>
          <w:bCs/>
          <w:sz w:val="22"/>
          <w:szCs w:val="22"/>
          <w:lang w:val="fr-FR"/>
        </w:rPr>
        <w:t>’</w:t>
      </w:r>
      <w:r w:rsidRPr="00A83DA6">
        <w:rPr>
          <w:rFonts w:ascii="Arial" w:hAnsi="Arial" w:cs="Arial"/>
          <w:bCs/>
          <w:sz w:val="22"/>
          <w:szCs w:val="22"/>
          <w:lang w:val="fr-FR"/>
        </w:rPr>
        <w:t>espoir existe à l</w:t>
      </w:r>
      <w:r w:rsidR="008E532B">
        <w:rPr>
          <w:rFonts w:ascii="Arial" w:hAnsi="Arial" w:cs="Arial"/>
          <w:bCs/>
          <w:sz w:val="22"/>
          <w:szCs w:val="22"/>
          <w:lang w:val="fr-FR"/>
        </w:rPr>
        <w:t>’</w:t>
      </w:r>
      <w:r w:rsidRPr="00A83DA6">
        <w:rPr>
          <w:rFonts w:ascii="Arial" w:hAnsi="Arial" w:cs="Arial"/>
          <w:bCs/>
          <w:sz w:val="22"/>
          <w:szCs w:val="22"/>
          <w:lang w:val="fr-FR"/>
        </w:rPr>
        <w:t>UNESCO. En mars</w:t>
      </w:r>
      <w:r>
        <w:rPr>
          <w:rFonts w:ascii="Arial" w:hAnsi="Arial" w:cs="Arial"/>
          <w:bCs/>
          <w:sz w:val="22"/>
          <w:szCs w:val="22"/>
          <w:lang w:val="fr-FR"/>
        </w:rPr>
        <w:t> </w:t>
      </w:r>
      <w:r w:rsidRPr="00A83DA6">
        <w:rPr>
          <w:rFonts w:ascii="Arial" w:hAnsi="Arial" w:cs="Arial"/>
          <w:bCs/>
          <w:sz w:val="22"/>
          <w:szCs w:val="22"/>
          <w:lang w:val="fr-FR"/>
        </w:rPr>
        <w:t>2021, la délégation d</w:t>
      </w:r>
      <w:r w:rsidR="008E532B">
        <w:rPr>
          <w:rFonts w:ascii="Arial" w:hAnsi="Arial" w:cs="Arial"/>
          <w:bCs/>
          <w:sz w:val="22"/>
          <w:szCs w:val="22"/>
          <w:lang w:val="fr-FR"/>
        </w:rPr>
        <w:t>’</w:t>
      </w:r>
      <w:r w:rsidRPr="00A83DA6">
        <w:rPr>
          <w:rFonts w:ascii="Arial" w:hAnsi="Arial" w:cs="Arial"/>
          <w:bCs/>
          <w:sz w:val="22"/>
          <w:szCs w:val="22"/>
          <w:lang w:val="fr-FR"/>
        </w:rPr>
        <w:t>Haïti a</w:t>
      </w:r>
      <w:r>
        <w:rPr>
          <w:rFonts w:ascii="Arial" w:hAnsi="Arial" w:cs="Arial"/>
          <w:bCs/>
          <w:sz w:val="22"/>
          <w:szCs w:val="22"/>
          <w:lang w:val="fr-FR"/>
        </w:rPr>
        <w:t>vait</w:t>
      </w:r>
      <w:r w:rsidRPr="00A83DA6">
        <w:rPr>
          <w:rFonts w:ascii="Arial" w:hAnsi="Arial" w:cs="Arial"/>
          <w:bCs/>
          <w:sz w:val="22"/>
          <w:szCs w:val="22"/>
          <w:lang w:val="fr-FR"/>
        </w:rPr>
        <w:t xml:space="preserve"> soumis son premier dossier de candidature d</w:t>
      </w:r>
      <w:r w:rsidR="008E532B">
        <w:rPr>
          <w:rFonts w:ascii="Arial" w:hAnsi="Arial" w:cs="Arial"/>
          <w:bCs/>
          <w:sz w:val="22"/>
          <w:szCs w:val="22"/>
          <w:lang w:val="fr-FR"/>
        </w:rPr>
        <w:t>’</w:t>
      </w:r>
      <w:r w:rsidRPr="00A83DA6">
        <w:rPr>
          <w:rFonts w:ascii="Arial" w:hAnsi="Arial" w:cs="Arial"/>
          <w:bCs/>
          <w:sz w:val="22"/>
          <w:szCs w:val="22"/>
          <w:lang w:val="fr-FR"/>
        </w:rPr>
        <w:t xml:space="preserve">un élément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A83DA6">
        <w:rPr>
          <w:rFonts w:ascii="Arial" w:hAnsi="Arial" w:cs="Arial"/>
          <w:bCs/>
          <w:sz w:val="22"/>
          <w:szCs w:val="22"/>
          <w:lang w:val="fr-FR"/>
        </w:rPr>
        <w:t>pour inscription sur la Liste représentative. Le 23</w:t>
      </w:r>
      <w:r>
        <w:rPr>
          <w:rFonts w:ascii="Arial" w:hAnsi="Arial" w:cs="Arial"/>
          <w:bCs/>
          <w:sz w:val="22"/>
          <w:szCs w:val="22"/>
          <w:lang w:val="fr-FR"/>
        </w:rPr>
        <w:t> </w:t>
      </w:r>
      <w:r w:rsidRPr="00A83DA6">
        <w:rPr>
          <w:rFonts w:ascii="Arial" w:hAnsi="Arial" w:cs="Arial"/>
          <w:bCs/>
          <w:sz w:val="22"/>
          <w:szCs w:val="22"/>
          <w:lang w:val="fr-FR"/>
        </w:rPr>
        <w:t>août</w:t>
      </w:r>
      <w:r>
        <w:rPr>
          <w:rFonts w:ascii="Arial" w:hAnsi="Arial" w:cs="Arial"/>
          <w:bCs/>
          <w:sz w:val="22"/>
          <w:szCs w:val="22"/>
          <w:lang w:val="fr-FR"/>
        </w:rPr>
        <w:t> </w:t>
      </w:r>
      <w:r w:rsidRPr="00A83DA6">
        <w:rPr>
          <w:rFonts w:ascii="Arial" w:hAnsi="Arial" w:cs="Arial"/>
          <w:bCs/>
          <w:sz w:val="22"/>
          <w:szCs w:val="22"/>
          <w:lang w:val="fr-FR"/>
        </w:rPr>
        <w:t xml:space="preserve">2021, en raison des nombreuses tragédies qui </w:t>
      </w:r>
      <w:r>
        <w:rPr>
          <w:rFonts w:ascii="Arial" w:hAnsi="Arial" w:cs="Arial"/>
          <w:bCs/>
          <w:sz w:val="22"/>
          <w:szCs w:val="22"/>
          <w:lang w:val="fr-FR"/>
        </w:rPr>
        <w:t>avaient</w:t>
      </w:r>
      <w:r w:rsidRPr="00A83DA6">
        <w:rPr>
          <w:rFonts w:ascii="Arial" w:hAnsi="Arial" w:cs="Arial"/>
          <w:bCs/>
          <w:sz w:val="22"/>
          <w:szCs w:val="22"/>
          <w:lang w:val="fr-FR"/>
        </w:rPr>
        <w:t xml:space="preserve"> frappé le pays, Haïti a</w:t>
      </w:r>
      <w:r>
        <w:rPr>
          <w:rFonts w:ascii="Arial" w:hAnsi="Arial" w:cs="Arial"/>
          <w:bCs/>
          <w:sz w:val="22"/>
          <w:szCs w:val="22"/>
          <w:lang w:val="fr-FR"/>
        </w:rPr>
        <w:t>vait</w:t>
      </w:r>
      <w:r w:rsidRPr="00A83DA6">
        <w:rPr>
          <w:rFonts w:ascii="Arial" w:hAnsi="Arial" w:cs="Arial"/>
          <w:bCs/>
          <w:sz w:val="22"/>
          <w:szCs w:val="22"/>
          <w:lang w:val="fr-FR"/>
        </w:rPr>
        <w:t xml:space="preserve"> bénéficié d</w:t>
      </w:r>
      <w:r w:rsidR="008E532B">
        <w:rPr>
          <w:rFonts w:ascii="Arial" w:hAnsi="Arial" w:cs="Arial"/>
          <w:bCs/>
          <w:sz w:val="22"/>
          <w:szCs w:val="22"/>
          <w:lang w:val="fr-FR"/>
        </w:rPr>
        <w:t>’</w:t>
      </w:r>
      <w:r w:rsidRPr="00A83DA6">
        <w:rPr>
          <w:rFonts w:ascii="Arial" w:hAnsi="Arial" w:cs="Arial"/>
          <w:bCs/>
          <w:sz w:val="22"/>
          <w:szCs w:val="22"/>
          <w:lang w:val="fr-FR"/>
        </w:rPr>
        <w:t>une évaluation accélérée de son dossier afin que l</w:t>
      </w:r>
      <w:r w:rsidR="008E532B">
        <w:rPr>
          <w:rFonts w:ascii="Arial" w:hAnsi="Arial" w:cs="Arial"/>
          <w:bCs/>
          <w:sz w:val="22"/>
          <w:szCs w:val="22"/>
          <w:lang w:val="fr-FR"/>
        </w:rPr>
        <w:t>’</w:t>
      </w:r>
      <w:r w:rsidRPr="00A83DA6">
        <w:rPr>
          <w:rFonts w:ascii="Arial" w:hAnsi="Arial" w:cs="Arial"/>
          <w:bCs/>
          <w:sz w:val="22"/>
          <w:szCs w:val="22"/>
          <w:lang w:val="fr-FR"/>
        </w:rPr>
        <w:t>élément</w:t>
      </w:r>
      <w:r>
        <w:rPr>
          <w:rFonts w:ascii="Arial" w:hAnsi="Arial" w:cs="Arial"/>
          <w:bCs/>
          <w:sz w:val="22"/>
          <w:szCs w:val="22"/>
          <w:lang w:val="fr-FR"/>
        </w:rPr>
        <w:t>, la soupe au giraumon,</w:t>
      </w:r>
      <w:r w:rsidRPr="00A83DA6">
        <w:rPr>
          <w:rFonts w:ascii="Arial" w:hAnsi="Arial" w:cs="Arial"/>
          <w:bCs/>
          <w:sz w:val="22"/>
          <w:szCs w:val="22"/>
          <w:lang w:val="fr-FR"/>
        </w:rPr>
        <w:t xml:space="preserve"> puisse être inscrit dans le cycle actuel.</w:t>
      </w:r>
    </w:p>
    <w:p w14:paraId="3076E96E" w14:textId="40FE92E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A1984">
        <w:rPr>
          <w:rFonts w:ascii="Arial" w:hAnsi="Arial" w:cs="Arial"/>
          <w:bCs/>
          <w:sz w:val="22"/>
          <w:szCs w:val="22"/>
          <w:lang w:val="fr-FR"/>
        </w:rPr>
        <w:t>C</w:t>
      </w:r>
      <w:r w:rsidR="008E532B">
        <w:rPr>
          <w:rFonts w:ascii="Arial" w:hAnsi="Arial" w:cs="Arial"/>
          <w:bCs/>
          <w:sz w:val="22"/>
          <w:szCs w:val="22"/>
          <w:lang w:val="fr-FR"/>
        </w:rPr>
        <w:t>’</w:t>
      </w:r>
      <w:r>
        <w:rPr>
          <w:rFonts w:ascii="Arial" w:hAnsi="Arial" w:cs="Arial"/>
          <w:bCs/>
          <w:sz w:val="22"/>
          <w:szCs w:val="22"/>
          <w:lang w:val="fr-FR"/>
        </w:rPr>
        <w:t>est</w:t>
      </w:r>
      <w:r w:rsidRPr="003A1984">
        <w:rPr>
          <w:rFonts w:ascii="Arial" w:hAnsi="Arial" w:cs="Arial"/>
          <w:bCs/>
          <w:sz w:val="22"/>
          <w:szCs w:val="22"/>
          <w:lang w:val="fr-FR"/>
        </w:rPr>
        <w:t xml:space="preserve"> donc avec honneur et émotion que la délégation d</w:t>
      </w:r>
      <w:r w:rsidR="008E532B">
        <w:rPr>
          <w:rFonts w:ascii="Arial" w:hAnsi="Arial" w:cs="Arial"/>
          <w:bCs/>
          <w:sz w:val="22"/>
          <w:szCs w:val="22"/>
          <w:lang w:val="fr-FR"/>
        </w:rPr>
        <w:t>’</w:t>
      </w:r>
      <w:r w:rsidRPr="003A1984">
        <w:rPr>
          <w:rFonts w:ascii="Arial" w:hAnsi="Arial" w:cs="Arial"/>
          <w:b/>
          <w:sz w:val="22"/>
          <w:szCs w:val="22"/>
          <w:lang w:val="fr-FR"/>
        </w:rPr>
        <w:t>Haïti</w:t>
      </w:r>
      <w:r w:rsidRPr="003A1984">
        <w:rPr>
          <w:rFonts w:ascii="Arial" w:hAnsi="Arial" w:cs="Arial"/>
          <w:bCs/>
          <w:sz w:val="22"/>
          <w:szCs w:val="22"/>
          <w:lang w:val="fr-FR"/>
        </w:rPr>
        <w:t xml:space="preserve"> </w:t>
      </w:r>
      <w:r>
        <w:rPr>
          <w:rFonts w:ascii="Arial" w:hAnsi="Arial" w:cs="Arial"/>
          <w:bCs/>
          <w:sz w:val="22"/>
          <w:szCs w:val="22"/>
          <w:lang w:val="fr-FR"/>
        </w:rPr>
        <w:t>a remercié</w:t>
      </w:r>
      <w:r w:rsidRPr="003A1984">
        <w:rPr>
          <w:rFonts w:ascii="Arial" w:hAnsi="Arial" w:cs="Arial"/>
          <w:bCs/>
          <w:sz w:val="22"/>
          <w:szCs w:val="22"/>
          <w:lang w:val="fr-FR"/>
        </w:rPr>
        <w:t xml:space="preserve"> le Secrétariat d</w:t>
      </w:r>
      <w:r w:rsidR="008E532B">
        <w:rPr>
          <w:rFonts w:ascii="Arial" w:hAnsi="Arial" w:cs="Arial"/>
          <w:bCs/>
          <w:sz w:val="22"/>
          <w:szCs w:val="22"/>
          <w:lang w:val="fr-FR"/>
        </w:rPr>
        <w:t>’</w:t>
      </w:r>
      <w:r w:rsidRPr="003A1984">
        <w:rPr>
          <w:rFonts w:ascii="Arial" w:hAnsi="Arial" w:cs="Arial"/>
          <w:bCs/>
          <w:sz w:val="22"/>
          <w:szCs w:val="22"/>
          <w:lang w:val="fr-FR"/>
        </w:rPr>
        <w:t>avoir traité cette demande, l</w:t>
      </w:r>
      <w:r w:rsidR="008E532B">
        <w:rPr>
          <w:rFonts w:ascii="Arial" w:hAnsi="Arial" w:cs="Arial"/>
          <w:bCs/>
          <w:sz w:val="22"/>
          <w:szCs w:val="22"/>
          <w:lang w:val="fr-FR"/>
        </w:rPr>
        <w:t>’</w:t>
      </w:r>
      <w:r w:rsidRPr="003A1984">
        <w:rPr>
          <w:rFonts w:ascii="Arial" w:hAnsi="Arial" w:cs="Arial"/>
          <w:bCs/>
          <w:sz w:val="22"/>
          <w:szCs w:val="22"/>
          <w:lang w:val="fr-FR"/>
        </w:rPr>
        <w:t>Organe d</w:t>
      </w:r>
      <w:r w:rsidR="008E532B">
        <w:rPr>
          <w:rFonts w:ascii="Arial" w:hAnsi="Arial" w:cs="Arial"/>
          <w:bCs/>
          <w:sz w:val="22"/>
          <w:szCs w:val="22"/>
          <w:lang w:val="fr-FR"/>
        </w:rPr>
        <w:t>’</w:t>
      </w:r>
      <w:r w:rsidRPr="003A1984">
        <w:rPr>
          <w:rFonts w:ascii="Arial" w:hAnsi="Arial" w:cs="Arial"/>
          <w:bCs/>
          <w:sz w:val="22"/>
          <w:szCs w:val="22"/>
          <w:lang w:val="fr-FR"/>
        </w:rPr>
        <w:t>évaluation d</w:t>
      </w:r>
      <w:r w:rsidR="008E532B">
        <w:rPr>
          <w:rFonts w:ascii="Arial" w:hAnsi="Arial" w:cs="Arial"/>
          <w:bCs/>
          <w:sz w:val="22"/>
          <w:szCs w:val="22"/>
          <w:lang w:val="fr-FR"/>
        </w:rPr>
        <w:t>’</w:t>
      </w:r>
      <w:r w:rsidRPr="003A1984">
        <w:rPr>
          <w:rFonts w:ascii="Arial" w:hAnsi="Arial" w:cs="Arial"/>
          <w:bCs/>
          <w:sz w:val="22"/>
          <w:szCs w:val="22"/>
          <w:lang w:val="fr-FR"/>
        </w:rPr>
        <w:t>avoir déterminé que le dossier remplissait ses cinq critères, et le Comité d</w:t>
      </w:r>
      <w:r w:rsidR="008E532B">
        <w:rPr>
          <w:rFonts w:ascii="Arial" w:hAnsi="Arial" w:cs="Arial"/>
          <w:bCs/>
          <w:sz w:val="22"/>
          <w:szCs w:val="22"/>
          <w:lang w:val="fr-FR"/>
        </w:rPr>
        <w:t>’</w:t>
      </w:r>
      <w:r w:rsidRPr="003A1984">
        <w:rPr>
          <w:rFonts w:ascii="Arial" w:hAnsi="Arial" w:cs="Arial"/>
          <w:bCs/>
          <w:sz w:val="22"/>
          <w:szCs w:val="22"/>
          <w:lang w:val="fr-FR"/>
        </w:rPr>
        <w:t xml:space="preserve">avoir approuvé son inscription lors de sa </w:t>
      </w:r>
      <w:r>
        <w:rPr>
          <w:rFonts w:ascii="Arial" w:hAnsi="Arial" w:cs="Arial"/>
          <w:bCs/>
          <w:sz w:val="22"/>
          <w:szCs w:val="22"/>
          <w:lang w:val="fr-FR"/>
        </w:rPr>
        <w:t>seizième</w:t>
      </w:r>
      <w:r w:rsidRPr="003A1984">
        <w:rPr>
          <w:rFonts w:ascii="Arial" w:hAnsi="Arial" w:cs="Arial"/>
          <w:bCs/>
          <w:sz w:val="22"/>
          <w:szCs w:val="22"/>
          <w:lang w:val="fr-FR"/>
        </w:rPr>
        <w:t xml:space="preserve"> session en décembre</w:t>
      </w:r>
      <w:r>
        <w:rPr>
          <w:rFonts w:ascii="Arial" w:hAnsi="Arial" w:cs="Arial"/>
          <w:bCs/>
          <w:sz w:val="22"/>
          <w:szCs w:val="22"/>
          <w:lang w:val="fr-FR"/>
        </w:rPr>
        <w:t> </w:t>
      </w:r>
      <w:r w:rsidRPr="003A1984">
        <w:rPr>
          <w:rFonts w:ascii="Arial" w:hAnsi="Arial" w:cs="Arial"/>
          <w:bCs/>
          <w:sz w:val="22"/>
          <w:szCs w:val="22"/>
          <w:lang w:val="fr-FR"/>
        </w:rPr>
        <w:t>2021. La délégation a également remercié le groupe de travail à composition non limitée d</w:t>
      </w:r>
      <w:r w:rsidR="008E532B">
        <w:rPr>
          <w:rFonts w:ascii="Arial" w:hAnsi="Arial" w:cs="Arial"/>
          <w:bCs/>
          <w:sz w:val="22"/>
          <w:szCs w:val="22"/>
          <w:lang w:val="fr-FR"/>
        </w:rPr>
        <w:t>’</w:t>
      </w:r>
      <w:r w:rsidRPr="003A1984">
        <w:rPr>
          <w:rFonts w:ascii="Arial" w:hAnsi="Arial" w:cs="Arial"/>
          <w:bCs/>
          <w:sz w:val="22"/>
          <w:szCs w:val="22"/>
          <w:lang w:val="fr-FR"/>
        </w:rPr>
        <w:t>avoir travaillé sur la question des mécanismes d</w:t>
      </w:r>
      <w:r w:rsidR="008E532B">
        <w:rPr>
          <w:rFonts w:ascii="Arial" w:hAnsi="Arial" w:cs="Arial"/>
          <w:bCs/>
          <w:sz w:val="22"/>
          <w:szCs w:val="22"/>
          <w:lang w:val="fr-FR"/>
        </w:rPr>
        <w:t>’</w:t>
      </w:r>
      <w:r w:rsidRPr="003A1984">
        <w:rPr>
          <w:rFonts w:ascii="Arial" w:hAnsi="Arial" w:cs="Arial"/>
          <w:bCs/>
          <w:sz w:val="22"/>
          <w:szCs w:val="22"/>
          <w:lang w:val="fr-FR"/>
        </w:rPr>
        <w:t>inscription et, enfin, les membres de l</w:t>
      </w:r>
      <w:r w:rsidR="008E532B">
        <w:rPr>
          <w:rFonts w:ascii="Arial" w:hAnsi="Arial" w:cs="Arial"/>
          <w:bCs/>
          <w:sz w:val="22"/>
          <w:szCs w:val="22"/>
          <w:lang w:val="fr-FR"/>
        </w:rPr>
        <w:t>’</w:t>
      </w:r>
      <w:r w:rsidRPr="003A1984">
        <w:rPr>
          <w:rFonts w:ascii="Arial" w:hAnsi="Arial" w:cs="Arial"/>
          <w:bCs/>
          <w:sz w:val="22"/>
          <w:szCs w:val="22"/>
          <w:lang w:val="fr-FR"/>
        </w:rPr>
        <w:t xml:space="preserve">Assemblée pour leurs aimables paroles de soutien et leur patience en reconnaissant ce moment historique. La délégation a invité les délégations à partager la </w:t>
      </w:r>
      <w:r>
        <w:rPr>
          <w:rFonts w:ascii="Arial" w:hAnsi="Arial" w:cs="Arial"/>
          <w:bCs/>
          <w:sz w:val="22"/>
          <w:szCs w:val="22"/>
          <w:lang w:val="fr-FR"/>
        </w:rPr>
        <w:t>soupe au giraumon</w:t>
      </w:r>
      <w:r w:rsidRPr="003A1984">
        <w:rPr>
          <w:rFonts w:ascii="Arial" w:hAnsi="Arial" w:cs="Arial"/>
          <w:bCs/>
          <w:sz w:val="22"/>
          <w:szCs w:val="22"/>
          <w:lang w:val="fr-FR"/>
        </w:rPr>
        <w:t>, qui incarne l</w:t>
      </w:r>
      <w:r w:rsidR="008E532B">
        <w:rPr>
          <w:rFonts w:ascii="Arial" w:hAnsi="Arial" w:cs="Arial"/>
          <w:bCs/>
          <w:sz w:val="22"/>
          <w:szCs w:val="22"/>
          <w:lang w:val="fr-FR"/>
        </w:rPr>
        <w:t>’</w:t>
      </w:r>
      <w:r w:rsidRPr="003A1984">
        <w:rPr>
          <w:rFonts w:ascii="Arial" w:hAnsi="Arial" w:cs="Arial"/>
          <w:bCs/>
          <w:sz w:val="22"/>
          <w:szCs w:val="22"/>
          <w:lang w:val="fr-FR"/>
        </w:rPr>
        <w:t>esprit pionnier qui imprègne l</w:t>
      </w:r>
      <w:r w:rsidR="008E532B">
        <w:rPr>
          <w:rFonts w:ascii="Arial" w:hAnsi="Arial" w:cs="Arial"/>
          <w:bCs/>
          <w:sz w:val="22"/>
          <w:szCs w:val="22"/>
          <w:lang w:val="fr-FR"/>
        </w:rPr>
        <w:t>’</w:t>
      </w:r>
      <w:r w:rsidRPr="003A1984">
        <w:rPr>
          <w:rFonts w:ascii="Arial" w:hAnsi="Arial" w:cs="Arial"/>
          <w:bCs/>
          <w:sz w:val="22"/>
          <w:szCs w:val="22"/>
          <w:lang w:val="fr-FR"/>
        </w:rPr>
        <w:t>ADN d</w:t>
      </w:r>
      <w:r w:rsidR="008E532B">
        <w:rPr>
          <w:rFonts w:ascii="Arial" w:hAnsi="Arial" w:cs="Arial"/>
          <w:bCs/>
          <w:sz w:val="22"/>
          <w:szCs w:val="22"/>
          <w:lang w:val="fr-FR"/>
        </w:rPr>
        <w:t>’</w:t>
      </w:r>
      <w:r w:rsidRPr="003A1984">
        <w:rPr>
          <w:rFonts w:ascii="Arial" w:hAnsi="Arial" w:cs="Arial"/>
          <w:bCs/>
          <w:sz w:val="22"/>
          <w:szCs w:val="22"/>
          <w:lang w:val="fr-FR"/>
        </w:rPr>
        <w:t>Haïti. Sa préparation représent</w:t>
      </w:r>
      <w:r>
        <w:rPr>
          <w:rFonts w:ascii="Arial" w:hAnsi="Arial" w:cs="Arial"/>
          <w:bCs/>
          <w:sz w:val="22"/>
          <w:szCs w:val="22"/>
          <w:lang w:val="fr-FR"/>
        </w:rPr>
        <w:t>ait</w:t>
      </w:r>
      <w:r w:rsidRPr="003A1984">
        <w:rPr>
          <w:rFonts w:ascii="Arial" w:hAnsi="Arial" w:cs="Arial"/>
          <w:bCs/>
          <w:sz w:val="22"/>
          <w:szCs w:val="22"/>
          <w:lang w:val="fr-FR"/>
        </w:rPr>
        <w:t xml:space="preserve"> un rituel resté ininterrompu depuis le 1</w:t>
      </w:r>
      <w:r w:rsidRPr="003A1984">
        <w:rPr>
          <w:rFonts w:ascii="Arial" w:hAnsi="Arial" w:cs="Arial"/>
          <w:bCs/>
          <w:sz w:val="22"/>
          <w:szCs w:val="22"/>
          <w:vertAlign w:val="superscript"/>
          <w:lang w:val="fr-FR"/>
        </w:rPr>
        <w:t>er</w:t>
      </w:r>
      <w:r>
        <w:rPr>
          <w:rFonts w:ascii="Arial" w:hAnsi="Arial" w:cs="Arial"/>
          <w:bCs/>
          <w:sz w:val="22"/>
          <w:szCs w:val="22"/>
          <w:lang w:val="fr-FR"/>
        </w:rPr>
        <w:t> </w:t>
      </w:r>
      <w:r w:rsidRPr="003A1984">
        <w:rPr>
          <w:rFonts w:ascii="Arial" w:hAnsi="Arial" w:cs="Arial"/>
          <w:bCs/>
          <w:sz w:val="22"/>
          <w:szCs w:val="22"/>
          <w:lang w:val="fr-FR"/>
        </w:rPr>
        <w:t>janvier</w:t>
      </w:r>
      <w:r>
        <w:rPr>
          <w:rFonts w:ascii="Arial" w:hAnsi="Arial" w:cs="Arial"/>
          <w:bCs/>
          <w:sz w:val="22"/>
          <w:szCs w:val="22"/>
          <w:lang w:val="fr-FR"/>
        </w:rPr>
        <w:t> </w:t>
      </w:r>
      <w:r w:rsidRPr="003A1984">
        <w:rPr>
          <w:rFonts w:ascii="Arial" w:hAnsi="Arial" w:cs="Arial"/>
          <w:bCs/>
          <w:sz w:val="22"/>
          <w:szCs w:val="22"/>
          <w:lang w:val="fr-FR"/>
        </w:rPr>
        <w:t>1804 jusqu</w:t>
      </w:r>
      <w:r w:rsidR="008E532B">
        <w:rPr>
          <w:rFonts w:ascii="Arial" w:hAnsi="Arial" w:cs="Arial"/>
          <w:bCs/>
          <w:sz w:val="22"/>
          <w:szCs w:val="22"/>
          <w:lang w:val="fr-FR"/>
        </w:rPr>
        <w:t>’</w:t>
      </w:r>
      <w:r w:rsidRPr="003A1984">
        <w:rPr>
          <w:rFonts w:ascii="Arial" w:hAnsi="Arial" w:cs="Arial"/>
          <w:bCs/>
          <w:sz w:val="22"/>
          <w:szCs w:val="22"/>
          <w:lang w:val="fr-FR"/>
        </w:rPr>
        <w:t>à nos jours. Sa consommation et son partage entre les gens étaient l</w:t>
      </w:r>
      <w:r w:rsidR="008E532B">
        <w:rPr>
          <w:rFonts w:ascii="Arial" w:hAnsi="Arial" w:cs="Arial"/>
          <w:bCs/>
          <w:sz w:val="22"/>
          <w:szCs w:val="22"/>
          <w:lang w:val="fr-FR"/>
        </w:rPr>
        <w:t>’</w:t>
      </w:r>
      <w:r w:rsidRPr="003A1984">
        <w:rPr>
          <w:rFonts w:ascii="Arial" w:hAnsi="Arial" w:cs="Arial"/>
          <w:bCs/>
          <w:sz w:val="22"/>
          <w:szCs w:val="22"/>
          <w:lang w:val="fr-FR"/>
        </w:rPr>
        <w:t>expression ultime de la foi en un lendemain meilleur</w:t>
      </w:r>
      <w:r>
        <w:rPr>
          <w:rFonts w:ascii="Arial" w:hAnsi="Arial" w:cs="Arial"/>
          <w:bCs/>
          <w:sz w:val="22"/>
          <w:szCs w:val="22"/>
          <w:lang w:val="fr-FR"/>
        </w:rPr>
        <w:t xml:space="preserve">, </w:t>
      </w:r>
      <w:r w:rsidRPr="003A1984">
        <w:rPr>
          <w:rFonts w:ascii="Arial" w:hAnsi="Arial" w:cs="Arial"/>
          <w:bCs/>
          <w:sz w:val="22"/>
          <w:szCs w:val="22"/>
          <w:lang w:val="fr-FR"/>
        </w:rPr>
        <w:t>même dans les moments les plus sombres du pays. L</w:t>
      </w:r>
      <w:r w:rsidR="008E532B">
        <w:rPr>
          <w:rFonts w:ascii="Arial" w:hAnsi="Arial" w:cs="Arial"/>
          <w:bCs/>
          <w:sz w:val="22"/>
          <w:szCs w:val="22"/>
          <w:lang w:val="fr-FR"/>
        </w:rPr>
        <w:t>’</w:t>
      </w:r>
      <w:r w:rsidRPr="003A1984">
        <w:rPr>
          <w:rFonts w:ascii="Arial" w:hAnsi="Arial" w:cs="Arial"/>
          <w:bCs/>
          <w:sz w:val="22"/>
          <w:szCs w:val="22"/>
          <w:lang w:val="fr-FR"/>
        </w:rPr>
        <w:t xml:space="preserve">inscription de la </w:t>
      </w:r>
      <w:r>
        <w:rPr>
          <w:rFonts w:ascii="Arial" w:hAnsi="Arial" w:cs="Arial"/>
          <w:bCs/>
          <w:sz w:val="22"/>
          <w:szCs w:val="22"/>
          <w:lang w:val="fr-FR"/>
        </w:rPr>
        <w:t xml:space="preserve">soupe au giraumon </w:t>
      </w:r>
      <w:r w:rsidRPr="003A1984">
        <w:rPr>
          <w:rFonts w:ascii="Arial" w:hAnsi="Arial" w:cs="Arial"/>
          <w:bCs/>
          <w:sz w:val="22"/>
          <w:szCs w:val="22"/>
          <w:lang w:val="fr-FR"/>
        </w:rPr>
        <w:t>était une ode à la liberté et à la dignité, apaisant l</w:t>
      </w:r>
      <w:r w:rsidR="008E532B">
        <w:rPr>
          <w:rFonts w:ascii="Arial" w:hAnsi="Arial" w:cs="Arial"/>
          <w:bCs/>
          <w:sz w:val="22"/>
          <w:szCs w:val="22"/>
          <w:lang w:val="fr-FR"/>
        </w:rPr>
        <w:t>’</w:t>
      </w:r>
      <w:r w:rsidRPr="003A1984">
        <w:rPr>
          <w:rFonts w:ascii="Arial" w:hAnsi="Arial" w:cs="Arial"/>
          <w:bCs/>
          <w:sz w:val="22"/>
          <w:szCs w:val="22"/>
          <w:lang w:val="fr-FR"/>
        </w:rPr>
        <w:t>âme, et un remède pour aider le pays à se relever et à raviver la vision de ses fondateurs, ainsi que pour défendre et inspirer tous ceux qui sont opprimés, sans voix et invisibles dans ce monde.</w:t>
      </w:r>
    </w:p>
    <w:p w14:paraId="5CE5F840" w14:textId="0798E2D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Après avoir félicité Haïti, la </w:t>
      </w:r>
      <w:r w:rsidRPr="003A1984">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3A1984">
        <w:rPr>
          <w:rFonts w:ascii="Arial" w:hAnsi="Arial" w:cs="Arial"/>
          <w:b/>
          <w:sz w:val="22"/>
          <w:szCs w:val="22"/>
          <w:lang w:val="fr-FR"/>
        </w:rPr>
        <w:t>Allemagne</w:t>
      </w:r>
      <w:r>
        <w:rPr>
          <w:rFonts w:ascii="Arial" w:hAnsi="Arial" w:cs="Arial"/>
          <w:bCs/>
          <w:sz w:val="22"/>
          <w:szCs w:val="22"/>
          <w:lang w:val="fr-FR"/>
        </w:rPr>
        <w:t xml:space="preserve"> a invité les </w:t>
      </w:r>
      <w:r w:rsidRPr="003A1984">
        <w:rPr>
          <w:rFonts w:ascii="Arial" w:hAnsi="Arial" w:cs="Arial"/>
          <w:bCs/>
          <w:sz w:val="22"/>
          <w:szCs w:val="22"/>
          <w:lang w:val="fr-FR"/>
        </w:rPr>
        <w:t>délégation</w:t>
      </w:r>
      <w:r>
        <w:rPr>
          <w:rFonts w:ascii="Arial" w:hAnsi="Arial" w:cs="Arial"/>
          <w:bCs/>
          <w:sz w:val="22"/>
          <w:szCs w:val="22"/>
          <w:lang w:val="fr-FR"/>
        </w:rPr>
        <w:t xml:space="preserve">s à saluer les nouveaux membres du </w:t>
      </w:r>
      <w:r w:rsidRPr="003A1984">
        <w:rPr>
          <w:rFonts w:ascii="Arial" w:hAnsi="Arial" w:cs="Arial"/>
          <w:bCs/>
          <w:color w:val="000000" w:themeColor="text1"/>
          <w:sz w:val="22"/>
          <w:szCs w:val="22"/>
          <w:lang w:val="fr-FR"/>
        </w:rPr>
        <w:t>Comité</w:t>
      </w:r>
      <w:r>
        <w:rPr>
          <w:rFonts w:ascii="Arial" w:hAnsi="Arial" w:cs="Arial"/>
          <w:bCs/>
          <w:color w:val="000000" w:themeColor="text1"/>
          <w:sz w:val="22"/>
          <w:szCs w:val="22"/>
          <w:lang w:val="fr-FR"/>
        </w:rPr>
        <w:t xml:space="preserve"> autour d</w:t>
      </w:r>
      <w:r w:rsidR="008E532B">
        <w:rPr>
          <w:rFonts w:ascii="Arial" w:hAnsi="Arial" w:cs="Arial"/>
          <w:bCs/>
          <w:color w:val="000000" w:themeColor="text1"/>
          <w:sz w:val="22"/>
          <w:szCs w:val="22"/>
          <w:lang w:val="fr-FR"/>
        </w:rPr>
        <w:t>’</w:t>
      </w:r>
      <w:r>
        <w:rPr>
          <w:rFonts w:ascii="Arial" w:hAnsi="Arial" w:cs="Arial"/>
          <w:bCs/>
          <w:color w:val="000000" w:themeColor="text1"/>
          <w:sz w:val="22"/>
          <w:szCs w:val="22"/>
          <w:lang w:val="fr-FR"/>
        </w:rPr>
        <w:t xml:space="preserve">un verre de bière et de bretzels. </w:t>
      </w:r>
    </w:p>
    <w:p w14:paraId="7D71A08A"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A5623E">
        <w:rPr>
          <w:rFonts w:ascii="Arial" w:hAnsi="Arial" w:cs="Arial"/>
          <w:b/>
          <w:sz w:val="22"/>
          <w:szCs w:val="22"/>
          <w:lang w:val="fr-FR"/>
        </w:rPr>
        <w:t>Présidente</w:t>
      </w:r>
      <w:r>
        <w:rPr>
          <w:rFonts w:ascii="Arial" w:hAnsi="Arial" w:cs="Arial"/>
          <w:bCs/>
          <w:sz w:val="22"/>
          <w:szCs w:val="22"/>
          <w:lang w:val="fr-FR"/>
        </w:rPr>
        <w:t xml:space="preserve"> a levé la séance du jour.</w:t>
      </w:r>
    </w:p>
    <w:p w14:paraId="356FA2C9" w14:textId="77777777" w:rsidR="00D9653F" w:rsidRPr="009F6BC9" w:rsidRDefault="00D9653F" w:rsidP="009F6BC9">
      <w:pPr>
        <w:autoSpaceDE w:val="0"/>
        <w:spacing w:before="240" w:after="240"/>
        <w:ind w:left="709" w:hanging="709"/>
        <w:jc w:val="center"/>
        <w:outlineLvl w:val="0"/>
        <w:rPr>
          <w:rFonts w:eastAsia="SimSun" w:cs="Arial"/>
          <w:i/>
          <w:iCs/>
          <w:szCs w:val="22"/>
          <w:lang w:val="fr-FR"/>
        </w:rPr>
      </w:pPr>
      <w:r w:rsidRPr="009F6BC9">
        <w:rPr>
          <w:rFonts w:ascii="Arial" w:eastAsia="SimSun" w:hAnsi="Arial" w:cs="Arial"/>
          <w:i/>
          <w:iCs/>
          <w:sz w:val="22"/>
          <w:szCs w:val="22"/>
          <w:lang w:val="fr-FR"/>
        </w:rPr>
        <w:t>[Jeudi 7 juillet, séance du matin]</w:t>
      </w:r>
    </w:p>
    <w:p w14:paraId="177B37DD" w14:textId="0F427220" w:rsidR="00D9653F" w:rsidRPr="009F6BC9" w:rsidRDefault="00D9653F" w:rsidP="009F6BC9">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9F6BC9">
        <w:rPr>
          <w:b/>
          <w:color w:val="000000" w:themeColor="text1"/>
          <w:u w:val="single"/>
          <w:lang w:val="fr-FR"/>
        </w:rPr>
        <w:t>POINT 9 DE L</w:t>
      </w:r>
      <w:r w:rsidR="008E532B">
        <w:rPr>
          <w:b/>
          <w:color w:val="000000" w:themeColor="text1"/>
          <w:u w:val="single"/>
          <w:lang w:val="fr-FR"/>
        </w:rPr>
        <w:t>’</w:t>
      </w:r>
      <w:r w:rsidRPr="009F6BC9">
        <w:rPr>
          <w:b/>
          <w:color w:val="000000" w:themeColor="text1"/>
          <w:u w:val="single"/>
          <w:lang w:val="fr-FR"/>
        </w:rPr>
        <w:t xml:space="preserve">ORDRE DU JOUR : </w:t>
      </w:r>
    </w:p>
    <w:p w14:paraId="6D1AE137" w14:textId="032100D2" w:rsidR="00D9653F" w:rsidRPr="009F6BC9" w:rsidRDefault="00D9653F" w:rsidP="009F6BC9">
      <w:pPr>
        <w:pStyle w:val="Orateurengris"/>
        <w:tabs>
          <w:tab w:val="clear" w:pos="709"/>
          <w:tab w:val="clear" w:pos="1418"/>
          <w:tab w:val="clear" w:pos="2126"/>
          <w:tab w:val="clear" w:pos="2835"/>
        </w:tabs>
        <w:outlineLvl w:val="0"/>
        <w:rPr>
          <w:b/>
          <w:color w:val="000000" w:themeColor="text1"/>
          <w:lang w:val="fr-FR"/>
        </w:rPr>
      </w:pPr>
      <w:r w:rsidRPr="009F6BC9">
        <w:rPr>
          <w:b/>
          <w:color w:val="000000" w:themeColor="text1"/>
          <w:lang w:val="fr-FR"/>
        </w:rPr>
        <w:t>LA RÉFLEXION GLOBALE SUR LES MÉCANISMES D</w:t>
      </w:r>
      <w:r w:rsidR="008E532B">
        <w:rPr>
          <w:b/>
          <w:color w:val="000000" w:themeColor="text1"/>
          <w:lang w:val="fr-FR"/>
        </w:rPr>
        <w:t>’</w:t>
      </w:r>
      <w:r w:rsidRPr="009F6BC9">
        <w:rPr>
          <w:b/>
          <w:color w:val="000000" w:themeColor="text1"/>
          <w:lang w:val="fr-FR"/>
        </w:rPr>
        <w:t>INSCRIPTION SUR LES LISTES DE LA CONVENTION ET RÉVISIONS PROPOSÉES AUX DIRECTIVES OPÉRATIONNELLES</w:t>
      </w:r>
    </w:p>
    <w:p w14:paraId="769F3534" w14:textId="48355849" w:rsidR="00D9653F" w:rsidRPr="00493C2A" w:rsidRDefault="00D9653F" w:rsidP="00E43744">
      <w:pPr>
        <w:pStyle w:val="Marge"/>
        <w:spacing w:after="0"/>
        <w:jc w:val="left"/>
        <w:rPr>
          <w:rFonts w:cs="Arial"/>
          <w:b/>
          <w:szCs w:val="22"/>
          <w:lang w:val="fr-FR"/>
        </w:rPr>
      </w:pPr>
      <w:r w:rsidRPr="00493C2A">
        <w:rPr>
          <w:rFonts w:cs="Arial"/>
          <w:b/>
          <w:szCs w:val="22"/>
          <w:lang w:val="fr-FR"/>
        </w:rPr>
        <w:tab/>
      </w:r>
      <w:r>
        <w:rPr>
          <w:rFonts w:cs="Arial"/>
          <w:b/>
          <w:szCs w:val="22"/>
          <w:lang w:val="fr-FR"/>
        </w:rPr>
        <w:t>Document</w:t>
      </w:r>
      <w:r w:rsidR="00BA6601">
        <w:rPr>
          <w:rFonts w:cs="Arial"/>
          <w:b/>
          <w:szCs w:val="22"/>
          <w:lang w:val="fr-FR"/>
        </w:rPr>
        <w:t>s</w:t>
      </w:r>
      <w:r>
        <w:rPr>
          <w:rFonts w:cs="Arial"/>
          <w:b/>
          <w:szCs w:val="22"/>
          <w:lang w:val="fr-FR"/>
        </w:rPr>
        <w:t> </w:t>
      </w:r>
      <w:r w:rsidRPr="00493C2A">
        <w:rPr>
          <w:rFonts w:cs="Arial"/>
          <w:b/>
          <w:szCs w:val="22"/>
          <w:lang w:val="fr-FR"/>
        </w:rPr>
        <w:t>:</w:t>
      </w:r>
      <w:r w:rsidR="00BA6601">
        <w:rPr>
          <w:rFonts w:cs="Arial"/>
          <w:b/>
          <w:szCs w:val="22"/>
          <w:lang w:val="fr-FR"/>
        </w:rPr>
        <w:tab/>
      </w:r>
      <w:hyperlink r:id="rId45" w:history="1">
        <w:r w:rsidRPr="00493C2A">
          <w:rPr>
            <w:rStyle w:val="Hyperlink"/>
            <w:rFonts w:cs="Arial"/>
            <w:bCs/>
            <w:i/>
            <w:iCs/>
            <w:szCs w:val="22"/>
            <w:lang w:val="fr-FR"/>
          </w:rPr>
          <w:t>LHE/22/9.GA/</w:t>
        </w:r>
        <w:proofErr w:type="gramStart"/>
        <w:r w:rsidRPr="00493C2A">
          <w:rPr>
            <w:rStyle w:val="Hyperlink"/>
            <w:rFonts w:cs="Arial"/>
            <w:bCs/>
            <w:i/>
            <w:iCs/>
            <w:szCs w:val="22"/>
            <w:lang w:val="fr-FR"/>
          </w:rPr>
          <w:t>9.Rev</w:t>
        </w:r>
        <w:proofErr w:type="gramEnd"/>
      </w:hyperlink>
      <w:r w:rsidRPr="00493C2A">
        <w:rPr>
          <w:rFonts w:cs="Arial"/>
          <w:b/>
          <w:szCs w:val="22"/>
          <w:lang w:val="fr-FR"/>
        </w:rPr>
        <w:t xml:space="preserve"> </w:t>
      </w:r>
    </w:p>
    <w:p w14:paraId="54C8FAA2" w14:textId="0B5A8827" w:rsidR="00D9653F" w:rsidRPr="00493C2A" w:rsidRDefault="00D9653F" w:rsidP="00E43744">
      <w:pPr>
        <w:pStyle w:val="Marge"/>
        <w:spacing w:after="0"/>
        <w:jc w:val="left"/>
        <w:rPr>
          <w:rFonts w:cs="Arial"/>
          <w:b/>
          <w:szCs w:val="22"/>
          <w:lang w:val="fr-FR"/>
        </w:rPr>
      </w:pPr>
      <w:r w:rsidRPr="00493C2A">
        <w:rPr>
          <w:rFonts w:cs="Arial"/>
          <w:b/>
          <w:szCs w:val="22"/>
          <w:lang w:val="fr-FR"/>
        </w:rPr>
        <w:tab/>
      </w:r>
      <w:r w:rsidR="00BA6601">
        <w:rPr>
          <w:rFonts w:cs="Arial"/>
          <w:b/>
          <w:szCs w:val="22"/>
          <w:lang w:val="fr-FR"/>
        </w:rPr>
        <w:tab/>
      </w:r>
      <w:r w:rsidR="00BA6601">
        <w:rPr>
          <w:rFonts w:cs="Arial"/>
          <w:b/>
          <w:szCs w:val="22"/>
          <w:lang w:val="fr-FR"/>
        </w:rPr>
        <w:tab/>
      </w:r>
      <w:r w:rsidR="00BA6601">
        <w:rPr>
          <w:rFonts w:cs="Arial"/>
          <w:b/>
          <w:szCs w:val="22"/>
          <w:lang w:val="fr-FR"/>
        </w:rPr>
        <w:tab/>
      </w:r>
      <w:hyperlink r:id="rId46" w:history="1">
        <w:r w:rsidRPr="00493C2A">
          <w:rPr>
            <w:rStyle w:val="Hyperlink"/>
            <w:rFonts w:cs="Arial"/>
            <w:bCs/>
            <w:i/>
            <w:iCs/>
            <w:szCs w:val="22"/>
            <w:lang w:val="fr-FR"/>
          </w:rPr>
          <w:t>LHE/21/16.COM/INF.14</w:t>
        </w:r>
      </w:hyperlink>
    </w:p>
    <w:p w14:paraId="3D4404AD" w14:textId="615EF61F" w:rsidR="00D9653F" w:rsidRPr="00493C2A" w:rsidRDefault="00D9653F" w:rsidP="009F6BC9">
      <w:pPr>
        <w:pStyle w:val="Marge"/>
        <w:spacing w:after="120"/>
        <w:jc w:val="left"/>
        <w:rPr>
          <w:rFonts w:cs="Arial"/>
          <w:bCs/>
          <w:i/>
          <w:iCs/>
          <w:szCs w:val="22"/>
          <w:lang w:val="fr-FR"/>
        </w:rPr>
      </w:pPr>
      <w:r w:rsidRPr="00493C2A">
        <w:rPr>
          <w:rFonts w:cs="Arial"/>
          <w:b/>
          <w:szCs w:val="22"/>
          <w:lang w:val="fr-FR"/>
        </w:rPr>
        <w:tab/>
      </w:r>
      <w:r w:rsidR="00BA6601">
        <w:rPr>
          <w:rFonts w:cs="Arial"/>
          <w:b/>
          <w:szCs w:val="22"/>
          <w:lang w:val="fr-FR"/>
        </w:rPr>
        <w:tab/>
      </w:r>
      <w:r w:rsidR="00BA6601">
        <w:rPr>
          <w:rFonts w:cs="Arial"/>
          <w:b/>
          <w:szCs w:val="22"/>
          <w:lang w:val="fr-FR"/>
        </w:rPr>
        <w:tab/>
      </w:r>
      <w:r w:rsidR="00BA6601">
        <w:rPr>
          <w:rFonts w:cs="Arial"/>
          <w:b/>
          <w:szCs w:val="22"/>
          <w:lang w:val="fr-FR"/>
        </w:rPr>
        <w:tab/>
      </w:r>
      <w:hyperlink r:id="rId47" w:history="1">
        <w:r w:rsidRPr="00493C2A">
          <w:rPr>
            <w:rStyle w:val="Hyperlink"/>
            <w:rFonts w:cs="Arial"/>
            <w:bCs/>
            <w:i/>
            <w:iCs/>
            <w:szCs w:val="22"/>
            <w:lang w:val="fr-FR"/>
          </w:rPr>
          <w:t>LHE/22/5.EXT.COM/INF.4</w:t>
        </w:r>
      </w:hyperlink>
    </w:p>
    <w:p w14:paraId="757422EE" w14:textId="23059986" w:rsidR="00D9653F" w:rsidRPr="00493C2A" w:rsidRDefault="00D9653F" w:rsidP="000438FF">
      <w:pPr>
        <w:pStyle w:val="Marge"/>
        <w:tabs>
          <w:tab w:val="left" w:pos="2127"/>
        </w:tabs>
        <w:spacing w:before="120"/>
        <w:jc w:val="left"/>
        <w:rPr>
          <w:rFonts w:cs="Arial"/>
          <w:bCs/>
          <w:i/>
          <w:iCs/>
          <w:szCs w:val="22"/>
          <w:lang w:val="fr-FR"/>
        </w:rPr>
      </w:pPr>
      <w:r w:rsidRPr="00493C2A">
        <w:rPr>
          <w:rFonts w:cs="Arial"/>
          <w:b/>
          <w:szCs w:val="22"/>
          <w:lang w:val="fr-FR"/>
        </w:rPr>
        <w:tab/>
        <w:t>R</w:t>
      </w:r>
      <w:r>
        <w:rPr>
          <w:rFonts w:cs="Arial"/>
          <w:b/>
          <w:szCs w:val="22"/>
          <w:lang w:val="fr-FR"/>
        </w:rPr>
        <w:t>é</w:t>
      </w:r>
      <w:r w:rsidRPr="00493C2A">
        <w:rPr>
          <w:rFonts w:cs="Arial"/>
          <w:b/>
          <w:szCs w:val="22"/>
          <w:lang w:val="fr-FR"/>
        </w:rPr>
        <w:t>solution</w:t>
      </w:r>
      <w:r>
        <w:rPr>
          <w:rFonts w:cs="Arial"/>
          <w:b/>
          <w:szCs w:val="22"/>
          <w:lang w:val="fr-FR"/>
        </w:rPr>
        <w:t> </w:t>
      </w:r>
      <w:r w:rsidRPr="00493C2A">
        <w:rPr>
          <w:rFonts w:cs="Arial"/>
          <w:b/>
          <w:szCs w:val="22"/>
          <w:lang w:val="fr-FR"/>
        </w:rPr>
        <w:t>:</w:t>
      </w:r>
      <w:r w:rsidR="00BA6601">
        <w:rPr>
          <w:rFonts w:cs="Arial"/>
          <w:b/>
          <w:szCs w:val="22"/>
          <w:lang w:val="fr-FR"/>
        </w:rPr>
        <w:tab/>
      </w:r>
      <w:hyperlink r:id="rId48" w:history="1">
        <w:r w:rsidRPr="00493C2A">
          <w:rPr>
            <w:rStyle w:val="Hyperlink"/>
            <w:rFonts w:cs="Arial"/>
            <w:bCs/>
            <w:i/>
            <w:iCs/>
            <w:szCs w:val="22"/>
            <w:lang w:val="fr-FR"/>
          </w:rPr>
          <w:t>9.GA 9</w:t>
        </w:r>
      </w:hyperlink>
    </w:p>
    <w:p w14:paraId="098971CD" w14:textId="510E847D" w:rsidR="00D9653F" w:rsidRDefault="00D9653F" w:rsidP="00D9653F">
      <w:pPr>
        <w:numPr>
          <w:ilvl w:val="0"/>
          <w:numId w:val="19"/>
        </w:numPr>
        <w:suppressAutoHyphens/>
        <w:autoSpaceDE w:val="0"/>
        <w:ind w:left="567" w:hanging="567"/>
        <w:jc w:val="both"/>
        <w:rPr>
          <w:rFonts w:ascii="Arial" w:hAnsi="Arial" w:cs="Arial"/>
          <w:bCs/>
          <w:sz w:val="22"/>
          <w:szCs w:val="22"/>
          <w:lang w:val="fr-FR"/>
        </w:rPr>
      </w:pPr>
      <w:r w:rsidRPr="00493C2A">
        <w:rPr>
          <w:rFonts w:ascii="Arial" w:hAnsi="Arial" w:cs="Arial"/>
          <w:bCs/>
          <w:sz w:val="22"/>
          <w:szCs w:val="22"/>
          <w:lang w:val="fr-FR"/>
        </w:rPr>
        <w:t xml:space="preserve">La </w:t>
      </w:r>
      <w:r w:rsidRPr="00A974E7">
        <w:rPr>
          <w:rFonts w:ascii="Arial" w:hAnsi="Arial" w:cs="Arial"/>
          <w:b/>
          <w:sz w:val="22"/>
          <w:szCs w:val="22"/>
          <w:lang w:val="fr-FR"/>
        </w:rPr>
        <w:t>Présidente</w:t>
      </w:r>
      <w:r w:rsidRPr="00493C2A">
        <w:rPr>
          <w:rFonts w:ascii="Arial" w:hAnsi="Arial" w:cs="Arial"/>
          <w:bCs/>
          <w:sz w:val="22"/>
          <w:szCs w:val="22"/>
          <w:lang w:val="fr-FR"/>
        </w:rPr>
        <w:t xml:space="preserve"> </w:t>
      </w:r>
      <w:r>
        <w:rPr>
          <w:rFonts w:ascii="Arial" w:hAnsi="Arial" w:cs="Arial"/>
          <w:bCs/>
          <w:sz w:val="22"/>
          <w:szCs w:val="22"/>
          <w:lang w:val="fr-FR"/>
        </w:rPr>
        <w:t xml:space="preserve">a </w:t>
      </w:r>
      <w:r w:rsidRPr="00493C2A">
        <w:rPr>
          <w:rFonts w:ascii="Arial" w:hAnsi="Arial" w:cs="Arial"/>
          <w:bCs/>
          <w:sz w:val="22"/>
          <w:szCs w:val="22"/>
          <w:lang w:val="fr-FR"/>
        </w:rPr>
        <w:t>souhait</w:t>
      </w:r>
      <w:r>
        <w:rPr>
          <w:rFonts w:ascii="Arial" w:hAnsi="Arial" w:cs="Arial"/>
          <w:bCs/>
          <w:sz w:val="22"/>
          <w:szCs w:val="22"/>
          <w:lang w:val="fr-FR"/>
        </w:rPr>
        <w:t xml:space="preserve">é </w:t>
      </w:r>
      <w:r w:rsidRPr="00493C2A">
        <w:rPr>
          <w:rFonts w:ascii="Arial" w:hAnsi="Arial" w:cs="Arial"/>
          <w:bCs/>
          <w:sz w:val="22"/>
          <w:szCs w:val="22"/>
          <w:lang w:val="fr-FR"/>
        </w:rPr>
        <w:t>la bienvenue aux délégations en ce troisième et dernier jour de l</w:t>
      </w:r>
      <w:r w:rsidR="008E532B">
        <w:rPr>
          <w:rFonts w:ascii="Arial" w:hAnsi="Arial" w:cs="Arial"/>
          <w:bCs/>
          <w:sz w:val="22"/>
          <w:szCs w:val="22"/>
          <w:lang w:val="fr-FR"/>
        </w:rPr>
        <w:t>’</w:t>
      </w:r>
      <w:r w:rsidRPr="00493C2A">
        <w:rPr>
          <w:rFonts w:ascii="Arial" w:hAnsi="Arial" w:cs="Arial"/>
          <w:bCs/>
          <w:sz w:val="22"/>
          <w:szCs w:val="22"/>
          <w:lang w:val="fr-FR"/>
        </w:rPr>
        <w:t>Assemblée générale. Le Bureau s</w:t>
      </w:r>
      <w:r w:rsidR="008E532B">
        <w:rPr>
          <w:rFonts w:ascii="Arial" w:hAnsi="Arial" w:cs="Arial"/>
          <w:bCs/>
          <w:sz w:val="22"/>
          <w:szCs w:val="22"/>
          <w:lang w:val="fr-FR"/>
        </w:rPr>
        <w:t>’</w:t>
      </w:r>
      <w:r>
        <w:rPr>
          <w:rFonts w:ascii="Arial" w:hAnsi="Arial" w:cs="Arial"/>
          <w:bCs/>
          <w:sz w:val="22"/>
          <w:szCs w:val="22"/>
          <w:lang w:val="fr-FR"/>
        </w:rPr>
        <w:t>était</w:t>
      </w:r>
      <w:r w:rsidRPr="00493C2A">
        <w:rPr>
          <w:rFonts w:ascii="Arial" w:hAnsi="Arial" w:cs="Arial"/>
          <w:bCs/>
          <w:sz w:val="22"/>
          <w:szCs w:val="22"/>
          <w:lang w:val="fr-FR"/>
        </w:rPr>
        <w:t xml:space="preserve"> à nouveau réuni </w:t>
      </w:r>
      <w:r>
        <w:rPr>
          <w:rFonts w:ascii="Arial" w:hAnsi="Arial" w:cs="Arial"/>
          <w:bCs/>
          <w:sz w:val="22"/>
          <w:szCs w:val="22"/>
          <w:lang w:val="fr-FR"/>
        </w:rPr>
        <w:t>l</w:t>
      </w:r>
      <w:r w:rsidRPr="00493C2A">
        <w:rPr>
          <w:rFonts w:ascii="Arial" w:hAnsi="Arial" w:cs="Arial"/>
          <w:bCs/>
          <w:sz w:val="22"/>
          <w:szCs w:val="22"/>
          <w:lang w:val="fr-FR"/>
        </w:rPr>
        <w:t>e matin</w:t>
      </w:r>
      <w:r>
        <w:rPr>
          <w:rFonts w:ascii="Arial" w:hAnsi="Arial" w:cs="Arial"/>
          <w:bCs/>
          <w:sz w:val="22"/>
          <w:szCs w:val="22"/>
          <w:lang w:val="fr-FR"/>
        </w:rPr>
        <w:t xml:space="preserve"> même</w:t>
      </w:r>
      <w:r w:rsidRPr="00493C2A">
        <w:rPr>
          <w:rFonts w:ascii="Arial" w:hAnsi="Arial" w:cs="Arial"/>
          <w:bCs/>
          <w:sz w:val="22"/>
          <w:szCs w:val="22"/>
          <w:lang w:val="fr-FR"/>
        </w:rPr>
        <w:t xml:space="preserve"> pour réviser le calendrier provisoire, avec huit points restant à examiner. La </w:t>
      </w:r>
      <w:r>
        <w:rPr>
          <w:rFonts w:ascii="Arial" w:hAnsi="Arial" w:cs="Arial"/>
          <w:bCs/>
          <w:sz w:val="22"/>
          <w:szCs w:val="22"/>
          <w:lang w:val="fr-FR"/>
        </w:rPr>
        <w:t>séance</w:t>
      </w:r>
      <w:r w:rsidRPr="00493C2A">
        <w:rPr>
          <w:rFonts w:ascii="Arial" w:hAnsi="Arial" w:cs="Arial"/>
          <w:bCs/>
          <w:sz w:val="22"/>
          <w:szCs w:val="22"/>
          <w:lang w:val="fr-FR"/>
        </w:rPr>
        <w:t xml:space="preserve"> du matin </w:t>
      </w:r>
      <w:r>
        <w:rPr>
          <w:rFonts w:ascii="Arial" w:hAnsi="Arial" w:cs="Arial"/>
          <w:bCs/>
          <w:sz w:val="22"/>
          <w:szCs w:val="22"/>
          <w:lang w:val="fr-FR"/>
        </w:rPr>
        <w:t xml:space="preserve">aborderait </w:t>
      </w:r>
      <w:r w:rsidRPr="00493C2A">
        <w:rPr>
          <w:rFonts w:ascii="Arial" w:hAnsi="Arial" w:cs="Arial"/>
          <w:bCs/>
          <w:sz w:val="22"/>
          <w:szCs w:val="22"/>
          <w:lang w:val="fr-FR"/>
        </w:rPr>
        <w:t>les quatre points suivants : le point 9 sur la réflexion globale sur les mécanismes d</w:t>
      </w:r>
      <w:r w:rsidR="008E532B">
        <w:rPr>
          <w:rFonts w:ascii="Arial" w:hAnsi="Arial" w:cs="Arial"/>
          <w:bCs/>
          <w:sz w:val="22"/>
          <w:szCs w:val="22"/>
          <w:lang w:val="fr-FR"/>
        </w:rPr>
        <w:t>’</w:t>
      </w:r>
      <w:r w:rsidRPr="00493C2A">
        <w:rPr>
          <w:rFonts w:ascii="Arial" w:hAnsi="Arial" w:cs="Arial"/>
          <w:bCs/>
          <w:sz w:val="22"/>
          <w:szCs w:val="22"/>
          <w:lang w:val="fr-FR"/>
        </w:rPr>
        <w:t>inscription de la Convention et les révisions proposées aux Directives opérationnelles ; le point 10 sur l</w:t>
      </w:r>
      <w:r w:rsidR="008E532B">
        <w:rPr>
          <w:rFonts w:ascii="Arial" w:hAnsi="Arial" w:cs="Arial"/>
          <w:bCs/>
          <w:sz w:val="22"/>
          <w:szCs w:val="22"/>
          <w:lang w:val="fr-FR"/>
        </w:rPr>
        <w:t>’</w:t>
      </w:r>
      <w:r w:rsidRPr="00493C2A">
        <w:rPr>
          <w:rFonts w:ascii="Arial" w:hAnsi="Arial" w:cs="Arial"/>
          <w:bCs/>
          <w:sz w:val="22"/>
          <w:szCs w:val="22"/>
          <w:lang w:val="fr-FR"/>
        </w:rPr>
        <w:t>utilisation des ressources du Fonds du patrimoine culturel immatériel ; la partie 2 du point 11 sur l</w:t>
      </w:r>
      <w:r w:rsidR="008E532B">
        <w:rPr>
          <w:rFonts w:ascii="Arial" w:hAnsi="Arial" w:cs="Arial"/>
          <w:bCs/>
          <w:sz w:val="22"/>
          <w:szCs w:val="22"/>
          <w:lang w:val="fr-FR"/>
        </w:rPr>
        <w:t>’</w:t>
      </w:r>
      <w:r w:rsidRPr="00493C2A">
        <w:rPr>
          <w:rFonts w:ascii="Arial" w:hAnsi="Arial" w:cs="Arial"/>
          <w:bCs/>
          <w:sz w:val="22"/>
          <w:szCs w:val="22"/>
          <w:lang w:val="fr-FR"/>
        </w:rPr>
        <w:t>élection des membres du Comité ; et le point 12 sur les révisions proposées au Règlement intérieur de l</w:t>
      </w:r>
      <w:r w:rsidR="008E532B">
        <w:rPr>
          <w:rFonts w:ascii="Arial" w:hAnsi="Arial" w:cs="Arial"/>
          <w:bCs/>
          <w:sz w:val="22"/>
          <w:szCs w:val="22"/>
          <w:lang w:val="fr-FR"/>
        </w:rPr>
        <w:t>’</w:t>
      </w:r>
      <w:r w:rsidRPr="00493C2A">
        <w:rPr>
          <w:rFonts w:ascii="Arial" w:hAnsi="Arial" w:cs="Arial"/>
          <w:bCs/>
          <w:sz w:val="22"/>
          <w:szCs w:val="22"/>
          <w:lang w:val="fr-FR"/>
        </w:rPr>
        <w:t>Assemblée générale. Dans l</w:t>
      </w:r>
      <w:r w:rsidR="008E532B">
        <w:rPr>
          <w:rFonts w:ascii="Arial" w:hAnsi="Arial" w:cs="Arial"/>
          <w:bCs/>
          <w:sz w:val="22"/>
          <w:szCs w:val="22"/>
          <w:lang w:val="fr-FR"/>
        </w:rPr>
        <w:t>’</w:t>
      </w:r>
      <w:r w:rsidRPr="00493C2A">
        <w:rPr>
          <w:rFonts w:ascii="Arial" w:hAnsi="Arial" w:cs="Arial"/>
          <w:bCs/>
          <w:sz w:val="22"/>
          <w:szCs w:val="22"/>
          <w:lang w:val="fr-FR"/>
        </w:rPr>
        <w:t>après-midi, le point</w:t>
      </w:r>
      <w:r>
        <w:rPr>
          <w:rFonts w:ascii="Arial" w:hAnsi="Arial" w:cs="Arial"/>
          <w:bCs/>
          <w:sz w:val="22"/>
          <w:szCs w:val="22"/>
          <w:lang w:val="fr-FR"/>
        </w:rPr>
        <w:t xml:space="preserve"> </w:t>
      </w:r>
      <w:r w:rsidRPr="00493C2A">
        <w:rPr>
          <w:rFonts w:ascii="Arial" w:hAnsi="Arial" w:cs="Arial"/>
          <w:bCs/>
          <w:sz w:val="22"/>
          <w:szCs w:val="22"/>
          <w:lang w:val="fr-FR"/>
        </w:rPr>
        <w:t>7 suspendu sera</w:t>
      </w:r>
      <w:r>
        <w:rPr>
          <w:rFonts w:ascii="Arial" w:hAnsi="Arial" w:cs="Arial"/>
          <w:bCs/>
          <w:sz w:val="22"/>
          <w:szCs w:val="22"/>
          <w:lang w:val="fr-FR"/>
        </w:rPr>
        <w:t>it</w:t>
      </w:r>
      <w:r w:rsidRPr="00493C2A">
        <w:rPr>
          <w:rFonts w:ascii="Arial" w:hAnsi="Arial" w:cs="Arial"/>
          <w:bCs/>
          <w:sz w:val="22"/>
          <w:szCs w:val="22"/>
          <w:lang w:val="fr-FR"/>
        </w:rPr>
        <w:t xml:space="preserve"> rouvert, avec l</w:t>
      </w:r>
      <w:r w:rsidR="008E532B">
        <w:rPr>
          <w:rFonts w:ascii="Arial" w:hAnsi="Arial" w:cs="Arial"/>
          <w:bCs/>
          <w:sz w:val="22"/>
          <w:szCs w:val="22"/>
          <w:lang w:val="fr-FR"/>
        </w:rPr>
        <w:t>’</w:t>
      </w:r>
      <w:r w:rsidRPr="00493C2A">
        <w:rPr>
          <w:rFonts w:ascii="Arial" w:hAnsi="Arial" w:cs="Arial"/>
          <w:bCs/>
          <w:sz w:val="22"/>
          <w:szCs w:val="22"/>
          <w:lang w:val="fr-FR"/>
        </w:rPr>
        <w:t>espoir que la discussion du groupe de consultation informel aidera</w:t>
      </w:r>
      <w:r>
        <w:rPr>
          <w:rFonts w:ascii="Arial" w:hAnsi="Arial" w:cs="Arial"/>
          <w:bCs/>
          <w:sz w:val="22"/>
          <w:szCs w:val="22"/>
          <w:lang w:val="fr-FR"/>
        </w:rPr>
        <w:t>it</w:t>
      </w:r>
      <w:r w:rsidRPr="00493C2A">
        <w:rPr>
          <w:rFonts w:ascii="Arial" w:hAnsi="Arial" w:cs="Arial"/>
          <w:bCs/>
          <w:sz w:val="22"/>
          <w:szCs w:val="22"/>
          <w:lang w:val="fr-FR"/>
        </w:rPr>
        <w:t xml:space="preserve"> à conclure le paragraphe 7bis et à adopter la résolution. Les travaux se poursuivr</w:t>
      </w:r>
      <w:r>
        <w:rPr>
          <w:rFonts w:ascii="Arial" w:hAnsi="Arial" w:cs="Arial"/>
          <w:bCs/>
          <w:sz w:val="22"/>
          <w:szCs w:val="22"/>
          <w:lang w:val="fr-FR"/>
        </w:rPr>
        <w:t>aie</w:t>
      </w:r>
      <w:r w:rsidRPr="00493C2A">
        <w:rPr>
          <w:rFonts w:ascii="Arial" w:hAnsi="Arial" w:cs="Arial"/>
          <w:bCs/>
          <w:sz w:val="22"/>
          <w:szCs w:val="22"/>
          <w:lang w:val="fr-FR"/>
        </w:rPr>
        <w:t xml:space="preserve">nt </w:t>
      </w:r>
      <w:r>
        <w:rPr>
          <w:rFonts w:ascii="Arial" w:hAnsi="Arial" w:cs="Arial"/>
          <w:bCs/>
          <w:sz w:val="22"/>
          <w:szCs w:val="22"/>
          <w:lang w:val="fr-FR"/>
        </w:rPr>
        <w:t>avec</w:t>
      </w:r>
      <w:r w:rsidRPr="00493C2A">
        <w:rPr>
          <w:rFonts w:ascii="Arial" w:hAnsi="Arial" w:cs="Arial"/>
          <w:bCs/>
          <w:sz w:val="22"/>
          <w:szCs w:val="22"/>
          <w:lang w:val="fr-FR"/>
        </w:rPr>
        <w:t xml:space="preserve"> le point 13 relatif à la célébration du vingtième anniversaire de la Convention, ainsi q</w:t>
      </w:r>
      <w:r>
        <w:rPr>
          <w:rFonts w:ascii="Arial" w:hAnsi="Arial" w:cs="Arial"/>
          <w:bCs/>
          <w:sz w:val="22"/>
          <w:szCs w:val="22"/>
          <w:lang w:val="fr-FR"/>
        </w:rPr>
        <w:t>u</w:t>
      </w:r>
      <w:r w:rsidR="008E532B">
        <w:rPr>
          <w:rFonts w:ascii="Arial" w:hAnsi="Arial" w:cs="Arial"/>
          <w:bCs/>
          <w:sz w:val="22"/>
          <w:szCs w:val="22"/>
          <w:lang w:val="fr-FR"/>
        </w:rPr>
        <w:t>’</w:t>
      </w:r>
      <w:r>
        <w:rPr>
          <w:rFonts w:ascii="Arial" w:hAnsi="Arial" w:cs="Arial"/>
          <w:bCs/>
          <w:sz w:val="22"/>
          <w:szCs w:val="22"/>
          <w:lang w:val="fr-FR"/>
        </w:rPr>
        <w:t>avec</w:t>
      </w:r>
      <w:r w:rsidRPr="00493C2A">
        <w:rPr>
          <w:rFonts w:ascii="Arial" w:hAnsi="Arial" w:cs="Arial"/>
          <w:bCs/>
          <w:sz w:val="22"/>
          <w:szCs w:val="22"/>
          <w:lang w:val="fr-FR"/>
        </w:rPr>
        <w:t xml:space="preserve"> le point 14, </w:t>
      </w:r>
      <w:r>
        <w:rPr>
          <w:rFonts w:ascii="Arial" w:hAnsi="Arial" w:cs="Arial"/>
          <w:bCs/>
          <w:sz w:val="22"/>
          <w:szCs w:val="22"/>
          <w:lang w:val="fr-FR"/>
        </w:rPr>
        <w:t xml:space="preserve">les </w:t>
      </w:r>
      <w:r w:rsidRPr="00493C2A">
        <w:rPr>
          <w:rFonts w:ascii="Arial" w:hAnsi="Arial" w:cs="Arial"/>
          <w:bCs/>
          <w:sz w:val="22"/>
          <w:szCs w:val="22"/>
          <w:lang w:val="fr-FR"/>
        </w:rPr>
        <w:t>questions diverses, suivi de la clôture. Le calendrier provisoire a</w:t>
      </w:r>
      <w:r>
        <w:rPr>
          <w:rFonts w:ascii="Arial" w:hAnsi="Arial" w:cs="Arial"/>
          <w:bCs/>
          <w:sz w:val="22"/>
          <w:szCs w:val="22"/>
          <w:lang w:val="fr-FR"/>
        </w:rPr>
        <w:t>vait</w:t>
      </w:r>
      <w:r w:rsidRPr="00493C2A">
        <w:rPr>
          <w:rFonts w:ascii="Arial" w:hAnsi="Arial" w:cs="Arial"/>
          <w:bCs/>
          <w:sz w:val="22"/>
          <w:szCs w:val="22"/>
          <w:lang w:val="fr-FR"/>
        </w:rPr>
        <w:t xml:space="preserve"> été publié en ligne avec les modifications proposées. Compte tenu des contraintes de temps, la Présidente a demandé</w:t>
      </w:r>
      <w:r>
        <w:rPr>
          <w:rFonts w:ascii="Arial" w:hAnsi="Arial" w:cs="Arial"/>
          <w:bCs/>
          <w:sz w:val="22"/>
          <w:szCs w:val="22"/>
          <w:lang w:val="fr-FR"/>
        </w:rPr>
        <w:t xml:space="preserve"> que </w:t>
      </w:r>
      <w:r w:rsidRPr="00493C2A">
        <w:rPr>
          <w:rFonts w:ascii="Arial" w:hAnsi="Arial" w:cs="Arial"/>
          <w:bCs/>
          <w:sz w:val="22"/>
          <w:szCs w:val="22"/>
          <w:lang w:val="fr-FR"/>
        </w:rPr>
        <w:t xml:space="preserve">les travaux </w:t>
      </w:r>
      <w:r>
        <w:rPr>
          <w:rFonts w:ascii="Arial" w:hAnsi="Arial" w:cs="Arial"/>
          <w:bCs/>
          <w:sz w:val="22"/>
          <w:szCs w:val="22"/>
          <w:lang w:val="fr-FR"/>
        </w:rPr>
        <w:t xml:space="preserve">soient menés </w:t>
      </w:r>
      <w:r w:rsidRPr="00493C2A">
        <w:rPr>
          <w:rFonts w:ascii="Arial" w:hAnsi="Arial" w:cs="Arial"/>
          <w:bCs/>
          <w:sz w:val="22"/>
          <w:szCs w:val="22"/>
          <w:lang w:val="fr-FR"/>
        </w:rPr>
        <w:t xml:space="preserve">de manière fluide et rapide, notamment parce que plusieurs des points </w:t>
      </w:r>
      <w:r>
        <w:rPr>
          <w:rFonts w:ascii="Arial" w:hAnsi="Arial" w:cs="Arial"/>
          <w:bCs/>
          <w:sz w:val="22"/>
          <w:szCs w:val="22"/>
          <w:lang w:val="fr-FR"/>
        </w:rPr>
        <w:t>étaient</w:t>
      </w:r>
      <w:r w:rsidRPr="00493C2A">
        <w:rPr>
          <w:rFonts w:ascii="Arial" w:hAnsi="Arial" w:cs="Arial"/>
          <w:bCs/>
          <w:sz w:val="22"/>
          <w:szCs w:val="22"/>
          <w:lang w:val="fr-FR"/>
        </w:rPr>
        <w:t xml:space="preserve"> cruciaux pour le fonctionnement continu des organes directeurs de la Convention. Une adresse électronique </w:t>
      </w:r>
      <w:r>
        <w:rPr>
          <w:rFonts w:ascii="Arial" w:hAnsi="Arial" w:cs="Arial"/>
          <w:bCs/>
          <w:sz w:val="22"/>
          <w:szCs w:val="22"/>
          <w:lang w:val="fr-FR"/>
        </w:rPr>
        <w:t>spécifique</w:t>
      </w:r>
      <w:r w:rsidRPr="00493C2A">
        <w:rPr>
          <w:rFonts w:ascii="Arial" w:hAnsi="Arial" w:cs="Arial"/>
          <w:bCs/>
          <w:sz w:val="22"/>
          <w:szCs w:val="22"/>
          <w:lang w:val="fr-FR"/>
        </w:rPr>
        <w:t xml:space="preserve"> </w:t>
      </w:r>
      <w:r>
        <w:rPr>
          <w:rFonts w:ascii="Arial" w:hAnsi="Arial" w:cs="Arial"/>
          <w:bCs/>
          <w:sz w:val="22"/>
          <w:szCs w:val="22"/>
          <w:lang w:val="fr-FR"/>
        </w:rPr>
        <w:t xml:space="preserve">avait été </w:t>
      </w:r>
      <w:r w:rsidRPr="00493C2A">
        <w:rPr>
          <w:rFonts w:ascii="Arial" w:hAnsi="Arial" w:cs="Arial"/>
          <w:bCs/>
          <w:sz w:val="22"/>
          <w:szCs w:val="22"/>
          <w:lang w:val="fr-FR"/>
        </w:rPr>
        <w:t>mise en place pour recevoir les propositions d</w:t>
      </w:r>
      <w:r w:rsidR="008E532B">
        <w:rPr>
          <w:rFonts w:ascii="Arial" w:hAnsi="Arial" w:cs="Arial"/>
          <w:bCs/>
          <w:sz w:val="22"/>
          <w:szCs w:val="22"/>
          <w:lang w:val="fr-FR"/>
        </w:rPr>
        <w:t>’</w:t>
      </w:r>
      <w:r w:rsidRPr="00493C2A">
        <w:rPr>
          <w:rFonts w:ascii="Arial" w:hAnsi="Arial" w:cs="Arial"/>
          <w:bCs/>
          <w:sz w:val="22"/>
          <w:szCs w:val="22"/>
          <w:lang w:val="fr-FR"/>
        </w:rPr>
        <w:t>amendements. La Présidente est passée au point 9, la réflexion globale sur les mécanismes d</w:t>
      </w:r>
      <w:r w:rsidR="008E532B">
        <w:rPr>
          <w:rFonts w:ascii="Arial" w:hAnsi="Arial" w:cs="Arial"/>
          <w:bCs/>
          <w:sz w:val="22"/>
          <w:szCs w:val="22"/>
          <w:lang w:val="fr-FR"/>
        </w:rPr>
        <w:t>’</w:t>
      </w:r>
      <w:r w:rsidRPr="00493C2A">
        <w:rPr>
          <w:rFonts w:ascii="Arial" w:hAnsi="Arial" w:cs="Arial"/>
          <w:bCs/>
          <w:sz w:val="22"/>
          <w:szCs w:val="22"/>
          <w:lang w:val="fr-FR"/>
        </w:rPr>
        <w:t>inscription de la Convention et les révisions proposées aux Directives opérationnelles, en invitant le Président du groupe de travail à composition non limitée, l</w:t>
      </w:r>
      <w:r w:rsidR="008E532B">
        <w:rPr>
          <w:rFonts w:ascii="Arial" w:hAnsi="Arial" w:cs="Arial"/>
          <w:bCs/>
          <w:sz w:val="22"/>
          <w:szCs w:val="22"/>
          <w:lang w:val="fr-FR"/>
        </w:rPr>
        <w:t>’</w:t>
      </w:r>
      <w:r>
        <w:rPr>
          <w:rFonts w:ascii="Arial" w:hAnsi="Arial" w:cs="Arial"/>
          <w:bCs/>
          <w:sz w:val="22"/>
          <w:szCs w:val="22"/>
          <w:lang w:val="fr-FR"/>
        </w:rPr>
        <w:t>a</w:t>
      </w:r>
      <w:r w:rsidRPr="00493C2A">
        <w:rPr>
          <w:rFonts w:ascii="Arial" w:hAnsi="Arial" w:cs="Arial"/>
          <w:bCs/>
          <w:sz w:val="22"/>
          <w:szCs w:val="22"/>
          <w:lang w:val="fr-FR"/>
        </w:rPr>
        <w:t>mbassadeur du Japon auprès de l</w:t>
      </w:r>
      <w:r w:rsidR="008E532B">
        <w:rPr>
          <w:rFonts w:ascii="Arial" w:hAnsi="Arial" w:cs="Arial"/>
          <w:bCs/>
          <w:sz w:val="22"/>
          <w:szCs w:val="22"/>
          <w:lang w:val="fr-FR"/>
        </w:rPr>
        <w:t>’</w:t>
      </w:r>
      <w:r w:rsidRPr="00493C2A">
        <w:rPr>
          <w:rFonts w:ascii="Arial" w:hAnsi="Arial" w:cs="Arial"/>
          <w:bCs/>
          <w:sz w:val="22"/>
          <w:szCs w:val="22"/>
          <w:lang w:val="fr-FR"/>
        </w:rPr>
        <w:t>UNESCO, M.</w:t>
      </w:r>
      <w:r>
        <w:rPr>
          <w:rFonts w:ascii="Arial" w:hAnsi="Arial" w:cs="Arial"/>
          <w:bCs/>
          <w:sz w:val="22"/>
          <w:szCs w:val="22"/>
          <w:lang w:val="fr-FR"/>
        </w:rPr>
        <w:t> </w:t>
      </w:r>
      <w:proofErr w:type="spellStart"/>
      <w:r w:rsidRPr="00493C2A">
        <w:rPr>
          <w:rFonts w:ascii="Arial" w:hAnsi="Arial" w:cs="Arial"/>
          <w:bCs/>
          <w:sz w:val="22"/>
          <w:szCs w:val="22"/>
          <w:lang w:val="fr-FR"/>
        </w:rPr>
        <w:t>Atsuyuki</w:t>
      </w:r>
      <w:proofErr w:type="spellEnd"/>
      <w:r w:rsidRPr="00493C2A">
        <w:rPr>
          <w:rFonts w:ascii="Arial" w:hAnsi="Arial" w:cs="Arial"/>
          <w:bCs/>
          <w:sz w:val="22"/>
          <w:szCs w:val="22"/>
          <w:lang w:val="fr-FR"/>
        </w:rPr>
        <w:t xml:space="preserve"> </w:t>
      </w:r>
      <w:proofErr w:type="spellStart"/>
      <w:r w:rsidRPr="00493C2A">
        <w:rPr>
          <w:rFonts w:ascii="Arial" w:hAnsi="Arial" w:cs="Arial"/>
          <w:bCs/>
          <w:sz w:val="22"/>
          <w:szCs w:val="22"/>
          <w:lang w:val="fr-FR"/>
        </w:rPr>
        <w:t>Oike</w:t>
      </w:r>
      <w:proofErr w:type="spellEnd"/>
      <w:r w:rsidRPr="00493C2A">
        <w:rPr>
          <w:rFonts w:ascii="Arial" w:hAnsi="Arial" w:cs="Arial"/>
          <w:bCs/>
          <w:sz w:val="22"/>
          <w:szCs w:val="22"/>
          <w:lang w:val="fr-FR"/>
        </w:rPr>
        <w:t>, à présenter son rapport.</w:t>
      </w:r>
    </w:p>
    <w:p w14:paraId="78DF70A1" w14:textId="1576B44E" w:rsidR="00D9653F" w:rsidRPr="00AB691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85319">
        <w:rPr>
          <w:rFonts w:ascii="Arial" w:hAnsi="Arial" w:cs="Arial"/>
          <w:bCs/>
          <w:sz w:val="22"/>
          <w:szCs w:val="22"/>
          <w:lang w:val="fr-FR"/>
        </w:rPr>
        <w:t>L</w:t>
      </w:r>
      <w:r>
        <w:rPr>
          <w:rFonts w:ascii="Arial" w:hAnsi="Arial" w:cs="Arial"/>
          <w:bCs/>
          <w:sz w:val="22"/>
          <w:szCs w:val="22"/>
          <w:lang w:val="fr-FR"/>
        </w:rPr>
        <w:t>e</w:t>
      </w:r>
      <w:r w:rsidRPr="00F85319">
        <w:rPr>
          <w:rFonts w:ascii="Arial" w:hAnsi="Arial" w:cs="Arial"/>
          <w:bCs/>
          <w:sz w:val="22"/>
          <w:szCs w:val="22"/>
          <w:lang w:val="fr-FR"/>
        </w:rPr>
        <w:t xml:space="preserve"> </w:t>
      </w:r>
      <w:r w:rsidRPr="00F85319">
        <w:rPr>
          <w:rFonts w:ascii="Arial" w:hAnsi="Arial" w:cs="Arial"/>
          <w:b/>
          <w:sz w:val="22"/>
          <w:szCs w:val="22"/>
          <w:lang w:val="fr-FR"/>
        </w:rPr>
        <w:t>Président du groupe de travail à composition non limitée</w:t>
      </w:r>
      <w:r w:rsidRPr="00F85319">
        <w:rPr>
          <w:rFonts w:ascii="Arial" w:hAnsi="Arial" w:cs="Arial"/>
          <w:bCs/>
          <w:sz w:val="22"/>
          <w:szCs w:val="22"/>
          <w:lang w:val="fr-FR"/>
        </w:rPr>
        <w:t>, M.</w:t>
      </w:r>
      <w:r>
        <w:rPr>
          <w:rFonts w:ascii="Arial" w:hAnsi="Arial" w:cs="Arial"/>
          <w:bCs/>
          <w:sz w:val="22"/>
          <w:szCs w:val="22"/>
          <w:lang w:val="fr-FR"/>
        </w:rPr>
        <w:t> </w:t>
      </w:r>
      <w:proofErr w:type="spellStart"/>
      <w:r w:rsidRPr="00F85319">
        <w:rPr>
          <w:rFonts w:ascii="Arial" w:hAnsi="Arial" w:cs="Arial"/>
          <w:bCs/>
          <w:sz w:val="22"/>
          <w:szCs w:val="22"/>
          <w:lang w:val="fr-FR"/>
        </w:rPr>
        <w:t>Atsuyuki</w:t>
      </w:r>
      <w:proofErr w:type="spellEnd"/>
      <w:r w:rsidRPr="00F85319">
        <w:rPr>
          <w:rFonts w:ascii="Arial" w:hAnsi="Arial" w:cs="Arial"/>
          <w:bCs/>
          <w:sz w:val="22"/>
          <w:szCs w:val="22"/>
          <w:lang w:val="fr-FR"/>
        </w:rPr>
        <w:t xml:space="preserve"> </w:t>
      </w:r>
      <w:proofErr w:type="spellStart"/>
      <w:r w:rsidRPr="00F85319">
        <w:rPr>
          <w:rFonts w:ascii="Arial" w:hAnsi="Arial" w:cs="Arial"/>
          <w:bCs/>
          <w:sz w:val="22"/>
          <w:szCs w:val="22"/>
          <w:lang w:val="fr-FR"/>
        </w:rPr>
        <w:t>Oike</w:t>
      </w:r>
      <w:proofErr w:type="spellEnd"/>
      <w:r w:rsidRPr="00F85319">
        <w:rPr>
          <w:rFonts w:ascii="Arial" w:hAnsi="Arial" w:cs="Arial"/>
          <w:bCs/>
          <w:sz w:val="22"/>
          <w:szCs w:val="22"/>
          <w:lang w:val="fr-FR"/>
        </w:rPr>
        <w:t>, a rappelé que la réflexion globale sur les mécanismes d</w:t>
      </w:r>
      <w:r w:rsidR="008E532B">
        <w:rPr>
          <w:rFonts w:ascii="Arial" w:hAnsi="Arial" w:cs="Arial"/>
          <w:bCs/>
          <w:sz w:val="22"/>
          <w:szCs w:val="22"/>
          <w:lang w:val="fr-FR"/>
        </w:rPr>
        <w:t>’</w:t>
      </w:r>
      <w:r w:rsidRPr="00F85319">
        <w:rPr>
          <w:rFonts w:ascii="Arial" w:hAnsi="Arial" w:cs="Arial"/>
          <w:bCs/>
          <w:sz w:val="22"/>
          <w:szCs w:val="22"/>
          <w:lang w:val="fr-FR"/>
        </w:rPr>
        <w:t>inscription de la Convention était un processus long et inclusif qui a</w:t>
      </w:r>
      <w:r>
        <w:rPr>
          <w:rFonts w:ascii="Arial" w:hAnsi="Arial" w:cs="Arial"/>
          <w:bCs/>
          <w:sz w:val="22"/>
          <w:szCs w:val="22"/>
          <w:lang w:val="fr-FR"/>
        </w:rPr>
        <w:t>vait</w:t>
      </w:r>
      <w:r w:rsidRPr="00F85319">
        <w:rPr>
          <w:rFonts w:ascii="Arial" w:hAnsi="Arial" w:cs="Arial"/>
          <w:bCs/>
          <w:sz w:val="22"/>
          <w:szCs w:val="22"/>
          <w:lang w:val="fr-FR"/>
        </w:rPr>
        <w:t xml:space="preserve"> débuté en 2018, impliquant des enquêtes et des consultations d</w:t>
      </w:r>
      <w:r w:rsidR="008E532B">
        <w:rPr>
          <w:rFonts w:ascii="Arial" w:hAnsi="Arial" w:cs="Arial"/>
          <w:bCs/>
          <w:sz w:val="22"/>
          <w:szCs w:val="22"/>
          <w:lang w:val="fr-FR"/>
        </w:rPr>
        <w:t>’</w:t>
      </w:r>
      <w:r w:rsidRPr="00F85319">
        <w:rPr>
          <w:rFonts w:ascii="Arial" w:hAnsi="Arial" w:cs="Arial"/>
          <w:bCs/>
          <w:sz w:val="22"/>
          <w:szCs w:val="22"/>
          <w:lang w:val="fr-FR"/>
        </w:rPr>
        <w:t>experts, ainsi que des discussions intergouvernementales. M.</w:t>
      </w:r>
      <w:r>
        <w:rPr>
          <w:rFonts w:ascii="Arial" w:hAnsi="Arial" w:cs="Arial"/>
          <w:bCs/>
          <w:sz w:val="22"/>
          <w:szCs w:val="22"/>
          <w:lang w:val="fr-FR"/>
        </w:rPr>
        <w:t> </w:t>
      </w:r>
      <w:proofErr w:type="spellStart"/>
      <w:r w:rsidRPr="00F85319">
        <w:rPr>
          <w:rFonts w:ascii="Arial" w:hAnsi="Arial" w:cs="Arial"/>
          <w:bCs/>
          <w:sz w:val="22"/>
          <w:szCs w:val="22"/>
          <w:lang w:val="fr-FR"/>
        </w:rPr>
        <w:t>Oike</w:t>
      </w:r>
      <w:proofErr w:type="spellEnd"/>
      <w:r w:rsidRPr="00F85319">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était</w:t>
      </w:r>
      <w:r w:rsidRPr="00F85319">
        <w:rPr>
          <w:rFonts w:ascii="Arial" w:hAnsi="Arial" w:cs="Arial"/>
          <w:bCs/>
          <w:sz w:val="22"/>
          <w:szCs w:val="22"/>
          <w:lang w:val="fr-FR"/>
        </w:rPr>
        <w:t xml:space="preserve"> vu confier le rôle de </w:t>
      </w:r>
      <w:r>
        <w:rPr>
          <w:rFonts w:ascii="Arial" w:hAnsi="Arial" w:cs="Arial"/>
          <w:bCs/>
          <w:sz w:val="22"/>
          <w:szCs w:val="22"/>
          <w:lang w:val="fr-FR"/>
        </w:rPr>
        <w:t>chef de file</w:t>
      </w:r>
      <w:r w:rsidRPr="00F85319">
        <w:rPr>
          <w:rFonts w:ascii="Arial" w:hAnsi="Arial" w:cs="Arial"/>
          <w:bCs/>
          <w:sz w:val="22"/>
          <w:szCs w:val="22"/>
          <w:lang w:val="fr-FR"/>
        </w:rPr>
        <w:t xml:space="preserve"> de la réflexion en tant que Président du groupe de travail. Il a exprimé son honneur</w:t>
      </w:r>
      <w:r>
        <w:rPr>
          <w:rFonts w:ascii="Arial" w:hAnsi="Arial" w:cs="Arial"/>
          <w:bCs/>
          <w:sz w:val="22"/>
          <w:szCs w:val="22"/>
          <w:lang w:val="fr-FR"/>
        </w:rPr>
        <w:t>,</w:t>
      </w:r>
      <w:r w:rsidRPr="00F85319">
        <w:rPr>
          <w:rFonts w:ascii="Arial" w:hAnsi="Arial" w:cs="Arial"/>
          <w:bCs/>
          <w:sz w:val="22"/>
          <w:szCs w:val="22"/>
          <w:lang w:val="fr-FR"/>
        </w:rPr>
        <w:t xml:space="preserve"> et sa gratitude à toutes les parties prenantes impliquées, notamment les experts qui </w:t>
      </w:r>
      <w:r>
        <w:rPr>
          <w:rFonts w:ascii="Arial" w:hAnsi="Arial" w:cs="Arial"/>
          <w:bCs/>
          <w:sz w:val="22"/>
          <w:szCs w:val="22"/>
          <w:lang w:val="fr-FR"/>
        </w:rPr>
        <w:t>avaient</w:t>
      </w:r>
      <w:r w:rsidRPr="00F85319">
        <w:rPr>
          <w:rFonts w:ascii="Arial" w:hAnsi="Arial" w:cs="Arial"/>
          <w:bCs/>
          <w:sz w:val="22"/>
          <w:szCs w:val="22"/>
          <w:lang w:val="fr-FR"/>
        </w:rPr>
        <w:t xml:space="preserve"> participé aux consultations précédentes, ainsi que les États parties. Leur dévouement et leurs discussions </w:t>
      </w:r>
      <w:r>
        <w:rPr>
          <w:rFonts w:ascii="Arial" w:hAnsi="Arial" w:cs="Arial"/>
          <w:bCs/>
          <w:sz w:val="22"/>
          <w:szCs w:val="22"/>
          <w:lang w:val="fr-FR"/>
        </w:rPr>
        <w:t>très riches avaient</w:t>
      </w:r>
      <w:r w:rsidRPr="00F85319">
        <w:rPr>
          <w:rFonts w:ascii="Arial" w:hAnsi="Arial" w:cs="Arial"/>
          <w:bCs/>
          <w:sz w:val="22"/>
          <w:szCs w:val="22"/>
          <w:lang w:val="fr-FR"/>
        </w:rPr>
        <w:t xml:space="preserve"> permis d</w:t>
      </w:r>
      <w:r w:rsidR="008E532B">
        <w:rPr>
          <w:rFonts w:ascii="Arial" w:hAnsi="Arial" w:cs="Arial"/>
          <w:bCs/>
          <w:sz w:val="22"/>
          <w:szCs w:val="22"/>
          <w:lang w:val="fr-FR"/>
        </w:rPr>
        <w:t>’</w:t>
      </w:r>
      <w:r w:rsidRPr="00F85319">
        <w:rPr>
          <w:rFonts w:ascii="Arial" w:hAnsi="Arial" w:cs="Arial"/>
          <w:bCs/>
          <w:sz w:val="22"/>
          <w:szCs w:val="22"/>
          <w:lang w:val="fr-FR"/>
        </w:rPr>
        <w:t>obtenir des résultats significatifs. Le même Bureau a</w:t>
      </w:r>
      <w:r>
        <w:rPr>
          <w:rFonts w:ascii="Arial" w:hAnsi="Arial" w:cs="Arial"/>
          <w:bCs/>
          <w:sz w:val="22"/>
          <w:szCs w:val="22"/>
          <w:lang w:val="fr-FR"/>
        </w:rPr>
        <w:t>vait</w:t>
      </w:r>
      <w:r w:rsidRPr="00F85319">
        <w:rPr>
          <w:rFonts w:ascii="Arial" w:hAnsi="Arial" w:cs="Arial"/>
          <w:bCs/>
          <w:sz w:val="22"/>
          <w:szCs w:val="22"/>
          <w:lang w:val="fr-FR"/>
        </w:rPr>
        <w:t xml:space="preserve"> siégé pour les trois parties de la réunion. M.</w:t>
      </w:r>
      <w:r>
        <w:rPr>
          <w:rFonts w:ascii="Arial" w:hAnsi="Arial" w:cs="Arial"/>
          <w:bCs/>
          <w:sz w:val="22"/>
          <w:szCs w:val="22"/>
          <w:lang w:val="fr-FR"/>
        </w:rPr>
        <w:t> </w:t>
      </w:r>
      <w:proofErr w:type="spellStart"/>
      <w:r w:rsidRPr="00F85319">
        <w:rPr>
          <w:rFonts w:ascii="Arial" w:hAnsi="Arial" w:cs="Arial"/>
          <w:bCs/>
          <w:sz w:val="22"/>
          <w:szCs w:val="22"/>
          <w:lang w:val="fr-FR"/>
        </w:rPr>
        <w:t>Oike</w:t>
      </w:r>
      <w:proofErr w:type="spellEnd"/>
      <w:r w:rsidRPr="00F85319">
        <w:rPr>
          <w:rFonts w:ascii="Arial" w:hAnsi="Arial" w:cs="Arial"/>
          <w:bCs/>
          <w:sz w:val="22"/>
          <w:szCs w:val="22"/>
          <w:lang w:val="fr-FR"/>
        </w:rPr>
        <w:t xml:space="preserve"> a remercié les cinq </w:t>
      </w:r>
      <w:r>
        <w:rPr>
          <w:rFonts w:ascii="Arial" w:hAnsi="Arial" w:cs="Arial"/>
          <w:bCs/>
          <w:sz w:val="22"/>
          <w:szCs w:val="22"/>
          <w:lang w:val="fr-FR"/>
        </w:rPr>
        <w:t>V</w:t>
      </w:r>
      <w:r w:rsidRPr="00F85319">
        <w:rPr>
          <w:rFonts w:ascii="Arial" w:hAnsi="Arial" w:cs="Arial"/>
          <w:bCs/>
          <w:sz w:val="22"/>
          <w:szCs w:val="22"/>
          <w:lang w:val="fr-FR"/>
        </w:rPr>
        <w:t>ice</w:t>
      </w:r>
      <w:r>
        <w:rPr>
          <w:rFonts w:ascii="Arial" w:hAnsi="Arial" w:cs="Arial"/>
          <w:bCs/>
          <w:sz w:val="22"/>
          <w:szCs w:val="22"/>
          <w:lang w:val="fr-FR"/>
        </w:rPr>
        <w:noBreakHyphen/>
        <w:t>P</w:t>
      </w:r>
      <w:r w:rsidRPr="00F85319">
        <w:rPr>
          <w:rFonts w:ascii="Arial" w:hAnsi="Arial" w:cs="Arial"/>
          <w:bCs/>
          <w:sz w:val="22"/>
          <w:szCs w:val="22"/>
          <w:lang w:val="fr-FR"/>
        </w:rPr>
        <w:t>résident</w:t>
      </w:r>
      <w:r>
        <w:rPr>
          <w:rFonts w:ascii="Arial" w:hAnsi="Arial" w:cs="Arial"/>
          <w:bCs/>
          <w:sz w:val="22"/>
          <w:szCs w:val="22"/>
          <w:lang w:val="fr-FR"/>
        </w:rPr>
        <w:t>(e)</w:t>
      </w:r>
      <w:r w:rsidRPr="00F85319">
        <w:rPr>
          <w:rFonts w:ascii="Arial" w:hAnsi="Arial" w:cs="Arial"/>
          <w:bCs/>
          <w:sz w:val="22"/>
          <w:szCs w:val="22"/>
          <w:lang w:val="fr-FR"/>
        </w:rPr>
        <w:t xml:space="preserve">s de </w:t>
      </w:r>
      <w:r>
        <w:rPr>
          <w:rFonts w:ascii="Arial" w:hAnsi="Arial" w:cs="Arial"/>
          <w:bCs/>
          <w:sz w:val="22"/>
          <w:szCs w:val="22"/>
          <w:lang w:val="fr-FR"/>
        </w:rPr>
        <w:t xml:space="preserve">la </w:t>
      </w:r>
      <w:r w:rsidRPr="00F85319">
        <w:rPr>
          <w:rFonts w:ascii="Arial" w:hAnsi="Arial" w:cs="Arial"/>
          <w:bCs/>
          <w:sz w:val="22"/>
          <w:szCs w:val="22"/>
          <w:lang w:val="fr-FR"/>
        </w:rPr>
        <w:t>Côte d</w:t>
      </w:r>
      <w:r w:rsidR="008E532B">
        <w:rPr>
          <w:rFonts w:ascii="Arial" w:hAnsi="Arial" w:cs="Arial"/>
          <w:bCs/>
          <w:sz w:val="22"/>
          <w:szCs w:val="22"/>
          <w:lang w:val="fr-FR"/>
        </w:rPr>
        <w:t>’</w:t>
      </w:r>
      <w:r w:rsidRPr="00F85319">
        <w:rPr>
          <w:rFonts w:ascii="Arial" w:hAnsi="Arial" w:cs="Arial"/>
          <w:bCs/>
          <w:sz w:val="22"/>
          <w:szCs w:val="22"/>
          <w:lang w:val="fr-FR"/>
        </w:rPr>
        <w:t>Ivoire, d</w:t>
      </w:r>
      <w:r>
        <w:rPr>
          <w:rFonts w:ascii="Arial" w:hAnsi="Arial" w:cs="Arial"/>
          <w:bCs/>
          <w:sz w:val="22"/>
          <w:szCs w:val="22"/>
          <w:lang w:val="fr-FR"/>
        </w:rPr>
        <w:t>e l</w:t>
      </w:r>
      <w:r w:rsidR="008E532B">
        <w:rPr>
          <w:rFonts w:ascii="Arial" w:hAnsi="Arial" w:cs="Arial"/>
          <w:bCs/>
          <w:sz w:val="22"/>
          <w:szCs w:val="22"/>
          <w:lang w:val="fr-FR"/>
        </w:rPr>
        <w:t>’</w:t>
      </w:r>
      <w:r w:rsidRPr="00F85319">
        <w:rPr>
          <w:rFonts w:ascii="Arial" w:hAnsi="Arial" w:cs="Arial"/>
          <w:bCs/>
          <w:sz w:val="22"/>
          <w:szCs w:val="22"/>
          <w:lang w:val="fr-FR"/>
        </w:rPr>
        <w:t xml:space="preserve">Allemagne, du Koweït, de </w:t>
      </w:r>
      <w:r>
        <w:rPr>
          <w:rFonts w:ascii="Arial" w:hAnsi="Arial" w:cs="Arial"/>
          <w:bCs/>
          <w:sz w:val="22"/>
          <w:szCs w:val="22"/>
          <w:lang w:val="fr-FR"/>
        </w:rPr>
        <w:t xml:space="preserve">la </w:t>
      </w:r>
      <w:r w:rsidRPr="00F85319">
        <w:rPr>
          <w:rFonts w:ascii="Arial" w:hAnsi="Arial" w:cs="Arial"/>
          <w:bCs/>
          <w:sz w:val="22"/>
          <w:szCs w:val="22"/>
          <w:lang w:val="fr-FR"/>
        </w:rPr>
        <w:t>Pologne et du Pérou pour leur grande aide. Résumant les étapes du processus, M.</w:t>
      </w:r>
      <w:r>
        <w:rPr>
          <w:rFonts w:ascii="Arial" w:hAnsi="Arial" w:cs="Arial"/>
          <w:bCs/>
          <w:sz w:val="22"/>
          <w:szCs w:val="22"/>
          <w:lang w:val="fr-FR"/>
        </w:rPr>
        <w:t> </w:t>
      </w:r>
      <w:proofErr w:type="spellStart"/>
      <w:r w:rsidRPr="00F85319">
        <w:rPr>
          <w:rFonts w:ascii="Arial" w:hAnsi="Arial" w:cs="Arial"/>
          <w:bCs/>
          <w:sz w:val="22"/>
          <w:szCs w:val="22"/>
          <w:lang w:val="fr-FR"/>
        </w:rPr>
        <w:t>Oike</w:t>
      </w:r>
      <w:proofErr w:type="spellEnd"/>
      <w:r w:rsidRPr="00F85319">
        <w:rPr>
          <w:rFonts w:ascii="Arial" w:hAnsi="Arial" w:cs="Arial"/>
          <w:bCs/>
          <w:sz w:val="22"/>
          <w:szCs w:val="22"/>
          <w:lang w:val="fr-FR"/>
        </w:rPr>
        <w:t xml:space="preserve"> a rappelé que la consultation des experts </w:t>
      </w:r>
      <w:r>
        <w:rPr>
          <w:rFonts w:ascii="Arial" w:hAnsi="Arial" w:cs="Arial"/>
          <w:bCs/>
          <w:sz w:val="22"/>
          <w:szCs w:val="22"/>
          <w:lang w:val="fr-FR"/>
        </w:rPr>
        <w:t>(sous la forme d</w:t>
      </w:r>
      <w:r w:rsidR="008E532B">
        <w:rPr>
          <w:rFonts w:ascii="Arial" w:hAnsi="Arial" w:cs="Arial"/>
          <w:bCs/>
          <w:sz w:val="22"/>
          <w:szCs w:val="22"/>
          <w:lang w:val="fr-FR"/>
        </w:rPr>
        <w:t>’</w:t>
      </w:r>
      <w:r w:rsidRPr="00F85319">
        <w:rPr>
          <w:rFonts w:ascii="Arial" w:hAnsi="Arial" w:cs="Arial"/>
          <w:bCs/>
          <w:sz w:val="22"/>
          <w:szCs w:val="22"/>
          <w:lang w:val="fr-FR"/>
        </w:rPr>
        <w:t xml:space="preserve">une enquête et </w:t>
      </w:r>
      <w:r>
        <w:rPr>
          <w:rFonts w:ascii="Arial" w:hAnsi="Arial" w:cs="Arial"/>
          <w:bCs/>
          <w:sz w:val="22"/>
          <w:szCs w:val="22"/>
          <w:lang w:val="fr-FR"/>
        </w:rPr>
        <w:t>d</w:t>
      </w:r>
      <w:r w:rsidR="008E532B">
        <w:rPr>
          <w:rFonts w:ascii="Arial" w:hAnsi="Arial" w:cs="Arial"/>
          <w:bCs/>
          <w:sz w:val="22"/>
          <w:szCs w:val="22"/>
          <w:lang w:val="fr-FR"/>
        </w:rPr>
        <w:t>’</w:t>
      </w:r>
      <w:r w:rsidRPr="00F85319">
        <w:rPr>
          <w:rFonts w:ascii="Arial" w:hAnsi="Arial" w:cs="Arial"/>
          <w:bCs/>
          <w:sz w:val="22"/>
          <w:szCs w:val="22"/>
          <w:lang w:val="fr-FR"/>
        </w:rPr>
        <w:t>une réunion en ligne de catégorie VI) entre mars et mai</w:t>
      </w:r>
      <w:r>
        <w:rPr>
          <w:rFonts w:ascii="Arial" w:hAnsi="Arial" w:cs="Arial"/>
          <w:bCs/>
          <w:sz w:val="22"/>
          <w:szCs w:val="22"/>
          <w:lang w:val="fr-FR"/>
        </w:rPr>
        <w:t> </w:t>
      </w:r>
      <w:r w:rsidRPr="00F85319">
        <w:rPr>
          <w:rFonts w:ascii="Arial" w:hAnsi="Arial" w:cs="Arial"/>
          <w:bCs/>
          <w:sz w:val="22"/>
          <w:szCs w:val="22"/>
          <w:lang w:val="fr-FR"/>
        </w:rPr>
        <w:t>2021 avait jeté les bases d</w:t>
      </w:r>
      <w:r>
        <w:rPr>
          <w:rFonts w:ascii="Arial" w:hAnsi="Arial" w:cs="Arial"/>
          <w:bCs/>
          <w:sz w:val="22"/>
          <w:szCs w:val="22"/>
          <w:lang w:val="fr-FR"/>
        </w:rPr>
        <w:t>es travaux</w:t>
      </w:r>
      <w:r w:rsidRPr="00F85319">
        <w:rPr>
          <w:rFonts w:ascii="Arial" w:hAnsi="Arial" w:cs="Arial"/>
          <w:bCs/>
          <w:sz w:val="22"/>
          <w:szCs w:val="22"/>
          <w:lang w:val="fr-FR"/>
        </w:rPr>
        <w:t xml:space="preserve"> du groupe de travail. Les experts </w:t>
      </w:r>
      <w:r>
        <w:rPr>
          <w:rFonts w:ascii="Arial" w:hAnsi="Arial" w:cs="Arial"/>
          <w:bCs/>
          <w:sz w:val="22"/>
          <w:szCs w:val="22"/>
          <w:lang w:val="fr-FR"/>
        </w:rPr>
        <w:t>avaient</w:t>
      </w:r>
      <w:r w:rsidRPr="00F85319">
        <w:rPr>
          <w:rFonts w:ascii="Arial" w:hAnsi="Arial" w:cs="Arial"/>
          <w:bCs/>
          <w:sz w:val="22"/>
          <w:szCs w:val="22"/>
          <w:lang w:val="fr-FR"/>
        </w:rPr>
        <w:t xml:space="preserve"> initialement proposé quatre approches principales pour la réforme des mécanismes d</w:t>
      </w:r>
      <w:r w:rsidR="008E532B">
        <w:rPr>
          <w:rFonts w:ascii="Arial" w:hAnsi="Arial" w:cs="Arial"/>
          <w:bCs/>
          <w:sz w:val="22"/>
          <w:szCs w:val="22"/>
          <w:lang w:val="fr-FR"/>
        </w:rPr>
        <w:t>’</w:t>
      </w:r>
      <w:r w:rsidRPr="00F85319">
        <w:rPr>
          <w:rFonts w:ascii="Arial" w:hAnsi="Arial" w:cs="Arial"/>
          <w:bCs/>
          <w:sz w:val="22"/>
          <w:szCs w:val="22"/>
          <w:lang w:val="fr-FR"/>
        </w:rPr>
        <w:t>inscription. Les quatre suggestions étaient les suivantes</w:t>
      </w:r>
      <w:r>
        <w:rPr>
          <w:rFonts w:ascii="Arial" w:hAnsi="Arial" w:cs="Arial"/>
          <w:bCs/>
          <w:sz w:val="22"/>
          <w:szCs w:val="22"/>
          <w:lang w:val="fr-FR"/>
        </w:rPr>
        <w:t> </w:t>
      </w:r>
      <w:r w:rsidRPr="00F85319">
        <w:rPr>
          <w:rFonts w:ascii="Arial" w:hAnsi="Arial" w:cs="Arial"/>
          <w:bCs/>
          <w:sz w:val="22"/>
          <w:szCs w:val="22"/>
          <w:lang w:val="fr-FR"/>
        </w:rPr>
        <w:t>: a)</w:t>
      </w:r>
      <w:r>
        <w:rPr>
          <w:rFonts w:ascii="Arial" w:hAnsi="Arial" w:cs="Arial"/>
          <w:bCs/>
          <w:sz w:val="22"/>
          <w:szCs w:val="22"/>
          <w:lang w:val="fr-FR"/>
        </w:rPr>
        <w:t> </w:t>
      </w:r>
      <w:r w:rsidRPr="00F85319">
        <w:rPr>
          <w:rFonts w:ascii="Arial" w:hAnsi="Arial" w:cs="Arial"/>
          <w:bCs/>
          <w:sz w:val="22"/>
          <w:szCs w:val="22"/>
          <w:lang w:val="fr-FR"/>
        </w:rPr>
        <w:t>un contrôle plus strict</w:t>
      </w:r>
      <w:r>
        <w:rPr>
          <w:rFonts w:ascii="Arial" w:hAnsi="Arial" w:cs="Arial"/>
          <w:bCs/>
          <w:sz w:val="22"/>
          <w:szCs w:val="22"/>
          <w:lang w:val="fr-FR"/>
        </w:rPr>
        <w:t> </w:t>
      </w:r>
      <w:r w:rsidRPr="00F85319">
        <w:rPr>
          <w:rFonts w:ascii="Arial" w:hAnsi="Arial" w:cs="Arial"/>
          <w:bCs/>
          <w:sz w:val="22"/>
          <w:szCs w:val="22"/>
          <w:lang w:val="fr-FR"/>
        </w:rPr>
        <w:t>; b)</w:t>
      </w:r>
      <w:r>
        <w:rPr>
          <w:rFonts w:ascii="Arial" w:hAnsi="Arial" w:cs="Arial"/>
          <w:bCs/>
          <w:sz w:val="22"/>
          <w:szCs w:val="22"/>
          <w:lang w:val="fr-FR"/>
        </w:rPr>
        <w:t> </w:t>
      </w:r>
      <w:r w:rsidRPr="00F85319">
        <w:rPr>
          <w:rFonts w:ascii="Arial" w:hAnsi="Arial" w:cs="Arial"/>
          <w:bCs/>
          <w:sz w:val="22"/>
          <w:szCs w:val="22"/>
          <w:lang w:val="fr-FR"/>
        </w:rPr>
        <w:t xml:space="preserve">un </w:t>
      </w:r>
      <w:r>
        <w:rPr>
          <w:rFonts w:ascii="Arial" w:hAnsi="Arial" w:cs="Arial"/>
          <w:bCs/>
          <w:sz w:val="22"/>
          <w:szCs w:val="22"/>
          <w:lang w:val="fr-FR"/>
        </w:rPr>
        <w:t>ajustement </w:t>
      </w:r>
      <w:r w:rsidRPr="00F85319">
        <w:rPr>
          <w:rFonts w:ascii="Arial" w:hAnsi="Arial" w:cs="Arial"/>
          <w:bCs/>
          <w:sz w:val="22"/>
          <w:szCs w:val="22"/>
          <w:lang w:val="fr-FR"/>
        </w:rPr>
        <w:t>; c)</w:t>
      </w:r>
      <w:r>
        <w:rPr>
          <w:rFonts w:ascii="Arial" w:hAnsi="Arial" w:cs="Arial"/>
          <w:bCs/>
          <w:sz w:val="22"/>
          <w:szCs w:val="22"/>
          <w:lang w:val="fr-FR"/>
        </w:rPr>
        <w:t> </w:t>
      </w:r>
      <w:r w:rsidRPr="00F85319">
        <w:rPr>
          <w:rFonts w:ascii="Arial" w:hAnsi="Arial" w:cs="Arial"/>
          <w:bCs/>
          <w:sz w:val="22"/>
          <w:szCs w:val="22"/>
          <w:lang w:val="fr-FR"/>
        </w:rPr>
        <w:t>un repositionnement</w:t>
      </w:r>
      <w:r>
        <w:rPr>
          <w:rFonts w:ascii="Arial" w:hAnsi="Arial" w:cs="Arial"/>
          <w:bCs/>
          <w:sz w:val="22"/>
          <w:szCs w:val="22"/>
          <w:lang w:val="fr-FR"/>
        </w:rPr>
        <w:t> </w:t>
      </w:r>
      <w:r w:rsidRPr="00F85319">
        <w:rPr>
          <w:rFonts w:ascii="Arial" w:hAnsi="Arial" w:cs="Arial"/>
          <w:bCs/>
          <w:sz w:val="22"/>
          <w:szCs w:val="22"/>
          <w:lang w:val="fr-FR"/>
        </w:rPr>
        <w:t>; et d)</w:t>
      </w:r>
      <w:r>
        <w:rPr>
          <w:rFonts w:ascii="Arial" w:hAnsi="Arial" w:cs="Arial"/>
          <w:bCs/>
          <w:sz w:val="22"/>
          <w:szCs w:val="22"/>
          <w:lang w:val="fr-FR"/>
        </w:rPr>
        <w:t> </w:t>
      </w:r>
      <w:r w:rsidRPr="00F85319">
        <w:rPr>
          <w:rFonts w:ascii="Arial" w:hAnsi="Arial" w:cs="Arial"/>
          <w:bCs/>
          <w:sz w:val="22"/>
          <w:szCs w:val="22"/>
          <w:lang w:val="fr-FR"/>
        </w:rPr>
        <w:t xml:space="preserve">une inclusivité maximale. </w:t>
      </w:r>
      <w:proofErr w:type="gramStart"/>
      <w:r w:rsidRPr="00F85319">
        <w:rPr>
          <w:rFonts w:ascii="Arial" w:hAnsi="Arial" w:cs="Arial"/>
          <w:bCs/>
          <w:sz w:val="22"/>
          <w:szCs w:val="22"/>
          <w:lang w:val="fr-FR"/>
        </w:rPr>
        <w:t>Au final</w:t>
      </w:r>
      <w:proofErr w:type="gramEnd"/>
      <w:r w:rsidRPr="00F85319">
        <w:rPr>
          <w:rFonts w:ascii="Arial" w:hAnsi="Arial" w:cs="Arial"/>
          <w:bCs/>
          <w:sz w:val="22"/>
          <w:szCs w:val="22"/>
          <w:lang w:val="fr-FR"/>
        </w:rPr>
        <w:t xml:space="preserve">, les experts </w:t>
      </w:r>
      <w:r>
        <w:rPr>
          <w:rFonts w:ascii="Arial" w:hAnsi="Arial" w:cs="Arial"/>
          <w:bCs/>
          <w:sz w:val="22"/>
          <w:szCs w:val="22"/>
          <w:lang w:val="fr-FR"/>
        </w:rPr>
        <w:t>avaient</w:t>
      </w:r>
      <w:r w:rsidRPr="00F85319">
        <w:rPr>
          <w:rFonts w:ascii="Arial" w:hAnsi="Arial" w:cs="Arial"/>
          <w:bCs/>
          <w:sz w:val="22"/>
          <w:szCs w:val="22"/>
          <w:lang w:val="fr-FR"/>
        </w:rPr>
        <w:t xml:space="preserve"> choisi deux de ces approches à présenter au groupe de travail, à savoir b)</w:t>
      </w:r>
      <w:r>
        <w:rPr>
          <w:rFonts w:ascii="Arial" w:hAnsi="Arial" w:cs="Arial"/>
          <w:bCs/>
          <w:sz w:val="22"/>
          <w:szCs w:val="22"/>
          <w:lang w:val="fr-FR"/>
        </w:rPr>
        <w:t> un ajustement</w:t>
      </w:r>
      <w:r w:rsidRPr="00F85319">
        <w:rPr>
          <w:rFonts w:ascii="Arial" w:hAnsi="Arial" w:cs="Arial"/>
          <w:bCs/>
          <w:sz w:val="22"/>
          <w:szCs w:val="22"/>
          <w:lang w:val="fr-FR"/>
        </w:rPr>
        <w:t xml:space="preserve"> et c)</w:t>
      </w:r>
      <w:r>
        <w:rPr>
          <w:rFonts w:ascii="Arial" w:hAnsi="Arial" w:cs="Arial"/>
          <w:bCs/>
          <w:sz w:val="22"/>
          <w:szCs w:val="22"/>
          <w:lang w:val="fr-FR"/>
        </w:rPr>
        <w:t> un</w:t>
      </w:r>
      <w:r w:rsidRPr="00F85319">
        <w:rPr>
          <w:rFonts w:ascii="Arial" w:hAnsi="Arial" w:cs="Arial"/>
          <w:bCs/>
          <w:sz w:val="22"/>
          <w:szCs w:val="22"/>
          <w:lang w:val="fr-FR"/>
        </w:rPr>
        <w:t xml:space="preserve"> repositionnement. Il </w:t>
      </w:r>
      <w:r>
        <w:rPr>
          <w:rFonts w:ascii="Arial" w:hAnsi="Arial" w:cs="Arial"/>
          <w:bCs/>
          <w:sz w:val="22"/>
          <w:szCs w:val="22"/>
          <w:lang w:val="fr-FR"/>
        </w:rPr>
        <w:t>était</w:t>
      </w:r>
      <w:r w:rsidRPr="00F85319">
        <w:rPr>
          <w:rFonts w:ascii="Arial" w:hAnsi="Arial" w:cs="Arial"/>
          <w:bCs/>
          <w:sz w:val="22"/>
          <w:szCs w:val="22"/>
          <w:lang w:val="fr-FR"/>
        </w:rPr>
        <w:t xml:space="preserve"> intéressant de noter que les consultations </w:t>
      </w:r>
      <w:r>
        <w:rPr>
          <w:rFonts w:ascii="Arial" w:hAnsi="Arial" w:cs="Arial"/>
          <w:bCs/>
          <w:sz w:val="22"/>
          <w:szCs w:val="22"/>
          <w:lang w:val="fr-FR"/>
        </w:rPr>
        <w:t xml:space="preserve">avaient </w:t>
      </w:r>
      <w:r w:rsidRPr="00F85319">
        <w:rPr>
          <w:rFonts w:ascii="Arial" w:hAnsi="Arial" w:cs="Arial"/>
          <w:bCs/>
          <w:sz w:val="22"/>
          <w:szCs w:val="22"/>
          <w:lang w:val="fr-FR"/>
        </w:rPr>
        <w:t>montré que les experts étaient également partagés dans leurs recommandations de ces deux approches</w:t>
      </w:r>
      <w:r>
        <w:rPr>
          <w:rFonts w:ascii="Arial" w:hAnsi="Arial" w:cs="Arial"/>
          <w:bCs/>
          <w:sz w:val="22"/>
          <w:szCs w:val="22"/>
          <w:lang w:val="fr-FR"/>
        </w:rPr>
        <w:t xml:space="preserve"> très larges</w:t>
      </w:r>
      <w:r w:rsidRPr="00F85319">
        <w:rPr>
          <w:rFonts w:ascii="Arial" w:hAnsi="Arial" w:cs="Arial"/>
          <w:bCs/>
          <w:sz w:val="22"/>
          <w:szCs w:val="22"/>
          <w:lang w:val="fr-FR"/>
        </w:rPr>
        <w:t>. Compte tenu de la nature étendue des recommandations obtenues lors de la réunion des experts et de leurs implications potentiellement importantes, la réunion du groupe de travail à composition non limitée a</w:t>
      </w:r>
      <w:r>
        <w:rPr>
          <w:rFonts w:ascii="Arial" w:hAnsi="Arial" w:cs="Arial"/>
          <w:bCs/>
          <w:sz w:val="22"/>
          <w:szCs w:val="22"/>
          <w:lang w:val="fr-FR"/>
        </w:rPr>
        <w:t>vait</w:t>
      </w:r>
      <w:r w:rsidRPr="00F85319">
        <w:rPr>
          <w:rFonts w:ascii="Arial" w:hAnsi="Arial" w:cs="Arial"/>
          <w:bCs/>
          <w:sz w:val="22"/>
          <w:szCs w:val="22"/>
          <w:lang w:val="fr-FR"/>
        </w:rPr>
        <w:t xml:space="preserve"> été organisée en deux parties : la première au début du mois de juillet</w:t>
      </w:r>
      <w:r>
        <w:rPr>
          <w:rFonts w:ascii="Arial" w:hAnsi="Arial" w:cs="Arial"/>
          <w:bCs/>
          <w:sz w:val="22"/>
          <w:szCs w:val="22"/>
          <w:lang w:val="fr-FR"/>
        </w:rPr>
        <w:t> </w:t>
      </w:r>
      <w:r w:rsidRPr="00F85319">
        <w:rPr>
          <w:rFonts w:ascii="Arial" w:hAnsi="Arial" w:cs="Arial"/>
          <w:bCs/>
          <w:sz w:val="22"/>
          <w:szCs w:val="22"/>
          <w:lang w:val="fr-FR"/>
        </w:rPr>
        <w:t>2021 (partie I), et une réunion supplémentaire au début du mois de septembre</w:t>
      </w:r>
      <w:r>
        <w:rPr>
          <w:rFonts w:ascii="Arial" w:hAnsi="Arial" w:cs="Arial"/>
          <w:bCs/>
          <w:sz w:val="22"/>
          <w:szCs w:val="22"/>
          <w:lang w:val="fr-FR"/>
        </w:rPr>
        <w:t> </w:t>
      </w:r>
      <w:r w:rsidRPr="00F85319">
        <w:rPr>
          <w:rFonts w:ascii="Arial" w:hAnsi="Arial" w:cs="Arial"/>
          <w:bCs/>
          <w:sz w:val="22"/>
          <w:szCs w:val="22"/>
          <w:lang w:val="fr-FR"/>
        </w:rPr>
        <w:t xml:space="preserve">2021 (partie II). Les parties I et II </w:t>
      </w:r>
      <w:r>
        <w:rPr>
          <w:rFonts w:ascii="Arial" w:hAnsi="Arial" w:cs="Arial"/>
          <w:bCs/>
          <w:sz w:val="22"/>
          <w:szCs w:val="22"/>
          <w:lang w:val="fr-FR"/>
        </w:rPr>
        <w:t>avaient</w:t>
      </w:r>
      <w:r w:rsidRPr="00F85319">
        <w:rPr>
          <w:rFonts w:ascii="Arial" w:hAnsi="Arial" w:cs="Arial"/>
          <w:bCs/>
          <w:sz w:val="22"/>
          <w:szCs w:val="22"/>
          <w:lang w:val="fr-FR"/>
        </w:rPr>
        <w:t xml:space="preserve"> abordé avec succès les sujets prioritaires de la réflexion, comme demandé précédemment par le Comité, [qui comprenaient les critères, en particulier </w:t>
      </w:r>
      <w:r>
        <w:rPr>
          <w:rFonts w:ascii="Arial" w:hAnsi="Arial" w:cs="Arial"/>
          <w:bCs/>
          <w:sz w:val="22"/>
          <w:szCs w:val="22"/>
          <w:lang w:val="fr-FR"/>
        </w:rPr>
        <w:t xml:space="preserve">le critère </w:t>
      </w:r>
      <w:r w:rsidRPr="00F85319">
        <w:rPr>
          <w:rFonts w:ascii="Arial" w:hAnsi="Arial" w:cs="Arial"/>
          <w:bCs/>
          <w:sz w:val="22"/>
          <w:szCs w:val="22"/>
          <w:lang w:val="fr-FR"/>
        </w:rPr>
        <w:t>R.2</w:t>
      </w:r>
      <w:r>
        <w:rPr>
          <w:rStyle w:val="FootnoteReference"/>
          <w:rFonts w:ascii="Arial" w:hAnsi="Arial" w:cs="Arial"/>
          <w:bCs/>
          <w:sz w:val="22"/>
          <w:szCs w:val="22"/>
          <w:lang w:val="fr-FR"/>
        </w:rPr>
        <w:footnoteReference w:id="36"/>
      </w:r>
      <w:r w:rsidRPr="00F85319">
        <w:rPr>
          <w:rFonts w:ascii="Arial" w:hAnsi="Arial" w:cs="Arial"/>
          <w:bCs/>
          <w:sz w:val="22"/>
          <w:szCs w:val="22"/>
          <w:lang w:val="fr-FR"/>
        </w:rPr>
        <w:t xml:space="preserve">, les procédures spécifiques pour </w:t>
      </w:r>
      <w:r>
        <w:rPr>
          <w:rFonts w:ascii="Arial" w:hAnsi="Arial" w:cs="Arial"/>
          <w:bCs/>
          <w:sz w:val="22"/>
          <w:szCs w:val="22"/>
          <w:lang w:val="fr-FR"/>
        </w:rPr>
        <w:t>le retrait d</w:t>
      </w:r>
      <w:r w:rsidR="008E532B">
        <w:rPr>
          <w:rFonts w:ascii="Arial" w:hAnsi="Arial" w:cs="Arial"/>
          <w:bCs/>
          <w:sz w:val="22"/>
          <w:szCs w:val="22"/>
          <w:lang w:val="fr-FR"/>
        </w:rPr>
        <w:t>’</w:t>
      </w:r>
      <w:r>
        <w:rPr>
          <w:rFonts w:ascii="Arial" w:hAnsi="Arial" w:cs="Arial"/>
          <w:bCs/>
          <w:sz w:val="22"/>
          <w:szCs w:val="22"/>
          <w:lang w:val="fr-FR"/>
        </w:rPr>
        <w:t>éléments d</w:t>
      </w:r>
      <w:r w:rsidR="008E532B">
        <w:rPr>
          <w:rFonts w:ascii="Arial" w:hAnsi="Arial" w:cs="Arial"/>
          <w:bCs/>
          <w:sz w:val="22"/>
          <w:szCs w:val="22"/>
          <w:lang w:val="fr-FR"/>
        </w:rPr>
        <w:t>’</w:t>
      </w:r>
      <w:r>
        <w:rPr>
          <w:rFonts w:ascii="Arial" w:hAnsi="Arial" w:cs="Arial"/>
          <w:bCs/>
          <w:sz w:val="22"/>
          <w:szCs w:val="22"/>
          <w:lang w:val="fr-FR"/>
        </w:rPr>
        <w:t xml:space="preserve">une liste ou leur </w:t>
      </w:r>
      <w:r w:rsidRPr="00F85319">
        <w:rPr>
          <w:rFonts w:ascii="Arial" w:hAnsi="Arial" w:cs="Arial"/>
          <w:bCs/>
          <w:sz w:val="22"/>
          <w:szCs w:val="22"/>
          <w:lang w:val="fr-FR"/>
        </w:rPr>
        <w:t>transf</w:t>
      </w:r>
      <w:r>
        <w:rPr>
          <w:rFonts w:ascii="Arial" w:hAnsi="Arial" w:cs="Arial"/>
          <w:bCs/>
          <w:sz w:val="22"/>
          <w:szCs w:val="22"/>
          <w:lang w:val="fr-FR"/>
        </w:rPr>
        <w:t>ert d</w:t>
      </w:r>
      <w:r w:rsidR="008E532B">
        <w:rPr>
          <w:rFonts w:ascii="Arial" w:hAnsi="Arial" w:cs="Arial"/>
          <w:bCs/>
          <w:sz w:val="22"/>
          <w:szCs w:val="22"/>
          <w:lang w:val="fr-FR"/>
        </w:rPr>
        <w:t>’</w:t>
      </w:r>
      <w:r>
        <w:rPr>
          <w:rFonts w:ascii="Arial" w:hAnsi="Arial" w:cs="Arial"/>
          <w:bCs/>
          <w:sz w:val="22"/>
          <w:szCs w:val="22"/>
          <w:lang w:val="fr-FR"/>
        </w:rPr>
        <w:t>une liste à l</w:t>
      </w:r>
      <w:r w:rsidR="008E532B">
        <w:rPr>
          <w:rFonts w:ascii="Arial" w:hAnsi="Arial" w:cs="Arial"/>
          <w:bCs/>
          <w:sz w:val="22"/>
          <w:szCs w:val="22"/>
          <w:lang w:val="fr-FR"/>
        </w:rPr>
        <w:t>’</w:t>
      </w:r>
      <w:r>
        <w:rPr>
          <w:rFonts w:ascii="Arial" w:hAnsi="Arial" w:cs="Arial"/>
          <w:bCs/>
          <w:sz w:val="22"/>
          <w:szCs w:val="22"/>
          <w:lang w:val="fr-FR"/>
        </w:rPr>
        <w:t>autre</w:t>
      </w:r>
      <w:r w:rsidRPr="00F85319">
        <w:rPr>
          <w:rFonts w:ascii="Arial" w:hAnsi="Arial" w:cs="Arial"/>
          <w:bCs/>
          <w:sz w:val="22"/>
          <w:szCs w:val="22"/>
          <w:lang w:val="fr-FR"/>
        </w:rPr>
        <w:t>, et l</w:t>
      </w:r>
      <w:r w:rsidR="008E532B">
        <w:rPr>
          <w:rFonts w:ascii="Arial" w:hAnsi="Arial" w:cs="Arial"/>
          <w:bCs/>
          <w:sz w:val="22"/>
          <w:szCs w:val="22"/>
          <w:lang w:val="fr-FR"/>
        </w:rPr>
        <w:t>’</w:t>
      </w:r>
      <w:r w:rsidRPr="00F85319">
        <w:rPr>
          <w:rFonts w:ascii="Arial" w:hAnsi="Arial" w:cs="Arial"/>
          <w:bCs/>
          <w:sz w:val="22"/>
          <w:szCs w:val="22"/>
          <w:lang w:val="fr-FR"/>
        </w:rPr>
        <w:t>extension des candidatures multinationales].</w:t>
      </w:r>
    </w:p>
    <w:p w14:paraId="2EF0C24E" w14:textId="3E81A528" w:rsidR="00D9653F" w:rsidRPr="00E5407A"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5407A">
        <w:rPr>
          <w:rFonts w:ascii="Arial" w:hAnsi="Arial" w:cs="Arial"/>
          <w:bCs/>
          <w:sz w:val="22"/>
          <w:szCs w:val="22"/>
          <w:lang w:val="fr-FR"/>
        </w:rPr>
        <w:t>L</w:t>
      </w:r>
      <w:r>
        <w:rPr>
          <w:rFonts w:ascii="Arial" w:hAnsi="Arial" w:cs="Arial"/>
          <w:bCs/>
          <w:sz w:val="22"/>
          <w:szCs w:val="22"/>
          <w:lang w:val="fr-FR"/>
        </w:rPr>
        <w:t>e</w:t>
      </w:r>
      <w:r w:rsidRPr="00E5407A">
        <w:rPr>
          <w:rFonts w:ascii="Arial" w:hAnsi="Arial" w:cs="Arial"/>
          <w:bCs/>
          <w:sz w:val="22"/>
          <w:szCs w:val="22"/>
          <w:lang w:val="fr-FR"/>
        </w:rPr>
        <w:t xml:space="preserve"> </w:t>
      </w:r>
      <w:r w:rsidRPr="00E5407A">
        <w:rPr>
          <w:rFonts w:ascii="Arial" w:hAnsi="Arial" w:cs="Arial"/>
          <w:b/>
          <w:sz w:val="22"/>
          <w:szCs w:val="22"/>
          <w:lang w:val="fr-FR"/>
        </w:rPr>
        <w:t>Président du groupe de travail à composition non limitée</w:t>
      </w:r>
      <w:r w:rsidRPr="00E5407A">
        <w:rPr>
          <w:rFonts w:ascii="Arial" w:hAnsi="Arial" w:cs="Arial"/>
          <w:bCs/>
          <w:sz w:val="22"/>
          <w:szCs w:val="22"/>
          <w:lang w:val="fr-FR"/>
        </w:rPr>
        <w:t xml:space="preserve"> a indiqué que la recommandation du groupe de travail sur le premier sujet relatif aux </w:t>
      </w:r>
      <w:r w:rsidRPr="00E5407A">
        <w:rPr>
          <w:rFonts w:ascii="Arial" w:hAnsi="Arial" w:cs="Arial"/>
          <w:bCs/>
          <w:sz w:val="22"/>
          <w:szCs w:val="22"/>
          <w:u w:val="single"/>
          <w:lang w:val="fr-FR"/>
        </w:rPr>
        <w:t>critères</w:t>
      </w:r>
      <w:r w:rsidRPr="00E5407A">
        <w:rPr>
          <w:rFonts w:ascii="Arial" w:hAnsi="Arial" w:cs="Arial"/>
          <w:bCs/>
          <w:sz w:val="22"/>
          <w:szCs w:val="22"/>
          <w:lang w:val="fr-FR"/>
        </w:rPr>
        <w:t xml:space="preserve"> était de maintenir tous les critères pour la Liste représentative et la Liste de sauvegarde urgente. Le critère R.2 a</w:t>
      </w:r>
      <w:r>
        <w:rPr>
          <w:rFonts w:ascii="Arial" w:hAnsi="Arial" w:cs="Arial"/>
          <w:bCs/>
          <w:sz w:val="22"/>
          <w:szCs w:val="22"/>
          <w:lang w:val="fr-FR"/>
        </w:rPr>
        <w:t>vait</w:t>
      </w:r>
      <w:r w:rsidRPr="00E5407A">
        <w:rPr>
          <w:rFonts w:ascii="Arial" w:hAnsi="Arial" w:cs="Arial"/>
          <w:bCs/>
          <w:sz w:val="22"/>
          <w:szCs w:val="22"/>
          <w:lang w:val="fr-FR"/>
        </w:rPr>
        <w:t xml:space="preserve"> fait l</w:t>
      </w:r>
      <w:r w:rsidR="008E532B">
        <w:rPr>
          <w:rFonts w:ascii="Arial" w:hAnsi="Arial" w:cs="Arial"/>
          <w:bCs/>
          <w:sz w:val="22"/>
          <w:szCs w:val="22"/>
          <w:lang w:val="fr-FR"/>
        </w:rPr>
        <w:t>’</w:t>
      </w:r>
      <w:r w:rsidRPr="00E5407A">
        <w:rPr>
          <w:rFonts w:ascii="Arial" w:hAnsi="Arial" w:cs="Arial"/>
          <w:bCs/>
          <w:sz w:val="22"/>
          <w:szCs w:val="22"/>
          <w:lang w:val="fr-FR"/>
        </w:rPr>
        <w:t>objet de nombreuses discussions, mais au lieu de le supprimer, le groupe de travail a</w:t>
      </w:r>
      <w:r>
        <w:rPr>
          <w:rFonts w:ascii="Arial" w:hAnsi="Arial" w:cs="Arial"/>
          <w:bCs/>
          <w:sz w:val="22"/>
          <w:szCs w:val="22"/>
          <w:lang w:val="fr-FR"/>
        </w:rPr>
        <w:t>vait</w:t>
      </w:r>
      <w:r w:rsidRPr="00E5407A">
        <w:rPr>
          <w:rFonts w:ascii="Arial" w:hAnsi="Arial" w:cs="Arial"/>
          <w:bCs/>
          <w:sz w:val="22"/>
          <w:szCs w:val="22"/>
          <w:lang w:val="fr-FR"/>
        </w:rPr>
        <w:t xml:space="preserve"> décidé d</w:t>
      </w:r>
      <w:r w:rsidR="008E532B">
        <w:rPr>
          <w:rFonts w:ascii="Arial" w:hAnsi="Arial" w:cs="Arial"/>
          <w:bCs/>
          <w:sz w:val="22"/>
          <w:szCs w:val="22"/>
          <w:lang w:val="fr-FR"/>
        </w:rPr>
        <w:t>’</w:t>
      </w:r>
      <w:r w:rsidRPr="00E5407A">
        <w:rPr>
          <w:rFonts w:ascii="Arial" w:hAnsi="Arial" w:cs="Arial"/>
          <w:bCs/>
          <w:sz w:val="22"/>
          <w:szCs w:val="22"/>
          <w:lang w:val="fr-FR"/>
        </w:rPr>
        <w:t>en modifier le contenu. Le critère P.9</w:t>
      </w:r>
      <w:r>
        <w:rPr>
          <w:rStyle w:val="FootnoteReference"/>
          <w:rFonts w:ascii="Arial" w:hAnsi="Arial" w:cs="Arial"/>
          <w:bCs/>
          <w:sz w:val="22"/>
          <w:szCs w:val="22"/>
          <w:lang w:val="fr-FR"/>
        </w:rPr>
        <w:footnoteReference w:id="37"/>
      </w:r>
      <w:r w:rsidRPr="00E5407A">
        <w:rPr>
          <w:rFonts w:ascii="Arial" w:hAnsi="Arial" w:cs="Arial"/>
          <w:bCs/>
          <w:sz w:val="22"/>
          <w:szCs w:val="22"/>
          <w:lang w:val="fr-FR"/>
        </w:rPr>
        <w:t xml:space="preserve"> du </w:t>
      </w:r>
      <w:r>
        <w:rPr>
          <w:rFonts w:ascii="Arial" w:hAnsi="Arial" w:cs="Arial"/>
          <w:bCs/>
          <w:sz w:val="22"/>
          <w:szCs w:val="22"/>
          <w:lang w:val="fr-FR"/>
        </w:rPr>
        <w:t>R</w:t>
      </w:r>
      <w:r w:rsidRPr="00E5407A">
        <w:rPr>
          <w:rFonts w:ascii="Arial" w:hAnsi="Arial" w:cs="Arial"/>
          <w:bCs/>
          <w:sz w:val="22"/>
          <w:szCs w:val="22"/>
          <w:lang w:val="fr-FR"/>
        </w:rPr>
        <w:t>egistre des bonnes pratiques de sauvegarde devait être supprimé et</w:t>
      </w:r>
      <w:r>
        <w:rPr>
          <w:rFonts w:ascii="Arial" w:hAnsi="Arial" w:cs="Arial"/>
          <w:bCs/>
          <w:sz w:val="22"/>
          <w:szCs w:val="22"/>
          <w:lang w:val="fr-FR"/>
        </w:rPr>
        <w:t>, pour chaque critère,</w:t>
      </w:r>
      <w:r w:rsidRPr="00E5407A">
        <w:rPr>
          <w:rFonts w:ascii="Arial" w:hAnsi="Arial" w:cs="Arial"/>
          <w:bCs/>
          <w:sz w:val="22"/>
          <w:szCs w:val="22"/>
          <w:lang w:val="fr-FR"/>
        </w:rPr>
        <w:t xml:space="preserve"> le formulaire de candidature</w:t>
      </w:r>
      <w:r>
        <w:rPr>
          <w:rFonts w:ascii="Arial" w:hAnsi="Arial" w:cs="Arial"/>
          <w:bCs/>
          <w:sz w:val="22"/>
          <w:szCs w:val="22"/>
          <w:lang w:val="fr-FR"/>
        </w:rPr>
        <w:t xml:space="preserve"> </w:t>
      </w:r>
      <w:r w:rsidRPr="00E5407A">
        <w:rPr>
          <w:rFonts w:ascii="Arial" w:hAnsi="Arial" w:cs="Arial"/>
          <w:bCs/>
          <w:sz w:val="22"/>
          <w:szCs w:val="22"/>
          <w:lang w:val="fr-FR"/>
        </w:rPr>
        <w:t xml:space="preserve">serait simplifié. Le deuxième sujet majeur concernait </w:t>
      </w:r>
      <w:r w:rsidRPr="00E5407A">
        <w:rPr>
          <w:rFonts w:ascii="Arial" w:hAnsi="Arial" w:cs="Arial"/>
          <w:bCs/>
          <w:sz w:val="22"/>
          <w:szCs w:val="22"/>
          <w:u w:val="single"/>
          <w:lang w:val="fr-FR"/>
        </w:rPr>
        <w:t>l</w:t>
      </w:r>
      <w:r w:rsidR="008E532B">
        <w:rPr>
          <w:rFonts w:ascii="Arial" w:hAnsi="Arial" w:cs="Arial"/>
          <w:bCs/>
          <w:sz w:val="22"/>
          <w:szCs w:val="22"/>
          <w:u w:val="single"/>
          <w:lang w:val="fr-FR"/>
        </w:rPr>
        <w:t>’</w:t>
      </w:r>
      <w:r w:rsidRPr="00E5407A">
        <w:rPr>
          <w:rFonts w:ascii="Arial" w:hAnsi="Arial" w:cs="Arial"/>
          <w:bCs/>
          <w:sz w:val="22"/>
          <w:szCs w:val="22"/>
          <w:u w:val="single"/>
          <w:lang w:val="fr-FR"/>
        </w:rPr>
        <w:t>établissement d</w:t>
      </w:r>
      <w:r w:rsidR="008E532B">
        <w:rPr>
          <w:rFonts w:ascii="Arial" w:hAnsi="Arial" w:cs="Arial"/>
          <w:bCs/>
          <w:sz w:val="22"/>
          <w:szCs w:val="22"/>
          <w:u w:val="single"/>
          <w:lang w:val="fr-FR"/>
        </w:rPr>
        <w:t>’</w:t>
      </w:r>
      <w:r w:rsidRPr="00E5407A">
        <w:rPr>
          <w:rFonts w:ascii="Arial" w:hAnsi="Arial" w:cs="Arial"/>
          <w:bCs/>
          <w:sz w:val="22"/>
          <w:szCs w:val="22"/>
          <w:u w:val="single"/>
          <w:lang w:val="fr-FR"/>
        </w:rPr>
        <w:t>une procédure spécifique pour le retrait d</w:t>
      </w:r>
      <w:r w:rsidR="008E532B">
        <w:rPr>
          <w:rFonts w:ascii="Arial" w:hAnsi="Arial" w:cs="Arial"/>
          <w:bCs/>
          <w:sz w:val="22"/>
          <w:szCs w:val="22"/>
          <w:u w:val="single"/>
          <w:lang w:val="fr-FR"/>
        </w:rPr>
        <w:t>’</w:t>
      </w:r>
      <w:r w:rsidRPr="00E5407A">
        <w:rPr>
          <w:rFonts w:ascii="Arial" w:hAnsi="Arial" w:cs="Arial"/>
          <w:bCs/>
          <w:sz w:val="22"/>
          <w:szCs w:val="22"/>
          <w:u w:val="single"/>
          <w:lang w:val="fr-FR"/>
        </w:rPr>
        <w:t>éléments d</w:t>
      </w:r>
      <w:r w:rsidR="008E532B">
        <w:rPr>
          <w:rFonts w:ascii="Arial" w:hAnsi="Arial" w:cs="Arial"/>
          <w:bCs/>
          <w:sz w:val="22"/>
          <w:szCs w:val="22"/>
          <w:u w:val="single"/>
          <w:lang w:val="fr-FR"/>
        </w:rPr>
        <w:t>’</w:t>
      </w:r>
      <w:r w:rsidRPr="00E5407A">
        <w:rPr>
          <w:rFonts w:ascii="Arial" w:hAnsi="Arial" w:cs="Arial"/>
          <w:bCs/>
          <w:sz w:val="22"/>
          <w:szCs w:val="22"/>
          <w:u w:val="single"/>
          <w:lang w:val="fr-FR"/>
        </w:rPr>
        <w:t>une liste ou leur transfert d</w:t>
      </w:r>
      <w:r w:rsidR="008E532B">
        <w:rPr>
          <w:rFonts w:ascii="Arial" w:hAnsi="Arial" w:cs="Arial"/>
          <w:bCs/>
          <w:sz w:val="22"/>
          <w:szCs w:val="22"/>
          <w:u w:val="single"/>
          <w:lang w:val="fr-FR"/>
        </w:rPr>
        <w:t>’</w:t>
      </w:r>
      <w:r w:rsidRPr="00E5407A">
        <w:rPr>
          <w:rFonts w:ascii="Arial" w:hAnsi="Arial" w:cs="Arial"/>
          <w:bCs/>
          <w:sz w:val="22"/>
          <w:szCs w:val="22"/>
          <w:u w:val="single"/>
          <w:lang w:val="fr-FR"/>
        </w:rPr>
        <w:t>une liste à l</w:t>
      </w:r>
      <w:r w:rsidR="008E532B">
        <w:rPr>
          <w:rFonts w:ascii="Arial" w:hAnsi="Arial" w:cs="Arial"/>
          <w:bCs/>
          <w:sz w:val="22"/>
          <w:szCs w:val="22"/>
          <w:u w:val="single"/>
          <w:lang w:val="fr-FR"/>
        </w:rPr>
        <w:t>’</w:t>
      </w:r>
      <w:r w:rsidRPr="00E5407A">
        <w:rPr>
          <w:rFonts w:ascii="Arial" w:hAnsi="Arial" w:cs="Arial"/>
          <w:bCs/>
          <w:sz w:val="22"/>
          <w:szCs w:val="22"/>
          <w:u w:val="single"/>
          <w:lang w:val="fr-FR"/>
        </w:rPr>
        <w:t>autre</w:t>
      </w:r>
      <w:r w:rsidRPr="00E5407A">
        <w:rPr>
          <w:rFonts w:ascii="Arial" w:hAnsi="Arial" w:cs="Arial"/>
          <w:bCs/>
          <w:sz w:val="22"/>
          <w:szCs w:val="22"/>
          <w:lang w:val="fr-FR"/>
        </w:rPr>
        <w:t>. Il importa</w:t>
      </w:r>
      <w:r>
        <w:rPr>
          <w:rFonts w:ascii="Arial" w:hAnsi="Arial" w:cs="Arial"/>
          <w:bCs/>
          <w:sz w:val="22"/>
          <w:szCs w:val="22"/>
          <w:lang w:val="fr-FR"/>
        </w:rPr>
        <w:t>i</w:t>
      </w:r>
      <w:r w:rsidRPr="00E5407A">
        <w:rPr>
          <w:rFonts w:ascii="Arial" w:hAnsi="Arial" w:cs="Arial"/>
          <w:bCs/>
          <w:sz w:val="22"/>
          <w:szCs w:val="22"/>
          <w:lang w:val="fr-FR"/>
        </w:rPr>
        <w:t>t de noter que dans le cadre du nouveau système, les communautés p</w:t>
      </w:r>
      <w:r>
        <w:rPr>
          <w:rFonts w:ascii="Arial" w:hAnsi="Arial" w:cs="Arial"/>
          <w:bCs/>
          <w:sz w:val="22"/>
          <w:szCs w:val="22"/>
          <w:lang w:val="fr-FR"/>
        </w:rPr>
        <w:t>ouvaient</w:t>
      </w:r>
      <w:r w:rsidRPr="00E5407A">
        <w:rPr>
          <w:rFonts w:ascii="Arial" w:hAnsi="Arial" w:cs="Arial"/>
          <w:bCs/>
          <w:sz w:val="22"/>
          <w:szCs w:val="22"/>
          <w:lang w:val="fr-FR"/>
        </w:rPr>
        <w:t xml:space="preserve"> directement exprimer leur souhait de transférer un élément, bien que le </w:t>
      </w:r>
      <w:r w:rsidRPr="00E5407A">
        <w:rPr>
          <w:rFonts w:ascii="Arial" w:hAnsi="Arial" w:cs="Arial"/>
          <w:bCs/>
          <w:i/>
          <w:iCs/>
          <w:sz w:val="22"/>
          <w:szCs w:val="22"/>
          <w:lang w:val="fr-FR"/>
        </w:rPr>
        <w:t>processus</w:t>
      </w:r>
      <w:r w:rsidRPr="00E5407A">
        <w:rPr>
          <w:rFonts w:ascii="Arial" w:hAnsi="Arial" w:cs="Arial"/>
          <w:bCs/>
          <w:sz w:val="22"/>
          <w:szCs w:val="22"/>
          <w:lang w:val="fr-FR"/>
        </w:rPr>
        <w:t xml:space="preserve"> de transfert doive être</w:t>
      </w:r>
      <w:r>
        <w:rPr>
          <w:rFonts w:ascii="Arial" w:hAnsi="Arial" w:cs="Arial"/>
          <w:bCs/>
          <w:sz w:val="22"/>
          <w:szCs w:val="22"/>
          <w:lang w:val="fr-FR"/>
        </w:rPr>
        <w:t xml:space="preserve"> engagé</w:t>
      </w:r>
      <w:r w:rsidRPr="00E5407A">
        <w:rPr>
          <w:rFonts w:ascii="Arial" w:hAnsi="Arial" w:cs="Arial"/>
          <w:bCs/>
          <w:sz w:val="22"/>
          <w:szCs w:val="22"/>
          <w:lang w:val="fr-FR"/>
        </w:rPr>
        <w:t xml:space="preserve"> par les États parties concernés. Il s</w:t>
      </w:r>
      <w:r w:rsidR="008E532B">
        <w:rPr>
          <w:rFonts w:ascii="Arial" w:hAnsi="Arial" w:cs="Arial"/>
          <w:bCs/>
          <w:sz w:val="22"/>
          <w:szCs w:val="22"/>
          <w:lang w:val="fr-FR"/>
        </w:rPr>
        <w:t>’</w:t>
      </w:r>
      <w:r w:rsidRPr="00E5407A">
        <w:rPr>
          <w:rFonts w:ascii="Arial" w:hAnsi="Arial" w:cs="Arial"/>
          <w:bCs/>
          <w:sz w:val="22"/>
          <w:szCs w:val="22"/>
          <w:lang w:val="fr-FR"/>
        </w:rPr>
        <w:t>agi</w:t>
      </w:r>
      <w:r>
        <w:rPr>
          <w:rFonts w:ascii="Arial" w:hAnsi="Arial" w:cs="Arial"/>
          <w:bCs/>
          <w:sz w:val="22"/>
          <w:szCs w:val="22"/>
          <w:lang w:val="fr-FR"/>
        </w:rPr>
        <w:t>ssai</w:t>
      </w:r>
      <w:r w:rsidRPr="00E5407A">
        <w:rPr>
          <w:rFonts w:ascii="Arial" w:hAnsi="Arial" w:cs="Arial"/>
          <w:bCs/>
          <w:sz w:val="22"/>
          <w:szCs w:val="22"/>
          <w:lang w:val="fr-FR"/>
        </w:rPr>
        <w:t>t là d</w:t>
      </w:r>
      <w:r>
        <w:rPr>
          <w:rFonts w:ascii="Arial" w:hAnsi="Arial" w:cs="Arial"/>
          <w:bCs/>
          <w:sz w:val="22"/>
          <w:szCs w:val="22"/>
          <w:lang w:val="fr-FR"/>
        </w:rPr>
        <w:t>u résultat d</w:t>
      </w:r>
      <w:r w:rsidR="008E532B">
        <w:rPr>
          <w:rFonts w:ascii="Arial" w:hAnsi="Arial" w:cs="Arial"/>
          <w:bCs/>
          <w:sz w:val="22"/>
          <w:szCs w:val="22"/>
          <w:lang w:val="fr-FR"/>
        </w:rPr>
        <w:t>’</w:t>
      </w:r>
      <w:r>
        <w:rPr>
          <w:rFonts w:ascii="Arial" w:hAnsi="Arial" w:cs="Arial"/>
          <w:bCs/>
          <w:sz w:val="22"/>
          <w:szCs w:val="22"/>
          <w:lang w:val="fr-FR"/>
        </w:rPr>
        <w:t>un</w:t>
      </w:r>
      <w:r w:rsidRPr="00E5407A">
        <w:rPr>
          <w:rFonts w:ascii="Arial" w:hAnsi="Arial" w:cs="Arial"/>
          <w:bCs/>
          <w:sz w:val="22"/>
          <w:szCs w:val="22"/>
          <w:lang w:val="fr-FR"/>
        </w:rPr>
        <w:t xml:space="preserve"> compromis entre les deux différentes écoles de pensée. Le transfert de la Liste de sauvegarde urgente à la Liste représentative suivra</w:t>
      </w:r>
      <w:r>
        <w:rPr>
          <w:rFonts w:ascii="Arial" w:hAnsi="Arial" w:cs="Arial"/>
          <w:bCs/>
          <w:sz w:val="22"/>
          <w:szCs w:val="22"/>
          <w:lang w:val="fr-FR"/>
        </w:rPr>
        <w:t>it</w:t>
      </w:r>
      <w:r w:rsidRPr="00E5407A">
        <w:rPr>
          <w:rFonts w:ascii="Arial" w:hAnsi="Arial" w:cs="Arial"/>
          <w:bCs/>
          <w:sz w:val="22"/>
          <w:szCs w:val="22"/>
          <w:lang w:val="fr-FR"/>
        </w:rPr>
        <w:t xml:space="preserve"> le cycle normal, et cette procédure </w:t>
      </w:r>
      <w:r>
        <w:rPr>
          <w:rFonts w:ascii="Arial" w:hAnsi="Arial" w:cs="Arial"/>
          <w:bCs/>
          <w:sz w:val="22"/>
          <w:szCs w:val="22"/>
          <w:lang w:val="fr-FR"/>
        </w:rPr>
        <w:t>était</w:t>
      </w:r>
      <w:r w:rsidRPr="00E5407A">
        <w:rPr>
          <w:rFonts w:ascii="Arial" w:hAnsi="Arial" w:cs="Arial"/>
          <w:bCs/>
          <w:sz w:val="22"/>
          <w:szCs w:val="22"/>
          <w:lang w:val="fr-FR"/>
        </w:rPr>
        <w:t xml:space="preserve"> désormais liée à l</w:t>
      </w:r>
      <w:r w:rsidR="008E532B">
        <w:rPr>
          <w:rFonts w:ascii="Arial" w:hAnsi="Arial" w:cs="Arial"/>
          <w:bCs/>
          <w:sz w:val="22"/>
          <w:szCs w:val="22"/>
          <w:lang w:val="fr-FR"/>
        </w:rPr>
        <w:t>’</w:t>
      </w:r>
      <w:r w:rsidRPr="00E5407A">
        <w:rPr>
          <w:rFonts w:ascii="Arial" w:hAnsi="Arial" w:cs="Arial"/>
          <w:bCs/>
          <w:sz w:val="22"/>
          <w:szCs w:val="22"/>
          <w:lang w:val="fr-FR"/>
        </w:rPr>
        <w:t>établissement des rapports périodiques. Quant à la procédure de retrait d</w:t>
      </w:r>
      <w:r w:rsidR="008E532B">
        <w:rPr>
          <w:rFonts w:ascii="Arial" w:hAnsi="Arial" w:cs="Arial"/>
          <w:bCs/>
          <w:sz w:val="22"/>
          <w:szCs w:val="22"/>
          <w:lang w:val="fr-FR"/>
        </w:rPr>
        <w:t>’</w:t>
      </w:r>
      <w:r w:rsidRPr="00E5407A">
        <w:rPr>
          <w:rFonts w:ascii="Arial" w:hAnsi="Arial" w:cs="Arial"/>
          <w:bCs/>
          <w:sz w:val="22"/>
          <w:szCs w:val="22"/>
          <w:lang w:val="fr-FR"/>
        </w:rPr>
        <w:t>un élément, le système réformé prévo</w:t>
      </w:r>
      <w:r>
        <w:rPr>
          <w:rFonts w:ascii="Arial" w:hAnsi="Arial" w:cs="Arial"/>
          <w:bCs/>
          <w:sz w:val="22"/>
          <w:szCs w:val="22"/>
          <w:lang w:val="fr-FR"/>
        </w:rPr>
        <w:t>yait</w:t>
      </w:r>
      <w:r w:rsidRPr="00E5407A">
        <w:rPr>
          <w:rFonts w:ascii="Arial" w:hAnsi="Arial" w:cs="Arial"/>
          <w:bCs/>
          <w:sz w:val="22"/>
          <w:szCs w:val="22"/>
          <w:lang w:val="fr-FR"/>
        </w:rPr>
        <w:t xml:space="preserve"> une procédure en six étapes qui distingue les demandes de retrait soumises par les États parties concernés et </w:t>
      </w:r>
      <w:r>
        <w:rPr>
          <w:rFonts w:ascii="Arial" w:hAnsi="Arial" w:cs="Arial"/>
          <w:bCs/>
          <w:sz w:val="22"/>
          <w:szCs w:val="22"/>
          <w:lang w:val="fr-FR"/>
        </w:rPr>
        <w:t xml:space="preserve">celles soumises </w:t>
      </w:r>
      <w:r w:rsidRPr="00E5407A">
        <w:rPr>
          <w:rFonts w:ascii="Arial" w:hAnsi="Arial" w:cs="Arial"/>
          <w:bCs/>
          <w:sz w:val="22"/>
          <w:szCs w:val="22"/>
          <w:lang w:val="fr-FR"/>
        </w:rPr>
        <w:t>par d</w:t>
      </w:r>
      <w:r w:rsidR="008E532B">
        <w:rPr>
          <w:rFonts w:ascii="Arial" w:hAnsi="Arial" w:cs="Arial"/>
          <w:bCs/>
          <w:sz w:val="22"/>
          <w:szCs w:val="22"/>
          <w:lang w:val="fr-FR"/>
        </w:rPr>
        <w:t>’</w:t>
      </w:r>
      <w:r w:rsidRPr="00E5407A">
        <w:rPr>
          <w:rFonts w:ascii="Arial" w:hAnsi="Arial" w:cs="Arial"/>
          <w:bCs/>
          <w:sz w:val="22"/>
          <w:szCs w:val="22"/>
          <w:lang w:val="fr-FR"/>
        </w:rPr>
        <w:t>autres entités. Ces autres entités p</w:t>
      </w:r>
      <w:r>
        <w:rPr>
          <w:rFonts w:ascii="Arial" w:hAnsi="Arial" w:cs="Arial"/>
          <w:bCs/>
          <w:sz w:val="22"/>
          <w:szCs w:val="22"/>
          <w:lang w:val="fr-FR"/>
        </w:rPr>
        <w:t xml:space="preserve">ouvaient </w:t>
      </w:r>
      <w:r w:rsidRPr="00E5407A">
        <w:rPr>
          <w:rFonts w:ascii="Arial" w:hAnsi="Arial" w:cs="Arial"/>
          <w:bCs/>
          <w:sz w:val="22"/>
          <w:szCs w:val="22"/>
          <w:lang w:val="fr-FR"/>
        </w:rPr>
        <w:t xml:space="preserve">effectivement proposer de retirer un élément de la Liste, mais la procédure </w:t>
      </w:r>
      <w:r>
        <w:rPr>
          <w:rFonts w:ascii="Arial" w:hAnsi="Arial" w:cs="Arial"/>
          <w:bCs/>
          <w:sz w:val="22"/>
          <w:szCs w:val="22"/>
          <w:lang w:val="fr-FR"/>
        </w:rPr>
        <w:t xml:space="preserve">était </w:t>
      </w:r>
      <w:r w:rsidRPr="00E5407A">
        <w:rPr>
          <w:rFonts w:ascii="Arial" w:hAnsi="Arial" w:cs="Arial"/>
          <w:bCs/>
          <w:sz w:val="22"/>
          <w:szCs w:val="22"/>
          <w:lang w:val="fr-FR"/>
        </w:rPr>
        <w:t>néanmoins légèrement plus prudente dans ce cas. Le nouveau système inclu</w:t>
      </w:r>
      <w:r>
        <w:rPr>
          <w:rFonts w:ascii="Arial" w:hAnsi="Arial" w:cs="Arial"/>
          <w:bCs/>
          <w:sz w:val="22"/>
          <w:szCs w:val="22"/>
          <w:lang w:val="fr-FR"/>
        </w:rPr>
        <w:t>ai</w:t>
      </w:r>
      <w:r w:rsidRPr="00E5407A">
        <w:rPr>
          <w:rFonts w:ascii="Arial" w:hAnsi="Arial" w:cs="Arial"/>
          <w:bCs/>
          <w:sz w:val="22"/>
          <w:szCs w:val="22"/>
          <w:lang w:val="fr-FR"/>
        </w:rPr>
        <w:t>t également l</w:t>
      </w:r>
      <w:r w:rsidR="008E532B">
        <w:rPr>
          <w:rFonts w:ascii="Arial" w:hAnsi="Arial" w:cs="Arial"/>
          <w:bCs/>
          <w:sz w:val="22"/>
          <w:szCs w:val="22"/>
          <w:lang w:val="fr-FR"/>
        </w:rPr>
        <w:t>’</w:t>
      </w:r>
      <w:r w:rsidRPr="00E5407A">
        <w:rPr>
          <w:rFonts w:ascii="Arial" w:hAnsi="Arial" w:cs="Arial"/>
          <w:bCs/>
          <w:sz w:val="22"/>
          <w:szCs w:val="22"/>
          <w:lang w:val="fr-FR"/>
        </w:rPr>
        <w:t>idée d</w:t>
      </w:r>
      <w:r w:rsidR="008E532B">
        <w:rPr>
          <w:rFonts w:ascii="Arial" w:hAnsi="Arial" w:cs="Arial"/>
          <w:bCs/>
          <w:sz w:val="22"/>
          <w:szCs w:val="22"/>
          <w:lang w:val="fr-FR"/>
        </w:rPr>
        <w:t>’</w:t>
      </w:r>
      <w:r w:rsidRPr="00E5407A">
        <w:rPr>
          <w:rFonts w:ascii="Arial" w:hAnsi="Arial" w:cs="Arial"/>
          <w:bCs/>
          <w:sz w:val="22"/>
          <w:szCs w:val="22"/>
          <w:lang w:val="fr-FR"/>
        </w:rPr>
        <w:t>un suivi renforcé si le Comité estim</w:t>
      </w:r>
      <w:r>
        <w:rPr>
          <w:rFonts w:ascii="Arial" w:hAnsi="Arial" w:cs="Arial"/>
          <w:bCs/>
          <w:sz w:val="22"/>
          <w:szCs w:val="22"/>
          <w:lang w:val="fr-FR"/>
        </w:rPr>
        <w:t>ait</w:t>
      </w:r>
      <w:r w:rsidRPr="00E5407A">
        <w:rPr>
          <w:rFonts w:ascii="Arial" w:hAnsi="Arial" w:cs="Arial"/>
          <w:bCs/>
          <w:sz w:val="22"/>
          <w:szCs w:val="22"/>
          <w:lang w:val="fr-FR"/>
        </w:rPr>
        <w:t xml:space="preserve"> que des informations supplémentaires </w:t>
      </w:r>
      <w:r>
        <w:rPr>
          <w:rFonts w:ascii="Arial" w:hAnsi="Arial" w:cs="Arial"/>
          <w:bCs/>
          <w:sz w:val="22"/>
          <w:szCs w:val="22"/>
          <w:lang w:val="fr-FR"/>
        </w:rPr>
        <w:t>étaient</w:t>
      </w:r>
      <w:r w:rsidRPr="00E5407A">
        <w:rPr>
          <w:rFonts w:ascii="Arial" w:hAnsi="Arial" w:cs="Arial"/>
          <w:bCs/>
          <w:sz w:val="22"/>
          <w:szCs w:val="22"/>
          <w:lang w:val="fr-FR"/>
        </w:rPr>
        <w:t xml:space="preserve"> nécessaires. Un temps considérable a</w:t>
      </w:r>
      <w:r>
        <w:rPr>
          <w:rFonts w:ascii="Arial" w:hAnsi="Arial" w:cs="Arial"/>
          <w:bCs/>
          <w:sz w:val="22"/>
          <w:szCs w:val="22"/>
          <w:lang w:val="fr-FR"/>
        </w:rPr>
        <w:t>vait</w:t>
      </w:r>
      <w:r w:rsidRPr="00E5407A">
        <w:rPr>
          <w:rFonts w:ascii="Arial" w:hAnsi="Arial" w:cs="Arial"/>
          <w:bCs/>
          <w:sz w:val="22"/>
          <w:szCs w:val="22"/>
          <w:lang w:val="fr-FR"/>
        </w:rPr>
        <w:t xml:space="preserve"> été consacré</w:t>
      </w:r>
      <w:r>
        <w:rPr>
          <w:rFonts w:ascii="Arial" w:hAnsi="Arial" w:cs="Arial"/>
          <w:bCs/>
          <w:sz w:val="22"/>
          <w:szCs w:val="22"/>
          <w:lang w:val="fr-FR"/>
        </w:rPr>
        <w:t xml:space="preserve">, </w:t>
      </w:r>
      <w:r w:rsidRPr="00E5407A">
        <w:rPr>
          <w:rFonts w:ascii="Arial" w:hAnsi="Arial" w:cs="Arial"/>
          <w:bCs/>
          <w:sz w:val="22"/>
          <w:szCs w:val="22"/>
          <w:lang w:val="fr-FR"/>
        </w:rPr>
        <w:t xml:space="preserve">à </w:t>
      </w:r>
      <w:r>
        <w:rPr>
          <w:rFonts w:ascii="Arial" w:hAnsi="Arial" w:cs="Arial"/>
          <w:bCs/>
          <w:sz w:val="22"/>
          <w:szCs w:val="22"/>
          <w:lang w:val="fr-FR"/>
        </w:rPr>
        <w:t>la fois dans</w:t>
      </w:r>
      <w:r w:rsidRPr="00E5407A">
        <w:rPr>
          <w:rFonts w:ascii="Arial" w:hAnsi="Arial" w:cs="Arial"/>
          <w:bCs/>
          <w:sz w:val="22"/>
          <w:szCs w:val="22"/>
          <w:lang w:val="fr-FR"/>
        </w:rPr>
        <w:t xml:space="preserve"> la </w:t>
      </w:r>
      <w:r>
        <w:rPr>
          <w:rFonts w:ascii="Arial" w:hAnsi="Arial" w:cs="Arial"/>
          <w:bCs/>
          <w:sz w:val="22"/>
          <w:szCs w:val="22"/>
          <w:lang w:val="fr-FR"/>
        </w:rPr>
        <w:t>p</w:t>
      </w:r>
      <w:r w:rsidRPr="00E5407A">
        <w:rPr>
          <w:rFonts w:ascii="Arial" w:hAnsi="Arial" w:cs="Arial"/>
          <w:bCs/>
          <w:sz w:val="22"/>
          <w:szCs w:val="22"/>
          <w:lang w:val="fr-FR"/>
        </w:rPr>
        <w:t xml:space="preserve">artie I et </w:t>
      </w:r>
      <w:r>
        <w:rPr>
          <w:rFonts w:ascii="Arial" w:hAnsi="Arial" w:cs="Arial"/>
          <w:bCs/>
          <w:sz w:val="22"/>
          <w:szCs w:val="22"/>
          <w:lang w:val="fr-FR"/>
        </w:rPr>
        <w:t>dans</w:t>
      </w:r>
      <w:r w:rsidRPr="00E5407A">
        <w:rPr>
          <w:rFonts w:ascii="Arial" w:hAnsi="Arial" w:cs="Arial"/>
          <w:bCs/>
          <w:sz w:val="22"/>
          <w:szCs w:val="22"/>
          <w:lang w:val="fr-FR"/>
        </w:rPr>
        <w:t xml:space="preserve"> la </w:t>
      </w:r>
      <w:r>
        <w:rPr>
          <w:rFonts w:ascii="Arial" w:hAnsi="Arial" w:cs="Arial"/>
          <w:bCs/>
          <w:sz w:val="22"/>
          <w:szCs w:val="22"/>
          <w:lang w:val="fr-FR"/>
        </w:rPr>
        <w:t>p</w:t>
      </w:r>
      <w:r w:rsidRPr="00E5407A">
        <w:rPr>
          <w:rFonts w:ascii="Arial" w:hAnsi="Arial" w:cs="Arial"/>
          <w:bCs/>
          <w:sz w:val="22"/>
          <w:szCs w:val="22"/>
          <w:lang w:val="fr-FR"/>
        </w:rPr>
        <w:t>artie II</w:t>
      </w:r>
      <w:r>
        <w:rPr>
          <w:rFonts w:ascii="Arial" w:hAnsi="Arial" w:cs="Arial"/>
          <w:bCs/>
          <w:sz w:val="22"/>
          <w:szCs w:val="22"/>
          <w:lang w:val="fr-FR"/>
        </w:rPr>
        <w:t>,</w:t>
      </w:r>
      <w:r w:rsidRPr="00E5407A">
        <w:rPr>
          <w:rFonts w:ascii="Arial" w:hAnsi="Arial" w:cs="Arial"/>
          <w:bCs/>
          <w:sz w:val="22"/>
          <w:szCs w:val="22"/>
          <w:lang w:val="fr-FR"/>
        </w:rPr>
        <w:t xml:space="preserve"> pour produire ces procédures de transfert et de retrait.</w:t>
      </w:r>
    </w:p>
    <w:p w14:paraId="655B00E0" w14:textId="3F43320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75275">
        <w:rPr>
          <w:rFonts w:ascii="Arial" w:hAnsi="Arial" w:cs="Arial"/>
          <w:bCs/>
          <w:sz w:val="22"/>
          <w:szCs w:val="22"/>
          <w:lang w:val="fr-FR"/>
        </w:rPr>
        <w:t>L</w:t>
      </w:r>
      <w:r>
        <w:rPr>
          <w:rFonts w:ascii="Arial" w:hAnsi="Arial" w:cs="Arial"/>
          <w:bCs/>
          <w:sz w:val="22"/>
          <w:szCs w:val="22"/>
          <w:lang w:val="fr-FR"/>
        </w:rPr>
        <w:t>e</w:t>
      </w:r>
      <w:r w:rsidRPr="00A75275">
        <w:rPr>
          <w:rFonts w:ascii="Arial" w:hAnsi="Arial" w:cs="Arial"/>
          <w:bCs/>
          <w:sz w:val="22"/>
          <w:szCs w:val="22"/>
          <w:lang w:val="fr-FR"/>
        </w:rPr>
        <w:t xml:space="preserve"> </w:t>
      </w:r>
      <w:r w:rsidRPr="00A75275">
        <w:rPr>
          <w:rFonts w:ascii="Arial" w:hAnsi="Arial" w:cs="Arial"/>
          <w:b/>
          <w:sz w:val="22"/>
          <w:szCs w:val="22"/>
          <w:lang w:val="fr-FR"/>
        </w:rPr>
        <w:t>Président du groupe de travail à composition non limitée</w:t>
      </w:r>
      <w:r w:rsidRPr="00A75275">
        <w:rPr>
          <w:rFonts w:ascii="Arial" w:hAnsi="Arial" w:cs="Arial"/>
          <w:bCs/>
          <w:sz w:val="22"/>
          <w:szCs w:val="22"/>
          <w:lang w:val="fr-FR"/>
        </w:rPr>
        <w:t xml:space="preserve"> a ensuite </w:t>
      </w:r>
      <w:r>
        <w:rPr>
          <w:rFonts w:ascii="Arial" w:hAnsi="Arial" w:cs="Arial"/>
          <w:bCs/>
          <w:sz w:val="22"/>
          <w:szCs w:val="22"/>
          <w:lang w:val="fr-FR"/>
        </w:rPr>
        <w:t>abordé</w:t>
      </w:r>
      <w:r w:rsidRPr="00A75275">
        <w:rPr>
          <w:rFonts w:ascii="Arial" w:hAnsi="Arial" w:cs="Arial"/>
          <w:bCs/>
          <w:sz w:val="22"/>
          <w:szCs w:val="22"/>
          <w:lang w:val="fr-FR"/>
        </w:rPr>
        <w:t xml:space="preserve"> la question de </w:t>
      </w:r>
      <w:r w:rsidRPr="00A75275">
        <w:rPr>
          <w:rFonts w:ascii="Arial" w:hAnsi="Arial" w:cs="Arial"/>
          <w:bCs/>
          <w:sz w:val="22"/>
          <w:szCs w:val="22"/>
          <w:u w:val="single"/>
          <w:lang w:val="fr-FR"/>
        </w:rPr>
        <w:t>l</w:t>
      </w:r>
      <w:r w:rsidR="008E532B">
        <w:rPr>
          <w:rFonts w:ascii="Arial" w:hAnsi="Arial" w:cs="Arial"/>
          <w:bCs/>
          <w:sz w:val="22"/>
          <w:szCs w:val="22"/>
          <w:u w:val="single"/>
          <w:lang w:val="fr-FR"/>
        </w:rPr>
        <w:t>’</w:t>
      </w:r>
      <w:r w:rsidRPr="00A75275">
        <w:rPr>
          <w:rFonts w:ascii="Arial" w:hAnsi="Arial" w:cs="Arial"/>
          <w:bCs/>
          <w:sz w:val="22"/>
          <w:szCs w:val="22"/>
          <w:u w:val="single"/>
          <w:lang w:val="fr-FR"/>
        </w:rPr>
        <w:t>établissement d</w:t>
      </w:r>
      <w:r w:rsidR="008E532B">
        <w:rPr>
          <w:rFonts w:ascii="Arial" w:hAnsi="Arial" w:cs="Arial"/>
          <w:bCs/>
          <w:sz w:val="22"/>
          <w:szCs w:val="22"/>
          <w:u w:val="single"/>
          <w:lang w:val="fr-FR"/>
        </w:rPr>
        <w:t>’</w:t>
      </w:r>
      <w:r w:rsidRPr="00A75275">
        <w:rPr>
          <w:rFonts w:ascii="Arial" w:hAnsi="Arial" w:cs="Arial"/>
          <w:bCs/>
          <w:sz w:val="22"/>
          <w:szCs w:val="22"/>
          <w:u w:val="single"/>
          <w:lang w:val="fr-FR"/>
        </w:rPr>
        <w:t>une procédure d</w:t>
      </w:r>
      <w:r w:rsidR="008E532B">
        <w:rPr>
          <w:rFonts w:ascii="Arial" w:hAnsi="Arial" w:cs="Arial"/>
          <w:bCs/>
          <w:sz w:val="22"/>
          <w:szCs w:val="22"/>
          <w:u w:val="single"/>
          <w:lang w:val="fr-FR"/>
        </w:rPr>
        <w:t>’</w:t>
      </w:r>
      <w:r w:rsidRPr="00A75275">
        <w:rPr>
          <w:rFonts w:ascii="Arial" w:hAnsi="Arial" w:cs="Arial"/>
          <w:bCs/>
          <w:sz w:val="22"/>
          <w:szCs w:val="22"/>
          <w:u w:val="single"/>
          <w:lang w:val="fr-FR"/>
        </w:rPr>
        <w:t>extension des dossiers multinationaux</w:t>
      </w:r>
      <w:r w:rsidRPr="00A75275">
        <w:rPr>
          <w:rFonts w:ascii="Arial" w:hAnsi="Arial" w:cs="Arial"/>
          <w:bCs/>
          <w:sz w:val="22"/>
          <w:szCs w:val="22"/>
          <w:lang w:val="fr-FR"/>
        </w:rPr>
        <w:t>. Le groupe de travail a</w:t>
      </w:r>
      <w:r>
        <w:rPr>
          <w:rFonts w:ascii="Arial" w:hAnsi="Arial" w:cs="Arial"/>
          <w:bCs/>
          <w:sz w:val="22"/>
          <w:szCs w:val="22"/>
          <w:lang w:val="fr-FR"/>
        </w:rPr>
        <w:t>vait établi</w:t>
      </w:r>
      <w:r w:rsidRPr="00A75275">
        <w:rPr>
          <w:rFonts w:ascii="Arial" w:hAnsi="Arial" w:cs="Arial"/>
          <w:bCs/>
          <w:sz w:val="22"/>
          <w:szCs w:val="22"/>
          <w:lang w:val="fr-FR"/>
        </w:rPr>
        <w:t xml:space="preserve"> une distinction entre la procédure </w:t>
      </w:r>
      <w:r>
        <w:rPr>
          <w:rFonts w:ascii="Arial" w:hAnsi="Arial" w:cs="Arial"/>
          <w:bCs/>
          <w:sz w:val="22"/>
          <w:szCs w:val="22"/>
          <w:lang w:val="fr-FR"/>
        </w:rPr>
        <w:t xml:space="preserve">pour </w:t>
      </w:r>
      <w:r w:rsidRPr="00A75275">
        <w:rPr>
          <w:rFonts w:ascii="Arial" w:hAnsi="Arial" w:cs="Arial"/>
          <w:bCs/>
          <w:sz w:val="22"/>
          <w:szCs w:val="22"/>
          <w:lang w:val="fr-FR"/>
        </w:rPr>
        <w:t xml:space="preserve">une extension au niveau international et </w:t>
      </w:r>
      <w:r>
        <w:rPr>
          <w:rFonts w:ascii="Arial" w:hAnsi="Arial" w:cs="Arial"/>
          <w:bCs/>
          <w:sz w:val="22"/>
          <w:szCs w:val="22"/>
          <w:lang w:val="fr-FR"/>
        </w:rPr>
        <w:t>celle au</w:t>
      </w:r>
      <w:r w:rsidRPr="00A75275">
        <w:rPr>
          <w:rFonts w:ascii="Arial" w:hAnsi="Arial" w:cs="Arial"/>
          <w:bCs/>
          <w:sz w:val="22"/>
          <w:szCs w:val="22"/>
          <w:lang w:val="fr-FR"/>
        </w:rPr>
        <w:t xml:space="preserve"> niveau national. La principale différence résid</w:t>
      </w:r>
      <w:r>
        <w:rPr>
          <w:rFonts w:ascii="Arial" w:hAnsi="Arial" w:cs="Arial"/>
          <w:bCs/>
          <w:sz w:val="22"/>
          <w:szCs w:val="22"/>
          <w:lang w:val="fr-FR"/>
        </w:rPr>
        <w:t>ait</w:t>
      </w:r>
      <w:r w:rsidRPr="00A75275">
        <w:rPr>
          <w:rFonts w:ascii="Arial" w:hAnsi="Arial" w:cs="Arial"/>
          <w:bCs/>
          <w:sz w:val="22"/>
          <w:szCs w:val="22"/>
          <w:lang w:val="fr-FR"/>
        </w:rPr>
        <w:t xml:space="preserve"> dans le fait que la procédure </w:t>
      </w:r>
      <w:r>
        <w:rPr>
          <w:rFonts w:ascii="Arial" w:hAnsi="Arial" w:cs="Arial"/>
          <w:bCs/>
          <w:sz w:val="22"/>
          <w:szCs w:val="22"/>
          <w:lang w:val="fr-FR"/>
        </w:rPr>
        <w:t xml:space="preserve">était </w:t>
      </w:r>
      <w:r w:rsidRPr="00A75275">
        <w:rPr>
          <w:rFonts w:ascii="Arial" w:hAnsi="Arial" w:cs="Arial"/>
          <w:bCs/>
          <w:sz w:val="22"/>
          <w:szCs w:val="22"/>
          <w:lang w:val="fr-FR"/>
        </w:rPr>
        <w:t>quelque peu allégée pour une extension au sein d</w:t>
      </w:r>
      <w:r w:rsidR="008E532B">
        <w:rPr>
          <w:rFonts w:ascii="Arial" w:hAnsi="Arial" w:cs="Arial"/>
          <w:bCs/>
          <w:sz w:val="22"/>
          <w:szCs w:val="22"/>
          <w:lang w:val="fr-FR"/>
        </w:rPr>
        <w:t>’</w:t>
      </w:r>
      <w:r w:rsidRPr="00A75275">
        <w:rPr>
          <w:rFonts w:ascii="Arial" w:hAnsi="Arial" w:cs="Arial"/>
          <w:bCs/>
          <w:sz w:val="22"/>
          <w:szCs w:val="22"/>
          <w:lang w:val="fr-FR"/>
        </w:rPr>
        <w:t xml:space="preserve">un </w:t>
      </w:r>
      <w:r>
        <w:rPr>
          <w:rFonts w:ascii="Arial" w:hAnsi="Arial" w:cs="Arial"/>
          <w:bCs/>
          <w:sz w:val="22"/>
          <w:szCs w:val="22"/>
          <w:lang w:val="fr-FR"/>
        </w:rPr>
        <w:t>É</w:t>
      </w:r>
      <w:r w:rsidRPr="00A75275">
        <w:rPr>
          <w:rFonts w:ascii="Arial" w:hAnsi="Arial" w:cs="Arial"/>
          <w:bCs/>
          <w:sz w:val="22"/>
          <w:szCs w:val="22"/>
          <w:lang w:val="fr-FR"/>
        </w:rPr>
        <w:t xml:space="preserve">tat en </w:t>
      </w:r>
      <w:r>
        <w:rPr>
          <w:rFonts w:ascii="Arial" w:hAnsi="Arial" w:cs="Arial"/>
          <w:bCs/>
          <w:sz w:val="22"/>
          <w:szCs w:val="22"/>
          <w:lang w:val="fr-FR"/>
        </w:rPr>
        <w:t>matière</w:t>
      </w:r>
      <w:r w:rsidRPr="00A75275">
        <w:rPr>
          <w:rFonts w:ascii="Arial" w:hAnsi="Arial" w:cs="Arial"/>
          <w:bCs/>
          <w:sz w:val="22"/>
          <w:szCs w:val="22"/>
          <w:lang w:val="fr-FR"/>
        </w:rPr>
        <w:t xml:space="preserve"> de critères requis. Pour les deux types d</w:t>
      </w:r>
      <w:r w:rsidR="008E532B">
        <w:rPr>
          <w:rFonts w:ascii="Arial" w:hAnsi="Arial" w:cs="Arial"/>
          <w:bCs/>
          <w:sz w:val="22"/>
          <w:szCs w:val="22"/>
          <w:lang w:val="fr-FR"/>
        </w:rPr>
        <w:t>’</w:t>
      </w:r>
      <w:r w:rsidRPr="00A75275">
        <w:rPr>
          <w:rFonts w:ascii="Arial" w:hAnsi="Arial" w:cs="Arial"/>
          <w:bCs/>
          <w:sz w:val="22"/>
          <w:szCs w:val="22"/>
          <w:lang w:val="fr-FR"/>
        </w:rPr>
        <w:t xml:space="preserve">extension, il </w:t>
      </w:r>
      <w:r>
        <w:rPr>
          <w:rFonts w:ascii="Arial" w:hAnsi="Arial" w:cs="Arial"/>
          <w:bCs/>
          <w:sz w:val="22"/>
          <w:szCs w:val="22"/>
          <w:lang w:val="fr-FR"/>
        </w:rPr>
        <w:t>était</w:t>
      </w:r>
      <w:r w:rsidRPr="00A75275">
        <w:rPr>
          <w:rFonts w:ascii="Arial" w:hAnsi="Arial" w:cs="Arial"/>
          <w:bCs/>
          <w:sz w:val="22"/>
          <w:szCs w:val="22"/>
          <w:lang w:val="fr-FR"/>
        </w:rPr>
        <w:t xml:space="preserve"> demandé à l</w:t>
      </w:r>
      <w:r w:rsidR="008E532B">
        <w:rPr>
          <w:rFonts w:ascii="Arial" w:hAnsi="Arial" w:cs="Arial"/>
          <w:bCs/>
          <w:sz w:val="22"/>
          <w:szCs w:val="22"/>
          <w:lang w:val="fr-FR"/>
        </w:rPr>
        <w:t>’</w:t>
      </w:r>
      <w:r w:rsidRPr="00A75275">
        <w:rPr>
          <w:rFonts w:ascii="Arial" w:hAnsi="Arial" w:cs="Arial"/>
          <w:bCs/>
          <w:sz w:val="22"/>
          <w:szCs w:val="22"/>
          <w:lang w:val="fr-FR"/>
        </w:rPr>
        <w:t>État partie de démontrer le consentement à l</w:t>
      </w:r>
      <w:r w:rsidR="008E532B">
        <w:rPr>
          <w:rFonts w:ascii="Arial" w:hAnsi="Arial" w:cs="Arial"/>
          <w:bCs/>
          <w:sz w:val="22"/>
          <w:szCs w:val="22"/>
          <w:lang w:val="fr-FR"/>
        </w:rPr>
        <w:t>’</w:t>
      </w:r>
      <w:r w:rsidRPr="00A75275">
        <w:rPr>
          <w:rFonts w:ascii="Arial" w:hAnsi="Arial" w:cs="Arial"/>
          <w:bCs/>
          <w:sz w:val="22"/>
          <w:szCs w:val="22"/>
          <w:lang w:val="fr-FR"/>
        </w:rPr>
        <w:t>extension accordé par les communautés d</w:t>
      </w:r>
      <w:r w:rsidR="008E532B">
        <w:rPr>
          <w:rFonts w:ascii="Arial" w:hAnsi="Arial" w:cs="Arial"/>
          <w:bCs/>
          <w:sz w:val="22"/>
          <w:szCs w:val="22"/>
          <w:lang w:val="fr-FR"/>
        </w:rPr>
        <w:t>’</w:t>
      </w:r>
      <w:r w:rsidRPr="00A75275">
        <w:rPr>
          <w:rFonts w:ascii="Arial" w:hAnsi="Arial" w:cs="Arial"/>
          <w:bCs/>
          <w:sz w:val="22"/>
          <w:szCs w:val="22"/>
          <w:lang w:val="fr-FR"/>
        </w:rPr>
        <w:t>origine. Le groupe de travail a</w:t>
      </w:r>
      <w:r>
        <w:rPr>
          <w:rFonts w:ascii="Arial" w:hAnsi="Arial" w:cs="Arial"/>
          <w:bCs/>
          <w:sz w:val="22"/>
          <w:szCs w:val="22"/>
          <w:lang w:val="fr-FR"/>
        </w:rPr>
        <w:t>vait</w:t>
      </w:r>
      <w:r w:rsidRPr="00A75275">
        <w:rPr>
          <w:rFonts w:ascii="Arial" w:hAnsi="Arial" w:cs="Arial"/>
          <w:bCs/>
          <w:sz w:val="22"/>
          <w:szCs w:val="22"/>
          <w:lang w:val="fr-FR"/>
        </w:rPr>
        <w:t xml:space="preserve"> également </w:t>
      </w:r>
      <w:r w:rsidRPr="00A75275">
        <w:rPr>
          <w:rFonts w:ascii="Arial" w:hAnsi="Arial" w:cs="Arial"/>
          <w:bCs/>
          <w:sz w:val="22"/>
          <w:szCs w:val="22"/>
          <w:u w:val="single"/>
          <w:lang w:val="fr-FR"/>
        </w:rPr>
        <w:t>identifié des pratiques à encourager et à utiliser dans le cadre des opérations statutaires</w:t>
      </w:r>
      <w:r w:rsidRPr="00A75275">
        <w:rPr>
          <w:rFonts w:ascii="Arial" w:hAnsi="Arial" w:cs="Arial"/>
          <w:bCs/>
          <w:sz w:val="22"/>
          <w:szCs w:val="22"/>
          <w:lang w:val="fr-FR"/>
        </w:rPr>
        <w:t xml:space="preserve"> de la Convention. Notamment, l</w:t>
      </w:r>
      <w:r w:rsidR="008E532B">
        <w:rPr>
          <w:rFonts w:ascii="Arial" w:hAnsi="Arial" w:cs="Arial"/>
          <w:bCs/>
          <w:sz w:val="22"/>
          <w:szCs w:val="22"/>
          <w:lang w:val="fr-FR"/>
        </w:rPr>
        <w:t>’</w:t>
      </w:r>
      <w:r w:rsidRPr="00A75275">
        <w:rPr>
          <w:rFonts w:ascii="Arial" w:hAnsi="Arial" w:cs="Arial"/>
          <w:bCs/>
          <w:sz w:val="22"/>
          <w:szCs w:val="22"/>
          <w:lang w:val="fr-FR"/>
        </w:rPr>
        <w:t>utilisation de la langue des communautés (ou des langues qui leur sont accessibles) dans la préparation et la soumission des candidatures et, d</w:t>
      </w:r>
      <w:r w:rsidR="008E532B">
        <w:rPr>
          <w:rFonts w:ascii="Arial" w:hAnsi="Arial" w:cs="Arial"/>
          <w:bCs/>
          <w:sz w:val="22"/>
          <w:szCs w:val="22"/>
          <w:lang w:val="fr-FR"/>
        </w:rPr>
        <w:t>’</w:t>
      </w:r>
      <w:r w:rsidRPr="00A75275">
        <w:rPr>
          <w:rFonts w:ascii="Arial" w:hAnsi="Arial" w:cs="Arial"/>
          <w:bCs/>
          <w:sz w:val="22"/>
          <w:szCs w:val="22"/>
          <w:lang w:val="fr-FR"/>
        </w:rPr>
        <w:t>autre part, l</w:t>
      </w:r>
      <w:r w:rsidR="008E532B">
        <w:rPr>
          <w:rFonts w:ascii="Arial" w:hAnsi="Arial" w:cs="Arial"/>
          <w:bCs/>
          <w:sz w:val="22"/>
          <w:szCs w:val="22"/>
          <w:lang w:val="fr-FR"/>
        </w:rPr>
        <w:t>’</w:t>
      </w:r>
      <w:r w:rsidRPr="00A75275">
        <w:rPr>
          <w:rFonts w:ascii="Arial" w:hAnsi="Arial" w:cs="Arial"/>
          <w:bCs/>
          <w:sz w:val="22"/>
          <w:szCs w:val="22"/>
          <w:lang w:val="fr-FR"/>
        </w:rPr>
        <w:t>utilisation d</w:t>
      </w:r>
      <w:r w:rsidR="008E532B">
        <w:rPr>
          <w:rFonts w:ascii="Arial" w:hAnsi="Arial" w:cs="Arial"/>
          <w:bCs/>
          <w:sz w:val="22"/>
          <w:szCs w:val="22"/>
          <w:lang w:val="fr-FR"/>
        </w:rPr>
        <w:t>’</w:t>
      </w:r>
      <w:r w:rsidRPr="00A75275">
        <w:rPr>
          <w:rFonts w:ascii="Arial" w:hAnsi="Arial" w:cs="Arial"/>
          <w:bCs/>
          <w:sz w:val="22"/>
          <w:szCs w:val="22"/>
          <w:lang w:val="fr-FR"/>
        </w:rPr>
        <w:t xml:space="preserve">outils audiovisuels, lorsque cela </w:t>
      </w:r>
      <w:r>
        <w:rPr>
          <w:rFonts w:ascii="Arial" w:hAnsi="Arial" w:cs="Arial"/>
          <w:bCs/>
          <w:sz w:val="22"/>
          <w:szCs w:val="22"/>
          <w:lang w:val="fr-FR"/>
        </w:rPr>
        <w:t>était</w:t>
      </w:r>
      <w:r w:rsidRPr="00A75275">
        <w:rPr>
          <w:rFonts w:ascii="Arial" w:hAnsi="Arial" w:cs="Arial"/>
          <w:bCs/>
          <w:sz w:val="22"/>
          <w:szCs w:val="22"/>
          <w:lang w:val="fr-FR"/>
        </w:rPr>
        <w:t xml:space="preserve"> possible, pour </w:t>
      </w:r>
      <w:r>
        <w:rPr>
          <w:rFonts w:ascii="Arial" w:hAnsi="Arial" w:cs="Arial"/>
          <w:bCs/>
          <w:sz w:val="22"/>
          <w:szCs w:val="22"/>
          <w:lang w:val="fr-FR"/>
        </w:rPr>
        <w:t>communiquer</w:t>
      </w:r>
      <w:r w:rsidRPr="00A75275">
        <w:rPr>
          <w:rFonts w:ascii="Arial" w:hAnsi="Arial" w:cs="Arial"/>
          <w:bCs/>
          <w:sz w:val="22"/>
          <w:szCs w:val="22"/>
          <w:lang w:val="fr-FR"/>
        </w:rPr>
        <w:t xml:space="preserve"> les informations demandées dans le formulaire ainsi que pour </w:t>
      </w:r>
      <w:r>
        <w:rPr>
          <w:rFonts w:ascii="Arial" w:hAnsi="Arial" w:cs="Arial"/>
          <w:bCs/>
          <w:sz w:val="22"/>
          <w:szCs w:val="22"/>
          <w:lang w:val="fr-FR"/>
        </w:rPr>
        <w:t>faire part des</w:t>
      </w:r>
      <w:r w:rsidRPr="00A75275">
        <w:rPr>
          <w:rFonts w:ascii="Arial" w:hAnsi="Arial" w:cs="Arial"/>
          <w:bCs/>
          <w:sz w:val="22"/>
          <w:szCs w:val="22"/>
          <w:lang w:val="fr-FR"/>
        </w:rPr>
        <w:t xml:space="preserve"> préoccupations. Un autre aspect </w:t>
      </w:r>
      <w:r>
        <w:rPr>
          <w:rFonts w:ascii="Arial" w:hAnsi="Arial" w:cs="Arial"/>
          <w:bCs/>
          <w:sz w:val="22"/>
          <w:szCs w:val="22"/>
          <w:lang w:val="fr-FR"/>
        </w:rPr>
        <w:t xml:space="preserve">était </w:t>
      </w:r>
      <w:r w:rsidRPr="00A75275">
        <w:rPr>
          <w:rFonts w:ascii="Arial" w:hAnsi="Arial" w:cs="Arial"/>
          <w:bCs/>
          <w:sz w:val="22"/>
          <w:szCs w:val="22"/>
          <w:lang w:val="fr-FR"/>
        </w:rPr>
        <w:t>l</w:t>
      </w:r>
      <w:r w:rsidR="008E532B">
        <w:rPr>
          <w:rFonts w:ascii="Arial" w:hAnsi="Arial" w:cs="Arial"/>
          <w:bCs/>
          <w:sz w:val="22"/>
          <w:szCs w:val="22"/>
          <w:lang w:val="fr-FR"/>
        </w:rPr>
        <w:t>’</w:t>
      </w:r>
      <w:r w:rsidRPr="00A75275">
        <w:rPr>
          <w:rFonts w:ascii="Arial" w:hAnsi="Arial" w:cs="Arial"/>
          <w:bCs/>
          <w:sz w:val="22"/>
          <w:szCs w:val="22"/>
          <w:lang w:val="fr-FR"/>
        </w:rPr>
        <w:t>utilisation d</w:t>
      </w:r>
      <w:r w:rsidR="008E532B">
        <w:rPr>
          <w:rFonts w:ascii="Arial" w:hAnsi="Arial" w:cs="Arial"/>
          <w:bCs/>
          <w:sz w:val="22"/>
          <w:szCs w:val="22"/>
          <w:lang w:val="fr-FR"/>
        </w:rPr>
        <w:t>’</w:t>
      </w:r>
      <w:r w:rsidRPr="00A75275">
        <w:rPr>
          <w:rFonts w:ascii="Arial" w:hAnsi="Arial" w:cs="Arial"/>
          <w:bCs/>
          <w:sz w:val="22"/>
          <w:szCs w:val="22"/>
          <w:lang w:val="fr-FR"/>
        </w:rPr>
        <w:t>un langage neutre en matière de genre et inclusif dans tous les aspects de la Convention. M.</w:t>
      </w:r>
      <w:r>
        <w:rPr>
          <w:rFonts w:ascii="Arial" w:hAnsi="Arial" w:cs="Arial"/>
          <w:bCs/>
          <w:sz w:val="22"/>
          <w:szCs w:val="22"/>
          <w:lang w:val="fr-FR"/>
        </w:rPr>
        <w:t> </w:t>
      </w:r>
      <w:proofErr w:type="spellStart"/>
      <w:r w:rsidRPr="00A75275">
        <w:rPr>
          <w:rFonts w:ascii="Arial" w:hAnsi="Arial" w:cs="Arial"/>
          <w:bCs/>
          <w:sz w:val="22"/>
          <w:szCs w:val="22"/>
          <w:lang w:val="fr-FR"/>
        </w:rPr>
        <w:t>Oike</w:t>
      </w:r>
      <w:proofErr w:type="spellEnd"/>
      <w:r w:rsidRPr="00A75275">
        <w:rPr>
          <w:rFonts w:ascii="Arial" w:hAnsi="Arial" w:cs="Arial"/>
          <w:bCs/>
          <w:sz w:val="22"/>
          <w:szCs w:val="22"/>
          <w:lang w:val="fr-FR"/>
        </w:rPr>
        <w:t xml:space="preserve"> a rappelé l</w:t>
      </w:r>
      <w:r w:rsidR="008E532B">
        <w:rPr>
          <w:rFonts w:ascii="Arial" w:hAnsi="Arial" w:cs="Arial"/>
          <w:bCs/>
          <w:sz w:val="22"/>
          <w:szCs w:val="22"/>
          <w:lang w:val="fr-FR"/>
        </w:rPr>
        <w:t>’</w:t>
      </w:r>
      <w:r w:rsidRPr="00A75275">
        <w:rPr>
          <w:rFonts w:ascii="Arial" w:hAnsi="Arial" w:cs="Arial"/>
          <w:bCs/>
          <w:sz w:val="22"/>
          <w:szCs w:val="22"/>
          <w:lang w:val="fr-FR"/>
        </w:rPr>
        <w:t xml:space="preserve">utilisation du </w:t>
      </w:r>
      <w:r>
        <w:rPr>
          <w:rFonts w:ascii="Arial" w:hAnsi="Arial" w:cs="Arial"/>
          <w:bCs/>
          <w:sz w:val="22"/>
          <w:szCs w:val="22"/>
          <w:lang w:val="fr-FR"/>
        </w:rPr>
        <w:t>« </w:t>
      </w:r>
      <w:r w:rsidRPr="00853B0A">
        <w:rPr>
          <w:rFonts w:ascii="Arial" w:hAnsi="Arial" w:cs="Arial"/>
          <w:bCs/>
          <w:i/>
          <w:iCs/>
          <w:sz w:val="22"/>
          <w:szCs w:val="22"/>
          <w:lang w:val="fr-FR"/>
        </w:rPr>
        <w:t>gentlemen</w:t>
      </w:r>
      <w:r w:rsidR="008E532B">
        <w:rPr>
          <w:rFonts w:ascii="Arial" w:hAnsi="Arial" w:cs="Arial"/>
          <w:bCs/>
          <w:i/>
          <w:iCs/>
          <w:sz w:val="22"/>
          <w:szCs w:val="22"/>
          <w:lang w:val="fr-FR"/>
        </w:rPr>
        <w:t>’</w:t>
      </w:r>
      <w:r w:rsidRPr="00853B0A">
        <w:rPr>
          <w:rFonts w:ascii="Arial" w:hAnsi="Arial" w:cs="Arial"/>
          <w:bCs/>
          <w:i/>
          <w:iCs/>
          <w:sz w:val="22"/>
          <w:szCs w:val="22"/>
          <w:lang w:val="fr-FR"/>
        </w:rPr>
        <w:t>s agreement</w:t>
      </w:r>
      <w:r>
        <w:rPr>
          <w:rFonts w:ascii="Arial" w:hAnsi="Arial" w:cs="Arial"/>
          <w:bCs/>
          <w:sz w:val="22"/>
          <w:szCs w:val="22"/>
          <w:lang w:val="fr-FR"/>
        </w:rPr>
        <w:t> »</w:t>
      </w:r>
      <w:r w:rsidRPr="00A75275">
        <w:rPr>
          <w:rFonts w:ascii="Arial" w:hAnsi="Arial" w:cs="Arial"/>
          <w:bCs/>
          <w:sz w:val="22"/>
          <w:szCs w:val="22"/>
          <w:lang w:val="fr-FR"/>
        </w:rPr>
        <w:t xml:space="preserve"> dans le passé, mais ce n</w:t>
      </w:r>
      <w:r w:rsidR="008E532B">
        <w:rPr>
          <w:rFonts w:ascii="Arial" w:hAnsi="Arial" w:cs="Arial"/>
          <w:bCs/>
          <w:sz w:val="22"/>
          <w:szCs w:val="22"/>
          <w:lang w:val="fr-FR"/>
        </w:rPr>
        <w:t>’</w:t>
      </w:r>
      <w:r>
        <w:rPr>
          <w:rFonts w:ascii="Arial" w:hAnsi="Arial" w:cs="Arial"/>
          <w:bCs/>
          <w:sz w:val="22"/>
          <w:szCs w:val="22"/>
          <w:lang w:val="fr-FR"/>
        </w:rPr>
        <w:t>était</w:t>
      </w:r>
      <w:r w:rsidRPr="00A75275">
        <w:rPr>
          <w:rFonts w:ascii="Arial" w:hAnsi="Arial" w:cs="Arial"/>
          <w:bCs/>
          <w:sz w:val="22"/>
          <w:szCs w:val="22"/>
          <w:lang w:val="fr-FR"/>
        </w:rPr>
        <w:t xml:space="preserve"> plus approprié dans ce contexte. </w:t>
      </w:r>
      <w:r>
        <w:rPr>
          <w:rFonts w:ascii="Arial" w:hAnsi="Arial" w:cs="Arial"/>
          <w:bCs/>
          <w:sz w:val="22"/>
          <w:szCs w:val="22"/>
          <w:lang w:val="fr-FR"/>
        </w:rPr>
        <w:t>À</w:t>
      </w:r>
      <w:r w:rsidRPr="00A75275">
        <w:rPr>
          <w:rFonts w:ascii="Arial" w:hAnsi="Arial" w:cs="Arial"/>
          <w:bCs/>
          <w:sz w:val="22"/>
          <w:szCs w:val="22"/>
          <w:lang w:val="fr-FR"/>
        </w:rPr>
        <w:t xml:space="preserve"> la demande du groupe de travail, le Secrétariat a</w:t>
      </w:r>
      <w:r>
        <w:rPr>
          <w:rFonts w:ascii="Arial" w:hAnsi="Arial" w:cs="Arial"/>
          <w:bCs/>
          <w:sz w:val="22"/>
          <w:szCs w:val="22"/>
          <w:lang w:val="fr-FR"/>
        </w:rPr>
        <w:t>vait</w:t>
      </w:r>
      <w:r w:rsidRPr="00A75275">
        <w:rPr>
          <w:rFonts w:ascii="Arial" w:hAnsi="Arial" w:cs="Arial"/>
          <w:bCs/>
          <w:sz w:val="22"/>
          <w:szCs w:val="22"/>
          <w:lang w:val="fr-FR"/>
        </w:rPr>
        <w:t xml:space="preserve"> préparé une série de projets d</w:t>
      </w:r>
      <w:r w:rsidR="008E532B">
        <w:rPr>
          <w:rFonts w:ascii="Arial" w:hAnsi="Arial" w:cs="Arial"/>
          <w:bCs/>
          <w:sz w:val="22"/>
          <w:szCs w:val="22"/>
          <w:lang w:val="fr-FR"/>
        </w:rPr>
        <w:t>’</w:t>
      </w:r>
      <w:r w:rsidRPr="00A75275">
        <w:rPr>
          <w:rFonts w:ascii="Arial" w:hAnsi="Arial" w:cs="Arial"/>
          <w:bCs/>
          <w:sz w:val="22"/>
          <w:szCs w:val="22"/>
          <w:lang w:val="fr-FR"/>
        </w:rPr>
        <w:t xml:space="preserve">amendements aux Directives opérationnelles sur la base des recommandations émanant de la </w:t>
      </w:r>
      <w:r>
        <w:rPr>
          <w:rFonts w:ascii="Arial" w:hAnsi="Arial" w:cs="Arial"/>
          <w:bCs/>
          <w:sz w:val="22"/>
          <w:szCs w:val="22"/>
          <w:lang w:val="fr-FR"/>
        </w:rPr>
        <w:t>p</w:t>
      </w:r>
      <w:r w:rsidRPr="00A75275">
        <w:rPr>
          <w:rFonts w:ascii="Arial" w:hAnsi="Arial" w:cs="Arial"/>
          <w:bCs/>
          <w:sz w:val="22"/>
          <w:szCs w:val="22"/>
          <w:lang w:val="fr-FR"/>
        </w:rPr>
        <w:t xml:space="preserve">artie I et de la </w:t>
      </w:r>
      <w:r>
        <w:rPr>
          <w:rFonts w:ascii="Arial" w:hAnsi="Arial" w:cs="Arial"/>
          <w:bCs/>
          <w:sz w:val="22"/>
          <w:szCs w:val="22"/>
          <w:lang w:val="fr-FR"/>
        </w:rPr>
        <w:t>p</w:t>
      </w:r>
      <w:r w:rsidRPr="00A75275">
        <w:rPr>
          <w:rFonts w:ascii="Arial" w:hAnsi="Arial" w:cs="Arial"/>
          <w:bCs/>
          <w:sz w:val="22"/>
          <w:szCs w:val="22"/>
          <w:lang w:val="fr-FR"/>
        </w:rPr>
        <w:t>artie II</w:t>
      </w:r>
      <w:r>
        <w:rPr>
          <w:rFonts w:ascii="Arial" w:hAnsi="Arial" w:cs="Arial"/>
          <w:bCs/>
          <w:sz w:val="22"/>
          <w:szCs w:val="22"/>
          <w:lang w:val="fr-FR"/>
        </w:rPr>
        <w:t xml:space="preserve"> de la réunion</w:t>
      </w:r>
      <w:r w:rsidRPr="00A75275">
        <w:rPr>
          <w:rFonts w:ascii="Arial" w:hAnsi="Arial" w:cs="Arial"/>
          <w:bCs/>
          <w:sz w:val="22"/>
          <w:szCs w:val="22"/>
          <w:lang w:val="fr-FR"/>
        </w:rPr>
        <w:t>. Ces propositions d</w:t>
      </w:r>
      <w:r w:rsidR="008E532B">
        <w:rPr>
          <w:rFonts w:ascii="Arial" w:hAnsi="Arial" w:cs="Arial"/>
          <w:bCs/>
          <w:sz w:val="22"/>
          <w:szCs w:val="22"/>
          <w:lang w:val="fr-FR"/>
        </w:rPr>
        <w:t>’</w:t>
      </w:r>
      <w:r w:rsidRPr="00A75275">
        <w:rPr>
          <w:rFonts w:ascii="Arial" w:hAnsi="Arial" w:cs="Arial"/>
          <w:bCs/>
          <w:sz w:val="22"/>
          <w:szCs w:val="22"/>
          <w:lang w:val="fr-FR"/>
        </w:rPr>
        <w:t xml:space="preserve">amendements </w:t>
      </w:r>
      <w:r>
        <w:rPr>
          <w:rFonts w:ascii="Arial" w:hAnsi="Arial" w:cs="Arial"/>
          <w:bCs/>
          <w:sz w:val="22"/>
          <w:szCs w:val="22"/>
          <w:lang w:val="fr-FR"/>
        </w:rPr>
        <w:t xml:space="preserve">avaient </w:t>
      </w:r>
      <w:r w:rsidRPr="00A75275">
        <w:rPr>
          <w:rFonts w:ascii="Arial" w:hAnsi="Arial" w:cs="Arial"/>
          <w:bCs/>
          <w:sz w:val="22"/>
          <w:szCs w:val="22"/>
          <w:lang w:val="fr-FR"/>
        </w:rPr>
        <w:t xml:space="preserve">été approuvées par la </w:t>
      </w:r>
      <w:r>
        <w:rPr>
          <w:rFonts w:ascii="Arial" w:hAnsi="Arial" w:cs="Arial"/>
          <w:bCs/>
          <w:sz w:val="22"/>
          <w:szCs w:val="22"/>
          <w:lang w:val="fr-FR"/>
        </w:rPr>
        <w:t xml:space="preserve">seizième </w:t>
      </w:r>
      <w:r w:rsidRPr="00A75275">
        <w:rPr>
          <w:rFonts w:ascii="Arial" w:hAnsi="Arial" w:cs="Arial"/>
          <w:bCs/>
          <w:sz w:val="22"/>
          <w:szCs w:val="22"/>
          <w:lang w:val="fr-FR"/>
        </w:rPr>
        <w:t>session du Comité en décembre</w:t>
      </w:r>
      <w:r>
        <w:rPr>
          <w:rFonts w:ascii="Arial" w:hAnsi="Arial" w:cs="Arial"/>
          <w:bCs/>
          <w:sz w:val="22"/>
          <w:szCs w:val="22"/>
          <w:lang w:val="fr-FR"/>
        </w:rPr>
        <w:t> </w:t>
      </w:r>
      <w:r w:rsidRPr="00A75275">
        <w:rPr>
          <w:rFonts w:ascii="Arial" w:hAnsi="Arial" w:cs="Arial"/>
          <w:bCs/>
          <w:sz w:val="22"/>
          <w:szCs w:val="22"/>
          <w:lang w:val="fr-FR"/>
        </w:rPr>
        <w:t>2021, qui a</w:t>
      </w:r>
      <w:r>
        <w:rPr>
          <w:rFonts w:ascii="Arial" w:hAnsi="Arial" w:cs="Arial"/>
          <w:bCs/>
          <w:sz w:val="22"/>
          <w:szCs w:val="22"/>
          <w:lang w:val="fr-FR"/>
        </w:rPr>
        <w:t>vait</w:t>
      </w:r>
      <w:r w:rsidRPr="00A75275">
        <w:rPr>
          <w:rFonts w:ascii="Arial" w:hAnsi="Arial" w:cs="Arial"/>
          <w:bCs/>
          <w:sz w:val="22"/>
          <w:szCs w:val="22"/>
          <w:lang w:val="fr-FR"/>
        </w:rPr>
        <w:t xml:space="preserve"> recommandé à l</w:t>
      </w:r>
      <w:r w:rsidR="008E532B">
        <w:rPr>
          <w:rFonts w:ascii="Arial" w:hAnsi="Arial" w:cs="Arial"/>
          <w:bCs/>
          <w:sz w:val="22"/>
          <w:szCs w:val="22"/>
          <w:lang w:val="fr-FR"/>
        </w:rPr>
        <w:t>’</w:t>
      </w:r>
      <w:r w:rsidRPr="00A75275">
        <w:rPr>
          <w:rFonts w:ascii="Arial" w:hAnsi="Arial" w:cs="Arial"/>
          <w:bCs/>
          <w:sz w:val="22"/>
          <w:szCs w:val="22"/>
          <w:lang w:val="fr-FR"/>
        </w:rPr>
        <w:t>Assemblée générale de réviser les Directives opérationnelles sur la base des recommandations du groupe de travail</w:t>
      </w:r>
      <w:r w:rsidRPr="00853B0A">
        <w:rPr>
          <w:rFonts w:ascii="Arial" w:hAnsi="Arial" w:cs="Arial"/>
          <w:bCs/>
          <w:sz w:val="22"/>
          <w:szCs w:val="22"/>
          <w:lang w:val="fr-FR"/>
        </w:rPr>
        <w:t xml:space="preserve"> </w:t>
      </w:r>
      <w:r>
        <w:rPr>
          <w:rFonts w:ascii="Arial" w:hAnsi="Arial" w:cs="Arial"/>
          <w:bCs/>
          <w:sz w:val="22"/>
          <w:szCs w:val="22"/>
          <w:lang w:val="fr-FR"/>
        </w:rPr>
        <w:t xml:space="preserve">et </w:t>
      </w:r>
      <w:r w:rsidRPr="00A75275">
        <w:rPr>
          <w:rFonts w:ascii="Arial" w:hAnsi="Arial" w:cs="Arial"/>
          <w:bCs/>
          <w:sz w:val="22"/>
          <w:szCs w:val="22"/>
          <w:lang w:val="fr-FR"/>
        </w:rPr>
        <w:t xml:space="preserve">en </w:t>
      </w:r>
      <w:r>
        <w:rPr>
          <w:rFonts w:ascii="Arial" w:hAnsi="Arial" w:cs="Arial"/>
          <w:bCs/>
          <w:sz w:val="22"/>
          <w:szCs w:val="22"/>
          <w:lang w:val="fr-FR"/>
        </w:rPr>
        <w:t xml:space="preserve">en </w:t>
      </w:r>
      <w:r w:rsidRPr="00A75275">
        <w:rPr>
          <w:rFonts w:ascii="Arial" w:hAnsi="Arial" w:cs="Arial"/>
          <w:bCs/>
          <w:sz w:val="22"/>
          <w:szCs w:val="22"/>
          <w:lang w:val="fr-FR"/>
        </w:rPr>
        <w:t>reflétant l</w:t>
      </w:r>
      <w:r w:rsidR="008E532B">
        <w:rPr>
          <w:rFonts w:ascii="Arial" w:hAnsi="Arial" w:cs="Arial"/>
          <w:bCs/>
          <w:sz w:val="22"/>
          <w:szCs w:val="22"/>
          <w:lang w:val="fr-FR"/>
        </w:rPr>
        <w:t>’</w:t>
      </w:r>
      <w:r w:rsidRPr="00A75275">
        <w:rPr>
          <w:rFonts w:ascii="Arial" w:hAnsi="Arial" w:cs="Arial"/>
          <w:bCs/>
          <w:sz w:val="22"/>
          <w:szCs w:val="22"/>
          <w:lang w:val="fr-FR"/>
        </w:rPr>
        <w:t xml:space="preserve">esprit. </w:t>
      </w:r>
      <w:r>
        <w:rPr>
          <w:rFonts w:ascii="Arial" w:hAnsi="Arial" w:cs="Arial"/>
          <w:bCs/>
          <w:sz w:val="22"/>
          <w:szCs w:val="22"/>
          <w:lang w:val="fr-FR"/>
        </w:rPr>
        <w:t>En se fondant sur</w:t>
      </w:r>
      <w:r w:rsidRPr="00A75275">
        <w:rPr>
          <w:rFonts w:ascii="Arial" w:hAnsi="Arial" w:cs="Arial"/>
          <w:bCs/>
          <w:sz w:val="22"/>
          <w:szCs w:val="22"/>
          <w:lang w:val="fr-FR"/>
        </w:rPr>
        <w:t xml:space="preserve"> cette demande, le Comité a</w:t>
      </w:r>
      <w:r>
        <w:rPr>
          <w:rFonts w:ascii="Arial" w:hAnsi="Arial" w:cs="Arial"/>
          <w:bCs/>
          <w:sz w:val="22"/>
          <w:szCs w:val="22"/>
          <w:lang w:val="fr-FR"/>
        </w:rPr>
        <w:t>vait</w:t>
      </w:r>
      <w:r w:rsidRPr="00A75275">
        <w:rPr>
          <w:rFonts w:ascii="Arial" w:hAnsi="Arial" w:cs="Arial"/>
          <w:bCs/>
          <w:sz w:val="22"/>
          <w:szCs w:val="22"/>
          <w:lang w:val="fr-FR"/>
        </w:rPr>
        <w:t xml:space="preserve"> étendu le mandat du groupe de travail pour prendre en charge des questions supplémentaires identifiées par le groupe de travail et le Comité lui-même. En conséquence, la partie III </w:t>
      </w:r>
      <w:r>
        <w:rPr>
          <w:rFonts w:ascii="Arial" w:hAnsi="Arial" w:cs="Arial"/>
          <w:bCs/>
          <w:sz w:val="22"/>
          <w:szCs w:val="22"/>
          <w:lang w:val="fr-FR"/>
        </w:rPr>
        <w:t xml:space="preserve">de la réunion </w:t>
      </w:r>
      <w:r w:rsidRPr="00A75275">
        <w:rPr>
          <w:rFonts w:ascii="Arial" w:hAnsi="Arial" w:cs="Arial"/>
          <w:bCs/>
          <w:sz w:val="22"/>
          <w:szCs w:val="22"/>
          <w:lang w:val="fr-FR"/>
        </w:rPr>
        <w:t>a</w:t>
      </w:r>
      <w:r>
        <w:rPr>
          <w:rFonts w:ascii="Arial" w:hAnsi="Arial" w:cs="Arial"/>
          <w:bCs/>
          <w:sz w:val="22"/>
          <w:szCs w:val="22"/>
          <w:lang w:val="fr-FR"/>
        </w:rPr>
        <w:t>vait</w:t>
      </w:r>
      <w:r w:rsidRPr="00A75275">
        <w:rPr>
          <w:rFonts w:ascii="Arial" w:hAnsi="Arial" w:cs="Arial"/>
          <w:bCs/>
          <w:sz w:val="22"/>
          <w:szCs w:val="22"/>
          <w:lang w:val="fr-FR"/>
        </w:rPr>
        <w:t xml:space="preserve"> été convoquée en avril</w:t>
      </w:r>
      <w:r>
        <w:rPr>
          <w:rFonts w:ascii="Arial" w:hAnsi="Arial" w:cs="Arial"/>
          <w:bCs/>
          <w:sz w:val="22"/>
          <w:szCs w:val="22"/>
          <w:lang w:val="fr-FR"/>
        </w:rPr>
        <w:t> </w:t>
      </w:r>
      <w:r w:rsidRPr="00A75275">
        <w:rPr>
          <w:rFonts w:ascii="Arial" w:hAnsi="Arial" w:cs="Arial"/>
          <w:bCs/>
          <w:sz w:val="22"/>
          <w:szCs w:val="22"/>
          <w:lang w:val="fr-FR"/>
        </w:rPr>
        <w:t>2022. Au cours de cette réunion, il a</w:t>
      </w:r>
      <w:r>
        <w:rPr>
          <w:rFonts w:ascii="Arial" w:hAnsi="Arial" w:cs="Arial"/>
          <w:bCs/>
          <w:sz w:val="22"/>
          <w:szCs w:val="22"/>
          <w:lang w:val="fr-FR"/>
        </w:rPr>
        <w:t>vait</w:t>
      </w:r>
      <w:r w:rsidRPr="00A75275">
        <w:rPr>
          <w:rFonts w:ascii="Arial" w:hAnsi="Arial" w:cs="Arial"/>
          <w:bCs/>
          <w:sz w:val="22"/>
          <w:szCs w:val="22"/>
          <w:lang w:val="fr-FR"/>
        </w:rPr>
        <w:t xml:space="preserve"> été demandé au groupe de travail de réfléchir à </w:t>
      </w:r>
      <w:r w:rsidRPr="00853B0A">
        <w:rPr>
          <w:rFonts w:ascii="Arial" w:hAnsi="Arial" w:cs="Arial"/>
          <w:bCs/>
          <w:sz w:val="22"/>
          <w:szCs w:val="22"/>
          <w:u w:val="single"/>
          <w:lang w:val="fr-FR"/>
        </w:rPr>
        <w:t>neuf sujets de discussion</w:t>
      </w:r>
      <w:r w:rsidRPr="00A75275">
        <w:rPr>
          <w:rFonts w:ascii="Arial" w:hAnsi="Arial" w:cs="Arial"/>
          <w:bCs/>
          <w:sz w:val="22"/>
          <w:szCs w:val="22"/>
          <w:lang w:val="fr-FR"/>
        </w:rPr>
        <w:t xml:space="preserve"> regroupés en deux grandes catégories. La première catégorie concernait cinq sujets de discussion qui étaient finalement liés au nombre annuel de dossiers à examiner. Il s</w:t>
      </w:r>
      <w:r w:rsidR="008E532B">
        <w:rPr>
          <w:rFonts w:ascii="Arial" w:hAnsi="Arial" w:cs="Arial"/>
          <w:bCs/>
          <w:sz w:val="22"/>
          <w:szCs w:val="22"/>
          <w:lang w:val="fr-FR"/>
        </w:rPr>
        <w:t>’</w:t>
      </w:r>
      <w:r w:rsidRPr="00A75275">
        <w:rPr>
          <w:rFonts w:ascii="Arial" w:hAnsi="Arial" w:cs="Arial"/>
          <w:bCs/>
          <w:sz w:val="22"/>
          <w:szCs w:val="22"/>
          <w:lang w:val="fr-FR"/>
        </w:rPr>
        <w:t>agissait surtout de la composition et des méthodes de travail de l</w:t>
      </w:r>
      <w:r w:rsidR="008E532B">
        <w:rPr>
          <w:rFonts w:ascii="Arial" w:hAnsi="Arial" w:cs="Arial"/>
          <w:bCs/>
          <w:sz w:val="22"/>
          <w:szCs w:val="22"/>
          <w:lang w:val="fr-FR"/>
        </w:rPr>
        <w:t>’</w:t>
      </w:r>
      <w:r>
        <w:rPr>
          <w:rFonts w:ascii="Arial" w:hAnsi="Arial" w:cs="Arial"/>
          <w:bCs/>
          <w:sz w:val="22"/>
          <w:szCs w:val="22"/>
          <w:lang w:val="fr-FR"/>
        </w:rPr>
        <w:t>O</w:t>
      </w:r>
      <w:r w:rsidRPr="00A75275">
        <w:rPr>
          <w:rFonts w:ascii="Arial" w:hAnsi="Arial" w:cs="Arial"/>
          <w:bCs/>
          <w:sz w:val="22"/>
          <w:szCs w:val="22"/>
          <w:lang w:val="fr-FR"/>
        </w:rPr>
        <w:t>rgane d</w:t>
      </w:r>
      <w:r w:rsidR="008E532B">
        <w:rPr>
          <w:rFonts w:ascii="Arial" w:hAnsi="Arial" w:cs="Arial"/>
          <w:bCs/>
          <w:sz w:val="22"/>
          <w:szCs w:val="22"/>
          <w:lang w:val="fr-FR"/>
        </w:rPr>
        <w:t>’</w:t>
      </w:r>
      <w:r w:rsidRPr="00A75275">
        <w:rPr>
          <w:rFonts w:ascii="Arial" w:hAnsi="Arial" w:cs="Arial"/>
          <w:bCs/>
          <w:sz w:val="22"/>
          <w:szCs w:val="22"/>
          <w:lang w:val="fr-FR"/>
        </w:rPr>
        <w:t>évaluation. Le groupe de travail a</w:t>
      </w:r>
      <w:r>
        <w:rPr>
          <w:rFonts w:ascii="Arial" w:hAnsi="Arial" w:cs="Arial"/>
          <w:bCs/>
          <w:sz w:val="22"/>
          <w:szCs w:val="22"/>
          <w:lang w:val="fr-FR"/>
        </w:rPr>
        <w:t>vait</w:t>
      </w:r>
      <w:r w:rsidRPr="00A75275">
        <w:rPr>
          <w:rFonts w:ascii="Arial" w:hAnsi="Arial" w:cs="Arial"/>
          <w:bCs/>
          <w:sz w:val="22"/>
          <w:szCs w:val="22"/>
          <w:lang w:val="fr-FR"/>
        </w:rPr>
        <w:t xml:space="preserve"> convenu de fixer le </w:t>
      </w:r>
      <w:r w:rsidRPr="00853B0A">
        <w:rPr>
          <w:rFonts w:ascii="Arial" w:hAnsi="Arial" w:cs="Arial"/>
          <w:bCs/>
          <w:sz w:val="22"/>
          <w:szCs w:val="22"/>
          <w:u w:val="single"/>
          <w:lang w:val="fr-FR"/>
        </w:rPr>
        <w:t xml:space="preserve">nombre annuel de dossiers à examiner à </w:t>
      </w:r>
      <w:r>
        <w:rPr>
          <w:rFonts w:ascii="Arial" w:hAnsi="Arial" w:cs="Arial"/>
          <w:bCs/>
          <w:sz w:val="22"/>
          <w:szCs w:val="22"/>
          <w:u w:val="single"/>
          <w:lang w:val="fr-FR"/>
        </w:rPr>
        <w:t>au</w:t>
      </w:r>
      <w:r w:rsidRPr="00853B0A">
        <w:rPr>
          <w:rFonts w:ascii="Arial" w:hAnsi="Arial" w:cs="Arial"/>
          <w:bCs/>
          <w:sz w:val="22"/>
          <w:szCs w:val="22"/>
          <w:u w:val="single"/>
          <w:lang w:val="fr-FR"/>
        </w:rPr>
        <w:t xml:space="preserve"> moins soixante</w:t>
      </w:r>
      <w:r w:rsidRPr="00A75275">
        <w:rPr>
          <w:rFonts w:ascii="Arial" w:hAnsi="Arial" w:cs="Arial"/>
          <w:bCs/>
          <w:sz w:val="22"/>
          <w:szCs w:val="22"/>
          <w:lang w:val="fr-FR"/>
        </w:rPr>
        <w:t xml:space="preserve">. Dans le même temps, </w:t>
      </w:r>
      <w:r>
        <w:rPr>
          <w:rFonts w:ascii="Arial" w:hAnsi="Arial" w:cs="Arial"/>
          <w:bCs/>
          <w:sz w:val="22"/>
          <w:szCs w:val="22"/>
          <w:lang w:val="fr-FR"/>
        </w:rPr>
        <w:t>des voix s</w:t>
      </w:r>
      <w:r w:rsidR="008E532B">
        <w:rPr>
          <w:rFonts w:ascii="Arial" w:hAnsi="Arial" w:cs="Arial"/>
          <w:bCs/>
          <w:sz w:val="22"/>
          <w:szCs w:val="22"/>
          <w:lang w:val="fr-FR"/>
        </w:rPr>
        <w:t>’</w:t>
      </w:r>
      <w:r>
        <w:rPr>
          <w:rFonts w:ascii="Arial" w:hAnsi="Arial" w:cs="Arial"/>
          <w:bCs/>
          <w:sz w:val="22"/>
          <w:szCs w:val="22"/>
          <w:lang w:val="fr-FR"/>
        </w:rPr>
        <w:t xml:space="preserve">étaient fait entendre avec force pour </w:t>
      </w:r>
      <w:r w:rsidRPr="00A75275">
        <w:rPr>
          <w:rFonts w:ascii="Arial" w:hAnsi="Arial" w:cs="Arial"/>
          <w:bCs/>
          <w:sz w:val="22"/>
          <w:szCs w:val="22"/>
          <w:lang w:val="fr-FR"/>
        </w:rPr>
        <w:t xml:space="preserve">que davantage de dossiers </w:t>
      </w:r>
      <w:r>
        <w:rPr>
          <w:rFonts w:ascii="Arial" w:hAnsi="Arial" w:cs="Arial"/>
          <w:bCs/>
          <w:sz w:val="22"/>
          <w:szCs w:val="22"/>
          <w:lang w:val="fr-FR"/>
        </w:rPr>
        <w:t xml:space="preserve">soient </w:t>
      </w:r>
      <w:r w:rsidRPr="00A75275">
        <w:rPr>
          <w:rFonts w:ascii="Arial" w:hAnsi="Arial" w:cs="Arial"/>
          <w:bCs/>
          <w:sz w:val="22"/>
          <w:szCs w:val="22"/>
          <w:lang w:val="fr-FR"/>
        </w:rPr>
        <w:t>examinés</w:t>
      </w:r>
      <w:r>
        <w:rPr>
          <w:rFonts w:ascii="Arial" w:hAnsi="Arial" w:cs="Arial"/>
          <w:bCs/>
          <w:sz w:val="22"/>
          <w:szCs w:val="22"/>
          <w:lang w:val="fr-FR"/>
        </w:rPr>
        <w:t>. L</w:t>
      </w:r>
      <w:r w:rsidRPr="00A75275">
        <w:rPr>
          <w:rFonts w:ascii="Arial" w:hAnsi="Arial" w:cs="Arial"/>
          <w:bCs/>
          <w:sz w:val="22"/>
          <w:szCs w:val="22"/>
          <w:lang w:val="fr-FR"/>
        </w:rPr>
        <w:t>e groupe de travail a</w:t>
      </w:r>
      <w:r>
        <w:rPr>
          <w:rFonts w:ascii="Arial" w:hAnsi="Arial" w:cs="Arial"/>
          <w:bCs/>
          <w:sz w:val="22"/>
          <w:szCs w:val="22"/>
          <w:lang w:val="fr-FR"/>
        </w:rPr>
        <w:t>vait</w:t>
      </w:r>
      <w:r w:rsidRPr="00A75275">
        <w:rPr>
          <w:rFonts w:ascii="Arial" w:hAnsi="Arial" w:cs="Arial"/>
          <w:bCs/>
          <w:sz w:val="22"/>
          <w:szCs w:val="22"/>
          <w:lang w:val="fr-FR"/>
        </w:rPr>
        <w:t xml:space="preserve"> donc demandé au Secrétariat de préparer une proposition détaillée des ressources financières et humaines nécessaires au renforcement du mécanisme d</w:t>
      </w:r>
      <w:r w:rsidR="008E532B">
        <w:rPr>
          <w:rFonts w:ascii="Arial" w:hAnsi="Arial" w:cs="Arial"/>
          <w:bCs/>
          <w:sz w:val="22"/>
          <w:szCs w:val="22"/>
          <w:lang w:val="fr-FR"/>
        </w:rPr>
        <w:t>’</w:t>
      </w:r>
      <w:r w:rsidRPr="00A75275">
        <w:rPr>
          <w:rFonts w:ascii="Arial" w:hAnsi="Arial" w:cs="Arial"/>
          <w:bCs/>
          <w:sz w:val="22"/>
          <w:szCs w:val="22"/>
          <w:lang w:val="fr-FR"/>
        </w:rPr>
        <w:t>inscription. Cette proposition devrait être soumise à l</w:t>
      </w:r>
      <w:r w:rsidR="008E532B">
        <w:rPr>
          <w:rFonts w:ascii="Arial" w:hAnsi="Arial" w:cs="Arial"/>
          <w:bCs/>
          <w:sz w:val="22"/>
          <w:szCs w:val="22"/>
          <w:lang w:val="fr-FR"/>
        </w:rPr>
        <w:t>’</w:t>
      </w:r>
      <w:r w:rsidRPr="00A75275">
        <w:rPr>
          <w:rFonts w:ascii="Arial" w:hAnsi="Arial" w:cs="Arial"/>
          <w:bCs/>
          <w:sz w:val="22"/>
          <w:szCs w:val="22"/>
          <w:lang w:val="fr-FR"/>
        </w:rPr>
        <w:t>examen du Comité pour être transmise au Conseil</w:t>
      </w:r>
      <w:r>
        <w:rPr>
          <w:rFonts w:ascii="Arial" w:hAnsi="Arial" w:cs="Arial"/>
          <w:bCs/>
          <w:sz w:val="22"/>
          <w:szCs w:val="22"/>
          <w:lang w:val="fr-FR"/>
        </w:rPr>
        <w:t xml:space="preserve"> exécutif</w:t>
      </w:r>
      <w:r w:rsidRPr="00A75275">
        <w:rPr>
          <w:rFonts w:ascii="Arial" w:hAnsi="Arial" w:cs="Arial"/>
          <w:bCs/>
          <w:sz w:val="22"/>
          <w:szCs w:val="22"/>
          <w:lang w:val="fr-FR"/>
        </w:rPr>
        <w:t xml:space="preserve"> lors de la </w:t>
      </w:r>
      <w:r>
        <w:rPr>
          <w:rFonts w:ascii="Arial" w:hAnsi="Arial" w:cs="Arial"/>
          <w:bCs/>
          <w:sz w:val="22"/>
          <w:szCs w:val="22"/>
          <w:lang w:val="fr-FR"/>
        </w:rPr>
        <w:t>dixième</w:t>
      </w:r>
      <w:r w:rsidRPr="00A75275">
        <w:rPr>
          <w:rFonts w:ascii="Arial" w:hAnsi="Arial" w:cs="Arial"/>
          <w:bCs/>
          <w:sz w:val="22"/>
          <w:szCs w:val="22"/>
          <w:lang w:val="fr-FR"/>
        </w:rPr>
        <w:t xml:space="preserve"> </w:t>
      </w:r>
      <w:r>
        <w:rPr>
          <w:rFonts w:ascii="Arial" w:hAnsi="Arial" w:cs="Arial"/>
          <w:bCs/>
          <w:sz w:val="22"/>
          <w:szCs w:val="22"/>
          <w:lang w:val="fr-FR"/>
        </w:rPr>
        <w:t xml:space="preserve">session </w:t>
      </w:r>
      <w:r w:rsidRPr="00A75275">
        <w:rPr>
          <w:rFonts w:ascii="Arial" w:hAnsi="Arial" w:cs="Arial"/>
          <w:bCs/>
          <w:sz w:val="22"/>
          <w:szCs w:val="22"/>
          <w:lang w:val="fr-FR"/>
        </w:rPr>
        <w:t>de l</w:t>
      </w:r>
      <w:r w:rsidR="008E532B">
        <w:rPr>
          <w:rFonts w:ascii="Arial" w:hAnsi="Arial" w:cs="Arial"/>
          <w:bCs/>
          <w:sz w:val="22"/>
          <w:szCs w:val="22"/>
          <w:lang w:val="fr-FR"/>
        </w:rPr>
        <w:t>’</w:t>
      </w:r>
      <w:r w:rsidRPr="00A75275">
        <w:rPr>
          <w:rFonts w:ascii="Arial" w:hAnsi="Arial" w:cs="Arial"/>
          <w:bCs/>
          <w:sz w:val="22"/>
          <w:szCs w:val="22"/>
          <w:lang w:val="fr-FR"/>
        </w:rPr>
        <w:t xml:space="preserve">Assemblée générale [en 2024]. </w:t>
      </w:r>
      <w:proofErr w:type="gramStart"/>
      <w:r w:rsidRPr="00A75275">
        <w:rPr>
          <w:rFonts w:ascii="Arial" w:hAnsi="Arial" w:cs="Arial"/>
          <w:bCs/>
          <w:sz w:val="22"/>
          <w:szCs w:val="22"/>
          <w:lang w:val="fr-FR"/>
        </w:rPr>
        <w:t>Suite à</w:t>
      </w:r>
      <w:proofErr w:type="gramEnd"/>
      <w:r w:rsidRPr="00A75275">
        <w:rPr>
          <w:rFonts w:ascii="Arial" w:hAnsi="Arial" w:cs="Arial"/>
          <w:bCs/>
          <w:sz w:val="22"/>
          <w:szCs w:val="22"/>
          <w:lang w:val="fr-FR"/>
        </w:rPr>
        <w:t xml:space="preserve"> cet accord, le groupe de travail a</w:t>
      </w:r>
      <w:r>
        <w:rPr>
          <w:rFonts w:ascii="Arial" w:hAnsi="Arial" w:cs="Arial"/>
          <w:bCs/>
          <w:sz w:val="22"/>
          <w:szCs w:val="22"/>
          <w:lang w:val="fr-FR"/>
        </w:rPr>
        <w:t>vait</w:t>
      </w:r>
      <w:r w:rsidRPr="00A75275">
        <w:rPr>
          <w:rFonts w:ascii="Arial" w:hAnsi="Arial" w:cs="Arial"/>
          <w:bCs/>
          <w:sz w:val="22"/>
          <w:szCs w:val="22"/>
          <w:lang w:val="fr-FR"/>
        </w:rPr>
        <w:t xml:space="preserve"> convenu de maintenir la composition et les méthodes de travail actuelles de l</w:t>
      </w:r>
      <w:r w:rsidR="008E532B">
        <w:rPr>
          <w:rFonts w:ascii="Arial" w:hAnsi="Arial" w:cs="Arial"/>
          <w:bCs/>
          <w:sz w:val="22"/>
          <w:szCs w:val="22"/>
          <w:lang w:val="fr-FR"/>
        </w:rPr>
        <w:t>’</w:t>
      </w:r>
      <w:r w:rsidRPr="00A75275">
        <w:rPr>
          <w:rFonts w:ascii="Arial" w:hAnsi="Arial" w:cs="Arial"/>
          <w:bCs/>
          <w:sz w:val="22"/>
          <w:szCs w:val="22"/>
          <w:lang w:val="fr-FR"/>
        </w:rPr>
        <w:t>Organe d</w:t>
      </w:r>
      <w:r w:rsidR="008E532B">
        <w:rPr>
          <w:rFonts w:ascii="Arial" w:hAnsi="Arial" w:cs="Arial"/>
          <w:bCs/>
          <w:sz w:val="22"/>
          <w:szCs w:val="22"/>
          <w:lang w:val="fr-FR"/>
        </w:rPr>
        <w:t>’</w:t>
      </w:r>
      <w:r w:rsidRPr="00A75275">
        <w:rPr>
          <w:rFonts w:ascii="Arial" w:hAnsi="Arial" w:cs="Arial"/>
          <w:bCs/>
          <w:sz w:val="22"/>
          <w:szCs w:val="22"/>
          <w:lang w:val="fr-FR"/>
        </w:rPr>
        <w:t>évaluation.</w:t>
      </w:r>
    </w:p>
    <w:p w14:paraId="6F3D89B5" w14:textId="064D6BC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277F5">
        <w:rPr>
          <w:rFonts w:ascii="Arial" w:hAnsi="Arial" w:cs="Arial"/>
          <w:bCs/>
          <w:sz w:val="22"/>
          <w:szCs w:val="22"/>
          <w:lang w:val="fr-FR"/>
        </w:rPr>
        <w:t>L</w:t>
      </w:r>
      <w:r>
        <w:rPr>
          <w:rFonts w:ascii="Arial" w:hAnsi="Arial" w:cs="Arial"/>
          <w:bCs/>
          <w:sz w:val="22"/>
          <w:szCs w:val="22"/>
          <w:lang w:val="fr-FR"/>
        </w:rPr>
        <w:t>e</w:t>
      </w:r>
      <w:r w:rsidRPr="001277F5">
        <w:rPr>
          <w:rFonts w:ascii="Arial" w:hAnsi="Arial" w:cs="Arial"/>
          <w:bCs/>
          <w:sz w:val="22"/>
          <w:szCs w:val="22"/>
          <w:lang w:val="fr-FR"/>
        </w:rPr>
        <w:t xml:space="preserve"> </w:t>
      </w:r>
      <w:r w:rsidRPr="001277F5">
        <w:rPr>
          <w:rFonts w:ascii="Arial" w:hAnsi="Arial" w:cs="Arial"/>
          <w:b/>
          <w:sz w:val="22"/>
          <w:szCs w:val="22"/>
          <w:lang w:val="fr-FR"/>
        </w:rPr>
        <w:t>Président du groupe de travail à composition non limitée</w:t>
      </w:r>
      <w:r w:rsidRPr="001277F5">
        <w:rPr>
          <w:rFonts w:ascii="Arial" w:hAnsi="Arial" w:cs="Arial"/>
          <w:bCs/>
          <w:sz w:val="22"/>
          <w:szCs w:val="22"/>
          <w:lang w:val="fr-FR"/>
        </w:rPr>
        <w:t xml:space="preserve"> a rappelé que le groupe de travail a</w:t>
      </w:r>
      <w:r>
        <w:rPr>
          <w:rFonts w:ascii="Arial" w:hAnsi="Arial" w:cs="Arial"/>
          <w:bCs/>
          <w:sz w:val="22"/>
          <w:szCs w:val="22"/>
          <w:lang w:val="fr-FR"/>
        </w:rPr>
        <w:t>vait</w:t>
      </w:r>
      <w:r w:rsidRPr="001277F5">
        <w:rPr>
          <w:rFonts w:ascii="Arial" w:hAnsi="Arial" w:cs="Arial"/>
          <w:bCs/>
          <w:sz w:val="22"/>
          <w:szCs w:val="22"/>
          <w:lang w:val="fr-FR"/>
        </w:rPr>
        <w:t xml:space="preserve"> également convenu</w:t>
      </w:r>
      <w:r>
        <w:rPr>
          <w:rFonts w:ascii="Arial" w:hAnsi="Arial" w:cs="Arial"/>
          <w:bCs/>
          <w:sz w:val="22"/>
          <w:szCs w:val="22"/>
          <w:lang w:val="fr-FR"/>
        </w:rPr>
        <w:t>,</w:t>
      </w:r>
      <w:r w:rsidRPr="001277F5">
        <w:rPr>
          <w:rFonts w:ascii="Arial" w:hAnsi="Arial" w:cs="Arial"/>
          <w:bCs/>
          <w:sz w:val="22"/>
          <w:szCs w:val="22"/>
          <w:lang w:val="fr-FR"/>
        </w:rPr>
        <w:t xml:space="preserve"> qu</w:t>
      </w:r>
      <w:r w:rsidR="008E532B">
        <w:rPr>
          <w:rFonts w:ascii="Arial" w:hAnsi="Arial" w:cs="Arial"/>
          <w:bCs/>
          <w:sz w:val="22"/>
          <w:szCs w:val="22"/>
          <w:lang w:val="fr-FR"/>
        </w:rPr>
        <w:t>’</w:t>
      </w:r>
      <w:r>
        <w:rPr>
          <w:rFonts w:ascii="Arial" w:hAnsi="Arial" w:cs="Arial"/>
          <w:bCs/>
          <w:sz w:val="22"/>
          <w:szCs w:val="22"/>
          <w:lang w:val="fr-FR"/>
        </w:rPr>
        <w:t>à titre expérimental,</w:t>
      </w:r>
      <w:r w:rsidRPr="001277F5">
        <w:rPr>
          <w:rFonts w:ascii="Arial" w:hAnsi="Arial" w:cs="Arial"/>
          <w:bCs/>
          <w:sz w:val="22"/>
          <w:szCs w:val="22"/>
          <w:lang w:val="fr-FR"/>
        </w:rPr>
        <w:t xml:space="preserve"> les inscriptions </w:t>
      </w:r>
      <w:r>
        <w:rPr>
          <w:rFonts w:ascii="Arial" w:hAnsi="Arial" w:cs="Arial"/>
          <w:bCs/>
          <w:sz w:val="22"/>
          <w:szCs w:val="22"/>
          <w:lang w:val="fr-FR"/>
        </w:rPr>
        <w:t>concernant une extension ou une réduction d</w:t>
      </w:r>
      <w:r w:rsidR="008E532B">
        <w:rPr>
          <w:rFonts w:ascii="Arial" w:hAnsi="Arial" w:cs="Arial"/>
          <w:bCs/>
          <w:sz w:val="22"/>
          <w:szCs w:val="22"/>
          <w:lang w:val="fr-FR"/>
        </w:rPr>
        <w:t>’</w:t>
      </w:r>
      <w:r>
        <w:rPr>
          <w:rFonts w:ascii="Arial" w:hAnsi="Arial" w:cs="Arial"/>
          <w:bCs/>
          <w:sz w:val="22"/>
          <w:szCs w:val="22"/>
          <w:lang w:val="fr-FR"/>
        </w:rPr>
        <w:t>un élément ne devaient pas faire partie du</w:t>
      </w:r>
      <w:r w:rsidRPr="001277F5">
        <w:rPr>
          <w:rFonts w:ascii="Arial" w:hAnsi="Arial" w:cs="Arial"/>
          <w:bCs/>
          <w:sz w:val="22"/>
          <w:szCs w:val="22"/>
          <w:lang w:val="fr-FR"/>
        </w:rPr>
        <w:t xml:space="preserve"> plafond annuel, </w:t>
      </w:r>
      <w:r>
        <w:rPr>
          <w:rFonts w:ascii="Arial" w:hAnsi="Arial" w:cs="Arial"/>
          <w:bCs/>
          <w:sz w:val="22"/>
          <w:szCs w:val="22"/>
          <w:lang w:val="fr-FR"/>
        </w:rPr>
        <w:t>c.</w:t>
      </w:r>
      <w:r>
        <w:rPr>
          <w:rFonts w:ascii="Arial" w:hAnsi="Arial" w:cs="Arial"/>
          <w:bCs/>
          <w:sz w:val="22"/>
          <w:szCs w:val="22"/>
          <w:lang w:val="fr-FR"/>
        </w:rPr>
        <w:noBreakHyphen/>
        <w:t>à</w:t>
      </w:r>
      <w:r>
        <w:rPr>
          <w:rFonts w:ascii="Arial" w:hAnsi="Arial" w:cs="Arial"/>
          <w:bCs/>
          <w:sz w:val="22"/>
          <w:szCs w:val="22"/>
          <w:lang w:val="fr-FR"/>
        </w:rPr>
        <w:noBreakHyphen/>
        <w:t xml:space="preserve">d. </w:t>
      </w:r>
      <w:r w:rsidRPr="001277F5">
        <w:rPr>
          <w:rFonts w:ascii="Arial" w:hAnsi="Arial" w:cs="Arial"/>
          <w:bCs/>
          <w:sz w:val="22"/>
          <w:szCs w:val="22"/>
          <w:lang w:val="fr-FR"/>
        </w:rPr>
        <w:t xml:space="preserve">un État partie souhaitant réduire ou étendre son dossier ne serait pas compté parmi les soixante dossiers autorisés. Certaines préoccupations </w:t>
      </w:r>
      <w:r>
        <w:rPr>
          <w:rFonts w:ascii="Arial" w:hAnsi="Arial" w:cs="Arial"/>
          <w:bCs/>
          <w:sz w:val="22"/>
          <w:szCs w:val="22"/>
          <w:lang w:val="fr-FR"/>
        </w:rPr>
        <w:t>avaient</w:t>
      </w:r>
      <w:r w:rsidRPr="001277F5">
        <w:rPr>
          <w:rFonts w:ascii="Arial" w:hAnsi="Arial" w:cs="Arial"/>
          <w:bCs/>
          <w:sz w:val="22"/>
          <w:szCs w:val="22"/>
          <w:lang w:val="fr-FR"/>
        </w:rPr>
        <w:t xml:space="preserve"> été exprimées à cet égard, car les États parties pourraient opter pour des extensions (car cela ne compterait pas). Ainsi, cette mesure pourrait devoir être réexaminée à l</w:t>
      </w:r>
      <w:r w:rsidR="008E532B">
        <w:rPr>
          <w:rFonts w:ascii="Arial" w:hAnsi="Arial" w:cs="Arial"/>
          <w:bCs/>
          <w:sz w:val="22"/>
          <w:szCs w:val="22"/>
          <w:lang w:val="fr-FR"/>
        </w:rPr>
        <w:t>’</w:t>
      </w:r>
      <w:r w:rsidRPr="001277F5">
        <w:rPr>
          <w:rFonts w:ascii="Arial" w:hAnsi="Arial" w:cs="Arial"/>
          <w:bCs/>
          <w:sz w:val="22"/>
          <w:szCs w:val="22"/>
          <w:lang w:val="fr-FR"/>
        </w:rPr>
        <w:t>avenir si cela s</w:t>
      </w:r>
      <w:r w:rsidR="008E532B">
        <w:rPr>
          <w:rFonts w:ascii="Arial" w:hAnsi="Arial" w:cs="Arial"/>
          <w:bCs/>
          <w:sz w:val="22"/>
          <w:szCs w:val="22"/>
          <w:lang w:val="fr-FR"/>
        </w:rPr>
        <w:t>’</w:t>
      </w:r>
      <w:r w:rsidRPr="001277F5">
        <w:rPr>
          <w:rFonts w:ascii="Arial" w:hAnsi="Arial" w:cs="Arial"/>
          <w:bCs/>
          <w:sz w:val="22"/>
          <w:szCs w:val="22"/>
          <w:lang w:val="fr-FR"/>
        </w:rPr>
        <w:t>av</w:t>
      </w:r>
      <w:r>
        <w:rPr>
          <w:rFonts w:ascii="Arial" w:hAnsi="Arial" w:cs="Arial"/>
          <w:bCs/>
          <w:sz w:val="22"/>
          <w:szCs w:val="22"/>
          <w:lang w:val="fr-FR"/>
        </w:rPr>
        <w:t>érait</w:t>
      </w:r>
      <w:r w:rsidRPr="001277F5">
        <w:rPr>
          <w:rFonts w:ascii="Arial" w:hAnsi="Arial" w:cs="Arial"/>
          <w:bCs/>
          <w:sz w:val="22"/>
          <w:szCs w:val="22"/>
          <w:lang w:val="fr-FR"/>
        </w:rPr>
        <w:t xml:space="preserve"> être le cas et en raison de sa nature expérimentale. La deuxième catégorie de questions </w:t>
      </w:r>
      <w:r>
        <w:rPr>
          <w:rFonts w:ascii="Arial" w:hAnsi="Arial" w:cs="Arial"/>
          <w:bCs/>
          <w:sz w:val="22"/>
          <w:szCs w:val="22"/>
          <w:lang w:val="fr-FR"/>
        </w:rPr>
        <w:t xml:space="preserve">abordait </w:t>
      </w:r>
      <w:r w:rsidRPr="001277F5">
        <w:rPr>
          <w:rFonts w:ascii="Arial" w:hAnsi="Arial" w:cs="Arial"/>
          <w:bCs/>
          <w:sz w:val="22"/>
          <w:szCs w:val="22"/>
          <w:lang w:val="fr-FR"/>
        </w:rPr>
        <w:t>d</w:t>
      </w:r>
      <w:r w:rsidR="008E532B">
        <w:rPr>
          <w:rFonts w:ascii="Arial" w:hAnsi="Arial" w:cs="Arial"/>
          <w:bCs/>
          <w:sz w:val="22"/>
          <w:szCs w:val="22"/>
          <w:lang w:val="fr-FR"/>
        </w:rPr>
        <w:t>’</w:t>
      </w:r>
      <w:r w:rsidRPr="001277F5">
        <w:rPr>
          <w:rFonts w:ascii="Arial" w:hAnsi="Arial" w:cs="Arial"/>
          <w:bCs/>
          <w:sz w:val="22"/>
          <w:szCs w:val="22"/>
          <w:lang w:val="fr-FR"/>
        </w:rPr>
        <w:t>autres problèmes techniques nécessit</w:t>
      </w:r>
      <w:r>
        <w:rPr>
          <w:rFonts w:ascii="Arial" w:hAnsi="Arial" w:cs="Arial"/>
          <w:bCs/>
          <w:sz w:val="22"/>
          <w:szCs w:val="22"/>
          <w:lang w:val="fr-FR"/>
        </w:rPr>
        <w:t>a</w:t>
      </w:r>
      <w:r w:rsidRPr="001277F5">
        <w:rPr>
          <w:rFonts w:ascii="Arial" w:hAnsi="Arial" w:cs="Arial"/>
          <w:bCs/>
          <w:sz w:val="22"/>
          <w:szCs w:val="22"/>
          <w:lang w:val="fr-FR"/>
        </w:rPr>
        <w:t xml:space="preserve">nt une réflexion plus approfondie.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agissant d</w:t>
      </w:r>
      <w:r w:rsidRPr="001277F5">
        <w:rPr>
          <w:rFonts w:ascii="Arial" w:hAnsi="Arial" w:cs="Arial"/>
          <w:bCs/>
          <w:sz w:val="22"/>
          <w:szCs w:val="22"/>
          <w:lang w:val="fr-FR"/>
        </w:rPr>
        <w:t xml:space="preserve">es </w:t>
      </w:r>
      <w:r w:rsidRPr="001277F5">
        <w:rPr>
          <w:rFonts w:ascii="Arial" w:hAnsi="Arial" w:cs="Arial"/>
          <w:bCs/>
          <w:sz w:val="22"/>
          <w:szCs w:val="22"/>
          <w:u w:val="single"/>
          <w:lang w:val="fr-FR"/>
        </w:rPr>
        <w:t>dossiers en attente</w:t>
      </w:r>
      <w:r w:rsidRPr="001277F5">
        <w:rPr>
          <w:rFonts w:ascii="Arial" w:hAnsi="Arial" w:cs="Arial"/>
          <w:bCs/>
          <w:sz w:val="22"/>
          <w:szCs w:val="22"/>
          <w:lang w:val="fr-FR"/>
        </w:rPr>
        <w:t>, le groupe de travail a</w:t>
      </w:r>
      <w:r>
        <w:rPr>
          <w:rFonts w:ascii="Arial" w:hAnsi="Arial" w:cs="Arial"/>
          <w:bCs/>
          <w:sz w:val="22"/>
          <w:szCs w:val="22"/>
          <w:lang w:val="fr-FR"/>
        </w:rPr>
        <w:t>vait</w:t>
      </w:r>
      <w:r w:rsidRPr="001277F5">
        <w:rPr>
          <w:rFonts w:ascii="Arial" w:hAnsi="Arial" w:cs="Arial"/>
          <w:bCs/>
          <w:sz w:val="22"/>
          <w:szCs w:val="22"/>
          <w:lang w:val="fr-FR"/>
        </w:rPr>
        <w:t xml:space="preserve"> convenu que les dossiers en </w:t>
      </w:r>
      <w:r>
        <w:rPr>
          <w:rFonts w:ascii="Arial" w:hAnsi="Arial" w:cs="Arial"/>
          <w:bCs/>
          <w:sz w:val="22"/>
          <w:szCs w:val="22"/>
          <w:lang w:val="fr-FR"/>
        </w:rPr>
        <w:t xml:space="preserve">attente </w:t>
      </w:r>
      <w:r w:rsidRPr="001277F5">
        <w:rPr>
          <w:rFonts w:ascii="Arial" w:hAnsi="Arial" w:cs="Arial"/>
          <w:bCs/>
          <w:sz w:val="22"/>
          <w:szCs w:val="22"/>
          <w:lang w:val="fr-FR"/>
        </w:rPr>
        <w:t>datant de plus de quatre ans dev</w:t>
      </w:r>
      <w:r>
        <w:rPr>
          <w:rFonts w:ascii="Arial" w:hAnsi="Arial" w:cs="Arial"/>
          <w:bCs/>
          <w:sz w:val="22"/>
          <w:szCs w:val="22"/>
          <w:lang w:val="fr-FR"/>
        </w:rPr>
        <w:t>r</w:t>
      </w:r>
      <w:r w:rsidRPr="001277F5">
        <w:rPr>
          <w:rFonts w:ascii="Arial" w:hAnsi="Arial" w:cs="Arial"/>
          <w:bCs/>
          <w:sz w:val="22"/>
          <w:szCs w:val="22"/>
          <w:lang w:val="fr-FR"/>
        </w:rPr>
        <w:t>aient être retirés de l</w:t>
      </w:r>
      <w:r>
        <w:rPr>
          <w:rFonts w:ascii="Arial" w:hAnsi="Arial" w:cs="Arial"/>
          <w:bCs/>
          <w:sz w:val="22"/>
          <w:szCs w:val="22"/>
          <w:lang w:val="fr-FR"/>
        </w:rPr>
        <w:t>a file d</w:t>
      </w:r>
      <w:r w:rsidR="008E532B">
        <w:rPr>
          <w:rFonts w:ascii="Arial" w:hAnsi="Arial" w:cs="Arial"/>
          <w:bCs/>
          <w:sz w:val="22"/>
          <w:szCs w:val="22"/>
          <w:lang w:val="fr-FR"/>
        </w:rPr>
        <w:t>’</w:t>
      </w:r>
      <w:r>
        <w:rPr>
          <w:rFonts w:ascii="Arial" w:hAnsi="Arial" w:cs="Arial"/>
          <w:bCs/>
          <w:sz w:val="22"/>
          <w:szCs w:val="22"/>
          <w:lang w:val="fr-FR"/>
        </w:rPr>
        <w:t>attente</w:t>
      </w:r>
      <w:r w:rsidRPr="001277F5">
        <w:rPr>
          <w:rFonts w:ascii="Arial" w:hAnsi="Arial" w:cs="Arial"/>
          <w:bCs/>
          <w:sz w:val="22"/>
          <w:szCs w:val="22"/>
          <w:lang w:val="fr-FR"/>
        </w:rPr>
        <w:t>, tout en invitant les États parties à soumettre des versions actualisées qui d</w:t>
      </w:r>
      <w:r>
        <w:rPr>
          <w:rFonts w:ascii="Arial" w:hAnsi="Arial" w:cs="Arial"/>
          <w:bCs/>
          <w:sz w:val="22"/>
          <w:szCs w:val="22"/>
          <w:lang w:val="fr-FR"/>
        </w:rPr>
        <w:t>evraient</w:t>
      </w:r>
      <w:r w:rsidRPr="001277F5">
        <w:rPr>
          <w:rFonts w:ascii="Arial" w:hAnsi="Arial" w:cs="Arial"/>
          <w:bCs/>
          <w:sz w:val="22"/>
          <w:szCs w:val="22"/>
          <w:lang w:val="fr-FR"/>
        </w:rPr>
        <w:t xml:space="preserve"> être traitées rapidement dans le cadre du système de priorisation. Concernant la possibilité d</w:t>
      </w:r>
      <w:r w:rsidR="008E532B">
        <w:rPr>
          <w:rFonts w:ascii="Arial" w:hAnsi="Arial" w:cs="Arial"/>
          <w:bCs/>
          <w:sz w:val="22"/>
          <w:szCs w:val="22"/>
          <w:lang w:val="fr-FR"/>
        </w:rPr>
        <w:t>’</w:t>
      </w:r>
      <w:r w:rsidRPr="001277F5">
        <w:rPr>
          <w:rFonts w:ascii="Arial" w:hAnsi="Arial" w:cs="Arial"/>
          <w:bCs/>
          <w:sz w:val="22"/>
          <w:szCs w:val="22"/>
          <w:lang w:val="fr-FR"/>
        </w:rPr>
        <w:t>obtenir des informations supplémentaires sur les candidatures en utilisant le processus de dialogue avec les ONG accréditées, il a</w:t>
      </w:r>
      <w:r>
        <w:rPr>
          <w:rFonts w:ascii="Arial" w:hAnsi="Arial" w:cs="Arial"/>
          <w:bCs/>
          <w:sz w:val="22"/>
          <w:szCs w:val="22"/>
          <w:lang w:val="fr-FR"/>
        </w:rPr>
        <w:t>vait</w:t>
      </w:r>
      <w:r w:rsidRPr="001277F5">
        <w:rPr>
          <w:rFonts w:ascii="Arial" w:hAnsi="Arial" w:cs="Arial"/>
          <w:bCs/>
          <w:sz w:val="22"/>
          <w:szCs w:val="22"/>
          <w:lang w:val="fr-FR"/>
        </w:rPr>
        <w:t xml:space="preserve"> été convenu que cette question serait discutée dans le cadre de la nouvelle initiative sur les implications plus larges de l</w:t>
      </w:r>
      <w:r w:rsidR="008E532B">
        <w:rPr>
          <w:rFonts w:ascii="Arial" w:hAnsi="Arial" w:cs="Arial"/>
          <w:bCs/>
          <w:sz w:val="22"/>
          <w:szCs w:val="22"/>
          <w:lang w:val="fr-FR"/>
        </w:rPr>
        <w:t>’</w:t>
      </w:r>
      <w:r w:rsidRPr="001277F5">
        <w:rPr>
          <w:rFonts w:ascii="Arial" w:hAnsi="Arial" w:cs="Arial"/>
          <w:bCs/>
          <w:sz w:val="22"/>
          <w:szCs w:val="22"/>
          <w:lang w:val="fr-FR"/>
        </w:rPr>
        <w:t xml:space="preserve">article 18 de la Convention. Concernant </w:t>
      </w:r>
      <w:r w:rsidRPr="00337B04">
        <w:rPr>
          <w:rFonts w:ascii="Arial" w:hAnsi="Arial" w:cs="Arial"/>
          <w:bCs/>
          <w:sz w:val="22"/>
          <w:szCs w:val="22"/>
          <w:u w:val="single"/>
          <w:lang w:val="fr-FR"/>
        </w:rPr>
        <w:t>l</w:t>
      </w:r>
      <w:r w:rsidR="008E532B">
        <w:rPr>
          <w:rFonts w:ascii="Arial" w:hAnsi="Arial" w:cs="Arial"/>
          <w:bCs/>
          <w:sz w:val="22"/>
          <w:szCs w:val="22"/>
          <w:u w:val="single"/>
          <w:lang w:val="fr-FR"/>
        </w:rPr>
        <w:t>’</w:t>
      </w:r>
      <w:r w:rsidRPr="00337B04">
        <w:rPr>
          <w:rFonts w:ascii="Arial" w:hAnsi="Arial" w:cs="Arial"/>
          <w:bCs/>
          <w:sz w:val="22"/>
          <w:szCs w:val="22"/>
          <w:u w:val="single"/>
          <w:lang w:val="fr-FR"/>
        </w:rPr>
        <w:t>examen des cas exceptionnels</w:t>
      </w:r>
      <w:r w:rsidRPr="001277F5">
        <w:rPr>
          <w:rFonts w:ascii="Arial" w:hAnsi="Arial" w:cs="Arial"/>
          <w:bCs/>
          <w:sz w:val="22"/>
          <w:szCs w:val="22"/>
          <w:lang w:val="fr-FR"/>
        </w:rPr>
        <w:t>, il a</w:t>
      </w:r>
      <w:r>
        <w:rPr>
          <w:rFonts w:ascii="Arial" w:hAnsi="Arial" w:cs="Arial"/>
          <w:bCs/>
          <w:sz w:val="22"/>
          <w:szCs w:val="22"/>
          <w:lang w:val="fr-FR"/>
        </w:rPr>
        <w:t>vait</w:t>
      </w:r>
      <w:r w:rsidRPr="001277F5">
        <w:rPr>
          <w:rFonts w:ascii="Arial" w:hAnsi="Arial" w:cs="Arial"/>
          <w:bCs/>
          <w:sz w:val="22"/>
          <w:szCs w:val="22"/>
          <w:lang w:val="fr-FR"/>
        </w:rPr>
        <w:t xml:space="preserve"> été décidé que tout cas exceptionnel qui augment</w:t>
      </w:r>
      <w:r>
        <w:rPr>
          <w:rFonts w:ascii="Arial" w:hAnsi="Arial" w:cs="Arial"/>
          <w:bCs/>
          <w:sz w:val="22"/>
          <w:szCs w:val="22"/>
          <w:lang w:val="fr-FR"/>
        </w:rPr>
        <w:t>ait</w:t>
      </w:r>
      <w:r w:rsidRPr="001277F5">
        <w:rPr>
          <w:rFonts w:ascii="Arial" w:hAnsi="Arial" w:cs="Arial"/>
          <w:bCs/>
          <w:sz w:val="22"/>
          <w:szCs w:val="22"/>
          <w:lang w:val="fr-FR"/>
        </w:rPr>
        <w:t xml:space="preserve"> le plafond annuel sera</w:t>
      </w:r>
      <w:r>
        <w:rPr>
          <w:rFonts w:ascii="Arial" w:hAnsi="Arial" w:cs="Arial"/>
          <w:bCs/>
          <w:sz w:val="22"/>
          <w:szCs w:val="22"/>
          <w:lang w:val="fr-FR"/>
        </w:rPr>
        <w:t>it</w:t>
      </w:r>
      <w:r w:rsidRPr="001277F5">
        <w:rPr>
          <w:rFonts w:ascii="Arial" w:hAnsi="Arial" w:cs="Arial"/>
          <w:bCs/>
          <w:sz w:val="22"/>
          <w:szCs w:val="22"/>
          <w:lang w:val="fr-FR"/>
        </w:rPr>
        <w:t xml:space="preserve"> examiné par le Comité, étant entendu que cela ne s</w:t>
      </w:r>
      <w:r w:rsidR="008E532B">
        <w:rPr>
          <w:rFonts w:ascii="Arial" w:hAnsi="Arial" w:cs="Arial"/>
          <w:bCs/>
          <w:sz w:val="22"/>
          <w:szCs w:val="22"/>
          <w:lang w:val="fr-FR"/>
        </w:rPr>
        <w:t>’</w:t>
      </w:r>
      <w:r w:rsidRPr="001277F5">
        <w:rPr>
          <w:rFonts w:ascii="Arial" w:hAnsi="Arial" w:cs="Arial"/>
          <w:bCs/>
          <w:sz w:val="22"/>
          <w:szCs w:val="22"/>
          <w:lang w:val="fr-FR"/>
        </w:rPr>
        <w:t>appliqu</w:t>
      </w:r>
      <w:r>
        <w:rPr>
          <w:rFonts w:ascii="Arial" w:hAnsi="Arial" w:cs="Arial"/>
          <w:bCs/>
          <w:sz w:val="22"/>
          <w:szCs w:val="22"/>
          <w:lang w:val="fr-FR"/>
        </w:rPr>
        <w:t>ait</w:t>
      </w:r>
      <w:r w:rsidRPr="001277F5">
        <w:rPr>
          <w:rFonts w:ascii="Arial" w:hAnsi="Arial" w:cs="Arial"/>
          <w:bCs/>
          <w:sz w:val="22"/>
          <w:szCs w:val="22"/>
          <w:lang w:val="fr-FR"/>
        </w:rPr>
        <w:t xml:space="preserve"> pas aux cas relevant de l</w:t>
      </w:r>
      <w:r w:rsidR="008E532B">
        <w:rPr>
          <w:rFonts w:ascii="Arial" w:hAnsi="Arial" w:cs="Arial"/>
          <w:bCs/>
          <w:sz w:val="22"/>
          <w:szCs w:val="22"/>
          <w:lang w:val="fr-FR"/>
        </w:rPr>
        <w:t>’</w:t>
      </w:r>
      <w:r w:rsidRPr="001277F5">
        <w:rPr>
          <w:rFonts w:ascii="Arial" w:hAnsi="Arial" w:cs="Arial"/>
          <w:bCs/>
          <w:sz w:val="22"/>
          <w:szCs w:val="22"/>
          <w:lang w:val="fr-FR"/>
        </w:rPr>
        <w:t>extrême urgence. Le groupe de travail a</w:t>
      </w:r>
      <w:r>
        <w:rPr>
          <w:rFonts w:ascii="Arial" w:hAnsi="Arial" w:cs="Arial"/>
          <w:bCs/>
          <w:sz w:val="22"/>
          <w:szCs w:val="22"/>
          <w:lang w:val="fr-FR"/>
        </w:rPr>
        <w:t>vait</w:t>
      </w:r>
      <w:r w:rsidRPr="001277F5">
        <w:rPr>
          <w:rFonts w:ascii="Arial" w:hAnsi="Arial" w:cs="Arial"/>
          <w:bCs/>
          <w:sz w:val="22"/>
          <w:szCs w:val="22"/>
          <w:lang w:val="fr-FR"/>
        </w:rPr>
        <w:t xml:space="preserve"> invité le Secrétariat à recommander des critères possibles pour définir les cas </w:t>
      </w:r>
      <w:r>
        <w:rPr>
          <w:rFonts w:ascii="Arial" w:hAnsi="Arial" w:cs="Arial"/>
          <w:bCs/>
          <w:sz w:val="22"/>
          <w:szCs w:val="22"/>
          <w:lang w:val="fr-FR"/>
        </w:rPr>
        <w:t>« </w:t>
      </w:r>
      <w:r w:rsidRPr="001277F5">
        <w:rPr>
          <w:rFonts w:ascii="Arial" w:hAnsi="Arial" w:cs="Arial"/>
          <w:bCs/>
          <w:sz w:val="22"/>
          <w:szCs w:val="22"/>
          <w:lang w:val="fr-FR"/>
        </w:rPr>
        <w:t>exceptionnels</w:t>
      </w:r>
      <w:r>
        <w:rPr>
          <w:rFonts w:ascii="Arial" w:hAnsi="Arial" w:cs="Arial"/>
          <w:bCs/>
          <w:sz w:val="22"/>
          <w:szCs w:val="22"/>
          <w:lang w:val="fr-FR"/>
        </w:rPr>
        <w:t> »</w:t>
      </w:r>
      <w:r w:rsidRPr="001277F5">
        <w:rPr>
          <w:rFonts w:ascii="Arial" w:hAnsi="Arial" w:cs="Arial"/>
          <w:bCs/>
          <w:sz w:val="22"/>
          <w:szCs w:val="22"/>
          <w:lang w:val="fr-FR"/>
        </w:rPr>
        <w:t xml:space="preserve">. Tous les amendements requis aux Directives opérationnelles, </w:t>
      </w:r>
      <w:proofErr w:type="gramStart"/>
      <w:r w:rsidRPr="001277F5">
        <w:rPr>
          <w:rFonts w:ascii="Arial" w:hAnsi="Arial" w:cs="Arial"/>
          <w:bCs/>
          <w:sz w:val="22"/>
          <w:szCs w:val="22"/>
          <w:lang w:val="fr-FR"/>
        </w:rPr>
        <w:t>suite aux</w:t>
      </w:r>
      <w:proofErr w:type="gramEnd"/>
      <w:r w:rsidRPr="001277F5">
        <w:rPr>
          <w:rFonts w:ascii="Arial" w:hAnsi="Arial" w:cs="Arial"/>
          <w:bCs/>
          <w:sz w:val="22"/>
          <w:szCs w:val="22"/>
          <w:lang w:val="fr-FR"/>
        </w:rPr>
        <w:t xml:space="preserve"> recommandations du groupe de travail, </w:t>
      </w:r>
      <w:r>
        <w:rPr>
          <w:rFonts w:ascii="Arial" w:hAnsi="Arial" w:cs="Arial"/>
          <w:bCs/>
          <w:sz w:val="22"/>
          <w:szCs w:val="22"/>
          <w:lang w:val="fr-FR"/>
        </w:rPr>
        <w:t xml:space="preserve">avaient </w:t>
      </w:r>
      <w:r w:rsidRPr="001277F5">
        <w:rPr>
          <w:rFonts w:ascii="Arial" w:hAnsi="Arial" w:cs="Arial"/>
          <w:bCs/>
          <w:sz w:val="22"/>
          <w:szCs w:val="22"/>
          <w:lang w:val="fr-FR"/>
        </w:rPr>
        <w:t xml:space="preserve">été approuvés par le Comité lors de sa </w:t>
      </w:r>
      <w:r>
        <w:rPr>
          <w:rFonts w:ascii="Arial" w:hAnsi="Arial" w:cs="Arial"/>
          <w:bCs/>
          <w:sz w:val="22"/>
          <w:szCs w:val="22"/>
          <w:lang w:val="fr-FR"/>
        </w:rPr>
        <w:t>seizième</w:t>
      </w:r>
      <w:r w:rsidRPr="001277F5">
        <w:rPr>
          <w:rFonts w:ascii="Arial" w:hAnsi="Arial" w:cs="Arial"/>
          <w:bCs/>
          <w:sz w:val="22"/>
          <w:szCs w:val="22"/>
          <w:lang w:val="fr-FR"/>
        </w:rPr>
        <w:t xml:space="preserve"> session et de la</w:t>
      </w:r>
      <w:r>
        <w:rPr>
          <w:rFonts w:ascii="Arial" w:hAnsi="Arial" w:cs="Arial"/>
          <w:bCs/>
          <w:sz w:val="22"/>
          <w:szCs w:val="22"/>
          <w:lang w:val="fr-FR"/>
        </w:rPr>
        <w:t xml:space="preserve"> cinquième</w:t>
      </w:r>
      <w:r w:rsidRPr="001277F5">
        <w:rPr>
          <w:rFonts w:ascii="Arial" w:hAnsi="Arial" w:cs="Arial"/>
          <w:bCs/>
          <w:sz w:val="22"/>
          <w:szCs w:val="22"/>
          <w:lang w:val="fr-FR"/>
        </w:rPr>
        <w:t xml:space="preserve"> session extraordinaire [du Comité]. Il </w:t>
      </w:r>
      <w:r>
        <w:rPr>
          <w:rFonts w:ascii="Arial" w:hAnsi="Arial" w:cs="Arial"/>
          <w:bCs/>
          <w:sz w:val="22"/>
          <w:szCs w:val="22"/>
          <w:lang w:val="fr-FR"/>
        </w:rPr>
        <w:t xml:space="preserve">était </w:t>
      </w:r>
      <w:r w:rsidRPr="00337B04">
        <w:rPr>
          <w:rFonts w:ascii="Arial" w:hAnsi="Arial" w:cs="Arial"/>
          <w:bCs/>
          <w:color w:val="000000" w:themeColor="text1"/>
          <w:sz w:val="22"/>
          <w:szCs w:val="22"/>
          <w:lang w:val="fr-FR"/>
        </w:rPr>
        <w:t>désormais</w:t>
      </w:r>
      <w:r>
        <w:rPr>
          <w:rFonts w:ascii="Arial" w:hAnsi="Arial" w:cs="Arial"/>
          <w:bCs/>
          <w:color w:val="000000" w:themeColor="text1"/>
          <w:sz w:val="22"/>
          <w:szCs w:val="22"/>
          <w:lang w:val="fr-FR"/>
        </w:rPr>
        <w:t xml:space="preserve"> </w:t>
      </w:r>
      <w:r w:rsidRPr="001277F5">
        <w:rPr>
          <w:rFonts w:ascii="Arial" w:hAnsi="Arial" w:cs="Arial"/>
          <w:bCs/>
          <w:sz w:val="22"/>
          <w:szCs w:val="22"/>
          <w:lang w:val="fr-FR"/>
        </w:rPr>
        <w:t>demandé à la présente session de l</w:t>
      </w:r>
      <w:r w:rsidR="008E532B">
        <w:rPr>
          <w:rFonts w:ascii="Arial" w:hAnsi="Arial" w:cs="Arial"/>
          <w:bCs/>
          <w:sz w:val="22"/>
          <w:szCs w:val="22"/>
          <w:lang w:val="fr-FR"/>
        </w:rPr>
        <w:t>’</w:t>
      </w:r>
      <w:r w:rsidRPr="001277F5">
        <w:rPr>
          <w:rFonts w:ascii="Arial" w:hAnsi="Arial" w:cs="Arial"/>
          <w:bCs/>
          <w:sz w:val="22"/>
          <w:szCs w:val="22"/>
          <w:lang w:val="fr-FR"/>
        </w:rPr>
        <w:t>Assemblée générale d</w:t>
      </w:r>
      <w:r w:rsidR="008E532B">
        <w:rPr>
          <w:rFonts w:ascii="Arial" w:hAnsi="Arial" w:cs="Arial"/>
          <w:bCs/>
          <w:sz w:val="22"/>
          <w:szCs w:val="22"/>
          <w:lang w:val="fr-FR"/>
        </w:rPr>
        <w:t>’</w:t>
      </w:r>
      <w:r w:rsidRPr="001277F5">
        <w:rPr>
          <w:rFonts w:ascii="Arial" w:hAnsi="Arial" w:cs="Arial"/>
          <w:bCs/>
          <w:sz w:val="22"/>
          <w:szCs w:val="22"/>
          <w:lang w:val="fr-FR"/>
        </w:rPr>
        <w:t xml:space="preserve">approuver les </w:t>
      </w:r>
      <w:r w:rsidRPr="00337B04">
        <w:rPr>
          <w:rFonts w:ascii="Arial" w:hAnsi="Arial" w:cs="Arial"/>
          <w:bCs/>
          <w:sz w:val="22"/>
          <w:szCs w:val="22"/>
          <w:lang w:val="fr-FR"/>
        </w:rPr>
        <w:t>propositio</w:t>
      </w:r>
      <w:r>
        <w:rPr>
          <w:rFonts w:ascii="Arial" w:hAnsi="Arial" w:cs="Arial"/>
          <w:bCs/>
          <w:sz w:val="22"/>
          <w:szCs w:val="22"/>
          <w:lang w:val="fr-FR"/>
        </w:rPr>
        <w:t>ns d</w:t>
      </w:r>
      <w:r w:rsidR="008E532B">
        <w:rPr>
          <w:rFonts w:ascii="Arial" w:hAnsi="Arial" w:cs="Arial"/>
          <w:bCs/>
          <w:sz w:val="22"/>
          <w:szCs w:val="22"/>
          <w:lang w:val="fr-FR"/>
        </w:rPr>
        <w:t>’</w:t>
      </w:r>
      <w:r w:rsidRPr="001277F5">
        <w:rPr>
          <w:rFonts w:ascii="Arial" w:hAnsi="Arial" w:cs="Arial"/>
          <w:bCs/>
          <w:sz w:val="22"/>
          <w:szCs w:val="22"/>
          <w:lang w:val="fr-FR"/>
        </w:rPr>
        <w:t>amendement</w:t>
      </w:r>
      <w:r>
        <w:rPr>
          <w:rFonts w:ascii="Arial" w:hAnsi="Arial" w:cs="Arial"/>
          <w:bCs/>
          <w:sz w:val="22"/>
          <w:szCs w:val="22"/>
          <w:lang w:val="fr-FR"/>
        </w:rPr>
        <w:t xml:space="preserve"> </w:t>
      </w:r>
      <w:r w:rsidRPr="001277F5">
        <w:rPr>
          <w:rFonts w:ascii="Arial" w:hAnsi="Arial" w:cs="Arial"/>
          <w:bCs/>
          <w:sz w:val="22"/>
          <w:szCs w:val="22"/>
          <w:lang w:val="fr-FR"/>
        </w:rPr>
        <w:t>aux Directives opérationnelles afin de mettre en œuvre les recommandations f</w:t>
      </w:r>
      <w:r>
        <w:rPr>
          <w:rFonts w:ascii="Arial" w:hAnsi="Arial" w:cs="Arial"/>
          <w:bCs/>
          <w:sz w:val="22"/>
          <w:szCs w:val="22"/>
          <w:lang w:val="fr-FR"/>
        </w:rPr>
        <w:t>ormulées</w:t>
      </w:r>
      <w:r w:rsidRPr="001277F5">
        <w:rPr>
          <w:rFonts w:ascii="Arial" w:hAnsi="Arial" w:cs="Arial"/>
          <w:bCs/>
          <w:sz w:val="22"/>
          <w:szCs w:val="22"/>
          <w:lang w:val="fr-FR"/>
        </w:rPr>
        <w:t xml:space="preserve"> par le groupe de travail à composition non limitée.</w:t>
      </w:r>
    </w:p>
    <w:p w14:paraId="26D8DA05" w14:textId="2D30F62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C78F9">
        <w:rPr>
          <w:rFonts w:ascii="Arial" w:hAnsi="Arial" w:cs="Arial"/>
          <w:bCs/>
          <w:sz w:val="22"/>
          <w:szCs w:val="22"/>
          <w:lang w:val="fr-FR"/>
        </w:rPr>
        <w:t>L</w:t>
      </w:r>
      <w:r>
        <w:rPr>
          <w:rFonts w:ascii="Arial" w:hAnsi="Arial" w:cs="Arial"/>
          <w:bCs/>
          <w:sz w:val="22"/>
          <w:szCs w:val="22"/>
          <w:lang w:val="fr-FR"/>
        </w:rPr>
        <w:t>e</w:t>
      </w:r>
      <w:r w:rsidRPr="003C78F9">
        <w:rPr>
          <w:rFonts w:ascii="Arial" w:hAnsi="Arial" w:cs="Arial"/>
          <w:bCs/>
          <w:sz w:val="22"/>
          <w:szCs w:val="22"/>
          <w:lang w:val="fr-FR"/>
        </w:rPr>
        <w:t xml:space="preserve"> </w:t>
      </w:r>
      <w:r w:rsidRPr="003C78F9">
        <w:rPr>
          <w:rFonts w:ascii="Arial" w:hAnsi="Arial" w:cs="Arial"/>
          <w:b/>
          <w:sz w:val="22"/>
          <w:szCs w:val="22"/>
          <w:lang w:val="fr-FR"/>
        </w:rPr>
        <w:t xml:space="preserve">Président du </w:t>
      </w:r>
      <w:r>
        <w:rPr>
          <w:rFonts w:ascii="Arial" w:hAnsi="Arial" w:cs="Arial"/>
          <w:b/>
          <w:sz w:val="22"/>
          <w:szCs w:val="22"/>
          <w:lang w:val="fr-FR"/>
        </w:rPr>
        <w:t>g</w:t>
      </w:r>
      <w:r w:rsidRPr="003C78F9">
        <w:rPr>
          <w:rFonts w:ascii="Arial" w:hAnsi="Arial" w:cs="Arial"/>
          <w:b/>
          <w:sz w:val="22"/>
          <w:szCs w:val="22"/>
          <w:lang w:val="fr-FR"/>
        </w:rPr>
        <w:t>roupe de travail à composition non limitée</w:t>
      </w:r>
      <w:r w:rsidRPr="003C78F9">
        <w:rPr>
          <w:rFonts w:ascii="Arial" w:hAnsi="Arial" w:cs="Arial"/>
          <w:bCs/>
          <w:sz w:val="22"/>
          <w:szCs w:val="22"/>
          <w:lang w:val="fr-FR"/>
        </w:rPr>
        <w:t xml:space="preserve"> a en outre indiqué que, pendant la </w:t>
      </w:r>
      <w:r>
        <w:rPr>
          <w:rFonts w:ascii="Arial" w:hAnsi="Arial" w:cs="Arial"/>
          <w:bCs/>
          <w:sz w:val="22"/>
          <w:szCs w:val="22"/>
          <w:lang w:val="fr-FR"/>
        </w:rPr>
        <w:t>p</w:t>
      </w:r>
      <w:r w:rsidRPr="003C78F9">
        <w:rPr>
          <w:rFonts w:ascii="Arial" w:hAnsi="Arial" w:cs="Arial"/>
          <w:bCs/>
          <w:sz w:val="22"/>
          <w:szCs w:val="22"/>
          <w:lang w:val="fr-FR"/>
        </w:rPr>
        <w:t>artie III</w:t>
      </w:r>
      <w:r>
        <w:rPr>
          <w:rFonts w:ascii="Arial" w:hAnsi="Arial" w:cs="Arial"/>
          <w:bCs/>
          <w:sz w:val="22"/>
          <w:szCs w:val="22"/>
          <w:lang w:val="fr-FR"/>
        </w:rPr>
        <w:t xml:space="preserve"> de la réunion</w:t>
      </w:r>
      <w:r w:rsidRPr="003C78F9">
        <w:rPr>
          <w:rFonts w:ascii="Arial" w:hAnsi="Arial" w:cs="Arial"/>
          <w:bCs/>
          <w:sz w:val="22"/>
          <w:szCs w:val="22"/>
          <w:lang w:val="fr-FR"/>
        </w:rPr>
        <w:t xml:space="preserve">, certains membres </w:t>
      </w:r>
      <w:r>
        <w:rPr>
          <w:rFonts w:ascii="Arial" w:hAnsi="Arial" w:cs="Arial"/>
          <w:bCs/>
          <w:sz w:val="22"/>
          <w:szCs w:val="22"/>
          <w:lang w:val="fr-FR"/>
        </w:rPr>
        <w:t>avaient</w:t>
      </w:r>
      <w:r w:rsidRPr="003C78F9">
        <w:rPr>
          <w:rFonts w:ascii="Arial" w:hAnsi="Arial" w:cs="Arial"/>
          <w:bCs/>
          <w:sz w:val="22"/>
          <w:szCs w:val="22"/>
          <w:lang w:val="fr-FR"/>
        </w:rPr>
        <w:t xml:space="preserve"> souhaité inclure trois points dans le rapport à l</w:t>
      </w:r>
      <w:r w:rsidR="008E532B">
        <w:rPr>
          <w:rFonts w:ascii="Arial" w:hAnsi="Arial" w:cs="Arial"/>
          <w:bCs/>
          <w:sz w:val="22"/>
          <w:szCs w:val="22"/>
          <w:lang w:val="fr-FR"/>
        </w:rPr>
        <w:t>’</w:t>
      </w:r>
      <w:r w:rsidRPr="003C78F9">
        <w:rPr>
          <w:rFonts w:ascii="Arial" w:hAnsi="Arial" w:cs="Arial"/>
          <w:bCs/>
          <w:sz w:val="22"/>
          <w:szCs w:val="22"/>
          <w:lang w:val="fr-FR"/>
        </w:rPr>
        <w:t>Assemblée générale. L</w:t>
      </w:r>
      <w:r w:rsidR="008E532B">
        <w:rPr>
          <w:rFonts w:ascii="Arial" w:hAnsi="Arial" w:cs="Arial"/>
          <w:bCs/>
          <w:sz w:val="22"/>
          <w:szCs w:val="22"/>
          <w:lang w:val="fr-FR"/>
        </w:rPr>
        <w:t>’</w:t>
      </w:r>
      <w:r w:rsidRPr="003C78F9">
        <w:rPr>
          <w:rFonts w:ascii="Arial" w:hAnsi="Arial" w:cs="Arial"/>
          <w:bCs/>
          <w:sz w:val="22"/>
          <w:szCs w:val="22"/>
          <w:lang w:val="fr-FR"/>
        </w:rPr>
        <w:t>un</w:t>
      </w:r>
      <w:r>
        <w:rPr>
          <w:rFonts w:ascii="Arial" w:hAnsi="Arial" w:cs="Arial"/>
          <w:bCs/>
          <w:sz w:val="22"/>
          <w:szCs w:val="22"/>
          <w:lang w:val="fr-FR"/>
        </w:rPr>
        <w:t xml:space="preserve"> des points</w:t>
      </w:r>
      <w:r w:rsidRPr="003C78F9">
        <w:rPr>
          <w:rFonts w:ascii="Arial" w:hAnsi="Arial" w:cs="Arial"/>
          <w:bCs/>
          <w:sz w:val="22"/>
          <w:szCs w:val="22"/>
          <w:lang w:val="fr-FR"/>
        </w:rPr>
        <w:t xml:space="preserve"> </w:t>
      </w:r>
      <w:r>
        <w:rPr>
          <w:rFonts w:ascii="Arial" w:hAnsi="Arial" w:cs="Arial"/>
          <w:bCs/>
          <w:sz w:val="22"/>
          <w:szCs w:val="22"/>
          <w:lang w:val="fr-FR"/>
        </w:rPr>
        <w:t xml:space="preserve">portait sur </w:t>
      </w:r>
      <w:r w:rsidRPr="003C78F9">
        <w:rPr>
          <w:rFonts w:ascii="Arial" w:hAnsi="Arial" w:cs="Arial"/>
          <w:bCs/>
          <w:sz w:val="22"/>
          <w:szCs w:val="22"/>
          <w:lang w:val="fr-FR"/>
        </w:rPr>
        <w:t>les dossiers en</w:t>
      </w:r>
      <w:r>
        <w:rPr>
          <w:rFonts w:ascii="Arial" w:hAnsi="Arial" w:cs="Arial"/>
          <w:bCs/>
          <w:sz w:val="22"/>
          <w:szCs w:val="22"/>
          <w:lang w:val="fr-FR"/>
        </w:rPr>
        <w:t xml:space="preserve"> attente</w:t>
      </w:r>
      <w:r w:rsidRPr="003C78F9">
        <w:rPr>
          <w:rFonts w:ascii="Arial" w:hAnsi="Arial" w:cs="Arial"/>
          <w:bCs/>
          <w:sz w:val="22"/>
          <w:szCs w:val="22"/>
          <w:lang w:val="fr-FR"/>
        </w:rPr>
        <w:t>, l</w:t>
      </w:r>
      <w:r>
        <w:rPr>
          <w:rFonts w:ascii="Arial" w:hAnsi="Arial" w:cs="Arial"/>
          <w:bCs/>
          <w:sz w:val="22"/>
          <w:szCs w:val="22"/>
          <w:lang w:val="fr-FR"/>
        </w:rPr>
        <w:t xml:space="preserve">e deuxième </w:t>
      </w:r>
      <w:r w:rsidRPr="003C78F9">
        <w:rPr>
          <w:rFonts w:ascii="Arial" w:hAnsi="Arial" w:cs="Arial"/>
          <w:bCs/>
          <w:sz w:val="22"/>
          <w:szCs w:val="22"/>
          <w:lang w:val="fr-FR"/>
        </w:rPr>
        <w:t>sur le groupe de travail sur l</w:t>
      </w:r>
      <w:r w:rsidR="008E532B">
        <w:rPr>
          <w:rFonts w:ascii="Arial" w:hAnsi="Arial" w:cs="Arial"/>
          <w:bCs/>
          <w:sz w:val="22"/>
          <w:szCs w:val="22"/>
          <w:lang w:val="fr-FR"/>
        </w:rPr>
        <w:t>’</w:t>
      </w:r>
      <w:r w:rsidRPr="003C78F9">
        <w:rPr>
          <w:rFonts w:ascii="Arial" w:hAnsi="Arial" w:cs="Arial"/>
          <w:bCs/>
          <w:sz w:val="22"/>
          <w:szCs w:val="22"/>
          <w:lang w:val="fr-FR"/>
        </w:rPr>
        <w:t xml:space="preserve">article 18, et le troisième </w:t>
      </w:r>
      <w:r>
        <w:rPr>
          <w:rFonts w:ascii="Arial" w:hAnsi="Arial" w:cs="Arial"/>
          <w:bCs/>
          <w:sz w:val="22"/>
          <w:szCs w:val="22"/>
          <w:lang w:val="fr-FR"/>
        </w:rPr>
        <w:t xml:space="preserve">sur </w:t>
      </w:r>
      <w:r w:rsidRPr="003C78F9">
        <w:rPr>
          <w:rFonts w:ascii="Arial" w:hAnsi="Arial" w:cs="Arial"/>
          <w:bCs/>
          <w:sz w:val="22"/>
          <w:szCs w:val="22"/>
          <w:lang w:val="fr-FR"/>
        </w:rPr>
        <w:t>la procédure d</w:t>
      </w:r>
      <w:r w:rsidR="008E532B">
        <w:rPr>
          <w:rFonts w:ascii="Arial" w:hAnsi="Arial" w:cs="Arial"/>
          <w:bCs/>
          <w:sz w:val="22"/>
          <w:szCs w:val="22"/>
          <w:lang w:val="fr-FR"/>
        </w:rPr>
        <w:t>’</w:t>
      </w:r>
      <w:r w:rsidRPr="003C78F9">
        <w:rPr>
          <w:rFonts w:ascii="Arial" w:hAnsi="Arial" w:cs="Arial"/>
          <w:bCs/>
          <w:sz w:val="22"/>
          <w:szCs w:val="22"/>
          <w:lang w:val="fr-FR"/>
        </w:rPr>
        <w:t xml:space="preserve">examen des cas exceptionnels.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agissant des </w:t>
      </w:r>
      <w:r w:rsidRPr="00AB15A9">
        <w:rPr>
          <w:rFonts w:ascii="Arial" w:hAnsi="Arial" w:cs="Arial"/>
          <w:bCs/>
          <w:sz w:val="22"/>
          <w:szCs w:val="22"/>
          <w:u w:val="single"/>
          <w:lang w:val="fr-FR"/>
        </w:rPr>
        <w:t>dossiers en attente</w:t>
      </w:r>
      <w:r w:rsidRPr="003C78F9">
        <w:rPr>
          <w:rFonts w:ascii="Arial" w:hAnsi="Arial" w:cs="Arial"/>
          <w:bCs/>
          <w:sz w:val="22"/>
          <w:szCs w:val="22"/>
          <w:lang w:val="fr-FR"/>
        </w:rPr>
        <w:t>, liés au nombre annuel de dossiers, les dossiers qui n</w:t>
      </w:r>
      <w:r w:rsidR="008E532B">
        <w:rPr>
          <w:rFonts w:ascii="Arial" w:hAnsi="Arial" w:cs="Arial"/>
          <w:bCs/>
          <w:sz w:val="22"/>
          <w:szCs w:val="22"/>
          <w:lang w:val="fr-FR"/>
        </w:rPr>
        <w:t>’</w:t>
      </w:r>
      <w:r>
        <w:rPr>
          <w:rFonts w:ascii="Arial" w:hAnsi="Arial" w:cs="Arial"/>
          <w:bCs/>
          <w:sz w:val="22"/>
          <w:szCs w:val="22"/>
          <w:lang w:val="fr-FR"/>
        </w:rPr>
        <w:t>avaient</w:t>
      </w:r>
      <w:r w:rsidRPr="003C78F9">
        <w:rPr>
          <w:rFonts w:ascii="Arial" w:hAnsi="Arial" w:cs="Arial"/>
          <w:bCs/>
          <w:sz w:val="22"/>
          <w:szCs w:val="22"/>
          <w:lang w:val="fr-FR"/>
        </w:rPr>
        <w:t xml:space="preserve"> pas pu être traités (en raison du plafond annuel </w:t>
      </w:r>
      <w:r>
        <w:rPr>
          <w:rFonts w:ascii="Arial" w:hAnsi="Arial" w:cs="Arial"/>
          <w:bCs/>
          <w:sz w:val="22"/>
          <w:szCs w:val="22"/>
          <w:lang w:val="fr-FR"/>
        </w:rPr>
        <w:t>du</w:t>
      </w:r>
      <w:r w:rsidRPr="003C78F9">
        <w:rPr>
          <w:rFonts w:ascii="Arial" w:hAnsi="Arial" w:cs="Arial"/>
          <w:bCs/>
          <w:sz w:val="22"/>
          <w:szCs w:val="22"/>
          <w:lang w:val="fr-FR"/>
        </w:rPr>
        <w:t xml:space="preserve"> système de priorité) </w:t>
      </w:r>
      <w:r>
        <w:rPr>
          <w:rFonts w:ascii="Arial" w:hAnsi="Arial" w:cs="Arial"/>
          <w:bCs/>
          <w:sz w:val="22"/>
          <w:szCs w:val="22"/>
          <w:lang w:val="fr-FR"/>
        </w:rPr>
        <w:t>étaient</w:t>
      </w:r>
      <w:r w:rsidRPr="003C78F9">
        <w:rPr>
          <w:rFonts w:ascii="Arial" w:hAnsi="Arial" w:cs="Arial"/>
          <w:bCs/>
          <w:sz w:val="22"/>
          <w:szCs w:val="22"/>
          <w:lang w:val="fr-FR"/>
        </w:rPr>
        <w:t xml:space="preserve"> communément appelés </w:t>
      </w:r>
      <w:r>
        <w:rPr>
          <w:rFonts w:ascii="Arial" w:hAnsi="Arial" w:cs="Arial"/>
          <w:bCs/>
          <w:sz w:val="22"/>
          <w:szCs w:val="22"/>
          <w:lang w:val="fr-FR"/>
        </w:rPr>
        <w:t>« </w:t>
      </w:r>
      <w:r w:rsidRPr="003C78F9">
        <w:rPr>
          <w:rFonts w:ascii="Arial" w:hAnsi="Arial" w:cs="Arial"/>
          <w:bCs/>
          <w:sz w:val="22"/>
          <w:szCs w:val="22"/>
          <w:lang w:val="fr-FR"/>
        </w:rPr>
        <w:t xml:space="preserve">dossiers en </w:t>
      </w:r>
      <w:r>
        <w:rPr>
          <w:rFonts w:ascii="Arial" w:hAnsi="Arial" w:cs="Arial"/>
          <w:bCs/>
          <w:sz w:val="22"/>
          <w:szCs w:val="22"/>
          <w:lang w:val="fr-FR"/>
        </w:rPr>
        <w:t>attente » (</w:t>
      </w:r>
      <w:proofErr w:type="spellStart"/>
      <w:r w:rsidRPr="00AB15A9">
        <w:rPr>
          <w:rFonts w:ascii="Arial" w:hAnsi="Arial" w:cs="Arial"/>
          <w:bCs/>
          <w:i/>
          <w:iCs/>
          <w:sz w:val="22"/>
          <w:szCs w:val="22"/>
          <w:lang w:val="fr-FR"/>
        </w:rPr>
        <w:t>backlog</w:t>
      </w:r>
      <w:proofErr w:type="spellEnd"/>
      <w:r w:rsidRPr="00AB15A9">
        <w:rPr>
          <w:rFonts w:ascii="Arial" w:hAnsi="Arial" w:cs="Arial"/>
          <w:bCs/>
          <w:i/>
          <w:iCs/>
          <w:sz w:val="22"/>
          <w:szCs w:val="22"/>
          <w:lang w:val="fr-FR"/>
        </w:rPr>
        <w:t xml:space="preserve"> files</w:t>
      </w:r>
      <w:r>
        <w:rPr>
          <w:rFonts w:ascii="Arial" w:hAnsi="Arial" w:cs="Arial"/>
          <w:bCs/>
          <w:i/>
          <w:iCs/>
          <w:sz w:val="22"/>
          <w:szCs w:val="22"/>
          <w:lang w:val="fr-FR"/>
        </w:rPr>
        <w:t xml:space="preserve"> </w:t>
      </w:r>
      <w:r w:rsidRPr="00AB15A9">
        <w:rPr>
          <w:rFonts w:ascii="Arial" w:hAnsi="Arial" w:cs="Arial"/>
          <w:bCs/>
          <w:sz w:val="22"/>
          <w:szCs w:val="22"/>
          <w:lang w:val="fr-FR"/>
        </w:rPr>
        <w:t>en anglais</w:t>
      </w:r>
      <w:r>
        <w:rPr>
          <w:rFonts w:ascii="Arial" w:hAnsi="Arial" w:cs="Arial"/>
          <w:bCs/>
          <w:sz w:val="22"/>
          <w:szCs w:val="22"/>
          <w:lang w:val="fr-FR"/>
        </w:rPr>
        <w:t xml:space="preserve">) </w:t>
      </w:r>
      <w:r w:rsidRPr="003C78F9">
        <w:rPr>
          <w:rFonts w:ascii="Arial" w:hAnsi="Arial" w:cs="Arial"/>
          <w:bCs/>
          <w:sz w:val="22"/>
          <w:szCs w:val="22"/>
          <w:lang w:val="fr-FR"/>
        </w:rPr>
        <w:t>et rest</w:t>
      </w:r>
      <w:r>
        <w:rPr>
          <w:rFonts w:ascii="Arial" w:hAnsi="Arial" w:cs="Arial"/>
          <w:bCs/>
          <w:sz w:val="22"/>
          <w:szCs w:val="22"/>
          <w:lang w:val="fr-FR"/>
        </w:rPr>
        <w:t>ai</w:t>
      </w:r>
      <w:r w:rsidRPr="003C78F9">
        <w:rPr>
          <w:rFonts w:ascii="Arial" w:hAnsi="Arial" w:cs="Arial"/>
          <w:bCs/>
          <w:sz w:val="22"/>
          <w:szCs w:val="22"/>
          <w:lang w:val="fr-FR"/>
        </w:rPr>
        <w:t>ent dans le pipeline des</w:t>
      </w:r>
      <w:r>
        <w:rPr>
          <w:rFonts w:ascii="Arial" w:hAnsi="Arial" w:cs="Arial"/>
          <w:bCs/>
          <w:sz w:val="22"/>
          <w:szCs w:val="22"/>
          <w:lang w:val="fr-FR"/>
        </w:rPr>
        <w:t xml:space="preserve"> </w:t>
      </w:r>
      <w:r w:rsidRPr="00AB15A9">
        <w:rPr>
          <w:rFonts w:ascii="Arial" w:hAnsi="Arial" w:cs="Arial"/>
          <w:bCs/>
          <w:sz w:val="22"/>
          <w:szCs w:val="22"/>
          <w:lang w:val="fr-FR"/>
        </w:rPr>
        <w:t>candidatur</w:t>
      </w:r>
      <w:r>
        <w:rPr>
          <w:rFonts w:ascii="Arial" w:hAnsi="Arial" w:cs="Arial"/>
          <w:bCs/>
          <w:sz w:val="22"/>
          <w:szCs w:val="22"/>
          <w:lang w:val="fr-FR"/>
        </w:rPr>
        <w:t>es</w:t>
      </w:r>
      <w:r w:rsidRPr="003C78F9">
        <w:rPr>
          <w:rFonts w:ascii="Arial" w:hAnsi="Arial" w:cs="Arial"/>
          <w:bCs/>
          <w:sz w:val="22"/>
          <w:szCs w:val="22"/>
          <w:lang w:val="fr-FR"/>
        </w:rPr>
        <w:t xml:space="preserve">. De longues discussions </w:t>
      </w:r>
      <w:r>
        <w:rPr>
          <w:rFonts w:ascii="Arial" w:hAnsi="Arial" w:cs="Arial"/>
          <w:bCs/>
          <w:sz w:val="22"/>
          <w:szCs w:val="22"/>
          <w:lang w:val="fr-FR"/>
        </w:rPr>
        <w:t>avaient</w:t>
      </w:r>
      <w:r w:rsidRPr="003C78F9">
        <w:rPr>
          <w:rFonts w:ascii="Arial" w:hAnsi="Arial" w:cs="Arial"/>
          <w:bCs/>
          <w:sz w:val="22"/>
          <w:szCs w:val="22"/>
          <w:lang w:val="fr-FR"/>
        </w:rPr>
        <w:t xml:space="preserve"> eu lieu sur cette question et le groupe de travail recommand</w:t>
      </w:r>
      <w:r>
        <w:rPr>
          <w:rFonts w:ascii="Arial" w:hAnsi="Arial" w:cs="Arial"/>
          <w:bCs/>
          <w:sz w:val="22"/>
          <w:szCs w:val="22"/>
          <w:lang w:val="fr-FR"/>
        </w:rPr>
        <w:t>ait</w:t>
      </w:r>
      <w:r w:rsidRPr="003C78F9">
        <w:rPr>
          <w:rFonts w:ascii="Arial" w:hAnsi="Arial" w:cs="Arial"/>
          <w:bCs/>
          <w:sz w:val="22"/>
          <w:szCs w:val="22"/>
          <w:lang w:val="fr-FR"/>
        </w:rPr>
        <w:t xml:space="preserve"> que les dossiers en </w:t>
      </w:r>
      <w:r>
        <w:rPr>
          <w:rFonts w:ascii="Arial" w:hAnsi="Arial" w:cs="Arial"/>
          <w:bCs/>
          <w:sz w:val="22"/>
          <w:szCs w:val="22"/>
          <w:lang w:val="fr-FR"/>
        </w:rPr>
        <w:t>attente</w:t>
      </w:r>
      <w:r w:rsidRPr="003C78F9">
        <w:rPr>
          <w:rFonts w:ascii="Arial" w:hAnsi="Arial" w:cs="Arial"/>
          <w:bCs/>
          <w:sz w:val="22"/>
          <w:szCs w:val="22"/>
          <w:lang w:val="fr-FR"/>
        </w:rPr>
        <w:t>, datant de plus de quatre ans, soient renvoyés à l</w:t>
      </w:r>
      <w:r w:rsidR="008E532B">
        <w:rPr>
          <w:rFonts w:ascii="Arial" w:hAnsi="Arial" w:cs="Arial"/>
          <w:bCs/>
          <w:sz w:val="22"/>
          <w:szCs w:val="22"/>
          <w:lang w:val="fr-FR"/>
        </w:rPr>
        <w:t>’</w:t>
      </w:r>
      <w:r w:rsidRPr="003C78F9">
        <w:rPr>
          <w:rFonts w:ascii="Arial" w:hAnsi="Arial" w:cs="Arial"/>
          <w:bCs/>
          <w:sz w:val="22"/>
          <w:szCs w:val="22"/>
          <w:lang w:val="fr-FR"/>
        </w:rPr>
        <w:t xml:space="preserve">État </w:t>
      </w:r>
      <w:r>
        <w:rPr>
          <w:rFonts w:ascii="Arial" w:hAnsi="Arial" w:cs="Arial"/>
          <w:bCs/>
          <w:sz w:val="22"/>
          <w:szCs w:val="22"/>
          <w:lang w:val="fr-FR"/>
        </w:rPr>
        <w:t>(</w:t>
      </w:r>
      <w:r w:rsidRPr="003C78F9">
        <w:rPr>
          <w:rFonts w:ascii="Arial" w:hAnsi="Arial" w:cs="Arial"/>
          <w:bCs/>
          <w:sz w:val="22"/>
          <w:szCs w:val="22"/>
          <w:lang w:val="fr-FR"/>
        </w:rPr>
        <w:t>aux États</w:t>
      </w:r>
      <w:r>
        <w:rPr>
          <w:rFonts w:ascii="Arial" w:hAnsi="Arial" w:cs="Arial"/>
          <w:bCs/>
          <w:sz w:val="22"/>
          <w:szCs w:val="22"/>
          <w:lang w:val="fr-FR"/>
        </w:rPr>
        <w:t>)</w:t>
      </w:r>
      <w:r w:rsidRPr="003C78F9">
        <w:rPr>
          <w:rFonts w:ascii="Arial" w:hAnsi="Arial" w:cs="Arial"/>
          <w:bCs/>
          <w:sz w:val="22"/>
          <w:szCs w:val="22"/>
          <w:lang w:val="fr-FR"/>
        </w:rPr>
        <w:t xml:space="preserve"> soumissionnaire</w:t>
      </w:r>
      <w:r>
        <w:rPr>
          <w:rFonts w:ascii="Arial" w:hAnsi="Arial" w:cs="Arial"/>
          <w:bCs/>
          <w:sz w:val="22"/>
          <w:szCs w:val="22"/>
          <w:lang w:val="fr-FR"/>
        </w:rPr>
        <w:t>(</w:t>
      </w:r>
      <w:r w:rsidRPr="003C78F9">
        <w:rPr>
          <w:rFonts w:ascii="Arial" w:hAnsi="Arial" w:cs="Arial"/>
          <w:bCs/>
          <w:sz w:val="22"/>
          <w:szCs w:val="22"/>
          <w:lang w:val="fr-FR"/>
        </w:rPr>
        <w:t>s</w:t>
      </w:r>
      <w:r>
        <w:rPr>
          <w:rFonts w:ascii="Arial" w:hAnsi="Arial" w:cs="Arial"/>
          <w:bCs/>
          <w:sz w:val="22"/>
          <w:szCs w:val="22"/>
          <w:lang w:val="fr-FR"/>
        </w:rPr>
        <w:t>)</w:t>
      </w:r>
      <w:r w:rsidRPr="003C78F9">
        <w:rPr>
          <w:rFonts w:ascii="Arial" w:hAnsi="Arial" w:cs="Arial"/>
          <w:bCs/>
          <w:sz w:val="22"/>
          <w:szCs w:val="22"/>
          <w:lang w:val="fr-FR"/>
        </w:rPr>
        <w:t xml:space="preserve">. Certaines délégations </w:t>
      </w:r>
      <w:r>
        <w:rPr>
          <w:rFonts w:ascii="Arial" w:hAnsi="Arial" w:cs="Arial"/>
          <w:bCs/>
          <w:sz w:val="22"/>
          <w:szCs w:val="22"/>
          <w:lang w:val="fr-FR"/>
        </w:rPr>
        <w:t>avaient</w:t>
      </w:r>
      <w:r w:rsidRPr="003C78F9">
        <w:rPr>
          <w:rFonts w:ascii="Arial" w:hAnsi="Arial" w:cs="Arial"/>
          <w:bCs/>
          <w:sz w:val="22"/>
          <w:szCs w:val="22"/>
          <w:lang w:val="fr-FR"/>
        </w:rPr>
        <w:t xml:space="preserve"> exprimé leur inquiétude quant au fait que quelques pays ayant un nombre important de dossiers en </w:t>
      </w:r>
      <w:r>
        <w:rPr>
          <w:rFonts w:ascii="Arial" w:hAnsi="Arial" w:cs="Arial"/>
          <w:bCs/>
          <w:sz w:val="22"/>
          <w:szCs w:val="22"/>
          <w:lang w:val="fr-FR"/>
        </w:rPr>
        <w:t>attente</w:t>
      </w:r>
      <w:r w:rsidRPr="003C78F9">
        <w:rPr>
          <w:rFonts w:ascii="Arial" w:hAnsi="Arial" w:cs="Arial"/>
          <w:bCs/>
          <w:sz w:val="22"/>
          <w:szCs w:val="22"/>
          <w:lang w:val="fr-FR"/>
        </w:rPr>
        <w:t xml:space="preserve"> ne seraient pas en mesure de retirer leurs dossiers, de les soumettre à nouveau et de les faire évaluer dans les quatre ans. Dans ce</w:t>
      </w:r>
      <w:r>
        <w:rPr>
          <w:rFonts w:ascii="Arial" w:hAnsi="Arial" w:cs="Arial"/>
          <w:bCs/>
          <w:sz w:val="22"/>
          <w:szCs w:val="22"/>
          <w:lang w:val="fr-FR"/>
        </w:rPr>
        <w:t>s</w:t>
      </w:r>
      <w:r w:rsidRPr="003C78F9">
        <w:rPr>
          <w:rFonts w:ascii="Arial" w:hAnsi="Arial" w:cs="Arial"/>
          <w:bCs/>
          <w:sz w:val="22"/>
          <w:szCs w:val="22"/>
          <w:lang w:val="fr-FR"/>
        </w:rPr>
        <w:t xml:space="preserve"> cas, ces États parties seraient tenus de mettre à jour leurs dossiers une seconde fois. Il a</w:t>
      </w:r>
      <w:r>
        <w:rPr>
          <w:rFonts w:ascii="Arial" w:hAnsi="Arial" w:cs="Arial"/>
          <w:bCs/>
          <w:sz w:val="22"/>
          <w:szCs w:val="22"/>
          <w:lang w:val="fr-FR"/>
        </w:rPr>
        <w:t>vait</w:t>
      </w:r>
      <w:r w:rsidRPr="003C78F9">
        <w:rPr>
          <w:rFonts w:ascii="Arial" w:hAnsi="Arial" w:cs="Arial"/>
          <w:bCs/>
          <w:sz w:val="22"/>
          <w:szCs w:val="22"/>
          <w:lang w:val="fr-FR"/>
        </w:rPr>
        <w:t xml:space="preserve"> donc été suggéré que le Secrétariat ouvre un dialogue avec ces États afin d</w:t>
      </w:r>
      <w:r w:rsidR="008E532B">
        <w:rPr>
          <w:rFonts w:ascii="Arial" w:hAnsi="Arial" w:cs="Arial"/>
          <w:bCs/>
          <w:sz w:val="22"/>
          <w:szCs w:val="22"/>
          <w:lang w:val="fr-FR"/>
        </w:rPr>
        <w:t>’</w:t>
      </w:r>
      <w:r w:rsidRPr="003C78F9">
        <w:rPr>
          <w:rFonts w:ascii="Arial" w:hAnsi="Arial" w:cs="Arial"/>
          <w:bCs/>
          <w:sz w:val="22"/>
          <w:szCs w:val="22"/>
          <w:lang w:val="fr-FR"/>
        </w:rPr>
        <w:t>établir un plan pour la</w:t>
      </w:r>
      <w:r>
        <w:rPr>
          <w:rFonts w:ascii="Arial" w:hAnsi="Arial" w:cs="Arial"/>
          <w:bCs/>
          <w:sz w:val="22"/>
          <w:szCs w:val="22"/>
          <w:lang w:val="fr-FR"/>
        </w:rPr>
        <w:t xml:space="preserve"> nouvelle </w:t>
      </w:r>
      <w:r w:rsidRPr="003C78F9">
        <w:rPr>
          <w:rFonts w:ascii="Arial" w:hAnsi="Arial" w:cs="Arial"/>
          <w:bCs/>
          <w:sz w:val="22"/>
          <w:szCs w:val="22"/>
          <w:lang w:val="fr-FR"/>
        </w:rPr>
        <w:t>soumission de leurs dossiers en</w:t>
      </w:r>
      <w:r>
        <w:rPr>
          <w:rFonts w:ascii="Arial" w:hAnsi="Arial" w:cs="Arial"/>
          <w:bCs/>
          <w:sz w:val="22"/>
          <w:szCs w:val="22"/>
          <w:lang w:val="fr-FR"/>
        </w:rPr>
        <w:t xml:space="preserve"> attente</w:t>
      </w:r>
      <w:r w:rsidRPr="003C78F9">
        <w:rPr>
          <w:rFonts w:ascii="Arial" w:hAnsi="Arial" w:cs="Arial"/>
          <w:bCs/>
          <w:sz w:val="22"/>
          <w:szCs w:val="22"/>
          <w:lang w:val="fr-FR"/>
        </w:rPr>
        <w:t xml:space="preserve">. Concernant le </w:t>
      </w:r>
      <w:r w:rsidRPr="00AB15A9">
        <w:rPr>
          <w:rFonts w:ascii="Arial" w:hAnsi="Arial" w:cs="Arial"/>
          <w:bCs/>
          <w:sz w:val="22"/>
          <w:szCs w:val="22"/>
          <w:u w:val="single"/>
          <w:lang w:val="fr-FR"/>
        </w:rPr>
        <w:t>groupe de travail sur l</w:t>
      </w:r>
      <w:r w:rsidR="008E532B">
        <w:rPr>
          <w:rFonts w:ascii="Arial" w:hAnsi="Arial" w:cs="Arial"/>
          <w:bCs/>
          <w:sz w:val="22"/>
          <w:szCs w:val="22"/>
          <w:u w:val="single"/>
          <w:lang w:val="fr-FR"/>
        </w:rPr>
        <w:t>’</w:t>
      </w:r>
      <w:r w:rsidRPr="00AB15A9">
        <w:rPr>
          <w:rFonts w:ascii="Arial" w:hAnsi="Arial" w:cs="Arial"/>
          <w:bCs/>
          <w:sz w:val="22"/>
          <w:szCs w:val="22"/>
          <w:u w:val="single"/>
          <w:lang w:val="fr-FR"/>
        </w:rPr>
        <w:t>article 18</w:t>
      </w:r>
      <w:r w:rsidRPr="003C78F9">
        <w:rPr>
          <w:rFonts w:ascii="Arial" w:hAnsi="Arial" w:cs="Arial"/>
          <w:bCs/>
          <w:sz w:val="22"/>
          <w:szCs w:val="22"/>
          <w:lang w:val="fr-FR"/>
        </w:rPr>
        <w:t xml:space="preserve">, certaines délégations </w:t>
      </w:r>
      <w:r>
        <w:rPr>
          <w:rFonts w:ascii="Arial" w:hAnsi="Arial" w:cs="Arial"/>
          <w:bCs/>
          <w:sz w:val="22"/>
          <w:szCs w:val="22"/>
          <w:lang w:val="fr-FR"/>
        </w:rPr>
        <w:t xml:space="preserve">avaient </w:t>
      </w:r>
      <w:r w:rsidRPr="003C78F9">
        <w:rPr>
          <w:rFonts w:ascii="Arial" w:hAnsi="Arial" w:cs="Arial"/>
          <w:bCs/>
          <w:sz w:val="22"/>
          <w:szCs w:val="22"/>
          <w:lang w:val="fr-FR"/>
        </w:rPr>
        <w:t xml:space="preserve">estimé que les ONG devraient se concentrer sur le renforcement des capacités et les bonnes pratiques plutôt que de jouer un rôle dans la </w:t>
      </w:r>
      <w:r>
        <w:rPr>
          <w:rFonts w:ascii="Arial" w:hAnsi="Arial" w:cs="Arial"/>
          <w:bCs/>
          <w:sz w:val="22"/>
          <w:szCs w:val="22"/>
          <w:lang w:val="fr-FR"/>
        </w:rPr>
        <w:t>communication</w:t>
      </w:r>
      <w:r w:rsidRPr="003C78F9">
        <w:rPr>
          <w:rFonts w:ascii="Arial" w:hAnsi="Arial" w:cs="Arial"/>
          <w:bCs/>
          <w:sz w:val="22"/>
          <w:szCs w:val="22"/>
          <w:lang w:val="fr-FR"/>
        </w:rPr>
        <w:t xml:space="preserve"> d</w:t>
      </w:r>
      <w:r w:rsidR="008E532B">
        <w:rPr>
          <w:rFonts w:ascii="Arial" w:hAnsi="Arial" w:cs="Arial"/>
          <w:bCs/>
          <w:sz w:val="22"/>
          <w:szCs w:val="22"/>
          <w:lang w:val="fr-FR"/>
        </w:rPr>
        <w:t>’</w:t>
      </w:r>
      <w:r w:rsidRPr="003C78F9">
        <w:rPr>
          <w:rFonts w:ascii="Arial" w:hAnsi="Arial" w:cs="Arial"/>
          <w:bCs/>
          <w:sz w:val="22"/>
          <w:szCs w:val="22"/>
          <w:lang w:val="fr-FR"/>
        </w:rPr>
        <w:t>informations supplémentaires sur les candidatures. Le groupe de travail sur la réflexion globale n</w:t>
      </w:r>
      <w:r w:rsidR="008E532B">
        <w:rPr>
          <w:rFonts w:ascii="Arial" w:hAnsi="Arial" w:cs="Arial"/>
          <w:bCs/>
          <w:sz w:val="22"/>
          <w:szCs w:val="22"/>
          <w:lang w:val="fr-FR"/>
        </w:rPr>
        <w:t>’</w:t>
      </w:r>
      <w:r w:rsidRPr="003C78F9">
        <w:rPr>
          <w:rFonts w:ascii="Arial" w:hAnsi="Arial" w:cs="Arial"/>
          <w:bCs/>
          <w:sz w:val="22"/>
          <w:szCs w:val="22"/>
          <w:lang w:val="fr-FR"/>
        </w:rPr>
        <w:t>ayant pas pour mandat de déterminer un point de l</w:t>
      </w:r>
      <w:r w:rsidR="008E532B">
        <w:rPr>
          <w:rFonts w:ascii="Arial" w:hAnsi="Arial" w:cs="Arial"/>
          <w:bCs/>
          <w:sz w:val="22"/>
          <w:szCs w:val="22"/>
          <w:lang w:val="fr-FR"/>
        </w:rPr>
        <w:t>’</w:t>
      </w:r>
      <w:r w:rsidRPr="003C78F9">
        <w:rPr>
          <w:rFonts w:ascii="Arial" w:hAnsi="Arial" w:cs="Arial"/>
          <w:bCs/>
          <w:sz w:val="22"/>
          <w:szCs w:val="22"/>
          <w:lang w:val="fr-FR"/>
        </w:rPr>
        <w:t>ordre du jour pour ce nouveau groupe de travail sur l</w:t>
      </w:r>
      <w:r w:rsidR="008E532B">
        <w:rPr>
          <w:rFonts w:ascii="Arial" w:hAnsi="Arial" w:cs="Arial"/>
          <w:bCs/>
          <w:sz w:val="22"/>
          <w:szCs w:val="22"/>
          <w:lang w:val="fr-FR"/>
        </w:rPr>
        <w:t>’</w:t>
      </w:r>
      <w:r w:rsidRPr="003C78F9">
        <w:rPr>
          <w:rFonts w:ascii="Arial" w:hAnsi="Arial" w:cs="Arial"/>
          <w:bCs/>
          <w:sz w:val="22"/>
          <w:szCs w:val="22"/>
          <w:lang w:val="fr-FR"/>
        </w:rPr>
        <w:t>article 18 de la Convention, il a</w:t>
      </w:r>
      <w:r>
        <w:rPr>
          <w:rFonts w:ascii="Arial" w:hAnsi="Arial" w:cs="Arial"/>
          <w:bCs/>
          <w:sz w:val="22"/>
          <w:szCs w:val="22"/>
          <w:lang w:val="fr-FR"/>
        </w:rPr>
        <w:t>vait</w:t>
      </w:r>
      <w:r w:rsidRPr="003C78F9">
        <w:rPr>
          <w:rFonts w:ascii="Arial" w:hAnsi="Arial" w:cs="Arial"/>
          <w:bCs/>
          <w:sz w:val="22"/>
          <w:szCs w:val="22"/>
          <w:lang w:val="fr-FR"/>
        </w:rPr>
        <w:t xml:space="preserve"> été demandé à M.</w:t>
      </w:r>
      <w:r>
        <w:rPr>
          <w:rFonts w:ascii="Arial" w:hAnsi="Arial" w:cs="Arial"/>
          <w:bCs/>
          <w:sz w:val="22"/>
          <w:szCs w:val="22"/>
          <w:lang w:val="fr-FR"/>
        </w:rPr>
        <w:t> </w:t>
      </w:r>
      <w:proofErr w:type="spellStart"/>
      <w:r w:rsidRPr="003C78F9">
        <w:rPr>
          <w:rFonts w:ascii="Arial" w:hAnsi="Arial" w:cs="Arial"/>
          <w:bCs/>
          <w:sz w:val="22"/>
          <w:szCs w:val="22"/>
          <w:lang w:val="fr-FR"/>
        </w:rPr>
        <w:t>Oike</w:t>
      </w:r>
      <w:proofErr w:type="spellEnd"/>
      <w:r w:rsidRPr="003C78F9">
        <w:rPr>
          <w:rFonts w:ascii="Arial" w:hAnsi="Arial" w:cs="Arial"/>
          <w:bCs/>
          <w:sz w:val="22"/>
          <w:szCs w:val="22"/>
          <w:lang w:val="fr-FR"/>
        </w:rPr>
        <w:t xml:space="preserve"> de mentionner ces points dans son rapport.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agissant de </w:t>
      </w:r>
      <w:r w:rsidRPr="003C78F9">
        <w:rPr>
          <w:rFonts w:ascii="Arial" w:hAnsi="Arial" w:cs="Arial"/>
          <w:bCs/>
          <w:sz w:val="22"/>
          <w:szCs w:val="22"/>
          <w:lang w:val="fr-FR"/>
        </w:rPr>
        <w:t xml:space="preserve">la </w:t>
      </w:r>
      <w:r w:rsidRPr="00AB15A9">
        <w:rPr>
          <w:rFonts w:ascii="Arial" w:hAnsi="Arial" w:cs="Arial"/>
          <w:bCs/>
          <w:sz w:val="22"/>
          <w:szCs w:val="22"/>
          <w:u w:val="single"/>
          <w:lang w:val="fr-FR"/>
        </w:rPr>
        <w:t>procédure d</w:t>
      </w:r>
      <w:r w:rsidR="008E532B">
        <w:rPr>
          <w:rFonts w:ascii="Arial" w:hAnsi="Arial" w:cs="Arial"/>
          <w:bCs/>
          <w:sz w:val="22"/>
          <w:szCs w:val="22"/>
          <w:u w:val="single"/>
          <w:lang w:val="fr-FR"/>
        </w:rPr>
        <w:t>’</w:t>
      </w:r>
      <w:r w:rsidRPr="00AB15A9">
        <w:rPr>
          <w:rFonts w:ascii="Arial" w:hAnsi="Arial" w:cs="Arial"/>
          <w:bCs/>
          <w:sz w:val="22"/>
          <w:szCs w:val="22"/>
          <w:u w:val="single"/>
          <w:lang w:val="fr-FR"/>
        </w:rPr>
        <w:t>examen des cas exceptionnels</w:t>
      </w:r>
      <w:r w:rsidRPr="003C78F9">
        <w:rPr>
          <w:rFonts w:ascii="Arial" w:hAnsi="Arial" w:cs="Arial"/>
          <w:bCs/>
          <w:sz w:val="22"/>
          <w:szCs w:val="22"/>
          <w:lang w:val="fr-FR"/>
        </w:rPr>
        <w:t xml:space="preserve">, certaines délégations </w:t>
      </w:r>
      <w:r>
        <w:rPr>
          <w:rFonts w:ascii="Arial" w:hAnsi="Arial" w:cs="Arial"/>
          <w:bCs/>
          <w:sz w:val="22"/>
          <w:szCs w:val="22"/>
          <w:lang w:val="fr-FR"/>
        </w:rPr>
        <w:t>avaient</w:t>
      </w:r>
      <w:r w:rsidRPr="003C78F9">
        <w:rPr>
          <w:rFonts w:ascii="Arial" w:hAnsi="Arial" w:cs="Arial"/>
          <w:bCs/>
          <w:sz w:val="22"/>
          <w:szCs w:val="22"/>
          <w:lang w:val="fr-FR"/>
        </w:rPr>
        <w:t xml:space="preserve"> exprimé le souhait que des discussions aient lieu pour identifier un groupe ou un organe qui pourrait travailler à l</w:t>
      </w:r>
      <w:r w:rsidR="008E532B">
        <w:rPr>
          <w:rFonts w:ascii="Arial" w:hAnsi="Arial" w:cs="Arial"/>
          <w:bCs/>
          <w:sz w:val="22"/>
          <w:szCs w:val="22"/>
          <w:lang w:val="fr-FR"/>
        </w:rPr>
        <w:t>’</w:t>
      </w:r>
      <w:r w:rsidRPr="003C78F9">
        <w:rPr>
          <w:rFonts w:ascii="Arial" w:hAnsi="Arial" w:cs="Arial"/>
          <w:bCs/>
          <w:sz w:val="22"/>
          <w:szCs w:val="22"/>
          <w:lang w:val="fr-FR"/>
        </w:rPr>
        <w:t>établissement de critères de définition des cas exceptionnels dans le contexte de la Convention. Le groupe de travail n</w:t>
      </w:r>
      <w:r w:rsidR="008E532B">
        <w:rPr>
          <w:rFonts w:ascii="Arial" w:hAnsi="Arial" w:cs="Arial"/>
          <w:bCs/>
          <w:sz w:val="22"/>
          <w:szCs w:val="22"/>
          <w:lang w:val="fr-FR"/>
        </w:rPr>
        <w:t>’</w:t>
      </w:r>
      <w:r>
        <w:rPr>
          <w:rFonts w:ascii="Arial" w:hAnsi="Arial" w:cs="Arial"/>
          <w:bCs/>
          <w:sz w:val="22"/>
          <w:szCs w:val="22"/>
          <w:lang w:val="fr-FR"/>
        </w:rPr>
        <w:t xml:space="preserve">était pas parvenu à </w:t>
      </w:r>
      <w:r w:rsidRPr="003C78F9">
        <w:rPr>
          <w:rFonts w:ascii="Arial" w:hAnsi="Arial" w:cs="Arial"/>
          <w:bCs/>
          <w:sz w:val="22"/>
          <w:szCs w:val="22"/>
          <w:lang w:val="fr-FR"/>
        </w:rPr>
        <w:t>se mettre d</w:t>
      </w:r>
      <w:r w:rsidR="008E532B">
        <w:rPr>
          <w:rFonts w:ascii="Arial" w:hAnsi="Arial" w:cs="Arial"/>
          <w:bCs/>
          <w:sz w:val="22"/>
          <w:szCs w:val="22"/>
          <w:lang w:val="fr-FR"/>
        </w:rPr>
        <w:t>’</w:t>
      </w:r>
      <w:r w:rsidRPr="003C78F9">
        <w:rPr>
          <w:rFonts w:ascii="Arial" w:hAnsi="Arial" w:cs="Arial"/>
          <w:bCs/>
          <w:sz w:val="22"/>
          <w:szCs w:val="22"/>
          <w:lang w:val="fr-FR"/>
        </w:rPr>
        <w:t>accord sur ce point, qui n</w:t>
      </w:r>
      <w:r w:rsidR="008E532B">
        <w:rPr>
          <w:rFonts w:ascii="Arial" w:hAnsi="Arial" w:cs="Arial"/>
          <w:bCs/>
          <w:sz w:val="22"/>
          <w:szCs w:val="22"/>
          <w:lang w:val="fr-FR"/>
        </w:rPr>
        <w:t>’</w:t>
      </w:r>
      <w:r w:rsidRPr="003C78F9">
        <w:rPr>
          <w:rFonts w:ascii="Arial" w:hAnsi="Arial" w:cs="Arial"/>
          <w:bCs/>
          <w:sz w:val="22"/>
          <w:szCs w:val="22"/>
          <w:lang w:val="fr-FR"/>
        </w:rPr>
        <w:t>a</w:t>
      </w:r>
      <w:r>
        <w:rPr>
          <w:rFonts w:ascii="Arial" w:hAnsi="Arial" w:cs="Arial"/>
          <w:bCs/>
          <w:sz w:val="22"/>
          <w:szCs w:val="22"/>
          <w:lang w:val="fr-FR"/>
        </w:rPr>
        <w:t>vait</w:t>
      </w:r>
      <w:r w:rsidRPr="003C78F9">
        <w:rPr>
          <w:rFonts w:ascii="Arial" w:hAnsi="Arial" w:cs="Arial"/>
          <w:bCs/>
          <w:sz w:val="22"/>
          <w:szCs w:val="22"/>
          <w:lang w:val="fr-FR"/>
        </w:rPr>
        <w:t xml:space="preserve"> donc pas été inclus dans les recommandations. Ceci conclu</w:t>
      </w:r>
      <w:r>
        <w:rPr>
          <w:rFonts w:ascii="Arial" w:hAnsi="Arial" w:cs="Arial"/>
          <w:bCs/>
          <w:sz w:val="22"/>
          <w:szCs w:val="22"/>
          <w:lang w:val="fr-FR"/>
        </w:rPr>
        <w:t>ai</w:t>
      </w:r>
      <w:r w:rsidRPr="003C78F9">
        <w:rPr>
          <w:rFonts w:ascii="Arial" w:hAnsi="Arial" w:cs="Arial"/>
          <w:bCs/>
          <w:sz w:val="22"/>
          <w:szCs w:val="22"/>
          <w:lang w:val="fr-FR"/>
        </w:rPr>
        <w:t>t les points principaux du rapport.</w:t>
      </w:r>
    </w:p>
    <w:p w14:paraId="6830AFA1" w14:textId="169D8CD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E643C">
        <w:rPr>
          <w:rFonts w:ascii="Arial" w:hAnsi="Arial" w:cs="Arial"/>
          <w:bCs/>
          <w:sz w:val="22"/>
          <w:szCs w:val="22"/>
          <w:lang w:val="fr-FR"/>
        </w:rPr>
        <w:t>L</w:t>
      </w:r>
      <w:r>
        <w:rPr>
          <w:rFonts w:ascii="Arial" w:hAnsi="Arial" w:cs="Arial"/>
          <w:bCs/>
          <w:sz w:val="22"/>
          <w:szCs w:val="22"/>
          <w:lang w:val="fr-FR"/>
        </w:rPr>
        <w:t>e</w:t>
      </w:r>
      <w:r w:rsidRPr="000E643C">
        <w:rPr>
          <w:rFonts w:ascii="Arial" w:hAnsi="Arial" w:cs="Arial"/>
          <w:bCs/>
          <w:sz w:val="22"/>
          <w:szCs w:val="22"/>
          <w:lang w:val="fr-FR"/>
        </w:rPr>
        <w:t xml:space="preserve"> </w:t>
      </w:r>
      <w:r w:rsidRPr="000E643C">
        <w:rPr>
          <w:rFonts w:ascii="Arial" w:hAnsi="Arial" w:cs="Arial"/>
          <w:b/>
          <w:sz w:val="22"/>
          <w:szCs w:val="22"/>
          <w:lang w:val="fr-FR"/>
        </w:rPr>
        <w:t>Président du groupe de travail à composition non limitée</w:t>
      </w:r>
      <w:r w:rsidRPr="000E643C">
        <w:rPr>
          <w:rFonts w:ascii="Arial" w:hAnsi="Arial" w:cs="Arial"/>
          <w:bCs/>
          <w:sz w:val="22"/>
          <w:szCs w:val="22"/>
          <w:lang w:val="fr-FR"/>
        </w:rPr>
        <w:t xml:space="preserve"> a expliqué que, </w:t>
      </w:r>
      <w:proofErr w:type="gramStart"/>
      <w:r w:rsidRPr="000E643C">
        <w:rPr>
          <w:rFonts w:ascii="Arial" w:hAnsi="Arial" w:cs="Arial"/>
          <w:bCs/>
          <w:sz w:val="22"/>
          <w:szCs w:val="22"/>
          <w:lang w:val="fr-FR"/>
        </w:rPr>
        <w:t>suite à</w:t>
      </w:r>
      <w:proofErr w:type="gramEnd"/>
      <w:r w:rsidRPr="000E643C">
        <w:rPr>
          <w:rFonts w:ascii="Arial" w:hAnsi="Arial" w:cs="Arial"/>
          <w:bCs/>
          <w:sz w:val="22"/>
          <w:szCs w:val="22"/>
          <w:lang w:val="fr-FR"/>
        </w:rPr>
        <w:t xml:space="preserve"> la demande du groupe de travail, le Secrétariat avait préparé une série de projets d</w:t>
      </w:r>
      <w:r w:rsidR="008E532B">
        <w:rPr>
          <w:rFonts w:ascii="Arial" w:hAnsi="Arial" w:cs="Arial"/>
          <w:bCs/>
          <w:sz w:val="22"/>
          <w:szCs w:val="22"/>
          <w:lang w:val="fr-FR"/>
        </w:rPr>
        <w:t>’</w:t>
      </w:r>
      <w:r w:rsidRPr="000E643C">
        <w:rPr>
          <w:rFonts w:ascii="Arial" w:hAnsi="Arial" w:cs="Arial"/>
          <w:bCs/>
          <w:sz w:val="22"/>
          <w:szCs w:val="22"/>
          <w:lang w:val="fr-FR"/>
        </w:rPr>
        <w:t xml:space="preserve">amendements aux Directives opérationnelles sur la base des recommandations de la </w:t>
      </w:r>
      <w:r>
        <w:rPr>
          <w:rFonts w:ascii="Arial" w:hAnsi="Arial" w:cs="Arial"/>
          <w:bCs/>
          <w:sz w:val="22"/>
          <w:szCs w:val="22"/>
          <w:lang w:val="fr-FR"/>
        </w:rPr>
        <w:t>p</w:t>
      </w:r>
      <w:r w:rsidRPr="000E643C">
        <w:rPr>
          <w:rFonts w:ascii="Arial" w:hAnsi="Arial" w:cs="Arial"/>
          <w:bCs/>
          <w:sz w:val="22"/>
          <w:szCs w:val="22"/>
          <w:lang w:val="fr-FR"/>
        </w:rPr>
        <w:t>artie III</w:t>
      </w:r>
      <w:r>
        <w:rPr>
          <w:rFonts w:ascii="Arial" w:hAnsi="Arial" w:cs="Arial"/>
          <w:bCs/>
          <w:sz w:val="22"/>
          <w:szCs w:val="22"/>
          <w:lang w:val="fr-FR"/>
        </w:rPr>
        <w:t xml:space="preserve"> de la réunion</w:t>
      </w:r>
      <w:r w:rsidRPr="000E643C">
        <w:rPr>
          <w:rFonts w:ascii="Arial" w:hAnsi="Arial" w:cs="Arial"/>
          <w:bCs/>
          <w:sz w:val="22"/>
          <w:szCs w:val="22"/>
          <w:lang w:val="fr-FR"/>
        </w:rPr>
        <w:t>. Il a rappelé à l</w:t>
      </w:r>
      <w:r w:rsidR="008E532B">
        <w:rPr>
          <w:rFonts w:ascii="Arial" w:hAnsi="Arial" w:cs="Arial"/>
          <w:bCs/>
          <w:sz w:val="22"/>
          <w:szCs w:val="22"/>
          <w:lang w:val="fr-FR"/>
        </w:rPr>
        <w:t>’</w:t>
      </w:r>
      <w:r w:rsidRPr="000E643C">
        <w:rPr>
          <w:rFonts w:ascii="Arial" w:hAnsi="Arial" w:cs="Arial"/>
          <w:bCs/>
          <w:sz w:val="22"/>
          <w:szCs w:val="22"/>
          <w:lang w:val="fr-FR"/>
        </w:rPr>
        <w:t xml:space="preserve">Assemblée que ces révisions avaient déjà été approuvées par le Comité lors de sa </w:t>
      </w:r>
      <w:r>
        <w:rPr>
          <w:rFonts w:ascii="Arial" w:hAnsi="Arial" w:cs="Arial"/>
          <w:bCs/>
          <w:sz w:val="22"/>
          <w:szCs w:val="22"/>
          <w:lang w:val="fr-FR"/>
        </w:rPr>
        <w:t>seizième</w:t>
      </w:r>
      <w:r w:rsidRPr="000E643C">
        <w:rPr>
          <w:rFonts w:ascii="Arial" w:hAnsi="Arial" w:cs="Arial"/>
          <w:bCs/>
          <w:sz w:val="22"/>
          <w:szCs w:val="22"/>
          <w:lang w:val="fr-FR"/>
        </w:rPr>
        <w:t xml:space="preserve"> session et de sa </w:t>
      </w:r>
      <w:r>
        <w:rPr>
          <w:rFonts w:ascii="Arial" w:hAnsi="Arial" w:cs="Arial"/>
          <w:bCs/>
          <w:sz w:val="22"/>
          <w:szCs w:val="22"/>
          <w:lang w:val="fr-FR"/>
        </w:rPr>
        <w:t>cinquième</w:t>
      </w:r>
      <w:r w:rsidRPr="000E643C">
        <w:rPr>
          <w:rFonts w:ascii="Arial" w:hAnsi="Arial" w:cs="Arial"/>
          <w:bCs/>
          <w:sz w:val="22"/>
          <w:szCs w:val="22"/>
          <w:lang w:val="fr-FR"/>
        </w:rPr>
        <w:t xml:space="preserve"> session extraordinaire, couvrant les trois parties des recommandations du groupe de travail. En tant que Président du groupe de travail, M.</w:t>
      </w:r>
      <w:r>
        <w:rPr>
          <w:rFonts w:ascii="Arial" w:hAnsi="Arial" w:cs="Arial"/>
          <w:bCs/>
          <w:sz w:val="22"/>
          <w:szCs w:val="22"/>
          <w:lang w:val="fr-FR"/>
        </w:rPr>
        <w:t> </w:t>
      </w:r>
      <w:proofErr w:type="spellStart"/>
      <w:r w:rsidRPr="000E643C">
        <w:rPr>
          <w:rFonts w:ascii="Arial" w:hAnsi="Arial" w:cs="Arial"/>
          <w:bCs/>
          <w:sz w:val="22"/>
          <w:szCs w:val="22"/>
          <w:lang w:val="fr-FR"/>
        </w:rPr>
        <w:t>Oike</w:t>
      </w:r>
      <w:proofErr w:type="spellEnd"/>
      <w:r w:rsidRPr="000E643C">
        <w:rPr>
          <w:rFonts w:ascii="Arial" w:hAnsi="Arial" w:cs="Arial"/>
          <w:bCs/>
          <w:sz w:val="22"/>
          <w:szCs w:val="22"/>
          <w:lang w:val="fr-FR"/>
        </w:rPr>
        <w:t xml:space="preserve"> a suggéré que l</w:t>
      </w:r>
      <w:r w:rsidR="008E532B">
        <w:rPr>
          <w:rFonts w:ascii="Arial" w:hAnsi="Arial" w:cs="Arial"/>
          <w:bCs/>
          <w:sz w:val="22"/>
          <w:szCs w:val="22"/>
          <w:lang w:val="fr-FR"/>
        </w:rPr>
        <w:t>’</w:t>
      </w:r>
      <w:r w:rsidRPr="000E643C">
        <w:rPr>
          <w:rFonts w:ascii="Arial" w:hAnsi="Arial" w:cs="Arial"/>
          <w:bCs/>
          <w:sz w:val="22"/>
          <w:szCs w:val="22"/>
          <w:lang w:val="fr-FR"/>
        </w:rPr>
        <w:t xml:space="preserve">Assemblée générale approuve les révisions proposées aux Directives opérationnelles sans rouvrir aucune discussion technique car, une fois de plus, tous ces détails </w:t>
      </w:r>
      <w:r>
        <w:rPr>
          <w:rFonts w:ascii="Arial" w:hAnsi="Arial" w:cs="Arial"/>
          <w:bCs/>
          <w:sz w:val="22"/>
          <w:szCs w:val="22"/>
          <w:lang w:val="fr-FR"/>
        </w:rPr>
        <w:t xml:space="preserve">avaient </w:t>
      </w:r>
      <w:r w:rsidRPr="000E643C">
        <w:rPr>
          <w:rFonts w:ascii="Arial" w:hAnsi="Arial" w:cs="Arial"/>
          <w:bCs/>
          <w:sz w:val="22"/>
          <w:szCs w:val="22"/>
          <w:lang w:val="fr-FR"/>
        </w:rPr>
        <w:t>été réglés au niveau du Comité. M.</w:t>
      </w:r>
      <w:r>
        <w:rPr>
          <w:rFonts w:ascii="Arial" w:hAnsi="Arial" w:cs="Arial"/>
          <w:bCs/>
          <w:sz w:val="22"/>
          <w:szCs w:val="22"/>
          <w:lang w:val="fr-FR"/>
        </w:rPr>
        <w:t> </w:t>
      </w:r>
      <w:proofErr w:type="spellStart"/>
      <w:r w:rsidRPr="000E643C">
        <w:rPr>
          <w:rFonts w:ascii="Arial" w:hAnsi="Arial" w:cs="Arial"/>
          <w:bCs/>
          <w:sz w:val="22"/>
          <w:szCs w:val="22"/>
          <w:lang w:val="fr-FR"/>
        </w:rPr>
        <w:t>Oike</w:t>
      </w:r>
      <w:proofErr w:type="spellEnd"/>
      <w:r w:rsidRPr="000E643C">
        <w:rPr>
          <w:rFonts w:ascii="Arial" w:hAnsi="Arial" w:cs="Arial"/>
          <w:bCs/>
          <w:sz w:val="22"/>
          <w:szCs w:val="22"/>
          <w:lang w:val="fr-FR"/>
        </w:rPr>
        <w:t xml:space="preserve"> souhait</w:t>
      </w:r>
      <w:r>
        <w:rPr>
          <w:rFonts w:ascii="Arial" w:hAnsi="Arial" w:cs="Arial"/>
          <w:bCs/>
          <w:sz w:val="22"/>
          <w:szCs w:val="22"/>
          <w:lang w:val="fr-FR"/>
        </w:rPr>
        <w:t>ait</w:t>
      </w:r>
      <w:r w:rsidRPr="000E643C">
        <w:rPr>
          <w:rFonts w:ascii="Arial" w:hAnsi="Arial" w:cs="Arial"/>
          <w:bCs/>
          <w:sz w:val="22"/>
          <w:szCs w:val="22"/>
          <w:lang w:val="fr-FR"/>
        </w:rPr>
        <w:t xml:space="preserve"> préciser que le groupe de travail sur la réflexion globale a</w:t>
      </w:r>
      <w:r>
        <w:rPr>
          <w:rFonts w:ascii="Arial" w:hAnsi="Arial" w:cs="Arial"/>
          <w:bCs/>
          <w:sz w:val="22"/>
          <w:szCs w:val="22"/>
          <w:lang w:val="fr-FR"/>
        </w:rPr>
        <w:t>vait</w:t>
      </w:r>
      <w:r w:rsidRPr="000E643C">
        <w:rPr>
          <w:rFonts w:ascii="Arial" w:hAnsi="Arial" w:cs="Arial"/>
          <w:bCs/>
          <w:sz w:val="22"/>
          <w:szCs w:val="22"/>
          <w:lang w:val="fr-FR"/>
        </w:rPr>
        <w:t xml:space="preserve"> été créé par le Comité. Les recommandations </w:t>
      </w:r>
      <w:r>
        <w:rPr>
          <w:rFonts w:ascii="Arial" w:hAnsi="Arial" w:cs="Arial"/>
          <w:bCs/>
          <w:sz w:val="22"/>
          <w:szCs w:val="22"/>
          <w:lang w:val="fr-FR"/>
        </w:rPr>
        <w:t xml:space="preserve">avaient </w:t>
      </w:r>
      <w:r w:rsidRPr="000E643C">
        <w:rPr>
          <w:rFonts w:ascii="Arial" w:hAnsi="Arial" w:cs="Arial"/>
          <w:bCs/>
          <w:sz w:val="22"/>
          <w:szCs w:val="22"/>
          <w:lang w:val="fr-FR"/>
        </w:rPr>
        <w:t xml:space="preserve">donc été présentées au Comité </w:t>
      </w:r>
      <w:r>
        <w:rPr>
          <w:rFonts w:ascii="Arial" w:hAnsi="Arial" w:cs="Arial"/>
          <w:bCs/>
          <w:sz w:val="22"/>
          <w:szCs w:val="22"/>
          <w:lang w:val="fr-FR"/>
        </w:rPr>
        <w:t>afin</w:t>
      </w:r>
      <w:r w:rsidRPr="000E643C">
        <w:rPr>
          <w:rFonts w:ascii="Arial" w:hAnsi="Arial" w:cs="Arial"/>
          <w:bCs/>
          <w:sz w:val="22"/>
          <w:szCs w:val="22"/>
          <w:lang w:val="fr-FR"/>
        </w:rPr>
        <w:t xml:space="preserve"> qu</w:t>
      </w:r>
      <w:r w:rsidR="008E532B">
        <w:rPr>
          <w:rFonts w:ascii="Arial" w:hAnsi="Arial" w:cs="Arial"/>
          <w:bCs/>
          <w:sz w:val="22"/>
          <w:szCs w:val="22"/>
          <w:lang w:val="fr-FR"/>
        </w:rPr>
        <w:t>’</w:t>
      </w:r>
      <w:r w:rsidRPr="000E643C">
        <w:rPr>
          <w:rFonts w:ascii="Arial" w:hAnsi="Arial" w:cs="Arial"/>
          <w:bCs/>
          <w:sz w:val="22"/>
          <w:szCs w:val="22"/>
          <w:lang w:val="fr-FR"/>
        </w:rPr>
        <w:t xml:space="preserve">il examine les modifications </w:t>
      </w:r>
      <w:r>
        <w:rPr>
          <w:rFonts w:ascii="Arial" w:hAnsi="Arial" w:cs="Arial"/>
          <w:bCs/>
          <w:sz w:val="22"/>
          <w:szCs w:val="22"/>
          <w:lang w:val="fr-FR"/>
        </w:rPr>
        <w:t>apportées aux</w:t>
      </w:r>
      <w:r w:rsidRPr="000E643C">
        <w:rPr>
          <w:rFonts w:ascii="Arial" w:hAnsi="Arial" w:cs="Arial"/>
          <w:bCs/>
          <w:sz w:val="22"/>
          <w:szCs w:val="22"/>
          <w:lang w:val="fr-FR"/>
        </w:rPr>
        <w:t xml:space="preserve"> </w:t>
      </w:r>
      <w:r>
        <w:rPr>
          <w:rFonts w:ascii="Arial" w:hAnsi="Arial" w:cs="Arial"/>
          <w:bCs/>
          <w:sz w:val="22"/>
          <w:szCs w:val="22"/>
          <w:lang w:val="fr-FR"/>
        </w:rPr>
        <w:t>D</w:t>
      </w:r>
      <w:r w:rsidRPr="000E643C">
        <w:rPr>
          <w:rFonts w:ascii="Arial" w:hAnsi="Arial" w:cs="Arial"/>
          <w:bCs/>
          <w:sz w:val="22"/>
          <w:szCs w:val="22"/>
          <w:lang w:val="fr-FR"/>
        </w:rPr>
        <w:t>irectives opérationnelles qui en découl</w:t>
      </w:r>
      <w:r>
        <w:rPr>
          <w:rFonts w:ascii="Arial" w:hAnsi="Arial" w:cs="Arial"/>
          <w:bCs/>
          <w:sz w:val="22"/>
          <w:szCs w:val="22"/>
          <w:lang w:val="fr-FR"/>
        </w:rPr>
        <w:t>ai</w:t>
      </w:r>
      <w:r w:rsidRPr="000E643C">
        <w:rPr>
          <w:rFonts w:ascii="Arial" w:hAnsi="Arial" w:cs="Arial"/>
          <w:bCs/>
          <w:sz w:val="22"/>
          <w:szCs w:val="22"/>
          <w:lang w:val="fr-FR"/>
        </w:rPr>
        <w:t>ent. Le Comité a</w:t>
      </w:r>
      <w:r>
        <w:rPr>
          <w:rFonts w:ascii="Arial" w:hAnsi="Arial" w:cs="Arial"/>
          <w:bCs/>
          <w:sz w:val="22"/>
          <w:szCs w:val="22"/>
          <w:lang w:val="fr-FR"/>
        </w:rPr>
        <w:t>vait</w:t>
      </w:r>
      <w:r w:rsidRPr="000E643C">
        <w:rPr>
          <w:rFonts w:ascii="Arial" w:hAnsi="Arial" w:cs="Arial"/>
          <w:bCs/>
          <w:sz w:val="22"/>
          <w:szCs w:val="22"/>
          <w:lang w:val="fr-FR"/>
        </w:rPr>
        <w:t xml:space="preserve"> ensuite approuvé et entériné ces recommandations ainsi que les </w:t>
      </w:r>
      <w:r>
        <w:rPr>
          <w:rFonts w:ascii="Arial" w:hAnsi="Arial" w:cs="Arial"/>
          <w:bCs/>
          <w:sz w:val="22"/>
          <w:szCs w:val="22"/>
          <w:lang w:val="fr-FR"/>
        </w:rPr>
        <w:t>[</w:t>
      </w:r>
      <w:r w:rsidRPr="000E643C">
        <w:rPr>
          <w:rFonts w:ascii="Arial" w:hAnsi="Arial" w:cs="Arial"/>
          <w:bCs/>
          <w:sz w:val="22"/>
          <w:szCs w:val="22"/>
          <w:lang w:val="fr-FR"/>
        </w:rPr>
        <w:t>proposition</w:t>
      </w:r>
      <w:r>
        <w:rPr>
          <w:rFonts w:ascii="Arial" w:hAnsi="Arial" w:cs="Arial"/>
          <w:bCs/>
          <w:sz w:val="22"/>
          <w:szCs w:val="22"/>
          <w:lang w:val="fr-FR"/>
        </w:rPr>
        <w:t>s de] modifications des</w:t>
      </w:r>
      <w:r w:rsidRPr="000E643C">
        <w:rPr>
          <w:rFonts w:ascii="Arial" w:hAnsi="Arial" w:cs="Arial"/>
          <w:bCs/>
          <w:sz w:val="22"/>
          <w:szCs w:val="22"/>
          <w:lang w:val="fr-FR"/>
        </w:rPr>
        <w:t xml:space="preserve"> Directives opérationnelles. Comme le groupe de travail était à composition non limitée, toutes les parties </w:t>
      </w:r>
      <w:r>
        <w:rPr>
          <w:rFonts w:ascii="Arial" w:hAnsi="Arial" w:cs="Arial"/>
          <w:bCs/>
          <w:sz w:val="22"/>
          <w:szCs w:val="22"/>
          <w:lang w:val="fr-FR"/>
        </w:rPr>
        <w:t>avaient</w:t>
      </w:r>
      <w:r w:rsidRPr="000E643C">
        <w:rPr>
          <w:rFonts w:ascii="Arial" w:hAnsi="Arial" w:cs="Arial"/>
          <w:bCs/>
          <w:sz w:val="22"/>
          <w:szCs w:val="22"/>
          <w:lang w:val="fr-FR"/>
        </w:rPr>
        <w:t xml:space="preserve"> pu participer. Les recommandations </w:t>
      </w:r>
      <w:r>
        <w:rPr>
          <w:rFonts w:ascii="Arial" w:hAnsi="Arial" w:cs="Arial"/>
          <w:bCs/>
          <w:sz w:val="22"/>
          <w:szCs w:val="22"/>
          <w:lang w:val="fr-FR"/>
        </w:rPr>
        <w:t>avaient</w:t>
      </w:r>
      <w:r w:rsidRPr="000E643C">
        <w:rPr>
          <w:rFonts w:ascii="Arial" w:hAnsi="Arial" w:cs="Arial"/>
          <w:bCs/>
          <w:sz w:val="22"/>
          <w:szCs w:val="22"/>
          <w:lang w:val="fr-FR"/>
        </w:rPr>
        <w:t xml:space="preserve"> été approuvées institutionnellement et p</w:t>
      </w:r>
      <w:r>
        <w:rPr>
          <w:rFonts w:ascii="Arial" w:hAnsi="Arial" w:cs="Arial"/>
          <w:bCs/>
          <w:sz w:val="22"/>
          <w:szCs w:val="22"/>
          <w:lang w:val="fr-FR"/>
        </w:rPr>
        <w:t xml:space="preserve">ouvaient </w:t>
      </w:r>
      <w:r w:rsidRPr="000E643C">
        <w:rPr>
          <w:rFonts w:ascii="Arial" w:hAnsi="Arial" w:cs="Arial"/>
          <w:bCs/>
          <w:sz w:val="22"/>
          <w:szCs w:val="22"/>
          <w:lang w:val="fr-FR"/>
        </w:rPr>
        <w:t>donc être considérées comme complètes. Cependant, l</w:t>
      </w:r>
      <w:r w:rsidR="008E532B">
        <w:rPr>
          <w:rFonts w:ascii="Arial" w:hAnsi="Arial" w:cs="Arial"/>
          <w:bCs/>
          <w:sz w:val="22"/>
          <w:szCs w:val="22"/>
          <w:lang w:val="fr-FR"/>
        </w:rPr>
        <w:t>’</w:t>
      </w:r>
      <w:r w:rsidRPr="000E643C">
        <w:rPr>
          <w:rFonts w:ascii="Arial" w:hAnsi="Arial" w:cs="Arial"/>
          <w:bCs/>
          <w:sz w:val="22"/>
          <w:szCs w:val="22"/>
          <w:lang w:val="fr-FR"/>
        </w:rPr>
        <w:t>Assemblée générale d</w:t>
      </w:r>
      <w:r>
        <w:rPr>
          <w:rFonts w:ascii="Arial" w:hAnsi="Arial" w:cs="Arial"/>
          <w:bCs/>
          <w:sz w:val="22"/>
          <w:szCs w:val="22"/>
          <w:lang w:val="fr-FR"/>
        </w:rPr>
        <w:t>evait</w:t>
      </w:r>
      <w:r w:rsidRPr="000E643C">
        <w:rPr>
          <w:rFonts w:ascii="Arial" w:hAnsi="Arial" w:cs="Arial"/>
          <w:bCs/>
          <w:sz w:val="22"/>
          <w:szCs w:val="22"/>
          <w:lang w:val="fr-FR"/>
        </w:rPr>
        <w:t xml:space="preserve"> approuver les </w:t>
      </w:r>
      <w:r>
        <w:rPr>
          <w:rFonts w:ascii="Arial" w:hAnsi="Arial" w:cs="Arial"/>
          <w:bCs/>
          <w:sz w:val="22"/>
          <w:szCs w:val="22"/>
          <w:lang w:val="fr-FR"/>
        </w:rPr>
        <w:t>modifications</w:t>
      </w:r>
      <w:r w:rsidRPr="000E643C">
        <w:rPr>
          <w:rFonts w:ascii="Arial" w:hAnsi="Arial" w:cs="Arial"/>
          <w:bCs/>
          <w:sz w:val="22"/>
          <w:szCs w:val="22"/>
          <w:lang w:val="fr-FR"/>
        </w:rPr>
        <w:t xml:space="preserve"> </w:t>
      </w:r>
      <w:r>
        <w:rPr>
          <w:rFonts w:ascii="Arial" w:hAnsi="Arial" w:cs="Arial"/>
          <w:bCs/>
          <w:sz w:val="22"/>
          <w:szCs w:val="22"/>
          <w:lang w:val="fr-FR"/>
        </w:rPr>
        <w:t xml:space="preserve">apportées </w:t>
      </w:r>
      <w:r w:rsidRPr="000E643C">
        <w:rPr>
          <w:rFonts w:ascii="Arial" w:hAnsi="Arial" w:cs="Arial"/>
          <w:bCs/>
          <w:sz w:val="22"/>
          <w:szCs w:val="22"/>
          <w:lang w:val="fr-FR"/>
        </w:rPr>
        <w:t>aux Directives opérationnelles et donc ce point de l</w:t>
      </w:r>
      <w:r w:rsidR="008E532B">
        <w:rPr>
          <w:rFonts w:ascii="Arial" w:hAnsi="Arial" w:cs="Arial"/>
          <w:bCs/>
          <w:sz w:val="22"/>
          <w:szCs w:val="22"/>
          <w:lang w:val="fr-FR"/>
        </w:rPr>
        <w:t>’</w:t>
      </w:r>
      <w:r w:rsidRPr="000E643C">
        <w:rPr>
          <w:rFonts w:ascii="Arial" w:hAnsi="Arial" w:cs="Arial"/>
          <w:bCs/>
          <w:sz w:val="22"/>
          <w:szCs w:val="22"/>
          <w:lang w:val="fr-FR"/>
        </w:rPr>
        <w:t>ordre du jour. Pour cette raison, M.</w:t>
      </w:r>
      <w:r>
        <w:rPr>
          <w:rFonts w:ascii="Arial" w:hAnsi="Arial" w:cs="Arial"/>
          <w:bCs/>
          <w:sz w:val="22"/>
          <w:szCs w:val="22"/>
          <w:lang w:val="fr-FR"/>
        </w:rPr>
        <w:t> </w:t>
      </w:r>
      <w:proofErr w:type="spellStart"/>
      <w:r w:rsidRPr="000E643C">
        <w:rPr>
          <w:rFonts w:ascii="Arial" w:hAnsi="Arial" w:cs="Arial"/>
          <w:bCs/>
          <w:sz w:val="22"/>
          <w:szCs w:val="22"/>
          <w:lang w:val="fr-FR"/>
        </w:rPr>
        <w:t>Oike</w:t>
      </w:r>
      <w:proofErr w:type="spellEnd"/>
      <w:r w:rsidRPr="000E643C">
        <w:rPr>
          <w:rFonts w:ascii="Arial" w:hAnsi="Arial" w:cs="Arial"/>
          <w:bCs/>
          <w:sz w:val="22"/>
          <w:szCs w:val="22"/>
          <w:lang w:val="fr-FR"/>
        </w:rPr>
        <w:t xml:space="preserve"> a appelé l</w:t>
      </w:r>
      <w:r w:rsidR="008E532B">
        <w:rPr>
          <w:rFonts w:ascii="Arial" w:hAnsi="Arial" w:cs="Arial"/>
          <w:bCs/>
          <w:sz w:val="22"/>
          <w:szCs w:val="22"/>
          <w:lang w:val="fr-FR"/>
        </w:rPr>
        <w:t>’</w:t>
      </w:r>
      <w:r w:rsidRPr="000E643C">
        <w:rPr>
          <w:rFonts w:ascii="Arial" w:hAnsi="Arial" w:cs="Arial"/>
          <w:bCs/>
          <w:sz w:val="22"/>
          <w:szCs w:val="22"/>
          <w:lang w:val="fr-FR"/>
        </w:rPr>
        <w:t xml:space="preserve">Assemblée à ne pas rouvrir les recommandations. Il </w:t>
      </w:r>
      <w:r>
        <w:rPr>
          <w:rFonts w:ascii="Arial" w:hAnsi="Arial" w:cs="Arial"/>
          <w:bCs/>
          <w:sz w:val="22"/>
          <w:szCs w:val="22"/>
          <w:lang w:val="fr-FR"/>
        </w:rPr>
        <w:t xml:space="preserve">a </w:t>
      </w:r>
      <w:r w:rsidRPr="000E643C">
        <w:rPr>
          <w:rFonts w:ascii="Arial" w:hAnsi="Arial" w:cs="Arial"/>
          <w:bCs/>
          <w:sz w:val="22"/>
          <w:szCs w:val="22"/>
          <w:lang w:val="fr-FR"/>
        </w:rPr>
        <w:t>reconn</w:t>
      </w:r>
      <w:r>
        <w:rPr>
          <w:rFonts w:ascii="Arial" w:hAnsi="Arial" w:cs="Arial"/>
          <w:bCs/>
          <w:sz w:val="22"/>
          <w:szCs w:val="22"/>
          <w:lang w:val="fr-FR"/>
        </w:rPr>
        <w:t>u</w:t>
      </w:r>
      <w:r w:rsidRPr="000E643C">
        <w:rPr>
          <w:rFonts w:ascii="Arial" w:hAnsi="Arial" w:cs="Arial"/>
          <w:bCs/>
          <w:sz w:val="22"/>
          <w:szCs w:val="22"/>
          <w:lang w:val="fr-FR"/>
        </w:rPr>
        <w:t xml:space="preserve"> que certains points </w:t>
      </w:r>
      <w:r>
        <w:rPr>
          <w:rFonts w:ascii="Arial" w:hAnsi="Arial" w:cs="Arial"/>
          <w:bCs/>
          <w:sz w:val="22"/>
          <w:szCs w:val="22"/>
          <w:lang w:val="fr-FR"/>
        </w:rPr>
        <w:t xml:space="preserve">étaient </w:t>
      </w:r>
      <w:r w:rsidRPr="000E643C">
        <w:rPr>
          <w:rFonts w:ascii="Arial" w:hAnsi="Arial" w:cs="Arial"/>
          <w:bCs/>
          <w:sz w:val="22"/>
          <w:szCs w:val="22"/>
          <w:lang w:val="fr-FR"/>
        </w:rPr>
        <w:t>pertinents pour les discussions tenues le jour précédent, par exemple</w:t>
      </w:r>
      <w:r>
        <w:rPr>
          <w:rFonts w:ascii="Arial" w:hAnsi="Arial" w:cs="Arial"/>
          <w:bCs/>
          <w:sz w:val="22"/>
          <w:szCs w:val="22"/>
          <w:lang w:val="fr-FR"/>
        </w:rPr>
        <w:t>,</w:t>
      </w:r>
      <w:r w:rsidRPr="000E643C">
        <w:rPr>
          <w:rFonts w:ascii="Arial" w:hAnsi="Arial" w:cs="Arial"/>
          <w:bCs/>
          <w:sz w:val="22"/>
          <w:szCs w:val="22"/>
          <w:lang w:val="fr-FR"/>
        </w:rPr>
        <w:t xml:space="preserve"> sur les cas exceptionnels, et qui </w:t>
      </w:r>
      <w:r>
        <w:rPr>
          <w:rFonts w:ascii="Arial" w:hAnsi="Arial" w:cs="Arial"/>
          <w:bCs/>
          <w:sz w:val="22"/>
          <w:szCs w:val="22"/>
          <w:lang w:val="fr-FR"/>
        </w:rPr>
        <w:t>avaient</w:t>
      </w:r>
      <w:r w:rsidRPr="000E643C">
        <w:rPr>
          <w:rFonts w:ascii="Arial" w:hAnsi="Arial" w:cs="Arial"/>
          <w:bCs/>
          <w:sz w:val="22"/>
          <w:szCs w:val="22"/>
          <w:lang w:val="fr-FR"/>
        </w:rPr>
        <w:t xml:space="preserve"> abouti à des recommandations, mais ces recommandations ne nécessit</w:t>
      </w:r>
      <w:r>
        <w:rPr>
          <w:rFonts w:ascii="Arial" w:hAnsi="Arial" w:cs="Arial"/>
          <w:bCs/>
          <w:sz w:val="22"/>
          <w:szCs w:val="22"/>
          <w:lang w:val="fr-FR"/>
        </w:rPr>
        <w:t>ai</w:t>
      </w:r>
      <w:r w:rsidRPr="000E643C">
        <w:rPr>
          <w:rFonts w:ascii="Arial" w:hAnsi="Arial" w:cs="Arial"/>
          <w:bCs/>
          <w:sz w:val="22"/>
          <w:szCs w:val="22"/>
          <w:lang w:val="fr-FR"/>
        </w:rPr>
        <w:t>ent pas de modificatio</w:t>
      </w:r>
      <w:r>
        <w:rPr>
          <w:rFonts w:ascii="Arial" w:hAnsi="Arial" w:cs="Arial"/>
          <w:bCs/>
          <w:sz w:val="22"/>
          <w:szCs w:val="22"/>
          <w:lang w:val="fr-FR"/>
        </w:rPr>
        <w:t>ns</w:t>
      </w:r>
      <w:r w:rsidRPr="000E643C">
        <w:rPr>
          <w:rFonts w:ascii="Arial" w:hAnsi="Arial" w:cs="Arial"/>
          <w:bCs/>
          <w:sz w:val="22"/>
          <w:szCs w:val="22"/>
          <w:lang w:val="fr-FR"/>
        </w:rPr>
        <w:t xml:space="preserve"> </w:t>
      </w:r>
      <w:r>
        <w:rPr>
          <w:rFonts w:ascii="Arial" w:hAnsi="Arial" w:cs="Arial"/>
          <w:bCs/>
          <w:sz w:val="22"/>
          <w:szCs w:val="22"/>
          <w:lang w:val="fr-FR"/>
        </w:rPr>
        <w:t>des D</w:t>
      </w:r>
      <w:r w:rsidRPr="000E643C">
        <w:rPr>
          <w:rFonts w:ascii="Arial" w:hAnsi="Arial" w:cs="Arial"/>
          <w:bCs/>
          <w:sz w:val="22"/>
          <w:szCs w:val="22"/>
          <w:lang w:val="fr-FR"/>
        </w:rPr>
        <w:t>irectives opérationnelles. Le Secrétariat présentera</w:t>
      </w:r>
      <w:r>
        <w:rPr>
          <w:rFonts w:ascii="Arial" w:hAnsi="Arial" w:cs="Arial"/>
          <w:bCs/>
          <w:sz w:val="22"/>
          <w:szCs w:val="22"/>
          <w:lang w:val="fr-FR"/>
        </w:rPr>
        <w:t>it</w:t>
      </w:r>
      <w:r w:rsidRPr="000E643C">
        <w:rPr>
          <w:rFonts w:ascii="Arial" w:hAnsi="Arial" w:cs="Arial"/>
          <w:bCs/>
          <w:sz w:val="22"/>
          <w:szCs w:val="22"/>
          <w:lang w:val="fr-FR"/>
        </w:rPr>
        <w:t xml:space="preserve"> les critères proposés pour les cas d</w:t>
      </w:r>
      <w:r w:rsidR="008E532B">
        <w:rPr>
          <w:rFonts w:ascii="Arial" w:hAnsi="Arial" w:cs="Arial"/>
          <w:bCs/>
          <w:sz w:val="22"/>
          <w:szCs w:val="22"/>
          <w:lang w:val="fr-FR"/>
        </w:rPr>
        <w:t>’</w:t>
      </w:r>
      <w:r w:rsidRPr="000E643C">
        <w:rPr>
          <w:rFonts w:ascii="Arial" w:hAnsi="Arial" w:cs="Arial"/>
          <w:bCs/>
          <w:sz w:val="22"/>
          <w:szCs w:val="22"/>
          <w:lang w:val="fr-FR"/>
        </w:rPr>
        <w:t>urgence à une date ultérieure</w:t>
      </w:r>
      <w:r>
        <w:rPr>
          <w:rFonts w:ascii="Arial" w:hAnsi="Arial" w:cs="Arial"/>
          <w:bCs/>
          <w:sz w:val="22"/>
          <w:szCs w:val="22"/>
          <w:lang w:val="fr-FR"/>
        </w:rPr>
        <w:t> </w:t>
      </w:r>
      <w:r w:rsidRPr="000E643C">
        <w:rPr>
          <w:rFonts w:ascii="Arial" w:hAnsi="Arial" w:cs="Arial"/>
          <w:bCs/>
          <w:sz w:val="22"/>
          <w:szCs w:val="22"/>
          <w:lang w:val="fr-FR"/>
        </w:rPr>
        <w:t>; il n</w:t>
      </w:r>
      <w:r w:rsidR="008E532B">
        <w:rPr>
          <w:rFonts w:ascii="Arial" w:hAnsi="Arial" w:cs="Arial"/>
          <w:bCs/>
          <w:sz w:val="22"/>
          <w:szCs w:val="22"/>
          <w:lang w:val="fr-FR"/>
        </w:rPr>
        <w:t>’</w:t>
      </w:r>
      <w:r>
        <w:rPr>
          <w:rFonts w:ascii="Arial" w:hAnsi="Arial" w:cs="Arial"/>
          <w:bCs/>
          <w:sz w:val="22"/>
          <w:szCs w:val="22"/>
          <w:lang w:val="fr-FR"/>
        </w:rPr>
        <w:t>était</w:t>
      </w:r>
      <w:r w:rsidRPr="000E643C">
        <w:rPr>
          <w:rFonts w:ascii="Arial" w:hAnsi="Arial" w:cs="Arial"/>
          <w:bCs/>
          <w:sz w:val="22"/>
          <w:szCs w:val="22"/>
          <w:lang w:val="fr-FR"/>
        </w:rPr>
        <w:t xml:space="preserve"> pas temps </w:t>
      </w:r>
      <w:r>
        <w:rPr>
          <w:rFonts w:ascii="Arial" w:hAnsi="Arial" w:cs="Arial"/>
          <w:bCs/>
          <w:sz w:val="22"/>
          <w:szCs w:val="22"/>
          <w:lang w:val="fr-FR"/>
        </w:rPr>
        <w:t xml:space="preserve">à présent </w:t>
      </w:r>
      <w:r w:rsidRPr="000E643C">
        <w:rPr>
          <w:rFonts w:ascii="Arial" w:hAnsi="Arial" w:cs="Arial"/>
          <w:bCs/>
          <w:sz w:val="22"/>
          <w:szCs w:val="22"/>
          <w:lang w:val="fr-FR"/>
        </w:rPr>
        <w:t>de rouvrir les</w:t>
      </w:r>
      <w:r>
        <w:rPr>
          <w:rFonts w:ascii="Arial" w:hAnsi="Arial" w:cs="Arial"/>
          <w:bCs/>
          <w:sz w:val="22"/>
          <w:szCs w:val="22"/>
          <w:lang w:val="fr-FR"/>
        </w:rPr>
        <w:t xml:space="preserve"> débats</w:t>
      </w:r>
      <w:r w:rsidRPr="000E643C">
        <w:rPr>
          <w:rFonts w:ascii="Arial" w:hAnsi="Arial" w:cs="Arial"/>
          <w:bCs/>
          <w:sz w:val="22"/>
          <w:szCs w:val="22"/>
          <w:lang w:val="fr-FR"/>
        </w:rPr>
        <w:t>. M.</w:t>
      </w:r>
      <w:r>
        <w:rPr>
          <w:rFonts w:ascii="Arial" w:hAnsi="Arial" w:cs="Arial"/>
          <w:bCs/>
          <w:sz w:val="22"/>
          <w:szCs w:val="22"/>
          <w:lang w:val="fr-FR"/>
        </w:rPr>
        <w:t> </w:t>
      </w:r>
      <w:proofErr w:type="spellStart"/>
      <w:r w:rsidRPr="000E643C">
        <w:rPr>
          <w:rFonts w:ascii="Arial" w:hAnsi="Arial" w:cs="Arial"/>
          <w:bCs/>
          <w:sz w:val="22"/>
          <w:szCs w:val="22"/>
          <w:lang w:val="fr-FR"/>
        </w:rPr>
        <w:t>Oike</w:t>
      </w:r>
      <w:proofErr w:type="spellEnd"/>
      <w:r w:rsidRPr="000E643C">
        <w:rPr>
          <w:rFonts w:ascii="Arial" w:hAnsi="Arial" w:cs="Arial"/>
          <w:bCs/>
          <w:sz w:val="22"/>
          <w:szCs w:val="22"/>
          <w:lang w:val="fr-FR"/>
        </w:rPr>
        <w:t xml:space="preserve"> esp</w:t>
      </w:r>
      <w:r>
        <w:rPr>
          <w:rFonts w:ascii="Arial" w:hAnsi="Arial" w:cs="Arial"/>
          <w:bCs/>
          <w:sz w:val="22"/>
          <w:szCs w:val="22"/>
          <w:lang w:val="fr-FR"/>
        </w:rPr>
        <w:t>érait</w:t>
      </w:r>
      <w:r w:rsidRPr="000E643C">
        <w:rPr>
          <w:rFonts w:ascii="Arial" w:hAnsi="Arial" w:cs="Arial"/>
          <w:bCs/>
          <w:sz w:val="22"/>
          <w:szCs w:val="22"/>
          <w:lang w:val="fr-FR"/>
        </w:rPr>
        <w:t xml:space="preserve"> que les recommandations servir</w:t>
      </w:r>
      <w:r>
        <w:rPr>
          <w:rFonts w:ascii="Arial" w:hAnsi="Arial" w:cs="Arial"/>
          <w:bCs/>
          <w:sz w:val="22"/>
          <w:szCs w:val="22"/>
          <w:lang w:val="fr-FR"/>
        </w:rPr>
        <w:t>aie</w:t>
      </w:r>
      <w:r w:rsidRPr="000E643C">
        <w:rPr>
          <w:rFonts w:ascii="Arial" w:hAnsi="Arial" w:cs="Arial"/>
          <w:bCs/>
          <w:sz w:val="22"/>
          <w:szCs w:val="22"/>
          <w:lang w:val="fr-FR"/>
        </w:rPr>
        <w:t>nt les objectifs de la Convention à l</w:t>
      </w:r>
      <w:r w:rsidR="008E532B">
        <w:rPr>
          <w:rFonts w:ascii="Arial" w:hAnsi="Arial" w:cs="Arial"/>
          <w:bCs/>
          <w:sz w:val="22"/>
          <w:szCs w:val="22"/>
          <w:lang w:val="fr-FR"/>
        </w:rPr>
        <w:t>’</w:t>
      </w:r>
      <w:r w:rsidRPr="000E643C">
        <w:rPr>
          <w:rFonts w:ascii="Arial" w:hAnsi="Arial" w:cs="Arial"/>
          <w:bCs/>
          <w:sz w:val="22"/>
          <w:szCs w:val="22"/>
          <w:lang w:val="fr-FR"/>
        </w:rPr>
        <w:t>avenir.</w:t>
      </w:r>
    </w:p>
    <w:p w14:paraId="2ECEAE13" w14:textId="558C4B4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5605A">
        <w:rPr>
          <w:rFonts w:ascii="Arial" w:hAnsi="Arial" w:cs="Arial"/>
          <w:bCs/>
          <w:sz w:val="22"/>
          <w:szCs w:val="22"/>
          <w:lang w:val="fr-FR"/>
        </w:rPr>
        <w:t xml:space="preserve">La </w:t>
      </w:r>
      <w:r w:rsidRPr="0065605A">
        <w:rPr>
          <w:rFonts w:ascii="Arial" w:hAnsi="Arial" w:cs="Arial"/>
          <w:b/>
          <w:sz w:val="22"/>
          <w:szCs w:val="22"/>
          <w:lang w:val="fr-FR"/>
        </w:rPr>
        <w:t>Présidente</w:t>
      </w:r>
      <w:r w:rsidRPr="0065605A">
        <w:rPr>
          <w:rFonts w:ascii="Arial" w:hAnsi="Arial" w:cs="Arial"/>
          <w:bCs/>
          <w:sz w:val="22"/>
          <w:szCs w:val="22"/>
          <w:lang w:val="fr-FR"/>
        </w:rPr>
        <w:t xml:space="preserve"> a remercié l</w:t>
      </w:r>
      <w:r w:rsidR="008E532B">
        <w:rPr>
          <w:rFonts w:ascii="Arial" w:hAnsi="Arial" w:cs="Arial"/>
          <w:bCs/>
          <w:sz w:val="22"/>
          <w:szCs w:val="22"/>
          <w:lang w:val="fr-FR"/>
        </w:rPr>
        <w:t>’</w:t>
      </w:r>
      <w:r>
        <w:rPr>
          <w:rFonts w:ascii="Arial" w:hAnsi="Arial" w:cs="Arial"/>
          <w:bCs/>
          <w:sz w:val="22"/>
          <w:szCs w:val="22"/>
          <w:lang w:val="fr-FR"/>
        </w:rPr>
        <w:t>a</w:t>
      </w:r>
      <w:r w:rsidRPr="0065605A">
        <w:rPr>
          <w:rFonts w:ascii="Arial" w:hAnsi="Arial" w:cs="Arial"/>
          <w:bCs/>
          <w:sz w:val="22"/>
          <w:szCs w:val="22"/>
          <w:lang w:val="fr-FR"/>
        </w:rPr>
        <w:t xml:space="preserve">mbassadeur </w:t>
      </w:r>
      <w:proofErr w:type="spellStart"/>
      <w:r w:rsidRPr="0065605A">
        <w:rPr>
          <w:rFonts w:ascii="Arial" w:hAnsi="Arial" w:cs="Arial"/>
          <w:bCs/>
          <w:sz w:val="22"/>
          <w:szCs w:val="22"/>
          <w:lang w:val="fr-FR"/>
        </w:rPr>
        <w:t>Oike</w:t>
      </w:r>
      <w:proofErr w:type="spellEnd"/>
      <w:r w:rsidRPr="0065605A">
        <w:rPr>
          <w:rFonts w:ascii="Arial" w:hAnsi="Arial" w:cs="Arial"/>
          <w:bCs/>
          <w:sz w:val="22"/>
          <w:szCs w:val="22"/>
          <w:lang w:val="fr-FR"/>
        </w:rPr>
        <w:t xml:space="preserve"> pour le rapport sur la réflexion globale qui était en effet un processus complet</w:t>
      </w:r>
      <w:r>
        <w:rPr>
          <w:rFonts w:ascii="Arial" w:hAnsi="Arial" w:cs="Arial"/>
          <w:bCs/>
          <w:sz w:val="22"/>
          <w:szCs w:val="22"/>
          <w:lang w:val="fr-FR"/>
        </w:rPr>
        <w:t>, riche</w:t>
      </w:r>
      <w:r w:rsidRPr="0065605A">
        <w:rPr>
          <w:rFonts w:ascii="Arial" w:hAnsi="Arial" w:cs="Arial"/>
          <w:bCs/>
          <w:sz w:val="22"/>
          <w:szCs w:val="22"/>
          <w:lang w:val="fr-FR"/>
        </w:rPr>
        <w:t xml:space="preserve"> de larges consultations. Le principal résultat </w:t>
      </w:r>
      <w:r>
        <w:rPr>
          <w:rFonts w:ascii="Arial" w:hAnsi="Arial" w:cs="Arial"/>
          <w:bCs/>
          <w:sz w:val="22"/>
          <w:szCs w:val="22"/>
          <w:lang w:val="fr-FR"/>
        </w:rPr>
        <w:t>était</w:t>
      </w:r>
      <w:r w:rsidRPr="0065605A">
        <w:rPr>
          <w:rFonts w:ascii="Arial" w:hAnsi="Arial" w:cs="Arial"/>
          <w:bCs/>
          <w:sz w:val="22"/>
          <w:szCs w:val="22"/>
          <w:lang w:val="fr-FR"/>
        </w:rPr>
        <w:t xml:space="preserve"> la série d</w:t>
      </w:r>
      <w:r w:rsidR="008E532B">
        <w:rPr>
          <w:rFonts w:ascii="Arial" w:hAnsi="Arial" w:cs="Arial"/>
          <w:bCs/>
          <w:sz w:val="22"/>
          <w:szCs w:val="22"/>
          <w:lang w:val="fr-FR"/>
        </w:rPr>
        <w:t>’</w:t>
      </w:r>
      <w:r w:rsidRPr="0065605A">
        <w:rPr>
          <w:rFonts w:ascii="Arial" w:hAnsi="Arial" w:cs="Arial"/>
          <w:bCs/>
          <w:sz w:val="22"/>
          <w:szCs w:val="22"/>
          <w:lang w:val="fr-FR"/>
        </w:rPr>
        <w:t xml:space="preserve">amendements aux </w:t>
      </w:r>
      <w:r>
        <w:rPr>
          <w:rFonts w:ascii="Arial" w:hAnsi="Arial" w:cs="Arial"/>
          <w:bCs/>
          <w:sz w:val="22"/>
          <w:szCs w:val="22"/>
          <w:lang w:val="fr-FR"/>
        </w:rPr>
        <w:t>D</w:t>
      </w:r>
      <w:r w:rsidRPr="0065605A">
        <w:rPr>
          <w:rFonts w:ascii="Arial" w:hAnsi="Arial" w:cs="Arial"/>
          <w:bCs/>
          <w:sz w:val="22"/>
          <w:szCs w:val="22"/>
          <w:lang w:val="fr-FR"/>
        </w:rPr>
        <w:t>irectives opérationnelles</w:t>
      </w:r>
      <w:r>
        <w:rPr>
          <w:rFonts w:ascii="Arial" w:hAnsi="Arial" w:cs="Arial"/>
          <w:bCs/>
          <w:sz w:val="22"/>
          <w:szCs w:val="22"/>
          <w:lang w:val="fr-FR"/>
        </w:rPr>
        <w:t>, fruit des</w:t>
      </w:r>
      <w:r w:rsidRPr="0065605A">
        <w:rPr>
          <w:rFonts w:ascii="Arial" w:hAnsi="Arial" w:cs="Arial"/>
          <w:bCs/>
          <w:sz w:val="22"/>
          <w:szCs w:val="22"/>
          <w:lang w:val="fr-FR"/>
        </w:rPr>
        <w:t xml:space="preserve"> recommandations </w:t>
      </w:r>
      <w:r>
        <w:rPr>
          <w:rFonts w:ascii="Arial" w:hAnsi="Arial" w:cs="Arial"/>
          <w:bCs/>
          <w:sz w:val="22"/>
          <w:szCs w:val="22"/>
          <w:lang w:val="fr-FR"/>
        </w:rPr>
        <w:t xml:space="preserve">pertinentes </w:t>
      </w:r>
      <w:r w:rsidRPr="0065605A">
        <w:rPr>
          <w:rFonts w:ascii="Arial" w:hAnsi="Arial" w:cs="Arial"/>
          <w:bCs/>
          <w:sz w:val="22"/>
          <w:szCs w:val="22"/>
          <w:lang w:val="fr-FR"/>
        </w:rPr>
        <w:t xml:space="preserve">du groupe de travail. Elle </w:t>
      </w:r>
      <w:r>
        <w:rPr>
          <w:rFonts w:ascii="Arial" w:hAnsi="Arial" w:cs="Arial"/>
          <w:bCs/>
          <w:sz w:val="22"/>
          <w:szCs w:val="22"/>
          <w:lang w:val="fr-FR"/>
        </w:rPr>
        <w:t xml:space="preserve">a </w:t>
      </w:r>
      <w:r w:rsidRPr="0065605A">
        <w:rPr>
          <w:rFonts w:ascii="Arial" w:hAnsi="Arial" w:cs="Arial"/>
          <w:bCs/>
          <w:sz w:val="22"/>
          <w:szCs w:val="22"/>
          <w:lang w:val="fr-FR"/>
        </w:rPr>
        <w:t>invit</w:t>
      </w:r>
      <w:r>
        <w:rPr>
          <w:rFonts w:ascii="Arial" w:hAnsi="Arial" w:cs="Arial"/>
          <w:bCs/>
          <w:sz w:val="22"/>
          <w:szCs w:val="22"/>
          <w:lang w:val="fr-FR"/>
        </w:rPr>
        <w:t>é</w:t>
      </w:r>
      <w:r w:rsidRPr="0065605A">
        <w:rPr>
          <w:rFonts w:ascii="Arial" w:hAnsi="Arial" w:cs="Arial"/>
          <w:bCs/>
          <w:sz w:val="22"/>
          <w:szCs w:val="22"/>
          <w:lang w:val="fr-FR"/>
        </w:rPr>
        <w:t xml:space="preserve"> le Sous-Directeur général à présenter les amendements.</w:t>
      </w:r>
    </w:p>
    <w:p w14:paraId="49F8C8AC" w14:textId="5742DEE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D7341">
        <w:rPr>
          <w:rFonts w:ascii="Arial" w:hAnsi="Arial" w:cs="Arial"/>
          <w:bCs/>
          <w:sz w:val="22"/>
          <w:szCs w:val="22"/>
          <w:lang w:val="fr-FR"/>
        </w:rPr>
        <w:t xml:space="preserve">Le </w:t>
      </w:r>
      <w:r w:rsidRPr="002D7341">
        <w:rPr>
          <w:rFonts w:ascii="Arial" w:hAnsi="Arial" w:cs="Arial"/>
          <w:b/>
          <w:sz w:val="22"/>
          <w:szCs w:val="22"/>
          <w:lang w:val="fr-FR"/>
        </w:rPr>
        <w:t>Sous-Directeur général</w:t>
      </w:r>
      <w:r w:rsidRPr="002D7341">
        <w:rPr>
          <w:rFonts w:ascii="Arial" w:hAnsi="Arial" w:cs="Arial"/>
          <w:bCs/>
          <w:sz w:val="22"/>
          <w:szCs w:val="22"/>
          <w:lang w:val="fr-FR"/>
        </w:rPr>
        <w:t xml:space="preserve"> a présenté les </w:t>
      </w:r>
      <w:r w:rsidRPr="008512C8">
        <w:rPr>
          <w:rFonts w:ascii="Arial" w:hAnsi="Arial" w:cs="Arial"/>
          <w:bCs/>
          <w:sz w:val="22"/>
          <w:szCs w:val="22"/>
          <w:lang w:val="fr-FR"/>
        </w:rPr>
        <w:t>propositio</w:t>
      </w:r>
      <w:r>
        <w:rPr>
          <w:rFonts w:ascii="Arial" w:hAnsi="Arial" w:cs="Arial"/>
          <w:bCs/>
          <w:sz w:val="22"/>
          <w:szCs w:val="22"/>
          <w:lang w:val="fr-FR"/>
        </w:rPr>
        <w:t>ns d</w:t>
      </w:r>
      <w:r w:rsidR="008E532B">
        <w:rPr>
          <w:rFonts w:ascii="Arial" w:hAnsi="Arial" w:cs="Arial"/>
          <w:bCs/>
          <w:sz w:val="22"/>
          <w:szCs w:val="22"/>
          <w:lang w:val="fr-FR"/>
        </w:rPr>
        <w:t>’</w:t>
      </w:r>
      <w:r w:rsidRPr="002D7341">
        <w:rPr>
          <w:rFonts w:ascii="Arial" w:hAnsi="Arial" w:cs="Arial"/>
          <w:bCs/>
          <w:sz w:val="22"/>
          <w:szCs w:val="22"/>
          <w:lang w:val="fr-FR"/>
        </w:rPr>
        <w:t>amendements aux Directives opérationnelles, tel</w:t>
      </w:r>
      <w:r>
        <w:rPr>
          <w:rFonts w:ascii="Arial" w:hAnsi="Arial" w:cs="Arial"/>
          <w:bCs/>
          <w:sz w:val="22"/>
          <w:szCs w:val="22"/>
          <w:lang w:val="fr-FR"/>
        </w:rPr>
        <w:t>le</w:t>
      </w:r>
      <w:r w:rsidRPr="002D7341">
        <w:rPr>
          <w:rFonts w:ascii="Arial" w:hAnsi="Arial" w:cs="Arial"/>
          <w:bCs/>
          <w:sz w:val="22"/>
          <w:szCs w:val="22"/>
          <w:lang w:val="fr-FR"/>
        </w:rPr>
        <w:t>s qu</w:t>
      </w:r>
      <w:r w:rsidR="008E532B">
        <w:rPr>
          <w:rFonts w:ascii="Arial" w:hAnsi="Arial" w:cs="Arial"/>
          <w:bCs/>
          <w:sz w:val="22"/>
          <w:szCs w:val="22"/>
          <w:lang w:val="fr-FR"/>
        </w:rPr>
        <w:t>’</w:t>
      </w:r>
      <w:r>
        <w:rPr>
          <w:rFonts w:ascii="Arial" w:hAnsi="Arial" w:cs="Arial"/>
          <w:bCs/>
          <w:sz w:val="22"/>
          <w:szCs w:val="22"/>
          <w:lang w:val="fr-FR"/>
        </w:rPr>
        <w:t>elles</w:t>
      </w:r>
      <w:r w:rsidRPr="002D7341">
        <w:rPr>
          <w:rFonts w:ascii="Arial" w:hAnsi="Arial" w:cs="Arial"/>
          <w:bCs/>
          <w:sz w:val="22"/>
          <w:szCs w:val="22"/>
          <w:lang w:val="fr-FR"/>
        </w:rPr>
        <w:t xml:space="preserve"> figur</w:t>
      </w:r>
      <w:r>
        <w:rPr>
          <w:rFonts w:ascii="Arial" w:hAnsi="Arial" w:cs="Arial"/>
          <w:bCs/>
          <w:sz w:val="22"/>
          <w:szCs w:val="22"/>
          <w:lang w:val="fr-FR"/>
        </w:rPr>
        <w:t>ai</w:t>
      </w:r>
      <w:r w:rsidRPr="002D7341">
        <w:rPr>
          <w:rFonts w:ascii="Arial" w:hAnsi="Arial" w:cs="Arial"/>
          <w:bCs/>
          <w:sz w:val="22"/>
          <w:szCs w:val="22"/>
          <w:lang w:val="fr-FR"/>
        </w:rPr>
        <w:t xml:space="preserve">ent dans le document de travail 9. Le texte surligné en gris correspondait aux révisions recommandées par la </w:t>
      </w:r>
      <w:r>
        <w:rPr>
          <w:rFonts w:ascii="Arial" w:hAnsi="Arial" w:cs="Arial"/>
          <w:bCs/>
          <w:sz w:val="22"/>
          <w:szCs w:val="22"/>
          <w:lang w:val="fr-FR"/>
        </w:rPr>
        <w:t>seizième</w:t>
      </w:r>
      <w:r w:rsidRPr="002D7341">
        <w:rPr>
          <w:rFonts w:ascii="Arial" w:hAnsi="Arial" w:cs="Arial"/>
          <w:bCs/>
          <w:sz w:val="22"/>
          <w:szCs w:val="22"/>
          <w:lang w:val="fr-FR"/>
        </w:rPr>
        <w:t xml:space="preserve"> session du Comité</w:t>
      </w:r>
      <w:r>
        <w:rPr>
          <w:rFonts w:ascii="Arial" w:hAnsi="Arial" w:cs="Arial"/>
          <w:bCs/>
          <w:sz w:val="22"/>
          <w:szCs w:val="22"/>
          <w:lang w:val="fr-FR"/>
        </w:rPr>
        <w:t>,</w:t>
      </w:r>
      <w:r w:rsidRPr="002D7341">
        <w:rPr>
          <w:rFonts w:ascii="Arial" w:hAnsi="Arial" w:cs="Arial"/>
          <w:bCs/>
          <w:sz w:val="22"/>
          <w:szCs w:val="22"/>
          <w:lang w:val="fr-FR"/>
        </w:rPr>
        <w:t xml:space="preserve"> sur la base des recommandations de</w:t>
      </w:r>
      <w:r>
        <w:rPr>
          <w:rFonts w:ascii="Arial" w:hAnsi="Arial" w:cs="Arial"/>
          <w:bCs/>
          <w:sz w:val="22"/>
          <w:szCs w:val="22"/>
          <w:lang w:val="fr-FR"/>
        </w:rPr>
        <w:t>s</w:t>
      </w:r>
      <w:r w:rsidRPr="002D7341">
        <w:rPr>
          <w:rFonts w:ascii="Arial" w:hAnsi="Arial" w:cs="Arial"/>
          <w:bCs/>
          <w:sz w:val="22"/>
          <w:szCs w:val="22"/>
          <w:lang w:val="fr-FR"/>
        </w:rPr>
        <w:t xml:space="preserve"> </w:t>
      </w:r>
      <w:r>
        <w:rPr>
          <w:rFonts w:ascii="Arial" w:hAnsi="Arial" w:cs="Arial"/>
          <w:bCs/>
          <w:sz w:val="22"/>
          <w:szCs w:val="22"/>
          <w:lang w:val="fr-FR"/>
        </w:rPr>
        <w:t>p</w:t>
      </w:r>
      <w:r w:rsidRPr="002D7341">
        <w:rPr>
          <w:rFonts w:ascii="Arial" w:hAnsi="Arial" w:cs="Arial"/>
          <w:bCs/>
          <w:sz w:val="22"/>
          <w:szCs w:val="22"/>
          <w:lang w:val="fr-FR"/>
        </w:rPr>
        <w:t>artie</w:t>
      </w:r>
      <w:r>
        <w:rPr>
          <w:rFonts w:ascii="Arial" w:hAnsi="Arial" w:cs="Arial"/>
          <w:bCs/>
          <w:sz w:val="22"/>
          <w:szCs w:val="22"/>
          <w:lang w:val="fr-FR"/>
        </w:rPr>
        <w:t>s</w:t>
      </w:r>
      <w:r w:rsidRPr="002D7341">
        <w:rPr>
          <w:rFonts w:ascii="Arial" w:hAnsi="Arial" w:cs="Arial"/>
          <w:bCs/>
          <w:sz w:val="22"/>
          <w:szCs w:val="22"/>
          <w:lang w:val="fr-FR"/>
        </w:rPr>
        <w:t xml:space="preserve"> I et II </w:t>
      </w:r>
      <w:r>
        <w:rPr>
          <w:rFonts w:ascii="Arial" w:hAnsi="Arial" w:cs="Arial"/>
          <w:bCs/>
          <w:sz w:val="22"/>
          <w:szCs w:val="22"/>
          <w:lang w:val="fr-FR"/>
        </w:rPr>
        <w:t xml:space="preserve">de la réunion </w:t>
      </w:r>
      <w:r w:rsidRPr="002D7341">
        <w:rPr>
          <w:rFonts w:ascii="Arial" w:hAnsi="Arial" w:cs="Arial"/>
          <w:bCs/>
          <w:sz w:val="22"/>
          <w:szCs w:val="22"/>
          <w:lang w:val="fr-FR"/>
        </w:rPr>
        <w:t xml:space="preserve">du groupe de travail. Les textes surlignés en bleu correspondaient aux révisions recommandées par la </w:t>
      </w:r>
      <w:r>
        <w:rPr>
          <w:rFonts w:ascii="Arial" w:hAnsi="Arial" w:cs="Arial"/>
          <w:bCs/>
          <w:sz w:val="22"/>
          <w:szCs w:val="22"/>
          <w:lang w:val="fr-FR"/>
        </w:rPr>
        <w:t>cinquième</w:t>
      </w:r>
      <w:r w:rsidRPr="002D7341">
        <w:rPr>
          <w:rFonts w:ascii="Arial" w:hAnsi="Arial" w:cs="Arial"/>
          <w:bCs/>
          <w:sz w:val="22"/>
          <w:szCs w:val="22"/>
          <w:lang w:val="fr-FR"/>
        </w:rPr>
        <w:t xml:space="preserve"> session extraordinaire du Comité</w:t>
      </w:r>
      <w:r>
        <w:rPr>
          <w:rFonts w:ascii="Arial" w:hAnsi="Arial" w:cs="Arial"/>
          <w:bCs/>
          <w:sz w:val="22"/>
          <w:szCs w:val="22"/>
          <w:lang w:val="fr-FR"/>
        </w:rPr>
        <w:t>,</w:t>
      </w:r>
      <w:r w:rsidRPr="002D7341">
        <w:rPr>
          <w:rFonts w:ascii="Arial" w:hAnsi="Arial" w:cs="Arial"/>
          <w:bCs/>
          <w:sz w:val="22"/>
          <w:szCs w:val="22"/>
          <w:lang w:val="fr-FR"/>
        </w:rPr>
        <w:t xml:space="preserve"> sur la base des recommandations de la partie III </w:t>
      </w:r>
      <w:r>
        <w:rPr>
          <w:rFonts w:ascii="Arial" w:hAnsi="Arial" w:cs="Arial"/>
          <w:bCs/>
          <w:sz w:val="22"/>
          <w:szCs w:val="22"/>
          <w:lang w:val="fr-FR"/>
        </w:rPr>
        <w:t xml:space="preserve">de la réunion </w:t>
      </w:r>
      <w:r w:rsidRPr="002D7341">
        <w:rPr>
          <w:rFonts w:ascii="Arial" w:hAnsi="Arial" w:cs="Arial"/>
          <w:bCs/>
          <w:sz w:val="22"/>
          <w:szCs w:val="22"/>
          <w:lang w:val="fr-FR"/>
        </w:rPr>
        <w:t>du groupe de travail. Comme mentionné par M.</w:t>
      </w:r>
      <w:r>
        <w:rPr>
          <w:rFonts w:ascii="Arial" w:hAnsi="Arial" w:cs="Arial"/>
          <w:bCs/>
          <w:sz w:val="22"/>
          <w:szCs w:val="22"/>
          <w:lang w:val="fr-FR"/>
        </w:rPr>
        <w:t> </w:t>
      </w:r>
      <w:proofErr w:type="spellStart"/>
      <w:r w:rsidRPr="002D7341">
        <w:rPr>
          <w:rFonts w:ascii="Arial" w:hAnsi="Arial" w:cs="Arial"/>
          <w:bCs/>
          <w:sz w:val="22"/>
          <w:szCs w:val="22"/>
          <w:lang w:val="fr-FR"/>
        </w:rPr>
        <w:t>Oike</w:t>
      </w:r>
      <w:proofErr w:type="spellEnd"/>
      <w:r w:rsidRPr="002D7341">
        <w:rPr>
          <w:rFonts w:ascii="Arial" w:hAnsi="Arial" w:cs="Arial"/>
          <w:bCs/>
          <w:sz w:val="22"/>
          <w:szCs w:val="22"/>
          <w:lang w:val="fr-FR"/>
        </w:rPr>
        <w:t>, le Comité avait (à deux reprises) recommandé à l</w:t>
      </w:r>
      <w:r>
        <w:rPr>
          <w:rFonts w:ascii="Arial" w:hAnsi="Arial" w:cs="Arial"/>
          <w:bCs/>
          <w:sz w:val="22"/>
          <w:szCs w:val="22"/>
          <w:lang w:val="fr-FR"/>
        </w:rPr>
        <w:t xml:space="preserve">a présente </w:t>
      </w:r>
      <w:r w:rsidRPr="002D7341">
        <w:rPr>
          <w:rFonts w:ascii="Arial" w:hAnsi="Arial" w:cs="Arial"/>
          <w:bCs/>
          <w:sz w:val="22"/>
          <w:szCs w:val="22"/>
          <w:lang w:val="fr-FR"/>
        </w:rPr>
        <w:t>Assemblée générale d</w:t>
      </w:r>
      <w:r w:rsidR="008E532B">
        <w:rPr>
          <w:rFonts w:ascii="Arial" w:hAnsi="Arial" w:cs="Arial"/>
          <w:bCs/>
          <w:sz w:val="22"/>
          <w:szCs w:val="22"/>
          <w:lang w:val="fr-FR"/>
        </w:rPr>
        <w:t>’</w:t>
      </w:r>
      <w:r w:rsidRPr="002D7341">
        <w:rPr>
          <w:rFonts w:ascii="Arial" w:hAnsi="Arial" w:cs="Arial"/>
          <w:bCs/>
          <w:sz w:val="22"/>
          <w:szCs w:val="22"/>
          <w:lang w:val="fr-FR"/>
        </w:rPr>
        <w:t xml:space="preserve">adopter les </w:t>
      </w:r>
      <w:r w:rsidRPr="008512C8">
        <w:rPr>
          <w:rFonts w:ascii="Arial" w:hAnsi="Arial" w:cs="Arial"/>
          <w:bCs/>
          <w:sz w:val="22"/>
          <w:szCs w:val="22"/>
          <w:lang w:val="fr-FR"/>
        </w:rPr>
        <w:t>propositio</w:t>
      </w:r>
      <w:r>
        <w:rPr>
          <w:rFonts w:ascii="Arial" w:hAnsi="Arial" w:cs="Arial"/>
          <w:bCs/>
          <w:sz w:val="22"/>
          <w:szCs w:val="22"/>
          <w:lang w:val="fr-FR"/>
        </w:rPr>
        <w:t>ns d</w:t>
      </w:r>
      <w:r w:rsidR="008E532B">
        <w:rPr>
          <w:rFonts w:ascii="Arial" w:hAnsi="Arial" w:cs="Arial"/>
          <w:bCs/>
          <w:sz w:val="22"/>
          <w:szCs w:val="22"/>
          <w:lang w:val="fr-FR"/>
        </w:rPr>
        <w:t>’</w:t>
      </w:r>
      <w:r w:rsidRPr="002D7341">
        <w:rPr>
          <w:rFonts w:ascii="Arial" w:hAnsi="Arial" w:cs="Arial"/>
          <w:bCs/>
          <w:sz w:val="22"/>
          <w:szCs w:val="22"/>
          <w:lang w:val="fr-FR"/>
        </w:rPr>
        <w:t>amendements</w:t>
      </w:r>
      <w:r>
        <w:rPr>
          <w:rFonts w:ascii="Arial" w:hAnsi="Arial" w:cs="Arial"/>
          <w:bCs/>
          <w:sz w:val="22"/>
          <w:szCs w:val="22"/>
          <w:lang w:val="fr-FR"/>
        </w:rPr>
        <w:t xml:space="preserve"> au motif</w:t>
      </w:r>
      <w:r w:rsidRPr="002D7341">
        <w:rPr>
          <w:rFonts w:ascii="Arial" w:hAnsi="Arial" w:cs="Arial"/>
          <w:bCs/>
          <w:sz w:val="22"/>
          <w:szCs w:val="22"/>
          <w:lang w:val="fr-FR"/>
        </w:rPr>
        <w:t xml:space="preserve"> qu</w:t>
      </w:r>
      <w:r w:rsidR="008E532B">
        <w:rPr>
          <w:rFonts w:ascii="Arial" w:hAnsi="Arial" w:cs="Arial"/>
          <w:bCs/>
          <w:sz w:val="22"/>
          <w:szCs w:val="22"/>
          <w:lang w:val="fr-FR"/>
        </w:rPr>
        <w:t>’</w:t>
      </w:r>
      <w:r>
        <w:rPr>
          <w:rFonts w:ascii="Arial" w:hAnsi="Arial" w:cs="Arial"/>
          <w:bCs/>
          <w:sz w:val="22"/>
          <w:szCs w:val="22"/>
          <w:lang w:val="fr-FR"/>
        </w:rPr>
        <w:t>elles</w:t>
      </w:r>
      <w:r w:rsidRPr="002D7341">
        <w:rPr>
          <w:rFonts w:ascii="Arial" w:hAnsi="Arial" w:cs="Arial"/>
          <w:bCs/>
          <w:sz w:val="22"/>
          <w:szCs w:val="22"/>
          <w:lang w:val="fr-FR"/>
        </w:rPr>
        <w:t xml:space="preserve"> refl</w:t>
      </w:r>
      <w:r>
        <w:rPr>
          <w:rFonts w:ascii="Arial" w:hAnsi="Arial" w:cs="Arial"/>
          <w:bCs/>
          <w:sz w:val="22"/>
          <w:szCs w:val="22"/>
          <w:lang w:val="fr-FR"/>
        </w:rPr>
        <w:t>étai</w:t>
      </w:r>
      <w:r w:rsidRPr="002D7341">
        <w:rPr>
          <w:rFonts w:ascii="Arial" w:hAnsi="Arial" w:cs="Arial"/>
          <w:bCs/>
          <w:sz w:val="22"/>
          <w:szCs w:val="22"/>
          <w:lang w:val="fr-FR"/>
        </w:rPr>
        <w:t>ent l</w:t>
      </w:r>
      <w:r w:rsidR="008E532B">
        <w:rPr>
          <w:rFonts w:ascii="Arial" w:hAnsi="Arial" w:cs="Arial"/>
          <w:bCs/>
          <w:sz w:val="22"/>
          <w:szCs w:val="22"/>
          <w:lang w:val="fr-FR"/>
        </w:rPr>
        <w:t>’</w:t>
      </w:r>
      <w:r w:rsidRPr="002D7341">
        <w:rPr>
          <w:rFonts w:ascii="Arial" w:hAnsi="Arial" w:cs="Arial"/>
          <w:bCs/>
          <w:sz w:val="22"/>
          <w:szCs w:val="22"/>
          <w:lang w:val="fr-FR"/>
        </w:rPr>
        <w:t xml:space="preserve">esprit des recommandations du groupe de travail. Outre les </w:t>
      </w:r>
      <w:r w:rsidRPr="008512C8">
        <w:rPr>
          <w:rFonts w:ascii="Arial" w:hAnsi="Arial" w:cs="Arial"/>
          <w:bCs/>
          <w:sz w:val="22"/>
          <w:szCs w:val="22"/>
          <w:lang w:val="fr-FR"/>
        </w:rPr>
        <w:t>proposition</w:t>
      </w:r>
      <w:r>
        <w:rPr>
          <w:rFonts w:ascii="Arial" w:hAnsi="Arial" w:cs="Arial"/>
          <w:bCs/>
          <w:sz w:val="22"/>
          <w:szCs w:val="22"/>
          <w:lang w:val="fr-FR"/>
        </w:rPr>
        <w:t>s d</w:t>
      </w:r>
      <w:r w:rsidR="008E532B">
        <w:rPr>
          <w:rFonts w:ascii="Arial" w:hAnsi="Arial" w:cs="Arial"/>
          <w:bCs/>
          <w:sz w:val="22"/>
          <w:szCs w:val="22"/>
          <w:lang w:val="fr-FR"/>
        </w:rPr>
        <w:t>’</w:t>
      </w:r>
      <w:r w:rsidRPr="002D7341">
        <w:rPr>
          <w:rFonts w:ascii="Arial" w:hAnsi="Arial" w:cs="Arial"/>
          <w:bCs/>
          <w:sz w:val="22"/>
          <w:szCs w:val="22"/>
          <w:lang w:val="fr-FR"/>
        </w:rPr>
        <w:t xml:space="preserve">amendements aux </w:t>
      </w:r>
      <w:r>
        <w:rPr>
          <w:rFonts w:ascii="Arial" w:hAnsi="Arial" w:cs="Arial"/>
          <w:bCs/>
          <w:sz w:val="22"/>
          <w:szCs w:val="22"/>
          <w:lang w:val="fr-FR"/>
        </w:rPr>
        <w:t>D</w:t>
      </w:r>
      <w:r w:rsidRPr="002D7341">
        <w:rPr>
          <w:rFonts w:ascii="Arial" w:hAnsi="Arial" w:cs="Arial"/>
          <w:bCs/>
          <w:sz w:val="22"/>
          <w:szCs w:val="22"/>
          <w:lang w:val="fr-FR"/>
        </w:rPr>
        <w:t>irectives opérationnelles, certains des résultats de la réflexion globale seraient</w:t>
      </w:r>
      <w:r>
        <w:rPr>
          <w:rFonts w:ascii="Arial" w:hAnsi="Arial" w:cs="Arial"/>
          <w:bCs/>
          <w:sz w:val="22"/>
          <w:szCs w:val="22"/>
          <w:lang w:val="fr-FR"/>
        </w:rPr>
        <w:t>,</w:t>
      </w:r>
      <w:r w:rsidRPr="002D7341">
        <w:rPr>
          <w:rFonts w:ascii="Arial" w:hAnsi="Arial" w:cs="Arial"/>
          <w:bCs/>
          <w:sz w:val="22"/>
          <w:szCs w:val="22"/>
          <w:lang w:val="fr-FR"/>
        </w:rPr>
        <w:t xml:space="preserve"> en fait</w:t>
      </w:r>
      <w:r>
        <w:rPr>
          <w:rFonts w:ascii="Arial" w:hAnsi="Arial" w:cs="Arial"/>
          <w:bCs/>
          <w:sz w:val="22"/>
          <w:szCs w:val="22"/>
          <w:lang w:val="fr-FR"/>
        </w:rPr>
        <w:t>,</w:t>
      </w:r>
      <w:r w:rsidRPr="002D7341">
        <w:rPr>
          <w:rFonts w:ascii="Arial" w:hAnsi="Arial" w:cs="Arial"/>
          <w:bCs/>
          <w:sz w:val="22"/>
          <w:szCs w:val="22"/>
          <w:lang w:val="fr-FR"/>
        </w:rPr>
        <w:t xml:space="preserve"> mis en œuvre d</w:t>
      </w:r>
      <w:r w:rsidR="008E532B">
        <w:rPr>
          <w:rFonts w:ascii="Arial" w:hAnsi="Arial" w:cs="Arial"/>
          <w:bCs/>
          <w:sz w:val="22"/>
          <w:szCs w:val="22"/>
          <w:lang w:val="fr-FR"/>
        </w:rPr>
        <w:t>’</w:t>
      </w:r>
      <w:r w:rsidRPr="002D7341">
        <w:rPr>
          <w:rFonts w:ascii="Arial" w:hAnsi="Arial" w:cs="Arial"/>
          <w:bCs/>
          <w:sz w:val="22"/>
          <w:szCs w:val="22"/>
          <w:lang w:val="fr-FR"/>
        </w:rPr>
        <w:t>autres manières. Le groupe de travail a</w:t>
      </w:r>
      <w:r>
        <w:rPr>
          <w:rFonts w:ascii="Arial" w:hAnsi="Arial" w:cs="Arial"/>
          <w:bCs/>
          <w:sz w:val="22"/>
          <w:szCs w:val="22"/>
          <w:lang w:val="fr-FR"/>
        </w:rPr>
        <w:t>vait</w:t>
      </w:r>
      <w:r w:rsidRPr="002D7341">
        <w:rPr>
          <w:rFonts w:ascii="Arial" w:hAnsi="Arial" w:cs="Arial"/>
          <w:bCs/>
          <w:sz w:val="22"/>
          <w:szCs w:val="22"/>
          <w:lang w:val="fr-FR"/>
        </w:rPr>
        <w:t xml:space="preserve"> accordé une attention particulière aux besoins en personnel du Secrétariat et a</w:t>
      </w:r>
      <w:r>
        <w:rPr>
          <w:rFonts w:ascii="Arial" w:hAnsi="Arial" w:cs="Arial"/>
          <w:bCs/>
          <w:sz w:val="22"/>
          <w:szCs w:val="22"/>
          <w:lang w:val="fr-FR"/>
        </w:rPr>
        <w:t>vait</w:t>
      </w:r>
      <w:r w:rsidRPr="002D7341">
        <w:rPr>
          <w:rFonts w:ascii="Arial" w:hAnsi="Arial" w:cs="Arial"/>
          <w:bCs/>
          <w:sz w:val="22"/>
          <w:szCs w:val="22"/>
          <w:lang w:val="fr-FR"/>
        </w:rPr>
        <w:t xml:space="preserve"> également d</w:t>
      </w:r>
      <w:r>
        <w:rPr>
          <w:rFonts w:ascii="Arial" w:hAnsi="Arial" w:cs="Arial"/>
          <w:bCs/>
          <w:sz w:val="22"/>
          <w:szCs w:val="22"/>
          <w:lang w:val="fr-FR"/>
        </w:rPr>
        <w:t>ébattu</w:t>
      </w:r>
      <w:r w:rsidRPr="002D7341">
        <w:rPr>
          <w:rFonts w:ascii="Arial" w:hAnsi="Arial" w:cs="Arial"/>
          <w:bCs/>
          <w:sz w:val="22"/>
          <w:szCs w:val="22"/>
          <w:lang w:val="fr-FR"/>
        </w:rPr>
        <w:t xml:space="preserve"> de la manière d</w:t>
      </w:r>
      <w:r w:rsidR="008E532B">
        <w:rPr>
          <w:rFonts w:ascii="Arial" w:hAnsi="Arial" w:cs="Arial"/>
          <w:bCs/>
          <w:sz w:val="22"/>
          <w:szCs w:val="22"/>
          <w:lang w:val="fr-FR"/>
        </w:rPr>
        <w:t>’</w:t>
      </w:r>
      <w:r w:rsidRPr="002D7341">
        <w:rPr>
          <w:rFonts w:ascii="Arial" w:hAnsi="Arial" w:cs="Arial"/>
          <w:bCs/>
          <w:sz w:val="22"/>
          <w:szCs w:val="22"/>
          <w:lang w:val="fr-FR"/>
        </w:rPr>
        <w:t>améliorer</w:t>
      </w:r>
      <w:r>
        <w:rPr>
          <w:rFonts w:ascii="Arial" w:hAnsi="Arial" w:cs="Arial"/>
          <w:bCs/>
          <w:sz w:val="22"/>
          <w:szCs w:val="22"/>
          <w:lang w:val="fr-FR"/>
        </w:rPr>
        <w:t xml:space="preserve"> la réponse à ces besoins</w:t>
      </w:r>
      <w:r w:rsidRPr="002D7341">
        <w:rPr>
          <w:rFonts w:ascii="Arial" w:hAnsi="Arial" w:cs="Arial"/>
          <w:bCs/>
          <w:sz w:val="22"/>
          <w:szCs w:val="22"/>
          <w:lang w:val="fr-FR"/>
        </w:rPr>
        <w:t>. À la demande du groupe de travail, le Secrétariat a</w:t>
      </w:r>
      <w:r>
        <w:rPr>
          <w:rFonts w:ascii="Arial" w:hAnsi="Arial" w:cs="Arial"/>
          <w:bCs/>
          <w:sz w:val="22"/>
          <w:szCs w:val="22"/>
          <w:lang w:val="fr-FR"/>
        </w:rPr>
        <w:t>vait</w:t>
      </w:r>
      <w:r w:rsidRPr="002D7341">
        <w:rPr>
          <w:rFonts w:ascii="Arial" w:hAnsi="Arial" w:cs="Arial"/>
          <w:bCs/>
          <w:sz w:val="22"/>
          <w:szCs w:val="22"/>
          <w:lang w:val="fr-FR"/>
        </w:rPr>
        <w:t xml:space="preserve"> prévu de soumettre une proposition sur les ressources financières et humaines du Secrétariat</w:t>
      </w:r>
      <w:r>
        <w:rPr>
          <w:rFonts w:ascii="Arial" w:hAnsi="Arial" w:cs="Arial"/>
          <w:bCs/>
          <w:sz w:val="22"/>
          <w:szCs w:val="22"/>
          <w:lang w:val="fr-FR"/>
        </w:rPr>
        <w:t>,</w:t>
      </w:r>
      <w:r w:rsidRPr="002D7341">
        <w:rPr>
          <w:rFonts w:ascii="Arial" w:hAnsi="Arial" w:cs="Arial"/>
          <w:bCs/>
          <w:sz w:val="22"/>
          <w:szCs w:val="22"/>
          <w:lang w:val="fr-FR"/>
        </w:rPr>
        <w:t xml:space="preserve"> pour examen par </w:t>
      </w:r>
      <w:proofErr w:type="gramStart"/>
      <w:r w:rsidRPr="002D7341">
        <w:rPr>
          <w:rFonts w:ascii="Arial" w:hAnsi="Arial" w:cs="Arial"/>
          <w:bCs/>
          <w:sz w:val="22"/>
          <w:szCs w:val="22"/>
          <w:lang w:val="fr-FR"/>
        </w:rPr>
        <w:t xml:space="preserve">la </w:t>
      </w:r>
      <w:r>
        <w:rPr>
          <w:rFonts w:ascii="Arial" w:hAnsi="Arial" w:cs="Arial"/>
          <w:bCs/>
          <w:sz w:val="22"/>
          <w:szCs w:val="22"/>
          <w:lang w:val="fr-FR"/>
        </w:rPr>
        <w:t>dix</w:t>
      </w:r>
      <w:proofErr w:type="gramEnd"/>
      <w:r>
        <w:rPr>
          <w:rFonts w:ascii="Arial" w:hAnsi="Arial" w:cs="Arial"/>
          <w:bCs/>
          <w:sz w:val="22"/>
          <w:szCs w:val="22"/>
          <w:lang w:val="fr-FR"/>
        </w:rPr>
        <w:noBreakHyphen/>
        <w:t>huitième</w:t>
      </w:r>
      <w:r w:rsidRPr="002D7341">
        <w:rPr>
          <w:rFonts w:ascii="Arial" w:hAnsi="Arial" w:cs="Arial"/>
          <w:bCs/>
          <w:sz w:val="22"/>
          <w:szCs w:val="22"/>
          <w:lang w:val="fr-FR"/>
        </w:rPr>
        <w:t xml:space="preserve"> session du Comité en 2023, en vue d</w:t>
      </w:r>
      <w:r w:rsidR="008E532B">
        <w:rPr>
          <w:rFonts w:ascii="Arial" w:hAnsi="Arial" w:cs="Arial"/>
          <w:bCs/>
          <w:sz w:val="22"/>
          <w:szCs w:val="22"/>
          <w:lang w:val="fr-FR"/>
        </w:rPr>
        <w:t>’</w:t>
      </w:r>
      <w:r w:rsidRPr="002D7341">
        <w:rPr>
          <w:rFonts w:ascii="Arial" w:hAnsi="Arial" w:cs="Arial"/>
          <w:bCs/>
          <w:sz w:val="22"/>
          <w:szCs w:val="22"/>
          <w:lang w:val="fr-FR"/>
        </w:rPr>
        <w:t xml:space="preserve">une approbation ultérieure par la </w:t>
      </w:r>
      <w:r>
        <w:rPr>
          <w:rFonts w:ascii="Arial" w:hAnsi="Arial" w:cs="Arial"/>
          <w:bCs/>
          <w:sz w:val="22"/>
          <w:szCs w:val="22"/>
          <w:lang w:val="fr-FR"/>
        </w:rPr>
        <w:t>dixième</w:t>
      </w:r>
      <w:r w:rsidRPr="002D7341">
        <w:rPr>
          <w:rFonts w:ascii="Arial" w:hAnsi="Arial" w:cs="Arial"/>
          <w:bCs/>
          <w:sz w:val="22"/>
          <w:szCs w:val="22"/>
          <w:lang w:val="fr-FR"/>
        </w:rPr>
        <w:t xml:space="preserve"> session de l</w:t>
      </w:r>
      <w:r w:rsidR="008E532B">
        <w:rPr>
          <w:rFonts w:ascii="Arial" w:hAnsi="Arial" w:cs="Arial"/>
          <w:bCs/>
          <w:sz w:val="22"/>
          <w:szCs w:val="22"/>
          <w:lang w:val="fr-FR"/>
        </w:rPr>
        <w:t>’</w:t>
      </w:r>
      <w:r w:rsidRPr="002D7341">
        <w:rPr>
          <w:rFonts w:ascii="Arial" w:hAnsi="Arial" w:cs="Arial"/>
          <w:bCs/>
          <w:sz w:val="22"/>
          <w:szCs w:val="22"/>
          <w:lang w:val="fr-FR"/>
        </w:rPr>
        <w:t>Assemblée générale en 2024 et de nouvelles discussions dans le contexte plus large de l</w:t>
      </w:r>
      <w:r w:rsidR="008E532B">
        <w:rPr>
          <w:rFonts w:ascii="Arial" w:hAnsi="Arial" w:cs="Arial"/>
          <w:bCs/>
          <w:sz w:val="22"/>
          <w:szCs w:val="22"/>
          <w:lang w:val="fr-FR"/>
        </w:rPr>
        <w:t>’</w:t>
      </w:r>
      <w:r w:rsidRPr="002D7341">
        <w:rPr>
          <w:rFonts w:ascii="Arial" w:hAnsi="Arial" w:cs="Arial"/>
          <w:bCs/>
          <w:sz w:val="22"/>
          <w:szCs w:val="22"/>
          <w:lang w:val="fr-FR"/>
        </w:rPr>
        <w:t>UNESCO. De même, le groupe de travail a</w:t>
      </w:r>
      <w:r>
        <w:rPr>
          <w:rFonts w:ascii="Arial" w:hAnsi="Arial" w:cs="Arial"/>
          <w:bCs/>
          <w:sz w:val="22"/>
          <w:szCs w:val="22"/>
          <w:lang w:val="fr-FR"/>
        </w:rPr>
        <w:t>vait</w:t>
      </w:r>
      <w:r w:rsidRPr="002D7341">
        <w:rPr>
          <w:rFonts w:ascii="Arial" w:hAnsi="Arial" w:cs="Arial"/>
          <w:bCs/>
          <w:sz w:val="22"/>
          <w:szCs w:val="22"/>
          <w:lang w:val="fr-FR"/>
        </w:rPr>
        <w:t xml:space="preserve"> invité le Secrétariat à recommander des critères possibles pour définir les cas exceptionnels </w:t>
      </w:r>
      <w:r w:rsidRPr="00215BB2">
        <w:rPr>
          <w:rFonts w:ascii="Arial" w:hAnsi="Arial" w:cs="Arial"/>
          <w:bCs/>
          <w:sz w:val="22"/>
          <w:szCs w:val="22"/>
          <w:lang w:val="fr-FR"/>
        </w:rPr>
        <w:t>en ce qui concerne</w:t>
      </w:r>
      <w:r>
        <w:rPr>
          <w:rFonts w:ascii="Arial" w:hAnsi="Arial" w:cs="Arial"/>
          <w:bCs/>
          <w:sz w:val="22"/>
          <w:szCs w:val="22"/>
          <w:lang w:val="fr-FR"/>
        </w:rPr>
        <w:t xml:space="preserve"> </w:t>
      </w:r>
      <w:r w:rsidRPr="002D7341">
        <w:rPr>
          <w:rFonts w:ascii="Arial" w:hAnsi="Arial" w:cs="Arial"/>
          <w:bCs/>
          <w:sz w:val="22"/>
          <w:szCs w:val="22"/>
          <w:lang w:val="fr-FR"/>
        </w:rPr>
        <w:t xml:space="preserve">les candidatures, </w:t>
      </w:r>
      <w:r>
        <w:rPr>
          <w:rFonts w:ascii="Arial" w:hAnsi="Arial" w:cs="Arial"/>
          <w:bCs/>
          <w:sz w:val="22"/>
          <w:szCs w:val="22"/>
          <w:lang w:val="fr-FR"/>
        </w:rPr>
        <w:t>comme précisé</w:t>
      </w:r>
      <w:r w:rsidRPr="002D7341">
        <w:rPr>
          <w:rFonts w:ascii="Arial" w:hAnsi="Arial" w:cs="Arial"/>
          <w:bCs/>
          <w:sz w:val="22"/>
          <w:szCs w:val="22"/>
          <w:lang w:val="fr-FR"/>
        </w:rPr>
        <w:t xml:space="preserve"> dans les recommandations de la </w:t>
      </w:r>
      <w:r>
        <w:rPr>
          <w:rFonts w:ascii="Arial" w:hAnsi="Arial" w:cs="Arial"/>
          <w:bCs/>
          <w:sz w:val="22"/>
          <w:szCs w:val="22"/>
          <w:lang w:val="fr-FR"/>
        </w:rPr>
        <w:t xml:space="preserve">partie III de la </w:t>
      </w:r>
      <w:r w:rsidRPr="002D7341">
        <w:rPr>
          <w:rFonts w:ascii="Arial" w:hAnsi="Arial" w:cs="Arial"/>
          <w:bCs/>
          <w:sz w:val="22"/>
          <w:szCs w:val="22"/>
          <w:lang w:val="fr-FR"/>
        </w:rPr>
        <w:t>réunion du groupe de travail. Le groupe de travail a</w:t>
      </w:r>
      <w:r>
        <w:rPr>
          <w:rFonts w:ascii="Arial" w:hAnsi="Arial" w:cs="Arial"/>
          <w:bCs/>
          <w:sz w:val="22"/>
          <w:szCs w:val="22"/>
          <w:lang w:val="fr-FR"/>
        </w:rPr>
        <w:t>vait</w:t>
      </w:r>
      <w:r w:rsidRPr="002D7341">
        <w:rPr>
          <w:rFonts w:ascii="Arial" w:hAnsi="Arial" w:cs="Arial"/>
          <w:bCs/>
          <w:sz w:val="22"/>
          <w:szCs w:val="22"/>
          <w:lang w:val="fr-FR"/>
        </w:rPr>
        <w:t xml:space="preserve"> également identifié le besoin d</w:t>
      </w:r>
      <w:r w:rsidR="008E532B">
        <w:rPr>
          <w:rFonts w:ascii="Arial" w:hAnsi="Arial" w:cs="Arial"/>
          <w:bCs/>
          <w:sz w:val="22"/>
          <w:szCs w:val="22"/>
          <w:lang w:val="fr-FR"/>
        </w:rPr>
        <w:t>’</w:t>
      </w:r>
      <w:r>
        <w:rPr>
          <w:rFonts w:ascii="Arial" w:hAnsi="Arial" w:cs="Arial"/>
          <w:bCs/>
          <w:sz w:val="22"/>
          <w:szCs w:val="22"/>
          <w:lang w:val="fr-FR"/>
        </w:rPr>
        <w:t xml:space="preserve">engager une réflexion </w:t>
      </w:r>
      <w:r w:rsidRPr="002D7341">
        <w:rPr>
          <w:rFonts w:ascii="Arial" w:hAnsi="Arial" w:cs="Arial"/>
          <w:bCs/>
          <w:sz w:val="22"/>
          <w:szCs w:val="22"/>
          <w:lang w:val="fr-FR"/>
        </w:rPr>
        <w:t>sur la mise en œuvre plus large de l</w:t>
      </w:r>
      <w:r w:rsidR="008E532B">
        <w:rPr>
          <w:rFonts w:ascii="Arial" w:hAnsi="Arial" w:cs="Arial"/>
          <w:bCs/>
          <w:sz w:val="22"/>
          <w:szCs w:val="22"/>
          <w:lang w:val="fr-FR"/>
        </w:rPr>
        <w:t>’</w:t>
      </w:r>
      <w:r w:rsidRPr="002D7341">
        <w:rPr>
          <w:rFonts w:ascii="Arial" w:hAnsi="Arial" w:cs="Arial"/>
          <w:bCs/>
          <w:sz w:val="22"/>
          <w:szCs w:val="22"/>
          <w:lang w:val="fr-FR"/>
        </w:rPr>
        <w:t>article</w:t>
      </w:r>
      <w:r>
        <w:rPr>
          <w:rFonts w:ascii="Arial" w:hAnsi="Arial" w:cs="Arial"/>
          <w:bCs/>
          <w:sz w:val="22"/>
          <w:szCs w:val="22"/>
          <w:lang w:val="fr-FR"/>
        </w:rPr>
        <w:t> </w:t>
      </w:r>
      <w:r w:rsidRPr="002D7341">
        <w:rPr>
          <w:rFonts w:ascii="Arial" w:hAnsi="Arial" w:cs="Arial"/>
          <w:bCs/>
          <w:sz w:val="22"/>
          <w:szCs w:val="22"/>
          <w:lang w:val="fr-FR"/>
        </w:rPr>
        <w:t>18 de la Convention et cela inclu</w:t>
      </w:r>
      <w:r>
        <w:rPr>
          <w:rFonts w:ascii="Arial" w:hAnsi="Arial" w:cs="Arial"/>
          <w:bCs/>
          <w:sz w:val="22"/>
          <w:szCs w:val="22"/>
          <w:lang w:val="fr-FR"/>
        </w:rPr>
        <w:t>ai</w:t>
      </w:r>
      <w:r w:rsidRPr="002D7341">
        <w:rPr>
          <w:rFonts w:ascii="Arial" w:hAnsi="Arial" w:cs="Arial"/>
          <w:bCs/>
          <w:sz w:val="22"/>
          <w:szCs w:val="22"/>
          <w:lang w:val="fr-FR"/>
        </w:rPr>
        <w:t>t un</w:t>
      </w:r>
      <w:r>
        <w:rPr>
          <w:rFonts w:ascii="Arial" w:hAnsi="Arial" w:cs="Arial"/>
          <w:bCs/>
          <w:sz w:val="22"/>
          <w:szCs w:val="22"/>
          <w:lang w:val="fr-FR"/>
        </w:rPr>
        <w:t xml:space="preserve"> débat </w:t>
      </w:r>
      <w:r w:rsidRPr="002D7341">
        <w:rPr>
          <w:rFonts w:ascii="Arial" w:hAnsi="Arial" w:cs="Arial"/>
          <w:bCs/>
          <w:sz w:val="22"/>
          <w:szCs w:val="22"/>
          <w:lang w:val="fr-FR"/>
        </w:rPr>
        <w:t>continu sur la façon d</w:t>
      </w:r>
      <w:r w:rsidR="008E532B">
        <w:rPr>
          <w:rFonts w:ascii="Arial" w:hAnsi="Arial" w:cs="Arial"/>
          <w:bCs/>
          <w:sz w:val="22"/>
          <w:szCs w:val="22"/>
          <w:lang w:val="fr-FR"/>
        </w:rPr>
        <w:t>’</w:t>
      </w:r>
      <w:r w:rsidRPr="002D7341">
        <w:rPr>
          <w:rFonts w:ascii="Arial" w:hAnsi="Arial" w:cs="Arial"/>
          <w:bCs/>
          <w:sz w:val="22"/>
          <w:szCs w:val="22"/>
          <w:lang w:val="fr-FR"/>
        </w:rPr>
        <w:t xml:space="preserve">améliorer le dialogue et la communication entre les parties prenantes de la Convention </w:t>
      </w:r>
      <w:r>
        <w:rPr>
          <w:rFonts w:ascii="Arial" w:hAnsi="Arial" w:cs="Arial"/>
          <w:bCs/>
          <w:sz w:val="22"/>
          <w:szCs w:val="22"/>
          <w:lang w:val="fr-FR"/>
        </w:rPr>
        <w:t xml:space="preserve">en mettant </w:t>
      </w:r>
      <w:r w:rsidRPr="0068582C">
        <w:rPr>
          <w:rFonts w:ascii="Arial" w:hAnsi="Arial" w:cs="Arial"/>
          <w:bCs/>
          <w:sz w:val="22"/>
          <w:szCs w:val="22"/>
          <w:lang w:val="fr-FR"/>
        </w:rPr>
        <w:t>tout particulièrement</w:t>
      </w:r>
      <w:r>
        <w:rPr>
          <w:rFonts w:ascii="Arial" w:hAnsi="Arial" w:cs="Arial"/>
          <w:bCs/>
          <w:sz w:val="22"/>
          <w:szCs w:val="22"/>
          <w:lang w:val="fr-FR"/>
        </w:rPr>
        <w:t xml:space="preserve"> l</w:t>
      </w:r>
      <w:r w:rsidR="008E532B">
        <w:rPr>
          <w:rFonts w:ascii="Arial" w:hAnsi="Arial" w:cs="Arial"/>
          <w:bCs/>
          <w:sz w:val="22"/>
          <w:szCs w:val="22"/>
          <w:lang w:val="fr-FR"/>
        </w:rPr>
        <w:t>’</w:t>
      </w:r>
      <w:r>
        <w:rPr>
          <w:rFonts w:ascii="Arial" w:hAnsi="Arial" w:cs="Arial"/>
          <w:bCs/>
          <w:sz w:val="22"/>
          <w:szCs w:val="22"/>
          <w:lang w:val="fr-FR"/>
        </w:rPr>
        <w:t xml:space="preserve">accent </w:t>
      </w:r>
      <w:r w:rsidRPr="002D7341">
        <w:rPr>
          <w:rFonts w:ascii="Arial" w:hAnsi="Arial" w:cs="Arial"/>
          <w:bCs/>
          <w:sz w:val="22"/>
          <w:szCs w:val="22"/>
          <w:lang w:val="fr-FR"/>
        </w:rPr>
        <w:t>sur les communautés, les groupes et les individus. Le Secrétariat était en contact étroit avec la Suède qui soutenait généreusement cette initiative et prévoyait de lancer une réunion d</w:t>
      </w:r>
      <w:r w:rsidR="008E532B">
        <w:rPr>
          <w:rFonts w:ascii="Arial" w:hAnsi="Arial" w:cs="Arial"/>
          <w:bCs/>
          <w:sz w:val="22"/>
          <w:szCs w:val="22"/>
          <w:lang w:val="fr-FR"/>
        </w:rPr>
        <w:t>’</w:t>
      </w:r>
      <w:r w:rsidRPr="002D7341">
        <w:rPr>
          <w:rFonts w:ascii="Arial" w:hAnsi="Arial" w:cs="Arial"/>
          <w:bCs/>
          <w:sz w:val="22"/>
          <w:szCs w:val="22"/>
          <w:lang w:val="fr-FR"/>
        </w:rPr>
        <w:t>experts de catégorie IV sur ce sujet au cours du premier semestre</w:t>
      </w:r>
      <w:r>
        <w:rPr>
          <w:rFonts w:ascii="Arial" w:hAnsi="Arial" w:cs="Arial"/>
          <w:bCs/>
          <w:sz w:val="22"/>
          <w:szCs w:val="22"/>
          <w:lang w:val="fr-FR"/>
        </w:rPr>
        <w:t xml:space="preserve"> de </w:t>
      </w:r>
      <w:r w:rsidRPr="002D7341">
        <w:rPr>
          <w:rFonts w:ascii="Arial" w:hAnsi="Arial" w:cs="Arial"/>
          <w:bCs/>
          <w:sz w:val="22"/>
          <w:szCs w:val="22"/>
          <w:lang w:val="fr-FR"/>
        </w:rPr>
        <w:t>2023</w:t>
      </w:r>
      <w:r>
        <w:rPr>
          <w:rFonts w:ascii="Arial" w:hAnsi="Arial" w:cs="Arial"/>
          <w:bCs/>
          <w:sz w:val="22"/>
          <w:szCs w:val="22"/>
          <w:lang w:val="fr-FR"/>
        </w:rPr>
        <w:t>,</w:t>
      </w:r>
      <w:r w:rsidRPr="002D7341">
        <w:rPr>
          <w:rFonts w:ascii="Arial" w:hAnsi="Arial" w:cs="Arial"/>
          <w:bCs/>
          <w:sz w:val="22"/>
          <w:szCs w:val="22"/>
          <w:lang w:val="fr-FR"/>
        </w:rPr>
        <w:t xml:space="preserve"> </w:t>
      </w:r>
      <w:r w:rsidRPr="00AB22D8">
        <w:rPr>
          <w:rFonts w:ascii="Arial" w:hAnsi="Arial" w:cs="Arial"/>
          <w:bCs/>
          <w:sz w:val="22"/>
          <w:szCs w:val="22"/>
          <w:lang w:val="fr-FR"/>
        </w:rPr>
        <w:t xml:space="preserve">qui serait suivie </w:t>
      </w:r>
      <w:r>
        <w:rPr>
          <w:rFonts w:ascii="Arial" w:hAnsi="Arial" w:cs="Arial"/>
          <w:bCs/>
          <w:sz w:val="22"/>
          <w:szCs w:val="22"/>
          <w:lang w:val="fr-FR"/>
        </w:rPr>
        <w:t>d</w:t>
      </w:r>
      <w:r w:rsidR="008E532B">
        <w:rPr>
          <w:rFonts w:ascii="Arial" w:hAnsi="Arial" w:cs="Arial"/>
          <w:bCs/>
          <w:sz w:val="22"/>
          <w:szCs w:val="22"/>
          <w:lang w:val="fr-FR"/>
        </w:rPr>
        <w:t>’</w:t>
      </w:r>
      <w:r w:rsidRPr="002D7341">
        <w:rPr>
          <w:rFonts w:ascii="Arial" w:hAnsi="Arial" w:cs="Arial"/>
          <w:bCs/>
          <w:sz w:val="22"/>
          <w:szCs w:val="22"/>
          <w:lang w:val="fr-FR"/>
        </w:rPr>
        <w:t>un groupe de travail intergouvernemental à composition non limitée à la fin de</w:t>
      </w:r>
      <w:r>
        <w:rPr>
          <w:rFonts w:ascii="Arial" w:hAnsi="Arial" w:cs="Arial"/>
          <w:bCs/>
          <w:sz w:val="22"/>
          <w:szCs w:val="22"/>
          <w:lang w:val="fr-FR"/>
        </w:rPr>
        <w:t xml:space="preserve"> l</w:t>
      </w:r>
      <w:r w:rsidR="008E532B">
        <w:rPr>
          <w:rFonts w:ascii="Arial" w:hAnsi="Arial" w:cs="Arial"/>
          <w:bCs/>
          <w:sz w:val="22"/>
          <w:szCs w:val="22"/>
          <w:lang w:val="fr-FR"/>
        </w:rPr>
        <w:t>’</w:t>
      </w:r>
      <w:r>
        <w:rPr>
          <w:rFonts w:ascii="Arial" w:hAnsi="Arial" w:cs="Arial"/>
          <w:bCs/>
          <w:sz w:val="22"/>
          <w:szCs w:val="22"/>
          <w:lang w:val="fr-FR"/>
        </w:rPr>
        <w:t>année</w:t>
      </w:r>
      <w:r w:rsidRPr="002D7341">
        <w:rPr>
          <w:rFonts w:ascii="Arial" w:hAnsi="Arial" w:cs="Arial"/>
          <w:bCs/>
          <w:sz w:val="22"/>
          <w:szCs w:val="22"/>
          <w:lang w:val="fr-FR"/>
        </w:rPr>
        <w:t xml:space="preserve"> 2023. </w:t>
      </w:r>
      <w:r w:rsidR="000936CD">
        <w:rPr>
          <w:rFonts w:ascii="Arial" w:hAnsi="Arial" w:cs="Arial"/>
          <w:bCs/>
          <w:sz w:val="22"/>
          <w:szCs w:val="22"/>
          <w:lang w:val="fr-FR"/>
        </w:rPr>
        <w:t>Le Sous-Directeur général</w:t>
      </w:r>
      <w:r w:rsidRPr="002D7341">
        <w:rPr>
          <w:rFonts w:ascii="Arial" w:hAnsi="Arial" w:cs="Arial"/>
          <w:bCs/>
          <w:sz w:val="22"/>
          <w:szCs w:val="22"/>
          <w:lang w:val="fr-FR"/>
        </w:rPr>
        <w:t xml:space="preserve"> a également informé l</w:t>
      </w:r>
      <w:r w:rsidR="008E532B">
        <w:rPr>
          <w:rFonts w:ascii="Arial" w:hAnsi="Arial" w:cs="Arial"/>
          <w:bCs/>
          <w:sz w:val="22"/>
          <w:szCs w:val="22"/>
          <w:lang w:val="fr-FR"/>
        </w:rPr>
        <w:t>’</w:t>
      </w:r>
      <w:r w:rsidRPr="002D7341">
        <w:rPr>
          <w:rFonts w:ascii="Arial" w:hAnsi="Arial" w:cs="Arial"/>
          <w:bCs/>
          <w:sz w:val="22"/>
          <w:szCs w:val="22"/>
          <w:lang w:val="fr-FR"/>
        </w:rPr>
        <w:t xml:space="preserve">Assemblée que de nouveaux formulaires de </w:t>
      </w:r>
      <w:r w:rsidRPr="00D06A16">
        <w:rPr>
          <w:rFonts w:ascii="Arial" w:hAnsi="Arial" w:cs="Arial"/>
          <w:bCs/>
          <w:sz w:val="22"/>
          <w:szCs w:val="22"/>
          <w:lang w:val="fr-FR"/>
        </w:rPr>
        <w:t>candidature</w:t>
      </w:r>
      <w:r>
        <w:rPr>
          <w:rFonts w:ascii="Arial" w:hAnsi="Arial" w:cs="Arial"/>
          <w:bCs/>
          <w:sz w:val="22"/>
          <w:szCs w:val="22"/>
          <w:lang w:val="fr-FR"/>
        </w:rPr>
        <w:t xml:space="preserve"> aux</w:t>
      </w:r>
      <w:r w:rsidRPr="002D7341">
        <w:rPr>
          <w:rFonts w:ascii="Arial" w:hAnsi="Arial" w:cs="Arial"/>
          <w:bCs/>
          <w:sz w:val="22"/>
          <w:szCs w:val="22"/>
          <w:lang w:val="fr-FR"/>
        </w:rPr>
        <w:t xml:space="preserve"> </w:t>
      </w:r>
      <w:r>
        <w:rPr>
          <w:rFonts w:ascii="Arial" w:hAnsi="Arial" w:cs="Arial"/>
          <w:bCs/>
          <w:sz w:val="22"/>
          <w:szCs w:val="22"/>
          <w:lang w:val="fr-FR"/>
        </w:rPr>
        <w:t>l</w:t>
      </w:r>
      <w:r w:rsidRPr="002D7341">
        <w:rPr>
          <w:rFonts w:ascii="Arial" w:hAnsi="Arial" w:cs="Arial"/>
          <w:bCs/>
          <w:sz w:val="22"/>
          <w:szCs w:val="22"/>
          <w:lang w:val="fr-FR"/>
        </w:rPr>
        <w:t>istes</w:t>
      </w:r>
      <w:r>
        <w:rPr>
          <w:rFonts w:ascii="Arial" w:hAnsi="Arial" w:cs="Arial"/>
          <w:bCs/>
          <w:sz w:val="22"/>
          <w:szCs w:val="22"/>
          <w:lang w:val="fr-FR"/>
        </w:rPr>
        <w:t xml:space="preserve"> et de </w:t>
      </w:r>
      <w:r w:rsidRPr="002D7341">
        <w:rPr>
          <w:rFonts w:ascii="Arial" w:hAnsi="Arial" w:cs="Arial"/>
          <w:bCs/>
          <w:sz w:val="22"/>
          <w:szCs w:val="22"/>
          <w:lang w:val="fr-FR"/>
        </w:rPr>
        <w:t xml:space="preserve">demandes de transfert et </w:t>
      </w:r>
      <w:r>
        <w:rPr>
          <w:rFonts w:ascii="Arial" w:hAnsi="Arial" w:cs="Arial"/>
          <w:bCs/>
          <w:sz w:val="22"/>
          <w:szCs w:val="22"/>
          <w:lang w:val="fr-FR"/>
        </w:rPr>
        <w:t>d</w:t>
      </w:r>
      <w:r w:rsidR="008E532B">
        <w:rPr>
          <w:rFonts w:ascii="Arial" w:hAnsi="Arial" w:cs="Arial"/>
          <w:bCs/>
          <w:sz w:val="22"/>
          <w:szCs w:val="22"/>
          <w:lang w:val="fr-FR"/>
        </w:rPr>
        <w:t>’</w:t>
      </w:r>
      <w:r w:rsidRPr="002D7341">
        <w:rPr>
          <w:rFonts w:ascii="Arial" w:hAnsi="Arial" w:cs="Arial"/>
          <w:bCs/>
          <w:sz w:val="22"/>
          <w:szCs w:val="22"/>
          <w:lang w:val="fr-FR"/>
        </w:rPr>
        <w:t>assistance internationale seraient disponibles d</w:t>
      </w:r>
      <w:r w:rsidR="008E532B">
        <w:rPr>
          <w:rFonts w:ascii="Arial" w:hAnsi="Arial" w:cs="Arial"/>
          <w:bCs/>
          <w:sz w:val="22"/>
          <w:szCs w:val="22"/>
          <w:lang w:val="fr-FR"/>
        </w:rPr>
        <w:t>’</w:t>
      </w:r>
      <w:r w:rsidRPr="002D7341">
        <w:rPr>
          <w:rFonts w:ascii="Arial" w:hAnsi="Arial" w:cs="Arial"/>
          <w:bCs/>
          <w:sz w:val="22"/>
          <w:szCs w:val="22"/>
          <w:lang w:val="fr-FR"/>
        </w:rPr>
        <w:t>ici la fin de l</w:t>
      </w:r>
      <w:r w:rsidR="008E532B">
        <w:rPr>
          <w:rFonts w:ascii="Arial" w:hAnsi="Arial" w:cs="Arial"/>
          <w:bCs/>
          <w:sz w:val="22"/>
          <w:szCs w:val="22"/>
          <w:lang w:val="fr-FR"/>
        </w:rPr>
        <w:t>’</w:t>
      </w:r>
      <w:r w:rsidRPr="002D7341">
        <w:rPr>
          <w:rFonts w:ascii="Arial" w:hAnsi="Arial" w:cs="Arial"/>
          <w:bCs/>
          <w:sz w:val="22"/>
          <w:szCs w:val="22"/>
          <w:lang w:val="fr-FR"/>
        </w:rPr>
        <w:t xml:space="preserve">année 2022 pour les dossiers de </w:t>
      </w:r>
      <w:r w:rsidRPr="00D06A16">
        <w:rPr>
          <w:rFonts w:ascii="Arial" w:hAnsi="Arial" w:cs="Arial"/>
          <w:bCs/>
          <w:sz w:val="22"/>
          <w:szCs w:val="22"/>
          <w:lang w:val="fr-FR"/>
        </w:rPr>
        <w:t>candidature</w:t>
      </w:r>
      <w:r>
        <w:rPr>
          <w:rFonts w:ascii="Arial" w:hAnsi="Arial" w:cs="Arial"/>
          <w:bCs/>
          <w:sz w:val="22"/>
          <w:szCs w:val="22"/>
          <w:lang w:val="fr-FR"/>
        </w:rPr>
        <w:t xml:space="preserve"> à inclure </w:t>
      </w:r>
      <w:r w:rsidRPr="002D7341">
        <w:rPr>
          <w:rFonts w:ascii="Arial" w:hAnsi="Arial" w:cs="Arial"/>
          <w:bCs/>
          <w:sz w:val="22"/>
          <w:szCs w:val="22"/>
          <w:lang w:val="fr-FR"/>
        </w:rPr>
        <w:t>dans le cycle 2024</w:t>
      </w:r>
      <w:r>
        <w:rPr>
          <w:rFonts w:ascii="Arial" w:hAnsi="Arial" w:cs="Arial"/>
          <w:bCs/>
          <w:sz w:val="22"/>
          <w:szCs w:val="22"/>
          <w:lang w:val="fr-FR"/>
        </w:rPr>
        <w:t>,</w:t>
      </w:r>
      <w:r w:rsidRPr="002D7341">
        <w:rPr>
          <w:rFonts w:ascii="Arial" w:hAnsi="Arial" w:cs="Arial"/>
          <w:bCs/>
          <w:sz w:val="22"/>
          <w:szCs w:val="22"/>
          <w:lang w:val="fr-FR"/>
        </w:rPr>
        <w:t xml:space="preserve"> pour examen par le Comité </w:t>
      </w:r>
      <w:r>
        <w:rPr>
          <w:rFonts w:ascii="Arial" w:hAnsi="Arial" w:cs="Arial"/>
          <w:bCs/>
          <w:sz w:val="22"/>
          <w:szCs w:val="22"/>
          <w:lang w:val="fr-FR"/>
        </w:rPr>
        <w:t>à sa dix</w:t>
      </w:r>
      <w:r>
        <w:rPr>
          <w:rFonts w:ascii="Arial" w:hAnsi="Arial" w:cs="Arial"/>
          <w:bCs/>
          <w:sz w:val="22"/>
          <w:szCs w:val="22"/>
          <w:lang w:val="fr-FR"/>
        </w:rPr>
        <w:noBreakHyphen/>
        <w:t>neuvième</w:t>
      </w:r>
      <w:r w:rsidRPr="002D7341">
        <w:rPr>
          <w:rFonts w:ascii="Arial" w:hAnsi="Arial" w:cs="Arial"/>
          <w:bCs/>
          <w:sz w:val="22"/>
          <w:szCs w:val="22"/>
          <w:lang w:val="fr-FR"/>
        </w:rPr>
        <w:t xml:space="preserve"> session. Il y aurait également d</w:t>
      </w:r>
      <w:r w:rsidR="008E532B">
        <w:rPr>
          <w:rFonts w:ascii="Arial" w:hAnsi="Arial" w:cs="Arial"/>
          <w:bCs/>
          <w:sz w:val="22"/>
          <w:szCs w:val="22"/>
          <w:lang w:val="fr-FR"/>
        </w:rPr>
        <w:t>’</w:t>
      </w:r>
      <w:r w:rsidRPr="002D7341">
        <w:rPr>
          <w:rFonts w:ascii="Arial" w:hAnsi="Arial" w:cs="Arial"/>
          <w:bCs/>
          <w:sz w:val="22"/>
          <w:szCs w:val="22"/>
          <w:lang w:val="fr-FR"/>
        </w:rPr>
        <w:t>autres ajustements techniques, tels que le</w:t>
      </w:r>
      <w:r>
        <w:rPr>
          <w:rFonts w:ascii="Arial" w:hAnsi="Arial" w:cs="Arial"/>
          <w:bCs/>
          <w:sz w:val="22"/>
          <w:szCs w:val="22"/>
          <w:lang w:val="fr-FR"/>
        </w:rPr>
        <w:t xml:space="preserve"> mandat</w:t>
      </w:r>
      <w:r w:rsidRPr="002D7341">
        <w:rPr>
          <w:rFonts w:ascii="Arial" w:hAnsi="Arial" w:cs="Arial"/>
          <w:bCs/>
          <w:sz w:val="22"/>
          <w:szCs w:val="22"/>
          <w:lang w:val="fr-FR"/>
        </w:rPr>
        <w:t xml:space="preserve"> de l</w:t>
      </w:r>
      <w:r w:rsidR="008E532B">
        <w:rPr>
          <w:rFonts w:ascii="Arial" w:hAnsi="Arial" w:cs="Arial"/>
          <w:bCs/>
          <w:sz w:val="22"/>
          <w:szCs w:val="22"/>
          <w:lang w:val="fr-FR"/>
        </w:rPr>
        <w:t>’</w:t>
      </w:r>
      <w:r w:rsidRPr="002D7341">
        <w:rPr>
          <w:rFonts w:ascii="Arial" w:hAnsi="Arial" w:cs="Arial"/>
          <w:bCs/>
          <w:sz w:val="22"/>
          <w:szCs w:val="22"/>
          <w:lang w:val="fr-FR"/>
        </w:rPr>
        <w:t>Organe d</w:t>
      </w:r>
      <w:r w:rsidR="008E532B">
        <w:rPr>
          <w:rFonts w:ascii="Arial" w:hAnsi="Arial" w:cs="Arial"/>
          <w:bCs/>
          <w:sz w:val="22"/>
          <w:szCs w:val="22"/>
          <w:lang w:val="fr-FR"/>
        </w:rPr>
        <w:t>’</w:t>
      </w:r>
      <w:r w:rsidRPr="002D7341">
        <w:rPr>
          <w:rFonts w:ascii="Arial" w:hAnsi="Arial" w:cs="Arial"/>
          <w:bCs/>
          <w:sz w:val="22"/>
          <w:szCs w:val="22"/>
          <w:lang w:val="fr-FR"/>
        </w:rPr>
        <w:t>évaluation, qui seraient mis en œuvre en conséquence.</w:t>
      </w:r>
    </w:p>
    <w:p w14:paraId="68374A0B" w14:textId="79A61B95" w:rsidR="00D9653F" w:rsidRPr="00826BA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26BAE">
        <w:rPr>
          <w:rFonts w:ascii="Arial" w:hAnsi="Arial" w:cs="Arial"/>
          <w:bCs/>
          <w:sz w:val="22"/>
          <w:szCs w:val="22"/>
          <w:lang w:val="fr-FR"/>
        </w:rPr>
        <w:t xml:space="preserve">La </w:t>
      </w:r>
      <w:r w:rsidRPr="00826BAE">
        <w:rPr>
          <w:rFonts w:ascii="Arial" w:hAnsi="Arial" w:cs="Arial"/>
          <w:b/>
          <w:sz w:val="22"/>
          <w:szCs w:val="22"/>
          <w:lang w:val="fr-FR"/>
        </w:rPr>
        <w:t>Présidente</w:t>
      </w:r>
      <w:r w:rsidRPr="00826BAE">
        <w:rPr>
          <w:rFonts w:ascii="Arial" w:hAnsi="Arial" w:cs="Arial"/>
          <w:bCs/>
          <w:sz w:val="22"/>
          <w:szCs w:val="22"/>
          <w:lang w:val="fr-FR"/>
        </w:rPr>
        <w:t xml:space="preserve"> </w:t>
      </w:r>
      <w:r>
        <w:rPr>
          <w:rFonts w:ascii="Arial" w:hAnsi="Arial" w:cs="Arial"/>
          <w:bCs/>
          <w:sz w:val="22"/>
          <w:szCs w:val="22"/>
          <w:lang w:val="fr-FR"/>
        </w:rPr>
        <w:t xml:space="preserve">a </w:t>
      </w:r>
      <w:r w:rsidRPr="00826BAE">
        <w:rPr>
          <w:rFonts w:ascii="Arial" w:hAnsi="Arial" w:cs="Arial"/>
          <w:bCs/>
          <w:sz w:val="22"/>
          <w:szCs w:val="22"/>
          <w:lang w:val="fr-FR"/>
        </w:rPr>
        <w:t>remerci</w:t>
      </w:r>
      <w:r>
        <w:rPr>
          <w:rFonts w:ascii="Arial" w:hAnsi="Arial" w:cs="Arial"/>
          <w:bCs/>
          <w:sz w:val="22"/>
          <w:szCs w:val="22"/>
          <w:lang w:val="fr-FR"/>
        </w:rPr>
        <w:t>é</w:t>
      </w:r>
      <w:r w:rsidRPr="00826BAE">
        <w:rPr>
          <w:rFonts w:ascii="Arial" w:hAnsi="Arial" w:cs="Arial"/>
          <w:bCs/>
          <w:sz w:val="22"/>
          <w:szCs w:val="22"/>
          <w:lang w:val="fr-FR"/>
        </w:rPr>
        <w:t xml:space="preserve"> le Sous-Directeur général pour sa présentation</w:t>
      </w:r>
      <w:r>
        <w:rPr>
          <w:rFonts w:ascii="Arial" w:hAnsi="Arial" w:cs="Arial"/>
          <w:bCs/>
          <w:sz w:val="22"/>
          <w:szCs w:val="22"/>
          <w:lang w:val="fr-FR"/>
        </w:rPr>
        <w:t xml:space="preserve"> </w:t>
      </w:r>
      <w:r w:rsidRPr="00826BAE">
        <w:rPr>
          <w:rFonts w:ascii="Arial" w:hAnsi="Arial" w:cs="Arial"/>
          <w:bCs/>
          <w:sz w:val="22"/>
          <w:szCs w:val="22"/>
          <w:lang w:val="fr-FR"/>
        </w:rPr>
        <w:t xml:space="preserve">qui </w:t>
      </w:r>
      <w:r>
        <w:rPr>
          <w:rFonts w:ascii="Arial" w:hAnsi="Arial" w:cs="Arial"/>
          <w:bCs/>
          <w:sz w:val="22"/>
          <w:szCs w:val="22"/>
          <w:lang w:val="fr-FR"/>
        </w:rPr>
        <w:t xml:space="preserve">mettait en avant </w:t>
      </w:r>
      <w:r w:rsidRPr="00826BAE">
        <w:rPr>
          <w:rFonts w:ascii="Arial" w:hAnsi="Arial" w:cs="Arial"/>
          <w:bCs/>
          <w:sz w:val="22"/>
          <w:szCs w:val="22"/>
          <w:lang w:val="fr-FR"/>
        </w:rPr>
        <w:t>le résultat d</w:t>
      </w:r>
      <w:r w:rsidR="008E532B">
        <w:rPr>
          <w:rFonts w:ascii="Arial" w:hAnsi="Arial" w:cs="Arial"/>
          <w:bCs/>
          <w:sz w:val="22"/>
          <w:szCs w:val="22"/>
          <w:lang w:val="fr-FR"/>
        </w:rPr>
        <w:t>’</w:t>
      </w:r>
      <w:r w:rsidRPr="00826BAE">
        <w:rPr>
          <w:rFonts w:ascii="Arial" w:hAnsi="Arial" w:cs="Arial"/>
          <w:bCs/>
          <w:sz w:val="22"/>
          <w:szCs w:val="22"/>
          <w:lang w:val="fr-FR"/>
        </w:rPr>
        <w:t>un travail acharné depuis 2018. Les propositio</w:t>
      </w:r>
      <w:r>
        <w:rPr>
          <w:rFonts w:ascii="Arial" w:hAnsi="Arial" w:cs="Arial"/>
          <w:bCs/>
          <w:sz w:val="22"/>
          <w:szCs w:val="22"/>
          <w:lang w:val="fr-FR"/>
        </w:rPr>
        <w:t xml:space="preserve">ns de </w:t>
      </w:r>
      <w:r w:rsidRPr="00826BAE">
        <w:rPr>
          <w:rFonts w:ascii="Arial" w:hAnsi="Arial" w:cs="Arial"/>
          <w:bCs/>
          <w:sz w:val="22"/>
          <w:szCs w:val="22"/>
          <w:lang w:val="fr-FR"/>
        </w:rPr>
        <w:t xml:space="preserve">révisions </w:t>
      </w:r>
      <w:r>
        <w:rPr>
          <w:rFonts w:ascii="Arial" w:hAnsi="Arial" w:cs="Arial"/>
          <w:bCs/>
          <w:sz w:val="22"/>
          <w:szCs w:val="22"/>
          <w:lang w:val="fr-FR"/>
        </w:rPr>
        <w:t>des</w:t>
      </w:r>
      <w:r w:rsidRPr="00826BAE">
        <w:rPr>
          <w:rFonts w:ascii="Arial" w:hAnsi="Arial" w:cs="Arial"/>
          <w:bCs/>
          <w:sz w:val="22"/>
          <w:szCs w:val="22"/>
          <w:lang w:val="fr-FR"/>
        </w:rPr>
        <w:t xml:space="preserve"> </w:t>
      </w:r>
      <w:r>
        <w:rPr>
          <w:rFonts w:ascii="Arial" w:hAnsi="Arial" w:cs="Arial"/>
          <w:bCs/>
          <w:sz w:val="22"/>
          <w:szCs w:val="22"/>
          <w:lang w:val="fr-FR"/>
        </w:rPr>
        <w:t>D</w:t>
      </w:r>
      <w:r w:rsidRPr="00826BAE">
        <w:rPr>
          <w:rFonts w:ascii="Arial" w:hAnsi="Arial" w:cs="Arial"/>
          <w:bCs/>
          <w:sz w:val="22"/>
          <w:szCs w:val="22"/>
          <w:lang w:val="fr-FR"/>
        </w:rPr>
        <w:t xml:space="preserve">irectives opérationnelles </w:t>
      </w:r>
      <w:r>
        <w:rPr>
          <w:rFonts w:ascii="Arial" w:hAnsi="Arial" w:cs="Arial"/>
          <w:bCs/>
          <w:sz w:val="22"/>
          <w:szCs w:val="22"/>
          <w:lang w:val="fr-FR"/>
        </w:rPr>
        <w:t>étaient</w:t>
      </w:r>
      <w:r w:rsidRPr="00826BAE">
        <w:rPr>
          <w:rFonts w:ascii="Arial" w:hAnsi="Arial" w:cs="Arial"/>
          <w:bCs/>
          <w:sz w:val="22"/>
          <w:szCs w:val="22"/>
          <w:lang w:val="fr-FR"/>
        </w:rPr>
        <w:t xml:space="preserve"> une véritable réussite, car elles </w:t>
      </w:r>
      <w:r>
        <w:rPr>
          <w:rFonts w:ascii="Arial" w:hAnsi="Arial" w:cs="Arial"/>
          <w:bCs/>
          <w:sz w:val="22"/>
          <w:szCs w:val="22"/>
          <w:lang w:val="fr-FR"/>
        </w:rPr>
        <w:t>étaient</w:t>
      </w:r>
      <w:r w:rsidRPr="00826BAE">
        <w:rPr>
          <w:rFonts w:ascii="Arial" w:hAnsi="Arial" w:cs="Arial"/>
          <w:bCs/>
          <w:sz w:val="22"/>
          <w:szCs w:val="22"/>
          <w:lang w:val="fr-FR"/>
        </w:rPr>
        <w:t xml:space="preserve"> ambitieuses dans leur portée et techniquement complexes. La Présidente a reconnu les efforts du groupe de travail qui a</w:t>
      </w:r>
      <w:r>
        <w:rPr>
          <w:rFonts w:ascii="Arial" w:hAnsi="Arial" w:cs="Arial"/>
          <w:bCs/>
          <w:sz w:val="22"/>
          <w:szCs w:val="22"/>
          <w:lang w:val="fr-FR"/>
        </w:rPr>
        <w:t>vait</w:t>
      </w:r>
      <w:r w:rsidRPr="00826BAE">
        <w:rPr>
          <w:rFonts w:ascii="Arial" w:hAnsi="Arial" w:cs="Arial"/>
          <w:bCs/>
          <w:sz w:val="22"/>
          <w:szCs w:val="22"/>
          <w:lang w:val="fr-FR"/>
        </w:rPr>
        <w:t xml:space="preserve"> préparé les recommandations</w:t>
      </w:r>
      <w:r>
        <w:rPr>
          <w:rFonts w:ascii="Arial" w:hAnsi="Arial" w:cs="Arial"/>
          <w:bCs/>
          <w:sz w:val="22"/>
          <w:szCs w:val="22"/>
          <w:lang w:val="fr-FR"/>
        </w:rPr>
        <w:t xml:space="preserve"> dans le cadre de la réunion en trois parties</w:t>
      </w:r>
      <w:r w:rsidRPr="00826BAE">
        <w:rPr>
          <w:rFonts w:ascii="Arial" w:hAnsi="Arial" w:cs="Arial"/>
          <w:bCs/>
          <w:sz w:val="22"/>
          <w:szCs w:val="22"/>
          <w:lang w:val="fr-FR"/>
        </w:rPr>
        <w:t>. Elle a remercié tout particulièrement le Président du groupe de travail, l</w:t>
      </w:r>
      <w:r w:rsidR="008E532B">
        <w:rPr>
          <w:rFonts w:ascii="Arial" w:hAnsi="Arial" w:cs="Arial"/>
          <w:bCs/>
          <w:sz w:val="22"/>
          <w:szCs w:val="22"/>
          <w:lang w:val="fr-FR"/>
        </w:rPr>
        <w:t>’</w:t>
      </w:r>
      <w:r>
        <w:rPr>
          <w:rFonts w:ascii="Arial" w:hAnsi="Arial" w:cs="Arial"/>
          <w:bCs/>
          <w:sz w:val="22"/>
          <w:szCs w:val="22"/>
          <w:lang w:val="fr-FR"/>
        </w:rPr>
        <w:t>a</w:t>
      </w:r>
      <w:r w:rsidRPr="00826BAE">
        <w:rPr>
          <w:rFonts w:ascii="Arial" w:hAnsi="Arial" w:cs="Arial"/>
          <w:bCs/>
          <w:sz w:val="22"/>
          <w:szCs w:val="22"/>
          <w:lang w:val="fr-FR"/>
        </w:rPr>
        <w:t xml:space="preserve">mbassadeur </w:t>
      </w:r>
      <w:proofErr w:type="spellStart"/>
      <w:r w:rsidRPr="00826BAE">
        <w:rPr>
          <w:rFonts w:ascii="Arial" w:hAnsi="Arial" w:cs="Arial"/>
          <w:bCs/>
          <w:sz w:val="22"/>
          <w:szCs w:val="22"/>
          <w:lang w:val="fr-FR"/>
        </w:rPr>
        <w:t>Oike</w:t>
      </w:r>
      <w:proofErr w:type="spellEnd"/>
      <w:r w:rsidRPr="00826BAE">
        <w:rPr>
          <w:rFonts w:ascii="Arial" w:hAnsi="Arial" w:cs="Arial"/>
          <w:bCs/>
          <w:sz w:val="22"/>
          <w:szCs w:val="22"/>
          <w:lang w:val="fr-FR"/>
        </w:rPr>
        <w:t>, dont la direction avisée a</w:t>
      </w:r>
      <w:r>
        <w:rPr>
          <w:rFonts w:ascii="Arial" w:hAnsi="Arial" w:cs="Arial"/>
          <w:bCs/>
          <w:sz w:val="22"/>
          <w:szCs w:val="22"/>
          <w:lang w:val="fr-FR"/>
        </w:rPr>
        <w:t>vait</w:t>
      </w:r>
      <w:r w:rsidRPr="00826BAE">
        <w:rPr>
          <w:rFonts w:ascii="Arial" w:hAnsi="Arial" w:cs="Arial"/>
          <w:bCs/>
          <w:sz w:val="22"/>
          <w:szCs w:val="22"/>
          <w:lang w:val="fr-FR"/>
        </w:rPr>
        <w:t xml:space="preserve"> permis au groupe de conclure ses travaux</w:t>
      </w:r>
      <w:r>
        <w:rPr>
          <w:rFonts w:ascii="Arial" w:hAnsi="Arial" w:cs="Arial"/>
          <w:bCs/>
          <w:sz w:val="22"/>
          <w:szCs w:val="22"/>
          <w:lang w:val="fr-FR"/>
        </w:rPr>
        <w:t>. Elle</w:t>
      </w:r>
      <w:r w:rsidRPr="00826BAE">
        <w:rPr>
          <w:rFonts w:ascii="Arial" w:hAnsi="Arial" w:cs="Arial"/>
          <w:bCs/>
          <w:sz w:val="22"/>
          <w:szCs w:val="22"/>
          <w:lang w:val="fr-FR"/>
        </w:rPr>
        <w:t xml:space="preserve"> a </w:t>
      </w:r>
      <w:r w:rsidRPr="00826BAE">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w:t>
      </w:r>
      <w:r w:rsidRPr="00826BAE">
        <w:rPr>
          <w:rFonts w:ascii="Arial" w:hAnsi="Arial" w:cs="Arial"/>
          <w:bCs/>
          <w:sz w:val="22"/>
          <w:szCs w:val="22"/>
          <w:lang w:val="fr-FR"/>
        </w:rPr>
        <w:t xml:space="preserve">remercié le Gouvernement du Japon pour son soutien financier tout au long du processus de réflexion. La Présidente a </w:t>
      </w:r>
      <w:r>
        <w:rPr>
          <w:rFonts w:ascii="Arial" w:hAnsi="Arial" w:cs="Arial"/>
          <w:bCs/>
          <w:sz w:val="22"/>
          <w:szCs w:val="22"/>
          <w:lang w:val="fr-FR"/>
        </w:rPr>
        <w:t>donné la parole aux orateurs afin qu</w:t>
      </w:r>
      <w:r w:rsidR="008E532B">
        <w:rPr>
          <w:rFonts w:ascii="Arial" w:hAnsi="Arial" w:cs="Arial"/>
          <w:bCs/>
          <w:sz w:val="22"/>
          <w:szCs w:val="22"/>
          <w:lang w:val="fr-FR"/>
        </w:rPr>
        <w:t>’</w:t>
      </w:r>
      <w:r>
        <w:rPr>
          <w:rFonts w:ascii="Arial" w:hAnsi="Arial" w:cs="Arial"/>
          <w:bCs/>
          <w:sz w:val="22"/>
          <w:szCs w:val="22"/>
          <w:lang w:val="fr-FR"/>
        </w:rPr>
        <w:t xml:space="preserve">ils formulent des </w:t>
      </w:r>
      <w:r w:rsidRPr="00826BAE">
        <w:rPr>
          <w:rFonts w:ascii="Arial" w:hAnsi="Arial" w:cs="Arial"/>
          <w:bCs/>
          <w:sz w:val="22"/>
          <w:szCs w:val="22"/>
          <w:lang w:val="fr-FR"/>
        </w:rPr>
        <w:t>commentaires.</w:t>
      </w:r>
    </w:p>
    <w:p w14:paraId="2C2086DA" w14:textId="7F17AD2D" w:rsidR="00D9653F" w:rsidRPr="00673068"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73068">
        <w:rPr>
          <w:rFonts w:ascii="Arial" w:hAnsi="Arial" w:cs="Arial"/>
          <w:bCs/>
          <w:sz w:val="22"/>
          <w:szCs w:val="22"/>
          <w:lang w:val="fr-FR"/>
        </w:rPr>
        <w:t xml:space="preserve">La délégation du </w:t>
      </w:r>
      <w:r w:rsidRPr="00673068">
        <w:rPr>
          <w:rFonts w:ascii="Arial" w:hAnsi="Arial" w:cs="Arial"/>
          <w:b/>
          <w:sz w:val="22"/>
          <w:szCs w:val="22"/>
          <w:lang w:val="fr-FR"/>
        </w:rPr>
        <w:t>Koweït</w:t>
      </w:r>
      <w:r w:rsidRPr="00673068">
        <w:rPr>
          <w:rFonts w:ascii="Arial" w:hAnsi="Arial" w:cs="Arial"/>
          <w:bCs/>
          <w:sz w:val="22"/>
          <w:szCs w:val="22"/>
          <w:lang w:val="fr-FR"/>
        </w:rPr>
        <w:t xml:space="preserve"> a remercié l</w:t>
      </w:r>
      <w:r w:rsidR="008E532B">
        <w:rPr>
          <w:rFonts w:ascii="Arial" w:hAnsi="Arial" w:cs="Arial"/>
          <w:bCs/>
          <w:sz w:val="22"/>
          <w:szCs w:val="22"/>
          <w:lang w:val="fr-FR"/>
        </w:rPr>
        <w:t>’</w:t>
      </w:r>
      <w:r>
        <w:rPr>
          <w:rFonts w:ascii="Arial" w:hAnsi="Arial" w:cs="Arial"/>
          <w:bCs/>
          <w:sz w:val="22"/>
          <w:szCs w:val="22"/>
          <w:lang w:val="fr-FR"/>
        </w:rPr>
        <w:t>a</w:t>
      </w:r>
      <w:r w:rsidRPr="00673068">
        <w:rPr>
          <w:rFonts w:ascii="Arial" w:hAnsi="Arial" w:cs="Arial"/>
          <w:bCs/>
          <w:sz w:val="22"/>
          <w:szCs w:val="22"/>
          <w:lang w:val="fr-FR"/>
        </w:rPr>
        <w:t xml:space="preserve">mbassadeur du Japon pour son grand leadership </w:t>
      </w:r>
      <w:r>
        <w:rPr>
          <w:rFonts w:ascii="Arial" w:hAnsi="Arial" w:cs="Arial"/>
          <w:bCs/>
          <w:sz w:val="22"/>
          <w:szCs w:val="22"/>
          <w:lang w:val="fr-FR"/>
        </w:rPr>
        <w:t xml:space="preserve">au cours de ce </w:t>
      </w:r>
      <w:r w:rsidRPr="00673068">
        <w:rPr>
          <w:rFonts w:ascii="Arial" w:hAnsi="Arial" w:cs="Arial"/>
          <w:bCs/>
          <w:sz w:val="22"/>
          <w:szCs w:val="22"/>
          <w:lang w:val="fr-FR"/>
        </w:rPr>
        <w:t xml:space="preserve">groupe de travail, ainsi que le Sous-Directeur général et son équipe pour le rapport. Ce processus était en effet très inclusif, impliquant de nombreuses consultations et discussions pendant et en dehors des réunions par le biais des membres du Bureau qui </w:t>
      </w:r>
      <w:r>
        <w:rPr>
          <w:rFonts w:ascii="Arial" w:hAnsi="Arial" w:cs="Arial"/>
          <w:bCs/>
          <w:sz w:val="22"/>
          <w:szCs w:val="22"/>
          <w:lang w:val="fr-FR"/>
        </w:rPr>
        <w:t>avaient</w:t>
      </w:r>
      <w:r w:rsidRPr="00673068">
        <w:rPr>
          <w:rFonts w:ascii="Arial" w:hAnsi="Arial" w:cs="Arial"/>
          <w:bCs/>
          <w:sz w:val="22"/>
          <w:szCs w:val="22"/>
          <w:lang w:val="fr-FR"/>
        </w:rPr>
        <w:t xml:space="preserve"> relayé et discuté certaines questions avec leurs groupes. </w:t>
      </w:r>
      <w:r>
        <w:rPr>
          <w:rFonts w:ascii="Arial" w:hAnsi="Arial" w:cs="Arial"/>
          <w:bCs/>
          <w:sz w:val="22"/>
          <w:szCs w:val="22"/>
          <w:lang w:val="fr-FR"/>
        </w:rPr>
        <w:t xml:space="preserve">En </w:t>
      </w:r>
      <w:r w:rsidRPr="00673068">
        <w:rPr>
          <w:rFonts w:ascii="Arial" w:hAnsi="Arial" w:cs="Arial"/>
          <w:bCs/>
          <w:sz w:val="22"/>
          <w:szCs w:val="22"/>
          <w:lang w:val="fr-FR"/>
        </w:rPr>
        <w:t>conséquence</w:t>
      </w:r>
      <w:r>
        <w:rPr>
          <w:rFonts w:ascii="Arial" w:hAnsi="Arial" w:cs="Arial"/>
          <w:bCs/>
          <w:sz w:val="22"/>
          <w:szCs w:val="22"/>
          <w:lang w:val="fr-FR"/>
        </w:rPr>
        <w:t>, l</w:t>
      </w:r>
      <w:r w:rsidRPr="00673068">
        <w:rPr>
          <w:rFonts w:ascii="Arial" w:hAnsi="Arial" w:cs="Arial"/>
          <w:bCs/>
          <w:sz w:val="22"/>
          <w:szCs w:val="22"/>
          <w:lang w:val="fr-FR"/>
        </w:rPr>
        <w:t>a délégation abondai</w:t>
      </w:r>
      <w:r>
        <w:rPr>
          <w:rFonts w:ascii="Arial" w:hAnsi="Arial" w:cs="Arial"/>
          <w:bCs/>
          <w:sz w:val="22"/>
          <w:szCs w:val="22"/>
          <w:lang w:val="fr-FR"/>
        </w:rPr>
        <w:t>t dans le sens</w:t>
      </w:r>
      <w:r w:rsidRPr="00673068">
        <w:rPr>
          <w:rFonts w:ascii="Arial" w:hAnsi="Arial" w:cs="Arial"/>
          <w:bCs/>
          <w:sz w:val="22"/>
          <w:szCs w:val="22"/>
          <w:lang w:val="fr-FR"/>
        </w:rPr>
        <w:t xml:space="preserve"> </w:t>
      </w:r>
      <w:r>
        <w:rPr>
          <w:rFonts w:ascii="Arial" w:hAnsi="Arial" w:cs="Arial"/>
          <w:bCs/>
          <w:sz w:val="22"/>
          <w:szCs w:val="22"/>
          <w:lang w:val="fr-FR"/>
        </w:rPr>
        <w:t>du</w:t>
      </w:r>
      <w:r w:rsidRPr="00673068">
        <w:rPr>
          <w:rFonts w:ascii="Arial" w:hAnsi="Arial" w:cs="Arial"/>
          <w:bCs/>
          <w:sz w:val="22"/>
          <w:szCs w:val="22"/>
          <w:lang w:val="fr-FR"/>
        </w:rPr>
        <w:t xml:space="preserve"> Japon et </w:t>
      </w:r>
      <w:r>
        <w:rPr>
          <w:rFonts w:ascii="Arial" w:hAnsi="Arial" w:cs="Arial"/>
          <w:bCs/>
          <w:sz w:val="22"/>
          <w:szCs w:val="22"/>
          <w:lang w:val="fr-FR"/>
        </w:rPr>
        <w:t>du</w:t>
      </w:r>
      <w:r w:rsidRPr="00673068">
        <w:rPr>
          <w:rFonts w:ascii="Arial" w:hAnsi="Arial" w:cs="Arial"/>
          <w:bCs/>
          <w:sz w:val="22"/>
          <w:szCs w:val="22"/>
          <w:lang w:val="fr-FR"/>
        </w:rPr>
        <w:t xml:space="preserve"> Président du groupe de travail pour approuver les révisions sans discussion, comme mentionné </w:t>
      </w:r>
      <w:r>
        <w:rPr>
          <w:rFonts w:ascii="Arial" w:hAnsi="Arial" w:cs="Arial"/>
          <w:bCs/>
          <w:sz w:val="22"/>
          <w:szCs w:val="22"/>
          <w:lang w:val="fr-FR"/>
        </w:rPr>
        <w:t>lors du</w:t>
      </w:r>
      <w:r w:rsidRPr="00673068">
        <w:rPr>
          <w:rFonts w:ascii="Arial" w:hAnsi="Arial" w:cs="Arial"/>
          <w:bCs/>
          <w:sz w:val="22"/>
          <w:szCs w:val="22"/>
          <w:lang w:val="fr-FR"/>
        </w:rPr>
        <w:t xml:space="preserve"> Comité, en appelant l</w:t>
      </w:r>
      <w:r w:rsidR="008E532B">
        <w:rPr>
          <w:rFonts w:ascii="Arial" w:hAnsi="Arial" w:cs="Arial"/>
          <w:bCs/>
          <w:sz w:val="22"/>
          <w:szCs w:val="22"/>
          <w:lang w:val="fr-FR"/>
        </w:rPr>
        <w:t>’</w:t>
      </w:r>
      <w:r w:rsidRPr="00673068">
        <w:rPr>
          <w:rFonts w:ascii="Arial" w:hAnsi="Arial" w:cs="Arial"/>
          <w:bCs/>
          <w:sz w:val="22"/>
          <w:szCs w:val="22"/>
          <w:lang w:val="fr-FR"/>
        </w:rPr>
        <w:t>Assemblée à les approuver.</w:t>
      </w:r>
    </w:p>
    <w:p w14:paraId="76E22086" w14:textId="50058E3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73068">
        <w:rPr>
          <w:rFonts w:ascii="Arial" w:hAnsi="Arial" w:cs="Arial"/>
          <w:bCs/>
          <w:sz w:val="22"/>
          <w:szCs w:val="22"/>
          <w:lang w:val="fr-FR"/>
        </w:rPr>
        <w:t xml:space="preserve">La délégation de la </w:t>
      </w:r>
      <w:r w:rsidRPr="00673068">
        <w:rPr>
          <w:rFonts w:ascii="Arial" w:hAnsi="Arial" w:cs="Arial"/>
          <w:b/>
          <w:sz w:val="22"/>
          <w:szCs w:val="22"/>
          <w:lang w:val="fr-FR"/>
        </w:rPr>
        <w:t>Palestine</w:t>
      </w:r>
      <w:r w:rsidRPr="00673068">
        <w:rPr>
          <w:rFonts w:ascii="Arial" w:hAnsi="Arial" w:cs="Arial"/>
          <w:bCs/>
          <w:sz w:val="22"/>
          <w:szCs w:val="22"/>
          <w:lang w:val="fr-FR"/>
        </w:rPr>
        <w:t xml:space="preserve"> a remercié le </w:t>
      </w:r>
      <w:r>
        <w:rPr>
          <w:rFonts w:ascii="Arial" w:hAnsi="Arial" w:cs="Arial"/>
          <w:bCs/>
          <w:sz w:val="22"/>
          <w:szCs w:val="22"/>
          <w:lang w:val="fr-FR"/>
        </w:rPr>
        <w:t>G</w:t>
      </w:r>
      <w:r w:rsidRPr="00673068">
        <w:rPr>
          <w:rFonts w:ascii="Arial" w:hAnsi="Arial" w:cs="Arial"/>
          <w:bCs/>
          <w:sz w:val="22"/>
          <w:szCs w:val="22"/>
          <w:lang w:val="fr-FR"/>
        </w:rPr>
        <w:t>ouvernement du Japon pour sa généreuse contribution à cet exercice et a adressé des remerciements particuliers au Président du groupe de travail, l</w:t>
      </w:r>
      <w:r w:rsidR="008E532B">
        <w:rPr>
          <w:rFonts w:ascii="Arial" w:hAnsi="Arial" w:cs="Arial"/>
          <w:bCs/>
          <w:sz w:val="22"/>
          <w:szCs w:val="22"/>
          <w:lang w:val="fr-FR"/>
        </w:rPr>
        <w:t>’</w:t>
      </w:r>
      <w:r>
        <w:rPr>
          <w:rFonts w:ascii="Arial" w:hAnsi="Arial" w:cs="Arial"/>
          <w:bCs/>
          <w:sz w:val="22"/>
          <w:szCs w:val="22"/>
          <w:lang w:val="fr-FR"/>
        </w:rPr>
        <w:t>a</w:t>
      </w:r>
      <w:r w:rsidRPr="00673068">
        <w:rPr>
          <w:rFonts w:ascii="Arial" w:hAnsi="Arial" w:cs="Arial"/>
          <w:bCs/>
          <w:sz w:val="22"/>
          <w:szCs w:val="22"/>
          <w:lang w:val="fr-FR"/>
        </w:rPr>
        <w:t xml:space="preserve">mbassadeur </w:t>
      </w:r>
      <w:proofErr w:type="spellStart"/>
      <w:r w:rsidRPr="00673068">
        <w:rPr>
          <w:rFonts w:ascii="Arial" w:hAnsi="Arial" w:cs="Arial"/>
          <w:bCs/>
          <w:sz w:val="22"/>
          <w:szCs w:val="22"/>
          <w:lang w:val="fr-FR"/>
        </w:rPr>
        <w:t>Oike</w:t>
      </w:r>
      <w:proofErr w:type="spellEnd"/>
      <w:r w:rsidRPr="00673068">
        <w:rPr>
          <w:rFonts w:ascii="Arial" w:hAnsi="Arial" w:cs="Arial"/>
          <w:bCs/>
          <w:sz w:val="22"/>
          <w:szCs w:val="22"/>
          <w:lang w:val="fr-FR"/>
        </w:rPr>
        <w:t>. Elle soutenait également l</w:t>
      </w:r>
      <w:r w:rsidR="008E532B">
        <w:rPr>
          <w:rFonts w:ascii="Arial" w:hAnsi="Arial" w:cs="Arial"/>
          <w:bCs/>
          <w:sz w:val="22"/>
          <w:szCs w:val="22"/>
          <w:lang w:val="fr-FR"/>
        </w:rPr>
        <w:t>’</w:t>
      </w:r>
      <w:r w:rsidRPr="00673068">
        <w:rPr>
          <w:rFonts w:ascii="Arial" w:hAnsi="Arial" w:cs="Arial"/>
          <w:bCs/>
          <w:sz w:val="22"/>
          <w:szCs w:val="22"/>
          <w:lang w:val="fr-FR"/>
        </w:rPr>
        <w:t>approbation des révisions sans discussion</w:t>
      </w:r>
      <w:r>
        <w:rPr>
          <w:rFonts w:ascii="Arial" w:hAnsi="Arial" w:cs="Arial"/>
          <w:bCs/>
          <w:sz w:val="22"/>
          <w:szCs w:val="22"/>
          <w:lang w:val="fr-FR"/>
        </w:rPr>
        <w:t>,</w:t>
      </w:r>
      <w:r w:rsidRPr="00673068">
        <w:rPr>
          <w:rFonts w:ascii="Arial" w:hAnsi="Arial" w:cs="Arial"/>
          <w:bCs/>
          <w:sz w:val="22"/>
          <w:szCs w:val="22"/>
          <w:lang w:val="fr-FR"/>
        </w:rPr>
        <w:t xml:space="preserve"> mais souhaitait mettre en évidence deux points qui avaient été discutés au cours du groupe de travail et pendant l</w:t>
      </w:r>
      <w:r w:rsidR="008E532B">
        <w:rPr>
          <w:rFonts w:ascii="Arial" w:hAnsi="Arial" w:cs="Arial"/>
          <w:bCs/>
          <w:sz w:val="22"/>
          <w:szCs w:val="22"/>
          <w:lang w:val="fr-FR"/>
        </w:rPr>
        <w:t>’</w:t>
      </w:r>
      <w:r w:rsidRPr="00673068">
        <w:rPr>
          <w:rFonts w:ascii="Arial" w:hAnsi="Arial" w:cs="Arial"/>
          <w:bCs/>
          <w:sz w:val="22"/>
          <w:szCs w:val="22"/>
          <w:lang w:val="fr-FR"/>
        </w:rPr>
        <w:t>Assemblée. Le premier point concernait les cas exceptionnels ou les cas d</w:t>
      </w:r>
      <w:r w:rsidR="008E532B">
        <w:rPr>
          <w:rFonts w:ascii="Arial" w:hAnsi="Arial" w:cs="Arial"/>
          <w:bCs/>
          <w:sz w:val="22"/>
          <w:szCs w:val="22"/>
          <w:lang w:val="fr-FR"/>
        </w:rPr>
        <w:t>’</w:t>
      </w:r>
      <w:r w:rsidRPr="00673068">
        <w:rPr>
          <w:rFonts w:ascii="Arial" w:hAnsi="Arial" w:cs="Arial"/>
          <w:bCs/>
          <w:sz w:val="22"/>
          <w:szCs w:val="22"/>
          <w:lang w:val="fr-FR"/>
        </w:rPr>
        <w:t>urgence, qui nécessitaient absolument une réflexion plus approfondie et</w:t>
      </w:r>
      <w:r>
        <w:rPr>
          <w:rFonts w:ascii="Arial" w:hAnsi="Arial" w:cs="Arial"/>
          <w:bCs/>
          <w:sz w:val="22"/>
          <w:szCs w:val="22"/>
          <w:lang w:val="fr-FR"/>
        </w:rPr>
        <w:t>,</w:t>
      </w:r>
      <w:r w:rsidRPr="00673068">
        <w:rPr>
          <w:rFonts w:ascii="Arial" w:hAnsi="Arial" w:cs="Arial"/>
          <w:bCs/>
          <w:sz w:val="22"/>
          <w:szCs w:val="22"/>
          <w:lang w:val="fr-FR"/>
        </w:rPr>
        <w:t xml:space="preserve"> </w:t>
      </w:r>
      <w:r>
        <w:rPr>
          <w:rFonts w:ascii="Arial" w:hAnsi="Arial" w:cs="Arial"/>
          <w:bCs/>
          <w:sz w:val="22"/>
          <w:szCs w:val="22"/>
          <w:lang w:val="fr-FR"/>
        </w:rPr>
        <w:t xml:space="preserve">finalement, </w:t>
      </w:r>
      <w:r w:rsidRPr="00673068">
        <w:rPr>
          <w:rFonts w:ascii="Arial" w:hAnsi="Arial" w:cs="Arial"/>
          <w:bCs/>
          <w:sz w:val="22"/>
          <w:szCs w:val="22"/>
          <w:lang w:val="fr-FR"/>
        </w:rPr>
        <w:t xml:space="preserve">un texte concret dans les </w:t>
      </w:r>
      <w:r>
        <w:rPr>
          <w:rFonts w:ascii="Arial" w:hAnsi="Arial" w:cs="Arial"/>
          <w:bCs/>
          <w:sz w:val="22"/>
          <w:szCs w:val="22"/>
          <w:lang w:val="fr-FR"/>
        </w:rPr>
        <w:t>D</w:t>
      </w:r>
      <w:r w:rsidRPr="00673068">
        <w:rPr>
          <w:rFonts w:ascii="Arial" w:hAnsi="Arial" w:cs="Arial"/>
          <w:bCs/>
          <w:sz w:val="22"/>
          <w:szCs w:val="22"/>
          <w:lang w:val="fr-FR"/>
        </w:rPr>
        <w:t>irectives opérationnelles. Le second point concernait le critère R.2, et la délégation a réitéré sa demande au Secrétariat de simplifier d</w:t>
      </w:r>
      <w:r w:rsidR="008E532B">
        <w:rPr>
          <w:rFonts w:ascii="Arial" w:hAnsi="Arial" w:cs="Arial"/>
          <w:bCs/>
          <w:sz w:val="22"/>
          <w:szCs w:val="22"/>
          <w:lang w:val="fr-FR"/>
        </w:rPr>
        <w:t>’</w:t>
      </w:r>
      <w:r w:rsidRPr="00673068">
        <w:rPr>
          <w:rFonts w:ascii="Arial" w:hAnsi="Arial" w:cs="Arial"/>
          <w:bCs/>
          <w:sz w:val="22"/>
          <w:szCs w:val="22"/>
          <w:lang w:val="fr-FR"/>
        </w:rPr>
        <w:t>urgence le formulaire, notamment sur le critère</w:t>
      </w:r>
      <w:r>
        <w:rPr>
          <w:rFonts w:ascii="Arial" w:hAnsi="Arial" w:cs="Arial"/>
          <w:bCs/>
          <w:sz w:val="22"/>
          <w:szCs w:val="22"/>
          <w:lang w:val="fr-FR"/>
        </w:rPr>
        <w:t xml:space="preserve"> </w:t>
      </w:r>
      <w:r w:rsidRPr="00673068">
        <w:rPr>
          <w:rFonts w:ascii="Arial" w:hAnsi="Arial" w:cs="Arial"/>
          <w:bCs/>
          <w:sz w:val="22"/>
          <w:szCs w:val="22"/>
          <w:lang w:val="fr-FR"/>
        </w:rPr>
        <w:t>R.2, comme cela avait été fait pour le critère</w:t>
      </w:r>
      <w:r>
        <w:rPr>
          <w:rFonts w:ascii="Arial" w:hAnsi="Arial" w:cs="Arial"/>
          <w:bCs/>
          <w:sz w:val="22"/>
          <w:szCs w:val="22"/>
          <w:lang w:val="fr-FR"/>
        </w:rPr>
        <w:t xml:space="preserve"> </w:t>
      </w:r>
      <w:r w:rsidRPr="00673068">
        <w:rPr>
          <w:rFonts w:ascii="Arial" w:hAnsi="Arial" w:cs="Arial"/>
          <w:bCs/>
          <w:sz w:val="22"/>
          <w:szCs w:val="22"/>
          <w:lang w:val="fr-FR"/>
        </w:rPr>
        <w:t xml:space="preserve">R.5 dans le passé. La délégation a également remercié le </w:t>
      </w:r>
      <w:r>
        <w:rPr>
          <w:rFonts w:ascii="Arial" w:hAnsi="Arial" w:cs="Arial"/>
          <w:bCs/>
          <w:sz w:val="22"/>
          <w:szCs w:val="22"/>
          <w:lang w:val="fr-FR"/>
        </w:rPr>
        <w:t>G</w:t>
      </w:r>
      <w:r w:rsidRPr="00673068">
        <w:rPr>
          <w:rFonts w:ascii="Arial" w:hAnsi="Arial" w:cs="Arial"/>
          <w:bCs/>
          <w:sz w:val="22"/>
          <w:szCs w:val="22"/>
          <w:lang w:val="fr-FR"/>
        </w:rPr>
        <w:t xml:space="preserve">ouvernement </w:t>
      </w:r>
      <w:r>
        <w:rPr>
          <w:rFonts w:ascii="Arial" w:hAnsi="Arial" w:cs="Arial"/>
          <w:bCs/>
          <w:sz w:val="22"/>
          <w:szCs w:val="22"/>
          <w:lang w:val="fr-FR"/>
        </w:rPr>
        <w:t>de la S</w:t>
      </w:r>
      <w:r w:rsidRPr="00673068">
        <w:rPr>
          <w:rFonts w:ascii="Arial" w:hAnsi="Arial" w:cs="Arial"/>
          <w:bCs/>
          <w:sz w:val="22"/>
          <w:szCs w:val="22"/>
          <w:lang w:val="fr-FR"/>
        </w:rPr>
        <w:t>u</w:t>
      </w:r>
      <w:r>
        <w:rPr>
          <w:rFonts w:ascii="Arial" w:hAnsi="Arial" w:cs="Arial"/>
          <w:bCs/>
          <w:sz w:val="22"/>
          <w:szCs w:val="22"/>
          <w:lang w:val="fr-FR"/>
        </w:rPr>
        <w:t>è</w:t>
      </w:r>
      <w:r w:rsidRPr="00673068">
        <w:rPr>
          <w:rFonts w:ascii="Arial" w:hAnsi="Arial" w:cs="Arial"/>
          <w:bCs/>
          <w:sz w:val="22"/>
          <w:szCs w:val="22"/>
          <w:lang w:val="fr-FR"/>
        </w:rPr>
        <w:t>d</w:t>
      </w:r>
      <w:r>
        <w:rPr>
          <w:rFonts w:ascii="Arial" w:hAnsi="Arial" w:cs="Arial"/>
          <w:bCs/>
          <w:sz w:val="22"/>
          <w:szCs w:val="22"/>
          <w:lang w:val="fr-FR"/>
        </w:rPr>
        <w:t>e</w:t>
      </w:r>
      <w:r w:rsidRPr="00673068">
        <w:rPr>
          <w:rFonts w:ascii="Arial" w:hAnsi="Arial" w:cs="Arial"/>
          <w:bCs/>
          <w:sz w:val="22"/>
          <w:szCs w:val="22"/>
          <w:lang w:val="fr-FR"/>
        </w:rPr>
        <w:t xml:space="preserve"> pour son soutien généreux au prochain groupe de travail, ajoutant qu</w:t>
      </w:r>
      <w:r w:rsidR="008E532B">
        <w:rPr>
          <w:rFonts w:ascii="Arial" w:hAnsi="Arial" w:cs="Arial"/>
          <w:bCs/>
          <w:sz w:val="22"/>
          <w:szCs w:val="22"/>
          <w:lang w:val="fr-FR"/>
        </w:rPr>
        <w:t>’</w:t>
      </w:r>
      <w:r w:rsidRPr="00673068">
        <w:rPr>
          <w:rFonts w:ascii="Arial" w:hAnsi="Arial" w:cs="Arial"/>
          <w:bCs/>
          <w:sz w:val="22"/>
          <w:szCs w:val="22"/>
          <w:lang w:val="fr-FR"/>
        </w:rPr>
        <w:t>elle avait un très léger amendement au projet de résolution.</w:t>
      </w:r>
    </w:p>
    <w:p w14:paraId="5C06B1E2" w14:textId="0C2EB03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12DD0">
        <w:rPr>
          <w:rFonts w:ascii="Arial" w:hAnsi="Arial" w:cs="Arial"/>
          <w:bCs/>
          <w:sz w:val="22"/>
          <w:szCs w:val="22"/>
          <w:lang w:val="fr-FR"/>
        </w:rPr>
        <w:t xml:space="preserve">La délégation de la </w:t>
      </w:r>
      <w:r w:rsidRPr="00A12DD0">
        <w:rPr>
          <w:rFonts w:ascii="Arial" w:hAnsi="Arial" w:cs="Arial"/>
          <w:b/>
          <w:sz w:val="22"/>
          <w:szCs w:val="22"/>
          <w:lang w:val="fr-FR"/>
        </w:rPr>
        <w:t>Belgique</w:t>
      </w:r>
      <w:r w:rsidRPr="00A12DD0">
        <w:rPr>
          <w:rFonts w:ascii="Arial" w:hAnsi="Arial" w:cs="Arial"/>
          <w:bCs/>
          <w:sz w:val="22"/>
          <w:szCs w:val="22"/>
          <w:lang w:val="fr-FR"/>
        </w:rPr>
        <w:t xml:space="preserve"> a remercié toutes les parties prenantes impliquées dans le processus de ces dernières années, qui a</w:t>
      </w:r>
      <w:r>
        <w:rPr>
          <w:rFonts w:ascii="Arial" w:hAnsi="Arial" w:cs="Arial"/>
          <w:bCs/>
          <w:sz w:val="22"/>
          <w:szCs w:val="22"/>
          <w:lang w:val="fr-FR"/>
        </w:rPr>
        <w:t>vait</w:t>
      </w:r>
      <w:r w:rsidRPr="00A12DD0">
        <w:rPr>
          <w:rFonts w:ascii="Arial" w:hAnsi="Arial" w:cs="Arial"/>
          <w:bCs/>
          <w:sz w:val="22"/>
          <w:szCs w:val="22"/>
          <w:lang w:val="fr-FR"/>
        </w:rPr>
        <w:t xml:space="preserve"> conduit au rapport et aux révisions des Directives opérationnelles approuvées lors de cette </w:t>
      </w:r>
      <w:r>
        <w:rPr>
          <w:rFonts w:ascii="Arial" w:hAnsi="Arial" w:cs="Arial"/>
          <w:bCs/>
          <w:sz w:val="22"/>
          <w:szCs w:val="22"/>
          <w:lang w:val="fr-FR"/>
        </w:rPr>
        <w:t>neuvième</w:t>
      </w:r>
      <w:r w:rsidRPr="00A12DD0">
        <w:rPr>
          <w:rFonts w:ascii="Arial" w:hAnsi="Arial" w:cs="Arial"/>
          <w:bCs/>
          <w:sz w:val="22"/>
          <w:szCs w:val="22"/>
          <w:lang w:val="fr-FR"/>
        </w:rPr>
        <w:t xml:space="preserve"> Assemblée générale. Les propositions actuelles </w:t>
      </w:r>
      <w:r>
        <w:rPr>
          <w:rFonts w:ascii="Arial" w:hAnsi="Arial" w:cs="Arial"/>
          <w:bCs/>
          <w:sz w:val="22"/>
          <w:szCs w:val="22"/>
          <w:lang w:val="fr-FR"/>
        </w:rPr>
        <w:t>apportaient des défis</w:t>
      </w:r>
      <w:r w:rsidRPr="00A12DD0">
        <w:rPr>
          <w:rFonts w:ascii="Arial" w:hAnsi="Arial" w:cs="Arial"/>
          <w:bCs/>
          <w:sz w:val="22"/>
          <w:szCs w:val="22"/>
          <w:lang w:val="fr-FR"/>
        </w:rPr>
        <w:t xml:space="preserve"> </w:t>
      </w:r>
      <w:r>
        <w:rPr>
          <w:rFonts w:ascii="Arial" w:hAnsi="Arial" w:cs="Arial"/>
          <w:bCs/>
          <w:sz w:val="22"/>
          <w:szCs w:val="22"/>
          <w:lang w:val="fr-FR"/>
        </w:rPr>
        <w:t>à des problèmes urgents</w:t>
      </w:r>
      <w:r w:rsidRPr="00A12DD0">
        <w:rPr>
          <w:rFonts w:ascii="Arial" w:hAnsi="Arial" w:cs="Arial"/>
          <w:bCs/>
          <w:sz w:val="22"/>
          <w:szCs w:val="22"/>
          <w:lang w:val="fr-FR"/>
        </w:rPr>
        <w:t>, notamment les critères de l</w:t>
      </w:r>
      <w:r w:rsidR="008E532B">
        <w:rPr>
          <w:rFonts w:ascii="Arial" w:hAnsi="Arial" w:cs="Arial"/>
          <w:bCs/>
          <w:sz w:val="22"/>
          <w:szCs w:val="22"/>
          <w:lang w:val="fr-FR"/>
        </w:rPr>
        <w:t>’</w:t>
      </w:r>
      <w:r w:rsidRPr="00A12DD0">
        <w:rPr>
          <w:rFonts w:ascii="Arial" w:hAnsi="Arial" w:cs="Arial"/>
          <w:bCs/>
          <w:sz w:val="22"/>
          <w:szCs w:val="22"/>
          <w:lang w:val="fr-FR"/>
        </w:rPr>
        <w:t xml:space="preserve">article 16 pour la </w:t>
      </w:r>
      <w:r>
        <w:rPr>
          <w:rFonts w:ascii="Arial" w:hAnsi="Arial" w:cs="Arial"/>
          <w:bCs/>
          <w:sz w:val="22"/>
          <w:szCs w:val="22"/>
          <w:lang w:val="fr-FR"/>
        </w:rPr>
        <w:t>L</w:t>
      </w:r>
      <w:r w:rsidRPr="00A12DD0">
        <w:rPr>
          <w:rFonts w:ascii="Arial" w:hAnsi="Arial" w:cs="Arial"/>
          <w:bCs/>
          <w:sz w:val="22"/>
          <w:szCs w:val="22"/>
          <w:lang w:val="fr-FR"/>
        </w:rPr>
        <w:t>iste représentative et les critères de l</w:t>
      </w:r>
      <w:r w:rsidR="008E532B">
        <w:rPr>
          <w:rFonts w:ascii="Arial" w:hAnsi="Arial" w:cs="Arial"/>
          <w:bCs/>
          <w:sz w:val="22"/>
          <w:szCs w:val="22"/>
          <w:lang w:val="fr-FR"/>
        </w:rPr>
        <w:t>’</w:t>
      </w:r>
      <w:r w:rsidRPr="00A12DD0">
        <w:rPr>
          <w:rFonts w:ascii="Arial" w:hAnsi="Arial" w:cs="Arial"/>
          <w:bCs/>
          <w:sz w:val="22"/>
          <w:szCs w:val="22"/>
          <w:lang w:val="fr-FR"/>
        </w:rPr>
        <w:t xml:space="preserve">article 17 pour la </w:t>
      </w:r>
      <w:r>
        <w:rPr>
          <w:rFonts w:ascii="Arial" w:hAnsi="Arial" w:cs="Arial"/>
          <w:bCs/>
          <w:sz w:val="22"/>
          <w:szCs w:val="22"/>
          <w:lang w:val="fr-FR"/>
        </w:rPr>
        <w:t>L</w:t>
      </w:r>
      <w:r w:rsidRPr="00A12DD0">
        <w:rPr>
          <w:rFonts w:ascii="Arial" w:hAnsi="Arial" w:cs="Arial"/>
          <w:bCs/>
          <w:sz w:val="22"/>
          <w:szCs w:val="22"/>
          <w:lang w:val="fr-FR"/>
        </w:rPr>
        <w:t>iste de sauvegarde urgente, ainsi que les modificatio</w:t>
      </w:r>
      <w:r>
        <w:rPr>
          <w:rFonts w:ascii="Arial" w:hAnsi="Arial" w:cs="Arial"/>
          <w:bCs/>
          <w:sz w:val="22"/>
          <w:szCs w:val="22"/>
          <w:lang w:val="fr-FR"/>
        </w:rPr>
        <w:t>ns</w:t>
      </w:r>
      <w:r w:rsidRPr="00A12DD0">
        <w:rPr>
          <w:rFonts w:ascii="Arial" w:hAnsi="Arial" w:cs="Arial"/>
          <w:bCs/>
          <w:sz w:val="22"/>
          <w:szCs w:val="22"/>
          <w:lang w:val="fr-FR"/>
        </w:rPr>
        <w:t xml:space="preserve"> dans les procédures d</w:t>
      </w:r>
      <w:r w:rsidR="008E532B">
        <w:rPr>
          <w:rFonts w:ascii="Arial" w:hAnsi="Arial" w:cs="Arial"/>
          <w:bCs/>
          <w:sz w:val="22"/>
          <w:szCs w:val="22"/>
          <w:lang w:val="fr-FR"/>
        </w:rPr>
        <w:t>’</w:t>
      </w:r>
      <w:r w:rsidRPr="00A12DD0">
        <w:rPr>
          <w:rFonts w:ascii="Arial" w:hAnsi="Arial" w:cs="Arial"/>
          <w:bCs/>
          <w:sz w:val="22"/>
          <w:szCs w:val="22"/>
          <w:lang w:val="fr-FR"/>
        </w:rPr>
        <w:t>examen et d</w:t>
      </w:r>
      <w:r w:rsidR="008E532B">
        <w:rPr>
          <w:rFonts w:ascii="Arial" w:hAnsi="Arial" w:cs="Arial"/>
          <w:bCs/>
          <w:sz w:val="22"/>
          <w:szCs w:val="22"/>
          <w:lang w:val="fr-FR"/>
        </w:rPr>
        <w:t>’</w:t>
      </w:r>
      <w:r w:rsidRPr="00A12DD0">
        <w:rPr>
          <w:rFonts w:ascii="Arial" w:hAnsi="Arial" w:cs="Arial"/>
          <w:bCs/>
          <w:sz w:val="22"/>
          <w:szCs w:val="22"/>
          <w:lang w:val="fr-FR"/>
        </w:rPr>
        <w:t xml:space="preserve">inscription des dossiers de candidature. Les amendements aux Directives opérationnelles </w:t>
      </w:r>
      <w:r>
        <w:rPr>
          <w:rFonts w:ascii="Arial" w:hAnsi="Arial" w:cs="Arial"/>
          <w:bCs/>
          <w:sz w:val="22"/>
          <w:szCs w:val="22"/>
          <w:lang w:val="fr-FR"/>
        </w:rPr>
        <w:t xml:space="preserve">portaient </w:t>
      </w:r>
      <w:r w:rsidRPr="00A12DD0">
        <w:rPr>
          <w:rFonts w:ascii="Arial" w:hAnsi="Arial" w:cs="Arial"/>
          <w:bCs/>
          <w:sz w:val="22"/>
          <w:szCs w:val="22"/>
          <w:lang w:val="fr-FR"/>
        </w:rPr>
        <w:t xml:space="preserve">également sur les mécanismes de transfert et de retrait des éléments inscrits sur les </w:t>
      </w:r>
      <w:r>
        <w:rPr>
          <w:rFonts w:ascii="Arial" w:hAnsi="Arial" w:cs="Arial"/>
          <w:bCs/>
          <w:sz w:val="22"/>
          <w:szCs w:val="22"/>
          <w:lang w:val="fr-FR"/>
        </w:rPr>
        <w:t>l</w:t>
      </w:r>
      <w:r w:rsidRPr="00A12DD0">
        <w:rPr>
          <w:rFonts w:ascii="Arial" w:hAnsi="Arial" w:cs="Arial"/>
          <w:bCs/>
          <w:sz w:val="22"/>
          <w:szCs w:val="22"/>
          <w:lang w:val="fr-FR"/>
        </w:rPr>
        <w:t>istes et propos</w:t>
      </w:r>
      <w:r>
        <w:rPr>
          <w:rFonts w:ascii="Arial" w:hAnsi="Arial" w:cs="Arial"/>
          <w:bCs/>
          <w:sz w:val="22"/>
          <w:szCs w:val="22"/>
          <w:lang w:val="fr-FR"/>
        </w:rPr>
        <w:t xml:space="preserve">aient </w:t>
      </w:r>
      <w:r w:rsidRPr="00A12DD0">
        <w:rPr>
          <w:rFonts w:ascii="Arial" w:hAnsi="Arial" w:cs="Arial"/>
          <w:bCs/>
          <w:sz w:val="22"/>
          <w:szCs w:val="22"/>
          <w:lang w:val="fr-FR"/>
        </w:rPr>
        <w:t>désormais une procédure transparente et ordonnée, que la Belgique a salué</w:t>
      </w:r>
      <w:r>
        <w:rPr>
          <w:rFonts w:ascii="Arial" w:hAnsi="Arial" w:cs="Arial"/>
          <w:bCs/>
          <w:sz w:val="22"/>
          <w:szCs w:val="22"/>
          <w:lang w:val="fr-FR"/>
        </w:rPr>
        <w:t>e</w:t>
      </w:r>
      <w:r w:rsidRPr="00A12DD0">
        <w:rPr>
          <w:rFonts w:ascii="Arial" w:hAnsi="Arial" w:cs="Arial"/>
          <w:bCs/>
          <w:sz w:val="22"/>
          <w:szCs w:val="22"/>
          <w:lang w:val="fr-FR"/>
        </w:rPr>
        <w:t xml:space="preserve">. La délégation a remercié le Japon </w:t>
      </w:r>
      <w:r>
        <w:rPr>
          <w:rFonts w:ascii="Arial" w:hAnsi="Arial" w:cs="Arial"/>
          <w:bCs/>
          <w:sz w:val="22"/>
          <w:szCs w:val="22"/>
          <w:lang w:val="fr-FR"/>
        </w:rPr>
        <w:t>d</w:t>
      </w:r>
      <w:r w:rsidR="008E532B">
        <w:rPr>
          <w:rFonts w:ascii="Arial" w:hAnsi="Arial" w:cs="Arial"/>
          <w:bCs/>
          <w:sz w:val="22"/>
          <w:szCs w:val="22"/>
          <w:lang w:val="fr-FR"/>
        </w:rPr>
        <w:t>’</w:t>
      </w:r>
      <w:r w:rsidRPr="00A12DD0">
        <w:rPr>
          <w:rFonts w:ascii="Arial" w:hAnsi="Arial" w:cs="Arial"/>
          <w:bCs/>
          <w:sz w:val="22"/>
          <w:szCs w:val="22"/>
          <w:lang w:val="fr-FR"/>
        </w:rPr>
        <w:t>avoir soutenu ce processus, ainsi que le groupe de travail d</w:t>
      </w:r>
      <w:r w:rsidR="008E532B">
        <w:rPr>
          <w:rFonts w:ascii="Arial" w:hAnsi="Arial" w:cs="Arial"/>
          <w:bCs/>
          <w:sz w:val="22"/>
          <w:szCs w:val="22"/>
          <w:lang w:val="fr-FR"/>
        </w:rPr>
        <w:t>’</w:t>
      </w:r>
      <w:r w:rsidRPr="00A12DD0">
        <w:rPr>
          <w:rFonts w:ascii="Arial" w:hAnsi="Arial" w:cs="Arial"/>
          <w:bCs/>
          <w:sz w:val="22"/>
          <w:szCs w:val="22"/>
          <w:lang w:val="fr-FR"/>
        </w:rPr>
        <w:t xml:space="preserve">experts et le Comité </w:t>
      </w:r>
      <w:r>
        <w:rPr>
          <w:rFonts w:ascii="Arial" w:hAnsi="Arial" w:cs="Arial"/>
          <w:bCs/>
          <w:sz w:val="22"/>
          <w:szCs w:val="22"/>
          <w:lang w:val="fr-FR"/>
        </w:rPr>
        <w:t>d</w:t>
      </w:r>
      <w:r w:rsidR="008E532B">
        <w:rPr>
          <w:rFonts w:ascii="Arial" w:hAnsi="Arial" w:cs="Arial"/>
          <w:bCs/>
          <w:sz w:val="22"/>
          <w:szCs w:val="22"/>
          <w:lang w:val="fr-FR"/>
        </w:rPr>
        <w:t>’</w:t>
      </w:r>
      <w:r w:rsidRPr="00A12DD0">
        <w:rPr>
          <w:rFonts w:ascii="Arial" w:hAnsi="Arial" w:cs="Arial"/>
          <w:bCs/>
          <w:sz w:val="22"/>
          <w:szCs w:val="22"/>
          <w:lang w:val="fr-FR"/>
        </w:rPr>
        <w:t xml:space="preserve">avoir sélectionné un certain nombre de propositions et </w:t>
      </w:r>
      <w:r>
        <w:rPr>
          <w:rFonts w:ascii="Arial" w:hAnsi="Arial" w:cs="Arial"/>
          <w:bCs/>
          <w:sz w:val="22"/>
          <w:szCs w:val="22"/>
          <w:lang w:val="fr-FR"/>
        </w:rPr>
        <w:t>d</w:t>
      </w:r>
      <w:r w:rsidR="008E532B">
        <w:rPr>
          <w:rFonts w:ascii="Arial" w:hAnsi="Arial" w:cs="Arial"/>
          <w:bCs/>
          <w:sz w:val="22"/>
          <w:szCs w:val="22"/>
          <w:lang w:val="fr-FR"/>
        </w:rPr>
        <w:t>’</w:t>
      </w:r>
      <w:r>
        <w:rPr>
          <w:rFonts w:ascii="Arial" w:hAnsi="Arial" w:cs="Arial"/>
          <w:bCs/>
          <w:sz w:val="22"/>
          <w:szCs w:val="22"/>
          <w:lang w:val="fr-FR"/>
        </w:rPr>
        <w:t>être parvenu à</w:t>
      </w:r>
      <w:r w:rsidRPr="00A12DD0">
        <w:rPr>
          <w:rFonts w:ascii="Arial" w:hAnsi="Arial" w:cs="Arial"/>
          <w:bCs/>
          <w:sz w:val="22"/>
          <w:szCs w:val="22"/>
          <w:lang w:val="fr-FR"/>
        </w:rPr>
        <w:t xml:space="preserve"> un consensus. Néanmoins, il était important de tirer parti, à l</w:t>
      </w:r>
      <w:r w:rsidR="008E532B">
        <w:rPr>
          <w:rFonts w:ascii="Arial" w:hAnsi="Arial" w:cs="Arial"/>
          <w:bCs/>
          <w:sz w:val="22"/>
          <w:szCs w:val="22"/>
          <w:lang w:val="fr-FR"/>
        </w:rPr>
        <w:t>’</w:t>
      </w:r>
      <w:r w:rsidRPr="00A12DD0">
        <w:rPr>
          <w:rFonts w:ascii="Arial" w:hAnsi="Arial" w:cs="Arial"/>
          <w:bCs/>
          <w:sz w:val="22"/>
          <w:szCs w:val="22"/>
          <w:lang w:val="fr-FR"/>
        </w:rPr>
        <w:t xml:space="preserve">avenir, des propositions et idées concrètes formulées par les plus de 200 experts qui </w:t>
      </w:r>
      <w:r>
        <w:rPr>
          <w:rFonts w:ascii="Arial" w:hAnsi="Arial" w:cs="Arial"/>
          <w:bCs/>
          <w:sz w:val="22"/>
          <w:szCs w:val="22"/>
          <w:lang w:val="fr-FR"/>
        </w:rPr>
        <w:t>avaient</w:t>
      </w:r>
      <w:r w:rsidRPr="00A12DD0">
        <w:rPr>
          <w:rFonts w:ascii="Arial" w:hAnsi="Arial" w:cs="Arial"/>
          <w:bCs/>
          <w:sz w:val="22"/>
          <w:szCs w:val="22"/>
          <w:lang w:val="fr-FR"/>
        </w:rPr>
        <w:t xml:space="preserve"> participé à l</w:t>
      </w:r>
      <w:r w:rsidR="008E532B">
        <w:rPr>
          <w:rFonts w:ascii="Arial" w:hAnsi="Arial" w:cs="Arial"/>
          <w:bCs/>
          <w:sz w:val="22"/>
          <w:szCs w:val="22"/>
          <w:lang w:val="fr-FR"/>
        </w:rPr>
        <w:t>’</w:t>
      </w:r>
      <w:r w:rsidRPr="00A12DD0">
        <w:rPr>
          <w:rFonts w:ascii="Arial" w:hAnsi="Arial" w:cs="Arial"/>
          <w:bCs/>
          <w:sz w:val="22"/>
          <w:szCs w:val="22"/>
          <w:lang w:val="fr-FR"/>
        </w:rPr>
        <w:t>enquête en ligne</w:t>
      </w:r>
      <w:r>
        <w:rPr>
          <w:rFonts w:ascii="Arial" w:hAnsi="Arial" w:cs="Arial"/>
          <w:bCs/>
          <w:sz w:val="22"/>
          <w:szCs w:val="22"/>
          <w:lang w:val="fr-FR"/>
        </w:rPr>
        <w:t>,</w:t>
      </w:r>
      <w:r w:rsidRPr="00A12DD0">
        <w:rPr>
          <w:rFonts w:ascii="Arial" w:hAnsi="Arial" w:cs="Arial"/>
          <w:bCs/>
          <w:sz w:val="22"/>
          <w:szCs w:val="22"/>
          <w:lang w:val="fr-FR"/>
        </w:rPr>
        <w:t xml:space="preserve"> et des riches discussions des réunions d</w:t>
      </w:r>
      <w:r w:rsidR="008E532B">
        <w:rPr>
          <w:rFonts w:ascii="Arial" w:hAnsi="Arial" w:cs="Arial"/>
          <w:bCs/>
          <w:sz w:val="22"/>
          <w:szCs w:val="22"/>
          <w:lang w:val="fr-FR"/>
        </w:rPr>
        <w:t>’</w:t>
      </w:r>
      <w:r w:rsidRPr="00A12DD0">
        <w:rPr>
          <w:rFonts w:ascii="Arial" w:hAnsi="Arial" w:cs="Arial"/>
          <w:bCs/>
          <w:sz w:val="22"/>
          <w:szCs w:val="22"/>
          <w:lang w:val="fr-FR"/>
        </w:rPr>
        <w:t xml:space="preserve">experts de catégorie </w:t>
      </w:r>
      <w:r>
        <w:rPr>
          <w:rFonts w:ascii="Arial" w:hAnsi="Arial" w:cs="Arial"/>
          <w:bCs/>
          <w:sz w:val="22"/>
          <w:szCs w:val="22"/>
          <w:lang w:val="fr-FR"/>
        </w:rPr>
        <w:t>VI</w:t>
      </w:r>
      <w:r w:rsidRPr="00A12DD0">
        <w:rPr>
          <w:rFonts w:ascii="Arial" w:hAnsi="Arial" w:cs="Arial"/>
          <w:bCs/>
          <w:sz w:val="22"/>
          <w:szCs w:val="22"/>
          <w:lang w:val="fr-FR"/>
        </w:rPr>
        <w:t xml:space="preserve"> dans le cadre de la réflexion globale. </w:t>
      </w:r>
      <w:r>
        <w:rPr>
          <w:rFonts w:ascii="Arial" w:hAnsi="Arial" w:cs="Arial"/>
          <w:bCs/>
          <w:sz w:val="22"/>
          <w:szCs w:val="22"/>
          <w:lang w:val="fr-FR"/>
        </w:rPr>
        <w:t>À</w:t>
      </w:r>
      <w:r w:rsidRPr="00A12DD0">
        <w:rPr>
          <w:rFonts w:ascii="Arial" w:hAnsi="Arial" w:cs="Arial"/>
          <w:bCs/>
          <w:sz w:val="22"/>
          <w:szCs w:val="22"/>
          <w:lang w:val="fr-FR"/>
        </w:rPr>
        <w:t xml:space="preserve"> cet égard, </w:t>
      </w:r>
      <w:r>
        <w:rPr>
          <w:rFonts w:ascii="Arial" w:hAnsi="Arial" w:cs="Arial"/>
          <w:bCs/>
          <w:sz w:val="22"/>
          <w:szCs w:val="22"/>
          <w:lang w:val="fr-FR"/>
        </w:rPr>
        <w:t xml:space="preserve">la </w:t>
      </w:r>
      <w:r w:rsidRPr="00A12DD0">
        <w:rPr>
          <w:rFonts w:ascii="Arial" w:hAnsi="Arial" w:cs="Arial"/>
          <w:bCs/>
          <w:sz w:val="22"/>
          <w:szCs w:val="22"/>
          <w:lang w:val="fr-FR"/>
        </w:rPr>
        <w:t xml:space="preserve">délégation a rappelé le document </w:t>
      </w:r>
      <w:hyperlink r:id="rId49" w:history="1">
        <w:r w:rsidRPr="00D9653F">
          <w:rPr>
            <w:rStyle w:val="Hyperlink"/>
            <w:rFonts w:ascii="Arial" w:hAnsi="Arial" w:cs="Arial"/>
            <w:bCs/>
            <w:sz w:val="22"/>
            <w:szCs w:val="22"/>
            <w:lang w:val="fr-FR"/>
          </w:rPr>
          <w:t>LHE/21/16.COM/EXP/7</w:t>
        </w:r>
      </w:hyperlink>
      <w:r>
        <w:rPr>
          <w:rFonts w:ascii="Arial" w:hAnsi="Arial" w:cs="Arial"/>
          <w:bCs/>
          <w:sz w:val="22"/>
          <w:szCs w:val="22"/>
          <w:lang w:val="fr-FR"/>
        </w:rPr>
        <w:t xml:space="preserve"> </w:t>
      </w:r>
      <w:r w:rsidRPr="00A12DD0">
        <w:rPr>
          <w:rFonts w:ascii="Arial" w:hAnsi="Arial" w:cs="Arial"/>
          <w:bCs/>
          <w:sz w:val="22"/>
          <w:szCs w:val="22"/>
          <w:lang w:val="fr-FR"/>
        </w:rPr>
        <w:t>de la réunion d</w:t>
      </w:r>
      <w:r w:rsidR="008E532B">
        <w:rPr>
          <w:rFonts w:ascii="Arial" w:hAnsi="Arial" w:cs="Arial"/>
          <w:bCs/>
          <w:sz w:val="22"/>
          <w:szCs w:val="22"/>
          <w:lang w:val="fr-FR"/>
        </w:rPr>
        <w:t>’</w:t>
      </w:r>
      <w:r w:rsidRPr="00A12DD0">
        <w:rPr>
          <w:rFonts w:ascii="Arial" w:hAnsi="Arial" w:cs="Arial"/>
          <w:bCs/>
          <w:sz w:val="22"/>
          <w:szCs w:val="22"/>
          <w:lang w:val="fr-FR"/>
        </w:rPr>
        <w:t>experts</w:t>
      </w:r>
      <w:r>
        <w:rPr>
          <w:rFonts w:ascii="Arial" w:hAnsi="Arial" w:cs="Arial"/>
          <w:bCs/>
          <w:sz w:val="22"/>
          <w:szCs w:val="22"/>
          <w:lang w:val="fr-FR"/>
        </w:rPr>
        <w:t xml:space="preserve"> de mai 2021,</w:t>
      </w:r>
      <w:r w:rsidRPr="00A12DD0">
        <w:rPr>
          <w:rFonts w:ascii="Arial" w:hAnsi="Arial" w:cs="Arial"/>
          <w:bCs/>
          <w:sz w:val="22"/>
          <w:szCs w:val="22"/>
          <w:lang w:val="fr-FR"/>
        </w:rPr>
        <w:t xml:space="preserve"> dans le cadre de la réflexion globale</w:t>
      </w:r>
      <w:r>
        <w:rPr>
          <w:rFonts w:ascii="Arial" w:hAnsi="Arial" w:cs="Arial"/>
          <w:bCs/>
          <w:sz w:val="22"/>
          <w:szCs w:val="22"/>
          <w:lang w:val="fr-FR"/>
        </w:rPr>
        <w:t xml:space="preserve">, </w:t>
      </w:r>
      <w:r w:rsidRPr="00A12DD0">
        <w:rPr>
          <w:rFonts w:ascii="Arial" w:hAnsi="Arial" w:cs="Arial"/>
          <w:bCs/>
          <w:sz w:val="22"/>
          <w:szCs w:val="22"/>
          <w:lang w:val="fr-FR"/>
        </w:rPr>
        <w:t>qui était une source de propositions pertinentes qui pourraient encore être exploitées à l</w:t>
      </w:r>
      <w:r w:rsidR="008E532B">
        <w:rPr>
          <w:rFonts w:ascii="Arial" w:hAnsi="Arial" w:cs="Arial"/>
          <w:bCs/>
          <w:sz w:val="22"/>
          <w:szCs w:val="22"/>
          <w:lang w:val="fr-FR"/>
        </w:rPr>
        <w:t>’</w:t>
      </w:r>
      <w:r w:rsidRPr="00A12DD0">
        <w:rPr>
          <w:rFonts w:ascii="Arial" w:hAnsi="Arial" w:cs="Arial"/>
          <w:bCs/>
          <w:sz w:val="22"/>
          <w:szCs w:val="22"/>
          <w:lang w:val="fr-FR"/>
        </w:rPr>
        <w:t xml:space="preserve">avenir si nécessaire. La Belgique </w:t>
      </w:r>
      <w:r>
        <w:rPr>
          <w:rFonts w:ascii="Arial" w:hAnsi="Arial" w:cs="Arial"/>
          <w:bCs/>
          <w:sz w:val="22"/>
          <w:szCs w:val="22"/>
          <w:lang w:val="fr-FR"/>
        </w:rPr>
        <w:t xml:space="preserve">soutenait </w:t>
      </w:r>
      <w:r w:rsidRPr="00A12DD0">
        <w:rPr>
          <w:rFonts w:ascii="Arial" w:hAnsi="Arial" w:cs="Arial"/>
          <w:bCs/>
          <w:sz w:val="22"/>
          <w:szCs w:val="22"/>
          <w:lang w:val="fr-FR"/>
        </w:rPr>
        <w:t>également la réflexion sur le potentiel de l</w:t>
      </w:r>
      <w:r w:rsidR="008E532B">
        <w:rPr>
          <w:rFonts w:ascii="Arial" w:hAnsi="Arial" w:cs="Arial"/>
          <w:bCs/>
          <w:sz w:val="22"/>
          <w:szCs w:val="22"/>
          <w:lang w:val="fr-FR"/>
        </w:rPr>
        <w:t>’</w:t>
      </w:r>
      <w:r w:rsidRPr="00A12DD0">
        <w:rPr>
          <w:rFonts w:ascii="Arial" w:hAnsi="Arial" w:cs="Arial"/>
          <w:bCs/>
          <w:sz w:val="22"/>
          <w:szCs w:val="22"/>
          <w:lang w:val="fr-FR"/>
        </w:rPr>
        <w:t xml:space="preserve">article 18, </w:t>
      </w:r>
      <w:r>
        <w:rPr>
          <w:rFonts w:ascii="Arial" w:hAnsi="Arial" w:cs="Arial"/>
          <w:bCs/>
          <w:sz w:val="22"/>
          <w:szCs w:val="22"/>
          <w:lang w:val="fr-FR"/>
        </w:rPr>
        <w:t>« </w:t>
      </w:r>
      <w:r w:rsidRPr="00A12DD0">
        <w:rPr>
          <w:rFonts w:ascii="Arial" w:hAnsi="Arial" w:cs="Arial"/>
          <w:bCs/>
          <w:sz w:val="22"/>
          <w:szCs w:val="22"/>
          <w:lang w:val="fr-FR"/>
        </w:rPr>
        <w:t>Programmes, projets et activités de sauvegarde du patrimoine culturel immatériel</w:t>
      </w:r>
      <w:r>
        <w:rPr>
          <w:rFonts w:ascii="Arial" w:hAnsi="Arial" w:cs="Arial"/>
          <w:bCs/>
          <w:sz w:val="22"/>
          <w:szCs w:val="22"/>
          <w:lang w:val="fr-FR"/>
        </w:rPr>
        <w:t> »</w:t>
      </w:r>
      <w:r w:rsidRPr="00A12DD0">
        <w:rPr>
          <w:rFonts w:ascii="Arial" w:hAnsi="Arial" w:cs="Arial"/>
          <w:bCs/>
          <w:sz w:val="22"/>
          <w:szCs w:val="22"/>
          <w:lang w:val="fr-FR"/>
        </w:rPr>
        <w:t xml:space="preserve"> pour la mise en œuvre de la Convention, remerciant la Suède de soutenir le processus au cours des deux prochaines années. Cela pourrait jouer un rôle central dans le développement de la Convention, bien au</w:t>
      </w:r>
      <w:r>
        <w:rPr>
          <w:rFonts w:ascii="Arial" w:hAnsi="Arial" w:cs="Arial"/>
          <w:bCs/>
          <w:sz w:val="22"/>
          <w:szCs w:val="22"/>
          <w:lang w:val="fr-FR"/>
        </w:rPr>
        <w:noBreakHyphen/>
      </w:r>
      <w:r w:rsidRPr="00A12DD0">
        <w:rPr>
          <w:rFonts w:ascii="Arial" w:hAnsi="Arial" w:cs="Arial"/>
          <w:bCs/>
          <w:sz w:val="22"/>
          <w:szCs w:val="22"/>
          <w:lang w:val="fr-FR"/>
        </w:rPr>
        <w:t>delà des mécanismes d</w:t>
      </w:r>
      <w:r w:rsidR="008E532B">
        <w:rPr>
          <w:rFonts w:ascii="Arial" w:hAnsi="Arial" w:cs="Arial"/>
          <w:bCs/>
          <w:sz w:val="22"/>
          <w:szCs w:val="22"/>
          <w:lang w:val="fr-FR"/>
        </w:rPr>
        <w:t>’</w:t>
      </w:r>
      <w:r w:rsidRPr="00A12DD0">
        <w:rPr>
          <w:rFonts w:ascii="Arial" w:hAnsi="Arial" w:cs="Arial"/>
          <w:bCs/>
          <w:sz w:val="22"/>
          <w:szCs w:val="22"/>
          <w:lang w:val="fr-FR"/>
        </w:rPr>
        <w:t>inscription, et la délégation attend</w:t>
      </w:r>
      <w:r>
        <w:rPr>
          <w:rFonts w:ascii="Arial" w:hAnsi="Arial" w:cs="Arial"/>
          <w:bCs/>
          <w:sz w:val="22"/>
          <w:szCs w:val="22"/>
          <w:lang w:val="fr-FR"/>
        </w:rPr>
        <w:t>ait</w:t>
      </w:r>
      <w:r w:rsidRPr="00A12DD0">
        <w:rPr>
          <w:rFonts w:ascii="Arial" w:hAnsi="Arial" w:cs="Arial"/>
          <w:bCs/>
          <w:sz w:val="22"/>
          <w:szCs w:val="22"/>
          <w:lang w:val="fr-FR"/>
        </w:rPr>
        <w:t xml:space="preserve"> avec impatience le travail sur ce processus crucial</w:t>
      </w:r>
      <w:r>
        <w:rPr>
          <w:rFonts w:ascii="Arial" w:hAnsi="Arial" w:cs="Arial"/>
          <w:bCs/>
          <w:sz w:val="22"/>
          <w:szCs w:val="22"/>
          <w:lang w:val="fr-FR"/>
        </w:rPr>
        <w:t>,</w:t>
      </w:r>
      <w:r w:rsidRPr="00A12DD0">
        <w:rPr>
          <w:rFonts w:ascii="Arial" w:hAnsi="Arial" w:cs="Arial"/>
          <w:bCs/>
          <w:sz w:val="22"/>
          <w:szCs w:val="22"/>
          <w:lang w:val="fr-FR"/>
        </w:rPr>
        <w:t xml:space="preserve"> </w:t>
      </w:r>
      <w:r>
        <w:rPr>
          <w:rFonts w:ascii="Arial" w:hAnsi="Arial" w:cs="Arial"/>
          <w:bCs/>
          <w:sz w:val="22"/>
          <w:szCs w:val="22"/>
          <w:lang w:val="fr-FR"/>
        </w:rPr>
        <w:t>qui serait</w:t>
      </w:r>
      <w:r w:rsidRPr="00A12DD0">
        <w:rPr>
          <w:rFonts w:ascii="Arial" w:hAnsi="Arial" w:cs="Arial"/>
          <w:bCs/>
          <w:sz w:val="22"/>
          <w:szCs w:val="22"/>
          <w:lang w:val="fr-FR"/>
        </w:rPr>
        <w:t>,</w:t>
      </w:r>
      <w:r>
        <w:rPr>
          <w:rFonts w:ascii="Arial" w:hAnsi="Arial" w:cs="Arial"/>
          <w:bCs/>
          <w:sz w:val="22"/>
          <w:szCs w:val="22"/>
          <w:lang w:val="fr-FR"/>
        </w:rPr>
        <w:t xml:space="preserve"> espérons-le,</w:t>
      </w:r>
      <w:r w:rsidRPr="00A12DD0">
        <w:rPr>
          <w:rFonts w:ascii="Arial" w:hAnsi="Arial" w:cs="Arial"/>
          <w:bCs/>
          <w:sz w:val="22"/>
          <w:szCs w:val="22"/>
          <w:lang w:val="fr-FR"/>
        </w:rPr>
        <w:t xml:space="preserve"> à l</w:t>
      </w:r>
      <w:r w:rsidR="008E532B">
        <w:rPr>
          <w:rFonts w:ascii="Arial" w:hAnsi="Arial" w:cs="Arial"/>
          <w:bCs/>
          <w:sz w:val="22"/>
          <w:szCs w:val="22"/>
          <w:lang w:val="fr-FR"/>
        </w:rPr>
        <w:t>’</w:t>
      </w:r>
      <w:r w:rsidRPr="00A12DD0">
        <w:rPr>
          <w:rFonts w:ascii="Arial" w:hAnsi="Arial" w:cs="Arial"/>
          <w:bCs/>
          <w:sz w:val="22"/>
          <w:szCs w:val="22"/>
          <w:lang w:val="fr-FR"/>
        </w:rPr>
        <w:t xml:space="preserve">ordre du jour de la </w:t>
      </w:r>
      <w:r>
        <w:rPr>
          <w:rFonts w:ascii="Arial" w:hAnsi="Arial" w:cs="Arial"/>
          <w:bCs/>
          <w:sz w:val="22"/>
          <w:szCs w:val="22"/>
          <w:lang w:val="fr-FR"/>
        </w:rPr>
        <w:t>dixième</w:t>
      </w:r>
      <w:r w:rsidRPr="00A12DD0">
        <w:rPr>
          <w:rFonts w:ascii="Arial" w:hAnsi="Arial" w:cs="Arial"/>
          <w:bCs/>
          <w:sz w:val="22"/>
          <w:szCs w:val="22"/>
          <w:lang w:val="fr-FR"/>
        </w:rPr>
        <w:t xml:space="preserve"> Assemblée générale en 2024.</w:t>
      </w:r>
    </w:p>
    <w:p w14:paraId="07E31906" w14:textId="75C92CE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3400E">
        <w:rPr>
          <w:rFonts w:ascii="Arial" w:hAnsi="Arial" w:cs="Arial"/>
          <w:bCs/>
          <w:sz w:val="22"/>
          <w:szCs w:val="22"/>
          <w:lang w:val="fr-FR"/>
        </w:rPr>
        <w:t xml:space="preserve">La délégation </w:t>
      </w:r>
      <w:r>
        <w:rPr>
          <w:rFonts w:ascii="Arial" w:hAnsi="Arial" w:cs="Arial"/>
          <w:bCs/>
          <w:sz w:val="22"/>
          <w:szCs w:val="22"/>
          <w:lang w:val="fr-FR"/>
        </w:rPr>
        <w:t xml:space="preserve">de la </w:t>
      </w:r>
      <w:r w:rsidRPr="0033400E">
        <w:rPr>
          <w:rFonts w:ascii="Arial" w:hAnsi="Arial" w:cs="Arial"/>
          <w:b/>
          <w:sz w:val="22"/>
          <w:szCs w:val="22"/>
          <w:lang w:val="fr-FR"/>
        </w:rPr>
        <w:t>Chine</w:t>
      </w:r>
      <w:r>
        <w:rPr>
          <w:rFonts w:ascii="Arial" w:hAnsi="Arial" w:cs="Arial"/>
          <w:bCs/>
          <w:sz w:val="22"/>
          <w:szCs w:val="22"/>
          <w:lang w:val="fr-FR"/>
        </w:rPr>
        <w:t xml:space="preserve"> </w:t>
      </w:r>
      <w:r w:rsidRPr="0033400E">
        <w:rPr>
          <w:rFonts w:ascii="Arial" w:hAnsi="Arial" w:cs="Arial"/>
          <w:bCs/>
          <w:sz w:val="22"/>
          <w:szCs w:val="22"/>
          <w:lang w:val="fr-FR"/>
        </w:rPr>
        <w:t>a remercié l</w:t>
      </w:r>
      <w:r w:rsidR="008E532B">
        <w:rPr>
          <w:rFonts w:ascii="Arial" w:hAnsi="Arial" w:cs="Arial"/>
          <w:bCs/>
          <w:sz w:val="22"/>
          <w:szCs w:val="22"/>
          <w:lang w:val="fr-FR"/>
        </w:rPr>
        <w:t>’</w:t>
      </w:r>
      <w:r>
        <w:rPr>
          <w:rFonts w:ascii="Arial" w:hAnsi="Arial" w:cs="Arial"/>
          <w:bCs/>
          <w:sz w:val="22"/>
          <w:szCs w:val="22"/>
          <w:lang w:val="fr-FR"/>
        </w:rPr>
        <w:t>a</w:t>
      </w:r>
      <w:r w:rsidRPr="0033400E">
        <w:rPr>
          <w:rFonts w:ascii="Arial" w:hAnsi="Arial" w:cs="Arial"/>
          <w:bCs/>
          <w:sz w:val="22"/>
          <w:szCs w:val="22"/>
          <w:lang w:val="fr-FR"/>
        </w:rPr>
        <w:t xml:space="preserve">mbassadeur </w:t>
      </w:r>
      <w:proofErr w:type="spellStart"/>
      <w:r w:rsidRPr="0033400E">
        <w:rPr>
          <w:rFonts w:ascii="Arial" w:hAnsi="Arial" w:cs="Arial"/>
          <w:bCs/>
          <w:sz w:val="22"/>
          <w:szCs w:val="22"/>
          <w:lang w:val="fr-FR"/>
        </w:rPr>
        <w:t>Oike</w:t>
      </w:r>
      <w:proofErr w:type="spellEnd"/>
      <w:r w:rsidRPr="0033400E">
        <w:rPr>
          <w:rFonts w:ascii="Arial" w:hAnsi="Arial" w:cs="Arial"/>
          <w:bCs/>
          <w:sz w:val="22"/>
          <w:szCs w:val="22"/>
          <w:lang w:val="fr-FR"/>
        </w:rPr>
        <w:t xml:space="preserve"> pour sa présentation, ainsi que le Sous-Directeur général pour le travail accompli. En tant que membre du groupe de travail à composition non limitée et du Comité, la Chine a</w:t>
      </w:r>
      <w:r>
        <w:rPr>
          <w:rFonts w:ascii="Arial" w:hAnsi="Arial" w:cs="Arial"/>
          <w:bCs/>
          <w:sz w:val="22"/>
          <w:szCs w:val="22"/>
          <w:lang w:val="fr-FR"/>
        </w:rPr>
        <w:t>vait activement</w:t>
      </w:r>
      <w:r w:rsidRPr="0033400E">
        <w:rPr>
          <w:rFonts w:ascii="Arial" w:hAnsi="Arial" w:cs="Arial"/>
          <w:bCs/>
          <w:sz w:val="22"/>
          <w:szCs w:val="22"/>
          <w:lang w:val="fr-FR"/>
        </w:rPr>
        <w:t xml:space="preserve"> participé aux trois réunions du groupe de travail sur la réflexion globale sur les mécanismes d</w:t>
      </w:r>
      <w:r w:rsidR="008E532B">
        <w:rPr>
          <w:rFonts w:ascii="Arial" w:hAnsi="Arial" w:cs="Arial"/>
          <w:bCs/>
          <w:sz w:val="22"/>
          <w:szCs w:val="22"/>
          <w:lang w:val="fr-FR"/>
        </w:rPr>
        <w:t>’</w:t>
      </w:r>
      <w:r w:rsidRPr="0033400E">
        <w:rPr>
          <w:rFonts w:ascii="Arial" w:hAnsi="Arial" w:cs="Arial"/>
          <w:bCs/>
          <w:sz w:val="22"/>
          <w:szCs w:val="22"/>
          <w:lang w:val="fr-FR"/>
        </w:rPr>
        <w:t>inscription ainsi qu</w:t>
      </w:r>
      <w:r w:rsidR="008E532B">
        <w:rPr>
          <w:rFonts w:ascii="Arial" w:hAnsi="Arial" w:cs="Arial"/>
          <w:bCs/>
          <w:sz w:val="22"/>
          <w:szCs w:val="22"/>
          <w:lang w:val="fr-FR"/>
        </w:rPr>
        <w:t>’</w:t>
      </w:r>
      <w:r w:rsidRPr="0033400E">
        <w:rPr>
          <w:rFonts w:ascii="Arial" w:hAnsi="Arial" w:cs="Arial"/>
          <w:bCs/>
          <w:sz w:val="22"/>
          <w:szCs w:val="22"/>
          <w:lang w:val="fr-FR"/>
        </w:rPr>
        <w:t xml:space="preserve">à la </w:t>
      </w:r>
      <w:r>
        <w:rPr>
          <w:rFonts w:ascii="Arial" w:hAnsi="Arial" w:cs="Arial"/>
          <w:bCs/>
          <w:sz w:val="22"/>
          <w:szCs w:val="22"/>
          <w:lang w:val="fr-FR"/>
        </w:rPr>
        <w:t xml:space="preserve">seizième </w:t>
      </w:r>
      <w:r w:rsidRPr="0033400E">
        <w:rPr>
          <w:rFonts w:ascii="Arial" w:hAnsi="Arial" w:cs="Arial"/>
          <w:bCs/>
          <w:sz w:val="22"/>
          <w:szCs w:val="22"/>
          <w:lang w:val="fr-FR"/>
        </w:rPr>
        <w:t xml:space="preserve">session et à la </w:t>
      </w:r>
      <w:r>
        <w:rPr>
          <w:rFonts w:ascii="Arial" w:hAnsi="Arial" w:cs="Arial"/>
          <w:bCs/>
          <w:sz w:val="22"/>
          <w:szCs w:val="22"/>
          <w:lang w:val="fr-FR"/>
        </w:rPr>
        <w:t>cinquième</w:t>
      </w:r>
      <w:r w:rsidRPr="0033400E">
        <w:rPr>
          <w:rFonts w:ascii="Arial" w:hAnsi="Arial" w:cs="Arial"/>
          <w:bCs/>
          <w:sz w:val="22"/>
          <w:szCs w:val="22"/>
          <w:lang w:val="fr-FR"/>
        </w:rPr>
        <w:t xml:space="preserve"> session extraordinaire du Comité. Elle s</w:t>
      </w:r>
      <w:r w:rsidR="008E532B">
        <w:rPr>
          <w:rFonts w:ascii="Arial" w:hAnsi="Arial" w:cs="Arial"/>
          <w:bCs/>
          <w:sz w:val="22"/>
          <w:szCs w:val="22"/>
          <w:lang w:val="fr-FR"/>
        </w:rPr>
        <w:t>’</w:t>
      </w:r>
      <w:r>
        <w:rPr>
          <w:rFonts w:ascii="Arial" w:hAnsi="Arial" w:cs="Arial"/>
          <w:bCs/>
          <w:sz w:val="22"/>
          <w:szCs w:val="22"/>
          <w:lang w:val="fr-FR"/>
        </w:rPr>
        <w:t xml:space="preserve">est </w:t>
      </w:r>
      <w:r w:rsidRPr="0033400E">
        <w:rPr>
          <w:rFonts w:ascii="Arial" w:hAnsi="Arial" w:cs="Arial"/>
          <w:bCs/>
          <w:sz w:val="22"/>
          <w:szCs w:val="22"/>
          <w:lang w:val="fr-FR"/>
        </w:rPr>
        <w:t xml:space="preserve">félicitée du consensus </w:t>
      </w:r>
      <w:r>
        <w:rPr>
          <w:rFonts w:ascii="Arial" w:hAnsi="Arial" w:cs="Arial"/>
          <w:bCs/>
          <w:sz w:val="22"/>
          <w:szCs w:val="22"/>
          <w:lang w:val="fr-FR"/>
        </w:rPr>
        <w:t>auquel on était parvenu</w:t>
      </w:r>
      <w:r w:rsidRPr="0033400E">
        <w:rPr>
          <w:rFonts w:ascii="Arial" w:hAnsi="Arial" w:cs="Arial"/>
          <w:bCs/>
          <w:sz w:val="22"/>
          <w:szCs w:val="22"/>
          <w:lang w:val="fr-FR"/>
        </w:rPr>
        <w:t xml:space="preserve"> sur les questions spécifiques abordées par la réflexion globale</w:t>
      </w:r>
      <w:r>
        <w:rPr>
          <w:rFonts w:ascii="Arial" w:hAnsi="Arial" w:cs="Arial"/>
          <w:bCs/>
          <w:sz w:val="22"/>
          <w:szCs w:val="22"/>
          <w:lang w:val="fr-FR"/>
        </w:rPr>
        <w:t>,</w:t>
      </w:r>
      <w:r w:rsidRPr="0033400E">
        <w:rPr>
          <w:rFonts w:ascii="Arial" w:hAnsi="Arial" w:cs="Arial"/>
          <w:bCs/>
          <w:sz w:val="22"/>
          <w:szCs w:val="22"/>
          <w:lang w:val="fr-FR"/>
        </w:rPr>
        <w:t xml:space="preserve"> et elle </w:t>
      </w:r>
      <w:r>
        <w:rPr>
          <w:rFonts w:ascii="Arial" w:hAnsi="Arial" w:cs="Arial"/>
          <w:bCs/>
          <w:sz w:val="22"/>
          <w:szCs w:val="22"/>
          <w:lang w:val="fr-FR"/>
        </w:rPr>
        <w:t>soutenait</w:t>
      </w:r>
      <w:r w:rsidRPr="0033400E">
        <w:rPr>
          <w:rFonts w:ascii="Arial" w:hAnsi="Arial" w:cs="Arial"/>
          <w:bCs/>
          <w:sz w:val="22"/>
          <w:szCs w:val="22"/>
          <w:lang w:val="fr-FR"/>
        </w:rPr>
        <w:t xml:space="preserve"> également l</w:t>
      </w:r>
      <w:r w:rsidR="008E532B">
        <w:rPr>
          <w:rFonts w:ascii="Arial" w:hAnsi="Arial" w:cs="Arial"/>
          <w:bCs/>
          <w:sz w:val="22"/>
          <w:szCs w:val="22"/>
          <w:lang w:val="fr-FR"/>
        </w:rPr>
        <w:t>’</w:t>
      </w:r>
      <w:r w:rsidRPr="0033400E">
        <w:rPr>
          <w:rFonts w:ascii="Arial" w:hAnsi="Arial" w:cs="Arial"/>
          <w:bCs/>
          <w:sz w:val="22"/>
          <w:szCs w:val="22"/>
          <w:lang w:val="fr-FR"/>
        </w:rPr>
        <w:t xml:space="preserve">approbation des </w:t>
      </w:r>
      <w:r>
        <w:rPr>
          <w:rFonts w:ascii="Arial" w:hAnsi="Arial" w:cs="Arial"/>
          <w:bCs/>
          <w:sz w:val="22"/>
          <w:szCs w:val="22"/>
          <w:lang w:val="fr-FR"/>
        </w:rPr>
        <w:t>D</w:t>
      </w:r>
      <w:r w:rsidRPr="0033400E">
        <w:rPr>
          <w:rFonts w:ascii="Arial" w:hAnsi="Arial" w:cs="Arial"/>
          <w:bCs/>
          <w:sz w:val="22"/>
          <w:szCs w:val="22"/>
          <w:lang w:val="fr-FR"/>
        </w:rPr>
        <w:t xml:space="preserve">irectives opérationnelles. La délégation a réitéré sa demande au Secrétariat </w:t>
      </w:r>
      <w:r>
        <w:rPr>
          <w:rFonts w:ascii="Arial" w:hAnsi="Arial" w:cs="Arial"/>
          <w:bCs/>
          <w:sz w:val="22"/>
          <w:szCs w:val="22"/>
          <w:lang w:val="fr-FR"/>
        </w:rPr>
        <w:t>afin qu</w:t>
      </w:r>
      <w:r w:rsidR="008E532B">
        <w:rPr>
          <w:rFonts w:ascii="Arial" w:hAnsi="Arial" w:cs="Arial"/>
          <w:bCs/>
          <w:sz w:val="22"/>
          <w:szCs w:val="22"/>
          <w:lang w:val="fr-FR"/>
        </w:rPr>
        <w:t>’</w:t>
      </w:r>
      <w:r>
        <w:rPr>
          <w:rFonts w:ascii="Arial" w:hAnsi="Arial" w:cs="Arial"/>
          <w:bCs/>
          <w:sz w:val="22"/>
          <w:szCs w:val="22"/>
          <w:lang w:val="fr-FR"/>
        </w:rPr>
        <w:t>il</w:t>
      </w:r>
      <w:r w:rsidRPr="0033400E">
        <w:rPr>
          <w:rFonts w:ascii="Arial" w:hAnsi="Arial" w:cs="Arial"/>
          <w:bCs/>
          <w:sz w:val="22"/>
          <w:szCs w:val="22"/>
          <w:lang w:val="fr-FR"/>
        </w:rPr>
        <w:t xml:space="preserve"> prépare des recommandations pertinentes sur les critères et les procédures de soumission des dossiers de candidature dans des cas exceptionnels afin que le Comité puisse discuter de ces recommandations</w:t>
      </w:r>
      <w:r>
        <w:rPr>
          <w:rFonts w:ascii="Arial" w:hAnsi="Arial" w:cs="Arial"/>
          <w:bCs/>
          <w:sz w:val="22"/>
          <w:szCs w:val="22"/>
          <w:lang w:val="fr-FR"/>
        </w:rPr>
        <w:t xml:space="preserve">. Enfin, elle a </w:t>
      </w:r>
      <w:r w:rsidRPr="0033400E">
        <w:rPr>
          <w:rFonts w:ascii="Arial" w:hAnsi="Arial" w:cs="Arial"/>
          <w:bCs/>
          <w:sz w:val="22"/>
          <w:szCs w:val="22"/>
          <w:lang w:val="fr-FR"/>
        </w:rPr>
        <w:t>remerci</w:t>
      </w:r>
      <w:r>
        <w:rPr>
          <w:rFonts w:ascii="Arial" w:hAnsi="Arial" w:cs="Arial"/>
          <w:bCs/>
          <w:sz w:val="22"/>
          <w:szCs w:val="22"/>
          <w:lang w:val="fr-FR"/>
        </w:rPr>
        <w:t>é</w:t>
      </w:r>
      <w:r w:rsidRPr="0033400E">
        <w:rPr>
          <w:rFonts w:ascii="Arial" w:hAnsi="Arial" w:cs="Arial"/>
          <w:bCs/>
          <w:sz w:val="22"/>
          <w:szCs w:val="22"/>
          <w:lang w:val="fr-FR"/>
        </w:rPr>
        <w:t xml:space="preserve"> le Secrétariat pour son travail acharné.</w:t>
      </w:r>
    </w:p>
    <w:p w14:paraId="2E43C091" w14:textId="62A1594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448D6">
        <w:rPr>
          <w:rFonts w:ascii="Arial" w:hAnsi="Arial" w:cs="Arial"/>
          <w:bCs/>
          <w:sz w:val="22"/>
          <w:szCs w:val="22"/>
          <w:lang w:val="fr-FR"/>
        </w:rPr>
        <w:t xml:space="preserve">La délégation </w:t>
      </w:r>
      <w:r>
        <w:rPr>
          <w:rFonts w:ascii="Arial" w:hAnsi="Arial" w:cs="Arial"/>
          <w:bCs/>
          <w:sz w:val="22"/>
          <w:szCs w:val="22"/>
          <w:lang w:val="fr-FR"/>
        </w:rPr>
        <w:t xml:space="preserve">de la </w:t>
      </w:r>
      <w:r w:rsidRPr="004448D6">
        <w:rPr>
          <w:rFonts w:ascii="Arial" w:hAnsi="Arial" w:cs="Arial"/>
          <w:b/>
          <w:sz w:val="22"/>
          <w:szCs w:val="22"/>
          <w:lang w:val="fr-FR"/>
        </w:rPr>
        <w:t>Suède</w:t>
      </w:r>
      <w:r w:rsidRPr="004448D6">
        <w:rPr>
          <w:rFonts w:ascii="Arial" w:hAnsi="Arial" w:cs="Arial"/>
          <w:bCs/>
          <w:sz w:val="22"/>
          <w:szCs w:val="22"/>
          <w:lang w:val="fr-FR"/>
        </w:rPr>
        <w:t>, qui</w:t>
      </w:r>
      <w:r>
        <w:rPr>
          <w:rFonts w:ascii="Arial" w:hAnsi="Arial" w:cs="Arial"/>
          <w:bCs/>
          <w:sz w:val="22"/>
          <w:szCs w:val="22"/>
          <w:lang w:val="fr-FR"/>
        </w:rPr>
        <w:t xml:space="preserve"> </w:t>
      </w:r>
      <w:r w:rsidRPr="004448D6">
        <w:rPr>
          <w:rFonts w:ascii="Arial" w:hAnsi="Arial" w:cs="Arial"/>
          <w:bCs/>
          <w:sz w:val="22"/>
          <w:szCs w:val="22"/>
          <w:lang w:val="fr-FR"/>
        </w:rPr>
        <w:t>a</w:t>
      </w:r>
      <w:r>
        <w:rPr>
          <w:rFonts w:ascii="Arial" w:hAnsi="Arial" w:cs="Arial"/>
          <w:bCs/>
          <w:sz w:val="22"/>
          <w:szCs w:val="22"/>
          <w:lang w:val="fr-FR"/>
        </w:rPr>
        <w:t>vait</w:t>
      </w:r>
      <w:r w:rsidRPr="004448D6">
        <w:rPr>
          <w:rFonts w:ascii="Arial" w:hAnsi="Arial" w:cs="Arial"/>
          <w:bCs/>
          <w:sz w:val="22"/>
          <w:szCs w:val="22"/>
          <w:lang w:val="fr-FR"/>
        </w:rPr>
        <w:t xml:space="preserve"> été un partenaire actif dans le processus de réflexion</w:t>
      </w:r>
      <w:r>
        <w:rPr>
          <w:rFonts w:ascii="Arial" w:hAnsi="Arial" w:cs="Arial"/>
          <w:bCs/>
          <w:sz w:val="22"/>
          <w:szCs w:val="22"/>
          <w:lang w:val="fr-FR"/>
        </w:rPr>
        <w:t xml:space="preserve">, </w:t>
      </w:r>
      <w:r w:rsidRPr="004448D6">
        <w:rPr>
          <w:rFonts w:ascii="Arial" w:hAnsi="Arial" w:cs="Arial"/>
          <w:bCs/>
          <w:sz w:val="22"/>
          <w:szCs w:val="22"/>
          <w:lang w:val="fr-FR"/>
        </w:rPr>
        <w:t xml:space="preserve">a remercié le </w:t>
      </w:r>
      <w:r>
        <w:rPr>
          <w:rFonts w:ascii="Arial" w:hAnsi="Arial" w:cs="Arial"/>
          <w:bCs/>
          <w:sz w:val="22"/>
          <w:szCs w:val="22"/>
          <w:lang w:val="fr-FR"/>
        </w:rPr>
        <w:t>G</w:t>
      </w:r>
      <w:r w:rsidRPr="004448D6">
        <w:rPr>
          <w:rFonts w:ascii="Arial" w:hAnsi="Arial" w:cs="Arial"/>
          <w:bCs/>
          <w:sz w:val="22"/>
          <w:szCs w:val="22"/>
          <w:lang w:val="fr-FR"/>
        </w:rPr>
        <w:t xml:space="preserve">ouvernement du Japon </w:t>
      </w:r>
      <w:r>
        <w:rPr>
          <w:rFonts w:ascii="Arial" w:hAnsi="Arial" w:cs="Arial"/>
          <w:bCs/>
          <w:sz w:val="22"/>
          <w:szCs w:val="22"/>
          <w:lang w:val="fr-FR"/>
        </w:rPr>
        <w:t>d</w:t>
      </w:r>
      <w:r w:rsidR="008E532B">
        <w:rPr>
          <w:rFonts w:ascii="Arial" w:hAnsi="Arial" w:cs="Arial"/>
          <w:bCs/>
          <w:sz w:val="22"/>
          <w:szCs w:val="22"/>
          <w:lang w:val="fr-FR"/>
        </w:rPr>
        <w:t>’</w:t>
      </w:r>
      <w:r w:rsidRPr="004448D6">
        <w:rPr>
          <w:rFonts w:ascii="Arial" w:hAnsi="Arial" w:cs="Arial"/>
          <w:bCs/>
          <w:sz w:val="22"/>
          <w:szCs w:val="22"/>
          <w:lang w:val="fr-FR"/>
        </w:rPr>
        <w:t>avoir soutenu la réflexion, ainsi que l</w:t>
      </w:r>
      <w:r w:rsidR="008E532B">
        <w:rPr>
          <w:rFonts w:ascii="Arial" w:hAnsi="Arial" w:cs="Arial"/>
          <w:bCs/>
          <w:sz w:val="22"/>
          <w:szCs w:val="22"/>
          <w:lang w:val="fr-FR"/>
        </w:rPr>
        <w:t>’</w:t>
      </w:r>
      <w:r w:rsidRPr="004448D6">
        <w:rPr>
          <w:rFonts w:ascii="Arial" w:hAnsi="Arial" w:cs="Arial"/>
          <w:bCs/>
          <w:sz w:val="22"/>
          <w:szCs w:val="22"/>
          <w:lang w:val="fr-FR"/>
        </w:rPr>
        <w:t xml:space="preserve">ambassadeur </w:t>
      </w:r>
      <w:proofErr w:type="spellStart"/>
      <w:r w:rsidRPr="004448D6">
        <w:rPr>
          <w:rFonts w:ascii="Arial" w:hAnsi="Arial" w:cs="Arial"/>
          <w:bCs/>
          <w:sz w:val="22"/>
          <w:szCs w:val="22"/>
          <w:lang w:val="fr-FR"/>
        </w:rPr>
        <w:t>Oike</w:t>
      </w:r>
      <w:proofErr w:type="spellEnd"/>
      <w:r w:rsidRPr="004448D6">
        <w:rPr>
          <w:rFonts w:ascii="Arial" w:hAnsi="Arial" w:cs="Arial"/>
          <w:bCs/>
          <w:sz w:val="22"/>
          <w:szCs w:val="22"/>
          <w:lang w:val="fr-FR"/>
        </w:rPr>
        <w:t xml:space="preserve"> </w:t>
      </w:r>
      <w:r>
        <w:rPr>
          <w:rFonts w:ascii="Arial" w:hAnsi="Arial" w:cs="Arial"/>
          <w:bCs/>
          <w:sz w:val="22"/>
          <w:szCs w:val="22"/>
          <w:lang w:val="fr-FR"/>
        </w:rPr>
        <w:t>d</w:t>
      </w:r>
      <w:r w:rsidR="008E532B">
        <w:rPr>
          <w:rFonts w:ascii="Arial" w:hAnsi="Arial" w:cs="Arial"/>
          <w:bCs/>
          <w:sz w:val="22"/>
          <w:szCs w:val="22"/>
          <w:lang w:val="fr-FR"/>
        </w:rPr>
        <w:t>’</w:t>
      </w:r>
      <w:r w:rsidRPr="004448D6">
        <w:rPr>
          <w:rFonts w:ascii="Arial" w:hAnsi="Arial" w:cs="Arial"/>
          <w:bCs/>
          <w:sz w:val="22"/>
          <w:szCs w:val="22"/>
          <w:lang w:val="fr-FR"/>
        </w:rPr>
        <w:t xml:space="preserve">avoir présidé avec succès les réunions du groupe de travail à composition non limitée. Parmi les priorités de la Suède au cours de ce processus, elle </w:t>
      </w:r>
      <w:r>
        <w:rPr>
          <w:rFonts w:ascii="Arial" w:hAnsi="Arial" w:cs="Arial"/>
          <w:bCs/>
          <w:sz w:val="22"/>
          <w:szCs w:val="22"/>
          <w:lang w:val="fr-FR"/>
        </w:rPr>
        <w:t xml:space="preserve">avait été </w:t>
      </w:r>
      <w:r w:rsidRPr="004448D6">
        <w:rPr>
          <w:rFonts w:ascii="Arial" w:hAnsi="Arial" w:cs="Arial"/>
          <w:bCs/>
          <w:sz w:val="22"/>
          <w:szCs w:val="22"/>
          <w:lang w:val="fr-FR"/>
        </w:rPr>
        <w:t xml:space="preserve">particulièrement attachée à une forte implication des praticiens et des détenteurs de la société civile. </w:t>
      </w:r>
      <w:r>
        <w:rPr>
          <w:rFonts w:ascii="Arial" w:hAnsi="Arial" w:cs="Arial"/>
          <w:bCs/>
          <w:sz w:val="22"/>
          <w:szCs w:val="22"/>
          <w:lang w:val="fr-FR"/>
        </w:rPr>
        <w:t>En outre, l</w:t>
      </w:r>
      <w:r w:rsidRPr="004448D6">
        <w:rPr>
          <w:rFonts w:ascii="Arial" w:hAnsi="Arial" w:cs="Arial"/>
          <w:bCs/>
          <w:sz w:val="22"/>
          <w:szCs w:val="22"/>
          <w:lang w:val="fr-FR"/>
        </w:rPr>
        <w:t>a Suède cro</w:t>
      </w:r>
      <w:r>
        <w:rPr>
          <w:rFonts w:ascii="Arial" w:hAnsi="Arial" w:cs="Arial"/>
          <w:bCs/>
          <w:sz w:val="22"/>
          <w:szCs w:val="22"/>
          <w:lang w:val="fr-FR"/>
        </w:rPr>
        <w:t>yait</w:t>
      </w:r>
      <w:r w:rsidRPr="004448D6">
        <w:rPr>
          <w:rFonts w:ascii="Arial" w:hAnsi="Arial" w:cs="Arial"/>
          <w:bCs/>
          <w:sz w:val="22"/>
          <w:szCs w:val="22"/>
          <w:lang w:val="fr-FR"/>
        </w:rPr>
        <w:t xml:space="preserve"> </w:t>
      </w:r>
      <w:r>
        <w:rPr>
          <w:rFonts w:ascii="Arial" w:hAnsi="Arial" w:cs="Arial"/>
          <w:bCs/>
          <w:sz w:val="22"/>
          <w:szCs w:val="22"/>
          <w:lang w:val="fr-FR"/>
        </w:rPr>
        <w:t xml:space="preserve">résolument </w:t>
      </w:r>
      <w:r w:rsidRPr="004448D6">
        <w:rPr>
          <w:rFonts w:ascii="Arial" w:hAnsi="Arial" w:cs="Arial"/>
          <w:bCs/>
          <w:sz w:val="22"/>
          <w:szCs w:val="22"/>
          <w:lang w:val="fr-FR"/>
        </w:rPr>
        <w:t xml:space="preserve">au rôle que peut jouer le </w:t>
      </w:r>
      <w:r>
        <w:rPr>
          <w:rFonts w:ascii="Arial" w:hAnsi="Arial" w:cs="Arial"/>
          <w:bCs/>
          <w:sz w:val="22"/>
          <w:szCs w:val="22"/>
          <w:lang w:val="fr-FR"/>
        </w:rPr>
        <w:t>R</w:t>
      </w:r>
      <w:r w:rsidRPr="004448D6">
        <w:rPr>
          <w:rFonts w:ascii="Arial" w:hAnsi="Arial" w:cs="Arial"/>
          <w:bCs/>
          <w:sz w:val="22"/>
          <w:szCs w:val="22"/>
          <w:lang w:val="fr-FR"/>
        </w:rPr>
        <w:t xml:space="preserve">egistre des bonnes pratiques de sauvegarde. Elle </w:t>
      </w:r>
      <w:r>
        <w:rPr>
          <w:rFonts w:ascii="Arial" w:hAnsi="Arial" w:cs="Arial"/>
          <w:bCs/>
          <w:sz w:val="22"/>
          <w:szCs w:val="22"/>
          <w:lang w:val="fr-FR"/>
        </w:rPr>
        <w:t xml:space="preserve">était </w:t>
      </w:r>
      <w:r w:rsidRPr="004448D6">
        <w:rPr>
          <w:rFonts w:ascii="Arial" w:hAnsi="Arial" w:cs="Arial"/>
          <w:bCs/>
          <w:sz w:val="22"/>
          <w:szCs w:val="22"/>
          <w:lang w:val="fr-FR"/>
        </w:rPr>
        <w:t xml:space="preserve">donc très heureuse de contribuer financièrement à la réflexion </w:t>
      </w:r>
      <w:r>
        <w:rPr>
          <w:rFonts w:ascii="Arial" w:hAnsi="Arial" w:cs="Arial"/>
          <w:bCs/>
          <w:sz w:val="22"/>
          <w:szCs w:val="22"/>
          <w:lang w:val="fr-FR"/>
        </w:rPr>
        <w:t xml:space="preserve">sur </w:t>
      </w:r>
      <w:r w:rsidRPr="004448D6">
        <w:rPr>
          <w:rFonts w:ascii="Arial" w:hAnsi="Arial" w:cs="Arial"/>
          <w:bCs/>
          <w:sz w:val="22"/>
          <w:szCs w:val="22"/>
          <w:lang w:val="fr-FR"/>
        </w:rPr>
        <w:t>une mise en œuvre plus large de l</w:t>
      </w:r>
      <w:r w:rsidR="008E532B">
        <w:rPr>
          <w:rFonts w:ascii="Arial" w:hAnsi="Arial" w:cs="Arial"/>
          <w:bCs/>
          <w:sz w:val="22"/>
          <w:szCs w:val="22"/>
          <w:lang w:val="fr-FR"/>
        </w:rPr>
        <w:t>’</w:t>
      </w:r>
      <w:r w:rsidRPr="004448D6">
        <w:rPr>
          <w:rFonts w:ascii="Arial" w:hAnsi="Arial" w:cs="Arial"/>
          <w:bCs/>
          <w:sz w:val="22"/>
          <w:szCs w:val="22"/>
          <w:lang w:val="fr-FR"/>
        </w:rPr>
        <w:t xml:space="preserve">article 18 de la Convention.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agissant du</w:t>
      </w:r>
      <w:r w:rsidRPr="004448D6">
        <w:rPr>
          <w:rFonts w:ascii="Arial" w:hAnsi="Arial" w:cs="Arial"/>
          <w:bCs/>
          <w:sz w:val="22"/>
          <w:szCs w:val="22"/>
          <w:lang w:val="fr-FR"/>
        </w:rPr>
        <w:t xml:space="preserve"> projet de décision, la délégation</w:t>
      </w:r>
      <w:r>
        <w:rPr>
          <w:rFonts w:ascii="Arial" w:hAnsi="Arial" w:cs="Arial"/>
          <w:bCs/>
          <w:sz w:val="22"/>
          <w:szCs w:val="22"/>
          <w:lang w:val="fr-FR"/>
        </w:rPr>
        <w:t>, qui</w:t>
      </w:r>
      <w:r w:rsidRPr="004448D6">
        <w:rPr>
          <w:rFonts w:ascii="Arial" w:hAnsi="Arial" w:cs="Arial"/>
          <w:bCs/>
          <w:sz w:val="22"/>
          <w:szCs w:val="22"/>
          <w:lang w:val="fr-FR"/>
        </w:rPr>
        <w:t xml:space="preserve"> </w:t>
      </w:r>
      <w:r>
        <w:rPr>
          <w:rFonts w:ascii="Arial" w:hAnsi="Arial" w:cs="Arial"/>
          <w:bCs/>
          <w:sz w:val="22"/>
          <w:szCs w:val="22"/>
          <w:lang w:val="fr-FR"/>
        </w:rPr>
        <w:t>était</w:t>
      </w:r>
      <w:r w:rsidRPr="004448D6">
        <w:rPr>
          <w:rFonts w:ascii="Arial" w:hAnsi="Arial" w:cs="Arial"/>
          <w:bCs/>
          <w:sz w:val="22"/>
          <w:szCs w:val="22"/>
          <w:lang w:val="fr-FR"/>
        </w:rPr>
        <w:t xml:space="preserve"> bien consciente du temps, des négociations et des considérations qui se cach</w:t>
      </w:r>
      <w:r>
        <w:rPr>
          <w:rFonts w:ascii="Arial" w:hAnsi="Arial" w:cs="Arial"/>
          <w:bCs/>
          <w:sz w:val="22"/>
          <w:szCs w:val="22"/>
          <w:lang w:val="fr-FR"/>
        </w:rPr>
        <w:t>ai</w:t>
      </w:r>
      <w:r w:rsidRPr="004448D6">
        <w:rPr>
          <w:rFonts w:ascii="Arial" w:hAnsi="Arial" w:cs="Arial"/>
          <w:bCs/>
          <w:sz w:val="22"/>
          <w:szCs w:val="22"/>
          <w:lang w:val="fr-FR"/>
        </w:rPr>
        <w:t>ent derrière les propositions</w:t>
      </w:r>
      <w:r>
        <w:rPr>
          <w:rFonts w:ascii="Arial" w:hAnsi="Arial" w:cs="Arial"/>
          <w:bCs/>
          <w:sz w:val="22"/>
          <w:szCs w:val="22"/>
          <w:lang w:val="fr-FR"/>
        </w:rPr>
        <w:t>,</w:t>
      </w:r>
      <w:r w:rsidRPr="004448D6">
        <w:rPr>
          <w:rFonts w:ascii="Arial" w:hAnsi="Arial" w:cs="Arial"/>
          <w:bCs/>
          <w:sz w:val="22"/>
          <w:szCs w:val="22"/>
          <w:lang w:val="fr-FR"/>
        </w:rPr>
        <w:t xml:space="preserve"> </w:t>
      </w:r>
      <w:r>
        <w:rPr>
          <w:rFonts w:ascii="Arial" w:hAnsi="Arial" w:cs="Arial"/>
          <w:bCs/>
          <w:sz w:val="22"/>
          <w:szCs w:val="22"/>
          <w:lang w:val="fr-FR"/>
        </w:rPr>
        <w:t xml:space="preserve">a </w:t>
      </w:r>
      <w:r w:rsidRPr="004448D6">
        <w:rPr>
          <w:rFonts w:ascii="Arial" w:hAnsi="Arial" w:cs="Arial"/>
          <w:bCs/>
          <w:sz w:val="22"/>
          <w:szCs w:val="22"/>
          <w:lang w:val="fr-FR"/>
        </w:rPr>
        <w:t>rappel</w:t>
      </w:r>
      <w:r>
        <w:rPr>
          <w:rFonts w:ascii="Arial" w:hAnsi="Arial" w:cs="Arial"/>
          <w:bCs/>
          <w:sz w:val="22"/>
          <w:szCs w:val="22"/>
          <w:lang w:val="fr-FR"/>
        </w:rPr>
        <w:t>é</w:t>
      </w:r>
      <w:r w:rsidRPr="004448D6">
        <w:rPr>
          <w:rFonts w:ascii="Arial" w:hAnsi="Arial" w:cs="Arial"/>
          <w:bCs/>
          <w:sz w:val="22"/>
          <w:szCs w:val="22"/>
          <w:lang w:val="fr-FR"/>
        </w:rPr>
        <w:t xml:space="preserve"> à l</w:t>
      </w:r>
      <w:r w:rsidR="008E532B">
        <w:rPr>
          <w:rFonts w:ascii="Arial" w:hAnsi="Arial" w:cs="Arial"/>
          <w:bCs/>
          <w:sz w:val="22"/>
          <w:szCs w:val="22"/>
          <w:lang w:val="fr-FR"/>
        </w:rPr>
        <w:t>’</w:t>
      </w:r>
      <w:r w:rsidRPr="004448D6">
        <w:rPr>
          <w:rFonts w:ascii="Arial" w:hAnsi="Arial" w:cs="Arial"/>
          <w:bCs/>
          <w:sz w:val="22"/>
          <w:szCs w:val="22"/>
          <w:lang w:val="fr-FR"/>
        </w:rPr>
        <w:t xml:space="preserve">Assemblée la recommandation </w:t>
      </w:r>
      <w:r>
        <w:rPr>
          <w:rFonts w:ascii="Arial" w:hAnsi="Arial" w:cs="Arial"/>
          <w:bCs/>
          <w:sz w:val="22"/>
          <w:szCs w:val="22"/>
          <w:lang w:val="fr-FR"/>
        </w:rPr>
        <w:t xml:space="preserve">appelant au consensus </w:t>
      </w:r>
      <w:r w:rsidRPr="004448D6">
        <w:rPr>
          <w:rFonts w:ascii="Arial" w:hAnsi="Arial" w:cs="Arial"/>
          <w:bCs/>
          <w:sz w:val="22"/>
          <w:szCs w:val="22"/>
          <w:lang w:val="fr-FR"/>
        </w:rPr>
        <w:t>du Comité</w:t>
      </w:r>
      <w:r>
        <w:rPr>
          <w:rFonts w:ascii="Arial" w:hAnsi="Arial" w:cs="Arial"/>
          <w:bCs/>
          <w:sz w:val="22"/>
          <w:szCs w:val="22"/>
          <w:lang w:val="fr-FR"/>
        </w:rPr>
        <w:t>,</w:t>
      </w:r>
      <w:r w:rsidRPr="004448D6">
        <w:rPr>
          <w:rFonts w:ascii="Arial" w:hAnsi="Arial" w:cs="Arial"/>
          <w:bCs/>
          <w:sz w:val="22"/>
          <w:szCs w:val="22"/>
          <w:lang w:val="fr-FR"/>
        </w:rPr>
        <w:t xml:space="preserve"> décidée quelques jours auparavant. </w:t>
      </w:r>
      <w:r>
        <w:rPr>
          <w:rFonts w:ascii="Arial" w:hAnsi="Arial" w:cs="Arial"/>
          <w:bCs/>
          <w:sz w:val="22"/>
          <w:szCs w:val="22"/>
          <w:lang w:val="fr-FR"/>
        </w:rPr>
        <w:t xml:space="preserve">On pouvait espérer </w:t>
      </w:r>
      <w:r w:rsidRPr="004448D6">
        <w:rPr>
          <w:rFonts w:ascii="Arial" w:hAnsi="Arial" w:cs="Arial"/>
          <w:bCs/>
          <w:sz w:val="22"/>
          <w:szCs w:val="22"/>
          <w:lang w:val="fr-FR"/>
        </w:rPr>
        <w:t>que l</w:t>
      </w:r>
      <w:r w:rsidR="008E532B">
        <w:rPr>
          <w:rFonts w:ascii="Arial" w:hAnsi="Arial" w:cs="Arial"/>
          <w:bCs/>
          <w:sz w:val="22"/>
          <w:szCs w:val="22"/>
          <w:lang w:val="fr-FR"/>
        </w:rPr>
        <w:t>’</w:t>
      </w:r>
      <w:r w:rsidRPr="004448D6">
        <w:rPr>
          <w:rFonts w:ascii="Arial" w:hAnsi="Arial" w:cs="Arial"/>
          <w:bCs/>
          <w:sz w:val="22"/>
          <w:szCs w:val="22"/>
          <w:lang w:val="fr-FR"/>
        </w:rPr>
        <w:t>Assemblée générale adoptera</w:t>
      </w:r>
      <w:r>
        <w:rPr>
          <w:rFonts w:ascii="Arial" w:hAnsi="Arial" w:cs="Arial"/>
          <w:bCs/>
          <w:sz w:val="22"/>
          <w:szCs w:val="22"/>
          <w:lang w:val="fr-FR"/>
        </w:rPr>
        <w:t>it</w:t>
      </w:r>
      <w:r w:rsidRPr="004448D6">
        <w:rPr>
          <w:rFonts w:ascii="Arial" w:hAnsi="Arial" w:cs="Arial"/>
          <w:bCs/>
          <w:sz w:val="22"/>
          <w:szCs w:val="22"/>
          <w:lang w:val="fr-FR"/>
        </w:rPr>
        <w:t xml:space="preserve"> le texte de l</w:t>
      </w:r>
      <w:r w:rsidR="008E532B">
        <w:rPr>
          <w:rFonts w:ascii="Arial" w:hAnsi="Arial" w:cs="Arial"/>
          <w:bCs/>
          <w:sz w:val="22"/>
          <w:szCs w:val="22"/>
          <w:lang w:val="fr-FR"/>
        </w:rPr>
        <w:t>’</w:t>
      </w:r>
      <w:r w:rsidRPr="004448D6">
        <w:rPr>
          <w:rFonts w:ascii="Arial" w:hAnsi="Arial" w:cs="Arial"/>
          <w:bCs/>
          <w:sz w:val="22"/>
          <w:szCs w:val="22"/>
          <w:lang w:val="fr-FR"/>
        </w:rPr>
        <w:t>annexe dans son ensemble.</w:t>
      </w:r>
    </w:p>
    <w:p w14:paraId="783F35CB" w14:textId="7F471C1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448D6">
        <w:rPr>
          <w:rFonts w:ascii="Arial" w:hAnsi="Arial" w:cs="Arial"/>
          <w:bCs/>
          <w:sz w:val="22"/>
          <w:szCs w:val="22"/>
          <w:lang w:val="fr-FR"/>
        </w:rPr>
        <w:t xml:space="preserve">La délégation </w:t>
      </w:r>
      <w:r>
        <w:rPr>
          <w:rFonts w:ascii="Arial" w:hAnsi="Arial" w:cs="Arial"/>
          <w:bCs/>
          <w:sz w:val="22"/>
          <w:szCs w:val="22"/>
          <w:lang w:val="fr-FR"/>
        </w:rPr>
        <w:t xml:space="preserve">de la </w:t>
      </w:r>
      <w:r w:rsidRPr="004448D6">
        <w:rPr>
          <w:rFonts w:ascii="Arial" w:hAnsi="Arial" w:cs="Arial"/>
          <w:b/>
          <w:sz w:val="22"/>
          <w:szCs w:val="22"/>
          <w:lang w:val="fr-FR"/>
        </w:rPr>
        <w:t>Colombie</w:t>
      </w:r>
      <w:r>
        <w:rPr>
          <w:rFonts w:ascii="Arial" w:hAnsi="Arial" w:cs="Arial"/>
          <w:bCs/>
          <w:sz w:val="22"/>
          <w:szCs w:val="22"/>
          <w:lang w:val="fr-FR"/>
        </w:rPr>
        <w:t xml:space="preserve">, qui </w:t>
      </w:r>
      <w:r w:rsidRPr="004448D6">
        <w:rPr>
          <w:rFonts w:ascii="Arial" w:hAnsi="Arial" w:cs="Arial"/>
          <w:bCs/>
          <w:sz w:val="22"/>
          <w:szCs w:val="22"/>
          <w:lang w:val="fr-FR"/>
        </w:rPr>
        <w:t>a</w:t>
      </w:r>
      <w:r>
        <w:rPr>
          <w:rFonts w:ascii="Arial" w:hAnsi="Arial" w:cs="Arial"/>
          <w:bCs/>
          <w:sz w:val="22"/>
          <w:szCs w:val="22"/>
          <w:lang w:val="fr-FR"/>
        </w:rPr>
        <w:t>vait</w:t>
      </w:r>
      <w:r w:rsidRPr="004448D6">
        <w:rPr>
          <w:rFonts w:ascii="Arial" w:hAnsi="Arial" w:cs="Arial"/>
          <w:bCs/>
          <w:sz w:val="22"/>
          <w:szCs w:val="22"/>
          <w:lang w:val="fr-FR"/>
        </w:rPr>
        <w:t xml:space="preserve"> également participé activement aux réunions</w:t>
      </w:r>
      <w:r>
        <w:rPr>
          <w:rFonts w:ascii="Arial" w:hAnsi="Arial" w:cs="Arial"/>
          <w:bCs/>
          <w:sz w:val="22"/>
          <w:szCs w:val="22"/>
          <w:lang w:val="fr-FR"/>
        </w:rPr>
        <w:t>,</w:t>
      </w:r>
      <w:r w:rsidRPr="004448D6">
        <w:rPr>
          <w:rFonts w:ascii="Arial" w:hAnsi="Arial" w:cs="Arial"/>
          <w:bCs/>
          <w:sz w:val="22"/>
          <w:szCs w:val="22"/>
          <w:lang w:val="fr-FR"/>
        </w:rPr>
        <w:t xml:space="preserve"> a adressé ses félicitations à l</w:t>
      </w:r>
      <w:r w:rsidR="008E532B">
        <w:rPr>
          <w:rFonts w:ascii="Arial" w:hAnsi="Arial" w:cs="Arial"/>
          <w:bCs/>
          <w:sz w:val="22"/>
          <w:szCs w:val="22"/>
          <w:lang w:val="fr-FR"/>
        </w:rPr>
        <w:t>’</w:t>
      </w:r>
      <w:r w:rsidRPr="004448D6">
        <w:rPr>
          <w:rFonts w:ascii="Arial" w:hAnsi="Arial" w:cs="Arial"/>
          <w:bCs/>
          <w:sz w:val="22"/>
          <w:szCs w:val="22"/>
          <w:lang w:val="fr-FR"/>
        </w:rPr>
        <w:t xml:space="preserve">ambassadeur </w:t>
      </w:r>
      <w:proofErr w:type="spellStart"/>
      <w:r w:rsidRPr="004448D6">
        <w:rPr>
          <w:rFonts w:ascii="Arial" w:hAnsi="Arial" w:cs="Arial"/>
          <w:bCs/>
          <w:sz w:val="22"/>
          <w:szCs w:val="22"/>
          <w:lang w:val="fr-FR"/>
        </w:rPr>
        <w:t>Oike</w:t>
      </w:r>
      <w:proofErr w:type="spellEnd"/>
      <w:r w:rsidRPr="004448D6">
        <w:rPr>
          <w:rFonts w:ascii="Arial" w:hAnsi="Arial" w:cs="Arial"/>
          <w:bCs/>
          <w:sz w:val="22"/>
          <w:szCs w:val="22"/>
          <w:lang w:val="fr-FR"/>
        </w:rPr>
        <w:t xml:space="preserve"> pour sa gestion de ce processus. Ses remerciements </w:t>
      </w:r>
      <w:r>
        <w:rPr>
          <w:rFonts w:ascii="Arial" w:hAnsi="Arial" w:cs="Arial"/>
          <w:bCs/>
          <w:sz w:val="22"/>
          <w:szCs w:val="22"/>
          <w:lang w:val="fr-FR"/>
        </w:rPr>
        <w:t>allaient</w:t>
      </w:r>
      <w:r w:rsidRPr="004448D6">
        <w:rPr>
          <w:rFonts w:ascii="Arial" w:hAnsi="Arial" w:cs="Arial"/>
          <w:bCs/>
          <w:sz w:val="22"/>
          <w:szCs w:val="22"/>
          <w:lang w:val="fr-FR"/>
        </w:rPr>
        <w:t xml:space="preserve"> également à tous les collègues, ainsi qu</w:t>
      </w:r>
      <w:r w:rsidR="008E532B">
        <w:rPr>
          <w:rFonts w:ascii="Arial" w:hAnsi="Arial" w:cs="Arial"/>
          <w:bCs/>
          <w:sz w:val="22"/>
          <w:szCs w:val="22"/>
          <w:lang w:val="fr-FR"/>
        </w:rPr>
        <w:t>’</w:t>
      </w:r>
      <w:r w:rsidRPr="004448D6">
        <w:rPr>
          <w:rFonts w:ascii="Arial" w:hAnsi="Arial" w:cs="Arial"/>
          <w:bCs/>
          <w:sz w:val="22"/>
          <w:szCs w:val="22"/>
          <w:lang w:val="fr-FR"/>
        </w:rPr>
        <w:t xml:space="preserve">au Secrétariat pour avoir fourni tous les documents et </w:t>
      </w:r>
      <w:r>
        <w:rPr>
          <w:rFonts w:ascii="Arial" w:hAnsi="Arial" w:cs="Arial"/>
          <w:bCs/>
          <w:sz w:val="22"/>
          <w:szCs w:val="22"/>
          <w:lang w:val="fr-FR"/>
        </w:rPr>
        <w:t xml:space="preserve">avoir </w:t>
      </w:r>
      <w:r w:rsidRPr="004448D6">
        <w:rPr>
          <w:rFonts w:ascii="Arial" w:hAnsi="Arial" w:cs="Arial"/>
          <w:bCs/>
          <w:sz w:val="22"/>
          <w:szCs w:val="22"/>
          <w:lang w:val="fr-FR"/>
        </w:rPr>
        <w:t>permis de mener à bien ce travail. La délégation s</w:t>
      </w:r>
      <w:r w:rsidR="008E532B">
        <w:rPr>
          <w:rFonts w:ascii="Arial" w:hAnsi="Arial" w:cs="Arial"/>
          <w:bCs/>
          <w:sz w:val="22"/>
          <w:szCs w:val="22"/>
          <w:lang w:val="fr-FR"/>
        </w:rPr>
        <w:t>’</w:t>
      </w:r>
      <w:r>
        <w:rPr>
          <w:rFonts w:ascii="Arial" w:hAnsi="Arial" w:cs="Arial"/>
          <w:bCs/>
          <w:sz w:val="22"/>
          <w:szCs w:val="22"/>
          <w:lang w:val="fr-FR"/>
        </w:rPr>
        <w:t xml:space="preserve">est </w:t>
      </w:r>
      <w:r w:rsidRPr="00911A75">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fait</w:t>
      </w:r>
      <w:r w:rsidRPr="004448D6">
        <w:rPr>
          <w:rFonts w:ascii="Arial" w:hAnsi="Arial" w:cs="Arial"/>
          <w:bCs/>
          <w:sz w:val="22"/>
          <w:szCs w:val="22"/>
          <w:lang w:val="fr-FR"/>
        </w:rPr>
        <w:t xml:space="preserve"> l</w:t>
      </w:r>
      <w:r w:rsidR="008E532B">
        <w:rPr>
          <w:rFonts w:ascii="Arial" w:hAnsi="Arial" w:cs="Arial"/>
          <w:bCs/>
          <w:sz w:val="22"/>
          <w:szCs w:val="22"/>
          <w:lang w:val="fr-FR"/>
        </w:rPr>
        <w:t>’</w:t>
      </w:r>
      <w:r w:rsidRPr="004448D6">
        <w:rPr>
          <w:rFonts w:ascii="Arial" w:hAnsi="Arial" w:cs="Arial"/>
          <w:bCs/>
          <w:sz w:val="22"/>
          <w:szCs w:val="22"/>
          <w:lang w:val="fr-FR"/>
        </w:rPr>
        <w:t xml:space="preserve">écho des </w:t>
      </w:r>
      <w:r>
        <w:rPr>
          <w:rFonts w:ascii="Arial" w:hAnsi="Arial" w:cs="Arial"/>
          <w:bCs/>
          <w:sz w:val="22"/>
          <w:szCs w:val="22"/>
          <w:lang w:val="fr-FR"/>
        </w:rPr>
        <w:t xml:space="preserve">précédents orateurs </w:t>
      </w:r>
      <w:r w:rsidRPr="004448D6">
        <w:rPr>
          <w:rFonts w:ascii="Arial" w:hAnsi="Arial" w:cs="Arial"/>
          <w:bCs/>
          <w:sz w:val="22"/>
          <w:szCs w:val="22"/>
          <w:lang w:val="fr-FR"/>
        </w:rPr>
        <w:t>pour recommander l</w:t>
      </w:r>
      <w:r w:rsidR="008E532B">
        <w:rPr>
          <w:rFonts w:ascii="Arial" w:hAnsi="Arial" w:cs="Arial"/>
          <w:bCs/>
          <w:sz w:val="22"/>
          <w:szCs w:val="22"/>
          <w:lang w:val="fr-FR"/>
        </w:rPr>
        <w:t>’</w:t>
      </w:r>
      <w:r w:rsidRPr="004448D6">
        <w:rPr>
          <w:rFonts w:ascii="Arial" w:hAnsi="Arial" w:cs="Arial"/>
          <w:bCs/>
          <w:sz w:val="22"/>
          <w:szCs w:val="22"/>
          <w:lang w:val="fr-FR"/>
        </w:rPr>
        <w:t>approbation des révisions sans discussion. En outre, cette réflexion globale sera</w:t>
      </w:r>
      <w:r>
        <w:rPr>
          <w:rFonts w:ascii="Arial" w:hAnsi="Arial" w:cs="Arial"/>
          <w:bCs/>
          <w:sz w:val="22"/>
          <w:szCs w:val="22"/>
          <w:lang w:val="fr-FR"/>
        </w:rPr>
        <w:t>it</w:t>
      </w:r>
      <w:r w:rsidRPr="004448D6">
        <w:rPr>
          <w:rFonts w:ascii="Arial" w:hAnsi="Arial" w:cs="Arial"/>
          <w:bCs/>
          <w:sz w:val="22"/>
          <w:szCs w:val="22"/>
          <w:lang w:val="fr-FR"/>
        </w:rPr>
        <w:t xml:space="preserve"> un moment de transformation et de maturité pour l</w:t>
      </w:r>
      <w:r w:rsidR="008E532B">
        <w:rPr>
          <w:rFonts w:ascii="Arial" w:hAnsi="Arial" w:cs="Arial"/>
          <w:bCs/>
          <w:sz w:val="22"/>
          <w:szCs w:val="22"/>
          <w:lang w:val="fr-FR"/>
        </w:rPr>
        <w:t>’</w:t>
      </w:r>
      <w:r w:rsidRPr="004448D6">
        <w:rPr>
          <w:rFonts w:ascii="Arial" w:hAnsi="Arial" w:cs="Arial"/>
          <w:bCs/>
          <w:sz w:val="22"/>
          <w:szCs w:val="22"/>
          <w:lang w:val="fr-FR"/>
        </w:rPr>
        <w:t xml:space="preserve">ensemble de la Convention, ce qui </w:t>
      </w:r>
      <w:r>
        <w:rPr>
          <w:rFonts w:ascii="Arial" w:hAnsi="Arial" w:cs="Arial"/>
          <w:bCs/>
          <w:sz w:val="22"/>
          <w:szCs w:val="22"/>
          <w:lang w:val="fr-FR"/>
        </w:rPr>
        <w:t>était</w:t>
      </w:r>
      <w:r w:rsidRPr="004448D6">
        <w:rPr>
          <w:rFonts w:ascii="Arial" w:hAnsi="Arial" w:cs="Arial"/>
          <w:bCs/>
          <w:sz w:val="22"/>
          <w:szCs w:val="22"/>
          <w:lang w:val="fr-FR"/>
        </w:rPr>
        <w:t xml:space="preserve"> d</w:t>
      </w:r>
      <w:r w:rsidR="008E532B">
        <w:rPr>
          <w:rFonts w:ascii="Arial" w:hAnsi="Arial" w:cs="Arial"/>
          <w:bCs/>
          <w:sz w:val="22"/>
          <w:szCs w:val="22"/>
          <w:lang w:val="fr-FR"/>
        </w:rPr>
        <w:t>’</w:t>
      </w:r>
      <w:r w:rsidRPr="004448D6">
        <w:rPr>
          <w:rFonts w:ascii="Arial" w:hAnsi="Arial" w:cs="Arial"/>
          <w:bCs/>
          <w:sz w:val="22"/>
          <w:szCs w:val="22"/>
          <w:lang w:val="fr-FR"/>
        </w:rPr>
        <w:t xml:space="preserve">une importance vitale pour donner un nouveau souffle à la sauvegarde du </w:t>
      </w:r>
      <w:r w:rsidR="0064242E">
        <w:rPr>
          <w:rFonts w:ascii="Arial" w:eastAsia="SimSun" w:hAnsi="Arial" w:cs="Arial"/>
          <w:bCs/>
          <w:sz w:val="22"/>
          <w:szCs w:val="22"/>
          <w:lang w:val="fr-FR" w:eastAsia="en-US"/>
        </w:rPr>
        <w:t>patrimoine culturel immatériel</w:t>
      </w:r>
      <w:r w:rsidRPr="004448D6">
        <w:rPr>
          <w:rFonts w:ascii="Arial" w:hAnsi="Arial" w:cs="Arial"/>
          <w:bCs/>
          <w:sz w:val="22"/>
          <w:szCs w:val="22"/>
          <w:lang w:val="fr-FR"/>
        </w:rPr>
        <w:t>.</w:t>
      </w:r>
    </w:p>
    <w:p w14:paraId="2BFF92A6" w14:textId="7217372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11A75">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911A75">
        <w:rPr>
          <w:rFonts w:ascii="Arial" w:hAnsi="Arial" w:cs="Arial"/>
          <w:b/>
          <w:sz w:val="22"/>
          <w:szCs w:val="22"/>
          <w:lang w:val="fr-FR"/>
        </w:rPr>
        <w:t>Estonie</w:t>
      </w:r>
      <w:r>
        <w:rPr>
          <w:rFonts w:ascii="Arial" w:hAnsi="Arial" w:cs="Arial"/>
          <w:bCs/>
          <w:sz w:val="22"/>
          <w:szCs w:val="22"/>
          <w:lang w:val="fr-FR"/>
        </w:rPr>
        <w:t xml:space="preserve"> </w:t>
      </w:r>
      <w:r w:rsidRPr="00911A75">
        <w:rPr>
          <w:rFonts w:ascii="Arial" w:hAnsi="Arial" w:cs="Arial"/>
          <w:bCs/>
          <w:sz w:val="22"/>
          <w:szCs w:val="22"/>
          <w:lang w:val="fr-FR"/>
        </w:rPr>
        <w:t xml:space="preserve">a salué le travail </w:t>
      </w:r>
      <w:r>
        <w:rPr>
          <w:rFonts w:ascii="Arial" w:hAnsi="Arial" w:cs="Arial"/>
          <w:bCs/>
          <w:sz w:val="22"/>
          <w:szCs w:val="22"/>
          <w:lang w:val="fr-FR"/>
        </w:rPr>
        <w:t xml:space="preserve">acharné réalisé </w:t>
      </w:r>
      <w:r w:rsidRPr="00911A75">
        <w:rPr>
          <w:rFonts w:ascii="Arial" w:hAnsi="Arial" w:cs="Arial"/>
          <w:bCs/>
          <w:sz w:val="22"/>
          <w:szCs w:val="22"/>
          <w:lang w:val="fr-FR"/>
        </w:rPr>
        <w:t xml:space="preserve">au cours des deux dernières années sous la direction du Japon. Le principe directeur des discussions </w:t>
      </w:r>
      <w:r>
        <w:rPr>
          <w:rFonts w:ascii="Arial" w:hAnsi="Arial" w:cs="Arial"/>
          <w:bCs/>
          <w:sz w:val="22"/>
          <w:szCs w:val="22"/>
          <w:lang w:val="fr-FR"/>
        </w:rPr>
        <w:t xml:space="preserve">avait été </w:t>
      </w:r>
      <w:r w:rsidRPr="00911A75">
        <w:rPr>
          <w:rFonts w:ascii="Arial" w:hAnsi="Arial" w:cs="Arial"/>
          <w:bCs/>
          <w:sz w:val="22"/>
          <w:szCs w:val="22"/>
          <w:lang w:val="fr-FR"/>
        </w:rPr>
        <w:t xml:space="preserve">de savoir comment renforcer la participation des communautés </w:t>
      </w:r>
      <w:r>
        <w:rPr>
          <w:rFonts w:ascii="Arial" w:hAnsi="Arial" w:cs="Arial"/>
          <w:bCs/>
          <w:sz w:val="22"/>
          <w:szCs w:val="22"/>
          <w:lang w:val="fr-FR"/>
        </w:rPr>
        <w:t>à</w:t>
      </w:r>
      <w:r w:rsidRPr="00911A75">
        <w:rPr>
          <w:rFonts w:ascii="Arial" w:hAnsi="Arial" w:cs="Arial"/>
          <w:bCs/>
          <w:sz w:val="22"/>
          <w:szCs w:val="22"/>
          <w:lang w:val="fr-FR"/>
        </w:rPr>
        <w:t xml:space="preserve"> tous les mécanismes de la Convention et comment donner la priorité à la sauvegarde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911A75">
        <w:rPr>
          <w:rFonts w:ascii="Arial" w:hAnsi="Arial" w:cs="Arial"/>
          <w:bCs/>
          <w:sz w:val="22"/>
          <w:szCs w:val="22"/>
          <w:lang w:val="fr-FR"/>
        </w:rPr>
        <w:t xml:space="preserve">dans </w:t>
      </w:r>
      <w:r>
        <w:rPr>
          <w:rFonts w:ascii="Arial" w:hAnsi="Arial" w:cs="Arial"/>
          <w:bCs/>
          <w:sz w:val="22"/>
          <w:szCs w:val="22"/>
          <w:lang w:val="fr-FR"/>
        </w:rPr>
        <w:t>l</w:t>
      </w:r>
      <w:r w:rsidR="008E532B">
        <w:rPr>
          <w:rFonts w:ascii="Arial" w:hAnsi="Arial" w:cs="Arial"/>
          <w:bCs/>
          <w:sz w:val="22"/>
          <w:szCs w:val="22"/>
          <w:lang w:val="fr-FR"/>
        </w:rPr>
        <w:t>’</w:t>
      </w:r>
      <w:r>
        <w:rPr>
          <w:rFonts w:ascii="Arial" w:hAnsi="Arial" w:cs="Arial"/>
          <w:bCs/>
          <w:sz w:val="22"/>
          <w:szCs w:val="22"/>
          <w:lang w:val="fr-FR"/>
        </w:rPr>
        <w:t>ensemble du</w:t>
      </w:r>
      <w:r w:rsidRPr="00911A75">
        <w:rPr>
          <w:rFonts w:ascii="Arial" w:hAnsi="Arial" w:cs="Arial"/>
          <w:bCs/>
          <w:sz w:val="22"/>
          <w:szCs w:val="22"/>
          <w:lang w:val="fr-FR"/>
        </w:rPr>
        <w:t xml:space="preserve"> système d</w:t>
      </w:r>
      <w:r w:rsidR="008E532B">
        <w:rPr>
          <w:rFonts w:ascii="Arial" w:hAnsi="Arial" w:cs="Arial"/>
          <w:bCs/>
          <w:sz w:val="22"/>
          <w:szCs w:val="22"/>
          <w:lang w:val="fr-FR"/>
        </w:rPr>
        <w:t>’</w:t>
      </w:r>
      <w:r w:rsidRPr="00911A75">
        <w:rPr>
          <w:rFonts w:ascii="Arial" w:hAnsi="Arial" w:cs="Arial"/>
          <w:bCs/>
          <w:sz w:val="22"/>
          <w:szCs w:val="22"/>
          <w:lang w:val="fr-FR"/>
        </w:rPr>
        <w:t>inscriptio</w:t>
      </w:r>
      <w:r>
        <w:rPr>
          <w:rFonts w:ascii="Arial" w:hAnsi="Arial" w:cs="Arial"/>
          <w:bCs/>
          <w:sz w:val="22"/>
          <w:szCs w:val="22"/>
          <w:lang w:val="fr-FR"/>
        </w:rPr>
        <w:t>n</w:t>
      </w:r>
      <w:r w:rsidRPr="00911A75">
        <w:rPr>
          <w:rFonts w:ascii="Arial" w:hAnsi="Arial" w:cs="Arial"/>
          <w:bCs/>
          <w:sz w:val="22"/>
          <w:szCs w:val="22"/>
          <w:lang w:val="fr-FR"/>
        </w:rPr>
        <w:t xml:space="preserve">. </w:t>
      </w:r>
      <w:r>
        <w:rPr>
          <w:rFonts w:ascii="Arial" w:hAnsi="Arial" w:cs="Arial"/>
          <w:bCs/>
          <w:sz w:val="22"/>
          <w:szCs w:val="22"/>
          <w:lang w:val="fr-FR"/>
        </w:rPr>
        <w:t>On pouvait espérer</w:t>
      </w:r>
      <w:r w:rsidRPr="00911A75">
        <w:rPr>
          <w:rFonts w:ascii="Arial" w:hAnsi="Arial" w:cs="Arial"/>
          <w:bCs/>
          <w:sz w:val="22"/>
          <w:szCs w:val="22"/>
          <w:lang w:val="fr-FR"/>
        </w:rPr>
        <w:t xml:space="preserve"> que toutes les propositio</w:t>
      </w:r>
      <w:r>
        <w:rPr>
          <w:rFonts w:ascii="Arial" w:hAnsi="Arial" w:cs="Arial"/>
          <w:bCs/>
          <w:sz w:val="22"/>
          <w:szCs w:val="22"/>
          <w:lang w:val="fr-FR"/>
        </w:rPr>
        <w:t>ns de révision des</w:t>
      </w:r>
      <w:r w:rsidRPr="00911A75">
        <w:rPr>
          <w:rFonts w:ascii="Arial" w:hAnsi="Arial" w:cs="Arial"/>
          <w:bCs/>
          <w:sz w:val="22"/>
          <w:szCs w:val="22"/>
          <w:lang w:val="fr-FR"/>
        </w:rPr>
        <w:t xml:space="preserve"> Directives opérationnelles seraient adoptées dans leur ensemble. L</w:t>
      </w:r>
      <w:r w:rsidR="008E532B">
        <w:rPr>
          <w:rFonts w:ascii="Arial" w:hAnsi="Arial" w:cs="Arial"/>
          <w:bCs/>
          <w:sz w:val="22"/>
          <w:szCs w:val="22"/>
          <w:lang w:val="fr-FR"/>
        </w:rPr>
        <w:t>’</w:t>
      </w:r>
      <w:r w:rsidRPr="00911A75">
        <w:rPr>
          <w:rFonts w:ascii="Arial" w:hAnsi="Arial" w:cs="Arial"/>
          <w:bCs/>
          <w:sz w:val="22"/>
          <w:szCs w:val="22"/>
          <w:lang w:val="fr-FR"/>
        </w:rPr>
        <w:t>Estonie s</w:t>
      </w:r>
      <w:r w:rsidR="008E532B">
        <w:rPr>
          <w:rFonts w:ascii="Arial" w:hAnsi="Arial" w:cs="Arial"/>
          <w:bCs/>
          <w:sz w:val="22"/>
          <w:szCs w:val="22"/>
          <w:lang w:val="fr-FR"/>
        </w:rPr>
        <w:t>’</w:t>
      </w:r>
      <w:r w:rsidRPr="00911A75">
        <w:rPr>
          <w:rFonts w:ascii="Arial" w:hAnsi="Arial" w:cs="Arial"/>
          <w:bCs/>
          <w:sz w:val="22"/>
          <w:szCs w:val="22"/>
          <w:lang w:val="fr-FR"/>
        </w:rPr>
        <w:t>est réjouie de la décision d</w:t>
      </w:r>
      <w:r w:rsidR="008E532B">
        <w:rPr>
          <w:rFonts w:ascii="Arial" w:hAnsi="Arial" w:cs="Arial"/>
          <w:bCs/>
          <w:sz w:val="22"/>
          <w:szCs w:val="22"/>
          <w:lang w:val="fr-FR"/>
        </w:rPr>
        <w:t>’</w:t>
      </w:r>
      <w:r w:rsidRPr="00911A75">
        <w:rPr>
          <w:rFonts w:ascii="Arial" w:hAnsi="Arial" w:cs="Arial"/>
          <w:bCs/>
          <w:sz w:val="22"/>
          <w:szCs w:val="22"/>
          <w:lang w:val="fr-FR"/>
        </w:rPr>
        <w:t>engager une réflexion séparée sur la mise en œuvre de l</w:t>
      </w:r>
      <w:r w:rsidR="008E532B">
        <w:rPr>
          <w:rFonts w:ascii="Arial" w:hAnsi="Arial" w:cs="Arial"/>
          <w:bCs/>
          <w:sz w:val="22"/>
          <w:szCs w:val="22"/>
          <w:lang w:val="fr-FR"/>
        </w:rPr>
        <w:t>’</w:t>
      </w:r>
      <w:r w:rsidRPr="00911A75">
        <w:rPr>
          <w:rFonts w:ascii="Arial" w:hAnsi="Arial" w:cs="Arial"/>
          <w:bCs/>
          <w:sz w:val="22"/>
          <w:szCs w:val="22"/>
          <w:lang w:val="fr-FR"/>
        </w:rPr>
        <w:t xml:space="preserve">article 18, remerciant la Suède de soutenir ce processus. Elle </w:t>
      </w:r>
      <w:r>
        <w:rPr>
          <w:rFonts w:ascii="Arial" w:hAnsi="Arial" w:cs="Arial"/>
          <w:bCs/>
          <w:sz w:val="22"/>
          <w:szCs w:val="22"/>
          <w:lang w:val="fr-FR"/>
        </w:rPr>
        <w:t>était impatiente</w:t>
      </w:r>
      <w:r w:rsidRPr="00911A75">
        <w:rPr>
          <w:rFonts w:ascii="Arial" w:hAnsi="Arial" w:cs="Arial"/>
          <w:bCs/>
          <w:sz w:val="22"/>
          <w:szCs w:val="22"/>
          <w:lang w:val="fr-FR"/>
        </w:rPr>
        <w:t xml:space="preserve"> de d</w:t>
      </w:r>
      <w:r>
        <w:rPr>
          <w:rFonts w:ascii="Arial" w:hAnsi="Arial" w:cs="Arial"/>
          <w:bCs/>
          <w:sz w:val="22"/>
          <w:szCs w:val="22"/>
          <w:lang w:val="fr-FR"/>
        </w:rPr>
        <w:t>ébattre de</w:t>
      </w:r>
      <w:r w:rsidRPr="00911A75">
        <w:rPr>
          <w:rFonts w:ascii="Arial" w:hAnsi="Arial" w:cs="Arial"/>
          <w:bCs/>
          <w:sz w:val="22"/>
          <w:szCs w:val="22"/>
          <w:lang w:val="fr-FR"/>
        </w:rPr>
        <w:t xml:space="preserve"> moyens plus légers </w:t>
      </w:r>
      <w:r>
        <w:rPr>
          <w:rFonts w:ascii="Arial" w:hAnsi="Arial" w:cs="Arial"/>
          <w:bCs/>
          <w:sz w:val="22"/>
          <w:szCs w:val="22"/>
          <w:lang w:val="fr-FR"/>
        </w:rPr>
        <w:t>pour</w:t>
      </w:r>
      <w:r w:rsidRPr="00911A75">
        <w:rPr>
          <w:rFonts w:ascii="Arial" w:hAnsi="Arial" w:cs="Arial"/>
          <w:bCs/>
          <w:sz w:val="22"/>
          <w:szCs w:val="22"/>
          <w:lang w:val="fr-FR"/>
        </w:rPr>
        <w:t xml:space="preserve"> promouvoir et diffuser les bonnes pratiques de sauvegarde. Dans le cadre des discussions sur les procédures exceptionnelles, il conv</w:t>
      </w:r>
      <w:r>
        <w:rPr>
          <w:rFonts w:ascii="Arial" w:hAnsi="Arial" w:cs="Arial"/>
          <w:bCs/>
          <w:sz w:val="22"/>
          <w:szCs w:val="22"/>
          <w:lang w:val="fr-FR"/>
        </w:rPr>
        <w:t>enait</w:t>
      </w:r>
      <w:r w:rsidRPr="00911A75">
        <w:rPr>
          <w:rFonts w:ascii="Arial" w:hAnsi="Arial" w:cs="Arial"/>
          <w:bCs/>
          <w:sz w:val="22"/>
          <w:szCs w:val="22"/>
          <w:lang w:val="fr-FR"/>
        </w:rPr>
        <w:t xml:space="preserve"> de noter que dans sa recommandation 11</w:t>
      </w:r>
      <w:r>
        <w:rPr>
          <w:rStyle w:val="FootnoteReference"/>
          <w:rFonts w:ascii="Arial" w:hAnsi="Arial" w:cs="Arial"/>
          <w:bCs/>
          <w:sz w:val="22"/>
          <w:szCs w:val="22"/>
          <w:lang w:val="fr-FR"/>
        </w:rPr>
        <w:footnoteReference w:id="38"/>
      </w:r>
      <w:r w:rsidRPr="00911A75">
        <w:rPr>
          <w:rFonts w:ascii="Arial" w:hAnsi="Arial" w:cs="Arial"/>
          <w:bCs/>
          <w:sz w:val="22"/>
          <w:szCs w:val="22"/>
          <w:lang w:val="fr-FR"/>
        </w:rPr>
        <w:t xml:space="preserve">, le groupe de travail </w:t>
      </w:r>
      <w:r>
        <w:rPr>
          <w:rFonts w:ascii="Arial" w:hAnsi="Arial" w:cs="Arial"/>
          <w:bCs/>
          <w:sz w:val="22"/>
          <w:szCs w:val="22"/>
          <w:lang w:val="fr-FR"/>
        </w:rPr>
        <w:t xml:space="preserve">[partie III de la réunion] </w:t>
      </w:r>
      <w:r w:rsidRPr="00911A75">
        <w:rPr>
          <w:rFonts w:ascii="Arial" w:hAnsi="Arial" w:cs="Arial"/>
          <w:bCs/>
          <w:sz w:val="22"/>
          <w:szCs w:val="22"/>
          <w:lang w:val="fr-FR"/>
        </w:rPr>
        <w:t>invit</w:t>
      </w:r>
      <w:r>
        <w:rPr>
          <w:rFonts w:ascii="Arial" w:hAnsi="Arial" w:cs="Arial"/>
          <w:bCs/>
          <w:sz w:val="22"/>
          <w:szCs w:val="22"/>
          <w:lang w:val="fr-FR"/>
        </w:rPr>
        <w:t>ait</w:t>
      </w:r>
      <w:r w:rsidRPr="00911A75">
        <w:rPr>
          <w:rFonts w:ascii="Arial" w:hAnsi="Arial" w:cs="Arial"/>
          <w:bCs/>
          <w:sz w:val="22"/>
          <w:szCs w:val="22"/>
          <w:lang w:val="fr-FR"/>
        </w:rPr>
        <w:t xml:space="preserve"> le Secrétariat à </w:t>
      </w:r>
      <w:r>
        <w:rPr>
          <w:rFonts w:ascii="Arial" w:hAnsi="Arial" w:cs="Arial"/>
          <w:bCs/>
          <w:sz w:val="22"/>
          <w:szCs w:val="22"/>
          <w:lang w:val="fr-FR"/>
        </w:rPr>
        <w:t>proposer d</w:t>
      </w:r>
      <w:r w:rsidR="008E532B">
        <w:rPr>
          <w:rFonts w:ascii="Arial" w:hAnsi="Arial" w:cs="Arial"/>
          <w:bCs/>
          <w:sz w:val="22"/>
          <w:szCs w:val="22"/>
          <w:lang w:val="fr-FR"/>
        </w:rPr>
        <w:t>’</w:t>
      </w:r>
      <w:r>
        <w:rPr>
          <w:rFonts w:ascii="Arial" w:hAnsi="Arial" w:cs="Arial"/>
          <w:bCs/>
          <w:sz w:val="22"/>
          <w:szCs w:val="22"/>
          <w:lang w:val="fr-FR"/>
        </w:rPr>
        <w:t xml:space="preserve">éventuels </w:t>
      </w:r>
      <w:r w:rsidRPr="00911A75">
        <w:rPr>
          <w:rFonts w:ascii="Arial" w:hAnsi="Arial" w:cs="Arial"/>
          <w:bCs/>
          <w:sz w:val="22"/>
          <w:szCs w:val="22"/>
          <w:lang w:val="fr-FR"/>
        </w:rPr>
        <w:t>critères pour définir les cas exceptionnels</w:t>
      </w:r>
      <w:r>
        <w:rPr>
          <w:rFonts w:ascii="Arial" w:hAnsi="Arial" w:cs="Arial"/>
          <w:bCs/>
          <w:sz w:val="22"/>
          <w:szCs w:val="22"/>
          <w:lang w:val="fr-FR"/>
        </w:rPr>
        <w:t>, pour examen par le</w:t>
      </w:r>
      <w:r w:rsidRPr="00911A75">
        <w:rPr>
          <w:rFonts w:ascii="Arial" w:hAnsi="Arial" w:cs="Arial"/>
          <w:bCs/>
          <w:sz w:val="22"/>
          <w:szCs w:val="22"/>
          <w:lang w:val="fr-FR"/>
        </w:rPr>
        <w:t xml:space="preserve"> Comité. Cette orientation facilitera</w:t>
      </w:r>
      <w:r>
        <w:rPr>
          <w:rFonts w:ascii="Arial" w:hAnsi="Arial" w:cs="Arial"/>
          <w:bCs/>
          <w:sz w:val="22"/>
          <w:szCs w:val="22"/>
          <w:lang w:val="fr-FR"/>
        </w:rPr>
        <w:t>it</w:t>
      </w:r>
      <w:r w:rsidRPr="00911A75">
        <w:rPr>
          <w:rFonts w:ascii="Arial" w:hAnsi="Arial" w:cs="Arial"/>
          <w:bCs/>
          <w:sz w:val="22"/>
          <w:szCs w:val="22"/>
          <w:lang w:val="fr-FR"/>
        </w:rPr>
        <w:t xml:space="preserve"> sans aucun doute les débats à l</w:t>
      </w:r>
      <w:r w:rsidR="008E532B">
        <w:rPr>
          <w:rFonts w:ascii="Arial" w:hAnsi="Arial" w:cs="Arial"/>
          <w:bCs/>
          <w:sz w:val="22"/>
          <w:szCs w:val="22"/>
          <w:lang w:val="fr-FR"/>
        </w:rPr>
        <w:t>’</w:t>
      </w:r>
      <w:r w:rsidRPr="00911A75">
        <w:rPr>
          <w:rFonts w:ascii="Arial" w:hAnsi="Arial" w:cs="Arial"/>
          <w:bCs/>
          <w:sz w:val="22"/>
          <w:szCs w:val="22"/>
          <w:lang w:val="fr-FR"/>
        </w:rPr>
        <w:t>avenir.</w:t>
      </w:r>
    </w:p>
    <w:p w14:paraId="06A9C559" w14:textId="3E2D6DF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C13EA">
        <w:rPr>
          <w:rFonts w:ascii="Arial" w:hAnsi="Arial" w:cs="Arial"/>
          <w:bCs/>
          <w:sz w:val="22"/>
          <w:szCs w:val="22"/>
          <w:lang w:val="fr-FR"/>
        </w:rPr>
        <w:t xml:space="preserve">La délégation du </w:t>
      </w:r>
      <w:r w:rsidRPr="004C13EA">
        <w:rPr>
          <w:rFonts w:ascii="Arial" w:hAnsi="Arial" w:cs="Arial"/>
          <w:b/>
          <w:sz w:val="22"/>
          <w:szCs w:val="22"/>
          <w:lang w:val="fr-FR"/>
        </w:rPr>
        <w:t>Japon</w:t>
      </w:r>
      <w:r w:rsidRPr="004C13EA">
        <w:rPr>
          <w:rFonts w:ascii="Arial" w:hAnsi="Arial" w:cs="Arial"/>
          <w:bCs/>
          <w:sz w:val="22"/>
          <w:szCs w:val="22"/>
          <w:lang w:val="fr-FR"/>
        </w:rPr>
        <w:t xml:space="preserve"> a félicité tous les États parties qui </w:t>
      </w:r>
      <w:r>
        <w:rPr>
          <w:rFonts w:ascii="Arial" w:hAnsi="Arial" w:cs="Arial"/>
          <w:bCs/>
          <w:sz w:val="22"/>
          <w:szCs w:val="22"/>
          <w:lang w:val="fr-FR"/>
        </w:rPr>
        <w:t>avaient activement</w:t>
      </w:r>
      <w:r w:rsidRPr="004C13EA">
        <w:rPr>
          <w:rFonts w:ascii="Arial" w:hAnsi="Arial" w:cs="Arial"/>
          <w:bCs/>
          <w:sz w:val="22"/>
          <w:szCs w:val="22"/>
          <w:lang w:val="fr-FR"/>
        </w:rPr>
        <w:t xml:space="preserve"> participé aux discussions de la réflexion globale sur les mécanismes d</w:t>
      </w:r>
      <w:r w:rsidR="008E532B">
        <w:rPr>
          <w:rFonts w:ascii="Arial" w:hAnsi="Arial" w:cs="Arial"/>
          <w:bCs/>
          <w:sz w:val="22"/>
          <w:szCs w:val="22"/>
          <w:lang w:val="fr-FR"/>
        </w:rPr>
        <w:t>’</w:t>
      </w:r>
      <w:r w:rsidRPr="004C13EA">
        <w:rPr>
          <w:rFonts w:ascii="Arial" w:hAnsi="Arial" w:cs="Arial"/>
          <w:bCs/>
          <w:sz w:val="22"/>
          <w:szCs w:val="22"/>
          <w:lang w:val="fr-FR"/>
        </w:rPr>
        <w:t>inscription, ainsi que M.</w:t>
      </w:r>
      <w:r>
        <w:rPr>
          <w:rFonts w:ascii="Arial" w:hAnsi="Arial" w:cs="Arial"/>
          <w:bCs/>
          <w:sz w:val="22"/>
          <w:szCs w:val="22"/>
          <w:lang w:val="fr-FR"/>
        </w:rPr>
        <w:t> </w:t>
      </w:r>
      <w:r w:rsidRPr="004C13EA">
        <w:rPr>
          <w:rFonts w:ascii="Arial" w:hAnsi="Arial" w:cs="Arial"/>
          <w:bCs/>
          <w:sz w:val="22"/>
          <w:szCs w:val="22"/>
          <w:lang w:val="fr-FR"/>
        </w:rPr>
        <w:t xml:space="preserve">Tim Curtis et </w:t>
      </w:r>
      <w:r w:rsidR="008D65C3">
        <w:rPr>
          <w:rFonts w:ascii="Arial" w:hAnsi="Arial" w:cs="Arial"/>
          <w:bCs/>
          <w:sz w:val="22"/>
          <w:szCs w:val="22"/>
          <w:lang w:val="fr-FR"/>
        </w:rPr>
        <w:t>Mme</w:t>
      </w:r>
      <w:r>
        <w:rPr>
          <w:rFonts w:ascii="Arial" w:hAnsi="Arial" w:cs="Arial"/>
          <w:bCs/>
          <w:sz w:val="22"/>
          <w:szCs w:val="22"/>
          <w:lang w:val="fr-FR"/>
        </w:rPr>
        <w:t> </w:t>
      </w:r>
      <w:r w:rsidRPr="004C13EA">
        <w:rPr>
          <w:rFonts w:ascii="Arial" w:hAnsi="Arial" w:cs="Arial"/>
          <w:bCs/>
          <w:sz w:val="22"/>
          <w:szCs w:val="22"/>
          <w:lang w:val="fr-FR"/>
        </w:rPr>
        <w:t>Fumiko Ohinata et leur équipe pour avoir organisé efficacement les réunions pendant la pandémie de COVID</w:t>
      </w:r>
      <w:r>
        <w:rPr>
          <w:rFonts w:ascii="Arial" w:hAnsi="Arial" w:cs="Arial"/>
          <w:bCs/>
          <w:sz w:val="22"/>
          <w:szCs w:val="22"/>
          <w:lang w:val="fr-FR"/>
        </w:rPr>
        <w:noBreakHyphen/>
      </w:r>
      <w:r w:rsidRPr="004C13EA">
        <w:rPr>
          <w:rFonts w:ascii="Arial" w:hAnsi="Arial" w:cs="Arial"/>
          <w:bCs/>
          <w:sz w:val="22"/>
          <w:szCs w:val="22"/>
          <w:lang w:val="fr-FR"/>
        </w:rPr>
        <w:t xml:space="preserve">19. Le groupe de travail </w:t>
      </w:r>
      <w:r>
        <w:rPr>
          <w:rFonts w:ascii="Arial" w:hAnsi="Arial" w:cs="Arial"/>
          <w:bCs/>
          <w:sz w:val="22"/>
          <w:szCs w:val="22"/>
          <w:lang w:val="fr-FR"/>
        </w:rPr>
        <w:t>avait suivi un</w:t>
      </w:r>
      <w:r w:rsidRPr="004C13EA">
        <w:rPr>
          <w:rFonts w:ascii="Arial" w:hAnsi="Arial" w:cs="Arial"/>
          <w:bCs/>
          <w:sz w:val="22"/>
          <w:szCs w:val="22"/>
          <w:lang w:val="fr-FR"/>
        </w:rPr>
        <w:t xml:space="preserve"> long processus </w:t>
      </w:r>
      <w:r>
        <w:rPr>
          <w:rFonts w:ascii="Arial" w:hAnsi="Arial" w:cs="Arial"/>
          <w:bCs/>
          <w:sz w:val="22"/>
          <w:szCs w:val="22"/>
          <w:lang w:val="fr-FR"/>
        </w:rPr>
        <w:t xml:space="preserve">en </w:t>
      </w:r>
      <w:r w:rsidRPr="004C13EA">
        <w:rPr>
          <w:rFonts w:ascii="Arial" w:hAnsi="Arial" w:cs="Arial"/>
          <w:bCs/>
          <w:sz w:val="22"/>
          <w:szCs w:val="22"/>
          <w:lang w:val="fr-FR"/>
        </w:rPr>
        <w:t xml:space="preserve">trois parties, mais </w:t>
      </w:r>
      <w:r>
        <w:rPr>
          <w:rFonts w:ascii="Arial" w:hAnsi="Arial" w:cs="Arial"/>
          <w:bCs/>
          <w:sz w:val="22"/>
          <w:szCs w:val="22"/>
          <w:lang w:val="fr-FR"/>
        </w:rPr>
        <w:t>ses résultats étaient nombreux</w:t>
      </w:r>
      <w:r w:rsidRPr="004C13EA">
        <w:rPr>
          <w:rFonts w:ascii="Arial" w:hAnsi="Arial" w:cs="Arial"/>
          <w:bCs/>
          <w:sz w:val="22"/>
          <w:szCs w:val="22"/>
          <w:lang w:val="fr-FR"/>
        </w:rPr>
        <w:t>. La délégation estim</w:t>
      </w:r>
      <w:r>
        <w:rPr>
          <w:rFonts w:ascii="Arial" w:hAnsi="Arial" w:cs="Arial"/>
          <w:bCs/>
          <w:sz w:val="22"/>
          <w:szCs w:val="22"/>
          <w:lang w:val="fr-FR"/>
        </w:rPr>
        <w:t xml:space="preserve">ait </w:t>
      </w:r>
      <w:r w:rsidRPr="004C13EA">
        <w:rPr>
          <w:rFonts w:ascii="Arial" w:hAnsi="Arial" w:cs="Arial"/>
          <w:bCs/>
          <w:sz w:val="22"/>
          <w:szCs w:val="22"/>
          <w:lang w:val="fr-FR"/>
        </w:rPr>
        <w:t>qu</w:t>
      </w:r>
      <w:r w:rsidR="008E532B">
        <w:rPr>
          <w:rFonts w:ascii="Arial" w:hAnsi="Arial" w:cs="Arial"/>
          <w:bCs/>
          <w:sz w:val="22"/>
          <w:szCs w:val="22"/>
          <w:lang w:val="fr-FR"/>
        </w:rPr>
        <w:t>’</w:t>
      </w:r>
      <w:r w:rsidRPr="004C13EA">
        <w:rPr>
          <w:rFonts w:ascii="Arial" w:hAnsi="Arial" w:cs="Arial"/>
          <w:bCs/>
          <w:sz w:val="22"/>
          <w:szCs w:val="22"/>
          <w:lang w:val="fr-FR"/>
        </w:rPr>
        <w:t>il serait important à l</w:t>
      </w:r>
      <w:r w:rsidR="008E532B">
        <w:rPr>
          <w:rFonts w:ascii="Arial" w:hAnsi="Arial" w:cs="Arial"/>
          <w:bCs/>
          <w:sz w:val="22"/>
          <w:szCs w:val="22"/>
          <w:lang w:val="fr-FR"/>
        </w:rPr>
        <w:t>’</w:t>
      </w:r>
      <w:r w:rsidRPr="004C13EA">
        <w:rPr>
          <w:rFonts w:ascii="Arial" w:hAnsi="Arial" w:cs="Arial"/>
          <w:bCs/>
          <w:sz w:val="22"/>
          <w:szCs w:val="22"/>
          <w:lang w:val="fr-FR"/>
        </w:rPr>
        <w:t xml:space="preserve">avenir de renforcer les ressources financières et humaines du Secrétariat </w:t>
      </w:r>
      <w:r>
        <w:rPr>
          <w:rFonts w:ascii="Arial" w:hAnsi="Arial" w:cs="Arial"/>
          <w:bCs/>
          <w:sz w:val="22"/>
          <w:szCs w:val="22"/>
          <w:lang w:val="fr-FR"/>
        </w:rPr>
        <w:t>afin d</w:t>
      </w:r>
      <w:r w:rsidR="008E532B">
        <w:rPr>
          <w:rFonts w:ascii="Arial" w:hAnsi="Arial" w:cs="Arial"/>
          <w:bCs/>
          <w:sz w:val="22"/>
          <w:szCs w:val="22"/>
          <w:lang w:val="fr-FR"/>
        </w:rPr>
        <w:t>’</w:t>
      </w:r>
      <w:r w:rsidRPr="004C13EA">
        <w:rPr>
          <w:rFonts w:ascii="Arial" w:hAnsi="Arial" w:cs="Arial"/>
          <w:bCs/>
          <w:sz w:val="22"/>
          <w:szCs w:val="22"/>
          <w:lang w:val="fr-FR"/>
        </w:rPr>
        <w:t xml:space="preserve">améliorer </w:t>
      </w:r>
      <w:r>
        <w:rPr>
          <w:rFonts w:ascii="Arial" w:hAnsi="Arial" w:cs="Arial"/>
          <w:bCs/>
          <w:sz w:val="22"/>
          <w:szCs w:val="22"/>
          <w:lang w:val="fr-FR"/>
        </w:rPr>
        <w:t xml:space="preserve">davantage </w:t>
      </w:r>
      <w:r w:rsidRPr="004C13EA">
        <w:rPr>
          <w:rFonts w:ascii="Arial" w:hAnsi="Arial" w:cs="Arial"/>
          <w:bCs/>
          <w:sz w:val="22"/>
          <w:szCs w:val="22"/>
          <w:lang w:val="fr-FR"/>
        </w:rPr>
        <w:t>les mécanismes d</w:t>
      </w:r>
      <w:r w:rsidR="008E532B">
        <w:rPr>
          <w:rFonts w:ascii="Arial" w:hAnsi="Arial" w:cs="Arial"/>
          <w:bCs/>
          <w:sz w:val="22"/>
          <w:szCs w:val="22"/>
          <w:lang w:val="fr-FR"/>
        </w:rPr>
        <w:t>’</w:t>
      </w:r>
      <w:r w:rsidRPr="004C13EA">
        <w:rPr>
          <w:rFonts w:ascii="Arial" w:hAnsi="Arial" w:cs="Arial"/>
          <w:bCs/>
          <w:sz w:val="22"/>
          <w:szCs w:val="22"/>
          <w:lang w:val="fr-FR"/>
        </w:rPr>
        <w:t>inscription. Elle attend</w:t>
      </w:r>
      <w:r>
        <w:rPr>
          <w:rFonts w:ascii="Arial" w:hAnsi="Arial" w:cs="Arial"/>
          <w:bCs/>
          <w:sz w:val="22"/>
          <w:szCs w:val="22"/>
          <w:lang w:val="fr-FR"/>
        </w:rPr>
        <w:t>ait</w:t>
      </w:r>
      <w:r w:rsidRPr="004C13EA">
        <w:rPr>
          <w:rFonts w:ascii="Arial" w:hAnsi="Arial" w:cs="Arial"/>
          <w:bCs/>
          <w:sz w:val="22"/>
          <w:szCs w:val="22"/>
          <w:lang w:val="fr-FR"/>
        </w:rPr>
        <w:t xml:space="preserve"> avec impatience le nouveau groupe de travail sur l</w:t>
      </w:r>
      <w:r w:rsidR="008E532B">
        <w:rPr>
          <w:rFonts w:ascii="Arial" w:hAnsi="Arial" w:cs="Arial"/>
          <w:bCs/>
          <w:sz w:val="22"/>
          <w:szCs w:val="22"/>
          <w:lang w:val="fr-FR"/>
        </w:rPr>
        <w:t>’</w:t>
      </w:r>
      <w:r w:rsidRPr="004C13EA">
        <w:rPr>
          <w:rFonts w:ascii="Arial" w:hAnsi="Arial" w:cs="Arial"/>
          <w:bCs/>
          <w:sz w:val="22"/>
          <w:szCs w:val="22"/>
          <w:lang w:val="fr-FR"/>
        </w:rPr>
        <w:t>article 18</w:t>
      </w:r>
      <w:r>
        <w:rPr>
          <w:rFonts w:ascii="Arial" w:hAnsi="Arial" w:cs="Arial"/>
          <w:bCs/>
          <w:sz w:val="22"/>
          <w:szCs w:val="22"/>
          <w:lang w:val="fr-FR"/>
        </w:rPr>
        <w:t xml:space="preserve"> </w:t>
      </w:r>
      <w:r w:rsidRPr="004C13EA">
        <w:rPr>
          <w:rFonts w:ascii="Arial" w:hAnsi="Arial" w:cs="Arial"/>
          <w:bCs/>
          <w:sz w:val="22"/>
          <w:szCs w:val="22"/>
          <w:lang w:val="fr-FR"/>
        </w:rPr>
        <w:t xml:space="preserve">et </w:t>
      </w:r>
      <w:r>
        <w:rPr>
          <w:rFonts w:ascii="Arial" w:hAnsi="Arial" w:cs="Arial"/>
          <w:bCs/>
          <w:sz w:val="22"/>
          <w:szCs w:val="22"/>
          <w:lang w:val="fr-FR"/>
        </w:rPr>
        <w:t xml:space="preserve">a </w:t>
      </w:r>
      <w:r w:rsidRPr="004C13EA">
        <w:rPr>
          <w:rFonts w:ascii="Arial" w:hAnsi="Arial" w:cs="Arial"/>
          <w:bCs/>
          <w:sz w:val="22"/>
          <w:szCs w:val="22"/>
          <w:lang w:val="fr-FR"/>
        </w:rPr>
        <w:t>remerci</w:t>
      </w:r>
      <w:r>
        <w:rPr>
          <w:rFonts w:ascii="Arial" w:hAnsi="Arial" w:cs="Arial"/>
          <w:bCs/>
          <w:sz w:val="22"/>
          <w:szCs w:val="22"/>
          <w:lang w:val="fr-FR"/>
        </w:rPr>
        <w:t>é</w:t>
      </w:r>
      <w:r w:rsidRPr="004C13EA">
        <w:rPr>
          <w:rFonts w:ascii="Arial" w:hAnsi="Arial" w:cs="Arial"/>
          <w:bCs/>
          <w:sz w:val="22"/>
          <w:szCs w:val="22"/>
          <w:lang w:val="fr-FR"/>
        </w:rPr>
        <w:t xml:space="preserve"> la Suède pour sa généreuse contribution. La délégation espér</w:t>
      </w:r>
      <w:r>
        <w:rPr>
          <w:rFonts w:ascii="Arial" w:hAnsi="Arial" w:cs="Arial"/>
          <w:bCs/>
          <w:sz w:val="22"/>
          <w:szCs w:val="22"/>
          <w:lang w:val="fr-FR"/>
        </w:rPr>
        <w:t>ait</w:t>
      </w:r>
      <w:r w:rsidRPr="004C13EA">
        <w:rPr>
          <w:rFonts w:ascii="Arial" w:hAnsi="Arial" w:cs="Arial"/>
          <w:bCs/>
          <w:sz w:val="22"/>
          <w:szCs w:val="22"/>
          <w:lang w:val="fr-FR"/>
        </w:rPr>
        <w:t xml:space="preserve"> que les </w:t>
      </w:r>
      <w:r w:rsidRPr="007D52CE">
        <w:rPr>
          <w:rFonts w:ascii="Arial" w:hAnsi="Arial" w:cs="Arial"/>
          <w:bCs/>
          <w:sz w:val="22"/>
          <w:szCs w:val="22"/>
          <w:lang w:val="fr-FR"/>
        </w:rPr>
        <w:t>propositio</w:t>
      </w:r>
      <w:r>
        <w:rPr>
          <w:rFonts w:ascii="Arial" w:hAnsi="Arial" w:cs="Arial"/>
          <w:bCs/>
          <w:sz w:val="22"/>
          <w:szCs w:val="22"/>
          <w:lang w:val="fr-FR"/>
        </w:rPr>
        <w:t>ns de révision des</w:t>
      </w:r>
      <w:r w:rsidRPr="004C13EA">
        <w:rPr>
          <w:rFonts w:ascii="Arial" w:hAnsi="Arial" w:cs="Arial"/>
          <w:bCs/>
          <w:sz w:val="22"/>
          <w:szCs w:val="22"/>
          <w:lang w:val="fr-FR"/>
        </w:rPr>
        <w:t xml:space="preserve"> </w:t>
      </w:r>
      <w:r>
        <w:rPr>
          <w:rFonts w:ascii="Arial" w:hAnsi="Arial" w:cs="Arial"/>
          <w:bCs/>
          <w:sz w:val="22"/>
          <w:szCs w:val="22"/>
          <w:lang w:val="fr-FR"/>
        </w:rPr>
        <w:t>D</w:t>
      </w:r>
      <w:r w:rsidRPr="004C13EA">
        <w:rPr>
          <w:rFonts w:ascii="Arial" w:hAnsi="Arial" w:cs="Arial"/>
          <w:bCs/>
          <w:sz w:val="22"/>
          <w:szCs w:val="22"/>
          <w:lang w:val="fr-FR"/>
        </w:rPr>
        <w:t xml:space="preserve">irectives opérationnelles, </w:t>
      </w:r>
      <w:r>
        <w:rPr>
          <w:rFonts w:ascii="Arial" w:hAnsi="Arial" w:cs="Arial"/>
          <w:bCs/>
          <w:sz w:val="22"/>
          <w:szCs w:val="22"/>
          <w:lang w:val="fr-FR"/>
        </w:rPr>
        <w:t xml:space="preserve">qui </w:t>
      </w:r>
      <w:r w:rsidRPr="004C13EA">
        <w:rPr>
          <w:rFonts w:ascii="Arial" w:hAnsi="Arial" w:cs="Arial"/>
          <w:bCs/>
          <w:sz w:val="22"/>
          <w:szCs w:val="22"/>
          <w:lang w:val="fr-FR"/>
        </w:rPr>
        <w:t>refl</w:t>
      </w:r>
      <w:r>
        <w:rPr>
          <w:rFonts w:ascii="Arial" w:hAnsi="Arial" w:cs="Arial"/>
          <w:bCs/>
          <w:sz w:val="22"/>
          <w:szCs w:val="22"/>
          <w:lang w:val="fr-FR"/>
        </w:rPr>
        <w:t>étaient</w:t>
      </w:r>
      <w:r w:rsidRPr="004C13EA">
        <w:rPr>
          <w:rFonts w:ascii="Arial" w:hAnsi="Arial" w:cs="Arial"/>
          <w:bCs/>
          <w:sz w:val="22"/>
          <w:szCs w:val="22"/>
          <w:lang w:val="fr-FR"/>
        </w:rPr>
        <w:t xml:space="preserve"> les résultats de ce groupe de travail, seraient approuvées dans leur ensemble sans discussion.</w:t>
      </w:r>
    </w:p>
    <w:p w14:paraId="3A048F0B" w14:textId="6FDFEFF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D52CE">
        <w:rPr>
          <w:rFonts w:ascii="Arial" w:hAnsi="Arial" w:cs="Arial"/>
          <w:bCs/>
          <w:sz w:val="22"/>
          <w:szCs w:val="22"/>
          <w:lang w:val="fr-FR"/>
        </w:rPr>
        <w:t>La délégation</w:t>
      </w:r>
      <w:r>
        <w:rPr>
          <w:rFonts w:ascii="Arial" w:hAnsi="Arial" w:cs="Arial"/>
          <w:bCs/>
          <w:sz w:val="22"/>
          <w:szCs w:val="22"/>
          <w:lang w:val="fr-FR"/>
        </w:rPr>
        <w:t xml:space="preserve"> de la </w:t>
      </w:r>
      <w:r w:rsidRPr="007D52CE">
        <w:rPr>
          <w:rFonts w:ascii="Arial" w:hAnsi="Arial" w:cs="Arial"/>
          <w:b/>
          <w:sz w:val="22"/>
          <w:szCs w:val="22"/>
          <w:lang w:val="fr-FR"/>
        </w:rPr>
        <w:t>France</w:t>
      </w:r>
      <w:r w:rsidRPr="007D52CE">
        <w:rPr>
          <w:rFonts w:ascii="Arial" w:hAnsi="Arial" w:cs="Arial"/>
          <w:bCs/>
          <w:sz w:val="22"/>
          <w:szCs w:val="22"/>
          <w:lang w:val="fr-FR"/>
        </w:rPr>
        <w:t xml:space="preserve"> a remercié le Japon pour son soutien et son travail dans cette réflexion. Elle souten</w:t>
      </w:r>
      <w:r>
        <w:rPr>
          <w:rFonts w:ascii="Arial" w:hAnsi="Arial" w:cs="Arial"/>
          <w:bCs/>
          <w:sz w:val="22"/>
          <w:szCs w:val="22"/>
          <w:lang w:val="fr-FR"/>
        </w:rPr>
        <w:t>ait</w:t>
      </w:r>
      <w:r w:rsidRPr="007D52CE">
        <w:rPr>
          <w:rFonts w:ascii="Arial" w:hAnsi="Arial" w:cs="Arial"/>
          <w:bCs/>
          <w:sz w:val="22"/>
          <w:szCs w:val="22"/>
          <w:lang w:val="fr-FR"/>
        </w:rPr>
        <w:t xml:space="preserve"> la modification des </w:t>
      </w:r>
      <w:r>
        <w:rPr>
          <w:rFonts w:ascii="Arial" w:hAnsi="Arial" w:cs="Arial"/>
          <w:bCs/>
          <w:sz w:val="22"/>
          <w:szCs w:val="22"/>
          <w:lang w:val="fr-FR"/>
        </w:rPr>
        <w:t>D</w:t>
      </w:r>
      <w:r w:rsidRPr="007D52CE">
        <w:rPr>
          <w:rFonts w:ascii="Arial" w:hAnsi="Arial" w:cs="Arial"/>
          <w:bCs/>
          <w:sz w:val="22"/>
          <w:szCs w:val="22"/>
          <w:lang w:val="fr-FR"/>
        </w:rPr>
        <w:t>irectives opérationnelles telle que proposée et a salué et souligné l</w:t>
      </w:r>
      <w:r w:rsidR="008E532B">
        <w:rPr>
          <w:rFonts w:ascii="Arial" w:hAnsi="Arial" w:cs="Arial"/>
          <w:bCs/>
          <w:sz w:val="22"/>
          <w:szCs w:val="22"/>
          <w:lang w:val="fr-FR"/>
        </w:rPr>
        <w:t>’</w:t>
      </w:r>
      <w:r w:rsidRPr="007D52CE">
        <w:rPr>
          <w:rFonts w:ascii="Arial" w:hAnsi="Arial" w:cs="Arial"/>
          <w:bCs/>
          <w:sz w:val="22"/>
          <w:szCs w:val="22"/>
          <w:lang w:val="fr-FR"/>
        </w:rPr>
        <w:t xml:space="preserve">importance de la recommandation 11 </w:t>
      </w:r>
      <w:r>
        <w:rPr>
          <w:rFonts w:ascii="Arial" w:hAnsi="Arial" w:cs="Arial"/>
          <w:bCs/>
          <w:sz w:val="22"/>
          <w:szCs w:val="22"/>
          <w:lang w:val="fr-FR"/>
        </w:rPr>
        <w:t xml:space="preserve">qui invitait </w:t>
      </w:r>
      <w:r w:rsidRPr="007D52CE">
        <w:rPr>
          <w:rFonts w:ascii="Arial" w:hAnsi="Arial" w:cs="Arial"/>
          <w:bCs/>
          <w:sz w:val="22"/>
          <w:szCs w:val="22"/>
          <w:lang w:val="fr-FR"/>
        </w:rPr>
        <w:t xml:space="preserve">le Secrétariat </w:t>
      </w:r>
      <w:r>
        <w:rPr>
          <w:rFonts w:ascii="Arial" w:hAnsi="Arial" w:cs="Arial"/>
          <w:bCs/>
          <w:sz w:val="22"/>
          <w:szCs w:val="22"/>
          <w:lang w:val="fr-FR"/>
        </w:rPr>
        <w:t xml:space="preserve">à </w:t>
      </w:r>
      <w:r w:rsidRPr="007D52CE">
        <w:rPr>
          <w:rFonts w:ascii="Arial" w:hAnsi="Arial" w:cs="Arial"/>
          <w:bCs/>
          <w:sz w:val="22"/>
          <w:szCs w:val="22"/>
          <w:lang w:val="fr-FR"/>
        </w:rPr>
        <w:t>propose</w:t>
      </w:r>
      <w:r>
        <w:rPr>
          <w:rFonts w:ascii="Arial" w:hAnsi="Arial" w:cs="Arial"/>
          <w:bCs/>
          <w:sz w:val="22"/>
          <w:szCs w:val="22"/>
          <w:lang w:val="fr-FR"/>
        </w:rPr>
        <w:t>r</w:t>
      </w:r>
      <w:r w:rsidRPr="007D52CE">
        <w:rPr>
          <w:rFonts w:ascii="Arial" w:hAnsi="Arial" w:cs="Arial"/>
          <w:bCs/>
          <w:sz w:val="22"/>
          <w:szCs w:val="22"/>
          <w:lang w:val="fr-FR"/>
        </w:rPr>
        <w:t xml:space="preserve"> des critères clairs et précis </w:t>
      </w:r>
      <w:r>
        <w:rPr>
          <w:rFonts w:ascii="Arial" w:hAnsi="Arial" w:cs="Arial"/>
          <w:bCs/>
          <w:sz w:val="22"/>
          <w:szCs w:val="22"/>
          <w:lang w:val="fr-FR"/>
        </w:rPr>
        <w:t xml:space="preserve">pour </w:t>
      </w:r>
      <w:r w:rsidRPr="007D52CE">
        <w:rPr>
          <w:rFonts w:ascii="Arial" w:hAnsi="Arial" w:cs="Arial"/>
          <w:bCs/>
          <w:sz w:val="22"/>
          <w:szCs w:val="22"/>
          <w:lang w:val="fr-FR"/>
        </w:rPr>
        <w:t>défini</w:t>
      </w:r>
      <w:r>
        <w:rPr>
          <w:rFonts w:ascii="Arial" w:hAnsi="Arial" w:cs="Arial"/>
          <w:bCs/>
          <w:sz w:val="22"/>
          <w:szCs w:val="22"/>
          <w:lang w:val="fr-FR"/>
        </w:rPr>
        <w:t>r l</w:t>
      </w:r>
      <w:r w:rsidRPr="007D52CE">
        <w:rPr>
          <w:rFonts w:ascii="Arial" w:hAnsi="Arial" w:cs="Arial"/>
          <w:bCs/>
          <w:sz w:val="22"/>
          <w:szCs w:val="22"/>
          <w:lang w:val="fr-FR"/>
        </w:rPr>
        <w:t>es cas exceptionnels nécessitant une procédure accélérée.</w:t>
      </w:r>
    </w:p>
    <w:p w14:paraId="5BF07D2D" w14:textId="7468089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D52CE">
        <w:rPr>
          <w:rFonts w:ascii="Arial" w:hAnsi="Arial" w:cs="Arial"/>
          <w:bCs/>
          <w:sz w:val="22"/>
          <w:szCs w:val="22"/>
          <w:lang w:val="fr-FR"/>
        </w:rPr>
        <w:t xml:space="preserve">La délégation des </w:t>
      </w:r>
      <w:r w:rsidRPr="007D52CE">
        <w:rPr>
          <w:rFonts w:ascii="Arial" w:hAnsi="Arial" w:cs="Arial"/>
          <w:b/>
          <w:sz w:val="22"/>
          <w:szCs w:val="22"/>
          <w:lang w:val="fr-FR"/>
        </w:rPr>
        <w:t>Pays</w:t>
      </w:r>
      <w:r w:rsidRPr="007D52CE">
        <w:rPr>
          <w:rFonts w:ascii="Arial" w:hAnsi="Arial" w:cs="Arial"/>
          <w:b/>
          <w:sz w:val="22"/>
          <w:szCs w:val="22"/>
          <w:lang w:val="fr-FR"/>
        </w:rPr>
        <w:noBreakHyphen/>
        <w:t>Bas</w:t>
      </w:r>
      <w:r w:rsidRPr="007D52CE">
        <w:rPr>
          <w:rFonts w:ascii="Arial" w:hAnsi="Arial" w:cs="Arial"/>
          <w:bCs/>
          <w:sz w:val="22"/>
          <w:szCs w:val="22"/>
          <w:lang w:val="fr-FR"/>
        </w:rPr>
        <w:t xml:space="preserve"> a remercié l</w:t>
      </w:r>
      <w:r w:rsidR="008E532B">
        <w:rPr>
          <w:rFonts w:ascii="Arial" w:hAnsi="Arial" w:cs="Arial"/>
          <w:bCs/>
          <w:sz w:val="22"/>
          <w:szCs w:val="22"/>
          <w:lang w:val="fr-FR"/>
        </w:rPr>
        <w:t>’</w:t>
      </w:r>
      <w:r>
        <w:rPr>
          <w:rFonts w:ascii="Arial" w:hAnsi="Arial" w:cs="Arial"/>
          <w:bCs/>
          <w:sz w:val="22"/>
          <w:szCs w:val="22"/>
          <w:lang w:val="fr-FR"/>
        </w:rPr>
        <w:t>a</w:t>
      </w:r>
      <w:r w:rsidRPr="007D52CE">
        <w:rPr>
          <w:rFonts w:ascii="Arial" w:hAnsi="Arial" w:cs="Arial"/>
          <w:bCs/>
          <w:sz w:val="22"/>
          <w:szCs w:val="22"/>
          <w:lang w:val="fr-FR"/>
        </w:rPr>
        <w:t xml:space="preserve">mbassadeur du Japon </w:t>
      </w:r>
      <w:r>
        <w:rPr>
          <w:rFonts w:ascii="Arial" w:hAnsi="Arial" w:cs="Arial"/>
          <w:bCs/>
          <w:sz w:val="22"/>
          <w:szCs w:val="22"/>
          <w:lang w:val="fr-FR"/>
        </w:rPr>
        <w:t>d</w:t>
      </w:r>
      <w:r w:rsidR="008E532B">
        <w:rPr>
          <w:rFonts w:ascii="Arial" w:hAnsi="Arial" w:cs="Arial"/>
          <w:bCs/>
          <w:sz w:val="22"/>
          <w:szCs w:val="22"/>
          <w:lang w:val="fr-FR"/>
        </w:rPr>
        <w:t>’</w:t>
      </w:r>
      <w:r w:rsidRPr="007D52CE">
        <w:rPr>
          <w:rFonts w:ascii="Arial" w:hAnsi="Arial" w:cs="Arial"/>
          <w:bCs/>
          <w:sz w:val="22"/>
          <w:szCs w:val="22"/>
          <w:lang w:val="fr-FR"/>
        </w:rPr>
        <w:t>avoir présidé le groupe de travail. Les Pays</w:t>
      </w:r>
      <w:r>
        <w:rPr>
          <w:rFonts w:ascii="Arial" w:hAnsi="Arial" w:cs="Arial"/>
          <w:bCs/>
          <w:sz w:val="22"/>
          <w:szCs w:val="22"/>
          <w:lang w:val="fr-FR"/>
        </w:rPr>
        <w:noBreakHyphen/>
      </w:r>
      <w:r w:rsidRPr="007D52CE">
        <w:rPr>
          <w:rFonts w:ascii="Arial" w:hAnsi="Arial" w:cs="Arial"/>
          <w:bCs/>
          <w:sz w:val="22"/>
          <w:szCs w:val="22"/>
          <w:lang w:val="fr-FR"/>
        </w:rPr>
        <w:t xml:space="preserve">Bas </w:t>
      </w:r>
      <w:r>
        <w:rPr>
          <w:rFonts w:ascii="Arial" w:hAnsi="Arial" w:cs="Arial"/>
          <w:bCs/>
          <w:sz w:val="22"/>
          <w:szCs w:val="22"/>
          <w:lang w:val="fr-FR"/>
        </w:rPr>
        <w:t>étaient</w:t>
      </w:r>
      <w:r w:rsidRPr="007D52CE">
        <w:rPr>
          <w:rFonts w:ascii="Arial" w:hAnsi="Arial" w:cs="Arial"/>
          <w:bCs/>
          <w:sz w:val="22"/>
          <w:szCs w:val="22"/>
          <w:lang w:val="fr-FR"/>
        </w:rPr>
        <w:t xml:space="preserve"> favorables à un mécanisme d</w:t>
      </w:r>
      <w:r w:rsidR="008E532B">
        <w:rPr>
          <w:rFonts w:ascii="Arial" w:hAnsi="Arial" w:cs="Arial"/>
          <w:bCs/>
          <w:sz w:val="22"/>
          <w:szCs w:val="22"/>
          <w:lang w:val="fr-FR"/>
        </w:rPr>
        <w:t>’</w:t>
      </w:r>
      <w:r w:rsidRPr="007D52CE">
        <w:rPr>
          <w:rFonts w:ascii="Arial" w:hAnsi="Arial" w:cs="Arial"/>
          <w:bCs/>
          <w:sz w:val="22"/>
          <w:szCs w:val="22"/>
          <w:lang w:val="fr-FR"/>
        </w:rPr>
        <w:t>inscription dynamique et inclusif, avec des procédures allégées pour les candidatures élargies, ce qui diminuerait la charge de travail du Secrétariat. Ils ont</w:t>
      </w:r>
      <w:r>
        <w:rPr>
          <w:rFonts w:ascii="Arial" w:hAnsi="Arial" w:cs="Arial"/>
          <w:bCs/>
          <w:sz w:val="22"/>
          <w:szCs w:val="22"/>
          <w:lang w:val="fr-FR"/>
        </w:rPr>
        <w:t xml:space="preserve"> rappelé</w:t>
      </w:r>
      <w:r w:rsidRPr="007D52CE">
        <w:rPr>
          <w:rFonts w:ascii="Arial" w:hAnsi="Arial" w:cs="Arial"/>
          <w:bCs/>
          <w:sz w:val="22"/>
          <w:szCs w:val="22"/>
          <w:lang w:val="fr-FR"/>
        </w:rPr>
        <w:t xml:space="preserve"> la recommandation selon laquelle les mécanismes d</w:t>
      </w:r>
      <w:r w:rsidR="008E532B">
        <w:rPr>
          <w:rFonts w:ascii="Arial" w:hAnsi="Arial" w:cs="Arial"/>
          <w:bCs/>
          <w:sz w:val="22"/>
          <w:szCs w:val="22"/>
          <w:lang w:val="fr-FR"/>
        </w:rPr>
        <w:t>’</w:t>
      </w:r>
      <w:r w:rsidRPr="007D52CE">
        <w:rPr>
          <w:rFonts w:ascii="Arial" w:hAnsi="Arial" w:cs="Arial"/>
          <w:bCs/>
          <w:sz w:val="22"/>
          <w:szCs w:val="22"/>
          <w:lang w:val="fr-FR"/>
        </w:rPr>
        <w:t>inscription réformés devraient s</w:t>
      </w:r>
      <w:r w:rsidR="008E532B">
        <w:rPr>
          <w:rFonts w:ascii="Arial" w:hAnsi="Arial" w:cs="Arial"/>
          <w:bCs/>
          <w:sz w:val="22"/>
          <w:szCs w:val="22"/>
          <w:lang w:val="fr-FR"/>
        </w:rPr>
        <w:t>’</w:t>
      </w:r>
      <w:r w:rsidRPr="007D52CE">
        <w:rPr>
          <w:rFonts w:ascii="Arial" w:hAnsi="Arial" w:cs="Arial"/>
          <w:bCs/>
          <w:sz w:val="22"/>
          <w:szCs w:val="22"/>
          <w:lang w:val="fr-FR"/>
        </w:rPr>
        <w:t>efforcer de placer les communautés au centre des efforts de sauvegarde et rechercher leur participation plus large et plus active à toutes les étapes du système d</w:t>
      </w:r>
      <w:r w:rsidR="008E532B">
        <w:rPr>
          <w:rFonts w:ascii="Arial" w:hAnsi="Arial" w:cs="Arial"/>
          <w:bCs/>
          <w:sz w:val="22"/>
          <w:szCs w:val="22"/>
          <w:lang w:val="fr-FR"/>
        </w:rPr>
        <w:t>’</w:t>
      </w:r>
      <w:r w:rsidRPr="007D52CE">
        <w:rPr>
          <w:rFonts w:ascii="Arial" w:hAnsi="Arial" w:cs="Arial"/>
          <w:bCs/>
          <w:sz w:val="22"/>
          <w:szCs w:val="22"/>
          <w:lang w:val="fr-FR"/>
        </w:rPr>
        <w:t xml:space="preserve">inscription. En effet, les </w:t>
      </w:r>
      <w:r>
        <w:rPr>
          <w:rFonts w:ascii="Arial" w:hAnsi="Arial" w:cs="Arial"/>
          <w:bCs/>
          <w:sz w:val="22"/>
          <w:szCs w:val="22"/>
          <w:lang w:val="fr-FR"/>
        </w:rPr>
        <w:t>l</w:t>
      </w:r>
      <w:r w:rsidRPr="007D52CE">
        <w:rPr>
          <w:rFonts w:ascii="Arial" w:hAnsi="Arial" w:cs="Arial"/>
          <w:bCs/>
          <w:sz w:val="22"/>
          <w:szCs w:val="22"/>
          <w:lang w:val="fr-FR"/>
        </w:rPr>
        <w:t>istes n</w:t>
      </w:r>
      <w:r w:rsidR="008E532B">
        <w:rPr>
          <w:rFonts w:ascii="Arial" w:hAnsi="Arial" w:cs="Arial"/>
          <w:bCs/>
          <w:sz w:val="22"/>
          <w:szCs w:val="22"/>
          <w:lang w:val="fr-FR"/>
        </w:rPr>
        <w:t>’</w:t>
      </w:r>
      <w:r>
        <w:rPr>
          <w:rFonts w:ascii="Arial" w:hAnsi="Arial" w:cs="Arial"/>
          <w:bCs/>
          <w:sz w:val="22"/>
          <w:szCs w:val="22"/>
          <w:lang w:val="fr-FR"/>
        </w:rPr>
        <w:t>étaient</w:t>
      </w:r>
      <w:r w:rsidRPr="007D52CE">
        <w:rPr>
          <w:rFonts w:ascii="Arial" w:hAnsi="Arial" w:cs="Arial"/>
          <w:bCs/>
          <w:sz w:val="22"/>
          <w:szCs w:val="22"/>
          <w:lang w:val="fr-FR"/>
        </w:rPr>
        <w:t xml:space="preserve"> pas une fin mais un moyen. En tant que gardiens collectifs de la Convention, les États parties d</w:t>
      </w:r>
      <w:r>
        <w:rPr>
          <w:rFonts w:ascii="Arial" w:hAnsi="Arial" w:cs="Arial"/>
          <w:bCs/>
          <w:sz w:val="22"/>
          <w:szCs w:val="22"/>
          <w:lang w:val="fr-FR"/>
        </w:rPr>
        <w:t>evaient</w:t>
      </w:r>
      <w:r w:rsidRPr="007D52CE">
        <w:rPr>
          <w:rFonts w:ascii="Arial" w:hAnsi="Arial" w:cs="Arial"/>
          <w:bCs/>
          <w:sz w:val="22"/>
          <w:szCs w:val="22"/>
          <w:lang w:val="fr-FR"/>
        </w:rPr>
        <w:t xml:space="preserve"> veiller à ce que les </w:t>
      </w:r>
      <w:r>
        <w:rPr>
          <w:rFonts w:ascii="Arial" w:hAnsi="Arial" w:cs="Arial"/>
          <w:bCs/>
          <w:sz w:val="22"/>
          <w:szCs w:val="22"/>
          <w:lang w:val="fr-FR"/>
        </w:rPr>
        <w:t>l</w:t>
      </w:r>
      <w:r w:rsidRPr="007D52CE">
        <w:rPr>
          <w:rFonts w:ascii="Arial" w:hAnsi="Arial" w:cs="Arial"/>
          <w:bCs/>
          <w:sz w:val="22"/>
          <w:szCs w:val="22"/>
          <w:lang w:val="fr-FR"/>
        </w:rPr>
        <w:t>istes ne deviennent pas une fin en soi. La délégation respect</w:t>
      </w:r>
      <w:r>
        <w:rPr>
          <w:rFonts w:ascii="Arial" w:hAnsi="Arial" w:cs="Arial"/>
          <w:bCs/>
          <w:sz w:val="22"/>
          <w:szCs w:val="22"/>
          <w:lang w:val="fr-FR"/>
        </w:rPr>
        <w:t>ait</w:t>
      </w:r>
      <w:r w:rsidRPr="007D52CE">
        <w:rPr>
          <w:rFonts w:ascii="Arial" w:hAnsi="Arial" w:cs="Arial"/>
          <w:bCs/>
          <w:sz w:val="22"/>
          <w:szCs w:val="22"/>
          <w:lang w:val="fr-FR"/>
        </w:rPr>
        <w:t xml:space="preserve"> le travail approfondi du groupe de travail à composition non limitée et approuv</w:t>
      </w:r>
      <w:r>
        <w:rPr>
          <w:rFonts w:ascii="Arial" w:hAnsi="Arial" w:cs="Arial"/>
          <w:bCs/>
          <w:sz w:val="22"/>
          <w:szCs w:val="22"/>
          <w:lang w:val="fr-FR"/>
        </w:rPr>
        <w:t>ait</w:t>
      </w:r>
      <w:r w:rsidRPr="007D52CE">
        <w:rPr>
          <w:rFonts w:ascii="Arial" w:hAnsi="Arial" w:cs="Arial"/>
          <w:bCs/>
          <w:sz w:val="22"/>
          <w:szCs w:val="22"/>
          <w:lang w:val="fr-FR"/>
        </w:rPr>
        <w:t xml:space="preserve"> donc le projet de décision.</w:t>
      </w:r>
    </w:p>
    <w:p w14:paraId="33FEFB91" w14:textId="0D35DD5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E0677">
        <w:rPr>
          <w:rFonts w:ascii="Arial" w:hAnsi="Arial" w:cs="Arial"/>
          <w:bCs/>
          <w:sz w:val="22"/>
          <w:szCs w:val="22"/>
          <w:lang w:val="fr-FR"/>
        </w:rPr>
        <w:t xml:space="preserve">La délégation de la </w:t>
      </w:r>
      <w:r w:rsidRPr="008E0677">
        <w:rPr>
          <w:rFonts w:ascii="Arial" w:hAnsi="Arial" w:cs="Arial"/>
          <w:b/>
          <w:sz w:val="22"/>
          <w:szCs w:val="22"/>
          <w:lang w:val="fr-FR"/>
        </w:rPr>
        <w:t>Roumanie</w:t>
      </w:r>
      <w:r w:rsidRPr="008E0677">
        <w:rPr>
          <w:rFonts w:ascii="Arial" w:hAnsi="Arial" w:cs="Arial"/>
          <w:bCs/>
          <w:sz w:val="22"/>
          <w:szCs w:val="22"/>
          <w:lang w:val="fr-FR"/>
        </w:rPr>
        <w:t xml:space="preserve"> a remercié les experts pour leur excellent travail dans le </w:t>
      </w:r>
      <w:r>
        <w:rPr>
          <w:rFonts w:ascii="Arial" w:hAnsi="Arial" w:cs="Arial"/>
          <w:bCs/>
          <w:sz w:val="22"/>
          <w:szCs w:val="22"/>
          <w:lang w:val="fr-FR"/>
        </w:rPr>
        <w:t xml:space="preserve">cadre du </w:t>
      </w:r>
      <w:r w:rsidRPr="008E0677">
        <w:rPr>
          <w:rFonts w:ascii="Arial" w:hAnsi="Arial" w:cs="Arial"/>
          <w:bCs/>
          <w:sz w:val="22"/>
          <w:szCs w:val="22"/>
          <w:lang w:val="fr-FR"/>
        </w:rPr>
        <w:t>processus de réflexion. La Roumanie soutenait une meilleure gestion du nombre d</w:t>
      </w:r>
      <w:r w:rsidR="008E532B">
        <w:rPr>
          <w:rFonts w:ascii="Arial" w:hAnsi="Arial" w:cs="Arial"/>
          <w:bCs/>
          <w:sz w:val="22"/>
          <w:szCs w:val="22"/>
          <w:lang w:val="fr-FR"/>
        </w:rPr>
        <w:t>’</w:t>
      </w:r>
      <w:r w:rsidRPr="008E0677">
        <w:rPr>
          <w:rFonts w:ascii="Arial" w:hAnsi="Arial" w:cs="Arial"/>
          <w:bCs/>
          <w:sz w:val="22"/>
          <w:szCs w:val="22"/>
          <w:lang w:val="fr-FR"/>
        </w:rPr>
        <w:t>éléments sur la Liste représentative afin de responsabiliser les États dans la mise en œuvre des plans de sauvegarde. L</w:t>
      </w:r>
      <w:r w:rsidR="008E532B">
        <w:rPr>
          <w:rFonts w:ascii="Arial" w:hAnsi="Arial" w:cs="Arial"/>
          <w:bCs/>
          <w:sz w:val="22"/>
          <w:szCs w:val="22"/>
          <w:lang w:val="fr-FR"/>
        </w:rPr>
        <w:t>’</w:t>
      </w:r>
      <w:r w:rsidRPr="008E0677">
        <w:rPr>
          <w:rFonts w:ascii="Arial" w:hAnsi="Arial" w:cs="Arial"/>
          <w:bCs/>
          <w:sz w:val="22"/>
          <w:szCs w:val="22"/>
          <w:lang w:val="fr-FR"/>
        </w:rPr>
        <w:t xml:space="preserve">objectif fondamental de la Convention </w:t>
      </w:r>
      <w:r>
        <w:rPr>
          <w:rFonts w:ascii="Arial" w:hAnsi="Arial" w:cs="Arial"/>
          <w:bCs/>
          <w:sz w:val="22"/>
          <w:szCs w:val="22"/>
          <w:lang w:val="fr-FR"/>
        </w:rPr>
        <w:t>était</w:t>
      </w:r>
      <w:r w:rsidRPr="008E0677">
        <w:rPr>
          <w:rFonts w:ascii="Arial" w:hAnsi="Arial" w:cs="Arial"/>
          <w:bCs/>
          <w:sz w:val="22"/>
          <w:szCs w:val="22"/>
          <w:lang w:val="fr-FR"/>
        </w:rPr>
        <w:t xml:space="preserve"> de créer un mécanisme international pour la protection, la conservation, la sauvegarde et la visibilité des éléments. Afin d</w:t>
      </w:r>
      <w:r w:rsidR="008E532B">
        <w:rPr>
          <w:rFonts w:ascii="Arial" w:hAnsi="Arial" w:cs="Arial"/>
          <w:bCs/>
          <w:sz w:val="22"/>
          <w:szCs w:val="22"/>
          <w:lang w:val="fr-FR"/>
        </w:rPr>
        <w:t>’</w:t>
      </w:r>
      <w:r w:rsidRPr="008E0677">
        <w:rPr>
          <w:rFonts w:ascii="Arial" w:hAnsi="Arial" w:cs="Arial"/>
          <w:bCs/>
          <w:sz w:val="22"/>
          <w:szCs w:val="22"/>
          <w:lang w:val="fr-FR"/>
        </w:rPr>
        <w:t>éviter l</w:t>
      </w:r>
      <w:r w:rsidR="008E532B">
        <w:rPr>
          <w:rFonts w:ascii="Arial" w:hAnsi="Arial" w:cs="Arial"/>
          <w:bCs/>
          <w:sz w:val="22"/>
          <w:szCs w:val="22"/>
          <w:lang w:val="fr-FR"/>
        </w:rPr>
        <w:t>’</w:t>
      </w:r>
      <w:r>
        <w:rPr>
          <w:rFonts w:ascii="Arial" w:hAnsi="Arial" w:cs="Arial"/>
          <w:bCs/>
          <w:sz w:val="22"/>
          <w:szCs w:val="22"/>
          <w:lang w:val="fr-FR"/>
        </w:rPr>
        <w:t xml:space="preserve">inflation des </w:t>
      </w:r>
      <w:r w:rsidRPr="008E0677">
        <w:rPr>
          <w:rFonts w:ascii="Arial" w:hAnsi="Arial" w:cs="Arial"/>
          <w:bCs/>
          <w:sz w:val="22"/>
          <w:szCs w:val="22"/>
          <w:lang w:val="fr-FR"/>
        </w:rPr>
        <w:t>éléments et leur dévalorisation implicite et involontaire</w:t>
      </w:r>
      <w:r>
        <w:rPr>
          <w:rFonts w:ascii="Arial" w:hAnsi="Arial" w:cs="Arial"/>
          <w:bCs/>
          <w:sz w:val="22"/>
          <w:szCs w:val="22"/>
          <w:lang w:val="fr-FR"/>
        </w:rPr>
        <w:t>,</w:t>
      </w:r>
      <w:r w:rsidRPr="008E0677">
        <w:rPr>
          <w:rFonts w:ascii="Arial" w:hAnsi="Arial" w:cs="Arial"/>
          <w:bCs/>
          <w:sz w:val="22"/>
          <w:szCs w:val="22"/>
          <w:lang w:val="fr-FR"/>
        </w:rPr>
        <w:t xml:space="preserve"> rendant de plus en plus difficile le suivi de la dynamique, des fonctions et de la signification de ces éléments, une sélection était nécessaire et obligatoire pour chaque État. La délégation soutenait également le rôle des centres de catégorie 2 de l</w:t>
      </w:r>
      <w:r w:rsidR="008E532B">
        <w:rPr>
          <w:rFonts w:ascii="Arial" w:hAnsi="Arial" w:cs="Arial"/>
          <w:bCs/>
          <w:sz w:val="22"/>
          <w:szCs w:val="22"/>
          <w:lang w:val="fr-FR"/>
        </w:rPr>
        <w:t>’</w:t>
      </w:r>
      <w:r w:rsidRPr="008E0677">
        <w:rPr>
          <w:rFonts w:ascii="Arial" w:hAnsi="Arial" w:cs="Arial"/>
          <w:bCs/>
          <w:sz w:val="22"/>
          <w:szCs w:val="22"/>
          <w:lang w:val="fr-FR"/>
        </w:rPr>
        <w:t>UNESCO dans le suivi des plans nationaux de sauvegarde, ce qui permettrait d</w:t>
      </w:r>
      <w:r w:rsidR="008E532B">
        <w:rPr>
          <w:rFonts w:ascii="Arial" w:hAnsi="Arial" w:cs="Arial"/>
          <w:bCs/>
          <w:sz w:val="22"/>
          <w:szCs w:val="22"/>
          <w:lang w:val="fr-FR"/>
        </w:rPr>
        <w:t>’</w:t>
      </w:r>
      <w:r w:rsidRPr="008E0677">
        <w:rPr>
          <w:rFonts w:ascii="Arial" w:hAnsi="Arial" w:cs="Arial"/>
          <w:bCs/>
          <w:sz w:val="22"/>
          <w:szCs w:val="22"/>
          <w:lang w:val="fr-FR"/>
        </w:rPr>
        <w:t>accroître la transparence et la responsabilité des États dans le respect de leurs obligations. Une autre idée qui a</w:t>
      </w:r>
      <w:r>
        <w:rPr>
          <w:rFonts w:ascii="Arial" w:hAnsi="Arial" w:cs="Arial"/>
          <w:bCs/>
          <w:sz w:val="22"/>
          <w:szCs w:val="22"/>
          <w:lang w:val="fr-FR"/>
        </w:rPr>
        <w:t>vait</w:t>
      </w:r>
      <w:r w:rsidRPr="008E0677">
        <w:rPr>
          <w:rFonts w:ascii="Arial" w:hAnsi="Arial" w:cs="Arial"/>
          <w:bCs/>
          <w:sz w:val="22"/>
          <w:szCs w:val="22"/>
          <w:lang w:val="fr-FR"/>
        </w:rPr>
        <w:t xml:space="preserve"> </w:t>
      </w:r>
      <w:r>
        <w:rPr>
          <w:rFonts w:ascii="Arial" w:hAnsi="Arial" w:cs="Arial"/>
          <w:bCs/>
          <w:sz w:val="22"/>
          <w:szCs w:val="22"/>
          <w:lang w:val="fr-FR"/>
        </w:rPr>
        <w:t>fait l</w:t>
      </w:r>
      <w:r w:rsidR="008E532B">
        <w:rPr>
          <w:rFonts w:ascii="Arial" w:hAnsi="Arial" w:cs="Arial"/>
          <w:bCs/>
          <w:sz w:val="22"/>
          <w:szCs w:val="22"/>
          <w:lang w:val="fr-FR"/>
        </w:rPr>
        <w:t>’</w:t>
      </w:r>
      <w:r>
        <w:rPr>
          <w:rFonts w:ascii="Arial" w:hAnsi="Arial" w:cs="Arial"/>
          <w:bCs/>
          <w:sz w:val="22"/>
          <w:szCs w:val="22"/>
          <w:lang w:val="fr-FR"/>
        </w:rPr>
        <w:t>objet de discussions</w:t>
      </w:r>
      <w:r w:rsidRPr="008E0677">
        <w:rPr>
          <w:rFonts w:ascii="Arial" w:hAnsi="Arial" w:cs="Arial"/>
          <w:bCs/>
          <w:sz w:val="22"/>
          <w:szCs w:val="22"/>
          <w:lang w:val="fr-FR"/>
        </w:rPr>
        <w:t xml:space="preserve"> pendant le groupe de travail </w:t>
      </w:r>
      <w:r>
        <w:rPr>
          <w:rFonts w:ascii="Arial" w:hAnsi="Arial" w:cs="Arial"/>
          <w:bCs/>
          <w:sz w:val="22"/>
          <w:szCs w:val="22"/>
          <w:lang w:val="fr-FR"/>
        </w:rPr>
        <w:t>était</w:t>
      </w:r>
      <w:r w:rsidRPr="008E0677">
        <w:rPr>
          <w:rFonts w:ascii="Arial" w:hAnsi="Arial" w:cs="Arial"/>
          <w:bCs/>
          <w:sz w:val="22"/>
          <w:szCs w:val="22"/>
          <w:lang w:val="fr-FR"/>
        </w:rPr>
        <w:t xml:space="preserve"> la réalisation, au niveau de l</w:t>
      </w:r>
      <w:r w:rsidR="008E532B">
        <w:rPr>
          <w:rFonts w:ascii="Arial" w:hAnsi="Arial" w:cs="Arial"/>
          <w:bCs/>
          <w:sz w:val="22"/>
          <w:szCs w:val="22"/>
          <w:lang w:val="fr-FR"/>
        </w:rPr>
        <w:t>’</w:t>
      </w:r>
      <w:r w:rsidRPr="008E0677">
        <w:rPr>
          <w:rFonts w:ascii="Arial" w:hAnsi="Arial" w:cs="Arial"/>
          <w:bCs/>
          <w:sz w:val="22"/>
          <w:szCs w:val="22"/>
          <w:lang w:val="fr-FR"/>
        </w:rPr>
        <w:t>UNESCO, d</w:t>
      </w:r>
      <w:r w:rsidR="008E532B">
        <w:rPr>
          <w:rFonts w:ascii="Arial" w:hAnsi="Arial" w:cs="Arial"/>
          <w:bCs/>
          <w:sz w:val="22"/>
          <w:szCs w:val="22"/>
          <w:lang w:val="fr-FR"/>
        </w:rPr>
        <w:t>’</w:t>
      </w:r>
      <w:r w:rsidRPr="008E0677">
        <w:rPr>
          <w:rFonts w:ascii="Arial" w:hAnsi="Arial" w:cs="Arial"/>
          <w:bCs/>
          <w:sz w:val="22"/>
          <w:szCs w:val="22"/>
          <w:lang w:val="fr-FR"/>
        </w:rPr>
        <w:t>études d</w:t>
      </w:r>
      <w:r w:rsidR="008E532B">
        <w:rPr>
          <w:rFonts w:ascii="Arial" w:hAnsi="Arial" w:cs="Arial"/>
          <w:bCs/>
          <w:sz w:val="22"/>
          <w:szCs w:val="22"/>
          <w:lang w:val="fr-FR"/>
        </w:rPr>
        <w:t>’</w:t>
      </w:r>
      <w:r w:rsidRPr="008E0677">
        <w:rPr>
          <w:rFonts w:ascii="Arial" w:hAnsi="Arial" w:cs="Arial"/>
          <w:bCs/>
          <w:sz w:val="22"/>
          <w:szCs w:val="22"/>
          <w:lang w:val="fr-FR"/>
        </w:rPr>
        <w:t>impact sur les conséquences de l</w:t>
      </w:r>
      <w:r w:rsidR="008E532B">
        <w:rPr>
          <w:rFonts w:ascii="Arial" w:hAnsi="Arial" w:cs="Arial"/>
          <w:bCs/>
          <w:sz w:val="22"/>
          <w:szCs w:val="22"/>
          <w:lang w:val="fr-FR"/>
        </w:rPr>
        <w:t>’</w:t>
      </w:r>
      <w:r w:rsidRPr="008E0677">
        <w:rPr>
          <w:rFonts w:ascii="Arial" w:hAnsi="Arial" w:cs="Arial"/>
          <w:bCs/>
          <w:sz w:val="22"/>
          <w:szCs w:val="22"/>
          <w:lang w:val="fr-FR"/>
        </w:rPr>
        <w:t>inclusion d</w:t>
      </w:r>
      <w:r w:rsidR="008E532B">
        <w:rPr>
          <w:rFonts w:ascii="Arial" w:hAnsi="Arial" w:cs="Arial"/>
          <w:bCs/>
          <w:sz w:val="22"/>
          <w:szCs w:val="22"/>
          <w:lang w:val="fr-FR"/>
        </w:rPr>
        <w:t>’</w:t>
      </w:r>
      <w:r w:rsidRPr="008E0677">
        <w:rPr>
          <w:rFonts w:ascii="Arial" w:hAnsi="Arial" w:cs="Arial"/>
          <w:bCs/>
          <w:sz w:val="22"/>
          <w:szCs w:val="22"/>
          <w:lang w:val="fr-FR"/>
        </w:rPr>
        <w:t>éléments dans la Liste représentative pour les communautés concernées. La Roumani</w:t>
      </w:r>
      <w:r>
        <w:rPr>
          <w:rFonts w:ascii="Arial" w:hAnsi="Arial" w:cs="Arial"/>
          <w:bCs/>
          <w:sz w:val="22"/>
          <w:szCs w:val="22"/>
          <w:lang w:val="fr-FR"/>
        </w:rPr>
        <w:t xml:space="preserve">e, qui </w:t>
      </w:r>
      <w:r w:rsidRPr="008E0677">
        <w:rPr>
          <w:rFonts w:ascii="Arial" w:hAnsi="Arial" w:cs="Arial"/>
          <w:bCs/>
          <w:sz w:val="22"/>
          <w:szCs w:val="22"/>
          <w:lang w:val="fr-FR"/>
        </w:rPr>
        <w:t>sout</w:t>
      </w:r>
      <w:r>
        <w:rPr>
          <w:rFonts w:ascii="Arial" w:hAnsi="Arial" w:cs="Arial"/>
          <w:bCs/>
          <w:sz w:val="22"/>
          <w:szCs w:val="22"/>
          <w:lang w:val="fr-FR"/>
        </w:rPr>
        <w:t>enait</w:t>
      </w:r>
      <w:r w:rsidRPr="008E0677">
        <w:rPr>
          <w:rFonts w:ascii="Arial" w:hAnsi="Arial" w:cs="Arial"/>
          <w:bCs/>
          <w:sz w:val="22"/>
          <w:szCs w:val="22"/>
          <w:lang w:val="fr-FR"/>
        </w:rPr>
        <w:t xml:space="preserve"> le renforcement du système de suivi aux niveaux international, national et local dans tous les aspects pertinents, a salué les nouvelles mesures à prendre pour réformer les mécanismes d</w:t>
      </w:r>
      <w:r w:rsidR="008E532B">
        <w:rPr>
          <w:rFonts w:ascii="Arial" w:hAnsi="Arial" w:cs="Arial"/>
          <w:bCs/>
          <w:sz w:val="22"/>
          <w:szCs w:val="22"/>
          <w:lang w:val="fr-FR"/>
        </w:rPr>
        <w:t>’</w:t>
      </w:r>
      <w:r w:rsidRPr="008E0677">
        <w:rPr>
          <w:rFonts w:ascii="Arial" w:hAnsi="Arial" w:cs="Arial"/>
          <w:bCs/>
          <w:sz w:val="22"/>
          <w:szCs w:val="22"/>
          <w:lang w:val="fr-FR"/>
        </w:rPr>
        <w:t>inscription. La Roumanie poursuivra</w:t>
      </w:r>
      <w:r>
        <w:rPr>
          <w:rFonts w:ascii="Arial" w:hAnsi="Arial" w:cs="Arial"/>
          <w:bCs/>
          <w:sz w:val="22"/>
          <w:szCs w:val="22"/>
          <w:lang w:val="fr-FR"/>
        </w:rPr>
        <w:t>it</w:t>
      </w:r>
      <w:r w:rsidRPr="008E0677">
        <w:rPr>
          <w:rFonts w:ascii="Arial" w:hAnsi="Arial" w:cs="Arial"/>
          <w:bCs/>
          <w:sz w:val="22"/>
          <w:szCs w:val="22"/>
          <w:lang w:val="fr-FR"/>
        </w:rPr>
        <w:t xml:space="preserve"> le dialogue sur les sujets visant le programme de renforcement des capacités, le patrimoine vivant comme moteur du développement durable, et l</w:t>
      </w:r>
      <w:r w:rsidR="008E532B">
        <w:rPr>
          <w:rFonts w:ascii="Arial" w:hAnsi="Arial" w:cs="Arial"/>
          <w:bCs/>
          <w:sz w:val="22"/>
          <w:szCs w:val="22"/>
          <w:lang w:val="fr-FR"/>
        </w:rPr>
        <w:t>’</w:t>
      </w:r>
      <w:r w:rsidRPr="008E0677">
        <w:rPr>
          <w:rFonts w:ascii="Arial" w:hAnsi="Arial" w:cs="Arial"/>
          <w:bCs/>
          <w:sz w:val="22"/>
          <w:szCs w:val="22"/>
          <w:lang w:val="fr-FR"/>
        </w:rPr>
        <w:t>éducation au patrimoine vivant.</w:t>
      </w:r>
    </w:p>
    <w:p w14:paraId="5805C9CF" w14:textId="4879C8A8" w:rsidR="00D9653F" w:rsidRPr="00217095"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217095">
        <w:rPr>
          <w:rFonts w:ascii="Arial" w:hAnsi="Arial" w:cs="Arial"/>
          <w:sz w:val="22"/>
          <w:szCs w:val="22"/>
          <w:lang w:val="fr-FR"/>
        </w:rPr>
        <w:t xml:space="preserve">La délégation de </w:t>
      </w:r>
      <w:r w:rsidRPr="00217095">
        <w:rPr>
          <w:rFonts w:ascii="Arial" w:hAnsi="Arial" w:cs="Arial"/>
          <w:b/>
          <w:bCs/>
          <w:sz w:val="22"/>
          <w:szCs w:val="22"/>
          <w:lang w:val="fr-FR"/>
        </w:rPr>
        <w:t>Madagascar</w:t>
      </w:r>
      <w:r w:rsidRPr="00217095">
        <w:rPr>
          <w:rFonts w:ascii="Arial" w:hAnsi="Arial" w:cs="Arial"/>
          <w:sz w:val="22"/>
          <w:szCs w:val="22"/>
          <w:lang w:val="fr-FR"/>
        </w:rPr>
        <w:t xml:space="preserve"> a fait remarquer que la réflexion globale sur le mécanisme d</w:t>
      </w:r>
      <w:r w:rsidR="008E532B">
        <w:rPr>
          <w:rFonts w:ascii="Arial" w:hAnsi="Arial" w:cs="Arial"/>
          <w:sz w:val="22"/>
          <w:szCs w:val="22"/>
          <w:lang w:val="fr-FR"/>
        </w:rPr>
        <w:t>’</w:t>
      </w:r>
      <w:r w:rsidRPr="00217095">
        <w:rPr>
          <w:rFonts w:ascii="Arial" w:hAnsi="Arial" w:cs="Arial"/>
          <w:sz w:val="22"/>
          <w:szCs w:val="22"/>
          <w:lang w:val="fr-FR"/>
        </w:rPr>
        <w:t>inscription était une étape nécessaire pour la mise à jour du mécanisme, car l</w:t>
      </w:r>
      <w:r w:rsidR="008E532B">
        <w:rPr>
          <w:rFonts w:ascii="Arial" w:hAnsi="Arial" w:cs="Arial"/>
          <w:sz w:val="22"/>
          <w:szCs w:val="22"/>
          <w:lang w:val="fr-FR"/>
        </w:rPr>
        <w:t>’</w:t>
      </w:r>
      <w:r w:rsidRPr="00217095">
        <w:rPr>
          <w:rFonts w:ascii="Arial" w:hAnsi="Arial" w:cs="Arial"/>
          <w:sz w:val="22"/>
          <w:szCs w:val="22"/>
          <w:lang w:val="fr-FR"/>
        </w:rPr>
        <w:t xml:space="preserve">avenir de la Convention </w:t>
      </w:r>
      <w:r>
        <w:rPr>
          <w:rFonts w:ascii="Arial" w:hAnsi="Arial" w:cs="Arial"/>
          <w:sz w:val="22"/>
          <w:szCs w:val="22"/>
          <w:lang w:val="fr-FR"/>
        </w:rPr>
        <w:t>commençait dès maintenant</w:t>
      </w:r>
      <w:r w:rsidRPr="00217095">
        <w:rPr>
          <w:rFonts w:ascii="Arial" w:hAnsi="Arial" w:cs="Arial"/>
          <w:sz w:val="22"/>
          <w:szCs w:val="22"/>
          <w:lang w:val="fr-FR"/>
        </w:rPr>
        <w:t>. Elle a remercié le Groupe V(a) de la confiance qu</w:t>
      </w:r>
      <w:r w:rsidR="008E532B">
        <w:rPr>
          <w:rFonts w:ascii="Arial" w:hAnsi="Arial" w:cs="Arial"/>
          <w:sz w:val="22"/>
          <w:szCs w:val="22"/>
          <w:lang w:val="fr-FR"/>
        </w:rPr>
        <w:t>’</w:t>
      </w:r>
      <w:r w:rsidRPr="00217095">
        <w:rPr>
          <w:rFonts w:ascii="Arial" w:hAnsi="Arial" w:cs="Arial"/>
          <w:sz w:val="22"/>
          <w:szCs w:val="22"/>
          <w:lang w:val="fr-FR"/>
        </w:rPr>
        <w:t>il a</w:t>
      </w:r>
      <w:r>
        <w:rPr>
          <w:rFonts w:ascii="Arial" w:hAnsi="Arial" w:cs="Arial"/>
          <w:sz w:val="22"/>
          <w:szCs w:val="22"/>
          <w:lang w:val="fr-FR"/>
        </w:rPr>
        <w:t>vait</w:t>
      </w:r>
      <w:r w:rsidRPr="00217095">
        <w:rPr>
          <w:rFonts w:ascii="Arial" w:hAnsi="Arial" w:cs="Arial"/>
          <w:sz w:val="22"/>
          <w:szCs w:val="22"/>
          <w:lang w:val="fr-FR"/>
        </w:rPr>
        <w:t xml:space="preserve"> accordée à Madagascar pour </w:t>
      </w:r>
      <w:r>
        <w:rPr>
          <w:rFonts w:ascii="Arial" w:hAnsi="Arial" w:cs="Arial"/>
          <w:sz w:val="22"/>
          <w:szCs w:val="22"/>
          <w:lang w:val="fr-FR"/>
        </w:rPr>
        <w:t xml:space="preserve">le </w:t>
      </w:r>
      <w:r w:rsidRPr="00217095">
        <w:rPr>
          <w:rFonts w:ascii="Arial" w:hAnsi="Arial" w:cs="Arial"/>
          <w:sz w:val="22"/>
          <w:szCs w:val="22"/>
          <w:lang w:val="fr-FR"/>
        </w:rPr>
        <w:t xml:space="preserve">représenter. Elle a </w:t>
      </w:r>
      <w:r w:rsidRPr="006F193E">
        <w:rPr>
          <w:rFonts w:ascii="Arial" w:hAnsi="Arial" w:cs="Arial"/>
          <w:color w:val="000000" w:themeColor="text1"/>
          <w:sz w:val="22"/>
          <w:szCs w:val="22"/>
          <w:lang w:val="fr-FR"/>
        </w:rPr>
        <w:t>également</w:t>
      </w:r>
      <w:r>
        <w:rPr>
          <w:rFonts w:ascii="Arial" w:hAnsi="Arial" w:cs="Arial"/>
          <w:color w:val="000000" w:themeColor="text1"/>
          <w:sz w:val="22"/>
          <w:szCs w:val="22"/>
          <w:lang w:val="fr-FR"/>
        </w:rPr>
        <w:t xml:space="preserve"> </w:t>
      </w:r>
      <w:r w:rsidRPr="00217095">
        <w:rPr>
          <w:rFonts w:ascii="Arial" w:hAnsi="Arial" w:cs="Arial"/>
          <w:sz w:val="22"/>
          <w:szCs w:val="22"/>
          <w:lang w:val="fr-FR"/>
        </w:rPr>
        <w:t>remercié le Gouvernement du Japon et, en particulier, l</w:t>
      </w:r>
      <w:r w:rsidR="008E532B">
        <w:rPr>
          <w:rFonts w:ascii="Arial" w:hAnsi="Arial" w:cs="Arial"/>
          <w:sz w:val="22"/>
          <w:szCs w:val="22"/>
          <w:lang w:val="fr-FR"/>
        </w:rPr>
        <w:t>’</w:t>
      </w:r>
      <w:r>
        <w:rPr>
          <w:rFonts w:ascii="Arial" w:hAnsi="Arial" w:cs="Arial"/>
          <w:sz w:val="22"/>
          <w:szCs w:val="22"/>
          <w:lang w:val="fr-FR"/>
        </w:rPr>
        <w:t>a</w:t>
      </w:r>
      <w:r w:rsidRPr="00217095">
        <w:rPr>
          <w:rFonts w:ascii="Arial" w:hAnsi="Arial" w:cs="Arial"/>
          <w:sz w:val="22"/>
          <w:szCs w:val="22"/>
          <w:lang w:val="fr-FR"/>
        </w:rPr>
        <w:t xml:space="preserve">mbassadeur </w:t>
      </w:r>
      <w:proofErr w:type="spellStart"/>
      <w:r w:rsidRPr="00217095">
        <w:rPr>
          <w:rFonts w:ascii="Arial" w:hAnsi="Arial" w:cs="Arial"/>
          <w:sz w:val="22"/>
          <w:szCs w:val="22"/>
          <w:lang w:val="fr-FR"/>
        </w:rPr>
        <w:t>Oike</w:t>
      </w:r>
      <w:proofErr w:type="spellEnd"/>
      <w:r w:rsidRPr="00217095">
        <w:rPr>
          <w:rFonts w:ascii="Arial" w:hAnsi="Arial" w:cs="Arial"/>
          <w:sz w:val="22"/>
          <w:szCs w:val="22"/>
          <w:lang w:val="fr-FR"/>
        </w:rPr>
        <w:t xml:space="preserve"> pour sa présidence experte qui a</w:t>
      </w:r>
      <w:r>
        <w:rPr>
          <w:rFonts w:ascii="Arial" w:hAnsi="Arial" w:cs="Arial"/>
          <w:sz w:val="22"/>
          <w:szCs w:val="22"/>
          <w:lang w:val="fr-FR"/>
        </w:rPr>
        <w:t>vait</w:t>
      </w:r>
      <w:r w:rsidRPr="00217095">
        <w:rPr>
          <w:rFonts w:ascii="Arial" w:hAnsi="Arial" w:cs="Arial"/>
          <w:sz w:val="22"/>
          <w:szCs w:val="22"/>
          <w:lang w:val="fr-FR"/>
        </w:rPr>
        <w:t xml:space="preserve"> permis d</w:t>
      </w:r>
      <w:r w:rsidR="008E532B">
        <w:rPr>
          <w:rFonts w:ascii="Arial" w:hAnsi="Arial" w:cs="Arial"/>
          <w:sz w:val="22"/>
          <w:szCs w:val="22"/>
          <w:lang w:val="fr-FR"/>
        </w:rPr>
        <w:t>’</w:t>
      </w:r>
      <w:r w:rsidRPr="00217095">
        <w:rPr>
          <w:rFonts w:ascii="Arial" w:hAnsi="Arial" w:cs="Arial"/>
          <w:sz w:val="22"/>
          <w:szCs w:val="22"/>
          <w:lang w:val="fr-FR"/>
        </w:rPr>
        <w:t>obtenir de bons résultats. En ce qui concerne les priorités, l</w:t>
      </w:r>
      <w:r w:rsidR="008E532B">
        <w:rPr>
          <w:rFonts w:ascii="Arial" w:hAnsi="Arial" w:cs="Arial"/>
          <w:sz w:val="22"/>
          <w:szCs w:val="22"/>
          <w:lang w:val="fr-FR"/>
        </w:rPr>
        <w:t>’</w:t>
      </w:r>
      <w:r w:rsidRPr="00217095">
        <w:rPr>
          <w:rFonts w:ascii="Arial" w:hAnsi="Arial" w:cs="Arial"/>
          <w:sz w:val="22"/>
          <w:szCs w:val="22"/>
          <w:lang w:val="fr-FR"/>
        </w:rPr>
        <w:t>Assemblée devrait garder à l</w:t>
      </w:r>
      <w:r w:rsidR="008E532B">
        <w:rPr>
          <w:rFonts w:ascii="Arial" w:hAnsi="Arial" w:cs="Arial"/>
          <w:sz w:val="22"/>
          <w:szCs w:val="22"/>
          <w:lang w:val="fr-FR"/>
        </w:rPr>
        <w:t>’</w:t>
      </w:r>
      <w:r w:rsidRPr="00217095">
        <w:rPr>
          <w:rFonts w:ascii="Arial" w:hAnsi="Arial" w:cs="Arial"/>
          <w:sz w:val="22"/>
          <w:szCs w:val="22"/>
          <w:lang w:val="fr-FR"/>
        </w:rPr>
        <w:t xml:space="preserve">esprit la </w:t>
      </w:r>
      <w:r>
        <w:rPr>
          <w:rFonts w:ascii="Arial" w:hAnsi="Arial" w:cs="Arial"/>
          <w:sz w:val="22"/>
          <w:szCs w:val="22"/>
          <w:lang w:val="fr-FR"/>
        </w:rPr>
        <w:t>p</w:t>
      </w:r>
      <w:r w:rsidRPr="00217095">
        <w:rPr>
          <w:rFonts w:ascii="Arial" w:hAnsi="Arial" w:cs="Arial"/>
          <w:sz w:val="22"/>
          <w:szCs w:val="22"/>
          <w:lang w:val="fr-FR"/>
        </w:rPr>
        <w:t xml:space="preserve">riorité globale Afrique. </w:t>
      </w:r>
      <w:r>
        <w:rPr>
          <w:rFonts w:ascii="Arial" w:hAnsi="Arial" w:cs="Arial"/>
          <w:sz w:val="22"/>
          <w:szCs w:val="22"/>
          <w:lang w:val="fr-FR"/>
        </w:rPr>
        <w:t>S</w:t>
      </w:r>
      <w:r w:rsidR="008E532B">
        <w:rPr>
          <w:rFonts w:ascii="Arial" w:hAnsi="Arial" w:cs="Arial"/>
          <w:sz w:val="22"/>
          <w:szCs w:val="22"/>
          <w:lang w:val="fr-FR"/>
        </w:rPr>
        <w:t>’</w:t>
      </w:r>
      <w:r>
        <w:rPr>
          <w:rFonts w:ascii="Arial" w:hAnsi="Arial" w:cs="Arial"/>
          <w:sz w:val="22"/>
          <w:szCs w:val="22"/>
          <w:lang w:val="fr-FR"/>
        </w:rPr>
        <w:t xml:space="preserve">agissant de </w:t>
      </w:r>
      <w:r w:rsidRPr="00217095">
        <w:rPr>
          <w:rFonts w:ascii="Arial" w:hAnsi="Arial" w:cs="Arial"/>
          <w:sz w:val="22"/>
          <w:szCs w:val="22"/>
          <w:lang w:val="fr-FR"/>
        </w:rPr>
        <w:t xml:space="preserve">la représentation, le Groupe V(a) </w:t>
      </w:r>
      <w:r>
        <w:rPr>
          <w:rFonts w:ascii="Arial" w:hAnsi="Arial" w:cs="Arial"/>
          <w:sz w:val="22"/>
          <w:szCs w:val="22"/>
          <w:lang w:val="fr-FR"/>
        </w:rPr>
        <w:t>était</w:t>
      </w:r>
      <w:r w:rsidRPr="00217095">
        <w:rPr>
          <w:rFonts w:ascii="Arial" w:hAnsi="Arial" w:cs="Arial"/>
          <w:sz w:val="22"/>
          <w:szCs w:val="22"/>
          <w:lang w:val="fr-FR"/>
        </w:rPr>
        <w:t xml:space="preserve"> un groupe numériquement important, mais, pour l</w:t>
      </w:r>
      <w:r w:rsidR="008E532B">
        <w:rPr>
          <w:rFonts w:ascii="Arial" w:hAnsi="Arial" w:cs="Arial"/>
          <w:sz w:val="22"/>
          <w:szCs w:val="22"/>
          <w:lang w:val="fr-FR"/>
        </w:rPr>
        <w:t>’</w:t>
      </w:r>
      <w:r w:rsidRPr="00217095">
        <w:rPr>
          <w:rFonts w:ascii="Arial" w:hAnsi="Arial" w:cs="Arial"/>
          <w:sz w:val="22"/>
          <w:szCs w:val="22"/>
          <w:lang w:val="fr-FR"/>
        </w:rPr>
        <w:t>Afrique, l</w:t>
      </w:r>
      <w:r w:rsidR="008E532B">
        <w:rPr>
          <w:rFonts w:ascii="Arial" w:hAnsi="Arial" w:cs="Arial"/>
          <w:sz w:val="22"/>
          <w:szCs w:val="22"/>
          <w:lang w:val="fr-FR"/>
        </w:rPr>
        <w:t>’</w:t>
      </w:r>
      <w:r w:rsidRPr="00217095">
        <w:rPr>
          <w:rFonts w:ascii="Arial" w:hAnsi="Arial" w:cs="Arial"/>
          <w:sz w:val="22"/>
          <w:szCs w:val="22"/>
          <w:lang w:val="fr-FR"/>
        </w:rPr>
        <w:t xml:space="preserve">inscription </w:t>
      </w:r>
      <w:r>
        <w:rPr>
          <w:rFonts w:ascii="Arial" w:hAnsi="Arial" w:cs="Arial"/>
          <w:sz w:val="22"/>
          <w:szCs w:val="22"/>
          <w:lang w:val="fr-FR"/>
        </w:rPr>
        <w:t>était</w:t>
      </w:r>
      <w:r w:rsidRPr="00217095">
        <w:rPr>
          <w:rFonts w:ascii="Arial" w:hAnsi="Arial" w:cs="Arial"/>
          <w:sz w:val="22"/>
          <w:szCs w:val="22"/>
          <w:lang w:val="fr-FR"/>
        </w:rPr>
        <w:t xml:space="preserve"> inversement proportionnelle au nombre d</w:t>
      </w:r>
      <w:r w:rsidR="008E532B">
        <w:rPr>
          <w:rFonts w:ascii="Arial" w:hAnsi="Arial" w:cs="Arial"/>
          <w:sz w:val="22"/>
          <w:szCs w:val="22"/>
          <w:lang w:val="fr-FR"/>
        </w:rPr>
        <w:t>’</w:t>
      </w:r>
      <w:r w:rsidRPr="00217095">
        <w:rPr>
          <w:rFonts w:ascii="Arial" w:hAnsi="Arial" w:cs="Arial"/>
          <w:sz w:val="22"/>
          <w:szCs w:val="22"/>
          <w:lang w:val="fr-FR"/>
        </w:rPr>
        <w:t xml:space="preserve">inscriptions totales. Les efforts </w:t>
      </w:r>
      <w:r>
        <w:rPr>
          <w:rFonts w:ascii="Arial" w:hAnsi="Arial" w:cs="Arial"/>
          <w:sz w:val="22"/>
          <w:szCs w:val="22"/>
          <w:lang w:val="fr-FR"/>
        </w:rPr>
        <w:t xml:space="preserve">devaient </w:t>
      </w:r>
      <w:r w:rsidRPr="00217095">
        <w:rPr>
          <w:rFonts w:ascii="Arial" w:hAnsi="Arial" w:cs="Arial"/>
          <w:sz w:val="22"/>
          <w:szCs w:val="22"/>
          <w:lang w:val="fr-FR"/>
        </w:rPr>
        <w:t>donc être continus dans l</w:t>
      </w:r>
      <w:r w:rsidR="008E532B">
        <w:rPr>
          <w:rFonts w:ascii="Arial" w:hAnsi="Arial" w:cs="Arial"/>
          <w:sz w:val="22"/>
          <w:szCs w:val="22"/>
          <w:lang w:val="fr-FR"/>
        </w:rPr>
        <w:t>’</w:t>
      </w:r>
      <w:r w:rsidRPr="00217095">
        <w:rPr>
          <w:rFonts w:ascii="Arial" w:hAnsi="Arial" w:cs="Arial"/>
          <w:sz w:val="22"/>
          <w:szCs w:val="22"/>
          <w:lang w:val="fr-FR"/>
        </w:rPr>
        <w:t>intérêt d</w:t>
      </w:r>
      <w:r w:rsidR="008E532B">
        <w:rPr>
          <w:rFonts w:ascii="Arial" w:hAnsi="Arial" w:cs="Arial"/>
          <w:sz w:val="22"/>
          <w:szCs w:val="22"/>
          <w:lang w:val="fr-FR"/>
        </w:rPr>
        <w:t>’</w:t>
      </w:r>
      <w:r w:rsidRPr="00217095">
        <w:rPr>
          <w:rFonts w:ascii="Arial" w:hAnsi="Arial" w:cs="Arial"/>
          <w:sz w:val="22"/>
          <w:szCs w:val="22"/>
          <w:lang w:val="fr-FR"/>
        </w:rPr>
        <w:t>une représentation juste et équitable du patrimoine immatériel.</w:t>
      </w:r>
    </w:p>
    <w:p w14:paraId="711BE5C2" w14:textId="0EEE508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85F0C">
        <w:rPr>
          <w:rFonts w:ascii="Arial" w:hAnsi="Arial" w:cs="Arial"/>
          <w:bCs/>
          <w:sz w:val="22"/>
          <w:szCs w:val="22"/>
          <w:lang w:val="fr-FR"/>
        </w:rPr>
        <w:t xml:space="preserve">La délégation de la </w:t>
      </w:r>
      <w:r w:rsidRPr="00D85F0C">
        <w:rPr>
          <w:rFonts w:ascii="Arial" w:hAnsi="Arial" w:cs="Arial"/>
          <w:b/>
          <w:sz w:val="22"/>
          <w:szCs w:val="22"/>
          <w:lang w:val="fr-FR"/>
        </w:rPr>
        <w:t>Malaisie</w:t>
      </w:r>
      <w:r w:rsidRPr="00D85F0C">
        <w:rPr>
          <w:rFonts w:ascii="Arial" w:hAnsi="Arial" w:cs="Arial"/>
          <w:bCs/>
          <w:sz w:val="22"/>
          <w:szCs w:val="22"/>
          <w:lang w:val="fr-FR"/>
        </w:rPr>
        <w:t xml:space="preserve"> a exprimé sa reconnaissance au Japon pour son leader</w:t>
      </w:r>
      <w:r>
        <w:rPr>
          <w:rFonts w:ascii="Arial" w:hAnsi="Arial" w:cs="Arial"/>
          <w:bCs/>
          <w:sz w:val="22"/>
          <w:szCs w:val="22"/>
          <w:lang w:val="fr-FR"/>
        </w:rPr>
        <w:t>ship</w:t>
      </w:r>
      <w:r w:rsidRPr="00D85F0C">
        <w:rPr>
          <w:rFonts w:ascii="Arial" w:hAnsi="Arial" w:cs="Arial"/>
          <w:bCs/>
          <w:sz w:val="22"/>
          <w:szCs w:val="22"/>
          <w:lang w:val="fr-FR"/>
        </w:rPr>
        <w:t xml:space="preserve"> et </w:t>
      </w:r>
      <w:r>
        <w:rPr>
          <w:rFonts w:ascii="Arial" w:hAnsi="Arial" w:cs="Arial"/>
          <w:bCs/>
          <w:sz w:val="22"/>
          <w:szCs w:val="22"/>
          <w:lang w:val="fr-FR"/>
        </w:rPr>
        <w:t xml:space="preserve">pour </w:t>
      </w:r>
      <w:r w:rsidRPr="00D85F0C">
        <w:rPr>
          <w:rFonts w:ascii="Arial" w:hAnsi="Arial" w:cs="Arial"/>
          <w:bCs/>
          <w:sz w:val="22"/>
          <w:szCs w:val="22"/>
          <w:lang w:val="fr-FR"/>
        </w:rPr>
        <w:t xml:space="preserve">le soutien apporté au groupe de travail à composition non limitée. Elle a remercié le Comité et le Secrétariat pour tout leur travail, ainsi que tous les participants pour leurs suggestions constructives tout au long des réunions sur les révisions des </w:t>
      </w:r>
      <w:r>
        <w:rPr>
          <w:rFonts w:ascii="Arial" w:hAnsi="Arial" w:cs="Arial"/>
          <w:bCs/>
          <w:sz w:val="22"/>
          <w:szCs w:val="22"/>
          <w:lang w:val="fr-FR"/>
        </w:rPr>
        <w:t>D</w:t>
      </w:r>
      <w:r w:rsidRPr="00D85F0C">
        <w:rPr>
          <w:rFonts w:ascii="Arial" w:hAnsi="Arial" w:cs="Arial"/>
          <w:bCs/>
          <w:sz w:val="22"/>
          <w:szCs w:val="22"/>
          <w:lang w:val="fr-FR"/>
        </w:rPr>
        <w:t xml:space="preserve">irectives opérationnelles. Cela renforcerait la sauvegarde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D85F0C">
        <w:rPr>
          <w:rFonts w:ascii="Arial" w:hAnsi="Arial" w:cs="Arial"/>
          <w:bCs/>
          <w:sz w:val="22"/>
          <w:szCs w:val="22"/>
          <w:lang w:val="fr-FR"/>
        </w:rPr>
        <w:t>et assurerait sa mise en œuvre</w:t>
      </w:r>
      <w:r>
        <w:rPr>
          <w:rFonts w:ascii="Arial" w:hAnsi="Arial" w:cs="Arial"/>
          <w:bCs/>
          <w:sz w:val="22"/>
          <w:szCs w:val="22"/>
          <w:lang w:val="fr-FR"/>
        </w:rPr>
        <w:t xml:space="preserve"> sans heurts</w:t>
      </w:r>
      <w:r w:rsidRPr="00D85F0C">
        <w:rPr>
          <w:rFonts w:ascii="Arial" w:hAnsi="Arial" w:cs="Arial"/>
          <w:bCs/>
          <w:sz w:val="22"/>
          <w:szCs w:val="22"/>
          <w:lang w:val="fr-FR"/>
        </w:rPr>
        <w:t>. La Malaisie a convenu que tous les États parties ont la responsabilité d</w:t>
      </w:r>
      <w:r w:rsidR="008E532B">
        <w:rPr>
          <w:rFonts w:ascii="Arial" w:hAnsi="Arial" w:cs="Arial"/>
          <w:bCs/>
          <w:sz w:val="22"/>
          <w:szCs w:val="22"/>
          <w:lang w:val="fr-FR"/>
        </w:rPr>
        <w:t>’</w:t>
      </w:r>
      <w:r w:rsidRPr="00D85F0C">
        <w:rPr>
          <w:rFonts w:ascii="Arial" w:hAnsi="Arial" w:cs="Arial"/>
          <w:bCs/>
          <w:sz w:val="22"/>
          <w:szCs w:val="22"/>
          <w:lang w:val="fr-FR"/>
        </w:rPr>
        <w:t>encourager la sauvegarde au niveau national et qu</w:t>
      </w:r>
      <w:r w:rsidR="008E532B">
        <w:rPr>
          <w:rFonts w:ascii="Arial" w:hAnsi="Arial" w:cs="Arial"/>
          <w:bCs/>
          <w:sz w:val="22"/>
          <w:szCs w:val="22"/>
          <w:lang w:val="fr-FR"/>
        </w:rPr>
        <w:t>’</w:t>
      </w:r>
      <w:r w:rsidRPr="00D85F0C">
        <w:rPr>
          <w:rFonts w:ascii="Arial" w:hAnsi="Arial" w:cs="Arial"/>
          <w:bCs/>
          <w:sz w:val="22"/>
          <w:szCs w:val="22"/>
          <w:lang w:val="fr-FR"/>
        </w:rPr>
        <w:t>ils devraient évaluer occasionnellement leur gestion respective de la Convention. La Malaisie soutenait la décision d</w:t>
      </w:r>
      <w:r w:rsidR="008E532B">
        <w:rPr>
          <w:rFonts w:ascii="Arial" w:hAnsi="Arial" w:cs="Arial"/>
          <w:bCs/>
          <w:sz w:val="22"/>
          <w:szCs w:val="22"/>
          <w:lang w:val="fr-FR"/>
        </w:rPr>
        <w:t>’</w:t>
      </w:r>
      <w:r w:rsidRPr="00D85F0C">
        <w:rPr>
          <w:rFonts w:ascii="Arial" w:hAnsi="Arial" w:cs="Arial"/>
          <w:bCs/>
          <w:sz w:val="22"/>
          <w:szCs w:val="22"/>
          <w:lang w:val="fr-FR"/>
        </w:rPr>
        <w:t>approuver les révisions des Directives opérationnelles telles que contenues dans l</w:t>
      </w:r>
      <w:r w:rsidR="008E532B">
        <w:rPr>
          <w:rFonts w:ascii="Arial" w:hAnsi="Arial" w:cs="Arial"/>
          <w:bCs/>
          <w:sz w:val="22"/>
          <w:szCs w:val="22"/>
          <w:lang w:val="fr-FR"/>
        </w:rPr>
        <w:t>’</w:t>
      </w:r>
      <w:r w:rsidRPr="00D85F0C">
        <w:rPr>
          <w:rFonts w:ascii="Arial" w:hAnsi="Arial" w:cs="Arial"/>
          <w:bCs/>
          <w:sz w:val="22"/>
          <w:szCs w:val="22"/>
          <w:lang w:val="fr-FR"/>
        </w:rPr>
        <w:t>annexe du présent projet de résolution.</w:t>
      </w:r>
    </w:p>
    <w:p w14:paraId="564A4254" w14:textId="784EEB41" w:rsidR="00D9653F" w:rsidRPr="006F193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85F0C">
        <w:rPr>
          <w:rFonts w:ascii="Arial" w:hAnsi="Arial" w:cs="Arial"/>
          <w:bCs/>
          <w:sz w:val="22"/>
          <w:szCs w:val="22"/>
          <w:lang w:val="fr-FR"/>
        </w:rPr>
        <w:t xml:space="preserve">La délégation de la </w:t>
      </w:r>
      <w:r w:rsidRPr="00D85F0C">
        <w:rPr>
          <w:rFonts w:ascii="Arial" w:hAnsi="Arial" w:cs="Arial"/>
          <w:b/>
          <w:sz w:val="22"/>
          <w:szCs w:val="22"/>
          <w:lang w:val="fr-FR"/>
        </w:rPr>
        <w:t>Lituanie</w:t>
      </w:r>
      <w:r w:rsidRPr="00D85F0C">
        <w:rPr>
          <w:rFonts w:ascii="Arial" w:hAnsi="Arial" w:cs="Arial"/>
          <w:bCs/>
          <w:sz w:val="22"/>
          <w:szCs w:val="22"/>
          <w:lang w:val="fr-FR"/>
        </w:rPr>
        <w:t xml:space="preserve"> a remercié le Secrétariat, le </w:t>
      </w:r>
      <w:r>
        <w:rPr>
          <w:rFonts w:ascii="Arial" w:hAnsi="Arial" w:cs="Arial"/>
          <w:bCs/>
          <w:sz w:val="22"/>
          <w:szCs w:val="22"/>
          <w:lang w:val="fr-FR"/>
        </w:rPr>
        <w:t>G</w:t>
      </w:r>
      <w:r w:rsidRPr="00D85F0C">
        <w:rPr>
          <w:rFonts w:ascii="Arial" w:hAnsi="Arial" w:cs="Arial"/>
          <w:bCs/>
          <w:sz w:val="22"/>
          <w:szCs w:val="22"/>
          <w:lang w:val="fr-FR"/>
        </w:rPr>
        <w:t>ouvernement du Japon et, en particulier, l</w:t>
      </w:r>
      <w:r w:rsidR="008E532B">
        <w:rPr>
          <w:rFonts w:ascii="Arial" w:hAnsi="Arial" w:cs="Arial"/>
          <w:bCs/>
          <w:sz w:val="22"/>
          <w:szCs w:val="22"/>
          <w:lang w:val="fr-FR"/>
        </w:rPr>
        <w:t>’</w:t>
      </w:r>
      <w:r w:rsidRPr="00D85F0C">
        <w:rPr>
          <w:rFonts w:ascii="Arial" w:hAnsi="Arial" w:cs="Arial"/>
          <w:bCs/>
          <w:sz w:val="22"/>
          <w:szCs w:val="22"/>
          <w:lang w:val="fr-FR"/>
        </w:rPr>
        <w:t xml:space="preserve">ambassadeur </w:t>
      </w:r>
      <w:proofErr w:type="spellStart"/>
      <w:r w:rsidRPr="00D85F0C">
        <w:rPr>
          <w:rFonts w:ascii="Arial" w:hAnsi="Arial" w:cs="Arial"/>
          <w:bCs/>
          <w:sz w:val="22"/>
          <w:szCs w:val="22"/>
          <w:lang w:val="fr-FR"/>
        </w:rPr>
        <w:t>Oike</w:t>
      </w:r>
      <w:proofErr w:type="spellEnd"/>
      <w:r w:rsidRPr="00D85F0C">
        <w:rPr>
          <w:rFonts w:ascii="Arial" w:hAnsi="Arial" w:cs="Arial"/>
          <w:bCs/>
          <w:sz w:val="22"/>
          <w:szCs w:val="22"/>
          <w:lang w:val="fr-FR"/>
        </w:rPr>
        <w:t>, ainsi que tous les États participants du groupe de travail à composition non limitée pour l</w:t>
      </w:r>
      <w:r w:rsidR="008E532B">
        <w:rPr>
          <w:rFonts w:ascii="Arial" w:hAnsi="Arial" w:cs="Arial"/>
          <w:bCs/>
          <w:sz w:val="22"/>
          <w:szCs w:val="22"/>
          <w:lang w:val="fr-FR"/>
        </w:rPr>
        <w:t>’</w:t>
      </w:r>
      <w:r w:rsidRPr="00D85F0C">
        <w:rPr>
          <w:rFonts w:ascii="Arial" w:hAnsi="Arial" w:cs="Arial"/>
          <w:bCs/>
          <w:sz w:val="22"/>
          <w:szCs w:val="22"/>
          <w:lang w:val="fr-FR"/>
        </w:rPr>
        <w:t>immense travail accompli dans la recherche de solutions. Elle</w:t>
      </w:r>
      <w:r>
        <w:rPr>
          <w:rFonts w:ascii="Arial" w:hAnsi="Arial" w:cs="Arial"/>
          <w:bCs/>
          <w:sz w:val="22"/>
          <w:szCs w:val="22"/>
          <w:lang w:val="fr-FR"/>
        </w:rPr>
        <w:t xml:space="preserve"> accueillait avec </w:t>
      </w:r>
      <w:r w:rsidRPr="00126CC5">
        <w:rPr>
          <w:rFonts w:ascii="Arial" w:hAnsi="Arial" w:cs="Arial"/>
          <w:bCs/>
          <w:sz w:val="22"/>
          <w:szCs w:val="22"/>
          <w:lang w:val="fr-FR"/>
        </w:rPr>
        <w:t>satisfaction</w:t>
      </w:r>
      <w:r>
        <w:rPr>
          <w:rFonts w:ascii="Arial" w:hAnsi="Arial" w:cs="Arial"/>
          <w:bCs/>
          <w:sz w:val="22"/>
          <w:szCs w:val="22"/>
          <w:lang w:val="fr-FR"/>
        </w:rPr>
        <w:t xml:space="preserve"> et soutenait </w:t>
      </w:r>
      <w:r w:rsidRPr="00D85F0C">
        <w:rPr>
          <w:rFonts w:ascii="Arial" w:hAnsi="Arial" w:cs="Arial"/>
          <w:bCs/>
          <w:sz w:val="22"/>
          <w:szCs w:val="22"/>
          <w:lang w:val="fr-FR"/>
        </w:rPr>
        <w:t>toutes les propositions d</w:t>
      </w:r>
      <w:r w:rsidR="008E532B">
        <w:rPr>
          <w:rFonts w:ascii="Arial" w:hAnsi="Arial" w:cs="Arial"/>
          <w:bCs/>
          <w:sz w:val="22"/>
          <w:szCs w:val="22"/>
          <w:lang w:val="fr-FR"/>
        </w:rPr>
        <w:t>’</w:t>
      </w:r>
      <w:r w:rsidRPr="00D85F0C">
        <w:rPr>
          <w:rFonts w:ascii="Arial" w:hAnsi="Arial" w:cs="Arial"/>
          <w:bCs/>
          <w:sz w:val="22"/>
          <w:szCs w:val="22"/>
          <w:lang w:val="fr-FR"/>
        </w:rPr>
        <w:t xml:space="preserve">amendements aux </w:t>
      </w:r>
      <w:r>
        <w:rPr>
          <w:rFonts w:ascii="Arial" w:hAnsi="Arial" w:cs="Arial"/>
          <w:bCs/>
          <w:sz w:val="22"/>
          <w:szCs w:val="22"/>
          <w:lang w:val="fr-FR"/>
        </w:rPr>
        <w:t>D</w:t>
      </w:r>
      <w:r w:rsidRPr="00D85F0C">
        <w:rPr>
          <w:rFonts w:ascii="Arial" w:hAnsi="Arial" w:cs="Arial"/>
          <w:bCs/>
          <w:sz w:val="22"/>
          <w:szCs w:val="22"/>
          <w:lang w:val="fr-FR"/>
        </w:rPr>
        <w:t>irectives opérationnelles</w:t>
      </w:r>
      <w:r>
        <w:rPr>
          <w:rFonts w:ascii="Arial" w:hAnsi="Arial" w:cs="Arial"/>
          <w:bCs/>
          <w:sz w:val="22"/>
          <w:szCs w:val="22"/>
          <w:lang w:val="fr-FR"/>
        </w:rPr>
        <w:t xml:space="preserve">, </w:t>
      </w:r>
      <w:r w:rsidRPr="00D85F0C">
        <w:rPr>
          <w:rFonts w:ascii="Arial" w:hAnsi="Arial" w:cs="Arial"/>
          <w:bCs/>
          <w:sz w:val="22"/>
          <w:szCs w:val="22"/>
          <w:lang w:val="fr-FR"/>
        </w:rPr>
        <w:t xml:space="preserve">et </w:t>
      </w:r>
      <w:r>
        <w:rPr>
          <w:rFonts w:ascii="Arial" w:hAnsi="Arial" w:cs="Arial"/>
          <w:bCs/>
          <w:sz w:val="22"/>
          <w:szCs w:val="22"/>
          <w:lang w:val="fr-FR"/>
        </w:rPr>
        <w:t xml:space="preserve">elle </w:t>
      </w:r>
      <w:r w:rsidRPr="00D85F0C">
        <w:rPr>
          <w:rFonts w:ascii="Arial" w:hAnsi="Arial" w:cs="Arial"/>
          <w:bCs/>
          <w:sz w:val="22"/>
          <w:szCs w:val="22"/>
          <w:lang w:val="fr-FR"/>
        </w:rPr>
        <w:t>s</w:t>
      </w:r>
      <w:r w:rsidR="008E532B">
        <w:rPr>
          <w:rFonts w:ascii="Arial" w:hAnsi="Arial" w:cs="Arial"/>
          <w:bCs/>
          <w:sz w:val="22"/>
          <w:szCs w:val="22"/>
          <w:lang w:val="fr-FR"/>
        </w:rPr>
        <w:t>’</w:t>
      </w:r>
      <w:r w:rsidRPr="00D85F0C">
        <w:rPr>
          <w:rFonts w:ascii="Arial" w:hAnsi="Arial" w:cs="Arial"/>
          <w:bCs/>
          <w:sz w:val="22"/>
          <w:szCs w:val="22"/>
          <w:lang w:val="fr-FR"/>
        </w:rPr>
        <w:t>est réjouie de la poursuite des travaux dans le cadre d</w:t>
      </w:r>
      <w:r w:rsidR="008E532B">
        <w:rPr>
          <w:rFonts w:ascii="Arial" w:hAnsi="Arial" w:cs="Arial"/>
          <w:bCs/>
          <w:sz w:val="22"/>
          <w:szCs w:val="22"/>
          <w:lang w:val="fr-FR"/>
        </w:rPr>
        <w:t>’</w:t>
      </w:r>
      <w:r w:rsidRPr="00D85F0C">
        <w:rPr>
          <w:rFonts w:ascii="Arial" w:hAnsi="Arial" w:cs="Arial"/>
          <w:bCs/>
          <w:sz w:val="22"/>
          <w:szCs w:val="22"/>
          <w:lang w:val="fr-FR"/>
        </w:rPr>
        <w:t>u</w:t>
      </w:r>
      <w:r>
        <w:rPr>
          <w:rFonts w:ascii="Arial" w:hAnsi="Arial" w:cs="Arial"/>
          <w:bCs/>
          <w:sz w:val="22"/>
          <w:szCs w:val="22"/>
          <w:lang w:val="fr-FR"/>
        </w:rPr>
        <w:t>n</w:t>
      </w:r>
      <w:r w:rsidRPr="00D85F0C">
        <w:rPr>
          <w:rFonts w:ascii="Arial" w:hAnsi="Arial" w:cs="Arial"/>
          <w:bCs/>
          <w:sz w:val="22"/>
          <w:szCs w:val="22"/>
          <w:lang w:val="fr-FR"/>
        </w:rPr>
        <w:t xml:space="preserve"> groupe de travail à composition non limitée</w:t>
      </w:r>
      <w:r w:rsidRPr="006F193E">
        <w:rPr>
          <w:rFonts w:ascii="Arial" w:hAnsi="Arial" w:cs="Arial"/>
          <w:bCs/>
          <w:sz w:val="22"/>
          <w:szCs w:val="22"/>
          <w:lang w:val="fr-FR"/>
        </w:rPr>
        <w:t xml:space="preserve"> qui aborderait d</w:t>
      </w:r>
      <w:r w:rsidR="008E532B">
        <w:rPr>
          <w:rFonts w:ascii="Arial" w:hAnsi="Arial" w:cs="Arial"/>
          <w:bCs/>
          <w:sz w:val="22"/>
          <w:szCs w:val="22"/>
          <w:lang w:val="fr-FR"/>
        </w:rPr>
        <w:t>’</w:t>
      </w:r>
      <w:r w:rsidRPr="006F193E">
        <w:rPr>
          <w:rFonts w:ascii="Arial" w:hAnsi="Arial" w:cs="Arial"/>
          <w:bCs/>
          <w:sz w:val="22"/>
          <w:szCs w:val="22"/>
          <w:lang w:val="fr-FR"/>
        </w:rPr>
        <w:t>autres questions d</w:t>
      </w:r>
      <w:r w:rsidR="008E532B">
        <w:rPr>
          <w:rFonts w:ascii="Arial" w:hAnsi="Arial" w:cs="Arial"/>
          <w:bCs/>
          <w:sz w:val="22"/>
          <w:szCs w:val="22"/>
          <w:lang w:val="fr-FR"/>
        </w:rPr>
        <w:t>’</w:t>
      </w:r>
      <w:r w:rsidRPr="006F193E">
        <w:rPr>
          <w:rFonts w:ascii="Arial" w:hAnsi="Arial" w:cs="Arial"/>
          <w:bCs/>
          <w:sz w:val="22"/>
          <w:szCs w:val="22"/>
          <w:lang w:val="fr-FR"/>
        </w:rPr>
        <w:t>une grande importance pour l</w:t>
      </w:r>
      <w:r w:rsidR="008E532B">
        <w:rPr>
          <w:rFonts w:ascii="Arial" w:hAnsi="Arial" w:cs="Arial"/>
          <w:bCs/>
          <w:sz w:val="22"/>
          <w:szCs w:val="22"/>
          <w:lang w:val="fr-FR"/>
        </w:rPr>
        <w:t>’</w:t>
      </w:r>
      <w:r w:rsidRPr="006F193E">
        <w:rPr>
          <w:rFonts w:ascii="Arial" w:hAnsi="Arial" w:cs="Arial"/>
          <w:bCs/>
          <w:sz w:val="22"/>
          <w:szCs w:val="22"/>
          <w:lang w:val="fr-FR"/>
        </w:rPr>
        <w:t>avenir de la Convention, remerciant la Suède pour son soutien.</w:t>
      </w:r>
    </w:p>
    <w:p w14:paraId="79DF7E48" w14:textId="1C6A3E2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B31C7">
        <w:rPr>
          <w:rFonts w:ascii="Arial" w:hAnsi="Arial" w:cs="Arial"/>
          <w:bCs/>
          <w:sz w:val="22"/>
          <w:szCs w:val="22"/>
          <w:lang w:val="fr-FR"/>
        </w:rPr>
        <w:t xml:space="preserve">La délégation de la </w:t>
      </w:r>
      <w:r w:rsidRPr="00DB31C7">
        <w:rPr>
          <w:rFonts w:ascii="Arial" w:hAnsi="Arial" w:cs="Arial"/>
          <w:b/>
          <w:sz w:val="22"/>
          <w:szCs w:val="22"/>
          <w:lang w:val="fr-FR"/>
        </w:rPr>
        <w:t>République de Moldavie</w:t>
      </w:r>
      <w:r w:rsidRPr="00DB31C7">
        <w:rPr>
          <w:rFonts w:ascii="Arial" w:hAnsi="Arial" w:cs="Arial"/>
          <w:bCs/>
          <w:sz w:val="22"/>
          <w:szCs w:val="22"/>
          <w:lang w:val="fr-FR"/>
        </w:rPr>
        <w:t xml:space="preserve"> a exprimé sa gratitude pour le travail du Secrétariat et</w:t>
      </w:r>
      <w:r>
        <w:rPr>
          <w:rFonts w:ascii="Arial" w:hAnsi="Arial" w:cs="Arial"/>
          <w:bCs/>
          <w:sz w:val="22"/>
          <w:szCs w:val="22"/>
          <w:lang w:val="fr-FR"/>
        </w:rPr>
        <w:t xml:space="preserve"> pour </w:t>
      </w:r>
      <w:r w:rsidRPr="00DB31C7">
        <w:rPr>
          <w:rFonts w:ascii="Arial" w:hAnsi="Arial" w:cs="Arial"/>
          <w:bCs/>
          <w:sz w:val="22"/>
          <w:szCs w:val="22"/>
          <w:lang w:val="fr-FR"/>
        </w:rPr>
        <w:t xml:space="preserve">tout le soutien nécessaire </w:t>
      </w:r>
      <w:r>
        <w:rPr>
          <w:rFonts w:ascii="Arial" w:hAnsi="Arial" w:cs="Arial"/>
          <w:bCs/>
          <w:sz w:val="22"/>
          <w:szCs w:val="22"/>
          <w:lang w:val="fr-FR"/>
        </w:rPr>
        <w:t>qu</w:t>
      </w:r>
      <w:r w:rsidR="008E532B">
        <w:rPr>
          <w:rFonts w:ascii="Arial" w:hAnsi="Arial" w:cs="Arial"/>
          <w:bCs/>
          <w:sz w:val="22"/>
          <w:szCs w:val="22"/>
          <w:lang w:val="fr-FR"/>
        </w:rPr>
        <w:t>’</w:t>
      </w:r>
      <w:r>
        <w:rPr>
          <w:rFonts w:ascii="Arial" w:hAnsi="Arial" w:cs="Arial"/>
          <w:bCs/>
          <w:sz w:val="22"/>
          <w:szCs w:val="22"/>
          <w:lang w:val="fr-FR"/>
        </w:rPr>
        <w:t xml:space="preserve">il avait apporté </w:t>
      </w:r>
      <w:r w:rsidRPr="00DB31C7">
        <w:rPr>
          <w:rFonts w:ascii="Arial" w:hAnsi="Arial" w:cs="Arial"/>
          <w:bCs/>
          <w:sz w:val="22"/>
          <w:szCs w:val="22"/>
          <w:lang w:val="fr-FR"/>
        </w:rPr>
        <w:t xml:space="preserve">à la Moldavie au fil des années </w:t>
      </w:r>
      <w:r>
        <w:rPr>
          <w:rFonts w:ascii="Arial" w:hAnsi="Arial" w:cs="Arial"/>
          <w:bCs/>
          <w:sz w:val="22"/>
          <w:szCs w:val="22"/>
          <w:lang w:val="fr-FR"/>
        </w:rPr>
        <w:t xml:space="preserve">afin de </w:t>
      </w:r>
      <w:r w:rsidRPr="00DB31C7">
        <w:rPr>
          <w:rFonts w:ascii="Arial" w:hAnsi="Arial" w:cs="Arial"/>
          <w:bCs/>
          <w:sz w:val="22"/>
          <w:szCs w:val="22"/>
          <w:lang w:val="fr-FR"/>
        </w:rPr>
        <w:t>mettre en œuvre les dispositions de la Convention et des Directives opérationnelles. Dans le contexte des derniers événements dans le monde, elle</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est réjouie d</w:t>
      </w:r>
      <w:r w:rsidRPr="00DB31C7">
        <w:rPr>
          <w:rFonts w:ascii="Arial" w:hAnsi="Arial" w:cs="Arial"/>
          <w:bCs/>
          <w:sz w:val="22"/>
          <w:szCs w:val="22"/>
          <w:lang w:val="fr-FR"/>
        </w:rPr>
        <w:t>es changements qui encourage</w:t>
      </w:r>
      <w:r>
        <w:rPr>
          <w:rFonts w:ascii="Arial" w:hAnsi="Arial" w:cs="Arial"/>
          <w:bCs/>
          <w:sz w:val="22"/>
          <w:szCs w:val="22"/>
          <w:lang w:val="fr-FR"/>
        </w:rPr>
        <w:t>aie</w:t>
      </w:r>
      <w:r w:rsidRPr="00DB31C7">
        <w:rPr>
          <w:rFonts w:ascii="Arial" w:hAnsi="Arial" w:cs="Arial"/>
          <w:bCs/>
          <w:sz w:val="22"/>
          <w:szCs w:val="22"/>
          <w:lang w:val="fr-FR"/>
        </w:rPr>
        <w:t xml:space="preserve">nt la soumission de dossiers aux </w:t>
      </w:r>
      <w:r>
        <w:rPr>
          <w:rFonts w:ascii="Arial" w:hAnsi="Arial" w:cs="Arial"/>
          <w:bCs/>
          <w:sz w:val="22"/>
          <w:szCs w:val="22"/>
          <w:lang w:val="fr-FR"/>
        </w:rPr>
        <w:t>l</w:t>
      </w:r>
      <w:r w:rsidRPr="00DB31C7">
        <w:rPr>
          <w:rFonts w:ascii="Arial" w:hAnsi="Arial" w:cs="Arial"/>
          <w:bCs/>
          <w:sz w:val="22"/>
          <w:szCs w:val="22"/>
          <w:lang w:val="fr-FR"/>
        </w:rPr>
        <w:t>istes de l</w:t>
      </w:r>
      <w:r w:rsidR="008E532B">
        <w:rPr>
          <w:rFonts w:ascii="Arial" w:hAnsi="Arial" w:cs="Arial"/>
          <w:bCs/>
          <w:sz w:val="22"/>
          <w:szCs w:val="22"/>
          <w:lang w:val="fr-FR"/>
        </w:rPr>
        <w:t>’</w:t>
      </w:r>
      <w:r w:rsidRPr="00DB31C7">
        <w:rPr>
          <w:rFonts w:ascii="Arial" w:hAnsi="Arial" w:cs="Arial"/>
          <w:bCs/>
          <w:sz w:val="22"/>
          <w:szCs w:val="22"/>
          <w:lang w:val="fr-FR"/>
        </w:rPr>
        <w:t>UNESCO, notamment la possibilité de demander à la fois l</w:t>
      </w:r>
      <w:r w:rsidR="008E532B">
        <w:rPr>
          <w:rFonts w:ascii="Arial" w:hAnsi="Arial" w:cs="Arial"/>
          <w:bCs/>
          <w:sz w:val="22"/>
          <w:szCs w:val="22"/>
          <w:lang w:val="fr-FR"/>
        </w:rPr>
        <w:t>’</w:t>
      </w:r>
      <w:r w:rsidRPr="00DB31C7">
        <w:rPr>
          <w:rFonts w:ascii="Arial" w:hAnsi="Arial" w:cs="Arial"/>
          <w:bCs/>
          <w:sz w:val="22"/>
          <w:szCs w:val="22"/>
          <w:lang w:val="fr-FR"/>
        </w:rPr>
        <w:t>inscription de l</w:t>
      </w:r>
      <w:r w:rsidR="008E532B">
        <w:rPr>
          <w:rFonts w:ascii="Arial" w:hAnsi="Arial" w:cs="Arial"/>
          <w:bCs/>
          <w:sz w:val="22"/>
          <w:szCs w:val="22"/>
          <w:lang w:val="fr-FR"/>
        </w:rPr>
        <w:t>’</w:t>
      </w:r>
      <w:r w:rsidRPr="00DB31C7">
        <w:rPr>
          <w:rFonts w:ascii="Arial" w:hAnsi="Arial" w:cs="Arial"/>
          <w:bCs/>
          <w:sz w:val="22"/>
          <w:szCs w:val="22"/>
          <w:lang w:val="fr-FR"/>
        </w:rPr>
        <w:t xml:space="preserve">élément sur la Liste de sauvegarde urgente et </w:t>
      </w:r>
      <w:r>
        <w:rPr>
          <w:rFonts w:ascii="Arial" w:hAnsi="Arial" w:cs="Arial"/>
          <w:bCs/>
          <w:sz w:val="22"/>
          <w:szCs w:val="22"/>
          <w:lang w:val="fr-FR"/>
        </w:rPr>
        <w:t>une</w:t>
      </w:r>
      <w:r w:rsidRPr="00DB31C7">
        <w:rPr>
          <w:rFonts w:ascii="Arial" w:hAnsi="Arial" w:cs="Arial"/>
          <w:bCs/>
          <w:sz w:val="22"/>
          <w:szCs w:val="22"/>
          <w:lang w:val="fr-FR"/>
        </w:rPr>
        <w:t xml:space="preserve"> assistance internationale. La délégation a également salué l</w:t>
      </w:r>
      <w:r w:rsidR="008E532B">
        <w:rPr>
          <w:rFonts w:ascii="Arial" w:hAnsi="Arial" w:cs="Arial"/>
          <w:bCs/>
          <w:sz w:val="22"/>
          <w:szCs w:val="22"/>
          <w:lang w:val="fr-FR"/>
        </w:rPr>
        <w:t>’</w:t>
      </w:r>
      <w:r w:rsidRPr="00DB31C7">
        <w:rPr>
          <w:rFonts w:ascii="Arial" w:hAnsi="Arial" w:cs="Arial"/>
          <w:bCs/>
          <w:sz w:val="22"/>
          <w:szCs w:val="22"/>
          <w:lang w:val="fr-FR"/>
        </w:rPr>
        <w:t>amendement selon lequel les États parties p</w:t>
      </w:r>
      <w:r>
        <w:rPr>
          <w:rFonts w:ascii="Arial" w:hAnsi="Arial" w:cs="Arial"/>
          <w:bCs/>
          <w:sz w:val="22"/>
          <w:szCs w:val="22"/>
          <w:lang w:val="fr-FR"/>
        </w:rPr>
        <w:t>ouvaient</w:t>
      </w:r>
      <w:r w:rsidRPr="00DB31C7">
        <w:rPr>
          <w:rFonts w:ascii="Arial" w:hAnsi="Arial" w:cs="Arial"/>
          <w:bCs/>
          <w:sz w:val="22"/>
          <w:szCs w:val="22"/>
          <w:lang w:val="fr-FR"/>
        </w:rPr>
        <w:t xml:space="preserve"> </w:t>
      </w:r>
      <w:r>
        <w:rPr>
          <w:rFonts w:ascii="Arial" w:hAnsi="Arial" w:cs="Arial"/>
          <w:bCs/>
          <w:sz w:val="22"/>
          <w:szCs w:val="22"/>
          <w:lang w:val="fr-FR"/>
        </w:rPr>
        <w:t xml:space="preserve">se </w:t>
      </w:r>
      <w:r w:rsidRPr="00DB31C7">
        <w:rPr>
          <w:rFonts w:ascii="Arial" w:hAnsi="Arial" w:cs="Arial"/>
          <w:bCs/>
          <w:sz w:val="22"/>
          <w:szCs w:val="22"/>
          <w:lang w:val="fr-FR"/>
        </w:rPr>
        <w:t xml:space="preserve">joindre </w:t>
      </w:r>
      <w:r>
        <w:rPr>
          <w:rFonts w:ascii="Arial" w:hAnsi="Arial" w:cs="Arial"/>
          <w:bCs/>
          <w:sz w:val="22"/>
          <w:szCs w:val="22"/>
          <w:lang w:val="fr-FR"/>
        </w:rPr>
        <w:t xml:space="preserve">à </w:t>
      </w:r>
      <w:r w:rsidRPr="00DB31C7">
        <w:rPr>
          <w:rFonts w:ascii="Arial" w:hAnsi="Arial" w:cs="Arial"/>
          <w:bCs/>
          <w:sz w:val="22"/>
          <w:szCs w:val="22"/>
          <w:lang w:val="fr-FR"/>
        </w:rPr>
        <w:t xml:space="preserve">des éléments déjà inscrits sur les </w:t>
      </w:r>
      <w:r>
        <w:rPr>
          <w:rFonts w:ascii="Arial" w:hAnsi="Arial" w:cs="Arial"/>
          <w:bCs/>
          <w:sz w:val="22"/>
          <w:szCs w:val="22"/>
          <w:lang w:val="fr-FR"/>
        </w:rPr>
        <w:t>l</w:t>
      </w:r>
      <w:r w:rsidRPr="00DB31C7">
        <w:rPr>
          <w:rFonts w:ascii="Arial" w:hAnsi="Arial" w:cs="Arial"/>
          <w:bCs/>
          <w:sz w:val="22"/>
          <w:szCs w:val="22"/>
          <w:lang w:val="fr-FR"/>
        </w:rPr>
        <w:t>istes de l</w:t>
      </w:r>
      <w:r w:rsidR="008E532B">
        <w:rPr>
          <w:rFonts w:ascii="Arial" w:hAnsi="Arial" w:cs="Arial"/>
          <w:bCs/>
          <w:sz w:val="22"/>
          <w:szCs w:val="22"/>
          <w:lang w:val="fr-FR"/>
        </w:rPr>
        <w:t>’</w:t>
      </w:r>
      <w:r w:rsidRPr="00DB31C7">
        <w:rPr>
          <w:rFonts w:ascii="Arial" w:hAnsi="Arial" w:cs="Arial"/>
          <w:bCs/>
          <w:sz w:val="22"/>
          <w:szCs w:val="22"/>
          <w:lang w:val="fr-FR"/>
        </w:rPr>
        <w:t>UNESCO, démontrant ainsi leur identité [commune] et leur unité culturelle.</w:t>
      </w:r>
    </w:p>
    <w:p w14:paraId="0DFC9455" w14:textId="2B593C6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B31C7">
        <w:rPr>
          <w:rFonts w:ascii="Arial" w:hAnsi="Arial" w:cs="Arial"/>
          <w:bCs/>
          <w:sz w:val="22"/>
          <w:szCs w:val="22"/>
          <w:lang w:val="fr-FR"/>
        </w:rPr>
        <w:t xml:space="preserve">La délégation du </w:t>
      </w:r>
      <w:r w:rsidRPr="00DB31C7">
        <w:rPr>
          <w:rFonts w:ascii="Arial" w:hAnsi="Arial" w:cs="Arial"/>
          <w:b/>
          <w:sz w:val="22"/>
          <w:szCs w:val="22"/>
          <w:lang w:val="fr-FR"/>
        </w:rPr>
        <w:t>Danemark</w:t>
      </w:r>
      <w:r w:rsidRPr="00DB31C7">
        <w:rPr>
          <w:rFonts w:ascii="Arial" w:hAnsi="Arial" w:cs="Arial"/>
          <w:bCs/>
          <w:sz w:val="22"/>
          <w:szCs w:val="22"/>
          <w:lang w:val="fr-FR"/>
        </w:rPr>
        <w:t xml:space="preserve"> a </w:t>
      </w:r>
      <w:r>
        <w:rPr>
          <w:rFonts w:ascii="Arial" w:hAnsi="Arial" w:cs="Arial"/>
          <w:bCs/>
          <w:sz w:val="22"/>
          <w:szCs w:val="22"/>
          <w:lang w:val="fr-FR"/>
        </w:rPr>
        <w:t>pris acte d</w:t>
      </w:r>
      <w:r w:rsidRPr="00DB31C7">
        <w:rPr>
          <w:rFonts w:ascii="Arial" w:hAnsi="Arial" w:cs="Arial"/>
          <w:bCs/>
          <w:sz w:val="22"/>
          <w:szCs w:val="22"/>
          <w:lang w:val="fr-FR"/>
        </w:rPr>
        <w:t xml:space="preserve">es efforts et </w:t>
      </w:r>
      <w:r>
        <w:rPr>
          <w:rFonts w:ascii="Arial" w:hAnsi="Arial" w:cs="Arial"/>
          <w:bCs/>
          <w:sz w:val="22"/>
          <w:szCs w:val="22"/>
          <w:lang w:val="fr-FR"/>
        </w:rPr>
        <w:t>d</w:t>
      </w:r>
      <w:r w:rsidRPr="00DB31C7">
        <w:rPr>
          <w:rFonts w:ascii="Arial" w:hAnsi="Arial" w:cs="Arial"/>
          <w:bCs/>
          <w:sz w:val="22"/>
          <w:szCs w:val="22"/>
          <w:lang w:val="fr-FR"/>
        </w:rPr>
        <w:t>es résultats de la réflexion globale sur les mécanismes d</w:t>
      </w:r>
      <w:r w:rsidR="008E532B">
        <w:rPr>
          <w:rFonts w:ascii="Arial" w:hAnsi="Arial" w:cs="Arial"/>
          <w:bCs/>
          <w:sz w:val="22"/>
          <w:szCs w:val="22"/>
          <w:lang w:val="fr-FR"/>
        </w:rPr>
        <w:t>’</w:t>
      </w:r>
      <w:r w:rsidRPr="00DB31C7">
        <w:rPr>
          <w:rFonts w:ascii="Arial" w:hAnsi="Arial" w:cs="Arial"/>
          <w:bCs/>
          <w:sz w:val="22"/>
          <w:szCs w:val="22"/>
          <w:lang w:val="fr-FR"/>
        </w:rPr>
        <w:t>inscription</w:t>
      </w:r>
      <w:r>
        <w:rPr>
          <w:rFonts w:ascii="Arial" w:hAnsi="Arial" w:cs="Arial"/>
          <w:bCs/>
          <w:sz w:val="22"/>
          <w:szCs w:val="22"/>
          <w:lang w:val="fr-FR"/>
        </w:rPr>
        <w:t>,</w:t>
      </w:r>
      <w:r w:rsidRPr="00DB31C7">
        <w:rPr>
          <w:rFonts w:ascii="Arial" w:hAnsi="Arial" w:cs="Arial"/>
          <w:bCs/>
          <w:sz w:val="22"/>
          <w:szCs w:val="22"/>
          <w:lang w:val="fr-FR"/>
        </w:rPr>
        <w:t xml:space="preserve"> qui a</w:t>
      </w:r>
      <w:r>
        <w:rPr>
          <w:rFonts w:ascii="Arial" w:hAnsi="Arial" w:cs="Arial"/>
          <w:bCs/>
          <w:sz w:val="22"/>
          <w:szCs w:val="22"/>
          <w:lang w:val="fr-FR"/>
        </w:rPr>
        <w:t>vaient</w:t>
      </w:r>
      <w:r w:rsidRPr="00DB31C7">
        <w:rPr>
          <w:rFonts w:ascii="Arial" w:hAnsi="Arial" w:cs="Arial"/>
          <w:bCs/>
          <w:sz w:val="22"/>
          <w:szCs w:val="22"/>
          <w:lang w:val="fr-FR"/>
        </w:rPr>
        <w:t xml:space="preserve"> abouti à des conclusions importantes grâce à des discussions approfondies sur les modificatio</w:t>
      </w:r>
      <w:r>
        <w:rPr>
          <w:rFonts w:ascii="Arial" w:hAnsi="Arial" w:cs="Arial"/>
          <w:bCs/>
          <w:sz w:val="22"/>
          <w:szCs w:val="22"/>
          <w:lang w:val="fr-FR"/>
        </w:rPr>
        <w:t>ns</w:t>
      </w:r>
      <w:r w:rsidRPr="00DB31C7">
        <w:rPr>
          <w:rFonts w:ascii="Arial" w:hAnsi="Arial" w:cs="Arial"/>
          <w:bCs/>
          <w:sz w:val="22"/>
          <w:szCs w:val="22"/>
          <w:lang w:val="fr-FR"/>
        </w:rPr>
        <w:t xml:space="preserve"> proposé</w:t>
      </w:r>
      <w:r>
        <w:rPr>
          <w:rFonts w:ascii="Arial" w:hAnsi="Arial" w:cs="Arial"/>
          <w:bCs/>
          <w:sz w:val="22"/>
          <w:szCs w:val="22"/>
          <w:lang w:val="fr-FR"/>
        </w:rPr>
        <w:t>e</w:t>
      </w:r>
      <w:r w:rsidRPr="00DB31C7">
        <w:rPr>
          <w:rFonts w:ascii="Arial" w:hAnsi="Arial" w:cs="Arial"/>
          <w:bCs/>
          <w:sz w:val="22"/>
          <w:szCs w:val="22"/>
          <w:lang w:val="fr-FR"/>
        </w:rPr>
        <w:t>s. Le succès d</w:t>
      </w:r>
      <w:r>
        <w:rPr>
          <w:rFonts w:ascii="Arial" w:hAnsi="Arial" w:cs="Arial"/>
          <w:bCs/>
          <w:sz w:val="22"/>
          <w:szCs w:val="22"/>
          <w:lang w:val="fr-FR"/>
        </w:rPr>
        <w:t xml:space="preserve">e la méthode à « composition non limitée » </w:t>
      </w:r>
      <w:r w:rsidRPr="00DB31C7">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était</w:t>
      </w:r>
      <w:r w:rsidRPr="00DB31C7">
        <w:rPr>
          <w:rFonts w:ascii="Arial" w:hAnsi="Arial" w:cs="Arial"/>
          <w:bCs/>
          <w:sz w:val="22"/>
          <w:szCs w:val="22"/>
          <w:lang w:val="fr-FR"/>
        </w:rPr>
        <w:t xml:space="preserve"> traduit par le large consensus exprimé lors de la </w:t>
      </w:r>
      <w:r>
        <w:rPr>
          <w:rFonts w:ascii="Arial" w:hAnsi="Arial" w:cs="Arial"/>
          <w:bCs/>
          <w:sz w:val="22"/>
          <w:szCs w:val="22"/>
          <w:lang w:val="fr-FR"/>
        </w:rPr>
        <w:t>cinquième</w:t>
      </w:r>
      <w:r w:rsidRPr="00DB31C7">
        <w:rPr>
          <w:rFonts w:ascii="Arial" w:hAnsi="Arial" w:cs="Arial"/>
          <w:bCs/>
          <w:sz w:val="22"/>
          <w:szCs w:val="22"/>
          <w:lang w:val="fr-FR"/>
        </w:rPr>
        <w:t xml:space="preserve"> session extraordinaire du Comité. La délégation a donc demandé que l</w:t>
      </w:r>
      <w:r w:rsidR="008E532B">
        <w:rPr>
          <w:rFonts w:ascii="Arial" w:hAnsi="Arial" w:cs="Arial"/>
          <w:bCs/>
          <w:sz w:val="22"/>
          <w:szCs w:val="22"/>
          <w:lang w:val="fr-FR"/>
        </w:rPr>
        <w:t>’</w:t>
      </w:r>
      <w:r w:rsidRPr="00DB31C7">
        <w:rPr>
          <w:rFonts w:ascii="Arial" w:hAnsi="Arial" w:cs="Arial"/>
          <w:bCs/>
          <w:sz w:val="22"/>
          <w:szCs w:val="22"/>
          <w:lang w:val="fr-FR"/>
        </w:rPr>
        <w:t xml:space="preserve">Assemblée respecte le travail du groupe de travail intergouvernemental et adopte les révisions recommandées des </w:t>
      </w:r>
      <w:r>
        <w:rPr>
          <w:rFonts w:ascii="Arial" w:hAnsi="Arial" w:cs="Arial"/>
          <w:bCs/>
          <w:sz w:val="22"/>
          <w:szCs w:val="22"/>
          <w:lang w:val="fr-FR"/>
        </w:rPr>
        <w:t>D</w:t>
      </w:r>
      <w:r w:rsidRPr="00DB31C7">
        <w:rPr>
          <w:rFonts w:ascii="Arial" w:hAnsi="Arial" w:cs="Arial"/>
          <w:bCs/>
          <w:sz w:val="22"/>
          <w:szCs w:val="22"/>
          <w:lang w:val="fr-FR"/>
        </w:rPr>
        <w:t>irectives opérationnelles sans aucun changement. Le Danemark a</w:t>
      </w:r>
      <w:r>
        <w:rPr>
          <w:rFonts w:ascii="Arial" w:hAnsi="Arial" w:cs="Arial"/>
          <w:bCs/>
          <w:sz w:val="22"/>
          <w:szCs w:val="22"/>
          <w:lang w:val="fr-FR"/>
        </w:rPr>
        <w:t xml:space="preserve">ppréciait </w:t>
      </w:r>
      <w:r w:rsidRPr="00DB31C7">
        <w:rPr>
          <w:rFonts w:ascii="Arial" w:hAnsi="Arial" w:cs="Arial"/>
          <w:bCs/>
          <w:sz w:val="22"/>
          <w:szCs w:val="22"/>
          <w:lang w:val="fr-FR"/>
        </w:rPr>
        <w:t>particulièrement</w:t>
      </w:r>
      <w:r>
        <w:rPr>
          <w:rFonts w:ascii="Arial" w:hAnsi="Arial" w:cs="Arial"/>
          <w:bCs/>
          <w:sz w:val="22"/>
          <w:szCs w:val="22"/>
          <w:lang w:val="fr-FR"/>
        </w:rPr>
        <w:t xml:space="preserve"> </w:t>
      </w:r>
      <w:r w:rsidRPr="00DB31C7">
        <w:rPr>
          <w:rFonts w:ascii="Arial" w:hAnsi="Arial" w:cs="Arial"/>
          <w:bCs/>
          <w:sz w:val="22"/>
          <w:szCs w:val="22"/>
          <w:lang w:val="fr-FR"/>
        </w:rPr>
        <w:t xml:space="preserve">que les </w:t>
      </w:r>
      <w:r w:rsidRPr="00352353">
        <w:rPr>
          <w:rFonts w:ascii="Arial" w:hAnsi="Arial" w:cs="Arial"/>
          <w:bCs/>
          <w:sz w:val="22"/>
          <w:szCs w:val="22"/>
          <w:lang w:val="fr-FR"/>
        </w:rPr>
        <w:t>propositio</w:t>
      </w:r>
      <w:r>
        <w:rPr>
          <w:rFonts w:ascii="Arial" w:hAnsi="Arial" w:cs="Arial"/>
          <w:bCs/>
          <w:sz w:val="22"/>
          <w:szCs w:val="22"/>
          <w:lang w:val="fr-FR"/>
        </w:rPr>
        <w:t xml:space="preserve">ns de </w:t>
      </w:r>
      <w:r w:rsidRPr="00DB31C7">
        <w:rPr>
          <w:rFonts w:ascii="Arial" w:hAnsi="Arial" w:cs="Arial"/>
          <w:bCs/>
          <w:sz w:val="22"/>
          <w:szCs w:val="22"/>
          <w:lang w:val="fr-FR"/>
        </w:rPr>
        <w:t>révisions soulignent l</w:t>
      </w:r>
      <w:r w:rsidR="008E532B">
        <w:rPr>
          <w:rFonts w:ascii="Arial" w:hAnsi="Arial" w:cs="Arial"/>
          <w:bCs/>
          <w:sz w:val="22"/>
          <w:szCs w:val="22"/>
          <w:lang w:val="fr-FR"/>
        </w:rPr>
        <w:t>’</w:t>
      </w:r>
      <w:r w:rsidRPr="00DB31C7">
        <w:rPr>
          <w:rFonts w:ascii="Arial" w:hAnsi="Arial" w:cs="Arial"/>
          <w:bCs/>
          <w:sz w:val="22"/>
          <w:szCs w:val="22"/>
          <w:lang w:val="fr-FR"/>
        </w:rPr>
        <w:t>importance d</w:t>
      </w:r>
      <w:r w:rsidR="008E532B">
        <w:rPr>
          <w:rFonts w:ascii="Arial" w:hAnsi="Arial" w:cs="Arial"/>
          <w:bCs/>
          <w:sz w:val="22"/>
          <w:szCs w:val="22"/>
          <w:lang w:val="fr-FR"/>
        </w:rPr>
        <w:t>’</w:t>
      </w:r>
      <w:r w:rsidRPr="00DB31C7">
        <w:rPr>
          <w:rFonts w:ascii="Arial" w:hAnsi="Arial" w:cs="Arial"/>
          <w:bCs/>
          <w:sz w:val="22"/>
          <w:szCs w:val="22"/>
          <w:lang w:val="fr-FR"/>
        </w:rPr>
        <w:t>impliquer les communautés, les groupes et les individus dans le processus de</w:t>
      </w:r>
      <w:r>
        <w:rPr>
          <w:rFonts w:ascii="Arial" w:hAnsi="Arial" w:cs="Arial"/>
          <w:bCs/>
          <w:sz w:val="22"/>
          <w:szCs w:val="22"/>
          <w:lang w:val="fr-FR"/>
        </w:rPr>
        <w:t xml:space="preserve"> </w:t>
      </w:r>
      <w:r w:rsidRPr="00352353">
        <w:rPr>
          <w:rFonts w:ascii="Arial" w:hAnsi="Arial" w:cs="Arial"/>
          <w:bCs/>
          <w:sz w:val="22"/>
          <w:szCs w:val="22"/>
          <w:lang w:val="fr-FR"/>
        </w:rPr>
        <w:t>candidature</w:t>
      </w:r>
      <w:r>
        <w:rPr>
          <w:rFonts w:ascii="Arial" w:hAnsi="Arial" w:cs="Arial"/>
          <w:bCs/>
          <w:sz w:val="22"/>
          <w:szCs w:val="22"/>
          <w:lang w:val="fr-FR"/>
        </w:rPr>
        <w:t xml:space="preserve">, </w:t>
      </w:r>
      <w:r w:rsidRPr="00DB31C7">
        <w:rPr>
          <w:rFonts w:ascii="Arial" w:hAnsi="Arial" w:cs="Arial"/>
          <w:bCs/>
          <w:sz w:val="22"/>
          <w:szCs w:val="22"/>
          <w:lang w:val="fr-FR"/>
        </w:rPr>
        <w:t>et d</w:t>
      </w:r>
      <w:r w:rsidR="008E532B">
        <w:rPr>
          <w:rFonts w:ascii="Arial" w:hAnsi="Arial" w:cs="Arial"/>
          <w:bCs/>
          <w:sz w:val="22"/>
          <w:szCs w:val="22"/>
          <w:lang w:val="fr-FR"/>
        </w:rPr>
        <w:t>’</w:t>
      </w:r>
      <w:r w:rsidRPr="00DB31C7">
        <w:rPr>
          <w:rFonts w:ascii="Arial" w:hAnsi="Arial" w:cs="Arial"/>
          <w:bCs/>
          <w:sz w:val="22"/>
          <w:szCs w:val="22"/>
          <w:lang w:val="fr-FR"/>
        </w:rPr>
        <w:t>obtenir leur consentement libre, préalable et éclairé. Il s</w:t>
      </w:r>
      <w:r w:rsidR="008E532B">
        <w:rPr>
          <w:rFonts w:ascii="Arial" w:hAnsi="Arial" w:cs="Arial"/>
          <w:bCs/>
          <w:sz w:val="22"/>
          <w:szCs w:val="22"/>
          <w:lang w:val="fr-FR"/>
        </w:rPr>
        <w:t>’</w:t>
      </w:r>
      <w:r w:rsidRPr="00DB31C7">
        <w:rPr>
          <w:rFonts w:ascii="Arial" w:hAnsi="Arial" w:cs="Arial"/>
          <w:bCs/>
          <w:sz w:val="22"/>
          <w:szCs w:val="22"/>
          <w:lang w:val="fr-FR"/>
        </w:rPr>
        <w:t>es</w:t>
      </w:r>
      <w:r>
        <w:rPr>
          <w:rFonts w:ascii="Arial" w:hAnsi="Arial" w:cs="Arial"/>
          <w:bCs/>
          <w:sz w:val="22"/>
          <w:szCs w:val="22"/>
          <w:lang w:val="fr-FR"/>
        </w:rPr>
        <w:t xml:space="preserve">t </w:t>
      </w:r>
      <w:r w:rsidRPr="00DB31C7">
        <w:rPr>
          <w:rFonts w:ascii="Arial" w:hAnsi="Arial" w:cs="Arial"/>
          <w:bCs/>
          <w:sz w:val="22"/>
          <w:szCs w:val="22"/>
          <w:lang w:val="fr-FR"/>
        </w:rPr>
        <w:t>félicité de la poursuite des discussions sur la meilleure façon d</w:t>
      </w:r>
      <w:r w:rsidR="008E532B">
        <w:rPr>
          <w:rFonts w:ascii="Arial" w:hAnsi="Arial" w:cs="Arial"/>
          <w:bCs/>
          <w:sz w:val="22"/>
          <w:szCs w:val="22"/>
          <w:lang w:val="fr-FR"/>
        </w:rPr>
        <w:t>’</w:t>
      </w:r>
      <w:r w:rsidRPr="00DB31C7">
        <w:rPr>
          <w:rFonts w:ascii="Arial" w:hAnsi="Arial" w:cs="Arial"/>
          <w:bCs/>
          <w:sz w:val="22"/>
          <w:szCs w:val="22"/>
          <w:lang w:val="fr-FR"/>
        </w:rPr>
        <w:t>assurer leur participation active</w:t>
      </w:r>
      <w:r>
        <w:rPr>
          <w:rFonts w:ascii="Arial" w:hAnsi="Arial" w:cs="Arial"/>
          <w:bCs/>
          <w:sz w:val="22"/>
          <w:szCs w:val="22"/>
          <w:lang w:val="fr-FR"/>
        </w:rPr>
        <w:t>, ce qui serait</w:t>
      </w:r>
      <w:r w:rsidRPr="00DB31C7">
        <w:rPr>
          <w:rFonts w:ascii="Arial" w:hAnsi="Arial" w:cs="Arial"/>
          <w:bCs/>
          <w:sz w:val="22"/>
          <w:szCs w:val="22"/>
          <w:lang w:val="fr-FR"/>
        </w:rPr>
        <w:t xml:space="preserve"> également </w:t>
      </w:r>
      <w:r>
        <w:rPr>
          <w:rFonts w:ascii="Arial" w:hAnsi="Arial" w:cs="Arial"/>
          <w:bCs/>
          <w:sz w:val="22"/>
          <w:szCs w:val="22"/>
          <w:lang w:val="fr-FR"/>
        </w:rPr>
        <w:t xml:space="preserve">le cas </w:t>
      </w:r>
      <w:r w:rsidRPr="00DB31C7">
        <w:rPr>
          <w:rFonts w:ascii="Arial" w:hAnsi="Arial" w:cs="Arial"/>
          <w:bCs/>
          <w:sz w:val="22"/>
          <w:szCs w:val="22"/>
          <w:lang w:val="fr-FR"/>
        </w:rPr>
        <w:t>dans le prochain groupe de travail sur l</w:t>
      </w:r>
      <w:r w:rsidR="008E532B">
        <w:rPr>
          <w:rFonts w:ascii="Arial" w:hAnsi="Arial" w:cs="Arial"/>
          <w:bCs/>
          <w:sz w:val="22"/>
          <w:szCs w:val="22"/>
          <w:lang w:val="fr-FR"/>
        </w:rPr>
        <w:t>’</w:t>
      </w:r>
      <w:r w:rsidRPr="00DB31C7">
        <w:rPr>
          <w:rFonts w:ascii="Arial" w:hAnsi="Arial" w:cs="Arial"/>
          <w:bCs/>
          <w:sz w:val="22"/>
          <w:szCs w:val="22"/>
          <w:lang w:val="fr-FR"/>
        </w:rPr>
        <w:t xml:space="preserve">article 18 de la Convention. Le Danemark a remercié le Japon et la Suède </w:t>
      </w:r>
      <w:r>
        <w:rPr>
          <w:rFonts w:ascii="Arial" w:hAnsi="Arial" w:cs="Arial"/>
          <w:bCs/>
          <w:sz w:val="22"/>
          <w:szCs w:val="22"/>
          <w:lang w:val="fr-FR"/>
        </w:rPr>
        <w:t>d</w:t>
      </w:r>
      <w:r w:rsidR="008E532B">
        <w:rPr>
          <w:rFonts w:ascii="Arial" w:hAnsi="Arial" w:cs="Arial"/>
          <w:bCs/>
          <w:sz w:val="22"/>
          <w:szCs w:val="22"/>
          <w:lang w:val="fr-FR"/>
        </w:rPr>
        <w:t>’</w:t>
      </w:r>
      <w:r w:rsidRPr="00DB31C7">
        <w:rPr>
          <w:rFonts w:ascii="Arial" w:hAnsi="Arial" w:cs="Arial"/>
          <w:bCs/>
          <w:sz w:val="22"/>
          <w:szCs w:val="22"/>
          <w:lang w:val="fr-FR"/>
        </w:rPr>
        <w:t>avoir parrainé respectivement les processus de réflexion précédent et à venir. La délégation a souligné la nécessité d</w:t>
      </w:r>
      <w:r w:rsidR="008E532B">
        <w:rPr>
          <w:rFonts w:ascii="Arial" w:hAnsi="Arial" w:cs="Arial"/>
          <w:bCs/>
          <w:sz w:val="22"/>
          <w:szCs w:val="22"/>
          <w:lang w:val="fr-FR"/>
        </w:rPr>
        <w:t>’</w:t>
      </w:r>
      <w:r w:rsidRPr="00DB31C7">
        <w:rPr>
          <w:rFonts w:ascii="Arial" w:hAnsi="Arial" w:cs="Arial"/>
          <w:bCs/>
          <w:sz w:val="22"/>
          <w:szCs w:val="22"/>
          <w:lang w:val="fr-FR"/>
        </w:rPr>
        <w:t>assurer un système durable qui permette au Secrétariat de travailler efficacement dans le cadre des ressources disponibles. Elle a remercié le Secrétariat pour ses efforts, non seulement en ce qui concerne le travail sur les mécanismes d</w:t>
      </w:r>
      <w:r w:rsidR="008E532B">
        <w:rPr>
          <w:rFonts w:ascii="Arial" w:hAnsi="Arial" w:cs="Arial"/>
          <w:bCs/>
          <w:sz w:val="22"/>
          <w:szCs w:val="22"/>
          <w:lang w:val="fr-FR"/>
        </w:rPr>
        <w:t>’</w:t>
      </w:r>
      <w:r w:rsidRPr="00DB31C7">
        <w:rPr>
          <w:rFonts w:ascii="Arial" w:hAnsi="Arial" w:cs="Arial"/>
          <w:bCs/>
          <w:sz w:val="22"/>
          <w:szCs w:val="22"/>
          <w:lang w:val="fr-FR"/>
        </w:rPr>
        <w:t xml:space="preserve">inscription sur les listes, mais </w:t>
      </w:r>
      <w:r w:rsidRPr="00352353">
        <w:rPr>
          <w:rFonts w:ascii="Arial" w:hAnsi="Arial" w:cs="Arial"/>
          <w:bCs/>
          <w:color w:val="000000" w:themeColor="text1"/>
          <w:sz w:val="22"/>
          <w:szCs w:val="22"/>
          <w:lang w:val="fr-FR"/>
        </w:rPr>
        <w:t>également</w:t>
      </w:r>
      <w:r w:rsidRPr="00DB31C7">
        <w:rPr>
          <w:rFonts w:ascii="Arial" w:hAnsi="Arial" w:cs="Arial"/>
          <w:bCs/>
          <w:sz w:val="22"/>
          <w:szCs w:val="22"/>
          <w:lang w:val="fr-FR"/>
        </w:rPr>
        <w:t xml:space="preserve"> </w:t>
      </w:r>
      <w:r>
        <w:rPr>
          <w:rFonts w:ascii="Arial" w:hAnsi="Arial" w:cs="Arial"/>
          <w:bCs/>
          <w:sz w:val="22"/>
          <w:szCs w:val="22"/>
          <w:lang w:val="fr-FR"/>
        </w:rPr>
        <w:t>pour</w:t>
      </w:r>
      <w:r w:rsidRPr="00DB31C7">
        <w:rPr>
          <w:rFonts w:ascii="Arial" w:hAnsi="Arial" w:cs="Arial"/>
          <w:bCs/>
          <w:sz w:val="22"/>
          <w:szCs w:val="22"/>
          <w:lang w:val="fr-FR"/>
        </w:rPr>
        <w:t xml:space="preserve"> </w:t>
      </w:r>
      <w:r>
        <w:rPr>
          <w:rFonts w:ascii="Arial" w:hAnsi="Arial" w:cs="Arial"/>
          <w:bCs/>
          <w:sz w:val="22"/>
          <w:szCs w:val="22"/>
          <w:lang w:val="fr-FR"/>
        </w:rPr>
        <w:t>l</w:t>
      </w:r>
      <w:r w:rsidRPr="00DB31C7">
        <w:rPr>
          <w:rFonts w:ascii="Arial" w:hAnsi="Arial" w:cs="Arial"/>
          <w:bCs/>
          <w:sz w:val="22"/>
          <w:szCs w:val="22"/>
          <w:lang w:val="fr-FR"/>
        </w:rPr>
        <w:t xml:space="preserve">es efforts </w:t>
      </w:r>
      <w:r>
        <w:rPr>
          <w:rFonts w:ascii="Arial" w:hAnsi="Arial" w:cs="Arial"/>
          <w:bCs/>
          <w:sz w:val="22"/>
          <w:szCs w:val="22"/>
          <w:lang w:val="fr-FR"/>
        </w:rPr>
        <w:t>entrepris afin de</w:t>
      </w:r>
      <w:r w:rsidRPr="00DB31C7">
        <w:rPr>
          <w:rFonts w:ascii="Arial" w:hAnsi="Arial" w:cs="Arial"/>
          <w:bCs/>
          <w:sz w:val="22"/>
          <w:szCs w:val="22"/>
          <w:lang w:val="fr-FR"/>
        </w:rPr>
        <w:t xml:space="preserve"> développer le travail de la Convention de la manière la plus conforme à son esprit.</w:t>
      </w:r>
    </w:p>
    <w:p w14:paraId="2DD3443E" w14:textId="4D56A14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52353">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352353">
        <w:rPr>
          <w:rFonts w:ascii="Arial" w:hAnsi="Arial" w:cs="Arial"/>
          <w:b/>
          <w:sz w:val="22"/>
          <w:szCs w:val="22"/>
          <w:lang w:val="fr-FR"/>
        </w:rPr>
        <w:t>Autriche</w:t>
      </w:r>
      <w:r w:rsidRPr="00352353">
        <w:rPr>
          <w:rFonts w:ascii="Arial" w:hAnsi="Arial" w:cs="Arial"/>
          <w:bCs/>
          <w:sz w:val="22"/>
          <w:szCs w:val="22"/>
          <w:lang w:val="fr-FR"/>
        </w:rPr>
        <w:t xml:space="preserve"> a remercié le </w:t>
      </w:r>
      <w:r>
        <w:rPr>
          <w:rFonts w:ascii="Arial" w:hAnsi="Arial" w:cs="Arial"/>
          <w:bCs/>
          <w:sz w:val="22"/>
          <w:szCs w:val="22"/>
          <w:lang w:val="fr-FR"/>
        </w:rPr>
        <w:t>G</w:t>
      </w:r>
      <w:r w:rsidRPr="00352353">
        <w:rPr>
          <w:rFonts w:ascii="Arial" w:hAnsi="Arial" w:cs="Arial"/>
          <w:bCs/>
          <w:sz w:val="22"/>
          <w:szCs w:val="22"/>
          <w:lang w:val="fr-FR"/>
        </w:rPr>
        <w:t>ouvernement du Japon et tous les États parties,</w:t>
      </w:r>
      <w:r>
        <w:rPr>
          <w:rFonts w:ascii="Arial" w:hAnsi="Arial" w:cs="Arial"/>
          <w:bCs/>
          <w:sz w:val="22"/>
          <w:szCs w:val="22"/>
          <w:lang w:val="fr-FR"/>
        </w:rPr>
        <w:t xml:space="preserve"> </w:t>
      </w:r>
      <w:r w:rsidRPr="00352353">
        <w:rPr>
          <w:rFonts w:ascii="Arial" w:hAnsi="Arial" w:cs="Arial"/>
          <w:bCs/>
          <w:sz w:val="22"/>
          <w:szCs w:val="22"/>
          <w:lang w:val="fr-FR"/>
        </w:rPr>
        <w:t xml:space="preserve">experts et participants qui </w:t>
      </w:r>
      <w:r>
        <w:rPr>
          <w:rFonts w:ascii="Arial" w:hAnsi="Arial" w:cs="Arial"/>
          <w:bCs/>
          <w:sz w:val="22"/>
          <w:szCs w:val="22"/>
          <w:lang w:val="fr-FR"/>
        </w:rPr>
        <w:t>avaient</w:t>
      </w:r>
      <w:r w:rsidRPr="00352353">
        <w:rPr>
          <w:rFonts w:ascii="Arial" w:hAnsi="Arial" w:cs="Arial"/>
          <w:bCs/>
          <w:sz w:val="22"/>
          <w:szCs w:val="22"/>
          <w:lang w:val="fr-FR"/>
        </w:rPr>
        <w:t xml:space="preserve"> rejoint le groupe de travail à composition non limitée, </w:t>
      </w:r>
      <w:r>
        <w:rPr>
          <w:rFonts w:ascii="Arial" w:hAnsi="Arial" w:cs="Arial"/>
          <w:bCs/>
          <w:sz w:val="22"/>
          <w:szCs w:val="22"/>
          <w:lang w:val="fr-FR"/>
        </w:rPr>
        <w:t>dont le travail avait</w:t>
      </w:r>
      <w:r w:rsidRPr="00352353">
        <w:rPr>
          <w:rFonts w:ascii="Arial" w:hAnsi="Arial" w:cs="Arial"/>
          <w:bCs/>
          <w:sz w:val="22"/>
          <w:szCs w:val="22"/>
          <w:lang w:val="fr-FR"/>
        </w:rPr>
        <w:t xml:space="preserve"> abouti à des directives </w:t>
      </w:r>
      <w:r>
        <w:rPr>
          <w:rFonts w:ascii="Arial" w:hAnsi="Arial" w:cs="Arial"/>
          <w:bCs/>
          <w:sz w:val="22"/>
          <w:szCs w:val="22"/>
          <w:lang w:val="fr-FR"/>
        </w:rPr>
        <w:t>remarquables et essentielles</w:t>
      </w:r>
      <w:r w:rsidRPr="00352353">
        <w:rPr>
          <w:rFonts w:ascii="Arial" w:hAnsi="Arial" w:cs="Arial"/>
          <w:bCs/>
          <w:sz w:val="22"/>
          <w:szCs w:val="22"/>
          <w:lang w:val="fr-FR"/>
        </w:rPr>
        <w:t xml:space="preserve"> pour les travaux actuels et futurs de la Convention. </w:t>
      </w:r>
      <w:r>
        <w:rPr>
          <w:rFonts w:ascii="Arial" w:hAnsi="Arial" w:cs="Arial"/>
          <w:bCs/>
          <w:sz w:val="22"/>
          <w:szCs w:val="22"/>
          <w:lang w:val="fr-FR"/>
        </w:rPr>
        <w:t>Elle</w:t>
      </w:r>
      <w:r w:rsidRPr="00352353">
        <w:rPr>
          <w:rFonts w:ascii="Arial" w:hAnsi="Arial" w:cs="Arial"/>
          <w:bCs/>
          <w:sz w:val="22"/>
          <w:szCs w:val="22"/>
          <w:lang w:val="fr-FR"/>
        </w:rPr>
        <w:t xml:space="preserve"> a également remercié le Secrétariat pour la préparation </w:t>
      </w:r>
      <w:r>
        <w:rPr>
          <w:rFonts w:ascii="Arial" w:hAnsi="Arial" w:cs="Arial"/>
          <w:bCs/>
          <w:sz w:val="22"/>
          <w:szCs w:val="22"/>
          <w:lang w:val="fr-FR"/>
        </w:rPr>
        <w:t xml:space="preserve">de </w:t>
      </w:r>
      <w:r w:rsidRPr="00352353">
        <w:rPr>
          <w:rFonts w:ascii="Arial" w:hAnsi="Arial" w:cs="Arial"/>
          <w:bCs/>
          <w:sz w:val="22"/>
          <w:szCs w:val="22"/>
          <w:lang w:val="fr-FR"/>
        </w:rPr>
        <w:t>cette tâche immense</w:t>
      </w:r>
      <w:r>
        <w:rPr>
          <w:rFonts w:ascii="Arial" w:hAnsi="Arial" w:cs="Arial"/>
          <w:bCs/>
          <w:sz w:val="22"/>
          <w:szCs w:val="22"/>
          <w:lang w:val="fr-FR"/>
        </w:rPr>
        <w:t xml:space="preserve"> et son soutien à celle-ci</w:t>
      </w:r>
      <w:r w:rsidRPr="00352353">
        <w:rPr>
          <w:rFonts w:ascii="Arial" w:hAnsi="Arial" w:cs="Arial"/>
          <w:bCs/>
          <w:sz w:val="22"/>
          <w:szCs w:val="22"/>
          <w:lang w:val="fr-FR"/>
        </w:rPr>
        <w:t>. On ne saurait trop insister sur l</w:t>
      </w:r>
      <w:r w:rsidR="008E532B">
        <w:rPr>
          <w:rFonts w:ascii="Arial" w:hAnsi="Arial" w:cs="Arial"/>
          <w:bCs/>
          <w:sz w:val="22"/>
          <w:szCs w:val="22"/>
          <w:lang w:val="fr-FR"/>
        </w:rPr>
        <w:t>’</w:t>
      </w:r>
      <w:r w:rsidRPr="00352353">
        <w:rPr>
          <w:rFonts w:ascii="Arial" w:hAnsi="Arial" w:cs="Arial"/>
          <w:bCs/>
          <w:sz w:val="22"/>
          <w:szCs w:val="22"/>
          <w:lang w:val="fr-FR"/>
        </w:rPr>
        <w:t>importance de ses résultats, notamment la consolidation de la constellation actuelle des méthodes de travail de l</w:t>
      </w:r>
      <w:r w:rsidR="008E532B">
        <w:rPr>
          <w:rFonts w:ascii="Arial" w:hAnsi="Arial" w:cs="Arial"/>
          <w:bCs/>
          <w:sz w:val="22"/>
          <w:szCs w:val="22"/>
          <w:lang w:val="fr-FR"/>
        </w:rPr>
        <w:t>’</w:t>
      </w:r>
      <w:r w:rsidRPr="00352353">
        <w:rPr>
          <w:rFonts w:ascii="Arial" w:hAnsi="Arial" w:cs="Arial"/>
          <w:bCs/>
          <w:sz w:val="22"/>
          <w:szCs w:val="22"/>
          <w:lang w:val="fr-FR"/>
        </w:rPr>
        <w:t>Organe d</w:t>
      </w:r>
      <w:r w:rsidR="008E532B">
        <w:rPr>
          <w:rFonts w:ascii="Arial" w:hAnsi="Arial" w:cs="Arial"/>
          <w:bCs/>
          <w:sz w:val="22"/>
          <w:szCs w:val="22"/>
          <w:lang w:val="fr-FR"/>
        </w:rPr>
        <w:t>’</w:t>
      </w:r>
      <w:r w:rsidRPr="00352353">
        <w:rPr>
          <w:rFonts w:ascii="Arial" w:hAnsi="Arial" w:cs="Arial"/>
          <w:bCs/>
          <w:sz w:val="22"/>
          <w:szCs w:val="22"/>
          <w:lang w:val="fr-FR"/>
        </w:rPr>
        <w:t xml:space="preserve">évaluation et des nouvelles Directives opérationnelles. De nombreuses délégations qui </w:t>
      </w:r>
      <w:r>
        <w:rPr>
          <w:rFonts w:ascii="Arial" w:hAnsi="Arial" w:cs="Arial"/>
          <w:bCs/>
          <w:sz w:val="22"/>
          <w:szCs w:val="22"/>
          <w:lang w:val="fr-FR"/>
        </w:rPr>
        <w:t xml:space="preserve">avaient </w:t>
      </w:r>
      <w:r w:rsidRPr="00352353">
        <w:rPr>
          <w:rFonts w:ascii="Arial" w:hAnsi="Arial" w:cs="Arial"/>
          <w:bCs/>
          <w:sz w:val="22"/>
          <w:szCs w:val="22"/>
          <w:lang w:val="fr-FR"/>
        </w:rPr>
        <w:t>participé aux réunions sav</w:t>
      </w:r>
      <w:r>
        <w:rPr>
          <w:rFonts w:ascii="Arial" w:hAnsi="Arial" w:cs="Arial"/>
          <w:bCs/>
          <w:sz w:val="22"/>
          <w:szCs w:val="22"/>
          <w:lang w:val="fr-FR"/>
        </w:rPr>
        <w:t>ai</w:t>
      </w:r>
      <w:r w:rsidRPr="00352353">
        <w:rPr>
          <w:rFonts w:ascii="Arial" w:hAnsi="Arial" w:cs="Arial"/>
          <w:bCs/>
          <w:sz w:val="22"/>
          <w:szCs w:val="22"/>
          <w:lang w:val="fr-FR"/>
        </w:rPr>
        <w:t xml:space="preserve">ent que les </w:t>
      </w:r>
      <w:r w:rsidRPr="0050621B">
        <w:rPr>
          <w:rFonts w:ascii="Arial" w:hAnsi="Arial" w:cs="Arial"/>
          <w:bCs/>
          <w:sz w:val="22"/>
          <w:szCs w:val="22"/>
          <w:lang w:val="fr-FR"/>
        </w:rPr>
        <w:t>proposition</w:t>
      </w:r>
      <w:r>
        <w:rPr>
          <w:rFonts w:ascii="Arial" w:hAnsi="Arial" w:cs="Arial"/>
          <w:bCs/>
          <w:sz w:val="22"/>
          <w:szCs w:val="22"/>
          <w:lang w:val="fr-FR"/>
        </w:rPr>
        <w:t xml:space="preserve">s de </w:t>
      </w:r>
      <w:r w:rsidRPr="00352353">
        <w:rPr>
          <w:rFonts w:ascii="Arial" w:hAnsi="Arial" w:cs="Arial"/>
          <w:bCs/>
          <w:sz w:val="22"/>
          <w:szCs w:val="22"/>
          <w:lang w:val="fr-FR"/>
        </w:rPr>
        <w:t xml:space="preserve">révisions </w:t>
      </w:r>
      <w:r>
        <w:rPr>
          <w:rFonts w:ascii="Arial" w:hAnsi="Arial" w:cs="Arial"/>
          <w:bCs/>
          <w:sz w:val="22"/>
          <w:szCs w:val="22"/>
          <w:lang w:val="fr-FR"/>
        </w:rPr>
        <w:t xml:space="preserve">des </w:t>
      </w:r>
      <w:r w:rsidRPr="00352353">
        <w:rPr>
          <w:rFonts w:ascii="Arial" w:hAnsi="Arial" w:cs="Arial"/>
          <w:bCs/>
          <w:sz w:val="22"/>
          <w:szCs w:val="22"/>
          <w:lang w:val="fr-FR"/>
        </w:rPr>
        <w:t xml:space="preserve">Directives opérationnelles </w:t>
      </w:r>
      <w:r>
        <w:rPr>
          <w:rFonts w:ascii="Arial" w:hAnsi="Arial" w:cs="Arial"/>
          <w:bCs/>
          <w:sz w:val="22"/>
          <w:szCs w:val="22"/>
          <w:lang w:val="fr-FR"/>
        </w:rPr>
        <w:t>étaient</w:t>
      </w:r>
      <w:r w:rsidRPr="00352353">
        <w:rPr>
          <w:rFonts w:ascii="Arial" w:hAnsi="Arial" w:cs="Arial"/>
          <w:bCs/>
          <w:sz w:val="22"/>
          <w:szCs w:val="22"/>
          <w:lang w:val="fr-FR"/>
        </w:rPr>
        <w:t xml:space="preserve"> le résultat d</w:t>
      </w:r>
      <w:r w:rsidR="008E532B">
        <w:rPr>
          <w:rFonts w:ascii="Arial" w:hAnsi="Arial" w:cs="Arial"/>
          <w:bCs/>
          <w:sz w:val="22"/>
          <w:szCs w:val="22"/>
          <w:lang w:val="fr-FR"/>
        </w:rPr>
        <w:t>’</w:t>
      </w:r>
      <w:r w:rsidRPr="00352353">
        <w:rPr>
          <w:rFonts w:ascii="Arial" w:hAnsi="Arial" w:cs="Arial"/>
          <w:bCs/>
          <w:sz w:val="22"/>
          <w:szCs w:val="22"/>
          <w:lang w:val="fr-FR"/>
        </w:rPr>
        <w:t>intenses débats et d</w:t>
      </w:r>
      <w:r w:rsidR="008E532B">
        <w:rPr>
          <w:rFonts w:ascii="Arial" w:hAnsi="Arial" w:cs="Arial"/>
          <w:bCs/>
          <w:sz w:val="22"/>
          <w:szCs w:val="22"/>
          <w:lang w:val="fr-FR"/>
        </w:rPr>
        <w:t>’</w:t>
      </w:r>
      <w:r>
        <w:rPr>
          <w:rFonts w:ascii="Arial" w:hAnsi="Arial" w:cs="Arial"/>
          <w:bCs/>
          <w:sz w:val="22"/>
          <w:szCs w:val="22"/>
          <w:lang w:val="fr-FR"/>
        </w:rPr>
        <w:t>un</w:t>
      </w:r>
      <w:r w:rsidRPr="00352353">
        <w:rPr>
          <w:rFonts w:ascii="Arial" w:hAnsi="Arial" w:cs="Arial"/>
          <w:bCs/>
          <w:sz w:val="22"/>
          <w:szCs w:val="22"/>
          <w:lang w:val="fr-FR"/>
        </w:rPr>
        <w:t xml:space="preserve"> consensus. Elle s</w:t>
      </w:r>
      <w:r w:rsidR="008E532B">
        <w:rPr>
          <w:rFonts w:ascii="Arial" w:hAnsi="Arial" w:cs="Arial"/>
          <w:bCs/>
          <w:sz w:val="22"/>
          <w:szCs w:val="22"/>
          <w:lang w:val="fr-FR"/>
        </w:rPr>
        <w:t>’</w:t>
      </w:r>
      <w:r>
        <w:rPr>
          <w:rFonts w:ascii="Arial" w:hAnsi="Arial" w:cs="Arial"/>
          <w:bCs/>
          <w:sz w:val="22"/>
          <w:szCs w:val="22"/>
          <w:lang w:val="fr-FR"/>
        </w:rPr>
        <w:t>alignait</w:t>
      </w:r>
      <w:r w:rsidRPr="00352353">
        <w:rPr>
          <w:rFonts w:ascii="Arial" w:hAnsi="Arial" w:cs="Arial"/>
          <w:bCs/>
          <w:sz w:val="22"/>
          <w:szCs w:val="22"/>
          <w:lang w:val="fr-FR"/>
        </w:rPr>
        <w:t xml:space="preserve"> donc</w:t>
      </w:r>
      <w:r>
        <w:rPr>
          <w:rFonts w:ascii="Arial" w:hAnsi="Arial" w:cs="Arial"/>
          <w:bCs/>
          <w:sz w:val="22"/>
          <w:szCs w:val="22"/>
          <w:lang w:val="fr-FR"/>
        </w:rPr>
        <w:t xml:space="preserve"> </w:t>
      </w:r>
      <w:r w:rsidRPr="00352353">
        <w:rPr>
          <w:rFonts w:ascii="Arial" w:hAnsi="Arial" w:cs="Arial"/>
          <w:bCs/>
          <w:sz w:val="22"/>
          <w:szCs w:val="22"/>
          <w:lang w:val="fr-FR"/>
        </w:rPr>
        <w:t>sur les orateurs précédents pour ne pas rouvrir le débat, et elle attend</w:t>
      </w:r>
      <w:r>
        <w:rPr>
          <w:rFonts w:ascii="Arial" w:hAnsi="Arial" w:cs="Arial"/>
          <w:bCs/>
          <w:sz w:val="22"/>
          <w:szCs w:val="22"/>
          <w:lang w:val="fr-FR"/>
        </w:rPr>
        <w:t>ait</w:t>
      </w:r>
      <w:r w:rsidRPr="00352353">
        <w:rPr>
          <w:rFonts w:ascii="Arial" w:hAnsi="Arial" w:cs="Arial"/>
          <w:bCs/>
          <w:sz w:val="22"/>
          <w:szCs w:val="22"/>
          <w:lang w:val="fr-FR"/>
        </w:rPr>
        <w:t xml:space="preserve"> avec impatience le groupe de travail sur l</w:t>
      </w:r>
      <w:r w:rsidR="008E532B">
        <w:rPr>
          <w:rFonts w:ascii="Arial" w:hAnsi="Arial" w:cs="Arial"/>
          <w:bCs/>
          <w:sz w:val="22"/>
          <w:szCs w:val="22"/>
          <w:lang w:val="fr-FR"/>
        </w:rPr>
        <w:t>’</w:t>
      </w:r>
      <w:r w:rsidRPr="00352353">
        <w:rPr>
          <w:rFonts w:ascii="Arial" w:hAnsi="Arial" w:cs="Arial"/>
          <w:bCs/>
          <w:sz w:val="22"/>
          <w:szCs w:val="22"/>
          <w:lang w:val="fr-FR"/>
        </w:rPr>
        <w:t>article 18 dans un avenir proche.</w:t>
      </w:r>
    </w:p>
    <w:p w14:paraId="1CEDBD51" w14:textId="152BDEF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F19FC">
        <w:rPr>
          <w:rFonts w:ascii="Arial" w:hAnsi="Arial" w:cs="Arial"/>
          <w:bCs/>
          <w:sz w:val="22"/>
          <w:szCs w:val="22"/>
          <w:lang w:val="fr-FR"/>
        </w:rPr>
        <w:t xml:space="preserve">La délégation du </w:t>
      </w:r>
      <w:r w:rsidRPr="00CF19FC">
        <w:rPr>
          <w:rFonts w:ascii="Arial" w:hAnsi="Arial" w:cs="Arial"/>
          <w:b/>
          <w:sz w:val="22"/>
          <w:szCs w:val="22"/>
          <w:lang w:val="fr-FR"/>
        </w:rPr>
        <w:t>Brésil</w:t>
      </w:r>
      <w:r w:rsidRPr="00CF19FC">
        <w:rPr>
          <w:rFonts w:ascii="Arial" w:hAnsi="Arial" w:cs="Arial"/>
          <w:bCs/>
          <w:sz w:val="22"/>
          <w:szCs w:val="22"/>
          <w:lang w:val="fr-FR"/>
        </w:rPr>
        <w:t xml:space="preserve"> appréci</w:t>
      </w:r>
      <w:r>
        <w:rPr>
          <w:rFonts w:ascii="Arial" w:hAnsi="Arial" w:cs="Arial"/>
          <w:bCs/>
          <w:sz w:val="22"/>
          <w:szCs w:val="22"/>
          <w:lang w:val="fr-FR"/>
        </w:rPr>
        <w:t>ait</w:t>
      </w:r>
      <w:r w:rsidRPr="00CF19FC">
        <w:rPr>
          <w:rFonts w:ascii="Arial" w:hAnsi="Arial" w:cs="Arial"/>
          <w:bCs/>
          <w:sz w:val="22"/>
          <w:szCs w:val="22"/>
          <w:lang w:val="fr-FR"/>
        </w:rPr>
        <w:t xml:space="preserve"> tout le travail entrepris, qui était important non seulement pour le fonctionnement des </w:t>
      </w:r>
      <w:r>
        <w:rPr>
          <w:rFonts w:ascii="Arial" w:hAnsi="Arial" w:cs="Arial"/>
          <w:bCs/>
          <w:sz w:val="22"/>
          <w:szCs w:val="22"/>
          <w:lang w:val="fr-FR"/>
        </w:rPr>
        <w:t>l</w:t>
      </w:r>
      <w:r w:rsidRPr="00CF19FC">
        <w:rPr>
          <w:rFonts w:ascii="Arial" w:hAnsi="Arial" w:cs="Arial"/>
          <w:bCs/>
          <w:sz w:val="22"/>
          <w:szCs w:val="22"/>
          <w:lang w:val="fr-FR"/>
        </w:rPr>
        <w:t xml:space="preserve">istes mais </w:t>
      </w:r>
      <w:r w:rsidRPr="00CF19FC">
        <w:rPr>
          <w:rFonts w:ascii="Arial" w:hAnsi="Arial" w:cs="Arial"/>
          <w:bCs/>
          <w:color w:val="000000" w:themeColor="text1"/>
          <w:sz w:val="22"/>
          <w:szCs w:val="22"/>
          <w:lang w:val="fr-FR"/>
        </w:rPr>
        <w:t>également</w:t>
      </w:r>
      <w:r w:rsidRPr="00CF19FC">
        <w:rPr>
          <w:rFonts w:ascii="Arial" w:hAnsi="Arial" w:cs="Arial"/>
          <w:bCs/>
          <w:sz w:val="22"/>
          <w:szCs w:val="22"/>
          <w:lang w:val="fr-FR"/>
        </w:rPr>
        <w:t xml:space="preserve"> pour mettre en évidence les bonnes pratiques de sauvegarde. Pour cette raison, elle </w:t>
      </w:r>
      <w:r>
        <w:rPr>
          <w:rFonts w:ascii="Arial" w:hAnsi="Arial" w:cs="Arial"/>
          <w:bCs/>
          <w:sz w:val="22"/>
          <w:szCs w:val="22"/>
          <w:lang w:val="fr-FR"/>
        </w:rPr>
        <w:t xml:space="preserve">pensait </w:t>
      </w:r>
      <w:r w:rsidRPr="00CF19FC">
        <w:rPr>
          <w:rFonts w:ascii="Arial" w:hAnsi="Arial" w:cs="Arial"/>
          <w:bCs/>
          <w:sz w:val="22"/>
          <w:szCs w:val="22"/>
          <w:lang w:val="fr-FR"/>
        </w:rPr>
        <w:t>que les recommandations du groupe de travail garantiraient une participation plus active</w:t>
      </w:r>
      <w:r>
        <w:rPr>
          <w:rFonts w:ascii="Arial" w:hAnsi="Arial" w:cs="Arial"/>
          <w:bCs/>
          <w:sz w:val="22"/>
          <w:szCs w:val="22"/>
          <w:lang w:val="fr-FR"/>
        </w:rPr>
        <w:t xml:space="preserve"> des</w:t>
      </w:r>
      <w:r w:rsidRPr="00CF19FC">
        <w:rPr>
          <w:rFonts w:ascii="Arial" w:hAnsi="Arial" w:cs="Arial"/>
          <w:bCs/>
          <w:sz w:val="22"/>
          <w:szCs w:val="22"/>
          <w:lang w:val="fr-FR"/>
        </w:rPr>
        <w:t xml:space="preserve"> communautés à l</w:t>
      </w:r>
      <w:r w:rsidR="008E532B">
        <w:rPr>
          <w:rFonts w:ascii="Arial" w:hAnsi="Arial" w:cs="Arial"/>
          <w:bCs/>
          <w:sz w:val="22"/>
          <w:szCs w:val="22"/>
          <w:lang w:val="fr-FR"/>
        </w:rPr>
        <w:t>’</w:t>
      </w:r>
      <w:r w:rsidRPr="00CF19FC">
        <w:rPr>
          <w:rFonts w:ascii="Arial" w:hAnsi="Arial" w:cs="Arial"/>
          <w:bCs/>
          <w:sz w:val="22"/>
          <w:szCs w:val="22"/>
          <w:lang w:val="fr-FR"/>
        </w:rPr>
        <w:t xml:space="preserve">avenir, </w:t>
      </w:r>
      <w:r>
        <w:rPr>
          <w:rFonts w:ascii="Arial" w:hAnsi="Arial" w:cs="Arial"/>
          <w:bCs/>
          <w:sz w:val="22"/>
          <w:szCs w:val="22"/>
          <w:lang w:val="fr-FR"/>
        </w:rPr>
        <w:t xml:space="preserve">ce qui aboutirait à </w:t>
      </w:r>
      <w:r w:rsidRPr="00CF19FC">
        <w:rPr>
          <w:rFonts w:ascii="Arial" w:hAnsi="Arial" w:cs="Arial"/>
          <w:bCs/>
          <w:sz w:val="22"/>
          <w:szCs w:val="22"/>
          <w:lang w:val="fr-FR"/>
        </w:rPr>
        <w:t>une Convention plus inclusive et plus représentative. La délégation a convenu qu</w:t>
      </w:r>
      <w:r w:rsidR="008E532B">
        <w:rPr>
          <w:rFonts w:ascii="Arial" w:hAnsi="Arial" w:cs="Arial"/>
          <w:bCs/>
          <w:sz w:val="22"/>
          <w:szCs w:val="22"/>
          <w:lang w:val="fr-FR"/>
        </w:rPr>
        <w:t>’</w:t>
      </w:r>
      <w:r w:rsidRPr="00CF19FC">
        <w:rPr>
          <w:rFonts w:ascii="Arial" w:hAnsi="Arial" w:cs="Arial"/>
          <w:bCs/>
          <w:sz w:val="22"/>
          <w:szCs w:val="22"/>
          <w:lang w:val="fr-FR"/>
        </w:rPr>
        <w:t>une réflexion</w:t>
      </w:r>
      <w:r>
        <w:rPr>
          <w:rFonts w:ascii="Arial" w:hAnsi="Arial" w:cs="Arial"/>
          <w:bCs/>
          <w:sz w:val="22"/>
          <w:szCs w:val="22"/>
          <w:lang w:val="fr-FR"/>
        </w:rPr>
        <w:t xml:space="preserve"> plus approfondie</w:t>
      </w:r>
      <w:r w:rsidRPr="00CF19FC">
        <w:rPr>
          <w:rFonts w:ascii="Arial" w:hAnsi="Arial" w:cs="Arial"/>
          <w:bCs/>
          <w:sz w:val="22"/>
          <w:szCs w:val="22"/>
          <w:lang w:val="fr-FR"/>
        </w:rPr>
        <w:t xml:space="preserve"> sur l</w:t>
      </w:r>
      <w:r w:rsidR="008E532B">
        <w:rPr>
          <w:rFonts w:ascii="Arial" w:hAnsi="Arial" w:cs="Arial"/>
          <w:bCs/>
          <w:sz w:val="22"/>
          <w:szCs w:val="22"/>
          <w:lang w:val="fr-FR"/>
        </w:rPr>
        <w:t>’</w:t>
      </w:r>
      <w:r w:rsidRPr="00CF19FC">
        <w:rPr>
          <w:rFonts w:ascii="Arial" w:hAnsi="Arial" w:cs="Arial"/>
          <w:bCs/>
          <w:sz w:val="22"/>
          <w:szCs w:val="22"/>
          <w:lang w:val="fr-FR"/>
        </w:rPr>
        <w:t xml:space="preserve">article 18 donnerait une plus grande visibilité à la Convention et, espérons-le, permettrait de mieux </w:t>
      </w:r>
      <w:r>
        <w:rPr>
          <w:rFonts w:ascii="Arial" w:hAnsi="Arial" w:cs="Arial"/>
          <w:bCs/>
          <w:sz w:val="22"/>
          <w:szCs w:val="22"/>
          <w:lang w:val="fr-FR"/>
        </w:rPr>
        <w:t xml:space="preserve">développer </w:t>
      </w:r>
      <w:r w:rsidRPr="00CF19FC">
        <w:rPr>
          <w:rFonts w:ascii="Arial" w:hAnsi="Arial" w:cs="Arial"/>
          <w:bCs/>
          <w:sz w:val="22"/>
          <w:szCs w:val="22"/>
          <w:lang w:val="fr-FR"/>
        </w:rPr>
        <w:t xml:space="preserve">et transférer les connaissances sur les bonnes pratiques de sauvegarde. Elle </w:t>
      </w:r>
      <w:r>
        <w:rPr>
          <w:rFonts w:ascii="Arial" w:hAnsi="Arial" w:cs="Arial"/>
          <w:bCs/>
          <w:sz w:val="22"/>
          <w:szCs w:val="22"/>
          <w:lang w:val="fr-FR"/>
        </w:rPr>
        <w:t xml:space="preserve">pensait </w:t>
      </w:r>
      <w:r w:rsidRPr="00CF19FC">
        <w:rPr>
          <w:rFonts w:ascii="Arial" w:hAnsi="Arial" w:cs="Arial"/>
          <w:bCs/>
          <w:sz w:val="22"/>
          <w:szCs w:val="22"/>
          <w:lang w:val="fr-FR"/>
        </w:rPr>
        <w:t>également que d</w:t>
      </w:r>
      <w:r w:rsidR="008E532B">
        <w:rPr>
          <w:rFonts w:ascii="Arial" w:hAnsi="Arial" w:cs="Arial"/>
          <w:bCs/>
          <w:sz w:val="22"/>
          <w:szCs w:val="22"/>
          <w:lang w:val="fr-FR"/>
        </w:rPr>
        <w:t>’</w:t>
      </w:r>
      <w:r w:rsidRPr="00CF19FC">
        <w:rPr>
          <w:rFonts w:ascii="Arial" w:hAnsi="Arial" w:cs="Arial"/>
          <w:bCs/>
          <w:sz w:val="22"/>
          <w:szCs w:val="22"/>
          <w:lang w:val="fr-FR"/>
        </w:rPr>
        <w:t xml:space="preserve">importants processus de suivi et de rapport seraient améliorés grâce à ces révisions des </w:t>
      </w:r>
      <w:r>
        <w:rPr>
          <w:rFonts w:ascii="Arial" w:hAnsi="Arial" w:cs="Arial"/>
          <w:bCs/>
          <w:sz w:val="22"/>
          <w:szCs w:val="22"/>
          <w:lang w:val="fr-FR"/>
        </w:rPr>
        <w:t>D</w:t>
      </w:r>
      <w:r w:rsidRPr="00CF19FC">
        <w:rPr>
          <w:rFonts w:ascii="Arial" w:hAnsi="Arial" w:cs="Arial"/>
          <w:bCs/>
          <w:sz w:val="22"/>
          <w:szCs w:val="22"/>
          <w:lang w:val="fr-FR"/>
        </w:rPr>
        <w:t xml:space="preserve">irectives opérationnelles. Les États parties </w:t>
      </w:r>
      <w:r>
        <w:rPr>
          <w:rFonts w:ascii="Arial" w:hAnsi="Arial" w:cs="Arial"/>
          <w:bCs/>
          <w:sz w:val="22"/>
          <w:szCs w:val="22"/>
          <w:lang w:val="fr-FR"/>
        </w:rPr>
        <w:t>étaient</w:t>
      </w:r>
      <w:r w:rsidRPr="00CF19FC">
        <w:rPr>
          <w:rFonts w:ascii="Arial" w:hAnsi="Arial" w:cs="Arial"/>
          <w:bCs/>
          <w:sz w:val="22"/>
          <w:szCs w:val="22"/>
          <w:lang w:val="fr-FR"/>
        </w:rPr>
        <w:t xml:space="preserve"> toujours à la recherche d</w:t>
      </w:r>
      <w:r w:rsidR="008E532B">
        <w:rPr>
          <w:rFonts w:ascii="Arial" w:hAnsi="Arial" w:cs="Arial"/>
          <w:bCs/>
          <w:sz w:val="22"/>
          <w:szCs w:val="22"/>
          <w:lang w:val="fr-FR"/>
        </w:rPr>
        <w:t>’</w:t>
      </w:r>
      <w:r w:rsidRPr="00CF19FC">
        <w:rPr>
          <w:rFonts w:ascii="Arial" w:hAnsi="Arial" w:cs="Arial"/>
          <w:bCs/>
          <w:sz w:val="22"/>
          <w:szCs w:val="22"/>
          <w:lang w:val="fr-FR"/>
        </w:rPr>
        <w:t xml:space="preserve">un meilleur équilibre entre les </w:t>
      </w:r>
      <w:r>
        <w:rPr>
          <w:rFonts w:ascii="Arial" w:hAnsi="Arial" w:cs="Arial"/>
          <w:bCs/>
          <w:sz w:val="22"/>
          <w:szCs w:val="22"/>
          <w:lang w:val="fr-FR"/>
        </w:rPr>
        <w:t>l</w:t>
      </w:r>
      <w:r w:rsidRPr="00CF19FC">
        <w:rPr>
          <w:rFonts w:ascii="Arial" w:hAnsi="Arial" w:cs="Arial"/>
          <w:bCs/>
          <w:sz w:val="22"/>
          <w:szCs w:val="22"/>
          <w:lang w:val="fr-FR"/>
        </w:rPr>
        <w:t>istes et dans la Convention, c</w:t>
      </w:r>
      <w:r w:rsidR="008E532B">
        <w:rPr>
          <w:rFonts w:ascii="Arial" w:hAnsi="Arial" w:cs="Arial"/>
          <w:bCs/>
          <w:sz w:val="22"/>
          <w:szCs w:val="22"/>
          <w:lang w:val="fr-FR"/>
        </w:rPr>
        <w:t>’</w:t>
      </w:r>
      <w:r>
        <w:rPr>
          <w:rFonts w:ascii="Arial" w:hAnsi="Arial" w:cs="Arial"/>
          <w:bCs/>
          <w:sz w:val="22"/>
          <w:szCs w:val="22"/>
          <w:lang w:val="fr-FR"/>
        </w:rPr>
        <w:t xml:space="preserve">est la raison pour laquelle </w:t>
      </w:r>
      <w:r w:rsidRPr="00CF19FC">
        <w:rPr>
          <w:rFonts w:ascii="Arial" w:hAnsi="Arial" w:cs="Arial"/>
          <w:bCs/>
          <w:sz w:val="22"/>
          <w:szCs w:val="22"/>
          <w:lang w:val="fr-FR"/>
        </w:rPr>
        <w:t>la délégation cro</w:t>
      </w:r>
      <w:r>
        <w:rPr>
          <w:rFonts w:ascii="Arial" w:hAnsi="Arial" w:cs="Arial"/>
          <w:bCs/>
          <w:sz w:val="22"/>
          <w:szCs w:val="22"/>
          <w:lang w:val="fr-FR"/>
        </w:rPr>
        <w:t>yait</w:t>
      </w:r>
      <w:r w:rsidRPr="00CF19FC">
        <w:rPr>
          <w:rFonts w:ascii="Arial" w:hAnsi="Arial" w:cs="Arial"/>
          <w:bCs/>
          <w:sz w:val="22"/>
          <w:szCs w:val="22"/>
          <w:lang w:val="fr-FR"/>
        </w:rPr>
        <w:t xml:space="preserve"> en une réflexion plus approfondie sur les questions qui </w:t>
      </w:r>
      <w:r>
        <w:rPr>
          <w:rFonts w:ascii="Arial" w:hAnsi="Arial" w:cs="Arial"/>
          <w:bCs/>
          <w:sz w:val="22"/>
          <w:szCs w:val="22"/>
          <w:lang w:val="fr-FR"/>
        </w:rPr>
        <w:t>allaient</w:t>
      </w:r>
      <w:r w:rsidRPr="00CF19FC">
        <w:rPr>
          <w:rFonts w:ascii="Arial" w:hAnsi="Arial" w:cs="Arial"/>
          <w:bCs/>
          <w:sz w:val="22"/>
          <w:szCs w:val="22"/>
          <w:lang w:val="fr-FR"/>
        </w:rPr>
        <w:t xml:space="preserve"> au-delà de l</w:t>
      </w:r>
      <w:r w:rsidR="008E532B">
        <w:rPr>
          <w:rFonts w:ascii="Arial" w:hAnsi="Arial" w:cs="Arial"/>
          <w:bCs/>
          <w:sz w:val="22"/>
          <w:szCs w:val="22"/>
          <w:lang w:val="fr-FR"/>
        </w:rPr>
        <w:t>’</w:t>
      </w:r>
      <w:r w:rsidRPr="00CF19FC">
        <w:rPr>
          <w:rFonts w:ascii="Arial" w:hAnsi="Arial" w:cs="Arial"/>
          <w:bCs/>
          <w:sz w:val="22"/>
          <w:szCs w:val="22"/>
          <w:lang w:val="fr-FR"/>
        </w:rPr>
        <w:t xml:space="preserve">inscription sur les </w:t>
      </w:r>
      <w:r>
        <w:rPr>
          <w:rFonts w:ascii="Arial" w:hAnsi="Arial" w:cs="Arial"/>
          <w:bCs/>
          <w:sz w:val="22"/>
          <w:szCs w:val="22"/>
          <w:lang w:val="fr-FR"/>
        </w:rPr>
        <w:t>l</w:t>
      </w:r>
      <w:r w:rsidRPr="00CF19FC">
        <w:rPr>
          <w:rFonts w:ascii="Arial" w:hAnsi="Arial" w:cs="Arial"/>
          <w:bCs/>
          <w:sz w:val="22"/>
          <w:szCs w:val="22"/>
          <w:lang w:val="fr-FR"/>
        </w:rPr>
        <w:t>istes. En effet, l</w:t>
      </w:r>
      <w:r w:rsidR="008E532B">
        <w:rPr>
          <w:rFonts w:ascii="Arial" w:hAnsi="Arial" w:cs="Arial"/>
          <w:bCs/>
          <w:sz w:val="22"/>
          <w:szCs w:val="22"/>
          <w:lang w:val="fr-FR"/>
        </w:rPr>
        <w:t>’</w:t>
      </w:r>
      <w:r w:rsidRPr="00CF19FC">
        <w:rPr>
          <w:rFonts w:ascii="Arial" w:hAnsi="Arial" w:cs="Arial"/>
          <w:bCs/>
          <w:sz w:val="22"/>
          <w:szCs w:val="22"/>
          <w:lang w:val="fr-FR"/>
        </w:rPr>
        <w:t>accent avait été mis sur l</w:t>
      </w:r>
      <w:r w:rsidR="008E532B">
        <w:rPr>
          <w:rFonts w:ascii="Arial" w:hAnsi="Arial" w:cs="Arial"/>
          <w:bCs/>
          <w:sz w:val="22"/>
          <w:szCs w:val="22"/>
          <w:lang w:val="fr-FR"/>
        </w:rPr>
        <w:t>’</w:t>
      </w:r>
      <w:r w:rsidRPr="001C21DD">
        <w:rPr>
          <w:rFonts w:ascii="Arial" w:hAnsi="Arial" w:cs="Arial"/>
          <w:bCs/>
          <w:sz w:val="22"/>
          <w:szCs w:val="22"/>
          <w:lang w:val="fr-FR"/>
        </w:rPr>
        <w:t>inscription</w:t>
      </w:r>
      <w:r>
        <w:rPr>
          <w:rFonts w:ascii="Arial" w:hAnsi="Arial" w:cs="Arial"/>
          <w:bCs/>
          <w:sz w:val="22"/>
          <w:szCs w:val="22"/>
          <w:lang w:val="fr-FR"/>
        </w:rPr>
        <w:t xml:space="preserve"> sur les </w:t>
      </w:r>
      <w:r w:rsidRPr="00CF19FC">
        <w:rPr>
          <w:rFonts w:ascii="Arial" w:hAnsi="Arial" w:cs="Arial"/>
          <w:bCs/>
          <w:sz w:val="22"/>
          <w:szCs w:val="22"/>
          <w:lang w:val="fr-FR"/>
        </w:rPr>
        <w:t>listes au détriment d</w:t>
      </w:r>
      <w:r w:rsidR="008E532B">
        <w:rPr>
          <w:rFonts w:ascii="Arial" w:hAnsi="Arial" w:cs="Arial"/>
          <w:bCs/>
          <w:sz w:val="22"/>
          <w:szCs w:val="22"/>
          <w:lang w:val="fr-FR"/>
        </w:rPr>
        <w:t>’</w:t>
      </w:r>
      <w:r w:rsidRPr="00CF19FC">
        <w:rPr>
          <w:rFonts w:ascii="Arial" w:hAnsi="Arial" w:cs="Arial"/>
          <w:bCs/>
          <w:sz w:val="22"/>
          <w:szCs w:val="22"/>
          <w:lang w:val="fr-FR"/>
        </w:rPr>
        <w:t>autres sujets tout aussi urgents. Par exemple, il y a</w:t>
      </w:r>
      <w:r>
        <w:rPr>
          <w:rFonts w:ascii="Arial" w:hAnsi="Arial" w:cs="Arial"/>
          <w:bCs/>
          <w:sz w:val="22"/>
          <w:szCs w:val="22"/>
          <w:lang w:val="fr-FR"/>
        </w:rPr>
        <w:t>vait</w:t>
      </w:r>
      <w:r w:rsidRPr="00CF19FC">
        <w:rPr>
          <w:rFonts w:ascii="Arial" w:hAnsi="Arial" w:cs="Arial"/>
          <w:bCs/>
          <w:sz w:val="22"/>
          <w:szCs w:val="22"/>
          <w:lang w:val="fr-FR"/>
        </w:rPr>
        <w:t xml:space="preserve"> 529 éléments inscrits sur la Liste représentative et seulement </w:t>
      </w:r>
      <w:r>
        <w:rPr>
          <w:rFonts w:ascii="Arial" w:hAnsi="Arial" w:cs="Arial"/>
          <w:bCs/>
          <w:sz w:val="22"/>
          <w:szCs w:val="22"/>
          <w:lang w:val="fr-FR"/>
        </w:rPr>
        <w:t>vingt</w:t>
      </w:r>
      <w:r>
        <w:rPr>
          <w:rFonts w:ascii="Arial" w:hAnsi="Arial" w:cs="Arial"/>
          <w:bCs/>
          <w:sz w:val="22"/>
          <w:szCs w:val="22"/>
          <w:lang w:val="fr-FR"/>
        </w:rPr>
        <w:noBreakHyphen/>
        <w:t>neuf</w:t>
      </w:r>
      <w:r w:rsidRPr="00CF19FC">
        <w:rPr>
          <w:rFonts w:ascii="Arial" w:hAnsi="Arial" w:cs="Arial"/>
          <w:bCs/>
          <w:sz w:val="22"/>
          <w:szCs w:val="22"/>
          <w:lang w:val="fr-FR"/>
        </w:rPr>
        <w:t xml:space="preserve"> projets sur le Registre des bonnes pratiques, qui </w:t>
      </w:r>
      <w:r>
        <w:rPr>
          <w:rFonts w:ascii="Arial" w:hAnsi="Arial" w:cs="Arial"/>
          <w:bCs/>
          <w:sz w:val="22"/>
          <w:szCs w:val="22"/>
          <w:lang w:val="fr-FR"/>
        </w:rPr>
        <w:t>propose</w:t>
      </w:r>
      <w:r w:rsidRPr="00CF19FC">
        <w:rPr>
          <w:rFonts w:ascii="Arial" w:hAnsi="Arial" w:cs="Arial"/>
          <w:bCs/>
          <w:sz w:val="22"/>
          <w:szCs w:val="22"/>
          <w:lang w:val="fr-FR"/>
        </w:rPr>
        <w:t xml:space="preserve"> une réflexion </w:t>
      </w:r>
      <w:r>
        <w:rPr>
          <w:rFonts w:ascii="Arial" w:hAnsi="Arial" w:cs="Arial"/>
          <w:bCs/>
          <w:sz w:val="22"/>
          <w:szCs w:val="22"/>
          <w:lang w:val="fr-FR"/>
        </w:rPr>
        <w:t xml:space="preserve">plus poussée </w:t>
      </w:r>
      <w:r w:rsidRPr="00CF19FC">
        <w:rPr>
          <w:rFonts w:ascii="Arial" w:hAnsi="Arial" w:cs="Arial"/>
          <w:bCs/>
          <w:sz w:val="22"/>
          <w:szCs w:val="22"/>
          <w:lang w:val="fr-FR"/>
        </w:rPr>
        <w:t xml:space="preserve">sur la relation entre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CF19FC">
        <w:rPr>
          <w:rFonts w:ascii="Arial" w:hAnsi="Arial" w:cs="Arial"/>
          <w:bCs/>
          <w:sz w:val="22"/>
          <w:szCs w:val="22"/>
          <w:lang w:val="fr-FR"/>
        </w:rPr>
        <w:t xml:space="preserve">et la durabilité, permettant </w:t>
      </w:r>
      <w:r>
        <w:rPr>
          <w:rFonts w:ascii="Arial" w:hAnsi="Arial" w:cs="Arial"/>
          <w:bCs/>
          <w:sz w:val="22"/>
          <w:szCs w:val="22"/>
          <w:lang w:val="fr-FR"/>
        </w:rPr>
        <w:t xml:space="preserve">ainsi </w:t>
      </w:r>
      <w:r w:rsidRPr="00CF19FC">
        <w:rPr>
          <w:rFonts w:ascii="Arial" w:hAnsi="Arial" w:cs="Arial"/>
          <w:bCs/>
          <w:sz w:val="22"/>
          <w:szCs w:val="22"/>
          <w:lang w:val="fr-FR"/>
        </w:rPr>
        <w:t xml:space="preserve">de contribuer à </w:t>
      </w:r>
      <w:r>
        <w:rPr>
          <w:rFonts w:ascii="Arial" w:hAnsi="Arial" w:cs="Arial"/>
          <w:bCs/>
          <w:sz w:val="22"/>
          <w:szCs w:val="22"/>
          <w:lang w:val="fr-FR"/>
        </w:rPr>
        <w:t xml:space="preserve">la </w:t>
      </w:r>
      <w:r w:rsidRPr="001C21DD">
        <w:rPr>
          <w:rFonts w:ascii="Arial" w:hAnsi="Arial" w:cs="Arial"/>
          <w:bCs/>
          <w:color w:val="000000" w:themeColor="text1"/>
          <w:sz w:val="22"/>
          <w:szCs w:val="22"/>
          <w:lang w:val="fr-FR"/>
        </w:rPr>
        <w:t xml:space="preserve">réalisation </w:t>
      </w:r>
      <w:r>
        <w:rPr>
          <w:rFonts w:ascii="Arial" w:hAnsi="Arial" w:cs="Arial"/>
          <w:bCs/>
          <w:color w:val="000000" w:themeColor="text1"/>
          <w:sz w:val="22"/>
          <w:szCs w:val="22"/>
          <w:lang w:val="fr-FR"/>
        </w:rPr>
        <w:t>des</w:t>
      </w:r>
      <w:r w:rsidRPr="00CF19FC">
        <w:rPr>
          <w:rFonts w:ascii="Arial" w:hAnsi="Arial" w:cs="Arial"/>
          <w:bCs/>
          <w:sz w:val="22"/>
          <w:szCs w:val="22"/>
          <w:lang w:val="fr-FR"/>
        </w:rPr>
        <w:t xml:space="preserve"> ODD. Du point de vue du Brésil, les connaissances traditionnelles d</w:t>
      </w:r>
      <w:r>
        <w:rPr>
          <w:rFonts w:ascii="Arial" w:hAnsi="Arial" w:cs="Arial"/>
          <w:bCs/>
          <w:sz w:val="22"/>
          <w:szCs w:val="22"/>
          <w:lang w:val="fr-FR"/>
        </w:rPr>
        <w:t>evaient</w:t>
      </w:r>
      <w:r w:rsidRPr="00CF19FC">
        <w:rPr>
          <w:rFonts w:ascii="Arial" w:hAnsi="Arial" w:cs="Arial"/>
          <w:bCs/>
          <w:sz w:val="22"/>
          <w:szCs w:val="22"/>
          <w:lang w:val="fr-FR"/>
        </w:rPr>
        <w:t xml:space="preserve"> être reconnues, non seulement comme un moyen de sauvegarder l</w:t>
      </w:r>
      <w:r w:rsidR="008E532B">
        <w:rPr>
          <w:rFonts w:ascii="Arial" w:hAnsi="Arial" w:cs="Arial"/>
          <w:bCs/>
          <w:sz w:val="22"/>
          <w:szCs w:val="22"/>
          <w:lang w:val="fr-FR"/>
        </w:rPr>
        <w:t>’</w:t>
      </w:r>
      <w:r w:rsidRPr="00CF19FC">
        <w:rPr>
          <w:rFonts w:ascii="Arial" w:hAnsi="Arial" w:cs="Arial"/>
          <w:bCs/>
          <w:sz w:val="22"/>
          <w:szCs w:val="22"/>
          <w:lang w:val="fr-FR"/>
        </w:rPr>
        <w:t xml:space="preserve">identité et le bien-être de la communauté ainsi que la diversité des cultures, mais </w:t>
      </w:r>
      <w:r w:rsidRPr="001C21DD">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w:t>
      </w:r>
      <w:r>
        <w:rPr>
          <w:rFonts w:ascii="Arial" w:hAnsi="Arial" w:cs="Arial"/>
          <w:bCs/>
          <w:sz w:val="22"/>
          <w:szCs w:val="22"/>
          <w:lang w:val="fr-FR"/>
        </w:rPr>
        <w:t xml:space="preserve">pour leur capacité à </w:t>
      </w:r>
      <w:r w:rsidRPr="00CF19FC">
        <w:rPr>
          <w:rFonts w:ascii="Arial" w:hAnsi="Arial" w:cs="Arial"/>
          <w:bCs/>
          <w:sz w:val="22"/>
          <w:szCs w:val="22"/>
          <w:lang w:val="fr-FR"/>
        </w:rPr>
        <w:t>être intégrées dans des politiques plus larges concernant la créativité</w:t>
      </w:r>
      <w:r>
        <w:rPr>
          <w:rFonts w:ascii="Arial" w:hAnsi="Arial" w:cs="Arial"/>
          <w:bCs/>
          <w:sz w:val="22"/>
          <w:szCs w:val="22"/>
          <w:lang w:val="fr-FR"/>
        </w:rPr>
        <w:t>, par exemple, en faveur du</w:t>
      </w:r>
      <w:r w:rsidRPr="00CF19FC">
        <w:rPr>
          <w:rFonts w:ascii="Arial" w:hAnsi="Arial" w:cs="Arial"/>
          <w:bCs/>
          <w:sz w:val="22"/>
          <w:szCs w:val="22"/>
          <w:lang w:val="fr-FR"/>
        </w:rPr>
        <w:t xml:space="preserve"> développement durable et </w:t>
      </w:r>
      <w:r>
        <w:rPr>
          <w:rFonts w:ascii="Arial" w:hAnsi="Arial" w:cs="Arial"/>
          <w:bCs/>
          <w:sz w:val="22"/>
          <w:szCs w:val="22"/>
          <w:lang w:val="fr-FR"/>
        </w:rPr>
        <w:t xml:space="preserve">de </w:t>
      </w:r>
      <w:r w:rsidRPr="00CF19FC">
        <w:rPr>
          <w:rFonts w:ascii="Arial" w:hAnsi="Arial" w:cs="Arial"/>
          <w:bCs/>
          <w:sz w:val="22"/>
          <w:szCs w:val="22"/>
          <w:lang w:val="fr-FR"/>
        </w:rPr>
        <w:t>la résilience,</w:t>
      </w:r>
      <w:r>
        <w:rPr>
          <w:rFonts w:ascii="Arial" w:hAnsi="Arial" w:cs="Arial"/>
          <w:bCs/>
          <w:sz w:val="22"/>
          <w:szCs w:val="22"/>
          <w:lang w:val="fr-FR"/>
        </w:rPr>
        <w:t xml:space="preserve"> </w:t>
      </w:r>
      <w:r w:rsidRPr="00CF19FC">
        <w:rPr>
          <w:rFonts w:ascii="Arial" w:hAnsi="Arial" w:cs="Arial"/>
          <w:bCs/>
          <w:sz w:val="22"/>
          <w:szCs w:val="22"/>
          <w:lang w:val="fr-FR"/>
        </w:rPr>
        <w:t>surtout dans notre monde en mutation. Le Brésil cherch</w:t>
      </w:r>
      <w:r>
        <w:rPr>
          <w:rFonts w:ascii="Arial" w:hAnsi="Arial" w:cs="Arial"/>
          <w:bCs/>
          <w:sz w:val="22"/>
          <w:szCs w:val="22"/>
          <w:lang w:val="fr-FR"/>
        </w:rPr>
        <w:t>ait</w:t>
      </w:r>
      <w:r w:rsidRPr="00CF19FC">
        <w:rPr>
          <w:rFonts w:ascii="Arial" w:hAnsi="Arial" w:cs="Arial"/>
          <w:bCs/>
          <w:sz w:val="22"/>
          <w:szCs w:val="22"/>
          <w:lang w:val="fr-FR"/>
        </w:rPr>
        <w:t xml:space="preserve"> à se concentrer sur les avantages stratégiques et le renforcement des bonnes pratiques, tout en reconnaissant que les </w:t>
      </w:r>
      <w:r>
        <w:rPr>
          <w:rFonts w:ascii="Arial" w:hAnsi="Arial" w:cs="Arial"/>
          <w:bCs/>
          <w:sz w:val="22"/>
          <w:szCs w:val="22"/>
          <w:lang w:val="fr-FR"/>
        </w:rPr>
        <w:t>l</w:t>
      </w:r>
      <w:r w:rsidRPr="00CF19FC">
        <w:rPr>
          <w:rFonts w:ascii="Arial" w:hAnsi="Arial" w:cs="Arial"/>
          <w:bCs/>
          <w:sz w:val="22"/>
          <w:szCs w:val="22"/>
          <w:lang w:val="fr-FR"/>
        </w:rPr>
        <w:t>istes servent d</w:t>
      </w:r>
      <w:r w:rsidR="008E532B">
        <w:rPr>
          <w:rFonts w:ascii="Arial" w:hAnsi="Arial" w:cs="Arial"/>
          <w:bCs/>
          <w:sz w:val="22"/>
          <w:szCs w:val="22"/>
          <w:lang w:val="fr-FR"/>
        </w:rPr>
        <w:t>’</w:t>
      </w:r>
      <w:r w:rsidRPr="00CF19FC">
        <w:rPr>
          <w:rFonts w:ascii="Arial" w:hAnsi="Arial" w:cs="Arial"/>
          <w:bCs/>
          <w:sz w:val="22"/>
          <w:szCs w:val="22"/>
          <w:lang w:val="fr-FR"/>
        </w:rPr>
        <w:t>instrument pour améliorer la compréhension mutuelle, ce qui profite à tous.</w:t>
      </w:r>
    </w:p>
    <w:p w14:paraId="67848824" w14:textId="6A251A9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56021">
        <w:rPr>
          <w:rFonts w:ascii="Arial" w:hAnsi="Arial" w:cs="Arial"/>
          <w:bCs/>
          <w:sz w:val="22"/>
          <w:szCs w:val="22"/>
          <w:lang w:val="fr-FR"/>
        </w:rPr>
        <w:t xml:space="preserve">La délégation de la </w:t>
      </w:r>
      <w:r w:rsidRPr="00356021">
        <w:rPr>
          <w:rFonts w:ascii="Arial" w:hAnsi="Arial" w:cs="Arial"/>
          <w:b/>
          <w:sz w:val="22"/>
          <w:szCs w:val="22"/>
          <w:lang w:val="fr-FR"/>
        </w:rPr>
        <w:t>Tchéquie</w:t>
      </w:r>
      <w:r w:rsidRPr="00356021">
        <w:rPr>
          <w:rFonts w:ascii="Arial" w:hAnsi="Arial" w:cs="Arial"/>
          <w:bCs/>
          <w:sz w:val="22"/>
          <w:szCs w:val="22"/>
          <w:lang w:val="fr-FR"/>
        </w:rPr>
        <w:t xml:space="preserve"> a remercié tous ceux qui </w:t>
      </w:r>
      <w:r>
        <w:rPr>
          <w:rFonts w:ascii="Arial" w:hAnsi="Arial" w:cs="Arial"/>
          <w:bCs/>
          <w:sz w:val="22"/>
          <w:szCs w:val="22"/>
          <w:lang w:val="fr-FR"/>
        </w:rPr>
        <w:t xml:space="preserve">avaient </w:t>
      </w:r>
      <w:r w:rsidRPr="00356021">
        <w:rPr>
          <w:rFonts w:ascii="Arial" w:hAnsi="Arial" w:cs="Arial"/>
          <w:bCs/>
          <w:sz w:val="22"/>
          <w:szCs w:val="22"/>
          <w:lang w:val="fr-FR"/>
        </w:rPr>
        <w:t>participé au processus de réflexion, ainsi que le Japon pour sa généreuse contribution et M.</w:t>
      </w:r>
      <w:r>
        <w:rPr>
          <w:rFonts w:ascii="Arial" w:hAnsi="Arial" w:cs="Arial"/>
          <w:bCs/>
          <w:sz w:val="22"/>
          <w:szCs w:val="22"/>
          <w:lang w:val="fr-FR"/>
        </w:rPr>
        <w:t> </w:t>
      </w:r>
      <w:proofErr w:type="spellStart"/>
      <w:r w:rsidRPr="00356021">
        <w:rPr>
          <w:rFonts w:ascii="Arial" w:hAnsi="Arial" w:cs="Arial"/>
          <w:bCs/>
          <w:sz w:val="22"/>
          <w:szCs w:val="22"/>
          <w:lang w:val="fr-FR"/>
        </w:rPr>
        <w:t>Atsuyuki</w:t>
      </w:r>
      <w:proofErr w:type="spellEnd"/>
      <w:r w:rsidRPr="00356021">
        <w:rPr>
          <w:rFonts w:ascii="Arial" w:hAnsi="Arial" w:cs="Arial"/>
          <w:bCs/>
          <w:sz w:val="22"/>
          <w:szCs w:val="22"/>
          <w:lang w:val="fr-FR"/>
        </w:rPr>
        <w:t xml:space="preserve"> </w:t>
      </w:r>
      <w:proofErr w:type="spellStart"/>
      <w:r w:rsidRPr="00356021">
        <w:rPr>
          <w:rFonts w:ascii="Arial" w:hAnsi="Arial" w:cs="Arial"/>
          <w:bCs/>
          <w:sz w:val="22"/>
          <w:szCs w:val="22"/>
          <w:lang w:val="fr-FR"/>
        </w:rPr>
        <w:t>Oike</w:t>
      </w:r>
      <w:proofErr w:type="spellEnd"/>
      <w:r w:rsidRPr="00356021">
        <w:rPr>
          <w:rFonts w:ascii="Arial" w:hAnsi="Arial" w:cs="Arial"/>
          <w:bCs/>
          <w:sz w:val="22"/>
          <w:szCs w:val="22"/>
          <w:lang w:val="fr-FR"/>
        </w:rPr>
        <w:t>, le Président du groupe de travail, qui a</w:t>
      </w:r>
      <w:r>
        <w:rPr>
          <w:rFonts w:ascii="Arial" w:hAnsi="Arial" w:cs="Arial"/>
          <w:bCs/>
          <w:sz w:val="22"/>
          <w:szCs w:val="22"/>
          <w:lang w:val="fr-FR"/>
        </w:rPr>
        <w:t>vait</w:t>
      </w:r>
      <w:r w:rsidRPr="00356021">
        <w:rPr>
          <w:rFonts w:ascii="Arial" w:hAnsi="Arial" w:cs="Arial"/>
          <w:bCs/>
          <w:sz w:val="22"/>
          <w:szCs w:val="22"/>
          <w:lang w:val="fr-FR"/>
        </w:rPr>
        <w:t xml:space="preserve"> guidé le processus de manière très efficace et </w:t>
      </w:r>
      <w:r>
        <w:rPr>
          <w:rFonts w:ascii="Arial" w:hAnsi="Arial" w:cs="Arial"/>
          <w:bCs/>
          <w:sz w:val="22"/>
          <w:szCs w:val="22"/>
          <w:lang w:val="fr-FR"/>
        </w:rPr>
        <w:t xml:space="preserve">avec beaucoup de </w:t>
      </w:r>
      <w:r w:rsidRPr="00356021">
        <w:rPr>
          <w:rFonts w:ascii="Arial" w:hAnsi="Arial" w:cs="Arial"/>
          <w:bCs/>
          <w:sz w:val="22"/>
          <w:szCs w:val="22"/>
          <w:lang w:val="fr-FR"/>
        </w:rPr>
        <w:t>sage</w:t>
      </w:r>
      <w:r>
        <w:rPr>
          <w:rFonts w:ascii="Arial" w:hAnsi="Arial" w:cs="Arial"/>
          <w:bCs/>
          <w:sz w:val="22"/>
          <w:szCs w:val="22"/>
          <w:lang w:val="fr-FR"/>
        </w:rPr>
        <w:t>sse</w:t>
      </w:r>
      <w:r w:rsidRPr="00356021">
        <w:rPr>
          <w:rFonts w:ascii="Arial" w:hAnsi="Arial" w:cs="Arial"/>
          <w:bCs/>
          <w:sz w:val="22"/>
          <w:szCs w:val="22"/>
          <w:lang w:val="fr-FR"/>
        </w:rPr>
        <w:t>. Elle a félicité le Secrétariat pour ses services et son soutien, ainsi que pour les documents et les projets d</w:t>
      </w:r>
      <w:r w:rsidR="008E532B">
        <w:rPr>
          <w:rFonts w:ascii="Arial" w:hAnsi="Arial" w:cs="Arial"/>
          <w:bCs/>
          <w:sz w:val="22"/>
          <w:szCs w:val="22"/>
          <w:lang w:val="fr-FR"/>
        </w:rPr>
        <w:t>’</w:t>
      </w:r>
      <w:r w:rsidRPr="00356021">
        <w:rPr>
          <w:rFonts w:ascii="Arial" w:hAnsi="Arial" w:cs="Arial"/>
          <w:bCs/>
          <w:sz w:val="22"/>
          <w:szCs w:val="22"/>
          <w:lang w:val="fr-FR"/>
        </w:rPr>
        <w:t>amendements très bien préparés. La délégation a</w:t>
      </w:r>
      <w:r>
        <w:rPr>
          <w:rFonts w:ascii="Arial" w:hAnsi="Arial" w:cs="Arial"/>
          <w:bCs/>
          <w:sz w:val="22"/>
          <w:szCs w:val="22"/>
          <w:lang w:val="fr-FR"/>
        </w:rPr>
        <w:t>ppréciait</w:t>
      </w:r>
      <w:r w:rsidRPr="00356021">
        <w:rPr>
          <w:rFonts w:ascii="Arial" w:hAnsi="Arial" w:cs="Arial"/>
          <w:bCs/>
          <w:sz w:val="22"/>
          <w:szCs w:val="22"/>
          <w:lang w:val="fr-FR"/>
        </w:rPr>
        <w:t xml:space="preserve"> </w:t>
      </w:r>
      <w:r>
        <w:rPr>
          <w:rFonts w:ascii="Arial" w:hAnsi="Arial" w:cs="Arial"/>
          <w:bCs/>
          <w:sz w:val="22"/>
          <w:szCs w:val="22"/>
          <w:lang w:val="fr-FR"/>
        </w:rPr>
        <w:t xml:space="preserve">vivement </w:t>
      </w:r>
      <w:r w:rsidRPr="00356021">
        <w:rPr>
          <w:rFonts w:ascii="Arial" w:hAnsi="Arial" w:cs="Arial"/>
          <w:bCs/>
          <w:sz w:val="22"/>
          <w:szCs w:val="22"/>
          <w:lang w:val="fr-FR"/>
        </w:rPr>
        <w:t xml:space="preserve">le travail </w:t>
      </w:r>
      <w:r>
        <w:rPr>
          <w:rFonts w:ascii="Arial" w:hAnsi="Arial" w:cs="Arial"/>
          <w:bCs/>
          <w:sz w:val="22"/>
          <w:szCs w:val="22"/>
          <w:lang w:val="fr-FR"/>
        </w:rPr>
        <w:t>réalisé par les</w:t>
      </w:r>
      <w:r w:rsidRPr="00356021">
        <w:rPr>
          <w:rFonts w:ascii="Arial" w:hAnsi="Arial" w:cs="Arial"/>
          <w:bCs/>
          <w:sz w:val="22"/>
          <w:szCs w:val="22"/>
          <w:lang w:val="fr-FR"/>
        </w:rPr>
        <w:t xml:space="preserve"> collègues, </w:t>
      </w:r>
      <w:r>
        <w:rPr>
          <w:rFonts w:ascii="Arial" w:hAnsi="Arial" w:cs="Arial"/>
          <w:bCs/>
          <w:sz w:val="22"/>
          <w:szCs w:val="22"/>
          <w:lang w:val="fr-FR"/>
        </w:rPr>
        <w:t>les</w:t>
      </w:r>
      <w:r w:rsidRPr="00356021">
        <w:rPr>
          <w:rFonts w:ascii="Arial" w:hAnsi="Arial" w:cs="Arial"/>
          <w:bCs/>
          <w:sz w:val="22"/>
          <w:szCs w:val="22"/>
          <w:lang w:val="fr-FR"/>
        </w:rPr>
        <w:t xml:space="preserve"> experts et </w:t>
      </w:r>
      <w:r>
        <w:rPr>
          <w:rFonts w:ascii="Arial" w:hAnsi="Arial" w:cs="Arial"/>
          <w:bCs/>
          <w:sz w:val="22"/>
          <w:szCs w:val="22"/>
          <w:lang w:val="fr-FR"/>
        </w:rPr>
        <w:t>les</w:t>
      </w:r>
      <w:r w:rsidRPr="00356021">
        <w:rPr>
          <w:rFonts w:ascii="Arial" w:hAnsi="Arial" w:cs="Arial"/>
          <w:bCs/>
          <w:sz w:val="22"/>
          <w:szCs w:val="22"/>
          <w:lang w:val="fr-FR"/>
        </w:rPr>
        <w:t xml:space="preserve"> membres du groupe de travail à composition non limitée. Les discussions </w:t>
      </w:r>
      <w:r>
        <w:rPr>
          <w:rFonts w:ascii="Arial" w:hAnsi="Arial" w:cs="Arial"/>
          <w:bCs/>
          <w:sz w:val="22"/>
          <w:szCs w:val="22"/>
          <w:lang w:val="fr-FR"/>
        </w:rPr>
        <w:t>avaient</w:t>
      </w:r>
      <w:r w:rsidRPr="00356021">
        <w:rPr>
          <w:rFonts w:ascii="Arial" w:hAnsi="Arial" w:cs="Arial"/>
          <w:bCs/>
          <w:sz w:val="22"/>
          <w:szCs w:val="22"/>
          <w:lang w:val="fr-FR"/>
        </w:rPr>
        <w:t xml:space="preserve"> été ouvertes, longues et approfondies et </w:t>
      </w:r>
      <w:r>
        <w:rPr>
          <w:rFonts w:ascii="Arial" w:hAnsi="Arial" w:cs="Arial"/>
          <w:bCs/>
          <w:sz w:val="22"/>
          <w:szCs w:val="22"/>
          <w:lang w:val="fr-FR"/>
        </w:rPr>
        <w:t>avaient</w:t>
      </w:r>
      <w:r w:rsidRPr="00356021">
        <w:rPr>
          <w:rFonts w:ascii="Arial" w:hAnsi="Arial" w:cs="Arial"/>
          <w:bCs/>
          <w:sz w:val="22"/>
          <w:szCs w:val="22"/>
          <w:lang w:val="fr-FR"/>
        </w:rPr>
        <w:t xml:space="preserve"> abouti à un large consensus qui s</w:t>
      </w:r>
      <w:r>
        <w:rPr>
          <w:rFonts w:ascii="Arial" w:hAnsi="Arial" w:cs="Arial"/>
          <w:bCs/>
          <w:sz w:val="22"/>
          <w:szCs w:val="22"/>
          <w:lang w:val="fr-FR"/>
        </w:rPr>
        <w:t xml:space="preserve">e </w:t>
      </w:r>
      <w:r w:rsidRPr="00356021">
        <w:rPr>
          <w:rFonts w:ascii="Arial" w:hAnsi="Arial" w:cs="Arial"/>
          <w:bCs/>
          <w:sz w:val="22"/>
          <w:szCs w:val="22"/>
          <w:lang w:val="fr-FR"/>
        </w:rPr>
        <w:t>reflét</w:t>
      </w:r>
      <w:r>
        <w:rPr>
          <w:rFonts w:ascii="Arial" w:hAnsi="Arial" w:cs="Arial"/>
          <w:bCs/>
          <w:sz w:val="22"/>
          <w:szCs w:val="22"/>
          <w:lang w:val="fr-FR"/>
        </w:rPr>
        <w:t>ait</w:t>
      </w:r>
      <w:r w:rsidRPr="00356021">
        <w:rPr>
          <w:rFonts w:ascii="Arial" w:hAnsi="Arial" w:cs="Arial"/>
          <w:bCs/>
          <w:sz w:val="22"/>
          <w:szCs w:val="22"/>
          <w:lang w:val="fr-FR"/>
        </w:rPr>
        <w:t xml:space="preserve"> dans le texte révisé des </w:t>
      </w:r>
      <w:r>
        <w:rPr>
          <w:rFonts w:ascii="Arial" w:hAnsi="Arial" w:cs="Arial"/>
          <w:bCs/>
          <w:sz w:val="22"/>
          <w:szCs w:val="22"/>
          <w:lang w:val="fr-FR"/>
        </w:rPr>
        <w:t>D</w:t>
      </w:r>
      <w:r w:rsidRPr="00356021">
        <w:rPr>
          <w:rFonts w:ascii="Arial" w:hAnsi="Arial" w:cs="Arial"/>
          <w:bCs/>
          <w:sz w:val="22"/>
          <w:szCs w:val="22"/>
          <w:lang w:val="fr-FR"/>
        </w:rPr>
        <w:t xml:space="preserve">irectives opérationnelles et </w:t>
      </w:r>
      <w:r>
        <w:rPr>
          <w:rFonts w:ascii="Arial" w:hAnsi="Arial" w:cs="Arial"/>
          <w:bCs/>
          <w:sz w:val="22"/>
          <w:szCs w:val="22"/>
          <w:lang w:val="fr-FR"/>
        </w:rPr>
        <w:t>avait été</w:t>
      </w:r>
      <w:r w:rsidRPr="00356021">
        <w:rPr>
          <w:rFonts w:ascii="Arial" w:hAnsi="Arial" w:cs="Arial"/>
          <w:bCs/>
          <w:sz w:val="22"/>
          <w:szCs w:val="22"/>
          <w:lang w:val="fr-FR"/>
        </w:rPr>
        <w:t xml:space="preserve"> confirmé par son approbation par le Comité. Le Secrétariat a</w:t>
      </w:r>
      <w:r>
        <w:rPr>
          <w:rFonts w:ascii="Arial" w:hAnsi="Arial" w:cs="Arial"/>
          <w:bCs/>
          <w:sz w:val="22"/>
          <w:szCs w:val="22"/>
          <w:lang w:val="fr-FR"/>
        </w:rPr>
        <w:t>vait</w:t>
      </w:r>
      <w:r w:rsidRPr="00356021">
        <w:rPr>
          <w:rFonts w:ascii="Arial" w:hAnsi="Arial" w:cs="Arial"/>
          <w:bCs/>
          <w:sz w:val="22"/>
          <w:szCs w:val="22"/>
          <w:lang w:val="fr-FR"/>
        </w:rPr>
        <w:t xml:space="preserve"> répondu à toutes les questions lors de la session d</w:t>
      </w:r>
      <w:r w:rsidR="008E532B">
        <w:rPr>
          <w:rFonts w:ascii="Arial" w:hAnsi="Arial" w:cs="Arial"/>
          <w:bCs/>
          <w:sz w:val="22"/>
          <w:szCs w:val="22"/>
          <w:lang w:val="fr-FR"/>
        </w:rPr>
        <w:t>’</w:t>
      </w:r>
      <w:r w:rsidRPr="00356021">
        <w:rPr>
          <w:rFonts w:ascii="Arial" w:hAnsi="Arial" w:cs="Arial"/>
          <w:bCs/>
          <w:sz w:val="22"/>
          <w:szCs w:val="22"/>
          <w:lang w:val="fr-FR"/>
        </w:rPr>
        <w:t>information. Bien qu</w:t>
      </w:r>
      <w:r>
        <w:rPr>
          <w:rFonts w:ascii="Arial" w:hAnsi="Arial" w:cs="Arial"/>
          <w:bCs/>
          <w:sz w:val="22"/>
          <w:szCs w:val="22"/>
          <w:lang w:val="fr-FR"/>
        </w:rPr>
        <w:t xml:space="preserve">e la </w:t>
      </w:r>
      <w:r w:rsidRPr="00B11295">
        <w:rPr>
          <w:rFonts w:ascii="Arial" w:hAnsi="Arial" w:cs="Arial"/>
          <w:bCs/>
          <w:sz w:val="22"/>
          <w:szCs w:val="22"/>
          <w:lang w:val="fr-FR"/>
        </w:rPr>
        <w:t>délégation</w:t>
      </w:r>
      <w:r w:rsidRPr="00356021">
        <w:rPr>
          <w:rFonts w:ascii="Arial" w:hAnsi="Arial" w:cs="Arial"/>
          <w:bCs/>
          <w:sz w:val="22"/>
          <w:szCs w:val="22"/>
          <w:lang w:val="fr-FR"/>
        </w:rPr>
        <w:t xml:space="preserve"> s</w:t>
      </w:r>
      <w:r>
        <w:rPr>
          <w:rFonts w:ascii="Arial" w:hAnsi="Arial" w:cs="Arial"/>
          <w:bCs/>
          <w:sz w:val="22"/>
          <w:szCs w:val="22"/>
          <w:lang w:val="fr-FR"/>
        </w:rPr>
        <w:t>e soit attendue</w:t>
      </w:r>
      <w:r w:rsidRPr="00356021">
        <w:rPr>
          <w:rFonts w:ascii="Arial" w:hAnsi="Arial" w:cs="Arial"/>
          <w:bCs/>
          <w:sz w:val="22"/>
          <w:szCs w:val="22"/>
          <w:lang w:val="fr-FR"/>
        </w:rPr>
        <w:t xml:space="preserve"> à une </w:t>
      </w:r>
      <w:r>
        <w:rPr>
          <w:rFonts w:ascii="Arial" w:hAnsi="Arial" w:cs="Arial"/>
          <w:bCs/>
          <w:sz w:val="22"/>
          <w:szCs w:val="22"/>
          <w:lang w:val="fr-FR"/>
        </w:rPr>
        <w:t xml:space="preserve">petite </w:t>
      </w:r>
      <w:r w:rsidRPr="00356021">
        <w:rPr>
          <w:rFonts w:ascii="Arial" w:hAnsi="Arial" w:cs="Arial"/>
          <w:bCs/>
          <w:sz w:val="22"/>
          <w:szCs w:val="22"/>
          <w:lang w:val="fr-FR"/>
        </w:rPr>
        <w:t xml:space="preserve">révolution, les recommandations finales étaient principalement de nature pratique et procédurale. Néanmoins, des questions très importantes </w:t>
      </w:r>
      <w:r>
        <w:rPr>
          <w:rFonts w:ascii="Arial" w:hAnsi="Arial" w:cs="Arial"/>
          <w:bCs/>
          <w:sz w:val="22"/>
          <w:szCs w:val="22"/>
          <w:lang w:val="fr-FR"/>
        </w:rPr>
        <w:t>avaient</w:t>
      </w:r>
      <w:r w:rsidRPr="00356021">
        <w:rPr>
          <w:rFonts w:ascii="Arial" w:hAnsi="Arial" w:cs="Arial"/>
          <w:bCs/>
          <w:sz w:val="22"/>
          <w:szCs w:val="22"/>
          <w:lang w:val="fr-FR"/>
        </w:rPr>
        <w:t xml:space="preserve"> </w:t>
      </w:r>
      <w:r>
        <w:rPr>
          <w:rFonts w:ascii="Arial" w:hAnsi="Arial" w:cs="Arial"/>
          <w:bCs/>
          <w:sz w:val="22"/>
          <w:szCs w:val="22"/>
          <w:lang w:val="fr-FR"/>
        </w:rPr>
        <w:t>fait l</w:t>
      </w:r>
      <w:r w:rsidR="008E532B">
        <w:rPr>
          <w:rFonts w:ascii="Arial" w:hAnsi="Arial" w:cs="Arial"/>
          <w:bCs/>
          <w:sz w:val="22"/>
          <w:szCs w:val="22"/>
          <w:lang w:val="fr-FR"/>
        </w:rPr>
        <w:t>’</w:t>
      </w:r>
      <w:r>
        <w:rPr>
          <w:rFonts w:ascii="Arial" w:hAnsi="Arial" w:cs="Arial"/>
          <w:bCs/>
          <w:sz w:val="22"/>
          <w:szCs w:val="22"/>
          <w:lang w:val="fr-FR"/>
        </w:rPr>
        <w:t>objet de discussions</w:t>
      </w:r>
      <w:r w:rsidRPr="00356021">
        <w:rPr>
          <w:rFonts w:ascii="Arial" w:hAnsi="Arial" w:cs="Arial"/>
          <w:bCs/>
          <w:sz w:val="22"/>
          <w:szCs w:val="22"/>
          <w:lang w:val="fr-FR"/>
        </w:rPr>
        <w:t xml:space="preserve">, certaines pour la première fois, et des procédures très nécessaires </w:t>
      </w:r>
      <w:r>
        <w:rPr>
          <w:rFonts w:ascii="Arial" w:hAnsi="Arial" w:cs="Arial"/>
          <w:bCs/>
          <w:sz w:val="22"/>
          <w:szCs w:val="22"/>
          <w:lang w:val="fr-FR"/>
        </w:rPr>
        <w:t>avaient été</w:t>
      </w:r>
      <w:r w:rsidRPr="00356021">
        <w:rPr>
          <w:rFonts w:ascii="Arial" w:hAnsi="Arial" w:cs="Arial"/>
          <w:bCs/>
          <w:sz w:val="22"/>
          <w:szCs w:val="22"/>
          <w:lang w:val="fr-FR"/>
        </w:rPr>
        <w:t xml:space="preserve"> mises en place. La délégation </w:t>
      </w:r>
      <w:r>
        <w:rPr>
          <w:rFonts w:ascii="Arial" w:hAnsi="Arial" w:cs="Arial"/>
          <w:bCs/>
          <w:sz w:val="22"/>
          <w:szCs w:val="22"/>
          <w:lang w:val="fr-FR"/>
        </w:rPr>
        <w:t>était</w:t>
      </w:r>
      <w:r w:rsidRPr="00356021">
        <w:rPr>
          <w:rFonts w:ascii="Arial" w:hAnsi="Arial" w:cs="Arial"/>
          <w:bCs/>
          <w:sz w:val="22"/>
          <w:szCs w:val="22"/>
          <w:lang w:val="fr-FR"/>
        </w:rPr>
        <w:t xml:space="preserve"> prête à adopter le texte proposé tel qu</w:t>
      </w:r>
      <w:r>
        <w:rPr>
          <w:rFonts w:ascii="Arial" w:hAnsi="Arial" w:cs="Arial"/>
          <w:bCs/>
          <w:sz w:val="22"/>
          <w:szCs w:val="22"/>
          <w:lang w:val="fr-FR"/>
        </w:rPr>
        <w:t xml:space="preserve">e </w:t>
      </w:r>
      <w:r w:rsidRPr="00356021">
        <w:rPr>
          <w:rFonts w:ascii="Arial" w:hAnsi="Arial" w:cs="Arial"/>
          <w:bCs/>
          <w:sz w:val="22"/>
          <w:szCs w:val="22"/>
          <w:lang w:val="fr-FR"/>
        </w:rPr>
        <w:t>rédigé, et elle cro</w:t>
      </w:r>
      <w:r>
        <w:rPr>
          <w:rFonts w:ascii="Arial" w:hAnsi="Arial" w:cs="Arial"/>
          <w:bCs/>
          <w:sz w:val="22"/>
          <w:szCs w:val="22"/>
          <w:lang w:val="fr-FR"/>
        </w:rPr>
        <w:t>yait</w:t>
      </w:r>
      <w:r w:rsidRPr="00356021">
        <w:rPr>
          <w:rFonts w:ascii="Arial" w:hAnsi="Arial" w:cs="Arial"/>
          <w:bCs/>
          <w:sz w:val="22"/>
          <w:szCs w:val="22"/>
          <w:lang w:val="fr-FR"/>
        </w:rPr>
        <w:t xml:space="preserve"> en l</w:t>
      </w:r>
      <w:r w:rsidR="008E532B">
        <w:rPr>
          <w:rFonts w:ascii="Arial" w:hAnsi="Arial" w:cs="Arial"/>
          <w:bCs/>
          <w:sz w:val="22"/>
          <w:szCs w:val="22"/>
          <w:lang w:val="fr-FR"/>
        </w:rPr>
        <w:t>’</w:t>
      </w:r>
      <w:r w:rsidRPr="00356021">
        <w:rPr>
          <w:rFonts w:ascii="Arial" w:hAnsi="Arial" w:cs="Arial"/>
          <w:bCs/>
          <w:sz w:val="22"/>
          <w:szCs w:val="22"/>
          <w:lang w:val="fr-FR"/>
        </w:rPr>
        <w:t>importance et au succès du prochain groupe de travail sur l</w:t>
      </w:r>
      <w:r w:rsidR="008E532B">
        <w:rPr>
          <w:rFonts w:ascii="Arial" w:hAnsi="Arial" w:cs="Arial"/>
          <w:bCs/>
          <w:sz w:val="22"/>
          <w:szCs w:val="22"/>
          <w:lang w:val="fr-FR"/>
        </w:rPr>
        <w:t>’</w:t>
      </w:r>
      <w:r w:rsidRPr="00356021">
        <w:rPr>
          <w:rFonts w:ascii="Arial" w:hAnsi="Arial" w:cs="Arial"/>
          <w:bCs/>
          <w:sz w:val="22"/>
          <w:szCs w:val="22"/>
          <w:lang w:val="fr-FR"/>
        </w:rPr>
        <w:t>article</w:t>
      </w:r>
      <w:r>
        <w:rPr>
          <w:rFonts w:ascii="Arial" w:hAnsi="Arial" w:cs="Arial"/>
          <w:bCs/>
          <w:sz w:val="22"/>
          <w:szCs w:val="22"/>
          <w:lang w:val="fr-FR"/>
        </w:rPr>
        <w:t> </w:t>
      </w:r>
      <w:r w:rsidRPr="00356021">
        <w:rPr>
          <w:rFonts w:ascii="Arial" w:hAnsi="Arial" w:cs="Arial"/>
          <w:bCs/>
          <w:sz w:val="22"/>
          <w:szCs w:val="22"/>
          <w:lang w:val="fr-FR"/>
        </w:rPr>
        <w:t>18.</w:t>
      </w:r>
    </w:p>
    <w:p w14:paraId="6267C45D" w14:textId="3548C66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A3584">
        <w:rPr>
          <w:rFonts w:ascii="Arial" w:hAnsi="Arial" w:cs="Arial"/>
          <w:bCs/>
          <w:sz w:val="22"/>
          <w:szCs w:val="22"/>
          <w:lang w:val="fr-FR"/>
        </w:rPr>
        <w:t xml:space="preserve">La délégation de la </w:t>
      </w:r>
      <w:r w:rsidRPr="00DA3584">
        <w:rPr>
          <w:rFonts w:ascii="Arial" w:hAnsi="Arial" w:cs="Arial"/>
          <w:b/>
          <w:sz w:val="22"/>
          <w:szCs w:val="22"/>
          <w:lang w:val="fr-FR"/>
        </w:rPr>
        <w:t>Slovaquie</w:t>
      </w:r>
      <w:r w:rsidRPr="00DA3584">
        <w:rPr>
          <w:rFonts w:ascii="Arial" w:hAnsi="Arial" w:cs="Arial"/>
          <w:bCs/>
          <w:sz w:val="22"/>
          <w:szCs w:val="22"/>
          <w:lang w:val="fr-FR"/>
        </w:rPr>
        <w:t xml:space="preserve"> a remercié le Secrétariat, le Japon et, en particulier, l</w:t>
      </w:r>
      <w:r w:rsidR="008E532B">
        <w:rPr>
          <w:rFonts w:ascii="Arial" w:hAnsi="Arial" w:cs="Arial"/>
          <w:bCs/>
          <w:sz w:val="22"/>
          <w:szCs w:val="22"/>
          <w:lang w:val="fr-FR"/>
        </w:rPr>
        <w:t>’</w:t>
      </w:r>
      <w:r>
        <w:rPr>
          <w:rFonts w:ascii="Arial" w:hAnsi="Arial" w:cs="Arial"/>
          <w:bCs/>
          <w:sz w:val="22"/>
          <w:szCs w:val="22"/>
          <w:lang w:val="fr-FR"/>
        </w:rPr>
        <w:t>a</w:t>
      </w:r>
      <w:r w:rsidRPr="00DA3584">
        <w:rPr>
          <w:rFonts w:ascii="Arial" w:hAnsi="Arial" w:cs="Arial"/>
          <w:bCs/>
          <w:sz w:val="22"/>
          <w:szCs w:val="22"/>
          <w:lang w:val="fr-FR"/>
        </w:rPr>
        <w:t xml:space="preserve">mbassadeur du Japon pour le travail acharné </w:t>
      </w:r>
      <w:r>
        <w:rPr>
          <w:rFonts w:ascii="Arial" w:hAnsi="Arial" w:cs="Arial"/>
          <w:bCs/>
          <w:sz w:val="22"/>
          <w:szCs w:val="22"/>
          <w:lang w:val="fr-FR"/>
        </w:rPr>
        <w:t xml:space="preserve">entrepris, </w:t>
      </w:r>
      <w:r w:rsidRPr="00DA3584">
        <w:rPr>
          <w:rFonts w:ascii="Arial" w:hAnsi="Arial" w:cs="Arial"/>
          <w:bCs/>
          <w:sz w:val="22"/>
          <w:szCs w:val="22"/>
          <w:lang w:val="fr-FR"/>
        </w:rPr>
        <w:t>visant à améliorer les mécanismes d</w:t>
      </w:r>
      <w:r w:rsidR="008E532B">
        <w:rPr>
          <w:rFonts w:ascii="Arial" w:hAnsi="Arial" w:cs="Arial"/>
          <w:bCs/>
          <w:sz w:val="22"/>
          <w:szCs w:val="22"/>
          <w:lang w:val="fr-FR"/>
        </w:rPr>
        <w:t>’</w:t>
      </w:r>
      <w:r w:rsidRPr="00DA3584">
        <w:rPr>
          <w:rFonts w:ascii="Arial" w:hAnsi="Arial" w:cs="Arial"/>
          <w:bCs/>
          <w:sz w:val="22"/>
          <w:szCs w:val="22"/>
          <w:lang w:val="fr-FR"/>
        </w:rPr>
        <w:t>inscription. Elle accueill</w:t>
      </w:r>
      <w:r>
        <w:rPr>
          <w:rFonts w:ascii="Arial" w:hAnsi="Arial" w:cs="Arial"/>
          <w:bCs/>
          <w:sz w:val="22"/>
          <w:szCs w:val="22"/>
          <w:lang w:val="fr-FR"/>
        </w:rPr>
        <w:t>ait</w:t>
      </w:r>
      <w:r w:rsidRPr="00DA3584">
        <w:rPr>
          <w:rFonts w:ascii="Arial" w:hAnsi="Arial" w:cs="Arial"/>
          <w:bCs/>
          <w:sz w:val="22"/>
          <w:szCs w:val="22"/>
          <w:lang w:val="fr-FR"/>
        </w:rPr>
        <w:t xml:space="preserve"> </w:t>
      </w:r>
      <w:r>
        <w:rPr>
          <w:rFonts w:ascii="Arial" w:hAnsi="Arial" w:cs="Arial"/>
          <w:bCs/>
          <w:sz w:val="22"/>
          <w:szCs w:val="22"/>
          <w:lang w:val="fr-FR"/>
        </w:rPr>
        <w:t xml:space="preserve">avec </w:t>
      </w:r>
      <w:r w:rsidRPr="0051253C">
        <w:rPr>
          <w:rFonts w:ascii="Arial" w:hAnsi="Arial" w:cs="Arial"/>
          <w:bCs/>
          <w:sz w:val="22"/>
          <w:szCs w:val="22"/>
          <w:lang w:val="fr-FR"/>
        </w:rPr>
        <w:t>satisfaction</w:t>
      </w:r>
      <w:r>
        <w:rPr>
          <w:rFonts w:ascii="Arial" w:hAnsi="Arial" w:cs="Arial"/>
          <w:bCs/>
          <w:sz w:val="22"/>
          <w:szCs w:val="22"/>
          <w:lang w:val="fr-FR"/>
        </w:rPr>
        <w:t xml:space="preserve"> </w:t>
      </w:r>
      <w:r w:rsidRPr="00DA3584">
        <w:rPr>
          <w:rFonts w:ascii="Arial" w:hAnsi="Arial" w:cs="Arial"/>
          <w:bCs/>
          <w:sz w:val="22"/>
          <w:szCs w:val="22"/>
          <w:lang w:val="fr-FR"/>
        </w:rPr>
        <w:t xml:space="preserve">les </w:t>
      </w:r>
      <w:r w:rsidRPr="0051253C">
        <w:rPr>
          <w:rFonts w:ascii="Arial" w:hAnsi="Arial" w:cs="Arial"/>
          <w:bCs/>
          <w:sz w:val="22"/>
          <w:szCs w:val="22"/>
          <w:lang w:val="fr-FR"/>
        </w:rPr>
        <w:t>propositio</w:t>
      </w:r>
      <w:r>
        <w:rPr>
          <w:rFonts w:ascii="Arial" w:hAnsi="Arial" w:cs="Arial"/>
          <w:bCs/>
          <w:sz w:val="22"/>
          <w:szCs w:val="22"/>
          <w:lang w:val="fr-FR"/>
        </w:rPr>
        <w:t>ns d</w:t>
      </w:r>
      <w:r w:rsidR="008E532B">
        <w:rPr>
          <w:rFonts w:ascii="Arial" w:hAnsi="Arial" w:cs="Arial"/>
          <w:bCs/>
          <w:sz w:val="22"/>
          <w:szCs w:val="22"/>
          <w:lang w:val="fr-FR"/>
        </w:rPr>
        <w:t>’</w:t>
      </w:r>
      <w:r w:rsidRPr="00DA3584">
        <w:rPr>
          <w:rFonts w:ascii="Arial" w:hAnsi="Arial" w:cs="Arial"/>
          <w:bCs/>
          <w:sz w:val="22"/>
          <w:szCs w:val="22"/>
          <w:lang w:val="fr-FR"/>
        </w:rPr>
        <w:t>amendements</w:t>
      </w:r>
      <w:r>
        <w:rPr>
          <w:rFonts w:ascii="Arial" w:hAnsi="Arial" w:cs="Arial"/>
          <w:bCs/>
          <w:sz w:val="22"/>
          <w:szCs w:val="22"/>
          <w:lang w:val="fr-FR"/>
        </w:rPr>
        <w:t xml:space="preserve"> aux</w:t>
      </w:r>
      <w:r w:rsidRPr="00DA3584">
        <w:rPr>
          <w:rFonts w:ascii="Arial" w:hAnsi="Arial" w:cs="Arial"/>
          <w:bCs/>
          <w:sz w:val="22"/>
          <w:szCs w:val="22"/>
          <w:lang w:val="fr-FR"/>
        </w:rPr>
        <w:t xml:space="preserve"> </w:t>
      </w:r>
      <w:r>
        <w:rPr>
          <w:rFonts w:ascii="Arial" w:hAnsi="Arial" w:cs="Arial"/>
          <w:bCs/>
          <w:sz w:val="22"/>
          <w:szCs w:val="22"/>
          <w:lang w:val="fr-FR"/>
        </w:rPr>
        <w:t>D</w:t>
      </w:r>
      <w:r w:rsidRPr="00DA3584">
        <w:rPr>
          <w:rFonts w:ascii="Arial" w:hAnsi="Arial" w:cs="Arial"/>
          <w:bCs/>
          <w:sz w:val="22"/>
          <w:szCs w:val="22"/>
          <w:lang w:val="fr-FR"/>
        </w:rPr>
        <w:t>irectives opérationnelles</w:t>
      </w:r>
      <w:r>
        <w:rPr>
          <w:rFonts w:ascii="Arial" w:hAnsi="Arial" w:cs="Arial"/>
          <w:bCs/>
          <w:sz w:val="22"/>
          <w:szCs w:val="22"/>
          <w:lang w:val="fr-FR"/>
        </w:rPr>
        <w:t xml:space="preserve">, en </w:t>
      </w:r>
      <w:r w:rsidRPr="00DA3584">
        <w:rPr>
          <w:rFonts w:ascii="Arial" w:hAnsi="Arial" w:cs="Arial"/>
          <w:bCs/>
          <w:sz w:val="22"/>
          <w:szCs w:val="22"/>
          <w:lang w:val="fr-FR"/>
        </w:rPr>
        <w:t>espér</w:t>
      </w:r>
      <w:r>
        <w:rPr>
          <w:rFonts w:ascii="Arial" w:hAnsi="Arial" w:cs="Arial"/>
          <w:bCs/>
          <w:sz w:val="22"/>
          <w:szCs w:val="22"/>
          <w:lang w:val="fr-FR"/>
        </w:rPr>
        <w:t>ant</w:t>
      </w:r>
      <w:r w:rsidRPr="00DA3584">
        <w:rPr>
          <w:rFonts w:ascii="Arial" w:hAnsi="Arial" w:cs="Arial"/>
          <w:bCs/>
          <w:sz w:val="22"/>
          <w:szCs w:val="22"/>
          <w:lang w:val="fr-FR"/>
        </w:rPr>
        <w:t xml:space="preserve"> </w:t>
      </w:r>
      <w:r>
        <w:rPr>
          <w:rFonts w:ascii="Arial" w:hAnsi="Arial" w:cs="Arial"/>
          <w:bCs/>
          <w:sz w:val="22"/>
          <w:szCs w:val="22"/>
          <w:lang w:val="fr-FR"/>
        </w:rPr>
        <w:t>leur adoption</w:t>
      </w:r>
      <w:r w:rsidRPr="00DA3584">
        <w:rPr>
          <w:rFonts w:ascii="Arial" w:hAnsi="Arial" w:cs="Arial"/>
          <w:bCs/>
          <w:sz w:val="22"/>
          <w:szCs w:val="22"/>
          <w:lang w:val="fr-FR"/>
        </w:rPr>
        <w:t xml:space="preserve"> sans modification. </w:t>
      </w:r>
      <w:r>
        <w:rPr>
          <w:rFonts w:ascii="Arial" w:hAnsi="Arial" w:cs="Arial"/>
          <w:bCs/>
          <w:sz w:val="22"/>
          <w:szCs w:val="22"/>
          <w:lang w:val="fr-FR"/>
        </w:rPr>
        <w:t>U</w:t>
      </w:r>
      <w:r w:rsidRPr="00DA3584">
        <w:rPr>
          <w:rFonts w:ascii="Arial" w:hAnsi="Arial" w:cs="Arial"/>
          <w:bCs/>
          <w:sz w:val="22"/>
          <w:szCs w:val="22"/>
          <w:lang w:val="fr-FR"/>
        </w:rPr>
        <w:t xml:space="preserve">n expert </w:t>
      </w:r>
      <w:r>
        <w:rPr>
          <w:rFonts w:ascii="Arial" w:hAnsi="Arial" w:cs="Arial"/>
          <w:bCs/>
          <w:sz w:val="22"/>
          <w:szCs w:val="22"/>
          <w:lang w:val="fr-FR"/>
        </w:rPr>
        <w:t xml:space="preserve">slovaque ayant siégé </w:t>
      </w:r>
      <w:r w:rsidRPr="00DA3584">
        <w:rPr>
          <w:rFonts w:ascii="Arial" w:hAnsi="Arial" w:cs="Arial"/>
          <w:bCs/>
          <w:sz w:val="22"/>
          <w:szCs w:val="22"/>
          <w:lang w:val="fr-FR"/>
        </w:rPr>
        <w:t>au sein de l</w:t>
      </w:r>
      <w:r w:rsidR="008E532B">
        <w:rPr>
          <w:rFonts w:ascii="Arial" w:hAnsi="Arial" w:cs="Arial"/>
          <w:bCs/>
          <w:sz w:val="22"/>
          <w:szCs w:val="22"/>
          <w:lang w:val="fr-FR"/>
        </w:rPr>
        <w:t>’</w:t>
      </w:r>
      <w:r w:rsidRPr="00DA3584">
        <w:rPr>
          <w:rFonts w:ascii="Arial" w:hAnsi="Arial" w:cs="Arial"/>
          <w:bCs/>
          <w:sz w:val="22"/>
          <w:szCs w:val="22"/>
          <w:lang w:val="fr-FR"/>
        </w:rPr>
        <w:t>Organe d</w:t>
      </w:r>
      <w:r w:rsidR="008E532B">
        <w:rPr>
          <w:rFonts w:ascii="Arial" w:hAnsi="Arial" w:cs="Arial"/>
          <w:bCs/>
          <w:sz w:val="22"/>
          <w:szCs w:val="22"/>
          <w:lang w:val="fr-FR"/>
        </w:rPr>
        <w:t>’</w:t>
      </w:r>
      <w:r w:rsidRPr="00DA3584">
        <w:rPr>
          <w:rFonts w:ascii="Arial" w:hAnsi="Arial" w:cs="Arial"/>
          <w:bCs/>
          <w:sz w:val="22"/>
          <w:szCs w:val="22"/>
          <w:lang w:val="fr-FR"/>
        </w:rPr>
        <w:t xml:space="preserve">évaluation, la délégation </w:t>
      </w:r>
      <w:r>
        <w:rPr>
          <w:rFonts w:ascii="Arial" w:hAnsi="Arial" w:cs="Arial"/>
          <w:bCs/>
          <w:sz w:val="22"/>
          <w:szCs w:val="22"/>
          <w:lang w:val="fr-FR"/>
        </w:rPr>
        <w:t>avait pu</w:t>
      </w:r>
      <w:r w:rsidRPr="00DA3584">
        <w:rPr>
          <w:rFonts w:ascii="Arial" w:hAnsi="Arial" w:cs="Arial"/>
          <w:bCs/>
          <w:sz w:val="22"/>
          <w:szCs w:val="22"/>
          <w:lang w:val="fr-FR"/>
        </w:rPr>
        <w:t xml:space="preserve"> appréci</w:t>
      </w:r>
      <w:r>
        <w:rPr>
          <w:rFonts w:ascii="Arial" w:hAnsi="Arial" w:cs="Arial"/>
          <w:bCs/>
          <w:sz w:val="22"/>
          <w:szCs w:val="22"/>
          <w:lang w:val="fr-FR"/>
        </w:rPr>
        <w:t>er</w:t>
      </w:r>
      <w:r w:rsidRPr="00DA3584">
        <w:rPr>
          <w:rFonts w:ascii="Arial" w:hAnsi="Arial" w:cs="Arial"/>
          <w:bCs/>
          <w:sz w:val="22"/>
          <w:szCs w:val="22"/>
          <w:lang w:val="fr-FR"/>
        </w:rPr>
        <w:t xml:space="preserve"> la précieuse assistance technique fournie par le Secrétariat qui, à de nombreuses reprises, a</w:t>
      </w:r>
      <w:r>
        <w:rPr>
          <w:rFonts w:ascii="Arial" w:hAnsi="Arial" w:cs="Arial"/>
          <w:bCs/>
          <w:sz w:val="22"/>
          <w:szCs w:val="22"/>
          <w:lang w:val="fr-FR"/>
        </w:rPr>
        <w:t>vait</w:t>
      </w:r>
      <w:r w:rsidRPr="00DA3584">
        <w:rPr>
          <w:rFonts w:ascii="Arial" w:hAnsi="Arial" w:cs="Arial"/>
          <w:bCs/>
          <w:sz w:val="22"/>
          <w:szCs w:val="22"/>
          <w:lang w:val="fr-FR"/>
        </w:rPr>
        <w:t xml:space="preserve"> atteint </w:t>
      </w:r>
      <w:r>
        <w:rPr>
          <w:rFonts w:ascii="Arial" w:hAnsi="Arial" w:cs="Arial"/>
          <w:bCs/>
          <w:sz w:val="22"/>
          <w:szCs w:val="22"/>
          <w:lang w:val="fr-FR"/>
        </w:rPr>
        <w:t xml:space="preserve">les </w:t>
      </w:r>
      <w:r w:rsidRPr="00AB22D8">
        <w:rPr>
          <w:rFonts w:ascii="Arial" w:hAnsi="Arial" w:cs="Arial"/>
          <w:bCs/>
          <w:sz w:val="22"/>
          <w:szCs w:val="22"/>
          <w:lang w:val="fr-FR"/>
        </w:rPr>
        <w:t>limites de ses capacités</w:t>
      </w:r>
      <w:r w:rsidRPr="00DA3584">
        <w:rPr>
          <w:rFonts w:ascii="Arial" w:hAnsi="Arial" w:cs="Arial"/>
          <w:bCs/>
          <w:sz w:val="22"/>
          <w:szCs w:val="22"/>
          <w:lang w:val="fr-FR"/>
        </w:rPr>
        <w:t xml:space="preserve">. </w:t>
      </w:r>
      <w:r>
        <w:rPr>
          <w:rFonts w:ascii="Arial" w:hAnsi="Arial" w:cs="Arial"/>
          <w:bCs/>
          <w:sz w:val="22"/>
          <w:szCs w:val="22"/>
          <w:lang w:val="fr-FR"/>
        </w:rPr>
        <w:t>À</w:t>
      </w:r>
      <w:r w:rsidRPr="00DA3584">
        <w:rPr>
          <w:rFonts w:ascii="Arial" w:hAnsi="Arial" w:cs="Arial"/>
          <w:bCs/>
          <w:sz w:val="22"/>
          <w:szCs w:val="22"/>
          <w:lang w:val="fr-FR"/>
        </w:rPr>
        <w:t xml:space="preserve"> ce </w:t>
      </w:r>
      <w:r>
        <w:rPr>
          <w:rFonts w:ascii="Arial" w:hAnsi="Arial" w:cs="Arial"/>
          <w:bCs/>
          <w:sz w:val="22"/>
          <w:szCs w:val="22"/>
          <w:lang w:val="fr-FR"/>
        </w:rPr>
        <w:t>sujet</w:t>
      </w:r>
      <w:r w:rsidRPr="00DA3584">
        <w:rPr>
          <w:rFonts w:ascii="Arial" w:hAnsi="Arial" w:cs="Arial"/>
          <w:bCs/>
          <w:sz w:val="22"/>
          <w:szCs w:val="22"/>
          <w:lang w:val="fr-FR"/>
        </w:rPr>
        <w:t>, elle a souligné la nécessité d</w:t>
      </w:r>
      <w:r w:rsidR="008E532B">
        <w:rPr>
          <w:rFonts w:ascii="Arial" w:hAnsi="Arial" w:cs="Arial"/>
          <w:bCs/>
          <w:sz w:val="22"/>
          <w:szCs w:val="22"/>
          <w:lang w:val="fr-FR"/>
        </w:rPr>
        <w:t>’</w:t>
      </w:r>
      <w:r w:rsidRPr="00DA3584">
        <w:rPr>
          <w:rFonts w:ascii="Arial" w:hAnsi="Arial" w:cs="Arial"/>
          <w:bCs/>
          <w:sz w:val="22"/>
          <w:szCs w:val="22"/>
          <w:lang w:val="fr-FR"/>
        </w:rPr>
        <w:t>un financement extrabudgétaire afin d</w:t>
      </w:r>
      <w:r w:rsidR="008E532B">
        <w:rPr>
          <w:rFonts w:ascii="Arial" w:hAnsi="Arial" w:cs="Arial"/>
          <w:bCs/>
          <w:sz w:val="22"/>
          <w:szCs w:val="22"/>
          <w:lang w:val="fr-FR"/>
        </w:rPr>
        <w:t>’</w:t>
      </w:r>
      <w:r w:rsidRPr="00DA3584">
        <w:rPr>
          <w:rFonts w:ascii="Arial" w:hAnsi="Arial" w:cs="Arial"/>
          <w:bCs/>
          <w:sz w:val="22"/>
          <w:szCs w:val="22"/>
          <w:lang w:val="fr-FR"/>
        </w:rPr>
        <w:t xml:space="preserve">accroître la capacité du Secrétariat à faire face à la charge de travail. La délégation </w:t>
      </w:r>
      <w:r>
        <w:rPr>
          <w:rFonts w:ascii="Arial" w:hAnsi="Arial" w:cs="Arial"/>
          <w:bCs/>
          <w:sz w:val="22"/>
          <w:szCs w:val="22"/>
          <w:lang w:val="fr-FR"/>
        </w:rPr>
        <w:t>appréciait</w:t>
      </w:r>
      <w:r w:rsidRPr="00DA3584">
        <w:rPr>
          <w:rFonts w:ascii="Arial" w:hAnsi="Arial" w:cs="Arial"/>
          <w:bCs/>
          <w:sz w:val="22"/>
          <w:szCs w:val="22"/>
          <w:lang w:val="fr-FR"/>
        </w:rPr>
        <w:t xml:space="preserve"> grandement le travail de l</w:t>
      </w:r>
      <w:r w:rsidR="008E532B">
        <w:rPr>
          <w:rFonts w:ascii="Arial" w:hAnsi="Arial" w:cs="Arial"/>
          <w:bCs/>
          <w:sz w:val="22"/>
          <w:szCs w:val="22"/>
          <w:lang w:val="fr-FR"/>
        </w:rPr>
        <w:t>’</w:t>
      </w:r>
      <w:r w:rsidRPr="00DA3584">
        <w:rPr>
          <w:rFonts w:ascii="Arial" w:hAnsi="Arial" w:cs="Arial"/>
          <w:bCs/>
          <w:sz w:val="22"/>
          <w:szCs w:val="22"/>
          <w:lang w:val="fr-FR"/>
        </w:rPr>
        <w:t>Organe d</w:t>
      </w:r>
      <w:r w:rsidR="008E532B">
        <w:rPr>
          <w:rFonts w:ascii="Arial" w:hAnsi="Arial" w:cs="Arial"/>
          <w:bCs/>
          <w:sz w:val="22"/>
          <w:szCs w:val="22"/>
          <w:lang w:val="fr-FR"/>
        </w:rPr>
        <w:t>’</w:t>
      </w:r>
      <w:r w:rsidRPr="00DA3584">
        <w:rPr>
          <w:rFonts w:ascii="Arial" w:hAnsi="Arial" w:cs="Arial"/>
          <w:bCs/>
          <w:sz w:val="22"/>
          <w:szCs w:val="22"/>
          <w:lang w:val="fr-FR"/>
        </w:rPr>
        <w:t>évaluation. La priorité devrait être de maintenir cette haute qualité et cette cohérence afin de continuer à renforcer la crédibilité de la Convention et l</w:t>
      </w:r>
      <w:r w:rsidR="008E532B">
        <w:rPr>
          <w:rFonts w:ascii="Arial" w:hAnsi="Arial" w:cs="Arial"/>
          <w:bCs/>
          <w:sz w:val="22"/>
          <w:szCs w:val="22"/>
          <w:lang w:val="fr-FR"/>
        </w:rPr>
        <w:t>’</w:t>
      </w:r>
      <w:r w:rsidRPr="00DA3584">
        <w:rPr>
          <w:rFonts w:ascii="Arial" w:hAnsi="Arial" w:cs="Arial"/>
          <w:bCs/>
          <w:sz w:val="22"/>
          <w:szCs w:val="22"/>
          <w:lang w:val="fr-FR"/>
        </w:rPr>
        <w:t xml:space="preserve">égalité de traitement de tous. La délégation </w:t>
      </w:r>
      <w:r>
        <w:rPr>
          <w:rFonts w:ascii="Arial" w:hAnsi="Arial" w:cs="Arial"/>
          <w:bCs/>
          <w:sz w:val="22"/>
          <w:szCs w:val="22"/>
          <w:lang w:val="fr-FR"/>
        </w:rPr>
        <w:t>était</w:t>
      </w:r>
      <w:r w:rsidRPr="00DA3584">
        <w:rPr>
          <w:rFonts w:ascii="Arial" w:hAnsi="Arial" w:cs="Arial"/>
          <w:bCs/>
          <w:sz w:val="22"/>
          <w:szCs w:val="22"/>
          <w:lang w:val="fr-FR"/>
        </w:rPr>
        <w:t xml:space="preserve"> heureuse de constater qu</w:t>
      </w:r>
      <w:r w:rsidR="008E532B">
        <w:rPr>
          <w:rFonts w:ascii="Arial" w:hAnsi="Arial" w:cs="Arial"/>
          <w:bCs/>
          <w:sz w:val="22"/>
          <w:szCs w:val="22"/>
          <w:lang w:val="fr-FR"/>
        </w:rPr>
        <w:t>’</w:t>
      </w:r>
      <w:r>
        <w:rPr>
          <w:rFonts w:ascii="Arial" w:hAnsi="Arial" w:cs="Arial"/>
          <w:bCs/>
          <w:sz w:val="22"/>
          <w:szCs w:val="22"/>
          <w:lang w:val="fr-FR"/>
        </w:rPr>
        <w:t xml:space="preserve">on était parvenu à </w:t>
      </w:r>
      <w:r w:rsidRPr="00DA3584">
        <w:rPr>
          <w:rFonts w:ascii="Arial" w:hAnsi="Arial" w:cs="Arial"/>
          <w:bCs/>
          <w:sz w:val="22"/>
          <w:szCs w:val="22"/>
          <w:lang w:val="fr-FR"/>
        </w:rPr>
        <w:t>un compromis</w:t>
      </w:r>
      <w:r>
        <w:rPr>
          <w:rFonts w:ascii="Arial" w:hAnsi="Arial" w:cs="Arial"/>
          <w:bCs/>
          <w:sz w:val="22"/>
          <w:szCs w:val="22"/>
          <w:lang w:val="fr-FR"/>
        </w:rPr>
        <w:t xml:space="preserve"> </w:t>
      </w:r>
      <w:r w:rsidRPr="00DA3584">
        <w:rPr>
          <w:rFonts w:ascii="Arial" w:hAnsi="Arial" w:cs="Arial"/>
          <w:bCs/>
          <w:sz w:val="22"/>
          <w:szCs w:val="22"/>
          <w:lang w:val="fr-FR"/>
        </w:rPr>
        <w:t>à cet égard. Il convie</w:t>
      </w:r>
      <w:r>
        <w:rPr>
          <w:rFonts w:ascii="Arial" w:hAnsi="Arial" w:cs="Arial"/>
          <w:bCs/>
          <w:sz w:val="22"/>
          <w:szCs w:val="22"/>
          <w:lang w:val="fr-FR"/>
        </w:rPr>
        <w:t>ndrait</w:t>
      </w:r>
      <w:r w:rsidRPr="00DA3584">
        <w:rPr>
          <w:rFonts w:ascii="Arial" w:hAnsi="Arial" w:cs="Arial"/>
          <w:bCs/>
          <w:sz w:val="22"/>
          <w:szCs w:val="22"/>
          <w:lang w:val="fr-FR"/>
        </w:rPr>
        <w:t xml:space="preserve"> toutefois d</w:t>
      </w:r>
      <w:r w:rsidR="008E532B">
        <w:rPr>
          <w:rFonts w:ascii="Arial" w:hAnsi="Arial" w:cs="Arial"/>
          <w:bCs/>
          <w:sz w:val="22"/>
          <w:szCs w:val="22"/>
          <w:lang w:val="fr-FR"/>
        </w:rPr>
        <w:t>’</w:t>
      </w:r>
      <w:r w:rsidRPr="00DA3584">
        <w:rPr>
          <w:rFonts w:ascii="Arial" w:hAnsi="Arial" w:cs="Arial"/>
          <w:bCs/>
          <w:sz w:val="22"/>
          <w:szCs w:val="22"/>
          <w:lang w:val="fr-FR"/>
        </w:rPr>
        <w:t>accorder une plus grande attention au déséquilibre géographique actuel, d</w:t>
      </w:r>
      <w:r w:rsidR="008E532B">
        <w:rPr>
          <w:rFonts w:ascii="Arial" w:hAnsi="Arial" w:cs="Arial"/>
          <w:bCs/>
          <w:sz w:val="22"/>
          <w:szCs w:val="22"/>
          <w:lang w:val="fr-FR"/>
        </w:rPr>
        <w:t>’</w:t>
      </w:r>
      <w:r w:rsidRPr="00DA3584">
        <w:rPr>
          <w:rFonts w:ascii="Arial" w:hAnsi="Arial" w:cs="Arial"/>
          <w:bCs/>
          <w:sz w:val="22"/>
          <w:szCs w:val="22"/>
          <w:lang w:val="fr-FR"/>
        </w:rPr>
        <w:t>abord</w:t>
      </w:r>
      <w:r>
        <w:rPr>
          <w:rFonts w:ascii="Arial" w:hAnsi="Arial" w:cs="Arial"/>
          <w:bCs/>
          <w:sz w:val="22"/>
          <w:szCs w:val="22"/>
          <w:lang w:val="fr-FR"/>
        </w:rPr>
        <w:t>,</w:t>
      </w:r>
      <w:r w:rsidRPr="00DA3584">
        <w:rPr>
          <w:rFonts w:ascii="Arial" w:hAnsi="Arial" w:cs="Arial"/>
          <w:bCs/>
          <w:sz w:val="22"/>
          <w:szCs w:val="22"/>
          <w:lang w:val="fr-FR"/>
        </w:rPr>
        <w:t xml:space="preserve"> en fixant des priorités et, ensuite, en se concentrant sur le renforcement des capacités afin d</w:t>
      </w:r>
      <w:r w:rsidR="008E532B">
        <w:rPr>
          <w:rFonts w:ascii="Arial" w:hAnsi="Arial" w:cs="Arial"/>
          <w:bCs/>
          <w:sz w:val="22"/>
          <w:szCs w:val="22"/>
          <w:lang w:val="fr-FR"/>
        </w:rPr>
        <w:t>’</w:t>
      </w:r>
      <w:r w:rsidRPr="00DA3584">
        <w:rPr>
          <w:rFonts w:ascii="Arial" w:hAnsi="Arial" w:cs="Arial"/>
          <w:bCs/>
          <w:sz w:val="22"/>
          <w:szCs w:val="22"/>
          <w:lang w:val="fr-FR"/>
        </w:rPr>
        <w:t>améliorer la qualité des dossiers soumis. L</w:t>
      </w:r>
      <w:r w:rsidR="008E532B">
        <w:rPr>
          <w:rFonts w:ascii="Arial" w:hAnsi="Arial" w:cs="Arial"/>
          <w:bCs/>
          <w:sz w:val="22"/>
          <w:szCs w:val="22"/>
          <w:lang w:val="fr-FR"/>
        </w:rPr>
        <w:t>’</w:t>
      </w:r>
      <w:r w:rsidRPr="00DA3584">
        <w:rPr>
          <w:rFonts w:ascii="Arial" w:hAnsi="Arial" w:cs="Arial"/>
          <w:bCs/>
          <w:sz w:val="22"/>
          <w:szCs w:val="22"/>
          <w:lang w:val="fr-FR"/>
        </w:rPr>
        <w:t>assistance internationale aiderait également à la préparation des dossiers de candidature, mais elle pourrait aussi être utilisée pour la recherche, l</w:t>
      </w:r>
      <w:r>
        <w:rPr>
          <w:rFonts w:ascii="Arial" w:hAnsi="Arial" w:cs="Arial"/>
          <w:bCs/>
          <w:sz w:val="22"/>
          <w:szCs w:val="22"/>
          <w:lang w:val="fr-FR"/>
        </w:rPr>
        <w:t>a réalisation d</w:t>
      </w:r>
      <w:r w:rsidR="008E532B">
        <w:rPr>
          <w:rFonts w:ascii="Arial" w:hAnsi="Arial" w:cs="Arial"/>
          <w:bCs/>
          <w:sz w:val="22"/>
          <w:szCs w:val="22"/>
          <w:lang w:val="fr-FR"/>
        </w:rPr>
        <w:t>’</w:t>
      </w:r>
      <w:r>
        <w:rPr>
          <w:rFonts w:ascii="Arial" w:hAnsi="Arial" w:cs="Arial"/>
          <w:bCs/>
          <w:sz w:val="22"/>
          <w:szCs w:val="22"/>
          <w:lang w:val="fr-FR"/>
        </w:rPr>
        <w:t>i</w:t>
      </w:r>
      <w:r w:rsidRPr="00DA3584">
        <w:rPr>
          <w:rFonts w:ascii="Arial" w:hAnsi="Arial" w:cs="Arial"/>
          <w:bCs/>
          <w:sz w:val="22"/>
          <w:szCs w:val="22"/>
          <w:lang w:val="fr-FR"/>
        </w:rPr>
        <w:t>nventaire ou d</w:t>
      </w:r>
      <w:r w:rsidR="008E532B">
        <w:rPr>
          <w:rFonts w:ascii="Arial" w:hAnsi="Arial" w:cs="Arial"/>
          <w:bCs/>
          <w:sz w:val="22"/>
          <w:szCs w:val="22"/>
          <w:lang w:val="fr-FR"/>
        </w:rPr>
        <w:t>’</w:t>
      </w:r>
      <w:r w:rsidRPr="00DA3584">
        <w:rPr>
          <w:rFonts w:ascii="Arial" w:hAnsi="Arial" w:cs="Arial"/>
          <w:bCs/>
          <w:sz w:val="22"/>
          <w:szCs w:val="22"/>
          <w:lang w:val="fr-FR"/>
        </w:rPr>
        <w:t xml:space="preserve">autres activités qui contribueraient à protéger le </w:t>
      </w:r>
      <w:r w:rsidR="0064242E">
        <w:rPr>
          <w:rFonts w:ascii="Arial" w:eastAsia="SimSun" w:hAnsi="Arial" w:cs="Arial"/>
          <w:bCs/>
          <w:sz w:val="22"/>
          <w:szCs w:val="22"/>
          <w:lang w:val="fr-FR" w:eastAsia="en-US"/>
        </w:rPr>
        <w:t>patrimoine culturel immatériel</w:t>
      </w:r>
      <w:r w:rsidRPr="00DA3584">
        <w:rPr>
          <w:rFonts w:ascii="Arial" w:hAnsi="Arial" w:cs="Arial"/>
          <w:bCs/>
          <w:sz w:val="22"/>
          <w:szCs w:val="22"/>
          <w:lang w:val="fr-FR"/>
        </w:rPr>
        <w:t xml:space="preserve">. </w:t>
      </w:r>
      <w:r>
        <w:rPr>
          <w:rFonts w:ascii="Arial" w:hAnsi="Arial" w:cs="Arial"/>
          <w:bCs/>
          <w:sz w:val="22"/>
          <w:szCs w:val="22"/>
          <w:lang w:val="fr-FR"/>
        </w:rPr>
        <w:t xml:space="preserve">Une plus grande attention devrait être accordée à </w:t>
      </w:r>
      <w:r w:rsidRPr="00DA3584">
        <w:rPr>
          <w:rFonts w:ascii="Arial" w:hAnsi="Arial" w:cs="Arial"/>
          <w:bCs/>
          <w:sz w:val="22"/>
          <w:szCs w:val="22"/>
          <w:lang w:val="fr-FR"/>
        </w:rPr>
        <w:t>d</w:t>
      </w:r>
      <w:r w:rsidR="008E532B">
        <w:rPr>
          <w:rFonts w:ascii="Arial" w:hAnsi="Arial" w:cs="Arial"/>
          <w:bCs/>
          <w:sz w:val="22"/>
          <w:szCs w:val="22"/>
          <w:lang w:val="fr-FR"/>
        </w:rPr>
        <w:t>’</w:t>
      </w:r>
      <w:r w:rsidRPr="00DA3584">
        <w:rPr>
          <w:rFonts w:ascii="Arial" w:hAnsi="Arial" w:cs="Arial"/>
          <w:bCs/>
          <w:sz w:val="22"/>
          <w:szCs w:val="22"/>
          <w:lang w:val="fr-FR"/>
        </w:rPr>
        <w:t>autres aspects de la Convention. À ce</w:t>
      </w:r>
      <w:r>
        <w:rPr>
          <w:rFonts w:ascii="Arial" w:hAnsi="Arial" w:cs="Arial"/>
          <w:bCs/>
          <w:sz w:val="22"/>
          <w:szCs w:val="22"/>
          <w:lang w:val="fr-FR"/>
        </w:rPr>
        <w:t xml:space="preserve"> sujet</w:t>
      </w:r>
      <w:r w:rsidRPr="00DA3584">
        <w:rPr>
          <w:rFonts w:ascii="Arial" w:hAnsi="Arial" w:cs="Arial"/>
          <w:bCs/>
          <w:sz w:val="22"/>
          <w:szCs w:val="22"/>
          <w:lang w:val="fr-FR"/>
        </w:rPr>
        <w:t>, la Slovaquie</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 xml:space="preserve">est réjouie de </w:t>
      </w:r>
      <w:r w:rsidRPr="00DA3584">
        <w:rPr>
          <w:rFonts w:ascii="Arial" w:hAnsi="Arial" w:cs="Arial"/>
          <w:bCs/>
          <w:sz w:val="22"/>
          <w:szCs w:val="22"/>
          <w:lang w:val="fr-FR"/>
        </w:rPr>
        <w:t>l</w:t>
      </w:r>
      <w:r w:rsidR="008E532B">
        <w:rPr>
          <w:rFonts w:ascii="Arial" w:hAnsi="Arial" w:cs="Arial"/>
          <w:bCs/>
          <w:sz w:val="22"/>
          <w:szCs w:val="22"/>
          <w:lang w:val="fr-FR"/>
        </w:rPr>
        <w:t>’</w:t>
      </w:r>
      <w:r w:rsidRPr="00DA3584">
        <w:rPr>
          <w:rFonts w:ascii="Arial" w:hAnsi="Arial" w:cs="Arial"/>
          <w:bCs/>
          <w:sz w:val="22"/>
          <w:szCs w:val="22"/>
          <w:lang w:val="fr-FR"/>
        </w:rPr>
        <w:t xml:space="preserve">initiative </w:t>
      </w:r>
      <w:r>
        <w:rPr>
          <w:rFonts w:ascii="Arial" w:hAnsi="Arial" w:cs="Arial"/>
          <w:bCs/>
          <w:sz w:val="22"/>
          <w:szCs w:val="22"/>
          <w:lang w:val="fr-FR"/>
        </w:rPr>
        <w:t>visant</w:t>
      </w:r>
      <w:r w:rsidRPr="00DA3584">
        <w:rPr>
          <w:rFonts w:ascii="Arial" w:hAnsi="Arial" w:cs="Arial"/>
          <w:bCs/>
          <w:sz w:val="22"/>
          <w:szCs w:val="22"/>
          <w:lang w:val="fr-FR"/>
        </w:rPr>
        <w:t xml:space="preserve"> à une mise en œuvre plus large de l</w:t>
      </w:r>
      <w:r w:rsidR="008E532B">
        <w:rPr>
          <w:rFonts w:ascii="Arial" w:hAnsi="Arial" w:cs="Arial"/>
          <w:bCs/>
          <w:sz w:val="22"/>
          <w:szCs w:val="22"/>
          <w:lang w:val="fr-FR"/>
        </w:rPr>
        <w:t>’</w:t>
      </w:r>
      <w:r w:rsidRPr="00DA3584">
        <w:rPr>
          <w:rFonts w:ascii="Arial" w:hAnsi="Arial" w:cs="Arial"/>
          <w:bCs/>
          <w:sz w:val="22"/>
          <w:szCs w:val="22"/>
          <w:lang w:val="fr-FR"/>
        </w:rPr>
        <w:t xml:space="preserve">article 18 de la Convention. Ses experts et les parties prenantes concernées </w:t>
      </w:r>
      <w:r>
        <w:rPr>
          <w:rFonts w:ascii="Arial" w:hAnsi="Arial" w:cs="Arial"/>
          <w:bCs/>
          <w:sz w:val="22"/>
          <w:szCs w:val="22"/>
          <w:lang w:val="fr-FR"/>
        </w:rPr>
        <w:t>avaient</w:t>
      </w:r>
      <w:r w:rsidRPr="00DA3584">
        <w:rPr>
          <w:rFonts w:ascii="Arial" w:hAnsi="Arial" w:cs="Arial"/>
          <w:bCs/>
          <w:sz w:val="22"/>
          <w:szCs w:val="22"/>
          <w:lang w:val="fr-FR"/>
        </w:rPr>
        <w:t xml:space="preserve"> hâte de contribuer à ces discussions</w:t>
      </w:r>
      <w:r>
        <w:rPr>
          <w:rFonts w:ascii="Arial" w:hAnsi="Arial" w:cs="Arial"/>
          <w:bCs/>
          <w:sz w:val="22"/>
          <w:szCs w:val="22"/>
          <w:lang w:val="fr-FR"/>
        </w:rPr>
        <w:t>,</w:t>
      </w:r>
      <w:r w:rsidRPr="00DA3584">
        <w:rPr>
          <w:rFonts w:ascii="Arial" w:hAnsi="Arial" w:cs="Arial"/>
          <w:bCs/>
          <w:sz w:val="22"/>
          <w:szCs w:val="22"/>
          <w:lang w:val="fr-FR"/>
        </w:rPr>
        <w:t xml:space="preserve"> et elle a remercié la Suède pour son soutien au processus.</w:t>
      </w:r>
    </w:p>
    <w:p w14:paraId="41E50438" w14:textId="3CAF798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B332D">
        <w:rPr>
          <w:rFonts w:ascii="Arial" w:hAnsi="Arial" w:cs="Arial"/>
          <w:bCs/>
          <w:sz w:val="22"/>
          <w:szCs w:val="22"/>
          <w:lang w:val="fr-FR"/>
        </w:rPr>
        <w:t xml:space="preserve">La délégation </w:t>
      </w:r>
      <w:r>
        <w:rPr>
          <w:rFonts w:ascii="Arial" w:hAnsi="Arial" w:cs="Arial"/>
          <w:bCs/>
          <w:sz w:val="22"/>
          <w:szCs w:val="22"/>
          <w:lang w:val="fr-FR"/>
        </w:rPr>
        <w:t xml:space="preserve">de la </w:t>
      </w:r>
      <w:r w:rsidRPr="004B332D">
        <w:rPr>
          <w:rFonts w:ascii="Arial" w:hAnsi="Arial" w:cs="Arial"/>
          <w:b/>
          <w:sz w:val="22"/>
          <w:szCs w:val="22"/>
          <w:lang w:val="fr-FR"/>
        </w:rPr>
        <w:t>Pologne</w:t>
      </w:r>
      <w:r>
        <w:rPr>
          <w:rFonts w:ascii="Arial" w:hAnsi="Arial" w:cs="Arial"/>
          <w:bCs/>
          <w:sz w:val="22"/>
          <w:szCs w:val="22"/>
          <w:lang w:val="fr-FR"/>
        </w:rPr>
        <w:t xml:space="preserve"> </w:t>
      </w:r>
      <w:r w:rsidRPr="004B332D">
        <w:rPr>
          <w:rFonts w:ascii="Arial" w:hAnsi="Arial" w:cs="Arial"/>
          <w:bCs/>
          <w:sz w:val="22"/>
          <w:szCs w:val="22"/>
          <w:lang w:val="fr-FR"/>
        </w:rPr>
        <w:t>s</w:t>
      </w:r>
      <w:r w:rsidR="008E532B">
        <w:rPr>
          <w:rFonts w:ascii="Arial" w:hAnsi="Arial" w:cs="Arial"/>
          <w:bCs/>
          <w:sz w:val="22"/>
          <w:szCs w:val="22"/>
          <w:lang w:val="fr-FR"/>
        </w:rPr>
        <w:t>’</w:t>
      </w:r>
      <w:r w:rsidRPr="004B332D">
        <w:rPr>
          <w:rFonts w:ascii="Arial" w:hAnsi="Arial" w:cs="Arial"/>
          <w:bCs/>
          <w:sz w:val="22"/>
          <w:szCs w:val="22"/>
          <w:lang w:val="fr-FR"/>
        </w:rPr>
        <w:t xml:space="preserve">est jointe aux États parties pour remercier le </w:t>
      </w:r>
      <w:r>
        <w:rPr>
          <w:rFonts w:ascii="Arial" w:hAnsi="Arial" w:cs="Arial"/>
          <w:bCs/>
          <w:sz w:val="22"/>
          <w:szCs w:val="22"/>
          <w:lang w:val="fr-FR"/>
        </w:rPr>
        <w:t>G</w:t>
      </w:r>
      <w:r w:rsidRPr="004B332D">
        <w:rPr>
          <w:rFonts w:ascii="Arial" w:hAnsi="Arial" w:cs="Arial"/>
          <w:bCs/>
          <w:sz w:val="22"/>
          <w:szCs w:val="22"/>
          <w:lang w:val="fr-FR"/>
        </w:rPr>
        <w:t>ouvernement du Japon et, en particulier, l</w:t>
      </w:r>
      <w:r w:rsidR="008E532B">
        <w:rPr>
          <w:rFonts w:ascii="Arial" w:hAnsi="Arial" w:cs="Arial"/>
          <w:bCs/>
          <w:sz w:val="22"/>
          <w:szCs w:val="22"/>
          <w:lang w:val="fr-FR"/>
        </w:rPr>
        <w:t>’</w:t>
      </w:r>
      <w:r w:rsidRPr="004B332D">
        <w:rPr>
          <w:rFonts w:ascii="Arial" w:hAnsi="Arial" w:cs="Arial"/>
          <w:bCs/>
          <w:sz w:val="22"/>
          <w:szCs w:val="22"/>
          <w:lang w:val="fr-FR"/>
        </w:rPr>
        <w:t xml:space="preserve">ambassadeur </w:t>
      </w:r>
      <w:proofErr w:type="spellStart"/>
      <w:r w:rsidRPr="004B332D">
        <w:rPr>
          <w:rFonts w:ascii="Arial" w:hAnsi="Arial" w:cs="Arial"/>
          <w:bCs/>
          <w:sz w:val="22"/>
          <w:szCs w:val="22"/>
          <w:lang w:val="fr-FR"/>
        </w:rPr>
        <w:t>Oike</w:t>
      </w:r>
      <w:proofErr w:type="spellEnd"/>
      <w:r w:rsidRPr="004B332D">
        <w:rPr>
          <w:rFonts w:ascii="Arial" w:hAnsi="Arial" w:cs="Arial"/>
          <w:bCs/>
          <w:sz w:val="22"/>
          <w:szCs w:val="22"/>
          <w:lang w:val="fr-FR"/>
        </w:rPr>
        <w:t xml:space="preserve"> pour son </w:t>
      </w:r>
      <w:r>
        <w:rPr>
          <w:rFonts w:ascii="Arial" w:hAnsi="Arial" w:cs="Arial"/>
          <w:bCs/>
          <w:sz w:val="22"/>
          <w:szCs w:val="22"/>
          <w:lang w:val="fr-FR"/>
        </w:rPr>
        <w:t xml:space="preserve">solide </w:t>
      </w:r>
      <w:r w:rsidRPr="004B332D">
        <w:rPr>
          <w:rFonts w:ascii="Arial" w:hAnsi="Arial" w:cs="Arial"/>
          <w:bCs/>
          <w:sz w:val="22"/>
          <w:szCs w:val="22"/>
          <w:lang w:val="fr-FR"/>
        </w:rPr>
        <w:t>leadership durant toute la réflexion globale sur les mécanismes d</w:t>
      </w:r>
      <w:r w:rsidR="008E532B">
        <w:rPr>
          <w:rFonts w:ascii="Arial" w:hAnsi="Arial" w:cs="Arial"/>
          <w:bCs/>
          <w:sz w:val="22"/>
          <w:szCs w:val="22"/>
          <w:lang w:val="fr-FR"/>
        </w:rPr>
        <w:t>’</w:t>
      </w:r>
      <w:r w:rsidRPr="004B332D">
        <w:rPr>
          <w:rFonts w:ascii="Arial" w:hAnsi="Arial" w:cs="Arial"/>
          <w:bCs/>
          <w:sz w:val="22"/>
          <w:szCs w:val="22"/>
          <w:lang w:val="fr-FR"/>
        </w:rPr>
        <w:t>inscription. Elle a également remercié le Secrétariat pour toute l</w:t>
      </w:r>
      <w:r w:rsidR="008E532B">
        <w:rPr>
          <w:rFonts w:ascii="Arial" w:hAnsi="Arial" w:cs="Arial"/>
          <w:bCs/>
          <w:sz w:val="22"/>
          <w:szCs w:val="22"/>
          <w:lang w:val="fr-FR"/>
        </w:rPr>
        <w:t>’</w:t>
      </w:r>
      <w:r w:rsidRPr="004B332D">
        <w:rPr>
          <w:rFonts w:ascii="Arial" w:hAnsi="Arial" w:cs="Arial"/>
          <w:bCs/>
          <w:sz w:val="22"/>
          <w:szCs w:val="22"/>
          <w:lang w:val="fr-FR"/>
        </w:rPr>
        <w:t xml:space="preserve">aide apportée à la Pologne. Elle était convaincue que ces nouvelles recommandations, établies par le groupe de travail à composition non limitée, amélioreraient les dispositions des </w:t>
      </w:r>
      <w:r>
        <w:rPr>
          <w:rFonts w:ascii="Arial" w:hAnsi="Arial" w:cs="Arial"/>
          <w:bCs/>
          <w:sz w:val="22"/>
          <w:szCs w:val="22"/>
          <w:lang w:val="fr-FR"/>
        </w:rPr>
        <w:t>D</w:t>
      </w:r>
      <w:r w:rsidRPr="004B332D">
        <w:rPr>
          <w:rFonts w:ascii="Arial" w:hAnsi="Arial" w:cs="Arial"/>
          <w:bCs/>
          <w:sz w:val="22"/>
          <w:szCs w:val="22"/>
          <w:lang w:val="fr-FR"/>
        </w:rPr>
        <w:t xml:space="preserve">irectives opérationnelles et renforceraient le système de protection du </w:t>
      </w:r>
      <w:r w:rsidR="0064242E">
        <w:rPr>
          <w:rFonts w:ascii="Arial" w:eastAsia="SimSun" w:hAnsi="Arial" w:cs="Arial"/>
          <w:bCs/>
          <w:sz w:val="22"/>
          <w:szCs w:val="22"/>
          <w:lang w:val="fr-FR" w:eastAsia="en-US"/>
        </w:rPr>
        <w:t>patrimoine culturel immatériel</w:t>
      </w:r>
      <w:r w:rsidRPr="004B332D">
        <w:rPr>
          <w:rFonts w:ascii="Arial" w:hAnsi="Arial" w:cs="Arial"/>
          <w:bCs/>
          <w:sz w:val="22"/>
          <w:szCs w:val="22"/>
          <w:lang w:val="fr-FR"/>
        </w:rPr>
        <w:t xml:space="preserve">. </w:t>
      </w:r>
      <w:r>
        <w:rPr>
          <w:rFonts w:ascii="Arial" w:hAnsi="Arial" w:cs="Arial"/>
          <w:bCs/>
          <w:sz w:val="22"/>
          <w:szCs w:val="22"/>
          <w:lang w:val="fr-FR"/>
        </w:rPr>
        <w:t>L</w:t>
      </w:r>
      <w:r w:rsidRPr="004B332D">
        <w:rPr>
          <w:rFonts w:ascii="Arial" w:hAnsi="Arial" w:cs="Arial"/>
          <w:bCs/>
          <w:sz w:val="22"/>
          <w:szCs w:val="22"/>
          <w:lang w:val="fr-FR"/>
        </w:rPr>
        <w:t xml:space="preserve">es </w:t>
      </w:r>
      <w:r>
        <w:rPr>
          <w:rFonts w:ascii="Arial" w:hAnsi="Arial" w:cs="Arial"/>
          <w:bCs/>
          <w:sz w:val="22"/>
          <w:szCs w:val="22"/>
          <w:lang w:val="fr-FR"/>
        </w:rPr>
        <w:t xml:space="preserve">modifications </w:t>
      </w:r>
      <w:r w:rsidRPr="004B332D">
        <w:rPr>
          <w:rFonts w:ascii="Arial" w:hAnsi="Arial" w:cs="Arial"/>
          <w:bCs/>
          <w:sz w:val="22"/>
          <w:szCs w:val="22"/>
          <w:lang w:val="fr-FR"/>
        </w:rPr>
        <w:t xml:space="preserve">et le projet de décision proposé devraient </w:t>
      </w:r>
      <w:r>
        <w:rPr>
          <w:rFonts w:ascii="Arial" w:hAnsi="Arial" w:cs="Arial"/>
          <w:bCs/>
          <w:sz w:val="22"/>
          <w:szCs w:val="22"/>
          <w:lang w:val="fr-FR"/>
        </w:rPr>
        <w:t xml:space="preserve">vraiment </w:t>
      </w:r>
      <w:r w:rsidRPr="004B332D">
        <w:rPr>
          <w:rFonts w:ascii="Arial" w:hAnsi="Arial" w:cs="Arial"/>
          <w:bCs/>
          <w:sz w:val="22"/>
          <w:szCs w:val="22"/>
          <w:lang w:val="fr-FR"/>
        </w:rPr>
        <w:t xml:space="preserve">être adoptés dans leur ensemble. La délégation a remercié tous les États parties pour leur coopération constructive au cours des dernières années sur cette question, en particulier le </w:t>
      </w:r>
      <w:r>
        <w:rPr>
          <w:rFonts w:ascii="Arial" w:hAnsi="Arial" w:cs="Arial"/>
          <w:bCs/>
          <w:sz w:val="22"/>
          <w:szCs w:val="22"/>
          <w:lang w:val="fr-FR"/>
        </w:rPr>
        <w:t>G</w:t>
      </w:r>
      <w:r w:rsidRPr="004B332D">
        <w:rPr>
          <w:rFonts w:ascii="Arial" w:hAnsi="Arial" w:cs="Arial"/>
          <w:bCs/>
          <w:sz w:val="22"/>
          <w:szCs w:val="22"/>
          <w:lang w:val="fr-FR"/>
        </w:rPr>
        <w:t xml:space="preserve">ouvernement de la Suède pour son soutien à la poursuite de la </w:t>
      </w:r>
      <w:r>
        <w:rPr>
          <w:rFonts w:ascii="Arial" w:hAnsi="Arial" w:cs="Arial"/>
          <w:bCs/>
          <w:sz w:val="22"/>
          <w:szCs w:val="22"/>
          <w:lang w:val="fr-FR"/>
        </w:rPr>
        <w:t xml:space="preserve">nécessaire </w:t>
      </w:r>
      <w:r w:rsidRPr="004B332D">
        <w:rPr>
          <w:rFonts w:ascii="Arial" w:hAnsi="Arial" w:cs="Arial"/>
          <w:bCs/>
          <w:sz w:val="22"/>
          <w:szCs w:val="22"/>
          <w:lang w:val="fr-FR"/>
        </w:rPr>
        <w:t>réflexion sur la mise en œuvre plus large de l</w:t>
      </w:r>
      <w:r w:rsidR="008E532B">
        <w:rPr>
          <w:rFonts w:ascii="Arial" w:hAnsi="Arial" w:cs="Arial"/>
          <w:bCs/>
          <w:sz w:val="22"/>
          <w:szCs w:val="22"/>
          <w:lang w:val="fr-FR"/>
        </w:rPr>
        <w:t>’</w:t>
      </w:r>
      <w:r w:rsidRPr="004B332D">
        <w:rPr>
          <w:rFonts w:ascii="Arial" w:hAnsi="Arial" w:cs="Arial"/>
          <w:bCs/>
          <w:sz w:val="22"/>
          <w:szCs w:val="22"/>
          <w:lang w:val="fr-FR"/>
        </w:rPr>
        <w:t>article 18. La délégation a félicité les membres nouvellement élus au Comité.</w:t>
      </w:r>
    </w:p>
    <w:p w14:paraId="09DFA96B" w14:textId="0AC822F3" w:rsidR="00D9653F" w:rsidRPr="00AB273C"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14311">
        <w:rPr>
          <w:rFonts w:ascii="Arial" w:hAnsi="Arial" w:cs="Arial"/>
          <w:bCs/>
          <w:sz w:val="22"/>
          <w:szCs w:val="22"/>
          <w:lang w:val="fr-FR"/>
        </w:rPr>
        <w:t>La délégation de l</w:t>
      </w:r>
      <w:r w:rsidR="008E532B">
        <w:rPr>
          <w:rFonts w:ascii="Arial" w:hAnsi="Arial" w:cs="Arial"/>
          <w:bCs/>
          <w:sz w:val="22"/>
          <w:szCs w:val="22"/>
          <w:lang w:val="fr-FR"/>
        </w:rPr>
        <w:t>’</w:t>
      </w:r>
      <w:r w:rsidRPr="00B14311">
        <w:rPr>
          <w:rFonts w:ascii="Arial" w:hAnsi="Arial" w:cs="Arial"/>
          <w:b/>
          <w:sz w:val="22"/>
          <w:szCs w:val="22"/>
          <w:lang w:val="fr-FR"/>
        </w:rPr>
        <w:t xml:space="preserve">Arabie Saoudite </w:t>
      </w:r>
      <w:r w:rsidRPr="00B14311">
        <w:rPr>
          <w:rFonts w:ascii="Arial" w:hAnsi="Arial" w:cs="Arial"/>
          <w:bCs/>
          <w:sz w:val="22"/>
          <w:szCs w:val="22"/>
          <w:lang w:val="fr-FR"/>
        </w:rPr>
        <w:t>a remercié l</w:t>
      </w:r>
      <w:r w:rsidR="008E532B">
        <w:rPr>
          <w:rFonts w:ascii="Arial" w:hAnsi="Arial" w:cs="Arial"/>
          <w:bCs/>
          <w:sz w:val="22"/>
          <w:szCs w:val="22"/>
          <w:lang w:val="fr-FR"/>
        </w:rPr>
        <w:t>’</w:t>
      </w:r>
      <w:r>
        <w:rPr>
          <w:rFonts w:ascii="Arial" w:hAnsi="Arial" w:cs="Arial"/>
          <w:bCs/>
          <w:sz w:val="22"/>
          <w:szCs w:val="22"/>
          <w:lang w:val="fr-FR"/>
        </w:rPr>
        <w:t>a</w:t>
      </w:r>
      <w:r w:rsidRPr="00B14311">
        <w:rPr>
          <w:rFonts w:ascii="Arial" w:hAnsi="Arial" w:cs="Arial"/>
          <w:bCs/>
          <w:sz w:val="22"/>
          <w:szCs w:val="22"/>
          <w:lang w:val="fr-FR"/>
        </w:rPr>
        <w:t xml:space="preserve">mbassadeur </w:t>
      </w:r>
      <w:proofErr w:type="spellStart"/>
      <w:r w:rsidRPr="00B14311">
        <w:rPr>
          <w:rFonts w:ascii="Arial" w:hAnsi="Arial" w:cs="Arial"/>
          <w:bCs/>
          <w:sz w:val="22"/>
          <w:szCs w:val="22"/>
          <w:lang w:val="fr-FR"/>
        </w:rPr>
        <w:t>Atsuyuki</w:t>
      </w:r>
      <w:proofErr w:type="spellEnd"/>
      <w:r w:rsidRPr="00B14311">
        <w:rPr>
          <w:rFonts w:ascii="Arial" w:hAnsi="Arial" w:cs="Arial"/>
          <w:bCs/>
          <w:sz w:val="22"/>
          <w:szCs w:val="22"/>
          <w:lang w:val="fr-FR"/>
        </w:rPr>
        <w:t xml:space="preserve"> </w:t>
      </w:r>
      <w:proofErr w:type="spellStart"/>
      <w:r w:rsidRPr="00B14311">
        <w:rPr>
          <w:rFonts w:ascii="Arial" w:hAnsi="Arial" w:cs="Arial"/>
          <w:bCs/>
          <w:sz w:val="22"/>
          <w:szCs w:val="22"/>
          <w:lang w:val="fr-FR"/>
        </w:rPr>
        <w:t>Oike</w:t>
      </w:r>
      <w:proofErr w:type="spellEnd"/>
      <w:r w:rsidRPr="00B14311">
        <w:rPr>
          <w:rFonts w:ascii="Arial" w:hAnsi="Arial" w:cs="Arial"/>
          <w:bCs/>
          <w:sz w:val="22"/>
          <w:szCs w:val="22"/>
          <w:lang w:val="fr-FR"/>
        </w:rPr>
        <w:t xml:space="preserve">, </w:t>
      </w:r>
      <w:r>
        <w:rPr>
          <w:rFonts w:ascii="Arial" w:hAnsi="Arial" w:cs="Arial"/>
          <w:bCs/>
          <w:sz w:val="22"/>
          <w:szCs w:val="22"/>
          <w:lang w:val="fr-FR"/>
        </w:rPr>
        <w:t>ainsi que</w:t>
      </w:r>
      <w:r w:rsidRPr="00B14311">
        <w:rPr>
          <w:rFonts w:ascii="Arial" w:hAnsi="Arial" w:cs="Arial"/>
          <w:bCs/>
          <w:sz w:val="22"/>
          <w:szCs w:val="22"/>
          <w:lang w:val="fr-FR"/>
        </w:rPr>
        <w:t xml:space="preserve"> le </w:t>
      </w:r>
      <w:r>
        <w:rPr>
          <w:rFonts w:ascii="Arial" w:hAnsi="Arial" w:cs="Arial"/>
          <w:bCs/>
          <w:sz w:val="22"/>
          <w:szCs w:val="22"/>
          <w:lang w:val="fr-FR"/>
        </w:rPr>
        <w:t>G</w:t>
      </w:r>
      <w:r w:rsidRPr="00B14311">
        <w:rPr>
          <w:rFonts w:ascii="Arial" w:hAnsi="Arial" w:cs="Arial"/>
          <w:bCs/>
          <w:sz w:val="22"/>
          <w:szCs w:val="22"/>
          <w:lang w:val="fr-FR"/>
        </w:rPr>
        <w:t>ouvernement du Japon, pour la sagesse et l</w:t>
      </w:r>
      <w:r w:rsidR="008E532B">
        <w:rPr>
          <w:rFonts w:ascii="Arial" w:hAnsi="Arial" w:cs="Arial"/>
          <w:bCs/>
          <w:sz w:val="22"/>
          <w:szCs w:val="22"/>
          <w:lang w:val="fr-FR"/>
        </w:rPr>
        <w:t>’</w:t>
      </w:r>
      <w:r w:rsidRPr="00B14311">
        <w:rPr>
          <w:rFonts w:ascii="Arial" w:hAnsi="Arial" w:cs="Arial"/>
          <w:bCs/>
          <w:sz w:val="22"/>
          <w:szCs w:val="22"/>
          <w:lang w:val="fr-FR"/>
        </w:rPr>
        <w:t>efficacité avec lesquelles il a</w:t>
      </w:r>
      <w:r>
        <w:rPr>
          <w:rFonts w:ascii="Arial" w:hAnsi="Arial" w:cs="Arial"/>
          <w:bCs/>
          <w:sz w:val="22"/>
          <w:szCs w:val="22"/>
          <w:lang w:val="fr-FR"/>
        </w:rPr>
        <w:t>vait</w:t>
      </w:r>
      <w:r w:rsidRPr="00B14311">
        <w:rPr>
          <w:rFonts w:ascii="Arial" w:hAnsi="Arial" w:cs="Arial"/>
          <w:bCs/>
          <w:sz w:val="22"/>
          <w:szCs w:val="22"/>
          <w:lang w:val="fr-FR"/>
        </w:rPr>
        <w:t xml:space="preserve"> dirigé cette réflexion très longue et inclusive. Elle a remercié le Secrétariat et les experts pour leur excellent travail et pour avoir a</w:t>
      </w:r>
      <w:r>
        <w:rPr>
          <w:rFonts w:ascii="Arial" w:hAnsi="Arial" w:cs="Arial"/>
          <w:bCs/>
          <w:sz w:val="22"/>
          <w:szCs w:val="22"/>
          <w:lang w:val="fr-FR"/>
        </w:rPr>
        <w:t>ccordé</w:t>
      </w:r>
      <w:r w:rsidRPr="00B14311">
        <w:rPr>
          <w:rFonts w:ascii="Arial" w:hAnsi="Arial" w:cs="Arial"/>
          <w:bCs/>
          <w:sz w:val="22"/>
          <w:szCs w:val="22"/>
          <w:lang w:val="fr-FR"/>
        </w:rPr>
        <w:t xml:space="preserve"> leur soutien à ce processus de réflexion, dont les résultats conduir</w:t>
      </w:r>
      <w:r>
        <w:rPr>
          <w:rFonts w:ascii="Arial" w:hAnsi="Arial" w:cs="Arial"/>
          <w:bCs/>
          <w:sz w:val="22"/>
          <w:szCs w:val="22"/>
          <w:lang w:val="fr-FR"/>
        </w:rPr>
        <w:t>aie</w:t>
      </w:r>
      <w:r w:rsidRPr="00B14311">
        <w:rPr>
          <w:rFonts w:ascii="Arial" w:hAnsi="Arial" w:cs="Arial"/>
          <w:bCs/>
          <w:sz w:val="22"/>
          <w:szCs w:val="22"/>
          <w:lang w:val="fr-FR"/>
        </w:rPr>
        <w:t>nt à plus de structure, de durabilité et à une approche plus systématique du travail du Comité. La délégation souten</w:t>
      </w:r>
      <w:r>
        <w:rPr>
          <w:rFonts w:ascii="Arial" w:hAnsi="Arial" w:cs="Arial"/>
          <w:bCs/>
          <w:sz w:val="22"/>
          <w:szCs w:val="22"/>
          <w:lang w:val="fr-FR"/>
        </w:rPr>
        <w:t>ait</w:t>
      </w:r>
      <w:r w:rsidRPr="00B14311">
        <w:rPr>
          <w:rFonts w:ascii="Arial" w:hAnsi="Arial" w:cs="Arial"/>
          <w:bCs/>
          <w:sz w:val="22"/>
          <w:szCs w:val="22"/>
          <w:lang w:val="fr-FR"/>
        </w:rPr>
        <w:t xml:space="preserve"> pleinement les </w:t>
      </w:r>
      <w:r w:rsidRPr="00AB273C">
        <w:rPr>
          <w:rFonts w:ascii="Arial" w:hAnsi="Arial" w:cs="Arial"/>
          <w:bCs/>
          <w:sz w:val="22"/>
          <w:szCs w:val="22"/>
          <w:lang w:val="fr-FR"/>
        </w:rPr>
        <w:t>modificatio</w:t>
      </w:r>
      <w:r>
        <w:rPr>
          <w:rFonts w:ascii="Arial" w:hAnsi="Arial" w:cs="Arial"/>
          <w:bCs/>
          <w:sz w:val="22"/>
          <w:szCs w:val="22"/>
          <w:lang w:val="fr-FR"/>
        </w:rPr>
        <w:t xml:space="preserve">ns </w:t>
      </w:r>
      <w:r w:rsidRPr="00AB273C">
        <w:rPr>
          <w:rFonts w:ascii="Arial" w:hAnsi="Arial" w:cs="Arial"/>
          <w:bCs/>
          <w:sz w:val="22"/>
          <w:szCs w:val="22"/>
          <w:lang w:val="fr-FR"/>
        </w:rPr>
        <w:t>proposé</w:t>
      </w:r>
      <w:r>
        <w:rPr>
          <w:rFonts w:ascii="Arial" w:hAnsi="Arial" w:cs="Arial"/>
          <w:bCs/>
          <w:sz w:val="22"/>
          <w:szCs w:val="22"/>
          <w:lang w:val="fr-FR"/>
        </w:rPr>
        <w:t>e</w:t>
      </w:r>
      <w:r w:rsidRPr="00AB273C">
        <w:rPr>
          <w:rFonts w:ascii="Arial" w:hAnsi="Arial" w:cs="Arial"/>
          <w:bCs/>
          <w:sz w:val="22"/>
          <w:szCs w:val="22"/>
          <w:lang w:val="fr-FR"/>
        </w:rPr>
        <w:t>s aux Directives opérationnelles et attend</w:t>
      </w:r>
      <w:r>
        <w:rPr>
          <w:rFonts w:ascii="Arial" w:hAnsi="Arial" w:cs="Arial"/>
          <w:bCs/>
          <w:sz w:val="22"/>
          <w:szCs w:val="22"/>
          <w:lang w:val="fr-FR"/>
        </w:rPr>
        <w:t>ait</w:t>
      </w:r>
      <w:r w:rsidRPr="00AB273C">
        <w:rPr>
          <w:rFonts w:ascii="Arial" w:hAnsi="Arial" w:cs="Arial"/>
          <w:bCs/>
          <w:sz w:val="22"/>
          <w:szCs w:val="22"/>
          <w:lang w:val="fr-FR"/>
        </w:rPr>
        <w:t xml:space="preserve"> avec impatience la poursuite de la réflexion et la mise en œuvre de l</w:t>
      </w:r>
      <w:r w:rsidR="008E532B">
        <w:rPr>
          <w:rFonts w:ascii="Arial" w:hAnsi="Arial" w:cs="Arial"/>
          <w:bCs/>
          <w:sz w:val="22"/>
          <w:szCs w:val="22"/>
          <w:lang w:val="fr-FR"/>
        </w:rPr>
        <w:t>’</w:t>
      </w:r>
      <w:r w:rsidRPr="00AB273C">
        <w:rPr>
          <w:rFonts w:ascii="Arial" w:hAnsi="Arial" w:cs="Arial"/>
          <w:bCs/>
          <w:sz w:val="22"/>
          <w:szCs w:val="22"/>
          <w:lang w:val="fr-FR"/>
        </w:rPr>
        <w:t>article 18, ainsi qu</w:t>
      </w:r>
      <w:r w:rsidR="008E532B">
        <w:rPr>
          <w:rFonts w:ascii="Arial" w:hAnsi="Arial" w:cs="Arial"/>
          <w:bCs/>
          <w:sz w:val="22"/>
          <w:szCs w:val="22"/>
          <w:lang w:val="fr-FR"/>
        </w:rPr>
        <w:t>’</w:t>
      </w:r>
      <w:r w:rsidRPr="00AB273C">
        <w:rPr>
          <w:rFonts w:ascii="Arial" w:hAnsi="Arial" w:cs="Arial"/>
          <w:bCs/>
          <w:sz w:val="22"/>
          <w:szCs w:val="22"/>
          <w:lang w:val="fr-FR"/>
        </w:rPr>
        <w:t>une proposition spécifique sur la manière d</w:t>
      </w:r>
      <w:r w:rsidR="008E532B">
        <w:rPr>
          <w:rFonts w:ascii="Arial" w:hAnsi="Arial" w:cs="Arial"/>
          <w:bCs/>
          <w:sz w:val="22"/>
          <w:szCs w:val="22"/>
          <w:lang w:val="fr-FR"/>
        </w:rPr>
        <w:t>’</w:t>
      </w:r>
      <w:r w:rsidRPr="00AB273C">
        <w:rPr>
          <w:rFonts w:ascii="Arial" w:hAnsi="Arial" w:cs="Arial"/>
          <w:bCs/>
          <w:sz w:val="22"/>
          <w:szCs w:val="22"/>
          <w:lang w:val="fr-FR"/>
        </w:rPr>
        <w:t>augmenter la capacité et le plafond des dossiers d</w:t>
      </w:r>
      <w:r w:rsidR="008E532B">
        <w:rPr>
          <w:rFonts w:ascii="Arial" w:hAnsi="Arial" w:cs="Arial"/>
          <w:bCs/>
          <w:sz w:val="22"/>
          <w:szCs w:val="22"/>
          <w:lang w:val="fr-FR"/>
        </w:rPr>
        <w:t>’</w:t>
      </w:r>
      <w:r w:rsidRPr="00AB273C">
        <w:rPr>
          <w:rFonts w:ascii="Arial" w:hAnsi="Arial" w:cs="Arial"/>
          <w:bCs/>
          <w:sz w:val="22"/>
          <w:szCs w:val="22"/>
          <w:lang w:val="fr-FR"/>
        </w:rPr>
        <w:t xml:space="preserve">inscription, ainsi que les ressources humaines ou financières </w:t>
      </w:r>
      <w:r>
        <w:rPr>
          <w:rFonts w:ascii="Arial" w:hAnsi="Arial" w:cs="Arial"/>
          <w:bCs/>
          <w:sz w:val="22"/>
          <w:szCs w:val="22"/>
          <w:lang w:val="fr-FR"/>
        </w:rPr>
        <w:t>en soutien à</w:t>
      </w:r>
      <w:r w:rsidRPr="00AB273C">
        <w:rPr>
          <w:rFonts w:ascii="Arial" w:hAnsi="Arial" w:cs="Arial"/>
          <w:bCs/>
          <w:sz w:val="22"/>
          <w:szCs w:val="22"/>
          <w:lang w:val="fr-FR"/>
        </w:rPr>
        <w:t xml:space="preserve"> la Convention. Elle </w:t>
      </w:r>
      <w:r>
        <w:rPr>
          <w:rFonts w:ascii="Arial" w:hAnsi="Arial" w:cs="Arial"/>
          <w:bCs/>
          <w:sz w:val="22"/>
          <w:szCs w:val="22"/>
          <w:lang w:val="fr-FR"/>
        </w:rPr>
        <w:t xml:space="preserve">était </w:t>
      </w:r>
      <w:r w:rsidRPr="00AB273C">
        <w:rPr>
          <w:rFonts w:ascii="Arial" w:hAnsi="Arial" w:cs="Arial"/>
          <w:bCs/>
          <w:sz w:val="22"/>
          <w:szCs w:val="22"/>
          <w:lang w:val="fr-FR"/>
        </w:rPr>
        <w:t xml:space="preserve">également </w:t>
      </w:r>
      <w:r>
        <w:rPr>
          <w:rFonts w:ascii="Arial" w:hAnsi="Arial" w:cs="Arial"/>
          <w:bCs/>
          <w:sz w:val="22"/>
          <w:szCs w:val="22"/>
          <w:lang w:val="fr-FR"/>
        </w:rPr>
        <w:t xml:space="preserve">favorable à </w:t>
      </w:r>
      <w:r w:rsidRPr="00AB273C">
        <w:rPr>
          <w:rFonts w:ascii="Arial" w:hAnsi="Arial" w:cs="Arial"/>
          <w:bCs/>
          <w:sz w:val="22"/>
          <w:szCs w:val="22"/>
          <w:lang w:val="fr-FR"/>
        </w:rPr>
        <w:t>la définition de critères clairs pour les cas exceptionnels afin d</w:t>
      </w:r>
      <w:r w:rsidR="008E532B">
        <w:rPr>
          <w:rFonts w:ascii="Arial" w:hAnsi="Arial" w:cs="Arial"/>
          <w:bCs/>
          <w:sz w:val="22"/>
          <w:szCs w:val="22"/>
          <w:lang w:val="fr-FR"/>
        </w:rPr>
        <w:t>’</w:t>
      </w:r>
      <w:r w:rsidRPr="00AB273C">
        <w:rPr>
          <w:rFonts w:ascii="Arial" w:hAnsi="Arial" w:cs="Arial"/>
          <w:bCs/>
          <w:sz w:val="22"/>
          <w:szCs w:val="22"/>
          <w:lang w:val="fr-FR"/>
        </w:rPr>
        <w:t xml:space="preserve">éviter toute confusion supplémentaire. La délégation a fait remarquer que ce processus avait été inclusif dès le premier jour, tout le monde </w:t>
      </w:r>
      <w:r>
        <w:rPr>
          <w:rFonts w:ascii="Arial" w:hAnsi="Arial" w:cs="Arial"/>
          <w:bCs/>
          <w:sz w:val="22"/>
          <w:szCs w:val="22"/>
          <w:lang w:val="fr-FR"/>
        </w:rPr>
        <w:t xml:space="preserve">ayant été </w:t>
      </w:r>
      <w:r w:rsidRPr="00AB273C">
        <w:rPr>
          <w:rFonts w:ascii="Arial" w:hAnsi="Arial" w:cs="Arial"/>
          <w:bCs/>
          <w:sz w:val="22"/>
          <w:szCs w:val="22"/>
          <w:lang w:val="fr-FR"/>
        </w:rPr>
        <w:t>invité à y participer, qu</w:t>
      </w:r>
      <w:r w:rsidR="008E532B">
        <w:rPr>
          <w:rFonts w:ascii="Arial" w:hAnsi="Arial" w:cs="Arial"/>
          <w:bCs/>
          <w:sz w:val="22"/>
          <w:szCs w:val="22"/>
          <w:lang w:val="fr-FR"/>
        </w:rPr>
        <w:t>’</w:t>
      </w:r>
      <w:r w:rsidRPr="00AB273C">
        <w:rPr>
          <w:rFonts w:ascii="Arial" w:hAnsi="Arial" w:cs="Arial"/>
          <w:bCs/>
          <w:sz w:val="22"/>
          <w:szCs w:val="22"/>
          <w:lang w:val="fr-FR"/>
        </w:rPr>
        <w:t>il avait été clairement adopté par le Comité et qu</w:t>
      </w:r>
      <w:r w:rsidR="008E532B">
        <w:rPr>
          <w:rFonts w:ascii="Arial" w:hAnsi="Arial" w:cs="Arial"/>
          <w:bCs/>
          <w:sz w:val="22"/>
          <w:szCs w:val="22"/>
          <w:lang w:val="fr-FR"/>
        </w:rPr>
        <w:t>’</w:t>
      </w:r>
      <w:r w:rsidRPr="00AB273C">
        <w:rPr>
          <w:rFonts w:ascii="Arial" w:hAnsi="Arial" w:cs="Arial"/>
          <w:bCs/>
          <w:sz w:val="22"/>
          <w:szCs w:val="22"/>
          <w:lang w:val="fr-FR"/>
        </w:rPr>
        <w:t xml:space="preserve">il devrait donc </w:t>
      </w:r>
      <w:r w:rsidRPr="00017D25">
        <w:rPr>
          <w:rFonts w:ascii="Arial" w:hAnsi="Arial" w:cs="Arial"/>
          <w:bCs/>
          <w:color w:val="000000" w:themeColor="text1"/>
          <w:sz w:val="22"/>
          <w:szCs w:val="22"/>
          <w:lang w:val="fr-FR"/>
        </w:rPr>
        <w:t>désormais</w:t>
      </w:r>
      <w:r>
        <w:rPr>
          <w:rFonts w:ascii="Arial" w:hAnsi="Arial" w:cs="Arial"/>
          <w:bCs/>
          <w:color w:val="000000" w:themeColor="text1"/>
          <w:sz w:val="22"/>
          <w:szCs w:val="22"/>
          <w:lang w:val="fr-FR"/>
        </w:rPr>
        <w:t xml:space="preserve"> </w:t>
      </w:r>
      <w:r w:rsidRPr="00AB273C">
        <w:rPr>
          <w:rFonts w:ascii="Arial" w:hAnsi="Arial" w:cs="Arial"/>
          <w:bCs/>
          <w:sz w:val="22"/>
          <w:szCs w:val="22"/>
          <w:lang w:val="fr-FR"/>
        </w:rPr>
        <w:t>être approuvé dans son intégralité.</w:t>
      </w:r>
    </w:p>
    <w:p w14:paraId="647335E0" w14:textId="05332A50" w:rsidR="00D9653F" w:rsidRPr="00017D25"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17D25">
        <w:rPr>
          <w:rFonts w:ascii="Arial" w:hAnsi="Arial" w:cs="Arial"/>
          <w:bCs/>
          <w:sz w:val="22"/>
          <w:szCs w:val="22"/>
          <w:lang w:val="fr-FR"/>
        </w:rPr>
        <w:t>La délégation de l</w:t>
      </w:r>
      <w:r w:rsidR="008E532B">
        <w:rPr>
          <w:rFonts w:ascii="Arial" w:hAnsi="Arial" w:cs="Arial"/>
          <w:bCs/>
          <w:sz w:val="22"/>
          <w:szCs w:val="22"/>
          <w:lang w:val="fr-FR"/>
        </w:rPr>
        <w:t>’</w:t>
      </w:r>
      <w:r w:rsidRPr="00017D25">
        <w:rPr>
          <w:rFonts w:ascii="Arial" w:hAnsi="Arial" w:cs="Arial"/>
          <w:b/>
          <w:sz w:val="22"/>
          <w:szCs w:val="22"/>
          <w:lang w:val="fr-FR"/>
        </w:rPr>
        <w:t>Azerbaïdjan</w:t>
      </w:r>
      <w:r w:rsidRPr="00017D25">
        <w:rPr>
          <w:rFonts w:ascii="Arial" w:hAnsi="Arial" w:cs="Arial"/>
          <w:bCs/>
          <w:sz w:val="22"/>
          <w:szCs w:val="22"/>
          <w:lang w:val="fr-FR"/>
        </w:rPr>
        <w:t xml:space="preserve"> a remercié l</w:t>
      </w:r>
      <w:r>
        <w:rPr>
          <w:rFonts w:ascii="Arial" w:hAnsi="Arial" w:cs="Arial"/>
          <w:bCs/>
          <w:sz w:val="22"/>
          <w:szCs w:val="22"/>
          <w:lang w:val="fr-FR"/>
        </w:rPr>
        <w:t>e</w:t>
      </w:r>
      <w:r w:rsidRPr="00017D25">
        <w:rPr>
          <w:rFonts w:ascii="Arial" w:hAnsi="Arial" w:cs="Arial"/>
          <w:bCs/>
          <w:sz w:val="22"/>
          <w:szCs w:val="22"/>
          <w:lang w:val="fr-FR"/>
        </w:rPr>
        <w:t xml:space="preserve"> Président du groupe de travail et le Secrétariat pour les informations complètes. Elle</w:t>
      </w:r>
      <w:r>
        <w:rPr>
          <w:rFonts w:ascii="Arial" w:hAnsi="Arial" w:cs="Arial"/>
          <w:bCs/>
          <w:sz w:val="22"/>
          <w:szCs w:val="22"/>
          <w:lang w:val="fr-FR"/>
        </w:rPr>
        <w:t xml:space="preserve"> était</w:t>
      </w:r>
      <w:r w:rsidRPr="00017D25">
        <w:rPr>
          <w:rFonts w:ascii="Arial" w:hAnsi="Arial" w:cs="Arial"/>
          <w:bCs/>
          <w:sz w:val="22"/>
          <w:szCs w:val="22"/>
          <w:lang w:val="fr-FR"/>
        </w:rPr>
        <w:t xml:space="preserve"> satisfaite de l</w:t>
      </w:r>
      <w:r w:rsidR="008E532B">
        <w:rPr>
          <w:rFonts w:ascii="Arial" w:hAnsi="Arial" w:cs="Arial"/>
          <w:bCs/>
          <w:sz w:val="22"/>
          <w:szCs w:val="22"/>
          <w:lang w:val="fr-FR"/>
        </w:rPr>
        <w:t>’</w:t>
      </w:r>
      <w:r w:rsidRPr="00017D25">
        <w:rPr>
          <w:rFonts w:ascii="Arial" w:hAnsi="Arial" w:cs="Arial"/>
          <w:bCs/>
          <w:sz w:val="22"/>
          <w:szCs w:val="22"/>
          <w:lang w:val="fr-FR"/>
        </w:rPr>
        <w:t>efficacité du travail accompli pour faire avancer la réflexion sur les mécanismes d</w:t>
      </w:r>
      <w:r w:rsidR="008E532B">
        <w:rPr>
          <w:rFonts w:ascii="Arial" w:hAnsi="Arial" w:cs="Arial"/>
          <w:bCs/>
          <w:sz w:val="22"/>
          <w:szCs w:val="22"/>
          <w:lang w:val="fr-FR"/>
        </w:rPr>
        <w:t>’</w:t>
      </w:r>
      <w:r w:rsidRPr="00017D25">
        <w:rPr>
          <w:rFonts w:ascii="Arial" w:hAnsi="Arial" w:cs="Arial"/>
          <w:bCs/>
          <w:sz w:val="22"/>
          <w:szCs w:val="22"/>
          <w:lang w:val="fr-FR"/>
        </w:rPr>
        <w:t xml:space="preserve">inscription. Le </w:t>
      </w:r>
      <w:r>
        <w:rPr>
          <w:rFonts w:ascii="Arial" w:hAnsi="Arial" w:cs="Arial"/>
          <w:bCs/>
          <w:sz w:val="22"/>
          <w:szCs w:val="22"/>
          <w:lang w:val="fr-FR"/>
        </w:rPr>
        <w:t xml:space="preserve">vaste </w:t>
      </w:r>
      <w:r w:rsidRPr="00017D25">
        <w:rPr>
          <w:rFonts w:ascii="Arial" w:hAnsi="Arial" w:cs="Arial"/>
          <w:bCs/>
          <w:sz w:val="22"/>
          <w:szCs w:val="22"/>
          <w:lang w:val="fr-FR"/>
        </w:rPr>
        <w:t>processus de consultation a</w:t>
      </w:r>
      <w:r>
        <w:rPr>
          <w:rFonts w:ascii="Arial" w:hAnsi="Arial" w:cs="Arial"/>
          <w:bCs/>
          <w:sz w:val="22"/>
          <w:szCs w:val="22"/>
          <w:lang w:val="fr-FR"/>
        </w:rPr>
        <w:t>vait</w:t>
      </w:r>
      <w:r w:rsidRPr="00017D25">
        <w:rPr>
          <w:rFonts w:ascii="Arial" w:hAnsi="Arial" w:cs="Arial"/>
          <w:bCs/>
          <w:sz w:val="22"/>
          <w:szCs w:val="22"/>
          <w:lang w:val="fr-FR"/>
        </w:rPr>
        <w:t xml:space="preserve"> donné des résultats qui </w:t>
      </w:r>
      <w:r>
        <w:rPr>
          <w:rFonts w:ascii="Arial" w:hAnsi="Arial" w:cs="Arial"/>
          <w:bCs/>
          <w:sz w:val="22"/>
          <w:szCs w:val="22"/>
          <w:lang w:val="fr-FR"/>
        </w:rPr>
        <w:t>étaient désormais</w:t>
      </w:r>
      <w:r w:rsidRPr="00017D25">
        <w:rPr>
          <w:rFonts w:ascii="Arial" w:hAnsi="Arial" w:cs="Arial"/>
          <w:bCs/>
          <w:sz w:val="22"/>
          <w:szCs w:val="22"/>
          <w:lang w:val="fr-FR"/>
        </w:rPr>
        <w:t xml:space="preserve"> reflétés dans les propositio</w:t>
      </w:r>
      <w:r>
        <w:rPr>
          <w:rFonts w:ascii="Arial" w:hAnsi="Arial" w:cs="Arial"/>
          <w:bCs/>
          <w:sz w:val="22"/>
          <w:szCs w:val="22"/>
          <w:lang w:val="fr-FR"/>
        </w:rPr>
        <w:t xml:space="preserve">ns de </w:t>
      </w:r>
      <w:r w:rsidRPr="00017D25">
        <w:rPr>
          <w:rFonts w:ascii="Arial" w:hAnsi="Arial" w:cs="Arial"/>
          <w:bCs/>
          <w:sz w:val="22"/>
          <w:szCs w:val="22"/>
          <w:lang w:val="fr-FR"/>
        </w:rPr>
        <w:t xml:space="preserve">révisions </w:t>
      </w:r>
      <w:r>
        <w:rPr>
          <w:rFonts w:ascii="Arial" w:hAnsi="Arial" w:cs="Arial"/>
          <w:bCs/>
          <w:sz w:val="22"/>
          <w:szCs w:val="22"/>
          <w:lang w:val="fr-FR"/>
        </w:rPr>
        <w:t>des</w:t>
      </w:r>
      <w:r w:rsidRPr="00017D25">
        <w:rPr>
          <w:rFonts w:ascii="Arial" w:hAnsi="Arial" w:cs="Arial"/>
          <w:bCs/>
          <w:sz w:val="22"/>
          <w:szCs w:val="22"/>
          <w:lang w:val="fr-FR"/>
        </w:rPr>
        <w:t xml:space="preserve"> Directives opérationnelles. La délégation a remercié le Japon pour son soutien financier et son leadership efficace qui </w:t>
      </w:r>
      <w:r>
        <w:rPr>
          <w:rFonts w:ascii="Arial" w:hAnsi="Arial" w:cs="Arial"/>
          <w:bCs/>
          <w:sz w:val="22"/>
          <w:szCs w:val="22"/>
          <w:lang w:val="fr-FR"/>
        </w:rPr>
        <w:t xml:space="preserve">avaient </w:t>
      </w:r>
      <w:r w:rsidRPr="00017D25">
        <w:rPr>
          <w:rFonts w:ascii="Arial" w:hAnsi="Arial" w:cs="Arial"/>
          <w:bCs/>
          <w:sz w:val="22"/>
          <w:szCs w:val="22"/>
          <w:lang w:val="fr-FR"/>
        </w:rPr>
        <w:t>permis de mener à bien le processus de réflexion. La réflexion globale avait débouché sur une nouvelle initiative visant à réfléchir à la mise en œuvre plus large de l</w:t>
      </w:r>
      <w:r w:rsidR="008E532B">
        <w:rPr>
          <w:rFonts w:ascii="Arial" w:hAnsi="Arial" w:cs="Arial"/>
          <w:bCs/>
          <w:sz w:val="22"/>
          <w:szCs w:val="22"/>
          <w:lang w:val="fr-FR"/>
        </w:rPr>
        <w:t>’</w:t>
      </w:r>
      <w:r w:rsidRPr="00017D25">
        <w:rPr>
          <w:rFonts w:ascii="Arial" w:hAnsi="Arial" w:cs="Arial"/>
          <w:bCs/>
          <w:sz w:val="22"/>
          <w:szCs w:val="22"/>
          <w:lang w:val="fr-FR"/>
        </w:rPr>
        <w:t>article 18, ce qui représentait une part importante de l</w:t>
      </w:r>
      <w:r w:rsidR="008E532B">
        <w:rPr>
          <w:rFonts w:ascii="Arial" w:hAnsi="Arial" w:cs="Arial"/>
          <w:bCs/>
          <w:sz w:val="22"/>
          <w:szCs w:val="22"/>
          <w:lang w:val="fr-FR"/>
        </w:rPr>
        <w:t>’</w:t>
      </w:r>
      <w:r w:rsidRPr="00017D25">
        <w:rPr>
          <w:rFonts w:ascii="Arial" w:hAnsi="Arial" w:cs="Arial"/>
          <w:bCs/>
          <w:sz w:val="22"/>
          <w:szCs w:val="22"/>
          <w:lang w:val="fr-FR"/>
        </w:rPr>
        <w:t>avenir de la Convention dans le cadre du partage d</w:t>
      </w:r>
      <w:r w:rsidR="008E532B">
        <w:rPr>
          <w:rFonts w:ascii="Arial" w:hAnsi="Arial" w:cs="Arial"/>
          <w:bCs/>
          <w:sz w:val="22"/>
          <w:szCs w:val="22"/>
          <w:lang w:val="fr-FR"/>
        </w:rPr>
        <w:t>’</w:t>
      </w:r>
      <w:r w:rsidRPr="00017D25">
        <w:rPr>
          <w:rFonts w:ascii="Arial" w:hAnsi="Arial" w:cs="Arial"/>
          <w:bCs/>
          <w:sz w:val="22"/>
          <w:szCs w:val="22"/>
          <w:lang w:val="fr-FR"/>
        </w:rPr>
        <w:t>expériences au niveau international. Elle a remercié la Suède pour son soutien, notant qu</w:t>
      </w:r>
      <w:r w:rsidR="008E532B">
        <w:rPr>
          <w:rFonts w:ascii="Arial" w:hAnsi="Arial" w:cs="Arial"/>
          <w:bCs/>
          <w:sz w:val="22"/>
          <w:szCs w:val="22"/>
          <w:lang w:val="fr-FR"/>
        </w:rPr>
        <w:t>’</w:t>
      </w:r>
      <w:r w:rsidRPr="00017D25">
        <w:rPr>
          <w:rFonts w:ascii="Arial" w:hAnsi="Arial" w:cs="Arial"/>
          <w:bCs/>
          <w:sz w:val="22"/>
          <w:szCs w:val="22"/>
          <w:lang w:val="fr-FR"/>
        </w:rPr>
        <w:t>une réunion d</w:t>
      </w:r>
      <w:r w:rsidR="008E532B">
        <w:rPr>
          <w:rFonts w:ascii="Arial" w:hAnsi="Arial" w:cs="Arial"/>
          <w:bCs/>
          <w:sz w:val="22"/>
          <w:szCs w:val="22"/>
          <w:lang w:val="fr-FR"/>
        </w:rPr>
        <w:t>’</w:t>
      </w:r>
      <w:r w:rsidRPr="00017D25">
        <w:rPr>
          <w:rFonts w:ascii="Arial" w:hAnsi="Arial" w:cs="Arial"/>
          <w:bCs/>
          <w:sz w:val="22"/>
          <w:szCs w:val="22"/>
          <w:lang w:val="fr-FR"/>
        </w:rPr>
        <w:t>experts de catégorie VI poursuivrait sa réflexion dans un avenir proche.</w:t>
      </w:r>
    </w:p>
    <w:p w14:paraId="32E6C192" w14:textId="127A6D2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2391E">
        <w:rPr>
          <w:rFonts w:ascii="Arial" w:hAnsi="Arial" w:cs="Arial"/>
          <w:bCs/>
          <w:sz w:val="22"/>
          <w:szCs w:val="22"/>
          <w:lang w:val="fr-FR"/>
        </w:rPr>
        <w:t xml:space="preserve">La délégation de la </w:t>
      </w:r>
      <w:r w:rsidRPr="00A2391E">
        <w:rPr>
          <w:rFonts w:ascii="Arial" w:hAnsi="Arial" w:cs="Arial"/>
          <w:b/>
          <w:sz w:val="22"/>
          <w:szCs w:val="22"/>
          <w:lang w:val="fr-FR"/>
        </w:rPr>
        <w:t>Jamaïque</w:t>
      </w:r>
      <w:r w:rsidRPr="00A2391E">
        <w:rPr>
          <w:rFonts w:ascii="Arial" w:hAnsi="Arial" w:cs="Arial"/>
          <w:bCs/>
          <w:sz w:val="22"/>
          <w:szCs w:val="22"/>
          <w:lang w:val="fr-FR"/>
        </w:rPr>
        <w:t xml:space="preserve"> a remercié le Japon pour son excellent leadership, le groupe de travail pour son travail diligent et la Suède pour son soutien engagé. Les procédures de ce Comité s</w:t>
      </w:r>
      <w:r w:rsidR="008E532B">
        <w:rPr>
          <w:rFonts w:ascii="Arial" w:hAnsi="Arial" w:cs="Arial"/>
          <w:bCs/>
          <w:sz w:val="22"/>
          <w:szCs w:val="22"/>
          <w:lang w:val="fr-FR"/>
        </w:rPr>
        <w:t>’</w:t>
      </w:r>
      <w:r>
        <w:rPr>
          <w:rFonts w:ascii="Arial" w:hAnsi="Arial" w:cs="Arial"/>
          <w:bCs/>
          <w:sz w:val="22"/>
          <w:szCs w:val="22"/>
          <w:lang w:val="fr-FR"/>
        </w:rPr>
        <w:t>étaient</w:t>
      </w:r>
      <w:r w:rsidRPr="00A2391E">
        <w:rPr>
          <w:rFonts w:ascii="Arial" w:hAnsi="Arial" w:cs="Arial"/>
          <w:bCs/>
          <w:sz w:val="22"/>
          <w:szCs w:val="22"/>
          <w:lang w:val="fr-FR"/>
        </w:rPr>
        <w:t xml:space="preserve"> avérées minutieuses et flexibles, comme les situations de pandémie et d</w:t>
      </w:r>
      <w:r w:rsidR="008E532B">
        <w:rPr>
          <w:rFonts w:ascii="Arial" w:hAnsi="Arial" w:cs="Arial"/>
          <w:bCs/>
          <w:sz w:val="22"/>
          <w:szCs w:val="22"/>
          <w:lang w:val="fr-FR"/>
        </w:rPr>
        <w:t>’</w:t>
      </w:r>
      <w:r w:rsidRPr="00A2391E">
        <w:rPr>
          <w:rFonts w:ascii="Arial" w:hAnsi="Arial" w:cs="Arial"/>
          <w:bCs/>
          <w:sz w:val="22"/>
          <w:szCs w:val="22"/>
          <w:lang w:val="fr-FR"/>
        </w:rPr>
        <w:t>urgence</w:t>
      </w:r>
      <w:r>
        <w:rPr>
          <w:rFonts w:ascii="Arial" w:hAnsi="Arial" w:cs="Arial"/>
          <w:bCs/>
          <w:sz w:val="22"/>
          <w:szCs w:val="22"/>
          <w:lang w:val="fr-FR"/>
        </w:rPr>
        <w:t xml:space="preserve"> en avaient témoigné</w:t>
      </w:r>
      <w:r w:rsidRPr="00A2391E">
        <w:rPr>
          <w:rFonts w:ascii="Arial" w:hAnsi="Arial" w:cs="Arial"/>
          <w:bCs/>
          <w:sz w:val="22"/>
          <w:szCs w:val="22"/>
          <w:lang w:val="fr-FR"/>
        </w:rPr>
        <w:t>. Elle a félicité le groupe de travail pour son travail visant à garantir l</w:t>
      </w:r>
      <w:r w:rsidR="008E532B">
        <w:rPr>
          <w:rFonts w:ascii="Arial" w:hAnsi="Arial" w:cs="Arial"/>
          <w:bCs/>
          <w:sz w:val="22"/>
          <w:szCs w:val="22"/>
          <w:lang w:val="fr-FR"/>
        </w:rPr>
        <w:t>’</w:t>
      </w:r>
      <w:r w:rsidRPr="00A2391E">
        <w:rPr>
          <w:rFonts w:ascii="Arial" w:hAnsi="Arial" w:cs="Arial"/>
          <w:bCs/>
          <w:sz w:val="22"/>
          <w:szCs w:val="22"/>
          <w:lang w:val="fr-FR"/>
        </w:rPr>
        <w:t>harmonisation, la bonne gouvernance, l</w:t>
      </w:r>
      <w:r w:rsidR="008E532B">
        <w:rPr>
          <w:rFonts w:ascii="Arial" w:hAnsi="Arial" w:cs="Arial"/>
          <w:bCs/>
          <w:sz w:val="22"/>
          <w:szCs w:val="22"/>
          <w:lang w:val="fr-FR"/>
        </w:rPr>
        <w:t>’</w:t>
      </w:r>
      <w:r w:rsidRPr="00A2391E">
        <w:rPr>
          <w:rFonts w:ascii="Arial" w:hAnsi="Arial" w:cs="Arial"/>
          <w:bCs/>
          <w:sz w:val="22"/>
          <w:szCs w:val="22"/>
          <w:lang w:val="fr-FR"/>
        </w:rPr>
        <w:t>inclusivité, l</w:t>
      </w:r>
      <w:r w:rsidR="008E532B">
        <w:rPr>
          <w:rFonts w:ascii="Arial" w:hAnsi="Arial" w:cs="Arial"/>
          <w:bCs/>
          <w:sz w:val="22"/>
          <w:szCs w:val="22"/>
          <w:lang w:val="fr-FR"/>
        </w:rPr>
        <w:t>’</w:t>
      </w:r>
      <w:r w:rsidRPr="00A2391E">
        <w:rPr>
          <w:rFonts w:ascii="Arial" w:hAnsi="Arial" w:cs="Arial"/>
          <w:bCs/>
          <w:sz w:val="22"/>
          <w:szCs w:val="22"/>
          <w:lang w:val="fr-FR"/>
        </w:rPr>
        <w:t>équité et l</w:t>
      </w:r>
      <w:r w:rsidR="008E532B">
        <w:rPr>
          <w:rFonts w:ascii="Arial" w:hAnsi="Arial" w:cs="Arial"/>
          <w:bCs/>
          <w:sz w:val="22"/>
          <w:szCs w:val="22"/>
          <w:lang w:val="fr-FR"/>
        </w:rPr>
        <w:t>’</w:t>
      </w:r>
      <w:r w:rsidRPr="00A2391E">
        <w:rPr>
          <w:rFonts w:ascii="Arial" w:hAnsi="Arial" w:cs="Arial"/>
          <w:bCs/>
          <w:sz w:val="22"/>
          <w:szCs w:val="22"/>
          <w:lang w:val="fr-FR"/>
        </w:rPr>
        <w:t>efficacité, un standard qui, selon la Jamaïque, a</w:t>
      </w:r>
      <w:r>
        <w:rPr>
          <w:rFonts w:ascii="Arial" w:hAnsi="Arial" w:cs="Arial"/>
          <w:bCs/>
          <w:sz w:val="22"/>
          <w:szCs w:val="22"/>
          <w:lang w:val="fr-FR"/>
        </w:rPr>
        <w:t>vait</w:t>
      </w:r>
      <w:r w:rsidRPr="00A2391E">
        <w:rPr>
          <w:rFonts w:ascii="Arial" w:hAnsi="Arial" w:cs="Arial"/>
          <w:bCs/>
          <w:sz w:val="22"/>
          <w:szCs w:val="22"/>
          <w:lang w:val="fr-FR"/>
        </w:rPr>
        <w:t xml:space="preserve"> été atteint. C</w:t>
      </w:r>
      <w:r w:rsidR="008E532B">
        <w:rPr>
          <w:rFonts w:ascii="Arial" w:hAnsi="Arial" w:cs="Arial"/>
          <w:bCs/>
          <w:sz w:val="22"/>
          <w:szCs w:val="22"/>
          <w:lang w:val="fr-FR"/>
        </w:rPr>
        <w:t>’</w:t>
      </w:r>
      <w:r w:rsidRPr="00A2391E">
        <w:rPr>
          <w:rFonts w:ascii="Arial" w:hAnsi="Arial" w:cs="Arial"/>
          <w:bCs/>
          <w:sz w:val="22"/>
          <w:szCs w:val="22"/>
          <w:lang w:val="fr-FR"/>
        </w:rPr>
        <w:t>était un honneur pour la Jamaïque d</w:t>
      </w:r>
      <w:r w:rsidR="008E532B">
        <w:rPr>
          <w:rFonts w:ascii="Arial" w:hAnsi="Arial" w:cs="Arial"/>
          <w:bCs/>
          <w:sz w:val="22"/>
          <w:szCs w:val="22"/>
          <w:lang w:val="fr-FR"/>
        </w:rPr>
        <w:t>’</w:t>
      </w:r>
      <w:r w:rsidRPr="00A2391E">
        <w:rPr>
          <w:rFonts w:ascii="Arial" w:hAnsi="Arial" w:cs="Arial"/>
          <w:bCs/>
          <w:sz w:val="22"/>
          <w:szCs w:val="22"/>
          <w:lang w:val="fr-FR"/>
        </w:rPr>
        <w:t>avoir s</w:t>
      </w:r>
      <w:r>
        <w:rPr>
          <w:rFonts w:ascii="Arial" w:hAnsi="Arial" w:cs="Arial"/>
          <w:bCs/>
          <w:sz w:val="22"/>
          <w:szCs w:val="22"/>
          <w:lang w:val="fr-FR"/>
        </w:rPr>
        <w:t>iégé au</w:t>
      </w:r>
      <w:r w:rsidRPr="00A2391E">
        <w:rPr>
          <w:rFonts w:ascii="Arial" w:hAnsi="Arial" w:cs="Arial"/>
          <w:bCs/>
          <w:sz w:val="22"/>
          <w:szCs w:val="22"/>
          <w:lang w:val="fr-FR"/>
        </w:rPr>
        <w:t xml:space="preserve"> Comité. Les traditions et la collégialité </w:t>
      </w:r>
      <w:r>
        <w:rPr>
          <w:rFonts w:ascii="Arial" w:hAnsi="Arial" w:cs="Arial"/>
          <w:bCs/>
          <w:sz w:val="22"/>
          <w:szCs w:val="22"/>
          <w:lang w:val="fr-FR"/>
        </w:rPr>
        <w:t>avaient</w:t>
      </w:r>
      <w:r w:rsidRPr="00A2391E">
        <w:rPr>
          <w:rFonts w:ascii="Arial" w:hAnsi="Arial" w:cs="Arial"/>
          <w:bCs/>
          <w:sz w:val="22"/>
          <w:szCs w:val="22"/>
          <w:lang w:val="fr-FR"/>
        </w:rPr>
        <w:t xml:space="preserve"> permis de préserver un patrimoine vivant. La réforme </w:t>
      </w:r>
      <w:r>
        <w:rPr>
          <w:rFonts w:ascii="Arial" w:hAnsi="Arial" w:cs="Arial"/>
          <w:bCs/>
          <w:sz w:val="22"/>
          <w:szCs w:val="22"/>
          <w:lang w:val="fr-FR"/>
        </w:rPr>
        <w:t xml:space="preserve">saisissait </w:t>
      </w:r>
      <w:r w:rsidRPr="00A2391E">
        <w:rPr>
          <w:rFonts w:ascii="Arial" w:hAnsi="Arial" w:cs="Arial"/>
          <w:bCs/>
          <w:sz w:val="22"/>
          <w:szCs w:val="22"/>
          <w:lang w:val="fr-FR"/>
        </w:rPr>
        <w:t>l</w:t>
      </w:r>
      <w:r w:rsidR="008E532B">
        <w:rPr>
          <w:rFonts w:ascii="Arial" w:hAnsi="Arial" w:cs="Arial"/>
          <w:bCs/>
          <w:sz w:val="22"/>
          <w:szCs w:val="22"/>
          <w:lang w:val="fr-FR"/>
        </w:rPr>
        <w:t>’</w:t>
      </w:r>
      <w:r w:rsidRPr="00A2391E">
        <w:rPr>
          <w:rFonts w:ascii="Arial" w:hAnsi="Arial" w:cs="Arial"/>
          <w:bCs/>
          <w:sz w:val="22"/>
          <w:szCs w:val="22"/>
          <w:lang w:val="fr-FR"/>
        </w:rPr>
        <w:t>opportunité de s</w:t>
      </w:r>
      <w:r w:rsidR="008E532B">
        <w:rPr>
          <w:rFonts w:ascii="Arial" w:hAnsi="Arial" w:cs="Arial"/>
          <w:bCs/>
          <w:sz w:val="22"/>
          <w:szCs w:val="22"/>
          <w:lang w:val="fr-FR"/>
        </w:rPr>
        <w:t>’</w:t>
      </w:r>
      <w:r w:rsidRPr="00A2391E">
        <w:rPr>
          <w:rFonts w:ascii="Arial" w:hAnsi="Arial" w:cs="Arial"/>
          <w:bCs/>
          <w:sz w:val="22"/>
          <w:szCs w:val="22"/>
          <w:lang w:val="fr-FR"/>
        </w:rPr>
        <w:t>appuyer sur ces</w:t>
      </w:r>
      <w:r>
        <w:rPr>
          <w:rFonts w:ascii="Arial" w:hAnsi="Arial" w:cs="Arial"/>
          <w:bCs/>
          <w:sz w:val="22"/>
          <w:szCs w:val="22"/>
          <w:lang w:val="fr-FR"/>
        </w:rPr>
        <w:t xml:space="preserve"> réussites,</w:t>
      </w:r>
      <w:r w:rsidRPr="00A2391E">
        <w:rPr>
          <w:rFonts w:ascii="Arial" w:hAnsi="Arial" w:cs="Arial"/>
          <w:bCs/>
          <w:sz w:val="22"/>
          <w:szCs w:val="22"/>
          <w:lang w:val="fr-FR"/>
        </w:rPr>
        <w:t xml:space="preserve"> et elle a salué le travail </w:t>
      </w:r>
      <w:r>
        <w:rPr>
          <w:rFonts w:ascii="Arial" w:hAnsi="Arial" w:cs="Arial"/>
          <w:bCs/>
          <w:sz w:val="22"/>
          <w:szCs w:val="22"/>
          <w:lang w:val="fr-FR"/>
        </w:rPr>
        <w:t xml:space="preserve">entrepris </w:t>
      </w:r>
      <w:r w:rsidRPr="00A2391E">
        <w:rPr>
          <w:rFonts w:ascii="Arial" w:hAnsi="Arial" w:cs="Arial"/>
          <w:bCs/>
          <w:sz w:val="22"/>
          <w:szCs w:val="22"/>
          <w:lang w:val="fr-FR"/>
        </w:rPr>
        <w:t xml:space="preserve">sur les divers mécanismes et méthodologies, qui </w:t>
      </w:r>
      <w:r>
        <w:rPr>
          <w:rFonts w:ascii="Arial" w:hAnsi="Arial" w:cs="Arial"/>
          <w:bCs/>
          <w:sz w:val="22"/>
          <w:szCs w:val="22"/>
          <w:lang w:val="fr-FR"/>
        </w:rPr>
        <w:t>o</w:t>
      </w:r>
      <w:r w:rsidRPr="00A2391E">
        <w:rPr>
          <w:rFonts w:ascii="Arial" w:hAnsi="Arial" w:cs="Arial"/>
          <w:bCs/>
          <w:sz w:val="22"/>
          <w:szCs w:val="22"/>
          <w:lang w:val="fr-FR"/>
        </w:rPr>
        <w:t>uv</w:t>
      </w:r>
      <w:r>
        <w:rPr>
          <w:rFonts w:ascii="Arial" w:hAnsi="Arial" w:cs="Arial"/>
          <w:bCs/>
          <w:sz w:val="22"/>
          <w:szCs w:val="22"/>
          <w:lang w:val="fr-FR"/>
        </w:rPr>
        <w:t xml:space="preserve">rait </w:t>
      </w:r>
      <w:r w:rsidRPr="00A2391E">
        <w:rPr>
          <w:rFonts w:ascii="Arial" w:hAnsi="Arial" w:cs="Arial"/>
          <w:bCs/>
          <w:sz w:val="22"/>
          <w:szCs w:val="22"/>
          <w:lang w:val="fr-FR"/>
        </w:rPr>
        <w:t>des opportunités supplémentaires de dialogue et d</w:t>
      </w:r>
      <w:r w:rsidR="008E532B">
        <w:rPr>
          <w:rFonts w:ascii="Arial" w:hAnsi="Arial" w:cs="Arial"/>
          <w:bCs/>
          <w:sz w:val="22"/>
          <w:szCs w:val="22"/>
          <w:lang w:val="fr-FR"/>
        </w:rPr>
        <w:t>’</w:t>
      </w:r>
      <w:r w:rsidRPr="00A2391E">
        <w:rPr>
          <w:rFonts w:ascii="Arial" w:hAnsi="Arial" w:cs="Arial"/>
          <w:bCs/>
          <w:sz w:val="22"/>
          <w:szCs w:val="22"/>
          <w:lang w:val="fr-FR"/>
        </w:rPr>
        <w:t>engagement entre le Comité et les États parties, augmentant probablement l</w:t>
      </w:r>
      <w:r>
        <w:rPr>
          <w:rFonts w:ascii="Arial" w:hAnsi="Arial" w:cs="Arial"/>
          <w:bCs/>
          <w:sz w:val="22"/>
          <w:szCs w:val="22"/>
          <w:lang w:val="fr-FR"/>
        </w:rPr>
        <w:t>a réussite</w:t>
      </w:r>
      <w:r w:rsidRPr="00A2391E">
        <w:rPr>
          <w:rFonts w:ascii="Arial" w:hAnsi="Arial" w:cs="Arial"/>
          <w:bCs/>
          <w:sz w:val="22"/>
          <w:szCs w:val="22"/>
          <w:lang w:val="fr-FR"/>
        </w:rPr>
        <w:t xml:space="preserve"> des candidatures. Chacun</w:t>
      </w:r>
      <w:r>
        <w:rPr>
          <w:rFonts w:ascii="Arial" w:hAnsi="Arial" w:cs="Arial"/>
          <w:bCs/>
          <w:sz w:val="22"/>
          <w:szCs w:val="22"/>
          <w:lang w:val="fr-FR"/>
        </w:rPr>
        <w:t>e</w:t>
      </w:r>
      <w:r w:rsidRPr="00A2391E">
        <w:rPr>
          <w:rFonts w:ascii="Arial" w:hAnsi="Arial" w:cs="Arial"/>
          <w:bCs/>
          <w:sz w:val="22"/>
          <w:szCs w:val="22"/>
          <w:lang w:val="fr-FR"/>
        </w:rPr>
        <w:t xml:space="preserve"> d</w:t>
      </w:r>
      <w:r w:rsidR="008E532B">
        <w:rPr>
          <w:rFonts w:ascii="Arial" w:hAnsi="Arial" w:cs="Arial"/>
          <w:bCs/>
          <w:sz w:val="22"/>
          <w:szCs w:val="22"/>
          <w:lang w:val="fr-FR"/>
        </w:rPr>
        <w:t>’</w:t>
      </w:r>
      <w:r w:rsidRPr="00A2391E">
        <w:rPr>
          <w:rFonts w:ascii="Arial" w:hAnsi="Arial" w:cs="Arial"/>
          <w:bCs/>
          <w:sz w:val="22"/>
          <w:szCs w:val="22"/>
          <w:lang w:val="fr-FR"/>
        </w:rPr>
        <w:t>entre e</w:t>
      </w:r>
      <w:r>
        <w:rPr>
          <w:rFonts w:ascii="Arial" w:hAnsi="Arial" w:cs="Arial"/>
          <w:bCs/>
          <w:sz w:val="22"/>
          <w:szCs w:val="22"/>
          <w:lang w:val="fr-FR"/>
        </w:rPr>
        <w:t>lles</w:t>
      </w:r>
      <w:r w:rsidRPr="00A2391E">
        <w:rPr>
          <w:rFonts w:ascii="Arial" w:hAnsi="Arial" w:cs="Arial"/>
          <w:bCs/>
          <w:sz w:val="22"/>
          <w:szCs w:val="22"/>
          <w:lang w:val="fr-FR"/>
        </w:rPr>
        <w:t xml:space="preserve"> </w:t>
      </w:r>
      <w:r>
        <w:rPr>
          <w:rFonts w:ascii="Arial" w:hAnsi="Arial" w:cs="Arial"/>
          <w:bCs/>
          <w:sz w:val="22"/>
          <w:szCs w:val="22"/>
          <w:lang w:val="fr-FR"/>
        </w:rPr>
        <w:t>était</w:t>
      </w:r>
      <w:r w:rsidRPr="00A2391E">
        <w:rPr>
          <w:rFonts w:ascii="Arial" w:hAnsi="Arial" w:cs="Arial"/>
          <w:bCs/>
          <w:sz w:val="22"/>
          <w:szCs w:val="22"/>
          <w:lang w:val="fr-FR"/>
        </w:rPr>
        <w:t xml:space="preserve"> un cadeau inestimable pour le monde. La délégation </w:t>
      </w:r>
      <w:r>
        <w:rPr>
          <w:rFonts w:ascii="Arial" w:hAnsi="Arial" w:cs="Arial"/>
          <w:bCs/>
          <w:sz w:val="22"/>
          <w:szCs w:val="22"/>
          <w:lang w:val="fr-FR"/>
        </w:rPr>
        <w:t>était</w:t>
      </w:r>
      <w:r w:rsidRPr="00A2391E">
        <w:rPr>
          <w:rFonts w:ascii="Arial" w:hAnsi="Arial" w:cs="Arial"/>
          <w:bCs/>
          <w:sz w:val="22"/>
          <w:szCs w:val="22"/>
          <w:lang w:val="fr-FR"/>
        </w:rPr>
        <w:t xml:space="preserve"> convaincue que </w:t>
      </w:r>
      <w:r>
        <w:rPr>
          <w:rFonts w:ascii="Arial" w:hAnsi="Arial" w:cs="Arial"/>
          <w:bCs/>
          <w:sz w:val="22"/>
          <w:szCs w:val="22"/>
          <w:lang w:val="fr-FR"/>
        </w:rPr>
        <w:t>c</w:t>
      </w:r>
      <w:r w:rsidRPr="00A2391E">
        <w:rPr>
          <w:rFonts w:ascii="Arial" w:hAnsi="Arial" w:cs="Arial"/>
          <w:bCs/>
          <w:sz w:val="22"/>
          <w:szCs w:val="22"/>
          <w:lang w:val="fr-FR"/>
        </w:rPr>
        <w:t>es résultats</w:t>
      </w:r>
      <w:r>
        <w:rPr>
          <w:rFonts w:ascii="Arial" w:hAnsi="Arial" w:cs="Arial"/>
          <w:bCs/>
          <w:sz w:val="22"/>
          <w:szCs w:val="22"/>
          <w:lang w:val="fr-FR"/>
        </w:rPr>
        <w:t xml:space="preserve"> obtenus</w:t>
      </w:r>
      <w:r w:rsidRPr="00A2391E">
        <w:rPr>
          <w:rFonts w:ascii="Arial" w:hAnsi="Arial" w:cs="Arial"/>
          <w:bCs/>
          <w:sz w:val="22"/>
          <w:szCs w:val="22"/>
          <w:lang w:val="fr-FR"/>
        </w:rPr>
        <w:t xml:space="preserve"> et les processus de réforme à venir </w:t>
      </w:r>
      <w:r>
        <w:rPr>
          <w:rFonts w:ascii="Arial" w:hAnsi="Arial" w:cs="Arial"/>
          <w:bCs/>
          <w:sz w:val="22"/>
          <w:szCs w:val="22"/>
          <w:lang w:val="fr-FR"/>
        </w:rPr>
        <w:t xml:space="preserve">adopteraient </w:t>
      </w:r>
      <w:r w:rsidRPr="00A2391E">
        <w:rPr>
          <w:rFonts w:ascii="Arial" w:hAnsi="Arial" w:cs="Arial"/>
          <w:bCs/>
          <w:sz w:val="22"/>
          <w:szCs w:val="22"/>
          <w:lang w:val="fr-FR"/>
        </w:rPr>
        <w:t>encore plus</w:t>
      </w:r>
      <w:r>
        <w:rPr>
          <w:rFonts w:ascii="Arial" w:hAnsi="Arial" w:cs="Arial"/>
          <w:bCs/>
          <w:sz w:val="22"/>
          <w:szCs w:val="22"/>
          <w:lang w:val="fr-FR"/>
        </w:rPr>
        <w:t xml:space="preserve"> intensément et </w:t>
      </w:r>
      <w:r w:rsidRPr="00A2391E">
        <w:rPr>
          <w:rFonts w:ascii="Arial" w:hAnsi="Arial" w:cs="Arial"/>
          <w:bCs/>
          <w:sz w:val="22"/>
          <w:szCs w:val="22"/>
          <w:lang w:val="fr-FR"/>
        </w:rPr>
        <w:t>largement le vocabulaire et le dynamisme des cultures distinctes, parviendr</w:t>
      </w:r>
      <w:r>
        <w:rPr>
          <w:rFonts w:ascii="Arial" w:hAnsi="Arial" w:cs="Arial"/>
          <w:bCs/>
          <w:sz w:val="22"/>
          <w:szCs w:val="22"/>
          <w:lang w:val="fr-FR"/>
        </w:rPr>
        <w:t>aie</w:t>
      </w:r>
      <w:r w:rsidRPr="00A2391E">
        <w:rPr>
          <w:rFonts w:ascii="Arial" w:hAnsi="Arial" w:cs="Arial"/>
          <w:bCs/>
          <w:sz w:val="22"/>
          <w:szCs w:val="22"/>
          <w:lang w:val="fr-FR"/>
        </w:rPr>
        <w:t xml:space="preserve">nt à une plus grande flexibilité, </w:t>
      </w:r>
      <w:r>
        <w:rPr>
          <w:rFonts w:ascii="Arial" w:hAnsi="Arial" w:cs="Arial"/>
          <w:bCs/>
          <w:sz w:val="22"/>
          <w:szCs w:val="22"/>
          <w:lang w:val="fr-FR"/>
        </w:rPr>
        <w:t>à la prise en charge</w:t>
      </w:r>
      <w:r w:rsidRPr="00A2391E">
        <w:rPr>
          <w:rFonts w:ascii="Arial" w:hAnsi="Arial" w:cs="Arial"/>
          <w:bCs/>
          <w:sz w:val="22"/>
          <w:szCs w:val="22"/>
          <w:lang w:val="fr-FR"/>
        </w:rPr>
        <w:t xml:space="preserve"> des circonstances exceptionnelles</w:t>
      </w:r>
      <w:r>
        <w:rPr>
          <w:rFonts w:ascii="Arial" w:hAnsi="Arial" w:cs="Arial"/>
          <w:bCs/>
          <w:sz w:val="22"/>
          <w:szCs w:val="22"/>
          <w:lang w:val="fr-FR"/>
        </w:rPr>
        <w:t xml:space="preserve"> et </w:t>
      </w:r>
      <w:r w:rsidRPr="00A2391E">
        <w:rPr>
          <w:rFonts w:ascii="Arial" w:hAnsi="Arial" w:cs="Arial"/>
          <w:bCs/>
          <w:sz w:val="22"/>
          <w:szCs w:val="22"/>
          <w:lang w:val="fr-FR"/>
        </w:rPr>
        <w:t>à la simplicité des processus</w:t>
      </w:r>
      <w:r>
        <w:rPr>
          <w:rFonts w:ascii="Arial" w:hAnsi="Arial" w:cs="Arial"/>
          <w:bCs/>
          <w:sz w:val="22"/>
          <w:szCs w:val="22"/>
          <w:lang w:val="fr-FR"/>
        </w:rPr>
        <w:t>,</w:t>
      </w:r>
      <w:r w:rsidRPr="00A2391E">
        <w:rPr>
          <w:rFonts w:ascii="Arial" w:hAnsi="Arial" w:cs="Arial"/>
          <w:bCs/>
          <w:sz w:val="22"/>
          <w:szCs w:val="22"/>
          <w:lang w:val="fr-FR"/>
        </w:rPr>
        <w:t xml:space="preserve"> et soutiendr</w:t>
      </w:r>
      <w:r>
        <w:rPr>
          <w:rFonts w:ascii="Arial" w:hAnsi="Arial" w:cs="Arial"/>
          <w:bCs/>
          <w:sz w:val="22"/>
          <w:szCs w:val="22"/>
          <w:lang w:val="fr-FR"/>
        </w:rPr>
        <w:t>aie</w:t>
      </w:r>
      <w:r w:rsidRPr="00A2391E">
        <w:rPr>
          <w:rFonts w:ascii="Arial" w:hAnsi="Arial" w:cs="Arial"/>
          <w:bCs/>
          <w:sz w:val="22"/>
          <w:szCs w:val="22"/>
          <w:lang w:val="fr-FR"/>
        </w:rPr>
        <w:t>nt le renforcement des capacités. La Jamaïque continuera</w:t>
      </w:r>
      <w:r>
        <w:rPr>
          <w:rFonts w:ascii="Arial" w:hAnsi="Arial" w:cs="Arial"/>
          <w:bCs/>
          <w:sz w:val="22"/>
          <w:szCs w:val="22"/>
          <w:lang w:val="fr-FR"/>
        </w:rPr>
        <w:t>it</w:t>
      </w:r>
      <w:r w:rsidRPr="00A2391E">
        <w:rPr>
          <w:rFonts w:ascii="Arial" w:hAnsi="Arial" w:cs="Arial"/>
          <w:bCs/>
          <w:sz w:val="22"/>
          <w:szCs w:val="22"/>
          <w:lang w:val="fr-FR"/>
        </w:rPr>
        <w:t xml:space="preserve"> à soutenir ce travail qui, en fin de compte, </w:t>
      </w:r>
      <w:r>
        <w:rPr>
          <w:rFonts w:ascii="Arial" w:hAnsi="Arial" w:cs="Arial"/>
          <w:bCs/>
          <w:sz w:val="22"/>
          <w:szCs w:val="22"/>
          <w:lang w:val="fr-FR"/>
        </w:rPr>
        <w:t xml:space="preserve">améliorait </w:t>
      </w:r>
      <w:r w:rsidRPr="00A2391E">
        <w:rPr>
          <w:rFonts w:ascii="Arial" w:hAnsi="Arial" w:cs="Arial"/>
          <w:bCs/>
          <w:sz w:val="22"/>
          <w:szCs w:val="22"/>
          <w:lang w:val="fr-FR"/>
        </w:rPr>
        <w:t>les connaissances et la compréhension des populations et du développement durable.</w:t>
      </w:r>
    </w:p>
    <w:p w14:paraId="599CC6CB" w14:textId="7E9A125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816BF">
        <w:rPr>
          <w:rFonts w:ascii="Arial" w:hAnsi="Arial" w:cs="Arial"/>
          <w:bCs/>
          <w:sz w:val="22"/>
          <w:szCs w:val="22"/>
          <w:lang w:val="fr-FR"/>
        </w:rPr>
        <w:t xml:space="preserve">La délégation de la </w:t>
      </w:r>
      <w:r w:rsidRPr="00F816BF">
        <w:rPr>
          <w:rFonts w:ascii="Arial" w:hAnsi="Arial" w:cs="Arial"/>
          <w:b/>
          <w:sz w:val="22"/>
          <w:szCs w:val="22"/>
          <w:lang w:val="fr-FR"/>
        </w:rPr>
        <w:t>Norvège</w:t>
      </w:r>
      <w:r w:rsidRPr="00F816BF">
        <w:rPr>
          <w:rFonts w:ascii="Arial" w:hAnsi="Arial" w:cs="Arial"/>
          <w:bCs/>
          <w:sz w:val="22"/>
          <w:szCs w:val="22"/>
          <w:lang w:val="fr-FR"/>
        </w:rPr>
        <w:t xml:space="preserve"> s</w:t>
      </w:r>
      <w:r w:rsidR="008E532B">
        <w:rPr>
          <w:rFonts w:ascii="Arial" w:hAnsi="Arial" w:cs="Arial"/>
          <w:bCs/>
          <w:sz w:val="22"/>
          <w:szCs w:val="22"/>
          <w:lang w:val="fr-FR"/>
        </w:rPr>
        <w:t>’</w:t>
      </w:r>
      <w:r w:rsidRPr="00F816BF">
        <w:rPr>
          <w:rFonts w:ascii="Arial" w:hAnsi="Arial" w:cs="Arial"/>
          <w:bCs/>
          <w:sz w:val="22"/>
          <w:szCs w:val="22"/>
          <w:lang w:val="fr-FR"/>
        </w:rPr>
        <w:t>est félicitée du processus de réflexion globale sur les mécanismes d</w:t>
      </w:r>
      <w:r w:rsidR="008E532B">
        <w:rPr>
          <w:rFonts w:ascii="Arial" w:hAnsi="Arial" w:cs="Arial"/>
          <w:bCs/>
          <w:sz w:val="22"/>
          <w:szCs w:val="22"/>
          <w:lang w:val="fr-FR"/>
        </w:rPr>
        <w:t>’</w:t>
      </w:r>
      <w:r w:rsidRPr="00F816BF">
        <w:rPr>
          <w:rFonts w:ascii="Arial" w:hAnsi="Arial" w:cs="Arial"/>
          <w:bCs/>
          <w:sz w:val="22"/>
          <w:szCs w:val="22"/>
          <w:lang w:val="fr-FR"/>
        </w:rPr>
        <w:t xml:space="preserve">inscription et a remercié les différentes parties prenantes qui y </w:t>
      </w:r>
      <w:r>
        <w:rPr>
          <w:rFonts w:ascii="Arial" w:hAnsi="Arial" w:cs="Arial"/>
          <w:bCs/>
          <w:sz w:val="22"/>
          <w:szCs w:val="22"/>
          <w:lang w:val="fr-FR"/>
        </w:rPr>
        <w:t xml:space="preserve">avaient </w:t>
      </w:r>
      <w:r w:rsidRPr="00F816BF">
        <w:rPr>
          <w:rFonts w:ascii="Arial" w:hAnsi="Arial" w:cs="Arial"/>
          <w:bCs/>
          <w:sz w:val="22"/>
          <w:szCs w:val="22"/>
          <w:lang w:val="fr-FR"/>
        </w:rPr>
        <w:t xml:space="preserve">participé. Elle a remercié le </w:t>
      </w:r>
      <w:r>
        <w:rPr>
          <w:rFonts w:ascii="Arial" w:hAnsi="Arial" w:cs="Arial"/>
          <w:bCs/>
          <w:sz w:val="22"/>
          <w:szCs w:val="22"/>
          <w:lang w:val="fr-FR"/>
        </w:rPr>
        <w:t>G</w:t>
      </w:r>
      <w:r w:rsidRPr="00F816BF">
        <w:rPr>
          <w:rFonts w:ascii="Arial" w:hAnsi="Arial" w:cs="Arial"/>
          <w:bCs/>
          <w:sz w:val="22"/>
          <w:szCs w:val="22"/>
          <w:lang w:val="fr-FR"/>
        </w:rPr>
        <w:t xml:space="preserve">ouvernement du Japon pour son soutien généreux au processus et a espéré une plus grande représentation géographique </w:t>
      </w:r>
      <w:r>
        <w:rPr>
          <w:rFonts w:ascii="Arial" w:hAnsi="Arial" w:cs="Arial"/>
          <w:bCs/>
          <w:sz w:val="22"/>
          <w:szCs w:val="22"/>
          <w:lang w:val="fr-FR"/>
        </w:rPr>
        <w:t>parmi</w:t>
      </w:r>
      <w:r w:rsidRPr="00F816BF">
        <w:rPr>
          <w:rFonts w:ascii="Arial" w:hAnsi="Arial" w:cs="Arial"/>
          <w:bCs/>
          <w:sz w:val="22"/>
          <w:szCs w:val="22"/>
          <w:lang w:val="fr-FR"/>
        </w:rPr>
        <w:t xml:space="preserve"> les éléments inscrits. La préparation des candidatures rest</w:t>
      </w:r>
      <w:r>
        <w:rPr>
          <w:rFonts w:ascii="Arial" w:hAnsi="Arial" w:cs="Arial"/>
          <w:bCs/>
          <w:sz w:val="22"/>
          <w:szCs w:val="22"/>
          <w:lang w:val="fr-FR"/>
        </w:rPr>
        <w:t>ait</w:t>
      </w:r>
      <w:r w:rsidRPr="00F816BF">
        <w:rPr>
          <w:rFonts w:ascii="Arial" w:hAnsi="Arial" w:cs="Arial"/>
          <w:bCs/>
          <w:sz w:val="22"/>
          <w:szCs w:val="22"/>
          <w:lang w:val="fr-FR"/>
        </w:rPr>
        <w:t xml:space="preserve"> difficile et nécessit</w:t>
      </w:r>
      <w:r>
        <w:rPr>
          <w:rFonts w:ascii="Arial" w:hAnsi="Arial" w:cs="Arial"/>
          <w:bCs/>
          <w:sz w:val="22"/>
          <w:szCs w:val="22"/>
          <w:lang w:val="fr-FR"/>
        </w:rPr>
        <w:t>ait</w:t>
      </w:r>
      <w:r w:rsidRPr="00F816BF">
        <w:rPr>
          <w:rFonts w:ascii="Arial" w:hAnsi="Arial" w:cs="Arial"/>
          <w:bCs/>
          <w:sz w:val="22"/>
          <w:szCs w:val="22"/>
          <w:lang w:val="fr-FR"/>
        </w:rPr>
        <w:t xml:space="preserve"> beaucoup de ressources, illustrant l</w:t>
      </w:r>
      <w:r w:rsidR="008E532B">
        <w:rPr>
          <w:rFonts w:ascii="Arial" w:hAnsi="Arial" w:cs="Arial"/>
          <w:bCs/>
          <w:sz w:val="22"/>
          <w:szCs w:val="22"/>
          <w:lang w:val="fr-FR"/>
        </w:rPr>
        <w:t>’</w:t>
      </w:r>
      <w:r w:rsidRPr="00F816BF">
        <w:rPr>
          <w:rFonts w:ascii="Arial" w:hAnsi="Arial" w:cs="Arial"/>
          <w:bCs/>
          <w:sz w:val="22"/>
          <w:szCs w:val="22"/>
          <w:lang w:val="fr-FR"/>
        </w:rPr>
        <w:t xml:space="preserve">importance des initiatives de renforcement des capacités et du soutien du Secrétariat. Le </w:t>
      </w:r>
      <w:r>
        <w:rPr>
          <w:rFonts w:ascii="Arial" w:hAnsi="Arial" w:cs="Arial"/>
          <w:bCs/>
          <w:sz w:val="22"/>
          <w:szCs w:val="22"/>
          <w:lang w:val="fr-FR"/>
        </w:rPr>
        <w:t>R</w:t>
      </w:r>
      <w:r w:rsidRPr="00F816BF">
        <w:rPr>
          <w:rFonts w:ascii="Arial" w:hAnsi="Arial" w:cs="Arial"/>
          <w:bCs/>
          <w:sz w:val="22"/>
          <w:szCs w:val="22"/>
          <w:lang w:val="fr-FR"/>
        </w:rPr>
        <w:t>egistre des bonnes pratiques de sauvegarde</w:t>
      </w:r>
      <w:r>
        <w:rPr>
          <w:rFonts w:ascii="Arial" w:hAnsi="Arial" w:cs="Arial"/>
          <w:bCs/>
          <w:sz w:val="22"/>
          <w:szCs w:val="22"/>
          <w:lang w:val="fr-FR"/>
        </w:rPr>
        <w:t xml:space="preserve"> restait</w:t>
      </w:r>
      <w:r w:rsidRPr="00F816BF">
        <w:rPr>
          <w:rFonts w:ascii="Arial" w:hAnsi="Arial" w:cs="Arial"/>
          <w:bCs/>
          <w:sz w:val="22"/>
          <w:szCs w:val="22"/>
          <w:lang w:val="fr-FR"/>
        </w:rPr>
        <w:t xml:space="preserve"> un instrument sous-utilisé. La Norvège souhaiterait voir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établir </w:t>
      </w:r>
      <w:r w:rsidRPr="00F816BF">
        <w:rPr>
          <w:rFonts w:ascii="Arial" w:hAnsi="Arial" w:cs="Arial"/>
          <w:bCs/>
          <w:sz w:val="22"/>
          <w:szCs w:val="22"/>
          <w:lang w:val="fr-FR"/>
        </w:rPr>
        <w:t xml:space="preserve">un </w:t>
      </w:r>
      <w:r>
        <w:rPr>
          <w:rFonts w:ascii="Arial" w:hAnsi="Arial" w:cs="Arial"/>
          <w:bCs/>
          <w:sz w:val="22"/>
          <w:szCs w:val="22"/>
          <w:lang w:val="fr-FR"/>
        </w:rPr>
        <w:t xml:space="preserve">meilleur </w:t>
      </w:r>
      <w:r w:rsidRPr="00F816BF">
        <w:rPr>
          <w:rFonts w:ascii="Arial" w:hAnsi="Arial" w:cs="Arial"/>
          <w:bCs/>
          <w:sz w:val="22"/>
          <w:szCs w:val="22"/>
          <w:lang w:val="fr-FR"/>
        </w:rPr>
        <w:t>équilibre entre les différents mécanismes d</w:t>
      </w:r>
      <w:r w:rsidR="008E532B">
        <w:rPr>
          <w:rFonts w:ascii="Arial" w:hAnsi="Arial" w:cs="Arial"/>
          <w:bCs/>
          <w:sz w:val="22"/>
          <w:szCs w:val="22"/>
          <w:lang w:val="fr-FR"/>
        </w:rPr>
        <w:t>’</w:t>
      </w:r>
      <w:r w:rsidRPr="00F816BF">
        <w:rPr>
          <w:rFonts w:ascii="Arial" w:hAnsi="Arial" w:cs="Arial"/>
          <w:bCs/>
          <w:sz w:val="22"/>
          <w:szCs w:val="22"/>
          <w:lang w:val="fr-FR"/>
        </w:rPr>
        <w:t xml:space="preserve">inscription, faisant </w:t>
      </w:r>
      <w:r>
        <w:rPr>
          <w:rFonts w:ascii="Arial" w:hAnsi="Arial" w:cs="Arial"/>
          <w:bCs/>
          <w:sz w:val="22"/>
          <w:szCs w:val="22"/>
          <w:lang w:val="fr-FR"/>
        </w:rPr>
        <w:t xml:space="preserve">ainsi </w:t>
      </w:r>
      <w:r w:rsidRPr="00F816BF">
        <w:rPr>
          <w:rFonts w:ascii="Arial" w:hAnsi="Arial" w:cs="Arial"/>
          <w:bCs/>
          <w:sz w:val="22"/>
          <w:szCs w:val="22"/>
          <w:lang w:val="fr-FR"/>
        </w:rPr>
        <w:t>écho aux remarques formulées par les Pays-Bas selon lesquelles les mécanismes d</w:t>
      </w:r>
      <w:r w:rsidR="008E532B">
        <w:rPr>
          <w:rFonts w:ascii="Arial" w:hAnsi="Arial" w:cs="Arial"/>
          <w:bCs/>
          <w:sz w:val="22"/>
          <w:szCs w:val="22"/>
          <w:lang w:val="fr-FR"/>
        </w:rPr>
        <w:t>’</w:t>
      </w:r>
      <w:r w:rsidRPr="00F816BF">
        <w:rPr>
          <w:rFonts w:ascii="Arial" w:hAnsi="Arial" w:cs="Arial"/>
          <w:bCs/>
          <w:sz w:val="22"/>
          <w:szCs w:val="22"/>
          <w:lang w:val="fr-FR"/>
        </w:rPr>
        <w:t>inscription ne d</w:t>
      </w:r>
      <w:r>
        <w:rPr>
          <w:rFonts w:ascii="Arial" w:hAnsi="Arial" w:cs="Arial"/>
          <w:bCs/>
          <w:sz w:val="22"/>
          <w:szCs w:val="22"/>
          <w:lang w:val="fr-FR"/>
        </w:rPr>
        <w:t>evaient</w:t>
      </w:r>
      <w:r w:rsidRPr="00F816BF">
        <w:rPr>
          <w:rFonts w:ascii="Arial" w:hAnsi="Arial" w:cs="Arial"/>
          <w:bCs/>
          <w:sz w:val="22"/>
          <w:szCs w:val="22"/>
          <w:lang w:val="fr-FR"/>
        </w:rPr>
        <w:t xml:space="preserve"> pas être considérés comme une fin en soi, mais plutôt comme un instrument</w:t>
      </w:r>
      <w:r>
        <w:rPr>
          <w:rFonts w:ascii="Arial" w:hAnsi="Arial" w:cs="Arial"/>
          <w:bCs/>
          <w:sz w:val="22"/>
          <w:szCs w:val="22"/>
          <w:lang w:val="fr-FR"/>
        </w:rPr>
        <w:t>,</w:t>
      </w:r>
      <w:r w:rsidRPr="00F816BF">
        <w:rPr>
          <w:rFonts w:ascii="Arial" w:hAnsi="Arial" w:cs="Arial"/>
          <w:bCs/>
          <w:sz w:val="22"/>
          <w:szCs w:val="22"/>
          <w:lang w:val="fr-FR"/>
        </w:rPr>
        <w:t xml:space="preserve"> parmi d</w:t>
      </w:r>
      <w:r w:rsidR="008E532B">
        <w:rPr>
          <w:rFonts w:ascii="Arial" w:hAnsi="Arial" w:cs="Arial"/>
          <w:bCs/>
          <w:sz w:val="22"/>
          <w:szCs w:val="22"/>
          <w:lang w:val="fr-FR"/>
        </w:rPr>
        <w:t>’</w:t>
      </w:r>
      <w:r w:rsidRPr="00F816BF">
        <w:rPr>
          <w:rFonts w:ascii="Arial" w:hAnsi="Arial" w:cs="Arial"/>
          <w:bCs/>
          <w:sz w:val="22"/>
          <w:szCs w:val="22"/>
          <w:lang w:val="fr-FR"/>
        </w:rPr>
        <w:t>autres</w:t>
      </w:r>
      <w:r>
        <w:rPr>
          <w:rFonts w:ascii="Arial" w:hAnsi="Arial" w:cs="Arial"/>
          <w:bCs/>
          <w:sz w:val="22"/>
          <w:szCs w:val="22"/>
          <w:lang w:val="fr-FR"/>
        </w:rPr>
        <w:t>,</w:t>
      </w:r>
      <w:r w:rsidRPr="00F816BF">
        <w:rPr>
          <w:rFonts w:ascii="Arial" w:hAnsi="Arial" w:cs="Arial"/>
          <w:bCs/>
          <w:sz w:val="22"/>
          <w:szCs w:val="22"/>
          <w:lang w:val="fr-FR"/>
        </w:rPr>
        <w:t xml:space="preserve"> pour mettre en évidence et diffuser le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F816BF">
        <w:rPr>
          <w:rFonts w:ascii="Arial" w:hAnsi="Arial" w:cs="Arial"/>
          <w:bCs/>
          <w:sz w:val="22"/>
          <w:szCs w:val="22"/>
          <w:lang w:val="fr-FR"/>
        </w:rPr>
        <w:t xml:space="preserve">et sa transmission, sa sauvegarde et sa documentation continues. Il </w:t>
      </w:r>
      <w:r>
        <w:rPr>
          <w:rFonts w:ascii="Arial" w:hAnsi="Arial" w:cs="Arial"/>
          <w:bCs/>
          <w:sz w:val="22"/>
          <w:szCs w:val="22"/>
          <w:lang w:val="fr-FR"/>
        </w:rPr>
        <w:t>fallait</w:t>
      </w:r>
      <w:r w:rsidRPr="00F816BF">
        <w:rPr>
          <w:rFonts w:ascii="Arial" w:hAnsi="Arial" w:cs="Arial"/>
          <w:bCs/>
          <w:sz w:val="22"/>
          <w:szCs w:val="22"/>
          <w:lang w:val="fr-FR"/>
        </w:rPr>
        <w:t xml:space="preserve"> garder à l</w:t>
      </w:r>
      <w:r w:rsidR="008E532B">
        <w:rPr>
          <w:rFonts w:ascii="Arial" w:hAnsi="Arial" w:cs="Arial"/>
          <w:bCs/>
          <w:sz w:val="22"/>
          <w:szCs w:val="22"/>
          <w:lang w:val="fr-FR"/>
        </w:rPr>
        <w:t>’</w:t>
      </w:r>
      <w:r w:rsidRPr="00F816BF">
        <w:rPr>
          <w:rFonts w:ascii="Arial" w:hAnsi="Arial" w:cs="Arial"/>
          <w:bCs/>
          <w:sz w:val="22"/>
          <w:szCs w:val="22"/>
          <w:lang w:val="fr-FR"/>
        </w:rPr>
        <w:t>esprit la situation difficile du Secrétariat en matière de ressources. À moins que davantage de ressources ne soient allouées, l</w:t>
      </w:r>
      <w:r w:rsidR="008E532B">
        <w:rPr>
          <w:rFonts w:ascii="Arial" w:hAnsi="Arial" w:cs="Arial"/>
          <w:bCs/>
          <w:sz w:val="22"/>
          <w:szCs w:val="22"/>
          <w:lang w:val="fr-FR"/>
        </w:rPr>
        <w:t>’</w:t>
      </w:r>
      <w:r w:rsidRPr="00F816BF">
        <w:rPr>
          <w:rFonts w:ascii="Arial" w:hAnsi="Arial" w:cs="Arial"/>
          <w:bCs/>
          <w:sz w:val="22"/>
          <w:szCs w:val="22"/>
          <w:lang w:val="fr-FR"/>
        </w:rPr>
        <w:t>augmentation du nombre de candidatures annuelles serait tout simplement insoutenable. Il s</w:t>
      </w:r>
      <w:r w:rsidR="008E532B">
        <w:rPr>
          <w:rFonts w:ascii="Arial" w:hAnsi="Arial" w:cs="Arial"/>
          <w:bCs/>
          <w:sz w:val="22"/>
          <w:szCs w:val="22"/>
          <w:lang w:val="fr-FR"/>
        </w:rPr>
        <w:t>’</w:t>
      </w:r>
      <w:r w:rsidRPr="00F816BF">
        <w:rPr>
          <w:rFonts w:ascii="Arial" w:hAnsi="Arial" w:cs="Arial"/>
          <w:bCs/>
          <w:sz w:val="22"/>
          <w:szCs w:val="22"/>
          <w:lang w:val="fr-FR"/>
        </w:rPr>
        <w:t xml:space="preserve">agissait </w:t>
      </w:r>
      <w:r>
        <w:rPr>
          <w:rFonts w:ascii="Arial" w:hAnsi="Arial" w:cs="Arial"/>
          <w:bCs/>
          <w:sz w:val="22"/>
          <w:szCs w:val="22"/>
          <w:lang w:val="fr-FR"/>
        </w:rPr>
        <w:t xml:space="preserve">là </w:t>
      </w:r>
      <w:r w:rsidRPr="00F816BF">
        <w:rPr>
          <w:rFonts w:ascii="Arial" w:hAnsi="Arial" w:cs="Arial"/>
          <w:bCs/>
          <w:sz w:val="22"/>
          <w:szCs w:val="22"/>
          <w:lang w:val="fr-FR"/>
        </w:rPr>
        <w:t>d</w:t>
      </w:r>
      <w:r w:rsidR="008E532B">
        <w:rPr>
          <w:rFonts w:ascii="Arial" w:hAnsi="Arial" w:cs="Arial"/>
          <w:bCs/>
          <w:sz w:val="22"/>
          <w:szCs w:val="22"/>
          <w:lang w:val="fr-FR"/>
        </w:rPr>
        <w:t>’</w:t>
      </w:r>
      <w:r w:rsidRPr="00F816BF">
        <w:rPr>
          <w:rFonts w:ascii="Arial" w:hAnsi="Arial" w:cs="Arial"/>
          <w:bCs/>
          <w:sz w:val="22"/>
          <w:szCs w:val="22"/>
          <w:lang w:val="fr-FR"/>
        </w:rPr>
        <w:t>une question clé pour la viabilité et la pérennité de la Convention et pour sa légitimité. Elle sout</w:t>
      </w:r>
      <w:r>
        <w:rPr>
          <w:rFonts w:ascii="Arial" w:hAnsi="Arial" w:cs="Arial"/>
          <w:bCs/>
          <w:sz w:val="22"/>
          <w:szCs w:val="22"/>
          <w:lang w:val="fr-FR"/>
        </w:rPr>
        <w:t>enait</w:t>
      </w:r>
      <w:r w:rsidRPr="00F816BF">
        <w:rPr>
          <w:rFonts w:ascii="Arial" w:hAnsi="Arial" w:cs="Arial"/>
          <w:bCs/>
          <w:sz w:val="22"/>
          <w:szCs w:val="22"/>
          <w:lang w:val="fr-FR"/>
        </w:rPr>
        <w:t xml:space="preserve"> donc le projet de résolution et attend</w:t>
      </w:r>
      <w:r>
        <w:rPr>
          <w:rFonts w:ascii="Arial" w:hAnsi="Arial" w:cs="Arial"/>
          <w:bCs/>
          <w:sz w:val="22"/>
          <w:szCs w:val="22"/>
          <w:lang w:val="fr-FR"/>
        </w:rPr>
        <w:t>ait</w:t>
      </w:r>
      <w:r w:rsidRPr="00F816BF">
        <w:rPr>
          <w:rFonts w:ascii="Arial" w:hAnsi="Arial" w:cs="Arial"/>
          <w:bCs/>
          <w:sz w:val="22"/>
          <w:szCs w:val="22"/>
          <w:lang w:val="fr-FR"/>
        </w:rPr>
        <w:t xml:space="preserve"> avec impatience les futurs travaux sur l</w:t>
      </w:r>
      <w:r w:rsidR="008E532B">
        <w:rPr>
          <w:rFonts w:ascii="Arial" w:hAnsi="Arial" w:cs="Arial"/>
          <w:bCs/>
          <w:sz w:val="22"/>
          <w:szCs w:val="22"/>
          <w:lang w:val="fr-FR"/>
        </w:rPr>
        <w:t>’</w:t>
      </w:r>
      <w:r w:rsidRPr="00F816BF">
        <w:rPr>
          <w:rFonts w:ascii="Arial" w:hAnsi="Arial" w:cs="Arial"/>
          <w:bCs/>
          <w:sz w:val="22"/>
          <w:szCs w:val="22"/>
          <w:lang w:val="fr-FR"/>
        </w:rPr>
        <w:t>article 18</w:t>
      </w:r>
      <w:r>
        <w:rPr>
          <w:rFonts w:ascii="Arial" w:hAnsi="Arial" w:cs="Arial"/>
          <w:bCs/>
          <w:sz w:val="22"/>
          <w:szCs w:val="22"/>
          <w:lang w:val="fr-FR"/>
        </w:rPr>
        <w:t>,</w:t>
      </w:r>
      <w:r w:rsidRPr="00F816BF">
        <w:rPr>
          <w:rFonts w:ascii="Arial" w:hAnsi="Arial" w:cs="Arial"/>
          <w:bCs/>
          <w:sz w:val="22"/>
          <w:szCs w:val="22"/>
          <w:lang w:val="fr-FR"/>
        </w:rPr>
        <w:t xml:space="preserve"> financés par la Suède.</w:t>
      </w:r>
    </w:p>
    <w:p w14:paraId="6E8341E5" w14:textId="6284D41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B7E86">
        <w:rPr>
          <w:rFonts w:ascii="Arial" w:hAnsi="Arial" w:cs="Arial"/>
          <w:bCs/>
          <w:sz w:val="22"/>
          <w:szCs w:val="22"/>
          <w:lang w:val="fr-FR"/>
        </w:rPr>
        <w:t xml:space="preserve">La délégation des </w:t>
      </w:r>
      <w:r w:rsidRPr="006B7E86">
        <w:rPr>
          <w:rFonts w:ascii="Arial" w:hAnsi="Arial" w:cs="Arial"/>
          <w:b/>
          <w:sz w:val="22"/>
          <w:szCs w:val="22"/>
          <w:lang w:val="fr-FR"/>
        </w:rPr>
        <w:t>Philippines</w:t>
      </w:r>
      <w:r w:rsidRPr="006B7E86">
        <w:rPr>
          <w:rFonts w:ascii="Arial" w:hAnsi="Arial" w:cs="Arial"/>
          <w:bCs/>
          <w:sz w:val="22"/>
          <w:szCs w:val="22"/>
          <w:lang w:val="fr-FR"/>
        </w:rPr>
        <w:t xml:space="preserve"> a </w:t>
      </w:r>
      <w:r>
        <w:rPr>
          <w:rFonts w:ascii="Arial" w:hAnsi="Arial" w:cs="Arial"/>
          <w:bCs/>
          <w:sz w:val="22"/>
          <w:szCs w:val="22"/>
          <w:lang w:val="fr-FR"/>
        </w:rPr>
        <w:t>pris acte du</w:t>
      </w:r>
      <w:r w:rsidRPr="006B7E86">
        <w:rPr>
          <w:rFonts w:ascii="Arial" w:hAnsi="Arial" w:cs="Arial"/>
          <w:bCs/>
          <w:sz w:val="22"/>
          <w:szCs w:val="22"/>
          <w:lang w:val="fr-FR"/>
        </w:rPr>
        <w:t xml:space="preserve"> travail accompli pour produire les amendements, </w:t>
      </w:r>
      <w:r>
        <w:rPr>
          <w:rFonts w:ascii="Arial" w:hAnsi="Arial" w:cs="Arial"/>
          <w:bCs/>
          <w:sz w:val="22"/>
          <w:szCs w:val="22"/>
          <w:lang w:val="fr-FR"/>
        </w:rPr>
        <w:t xml:space="preserve">accueillant avec </w:t>
      </w:r>
      <w:r w:rsidRPr="006B7E86">
        <w:rPr>
          <w:rFonts w:ascii="Arial" w:hAnsi="Arial" w:cs="Arial"/>
          <w:bCs/>
          <w:sz w:val="22"/>
          <w:szCs w:val="22"/>
          <w:lang w:val="fr-FR"/>
        </w:rPr>
        <w:t>satisfaction</w:t>
      </w:r>
      <w:r>
        <w:rPr>
          <w:rFonts w:ascii="Arial" w:hAnsi="Arial" w:cs="Arial"/>
          <w:bCs/>
          <w:sz w:val="22"/>
          <w:szCs w:val="22"/>
          <w:lang w:val="fr-FR"/>
        </w:rPr>
        <w:t xml:space="preserve"> les </w:t>
      </w:r>
      <w:r w:rsidRPr="006B7E86">
        <w:rPr>
          <w:rFonts w:ascii="Arial" w:hAnsi="Arial" w:cs="Arial"/>
          <w:bCs/>
          <w:sz w:val="22"/>
          <w:szCs w:val="22"/>
          <w:lang w:val="fr-FR"/>
        </w:rPr>
        <w:t>amendemen</w:t>
      </w:r>
      <w:r>
        <w:rPr>
          <w:rFonts w:ascii="Arial" w:hAnsi="Arial" w:cs="Arial"/>
          <w:bCs/>
          <w:sz w:val="22"/>
          <w:szCs w:val="22"/>
          <w:lang w:val="fr-FR"/>
        </w:rPr>
        <w:t>ts</w:t>
      </w:r>
      <w:r w:rsidRPr="006B7E86">
        <w:rPr>
          <w:rFonts w:ascii="Arial" w:hAnsi="Arial" w:cs="Arial"/>
          <w:bCs/>
          <w:sz w:val="22"/>
          <w:szCs w:val="22"/>
          <w:lang w:val="fr-FR"/>
        </w:rPr>
        <w:t xml:space="preserve"> qui établiss</w:t>
      </w:r>
      <w:r>
        <w:rPr>
          <w:rFonts w:ascii="Arial" w:hAnsi="Arial" w:cs="Arial"/>
          <w:bCs/>
          <w:sz w:val="22"/>
          <w:szCs w:val="22"/>
          <w:lang w:val="fr-FR"/>
        </w:rPr>
        <w:t>ai</w:t>
      </w:r>
      <w:r w:rsidRPr="006B7E86">
        <w:rPr>
          <w:rFonts w:ascii="Arial" w:hAnsi="Arial" w:cs="Arial"/>
          <w:bCs/>
          <w:sz w:val="22"/>
          <w:szCs w:val="22"/>
          <w:lang w:val="fr-FR"/>
        </w:rPr>
        <w:t>ent un processus clair pour transférer des éléments d</w:t>
      </w:r>
      <w:r w:rsidR="008E532B">
        <w:rPr>
          <w:rFonts w:ascii="Arial" w:hAnsi="Arial" w:cs="Arial"/>
          <w:bCs/>
          <w:sz w:val="22"/>
          <w:szCs w:val="22"/>
          <w:lang w:val="fr-FR"/>
        </w:rPr>
        <w:t>’</w:t>
      </w:r>
      <w:r w:rsidRPr="006B7E86">
        <w:rPr>
          <w:rFonts w:ascii="Arial" w:hAnsi="Arial" w:cs="Arial"/>
          <w:bCs/>
          <w:sz w:val="22"/>
          <w:szCs w:val="22"/>
          <w:lang w:val="fr-FR"/>
        </w:rPr>
        <w:t xml:space="preserve">une </w:t>
      </w:r>
      <w:r>
        <w:rPr>
          <w:rFonts w:ascii="Arial" w:hAnsi="Arial" w:cs="Arial"/>
          <w:bCs/>
          <w:sz w:val="22"/>
          <w:szCs w:val="22"/>
          <w:lang w:val="fr-FR"/>
        </w:rPr>
        <w:t>l</w:t>
      </w:r>
      <w:r w:rsidRPr="006B7E86">
        <w:rPr>
          <w:rFonts w:ascii="Arial" w:hAnsi="Arial" w:cs="Arial"/>
          <w:bCs/>
          <w:sz w:val="22"/>
          <w:szCs w:val="22"/>
          <w:lang w:val="fr-FR"/>
        </w:rPr>
        <w:t xml:space="preserve">iste à une autre ainsi que pour retirer un élément de la </w:t>
      </w:r>
      <w:r>
        <w:rPr>
          <w:rFonts w:ascii="Arial" w:hAnsi="Arial" w:cs="Arial"/>
          <w:bCs/>
          <w:sz w:val="22"/>
          <w:szCs w:val="22"/>
          <w:lang w:val="fr-FR"/>
        </w:rPr>
        <w:t>L</w:t>
      </w:r>
      <w:r w:rsidRPr="006B7E86">
        <w:rPr>
          <w:rFonts w:ascii="Arial" w:hAnsi="Arial" w:cs="Arial"/>
          <w:bCs/>
          <w:sz w:val="22"/>
          <w:szCs w:val="22"/>
          <w:lang w:val="fr-FR"/>
        </w:rPr>
        <w:t>iste représentative. Elle</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est fait l</w:t>
      </w:r>
      <w:r w:rsidR="008E532B">
        <w:rPr>
          <w:rFonts w:ascii="Arial" w:hAnsi="Arial" w:cs="Arial"/>
          <w:bCs/>
          <w:sz w:val="22"/>
          <w:szCs w:val="22"/>
          <w:lang w:val="fr-FR"/>
        </w:rPr>
        <w:t>’</w:t>
      </w:r>
      <w:r>
        <w:rPr>
          <w:rFonts w:ascii="Arial" w:hAnsi="Arial" w:cs="Arial"/>
          <w:bCs/>
          <w:sz w:val="22"/>
          <w:szCs w:val="22"/>
          <w:lang w:val="fr-FR"/>
        </w:rPr>
        <w:t>écho du</w:t>
      </w:r>
      <w:r w:rsidRPr="006B7E86">
        <w:rPr>
          <w:rFonts w:ascii="Arial" w:hAnsi="Arial" w:cs="Arial"/>
          <w:bCs/>
          <w:sz w:val="22"/>
          <w:szCs w:val="22"/>
          <w:lang w:val="fr-FR"/>
        </w:rPr>
        <w:t xml:space="preserve"> sentiment exprimé par le Danemark, notamment en ce qui concerne la garantie du consentement libre, préalable et éclairé des communautés, et elle attend</w:t>
      </w:r>
      <w:r>
        <w:rPr>
          <w:rFonts w:ascii="Arial" w:hAnsi="Arial" w:cs="Arial"/>
          <w:bCs/>
          <w:sz w:val="22"/>
          <w:szCs w:val="22"/>
          <w:lang w:val="fr-FR"/>
        </w:rPr>
        <w:t>ait</w:t>
      </w:r>
      <w:r w:rsidRPr="006B7E86">
        <w:rPr>
          <w:rFonts w:ascii="Arial" w:hAnsi="Arial" w:cs="Arial"/>
          <w:bCs/>
          <w:sz w:val="22"/>
          <w:szCs w:val="22"/>
          <w:lang w:val="fr-FR"/>
        </w:rPr>
        <w:t xml:space="preserve"> avec impatience le prochain groupe de travail sur l</w:t>
      </w:r>
      <w:r w:rsidR="008E532B">
        <w:rPr>
          <w:rFonts w:ascii="Arial" w:hAnsi="Arial" w:cs="Arial"/>
          <w:bCs/>
          <w:sz w:val="22"/>
          <w:szCs w:val="22"/>
          <w:lang w:val="fr-FR"/>
        </w:rPr>
        <w:t>’</w:t>
      </w:r>
      <w:r w:rsidRPr="006B7E86">
        <w:rPr>
          <w:rFonts w:ascii="Arial" w:hAnsi="Arial" w:cs="Arial"/>
          <w:bCs/>
          <w:sz w:val="22"/>
          <w:szCs w:val="22"/>
          <w:lang w:val="fr-FR"/>
        </w:rPr>
        <w:t>article 18 et ses résultats fructueux. Elle espér</w:t>
      </w:r>
      <w:r>
        <w:rPr>
          <w:rFonts w:ascii="Arial" w:hAnsi="Arial" w:cs="Arial"/>
          <w:bCs/>
          <w:sz w:val="22"/>
          <w:szCs w:val="22"/>
          <w:lang w:val="fr-FR"/>
        </w:rPr>
        <w:t>ait</w:t>
      </w:r>
      <w:r w:rsidRPr="006B7E86">
        <w:rPr>
          <w:rFonts w:ascii="Arial" w:hAnsi="Arial" w:cs="Arial"/>
          <w:bCs/>
          <w:sz w:val="22"/>
          <w:szCs w:val="22"/>
          <w:lang w:val="fr-FR"/>
        </w:rPr>
        <w:t xml:space="preserve"> l</w:t>
      </w:r>
      <w:r w:rsidR="008E532B">
        <w:rPr>
          <w:rFonts w:ascii="Arial" w:hAnsi="Arial" w:cs="Arial"/>
          <w:bCs/>
          <w:sz w:val="22"/>
          <w:szCs w:val="22"/>
          <w:lang w:val="fr-FR"/>
        </w:rPr>
        <w:t>’</w:t>
      </w:r>
      <w:r w:rsidRPr="006B7E86">
        <w:rPr>
          <w:rFonts w:ascii="Arial" w:hAnsi="Arial" w:cs="Arial"/>
          <w:bCs/>
          <w:sz w:val="22"/>
          <w:szCs w:val="22"/>
          <w:lang w:val="fr-FR"/>
        </w:rPr>
        <w:t>adoption du projet de résolution dans son ensemble.</w:t>
      </w:r>
    </w:p>
    <w:p w14:paraId="3C83DA77" w14:textId="50EBE01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B7E86">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6B7E86">
        <w:rPr>
          <w:rFonts w:ascii="Arial" w:hAnsi="Arial" w:cs="Arial"/>
          <w:b/>
          <w:sz w:val="22"/>
          <w:szCs w:val="22"/>
          <w:lang w:val="fr-FR"/>
        </w:rPr>
        <w:t xml:space="preserve">Éthiopie </w:t>
      </w:r>
      <w:r w:rsidRPr="006B7E86">
        <w:rPr>
          <w:rFonts w:ascii="Arial" w:hAnsi="Arial" w:cs="Arial"/>
          <w:bCs/>
          <w:sz w:val="22"/>
          <w:szCs w:val="22"/>
          <w:lang w:val="fr-FR"/>
        </w:rPr>
        <w:t xml:space="preserve">a exprimé sa gratitude au Japon, au Secrétariat et à tous ceux qui </w:t>
      </w:r>
      <w:r>
        <w:rPr>
          <w:rFonts w:ascii="Arial" w:hAnsi="Arial" w:cs="Arial"/>
          <w:bCs/>
          <w:sz w:val="22"/>
          <w:szCs w:val="22"/>
          <w:lang w:val="fr-FR"/>
        </w:rPr>
        <w:t>avaient</w:t>
      </w:r>
      <w:r w:rsidRPr="006B7E86">
        <w:rPr>
          <w:rFonts w:ascii="Arial" w:hAnsi="Arial" w:cs="Arial"/>
          <w:bCs/>
          <w:sz w:val="22"/>
          <w:szCs w:val="22"/>
          <w:lang w:val="fr-FR"/>
        </w:rPr>
        <w:t xml:space="preserve"> participé à cette tâche méticuleuse d</w:t>
      </w:r>
      <w:r w:rsidR="008E532B">
        <w:rPr>
          <w:rFonts w:ascii="Arial" w:hAnsi="Arial" w:cs="Arial"/>
          <w:bCs/>
          <w:sz w:val="22"/>
          <w:szCs w:val="22"/>
          <w:lang w:val="fr-FR"/>
        </w:rPr>
        <w:t>’</w:t>
      </w:r>
      <w:r w:rsidRPr="006B7E86">
        <w:rPr>
          <w:rFonts w:ascii="Arial" w:hAnsi="Arial" w:cs="Arial"/>
          <w:bCs/>
          <w:sz w:val="22"/>
          <w:szCs w:val="22"/>
          <w:lang w:val="fr-FR"/>
        </w:rPr>
        <w:t>amendement et de révision des mécanismes d</w:t>
      </w:r>
      <w:r w:rsidR="008E532B">
        <w:rPr>
          <w:rFonts w:ascii="Arial" w:hAnsi="Arial" w:cs="Arial"/>
          <w:bCs/>
          <w:sz w:val="22"/>
          <w:szCs w:val="22"/>
          <w:lang w:val="fr-FR"/>
        </w:rPr>
        <w:t>’</w:t>
      </w:r>
      <w:r w:rsidRPr="006B7E86">
        <w:rPr>
          <w:rFonts w:ascii="Arial" w:hAnsi="Arial" w:cs="Arial"/>
          <w:bCs/>
          <w:sz w:val="22"/>
          <w:szCs w:val="22"/>
          <w:lang w:val="fr-FR"/>
        </w:rPr>
        <w:t xml:space="preserve">inscription et des </w:t>
      </w:r>
      <w:r>
        <w:rPr>
          <w:rFonts w:ascii="Arial" w:hAnsi="Arial" w:cs="Arial"/>
          <w:bCs/>
          <w:sz w:val="22"/>
          <w:szCs w:val="22"/>
          <w:lang w:val="fr-FR"/>
        </w:rPr>
        <w:t>D</w:t>
      </w:r>
      <w:r w:rsidRPr="006B7E86">
        <w:rPr>
          <w:rFonts w:ascii="Arial" w:hAnsi="Arial" w:cs="Arial"/>
          <w:bCs/>
          <w:sz w:val="22"/>
          <w:szCs w:val="22"/>
          <w:lang w:val="fr-FR"/>
        </w:rPr>
        <w:t>irectives opérationnelles. La délégation s</w:t>
      </w:r>
      <w:r w:rsidR="008E532B">
        <w:rPr>
          <w:rFonts w:ascii="Arial" w:hAnsi="Arial" w:cs="Arial"/>
          <w:bCs/>
          <w:sz w:val="22"/>
          <w:szCs w:val="22"/>
          <w:lang w:val="fr-FR"/>
        </w:rPr>
        <w:t>’</w:t>
      </w:r>
      <w:r w:rsidRPr="006B7E86">
        <w:rPr>
          <w:rFonts w:ascii="Arial" w:hAnsi="Arial" w:cs="Arial"/>
          <w:bCs/>
          <w:sz w:val="22"/>
          <w:szCs w:val="22"/>
          <w:lang w:val="fr-FR"/>
        </w:rPr>
        <w:t>est associée aux remarques f</w:t>
      </w:r>
      <w:r>
        <w:rPr>
          <w:rFonts w:ascii="Arial" w:hAnsi="Arial" w:cs="Arial"/>
          <w:bCs/>
          <w:sz w:val="22"/>
          <w:szCs w:val="22"/>
          <w:lang w:val="fr-FR"/>
        </w:rPr>
        <w:t>ormulées</w:t>
      </w:r>
      <w:r w:rsidRPr="006B7E86">
        <w:rPr>
          <w:rFonts w:ascii="Arial" w:hAnsi="Arial" w:cs="Arial"/>
          <w:bCs/>
          <w:sz w:val="22"/>
          <w:szCs w:val="22"/>
          <w:lang w:val="fr-FR"/>
        </w:rPr>
        <w:t xml:space="preserve"> par Madagascar sur le fait de faire de l</w:t>
      </w:r>
      <w:r w:rsidR="008E532B">
        <w:rPr>
          <w:rFonts w:ascii="Arial" w:hAnsi="Arial" w:cs="Arial"/>
          <w:bCs/>
          <w:sz w:val="22"/>
          <w:szCs w:val="22"/>
          <w:lang w:val="fr-FR"/>
        </w:rPr>
        <w:t>’</w:t>
      </w:r>
      <w:r w:rsidRPr="006B7E86">
        <w:rPr>
          <w:rFonts w:ascii="Arial" w:hAnsi="Arial" w:cs="Arial"/>
          <w:bCs/>
          <w:sz w:val="22"/>
          <w:szCs w:val="22"/>
          <w:lang w:val="fr-FR"/>
        </w:rPr>
        <w:t>Afrique une priorité. En tant que nouveau membre du Comité et État partie, l</w:t>
      </w:r>
      <w:r w:rsidR="008E532B">
        <w:rPr>
          <w:rFonts w:ascii="Arial" w:hAnsi="Arial" w:cs="Arial"/>
          <w:bCs/>
          <w:sz w:val="22"/>
          <w:szCs w:val="22"/>
          <w:lang w:val="fr-FR"/>
        </w:rPr>
        <w:t>’</w:t>
      </w:r>
      <w:r w:rsidRPr="006B7E86">
        <w:rPr>
          <w:rFonts w:ascii="Arial" w:hAnsi="Arial" w:cs="Arial"/>
          <w:bCs/>
          <w:sz w:val="22"/>
          <w:szCs w:val="22"/>
          <w:lang w:val="fr-FR"/>
        </w:rPr>
        <w:t>Éthiopie approuv</w:t>
      </w:r>
      <w:r>
        <w:rPr>
          <w:rFonts w:ascii="Arial" w:hAnsi="Arial" w:cs="Arial"/>
          <w:bCs/>
          <w:sz w:val="22"/>
          <w:szCs w:val="22"/>
          <w:lang w:val="fr-FR"/>
        </w:rPr>
        <w:t>ait</w:t>
      </w:r>
      <w:r w:rsidRPr="006B7E86">
        <w:rPr>
          <w:rFonts w:ascii="Arial" w:hAnsi="Arial" w:cs="Arial"/>
          <w:bCs/>
          <w:sz w:val="22"/>
          <w:szCs w:val="22"/>
          <w:lang w:val="fr-FR"/>
        </w:rPr>
        <w:t xml:space="preserve"> le projet de résolution et s</w:t>
      </w:r>
      <w:r w:rsidR="008E532B">
        <w:rPr>
          <w:rFonts w:ascii="Arial" w:hAnsi="Arial" w:cs="Arial"/>
          <w:bCs/>
          <w:sz w:val="22"/>
          <w:szCs w:val="22"/>
          <w:lang w:val="fr-FR"/>
        </w:rPr>
        <w:t>’</w:t>
      </w:r>
      <w:r w:rsidRPr="006B7E86">
        <w:rPr>
          <w:rFonts w:ascii="Arial" w:hAnsi="Arial" w:cs="Arial"/>
          <w:bCs/>
          <w:sz w:val="22"/>
          <w:szCs w:val="22"/>
          <w:lang w:val="fr-FR"/>
        </w:rPr>
        <w:t>engag</w:t>
      </w:r>
      <w:r>
        <w:rPr>
          <w:rFonts w:ascii="Arial" w:hAnsi="Arial" w:cs="Arial"/>
          <w:bCs/>
          <w:sz w:val="22"/>
          <w:szCs w:val="22"/>
          <w:lang w:val="fr-FR"/>
        </w:rPr>
        <w:t>eait</w:t>
      </w:r>
      <w:r w:rsidRPr="006B7E86">
        <w:rPr>
          <w:rFonts w:ascii="Arial" w:hAnsi="Arial" w:cs="Arial"/>
          <w:bCs/>
          <w:sz w:val="22"/>
          <w:szCs w:val="22"/>
          <w:lang w:val="fr-FR"/>
        </w:rPr>
        <w:t xml:space="preserve"> à mettre en œuvre</w:t>
      </w:r>
      <w:r>
        <w:rPr>
          <w:rFonts w:ascii="Arial" w:hAnsi="Arial" w:cs="Arial"/>
          <w:bCs/>
          <w:sz w:val="22"/>
          <w:szCs w:val="22"/>
          <w:lang w:val="fr-FR"/>
        </w:rPr>
        <w:t xml:space="preserve"> les </w:t>
      </w:r>
      <w:r w:rsidRPr="0085087B">
        <w:rPr>
          <w:rFonts w:ascii="Arial" w:hAnsi="Arial" w:cs="Arial"/>
          <w:bCs/>
          <w:sz w:val="22"/>
          <w:szCs w:val="22"/>
          <w:lang w:val="fr-FR"/>
        </w:rPr>
        <w:t>modificatio</w:t>
      </w:r>
      <w:r>
        <w:rPr>
          <w:rFonts w:ascii="Arial" w:hAnsi="Arial" w:cs="Arial"/>
          <w:bCs/>
          <w:sz w:val="22"/>
          <w:szCs w:val="22"/>
          <w:lang w:val="fr-FR"/>
        </w:rPr>
        <w:t>ns</w:t>
      </w:r>
      <w:r w:rsidRPr="006B7E86">
        <w:rPr>
          <w:rFonts w:ascii="Arial" w:hAnsi="Arial" w:cs="Arial"/>
          <w:bCs/>
          <w:sz w:val="22"/>
          <w:szCs w:val="22"/>
          <w:lang w:val="fr-FR"/>
        </w:rPr>
        <w:t>.</w:t>
      </w:r>
    </w:p>
    <w:p w14:paraId="2960CCD7" w14:textId="61B2CA3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34FA6">
        <w:rPr>
          <w:rFonts w:ascii="Arial" w:hAnsi="Arial" w:cs="Arial"/>
          <w:bCs/>
          <w:sz w:val="22"/>
          <w:szCs w:val="22"/>
          <w:lang w:val="fr-FR"/>
        </w:rPr>
        <w:t xml:space="preserve">La délégation </w:t>
      </w:r>
      <w:r>
        <w:rPr>
          <w:rFonts w:ascii="Arial" w:hAnsi="Arial" w:cs="Arial"/>
          <w:bCs/>
          <w:sz w:val="22"/>
          <w:szCs w:val="22"/>
          <w:lang w:val="fr-FR"/>
        </w:rPr>
        <w:t xml:space="preserve">de la </w:t>
      </w:r>
      <w:r w:rsidRPr="00A34FA6">
        <w:rPr>
          <w:rFonts w:ascii="Arial" w:hAnsi="Arial" w:cs="Arial"/>
          <w:b/>
          <w:sz w:val="22"/>
          <w:szCs w:val="22"/>
          <w:lang w:val="fr-FR"/>
        </w:rPr>
        <w:t>Suisse</w:t>
      </w:r>
      <w:r w:rsidRPr="00A34FA6">
        <w:rPr>
          <w:rFonts w:ascii="Arial" w:hAnsi="Arial" w:cs="Arial"/>
          <w:bCs/>
          <w:sz w:val="22"/>
          <w:szCs w:val="22"/>
          <w:lang w:val="fr-FR"/>
        </w:rPr>
        <w:t xml:space="preserve"> a remercié le groupe de travail et le Secrétariat pour l</w:t>
      </w:r>
      <w:r w:rsidR="008E532B">
        <w:rPr>
          <w:rFonts w:ascii="Arial" w:hAnsi="Arial" w:cs="Arial"/>
          <w:bCs/>
          <w:sz w:val="22"/>
          <w:szCs w:val="22"/>
          <w:lang w:val="fr-FR"/>
        </w:rPr>
        <w:t>’</w:t>
      </w:r>
      <w:r w:rsidRPr="00A34FA6">
        <w:rPr>
          <w:rFonts w:ascii="Arial" w:hAnsi="Arial" w:cs="Arial"/>
          <w:bCs/>
          <w:sz w:val="22"/>
          <w:szCs w:val="22"/>
          <w:lang w:val="fr-FR"/>
        </w:rPr>
        <w:t>excellent travail réalisé dans le cadre des réflexions sur les mécanismes d</w:t>
      </w:r>
      <w:r w:rsidR="008E532B">
        <w:rPr>
          <w:rFonts w:ascii="Arial" w:hAnsi="Arial" w:cs="Arial"/>
          <w:bCs/>
          <w:sz w:val="22"/>
          <w:szCs w:val="22"/>
          <w:lang w:val="fr-FR"/>
        </w:rPr>
        <w:t>’</w:t>
      </w:r>
      <w:r w:rsidRPr="00A34FA6">
        <w:rPr>
          <w:rFonts w:ascii="Arial" w:hAnsi="Arial" w:cs="Arial"/>
          <w:bCs/>
          <w:sz w:val="22"/>
          <w:szCs w:val="22"/>
          <w:lang w:val="fr-FR"/>
        </w:rPr>
        <w:t>inscription de la Convention. Elle a réitéré ses remerciements au Gouvernement du Japon et</w:t>
      </w:r>
      <w:r>
        <w:rPr>
          <w:rFonts w:ascii="Arial" w:hAnsi="Arial" w:cs="Arial"/>
          <w:bCs/>
          <w:sz w:val="22"/>
          <w:szCs w:val="22"/>
          <w:lang w:val="fr-FR"/>
        </w:rPr>
        <w:t>,</w:t>
      </w:r>
      <w:r w:rsidRPr="00A34FA6">
        <w:rPr>
          <w:rFonts w:ascii="Arial" w:hAnsi="Arial" w:cs="Arial"/>
          <w:bCs/>
          <w:sz w:val="22"/>
          <w:szCs w:val="22"/>
          <w:lang w:val="fr-FR"/>
        </w:rPr>
        <w:t xml:space="preserve"> plus particulièrement</w:t>
      </w:r>
      <w:r>
        <w:rPr>
          <w:rFonts w:ascii="Arial" w:hAnsi="Arial" w:cs="Arial"/>
          <w:bCs/>
          <w:sz w:val="22"/>
          <w:szCs w:val="22"/>
          <w:lang w:val="fr-FR"/>
        </w:rPr>
        <w:t>,</w:t>
      </w:r>
      <w:r w:rsidRPr="00A34FA6">
        <w:rPr>
          <w:rFonts w:ascii="Arial" w:hAnsi="Arial" w:cs="Arial"/>
          <w:bCs/>
          <w:sz w:val="22"/>
          <w:szCs w:val="22"/>
          <w:lang w:val="fr-FR"/>
        </w:rPr>
        <w:t xml:space="preserve"> à l</w:t>
      </w:r>
      <w:r w:rsidR="008E532B">
        <w:rPr>
          <w:rFonts w:ascii="Arial" w:hAnsi="Arial" w:cs="Arial"/>
          <w:bCs/>
          <w:sz w:val="22"/>
          <w:szCs w:val="22"/>
          <w:lang w:val="fr-FR"/>
        </w:rPr>
        <w:t>’</w:t>
      </w:r>
      <w:r>
        <w:rPr>
          <w:rFonts w:ascii="Arial" w:hAnsi="Arial" w:cs="Arial"/>
          <w:bCs/>
          <w:sz w:val="22"/>
          <w:szCs w:val="22"/>
          <w:lang w:val="fr-FR"/>
        </w:rPr>
        <w:t>a</w:t>
      </w:r>
      <w:r w:rsidRPr="00A34FA6">
        <w:rPr>
          <w:rFonts w:ascii="Arial" w:hAnsi="Arial" w:cs="Arial"/>
          <w:bCs/>
          <w:sz w:val="22"/>
          <w:szCs w:val="22"/>
          <w:lang w:val="fr-FR"/>
        </w:rPr>
        <w:t xml:space="preserve">mbassadeur </w:t>
      </w:r>
      <w:proofErr w:type="spellStart"/>
      <w:r w:rsidRPr="00A34FA6">
        <w:rPr>
          <w:rFonts w:ascii="Arial" w:hAnsi="Arial" w:cs="Arial"/>
          <w:bCs/>
          <w:sz w:val="22"/>
          <w:szCs w:val="22"/>
          <w:lang w:val="fr-FR"/>
        </w:rPr>
        <w:t>Oike</w:t>
      </w:r>
      <w:proofErr w:type="spellEnd"/>
      <w:r w:rsidRPr="00A34FA6">
        <w:rPr>
          <w:rFonts w:ascii="Arial" w:hAnsi="Arial" w:cs="Arial"/>
          <w:bCs/>
          <w:sz w:val="22"/>
          <w:szCs w:val="22"/>
          <w:lang w:val="fr-FR"/>
        </w:rPr>
        <w:t xml:space="preserve"> qui a</w:t>
      </w:r>
      <w:r>
        <w:rPr>
          <w:rFonts w:ascii="Arial" w:hAnsi="Arial" w:cs="Arial"/>
          <w:bCs/>
          <w:sz w:val="22"/>
          <w:szCs w:val="22"/>
          <w:lang w:val="fr-FR"/>
        </w:rPr>
        <w:t>vait</w:t>
      </w:r>
      <w:r w:rsidRPr="00A34FA6">
        <w:rPr>
          <w:rFonts w:ascii="Arial" w:hAnsi="Arial" w:cs="Arial"/>
          <w:bCs/>
          <w:sz w:val="22"/>
          <w:szCs w:val="22"/>
          <w:lang w:val="fr-FR"/>
        </w:rPr>
        <w:t xml:space="preserve"> </w:t>
      </w:r>
      <w:r>
        <w:rPr>
          <w:rFonts w:ascii="Arial" w:hAnsi="Arial" w:cs="Arial"/>
          <w:bCs/>
          <w:sz w:val="22"/>
          <w:szCs w:val="22"/>
          <w:lang w:val="fr-FR"/>
        </w:rPr>
        <w:t xml:space="preserve">accordé </w:t>
      </w:r>
      <w:r w:rsidRPr="00A34FA6">
        <w:rPr>
          <w:rFonts w:ascii="Arial" w:hAnsi="Arial" w:cs="Arial"/>
          <w:bCs/>
          <w:sz w:val="22"/>
          <w:szCs w:val="22"/>
          <w:lang w:val="fr-FR"/>
        </w:rPr>
        <w:t>un soutien précieux à cet important processus de réforme. La délégation a souligné la qualité de la démarche qui a</w:t>
      </w:r>
      <w:r>
        <w:rPr>
          <w:rFonts w:ascii="Arial" w:hAnsi="Arial" w:cs="Arial"/>
          <w:bCs/>
          <w:sz w:val="22"/>
          <w:szCs w:val="22"/>
          <w:lang w:val="fr-FR"/>
        </w:rPr>
        <w:t>vait</w:t>
      </w:r>
      <w:r w:rsidRPr="00A34FA6">
        <w:rPr>
          <w:rFonts w:ascii="Arial" w:hAnsi="Arial" w:cs="Arial"/>
          <w:bCs/>
          <w:sz w:val="22"/>
          <w:szCs w:val="22"/>
          <w:lang w:val="fr-FR"/>
        </w:rPr>
        <w:t xml:space="preserve"> </w:t>
      </w:r>
      <w:r>
        <w:rPr>
          <w:rFonts w:ascii="Arial" w:hAnsi="Arial" w:cs="Arial"/>
          <w:bCs/>
          <w:sz w:val="22"/>
          <w:szCs w:val="22"/>
          <w:lang w:val="fr-FR"/>
        </w:rPr>
        <w:t xml:space="preserve">impliqué </w:t>
      </w:r>
      <w:r w:rsidRPr="00A34FA6">
        <w:rPr>
          <w:rFonts w:ascii="Arial" w:hAnsi="Arial" w:cs="Arial"/>
          <w:bCs/>
          <w:sz w:val="22"/>
          <w:szCs w:val="22"/>
          <w:lang w:val="fr-FR"/>
        </w:rPr>
        <w:t>progressivement les experts</w:t>
      </w:r>
      <w:r>
        <w:rPr>
          <w:rFonts w:ascii="Arial" w:hAnsi="Arial" w:cs="Arial"/>
          <w:bCs/>
          <w:sz w:val="22"/>
          <w:szCs w:val="22"/>
          <w:lang w:val="fr-FR"/>
        </w:rPr>
        <w:t>,</w:t>
      </w:r>
      <w:r w:rsidRPr="00A34FA6">
        <w:rPr>
          <w:rFonts w:ascii="Arial" w:hAnsi="Arial" w:cs="Arial"/>
          <w:bCs/>
          <w:sz w:val="22"/>
          <w:szCs w:val="22"/>
          <w:lang w:val="fr-FR"/>
        </w:rPr>
        <w:t xml:space="preserve"> puis l</w:t>
      </w:r>
      <w:r w:rsidR="008E532B">
        <w:rPr>
          <w:rFonts w:ascii="Arial" w:hAnsi="Arial" w:cs="Arial"/>
          <w:bCs/>
          <w:sz w:val="22"/>
          <w:szCs w:val="22"/>
          <w:lang w:val="fr-FR"/>
        </w:rPr>
        <w:t>’</w:t>
      </w:r>
      <w:r w:rsidRPr="00A34FA6">
        <w:rPr>
          <w:rFonts w:ascii="Arial" w:hAnsi="Arial" w:cs="Arial"/>
          <w:bCs/>
          <w:sz w:val="22"/>
          <w:szCs w:val="22"/>
          <w:lang w:val="fr-FR"/>
        </w:rPr>
        <w:t xml:space="preserve">ensemble des </w:t>
      </w:r>
      <w:r>
        <w:rPr>
          <w:rFonts w:ascii="Arial" w:hAnsi="Arial" w:cs="Arial"/>
          <w:bCs/>
          <w:sz w:val="22"/>
          <w:szCs w:val="22"/>
          <w:lang w:val="fr-FR"/>
        </w:rPr>
        <w:t>É</w:t>
      </w:r>
      <w:r w:rsidRPr="00A34FA6">
        <w:rPr>
          <w:rFonts w:ascii="Arial" w:hAnsi="Arial" w:cs="Arial"/>
          <w:bCs/>
          <w:sz w:val="22"/>
          <w:szCs w:val="22"/>
          <w:lang w:val="fr-FR"/>
        </w:rPr>
        <w:t xml:space="preserve">tats parties </w:t>
      </w:r>
      <w:r>
        <w:rPr>
          <w:rFonts w:ascii="Arial" w:hAnsi="Arial" w:cs="Arial"/>
          <w:bCs/>
          <w:sz w:val="22"/>
          <w:szCs w:val="22"/>
          <w:lang w:val="fr-FR"/>
        </w:rPr>
        <w:t>afin de</w:t>
      </w:r>
      <w:r w:rsidRPr="00A34FA6">
        <w:rPr>
          <w:rFonts w:ascii="Arial" w:hAnsi="Arial" w:cs="Arial"/>
          <w:bCs/>
          <w:sz w:val="22"/>
          <w:szCs w:val="22"/>
          <w:lang w:val="fr-FR"/>
        </w:rPr>
        <w:t xml:space="preserve"> permettre une </w:t>
      </w:r>
      <w:r>
        <w:rPr>
          <w:rFonts w:ascii="Arial" w:hAnsi="Arial" w:cs="Arial"/>
          <w:bCs/>
          <w:sz w:val="22"/>
          <w:szCs w:val="22"/>
          <w:lang w:val="fr-FR"/>
        </w:rPr>
        <w:t>vaste</w:t>
      </w:r>
      <w:r w:rsidRPr="00A34FA6">
        <w:rPr>
          <w:rFonts w:ascii="Arial" w:hAnsi="Arial" w:cs="Arial"/>
          <w:bCs/>
          <w:sz w:val="22"/>
          <w:szCs w:val="22"/>
          <w:lang w:val="fr-FR"/>
        </w:rPr>
        <w:t xml:space="preserve"> participation. Ceci avait permis </w:t>
      </w:r>
      <w:r>
        <w:rPr>
          <w:rFonts w:ascii="Arial" w:hAnsi="Arial" w:cs="Arial"/>
          <w:bCs/>
          <w:sz w:val="22"/>
          <w:szCs w:val="22"/>
          <w:lang w:val="fr-FR"/>
        </w:rPr>
        <w:t xml:space="preserve">de parvenir à </w:t>
      </w:r>
      <w:r w:rsidRPr="00A34FA6">
        <w:rPr>
          <w:rFonts w:ascii="Arial" w:hAnsi="Arial" w:cs="Arial"/>
          <w:bCs/>
          <w:sz w:val="22"/>
          <w:szCs w:val="22"/>
          <w:lang w:val="fr-FR"/>
        </w:rPr>
        <w:t xml:space="preserve">un large consensus sur les révisions </w:t>
      </w:r>
      <w:r w:rsidRPr="00530399">
        <w:rPr>
          <w:rFonts w:ascii="Arial" w:hAnsi="Arial" w:cs="Arial"/>
          <w:bCs/>
          <w:color w:val="000000" w:themeColor="text1"/>
          <w:sz w:val="22"/>
          <w:szCs w:val="22"/>
          <w:lang w:val="fr-FR"/>
        </w:rPr>
        <w:t>désormais</w:t>
      </w:r>
      <w:r>
        <w:rPr>
          <w:rFonts w:ascii="Arial" w:hAnsi="Arial" w:cs="Arial"/>
          <w:bCs/>
          <w:color w:val="000000" w:themeColor="text1"/>
          <w:sz w:val="22"/>
          <w:szCs w:val="22"/>
          <w:lang w:val="fr-FR"/>
        </w:rPr>
        <w:t xml:space="preserve"> </w:t>
      </w:r>
      <w:r w:rsidRPr="00A34FA6">
        <w:rPr>
          <w:rFonts w:ascii="Arial" w:hAnsi="Arial" w:cs="Arial"/>
          <w:bCs/>
          <w:sz w:val="22"/>
          <w:szCs w:val="22"/>
          <w:lang w:val="fr-FR"/>
        </w:rPr>
        <w:t>proposées qui reflétaient la volonté de p</w:t>
      </w:r>
      <w:r>
        <w:rPr>
          <w:rFonts w:ascii="Arial" w:hAnsi="Arial" w:cs="Arial"/>
          <w:bCs/>
          <w:sz w:val="22"/>
          <w:szCs w:val="22"/>
          <w:lang w:val="fr-FR"/>
        </w:rPr>
        <w:t>résenter</w:t>
      </w:r>
      <w:r w:rsidRPr="00A34FA6">
        <w:rPr>
          <w:rFonts w:ascii="Arial" w:hAnsi="Arial" w:cs="Arial"/>
          <w:bCs/>
          <w:sz w:val="22"/>
          <w:szCs w:val="22"/>
          <w:lang w:val="fr-FR"/>
        </w:rPr>
        <w:t xml:space="preserve"> des solutions pragmatiques et équilibrées aux défis de la Convention. La Suisse salu</w:t>
      </w:r>
      <w:r>
        <w:rPr>
          <w:rFonts w:ascii="Arial" w:hAnsi="Arial" w:cs="Arial"/>
          <w:bCs/>
          <w:sz w:val="22"/>
          <w:szCs w:val="22"/>
          <w:lang w:val="fr-FR"/>
        </w:rPr>
        <w:t>ait</w:t>
      </w:r>
      <w:r w:rsidRPr="00A34FA6">
        <w:rPr>
          <w:rFonts w:ascii="Arial" w:hAnsi="Arial" w:cs="Arial"/>
          <w:bCs/>
          <w:sz w:val="22"/>
          <w:szCs w:val="22"/>
          <w:lang w:val="fr-FR"/>
        </w:rPr>
        <w:t xml:space="preserve"> les résultats obtenus par le groupe de travail, qui </w:t>
      </w:r>
      <w:r>
        <w:rPr>
          <w:rFonts w:ascii="Arial" w:hAnsi="Arial" w:cs="Arial"/>
          <w:bCs/>
          <w:sz w:val="22"/>
          <w:szCs w:val="22"/>
          <w:lang w:val="fr-FR"/>
        </w:rPr>
        <w:t>avaient</w:t>
      </w:r>
      <w:r w:rsidRPr="00A34FA6">
        <w:rPr>
          <w:rFonts w:ascii="Arial" w:hAnsi="Arial" w:cs="Arial"/>
          <w:bCs/>
          <w:sz w:val="22"/>
          <w:szCs w:val="22"/>
          <w:lang w:val="fr-FR"/>
        </w:rPr>
        <w:t xml:space="preserve"> été présentés comme un ensemble cohérent et pertinent de révisions des </w:t>
      </w:r>
      <w:r>
        <w:rPr>
          <w:rFonts w:ascii="Arial" w:hAnsi="Arial" w:cs="Arial"/>
          <w:bCs/>
          <w:sz w:val="22"/>
          <w:szCs w:val="22"/>
          <w:lang w:val="fr-FR"/>
        </w:rPr>
        <w:t>D</w:t>
      </w:r>
      <w:r w:rsidRPr="00A34FA6">
        <w:rPr>
          <w:rFonts w:ascii="Arial" w:hAnsi="Arial" w:cs="Arial"/>
          <w:bCs/>
          <w:sz w:val="22"/>
          <w:szCs w:val="22"/>
          <w:lang w:val="fr-FR"/>
        </w:rPr>
        <w:t>irectives opérationnelles. La Suisse soutenait l</w:t>
      </w:r>
      <w:r w:rsidR="008E532B">
        <w:rPr>
          <w:rFonts w:ascii="Arial" w:hAnsi="Arial" w:cs="Arial"/>
          <w:bCs/>
          <w:sz w:val="22"/>
          <w:szCs w:val="22"/>
          <w:lang w:val="fr-FR"/>
        </w:rPr>
        <w:t>’</w:t>
      </w:r>
      <w:r w:rsidRPr="00A34FA6">
        <w:rPr>
          <w:rFonts w:ascii="Arial" w:hAnsi="Arial" w:cs="Arial"/>
          <w:bCs/>
          <w:sz w:val="22"/>
          <w:szCs w:val="22"/>
          <w:lang w:val="fr-FR"/>
        </w:rPr>
        <w:t>ensemble des révisions telles que proposées et invitait l</w:t>
      </w:r>
      <w:r w:rsidR="008E532B">
        <w:rPr>
          <w:rFonts w:ascii="Arial" w:hAnsi="Arial" w:cs="Arial"/>
          <w:bCs/>
          <w:sz w:val="22"/>
          <w:szCs w:val="22"/>
          <w:lang w:val="fr-FR"/>
        </w:rPr>
        <w:t>’</w:t>
      </w:r>
      <w:r w:rsidRPr="00A34FA6">
        <w:rPr>
          <w:rFonts w:ascii="Arial" w:hAnsi="Arial" w:cs="Arial"/>
          <w:bCs/>
          <w:sz w:val="22"/>
          <w:szCs w:val="22"/>
          <w:lang w:val="fr-FR"/>
        </w:rPr>
        <w:t xml:space="preserve">Assemblée générale à </w:t>
      </w:r>
      <w:r>
        <w:rPr>
          <w:rFonts w:ascii="Arial" w:hAnsi="Arial" w:cs="Arial"/>
          <w:bCs/>
          <w:sz w:val="22"/>
          <w:szCs w:val="22"/>
          <w:lang w:val="fr-FR"/>
        </w:rPr>
        <w:t xml:space="preserve">en </w:t>
      </w:r>
      <w:r w:rsidRPr="00A34FA6">
        <w:rPr>
          <w:rFonts w:ascii="Arial" w:hAnsi="Arial" w:cs="Arial"/>
          <w:bCs/>
          <w:sz w:val="22"/>
          <w:szCs w:val="22"/>
          <w:lang w:val="fr-FR"/>
        </w:rPr>
        <w:t>faire de même sans rouvrir le débat. Elle souhait</w:t>
      </w:r>
      <w:r>
        <w:rPr>
          <w:rFonts w:ascii="Arial" w:hAnsi="Arial" w:cs="Arial"/>
          <w:bCs/>
          <w:sz w:val="22"/>
          <w:szCs w:val="22"/>
          <w:lang w:val="fr-FR"/>
        </w:rPr>
        <w:t>ait</w:t>
      </w:r>
      <w:r w:rsidRPr="00A34FA6">
        <w:rPr>
          <w:rFonts w:ascii="Arial" w:hAnsi="Arial" w:cs="Arial"/>
          <w:bCs/>
          <w:sz w:val="22"/>
          <w:szCs w:val="22"/>
          <w:lang w:val="fr-FR"/>
        </w:rPr>
        <w:t xml:space="preserve"> poursuivre le dialogue et la réflexion autour du fonctionnement de la Convention, notamment à travers l</w:t>
      </w:r>
      <w:r w:rsidR="008E532B">
        <w:rPr>
          <w:rFonts w:ascii="Arial" w:hAnsi="Arial" w:cs="Arial"/>
          <w:bCs/>
          <w:sz w:val="22"/>
          <w:szCs w:val="22"/>
          <w:lang w:val="fr-FR"/>
        </w:rPr>
        <w:t>’</w:t>
      </w:r>
      <w:r w:rsidRPr="00A34FA6">
        <w:rPr>
          <w:rFonts w:ascii="Arial" w:hAnsi="Arial" w:cs="Arial"/>
          <w:bCs/>
          <w:sz w:val="22"/>
          <w:szCs w:val="22"/>
          <w:lang w:val="fr-FR"/>
        </w:rPr>
        <w:t>initiative lancée par la mise en œuvre de l</w:t>
      </w:r>
      <w:r w:rsidR="008E532B">
        <w:rPr>
          <w:rFonts w:ascii="Arial" w:hAnsi="Arial" w:cs="Arial"/>
          <w:bCs/>
          <w:sz w:val="22"/>
          <w:szCs w:val="22"/>
          <w:lang w:val="fr-FR"/>
        </w:rPr>
        <w:t>’</w:t>
      </w:r>
      <w:r w:rsidRPr="00A34FA6">
        <w:rPr>
          <w:rFonts w:ascii="Arial" w:hAnsi="Arial" w:cs="Arial"/>
          <w:bCs/>
          <w:sz w:val="22"/>
          <w:szCs w:val="22"/>
          <w:lang w:val="fr-FR"/>
        </w:rPr>
        <w:t>article 18, soutenue par la Suède.</w:t>
      </w:r>
    </w:p>
    <w:p w14:paraId="019F2422" w14:textId="2303987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E089C">
        <w:rPr>
          <w:rFonts w:ascii="Arial" w:hAnsi="Arial" w:cs="Arial"/>
          <w:bCs/>
          <w:sz w:val="22"/>
          <w:szCs w:val="22"/>
          <w:lang w:val="fr-FR"/>
        </w:rPr>
        <w:t xml:space="preserve">La délégation du </w:t>
      </w:r>
      <w:r w:rsidRPr="00AE089C">
        <w:rPr>
          <w:rFonts w:ascii="Arial" w:hAnsi="Arial" w:cs="Arial"/>
          <w:b/>
          <w:sz w:val="22"/>
          <w:szCs w:val="22"/>
          <w:lang w:val="fr-FR"/>
        </w:rPr>
        <w:t>Burkina Faso</w:t>
      </w:r>
      <w:r w:rsidRPr="00AE089C">
        <w:rPr>
          <w:rFonts w:ascii="Arial" w:hAnsi="Arial" w:cs="Arial"/>
          <w:bCs/>
          <w:sz w:val="22"/>
          <w:szCs w:val="22"/>
          <w:lang w:val="fr-FR"/>
        </w:rPr>
        <w:t xml:space="preserve"> a félicité le groupe de travail et le Secrétariat pour le rapport exhaustif</w:t>
      </w:r>
      <w:r>
        <w:rPr>
          <w:rFonts w:ascii="Arial" w:hAnsi="Arial" w:cs="Arial"/>
          <w:bCs/>
          <w:sz w:val="22"/>
          <w:szCs w:val="22"/>
          <w:lang w:val="fr-FR"/>
        </w:rPr>
        <w:t>,</w:t>
      </w:r>
      <w:r w:rsidRPr="00AE089C">
        <w:rPr>
          <w:rFonts w:ascii="Arial" w:hAnsi="Arial" w:cs="Arial"/>
          <w:bCs/>
          <w:sz w:val="22"/>
          <w:szCs w:val="22"/>
          <w:lang w:val="fr-FR"/>
        </w:rPr>
        <w:t xml:space="preserve"> </w:t>
      </w:r>
      <w:r>
        <w:rPr>
          <w:rFonts w:ascii="Arial" w:hAnsi="Arial" w:cs="Arial"/>
          <w:bCs/>
          <w:sz w:val="22"/>
          <w:szCs w:val="22"/>
          <w:lang w:val="fr-FR"/>
        </w:rPr>
        <w:t xml:space="preserve">et a </w:t>
      </w:r>
      <w:r w:rsidRPr="00AE089C">
        <w:rPr>
          <w:rFonts w:ascii="Arial" w:hAnsi="Arial" w:cs="Arial"/>
          <w:bCs/>
          <w:sz w:val="22"/>
          <w:szCs w:val="22"/>
          <w:lang w:val="fr-FR"/>
        </w:rPr>
        <w:t>remerci</w:t>
      </w:r>
      <w:r>
        <w:rPr>
          <w:rFonts w:ascii="Arial" w:hAnsi="Arial" w:cs="Arial"/>
          <w:bCs/>
          <w:sz w:val="22"/>
          <w:szCs w:val="22"/>
          <w:lang w:val="fr-FR"/>
        </w:rPr>
        <w:t>é</w:t>
      </w:r>
      <w:r w:rsidRPr="00AE089C">
        <w:rPr>
          <w:rFonts w:ascii="Arial" w:hAnsi="Arial" w:cs="Arial"/>
          <w:bCs/>
          <w:sz w:val="22"/>
          <w:szCs w:val="22"/>
          <w:lang w:val="fr-FR"/>
        </w:rPr>
        <w:t xml:space="preserve"> le </w:t>
      </w:r>
      <w:r>
        <w:rPr>
          <w:rFonts w:ascii="Arial" w:hAnsi="Arial" w:cs="Arial"/>
          <w:bCs/>
          <w:sz w:val="22"/>
          <w:szCs w:val="22"/>
          <w:lang w:val="fr-FR"/>
        </w:rPr>
        <w:t>G</w:t>
      </w:r>
      <w:r w:rsidRPr="00AE089C">
        <w:rPr>
          <w:rFonts w:ascii="Arial" w:hAnsi="Arial" w:cs="Arial"/>
          <w:bCs/>
          <w:sz w:val="22"/>
          <w:szCs w:val="22"/>
          <w:lang w:val="fr-FR"/>
        </w:rPr>
        <w:t>ouvernement du Japon pour son soutien, félicitant l</w:t>
      </w:r>
      <w:r w:rsidR="008E532B">
        <w:rPr>
          <w:rFonts w:ascii="Arial" w:hAnsi="Arial" w:cs="Arial"/>
          <w:bCs/>
          <w:sz w:val="22"/>
          <w:szCs w:val="22"/>
          <w:lang w:val="fr-FR"/>
        </w:rPr>
        <w:t>’</w:t>
      </w:r>
      <w:r>
        <w:rPr>
          <w:rFonts w:ascii="Arial" w:hAnsi="Arial" w:cs="Arial"/>
          <w:bCs/>
          <w:sz w:val="22"/>
          <w:szCs w:val="22"/>
          <w:lang w:val="fr-FR"/>
        </w:rPr>
        <w:t>a</w:t>
      </w:r>
      <w:r w:rsidRPr="00AE089C">
        <w:rPr>
          <w:rFonts w:ascii="Arial" w:hAnsi="Arial" w:cs="Arial"/>
          <w:bCs/>
          <w:sz w:val="22"/>
          <w:szCs w:val="22"/>
          <w:lang w:val="fr-FR"/>
        </w:rPr>
        <w:t xml:space="preserve">mbassadeur </w:t>
      </w:r>
      <w:proofErr w:type="spellStart"/>
      <w:r w:rsidRPr="00AE089C">
        <w:rPr>
          <w:rFonts w:ascii="Arial" w:hAnsi="Arial" w:cs="Arial"/>
          <w:bCs/>
          <w:sz w:val="22"/>
          <w:szCs w:val="22"/>
          <w:lang w:val="fr-FR"/>
        </w:rPr>
        <w:t>Oike</w:t>
      </w:r>
      <w:proofErr w:type="spellEnd"/>
      <w:r w:rsidRPr="00AE089C">
        <w:rPr>
          <w:rFonts w:ascii="Arial" w:hAnsi="Arial" w:cs="Arial"/>
          <w:bCs/>
          <w:sz w:val="22"/>
          <w:szCs w:val="22"/>
          <w:lang w:val="fr-FR"/>
        </w:rPr>
        <w:t xml:space="preserve"> pour la dextérité avec laquelle il a</w:t>
      </w:r>
      <w:r>
        <w:rPr>
          <w:rFonts w:ascii="Arial" w:hAnsi="Arial" w:cs="Arial"/>
          <w:bCs/>
          <w:sz w:val="22"/>
          <w:szCs w:val="22"/>
          <w:lang w:val="fr-FR"/>
        </w:rPr>
        <w:t>vait</w:t>
      </w:r>
      <w:r w:rsidRPr="00AE089C">
        <w:rPr>
          <w:rFonts w:ascii="Arial" w:hAnsi="Arial" w:cs="Arial"/>
          <w:bCs/>
          <w:sz w:val="22"/>
          <w:szCs w:val="22"/>
          <w:lang w:val="fr-FR"/>
        </w:rPr>
        <w:t xml:space="preserve"> dirigé les travaux et </w:t>
      </w:r>
      <w:r>
        <w:rPr>
          <w:rFonts w:ascii="Arial" w:hAnsi="Arial" w:cs="Arial"/>
          <w:bCs/>
          <w:sz w:val="22"/>
          <w:szCs w:val="22"/>
          <w:lang w:val="fr-FR"/>
        </w:rPr>
        <w:t>était parvenu au</w:t>
      </w:r>
      <w:r w:rsidRPr="00AE089C">
        <w:rPr>
          <w:rFonts w:ascii="Arial" w:hAnsi="Arial" w:cs="Arial"/>
          <w:bCs/>
          <w:sz w:val="22"/>
          <w:szCs w:val="22"/>
          <w:lang w:val="fr-FR"/>
        </w:rPr>
        <w:t xml:space="preserve"> résultat. La délégation a</w:t>
      </w:r>
      <w:r>
        <w:rPr>
          <w:rFonts w:ascii="Arial" w:hAnsi="Arial" w:cs="Arial"/>
          <w:bCs/>
          <w:sz w:val="22"/>
          <w:szCs w:val="22"/>
          <w:lang w:val="fr-FR"/>
        </w:rPr>
        <w:t>vait activement</w:t>
      </w:r>
      <w:r w:rsidRPr="00AE089C">
        <w:rPr>
          <w:rFonts w:ascii="Arial" w:hAnsi="Arial" w:cs="Arial"/>
          <w:bCs/>
          <w:sz w:val="22"/>
          <w:szCs w:val="22"/>
          <w:lang w:val="fr-FR"/>
        </w:rPr>
        <w:t xml:space="preserve"> participé à ce groupe de travail et sout</w:t>
      </w:r>
      <w:r>
        <w:rPr>
          <w:rFonts w:ascii="Arial" w:hAnsi="Arial" w:cs="Arial"/>
          <w:bCs/>
          <w:sz w:val="22"/>
          <w:szCs w:val="22"/>
          <w:lang w:val="fr-FR"/>
        </w:rPr>
        <w:t xml:space="preserve">enait </w:t>
      </w:r>
      <w:r w:rsidRPr="00AE089C">
        <w:rPr>
          <w:rFonts w:ascii="Arial" w:hAnsi="Arial" w:cs="Arial"/>
          <w:bCs/>
          <w:sz w:val="22"/>
          <w:szCs w:val="22"/>
          <w:lang w:val="fr-FR"/>
        </w:rPr>
        <w:t>pleinement les révisions proposées.</w:t>
      </w:r>
    </w:p>
    <w:p w14:paraId="5139DF87" w14:textId="1BAA254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C706D">
        <w:rPr>
          <w:rFonts w:ascii="Arial" w:hAnsi="Arial" w:cs="Arial"/>
          <w:bCs/>
          <w:sz w:val="22"/>
          <w:szCs w:val="22"/>
          <w:lang w:val="fr-FR"/>
        </w:rPr>
        <w:t xml:space="preserve">La délégation de la </w:t>
      </w:r>
      <w:r w:rsidRPr="001C706D">
        <w:rPr>
          <w:rFonts w:ascii="Arial" w:hAnsi="Arial" w:cs="Arial"/>
          <w:b/>
          <w:sz w:val="22"/>
          <w:szCs w:val="22"/>
          <w:lang w:val="fr-FR"/>
        </w:rPr>
        <w:t>Mongolie</w:t>
      </w:r>
      <w:r w:rsidRPr="001C706D">
        <w:rPr>
          <w:rFonts w:ascii="Arial" w:hAnsi="Arial" w:cs="Arial"/>
          <w:bCs/>
          <w:sz w:val="22"/>
          <w:szCs w:val="22"/>
          <w:lang w:val="fr-FR"/>
        </w:rPr>
        <w:t xml:space="preserve"> a salué</w:t>
      </w:r>
      <w:r>
        <w:rPr>
          <w:rFonts w:ascii="Arial" w:hAnsi="Arial" w:cs="Arial"/>
          <w:bCs/>
          <w:sz w:val="22"/>
          <w:szCs w:val="22"/>
          <w:lang w:val="fr-FR"/>
        </w:rPr>
        <w:t>, d</w:t>
      </w:r>
      <w:r w:rsidR="008E532B">
        <w:rPr>
          <w:rFonts w:ascii="Arial" w:hAnsi="Arial" w:cs="Arial"/>
          <w:bCs/>
          <w:sz w:val="22"/>
          <w:szCs w:val="22"/>
          <w:lang w:val="fr-FR"/>
        </w:rPr>
        <w:t>’</w:t>
      </w:r>
      <w:r>
        <w:rPr>
          <w:rFonts w:ascii="Arial" w:hAnsi="Arial" w:cs="Arial"/>
          <w:bCs/>
          <w:sz w:val="22"/>
          <w:szCs w:val="22"/>
          <w:lang w:val="fr-FR"/>
        </w:rPr>
        <w:t>une part,</w:t>
      </w:r>
      <w:r w:rsidRPr="001C706D">
        <w:rPr>
          <w:rFonts w:ascii="Arial" w:hAnsi="Arial" w:cs="Arial"/>
          <w:bCs/>
          <w:sz w:val="22"/>
          <w:szCs w:val="22"/>
          <w:lang w:val="fr-FR"/>
        </w:rPr>
        <w:t xml:space="preserve"> l</w:t>
      </w:r>
      <w:r w:rsidR="008E532B">
        <w:rPr>
          <w:rFonts w:ascii="Arial" w:hAnsi="Arial" w:cs="Arial"/>
          <w:bCs/>
          <w:sz w:val="22"/>
          <w:szCs w:val="22"/>
          <w:lang w:val="fr-FR"/>
        </w:rPr>
        <w:t>’</w:t>
      </w:r>
      <w:r w:rsidRPr="001C706D">
        <w:rPr>
          <w:rFonts w:ascii="Arial" w:hAnsi="Arial" w:cs="Arial"/>
          <w:bCs/>
          <w:sz w:val="22"/>
          <w:szCs w:val="22"/>
          <w:lang w:val="fr-FR"/>
        </w:rPr>
        <w:t>excellent</w:t>
      </w:r>
      <w:r>
        <w:rPr>
          <w:rFonts w:ascii="Arial" w:hAnsi="Arial" w:cs="Arial"/>
          <w:bCs/>
          <w:sz w:val="22"/>
          <w:szCs w:val="22"/>
          <w:lang w:val="fr-FR"/>
        </w:rPr>
        <w:t xml:space="preserve"> </w:t>
      </w:r>
      <w:r w:rsidRPr="001C706D">
        <w:rPr>
          <w:rFonts w:ascii="Arial" w:hAnsi="Arial" w:cs="Arial"/>
          <w:bCs/>
          <w:sz w:val="22"/>
          <w:szCs w:val="22"/>
          <w:lang w:val="fr-FR"/>
        </w:rPr>
        <w:t xml:space="preserve">travail </w:t>
      </w:r>
      <w:r>
        <w:rPr>
          <w:rFonts w:ascii="Arial" w:hAnsi="Arial" w:cs="Arial"/>
          <w:bCs/>
          <w:sz w:val="22"/>
          <w:szCs w:val="22"/>
          <w:lang w:val="fr-FR"/>
        </w:rPr>
        <w:t>accompli par le</w:t>
      </w:r>
      <w:r w:rsidRPr="001C706D">
        <w:rPr>
          <w:rFonts w:ascii="Arial" w:hAnsi="Arial" w:cs="Arial"/>
          <w:bCs/>
          <w:sz w:val="22"/>
          <w:szCs w:val="22"/>
          <w:lang w:val="fr-FR"/>
        </w:rPr>
        <w:t xml:space="preserve"> groupe de travail</w:t>
      </w:r>
      <w:r>
        <w:rPr>
          <w:rFonts w:ascii="Arial" w:hAnsi="Arial" w:cs="Arial"/>
          <w:bCs/>
          <w:sz w:val="22"/>
          <w:szCs w:val="22"/>
          <w:lang w:val="fr-FR"/>
        </w:rPr>
        <w:t xml:space="preserve"> et, d</w:t>
      </w:r>
      <w:r w:rsidR="008E532B">
        <w:rPr>
          <w:rFonts w:ascii="Arial" w:hAnsi="Arial" w:cs="Arial"/>
          <w:bCs/>
          <w:sz w:val="22"/>
          <w:szCs w:val="22"/>
          <w:lang w:val="fr-FR"/>
        </w:rPr>
        <w:t>’</w:t>
      </w:r>
      <w:r>
        <w:rPr>
          <w:rFonts w:ascii="Arial" w:hAnsi="Arial" w:cs="Arial"/>
          <w:bCs/>
          <w:sz w:val="22"/>
          <w:szCs w:val="22"/>
          <w:lang w:val="fr-FR"/>
        </w:rPr>
        <w:t xml:space="preserve">autre part, </w:t>
      </w:r>
      <w:r w:rsidRPr="001C706D">
        <w:rPr>
          <w:rFonts w:ascii="Arial" w:hAnsi="Arial" w:cs="Arial"/>
          <w:bCs/>
          <w:sz w:val="22"/>
          <w:szCs w:val="22"/>
          <w:lang w:val="fr-FR"/>
        </w:rPr>
        <w:t>l</w:t>
      </w:r>
      <w:r w:rsidR="008E532B">
        <w:rPr>
          <w:rFonts w:ascii="Arial" w:hAnsi="Arial" w:cs="Arial"/>
          <w:bCs/>
          <w:sz w:val="22"/>
          <w:szCs w:val="22"/>
          <w:lang w:val="fr-FR"/>
        </w:rPr>
        <w:t>’</w:t>
      </w:r>
      <w:r w:rsidRPr="001C706D">
        <w:rPr>
          <w:rFonts w:ascii="Arial" w:hAnsi="Arial" w:cs="Arial"/>
          <w:bCs/>
          <w:sz w:val="22"/>
          <w:szCs w:val="22"/>
          <w:lang w:val="fr-FR"/>
        </w:rPr>
        <w:t xml:space="preserve">ambassadeur du Japon pour avoir dirigé ce </w:t>
      </w:r>
      <w:r>
        <w:rPr>
          <w:rFonts w:ascii="Arial" w:hAnsi="Arial" w:cs="Arial"/>
          <w:bCs/>
          <w:sz w:val="22"/>
          <w:szCs w:val="22"/>
          <w:lang w:val="fr-FR"/>
        </w:rPr>
        <w:t xml:space="preserve">vaste </w:t>
      </w:r>
      <w:r w:rsidRPr="001C706D">
        <w:rPr>
          <w:rFonts w:ascii="Arial" w:hAnsi="Arial" w:cs="Arial"/>
          <w:bCs/>
          <w:sz w:val="22"/>
          <w:szCs w:val="22"/>
          <w:lang w:val="fr-FR"/>
        </w:rPr>
        <w:t>processus. Elle s</w:t>
      </w:r>
      <w:r w:rsidR="008E532B">
        <w:rPr>
          <w:rFonts w:ascii="Arial" w:hAnsi="Arial" w:cs="Arial"/>
          <w:bCs/>
          <w:sz w:val="22"/>
          <w:szCs w:val="22"/>
          <w:lang w:val="fr-FR"/>
        </w:rPr>
        <w:t>’</w:t>
      </w:r>
      <w:r w:rsidRPr="001C706D">
        <w:rPr>
          <w:rFonts w:ascii="Arial" w:hAnsi="Arial" w:cs="Arial"/>
          <w:bCs/>
          <w:sz w:val="22"/>
          <w:szCs w:val="22"/>
          <w:lang w:val="fr-FR"/>
        </w:rPr>
        <w:t>est déclarée pleinement favorable à l</w:t>
      </w:r>
      <w:r w:rsidR="008E532B">
        <w:rPr>
          <w:rFonts w:ascii="Arial" w:hAnsi="Arial" w:cs="Arial"/>
          <w:bCs/>
          <w:sz w:val="22"/>
          <w:szCs w:val="22"/>
          <w:lang w:val="fr-FR"/>
        </w:rPr>
        <w:t>’</w:t>
      </w:r>
      <w:r w:rsidRPr="001C706D">
        <w:rPr>
          <w:rFonts w:ascii="Arial" w:hAnsi="Arial" w:cs="Arial"/>
          <w:bCs/>
          <w:sz w:val="22"/>
          <w:szCs w:val="22"/>
          <w:lang w:val="fr-FR"/>
        </w:rPr>
        <w:t>adoption des recommandations. La délégation souhait</w:t>
      </w:r>
      <w:r>
        <w:rPr>
          <w:rFonts w:ascii="Arial" w:hAnsi="Arial" w:cs="Arial"/>
          <w:bCs/>
          <w:sz w:val="22"/>
          <w:szCs w:val="22"/>
          <w:lang w:val="fr-FR"/>
        </w:rPr>
        <w:t>ait</w:t>
      </w:r>
      <w:r w:rsidRPr="001C706D">
        <w:rPr>
          <w:rFonts w:ascii="Arial" w:hAnsi="Arial" w:cs="Arial"/>
          <w:bCs/>
          <w:sz w:val="22"/>
          <w:szCs w:val="22"/>
          <w:lang w:val="fr-FR"/>
        </w:rPr>
        <w:t xml:space="preserve"> souligner que les ressources humaines et financières du Secrétariat devraient être davantage prises en compte dans les travaux futurs de mise en œuvre des recommandations, comme l</w:t>
      </w:r>
      <w:r w:rsidR="008E532B">
        <w:rPr>
          <w:rFonts w:ascii="Arial" w:hAnsi="Arial" w:cs="Arial"/>
          <w:bCs/>
          <w:sz w:val="22"/>
          <w:szCs w:val="22"/>
          <w:lang w:val="fr-FR"/>
        </w:rPr>
        <w:t>’</w:t>
      </w:r>
      <w:r>
        <w:rPr>
          <w:rFonts w:ascii="Arial" w:hAnsi="Arial" w:cs="Arial"/>
          <w:bCs/>
          <w:sz w:val="22"/>
          <w:szCs w:val="22"/>
          <w:lang w:val="fr-FR"/>
        </w:rPr>
        <w:t>avaient</w:t>
      </w:r>
      <w:r w:rsidRPr="001C706D">
        <w:rPr>
          <w:rFonts w:ascii="Arial" w:hAnsi="Arial" w:cs="Arial"/>
          <w:bCs/>
          <w:sz w:val="22"/>
          <w:szCs w:val="22"/>
          <w:lang w:val="fr-FR"/>
        </w:rPr>
        <w:t xml:space="preserve"> exprimé le Secrétariat et d</w:t>
      </w:r>
      <w:r w:rsidR="008E532B">
        <w:rPr>
          <w:rFonts w:ascii="Arial" w:hAnsi="Arial" w:cs="Arial"/>
          <w:bCs/>
          <w:sz w:val="22"/>
          <w:szCs w:val="22"/>
          <w:lang w:val="fr-FR"/>
        </w:rPr>
        <w:t>’</w:t>
      </w:r>
      <w:r w:rsidRPr="001C706D">
        <w:rPr>
          <w:rFonts w:ascii="Arial" w:hAnsi="Arial" w:cs="Arial"/>
          <w:bCs/>
          <w:sz w:val="22"/>
          <w:szCs w:val="22"/>
          <w:lang w:val="fr-FR"/>
        </w:rPr>
        <w:t>autres délégations.</w:t>
      </w:r>
    </w:p>
    <w:p w14:paraId="34411A35" w14:textId="72503BA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127F7">
        <w:rPr>
          <w:rFonts w:ascii="Arial" w:hAnsi="Arial" w:cs="Arial"/>
          <w:bCs/>
          <w:sz w:val="22"/>
          <w:szCs w:val="22"/>
          <w:lang w:val="fr-FR"/>
        </w:rPr>
        <w:t xml:space="preserve">La </w:t>
      </w:r>
      <w:r w:rsidRPr="008127F7">
        <w:rPr>
          <w:rFonts w:ascii="Arial" w:hAnsi="Arial" w:cs="Arial"/>
          <w:b/>
          <w:sz w:val="22"/>
          <w:szCs w:val="22"/>
          <w:lang w:val="fr-FR"/>
        </w:rPr>
        <w:t>Présidente</w:t>
      </w:r>
      <w:r w:rsidRPr="008127F7">
        <w:rPr>
          <w:rFonts w:ascii="Arial" w:hAnsi="Arial" w:cs="Arial"/>
          <w:bCs/>
          <w:sz w:val="22"/>
          <w:szCs w:val="22"/>
          <w:lang w:val="fr-FR"/>
        </w:rPr>
        <w:t xml:space="preserve"> </w:t>
      </w:r>
      <w:r>
        <w:rPr>
          <w:rFonts w:ascii="Arial" w:hAnsi="Arial" w:cs="Arial"/>
          <w:bCs/>
          <w:sz w:val="22"/>
          <w:szCs w:val="22"/>
          <w:lang w:val="fr-FR"/>
        </w:rPr>
        <w:t xml:space="preserve">a </w:t>
      </w:r>
      <w:r w:rsidRPr="008127F7">
        <w:rPr>
          <w:rFonts w:ascii="Arial" w:hAnsi="Arial" w:cs="Arial"/>
          <w:bCs/>
          <w:sz w:val="22"/>
          <w:szCs w:val="22"/>
          <w:lang w:val="fr-FR"/>
        </w:rPr>
        <w:t>cl</w:t>
      </w:r>
      <w:r>
        <w:rPr>
          <w:rFonts w:ascii="Arial" w:hAnsi="Arial" w:cs="Arial"/>
          <w:bCs/>
          <w:sz w:val="22"/>
          <w:szCs w:val="22"/>
          <w:lang w:val="fr-FR"/>
        </w:rPr>
        <w:t>os</w:t>
      </w:r>
      <w:r w:rsidRPr="008127F7">
        <w:rPr>
          <w:rFonts w:ascii="Arial" w:hAnsi="Arial" w:cs="Arial"/>
          <w:bCs/>
          <w:sz w:val="22"/>
          <w:szCs w:val="22"/>
          <w:lang w:val="fr-FR"/>
        </w:rPr>
        <w:t xml:space="preserve"> la discussion et </w:t>
      </w:r>
      <w:r>
        <w:rPr>
          <w:rFonts w:ascii="Arial" w:hAnsi="Arial" w:cs="Arial"/>
          <w:bCs/>
          <w:sz w:val="22"/>
          <w:szCs w:val="22"/>
          <w:lang w:val="fr-FR"/>
        </w:rPr>
        <w:t xml:space="preserve">est </w:t>
      </w:r>
      <w:r w:rsidRPr="008127F7">
        <w:rPr>
          <w:rFonts w:ascii="Arial" w:hAnsi="Arial" w:cs="Arial"/>
          <w:bCs/>
          <w:sz w:val="22"/>
          <w:szCs w:val="22"/>
          <w:lang w:val="fr-FR"/>
        </w:rPr>
        <w:t>pass</w:t>
      </w:r>
      <w:r>
        <w:rPr>
          <w:rFonts w:ascii="Arial" w:hAnsi="Arial" w:cs="Arial"/>
          <w:bCs/>
          <w:sz w:val="22"/>
          <w:szCs w:val="22"/>
          <w:lang w:val="fr-FR"/>
        </w:rPr>
        <w:t>é</w:t>
      </w:r>
      <w:r w:rsidRPr="008127F7">
        <w:rPr>
          <w:rFonts w:ascii="Arial" w:hAnsi="Arial" w:cs="Arial"/>
          <w:bCs/>
          <w:sz w:val="22"/>
          <w:szCs w:val="22"/>
          <w:lang w:val="fr-FR"/>
        </w:rPr>
        <w:t>e au projet de décision paragraphe par paragraphe. En l</w:t>
      </w:r>
      <w:r w:rsidR="008E532B">
        <w:rPr>
          <w:rFonts w:ascii="Arial" w:hAnsi="Arial" w:cs="Arial"/>
          <w:bCs/>
          <w:sz w:val="22"/>
          <w:szCs w:val="22"/>
          <w:lang w:val="fr-FR"/>
        </w:rPr>
        <w:t>’</w:t>
      </w:r>
      <w:r w:rsidRPr="008127F7">
        <w:rPr>
          <w:rFonts w:ascii="Arial" w:hAnsi="Arial" w:cs="Arial"/>
          <w:bCs/>
          <w:sz w:val="22"/>
          <w:szCs w:val="22"/>
          <w:lang w:val="fr-FR"/>
        </w:rPr>
        <w:t>absence</w:t>
      </w:r>
      <w:r>
        <w:rPr>
          <w:rFonts w:ascii="Arial" w:hAnsi="Arial" w:cs="Arial"/>
          <w:bCs/>
          <w:sz w:val="22"/>
          <w:szCs w:val="22"/>
          <w:lang w:val="fr-FR"/>
        </w:rPr>
        <w:t xml:space="preserve"> de </w:t>
      </w:r>
      <w:r w:rsidRPr="008127F7">
        <w:rPr>
          <w:rFonts w:ascii="Arial" w:hAnsi="Arial" w:cs="Arial"/>
          <w:bCs/>
          <w:sz w:val="22"/>
          <w:szCs w:val="22"/>
          <w:lang w:val="fr-FR"/>
        </w:rPr>
        <w:t>commentaires ou d</w:t>
      </w:r>
      <w:r w:rsidR="008E532B">
        <w:rPr>
          <w:rFonts w:ascii="Arial" w:hAnsi="Arial" w:cs="Arial"/>
          <w:bCs/>
          <w:sz w:val="22"/>
          <w:szCs w:val="22"/>
          <w:lang w:val="fr-FR"/>
        </w:rPr>
        <w:t>’</w:t>
      </w:r>
      <w:r w:rsidRPr="008127F7">
        <w:rPr>
          <w:rFonts w:ascii="Arial" w:hAnsi="Arial" w:cs="Arial"/>
          <w:bCs/>
          <w:sz w:val="22"/>
          <w:szCs w:val="22"/>
          <w:lang w:val="fr-FR"/>
        </w:rPr>
        <w:t xml:space="preserve">objections sur les paragraphes 1 à 5, </w:t>
      </w:r>
      <w:r>
        <w:rPr>
          <w:rFonts w:ascii="Arial" w:hAnsi="Arial" w:cs="Arial"/>
          <w:bCs/>
          <w:sz w:val="22"/>
          <w:szCs w:val="22"/>
          <w:lang w:val="fr-FR"/>
        </w:rPr>
        <w:t>ceux</w:t>
      </w:r>
      <w:r>
        <w:rPr>
          <w:rFonts w:ascii="Arial" w:hAnsi="Arial" w:cs="Arial"/>
          <w:bCs/>
          <w:sz w:val="22"/>
          <w:szCs w:val="22"/>
          <w:lang w:val="fr-FR"/>
        </w:rPr>
        <w:noBreakHyphen/>
        <w:t>ci</w:t>
      </w:r>
      <w:r w:rsidRPr="008127F7">
        <w:rPr>
          <w:rFonts w:ascii="Arial" w:hAnsi="Arial" w:cs="Arial"/>
          <w:bCs/>
          <w:sz w:val="22"/>
          <w:szCs w:val="22"/>
          <w:lang w:val="fr-FR"/>
        </w:rPr>
        <w:t xml:space="preserve"> </w:t>
      </w:r>
      <w:r>
        <w:rPr>
          <w:rFonts w:ascii="Arial" w:hAnsi="Arial" w:cs="Arial"/>
          <w:bCs/>
          <w:sz w:val="22"/>
          <w:szCs w:val="22"/>
          <w:lang w:val="fr-FR"/>
        </w:rPr>
        <w:t xml:space="preserve">ont été </w:t>
      </w:r>
      <w:r w:rsidRPr="008127F7">
        <w:rPr>
          <w:rFonts w:ascii="Arial" w:hAnsi="Arial" w:cs="Arial"/>
          <w:bCs/>
          <w:sz w:val="22"/>
          <w:szCs w:val="22"/>
          <w:lang w:val="fr-FR"/>
        </w:rPr>
        <w:t xml:space="preserve">dûment adoptés. Un amendement </w:t>
      </w:r>
      <w:r>
        <w:rPr>
          <w:rFonts w:ascii="Arial" w:hAnsi="Arial" w:cs="Arial"/>
          <w:bCs/>
          <w:sz w:val="22"/>
          <w:szCs w:val="22"/>
          <w:lang w:val="fr-FR"/>
        </w:rPr>
        <w:t>était</w:t>
      </w:r>
      <w:r w:rsidRPr="008127F7">
        <w:rPr>
          <w:rFonts w:ascii="Arial" w:hAnsi="Arial" w:cs="Arial"/>
          <w:bCs/>
          <w:sz w:val="22"/>
          <w:szCs w:val="22"/>
          <w:lang w:val="fr-FR"/>
        </w:rPr>
        <w:t xml:space="preserve"> proposé par la Palestine au paragraphe 6 afin de remercier le </w:t>
      </w:r>
      <w:r>
        <w:rPr>
          <w:rFonts w:ascii="Arial" w:hAnsi="Arial" w:cs="Arial"/>
          <w:bCs/>
          <w:sz w:val="22"/>
          <w:szCs w:val="22"/>
          <w:lang w:val="fr-FR"/>
        </w:rPr>
        <w:t>« </w:t>
      </w:r>
      <w:r w:rsidRPr="008127F7">
        <w:rPr>
          <w:rFonts w:ascii="Arial" w:hAnsi="Arial" w:cs="Arial"/>
          <w:bCs/>
          <w:sz w:val="22"/>
          <w:szCs w:val="22"/>
          <w:lang w:val="fr-FR"/>
        </w:rPr>
        <w:t xml:space="preserve">Président, </w:t>
      </w:r>
      <w:r w:rsidR="008D65C3">
        <w:rPr>
          <w:rFonts w:ascii="Arial" w:hAnsi="Arial" w:cs="Arial"/>
          <w:bCs/>
          <w:sz w:val="22"/>
          <w:szCs w:val="22"/>
          <w:lang w:val="fr-FR"/>
        </w:rPr>
        <w:t xml:space="preserve">S.Exc. </w:t>
      </w:r>
      <w:r w:rsidRPr="008127F7">
        <w:rPr>
          <w:rFonts w:ascii="Arial" w:hAnsi="Arial" w:cs="Arial"/>
          <w:bCs/>
          <w:sz w:val="22"/>
          <w:szCs w:val="22"/>
          <w:lang w:val="fr-FR"/>
        </w:rPr>
        <w:t>l</w:t>
      </w:r>
      <w:r w:rsidR="008E532B">
        <w:rPr>
          <w:rFonts w:ascii="Arial" w:hAnsi="Arial" w:cs="Arial"/>
          <w:bCs/>
          <w:sz w:val="22"/>
          <w:szCs w:val="22"/>
          <w:lang w:val="fr-FR"/>
        </w:rPr>
        <w:t>’</w:t>
      </w:r>
      <w:r>
        <w:rPr>
          <w:rFonts w:ascii="Arial" w:hAnsi="Arial" w:cs="Arial"/>
          <w:bCs/>
          <w:sz w:val="22"/>
          <w:szCs w:val="22"/>
          <w:lang w:val="fr-FR"/>
        </w:rPr>
        <w:t>a</w:t>
      </w:r>
      <w:r w:rsidRPr="008127F7">
        <w:rPr>
          <w:rFonts w:ascii="Arial" w:hAnsi="Arial" w:cs="Arial"/>
          <w:bCs/>
          <w:sz w:val="22"/>
          <w:szCs w:val="22"/>
          <w:lang w:val="fr-FR"/>
        </w:rPr>
        <w:t xml:space="preserve">mbassadeur </w:t>
      </w:r>
      <w:proofErr w:type="spellStart"/>
      <w:r w:rsidRPr="008127F7">
        <w:rPr>
          <w:rFonts w:ascii="Arial" w:hAnsi="Arial" w:cs="Arial"/>
          <w:bCs/>
          <w:sz w:val="22"/>
          <w:szCs w:val="22"/>
          <w:lang w:val="fr-FR"/>
        </w:rPr>
        <w:t>Atsuyuki</w:t>
      </w:r>
      <w:proofErr w:type="spellEnd"/>
      <w:r w:rsidRPr="008127F7">
        <w:rPr>
          <w:rFonts w:ascii="Arial" w:hAnsi="Arial" w:cs="Arial"/>
          <w:bCs/>
          <w:sz w:val="22"/>
          <w:szCs w:val="22"/>
          <w:lang w:val="fr-FR"/>
        </w:rPr>
        <w:t xml:space="preserve"> </w:t>
      </w:r>
      <w:proofErr w:type="spellStart"/>
      <w:r w:rsidRPr="008127F7">
        <w:rPr>
          <w:rFonts w:ascii="Arial" w:hAnsi="Arial" w:cs="Arial"/>
          <w:bCs/>
          <w:sz w:val="22"/>
          <w:szCs w:val="22"/>
          <w:lang w:val="fr-FR"/>
        </w:rPr>
        <w:t>Oike</w:t>
      </w:r>
      <w:proofErr w:type="spellEnd"/>
      <w:r>
        <w:rPr>
          <w:rFonts w:ascii="Arial" w:hAnsi="Arial" w:cs="Arial"/>
          <w:bCs/>
          <w:sz w:val="22"/>
          <w:szCs w:val="22"/>
          <w:lang w:val="fr-FR"/>
        </w:rPr>
        <w:t> »</w:t>
      </w:r>
      <w:r w:rsidRPr="008127F7">
        <w:rPr>
          <w:rFonts w:ascii="Arial" w:hAnsi="Arial" w:cs="Arial"/>
          <w:bCs/>
          <w:sz w:val="22"/>
          <w:szCs w:val="22"/>
          <w:lang w:val="fr-FR"/>
        </w:rPr>
        <w:t>.</w:t>
      </w:r>
    </w:p>
    <w:p w14:paraId="4097323B" w14:textId="46A26EC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E5CE0">
        <w:rPr>
          <w:rFonts w:ascii="Arial" w:hAnsi="Arial" w:cs="Arial"/>
          <w:bCs/>
          <w:sz w:val="22"/>
          <w:szCs w:val="22"/>
          <w:lang w:val="fr-FR"/>
        </w:rPr>
        <w:t>L</w:t>
      </w:r>
      <w:r>
        <w:rPr>
          <w:rFonts w:ascii="Arial" w:hAnsi="Arial" w:cs="Arial"/>
          <w:bCs/>
          <w:sz w:val="22"/>
          <w:szCs w:val="22"/>
          <w:lang w:val="fr-FR"/>
        </w:rPr>
        <w:t xml:space="preserve">e </w:t>
      </w:r>
      <w:r w:rsidRPr="009E5CE0">
        <w:rPr>
          <w:rFonts w:ascii="Arial" w:hAnsi="Arial" w:cs="Arial"/>
          <w:b/>
          <w:sz w:val="22"/>
          <w:szCs w:val="22"/>
          <w:lang w:val="fr-FR"/>
        </w:rPr>
        <w:t>Président du groupe de travail à composition non limitée</w:t>
      </w:r>
      <w:r w:rsidRPr="009E5CE0">
        <w:rPr>
          <w:rFonts w:ascii="Arial" w:hAnsi="Arial" w:cs="Arial"/>
          <w:bCs/>
          <w:sz w:val="22"/>
          <w:szCs w:val="22"/>
          <w:lang w:val="fr-FR"/>
        </w:rPr>
        <w:t>, M.</w:t>
      </w:r>
      <w:r>
        <w:rPr>
          <w:rFonts w:ascii="Arial" w:hAnsi="Arial" w:cs="Arial"/>
          <w:bCs/>
          <w:sz w:val="22"/>
          <w:szCs w:val="22"/>
          <w:lang w:val="fr-FR"/>
        </w:rPr>
        <w:t> </w:t>
      </w:r>
      <w:proofErr w:type="spellStart"/>
      <w:r w:rsidRPr="009E5CE0">
        <w:rPr>
          <w:rFonts w:ascii="Arial" w:hAnsi="Arial" w:cs="Arial"/>
          <w:bCs/>
          <w:sz w:val="22"/>
          <w:szCs w:val="22"/>
          <w:lang w:val="fr-FR"/>
        </w:rPr>
        <w:t>Atsuyuki</w:t>
      </w:r>
      <w:proofErr w:type="spellEnd"/>
      <w:r w:rsidRPr="009E5CE0">
        <w:rPr>
          <w:rFonts w:ascii="Arial" w:hAnsi="Arial" w:cs="Arial"/>
          <w:bCs/>
          <w:sz w:val="22"/>
          <w:szCs w:val="22"/>
          <w:lang w:val="fr-FR"/>
        </w:rPr>
        <w:t xml:space="preserve"> </w:t>
      </w:r>
      <w:proofErr w:type="spellStart"/>
      <w:r w:rsidRPr="009E5CE0">
        <w:rPr>
          <w:rFonts w:ascii="Arial" w:hAnsi="Arial" w:cs="Arial"/>
          <w:bCs/>
          <w:sz w:val="22"/>
          <w:szCs w:val="22"/>
          <w:lang w:val="fr-FR"/>
        </w:rPr>
        <w:t>Oike</w:t>
      </w:r>
      <w:proofErr w:type="spellEnd"/>
      <w:r w:rsidRPr="009E5CE0">
        <w:rPr>
          <w:rFonts w:ascii="Arial" w:hAnsi="Arial" w:cs="Arial"/>
          <w:bCs/>
          <w:sz w:val="22"/>
          <w:szCs w:val="22"/>
          <w:lang w:val="fr-FR"/>
        </w:rPr>
        <w:t xml:space="preserve">, </w:t>
      </w:r>
      <w:r>
        <w:rPr>
          <w:rFonts w:ascii="Arial" w:hAnsi="Arial" w:cs="Arial"/>
          <w:bCs/>
          <w:sz w:val="22"/>
          <w:szCs w:val="22"/>
          <w:lang w:val="fr-FR"/>
        </w:rPr>
        <w:t>appréciait</w:t>
      </w:r>
      <w:r w:rsidRPr="009E5CE0">
        <w:rPr>
          <w:rFonts w:ascii="Arial" w:hAnsi="Arial" w:cs="Arial"/>
          <w:bCs/>
          <w:sz w:val="22"/>
          <w:szCs w:val="22"/>
          <w:lang w:val="fr-FR"/>
        </w:rPr>
        <w:t xml:space="preserve"> les paroles aimables de la Palestine et des autres</w:t>
      </w:r>
      <w:r>
        <w:rPr>
          <w:rFonts w:ascii="Arial" w:hAnsi="Arial" w:cs="Arial"/>
          <w:bCs/>
          <w:sz w:val="22"/>
          <w:szCs w:val="22"/>
          <w:lang w:val="fr-FR"/>
        </w:rPr>
        <w:t xml:space="preserve"> orateurs</w:t>
      </w:r>
      <w:r w:rsidRPr="009E5CE0">
        <w:rPr>
          <w:rFonts w:ascii="Arial" w:hAnsi="Arial" w:cs="Arial"/>
          <w:bCs/>
          <w:sz w:val="22"/>
          <w:szCs w:val="22"/>
          <w:lang w:val="fr-FR"/>
        </w:rPr>
        <w:t xml:space="preserve">. Avec tout </w:t>
      </w:r>
      <w:r>
        <w:rPr>
          <w:rFonts w:ascii="Arial" w:hAnsi="Arial" w:cs="Arial"/>
          <w:bCs/>
          <w:sz w:val="22"/>
          <w:szCs w:val="22"/>
          <w:lang w:val="fr-FR"/>
        </w:rPr>
        <w:t>son respect</w:t>
      </w:r>
      <w:r w:rsidRPr="009E5CE0">
        <w:rPr>
          <w:rFonts w:ascii="Arial" w:hAnsi="Arial" w:cs="Arial"/>
          <w:bCs/>
          <w:sz w:val="22"/>
          <w:szCs w:val="22"/>
          <w:lang w:val="fr-FR"/>
        </w:rPr>
        <w:t xml:space="preserve">, il </w:t>
      </w:r>
      <w:r>
        <w:rPr>
          <w:rFonts w:ascii="Arial" w:hAnsi="Arial" w:cs="Arial"/>
          <w:bCs/>
          <w:sz w:val="22"/>
          <w:szCs w:val="22"/>
          <w:lang w:val="fr-FR"/>
        </w:rPr>
        <w:t xml:space="preserve">a </w:t>
      </w:r>
      <w:r w:rsidRPr="009E5CE0">
        <w:rPr>
          <w:rFonts w:ascii="Arial" w:hAnsi="Arial" w:cs="Arial"/>
          <w:bCs/>
          <w:sz w:val="22"/>
          <w:szCs w:val="22"/>
          <w:lang w:val="fr-FR"/>
        </w:rPr>
        <w:t>estim</w:t>
      </w:r>
      <w:r>
        <w:rPr>
          <w:rFonts w:ascii="Arial" w:hAnsi="Arial" w:cs="Arial"/>
          <w:bCs/>
          <w:sz w:val="22"/>
          <w:szCs w:val="22"/>
          <w:lang w:val="fr-FR"/>
        </w:rPr>
        <w:t>é</w:t>
      </w:r>
      <w:r w:rsidRPr="009E5CE0">
        <w:rPr>
          <w:rFonts w:ascii="Arial" w:hAnsi="Arial" w:cs="Arial"/>
          <w:bCs/>
          <w:sz w:val="22"/>
          <w:szCs w:val="22"/>
          <w:lang w:val="fr-FR"/>
        </w:rPr>
        <w:t xml:space="preserve"> qu</w:t>
      </w:r>
      <w:r w:rsidR="008E532B">
        <w:rPr>
          <w:rFonts w:ascii="Arial" w:hAnsi="Arial" w:cs="Arial"/>
          <w:bCs/>
          <w:sz w:val="22"/>
          <w:szCs w:val="22"/>
          <w:lang w:val="fr-FR"/>
        </w:rPr>
        <w:t>’</w:t>
      </w:r>
      <w:r w:rsidRPr="009E5CE0">
        <w:rPr>
          <w:rFonts w:ascii="Arial" w:hAnsi="Arial" w:cs="Arial"/>
          <w:bCs/>
          <w:sz w:val="22"/>
          <w:szCs w:val="22"/>
          <w:lang w:val="fr-FR"/>
        </w:rPr>
        <w:t xml:space="preserve">il </w:t>
      </w:r>
      <w:r>
        <w:rPr>
          <w:rFonts w:ascii="Arial" w:hAnsi="Arial" w:cs="Arial"/>
          <w:bCs/>
          <w:sz w:val="22"/>
          <w:szCs w:val="22"/>
          <w:lang w:val="fr-FR"/>
        </w:rPr>
        <w:t>était</w:t>
      </w:r>
      <w:r w:rsidRPr="009E5CE0">
        <w:rPr>
          <w:rFonts w:ascii="Arial" w:hAnsi="Arial" w:cs="Arial"/>
          <w:bCs/>
          <w:sz w:val="22"/>
          <w:szCs w:val="22"/>
          <w:lang w:val="fr-FR"/>
        </w:rPr>
        <w:t xml:space="preserve"> inapproprié d</w:t>
      </w:r>
      <w:r w:rsidR="008E532B">
        <w:rPr>
          <w:rFonts w:ascii="Arial" w:hAnsi="Arial" w:cs="Arial"/>
          <w:bCs/>
          <w:sz w:val="22"/>
          <w:szCs w:val="22"/>
          <w:lang w:val="fr-FR"/>
        </w:rPr>
        <w:t>’</w:t>
      </w:r>
      <w:r w:rsidRPr="009E5CE0">
        <w:rPr>
          <w:rFonts w:ascii="Arial" w:hAnsi="Arial" w:cs="Arial"/>
          <w:bCs/>
          <w:sz w:val="22"/>
          <w:szCs w:val="22"/>
          <w:lang w:val="fr-FR"/>
        </w:rPr>
        <w:t>inclure son nom dans la résolution étant donné que le groupe de travail a</w:t>
      </w:r>
      <w:r>
        <w:rPr>
          <w:rFonts w:ascii="Arial" w:hAnsi="Arial" w:cs="Arial"/>
          <w:bCs/>
          <w:sz w:val="22"/>
          <w:szCs w:val="22"/>
          <w:lang w:val="fr-FR"/>
        </w:rPr>
        <w:t>vait</w:t>
      </w:r>
      <w:r w:rsidRPr="009E5CE0">
        <w:rPr>
          <w:rFonts w:ascii="Arial" w:hAnsi="Arial" w:cs="Arial"/>
          <w:bCs/>
          <w:sz w:val="22"/>
          <w:szCs w:val="22"/>
          <w:lang w:val="fr-FR"/>
        </w:rPr>
        <w:t xml:space="preserve"> travaillé ensemble.</w:t>
      </w:r>
    </w:p>
    <w:p w14:paraId="036EC626" w14:textId="36AA4ED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E5CE0">
        <w:rPr>
          <w:rFonts w:ascii="Arial" w:hAnsi="Arial" w:cs="Arial"/>
          <w:bCs/>
          <w:sz w:val="22"/>
          <w:szCs w:val="22"/>
          <w:lang w:val="fr-FR"/>
        </w:rPr>
        <w:t xml:space="preserve">La délégation de la </w:t>
      </w:r>
      <w:r w:rsidRPr="009E5CE0">
        <w:rPr>
          <w:rFonts w:ascii="Arial" w:hAnsi="Arial" w:cs="Arial"/>
          <w:b/>
          <w:sz w:val="22"/>
          <w:szCs w:val="22"/>
          <w:lang w:val="fr-FR"/>
        </w:rPr>
        <w:t>Palestine</w:t>
      </w:r>
      <w:r w:rsidRPr="009E5CE0">
        <w:rPr>
          <w:rFonts w:ascii="Arial" w:hAnsi="Arial" w:cs="Arial"/>
          <w:bCs/>
          <w:sz w:val="22"/>
          <w:szCs w:val="22"/>
          <w:lang w:val="fr-FR"/>
        </w:rPr>
        <w:t xml:space="preserve"> </w:t>
      </w:r>
      <w:r>
        <w:rPr>
          <w:rFonts w:ascii="Arial" w:hAnsi="Arial" w:cs="Arial"/>
          <w:bCs/>
          <w:sz w:val="22"/>
          <w:szCs w:val="22"/>
          <w:lang w:val="fr-FR"/>
        </w:rPr>
        <w:t xml:space="preserve">a </w:t>
      </w:r>
      <w:r w:rsidRPr="009E5CE0">
        <w:rPr>
          <w:rFonts w:ascii="Arial" w:hAnsi="Arial" w:cs="Arial"/>
          <w:bCs/>
          <w:sz w:val="22"/>
          <w:szCs w:val="22"/>
          <w:lang w:val="fr-FR"/>
        </w:rPr>
        <w:t>fait remarquer qu</w:t>
      </w:r>
      <w:r w:rsidR="008E532B">
        <w:rPr>
          <w:rFonts w:ascii="Arial" w:hAnsi="Arial" w:cs="Arial"/>
          <w:bCs/>
          <w:sz w:val="22"/>
          <w:szCs w:val="22"/>
          <w:lang w:val="fr-FR"/>
        </w:rPr>
        <w:t>’</w:t>
      </w:r>
      <w:r w:rsidRPr="009E5CE0">
        <w:rPr>
          <w:rFonts w:ascii="Arial" w:hAnsi="Arial" w:cs="Arial"/>
          <w:bCs/>
          <w:sz w:val="22"/>
          <w:szCs w:val="22"/>
          <w:lang w:val="fr-FR"/>
        </w:rPr>
        <w:t>il n</w:t>
      </w:r>
      <w:r w:rsidR="008E532B">
        <w:rPr>
          <w:rFonts w:ascii="Arial" w:hAnsi="Arial" w:cs="Arial"/>
          <w:bCs/>
          <w:sz w:val="22"/>
          <w:szCs w:val="22"/>
          <w:lang w:val="fr-FR"/>
        </w:rPr>
        <w:t>’</w:t>
      </w:r>
      <w:r>
        <w:rPr>
          <w:rFonts w:ascii="Arial" w:hAnsi="Arial" w:cs="Arial"/>
          <w:bCs/>
          <w:sz w:val="22"/>
          <w:szCs w:val="22"/>
          <w:lang w:val="fr-FR"/>
        </w:rPr>
        <w:t>était</w:t>
      </w:r>
      <w:r w:rsidRPr="009E5CE0">
        <w:rPr>
          <w:rFonts w:ascii="Arial" w:hAnsi="Arial" w:cs="Arial"/>
          <w:bCs/>
          <w:sz w:val="22"/>
          <w:szCs w:val="22"/>
          <w:lang w:val="fr-FR"/>
        </w:rPr>
        <w:t xml:space="preserve"> pas inhabituel d</w:t>
      </w:r>
      <w:r w:rsidR="008E532B">
        <w:rPr>
          <w:rFonts w:ascii="Arial" w:hAnsi="Arial" w:cs="Arial"/>
          <w:bCs/>
          <w:sz w:val="22"/>
          <w:szCs w:val="22"/>
          <w:lang w:val="fr-FR"/>
        </w:rPr>
        <w:t>’</w:t>
      </w:r>
      <w:r w:rsidRPr="009E5CE0">
        <w:rPr>
          <w:rFonts w:ascii="Arial" w:hAnsi="Arial" w:cs="Arial"/>
          <w:bCs/>
          <w:sz w:val="22"/>
          <w:szCs w:val="22"/>
          <w:lang w:val="fr-FR"/>
        </w:rPr>
        <w:t xml:space="preserve">avoir des noms </w:t>
      </w:r>
      <w:r>
        <w:rPr>
          <w:rFonts w:ascii="Arial" w:hAnsi="Arial" w:cs="Arial"/>
          <w:bCs/>
          <w:sz w:val="22"/>
          <w:szCs w:val="22"/>
          <w:lang w:val="fr-FR"/>
        </w:rPr>
        <w:t xml:space="preserve">mentionnés </w:t>
      </w:r>
      <w:r w:rsidRPr="009E5CE0">
        <w:rPr>
          <w:rFonts w:ascii="Arial" w:hAnsi="Arial" w:cs="Arial"/>
          <w:bCs/>
          <w:sz w:val="22"/>
          <w:szCs w:val="22"/>
          <w:lang w:val="fr-FR"/>
        </w:rPr>
        <w:t>dans les projets de résolution, ce qui a</w:t>
      </w:r>
      <w:r>
        <w:rPr>
          <w:rFonts w:ascii="Arial" w:hAnsi="Arial" w:cs="Arial"/>
          <w:bCs/>
          <w:sz w:val="22"/>
          <w:szCs w:val="22"/>
          <w:lang w:val="fr-FR"/>
        </w:rPr>
        <w:t>vait</w:t>
      </w:r>
      <w:r w:rsidRPr="009E5CE0">
        <w:rPr>
          <w:rFonts w:ascii="Arial" w:hAnsi="Arial" w:cs="Arial"/>
          <w:bCs/>
          <w:sz w:val="22"/>
          <w:szCs w:val="22"/>
          <w:lang w:val="fr-FR"/>
        </w:rPr>
        <w:t xml:space="preserve"> été le cas dans d</w:t>
      </w:r>
      <w:r w:rsidR="008E532B">
        <w:rPr>
          <w:rFonts w:ascii="Arial" w:hAnsi="Arial" w:cs="Arial"/>
          <w:bCs/>
          <w:sz w:val="22"/>
          <w:szCs w:val="22"/>
          <w:lang w:val="fr-FR"/>
        </w:rPr>
        <w:t>’</w:t>
      </w:r>
      <w:r w:rsidRPr="009E5CE0">
        <w:rPr>
          <w:rFonts w:ascii="Arial" w:hAnsi="Arial" w:cs="Arial"/>
          <w:bCs/>
          <w:sz w:val="22"/>
          <w:szCs w:val="22"/>
          <w:lang w:val="fr-FR"/>
        </w:rPr>
        <w:t xml:space="preserve">autres assemblées et même au Conseil exécutif. </w:t>
      </w:r>
      <w:r>
        <w:rPr>
          <w:rFonts w:ascii="Arial" w:hAnsi="Arial" w:cs="Arial"/>
          <w:bCs/>
          <w:sz w:val="22"/>
          <w:szCs w:val="22"/>
          <w:lang w:val="fr-FR"/>
        </w:rPr>
        <w:t>À la place, e</w:t>
      </w:r>
      <w:r w:rsidRPr="009E5CE0">
        <w:rPr>
          <w:rFonts w:ascii="Arial" w:hAnsi="Arial" w:cs="Arial"/>
          <w:bCs/>
          <w:sz w:val="22"/>
          <w:szCs w:val="22"/>
          <w:lang w:val="fr-FR"/>
        </w:rPr>
        <w:t xml:space="preserve">lle </w:t>
      </w:r>
      <w:r>
        <w:rPr>
          <w:rFonts w:ascii="Arial" w:hAnsi="Arial" w:cs="Arial"/>
          <w:bCs/>
          <w:sz w:val="22"/>
          <w:szCs w:val="22"/>
          <w:lang w:val="fr-FR"/>
        </w:rPr>
        <w:t xml:space="preserve">a </w:t>
      </w:r>
      <w:r w:rsidRPr="009E5CE0">
        <w:rPr>
          <w:rFonts w:ascii="Arial" w:hAnsi="Arial" w:cs="Arial"/>
          <w:bCs/>
          <w:sz w:val="22"/>
          <w:szCs w:val="22"/>
          <w:lang w:val="fr-FR"/>
        </w:rPr>
        <w:t>propos</w:t>
      </w:r>
      <w:r>
        <w:rPr>
          <w:rFonts w:ascii="Arial" w:hAnsi="Arial" w:cs="Arial"/>
          <w:bCs/>
          <w:sz w:val="22"/>
          <w:szCs w:val="22"/>
          <w:lang w:val="fr-FR"/>
        </w:rPr>
        <w:t>é</w:t>
      </w:r>
      <w:r w:rsidRPr="009E5CE0">
        <w:rPr>
          <w:rFonts w:ascii="Arial" w:hAnsi="Arial" w:cs="Arial"/>
          <w:bCs/>
          <w:sz w:val="22"/>
          <w:szCs w:val="22"/>
          <w:lang w:val="fr-FR"/>
        </w:rPr>
        <w:t xml:space="preserve"> de laisser </w:t>
      </w:r>
      <w:r>
        <w:rPr>
          <w:rFonts w:ascii="Arial" w:hAnsi="Arial" w:cs="Arial"/>
          <w:bCs/>
          <w:sz w:val="22"/>
          <w:szCs w:val="22"/>
          <w:lang w:val="fr-FR"/>
        </w:rPr>
        <w:t xml:space="preserve">uniquement </w:t>
      </w:r>
      <w:r w:rsidRPr="009E5CE0">
        <w:rPr>
          <w:rFonts w:ascii="Arial" w:hAnsi="Arial" w:cs="Arial"/>
          <w:bCs/>
          <w:sz w:val="22"/>
          <w:szCs w:val="22"/>
          <w:lang w:val="fr-FR"/>
        </w:rPr>
        <w:t xml:space="preserve">le titre de </w:t>
      </w:r>
      <w:r>
        <w:rPr>
          <w:rFonts w:ascii="Arial" w:hAnsi="Arial" w:cs="Arial"/>
          <w:bCs/>
          <w:sz w:val="22"/>
          <w:szCs w:val="22"/>
          <w:lang w:val="fr-FR"/>
        </w:rPr>
        <w:t>« </w:t>
      </w:r>
      <w:r w:rsidRPr="009E5CE0">
        <w:rPr>
          <w:rFonts w:ascii="Arial" w:hAnsi="Arial" w:cs="Arial"/>
          <w:bCs/>
          <w:sz w:val="22"/>
          <w:szCs w:val="22"/>
          <w:lang w:val="fr-FR"/>
        </w:rPr>
        <w:t>Président</w:t>
      </w:r>
      <w:r>
        <w:rPr>
          <w:rFonts w:ascii="Arial" w:hAnsi="Arial" w:cs="Arial"/>
          <w:bCs/>
          <w:sz w:val="22"/>
          <w:szCs w:val="22"/>
          <w:lang w:val="fr-FR"/>
        </w:rPr>
        <w:t> »</w:t>
      </w:r>
      <w:r w:rsidRPr="009E5CE0">
        <w:rPr>
          <w:rFonts w:ascii="Arial" w:hAnsi="Arial" w:cs="Arial"/>
          <w:bCs/>
          <w:sz w:val="22"/>
          <w:szCs w:val="22"/>
          <w:lang w:val="fr-FR"/>
        </w:rPr>
        <w:t>. L</w:t>
      </w:r>
      <w:r w:rsidR="008E532B">
        <w:rPr>
          <w:rFonts w:ascii="Arial" w:hAnsi="Arial" w:cs="Arial"/>
          <w:bCs/>
          <w:sz w:val="22"/>
          <w:szCs w:val="22"/>
          <w:lang w:val="fr-FR"/>
        </w:rPr>
        <w:t>’</w:t>
      </w:r>
      <w:r w:rsidRPr="009E5CE0">
        <w:rPr>
          <w:rFonts w:ascii="Arial" w:hAnsi="Arial" w:cs="Arial"/>
          <w:bCs/>
          <w:sz w:val="22"/>
          <w:szCs w:val="22"/>
          <w:lang w:val="fr-FR"/>
        </w:rPr>
        <w:t xml:space="preserve">amendement avait été </w:t>
      </w:r>
      <w:r>
        <w:rPr>
          <w:rFonts w:ascii="Arial" w:hAnsi="Arial" w:cs="Arial"/>
          <w:bCs/>
          <w:sz w:val="22"/>
          <w:szCs w:val="22"/>
          <w:lang w:val="fr-FR"/>
        </w:rPr>
        <w:t xml:space="preserve">soumis en raison </w:t>
      </w:r>
      <w:r w:rsidRPr="009E5CE0">
        <w:rPr>
          <w:rFonts w:ascii="Arial" w:hAnsi="Arial" w:cs="Arial"/>
          <w:bCs/>
          <w:sz w:val="22"/>
          <w:szCs w:val="22"/>
          <w:lang w:val="fr-FR"/>
        </w:rPr>
        <w:t xml:space="preserve">des remerciements </w:t>
      </w:r>
      <w:r>
        <w:rPr>
          <w:rFonts w:ascii="Arial" w:hAnsi="Arial" w:cs="Arial"/>
          <w:bCs/>
          <w:sz w:val="22"/>
          <w:szCs w:val="22"/>
          <w:lang w:val="fr-FR"/>
        </w:rPr>
        <w:t>exprimés et de l</w:t>
      </w:r>
      <w:r w:rsidR="008E532B">
        <w:rPr>
          <w:rFonts w:ascii="Arial" w:hAnsi="Arial" w:cs="Arial"/>
          <w:bCs/>
          <w:sz w:val="22"/>
          <w:szCs w:val="22"/>
          <w:lang w:val="fr-FR"/>
        </w:rPr>
        <w:t>’</w:t>
      </w:r>
      <w:r>
        <w:rPr>
          <w:rFonts w:ascii="Arial" w:hAnsi="Arial" w:cs="Arial"/>
          <w:bCs/>
          <w:sz w:val="22"/>
          <w:szCs w:val="22"/>
          <w:lang w:val="fr-FR"/>
        </w:rPr>
        <w:t>appréciation du travail de l</w:t>
      </w:r>
      <w:r w:rsidR="008E532B">
        <w:rPr>
          <w:rFonts w:ascii="Arial" w:hAnsi="Arial" w:cs="Arial"/>
          <w:bCs/>
          <w:sz w:val="22"/>
          <w:szCs w:val="22"/>
          <w:lang w:val="fr-FR"/>
        </w:rPr>
        <w:t>’</w:t>
      </w:r>
      <w:r>
        <w:rPr>
          <w:rFonts w:ascii="Arial" w:hAnsi="Arial" w:cs="Arial"/>
          <w:bCs/>
          <w:sz w:val="22"/>
          <w:szCs w:val="22"/>
          <w:lang w:val="fr-FR"/>
        </w:rPr>
        <w:t xml:space="preserve">ambassadeur </w:t>
      </w:r>
      <w:proofErr w:type="spellStart"/>
      <w:r>
        <w:rPr>
          <w:rFonts w:ascii="Arial" w:hAnsi="Arial" w:cs="Arial"/>
          <w:bCs/>
          <w:sz w:val="22"/>
          <w:szCs w:val="22"/>
          <w:lang w:val="fr-FR"/>
        </w:rPr>
        <w:t>Oike</w:t>
      </w:r>
      <w:proofErr w:type="spellEnd"/>
      <w:r>
        <w:rPr>
          <w:rFonts w:ascii="Arial" w:hAnsi="Arial" w:cs="Arial"/>
          <w:bCs/>
          <w:sz w:val="22"/>
          <w:szCs w:val="22"/>
          <w:lang w:val="fr-FR"/>
        </w:rPr>
        <w:t xml:space="preserve"> par tous les États parties.</w:t>
      </w:r>
    </w:p>
    <w:p w14:paraId="4BB44292" w14:textId="675FCEC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B01CF">
        <w:rPr>
          <w:rFonts w:ascii="Arial" w:hAnsi="Arial" w:cs="Arial"/>
          <w:b/>
          <w:sz w:val="22"/>
          <w:szCs w:val="22"/>
          <w:lang w:val="fr-FR"/>
        </w:rPr>
        <w:t>Présidente</w:t>
      </w:r>
      <w:r>
        <w:rPr>
          <w:rFonts w:ascii="Arial" w:hAnsi="Arial" w:cs="Arial"/>
          <w:bCs/>
          <w:sz w:val="22"/>
          <w:szCs w:val="22"/>
          <w:lang w:val="fr-FR"/>
        </w:rPr>
        <w:t xml:space="preserve"> a proposé de garder « Président » et de supprimer son nom. </w:t>
      </w:r>
      <w:r w:rsidRPr="00AB22D8">
        <w:rPr>
          <w:rFonts w:ascii="Arial" w:hAnsi="Arial" w:cs="Arial"/>
          <w:bCs/>
          <w:sz w:val="22"/>
          <w:szCs w:val="22"/>
          <w:lang w:val="fr-FR"/>
        </w:rPr>
        <w:t>En l</w:t>
      </w:r>
      <w:r w:rsidR="008E532B">
        <w:rPr>
          <w:rFonts w:ascii="Arial" w:hAnsi="Arial" w:cs="Arial"/>
          <w:bCs/>
          <w:sz w:val="22"/>
          <w:szCs w:val="22"/>
          <w:lang w:val="fr-FR"/>
        </w:rPr>
        <w:t>’</w:t>
      </w:r>
      <w:r w:rsidRPr="00AB22D8">
        <w:rPr>
          <w:rFonts w:ascii="Arial" w:hAnsi="Arial" w:cs="Arial"/>
          <w:bCs/>
          <w:sz w:val="22"/>
          <w:szCs w:val="22"/>
          <w:lang w:val="fr-FR"/>
        </w:rPr>
        <w:t>absence d</w:t>
      </w:r>
      <w:r w:rsidR="008E532B">
        <w:rPr>
          <w:rFonts w:ascii="Arial" w:hAnsi="Arial" w:cs="Arial"/>
          <w:bCs/>
          <w:sz w:val="22"/>
          <w:szCs w:val="22"/>
          <w:lang w:val="fr-FR"/>
        </w:rPr>
        <w:t>’</w:t>
      </w:r>
      <w:r w:rsidRPr="00AB22D8">
        <w:rPr>
          <w:rFonts w:ascii="Arial" w:hAnsi="Arial" w:cs="Arial"/>
          <w:bCs/>
          <w:sz w:val="22"/>
          <w:szCs w:val="22"/>
          <w:lang w:val="fr-FR"/>
        </w:rPr>
        <w:t xml:space="preserve">objections, le paragraphe 6 a été adopté. Les paragraphes 7 et 8 ont été </w:t>
      </w:r>
      <w:r>
        <w:rPr>
          <w:rFonts w:ascii="Arial" w:hAnsi="Arial" w:cs="Arial"/>
          <w:bCs/>
          <w:sz w:val="22"/>
          <w:szCs w:val="22"/>
          <w:lang w:val="fr-FR"/>
        </w:rPr>
        <w:t xml:space="preserve">adoptés sans </w:t>
      </w:r>
      <w:r w:rsidRPr="00FB01CF">
        <w:rPr>
          <w:rFonts w:ascii="Arial" w:hAnsi="Arial" w:cs="Arial"/>
          <w:bCs/>
          <w:sz w:val="22"/>
          <w:szCs w:val="22"/>
          <w:lang w:val="fr-FR"/>
        </w:rPr>
        <w:t>objections</w:t>
      </w:r>
      <w:r>
        <w:rPr>
          <w:rFonts w:ascii="Arial" w:hAnsi="Arial" w:cs="Arial"/>
          <w:bCs/>
          <w:sz w:val="22"/>
          <w:szCs w:val="22"/>
          <w:lang w:val="fr-FR"/>
        </w:rPr>
        <w:t xml:space="preserve">. Passant au projet de </w:t>
      </w:r>
      <w:r w:rsidRPr="00FB01CF">
        <w:rPr>
          <w:rFonts w:ascii="Arial" w:eastAsia="SimSun" w:hAnsi="Arial" w:cs="Arial"/>
          <w:bCs/>
          <w:sz w:val="22"/>
          <w:szCs w:val="22"/>
          <w:lang w:val="fr-FR" w:eastAsia="en-US"/>
        </w:rPr>
        <w:t>résolution</w:t>
      </w:r>
      <w:r>
        <w:rPr>
          <w:rFonts w:ascii="Arial" w:eastAsia="SimSun" w:hAnsi="Arial" w:cs="Arial"/>
          <w:bCs/>
          <w:sz w:val="22"/>
          <w:szCs w:val="22"/>
          <w:lang w:val="fr-FR" w:eastAsia="en-US"/>
        </w:rPr>
        <w:t xml:space="preserve"> dans son ensemble, la </w:t>
      </w:r>
      <w:r w:rsidRPr="00FB01CF">
        <w:rPr>
          <w:rFonts w:ascii="Arial" w:eastAsia="SimSun" w:hAnsi="Arial" w:cs="Arial"/>
          <w:b/>
          <w:sz w:val="22"/>
          <w:szCs w:val="22"/>
          <w:lang w:val="fr-FR" w:eastAsia="en-US"/>
        </w:rPr>
        <w:t>Présidente a déclaré la résolution 9.GA 9</w:t>
      </w:r>
      <w:r>
        <w:rPr>
          <w:rFonts w:ascii="Arial" w:eastAsia="SimSun" w:hAnsi="Arial" w:cs="Arial"/>
          <w:b/>
          <w:sz w:val="22"/>
          <w:szCs w:val="22"/>
          <w:lang w:val="fr-FR" w:eastAsia="en-US"/>
        </w:rPr>
        <w:t xml:space="preserve"> adoptée</w:t>
      </w:r>
      <w:r>
        <w:rPr>
          <w:rFonts w:ascii="Arial" w:eastAsia="SimSun" w:hAnsi="Arial" w:cs="Arial"/>
          <w:bCs/>
          <w:sz w:val="22"/>
          <w:szCs w:val="22"/>
          <w:lang w:val="fr-FR" w:eastAsia="en-US"/>
        </w:rPr>
        <w:t>.</w:t>
      </w:r>
    </w:p>
    <w:p w14:paraId="6347DAC9" w14:textId="618BFE68" w:rsidR="00D9653F" w:rsidRPr="009F6BC9" w:rsidRDefault="00D9653F" w:rsidP="009F6BC9">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9F6BC9">
        <w:rPr>
          <w:b/>
          <w:color w:val="000000" w:themeColor="text1"/>
          <w:u w:val="single"/>
          <w:lang w:val="fr-FR"/>
        </w:rPr>
        <w:t>POINT 10 DE L</w:t>
      </w:r>
      <w:r w:rsidR="008E532B">
        <w:rPr>
          <w:b/>
          <w:color w:val="000000" w:themeColor="text1"/>
          <w:u w:val="single"/>
          <w:lang w:val="fr-FR"/>
        </w:rPr>
        <w:t>’</w:t>
      </w:r>
      <w:r w:rsidRPr="009F6BC9">
        <w:rPr>
          <w:b/>
          <w:color w:val="000000" w:themeColor="text1"/>
          <w:u w:val="single"/>
          <w:lang w:val="fr-FR"/>
        </w:rPr>
        <w:t xml:space="preserve">ORDRE DU JOUR : </w:t>
      </w:r>
    </w:p>
    <w:p w14:paraId="02F2A932" w14:textId="222A4449" w:rsidR="00D9653F" w:rsidRPr="00C678A5" w:rsidRDefault="00D9653F" w:rsidP="009F6BC9">
      <w:pPr>
        <w:pStyle w:val="Orateurengris"/>
        <w:keepNext/>
        <w:tabs>
          <w:tab w:val="clear" w:pos="709"/>
          <w:tab w:val="clear" w:pos="1418"/>
          <w:tab w:val="clear" w:pos="2126"/>
          <w:tab w:val="clear" w:pos="2835"/>
        </w:tabs>
        <w:outlineLvl w:val="0"/>
        <w:rPr>
          <w:lang w:val="fr-FR"/>
        </w:rPr>
      </w:pPr>
      <w:r w:rsidRPr="009F6BC9">
        <w:rPr>
          <w:b/>
          <w:color w:val="000000" w:themeColor="text1"/>
          <w:lang w:val="fr-FR"/>
        </w:rPr>
        <w:t xml:space="preserve">UTILISATION DES RESSOURCES DU FONDS DU PATRIMOINE CULTUREL IMMATÉRIEL </w:t>
      </w:r>
    </w:p>
    <w:p w14:paraId="3251A687" w14:textId="4D1F3FC3" w:rsidR="00D9653F" w:rsidRPr="00C678A5" w:rsidRDefault="00D9653F" w:rsidP="000438FF">
      <w:pPr>
        <w:keepNext/>
        <w:tabs>
          <w:tab w:val="left" w:pos="567"/>
          <w:tab w:val="left" w:pos="2127"/>
        </w:tabs>
        <w:suppressAutoHyphens/>
        <w:autoSpaceDE w:val="0"/>
        <w:jc w:val="both"/>
        <w:rPr>
          <w:rFonts w:ascii="Arial" w:hAnsi="Arial" w:cs="Arial"/>
          <w:bCs/>
          <w:i/>
          <w:iCs/>
          <w:sz w:val="22"/>
          <w:szCs w:val="22"/>
          <w:lang w:val="fr-FR"/>
        </w:rPr>
      </w:pPr>
      <w:r w:rsidRPr="00C678A5">
        <w:rPr>
          <w:rFonts w:ascii="Arial" w:hAnsi="Arial" w:cs="Arial"/>
          <w:b/>
          <w:sz w:val="22"/>
          <w:szCs w:val="22"/>
          <w:lang w:val="fr-FR"/>
        </w:rPr>
        <w:tab/>
      </w:r>
      <w:r>
        <w:rPr>
          <w:rFonts w:ascii="Arial" w:hAnsi="Arial" w:cs="Arial"/>
          <w:b/>
          <w:sz w:val="22"/>
          <w:szCs w:val="22"/>
          <w:lang w:val="fr-FR"/>
        </w:rPr>
        <w:t>Document</w:t>
      </w:r>
      <w:r w:rsidR="00BA6601">
        <w:rPr>
          <w:rFonts w:ascii="Arial" w:hAnsi="Arial" w:cs="Arial"/>
          <w:b/>
          <w:sz w:val="22"/>
          <w:szCs w:val="22"/>
          <w:lang w:val="fr-FR"/>
        </w:rPr>
        <w:t>s</w:t>
      </w:r>
      <w:r>
        <w:rPr>
          <w:rFonts w:ascii="Arial" w:hAnsi="Arial" w:cs="Arial"/>
          <w:b/>
          <w:sz w:val="22"/>
          <w:szCs w:val="22"/>
          <w:lang w:val="fr-FR"/>
        </w:rPr>
        <w:t> </w:t>
      </w:r>
      <w:r w:rsidRPr="00C678A5">
        <w:rPr>
          <w:rFonts w:ascii="Arial" w:hAnsi="Arial" w:cs="Arial"/>
          <w:b/>
          <w:sz w:val="22"/>
          <w:szCs w:val="22"/>
          <w:lang w:val="fr-FR"/>
        </w:rPr>
        <w:t>:</w:t>
      </w:r>
      <w:r w:rsidR="00BA6601">
        <w:rPr>
          <w:rFonts w:ascii="Arial" w:hAnsi="Arial" w:cs="Arial"/>
          <w:b/>
          <w:sz w:val="22"/>
          <w:szCs w:val="22"/>
          <w:lang w:val="fr-FR"/>
        </w:rPr>
        <w:tab/>
      </w:r>
      <w:hyperlink r:id="rId50" w:history="1">
        <w:r w:rsidRPr="00C678A5">
          <w:rPr>
            <w:rStyle w:val="Hyperlink"/>
            <w:rFonts w:ascii="Arial" w:hAnsi="Arial" w:cs="Arial"/>
            <w:bCs/>
            <w:i/>
            <w:iCs/>
            <w:sz w:val="22"/>
            <w:szCs w:val="22"/>
            <w:lang w:val="fr-FR"/>
          </w:rPr>
          <w:t>LHE/22/9.GA/10</w:t>
        </w:r>
      </w:hyperlink>
    </w:p>
    <w:p w14:paraId="016E47D7" w14:textId="43F9D961" w:rsidR="00D9653F" w:rsidRPr="00C678A5" w:rsidRDefault="00D9653F" w:rsidP="000438FF">
      <w:pPr>
        <w:keepNext/>
        <w:tabs>
          <w:tab w:val="left" w:pos="2127"/>
        </w:tabs>
        <w:suppressAutoHyphens/>
        <w:autoSpaceDE w:val="0"/>
        <w:spacing w:after="120"/>
        <w:jc w:val="both"/>
        <w:rPr>
          <w:rFonts w:ascii="Arial" w:hAnsi="Arial" w:cs="Arial"/>
          <w:bCs/>
          <w:i/>
          <w:iCs/>
          <w:sz w:val="22"/>
          <w:szCs w:val="22"/>
          <w:lang w:val="fr-FR"/>
        </w:rPr>
      </w:pPr>
      <w:r w:rsidRPr="00C678A5">
        <w:rPr>
          <w:rFonts w:ascii="Arial" w:hAnsi="Arial" w:cs="Arial"/>
          <w:bCs/>
          <w:i/>
          <w:iCs/>
          <w:sz w:val="22"/>
          <w:szCs w:val="22"/>
          <w:lang w:val="fr-FR"/>
        </w:rPr>
        <w:tab/>
      </w:r>
      <w:hyperlink r:id="rId51" w:history="1">
        <w:r w:rsidRPr="00C678A5">
          <w:rPr>
            <w:rStyle w:val="Hyperlink"/>
            <w:rFonts w:ascii="Arial" w:hAnsi="Arial" w:cs="Arial"/>
            <w:bCs/>
            <w:i/>
            <w:iCs/>
            <w:sz w:val="22"/>
            <w:szCs w:val="22"/>
            <w:lang w:val="fr-FR"/>
          </w:rPr>
          <w:t>LHE/22/9.GA/INF.10</w:t>
        </w:r>
      </w:hyperlink>
    </w:p>
    <w:p w14:paraId="27463017" w14:textId="63153B39" w:rsidR="00D9653F" w:rsidRPr="00C678A5" w:rsidRDefault="00D9653F" w:rsidP="000438FF">
      <w:pPr>
        <w:keepNext/>
        <w:tabs>
          <w:tab w:val="left" w:pos="567"/>
          <w:tab w:val="left" w:pos="2127"/>
        </w:tabs>
        <w:suppressAutoHyphens/>
        <w:autoSpaceDE w:val="0"/>
        <w:spacing w:before="120" w:after="240"/>
        <w:jc w:val="both"/>
        <w:rPr>
          <w:rFonts w:ascii="Arial" w:hAnsi="Arial" w:cs="Arial"/>
          <w:b/>
          <w:sz w:val="22"/>
          <w:szCs w:val="22"/>
          <w:lang w:val="fr-FR"/>
        </w:rPr>
      </w:pPr>
      <w:r w:rsidRPr="00C678A5">
        <w:rPr>
          <w:rFonts w:ascii="Arial" w:hAnsi="Arial" w:cs="Arial"/>
          <w:bCs/>
          <w:i/>
          <w:iCs/>
          <w:sz w:val="22"/>
          <w:szCs w:val="22"/>
          <w:lang w:val="fr-FR"/>
        </w:rPr>
        <w:tab/>
      </w:r>
      <w:r w:rsidRPr="00C678A5">
        <w:rPr>
          <w:rFonts w:ascii="Arial" w:hAnsi="Arial" w:cs="Arial"/>
          <w:b/>
          <w:sz w:val="22"/>
          <w:szCs w:val="22"/>
          <w:lang w:val="fr-FR"/>
        </w:rPr>
        <w:t>R</w:t>
      </w:r>
      <w:r>
        <w:rPr>
          <w:rFonts w:ascii="Arial" w:hAnsi="Arial" w:cs="Arial"/>
          <w:b/>
          <w:sz w:val="22"/>
          <w:szCs w:val="22"/>
          <w:lang w:val="fr-FR"/>
        </w:rPr>
        <w:t>é</w:t>
      </w:r>
      <w:r w:rsidRPr="00C678A5">
        <w:rPr>
          <w:rFonts w:ascii="Arial" w:hAnsi="Arial" w:cs="Arial"/>
          <w:b/>
          <w:sz w:val="22"/>
          <w:szCs w:val="22"/>
          <w:lang w:val="fr-FR"/>
        </w:rPr>
        <w:t>solution</w:t>
      </w:r>
      <w:r>
        <w:rPr>
          <w:rFonts w:ascii="Arial" w:hAnsi="Arial" w:cs="Arial"/>
          <w:b/>
          <w:sz w:val="22"/>
          <w:szCs w:val="22"/>
          <w:lang w:val="fr-FR"/>
        </w:rPr>
        <w:t> </w:t>
      </w:r>
      <w:r w:rsidRPr="00C678A5">
        <w:rPr>
          <w:rFonts w:ascii="Arial" w:hAnsi="Arial" w:cs="Arial"/>
          <w:b/>
          <w:sz w:val="22"/>
          <w:szCs w:val="22"/>
          <w:lang w:val="fr-FR"/>
        </w:rPr>
        <w:t>:</w:t>
      </w:r>
      <w:r w:rsidR="00BA6601">
        <w:rPr>
          <w:rFonts w:ascii="Arial" w:hAnsi="Arial" w:cs="Arial"/>
          <w:b/>
          <w:sz w:val="22"/>
          <w:szCs w:val="22"/>
          <w:lang w:val="fr-FR"/>
        </w:rPr>
        <w:tab/>
      </w:r>
      <w:hyperlink r:id="rId52" w:history="1">
        <w:r w:rsidRPr="00C678A5">
          <w:rPr>
            <w:rStyle w:val="Hyperlink"/>
            <w:rFonts w:ascii="Arial" w:hAnsi="Arial" w:cs="Arial"/>
            <w:bCs/>
            <w:i/>
            <w:iCs/>
            <w:sz w:val="22"/>
            <w:szCs w:val="22"/>
            <w:lang w:val="fr-FR"/>
          </w:rPr>
          <w:t>9.GA 10</w:t>
        </w:r>
      </w:hyperlink>
    </w:p>
    <w:p w14:paraId="4AAFA8DD" w14:textId="158E51D2" w:rsidR="00D9653F" w:rsidRDefault="00D9653F" w:rsidP="00D9653F">
      <w:pPr>
        <w:numPr>
          <w:ilvl w:val="0"/>
          <w:numId w:val="19"/>
        </w:numPr>
        <w:suppressAutoHyphens/>
        <w:autoSpaceDE w:val="0"/>
        <w:ind w:left="567" w:hanging="567"/>
        <w:jc w:val="both"/>
        <w:rPr>
          <w:rFonts w:ascii="Arial" w:hAnsi="Arial" w:cs="Arial"/>
          <w:bCs/>
          <w:sz w:val="22"/>
          <w:szCs w:val="22"/>
          <w:lang w:val="fr-FR"/>
        </w:rPr>
      </w:pPr>
      <w:r w:rsidRPr="00C678A5">
        <w:rPr>
          <w:rFonts w:ascii="Arial" w:hAnsi="Arial" w:cs="Arial"/>
          <w:bCs/>
          <w:sz w:val="22"/>
          <w:szCs w:val="22"/>
          <w:lang w:val="fr-FR"/>
        </w:rPr>
        <w:t xml:space="preserve">La </w:t>
      </w:r>
      <w:r w:rsidRPr="00C678A5">
        <w:rPr>
          <w:rFonts w:ascii="Arial" w:hAnsi="Arial" w:cs="Arial"/>
          <w:b/>
          <w:sz w:val="22"/>
          <w:szCs w:val="22"/>
          <w:lang w:val="fr-FR"/>
        </w:rPr>
        <w:t>Présidente</w:t>
      </w:r>
      <w:r w:rsidRPr="00C678A5">
        <w:rPr>
          <w:rFonts w:ascii="Arial" w:hAnsi="Arial" w:cs="Arial"/>
          <w:bCs/>
          <w:sz w:val="22"/>
          <w:szCs w:val="22"/>
          <w:lang w:val="fr-FR"/>
        </w:rPr>
        <w:t xml:space="preserve"> </w:t>
      </w:r>
      <w:r>
        <w:rPr>
          <w:rFonts w:ascii="Arial" w:hAnsi="Arial" w:cs="Arial"/>
          <w:bCs/>
          <w:sz w:val="22"/>
          <w:szCs w:val="22"/>
          <w:lang w:val="fr-FR"/>
        </w:rPr>
        <w:t>est passée au</w:t>
      </w:r>
      <w:r w:rsidRPr="00C678A5">
        <w:rPr>
          <w:rFonts w:ascii="Arial" w:hAnsi="Arial" w:cs="Arial"/>
          <w:bCs/>
          <w:sz w:val="22"/>
          <w:szCs w:val="22"/>
          <w:lang w:val="fr-FR"/>
        </w:rPr>
        <w:t xml:space="preserve"> point 10</w:t>
      </w:r>
      <w:r>
        <w:rPr>
          <w:rFonts w:ascii="Arial" w:hAnsi="Arial" w:cs="Arial"/>
          <w:bCs/>
          <w:sz w:val="22"/>
          <w:szCs w:val="22"/>
          <w:lang w:val="fr-FR"/>
        </w:rPr>
        <w:t xml:space="preserve">, </w:t>
      </w:r>
      <w:r w:rsidRPr="00C678A5">
        <w:rPr>
          <w:rFonts w:ascii="Arial" w:hAnsi="Arial" w:cs="Arial"/>
          <w:bCs/>
          <w:sz w:val="22"/>
          <w:szCs w:val="22"/>
          <w:lang w:val="fr-FR"/>
        </w:rPr>
        <w:t>l</w:t>
      </w:r>
      <w:r w:rsidR="008E532B">
        <w:rPr>
          <w:rFonts w:ascii="Arial" w:hAnsi="Arial" w:cs="Arial"/>
          <w:bCs/>
          <w:sz w:val="22"/>
          <w:szCs w:val="22"/>
          <w:lang w:val="fr-FR"/>
        </w:rPr>
        <w:t>’</w:t>
      </w:r>
      <w:r w:rsidRPr="00C678A5">
        <w:rPr>
          <w:rFonts w:ascii="Arial" w:hAnsi="Arial" w:cs="Arial"/>
          <w:bCs/>
          <w:sz w:val="22"/>
          <w:szCs w:val="22"/>
          <w:lang w:val="fr-FR"/>
        </w:rPr>
        <w:t>utilisation des ressources du Fonds du patrimoine culturel immatériel. Elle a expliqué que l</w:t>
      </w:r>
      <w:r w:rsidR="008E532B">
        <w:rPr>
          <w:rFonts w:ascii="Arial" w:hAnsi="Arial" w:cs="Arial"/>
          <w:bCs/>
          <w:sz w:val="22"/>
          <w:szCs w:val="22"/>
          <w:lang w:val="fr-FR"/>
        </w:rPr>
        <w:t>’</w:t>
      </w:r>
      <w:r w:rsidRPr="00C678A5">
        <w:rPr>
          <w:rFonts w:ascii="Arial" w:hAnsi="Arial" w:cs="Arial"/>
          <w:bCs/>
          <w:sz w:val="22"/>
          <w:szCs w:val="22"/>
          <w:lang w:val="fr-FR"/>
        </w:rPr>
        <w:t>adoption du plan d</w:t>
      </w:r>
      <w:r w:rsidR="008E532B">
        <w:rPr>
          <w:rFonts w:ascii="Arial" w:hAnsi="Arial" w:cs="Arial"/>
          <w:bCs/>
          <w:sz w:val="22"/>
          <w:szCs w:val="22"/>
          <w:lang w:val="fr-FR"/>
        </w:rPr>
        <w:t>’</w:t>
      </w:r>
      <w:r w:rsidRPr="00C678A5">
        <w:rPr>
          <w:rFonts w:ascii="Arial" w:hAnsi="Arial" w:cs="Arial"/>
          <w:bCs/>
          <w:sz w:val="22"/>
          <w:szCs w:val="22"/>
          <w:lang w:val="fr-FR"/>
        </w:rPr>
        <w:t>utilisation des ressources du Fonds</w:t>
      </w:r>
      <w:r>
        <w:rPr>
          <w:rFonts w:ascii="Arial" w:hAnsi="Arial" w:cs="Arial"/>
          <w:bCs/>
          <w:sz w:val="22"/>
          <w:szCs w:val="22"/>
          <w:lang w:val="fr-FR"/>
        </w:rPr>
        <w:t>,</w:t>
      </w:r>
      <w:r w:rsidRPr="00C678A5">
        <w:rPr>
          <w:rFonts w:ascii="Arial" w:hAnsi="Arial" w:cs="Arial"/>
          <w:bCs/>
          <w:sz w:val="22"/>
          <w:szCs w:val="22"/>
          <w:lang w:val="fr-FR"/>
        </w:rPr>
        <w:t xml:space="preserve"> sur la base d</w:t>
      </w:r>
      <w:r w:rsidR="008E532B">
        <w:rPr>
          <w:rFonts w:ascii="Arial" w:hAnsi="Arial" w:cs="Arial"/>
          <w:bCs/>
          <w:sz w:val="22"/>
          <w:szCs w:val="22"/>
          <w:lang w:val="fr-FR"/>
        </w:rPr>
        <w:t>’</w:t>
      </w:r>
      <w:r w:rsidRPr="00C678A5">
        <w:rPr>
          <w:rFonts w:ascii="Arial" w:hAnsi="Arial" w:cs="Arial"/>
          <w:bCs/>
          <w:sz w:val="22"/>
          <w:szCs w:val="22"/>
          <w:lang w:val="fr-FR"/>
        </w:rPr>
        <w:t xml:space="preserve">une proposition soumise par la </w:t>
      </w:r>
      <w:r>
        <w:rPr>
          <w:rFonts w:ascii="Arial" w:hAnsi="Arial" w:cs="Arial"/>
          <w:bCs/>
          <w:sz w:val="22"/>
          <w:szCs w:val="22"/>
          <w:lang w:val="fr-FR"/>
        </w:rPr>
        <w:t>seizième</w:t>
      </w:r>
      <w:r w:rsidRPr="00C678A5">
        <w:rPr>
          <w:rFonts w:ascii="Arial" w:hAnsi="Arial" w:cs="Arial"/>
          <w:bCs/>
          <w:sz w:val="22"/>
          <w:szCs w:val="22"/>
          <w:lang w:val="fr-FR"/>
        </w:rPr>
        <w:t xml:space="preserve"> session du Comité</w:t>
      </w:r>
      <w:r>
        <w:rPr>
          <w:rFonts w:ascii="Arial" w:hAnsi="Arial" w:cs="Arial"/>
          <w:bCs/>
          <w:sz w:val="22"/>
          <w:szCs w:val="22"/>
          <w:lang w:val="fr-FR"/>
        </w:rPr>
        <w:t>,</w:t>
      </w:r>
      <w:r w:rsidRPr="00C678A5">
        <w:rPr>
          <w:rFonts w:ascii="Arial" w:hAnsi="Arial" w:cs="Arial"/>
          <w:bCs/>
          <w:sz w:val="22"/>
          <w:szCs w:val="22"/>
          <w:lang w:val="fr-FR"/>
        </w:rPr>
        <w:t xml:space="preserve"> était l</w:t>
      </w:r>
      <w:r w:rsidR="008E532B">
        <w:rPr>
          <w:rFonts w:ascii="Arial" w:hAnsi="Arial" w:cs="Arial"/>
          <w:bCs/>
          <w:sz w:val="22"/>
          <w:szCs w:val="22"/>
          <w:lang w:val="fr-FR"/>
        </w:rPr>
        <w:t>’</w:t>
      </w:r>
      <w:r w:rsidRPr="00C678A5">
        <w:rPr>
          <w:rFonts w:ascii="Arial" w:hAnsi="Arial" w:cs="Arial"/>
          <w:bCs/>
          <w:sz w:val="22"/>
          <w:szCs w:val="22"/>
          <w:lang w:val="fr-FR"/>
        </w:rPr>
        <w:t>une des principales prérogatives de l</w:t>
      </w:r>
      <w:r w:rsidR="008E532B">
        <w:rPr>
          <w:rFonts w:ascii="Arial" w:hAnsi="Arial" w:cs="Arial"/>
          <w:bCs/>
          <w:sz w:val="22"/>
          <w:szCs w:val="22"/>
          <w:lang w:val="fr-FR"/>
        </w:rPr>
        <w:t>’</w:t>
      </w:r>
      <w:r w:rsidRPr="00C678A5">
        <w:rPr>
          <w:rFonts w:ascii="Arial" w:hAnsi="Arial" w:cs="Arial"/>
          <w:bCs/>
          <w:sz w:val="22"/>
          <w:szCs w:val="22"/>
          <w:lang w:val="fr-FR"/>
        </w:rPr>
        <w:t>Assemblée générale</w:t>
      </w:r>
      <w:r>
        <w:rPr>
          <w:rFonts w:ascii="Arial" w:hAnsi="Arial" w:cs="Arial"/>
          <w:bCs/>
          <w:sz w:val="22"/>
          <w:szCs w:val="22"/>
          <w:lang w:val="fr-FR"/>
        </w:rPr>
        <w:t>,</w:t>
      </w:r>
      <w:r w:rsidRPr="00C678A5">
        <w:rPr>
          <w:rFonts w:ascii="Arial" w:hAnsi="Arial" w:cs="Arial"/>
          <w:bCs/>
          <w:sz w:val="22"/>
          <w:szCs w:val="22"/>
          <w:lang w:val="fr-FR"/>
        </w:rPr>
        <w:t xml:space="preserve"> conformément à l</w:t>
      </w:r>
      <w:r w:rsidR="008E532B">
        <w:rPr>
          <w:rFonts w:ascii="Arial" w:hAnsi="Arial" w:cs="Arial"/>
          <w:bCs/>
          <w:sz w:val="22"/>
          <w:szCs w:val="22"/>
          <w:lang w:val="fr-FR"/>
        </w:rPr>
        <w:t>’</w:t>
      </w:r>
      <w:r w:rsidRPr="00C678A5">
        <w:rPr>
          <w:rFonts w:ascii="Arial" w:hAnsi="Arial" w:cs="Arial"/>
          <w:bCs/>
          <w:sz w:val="22"/>
          <w:szCs w:val="22"/>
          <w:lang w:val="fr-FR"/>
        </w:rPr>
        <w:t>article 25.4 de la Convention.</w:t>
      </w:r>
    </w:p>
    <w:p w14:paraId="4FEDFD34" w14:textId="025D8F86" w:rsidR="00D9653F" w:rsidRPr="00511851" w:rsidRDefault="008D65C3"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
          <w:sz w:val="22"/>
          <w:szCs w:val="22"/>
          <w:lang w:val="fr-FR"/>
        </w:rPr>
        <w:t>Mme</w:t>
      </w:r>
      <w:r w:rsidR="00D9653F">
        <w:rPr>
          <w:rFonts w:ascii="Arial" w:hAnsi="Arial" w:cs="Arial"/>
          <w:b/>
          <w:sz w:val="22"/>
          <w:szCs w:val="22"/>
          <w:lang w:val="fr-FR"/>
        </w:rPr>
        <w:t> </w:t>
      </w:r>
      <w:r w:rsidR="00D9653F" w:rsidRPr="00511851">
        <w:rPr>
          <w:rFonts w:ascii="Arial" w:hAnsi="Arial" w:cs="Arial"/>
          <w:b/>
          <w:sz w:val="22"/>
          <w:szCs w:val="22"/>
          <w:lang w:val="fr-FR"/>
        </w:rPr>
        <w:t>Fumiko Ohinata</w:t>
      </w:r>
      <w:r w:rsidR="00603192">
        <w:rPr>
          <w:rFonts w:ascii="Arial" w:hAnsi="Arial" w:cs="Arial"/>
          <w:bCs/>
          <w:sz w:val="22"/>
          <w:szCs w:val="22"/>
          <w:lang w:val="fr-FR"/>
        </w:rPr>
        <w:t xml:space="preserve"> </w:t>
      </w:r>
      <w:r w:rsidR="00D9653F" w:rsidRPr="00511851">
        <w:rPr>
          <w:rFonts w:ascii="Arial" w:hAnsi="Arial" w:cs="Arial"/>
          <w:bCs/>
          <w:sz w:val="22"/>
          <w:szCs w:val="22"/>
          <w:lang w:val="fr-FR"/>
        </w:rPr>
        <w:t xml:space="preserve">a </w:t>
      </w:r>
      <w:r w:rsidR="00D9653F">
        <w:rPr>
          <w:rFonts w:ascii="Arial" w:hAnsi="Arial" w:cs="Arial"/>
          <w:bCs/>
          <w:sz w:val="22"/>
          <w:szCs w:val="22"/>
          <w:lang w:val="fr-FR"/>
        </w:rPr>
        <w:t xml:space="preserve">débuté son </w:t>
      </w:r>
      <w:r w:rsidR="00D9653F" w:rsidRPr="00511851">
        <w:rPr>
          <w:rFonts w:ascii="Arial" w:hAnsi="Arial" w:cs="Arial"/>
          <w:bCs/>
          <w:sz w:val="22"/>
          <w:szCs w:val="22"/>
          <w:lang w:val="fr-FR"/>
        </w:rPr>
        <w:t>intervention</w:t>
      </w:r>
      <w:r w:rsidR="00D9653F">
        <w:rPr>
          <w:rFonts w:ascii="Arial" w:hAnsi="Arial" w:cs="Arial"/>
          <w:bCs/>
          <w:sz w:val="22"/>
          <w:szCs w:val="22"/>
          <w:lang w:val="fr-FR"/>
        </w:rPr>
        <w:t xml:space="preserve"> en informant</w:t>
      </w:r>
      <w:r w:rsidR="00D9653F" w:rsidRPr="00511851">
        <w:rPr>
          <w:rFonts w:ascii="Arial" w:hAnsi="Arial" w:cs="Arial"/>
          <w:bCs/>
          <w:sz w:val="22"/>
          <w:szCs w:val="22"/>
          <w:lang w:val="fr-FR"/>
        </w:rPr>
        <w:t xml:space="preserve"> l</w:t>
      </w:r>
      <w:r w:rsidR="008E532B">
        <w:rPr>
          <w:rFonts w:ascii="Arial" w:hAnsi="Arial" w:cs="Arial"/>
          <w:bCs/>
          <w:sz w:val="22"/>
          <w:szCs w:val="22"/>
          <w:lang w:val="fr-FR"/>
        </w:rPr>
        <w:t>’</w:t>
      </w:r>
      <w:r w:rsidR="00D9653F" w:rsidRPr="00511851">
        <w:rPr>
          <w:rFonts w:ascii="Arial" w:hAnsi="Arial" w:cs="Arial"/>
          <w:bCs/>
          <w:sz w:val="22"/>
          <w:szCs w:val="22"/>
          <w:lang w:val="fr-FR"/>
        </w:rPr>
        <w:t>Assemblée que le Fonds était en bonne santé avec un solde de 8,7 millions de dollars des États-Unis</w:t>
      </w:r>
      <w:r w:rsidR="00D9653F">
        <w:rPr>
          <w:rFonts w:ascii="Arial" w:hAnsi="Arial" w:cs="Arial"/>
          <w:bCs/>
          <w:sz w:val="22"/>
          <w:szCs w:val="22"/>
          <w:lang w:val="fr-FR"/>
        </w:rPr>
        <w:t xml:space="preserve"> </w:t>
      </w:r>
      <w:r w:rsidR="00D9653F" w:rsidRPr="00511851">
        <w:rPr>
          <w:rFonts w:ascii="Arial" w:hAnsi="Arial" w:cs="Arial"/>
          <w:bCs/>
          <w:sz w:val="22"/>
          <w:szCs w:val="22"/>
          <w:lang w:val="fr-FR"/>
        </w:rPr>
        <w:t>au 31</w:t>
      </w:r>
      <w:r w:rsidR="00D9653F">
        <w:rPr>
          <w:rFonts w:ascii="Arial" w:hAnsi="Arial" w:cs="Arial"/>
          <w:bCs/>
          <w:sz w:val="22"/>
          <w:szCs w:val="22"/>
          <w:lang w:val="fr-FR"/>
        </w:rPr>
        <w:t> </w:t>
      </w:r>
      <w:r w:rsidR="00D9653F" w:rsidRPr="00511851">
        <w:rPr>
          <w:rFonts w:ascii="Arial" w:hAnsi="Arial" w:cs="Arial"/>
          <w:bCs/>
          <w:sz w:val="22"/>
          <w:szCs w:val="22"/>
          <w:lang w:val="fr-FR"/>
        </w:rPr>
        <w:t>décembre</w:t>
      </w:r>
      <w:r w:rsidR="00D9653F">
        <w:rPr>
          <w:rFonts w:ascii="Arial" w:hAnsi="Arial" w:cs="Arial"/>
          <w:bCs/>
          <w:sz w:val="22"/>
          <w:szCs w:val="22"/>
          <w:lang w:val="fr-FR"/>
        </w:rPr>
        <w:t> </w:t>
      </w:r>
      <w:r w:rsidR="00D9653F" w:rsidRPr="00511851">
        <w:rPr>
          <w:rFonts w:ascii="Arial" w:hAnsi="Arial" w:cs="Arial"/>
          <w:bCs/>
          <w:sz w:val="22"/>
          <w:szCs w:val="22"/>
          <w:lang w:val="fr-FR"/>
        </w:rPr>
        <w:t>2021, ce qui exclu</w:t>
      </w:r>
      <w:r w:rsidR="00D9653F">
        <w:rPr>
          <w:rFonts w:ascii="Arial" w:hAnsi="Arial" w:cs="Arial"/>
          <w:bCs/>
          <w:sz w:val="22"/>
          <w:szCs w:val="22"/>
          <w:lang w:val="fr-FR"/>
        </w:rPr>
        <w:t>ai</w:t>
      </w:r>
      <w:r w:rsidR="00D9653F" w:rsidRPr="00511851">
        <w:rPr>
          <w:rFonts w:ascii="Arial" w:hAnsi="Arial" w:cs="Arial"/>
          <w:bCs/>
          <w:sz w:val="22"/>
          <w:szCs w:val="22"/>
          <w:lang w:val="fr-FR"/>
        </w:rPr>
        <w:t>t le fonds de réserve de 1 million de dollars des États</w:t>
      </w:r>
      <w:r w:rsidR="00D9653F">
        <w:rPr>
          <w:rFonts w:ascii="Arial" w:hAnsi="Arial" w:cs="Arial"/>
          <w:bCs/>
          <w:sz w:val="22"/>
          <w:szCs w:val="22"/>
          <w:lang w:val="fr-FR"/>
        </w:rPr>
        <w:noBreakHyphen/>
      </w:r>
      <w:r w:rsidR="00D9653F" w:rsidRPr="00511851">
        <w:rPr>
          <w:rFonts w:ascii="Arial" w:hAnsi="Arial" w:cs="Arial"/>
          <w:bCs/>
          <w:sz w:val="22"/>
          <w:szCs w:val="22"/>
          <w:lang w:val="fr-FR"/>
        </w:rPr>
        <w:t xml:space="preserve">Unis. Le Fonds était en mesure de répondre aux besoins des États parties </w:t>
      </w:r>
      <w:r w:rsidR="00D9653F">
        <w:rPr>
          <w:rFonts w:ascii="Arial" w:hAnsi="Arial" w:cs="Arial"/>
          <w:bCs/>
          <w:sz w:val="22"/>
          <w:szCs w:val="22"/>
          <w:lang w:val="fr-FR"/>
        </w:rPr>
        <w:t xml:space="preserve">et </w:t>
      </w:r>
      <w:r w:rsidR="00D9653F" w:rsidRPr="00511851">
        <w:rPr>
          <w:rFonts w:ascii="Arial" w:hAnsi="Arial" w:cs="Arial"/>
          <w:bCs/>
          <w:sz w:val="22"/>
          <w:szCs w:val="22"/>
          <w:lang w:val="fr-FR"/>
        </w:rPr>
        <w:t>des communautés. Des faits et chiffres détaillés sur l</w:t>
      </w:r>
      <w:r w:rsidR="008E532B">
        <w:rPr>
          <w:rFonts w:ascii="Arial" w:hAnsi="Arial" w:cs="Arial"/>
          <w:bCs/>
          <w:sz w:val="22"/>
          <w:szCs w:val="22"/>
          <w:lang w:val="fr-FR"/>
        </w:rPr>
        <w:t>’</w:t>
      </w:r>
      <w:r w:rsidR="00D9653F" w:rsidRPr="00511851">
        <w:rPr>
          <w:rFonts w:ascii="Arial" w:hAnsi="Arial" w:cs="Arial"/>
          <w:bCs/>
          <w:sz w:val="22"/>
          <w:szCs w:val="22"/>
          <w:lang w:val="fr-FR"/>
        </w:rPr>
        <w:t>utilisation du Fonds au cours du dernier exercice biennal 2020/2021 figur</w:t>
      </w:r>
      <w:r w:rsidR="00D9653F">
        <w:rPr>
          <w:rFonts w:ascii="Arial" w:hAnsi="Arial" w:cs="Arial"/>
          <w:bCs/>
          <w:sz w:val="22"/>
          <w:szCs w:val="22"/>
          <w:lang w:val="fr-FR"/>
        </w:rPr>
        <w:t>ai</w:t>
      </w:r>
      <w:r w:rsidR="00D9653F" w:rsidRPr="00511851">
        <w:rPr>
          <w:rFonts w:ascii="Arial" w:hAnsi="Arial" w:cs="Arial"/>
          <w:bCs/>
          <w:sz w:val="22"/>
          <w:szCs w:val="22"/>
          <w:lang w:val="fr-FR"/>
        </w:rPr>
        <w:t>ent dans le document de travail 10 et le document INF.10. Pour gagner du temps, elle s</w:t>
      </w:r>
      <w:r w:rsidR="008E532B">
        <w:rPr>
          <w:rFonts w:ascii="Arial" w:hAnsi="Arial" w:cs="Arial"/>
          <w:bCs/>
          <w:sz w:val="22"/>
          <w:szCs w:val="22"/>
          <w:lang w:val="fr-FR"/>
        </w:rPr>
        <w:t>’</w:t>
      </w:r>
      <w:r w:rsidR="00D9653F" w:rsidRPr="00511851">
        <w:rPr>
          <w:rFonts w:ascii="Arial" w:hAnsi="Arial" w:cs="Arial"/>
          <w:bCs/>
          <w:sz w:val="22"/>
          <w:szCs w:val="22"/>
          <w:lang w:val="fr-FR"/>
        </w:rPr>
        <w:t>e</w:t>
      </w:r>
      <w:r w:rsidR="00D9653F">
        <w:rPr>
          <w:rFonts w:ascii="Arial" w:hAnsi="Arial" w:cs="Arial"/>
          <w:bCs/>
          <w:sz w:val="22"/>
          <w:szCs w:val="22"/>
          <w:lang w:val="fr-FR"/>
        </w:rPr>
        <w:t>st</w:t>
      </w:r>
      <w:r w:rsidR="00D9653F" w:rsidRPr="00511851">
        <w:rPr>
          <w:rFonts w:ascii="Arial" w:hAnsi="Arial" w:cs="Arial"/>
          <w:bCs/>
          <w:sz w:val="22"/>
          <w:szCs w:val="22"/>
          <w:lang w:val="fr-FR"/>
        </w:rPr>
        <w:t xml:space="preserve"> concentr</w:t>
      </w:r>
      <w:r w:rsidR="00D9653F">
        <w:rPr>
          <w:rFonts w:ascii="Arial" w:hAnsi="Arial" w:cs="Arial"/>
          <w:bCs/>
          <w:sz w:val="22"/>
          <w:szCs w:val="22"/>
          <w:lang w:val="fr-FR"/>
        </w:rPr>
        <w:t>é</w:t>
      </w:r>
      <w:r w:rsidR="00D9653F" w:rsidRPr="00511851">
        <w:rPr>
          <w:rFonts w:ascii="Arial" w:hAnsi="Arial" w:cs="Arial"/>
          <w:bCs/>
          <w:sz w:val="22"/>
          <w:szCs w:val="22"/>
          <w:lang w:val="fr-FR"/>
        </w:rPr>
        <w:t>e sur le plan proposé pour l</w:t>
      </w:r>
      <w:r w:rsidR="008E532B">
        <w:rPr>
          <w:rFonts w:ascii="Arial" w:hAnsi="Arial" w:cs="Arial"/>
          <w:bCs/>
          <w:sz w:val="22"/>
          <w:szCs w:val="22"/>
          <w:lang w:val="fr-FR"/>
        </w:rPr>
        <w:t>’</w:t>
      </w:r>
      <w:r w:rsidR="00D9653F" w:rsidRPr="00511851">
        <w:rPr>
          <w:rFonts w:ascii="Arial" w:hAnsi="Arial" w:cs="Arial"/>
          <w:bCs/>
          <w:sz w:val="22"/>
          <w:szCs w:val="22"/>
          <w:lang w:val="fr-FR"/>
        </w:rPr>
        <w:t>utilisation des ressources en 2022/2023, mais le Secrétariat rest</w:t>
      </w:r>
      <w:r w:rsidR="00D9653F">
        <w:rPr>
          <w:rFonts w:ascii="Arial" w:hAnsi="Arial" w:cs="Arial"/>
          <w:bCs/>
          <w:sz w:val="22"/>
          <w:szCs w:val="22"/>
          <w:lang w:val="fr-FR"/>
        </w:rPr>
        <w:t>ait</w:t>
      </w:r>
      <w:r w:rsidR="00D9653F" w:rsidRPr="00511851">
        <w:rPr>
          <w:rFonts w:ascii="Arial" w:hAnsi="Arial" w:cs="Arial"/>
          <w:bCs/>
          <w:sz w:val="22"/>
          <w:szCs w:val="22"/>
          <w:lang w:val="fr-FR"/>
        </w:rPr>
        <w:t xml:space="preserve"> disponible pour répondre à toute question sur la mise en œuvre du Fonds jusqu</w:t>
      </w:r>
      <w:r w:rsidR="008E532B">
        <w:rPr>
          <w:rFonts w:ascii="Arial" w:hAnsi="Arial" w:cs="Arial"/>
          <w:bCs/>
          <w:sz w:val="22"/>
          <w:szCs w:val="22"/>
          <w:lang w:val="fr-FR"/>
        </w:rPr>
        <w:t>’</w:t>
      </w:r>
      <w:r w:rsidR="00D9653F" w:rsidRPr="00511851">
        <w:rPr>
          <w:rFonts w:ascii="Arial" w:hAnsi="Arial" w:cs="Arial"/>
          <w:bCs/>
          <w:sz w:val="22"/>
          <w:szCs w:val="22"/>
          <w:lang w:val="fr-FR"/>
        </w:rPr>
        <w:t>au 31</w:t>
      </w:r>
      <w:r w:rsidR="00D9653F">
        <w:rPr>
          <w:rFonts w:ascii="Arial" w:hAnsi="Arial" w:cs="Arial"/>
          <w:bCs/>
          <w:sz w:val="22"/>
          <w:szCs w:val="22"/>
          <w:lang w:val="fr-FR"/>
        </w:rPr>
        <w:t> </w:t>
      </w:r>
      <w:r w:rsidR="00D9653F" w:rsidRPr="00511851">
        <w:rPr>
          <w:rFonts w:ascii="Arial" w:hAnsi="Arial" w:cs="Arial"/>
          <w:bCs/>
          <w:sz w:val="22"/>
          <w:szCs w:val="22"/>
          <w:lang w:val="fr-FR"/>
        </w:rPr>
        <w:t>décembre</w:t>
      </w:r>
      <w:r w:rsidR="00D9653F">
        <w:rPr>
          <w:rFonts w:ascii="Arial" w:hAnsi="Arial" w:cs="Arial"/>
          <w:bCs/>
          <w:sz w:val="22"/>
          <w:szCs w:val="22"/>
          <w:lang w:val="fr-FR"/>
        </w:rPr>
        <w:t> </w:t>
      </w:r>
      <w:r w:rsidR="00D9653F" w:rsidRPr="00511851">
        <w:rPr>
          <w:rFonts w:ascii="Arial" w:hAnsi="Arial" w:cs="Arial"/>
          <w:bCs/>
          <w:sz w:val="22"/>
          <w:szCs w:val="22"/>
          <w:lang w:val="fr-FR"/>
        </w:rPr>
        <w:t>2021. L</w:t>
      </w:r>
      <w:r w:rsidR="00D9653F">
        <w:rPr>
          <w:rFonts w:ascii="Arial" w:hAnsi="Arial" w:cs="Arial"/>
          <w:bCs/>
          <w:sz w:val="22"/>
          <w:szCs w:val="22"/>
          <w:lang w:val="fr-FR"/>
        </w:rPr>
        <w:t xml:space="preserve">a </w:t>
      </w:r>
      <w:r w:rsidR="00D9653F" w:rsidRPr="00511851">
        <w:rPr>
          <w:rFonts w:ascii="Arial" w:hAnsi="Arial" w:cs="Arial"/>
          <w:bCs/>
          <w:sz w:val="22"/>
          <w:szCs w:val="22"/>
          <w:lang w:val="fr-FR"/>
        </w:rPr>
        <w:t>proposition</w:t>
      </w:r>
      <w:r w:rsidR="00D9653F">
        <w:rPr>
          <w:rFonts w:ascii="Arial" w:hAnsi="Arial" w:cs="Arial"/>
          <w:bCs/>
          <w:sz w:val="22"/>
          <w:szCs w:val="22"/>
          <w:lang w:val="fr-FR"/>
        </w:rPr>
        <w:t xml:space="preserve"> de </w:t>
      </w:r>
      <w:r w:rsidR="00D9653F" w:rsidRPr="00511851">
        <w:rPr>
          <w:rFonts w:ascii="Arial" w:hAnsi="Arial" w:cs="Arial"/>
          <w:bCs/>
          <w:sz w:val="22"/>
          <w:szCs w:val="22"/>
          <w:lang w:val="fr-FR"/>
        </w:rPr>
        <w:t>plan pour l</w:t>
      </w:r>
      <w:r w:rsidR="008E532B">
        <w:rPr>
          <w:rFonts w:ascii="Arial" w:hAnsi="Arial" w:cs="Arial"/>
          <w:bCs/>
          <w:sz w:val="22"/>
          <w:szCs w:val="22"/>
          <w:lang w:val="fr-FR"/>
        </w:rPr>
        <w:t>’</w:t>
      </w:r>
      <w:r w:rsidR="00D9653F" w:rsidRPr="00511851">
        <w:rPr>
          <w:rFonts w:ascii="Arial" w:hAnsi="Arial" w:cs="Arial"/>
          <w:bCs/>
          <w:sz w:val="22"/>
          <w:szCs w:val="22"/>
          <w:lang w:val="fr-FR"/>
        </w:rPr>
        <w:t xml:space="preserve">utilisation des ressources du Fonds </w:t>
      </w:r>
      <w:r w:rsidR="00D9653F">
        <w:rPr>
          <w:rFonts w:ascii="Arial" w:hAnsi="Arial" w:cs="Arial"/>
          <w:bCs/>
          <w:sz w:val="22"/>
          <w:szCs w:val="22"/>
          <w:lang w:val="fr-FR"/>
        </w:rPr>
        <w:t>était</w:t>
      </w:r>
      <w:r w:rsidR="00D9653F" w:rsidRPr="00511851">
        <w:rPr>
          <w:rFonts w:ascii="Arial" w:hAnsi="Arial" w:cs="Arial"/>
          <w:bCs/>
          <w:sz w:val="22"/>
          <w:szCs w:val="22"/>
          <w:lang w:val="fr-FR"/>
        </w:rPr>
        <w:t xml:space="preserve"> présenté</w:t>
      </w:r>
      <w:r w:rsidR="00D9653F">
        <w:rPr>
          <w:rFonts w:ascii="Arial" w:hAnsi="Arial" w:cs="Arial"/>
          <w:bCs/>
          <w:sz w:val="22"/>
          <w:szCs w:val="22"/>
          <w:lang w:val="fr-FR"/>
        </w:rPr>
        <w:t>e</w:t>
      </w:r>
      <w:r w:rsidR="00D9653F" w:rsidRPr="00511851">
        <w:rPr>
          <w:rFonts w:ascii="Arial" w:hAnsi="Arial" w:cs="Arial"/>
          <w:bCs/>
          <w:sz w:val="22"/>
          <w:szCs w:val="22"/>
          <w:lang w:val="fr-FR"/>
        </w:rPr>
        <w:t xml:space="preserve"> dans l</w:t>
      </w:r>
      <w:r w:rsidR="008E532B">
        <w:rPr>
          <w:rFonts w:ascii="Arial" w:hAnsi="Arial" w:cs="Arial"/>
          <w:bCs/>
          <w:sz w:val="22"/>
          <w:szCs w:val="22"/>
          <w:lang w:val="fr-FR"/>
        </w:rPr>
        <w:t>’</w:t>
      </w:r>
      <w:r w:rsidR="00D9653F" w:rsidRPr="00511851">
        <w:rPr>
          <w:rFonts w:ascii="Arial" w:hAnsi="Arial" w:cs="Arial"/>
          <w:bCs/>
          <w:sz w:val="22"/>
          <w:szCs w:val="22"/>
          <w:lang w:val="fr-FR"/>
        </w:rPr>
        <w:t xml:space="preserve">annexe du document 10. </w:t>
      </w:r>
      <w:r w:rsidR="00D9653F">
        <w:rPr>
          <w:rFonts w:ascii="Arial" w:hAnsi="Arial" w:cs="Arial"/>
          <w:bCs/>
          <w:sz w:val="22"/>
          <w:szCs w:val="22"/>
          <w:lang w:val="fr-FR"/>
        </w:rPr>
        <w:t>Elle couvrait</w:t>
      </w:r>
      <w:r w:rsidR="00D9653F" w:rsidRPr="00511851">
        <w:rPr>
          <w:rFonts w:ascii="Arial" w:hAnsi="Arial" w:cs="Arial"/>
          <w:bCs/>
          <w:sz w:val="22"/>
          <w:szCs w:val="22"/>
          <w:lang w:val="fr-FR"/>
        </w:rPr>
        <w:t xml:space="preserve"> une période de vingt</w:t>
      </w:r>
      <w:r w:rsidR="00D9653F">
        <w:rPr>
          <w:rFonts w:ascii="Arial" w:hAnsi="Arial" w:cs="Arial"/>
          <w:bCs/>
          <w:sz w:val="22"/>
          <w:szCs w:val="22"/>
          <w:lang w:val="fr-FR"/>
        </w:rPr>
        <w:noBreakHyphen/>
      </w:r>
      <w:r w:rsidR="00D9653F" w:rsidRPr="00511851">
        <w:rPr>
          <w:rFonts w:ascii="Arial" w:hAnsi="Arial" w:cs="Arial"/>
          <w:bCs/>
          <w:sz w:val="22"/>
          <w:szCs w:val="22"/>
          <w:lang w:val="fr-FR"/>
        </w:rPr>
        <w:t>quatre mois (2022 à 2023) ainsi que les six premiers mois de 2024.</w:t>
      </w:r>
      <w:r w:rsidR="00D9653F">
        <w:rPr>
          <w:rFonts w:ascii="Arial" w:hAnsi="Arial" w:cs="Arial"/>
          <w:bCs/>
          <w:sz w:val="22"/>
          <w:szCs w:val="22"/>
          <w:lang w:val="fr-FR"/>
        </w:rPr>
        <w:t xml:space="preserve"> Selon la pratique habituelle, l</w:t>
      </w:r>
      <w:r w:rsidR="00D9653F" w:rsidRPr="00511851">
        <w:rPr>
          <w:rFonts w:ascii="Arial" w:hAnsi="Arial" w:cs="Arial"/>
          <w:bCs/>
          <w:sz w:val="22"/>
          <w:szCs w:val="22"/>
          <w:lang w:val="fr-FR"/>
        </w:rPr>
        <w:t>e budget des six premiers mois de 2024 correspond</w:t>
      </w:r>
      <w:r w:rsidR="00D9653F">
        <w:rPr>
          <w:rFonts w:ascii="Arial" w:hAnsi="Arial" w:cs="Arial"/>
          <w:bCs/>
          <w:sz w:val="22"/>
          <w:szCs w:val="22"/>
          <w:lang w:val="fr-FR"/>
        </w:rPr>
        <w:t>ait</w:t>
      </w:r>
      <w:r w:rsidR="00D9653F" w:rsidRPr="00511851">
        <w:rPr>
          <w:rFonts w:ascii="Arial" w:hAnsi="Arial" w:cs="Arial"/>
          <w:bCs/>
          <w:sz w:val="22"/>
          <w:szCs w:val="22"/>
          <w:lang w:val="fr-FR"/>
        </w:rPr>
        <w:t xml:space="preserve"> à un quart du budget de la période 2022</w:t>
      </w:r>
      <w:r w:rsidR="00D9653F">
        <w:rPr>
          <w:rFonts w:ascii="Arial" w:hAnsi="Arial" w:cs="Arial"/>
          <w:bCs/>
          <w:sz w:val="22"/>
          <w:szCs w:val="22"/>
          <w:lang w:val="fr-FR"/>
        </w:rPr>
        <w:t>/</w:t>
      </w:r>
      <w:r w:rsidR="00D9653F" w:rsidRPr="00511851">
        <w:rPr>
          <w:rFonts w:ascii="Arial" w:hAnsi="Arial" w:cs="Arial"/>
          <w:bCs/>
          <w:sz w:val="22"/>
          <w:szCs w:val="22"/>
          <w:lang w:val="fr-FR"/>
        </w:rPr>
        <w:t xml:space="preserve">2023. Par rapport </w:t>
      </w:r>
      <w:proofErr w:type="gramStart"/>
      <w:r w:rsidR="00D9653F" w:rsidRPr="00511851">
        <w:rPr>
          <w:rFonts w:ascii="Arial" w:hAnsi="Arial" w:cs="Arial"/>
          <w:bCs/>
          <w:sz w:val="22"/>
          <w:szCs w:val="22"/>
          <w:lang w:val="fr-FR"/>
        </w:rPr>
        <w:t>au</w:t>
      </w:r>
      <w:proofErr w:type="gramEnd"/>
      <w:r w:rsidR="00D9653F" w:rsidRPr="00511851">
        <w:rPr>
          <w:rFonts w:ascii="Arial" w:hAnsi="Arial" w:cs="Arial"/>
          <w:bCs/>
          <w:sz w:val="22"/>
          <w:szCs w:val="22"/>
          <w:lang w:val="fr-FR"/>
        </w:rPr>
        <w:t xml:space="preserve"> plan précédent, l</w:t>
      </w:r>
      <w:r w:rsidR="00D9653F">
        <w:rPr>
          <w:rFonts w:ascii="Arial" w:hAnsi="Arial" w:cs="Arial"/>
          <w:bCs/>
          <w:sz w:val="22"/>
          <w:szCs w:val="22"/>
          <w:lang w:val="fr-FR"/>
        </w:rPr>
        <w:t xml:space="preserve">a </w:t>
      </w:r>
      <w:r w:rsidR="00D9653F" w:rsidRPr="00511851">
        <w:rPr>
          <w:rFonts w:ascii="Arial" w:hAnsi="Arial" w:cs="Arial"/>
          <w:bCs/>
          <w:sz w:val="22"/>
          <w:szCs w:val="22"/>
          <w:lang w:val="fr-FR"/>
        </w:rPr>
        <w:t>proposition</w:t>
      </w:r>
      <w:r w:rsidR="00D9653F">
        <w:rPr>
          <w:rFonts w:ascii="Arial" w:hAnsi="Arial" w:cs="Arial"/>
          <w:bCs/>
          <w:sz w:val="22"/>
          <w:szCs w:val="22"/>
          <w:lang w:val="fr-FR"/>
        </w:rPr>
        <w:t xml:space="preserve"> de </w:t>
      </w:r>
      <w:r w:rsidR="00D9653F" w:rsidRPr="00511851">
        <w:rPr>
          <w:rFonts w:ascii="Arial" w:hAnsi="Arial" w:cs="Arial"/>
          <w:bCs/>
          <w:sz w:val="22"/>
          <w:szCs w:val="22"/>
          <w:lang w:val="fr-FR"/>
        </w:rPr>
        <w:t xml:space="preserve">plan </w:t>
      </w:r>
      <w:r w:rsidR="00D9653F">
        <w:rPr>
          <w:rFonts w:ascii="Arial" w:hAnsi="Arial" w:cs="Arial"/>
          <w:bCs/>
          <w:sz w:val="22"/>
          <w:szCs w:val="22"/>
          <w:lang w:val="fr-FR"/>
        </w:rPr>
        <w:t>suivait</w:t>
      </w:r>
      <w:r w:rsidR="00D9653F" w:rsidRPr="00511851">
        <w:rPr>
          <w:rFonts w:ascii="Arial" w:hAnsi="Arial" w:cs="Arial"/>
          <w:bCs/>
          <w:sz w:val="22"/>
          <w:szCs w:val="22"/>
          <w:lang w:val="fr-FR"/>
        </w:rPr>
        <w:t xml:space="preserve"> largement la même </w:t>
      </w:r>
      <w:r w:rsidR="002512C5">
        <w:rPr>
          <w:rFonts w:ascii="Arial" w:hAnsi="Arial" w:cs="Arial"/>
          <w:bCs/>
          <w:sz w:val="22"/>
          <w:szCs w:val="22"/>
          <w:lang w:val="fr-FR"/>
        </w:rPr>
        <w:t>distribution</w:t>
      </w:r>
      <w:r w:rsidR="00D9653F" w:rsidRPr="00511851">
        <w:rPr>
          <w:rFonts w:ascii="Arial" w:hAnsi="Arial" w:cs="Arial"/>
          <w:bCs/>
          <w:sz w:val="22"/>
          <w:szCs w:val="22"/>
          <w:lang w:val="fr-FR"/>
        </w:rPr>
        <w:t xml:space="preserve"> (e</w:t>
      </w:r>
      <w:r w:rsidR="00D9653F">
        <w:rPr>
          <w:rFonts w:ascii="Arial" w:hAnsi="Arial" w:cs="Arial"/>
          <w:bCs/>
          <w:sz w:val="22"/>
          <w:szCs w:val="22"/>
          <w:lang w:val="fr-FR"/>
        </w:rPr>
        <w:t>n</w:t>
      </w:r>
      <w:r w:rsidR="00D9653F" w:rsidRPr="00511851">
        <w:rPr>
          <w:rFonts w:ascii="Arial" w:hAnsi="Arial" w:cs="Arial"/>
          <w:bCs/>
          <w:sz w:val="22"/>
          <w:szCs w:val="22"/>
          <w:lang w:val="fr-FR"/>
        </w:rPr>
        <w:t xml:space="preserve"> pourcentages) pour chaque ligne budgétaire. Toutefois, la proposition </w:t>
      </w:r>
      <w:r w:rsidR="00D9653F">
        <w:rPr>
          <w:rFonts w:ascii="Arial" w:hAnsi="Arial" w:cs="Arial"/>
          <w:bCs/>
          <w:sz w:val="22"/>
          <w:szCs w:val="22"/>
          <w:lang w:val="fr-FR"/>
        </w:rPr>
        <w:t xml:space="preserve">présentait </w:t>
      </w:r>
      <w:r w:rsidR="00D9653F" w:rsidRPr="00511851">
        <w:rPr>
          <w:rFonts w:ascii="Arial" w:hAnsi="Arial" w:cs="Arial"/>
          <w:bCs/>
          <w:sz w:val="22"/>
          <w:szCs w:val="22"/>
          <w:lang w:val="fr-FR"/>
        </w:rPr>
        <w:t>quelques ajustements techniques. Conformément aux priorités du Fonds, la majorité des ressources serait allouée à la fourniture d</w:t>
      </w:r>
      <w:r w:rsidR="008E532B">
        <w:rPr>
          <w:rFonts w:ascii="Arial" w:hAnsi="Arial" w:cs="Arial"/>
          <w:bCs/>
          <w:sz w:val="22"/>
          <w:szCs w:val="22"/>
          <w:lang w:val="fr-FR"/>
        </w:rPr>
        <w:t>’</w:t>
      </w:r>
      <w:r w:rsidR="00D9653F" w:rsidRPr="00511851">
        <w:rPr>
          <w:rFonts w:ascii="Arial" w:hAnsi="Arial" w:cs="Arial"/>
          <w:bCs/>
          <w:sz w:val="22"/>
          <w:szCs w:val="22"/>
          <w:lang w:val="fr-FR"/>
        </w:rPr>
        <w:t>assistance internationale aux États parties (lignes budgétaires 1, 1.1 et 2). Le pourcentage combiné de ces trois lignes représent</w:t>
      </w:r>
      <w:r w:rsidR="00D9653F">
        <w:rPr>
          <w:rFonts w:ascii="Arial" w:hAnsi="Arial" w:cs="Arial"/>
          <w:bCs/>
          <w:sz w:val="22"/>
          <w:szCs w:val="22"/>
          <w:lang w:val="fr-FR"/>
        </w:rPr>
        <w:t>ait 62,6 %</w:t>
      </w:r>
      <w:r w:rsidR="00D9653F" w:rsidRPr="00511851">
        <w:rPr>
          <w:rFonts w:ascii="Arial" w:hAnsi="Arial" w:cs="Arial"/>
          <w:bCs/>
          <w:sz w:val="22"/>
          <w:szCs w:val="22"/>
          <w:lang w:val="fr-FR"/>
        </w:rPr>
        <w:t xml:space="preserve">. Le </w:t>
      </w:r>
      <w:r w:rsidR="00D9653F" w:rsidRPr="005C7C42">
        <w:rPr>
          <w:rFonts w:ascii="Arial" w:hAnsi="Arial" w:cs="Arial"/>
          <w:bCs/>
          <w:sz w:val="22"/>
          <w:szCs w:val="22"/>
          <w:u w:val="single"/>
          <w:lang w:val="fr-FR"/>
        </w:rPr>
        <w:t>budget de la ligne 1 (Assistance internationale)</w:t>
      </w:r>
      <w:r w:rsidR="00D9653F" w:rsidRPr="00511851">
        <w:rPr>
          <w:rFonts w:ascii="Arial" w:hAnsi="Arial" w:cs="Arial"/>
          <w:bCs/>
          <w:sz w:val="22"/>
          <w:szCs w:val="22"/>
          <w:lang w:val="fr-FR"/>
        </w:rPr>
        <w:t xml:space="preserve"> serait a</w:t>
      </w:r>
      <w:r w:rsidR="00D9653F">
        <w:rPr>
          <w:rFonts w:ascii="Arial" w:hAnsi="Arial" w:cs="Arial"/>
          <w:bCs/>
          <w:sz w:val="22"/>
          <w:szCs w:val="22"/>
          <w:lang w:val="fr-FR"/>
        </w:rPr>
        <w:t>ffecté</w:t>
      </w:r>
      <w:r w:rsidR="00D9653F" w:rsidRPr="00511851">
        <w:rPr>
          <w:rFonts w:ascii="Arial" w:hAnsi="Arial" w:cs="Arial"/>
          <w:bCs/>
          <w:sz w:val="22"/>
          <w:szCs w:val="22"/>
          <w:lang w:val="fr-FR"/>
        </w:rPr>
        <w:t xml:space="preserve">, une fois de plus, </w:t>
      </w:r>
      <w:r w:rsidR="00D9653F">
        <w:rPr>
          <w:rFonts w:ascii="Arial" w:hAnsi="Arial" w:cs="Arial"/>
          <w:bCs/>
          <w:sz w:val="22"/>
          <w:szCs w:val="22"/>
          <w:lang w:val="fr-FR"/>
        </w:rPr>
        <w:t>à</w:t>
      </w:r>
      <w:r w:rsidR="00D9653F" w:rsidRPr="00511851">
        <w:rPr>
          <w:rFonts w:ascii="Arial" w:hAnsi="Arial" w:cs="Arial"/>
          <w:bCs/>
          <w:sz w:val="22"/>
          <w:szCs w:val="22"/>
          <w:lang w:val="fr-FR"/>
        </w:rPr>
        <w:t xml:space="preserve"> l</w:t>
      </w:r>
      <w:r w:rsidR="008E532B">
        <w:rPr>
          <w:rFonts w:ascii="Arial" w:hAnsi="Arial" w:cs="Arial"/>
          <w:bCs/>
          <w:sz w:val="22"/>
          <w:szCs w:val="22"/>
          <w:lang w:val="fr-FR"/>
        </w:rPr>
        <w:t>’</w:t>
      </w:r>
      <w:r w:rsidR="00D9653F" w:rsidRPr="00511851">
        <w:rPr>
          <w:rFonts w:ascii="Arial" w:hAnsi="Arial" w:cs="Arial"/>
          <w:bCs/>
          <w:sz w:val="22"/>
          <w:szCs w:val="22"/>
          <w:lang w:val="fr-FR"/>
        </w:rPr>
        <w:t>allocation majoritaire du Fonds (</w:t>
      </w:r>
      <w:r w:rsidR="00D9653F">
        <w:rPr>
          <w:rFonts w:ascii="Arial" w:hAnsi="Arial" w:cs="Arial"/>
          <w:bCs/>
          <w:sz w:val="22"/>
          <w:szCs w:val="22"/>
          <w:lang w:val="fr-FR"/>
        </w:rPr>
        <w:t>50 %</w:t>
      </w:r>
      <w:r w:rsidR="00D9653F" w:rsidRPr="00511851">
        <w:rPr>
          <w:rFonts w:ascii="Arial" w:hAnsi="Arial" w:cs="Arial"/>
          <w:bCs/>
          <w:sz w:val="22"/>
          <w:szCs w:val="22"/>
          <w:lang w:val="fr-FR"/>
        </w:rPr>
        <w:t xml:space="preserve">), tandis que </w:t>
      </w:r>
      <w:r w:rsidR="00D9653F">
        <w:rPr>
          <w:rFonts w:ascii="Arial" w:hAnsi="Arial" w:cs="Arial"/>
          <w:bCs/>
          <w:sz w:val="22"/>
          <w:szCs w:val="22"/>
          <w:lang w:val="fr-FR"/>
        </w:rPr>
        <w:t xml:space="preserve">10 % </w:t>
      </w:r>
      <w:r w:rsidR="00D9653F" w:rsidRPr="00511851">
        <w:rPr>
          <w:rFonts w:ascii="Arial" w:hAnsi="Arial" w:cs="Arial"/>
          <w:bCs/>
          <w:sz w:val="22"/>
          <w:szCs w:val="22"/>
          <w:lang w:val="fr-FR"/>
        </w:rPr>
        <w:t>seraient a</w:t>
      </w:r>
      <w:r w:rsidR="00D9653F">
        <w:rPr>
          <w:rFonts w:ascii="Arial" w:hAnsi="Arial" w:cs="Arial"/>
          <w:bCs/>
          <w:sz w:val="22"/>
          <w:szCs w:val="22"/>
          <w:lang w:val="fr-FR"/>
        </w:rPr>
        <w:t>lloués</w:t>
      </w:r>
      <w:r w:rsidR="00D9653F" w:rsidRPr="00511851">
        <w:rPr>
          <w:rFonts w:ascii="Arial" w:hAnsi="Arial" w:cs="Arial"/>
          <w:bCs/>
          <w:sz w:val="22"/>
          <w:szCs w:val="22"/>
          <w:lang w:val="fr-FR"/>
        </w:rPr>
        <w:t xml:space="preserve"> à la ligne budgétaire 1.1, qui concern</w:t>
      </w:r>
      <w:r w:rsidR="00D9653F">
        <w:rPr>
          <w:rFonts w:ascii="Arial" w:hAnsi="Arial" w:cs="Arial"/>
          <w:bCs/>
          <w:sz w:val="22"/>
          <w:szCs w:val="22"/>
          <w:lang w:val="fr-FR"/>
        </w:rPr>
        <w:t>ait</w:t>
      </w:r>
      <w:r w:rsidR="00D9653F" w:rsidRPr="00511851">
        <w:rPr>
          <w:rFonts w:ascii="Arial" w:hAnsi="Arial" w:cs="Arial"/>
          <w:bCs/>
          <w:sz w:val="22"/>
          <w:szCs w:val="22"/>
          <w:lang w:val="fr-FR"/>
        </w:rPr>
        <w:t xml:space="preserve"> l</w:t>
      </w:r>
      <w:r w:rsidR="008E532B">
        <w:rPr>
          <w:rFonts w:ascii="Arial" w:hAnsi="Arial" w:cs="Arial"/>
          <w:bCs/>
          <w:sz w:val="22"/>
          <w:szCs w:val="22"/>
          <w:lang w:val="fr-FR"/>
        </w:rPr>
        <w:t>’</w:t>
      </w:r>
      <w:r w:rsidR="00D9653F">
        <w:rPr>
          <w:rFonts w:ascii="Arial" w:hAnsi="Arial" w:cs="Arial"/>
          <w:bCs/>
          <w:sz w:val="22"/>
          <w:szCs w:val="22"/>
          <w:lang w:val="fr-FR"/>
        </w:rPr>
        <w:t>É</w:t>
      </w:r>
      <w:r w:rsidR="00D9653F" w:rsidRPr="00511851">
        <w:rPr>
          <w:rFonts w:ascii="Arial" w:hAnsi="Arial" w:cs="Arial"/>
          <w:bCs/>
          <w:sz w:val="22"/>
          <w:szCs w:val="22"/>
          <w:lang w:val="fr-FR"/>
        </w:rPr>
        <w:t xml:space="preserve">quipe de sauvegarde et de </w:t>
      </w:r>
      <w:r w:rsidR="00D9653F">
        <w:rPr>
          <w:rFonts w:ascii="Arial" w:hAnsi="Arial" w:cs="Arial"/>
          <w:bCs/>
          <w:sz w:val="22"/>
          <w:szCs w:val="22"/>
          <w:lang w:val="fr-FR"/>
        </w:rPr>
        <w:t xml:space="preserve">suivi, </w:t>
      </w:r>
      <w:r w:rsidR="00D9653F" w:rsidRPr="00511851">
        <w:rPr>
          <w:rFonts w:ascii="Arial" w:hAnsi="Arial" w:cs="Arial"/>
          <w:bCs/>
          <w:sz w:val="22"/>
          <w:szCs w:val="22"/>
          <w:lang w:val="fr-FR"/>
        </w:rPr>
        <w:t>créée par l</w:t>
      </w:r>
      <w:r w:rsidR="008E532B">
        <w:rPr>
          <w:rFonts w:ascii="Arial" w:hAnsi="Arial" w:cs="Arial"/>
          <w:bCs/>
          <w:sz w:val="22"/>
          <w:szCs w:val="22"/>
          <w:lang w:val="fr-FR"/>
        </w:rPr>
        <w:t>’</w:t>
      </w:r>
      <w:r w:rsidR="00D9653F" w:rsidRPr="00511851">
        <w:rPr>
          <w:rFonts w:ascii="Arial" w:hAnsi="Arial" w:cs="Arial"/>
          <w:bCs/>
          <w:sz w:val="22"/>
          <w:szCs w:val="22"/>
          <w:lang w:val="fr-FR"/>
        </w:rPr>
        <w:t>Assemblée. Le premier ajustement proposé dans ce plan concern</w:t>
      </w:r>
      <w:r w:rsidR="00D9653F">
        <w:rPr>
          <w:rFonts w:ascii="Arial" w:hAnsi="Arial" w:cs="Arial"/>
          <w:bCs/>
          <w:sz w:val="22"/>
          <w:szCs w:val="22"/>
          <w:lang w:val="fr-FR"/>
        </w:rPr>
        <w:t>ait</w:t>
      </w:r>
      <w:r w:rsidR="00D9653F" w:rsidRPr="00511851">
        <w:rPr>
          <w:rFonts w:ascii="Arial" w:hAnsi="Arial" w:cs="Arial"/>
          <w:bCs/>
          <w:sz w:val="22"/>
          <w:szCs w:val="22"/>
          <w:lang w:val="fr-FR"/>
        </w:rPr>
        <w:t xml:space="preserve"> la ligne budgétaire 1. Il s</w:t>
      </w:r>
      <w:r w:rsidR="008E532B">
        <w:rPr>
          <w:rFonts w:ascii="Arial" w:hAnsi="Arial" w:cs="Arial"/>
          <w:bCs/>
          <w:sz w:val="22"/>
          <w:szCs w:val="22"/>
          <w:lang w:val="fr-FR"/>
        </w:rPr>
        <w:t>’</w:t>
      </w:r>
      <w:r w:rsidR="00D9653F" w:rsidRPr="00511851">
        <w:rPr>
          <w:rFonts w:ascii="Arial" w:hAnsi="Arial" w:cs="Arial"/>
          <w:bCs/>
          <w:sz w:val="22"/>
          <w:szCs w:val="22"/>
          <w:lang w:val="fr-FR"/>
        </w:rPr>
        <w:t>agi</w:t>
      </w:r>
      <w:r w:rsidR="00D9653F">
        <w:rPr>
          <w:rFonts w:ascii="Arial" w:hAnsi="Arial" w:cs="Arial"/>
          <w:bCs/>
          <w:sz w:val="22"/>
          <w:szCs w:val="22"/>
          <w:lang w:val="fr-FR"/>
        </w:rPr>
        <w:t>ssait</w:t>
      </w:r>
      <w:r w:rsidR="00D9653F" w:rsidRPr="00511851">
        <w:rPr>
          <w:rFonts w:ascii="Arial" w:hAnsi="Arial" w:cs="Arial"/>
          <w:bCs/>
          <w:sz w:val="22"/>
          <w:szCs w:val="22"/>
          <w:lang w:val="fr-FR"/>
        </w:rPr>
        <w:t xml:space="preserve"> d</w:t>
      </w:r>
      <w:r w:rsidR="008E532B">
        <w:rPr>
          <w:rFonts w:ascii="Arial" w:hAnsi="Arial" w:cs="Arial"/>
          <w:bCs/>
          <w:sz w:val="22"/>
          <w:szCs w:val="22"/>
          <w:lang w:val="fr-FR"/>
        </w:rPr>
        <w:t>’</w:t>
      </w:r>
      <w:r w:rsidR="00D9653F" w:rsidRPr="00511851">
        <w:rPr>
          <w:rFonts w:ascii="Arial" w:hAnsi="Arial" w:cs="Arial"/>
          <w:bCs/>
          <w:sz w:val="22"/>
          <w:szCs w:val="22"/>
          <w:lang w:val="fr-FR"/>
        </w:rPr>
        <w:t>une réponse directe aux recommandations 5 et 6 de l</w:t>
      </w:r>
      <w:r w:rsidR="008E532B">
        <w:rPr>
          <w:rFonts w:ascii="Arial" w:hAnsi="Arial" w:cs="Arial"/>
          <w:bCs/>
          <w:sz w:val="22"/>
          <w:szCs w:val="22"/>
          <w:lang w:val="fr-FR"/>
        </w:rPr>
        <w:t>’</w:t>
      </w:r>
      <w:r w:rsidR="00D9653F" w:rsidRPr="00511851">
        <w:rPr>
          <w:rFonts w:ascii="Arial" w:hAnsi="Arial" w:cs="Arial"/>
          <w:bCs/>
          <w:sz w:val="22"/>
          <w:szCs w:val="22"/>
          <w:lang w:val="fr-FR"/>
        </w:rPr>
        <w:t>évaluation</w:t>
      </w:r>
      <w:r w:rsidR="00D9653F">
        <w:rPr>
          <w:rFonts w:ascii="Arial" w:hAnsi="Arial" w:cs="Arial"/>
          <w:bCs/>
          <w:sz w:val="22"/>
          <w:szCs w:val="22"/>
          <w:lang w:val="fr-FR"/>
        </w:rPr>
        <w:t xml:space="preserve"> </w:t>
      </w:r>
      <w:r w:rsidR="00D9653F" w:rsidRPr="00511851">
        <w:rPr>
          <w:rFonts w:ascii="Arial" w:hAnsi="Arial" w:cs="Arial"/>
          <w:bCs/>
          <w:sz w:val="22"/>
          <w:szCs w:val="22"/>
          <w:lang w:val="fr-FR"/>
        </w:rPr>
        <w:t>d</w:t>
      </w:r>
      <w:r w:rsidR="00D9653F">
        <w:rPr>
          <w:rFonts w:ascii="Arial" w:hAnsi="Arial" w:cs="Arial"/>
          <w:bCs/>
          <w:sz w:val="22"/>
          <w:szCs w:val="22"/>
          <w:lang w:val="fr-FR"/>
        </w:rPr>
        <w:t>e l</w:t>
      </w:r>
      <w:r w:rsidR="008E532B">
        <w:rPr>
          <w:rFonts w:ascii="Arial" w:hAnsi="Arial" w:cs="Arial"/>
          <w:bCs/>
          <w:sz w:val="22"/>
          <w:szCs w:val="22"/>
          <w:lang w:val="fr-FR"/>
        </w:rPr>
        <w:t>’</w:t>
      </w:r>
      <w:r w:rsidR="00D9653F" w:rsidRPr="00511851">
        <w:rPr>
          <w:rFonts w:ascii="Arial" w:hAnsi="Arial" w:cs="Arial"/>
          <w:bCs/>
          <w:sz w:val="22"/>
          <w:szCs w:val="22"/>
          <w:lang w:val="fr-FR"/>
        </w:rPr>
        <w:t>IOS</w:t>
      </w:r>
      <w:r w:rsidR="00D9653F">
        <w:rPr>
          <w:rFonts w:ascii="Arial" w:hAnsi="Arial" w:cs="Arial"/>
          <w:bCs/>
          <w:sz w:val="22"/>
          <w:szCs w:val="22"/>
          <w:lang w:val="fr-FR"/>
        </w:rPr>
        <w:t xml:space="preserve"> réalisée en 2021</w:t>
      </w:r>
      <w:r w:rsidR="00D9653F">
        <w:rPr>
          <w:rStyle w:val="FootnoteReference"/>
          <w:rFonts w:ascii="Arial" w:hAnsi="Arial" w:cs="Arial"/>
          <w:bCs/>
          <w:sz w:val="22"/>
          <w:szCs w:val="22"/>
          <w:lang w:val="fr-FR"/>
        </w:rPr>
        <w:footnoteReference w:id="39"/>
      </w:r>
      <w:r w:rsidR="00D9653F" w:rsidRPr="00511851">
        <w:rPr>
          <w:rFonts w:ascii="Arial" w:hAnsi="Arial" w:cs="Arial"/>
          <w:bCs/>
          <w:sz w:val="22"/>
          <w:szCs w:val="22"/>
          <w:lang w:val="fr-FR"/>
        </w:rPr>
        <w:t xml:space="preserve"> . Dans sa </w:t>
      </w:r>
      <w:r w:rsidR="00D843E7">
        <w:rPr>
          <w:rFonts w:ascii="Arial" w:hAnsi="Arial" w:cs="Arial"/>
          <w:bCs/>
          <w:sz w:val="22"/>
          <w:szCs w:val="22"/>
          <w:lang w:val="fr-FR"/>
        </w:rPr>
        <w:t>décision</w:t>
      </w:r>
      <w:hyperlink r:id="rId53" w:history="1">
        <w:r w:rsidR="00D843E7" w:rsidRPr="009F6BC9">
          <w:rPr>
            <w:rStyle w:val="Hyperlink"/>
            <w:rFonts w:ascii="Arial" w:hAnsi="Arial" w:cs="Arial"/>
            <w:bCs/>
            <w:sz w:val="22"/>
            <w:szCs w:val="22"/>
            <w:u w:val="none"/>
            <w:lang w:val="fr-FR"/>
          </w:rPr>
          <w:t> </w:t>
        </w:r>
        <w:r w:rsidR="00D9653F" w:rsidRPr="00FD576D">
          <w:rPr>
            <w:rStyle w:val="Hyperlink"/>
            <w:rFonts w:ascii="Arial" w:hAnsi="Arial" w:cs="Arial"/>
            <w:bCs/>
            <w:sz w:val="22"/>
            <w:szCs w:val="22"/>
            <w:lang w:val="fr-FR"/>
          </w:rPr>
          <w:t>16.COM</w:t>
        </w:r>
        <w:r w:rsidR="00D9653F">
          <w:rPr>
            <w:rStyle w:val="Hyperlink"/>
            <w:rFonts w:ascii="Arial" w:hAnsi="Arial" w:cs="Arial"/>
            <w:bCs/>
            <w:sz w:val="22"/>
            <w:szCs w:val="22"/>
            <w:lang w:val="fr-FR"/>
          </w:rPr>
          <w:t> </w:t>
        </w:r>
        <w:r w:rsidR="00D9653F" w:rsidRPr="00FD576D">
          <w:rPr>
            <w:rStyle w:val="Hyperlink"/>
            <w:rFonts w:ascii="Arial" w:hAnsi="Arial" w:cs="Arial"/>
            <w:bCs/>
            <w:sz w:val="22"/>
            <w:szCs w:val="22"/>
            <w:lang w:val="fr-FR"/>
          </w:rPr>
          <w:t>13</w:t>
        </w:r>
      </w:hyperlink>
      <w:r w:rsidR="00D9653F" w:rsidRPr="00511851">
        <w:rPr>
          <w:rFonts w:ascii="Arial" w:hAnsi="Arial" w:cs="Arial"/>
          <w:bCs/>
          <w:sz w:val="22"/>
          <w:szCs w:val="22"/>
          <w:lang w:val="fr-FR"/>
        </w:rPr>
        <w:t>, le Comité a</w:t>
      </w:r>
      <w:r w:rsidR="00D9653F">
        <w:rPr>
          <w:rFonts w:ascii="Arial" w:hAnsi="Arial" w:cs="Arial"/>
          <w:bCs/>
          <w:sz w:val="22"/>
          <w:szCs w:val="22"/>
          <w:lang w:val="fr-FR"/>
        </w:rPr>
        <w:t>vait</w:t>
      </w:r>
      <w:r w:rsidR="00D9653F" w:rsidRPr="00511851">
        <w:rPr>
          <w:rFonts w:ascii="Arial" w:hAnsi="Arial" w:cs="Arial"/>
          <w:bCs/>
          <w:sz w:val="22"/>
          <w:szCs w:val="22"/>
          <w:lang w:val="fr-FR"/>
        </w:rPr>
        <w:t xml:space="preserve"> autorisé le Secrétariat à utiliser une partie de cette ligne à titre expérimental pour couvrir les coûts de suivi et d</w:t>
      </w:r>
      <w:r w:rsidR="008E532B">
        <w:rPr>
          <w:rFonts w:ascii="Arial" w:hAnsi="Arial" w:cs="Arial"/>
          <w:bCs/>
          <w:sz w:val="22"/>
          <w:szCs w:val="22"/>
          <w:lang w:val="fr-FR"/>
        </w:rPr>
        <w:t>’</w:t>
      </w:r>
      <w:r w:rsidR="00D9653F" w:rsidRPr="00511851">
        <w:rPr>
          <w:rFonts w:ascii="Arial" w:hAnsi="Arial" w:cs="Arial"/>
          <w:bCs/>
          <w:sz w:val="22"/>
          <w:szCs w:val="22"/>
          <w:lang w:val="fr-FR"/>
        </w:rPr>
        <w:t>évaluation des projets d</w:t>
      </w:r>
      <w:r w:rsidR="008E532B">
        <w:rPr>
          <w:rFonts w:ascii="Arial" w:hAnsi="Arial" w:cs="Arial"/>
          <w:bCs/>
          <w:sz w:val="22"/>
          <w:szCs w:val="22"/>
          <w:lang w:val="fr-FR"/>
        </w:rPr>
        <w:t>’</w:t>
      </w:r>
      <w:r w:rsidR="00D9653F" w:rsidRPr="00511851">
        <w:rPr>
          <w:rFonts w:ascii="Arial" w:hAnsi="Arial" w:cs="Arial"/>
          <w:bCs/>
          <w:sz w:val="22"/>
          <w:szCs w:val="22"/>
          <w:lang w:val="fr-FR"/>
        </w:rPr>
        <w:t>assistance internationale. Ces fonds supplémentaires, distincts des subventions allouées aux États bénéficiaires, ne dépasseraient pas 10</w:t>
      </w:r>
      <w:r w:rsidR="00D9653F">
        <w:rPr>
          <w:rFonts w:ascii="Arial" w:hAnsi="Arial" w:cs="Arial"/>
          <w:bCs/>
          <w:sz w:val="22"/>
          <w:szCs w:val="22"/>
          <w:lang w:val="fr-FR"/>
        </w:rPr>
        <w:t> </w:t>
      </w:r>
      <w:r w:rsidR="00D9653F" w:rsidRPr="00511851">
        <w:rPr>
          <w:rFonts w:ascii="Arial" w:hAnsi="Arial" w:cs="Arial"/>
          <w:bCs/>
          <w:sz w:val="22"/>
          <w:szCs w:val="22"/>
          <w:lang w:val="fr-FR"/>
        </w:rPr>
        <w:t>% du budget approuvé pour chaque projet et seraient gérés directement par le Secrétariat. Ils pourraient, par exemple, soutenir l</w:t>
      </w:r>
      <w:r w:rsidR="008E532B">
        <w:rPr>
          <w:rFonts w:ascii="Arial" w:hAnsi="Arial" w:cs="Arial"/>
          <w:bCs/>
          <w:sz w:val="22"/>
          <w:szCs w:val="22"/>
          <w:lang w:val="fr-FR"/>
        </w:rPr>
        <w:t>’</w:t>
      </w:r>
      <w:r w:rsidR="00D9653F" w:rsidRPr="00511851">
        <w:rPr>
          <w:rFonts w:ascii="Arial" w:hAnsi="Arial" w:cs="Arial"/>
          <w:bCs/>
          <w:sz w:val="22"/>
          <w:szCs w:val="22"/>
          <w:lang w:val="fr-FR"/>
        </w:rPr>
        <w:t>assistance d</w:t>
      </w:r>
      <w:r w:rsidR="008E532B">
        <w:rPr>
          <w:rFonts w:ascii="Arial" w:hAnsi="Arial" w:cs="Arial"/>
          <w:bCs/>
          <w:sz w:val="22"/>
          <w:szCs w:val="22"/>
          <w:lang w:val="fr-FR"/>
        </w:rPr>
        <w:t>’</w:t>
      </w:r>
      <w:r w:rsidR="00D9653F" w:rsidRPr="00511851">
        <w:rPr>
          <w:rFonts w:ascii="Arial" w:hAnsi="Arial" w:cs="Arial"/>
          <w:bCs/>
          <w:sz w:val="22"/>
          <w:szCs w:val="22"/>
          <w:lang w:val="fr-FR"/>
        </w:rPr>
        <w:t>experts externes pour fournir une évaluation indépendante des projets.</w:t>
      </w:r>
    </w:p>
    <w:p w14:paraId="78178256" w14:textId="16A7B922" w:rsidR="00D9653F" w:rsidRPr="002072A6" w:rsidRDefault="008D65C3" w:rsidP="00D9653F">
      <w:pPr>
        <w:numPr>
          <w:ilvl w:val="0"/>
          <w:numId w:val="19"/>
        </w:numPr>
        <w:suppressAutoHyphens/>
        <w:autoSpaceDE w:val="0"/>
        <w:spacing w:before="120"/>
        <w:ind w:left="567" w:hanging="567"/>
        <w:jc w:val="both"/>
        <w:rPr>
          <w:rFonts w:ascii="Arial" w:hAnsi="Arial" w:cs="Arial"/>
          <w:bCs/>
          <w:sz w:val="22"/>
          <w:szCs w:val="22"/>
          <w:lang w:val="fr-FR"/>
        </w:rPr>
      </w:pPr>
      <w:bookmarkStart w:id="2" w:name="_Hlk114661341"/>
      <w:r>
        <w:rPr>
          <w:rFonts w:ascii="Arial" w:hAnsi="Arial" w:cs="Arial"/>
          <w:b/>
          <w:sz w:val="22"/>
          <w:szCs w:val="22"/>
          <w:lang w:val="fr-FR"/>
        </w:rPr>
        <w:t>Mme</w:t>
      </w:r>
      <w:r w:rsidR="00D9653F">
        <w:rPr>
          <w:rFonts w:ascii="Arial" w:hAnsi="Arial" w:cs="Arial"/>
          <w:b/>
          <w:sz w:val="22"/>
          <w:szCs w:val="22"/>
          <w:lang w:val="fr-FR"/>
        </w:rPr>
        <w:t> </w:t>
      </w:r>
      <w:r w:rsidR="00D9653F" w:rsidRPr="00511851">
        <w:rPr>
          <w:rFonts w:ascii="Arial" w:hAnsi="Arial" w:cs="Arial"/>
          <w:b/>
          <w:sz w:val="22"/>
          <w:szCs w:val="22"/>
          <w:lang w:val="fr-FR"/>
        </w:rPr>
        <w:t>Fumiko Ohinata</w:t>
      </w:r>
      <w:r w:rsidR="00D9653F" w:rsidRPr="002072A6">
        <w:rPr>
          <w:rFonts w:ascii="Arial" w:hAnsi="Arial" w:cs="Arial"/>
          <w:bCs/>
          <w:sz w:val="22"/>
          <w:szCs w:val="22"/>
          <w:lang w:val="fr-FR"/>
        </w:rPr>
        <w:t xml:space="preserve"> </w:t>
      </w:r>
      <w:r w:rsidR="00D9653F">
        <w:rPr>
          <w:rFonts w:ascii="Arial" w:hAnsi="Arial" w:cs="Arial"/>
          <w:bCs/>
          <w:sz w:val="22"/>
          <w:szCs w:val="22"/>
          <w:lang w:val="fr-FR"/>
        </w:rPr>
        <w:t>est ensuite passée à</w:t>
      </w:r>
      <w:r w:rsidR="00D9653F" w:rsidRPr="002072A6">
        <w:rPr>
          <w:rFonts w:ascii="Arial" w:hAnsi="Arial" w:cs="Arial"/>
          <w:bCs/>
          <w:sz w:val="22"/>
          <w:szCs w:val="22"/>
          <w:lang w:val="fr-FR"/>
        </w:rPr>
        <w:t xml:space="preserve"> la </w:t>
      </w:r>
      <w:r w:rsidR="00D9653F" w:rsidRPr="002072A6">
        <w:rPr>
          <w:rFonts w:ascii="Arial" w:hAnsi="Arial" w:cs="Arial"/>
          <w:bCs/>
          <w:sz w:val="22"/>
          <w:szCs w:val="22"/>
          <w:u w:val="single"/>
          <w:lang w:val="fr-FR"/>
        </w:rPr>
        <w:t>ligne budgétaire 2 (</w:t>
      </w:r>
      <w:r w:rsidR="00D9653F">
        <w:rPr>
          <w:rFonts w:ascii="Arial" w:hAnsi="Arial" w:cs="Arial"/>
          <w:bCs/>
          <w:sz w:val="22"/>
          <w:szCs w:val="22"/>
          <w:u w:val="single"/>
          <w:lang w:val="fr-FR"/>
        </w:rPr>
        <w:t>A</w:t>
      </w:r>
      <w:r w:rsidR="00D9653F" w:rsidRPr="002072A6">
        <w:rPr>
          <w:rFonts w:ascii="Arial" w:hAnsi="Arial" w:cs="Arial"/>
          <w:bCs/>
          <w:sz w:val="22"/>
          <w:szCs w:val="22"/>
          <w:u w:val="single"/>
          <w:lang w:val="fr-FR"/>
        </w:rPr>
        <w:t xml:space="preserve">ssistance préparatoire pour </w:t>
      </w:r>
      <w:r w:rsidR="00D9653F">
        <w:rPr>
          <w:rFonts w:ascii="Arial" w:hAnsi="Arial" w:cs="Arial"/>
          <w:bCs/>
          <w:sz w:val="22"/>
          <w:szCs w:val="22"/>
          <w:u w:val="single"/>
          <w:lang w:val="fr-FR"/>
        </w:rPr>
        <w:t>les demandes d</w:t>
      </w:r>
      <w:r w:rsidR="008E532B">
        <w:rPr>
          <w:rFonts w:ascii="Arial" w:hAnsi="Arial" w:cs="Arial"/>
          <w:bCs/>
          <w:sz w:val="22"/>
          <w:szCs w:val="22"/>
          <w:u w:val="single"/>
          <w:lang w:val="fr-FR"/>
        </w:rPr>
        <w:t>’</w:t>
      </w:r>
      <w:r w:rsidR="00D9653F" w:rsidRPr="002072A6">
        <w:rPr>
          <w:rFonts w:ascii="Arial" w:hAnsi="Arial" w:cs="Arial"/>
          <w:bCs/>
          <w:sz w:val="22"/>
          <w:szCs w:val="22"/>
          <w:u w:val="single"/>
          <w:lang w:val="fr-FR"/>
        </w:rPr>
        <w:t>assistance internationale)</w:t>
      </w:r>
      <w:r w:rsidR="00D9653F" w:rsidRPr="002072A6">
        <w:rPr>
          <w:rFonts w:ascii="Arial" w:hAnsi="Arial" w:cs="Arial"/>
          <w:bCs/>
          <w:sz w:val="22"/>
          <w:szCs w:val="22"/>
          <w:lang w:val="fr-FR"/>
        </w:rPr>
        <w:t>, qui augmenterait légèrement</w:t>
      </w:r>
      <w:r w:rsidR="00D9653F">
        <w:rPr>
          <w:rFonts w:ascii="Arial" w:hAnsi="Arial" w:cs="Arial"/>
          <w:bCs/>
          <w:sz w:val="22"/>
          <w:szCs w:val="22"/>
          <w:lang w:val="fr-FR"/>
        </w:rPr>
        <w:t>, passant</w:t>
      </w:r>
      <w:r w:rsidR="00D9653F" w:rsidRPr="002072A6">
        <w:rPr>
          <w:rFonts w:ascii="Arial" w:hAnsi="Arial" w:cs="Arial"/>
          <w:bCs/>
          <w:sz w:val="22"/>
          <w:szCs w:val="22"/>
          <w:lang w:val="fr-FR"/>
        </w:rPr>
        <w:t xml:space="preserve"> de 2</w:t>
      </w:r>
      <w:r w:rsidR="00D9653F">
        <w:rPr>
          <w:rFonts w:ascii="Arial" w:hAnsi="Arial" w:cs="Arial"/>
          <w:bCs/>
          <w:sz w:val="22"/>
          <w:szCs w:val="22"/>
          <w:lang w:val="fr-FR"/>
        </w:rPr>
        <w:t> </w:t>
      </w:r>
      <w:r w:rsidR="00D9653F" w:rsidRPr="002072A6">
        <w:rPr>
          <w:rFonts w:ascii="Arial" w:hAnsi="Arial" w:cs="Arial"/>
          <w:bCs/>
          <w:sz w:val="22"/>
          <w:szCs w:val="22"/>
          <w:lang w:val="fr-FR"/>
        </w:rPr>
        <w:t>% à 2,6</w:t>
      </w:r>
      <w:r w:rsidR="00D9653F">
        <w:rPr>
          <w:rFonts w:ascii="Arial" w:hAnsi="Arial" w:cs="Arial"/>
          <w:bCs/>
          <w:sz w:val="22"/>
          <w:szCs w:val="22"/>
          <w:lang w:val="fr-FR"/>
        </w:rPr>
        <w:t> </w:t>
      </w:r>
      <w:r w:rsidR="00D9653F" w:rsidRPr="002072A6">
        <w:rPr>
          <w:rFonts w:ascii="Arial" w:hAnsi="Arial" w:cs="Arial"/>
          <w:bCs/>
          <w:sz w:val="22"/>
          <w:szCs w:val="22"/>
          <w:lang w:val="fr-FR"/>
        </w:rPr>
        <w:t xml:space="preserve">%. Cette augmentation </w:t>
      </w:r>
      <w:r w:rsidR="00D9653F">
        <w:rPr>
          <w:rFonts w:ascii="Arial" w:hAnsi="Arial" w:cs="Arial"/>
          <w:bCs/>
          <w:sz w:val="22"/>
          <w:szCs w:val="22"/>
          <w:lang w:val="fr-FR"/>
        </w:rPr>
        <w:t>était</w:t>
      </w:r>
      <w:r w:rsidR="00D9653F" w:rsidRPr="002072A6">
        <w:rPr>
          <w:rFonts w:ascii="Arial" w:hAnsi="Arial" w:cs="Arial"/>
          <w:bCs/>
          <w:sz w:val="22"/>
          <w:szCs w:val="22"/>
          <w:lang w:val="fr-FR"/>
        </w:rPr>
        <w:t xml:space="preserve"> liée à la réflexion globale sur les mécanismes d</w:t>
      </w:r>
      <w:r w:rsidR="008E532B">
        <w:rPr>
          <w:rFonts w:ascii="Arial" w:hAnsi="Arial" w:cs="Arial"/>
          <w:bCs/>
          <w:sz w:val="22"/>
          <w:szCs w:val="22"/>
          <w:lang w:val="fr-FR"/>
        </w:rPr>
        <w:t>’</w:t>
      </w:r>
      <w:r w:rsidR="00D9653F" w:rsidRPr="002072A6">
        <w:rPr>
          <w:rFonts w:ascii="Arial" w:hAnsi="Arial" w:cs="Arial"/>
          <w:bCs/>
          <w:sz w:val="22"/>
          <w:szCs w:val="22"/>
          <w:lang w:val="fr-FR"/>
        </w:rPr>
        <w:t>inscription, qui permettrait d</w:t>
      </w:r>
      <w:r w:rsidR="008E532B">
        <w:rPr>
          <w:rFonts w:ascii="Arial" w:hAnsi="Arial" w:cs="Arial"/>
          <w:bCs/>
          <w:sz w:val="22"/>
          <w:szCs w:val="22"/>
          <w:lang w:val="fr-FR"/>
        </w:rPr>
        <w:t>’</w:t>
      </w:r>
      <w:r w:rsidR="00D9653F" w:rsidRPr="002072A6">
        <w:rPr>
          <w:rFonts w:ascii="Arial" w:hAnsi="Arial" w:cs="Arial"/>
          <w:bCs/>
          <w:sz w:val="22"/>
          <w:szCs w:val="22"/>
          <w:lang w:val="fr-FR"/>
        </w:rPr>
        <w:t xml:space="preserve">utiliser le Fonds pour mettre immédiatement en œuvre les </w:t>
      </w:r>
      <w:r w:rsidR="00D9653F">
        <w:rPr>
          <w:rFonts w:ascii="Arial" w:hAnsi="Arial" w:cs="Arial"/>
          <w:bCs/>
          <w:sz w:val="22"/>
          <w:szCs w:val="22"/>
          <w:lang w:val="fr-FR"/>
        </w:rPr>
        <w:t>D</w:t>
      </w:r>
      <w:r w:rsidR="00D9653F" w:rsidRPr="002072A6">
        <w:rPr>
          <w:rFonts w:ascii="Arial" w:hAnsi="Arial" w:cs="Arial"/>
          <w:bCs/>
          <w:sz w:val="22"/>
          <w:szCs w:val="22"/>
          <w:lang w:val="fr-FR"/>
        </w:rPr>
        <w:t>irectives opérationnelles révisées</w:t>
      </w:r>
      <w:r w:rsidR="00D9653F">
        <w:rPr>
          <w:rFonts w:ascii="Arial" w:hAnsi="Arial" w:cs="Arial"/>
          <w:bCs/>
          <w:sz w:val="22"/>
          <w:szCs w:val="22"/>
          <w:lang w:val="fr-FR"/>
        </w:rPr>
        <w:t>,</w:t>
      </w:r>
      <w:r w:rsidR="00D9653F" w:rsidRPr="002072A6">
        <w:rPr>
          <w:rFonts w:ascii="Arial" w:hAnsi="Arial" w:cs="Arial"/>
          <w:bCs/>
          <w:sz w:val="22"/>
          <w:szCs w:val="22"/>
          <w:lang w:val="fr-FR"/>
        </w:rPr>
        <w:t xml:space="preserve"> approuvées au </w:t>
      </w:r>
      <w:r w:rsidR="00D9653F">
        <w:rPr>
          <w:rFonts w:ascii="Arial" w:hAnsi="Arial" w:cs="Arial"/>
          <w:bCs/>
          <w:sz w:val="22"/>
          <w:szCs w:val="22"/>
          <w:lang w:val="fr-FR"/>
        </w:rPr>
        <w:t xml:space="preserve">titre du </w:t>
      </w:r>
      <w:r w:rsidR="00D9653F" w:rsidRPr="002072A6">
        <w:rPr>
          <w:rFonts w:ascii="Arial" w:hAnsi="Arial" w:cs="Arial"/>
          <w:bCs/>
          <w:sz w:val="22"/>
          <w:szCs w:val="22"/>
          <w:lang w:val="fr-FR"/>
        </w:rPr>
        <w:t xml:space="preserve">point 9. Les </w:t>
      </w:r>
      <w:r w:rsidR="00D9653F">
        <w:rPr>
          <w:rFonts w:ascii="Arial" w:hAnsi="Arial" w:cs="Arial"/>
          <w:bCs/>
          <w:sz w:val="22"/>
          <w:szCs w:val="22"/>
          <w:lang w:val="fr-FR"/>
        </w:rPr>
        <w:t>É</w:t>
      </w:r>
      <w:r w:rsidR="00D9653F" w:rsidRPr="002072A6">
        <w:rPr>
          <w:rFonts w:ascii="Arial" w:hAnsi="Arial" w:cs="Arial"/>
          <w:bCs/>
          <w:sz w:val="22"/>
          <w:szCs w:val="22"/>
          <w:lang w:val="fr-FR"/>
        </w:rPr>
        <w:t>tats pourr</w:t>
      </w:r>
      <w:r w:rsidR="00D9653F">
        <w:rPr>
          <w:rFonts w:ascii="Arial" w:hAnsi="Arial" w:cs="Arial"/>
          <w:bCs/>
          <w:sz w:val="22"/>
          <w:szCs w:val="22"/>
          <w:lang w:val="fr-FR"/>
        </w:rPr>
        <w:t>aie</w:t>
      </w:r>
      <w:r w:rsidR="00D9653F" w:rsidRPr="002072A6">
        <w:rPr>
          <w:rFonts w:ascii="Arial" w:hAnsi="Arial" w:cs="Arial"/>
          <w:bCs/>
          <w:sz w:val="22"/>
          <w:szCs w:val="22"/>
          <w:lang w:val="fr-FR"/>
        </w:rPr>
        <w:t>nt demander une assistance pour la préparation des demandes de transfert d</w:t>
      </w:r>
      <w:r w:rsidR="008E532B">
        <w:rPr>
          <w:rFonts w:ascii="Arial" w:hAnsi="Arial" w:cs="Arial"/>
          <w:bCs/>
          <w:sz w:val="22"/>
          <w:szCs w:val="22"/>
          <w:lang w:val="fr-FR"/>
        </w:rPr>
        <w:t>’</w:t>
      </w:r>
      <w:r w:rsidR="00D9653F" w:rsidRPr="002072A6">
        <w:rPr>
          <w:rFonts w:ascii="Arial" w:hAnsi="Arial" w:cs="Arial"/>
          <w:bCs/>
          <w:sz w:val="22"/>
          <w:szCs w:val="22"/>
          <w:lang w:val="fr-FR"/>
        </w:rPr>
        <w:t xml:space="preserve">éléments inscrits entre les deux </w:t>
      </w:r>
      <w:r w:rsidR="00D9653F">
        <w:rPr>
          <w:rFonts w:ascii="Arial" w:hAnsi="Arial" w:cs="Arial"/>
          <w:bCs/>
          <w:sz w:val="22"/>
          <w:szCs w:val="22"/>
          <w:lang w:val="fr-FR"/>
        </w:rPr>
        <w:t>l</w:t>
      </w:r>
      <w:r w:rsidR="00D9653F" w:rsidRPr="002072A6">
        <w:rPr>
          <w:rFonts w:ascii="Arial" w:hAnsi="Arial" w:cs="Arial"/>
          <w:bCs/>
          <w:sz w:val="22"/>
          <w:szCs w:val="22"/>
          <w:lang w:val="fr-FR"/>
        </w:rPr>
        <w:t>istes de la Convention, ainsi que pour l</w:t>
      </w:r>
      <w:r w:rsidR="008E532B">
        <w:rPr>
          <w:rFonts w:ascii="Arial" w:hAnsi="Arial" w:cs="Arial"/>
          <w:bCs/>
          <w:sz w:val="22"/>
          <w:szCs w:val="22"/>
          <w:lang w:val="fr-FR"/>
        </w:rPr>
        <w:t>’</w:t>
      </w:r>
      <w:r w:rsidR="00D9653F" w:rsidRPr="002072A6">
        <w:rPr>
          <w:rFonts w:ascii="Arial" w:hAnsi="Arial" w:cs="Arial"/>
          <w:bCs/>
          <w:sz w:val="22"/>
          <w:szCs w:val="22"/>
          <w:lang w:val="fr-FR"/>
        </w:rPr>
        <w:t>inscription é</w:t>
      </w:r>
      <w:r w:rsidR="00D9653F">
        <w:rPr>
          <w:rFonts w:ascii="Arial" w:hAnsi="Arial" w:cs="Arial"/>
          <w:bCs/>
          <w:sz w:val="22"/>
          <w:szCs w:val="22"/>
          <w:lang w:val="fr-FR"/>
        </w:rPr>
        <w:t>largie</w:t>
      </w:r>
      <w:r w:rsidR="00D9653F" w:rsidRPr="002072A6">
        <w:rPr>
          <w:rFonts w:ascii="Arial" w:hAnsi="Arial" w:cs="Arial"/>
          <w:bCs/>
          <w:sz w:val="22"/>
          <w:szCs w:val="22"/>
          <w:lang w:val="fr-FR"/>
        </w:rPr>
        <w:t xml:space="preserve"> ou réduite</w:t>
      </w:r>
      <w:r w:rsidR="00D9653F">
        <w:rPr>
          <w:rFonts w:ascii="Arial" w:hAnsi="Arial" w:cs="Arial"/>
          <w:bCs/>
          <w:sz w:val="22"/>
          <w:szCs w:val="22"/>
          <w:lang w:val="fr-FR"/>
        </w:rPr>
        <w:t xml:space="preserve"> d</w:t>
      </w:r>
      <w:r w:rsidR="008E532B">
        <w:rPr>
          <w:rFonts w:ascii="Arial" w:hAnsi="Arial" w:cs="Arial"/>
          <w:bCs/>
          <w:sz w:val="22"/>
          <w:szCs w:val="22"/>
          <w:lang w:val="fr-FR"/>
        </w:rPr>
        <w:t>’</w:t>
      </w:r>
      <w:r w:rsidR="00D9653F">
        <w:rPr>
          <w:rFonts w:ascii="Arial" w:hAnsi="Arial" w:cs="Arial"/>
          <w:bCs/>
          <w:sz w:val="22"/>
          <w:szCs w:val="22"/>
          <w:lang w:val="fr-FR"/>
        </w:rPr>
        <w:t>éléments</w:t>
      </w:r>
      <w:r w:rsidR="00D9653F" w:rsidRPr="002072A6">
        <w:rPr>
          <w:rFonts w:ascii="Arial" w:hAnsi="Arial" w:cs="Arial"/>
          <w:bCs/>
          <w:sz w:val="22"/>
          <w:szCs w:val="22"/>
          <w:lang w:val="fr-FR"/>
        </w:rPr>
        <w:t xml:space="preserve">. La </w:t>
      </w:r>
      <w:r w:rsidR="00D9653F" w:rsidRPr="00035D77">
        <w:rPr>
          <w:rFonts w:ascii="Arial" w:hAnsi="Arial" w:cs="Arial"/>
          <w:bCs/>
          <w:sz w:val="22"/>
          <w:szCs w:val="22"/>
          <w:u w:val="single"/>
          <w:lang w:val="fr-FR"/>
        </w:rPr>
        <w:t>ligne budgétaire 3 (Autres fonctions du Comité)</w:t>
      </w:r>
      <w:r w:rsidR="00D9653F" w:rsidRPr="002072A6">
        <w:rPr>
          <w:rFonts w:ascii="Arial" w:hAnsi="Arial" w:cs="Arial"/>
          <w:bCs/>
          <w:sz w:val="22"/>
          <w:szCs w:val="22"/>
          <w:lang w:val="fr-FR"/>
        </w:rPr>
        <w:t xml:space="preserve"> serait maintenue à 20</w:t>
      </w:r>
      <w:r w:rsidR="00D9653F">
        <w:rPr>
          <w:rFonts w:ascii="Arial" w:hAnsi="Arial" w:cs="Arial"/>
          <w:bCs/>
          <w:sz w:val="22"/>
          <w:szCs w:val="22"/>
          <w:lang w:val="fr-FR"/>
        </w:rPr>
        <w:t> </w:t>
      </w:r>
      <w:r w:rsidR="00D9653F" w:rsidRPr="002072A6">
        <w:rPr>
          <w:rFonts w:ascii="Arial" w:hAnsi="Arial" w:cs="Arial"/>
          <w:bCs/>
          <w:sz w:val="22"/>
          <w:szCs w:val="22"/>
          <w:lang w:val="fr-FR"/>
        </w:rPr>
        <w:t xml:space="preserve">% du budget total approuvé. Cette ligne </w:t>
      </w:r>
      <w:r w:rsidR="00D9653F">
        <w:rPr>
          <w:rFonts w:ascii="Arial" w:hAnsi="Arial" w:cs="Arial"/>
          <w:bCs/>
          <w:sz w:val="22"/>
          <w:szCs w:val="22"/>
          <w:lang w:val="fr-FR"/>
        </w:rPr>
        <w:t>était</w:t>
      </w:r>
      <w:r w:rsidR="00D9653F" w:rsidRPr="002072A6">
        <w:rPr>
          <w:rFonts w:ascii="Arial" w:hAnsi="Arial" w:cs="Arial"/>
          <w:bCs/>
          <w:sz w:val="22"/>
          <w:szCs w:val="22"/>
          <w:lang w:val="fr-FR"/>
        </w:rPr>
        <w:t xml:space="preserve"> </w:t>
      </w:r>
      <w:r w:rsidR="00D9653F">
        <w:rPr>
          <w:rFonts w:ascii="Arial" w:hAnsi="Arial" w:cs="Arial"/>
          <w:bCs/>
          <w:sz w:val="22"/>
          <w:szCs w:val="22"/>
          <w:lang w:val="fr-FR"/>
        </w:rPr>
        <w:t>consacrée</w:t>
      </w:r>
      <w:r w:rsidR="00D9653F" w:rsidRPr="002072A6">
        <w:rPr>
          <w:rFonts w:ascii="Arial" w:hAnsi="Arial" w:cs="Arial"/>
          <w:bCs/>
          <w:sz w:val="22"/>
          <w:szCs w:val="22"/>
          <w:lang w:val="fr-FR"/>
        </w:rPr>
        <w:t xml:space="preserve"> au travail en amont au niveau mondial. </w:t>
      </w:r>
      <w:proofErr w:type="gramStart"/>
      <w:r w:rsidR="00D9653F" w:rsidRPr="002072A6">
        <w:rPr>
          <w:rFonts w:ascii="Arial" w:hAnsi="Arial" w:cs="Arial"/>
          <w:bCs/>
          <w:sz w:val="22"/>
          <w:szCs w:val="22"/>
          <w:lang w:val="fr-FR"/>
        </w:rPr>
        <w:t>Suite à</w:t>
      </w:r>
      <w:proofErr w:type="gramEnd"/>
      <w:r w:rsidR="00D9653F" w:rsidRPr="002072A6">
        <w:rPr>
          <w:rFonts w:ascii="Arial" w:hAnsi="Arial" w:cs="Arial"/>
          <w:bCs/>
          <w:sz w:val="22"/>
          <w:szCs w:val="22"/>
          <w:lang w:val="fr-FR"/>
        </w:rPr>
        <w:t xml:space="preserve"> la nouvelle procédure d</w:t>
      </w:r>
      <w:r w:rsidR="008E532B">
        <w:rPr>
          <w:rFonts w:ascii="Arial" w:hAnsi="Arial" w:cs="Arial"/>
          <w:bCs/>
          <w:sz w:val="22"/>
          <w:szCs w:val="22"/>
          <w:lang w:val="fr-FR"/>
        </w:rPr>
        <w:t>’</w:t>
      </w:r>
      <w:r w:rsidR="00D9653F" w:rsidRPr="002072A6">
        <w:rPr>
          <w:rFonts w:ascii="Arial" w:hAnsi="Arial" w:cs="Arial"/>
          <w:bCs/>
          <w:sz w:val="22"/>
          <w:szCs w:val="22"/>
          <w:lang w:val="fr-FR"/>
        </w:rPr>
        <w:t xml:space="preserve">approbation introduite par le Comité en 2019, la </w:t>
      </w:r>
      <w:r w:rsidR="002512C5">
        <w:rPr>
          <w:rFonts w:ascii="Arial" w:hAnsi="Arial" w:cs="Arial"/>
          <w:bCs/>
          <w:sz w:val="22"/>
          <w:szCs w:val="22"/>
          <w:lang w:val="fr-FR"/>
        </w:rPr>
        <w:t>distribution</w:t>
      </w:r>
      <w:r w:rsidR="00D9653F" w:rsidRPr="002072A6">
        <w:rPr>
          <w:rFonts w:ascii="Arial" w:hAnsi="Arial" w:cs="Arial"/>
          <w:bCs/>
          <w:sz w:val="22"/>
          <w:szCs w:val="22"/>
          <w:lang w:val="fr-FR"/>
        </w:rPr>
        <w:t xml:space="preserve"> en pourcentage de la ligne budgétaire 3 avait déjà été approuvée par la </w:t>
      </w:r>
      <w:r w:rsidR="00D9653F">
        <w:rPr>
          <w:rFonts w:ascii="Arial" w:hAnsi="Arial" w:cs="Arial"/>
          <w:bCs/>
          <w:sz w:val="22"/>
          <w:szCs w:val="22"/>
          <w:lang w:val="fr-FR"/>
        </w:rPr>
        <w:t>seizième</w:t>
      </w:r>
      <w:r w:rsidR="00D9653F" w:rsidRPr="002072A6">
        <w:rPr>
          <w:rFonts w:ascii="Arial" w:hAnsi="Arial" w:cs="Arial"/>
          <w:bCs/>
          <w:sz w:val="22"/>
          <w:szCs w:val="22"/>
          <w:lang w:val="fr-FR"/>
        </w:rPr>
        <w:t xml:space="preserve"> session du Comité en 2021. Elle </w:t>
      </w:r>
      <w:r w:rsidR="00D9653F">
        <w:rPr>
          <w:rFonts w:ascii="Arial" w:hAnsi="Arial" w:cs="Arial"/>
          <w:bCs/>
          <w:sz w:val="22"/>
          <w:szCs w:val="22"/>
          <w:lang w:val="fr-FR"/>
        </w:rPr>
        <w:t xml:space="preserve">était </w:t>
      </w:r>
      <w:r w:rsidR="00D9653F" w:rsidRPr="00035D77">
        <w:rPr>
          <w:rFonts w:ascii="Arial" w:hAnsi="Arial" w:cs="Arial"/>
          <w:bCs/>
          <w:color w:val="000000" w:themeColor="text1"/>
          <w:sz w:val="22"/>
          <w:szCs w:val="22"/>
          <w:lang w:val="fr-FR"/>
        </w:rPr>
        <w:t>désormais</w:t>
      </w:r>
      <w:r w:rsidR="00D9653F" w:rsidRPr="002072A6">
        <w:rPr>
          <w:rFonts w:ascii="Arial" w:hAnsi="Arial" w:cs="Arial"/>
          <w:bCs/>
          <w:sz w:val="22"/>
          <w:szCs w:val="22"/>
          <w:lang w:val="fr-FR"/>
        </w:rPr>
        <w:t xml:space="preserve"> présentée à l</w:t>
      </w:r>
      <w:r w:rsidR="008E532B">
        <w:rPr>
          <w:rFonts w:ascii="Arial" w:hAnsi="Arial" w:cs="Arial"/>
          <w:bCs/>
          <w:sz w:val="22"/>
          <w:szCs w:val="22"/>
          <w:lang w:val="fr-FR"/>
        </w:rPr>
        <w:t>’</w:t>
      </w:r>
      <w:r w:rsidR="00D9653F" w:rsidRPr="002072A6">
        <w:rPr>
          <w:rFonts w:ascii="Arial" w:hAnsi="Arial" w:cs="Arial"/>
          <w:bCs/>
          <w:sz w:val="22"/>
          <w:szCs w:val="22"/>
          <w:lang w:val="fr-FR"/>
        </w:rPr>
        <w:t xml:space="preserve">Assemblée avec une description des quatre résultats </w:t>
      </w:r>
      <w:r w:rsidR="00D9653F">
        <w:rPr>
          <w:rFonts w:ascii="Arial" w:hAnsi="Arial" w:cs="Arial"/>
          <w:bCs/>
          <w:sz w:val="22"/>
          <w:szCs w:val="22"/>
          <w:lang w:val="fr-FR"/>
        </w:rPr>
        <w:t>escomptés (RE)</w:t>
      </w:r>
      <w:r w:rsidR="00D9653F" w:rsidRPr="002072A6">
        <w:rPr>
          <w:rFonts w:ascii="Arial" w:hAnsi="Arial" w:cs="Arial"/>
          <w:bCs/>
          <w:sz w:val="22"/>
          <w:szCs w:val="22"/>
          <w:lang w:val="fr-FR"/>
        </w:rPr>
        <w:t xml:space="preserve"> au titre de cette ligne budgétaire</w:t>
      </w:r>
      <w:r w:rsidR="00D9653F">
        <w:rPr>
          <w:rFonts w:ascii="Arial" w:hAnsi="Arial" w:cs="Arial"/>
          <w:bCs/>
          <w:sz w:val="22"/>
          <w:szCs w:val="22"/>
          <w:lang w:val="fr-FR"/>
        </w:rPr>
        <w:t xml:space="preserve">, </w:t>
      </w:r>
      <w:r w:rsidR="00D9653F" w:rsidRPr="002072A6">
        <w:rPr>
          <w:rFonts w:ascii="Arial" w:hAnsi="Arial" w:cs="Arial"/>
          <w:bCs/>
          <w:sz w:val="22"/>
          <w:szCs w:val="22"/>
          <w:lang w:val="fr-FR"/>
        </w:rPr>
        <w:t>correspond</w:t>
      </w:r>
      <w:r w:rsidR="00D9653F">
        <w:rPr>
          <w:rFonts w:ascii="Arial" w:hAnsi="Arial" w:cs="Arial"/>
          <w:bCs/>
          <w:sz w:val="22"/>
          <w:szCs w:val="22"/>
          <w:lang w:val="fr-FR"/>
        </w:rPr>
        <w:t>ant</w:t>
      </w:r>
      <w:r w:rsidR="00D9653F" w:rsidRPr="002072A6">
        <w:rPr>
          <w:rFonts w:ascii="Arial" w:hAnsi="Arial" w:cs="Arial"/>
          <w:bCs/>
          <w:sz w:val="22"/>
          <w:szCs w:val="22"/>
          <w:lang w:val="fr-FR"/>
        </w:rPr>
        <w:t xml:space="preserve"> aux paragraphes 24 à 31 du document 10. Les fonds a</w:t>
      </w:r>
      <w:r w:rsidR="00D9653F">
        <w:rPr>
          <w:rFonts w:ascii="Arial" w:hAnsi="Arial" w:cs="Arial"/>
          <w:bCs/>
          <w:sz w:val="22"/>
          <w:szCs w:val="22"/>
          <w:lang w:val="fr-FR"/>
        </w:rPr>
        <w:t>ffectés</w:t>
      </w:r>
      <w:r w:rsidR="00D9653F" w:rsidRPr="002072A6">
        <w:rPr>
          <w:rFonts w:ascii="Arial" w:hAnsi="Arial" w:cs="Arial"/>
          <w:bCs/>
          <w:sz w:val="22"/>
          <w:szCs w:val="22"/>
          <w:lang w:val="fr-FR"/>
        </w:rPr>
        <w:t xml:space="preserve"> à cette ligne budgétaire seraient spécifiquement consacrés à l</w:t>
      </w:r>
      <w:r w:rsidR="008E532B">
        <w:rPr>
          <w:rFonts w:ascii="Arial" w:hAnsi="Arial" w:cs="Arial"/>
          <w:bCs/>
          <w:sz w:val="22"/>
          <w:szCs w:val="22"/>
          <w:lang w:val="fr-FR"/>
        </w:rPr>
        <w:t>’</w:t>
      </w:r>
      <w:r w:rsidR="00D9653F" w:rsidRPr="002072A6">
        <w:rPr>
          <w:rFonts w:ascii="Arial" w:hAnsi="Arial" w:cs="Arial"/>
          <w:bCs/>
          <w:sz w:val="22"/>
          <w:szCs w:val="22"/>
          <w:lang w:val="fr-FR"/>
        </w:rPr>
        <w:t xml:space="preserve">amélioration </w:t>
      </w:r>
      <w:r w:rsidR="00D9653F">
        <w:rPr>
          <w:rFonts w:ascii="Arial" w:hAnsi="Arial" w:cs="Arial"/>
          <w:bCs/>
          <w:sz w:val="22"/>
          <w:szCs w:val="22"/>
          <w:lang w:val="fr-FR"/>
        </w:rPr>
        <w:t xml:space="preserve">du suivi et des services de gestion des </w:t>
      </w:r>
      <w:r w:rsidR="00D9653F" w:rsidRPr="000406AE">
        <w:rPr>
          <w:rFonts w:ascii="Arial" w:hAnsi="Arial" w:cs="Arial"/>
          <w:bCs/>
          <w:sz w:val="22"/>
          <w:szCs w:val="22"/>
          <w:lang w:val="fr-FR"/>
        </w:rPr>
        <w:t>connaissances</w:t>
      </w:r>
      <w:r w:rsidR="00D9653F">
        <w:rPr>
          <w:rFonts w:ascii="Arial" w:hAnsi="Arial" w:cs="Arial"/>
          <w:bCs/>
          <w:sz w:val="22"/>
          <w:szCs w:val="22"/>
          <w:lang w:val="fr-FR"/>
        </w:rPr>
        <w:t xml:space="preserve"> </w:t>
      </w:r>
      <w:r w:rsidR="00D9653F" w:rsidRPr="002072A6">
        <w:rPr>
          <w:rFonts w:ascii="Arial" w:hAnsi="Arial" w:cs="Arial"/>
          <w:bCs/>
          <w:sz w:val="22"/>
          <w:szCs w:val="22"/>
          <w:lang w:val="fr-FR"/>
        </w:rPr>
        <w:t>de la Convention, au programme de renforcement des capacités, à l</w:t>
      </w:r>
      <w:r w:rsidR="008E532B">
        <w:rPr>
          <w:rFonts w:ascii="Arial" w:hAnsi="Arial" w:cs="Arial"/>
          <w:bCs/>
          <w:sz w:val="22"/>
          <w:szCs w:val="22"/>
          <w:lang w:val="fr-FR"/>
        </w:rPr>
        <w:t>’</w:t>
      </w:r>
      <w:r w:rsidR="00D9653F" w:rsidRPr="002072A6">
        <w:rPr>
          <w:rFonts w:ascii="Arial" w:hAnsi="Arial" w:cs="Arial"/>
          <w:bCs/>
          <w:sz w:val="22"/>
          <w:szCs w:val="22"/>
          <w:lang w:val="fr-FR"/>
        </w:rPr>
        <w:t xml:space="preserve">intégration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00D9653F" w:rsidRPr="002072A6">
        <w:rPr>
          <w:rFonts w:ascii="Arial" w:hAnsi="Arial" w:cs="Arial"/>
          <w:bCs/>
          <w:sz w:val="22"/>
          <w:szCs w:val="22"/>
          <w:lang w:val="fr-FR"/>
        </w:rPr>
        <w:t xml:space="preserve">dans les plans, politiques et programmes de développement, avec un accent particulier </w:t>
      </w:r>
      <w:r w:rsidR="00D9653F">
        <w:rPr>
          <w:rFonts w:ascii="Arial" w:hAnsi="Arial" w:cs="Arial"/>
          <w:bCs/>
          <w:sz w:val="22"/>
          <w:szCs w:val="22"/>
          <w:lang w:val="fr-FR"/>
        </w:rPr>
        <w:t xml:space="preserve">mis </w:t>
      </w:r>
      <w:r w:rsidR="00D9653F" w:rsidRPr="002072A6">
        <w:rPr>
          <w:rFonts w:ascii="Arial" w:hAnsi="Arial" w:cs="Arial"/>
          <w:bCs/>
          <w:sz w:val="22"/>
          <w:szCs w:val="22"/>
          <w:lang w:val="fr-FR"/>
        </w:rPr>
        <w:t>sur l</w:t>
      </w:r>
      <w:r w:rsidR="008E532B">
        <w:rPr>
          <w:rFonts w:ascii="Arial" w:hAnsi="Arial" w:cs="Arial"/>
          <w:bCs/>
          <w:sz w:val="22"/>
          <w:szCs w:val="22"/>
          <w:lang w:val="fr-FR"/>
        </w:rPr>
        <w:t>’</w:t>
      </w:r>
      <w:r w:rsidR="00D9653F" w:rsidRPr="002072A6">
        <w:rPr>
          <w:rFonts w:ascii="Arial" w:hAnsi="Arial" w:cs="Arial"/>
          <w:bCs/>
          <w:sz w:val="22"/>
          <w:szCs w:val="22"/>
          <w:lang w:val="fr-FR"/>
        </w:rPr>
        <w:t xml:space="preserve">éducation et la sauvegarde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00D9653F" w:rsidRPr="002072A6">
        <w:rPr>
          <w:rFonts w:ascii="Arial" w:hAnsi="Arial" w:cs="Arial"/>
          <w:bCs/>
          <w:sz w:val="22"/>
          <w:szCs w:val="22"/>
          <w:lang w:val="fr-FR"/>
        </w:rPr>
        <w:t>dans les situations d</w:t>
      </w:r>
      <w:r w:rsidR="008E532B">
        <w:rPr>
          <w:rFonts w:ascii="Arial" w:hAnsi="Arial" w:cs="Arial"/>
          <w:bCs/>
          <w:sz w:val="22"/>
          <w:szCs w:val="22"/>
          <w:lang w:val="fr-FR"/>
        </w:rPr>
        <w:t>’</w:t>
      </w:r>
      <w:r w:rsidR="00D9653F" w:rsidRPr="002072A6">
        <w:rPr>
          <w:rFonts w:ascii="Arial" w:hAnsi="Arial" w:cs="Arial"/>
          <w:bCs/>
          <w:sz w:val="22"/>
          <w:szCs w:val="22"/>
          <w:lang w:val="fr-FR"/>
        </w:rPr>
        <w:t>urgence, et</w:t>
      </w:r>
      <w:r w:rsidR="00D9653F">
        <w:rPr>
          <w:rFonts w:ascii="Arial" w:hAnsi="Arial" w:cs="Arial"/>
          <w:bCs/>
          <w:sz w:val="22"/>
          <w:szCs w:val="22"/>
          <w:lang w:val="fr-FR"/>
        </w:rPr>
        <w:t xml:space="preserve">, enfin, </w:t>
      </w:r>
      <w:r w:rsidR="00D9653F" w:rsidRPr="002072A6">
        <w:rPr>
          <w:rFonts w:ascii="Arial" w:hAnsi="Arial" w:cs="Arial"/>
          <w:bCs/>
          <w:sz w:val="22"/>
          <w:szCs w:val="22"/>
          <w:lang w:val="fr-FR"/>
        </w:rPr>
        <w:t>à la promotion des objectifs de la Convention par la sensibilisation et l</w:t>
      </w:r>
      <w:r w:rsidR="008E532B">
        <w:rPr>
          <w:rFonts w:ascii="Arial" w:hAnsi="Arial" w:cs="Arial"/>
          <w:bCs/>
          <w:sz w:val="22"/>
          <w:szCs w:val="22"/>
          <w:lang w:val="fr-FR"/>
        </w:rPr>
        <w:t>’</w:t>
      </w:r>
      <w:r w:rsidR="00D9653F" w:rsidRPr="000406AE">
        <w:rPr>
          <w:rFonts w:ascii="Arial" w:hAnsi="Arial" w:cs="Arial"/>
          <w:bCs/>
          <w:sz w:val="22"/>
          <w:szCs w:val="22"/>
          <w:lang w:val="fr-FR"/>
        </w:rPr>
        <w:t>information</w:t>
      </w:r>
      <w:r w:rsidR="00D9653F" w:rsidRPr="002072A6">
        <w:rPr>
          <w:rFonts w:ascii="Arial" w:hAnsi="Arial" w:cs="Arial"/>
          <w:bCs/>
          <w:sz w:val="22"/>
          <w:szCs w:val="22"/>
          <w:lang w:val="fr-FR"/>
        </w:rPr>
        <w:t>.</w:t>
      </w:r>
    </w:p>
    <w:bookmarkEnd w:id="2"/>
    <w:p w14:paraId="38F02444" w14:textId="54F8E30D" w:rsidR="00D9653F" w:rsidRPr="005D1273" w:rsidRDefault="008D65C3"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
          <w:sz w:val="22"/>
          <w:szCs w:val="22"/>
          <w:lang w:val="fr-FR"/>
        </w:rPr>
        <w:t>Mme</w:t>
      </w:r>
      <w:r w:rsidR="00D9653F">
        <w:rPr>
          <w:rFonts w:ascii="Arial" w:hAnsi="Arial" w:cs="Arial"/>
          <w:b/>
          <w:sz w:val="22"/>
          <w:szCs w:val="22"/>
          <w:lang w:val="fr-FR"/>
        </w:rPr>
        <w:t> </w:t>
      </w:r>
      <w:r w:rsidR="00D9653F" w:rsidRPr="00511851">
        <w:rPr>
          <w:rFonts w:ascii="Arial" w:hAnsi="Arial" w:cs="Arial"/>
          <w:b/>
          <w:sz w:val="22"/>
          <w:szCs w:val="22"/>
          <w:lang w:val="fr-FR"/>
        </w:rPr>
        <w:t>Fumiko Ohinata</w:t>
      </w:r>
      <w:r w:rsidR="00D9653F" w:rsidRPr="002072A6">
        <w:rPr>
          <w:rFonts w:ascii="Arial" w:hAnsi="Arial" w:cs="Arial"/>
          <w:bCs/>
          <w:sz w:val="22"/>
          <w:szCs w:val="22"/>
          <w:lang w:val="fr-FR"/>
        </w:rPr>
        <w:t xml:space="preserve"> </w:t>
      </w:r>
      <w:r w:rsidR="00D9653F">
        <w:rPr>
          <w:rFonts w:ascii="Arial" w:hAnsi="Arial" w:cs="Arial"/>
          <w:bCs/>
          <w:sz w:val="22"/>
          <w:szCs w:val="22"/>
          <w:lang w:val="fr-FR"/>
        </w:rPr>
        <w:t>est enfin passée aux</w:t>
      </w:r>
      <w:r w:rsidR="00D9653F" w:rsidRPr="005D1273">
        <w:rPr>
          <w:rFonts w:ascii="Arial" w:hAnsi="Arial" w:cs="Arial"/>
          <w:bCs/>
          <w:sz w:val="22"/>
          <w:szCs w:val="22"/>
          <w:lang w:val="fr-FR"/>
        </w:rPr>
        <w:t xml:space="preserve"> </w:t>
      </w:r>
      <w:r w:rsidR="00D9653F" w:rsidRPr="005D1273">
        <w:rPr>
          <w:rFonts w:ascii="Arial" w:hAnsi="Arial" w:cs="Arial"/>
          <w:bCs/>
          <w:sz w:val="22"/>
          <w:szCs w:val="22"/>
          <w:u w:val="single"/>
          <w:lang w:val="fr-FR"/>
        </w:rPr>
        <w:t>lignes budgétaires 4, 5 et 6 (</w:t>
      </w:r>
      <w:r w:rsidR="00D9653F">
        <w:rPr>
          <w:rFonts w:ascii="Arial" w:hAnsi="Arial" w:cs="Arial"/>
          <w:bCs/>
          <w:sz w:val="22"/>
          <w:szCs w:val="22"/>
          <w:u w:val="single"/>
          <w:lang w:val="fr-FR"/>
        </w:rPr>
        <w:t>P</w:t>
      </w:r>
      <w:r w:rsidR="00D9653F" w:rsidRPr="005D1273">
        <w:rPr>
          <w:rFonts w:ascii="Arial" w:hAnsi="Arial" w:cs="Arial"/>
          <w:bCs/>
          <w:sz w:val="22"/>
          <w:szCs w:val="22"/>
          <w:u w:val="single"/>
          <w:lang w:val="fr-FR"/>
        </w:rPr>
        <w:t>articipation aux sessions du Comité)</w:t>
      </w:r>
      <w:r w:rsidR="00D9653F" w:rsidRPr="005D1273">
        <w:rPr>
          <w:rFonts w:ascii="Arial" w:hAnsi="Arial" w:cs="Arial"/>
          <w:bCs/>
          <w:sz w:val="22"/>
          <w:szCs w:val="22"/>
          <w:lang w:val="fr-FR"/>
        </w:rPr>
        <w:t>. Celles-ci seraient maintenues en général</w:t>
      </w:r>
      <w:r w:rsidR="00D9653F">
        <w:rPr>
          <w:rFonts w:ascii="Arial" w:hAnsi="Arial" w:cs="Arial"/>
          <w:bCs/>
          <w:sz w:val="22"/>
          <w:szCs w:val="22"/>
          <w:lang w:val="fr-FR"/>
        </w:rPr>
        <w:t>,</w:t>
      </w:r>
      <w:r w:rsidR="00D9653F" w:rsidRPr="005D1273">
        <w:rPr>
          <w:rFonts w:ascii="Arial" w:hAnsi="Arial" w:cs="Arial"/>
          <w:bCs/>
          <w:sz w:val="22"/>
          <w:szCs w:val="22"/>
          <w:lang w:val="fr-FR"/>
        </w:rPr>
        <w:t xml:space="preserve"> en fonction de leurs pourcentages respectifs, avec de légers ajustements basés sur l</w:t>
      </w:r>
      <w:r w:rsidR="008E532B">
        <w:rPr>
          <w:rFonts w:ascii="Arial" w:hAnsi="Arial" w:cs="Arial"/>
          <w:bCs/>
          <w:sz w:val="22"/>
          <w:szCs w:val="22"/>
          <w:lang w:val="fr-FR"/>
        </w:rPr>
        <w:t>’</w:t>
      </w:r>
      <w:r w:rsidR="00D9653F" w:rsidRPr="005D1273">
        <w:rPr>
          <w:rFonts w:ascii="Arial" w:hAnsi="Arial" w:cs="Arial"/>
          <w:bCs/>
          <w:sz w:val="22"/>
          <w:szCs w:val="22"/>
          <w:lang w:val="fr-FR"/>
        </w:rPr>
        <w:t>expérience de l</w:t>
      </w:r>
      <w:r w:rsidR="008E532B">
        <w:rPr>
          <w:rFonts w:ascii="Arial" w:hAnsi="Arial" w:cs="Arial"/>
          <w:bCs/>
          <w:sz w:val="22"/>
          <w:szCs w:val="22"/>
          <w:lang w:val="fr-FR"/>
        </w:rPr>
        <w:t>’</w:t>
      </w:r>
      <w:r w:rsidR="00D9653F" w:rsidRPr="005D1273">
        <w:rPr>
          <w:rFonts w:ascii="Arial" w:hAnsi="Arial" w:cs="Arial"/>
          <w:bCs/>
          <w:sz w:val="22"/>
          <w:szCs w:val="22"/>
          <w:lang w:val="fr-FR"/>
        </w:rPr>
        <w:t xml:space="preserve">exercice biennal en cours. Il </w:t>
      </w:r>
      <w:r w:rsidR="00D9653F">
        <w:rPr>
          <w:rFonts w:ascii="Arial" w:hAnsi="Arial" w:cs="Arial"/>
          <w:bCs/>
          <w:sz w:val="22"/>
          <w:szCs w:val="22"/>
          <w:lang w:val="fr-FR"/>
        </w:rPr>
        <w:t>était</w:t>
      </w:r>
      <w:r w:rsidR="00D9653F" w:rsidRPr="005D1273">
        <w:rPr>
          <w:rFonts w:ascii="Arial" w:hAnsi="Arial" w:cs="Arial"/>
          <w:bCs/>
          <w:sz w:val="22"/>
          <w:szCs w:val="22"/>
          <w:lang w:val="fr-FR"/>
        </w:rPr>
        <w:t xml:space="preserve"> proposé que la </w:t>
      </w:r>
      <w:r w:rsidR="00D9653F" w:rsidRPr="00474016">
        <w:rPr>
          <w:rFonts w:ascii="Arial" w:hAnsi="Arial" w:cs="Arial"/>
          <w:bCs/>
          <w:sz w:val="22"/>
          <w:szCs w:val="22"/>
          <w:u w:val="single"/>
          <w:lang w:val="fr-FR"/>
        </w:rPr>
        <w:t xml:space="preserve">ligne budgétaire 7 (Coûts des services consultatifs à fournir à la demande du </w:t>
      </w:r>
      <w:r w:rsidR="00D9653F" w:rsidRPr="00474016">
        <w:rPr>
          <w:rFonts w:ascii="Arial" w:hAnsi="Arial" w:cs="Arial"/>
          <w:bCs/>
          <w:color w:val="000000" w:themeColor="text1"/>
          <w:sz w:val="22"/>
          <w:szCs w:val="22"/>
          <w:u w:val="single"/>
          <w:lang w:val="fr-FR"/>
        </w:rPr>
        <w:t>Comité</w:t>
      </w:r>
      <w:r w:rsidR="00D9653F" w:rsidRPr="00474016">
        <w:rPr>
          <w:rFonts w:ascii="Arial" w:hAnsi="Arial" w:cs="Arial"/>
          <w:bCs/>
          <w:sz w:val="22"/>
          <w:szCs w:val="22"/>
          <w:u w:val="single"/>
          <w:lang w:val="fr-FR"/>
        </w:rPr>
        <w:t>)</w:t>
      </w:r>
      <w:r w:rsidR="00D9653F" w:rsidRPr="005D1273">
        <w:rPr>
          <w:rFonts w:ascii="Arial" w:hAnsi="Arial" w:cs="Arial"/>
          <w:bCs/>
          <w:sz w:val="22"/>
          <w:szCs w:val="22"/>
          <w:lang w:val="fr-FR"/>
        </w:rPr>
        <w:t xml:space="preserve"> passe de 6</w:t>
      </w:r>
      <w:r w:rsidR="00D9653F">
        <w:rPr>
          <w:rFonts w:ascii="Arial" w:hAnsi="Arial" w:cs="Arial"/>
          <w:bCs/>
          <w:sz w:val="22"/>
          <w:szCs w:val="22"/>
          <w:lang w:val="fr-FR"/>
        </w:rPr>
        <w:t> %</w:t>
      </w:r>
      <w:r w:rsidR="00D9653F" w:rsidRPr="005D1273">
        <w:rPr>
          <w:rFonts w:ascii="Arial" w:hAnsi="Arial" w:cs="Arial"/>
          <w:bCs/>
          <w:sz w:val="22"/>
          <w:szCs w:val="22"/>
          <w:lang w:val="fr-FR"/>
        </w:rPr>
        <w:t xml:space="preserve"> à 7,7</w:t>
      </w:r>
      <w:r w:rsidR="00D9653F">
        <w:rPr>
          <w:rFonts w:ascii="Arial" w:hAnsi="Arial" w:cs="Arial"/>
          <w:bCs/>
          <w:sz w:val="22"/>
          <w:szCs w:val="22"/>
          <w:lang w:val="fr-FR"/>
        </w:rPr>
        <w:t> %</w:t>
      </w:r>
      <w:r w:rsidR="00D9653F" w:rsidRPr="005D1273">
        <w:rPr>
          <w:rFonts w:ascii="Arial" w:hAnsi="Arial" w:cs="Arial"/>
          <w:bCs/>
          <w:sz w:val="22"/>
          <w:szCs w:val="22"/>
          <w:lang w:val="fr-FR"/>
        </w:rPr>
        <w:t>. Comme pour la ligne budgétaire 2, l</w:t>
      </w:r>
      <w:r w:rsidR="008E532B">
        <w:rPr>
          <w:rFonts w:ascii="Arial" w:hAnsi="Arial" w:cs="Arial"/>
          <w:bCs/>
          <w:sz w:val="22"/>
          <w:szCs w:val="22"/>
          <w:lang w:val="fr-FR"/>
        </w:rPr>
        <w:t>’</w:t>
      </w:r>
      <w:r w:rsidR="00D9653F" w:rsidRPr="005D1273">
        <w:rPr>
          <w:rFonts w:ascii="Arial" w:hAnsi="Arial" w:cs="Arial"/>
          <w:bCs/>
          <w:sz w:val="22"/>
          <w:szCs w:val="22"/>
          <w:lang w:val="fr-FR"/>
        </w:rPr>
        <w:t>augmentation proposée était liée à la réflexion globale sur les mécanismes d</w:t>
      </w:r>
      <w:r w:rsidR="008E532B">
        <w:rPr>
          <w:rFonts w:ascii="Arial" w:hAnsi="Arial" w:cs="Arial"/>
          <w:bCs/>
          <w:sz w:val="22"/>
          <w:szCs w:val="22"/>
          <w:lang w:val="fr-FR"/>
        </w:rPr>
        <w:t>’</w:t>
      </w:r>
      <w:r w:rsidR="00D9653F" w:rsidRPr="005D1273">
        <w:rPr>
          <w:rFonts w:ascii="Arial" w:hAnsi="Arial" w:cs="Arial"/>
          <w:bCs/>
          <w:sz w:val="22"/>
          <w:szCs w:val="22"/>
          <w:lang w:val="fr-FR"/>
        </w:rPr>
        <w:t xml:space="preserve">inscription. Cela permettrait au Secrétariat de couvrir les coûts supplémentaires </w:t>
      </w:r>
      <w:r w:rsidR="00D9653F">
        <w:rPr>
          <w:rFonts w:ascii="Arial" w:hAnsi="Arial" w:cs="Arial"/>
          <w:bCs/>
          <w:sz w:val="22"/>
          <w:szCs w:val="22"/>
          <w:lang w:val="fr-FR"/>
        </w:rPr>
        <w:t xml:space="preserve">liés </w:t>
      </w:r>
      <w:r w:rsidR="00D9653F" w:rsidRPr="005D1273">
        <w:rPr>
          <w:rFonts w:ascii="Arial" w:hAnsi="Arial" w:cs="Arial"/>
          <w:bCs/>
          <w:sz w:val="22"/>
          <w:szCs w:val="22"/>
          <w:lang w:val="fr-FR"/>
        </w:rPr>
        <w:t>à l</w:t>
      </w:r>
      <w:r w:rsidR="008E532B">
        <w:rPr>
          <w:rFonts w:ascii="Arial" w:hAnsi="Arial" w:cs="Arial"/>
          <w:bCs/>
          <w:sz w:val="22"/>
          <w:szCs w:val="22"/>
          <w:lang w:val="fr-FR"/>
        </w:rPr>
        <w:t>’</w:t>
      </w:r>
      <w:r w:rsidR="00D9653F" w:rsidRPr="005D1273">
        <w:rPr>
          <w:rFonts w:ascii="Arial" w:hAnsi="Arial" w:cs="Arial"/>
          <w:bCs/>
          <w:sz w:val="22"/>
          <w:szCs w:val="22"/>
          <w:lang w:val="fr-FR"/>
        </w:rPr>
        <w:t>évaluation par l</w:t>
      </w:r>
      <w:r w:rsidR="008E532B">
        <w:rPr>
          <w:rFonts w:ascii="Arial" w:hAnsi="Arial" w:cs="Arial"/>
          <w:bCs/>
          <w:sz w:val="22"/>
          <w:szCs w:val="22"/>
          <w:lang w:val="fr-FR"/>
        </w:rPr>
        <w:t>’</w:t>
      </w:r>
      <w:r w:rsidR="00D9653F" w:rsidRPr="005D1273">
        <w:rPr>
          <w:rFonts w:ascii="Arial" w:hAnsi="Arial" w:cs="Arial"/>
          <w:bCs/>
          <w:sz w:val="22"/>
          <w:szCs w:val="22"/>
          <w:lang w:val="fr-FR"/>
        </w:rPr>
        <w:t>Organe d</w:t>
      </w:r>
      <w:r w:rsidR="008E532B">
        <w:rPr>
          <w:rFonts w:ascii="Arial" w:hAnsi="Arial" w:cs="Arial"/>
          <w:bCs/>
          <w:sz w:val="22"/>
          <w:szCs w:val="22"/>
          <w:lang w:val="fr-FR"/>
        </w:rPr>
        <w:t>’</w:t>
      </w:r>
      <w:r w:rsidR="00D9653F" w:rsidRPr="005D1273">
        <w:rPr>
          <w:rFonts w:ascii="Arial" w:hAnsi="Arial" w:cs="Arial"/>
          <w:bCs/>
          <w:sz w:val="22"/>
          <w:szCs w:val="22"/>
          <w:lang w:val="fr-FR"/>
        </w:rPr>
        <w:t>évaluation d</w:t>
      </w:r>
      <w:r w:rsidR="008E532B">
        <w:rPr>
          <w:rFonts w:ascii="Arial" w:hAnsi="Arial" w:cs="Arial"/>
          <w:bCs/>
          <w:sz w:val="22"/>
          <w:szCs w:val="22"/>
          <w:lang w:val="fr-FR"/>
        </w:rPr>
        <w:t>’</w:t>
      </w:r>
      <w:r w:rsidR="00D9653F" w:rsidRPr="005D1273">
        <w:rPr>
          <w:rFonts w:ascii="Arial" w:hAnsi="Arial" w:cs="Arial"/>
          <w:bCs/>
          <w:sz w:val="22"/>
          <w:szCs w:val="22"/>
          <w:lang w:val="fr-FR"/>
        </w:rPr>
        <w:t>un nombre initial de demandes que le Secrétariat pourrait recevoir dans un avenir proche pour le transfert d</w:t>
      </w:r>
      <w:r w:rsidR="008E532B">
        <w:rPr>
          <w:rFonts w:ascii="Arial" w:hAnsi="Arial" w:cs="Arial"/>
          <w:bCs/>
          <w:sz w:val="22"/>
          <w:szCs w:val="22"/>
          <w:lang w:val="fr-FR"/>
        </w:rPr>
        <w:t>’</w:t>
      </w:r>
      <w:r w:rsidR="00D9653F" w:rsidRPr="005D1273">
        <w:rPr>
          <w:rFonts w:ascii="Arial" w:hAnsi="Arial" w:cs="Arial"/>
          <w:bCs/>
          <w:sz w:val="22"/>
          <w:szCs w:val="22"/>
          <w:lang w:val="fr-FR"/>
        </w:rPr>
        <w:t xml:space="preserve">éléments inscrits entre les deux </w:t>
      </w:r>
      <w:r w:rsidR="00D9653F">
        <w:rPr>
          <w:rFonts w:ascii="Arial" w:hAnsi="Arial" w:cs="Arial"/>
          <w:bCs/>
          <w:sz w:val="22"/>
          <w:szCs w:val="22"/>
          <w:lang w:val="fr-FR"/>
        </w:rPr>
        <w:t>l</w:t>
      </w:r>
      <w:r w:rsidR="00D9653F" w:rsidRPr="005D1273">
        <w:rPr>
          <w:rFonts w:ascii="Arial" w:hAnsi="Arial" w:cs="Arial"/>
          <w:bCs/>
          <w:sz w:val="22"/>
          <w:szCs w:val="22"/>
          <w:lang w:val="fr-FR"/>
        </w:rPr>
        <w:t>istes de la Convention, l</w:t>
      </w:r>
      <w:r w:rsidR="008E532B">
        <w:rPr>
          <w:rFonts w:ascii="Arial" w:hAnsi="Arial" w:cs="Arial"/>
          <w:bCs/>
          <w:sz w:val="22"/>
          <w:szCs w:val="22"/>
          <w:lang w:val="fr-FR"/>
        </w:rPr>
        <w:t>’</w:t>
      </w:r>
      <w:r w:rsidR="00D9653F" w:rsidRPr="005D1273">
        <w:rPr>
          <w:rFonts w:ascii="Arial" w:hAnsi="Arial" w:cs="Arial"/>
          <w:bCs/>
          <w:sz w:val="22"/>
          <w:szCs w:val="22"/>
          <w:lang w:val="fr-FR"/>
        </w:rPr>
        <w:t xml:space="preserve">inscription </w:t>
      </w:r>
      <w:r w:rsidR="00D9653F">
        <w:rPr>
          <w:rFonts w:ascii="Arial" w:hAnsi="Arial" w:cs="Arial"/>
          <w:bCs/>
          <w:sz w:val="22"/>
          <w:szCs w:val="22"/>
          <w:lang w:val="fr-FR"/>
        </w:rPr>
        <w:t xml:space="preserve">élargie ou réduite </w:t>
      </w:r>
      <w:r w:rsidR="00D9653F" w:rsidRPr="005D1273">
        <w:rPr>
          <w:rFonts w:ascii="Arial" w:hAnsi="Arial" w:cs="Arial"/>
          <w:bCs/>
          <w:sz w:val="22"/>
          <w:szCs w:val="22"/>
          <w:lang w:val="fr-FR"/>
        </w:rPr>
        <w:t>d</w:t>
      </w:r>
      <w:r w:rsidR="008E532B">
        <w:rPr>
          <w:rFonts w:ascii="Arial" w:hAnsi="Arial" w:cs="Arial"/>
          <w:bCs/>
          <w:sz w:val="22"/>
          <w:szCs w:val="22"/>
          <w:lang w:val="fr-FR"/>
        </w:rPr>
        <w:t>’</w:t>
      </w:r>
      <w:r w:rsidR="00D9653F" w:rsidRPr="005D1273">
        <w:rPr>
          <w:rFonts w:ascii="Arial" w:hAnsi="Arial" w:cs="Arial"/>
          <w:bCs/>
          <w:sz w:val="22"/>
          <w:szCs w:val="22"/>
          <w:lang w:val="fr-FR"/>
        </w:rPr>
        <w:t>éléments, et le suivi des éléments inscrits.</w:t>
      </w:r>
      <w:r w:rsidR="00D9653F">
        <w:rPr>
          <w:rFonts w:ascii="Arial" w:hAnsi="Arial" w:cs="Arial"/>
          <w:bCs/>
          <w:sz w:val="22"/>
          <w:szCs w:val="22"/>
          <w:lang w:val="fr-FR"/>
        </w:rPr>
        <w:t xml:space="preserve"> </w:t>
      </w:r>
      <w:r>
        <w:rPr>
          <w:rFonts w:ascii="Arial" w:hAnsi="Arial" w:cs="Arial"/>
          <w:bCs/>
          <w:sz w:val="22"/>
          <w:szCs w:val="22"/>
          <w:lang w:val="fr-FR"/>
        </w:rPr>
        <w:t>Mme</w:t>
      </w:r>
      <w:r w:rsidR="00D9653F">
        <w:rPr>
          <w:rFonts w:ascii="Arial" w:hAnsi="Arial" w:cs="Arial"/>
          <w:bCs/>
          <w:sz w:val="22"/>
          <w:szCs w:val="22"/>
          <w:lang w:val="fr-FR"/>
        </w:rPr>
        <w:t> </w:t>
      </w:r>
      <w:r w:rsidR="00D9653F" w:rsidRPr="005D1273">
        <w:rPr>
          <w:rFonts w:ascii="Arial" w:hAnsi="Arial" w:cs="Arial"/>
          <w:bCs/>
          <w:sz w:val="22"/>
          <w:szCs w:val="22"/>
          <w:lang w:val="fr-FR"/>
        </w:rPr>
        <w:t xml:space="preserve">Ohinata </w:t>
      </w:r>
      <w:r w:rsidR="00D9653F">
        <w:rPr>
          <w:rFonts w:ascii="Arial" w:hAnsi="Arial" w:cs="Arial"/>
          <w:bCs/>
          <w:sz w:val="22"/>
          <w:szCs w:val="22"/>
          <w:lang w:val="fr-FR"/>
        </w:rPr>
        <w:t>était</w:t>
      </w:r>
      <w:r w:rsidR="00D9653F" w:rsidRPr="005D1273">
        <w:rPr>
          <w:rFonts w:ascii="Arial" w:hAnsi="Arial" w:cs="Arial"/>
          <w:bCs/>
          <w:sz w:val="22"/>
          <w:szCs w:val="22"/>
          <w:lang w:val="fr-FR"/>
        </w:rPr>
        <w:t xml:space="preserve"> heureuse d</w:t>
      </w:r>
      <w:r w:rsidR="008E532B">
        <w:rPr>
          <w:rFonts w:ascii="Arial" w:hAnsi="Arial" w:cs="Arial"/>
          <w:bCs/>
          <w:sz w:val="22"/>
          <w:szCs w:val="22"/>
          <w:lang w:val="fr-FR"/>
        </w:rPr>
        <w:t>’</w:t>
      </w:r>
      <w:r w:rsidR="00D9653F" w:rsidRPr="005D1273">
        <w:rPr>
          <w:rFonts w:ascii="Arial" w:hAnsi="Arial" w:cs="Arial"/>
          <w:bCs/>
          <w:sz w:val="22"/>
          <w:szCs w:val="22"/>
          <w:lang w:val="fr-FR"/>
        </w:rPr>
        <w:t>informer l</w:t>
      </w:r>
      <w:r w:rsidR="008E532B">
        <w:rPr>
          <w:rFonts w:ascii="Arial" w:hAnsi="Arial" w:cs="Arial"/>
          <w:bCs/>
          <w:sz w:val="22"/>
          <w:szCs w:val="22"/>
          <w:lang w:val="fr-FR"/>
        </w:rPr>
        <w:t>’</w:t>
      </w:r>
      <w:r w:rsidR="00D9653F" w:rsidRPr="005D1273">
        <w:rPr>
          <w:rFonts w:ascii="Arial" w:hAnsi="Arial" w:cs="Arial"/>
          <w:bCs/>
          <w:sz w:val="22"/>
          <w:szCs w:val="22"/>
          <w:lang w:val="fr-FR"/>
        </w:rPr>
        <w:t>Assemblée d</w:t>
      </w:r>
      <w:r w:rsidR="008E532B">
        <w:rPr>
          <w:rFonts w:ascii="Arial" w:hAnsi="Arial" w:cs="Arial"/>
          <w:bCs/>
          <w:sz w:val="22"/>
          <w:szCs w:val="22"/>
          <w:lang w:val="fr-FR"/>
        </w:rPr>
        <w:t>’</w:t>
      </w:r>
      <w:r w:rsidR="00D9653F" w:rsidRPr="005D1273">
        <w:rPr>
          <w:rFonts w:ascii="Arial" w:hAnsi="Arial" w:cs="Arial"/>
          <w:bCs/>
          <w:sz w:val="22"/>
          <w:szCs w:val="22"/>
          <w:lang w:val="fr-FR"/>
        </w:rPr>
        <w:t>une évolution positive concernant le soutien à la Convention depuis le début de l</w:t>
      </w:r>
      <w:r w:rsidR="008E532B">
        <w:rPr>
          <w:rFonts w:ascii="Arial" w:hAnsi="Arial" w:cs="Arial"/>
          <w:bCs/>
          <w:sz w:val="22"/>
          <w:szCs w:val="22"/>
          <w:lang w:val="fr-FR"/>
        </w:rPr>
        <w:t>’</w:t>
      </w:r>
      <w:r w:rsidR="00D9653F" w:rsidRPr="005D1273">
        <w:rPr>
          <w:rFonts w:ascii="Arial" w:hAnsi="Arial" w:cs="Arial"/>
          <w:bCs/>
          <w:sz w:val="22"/>
          <w:szCs w:val="22"/>
          <w:lang w:val="fr-FR"/>
        </w:rPr>
        <w:t>année 2022. Au nom de l</w:t>
      </w:r>
      <w:r w:rsidR="008E532B">
        <w:rPr>
          <w:rFonts w:ascii="Arial" w:hAnsi="Arial" w:cs="Arial"/>
          <w:bCs/>
          <w:sz w:val="22"/>
          <w:szCs w:val="22"/>
          <w:lang w:val="fr-FR"/>
        </w:rPr>
        <w:t>’</w:t>
      </w:r>
      <w:r w:rsidR="00D9653F" w:rsidRPr="005D1273">
        <w:rPr>
          <w:rFonts w:ascii="Arial" w:hAnsi="Arial" w:cs="Arial"/>
          <w:bCs/>
          <w:sz w:val="22"/>
          <w:szCs w:val="22"/>
          <w:lang w:val="fr-FR"/>
        </w:rPr>
        <w:t>équipe, elle a remercié : le Centre international d</w:t>
      </w:r>
      <w:r w:rsidR="008E532B">
        <w:rPr>
          <w:rFonts w:ascii="Arial" w:hAnsi="Arial" w:cs="Arial"/>
          <w:bCs/>
          <w:sz w:val="22"/>
          <w:szCs w:val="22"/>
          <w:lang w:val="fr-FR"/>
        </w:rPr>
        <w:t>’</w:t>
      </w:r>
      <w:r w:rsidR="00D9653F" w:rsidRPr="005D1273">
        <w:rPr>
          <w:rFonts w:ascii="Arial" w:hAnsi="Arial" w:cs="Arial"/>
          <w:bCs/>
          <w:sz w:val="22"/>
          <w:szCs w:val="22"/>
          <w:lang w:val="fr-FR"/>
        </w:rPr>
        <w:t>information et de</w:t>
      </w:r>
      <w:r w:rsidR="00D9653F">
        <w:rPr>
          <w:rFonts w:ascii="Arial" w:hAnsi="Arial" w:cs="Arial"/>
          <w:bCs/>
          <w:sz w:val="22"/>
          <w:szCs w:val="22"/>
          <w:lang w:val="fr-FR"/>
        </w:rPr>
        <w:t xml:space="preserve"> travail</w:t>
      </w:r>
      <w:r w:rsidR="00D9653F" w:rsidRPr="005D1273">
        <w:rPr>
          <w:rFonts w:ascii="Arial" w:hAnsi="Arial" w:cs="Arial"/>
          <w:bCs/>
          <w:sz w:val="22"/>
          <w:szCs w:val="22"/>
          <w:lang w:val="fr-FR"/>
        </w:rPr>
        <w:t xml:space="preserve"> en réseau </w:t>
      </w:r>
      <w:r w:rsidR="00D9653F">
        <w:rPr>
          <w:rFonts w:ascii="Arial" w:hAnsi="Arial" w:cs="Arial"/>
          <w:bCs/>
          <w:sz w:val="22"/>
          <w:szCs w:val="22"/>
          <w:lang w:val="fr-FR"/>
        </w:rPr>
        <w:t>sur</w:t>
      </w:r>
      <w:r w:rsidR="00D9653F" w:rsidRPr="005D1273">
        <w:rPr>
          <w:rFonts w:ascii="Arial" w:hAnsi="Arial" w:cs="Arial"/>
          <w:bCs/>
          <w:sz w:val="22"/>
          <w:szCs w:val="22"/>
          <w:lang w:val="fr-FR"/>
        </w:rPr>
        <w:t xml:space="preserve"> le patrimoine culturel immatériel dans la région Asie-Pacifique (ICHCAP) pour une contribution affectée au soutien du programme de renforcement des capacités</w:t>
      </w:r>
      <w:r w:rsidR="00D9653F">
        <w:rPr>
          <w:rFonts w:ascii="Arial" w:hAnsi="Arial" w:cs="Arial"/>
          <w:bCs/>
          <w:sz w:val="22"/>
          <w:szCs w:val="22"/>
          <w:lang w:val="fr-FR"/>
        </w:rPr>
        <w:t xml:space="preserve"> et </w:t>
      </w:r>
      <w:r w:rsidR="00D9653F" w:rsidRPr="005D1273">
        <w:rPr>
          <w:rFonts w:ascii="Arial" w:hAnsi="Arial" w:cs="Arial"/>
          <w:bCs/>
          <w:sz w:val="22"/>
          <w:szCs w:val="22"/>
          <w:lang w:val="fr-FR"/>
        </w:rPr>
        <w:t xml:space="preserve">une contribution supplémentaire au Programme régulier </w:t>
      </w:r>
      <w:r w:rsidR="00D9653F">
        <w:rPr>
          <w:rFonts w:ascii="Arial" w:hAnsi="Arial" w:cs="Arial"/>
          <w:bCs/>
          <w:sz w:val="22"/>
          <w:szCs w:val="22"/>
          <w:lang w:val="fr-FR"/>
        </w:rPr>
        <w:t xml:space="preserve">afin de </w:t>
      </w:r>
      <w:r w:rsidR="00D9653F" w:rsidRPr="005D1273">
        <w:rPr>
          <w:rFonts w:ascii="Arial" w:hAnsi="Arial" w:cs="Arial"/>
          <w:bCs/>
          <w:sz w:val="22"/>
          <w:szCs w:val="22"/>
          <w:lang w:val="fr-FR"/>
        </w:rPr>
        <w:t>soutenir le MOOC sur le patrimoine vivant et le développement durable</w:t>
      </w:r>
      <w:r w:rsidR="00D9653F">
        <w:rPr>
          <w:rStyle w:val="FootnoteReference"/>
          <w:rFonts w:ascii="Arial" w:hAnsi="Arial" w:cs="Arial"/>
          <w:bCs/>
          <w:sz w:val="22"/>
          <w:szCs w:val="22"/>
          <w:lang w:val="fr-FR"/>
        </w:rPr>
        <w:footnoteReference w:id="40"/>
      </w:r>
      <w:r w:rsidR="00D9653F" w:rsidRPr="005D1273">
        <w:rPr>
          <w:rFonts w:ascii="Arial" w:hAnsi="Arial" w:cs="Arial"/>
          <w:bCs/>
          <w:sz w:val="22"/>
          <w:szCs w:val="22"/>
          <w:lang w:val="fr-FR"/>
        </w:rPr>
        <w:t xml:space="preserve"> ; l</w:t>
      </w:r>
      <w:r w:rsidR="008E532B">
        <w:rPr>
          <w:rFonts w:ascii="Arial" w:hAnsi="Arial" w:cs="Arial"/>
          <w:bCs/>
          <w:sz w:val="22"/>
          <w:szCs w:val="22"/>
          <w:lang w:val="fr-FR"/>
        </w:rPr>
        <w:t>’</w:t>
      </w:r>
      <w:r w:rsidR="00D9653F" w:rsidRPr="005D1273">
        <w:rPr>
          <w:rFonts w:ascii="Arial" w:hAnsi="Arial" w:cs="Arial"/>
          <w:bCs/>
          <w:sz w:val="22"/>
          <w:szCs w:val="22"/>
          <w:lang w:val="fr-FR"/>
        </w:rPr>
        <w:t xml:space="preserve">Institut Sharjah pour le patrimoine aux Émirats arabes unis pour une contribution supplémentaire au Programme régulier </w:t>
      </w:r>
      <w:r w:rsidR="00D9653F">
        <w:rPr>
          <w:rFonts w:ascii="Arial" w:hAnsi="Arial" w:cs="Arial"/>
          <w:bCs/>
          <w:sz w:val="22"/>
          <w:szCs w:val="22"/>
          <w:lang w:val="fr-FR"/>
        </w:rPr>
        <w:t xml:space="preserve">afin de </w:t>
      </w:r>
      <w:r w:rsidR="00D9653F" w:rsidRPr="005D1273">
        <w:rPr>
          <w:rFonts w:ascii="Arial" w:hAnsi="Arial" w:cs="Arial"/>
          <w:bCs/>
          <w:sz w:val="22"/>
          <w:szCs w:val="22"/>
          <w:lang w:val="fr-FR"/>
        </w:rPr>
        <w:t>soutenir le déploiement des activités de renforcement des capacités sur l</w:t>
      </w:r>
      <w:r w:rsidR="008E532B">
        <w:rPr>
          <w:rFonts w:ascii="Arial" w:hAnsi="Arial" w:cs="Arial"/>
          <w:bCs/>
          <w:sz w:val="22"/>
          <w:szCs w:val="22"/>
          <w:lang w:val="fr-FR"/>
        </w:rPr>
        <w:t>’</w:t>
      </w:r>
      <w:r w:rsidR="00D9653F" w:rsidRPr="00474016">
        <w:rPr>
          <w:rFonts w:ascii="Arial" w:hAnsi="Arial" w:cs="Arial"/>
          <w:bCs/>
          <w:sz w:val="22"/>
          <w:szCs w:val="22"/>
          <w:lang w:val="fr-FR"/>
        </w:rPr>
        <w:t>établissement</w:t>
      </w:r>
      <w:r w:rsidR="00D9653F">
        <w:rPr>
          <w:rFonts w:ascii="Arial" w:hAnsi="Arial" w:cs="Arial"/>
          <w:bCs/>
          <w:sz w:val="22"/>
          <w:szCs w:val="22"/>
          <w:lang w:val="fr-FR"/>
        </w:rPr>
        <w:t xml:space="preserve"> des</w:t>
      </w:r>
      <w:r w:rsidR="00D9653F" w:rsidRPr="005D1273">
        <w:rPr>
          <w:rFonts w:ascii="Arial" w:hAnsi="Arial" w:cs="Arial"/>
          <w:bCs/>
          <w:sz w:val="22"/>
          <w:szCs w:val="22"/>
          <w:lang w:val="fr-FR"/>
        </w:rPr>
        <w:t xml:space="preserve"> rapports périodiques dans la région des États arabes ; la Bulgarie pour une contribution supplémentaire afin d</w:t>
      </w:r>
      <w:r w:rsidR="008E532B">
        <w:rPr>
          <w:rFonts w:ascii="Arial" w:hAnsi="Arial" w:cs="Arial"/>
          <w:bCs/>
          <w:sz w:val="22"/>
          <w:szCs w:val="22"/>
          <w:lang w:val="fr-FR"/>
        </w:rPr>
        <w:t>’</w:t>
      </w:r>
      <w:r w:rsidR="00D9653F" w:rsidRPr="005D1273">
        <w:rPr>
          <w:rFonts w:ascii="Arial" w:hAnsi="Arial" w:cs="Arial"/>
          <w:bCs/>
          <w:sz w:val="22"/>
          <w:szCs w:val="22"/>
          <w:lang w:val="fr-FR"/>
        </w:rPr>
        <w:t>entreprendre le renouvellement et l</w:t>
      </w:r>
      <w:r w:rsidR="008E532B">
        <w:rPr>
          <w:rFonts w:ascii="Arial" w:hAnsi="Arial" w:cs="Arial"/>
          <w:bCs/>
          <w:sz w:val="22"/>
          <w:szCs w:val="22"/>
          <w:lang w:val="fr-FR"/>
        </w:rPr>
        <w:t>’</w:t>
      </w:r>
      <w:r w:rsidR="00D9653F" w:rsidRPr="005D1273">
        <w:rPr>
          <w:rFonts w:ascii="Arial" w:hAnsi="Arial" w:cs="Arial"/>
          <w:bCs/>
          <w:sz w:val="22"/>
          <w:szCs w:val="22"/>
          <w:lang w:val="fr-FR"/>
        </w:rPr>
        <w:t xml:space="preserve">évaluation du Centre régional pour la sauvegarde du patrimoine culturel immatériel en Europe du Sud-Est ; le </w:t>
      </w:r>
      <w:r w:rsidR="00D9653F">
        <w:rPr>
          <w:rFonts w:ascii="Arial" w:hAnsi="Arial" w:cs="Arial"/>
          <w:bCs/>
          <w:sz w:val="22"/>
          <w:szCs w:val="22"/>
          <w:lang w:val="fr-FR"/>
        </w:rPr>
        <w:t>G</w:t>
      </w:r>
      <w:r w:rsidR="00D9653F" w:rsidRPr="005D1273">
        <w:rPr>
          <w:rFonts w:ascii="Arial" w:hAnsi="Arial" w:cs="Arial"/>
          <w:bCs/>
          <w:sz w:val="22"/>
          <w:szCs w:val="22"/>
          <w:lang w:val="fr-FR"/>
        </w:rPr>
        <w:t xml:space="preserve">ouvernement </w:t>
      </w:r>
      <w:r w:rsidR="00D9653F">
        <w:rPr>
          <w:rFonts w:ascii="Arial" w:hAnsi="Arial" w:cs="Arial"/>
          <w:bCs/>
          <w:sz w:val="22"/>
          <w:szCs w:val="22"/>
          <w:lang w:val="fr-FR"/>
        </w:rPr>
        <w:t>flamand de Belgique</w:t>
      </w:r>
      <w:r w:rsidR="00D9653F" w:rsidRPr="005D1273">
        <w:rPr>
          <w:rFonts w:ascii="Arial" w:hAnsi="Arial" w:cs="Arial"/>
          <w:bCs/>
          <w:sz w:val="22"/>
          <w:szCs w:val="22"/>
          <w:lang w:val="fr-FR"/>
        </w:rPr>
        <w:t xml:space="preserve"> pour une contribution par le biais d</w:t>
      </w:r>
      <w:r w:rsidR="008E532B">
        <w:rPr>
          <w:rFonts w:ascii="Arial" w:hAnsi="Arial" w:cs="Arial"/>
          <w:bCs/>
          <w:sz w:val="22"/>
          <w:szCs w:val="22"/>
          <w:lang w:val="fr-FR"/>
        </w:rPr>
        <w:t>’</w:t>
      </w:r>
      <w:r w:rsidR="00D9653F" w:rsidRPr="005D1273">
        <w:rPr>
          <w:rFonts w:ascii="Arial" w:hAnsi="Arial" w:cs="Arial"/>
          <w:bCs/>
          <w:sz w:val="22"/>
          <w:szCs w:val="22"/>
          <w:lang w:val="fr-FR"/>
        </w:rPr>
        <w:t xml:space="preserve">une modalité de fonds-en-dépôt afin de soutenir la sauvegarde du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00D9653F" w:rsidRPr="005D1273">
        <w:rPr>
          <w:rFonts w:ascii="Arial" w:hAnsi="Arial" w:cs="Arial"/>
          <w:bCs/>
          <w:sz w:val="22"/>
          <w:szCs w:val="22"/>
          <w:lang w:val="fr-FR"/>
        </w:rPr>
        <w:t>dans l</w:t>
      </w:r>
      <w:r w:rsidR="008E532B">
        <w:rPr>
          <w:rFonts w:ascii="Arial" w:hAnsi="Arial" w:cs="Arial"/>
          <w:bCs/>
          <w:sz w:val="22"/>
          <w:szCs w:val="22"/>
          <w:lang w:val="fr-FR"/>
        </w:rPr>
        <w:t>’</w:t>
      </w:r>
      <w:r w:rsidR="00D9653F" w:rsidRPr="00474016">
        <w:rPr>
          <w:rFonts w:ascii="Arial" w:hAnsi="Arial" w:cs="Arial"/>
          <w:bCs/>
          <w:sz w:val="22"/>
          <w:szCs w:val="22"/>
          <w:lang w:val="fr-FR"/>
        </w:rPr>
        <w:t>enseignement</w:t>
      </w:r>
      <w:r w:rsidR="00D9653F">
        <w:rPr>
          <w:rFonts w:ascii="Arial" w:hAnsi="Arial" w:cs="Arial"/>
          <w:bCs/>
          <w:sz w:val="22"/>
          <w:szCs w:val="22"/>
          <w:lang w:val="fr-FR"/>
        </w:rPr>
        <w:t xml:space="preserve"> élémentaire</w:t>
      </w:r>
      <w:r w:rsidR="00D9653F" w:rsidRPr="005D1273">
        <w:rPr>
          <w:rFonts w:ascii="Arial" w:hAnsi="Arial" w:cs="Arial"/>
          <w:bCs/>
          <w:sz w:val="22"/>
          <w:szCs w:val="22"/>
          <w:lang w:val="fr-FR"/>
        </w:rPr>
        <w:t xml:space="preserve"> en Namibie et au Zimbabwe ; et enfin, la France et la Lituanie pour des contributions récentes au sous-fonds destiné à renforcer les capacités humaines du Secrétariat. Ce dernier point était particulièrement important pour maintenir les opérations du Secrétariat</w:t>
      </w:r>
      <w:r w:rsidR="00D9653F">
        <w:rPr>
          <w:rFonts w:ascii="Arial" w:hAnsi="Arial" w:cs="Arial"/>
          <w:bCs/>
          <w:sz w:val="22"/>
          <w:szCs w:val="22"/>
          <w:lang w:val="fr-FR"/>
        </w:rPr>
        <w:t>,</w:t>
      </w:r>
      <w:r w:rsidR="00D9653F" w:rsidRPr="005D1273">
        <w:rPr>
          <w:rFonts w:ascii="Arial" w:hAnsi="Arial" w:cs="Arial"/>
          <w:bCs/>
          <w:sz w:val="22"/>
          <w:szCs w:val="22"/>
          <w:lang w:val="fr-FR"/>
        </w:rPr>
        <w:t xml:space="preserve"> car le montant total des contributions reçues en 2021 pour le sous-fonds ne correspondait qu</w:t>
      </w:r>
      <w:r w:rsidR="008E532B">
        <w:rPr>
          <w:rFonts w:ascii="Arial" w:hAnsi="Arial" w:cs="Arial"/>
          <w:bCs/>
          <w:sz w:val="22"/>
          <w:szCs w:val="22"/>
          <w:lang w:val="fr-FR"/>
        </w:rPr>
        <w:t>’</w:t>
      </w:r>
      <w:r w:rsidR="00D9653F" w:rsidRPr="005D1273">
        <w:rPr>
          <w:rFonts w:ascii="Arial" w:hAnsi="Arial" w:cs="Arial"/>
          <w:bCs/>
          <w:sz w:val="22"/>
          <w:szCs w:val="22"/>
          <w:lang w:val="fr-FR"/>
        </w:rPr>
        <w:t>à 3,5</w:t>
      </w:r>
      <w:r w:rsidR="00D9653F">
        <w:rPr>
          <w:rFonts w:ascii="Arial" w:hAnsi="Arial" w:cs="Arial"/>
          <w:bCs/>
          <w:sz w:val="22"/>
          <w:szCs w:val="22"/>
          <w:lang w:val="fr-FR"/>
        </w:rPr>
        <w:t> </w:t>
      </w:r>
      <w:r w:rsidR="00D9653F" w:rsidRPr="005D1273">
        <w:rPr>
          <w:rFonts w:ascii="Arial" w:hAnsi="Arial" w:cs="Arial"/>
          <w:bCs/>
          <w:sz w:val="22"/>
          <w:szCs w:val="22"/>
          <w:lang w:val="fr-FR"/>
        </w:rPr>
        <w:t>% de l</w:t>
      </w:r>
      <w:r w:rsidR="008E532B">
        <w:rPr>
          <w:rFonts w:ascii="Arial" w:hAnsi="Arial" w:cs="Arial"/>
          <w:bCs/>
          <w:sz w:val="22"/>
          <w:szCs w:val="22"/>
          <w:lang w:val="fr-FR"/>
        </w:rPr>
        <w:t>’</w:t>
      </w:r>
      <w:r w:rsidR="00D9653F" w:rsidRPr="005D1273">
        <w:rPr>
          <w:rFonts w:ascii="Arial" w:hAnsi="Arial" w:cs="Arial"/>
          <w:bCs/>
          <w:sz w:val="22"/>
          <w:szCs w:val="22"/>
          <w:lang w:val="fr-FR"/>
        </w:rPr>
        <w:t>objectif approuvé par l</w:t>
      </w:r>
      <w:r w:rsidR="008E532B">
        <w:rPr>
          <w:rFonts w:ascii="Arial" w:hAnsi="Arial" w:cs="Arial"/>
          <w:bCs/>
          <w:sz w:val="22"/>
          <w:szCs w:val="22"/>
          <w:lang w:val="fr-FR"/>
        </w:rPr>
        <w:t>’</w:t>
      </w:r>
      <w:r w:rsidR="00D9653F" w:rsidRPr="005D1273">
        <w:rPr>
          <w:rFonts w:ascii="Arial" w:hAnsi="Arial" w:cs="Arial"/>
          <w:bCs/>
          <w:sz w:val="22"/>
          <w:szCs w:val="22"/>
          <w:lang w:val="fr-FR"/>
        </w:rPr>
        <w:t>Assemblée en 2020 (950</w:t>
      </w:r>
      <w:r w:rsidR="00D9653F">
        <w:rPr>
          <w:rFonts w:ascii="Arial" w:hAnsi="Arial" w:cs="Arial"/>
          <w:bCs/>
          <w:sz w:val="22"/>
          <w:szCs w:val="22"/>
          <w:lang w:val="fr-FR"/>
        </w:rPr>
        <w:t> </w:t>
      </w:r>
      <w:r w:rsidR="00D9653F" w:rsidRPr="005D1273">
        <w:rPr>
          <w:rFonts w:ascii="Arial" w:hAnsi="Arial" w:cs="Arial"/>
          <w:bCs/>
          <w:sz w:val="22"/>
          <w:szCs w:val="22"/>
          <w:lang w:val="fr-FR"/>
        </w:rPr>
        <w:t xml:space="preserve">000 </w:t>
      </w:r>
      <w:r w:rsidR="00D9653F" w:rsidRPr="00474016">
        <w:rPr>
          <w:rFonts w:ascii="Arial" w:hAnsi="Arial" w:cs="Arial"/>
          <w:bCs/>
          <w:sz w:val="22"/>
          <w:szCs w:val="22"/>
          <w:lang w:val="fr-FR"/>
        </w:rPr>
        <w:t>dollars des États</w:t>
      </w:r>
      <w:r w:rsidR="00D9653F">
        <w:rPr>
          <w:rFonts w:ascii="Arial" w:hAnsi="Arial" w:cs="Arial"/>
          <w:bCs/>
          <w:sz w:val="22"/>
          <w:szCs w:val="22"/>
          <w:lang w:val="fr-FR"/>
        </w:rPr>
        <w:noBreakHyphen/>
      </w:r>
      <w:r w:rsidR="00D9653F" w:rsidRPr="00474016">
        <w:rPr>
          <w:rFonts w:ascii="Arial" w:hAnsi="Arial" w:cs="Arial"/>
          <w:bCs/>
          <w:sz w:val="22"/>
          <w:szCs w:val="22"/>
          <w:lang w:val="fr-FR"/>
        </w:rPr>
        <w:t>Unis</w:t>
      </w:r>
      <w:r w:rsidR="00D9653F">
        <w:rPr>
          <w:rFonts w:ascii="Arial" w:hAnsi="Arial" w:cs="Arial"/>
          <w:bCs/>
          <w:sz w:val="22"/>
          <w:szCs w:val="22"/>
          <w:lang w:val="fr-FR"/>
        </w:rPr>
        <w:t xml:space="preserve"> </w:t>
      </w:r>
      <w:r w:rsidR="00D9653F" w:rsidRPr="005D1273">
        <w:rPr>
          <w:rFonts w:ascii="Arial" w:hAnsi="Arial" w:cs="Arial"/>
          <w:bCs/>
          <w:sz w:val="22"/>
          <w:szCs w:val="22"/>
          <w:lang w:val="fr-FR"/>
        </w:rPr>
        <w:t xml:space="preserve">par an). Le Secrétariat </w:t>
      </w:r>
      <w:r w:rsidR="00D9653F">
        <w:rPr>
          <w:rFonts w:ascii="Arial" w:hAnsi="Arial" w:cs="Arial"/>
          <w:bCs/>
          <w:sz w:val="22"/>
          <w:szCs w:val="22"/>
          <w:lang w:val="fr-FR"/>
        </w:rPr>
        <w:t>était</w:t>
      </w:r>
      <w:r w:rsidR="00D9653F" w:rsidRPr="005D1273">
        <w:rPr>
          <w:rFonts w:ascii="Arial" w:hAnsi="Arial" w:cs="Arial"/>
          <w:bCs/>
          <w:sz w:val="22"/>
          <w:szCs w:val="22"/>
          <w:lang w:val="fr-FR"/>
        </w:rPr>
        <w:t xml:space="preserve"> très reconnaissant à tous les donateurs pour leur généreux engagement à soutenir le travail du Secrétariat, qui sera</w:t>
      </w:r>
      <w:r w:rsidR="00D9653F">
        <w:rPr>
          <w:rFonts w:ascii="Arial" w:hAnsi="Arial" w:cs="Arial"/>
          <w:bCs/>
          <w:sz w:val="22"/>
          <w:szCs w:val="22"/>
          <w:lang w:val="fr-FR"/>
        </w:rPr>
        <w:t>it</w:t>
      </w:r>
      <w:r w:rsidR="00D9653F" w:rsidRPr="005D1273">
        <w:rPr>
          <w:rFonts w:ascii="Arial" w:hAnsi="Arial" w:cs="Arial"/>
          <w:bCs/>
          <w:sz w:val="22"/>
          <w:szCs w:val="22"/>
          <w:lang w:val="fr-FR"/>
        </w:rPr>
        <w:t xml:space="preserve"> dûment reconnu dans les rapports statutaires</w:t>
      </w:r>
      <w:r w:rsidR="00D9653F">
        <w:rPr>
          <w:rFonts w:ascii="Arial" w:hAnsi="Arial" w:cs="Arial"/>
          <w:bCs/>
          <w:sz w:val="22"/>
          <w:szCs w:val="22"/>
          <w:lang w:val="fr-FR"/>
        </w:rPr>
        <w:t xml:space="preserve"> à venir</w:t>
      </w:r>
      <w:r w:rsidR="00D9653F" w:rsidRPr="005D1273">
        <w:rPr>
          <w:rFonts w:ascii="Arial" w:hAnsi="Arial" w:cs="Arial"/>
          <w:bCs/>
          <w:sz w:val="22"/>
          <w:szCs w:val="22"/>
          <w:lang w:val="fr-FR"/>
        </w:rPr>
        <w:t>.</w:t>
      </w:r>
    </w:p>
    <w:p w14:paraId="6FAC0477" w14:textId="2628B24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632DB">
        <w:rPr>
          <w:rFonts w:ascii="Arial" w:hAnsi="Arial" w:cs="Arial"/>
          <w:bCs/>
          <w:sz w:val="22"/>
          <w:szCs w:val="22"/>
          <w:lang w:val="fr-FR"/>
        </w:rPr>
        <w:t xml:space="preserve">La </w:t>
      </w:r>
      <w:r w:rsidRPr="00E632DB">
        <w:rPr>
          <w:rFonts w:ascii="Arial" w:hAnsi="Arial" w:cs="Arial"/>
          <w:b/>
          <w:sz w:val="22"/>
          <w:szCs w:val="22"/>
          <w:lang w:val="fr-FR"/>
        </w:rPr>
        <w:t>Présidente</w:t>
      </w:r>
      <w:r w:rsidRPr="00E632DB">
        <w:rPr>
          <w:rFonts w:ascii="Arial" w:hAnsi="Arial" w:cs="Arial"/>
          <w:bCs/>
          <w:sz w:val="22"/>
          <w:szCs w:val="22"/>
          <w:lang w:val="fr-FR"/>
        </w:rPr>
        <w:t xml:space="preserve"> a remercié le Secrétariat pour la présentation détaillée du plan d</w:t>
      </w:r>
      <w:r w:rsidR="008E532B">
        <w:rPr>
          <w:rFonts w:ascii="Arial" w:hAnsi="Arial" w:cs="Arial"/>
          <w:bCs/>
          <w:sz w:val="22"/>
          <w:szCs w:val="22"/>
          <w:lang w:val="fr-FR"/>
        </w:rPr>
        <w:t>’</w:t>
      </w:r>
      <w:r w:rsidRPr="00E632DB">
        <w:rPr>
          <w:rFonts w:ascii="Arial" w:hAnsi="Arial" w:cs="Arial"/>
          <w:bCs/>
          <w:sz w:val="22"/>
          <w:szCs w:val="22"/>
          <w:lang w:val="fr-FR"/>
        </w:rPr>
        <w:t>utilisation des ressources du Fonds. C</w:t>
      </w:r>
      <w:r w:rsidR="008E532B">
        <w:rPr>
          <w:rFonts w:ascii="Arial" w:hAnsi="Arial" w:cs="Arial"/>
          <w:bCs/>
          <w:sz w:val="22"/>
          <w:szCs w:val="22"/>
          <w:lang w:val="fr-FR"/>
        </w:rPr>
        <w:t>’</w:t>
      </w:r>
      <w:r>
        <w:rPr>
          <w:rFonts w:ascii="Arial" w:hAnsi="Arial" w:cs="Arial"/>
          <w:bCs/>
          <w:sz w:val="22"/>
          <w:szCs w:val="22"/>
          <w:lang w:val="fr-FR"/>
        </w:rPr>
        <w:t>était</w:t>
      </w:r>
      <w:r w:rsidRPr="00E632DB">
        <w:rPr>
          <w:rFonts w:ascii="Arial" w:hAnsi="Arial" w:cs="Arial"/>
          <w:bCs/>
          <w:sz w:val="22"/>
          <w:szCs w:val="22"/>
          <w:lang w:val="fr-FR"/>
        </w:rPr>
        <w:t xml:space="preserve"> un signe très positif de voir que le plan proposé permettra</w:t>
      </w:r>
      <w:r>
        <w:rPr>
          <w:rFonts w:ascii="Arial" w:hAnsi="Arial" w:cs="Arial"/>
          <w:bCs/>
          <w:sz w:val="22"/>
          <w:szCs w:val="22"/>
          <w:lang w:val="fr-FR"/>
        </w:rPr>
        <w:t>it</w:t>
      </w:r>
      <w:r w:rsidRPr="00E632DB">
        <w:rPr>
          <w:rFonts w:ascii="Arial" w:hAnsi="Arial" w:cs="Arial"/>
          <w:bCs/>
          <w:sz w:val="22"/>
          <w:szCs w:val="22"/>
          <w:lang w:val="fr-FR"/>
        </w:rPr>
        <w:t xml:space="preserve"> à l</w:t>
      </w:r>
      <w:r w:rsidR="008E532B">
        <w:rPr>
          <w:rFonts w:ascii="Arial" w:hAnsi="Arial" w:cs="Arial"/>
          <w:bCs/>
          <w:sz w:val="22"/>
          <w:szCs w:val="22"/>
          <w:lang w:val="fr-FR"/>
        </w:rPr>
        <w:t>’</w:t>
      </w:r>
      <w:r w:rsidRPr="00E632DB">
        <w:rPr>
          <w:rFonts w:ascii="Arial" w:hAnsi="Arial" w:cs="Arial"/>
          <w:bCs/>
          <w:sz w:val="22"/>
          <w:szCs w:val="22"/>
          <w:lang w:val="fr-FR"/>
        </w:rPr>
        <w:t>Assemblée de rendre opérationnels les résultats de la réflexion globale sur les mécanismes d</w:t>
      </w:r>
      <w:r w:rsidR="008E532B">
        <w:rPr>
          <w:rFonts w:ascii="Arial" w:hAnsi="Arial" w:cs="Arial"/>
          <w:bCs/>
          <w:sz w:val="22"/>
          <w:szCs w:val="22"/>
          <w:lang w:val="fr-FR"/>
        </w:rPr>
        <w:t>’</w:t>
      </w:r>
      <w:r w:rsidRPr="00E632DB">
        <w:rPr>
          <w:rFonts w:ascii="Arial" w:hAnsi="Arial" w:cs="Arial"/>
          <w:bCs/>
          <w:sz w:val="22"/>
          <w:szCs w:val="22"/>
          <w:lang w:val="fr-FR"/>
        </w:rPr>
        <w:t>inscription et de renforcer le suivi et l</w:t>
      </w:r>
      <w:r w:rsidR="008E532B">
        <w:rPr>
          <w:rFonts w:ascii="Arial" w:hAnsi="Arial" w:cs="Arial"/>
          <w:bCs/>
          <w:sz w:val="22"/>
          <w:szCs w:val="22"/>
          <w:lang w:val="fr-FR"/>
        </w:rPr>
        <w:t>’</w:t>
      </w:r>
      <w:r w:rsidRPr="00E632DB">
        <w:rPr>
          <w:rFonts w:ascii="Arial" w:hAnsi="Arial" w:cs="Arial"/>
          <w:bCs/>
          <w:sz w:val="22"/>
          <w:szCs w:val="22"/>
          <w:lang w:val="fr-FR"/>
        </w:rPr>
        <w:t>évaluation des projets d</w:t>
      </w:r>
      <w:r w:rsidR="008E532B">
        <w:rPr>
          <w:rFonts w:ascii="Arial" w:hAnsi="Arial" w:cs="Arial"/>
          <w:bCs/>
          <w:sz w:val="22"/>
          <w:szCs w:val="22"/>
          <w:lang w:val="fr-FR"/>
        </w:rPr>
        <w:t>’</w:t>
      </w:r>
      <w:r w:rsidRPr="00E632DB">
        <w:rPr>
          <w:rFonts w:ascii="Arial" w:hAnsi="Arial" w:cs="Arial"/>
          <w:bCs/>
          <w:sz w:val="22"/>
          <w:szCs w:val="22"/>
          <w:lang w:val="fr-FR"/>
        </w:rPr>
        <w:t xml:space="preserve">assistance internationale. La Présidente a </w:t>
      </w:r>
      <w:r>
        <w:rPr>
          <w:rFonts w:ascii="Arial" w:hAnsi="Arial" w:cs="Arial"/>
          <w:bCs/>
          <w:sz w:val="22"/>
          <w:szCs w:val="22"/>
          <w:lang w:val="fr-FR"/>
        </w:rPr>
        <w:t>donné la parole aux orateurs pour</w:t>
      </w:r>
      <w:r w:rsidRPr="00E632DB">
        <w:rPr>
          <w:rFonts w:ascii="Arial" w:hAnsi="Arial" w:cs="Arial"/>
          <w:bCs/>
          <w:sz w:val="22"/>
          <w:szCs w:val="22"/>
          <w:lang w:val="fr-FR"/>
        </w:rPr>
        <w:t xml:space="preserve"> </w:t>
      </w:r>
      <w:r>
        <w:rPr>
          <w:rFonts w:ascii="Arial" w:hAnsi="Arial" w:cs="Arial"/>
          <w:bCs/>
          <w:sz w:val="22"/>
          <w:szCs w:val="22"/>
          <w:lang w:val="fr-FR"/>
        </w:rPr>
        <w:t>un</w:t>
      </w:r>
      <w:r w:rsidRPr="00E632DB">
        <w:rPr>
          <w:rFonts w:ascii="Arial" w:hAnsi="Arial" w:cs="Arial"/>
          <w:bCs/>
          <w:sz w:val="22"/>
          <w:szCs w:val="22"/>
          <w:lang w:val="fr-FR"/>
        </w:rPr>
        <w:t xml:space="preserve"> débat général.</w:t>
      </w:r>
    </w:p>
    <w:p w14:paraId="3534392D" w14:textId="7EDCA0B6" w:rsidR="00D9653F" w:rsidRPr="00E632DB"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632DB">
        <w:rPr>
          <w:rFonts w:ascii="Arial" w:hAnsi="Arial" w:cs="Arial"/>
          <w:bCs/>
          <w:sz w:val="22"/>
          <w:szCs w:val="22"/>
          <w:lang w:val="fr-FR"/>
        </w:rPr>
        <w:t xml:space="preserve">La délégation des </w:t>
      </w:r>
      <w:r w:rsidRPr="00E632DB">
        <w:rPr>
          <w:rFonts w:ascii="Arial" w:hAnsi="Arial" w:cs="Arial"/>
          <w:b/>
          <w:sz w:val="22"/>
          <w:szCs w:val="22"/>
          <w:lang w:val="fr-FR"/>
        </w:rPr>
        <w:t>Philippines</w:t>
      </w:r>
      <w:r w:rsidRPr="00E632DB">
        <w:rPr>
          <w:rFonts w:ascii="Arial" w:hAnsi="Arial" w:cs="Arial"/>
          <w:bCs/>
          <w:sz w:val="22"/>
          <w:szCs w:val="22"/>
          <w:lang w:val="fr-FR"/>
        </w:rPr>
        <w:t xml:space="preserve"> s</w:t>
      </w:r>
      <w:r w:rsidR="008E532B">
        <w:rPr>
          <w:rFonts w:ascii="Arial" w:hAnsi="Arial" w:cs="Arial"/>
          <w:bCs/>
          <w:sz w:val="22"/>
          <w:szCs w:val="22"/>
          <w:lang w:val="fr-FR"/>
        </w:rPr>
        <w:t>’</w:t>
      </w:r>
      <w:r w:rsidRPr="00E632DB">
        <w:rPr>
          <w:rFonts w:ascii="Arial" w:hAnsi="Arial" w:cs="Arial"/>
          <w:bCs/>
          <w:sz w:val="22"/>
          <w:szCs w:val="22"/>
          <w:lang w:val="fr-FR"/>
        </w:rPr>
        <w:t>est exprimée en tant que membre du Conseil exécutif pour plaider avec force en faveur d</w:t>
      </w:r>
      <w:r w:rsidR="008E532B">
        <w:rPr>
          <w:rFonts w:ascii="Arial" w:hAnsi="Arial" w:cs="Arial"/>
          <w:bCs/>
          <w:sz w:val="22"/>
          <w:szCs w:val="22"/>
          <w:lang w:val="fr-FR"/>
        </w:rPr>
        <w:t>’</w:t>
      </w:r>
      <w:r w:rsidRPr="00E632DB">
        <w:rPr>
          <w:rFonts w:ascii="Arial" w:hAnsi="Arial" w:cs="Arial"/>
          <w:bCs/>
          <w:sz w:val="22"/>
          <w:szCs w:val="22"/>
          <w:lang w:val="fr-FR"/>
        </w:rPr>
        <w:t>une intégration plus poussée des approches fondées sur les données</w:t>
      </w:r>
      <w:r>
        <w:rPr>
          <w:rFonts w:ascii="Arial" w:hAnsi="Arial" w:cs="Arial"/>
          <w:bCs/>
          <w:sz w:val="22"/>
          <w:szCs w:val="22"/>
          <w:lang w:val="fr-FR"/>
        </w:rPr>
        <w:t xml:space="preserve"> </w:t>
      </w:r>
      <w:r w:rsidRPr="00E632DB">
        <w:rPr>
          <w:rFonts w:ascii="Arial" w:hAnsi="Arial" w:cs="Arial"/>
          <w:bCs/>
          <w:sz w:val="22"/>
          <w:szCs w:val="22"/>
          <w:lang w:val="fr-FR"/>
        </w:rPr>
        <w:t>et les preuves dans les programmes et processus de l</w:t>
      </w:r>
      <w:r w:rsidR="008E532B">
        <w:rPr>
          <w:rFonts w:ascii="Arial" w:hAnsi="Arial" w:cs="Arial"/>
          <w:bCs/>
          <w:sz w:val="22"/>
          <w:szCs w:val="22"/>
          <w:lang w:val="fr-FR"/>
        </w:rPr>
        <w:t>’</w:t>
      </w:r>
      <w:r w:rsidRPr="00E632DB">
        <w:rPr>
          <w:rFonts w:ascii="Arial" w:hAnsi="Arial" w:cs="Arial"/>
          <w:bCs/>
          <w:sz w:val="22"/>
          <w:szCs w:val="22"/>
          <w:lang w:val="fr-FR"/>
        </w:rPr>
        <w:t xml:space="preserve">UNESCO, en particulier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agissant de </w:t>
      </w:r>
      <w:r w:rsidRPr="00E632DB">
        <w:rPr>
          <w:rFonts w:ascii="Arial" w:hAnsi="Arial" w:cs="Arial"/>
          <w:bCs/>
          <w:sz w:val="22"/>
          <w:szCs w:val="22"/>
          <w:lang w:val="fr-FR"/>
        </w:rPr>
        <w:t>la capacité du Secrétariat à mener des activités de suivi et d</w:t>
      </w:r>
      <w:r w:rsidR="008E532B">
        <w:rPr>
          <w:rFonts w:ascii="Arial" w:hAnsi="Arial" w:cs="Arial"/>
          <w:bCs/>
          <w:sz w:val="22"/>
          <w:szCs w:val="22"/>
          <w:lang w:val="fr-FR"/>
        </w:rPr>
        <w:t>’</w:t>
      </w:r>
      <w:r w:rsidRPr="00E632DB">
        <w:rPr>
          <w:rFonts w:ascii="Arial" w:hAnsi="Arial" w:cs="Arial"/>
          <w:bCs/>
          <w:sz w:val="22"/>
          <w:szCs w:val="22"/>
          <w:lang w:val="fr-FR"/>
        </w:rPr>
        <w:t xml:space="preserve">évaluation. </w:t>
      </w:r>
      <w:r>
        <w:rPr>
          <w:rFonts w:ascii="Arial" w:hAnsi="Arial" w:cs="Arial"/>
          <w:bCs/>
          <w:sz w:val="22"/>
          <w:szCs w:val="22"/>
          <w:lang w:val="fr-FR"/>
        </w:rPr>
        <w:t>Elle pensait</w:t>
      </w:r>
      <w:r w:rsidRPr="00E632DB">
        <w:rPr>
          <w:rFonts w:ascii="Arial" w:hAnsi="Arial" w:cs="Arial"/>
          <w:bCs/>
          <w:sz w:val="22"/>
          <w:szCs w:val="22"/>
          <w:lang w:val="fr-FR"/>
        </w:rPr>
        <w:t xml:space="preserve"> que cet aspect </w:t>
      </w:r>
      <w:r>
        <w:rPr>
          <w:rFonts w:ascii="Arial" w:hAnsi="Arial" w:cs="Arial"/>
          <w:bCs/>
          <w:sz w:val="22"/>
          <w:szCs w:val="22"/>
          <w:lang w:val="fr-FR"/>
        </w:rPr>
        <w:t>essentiel</w:t>
      </w:r>
      <w:r w:rsidRPr="00E632DB">
        <w:rPr>
          <w:rFonts w:ascii="Arial" w:hAnsi="Arial" w:cs="Arial"/>
          <w:bCs/>
          <w:sz w:val="22"/>
          <w:szCs w:val="22"/>
          <w:lang w:val="fr-FR"/>
        </w:rPr>
        <w:t xml:space="preserve"> pourrait encore accroître la capacité du patrimoine vivant à façonner un avenir prospère et durable pour tous les peuples. Conscientes des ressources limitées de la Convention, les Philippines soutenaient fermement la proposition du Secrétariat d</w:t>
      </w:r>
      <w:r w:rsidR="008E532B">
        <w:rPr>
          <w:rFonts w:ascii="Arial" w:hAnsi="Arial" w:cs="Arial"/>
          <w:bCs/>
          <w:sz w:val="22"/>
          <w:szCs w:val="22"/>
          <w:lang w:val="fr-FR"/>
        </w:rPr>
        <w:t>’</w:t>
      </w:r>
      <w:r w:rsidRPr="00E632DB">
        <w:rPr>
          <w:rFonts w:ascii="Arial" w:hAnsi="Arial" w:cs="Arial"/>
          <w:bCs/>
          <w:sz w:val="22"/>
          <w:szCs w:val="22"/>
          <w:lang w:val="fr-FR"/>
        </w:rPr>
        <w:t>augmenter ses ressources humaines afin de se concentrer sur les aspects de suivi et d</w:t>
      </w:r>
      <w:r w:rsidR="008E532B">
        <w:rPr>
          <w:rFonts w:ascii="Arial" w:hAnsi="Arial" w:cs="Arial"/>
          <w:bCs/>
          <w:sz w:val="22"/>
          <w:szCs w:val="22"/>
          <w:lang w:val="fr-FR"/>
        </w:rPr>
        <w:t>’</w:t>
      </w:r>
      <w:r w:rsidRPr="00E632DB">
        <w:rPr>
          <w:rFonts w:ascii="Arial" w:hAnsi="Arial" w:cs="Arial"/>
          <w:bCs/>
          <w:sz w:val="22"/>
          <w:szCs w:val="22"/>
          <w:lang w:val="fr-FR"/>
        </w:rPr>
        <w:t>évaluation de ses initiatives. En outre</w:t>
      </w:r>
      <w:r>
        <w:rPr>
          <w:rFonts w:ascii="Arial" w:hAnsi="Arial" w:cs="Arial"/>
          <w:bCs/>
          <w:sz w:val="22"/>
          <w:szCs w:val="22"/>
          <w:lang w:val="fr-FR"/>
        </w:rPr>
        <w:t>, l</w:t>
      </w:r>
      <w:r w:rsidRPr="00E632DB">
        <w:rPr>
          <w:rFonts w:ascii="Arial" w:hAnsi="Arial" w:cs="Arial"/>
          <w:bCs/>
          <w:sz w:val="22"/>
          <w:szCs w:val="22"/>
          <w:lang w:val="fr-FR"/>
        </w:rPr>
        <w:t xml:space="preserve">e </w:t>
      </w:r>
      <w:r w:rsidR="0064242E">
        <w:rPr>
          <w:rFonts w:ascii="Arial" w:eastAsia="SimSun" w:hAnsi="Arial" w:cs="Arial"/>
          <w:bCs/>
          <w:sz w:val="22"/>
          <w:szCs w:val="22"/>
          <w:lang w:val="fr-FR" w:eastAsia="en-US"/>
        </w:rPr>
        <w:t>patrimoine culturel immatériel</w:t>
      </w:r>
      <w:r w:rsidR="0064242E" w:rsidRPr="001C722F">
        <w:rPr>
          <w:rFonts w:ascii="Arial" w:eastAsia="SimSun" w:hAnsi="Arial" w:cs="Arial"/>
          <w:bCs/>
          <w:sz w:val="22"/>
          <w:szCs w:val="22"/>
          <w:lang w:val="fr-FR" w:eastAsia="en-US"/>
        </w:rPr>
        <w:t xml:space="preserve"> </w:t>
      </w:r>
      <w:r w:rsidRPr="00E632DB">
        <w:rPr>
          <w:rFonts w:ascii="Arial" w:hAnsi="Arial" w:cs="Arial"/>
          <w:bCs/>
          <w:sz w:val="22"/>
          <w:szCs w:val="22"/>
          <w:lang w:val="fr-FR"/>
        </w:rPr>
        <w:t>étend</w:t>
      </w:r>
      <w:r>
        <w:rPr>
          <w:rFonts w:ascii="Arial" w:hAnsi="Arial" w:cs="Arial"/>
          <w:bCs/>
          <w:sz w:val="22"/>
          <w:szCs w:val="22"/>
          <w:lang w:val="fr-FR"/>
        </w:rPr>
        <w:t>ant</w:t>
      </w:r>
      <w:r w:rsidRPr="00E632DB">
        <w:rPr>
          <w:rFonts w:ascii="Arial" w:hAnsi="Arial" w:cs="Arial"/>
          <w:bCs/>
          <w:sz w:val="22"/>
          <w:szCs w:val="22"/>
          <w:lang w:val="fr-FR"/>
        </w:rPr>
        <w:t xml:space="preserve"> son travail intersectoriel, les Philippines o</w:t>
      </w:r>
      <w:r>
        <w:rPr>
          <w:rFonts w:ascii="Arial" w:hAnsi="Arial" w:cs="Arial"/>
          <w:bCs/>
          <w:sz w:val="22"/>
          <w:szCs w:val="22"/>
          <w:lang w:val="fr-FR"/>
        </w:rPr>
        <w:t xml:space="preserve">nt </w:t>
      </w:r>
      <w:r w:rsidRPr="00E632DB">
        <w:rPr>
          <w:rFonts w:ascii="Arial" w:hAnsi="Arial" w:cs="Arial"/>
          <w:bCs/>
          <w:sz w:val="22"/>
          <w:szCs w:val="22"/>
          <w:lang w:val="fr-FR"/>
        </w:rPr>
        <w:t>également proposé d</w:t>
      </w:r>
      <w:r w:rsidR="008E532B">
        <w:rPr>
          <w:rFonts w:ascii="Arial" w:hAnsi="Arial" w:cs="Arial"/>
          <w:bCs/>
          <w:sz w:val="22"/>
          <w:szCs w:val="22"/>
          <w:lang w:val="fr-FR"/>
        </w:rPr>
        <w:t>’</w:t>
      </w:r>
      <w:r w:rsidRPr="00E632DB">
        <w:rPr>
          <w:rFonts w:ascii="Arial" w:hAnsi="Arial" w:cs="Arial"/>
          <w:bCs/>
          <w:sz w:val="22"/>
          <w:szCs w:val="22"/>
          <w:lang w:val="fr-FR"/>
        </w:rPr>
        <w:t xml:space="preserve">explorer </w:t>
      </w:r>
      <w:r>
        <w:rPr>
          <w:rFonts w:ascii="Arial" w:hAnsi="Arial" w:cs="Arial"/>
          <w:bCs/>
          <w:sz w:val="22"/>
          <w:szCs w:val="22"/>
          <w:lang w:val="fr-FR"/>
        </w:rPr>
        <w:t>l</w:t>
      </w:r>
      <w:r w:rsidR="008E532B">
        <w:rPr>
          <w:rFonts w:ascii="Arial" w:hAnsi="Arial" w:cs="Arial"/>
          <w:bCs/>
          <w:sz w:val="22"/>
          <w:szCs w:val="22"/>
          <w:lang w:val="fr-FR"/>
        </w:rPr>
        <w:t>’</w:t>
      </w:r>
      <w:r>
        <w:rPr>
          <w:rFonts w:ascii="Arial" w:hAnsi="Arial" w:cs="Arial"/>
          <w:bCs/>
          <w:sz w:val="22"/>
          <w:szCs w:val="22"/>
          <w:lang w:val="fr-FR"/>
        </w:rPr>
        <w:t>idée d</w:t>
      </w:r>
      <w:r w:rsidR="008E532B">
        <w:rPr>
          <w:rFonts w:ascii="Arial" w:hAnsi="Arial" w:cs="Arial"/>
          <w:bCs/>
          <w:sz w:val="22"/>
          <w:szCs w:val="22"/>
          <w:lang w:val="fr-FR"/>
        </w:rPr>
        <w:t>’</w:t>
      </w:r>
      <w:r>
        <w:rPr>
          <w:rFonts w:ascii="Arial" w:hAnsi="Arial" w:cs="Arial"/>
          <w:bCs/>
          <w:sz w:val="22"/>
          <w:szCs w:val="22"/>
          <w:lang w:val="fr-FR"/>
        </w:rPr>
        <w:t>inclure</w:t>
      </w:r>
      <w:r w:rsidRPr="00E632DB">
        <w:rPr>
          <w:rFonts w:ascii="Arial" w:hAnsi="Arial" w:cs="Arial"/>
          <w:bCs/>
          <w:sz w:val="22"/>
          <w:szCs w:val="22"/>
          <w:lang w:val="fr-FR"/>
        </w:rPr>
        <w:t xml:space="preserve"> la Décennie internationale des sciences océaniques pour le développement durable</w:t>
      </w:r>
      <w:r>
        <w:rPr>
          <w:rStyle w:val="FootnoteReference"/>
          <w:rFonts w:ascii="Arial" w:hAnsi="Arial" w:cs="Arial"/>
          <w:bCs/>
          <w:sz w:val="22"/>
          <w:szCs w:val="22"/>
          <w:lang w:val="fr-FR"/>
        </w:rPr>
        <w:footnoteReference w:id="41"/>
      </w:r>
      <w:r>
        <w:rPr>
          <w:rFonts w:ascii="Arial" w:hAnsi="Arial" w:cs="Arial"/>
          <w:bCs/>
          <w:sz w:val="22"/>
          <w:szCs w:val="22"/>
          <w:lang w:val="fr-FR"/>
        </w:rPr>
        <w:t xml:space="preserve"> </w:t>
      </w:r>
      <w:r w:rsidRPr="00E632DB">
        <w:rPr>
          <w:rFonts w:ascii="Arial" w:hAnsi="Arial" w:cs="Arial"/>
          <w:bCs/>
          <w:sz w:val="22"/>
          <w:szCs w:val="22"/>
          <w:lang w:val="fr-FR"/>
        </w:rPr>
        <w:t>comme domaine prioritaire</w:t>
      </w:r>
      <w:r>
        <w:rPr>
          <w:rFonts w:ascii="Arial" w:hAnsi="Arial" w:cs="Arial"/>
          <w:bCs/>
          <w:sz w:val="22"/>
          <w:szCs w:val="22"/>
          <w:lang w:val="fr-FR"/>
        </w:rPr>
        <w:t>,</w:t>
      </w:r>
      <w:r w:rsidRPr="00E632DB">
        <w:rPr>
          <w:rFonts w:ascii="Arial" w:hAnsi="Arial" w:cs="Arial"/>
          <w:bCs/>
          <w:sz w:val="22"/>
          <w:szCs w:val="22"/>
          <w:lang w:val="fr-FR"/>
        </w:rPr>
        <w:t xml:space="preserve"> en plus de la Décennie internationale des langues autochtone</w:t>
      </w:r>
      <w:r>
        <w:rPr>
          <w:rFonts w:ascii="Arial" w:hAnsi="Arial" w:cs="Arial"/>
          <w:bCs/>
          <w:sz w:val="22"/>
          <w:szCs w:val="22"/>
          <w:lang w:val="fr-FR"/>
        </w:rPr>
        <w:t>s</w:t>
      </w:r>
      <w:r>
        <w:rPr>
          <w:rStyle w:val="FootnoteReference"/>
          <w:rFonts w:ascii="Arial" w:hAnsi="Arial" w:cs="Arial"/>
          <w:bCs/>
          <w:sz w:val="22"/>
          <w:szCs w:val="22"/>
          <w:lang w:val="fr-FR"/>
        </w:rPr>
        <w:footnoteReference w:id="42"/>
      </w:r>
      <w:r>
        <w:rPr>
          <w:rFonts w:ascii="Arial" w:hAnsi="Arial" w:cs="Arial"/>
          <w:bCs/>
          <w:sz w:val="22"/>
          <w:szCs w:val="22"/>
          <w:lang w:val="fr-FR"/>
        </w:rPr>
        <w:t>.</w:t>
      </w:r>
      <w:r w:rsidRPr="00E632DB">
        <w:rPr>
          <w:rFonts w:ascii="Arial" w:hAnsi="Arial" w:cs="Arial"/>
          <w:bCs/>
          <w:sz w:val="22"/>
          <w:szCs w:val="22"/>
          <w:lang w:val="fr-FR"/>
        </w:rPr>
        <w:t xml:space="preserve"> Les Philippines ont souligné l</w:t>
      </w:r>
      <w:r w:rsidR="008E532B">
        <w:rPr>
          <w:rFonts w:ascii="Arial" w:hAnsi="Arial" w:cs="Arial"/>
          <w:bCs/>
          <w:sz w:val="22"/>
          <w:szCs w:val="22"/>
          <w:lang w:val="fr-FR"/>
        </w:rPr>
        <w:t>’</w:t>
      </w:r>
      <w:r w:rsidRPr="00E632DB">
        <w:rPr>
          <w:rFonts w:ascii="Arial" w:hAnsi="Arial" w:cs="Arial"/>
          <w:bCs/>
          <w:sz w:val="22"/>
          <w:szCs w:val="22"/>
          <w:lang w:val="fr-FR"/>
        </w:rPr>
        <w:t xml:space="preserve">importance de la diversité et de la contribution géographique équitable dans la sélection du personnel, avec une adhésion </w:t>
      </w:r>
      <w:r>
        <w:rPr>
          <w:rFonts w:ascii="Arial" w:hAnsi="Arial" w:cs="Arial"/>
          <w:bCs/>
          <w:sz w:val="22"/>
          <w:szCs w:val="22"/>
          <w:lang w:val="fr-FR"/>
        </w:rPr>
        <w:t xml:space="preserve">résolue </w:t>
      </w:r>
      <w:r w:rsidRPr="00E632DB">
        <w:rPr>
          <w:rFonts w:ascii="Arial" w:hAnsi="Arial" w:cs="Arial"/>
          <w:bCs/>
          <w:sz w:val="22"/>
          <w:szCs w:val="22"/>
          <w:lang w:val="fr-FR"/>
        </w:rPr>
        <w:t>aux compétences requises par l</w:t>
      </w:r>
      <w:r w:rsidR="008E532B">
        <w:rPr>
          <w:rFonts w:ascii="Arial" w:hAnsi="Arial" w:cs="Arial"/>
          <w:bCs/>
          <w:sz w:val="22"/>
          <w:szCs w:val="22"/>
          <w:lang w:val="fr-FR"/>
        </w:rPr>
        <w:t>’</w:t>
      </w:r>
      <w:r w:rsidRPr="00E632DB">
        <w:rPr>
          <w:rFonts w:ascii="Arial" w:hAnsi="Arial" w:cs="Arial"/>
          <w:bCs/>
          <w:sz w:val="22"/>
          <w:szCs w:val="22"/>
          <w:lang w:val="fr-FR"/>
        </w:rPr>
        <w:t>UNESCO.</w:t>
      </w:r>
    </w:p>
    <w:p w14:paraId="2F823536" w14:textId="4D1550E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A1EE8">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5A1EE8">
        <w:rPr>
          <w:rFonts w:ascii="Arial" w:hAnsi="Arial" w:cs="Arial"/>
          <w:b/>
          <w:sz w:val="22"/>
          <w:szCs w:val="22"/>
          <w:lang w:val="fr-FR"/>
        </w:rPr>
        <w:t>Autriche</w:t>
      </w:r>
      <w:r>
        <w:rPr>
          <w:rFonts w:ascii="Arial" w:hAnsi="Arial" w:cs="Arial"/>
          <w:bCs/>
          <w:sz w:val="22"/>
          <w:szCs w:val="22"/>
          <w:lang w:val="fr-FR"/>
        </w:rPr>
        <w:t xml:space="preserve"> </w:t>
      </w:r>
      <w:r w:rsidRPr="005A1EE8">
        <w:rPr>
          <w:rFonts w:ascii="Arial" w:hAnsi="Arial" w:cs="Arial"/>
          <w:bCs/>
          <w:sz w:val="22"/>
          <w:szCs w:val="22"/>
          <w:lang w:val="fr-FR"/>
        </w:rPr>
        <w:t xml:space="preserve">a </w:t>
      </w:r>
      <w:r>
        <w:rPr>
          <w:rFonts w:ascii="Arial" w:hAnsi="Arial" w:cs="Arial"/>
          <w:bCs/>
          <w:sz w:val="22"/>
          <w:szCs w:val="22"/>
          <w:lang w:val="fr-FR"/>
        </w:rPr>
        <w:t>réaffirmé à quel point elle appréciait le</w:t>
      </w:r>
      <w:r w:rsidRPr="005A1EE8">
        <w:rPr>
          <w:rFonts w:ascii="Arial" w:hAnsi="Arial" w:cs="Arial"/>
          <w:bCs/>
          <w:sz w:val="22"/>
          <w:szCs w:val="22"/>
          <w:lang w:val="fr-FR"/>
        </w:rPr>
        <w:t xml:space="preserve"> travail du Secrétariat, notant que la diminution des dépenses n</w:t>
      </w:r>
      <w:r>
        <w:rPr>
          <w:rFonts w:ascii="Arial" w:hAnsi="Arial" w:cs="Arial"/>
          <w:bCs/>
          <w:sz w:val="22"/>
          <w:szCs w:val="22"/>
          <w:lang w:val="fr-FR"/>
        </w:rPr>
        <w:t>e devait pas susciter d</w:t>
      </w:r>
      <w:r w:rsidR="008E532B">
        <w:rPr>
          <w:rFonts w:ascii="Arial" w:hAnsi="Arial" w:cs="Arial"/>
          <w:bCs/>
          <w:sz w:val="22"/>
          <w:szCs w:val="22"/>
          <w:lang w:val="fr-FR"/>
        </w:rPr>
        <w:t>’</w:t>
      </w:r>
      <w:r>
        <w:rPr>
          <w:rFonts w:ascii="Arial" w:hAnsi="Arial" w:cs="Arial"/>
          <w:bCs/>
          <w:sz w:val="22"/>
          <w:szCs w:val="22"/>
          <w:lang w:val="fr-FR"/>
        </w:rPr>
        <w:t>inquiétudes,</w:t>
      </w:r>
      <w:r w:rsidRPr="005A1EE8">
        <w:rPr>
          <w:rFonts w:ascii="Arial" w:hAnsi="Arial" w:cs="Arial"/>
          <w:bCs/>
          <w:sz w:val="22"/>
          <w:szCs w:val="22"/>
          <w:lang w:val="fr-FR"/>
        </w:rPr>
        <w:t xml:space="preserve"> car elle était évidemment due en grande partie à la pandémie de COVID</w:t>
      </w:r>
      <w:r>
        <w:rPr>
          <w:rFonts w:ascii="Arial" w:hAnsi="Arial" w:cs="Arial"/>
          <w:bCs/>
          <w:sz w:val="22"/>
          <w:szCs w:val="22"/>
          <w:lang w:val="fr-FR"/>
        </w:rPr>
        <w:noBreakHyphen/>
      </w:r>
      <w:r w:rsidRPr="005A1EE8">
        <w:rPr>
          <w:rFonts w:ascii="Arial" w:hAnsi="Arial" w:cs="Arial"/>
          <w:bCs/>
          <w:sz w:val="22"/>
          <w:szCs w:val="22"/>
          <w:lang w:val="fr-FR"/>
        </w:rPr>
        <w:t>19. Elle s</w:t>
      </w:r>
      <w:r w:rsidR="008E532B">
        <w:rPr>
          <w:rFonts w:ascii="Arial" w:hAnsi="Arial" w:cs="Arial"/>
          <w:bCs/>
          <w:sz w:val="22"/>
          <w:szCs w:val="22"/>
          <w:lang w:val="fr-FR"/>
        </w:rPr>
        <w:t>’</w:t>
      </w:r>
      <w:r w:rsidRPr="005A1EE8">
        <w:rPr>
          <w:rFonts w:ascii="Arial" w:hAnsi="Arial" w:cs="Arial"/>
          <w:bCs/>
          <w:sz w:val="22"/>
          <w:szCs w:val="22"/>
          <w:lang w:val="fr-FR"/>
        </w:rPr>
        <w:t xml:space="preserve">est réjouie de voir le Fonds dans un état stable et sain. Les </w:t>
      </w:r>
      <w:r>
        <w:rPr>
          <w:rFonts w:ascii="Arial" w:hAnsi="Arial" w:cs="Arial"/>
          <w:bCs/>
          <w:sz w:val="22"/>
          <w:szCs w:val="22"/>
          <w:lang w:val="fr-FR"/>
        </w:rPr>
        <w:t xml:space="preserve">orientations pour </w:t>
      </w:r>
      <w:r w:rsidRPr="005A1EE8">
        <w:rPr>
          <w:rFonts w:ascii="Arial" w:hAnsi="Arial" w:cs="Arial"/>
          <w:bCs/>
          <w:sz w:val="22"/>
          <w:szCs w:val="22"/>
          <w:lang w:val="fr-FR"/>
        </w:rPr>
        <w:t>l</w:t>
      </w:r>
      <w:r w:rsidR="008E532B">
        <w:rPr>
          <w:rFonts w:ascii="Arial" w:hAnsi="Arial" w:cs="Arial"/>
          <w:bCs/>
          <w:sz w:val="22"/>
          <w:szCs w:val="22"/>
          <w:lang w:val="fr-FR"/>
        </w:rPr>
        <w:t>’</w:t>
      </w:r>
      <w:r w:rsidRPr="005A1EE8">
        <w:rPr>
          <w:rFonts w:ascii="Arial" w:hAnsi="Arial" w:cs="Arial"/>
          <w:bCs/>
          <w:sz w:val="22"/>
          <w:szCs w:val="22"/>
          <w:lang w:val="fr-FR"/>
        </w:rPr>
        <w:t xml:space="preserve">utilisation des ressources du Fonds (aux paragraphes 66 et 67 des Directives opérationnelles) </w:t>
      </w:r>
      <w:r>
        <w:rPr>
          <w:rFonts w:ascii="Arial" w:hAnsi="Arial" w:cs="Arial"/>
          <w:bCs/>
          <w:sz w:val="22"/>
          <w:szCs w:val="22"/>
          <w:lang w:val="fr-FR"/>
        </w:rPr>
        <w:t xml:space="preserve">déterminaient </w:t>
      </w:r>
      <w:r w:rsidRPr="005A1EE8">
        <w:rPr>
          <w:rFonts w:ascii="Arial" w:hAnsi="Arial" w:cs="Arial"/>
          <w:bCs/>
          <w:sz w:val="22"/>
          <w:szCs w:val="22"/>
          <w:lang w:val="fr-FR"/>
        </w:rPr>
        <w:t>qu</w:t>
      </w:r>
      <w:r w:rsidR="008E532B">
        <w:rPr>
          <w:rFonts w:ascii="Arial" w:hAnsi="Arial" w:cs="Arial"/>
          <w:bCs/>
          <w:sz w:val="22"/>
          <w:szCs w:val="22"/>
          <w:lang w:val="fr-FR"/>
        </w:rPr>
        <w:t>’</w:t>
      </w:r>
      <w:r w:rsidRPr="005A1EE8">
        <w:rPr>
          <w:rFonts w:ascii="Arial" w:hAnsi="Arial" w:cs="Arial"/>
          <w:bCs/>
          <w:sz w:val="22"/>
          <w:szCs w:val="22"/>
          <w:lang w:val="fr-FR"/>
        </w:rPr>
        <w:t>une grande majorité des ressources d</w:t>
      </w:r>
      <w:r>
        <w:rPr>
          <w:rFonts w:ascii="Arial" w:hAnsi="Arial" w:cs="Arial"/>
          <w:bCs/>
          <w:sz w:val="22"/>
          <w:szCs w:val="22"/>
          <w:lang w:val="fr-FR"/>
        </w:rPr>
        <w:t>evait servir à accorder</w:t>
      </w:r>
      <w:r w:rsidRPr="005A1EE8">
        <w:rPr>
          <w:rFonts w:ascii="Arial" w:hAnsi="Arial" w:cs="Arial"/>
          <w:bCs/>
          <w:sz w:val="22"/>
          <w:szCs w:val="22"/>
          <w:lang w:val="fr-FR"/>
        </w:rPr>
        <w:t xml:space="preserve"> </w:t>
      </w:r>
      <w:r>
        <w:rPr>
          <w:rFonts w:ascii="Arial" w:hAnsi="Arial" w:cs="Arial"/>
          <w:bCs/>
          <w:sz w:val="22"/>
          <w:szCs w:val="22"/>
          <w:lang w:val="fr-FR"/>
        </w:rPr>
        <w:t>l</w:t>
      </w:r>
      <w:r w:rsidR="008E532B">
        <w:rPr>
          <w:rFonts w:ascii="Arial" w:hAnsi="Arial" w:cs="Arial"/>
          <w:bCs/>
          <w:sz w:val="22"/>
          <w:szCs w:val="22"/>
          <w:lang w:val="fr-FR"/>
        </w:rPr>
        <w:t>’</w:t>
      </w:r>
      <w:r w:rsidRPr="005A1EE8">
        <w:rPr>
          <w:rFonts w:ascii="Arial" w:hAnsi="Arial" w:cs="Arial"/>
          <w:bCs/>
          <w:sz w:val="22"/>
          <w:szCs w:val="22"/>
          <w:lang w:val="fr-FR"/>
        </w:rPr>
        <w:t xml:space="preserve">assistance internationale aux États parties pour compléter leurs efforts nationaux de sauvegarde du </w:t>
      </w:r>
      <w:r w:rsidR="0064242E">
        <w:rPr>
          <w:rFonts w:ascii="Arial" w:eastAsia="SimSun" w:hAnsi="Arial" w:cs="Arial"/>
          <w:bCs/>
          <w:sz w:val="22"/>
          <w:szCs w:val="22"/>
          <w:lang w:val="fr-FR" w:eastAsia="en-US"/>
        </w:rPr>
        <w:t>patrimoine culturel immatériel</w:t>
      </w:r>
      <w:r w:rsidRPr="005A1EE8">
        <w:rPr>
          <w:rFonts w:ascii="Arial" w:hAnsi="Arial" w:cs="Arial"/>
          <w:bCs/>
          <w:sz w:val="22"/>
          <w:szCs w:val="22"/>
          <w:lang w:val="fr-FR"/>
        </w:rPr>
        <w:t>. Ceci fai</w:t>
      </w:r>
      <w:r>
        <w:rPr>
          <w:rFonts w:ascii="Arial" w:hAnsi="Arial" w:cs="Arial"/>
          <w:bCs/>
          <w:sz w:val="22"/>
          <w:szCs w:val="22"/>
          <w:lang w:val="fr-FR"/>
        </w:rPr>
        <w:t xml:space="preserve">sait </w:t>
      </w:r>
      <w:r w:rsidRPr="005A1EE8">
        <w:rPr>
          <w:rFonts w:ascii="Arial" w:hAnsi="Arial" w:cs="Arial"/>
          <w:bCs/>
          <w:sz w:val="22"/>
          <w:szCs w:val="22"/>
          <w:lang w:val="fr-FR"/>
        </w:rPr>
        <w:t xml:space="preserve">référence aux lignes budgétaires 1, 1.1 et 2, qui </w:t>
      </w:r>
      <w:r>
        <w:rPr>
          <w:rFonts w:ascii="Arial" w:hAnsi="Arial" w:cs="Arial"/>
          <w:bCs/>
          <w:sz w:val="22"/>
          <w:szCs w:val="22"/>
          <w:lang w:val="fr-FR"/>
        </w:rPr>
        <w:t>étaient</w:t>
      </w:r>
      <w:r w:rsidRPr="005A1EE8">
        <w:rPr>
          <w:rFonts w:ascii="Arial" w:hAnsi="Arial" w:cs="Arial"/>
          <w:bCs/>
          <w:sz w:val="22"/>
          <w:szCs w:val="22"/>
          <w:lang w:val="fr-FR"/>
        </w:rPr>
        <w:t xml:space="preserve"> clairement indiquées dans le budget proposé à environ 6</w:t>
      </w:r>
      <w:r>
        <w:rPr>
          <w:rFonts w:ascii="Arial" w:hAnsi="Arial" w:cs="Arial"/>
          <w:bCs/>
          <w:sz w:val="22"/>
          <w:szCs w:val="22"/>
          <w:lang w:val="fr-FR"/>
        </w:rPr>
        <w:t>2 %</w:t>
      </w:r>
      <w:r w:rsidRPr="005A1EE8">
        <w:rPr>
          <w:rFonts w:ascii="Arial" w:hAnsi="Arial" w:cs="Arial"/>
          <w:bCs/>
          <w:sz w:val="22"/>
          <w:szCs w:val="22"/>
          <w:lang w:val="fr-FR"/>
        </w:rPr>
        <w:t>. Pour l</w:t>
      </w:r>
      <w:r w:rsidR="008E532B">
        <w:rPr>
          <w:rFonts w:ascii="Arial" w:hAnsi="Arial" w:cs="Arial"/>
          <w:bCs/>
          <w:sz w:val="22"/>
          <w:szCs w:val="22"/>
          <w:lang w:val="fr-FR"/>
        </w:rPr>
        <w:t>’</w:t>
      </w:r>
      <w:r w:rsidRPr="005A1EE8">
        <w:rPr>
          <w:rFonts w:ascii="Arial" w:hAnsi="Arial" w:cs="Arial"/>
          <w:bCs/>
          <w:sz w:val="22"/>
          <w:szCs w:val="22"/>
          <w:lang w:val="fr-FR"/>
        </w:rPr>
        <w:t>Autriche, il était important de maintenir</w:t>
      </w:r>
      <w:r>
        <w:rPr>
          <w:rFonts w:ascii="Arial" w:hAnsi="Arial" w:cs="Arial"/>
          <w:bCs/>
          <w:sz w:val="22"/>
          <w:szCs w:val="22"/>
          <w:lang w:val="fr-FR"/>
        </w:rPr>
        <w:t xml:space="preserve"> </w:t>
      </w:r>
      <w:r w:rsidRPr="005A1EE8">
        <w:rPr>
          <w:rFonts w:ascii="Arial" w:hAnsi="Arial" w:cs="Arial"/>
          <w:bCs/>
          <w:sz w:val="22"/>
          <w:szCs w:val="22"/>
          <w:lang w:val="fr-FR"/>
        </w:rPr>
        <w:t xml:space="preserve">la ligne budgétaire 1 au niveau le plus élevé possible </w:t>
      </w:r>
      <w:r>
        <w:rPr>
          <w:rFonts w:ascii="Arial" w:hAnsi="Arial" w:cs="Arial"/>
          <w:bCs/>
          <w:sz w:val="22"/>
          <w:szCs w:val="22"/>
          <w:lang w:val="fr-FR"/>
        </w:rPr>
        <w:t>afin de</w:t>
      </w:r>
      <w:r w:rsidRPr="005A1EE8">
        <w:rPr>
          <w:rFonts w:ascii="Arial" w:hAnsi="Arial" w:cs="Arial"/>
          <w:bCs/>
          <w:sz w:val="22"/>
          <w:szCs w:val="22"/>
          <w:lang w:val="fr-FR"/>
        </w:rPr>
        <w:t xml:space="preserve"> permettre aux États parties de renforcer leurs efforts de sauvegarde. Cependant, ces dernières années, ce budget a</w:t>
      </w:r>
      <w:r>
        <w:rPr>
          <w:rFonts w:ascii="Arial" w:hAnsi="Arial" w:cs="Arial"/>
          <w:bCs/>
          <w:sz w:val="22"/>
          <w:szCs w:val="22"/>
          <w:lang w:val="fr-FR"/>
        </w:rPr>
        <w:t>vait malheureusement</w:t>
      </w:r>
      <w:r w:rsidRPr="005A1EE8">
        <w:rPr>
          <w:rFonts w:ascii="Arial" w:hAnsi="Arial" w:cs="Arial"/>
          <w:bCs/>
          <w:sz w:val="22"/>
          <w:szCs w:val="22"/>
          <w:lang w:val="fr-FR"/>
        </w:rPr>
        <w:t xml:space="preserve"> été continuellement réduit et, pour la première fois, il ne </w:t>
      </w:r>
      <w:r w:rsidRPr="00C674A0">
        <w:rPr>
          <w:rFonts w:ascii="Arial" w:hAnsi="Arial" w:cs="Arial"/>
          <w:bCs/>
          <w:sz w:val="22"/>
          <w:szCs w:val="22"/>
          <w:lang w:val="fr-FR"/>
        </w:rPr>
        <w:t>représenta</w:t>
      </w:r>
      <w:r>
        <w:rPr>
          <w:rFonts w:ascii="Arial" w:hAnsi="Arial" w:cs="Arial"/>
          <w:bCs/>
          <w:sz w:val="22"/>
          <w:szCs w:val="22"/>
          <w:lang w:val="fr-FR"/>
        </w:rPr>
        <w:t>it</w:t>
      </w:r>
      <w:r w:rsidRPr="005A1EE8">
        <w:rPr>
          <w:rFonts w:ascii="Arial" w:hAnsi="Arial" w:cs="Arial"/>
          <w:bCs/>
          <w:sz w:val="22"/>
          <w:szCs w:val="22"/>
          <w:lang w:val="fr-FR"/>
        </w:rPr>
        <w:t xml:space="preserve"> plus la majorité </w:t>
      </w:r>
      <w:r>
        <w:rPr>
          <w:rFonts w:ascii="Arial" w:hAnsi="Arial" w:cs="Arial"/>
          <w:bCs/>
          <w:sz w:val="22"/>
          <w:szCs w:val="22"/>
          <w:lang w:val="fr-FR"/>
        </w:rPr>
        <w:t>du</w:t>
      </w:r>
      <w:r w:rsidRPr="005A1EE8">
        <w:rPr>
          <w:rFonts w:ascii="Arial" w:hAnsi="Arial" w:cs="Arial"/>
          <w:bCs/>
          <w:sz w:val="22"/>
          <w:szCs w:val="22"/>
          <w:lang w:val="fr-FR"/>
        </w:rPr>
        <w:t xml:space="preserve"> </w:t>
      </w:r>
      <w:r>
        <w:rPr>
          <w:rFonts w:ascii="Arial" w:hAnsi="Arial" w:cs="Arial"/>
          <w:bCs/>
          <w:sz w:val="22"/>
          <w:szCs w:val="22"/>
          <w:lang w:val="fr-FR"/>
        </w:rPr>
        <w:t>F</w:t>
      </w:r>
      <w:r w:rsidRPr="005A1EE8">
        <w:rPr>
          <w:rFonts w:ascii="Arial" w:hAnsi="Arial" w:cs="Arial"/>
          <w:bCs/>
          <w:sz w:val="22"/>
          <w:szCs w:val="22"/>
          <w:lang w:val="fr-FR"/>
        </w:rPr>
        <w:t>ond</w:t>
      </w:r>
      <w:r>
        <w:rPr>
          <w:rFonts w:ascii="Arial" w:hAnsi="Arial" w:cs="Arial"/>
          <w:bCs/>
          <w:sz w:val="22"/>
          <w:szCs w:val="22"/>
          <w:lang w:val="fr-FR"/>
        </w:rPr>
        <w:t>s</w:t>
      </w:r>
      <w:r w:rsidRPr="005A1EE8">
        <w:rPr>
          <w:rFonts w:ascii="Arial" w:hAnsi="Arial" w:cs="Arial"/>
          <w:bCs/>
          <w:sz w:val="22"/>
          <w:szCs w:val="22"/>
          <w:lang w:val="fr-FR"/>
        </w:rPr>
        <w:t>. Selon les chiffres de 2016/</w:t>
      </w:r>
      <w:r>
        <w:rPr>
          <w:rFonts w:ascii="Arial" w:hAnsi="Arial" w:cs="Arial"/>
          <w:bCs/>
          <w:sz w:val="22"/>
          <w:szCs w:val="22"/>
          <w:lang w:val="fr-FR"/>
        </w:rPr>
        <w:t>20</w:t>
      </w:r>
      <w:r w:rsidRPr="005A1EE8">
        <w:rPr>
          <w:rFonts w:ascii="Arial" w:hAnsi="Arial" w:cs="Arial"/>
          <w:bCs/>
          <w:sz w:val="22"/>
          <w:szCs w:val="22"/>
          <w:lang w:val="fr-FR"/>
        </w:rPr>
        <w:t>17, 59</w:t>
      </w:r>
      <w:r>
        <w:rPr>
          <w:rFonts w:ascii="Arial" w:hAnsi="Arial" w:cs="Arial"/>
          <w:bCs/>
          <w:sz w:val="22"/>
          <w:szCs w:val="22"/>
          <w:lang w:val="fr-FR"/>
        </w:rPr>
        <w:t> </w:t>
      </w:r>
      <w:r w:rsidRPr="005A1EE8">
        <w:rPr>
          <w:rFonts w:ascii="Arial" w:hAnsi="Arial" w:cs="Arial"/>
          <w:bCs/>
          <w:sz w:val="22"/>
          <w:szCs w:val="22"/>
          <w:lang w:val="fr-FR"/>
        </w:rPr>
        <w:t>% des fonds allaient à la ligne budgétaire 1. En 2018/</w:t>
      </w:r>
      <w:r>
        <w:rPr>
          <w:rFonts w:ascii="Arial" w:hAnsi="Arial" w:cs="Arial"/>
          <w:bCs/>
          <w:sz w:val="22"/>
          <w:szCs w:val="22"/>
          <w:lang w:val="fr-FR"/>
        </w:rPr>
        <w:t>20</w:t>
      </w:r>
      <w:r w:rsidRPr="005A1EE8">
        <w:rPr>
          <w:rFonts w:ascii="Arial" w:hAnsi="Arial" w:cs="Arial"/>
          <w:bCs/>
          <w:sz w:val="22"/>
          <w:szCs w:val="22"/>
          <w:lang w:val="fr-FR"/>
        </w:rPr>
        <w:t xml:space="preserve">19, </w:t>
      </w:r>
      <w:r>
        <w:rPr>
          <w:rFonts w:ascii="Arial" w:hAnsi="Arial" w:cs="Arial"/>
          <w:bCs/>
          <w:sz w:val="22"/>
          <w:szCs w:val="22"/>
          <w:lang w:val="fr-FR"/>
        </w:rPr>
        <w:t>ce chiffre</w:t>
      </w:r>
      <w:r w:rsidRPr="005A1EE8">
        <w:rPr>
          <w:rFonts w:ascii="Arial" w:hAnsi="Arial" w:cs="Arial"/>
          <w:bCs/>
          <w:sz w:val="22"/>
          <w:szCs w:val="22"/>
          <w:lang w:val="fr-FR"/>
        </w:rPr>
        <w:t xml:space="preserve"> était de 52,55</w:t>
      </w:r>
      <w:r>
        <w:rPr>
          <w:rFonts w:ascii="Arial" w:hAnsi="Arial" w:cs="Arial"/>
          <w:bCs/>
          <w:sz w:val="22"/>
          <w:szCs w:val="22"/>
          <w:lang w:val="fr-FR"/>
        </w:rPr>
        <w:t> %.</w:t>
      </w:r>
      <w:r w:rsidRPr="005A1EE8">
        <w:rPr>
          <w:rFonts w:ascii="Arial" w:hAnsi="Arial" w:cs="Arial"/>
          <w:bCs/>
          <w:sz w:val="22"/>
          <w:szCs w:val="22"/>
          <w:lang w:val="fr-FR"/>
        </w:rPr>
        <w:t xml:space="preserve"> En 2020/</w:t>
      </w:r>
      <w:r>
        <w:rPr>
          <w:rFonts w:ascii="Arial" w:hAnsi="Arial" w:cs="Arial"/>
          <w:bCs/>
          <w:sz w:val="22"/>
          <w:szCs w:val="22"/>
          <w:lang w:val="fr-FR"/>
        </w:rPr>
        <w:t>20</w:t>
      </w:r>
      <w:r w:rsidRPr="005A1EE8">
        <w:rPr>
          <w:rFonts w:ascii="Arial" w:hAnsi="Arial" w:cs="Arial"/>
          <w:bCs/>
          <w:sz w:val="22"/>
          <w:szCs w:val="22"/>
          <w:lang w:val="fr-FR"/>
        </w:rPr>
        <w:t>21, il était de 51,96</w:t>
      </w:r>
      <w:r>
        <w:rPr>
          <w:rFonts w:ascii="Arial" w:hAnsi="Arial" w:cs="Arial"/>
          <w:bCs/>
          <w:sz w:val="22"/>
          <w:szCs w:val="22"/>
          <w:lang w:val="fr-FR"/>
        </w:rPr>
        <w:t> %</w:t>
      </w:r>
      <w:r w:rsidRPr="005A1EE8">
        <w:rPr>
          <w:rFonts w:ascii="Arial" w:hAnsi="Arial" w:cs="Arial"/>
          <w:bCs/>
          <w:sz w:val="22"/>
          <w:szCs w:val="22"/>
          <w:lang w:val="fr-FR"/>
        </w:rPr>
        <w:t xml:space="preserve"> et</w:t>
      </w:r>
      <w:r>
        <w:rPr>
          <w:rFonts w:ascii="Arial" w:hAnsi="Arial" w:cs="Arial"/>
          <w:bCs/>
          <w:sz w:val="22"/>
          <w:szCs w:val="22"/>
          <w:lang w:val="fr-FR"/>
        </w:rPr>
        <w:t>, désormais</w:t>
      </w:r>
      <w:r w:rsidRPr="005A1EE8">
        <w:rPr>
          <w:rFonts w:ascii="Arial" w:hAnsi="Arial" w:cs="Arial"/>
          <w:bCs/>
          <w:sz w:val="22"/>
          <w:szCs w:val="22"/>
          <w:lang w:val="fr-FR"/>
        </w:rPr>
        <w:t>, en 2022/</w:t>
      </w:r>
      <w:r>
        <w:rPr>
          <w:rFonts w:ascii="Arial" w:hAnsi="Arial" w:cs="Arial"/>
          <w:bCs/>
          <w:sz w:val="22"/>
          <w:szCs w:val="22"/>
          <w:lang w:val="fr-FR"/>
        </w:rPr>
        <w:t>20</w:t>
      </w:r>
      <w:r w:rsidRPr="005A1EE8">
        <w:rPr>
          <w:rFonts w:ascii="Arial" w:hAnsi="Arial" w:cs="Arial"/>
          <w:bCs/>
          <w:sz w:val="22"/>
          <w:szCs w:val="22"/>
          <w:lang w:val="fr-FR"/>
        </w:rPr>
        <w:t>23, il était</w:t>
      </w:r>
      <w:r>
        <w:rPr>
          <w:rFonts w:ascii="Arial" w:hAnsi="Arial" w:cs="Arial"/>
          <w:bCs/>
          <w:sz w:val="22"/>
          <w:szCs w:val="22"/>
          <w:lang w:val="fr-FR"/>
        </w:rPr>
        <w:t xml:space="preserve">, pour la première fois, </w:t>
      </w:r>
      <w:r w:rsidRPr="005A1EE8">
        <w:rPr>
          <w:rFonts w:ascii="Arial" w:hAnsi="Arial" w:cs="Arial"/>
          <w:bCs/>
          <w:sz w:val="22"/>
          <w:szCs w:val="22"/>
          <w:lang w:val="fr-FR"/>
        </w:rPr>
        <w:t>de 50</w:t>
      </w:r>
      <w:r>
        <w:rPr>
          <w:rFonts w:ascii="Arial" w:hAnsi="Arial" w:cs="Arial"/>
          <w:bCs/>
          <w:sz w:val="22"/>
          <w:szCs w:val="22"/>
          <w:lang w:val="fr-FR"/>
        </w:rPr>
        <w:t> %</w:t>
      </w:r>
      <w:r w:rsidRPr="005A1EE8">
        <w:rPr>
          <w:rFonts w:ascii="Arial" w:hAnsi="Arial" w:cs="Arial"/>
          <w:bCs/>
          <w:sz w:val="22"/>
          <w:szCs w:val="22"/>
          <w:lang w:val="fr-FR"/>
        </w:rPr>
        <w:t>. L</w:t>
      </w:r>
      <w:r w:rsidR="008E532B">
        <w:rPr>
          <w:rFonts w:ascii="Arial" w:hAnsi="Arial" w:cs="Arial"/>
          <w:bCs/>
          <w:sz w:val="22"/>
          <w:szCs w:val="22"/>
          <w:lang w:val="fr-FR"/>
        </w:rPr>
        <w:t>’</w:t>
      </w:r>
      <w:r w:rsidRPr="005A1EE8">
        <w:rPr>
          <w:rFonts w:ascii="Arial" w:hAnsi="Arial" w:cs="Arial"/>
          <w:bCs/>
          <w:sz w:val="22"/>
          <w:szCs w:val="22"/>
          <w:lang w:val="fr-FR"/>
        </w:rPr>
        <w:t>augmentation des lignes budgétaires 2 et 7 visait à couvrir les coûts supplémentaires pouvant découler de la mise en œuvre des résultats de la réflexion globale sur les mécanismes d</w:t>
      </w:r>
      <w:r w:rsidR="008E532B">
        <w:rPr>
          <w:rFonts w:ascii="Arial" w:hAnsi="Arial" w:cs="Arial"/>
          <w:bCs/>
          <w:sz w:val="22"/>
          <w:szCs w:val="22"/>
          <w:lang w:val="fr-FR"/>
        </w:rPr>
        <w:t>’</w:t>
      </w:r>
      <w:r w:rsidRPr="005A1EE8">
        <w:rPr>
          <w:rFonts w:ascii="Arial" w:hAnsi="Arial" w:cs="Arial"/>
          <w:bCs/>
          <w:sz w:val="22"/>
          <w:szCs w:val="22"/>
          <w:lang w:val="fr-FR"/>
        </w:rPr>
        <w:t>inscription. En outre, de nouveaux coûts apparaiss</w:t>
      </w:r>
      <w:r>
        <w:rPr>
          <w:rFonts w:ascii="Arial" w:hAnsi="Arial" w:cs="Arial"/>
          <w:bCs/>
          <w:sz w:val="22"/>
          <w:szCs w:val="22"/>
          <w:lang w:val="fr-FR"/>
        </w:rPr>
        <w:t>ai</w:t>
      </w:r>
      <w:r w:rsidRPr="005A1EE8">
        <w:rPr>
          <w:rFonts w:ascii="Arial" w:hAnsi="Arial" w:cs="Arial"/>
          <w:bCs/>
          <w:sz w:val="22"/>
          <w:szCs w:val="22"/>
          <w:lang w:val="fr-FR"/>
        </w:rPr>
        <w:t>ent pour le suivi et l</w:t>
      </w:r>
      <w:r w:rsidR="008E532B">
        <w:rPr>
          <w:rFonts w:ascii="Arial" w:hAnsi="Arial" w:cs="Arial"/>
          <w:bCs/>
          <w:sz w:val="22"/>
          <w:szCs w:val="22"/>
          <w:lang w:val="fr-FR"/>
        </w:rPr>
        <w:t>’</w:t>
      </w:r>
      <w:r w:rsidRPr="005A1EE8">
        <w:rPr>
          <w:rFonts w:ascii="Arial" w:hAnsi="Arial" w:cs="Arial"/>
          <w:bCs/>
          <w:sz w:val="22"/>
          <w:szCs w:val="22"/>
          <w:lang w:val="fr-FR"/>
        </w:rPr>
        <w:t>évaluation des projets d</w:t>
      </w:r>
      <w:r w:rsidR="008E532B">
        <w:rPr>
          <w:rFonts w:ascii="Arial" w:hAnsi="Arial" w:cs="Arial"/>
          <w:bCs/>
          <w:sz w:val="22"/>
          <w:szCs w:val="22"/>
          <w:lang w:val="fr-FR"/>
        </w:rPr>
        <w:t>’</w:t>
      </w:r>
      <w:r w:rsidRPr="005A1EE8">
        <w:rPr>
          <w:rFonts w:ascii="Arial" w:hAnsi="Arial" w:cs="Arial"/>
          <w:bCs/>
          <w:sz w:val="22"/>
          <w:szCs w:val="22"/>
          <w:lang w:val="fr-FR"/>
        </w:rPr>
        <w:t>assistance internationale par des experts externes</w:t>
      </w:r>
      <w:r>
        <w:rPr>
          <w:rFonts w:ascii="Arial" w:hAnsi="Arial" w:cs="Arial"/>
          <w:bCs/>
          <w:sz w:val="22"/>
          <w:szCs w:val="22"/>
          <w:lang w:val="fr-FR"/>
        </w:rPr>
        <w:t xml:space="preserve">, à titre </w:t>
      </w:r>
      <w:r w:rsidRPr="005A1EE8">
        <w:rPr>
          <w:rFonts w:ascii="Arial" w:hAnsi="Arial" w:cs="Arial"/>
          <w:bCs/>
          <w:sz w:val="22"/>
          <w:szCs w:val="22"/>
          <w:lang w:val="fr-FR"/>
        </w:rPr>
        <w:t>expérimental. Dans ce contexte, la délégation souhait</w:t>
      </w:r>
      <w:r>
        <w:rPr>
          <w:rFonts w:ascii="Arial" w:hAnsi="Arial" w:cs="Arial"/>
          <w:bCs/>
          <w:sz w:val="22"/>
          <w:szCs w:val="22"/>
          <w:lang w:val="fr-FR"/>
        </w:rPr>
        <w:t>ait</w:t>
      </w:r>
      <w:r w:rsidRPr="005A1EE8">
        <w:rPr>
          <w:rFonts w:ascii="Arial" w:hAnsi="Arial" w:cs="Arial"/>
          <w:bCs/>
          <w:sz w:val="22"/>
          <w:szCs w:val="22"/>
          <w:lang w:val="fr-FR"/>
        </w:rPr>
        <w:t xml:space="preserve"> connaître les coûts prélevés sur le Fonds du </w:t>
      </w:r>
      <w:r w:rsidR="00E908E2">
        <w:rPr>
          <w:rFonts w:ascii="Arial" w:eastAsia="SimSun" w:hAnsi="Arial" w:cs="Arial"/>
          <w:bCs/>
          <w:sz w:val="22"/>
          <w:szCs w:val="22"/>
          <w:lang w:val="fr-FR" w:eastAsia="en-US"/>
        </w:rPr>
        <w:t>patrimoine culturel immatériel</w:t>
      </w:r>
      <w:r w:rsidRPr="005A1EE8">
        <w:rPr>
          <w:rFonts w:ascii="Arial" w:hAnsi="Arial" w:cs="Arial"/>
          <w:bCs/>
          <w:sz w:val="22"/>
          <w:szCs w:val="22"/>
          <w:lang w:val="fr-FR"/>
        </w:rPr>
        <w:t xml:space="preserve"> pour la réflexion globale sur les mécanismes d</w:t>
      </w:r>
      <w:r w:rsidR="008E532B">
        <w:rPr>
          <w:rFonts w:ascii="Arial" w:hAnsi="Arial" w:cs="Arial"/>
          <w:bCs/>
          <w:sz w:val="22"/>
          <w:szCs w:val="22"/>
          <w:lang w:val="fr-FR"/>
        </w:rPr>
        <w:t>’</w:t>
      </w:r>
      <w:r w:rsidRPr="005A1EE8">
        <w:rPr>
          <w:rFonts w:ascii="Arial" w:hAnsi="Arial" w:cs="Arial"/>
          <w:bCs/>
          <w:sz w:val="22"/>
          <w:szCs w:val="22"/>
          <w:lang w:val="fr-FR"/>
        </w:rPr>
        <w:t>inscription. Comme aux premiers jours de la Convention, la délégation suppos</w:t>
      </w:r>
      <w:r>
        <w:rPr>
          <w:rFonts w:ascii="Arial" w:hAnsi="Arial" w:cs="Arial"/>
          <w:bCs/>
          <w:sz w:val="22"/>
          <w:szCs w:val="22"/>
          <w:lang w:val="fr-FR"/>
        </w:rPr>
        <w:t>ait</w:t>
      </w:r>
      <w:r w:rsidRPr="005A1EE8">
        <w:rPr>
          <w:rFonts w:ascii="Arial" w:hAnsi="Arial" w:cs="Arial"/>
          <w:bCs/>
          <w:sz w:val="22"/>
          <w:szCs w:val="22"/>
          <w:lang w:val="fr-FR"/>
        </w:rPr>
        <w:t xml:space="preserve"> que le processus d</w:t>
      </w:r>
      <w:r w:rsidR="008E532B">
        <w:rPr>
          <w:rFonts w:ascii="Arial" w:hAnsi="Arial" w:cs="Arial"/>
          <w:bCs/>
          <w:sz w:val="22"/>
          <w:szCs w:val="22"/>
          <w:lang w:val="fr-FR"/>
        </w:rPr>
        <w:t>’</w:t>
      </w:r>
      <w:r w:rsidRPr="005A1EE8">
        <w:rPr>
          <w:rFonts w:ascii="Arial" w:hAnsi="Arial" w:cs="Arial"/>
          <w:bCs/>
          <w:sz w:val="22"/>
          <w:szCs w:val="22"/>
          <w:lang w:val="fr-FR"/>
        </w:rPr>
        <w:t xml:space="preserve">inscription des éléments était couvert par le budget </w:t>
      </w:r>
      <w:r>
        <w:rPr>
          <w:rFonts w:ascii="Arial" w:hAnsi="Arial" w:cs="Arial"/>
          <w:bCs/>
          <w:sz w:val="22"/>
          <w:szCs w:val="22"/>
          <w:lang w:val="fr-FR"/>
        </w:rPr>
        <w:t xml:space="preserve">ordinaire </w:t>
      </w:r>
      <w:r w:rsidRPr="005A1EE8">
        <w:rPr>
          <w:rFonts w:ascii="Arial" w:hAnsi="Arial" w:cs="Arial"/>
          <w:bCs/>
          <w:sz w:val="22"/>
          <w:szCs w:val="22"/>
          <w:lang w:val="fr-FR"/>
        </w:rPr>
        <w:t>et n</w:t>
      </w:r>
      <w:r w:rsidR="008E532B">
        <w:rPr>
          <w:rFonts w:ascii="Arial" w:hAnsi="Arial" w:cs="Arial"/>
          <w:bCs/>
          <w:sz w:val="22"/>
          <w:szCs w:val="22"/>
          <w:lang w:val="fr-FR"/>
        </w:rPr>
        <w:t>’</w:t>
      </w:r>
      <w:r w:rsidRPr="005A1EE8">
        <w:rPr>
          <w:rFonts w:ascii="Arial" w:hAnsi="Arial" w:cs="Arial"/>
          <w:bCs/>
          <w:sz w:val="22"/>
          <w:szCs w:val="22"/>
          <w:lang w:val="fr-FR"/>
        </w:rPr>
        <w:t xml:space="preserve">affectait pas le Fonds. </w:t>
      </w:r>
      <w:r>
        <w:rPr>
          <w:rFonts w:ascii="Arial" w:hAnsi="Arial" w:cs="Arial"/>
          <w:bCs/>
          <w:sz w:val="22"/>
          <w:szCs w:val="22"/>
          <w:lang w:val="fr-FR"/>
        </w:rPr>
        <w:t>Elle a demandé si</w:t>
      </w:r>
      <w:r w:rsidRPr="005A1EE8">
        <w:rPr>
          <w:rFonts w:ascii="Arial" w:hAnsi="Arial" w:cs="Arial"/>
          <w:bCs/>
          <w:sz w:val="22"/>
          <w:szCs w:val="22"/>
          <w:lang w:val="fr-FR"/>
        </w:rPr>
        <w:t xml:space="preserve"> seule l</w:t>
      </w:r>
      <w:r w:rsidR="008E532B">
        <w:rPr>
          <w:rFonts w:ascii="Arial" w:hAnsi="Arial" w:cs="Arial"/>
          <w:bCs/>
          <w:sz w:val="22"/>
          <w:szCs w:val="22"/>
          <w:lang w:val="fr-FR"/>
        </w:rPr>
        <w:t>’</w:t>
      </w:r>
      <w:r w:rsidRPr="005A1EE8">
        <w:rPr>
          <w:rFonts w:ascii="Arial" w:hAnsi="Arial" w:cs="Arial"/>
          <w:bCs/>
          <w:sz w:val="22"/>
          <w:szCs w:val="22"/>
          <w:lang w:val="fr-FR"/>
        </w:rPr>
        <w:t>assistance préparatoire aux demandes de transfert était couverte par le Fonds</w:t>
      </w:r>
      <w:r>
        <w:rPr>
          <w:rFonts w:ascii="Arial" w:hAnsi="Arial" w:cs="Arial"/>
          <w:bCs/>
          <w:sz w:val="22"/>
          <w:szCs w:val="22"/>
          <w:lang w:val="fr-FR"/>
        </w:rPr>
        <w:t>.</w:t>
      </w:r>
    </w:p>
    <w:p w14:paraId="3140257F" w14:textId="3C314B1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9365E">
        <w:rPr>
          <w:rFonts w:ascii="Arial" w:hAnsi="Arial" w:cs="Arial"/>
          <w:bCs/>
          <w:sz w:val="22"/>
          <w:szCs w:val="22"/>
          <w:lang w:val="fr-FR"/>
        </w:rPr>
        <w:t xml:space="preserve">La délégation des </w:t>
      </w:r>
      <w:r w:rsidRPr="00E9365E">
        <w:rPr>
          <w:rFonts w:ascii="Arial" w:hAnsi="Arial" w:cs="Arial"/>
          <w:b/>
          <w:sz w:val="22"/>
          <w:szCs w:val="22"/>
          <w:lang w:val="fr-FR"/>
        </w:rPr>
        <w:t>Pays</w:t>
      </w:r>
      <w:r w:rsidRPr="00E9365E">
        <w:rPr>
          <w:rFonts w:ascii="Arial" w:hAnsi="Arial" w:cs="Arial"/>
          <w:b/>
          <w:sz w:val="22"/>
          <w:szCs w:val="22"/>
          <w:lang w:val="fr-FR"/>
        </w:rPr>
        <w:noBreakHyphen/>
        <w:t>Bas</w:t>
      </w:r>
      <w:r w:rsidRPr="00E9365E">
        <w:rPr>
          <w:rFonts w:ascii="Arial" w:hAnsi="Arial" w:cs="Arial"/>
          <w:bCs/>
          <w:sz w:val="22"/>
          <w:szCs w:val="22"/>
          <w:lang w:val="fr-FR"/>
        </w:rPr>
        <w:t xml:space="preserve"> s</w:t>
      </w:r>
      <w:r w:rsidR="008E532B">
        <w:rPr>
          <w:rFonts w:ascii="Arial" w:hAnsi="Arial" w:cs="Arial"/>
          <w:bCs/>
          <w:sz w:val="22"/>
          <w:szCs w:val="22"/>
          <w:lang w:val="fr-FR"/>
        </w:rPr>
        <w:t>’</w:t>
      </w:r>
      <w:r w:rsidRPr="00E9365E">
        <w:rPr>
          <w:rFonts w:ascii="Arial" w:hAnsi="Arial" w:cs="Arial"/>
          <w:bCs/>
          <w:sz w:val="22"/>
          <w:szCs w:val="22"/>
          <w:lang w:val="fr-FR"/>
        </w:rPr>
        <w:t>est fait l</w:t>
      </w:r>
      <w:r w:rsidR="008E532B">
        <w:rPr>
          <w:rFonts w:ascii="Arial" w:hAnsi="Arial" w:cs="Arial"/>
          <w:bCs/>
          <w:sz w:val="22"/>
          <w:szCs w:val="22"/>
          <w:lang w:val="fr-FR"/>
        </w:rPr>
        <w:t>’</w:t>
      </w:r>
      <w:r w:rsidRPr="00E9365E">
        <w:rPr>
          <w:rFonts w:ascii="Arial" w:hAnsi="Arial" w:cs="Arial"/>
          <w:bCs/>
          <w:sz w:val="22"/>
          <w:szCs w:val="22"/>
          <w:lang w:val="fr-FR"/>
        </w:rPr>
        <w:t>écho de la déclaration et des questions posées par l</w:t>
      </w:r>
      <w:r w:rsidR="008E532B">
        <w:rPr>
          <w:rFonts w:ascii="Arial" w:hAnsi="Arial" w:cs="Arial"/>
          <w:bCs/>
          <w:sz w:val="22"/>
          <w:szCs w:val="22"/>
          <w:lang w:val="fr-FR"/>
        </w:rPr>
        <w:t>’</w:t>
      </w:r>
      <w:r w:rsidRPr="00E9365E">
        <w:rPr>
          <w:rFonts w:ascii="Arial" w:hAnsi="Arial" w:cs="Arial"/>
          <w:bCs/>
          <w:sz w:val="22"/>
          <w:szCs w:val="22"/>
          <w:lang w:val="fr-FR"/>
        </w:rPr>
        <w:t xml:space="preserve">Autriche. La </w:t>
      </w:r>
      <w:r w:rsidR="002512C5">
        <w:rPr>
          <w:rFonts w:ascii="Arial" w:hAnsi="Arial" w:cs="Arial"/>
          <w:bCs/>
          <w:sz w:val="22"/>
          <w:szCs w:val="22"/>
          <w:lang w:val="fr-FR"/>
        </w:rPr>
        <w:t>distribution</w:t>
      </w:r>
      <w:r w:rsidRPr="00E9365E">
        <w:rPr>
          <w:rFonts w:ascii="Arial" w:hAnsi="Arial" w:cs="Arial"/>
          <w:bCs/>
          <w:sz w:val="22"/>
          <w:szCs w:val="22"/>
          <w:lang w:val="fr-FR"/>
        </w:rPr>
        <w:t xml:space="preserve"> du budget montr</w:t>
      </w:r>
      <w:r>
        <w:rPr>
          <w:rFonts w:ascii="Arial" w:hAnsi="Arial" w:cs="Arial"/>
          <w:bCs/>
          <w:sz w:val="22"/>
          <w:szCs w:val="22"/>
          <w:lang w:val="fr-FR"/>
        </w:rPr>
        <w:t>ait</w:t>
      </w:r>
      <w:r w:rsidRPr="00E9365E">
        <w:rPr>
          <w:rFonts w:ascii="Arial" w:hAnsi="Arial" w:cs="Arial"/>
          <w:bCs/>
          <w:sz w:val="22"/>
          <w:szCs w:val="22"/>
          <w:lang w:val="fr-FR"/>
        </w:rPr>
        <w:t xml:space="preserve"> où se trouv</w:t>
      </w:r>
      <w:r>
        <w:rPr>
          <w:rFonts w:ascii="Arial" w:hAnsi="Arial" w:cs="Arial"/>
          <w:bCs/>
          <w:sz w:val="22"/>
          <w:szCs w:val="22"/>
          <w:lang w:val="fr-FR"/>
        </w:rPr>
        <w:t>ai</w:t>
      </w:r>
      <w:r w:rsidRPr="00E9365E">
        <w:rPr>
          <w:rFonts w:ascii="Arial" w:hAnsi="Arial" w:cs="Arial"/>
          <w:bCs/>
          <w:sz w:val="22"/>
          <w:szCs w:val="22"/>
          <w:lang w:val="fr-FR"/>
        </w:rPr>
        <w:t xml:space="preserve">ent les priorités. Elle </w:t>
      </w:r>
      <w:r>
        <w:rPr>
          <w:rFonts w:ascii="Arial" w:hAnsi="Arial" w:cs="Arial"/>
          <w:bCs/>
          <w:sz w:val="22"/>
          <w:szCs w:val="22"/>
          <w:lang w:val="fr-FR"/>
        </w:rPr>
        <w:t>était</w:t>
      </w:r>
      <w:r w:rsidRPr="00E9365E">
        <w:rPr>
          <w:rFonts w:ascii="Arial" w:hAnsi="Arial" w:cs="Arial"/>
          <w:bCs/>
          <w:sz w:val="22"/>
          <w:szCs w:val="22"/>
          <w:lang w:val="fr-FR"/>
        </w:rPr>
        <w:t xml:space="preserve"> heureuse de constater que, conformément à l</w:t>
      </w:r>
      <w:r w:rsidR="008E532B">
        <w:rPr>
          <w:rFonts w:ascii="Arial" w:hAnsi="Arial" w:cs="Arial"/>
          <w:bCs/>
          <w:sz w:val="22"/>
          <w:szCs w:val="22"/>
          <w:lang w:val="fr-FR"/>
        </w:rPr>
        <w:t>’</w:t>
      </w:r>
      <w:r w:rsidRPr="00E9365E">
        <w:rPr>
          <w:rFonts w:ascii="Arial" w:hAnsi="Arial" w:cs="Arial"/>
          <w:bCs/>
          <w:sz w:val="22"/>
          <w:szCs w:val="22"/>
          <w:lang w:val="fr-FR"/>
        </w:rPr>
        <w:t>article 66 et à l</w:t>
      </w:r>
      <w:r w:rsidR="008E532B">
        <w:rPr>
          <w:rFonts w:ascii="Arial" w:hAnsi="Arial" w:cs="Arial"/>
          <w:bCs/>
          <w:sz w:val="22"/>
          <w:szCs w:val="22"/>
          <w:lang w:val="fr-FR"/>
        </w:rPr>
        <w:t>’</w:t>
      </w:r>
      <w:r w:rsidRPr="00E9365E">
        <w:rPr>
          <w:rFonts w:ascii="Arial" w:hAnsi="Arial" w:cs="Arial"/>
          <w:bCs/>
          <w:sz w:val="22"/>
          <w:szCs w:val="22"/>
          <w:lang w:val="fr-FR"/>
        </w:rPr>
        <w:t xml:space="preserve">article 67 des </w:t>
      </w:r>
      <w:r>
        <w:rPr>
          <w:rFonts w:ascii="Arial" w:hAnsi="Arial" w:cs="Arial"/>
          <w:bCs/>
          <w:sz w:val="22"/>
          <w:szCs w:val="22"/>
          <w:lang w:val="fr-FR"/>
        </w:rPr>
        <w:t>D</w:t>
      </w:r>
      <w:r w:rsidRPr="00E9365E">
        <w:rPr>
          <w:rFonts w:ascii="Arial" w:hAnsi="Arial" w:cs="Arial"/>
          <w:bCs/>
          <w:sz w:val="22"/>
          <w:szCs w:val="22"/>
          <w:lang w:val="fr-FR"/>
        </w:rPr>
        <w:t>irectives opérationnelles, la majorité des ressources étai</w:t>
      </w:r>
      <w:r>
        <w:rPr>
          <w:rFonts w:ascii="Arial" w:hAnsi="Arial" w:cs="Arial"/>
          <w:bCs/>
          <w:sz w:val="22"/>
          <w:szCs w:val="22"/>
          <w:lang w:val="fr-FR"/>
        </w:rPr>
        <w:t>t</w:t>
      </w:r>
      <w:r w:rsidRPr="00E9365E">
        <w:rPr>
          <w:rFonts w:ascii="Arial" w:hAnsi="Arial" w:cs="Arial"/>
          <w:bCs/>
          <w:sz w:val="22"/>
          <w:szCs w:val="22"/>
          <w:lang w:val="fr-FR"/>
        </w:rPr>
        <w:t xml:space="preserve"> allouée à la fourniture de l</w:t>
      </w:r>
      <w:r w:rsidR="008E532B">
        <w:rPr>
          <w:rFonts w:ascii="Arial" w:hAnsi="Arial" w:cs="Arial"/>
          <w:bCs/>
          <w:sz w:val="22"/>
          <w:szCs w:val="22"/>
          <w:lang w:val="fr-FR"/>
        </w:rPr>
        <w:t>’</w:t>
      </w:r>
      <w:r w:rsidRPr="00E9365E">
        <w:rPr>
          <w:rFonts w:ascii="Arial" w:hAnsi="Arial" w:cs="Arial"/>
          <w:bCs/>
          <w:sz w:val="22"/>
          <w:szCs w:val="22"/>
          <w:lang w:val="fr-FR"/>
        </w:rPr>
        <w:t>assistance internationale, une activité qui amélior</w:t>
      </w:r>
      <w:r>
        <w:rPr>
          <w:rFonts w:ascii="Arial" w:hAnsi="Arial" w:cs="Arial"/>
          <w:bCs/>
          <w:sz w:val="22"/>
          <w:szCs w:val="22"/>
          <w:lang w:val="fr-FR"/>
        </w:rPr>
        <w:t>e</w:t>
      </w:r>
      <w:r w:rsidRPr="00E9365E">
        <w:rPr>
          <w:rFonts w:ascii="Arial" w:hAnsi="Arial" w:cs="Arial"/>
          <w:bCs/>
          <w:sz w:val="22"/>
          <w:szCs w:val="22"/>
          <w:lang w:val="fr-FR"/>
        </w:rPr>
        <w:t xml:space="preserve"> directement la sauvegarde liée aux domaines d</w:t>
      </w:r>
      <w:r>
        <w:rPr>
          <w:rFonts w:ascii="Arial" w:hAnsi="Arial" w:cs="Arial"/>
          <w:bCs/>
          <w:sz w:val="22"/>
          <w:szCs w:val="22"/>
          <w:lang w:val="fr-FR"/>
        </w:rPr>
        <w:t>e</w:t>
      </w:r>
      <w:r w:rsidRPr="00E9365E">
        <w:rPr>
          <w:rFonts w:ascii="Arial" w:hAnsi="Arial" w:cs="Arial"/>
          <w:bCs/>
          <w:sz w:val="22"/>
          <w:szCs w:val="22"/>
          <w:lang w:val="fr-FR"/>
        </w:rPr>
        <w:t xml:space="preserve"> travail social, environnemental et éducatif. La délégation</w:t>
      </w:r>
      <w:r>
        <w:rPr>
          <w:rFonts w:ascii="Arial" w:hAnsi="Arial" w:cs="Arial"/>
          <w:bCs/>
          <w:sz w:val="22"/>
          <w:szCs w:val="22"/>
          <w:lang w:val="fr-FR"/>
        </w:rPr>
        <w:t xml:space="preserve"> pensait</w:t>
      </w:r>
      <w:r w:rsidRPr="00E9365E">
        <w:rPr>
          <w:rFonts w:ascii="Arial" w:hAnsi="Arial" w:cs="Arial"/>
          <w:bCs/>
          <w:sz w:val="22"/>
          <w:szCs w:val="22"/>
          <w:lang w:val="fr-FR"/>
        </w:rPr>
        <w:t xml:space="preserve"> que l</w:t>
      </w:r>
      <w:r w:rsidR="008E532B">
        <w:rPr>
          <w:rFonts w:ascii="Arial" w:hAnsi="Arial" w:cs="Arial"/>
          <w:bCs/>
          <w:sz w:val="22"/>
          <w:szCs w:val="22"/>
          <w:lang w:val="fr-FR"/>
        </w:rPr>
        <w:t>’</w:t>
      </w:r>
      <w:r>
        <w:rPr>
          <w:rFonts w:ascii="Arial" w:hAnsi="Arial" w:cs="Arial"/>
          <w:bCs/>
          <w:sz w:val="22"/>
          <w:szCs w:val="22"/>
          <w:lang w:val="fr-FR"/>
        </w:rPr>
        <w:t>on répondait mieux à l</w:t>
      </w:r>
      <w:r w:rsidR="008E532B">
        <w:rPr>
          <w:rFonts w:ascii="Arial" w:hAnsi="Arial" w:cs="Arial"/>
          <w:bCs/>
          <w:sz w:val="22"/>
          <w:szCs w:val="22"/>
          <w:lang w:val="fr-FR"/>
        </w:rPr>
        <w:t>’</w:t>
      </w:r>
      <w:r w:rsidRPr="00E9365E">
        <w:rPr>
          <w:rFonts w:ascii="Arial" w:hAnsi="Arial" w:cs="Arial"/>
          <w:bCs/>
          <w:sz w:val="22"/>
          <w:szCs w:val="22"/>
          <w:lang w:val="fr-FR"/>
        </w:rPr>
        <w:t>objectif de la Convention</w:t>
      </w:r>
      <w:r>
        <w:rPr>
          <w:rFonts w:ascii="Arial" w:hAnsi="Arial" w:cs="Arial"/>
          <w:bCs/>
          <w:sz w:val="22"/>
          <w:szCs w:val="22"/>
          <w:lang w:val="fr-FR"/>
        </w:rPr>
        <w:t xml:space="preserve"> </w:t>
      </w:r>
      <w:r w:rsidRPr="00E9365E">
        <w:rPr>
          <w:rFonts w:ascii="Arial" w:hAnsi="Arial" w:cs="Arial"/>
          <w:bCs/>
          <w:sz w:val="22"/>
          <w:szCs w:val="22"/>
          <w:lang w:val="fr-FR"/>
        </w:rPr>
        <w:t>en donnant la priorité aux points 1 et 3 du projet de plan. Les Pays</w:t>
      </w:r>
      <w:r>
        <w:rPr>
          <w:rFonts w:ascii="Arial" w:hAnsi="Arial" w:cs="Arial"/>
          <w:bCs/>
          <w:sz w:val="22"/>
          <w:szCs w:val="22"/>
          <w:lang w:val="fr-FR"/>
        </w:rPr>
        <w:noBreakHyphen/>
      </w:r>
      <w:r w:rsidRPr="00E9365E">
        <w:rPr>
          <w:rFonts w:ascii="Arial" w:hAnsi="Arial" w:cs="Arial"/>
          <w:bCs/>
          <w:sz w:val="22"/>
          <w:szCs w:val="22"/>
          <w:lang w:val="fr-FR"/>
        </w:rPr>
        <w:t>Bas ont également salué la priorité accordée au suivi et à l</w:t>
      </w:r>
      <w:r w:rsidR="008E532B">
        <w:rPr>
          <w:rFonts w:ascii="Arial" w:hAnsi="Arial" w:cs="Arial"/>
          <w:bCs/>
          <w:sz w:val="22"/>
          <w:szCs w:val="22"/>
          <w:lang w:val="fr-FR"/>
        </w:rPr>
        <w:t>’</w:t>
      </w:r>
      <w:r w:rsidRPr="00E9365E">
        <w:rPr>
          <w:rFonts w:ascii="Arial" w:hAnsi="Arial" w:cs="Arial"/>
          <w:bCs/>
          <w:sz w:val="22"/>
          <w:szCs w:val="22"/>
          <w:lang w:val="fr-FR"/>
        </w:rPr>
        <w:t>évaluation des programmes d</w:t>
      </w:r>
      <w:r w:rsidR="008E532B">
        <w:rPr>
          <w:rFonts w:ascii="Arial" w:hAnsi="Arial" w:cs="Arial"/>
          <w:bCs/>
          <w:sz w:val="22"/>
          <w:szCs w:val="22"/>
          <w:lang w:val="fr-FR"/>
        </w:rPr>
        <w:t>’</w:t>
      </w:r>
      <w:r w:rsidRPr="00E9365E">
        <w:rPr>
          <w:rFonts w:ascii="Arial" w:hAnsi="Arial" w:cs="Arial"/>
          <w:bCs/>
          <w:sz w:val="22"/>
          <w:szCs w:val="22"/>
          <w:lang w:val="fr-FR"/>
        </w:rPr>
        <w:t xml:space="preserve">assistance internationale. Ils ont demandé au Secrétariat de publier les résultats de ces activités, chaque fois que possible, dans un contenu </w:t>
      </w:r>
      <w:r>
        <w:rPr>
          <w:rFonts w:ascii="Arial" w:hAnsi="Arial" w:cs="Arial"/>
          <w:bCs/>
          <w:sz w:val="22"/>
          <w:szCs w:val="22"/>
          <w:lang w:val="fr-FR"/>
        </w:rPr>
        <w:t>adapté au</w:t>
      </w:r>
      <w:r w:rsidRPr="00E9365E">
        <w:rPr>
          <w:rFonts w:ascii="Arial" w:hAnsi="Arial" w:cs="Arial"/>
          <w:bCs/>
          <w:sz w:val="22"/>
          <w:szCs w:val="22"/>
          <w:lang w:val="fr-FR"/>
        </w:rPr>
        <w:t xml:space="preserve"> public. Il </w:t>
      </w:r>
      <w:r>
        <w:rPr>
          <w:rFonts w:ascii="Arial" w:hAnsi="Arial" w:cs="Arial"/>
          <w:bCs/>
          <w:sz w:val="22"/>
          <w:szCs w:val="22"/>
          <w:lang w:val="fr-FR"/>
        </w:rPr>
        <w:t>était</w:t>
      </w:r>
      <w:r w:rsidRPr="00E9365E">
        <w:rPr>
          <w:rFonts w:ascii="Arial" w:hAnsi="Arial" w:cs="Arial"/>
          <w:bCs/>
          <w:sz w:val="22"/>
          <w:szCs w:val="22"/>
          <w:lang w:val="fr-FR"/>
        </w:rPr>
        <w:t xml:space="preserve"> </w:t>
      </w:r>
      <w:r>
        <w:rPr>
          <w:rFonts w:ascii="Arial" w:hAnsi="Arial" w:cs="Arial"/>
          <w:bCs/>
          <w:sz w:val="22"/>
          <w:szCs w:val="22"/>
          <w:lang w:val="fr-FR"/>
        </w:rPr>
        <w:t>évident</w:t>
      </w:r>
      <w:r w:rsidRPr="00E9365E">
        <w:rPr>
          <w:rFonts w:ascii="Arial" w:hAnsi="Arial" w:cs="Arial"/>
          <w:bCs/>
          <w:sz w:val="22"/>
          <w:szCs w:val="22"/>
          <w:lang w:val="fr-FR"/>
        </w:rPr>
        <w:t xml:space="preserve"> que la discussion en cours sur le système d</w:t>
      </w:r>
      <w:r w:rsidR="008E532B">
        <w:rPr>
          <w:rFonts w:ascii="Arial" w:hAnsi="Arial" w:cs="Arial"/>
          <w:bCs/>
          <w:sz w:val="22"/>
          <w:szCs w:val="22"/>
          <w:lang w:val="fr-FR"/>
        </w:rPr>
        <w:t>’</w:t>
      </w:r>
      <w:r w:rsidRPr="00E9365E">
        <w:rPr>
          <w:rFonts w:ascii="Arial" w:hAnsi="Arial" w:cs="Arial"/>
          <w:bCs/>
          <w:sz w:val="22"/>
          <w:szCs w:val="22"/>
          <w:lang w:val="fr-FR"/>
        </w:rPr>
        <w:t>inscription sur les listes et les ressources financières et humaines nécessaires</w:t>
      </w:r>
      <w:r>
        <w:rPr>
          <w:rFonts w:ascii="Arial" w:hAnsi="Arial" w:cs="Arial"/>
          <w:bCs/>
          <w:sz w:val="22"/>
          <w:szCs w:val="22"/>
          <w:lang w:val="fr-FR"/>
        </w:rPr>
        <w:t xml:space="preserve"> étaient </w:t>
      </w:r>
      <w:r w:rsidRPr="00E9365E">
        <w:rPr>
          <w:rFonts w:ascii="Arial" w:hAnsi="Arial" w:cs="Arial"/>
          <w:bCs/>
          <w:sz w:val="22"/>
          <w:szCs w:val="22"/>
          <w:lang w:val="fr-FR"/>
        </w:rPr>
        <w:t xml:space="preserve">indissociables des activités et du financement de la Convention. La conséquence du renforcement du mécanisme </w:t>
      </w:r>
      <w:r>
        <w:rPr>
          <w:rFonts w:ascii="Arial" w:hAnsi="Arial" w:cs="Arial"/>
          <w:bCs/>
          <w:sz w:val="22"/>
          <w:szCs w:val="22"/>
          <w:lang w:val="fr-FR"/>
        </w:rPr>
        <w:t>d</w:t>
      </w:r>
      <w:r w:rsidR="008E532B">
        <w:rPr>
          <w:rFonts w:ascii="Arial" w:hAnsi="Arial" w:cs="Arial"/>
          <w:bCs/>
          <w:sz w:val="22"/>
          <w:szCs w:val="22"/>
          <w:lang w:val="fr-FR"/>
        </w:rPr>
        <w:t>’</w:t>
      </w:r>
      <w:r w:rsidRPr="00E9365E">
        <w:rPr>
          <w:rFonts w:ascii="Arial" w:hAnsi="Arial" w:cs="Arial"/>
          <w:bCs/>
          <w:sz w:val="22"/>
          <w:szCs w:val="22"/>
          <w:lang w:val="fr-FR"/>
        </w:rPr>
        <w:t>inscription</w:t>
      </w:r>
      <w:r>
        <w:rPr>
          <w:rFonts w:ascii="Arial" w:hAnsi="Arial" w:cs="Arial"/>
          <w:bCs/>
          <w:sz w:val="22"/>
          <w:szCs w:val="22"/>
          <w:lang w:val="fr-FR"/>
        </w:rPr>
        <w:t xml:space="preserve"> </w:t>
      </w:r>
      <w:r w:rsidRPr="00E9365E">
        <w:rPr>
          <w:rFonts w:ascii="Arial" w:hAnsi="Arial" w:cs="Arial"/>
          <w:bCs/>
          <w:sz w:val="22"/>
          <w:szCs w:val="22"/>
          <w:lang w:val="fr-FR"/>
        </w:rPr>
        <w:t>était qu</w:t>
      </w:r>
      <w:r w:rsidR="008E532B">
        <w:rPr>
          <w:rFonts w:ascii="Arial" w:hAnsi="Arial" w:cs="Arial"/>
          <w:bCs/>
          <w:sz w:val="22"/>
          <w:szCs w:val="22"/>
          <w:lang w:val="fr-FR"/>
        </w:rPr>
        <w:t>’</w:t>
      </w:r>
      <w:r w:rsidRPr="00E9365E">
        <w:rPr>
          <w:rFonts w:ascii="Arial" w:hAnsi="Arial" w:cs="Arial"/>
          <w:bCs/>
          <w:sz w:val="22"/>
          <w:szCs w:val="22"/>
          <w:lang w:val="fr-FR"/>
        </w:rPr>
        <w:t>une plus grande assistance serait requise de la part du Secrétariat, ce qui signifiait qu</w:t>
      </w:r>
      <w:r w:rsidR="008E532B">
        <w:rPr>
          <w:rFonts w:ascii="Arial" w:hAnsi="Arial" w:cs="Arial"/>
          <w:bCs/>
          <w:sz w:val="22"/>
          <w:szCs w:val="22"/>
          <w:lang w:val="fr-FR"/>
        </w:rPr>
        <w:t>’</w:t>
      </w:r>
      <w:r w:rsidRPr="00E9365E">
        <w:rPr>
          <w:rFonts w:ascii="Arial" w:hAnsi="Arial" w:cs="Arial"/>
          <w:bCs/>
          <w:sz w:val="22"/>
          <w:szCs w:val="22"/>
          <w:lang w:val="fr-FR"/>
        </w:rPr>
        <w:t xml:space="preserve">une plus grande partie du budget </w:t>
      </w:r>
      <w:r>
        <w:rPr>
          <w:rFonts w:ascii="Arial" w:hAnsi="Arial" w:cs="Arial"/>
          <w:bCs/>
          <w:sz w:val="22"/>
          <w:szCs w:val="22"/>
          <w:lang w:val="fr-FR"/>
        </w:rPr>
        <w:t>serait consacrée</w:t>
      </w:r>
      <w:r w:rsidRPr="00E9365E">
        <w:rPr>
          <w:rFonts w:ascii="Arial" w:hAnsi="Arial" w:cs="Arial"/>
          <w:bCs/>
          <w:sz w:val="22"/>
          <w:szCs w:val="22"/>
          <w:lang w:val="fr-FR"/>
        </w:rPr>
        <w:t xml:space="preserve"> aux listes</w:t>
      </w:r>
      <w:r>
        <w:rPr>
          <w:rFonts w:ascii="Arial" w:hAnsi="Arial" w:cs="Arial"/>
          <w:bCs/>
          <w:sz w:val="22"/>
          <w:szCs w:val="22"/>
          <w:lang w:val="fr-FR"/>
        </w:rPr>
        <w:t xml:space="preserve"> et </w:t>
      </w:r>
      <w:r w:rsidRPr="00E9365E">
        <w:rPr>
          <w:rFonts w:ascii="Arial" w:hAnsi="Arial" w:cs="Arial"/>
          <w:bCs/>
          <w:sz w:val="22"/>
          <w:szCs w:val="22"/>
          <w:lang w:val="fr-FR"/>
        </w:rPr>
        <w:t>qu</w:t>
      </w:r>
      <w:r w:rsidR="008E532B">
        <w:rPr>
          <w:rFonts w:ascii="Arial" w:hAnsi="Arial" w:cs="Arial"/>
          <w:bCs/>
          <w:sz w:val="22"/>
          <w:szCs w:val="22"/>
          <w:lang w:val="fr-FR"/>
        </w:rPr>
        <w:t>’</w:t>
      </w:r>
      <w:r w:rsidRPr="00E9365E">
        <w:rPr>
          <w:rFonts w:ascii="Arial" w:hAnsi="Arial" w:cs="Arial"/>
          <w:bCs/>
          <w:sz w:val="22"/>
          <w:szCs w:val="22"/>
          <w:lang w:val="fr-FR"/>
        </w:rPr>
        <w:t xml:space="preserve">une moindre partie </w:t>
      </w:r>
      <w:r>
        <w:rPr>
          <w:rFonts w:ascii="Arial" w:hAnsi="Arial" w:cs="Arial"/>
          <w:bCs/>
          <w:sz w:val="22"/>
          <w:szCs w:val="22"/>
          <w:lang w:val="fr-FR"/>
        </w:rPr>
        <w:t xml:space="preserve">le serait </w:t>
      </w:r>
      <w:r w:rsidRPr="00E9365E">
        <w:rPr>
          <w:rFonts w:ascii="Arial" w:hAnsi="Arial" w:cs="Arial"/>
          <w:bCs/>
          <w:sz w:val="22"/>
          <w:szCs w:val="22"/>
          <w:lang w:val="fr-FR"/>
        </w:rPr>
        <w:t>à d</w:t>
      </w:r>
      <w:r w:rsidR="008E532B">
        <w:rPr>
          <w:rFonts w:ascii="Arial" w:hAnsi="Arial" w:cs="Arial"/>
          <w:bCs/>
          <w:sz w:val="22"/>
          <w:szCs w:val="22"/>
          <w:lang w:val="fr-FR"/>
        </w:rPr>
        <w:t>’</w:t>
      </w:r>
      <w:r w:rsidRPr="00E9365E">
        <w:rPr>
          <w:rFonts w:ascii="Arial" w:hAnsi="Arial" w:cs="Arial"/>
          <w:bCs/>
          <w:sz w:val="22"/>
          <w:szCs w:val="22"/>
          <w:lang w:val="fr-FR"/>
        </w:rPr>
        <w:t>autres activités. Cette évolution était déjà visible dans cette proposition et</w:t>
      </w:r>
      <w:r>
        <w:rPr>
          <w:rFonts w:ascii="Arial" w:hAnsi="Arial" w:cs="Arial"/>
          <w:bCs/>
          <w:sz w:val="22"/>
          <w:szCs w:val="22"/>
          <w:lang w:val="fr-FR"/>
        </w:rPr>
        <w:t xml:space="preserve"> l</w:t>
      </w:r>
      <w:r w:rsidR="008E532B">
        <w:rPr>
          <w:rFonts w:ascii="Arial" w:hAnsi="Arial" w:cs="Arial"/>
          <w:bCs/>
          <w:sz w:val="22"/>
          <w:szCs w:val="22"/>
          <w:lang w:val="fr-FR"/>
        </w:rPr>
        <w:t>’</w:t>
      </w:r>
      <w:r>
        <w:rPr>
          <w:rFonts w:ascii="Arial" w:hAnsi="Arial" w:cs="Arial"/>
          <w:bCs/>
          <w:sz w:val="22"/>
          <w:szCs w:val="22"/>
          <w:lang w:val="fr-FR"/>
        </w:rPr>
        <w:t>avait été</w:t>
      </w:r>
      <w:r w:rsidRPr="00E9365E">
        <w:rPr>
          <w:rFonts w:ascii="Arial" w:hAnsi="Arial" w:cs="Arial"/>
          <w:bCs/>
          <w:sz w:val="22"/>
          <w:szCs w:val="22"/>
          <w:lang w:val="fr-FR"/>
        </w:rPr>
        <w:t xml:space="preserve"> au cours des dix dernières années, l</w:t>
      </w:r>
      <w:r w:rsidR="008E532B">
        <w:rPr>
          <w:rFonts w:ascii="Arial" w:hAnsi="Arial" w:cs="Arial"/>
          <w:bCs/>
          <w:sz w:val="22"/>
          <w:szCs w:val="22"/>
          <w:lang w:val="fr-FR"/>
        </w:rPr>
        <w:t>’</w:t>
      </w:r>
      <w:r w:rsidRPr="00E9365E">
        <w:rPr>
          <w:rFonts w:ascii="Arial" w:hAnsi="Arial" w:cs="Arial"/>
          <w:bCs/>
          <w:sz w:val="22"/>
          <w:szCs w:val="22"/>
          <w:lang w:val="fr-FR"/>
        </w:rPr>
        <w:t>Assemblée devrait donc garder un œil attentif. Les Pays</w:t>
      </w:r>
      <w:r>
        <w:rPr>
          <w:rFonts w:ascii="Arial" w:hAnsi="Arial" w:cs="Arial"/>
          <w:bCs/>
          <w:sz w:val="22"/>
          <w:szCs w:val="22"/>
          <w:lang w:val="fr-FR"/>
        </w:rPr>
        <w:noBreakHyphen/>
      </w:r>
      <w:r w:rsidRPr="00E9365E">
        <w:rPr>
          <w:rFonts w:ascii="Arial" w:hAnsi="Arial" w:cs="Arial"/>
          <w:bCs/>
          <w:sz w:val="22"/>
          <w:szCs w:val="22"/>
          <w:lang w:val="fr-FR"/>
        </w:rPr>
        <w:t>Bas souten</w:t>
      </w:r>
      <w:r>
        <w:rPr>
          <w:rFonts w:ascii="Arial" w:hAnsi="Arial" w:cs="Arial"/>
          <w:bCs/>
          <w:sz w:val="22"/>
          <w:szCs w:val="22"/>
          <w:lang w:val="fr-FR"/>
        </w:rPr>
        <w:t>aient</w:t>
      </w:r>
      <w:r w:rsidRPr="00E9365E">
        <w:rPr>
          <w:rFonts w:ascii="Arial" w:hAnsi="Arial" w:cs="Arial"/>
          <w:bCs/>
          <w:sz w:val="22"/>
          <w:szCs w:val="22"/>
          <w:lang w:val="fr-FR"/>
        </w:rPr>
        <w:t xml:space="preserve"> le projet de décision. Cependant, ils estim</w:t>
      </w:r>
      <w:r>
        <w:rPr>
          <w:rFonts w:ascii="Arial" w:hAnsi="Arial" w:cs="Arial"/>
          <w:bCs/>
          <w:sz w:val="22"/>
          <w:szCs w:val="22"/>
          <w:lang w:val="fr-FR"/>
        </w:rPr>
        <w:t>ai</w:t>
      </w:r>
      <w:r w:rsidRPr="00E9365E">
        <w:rPr>
          <w:rFonts w:ascii="Arial" w:hAnsi="Arial" w:cs="Arial"/>
          <w:bCs/>
          <w:sz w:val="22"/>
          <w:szCs w:val="22"/>
          <w:lang w:val="fr-FR"/>
        </w:rPr>
        <w:t xml:space="preserve">ent que la redistribution actuelle en direction des </w:t>
      </w:r>
      <w:r>
        <w:rPr>
          <w:rFonts w:ascii="Arial" w:hAnsi="Arial" w:cs="Arial"/>
          <w:bCs/>
          <w:sz w:val="22"/>
          <w:szCs w:val="22"/>
          <w:lang w:val="fr-FR"/>
        </w:rPr>
        <w:t>l</w:t>
      </w:r>
      <w:r w:rsidRPr="00E9365E">
        <w:rPr>
          <w:rFonts w:ascii="Arial" w:hAnsi="Arial" w:cs="Arial"/>
          <w:bCs/>
          <w:sz w:val="22"/>
          <w:szCs w:val="22"/>
          <w:lang w:val="fr-FR"/>
        </w:rPr>
        <w:t>istes devrait s</w:t>
      </w:r>
      <w:r w:rsidR="008E532B">
        <w:rPr>
          <w:rFonts w:ascii="Arial" w:hAnsi="Arial" w:cs="Arial"/>
          <w:bCs/>
          <w:sz w:val="22"/>
          <w:szCs w:val="22"/>
          <w:lang w:val="fr-FR"/>
        </w:rPr>
        <w:t>’</w:t>
      </w:r>
      <w:r w:rsidRPr="00E9365E">
        <w:rPr>
          <w:rFonts w:ascii="Arial" w:hAnsi="Arial" w:cs="Arial"/>
          <w:bCs/>
          <w:sz w:val="22"/>
          <w:szCs w:val="22"/>
          <w:lang w:val="fr-FR"/>
        </w:rPr>
        <w:t xml:space="preserve">arrêter à ce stade, car les </w:t>
      </w:r>
      <w:r>
        <w:rPr>
          <w:rFonts w:ascii="Arial" w:hAnsi="Arial" w:cs="Arial"/>
          <w:bCs/>
          <w:sz w:val="22"/>
          <w:szCs w:val="22"/>
          <w:lang w:val="fr-FR"/>
        </w:rPr>
        <w:t>l</w:t>
      </w:r>
      <w:r w:rsidRPr="00E9365E">
        <w:rPr>
          <w:rFonts w:ascii="Arial" w:hAnsi="Arial" w:cs="Arial"/>
          <w:bCs/>
          <w:sz w:val="22"/>
          <w:szCs w:val="22"/>
          <w:lang w:val="fr-FR"/>
        </w:rPr>
        <w:t xml:space="preserve">istes </w:t>
      </w:r>
      <w:r>
        <w:rPr>
          <w:rFonts w:ascii="Arial" w:hAnsi="Arial" w:cs="Arial"/>
          <w:bCs/>
          <w:sz w:val="22"/>
          <w:szCs w:val="22"/>
          <w:lang w:val="fr-FR"/>
        </w:rPr>
        <w:t>étaient</w:t>
      </w:r>
      <w:r w:rsidRPr="00E9365E">
        <w:rPr>
          <w:rFonts w:ascii="Arial" w:hAnsi="Arial" w:cs="Arial"/>
          <w:bCs/>
          <w:sz w:val="22"/>
          <w:szCs w:val="22"/>
          <w:lang w:val="fr-FR"/>
        </w:rPr>
        <w:t xml:space="preserve"> un moyen et non une fin.</w:t>
      </w:r>
    </w:p>
    <w:p w14:paraId="04EB3A8E" w14:textId="3C8C25A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Notant</w:t>
      </w:r>
      <w:r w:rsidRPr="0023610B">
        <w:rPr>
          <w:rFonts w:ascii="Arial" w:hAnsi="Arial" w:cs="Arial"/>
          <w:bCs/>
          <w:sz w:val="22"/>
          <w:szCs w:val="22"/>
          <w:lang w:val="fr-FR"/>
        </w:rPr>
        <w:t xml:space="preserve"> que cette Convention allait bientôt atteindre sa majorité</w:t>
      </w:r>
      <w:r>
        <w:rPr>
          <w:rFonts w:ascii="Arial" w:hAnsi="Arial" w:cs="Arial"/>
          <w:bCs/>
          <w:sz w:val="22"/>
          <w:szCs w:val="22"/>
          <w:lang w:val="fr-FR"/>
        </w:rPr>
        <w:t>,</w:t>
      </w:r>
      <w:r w:rsidRPr="0023610B">
        <w:rPr>
          <w:rFonts w:ascii="Arial" w:hAnsi="Arial" w:cs="Arial"/>
          <w:bCs/>
          <w:sz w:val="22"/>
          <w:szCs w:val="22"/>
          <w:lang w:val="fr-FR"/>
        </w:rPr>
        <w:t xml:space="preserve"> puisqu</w:t>
      </w:r>
      <w:r w:rsidR="008E532B">
        <w:rPr>
          <w:rFonts w:ascii="Arial" w:hAnsi="Arial" w:cs="Arial"/>
          <w:bCs/>
          <w:sz w:val="22"/>
          <w:szCs w:val="22"/>
          <w:lang w:val="fr-FR"/>
        </w:rPr>
        <w:t>’</w:t>
      </w:r>
      <w:r w:rsidRPr="0023610B">
        <w:rPr>
          <w:rFonts w:ascii="Arial" w:hAnsi="Arial" w:cs="Arial"/>
          <w:bCs/>
          <w:sz w:val="22"/>
          <w:szCs w:val="22"/>
          <w:lang w:val="fr-FR"/>
        </w:rPr>
        <w:t>elle</w:t>
      </w:r>
      <w:r>
        <w:rPr>
          <w:rFonts w:ascii="Arial" w:hAnsi="Arial" w:cs="Arial"/>
          <w:bCs/>
          <w:sz w:val="22"/>
          <w:szCs w:val="22"/>
          <w:lang w:val="fr-FR"/>
        </w:rPr>
        <w:t xml:space="preserve"> </w:t>
      </w:r>
      <w:r w:rsidRPr="0023610B">
        <w:rPr>
          <w:rFonts w:ascii="Arial" w:hAnsi="Arial" w:cs="Arial"/>
          <w:bCs/>
          <w:sz w:val="22"/>
          <w:szCs w:val="22"/>
          <w:lang w:val="fr-FR"/>
        </w:rPr>
        <w:t>célébr</w:t>
      </w:r>
      <w:r>
        <w:rPr>
          <w:rFonts w:ascii="Arial" w:hAnsi="Arial" w:cs="Arial"/>
          <w:bCs/>
          <w:sz w:val="22"/>
          <w:szCs w:val="22"/>
          <w:lang w:val="fr-FR"/>
        </w:rPr>
        <w:t>erait</w:t>
      </w:r>
      <w:r w:rsidRPr="0023610B">
        <w:rPr>
          <w:rFonts w:ascii="Arial" w:hAnsi="Arial" w:cs="Arial"/>
          <w:bCs/>
          <w:sz w:val="22"/>
          <w:szCs w:val="22"/>
          <w:lang w:val="fr-FR"/>
        </w:rPr>
        <w:t xml:space="preserve"> ses vingt années de succès</w:t>
      </w:r>
      <w:r>
        <w:rPr>
          <w:rFonts w:ascii="Arial" w:hAnsi="Arial" w:cs="Arial"/>
          <w:bCs/>
          <w:sz w:val="22"/>
          <w:szCs w:val="22"/>
          <w:lang w:val="fr-FR"/>
        </w:rPr>
        <w:t>, la</w:t>
      </w:r>
      <w:r w:rsidRPr="0023610B">
        <w:rPr>
          <w:rFonts w:ascii="Arial" w:hAnsi="Arial" w:cs="Arial"/>
          <w:bCs/>
          <w:sz w:val="22"/>
          <w:szCs w:val="22"/>
          <w:lang w:val="fr-FR"/>
        </w:rPr>
        <w:t xml:space="preserve"> délégation de la </w:t>
      </w:r>
      <w:r w:rsidRPr="0023610B">
        <w:rPr>
          <w:rFonts w:ascii="Arial" w:hAnsi="Arial" w:cs="Arial"/>
          <w:b/>
          <w:sz w:val="22"/>
          <w:szCs w:val="22"/>
          <w:lang w:val="fr-FR"/>
        </w:rPr>
        <w:t>Jamaïque</w:t>
      </w:r>
      <w:r>
        <w:rPr>
          <w:rFonts w:ascii="Arial" w:hAnsi="Arial" w:cs="Arial"/>
          <w:bCs/>
          <w:sz w:val="22"/>
          <w:szCs w:val="22"/>
          <w:lang w:val="fr-FR"/>
        </w:rPr>
        <w:t xml:space="preserve"> a </w:t>
      </w:r>
      <w:r w:rsidRPr="0023610B">
        <w:rPr>
          <w:rFonts w:ascii="Arial" w:hAnsi="Arial" w:cs="Arial"/>
          <w:bCs/>
          <w:sz w:val="22"/>
          <w:szCs w:val="22"/>
          <w:lang w:val="fr-FR"/>
        </w:rPr>
        <w:t>félicit</w:t>
      </w:r>
      <w:r>
        <w:rPr>
          <w:rFonts w:ascii="Arial" w:hAnsi="Arial" w:cs="Arial"/>
          <w:bCs/>
          <w:sz w:val="22"/>
          <w:szCs w:val="22"/>
          <w:lang w:val="fr-FR"/>
        </w:rPr>
        <w:t>é</w:t>
      </w:r>
      <w:r w:rsidRPr="0023610B">
        <w:rPr>
          <w:rFonts w:ascii="Arial" w:hAnsi="Arial" w:cs="Arial"/>
          <w:bCs/>
          <w:sz w:val="22"/>
          <w:szCs w:val="22"/>
          <w:lang w:val="fr-FR"/>
        </w:rPr>
        <w:t xml:space="preserve"> le Secrétariat pour son travail. La Jamaïque soutenait les suggestions </w:t>
      </w:r>
      <w:r>
        <w:rPr>
          <w:rFonts w:ascii="Arial" w:hAnsi="Arial" w:cs="Arial"/>
          <w:bCs/>
          <w:sz w:val="22"/>
          <w:szCs w:val="22"/>
          <w:lang w:val="fr-FR"/>
        </w:rPr>
        <w:t xml:space="preserve">formulées </w:t>
      </w:r>
      <w:r w:rsidRPr="0023610B">
        <w:rPr>
          <w:rFonts w:ascii="Arial" w:hAnsi="Arial" w:cs="Arial"/>
          <w:bCs/>
          <w:sz w:val="22"/>
          <w:szCs w:val="22"/>
          <w:lang w:val="fr-FR"/>
        </w:rPr>
        <w:t>pour allouer les fonds par pourcentage. Elle approuv</w:t>
      </w:r>
      <w:r>
        <w:rPr>
          <w:rFonts w:ascii="Arial" w:hAnsi="Arial" w:cs="Arial"/>
          <w:bCs/>
          <w:sz w:val="22"/>
          <w:szCs w:val="22"/>
          <w:lang w:val="fr-FR"/>
        </w:rPr>
        <w:t>ait</w:t>
      </w:r>
      <w:r w:rsidRPr="0023610B">
        <w:rPr>
          <w:rFonts w:ascii="Arial" w:hAnsi="Arial" w:cs="Arial"/>
          <w:bCs/>
          <w:sz w:val="22"/>
          <w:szCs w:val="22"/>
          <w:lang w:val="fr-FR"/>
        </w:rPr>
        <w:t xml:space="preserve"> l</w:t>
      </w:r>
      <w:r w:rsidR="008E532B">
        <w:rPr>
          <w:rFonts w:ascii="Arial" w:hAnsi="Arial" w:cs="Arial"/>
          <w:bCs/>
          <w:sz w:val="22"/>
          <w:szCs w:val="22"/>
          <w:lang w:val="fr-FR"/>
        </w:rPr>
        <w:t>’</w:t>
      </w:r>
      <w:r w:rsidRPr="0023610B">
        <w:rPr>
          <w:rFonts w:ascii="Arial" w:hAnsi="Arial" w:cs="Arial"/>
          <w:bCs/>
          <w:sz w:val="22"/>
          <w:szCs w:val="22"/>
          <w:lang w:val="fr-FR"/>
        </w:rPr>
        <w:t>approche selon laquelle ces ressources seraient dirigées vers des projets spécifiques dans les domaines où les besoins et l</w:t>
      </w:r>
      <w:r w:rsidR="008E532B">
        <w:rPr>
          <w:rFonts w:ascii="Arial" w:hAnsi="Arial" w:cs="Arial"/>
          <w:bCs/>
          <w:sz w:val="22"/>
          <w:szCs w:val="22"/>
          <w:lang w:val="fr-FR"/>
        </w:rPr>
        <w:t>’</w:t>
      </w:r>
      <w:r w:rsidRPr="0023610B">
        <w:rPr>
          <w:rFonts w:ascii="Arial" w:hAnsi="Arial" w:cs="Arial"/>
          <w:bCs/>
          <w:sz w:val="22"/>
          <w:szCs w:val="22"/>
          <w:lang w:val="fr-FR"/>
        </w:rPr>
        <w:t xml:space="preserve">impact </w:t>
      </w:r>
      <w:r>
        <w:rPr>
          <w:rFonts w:ascii="Arial" w:hAnsi="Arial" w:cs="Arial"/>
          <w:bCs/>
          <w:sz w:val="22"/>
          <w:szCs w:val="22"/>
          <w:lang w:val="fr-FR"/>
        </w:rPr>
        <w:t>sont</w:t>
      </w:r>
      <w:r w:rsidRPr="0023610B">
        <w:rPr>
          <w:rFonts w:ascii="Arial" w:hAnsi="Arial" w:cs="Arial"/>
          <w:bCs/>
          <w:sz w:val="22"/>
          <w:szCs w:val="22"/>
          <w:lang w:val="fr-FR"/>
        </w:rPr>
        <w:t xml:space="preserve"> les plus grands. À ce</w:t>
      </w:r>
      <w:r>
        <w:rPr>
          <w:rFonts w:ascii="Arial" w:hAnsi="Arial" w:cs="Arial"/>
          <w:bCs/>
          <w:sz w:val="22"/>
          <w:szCs w:val="22"/>
          <w:lang w:val="fr-FR"/>
        </w:rPr>
        <w:t xml:space="preserve"> sujet</w:t>
      </w:r>
      <w:r w:rsidRPr="0023610B">
        <w:rPr>
          <w:rFonts w:ascii="Arial" w:hAnsi="Arial" w:cs="Arial"/>
          <w:bCs/>
          <w:sz w:val="22"/>
          <w:szCs w:val="22"/>
          <w:lang w:val="fr-FR"/>
        </w:rPr>
        <w:t>, la délégation a souligné</w:t>
      </w:r>
      <w:r>
        <w:rPr>
          <w:rFonts w:ascii="Arial" w:hAnsi="Arial" w:cs="Arial"/>
          <w:bCs/>
          <w:sz w:val="22"/>
          <w:szCs w:val="22"/>
          <w:lang w:val="fr-FR"/>
        </w:rPr>
        <w:t xml:space="preserve">, </w:t>
      </w:r>
      <w:r w:rsidRPr="0023610B">
        <w:rPr>
          <w:rFonts w:ascii="Arial" w:hAnsi="Arial" w:cs="Arial"/>
          <w:bCs/>
          <w:sz w:val="22"/>
          <w:szCs w:val="22"/>
          <w:lang w:val="fr-FR"/>
        </w:rPr>
        <w:t>entre autres priorités importantes de l</w:t>
      </w:r>
      <w:r w:rsidR="008E532B">
        <w:rPr>
          <w:rFonts w:ascii="Arial" w:hAnsi="Arial" w:cs="Arial"/>
          <w:bCs/>
          <w:sz w:val="22"/>
          <w:szCs w:val="22"/>
          <w:lang w:val="fr-FR"/>
        </w:rPr>
        <w:t>’</w:t>
      </w:r>
      <w:r w:rsidRPr="0023610B">
        <w:rPr>
          <w:rFonts w:ascii="Arial" w:hAnsi="Arial" w:cs="Arial"/>
          <w:bCs/>
          <w:sz w:val="22"/>
          <w:szCs w:val="22"/>
          <w:lang w:val="fr-FR"/>
        </w:rPr>
        <w:t>UNESCO</w:t>
      </w:r>
      <w:r>
        <w:rPr>
          <w:rFonts w:ascii="Arial" w:hAnsi="Arial" w:cs="Arial"/>
          <w:bCs/>
          <w:sz w:val="22"/>
          <w:szCs w:val="22"/>
          <w:lang w:val="fr-FR"/>
        </w:rPr>
        <w:t>, d</w:t>
      </w:r>
      <w:r w:rsidR="008E532B">
        <w:rPr>
          <w:rFonts w:ascii="Arial" w:hAnsi="Arial" w:cs="Arial"/>
          <w:bCs/>
          <w:sz w:val="22"/>
          <w:szCs w:val="22"/>
          <w:lang w:val="fr-FR"/>
        </w:rPr>
        <w:t>’</w:t>
      </w:r>
      <w:r>
        <w:rPr>
          <w:rFonts w:ascii="Arial" w:hAnsi="Arial" w:cs="Arial"/>
          <w:bCs/>
          <w:sz w:val="22"/>
          <w:szCs w:val="22"/>
          <w:lang w:val="fr-FR"/>
        </w:rPr>
        <w:t xml:space="preserve">une part, </w:t>
      </w:r>
      <w:r w:rsidRPr="0023610B">
        <w:rPr>
          <w:rFonts w:ascii="Arial" w:hAnsi="Arial" w:cs="Arial"/>
          <w:bCs/>
          <w:sz w:val="22"/>
          <w:szCs w:val="22"/>
          <w:lang w:val="fr-FR"/>
        </w:rPr>
        <w:t xml:space="preserve">les besoins des PEID en matière de </w:t>
      </w:r>
      <w:r w:rsidR="00E908E2">
        <w:rPr>
          <w:rFonts w:ascii="Arial" w:eastAsia="SimSun" w:hAnsi="Arial" w:cs="Arial"/>
          <w:bCs/>
          <w:sz w:val="22"/>
          <w:szCs w:val="22"/>
          <w:lang w:val="fr-FR" w:eastAsia="en-US"/>
        </w:rPr>
        <w:t xml:space="preserve">patrimoine culturel </w:t>
      </w:r>
      <w:proofErr w:type="gramStart"/>
      <w:r w:rsidR="00E908E2">
        <w:rPr>
          <w:rFonts w:ascii="Arial" w:eastAsia="SimSun" w:hAnsi="Arial" w:cs="Arial"/>
          <w:bCs/>
          <w:sz w:val="22"/>
          <w:szCs w:val="22"/>
          <w:lang w:val="fr-FR" w:eastAsia="en-US"/>
        </w:rPr>
        <w:t>immatériel</w:t>
      </w:r>
      <w:r w:rsidR="00E908E2" w:rsidRPr="001C722F">
        <w:rPr>
          <w:rFonts w:ascii="Arial" w:eastAsia="SimSun" w:hAnsi="Arial" w:cs="Arial"/>
          <w:bCs/>
          <w:sz w:val="22"/>
          <w:szCs w:val="22"/>
          <w:lang w:val="fr-FR" w:eastAsia="en-US"/>
        </w:rPr>
        <w:t xml:space="preserve"> </w:t>
      </w:r>
      <w:r w:rsidRPr="0023610B">
        <w:rPr>
          <w:rFonts w:ascii="Arial" w:hAnsi="Arial" w:cs="Arial"/>
          <w:bCs/>
          <w:sz w:val="22"/>
          <w:szCs w:val="22"/>
          <w:lang w:val="fr-FR"/>
        </w:rPr>
        <w:t>,</w:t>
      </w:r>
      <w:proofErr w:type="gramEnd"/>
      <w:r w:rsidRPr="0023610B">
        <w:rPr>
          <w:rFonts w:ascii="Arial" w:hAnsi="Arial" w:cs="Arial"/>
          <w:bCs/>
          <w:sz w:val="22"/>
          <w:szCs w:val="22"/>
          <w:lang w:val="fr-FR"/>
        </w:rPr>
        <w:t xml:space="preserve"> qui rest</w:t>
      </w:r>
      <w:r>
        <w:rPr>
          <w:rFonts w:ascii="Arial" w:hAnsi="Arial" w:cs="Arial"/>
          <w:bCs/>
          <w:sz w:val="22"/>
          <w:szCs w:val="22"/>
          <w:lang w:val="fr-FR"/>
        </w:rPr>
        <w:t>ent</w:t>
      </w:r>
      <w:r w:rsidRPr="0023610B">
        <w:rPr>
          <w:rFonts w:ascii="Arial" w:hAnsi="Arial" w:cs="Arial"/>
          <w:bCs/>
          <w:sz w:val="22"/>
          <w:szCs w:val="22"/>
          <w:lang w:val="fr-FR"/>
        </w:rPr>
        <w:t xml:space="preserve"> particulièrement vulnérables aux catastrophes naturelles, une menace </w:t>
      </w:r>
      <w:r>
        <w:rPr>
          <w:rFonts w:ascii="Arial" w:hAnsi="Arial" w:cs="Arial"/>
          <w:bCs/>
          <w:sz w:val="22"/>
          <w:szCs w:val="22"/>
          <w:lang w:val="fr-FR"/>
        </w:rPr>
        <w:t xml:space="preserve">en augmentation </w:t>
      </w:r>
      <w:r w:rsidRPr="0023610B">
        <w:rPr>
          <w:rFonts w:ascii="Arial" w:hAnsi="Arial" w:cs="Arial"/>
          <w:bCs/>
          <w:sz w:val="22"/>
          <w:szCs w:val="22"/>
          <w:lang w:val="fr-FR"/>
        </w:rPr>
        <w:t>exponentielle avec le changement climatique</w:t>
      </w:r>
      <w:r>
        <w:rPr>
          <w:rFonts w:ascii="Arial" w:hAnsi="Arial" w:cs="Arial"/>
          <w:bCs/>
          <w:sz w:val="22"/>
          <w:szCs w:val="22"/>
          <w:lang w:val="fr-FR"/>
        </w:rPr>
        <w:t>,</w:t>
      </w:r>
      <w:r w:rsidRPr="0023610B">
        <w:rPr>
          <w:rFonts w:ascii="Arial" w:hAnsi="Arial" w:cs="Arial"/>
          <w:bCs/>
          <w:sz w:val="22"/>
          <w:szCs w:val="22"/>
          <w:lang w:val="fr-FR"/>
        </w:rPr>
        <w:t xml:space="preserve"> </w:t>
      </w:r>
      <w:r>
        <w:rPr>
          <w:rFonts w:ascii="Arial" w:hAnsi="Arial" w:cs="Arial"/>
          <w:bCs/>
          <w:sz w:val="22"/>
          <w:szCs w:val="22"/>
          <w:lang w:val="fr-FR"/>
        </w:rPr>
        <w:t>et, d</w:t>
      </w:r>
      <w:r w:rsidR="008E532B">
        <w:rPr>
          <w:rFonts w:ascii="Arial" w:hAnsi="Arial" w:cs="Arial"/>
          <w:bCs/>
          <w:sz w:val="22"/>
          <w:szCs w:val="22"/>
          <w:lang w:val="fr-FR"/>
        </w:rPr>
        <w:t>’</w:t>
      </w:r>
      <w:r>
        <w:rPr>
          <w:rFonts w:ascii="Arial" w:hAnsi="Arial" w:cs="Arial"/>
          <w:bCs/>
          <w:sz w:val="22"/>
          <w:szCs w:val="22"/>
          <w:lang w:val="fr-FR"/>
        </w:rPr>
        <w:t>autre part,</w:t>
      </w:r>
      <w:r w:rsidRPr="0023610B">
        <w:rPr>
          <w:rFonts w:ascii="Arial" w:hAnsi="Arial" w:cs="Arial"/>
          <w:bCs/>
          <w:sz w:val="22"/>
          <w:szCs w:val="22"/>
          <w:lang w:val="fr-FR"/>
        </w:rPr>
        <w:t xml:space="preserve"> la </w:t>
      </w:r>
      <w:r>
        <w:rPr>
          <w:rFonts w:ascii="Arial" w:hAnsi="Arial" w:cs="Arial"/>
          <w:bCs/>
          <w:sz w:val="22"/>
          <w:szCs w:val="22"/>
          <w:lang w:val="fr-FR"/>
        </w:rPr>
        <w:t>p</w:t>
      </w:r>
      <w:r w:rsidRPr="0023610B">
        <w:rPr>
          <w:rFonts w:ascii="Arial" w:hAnsi="Arial" w:cs="Arial"/>
          <w:bCs/>
          <w:sz w:val="22"/>
          <w:szCs w:val="22"/>
          <w:lang w:val="fr-FR"/>
        </w:rPr>
        <w:t>riorité Afrique. La délégation appréci</w:t>
      </w:r>
      <w:r>
        <w:rPr>
          <w:rFonts w:ascii="Arial" w:hAnsi="Arial" w:cs="Arial"/>
          <w:bCs/>
          <w:sz w:val="22"/>
          <w:szCs w:val="22"/>
          <w:lang w:val="fr-FR"/>
        </w:rPr>
        <w:t>ait</w:t>
      </w:r>
      <w:r w:rsidRPr="0023610B">
        <w:rPr>
          <w:rFonts w:ascii="Arial" w:hAnsi="Arial" w:cs="Arial"/>
          <w:bCs/>
          <w:sz w:val="22"/>
          <w:szCs w:val="22"/>
          <w:lang w:val="fr-FR"/>
        </w:rPr>
        <w:t xml:space="preserve"> et souten</w:t>
      </w:r>
      <w:r>
        <w:rPr>
          <w:rFonts w:ascii="Arial" w:hAnsi="Arial" w:cs="Arial"/>
          <w:bCs/>
          <w:sz w:val="22"/>
          <w:szCs w:val="22"/>
          <w:lang w:val="fr-FR"/>
        </w:rPr>
        <w:t>ait</w:t>
      </w:r>
      <w:r w:rsidRPr="0023610B">
        <w:rPr>
          <w:rFonts w:ascii="Arial" w:hAnsi="Arial" w:cs="Arial"/>
          <w:bCs/>
          <w:sz w:val="22"/>
          <w:szCs w:val="22"/>
          <w:lang w:val="fr-FR"/>
        </w:rPr>
        <w:t xml:space="preserve"> l</w:t>
      </w:r>
      <w:r w:rsidR="008E532B">
        <w:rPr>
          <w:rFonts w:ascii="Arial" w:hAnsi="Arial" w:cs="Arial"/>
          <w:bCs/>
          <w:sz w:val="22"/>
          <w:szCs w:val="22"/>
          <w:lang w:val="fr-FR"/>
        </w:rPr>
        <w:t>’</w:t>
      </w:r>
      <w:r w:rsidRPr="0023610B">
        <w:rPr>
          <w:rFonts w:ascii="Arial" w:hAnsi="Arial" w:cs="Arial"/>
          <w:bCs/>
          <w:sz w:val="22"/>
          <w:szCs w:val="22"/>
          <w:lang w:val="fr-FR"/>
        </w:rPr>
        <w:t xml:space="preserve">utilisation des fonds pour entreprendre des stratégies visant à accroître la réactivité du Secrétariat en général et, plus spécifiquement, à mieux soutenir les États parties dans leurs efforts nationaux de sauvegarde du </w:t>
      </w:r>
      <w:r w:rsidR="00E908E2">
        <w:rPr>
          <w:rFonts w:ascii="Arial" w:eastAsia="SimSun" w:hAnsi="Arial" w:cs="Arial"/>
          <w:bCs/>
          <w:sz w:val="22"/>
          <w:szCs w:val="22"/>
          <w:lang w:val="fr-FR" w:eastAsia="en-US"/>
        </w:rPr>
        <w:t>patrimoine culturel immatériel</w:t>
      </w:r>
      <w:r w:rsidRPr="0023610B">
        <w:rPr>
          <w:rFonts w:ascii="Arial" w:hAnsi="Arial" w:cs="Arial"/>
          <w:bCs/>
          <w:sz w:val="22"/>
          <w:szCs w:val="22"/>
          <w:lang w:val="fr-FR"/>
        </w:rPr>
        <w:t>. Elle a souligné l</w:t>
      </w:r>
      <w:r w:rsidR="008E532B">
        <w:rPr>
          <w:rFonts w:ascii="Arial" w:hAnsi="Arial" w:cs="Arial"/>
          <w:bCs/>
          <w:sz w:val="22"/>
          <w:szCs w:val="22"/>
          <w:lang w:val="fr-FR"/>
        </w:rPr>
        <w:t>’</w:t>
      </w:r>
      <w:r w:rsidRPr="0023610B">
        <w:rPr>
          <w:rFonts w:ascii="Arial" w:hAnsi="Arial" w:cs="Arial"/>
          <w:bCs/>
          <w:sz w:val="22"/>
          <w:szCs w:val="22"/>
          <w:lang w:val="fr-FR"/>
        </w:rPr>
        <w:t>importance de remédier au déséquilibre de la représentation des ONG par région grâce à l</w:t>
      </w:r>
      <w:r w:rsidR="008E532B">
        <w:rPr>
          <w:rFonts w:ascii="Arial" w:hAnsi="Arial" w:cs="Arial"/>
          <w:bCs/>
          <w:sz w:val="22"/>
          <w:szCs w:val="22"/>
          <w:lang w:val="fr-FR"/>
        </w:rPr>
        <w:t>’</w:t>
      </w:r>
      <w:r w:rsidRPr="0023610B">
        <w:rPr>
          <w:rFonts w:ascii="Arial" w:hAnsi="Arial" w:cs="Arial"/>
          <w:bCs/>
          <w:sz w:val="22"/>
          <w:szCs w:val="22"/>
          <w:lang w:val="fr-FR"/>
        </w:rPr>
        <w:t xml:space="preserve">utilisation du Fonds pour assurer une formation </w:t>
      </w:r>
      <w:r>
        <w:rPr>
          <w:rFonts w:ascii="Arial" w:hAnsi="Arial" w:cs="Arial"/>
          <w:bCs/>
          <w:sz w:val="22"/>
          <w:szCs w:val="22"/>
          <w:lang w:val="fr-FR"/>
        </w:rPr>
        <w:t>de</w:t>
      </w:r>
      <w:r w:rsidRPr="0023610B">
        <w:rPr>
          <w:rFonts w:ascii="Arial" w:hAnsi="Arial" w:cs="Arial"/>
          <w:bCs/>
          <w:sz w:val="22"/>
          <w:szCs w:val="22"/>
          <w:lang w:val="fr-FR"/>
        </w:rPr>
        <w:t xml:space="preserve"> développement des capacités. La délégation </w:t>
      </w:r>
      <w:r>
        <w:rPr>
          <w:rFonts w:ascii="Arial" w:hAnsi="Arial" w:cs="Arial"/>
          <w:bCs/>
          <w:sz w:val="22"/>
          <w:szCs w:val="22"/>
          <w:lang w:val="fr-FR"/>
        </w:rPr>
        <w:t xml:space="preserve">approuvait </w:t>
      </w:r>
      <w:r w:rsidRPr="0023610B">
        <w:rPr>
          <w:rFonts w:ascii="Arial" w:hAnsi="Arial" w:cs="Arial"/>
          <w:bCs/>
          <w:sz w:val="22"/>
          <w:szCs w:val="22"/>
          <w:lang w:val="fr-FR"/>
        </w:rPr>
        <w:t>également les allocations</w:t>
      </w:r>
      <w:r>
        <w:rPr>
          <w:rFonts w:ascii="Arial" w:hAnsi="Arial" w:cs="Arial"/>
          <w:bCs/>
          <w:sz w:val="22"/>
          <w:szCs w:val="22"/>
          <w:lang w:val="fr-FR"/>
        </w:rPr>
        <w:t xml:space="preserve"> de fonds</w:t>
      </w:r>
      <w:r w:rsidRPr="0023610B">
        <w:rPr>
          <w:rFonts w:ascii="Arial" w:hAnsi="Arial" w:cs="Arial"/>
          <w:bCs/>
          <w:sz w:val="22"/>
          <w:szCs w:val="22"/>
          <w:lang w:val="fr-FR"/>
        </w:rPr>
        <w:t xml:space="preserve">, </w:t>
      </w:r>
      <w:r>
        <w:rPr>
          <w:rFonts w:ascii="Arial" w:hAnsi="Arial" w:cs="Arial"/>
          <w:bCs/>
          <w:sz w:val="22"/>
          <w:szCs w:val="22"/>
          <w:lang w:val="fr-FR"/>
        </w:rPr>
        <w:t>le cas échéant</w:t>
      </w:r>
      <w:r w:rsidRPr="0023610B">
        <w:rPr>
          <w:rFonts w:ascii="Arial" w:hAnsi="Arial" w:cs="Arial"/>
          <w:bCs/>
          <w:sz w:val="22"/>
          <w:szCs w:val="22"/>
          <w:lang w:val="fr-FR"/>
        </w:rPr>
        <w:t>, pour développe</w:t>
      </w:r>
      <w:r>
        <w:rPr>
          <w:rFonts w:ascii="Arial" w:hAnsi="Arial" w:cs="Arial"/>
          <w:bCs/>
          <w:sz w:val="22"/>
          <w:szCs w:val="22"/>
          <w:lang w:val="fr-FR"/>
        </w:rPr>
        <w:t>r</w:t>
      </w:r>
      <w:r w:rsidRPr="0023610B">
        <w:rPr>
          <w:rFonts w:ascii="Arial" w:hAnsi="Arial" w:cs="Arial"/>
          <w:bCs/>
          <w:sz w:val="22"/>
          <w:szCs w:val="22"/>
          <w:lang w:val="fr-FR"/>
        </w:rPr>
        <w:t xml:space="preserve"> les capacités de suivi et d</w:t>
      </w:r>
      <w:r w:rsidR="008E532B">
        <w:rPr>
          <w:rFonts w:ascii="Arial" w:hAnsi="Arial" w:cs="Arial"/>
          <w:bCs/>
          <w:sz w:val="22"/>
          <w:szCs w:val="22"/>
          <w:lang w:val="fr-FR"/>
        </w:rPr>
        <w:t>’</w:t>
      </w:r>
      <w:r w:rsidRPr="0023610B">
        <w:rPr>
          <w:rFonts w:ascii="Arial" w:hAnsi="Arial" w:cs="Arial"/>
          <w:bCs/>
          <w:sz w:val="22"/>
          <w:szCs w:val="22"/>
          <w:lang w:val="fr-FR"/>
        </w:rPr>
        <w:t>évaluation des projets. La Jamaïque s</w:t>
      </w:r>
      <w:r w:rsidR="008E532B">
        <w:rPr>
          <w:rFonts w:ascii="Arial" w:hAnsi="Arial" w:cs="Arial"/>
          <w:bCs/>
          <w:sz w:val="22"/>
          <w:szCs w:val="22"/>
          <w:lang w:val="fr-FR"/>
        </w:rPr>
        <w:t>’</w:t>
      </w:r>
      <w:r w:rsidRPr="0023610B">
        <w:rPr>
          <w:rFonts w:ascii="Arial" w:hAnsi="Arial" w:cs="Arial"/>
          <w:bCs/>
          <w:sz w:val="22"/>
          <w:szCs w:val="22"/>
          <w:lang w:val="fr-FR"/>
        </w:rPr>
        <w:t>est félicitée de l</w:t>
      </w:r>
      <w:r w:rsidR="008E532B">
        <w:rPr>
          <w:rFonts w:ascii="Arial" w:hAnsi="Arial" w:cs="Arial"/>
          <w:bCs/>
          <w:sz w:val="22"/>
          <w:szCs w:val="22"/>
          <w:lang w:val="fr-FR"/>
        </w:rPr>
        <w:t>’</w:t>
      </w:r>
      <w:r w:rsidRPr="0023610B">
        <w:rPr>
          <w:rFonts w:ascii="Arial" w:hAnsi="Arial" w:cs="Arial"/>
          <w:bCs/>
          <w:sz w:val="22"/>
          <w:szCs w:val="22"/>
          <w:lang w:val="fr-FR"/>
        </w:rPr>
        <w:t>ensemble des changements qui permettr</w:t>
      </w:r>
      <w:r>
        <w:rPr>
          <w:rFonts w:ascii="Arial" w:hAnsi="Arial" w:cs="Arial"/>
          <w:bCs/>
          <w:sz w:val="22"/>
          <w:szCs w:val="22"/>
          <w:lang w:val="fr-FR"/>
        </w:rPr>
        <w:t>aie</w:t>
      </w:r>
      <w:r w:rsidRPr="0023610B">
        <w:rPr>
          <w:rFonts w:ascii="Arial" w:hAnsi="Arial" w:cs="Arial"/>
          <w:bCs/>
          <w:sz w:val="22"/>
          <w:szCs w:val="22"/>
          <w:lang w:val="fr-FR"/>
        </w:rPr>
        <w:t>nt d</w:t>
      </w:r>
      <w:r w:rsidR="008E532B">
        <w:rPr>
          <w:rFonts w:ascii="Arial" w:hAnsi="Arial" w:cs="Arial"/>
          <w:bCs/>
          <w:sz w:val="22"/>
          <w:szCs w:val="22"/>
          <w:lang w:val="fr-FR"/>
        </w:rPr>
        <w:t>’</w:t>
      </w:r>
      <w:r w:rsidRPr="0023610B">
        <w:rPr>
          <w:rFonts w:ascii="Arial" w:hAnsi="Arial" w:cs="Arial"/>
          <w:bCs/>
          <w:sz w:val="22"/>
          <w:szCs w:val="22"/>
          <w:lang w:val="fr-FR"/>
        </w:rPr>
        <w:t xml:space="preserve">accéder plus facilement aux fonds nécessaires et de les distribuer en temps voulu, tout en étant gérés efficacement et </w:t>
      </w:r>
      <w:r>
        <w:rPr>
          <w:rFonts w:ascii="Arial" w:hAnsi="Arial" w:cs="Arial"/>
          <w:bCs/>
          <w:sz w:val="22"/>
          <w:szCs w:val="22"/>
          <w:lang w:val="fr-FR"/>
        </w:rPr>
        <w:t>soumis à une obligation redditionnelle</w:t>
      </w:r>
      <w:r w:rsidRPr="0023610B">
        <w:rPr>
          <w:rFonts w:ascii="Arial" w:hAnsi="Arial" w:cs="Arial"/>
          <w:bCs/>
          <w:sz w:val="22"/>
          <w:szCs w:val="22"/>
          <w:lang w:val="fr-FR"/>
        </w:rPr>
        <w:t>. Elle a salué l</w:t>
      </w:r>
      <w:r w:rsidR="008E532B">
        <w:rPr>
          <w:rFonts w:ascii="Arial" w:hAnsi="Arial" w:cs="Arial"/>
          <w:bCs/>
          <w:sz w:val="22"/>
          <w:szCs w:val="22"/>
          <w:lang w:val="fr-FR"/>
        </w:rPr>
        <w:t>’</w:t>
      </w:r>
      <w:r w:rsidRPr="0023610B">
        <w:rPr>
          <w:rFonts w:ascii="Arial" w:hAnsi="Arial" w:cs="Arial"/>
          <w:bCs/>
          <w:sz w:val="22"/>
          <w:szCs w:val="22"/>
          <w:lang w:val="fr-FR"/>
        </w:rPr>
        <w:t>esprit de souplesse et d</w:t>
      </w:r>
      <w:r w:rsidR="008E532B">
        <w:rPr>
          <w:rFonts w:ascii="Arial" w:hAnsi="Arial" w:cs="Arial"/>
          <w:bCs/>
          <w:sz w:val="22"/>
          <w:szCs w:val="22"/>
          <w:lang w:val="fr-FR"/>
        </w:rPr>
        <w:t>’</w:t>
      </w:r>
      <w:r w:rsidRPr="0023610B">
        <w:rPr>
          <w:rFonts w:ascii="Arial" w:hAnsi="Arial" w:cs="Arial"/>
          <w:bCs/>
          <w:sz w:val="22"/>
          <w:szCs w:val="22"/>
          <w:lang w:val="fr-FR"/>
        </w:rPr>
        <w:t xml:space="preserve">innovation qui </w:t>
      </w:r>
      <w:r>
        <w:rPr>
          <w:rFonts w:ascii="Arial" w:hAnsi="Arial" w:cs="Arial"/>
          <w:bCs/>
          <w:sz w:val="22"/>
          <w:szCs w:val="22"/>
          <w:lang w:val="fr-FR"/>
        </w:rPr>
        <w:t>régissait</w:t>
      </w:r>
      <w:r w:rsidRPr="0023610B">
        <w:rPr>
          <w:rFonts w:ascii="Arial" w:hAnsi="Arial" w:cs="Arial"/>
          <w:bCs/>
          <w:sz w:val="22"/>
          <w:szCs w:val="22"/>
          <w:lang w:val="fr-FR"/>
        </w:rPr>
        <w:t xml:space="preserve"> l</w:t>
      </w:r>
      <w:r w:rsidR="008E532B">
        <w:rPr>
          <w:rFonts w:ascii="Arial" w:hAnsi="Arial" w:cs="Arial"/>
          <w:bCs/>
          <w:sz w:val="22"/>
          <w:szCs w:val="22"/>
          <w:lang w:val="fr-FR"/>
        </w:rPr>
        <w:t>’</w:t>
      </w:r>
      <w:r w:rsidRPr="0023610B">
        <w:rPr>
          <w:rFonts w:ascii="Arial" w:hAnsi="Arial" w:cs="Arial"/>
          <w:bCs/>
          <w:sz w:val="22"/>
          <w:szCs w:val="22"/>
          <w:lang w:val="fr-FR"/>
        </w:rPr>
        <w:t xml:space="preserve">administration du Fonds. La Jamaïque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est réjouie de </w:t>
      </w:r>
      <w:r w:rsidRPr="0023610B">
        <w:rPr>
          <w:rFonts w:ascii="Arial" w:hAnsi="Arial" w:cs="Arial"/>
          <w:bCs/>
          <w:sz w:val="22"/>
          <w:szCs w:val="22"/>
          <w:lang w:val="fr-FR"/>
        </w:rPr>
        <w:t>la perspective de bénéficier de conseils d</w:t>
      </w:r>
      <w:r w:rsidR="008E532B">
        <w:rPr>
          <w:rFonts w:ascii="Arial" w:hAnsi="Arial" w:cs="Arial"/>
          <w:bCs/>
          <w:sz w:val="22"/>
          <w:szCs w:val="22"/>
          <w:lang w:val="fr-FR"/>
        </w:rPr>
        <w:t>’</w:t>
      </w:r>
      <w:r w:rsidRPr="0023610B">
        <w:rPr>
          <w:rFonts w:ascii="Arial" w:hAnsi="Arial" w:cs="Arial"/>
          <w:bCs/>
          <w:sz w:val="22"/>
          <w:szCs w:val="22"/>
          <w:lang w:val="fr-FR"/>
        </w:rPr>
        <w:t>experts avant les soumissions et a salué le développement d</w:t>
      </w:r>
      <w:r w:rsidR="008E532B">
        <w:rPr>
          <w:rFonts w:ascii="Arial" w:hAnsi="Arial" w:cs="Arial"/>
          <w:bCs/>
          <w:sz w:val="22"/>
          <w:szCs w:val="22"/>
          <w:lang w:val="fr-FR"/>
        </w:rPr>
        <w:t>’</w:t>
      </w:r>
      <w:r w:rsidRPr="0023610B">
        <w:rPr>
          <w:rFonts w:ascii="Arial" w:hAnsi="Arial" w:cs="Arial"/>
          <w:bCs/>
          <w:sz w:val="22"/>
          <w:szCs w:val="22"/>
          <w:lang w:val="fr-FR"/>
        </w:rPr>
        <w:t xml:space="preserve">initiatives thématiques, notamment les actions </w:t>
      </w:r>
      <w:r>
        <w:rPr>
          <w:rFonts w:ascii="Arial" w:hAnsi="Arial" w:cs="Arial"/>
          <w:bCs/>
          <w:sz w:val="22"/>
          <w:szCs w:val="22"/>
          <w:lang w:val="fr-FR"/>
        </w:rPr>
        <w:t>en matière de</w:t>
      </w:r>
      <w:r w:rsidRPr="0023610B">
        <w:rPr>
          <w:rFonts w:ascii="Arial" w:hAnsi="Arial" w:cs="Arial"/>
          <w:bCs/>
          <w:sz w:val="22"/>
          <w:szCs w:val="22"/>
          <w:lang w:val="fr-FR"/>
        </w:rPr>
        <w:t xml:space="preserve">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23610B">
        <w:rPr>
          <w:rFonts w:ascii="Arial" w:hAnsi="Arial" w:cs="Arial"/>
          <w:bCs/>
          <w:sz w:val="22"/>
          <w:szCs w:val="22"/>
          <w:lang w:val="fr-FR"/>
        </w:rPr>
        <w:t>dans l</w:t>
      </w:r>
      <w:r w:rsidR="008E532B">
        <w:rPr>
          <w:rFonts w:ascii="Arial" w:hAnsi="Arial" w:cs="Arial"/>
          <w:bCs/>
          <w:sz w:val="22"/>
          <w:szCs w:val="22"/>
          <w:lang w:val="fr-FR"/>
        </w:rPr>
        <w:t>’</w:t>
      </w:r>
      <w:r w:rsidRPr="0023610B">
        <w:rPr>
          <w:rFonts w:ascii="Arial" w:hAnsi="Arial" w:cs="Arial"/>
          <w:bCs/>
          <w:sz w:val="22"/>
          <w:szCs w:val="22"/>
          <w:lang w:val="fr-FR"/>
        </w:rPr>
        <w:t xml:space="preserve">éducation formelle et non formelle et </w:t>
      </w:r>
      <w:r>
        <w:rPr>
          <w:rFonts w:ascii="Arial" w:hAnsi="Arial" w:cs="Arial"/>
          <w:bCs/>
          <w:sz w:val="22"/>
          <w:szCs w:val="22"/>
          <w:lang w:val="fr-FR"/>
        </w:rPr>
        <w:t>le</w:t>
      </w:r>
      <w:r w:rsidRPr="0023610B">
        <w:rPr>
          <w:rFonts w:ascii="Arial" w:hAnsi="Arial" w:cs="Arial"/>
          <w:bCs/>
          <w:sz w:val="22"/>
          <w:szCs w:val="22"/>
          <w:lang w:val="fr-FR"/>
        </w:rPr>
        <w:t xml:space="preserv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23610B">
        <w:rPr>
          <w:rFonts w:ascii="Arial" w:hAnsi="Arial" w:cs="Arial"/>
          <w:bCs/>
          <w:sz w:val="22"/>
          <w:szCs w:val="22"/>
          <w:lang w:val="fr-FR"/>
        </w:rPr>
        <w:t>dans les situations d</w:t>
      </w:r>
      <w:r w:rsidR="008E532B">
        <w:rPr>
          <w:rFonts w:ascii="Arial" w:hAnsi="Arial" w:cs="Arial"/>
          <w:bCs/>
          <w:sz w:val="22"/>
          <w:szCs w:val="22"/>
          <w:lang w:val="fr-FR"/>
        </w:rPr>
        <w:t>’</w:t>
      </w:r>
      <w:r w:rsidRPr="0023610B">
        <w:rPr>
          <w:rFonts w:ascii="Arial" w:hAnsi="Arial" w:cs="Arial"/>
          <w:bCs/>
          <w:sz w:val="22"/>
          <w:szCs w:val="22"/>
          <w:lang w:val="fr-FR"/>
        </w:rPr>
        <w:t>urgence. La Jamaïque a félicité les États parties pour leurs contributions volontaires et le Secrétariat pour la bonne gestion du Fonds. Elle a regretté que des baisses aient été signalées, mais elle s</w:t>
      </w:r>
      <w:r w:rsidR="008E532B">
        <w:rPr>
          <w:rFonts w:ascii="Arial" w:hAnsi="Arial" w:cs="Arial"/>
          <w:bCs/>
          <w:sz w:val="22"/>
          <w:szCs w:val="22"/>
          <w:lang w:val="fr-FR"/>
        </w:rPr>
        <w:t>’</w:t>
      </w:r>
      <w:r>
        <w:rPr>
          <w:rFonts w:ascii="Arial" w:hAnsi="Arial" w:cs="Arial"/>
          <w:bCs/>
          <w:sz w:val="22"/>
          <w:szCs w:val="22"/>
          <w:lang w:val="fr-FR"/>
        </w:rPr>
        <w:t>est réjouie</w:t>
      </w:r>
      <w:r w:rsidRPr="0023610B">
        <w:rPr>
          <w:rFonts w:ascii="Arial" w:hAnsi="Arial" w:cs="Arial"/>
          <w:bCs/>
          <w:sz w:val="22"/>
          <w:szCs w:val="22"/>
          <w:lang w:val="fr-FR"/>
        </w:rPr>
        <w:t xml:space="preserve"> de retrouver le rythme habituel.</w:t>
      </w:r>
    </w:p>
    <w:p w14:paraId="4F31FCA7"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Étant parvenue au terme de la liste des orateurs, la </w:t>
      </w:r>
      <w:r w:rsidRPr="00D42DA9">
        <w:rPr>
          <w:rFonts w:ascii="Arial" w:hAnsi="Arial" w:cs="Arial"/>
          <w:b/>
          <w:sz w:val="22"/>
          <w:szCs w:val="22"/>
          <w:lang w:val="fr-FR"/>
        </w:rPr>
        <w:t>Présidente</w:t>
      </w:r>
      <w:r>
        <w:rPr>
          <w:rFonts w:ascii="Arial" w:hAnsi="Arial" w:cs="Arial"/>
          <w:bCs/>
          <w:sz w:val="22"/>
          <w:szCs w:val="22"/>
          <w:lang w:val="fr-FR"/>
        </w:rPr>
        <w:t xml:space="preserve"> a invité le </w:t>
      </w:r>
      <w:r w:rsidRPr="00D42DA9">
        <w:rPr>
          <w:rFonts w:ascii="Arial" w:hAnsi="Arial" w:cs="Arial"/>
          <w:bCs/>
          <w:sz w:val="22"/>
          <w:szCs w:val="22"/>
          <w:lang w:val="fr-FR"/>
        </w:rPr>
        <w:t>Secréta</w:t>
      </w:r>
      <w:r>
        <w:rPr>
          <w:rFonts w:ascii="Arial" w:hAnsi="Arial" w:cs="Arial"/>
          <w:bCs/>
          <w:sz w:val="22"/>
          <w:szCs w:val="22"/>
          <w:lang w:val="fr-FR"/>
        </w:rPr>
        <w:t>riat à répondre aux questions.</w:t>
      </w:r>
    </w:p>
    <w:p w14:paraId="4BB66CCE" w14:textId="6390C92C" w:rsidR="00D9653F" w:rsidRPr="00484C49" w:rsidRDefault="008D65C3"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
          <w:sz w:val="22"/>
          <w:szCs w:val="22"/>
          <w:lang w:val="fr-FR"/>
        </w:rPr>
        <w:t>Mme</w:t>
      </w:r>
      <w:r w:rsidR="00D9653F">
        <w:rPr>
          <w:rFonts w:ascii="Arial" w:hAnsi="Arial" w:cs="Arial"/>
          <w:b/>
          <w:sz w:val="22"/>
          <w:szCs w:val="22"/>
          <w:lang w:val="fr-FR"/>
        </w:rPr>
        <w:t> </w:t>
      </w:r>
      <w:r w:rsidR="00D9653F" w:rsidRPr="00484C49">
        <w:rPr>
          <w:rFonts w:ascii="Arial" w:hAnsi="Arial" w:cs="Arial"/>
          <w:b/>
          <w:sz w:val="22"/>
          <w:szCs w:val="22"/>
          <w:lang w:val="fr-FR"/>
        </w:rPr>
        <w:t>Fumiko Ohinata</w:t>
      </w:r>
      <w:r w:rsidR="00D9653F" w:rsidRPr="00484C49">
        <w:rPr>
          <w:rFonts w:ascii="Arial" w:hAnsi="Arial" w:cs="Arial"/>
          <w:bCs/>
          <w:sz w:val="22"/>
          <w:szCs w:val="22"/>
          <w:lang w:val="fr-FR"/>
        </w:rPr>
        <w:t xml:space="preserve"> a</w:t>
      </w:r>
      <w:r w:rsidR="00D9653F">
        <w:rPr>
          <w:rFonts w:ascii="Arial" w:hAnsi="Arial" w:cs="Arial"/>
          <w:bCs/>
          <w:sz w:val="22"/>
          <w:szCs w:val="22"/>
          <w:lang w:val="fr-FR"/>
        </w:rPr>
        <w:t>vait</w:t>
      </w:r>
      <w:r w:rsidR="00D9653F" w:rsidRPr="00484C49">
        <w:rPr>
          <w:rFonts w:ascii="Arial" w:hAnsi="Arial" w:cs="Arial"/>
          <w:bCs/>
          <w:sz w:val="22"/>
          <w:szCs w:val="22"/>
          <w:lang w:val="fr-FR"/>
        </w:rPr>
        <w:t xml:space="preserve"> noté trois questions. Elle </w:t>
      </w:r>
      <w:r w:rsidR="00D9653F">
        <w:rPr>
          <w:rFonts w:ascii="Arial" w:hAnsi="Arial" w:cs="Arial"/>
          <w:bCs/>
          <w:sz w:val="22"/>
          <w:szCs w:val="22"/>
          <w:lang w:val="fr-FR"/>
        </w:rPr>
        <w:t xml:space="preserve">a </w:t>
      </w:r>
      <w:r w:rsidR="00D9653F" w:rsidRPr="00484C49">
        <w:rPr>
          <w:rFonts w:ascii="Arial" w:hAnsi="Arial" w:cs="Arial"/>
          <w:bCs/>
          <w:sz w:val="22"/>
          <w:szCs w:val="22"/>
          <w:lang w:val="fr-FR"/>
        </w:rPr>
        <w:t>expliqu</w:t>
      </w:r>
      <w:r w:rsidR="00D9653F">
        <w:rPr>
          <w:rFonts w:ascii="Arial" w:hAnsi="Arial" w:cs="Arial"/>
          <w:bCs/>
          <w:sz w:val="22"/>
          <w:szCs w:val="22"/>
          <w:lang w:val="fr-FR"/>
        </w:rPr>
        <w:t>é</w:t>
      </w:r>
      <w:r w:rsidR="00D9653F" w:rsidRPr="00484C49">
        <w:rPr>
          <w:rFonts w:ascii="Arial" w:hAnsi="Arial" w:cs="Arial"/>
          <w:bCs/>
          <w:sz w:val="22"/>
          <w:szCs w:val="22"/>
          <w:lang w:val="fr-FR"/>
        </w:rPr>
        <w:t xml:space="preserve"> que la proposition du Secrétariat vis</w:t>
      </w:r>
      <w:r w:rsidR="00D9653F">
        <w:rPr>
          <w:rFonts w:ascii="Arial" w:hAnsi="Arial" w:cs="Arial"/>
          <w:bCs/>
          <w:sz w:val="22"/>
          <w:szCs w:val="22"/>
          <w:lang w:val="fr-FR"/>
        </w:rPr>
        <w:t>ait</w:t>
      </w:r>
      <w:r w:rsidR="00D9653F" w:rsidRPr="00484C49">
        <w:rPr>
          <w:rFonts w:ascii="Arial" w:hAnsi="Arial" w:cs="Arial"/>
          <w:bCs/>
          <w:sz w:val="22"/>
          <w:szCs w:val="22"/>
          <w:lang w:val="fr-FR"/>
        </w:rPr>
        <w:t xml:space="preserve"> à suivre l</w:t>
      </w:r>
      <w:r w:rsidR="008E532B">
        <w:rPr>
          <w:rFonts w:ascii="Arial" w:hAnsi="Arial" w:cs="Arial"/>
          <w:bCs/>
          <w:sz w:val="22"/>
          <w:szCs w:val="22"/>
          <w:lang w:val="fr-FR"/>
        </w:rPr>
        <w:t>’</w:t>
      </w:r>
      <w:r w:rsidR="00D9653F" w:rsidRPr="00484C49">
        <w:rPr>
          <w:rFonts w:ascii="Arial" w:hAnsi="Arial" w:cs="Arial"/>
          <w:bCs/>
          <w:sz w:val="22"/>
          <w:szCs w:val="22"/>
          <w:lang w:val="fr-FR"/>
        </w:rPr>
        <w:t>évolution de la Convention et, dans ce cas particulier, la décision qui v</w:t>
      </w:r>
      <w:r w:rsidR="00D9653F">
        <w:rPr>
          <w:rFonts w:ascii="Arial" w:hAnsi="Arial" w:cs="Arial"/>
          <w:bCs/>
          <w:sz w:val="22"/>
          <w:szCs w:val="22"/>
          <w:lang w:val="fr-FR"/>
        </w:rPr>
        <w:t>enait</w:t>
      </w:r>
      <w:r w:rsidR="00D9653F" w:rsidRPr="00484C49">
        <w:rPr>
          <w:rFonts w:ascii="Arial" w:hAnsi="Arial" w:cs="Arial"/>
          <w:bCs/>
          <w:sz w:val="22"/>
          <w:szCs w:val="22"/>
          <w:lang w:val="fr-FR"/>
        </w:rPr>
        <w:t xml:space="preserve"> d</w:t>
      </w:r>
      <w:r w:rsidR="008E532B">
        <w:rPr>
          <w:rFonts w:ascii="Arial" w:hAnsi="Arial" w:cs="Arial"/>
          <w:bCs/>
          <w:sz w:val="22"/>
          <w:szCs w:val="22"/>
          <w:lang w:val="fr-FR"/>
        </w:rPr>
        <w:t>’</w:t>
      </w:r>
      <w:r w:rsidR="00D9653F" w:rsidRPr="00484C49">
        <w:rPr>
          <w:rFonts w:ascii="Arial" w:hAnsi="Arial" w:cs="Arial"/>
          <w:bCs/>
          <w:sz w:val="22"/>
          <w:szCs w:val="22"/>
          <w:lang w:val="fr-FR"/>
        </w:rPr>
        <w:t>être prise</w:t>
      </w:r>
      <w:r w:rsidR="00D9653F">
        <w:rPr>
          <w:rFonts w:ascii="Arial" w:hAnsi="Arial" w:cs="Arial"/>
          <w:bCs/>
          <w:sz w:val="22"/>
          <w:szCs w:val="22"/>
          <w:lang w:val="fr-FR"/>
        </w:rPr>
        <w:t xml:space="preserve">, </w:t>
      </w:r>
      <w:proofErr w:type="gramStart"/>
      <w:r w:rsidR="00D9653F">
        <w:rPr>
          <w:rFonts w:ascii="Arial" w:hAnsi="Arial" w:cs="Arial"/>
          <w:bCs/>
          <w:sz w:val="22"/>
          <w:szCs w:val="22"/>
          <w:lang w:val="fr-FR"/>
        </w:rPr>
        <w:t>suite à</w:t>
      </w:r>
      <w:proofErr w:type="gramEnd"/>
      <w:r w:rsidR="00D9653F" w:rsidRPr="00484C49">
        <w:rPr>
          <w:rFonts w:ascii="Arial" w:hAnsi="Arial" w:cs="Arial"/>
          <w:bCs/>
          <w:sz w:val="22"/>
          <w:szCs w:val="22"/>
          <w:lang w:val="fr-FR"/>
        </w:rPr>
        <w:t xml:space="preserve"> la réflexion </w:t>
      </w:r>
      <w:r w:rsidR="00D9653F">
        <w:rPr>
          <w:rFonts w:ascii="Arial" w:hAnsi="Arial" w:cs="Arial"/>
          <w:bCs/>
          <w:sz w:val="22"/>
          <w:szCs w:val="22"/>
          <w:lang w:val="fr-FR"/>
        </w:rPr>
        <w:t xml:space="preserve">globale </w:t>
      </w:r>
      <w:r w:rsidR="00D9653F" w:rsidRPr="00484C49">
        <w:rPr>
          <w:rFonts w:ascii="Arial" w:hAnsi="Arial" w:cs="Arial"/>
          <w:bCs/>
          <w:sz w:val="22"/>
          <w:szCs w:val="22"/>
          <w:lang w:val="fr-FR"/>
        </w:rPr>
        <w:t>sur les mécanismes d</w:t>
      </w:r>
      <w:r w:rsidR="008E532B">
        <w:rPr>
          <w:rFonts w:ascii="Arial" w:hAnsi="Arial" w:cs="Arial"/>
          <w:bCs/>
          <w:sz w:val="22"/>
          <w:szCs w:val="22"/>
          <w:lang w:val="fr-FR"/>
        </w:rPr>
        <w:t>’</w:t>
      </w:r>
      <w:r w:rsidR="00D9653F" w:rsidRPr="00484C49">
        <w:rPr>
          <w:rFonts w:ascii="Arial" w:hAnsi="Arial" w:cs="Arial"/>
          <w:bCs/>
          <w:sz w:val="22"/>
          <w:szCs w:val="22"/>
          <w:lang w:val="fr-FR"/>
        </w:rPr>
        <w:t>inscription</w:t>
      </w:r>
      <w:r w:rsidR="00D9653F">
        <w:rPr>
          <w:rFonts w:ascii="Arial" w:hAnsi="Arial" w:cs="Arial"/>
          <w:bCs/>
          <w:sz w:val="22"/>
          <w:szCs w:val="22"/>
          <w:lang w:val="fr-FR"/>
        </w:rPr>
        <w:t>,</w:t>
      </w:r>
      <w:r w:rsidR="00D9653F" w:rsidRPr="00484C49">
        <w:rPr>
          <w:rFonts w:ascii="Arial" w:hAnsi="Arial" w:cs="Arial"/>
          <w:bCs/>
          <w:sz w:val="22"/>
          <w:szCs w:val="22"/>
          <w:lang w:val="fr-FR"/>
        </w:rPr>
        <w:t xml:space="preserve"> afin de pouvoir mettre en œuvre immédiatement certaines actions qui ser</w:t>
      </w:r>
      <w:r w:rsidR="00D9653F">
        <w:rPr>
          <w:rFonts w:ascii="Arial" w:hAnsi="Arial" w:cs="Arial"/>
          <w:bCs/>
          <w:sz w:val="22"/>
          <w:szCs w:val="22"/>
          <w:lang w:val="fr-FR"/>
        </w:rPr>
        <w:t>aie</w:t>
      </w:r>
      <w:r w:rsidR="00D9653F" w:rsidRPr="00484C49">
        <w:rPr>
          <w:rFonts w:ascii="Arial" w:hAnsi="Arial" w:cs="Arial"/>
          <w:bCs/>
          <w:sz w:val="22"/>
          <w:szCs w:val="22"/>
          <w:lang w:val="fr-FR"/>
        </w:rPr>
        <w:t>nt effectives dans le cadre du nouveau système. Pour répondre à l</w:t>
      </w:r>
      <w:r w:rsidR="008E532B">
        <w:rPr>
          <w:rFonts w:ascii="Arial" w:hAnsi="Arial" w:cs="Arial"/>
          <w:bCs/>
          <w:sz w:val="22"/>
          <w:szCs w:val="22"/>
          <w:lang w:val="fr-FR"/>
        </w:rPr>
        <w:t>’</w:t>
      </w:r>
      <w:r w:rsidR="00D9653F" w:rsidRPr="00484C49">
        <w:rPr>
          <w:rFonts w:ascii="Arial" w:hAnsi="Arial" w:cs="Arial"/>
          <w:bCs/>
          <w:sz w:val="22"/>
          <w:szCs w:val="22"/>
          <w:lang w:val="fr-FR"/>
        </w:rPr>
        <w:t>une des questions de l</w:t>
      </w:r>
      <w:r w:rsidR="008E532B">
        <w:rPr>
          <w:rFonts w:ascii="Arial" w:hAnsi="Arial" w:cs="Arial"/>
          <w:bCs/>
          <w:sz w:val="22"/>
          <w:szCs w:val="22"/>
          <w:lang w:val="fr-FR"/>
        </w:rPr>
        <w:t>’</w:t>
      </w:r>
      <w:r w:rsidR="00D9653F" w:rsidRPr="00484C49">
        <w:rPr>
          <w:rFonts w:ascii="Arial" w:hAnsi="Arial" w:cs="Arial"/>
          <w:bCs/>
          <w:sz w:val="22"/>
          <w:szCs w:val="22"/>
          <w:lang w:val="fr-FR"/>
        </w:rPr>
        <w:t>Autriche, la ligne budgétaire 2 prévo</w:t>
      </w:r>
      <w:r w:rsidR="00D9653F">
        <w:rPr>
          <w:rFonts w:ascii="Arial" w:hAnsi="Arial" w:cs="Arial"/>
          <w:bCs/>
          <w:sz w:val="22"/>
          <w:szCs w:val="22"/>
          <w:lang w:val="fr-FR"/>
        </w:rPr>
        <w:t>yait</w:t>
      </w:r>
      <w:r w:rsidR="00D9653F" w:rsidRPr="00484C49">
        <w:rPr>
          <w:rFonts w:ascii="Arial" w:hAnsi="Arial" w:cs="Arial"/>
          <w:bCs/>
          <w:sz w:val="22"/>
          <w:szCs w:val="22"/>
          <w:lang w:val="fr-FR"/>
        </w:rPr>
        <w:t xml:space="preserve"> (au titre de l</w:t>
      </w:r>
      <w:r w:rsidR="008E532B">
        <w:rPr>
          <w:rFonts w:ascii="Arial" w:hAnsi="Arial" w:cs="Arial"/>
          <w:bCs/>
          <w:sz w:val="22"/>
          <w:szCs w:val="22"/>
          <w:lang w:val="fr-FR"/>
        </w:rPr>
        <w:t>’</w:t>
      </w:r>
      <w:r w:rsidR="00D9653F" w:rsidRPr="00484C49">
        <w:rPr>
          <w:rFonts w:ascii="Arial" w:hAnsi="Arial" w:cs="Arial"/>
          <w:bCs/>
          <w:sz w:val="22"/>
          <w:szCs w:val="22"/>
          <w:lang w:val="fr-FR"/>
        </w:rPr>
        <w:t>assistance préparatoire) de pouvoir couvrir à la fois la question du transfert de la Liste représentative à la Liste de sauvegarde urgente, et également l</w:t>
      </w:r>
      <w:r w:rsidR="008E532B">
        <w:rPr>
          <w:rFonts w:ascii="Arial" w:hAnsi="Arial" w:cs="Arial"/>
          <w:bCs/>
          <w:sz w:val="22"/>
          <w:szCs w:val="22"/>
          <w:lang w:val="fr-FR"/>
        </w:rPr>
        <w:t>’</w:t>
      </w:r>
      <w:r w:rsidR="00D9653F" w:rsidRPr="00484C49">
        <w:rPr>
          <w:rFonts w:ascii="Arial" w:hAnsi="Arial" w:cs="Arial"/>
          <w:bCs/>
          <w:sz w:val="22"/>
          <w:szCs w:val="22"/>
          <w:lang w:val="fr-FR"/>
        </w:rPr>
        <w:t>extension d</w:t>
      </w:r>
      <w:r w:rsidR="008E532B">
        <w:rPr>
          <w:rFonts w:ascii="Arial" w:hAnsi="Arial" w:cs="Arial"/>
          <w:bCs/>
          <w:sz w:val="22"/>
          <w:szCs w:val="22"/>
          <w:lang w:val="fr-FR"/>
        </w:rPr>
        <w:t>’</w:t>
      </w:r>
      <w:r w:rsidR="00D9653F" w:rsidRPr="00484C49">
        <w:rPr>
          <w:rFonts w:ascii="Arial" w:hAnsi="Arial" w:cs="Arial"/>
          <w:bCs/>
          <w:sz w:val="22"/>
          <w:szCs w:val="22"/>
          <w:lang w:val="fr-FR"/>
        </w:rPr>
        <w:t xml:space="preserve">un élément inscrit. Ainsi, les deux </w:t>
      </w:r>
      <w:r w:rsidR="00D9653F">
        <w:rPr>
          <w:rFonts w:ascii="Arial" w:hAnsi="Arial" w:cs="Arial"/>
          <w:bCs/>
          <w:sz w:val="22"/>
          <w:szCs w:val="22"/>
          <w:lang w:val="fr-FR"/>
        </w:rPr>
        <w:t xml:space="preserve">modalités </w:t>
      </w:r>
      <w:r w:rsidR="00D9653F" w:rsidRPr="00484C49">
        <w:rPr>
          <w:rFonts w:ascii="Arial" w:hAnsi="Arial" w:cs="Arial"/>
          <w:bCs/>
          <w:sz w:val="22"/>
          <w:szCs w:val="22"/>
          <w:lang w:val="fr-FR"/>
        </w:rPr>
        <w:t>prévu</w:t>
      </w:r>
      <w:r w:rsidR="00D9653F">
        <w:rPr>
          <w:rFonts w:ascii="Arial" w:hAnsi="Arial" w:cs="Arial"/>
          <w:bCs/>
          <w:sz w:val="22"/>
          <w:szCs w:val="22"/>
          <w:lang w:val="fr-FR"/>
        </w:rPr>
        <w:t>e</w:t>
      </w:r>
      <w:r w:rsidR="00D9653F" w:rsidRPr="00484C49">
        <w:rPr>
          <w:rFonts w:ascii="Arial" w:hAnsi="Arial" w:cs="Arial"/>
          <w:bCs/>
          <w:sz w:val="22"/>
          <w:szCs w:val="22"/>
          <w:lang w:val="fr-FR"/>
        </w:rPr>
        <w:t xml:space="preserve">s par le nouveau système </w:t>
      </w:r>
      <w:r w:rsidR="00D9653F">
        <w:rPr>
          <w:rFonts w:ascii="Arial" w:hAnsi="Arial" w:cs="Arial"/>
          <w:bCs/>
          <w:sz w:val="22"/>
          <w:szCs w:val="22"/>
          <w:lang w:val="fr-FR"/>
        </w:rPr>
        <w:t xml:space="preserve">étaient </w:t>
      </w:r>
      <w:r w:rsidR="00D9653F" w:rsidRPr="00484C49">
        <w:rPr>
          <w:rFonts w:ascii="Arial" w:hAnsi="Arial" w:cs="Arial"/>
          <w:bCs/>
          <w:sz w:val="22"/>
          <w:szCs w:val="22"/>
          <w:lang w:val="fr-FR"/>
        </w:rPr>
        <w:t>couvert</w:t>
      </w:r>
      <w:r w:rsidR="00D9653F">
        <w:rPr>
          <w:rFonts w:ascii="Arial" w:hAnsi="Arial" w:cs="Arial"/>
          <w:bCs/>
          <w:sz w:val="22"/>
          <w:szCs w:val="22"/>
          <w:lang w:val="fr-FR"/>
        </w:rPr>
        <w:t>e</w:t>
      </w:r>
      <w:r w:rsidR="00D9653F" w:rsidRPr="00484C49">
        <w:rPr>
          <w:rFonts w:ascii="Arial" w:hAnsi="Arial" w:cs="Arial"/>
          <w:bCs/>
          <w:sz w:val="22"/>
          <w:szCs w:val="22"/>
          <w:lang w:val="fr-FR"/>
        </w:rPr>
        <w:t>s</w:t>
      </w:r>
      <w:r w:rsidR="00D9653F">
        <w:rPr>
          <w:rFonts w:ascii="Arial" w:hAnsi="Arial" w:cs="Arial"/>
          <w:bCs/>
          <w:sz w:val="22"/>
          <w:szCs w:val="22"/>
          <w:lang w:val="fr-FR"/>
        </w:rPr>
        <w:t xml:space="preserve"> </w:t>
      </w:r>
      <w:r w:rsidR="00D9653F" w:rsidRPr="00484C49">
        <w:rPr>
          <w:rFonts w:ascii="Arial" w:hAnsi="Arial" w:cs="Arial"/>
          <w:bCs/>
          <w:sz w:val="22"/>
          <w:szCs w:val="22"/>
          <w:lang w:val="fr-FR"/>
        </w:rPr>
        <w:t>par la proposition. En ce qui concerne l</w:t>
      </w:r>
      <w:r w:rsidR="008E532B">
        <w:rPr>
          <w:rFonts w:ascii="Arial" w:hAnsi="Arial" w:cs="Arial"/>
          <w:bCs/>
          <w:sz w:val="22"/>
          <w:szCs w:val="22"/>
          <w:lang w:val="fr-FR"/>
        </w:rPr>
        <w:t>’</w:t>
      </w:r>
      <w:r w:rsidR="00D9653F" w:rsidRPr="00484C49">
        <w:rPr>
          <w:rFonts w:ascii="Arial" w:hAnsi="Arial" w:cs="Arial"/>
          <w:bCs/>
          <w:sz w:val="22"/>
          <w:szCs w:val="22"/>
          <w:lang w:val="fr-FR"/>
        </w:rPr>
        <w:t xml:space="preserve">assistance internationale, le montant attribué à la ligne budgétaire 1 </w:t>
      </w:r>
      <w:r w:rsidR="00D9653F">
        <w:rPr>
          <w:rFonts w:ascii="Arial" w:hAnsi="Arial" w:cs="Arial"/>
          <w:bCs/>
          <w:sz w:val="22"/>
          <w:szCs w:val="22"/>
          <w:lang w:val="fr-FR"/>
        </w:rPr>
        <w:t>était</w:t>
      </w:r>
      <w:r w:rsidR="00D9653F" w:rsidRPr="00484C49">
        <w:rPr>
          <w:rFonts w:ascii="Arial" w:hAnsi="Arial" w:cs="Arial"/>
          <w:bCs/>
          <w:sz w:val="22"/>
          <w:szCs w:val="22"/>
          <w:lang w:val="fr-FR"/>
        </w:rPr>
        <w:t xml:space="preserve"> de 50</w:t>
      </w:r>
      <w:r w:rsidR="00D9653F">
        <w:rPr>
          <w:rFonts w:ascii="Arial" w:hAnsi="Arial" w:cs="Arial"/>
          <w:bCs/>
          <w:sz w:val="22"/>
          <w:szCs w:val="22"/>
          <w:lang w:val="fr-FR"/>
        </w:rPr>
        <w:t> %</w:t>
      </w:r>
      <w:r w:rsidR="00D9653F" w:rsidRPr="00484C49">
        <w:rPr>
          <w:rFonts w:ascii="Arial" w:hAnsi="Arial" w:cs="Arial"/>
          <w:bCs/>
          <w:sz w:val="22"/>
          <w:szCs w:val="22"/>
          <w:lang w:val="fr-FR"/>
        </w:rPr>
        <w:t xml:space="preserve">, mais la sous-ligne 1.1 </w:t>
      </w:r>
      <w:r w:rsidR="00D9653F">
        <w:rPr>
          <w:rFonts w:ascii="Arial" w:hAnsi="Arial" w:cs="Arial"/>
          <w:bCs/>
          <w:sz w:val="22"/>
          <w:szCs w:val="22"/>
          <w:lang w:val="fr-FR"/>
        </w:rPr>
        <w:t>était</w:t>
      </w:r>
      <w:r w:rsidR="00D9653F" w:rsidRPr="00484C49">
        <w:rPr>
          <w:rFonts w:ascii="Arial" w:hAnsi="Arial" w:cs="Arial"/>
          <w:bCs/>
          <w:sz w:val="22"/>
          <w:szCs w:val="22"/>
          <w:lang w:val="fr-FR"/>
        </w:rPr>
        <w:t xml:space="preserve"> de 10</w:t>
      </w:r>
      <w:r w:rsidR="00D9653F">
        <w:rPr>
          <w:rFonts w:ascii="Arial" w:hAnsi="Arial" w:cs="Arial"/>
          <w:bCs/>
          <w:sz w:val="22"/>
          <w:szCs w:val="22"/>
          <w:lang w:val="fr-FR"/>
        </w:rPr>
        <w:t> %</w:t>
      </w:r>
      <w:r w:rsidR="00D9653F" w:rsidRPr="00484C49">
        <w:rPr>
          <w:rFonts w:ascii="Arial" w:hAnsi="Arial" w:cs="Arial"/>
          <w:bCs/>
          <w:sz w:val="22"/>
          <w:szCs w:val="22"/>
          <w:lang w:val="fr-FR"/>
        </w:rPr>
        <w:t xml:space="preserve">, </w:t>
      </w:r>
      <w:r w:rsidR="00D9653F">
        <w:rPr>
          <w:rFonts w:ascii="Arial" w:hAnsi="Arial" w:cs="Arial"/>
          <w:bCs/>
          <w:sz w:val="22"/>
          <w:szCs w:val="22"/>
          <w:lang w:val="fr-FR"/>
        </w:rPr>
        <w:t xml:space="preserve">montant </w:t>
      </w:r>
      <w:r w:rsidR="00D9653F" w:rsidRPr="00484C49">
        <w:rPr>
          <w:rFonts w:ascii="Arial" w:hAnsi="Arial" w:cs="Arial"/>
          <w:bCs/>
          <w:sz w:val="22"/>
          <w:szCs w:val="22"/>
          <w:lang w:val="fr-FR"/>
        </w:rPr>
        <w:t>attribué</w:t>
      </w:r>
      <w:r w:rsidR="00D9653F">
        <w:rPr>
          <w:rFonts w:ascii="Arial" w:hAnsi="Arial" w:cs="Arial"/>
          <w:bCs/>
          <w:sz w:val="22"/>
          <w:szCs w:val="22"/>
          <w:lang w:val="fr-FR"/>
        </w:rPr>
        <w:t xml:space="preserve"> </w:t>
      </w:r>
      <w:r w:rsidR="00D9653F" w:rsidRPr="00484C49">
        <w:rPr>
          <w:rFonts w:ascii="Arial" w:hAnsi="Arial" w:cs="Arial"/>
          <w:bCs/>
          <w:sz w:val="22"/>
          <w:szCs w:val="22"/>
          <w:lang w:val="fr-FR"/>
        </w:rPr>
        <w:t>à l</w:t>
      </w:r>
      <w:r w:rsidR="008E532B">
        <w:rPr>
          <w:rFonts w:ascii="Arial" w:hAnsi="Arial" w:cs="Arial"/>
          <w:bCs/>
          <w:sz w:val="22"/>
          <w:szCs w:val="22"/>
          <w:lang w:val="fr-FR"/>
        </w:rPr>
        <w:t>’</w:t>
      </w:r>
      <w:r w:rsidR="00D9653F" w:rsidRPr="00484C49">
        <w:rPr>
          <w:rFonts w:ascii="Arial" w:hAnsi="Arial" w:cs="Arial"/>
          <w:bCs/>
          <w:sz w:val="22"/>
          <w:szCs w:val="22"/>
          <w:lang w:val="fr-FR"/>
        </w:rPr>
        <w:t>équipe qui sout</w:t>
      </w:r>
      <w:r w:rsidR="00D9653F">
        <w:rPr>
          <w:rFonts w:ascii="Arial" w:hAnsi="Arial" w:cs="Arial"/>
          <w:bCs/>
          <w:sz w:val="22"/>
          <w:szCs w:val="22"/>
          <w:lang w:val="fr-FR"/>
        </w:rPr>
        <w:t>enait</w:t>
      </w:r>
      <w:r w:rsidR="00D9653F" w:rsidRPr="00484C49">
        <w:rPr>
          <w:rFonts w:ascii="Arial" w:hAnsi="Arial" w:cs="Arial"/>
          <w:bCs/>
          <w:sz w:val="22"/>
          <w:szCs w:val="22"/>
          <w:lang w:val="fr-FR"/>
        </w:rPr>
        <w:t xml:space="preserve"> ce mécanisme. Le montant global </w:t>
      </w:r>
      <w:r w:rsidR="00D9653F">
        <w:rPr>
          <w:rFonts w:ascii="Arial" w:hAnsi="Arial" w:cs="Arial"/>
          <w:bCs/>
          <w:sz w:val="22"/>
          <w:szCs w:val="22"/>
          <w:lang w:val="fr-FR"/>
        </w:rPr>
        <w:t>était</w:t>
      </w:r>
      <w:r w:rsidR="00D9653F" w:rsidRPr="00484C49">
        <w:rPr>
          <w:rFonts w:ascii="Arial" w:hAnsi="Arial" w:cs="Arial"/>
          <w:bCs/>
          <w:sz w:val="22"/>
          <w:szCs w:val="22"/>
          <w:lang w:val="fr-FR"/>
        </w:rPr>
        <w:t xml:space="preserve"> donc assez élevé, soit 60</w:t>
      </w:r>
      <w:r w:rsidR="00D9653F">
        <w:rPr>
          <w:rFonts w:ascii="Arial" w:hAnsi="Arial" w:cs="Arial"/>
          <w:bCs/>
          <w:sz w:val="22"/>
          <w:szCs w:val="22"/>
          <w:lang w:val="fr-FR"/>
        </w:rPr>
        <w:t> %</w:t>
      </w:r>
      <w:r w:rsidR="00D9653F" w:rsidRPr="00484C49">
        <w:rPr>
          <w:rFonts w:ascii="Arial" w:hAnsi="Arial" w:cs="Arial"/>
          <w:bCs/>
          <w:sz w:val="22"/>
          <w:szCs w:val="22"/>
          <w:lang w:val="fr-FR"/>
        </w:rPr>
        <w:t xml:space="preserve">. Le Secrétariat pensait donc être en mesure de continuer à servir tous les États parties et </w:t>
      </w:r>
      <w:r w:rsidR="00D9653F">
        <w:rPr>
          <w:rFonts w:ascii="Arial" w:hAnsi="Arial" w:cs="Arial"/>
          <w:bCs/>
          <w:sz w:val="22"/>
          <w:szCs w:val="22"/>
          <w:lang w:val="fr-FR"/>
        </w:rPr>
        <w:t xml:space="preserve">toutes </w:t>
      </w:r>
      <w:r w:rsidR="00D9653F" w:rsidRPr="00484C49">
        <w:rPr>
          <w:rFonts w:ascii="Arial" w:hAnsi="Arial" w:cs="Arial"/>
          <w:bCs/>
          <w:sz w:val="22"/>
          <w:szCs w:val="22"/>
          <w:lang w:val="fr-FR"/>
        </w:rPr>
        <w:t>les communautés par le biais de cet important mécanisme de coopération internationale. Le point soulevé par les Pays</w:t>
      </w:r>
      <w:r w:rsidR="00D9653F">
        <w:rPr>
          <w:rFonts w:ascii="Arial" w:hAnsi="Arial" w:cs="Arial"/>
          <w:bCs/>
          <w:sz w:val="22"/>
          <w:szCs w:val="22"/>
          <w:lang w:val="fr-FR"/>
        </w:rPr>
        <w:noBreakHyphen/>
      </w:r>
      <w:r w:rsidR="00D9653F" w:rsidRPr="00484C49">
        <w:rPr>
          <w:rFonts w:ascii="Arial" w:hAnsi="Arial" w:cs="Arial"/>
          <w:bCs/>
          <w:sz w:val="22"/>
          <w:szCs w:val="22"/>
          <w:lang w:val="fr-FR"/>
        </w:rPr>
        <w:t>Bas sur la nécessité de publier les activités qui ser</w:t>
      </w:r>
      <w:r w:rsidR="00D9653F">
        <w:rPr>
          <w:rFonts w:ascii="Arial" w:hAnsi="Arial" w:cs="Arial"/>
          <w:bCs/>
          <w:sz w:val="22"/>
          <w:szCs w:val="22"/>
          <w:lang w:val="fr-FR"/>
        </w:rPr>
        <w:t>aien</w:t>
      </w:r>
      <w:r w:rsidR="00D9653F" w:rsidRPr="00484C49">
        <w:rPr>
          <w:rFonts w:ascii="Arial" w:hAnsi="Arial" w:cs="Arial"/>
          <w:bCs/>
          <w:sz w:val="22"/>
          <w:szCs w:val="22"/>
          <w:lang w:val="fr-FR"/>
        </w:rPr>
        <w:t>t entreprises par le Secrétariat sur le suivi et l</w:t>
      </w:r>
      <w:r w:rsidR="008E532B">
        <w:rPr>
          <w:rFonts w:ascii="Arial" w:hAnsi="Arial" w:cs="Arial"/>
          <w:bCs/>
          <w:sz w:val="22"/>
          <w:szCs w:val="22"/>
          <w:lang w:val="fr-FR"/>
        </w:rPr>
        <w:t>’</w:t>
      </w:r>
      <w:r w:rsidR="00D9653F" w:rsidRPr="00484C49">
        <w:rPr>
          <w:rFonts w:ascii="Arial" w:hAnsi="Arial" w:cs="Arial"/>
          <w:bCs/>
          <w:sz w:val="22"/>
          <w:szCs w:val="22"/>
          <w:lang w:val="fr-FR"/>
        </w:rPr>
        <w:t xml:space="preserve">évaluation a bien </w:t>
      </w:r>
      <w:r w:rsidR="00D9653F">
        <w:rPr>
          <w:rFonts w:ascii="Arial" w:hAnsi="Arial" w:cs="Arial"/>
          <w:bCs/>
          <w:sz w:val="22"/>
          <w:szCs w:val="22"/>
          <w:lang w:val="fr-FR"/>
        </w:rPr>
        <w:t xml:space="preserve">été </w:t>
      </w:r>
      <w:r w:rsidR="00D9653F" w:rsidRPr="00484C49">
        <w:rPr>
          <w:rFonts w:ascii="Arial" w:hAnsi="Arial" w:cs="Arial"/>
          <w:bCs/>
          <w:sz w:val="22"/>
          <w:szCs w:val="22"/>
          <w:lang w:val="fr-FR"/>
        </w:rPr>
        <w:t>noté. En effet, il s</w:t>
      </w:r>
      <w:r w:rsidR="008E532B">
        <w:rPr>
          <w:rFonts w:ascii="Arial" w:hAnsi="Arial" w:cs="Arial"/>
          <w:bCs/>
          <w:sz w:val="22"/>
          <w:szCs w:val="22"/>
          <w:lang w:val="fr-FR"/>
        </w:rPr>
        <w:t>’</w:t>
      </w:r>
      <w:r w:rsidR="00D9653F" w:rsidRPr="00484C49">
        <w:rPr>
          <w:rFonts w:ascii="Arial" w:hAnsi="Arial" w:cs="Arial"/>
          <w:bCs/>
          <w:sz w:val="22"/>
          <w:szCs w:val="22"/>
          <w:lang w:val="fr-FR"/>
        </w:rPr>
        <w:t>agi</w:t>
      </w:r>
      <w:r w:rsidR="00D9653F">
        <w:rPr>
          <w:rFonts w:ascii="Arial" w:hAnsi="Arial" w:cs="Arial"/>
          <w:bCs/>
          <w:sz w:val="22"/>
          <w:szCs w:val="22"/>
          <w:lang w:val="fr-FR"/>
        </w:rPr>
        <w:t>ssai</w:t>
      </w:r>
      <w:r w:rsidR="00D9653F" w:rsidRPr="00484C49">
        <w:rPr>
          <w:rFonts w:ascii="Arial" w:hAnsi="Arial" w:cs="Arial"/>
          <w:bCs/>
          <w:sz w:val="22"/>
          <w:szCs w:val="22"/>
          <w:lang w:val="fr-FR"/>
        </w:rPr>
        <w:t>t d</w:t>
      </w:r>
      <w:r w:rsidR="008E532B">
        <w:rPr>
          <w:rFonts w:ascii="Arial" w:hAnsi="Arial" w:cs="Arial"/>
          <w:bCs/>
          <w:sz w:val="22"/>
          <w:szCs w:val="22"/>
          <w:lang w:val="fr-FR"/>
        </w:rPr>
        <w:t>’</w:t>
      </w:r>
      <w:r w:rsidR="00D9653F" w:rsidRPr="00484C49">
        <w:rPr>
          <w:rFonts w:ascii="Arial" w:hAnsi="Arial" w:cs="Arial"/>
          <w:bCs/>
          <w:sz w:val="22"/>
          <w:szCs w:val="22"/>
          <w:lang w:val="fr-FR"/>
        </w:rPr>
        <w:t>une étape très importante pour le Secrétariat</w:t>
      </w:r>
      <w:r w:rsidR="00D9653F">
        <w:rPr>
          <w:rFonts w:ascii="Arial" w:hAnsi="Arial" w:cs="Arial"/>
          <w:bCs/>
          <w:sz w:val="22"/>
          <w:szCs w:val="22"/>
          <w:lang w:val="fr-FR"/>
        </w:rPr>
        <w:t>, visant à</w:t>
      </w:r>
      <w:r w:rsidR="00D9653F" w:rsidRPr="00484C49">
        <w:rPr>
          <w:rFonts w:ascii="Arial" w:hAnsi="Arial" w:cs="Arial"/>
          <w:bCs/>
          <w:sz w:val="22"/>
          <w:szCs w:val="22"/>
          <w:lang w:val="fr-FR"/>
        </w:rPr>
        <w:t xml:space="preserve"> rendre plus opérationnel le mécanisme d</w:t>
      </w:r>
      <w:r w:rsidR="008E532B">
        <w:rPr>
          <w:rFonts w:ascii="Arial" w:hAnsi="Arial" w:cs="Arial"/>
          <w:bCs/>
          <w:sz w:val="22"/>
          <w:szCs w:val="22"/>
          <w:lang w:val="fr-FR"/>
        </w:rPr>
        <w:t>’</w:t>
      </w:r>
      <w:r w:rsidR="00D9653F" w:rsidRPr="00484C49">
        <w:rPr>
          <w:rFonts w:ascii="Arial" w:hAnsi="Arial" w:cs="Arial"/>
          <w:bCs/>
          <w:sz w:val="22"/>
          <w:szCs w:val="22"/>
          <w:lang w:val="fr-FR"/>
        </w:rPr>
        <w:t>assistance internationale. Il a été rappelé que dans le cadre de l</w:t>
      </w:r>
      <w:r w:rsidR="008E532B">
        <w:rPr>
          <w:rFonts w:ascii="Arial" w:hAnsi="Arial" w:cs="Arial"/>
          <w:bCs/>
          <w:sz w:val="22"/>
          <w:szCs w:val="22"/>
          <w:lang w:val="fr-FR"/>
        </w:rPr>
        <w:t>’</w:t>
      </w:r>
      <w:r w:rsidR="00D9653F" w:rsidRPr="00484C49">
        <w:rPr>
          <w:rFonts w:ascii="Arial" w:hAnsi="Arial" w:cs="Arial"/>
          <w:bCs/>
          <w:sz w:val="22"/>
          <w:szCs w:val="22"/>
          <w:lang w:val="fr-FR"/>
        </w:rPr>
        <w:t xml:space="preserve">exercice </w:t>
      </w:r>
      <w:r w:rsidR="00D9653F">
        <w:rPr>
          <w:rFonts w:ascii="Arial" w:hAnsi="Arial" w:cs="Arial"/>
          <w:bCs/>
          <w:sz w:val="22"/>
          <w:szCs w:val="22"/>
          <w:lang w:val="fr-FR"/>
        </w:rPr>
        <w:t xml:space="preserve">biennal </w:t>
      </w:r>
      <w:r w:rsidR="00D9653F" w:rsidRPr="00484C49">
        <w:rPr>
          <w:rFonts w:ascii="Arial" w:hAnsi="Arial" w:cs="Arial"/>
          <w:bCs/>
          <w:sz w:val="22"/>
          <w:szCs w:val="22"/>
          <w:lang w:val="fr-FR"/>
        </w:rPr>
        <w:t>2018</w:t>
      </w:r>
      <w:r w:rsidR="00D9653F">
        <w:rPr>
          <w:rFonts w:ascii="Arial" w:hAnsi="Arial" w:cs="Arial"/>
          <w:bCs/>
          <w:sz w:val="22"/>
          <w:szCs w:val="22"/>
          <w:lang w:val="fr-FR"/>
        </w:rPr>
        <w:t>/</w:t>
      </w:r>
      <w:r w:rsidR="00D9653F" w:rsidRPr="00484C49">
        <w:rPr>
          <w:rFonts w:ascii="Arial" w:hAnsi="Arial" w:cs="Arial"/>
          <w:bCs/>
          <w:sz w:val="22"/>
          <w:szCs w:val="22"/>
          <w:lang w:val="fr-FR"/>
        </w:rPr>
        <w:t>2019, le taux de dépenses pour cette ligne a</w:t>
      </w:r>
      <w:r w:rsidR="00D9653F">
        <w:rPr>
          <w:rFonts w:ascii="Arial" w:hAnsi="Arial" w:cs="Arial"/>
          <w:bCs/>
          <w:sz w:val="22"/>
          <w:szCs w:val="22"/>
          <w:lang w:val="fr-FR"/>
        </w:rPr>
        <w:t>vait</w:t>
      </w:r>
      <w:r w:rsidR="00D9653F" w:rsidRPr="00484C49">
        <w:rPr>
          <w:rFonts w:ascii="Arial" w:hAnsi="Arial" w:cs="Arial"/>
          <w:bCs/>
          <w:sz w:val="22"/>
          <w:szCs w:val="22"/>
          <w:lang w:val="fr-FR"/>
        </w:rPr>
        <w:t xml:space="preserve"> augmenté de manière significative, avec un recul évident en raison de </w:t>
      </w:r>
      <w:r w:rsidR="00D9653F">
        <w:rPr>
          <w:rFonts w:ascii="Arial" w:hAnsi="Arial" w:cs="Arial"/>
          <w:bCs/>
          <w:sz w:val="22"/>
          <w:szCs w:val="22"/>
          <w:lang w:val="fr-FR"/>
        </w:rPr>
        <w:t xml:space="preserve">la </w:t>
      </w:r>
      <w:r w:rsidR="00D9653F" w:rsidRPr="00484C49">
        <w:rPr>
          <w:rFonts w:ascii="Arial" w:hAnsi="Arial" w:cs="Arial"/>
          <w:bCs/>
          <w:sz w:val="22"/>
          <w:szCs w:val="22"/>
          <w:lang w:val="fr-FR"/>
        </w:rPr>
        <w:t>COVID</w:t>
      </w:r>
      <w:r w:rsidR="00D9653F">
        <w:rPr>
          <w:rFonts w:ascii="Arial" w:hAnsi="Arial" w:cs="Arial"/>
          <w:bCs/>
          <w:sz w:val="22"/>
          <w:szCs w:val="22"/>
          <w:lang w:val="fr-FR"/>
        </w:rPr>
        <w:noBreakHyphen/>
      </w:r>
      <w:r w:rsidR="00D9653F" w:rsidRPr="00484C49">
        <w:rPr>
          <w:rFonts w:ascii="Arial" w:hAnsi="Arial" w:cs="Arial"/>
          <w:bCs/>
          <w:sz w:val="22"/>
          <w:szCs w:val="22"/>
          <w:lang w:val="fr-FR"/>
        </w:rPr>
        <w:t xml:space="preserve">19. </w:t>
      </w:r>
      <w:r w:rsidR="00D9653F">
        <w:rPr>
          <w:rFonts w:ascii="Arial" w:hAnsi="Arial" w:cs="Arial"/>
          <w:bCs/>
          <w:sz w:val="22"/>
          <w:szCs w:val="22"/>
          <w:lang w:val="fr-FR"/>
        </w:rPr>
        <w:t xml:space="preserve">On pouvait toutefois espérer </w:t>
      </w:r>
      <w:r w:rsidR="00D9653F" w:rsidRPr="00484C49">
        <w:rPr>
          <w:rFonts w:ascii="Arial" w:hAnsi="Arial" w:cs="Arial"/>
          <w:bCs/>
          <w:sz w:val="22"/>
          <w:szCs w:val="22"/>
          <w:lang w:val="fr-FR"/>
        </w:rPr>
        <w:t>qu</w:t>
      </w:r>
      <w:r w:rsidR="008E532B">
        <w:rPr>
          <w:rFonts w:ascii="Arial" w:hAnsi="Arial" w:cs="Arial"/>
          <w:bCs/>
          <w:sz w:val="22"/>
          <w:szCs w:val="22"/>
          <w:lang w:val="fr-FR"/>
        </w:rPr>
        <w:t>’</w:t>
      </w:r>
      <w:r w:rsidR="00D9653F" w:rsidRPr="00484C49">
        <w:rPr>
          <w:rFonts w:ascii="Arial" w:hAnsi="Arial" w:cs="Arial"/>
          <w:bCs/>
          <w:sz w:val="22"/>
          <w:szCs w:val="22"/>
          <w:lang w:val="fr-FR"/>
        </w:rPr>
        <w:t>il serait possible de rattraper ce retard et, en même temps, de mettre en place un mécanisme de suivi solide, basé sur le terrain, pour pouvoir comprendre l</w:t>
      </w:r>
      <w:r w:rsidR="008E532B">
        <w:rPr>
          <w:rFonts w:ascii="Arial" w:hAnsi="Arial" w:cs="Arial"/>
          <w:bCs/>
          <w:sz w:val="22"/>
          <w:szCs w:val="22"/>
          <w:lang w:val="fr-FR"/>
        </w:rPr>
        <w:t>’</w:t>
      </w:r>
      <w:r w:rsidR="00D9653F" w:rsidRPr="00484C49">
        <w:rPr>
          <w:rFonts w:ascii="Arial" w:hAnsi="Arial" w:cs="Arial"/>
          <w:bCs/>
          <w:sz w:val="22"/>
          <w:szCs w:val="22"/>
          <w:lang w:val="fr-FR"/>
        </w:rPr>
        <w:t>impact de l</w:t>
      </w:r>
      <w:r w:rsidR="008E532B">
        <w:rPr>
          <w:rFonts w:ascii="Arial" w:hAnsi="Arial" w:cs="Arial"/>
          <w:bCs/>
          <w:sz w:val="22"/>
          <w:szCs w:val="22"/>
          <w:lang w:val="fr-FR"/>
        </w:rPr>
        <w:t>’</w:t>
      </w:r>
      <w:r w:rsidR="00D9653F" w:rsidRPr="00484C49">
        <w:rPr>
          <w:rFonts w:ascii="Arial" w:hAnsi="Arial" w:cs="Arial"/>
          <w:bCs/>
          <w:sz w:val="22"/>
          <w:szCs w:val="22"/>
          <w:lang w:val="fr-FR"/>
        </w:rPr>
        <w:t>assistance internationale, qui serait dûment rapporté aux organes directeurs de la Convention.</w:t>
      </w:r>
    </w:p>
    <w:p w14:paraId="2E436082" w14:textId="67C898BB" w:rsidR="00D9653F" w:rsidRPr="00BF205C" w:rsidRDefault="00D9653F" w:rsidP="009F6BC9">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E7EA1">
        <w:rPr>
          <w:rFonts w:ascii="Arial" w:hAnsi="Arial" w:cs="Arial"/>
          <w:b/>
          <w:sz w:val="22"/>
          <w:szCs w:val="22"/>
          <w:lang w:val="fr-FR"/>
        </w:rPr>
        <w:t>Présidente</w:t>
      </w:r>
      <w:r>
        <w:rPr>
          <w:rFonts w:ascii="Arial" w:hAnsi="Arial" w:cs="Arial"/>
          <w:bCs/>
          <w:sz w:val="22"/>
          <w:szCs w:val="22"/>
          <w:lang w:val="fr-FR"/>
        </w:rPr>
        <w:t xml:space="preserve"> a remercié le </w:t>
      </w:r>
      <w:r w:rsidRPr="00FD1D15">
        <w:rPr>
          <w:rFonts w:ascii="Arial" w:hAnsi="Arial" w:cs="Arial"/>
          <w:bCs/>
          <w:sz w:val="22"/>
          <w:szCs w:val="22"/>
          <w:lang w:val="fr-FR"/>
        </w:rPr>
        <w:t>Secréta</w:t>
      </w:r>
      <w:r>
        <w:rPr>
          <w:rFonts w:ascii="Arial" w:hAnsi="Arial" w:cs="Arial"/>
          <w:bCs/>
          <w:sz w:val="22"/>
          <w:szCs w:val="22"/>
          <w:lang w:val="fr-FR"/>
        </w:rPr>
        <w:t>riat et est passée à l</w:t>
      </w:r>
      <w:r w:rsidR="008E532B">
        <w:rPr>
          <w:rFonts w:ascii="Arial" w:hAnsi="Arial" w:cs="Arial"/>
          <w:bCs/>
          <w:sz w:val="22"/>
          <w:szCs w:val="22"/>
          <w:lang w:val="fr-FR"/>
        </w:rPr>
        <w:t>’</w:t>
      </w:r>
      <w:r>
        <w:rPr>
          <w:rFonts w:ascii="Arial" w:hAnsi="Arial" w:cs="Arial"/>
          <w:bCs/>
          <w:sz w:val="22"/>
          <w:szCs w:val="22"/>
          <w:lang w:val="fr-FR"/>
        </w:rPr>
        <w:t xml:space="preserve">adoption du projet de </w:t>
      </w:r>
      <w:r w:rsidRPr="00AB22D8">
        <w:rPr>
          <w:rFonts w:ascii="Arial" w:eastAsia="SimSun" w:hAnsi="Arial" w:cs="Arial"/>
          <w:bCs/>
          <w:sz w:val="22"/>
          <w:szCs w:val="22"/>
          <w:lang w:val="fr-FR" w:eastAsia="en-US"/>
        </w:rPr>
        <w:t xml:space="preserve">résolution </w:t>
      </w:r>
      <w:r>
        <w:rPr>
          <w:rFonts w:ascii="Arial" w:eastAsia="SimSun" w:hAnsi="Arial" w:cs="Arial"/>
          <w:bCs/>
          <w:sz w:val="22"/>
          <w:szCs w:val="22"/>
          <w:lang w:val="fr-FR" w:eastAsia="en-US"/>
        </w:rPr>
        <w:t>en commençant par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adoption du plan, tel que présenté dans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annexe du </w:t>
      </w:r>
      <w:r w:rsidRPr="001E7EA1">
        <w:rPr>
          <w:rFonts w:ascii="Arial" w:eastAsia="SimSun" w:hAnsi="Arial" w:cs="Arial"/>
          <w:bCs/>
          <w:sz w:val="22"/>
          <w:szCs w:val="22"/>
          <w:lang w:val="fr-FR" w:eastAsia="en-US"/>
        </w:rPr>
        <w:t>document</w:t>
      </w:r>
      <w:r>
        <w:rPr>
          <w:rFonts w:ascii="Arial" w:eastAsia="SimSun" w:hAnsi="Arial" w:cs="Arial"/>
          <w:bCs/>
          <w:sz w:val="22"/>
          <w:szCs w:val="22"/>
          <w:lang w:val="fr-FR" w:eastAsia="en-US"/>
        </w:rPr>
        <w:t xml:space="preserve"> 10, qui a été adopté sans objections. Elle est ensuite passée à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adoption du projet de </w:t>
      </w:r>
      <w:r w:rsidRPr="00AB22D8">
        <w:rPr>
          <w:rFonts w:ascii="Arial" w:eastAsia="SimSun" w:hAnsi="Arial" w:cs="Arial"/>
          <w:bCs/>
          <w:sz w:val="22"/>
          <w:szCs w:val="22"/>
          <w:lang w:val="fr-FR" w:eastAsia="en-US"/>
        </w:rPr>
        <w:t xml:space="preserve">résolution </w:t>
      </w:r>
      <w:r>
        <w:rPr>
          <w:rFonts w:ascii="Arial" w:eastAsia="SimSun" w:hAnsi="Arial" w:cs="Arial"/>
          <w:bCs/>
          <w:sz w:val="22"/>
          <w:szCs w:val="22"/>
          <w:lang w:val="fr-FR" w:eastAsia="en-US"/>
        </w:rPr>
        <w:t>dans son ensemble et, en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absence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objections, la </w:t>
      </w:r>
      <w:r w:rsidRPr="001E7EA1">
        <w:rPr>
          <w:rFonts w:ascii="Arial" w:eastAsia="SimSun" w:hAnsi="Arial" w:cs="Arial"/>
          <w:b/>
          <w:sz w:val="22"/>
          <w:szCs w:val="22"/>
          <w:lang w:val="fr-FR" w:eastAsia="en-US"/>
        </w:rPr>
        <w:t>Présidente a déclaré la résolution 9.GA 10 adoptée</w:t>
      </w:r>
      <w:r>
        <w:rPr>
          <w:rFonts w:ascii="Arial" w:eastAsia="SimSun" w:hAnsi="Arial" w:cs="Arial"/>
          <w:bCs/>
          <w:sz w:val="22"/>
          <w:szCs w:val="22"/>
          <w:lang w:val="fr-FR" w:eastAsia="en-US"/>
        </w:rPr>
        <w:t>.</w:t>
      </w:r>
    </w:p>
    <w:p w14:paraId="69DA2AF3" w14:textId="15981C1F" w:rsidR="00D9653F" w:rsidRPr="009F6BC9" w:rsidRDefault="00D9653F" w:rsidP="009F6BC9">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9F6BC9">
        <w:rPr>
          <w:b/>
          <w:color w:val="000000" w:themeColor="text1"/>
          <w:u w:val="single"/>
          <w:lang w:val="fr-FR"/>
        </w:rPr>
        <w:t>POINT 11 DE L</w:t>
      </w:r>
      <w:r w:rsidR="008E532B">
        <w:rPr>
          <w:b/>
          <w:color w:val="000000" w:themeColor="text1"/>
          <w:u w:val="single"/>
          <w:lang w:val="fr-FR"/>
        </w:rPr>
        <w:t>’</w:t>
      </w:r>
      <w:r w:rsidRPr="009F6BC9">
        <w:rPr>
          <w:b/>
          <w:color w:val="000000" w:themeColor="text1"/>
          <w:u w:val="single"/>
          <w:lang w:val="fr-FR"/>
        </w:rPr>
        <w:t>ORDRE DU JOUR [SUITE] :</w:t>
      </w:r>
    </w:p>
    <w:p w14:paraId="50E2ECFB" w14:textId="2F19CCCB" w:rsidR="00D9653F" w:rsidRPr="00655EE0" w:rsidRDefault="00D9653F" w:rsidP="009F6BC9">
      <w:pPr>
        <w:keepNext/>
        <w:suppressAutoHyphens/>
        <w:autoSpaceDE w:val="0"/>
        <w:jc w:val="both"/>
        <w:rPr>
          <w:rFonts w:ascii="Arial" w:hAnsi="Arial" w:cs="Arial"/>
          <w:bCs/>
          <w:sz w:val="22"/>
          <w:szCs w:val="22"/>
          <w:lang w:val="fr-FR"/>
        </w:rPr>
      </w:pPr>
      <w:r w:rsidRPr="009F6BC9">
        <w:rPr>
          <w:rFonts w:ascii="Arial" w:eastAsiaTheme="minorEastAsia" w:hAnsi="Arial" w:cs="Arial"/>
          <w:b/>
          <w:color w:val="000000" w:themeColor="text1"/>
          <w:sz w:val="22"/>
          <w:szCs w:val="22"/>
          <w:lang w:val="fr-FR" w:eastAsia="en-GB"/>
        </w:rPr>
        <w:t xml:space="preserve">ÉLECTION DES MEMBRES DU COMITÉ INTERGOUVERNEMENTAL DE SAUVEGARDE DU </w:t>
      </w:r>
      <w:r w:rsidRPr="009F6BC9">
        <w:rPr>
          <w:rFonts w:ascii="Arial" w:eastAsiaTheme="minorEastAsia" w:hAnsi="Arial" w:cs="Arial"/>
          <w:b/>
          <w:snapToGrid w:val="0"/>
          <w:color w:val="000000" w:themeColor="text1"/>
          <w:sz w:val="22"/>
          <w:szCs w:val="22"/>
          <w:lang w:val="fr-FR" w:eastAsia="en-GB"/>
        </w:rPr>
        <w:t xml:space="preserve">PATRIMOINE CULTUREL IMMATÉRIEL </w:t>
      </w:r>
    </w:p>
    <w:p w14:paraId="2CAA41B6" w14:textId="294D6831" w:rsidR="00D9653F" w:rsidRDefault="00D9653F" w:rsidP="009F6BC9">
      <w:pPr>
        <w:numPr>
          <w:ilvl w:val="0"/>
          <w:numId w:val="19"/>
        </w:numPr>
        <w:suppressAutoHyphens/>
        <w:autoSpaceDE w:val="0"/>
        <w:spacing w:before="120"/>
        <w:ind w:left="567" w:hanging="567"/>
        <w:jc w:val="both"/>
        <w:rPr>
          <w:rFonts w:ascii="Arial" w:hAnsi="Arial" w:cs="Arial"/>
          <w:bCs/>
          <w:sz w:val="22"/>
          <w:szCs w:val="22"/>
          <w:lang w:val="fr-FR"/>
        </w:rPr>
      </w:pPr>
      <w:r w:rsidRPr="00655EE0">
        <w:rPr>
          <w:rFonts w:ascii="Arial" w:hAnsi="Arial" w:cs="Arial"/>
          <w:bCs/>
          <w:sz w:val="22"/>
          <w:szCs w:val="22"/>
          <w:lang w:val="fr-FR"/>
        </w:rPr>
        <w:t xml:space="preserve">La </w:t>
      </w:r>
      <w:r w:rsidRPr="00655EE0">
        <w:rPr>
          <w:rFonts w:ascii="Arial" w:hAnsi="Arial" w:cs="Arial"/>
          <w:b/>
          <w:sz w:val="22"/>
          <w:szCs w:val="22"/>
          <w:lang w:val="fr-FR"/>
        </w:rPr>
        <w:t>Présidente</w:t>
      </w:r>
      <w:r w:rsidRPr="00655EE0">
        <w:rPr>
          <w:rFonts w:ascii="Arial" w:hAnsi="Arial" w:cs="Arial"/>
          <w:bCs/>
          <w:sz w:val="22"/>
          <w:szCs w:val="22"/>
          <w:lang w:val="fr-FR"/>
        </w:rPr>
        <w:t xml:space="preserve"> </w:t>
      </w:r>
      <w:r>
        <w:rPr>
          <w:rFonts w:ascii="Arial" w:hAnsi="Arial" w:cs="Arial"/>
          <w:bCs/>
          <w:sz w:val="22"/>
          <w:szCs w:val="22"/>
          <w:lang w:val="fr-FR"/>
        </w:rPr>
        <w:t xml:space="preserve">est </w:t>
      </w:r>
      <w:r w:rsidRPr="00655EE0">
        <w:rPr>
          <w:rFonts w:ascii="Arial" w:hAnsi="Arial" w:cs="Arial"/>
          <w:bCs/>
          <w:sz w:val="22"/>
          <w:szCs w:val="22"/>
          <w:lang w:val="fr-FR"/>
        </w:rPr>
        <w:t>pass</w:t>
      </w:r>
      <w:r>
        <w:rPr>
          <w:rFonts w:ascii="Arial" w:hAnsi="Arial" w:cs="Arial"/>
          <w:bCs/>
          <w:sz w:val="22"/>
          <w:szCs w:val="22"/>
          <w:lang w:val="fr-FR"/>
        </w:rPr>
        <w:t>ée</w:t>
      </w:r>
      <w:r w:rsidRPr="00655EE0">
        <w:rPr>
          <w:rFonts w:ascii="Arial" w:hAnsi="Arial" w:cs="Arial"/>
          <w:bCs/>
          <w:sz w:val="22"/>
          <w:szCs w:val="22"/>
          <w:lang w:val="fr-FR"/>
        </w:rPr>
        <w:t xml:space="preserve"> au point 11</w:t>
      </w:r>
      <w:r>
        <w:rPr>
          <w:rFonts w:ascii="Arial" w:hAnsi="Arial" w:cs="Arial"/>
          <w:bCs/>
          <w:sz w:val="22"/>
          <w:szCs w:val="22"/>
          <w:lang w:val="fr-FR"/>
        </w:rPr>
        <w:t xml:space="preserve">, </w:t>
      </w:r>
      <w:r w:rsidRPr="00655EE0">
        <w:rPr>
          <w:rFonts w:ascii="Arial" w:hAnsi="Arial" w:cs="Arial"/>
          <w:bCs/>
          <w:sz w:val="22"/>
          <w:szCs w:val="22"/>
          <w:lang w:val="fr-FR"/>
        </w:rPr>
        <w:t>l</w:t>
      </w:r>
      <w:r w:rsidR="008E532B">
        <w:rPr>
          <w:rFonts w:ascii="Arial" w:hAnsi="Arial" w:cs="Arial"/>
          <w:bCs/>
          <w:sz w:val="22"/>
          <w:szCs w:val="22"/>
          <w:lang w:val="fr-FR"/>
        </w:rPr>
        <w:t>’</w:t>
      </w:r>
      <w:r w:rsidRPr="00655EE0">
        <w:rPr>
          <w:rFonts w:ascii="Arial" w:hAnsi="Arial" w:cs="Arial"/>
          <w:bCs/>
          <w:sz w:val="22"/>
          <w:szCs w:val="22"/>
          <w:lang w:val="fr-FR"/>
        </w:rPr>
        <w:t>élection des membres d</w:t>
      </w:r>
      <w:r>
        <w:rPr>
          <w:rFonts w:ascii="Arial" w:hAnsi="Arial" w:cs="Arial"/>
          <w:bCs/>
          <w:sz w:val="22"/>
          <w:szCs w:val="22"/>
          <w:lang w:val="fr-FR"/>
        </w:rPr>
        <w:t>u Comité</w:t>
      </w:r>
      <w:r w:rsidRPr="00655EE0">
        <w:rPr>
          <w:rFonts w:ascii="Arial" w:hAnsi="Arial" w:cs="Arial"/>
          <w:bCs/>
          <w:sz w:val="22"/>
          <w:szCs w:val="22"/>
          <w:lang w:val="fr-FR"/>
        </w:rPr>
        <w:t>, rappelant que les résultats de l</w:t>
      </w:r>
      <w:r w:rsidR="008E532B">
        <w:rPr>
          <w:rFonts w:ascii="Arial" w:hAnsi="Arial" w:cs="Arial"/>
          <w:bCs/>
          <w:sz w:val="22"/>
          <w:szCs w:val="22"/>
          <w:lang w:val="fr-FR"/>
        </w:rPr>
        <w:t>’</w:t>
      </w:r>
      <w:r w:rsidRPr="00655EE0">
        <w:rPr>
          <w:rFonts w:ascii="Arial" w:hAnsi="Arial" w:cs="Arial"/>
          <w:bCs/>
          <w:sz w:val="22"/>
          <w:szCs w:val="22"/>
          <w:lang w:val="fr-FR"/>
        </w:rPr>
        <w:t xml:space="preserve">élection </w:t>
      </w:r>
      <w:r>
        <w:rPr>
          <w:rFonts w:ascii="Arial" w:hAnsi="Arial" w:cs="Arial"/>
          <w:bCs/>
          <w:sz w:val="22"/>
          <w:szCs w:val="22"/>
          <w:lang w:val="fr-FR"/>
        </w:rPr>
        <w:t>avaient</w:t>
      </w:r>
      <w:r w:rsidRPr="00655EE0">
        <w:rPr>
          <w:rFonts w:ascii="Arial" w:hAnsi="Arial" w:cs="Arial"/>
          <w:bCs/>
          <w:sz w:val="22"/>
          <w:szCs w:val="22"/>
          <w:lang w:val="fr-FR"/>
        </w:rPr>
        <w:t xml:space="preserve"> déjà été annoncés de manière informelle. Cette fois-ci, la Présidente reconna</w:t>
      </w:r>
      <w:r>
        <w:rPr>
          <w:rFonts w:ascii="Arial" w:hAnsi="Arial" w:cs="Arial"/>
          <w:bCs/>
          <w:sz w:val="22"/>
          <w:szCs w:val="22"/>
          <w:lang w:val="fr-FR"/>
        </w:rPr>
        <w:t>issait officiellement,</w:t>
      </w:r>
      <w:r w:rsidRPr="00655EE0">
        <w:rPr>
          <w:rFonts w:ascii="Arial" w:hAnsi="Arial" w:cs="Arial"/>
          <w:bCs/>
          <w:sz w:val="22"/>
          <w:szCs w:val="22"/>
          <w:lang w:val="fr-FR"/>
        </w:rPr>
        <w:t xml:space="preserve"> </w:t>
      </w:r>
      <w:r>
        <w:rPr>
          <w:rFonts w:ascii="Arial" w:hAnsi="Arial" w:cs="Arial"/>
          <w:bCs/>
          <w:sz w:val="22"/>
          <w:szCs w:val="22"/>
          <w:lang w:val="fr-FR"/>
        </w:rPr>
        <w:t>dans le cadre d</w:t>
      </w:r>
      <w:r w:rsidR="008E532B">
        <w:rPr>
          <w:rFonts w:ascii="Arial" w:hAnsi="Arial" w:cs="Arial"/>
          <w:bCs/>
          <w:sz w:val="22"/>
          <w:szCs w:val="22"/>
          <w:lang w:val="fr-FR"/>
        </w:rPr>
        <w:t>’</w:t>
      </w:r>
      <w:r>
        <w:rPr>
          <w:rFonts w:ascii="Arial" w:hAnsi="Arial" w:cs="Arial"/>
          <w:bCs/>
          <w:sz w:val="22"/>
          <w:szCs w:val="22"/>
          <w:lang w:val="fr-FR"/>
        </w:rPr>
        <w:t>une résolution de l</w:t>
      </w:r>
      <w:r w:rsidR="008E532B">
        <w:rPr>
          <w:rFonts w:ascii="Arial" w:hAnsi="Arial" w:cs="Arial"/>
          <w:bCs/>
          <w:sz w:val="22"/>
          <w:szCs w:val="22"/>
          <w:lang w:val="fr-FR"/>
        </w:rPr>
        <w:t>’</w:t>
      </w:r>
      <w:r>
        <w:rPr>
          <w:rFonts w:ascii="Arial" w:hAnsi="Arial" w:cs="Arial"/>
          <w:bCs/>
          <w:sz w:val="22"/>
          <w:szCs w:val="22"/>
          <w:lang w:val="fr-FR"/>
        </w:rPr>
        <w:t xml:space="preserve">Assemblée générale, </w:t>
      </w:r>
      <w:r w:rsidRPr="00655EE0">
        <w:rPr>
          <w:rFonts w:ascii="Arial" w:hAnsi="Arial" w:cs="Arial"/>
          <w:bCs/>
          <w:sz w:val="22"/>
          <w:szCs w:val="22"/>
          <w:lang w:val="fr-FR"/>
        </w:rPr>
        <w:t xml:space="preserve">les nouveaux membres </w:t>
      </w:r>
      <w:r>
        <w:rPr>
          <w:rFonts w:ascii="Arial" w:hAnsi="Arial" w:cs="Arial"/>
          <w:bCs/>
          <w:sz w:val="22"/>
          <w:szCs w:val="22"/>
          <w:lang w:val="fr-FR"/>
        </w:rPr>
        <w:t>du Comité</w:t>
      </w:r>
      <w:r w:rsidRPr="00655EE0">
        <w:rPr>
          <w:rFonts w:ascii="Arial" w:hAnsi="Arial" w:cs="Arial"/>
          <w:bCs/>
          <w:sz w:val="22"/>
          <w:szCs w:val="22"/>
          <w:lang w:val="fr-FR"/>
        </w:rPr>
        <w:t>. La Présidente a rappelé que le vote à bulletin</w:t>
      </w:r>
      <w:r>
        <w:rPr>
          <w:rFonts w:ascii="Arial" w:hAnsi="Arial" w:cs="Arial"/>
          <w:bCs/>
          <w:sz w:val="22"/>
          <w:szCs w:val="22"/>
          <w:lang w:val="fr-FR"/>
        </w:rPr>
        <w:t>s</w:t>
      </w:r>
      <w:r w:rsidRPr="00655EE0">
        <w:rPr>
          <w:rFonts w:ascii="Arial" w:hAnsi="Arial" w:cs="Arial"/>
          <w:bCs/>
          <w:sz w:val="22"/>
          <w:szCs w:val="22"/>
          <w:lang w:val="fr-FR"/>
        </w:rPr>
        <w:t xml:space="preserve"> secret</w:t>
      </w:r>
      <w:r>
        <w:rPr>
          <w:rFonts w:ascii="Arial" w:hAnsi="Arial" w:cs="Arial"/>
          <w:bCs/>
          <w:sz w:val="22"/>
          <w:szCs w:val="22"/>
          <w:lang w:val="fr-FR"/>
        </w:rPr>
        <w:t>s</w:t>
      </w:r>
      <w:r w:rsidRPr="00655EE0">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avait été</w:t>
      </w:r>
      <w:r w:rsidRPr="00655EE0">
        <w:rPr>
          <w:rFonts w:ascii="Arial" w:hAnsi="Arial" w:cs="Arial"/>
          <w:bCs/>
          <w:sz w:val="22"/>
          <w:szCs w:val="22"/>
          <w:lang w:val="fr-FR"/>
        </w:rPr>
        <w:t xml:space="preserve"> requis que pour les groupes II, IV et V(b). Elle </w:t>
      </w:r>
      <w:r>
        <w:rPr>
          <w:rFonts w:ascii="Arial" w:hAnsi="Arial" w:cs="Arial"/>
          <w:bCs/>
          <w:sz w:val="22"/>
          <w:szCs w:val="22"/>
          <w:lang w:val="fr-FR"/>
        </w:rPr>
        <w:t xml:space="preserve">a </w:t>
      </w:r>
      <w:r w:rsidRPr="00655EE0">
        <w:rPr>
          <w:rFonts w:ascii="Arial" w:hAnsi="Arial" w:cs="Arial"/>
          <w:bCs/>
          <w:sz w:val="22"/>
          <w:szCs w:val="22"/>
          <w:lang w:val="fr-FR"/>
        </w:rPr>
        <w:t>remerci</w:t>
      </w:r>
      <w:r>
        <w:rPr>
          <w:rFonts w:ascii="Arial" w:hAnsi="Arial" w:cs="Arial"/>
          <w:bCs/>
          <w:sz w:val="22"/>
          <w:szCs w:val="22"/>
          <w:lang w:val="fr-FR"/>
        </w:rPr>
        <w:t>é</w:t>
      </w:r>
      <w:r w:rsidRPr="00655EE0">
        <w:rPr>
          <w:rFonts w:ascii="Arial" w:hAnsi="Arial" w:cs="Arial"/>
          <w:bCs/>
          <w:sz w:val="22"/>
          <w:szCs w:val="22"/>
          <w:lang w:val="fr-FR"/>
        </w:rPr>
        <w:t xml:space="preserve"> les scrutateurs, </w:t>
      </w:r>
      <w:r w:rsidR="008D65C3">
        <w:rPr>
          <w:rFonts w:ascii="Arial" w:hAnsi="Arial" w:cs="Arial"/>
          <w:bCs/>
          <w:sz w:val="22"/>
          <w:szCs w:val="22"/>
          <w:lang w:val="fr-FR"/>
        </w:rPr>
        <w:t>Mme</w:t>
      </w:r>
      <w:r>
        <w:rPr>
          <w:rFonts w:ascii="Arial" w:hAnsi="Arial" w:cs="Arial"/>
          <w:bCs/>
          <w:sz w:val="22"/>
          <w:szCs w:val="22"/>
          <w:lang w:val="fr-FR"/>
        </w:rPr>
        <w:t> </w:t>
      </w:r>
      <w:r w:rsidRPr="00655EE0">
        <w:rPr>
          <w:rFonts w:ascii="Arial" w:hAnsi="Arial" w:cs="Arial"/>
          <w:bCs/>
          <w:sz w:val="22"/>
          <w:szCs w:val="22"/>
          <w:lang w:val="fr-FR"/>
        </w:rPr>
        <w:t>Paola</w:t>
      </w:r>
      <w:r>
        <w:rPr>
          <w:rFonts w:ascii="Arial" w:hAnsi="Arial" w:cs="Arial"/>
          <w:bCs/>
          <w:sz w:val="22"/>
          <w:szCs w:val="22"/>
          <w:lang w:val="fr-FR"/>
        </w:rPr>
        <w:t xml:space="preserve"> </w:t>
      </w:r>
      <w:r w:rsidRPr="00655EE0">
        <w:rPr>
          <w:rFonts w:ascii="Arial" w:hAnsi="Arial" w:cs="Arial"/>
          <w:bCs/>
          <w:sz w:val="22"/>
          <w:szCs w:val="22"/>
          <w:lang w:val="fr-FR"/>
        </w:rPr>
        <w:t>Gómez</w:t>
      </w:r>
      <w:r>
        <w:rPr>
          <w:rFonts w:ascii="Arial" w:hAnsi="Arial" w:cs="Arial"/>
          <w:bCs/>
          <w:sz w:val="22"/>
          <w:szCs w:val="22"/>
          <w:lang w:val="fr-FR"/>
        </w:rPr>
        <w:t xml:space="preserve"> </w:t>
      </w:r>
      <w:r w:rsidRPr="00655EE0">
        <w:rPr>
          <w:rFonts w:ascii="Arial" w:hAnsi="Arial" w:cs="Arial"/>
          <w:bCs/>
          <w:sz w:val="22"/>
          <w:szCs w:val="22"/>
          <w:lang w:val="fr-FR"/>
        </w:rPr>
        <w:t>Barletta du Panama et M.</w:t>
      </w:r>
      <w:r>
        <w:rPr>
          <w:rFonts w:ascii="Arial" w:hAnsi="Arial" w:cs="Arial"/>
          <w:bCs/>
          <w:sz w:val="22"/>
          <w:szCs w:val="22"/>
          <w:lang w:val="fr-FR"/>
        </w:rPr>
        <w:t> </w:t>
      </w:r>
      <w:r w:rsidRPr="00655EE0">
        <w:rPr>
          <w:rFonts w:ascii="Arial" w:hAnsi="Arial" w:cs="Arial"/>
          <w:bCs/>
          <w:sz w:val="22"/>
          <w:szCs w:val="22"/>
          <w:lang w:val="fr-FR"/>
        </w:rPr>
        <w:t xml:space="preserve">Julius </w:t>
      </w:r>
      <w:proofErr w:type="spellStart"/>
      <w:r w:rsidRPr="00655EE0">
        <w:rPr>
          <w:rFonts w:ascii="Arial" w:hAnsi="Arial" w:cs="Arial"/>
          <w:bCs/>
          <w:sz w:val="22"/>
          <w:szCs w:val="22"/>
          <w:lang w:val="fr-FR"/>
        </w:rPr>
        <w:t>Shoboi</w:t>
      </w:r>
      <w:proofErr w:type="spellEnd"/>
      <w:r w:rsidRPr="00655EE0">
        <w:rPr>
          <w:rFonts w:ascii="Arial" w:hAnsi="Arial" w:cs="Arial"/>
          <w:bCs/>
          <w:sz w:val="22"/>
          <w:szCs w:val="22"/>
          <w:lang w:val="fr-FR"/>
        </w:rPr>
        <w:t xml:space="preserve"> </w:t>
      </w:r>
      <w:proofErr w:type="spellStart"/>
      <w:r w:rsidRPr="00655EE0">
        <w:rPr>
          <w:rFonts w:ascii="Arial" w:hAnsi="Arial" w:cs="Arial"/>
          <w:bCs/>
          <w:sz w:val="22"/>
          <w:szCs w:val="22"/>
          <w:lang w:val="fr-FR"/>
        </w:rPr>
        <w:t>Mwahunga</w:t>
      </w:r>
      <w:proofErr w:type="spellEnd"/>
      <w:r w:rsidRPr="00655EE0">
        <w:rPr>
          <w:rFonts w:ascii="Arial" w:hAnsi="Arial" w:cs="Arial"/>
          <w:bCs/>
          <w:sz w:val="22"/>
          <w:szCs w:val="22"/>
          <w:lang w:val="fr-FR"/>
        </w:rPr>
        <w:t xml:space="preserve"> du Kenya.</w:t>
      </w:r>
    </w:p>
    <w:p w14:paraId="1AA7A582" w14:textId="0B9FE46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C5FAE">
        <w:rPr>
          <w:rFonts w:ascii="Arial" w:hAnsi="Arial" w:cs="Arial"/>
          <w:bCs/>
          <w:sz w:val="22"/>
          <w:szCs w:val="22"/>
          <w:lang w:val="fr-FR"/>
        </w:rPr>
        <w:t xml:space="preserve">Le </w:t>
      </w:r>
      <w:r w:rsidRPr="005C5FAE">
        <w:rPr>
          <w:rFonts w:ascii="Arial" w:hAnsi="Arial" w:cs="Arial"/>
          <w:b/>
          <w:sz w:val="22"/>
          <w:szCs w:val="22"/>
          <w:lang w:val="fr-FR"/>
        </w:rPr>
        <w:t>Sous-Directeur général</w:t>
      </w:r>
      <w:r w:rsidRPr="005C5FAE">
        <w:rPr>
          <w:rFonts w:ascii="Arial" w:hAnsi="Arial" w:cs="Arial"/>
          <w:bCs/>
          <w:sz w:val="22"/>
          <w:szCs w:val="22"/>
          <w:lang w:val="fr-FR"/>
        </w:rPr>
        <w:t xml:space="preserve"> a annoncé les résultats com</w:t>
      </w:r>
      <w:r>
        <w:rPr>
          <w:rFonts w:ascii="Arial" w:hAnsi="Arial" w:cs="Arial"/>
          <w:bCs/>
          <w:sz w:val="22"/>
          <w:szCs w:val="22"/>
          <w:lang w:val="fr-FR"/>
        </w:rPr>
        <w:t>me suit :</w:t>
      </w:r>
      <w:r w:rsidRPr="005C5FAE">
        <w:rPr>
          <w:rFonts w:ascii="Arial" w:hAnsi="Arial" w:cs="Arial"/>
          <w:bCs/>
          <w:sz w:val="22"/>
          <w:szCs w:val="22"/>
          <w:lang w:val="fr-FR"/>
        </w:rPr>
        <w:t xml:space="preserve"> </w:t>
      </w:r>
      <w:r>
        <w:rPr>
          <w:rFonts w:ascii="Arial" w:hAnsi="Arial" w:cs="Arial"/>
          <w:bCs/>
          <w:sz w:val="22"/>
          <w:szCs w:val="22"/>
          <w:lang w:val="fr-FR"/>
        </w:rPr>
        <w:t>d</w:t>
      </w:r>
      <w:r w:rsidRPr="005C5FAE">
        <w:rPr>
          <w:rFonts w:ascii="Arial" w:hAnsi="Arial" w:cs="Arial"/>
          <w:bCs/>
          <w:sz w:val="22"/>
          <w:szCs w:val="22"/>
          <w:lang w:val="fr-FR"/>
        </w:rPr>
        <w:t xml:space="preserve">ans le </w:t>
      </w:r>
      <w:r w:rsidRPr="005C5FAE">
        <w:rPr>
          <w:rFonts w:ascii="Arial" w:hAnsi="Arial" w:cs="Arial"/>
          <w:b/>
          <w:sz w:val="22"/>
          <w:szCs w:val="22"/>
          <w:lang w:val="fr-FR"/>
        </w:rPr>
        <w:t>Groupe I</w:t>
      </w:r>
      <w:r>
        <w:rPr>
          <w:rFonts w:ascii="Arial" w:hAnsi="Arial" w:cs="Arial"/>
          <w:bCs/>
          <w:sz w:val="22"/>
          <w:szCs w:val="22"/>
          <w:lang w:val="fr-FR"/>
        </w:rPr>
        <w:t>,</w:t>
      </w:r>
      <w:r w:rsidRPr="005C5FAE">
        <w:rPr>
          <w:rFonts w:ascii="Arial" w:hAnsi="Arial" w:cs="Arial"/>
          <w:bCs/>
          <w:sz w:val="22"/>
          <w:szCs w:val="22"/>
          <w:lang w:val="fr-FR"/>
        </w:rPr>
        <w:t xml:space="preserve"> l</w:t>
      </w:r>
      <w:r w:rsidR="008E532B">
        <w:rPr>
          <w:rFonts w:ascii="Arial" w:hAnsi="Arial" w:cs="Arial"/>
          <w:bCs/>
          <w:sz w:val="22"/>
          <w:szCs w:val="22"/>
          <w:lang w:val="fr-FR"/>
        </w:rPr>
        <w:t>’</w:t>
      </w:r>
      <w:r w:rsidRPr="005C5FAE">
        <w:rPr>
          <w:rFonts w:ascii="Arial" w:hAnsi="Arial" w:cs="Arial"/>
          <w:b/>
          <w:sz w:val="22"/>
          <w:szCs w:val="22"/>
          <w:lang w:val="fr-FR"/>
        </w:rPr>
        <w:t>Allemagne</w:t>
      </w:r>
      <w:r w:rsidRPr="005C5FAE">
        <w:rPr>
          <w:rFonts w:ascii="Arial" w:hAnsi="Arial" w:cs="Arial"/>
          <w:bCs/>
          <w:sz w:val="22"/>
          <w:szCs w:val="22"/>
          <w:lang w:val="fr-FR"/>
        </w:rPr>
        <w:t xml:space="preserve"> </w:t>
      </w:r>
      <w:r>
        <w:rPr>
          <w:rFonts w:ascii="Arial" w:hAnsi="Arial" w:cs="Arial"/>
          <w:bCs/>
          <w:sz w:val="22"/>
          <w:szCs w:val="22"/>
          <w:lang w:val="fr-FR"/>
        </w:rPr>
        <w:t>était</w:t>
      </w:r>
      <w:r w:rsidRPr="005C5FAE">
        <w:rPr>
          <w:rFonts w:ascii="Arial" w:hAnsi="Arial" w:cs="Arial"/>
          <w:bCs/>
          <w:sz w:val="22"/>
          <w:szCs w:val="22"/>
          <w:lang w:val="fr-FR"/>
        </w:rPr>
        <w:t xml:space="preserve"> élue </w:t>
      </w:r>
      <w:r>
        <w:rPr>
          <w:rFonts w:ascii="Arial" w:hAnsi="Arial" w:cs="Arial"/>
          <w:bCs/>
          <w:sz w:val="22"/>
          <w:szCs w:val="22"/>
          <w:lang w:val="fr-FR"/>
        </w:rPr>
        <w:t>suite à une liste optimale ; d</w:t>
      </w:r>
      <w:r w:rsidRPr="005C5FAE">
        <w:rPr>
          <w:rFonts w:ascii="Arial" w:hAnsi="Arial" w:cs="Arial"/>
          <w:bCs/>
          <w:sz w:val="22"/>
          <w:szCs w:val="22"/>
          <w:lang w:val="fr-FR"/>
        </w:rPr>
        <w:t xml:space="preserve">ans le </w:t>
      </w:r>
      <w:r w:rsidRPr="005C5FAE">
        <w:rPr>
          <w:rFonts w:ascii="Arial" w:hAnsi="Arial" w:cs="Arial"/>
          <w:b/>
          <w:sz w:val="22"/>
          <w:szCs w:val="22"/>
          <w:lang w:val="fr-FR"/>
        </w:rPr>
        <w:t>Groupe II</w:t>
      </w:r>
      <w:r>
        <w:rPr>
          <w:rFonts w:ascii="Arial" w:hAnsi="Arial" w:cs="Arial"/>
          <w:bCs/>
          <w:sz w:val="22"/>
          <w:szCs w:val="22"/>
          <w:lang w:val="fr-FR"/>
        </w:rPr>
        <w:t xml:space="preserve">, </w:t>
      </w:r>
      <w:r w:rsidRPr="005C5FAE">
        <w:rPr>
          <w:rFonts w:ascii="Arial" w:hAnsi="Arial" w:cs="Arial"/>
          <w:bCs/>
          <w:sz w:val="22"/>
          <w:szCs w:val="22"/>
          <w:lang w:val="fr-FR"/>
        </w:rPr>
        <w:t xml:space="preserve">la </w:t>
      </w:r>
      <w:r w:rsidRPr="005C5FAE">
        <w:rPr>
          <w:rFonts w:ascii="Arial" w:hAnsi="Arial" w:cs="Arial"/>
          <w:b/>
          <w:sz w:val="22"/>
          <w:szCs w:val="22"/>
          <w:lang w:val="fr-FR"/>
        </w:rPr>
        <w:t>Slovaquie</w:t>
      </w:r>
      <w:r w:rsidRPr="005C5FAE">
        <w:rPr>
          <w:rFonts w:ascii="Arial" w:hAnsi="Arial" w:cs="Arial"/>
          <w:bCs/>
          <w:sz w:val="22"/>
          <w:szCs w:val="22"/>
          <w:lang w:val="fr-FR"/>
        </w:rPr>
        <w:t xml:space="preserve"> </w:t>
      </w:r>
      <w:r>
        <w:rPr>
          <w:rFonts w:ascii="Arial" w:hAnsi="Arial" w:cs="Arial"/>
          <w:bCs/>
          <w:sz w:val="22"/>
          <w:szCs w:val="22"/>
          <w:lang w:val="fr-FR"/>
        </w:rPr>
        <w:t>était</w:t>
      </w:r>
      <w:r w:rsidRPr="005C5FAE">
        <w:rPr>
          <w:rFonts w:ascii="Arial" w:hAnsi="Arial" w:cs="Arial"/>
          <w:bCs/>
          <w:sz w:val="22"/>
          <w:szCs w:val="22"/>
          <w:lang w:val="fr-FR"/>
        </w:rPr>
        <w:t xml:space="preserve"> élue avec </w:t>
      </w:r>
      <w:r>
        <w:rPr>
          <w:rFonts w:ascii="Arial" w:hAnsi="Arial" w:cs="Arial"/>
          <w:bCs/>
          <w:sz w:val="22"/>
          <w:szCs w:val="22"/>
          <w:lang w:val="fr-FR"/>
        </w:rPr>
        <w:t>quatre</w:t>
      </w:r>
      <w:r>
        <w:rPr>
          <w:rFonts w:ascii="Arial" w:hAnsi="Arial" w:cs="Arial"/>
          <w:bCs/>
          <w:sz w:val="22"/>
          <w:szCs w:val="22"/>
          <w:lang w:val="fr-FR"/>
        </w:rPr>
        <w:noBreakHyphen/>
        <w:t>vingt</w:t>
      </w:r>
      <w:r>
        <w:rPr>
          <w:rFonts w:ascii="Arial" w:hAnsi="Arial" w:cs="Arial"/>
          <w:bCs/>
          <w:sz w:val="22"/>
          <w:szCs w:val="22"/>
          <w:lang w:val="fr-FR"/>
        </w:rPr>
        <w:noBreakHyphen/>
        <w:t>quatorze</w:t>
      </w:r>
      <w:r w:rsidRPr="005C5FAE">
        <w:rPr>
          <w:rFonts w:ascii="Arial" w:hAnsi="Arial" w:cs="Arial"/>
          <w:bCs/>
          <w:sz w:val="22"/>
          <w:szCs w:val="22"/>
          <w:lang w:val="fr-FR"/>
        </w:rPr>
        <w:t xml:space="preserve"> voix, l</w:t>
      </w:r>
      <w:r w:rsidR="008E532B">
        <w:rPr>
          <w:rFonts w:ascii="Arial" w:hAnsi="Arial" w:cs="Arial"/>
          <w:bCs/>
          <w:sz w:val="22"/>
          <w:szCs w:val="22"/>
          <w:lang w:val="fr-FR"/>
        </w:rPr>
        <w:t>’</w:t>
      </w:r>
      <w:r w:rsidRPr="005C5FAE">
        <w:rPr>
          <w:rFonts w:ascii="Arial" w:hAnsi="Arial" w:cs="Arial"/>
          <w:b/>
          <w:sz w:val="22"/>
          <w:szCs w:val="22"/>
          <w:lang w:val="fr-FR"/>
        </w:rPr>
        <w:t>Ouzbékistan</w:t>
      </w:r>
      <w:r w:rsidRPr="005C5FAE">
        <w:rPr>
          <w:rFonts w:ascii="Arial" w:hAnsi="Arial" w:cs="Arial"/>
          <w:bCs/>
          <w:sz w:val="22"/>
          <w:szCs w:val="22"/>
          <w:lang w:val="fr-FR"/>
        </w:rPr>
        <w:t xml:space="preserve"> </w:t>
      </w:r>
      <w:r>
        <w:rPr>
          <w:rFonts w:ascii="Arial" w:hAnsi="Arial" w:cs="Arial"/>
          <w:bCs/>
          <w:sz w:val="22"/>
          <w:szCs w:val="22"/>
          <w:lang w:val="fr-FR"/>
        </w:rPr>
        <w:t>était</w:t>
      </w:r>
      <w:r w:rsidRPr="005C5FAE">
        <w:rPr>
          <w:rFonts w:ascii="Arial" w:hAnsi="Arial" w:cs="Arial"/>
          <w:bCs/>
          <w:sz w:val="22"/>
          <w:szCs w:val="22"/>
          <w:lang w:val="fr-FR"/>
        </w:rPr>
        <w:t xml:space="preserve"> élu avec 105 voix, la Bosnie-Herzégovine a</w:t>
      </w:r>
      <w:r>
        <w:rPr>
          <w:rFonts w:ascii="Arial" w:hAnsi="Arial" w:cs="Arial"/>
          <w:bCs/>
          <w:sz w:val="22"/>
          <w:szCs w:val="22"/>
          <w:lang w:val="fr-FR"/>
        </w:rPr>
        <w:t>vait</w:t>
      </w:r>
      <w:r w:rsidRPr="005C5FAE">
        <w:rPr>
          <w:rFonts w:ascii="Arial" w:hAnsi="Arial" w:cs="Arial"/>
          <w:bCs/>
          <w:sz w:val="22"/>
          <w:szCs w:val="22"/>
          <w:lang w:val="fr-FR"/>
        </w:rPr>
        <w:t xml:space="preserve"> </w:t>
      </w:r>
      <w:r>
        <w:rPr>
          <w:rFonts w:ascii="Arial" w:hAnsi="Arial" w:cs="Arial"/>
          <w:bCs/>
          <w:sz w:val="22"/>
          <w:szCs w:val="22"/>
          <w:lang w:val="fr-FR"/>
        </w:rPr>
        <w:t>obtenu</w:t>
      </w:r>
      <w:r w:rsidRPr="005C5FAE">
        <w:rPr>
          <w:rFonts w:ascii="Arial" w:hAnsi="Arial" w:cs="Arial"/>
          <w:bCs/>
          <w:sz w:val="22"/>
          <w:szCs w:val="22"/>
          <w:lang w:val="fr-FR"/>
        </w:rPr>
        <w:t xml:space="preserve"> neuf voix, la Bulgarie </w:t>
      </w:r>
      <w:r>
        <w:rPr>
          <w:rFonts w:ascii="Arial" w:hAnsi="Arial" w:cs="Arial"/>
          <w:bCs/>
          <w:sz w:val="22"/>
          <w:szCs w:val="22"/>
          <w:lang w:val="fr-FR"/>
        </w:rPr>
        <w:t>vingt</w:t>
      </w:r>
      <w:r>
        <w:rPr>
          <w:rFonts w:ascii="Arial" w:hAnsi="Arial" w:cs="Arial"/>
          <w:bCs/>
          <w:sz w:val="22"/>
          <w:szCs w:val="22"/>
          <w:lang w:val="fr-FR"/>
        </w:rPr>
        <w:noBreakHyphen/>
        <w:t>six</w:t>
      </w:r>
      <w:r w:rsidRPr="005C5FAE">
        <w:rPr>
          <w:rFonts w:ascii="Arial" w:hAnsi="Arial" w:cs="Arial"/>
          <w:bCs/>
          <w:sz w:val="22"/>
          <w:szCs w:val="22"/>
          <w:lang w:val="fr-FR"/>
        </w:rPr>
        <w:t xml:space="preserve"> voix et l</w:t>
      </w:r>
      <w:r w:rsidR="008E532B">
        <w:rPr>
          <w:rFonts w:ascii="Arial" w:hAnsi="Arial" w:cs="Arial"/>
          <w:bCs/>
          <w:sz w:val="22"/>
          <w:szCs w:val="22"/>
          <w:lang w:val="fr-FR"/>
        </w:rPr>
        <w:t>’</w:t>
      </w:r>
      <w:r w:rsidRPr="005C5FAE">
        <w:rPr>
          <w:rFonts w:ascii="Arial" w:hAnsi="Arial" w:cs="Arial"/>
          <w:bCs/>
          <w:sz w:val="22"/>
          <w:szCs w:val="22"/>
          <w:lang w:val="fr-FR"/>
        </w:rPr>
        <w:t>Estonie</w:t>
      </w:r>
      <w:r>
        <w:rPr>
          <w:rFonts w:ascii="Arial" w:hAnsi="Arial" w:cs="Arial"/>
          <w:bCs/>
          <w:sz w:val="22"/>
          <w:szCs w:val="22"/>
          <w:lang w:val="fr-FR"/>
        </w:rPr>
        <w:t xml:space="preserve"> soixante</w:t>
      </w:r>
      <w:r>
        <w:rPr>
          <w:rFonts w:ascii="Arial" w:hAnsi="Arial" w:cs="Arial"/>
          <w:bCs/>
          <w:sz w:val="22"/>
          <w:szCs w:val="22"/>
          <w:lang w:val="fr-FR"/>
        </w:rPr>
        <w:noBreakHyphen/>
        <w:t>neuf</w:t>
      </w:r>
      <w:r w:rsidRPr="005C5FAE">
        <w:rPr>
          <w:rFonts w:ascii="Arial" w:hAnsi="Arial" w:cs="Arial"/>
          <w:bCs/>
          <w:sz w:val="22"/>
          <w:szCs w:val="22"/>
          <w:lang w:val="fr-FR"/>
        </w:rPr>
        <w:t xml:space="preserve"> voix</w:t>
      </w:r>
      <w:r>
        <w:rPr>
          <w:rFonts w:ascii="Arial" w:hAnsi="Arial" w:cs="Arial"/>
          <w:bCs/>
          <w:sz w:val="22"/>
          <w:szCs w:val="22"/>
          <w:lang w:val="fr-FR"/>
        </w:rPr>
        <w:t> ; d</w:t>
      </w:r>
      <w:r w:rsidRPr="005C5FAE">
        <w:rPr>
          <w:rFonts w:ascii="Arial" w:hAnsi="Arial" w:cs="Arial"/>
          <w:bCs/>
          <w:sz w:val="22"/>
          <w:szCs w:val="22"/>
          <w:lang w:val="fr-FR"/>
        </w:rPr>
        <w:t xml:space="preserve">ans le </w:t>
      </w:r>
      <w:r w:rsidRPr="005C5FAE">
        <w:rPr>
          <w:rFonts w:ascii="Arial" w:hAnsi="Arial" w:cs="Arial"/>
          <w:b/>
          <w:sz w:val="22"/>
          <w:szCs w:val="22"/>
          <w:lang w:val="fr-FR"/>
        </w:rPr>
        <w:t>Groupe III</w:t>
      </w:r>
      <w:r>
        <w:rPr>
          <w:rFonts w:ascii="Arial" w:hAnsi="Arial" w:cs="Arial"/>
          <w:bCs/>
          <w:sz w:val="22"/>
          <w:szCs w:val="22"/>
          <w:lang w:val="fr-FR"/>
        </w:rPr>
        <w:t xml:space="preserve">, </w:t>
      </w:r>
      <w:r w:rsidRPr="005C5FAE">
        <w:rPr>
          <w:rFonts w:ascii="Arial" w:hAnsi="Arial" w:cs="Arial"/>
          <w:bCs/>
          <w:sz w:val="22"/>
          <w:szCs w:val="22"/>
          <w:lang w:val="fr-FR"/>
        </w:rPr>
        <w:t xml:space="preserve">le </w:t>
      </w:r>
      <w:r w:rsidRPr="005C5FAE">
        <w:rPr>
          <w:rFonts w:ascii="Arial" w:hAnsi="Arial" w:cs="Arial"/>
          <w:b/>
          <w:sz w:val="22"/>
          <w:szCs w:val="22"/>
          <w:lang w:val="fr-FR"/>
        </w:rPr>
        <w:t>Paraguay</w:t>
      </w:r>
      <w:r w:rsidRPr="005C5FAE">
        <w:rPr>
          <w:rFonts w:ascii="Arial" w:hAnsi="Arial" w:cs="Arial"/>
          <w:bCs/>
          <w:sz w:val="22"/>
          <w:szCs w:val="22"/>
          <w:lang w:val="fr-FR"/>
        </w:rPr>
        <w:t xml:space="preserve"> </w:t>
      </w:r>
      <w:r>
        <w:rPr>
          <w:rFonts w:ascii="Arial" w:hAnsi="Arial" w:cs="Arial"/>
          <w:bCs/>
          <w:sz w:val="22"/>
          <w:szCs w:val="22"/>
          <w:lang w:val="fr-FR"/>
        </w:rPr>
        <w:t>était</w:t>
      </w:r>
      <w:r w:rsidRPr="005C5FAE">
        <w:rPr>
          <w:rFonts w:ascii="Arial" w:hAnsi="Arial" w:cs="Arial"/>
          <w:bCs/>
          <w:sz w:val="22"/>
          <w:szCs w:val="22"/>
          <w:lang w:val="fr-FR"/>
        </w:rPr>
        <w:t xml:space="preserve"> élu </w:t>
      </w:r>
      <w:r>
        <w:rPr>
          <w:rFonts w:ascii="Arial" w:hAnsi="Arial" w:cs="Arial"/>
          <w:bCs/>
          <w:sz w:val="22"/>
          <w:szCs w:val="22"/>
          <w:lang w:val="fr-FR"/>
        </w:rPr>
        <w:t>suite à une liste optimale ;</w:t>
      </w:r>
      <w:r w:rsidRPr="005C5FAE">
        <w:rPr>
          <w:rFonts w:ascii="Arial" w:hAnsi="Arial" w:cs="Arial"/>
          <w:bCs/>
          <w:sz w:val="22"/>
          <w:szCs w:val="22"/>
          <w:lang w:val="fr-FR"/>
        </w:rPr>
        <w:t xml:space="preserve"> </w:t>
      </w:r>
      <w:r>
        <w:rPr>
          <w:rFonts w:ascii="Arial" w:hAnsi="Arial" w:cs="Arial"/>
          <w:bCs/>
          <w:sz w:val="22"/>
          <w:szCs w:val="22"/>
          <w:lang w:val="fr-FR"/>
        </w:rPr>
        <w:t>d</w:t>
      </w:r>
      <w:r w:rsidRPr="005C5FAE">
        <w:rPr>
          <w:rFonts w:ascii="Arial" w:hAnsi="Arial" w:cs="Arial"/>
          <w:bCs/>
          <w:sz w:val="22"/>
          <w:szCs w:val="22"/>
          <w:lang w:val="fr-FR"/>
        </w:rPr>
        <w:t xml:space="preserve">ans le </w:t>
      </w:r>
      <w:r w:rsidRPr="005C5FAE">
        <w:rPr>
          <w:rFonts w:ascii="Arial" w:hAnsi="Arial" w:cs="Arial"/>
          <w:b/>
          <w:sz w:val="22"/>
          <w:szCs w:val="22"/>
          <w:lang w:val="fr-FR"/>
        </w:rPr>
        <w:t>Groupe IV</w:t>
      </w:r>
      <w:r>
        <w:rPr>
          <w:rFonts w:ascii="Arial" w:hAnsi="Arial" w:cs="Arial"/>
          <w:bCs/>
          <w:sz w:val="22"/>
          <w:szCs w:val="22"/>
          <w:lang w:val="fr-FR"/>
        </w:rPr>
        <w:t>,</w:t>
      </w:r>
      <w:r w:rsidRPr="005C5FAE">
        <w:rPr>
          <w:rFonts w:ascii="Arial" w:hAnsi="Arial" w:cs="Arial"/>
          <w:bCs/>
          <w:sz w:val="22"/>
          <w:szCs w:val="22"/>
          <w:lang w:val="fr-FR"/>
        </w:rPr>
        <w:t xml:space="preserve"> le </w:t>
      </w:r>
      <w:r w:rsidRPr="005C5FAE">
        <w:rPr>
          <w:rFonts w:ascii="Arial" w:hAnsi="Arial" w:cs="Arial"/>
          <w:b/>
          <w:sz w:val="22"/>
          <w:szCs w:val="22"/>
          <w:lang w:val="fr-FR"/>
        </w:rPr>
        <w:t>Bangladesh</w:t>
      </w:r>
      <w:r w:rsidRPr="005C5FAE">
        <w:rPr>
          <w:rFonts w:ascii="Arial" w:hAnsi="Arial" w:cs="Arial"/>
          <w:bCs/>
          <w:sz w:val="22"/>
          <w:szCs w:val="22"/>
          <w:lang w:val="fr-FR"/>
        </w:rPr>
        <w:t xml:space="preserve"> </w:t>
      </w:r>
      <w:r>
        <w:rPr>
          <w:rFonts w:ascii="Arial" w:hAnsi="Arial" w:cs="Arial"/>
          <w:bCs/>
          <w:sz w:val="22"/>
          <w:szCs w:val="22"/>
          <w:lang w:val="fr-FR"/>
        </w:rPr>
        <w:t xml:space="preserve">était </w:t>
      </w:r>
      <w:r w:rsidRPr="005C5FAE">
        <w:rPr>
          <w:rFonts w:ascii="Arial" w:hAnsi="Arial" w:cs="Arial"/>
          <w:bCs/>
          <w:sz w:val="22"/>
          <w:szCs w:val="22"/>
          <w:lang w:val="fr-FR"/>
        </w:rPr>
        <w:t xml:space="preserve">élu avec </w:t>
      </w:r>
      <w:r>
        <w:rPr>
          <w:rFonts w:ascii="Arial" w:hAnsi="Arial" w:cs="Arial"/>
          <w:bCs/>
          <w:sz w:val="22"/>
          <w:szCs w:val="22"/>
          <w:lang w:val="fr-FR"/>
        </w:rPr>
        <w:t>quatre</w:t>
      </w:r>
      <w:r>
        <w:rPr>
          <w:rFonts w:ascii="Arial" w:hAnsi="Arial" w:cs="Arial"/>
          <w:bCs/>
          <w:sz w:val="22"/>
          <w:szCs w:val="22"/>
          <w:lang w:val="fr-FR"/>
        </w:rPr>
        <w:noBreakHyphen/>
        <w:t>vingt</w:t>
      </w:r>
      <w:r>
        <w:rPr>
          <w:rFonts w:ascii="Arial" w:hAnsi="Arial" w:cs="Arial"/>
          <w:bCs/>
          <w:sz w:val="22"/>
          <w:szCs w:val="22"/>
          <w:lang w:val="fr-FR"/>
        </w:rPr>
        <w:noBreakHyphen/>
        <w:t>dix</w:t>
      </w:r>
      <w:r>
        <w:rPr>
          <w:rFonts w:ascii="Arial" w:hAnsi="Arial" w:cs="Arial"/>
          <w:bCs/>
          <w:sz w:val="22"/>
          <w:szCs w:val="22"/>
          <w:lang w:val="fr-FR"/>
        </w:rPr>
        <w:noBreakHyphen/>
        <w:t>sept</w:t>
      </w:r>
      <w:r w:rsidRPr="005C5FAE">
        <w:rPr>
          <w:rFonts w:ascii="Arial" w:hAnsi="Arial" w:cs="Arial"/>
          <w:bCs/>
          <w:sz w:val="22"/>
          <w:szCs w:val="22"/>
          <w:lang w:val="fr-FR"/>
        </w:rPr>
        <w:t xml:space="preserve"> voix, l</w:t>
      </w:r>
      <w:r w:rsidR="008E532B">
        <w:rPr>
          <w:rFonts w:ascii="Arial" w:hAnsi="Arial" w:cs="Arial"/>
          <w:bCs/>
          <w:sz w:val="22"/>
          <w:szCs w:val="22"/>
          <w:lang w:val="fr-FR"/>
        </w:rPr>
        <w:t>’</w:t>
      </w:r>
      <w:r w:rsidRPr="005C5FAE">
        <w:rPr>
          <w:rFonts w:ascii="Arial" w:hAnsi="Arial" w:cs="Arial"/>
          <w:b/>
          <w:sz w:val="22"/>
          <w:szCs w:val="22"/>
          <w:lang w:val="fr-FR"/>
        </w:rPr>
        <w:t>Inde</w:t>
      </w:r>
      <w:r w:rsidRPr="005C5FAE">
        <w:rPr>
          <w:rFonts w:ascii="Arial" w:hAnsi="Arial" w:cs="Arial"/>
          <w:bCs/>
          <w:sz w:val="22"/>
          <w:szCs w:val="22"/>
          <w:lang w:val="fr-FR"/>
        </w:rPr>
        <w:t xml:space="preserve"> </w:t>
      </w:r>
      <w:r>
        <w:rPr>
          <w:rFonts w:ascii="Arial" w:hAnsi="Arial" w:cs="Arial"/>
          <w:bCs/>
          <w:sz w:val="22"/>
          <w:szCs w:val="22"/>
          <w:lang w:val="fr-FR"/>
        </w:rPr>
        <w:t xml:space="preserve">était </w:t>
      </w:r>
      <w:r w:rsidRPr="005C5FAE">
        <w:rPr>
          <w:rFonts w:ascii="Arial" w:hAnsi="Arial" w:cs="Arial"/>
          <w:bCs/>
          <w:sz w:val="22"/>
          <w:szCs w:val="22"/>
          <w:lang w:val="fr-FR"/>
        </w:rPr>
        <w:t xml:space="preserve">élue avec 110 voix, la </w:t>
      </w:r>
      <w:r w:rsidRPr="005C5FAE">
        <w:rPr>
          <w:rFonts w:ascii="Arial" w:hAnsi="Arial" w:cs="Arial"/>
          <w:b/>
          <w:sz w:val="22"/>
          <w:szCs w:val="22"/>
          <w:lang w:val="fr-FR"/>
        </w:rPr>
        <w:t>Malaisie</w:t>
      </w:r>
      <w:r w:rsidRPr="005C5FAE">
        <w:rPr>
          <w:rFonts w:ascii="Arial" w:hAnsi="Arial" w:cs="Arial"/>
          <w:bCs/>
          <w:sz w:val="22"/>
          <w:szCs w:val="22"/>
          <w:lang w:val="fr-FR"/>
        </w:rPr>
        <w:t xml:space="preserve"> </w:t>
      </w:r>
      <w:r>
        <w:rPr>
          <w:rFonts w:ascii="Arial" w:hAnsi="Arial" w:cs="Arial"/>
          <w:bCs/>
          <w:sz w:val="22"/>
          <w:szCs w:val="22"/>
          <w:lang w:val="fr-FR"/>
        </w:rPr>
        <w:t xml:space="preserve">était </w:t>
      </w:r>
      <w:r w:rsidRPr="005C5FAE">
        <w:rPr>
          <w:rFonts w:ascii="Arial" w:hAnsi="Arial" w:cs="Arial"/>
          <w:bCs/>
          <w:sz w:val="22"/>
          <w:szCs w:val="22"/>
          <w:lang w:val="fr-FR"/>
        </w:rPr>
        <w:t xml:space="preserve">élue avec 110 voix et le </w:t>
      </w:r>
      <w:r w:rsidRPr="005C5FAE">
        <w:rPr>
          <w:rFonts w:ascii="Arial" w:hAnsi="Arial" w:cs="Arial"/>
          <w:b/>
          <w:sz w:val="22"/>
          <w:szCs w:val="22"/>
          <w:lang w:val="fr-FR"/>
        </w:rPr>
        <w:t>Viet Nam</w:t>
      </w:r>
      <w:r w:rsidRPr="005C5FAE">
        <w:rPr>
          <w:rFonts w:ascii="Arial" w:hAnsi="Arial" w:cs="Arial"/>
          <w:bCs/>
          <w:sz w:val="22"/>
          <w:szCs w:val="22"/>
          <w:lang w:val="fr-FR"/>
        </w:rPr>
        <w:t xml:space="preserve"> </w:t>
      </w:r>
      <w:r>
        <w:rPr>
          <w:rFonts w:ascii="Arial" w:hAnsi="Arial" w:cs="Arial"/>
          <w:bCs/>
          <w:sz w:val="22"/>
          <w:szCs w:val="22"/>
          <w:lang w:val="fr-FR"/>
        </w:rPr>
        <w:t xml:space="preserve">était élu </w:t>
      </w:r>
      <w:r w:rsidRPr="005C5FAE">
        <w:rPr>
          <w:rFonts w:ascii="Arial" w:hAnsi="Arial" w:cs="Arial"/>
          <w:bCs/>
          <w:sz w:val="22"/>
          <w:szCs w:val="22"/>
          <w:lang w:val="fr-FR"/>
        </w:rPr>
        <w:t>avec 120 voix</w:t>
      </w:r>
      <w:r>
        <w:rPr>
          <w:rFonts w:ascii="Arial" w:hAnsi="Arial" w:cs="Arial"/>
          <w:bCs/>
          <w:sz w:val="22"/>
          <w:szCs w:val="22"/>
          <w:lang w:val="fr-FR"/>
        </w:rPr>
        <w:t>, le</w:t>
      </w:r>
      <w:r w:rsidRPr="005C5FAE">
        <w:rPr>
          <w:rFonts w:ascii="Arial" w:hAnsi="Arial" w:cs="Arial"/>
          <w:bCs/>
          <w:sz w:val="22"/>
          <w:szCs w:val="22"/>
          <w:lang w:val="fr-FR"/>
        </w:rPr>
        <w:t xml:space="preserve"> Cambodge a</w:t>
      </w:r>
      <w:r>
        <w:rPr>
          <w:rFonts w:ascii="Arial" w:hAnsi="Arial" w:cs="Arial"/>
          <w:bCs/>
          <w:sz w:val="22"/>
          <w:szCs w:val="22"/>
          <w:lang w:val="fr-FR"/>
        </w:rPr>
        <w:t>vait</w:t>
      </w:r>
      <w:r w:rsidRPr="005C5FAE">
        <w:rPr>
          <w:rFonts w:ascii="Arial" w:hAnsi="Arial" w:cs="Arial"/>
          <w:bCs/>
          <w:sz w:val="22"/>
          <w:szCs w:val="22"/>
          <w:lang w:val="fr-FR"/>
        </w:rPr>
        <w:t xml:space="preserve"> obtenu </w:t>
      </w:r>
      <w:r>
        <w:rPr>
          <w:rFonts w:ascii="Arial" w:hAnsi="Arial" w:cs="Arial"/>
          <w:bCs/>
          <w:sz w:val="22"/>
          <w:szCs w:val="22"/>
          <w:lang w:val="fr-FR"/>
        </w:rPr>
        <w:t>quatre</w:t>
      </w:r>
      <w:r>
        <w:rPr>
          <w:rFonts w:ascii="Arial" w:hAnsi="Arial" w:cs="Arial"/>
          <w:bCs/>
          <w:sz w:val="22"/>
          <w:szCs w:val="22"/>
          <w:lang w:val="fr-FR"/>
        </w:rPr>
        <w:noBreakHyphen/>
        <w:t>vingt</w:t>
      </w:r>
      <w:r>
        <w:rPr>
          <w:rFonts w:ascii="Arial" w:hAnsi="Arial" w:cs="Arial"/>
          <w:bCs/>
          <w:sz w:val="22"/>
          <w:szCs w:val="22"/>
          <w:lang w:val="fr-FR"/>
        </w:rPr>
        <w:noBreakHyphen/>
        <w:t xml:space="preserve">quinze </w:t>
      </w:r>
      <w:r w:rsidRPr="005C5FAE">
        <w:rPr>
          <w:rFonts w:ascii="Arial" w:hAnsi="Arial" w:cs="Arial"/>
          <w:bCs/>
          <w:sz w:val="22"/>
          <w:szCs w:val="22"/>
          <w:lang w:val="fr-FR"/>
        </w:rPr>
        <w:t xml:space="preserve">voix et la Thaïlande </w:t>
      </w:r>
      <w:r>
        <w:rPr>
          <w:rFonts w:ascii="Arial" w:hAnsi="Arial" w:cs="Arial"/>
          <w:bCs/>
          <w:sz w:val="22"/>
          <w:szCs w:val="22"/>
          <w:lang w:val="fr-FR"/>
        </w:rPr>
        <w:t>soixante</w:t>
      </w:r>
      <w:r>
        <w:rPr>
          <w:rFonts w:ascii="Arial" w:hAnsi="Arial" w:cs="Arial"/>
          <w:bCs/>
          <w:sz w:val="22"/>
          <w:szCs w:val="22"/>
          <w:lang w:val="fr-FR"/>
        </w:rPr>
        <w:noBreakHyphen/>
        <w:t>quinze</w:t>
      </w:r>
      <w:r w:rsidRPr="005C5FAE">
        <w:rPr>
          <w:rFonts w:ascii="Arial" w:hAnsi="Arial" w:cs="Arial"/>
          <w:bCs/>
          <w:sz w:val="22"/>
          <w:szCs w:val="22"/>
          <w:lang w:val="fr-FR"/>
        </w:rPr>
        <w:t xml:space="preserve"> voix</w:t>
      </w:r>
      <w:r>
        <w:rPr>
          <w:rFonts w:ascii="Arial" w:hAnsi="Arial" w:cs="Arial"/>
          <w:bCs/>
          <w:sz w:val="22"/>
          <w:szCs w:val="22"/>
          <w:lang w:val="fr-FR"/>
        </w:rPr>
        <w:t> ; d</w:t>
      </w:r>
      <w:r w:rsidRPr="005C5FAE">
        <w:rPr>
          <w:rFonts w:ascii="Arial" w:hAnsi="Arial" w:cs="Arial"/>
          <w:bCs/>
          <w:sz w:val="22"/>
          <w:szCs w:val="22"/>
          <w:lang w:val="fr-FR"/>
        </w:rPr>
        <w:t xml:space="preserve">ans le </w:t>
      </w:r>
      <w:r w:rsidRPr="005C5FAE">
        <w:rPr>
          <w:rFonts w:ascii="Arial" w:hAnsi="Arial" w:cs="Arial"/>
          <w:b/>
          <w:sz w:val="22"/>
          <w:szCs w:val="22"/>
          <w:lang w:val="fr-FR"/>
        </w:rPr>
        <w:t>Groupe V(a)</w:t>
      </w:r>
      <w:r>
        <w:rPr>
          <w:rFonts w:ascii="Arial" w:hAnsi="Arial" w:cs="Arial"/>
          <w:bCs/>
          <w:sz w:val="22"/>
          <w:szCs w:val="22"/>
          <w:lang w:val="fr-FR"/>
        </w:rPr>
        <w:t>, l</w:t>
      </w:r>
      <w:r w:rsidR="008E532B">
        <w:rPr>
          <w:rFonts w:ascii="Arial" w:hAnsi="Arial" w:cs="Arial"/>
          <w:bCs/>
          <w:sz w:val="22"/>
          <w:szCs w:val="22"/>
          <w:lang w:val="fr-FR"/>
        </w:rPr>
        <w:t>’</w:t>
      </w:r>
      <w:r w:rsidRPr="005C5FAE">
        <w:rPr>
          <w:rFonts w:ascii="Arial" w:hAnsi="Arial" w:cs="Arial"/>
          <w:b/>
          <w:sz w:val="22"/>
          <w:szCs w:val="22"/>
          <w:lang w:val="fr-FR"/>
        </w:rPr>
        <w:t>Angola</w:t>
      </w:r>
      <w:r w:rsidRPr="005C5FAE">
        <w:rPr>
          <w:rFonts w:ascii="Arial" w:hAnsi="Arial" w:cs="Arial"/>
          <w:bCs/>
          <w:sz w:val="22"/>
          <w:szCs w:val="22"/>
          <w:lang w:val="fr-FR"/>
        </w:rPr>
        <w:t xml:space="preserve">, le </w:t>
      </w:r>
      <w:r w:rsidRPr="005C5FAE">
        <w:rPr>
          <w:rFonts w:ascii="Arial" w:hAnsi="Arial" w:cs="Arial"/>
          <w:b/>
          <w:sz w:val="22"/>
          <w:szCs w:val="22"/>
          <w:lang w:val="fr-FR"/>
        </w:rPr>
        <w:t>Burkina Faso</w:t>
      </w:r>
      <w:r w:rsidRPr="005C5FAE">
        <w:rPr>
          <w:rFonts w:ascii="Arial" w:hAnsi="Arial" w:cs="Arial"/>
          <w:bCs/>
          <w:sz w:val="22"/>
          <w:szCs w:val="22"/>
          <w:lang w:val="fr-FR"/>
        </w:rPr>
        <w:t xml:space="preserve"> et l</w:t>
      </w:r>
      <w:r w:rsidR="008E532B">
        <w:rPr>
          <w:rFonts w:ascii="Arial" w:hAnsi="Arial" w:cs="Arial"/>
          <w:bCs/>
          <w:sz w:val="22"/>
          <w:szCs w:val="22"/>
          <w:lang w:val="fr-FR"/>
        </w:rPr>
        <w:t>’</w:t>
      </w:r>
      <w:r>
        <w:rPr>
          <w:rFonts w:ascii="Arial" w:hAnsi="Arial" w:cs="Arial"/>
          <w:b/>
          <w:sz w:val="22"/>
          <w:szCs w:val="22"/>
          <w:lang w:val="fr-FR"/>
        </w:rPr>
        <w:t>É</w:t>
      </w:r>
      <w:r w:rsidRPr="005C5FAE">
        <w:rPr>
          <w:rFonts w:ascii="Arial" w:hAnsi="Arial" w:cs="Arial"/>
          <w:b/>
          <w:sz w:val="22"/>
          <w:szCs w:val="22"/>
          <w:lang w:val="fr-FR"/>
        </w:rPr>
        <w:t>thiopie</w:t>
      </w:r>
      <w:r w:rsidRPr="005C5FAE">
        <w:rPr>
          <w:rFonts w:ascii="Arial" w:hAnsi="Arial" w:cs="Arial"/>
          <w:bCs/>
          <w:sz w:val="22"/>
          <w:szCs w:val="22"/>
          <w:lang w:val="fr-FR"/>
        </w:rPr>
        <w:t xml:space="preserve"> </w:t>
      </w:r>
      <w:r>
        <w:rPr>
          <w:rFonts w:ascii="Arial" w:hAnsi="Arial" w:cs="Arial"/>
          <w:bCs/>
          <w:sz w:val="22"/>
          <w:szCs w:val="22"/>
          <w:lang w:val="fr-FR"/>
        </w:rPr>
        <w:t xml:space="preserve">étaient </w:t>
      </w:r>
      <w:r w:rsidRPr="005C5FAE">
        <w:rPr>
          <w:rFonts w:ascii="Arial" w:hAnsi="Arial" w:cs="Arial"/>
          <w:bCs/>
          <w:sz w:val="22"/>
          <w:szCs w:val="22"/>
          <w:lang w:val="fr-FR"/>
        </w:rPr>
        <w:t xml:space="preserve">élus </w:t>
      </w:r>
      <w:r>
        <w:rPr>
          <w:rFonts w:ascii="Arial" w:hAnsi="Arial" w:cs="Arial"/>
          <w:bCs/>
          <w:sz w:val="22"/>
          <w:szCs w:val="22"/>
          <w:lang w:val="fr-FR"/>
        </w:rPr>
        <w:t>suite à une liste optimale ; et d</w:t>
      </w:r>
      <w:r w:rsidRPr="005C5FAE">
        <w:rPr>
          <w:rFonts w:ascii="Arial" w:hAnsi="Arial" w:cs="Arial"/>
          <w:bCs/>
          <w:sz w:val="22"/>
          <w:szCs w:val="22"/>
          <w:lang w:val="fr-FR"/>
        </w:rPr>
        <w:t xml:space="preserve">ans le </w:t>
      </w:r>
      <w:r w:rsidRPr="005C5FAE">
        <w:rPr>
          <w:rFonts w:ascii="Arial" w:hAnsi="Arial" w:cs="Arial"/>
          <w:b/>
          <w:sz w:val="22"/>
          <w:szCs w:val="22"/>
          <w:lang w:val="fr-FR"/>
        </w:rPr>
        <w:t>Groupe V(b)</w:t>
      </w:r>
      <w:r>
        <w:rPr>
          <w:rFonts w:ascii="Arial" w:hAnsi="Arial" w:cs="Arial"/>
          <w:bCs/>
          <w:sz w:val="22"/>
          <w:szCs w:val="22"/>
          <w:lang w:val="fr-FR"/>
        </w:rPr>
        <w:t>,</w:t>
      </w:r>
      <w:r w:rsidRPr="005C5FAE">
        <w:rPr>
          <w:rFonts w:ascii="Arial" w:hAnsi="Arial" w:cs="Arial"/>
          <w:bCs/>
          <w:sz w:val="22"/>
          <w:szCs w:val="22"/>
          <w:lang w:val="fr-FR"/>
        </w:rPr>
        <w:t xml:space="preserve"> </w:t>
      </w:r>
      <w:r>
        <w:rPr>
          <w:rFonts w:ascii="Arial" w:hAnsi="Arial" w:cs="Arial"/>
          <w:bCs/>
          <w:sz w:val="22"/>
          <w:szCs w:val="22"/>
          <w:lang w:val="fr-FR"/>
        </w:rPr>
        <w:t>l</w:t>
      </w:r>
      <w:r w:rsidRPr="005C5FAE">
        <w:rPr>
          <w:rFonts w:ascii="Arial" w:hAnsi="Arial" w:cs="Arial"/>
          <w:bCs/>
          <w:sz w:val="22"/>
          <w:szCs w:val="22"/>
          <w:lang w:val="fr-FR"/>
        </w:rPr>
        <w:t xml:space="preserve">a </w:t>
      </w:r>
      <w:r w:rsidRPr="005C5FAE">
        <w:rPr>
          <w:rFonts w:ascii="Arial" w:hAnsi="Arial" w:cs="Arial"/>
          <w:b/>
          <w:sz w:val="22"/>
          <w:szCs w:val="22"/>
          <w:lang w:val="fr-FR"/>
        </w:rPr>
        <w:t>Mauritanie</w:t>
      </w:r>
      <w:r w:rsidRPr="005C5FAE">
        <w:rPr>
          <w:rFonts w:ascii="Arial" w:hAnsi="Arial" w:cs="Arial"/>
          <w:bCs/>
          <w:sz w:val="22"/>
          <w:szCs w:val="22"/>
          <w:lang w:val="fr-FR"/>
        </w:rPr>
        <w:t xml:space="preserve"> </w:t>
      </w:r>
      <w:r>
        <w:rPr>
          <w:rFonts w:ascii="Arial" w:hAnsi="Arial" w:cs="Arial"/>
          <w:bCs/>
          <w:sz w:val="22"/>
          <w:szCs w:val="22"/>
          <w:lang w:val="fr-FR"/>
        </w:rPr>
        <w:t xml:space="preserve">était </w:t>
      </w:r>
      <w:r w:rsidRPr="005C5FAE">
        <w:rPr>
          <w:rFonts w:ascii="Arial" w:hAnsi="Arial" w:cs="Arial"/>
          <w:bCs/>
          <w:sz w:val="22"/>
          <w:szCs w:val="22"/>
          <w:lang w:val="fr-FR"/>
        </w:rPr>
        <w:t xml:space="preserve">élue avec </w:t>
      </w:r>
      <w:r>
        <w:rPr>
          <w:rFonts w:ascii="Arial" w:hAnsi="Arial" w:cs="Arial"/>
          <w:bCs/>
          <w:sz w:val="22"/>
          <w:szCs w:val="22"/>
          <w:lang w:val="fr-FR"/>
        </w:rPr>
        <w:t>quatre</w:t>
      </w:r>
      <w:r>
        <w:rPr>
          <w:rFonts w:ascii="Arial" w:hAnsi="Arial" w:cs="Arial"/>
          <w:bCs/>
          <w:sz w:val="22"/>
          <w:szCs w:val="22"/>
          <w:lang w:val="fr-FR"/>
        </w:rPr>
        <w:noBreakHyphen/>
        <w:t>vingt</w:t>
      </w:r>
      <w:r>
        <w:rPr>
          <w:rFonts w:ascii="Arial" w:hAnsi="Arial" w:cs="Arial"/>
          <w:bCs/>
          <w:sz w:val="22"/>
          <w:szCs w:val="22"/>
          <w:lang w:val="fr-FR"/>
        </w:rPr>
        <w:noBreakHyphen/>
        <w:t>deux</w:t>
      </w:r>
      <w:r w:rsidRPr="005C5FAE">
        <w:rPr>
          <w:rFonts w:ascii="Arial" w:hAnsi="Arial" w:cs="Arial"/>
          <w:bCs/>
          <w:sz w:val="22"/>
          <w:szCs w:val="22"/>
          <w:lang w:val="fr-FR"/>
        </w:rPr>
        <w:t xml:space="preserve"> voix et l</w:t>
      </w:r>
      <w:r w:rsidR="008E532B">
        <w:rPr>
          <w:rFonts w:ascii="Arial" w:hAnsi="Arial" w:cs="Arial"/>
          <w:bCs/>
          <w:sz w:val="22"/>
          <w:szCs w:val="22"/>
          <w:lang w:val="fr-FR"/>
        </w:rPr>
        <w:t>’</w:t>
      </w:r>
      <w:r w:rsidRPr="005C5FAE">
        <w:rPr>
          <w:rFonts w:ascii="Arial" w:hAnsi="Arial" w:cs="Arial"/>
          <w:bCs/>
          <w:sz w:val="22"/>
          <w:szCs w:val="22"/>
          <w:lang w:val="fr-FR"/>
        </w:rPr>
        <w:t>Irak a</w:t>
      </w:r>
      <w:r>
        <w:rPr>
          <w:rFonts w:ascii="Arial" w:hAnsi="Arial" w:cs="Arial"/>
          <w:bCs/>
          <w:sz w:val="22"/>
          <w:szCs w:val="22"/>
          <w:lang w:val="fr-FR"/>
        </w:rPr>
        <w:t>vait</w:t>
      </w:r>
      <w:r w:rsidRPr="005C5FAE">
        <w:rPr>
          <w:rFonts w:ascii="Arial" w:hAnsi="Arial" w:cs="Arial"/>
          <w:bCs/>
          <w:sz w:val="22"/>
          <w:szCs w:val="22"/>
          <w:lang w:val="fr-FR"/>
        </w:rPr>
        <w:t xml:space="preserve"> obtenu </w:t>
      </w:r>
      <w:r>
        <w:rPr>
          <w:rFonts w:ascii="Arial" w:hAnsi="Arial" w:cs="Arial"/>
          <w:bCs/>
          <w:sz w:val="22"/>
          <w:szCs w:val="22"/>
          <w:lang w:val="fr-FR"/>
        </w:rPr>
        <w:t>soixante</w:t>
      </w:r>
      <w:r>
        <w:rPr>
          <w:rFonts w:ascii="Arial" w:hAnsi="Arial" w:cs="Arial"/>
          <w:bCs/>
          <w:sz w:val="22"/>
          <w:szCs w:val="22"/>
          <w:lang w:val="fr-FR"/>
        </w:rPr>
        <w:noBreakHyphen/>
        <w:t>dix</w:t>
      </w:r>
      <w:r w:rsidRPr="005C5FAE">
        <w:rPr>
          <w:rFonts w:ascii="Arial" w:hAnsi="Arial" w:cs="Arial"/>
          <w:bCs/>
          <w:sz w:val="22"/>
          <w:szCs w:val="22"/>
          <w:lang w:val="fr-FR"/>
        </w:rPr>
        <w:t xml:space="preserve"> voix.</w:t>
      </w:r>
    </w:p>
    <w:p w14:paraId="2C851D28" w14:textId="40A99A9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Après avoir constaté l</w:t>
      </w:r>
      <w:r w:rsidR="008E532B">
        <w:rPr>
          <w:rFonts w:ascii="Arial" w:hAnsi="Arial" w:cs="Arial"/>
          <w:bCs/>
          <w:sz w:val="22"/>
          <w:szCs w:val="22"/>
          <w:lang w:val="fr-FR"/>
        </w:rPr>
        <w:t>’</w:t>
      </w:r>
      <w:r>
        <w:rPr>
          <w:rFonts w:ascii="Arial" w:hAnsi="Arial" w:cs="Arial"/>
          <w:bCs/>
          <w:sz w:val="22"/>
          <w:szCs w:val="22"/>
          <w:lang w:val="fr-FR"/>
        </w:rPr>
        <w:t xml:space="preserve">absence de </w:t>
      </w:r>
      <w:r w:rsidRPr="00C37059">
        <w:rPr>
          <w:rFonts w:ascii="Arial" w:hAnsi="Arial" w:cs="Arial"/>
          <w:bCs/>
          <w:sz w:val="22"/>
          <w:szCs w:val="22"/>
          <w:lang w:val="fr-FR"/>
        </w:rPr>
        <w:t>commentaires</w:t>
      </w:r>
      <w:r>
        <w:rPr>
          <w:rFonts w:ascii="Arial" w:hAnsi="Arial" w:cs="Arial"/>
          <w:bCs/>
          <w:sz w:val="22"/>
          <w:szCs w:val="22"/>
          <w:lang w:val="fr-FR"/>
        </w:rPr>
        <w:t xml:space="preserve">, la </w:t>
      </w:r>
      <w:r w:rsidRPr="00C37059">
        <w:rPr>
          <w:rFonts w:ascii="Arial" w:hAnsi="Arial" w:cs="Arial"/>
          <w:b/>
          <w:sz w:val="22"/>
          <w:szCs w:val="22"/>
          <w:lang w:val="fr-FR"/>
        </w:rPr>
        <w:t>Présidente</w:t>
      </w:r>
      <w:r>
        <w:rPr>
          <w:rFonts w:ascii="Arial" w:hAnsi="Arial" w:cs="Arial"/>
          <w:bCs/>
          <w:sz w:val="22"/>
          <w:szCs w:val="22"/>
          <w:lang w:val="fr-FR"/>
        </w:rPr>
        <w:t xml:space="preserve"> est passée à l</w:t>
      </w:r>
      <w:r w:rsidR="008E532B">
        <w:rPr>
          <w:rFonts w:ascii="Arial" w:hAnsi="Arial" w:cs="Arial"/>
          <w:bCs/>
          <w:sz w:val="22"/>
          <w:szCs w:val="22"/>
          <w:lang w:val="fr-FR"/>
        </w:rPr>
        <w:t>’</w:t>
      </w:r>
      <w:r>
        <w:rPr>
          <w:rFonts w:ascii="Arial" w:hAnsi="Arial" w:cs="Arial"/>
          <w:bCs/>
          <w:sz w:val="22"/>
          <w:szCs w:val="22"/>
          <w:lang w:val="fr-FR"/>
        </w:rPr>
        <w:t xml:space="preserve">adoption du projet de </w:t>
      </w:r>
      <w:r w:rsidRPr="00AB22D8">
        <w:rPr>
          <w:rFonts w:ascii="Arial" w:eastAsia="SimSun" w:hAnsi="Arial" w:cs="Arial"/>
          <w:bCs/>
          <w:sz w:val="22"/>
          <w:szCs w:val="22"/>
          <w:lang w:val="fr-FR" w:eastAsia="en-US"/>
        </w:rPr>
        <w:t>résolution</w:t>
      </w:r>
      <w:r>
        <w:rPr>
          <w:rFonts w:ascii="Arial" w:eastAsia="SimSun" w:hAnsi="Arial" w:cs="Arial"/>
          <w:bCs/>
          <w:sz w:val="22"/>
          <w:szCs w:val="22"/>
          <w:lang w:val="fr-FR" w:eastAsia="en-US"/>
        </w:rPr>
        <w:t>. En l</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absence d</w:t>
      </w:r>
      <w:r w:rsidR="008E532B">
        <w:rPr>
          <w:rFonts w:ascii="Arial" w:eastAsia="SimSun" w:hAnsi="Arial" w:cs="Arial"/>
          <w:bCs/>
          <w:sz w:val="22"/>
          <w:szCs w:val="22"/>
          <w:lang w:val="fr-FR" w:eastAsia="en-US"/>
        </w:rPr>
        <w:t>’</w:t>
      </w:r>
      <w:r>
        <w:rPr>
          <w:rFonts w:ascii="Arial" w:eastAsia="SimSun" w:hAnsi="Arial" w:cs="Arial"/>
          <w:bCs/>
          <w:sz w:val="22"/>
          <w:szCs w:val="22"/>
          <w:lang w:val="fr-FR" w:eastAsia="en-US"/>
        </w:rPr>
        <w:t xml:space="preserve">objections, la </w:t>
      </w:r>
      <w:r w:rsidRPr="00C37059">
        <w:rPr>
          <w:rFonts w:ascii="Arial" w:eastAsia="SimSun" w:hAnsi="Arial" w:cs="Arial"/>
          <w:b/>
          <w:sz w:val="22"/>
          <w:szCs w:val="22"/>
          <w:lang w:val="fr-FR" w:eastAsia="en-US"/>
        </w:rPr>
        <w:t>Présidente a déclaré la résolution 9.GA</w:t>
      </w:r>
      <w:r>
        <w:rPr>
          <w:rFonts w:ascii="Arial" w:eastAsia="SimSun" w:hAnsi="Arial" w:cs="Arial"/>
          <w:b/>
          <w:sz w:val="22"/>
          <w:szCs w:val="22"/>
          <w:lang w:val="fr-FR" w:eastAsia="en-US"/>
        </w:rPr>
        <w:t> </w:t>
      </w:r>
      <w:r w:rsidRPr="00C37059">
        <w:rPr>
          <w:rFonts w:ascii="Arial" w:eastAsia="SimSun" w:hAnsi="Arial" w:cs="Arial"/>
          <w:b/>
          <w:sz w:val="22"/>
          <w:szCs w:val="22"/>
          <w:lang w:val="fr-FR" w:eastAsia="en-US"/>
        </w:rPr>
        <w:t>11 adoptée</w:t>
      </w:r>
      <w:r>
        <w:rPr>
          <w:rFonts w:ascii="Arial" w:eastAsia="SimSun" w:hAnsi="Arial" w:cs="Arial"/>
          <w:bCs/>
          <w:sz w:val="22"/>
          <w:szCs w:val="22"/>
          <w:lang w:val="fr-FR" w:eastAsia="en-US"/>
        </w:rPr>
        <w:t>.</w:t>
      </w:r>
    </w:p>
    <w:p w14:paraId="18B444EC" w14:textId="459B7FEC" w:rsidR="00D9653F" w:rsidRPr="009F6BC9" w:rsidRDefault="00D9653F" w:rsidP="009F6BC9">
      <w:pPr>
        <w:pStyle w:val="Orateurengris"/>
        <w:keepNext/>
        <w:tabs>
          <w:tab w:val="clear" w:pos="709"/>
          <w:tab w:val="clear" w:pos="1418"/>
          <w:tab w:val="clear" w:pos="2126"/>
          <w:tab w:val="clear" w:pos="2835"/>
        </w:tabs>
        <w:spacing w:before="360" w:after="60"/>
        <w:jc w:val="left"/>
        <w:outlineLvl w:val="0"/>
        <w:rPr>
          <w:b/>
          <w:color w:val="000000" w:themeColor="text1"/>
          <w:u w:val="single"/>
          <w:lang w:val="fr-FR"/>
        </w:rPr>
      </w:pPr>
      <w:r w:rsidRPr="009F6BC9">
        <w:rPr>
          <w:b/>
          <w:color w:val="000000" w:themeColor="text1"/>
          <w:u w:val="single"/>
          <w:lang w:val="fr-FR"/>
        </w:rPr>
        <w:t>POINT 12 DE L</w:t>
      </w:r>
      <w:r w:rsidR="008E532B">
        <w:rPr>
          <w:b/>
          <w:color w:val="000000" w:themeColor="text1"/>
          <w:u w:val="single"/>
          <w:lang w:val="fr-FR"/>
        </w:rPr>
        <w:t>’</w:t>
      </w:r>
      <w:r w:rsidRPr="009F6BC9">
        <w:rPr>
          <w:b/>
          <w:color w:val="000000" w:themeColor="text1"/>
          <w:u w:val="single"/>
          <w:lang w:val="fr-FR"/>
        </w:rPr>
        <w:t>ORDRE DU JOUR :</w:t>
      </w:r>
    </w:p>
    <w:p w14:paraId="57E8021B" w14:textId="79875301" w:rsidR="00D9653F" w:rsidRPr="00C52BFF" w:rsidRDefault="00D9653F" w:rsidP="009F6BC9">
      <w:pPr>
        <w:pStyle w:val="Orateurengris"/>
        <w:tabs>
          <w:tab w:val="clear" w:pos="709"/>
          <w:tab w:val="clear" w:pos="1418"/>
          <w:tab w:val="clear" w:pos="2126"/>
          <w:tab w:val="clear" w:pos="2835"/>
        </w:tabs>
        <w:outlineLvl w:val="0"/>
        <w:rPr>
          <w:lang w:val="fr-FR"/>
        </w:rPr>
      </w:pPr>
      <w:r w:rsidRPr="009F6BC9">
        <w:rPr>
          <w:b/>
          <w:color w:val="000000" w:themeColor="text1"/>
          <w:lang w:val="fr-FR"/>
        </w:rPr>
        <w:t>RÉVISIONS PROPOSÉES AU RÈGLEMENT INTÉRIEUR DE L</w:t>
      </w:r>
      <w:r w:rsidR="008E532B">
        <w:rPr>
          <w:b/>
          <w:color w:val="000000" w:themeColor="text1"/>
          <w:lang w:val="fr-FR"/>
        </w:rPr>
        <w:t>’</w:t>
      </w:r>
      <w:r w:rsidRPr="009F6BC9">
        <w:rPr>
          <w:b/>
          <w:color w:val="000000" w:themeColor="text1"/>
          <w:lang w:val="fr-FR"/>
        </w:rPr>
        <w:t>ASSEMBLÉE GÉNÉRALE DES ÉTATS PARTIES À LA CONVENTION</w:t>
      </w:r>
    </w:p>
    <w:p w14:paraId="7AA59BD3" w14:textId="1FDE6A69" w:rsidR="00D9653F" w:rsidRPr="00C52BFF" w:rsidRDefault="00D9653F" w:rsidP="00F17E8C">
      <w:pPr>
        <w:suppressAutoHyphens/>
        <w:autoSpaceDE w:val="0"/>
        <w:spacing w:line="360" w:lineRule="auto"/>
        <w:ind w:firstLine="567"/>
        <w:jc w:val="both"/>
        <w:rPr>
          <w:rFonts w:ascii="Arial" w:hAnsi="Arial" w:cs="Arial"/>
          <w:bCs/>
          <w:i/>
          <w:iCs/>
          <w:sz w:val="22"/>
          <w:szCs w:val="22"/>
          <w:lang w:val="fr-FR"/>
        </w:rPr>
      </w:pPr>
      <w:r>
        <w:rPr>
          <w:rFonts w:ascii="Arial" w:hAnsi="Arial" w:cs="Arial"/>
          <w:b/>
          <w:sz w:val="22"/>
          <w:szCs w:val="22"/>
          <w:lang w:val="fr-FR"/>
        </w:rPr>
        <w:t>Document</w:t>
      </w:r>
      <w:r w:rsidR="00603192">
        <w:rPr>
          <w:rFonts w:ascii="Arial" w:hAnsi="Arial" w:cs="Arial"/>
          <w:b/>
          <w:sz w:val="22"/>
          <w:szCs w:val="22"/>
          <w:lang w:val="fr-FR"/>
        </w:rPr>
        <w:t> </w:t>
      </w:r>
      <w:r w:rsidRPr="00C52BFF">
        <w:rPr>
          <w:rFonts w:ascii="Arial" w:hAnsi="Arial" w:cs="Arial"/>
          <w:b/>
          <w:sz w:val="22"/>
          <w:szCs w:val="22"/>
          <w:lang w:val="fr-FR"/>
        </w:rPr>
        <w:t xml:space="preserve">: </w:t>
      </w:r>
      <w:r w:rsidR="00603192">
        <w:rPr>
          <w:rFonts w:ascii="Arial" w:hAnsi="Arial" w:cs="Arial"/>
          <w:b/>
          <w:sz w:val="22"/>
          <w:szCs w:val="22"/>
          <w:lang w:val="fr-FR"/>
        </w:rPr>
        <w:tab/>
      </w:r>
      <w:hyperlink r:id="rId54" w:history="1">
        <w:r w:rsidRPr="00C52BFF">
          <w:rPr>
            <w:rStyle w:val="Hyperlink"/>
            <w:rFonts w:ascii="Arial" w:hAnsi="Arial" w:cs="Arial"/>
            <w:bCs/>
            <w:i/>
            <w:iCs/>
            <w:sz w:val="22"/>
            <w:szCs w:val="22"/>
            <w:lang w:val="fr-FR"/>
          </w:rPr>
          <w:t>LHE/22/9.GA/12</w:t>
        </w:r>
      </w:hyperlink>
      <w:r w:rsidRPr="00C52BFF">
        <w:rPr>
          <w:rFonts w:ascii="Arial" w:hAnsi="Arial" w:cs="Arial"/>
          <w:bCs/>
          <w:i/>
          <w:iCs/>
          <w:sz w:val="22"/>
          <w:szCs w:val="22"/>
          <w:lang w:val="fr-FR"/>
        </w:rPr>
        <w:t xml:space="preserve"> </w:t>
      </w:r>
    </w:p>
    <w:p w14:paraId="4B8F5BDC" w14:textId="32A513DD" w:rsidR="00D9653F" w:rsidRPr="00C52BFF" w:rsidRDefault="003D44D6" w:rsidP="000438FF">
      <w:pPr>
        <w:tabs>
          <w:tab w:val="left" w:pos="567"/>
          <w:tab w:val="left" w:pos="2127"/>
        </w:tabs>
        <w:suppressAutoHyphens/>
        <w:autoSpaceDE w:val="0"/>
        <w:spacing w:after="120"/>
        <w:jc w:val="both"/>
        <w:rPr>
          <w:rFonts w:ascii="Arial" w:hAnsi="Arial" w:cs="Arial"/>
          <w:bCs/>
          <w:i/>
          <w:iCs/>
          <w:sz w:val="22"/>
          <w:szCs w:val="22"/>
          <w:lang w:val="fr-FR"/>
        </w:rPr>
      </w:pPr>
      <w:r>
        <w:rPr>
          <w:rFonts w:ascii="Arial" w:hAnsi="Arial" w:cs="Arial"/>
          <w:bCs/>
          <w:sz w:val="22"/>
          <w:szCs w:val="22"/>
          <w:lang w:val="fr-FR"/>
        </w:rPr>
        <w:tab/>
      </w:r>
      <w:r w:rsidR="00D9653F" w:rsidRPr="004D7E2E">
        <w:rPr>
          <w:rFonts w:ascii="Arial" w:hAnsi="Arial" w:cs="Arial"/>
          <w:b/>
          <w:sz w:val="22"/>
          <w:szCs w:val="22"/>
          <w:lang w:val="fr-FR"/>
        </w:rPr>
        <w:t>Résolution </w:t>
      </w:r>
      <w:r w:rsidR="00D9653F" w:rsidRPr="000438FF">
        <w:rPr>
          <w:rFonts w:ascii="Arial" w:hAnsi="Arial" w:cs="Arial"/>
          <w:b/>
          <w:sz w:val="22"/>
          <w:szCs w:val="22"/>
          <w:lang w:val="fr-FR"/>
        </w:rPr>
        <w:t>:</w:t>
      </w:r>
      <w:r w:rsidR="00603192">
        <w:rPr>
          <w:rFonts w:ascii="Arial" w:hAnsi="Arial" w:cs="Arial"/>
          <w:b/>
          <w:sz w:val="22"/>
          <w:szCs w:val="22"/>
          <w:lang w:val="fr-FR"/>
        </w:rPr>
        <w:tab/>
      </w:r>
      <w:hyperlink r:id="rId55" w:history="1">
        <w:r w:rsidR="00D9653F">
          <w:rPr>
            <w:rStyle w:val="Hyperlink"/>
            <w:rFonts w:ascii="Arial" w:hAnsi="Arial" w:cs="Arial"/>
            <w:bCs/>
            <w:i/>
            <w:iCs/>
            <w:sz w:val="22"/>
            <w:szCs w:val="22"/>
            <w:lang w:val="fr-FR"/>
          </w:rPr>
          <w:t>9.GA 12</w:t>
        </w:r>
      </w:hyperlink>
    </w:p>
    <w:p w14:paraId="55C3EF5F" w14:textId="77777777" w:rsidR="00D9653F" w:rsidRDefault="00D9653F" w:rsidP="00D9653F">
      <w:pPr>
        <w:numPr>
          <w:ilvl w:val="0"/>
          <w:numId w:val="19"/>
        </w:numPr>
        <w:suppressAutoHyphens/>
        <w:autoSpaceDE w:val="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65229F">
        <w:rPr>
          <w:rFonts w:ascii="Arial" w:hAnsi="Arial" w:cs="Arial"/>
          <w:b/>
          <w:sz w:val="22"/>
          <w:szCs w:val="22"/>
          <w:lang w:val="fr-FR"/>
        </w:rPr>
        <w:t>Présidente</w:t>
      </w:r>
      <w:r>
        <w:rPr>
          <w:rFonts w:ascii="Arial" w:hAnsi="Arial" w:cs="Arial"/>
          <w:bCs/>
          <w:sz w:val="22"/>
          <w:szCs w:val="22"/>
          <w:lang w:val="fr-FR"/>
        </w:rPr>
        <w:t xml:space="preserve"> est passée au point 12, les révisions proposées au Règlement intérieur.</w:t>
      </w:r>
    </w:p>
    <w:p w14:paraId="58C2F14B" w14:textId="2D46374D" w:rsidR="00D9653F" w:rsidRPr="00A21CA3"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5229F">
        <w:rPr>
          <w:rFonts w:ascii="Arial" w:hAnsi="Arial" w:cs="Arial"/>
          <w:bCs/>
          <w:sz w:val="22"/>
          <w:szCs w:val="22"/>
          <w:lang w:val="fr-FR"/>
        </w:rPr>
        <w:t xml:space="preserve">Le </w:t>
      </w:r>
      <w:r w:rsidRPr="0065229F">
        <w:rPr>
          <w:rFonts w:ascii="Arial" w:hAnsi="Arial" w:cs="Arial"/>
          <w:b/>
          <w:sz w:val="22"/>
          <w:szCs w:val="22"/>
          <w:lang w:val="fr-FR"/>
        </w:rPr>
        <w:t>Sous-Directeur général</w:t>
      </w:r>
      <w:r w:rsidRPr="0065229F">
        <w:rPr>
          <w:rFonts w:ascii="Arial" w:hAnsi="Arial" w:cs="Arial"/>
          <w:bCs/>
          <w:sz w:val="22"/>
          <w:szCs w:val="22"/>
          <w:lang w:val="fr-FR"/>
        </w:rPr>
        <w:t xml:space="preserve"> </w:t>
      </w:r>
      <w:r>
        <w:rPr>
          <w:rFonts w:ascii="Arial" w:hAnsi="Arial" w:cs="Arial"/>
          <w:bCs/>
          <w:sz w:val="22"/>
          <w:szCs w:val="22"/>
          <w:lang w:val="fr-FR"/>
        </w:rPr>
        <w:t xml:space="preserve">a </w:t>
      </w:r>
      <w:r w:rsidRPr="0065229F">
        <w:rPr>
          <w:rFonts w:ascii="Arial" w:hAnsi="Arial" w:cs="Arial"/>
          <w:bCs/>
          <w:sz w:val="22"/>
          <w:szCs w:val="22"/>
          <w:lang w:val="fr-FR"/>
        </w:rPr>
        <w:t>expliqu</w:t>
      </w:r>
      <w:r>
        <w:rPr>
          <w:rFonts w:ascii="Arial" w:hAnsi="Arial" w:cs="Arial"/>
          <w:bCs/>
          <w:sz w:val="22"/>
          <w:szCs w:val="22"/>
          <w:lang w:val="fr-FR"/>
        </w:rPr>
        <w:t>é</w:t>
      </w:r>
      <w:r w:rsidRPr="0065229F">
        <w:rPr>
          <w:rFonts w:ascii="Arial" w:hAnsi="Arial" w:cs="Arial"/>
          <w:bCs/>
          <w:sz w:val="22"/>
          <w:szCs w:val="22"/>
          <w:lang w:val="fr-FR"/>
        </w:rPr>
        <w:t xml:space="preserve"> que le point 12 concern</w:t>
      </w:r>
      <w:r>
        <w:rPr>
          <w:rFonts w:ascii="Arial" w:hAnsi="Arial" w:cs="Arial"/>
          <w:bCs/>
          <w:sz w:val="22"/>
          <w:szCs w:val="22"/>
          <w:lang w:val="fr-FR"/>
        </w:rPr>
        <w:t>ait</w:t>
      </w:r>
      <w:r w:rsidRPr="0065229F">
        <w:rPr>
          <w:rFonts w:ascii="Arial" w:hAnsi="Arial" w:cs="Arial"/>
          <w:bCs/>
          <w:sz w:val="22"/>
          <w:szCs w:val="22"/>
          <w:lang w:val="fr-FR"/>
        </w:rPr>
        <w:t xml:space="preserve"> l</w:t>
      </w:r>
      <w:r w:rsidR="008E532B">
        <w:rPr>
          <w:rFonts w:ascii="Arial" w:hAnsi="Arial" w:cs="Arial"/>
          <w:bCs/>
          <w:sz w:val="22"/>
          <w:szCs w:val="22"/>
          <w:lang w:val="fr-FR"/>
        </w:rPr>
        <w:t>’</w:t>
      </w:r>
      <w:r w:rsidRPr="0065229F">
        <w:rPr>
          <w:rFonts w:ascii="Arial" w:hAnsi="Arial" w:cs="Arial"/>
          <w:bCs/>
          <w:sz w:val="22"/>
          <w:szCs w:val="22"/>
          <w:lang w:val="fr-FR"/>
        </w:rPr>
        <w:t>initiative visant à harmoniser le Règlement intérieur de</w:t>
      </w:r>
      <w:r>
        <w:rPr>
          <w:rFonts w:ascii="Arial" w:hAnsi="Arial" w:cs="Arial"/>
          <w:bCs/>
          <w:sz w:val="22"/>
          <w:szCs w:val="22"/>
          <w:lang w:val="fr-FR"/>
        </w:rPr>
        <w:t xml:space="preserve">s </w:t>
      </w:r>
      <w:r w:rsidRPr="00AB22D8">
        <w:rPr>
          <w:rFonts w:ascii="Arial" w:hAnsi="Arial" w:cs="Arial"/>
          <w:bCs/>
          <w:sz w:val="22"/>
          <w:szCs w:val="22"/>
          <w:lang w:val="fr-FR"/>
        </w:rPr>
        <w:t xml:space="preserve">assemblées générales </w:t>
      </w:r>
      <w:r>
        <w:rPr>
          <w:rFonts w:ascii="Arial" w:hAnsi="Arial" w:cs="Arial"/>
          <w:bCs/>
          <w:sz w:val="22"/>
          <w:szCs w:val="22"/>
          <w:lang w:val="fr-FR"/>
        </w:rPr>
        <w:t>dans le domaine de la culture.</w:t>
      </w:r>
      <w:r w:rsidRPr="0065229F">
        <w:rPr>
          <w:rFonts w:ascii="Arial" w:hAnsi="Arial" w:cs="Arial"/>
          <w:bCs/>
          <w:sz w:val="22"/>
          <w:szCs w:val="22"/>
          <w:lang w:val="fr-FR"/>
        </w:rPr>
        <w:t xml:space="preserve"> </w:t>
      </w:r>
      <w:r>
        <w:rPr>
          <w:rFonts w:ascii="Arial" w:hAnsi="Arial" w:cs="Arial"/>
          <w:bCs/>
          <w:sz w:val="22"/>
          <w:szCs w:val="22"/>
          <w:lang w:val="fr-FR"/>
        </w:rPr>
        <w:t>L</w:t>
      </w:r>
      <w:r w:rsidRPr="0065229F">
        <w:rPr>
          <w:rFonts w:ascii="Arial" w:hAnsi="Arial" w:cs="Arial"/>
          <w:bCs/>
          <w:sz w:val="22"/>
          <w:szCs w:val="22"/>
          <w:lang w:val="fr-FR"/>
        </w:rPr>
        <w:t xml:space="preserve">e document de travail 12 </w:t>
      </w:r>
      <w:r>
        <w:rPr>
          <w:rFonts w:ascii="Arial" w:hAnsi="Arial" w:cs="Arial"/>
          <w:bCs/>
          <w:sz w:val="22"/>
          <w:szCs w:val="22"/>
          <w:lang w:val="fr-FR"/>
        </w:rPr>
        <w:t xml:space="preserve">expliquait </w:t>
      </w:r>
      <w:r w:rsidRPr="0065229F">
        <w:rPr>
          <w:rFonts w:ascii="Arial" w:hAnsi="Arial" w:cs="Arial"/>
          <w:bCs/>
          <w:sz w:val="22"/>
          <w:szCs w:val="22"/>
          <w:lang w:val="fr-FR"/>
        </w:rPr>
        <w:t>la façon dont elle a</w:t>
      </w:r>
      <w:r>
        <w:rPr>
          <w:rFonts w:ascii="Arial" w:hAnsi="Arial" w:cs="Arial"/>
          <w:bCs/>
          <w:sz w:val="22"/>
          <w:szCs w:val="22"/>
          <w:lang w:val="fr-FR"/>
        </w:rPr>
        <w:t>vait</w:t>
      </w:r>
      <w:r w:rsidRPr="0065229F">
        <w:rPr>
          <w:rFonts w:ascii="Arial" w:hAnsi="Arial" w:cs="Arial"/>
          <w:bCs/>
          <w:sz w:val="22"/>
          <w:szCs w:val="22"/>
          <w:lang w:val="fr-FR"/>
        </w:rPr>
        <w:t xml:space="preserve"> vu le jour dans </w:t>
      </w:r>
      <w:r>
        <w:rPr>
          <w:rFonts w:ascii="Arial" w:hAnsi="Arial" w:cs="Arial"/>
          <w:bCs/>
          <w:sz w:val="22"/>
          <w:szCs w:val="22"/>
          <w:lang w:val="fr-FR"/>
        </w:rPr>
        <w:t>le</w:t>
      </w:r>
      <w:r w:rsidRPr="0065229F">
        <w:rPr>
          <w:rFonts w:ascii="Arial" w:hAnsi="Arial" w:cs="Arial"/>
          <w:bCs/>
          <w:sz w:val="22"/>
          <w:szCs w:val="22"/>
          <w:lang w:val="fr-FR"/>
        </w:rPr>
        <w:t xml:space="preserve"> contexte plus large d</w:t>
      </w:r>
      <w:r w:rsidR="008E532B">
        <w:rPr>
          <w:rFonts w:ascii="Arial" w:hAnsi="Arial" w:cs="Arial"/>
          <w:bCs/>
          <w:sz w:val="22"/>
          <w:szCs w:val="22"/>
          <w:lang w:val="fr-FR"/>
        </w:rPr>
        <w:t>’</w:t>
      </w:r>
      <w:r w:rsidRPr="0065229F">
        <w:rPr>
          <w:rFonts w:ascii="Arial" w:hAnsi="Arial" w:cs="Arial"/>
          <w:bCs/>
          <w:sz w:val="22"/>
          <w:szCs w:val="22"/>
          <w:lang w:val="fr-FR"/>
        </w:rPr>
        <w:t>un effort</w:t>
      </w:r>
      <w:r>
        <w:rPr>
          <w:rFonts w:ascii="Arial" w:hAnsi="Arial" w:cs="Arial"/>
          <w:bCs/>
          <w:sz w:val="22"/>
          <w:szCs w:val="22"/>
          <w:lang w:val="fr-FR"/>
        </w:rPr>
        <w:t>,</w:t>
      </w:r>
      <w:r w:rsidRPr="0065229F">
        <w:rPr>
          <w:rFonts w:ascii="Arial" w:hAnsi="Arial" w:cs="Arial"/>
          <w:bCs/>
          <w:sz w:val="22"/>
          <w:szCs w:val="22"/>
          <w:lang w:val="fr-FR"/>
        </w:rPr>
        <w:t xml:space="preserve"> à l</w:t>
      </w:r>
      <w:r w:rsidR="008E532B">
        <w:rPr>
          <w:rFonts w:ascii="Arial" w:hAnsi="Arial" w:cs="Arial"/>
          <w:bCs/>
          <w:sz w:val="22"/>
          <w:szCs w:val="22"/>
          <w:lang w:val="fr-FR"/>
        </w:rPr>
        <w:t>’</w:t>
      </w:r>
      <w:r w:rsidRPr="0065229F">
        <w:rPr>
          <w:rFonts w:ascii="Arial" w:hAnsi="Arial" w:cs="Arial"/>
          <w:bCs/>
          <w:sz w:val="22"/>
          <w:szCs w:val="22"/>
          <w:lang w:val="fr-FR"/>
        </w:rPr>
        <w:t>échelle de l</w:t>
      </w:r>
      <w:r w:rsidR="008E532B">
        <w:rPr>
          <w:rFonts w:ascii="Arial" w:hAnsi="Arial" w:cs="Arial"/>
          <w:bCs/>
          <w:sz w:val="22"/>
          <w:szCs w:val="22"/>
          <w:lang w:val="fr-FR"/>
        </w:rPr>
        <w:t>’</w:t>
      </w:r>
      <w:r w:rsidRPr="0065229F">
        <w:rPr>
          <w:rFonts w:ascii="Arial" w:hAnsi="Arial" w:cs="Arial"/>
          <w:bCs/>
          <w:sz w:val="22"/>
          <w:szCs w:val="22"/>
          <w:lang w:val="fr-FR"/>
        </w:rPr>
        <w:t>UNESCO</w:t>
      </w:r>
      <w:r>
        <w:rPr>
          <w:rFonts w:ascii="Arial" w:hAnsi="Arial" w:cs="Arial"/>
          <w:bCs/>
          <w:sz w:val="22"/>
          <w:szCs w:val="22"/>
          <w:lang w:val="fr-FR"/>
        </w:rPr>
        <w:t>, d</w:t>
      </w:r>
      <w:r w:rsidR="008E532B">
        <w:rPr>
          <w:rFonts w:ascii="Arial" w:hAnsi="Arial" w:cs="Arial"/>
          <w:bCs/>
          <w:sz w:val="22"/>
          <w:szCs w:val="22"/>
          <w:lang w:val="fr-FR"/>
        </w:rPr>
        <w:t>’</w:t>
      </w:r>
      <w:r>
        <w:rPr>
          <w:rFonts w:ascii="Arial" w:hAnsi="Arial" w:cs="Arial"/>
          <w:bCs/>
          <w:sz w:val="22"/>
          <w:szCs w:val="22"/>
          <w:lang w:val="fr-FR"/>
        </w:rPr>
        <w:t>amélioration de</w:t>
      </w:r>
      <w:r w:rsidRPr="0065229F">
        <w:rPr>
          <w:rFonts w:ascii="Arial" w:hAnsi="Arial" w:cs="Arial"/>
          <w:bCs/>
          <w:sz w:val="22"/>
          <w:szCs w:val="22"/>
          <w:lang w:val="fr-FR"/>
        </w:rPr>
        <w:t xml:space="preserve"> la gouvernance. Cette initiative d</w:t>
      </w:r>
      <w:r w:rsidR="008E532B">
        <w:rPr>
          <w:rFonts w:ascii="Arial" w:hAnsi="Arial" w:cs="Arial"/>
          <w:bCs/>
          <w:sz w:val="22"/>
          <w:szCs w:val="22"/>
          <w:lang w:val="fr-FR"/>
        </w:rPr>
        <w:t>’</w:t>
      </w:r>
      <w:r w:rsidRPr="0065229F">
        <w:rPr>
          <w:rFonts w:ascii="Arial" w:hAnsi="Arial" w:cs="Arial"/>
          <w:bCs/>
          <w:sz w:val="22"/>
          <w:szCs w:val="22"/>
          <w:lang w:val="fr-FR"/>
        </w:rPr>
        <w:t xml:space="preserve">harmonisation entre les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65229F">
        <w:rPr>
          <w:rFonts w:ascii="Arial" w:hAnsi="Arial" w:cs="Arial"/>
          <w:bCs/>
          <w:sz w:val="22"/>
          <w:szCs w:val="22"/>
          <w:lang w:val="fr-FR"/>
        </w:rPr>
        <w:t xml:space="preserve"> remont</w:t>
      </w:r>
      <w:r>
        <w:rPr>
          <w:rFonts w:ascii="Arial" w:hAnsi="Arial" w:cs="Arial"/>
          <w:bCs/>
          <w:sz w:val="22"/>
          <w:szCs w:val="22"/>
          <w:lang w:val="fr-FR"/>
        </w:rPr>
        <w:t>ait</w:t>
      </w:r>
      <w:r w:rsidRPr="0065229F">
        <w:rPr>
          <w:rFonts w:ascii="Arial" w:hAnsi="Arial" w:cs="Arial"/>
          <w:bCs/>
          <w:sz w:val="22"/>
          <w:szCs w:val="22"/>
          <w:lang w:val="fr-FR"/>
        </w:rPr>
        <w:t xml:space="preserve"> à 2015, lorsque la</w:t>
      </w:r>
      <w:r>
        <w:rPr>
          <w:rFonts w:ascii="Arial" w:hAnsi="Arial" w:cs="Arial"/>
          <w:bCs/>
          <w:sz w:val="22"/>
          <w:szCs w:val="22"/>
          <w:lang w:val="fr-FR"/>
        </w:rPr>
        <w:t xml:space="preserve"> trente</w:t>
      </w:r>
      <w:r>
        <w:rPr>
          <w:rFonts w:ascii="Arial" w:hAnsi="Arial" w:cs="Arial"/>
          <w:bCs/>
          <w:sz w:val="22"/>
          <w:szCs w:val="22"/>
          <w:lang w:val="fr-FR"/>
        </w:rPr>
        <w:noBreakHyphen/>
        <w:t>huitième</w:t>
      </w:r>
      <w:r w:rsidRPr="0065229F">
        <w:rPr>
          <w:rFonts w:ascii="Arial" w:hAnsi="Arial" w:cs="Arial"/>
          <w:bCs/>
          <w:sz w:val="22"/>
          <w:szCs w:val="22"/>
          <w:lang w:val="fr-FR"/>
        </w:rPr>
        <w:t xml:space="preserve"> Conférence générale de l</w:t>
      </w:r>
      <w:r w:rsidR="008E532B">
        <w:rPr>
          <w:rFonts w:ascii="Arial" w:hAnsi="Arial" w:cs="Arial"/>
          <w:bCs/>
          <w:sz w:val="22"/>
          <w:szCs w:val="22"/>
          <w:lang w:val="fr-FR"/>
        </w:rPr>
        <w:t>’</w:t>
      </w:r>
      <w:r w:rsidRPr="0065229F">
        <w:rPr>
          <w:rFonts w:ascii="Arial" w:hAnsi="Arial" w:cs="Arial"/>
          <w:bCs/>
          <w:sz w:val="22"/>
          <w:szCs w:val="22"/>
          <w:lang w:val="fr-FR"/>
        </w:rPr>
        <w:t>UNESCO</w:t>
      </w:r>
      <w:r>
        <w:rPr>
          <w:rStyle w:val="FootnoteReference"/>
          <w:rFonts w:ascii="Arial" w:hAnsi="Arial" w:cs="Arial"/>
          <w:bCs/>
          <w:sz w:val="22"/>
          <w:szCs w:val="22"/>
          <w:lang w:val="fr-FR"/>
        </w:rPr>
        <w:footnoteReference w:id="43"/>
      </w:r>
      <w:r w:rsidRPr="0065229F">
        <w:rPr>
          <w:rFonts w:ascii="Arial" w:hAnsi="Arial" w:cs="Arial"/>
          <w:bCs/>
          <w:sz w:val="22"/>
          <w:szCs w:val="22"/>
          <w:lang w:val="fr-FR"/>
        </w:rPr>
        <w:t xml:space="preserve"> a</w:t>
      </w:r>
      <w:r>
        <w:rPr>
          <w:rFonts w:ascii="Arial" w:hAnsi="Arial" w:cs="Arial"/>
          <w:bCs/>
          <w:sz w:val="22"/>
          <w:szCs w:val="22"/>
          <w:lang w:val="fr-FR"/>
        </w:rPr>
        <w:t>vait</w:t>
      </w:r>
      <w:r w:rsidRPr="0065229F">
        <w:rPr>
          <w:rFonts w:ascii="Arial" w:hAnsi="Arial" w:cs="Arial"/>
          <w:bCs/>
          <w:sz w:val="22"/>
          <w:szCs w:val="22"/>
          <w:lang w:val="fr-FR"/>
        </w:rPr>
        <w:t xml:space="preserve"> invité toutes les conventions à d</w:t>
      </w:r>
      <w:r>
        <w:rPr>
          <w:rFonts w:ascii="Arial" w:hAnsi="Arial" w:cs="Arial"/>
          <w:bCs/>
          <w:sz w:val="22"/>
          <w:szCs w:val="22"/>
          <w:lang w:val="fr-FR"/>
        </w:rPr>
        <w:t>ébattre</w:t>
      </w:r>
      <w:r w:rsidRPr="0065229F">
        <w:rPr>
          <w:rFonts w:ascii="Arial" w:hAnsi="Arial" w:cs="Arial"/>
          <w:bCs/>
          <w:sz w:val="22"/>
          <w:szCs w:val="22"/>
          <w:lang w:val="fr-FR"/>
        </w:rPr>
        <w:t xml:space="preserve"> du suivi de la recommandation du rapport de l</w:t>
      </w:r>
      <w:r w:rsidR="008E532B">
        <w:rPr>
          <w:rFonts w:ascii="Arial" w:hAnsi="Arial" w:cs="Arial"/>
          <w:bCs/>
          <w:sz w:val="22"/>
          <w:szCs w:val="22"/>
          <w:lang w:val="fr-FR"/>
        </w:rPr>
        <w:t>’</w:t>
      </w:r>
      <w:r>
        <w:rPr>
          <w:rFonts w:ascii="Arial" w:hAnsi="Arial" w:cs="Arial"/>
          <w:bCs/>
          <w:sz w:val="22"/>
          <w:szCs w:val="22"/>
          <w:lang w:val="fr-FR"/>
        </w:rPr>
        <w:t>A</w:t>
      </w:r>
      <w:r w:rsidRPr="0065229F">
        <w:rPr>
          <w:rFonts w:ascii="Arial" w:hAnsi="Arial" w:cs="Arial"/>
          <w:bCs/>
          <w:sz w:val="22"/>
          <w:szCs w:val="22"/>
          <w:lang w:val="fr-FR"/>
        </w:rPr>
        <w:t>uditeur externe visant à améliorer la gouvernance. La même session de la Conférence générale a</w:t>
      </w:r>
      <w:r>
        <w:rPr>
          <w:rFonts w:ascii="Arial" w:hAnsi="Arial" w:cs="Arial"/>
          <w:bCs/>
          <w:sz w:val="22"/>
          <w:szCs w:val="22"/>
          <w:lang w:val="fr-FR"/>
        </w:rPr>
        <w:t>vait</w:t>
      </w:r>
      <w:r w:rsidRPr="0065229F">
        <w:rPr>
          <w:rFonts w:ascii="Arial" w:hAnsi="Arial" w:cs="Arial"/>
          <w:bCs/>
          <w:sz w:val="22"/>
          <w:szCs w:val="22"/>
          <w:lang w:val="fr-FR"/>
        </w:rPr>
        <w:t xml:space="preserve"> également</w:t>
      </w:r>
      <w:r>
        <w:rPr>
          <w:rFonts w:ascii="Arial" w:hAnsi="Arial" w:cs="Arial"/>
          <w:bCs/>
          <w:sz w:val="22"/>
          <w:szCs w:val="22"/>
          <w:lang w:val="fr-FR"/>
        </w:rPr>
        <w:t xml:space="preserve"> établi</w:t>
      </w:r>
      <w:r w:rsidRPr="0065229F">
        <w:rPr>
          <w:rFonts w:ascii="Arial" w:hAnsi="Arial" w:cs="Arial"/>
          <w:bCs/>
          <w:sz w:val="22"/>
          <w:szCs w:val="22"/>
          <w:lang w:val="fr-FR"/>
        </w:rPr>
        <w:t xml:space="preserve"> un groupe de travail à composition non limitée sur la gouvernance, les procédures et les méthodes de travail des organes directeurs de l</w:t>
      </w:r>
      <w:r w:rsidR="008E532B">
        <w:rPr>
          <w:rFonts w:ascii="Arial" w:hAnsi="Arial" w:cs="Arial"/>
          <w:bCs/>
          <w:sz w:val="22"/>
          <w:szCs w:val="22"/>
          <w:lang w:val="fr-FR"/>
        </w:rPr>
        <w:t>’</w:t>
      </w:r>
      <w:r w:rsidRPr="0065229F">
        <w:rPr>
          <w:rFonts w:ascii="Arial" w:hAnsi="Arial" w:cs="Arial"/>
          <w:bCs/>
          <w:sz w:val="22"/>
          <w:szCs w:val="22"/>
          <w:lang w:val="fr-FR"/>
        </w:rPr>
        <w:t>UNESCO, dans le but d</w:t>
      </w:r>
      <w:r>
        <w:rPr>
          <w:rFonts w:ascii="Arial" w:hAnsi="Arial" w:cs="Arial"/>
          <w:bCs/>
          <w:sz w:val="22"/>
          <w:szCs w:val="22"/>
          <w:lang w:val="fr-FR"/>
        </w:rPr>
        <w:t>e renforcer la</w:t>
      </w:r>
      <w:r w:rsidRPr="0065229F">
        <w:rPr>
          <w:rFonts w:ascii="Arial" w:hAnsi="Arial" w:cs="Arial"/>
          <w:bCs/>
          <w:sz w:val="22"/>
          <w:szCs w:val="22"/>
          <w:lang w:val="fr-FR"/>
        </w:rPr>
        <w:t xml:space="preserve"> synergie, </w:t>
      </w:r>
      <w:r>
        <w:rPr>
          <w:rFonts w:ascii="Arial" w:hAnsi="Arial" w:cs="Arial"/>
          <w:bCs/>
          <w:sz w:val="22"/>
          <w:szCs w:val="22"/>
          <w:lang w:val="fr-FR"/>
        </w:rPr>
        <w:t>l</w:t>
      </w:r>
      <w:r w:rsidR="008E532B">
        <w:rPr>
          <w:rFonts w:ascii="Arial" w:hAnsi="Arial" w:cs="Arial"/>
          <w:bCs/>
          <w:sz w:val="22"/>
          <w:szCs w:val="22"/>
          <w:lang w:val="fr-FR"/>
        </w:rPr>
        <w:t>’</w:t>
      </w:r>
      <w:r w:rsidRPr="0065229F">
        <w:rPr>
          <w:rFonts w:ascii="Arial" w:hAnsi="Arial" w:cs="Arial"/>
          <w:bCs/>
          <w:sz w:val="22"/>
          <w:szCs w:val="22"/>
          <w:lang w:val="fr-FR"/>
        </w:rPr>
        <w:t xml:space="preserve">harmonisation, </w:t>
      </w:r>
      <w:r>
        <w:rPr>
          <w:rFonts w:ascii="Arial" w:hAnsi="Arial" w:cs="Arial"/>
          <w:bCs/>
          <w:sz w:val="22"/>
          <w:szCs w:val="22"/>
          <w:lang w:val="fr-FR"/>
        </w:rPr>
        <w:t>l</w:t>
      </w:r>
      <w:r w:rsidR="008E532B">
        <w:rPr>
          <w:rFonts w:ascii="Arial" w:hAnsi="Arial" w:cs="Arial"/>
          <w:bCs/>
          <w:sz w:val="22"/>
          <w:szCs w:val="22"/>
          <w:lang w:val="fr-FR"/>
        </w:rPr>
        <w:t>’</w:t>
      </w:r>
      <w:r w:rsidRPr="0065229F">
        <w:rPr>
          <w:rFonts w:ascii="Arial" w:hAnsi="Arial" w:cs="Arial"/>
          <w:bCs/>
          <w:sz w:val="22"/>
          <w:szCs w:val="22"/>
          <w:lang w:val="fr-FR"/>
        </w:rPr>
        <w:t xml:space="preserve">efficacité et </w:t>
      </w:r>
      <w:r>
        <w:rPr>
          <w:rFonts w:ascii="Arial" w:hAnsi="Arial" w:cs="Arial"/>
          <w:bCs/>
          <w:sz w:val="22"/>
          <w:szCs w:val="22"/>
          <w:lang w:val="fr-FR"/>
        </w:rPr>
        <w:t>l</w:t>
      </w:r>
      <w:r w:rsidR="008E532B">
        <w:rPr>
          <w:rFonts w:ascii="Arial" w:hAnsi="Arial" w:cs="Arial"/>
          <w:bCs/>
          <w:sz w:val="22"/>
          <w:szCs w:val="22"/>
          <w:lang w:val="fr-FR"/>
        </w:rPr>
        <w:t>’</w:t>
      </w:r>
      <w:r w:rsidRPr="0065229F">
        <w:rPr>
          <w:rFonts w:ascii="Arial" w:hAnsi="Arial" w:cs="Arial"/>
          <w:bCs/>
          <w:sz w:val="22"/>
          <w:szCs w:val="22"/>
          <w:lang w:val="fr-FR"/>
        </w:rPr>
        <w:t xml:space="preserve">impact. La </w:t>
      </w:r>
      <w:r>
        <w:rPr>
          <w:rFonts w:ascii="Arial" w:hAnsi="Arial" w:cs="Arial"/>
          <w:bCs/>
          <w:sz w:val="22"/>
          <w:szCs w:val="22"/>
          <w:lang w:val="fr-FR"/>
        </w:rPr>
        <w:t>trente-neuvième</w:t>
      </w:r>
      <w:r w:rsidRPr="0065229F">
        <w:rPr>
          <w:rFonts w:ascii="Arial" w:hAnsi="Arial" w:cs="Arial"/>
          <w:bCs/>
          <w:sz w:val="22"/>
          <w:szCs w:val="22"/>
          <w:lang w:val="fr-FR"/>
        </w:rPr>
        <w:t xml:space="preserve"> session de la Conférence générale</w:t>
      </w:r>
      <w:r>
        <w:rPr>
          <w:rStyle w:val="FootnoteReference"/>
          <w:rFonts w:ascii="Arial" w:hAnsi="Arial" w:cs="Arial"/>
          <w:bCs/>
          <w:sz w:val="22"/>
          <w:szCs w:val="22"/>
          <w:lang w:val="fr-FR"/>
        </w:rPr>
        <w:footnoteReference w:id="44"/>
      </w:r>
      <w:r w:rsidRPr="0065229F">
        <w:rPr>
          <w:rFonts w:ascii="Arial" w:hAnsi="Arial" w:cs="Arial"/>
          <w:bCs/>
          <w:sz w:val="22"/>
          <w:szCs w:val="22"/>
          <w:lang w:val="fr-FR"/>
        </w:rPr>
        <w:t xml:space="preserve"> en 2017 a</w:t>
      </w:r>
      <w:r>
        <w:rPr>
          <w:rFonts w:ascii="Arial" w:hAnsi="Arial" w:cs="Arial"/>
          <w:bCs/>
          <w:sz w:val="22"/>
          <w:szCs w:val="22"/>
          <w:lang w:val="fr-FR"/>
        </w:rPr>
        <w:t>vait</w:t>
      </w:r>
      <w:r w:rsidRPr="0065229F">
        <w:rPr>
          <w:rFonts w:ascii="Arial" w:hAnsi="Arial" w:cs="Arial"/>
          <w:bCs/>
          <w:sz w:val="22"/>
          <w:szCs w:val="22"/>
          <w:lang w:val="fr-FR"/>
        </w:rPr>
        <w:t xml:space="preserve"> ensuite examiné le rapport du groupe de travail à composition non limitée et approuvé les recommandations du groupe. Ces recommandations </w:t>
      </w:r>
      <w:r>
        <w:rPr>
          <w:rFonts w:ascii="Arial" w:hAnsi="Arial" w:cs="Arial"/>
          <w:bCs/>
          <w:sz w:val="22"/>
          <w:szCs w:val="22"/>
          <w:lang w:val="fr-FR"/>
        </w:rPr>
        <w:t>étaient</w:t>
      </w:r>
      <w:r w:rsidRPr="0065229F">
        <w:rPr>
          <w:rFonts w:ascii="Arial" w:hAnsi="Arial" w:cs="Arial"/>
          <w:bCs/>
          <w:sz w:val="22"/>
          <w:szCs w:val="22"/>
          <w:lang w:val="fr-FR"/>
        </w:rPr>
        <w:t xml:space="preserve"> </w:t>
      </w:r>
      <w:r>
        <w:rPr>
          <w:rFonts w:ascii="Arial" w:hAnsi="Arial" w:cs="Arial"/>
          <w:bCs/>
          <w:sz w:val="22"/>
          <w:szCs w:val="22"/>
          <w:lang w:val="fr-FR"/>
        </w:rPr>
        <w:t>particulièrement</w:t>
      </w:r>
      <w:r w:rsidRPr="0065229F">
        <w:rPr>
          <w:rFonts w:ascii="Arial" w:hAnsi="Arial" w:cs="Arial"/>
          <w:bCs/>
          <w:sz w:val="22"/>
          <w:szCs w:val="22"/>
          <w:lang w:val="fr-FR"/>
        </w:rPr>
        <w:t xml:space="preserve"> pertinen</w:t>
      </w:r>
      <w:r>
        <w:rPr>
          <w:rFonts w:ascii="Arial" w:hAnsi="Arial" w:cs="Arial"/>
          <w:bCs/>
          <w:sz w:val="22"/>
          <w:szCs w:val="22"/>
          <w:lang w:val="fr-FR"/>
        </w:rPr>
        <w:t>t</w:t>
      </w:r>
      <w:r w:rsidRPr="0065229F">
        <w:rPr>
          <w:rFonts w:ascii="Arial" w:hAnsi="Arial" w:cs="Arial"/>
          <w:bCs/>
          <w:sz w:val="22"/>
          <w:szCs w:val="22"/>
          <w:lang w:val="fr-FR"/>
        </w:rPr>
        <w:t>e</w:t>
      </w:r>
      <w:r>
        <w:rPr>
          <w:rFonts w:ascii="Arial" w:hAnsi="Arial" w:cs="Arial"/>
          <w:bCs/>
          <w:sz w:val="22"/>
          <w:szCs w:val="22"/>
          <w:lang w:val="fr-FR"/>
        </w:rPr>
        <w:t>s</w:t>
      </w:r>
      <w:r w:rsidRPr="0065229F">
        <w:rPr>
          <w:rFonts w:ascii="Arial" w:hAnsi="Arial" w:cs="Arial"/>
          <w:bCs/>
          <w:sz w:val="22"/>
          <w:szCs w:val="22"/>
          <w:lang w:val="fr-FR"/>
        </w:rPr>
        <w:t xml:space="preserve"> car elles invit</w:t>
      </w:r>
      <w:r>
        <w:rPr>
          <w:rFonts w:ascii="Arial" w:hAnsi="Arial" w:cs="Arial"/>
          <w:bCs/>
          <w:sz w:val="22"/>
          <w:szCs w:val="22"/>
          <w:lang w:val="fr-FR"/>
        </w:rPr>
        <w:t>ai</w:t>
      </w:r>
      <w:r w:rsidRPr="0065229F">
        <w:rPr>
          <w:rFonts w:ascii="Arial" w:hAnsi="Arial" w:cs="Arial"/>
          <w:bCs/>
          <w:sz w:val="22"/>
          <w:szCs w:val="22"/>
          <w:lang w:val="fr-FR"/>
        </w:rPr>
        <w:t xml:space="preserve">ent les organes directeurs des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65229F">
        <w:rPr>
          <w:rFonts w:ascii="Arial" w:hAnsi="Arial" w:cs="Arial"/>
          <w:bCs/>
          <w:sz w:val="22"/>
          <w:szCs w:val="22"/>
          <w:lang w:val="fr-FR"/>
        </w:rPr>
        <w:t>, par le biais d</w:t>
      </w:r>
      <w:r w:rsidR="008E532B">
        <w:rPr>
          <w:rFonts w:ascii="Arial" w:hAnsi="Arial" w:cs="Arial"/>
          <w:bCs/>
          <w:sz w:val="22"/>
          <w:szCs w:val="22"/>
          <w:lang w:val="fr-FR"/>
        </w:rPr>
        <w:t>’</w:t>
      </w:r>
      <w:r w:rsidRPr="0065229F">
        <w:rPr>
          <w:rFonts w:ascii="Arial" w:hAnsi="Arial" w:cs="Arial"/>
          <w:bCs/>
          <w:sz w:val="22"/>
          <w:szCs w:val="22"/>
          <w:lang w:val="fr-FR"/>
        </w:rPr>
        <w:t>une large consultation, à explorer plus avant, le cas échéant, l</w:t>
      </w:r>
      <w:r w:rsidR="008E532B">
        <w:rPr>
          <w:rFonts w:ascii="Arial" w:hAnsi="Arial" w:cs="Arial"/>
          <w:bCs/>
          <w:sz w:val="22"/>
          <w:szCs w:val="22"/>
          <w:lang w:val="fr-FR"/>
        </w:rPr>
        <w:t>’</w:t>
      </w:r>
      <w:r w:rsidRPr="0065229F">
        <w:rPr>
          <w:rFonts w:ascii="Arial" w:hAnsi="Arial" w:cs="Arial"/>
          <w:bCs/>
          <w:sz w:val="22"/>
          <w:szCs w:val="22"/>
          <w:lang w:val="fr-FR"/>
        </w:rPr>
        <w:t xml:space="preserve">harmonisation des règlements intérieurs et la cohérence des procédures de prise de décision, en tenant compte de leurs mandats et spécificités respectifs.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agissant de </w:t>
      </w:r>
      <w:r w:rsidRPr="0065229F">
        <w:rPr>
          <w:rFonts w:ascii="Arial" w:hAnsi="Arial" w:cs="Arial"/>
          <w:bCs/>
          <w:sz w:val="22"/>
          <w:szCs w:val="22"/>
          <w:lang w:val="fr-FR"/>
        </w:rPr>
        <w:t xml:space="preserve">la Convention de 2003, ses organes directeurs </w:t>
      </w:r>
      <w:r>
        <w:rPr>
          <w:rFonts w:ascii="Arial" w:hAnsi="Arial" w:cs="Arial"/>
          <w:bCs/>
          <w:sz w:val="22"/>
          <w:szCs w:val="22"/>
          <w:lang w:val="fr-FR"/>
        </w:rPr>
        <w:t>avaient</w:t>
      </w:r>
      <w:r w:rsidRPr="0065229F">
        <w:rPr>
          <w:rFonts w:ascii="Arial" w:hAnsi="Arial" w:cs="Arial"/>
          <w:bCs/>
          <w:sz w:val="22"/>
          <w:szCs w:val="22"/>
          <w:lang w:val="fr-FR"/>
        </w:rPr>
        <w:t xml:space="preserve"> discuté (entre 2015 et 2019) de la nécessité d</w:t>
      </w:r>
      <w:r w:rsidR="008E532B">
        <w:rPr>
          <w:rFonts w:ascii="Arial" w:hAnsi="Arial" w:cs="Arial"/>
          <w:bCs/>
          <w:sz w:val="22"/>
          <w:szCs w:val="22"/>
          <w:lang w:val="fr-FR"/>
        </w:rPr>
        <w:t>’</w:t>
      </w:r>
      <w:r w:rsidRPr="0065229F">
        <w:rPr>
          <w:rFonts w:ascii="Arial" w:hAnsi="Arial" w:cs="Arial"/>
          <w:bCs/>
          <w:sz w:val="22"/>
          <w:szCs w:val="22"/>
          <w:lang w:val="fr-FR"/>
        </w:rPr>
        <w:t>harmoniser le</w:t>
      </w:r>
      <w:r>
        <w:rPr>
          <w:rFonts w:ascii="Arial" w:hAnsi="Arial" w:cs="Arial"/>
          <w:bCs/>
          <w:sz w:val="22"/>
          <w:szCs w:val="22"/>
          <w:lang w:val="fr-FR"/>
        </w:rPr>
        <w:t>s règlements intérieurs</w:t>
      </w:r>
      <w:r w:rsidRPr="0065229F">
        <w:rPr>
          <w:rFonts w:ascii="Arial" w:hAnsi="Arial" w:cs="Arial"/>
          <w:bCs/>
          <w:sz w:val="22"/>
          <w:szCs w:val="22"/>
          <w:lang w:val="fr-FR"/>
        </w:rPr>
        <w:t xml:space="preserve"> entre ses organes directeurs avec les r</w:t>
      </w:r>
      <w:r>
        <w:rPr>
          <w:rFonts w:ascii="Arial" w:hAnsi="Arial" w:cs="Arial"/>
          <w:bCs/>
          <w:sz w:val="22"/>
          <w:szCs w:val="22"/>
          <w:lang w:val="fr-FR"/>
        </w:rPr>
        <w:t xml:space="preserve">èglements </w:t>
      </w:r>
      <w:r w:rsidRPr="0065229F">
        <w:rPr>
          <w:rFonts w:ascii="Arial" w:hAnsi="Arial" w:cs="Arial"/>
          <w:bCs/>
          <w:sz w:val="22"/>
          <w:szCs w:val="22"/>
          <w:lang w:val="fr-FR"/>
        </w:rPr>
        <w:t xml:space="preserve">des autres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65229F">
        <w:rPr>
          <w:rFonts w:ascii="Arial" w:hAnsi="Arial" w:cs="Arial"/>
          <w:bCs/>
          <w:sz w:val="22"/>
          <w:szCs w:val="22"/>
          <w:lang w:val="fr-FR"/>
        </w:rPr>
        <w:t>. Il a été fait référence</w:t>
      </w:r>
      <w:r>
        <w:rPr>
          <w:rFonts w:ascii="Arial" w:hAnsi="Arial" w:cs="Arial"/>
          <w:bCs/>
          <w:sz w:val="22"/>
          <w:szCs w:val="22"/>
          <w:lang w:val="fr-FR"/>
        </w:rPr>
        <w:t xml:space="preserve"> à </w:t>
      </w:r>
      <w:r w:rsidRPr="00A21CA3">
        <w:rPr>
          <w:rFonts w:ascii="Arial" w:hAnsi="Arial" w:cs="Arial"/>
          <w:bCs/>
          <w:sz w:val="22"/>
          <w:szCs w:val="22"/>
          <w:lang w:val="fr-FR"/>
        </w:rPr>
        <w:t xml:space="preserve">la </w:t>
      </w:r>
      <w:r w:rsidR="00B91AB2">
        <w:rPr>
          <w:rFonts w:ascii="Arial" w:hAnsi="Arial" w:cs="Arial"/>
          <w:bCs/>
          <w:sz w:val="22"/>
          <w:szCs w:val="22"/>
          <w:lang w:val="fr-FR"/>
        </w:rPr>
        <w:t>résolution</w:t>
      </w:r>
      <w:hyperlink r:id="rId56" w:history="1">
        <w:r w:rsidR="00B91AB2">
          <w:rPr>
            <w:rStyle w:val="Hyperlink"/>
            <w:rFonts w:ascii="Arial" w:hAnsi="Arial" w:cs="Arial"/>
            <w:bCs/>
            <w:sz w:val="22"/>
            <w:szCs w:val="22"/>
            <w:lang w:val="fr-FR"/>
          </w:rPr>
          <w:t> </w:t>
        </w:r>
        <w:r>
          <w:rPr>
            <w:rStyle w:val="Hyperlink"/>
            <w:rFonts w:ascii="Arial" w:hAnsi="Arial" w:cs="Arial"/>
            <w:bCs/>
            <w:sz w:val="22"/>
            <w:szCs w:val="22"/>
            <w:lang w:val="fr-FR"/>
          </w:rPr>
          <w:t>6.GA 11</w:t>
        </w:r>
      </w:hyperlink>
      <w:r w:rsidR="00B91AB2" w:rsidRPr="009F6BC9">
        <w:rPr>
          <w:rStyle w:val="Hyperlink"/>
          <w:rFonts w:ascii="Arial" w:hAnsi="Arial" w:cs="Arial"/>
          <w:bCs/>
          <w:color w:val="auto"/>
          <w:sz w:val="22"/>
          <w:szCs w:val="22"/>
          <w:u w:val="none"/>
          <w:lang w:val="fr-FR"/>
        </w:rPr>
        <w:t>, à</w:t>
      </w:r>
      <w:r w:rsidRPr="00B91AB2">
        <w:rPr>
          <w:rFonts w:ascii="Arial" w:hAnsi="Arial" w:cs="Arial"/>
          <w:bCs/>
          <w:sz w:val="22"/>
          <w:szCs w:val="22"/>
          <w:lang w:val="fr-FR"/>
        </w:rPr>
        <w:t xml:space="preserve"> </w:t>
      </w:r>
      <w:r w:rsidRPr="00A21CA3">
        <w:rPr>
          <w:rFonts w:ascii="Arial" w:hAnsi="Arial" w:cs="Arial"/>
          <w:bCs/>
          <w:sz w:val="22"/>
          <w:szCs w:val="22"/>
          <w:lang w:val="fr-FR"/>
        </w:rPr>
        <w:t>la</w:t>
      </w:r>
      <w:r w:rsidR="003D44D6" w:rsidRPr="003D44D6">
        <w:rPr>
          <w:rFonts w:ascii="Arial" w:hAnsi="Arial" w:cs="Arial"/>
          <w:bCs/>
          <w:sz w:val="22"/>
          <w:szCs w:val="22"/>
          <w:lang w:val="fr-FR"/>
        </w:rPr>
        <w:t xml:space="preserve"> </w:t>
      </w:r>
      <w:r w:rsidR="003D44D6">
        <w:rPr>
          <w:rFonts w:ascii="Arial" w:hAnsi="Arial" w:cs="Arial"/>
          <w:bCs/>
          <w:sz w:val="22"/>
          <w:szCs w:val="22"/>
          <w:lang w:val="fr-FR"/>
        </w:rPr>
        <w:t>résolutions</w:t>
      </w:r>
      <w:r w:rsidRPr="00A21CA3">
        <w:rPr>
          <w:rFonts w:ascii="Arial" w:hAnsi="Arial" w:cs="Arial"/>
          <w:bCs/>
          <w:sz w:val="22"/>
          <w:szCs w:val="22"/>
          <w:lang w:val="fr-FR"/>
        </w:rPr>
        <w:t xml:space="preserve"> </w:t>
      </w:r>
      <w:hyperlink r:id="rId57" w:history="1">
        <w:r w:rsidRPr="00A21CA3">
          <w:rPr>
            <w:rStyle w:val="Hyperlink"/>
            <w:rFonts w:ascii="Arial" w:hAnsi="Arial" w:cs="Arial"/>
            <w:bCs/>
            <w:sz w:val="22"/>
            <w:szCs w:val="22"/>
            <w:lang w:val="fr-FR"/>
          </w:rPr>
          <w:t>7.GA</w:t>
        </w:r>
        <w:r>
          <w:rPr>
            <w:rStyle w:val="Hyperlink"/>
            <w:rFonts w:ascii="Arial" w:hAnsi="Arial" w:cs="Arial"/>
            <w:bCs/>
            <w:sz w:val="22"/>
            <w:szCs w:val="22"/>
            <w:lang w:val="fr-FR"/>
          </w:rPr>
          <w:t> </w:t>
        </w:r>
        <w:r w:rsidRPr="00A21CA3">
          <w:rPr>
            <w:rStyle w:val="Hyperlink"/>
            <w:rFonts w:ascii="Arial" w:hAnsi="Arial" w:cs="Arial"/>
            <w:bCs/>
            <w:sz w:val="22"/>
            <w:szCs w:val="22"/>
            <w:lang w:val="fr-FR"/>
          </w:rPr>
          <w:t>12</w:t>
        </w:r>
      </w:hyperlink>
      <w:r w:rsidRPr="00A21CA3">
        <w:rPr>
          <w:rFonts w:ascii="Arial" w:hAnsi="Arial" w:cs="Arial"/>
          <w:bCs/>
          <w:sz w:val="22"/>
          <w:szCs w:val="22"/>
          <w:lang w:val="fr-FR"/>
        </w:rPr>
        <w:t xml:space="preserve">, et à la </w:t>
      </w:r>
      <w:r w:rsidR="003D44D6">
        <w:rPr>
          <w:rFonts w:ascii="Arial" w:hAnsi="Arial" w:cs="Arial"/>
          <w:bCs/>
          <w:sz w:val="22"/>
          <w:szCs w:val="22"/>
          <w:lang w:val="fr-FR"/>
        </w:rPr>
        <w:t>résolutions</w:t>
      </w:r>
      <w:r w:rsidR="003D44D6" w:rsidRPr="009F6BC9">
        <w:rPr>
          <w:lang w:val="fr-FR"/>
        </w:rPr>
        <w:t xml:space="preserve"> </w:t>
      </w:r>
      <w:hyperlink r:id="rId58" w:history="1">
        <w:r w:rsidRPr="00A21CA3">
          <w:rPr>
            <w:rStyle w:val="Hyperlink"/>
            <w:rFonts w:ascii="Arial" w:hAnsi="Arial" w:cs="Arial"/>
            <w:bCs/>
            <w:sz w:val="22"/>
            <w:szCs w:val="22"/>
            <w:lang w:val="fr-FR"/>
          </w:rPr>
          <w:t>7.GA</w:t>
        </w:r>
        <w:r>
          <w:rPr>
            <w:rStyle w:val="Hyperlink"/>
            <w:rFonts w:ascii="Arial" w:hAnsi="Arial" w:cs="Arial"/>
            <w:bCs/>
            <w:sz w:val="22"/>
            <w:szCs w:val="22"/>
            <w:lang w:val="fr-FR"/>
          </w:rPr>
          <w:t> </w:t>
        </w:r>
        <w:r w:rsidRPr="00A21CA3">
          <w:rPr>
            <w:rStyle w:val="Hyperlink"/>
            <w:rFonts w:ascii="Arial" w:hAnsi="Arial" w:cs="Arial"/>
            <w:bCs/>
            <w:sz w:val="22"/>
            <w:szCs w:val="22"/>
            <w:lang w:val="fr-FR"/>
          </w:rPr>
          <w:t>13</w:t>
        </w:r>
      </w:hyperlink>
      <w:r w:rsidRPr="00A21CA3">
        <w:rPr>
          <w:rFonts w:ascii="Arial" w:hAnsi="Arial" w:cs="Arial"/>
          <w:bCs/>
          <w:sz w:val="22"/>
          <w:szCs w:val="22"/>
          <w:lang w:val="fr-FR"/>
        </w:rPr>
        <w:t xml:space="preserve"> de l</w:t>
      </w:r>
      <w:r w:rsidR="008E532B">
        <w:rPr>
          <w:rFonts w:ascii="Arial" w:hAnsi="Arial" w:cs="Arial"/>
          <w:bCs/>
          <w:sz w:val="22"/>
          <w:szCs w:val="22"/>
          <w:lang w:val="fr-FR"/>
        </w:rPr>
        <w:t>’</w:t>
      </w:r>
      <w:r w:rsidRPr="00A21CA3">
        <w:rPr>
          <w:rFonts w:ascii="Arial" w:hAnsi="Arial" w:cs="Arial"/>
          <w:bCs/>
          <w:sz w:val="22"/>
          <w:szCs w:val="22"/>
          <w:lang w:val="fr-FR"/>
        </w:rPr>
        <w:t>Assemblée générale et, pour le Comité, à la</w:t>
      </w:r>
      <w:r w:rsidRPr="00A21CA3">
        <w:rPr>
          <w:lang w:val="fr-FR"/>
        </w:rPr>
        <w:t xml:space="preserve"> </w:t>
      </w:r>
      <w:r w:rsidR="003D44D6" w:rsidRPr="009F6BC9">
        <w:rPr>
          <w:lang w:val="fr-FR"/>
        </w:rPr>
        <w:t>décision </w:t>
      </w:r>
      <w:hyperlink r:id="rId59" w:history="1">
        <w:r w:rsidR="003D44D6" w:rsidRPr="003D44D6">
          <w:rPr>
            <w:rStyle w:val="Hyperlink"/>
            <w:rFonts w:ascii="Arial" w:hAnsi="Arial" w:cs="Arial"/>
            <w:bCs/>
            <w:sz w:val="22"/>
            <w:szCs w:val="22"/>
            <w:lang w:val="fr-FR"/>
          </w:rPr>
          <w:t>13.COM 17</w:t>
        </w:r>
      </w:hyperlink>
      <w:r w:rsidRPr="00A21CA3">
        <w:rPr>
          <w:rFonts w:ascii="Arial" w:hAnsi="Arial" w:cs="Arial"/>
          <w:bCs/>
          <w:sz w:val="22"/>
          <w:szCs w:val="22"/>
          <w:lang w:val="fr-FR"/>
        </w:rPr>
        <w:t xml:space="preserve"> et à la </w:t>
      </w:r>
      <w:r w:rsidR="003D44D6" w:rsidRPr="009F6BC9">
        <w:rPr>
          <w:lang w:val="fr-FR"/>
        </w:rPr>
        <w:t>décision </w:t>
      </w:r>
      <w:hyperlink r:id="rId60" w:history="1">
        <w:r w:rsidR="003D44D6" w:rsidRPr="003D44D6">
          <w:rPr>
            <w:rStyle w:val="Hyperlink"/>
            <w:rFonts w:ascii="Arial" w:hAnsi="Arial" w:cs="Arial"/>
            <w:bCs/>
            <w:sz w:val="22"/>
            <w:szCs w:val="22"/>
            <w:lang w:val="fr-FR"/>
          </w:rPr>
          <w:t>14.COM 19</w:t>
        </w:r>
      </w:hyperlink>
      <w:r w:rsidRPr="00A21CA3">
        <w:rPr>
          <w:rFonts w:ascii="Arial" w:hAnsi="Arial" w:cs="Arial"/>
          <w:bCs/>
          <w:sz w:val="22"/>
          <w:szCs w:val="22"/>
          <w:lang w:val="fr-FR"/>
        </w:rPr>
        <w:t>.</w:t>
      </w:r>
    </w:p>
    <w:p w14:paraId="49AFA5A9" w14:textId="23C7118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62D40">
        <w:rPr>
          <w:rFonts w:ascii="Arial" w:hAnsi="Arial" w:cs="Arial"/>
          <w:bCs/>
          <w:sz w:val="22"/>
          <w:szCs w:val="22"/>
          <w:lang w:val="fr-FR"/>
        </w:rPr>
        <w:t xml:space="preserve">Le </w:t>
      </w:r>
      <w:r w:rsidRPr="00762D40">
        <w:rPr>
          <w:rFonts w:ascii="Arial" w:hAnsi="Arial" w:cs="Arial"/>
          <w:b/>
          <w:sz w:val="22"/>
          <w:szCs w:val="22"/>
          <w:lang w:val="fr-FR"/>
        </w:rPr>
        <w:t>Sous-Directeur général</w:t>
      </w:r>
      <w:r w:rsidRPr="00762D40">
        <w:rPr>
          <w:rFonts w:ascii="Arial" w:hAnsi="Arial" w:cs="Arial"/>
          <w:bCs/>
          <w:sz w:val="22"/>
          <w:szCs w:val="22"/>
          <w:lang w:val="fr-FR"/>
        </w:rPr>
        <w:t xml:space="preserve"> a en outre expliqué que lors de sa </w:t>
      </w:r>
      <w:r>
        <w:rPr>
          <w:rFonts w:ascii="Arial" w:hAnsi="Arial" w:cs="Arial"/>
          <w:bCs/>
          <w:sz w:val="22"/>
          <w:szCs w:val="22"/>
          <w:lang w:val="fr-FR"/>
        </w:rPr>
        <w:t>huitième</w:t>
      </w:r>
      <w:r w:rsidRPr="00762D40">
        <w:rPr>
          <w:rFonts w:ascii="Arial" w:hAnsi="Arial" w:cs="Arial"/>
          <w:bCs/>
          <w:sz w:val="22"/>
          <w:szCs w:val="22"/>
          <w:lang w:val="fr-FR"/>
        </w:rPr>
        <w:t xml:space="preserve"> session en 2020, l</w:t>
      </w:r>
      <w:r w:rsidR="008E532B">
        <w:rPr>
          <w:rFonts w:ascii="Arial" w:hAnsi="Arial" w:cs="Arial"/>
          <w:bCs/>
          <w:sz w:val="22"/>
          <w:szCs w:val="22"/>
          <w:lang w:val="fr-FR"/>
        </w:rPr>
        <w:t>’</w:t>
      </w:r>
      <w:r w:rsidRPr="00762D40">
        <w:rPr>
          <w:rFonts w:ascii="Arial" w:hAnsi="Arial" w:cs="Arial"/>
          <w:bCs/>
          <w:sz w:val="22"/>
          <w:szCs w:val="22"/>
          <w:lang w:val="fr-FR"/>
        </w:rPr>
        <w:t>Assemblée générale avait encouragé le Secteur de la culture à poursuivre ses efforts d</w:t>
      </w:r>
      <w:r w:rsidR="008E532B">
        <w:rPr>
          <w:rFonts w:ascii="Arial" w:hAnsi="Arial" w:cs="Arial"/>
          <w:bCs/>
          <w:sz w:val="22"/>
          <w:szCs w:val="22"/>
          <w:lang w:val="fr-FR"/>
        </w:rPr>
        <w:t>’</w:t>
      </w:r>
      <w:r w:rsidRPr="00762D40">
        <w:rPr>
          <w:rFonts w:ascii="Arial" w:hAnsi="Arial" w:cs="Arial"/>
          <w:bCs/>
          <w:sz w:val="22"/>
          <w:szCs w:val="22"/>
          <w:lang w:val="fr-FR"/>
        </w:rPr>
        <w:t>harmonisation</w:t>
      </w:r>
      <w:r>
        <w:rPr>
          <w:rFonts w:ascii="Arial" w:hAnsi="Arial" w:cs="Arial"/>
          <w:bCs/>
          <w:sz w:val="22"/>
          <w:szCs w:val="22"/>
          <w:lang w:val="fr-FR"/>
        </w:rPr>
        <w:t>,</w:t>
      </w:r>
      <w:r w:rsidRPr="00762D40">
        <w:rPr>
          <w:rFonts w:ascii="Arial" w:hAnsi="Arial" w:cs="Arial"/>
          <w:bCs/>
          <w:sz w:val="22"/>
          <w:szCs w:val="22"/>
          <w:lang w:val="fr-FR"/>
        </w:rPr>
        <w:t xml:space="preserve"> tout en invitant le Secrétariat à soumettre un nouveau projet de version consolidée du Règlement intérieur </w:t>
      </w:r>
      <w:r>
        <w:rPr>
          <w:rFonts w:ascii="Arial" w:hAnsi="Arial" w:cs="Arial"/>
          <w:bCs/>
          <w:sz w:val="22"/>
          <w:szCs w:val="22"/>
          <w:lang w:val="fr-FR"/>
        </w:rPr>
        <w:t>à</w:t>
      </w:r>
      <w:r w:rsidRPr="00762D40">
        <w:rPr>
          <w:rFonts w:ascii="Arial" w:hAnsi="Arial" w:cs="Arial"/>
          <w:bCs/>
          <w:sz w:val="22"/>
          <w:szCs w:val="22"/>
          <w:lang w:val="fr-FR"/>
        </w:rPr>
        <w:t xml:space="preserve"> la</w:t>
      </w:r>
      <w:r>
        <w:rPr>
          <w:rFonts w:ascii="Arial" w:hAnsi="Arial" w:cs="Arial"/>
          <w:bCs/>
          <w:sz w:val="22"/>
          <w:szCs w:val="22"/>
          <w:lang w:val="fr-FR"/>
        </w:rPr>
        <w:t xml:space="preserve"> neuvième</w:t>
      </w:r>
      <w:r w:rsidRPr="00762D40">
        <w:rPr>
          <w:rFonts w:ascii="Arial" w:hAnsi="Arial" w:cs="Arial"/>
          <w:bCs/>
          <w:sz w:val="22"/>
          <w:szCs w:val="22"/>
          <w:lang w:val="fr-FR"/>
        </w:rPr>
        <w:t xml:space="preserve"> session de l</w:t>
      </w:r>
      <w:r w:rsidR="008E532B">
        <w:rPr>
          <w:rFonts w:ascii="Arial" w:hAnsi="Arial" w:cs="Arial"/>
          <w:bCs/>
          <w:sz w:val="22"/>
          <w:szCs w:val="22"/>
          <w:lang w:val="fr-FR"/>
        </w:rPr>
        <w:t>’</w:t>
      </w:r>
      <w:r w:rsidRPr="00762D40">
        <w:rPr>
          <w:rFonts w:ascii="Arial" w:hAnsi="Arial" w:cs="Arial"/>
          <w:bCs/>
          <w:sz w:val="22"/>
          <w:szCs w:val="22"/>
          <w:lang w:val="fr-FR"/>
        </w:rPr>
        <w:t xml:space="preserve">Assemblée générale. </w:t>
      </w:r>
      <w:r>
        <w:rPr>
          <w:rFonts w:ascii="Arial" w:hAnsi="Arial" w:cs="Arial"/>
          <w:bCs/>
          <w:sz w:val="22"/>
          <w:szCs w:val="22"/>
          <w:lang w:val="fr-FR"/>
        </w:rPr>
        <w:t xml:space="preserve">Des </w:t>
      </w:r>
      <w:r w:rsidRPr="00762D40">
        <w:rPr>
          <w:rFonts w:ascii="Arial" w:hAnsi="Arial" w:cs="Arial"/>
          <w:bCs/>
          <w:sz w:val="22"/>
          <w:szCs w:val="22"/>
          <w:lang w:val="fr-FR"/>
        </w:rPr>
        <w:t xml:space="preserve">besoins similaires </w:t>
      </w:r>
      <w:r>
        <w:rPr>
          <w:rFonts w:ascii="Arial" w:hAnsi="Arial" w:cs="Arial"/>
          <w:bCs/>
          <w:sz w:val="22"/>
          <w:szCs w:val="22"/>
          <w:lang w:val="fr-FR"/>
        </w:rPr>
        <w:t xml:space="preserve">ayant été </w:t>
      </w:r>
      <w:r w:rsidRPr="00762D40">
        <w:rPr>
          <w:rFonts w:ascii="Arial" w:hAnsi="Arial" w:cs="Arial"/>
          <w:bCs/>
          <w:sz w:val="22"/>
          <w:szCs w:val="22"/>
          <w:lang w:val="fr-FR"/>
        </w:rPr>
        <w:t>identifiés par les autres assemblées des</w:t>
      </w:r>
      <w:r>
        <w:rPr>
          <w:rFonts w:ascii="Arial" w:hAnsi="Arial" w:cs="Arial"/>
          <w:bCs/>
          <w:sz w:val="22"/>
          <w:szCs w:val="22"/>
          <w:lang w:val="fr-FR"/>
        </w:rPr>
        <w:t xml:space="preserve"> </w:t>
      </w:r>
      <w:r>
        <w:rPr>
          <w:rFonts w:ascii="Arial" w:eastAsia="SimSun" w:hAnsi="Arial" w:cs="Arial"/>
          <w:sz w:val="22"/>
          <w:szCs w:val="22"/>
          <w:lang w:val="fr-FR"/>
        </w:rPr>
        <w:t>c</w:t>
      </w:r>
      <w:r w:rsidRPr="00063A79">
        <w:rPr>
          <w:rFonts w:ascii="Arial" w:eastAsia="SimSun" w:hAnsi="Arial" w:cs="Arial"/>
          <w:sz w:val="22"/>
          <w:szCs w:val="22"/>
          <w:lang w:val="fr-FR"/>
        </w:rPr>
        <w:t>onventions de l</w:t>
      </w:r>
      <w:r w:rsidR="008E532B">
        <w:rPr>
          <w:rFonts w:ascii="Arial" w:eastAsia="SimSun" w:hAnsi="Arial" w:cs="Arial"/>
          <w:sz w:val="22"/>
          <w:szCs w:val="22"/>
          <w:lang w:val="fr-FR"/>
        </w:rPr>
        <w:t>’</w:t>
      </w:r>
      <w:r w:rsidRPr="00063A79">
        <w:rPr>
          <w:rFonts w:ascii="Arial" w:eastAsia="SimSun" w:hAnsi="Arial" w:cs="Arial"/>
          <w:sz w:val="22"/>
          <w:szCs w:val="22"/>
          <w:lang w:val="fr-FR"/>
        </w:rPr>
        <w:t>UNESCO</w:t>
      </w:r>
      <w:r>
        <w:rPr>
          <w:rFonts w:ascii="Arial" w:eastAsia="SimSun" w:hAnsi="Arial" w:cs="Arial"/>
          <w:sz w:val="22"/>
          <w:szCs w:val="22"/>
          <w:lang w:val="fr-FR"/>
        </w:rPr>
        <w:t xml:space="preserve"> en matière de culture</w:t>
      </w:r>
      <w:r w:rsidRPr="00762D40">
        <w:rPr>
          <w:rFonts w:ascii="Arial" w:hAnsi="Arial" w:cs="Arial"/>
          <w:bCs/>
          <w:sz w:val="22"/>
          <w:szCs w:val="22"/>
          <w:lang w:val="fr-FR"/>
        </w:rPr>
        <w:t xml:space="preserve">, la </w:t>
      </w:r>
      <w:r>
        <w:rPr>
          <w:rFonts w:ascii="Arial" w:hAnsi="Arial" w:cs="Arial"/>
          <w:bCs/>
          <w:sz w:val="22"/>
          <w:szCs w:val="22"/>
          <w:lang w:val="fr-FR"/>
        </w:rPr>
        <w:t>quarante et unième</w:t>
      </w:r>
      <w:r w:rsidRPr="00762D40">
        <w:rPr>
          <w:rFonts w:ascii="Arial" w:hAnsi="Arial" w:cs="Arial"/>
          <w:bCs/>
          <w:sz w:val="22"/>
          <w:szCs w:val="22"/>
          <w:lang w:val="fr-FR"/>
        </w:rPr>
        <w:t xml:space="preserve"> session de la Conférence générale de l</w:t>
      </w:r>
      <w:r w:rsidR="008E532B">
        <w:rPr>
          <w:rFonts w:ascii="Arial" w:hAnsi="Arial" w:cs="Arial"/>
          <w:bCs/>
          <w:sz w:val="22"/>
          <w:szCs w:val="22"/>
          <w:lang w:val="fr-FR"/>
        </w:rPr>
        <w:t>’</w:t>
      </w:r>
      <w:r w:rsidRPr="00762D40">
        <w:rPr>
          <w:rFonts w:ascii="Arial" w:hAnsi="Arial" w:cs="Arial"/>
          <w:bCs/>
          <w:sz w:val="22"/>
          <w:szCs w:val="22"/>
          <w:lang w:val="fr-FR"/>
        </w:rPr>
        <w:t>UNESCO</w:t>
      </w:r>
      <w:r>
        <w:rPr>
          <w:rFonts w:ascii="Arial" w:hAnsi="Arial" w:cs="Arial"/>
          <w:bCs/>
          <w:sz w:val="22"/>
          <w:szCs w:val="22"/>
          <w:lang w:val="fr-FR"/>
        </w:rPr>
        <w:t>,</w:t>
      </w:r>
      <w:r w:rsidRPr="00762D40">
        <w:rPr>
          <w:rFonts w:ascii="Arial" w:hAnsi="Arial" w:cs="Arial"/>
          <w:bCs/>
          <w:sz w:val="22"/>
          <w:szCs w:val="22"/>
          <w:lang w:val="fr-FR"/>
        </w:rPr>
        <w:t xml:space="preserve"> en 2021</w:t>
      </w:r>
      <w:r>
        <w:rPr>
          <w:rFonts w:ascii="Arial" w:hAnsi="Arial" w:cs="Arial"/>
          <w:bCs/>
          <w:sz w:val="22"/>
          <w:szCs w:val="22"/>
          <w:lang w:val="fr-FR"/>
        </w:rPr>
        <w:t>,</w:t>
      </w:r>
      <w:r w:rsidRPr="00762D40">
        <w:rPr>
          <w:rFonts w:ascii="Arial" w:hAnsi="Arial" w:cs="Arial"/>
          <w:bCs/>
          <w:sz w:val="22"/>
          <w:szCs w:val="22"/>
          <w:lang w:val="fr-FR"/>
        </w:rPr>
        <w:t xml:space="preserve"> a</w:t>
      </w:r>
      <w:r>
        <w:rPr>
          <w:rFonts w:ascii="Arial" w:hAnsi="Arial" w:cs="Arial"/>
          <w:bCs/>
          <w:sz w:val="22"/>
          <w:szCs w:val="22"/>
          <w:lang w:val="fr-FR"/>
        </w:rPr>
        <w:t>vait</w:t>
      </w:r>
      <w:r w:rsidRPr="00762D40">
        <w:rPr>
          <w:rFonts w:ascii="Arial" w:hAnsi="Arial" w:cs="Arial"/>
          <w:bCs/>
          <w:sz w:val="22"/>
          <w:szCs w:val="22"/>
          <w:lang w:val="fr-FR"/>
        </w:rPr>
        <w:t xml:space="preserve"> examiné un </w:t>
      </w:r>
      <w:r>
        <w:rPr>
          <w:rFonts w:ascii="Arial" w:hAnsi="Arial" w:cs="Arial"/>
          <w:bCs/>
          <w:sz w:val="22"/>
          <w:szCs w:val="22"/>
          <w:lang w:val="fr-FR"/>
        </w:rPr>
        <w:t>Règlement intérieur modèle</w:t>
      </w:r>
      <w:r>
        <w:rPr>
          <w:rStyle w:val="FootnoteReference"/>
          <w:rFonts w:ascii="Arial" w:hAnsi="Arial" w:cs="Arial"/>
          <w:bCs/>
          <w:sz w:val="22"/>
          <w:szCs w:val="22"/>
          <w:lang w:val="fr-FR"/>
        </w:rPr>
        <w:footnoteReference w:id="45"/>
      </w:r>
      <w:r w:rsidRPr="00762D40">
        <w:rPr>
          <w:rFonts w:ascii="Arial" w:hAnsi="Arial" w:cs="Arial"/>
          <w:bCs/>
          <w:sz w:val="22"/>
          <w:szCs w:val="22"/>
          <w:lang w:val="fr-FR"/>
        </w:rPr>
        <w:t>, dont les assemblées pourraient s</w:t>
      </w:r>
      <w:r w:rsidR="008E532B">
        <w:rPr>
          <w:rFonts w:ascii="Arial" w:hAnsi="Arial" w:cs="Arial"/>
          <w:bCs/>
          <w:sz w:val="22"/>
          <w:szCs w:val="22"/>
          <w:lang w:val="fr-FR"/>
        </w:rPr>
        <w:t>’</w:t>
      </w:r>
      <w:r w:rsidRPr="00762D40">
        <w:rPr>
          <w:rFonts w:ascii="Arial" w:hAnsi="Arial" w:cs="Arial"/>
          <w:bCs/>
          <w:sz w:val="22"/>
          <w:szCs w:val="22"/>
          <w:lang w:val="fr-FR"/>
        </w:rPr>
        <w:t>inspirer pour explorer les moyens possibles d</w:t>
      </w:r>
      <w:r w:rsidR="008E532B">
        <w:rPr>
          <w:rFonts w:ascii="Arial" w:hAnsi="Arial" w:cs="Arial"/>
          <w:bCs/>
          <w:sz w:val="22"/>
          <w:szCs w:val="22"/>
          <w:lang w:val="fr-FR"/>
        </w:rPr>
        <w:t>’</w:t>
      </w:r>
      <w:r w:rsidRPr="00762D40">
        <w:rPr>
          <w:rFonts w:ascii="Arial" w:hAnsi="Arial" w:cs="Arial"/>
          <w:bCs/>
          <w:sz w:val="22"/>
          <w:szCs w:val="22"/>
          <w:lang w:val="fr-FR"/>
        </w:rPr>
        <w:t>harmoniser</w:t>
      </w:r>
      <w:r>
        <w:rPr>
          <w:rFonts w:ascii="Arial" w:hAnsi="Arial" w:cs="Arial"/>
          <w:bCs/>
          <w:sz w:val="22"/>
          <w:szCs w:val="22"/>
          <w:lang w:val="fr-FR"/>
        </w:rPr>
        <w:t>, si nécessaire,</w:t>
      </w:r>
      <w:r w:rsidRPr="00762D40">
        <w:rPr>
          <w:rFonts w:ascii="Arial" w:hAnsi="Arial" w:cs="Arial"/>
          <w:bCs/>
          <w:sz w:val="22"/>
          <w:szCs w:val="22"/>
          <w:lang w:val="fr-FR"/>
        </w:rPr>
        <w:t xml:space="preserve"> leur</w:t>
      </w:r>
      <w:r>
        <w:rPr>
          <w:rFonts w:ascii="Arial" w:hAnsi="Arial" w:cs="Arial"/>
          <w:bCs/>
          <w:sz w:val="22"/>
          <w:szCs w:val="22"/>
          <w:lang w:val="fr-FR"/>
        </w:rPr>
        <w:t xml:space="preserve"> Règlement intérieur </w:t>
      </w:r>
      <w:r w:rsidRPr="00762D40">
        <w:rPr>
          <w:rFonts w:ascii="Arial" w:hAnsi="Arial" w:cs="Arial"/>
          <w:bCs/>
          <w:sz w:val="22"/>
          <w:szCs w:val="22"/>
          <w:lang w:val="fr-FR"/>
        </w:rPr>
        <w:t>respecti</w:t>
      </w:r>
      <w:r>
        <w:rPr>
          <w:rFonts w:ascii="Arial" w:hAnsi="Arial" w:cs="Arial"/>
          <w:bCs/>
          <w:sz w:val="22"/>
          <w:szCs w:val="22"/>
          <w:lang w:val="fr-FR"/>
        </w:rPr>
        <w:t xml:space="preserve">f. </w:t>
      </w:r>
      <w:r w:rsidRPr="00762D40">
        <w:rPr>
          <w:rFonts w:ascii="Arial" w:hAnsi="Arial" w:cs="Arial"/>
          <w:bCs/>
          <w:sz w:val="22"/>
          <w:szCs w:val="22"/>
          <w:lang w:val="fr-FR"/>
        </w:rPr>
        <w:t xml:space="preserve">Il </w:t>
      </w:r>
      <w:r>
        <w:rPr>
          <w:rFonts w:ascii="Arial" w:hAnsi="Arial" w:cs="Arial"/>
          <w:bCs/>
          <w:sz w:val="22"/>
          <w:szCs w:val="22"/>
          <w:lang w:val="fr-FR"/>
        </w:rPr>
        <w:t xml:space="preserve">était </w:t>
      </w:r>
      <w:r w:rsidRPr="00762D40">
        <w:rPr>
          <w:rFonts w:ascii="Arial" w:hAnsi="Arial" w:cs="Arial"/>
          <w:bCs/>
          <w:sz w:val="22"/>
          <w:szCs w:val="22"/>
          <w:lang w:val="fr-FR"/>
        </w:rPr>
        <w:t>donc</w:t>
      </w:r>
      <w:r>
        <w:rPr>
          <w:rFonts w:ascii="Arial" w:hAnsi="Arial" w:cs="Arial"/>
          <w:bCs/>
          <w:sz w:val="22"/>
          <w:szCs w:val="22"/>
          <w:lang w:val="fr-FR"/>
        </w:rPr>
        <w:t xml:space="preserve"> </w:t>
      </w:r>
      <w:r w:rsidRPr="00762D40">
        <w:rPr>
          <w:rFonts w:ascii="Arial" w:hAnsi="Arial" w:cs="Arial"/>
          <w:bCs/>
          <w:sz w:val="22"/>
          <w:szCs w:val="22"/>
          <w:lang w:val="fr-FR"/>
        </w:rPr>
        <w:t>demandé à cette session de l</w:t>
      </w:r>
      <w:r w:rsidR="008E532B">
        <w:rPr>
          <w:rFonts w:ascii="Arial" w:hAnsi="Arial" w:cs="Arial"/>
          <w:bCs/>
          <w:sz w:val="22"/>
          <w:szCs w:val="22"/>
          <w:lang w:val="fr-FR"/>
        </w:rPr>
        <w:t>’</w:t>
      </w:r>
      <w:r w:rsidRPr="00762D40">
        <w:rPr>
          <w:rFonts w:ascii="Arial" w:hAnsi="Arial" w:cs="Arial"/>
          <w:bCs/>
          <w:sz w:val="22"/>
          <w:szCs w:val="22"/>
          <w:lang w:val="fr-FR"/>
        </w:rPr>
        <w:t>Assemblée générale d</w:t>
      </w:r>
      <w:r w:rsidR="008E532B">
        <w:rPr>
          <w:rFonts w:ascii="Arial" w:hAnsi="Arial" w:cs="Arial"/>
          <w:bCs/>
          <w:sz w:val="22"/>
          <w:szCs w:val="22"/>
          <w:lang w:val="fr-FR"/>
        </w:rPr>
        <w:t>’</w:t>
      </w:r>
      <w:r w:rsidRPr="00762D40">
        <w:rPr>
          <w:rFonts w:ascii="Arial" w:hAnsi="Arial" w:cs="Arial"/>
          <w:bCs/>
          <w:sz w:val="22"/>
          <w:szCs w:val="22"/>
          <w:lang w:val="fr-FR"/>
        </w:rPr>
        <w:t>examiner la</w:t>
      </w:r>
      <w:r>
        <w:rPr>
          <w:rFonts w:ascii="Arial" w:hAnsi="Arial" w:cs="Arial"/>
          <w:bCs/>
          <w:sz w:val="22"/>
          <w:szCs w:val="22"/>
          <w:lang w:val="fr-FR"/>
        </w:rPr>
        <w:t xml:space="preserve"> révision proposée</w:t>
      </w:r>
      <w:r w:rsidRPr="00762D40">
        <w:rPr>
          <w:rFonts w:ascii="Arial" w:hAnsi="Arial" w:cs="Arial"/>
          <w:bCs/>
          <w:sz w:val="22"/>
          <w:szCs w:val="22"/>
          <w:lang w:val="fr-FR"/>
        </w:rPr>
        <w:t xml:space="preserve"> du Règlement intérieur de l</w:t>
      </w:r>
      <w:r w:rsidR="008E532B">
        <w:rPr>
          <w:rFonts w:ascii="Arial" w:hAnsi="Arial" w:cs="Arial"/>
          <w:bCs/>
          <w:sz w:val="22"/>
          <w:szCs w:val="22"/>
          <w:lang w:val="fr-FR"/>
        </w:rPr>
        <w:t>’</w:t>
      </w:r>
      <w:r w:rsidRPr="00762D40">
        <w:rPr>
          <w:rFonts w:ascii="Arial" w:hAnsi="Arial" w:cs="Arial"/>
          <w:bCs/>
          <w:sz w:val="22"/>
          <w:szCs w:val="22"/>
          <w:lang w:val="fr-FR"/>
        </w:rPr>
        <w:t xml:space="preserve">Assemblée générale. Le Secrétariat </w:t>
      </w:r>
      <w:r>
        <w:rPr>
          <w:rFonts w:ascii="Arial" w:hAnsi="Arial" w:cs="Arial"/>
          <w:bCs/>
          <w:sz w:val="22"/>
          <w:szCs w:val="22"/>
          <w:lang w:val="fr-FR"/>
        </w:rPr>
        <w:t>avait</w:t>
      </w:r>
      <w:r w:rsidRPr="00762D40">
        <w:rPr>
          <w:rFonts w:ascii="Arial" w:hAnsi="Arial" w:cs="Arial"/>
          <w:bCs/>
          <w:sz w:val="22"/>
          <w:szCs w:val="22"/>
          <w:lang w:val="fr-FR"/>
        </w:rPr>
        <w:t xml:space="preserve"> le plaisir de présenter une proposition en réponse à la demande formulée lors de diverses sessions des organes directeurs de la Convention de 2003. </w:t>
      </w:r>
      <w:r w:rsidR="000936CD" w:rsidRPr="000936CD">
        <w:rPr>
          <w:rFonts w:ascii="Arial" w:hAnsi="Arial" w:cs="Arial"/>
          <w:bCs/>
          <w:sz w:val="22"/>
          <w:szCs w:val="22"/>
          <w:lang w:val="fr-FR"/>
        </w:rPr>
        <w:t xml:space="preserve">Le Sous-Directeur général </w:t>
      </w:r>
      <w:r w:rsidR="000936CD">
        <w:rPr>
          <w:rFonts w:ascii="Arial" w:hAnsi="Arial" w:cs="Arial"/>
          <w:bCs/>
          <w:sz w:val="22"/>
          <w:szCs w:val="22"/>
          <w:lang w:val="fr-FR"/>
        </w:rPr>
        <w:t xml:space="preserve">a souligné que </w:t>
      </w:r>
      <w:r w:rsidRPr="00762D40">
        <w:rPr>
          <w:rFonts w:ascii="Arial" w:hAnsi="Arial" w:cs="Arial"/>
          <w:bCs/>
          <w:sz w:val="22"/>
          <w:szCs w:val="22"/>
          <w:lang w:val="fr-FR"/>
        </w:rPr>
        <w:t xml:space="preserve">le </w:t>
      </w:r>
      <w:r>
        <w:rPr>
          <w:rFonts w:ascii="Arial" w:hAnsi="Arial" w:cs="Arial"/>
          <w:bCs/>
          <w:sz w:val="22"/>
          <w:szCs w:val="22"/>
          <w:lang w:val="fr-FR"/>
        </w:rPr>
        <w:t>R</w:t>
      </w:r>
      <w:r w:rsidRPr="00762D40">
        <w:rPr>
          <w:rFonts w:ascii="Arial" w:hAnsi="Arial" w:cs="Arial"/>
          <w:bCs/>
          <w:sz w:val="22"/>
          <w:szCs w:val="22"/>
          <w:lang w:val="fr-FR"/>
        </w:rPr>
        <w:t xml:space="preserve">èglement intérieur </w:t>
      </w:r>
      <w:r>
        <w:rPr>
          <w:rFonts w:ascii="Arial" w:hAnsi="Arial" w:cs="Arial"/>
          <w:bCs/>
          <w:sz w:val="22"/>
          <w:szCs w:val="22"/>
          <w:lang w:val="fr-FR"/>
        </w:rPr>
        <w:t>modèle</w:t>
      </w:r>
      <w:r w:rsidRPr="00762D40">
        <w:rPr>
          <w:rFonts w:ascii="Arial" w:hAnsi="Arial" w:cs="Arial"/>
          <w:bCs/>
          <w:sz w:val="22"/>
          <w:szCs w:val="22"/>
          <w:lang w:val="fr-FR"/>
        </w:rPr>
        <w:t xml:space="preserve"> respectait les spécificités et les pratiques de chaque instrument</w:t>
      </w:r>
      <w:r>
        <w:rPr>
          <w:rFonts w:ascii="Arial" w:hAnsi="Arial" w:cs="Arial"/>
          <w:bCs/>
          <w:sz w:val="22"/>
          <w:szCs w:val="22"/>
          <w:lang w:val="fr-FR"/>
        </w:rPr>
        <w:t xml:space="preserve"> </w:t>
      </w:r>
      <w:r w:rsidRPr="00082137">
        <w:rPr>
          <w:rFonts w:ascii="Arial" w:hAnsi="Arial" w:cs="Arial"/>
          <w:bCs/>
          <w:sz w:val="22"/>
          <w:szCs w:val="22"/>
          <w:lang w:val="fr-FR"/>
        </w:rPr>
        <w:t>normatif</w:t>
      </w:r>
      <w:r>
        <w:rPr>
          <w:rFonts w:ascii="Arial" w:hAnsi="Arial" w:cs="Arial"/>
          <w:bCs/>
          <w:sz w:val="22"/>
          <w:szCs w:val="22"/>
          <w:lang w:val="fr-FR"/>
        </w:rPr>
        <w:t xml:space="preserve">. Il a </w:t>
      </w:r>
      <w:r w:rsidRPr="00762D40">
        <w:rPr>
          <w:rFonts w:ascii="Arial" w:hAnsi="Arial" w:cs="Arial"/>
          <w:bCs/>
          <w:sz w:val="22"/>
          <w:szCs w:val="22"/>
          <w:lang w:val="fr-FR"/>
        </w:rPr>
        <w:t>invit</w:t>
      </w:r>
      <w:r>
        <w:rPr>
          <w:rFonts w:ascii="Arial" w:hAnsi="Arial" w:cs="Arial"/>
          <w:bCs/>
          <w:sz w:val="22"/>
          <w:szCs w:val="22"/>
          <w:lang w:val="fr-FR"/>
        </w:rPr>
        <w:t>é</w:t>
      </w:r>
      <w:r w:rsidRPr="00762D40">
        <w:rPr>
          <w:rFonts w:ascii="Arial" w:hAnsi="Arial" w:cs="Arial"/>
          <w:bCs/>
          <w:sz w:val="22"/>
          <w:szCs w:val="22"/>
          <w:lang w:val="fr-FR"/>
        </w:rPr>
        <w:t xml:space="preserve"> le Secrétariat à </w:t>
      </w:r>
      <w:r>
        <w:rPr>
          <w:rFonts w:ascii="Arial" w:hAnsi="Arial" w:cs="Arial"/>
          <w:bCs/>
          <w:sz w:val="22"/>
          <w:szCs w:val="22"/>
          <w:lang w:val="fr-FR"/>
        </w:rPr>
        <w:t xml:space="preserve">donner </w:t>
      </w:r>
      <w:r w:rsidRPr="00762D40">
        <w:rPr>
          <w:rFonts w:ascii="Arial" w:hAnsi="Arial" w:cs="Arial"/>
          <w:bCs/>
          <w:sz w:val="22"/>
          <w:szCs w:val="22"/>
          <w:lang w:val="fr-FR"/>
        </w:rPr>
        <w:t>un aperçu des révisions proposées.</w:t>
      </w:r>
    </w:p>
    <w:p w14:paraId="72730EF2" w14:textId="760A0548" w:rsidR="00D9653F" w:rsidRPr="00992740" w:rsidRDefault="008D65C3"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
          <w:sz w:val="22"/>
          <w:szCs w:val="22"/>
          <w:lang w:val="fr-FR"/>
        </w:rPr>
        <w:t>Mme</w:t>
      </w:r>
      <w:r w:rsidR="00D9653F" w:rsidRPr="00992740">
        <w:rPr>
          <w:rFonts w:ascii="Arial" w:hAnsi="Arial" w:cs="Arial"/>
          <w:b/>
          <w:sz w:val="22"/>
          <w:szCs w:val="22"/>
          <w:lang w:val="fr-FR"/>
        </w:rPr>
        <w:t> Fumiko Ohinata</w:t>
      </w:r>
      <w:r w:rsidR="00D9653F" w:rsidRPr="00992740">
        <w:rPr>
          <w:rFonts w:ascii="Arial" w:hAnsi="Arial" w:cs="Arial"/>
          <w:bCs/>
          <w:sz w:val="22"/>
          <w:szCs w:val="22"/>
          <w:lang w:val="fr-FR"/>
        </w:rPr>
        <w:t xml:space="preserve"> a expliqué qu</w:t>
      </w:r>
      <w:r w:rsidR="008E532B">
        <w:rPr>
          <w:rFonts w:ascii="Arial" w:hAnsi="Arial" w:cs="Arial"/>
          <w:bCs/>
          <w:sz w:val="22"/>
          <w:szCs w:val="22"/>
          <w:lang w:val="fr-FR"/>
        </w:rPr>
        <w:t>’</w:t>
      </w:r>
      <w:r w:rsidR="00D9653F" w:rsidRPr="00992740">
        <w:rPr>
          <w:rFonts w:ascii="Arial" w:hAnsi="Arial" w:cs="Arial"/>
          <w:bCs/>
          <w:sz w:val="22"/>
          <w:szCs w:val="22"/>
          <w:lang w:val="fr-FR"/>
        </w:rPr>
        <w:t>étant donné le volume et la complexité technique des révisions proposées, le Secrétariat avait invité les États parties à une réunion d</w:t>
      </w:r>
      <w:r w:rsidR="008E532B">
        <w:rPr>
          <w:rFonts w:ascii="Arial" w:hAnsi="Arial" w:cs="Arial"/>
          <w:bCs/>
          <w:sz w:val="22"/>
          <w:szCs w:val="22"/>
          <w:lang w:val="fr-FR"/>
        </w:rPr>
        <w:t>’</w:t>
      </w:r>
      <w:r w:rsidR="00D9653F" w:rsidRPr="00992740">
        <w:rPr>
          <w:rFonts w:ascii="Arial" w:hAnsi="Arial" w:cs="Arial"/>
          <w:bCs/>
          <w:sz w:val="22"/>
          <w:szCs w:val="22"/>
          <w:lang w:val="fr-FR"/>
        </w:rPr>
        <w:t>information et d</w:t>
      </w:r>
      <w:r w:rsidR="008E532B">
        <w:rPr>
          <w:rFonts w:ascii="Arial" w:hAnsi="Arial" w:cs="Arial"/>
          <w:bCs/>
          <w:sz w:val="22"/>
          <w:szCs w:val="22"/>
          <w:lang w:val="fr-FR"/>
        </w:rPr>
        <w:t>’</w:t>
      </w:r>
      <w:r w:rsidR="00D9653F" w:rsidRPr="00992740">
        <w:rPr>
          <w:rFonts w:ascii="Arial" w:hAnsi="Arial" w:cs="Arial"/>
          <w:bCs/>
          <w:sz w:val="22"/>
          <w:szCs w:val="22"/>
          <w:lang w:val="fr-FR"/>
        </w:rPr>
        <w:t>échange en ligne</w:t>
      </w:r>
      <w:r w:rsidR="00D9653F">
        <w:rPr>
          <w:rFonts w:ascii="Arial" w:hAnsi="Arial" w:cs="Arial"/>
          <w:bCs/>
          <w:sz w:val="22"/>
          <w:szCs w:val="22"/>
          <w:lang w:val="fr-FR"/>
        </w:rPr>
        <w:t>,</w:t>
      </w:r>
      <w:r w:rsidR="00D9653F" w:rsidRPr="00992740">
        <w:rPr>
          <w:rFonts w:ascii="Arial" w:hAnsi="Arial" w:cs="Arial"/>
          <w:bCs/>
          <w:sz w:val="22"/>
          <w:szCs w:val="22"/>
          <w:lang w:val="fr-FR"/>
        </w:rPr>
        <w:t xml:space="preserve"> le 31</w:t>
      </w:r>
      <w:r w:rsidR="00D9653F">
        <w:rPr>
          <w:rFonts w:ascii="Arial" w:hAnsi="Arial" w:cs="Arial"/>
          <w:bCs/>
          <w:sz w:val="22"/>
          <w:szCs w:val="22"/>
          <w:lang w:val="fr-FR"/>
        </w:rPr>
        <w:t> </w:t>
      </w:r>
      <w:r w:rsidR="00D9653F" w:rsidRPr="00992740">
        <w:rPr>
          <w:rFonts w:ascii="Arial" w:hAnsi="Arial" w:cs="Arial"/>
          <w:bCs/>
          <w:sz w:val="22"/>
          <w:szCs w:val="22"/>
          <w:lang w:val="fr-FR"/>
        </w:rPr>
        <w:t>mai</w:t>
      </w:r>
      <w:r w:rsidR="00D9653F">
        <w:rPr>
          <w:rFonts w:ascii="Arial" w:hAnsi="Arial" w:cs="Arial"/>
          <w:bCs/>
          <w:sz w:val="22"/>
          <w:szCs w:val="22"/>
          <w:lang w:val="fr-FR"/>
        </w:rPr>
        <w:t> </w:t>
      </w:r>
      <w:r w:rsidR="00D9653F" w:rsidRPr="00992740">
        <w:rPr>
          <w:rFonts w:ascii="Arial" w:hAnsi="Arial" w:cs="Arial"/>
          <w:bCs/>
          <w:sz w:val="22"/>
          <w:szCs w:val="22"/>
          <w:lang w:val="fr-FR"/>
        </w:rPr>
        <w:t>2022</w:t>
      </w:r>
      <w:r w:rsidR="00D9653F">
        <w:rPr>
          <w:rFonts w:ascii="Arial" w:hAnsi="Arial" w:cs="Arial"/>
          <w:bCs/>
          <w:sz w:val="22"/>
          <w:szCs w:val="22"/>
          <w:lang w:val="fr-FR"/>
        </w:rPr>
        <w:t>,</w:t>
      </w:r>
      <w:r w:rsidR="00D9653F" w:rsidRPr="00992740">
        <w:rPr>
          <w:rFonts w:ascii="Arial" w:hAnsi="Arial" w:cs="Arial"/>
          <w:bCs/>
          <w:sz w:val="22"/>
          <w:szCs w:val="22"/>
          <w:lang w:val="fr-FR"/>
        </w:rPr>
        <w:t xml:space="preserve"> pour expliquer la proposition </w:t>
      </w:r>
      <w:r w:rsidR="00D9653F">
        <w:rPr>
          <w:rFonts w:ascii="Arial" w:hAnsi="Arial" w:cs="Arial"/>
          <w:bCs/>
          <w:sz w:val="22"/>
          <w:szCs w:val="22"/>
          <w:lang w:val="fr-FR"/>
        </w:rPr>
        <w:t>article par article</w:t>
      </w:r>
      <w:r w:rsidR="00D9653F" w:rsidRPr="00992740">
        <w:rPr>
          <w:rFonts w:ascii="Arial" w:hAnsi="Arial" w:cs="Arial"/>
          <w:bCs/>
          <w:sz w:val="22"/>
          <w:szCs w:val="22"/>
          <w:lang w:val="fr-FR"/>
        </w:rPr>
        <w:t>. La séance a</w:t>
      </w:r>
      <w:r w:rsidR="00D9653F">
        <w:rPr>
          <w:rFonts w:ascii="Arial" w:hAnsi="Arial" w:cs="Arial"/>
          <w:bCs/>
          <w:sz w:val="22"/>
          <w:szCs w:val="22"/>
          <w:lang w:val="fr-FR"/>
        </w:rPr>
        <w:t>vait</w:t>
      </w:r>
      <w:r w:rsidR="00D9653F" w:rsidRPr="00992740">
        <w:rPr>
          <w:rFonts w:ascii="Arial" w:hAnsi="Arial" w:cs="Arial"/>
          <w:bCs/>
          <w:sz w:val="22"/>
          <w:szCs w:val="22"/>
          <w:lang w:val="fr-FR"/>
        </w:rPr>
        <w:t xml:space="preserve"> été suivie par environ 150 participants de </w:t>
      </w:r>
      <w:r w:rsidR="00D9653F">
        <w:rPr>
          <w:rFonts w:ascii="Arial" w:hAnsi="Arial" w:cs="Arial"/>
          <w:bCs/>
          <w:sz w:val="22"/>
          <w:szCs w:val="22"/>
          <w:lang w:val="fr-FR"/>
        </w:rPr>
        <w:t>quatre</w:t>
      </w:r>
      <w:r w:rsidR="00D9653F">
        <w:rPr>
          <w:rFonts w:ascii="Arial" w:hAnsi="Arial" w:cs="Arial"/>
          <w:bCs/>
          <w:sz w:val="22"/>
          <w:szCs w:val="22"/>
          <w:lang w:val="fr-FR"/>
        </w:rPr>
        <w:noBreakHyphen/>
      </w:r>
      <w:proofErr w:type="gramStart"/>
      <w:r w:rsidR="00D9653F">
        <w:rPr>
          <w:rFonts w:ascii="Arial" w:hAnsi="Arial" w:cs="Arial"/>
          <w:bCs/>
          <w:sz w:val="22"/>
          <w:szCs w:val="22"/>
          <w:lang w:val="fr-FR"/>
        </w:rPr>
        <w:t>vingts</w:t>
      </w:r>
      <w:proofErr w:type="gramEnd"/>
      <w:r w:rsidR="00D9653F" w:rsidRPr="00992740">
        <w:rPr>
          <w:rFonts w:ascii="Arial" w:hAnsi="Arial" w:cs="Arial"/>
          <w:bCs/>
          <w:sz w:val="22"/>
          <w:szCs w:val="22"/>
          <w:lang w:val="fr-FR"/>
        </w:rPr>
        <w:t xml:space="preserve"> États parties. Le </w:t>
      </w:r>
      <w:hyperlink r:id="rId61" w:history="1">
        <w:r w:rsidR="00D9653F" w:rsidRPr="008F6102">
          <w:rPr>
            <w:rStyle w:val="Hyperlink"/>
            <w:rFonts w:ascii="Arial" w:hAnsi="Arial" w:cs="Arial"/>
            <w:bCs/>
            <w:sz w:val="22"/>
            <w:szCs w:val="22"/>
            <w:lang w:val="fr-FR"/>
          </w:rPr>
          <w:t>document</w:t>
        </w:r>
      </w:hyperlink>
      <w:r w:rsidR="00D9653F">
        <w:rPr>
          <w:rFonts w:ascii="Arial" w:hAnsi="Arial" w:cs="Arial"/>
          <w:bCs/>
          <w:sz w:val="22"/>
          <w:szCs w:val="22"/>
          <w:lang w:val="fr-FR"/>
        </w:rPr>
        <w:t xml:space="preserve"> préparé </w:t>
      </w:r>
      <w:r w:rsidR="00D9653F" w:rsidRPr="00992740">
        <w:rPr>
          <w:rFonts w:ascii="Arial" w:hAnsi="Arial" w:cs="Arial"/>
          <w:bCs/>
          <w:sz w:val="22"/>
          <w:szCs w:val="22"/>
          <w:lang w:val="fr-FR"/>
        </w:rPr>
        <w:t>pour cette réunion comprenait un tableau comparatif utilisé pendant la session pour présenter les révisions proposées une par une avec les détails de la proposition, les raisons et les sources de la proposition. Le tableau inclus dans l</w:t>
      </w:r>
      <w:r w:rsidR="008E532B">
        <w:rPr>
          <w:rFonts w:ascii="Arial" w:hAnsi="Arial" w:cs="Arial"/>
          <w:bCs/>
          <w:sz w:val="22"/>
          <w:szCs w:val="22"/>
          <w:lang w:val="fr-FR"/>
        </w:rPr>
        <w:t>’</w:t>
      </w:r>
      <w:r w:rsidR="00D9653F" w:rsidRPr="00992740">
        <w:rPr>
          <w:rFonts w:ascii="Arial" w:hAnsi="Arial" w:cs="Arial"/>
          <w:bCs/>
          <w:sz w:val="22"/>
          <w:szCs w:val="22"/>
          <w:lang w:val="fr-FR"/>
        </w:rPr>
        <w:t>annexe du document de travail 12 était</w:t>
      </w:r>
      <w:r w:rsidR="00D9653F">
        <w:rPr>
          <w:rFonts w:ascii="Arial" w:hAnsi="Arial" w:cs="Arial"/>
          <w:bCs/>
          <w:sz w:val="22"/>
          <w:szCs w:val="22"/>
          <w:lang w:val="fr-FR"/>
        </w:rPr>
        <w:t xml:space="preserve"> identique à</w:t>
      </w:r>
      <w:r w:rsidR="00D9653F" w:rsidRPr="00992740">
        <w:rPr>
          <w:rFonts w:ascii="Arial" w:hAnsi="Arial" w:cs="Arial"/>
          <w:bCs/>
          <w:sz w:val="22"/>
          <w:szCs w:val="22"/>
          <w:lang w:val="fr-FR"/>
        </w:rPr>
        <w:t xml:space="preserve"> la version présentée lors de la session d</w:t>
      </w:r>
      <w:r w:rsidR="008E532B">
        <w:rPr>
          <w:rFonts w:ascii="Arial" w:hAnsi="Arial" w:cs="Arial"/>
          <w:bCs/>
          <w:sz w:val="22"/>
          <w:szCs w:val="22"/>
          <w:lang w:val="fr-FR"/>
        </w:rPr>
        <w:t>’</w:t>
      </w:r>
      <w:r w:rsidR="00D9653F" w:rsidRPr="00992740">
        <w:rPr>
          <w:rFonts w:ascii="Arial" w:hAnsi="Arial" w:cs="Arial"/>
          <w:bCs/>
          <w:sz w:val="22"/>
          <w:szCs w:val="22"/>
          <w:lang w:val="fr-FR"/>
        </w:rPr>
        <w:t>information et d</w:t>
      </w:r>
      <w:r w:rsidR="008E532B">
        <w:rPr>
          <w:rFonts w:ascii="Arial" w:hAnsi="Arial" w:cs="Arial"/>
          <w:bCs/>
          <w:sz w:val="22"/>
          <w:szCs w:val="22"/>
          <w:lang w:val="fr-FR"/>
        </w:rPr>
        <w:t>’</w:t>
      </w:r>
      <w:r w:rsidR="00D9653F" w:rsidRPr="00992740">
        <w:rPr>
          <w:rFonts w:ascii="Arial" w:hAnsi="Arial" w:cs="Arial"/>
          <w:bCs/>
          <w:sz w:val="22"/>
          <w:szCs w:val="22"/>
          <w:lang w:val="fr-FR"/>
        </w:rPr>
        <w:t>échange, à l</w:t>
      </w:r>
      <w:r w:rsidR="008E532B">
        <w:rPr>
          <w:rFonts w:ascii="Arial" w:hAnsi="Arial" w:cs="Arial"/>
          <w:bCs/>
          <w:sz w:val="22"/>
          <w:szCs w:val="22"/>
          <w:lang w:val="fr-FR"/>
        </w:rPr>
        <w:t>’</w:t>
      </w:r>
      <w:r w:rsidR="00D9653F" w:rsidRPr="00992740">
        <w:rPr>
          <w:rFonts w:ascii="Arial" w:hAnsi="Arial" w:cs="Arial"/>
          <w:bCs/>
          <w:sz w:val="22"/>
          <w:szCs w:val="22"/>
          <w:lang w:val="fr-FR"/>
        </w:rPr>
        <w:t>exception d</w:t>
      </w:r>
      <w:r w:rsidR="008E532B">
        <w:rPr>
          <w:rFonts w:ascii="Arial" w:hAnsi="Arial" w:cs="Arial"/>
          <w:bCs/>
          <w:sz w:val="22"/>
          <w:szCs w:val="22"/>
          <w:lang w:val="fr-FR"/>
        </w:rPr>
        <w:t>’</w:t>
      </w:r>
      <w:r w:rsidR="00D9653F" w:rsidRPr="00992740">
        <w:rPr>
          <w:rFonts w:ascii="Arial" w:hAnsi="Arial" w:cs="Arial"/>
          <w:bCs/>
          <w:sz w:val="22"/>
          <w:szCs w:val="22"/>
          <w:lang w:val="fr-FR"/>
        </w:rPr>
        <w:t>ajustements linguistiques mineurs. Les révisions proposées signifiaient que les dix</w:t>
      </w:r>
      <w:r w:rsidR="00D9653F">
        <w:rPr>
          <w:rFonts w:ascii="Arial" w:hAnsi="Arial" w:cs="Arial"/>
          <w:bCs/>
          <w:sz w:val="22"/>
          <w:szCs w:val="22"/>
          <w:lang w:val="fr-FR"/>
        </w:rPr>
        <w:noBreakHyphen/>
      </w:r>
      <w:r w:rsidR="00D9653F" w:rsidRPr="00992740">
        <w:rPr>
          <w:rFonts w:ascii="Arial" w:hAnsi="Arial" w:cs="Arial"/>
          <w:bCs/>
          <w:sz w:val="22"/>
          <w:szCs w:val="22"/>
          <w:lang w:val="fr-FR"/>
        </w:rPr>
        <w:t>neuf</w:t>
      </w:r>
      <w:r w:rsidR="00D9653F">
        <w:rPr>
          <w:rFonts w:ascii="Arial" w:hAnsi="Arial" w:cs="Arial"/>
          <w:bCs/>
          <w:sz w:val="22"/>
          <w:szCs w:val="22"/>
          <w:lang w:val="fr-FR"/>
        </w:rPr>
        <w:t xml:space="preserve"> articles</w:t>
      </w:r>
      <w:r w:rsidR="00D9653F" w:rsidRPr="00992740">
        <w:rPr>
          <w:rFonts w:ascii="Arial" w:hAnsi="Arial" w:cs="Arial"/>
          <w:bCs/>
          <w:sz w:val="22"/>
          <w:szCs w:val="22"/>
          <w:lang w:val="fr-FR"/>
        </w:rPr>
        <w:t xml:space="preserve"> actuels de l</w:t>
      </w:r>
      <w:r w:rsidR="008E532B">
        <w:rPr>
          <w:rFonts w:ascii="Arial" w:hAnsi="Arial" w:cs="Arial"/>
          <w:bCs/>
          <w:sz w:val="22"/>
          <w:szCs w:val="22"/>
          <w:lang w:val="fr-FR"/>
        </w:rPr>
        <w:t>’</w:t>
      </w:r>
      <w:r w:rsidR="00D9653F" w:rsidRPr="00992740">
        <w:rPr>
          <w:rFonts w:ascii="Arial" w:hAnsi="Arial" w:cs="Arial"/>
          <w:bCs/>
          <w:sz w:val="22"/>
          <w:szCs w:val="22"/>
          <w:lang w:val="fr-FR"/>
        </w:rPr>
        <w:t>Assemblée générale seraient révisés pour comprendre quarante</w:t>
      </w:r>
      <w:r w:rsidR="00D9653F">
        <w:rPr>
          <w:rFonts w:ascii="Arial" w:hAnsi="Arial" w:cs="Arial"/>
          <w:bCs/>
          <w:sz w:val="22"/>
          <w:szCs w:val="22"/>
          <w:lang w:val="fr-FR"/>
        </w:rPr>
        <w:t xml:space="preserve"> articles</w:t>
      </w:r>
      <w:r w:rsidR="00D9653F" w:rsidRPr="00992740">
        <w:rPr>
          <w:rFonts w:ascii="Arial" w:hAnsi="Arial" w:cs="Arial"/>
          <w:bCs/>
          <w:sz w:val="22"/>
          <w:szCs w:val="22"/>
          <w:lang w:val="fr-FR"/>
        </w:rPr>
        <w:t xml:space="preserve">. Les révisions proposées </w:t>
      </w:r>
      <w:r w:rsidR="00D9653F">
        <w:rPr>
          <w:rFonts w:ascii="Arial" w:hAnsi="Arial" w:cs="Arial"/>
          <w:bCs/>
          <w:sz w:val="22"/>
          <w:szCs w:val="22"/>
          <w:lang w:val="fr-FR"/>
        </w:rPr>
        <w:t>étaient</w:t>
      </w:r>
      <w:r w:rsidR="00D9653F" w:rsidRPr="00992740">
        <w:rPr>
          <w:rFonts w:ascii="Arial" w:hAnsi="Arial" w:cs="Arial"/>
          <w:bCs/>
          <w:sz w:val="22"/>
          <w:szCs w:val="22"/>
          <w:lang w:val="fr-FR"/>
        </w:rPr>
        <w:t xml:space="preserve"> présentées sous forme de tableau, divisé en trois colonnes. La colonne de gauche présentait le Règlement </w:t>
      </w:r>
      <w:r w:rsidR="00D9653F">
        <w:rPr>
          <w:rFonts w:ascii="Arial" w:hAnsi="Arial" w:cs="Arial"/>
          <w:bCs/>
          <w:sz w:val="22"/>
          <w:szCs w:val="22"/>
          <w:lang w:val="fr-FR"/>
        </w:rPr>
        <w:t>intérieur actuel</w:t>
      </w:r>
      <w:r w:rsidR="00D9653F" w:rsidRPr="00992740">
        <w:rPr>
          <w:rFonts w:ascii="Arial" w:hAnsi="Arial" w:cs="Arial"/>
          <w:bCs/>
          <w:sz w:val="22"/>
          <w:szCs w:val="22"/>
          <w:lang w:val="fr-FR"/>
        </w:rPr>
        <w:t xml:space="preserve"> de l</w:t>
      </w:r>
      <w:r w:rsidR="008E532B">
        <w:rPr>
          <w:rFonts w:ascii="Arial" w:hAnsi="Arial" w:cs="Arial"/>
          <w:bCs/>
          <w:sz w:val="22"/>
          <w:szCs w:val="22"/>
          <w:lang w:val="fr-FR"/>
        </w:rPr>
        <w:t>’</w:t>
      </w:r>
      <w:r w:rsidR="00D9653F" w:rsidRPr="00992740">
        <w:rPr>
          <w:rFonts w:ascii="Arial" w:hAnsi="Arial" w:cs="Arial"/>
          <w:bCs/>
          <w:sz w:val="22"/>
          <w:szCs w:val="22"/>
          <w:lang w:val="fr-FR"/>
        </w:rPr>
        <w:t>Assemblée générale. La colonne du milieu montrait les révisions proposées au Règlement</w:t>
      </w:r>
      <w:r w:rsidR="00D9653F">
        <w:rPr>
          <w:rFonts w:ascii="Arial" w:hAnsi="Arial" w:cs="Arial"/>
          <w:bCs/>
          <w:sz w:val="22"/>
          <w:szCs w:val="22"/>
          <w:lang w:val="fr-FR"/>
        </w:rPr>
        <w:t xml:space="preserve"> actuel,</w:t>
      </w:r>
      <w:r w:rsidR="00D9653F" w:rsidRPr="00992740">
        <w:rPr>
          <w:rFonts w:ascii="Arial" w:hAnsi="Arial" w:cs="Arial"/>
          <w:bCs/>
          <w:sz w:val="22"/>
          <w:szCs w:val="22"/>
          <w:lang w:val="fr-FR"/>
        </w:rPr>
        <w:t xml:space="preserve"> sur la base du </w:t>
      </w:r>
      <w:r w:rsidR="00D9653F">
        <w:rPr>
          <w:rFonts w:ascii="Arial" w:hAnsi="Arial" w:cs="Arial"/>
          <w:bCs/>
          <w:sz w:val="22"/>
          <w:szCs w:val="22"/>
          <w:lang w:val="fr-FR"/>
        </w:rPr>
        <w:t>r</w:t>
      </w:r>
      <w:r w:rsidR="00D9653F" w:rsidRPr="00992740">
        <w:rPr>
          <w:rFonts w:ascii="Arial" w:hAnsi="Arial" w:cs="Arial"/>
          <w:bCs/>
          <w:sz w:val="22"/>
          <w:szCs w:val="22"/>
          <w:lang w:val="fr-FR"/>
        </w:rPr>
        <w:t xml:space="preserve">èglement type (en utilisant des </w:t>
      </w:r>
      <w:r w:rsidR="00D9653F">
        <w:rPr>
          <w:rFonts w:ascii="Arial" w:hAnsi="Arial" w:cs="Arial"/>
          <w:bCs/>
          <w:sz w:val="22"/>
          <w:szCs w:val="22"/>
          <w:lang w:val="fr-FR"/>
        </w:rPr>
        <w:t>textes barrés</w:t>
      </w:r>
      <w:r w:rsidR="00D9653F" w:rsidRPr="00992740">
        <w:rPr>
          <w:rFonts w:ascii="Arial" w:hAnsi="Arial" w:cs="Arial"/>
          <w:bCs/>
          <w:sz w:val="22"/>
          <w:szCs w:val="22"/>
          <w:lang w:val="fr-FR"/>
        </w:rPr>
        <w:t xml:space="preserve"> pour les suppressions et des </w:t>
      </w:r>
      <w:r w:rsidR="00D9653F">
        <w:rPr>
          <w:rFonts w:ascii="Arial" w:hAnsi="Arial" w:cs="Arial"/>
          <w:bCs/>
          <w:sz w:val="22"/>
          <w:szCs w:val="22"/>
          <w:lang w:val="fr-FR"/>
        </w:rPr>
        <w:t xml:space="preserve">textes </w:t>
      </w:r>
      <w:r w:rsidR="00D9653F" w:rsidRPr="00992740">
        <w:rPr>
          <w:rFonts w:ascii="Arial" w:hAnsi="Arial" w:cs="Arial"/>
          <w:bCs/>
          <w:sz w:val="22"/>
          <w:szCs w:val="22"/>
          <w:lang w:val="fr-FR"/>
        </w:rPr>
        <w:t xml:space="preserve">soulignés pour les nouvelles formulations). La colonne de droite contenait les notes explicatives avec les raisons </w:t>
      </w:r>
      <w:r w:rsidR="00D9653F">
        <w:rPr>
          <w:rFonts w:ascii="Arial" w:hAnsi="Arial" w:cs="Arial"/>
          <w:bCs/>
          <w:sz w:val="22"/>
          <w:szCs w:val="22"/>
          <w:lang w:val="fr-FR"/>
        </w:rPr>
        <w:t>justifiant les</w:t>
      </w:r>
      <w:r w:rsidR="00D9653F" w:rsidRPr="00992740">
        <w:rPr>
          <w:rFonts w:ascii="Arial" w:hAnsi="Arial" w:cs="Arial"/>
          <w:bCs/>
          <w:sz w:val="22"/>
          <w:szCs w:val="22"/>
          <w:lang w:val="fr-FR"/>
        </w:rPr>
        <w:t xml:space="preserve"> propositions</w:t>
      </w:r>
      <w:r w:rsidR="00D9653F">
        <w:rPr>
          <w:rFonts w:ascii="Arial" w:hAnsi="Arial" w:cs="Arial"/>
          <w:bCs/>
          <w:sz w:val="22"/>
          <w:szCs w:val="22"/>
          <w:lang w:val="fr-FR"/>
        </w:rPr>
        <w:t>,</w:t>
      </w:r>
      <w:r w:rsidR="00D9653F" w:rsidRPr="00992740">
        <w:rPr>
          <w:rFonts w:ascii="Arial" w:hAnsi="Arial" w:cs="Arial"/>
          <w:bCs/>
          <w:sz w:val="22"/>
          <w:szCs w:val="22"/>
          <w:lang w:val="fr-FR"/>
        </w:rPr>
        <w:t xml:space="preserve"> et</w:t>
      </w:r>
      <w:r w:rsidR="00D9653F">
        <w:rPr>
          <w:rFonts w:ascii="Arial" w:hAnsi="Arial" w:cs="Arial"/>
          <w:bCs/>
          <w:sz w:val="22"/>
          <w:szCs w:val="22"/>
          <w:lang w:val="fr-FR"/>
        </w:rPr>
        <w:t>, le cas échéant,</w:t>
      </w:r>
      <w:r w:rsidR="00D9653F" w:rsidRPr="00992740">
        <w:rPr>
          <w:rFonts w:ascii="Arial" w:hAnsi="Arial" w:cs="Arial"/>
          <w:bCs/>
          <w:sz w:val="22"/>
          <w:szCs w:val="22"/>
          <w:lang w:val="fr-FR"/>
        </w:rPr>
        <w:t xml:space="preserve"> les sources. Ces notes explicatives étaient basées sur le commentaire expliquant le </w:t>
      </w:r>
      <w:r w:rsidR="00D9653F">
        <w:rPr>
          <w:rFonts w:ascii="Arial" w:hAnsi="Arial" w:cs="Arial"/>
          <w:bCs/>
          <w:sz w:val="22"/>
          <w:szCs w:val="22"/>
          <w:lang w:val="fr-FR"/>
        </w:rPr>
        <w:t>Règlement intérieur modèle</w:t>
      </w:r>
      <w:r w:rsidR="00D9653F" w:rsidRPr="00992740">
        <w:rPr>
          <w:rFonts w:ascii="Arial" w:hAnsi="Arial" w:cs="Arial"/>
          <w:bCs/>
          <w:sz w:val="22"/>
          <w:szCs w:val="22"/>
          <w:lang w:val="fr-FR"/>
        </w:rPr>
        <w:t>, tel qu</w:t>
      </w:r>
      <w:r w:rsidR="008E532B">
        <w:rPr>
          <w:rFonts w:ascii="Arial" w:hAnsi="Arial" w:cs="Arial"/>
          <w:bCs/>
          <w:sz w:val="22"/>
          <w:szCs w:val="22"/>
          <w:lang w:val="fr-FR"/>
        </w:rPr>
        <w:t>’</w:t>
      </w:r>
      <w:r w:rsidR="00D9653F">
        <w:rPr>
          <w:rFonts w:ascii="Arial" w:hAnsi="Arial" w:cs="Arial"/>
          <w:bCs/>
          <w:sz w:val="22"/>
          <w:szCs w:val="22"/>
          <w:lang w:val="fr-FR"/>
        </w:rPr>
        <w:t xml:space="preserve">exposé </w:t>
      </w:r>
      <w:r w:rsidR="00D9653F" w:rsidRPr="00992740">
        <w:rPr>
          <w:rFonts w:ascii="Arial" w:hAnsi="Arial" w:cs="Arial"/>
          <w:bCs/>
          <w:sz w:val="22"/>
          <w:szCs w:val="22"/>
          <w:lang w:val="fr-FR"/>
        </w:rPr>
        <w:t xml:space="preserve">dans </w:t>
      </w:r>
      <w:r w:rsidR="00D9653F" w:rsidRPr="002E3E58">
        <w:rPr>
          <w:rFonts w:ascii="Arial" w:hAnsi="Arial" w:cs="Arial"/>
          <w:bCs/>
          <w:sz w:val="22"/>
          <w:szCs w:val="22"/>
          <w:lang w:val="fr-FR"/>
        </w:rPr>
        <w:t xml:space="preserve">le </w:t>
      </w:r>
      <w:r w:rsidR="00026FB3">
        <w:rPr>
          <w:rFonts w:ascii="Arial" w:hAnsi="Arial" w:cs="Arial"/>
          <w:bCs/>
          <w:sz w:val="22"/>
          <w:szCs w:val="22"/>
          <w:lang w:val="fr-FR"/>
        </w:rPr>
        <w:t>document</w:t>
      </w:r>
      <w:hyperlink r:id="rId62" w:history="1">
        <w:r w:rsidR="00026FB3" w:rsidRPr="009F6BC9">
          <w:rPr>
            <w:rStyle w:val="Hyperlink"/>
            <w:rFonts w:ascii="Arial" w:hAnsi="Arial" w:cs="Arial"/>
            <w:sz w:val="22"/>
            <w:szCs w:val="22"/>
            <w:u w:val="none"/>
            <w:lang w:val="fr-FR"/>
          </w:rPr>
          <w:t> </w:t>
        </w:r>
        <w:r w:rsidR="00D9653F" w:rsidRPr="002E3E58">
          <w:rPr>
            <w:rStyle w:val="Hyperlink"/>
            <w:rFonts w:ascii="Arial" w:hAnsi="Arial" w:cs="Arial"/>
            <w:sz w:val="22"/>
            <w:szCs w:val="22"/>
            <w:lang w:val="fr-FR"/>
          </w:rPr>
          <w:t>41C/55</w:t>
        </w:r>
      </w:hyperlink>
      <w:r w:rsidR="00D9653F" w:rsidRPr="00992740">
        <w:rPr>
          <w:rFonts w:ascii="Arial" w:hAnsi="Arial" w:cs="Arial"/>
          <w:bCs/>
          <w:sz w:val="22"/>
          <w:szCs w:val="22"/>
          <w:lang w:val="fr-FR"/>
        </w:rPr>
        <w:t xml:space="preserve">. Présentant un rapide aperçu des principales révisions, </w:t>
      </w:r>
      <w:r>
        <w:rPr>
          <w:rFonts w:ascii="Arial" w:hAnsi="Arial" w:cs="Arial"/>
          <w:bCs/>
          <w:sz w:val="22"/>
          <w:szCs w:val="22"/>
          <w:lang w:val="fr-FR"/>
        </w:rPr>
        <w:t>Mme</w:t>
      </w:r>
      <w:r w:rsidR="00D9653F">
        <w:rPr>
          <w:rFonts w:ascii="Arial" w:hAnsi="Arial" w:cs="Arial"/>
          <w:bCs/>
          <w:sz w:val="22"/>
          <w:szCs w:val="22"/>
          <w:lang w:val="fr-FR"/>
        </w:rPr>
        <w:t> </w:t>
      </w:r>
      <w:r w:rsidR="00D9653F" w:rsidRPr="00992740">
        <w:rPr>
          <w:rFonts w:ascii="Arial" w:hAnsi="Arial" w:cs="Arial"/>
          <w:bCs/>
          <w:sz w:val="22"/>
          <w:szCs w:val="22"/>
          <w:lang w:val="fr-FR"/>
        </w:rPr>
        <w:t xml:space="preserve">Ohinata a expliqué que les nouvelles dispositions étaient présentées par chapitre. </w:t>
      </w:r>
      <w:r w:rsidR="00D9653F">
        <w:rPr>
          <w:rFonts w:ascii="Arial" w:hAnsi="Arial" w:cs="Arial"/>
          <w:bCs/>
          <w:sz w:val="22"/>
          <w:szCs w:val="22"/>
          <w:lang w:val="fr-FR"/>
        </w:rPr>
        <w:t xml:space="preserve">À </w:t>
      </w:r>
      <w:r w:rsidR="00D9653F" w:rsidRPr="00992740">
        <w:rPr>
          <w:rFonts w:ascii="Arial" w:hAnsi="Arial" w:cs="Arial"/>
          <w:bCs/>
          <w:sz w:val="22"/>
          <w:szCs w:val="22"/>
          <w:lang w:val="fr-FR"/>
        </w:rPr>
        <w:t>titre d</w:t>
      </w:r>
      <w:r w:rsidR="008E532B">
        <w:rPr>
          <w:rFonts w:ascii="Arial" w:hAnsi="Arial" w:cs="Arial"/>
          <w:bCs/>
          <w:sz w:val="22"/>
          <w:szCs w:val="22"/>
          <w:lang w:val="fr-FR"/>
        </w:rPr>
        <w:t>’</w:t>
      </w:r>
      <w:r w:rsidR="00D9653F" w:rsidRPr="00992740">
        <w:rPr>
          <w:rFonts w:ascii="Arial" w:hAnsi="Arial" w:cs="Arial"/>
          <w:bCs/>
          <w:sz w:val="22"/>
          <w:szCs w:val="22"/>
          <w:lang w:val="fr-FR"/>
        </w:rPr>
        <w:t>exemple, les révisions proposées commen</w:t>
      </w:r>
      <w:r w:rsidR="00D9653F">
        <w:rPr>
          <w:rFonts w:ascii="Arial" w:hAnsi="Arial" w:cs="Arial"/>
          <w:bCs/>
          <w:sz w:val="22"/>
          <w:szCs w:val="22"/>
          <w:lang w:val="fr-FR"/>
        </w:rPr>
        <w:t>çai</w:t>
      </w:r>
      <w:r w:rsidR="00D9653F" w:rsidRPr="00992740">
        <w:rPr>
          <w:rFonts w:ascii="Arial" w:hAnsi="Arial" w:cs="Arial"/>
          <w:bCs/>
          <w:sz w:val="22"/>
          <w:szCs w:val="22"/>
          <w:lang w:val="fr-FR"/>
        </w:rPr>
        <w:t>ent par un premi</w:t>
      </w:r>
      <w:r w:rsidR="00D9653F">
        <w:rPr>
          <w:rFonts w:ascii="Arial" w:hAnsi="Arial" w:cs="Arial"/>
          <w:bCs/>
          <w:sz w:val="22"/>
          <w:szCs w:val="22"/>
          <w:lang w:val="fr-FR"/>
        </w:rPr>
        <w:t>er</w:t>
      </w:r>
      <w:r w:rsidR="00D9653F" w:rsidRPr="00992740">
        <w:rPr>
          <w:rFonts w:ascii="Arial" w:hAnsi="Arial" w:cs="Arial"/>
          <w:bCs/>
          <w:sz w:val="22"/>
          <w:szCs w:val="22"/>
          <w:lang w:val="fr-FR"/>
        </w:rPr>
        <w:t xml:space="preserve"> </w:t>
      </w:r>
      <w:r w:rsidR="00D9653F" w:rsidRPr="002E3E58">
        <w:rPr>
          <w:rFonts w:ascii="Arial" w:hAnsi="Arial" w:cs="Arial"/>
          <w:bCs/>
          <w:sz w:val="22"/>
          <w:szCs w:val="22"/>
          <w:lang w:val="fr-FR"/>
        </w:rPr>
        <w:t>article</w:t>
      </w:r>
      <w:r w:rsidR="00D9653F">
        <w:rPr>
          <w:rFonts w:ascii="Arial" w:hAnsi="Arial" w:cs="Arial"/>
          <w:bCs/>
          <w:sz w:val="22"/>
          <w:szCs w:val="22"/>
          <w:lang w:val="fr-FR"/>
        </w:rPr>
        <w:t>,</w:t>
      </w:r>
      <w:r w:rsidR="00D9653F" w:rsidRPr="00992740">
        <w:rPr>
          <w:rFonts w:ascii="Arial" w:hAnsi="Arial" w:cs="Arial"/>
          <w:bCs/>
          <w:sz w:val="22"/>
          <w:szCs w:val="22"/>
          <w:lang w:val="fr-FR"/>
        </w:rPr>
        <w:t xml:space="preserve"> </w:t>
      </w:r>
      <w:r w:rsidR="00D9653F">
        <w:rPr>
          <w:rFonts w:ascii="Arial" w:hAnsi="Arial" w:cs="Arial"/>
          <w:bCs/>
          <w:sz w:val="22"/>
          <w:szCs w:val="22"/>
          <w:lang w:val="fr-FR"/>
        </w:rPr>
        <w:t xml:space="preserve">consacré </w:t>
      </w:r>
      <w:r w:rsidR="00D9653F" w:rsidRPr="00992740">
        <w:rPr>
          <w:rFonts w:ascii="Arial" w:hAnsi="Arial" w:cs="Arial"/>
          <w:bCs/>
          <w:sz w:val="22"/>
          <w:szCs w:val="22"/>
          <w:lang w:val="fr-FR"/>
        </w:rPr>
        <w:t>aux fonctions de l</w:t>
      </w:r>
      <w:r w:rsidR="008E532B">
        <w:rPr>
          <w:rFonts w:ascii="Arial" w:hAnsi="Arial" w:cs="Arial"/>
          <w:bCs/>
          <w:sz w:val="22"/>
          <w:szCs w:val="22"/>
          <w:lang w:val="fr-FR"/>
        </w:rPr>
        <w:t>’</w:t>
      </w:r>
      <w:r w:rsidR="00D9653F" w:rsidRPr="00992740">
        <w:rPr>
          <w:rFonts w:ascii="Arial" w:hAnsi="Arial" w:cs="Arial"/>
          <w:bCs/>
          <w:sz w:val="22"/>
          <w:szCs w:val="22"/>
          <w:lang w:val="fr-FR"/>
        </w:rPr>
        <w:t>Assemblée, qui ne figurait pas dans le Règlement actuel. Un autre exemple des nouvelles dispositions concern</w:t>
      </w:r>
      <w:r w:rsidR="00D9653F">
        <w:rPr>
          <w:rFonts w:ascii="Arial" w:hAnsi="Arial" w:cs="Arial"/>
          <w:bCs/>
          <w:sz w:val="22"/>
          <w:szCs w:val="22"/>
          <w:lang w:val="fr-FR"/>
        </w:rPr>
        <w:t>ait</w:t>
      </w:r>
      <w:r w:rsidR="00D9653F" w:rsidRPr="00992740">
        <w:rPr>
          <w:rFonts w:ascii="Arial" w:hAnsi="Arial" w:cs="Arial"/>
          <w:bCs/>
          <w:sz w:val="22"/>
          <w:szCs w:val="22"/>
          <w:lang w:val="fr-FR"/>
        </w:rPr>
        <w:t xml:space="preserve"> l</w:t>
      </w:r>
      <w:r w:rsidR="008E532B">
        <w:rPr>
          <w:rFonts w:ascii="Arial" w:hAnsi="Arial" w:cs="Arial"/>
          <w:bCs/>
          <w:sz w:val="22"/>
          <w:szCs w:val="22"/>
          <w:lang w:val="fr-FR"/>
        </w:rPr>
        <w:t>’</w:t>
      </w:r>
      <w:r w:rsidR="00D9653F" w:rsidRPr="00992740">
        <w:rPr>
          <w:rFonts w:ascii="Arial" w:hAnsi="Arial" w:cs="Arial"/>
          <w:bCs/>
          <w:sz w:val="22"/>
          <w:szCs w:val="22"/>
          <w:lang w:val="fr-FR"/>
        </w:rPr>
        <w:t>article 4</w:t>
      </w:r>
      <w:r w:rsidR="00D9653F">
        <w:rPr>
          <w:rFonts w:ascii="Arial" w:hAnsi="Arial" w:cs="Arial"/>
          <w:bCs/>
          <w:sz w:val="22"/>
          <w:szCs w:val="22"/>
          <w:lang w:val="fr-FR"/>
        </w:rPr>
        <w:t xml:space="preserve">, </w:t>
      </w:r>
      <w:r w:rsidR="00D9653F" w:rsidRPr="00992740">
        <w:rPr>
          <w:rFonts w:ascii="Arial" w:hAnsi="Arial" w:cs="Arial"/>
          <w:bCs/>
          <w:sz w:val="22"/>
          <w:szCs w:val="22"/>
          <w:lang w:val="fr-FR"/>
        </w:rPr>
        <w:t>établi</w:t>
      </w:r>
      <w:r w:rsidR="00D9653F">
        <w:rPr>
          <w:rFonts w:ascii="Arial" w:hAnsi="Arial" w:cs="Arial"/>
          <w:bCs/>
          <w:sz w:val="22"/>
          <w:szCs w:val="22"/>
          <w:lang w:val="fr-FR"/>
        </w:rPr>
        <w:t>ssan</w:t>
      </w:r>
      <w:r w:rsidR="00D9653F" w:rsidRPr="00992740">
        <w:rPr>
          <w:rFonts w:ascii="Arial" w:hAnsi="Arial" w:cs="Arial"/>
          <w:bCs/>
          <w:sz w:val="22"/>
          <w:szCs w:val="22"/>
          <w:lang w:val="fr-FR"/>
        </w:rPr>
        <w:t>t les conditions de convocation des sessions ordinaires et extraordinaires de l</w:t>
      </w:r>
      <w:r w:rsidR="008E532B">
        <w:rPr>
          <w:rFonts w:ascii="Arial" w:hAnsi="Arial" w:cs="Arial"/>
          <w:bCs/>
          <w:sz w:val="22"/>
          <w:szCs w:val="22"/>
          <w:lang w:val="fr-FR"/>
        </w:rPr>
        <w:t>’</w:t>
      </w:r>
      <w:r w:rsidR="00D9653F" w:rsidRPr="00992740">
        <w:rPr>
          <w:rFonts w:ascii="Arial" w:hAnsi="Arial" w:cs="Arial"/>
          <w:bCs/>
          <w:sz w:val="22"/>
          <w:szCs w:val="22"/>
          <w:lang w:val="fr-FR"/>
        </w:rPr>
        <w:t>Assemblée, qui ne figurait pas non plus dans le Règlement actuel. L</w:t>
      </w:r>
      <w:r w:rsidR="008E532B">
        <w:rPr>
          <w:rFonts w:ascii="Arial" w:hAnsi="Arial" w:cs="Arial"/>
          <w:bCs/>
          <w:sz w:val="22"/>
          <w:szCs w:val="22"/>
          <w:lang w:val="fr-FR"/>
        </w:rPr>
        <w:t>’</w:t>
      </w:r>
      <w:r w:rsidR="00D9653F" w:rsidRPr="00992740">
        <w:rPr>
          <w:rFonts w:ascii="Arial" w:hAnsi="Arial" w:cs="Arial"/>
          <w:bCs/>
          <w:sz w:val="22"/>
          <w:szCs w:val="22"/>
          <w:lang w:val="fr-FR"/>
        </w:rPr>
        <w:t>article 5, qui codifi</w:t>
      </w:r>
      <w:r w:rsidR="00D9653F">
        <w:rPr>
          <w:rFonts w:ascii="Arial" w:hAnsi="Arial" w:cs="Arial"/>
          <w:bCs/>
          <w:sz w:val="22"/>
          <w:szCs w:val="22"/>
          <w:lang w:val="fr-FR"/>
        </w:rPr>
        <w:t>ait</w:t>
      </w:r>
      <w:r w:rsidR="00D9653F" w:rsidRPr="00992740">
        <w:rPr>
          <w:rFonts w:ascii="Arial" w:hAnsi="Arial" w:cs="Arial"/>
          <w:bCs/>
          <w:sz w:val="22"/>
          <w:szCs w:val="22"/>
          <w:lang w:val="fr-FR"/>
        </w:rPr>
        <w:t xml:space="preserve"> les modalités de la date et du calendrier de l</w:t>
      </w:r>
      <w:r w:rsidR="008E532B">
        <w:rPr>
          <w:rFonts w:ascii="Arial" w:hAnsi="Arial" w:cs="Arial"/>
          <w:bCs/>
          <w:sz w:val="22"/>
          <w:szCs w:val="22"/>
          <w:lang w:val="fr-FR"/>
        </w:rPr>
        <w:t>’</w:t>
      </w:r>
      <w:r w:rsidR="00D9653F" w:rsidRPr="00992740">
        <w:rPr>
          <w:rFonts w:ascii="Arial" w:hAnsi="Arial" w:cs="Arial"/>
          <w:bCs/>
          <w:sz w:val="22"/>
          <w:szCs w:val="22"/>
          <w:lang w:val="fr-FR"/>
        </w:rPr>
        <w:t xml:space="preserve">Assemblée, ne figurait pas non plus dans le Règlement actuel. La proposition reflétait également les enseignements tirés des nouvelles méthodes de travail </w:t>
      </w:r>
      <w:proofErr w:type="gramStart"/>
      <w:r w:rsidR="00D9653F" w:rsidRPr="00992740">
        <w:rPr>
          <w:rFonts w:ascii="Arial" w:hAnsi="Arial" w:cs="Arial"/>
          <w:bCs/>
          <w:sz w:val="22"/>
          <w:szCs w:val="22"/>
          <w:lang w:val="fr-FR"/>
        </w:rPr>
        <w:t>suite à</w:t>
      </w:r>
      <w:proofErr w:type="gramEnd"/>
      <w:r w:rsidR="00D9653F" w:rsidRPr="00992740">
        <w:rPr>
          <w:rFonts w:ascii="Arial" w:hAnsi="Arial" w:cs="Arial"/>
          <w:bCs/>
          <w:sz w:val="22"/>
          <w:szCs w:val="22"/>
          <w:lang w:val="fr-FR"/>
        </w:rPr>
        <w:t xml:space="preserve"> la pandémie. Par exemple, l</w:t>
      </w:r>
      <w:r w:rsidR="008E532B">
        <w:rPr>
          <w:rFonts w:ascii="Arial" w:hAnsi="Arial" w:cs="Arial"/>
          <w:bCs/>
          <w:sz w:val="22"/>
          <w:szCs w:val="22"/>
          <w:lang w:val="fr-FR"/>
        </w:rPr>
        <w:t>’</w:t>
      </w:r>
      <w:r w:rsidR="00D9653F" w:rsidRPr="00992740">
        <w:rPr>
          <w:rFonts w:ascii="Arial" w:hAnsi="Arial" w:cs="Arial"/>
          <w:bCs/>
          <w:sz w:val="22"/>
          <w:szCs w:val="22"/>
          <w:lang w:val="fr-FR"/>
        </w:rPr>
        <w:t>article 6 concernait les réunions en ligne de l</w:t>
      </w:r>
      <w:r w:rsidR="008E532B">
        <w:rPr>
          <w:rFonts w:ascii="Arial" w:hAnsi="Arial" w:cs="Arial"/>
          <w:bCs/>
          <w:sz w:val="22"/>
          <w:szCs w:val="22"/>
          <w:lang w:val="fr-FR"/>
        </w:rPr>
        <w:t>’</w:t>
      </w:r>
      <w:r w:rsidR="00D9653F" w:rsidRPr="00992740">
        <w:rPr>
          <w:rFonts w:ascii="Arial" w:hAnsi="Arial" w:cs="Arial"/>
          <w:bCs/>
          <w:sz w:val="22"/>
          <w:szCs w:val="22"/>
          <w:lang w:val="fr-FR"/>
        </w:rPr>
        <w:t xml:space="preserve">Assemblée générale. Un autre exemple de révision concernait les révisions linguistiques. Par exemple, le </w:t>
      </w:r>
      <w:r w:rsidR="00D9653F">
        <w:rPr>
          <w:rFonts w:ascii="Arial" w:hAnsi="Arial" w:cs="Arial"/>
          <w:bCs/>
          <w:sz w:val="22"/>
          <w:szCs w:val="22"/>
          <w:lang w:val="fr-FR"/>
        </w:rPr>
        <w:t>R</w:t>
      </w:r>
      <w:r w:rsidR="00D9653F" w:rsidRPr="00992740">
        <w:rPr>
          <w:rFonts w:ascii="Arial" w:hAnsi="Arial" w:cs="Arial"/>
          <w:bCs/>
          <w:sz w:val="22"/>
          <w:szCs w:val="22"/>
          <w:lang w:val="fr-FR"/>
        </w:rPr>
        <w:t xml:space="preserve">èglement intérieur </w:t>
      </w:r>
      <w:r w:rsidR="00D9653F">
        <w:rPr>
          <w:rFonts w:ascii="Arial" w:hAnsi="Arial" w:cs="Arial"/>
          <w:bCs/>
          <w:sz w:val="22"/>
          <w:szCs w:val="22"/>
          <w:lang w:val="fr-FR"/>
        </w:rPr>
        <w:t xml:space="preserve">modèle </w:t>
      </w:r>
      <w:r w:rsidR="00D9653F" w:rsidRPr="00992740">
        <w:rPr>
          <w:rFonts w:ascii="Arial" w:hAnsi="Arial" w:cs="Arial"/>
          <w:bCs/>
          <w:sz w:val="22"/>
          <w:szCs w:val="22"/>
          <w:lang w:val="fr-FR"/>
        </w:rPr>
        <w:t>préconis</w:t>
      </w:r>
      <w:r w:rsidR="00D9653F">
        <w:rPr>
          <w:rFonts w:ascii="Arial" w:hAnsi="Arial" w:cs="Arial"/>
          <w:bCs/>
          <w:sz w:val="22"/>
          <w:szCs w:val="22"/>
          <w:lang w:val="fr-FR"/>
        </w:rPr>
        <w:t>ait</w:t>
      </w:r>
      <w:r w:rsidR="00D9653F" w:rsidRPr="00992740">
        <w:rPr>
          <w:rFonts w:ascii="Arial" w:hAnsi="Arial" w:cs="Arial"/>
          <w:bCs/>
          <w:sz w:val="22"/>
          <w:szCs w:val="22"/>
          <w:lang w:val="fr-FR"/>
        </w:rPr>
        <w:t xml:space="preserve"> l</w:t>
      </w:r>
      <w:r w:rsidR="008E532B">
        <w:rPr>
          <w:rFonts w:ascii="Arial" w:hAnsi="Arial" w:cs="Arial"/>
          <w:bCs/>
          <w:sz w:val="22"/>
          <w:szCs w:val="22"/>
          <w:lang w:val="fr-FR"/>
        </w:rPr>
        <w:t>’</w:t>
      </w:r>
      <w:r w:rsidR="00D9653F" w:rsidRPr="00992740">
        <w:rPr>
          <w:rFonts w:ascii="Arial" w:hAnsi="Arial" w:cs="Arial"/>
          <w:bCs/>
          <w:sz w:val="22"/>
          <w:szCs w:val="22"/>
          <w:lang w:val="fr-FR"/>
        </w:rPr>
        <w:t>utilisation d</w:t>
      </w:r>
      <w:r w:rsidR="008E532B">
        <w:rPr>
          <w:rFonts w:ascii="Arial" w:hAnsi="Arial" w:cs="Arial"/>
          <w:bCs/>
          <w:sz w:val="22"/>
          <w:szCs w:val="22"/>
          <w:lang w:val="fr-FR"/>
        </w:rPr>
        <w:t>’</w:t>
      </w:r>
      <w:r w:rsidR="00D9653F" w:rsidRPr="00992740">
        <w:rPr>
          <w:rFonts w:ascii="Arial" w:hAnsi="Arial" w:cs="Arial"/>
          <w:bCs/>
          <w:sz w:val="22"/>
          <w:szCs w:val="22"/>
          <w:lang w:val="fr-FR"/>
        </w:rPr>
        <w:t xml:space="preserve">un langage </w:t>
      </w:r>
      <w:r w:rsidR="00D9653F">
        <w:rPr>
          <w:rFonts w:ascii="Arial" w:hAnsi="Arial" w:cs="Arial"/>
          <w:bCs/>
          <w:sz w:val="22"/>
          <w:szCs w:val="22"/>
          <w:lang w:val="fr-FR"/>
        </w:rPr>
        <w:t xml:space="preserve">inclusif </w:t>
      </w:r>
      <w:r w:rsidR="00D9653F" w:rsidRPr="00992740">
        <w:rPr>
          <w:rFonts w:ascii="Arial" w:hAnsi="Arial" w:cs="Arial"/>
          <w:bCs/>
          <w:sz w:val="22"/>
          <w:szCs w:val="22"/>
          <w:lang w:val="fr-FR"/>
        </w:rPr>
        <w:t>et fai</w:t>
      </w:r>
      <w:r w:rsidR="00D9653F">
        <w:rPr>
          <w:rFonts w:ascii="Arial" w:hAnsi="Arial" w:cs="Arial"/>
          <w:bCs/>
          <w:sz w:val="22"/>
          <w:szCs w:val="22"/>
          <w:lang w:val="fr-FR"/>
        </w:rPr>
        <w:t>sai</w:t>
      </w:r>
      <w:r w:rsidR="00D9653F" w:rsidRPr="00992740">
        <w:rPr>
          <w:rFonts w:ascii="Arial" w:hAnsi="Arial" w:cs="Arial"/>
          <w:bCs/>
          <w:sz w:val="22"/>
          <w:szCs w:val="22"/>
          <w:lang w:val="fr-FR"/>
        </w:rPr>
        <w:t xml:space="preserve">t référence aux </w:t>
      </w:r>
      <w:r w:rsidR="00D9653F">
        <w:rPr>
          <w:rFonts w:ascii="Arial" w:hAnsi="Arial" w:cs="Arial"/>
          <w:bCs/>
          <w:sz w:val="22"/>
          <w:szCs w:val="22"/>
          <w:lang w:val="fr-FR"/>
        </w:rPr>
        <w:t>Orientations</w:t>
      </w:r>
      <w:r w:rsidR="00D9653F" w:rsidRPr="00992740">
        <w:rPr>
          <w:rFonts w:ascii="Arial" w:hAnsi="Arial" w:cs="Arial"/>
          <w:bCs/>
          <w:sz w:val="22"/>
          <w:szCs w:val="22"/>
          <w:lang w:val="fr-FR"/>
        </w:rPr>
        <w:t xml:space="preserve"> des Nations Unies à cet égard</w:t>
      </w:r>
      <w:r w:rsidR="00D9653F">
        <w:rPr>
          <w:rStyle w:val="FootnoteReference"/>
          <w:rFonts w:ascii="Arial" w:hAnsi="Arial" w:cs="Arial"/>
          <w:bCs/>
          <w:sz w:val="22"/>
          <w:szCs w:val="22"/>
          <w:lang w:val="fr-FR"/>
        </w:rPr>
        <w:footnoteReference w:id="46"/>
      </w:r>
      <w:r w:rsidR="00D9653F" w:rsidRPr="00992740">
        <w:rPr>
          <w:rFonts w:ascii="Arial" w:hAnsi="Arial" w:cs="Arial"/>
          <w:bCs/>
          <w:sz w:val="22"/>
          <w:szCs w:val="22"/>
          <w:lang w:val="fr-FR"/>
        </w:rPr>
        <w:t xml:space="preserve"> .</w:t>
      </w:r>
    </w:p>
    <w:p w14:paraId="43114FDA" w14:textId="57F1F4A4" w:rsidR="00D9653F" w:rsidRPr="003F2DC9" w:rsidRDefault="008D65C3"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
          <w:sz w:val="22"/>
          <w:szCs w:val="22"/>
          <w:lang w:val="fr-FR"/>
        </w:rPr>
        <w:t>Mme</w:t>
      </w:r>
      <w:r w:rsidR="00D9653F" w:rsidRPr="003F2DC9">
        <w:rPr>
          <w:rFonts w:ascii="Arial" w:hAnsi="Arial" w:cs="Arial"/>
          <w:b/>
          <w:sz w:val="22"/>
          <w:szCs w:val="22"/>
          <w:lang w:val="fr-FR"/>
        </w:rPr>
        <w:t> Fumiko Ohinata</w:t>
      </w:r>
      <w:r w:rsidR="00D9653F" w:rsidRPr="003F2DC9">
        <w:rPr>
          <w:rFonts w:ascii="Arial" w:hAnsi="Arial" w:cs="Arial"/>
          <w:bCs/>
          <w:sz w:val="22"/>
          <w:szCs w:val="22"/>
          <w:lang w:val="fr-FR"/>
        </w:rPr>
        <w:t xml:space="preserve"> a précisé que la proposition suivait de près le </w:t>
      </w:r>
      <w:r w:rsidR="00D9653F">
        <w:rPr>
          <w:rFonts w:ascii="Arial" w:hAnsi="Arial" w:cs="Arial"/>
          <w:bCs/>
          <w:sz w:val="22"/>
          <w:szCs w:val="22"/>
          <w:lang w:val="fr-FR"/>
        </w:rPr>
        <w:t>R</w:t>
      </w:r>
      <w:r w:rsidR="00D9653F" w:rsidRPr="003F2DC9">
        <w:rPr>
          <w:rFonts w:ascii="Arial" w:hAnsi="Arial" w:cs="Arial"/>
          <w:bCs/>
          <w:sz w:val="22"/>
          <w:szCs w:val="22"/>
          <w:lang w:val="fr-FR"/>
        </w:rPr>
        <w:t xml:space="preserve">èglement </w:t>
      </w:r>
      <w:r w:rsidR="00D9653F">
        <w:rPr>
          <w:rFonts w:ascii="Arial" w:hAnsi="Arial" w:cs="Arial"/>
          <w:bCs/>
          <w:sz w:val="22"/>
          <w:szCs w:val="22"/>
          <w:lang w:val="fr-FR"/>
        </w:rPr>
        <w:t>intérieur modèle</w:t>
      </w:r>
      <w:r w:rsidR="00D9653F" w:rsidRPr="003F2DC9">
        <w:rPr>
          <w:rFonts w:ascii="Arial" w:hAnsi="Arial" w:cs="Arial"/>
          <w:bCs/>
          <w:sz w:val="22"/>
          <w:szCs w:val="22"/>
          <w:lang w:val="fr-FR"/>
        </w:rPr>
        <w:t xml:space="preserve"> qui avait été vu par la Conférence générale. Toutefois, sur deux dispositions, le Secrétariat propos</w:t>
      </w:r>
      <w:r w:rsidR="00D9653F">
        <w:rPr>
          <w:rFonts w:ascii="Arial" w:hAnsi="Arial" w:cs="Arial"/>
          <w:bCs/>
          <w:sz w:val="22"/>
          <w:szCs w:val="22"/>
          <w:lang w:val="fr-FR"/>
        </w:rPr>
        <w:t>ait</w:t>
      </w:r>
      <w:r w:rsidR="00D9653F" w:rsidRPr="003F2DC9">
        <w:rPr>
          <w:rFonts w:ascii="Arial" w:hAnsi="Arial" w:cs="Arial"/>
          <w:bCs/>
          <w:sz w:val="22"/>
          <w:szCs w:val="22"/>
          <w:lang w:val="fr-FR"/>
        </w:rPr>
        <w:t xml:space="preserve"> une version légèrement différente.</w:t>
      </w:r>
      <w:r w:rsidR="00D9653F">
        <w:rPr>
          <w:rFonts w:ascii="Arial" w:hAnsi="Arial" w:cs="Arial"/>
          <w:bCs/>
          <w:sz w:val="22"/>
          <w:szCs w:val="22"/>
          <w:lang w:val="fr-FR"/>
        </w:rPr>
        <w:t xml:space="preserve"> </w:t>
      </w:r>
      <w:r w:rsidR="00D9653F" w:rsidRPr="003F2DC9">
        <w:rPr>
          <w:rFonts w:ascii="Arial" w:hAnsi="Arial" w:cs="Arial"/>
          <w:bCs/>
          <w:sz w:val="22"/>
          <w:szCs w:val="22"/>
          <w:lang w:val="fr-FR"/>
        </w:rPr>
        <w:t>L</w:t>
      </w:r>
      <w:r w:rsidR="008E532B">
        <w:rPr>
          <w:rFonts w:ascii="Arial" w:hAnsi="Arial" w:cs="Arial"/>
          <w:bCs/>
          <w:sz w:val="22"/>
          <w:szCs w:val="22"/>
          <w:lang w:val="fr-FR"/>
        </w:rPr>
        <w:t>’</w:t>
      </w:r>
      <w:r w:rsidR="00D9653F">
        <w:rPr>
          <w:rFonts w:ascii="Arial" w:hAnsi="Arial" w:cs="Arial"/>
          <w:bCs/>
          <w:sz w:val="22"/>
          <w:szCs w:val="22"/>
          <w:lang w:val="fr-FR"/>
        </w:rPr>
        <w:t xml:space="preserve">article </w:t>
      </w:r>
      <w:r w:rsidR="00D9653F" w:rsidRPr="00082137">
        <w:rPr>
          <w:rFonts w:ascii="Arial" w:hAnsi="Arial" w:cs="Arial"/>
          <w:bCs/>
          <w:sz w:val="22"/>
          <w:szCs w:val="22"/>
          <w:lang w:val="fr-FR"/>
        </w:rPr>
        <w:t xml:space="preserve">11.1 </w:t>
      </w:r>
      <w:r w:rsidR="00D9653F" w:rsidRPr="003F2DC9">
        <w:rPr>
          <w:rFonts w:ascii="Arial" w:hAnsi="Arial" w:cs="Arial"/>
          <w:bCs/>
          <w:sz w:val="22"/>
          <w:szCs w:val="22"/>
          <w:lang w:val="fr-FR"/>
        </w:rPr>
        <w:t>proposé reproduisait l</w:t>
      </w:r>
      <w:r w:rsidR="008E532B">
        <w:rPr>
          <w:rFonts w:ascii="Arial" w:hAnsi="Arial" w:cs="Arial"/>
          <w:bCs/>
          <w:sz w:val="22"/>
          <w:szCs w:val="22"/>
          <w:lang w:val="fr-FR"/>
        </w:rPr>
        <w:t>’</w:t>
      </w:r>
      <w:r w:rsidR="00D9653F" w:rsidRPr="003F2DC9">
        <w:rPr>
          <w:rFonts w:ascii="Arial" w:hAnsi="Arial" w:cs="Arial"/>
          <w:bCs/>
          <w:sz w:val="22"/>
          <w:szCs w:val="22"/>
          <w:lang w:val="fr-FR"/>
        </w:rPr>
        <w:t>actuel</w:t>
      </w:r>
      <w:r w:rsidR="00D9653F">
        <w:rPr>
          <w:rFonts w:ascii="Arial" w:hAnsi="Arial" w:cs="Arial"/>
          <w:bCs/>
          <w:sz w:val="22"/>
          <w:szCs w:val="22"/>
          <w:lang w:val="fr-FR"/>
        </w:rPr>
        <w:t xml:space="preserve"> article </w:t>
      </w:r>
      <w:r w:rsidR="00D9653F" w:rsidRPr="003F2DC9">
        <w:rPr>
          <w:rFonts w:ascii="Arial" w:hAnsi="Arial" w:cs="Arial"/>
          <w:bCs/>
          <w:sz w:val="22"/>
          <w:szCs w:val="22"/>
          <w:lang w:val="fr-FR"/>
        </w:rPr>
        <w:t>3 d</w:t>
      </w:r>
      <w:r w:rsidR="00D9653F">
        <w:rPr>
          <w:rFonts w:ascii="Arial" w:hAnsi="Arial" w:cs="Arial"/>
          <w:bCs/>
          <w:sz w:val="22"/>
          <w:szCs w:val="22"/>
          <w:lang w:val="fr-FR"/>
        </w:rPr>
        <w:t>u Règlement intérieur de</w:t>
      </w:r>
      <w:r w:rsidR="00D9653F" w:rsidRPr="003F2DC9">
        <w:rPr>
          <w:rFonts w:ascii="Arial" w:hAnsi="Arial" w:cs="Arial"/>
          <w:bCs/>
          <w:sz w:val="22"/>
          <w:szCs w:val="22"/>
          <w:lang w:val="fr-FR"/>
        </w:rPr>
        <w:t xml:space="preserve"> l</w:t>
      </w:r>
      <w:r w:rsidR="008E532B">
        <w:rPr>
          <w:rFonts w:ascii="Arial" w:hAnsi="Arial" w:cs="Arial"/>
          <w:bCs/>
          <w:sz w:val="22"/>
          <w:szCs w:val="22"/>
          <w:lang w:val="fr-FR"/>
        </w:rPr>
        <w:t>’</w:t>
      </w:r>
      <w:r w:rsidR="00D9653F" w:rsidRPr="003F2DC9">
        <w:rPr>
          <w:rFonts w:ascii="Arial" w:hAnsi="Arial" w:cs="Arial"/>
          <w:bCs/>
          <w:sz w:val="22"/>
          <w:szCs w:val="22"/>
          <w:lang w:val="fr-FR"/>
        </w:rPr>
        <w:t xml:space="preserve">Assemblée générale de la Convention et formalisait la pratique existante </w:t>
      </w:r>
      <w:r w:rsidR="00D9653F">
        <w:rPr>
          <w:rFonts w:ascii="Arial" w:hAnsi="Arial" w:cs="Arial"/>
          <w:bCs/>
          <w:sz w:val="22"/>
          <w:szCs w:val="22"/>
          <w:lang w:val="fr-FR"/>
        </w:rPr>
        <w:t>s</w:t>
      </w:r>
      <w:r w:rsidR="008E532B">
        <w:rPr>
          <w:rFonts w:ascii="Arial" w:hAnsi="Arial" w:cs="Arial"/>
          <w:bCs/>
          <w:sz w:val="22"/>
          <w:szCs w:val="22"/>
          <w:lang w:val="fr-FR"/>
        </w:rPr>
        <w:t>’</w:t>
      </w:r>
      <w:r w:rsidR="00D9653F">
        <w:rPr>
          <w:rFonts w:ascii="Arial" w:hAnsi="Arial" w:cs="Arial"/>
          <w:bCs/>
          <w:sz w:val="22"/>
          <w:szCs w:val="22"/>
          <w:lang w:val="fr-FR"/>
        </w:rPr>
        <w:t>agissant de</w:t>
      </w:r>
      <w:r w:rsidR="00D9653F" w:rsidRPr="003F2DC9">
        <w:rPr>
          <w:rFonts w:ascii="Arial" w:hAnsi="Arial" w:cs="Arial"/>
          <w:bCs/>
          <w:sz w:val="22"/>
          <w:szCs w:val="22"/>
          <w:lang w:val="fr-FR"/>
        </w:rPr>
        <w:t xml:space="preserve"> l</w:t>
      </w:r>
      <w:r w:rsidR="008E532B">
        <w:rPr>
          <w:rFonts w:ascii="Arial" w:hAnsi="Arial" w:cs="Arial"/>
          <w:bCs/>
          <w:sz w:val="22"/>
          <w:szCs w:val="22"/>
          <w:lang w:val="fr-FR"/>
        </w:rPr>
        <w:t>’</w:t>
      </w:r>
      <w:r w:rsidR="00D9653F" w:rsidRPr="003F2DC9">
        <w:rPr>
          <w:rFonts w:ascii="Arial" w:hAnsi="Arial" w:cs="Arial"/>
          <w:bCs/>
          <w:sz w:val="22"/>
          <w:szCs w:val="22"/>
          <w:lang w:val="fr-FR"/>
        </w:rPr>
        <w:t>élection du</w:t>
      </w:r>
      <w:r w:rsidR="00D9653F">
        <w:rPr>
          <w:rFonts w:ascii="Arial" w:hAnsi="Arial" w:cs="Arial"/>
          <w:bCs/>
          <w:sz w:val="22"/>
          <w:szCs w:val="22"/>
          <w:lang w:val="fr-FR"/>
        </w:rPr>
        <w:t>/de la</w:t>
      </w:r>
      <w:r w:rsidR="00D9653F" w:rsidRPr="003F2DC9">
        <w:rPr>
          <w:rFonts w:ascii="Arial" w:hAnsi="Arial" w:cs="Arial"/>
          <w:bCs/>
          <w:sz w:val="22"/>
          <w:szCs w:val="22"/>
          <w:lang w:val="fr-FR"/>
        </w:rPr>
        <w:t xml:space="preserve"> </w:t>
      </w:r>
      <w:r w:rsidR="00D9653F">
        <w:rPr>
          <w:rFonts w:ascii="Arial" w:hAnsi="Arial" w:cs="Arial"/>
          <w:bCs/>
          <w:sz w:val="22"/>
          <w:szCs w:val="22"/>
          <w:lang w:val="fr-FR"/>
        </w:rPr>
        <w:t>p</w:t>
      </w:r>
      <w:r w:rsidR="00D9653F" w:rsidRPr="003F2DC9">
        <w:rPr>
          <w:rFonts w:ascii="Arial" w:hAnsi="Arial" w:cs="Arial"/>
          <w:bCs/>
          <w:sz w:val="22"/>
          <w:szCs w:val="22"/>
          <w:lang w:val="fr-FR"/>
        </w:rPr>
        <w:t>résident</w:t>
      </w:r>
      <w:r w:rsidR="00D9653F">
        <w:rPr>
          <w:rFonts w:ascii="Arial" w:hAnsi="Arial" w:cs="Arial"/>
          <w:bCs/>
          <w:sz w:val="22"/>
          <w:szCs w:val="22"/>
          <w:lang w:val="fr-FR"/>
        </w:rPr>
        <w:t>(e)</w:t>
      </w:r>
      <w:r w:rsidR="00D9653F" w:rsidRPr="003F2DC9">
        <w:rPr>
          <w:rFonts w:ascii="Arial" w:hAnsi="Arial" w:cs="Arial"/>
          <w:bCs/>
          <w:sz w:val="22"/>
          <w:szCs w:val="22"/>
          <w:lang w:val="fr-FR"/>
        </w:rPr>
        <w:t xml:space="preserve">, des </w:t>
      </w:r>
      <w:r w:rsidR="00D9653F">
        <w:rPr>
          <w:rFonts w:ascii="Arial" w:hAnsi="Arial" w:cs="Arial"/>
          <w:bCs/>
          <w:sz w:val="22"/>
          <w:szCs w:val="22"/>
          <w:lang w:val="fr-FR"/>
        </w:rPr>
        <w:t>v</w:t>
      </w:r>
      <w:r w:rsidR="00D9653F" w:rsidRPr="003F2DC9">
        <w:rPr>
          <w:rFonts w:ascii="Arial" w:hAnsi="Arial" w:cs="Arial"/>
          <w:bCs/>
          <w:sz w:val="22"/>
          <w:szCs w:val="22"/>
          <w:lang w:val="fr-FR"/>
        </w:rPr>
        <w:t>ice-président</w:t>
      </w:r>
      <w:r w:rsidR="00D9653F">
        <w:rPr>
          <w:rFonts w:ascii="Arial" w:hAnsi="Arial" w:cs="Arial"/>
          <w:bCs/>
          <w:sz w:val="22"/>
          <w:szCs w:val="22"/>
          <w:lang w:val="fr-FR"/>
        </w:rPr>
        <w:t>(e)</w:t>
      </w:r>
      <w:r w:rsidR="00D9653F" w:rsidRPr="003F2DC9">
        <w:rPr>
          <w:rFonts w:ascii="Arial" w:hAnsi="Arial" w:cs="Arial"/>
          <w:bCs/>
          <w:sz w:val="22"/>
          <w:szCs w:val="22"/>
          <w:lang w:val="fr-FR"/>
        </w:rPr>
        <w:t xml:space="preserve">s et du </w:t>
      </w:r>
      <w:r w:rsidR="00D9653F">
        <w:rPr>
          <w:rFonts w:ascii="Arial" w:hAnsi="Arial" w:cs="Arial"/>
          <w:bCs/>
          <w:sz w:val="22"/>
          <w:szCs w:val="22"/>
          <w:lang w:val="fr-FR"/>
        </w:rPr>
        <w:t>r</w:t>
      </w:r>
      <w:r w:rsidR="00D9653F" w:rsidRPr="003F2DC9">
        <w:rPr>
          <w:rFonts w:ascii="Arial" w:hAnsi="Arial" w:cs="Arial"/>
          <w:bCs/>
          <w:sz w:val="22"/>
          <w:szCs w:val="22"/>
          <w:lang w:val="fr-FR"/>
        </w:rPr>
        <w:t>apporteur. La proposition visait à refléter la pratique de l</w:t>
      </w:r>
      <w:r w:rsidR="008E532B">
        <w:rPr>
          <w:rFonts w:ascii="Arial" w:hAnsi="Arial" w:cs="Arial"/>
          <w:bCs/>
          <w:sz w:val="22"/>
          <w:szCs w:val="22"/>
          <w:lang w:val="fr-FR"/>
        </w:rPr>
        <w:t>’</w:t>
      </w:r>
      <w:r w:rsidR="00D9653F" w:rsidRPr="003F2DC9">
        <w:rPr>
          <w:rFonts w:ascii="Arial" w:hAnsi="Arial" w:cs="Arial"/>
          <w:bCs/>
          <w:sz w:val="22"/>
          <w:szCs w:val="22"/>
          <w:lang w:val="fr-FR"/>
        </w:rPr>
        <w:t>Assemblée générale, ainsi qu</w:t>
      </w:r>
      <w:r w:rsidR="008E532B">
        <w:rPr>
          <w:rFonts w:ascii="Arial" w:hAnsi="Arial" w:cs="Arial"/>
          <w:bCs/>
          <w:sz w:val="22"/>
          <w:szCs w:val="22"/>
          <w:lang w:val="fr-FR"/>
        </w:rPr>
        <w:t>’</w:t>
      </w:r>
      <w:r w:rsidR="00D9653F" w:rsidRPr="003F2DC9">
        <w:rPr>
          <w:rFonts w:ascii="Arial" w:hAnsi="Arial" w:cs="Arial"/>
          <w:bCs/>
          <w:sz w:val="22"/>
          <w:szCs w:val="22"/>
          <w:lang w:val="fr-FR"/>
        </w:rPr>
        <w:t>à s</w:t>
      </w:r>
      <w:r w:rsidR="008E532B">
        <w:rPr>
          <w:rFonts w:ascii="Arial" w:hAnsi="Arial" w:cs="Arial"/>
          <w:bCs/>
          <w:sz w:val="22"/>
          <w:szCs w:val="22"/>
          <w:lang w:val="fr-FR"/>
        </w:rPr>
        <w:t>’</w:t>
      </w:r>
      <w:r w:rsidR="00D9653F" w:rsidRPr="003F2DC9">
        <w:rPr>
          <w:rFonts w:ascii="Arial" w:hAnsi="Arial" w:cs="Arial"/>
          <w:bCs/>
          <w:sz w:val="22"/>
          <w:szCs w:val="22"/>
          <w:lang w:val="fr-FR"/>
        </w:rPr>
        <w:t>aligner sur la pratique du Comité</w:t>
      </w:r>
      <w:r w:rsidR="00D9653F">
        <w:rPr>
          <w:rFonts w:ascii="Arial" w:hAnsi="Arial" w:cs="Arial"/>
          <w:bCs/>
          <w:sz w:val="22"/>
          <w:szCs w:val="22"/>
          <w:lang w:val="fr-FR"/>
        </w:rPr>
        <w:t>,</w:t>
      </w:r>
      <w:r w:rsidR="00D9653F" w:rsidRPr="003F2DC9">
        <w:rPr>
          <w:rFonts w:ascii="Arial" w:hAnsi="Arial" w:cs="Arial"/>
          <w:bCs/>
          <w:sz w:val="22"/>
          <w:szCs w:val="22"/>
          <w:lang w:val="fr-FR"/>
        </w:rPr>
        <w:t xml:space="preserve"> et à élire jusqu</w:t>
      </w:r>
      <w:r w:rsidR="008E532B">
        <w:rPr>
          <w:rFonts w:ascii="Arial" w:hAnsi="Arial" w:cs="Arial"/>
          <w:bCs/>
          <w:sz w:val="22"/>
          <w:szCs w:val="22"/>
          <w:lang w:val="fr-FR"/>
        </w:rPr>
        <w:t>’</w:t>
      </w:r>
      <w:r w:rsidR="00D9653F" w:rsidRPr="003F2DC9">
        <w:rPr>
          <w:rFonts w:ascii="Arial" w:hAnsi="Arial" w:cs="Arial"/>
          <w:bCs/>
          <w:sz w:val="22"/>
          <w:szCs w:val="22"/>
          <w:lang w:val="fr-FR"/>
        </w:rPr>
        <w:t>à cinq vice-président</w:t>
      </w:r>
      <w:r w:rsidR="00D9653F">
        <w:rPr>
          <w:rFonts w:ascii="Arial" w:hAnsi="Arial" w:cs="Arial"/>
          <w:bCs/>
          <w:sz w:val="22"/>
          <w:szCs w:val="22"/>
          <w:lang w:val="fr-FR"/>
        </w:rPr>
        <w:t>(e)</w:t>
      </w:r>
      <w:r w:rsidR="00D9653F" w:rsidRPr="003F2DC9">
        <w:rPr>
          <w:rFonts w:ascii="Arial" w:hAnsi="Arial" w:cs="Arial"/>
          <w:bCs/>
          <w:sz w:val="22"/>
          <w:szCs w:val="22"/>
          <w:lang w:val="fr-FR"/>
        </w:rPr>
        <w:t>s plutôt que jusqu</w:t>
      </w:r>
      <w:r w:rsidR="008E532B">
        <w:rPr>
          <w:rFonts w:ascii="Arial" w:hAnsi="Arial" w:cs="Arial"/>
          <w:bCs/>
          <w:sz w:val="22"/>
          <w:szCs w:val="22"/>
          <w:lang w:val="fr-FR"/>
        </w:rPr>
        <w:t>’</w:t>
      </w:r>
      <w:r w:rsidR="00D9653F" w:rsidRPr="003F2DC9">
        <w:rPr>
          <w:rFonts w:ascii="Arial" w:hAnsi="Arial" w:cs="Arial"/>
          <w:bCs/>
          <w:sz w:val="22"/>
          <w:szCs w:val="22"/>
          <w:lang w:val="fr-FR"/>
        </w:rPr>
        <w:t>à quatre vice-président</w:t>
      </w:r>
      <w:r w:rsidR="00D9653F">
        <w:rPr>
          <w:rFonts w:ascii="Arial" w:hAnsi="Arial" w:cs="Arial"/>
          <w:bCs/>
          <w:sz w:val="22"/>
          <w:szCs w:val="22"/>
          <w:lang w:val="fr-FR"/>
        </w:rPr>
        <w:t>(e)</w:t>
      </w:r>
      <w:r w:rsidR="00D9653F" w:rsidRPr="003F2DC9">
        <w:rPr>
          <w:rFonts w:ascii="Arial" w:hAnsi="Arial" w:cs="Arial"/>
          <w:bCs/>
          <w:sz w:val="22"/>
          <w:szCs w:val="22"/>
          <w:lang w:val="fr-FR"/>
        </w:rPr>
        <w:t>s comme le sugg</w:t>
      </w:r>
      <w:r w:rsidR="00D9653F">
        <w:rPr>
          <w:rFonts w:ascii="Arial" w:hAnsi="Arial" w:cs="Arial"/>
          <w:bCs/>
          <w:sz w:val="22"/>
          <w:szCs w:val="22"/>
          <w:lang w:val="fr-FR"/>
        </w:rPr>
        <w:t>érait</w:t>
      </w:r>
      <w:r w:rsidR="00D9653F" w:rsidRPr="003F2DC9">
        <w:rPr>
          <w:rFonts w:ascii="Arial" w:hAnsi="Arial" w:cs="Arial"/>
          <w:bCs/>
          <w:sz w:val="22"/>
          <w:szCs w:val="22"/>
          <w:lang w:val="fr-FR"/>
        </w:rPr>
        <w:t xml:space="preserve"> le </w:t>
      </w:r>
      <w:r w:rsidR="00D9653F">
        <w:rPr>
          <w:rFonts w:ascii="Arial" w:hAnsi="Arial" w:cs="Arial"/>
          <w:bCs/>
          <w:sz w:val="22"/>
          <w:szCs w:val="22"/>
          <w:lang w:val="fr-FR"/>
        </w:rPr>
        <w:t>R</w:t>
      </w:r>
      <w:r w:rsidR="00D9653F" w:rsidRPr="003F2DC9">
        <w:rPr>
          <w:rFonts w:ascii="Arial" w:hAnsi="Arial" w:cs="Arial"/>
          <w:bCs/>
          <w:sz w:val="22"/>
          <w:szCs w:val="22"/>
          <w:lang w:val="fr-FR"/>
        </w:rPr>
        <w:t xml:space="preserve">èglement intérieur </w:t>
      </w:r>
      <w:r w:rsidR="00D9653F">
        <w:rPr>
          <w:rFonts w:ascii="Arial" w:hAnsi="Arial" w:cs="Arial"/>
          <w:bCs/>
          <w:sz w:val="22"/>
          <w:szCs w:val="22"/>
          <w:lang w:val="fr-FR"/>
        </w:rPr>
        <w:t>modèle</w:t>
      </w:r>
      <w:r w:rsidR="00D9653F" w:rsidRPr="003F2DC9">
        <w:rPr>
          <w:rFonts w:ascii="Arial" w:hAnsi="Arial" w:cs="Arial"/>
          <w:bCs/>
          <w:sz w:val="22"/>
          <w:szCs w:val="22"/>
          <w:lang w:val="fr-FR"/>
        </w:rPr>
        <w:t>. Ceci afin de parvenir à une équité géographique, en tenant compte du fait que les fonctions du</w:t>
      </w:r>
      <w:r w:rsidR="00D9653F">
        <w:rPr>
          <w:rFonts w:ascii="Arial" w:hAnsi="Arial" w:cs="Arial"/>
          <w:bCs/>
          <w:sz w:val="22"/>
          <w:szCs w:val="22"/>
          <w:lang w:val="fr-FR"/>
        </w:rPr>
        <w:t>/de la</w:t>
      </w:r>
      <w:r w:rsidR="00D9653F" w:rsidRPr="003F2DC9">
        <w:rPr>
          <w:rFonts w:ascii="Arial" w:hAnsi="Arial" w:cs="Arial"/>
          <w:bCs/>
          <w:sz w:val="22"/>
          <w:szCs w:val="22"/>
          <w:lang w:val="fr-FR"/>
        </w:rPr>
        <w:t xml:space="preserve"> </w:t>
      </w:r>
      <w:r w:rsidR="00D9653F">
        <w:rPr>
          <w:rFonts w:ascii="Arial" w:hAnsi="Arial" w:cs="Arial"/>
          <w:bCs/>
          <w:sz w:val="22"/>
          <w:szCs w:val="22"/>
          <w:lang w:val="fr-FR"/>
        </w:rPr>
        <w:t>p</w:t>
      </w:r>
      <w:r w:rsidR="00D9653F" w:rsidRPr="003F2DC9">
        <w:rPr>
          <w:rFonts w:ascii="Arial" w:hAnsi="Arial" w:cs="Arial"/>
          <w:bCs/>
          <w:sz w:val="22"/>
          <w:szCs w:val="22"/>
          <w:lang w:val="fr-FR"/>
        </w:rPr>
        <w:t>résident</w:t>
      </w:r>
      <w:r w:rsidR="00D9653F">
        <w:rPr>
          <w:rFonts w:ascii="Arial" w:hAnsi="Arial" w:cs="Arial"/>
          <w:bCs/>
          <w:sz w:val="22"/>
          <w:szCs w:val="22"/>
          <w:lang w:val="fr-FR"/>
        </w:rPr>
        <w:t>(e)</w:t>
      </w:r>
      <w:r w:rsidR="00D9653F" w:rsidRPr="003F2DC9">
        <w:rPr>
          <w:rFonts w:ascii="Arial" w:hAnsi="Arial" w:cs="Arial"/>
          <w:bCs/>
          <w:sz w:val="22"/>
          <w:szCs w:val="22"/>
          <w:lang w:val="fr-FR"/>
        </w:rPr>
        <w:t xml:space="preserve"> et du </w:t>
      </w:r>
      <w:r w:rsidR="00D9653F">
        <w:rPr>
          <w:rFonts w:ascii="Arial" w:hAnsi="Arial" w:cs="Arial"/>
          <w:bCs/>
          <w:sz w:val="22"/>
          <w:szCs w:val="22"/>
          <w:lang w:val="fr-FR"/>
        </w:rPr>
        <w:t>r</w:t>
      </w:r>
      <w:r w:rsidR="00D9653F" w:rsidRPr="003F2DC9">
        <w:rPr>
          <w:rFonts w:ascii="Arial" w:hAnsi="Arial" w:cs="Arial"/>
          <w:bCs/>
          <w:sz w:val="22"/>
          <w:szCs w:val="22"/>
          <w:lang w:val="fr-FR"/>
        </w:rPr>
        <w:t xml:space="preserve">apporteur sont des </w:t>
      </w:r>
      <w:r w:rsidR="00D9653F">
        <w:rPr>
          <w:rFonts w:ascii="Arial" w:hAnsi="Arial" w:cs="Arial"/>
          <w:bCs/>
          <w:sz w:val="22"/>
          <w:szCs w:val="22"/>
          <w:lang w:val="fr-FR"/>
        </w:rPr>
        <w:t>désignations</w:t>
      </w:r>
      <w:r w:rsidR="00D9653F" w:rsidRPr="003F2DC9">
        <w:rPr>
          <w:rFonts w:ascii="Arial" w:hAnsi="Arial" w:cs="Arial"/>
          <w:bCs/>
          <w:sz w:val="22"/>
          <w:szCs w:val="22"/>
          <w:lang w:val="fr-FR"/>
        </w:rPr>
        <w:t xml:space="preserve"> </w:t>
      </w:r>
      <w:r w:rsidR="00D9653F">
        <w:rPr>
          <w:rFonts w:ascii="Arial" w:hAnsi="Arial" w:cs="Arial"/>
          <w:bCs/>
          <w:sz w:val="22"/>
          <w:szCs w:val="22"/>
          <w:lang w:val="fr-FR"/>
        </w:rPr>
        <w:t>à titre personnel</w:t>
      </w:r>
      <w:r w:rsidR="00D9653F" w:rsidRPr="003F2DC9">
        <w:rPr>
          <w:rFonts w:ascii="Arial" w:hAnsi="Arial" w:cs="Arial"/>
          <w:bCs/>
          <w:sz w:val="22"/>
          <w:szCs w:val="22"/>
          <w:lang w:val="fr-FR"/>
        </w:rPr>
        <w:t xml:space="preserve"> et que la pratique de l</w:t>
      </w:r>
      <w:r w:rsidR="008E532B">
        <w:rPr>
          <w:rFonts w:ascii="Arial" w:hAnsi="Arial" w:cs="Arial"/>
          <w:bCs/>
          <w:sz w:val="22"/>
          <w:szCs w:val="22"/>
          <w:lang w:val="fr-FR"/>
        </w:rPr>
        <w:t>’</w:t>
      </w:r>
      <w:r w:rsidR="00D9653F" w:rsidRPr="003F2DC9">
        <w:rPr>
          <w:rFonts w:ascii="Arial" w:hAnsi="Arial" w:cs="Arial"/>
          <w:bCs/>
          <w:sz w:val="22"/>
          <w:szCs w:val="22"/>
          <w:lang w:val="fr-FR"/>
        </w:rPr>
        <w:t>Assemblée générale et du Comité de la Convention de 2003 v</w:t>
      </w:r>
      <w:r w:rsidR="00D9653F">
        <w:rPr>
          <w:rFonts w:ascii="Arial" w:hAnsi="Arial" w:cs="Arial"/>
          <w:bCs/>
          <w:sz w:val="22"/>
          <w:szCs w:val="22"/>
          <w:lang w:val="fr-FR"/>
        </w:rPr>
        <w:t xml:space="preserve">eut </w:t>
      </w:r>
      <w:r w:rsidR="00D9653F" w:rsidRPr="003F2DC9">
        <w:rPr>
          <w:rFonts w:ascii="Arial" w:hAnsi="Arial" w:cs="Arial"/>
          <w:bCs/>
          <w:sz w:val="22"/>
          <w:szCs w:val="22"/>
          <w:lang w:val="fr-FR"/>
        </w:rPr>
        <w:t>que la délégation de l</w:t>
      </w:r>
      <w:r w:rsidR="008E532B">
        <w:rPr>
          <w:rFonts w:ascii="Arial" w:hAnsi="Arial" w:cs="Arial"/>
          <w:bCs/>
          <w:sz w:val="22"/>
          <w:szCs w:val="22"/>
          <w:lang w:val="fr-FR"/>
        </w:rPr>
        <w:t>’</w:t>
      </w:r>
      <w:r w:rsidR="00D9653F" w:rsidRPr="003F2DC9">
        <w:rPr>
          <w:rFonts w:ascii="Arial" w:hAnsi="Arial" w:cs="Arial"/>
          <w:bCs/>
          <w:sz w:val="22"/>
          <w:szCs w:val="22"/>
          <w:lang w:val="fr-FR"/>
        </w:rPr>
        <w:t>État partie du</w:t>
      </w:r>
      <w:r w:rsidR="00D9653F">
        <w:rPr>
          <w:rFonts w:ascii="Arial" w:hAnsi="Arial" w:cs="Arial"/>
          <w:bCs/>
          <w:sz w:val="22"/>
          <w:szCs w:val="22"/>
          <w:lang w:val="fr-FR"/>
        </w:rPr>
        <w:t>/de la p</w:t>
      </w:r>
      <w:r w:rsidR="00D9653F" w:rsidRPr="003F2DC9">
        <w:rPr>
          <w:rFonts w:ascii="Arial" w:hAnsi="Arial" w:cs="Arial"/>
          <w:bCs/>
          <w:sz w:val="22"/>
          <w:szCs w:val="22"/>
          <w:lang w:val="fr-FR"/>
        </w:rPr>
        <w:t>résident</w:t>
      </w:r>
      <w:r w:rsidR="00D9653F">
        <w:rPr>
          <w:rFonts w:ascii="Arial" w:hAnsi="Arial" w:cs="Arial"/>
          <w:bCs/>
          <w:sz w:val="22"/>
          <w:szCs w:val="22"/>
          <w:lang w:val="fr-FR"/>
        </w:rPr>
        <w:t>(e)</w:t>
      </w:r>
      <w:r w:rsidR="00D9653F" w:rsidRPr="003F2DC9">
        <w:rPr>
          <w:rFonts w:ascii="Arial" w:hAnsi="Arial" w:cs="Arial"/>
          <w:bCs/>
          <w:sz w:val="22"/>
          <w:szCs w:val="22"/>
          <w:lang w:val="fr-FR"/>
        </w:rPr>
        <w:t xml:space="preserve"> siège au Bureau pour représenter le groupe électoral de son État. L</w:t>
      </w:r>
      <w:r w:rsidR="008E532B">
        <w:rPr>
          <w:rFonts w:ascii="Arial" w:hAnsi="Arial" w:cs="Arial"/>
          <w:bCs/>
          <w:sz w:val="22"/>
          <w:szCs w:val="22"/>
          <w:lang w:val="fr-FR"/>
        </w:rPr>
        <w:t>’</w:t>
      </w:r>
      <w:r w:rsidR="00D9653F" w:rsidRPr="003F2DC9">
        <w:rPr>
          <w:rFonts w:ascii="Arial" w:hAnsi="Arial" w:cs="Arial"/>
          <w:bCs/>
          <w:sz w:val="22"/>
          <w:szCs w:val="22"/>
          <w:lang w:val="fr-FR"/>
        </w:rPr>
        <w:t>article 12.2 proposé reproduisait l</w:t>
      </w:r>
      <w:r w:rsidR="008E532B">
        <w:rPr>
          <w:rFonts w:ascii="Arial" w:hAnsi="Arial" w:cs="Arial"/>
          <w:bCs/>
          <w:sz w:val="22"/>
          <w:szCs w:val="22"/>
          <w:lang w:val="fr-FR"/>
        </w:rPr>
        <w:t>’</w:t>
      </w:r>
      <w:r w:rsidR="00D9653F" w:rsidRPr="003F2DC9">
        <w:rPr>
          <w:rFonts w:ascii="Arial" w:hAnsi="Arial" w:cs="Arial"/>
          <w:bCs/>
          <w:sz w:val="22"/>
          <w:szCs w:val="22"/>
          <w:lang w:val="fr-FR"/>
        </w:rPr>
        <w:t>actuel article 4.2 d</w:t>
      </w:r>
      <w:r w:rsidR="00D9653F">
        <w:rPr>
          <w:rFonts w:ascii="Arial" w:hAnsi="Arial" w:cs="Arial"/>
          <w:bCs/>
          <w:sz w:val="22"/>
          <w:szCs w:val="22"/>
          <w:lang w:val="fr-FR"/>
        </w:rPr>
        <w:t xml:space="preserve">u Règlement intérieur de </w:t>
      </w:r>
      <w:r w:rsidR="00D9653F" w:rsidRPr="003F2DC9">
        <w:rPr>
          <w:rFonts w:ascii="Arial" w:hAnsi="Arial" w:cs="Arial"/>
          <w:bCs/>
          <w:sz w:val="22"/>
          <w:szCs w:val="22"/>
          <w:lang w:val="fr-FR"/>
        </w:rPr>
        <w:t>l</w:t>
      </w:r>
      <w:r w:rsidR="008E532B">
        <w:rPr>
          <w:rFonts w:ascii="Arial" w:hAnsi="Arial" w:cs="Arial"/>
          <w:bCs/>
          <w:sz w:val="22"/>
          <w:szCs w:val="22"/>
          <w:lang w:val="fr-FR"/>
        </w:rPr>
        <w:t>’</w:t>
      </w:r>
      <w:r w:rsidR="00D9653F" w:rsidRPr="003F2DC9">
        <w:rPr>
          <w:rFonts w:ascii="Arial" w:hAnsi="Arial" w:cs="Arial"/>
          <w:bCs/>
          <w:sz w:val="22"/>
          <w:szCs w:val="22"/>
          <w:lang w:val="fr-FR"/>
        </w:rPr>
        <w:t>Assemblée générale de la Convention avec une terminologie harmonisée en ce qui concerne le remplacement temporaire du</w:t>
      </w:r>
      <w:r w:rsidR="00D9653F">
        <w:rPr>
          <w:rFonts w:ascii="Arial" w:hAnsi="Arial" w:cs="Arial"/>
          <w:bCs/>
          <w:sz w:val="22"/>
          <w:szCs w:val="22"/>
          <w:lang w:val="fr-FR"/>
        </w:rPr>
        <w:t>/de la</w:t>
      </w:r>
      <w:r w:rsidR="00D9653F" w:rsidRPr="003F2DC9">
        <w:rPr>
          <w:rFonts w:ascii="Arial" w:hAnsi="Arial" w:cs="Arial"/>
          <w:bCs/>
          <w:sz w:val="22"/>
          <w:szCs w:val="22"/>
          <w:lang w:val="fr-FR"/>
        </w:rPr>
        <w:t xml:space="preserve"> </w:t>
      </w:r>
      <w:r w:rsidR="00D9653F">
        <w:rPr>
          <w:rFonts w:ascii="Arial" w:hAnsi="Arial" w:cs="Arial"/>
          <w:bCs/>
          <w:sz w:val="22"/>
          <w:szCs w:val="22"/>
          <w:lang w:val="fr-FR"/>
        </w:rPr>
        <w:t>p</w:t>
      </w:r>
      <w:r w:rsidR="00D9653F" w:rsidRPr="003F2DC9">
        <w:rPr>
          <w:rFonts w:ascii="Arial" w:hAnsi="Arial" w:cs="Arial"/>
          <w:bCs/>
          <w:sz w:val="22"/>
          <w:szCs w:val="22"/>
          <w:lang w:val="fr-FR"/>
        </w:rPr>
        <w:t>résident</w:t>
      </w:r>
      <w:r w:rsidR="00D9653F">
        <w:rPr>
          <w:rFonts w:ascii="Arial" w:hAnsi="Arial" w:cs="Arial"/>
          <w:bCs/>
          <w:sz w:val="22"/>
          <w:szCs w:val="22"/>
          <w:lang w:val="fr-FR"/>
        </w:rPr>
        <w:t>(e)</w:t>
      </w:r>
      <w:r w:rsidR="00D9653F" w:rsidRPr="003F2DC9">
        <w:rPr>
          <w:rFonts w:ascii="Arial" w:hAnsi="Arial" w:cs="Arial"/>
          <w:bCs/>
          <w:sz w:val="22"/>
          <w:szCs w:val="22"/>
          <w:lang w:val="fr-FR"/>
        </w:rPr>
        <w:t xml:space="preserve"> pendant son absence. La proposition visait à maintenir la pratique bien établie et fonctionnant bien de l</w:t>
      </w:r>
      <w:r w:rsidR="008E532B">
        <w:rPr>
          <w:rFonts w:ascii="Arial" w:hAnsi="Arial" w:cs="Arial"/>
          <w:bCs/>
          <w:sz w:val="22"/>
          <w:szCs w:val="22"/>
          <w:lang w:val="fr-FR"/>
        </w:rPr>
        <w:t>’</w:t>
      </w:r>
      <w:r w:rsidR="00D9653F" w:rsidRPr="003F2DC9">
        <w:rPr>
          <w:rFonts w:ascii="Arial" w:hAnsi="Arial" w:cs="Arial"/>
          <w:bCs/>
          <w:sz w:val="22"/>
          <w:szCs w:val="22"/>
          <w:lang w:val="fr-FR"/>
        </w:rPr>
        <w:t>Assemblée en ce sens que le remplacement temporaire du</w:t>
      </w:r>
      <w:r w:rsidR="00D9653F">
        <w:rPr>
          <w:rFonts w:ascii="Arial" w:hAnsi="Arial" w:cs="Arial"/>
          <w:bCs/>
          <w:sz w:val="22"/>
          <w:szCs w:val="22"/>
          <w:lang w:val="fr-FR"/>
        </w:rPr>
        <w:t>/de la</w:t>
      </w:r>
      <w:r w:rsidR="00D9653F" w:rsidRPr="003F2DC9">
        <w:rPr>
          <w:rFonts w:ascii="Arial" w:hAnsi="Arial" w:cs="Arial"/>
          <w:bCs/>
          <w:sz w:val="22"/>
          <w:szCs w:val="22"/>
          <w:lang w:val="fr-FR"/>
        </w:rPr>
        <w:t xml:space="preserve"> </w:t>
      </w:r>
      <w:r w:rsidR="00D9653F">
        <w:rPr>
          <w:rFonts w:ascii="Arial" w:hAnsi="Arial" w:cs="Arial"/>
          <w:bCs/>
          <w:sz w:val="22"/>
          <w:szCs w:val="22"/>
          <w:lang w:val="fr-FR"/>
        </w:rPr>
        <w:t>p</w:t>
      </w:r>
      <w:r w:rsidR="00D9653F" w:rsidRPr="003F2DC9">
        <w:rPr>
          <w:rFonts w:ascii="Arial" w:hAnsi="Arial" w:cs="Arial"/>
          <w:bCs/>
          <w:sz w:val="22"/>
          <w:szCs w:val="22"/>
          <w:lang w:val="fr-FR"/>
        </w:rPr>
        <w:t>résident</w:t>
      </w:r>
      <w:r w:rsidR="00D9653F">
        <w:rPr>
          <w:rFonts w:ascii="Arial" w:hAnsi="Arial" w:cs="Arial"/>
          <w:bCs/>
          <w:sz w:val="22"/>
          <w:szCs w:val="22"/>
          <w:lang w:val="fr-FR"/>
        </w:rPr>
        <w:t>(e)</w:t>
      </w:r>
      <w:r w:rsidR="00D9653F" w:rsidRPr="003F2DC9">
        <w:rPr>
          <w:rFonts w:ascii="Arial" w:hAnsi="Arial" w:cs="Arial"/>
          <w:bCs/>
          <w:sz w:val="22"/>
          <w:szCs w:val="22"/>
          <w:lang w:val="fr-FR"/>
        </w:rPr>
        <w:t xml:space="preserve"> devait être choisi à la discrétion du</w:t>
      </w:r>
      <w:r w:rsidR="00D9653F">
        <w:rPr>
          <w:rFonts w:ascii="Arial" w:hAnsi="Arial" w:cs="Arial"/>
          <w:bCs/>
          <w:sz w:val="22"/>
          <w:szCs w:val="22"/>
          <w:lang w:val="fr-FR"/>
        </w:rPr>
        <w:t>/de la</w:t>
      </w:r>
      <w:r w:rsidR="00D9653F" w:rsidRPr="003F2DC9">
        <w:rPr>
          <w:rFonts w:ascii="Arial" w:hAnsi="Arial" w:cs="Arial"/>
          <w:bCs/>
          <w:sz w:val="22"/>
          <w:szCs w:val="22"/>
          <w:lang w:val="fr-FR"/>
        </w:rPr>
        <w:t xml:space="preserve"> </w:t>
      </w:r>
      <w:r w:rsidR="00D9653F">
        <w:rPr>
          <w:rFonts w:ascii="Arial" w:hAnsi="Arial" w:cs="Arial"/>
          <w:bCs/>
          <w:sz w:val="22"/>
          <w:szCs w:val="22"/>
          <w:lang w:val="fr-FR"/>
        </w:rPr>
        <w:t>p</w:t>
      </w:r>
      <w:r w:rsidR="00D9653F" w:rsidRPr="003F2DC9">
        <w:rPr>
          <w:rFonts w:ascii="Arial" w:hAnsi="Arial" w:cs="Arial"/>
          <w:bCs/>
          <w:sz w:val="22"/>
          <w:szCs w:val="22"/>
          <w:lang w:val="fr-FR"/>
        </w:rPr>
        <w:t>résident</w:t>
      </w:r>
      <w:r w:rsidR="00D9653F">
        <w:rPr>
          <w:rFonts w:ascii="Arial" w:hAnsi="Arial" w:cs="Arial"/>
          <w:bCs/>
          <w:sz w:val="22"/>
          <w:szCs w:val="22"/>
          <w:lang w:val="fr-FR"/>
        </w:rPr>
        <w:t>(e)</w:t>
      </w:r>
      <w:r w:rsidR="00D9653F" w:rsidRPr="003F2DC9">
        <w:rPr>
          <w:rFonts w:ascii="Arial" w:hAnsi="Arial" w:cs="Arial"/>
          <w:bCs/>
          <w:sz w:val="22"/>
          <w:szCs w:val="22"/>
          <w:lang w:val="fr-FR"/>
        </w:rPr>
        <w:t xml:space="preserve"> plutôt que, comme le sugg</w:t>
      </w:r>
      <w:r w:rsidR="00D9653F">
        <w:rPr>
          <w:rFonts w:ascii="Arial" w:hAnsi="Arial" w:cs="Arial"/>
          <w:bCs/>
          <w:sz w:val="22"/>
          <w:szCs w:val="22"/>
          <w:lang w:val="fr-FR"/>
        </w:rPr>
        <w:t>érait</w:t>
      </w:r>
      <w:r w:rsidR="00D9653F" w:rsidRPr="003F2DC9">
        <w:rPr>
          <w:rFonts w:ascii="Arial" w:hAnsi="Arial" w:cs="Arial"/>
          <w:bCs/>
          <w:sz w:val="22"/>
          <w:szCs w:val="22"/>
          <w:lang w:val="fr-FR"/>
        </w:rPr>
        <w:t xml:space="preserve"> le </w:t>
      </w:r>
      <w:r w:rsidR="00D9653F">
        <w:rPr>
          <w:rFonts w:ascii="Arial" w:hAnsi="Arial" w:cs="Arial"/>
          <w:bCs/>
          <w:sz w:val="22"/>
          <w:szCs w:val="22"/>
          <w:lang w:val="fr-FR"/>
        </w:rPr>
        <w:t>R</w:t>
      </w:r>
      <w:r w:rsidR="00D9653F" w:rsidRPr="003F2DC9">
        <w:rPr>
          <w:rFonts w:ascii="Arial" w:hAnsi="Arial" w:cs="Arial"/>
          <w:bCs/>
          <w:sz w:val="22"/>
          <w:szCs w:val="22"/>
          <w:lang w:val="fr-FR"/>
        </w:rPr>
        <w:t>èglement intérieur</w:t>
      </w:r>
      <w:r w:rsidR="00D9653F">
        <w:rPr>
          <w:rFonts w:ascii="Arial" w:hAnsi="Arial" w:cs="Arial"/>
          <w:bCs/>
          <w:sz w:val="22"/>
          <w:szCs w:val="22"/>
          <w:lang w:val="fr-FR"/>
        </w:rPr>
        <w:t xml:space="preserve"> modèle</w:t>
      </w:r>
      <w:r w:rsidR="00D9653F" w:rsidRPr="003F2DC9">
        <w:rPr>
          <w:rFonts w:ascii="Arial" w:hAnsi="Arial" w:cs="Arial"/>
          <w:bCs/>
          <w:sz w:val="22"/>
          <w:szCs w:val="22"/>
          <w:lang w:val="fr-FR"/>
        </w:rPr>
        <w:t>, de baser l</w:t>
      </w:r>
      <w:r w:rsidR="00D9653F">
        <w:rPr>
          <w:rFonts w:ascii="Arial" w:hAnsi="Arial" w:cs="Arial"/>
          <w:bCs/>
          <w:sz w:val="22"/>
          <w:szCs w:val="22"/>
          <w:lang w:val="fr-FR"/>
        </w:rPr>
        <w:t>e choix</w:t>
      </w:r>
      <w:r w:rsidR="00D9653F" w:rsidRPr="003F2DC9">
        <w:rPr>
          <w:rFonts w:ascii="Arial" w:hAnsi="Arial" w:cs="Arial"/>
          <w:bCs/>
          <w:sz w:val="22"/>
          <w:szCs w:val="22"/>
          <w:lang w:val="fr-FR"/>
        </w:rPr>
        <w:t xml:space="preserve"> sur l</w:t>
      </w:r>
      <w:r w:rsidR="008E532B">
        <w:rPr>
          <w:rFonts w:ascii="Arial" w:hAnsi="Arial" w:cs="Arial"/>
          <w:bCs/>
          <w:sz w:val="22"/>
          <w:szCs w:val="22"/>
          <w:lang w:val="fr-FR"/>
        </w:rPr>
        <w:t>’</w:t>
      </w:r>
      <w:r w:rsidR="00D9653F" w:rsidRPr="003F2DC9">
        <w:rPr>
          <w:rFonts w:ascii="Arial" w:hAnsi="Arial" w:cs="Arial"/>
          <w:bCs/>
          <w:sz w:val="22"/>
          <w:szCs w:val="22"/>
          <w:lang w:val="fr-FR"/>
        </w:rPr>
        <w:t>utilisation de l</w:t>
      </w:r>
      <w:r w:rsidR="008E532B">
        <w:rPr>
          <w:rFonts w:ascii="Arial" w:hAnsi="Arial" w:cs="Arial"/>
          <w:bCs/>
          <w:sz w:val="22"/>
          <w:szCs w:val="22"/>
          <w:lang w:val="fr-FR"/>
        </w:rPr>
        <w:t>’</w:t>
      </w:r>
      <w:r w:rsidR="00D9653F" w:rsidRPr="003F2DC9">
        <w:rPr>
          <w:rFonts w:ascii="Arial" w:hAnsi="Arial" w:cs="Arial"/>
          <w:bCs/>
          <w:sz w:val="22"/>
          <w:szCs w:val="22"/>
          <w:lang w:val="fr-FR"/>
        </w:rPr>
        <w:t>ordre alphabétique français des membres du Bureau.</w:t>
      </w:r>
    </w:p>
    <w:p w14:paraId="0A313471" w14:textId="78431A7B" w:rsidR="00D9653F" w:rsidRPr="00E17737"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E17737">
        <w:rPr>
          <w:rFonts w:ascii="Arial" w:hAnsi="Arial" w:cs="Arial"/>
          <w:b/>
          <w:sz w:val="22"/>
          <w:szCs w:val="22"/>
          <w:lang w:val="fr-FR"/>
        </w:rPr>
        <w:t>Présidente</w:t>
      </w:r>
      <w:r>
        <w:rPr>
          <w:rFonts w:ascii="Arial" w:hAnsi="Arial" w:cs="Arial"/>
          <w:bCs/>
          <w:sz w:val="22"/>
          <w:szCs w:val="22"/>
          <w:lang w:val="fr-FR"/>
        </w:rPr>
        <w:t xml:space="preserve"> a donné la parole aux orateurs afin qu</w:t>
      </w:r>
      <w:r w:rsidR="008E532B">
        <w:rPr>
          <w:rFonts w:ascii="Arial" w:hAnsi="Arial" w:cs="Arial"/>
          <w:bCs/>
          <w:sz w:val="22"/>
          <w:szCs w:val="22"/>
          <w:lang w:val="fr-FR"/>
        </w:rPr>
        <w:t>’</w:t>
      </w:r>
      <w:r>
        <w:rPr>
          <w:rFonts w:ascii="Arial" w:hAnsi="Arial" w:cs="Arial"/>
          <w:bCs/>
          <w:sz w:val="22"/>
          <w:szCs w:val="22"/>
          <w:lang w:val="fr-FR"/>
        </w:rPr>
        <w:t>ils débattent.</w:t>
      </w:r>
    </w:p>
    <w:p w14:paraId="1CB58927" w14:textId="7513204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17737">
        <w:rPr>
          <w:rFonts w:ascii="Arial" w:hAnsi="Arial" w:cs="Arial"/>
          <w:bCs/>
          <w:sz w:val="22"/>
          <w:szCs w:val="22"/>
          <w:lang w:val="fr-FR"/>
        </w:rPr>
        <w:t xml:space="preserve">La délégation de la </w:t>
      </w:r>
      <w:r w:rsidRPr="00E17737">
        <w:rPr>
          <w:rFonts w:ascii="Arial" w:hAnsi="Arial" w:cs="Arial"/>
          <w:b/>
          <w:sz w:val="22"/>
          <w:szCs w:val="22"/>
          <w:lang w:val="fr-FR"/>
        </w:rPr>
        <w:t>Chine</w:t>
      </w:r>
      <w:r w:rsidRPr="00E17737">
        <w:rPr>
          <w:rFonts w:ascii="Arial" w:hAnsi="Arial" w:cs="Arial"/>
          <w:bCs/>
          <w:sz w:val="22"/>
          <w:szCs w:val="22"/>
          <w:lang w:val="fr-FR"/>
        </w:rPr>
        <w:t xml:space="preserve"> appréci</w:t>
      </w:r>
      <w:r>
        <w:rPr>
          <w:rFonts w:ascii="Arial" w:hAnsi="Arial" w:cs="Arial"/>
          <w:bCs/>
          <w:sz w:val="22"/>
          <w:szCs w:val="22"/>
          <w:lang w:val="fr-FR"/>
        </w:rPr>
        <w:t>ait</w:t>
      </w:r>
      <w:r w:rsidRPr="00E17737">
        <w:rPr>
          <w:rFonts w:ascii="Arial" w:hAnsi="Arial" w:cs="Arial"/>
          <w:bCs/>
          <w:sz w:val="22"/>
          <w:szCs w:val="22"/>
          <w:lang w:val="fr-FR"/>
        </w:rPr>
        <w:t xml:space="preserve"> les efforts déployés par le Secrétariat pour élaborer le </w:t>
      </w:r>
      <w:r>
        <w:rPr>
          <w:rFonts w:ascii="Arial" w:hAnsi="Arial" w:cs="Arial"/>
          <w:bCs/>
          <w:sz w:val="22"/>
          <w:szCs w:val="22"/>
          <w:lang w:val="fr-FR"/>
        </w:rPr>
        <w:t>R</w:t>
      </w:r>
      <w:r w:rsidRPr="00E17737">
        <w:rPr>
          <w:rFonts w:ascii="Arial" w:hAnsi="Arial" w:cs="Arial"/>
          <w:bCs/>
          <w:sz w:val="22"/>
          <w:szCs w:val="22"/>
          <w:lang w:val="fr-FR"/>
        </w:rPr>
        <w:t xml:space="preserve">èglement intérieur </w:t>
      </w:r>
      <w:r>
        <w:rPr>
          <w:rFonts w:ascii="Arial" w:hAnsi="Arial" w:cs="Arial"/>
          <w:bCs/>
          <w:sz w:val="22"/>
          <w:szCs w:val="22"/>
          <w:lang w:val="fr-FR"/>
        </w:rPr>
        <w:t xml:space="preserve">modèle </w:t>
      </w:r>
      <w:r w:rsidRPr="00E17737">
        <w:rPr>
          <w:rFonts w:ascii="Arial" w:hAnsi="Arial" w:cs="Arial"/>
          <w:bCs/>
          <w:sz w:val="22"/>
          <w:szCs w:val="22"/>
          <w:lang w:val="fr-FR"/>
        </w:rPr>
        <w:t>de l</w:t>
      </w:r>
      <w:r w:rsidR="008E532B">
        <w:rPr>
          <w:rFonts w:ascii="Arial" w:hAnsi="Arial" w:cs="Arial"/>
          <w:bCs/>
          <w:sz w:val="22"/>
          <w:szCs w:val="22"/>
          <w:lang w:val="fr-FR"/>
        </w:rPr>
        <w:t>’</w:t>
      </w:r>
      <w:r w:rsidRPr="00E17737">
        <w:rPr>
          <w:rFonts w:ascii="Arial" w:hAnsi="Arial" w:cs="Arial"/>
          <w:bCs/>
          <w:sz w:val="22"/>
          <w:szCs w:val="22"/>
          <w:lang w:val="fr-FR"/>
        </w:rPr>
        <w:t>Assemblée générale dans le domaine de la culture en général. Elle n</w:t>
      </w:r>
      <w:r w:rsidR="008E532B">
        <w:rPr>
          <w:rFonts w:ascii="Arial" w:hAnsi="Arial" w:cs="Arial"/>
          <w:bCs/>
          <w:sz w:val="22"/>
          <w:szCs w:val="22"/>
          <w:lang w:val="fr-FR"/>
        </w:rPr>
        <w:t>’</w:t>
      </w:r>
      <w:r w:rsidRPr="00E17737">
        <w:rPr>
          <w:rFonts w:ascii="Arial" w:hAnsi="Arial" w:cs="Arial"/>
          <w:bCs/>
          <w:sz w:val="22"/>
          <w:szCs w:val="22"/>
          <w:lang w:val="fr-FR"/>
        </w:rPr>
        <w:t xml:space="preserve">avait </w:t>
      </w:r>
      <w:r>
        <w:rPr>
          <w:rFonts w:ascii="Arial" w:hAnsi="Arial" w:cs="Arial"/>
          <w:bCs/>
          <w:sz w:val="22"/>
          <w:szCs w:val="22"/>
          <w:lang w:val="fr-FR"/>
        </w:rPr>
        <w:t>pas d</w:t>
      </w:r>
      <w:r w:rsidR="008E532B">
        <w:rPr>
          <w:rFonts w:ascii="Arial" w:hAnsi="Arial" w:cs="Arial"/>
          <w:bCs/>
          <w:sz w:val="22"/>
          <w:szCs w:val="22"/>
          <w:lang w:val="fr-FR"/>
        </w:rPr>
        <w:t>’</w:t>
      </w:r>
      <w:r w:rsidRPr="00E17737">
        <w:rPr>
          <w:rFonts w:ascii="Arial" w:hAnsi="Arial" w:cs="Arial"/>
          <w:bCs/>
          <w:sz w:val="22"/>
          <w:szCs w:val="22"/>
          <w:lang w:val="fr-FR"/>
        </w:rPr>
        <w:t>objection</w:t>
      </w:r>
      <w:r>
        <w:rPr>
          <w:rFonts w:ascii="Arial" w:hAnsi="Arial" w:cs="Arial"/>
          <w:bCs/>
          <w:sz w:val="22"/>
          <w:szCs w:val="22"/>
          <w:lang w:val="fr-FR"/>
        </w:rPr>
        <w:t>s</w:t>
      </w:r>
      <w:r w:rsidRPr="00E17737">
        <w:rPr>
          <w:rFonts w:ascii="Arial" w:hAnsi="Arial" w:cs="Arial"/>
          <w:bCs/>
          <w:sz w:val="22"/>
          <w:szCs w:val="22"/>
          <w:lang w:val="fr-FR"/>
        </w:rPr>
        <w:t xml:space="preserve"> aux amendements proposés. Toutefois, l</w:t>
      </w:r>
      <w:r w:rsidR="008E532B">
        <w:rPr>
          <w:rFonts w:ascii="Arial" w:hAnsi="Arial" w:cs="Arial"/>
          <w:bCs/>
          <w:sz w:val="22"/>
          <w:szCs w:val="22"/>
          <w:lang w:val="fr-FR"/>
        </w:rPr>
        <w:t>’</w:t>
      </w:r>
      <w:r w:rsidRPr="00E17737">
        <w:rPr>
          <w:rFonts w:ascii="Arial" w:hAnsi="Arial" w:cs="Arial"/>
          <w:bCs/>
          <w:sz w:val="22"/>
          <w:szCs w:val="22"/>
          <w:lang w:val="fr-FR"/>
        </w:rPr>
        <w:t>article 3.3 de l</w:t>
      </w:r>
      <w:r w:rsidR="008E532B">
        <w:rPr>
          <w:rFonts w:ascii="Arial" w:hAnsi="Arial" w:cs="Arial"/>
          <w:bCs/>
          <w:sz w:val="22"/>
          <w:szCs w:val="22"/>
          <w:lang w:val="fr-FR"/>
        </w:rPr>
        <w:t>’</w:t>
      </w:r>
      <w:r w:rsidRPr="00E17737">
        <w:rPr>
          <w:rFonts w:ascii="Arial" w:hAnsi="Arial" w:cs="Arial"/>
          <w:bCs/>
          <w:sz w:val="22"/>
          <w:szCs w:val="22"/>
          <w:lang w:val="fr-FR"/>
        </w:rPr>
        <w:t>annexe modifi</w:t>
      </w:r>
      <w:r>
        <w:rPr>
          <w:rFonts w:ascii="Arial" w:hAnsi="Arial" w:cs="Arial"/>
          <w:bCs/>
          <w:sz w:val="22"/>
          <w:szCs w:val="22"/>
          <w:lang w:val="fr-FR"/>
        </w:rPr>
        <w:t>ait</w:t>
      </w:r>
      <w:r w:rsidRPr="00E17737">
        <w:rPr>
          <w:rFonts w:ascii="Arial" w:hAnsi="Arial" w:cs="Arial"/>
          <w:bCs/>
          <w:sz w:val="22"/>
          <w:szCs w:val="22"/>
          <w:lang w:val="fr-FR"/>
        </w:rPr>
        <w:t xml:space="preserve"> sensiblement le sens de l</w:t>
      </w:r>
      <w:r w:rsidR="008E532B">
        <w:rPr>
          <w:rFonts w:ascii="Arial" w:hAnsi="Arial" w:cs="Arial"/>
          <w:bCs/>
          <w:sz w:val="22"/>
          <w:szCs w:val="22"/>
          <w:lang w:val="fr-FR"/>
        </w:rPr>
        <w:t>’</w:t>
      </w:r>
      <w:r w:rsidRPr="00E17737">
        <w:rPr>
          <w:rFonts w:ascii="Arial" w:hAnsi="Arial" w:cs="Arial"/>
          <w:bCs/>
          <w:sz w:val="22"/>
          <w:szCs w:val="22"/>
          <w:lang w:val="fr-FR"/>
        </w:rPr>
        <w:t>article tel qu</w:t>
      </w:r>
      <w:r w:rsidR="008E532B">
        <w:rPr>
          <w:rFonts w:ascii="Arial" w:hAnsi="Arial" w:cs="Arial"/>
          <w:bCs/>
          <w:sz w:val="22"/>
          <w:szCs w:val="22"/>
          <w:lang w:val="fr-FR"/>
        </w:rPr>
        <w:t>’</w:t>
      </w:r>
      <w:r w:rsidRPr="00E17737">
        <w:rPr>
          <w:rFonts w:ascii="Arial" w:hAnsi="Arial" w:cs="Arial"/>
          <w:bCs/>
          <w:sz w:val="22"/>
          <w:szCs w:val="22"/>
          <w:lang w:val="fr-FR"/>
        </w:rPr>
        <w:t>il se présent</w:t>
      </w:r>
      <w:r>
        <w:rPr>
          <w:rFonts w:ascii="Arial" w:hAnsi="Arial" w:cs="Arial"/>
          <w:bCs/>
          <w:sz w:val="22"/>
          <w:szCs w:val="22"/>
          <w:lang w:val="fr-FR"/>
        </w:rPr>
        <w:t>ait jusqu</w:t>
      </w:r>
      <w:r w:rsidR="008E532B">
        <w:rPr>
          <w:rFonts w:ascii="Arial" w:hAnsi="Arial" w:cs="Arial"/>
          <w:bCs/>
          <w:sz w:val="22"/>
          <w:szCs w:val="22"/>
          <w:lang w:val="fr-FR"/>
        </w:rPr>
        <w:t>’</w:t>
      </w:r>
      <w:r>
        <w:rPr>
          <w:rFonts w:ascii="Arial" w:hAnsi="Arial" w:cs="Arial"/>
          <w:bCs/>
          <w:sz w:val="22"/>
          <w:szCs w:val="22"/>
          <w:lang w:val="fr-FR"/>
        </w:rPr>
        <w:t>alors</w:t>
      </w:r>
      <w:r w:rsidRPr="00E17737">
        <w:rPr>
          <w:rFonts w:ascii="Arial" w:hAnsi="Arial" w:cs="Arial"/>
          <w:bCs/>
          <w:sz w:val="22"/>
          <w:szCs w:val="22"/>
          <w:lang w:val="fr-FR"/>
        </w:rPr>
        <w:t>, car l</w:t>
      </w:r>
      <w:r w:rsidR="008E532B">
        <w:rPr>
          <w:rFonts w:ascii="Arial" w:hAnsi="Arial" w:cs="Arial"/>
          <w:bCs/>
          <w:sz w:val="22"/>
          <w:szCs w:val="22"/>
          <w:lang w:val="fr-FR"/>
        </w:rPr>
        <w:t>’</w:t>
      </w:r>
      <w:r w:rsidRPr="00E17737">
        <w:rPr>
          <w:rFonts w:ascii="Arial" w:hAnsi="Arial" w:cs="Arial"/>
          <w:bCs/>
          <w:sz w:val="22"/>
          <w:szCs w:val="22"/>
          <w:lang w:val="fr-FR"/>
        </w:rPr>
        <w:t>article 3.3 de l</w:t>
      </w:r>
      <w:r w:rsidR="008E532B">
        <w:rPr>
          <w:rFonts w:ascii="Arial" w:hAnsi="Arial" w:cs="Arial"/>
          <w:bCs/>
          <w:sz w:val="22"/>
          <w:szCs w:val="22"/>
          <w:lang w:val="fr-FR"/>
        </w:rPr>
        <w:t>’</w:t>
      </w:r>
      <w:r w:rsidRPr="00E17737">
        <w:rPr>
          <w:rFonts w:ascii="Arial" w:hAnsi="Arial" w:cs="Arial"/>
          <w:bCs/>
          <w:sz w:val="22"/>
          <w:szCs w:val="22"/>
          <w:lang w:val="fr-FR"/>
        </w:rPr>
        <w:t>annexe stipul</w:t>
      </w:r>
      <w:r>
        <w:rPr>
          <w:rFonts w:ascii="Arial" w:hAnsi="Arial" w:cs="Arial"/>
          <w:bCs/>
          <w:sz w:val="22"/>
          <w:szCs w:val="22"/>
          <w:lang w:val="fr-FR"/>
        </w:rPr>
        <w:t>ait</w:t>
      </w:r>
      <w:r w:rsidRPr="00E17737">
        <w:rPr>
          <w:rFonts w:ascii="Arial" w:hAnsi="Arial" w:cs="Arial"/>
          <w:bCs/>
          <w:sz w:val="22"/>
          <w:szCs w:val="22"/>
          <w:lang w:val="fr-FR"/>
        </w:rPr>
        <w:t xml:space="preserve"> que </w:t>
      </w:r>
      <w:r>
        <w:rPr>
          <w:rFonts w:ascii="Arial" w:hAnsi="Arial" w:cs="Arial"/>
          <w:bCs/>
          <w:sz w:val="22"/>
          <w:szCs w:val="22"/>
          <w:lang w:val="fr-FR"/>
        </w:rPr>
        <w:t>« </w:t>
      </w:r>
      <w:r w:rsidRPr="00E17737">
        <w:rPr>
          <w:rFonts w:ascii="Arial" w:hAnsi="Arial" w:cs="Arial"/>
          <w:bCs/>
          <w:sz w:val="22"/>
          <w:szCs w:val="22"/>
          <w:lang w:val="fr-FR"/>
        </w:rPr>
        <w:t>Les représentants d</w:t>
      </w:r>
      <w:r w:rsidR="008E532B">
        <w:rPr>
          <w:rFonts w:ascii="Arial" w:hAnsi="Arial" w:cs="Arial"/>
          <w:bCs/>
          <w:sz w:val="22"/>
          <w:szCs w:val="22"/>
          <w:lang w:val="fr-FR"/>
        </w:rPr>
        <w:t>’</w:t>
      </w:r>
      <w:r w:rsidRPr="00E17737">
        <w:rPr>
          <w:rFonts w:ascii="Arial" w:hAnsi="Arial" w:cs="Arial"/>
          <w:bCs/>
          <w:sz w:val="22"/>
          <w:szCs w:val="22"/>
          <w:lang w:val="fr-FR"/>
        </w:rPr>
        <w:t xml:space="preserve">autres organisations intergouvernementales </w:t>
      </w:r>
      <w:r>
        <w:rPr>
          <w:rFonts w:ascii="Arial" w:hAnsi="Arial" w:cs="Arial"/>
          <w:bCs/>
          <w:sz w:val="22"/>
          <w:szCs w:val="22"/>
          <w:lang w:val="fr-FR"/>
        </w:rPr>
        <w:t>ou</w:t>
      </w:r>
      <w:r w:rsidRPr="00E17737">
        <w:rPr>
          <w:rFonts w:ascii="Arial" w:hAnsi="Arial" w:cs="Arial"/>
          <w:bCs/>
          <w:sz w:val="22"/>
          <w:szCs w:val="22"/>
          <w:lang w:val="fr-FR"/>
        </w:rPr>
        <w:t xml:space="preserve"> non gouvernementales, ainsi que d</w:t>
      </w:r>
      <w:r w:rsidR="008E532B">
        <w:rPr>
          <w:rFonts w:ascii="Arial" w:hAnsi="Arial" w:cs="Arial"/>
          <w:bCs/>
          <w:sz w:val="22"/>
          <w:szCs w:val="22"/>
          <w:lang w:val="fr-FR"/>
        </w:rPr>
        <w:t>’</w:t>
      </w:r>
      <w:r w:rsidRPr="00E17737">
        <w:rPr>
          <w:rFonts w:ascii="Arial" w:hAnsi="Arial" w:cs="Arial"/>
          <w:bCs/>
          <w:sz w:val="22"/>
          <w:szCs w:val="22"/>
          <w:lang w:val="fr-FR"/>
        </w:rPr>
        <w:t>autres représentants ou observateurs, invités par le</w:t>
      </w:r>
      <w:r>
        <w:rPr>
          <w:rFonts w:ascii="Arial" w:hAnsi="Arial" w:cs="Arial"/>
          <w:bCs/>
          <w:sz w:val="22"/>
          <w:szCs w:val="22"/>
          <w:lang w:val="fr-FR"/>
        </w:rPr>
        <w:t>/la</w:t>
      </w:r>
      <w:r w:rsidRPr="00E17737">
        <w:rPr>
          <w:rFonts w:ascii="Arial" w:hAnsi="Arial" w:cs="Arial"/>
          <w:bCs/>
          <w:sz w:val="22"/>
          <w:szCs w:val="22"/>
          <w:lang w:val="fr-FR"/>
        </w:rPr>
        <w:t xml:space="preserve"> Directeur</w:t>
      </w:r>
      <w:r>
        <w:rPr>
          <w:rFonts w:ascii="Arial" w:hAnsi="Arial" w:cs="Arial"/>
          <w:bCs/>
          <w:sz w:val="22"/>
          <w:szCs w:val="22"/>
          <w:lang w:val="fr-FR"/>
        </w:rPr>
        <w:t>/Directrice</w:t>
      </w:r>
      <w:r w:rsidRPr="00E17737">
        <w:rPr>
          <w:rFonts w:ascii="Arial" w:hAnsi="Arial" w:cs="Arial"/>
          <w:bCs/>
          <w:sz w:val="22"/>
          <w:szCs w:val="22"/>
          <w:lang w:val="fr-FR"/>
        </w:rPr>
        <w:t xml:space="preserve"> général</w:t>
      </w:r>
      <w:r>
        <w:rPr>
          <w:rFonts w:ascii="Arial" w:hAnsi="Arial" w:cs="Arial"/>
          <w:bCs/>
          <w:sz w:val="22"/>
          <w:szCs w:val="22"/>
          <w:lang w:val="fr-FR"/>
        </w:rPr>
        <w:t>(e)</w:t>
      </w:r>
      <w:r w:rsidRPr="00E17737">
        <w:rPr>
          <w:rFonts w:ascii="Arial" w:hAnsi="Arial" w:cs="Arial"/>
          <w:bCs/>
          <w:sz w:val="22"/>
          <w:szCs w:val="22"/>
          <w:lang w:val="fr-FR"/>
        </w:rPr>
        <w:t>, peuvent participer aux travaux de l</w:t>
      </w:r>
      <w:r w:rsidR="008E532B">
        <w:rPr>
          <w:rFonts w:ascii="Arial" w:hAnsi="Arial" w:cs="Arial"/>
          <w:bCs/>
          <w:sz w:val="22"/>
          <w:szCs w:val="22"/>
          <w:lang w:val="fr-FR"/>
        </w:rPr>
        <w:t>’</w:t>
      </w:r>
      <w:r w:rsidRPr="00E17737">
        <w:rPr>
          <w:rFonts w:ascii="Arial" w:hAnsi="Arial" w:cs="Arial"/>
          <w:bCs/>
          <w:sz w:val="22"/>
          <w:szCs w:val="22"/>
          <w:lang w:val="fr-FR"/>
        </w:rPr>
        <w:t>Assemblée en qualité d</w:t>
      </w:r>
      <w:r w:rsidR="008E532B">
        <w:rPr>
          <w:rFonts w:ascii="Arial" w:hAnsi="Arial" w:cs="Arial"/>
          <w:bCs/>
          <w:sz w:val="22"/>
          <w:szCs w:val="22"/>
          <w:lang w:val="fr-FR"/>
        </w:rPr>
        <w:t>’</w:t>
      </w:r>
      <w:r w:rsidRPr="00E17737">
        <w:rPr>
          <w:rFonts w:ascii="Arial" w:hAnsi="Arial" w:cs="Arial"/>
          <w:bCs/>
          <w:sz w:val="22"/>
          <w:szCs w:val="22"/>
          <w:lang w:val="fr-FR"/>
        </w:rPr>
        <w:t>observateurs sans droit de vote et sous réserve de l</w:t>
      </w:r>
      <w:r w:rsidR="008E532B">
        <w:rPr>
          <w:rFonts w:ascii="Arial" w:hAnsi="Arial" w:cs="Arial"/>
          <w:bCs/>
          <w:sz w:val="22"/>
          <w:szCs w:val="22"/>
          <w:lang w:val="fr-FR"/>
        </w:rPr>
        <w:t>’</w:t>
      </w:r>
      <w:r w:rsidRPr="00E17737">
        <w:rPr>
          <w:rFonts w:ascii="Arial" w:hAnsi="Arial" w:cs="Arial"/>
          <w:bCs/>
          <w:sz w:val="22"/>
          <w:szCs w:val="22"/>
          <w:lang w:val="fr-FR"/>
        </w:rPr>
        <w:t>article 16.3</w:t>
      </w:r>
      <w:r>
        <w:rPr>
          <w:rFonts w:ascii="Arial" w:hAnsi="Arial" w:cs="Arial"/>
          <w:bCs/>
          <w:sz w:val="22"/>
          <w:szCs w:val="22"/>
          <w:lang w:val="fr-FR"/>
        </w:rPr>
        <w:t> »</w:t>
      </w:r>
      <w:r w:rsidRPr="00E17737">
        <w:rPr>
          <w:rFonts w:ascii="Arial" w:hAnsi="Arial" w:cs="Arial"/>
          <w:bCs/>
          <w:sz w:val="22"/>
          <w:szCs w:val="22"/>
          <w:lang w:val="fr-FR"/>
        </w:rPr>
        <w:t>. Étant donné que ce nouvel article modifi</w:t>
      </w:r>
      <w:r>
        <w:rPr>
          <w:rFonts w:ascii="Arial" w:hAnsi="Arial" w:cs="Arial"/>
          <w:bCs/>
          <w:sz w:val="22"/>
          <w:szCs w:val="22"/>
          <w:lang w:val="fr-FR"/>
        </w:rPr>
        <w:t>ait</w:t>
      </w:r>
      <w:r w:rsidRPr="00E17737">
        <w:rPr>
          <w:rFonts w:ascii="Arial" w:hAnsi="Arial" w:cs="Arial"/>
          <w:bCs/>
          <w:sz w:val="22"/>
          <w:szCs w:val="22"/>
          <w:lang w:val="fr-FR"/>
        </w:rPr>
        <w:t xml:space="preserve"> profondément l</w:t>
      </w:r>
      <w:r w:rsidR="008E532B">
        <w:rPr>
          <w:rFonts w:ascii="Arial" w:hAnsi="Arial" w:cs="Arial"/>
          <w:bCs/>
          <w:sz w:val="22"/>
          <w:szCs w:val="22"/>
          <w:lang w:val="fr-FR"/>
        </w:rPr>
        <w:t>’</w:t>
      </w:r>
      <w:r w:rsidRPr="00E17737">
        <w:rPr>
          <w:rFonts w:ascii="Arial" w:hAnsi="Arial" w:cs="Arial"/>
          <w:bCs/>
          <w:sz w:val="22"/>
          <w:szCs w:val="22"/>
          <w:lang w:val="fr-FR"/>
        </w:rPr>
        <w:t>orientation de l</w:t>
      </w:r>
      <w:r w:rsidR="008E532B">
        <w:rPr>
          <w:rFonts w:ascii="Arial" w:hAnsi="Arial" w:cs="Arial"/>
          <w:bCs/>
          <w:sz w:val="22"/>
          <w:szCs w:val="22"/>
          <w:lang w:val="fr-FR"/>
        </w:rPr>
        <w:t>’</w:t>
      </w:r>
      <w:r w:rsidRPr="00E17737">
        <w:rPr>
          <w:rFonts w:ascii="Arial" w:hAnsi="Arial" w:cs="Arial"/>
          <w:bCs/>
          <w:sz w:val="22"/>
          <w:szCs w:val="22"/>
          <w:lang w:val="fr-FR"/>
        </w:rPr>
        <w:t>article tel qu</w:t>
      </w:r>
      <w:r w:rsidR="008E532B">
        <w:rPr>
          <w:rFonts w:ascii="Arial" w:hAnsi="Arial" w:cs="Arial"/>
          <w:bCs/>
          <w:sz w:val="22"/>
          <w:szCs w:val="22"/>
          <w:lang w:val="fr-FR"/>
        </w:rPr>
        <w:t>’</w:t>
      </w:r>
      <w:r w:rsidRPr="00E17737">
        <w:rPr>
          <w:rFonts w:ascii="Arial" w:hAnsi="Arial" w:cs="Arial"/>
          <w:bCs/>
          <w:sz w:val="22"/>
          <w:szCs w:val="22"/>
          <w:lang w:val="fr-FR"/>
        </w:rPr>
        <w:t>il se présent</w:t>
      </w:r>
      <w:r>
        <w:rPr>
          <w:rFonts w:ascii="Arial" w:hAnsi="Arial" w:cs="Arial"/>
          <w:bCs/>
          <w:sz w:val="22"/>
          <w:szCs w:val="22"/>
          <w:lang w:val="fr-FR"/>
        </w:rPr>
        <w:t>ait jusqu</w:t>
      </w:r>
      <w:r w:rsidR="008E532B">
        <w:rPr>
          <w:rFonts w:ascii="Arial" w:hAnsi="Arial" w:cs="Arial"/>
          <w:bCs/>
          <w:sz w:val="22"/>
          <w:szCs w:val="22"/>
          <w:lang w:val="fr-FR"/>
        </w:rPr>
        <w:t>’</w:t>
      </w:r>
      <w:r>
        <w:rPr>
          <w:rFonts w:ascii="Arial" w:hAnsi="Arial" w:cs="Arial"/>
          <w:bCs/>
          <w:sz w:val="22"/>
          <w:szCs w:val="22"/>
          <w:lang w:val="fr-FR"/>
        </w:rPr>
        <w:t>alors</w:t>
      </w:r>
      <w:r w:rsidRPr="00E17737">
        <w:rPr>
          <w:rFonts w:ascii="Arial" w:hAnsi="Arial" w:cs="Arial"/>
          <w:bCs/>
          <w:sz w:val="22"/>
          <w:szCs w:val="22"/>
          <w:lang w:val="fr-FR"/>
        </w:rPr>
        <w:t xml:space="preserve">, la délégation </w:t>
      </w:r>
      <w:r>
        <w:rPr>
          <w:rFonts w:ascii="Arial" w:hAnsi="Arial" w:cs="Arial"/>
          <w:bCs/>
          <w:sz w:val="22"/>
          <w:szCs w:val="22"/>
          <w:lang w:val="fr-FR"/>
        </w:rPr>
        <w:t xml:space="preserve">a </w:t>
      </w:r>
      <w:r w:rsidRPr="00E17737">
        <w:rPr>
          <w:rFonts w:ascii="Arial" w:hAnsi="Arial" w:cs="Arial"/>
          <w:bCs/>
          <w:sz w:val="22"/>
          <w:szCs w:val="22"/>
          <w:lang w:val="fr-FR"/>
        </w:rPr>
        <w:t>demand</w:t>
      </w:r>
      <w:r>
        <w:rPr>
          <w:rFonts w:ascii="Arial" w:hAnsi="Arial" w:cs="Arial"/>
          <w:bCs/>
          <w:sz w:val="22"/>
          <w:szCs w:val="22"/>
          <w:lang w:val="fr-FR"/>
        </w:rPr>
        <w:t>é</w:t>
      </w:r>
      <w:r w:rsidRPr="00E17737">
        <w:rPr>
          <w:rFonts w:ascii="Arial" w:hAnsi="Arial" w:cs="Arial"/>
          <w:bCs/>
          <w:sz w:val="22"/>
          <w:szCs w:val="22"/>
          <w:lang w:val="fr-FR"/>
        </w:rPr>
        <w:t xml:space="preserve"> que l</w:t>
      </w:r>
      <w:r w:rsidR="008E532B">
        <w:rPr>
          <w:rFonts w:ascii="Arial" w:hAnsi="Arial" w:cs="Arial"/>
          <w:bCs/>
          <w:sz w:val="22"/>
          <w:szCs w:val="22"/>
          <w:lang w:val="fr-FR"/>
        </w:rPr>
        <w:t>’</w:t>
      </w:r>
      <w:r w:rsidRPr="00E17737">
        <w:rPr>
          <w:rFonts w:ascii="Arial" w:hAnsi="Arial" w:cs="Arial"/>
          <w:bCs/>
          <w:sz w:val="22"/>
          <w:szCs w:val="22"/>
          <w:lang w:val="fr-FR"/>
        </w:rPr>
        <w:t>article 3.3 soit rédigé conformément au libellé de l</w:t>
      </w:r>
      <w:r w:rsidR="008E532B">
        <w:rPr>
          <w:rFonts w:ascii="Arial" w:hAnsi="Arial" w:cs="Arial"/>
          <w:bCs/>
          <w:sz w:val="22"/>
          <w:szCs w:val="22"/>
          <w:lang w:val="fr-FR"/>
        </w:rPr>
        <w:t>’</w:t>
      </w:r>
      <w:r w:rsidRPr="00E17737">
        <w:rPr>
          <w:rFonts w:ascii="Arial" w:hAnsi="Arial" w:cs="Arial"/>
          <w:bCs/>
          <w:sz w:val="22"/>
          <w:szCs w:val="22"/>
          <w:lang w:val="fr-FR"/>
        </w:rPr>
        <w:t>article 2.2 du Règlement intérieur actuel, en ce sens que les observateurs invités par</w:t>
      </w:r>
      <w:r>
        <w:rPr>
          <w:rFonts w:ascii="Arial" w:hAnsi="Arial" w:cs="Arial"/>
          <w:bCs/>
          <w:sz w:val="22"/>
          <w:szCs w:val="22"/>
          <w:lang w:val="fr-FR"/>
        </w:rPr>
        <w:t xml:space="preserve"> </w:t>
      </w:r>
      <w:r w:rsidRPr="00E17737">
        <w:rPr>
          <w:rFonts w:ascii="Arial" w:hAnsi="Arial" w:cs="Arial"/>
          <w:bCs/>
          <w:sz w:val="22"/>
          <w:szCs w:val="22"/>
          <w:lang w:val="fr-FR"/>
        </w:rPr>
        <w:t>le</w:t>
      </w:r>
      <w:r>
        <w:rPr>
          <w:rFonts w:ascii="Arial" w:hAnsi="Arial" w:cs="Arial"/>
          <w:bCs/>
          <w:sz w:val="22"/>
          <w:szCs w:val="22"/>
          <w:lang w:val="fr-FR"/>
        </w:rPr>
        <w:t>/la</w:t>
      </w:r>
      <w:r w:rsidRPr="00E17737">
        <w:rPr>
          <w:rFonts w:ascii="Arial" w:hAnsi="Arial" w:cs="Arial"/>
          <w:bCs/>
          <w:sz w:val="22"/>
          <w:szCs w:val="22"/>
          <w:lang w:val="fr-FR"/>
        </w:rPr>
        <w:t xml:space="preserve"> Directeur</w:t>
      </w:r>
      <w:r>
        <w:rPr>
          <w:rFonts w:ascii="Arial" w:hAnsi="Arial" w:cs="Arial"/>
          <w:bCs/>
          <w:sz w:val="22"/>
          <w:szCs w:val="22"/>
          <w:lang w:val="fr-FR"/>
        </w:rPr>
        <w:t>/Directrice</w:t>
      </w:r>
      <w:r w:rsidRPr="00E17737">
        <w:rPr>
          <w:rFonts w:ascii="Arial" w:hAnsi="Arial" w:cs="Arial"/>
          <w:bCs/>
          <w:sz w:val="22"/>
          <w:szCs w:val="22"/>
          <w:lang w:val="fr-FR"/>
        </w:rPr>
        <w:t xml:space="preserve"> général</w:t>
      </w:r>
      <w:r>
        <w:rPr>
          <w:rFonts w:ascii="Arial" w:hAnsi="Arial" w:cs="Arial"/>
          <w:bCs/>
          <w:sz w:val="22"/>
          <w:szCs w:val="22"/>
          <w:lang w:val="fr-FR"/>
        </w:rPr>
        <w:t xml:space="preserve">(e) </w:t>
      </w:r>
      <w:r w:rsidRPr="00E17737">
        <w:rPr>
          <w:rFonts w:ascii="Arial" w:hAnsi="Arial" w:cs="Arial"/>
          <w:bCs/>
          <w:sz w:val="22"/>
          <w:szCs w:val="22"/>
          <w:lang w:val="fr-FR"/>
        </w:rPr>
        <w:t>peuvent participer aux travaux de l</w:t>
      </w:r>
      <w:r w:rsidR="008E532B">
        <w:rPr>
          <w:rFonts w:ascii="Arial" w:hAnsi="Arial" w:cs="Arial"/>
          <w:bCs/>
          <w:sz w:val="22"/>
          <w:szCs w:val="22"/>
          <w:lang w:val="fr-FR"/>
        </w:rPr>
        <w:t>’</w:t>
      </w:r>
      <w:r w:rsidRPr="00E17737">
        <w:rPr>
          <w:rFonts w:ascii="Arial" w:hAnsi="Arial" w:cs="Arial"/>
          <w:bCs/>
          <w:sz w:val="22"/>
          <w:szCs w:val="22"/>
          <w:lang w:val="fr-FR"/>
        </w:rPr>
        <w:t>Assemblée générale sous réserve des dispositions de l</w:t>
      </w:r>
      <w:r w:rsidR="008E532B">
        <w:rPr>
          <w:rFonts w:ascii="Arial" w:hAnsi="Arial" w:cs="Arial"/>
          <w:bCs/>
          <w:sz w:val="22"/>
          <w:szCs w:val="22"/>
          <w:lang w:val="fr-FR"/>
        </w:rPr>
        <w:t>’</w:t>
      </w:r>
      <w:r w:rsidRPr="00E17737">
        <w:rPr>
          <w:rFonts w:ascii="Arial" w:hAnsi="Arial" w:cs="Arial"/>
          <w:bCs/>
          <w:sz w:val="22"/>
          <w:szCs w:val="22"/>
          <w:lang w:val="fr-FR"/>
        </w:rPr>
        <w:t>article 7.3 du Règlement intérieur actuel.</w:t>
      </w:r>
    </w:p>
    <w:p w14:paraId="7B5B562F" w14:textId="302EBAB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17737">
        <w:rPr>
          <w:rFonts w:ascii="Arial" w:hAnsi="Arial" w:cs="Arial"/>
          <w:bCs/>
          <w:sz w:val="22"/>
          <w:szCs w:val="22"/>
          <w:lang w:val="fr-FR"/>
        </w:rPr>
        <w:t xml:space="preserve">La délégation </w:t>
      </w:r>
      <w:r>
        <w:rPr>
          <w:rFonts w:ascii="Arial" w:hAnsi="Arial" w:cs="Arial"/>
          <w:bCs/>
          <w:sz w:val="22"/>
          <w:szCs w:val="22"/>
          <w:lang w:val="fr-FR"/>
        </w:rPr>
        <w:t xml:space="preserve">de la </w:t>
      </w:r>
      <w:r w:rsidRPr="00E17737">
        <w:rPr>
          <w:rFonts w:ascii="Arial" w:hAnsi="Arial" w:cs="Arial"/>
          <w:b/>
          <w:sz w:val="22"/>
          <w:szCs w:val="22"/>
          <w:lang w:val="fr-FR"/>
        </w:rPr>
        <w:t>France</w:t>
      </w:r>
      <w:r>
        <w:rPr>
          <w:rFonts w:ascii="Arial" w:hAnsi="Arial" w:cs="Arial"/>
          <w:bCs/>
          <w:sz w:val="22"/>
          <w:szCs w:val="22"/>
          <w:lang w:val="fr-FR"/>
        </w:rPr>
        <w:t xml:space="preserve"> </w:t>
      </w:r>
      <w:r w:rsidRPr="00E17737">
        <w:rPr>
          <w:rFonts w:ascii="Arial" w:hAnsi="Arial" w:cs="Arial"/>
          <w:bCs/>
          <w:sz w:val="22"/>
          <w:szCs w:val="22"/>
          <w:lang w:val="fr-FR"/>
        </w:rPr>
        <w:t>a fait remarquer que les révisions proposées au Règlement intérieur de l</w:t>
      </w:r>
      <w:r w:rsidR="008E532B">
        <w:rPr>
          <w:rFonts w:ascii="Arial" w:hAnsi="Arial" w:cs="Arial"/>
          <w:bCs/>
          <w:sz w:val="22"/>
          <w:szCs w:val="22"/>
          <w:lang w:val="fr-FR"/>
        </w:rPr>
        <w:t>’</w:t>
      </w:r>
      <w:r w:rsidRPr="00E17737">
        <w:rPr>
          <w:rFonts w:ascii="Arial" w:hAnsi="Arial" w:cs="Arial"/>
          <w:bCs/>
          <w:sz w:val="22"/>
          <w:szCs w:val="22"/>
          <w:lang w:val="fr-FR"/>
        </w:rPr>
        <w:t xml:space="preserve">Assemblée générale </w:t>
      </w:r>
      <w:r>
        <w:rPr>
          <w:rFonts w:ascii="Arial" w:hAnsi="Arial" w:cs="Arial"/>
          <w:bCs/>
          <w:sz w:val="22"/>
          <w:szCs w:val="22"/>
          <w:lang w:val="fr-FR"/>
        </w:rPr>
        <w:t>étaient</w:t>
      </w:r>
      <w:r w:rsidRPr="00E17737">
        <w:rPr>
          <w:rFonts w:ascii="Arial" w:hAnsi="Arial" w:cs="Arial"/>
          <w:bCs/>
          <w:sz w:val="22"/>
          <w:szCs w:val="22"/>
          <w:lang w:val="fr-FR"/>
        </w:rPr>
        <w:t xml:space="preserve"> globalement positives dans la mesure où elles rend</w:t>
      </w:r>
      <w:r>
        <w:rPr>
          <w:rFonts w:ascii="Arial" w:hAnsi="Arial" w:cs="Arial"/>
          <w:bCs/>
          <w:sz w:val="22"/>
          <w:szCs w:val="22"/>
          <w:lang w:val="fr-FR"/>
        </w:rPr>
        <w:t>ai</w:t>
      </w:r>
      <w:r w:rsidRPr="00E17737">
        <w:rPr>
          <w:rFonts w:ascii="Arial" w:hAnsi="Arial" w:cs="Arial"/>
          <w:bCs/>
          <w:sz w:val="22"/>
          <w:szCs w:val="22"/>
          <w:lang w:val="fr-FR"/>
        </w:rPr>
        <w:t>ent le Règlement plus précis, comme cela a</w:t>
      </w:r>
      <w:r>
        <w:rPr>
          <w:rFonts w:ascii="Arial" w:hAnsi="Arial" w:cs="Arial"/>
          <w:bCs/>
          <w:sz w:val="22"/>
          <w:szCs w:val="22"/>
          <w:lang w:val="fr-FR"/>
        </w:rPr>
        <w:t>vait</w:t>
      </w:r>
      <w:r w:rsidRPr="00E17737">
        <w:rPr>
          <w:rFonts w:ascii="Arial" w:hAnsi="Arial" w:cs="Arial"/>
          <w:bCs/>
          <w:sz w:val="22"/>
          <w:szCs w:val="22"/>
          <w:lang w:val="fr-FR"/>
        </w:rPr>
        <w:t xml:space="preserve"> été </w:t>
      </w:r>
      <w:r>
        <w:rPr>
          <w:rFonts w:ascii="Arial" w:hAnsi="Arial" w:cs="Arial"/>
          <w:bCs/>
          <w:sz w:val="22"/>
          <w:szCs w:val="22"/>
          <w:lang w:val="fr-FR"/>
        </w:rPr>
        <w:t xml:space="preserve">évoqué </w:t>
      </w:r>
      <w:r w:rsidRPr="00E17737">
        <w:rPr>
          <w:rFonts w:ascii="Arial" w:hAnsi="Arial" w:cs="Arial"/>
          <w:bCs/>
          <w:sz w:val="22"/>
          <w:szCs w:val="22"/>
          <w:lang w:val="fr-FR"/>
        </w:rPr>
        <w:t xml:space="preserve">précédemment </w:t>
      </w:r>
      <w:r>
        <w:rPr>
          <w:rFonts w:ascii="Arial" w:hAnsi="Arial" w:cs="Arial"/>
          <w:bCs/>
          <w:sz w:val="22"/>
          <w:szCs w:val="22"/>
          <w:lang w:val="fr-FR"/>
        </w:rPr>
        <w:t>à propos de</w:t>
      </w:r>
      <w:r w:rsidRPr="00E17737">
        <w:rPr>
          <w:rFonts w:ascii="Arial" w:hAnsi="Arial" w:cs="Arial"/>
          <w:bCs/>
          <w:sz w:val="22"/>
          <w:szCs w:val="22"/>
          <w:lang w:val="fr-FR"/>
        </w:rPr>
        <w:t xml:space="preserve"> la nécessité d</w:t>
      </w:r>
      <w:r w:rsidR="008E532B">
        <w:rPr>
          <w:rFonts w:ascii="Arial" w:hAnsi="Arial" w:cs="Arial"/>
          <w:bCs/>
          <w:sz w:val="22"/>
          <w:szCs w:val="22"/>
          <w:lang w:val="fr-FR"/>
        </w:rPr>
        <w:t>’</w:t>
      </w:r>
      <w:r w:rsidRPr="00E17737">
        <w:rPr>
          <w:rFonts w:ascii="Arial" w:hAnsi="Arial" w:cs="Arial"/>
          <w:bCs/>
          <w:sz w:val="22"/>
          <w:szCs w:val="22"/>
          <w:lang w:val="fr-FR"/>
        </w:rPr>
        <w:t xml:space="preserve">avoir </w:t>
      </w:r>
      <w:r>
        <w:rPr>
          <w:rFonts w:ascii="Arial" w:hAnsi="Arial" w:cs="Arial"/>
          <w:bCs/>
          <w:sz w:val="22"/>
          <w:szCs w:val="22"/>
          <w:lang w:val="fr-FR"/>
        </w:rPr>
        <w:t>des procédures plus précises</w:t>
      </w:r>
      <w:r w:rsidRPr="00E17737">
        <w:rPr>
          <w:rFonts w:ascii="Arial" w:hAnsi="Arial" w:cs="Arial"/>
          <w:bCs/>
          <w:sz w:val="22"/>
          <w:szCs w:val="22"/>
          <w:lang w:val="fr-FR"/>
        </w:rPr>
        <w:t xml:space="preserve">. Cependant, le point relatif à la convocation des réunions tenues à distance devrait être complété afin de garantir que le vote ne puisse se </w:t>
      </w:r>
      <w:r>
        <w:rPr>
          <w:rFonts w:ascii="Arial" w:hAnsi="Arial" w:cs="Arial"/>
          <w:bCs/>
          <w:sz w:val="22"/>
          <w:szCs w:val="22"/>
          <w:lang w:val="fr-FR"/>
        </w:rPr>
        <w:t>tenir</w:t>
      </w:r>
      <w:r w:rsidRPr="00E17737">
        <w:rPr>
          <w:rFonts w:ascii="Arial" w:hAnsi="Arial" w:cs="Arial"/>
          <w:bCs/>
          <w:sz w:val="22"/>
          <w:szCs w:val="22"/>
          <w:lang w:val="fr-FR"/>
        </w:rPr>
        <w:t xml:space="preserve"> en ligne. Comme mentionné lors de la réunion d</w:t>
      </w:r>
      <w:r w:rsidR="008E532B">
        <w:rPr>
          <w:rFonts w:ascii="Arial" w:hAnsi="Arial" w:cs="Arial"/>
          <w:bCs/>
          <w:sz w:val="22"/>
          <w:szCs w:val="22"/>
          <w:lang w:val="fr-FR"/>
        </w:rPr>
        <w:t>’</w:t>
      </w:r>
      <w:r w:rsidRPr="00E17737">
        <w:rPr>
          <w:rFonts w:ascii="Arial" w:hAnsi="Arial" w:cs="Arial"/>
          <w:bCs/>
          <w:sz w:val="22"/>
          <w:szCs w:val="22"/>
          <w:lang w:val="fr-FR"/>
        </w:rPr>
        <w:t>information, il devrait y avoir une disposition concernant les votes et les m</w:t>
      </w:r>
      <w:r>
        <w:rPr>
          <w:rFonts w:ascii="Arial" w:hAnsi="Arial" w:cs="Arial"/>
          <w:bCs/>
          <w:sz w:val="22"/>
          <w:szCs w:val="22"/>
          <w:lang w:val="fr-FR"/>
        </w:rPr>
        <w:t>odalités</w:t>
      </w:r>
      <w:r w:rsidRPr="00E17737">
        <w:rPr>
          <w:rFonts w:ascii="Arial" w:hAnsi="Arial" w:cs="Arial"/>
          <w:bCs/>
          <w:sz w:val="22"/>
          <w:szCs w:val="22"/>
          <w:lang w:val="fr-FR"/>
        </w:rPr>
        <w:t xml:space="preserve"> de vote.</w:t>
      </w:r>
    </w:p>
    <w:p w14:paraId="7A06520A" w14:textId="59A1607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C1A2D">
        <w:rPr>
          <w:rFonts w:ascii="Arial" w:hAnsi="Arial" w:cs="Arial"/>
          <w:bCs/>
          <w:sz w:val="22"/>
          <w:szCs w:val="22"/>
          <w:lang w:val="fr-FR"/>
        </w:rPr>
        <w:t>La délégation d</w:t>
      </w:r>
      <w:r>
        <w:rPr>
          <w:rFonts w:ascii="Arial" w:hAnsi="Arial" w:cs="Arial"/>
          <w:bCs/>
          <w:sz w:val="22"/>
          <w:szCs w:val="22"/>
          <w:lang w:val="fr-FR"/>
        </w:rPr>
        <w:t xml:space="preserve">e la </w:t>
      </w:r>
      <w:r w:rsidRPr="006D154E">
        <w:rPr>
          <w:rFonts w:ascii="Arial" w:hAnsi="Arial" w:cs="Arial"/>
          <w:b/>
          <w:sz w:val="22"/>
          <w:szCs w:val="22"/>
          <w:lang w:val="fr-FR"/>
        </w:rPr>
        <w:t>République bolivarienne du Venezuela</w:t>
      </w:r>
      <w:r w:rsidRPr="003C1A2D">
        <w:rPr>
          <w:rFonts w:ascii="Arial" w:hAnsi="Arial" w:cs="Arial"/>
          <w:bCs/>
          <w:sz w:val="22"/>
          <w:szCs w:val="22"/>
          <w:lang w:val="fr-FR"/>
        </w:rPr>
        <w:t xml:space="preserve"> souten</w:t>
      </w:r>
      <w:r>
        <w:rPr>
          <w:rFonts w:ascii="Arial" w:hAnsi="Arial" w:cs="Arial"/>
          <w:bCs/>
          <w:sz w:val="22"/>
          <w:szCs w:val="22"/>
          <w:lang w:val="fr-FR"/>
        </w:rPr>
        <w:t>ait</w:t>
      </w:r>
      <w:r w:rsidRPr="003C1A2D">
        <w:rPr>
          <w:rFonts w:ascii="Arial" w:hAnsi="Arial" w:cs="Arial"/>
          <w:bCs/>
          <w:sz w:val="22"/>
          <w:szCs w:val="22"/>
          <w:lang w:val="fr-FR"/>
        </w:rPr>
        <w:t xml:space="preserve"> le point de vue de la Chine concernant l</w:t>
      </w:r>
      <w:r w:rsidR="008E532B">
        <w:rPr>
          <w:rFonts w:ascii="Arial" w:hAnsi="Arial" w:cs="Arial"/>
          <w:bCs/>
          <w:sz w:val="22"/>
          <w:szCs w:val="22"/>
          <w:lang w:val="fr-FR"/>
        </w:rPr>
        <w:t>’</w:t>
      </w:r>
      <w:r w:rsidRPr="003C1A2D">
        <w:rPr>
          <w:rFonts w:ascii="Arial" w:hAnsi="Arial" w:cs="Arial"/>
          <w:bCs/>
          <w:sz w:val="22"/>
          <w:szCs w:val="22"/>
          <w:lang w:val="fr-FR"/>
        </w:rPr>
        <w:t>invitation d</w:t>
      </w:r>
      <w:r w:rsidR="008E532B">
        <w:rPr>
          <w:rFonts w:ascii="Arial" w:hAnsi="Arial" w:cs="Arial"/>
          <w:bCs/>
          <w:sz w:val="22"/>
          <w:szCs w:val="22"/>
          <w:lang w:val="fr-FR"/>
        </w:rPr>
        <w:t>’</w:t>
      </w:r>
      <w:r w:rsidRPr="003C1A2D">
        <w:rPr>
          <w:rFonts w:ascii="Arial" w:hAnsi="Arial" w:cs="Arial"/>
          <w:bCs/>
          <w:sz w:val="22"/>
          <w:szCs w:val="22"/>
          <w:lang w:val="fr-FR"/>
        </w:rPr>
        <w:t>observateurs aux sessions du Comité. Après avoir lu les révisions et écouté les commentaires de la France, elle préfé</w:t>
      </w:r>
      <w:r>
        <w:rPr>
          <w:rFonts w:ascii="Arial" w:hAnsi="Arial" w:cs="Arial"/>
          <w:bCs/>
          <w:sz w:val="22"/>
          <w:szCs w:val="22"/>
          <w:lang w:val="fr-FR"/>
        </w:rPr>
        <w:t>rait</w:t>
      </w:r>
      <w:r w:rsidRPr="003C1A2D">
        <w:rPr>
          <w:rFonts w:ascii="Arial" w:hAnsi="Arial" w:cs="Arial"/>
          <w:bCs/>
          <w:sz w:val="22"/>
          <w:szCs w:val="22"/>
          <w:lang w:val="fr-FR"/>
        </w:rPr>
        <w:t xml:space="preserve"> maintenir la formulation actuelle selon laquelle les réunions doivent se tenir en personne. Cela était également en accord avec le reste de l</w:t>
      </w:r>
      <w:r w:rsidR="008E532B">
        <w:rPr>
          <w:rFonts w:ascii="Arial" w:hAnsi="Arial" w:cs="Arial"/>
          <w:bCs/>
          <w:sz w:val="22"/>
          <w:szCs w:val="22"/>
          <w:lang w:val="fr-FR"/>
        </w:rPr>
        <w:t>’</w:t>
      </w:r>
      <w:r w:rsidRPr="003C1A2D">
        <w:rPr>
          <w:rFonts w:ascii="Arial" w:hAnsi="Arial" w:cs="Arial"/>
          <w:bCs/>
          <w:sz w:val="22"/>
          <w:szCs w:val="22"/>
          <w:lang w:val="fr-FR"/>
        </w:rPr>
        <w:t>UNESCO, comme le Conseil exécutif.</w:t>
      </w:r>
    </w:p>
    <w:p w14:paraId="5F864B55" w14:textId="7C32BD0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D1E75">
        <w:rPr>
          <w:rFonts w:ascii="Arial" w:hAnsi="Arial" w:cs="Arial"/>
          <w:bCs/>
          <w:sz w:val="22"/>
          <w:szCs w:val="22"/>
          <w:lang w:val="fr-FR"/>
        </w:rPr>
        <w:t>La délégation de l</w:t>
      </w:r>
      <w:r w:rsidR="008E532B">
        <w:rPr>
          <w:rFonts w:ascii="Arial" w:hAnsi="Arial" w:cs="Arial"/>
          <w:bCs/>
          <w:sz w:val="22"/>
          <w:szCs w:val="22"/>
          <w:lang w:val="fr-FR"/>
        </w:rPr>
        <w:t>’</w:t>
      </w:r>
      <w:r w:rsidRPr="005D1E75">
        <w:rPr>
          <w:rFonts w:ascii="Arial" w:hAnsi="Arial" w:cs="Arial"/>
          <w:b/>
          <w:sz w:val="22"/>
          <w:szCs w:val="22"/>
          <w:lang w:val="fr-FR"/>
        </w:rPr>
        <w:t>Azerbaïdjan</w:t>
      </w:r>
      <w:r w:rsidRPr="005D1E75">
        <w:rPr>
          <w:rFonts w:ascii="Arial" w:hAnsi="Arial" w:cs="Arial"/>
          <w:bCs/>
          <w:sz w:val="22"/>
          <w:szCs w:val="22"/>
          <w:lang w:val="fr-FR"/>
        </w:rPr>
        <w:t xml:space="preserve"> s</w:t>
      </w:r>
      <w:r w:rsidR="008E532B">
        <w:rPr>
          <w:rFonts w:ascii="Arial" w:hAnsi="Arial" w:cs="Arial"/>
          <w:bCs/>
          <w:sz w:val="22"/>
          <w:szCs w:val="22"/>
          <w:lang w:val="fr-FR"/>
        </w:rPr>
        <w:t>’</w:t>
      </w:r>
      <w:r w:rsidRPr="005D1E75">
        <w:rPr>
          <w:rFonts w:ascii="Arial" w:hAnsi="Arial" w:cs="Arial"/>
          <w:bCs/>
          <w:sz w:val="22"/>
          <w:szCs w:val="22"/>
          <w:lang w:val="fr-FR"/>
        </w:rPr>
        <w:t>est fait l</w:t>
      </w:r>
      <w:r w:rsidR="008E532B">
        <w:rPr>
          <w:rFonts w:ascii="Arial" w:hAnsi="Arial" w:cs="Arial"/>
          <w:bCs/>
          <w:sz w:val="22"/>
          <w:szCs w:val="22"/>
          <w:lang w:val="fr-FR"/>
        </w:rPr>
        <w:t>’</w:t>
      </w:r>
      <w:r w:rsidRPr="005D1E75">
        <w:rPr>
          <w:rFonts w:ascii="Arial" w:hAnsi="Arial" w:cs="Arial"/>
          <w:bCs/>
          <w:sz w:val="22"/>
          <w:szCs w:val="22"/>
          <w:lang w:val="fr-FR"/>
        </w:rPr>
        <w:t>écho des remarques formulées par la Chine. Elle était favorable à certaines parties du Règlement intérieur présenté par le Secrétariat. Toutefois, la délégation ne pens</w:t>
      </w:r>
      <w:r>
        <w:rPr>
          <w:rFonts w:ascii="Arial" w:hAnsi="Arial" w:cs="Arial"/>
          <w:bCs/>
          <w:sz w:val="22"/>
          <w:szCs w:val="22"/>
          <w:lang w:val="fr-FR"/>
        </w:rPr>
        <w:t>ait</w:t>
      </w:r>
      <w:r w:rsidRPr="005D1E75">
        <w:rPr>
          <w:rFonts w:ascii="Arial" w:hAnsi="Arial" w:cs="Arial"/>
          <w:bCs/>
          <w:sz w:val="22"/>
          <w:szCs w:val="22"/>
          <w:lang w:val="fr-FR"/>
        </w:rPr>
        <w:t xml:space="preserve"> pas que le nouvel article 3.3 soit nécessaire et elle </w:t>
      </w:r>
      <w:r>
        <w:rPr>
          <w:rFonts w:ascii="Arial" w:hAnsi="Arial" w:cs="Arial"/>
          <w:bCs/>
          <w:sz w:val="22"/>
          <w:szCs w:val="22"/>
          <w:lang w:val="fr-FR"/>
        </w:rPr>
        <w:t>était</w:t>
      </w:r>
      <w:r w:rsidRPr="005D1E75">
        <w:rPr>
          <w:rFonts w:ascii="Arial" w:hAnsi="Arial" w:cs="Arial"/>
          <w:bCs/>
          <w:sz w:val="22"/>
          <w:szCs w:val="22"/>
          <w:lang w:val="fr-FR"/>
        </w:rPr>
        <w:t xml:space="preserve"> donc favorable à sa suppression et à un travail sur le paragraphe qui figur</w:t>
      </w:r>
      <w:r>
        <w:rPr>
          <w:rFonts w:ascii="Arial" w:hAnsi="Arial" w:cs="Arial"/>
          <w:bCs/>
          <w:sz w:val="22"/>
          <w:szCs w:val="22"/>
          <w:lang w:val="fr-FR"/>
        </w:rPr>
        <w:t>ait</w:t>
      </w:r>
      <w:r w:rsidRPr="005D1E75">
        <w:rPr>
          <w:rFonts w:ascii="Arial" w:hAnsi="Arial" w:cs="Arial"/>
          <w:bCs/>
          <w:sz w:val="22"/>
          <w:szCs w:val="22"/>
          <w:lang w:val="fr-FR"/>
        </w:rPr>
        <w:t xml:space="preserve"> déjà dans le Règlement intérieur.</w:t>
      </w:r>
    </w:p>
    <w:p w14:paraId="3E04E5E7" w14:textId="2A3BF0EF" w:rsidR="00D9653F" w:rsidRPr="006D154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D1E75">
        <w:rPr>
          <w:rFonts w:ascii="Arial" w:hAnsi="Arial" w:cs="Arial"/>
          <w:bCs/>
          <w:sz w:val="22"/>
          <w:szCs w:val="22"/>
          <w:lang w:val="fr-FR"/>
        </w:rPr>
        <w:t xml:space="preserve">La délégation de la </w:t>
      </w:r>
      <w:r>
        <w:rPr>
          <w:rFonts w:ascii="Arial" w:hAnsi="Arial" w:cs="Arial"/>
          <w:b/>
          <w:sz w:val="22"/>
          <w:szCs w:val="22"/>
          <w:lang w:val="fr-FR"/>
        </w:rPr>
        <w:t>Türkiye</w:t>
      </w:r>
      <w:r w:rsidRPr="005D1E75">
        <w:rPr>
          <w:rFonts w:ascii="Arial" w:hAnsi="Arial" w:cs="Arial"/>
          <w:bCs/>
          <w:sz w:val="22"/>
          <w:szCs w:val="22"/>
          <w:lang w:val="fr-FR"/>
        </w:rPr>
        <w:t xml:space="preserve"> a remercié le Secrétariat d</w:t>
      </w:r>
      <w:r w:rsidR="008E532B">
        <w:rPr>
          <w:rFonts w:ascii="Arial" w:hAnsi="Arial" w:cs="Arial"/>
          <w:bCs/>
          <w:sz w:val="22"/>
          <w:szCs w:val="22"/>
          <w:lang w:val="fr-FR"/>
        </w:rPr>
        <w:t>’</w:t>
      </w:r>
      <w:r w:rsidRPr="005D1E75">
        <w:rPr>
          <w:rFonts w:ascii="Arial" w:hAnsi="Arial" w:cs="Arial"/>
          <w:bCs/>
          <w:sz w:val="22"/>
          <w:szCs w:val="22"/>
          <w:lang w:val="fr-FR"/>
        </w:rPr>
        <w:t xml:space="preserve">avoir préparé le document de travail. Elle </w:t>
      </w:r>
      <w:r>
        <w:rPr>
          <w:rFonts w:ascii="Arial" w:hAnsi="Arial" w:cs="Arial"/>
          <w:bCs/>
          <w:sz w:val="22"/>
          <w:szCs w:val="22"/>
          <w:lang w:val="fr-FR"/>
        </w:rPr>
        <w:t>pensait</w:t>
      </w:r>
      <w:r w:rsidRPr="005D1E75">
        <w:rPr>
          <w:rFonts w:ascii="Arial" w:hAnsi="Arial" w:cs="Arial"/>
          <w:bCs/>
          <w:sz w:val="22"/>
          <w:szCs w:val="22"/>
          <w:lang w:val="fr-FR"/>
        </w:rPr>
        <w:t xml:space="preserve"> qu</w:t>
      </w:r>
      <w:r w:rsidR="008E532B">
        <w:rPr>
          <w:rFonts w:ascii="Arial" w:hAnsi="Arial" w:cs="Arial"/>
          <w:bCs/>
          <w:sz w:val="22"/>
          <w:szCs w:val="22"/>
          <w:lang w:val="fr-FR"/>
        </w:rPr>
        <w:t>’</w:t>
      </w:r>
      <w:r w:rsidRPr="005D1E75">
        <w:rPr>
          <w:rFonts w:ascii="Arial" w:hAnsi="Arial" w:cs="Arial"/>
          <w:bCs/>
          <w:sz w:val="22"/>
          <w:szCs w:val="22"/>
          <w:lang w:val="fr-FR"/>
        </w:rPr>
        <w:t>il s</w:t>
      </w:r>
      <w:r w:rsidR="008E532B">
        <w:rPr>
          <w:rFonts w:ascii="Arial" w:hAnsi="Arial" w:cs="Arial"/>
          <w:bCs/>
          <w:sz w:val="22"/>
          <w:szCs w:val="22"/>
          <w:lang w:val="fr-FR"/>
        </w:rPr>
        <w:t>’</w:t>
      </w:r>
      <w:r w:rsidRPr="005D1E75">
        <w:rPr>
          <w:rFonts w:ascii="Arial" w:hAnsi="Arial" w:cs="Arial"/>
          <w:bCs/>
          <w:sz w:val="22"/>
          <w:szCs w:val="22"/>
          <w:lang w:val="fr-FR"/>
        </w:rPr>
        <w:t>agissait d</w:t>
      </w:r>
      <w:r w:rsidR="008E532B">
        <w:rPr>
          <w:rFonts w:ascii="Arial" w:hAnsi="Arial" w:cs="Arial"/>
          <w:bCs/>
          <w:sz w:val="22"/>
          <w:szCs w:val="22"/>
          <w:lang w:val="fr-FR"/>
        </w:rPr>
        <w:t>’</w:t>
      </w:r>
      <w:r w:rsidRPr="005D1E75">
        <w:rPr>
          <w:rFonts w:ascii="Arial" w:hAnsi="Arial" w:cs="Arial"/>
          <w:bCs/>
          <w:sz w:val="22"/>
          <w:szCs w:val="22"/>
          <w:lang w:val="fr-FR"/>
        </w:rPr>
        <w:t>un bon début, mais qu</w:t>
      </w:r>
      <w:r>
        <w:rPr>
          <w:rFonts w:ascii="Arial" w:hAnsi="Arial" w:cs="Arial"/>
          <w:bCs/>
          <w:sz w:val="22"/>
          <w:szCs w:val="22"/>
          <w:lang w:val="fr-FR"/>
        </w:rPr>
        <w:t>e cela</w:t>
      </w:r>
      <w:r w:rsidRPr="005D1E75">
        <w:rPr>
          <w:rFonts w:ascii="Arial" w:hAnsi="Arial" w:cs="Arial"/>
          <w:bCs/>
          <w:sz w:val="22"/>
          <w:szCs w:val="22"/>
          <w:lang w:val="fr-FR"/>
        </w:rPr>
        <w:t xml:space="preserve"> pouvait également nécessiter quelques améliorations. Elle souten</w:t>
      </w:r>
      <w:r>
        <w:rPr>
          <w:rFonts w:ascii="Arial" w:hAnsi="Arial" w:cs="Arial"/>
          <w:bCs/>
          <w:sz w:val="22"/>
          <w:szCs w:val="22"/>
          <w:lang w:val="fr-FR"/>
        </w:rPr>
        <w:t>ait</w:t>
      </w:r>
      <w:r w:rsidRPr="005D1E75">
        <w:rPr>
          <w:rFonts w:ascii="Arial" w:hAnsi="Arial" w:cs="Arial"/>
          <w:bCs/>
          <w:sz w:val="22"/>
          <w:szCs w:val="22"/>
          <w:lang w:val="fr-FR"/>
        </w:rPr>
        <w:t xml:space="preserve"> les remarques de la Chine, d</w:t>
      </w:r>
      <w:r>
        <w:rPr>
          <w:rFonts w:ascii="Arial" w:hAnsi="Arial" w:cs="Arial"/>
          <w:bCs/>
          <w:sz w:val="22"/>
          <w:szCs w:val="22"/>
          <w:lang w:val="fr-FR"/>
        </w:rPr>
        <w:t>e la République bolivarienne du Venezuela</w:t>
      </w:r>
      <w:r w:rsidRPr="006D154E">
        <w:rPr>
          <w:rFonts w:ascii="Arial" w:hAnsi="Arial" w:cs="Arial"/>
          <w:bCs/>
          <w:sz w:val="22"/>
          <w:szCs w:val="22"/>
          <w:lang w:val="fr-FR"/>
        </w:rPr>
        <w:t xml:space="preserve"> et de l</w:t>
      </w:r>
      <w:r w:rsidR="008E532B">
        <w:rPr>
          <w:rFonts w:ascii="Arial" w:hAnsi="Arial" w:cs="Arial"/>
          <w:bCs/>
          <w:sz w:val="22"/>
          <w:szCs w:val="22"/>
          <w:lang w:val="fr-FR"/>
        </w:rPr>
        <w:t>’</w:t>
      </w:r>
      <w:r w:rsidRPr="006D154E">
        <w:rPr>
          <w:rFonts w:ascii="Arial" w:hAnsi="Arial" w:cs="Arial"/>
          <w:bCs/>
          <w:sz w:val="22"/>
          <w:szCs w:val="22"/>
          <w:lang w:val="fr-FR"/>
        </w:rPr>
        <w:t>Azerbaïdjan, ajoutant que certaines révisions du nouveau Règlement intérieur allaient au-delà de l</w:t>
      </w:r>
      <w:r w:rsidR="008E532B">
        <w:rPr>
          <w:rFonts w:ascii="Arial" w:hAnsi="Arial" w:cs="Arial"/>
          <w:bCs/>
          <w:sz w:val="22"/>
          <w:szCs w:val="22"/>
          <w:lang w:val="fr-FR"/>
        </w:rPr>
        <w:t>’</w:t>
      </w:r>
      <w:r w:rsidRPr="006D154E">
        <w:rPr>
          <w:rFonts w:ascii="Arial" w:hAnsi="Arial" w:cs="Arial"/>
          <w:bCs/>
          <w:sz w:val="22"/>
          <w:szCs w:val="22"/>
          <w:lang w:val="fr-FR"/>
        </w:rPr>
        <w:t>harmonisation des conventions. En ce sens, la délégation préférait également travailler sur l</w:t>
      </w:r>
      <w:r w:rsidR="008E532B">
        <w:rPr>
          <w:rFonts w:ascii="Arial" w:hAnsi="Arial" w:cs="Arial"/>
          <w:bCs/>
          <w:sz w:val="22"/>
          <w:szCs w:val="22"/>
          <w:lang w:val="fr-FR"/>
        </w:rPr>
        <w:t>’</w:t>
      </w:r>
      <w:r w:rsidRPr="006D154E">
        <w:rPr>
          <w:rFonts w:ascii="Arial" w:hAnsi="Arial" w:cs="Arial"/>
          <w:bCs/>
          <w:sz w:val="22"/>
          <w:szCs w:val="22"/>
          <w:lang w:val="fr-FR"/>
        </w:rPr>
        <w:t>ancienne version de l</w:t>
      </w:r>
      <w:r w:rsidR="008E532B">
        <w:rPr>
          <w:rFonts w:ascii="Arial" w:hAnsi="Arial" w:cs="Arial"/>
          <w:bCs/>
          <w:sz w:val="22"/>
          <w:szCs w:val="22"/>
          <w:lang w:val="fr-FR"/>
        </w:rPr>
        <w:t>’</w:t>
      </w:r>
      <w:r w:rsidRPr="006D154E">
        <w:rPr>
          <w:rFonts w:ascii="Arial" w:hAnsi="Arial" w:cs="Arial"/>
          <w:bCs/>
          <w:sz w:val="22"/>
          <w:szCs w:val="22"/>
          <w:lang w:val="fr-FR"/>
        </w:rPr>
        <w:t>article 3.3 et supprimer la version actuelle. Dans le même temps, elle comprenait les besoins du Secrétariat et pourrait également proposer quelques améliorations à l</w:t>
      </w:r>
      <w:r w:rsidR="008E532B">
        <w:rPr>
          <w:rFonts w:ascii="Arial" w:hAnsi="Arial" w:cs="Arial"/>
          <w:bCs/>
          <w:sz w:val="22"/>
          <w:szCs w:val="22"/>
          <w:lang w:val="fr-FR"/>
        </w:rPr>
        <w:t>’</w:t>
      </w:r>
      <w:r w:rsidRPr="006D154E">
        <w:rPr>
          <w:rFonts w:ascii="Arial" w:hAnsi="Arial" w:cs="Arial"/>
          <w:bCs/>
          <w:sz w:val="22"/>
          <w:szCs w:val="22"/>
          <w:lang w:val="fr-FR"/>
        </w:rPr>
        <w:t>article 3.2.</w:t>
      </w:r>
    </w:p>
    <w:p w14:paraId="5CF4A994" w14:textId="07B3C9A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5D1E75">
        <w:rPr>
          <w:rFonts w:ascii="Arial" w:hAnsi="Arial" w:cs="Arial"/>
          <w:bCs/>
          <w:sz w:val="22"/>
          <w:szCs w:val="22"/>
          <w:lang w:val="fr-FR"/>
        </w:rPr>
        <w:t>délégation</w:t>
      </w:r>
      <w:r>
        <w:rPr>
          <w:rFonts w:ascii="Arial" w:hAnsi="Arial" w:cs="Arial"/>
          <w:bCs/>
          <w:sz w:val="22"/>
          <w:szCs w:val="22"/>
          <w:lang w:val="fr-FR"/>
        </w:rPr>
        <w:t xml:space="preserve"> de la </w:t>
      </w:r>
      <w:r w:rsidRPr="005D1E75">
        <w:rPr>
          <w:rFonts w:ascii="Arial" w:hAnsi="Arial" w:cs="Arial"/>
          <w:b/>
          <w:sz w:val="22"/>
          <w:szCs w:val="22"/>
          <w:lang w:val="fr-FR"/>
        </w:rPr>
        <w:t>Mauritanie</w:t>
      </w:r>
      <w:r>
        <w:rPr>
          <w:rFonts w:ascii="Arial" w:hAnsi="Arial" w:cs="Arial"/>
          <w:bCs/>
          <w:sz w:val="22"/>
          <w:szCs w:val="22"/>
          <w:lang w:val="fr-FR"/>
        </w:rPr>
        <w:t xml:space="preserve"> soutenait les révisons du Règlement intérieur, en général. Toutefois, elle souscrivait à la proposition de la Chine et de l</w:t>
      </w:r>
      <w:r w:rsidR="008E532B">
        <w:rPr>
          <w:rFonts w:ascii="Arial" w:hAnsi="Arial" w:cs="Arial"/>
          <w:bCs/>
          <w:sz w:val="22"/>
          <w:szCs w:val="22"/>
          <w:lang w:val="fr-FR"/>
        </w:rPr>
        <w:t>’</w:t>
      </w:r>
      <w:r w:rsidRPr="005D1E75">
        <w:rPr>
          <w:rFonts w:ascii="Arial" w:hAnsi="Arial" w:cs="Arial"/>
          <w:bCs/>
          <w:sz w:val="22"/>
          <w:szCs w:val="22"/>
          <w:lang w:val="fr-FR"/>
        </w:rPr>
        <w:t>Azerbaïdjan</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 xml:space="preserve">agissant de </w:t>
      </w:r>
      <w:r w:rsidR="00026FB3">
        <w:rPr>
          <w:rFonts w:ascii="Arial" w:hAnsi="Arial" w:cs="Arial"/>
          <w:bCs/>
          <w:sz w:val="22"/>
          <w:szCs w:val="22"/>
          <w:lang w:val="fr-FR"/>
        </w:rPr>
        <w:t>l</w:t>
      </w:r>
      <w:r w:rsidR="008E532B">
        <w:rPr>
          <w:rFonts w:ascii="Arial" w:hAnsi="Arial" w:cs="Arial"/>
          <w:bCs/>
          <w:sz w:val="22"/>
          <w:szCs w:val="22"/>
          <w:lang w:val="fr-FR"/>
        </w:rPr>
        <w:t>’</w:t>
      </w:r>
      <w:r w:rsidR="00026FB3">
        <w:rPr>
          <w:rFonts w:ascii="Arial" w:hAnsi="Arial" w:cs="Arial"/>
          <w:bCs/>
          <w:sz w:val="22"/>
          <w:szCs w:val="22"/>
          <w:lang w:val="fr-FR"/>
        </w:rPr>
        <w:t>article </w:t>
      </w:r>
      <w:r>
        <w:rPr>
          <w:rFonts w:ascii="Arial" w:hAnsi="Arial" w:cs="Arial"/>
          <w:bCs/>
          <w:sz w:val="22"/>
          <w:szCs w:val="22"/>
          <w:lang w:val="fr-FR"/>
        </w:rPr>
        <w:t>3.3.</w:t>
      </w:r>
    </w:p>
    <w:p w14:paraId="311A8ABA" w14:textId="174C7DE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5D1E75">
        <w:rPr>
          <w:rFonts w:ascii="Arial" w:hAnsi="Arial" w:cs="Arial"/>
          <w:bCs/>
          <w:sz w:val="22"/>
          <w:szCs w:val="22"/>
          <w:lang w:val="fr-FR"/>
        </w:rPr>
        <w:t>délégation</w:t>
      </w:r>
      <w:r>
        <w:rPr>
          <w:rFonts w:ascii="Arial" w:hAnsi="Arial" w:cs="Arial"/>
          <w:bCs/>
          <w:sz w:val="22"/>
          <w:szCs w:val="22"/>
          <w:lang w:val="fr-FR"/>
        </w:rPr>
        <w:t xml:space="preserve"> du </w:t>
      </w:r>
      <w:r w:rsidRPr="005D1E75">
        <w:rPr>
          <w:rFonts w:ascii="Arial" w:hAnsi="Arial" w:cs="Arial"/>
          <w:b/>
          <w:sz w:val="22"/>
          <w:szCs w:val="22"/>
          <w:lang w:val="fr-FR"/>
        </w:rPr>
        <w:t>Pakistan</w:t>
      </w:r>
      <w:r>
        <w:rPr>
          <w:rFonts w:ascii="Arial" w:hAnsi="Arial" w:cs="Arial"/>
          <w:bCs/>
          <w:sz w:val="22"/>
          <w:szCs w:val="22"/>
          <w:lang w:val="fr-FR"/>
        </w:rPr>
        <w:t xml:space="preserve"> a félicité la Présidente pour son élection. Le Pakistan soutenait les commentaires formulés par la Chine, la République bolivarienne du Venezuela et l</w:t>
      </w:r>
      <w:r w:rsidR="008E532B">
        <w:rPr>
          <w:rFonts w:ascii="Arial" w:hAnsi="Arial" w:cs="Arial"/>
          <w:bCs/>
          <w:sz w:val="22"/>
          <w:szCs w:val="22"/>
          <w:lang w:val="fr-FR"/>
        </w:rPr>
        <w:t>’</w:t>
      </w:r>
      <w:r w:rsidRPr="005D1E75">
        <w:rPr>
          <w:rFonts w:ascii="Arial" w:hAnsi="Arial" w:cs="Arial"/>
          <w:bCs/>
          <w:sz w:val="22"/>
          <w:szCs w:val="22"/>
          <w:lang w:val="fr-FR"/>
        </w:rPr>
        <w:t>Azerbaïdjan</w:t>
      </w:r>
      <w:r>
        <w:rPr>
          <w:rFonts w:ascii="Arial" w:hAnsi="Arial" w:cs="Arial"/>
          <w:bCs/>
          <w:sz w:val="22"/>
          <w:szCs w:val="22"/>
          <w:lang w:val="fr-FR"/>
        </w:rPr>
        <w:t xml:space="preserve">, ainsi que la </w:t>
      </w:r>
      <w:r w:rsidRPr="005D1E75">
        <w:rPr>
          <w:rFonts w:ascii="Arial" w:hAnsi="Arial" w:cs="Arial"/>
          <w:bCs/>
          <w:sz w:val="22"/>
          <w:szCs w:val="22"/>
          <w:lang w:val="fr-FR"/>
        </w:rPr>
        <w:t>proposition</w:t>
      </w:r>
      <w:r>
        <w:rPr>
          <w:rFonts w:ascii="Arial" w:hAnsi="Arial" w:cs="Arial"/>
          <w:bCs/>
          <w:sz w:val="22"/>
          <w:szCs w:val="22"/>
          <w:lang w:val="fr-FR"/>
        </w:rPr>
        <w:t xml:space="preserve"> de la Türkiye.</w:t>
      </w:r>
    </w:p>
    <w:p w14:paraId="6248D3FD" w14:textId="20750F4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D1E75">
        <w:rPr>
          <w:rFonts w:ascii="Arial" w:hAnsi="Arial" w:cs="Arial"/>
          <w:bCs/>
          <w:sz w:val="22"/>
          <w:szCs w:val="22"/>
          <w:lang w:val="fr-FR"/>
        </w:rPr>
        <w:t xml:space="preserve">La délégation de la </w:t>
      </w:r>
      <w:r w:rsidRPr="005D1E75">
        <w:rPr>
          <w:rFonts w:ascii="Arial" w:hAnsi="Arial" w:cs="Arial"/>
          <w:b/>
          <w:sz w:val="22"/>
          <w:szCs w:val="22"/>
          <w:lang w:val="fr-FR"/>
        </w:rPr>
        <w:t>Palestine</w:t>
      </w:r>
      <w:r w:rsidRPr="005D1E75">
        <w:rPr>
          <w:rFonts w:ascii="Arial" w:hAnsi="Arial" w:cs="Arial"/>
          <w:bCs/>
          <w:sz w:val="22"/>
          <w:szCs w:val="22"/>
          <w:lang w:val="fr-FR"/>
        </w:rPr>
        <w:t xml:space="preserve"> appréci</w:t>
      </w:r>
      <w:r>
        <w:rPr>
          <w:rFonts w:ascii="Arial" w:hAnsi="Arial" w:cs="Arial"/>
          <w:bCs/>
          <w:sz w:val="22"/>
          <w:szCs w:val="22"/>
          <w:lang w:val="fr-FR"/>
        </w:rPr>
        <w:t>ait</w:t>
      </w:r>
      <w:r w:rsidRPr="005D1E75">
        <w:rPr>
          <w:rFonts w:ascii="Arial" w:hAnsi="Arial" w:cs="Arial"/>
          <w:bCs/>
          <w:sz w:val="22"/>
          <w:szCs w:val="22"/>
          <w:lang w:val="fr-FR"/>
        </w:rPr>
        <w:t xml:space="preserve"> le travail du Secrétariat sur le Règlement intérieur ainsi que le résultat positif. Toutefois, elle </w:t>
      </w:r>
      <w:r>
        <w:rPr>
          <w:rFonts w:ascii="Arial" w:hAnsi="Arial" w:cs="Arial"/>
          <w:bCs/>
          <w:sz w:val="22"/>
          <w:szCs w:val="22"/>
          <w:lang w:val="fr-FR"/>
        </w:rPr>
        <w:t xml:space="preserve">avait </w:t>
      </w:r>
      <w:r w:rsidRPr="005D1E75">
        <w:rPr>
          <w:rFonts w:ascii="Arial" w:hAnsi="Arial" w:cs="Arial"/>
          <w:bCs/>
          <w:sz w:val="22"/>
          <w:szCs w:val="22"/>
          <w:lang w:val="fr-FR"/>
        </w:rPr>
        <w:t>pris note des nombreuses préoccupations concernant l</w:t>
      </w:r>
      <w:r w:rsidR="008E532B">
        <w:rPr>
          <w:rFonts w:ascii="Arial" w:hAnsi="Arial" w:cs="Arial"/>
          <w:bCs/>
          <w:sz w:val="22"/>
          <w:szCs w:val="22"/>
          <w:lang w:val="fr-FR"/>
        </w:rPr>
        <w:t>’</w:t>
      </w:r>
      <w:r w:rsidRPr="005D1E75">
        <w:rPr>
          <w:rFonts w:ascii="Arial" w:hAnsi="Arial" w:cs="Arial"/>
          <w:bCs/>
          <w:sz w:val="22"/>
          <w:szCs w:val="22"/>
          <w:lang w:val="fr-FR"/>
        </w:rPr>
        <w:t>article 3.3 et a donc suggéré de supprimer le nouvel article afin d</w:t>
      </w:r>
      <w:r w:rsidR="008E532B">
        <w:rPr>
          <w:rFonts w:ascii="Arial" w:hAnsi="Arial" w:cs="Arial"/>
          <w:bCs/>
          <w:sz w:val="22"/>
          <w:szCs w:val="22"/>
          <w:lang w:val="fr-FR"/>
        </w:rPr>
        <w:t>’</w:t>
      </w:r>
      <w:r w:rsidRPr="005D1E75">
        <w:rPr>
          <w:rFonts w:ascii="Arial" w:hAnsi="Arial" w:cs="Arial"/>
          <w:bCs/>
          <w:sz w:val="22"/>
          <w:szCs w:val="22"/>
          <w:lang w:val="fr-FR"/>
        </w:rPr>
        <w:t>aller de l</w:t>
      </w:r>
      <w:r w:rsidR="008E532B">
        <w:rPr>
          <w:rFonts w:ascii="Arial" w:hAnsi="Arial" w:cs="Arial"/>
          <w:bCs/>
          <w:sz w:val="22"/>
          <w:szCs w:val="22"/>
          <w:lang w:val="fr-FR"/>
        </w:rPr>
        <w:t>’</w:t>
      </w:r>
      <w:r w:rsidRPr="005D1E75">
        <w:rPr>
          <w:rFonts w:ascii="Arial" w:hAnsi="Arial" w:cs="Arial"/>
          <w:bCs/>
          <w:sz w:val="22"/>
          <w:szCs w:val="22"/>
          <w:lang w:val="fr-FR"/>
        </w:rPr>
        <w:t>avant en adoptant les révisions restantes, d</w:t>
      </w:r>
      <w:r w:rsidR="008E532B">
        <w:rPr>
          <w:rFonts w:ascii="Arial" w:hAnsi="Arial" w:cs="Arial"/>
          <w:bCs/>
          <w:sz w:val="22"/>
          <w:szCs w:val="22"/>
          <w:lang w:val="fr-FR"/>
        </w:rPr>
        <w:t>’</w:t>
      </w:r>
      <w:r w:rsidRPr="005D1E75">
        <w:rPr>
          <w:rFonts w:ascii="Arial" w:hAnsi="Arial" w:cs="Arial"/>
          <w:bCs/>
          <w:sz w:val="22"/>
          <w:szCs w:val="22"/>
          <w:lang w:val="fr-FR"/>
        </w:rPr>
        <w:t>autant plus qu</w:t>
      </w:r>
      <w:r w:rsidR="008E532B">
        <w:rPr>
          <w:rFonts w:ascii="Arial" w:hAnsi="Arial" w:cs="Arial"/>
          <w:bCs/>
          <w:sz w:val="22"/>
          <w:szCs w:val="22"/>
          <w:lang w:val="fr-FR"/>
        </w:rPr>
        <w:t>’</w:t>
      </w:r>
      <w:r w:rsidRPr="005D1E75">
        <w:rPr>
          <w:rFonts w:ascii="Arial" w:hAnsi="Arial" w:cs="Arial"/>
          <w:bCs/>
          <w:sz w:val="22"/>
          <w:szCs w:val="22"/>
          <w:lang w:val="fr-FR"/>
        </w:rPr>
        <w:t>il s</w:t>
      </w:r>
      <w:r w:rsidR="008E532B">
        <w:rPr>
          <w:rFonts w:ascii="Arial" w:hAnsi="Arial" w:cs="Arial"/>
          <w:bCs/>
          <w:sz w:val="22"/>
          <w:szCs w:val="22"/>
          <w:lang w:val="fr-FR"/>
        </w:rPr>
        <w:t>’</w:t>
      </w:r>
      <w:r w:rsidRPr="005D1E75">
        <w:rPr>
          <w:rFonts w:ascii="Arial" w:hAnsi="Arial" w:cs="Arial"/>
          <w:bCs/>
          <w:sz w:val="22"/>
          <w:szCs w:val="22"/>
          <w:lang w:val="fr-FR"/>
        </w:rPr>
        <w:t>agi</w:t>
      </w:r>
      <w:r>
        <w:rPr>
          <w:rFonts w:ascii="Arial" w:hAnsi="Arial" w:cs="Arial"/>
          <w:bCs/>
          <w:sz w:val="22"/>
          <w:szCs w:val="22"/>
          <w:lang w:val="fr-FR"/>
        </w:rPr>
        <w:t>ssai</w:t>
      </w:r>
      <w:r w:rsidRPr="005D1E75">
        <w:rPr>
          <w:rFonts w:ascii="Arial" w:hAnsi="Arial" w:cs="Arial"/>
          <w:bCs/>
          <w:sz w:val="22"/>
          <w:szCs w:val="22"/>
          <w:lang w:val="fr-FR"/>
        </w:rPr>
        <w:t>t d</w:t>
      </w:r>
      <w:r w:rsidR="008E532B">
        <w:rPr>
          <w:rFonts w:ascii="Arial" w:hAnsi="Arial" w:cs="Arial"/>
          <w:bCs/>
          <w:sz w:val="22"/>
          <w:szCs w:val="22"/>
          <w:lang w:val="fr-FR"/>
        </w:rPr>
        <w:t>’</w:t>
      </w:r>
      <w:r w:rsidRPr="005D1E75">
        <w:rPr>
          <w:rFonts w:ascii="Arial" w:hAnsi="Arial" w:cs="Arial"/>
          <w:bCs/>
          <w:sz w:val="22"/>
          <w:szCs w:val="22"/>
          <w:lang w:val="fr-FR"/>
        </w:rPr>
        <w:t xml:space="preserve">un exercice </w:t>
      </w:r>
      <w:r>
        <w:rPr>
          <w:rFonts w:ascii="Arial" w:hAnsi="Arial" w:cs="Arial"/>
          <w:bCs/>
          <w:sz w:val="22"/>
          <w:szCs w:val="22"/>
          <w:lang w:val="fr-FR"/>
        </w:rPr>
        <w:t xml:space="preserve">en </w:t>
      </w:r>
      <w:r w:rsidRPr="005D1E75">
        <w:rPr>
          <w:rFonts w:ascii="Arial" w:hAnsi="Arial" w:cs="Arial"/>
          <w:bCs/>
          <w:sz w:val="22"/>
          <w:szCs w:val="22"/>
          <w:lang w:val="fr-FR"/>
        </w:rPr>
        <w:t>continu. L</w:t>
      </w:r>
      <w:r w:rsidR="008E532B">
        <w:rPr>
          <w:rFonts w:ascii="Arial" w:hAnsi="Arial" w:cs="Arial"/>
          <w:bCs/>
          <w:sz w:val="22"/>
          <w:szCs w:val="22"/>
          <w:lang w:val="fr-FR"/>
        </w:rPr>
        <w:t>’</w:t>
      </w:r>
      <w:r w:rsidRPr="005D1E75">
        <w:rPr>
          <w:rFonts w:ascii="Arial" w:hAnsi="Arial" w:cs="Arial"/>
          <w:bCs/>
          <w:sz w:val="22"/>
          <w:szCs w:val="22"/>
          <w:lang w:val="fr-FR"/>
        </w:rPr>
        <w:t>Assemblée pou</w:t>
      </w:r>
      <w:r>
        <w:rPr>
          <w:rFonts w:ascii="Arial" w:hAnsi="Arial" w:cs="Arial"/>
          <w:bCs/>
          <w:sz w:val="22"/>
          <w:szCs w:val="22"/>
          <w:lang w:val="fr-FR"/>
        </w:rPr>
        <w:t>rr</w:t>
      </w:r>
      <w:r w:rsidRPr="005D1E75">
        <w:rPr>
          <w:rFonts w:ascii="Arial" w:hAnsi="Arial" w:cs="Arial"/>
          <w:bCs/>
          <w:sz w:val="22"/>
          <w:szCs w:val="22"/>
          <w:lang w:val="fr-FR"/>
        </w:rPr>
        <w:t>ait garder à l</w:t>
      </w:r>
      <w:r w:rsidR="008E532B">
        <w:rPr>
          <w:rFonts w:ascii="Arial" w:hAnsi="Arial" w:cs="Arial"/>
          <w:bCs/>
          <w:sz w:val="22"/>
          <w:szCs w:val="22"/>
          <w:lang w:val="fr-FR"/>
        </w:rPr>
        <w:t>’</w:t>
      </w:r>
      <w:r w:rsidRPr="005D1E75">
        <w:rPr>
          <w:rFonts w:ascii="Arial" w:hAnsi="Arial" w:cs="Arial"/>
          <w:bCs/>
          <w:sz w:val="22"/>
          <w:szCs w:val="22"/>
          <w:lang w:val="fr-FR"/>
        </w:rPr>
        <w:t>esprit la possibilité de réunions hybrides, mais la question du vote a</w:t>
      </w:r>
      <w:r>
        <w:rPr>
          <w:rFonts w:ascii="Arial" w:hAnsi="Arial" w:cs="Arial"/>
          <w:bCs/>
          <w:sz w:val="22"/>
          <w:szCs w:val="22"/>
          <w:lang w:val="fr-FR"/>
        </w:rPr>
        <w:t>vait</w:t>
      </w:r>
      <w:r w:rsidRPr="005D1E75">
        <w:rPr>
          <w:rFonts w:ascii="Arial" w:hAnsi="Arial" w:cs="Arial"/>
          <w:bCs/>
          <w:sz w:val="22"/>
          <w:szCs w:val="22"/>
          <w:lang w:val="fr-FR"/>
        </w:rPr>
        <w:t xml:space="preserve"> également été soulevée dans d</w:t>
      </w:r>
      <w:r w:rsidR="008E532B">
        <w:rPr>
          <w:rFonts w:ascii="Arial" w:hAnsi="Arial" w:cs="Arial"/>
          <w:bCs/>
          <w:sz w:val="22"/>
          <w:szCs w:val="22"/>
          <w:lang w:val="fr-FR"/>
        </w:rPr>
        <w:t>’</w:t>
      </w:r>
      <w:r w:rsidRPr="005D1E75">
        <w:rPr>
          <w:rFonts w:ascii="Arial" w:hAnsi="Arial" w:cs="Arial"/>
          <w:bCs/>
          <w:sz w:val="22"/>
          <w:szCs w:val="22"/>
          <w:lang w:val="fr-FR"/>
        </w:rPr>
        <w:t>autres commissions et organes. En effet, il rest</w:t>
      </w:r>
      <w:r>
        <w:rPr>
          <w:rFonts w:ascii="Arial" w:hAnsi="Arial" w:cs="Arial"/>
          <w:bCs/>
          <w:sz w:val="22"/>
          <w:szCs w:val="22"/>
          <w:lang w:val="fr-FR"/>
        </w:rPr>
        <w:t>ait</w:t>
      </w:r>
      <w:r w:rsidRPr="005D1E75">
        <w:rPr>
          <w:rFonts w:ascii="Arial" w:hAnsi="Arial" w:cs="Arial"/>
          <w:bCs/>
          <w:sz w:val="22"/>
          <w:szCs w:val="22"/>
          <w:lang w:val="fr-FR"/>
        </w:rPr>
        <w:t xml:space="preserve"> difficile d</w:t>
      </w:r>
      <w:r w:rsidR="008E532B">
        <w:rPr>
          <w:rFonts w:ascii="Arial" w:hAnsi="Arial" w:cs="Arial"/>
          <w:bCs/>
          <w:sz w:val="22"/>
          <w:szCs w:val="22"/>
          <w:lang w:val="fr-FR"/>
        </w:rPr>
        <w:t>’</w:t>
      </w:r>
      <w:r w:rsidRPr="005D1E75">
        <w:rPr>
          <w:rFonts w:ascii="Arial" w:hAnsi="Arial" w:cs="Arial"/>
          <w:bCs/>
          <w:sz w:val="22"/>
          <w:szCs w:val="22"/>
          <w:lang w:val="fr-FR"/>
        </w:rPr>
        <w:t>organiser des élections en ligne et elle estim</w:t>
      </w:r>
      <w:r>
        <w:rPr>
          <w:rFonts w:ascii="Arial" w:hAnsi="Arial" w:cs="Arial"/>
          <w:bCs/>
          <w:sz w:val="22"/>
          <w:szCs w:val="22"/>
          <w:lang w:val="fr-FR"/>
        </w:rPr>
        <w:t>ait</w:t>
      </w:r>
      <w:r w:rsidRPr="005D1E75">
        <w:rPr>
          <w:rFonts w:ascii="Arial" w:hAnsi="Arial" w:cs="Arial"/>
          <w:bCs/>
          <w:sz w:val="22"/>
          <w:szCs w:val="22"/>
          <w:lang w:val="fr-FR"/>
        </w:rPr>
        <w:t xml:space="preserve"> que cela devait être maintenu</w:t>
      </w:r>
      <w:r>
        <w:rPr>
          <w:rFonts w:ascii="Arial" w:hAnsi="Arial" w:cs="Arial"/>
          <w:bCs/>
          <w:sz w:val="22"/>
          <w:szCs w:val="22"/>
          <w:lang w:val="fr-FR"/>
        </w:rPr>
        <w:t xml:space="preserve"> </w:t>
      </w:r>
      <w:r w:rsidRPr="007C713C">
        <w:rPr>
          <w:rFonts w:ascii="Arial" w:hAnsi="Arial" w:cs="Arial"/>
          <w:bCs/>
          <w:i/>
          <w:iCs/>
          <w:sz w:val="22"/>
          <w:szCs w:val="22"/>
          <w:lang w:val="fr-FR"/>
        </w:rPr>
        <w:t xml:space="preserve">in </w:t>
      </w:r>
      <w:proofErr w:type="spellStart"/>
      <w:r w:rsidRPr="007C713C">
        <w:rPr>
          <w:rFonts w:ascii="Arial" w:hAnsi="Arial" w:cs="Arial"/>
          <w:bCs/>
          <w:i/>
          <w:iCs/>
          <w:sz w:val="22"/>
          <w:szCs w:val="22"/>
          <w:lang w:val="fr-FR"/>
        </w:rPr>
        <w:t>pr</w:t>
      </w:r>
      <w:r>
        <w:rPr>
          <w:rFonts w:ascii="Arial" w:hAnsi="Arial" w:cs="Arial"/>
          <w:bCs/>
          <w:i/>
          <w:iCs/>
          <w:sz w:val="22"/>
          <w:szCs w:val="22"/>
          <w:lang w:val="fr-FR"/>
        </w:rPr>
        <w:t>æ</w:t>
      </w:r>
      <w:r w:rsidRPr="007C713C">
        <w:rPr>
          <w:rFonts w:ascii="Arial" w:hAnsi="Arial" w:cs="Arial"/>
          <w:bCs/>
          <w:i/>
          <w:iCs/>
          <w:sz w:val="22"/>
          <w:szCs w:val="22"/>
          <w:lang w:val="fr-FR"/>
        </w:rPr>
        <w:t>sentia</w:t>
      </w:r>
      <w:proofErr w:type="spellEnd"/>
      <w:r w:rsidRPr="005D1E75">
        <w:rPr>
          <w:rFonts w:ascii="Arial" w:hAnsi="Arial" w:cs="Arial"/>
          <w:bCs/>
          <w:sz w:val="22"/>
          <w:szCs w:val="22"/>
          <w:lang w:val="fr-FR"/>
        </w:rPr>
        <w:t>. La délégation a suggéré de suivre la proposition exprimée par de nombreuses délégations concernant l</w:t>
      </w:r>
      <w:r w:rsidR="008E532B">
        <w:rPr>
          <w:rFonts w:ascii="Arial" w:hAnsi="Arial" w:cs="Arial"/>
          <w:bCs/>
          <w:sz w:val="22"/>
          <w:szCs w:val="22"/>
          <w:lang w:val="fr-FR"/>
        </w:rPr>
        <w:t>’</w:t>
      </w:r>
      <w:r w:rsidRPr="005D1E75">
        <w:rPr>
          <w:rFonts w:ascii="Arial" w:hAnsi="Arial" w:cs="Arial"/>
          <w:bCs/>
          <w:sz w:val="22"/>
          <w:szCs w:val="22"/>
          <w:lang w:val="fr-FR"/>
        </w:rPr>
        <w:t>article 3.3.</w:t>
      </w:r>
    </w:p>
    <w:p w14:paraId="1EF9899F" w14:textId="0A4C24D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870E10">
        <w:rPr>
          <w:rFonts w:ascii="Arial" w:hAnsi="Arial" w:cs="Arial"/>
          <w:bCs/>
          <w:sz w:val="22"/>
          <w:szCs w:val="22"/>
          <w:lang w:val="fr-FR"/>
        </w:rPr>
        <w:t>délégation</w:t>
      </w:r>
      <w:r>
        <w:rPr>
          <w:rFonts w:ascii="Arial" w:hAnsi="Arial" w:cs="Arial"/>
          <w:bCs/>
          <w:sz w:val="22"/>
          <w:szCs w:val="22"/>
          <w:lang w:val="fr-FR"/>
        </w:rPr>
        <w:t xml:space="preserve"> d</w:t>
      </w:r>
      <w:r w:rsidR="008E532B">
        <w:rPr>
          <w:rFonts w:ascii="Arial" w:hAnsi="Arial" w:cs="Arial"/>
          <w:bCs/>
          <w:sz w:val="22"/>
          <w:szCs w:val="22"/>
          <w:lang w:val="fr-FR"/>
        </w:rPr>
        <w:t>’</w:t>
      </w:r>
      <w:r w:rsidRPr="00074019">
        <w:rPr>
          <w:rFonts w:ascii="Arial" w:hAnsi="Arial" w:cs="Arial"/>
          <w:b/>
          <w:sz w:val="22"/>
          <w:szCs w:val="22"/>
          <w:lang w:val="fr-FR"/>
        </w:rPr>
        <w:t>Oman</w:t>
      </w:r>
      <w:r>
        <w:rPr>
          <w:rFonts w:ascii="Arial" w:hAnsi="Arial" w:cs="Arial"/>
          <w:bCs/>
          <w:sz w:val="22"/>
          <w:szCs w:val="22"/>
          <w:lang w:val="fr-FR"/>
        </w:rPr>
        <w:t xml:space="preserve"> a remercié le </w:t>
      </w:r>
      <w:r w:rsidRPr="00870E10">
        <w:rPr>
          <w:rFonts w:ascii="Arial" w:hAnsi="Arial" w:cs="Arial"/>
          <w:bCs/>
          <w:sz w:val="22"/>
          <w:szCs w:val="22"/>
          <w:lang w:val="fr-FR"/>
        </w:rPr>
        <w:t>Secréta</w:t>
      </w:r>
      <w:r>
        <w:rPr>
          <w:rFonts w:ascii="Arial" w:hAnsi="Arial" w:cs="Arial"/>
          <w:bCs/>
          <w:sz w:val="22"/>
          <w:szCs w:val="22"/>
          <w:lang w:val="fr-FR"/>
        </w:rPr>
        <w:t xml:space="preserve">riat et tous ceux qui avaient contribué au travail sur le Règlement intérieur. Elle soutenait </w:t>
      </w:r>
      <w:r w:rsidRPr="00074019">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l</w:t>
      </w:r>
      <w:r w:rsidR="008E532B">
        <w:rPr>
          <w:rFonts w:ascii="Arial" w:hAnsi="Arial" w:cs="Arial"/>
          <w:bCs/>
          <w:color w:val="000000" w:themeColor="text1"/>
          <w:sz w:val="22"/>
          <w:szCs w:val="22"/>
          <w:lang w:val="fr-FR"/>
        </w:rPr>
        <w:t>’</w:t>
      </w:r>
      <w:r w:rsidRPr="00074019">
        <w:rPr>
          <w:rFonts w:ascii="Arial" w:hAnsi="Arial" w:cs="Arial"/>
          <w:bCs/>
          <w:color w:val="000000" w:themeColor="text1"/>
          <w:sz w:val="22"/>
          <w:szCs w:val="22"/>
          <w:lang w:val="fr-FR"/>
        </w:rPr>
        <w:t>amendement</w:t>
      </w:r>
      <w:r>
        <w:rPr>
          <w:rFonts w:ascii="Arial" w:hAnsi="Arial" w:cs="Arial"/>
          <w:bCs/>
          <w:color w:val="000000" w:themeColor="text1"/>
          <w:sz w:val="22"/>
          <w:szCs w:val="22"/>
          <w:lang w:val="fr-FR"/>
        </w:rPr>
        <w:t xml:space="preserve"> soulevé par la Chine sur l</w:t>
      </w:r>
      <w:r w:rsidR="008E532B">
        <w:rPr>
          <w:rFonts w:ascii="Arial" w:hAnsi="Arial" w:cs="Arial"/>
          <w:bCs/>
          <w:color w:val="000000" w:themeColor="text1"/>
          <w:sz w:val="22"/>
          <w:szCs w:val="22"/>
          <w:lang w:val="fr-FR"/>
        </w:rPr>
        <w:t>’</w:t>
      </w:r>
      <w:r w:rsidRPr="00074019">
        <w:rPr>
          <w:rFonts w:ascii="Arial" w:hAnsi="Arial" w:cs="Arial"/>
          <w:bCs/>
          <w:color w:val="000000" w:themeColor="text1"/>
          <w:sz w:val="22"/>
          <w:szCs w:val="22"/>
          <w:lang w:val="fr-FR"/>
        </w:rPr>
        <w:t>article</w:t>
      </w:r>
      <w:r>
        <w:rPr>
          <w:rFonts w:ascii="Arial" w:hAnsi="Arial" w:cs="Arial"/>
          <w:bCs/>
          <w:color w:val="000000" w:themeColor="text1"/>
          <w:sz w:val="22"/>
          <w:szCs w:val="22"/>
          <w:lang w:val="fr-FR"/>
        </w:rPr>
        <w:t xml:space="preserve"> 3.3.</w:t>
      </w:r>
    </w:p>
    <w:p w14:paraId="66216423" w14:textId="6B9C704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74019">
        <w:rPr>
          <w:rFonts w:ascii="Arial" w:hAnsi="Arial" w:cs="Arial"/>
          <w:bCs/>
          <w:sz w:val="22"/>
          <w:szCs w:val="22"/>
          <w:lang w:val="fr-FR"/>
        </w:rPr>
        <w:t>délégation</w:t>
      </w:r>
      <w:r>
        <w:rPr>
          <w:rFonts w:ascii="Arial" w:hAnsi="Arial" w:cs="Arial"/>
          <w:bCs/>
          <w:sz w:val="22"/>
          <w:szCs w:val="22"/>
          <w:lang w:val="fr-FR"/>
        </w:rPr>
        <w:t xml:space="preserve"> du </w:t>
      </w:r>
      <w:r w:rsidRPr="00074019">
        <w:rPr>
          <w:rFonts w:ascii="Arial" w:hAnsi="Arial" w:cs="Arial"/>
          <w:b/>
          <w:sz w:val="22"/>
          <w:szCs w:val="22"/>
          <w:lang w:val="fr-FR"/>
        </w:rPr>
        <w:t>Koweït</w:t>
      </w:r>
      <w:r>
        <w:rPr>
          <w:rFonts w:ascii="Arial" w:hAnsi="Arial" w:cs="Arial"/>
          <w:bCs/>
          <w:sz w:val="22"/>
          <w:szCs w:val="22"/>
          <w:lang w:val="fr-FR"/>
        </w:rPr>
        <w:t xml:space="preserve"> a remercié le </w:t>
      </w:r>
      <w:r w:rsidRPr="00074019">
        <w:rPr>
          <w:rFonts w:ascii="Arial" w:hAnsi="Arial" w:cs="Arial"/>
          <w:bCs/>
          <w:sz w:val="22"/>
          <w:szCs w:val="22"/>
          <w:lang w:val="fr-FR"/>
        </w:rPr>
        <w:t>Secréta</w:t>
      </w:r>
      <w:r>
        <w:rPr>
          <w:rFonts w:ascii="Arial" w:hAnsi="Arial" w:cs="Arial"/>
          <w:bCs/>
          <w:sz w:val="22"/>
          <w:szCs w:val="22"/>
          <w:lang w:val="fr-FR"/>
        </w:rPr>
        <w:t xml:space="preserve">riat pour le rapport. Le Koweït soutenait </w:t>
      </w:r>
      <w:r w:rsidRPr="00074019">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le projet d</w:t>
      </w:r>
      <w:r w:rsidR="008E532B">
        <w:rPr>
          <w:rFonts w:ascii="Arial" w:hAnsi="Arial" w:cs="Arial"/>
          <w:bCs/>
          <w:color w:val="000000" w:themeColor="text1"/>
          <w:sz w:val="22"/>
          <w:szCs w:val="22"/>
          <w:lang w:val="fr-FR"/>
        </w:rPr>
        <w:t>’</w:t>
      </w:r>
      <w:r w:rsidRPr="00074019">
        <w:rPr>
          <w:rFonts w:ascii="Arial" w:hAnsi="Arial" w:cs="Arial"/>
          <w:bCs/>
          <w:color w:val="000000" w:themeColor="text1"/>
          <w:sz w:val="22"/>
          <w:szCs w:val="22"/>
          <w:lang w:val="fr-FR"/>
        </w:rPr>
        <w:t>amendement</w:t>
      </w:r>
      <w:r>
        <w:rPr>
          <w:rFonts w:ascii="Arial" w:hAnsi="Arial" w:cs="Arial"/>
          <w:bCs/>
          <w:color w:val="000000" w:themeColor="text1"/>
          <w:sz w:val="22"/>
          <w:szCs w:val="22"/>
          <w:lang w:val="fr-FR"/>
        </w:rPr>
        <w:t xml:space="preserve"> soumis pour l</w:t>
      </w:r>
      <w:r w:rsidR="008E532B">
        <w:rPr>
          <w:rFonts w:ascii="Arial" w:hAnsi="Arial" w:cs="Arial"/>
          <w:bCs/>
          <w:color w:val="000000" w:themeColor="text1"/>
          <w:sz w:val="22"/>
          <w:szCs w:val="22"/>
          <w:lang w:val="fr-FR"/>
        </w:rPr>
        <w:t>’</w:t>
      </w:r>
      <w:r>
        <w:rPr>
          <w:rFonts w:ascii="Arial" w:hAnsi="Arial" w:cs="Arial"/>
          <w:bCs/>
          <w:color w:val="000000" w:themeColor="text1"/>
          <w:sz w:val="22"/>
          <w:szCs w:val="22"/>
          <w:lang w:val="fr-FR"/>
        </w:rPr>
        <w:t>article 3.3.</w:t>
      </w:r>
    </w:p>
    <w:p w14:paraId="2A0B8894" w14:textId="76154DD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D75C8">
        <w:rPr>
          <w:rFonts w:ascii="Arial" w:hAnsi="Arial" w:cs="Arial"/>
          <w:bCs/>
          <w:sz w:val="22"/>
          <w:szCs w:val="22"/>
          <w:lang w:val="fr-FR"/>
        </w:rPr>
        <w:t xml:space="preserve">La délégation de la </w:t>
      </w:r>
      <w:r w:rsidRPr="005D75C8">
        <w:rPr>
          <w:rFonts w:ascii="Arial" w:hAnsi="Arial" w:cs="Arial"/>
          <w:b/>
          <w:sz w:val="22"/>
          <w:szCs w:val="22"/>
          <w:lang w:val="fr-FR"/>
        </w:rPr>
        <w:t>Grenade</w:t>
      </w:r>
      <w:r w:rsidRPr="005D75C8">
        <w:rPr>
          <w:rFonts w:ascii="Arial" w:hAnsi="Arial" w:cs="Arial"/>
          <w:bCs/>
          <w:sz w:val="22"/>
          <w:szCs w:val="22"/>
          <w:lang w:val="fr-FR"/>
        </w:rPr>
        <w:t xml:space="preserve"> a remercié le groupe de travail, s</w:t>
      </w:r>
      <w:r>
        <w:rPr>
          <w:rFonts w:ascii="Arial" w:hAnsi="Arial" w:cs="Arial"/>
          <w:bCs/>
          <w:sz w:val="22"/>
          <w:szCs w:val="22"/>
          <w:lang w:val="fr-FR"/>
        </w:rPr>
        <w:t>on</w:t>
      </w:r>
      <w:r w:rsidRPr="005D75C8">
        <w:rPr>
          <w:rFonts w:ascii="Arial" w:hAnsi="Arial" w:cs="Arial"/>
          <w:bCs/>
          <w:sz w:val="22"/>
          <w:szCs w:val="22"/>
          <w:lang w:val="fr-FR"/>
        </w:rPr>
        <w:t xml:space="preserve"> Président et les experts pour leur travail. Tout d</w:t>
      </w:r>
      <w:r w:rsidR="008E532B">
        <w:rPr>
          <w:rFonts w:ascii="Arial" w:hAnsi="Arial" w:cs="Arial"/>
          <w:bCs/>
          <w:sz w:val="22"/>
          <w:szCs w:val="22"/>
          <w:lang w:val="fr-FR"/>
        </w:rPr>
        <w:t>’</w:t>
      </w:r>
      <w:r w:rsidRPr="005D75C8">
        <w:rPr>
          <w:rFonts w:ascii="Arial" w:hAnsi="Arial" w:cs="Arial"/>
          <w:bCs/>
          <w:sz w:val="22"/>
          <w:szCs w:val="22"/>
          <w:lang w:val="fr-FR"/>
        </w:rPr>
        <w:t xml:space="preserve">abord, dans les amendements au Règlement, il </w:t>
      </w:r>
      <w:r>
        <w:rPr>
          <w:rFonts w:ascii="Arial" w:hAnsi="Arial" w:cs="Arial"/>
          <w:bCs/>
          <w:sz w:val="22"/>
          <w:szCs w:val="22"/>
          <w:lang w:val="fr-FR"/>
        </w:rPr>
        <w:t>était</w:t>
      </w:r>
      <w:r w:rsidRPr="005D75C8">
        <w:rPr>
          <w:rFonts w:ascii="Arial" w:hAnsi="Arial" w:cs="Arial"/>
          <w:bCs/>
          <w:sz w:val="22"/>
          <w:szCs w:val="22"/>
          <w:lang w:val="fr-FR"/>
        </w:rPr>
        <w:t xml:space="preserve"> proposé de supprimer la </w:t>
      </w:r>
      <w:r>
        <w:rPr>
          <w:rFonts w:ascii="Arial" w:hAnsi="Arial" w:cs="Arial"/>
          <w:bCs/>
          <w:sz w:val="22"/>
          <w:szCs w:val="22"/>
          <w:lang w:val="fr-FR"/>
        </w:rPr>
        <w:t xml:space="preserve">séance </w:t>
      </w:r>
      <w:r w:rsidRPr="005D75C8">
        <w:rPr>
          <w:rFonts w:ascii="Arial" w:hAnsi="Arial" w:cs="Arial"/>
          <w:bCs/>
          <w:sz w:val="22"/>
          <w:szCs w:val="22"/>
          <w:lang w:val="fr-FR"/>
        </w:rPr>
        <w:t>plénière [</w:t>
      </w:r>
      <w:r>
        <w:rPr>
          <w:rFonts w:ascii="Arial" w:hAnsi="Arial" w:cs="Arial"/>
          <w:bCs/>
          <w:sz w:val="22"/>
          <w:szCs w:val="22"/>
          <w:lang w:val="fr-FR"/>
        </w:rPr>
        <w:t xml:space="preserve">dans les </w:t>
      </w:r>
      <w:r w:rsidRPr="005D75C8">
        <w:rPr>
          <w:rFonts w:ascii="Arial" w:hAnsi="Arial" w:cs="Arial"/>
          <w:bCs/>
          <w:sz w:val="22"/>
          <w:szCs w:val="22"/>
          <w:lang w:val="fr-FR"/>
        </w:rPr>
        <w:t xml:space="preserve">articles 17, 18 et 19], la raison de cette proposition étant de </w:t>
      </w:r>
      <w:r>
        <w:rPr>
          <w:rFonts w:ascii="Arial" w:hAnsi="Arial" w:cs="Arial"/>
          <w:bCs/>
          <w:sz w:val="22"/>
          <w:szCs w:val="22"/>
          <w:lang w:val="fr-FR"/>
        </w:rPr>
        <w:t>« </w:t>
      </w:r>
      <w:r w:rsidRPr="005D75C8">
        <w:rPr>
          <w:rFonts w:ascii="Arial" w:hAnsi="Arial" w:cs="Arial"/>
          <w:bCs/>
          <w:sz w:val="22"/>
          <w:szCs w:val="22"/>
          <w:lang w:val="fr-FR"/>
        </w:rPr>
        <w:t>donner plus de flexibilité à l</w:t>
      </w:r>
      <w:r w:rsidR="008E532B">
        <w:rPr>
          <w:rFonts w:ascii="Arial" w:hAnsi="Arial" w:cs="Arial"/>
          <w:bCs/>
          <w:sz w:val="22"/>
          <w:szCs w:val="22"/>
          <w:lang w:val="fr-FR"/>
        </w:rPr>
        <w:t>’</w:t>
      </w:r>
      <w:r w:rsidRPr="005D75C8">
        <w:rPr>
          <w:rFonts w:ascii="Arial" w:hAnsi="Arial" w:cs="Arial"/>
          <w:bCs/>
          <w:sz w:val="22"/>
          <w:szCs w:val="22"/>
          <w:lang w:val="fr-FR"/>
        </w:rPr>
        <w:t>Assemblée</w:t>
      </w:r>
      <w:r>
        <w:rPr>
          <w:rFonts w:ascii="Arial" w:hAnsi="Arial" w:cs="Arial"/>
          <w:bCs/>
          <w:sz w:val="22"/>
          <w:szCs w:val="22"/>
          <w:lang w:val="fr-FR"/>
        </w:rPr>
        <w:t>. »</w:t>
      </w:r>
      <w:r w:rsidRPr="005D75C8">
        <w:rPr>
          <w:rFonts w:ascii="Arial" w:hAnsi="Arial" w:cs="Arial"/>
          <w:bCs/>
          <w:sz w:val="22"/>
          <w:szCs w:val="22"/>
          <w:lang w:val="fr-FR"/>
        </w:rPr>
        <w:t>. La délégation s</w:t>
      </w:r>
      <w:r>
        <w:rPr>
          <w:rFonts w:ascii="Arial" w:hAnsi="Arial" w:cs="Arial"/>
          <w:bCs/>
          <w:sz w:val="22"/>
          <w:szCs w:val="22"/>
          <w:lang w:val="fr-FR"/>
        </w:rPr>
        <w:t>e</w:t>
      </w:r>
      <w:r w:rsidRPr="005D75C8">
        <w:rPr>
          <w:rFonts w:ascii="Arial" w:hAnsi="Arial" w:cs="Arial"/>
          <w:bCs/>
          <w:sz w:val="22"/>
          <w:szCs w:val="22"/>
          <w:lang w:val="fr-FR"/>
        </w:rPr>
        <w:t xml:space="preserve"> demand</w:t>
      </w:r>
      <w:r>
        <w:rPr>
          <w:rFonts w:ascii="Arial" w:hAnsi="Arial" w:cs="Arial"/>
          <w:bCs/>
          <w:sz w:val="22"/>
          <w:szCs w:val="22"/>
          <w:lang w:val="fr-FR"/>
        </w:rPr>
        <w:t>ait</w:t>
      </w:r>
      <w:r w:rsidRPr="005D75C8">
        <w:rPr>
          <w:rFonts w:ascii="Arial" w:hAnsi="Arial" w:cs="Arial"/>
          <w:bCs/>
          <w:sz w:val="22"/>
          <w:szCs w:val="22"/>
          <w:lang w:val="fr-FR"/>
        </w:rPr>
        <w:t xml:space="preserve"> où de telles décisions </w:t>
      </w:r>
      <w:r>
        <w:rPr>
          <w:rFonts w:ascii="Arial" w:hAnsi="Arial" w:cs="Arial"/>
          <w:bCs/>
          <w:sz w:val="22"/>
          <w:szCs w:val="22"/>
          <w:lang w:val="fr-FR"/>
        </w:rPr>
        <w:t xml:space="preserve">seraient </w:t>
      </w:r>
      <w:r w:rsidRPr="005D75C8">
        <w:rPr>
          <w:rFonts w:ascii="Arial" w:hAnsi="Arial" w:cs="Arial"/>
          <w:bCs/>
          <w:sz w:val="22"/>
          <w:szCs w:val="22"/>
          <w:lang w:val="fr-FR"/>
        </w:rPr>
        <w:t>prises si ce n</w:t>
      </w:r>
      <w:r w:rsidR="008E532B">
        <w:rPr>
          <w:rFonts w:ascii="Arial" w:hAnsi="Arial" w:cs="Arial"/>
          <w:bCs/>
          <w:sz w:val="22"/>
          <w:szCs w:val="22"/>
          <w:lang w:val="fr-FR"/>
        </w:rPr>
        <w:t>’</w:t>
      </w:r>
      <w:r>
        <w:rPr>
          <w:rFonts w:ascii="Arial" w:hAnsi="Arial" w:cs="Arial"/>
          <w:bCs/>
          <w:sz w:val="22"/>
          <w:szCs w:val="22"/>
          <w:lang w:val="fr-FR"/>
        </w:rPr>
        <w:t xml:space="preserve">était </w:t>
      </w:r>
      <w:r w:rsidRPr="005D75C8">
        <w:rPr>
          <w:rFonts w:ascii="Arial" w:hAnsi="Arial" w:cs="Arial"/>
          <w:bCs/>
          <w:sz w:val="22"/>
          <w:szCs w:val="22"/>
          <w:lang w:val="fr-FR"/>
        </w:rPr>
        <w:t xml:space="preserve">pas en </w:t>
      </w:r>
      <w:r>
        <w:rPr>
          <w:rFonts w:ascii="Arial" w:hAnsi="Arial" w:cs="Arial"/>
          <w:bCs/>
          <w:sz w:val="22"/>
          <w:szCs w:val="22"/>
          <w:lang w:val="fr-FR"/>
        </w:rPr>
        <w:t xml:space="preserve">séance </w:t>
      </w:r>
      <w:r w:rsidRPr="005D75C8">
        <w:rPr>
          <w:rFonts w:ascii="Arial" w:hAnsi="Arial" w:cs="Arial"/>
          <w:bCs/>
          <w:sz w:val="22"/>
          <w:szCs w:val="22"/>
          <w:lang w:val="fr-FR"/>
        </w:rPr>
        <w:t>plénière</w:t>
      </w:r>
      <w:r>
        <w:rPr>
          <w:rFonts w:ascii="Arial" w:hAnsi="Arial" w:cs="Arial"/>
          <w:bCs/>
          <w:sz w:val="22"/>
          <w:szCs w:val="22"/>
          <w:lang w:val="fr-FR"/>
        </w:rPr>
        <w:t xml:space="preserve">. </w:t>
      </w:r>
      <w:r w:rsidRPr="005D75C8">
        <w:rPr>
          <w:rFonts w:ascii="Arial" w:hAnsi="Arial" w:cs="Arial"/>
          <w:bCs/>
          <w:sz w:val="22"/>
          <w:szCs w:val="22"/>
          <w:lang w:val="fr-FR"/>
        </w:rPr>
        <w:t xml:space="preserve">La délégation </w:t>
      </w:r>
      <w:r>
        <w:rPr>
          <w:rFonts w:ascii="Arial" w:hAnsi="Arial" w:cs="Arial"/>
          <w:bCs/>
          <w:sz w:val="22"/>
          <w:szCs w:val="22"/>
          <w:lang w:val="fr-FR"/>
        </w:rPr>
        <w:t>soutenait les</w:t>
      </w:r>
      <w:r w:rsidRPr="005D75C8">
        <w:rPr>
          <w:rFonts w:ascii="Arial" w:hAnsi="Arial" w:cs="Arial"/>
          <w:bCs/>
          <w:sz w:val="22"/>
          <w:szCs w:val="22"/>
          <w:lang w:val="fr-FR"/>
        </w:rPr>
        <w:t xml:space="preserve"> remarques f</w:t>
      </w:r>
      <w:r>
        <w:rPr>
          <w:rFonts w:ascii="Arial" w:hAnsi="Arial" w:cs="Arial"/>
          <w:bCs/>
          <w:sz w:val="22"/>
          <w:szCs w:val="22"/>
          <w:lang w:val="fr-FR"/>
        </w:rPr>
        <w:t>ormulées</w:t>
      </w:r>
      <w:r w:rsidRPr="005D75C8">
        <w:rPr>
          <w:rFonts w:ascii="Arial" w:hAnsi="Arial" w:cs="Arial"/>
          <w:bCs/>
          <w:sz w:val="22"/>
          <w:szCs w:val="22"/>
          <w:lang w:val="fr-FR"/>
        </w:rPr>
        <w:t xml:space="preserve"> par la Palestine. La possibilité de tenir des réunions à la fois en ligne et </w:t>
      </w:r>
      <w:r>
        <w:rPr>
          <w:rFonts w:ascii="Arial" w:hAnsi="Arial" w:cs="Arial"/>
          <w:bCs/>
          <w:sz w:val="22"/>
          <w:szCs w:val="22"/>
          <w:lang w:val="fr-FR"/>
        </w:rPr>
        <w:t>en présentiel</w:t>
      </w:r>
      <w:r w:rsidRPr="005D75C8">
        <w:rPr>
          <w:rFonts w:ascii="Arial" w:hAnsi="Arial" w:cs="Arial"/>
          <w:bCs/>
          <w:sz w:val="22"/>
          <w:szCs w:val="22"/>
          <w:lang w:val="fr-FR"/>
        </w:rPr>
        <w:t xml:space="preserve"> d</w:t>
      </w:r>
      <w:r>
        <w:rPr>
          <w:rFonts w:ascii="Arial" w:hAnsi="Arial" w:cs="Arial"/>
          <w:bCs/>
          <w:sz w:val="22"/>
          <w:szCs w:val="22"/>
          <w:lang w:val="fr-FR"/>
        </w:rPr>
        <w:t>evait</w:t>
      </w:r>
      <w:r w:rsidRPr="005D75C8">
        <w:rPr>
          <w:rFonts w:ascii="Arial" w:hAnsi="Arial" w:cs="Arial"/>
          <w:bCs/>
          <w:sz w:val="22"/>
          <w:szCs w:val="22"/>
          <w:lang w:val="fr-FR"/>
        </w:rPr>
        <w:t xml:space="preserve"> être maintenue, ainsi que </w:t>
      </w:r>
      <w:r>
        <w:rPr>
          <w:rFonts w:ascii="Arial" w:hAnsi="Arial" w:cs="Arial"/>
          <w:bCs/>
          <w:sz w:val="22"/>
          <w:szCs w:val="22"/>
          <w:lang w:val="fr-FR"/>
        </w:rPr>
        <w:t>d</w:t>
      </w:r>
      <w:r w:rsidRPr="005D75C8">
        <w:rPr>
          <w:rFonts w:ascii="Arial" w:hAnsi="Arial" w:cs="Arial"/>
          <w:bCs/>
          <w:sz w:val="22"/>
          <w:szCs w:val="22"/>
          <w:lang w:val="fr-FR"/>
        </w:rPr>
        <w:t>es réunions hybrides. En outre, même pendant l</w:t>
      </w:r>
      <w:r w:rsidR="008E532B">
        <w:rPr>
          <w:rFonts w:ascii="Arial" w:hAnsi="Arial" w:cs="Arial"/>
          <w:bCs/>
          <w:sz w:val="22"/>
          <w:szCs w:val="22"/>
          <w:lang w:val="fr-FR"/>
        </w:rPr>
        <w:t>’</w:t>
      </w:r>
      <w:r w:rsidRPr="005D75C8">
        <w:rPr>
          <w:rFonts w:ascii="Arial" w:hAnsi="Arial" w:cs="Arial"/>
          <w:bCs/>
          <w:sz w:val="22"/>
          <w:szCs w:val="22"/>
          <w:lang w:val="fr-FR"/>
        </w:rPr>
        <w:t xml:space="preserve">Assemblée actuelle, </w:t>
      </w:r>
      <w:r>
        <w:rPr>
          <w:rFonts w:ascii="Arial" w:hAnsi="Arial" w:cs="Arial"/>
          <w:bCs/>
          <w:sz w:val="22"/>
          <w:szCs w:val="22"/>
          <w:lang w:val="fr-FR"/>
        </w:rPr>
        <w:t>nous avions pu observer qu</w:t>
      </w:r>
      <w:r w:rsidR="008E532B">
        <w:rPr>
          <w:rFonts w:ascii="Arial" w:hAnsi="Arial" w:cs="Arial"/>
          <w:bCs/>
          <w:sz w:val="22"/>
          <w:szCs w:val="22"/>
          <w:lang w:val="fr-FR"/>
        </w:rPr>
        <w:t>’</w:t>
      </w:r>
      <w:r w:rsidRPr="005D75C8">
        <w:rPr>
          <w:rFonts w:ascii="Arial" w:hAnsi="Arial" w:cs="Arial"/>
          <w:bCs/>
          <w:sz w:val="22"/>
          <w:szCs w:val="22"/>
          <w:lang w:val="fr-FR"/>
        </w:rPr>
        <w:t xml:space="preserve">il </w:t>
      </w:r>
      <w:r>
        <w:rPr>
          <w:rFonts w:ascii="Arial" w:hAnsi="Arial" w:cs="Arial"/>
          <w:bCs/>
          <w:sz w:val="22"/>
          <w:szCs w:val="22"/>
          <w:lang w:val="fr-FR"/>
        </w:rPr>
        <w:t xml:space="preserve">était difficile à des </w:t>
      </w:r>
      <w:r w:rsidRPr="005D75C8">
        <w:rPr>
          <w:rFonts w:ascii="Arial" w:hAnsi="Arial" w:cs="Arial"/>
          <w:bCs/>
          <w:sz w:val="22"/>
          <w:szCs w:val="22"/>
          <w:lang w:val="fr-FR"/>
        </w:rPr>
        <w:t xml:space="preserve">experts </w:t>
      </w:r>
      <w:r>
        <w:rPr>
          <w:rFonts w:ascii="Arial" w:hAnsi="Arial" w:cs="Arial"/>
          <w:bCs/>
          <w:sz w:val="22"/>
          <w:szCs w:val="22"/>
          <w:lang w:val="fr-FR"/>
        </w:rPr>
        <w:t xml:space="preserve">se trouvant </w:t>
      </w:r>
      <w:r w:rsidRPr="005D75C8">
        <w:rPr>
          <w:rFonts w:ascii="Arial" w:hAnsi="Arial" w:cs="Arial"/>
          <w:bCs/>
          <w:sz w:val="22"/>
          <w:szCs w:val="22"/>
          <w:lang w:val="fr-FR"/>
        </w:rPr>
        <w:t>dans les capitales</w:t>
      </w:r>
      <w:r>
        <w:rPr>
          <w:rFonts w:ascii="Arial" w:hAnsi="Arial" w:cs="Arial"/>
          <w:bCs/>
          <w:sz w:val="22"/>
          <w:szCs w:val="22"/>
          <w:lang w:val="fr-FR"/>
        </w:rPr>
        <w:t>,</w:t>
      </w:r>
      <w:r w:rsidRPr="005D75C8">
        <w:rPr>
          <w:rFonts w:ascii="Arial" w:hAnsi="Arial" w:cs="Arial"/>
          <w:bCs/>
          <w:sz w:val="22"/>
          <w:szCs w:val="22"/>
          <w:lang w:val="fr-FR"/>
        </w:rPr>
        <w:t xml:space="preserve"> qui n</w:t>
      </w:r>
      <w:r w:rsidR="008E532B">
        <w:rPr>
          <w:rFonts w:ascii="Arial" w:hAnsi="Arial" w:cs="Arial"/>
          <w:bCs/>
          <w:sz w:val="22"/>
          <w:szCs w:val="22"/>
          <w:lang w:val="fr-FR"/>
        </w:rPr>
        <w:t>’</w:t>
      </w:r>
      <w:r w:rsidRPr="005D75C8">
        <w:rPr>
          <w:rFonts w:ascii="Arial" w:hAnsi="Arial" w:cs="Arial"/>
          <w:bCs/>
          <w:sz w:val="22"/>
          <w:szCs w:val="22"/>
          <w:lang w:val="fr-FR"/>
        </w:rPr>
        <w:t xml:space="preserve">étaient </w:t>
      </w:r>
      <w:r>
        <w:rPr>
          <w:rFonts w:ascii="Arial" w:hAnsi="Arial" w:cs="Arial"/>
          <w:bCs/>
          <w:sz w:val="22"/>
          <w:szCs w:val="22"/>
          <w:lang w:val="fr-FR"/>
        </w:rPr>
        <w:t xml:space="preserve">donc </w:t>
      </w:r>
      <w:r w:rsidRPr="005D75C8">
        <w:rPr>
          <w:rFonts w:ascii="Arial" w:hAnsi="Arial" w:cs="Arial"/>
          <w:bCs/>
          <w:sz w:val="22"/>
          <w:szCs w:val="22"/>
          <w:lang w:val="fr-FR"/>
        </w:rPr>
        <w:t>pas physiquement présents</w:t>
      </w:r>
      <w:r>
        <w:rPr>
          <w:rFonts w:ascii="Arial" w:hAnsi="Arial" w:cs="Arial"/>
          <w:bCs/>
          <w:sz w:val="22"/>
          <w:szCs w:val="22"/>
          <w:lang w:val="fr-FR"/>
        </w:rPr>
        <w:t>, d</w:t>
      </w:r>
      <w:r w:rsidR="008E532B">
        <w:rPr>
          <w:rFonts w:ascii="Arial" w:hAnsi="Arial" w:cs="Arial"/>
          <w:bCs/>
          <w:sz w:val="22"/>
          <w:szCs w:val="22"/>
          <w:lang w:val="fr-FR"/>
        </w:rPr>
        <w:t>’</w:t>
      </w:r>
      <w:r>
        <w:rPr>
          <w:rFonts w:ascii="Arial" w:hAnsi="Arial" w:cs="Arial"/>
          <w:bCs/>
          <w:sz w:val="22"/>
          <w:szCs w:val="22"/>
          <w:lang w:val="fr-FR"/>
        </w:rPr>
        <w:t xml:space="preserve">intervenir ; il en allait de même pour </w:t>
      </w:r>
      <w:r w:rsidRPr="005D75C8">
        <w:rPr>
          <w:rFonts w:ascii="Arial" w:hAnsi="Arial" w:cs="Arial"/>
          <w:bCs/>
          <w:sz w:val="22"/>
          <w:szCs w:val="22"/>
          <w:lang w:val="fr-FR"/>
        </w:rPr>
        <w:t>le Secrétaire de la Convention</w:t>
      </w:r>
      <w:r>
        <w:rPr>
          <w:rFonts w:ascii="Arial" w:hAnsi="Arial" w:cs="Arial"/>
          <w:bCs/>
          <w:sz w:val="22"/>
          <w:szCs w:val="22"/>
          <w:lang w:val="fr-FR"/>
        </w:rPr>
        <w:t xml:space="preserve">, </w:t>
      </w:r>
      <w:r w:rsidRPr="0034279A">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absent</w:t>
      </w:r>
      <w:r w:rsidRPr="005D75C8">
        <w:rPr>
          <w:rFonts w:ascii="Arial" w:hAnsi="Arial" w:cs="Arial"/>
          <w:bCs/>
          <w:sz w:val="22"/>
          <w:szCs w:val="22"/>
          <w:lang w:val="fr-FR"/>
        </w:rPr>
        <w:t>. Dans une solution hybride, ils auraient été en mesure de participer. Il fa</w:t>
      </w:r>
      <w:r>
        <w:rPr>
          <w:rFonts w:ascii="Arial" w:hAnsi="Arial" w:cs="Arial"/>
          <w:bCs/>
          <w:sz w:val="22"/>
          <w:szCs w:val="22"/>
          <w:lang w:val="fr-FR"/>
        </w:rPr>
        <w:t>llait</w:t>
      </w:r>
      <w:r w:rsidRPr="005D75C8">
        <w:rPr>
          <w:rFonts w:ascii="Arial" w:hAnsi="Arial" w:cs="Arial"/>
          <w:bCs/>
          <w:sz w:val="22"/>
          <w:szCs w:val="22"/>
          <w:lang w:val="fr-FR"/>
        </w:rPr>
        <w:t xml:space="preserve"> donc garder cette possibilité.</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agissant des</w:t>
      </w:r>
      <w:r w:rsidRPr="005D75C8">
        <w:rPr>
          <w:rFonts w:ascii="Arial" w:hAnsi="Arial" w:cs="Arial"/>
          <w:bCs/>
          <w:sz w:val="22"/>
          <w:szCs w:val="22"/>
          <w:lang w:val="fr-FR"/>
        </w:rPr>
        <w:t xml:space="preserve"> élections, l</w:t>
      </w:r>
      <w:r w:rsidR="008E532B">
        <w:rPr>
          <w:rFonts w:ascii="Arial" w:hAnsi="Arial" w:cs="Arial"/>
          <w:bCs/>
          <w:sz w:val="22"/>
          <w:szCs w:val="22"/>
          <w:lang w:val="fr-FR"/>
        </w:rPr>
        <w:t>’</w:t>
      </w:r>
      <w:r w:rsidRPr="005D75C8">
        <w:rPr>
          <w:rFonts w:ascii="Arial" w:hAnsi="Arial" w:cs="Arial"/>
          <w:bCs/>
          <w:sz w:val="22"/>
          <w:szCs w:val="22"/>
          <w:lang w:val="fr-FR"/>
        </w:rPr>
        <w:t>Assemblée pourrait envisager certaines des possibilités</w:t>
      </w:r>
      <w:r>
        <w:rPr>
          <w:rFonts w:ascii="Arial" w:hAnsi="Arial" w:cs="Arial"/>
          <w:bCs/>
          <w:sz w:val="22"/>
          <w:szCs w:val="22"/>
          <w:lang w:val="fr-FR"/>
        </w:rPr>
        <w:t>, comme cela avait été le cas</w:t>
      </w:r>
      <w:r w:rsidRPr="005D75C8">
        <w:rPr>
          <w:rFonts w:ascii="Arial" w:hAnsi="Arial" w:cs="Arial"/>
          <w:bCs/>
          <w:sz w:val="22"/>
          <w:szCs w:val="22"/>
          <w:lang w:val="fr-FR"/>
        </w:rPr>
        <w:t xml:space="preserve"> pour le </w:t>
      </w:r>
      <w:r>
        <w:rPr>
          <w:rFonts w:ascii="Arial" w:hAnsi="Arial" w:cs="Arial"/>
          <w:bCs/>
          <w:sz w:val="22"/>
          <w:szCs w:val="22"/>
          <w:lang w:val="fr-FR"/>
        </w:rPr>
        <w:t xml:space="preserve">Conseil </w:t>
      </w:r>
      <w:r w:rsidRPr="005D75C8">
        <w:rPr>
          <w:rFonts w:ascii="Arial" w:hAnsi="Arial" w:cs="Arial"/>
          <w:bCs/>
          <w:sz w:val="22"/>
          <w:szCs w:val="22"/>
          <w:lang w:val="fr-FR"/>
        </w:rPr>
        <w:t>exécutif, par exemple.</w:t>
      </w:r>
    </w:p>
    <w:p w14:paraId="178364E5" w14:textId="1BEE4E4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4279A">
        <w:rPr>
          <w:rFonts w:ascii="Arial" w:hAnsi="Arial" w:cs="Arial"/>
          <w:bCs/>
          <w:sz w:val="22"/>
          <w:szCs w:val="22"/>
          <w:lang w:val="fr-FR"/>
        </w:rPr>
        <w:t xml:space="preserve">La délégation de la </w:t>
      </w:r>
      <w:r w:rsidRPr="0034279A">
        <w:rPr>
          <w:rFonts w:ascii="Arial" w:hAnsi="Arial" w:cs="Arial"/>
          <w:b/>
          <w:sz w:val="22"/>
          <w:szCs w:val="22"/>
          <w:lang w:val="fr-FR"/>
        </w:rPr>
        <w:t>Suisse</w:t>
      </w:r>
      <w:r w:rsidRPr="0034279A">
        <w:rPr>
          <w:rFonts w:ascii="Arial" w:hAnsi="Arial" w:cs="Arial"/>
          <w:bCs/>
          <w:sz w:val="22"/>
          <w:szCs w:val="22"/>
          <w:lang w:val="fr-FR"/>
        </w:rPr>
        <w:t xml:space="preserve"> </w:t>
      </w:r>
      <w:r>
        <w:rPr>
          <w:rFonts w:ascii="Arial" w:hAnsi="Arial" w:cs="Arial"/>
          <w:bCs/>
          <w:sz w:val="22"/>
          <w:szCs w:val="22"/>
          <w:lang w:val="fr-FR"/>
        </w:rPr>
        <w:t>était</w:t>
      </w:r>
      <w:r w:rsidRPr="0034279A">
        <w:rPr>
          <w:rFonts w:ascii="Arial" w:hAnsi="Arial" w:cs="Arial"/>
          <w:bCs/>
          <w:sz w:val="22"/>
          <w:szCs w:val="22"/>
          <w:lang w:val="fr-FR"/>
        </w:rPr>
        <w:t xml:space="preserve"> un peu </w:t>
      </w:r>
      <w:r>
        <w:rPr>
          <w:rFonts w:ascii="Arial" w:hAnsi="Arial" w:cs="Arial"/>
          <w:bCs/>
          <w:sz w:val="22"/>
          <w:szCs w:val="22"/>
          <w:lang w:val="fr-FR"/>
        </w:rPr>
        <w:t xml:space="preserve">désorientée </w:t>
      </w:r>
      <w:r w:rsidRPr="0034279A">
        <w:rPr>
          <w:rFonts w:ascii="Arial" w:hAnsi="Arial" w:cs="Arial"/>
          <w:bCs/>
          <w:sz w:val="22"/>
          <w:szCs w:val="22"/>
          <w:lang w:val="fr-FR"/>
        </w:rPr>
        <w:t>par la discussion actuelle car il y a</w:t>
      </w:r>
      <w:r>
        <w:rPr>
          <w:rFonts w:ascii="Arial" w:hAnsi="Arial" w:cs="Arial"/>
          <w:bCs/>
          <w:sz w:val="22"/>
          <w:szCs w:val="22"/>
          <w:lang w:val="fr-FR"/>
        </w:rPr>
        <w:t xml:space="preserve">vait </w:t>
      </w:r>
      <w:r w:rsidRPr="0034279A">
        <w:rPr>
          <w:rFonts w:ascii="Arial" w:hAnsi="Arial" w:cs="Arial"/>
          <w:bCs/>
          <w:sz w:val="22"/>
          <w:szCs w:val="22"/>
          <w:lang w:val="fr-FR"/>
        </w:rPr>
        <w:t>deux propositions concernant l</w:t>
      </w:r>
      <w:r w:rsidR="008E532B">
        <w:rPr>
          <w:rFonts w:ascii="Arial" w:hAnsi="Arial" w:cs="Arial"/>
          <w:bCs/>
          <w:sz w:val="22"/>
          <w:szCs w:val="22"/>
          <w:lang w:val="fr-FR"/>
        </w:rPr>
        <w:t>’</w:t>
      </w:r>
      <w:r w:rsidRPr="0034279A">
        <w:rPr>
          <w:rFonts w:ascii="Arial" w:hAnsi="Arial" w:cs="Arial"/>
          <w:bCs/>
          <w:sz w:val="22"/>
          <w:szCs w:val="22"/>
          <w:lang w:val="fr-FR"/>
        </w:rPr>
        <w:t>article 3.2 et l</w:t>
      </w:r>
      <w:r w:rsidR="008E532B">
        <w:rPr>
          <w:rFonts w:ascii="Arial" w:hAnsi="Arial" w:cs="Arial"/>
          <w:bCs/>
          <w:sz w:val="22"/>
          <w:szCs w:val="22"/>
          <w:lang w:val="fr-FR"/>
        </w:rPr>
        <w:t>’</w:t>
      </w:r>
      <w:r w:rsidRPr="0034279A">
        <w:rPr>
          <w:rFonts w:ascii="Arial" w:hAnsi="Arial" w:cs="Arial"/>
          <w:bCs/>
          <w:sz w:val="22"/>
          <w:szCs w:val="22"/>
          <w:lang w:val="fr-FR"/>
        </w:rPr>
        <w:t>article 3.3. Toutefois, il y avait une proposition visant à supprimer l</w:t>
      </w:r>
      <w:r w:rsidR="008E532B">
        <w:rPr>
          <w:rFonts w:ascii="Arial" w:hAnsi="Arial" w:cs="Arial"/>
          <w:bCs/>
          <w:sz w:val="22"/>
          <w:szCs w:val="22"/>
          <w:lang w:val="fr-FR"/>
        </w:rPr>
        <w:t>’</w:t>
      </w:r>
      <w:r w:rsidRPr="0034279A">
        <w:rPr>
          <w:rFonts w:ascii="Arial" w:hAnsi="Arial" w:cs="Arial"/>
          <w:bCs/>
          <w:sz w:val="22"/>
          <w:szCs w:val="22"/>
          <w:lang w:val="fr-FR"/>
        </w:rPr>
        <w:t>article 3.3. Pour la délégation, l</w:t>
      </w:r>
      <w:r w:rsidR="008E532B">
        <w:rPr>
          <w:rFonts w:ascii="Arial" w:hAnsi="Arial" w:cs="Arial"/>
          <w:bCs/>
          <w:sz w:val="22"/>
          <w:szCs w:val="22"/>
          <w:lang w:val="fr-FR"/>
        </w:rPr>
        <w:t>’</w:t>
      </w:r>
      <w:r w:rsidRPr="0034279A">
        <w:rPr>
          <w:rFonts w:ascii="Arial" w:hAnsi="Arial" w:cs="Arial"/>
          <w:bCs/>
          <w:sz w:val="22"/>
          <w:szCs w:val="22"/>
          <w:lang w:val="fr-FR"/>
        </w:rPr>
        <w:t>article 3.2 et l</w:t>
      </w:r>
      <w:r w:rsidR="008E532B">
        <w:rPr>
          <w:rFonts w:ascii="Arial" w:hAnsi="Arial" w:cs="Arial"/>
          <w:bCs/>
          <w:sz w:val="22"/>
          <w:szCs w:val="22"/>
          <w:lang w:val="fr-FR"/>
        </w:rPr>
        <w:t>’</w:t>
      </w:r>
      <w:r w:rsidRPr="0034279A">
        <w:rPr>
          <w:rFonts w:ascii="Arial" w:hAnsi="Arial" w:cs="Arial"/>
          <w:bCs/>
          <w:sz w:val="22"/>
          <w:szCs w:val="22"/>
          <w:lang w:val="fr-FR"/>
        </w:rPr>
        <w:t>article 3.3</w:t>
      </w:r>
      <w:r>
        <w:rPr>
          <w:rFonts w:ascii="Arial" w:hAnsi="Arial" w:cs="Arial"/>
          <w:bCs/>
          <w:sz w:val="22"/>
          <w:szCs w:val="22"/>
          <w:lang w:val="fr-FR"/>
        </w:rPr>
        <w:t xml:space="preserve"> étaient</w:t>
      </w:r>
      <w:r w:rsidRPr="0034279A">
        <w:rPr>
          <w:rFonts w:ascii="Arial" w:hAnsi="Arial" w:cs="Arial"/>
          <w:bCs/>
          <w:sz w:val="22"/>
          <w:szCs w:val="22"/>
          <w:lang w:val="fr-FR"/>
        </w:rPr>
        <w:t xml:space="preserve"> liés</w:t>
      </w:r>
      <w:r>
        <w:rPr>
          <w:rFonts w:ascii="Arial" w:hAnsi="Arial" w:cs="Arial"/>
          <w:bCs/>
          <w:sz w:val="22"/>
          <w:szCs w:val="22"/>
          <w:lang w:val="fr-FR"/>
        </w:rPr>
        <w:t>,</w:t>
      </w:r>
      <w:r w:rsidRPr="0034279A">
        <w:rPr>
          <w:rFonts w:ascii="Arial" w:hAnsi="Arial" w:cs="Arial"/>
          <w:bCs/>
          <w:sz w:val="22"/>
          <w:szCs w:val="22"/>
          <w:lang w:val="fr-FR"/>
        </w:rPr>
        <w:t xml:space="preserve"> car ils </w:t>
      </w:r>
      <w:r>
        <w:rPr>
          <w:rFonts w:ascii="Arial" w:hAnsi="Arial" w:cs="Arial"/>
          <w:bCs/>
          <w:sz w:val="22"/>
          <w:szCs w:val="22"/>
          <w:lang w:val="fr-FR"/>
        </w:rPr>
        <w:t>faisaient</w:t>
      </w:r>
      <w:r w:rsidRPr="0034279A">
        <w:rPr>
          <w:rFonts w:ascii="Arial" w:hAnsi="Arial" w:cs="Arial"/>
          <w:bCs/>
          <w:sz w:val="22"/>
          <w:szCs w:val="22"/>
          <w:lang w:val="fr-FR"/>
        </w:rPr>
        <w:t xml:space="preserve"> référence à l</w:t>
      </w:r>
      <w:r w:rsidR="008E532B">
        <w:rPr>
          <w:rFonts w:ascii="Arial" w:hAnsi="Arial" w:cs="Arial"/>
          <w:bCs/>
          <w:sz w:val="22"/>
          <w:szCs w:val="22"/>
          <w:lang w:val="fr-FR"/>
        </w:rPr>
        <w:t>’</w:t>
      </w:r>
      <w:r w:rsidRPr="0034279A">
        <w:rPr>
          <w:rFonts w:ascii="Arial" w:hAnsi="Arial" w:cs="Arial"/>
          <w:bCs/>
          <w:sz w:val="22"/>
          <w:szCs w:val="22"/>
          <w:lang w:val="fr-FR"/>
        </w:rPr>
        <w:t>ancienne version de l</w:t>
      </w:r>
      <w:r w:rsidR="008E532B">
        <w:rPr>
          <w:rFonts w:ascii="Arial" w:hAnsi="Arial" w:cs="Arial"/>
          <w:bCs/>
          <w:sz w:val="22"/>
          <w:szCs w:val="22"/>
          <w:lang w:val="fr-FR"/>
        </w:rPr>
        <w:t>’</w:t>
      </w:r>
      <w:r w:rsidRPr="0034279A">
        <w:rPr>
          <w:rFonts w:ascii="Arial" w:hAnsi="Arial" w:cs="Arial"/>
          <w:bCs/>
          <w:sz w:val="22"/>
          <w:szCs w:val="22"/>
          <w:lang w:val="fr-FR"/>
        </w:rPr>
        <w:t xml:space="preserve">article 2.2. Elle </w:t>
      </w:r>
      <w:r>
        <w:rPr>
          <w:rFonts w:ascii="Arial" w:hAnsi="Arial" w:cs="Arial"/>
          <w:bCs/>
          <w:sz w:val="22"/>
          <w:szCs w:val="22"/>
          <w:lang w:val="fr-FR"/>
        </w:rPr>
        <w:t>n</w:t>
      </w:r>
      <w:r w:rsidR="008E532B">
        <w:rPr>
          <w:rFonts w:ascii="Arial" w:hAnsi="Arial" w:cs="Arial"/>
          <w:bCs/>
          <w:sz w:val="22"/>
          <w:szCs w:val="22"/>
          <w:lang w:val="fr-FR"/>
        </w:rPr>
        <w:t>’</w:t>
      </w:r>
      <w:r w:rsidRPr="0034279A">
        <w:rPr>
          <w:rFonts w:ascii="Arial" w:hAnsi="Arial" w:cs="Arial"/>
          <w:bCs/>
          <w:sz w:val="22"/>
          <w:szCs w:val="22"/>
          <w:lang w:val="fr-FR"/>
        </w:rPr>
        <w:t>accept</w:t>
      </w:r>
      <w:r>
        <w:rPr>
          <w:rFonts w:ascii="Arial" w:hAnsi="Arial" w:cs="Arial"/>
          <w:bCs/>
          <w:sz w:val="22"/>
          <w:szCs w:val="22"/>
          <w:lang w:val="fr-FR"/>
        </w:rPr>
        <w:t>ait donc pas</w:t>
      </w:r>
      <w:r w:rsidRPr="0034279A">
        <w:rPr>
          <w:rFonts w:ascii="Arial" w:hAnsi="Arial" w:cs="Arial"/>
          <w:bCs/>
          <w:sz w:val="22"/>
          <w:szCs w:val="22"/>
          <w:lang w:val="fr-FR"/>
        </w:rPr>
        <w:t xml:space="preserve"> la suppression de l</w:t>
      </w:r>
      <w:r w:rsidR="008E532B">
        <w:rPr>
          <w:rFonts w:ascii="Arial" w:hAnsi="Arial" w:cs="Arial"/>
          <w:bCs/>
          <w:sz w:val="22"/>
          <w:szCs w:val="22"/>
          <w:lang w:val="fr-FR"/>
        </w:rPr>
        <w:t>’</w:t>
      </w:r>
      <w:r w:rsidRPr="0034279A">
        <w:rPr>
          <w:rFonts w:ascii="Arial" w:hAnsi="Arial" w:cs="Arial"/>
          <w:bCs/>
          <w:sz w:val="22"/>
          <w:szCs w:val="22"/>
          <w:lang w:val="fr-FR"/>
        </w:rPr>
        <w:t xml:space="preserve">un des deux </w:t>
      </w:r>
      <w:r>
        <w:rPr>
          <w:rFonts w:ascii="Arial" w:hAnsi="Arial" w:cs="Arial"/>
          <w:bCs/>
          <w:sz w:val="22"/>
          <w:szCs w:val="22"/>
          <w:lang w:val="fr-FR"/>
        </w:rPr>
        <w:t>articles</w:t>
      </w:r>
    </w:p>
    <w:p w14:paraId="26C2517A"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 xml:space="preserve">Fitness Committee is only $100, most of which is or will be utilized for our </w:t>
      </w:r>
      <w:proofErr w:type="gramStart"/>
      <w:r w:rsidRPr="00D9653F">
        <w:rPr>
          <w:rFonts w:ascii="Arial" w:hAnsi="Arial" w:cs="Arial"/>
          <w:color w:val="000000"/>
          <w:sz w:val="22"/>
          <w:szCs w:val="22"/>
        </w:rPr>
        <w:t>Programs</w:t>
      </w:r>
      <w:proofErr w:type="gramEnd"/>
      <w:r w:rsidRPr="00D9653F">
        <w:rPr>
          <w:rFonts w:ascii="Arial" w:hAnsi="Arial" w:cs="Arial"/>
          <w:color w:val="000000"/>
          <w:sz w:val="22"/>
          <w:szCs w:val="22"/>
        </w:rPr>
        <w:t xml:space="preserve"> </w:t>
      </w:r>
    </w:p>
    <w:p w14:paraId="07BC7636"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w:t>
      </w:r>
      <w:proofErr w:type="gramStart"/>
      <w:r w:rsidRPr="00D9653F">
        <w:rPr>
          <w:rFonts w:ascii="Arial" w:hAnsi="Arial" w:cs="Arial"/>
          <w:color w:val="000000"/>
          <w:sz w:val="22"/>
          <w:szCs w:val="22"/>
        </w:rPr>
        <w:t>such</w:t>
      </w:r>
      <w:proofErr w:type="gramEnd"/>
      <w:r w:rsidRPr="00D9653F">
        <w:rPr>
          <w:rFonts w:ascii="Arial" w:hAnsi="Arial" w:cs="Arial"/>
          <w:color w:val="000000"/>
          <w:sz w:val="22"/>
          <w:szCs w:val="22"/>
        </w:rPr>
        <w:t xml:space="preserve"> as the “Treadmill Challenge”, a speaker </w:t>
      </w:r>
      <w:proofErr w:type="spellStart"/>
      <w:r w:rsidRPr="00D9653F">
        <w:rPr>
          <w:rFonts w:ascii="Arial" w:hAnsi="Arial" w:cs="Arial"/>
          <w:color w:val="000000"/>
          <w:sz w:val="22"/>
          <w:szCs w:val="22"/>
        </w:rPr>
        <w:t>coning</w:t>
      </w:r>
      <w:proofErr w:type="spellEnd"/>
      <w:r w:rsidRPr="00D9653F">
        <w:rPr>
          <w:rFonts w:ascii="Arial" w:hAnsi="Arial" w:cs="Arial"/>
          <w:color w:val="000000"/>
          <w:sz w:val="22"/>
          <w:szCs w:val="22"/>
        </w:rPr>
        <w:t xml:space="preserve"> in to talk to the community in a </w:t>
      </w:r>
    </w:p>
    <w:p w14:paraId="640FB4A1"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lecture entitled “Exercising and Aging”, etc.), we decided to come to the Task Force with</w:t>
      </w:r>
    </w:p>
    <w:p w14:paraId="49917B79"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out proposal</w:t>
      </w:r>
    </w:p>
    <w:p w14:paraId="6D3ABBE1"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 xml:space="preserve">Fitness Committee is only $100, most of which is or will be utilized for our </w:t>
      </w:r>
      <w:proofErr w:type="gramStart"/>
      <w:r w:rsidRPr="00D9653F">
        <w:rPr>
          <w:rFonts w:ascii="Arial" w:hAnsi="Arial" w:cs="Arial"/>
          <w:color w:val="000000"/>
          <w:sz w:val="22"/>
          <w:szCs w:val="22"/>
        </w:rPr>
        <w:t>Programs</w:t>
      </w:r>
      <w:proofErr w:type="gramEnd"/>
      <w:r w:rsidRPr="00D9653F">
        <w:rPr>
          <w:rFonts w:ascii="Arial" w:hAnsi="Arial" w:cs="Arial"/>
          <w:color w:val="000000"/>
          <w:sz w:val="22"/>
          <w:szCs w:val="22"/>
        </w:rPr>
        <w:t xml:space="preserve"> </w:t>
      </w:r>
    </w:p>
    <w:p w14:paraId="0146884D"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w:t>
      </w:r>
      <w:proofErr w:type="gramStart"/>
      <w:r w:rsidRPr="00D9653F">
        <w:rPr>
          <w:rFonts w:ascii="Arial" w:hAnsi="Arial" w:cs="Arial"/>
          <w:color w:val="000000"/>
          <w:sz w:val="22"/>
          <w:szCs w:val="22"/>
        </w:rPr>
        <w:t>such</w:t>
      </w:r>
      <w:proofErr w:type="gramEnd"/>
      <w:r w:rsidRPr="00D9653F">
        <w:rPr>
          <w:rFonts w:ascii="Arial" w:hAnsi="Arial" w:cs="Arial"/>
          <w:color w:val="000000"/>
          <w:sz w:val="22"/>
          <w:szCs w:val="22"/>
        </w:rPr>
        <w:t xml:space="preserve"> as the “Treadmill Challenge”, a speaker </w:t>
      </w:r>
      <w:proofErr w:type="spellStart"/>
      <w:r w:rsidRPr="00D9653F">
        <w:rPr>
          <w:rFonts w:ascii="Arial" w:hAnsi="Arial" w:cs="Arial"/>
          <w:color w:val="000000"/>
          <w:sz w:val="22"/>
          <w:szCs w:val="22"/>
        </w:rPr>
        <w:t>coning</w:t>
      </w:r>
      <w:proofErr w:type="spellEnd"/>
      <w:r w:rsidRPr="00D9653F">
        <w:rPr>
          <w:rFonts w:ascii="Arial" w:hAnsi="Arial" w:cs="Arial"/>
          <w:color w:val="000000"/>
          <w:sz w:val="22"/>
          <w:szCs w:val="22"/>
        </w:rPr>
        <w:t xml:space="preserve"> in to talk to the community in a </w:t>
      </w:r>
    </w:p>
    <w:p w14:paraId="09E79245"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lecture entitled “Exercising and Aging”, etc.), we decided to come to the Task Force with</w:t>
      </w:r>
    </w:p>
    <w:p w14:paraId="13E31F90"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out proposal</w:t>
      </w:r>
    </w:p>
    <w:p w14:paraId="0B3E82A9"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 xml:space="preserve">Fitness Committee is only $100, most of which is or will be utilized for our </w:t>
      </w:r>
      <w:proofErr w:type="gramStart"/>
      <w:r w:rsidRPr="00D9653F">
        <w:rPr>
          <w:rFonts w:ascii="Arial" w:hAnsi="Arial" w:cs="Arial"/>
          <w:color w:val="000000"/>
          <w:sz w:val="22"/>
          <w:szCs w:val="22"/>
        </w:rPr>
        <w:t>Programs</w:t>
      </w:r>
      <w:proofErr w:type="gramEnd"/>
      <w:r w:rsidRPr="00D9653F">
        <w:rPr>
          <w:rFonts w:ascii="Arial" w:hAnsi="Arial" w:cs="Arial"/>
          <w:color w:val="000000"/>
          <w:sz w:val="22"/>
          <w:szCs w:val="22"/>
        </w:rPr>
        <w:t xml:space="preserve"> </w:t>
      </w:r>
    </w:p>
    <w:p w14:paraId="78275715"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w:t>
      </w:r>
      <w:proofErr w:type="gramStart"/>
      <w:r w:rsidRPr="00D9653F">
        <w:rPr>
          <w:rFonts w:ascii="Arial" w:hAnsi="Arial" w:cs="Arial"/>
          <w:color w:val="000000"/>
          <w:sz w:val="22"/>
          <w:szCs w:val="22"/>
        </w:rPr>
        <w:t>such</w:t>
      </w:r>
      <w:proofErr w:type="gramEnd"/>
      <w:r w:rsidRPr="00D9653F">
        <w:rPr>
          <w:rFonts w:ascii="Arial" w:hAnsi="Arial" w:cs="Arial"/>
          <w:color w:val="000000"/>
          <w:sz w:val="22"/>
          <w:szCs w:val="22"/>
        </w:rPr>
        <w:t xml:space="preserve"> as the “Treadmill Challenge”, a speaker </w:t>
      </w:r>
      <w:proofErr w:type="spellStart"/>
      <w:r w:rsidRPr="00D9653F">
        <w:rPr>
          <w:rFonts w:ascii="Arial" w:hAnsi="Arial" w:cs="Arial"/>
          <w:color w:val="000000"/>
          <w:sz w:val="22"/>
          <w:szCs w:val="22"/>
        </w:rPr>
        <w:t>coning</w:t>
      </w:r>
      <w:proofErr w:type="spellEnd"/>
      <w:r w:rsidRPr="00D9653F">
        <w:rPr>
          <w:rFonts w:ascii="Arial" w:hAnsi="Arial" w:cs="Arial"/>
          <w:color w:val="000000"/>
          <w:sz w:val="22"/>
          <w:szCs w:val="22"/>
        </w:rPr>
        <w:t xml:space="preserve"> in to talk to the community in a </w:t>
      </w:r>
    </w:p>
    <w:p w14:paraId="1844C657"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lecture entitled “Exercising and Aging”, etc.), we decided to come to the Task Force with</w:t>
      </w:r>
    </w:p>
    <w:p w14:paraId="2179C3A9" w14:textId="77777777" w:rsidR="00D9653F" w:rsidRPr="003F2DC9" w:rsidRDefault="00D9653F" w:rsidP="00983DF5">
      <w:pPr>
        <w:shd w:val="clear" w:color="auto" w:fill="FFFFFF"/>
        <w:spacing w:line="0" w:lineRule="auto"/>
        <w:rPr>
          <w:rFonts w:ascii="Arial" w:hAnsi="Arial" w:cs="Arial"/>
          <w:color w:val="000000"/>
          <w:sz w:val="22"/>
          <w:szCs w:val="22"/>
          <w:lang w:val="fr-FR"/>
        </w:rPr>
      </w:pPr>
      <w:proofErr w:type="gramStart"/>
      <w:r w:rsidRPr="003F2DC9">
        <w:rPr>
          <w:rFonts w:ascii="Arial" w:hAnsi="Arial" w:cs="Arial"/>
          <w:color w:val="000000"/>
          <w:sz w:val="22"/>
          <w:szCs w:val="22"/>
          <w:lang w:val="fr-FR"/>
        </w:rPr>
        <w:t>out</w:t>
      </w:r>
      <w:proofErr w:type="gramEnd"/>
      <w:r w:rsidRPr="003F2DC9">
        <w:rPr>
          <w:rFonts w:ascii="Arial" w:hAnsi="Arial" w:cs="Arial"/>
          <w:color w:val="000000"/>
          <w:sz w:val="22"/>
          <w:szCs w:val="22"/>
          <w:lang w:val="fr-FR"/>
        </w:rPr>
        <w:t xml:space="preserve"> </w:t>
      </w:r>
      <w:proofErr w:type="spellStart"/>
      <w:r w:rsidRPr="003F2DC9">
        <w:rPr>
          <w:rFonts w:ascii="Arial" w:hAnsi="Arial" w:cs="Arial"/>
          <w:color w:val="000000"/>
          <w:sz w:val="22"/>
          <w:szCs w:val="22"/>
          <w:lang w:val="fr-FR"/>
        </w:rPr>
        <w:t>proposal</w:t>
      </w:r>
      <w:proofErr w:type="spellEnd"/>
      <w:r w:rsidRPr="003F2DC9">
        <w:rPr>
          <w:rFonts w:ascii="Arial" w:hAnsi="Arial" w:cs="Arial"/>
          <w:color w:val="000000"/>
          <w:sz w:val="22"/>
          <w:szCs w:val="22"/>
          <w:lang w:val="fr-FR"/>
        </w:rPr>
        <w:t>.</w:t>
      </w:r>
    </w:p>
    <w:p w14:paraId="5753EBE1" w14:textId="10CF8ED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4279A">
        <w:rPr>
          <w:rFonts w:ascii="Arial" w:hAnsi="Arial" w:cs="Arial"/>
          <w:bCs/>
          <w:sz w:val="22"/>
          <w:szCs w:val="22"/>
          <w:lang w:val="fr-FR"/>
        </w:rPr>
        <w:t xml:space="preserve">La délégation de la </w:t>
      </w:r>
      <w:r w:rsidRPr="0034279A">
        <w:rPr>
          <w:rFonts w:ascii="Arial" w:hAnsi="Arial" w:cs="Arial"/>
          <w:b/>
          <w:sz w:val="22"/>
          <w:szCs w:val="22"/>
          <w:lang w:val="fr-FR"/>
        </w:rPr>
        <w:t>Tchéquie</w:t>
      </w:r>
      <w:r w:rsidRPr="0034279A">
        <w:rPr>
          <w:rFonts w:ascii="Arial" w:hAnsi="Arial" w:cs="Arial"/>
          <w:bCs/>
          <w:sz w:val="22"/>
          <w:szCs w:val="22"/>
          <w:lang w:val="fr-FR"/>
        </w:rPr>
        <w:t xml:space="preserve"> </w:t>
      </w:r>
      <w:r>
        <w:rPr>
          <w:rFonts w:ascii="Arial" w:hAnsi="Arial" w:cs="Arial"/>
          <w:bCs/>
          <w:sz w:val="22"/>
          <w:szCs w:val="22"/>
          <w:lang w:val="fr-FR"/>
        </w:rPr>
        <w:t xml:space="preserve">a </w:t>
      </w:r>
      <w:r w:rsidRPr="0034279A">
        <w:rPr>
          <w:rFonts w:ascii="Arial" w:hAnsi="Arial" w:cs="Arial"/>
          <w:bCs/>
          <w:sz w:val="22"/>
          <w:szCs w:val="22"/>
          <w:lang w:val="fr-FR"/>
        </w:rPr>
        <w:t>félicit</w:t>
      </w:r>
      <w:r>
        <w:rPr>
          <w:rFonts w:ascii="Arial" w:hAnsi="Arial" w:cs="Arial"/>
          <w:bCs/>
          <w:sz w:val="22"/>
          <w:szCs w:val="22"/>
          <w:lang w:val="fr-FR"/>
        </w:rPr>
        <w:t>é</w:t>
      </w:r>
      <w:r w:rsidRPr="0034279A">
        <w:rPr>
          <w:rFonts w:ascii="Arial" w:hAnsi="Arial" w:cs="Arial"/>
          <w:bCs/>
          <w:sz w:val="22"/>
          <w:szCs w:val="22"/>
          <w:lang w:val="fr-FR"/>
        </w:rPr>
        <w:t xml:space="preserve"> le Secrétariat d</w:t>
      </w:r>
      <w:r w:rsidR="008E532B">
        <w:rPr>
          <w:rFonts w:ascii="Arial" w:hAnsi="Arial" w:cs="Arial"/>
          <w:bCs/>
          <w:sz w:val="22"/>
          <w:szCs w:val="22"/>
          <w:lang w:val="fr-FR"/>
        </w:rPr>
        <w:t>’</w:t>
      </w:r>
      <w:r w:rsidRPr="0034279A">
        <w:rPr>
          <w:rFonts w:ascii="Arial" w:hAnsi="Arial" w:cs="Arial"/>
          <w:bCs/>
          <w:sz w:val="22"/>
          <w:szCs w:val="22"/>
          <w:lang w:val="fr-FR"/>
        </w:rPr>
        <w:t>avoir préparé les révisions du Règlement intérieur sur la base du modèle approuvé par la Conférence générale. Comme il s</w:t>
      </w:r>
      <w:r w:rsidR="008E532B">
        <w:rPr>
          <w:rFonts w:ascii="Arial" w:hAnsi="Arial" w:cs="Arial"/>
          <w:bCs/>
          <w:sz w:val="22"/>
          <w:szCs w:val="22"/>
          <w:lang w:val="fr-FR"/>
        </w:rPr>
        <w:t>’</w:t>
      </w:r>
      <w:r w:rsidRPr="0034279A">
        <w:rPr>
          <w:rFonts w:ascii="Arial" w:hAnsi="Arial" w:cs="Arial"/>
          <w:bCs/>
          <w:sz w:val="22"/>
          <w:szCs w:val="22"/>
          <w:lang w:val="fr-FR"/>
        </w:rPr>
        <w:t>agi</w:t>
      </w:r>
      <w:r>
        <w:rPr>
          <w:rFonts w:ascii="Arial" w:hAnsi="Arial" w:cs="Arial"/>
          <w:bCs/>
          <w:sz w:val="22"/>
          <w:szCs w:val="22"/>
          <w:lang w:val="fr-FR"/>
        </w:rPr>
        <w:t>ssai</w:t>
      </w:r>
      <w:r w:rsidRPr="0034279A">
        <w:rPr>
          <w:rFonts w:ascii="Arial" w:hAnsi="Arial" w:cs="Arial"/>
          <w:bCs/>
          <w:sz w:val="22"/>
          <w:szCs w:val="22"/>
          <w:lang w:val="fr-FR"/>
        </w:rPr>
        <w:t xml:space="preserve">t de révisions techniques et pratiques, qui </w:t>
      </w:r>
      <w:r>
        <w:rPr>
          <w:rFonts w:ascii="Arial" w:hAnsi="Arial" w:cs="Arial"/>
          <w:bCs/>
          <w:sz w:val="22"/>
          <w:szCs w:val="22"/>
          <w:lang w:val="fr-FR"/>
        </w:rPr>
        <w:t>avaient</w:t>
      </w:r>
      <w:r w:rsidRPr="0034279A">
        <w:rPr>
          <w:rFonts w:ascii="Arial" w:hAnsi="Arial" w:cs="Arial"/>
          <w:bCs/>
          <w:sz w:val="22"/>
          <w:szCs w:val="22"/>
          <w:lang w:val="fr-FR"/>
        </w:rPr>
        <w:t xml:space="preserve"> </w:t>
      </w:r>
      <w:r>
        <w:rPr>
          <w:rFonts w:ascii="Arial" w:hAnsi="Arial" w:cs="Arial"/>
          <w:bCs/>
          <w:sz w:val="22"/>
          <w:szCs w:val="22"/>
          <w:lang w:val="fr-FR"/>
        </w:rPr>
        <w:t xml:space="preserve">déjà </w:t>
      </w:r>
      <w:r w:rsidRPr="0034279A">
        <w:rPr>
          <w:rFonts w:ascii="Arial" w:hAnsi="Arial" w:cs="Arial"/>
          <w:bCs/>
          <w:sz w:val="22"/>
          <w:szCs w:val="22"/>
          <w:lang w:val="fr-FR"/>
        </w:rPr>
        <w:t>largement</w:t>
      </w:r>
      <w:r>
        <w:rPr>
          <w:rFonts w:ascii="Arial" w:hAnsi="Arial" w:cs="Arial"/>
          <w:bCs/>
          <w:sz w:val="22"/>
          <w:szCs w:val="22"/>
          <w:lang w:val="fr-FR"/>
        </w:rPr>
        <w:t xml:space="preserve"> fait l</w:t>
      </w:r>
      <w:r w:rsidR="008E532B">
        <w:rPr>
          <w:rFonts w:ascii="Arial" w:hAnsi="Arial" w:cs="Arial"/>
          <w:bCs/>
          <w:sz w:val="22"/>
          <w:szCs w:val="22"/>
          <w:lang w:val="fr-FR"/>
        </w:rPr>
        <w:t>’</w:t>
      </w:r>
      <w:r>
        <w:rPr>
          <w:rFonts w:ascii="Arial" w:hAnsi="Arial" w:cs="Arial"/>
          <w:bCs/>
          <w:sz w:val="22"/>
          <w:szCs w:val="22"/>
          <w:lang w:val="fr-FR"/>
        </w:rPr>
        <w:t>objet de discussions</w:t>
      </w:r>
      <w:r w:rsidRPr="0034279A">
        <w:rPr>
          <w:rFonts w:ascii="Arial" w:hAnsi="Arial" w:cs="Arial"/>
          <w:bCs/>
          <w:sz w:val="22"/>
          <w:szCs w:val="22"/>
          <w:lang w:val="fr-FR"/>
        </w:rPr>
        <w:t xml:space="preserve">, </w:t>
      </w:r>
      <w:r>
        <w:rPr>
          <w:rFonts w:ascii="Arial" w:hAnsi="Arial" w:cs="Arial"/>
          <w:bCs/>
          <w:sz w:val="22"/>
          <w:szCs w:val="22"/>
          <w:lang w:val="fr-FR"/>
        </w:rPr>
        <w:t>on pouvait espérer</w:t>
      </w:r>
      <w:r w:rsidRPr="0034279A">
        <w:rPr>
          <w:rFonts w:ascii="Arial" w:hAnsi="Arial" w:cs="Arial"/>
          <w:bCs/>
          <w:sz w:val="22"/>
          <w:szCs w:val="22"/>
          <w:lang w:val="fr-FR"/>
        </w:rPr>
        <w:t xml:space="preserve"> que le débat ne serait pas ouvert sur les différents articles. Comme la Suisse, la délégation </w:t>
      </w:r>
      <w:r>
        <w:rPr>
          <w:rFonts w:ascii="Arial" w:hAnsi="Arial" w:cs="Arial"/>
          <w:bCs/>
          <w:sz w:val="22"/>
          <w:szCs w:val="22"/>
          <w:lang w:val="fr-FR"/>
        </w:rPr>
        <w:t>était</w:t>
      </w:r>
      <w:r w:rsidRPr="0034279A">
        <w:rPr>
          <w:rFonts w:ascii="Arial" w:hAnsi="Arial" w:cs="Arial"/>
          <w:bCs/>
          <w:sz w:val="22"/>
          <w:szCs w:val="22"/>
          <w:lang w:val="fr-FR"/>
        </w:rPr>
        <w:t xml:space="preserve"> également un peu </w:t>
      </w:r>
      <w:r>
        <w:rPr>
          <w:rFonts w:ascii="Arial" w:hAnsi="Arial" w:cs="Arial"/>
          <w:bCs/>
          <w:sz w:val="22"/>
          <w:szCs w:val="22"/>
          <w:lang w:val="fr-FR"/>
        </w:rPr>
        <w:t xml:space="preserve">désorientée </w:t>
      </w:r>
      <w:r w:rsidRPr="0034279A">
        <w:rPr>
          <w:rFonts w:ascii="Arial" w:hAnsi="Arial" w:cs="Arial"/>
          <w:bCs/>
          <w:sz w:val="22"/>
          <w:szCs w:val="22"/>
          <w:lang w:val="fr-FR"/>
        </w:rPr>
        <w:t>car l</w:t>
      </w:r>
      <w:r w:rsidR="008E532B">
        <w:rPr>
          <w:rFonts w:ascii="Arial" w:hAnsi="Arial" w:cs="Arial"/>
          <w:bCs/>
          <w:sz w:val="22"/>
          <w:szCs w:val="22"/>
          <w:lang w:val="fr-FR"/>
        </w:rPr>
        <w:t>’</w:t>
      </w:r>
      <w:r w:rsidRPr="0034279A">
        <w:rPr>
          <w:rFonts w:ascii="Arial" w:hAnsi="Arial" w:cs="Arial"/>
          <w:bCs/>
          <w:sz w:val="22"/>
          <w:szCs w:val="22"/>
          <w:lang w:val="fr-FR"/>
        </w:rPr>
        <w:t xml:space="preserve">ancien article 2.2 </w:t>
      </w:r>
      <w:r>
        <w:rPr>
          <w:rFonts w:ascii="Arial" w:hAnsi="Arial" w:cs="Arial"/>
          <w:bCs/>
          <w:sz w:val="22"/>
          <w:szCs w:val="22"/>
          <w:lang w:val="fr-FR"/>
        </w:rPr>
        <w:t xml:space="preserve">était </w:t>
      </w:r>
      <w:r w:rsidRPr="0034279A">
        <w:rPr>
          <w:rFonts w:ascii="Arial" w:hAnsi="Arial" w:cs="Arial"/>
          <w:bCs/>
          <w:sz w:val="22"/>
          <w:szCs w:val="22"/>
          <w:lang w:val="fr-FR"/>
        </w:rPr>
        <w:t>scindé en deux nouveaux articles</w:t>
      </w:r>
      <w:r>
        <w:rPr>
          <w:rFonts w:ascii="Arial" w:hAnsi="Arial" w:cs="Arial"/>
          <w:bCs/>
          <w:sz w:val="22"/>
          <w:szCs w:val="22"/>
          <w:lang w:val="fr-FR"/>
        </w:rPr>
        <w:t>,</w:t>
      </w:r>
      <w:r w:rsidRPr="0034279A">
        <w:rPr>
          <w:rFonts w:ascii="Arial" w:hAnsi="Arial" w:cs="Arial"/>
          <w:bCs/>
          <w:sz w:val="22"/>
          <w:szCs w:val="22"/>
          <w:lang w:val="fr-FR"/>
        </w:rPr>
        <w:t xml:space="preserve"> 3.2 et 3.3, ce qui rend</w:t>
      </w:r>
      <w:r>
        <w:rPr>
          <w:rFonts w:ascii="Arial" w:hAnsi="Arial" w:cs="Arial"/>
          <w:bCs/>
          <w:sz w:val="22"/>
          <w:szCs w:val="22"/>
          <w:lang w:val="fr-FR"/>
        </w:rPr>
        <w:t>ait</w:t>
      </w:r>
      <w:r w:rsidRPr="0034279A">
        <w:rPr>
          <w:rFonts w:ascii="Arial" w:hAnsi="Arial" w:cs="Arial"/>
          <w:bCs/>
          <w:sz w:val="22"/>
          <w:szCs w:val="22"/>
          <w:lang w:val="fr-FR"/>
        </w:rPr>
        <w:t xml:space="preserve"> impossible la suppression de l</w:t>
      </w:r>
      <w:r w:rsidR="008E532B">
        <w:rPr>
          <w:rFonts w:ascii="Arial" w:hAnsi="Arial" w:cs="Arial"/>
          <w:bCs/>
          <w:sz w:val="22"/>
          <w:szCs w:val="22"/>
          <w:lang w:val="fr-FR"/>
        </w:rPr>
        <w:t>’</w:t>
      </w:r>
      <w:r w:rsidRPr="0034279A">
        <w:rPr>
          <w:rFonts w:ascii="Arial" w:hAnsi="Arial" w:cs="Arial"/>
          <w:bCs/>
          <w:sz w:val="22"/>
          <w:szCs w:val="22"/>
          <w:lang w:val="fr-FR"/>
        </w:rPr>
        <w:t>article 3.3 car cela signifierait que les représentants des organisations intergouvernementales et non gouvernementales ainsi que les autres observateurs ne pourraient pas participer aux travaux de l</w:t>
      </w:r>
      <w:r w:rsidR="008E532B">
        <w:rPr>
          <w:rFonts w:ascii="Arial" w:hAnsi="Arial" w:cs="Arial"/>
          <w:bCs/>
          <w:sz w:val="22"/>
          <w:szCs w:val="22"/>
          <w:lang w:val="fr-FR"/>
        </w:rPr>
        <w:t>’</w:t>
      </w:r>
      <w:r w:rsidRPr="0034279A">
        <w:rPr>
          <w:rFonts w:ascii="Arial" w:hAnsi="Arial" w:cs="Arial"/>
          <w:bCs/>
          <w:sz w:val="22"/>
          <w:szCs w:val="22"/>
          <w:lang w:val="fr-FR"/>
        </w:rPr>
        <w:t xml:space="preserve">Assemblée. </w:t>
      </w:r>
      <w:r>
        <w:rPr>
          <w:rFonts w:ascii="Arial" w:hAnsi="Arial" w:cs="Arial"/>
          <w:bCs/>
          <w:sz w:val="22"/>
          <w:szCs w:val="22"/>
          <w:lang w:val="fr-FR"/>
        </w:rPr>
        <w:t>Elle souhaitait</w:t>
      </w:r>
      <w:r w:rsidRPr="0034279A">
        <w:rPr>
          <w:rFonts w:ascii="Arial" w:hAnsi="Arial" w:cs="Arial"/>
          <w:bCs/>
          <w:sz w:val="22"/>
          <w:szCs w:val="22"/>
          <w:lang w:val="fr-FR"/>
        </w:rPr>
        <w:t xml:space="preserve"> donc entendre le Secrétariat pour savoir si la proposition de la Chine </w:t>
      </w:r>
      <w:r>
        <w:rPr>
          <w:rFonts w:ascii="Arial" w:hAnsi="Arial" w:cs="Arial"/>
          <w:bCs/>
          <w:sz w:val="22"/>
          <w:szCs w:val="22"/>
          <w:lang w:val="fr-FR"/>
        </w:rPr>
        <w:t>était</w:t>
      </w:r>
      <w:r w:rsidRPr="0034279A">
        <w:rPr>
          <w:rFonts w:ascii="Arial" w:hAnsi="Arial" w:cs="Arial"/>
          <w:bCs/>
          <w:sz w:val="22"/>
          <w:szCs w:val="22"/>
          <w:lang w:val="fr-FR"/>
        </w:rPr>
        <w:t xml:space="preserve"> réellement possible.</w:t>
      </w:r>
    </w:p>
    <w:p w14:paraId="498D0D80"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EE346B">
        <w:rPr>
          <w:rFonts w:ascii="Arial" w:hAnsi="Arial" w:cs="Arial"/>
          <w:b/>
          <w:sz w:val="22"/>
          <w:szCs w:val="22"/>
          <w:lang w:val="fr-FR"/>
        </w:rPr>
        <w:t>Présidente</w:t>
      </w:r>
      <w:r>
        <w:rPr>
          <w:rFonts w:ascii="Arial" w:hAnsi="Arial" w:cs="Arial"/>
          <w:bCs/>
          <w:sz w:val="22"/>
          <w:szCs w:val="22"/>
          <w:lang w:val="fr-FR"/>
        </w:rPr>
        <w:t xml:space="preserve"> a noté les nombreuses questions adressées au </w:t>
      </w:r>
      <w:r w:rsidRPr="00EE346B">
        <w:rPr>
          <w:rFonts w:ascii="Arial" w:hAnsi="Arial" w:cs="Arial"/>
          <w:bCs/>
          <w:sz w:val="22"/>
          <w:szCs w:val="22"/>
          <w:lang w:val="fr-FR"/>
        </w:rPr>
        <w:t>Secréta</w:t>
      </w:r>
      <w:r>
        <w:rPr>
          <w:rFonts w:ascii="Arial" w:hAnsi="Arial" w:cs="Arial"/>
          <w:bCs/>
          <w:sz w:val="22"/>
          <w:szCs w:val="22"/>
          <w:lang w:val="fr-FR"/>
        </w:rPr>
        <w:t>riat et a invité le Conseiller juridique traiter les points évoqués.</w:t>
      </w:r>
    </w:p>
    <w:p w14:paraId="434BBD85" w14:textId="2AAE0FE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E346B">
        <w:rPr>
          <w:rFonts w:ascii="Arial" w:hAnsi="Arial" w:cs="Arial"/>
          <w:bCs/>
          <w:sz w:val="22"/>
          <w:szCs w:val="22"/>
          <w:lang w:val="fr-FR"/>
        </w:rPr>
        <w:t xml:space="preserve">Le </w:t>
      </w:r>
      <w:r w:rsidRPr="00EE346B">
        <w:rPr>
          <w:rFonts w:ascii="Arial" w:hAnsi="Arial" w:cs="Arial"/>
          <w:b/>
          <w:sz w:val="22"/>
          <w:szCs w:val="22"/>
          <w:lang w:val="fr-FR"/>
        </w:rPr>
        <w:t>Conseiller juridique</w:t>
      </w:r>
      <w:r w:rsidRPr="00EE346B">
        <w:rPr>
          <w:rFonts w:ascii="Arial" w:hAnsi="Arial" w:cs="Arial"/>
          <w:bCs/>
          <w:sz w:val="22"/>
          <w:szCs w:val="22"/>
          <w:lang w:val="fr-FR"/>
        </w:rPr>
        <w:t xml:space="preserve"> est intervenu en raison de la nature juridique du texte, en précisant que celui-ci avait fait l</w:t>
      </w:r>
      <w:r w:rsidR="008E532B">
        <w:rPr>
          <w:rFonts w:ascii="Arial" w:hAnsi="Arial" w:cs="Arial"/>
          <w:bCs/>
          <w:sz w:val="22"/>
          <w:szCs w:val="22"/>
          <w:lang w:val="fr-FR"/>
        </w:rPr>
        <w:t>’</w:t>
      </w:r>
      <w:r w:rsidRPr="00EE346B">
        <w:rPr>
          <w:rFonts w:ascii="Arial" w:hAnsi="Arial" w:cs="Arial"/>
          <w:bCs/>
          <w:sz w:val="22"/>
          <w:szCs w:val="22"/>
          <w:lang w:val="fr-FR"/>
        </w:rPr>
        <w:t>objet d</w:t>
      </w:r>
      <w:r w:rsidR="008E532B">
        <w:rPr>
          <w:rFonts w:ascii="Arial" w:hAnsi="Arial" w:cs="Arial"/>
          <w:bCs/>
          <w:sz w:val="22"/>
          <w:szCs w:val="22"/>
          <w:lang w:val="fr-FR"/>
        </w:rPr>
        <w:t>’</w:t>
      </w:r>
      <w:r w:rsidRPr="00EE346B">
        <w:rPr>
          <w:rFonts w:ascii="Arial" w:hAnsi="Arial" w:cs="Arial"/>
          <w:bCs/>
          <w:sz w:val="22"/>
          <w:szCs w:val="22"/>
          <w:lang w:val="fr-FR"/>
        </w:rPr>
        <w:t>un travail intensif avec les collègues du Secteur de la culture et, en particulier, du Secrétariat de la Convention, avec l</w:t>
      </w:r>
      <w:r>
        <w:rPr>
          <w:rFonts w:ascii="Arial" w:hAnsi="Arial" w:cs="Arial"/>
          <w:bCs/>
          <w:sz w:val="22"/>
          <w:szCs w:val="22"/>
          <w:lang w:val="fr-FR"/>
        </w:rPr>
        <w:t xml:space="preserve">a précieuse </w:t>
      </w:r>
      <w:r w:rsidRPr="00EE346B">
        <w:rPr>
          <w:rFonts w:ascii="Arial" w:hAnsi="Arial" w:cs="Arial"/>
          <w:bCs/>
          <w:sz w:val="22"/>
          <w:szCs w:val="22"/>
          <w:lang w:val="fr-FR"/>
        </w:rPr>
        <w:t xml:space="preserve">implication du Sous-Directeur général </w:t>
      </w:r>
      <w:r>
        <w:rPr>
          <w:rFonts w:ascii="Arial" w:hAnsi="Arial" w:cs="Arial"/>
          <w:bCs/>
          <w:sz w:val="22"/>
          <w:szCs w:val="22"/>
          <w:lang w:val="fr-FR"/>
        </w:rPr>
        <w:t xml:space="preserve">pour la </w:t>
      </w:r>
      <w:r w:rsidRPr="00EE346B">
        <w:rPr>
          <w:rFonts w:ascii="Arial" w:hAnsi="Arial" w:cs="Arial"/>
          <w:bCs/>
          <w:sz w:val="22"/>
          <w:szCs w:val="22"/>
          <w:lang w:val="fr-FR"/>
        </w:rPr>
        <w:t>culture. Afin de clarifier les choses, il souhait</w:t>
      </w:r>
      <w:r>
        <w:rPr>
          <w:rFonts w:ascii="Arial" w:hAnsi="Arial" w:cs="Arial"/>
          <w:bCs/>
          <w:sz w:val="22"/>
          <w:szCs w:val="22"/>
          <w:lang w:val="fr-FR"/>
        </w:rPr>
        <w:t>ait</w:t>
      </w:r>
      <w:r w:rsidRPr="00EE346B">
        <w:rPr>
          <w:rFonts w:ascii="Arial" w:hAnsi="Arial" w:cs="Arial"/>
          <w:bCs/>
          <w:sz w:val="22"/>
          <w:szCs w:val="22"/>
          <w:lang w:val="fr-FR"/>
        </w:rPr>
        <w:t xml:space="preserve"> introduire deux concepts qui pourraient être utiles. L</w:t>
      </w:r>
      <w:r w:rsidR="008E532B">
        <w:rPr>
          <w:rFonts w:ascii="Arial" w:hAnsi="Arial" w:cs="Arial"/>
          <w:bCs/>
          <w:sz w:val="22"/>
          <w:szCs w:val="22"/>
          <w:lang w:val="fr-FR"/>
        </w:rPr>
        <w:t>’</w:t>
      </w:r>
      <w:r w:rsidRPr="00EE346B">
        <w:rPr>
          <w:rFonts w:ascii="Arial" w:hAnsi="Arial" w:cs="Arial"/>
          <w:bCs/>
          <w:sz w:val="22"/>
          <w:szCs w:val="22"/>
          <w:lang w:val="fr-FR"/>
        </w:rPr>
        <w:t xml:space="preserve">article 13 de la Charte des Nations Unies </w:t>
      </w:r>
      <w:r>
        <w:rPr>
          <w:rFonts w:ascii="Arial" w:hAnsi="Arial" w:cs="Arial"/>
          <w:bCs/>
          <w:sz w:val="22"/>
          <w:szCs w:val="22"/>
          <w:lang w:val="fr-FR"/>
        </w:rPr>
        <w:t>établissait</w:t>
      </w:r>
      <w:r w:rsidRPr="00EE346B">
        <w:rPr>
          <w:rFonts w:ascii="Arial" w:hAnsi="Arial" w:cs="Arial"/>
          <w:bCs/>
          <w:sz w:val="22"/>
          <w:szCs w:val="22"/>
          <w:lang w:val="fr-FR"/>
        </w:rPr>
        <w:t xml:space="preserve"> une distinction entre la </w:t>
      </w:r>
      <w:r>
        <w:rPr>
          <w:rFonts w:ascii="Arial" w:hAnsi="Arial" w:cs="Arial"/>
          <w:bCs/>
          <w:sz w:val="22"/>
          <w:szCs w:val="22"/>
          <w:lang w:val="fr-FR"/>
        </w:rPr>
        <w:t>« </w:t>
      </w:r>
      <w:r w:rsidRPr="00EE346B">
        <w:rPr>
          <w:rFonts w:ascii="Arial" w:hAnsi="Arial" w:cs="Arial"/>
          <w:bCs/>
          <w:sz w:val="22"/>
          <w:szCs w:val="22"/>
          <w:lang w:val="fr-FR"/>
        </w:rPr>
        <w:t>codification</w:t>
      </w:r>
      <w:r>
        <w:rPr>
          <w:rFonts w:ascii="Arial" w:hAnsi="Arial" w:cs="Arial"/>
          <w:bCs/>
          <w:sz w:val="22"/>
          <w:szCs w:val="22"/>
          <w:lang w:val="fr-FR"/>
        </w:rPr>
        <w:t> »</w:t>
      </w:r>
      <w:r w:rsidRPr="00EE346B">
        <w:rPr>
          <w:rFonts w:ascii="Arial" w:hAnsi="Arial" w:cs="Arial"/>
          <w:bCs/>
          <w:sz w:val="22"/>
          <w:szCs w:val="22"/>
          <w:lang w:val="fr-FR"/>
        </w:rPr>
        <w:t xml:space="preserve"> d</w:t>
      </w:r>
      <w:r w:rsidR="008E532B">
        <w:rPr>
          <w:rFonts w:ascii="Arial" w:hAnsi="Arial" w:cs="Arial"/>
          <w:bCs/>
          <w:sz w:val="22"/>
          <w:szCs w:val="22"/>
          <w:lang w:val="fr-FR"/>
        </w:rPr>
        <w:t>’</w:t>
      </w:r>
      <w:r w:rsidRPr="00EE346B">
        <w:rPr>
          <w:rFonts w:ascii="Arial" w:hAnsi="Arial" w:cs="Arial"/>
          <w:bCs/>
          <w:sz w:val="22"/>
          <w:szCs w:val="22"/>
          <w:lang w:val="fr-FR"/>
        </w:rPr>
        <w:t xml:space="preserve">une part et le </w:t>
      </w:r>
      <w:r>
        <w:rPr>
          <w:rFonts w:ascii="Arial" w:hAnsi="Arial" w:cs="Arial"/>
          <w:bCs/>
          <w:sz w:val="22"/>
          <w:szCs w:val="22"/>
          <w:lang w:val="fr-FR"/>
        </w:rPr>
        <w:t>« </w:t>
      </w:r>
      <w:r w:rsidRPr="00EE346B">
        <w:rPr>
          <w:rFonts w:ascii="Arial" w:hAnsi="Arial" w:cs="Arial"/>
          <w:bCs/>
          <w:sz w:val="22"/>
          <w:szCs w:val="22"/>
          <w:lang w:val="fr-FR"/>
        </w:rPr>
        <w:t>développement progressif</w:t>
      </w:r>
      <w:r>
        <w:rPr>
          <w:rFonts w:ascii="Arial" w:hAnsi="Arial" w:cs="Arial"/>
          <w:bCs/>
          <w:sz w:val="22"/>
          <w:szCs w:val="22"/>
          <w:lang w:val="fr-FR"/>
        </w:rPr>
        <w:t> »</w:t>
      </w:r>
      <w:r w:rsidRPr="00EE346B">
        <w:rPr>
          <w:rFonts w:ascii="Arial" w:hAnsi="Arial" w:cs="Arial"/>
          <w:bCs/>
          <w:sz w:val="22"/>
          <w:szCs w:val="22"/>
          <w:lang w:val="fr-FR"/>
        </w:rPr>
        <w:t xml:space="preserve"> d</w:t>
      </w:r>
      <w:r w:rsidR="008E532B">
        <w:rPr>
          <w:rFonts w:ascii="Arial" w:hAnsi="Arial" w:cs="Arial"/>
          <w:bCs/>
          <w:sz w:val="22"/>
          <w:szCs w:val="22"/>
          <w:lang w:val="fr-FR"/>
        </w:rPr>
        <w:t>’</w:t>
      </w:r>
      <w:r w:rsidRPr="00EE346B">
        <w:rPr>
          <w:rFonts w:ascii="Arial" w:hAnsi="Arial" w:cs="Arial"/>
          <w:bCs/>
          <w:sz w:val="22"/>
          <w:szCs w:val="22"/>
          <w:lang w:val="fr-FR"/>
        </w:rPr>
        <w:t>autre part. Lors de la rédaction d</w:t>
      </w:r>
      <w:r w:rsidR="008E532B">
        <w:rPr>
          <w:rFonts w:ascii="Arial" w:hAnsi="Arial" w:cs="Arial"/>
          <w:bCs/>
          <w:sz w:val="22"/>
          <w:szCs w:val="22"/>
          <w:lang w:val="fr-FR"/>
        </w:rPr>
        <w:t>’</w:t>
      </w:r>
      <w:r w:rsidRPr="00EE346B">
        <w:rPr>
          <w:rFonts w:ascii="Arial" w:hAnsi="Arial" w:cs="Arial"/>
          <w:bCs/>
          <w:sz w:val="22"/>
          <w:szCs w:val="22"/>
          <w:lang w:val="fr-FR"/>
        </w:rPr>
        <w:t>un texte [juridique], tel que celui présenté à l</w:t>
      </w:r>
      <w:r w:rsidR="008E532B">
        <w:rPr>
          <w:rFonts w:ascii="Arial" w:hAnsi="Arial" w:cs="Arial"/>
          <w:bCs/>
          <w:sz w:val="22"/>
          <w:szCs w:val="22"/>
          <w:lang w:val="fr-FR"/>
        </w:rPr>
        <w:t>’</w:t>
      </w:r>
      <w:r w:rsidRPr="00EE346B">
        <w:rPr>
          <w:rFonts w:ascii="Arial" w:hAnsi="Arial" w:cs="Arial"/>
          <w:bCs/>
          <w:sz w:val="22"/>
          <w:szCs w:val="22"/>
          <w:lang w:val="fr-FR"/>
        </w:rPr>
        <w:t>Assemblée, deux choses se produis</w:t>
      </w:r>
      <w:r>
        <w:rPr>
          <w:rFonts w:ascii="Arial" w:hAnsi="Arial" w:cs="Arial"/>
          <w:bCs/>
          <w:sz w:val="22"/>
          <w:szCs w:val="22"/>
          <w:lang w:val="fr-FR"/>
        </w:rPr>
        <w:t>ai</w:t>
      </w:r>
      <w:r w:rsidRPr="00EE346B">
        <w:rPr>
          <w:rFonts w:ascii="Arial" w:hAnsi="Arial" w:cs="Arial"/>
          <w:bCs/>
          <w:sz w:val="22"/>
          <w:szCs w:val="22"/>
          <w:lang w:val="fr-FR"/>
        </w:rPr>
        <w:t>ent en réalité. La première s</w:t>
      </w:r>
      <w:r w:rsidR="008E532B">
        <w:rPr>
          <w:rFonts w:ascii="Arial" w:hAnsi="Arial" w:cs="Arial"/>
          <w:bCs/>
          <w:sz w:val="22"/>
          <w:szCs w:val="22"/>
          <w:lang w:val="fr-FR"/>
        </w:rPr>
        <w:t>’</w:t>
      </w:r>
      <w:r w:rsidRPr="00EE346B">
        <w:rPr>
          <w:rFonts w:ascii="Arial" w:hAnsi="Arial" w:cs="Arial"/>
          <w:bCs/>
          <w:sz w:val="22"/>
          <w:szCs w:val="22"/>
          <w:lang w:val="fr-FR"/>
        </w:rPr>
        <w:t>appel</w:t>
      </w:r>
      <w:r>
        <w:rPr>
          <w:rFonts w:ascii="Arial" w:hAnsi="Arial" w:cs="Arial"/>
          <w:bCs/>
          <w:sz w:val="22"/>
          <w:szCs w:val="22"/>
          <w:lang w:val="fr-FR"/>
        </w:rPr>
        <w:t>ait</w:t>
      </w:r>
      <w:r w:rsidRPr="00EE346B">
        <w:rPr>
          <w:rFonts w:ascii="Arial" w:hAnsi="Arial" w:cs="Arial"/>
          <w:bCs/>
          <w:sz w:val="22"/>
          <w:szCs w:val="22"/>
          <w:lang w:val="fr-FR"/>
        </w:rPr>
        <w:t xml:space="preserve"> la </w:t>
      </w:r>
      <w:r>
        <w:rPr>
          <w:rFonts w:ascii="Arial" w:hAnsi="Arial" w:cs="Arial"/>
          <w:bCs/>
          <w:sz w:val="22"/>
          <w:szCs w:val="22"/>
          <w:lang w:val="fr-FR"/>
        </w:rPr>
        <w:t>« </w:t>
      </w:r>
      <w:r w:rsidRPr="00EE346B">
        <w:rPr>
          <w:rFonts w:ascii="Arial" w:hAnsi="Arial" w:cs="Arial"/>
          <w:bCs/>
          <w:sz w:val="22"/>
          <w:szCs w:val="22"/>
          <w:lang w:val="fr-FR"/>
        </w:rPr>
        <w:t>codification</w:t>
      </w:r>
      <w:r>
        <w:rPr>
          <w:rFonts w:ascii="Arial" w:hAnsi="Arial" w:cs="Arial"/>
          <w:bCs/>
          <w:sz w:val="22"/>
          <w:szCs w:val="22"/>
          <w:lang w:val="fr-FR"/>
        </w:rPr>
        <w:t> »</w:t>
      </w:r>
      <w:r w:rsidRPr="00EE346B">
        <w:rPr>
          <w:rFonts w:ascii="Arial" w:hAnsi="Arial" w:cs="Arial"/>
          <w:bCs/>
          <w:sz w:val="22"/>
          <w:szCs w:val="22"/>
          <w:lang w:val="fr-FR"/>
        </w:rPr>
        <w:t>, qui consiste essentiellement à reproduire un texte qui existe déjà, c</w:t>
      </w:r>
      <w:r w:rsidR="008E532B">
        <w:rPr>
          <w:rFonts w:ascii="Arial" w:hAnsi="Arial" w:cs="Arial"/>
          <w:bCs/>
          <w:sz w:val="22"/>
          <w:szCs w:val="22"/>
          <w:lang w:val="fr-FR"/>
        </w:rPr>
        <w:t>’</w:t>
      </w:r>
      <w:r w:rsidRPr="00EE346B">
        <w:rPr>
          <w:rFonts w:ascii="Arial" w:hAnsi="Arial" w:cs="Arial"/>
          <w:bCs/>
          <w:sz w:val="22"/>
          <w:szCs w:val="22"/>
          <w:lang w:val="fr-FR"/>
        </w:rPr>
        <w:t>est-à-dire à répéter les règles. Elles p</w:t>
      </w:r>
      <w:r>
        <w:rPr>
          <w:rFonts w:ascii="Arial" w:hAnsi="Arial" w:cs="Arial"/>
          <w:bCs/>
          <w:sz w:val="22"/>
          <w:szCs w:val="22"/>
          <w:lang w:val="fr-FR"/>
        </w:rPr>
        <w:t>ouvaient</w:t>
      </w:r>
      <w:r w:rsidRPr="00EE346B">
        <w:rPr>
          <w:rFonts w:ascii="Arial" w:hAnsi="Arial" w:cs="Arial"/>
          <w:bCs/>
          <w:sz w:val="22"/>
          <w:szCs w:val="22"/>
          <w:lang w:val="fr-FR"/>
        </w:rPr>
        <w:t xml:space="preserve"> être assemblées de différentes manières</w:t>
      </w:r>
      <w:r>
        <w:rPr>
          <w:rFonts w:ascii="Arial" w:hAnsi="Arial" w:cs="Arial"/>
          <w:bCs/>
          <w:sz w:val="22"/>
          <w:szCs w:val="22"/>
          <w:lang w:val="fr-FR"/>
        </w:rPr>
        <w:t xml:space="preserve">, </w:t>
      </w:r>
      <w:r w:rsidRPr="00EE346B">
        <w:rPr>
          <w:rFonts w:ascii="Arial" w:hAnsi="Arial" w:cs="Arial"/>
          <w:bCs/>
          <w:sz w:val="22"/>
          <w:szCs w:val="22"/>
          <w:lang w:val="fr-FR"/>
        </w:rPr>
        <w:t>elles p</w:t>
      </w:r>
      <w:r>
        <w:rPr>
          <w:rFonts w:ascii="Arial" w:hAnsi="Arial" w:cs="Arial"/>
          <w:bCs/>
          <w:sz w:val="22"/>
          <w:szCs w:val="22"/>
          <w:lang w:val="fr-FR"/>
        </w:rPr>
        <w:t>ouvaient</w:t>
      </w:r>
      <w:r w:rsidRPr="00EE346B">
        <w:rPr>
          <w:rFonts w:ascii="Arial" w:hAnsi="Arial" w:cs="Arial"/>
          <w:bCs/>
          <w:sz w:val="22"/>
          <w:szCs w:val="22"/>
          <w:lang w:val="fr-FR"/>
        </w:rPr>
        <w:t xml:space="preserve"> être mieux expliquées, mais il n</w:t>
      </w:r>
      <w:r w:rsidR="008E532B">
        <w:rPr>
          <w:rFonts w:ascii="Arial" w:hAnsi="Arial" w:cs="Arial"/>
          <w:bCs/>
          <w:sz w:val="22"/>
          <w:szCs w:val="22"/>
          <w:lang w:val="fr-FR"/>
        </w:rPr>
        <w:t>’</w:t>
      </w:r>
      <w:r w:rsidRPr="00EE346B">
        <w:rPr>
          <w:rFonts w:ascii="Arial" w:hAnsi="Arial" w:cs="Arial"/>
          <w:bCs/>
          <w:sz w:val="22"/>
          <w:szCs w:val="22"/>
          <w:lang w:val="fr-FR"/>
        </w:rPr>
        <w:t>y a</w:t>
      </w:r>
      <w:r>
        <w:rPr>
          <w:rFonts w:ascii="Arial" w:hAnsi="Arial" w:cs="Arial"/>
          <w:bCs/>
          <w:sz w:val="22"/>
          <w:szCs w:val="22"/>
          <w:lang w:val="fr-FR"/>
        </w:rPr>
        <w:t>vait</w:t>
      </w:r>
      <w:r w:rsidRPr="00EE346B">
        <w:rPr>
          <w:rFonts w:ascii="Arial" w:hAnsi="Arial" w:cs="Arial"/>
          <w:bCs/>
          <w:sz w:val="22"/>
          <w:szCs w:val="22"/>
          <w:lang w:val="fr-FR"/>
        </w:rPr>
        <w:t xml:space="preserve"> aucun changement dans ce que la règle représent</w:t>
      </w:r>
      <w:r>
        <w:rPr>
          <w:rFonts w:ascii="Arial" w:hAnsi="Arial" w:cs="Arial"/>
          <w:bCs/>
          <w:sz w:val="22"/>
          <w:szCs w:val="22"/>
          <w:lang w:val="fr-FR"/>
        </w:rPr>
        <w:t>ait</w:t>
      </w:r>
      <w:r w:rsidRPr="00EE346B">
        <w:rPr>
          <w:rFonts w:ascii="Arial" w:hAnsi="Arial" w:cs="Arial"/>
          <w:bCs/>
          <w:sz w:val="22"/>
          <w:szCs w:val="22"/>
          <w:lang w:val="fr-FR"/>
        </w:rPr>
        <w:t xml:space="preserve">. Le </w:t>
      </w:r>
      <w:r>
        <w:rPr>
          <w:rFonts w:ascii="Arial" w:hAnsi="Arial" w:cs="Arial"/>
          <w:bCs/>
          <w:sz w:val="22"/>
          <w:szCs w:val="22"/>
          <w:lang w:val="fr-FR"/>
        </w:rPr>
        <w:t>« </w:t>
      </w:r>
      <w:r w:rsidRPr="00EE346B">
        <w:rPr>
          <w:rFonts w:ascii="Arial" w:hAnsi="Arial" w:cs="Arial"/>
          <w:bCs/>
          <w:sz w:val="22"/>
          <w:szCs w:val="22"/>
          <w:lang w:val="fr-FR"/>
        </w:rPr>
        <w:t>développement progressif</w:t>
      </w:r>
      <w:r>
        <w:rPr>
          <w:rFonts w:ascii="Arial" w:hAnsi="Arial" w:cs="Arial"/>
          <w:bCs/>
          <w:sz w:val="22"/>
          <w:szCs w:val="22"/>
          <w:lang w:val="fr-FR"/>
        </w:rPr>
        <w:t> »</w:t>
      </w:r>
      <w:r w:rsidRPr="00EE346B">
        <w:rPr>
          <w:rFonts w:ascii="Arial" w:hAnsi="Arial" w:cs="Arial"/>
          <w:bCs/>
          <w:sz w:val="22"/>
          <w:szCs w:val="22"/>
          <w:lang w:val="fr-FR"/>
        </w:rPr>
        <w:t xml:space="preserve"> </w:t>
      </w:r>
      <w:r>
        <w:rPr>
          <w:rFonts w:ascii="Arial" w:hAnsi="Arial" w:cs="Arial"/>
          <w:bCs/>
          <w:sz w:val="22"/>
          <w:szCs w:val="22"/>
          <w:lang w:val="fr-FR"/>
        </w:rPr>
        <w:t>répondait à</w:t>
      </w:r>
      <w:r w:rsidRPr="00EE346B">
        <w:rPr>
          <w:rFonts w:ascii="Arial" w:hAnsi="Arial" w:cs="Arial"/>
          <w:bCs/>
          <w:sz w:val="22"/>
          <w:szCs w:val="22"/>
          <w:lang w:val="fr-FR"/>
        </w:rPr>
        <w:t xml:space="preserve"> l</w:t>
      </w:r>
      <w:r w:rsidR="008E532B">
        <w:rPr>
          <w:rFonts w:ascii="Arial" w:hAnsi="Arial" w:cs="Arial"/>
          <w:bCs/>
          <w:sz w:val="22"/>
          <w:szCs w:val="22"/>
          <w:lang w:val="fr-FR"/>
        </w:rPr>
        <w:t>’</w:t>
      </w:r>
      <w:r w:rsidRPr="00EE346B">
        <w:rPr>
          <w:rFonts w:ascii="Arial" w:hAnsi="Arial" w:cs="Arial"/>
          <w:bCs/>
          <w:sz w:val="22"/>
          <w:szCs w:val="22"/>
          <w:lang w:val="fr-FR"/>
        </w:rPr>
        <w:t>idée que nous essayons d</w:t>
      </w:r>
      <w:r w:rsidR="008E532B">
        <w:rPr>
          <w:rFonts w:ascii="Arial" w:hAnsi="Arial" w:cs="Arial"/>
          <w:bCs/>
          <w:sz w:val="22"/>
          <w:szCs w:val="22"/>
          <w:lang w:val="fr-FR"/>
        </w:rPr>
        <w:t>’</w:t>
      </w:r>
      <w:r w:rsidRPr="00EE346B">
        <w:rPr>
          <w:rFonts w:ascii="Arial" w:hAnsi="Arial" w:cs="Arial"/>
          <w:bCs/>
          <w:sz w:val="22"/>
          <w:szCs w:val="22"/>
          <w:lang w:val="fr-FR"/>
        </w:rPr>
        <w:t>améliorer la règle et d</w:t>
      </w:r>
      <w:r w:rsidR="008E532B">
        <w:rPr>
          <w:rFonts w:ascii="Arial" w:hAnsi="Arial" w:cs="Arial"/>
          <w:bCs/>
          <w:sz w:val="22"/>
          <w:szCs w:val="22"/>
          <w:lang w:val="fr-FR"/>
        </w:rPr>
        <w:t>’</w:t>
      </w:r>
      <w:r w:rsidRPr="00EE346B">
        <w:rPr>
          <w:rFonts w:ascii="Arial" w:hAnsi="Arial" w:cs="Arial"/>
          <w:bCs/>
          <w:sz w:val="22"/>
          <w:szCs w:val="22"/>
          <w:lang w:val="fr-FR"/>
        </w:rPr>
        <w:t>apporter de nouvelles idées afin d</w:t>
      </w:r>
      <w:r w:rsidR="008E532B">
        <w:rPr>
          <w:rFonts w:ascii="Arial" w:hAnsi="Arial" w:cs="Arial"/>
          <w:bCs/>
          <w:sz w:val="22"/>
          <w:szCs w:val="22"/>
          <w:lang w:val="fr-FR"/>
        </w:rPr>
        <w:t>’</w:t>
      </w:r>
      <w:r w:rsidRPr="00EE346B">
        <w:rPr>
          <w:rFonts w:ascii="Arial" w:hAnsi="Arial" w:cs="Arial"/>
          <w:bCs/>
          <w:sz w:val="22"/>
          <w:szCs w:val="22"/>
          <w:lang w:val="fr-FR"/>
        </w:rPr>
        <w:t>améliorer la procédure devant l</w:t>
      </w:r>
      <w:r w:rsidR="008E532B">
        <w:rPr>
          <w:rFonts w:ascii="Arial" w:hAnsi="Arial" w:cs="Arial"/>
          <w:bCs/>
          <w:sz w:val="22"/>
          <w:szCs w:val="22"/>
          <w:lang w:val="fr-FR"/>
        </w:rPr>
        <w:t>’</w:t>
      </w:r>
      <w:r w:rsidRPr="00EE346B">
        <w:rPr>
          <w:rFonts w:ascii="Arial" w:hAnsi="Arial" w:cs="Arial"/>
          <w:bCs/>
          <w:sz w:val="22"/>
          <w:szCs w:val="22"/>
          <w:lang w:val="fr-FR"/>
        </w:rPr>
        <w:t xml:space="preserve">Assemblée. </w:t>
      </w:r>
      <w:r>
        <w:rPr>
          <w:rFonts w:ascii="Arial" w:hAnsi="Arial" w:cs="Arial"/>
          <w:bCs/>
          <w:sz w:val="22"/>
          <w:szCs w:val="22"/>
          <w:lang w:val="fr-FR"/>
        </w:rPr>
        <w:t>U</w:t>
      </w:r>
      <w:r w:rsidRPr="00EE346B">
        <w:rPr>
          <w:rFonts w:ascii="Arial" w:hAnsi="Arial" w:cs="Arial"/>
          <w:bCs/>
          <w:sz w:val="22"/>
          <w:szCs w:val="22"/>
          <w:lang w:val="fr-FR"/>
        </w:rPr>
        <w:t>ne très grande partie des propositions contenues dans ce texte rel</w:t>
      </w:r>
      <w:r>
        <w:rPr>
          <w:rFonts w:ascii="Arial" w:hAnsi="Arial" w:cs="Arial"/>
          <w:bCs/>
          <w:sz w:val="22"/>
          <w:szCs w:val="22"/>
          <w:lang w:val="fr-FR"/>
        </w:rPr>
        <w:t>evaient</w:t>
      </w:r>
      <w:r w:rsidRPr="00EE346B">
        <w:rPr>
          <w:rFonts w:ascii="Arial" w:hAnsi="Arial" w:cs="Arial"/>
          <w:bCs/>
          <w:sz w:val="22"/>
          <w:szCs w:val="22"/>
          <w:lang w:val="fr-FR"/>
        </w:rPr>
        <w:t xml:space="preserve"> </w:t>
      </w:r>
      <w:r>
        <w:rPr>
          <w:rFonts w:ascii="Arial" w:hAnsi="Arial" w:cs="Arial"/>
          <w:bCs/>
          <w:sz w:val="22"/>
          <w:szCs w:val="22"/>
          <w:lang w:val="fr-FR"/>
        </w:rPr>
        <w:t xml:space="preserve">donc </w:t>
      </w:r>
      <w:r w:rsidRPr="00EE346B">
        <w:rPr>
          <w:rFonts w:ascii="Arial" w:hAnsi="Arial" w:cs="Arial"/>
          <w:bCs/>
          <w:sz w:val="22"/>
          <w:szCs w:val="22"/>
          <w:lang w:val="fr-FR"/>
        </w:rPr>
        <w:t>de la codification</w:t>
      </w:r>
      <w:r>
        <w:rPr>
          <w:rFonts w:ascii="Arial" w:hAnsi="Arial" w:cs="Arial"/>
          <w:bCs/>
          <w:sz w:val="22"/>
          <w:szCs w:val="22"/>
          <w:lang w:val="fr-FR"/>
        </w:rPr>
        <w:t>,</w:t>
      </w:r>
      <w:r w:rsidRPr="00EE346B">
        <w:rPr>
          <w:rFonts w:ascii="Arial" w:hAnsi="Arial" w:cs="Arial"/>
          <w:bCs/>
          <w:sz w:val="22"/>
          <w:szCs w:val="22"/>
          <w:lang w:val="fr-FR"/>
        </w:rPr>
        <w:t xml:space="preserve"> en ce sens qu</w:t>
      </w:r>
      <w:r w:rsidR="008E532B">
        <w:rPr>
          <w:rFonts w:ascii="Arial" w:hAnsi="Arial" w:cs="Arial"/>
          <w:bCs/>
          <w:sz w:val="22"/>
          <w:szCs w:val="22"/>
          <w:lang w:val="fr-FR"/>
        </w:rPr>
        <w:t>’</w:t>
      </w:r>
      <w:r w:rsidRPr="00EE346B">
        <w:rPr>
          <w:rFonts w:ascii="Arial" w:hAnsi="Arial" w:cs="Arial"/>
          <w:bCs/>
          <w:sz w:val="22"/>
          <w:szCs w:val="22"/>
          <w:lang w:val="fr-FR"/>
        </w:rPr>
        <w:t>elles ne change</w:t>
      </w:r>
      <w:r>
        <w:rPr>
          <w:rFonts w:ascii="Arial" w:hAnsi="Arial" w:cs="Arial"/>
          <w:bCs/>
          <w:sz w:val="22"/>
          <w:szCs w:val="22"/>
          <w:lang w:val="fr-FR"/>
        </w:rPr>
        <w:t>aie</w:t>
      </w:r>
      <w:r w:rsidRPr="00EE346B">
        <w:rPr>
          <w:rFonts w:ascii="Arial" w:hAnsi="Arial" w:cs="Arial"/>
          <w:bCs/>
          <w:sz w:val="22"/>
          <w:szCs w:val="22"/>
          <w:lang w:val="fr-FR"/>
        </w:rPr>
        <w:t xml:space="preserve">nt rien à ce qui </w:t>
      </w:r>
      <w:r>
        <w:rPr>
          <w:rFonts w:ascii="Arial" w:hAnsi="Arial" w:cs="Arial"/>
          <w:bCs/>
          <w:sz w:val="22"/>
          <w:szCs w:val="22"/>
          <w:lang w:val="fr-FR"/>
        </w:rPr>
        <w:t>était</w:t>
      </w:r>
      <w:r w:rsidRPr="00EE346B">
        <w:rPr>
          <w:rFonts w:ascii="Arial" w:hAnsi="Arial" w:cs="Arial"/>
          <w:bCs/>
          <w:sz w:val="22"/>
          <w:szCs w:val="22"/>
          <w:lang w:val="fr-FR"/>
        </w:rPr>
        <w:t xml:space="preserve"> fait auparavant, et il y en a</w:t>
      </w:r>
      <w:r>
        <w:rPr>
          <w:rFonts w:ascii="Arial" w:hAnsi="Arial" w:cs="Arial"/>
          <w:bCs/>
          <w:sz w:val="22"/>
          <w:szCs w:val="22"/>
          <w:lang w:val="fr-FR"/>
        </w:rPr>
        <w:t xml:space="preserve">vait </w:t>
      </w:r>
      <w:r w:rsidRPr="00EE346B">
        <w:rPr>
          <w:rFonts w:ascii="Arial" w:hAnsi="Arial" w:cs="Arial"/>
          <w:bCs/>
          <w:color w:val="000000" w:themeColor="text1"/>
          <w:sz w:val="22"/>
          <w:szCs w:val="22"/>
          <w:lang w:val="fr-FR"/>
        </w:rPr>
        <w:t>également</w:t>
      </w:r>
      <w:r w:rsidRPr="00EE346B">
        <w:rPr>
          <w:rFonts w:ascii="Arial" w:hAnsi="Arial" w:cs="Arial"/>
          <w:bCs/>
          <w:sz w:val="22"/>
          <w:szCs w:val="22"/>
          <w:lang w:val="fr-FR"/>
        </w:rPr>
        <w:t xml:space="preserve"> certaines qui rel</w:t>
      </w:r>
      <w:r>
        <w:rPr>
          <w:rFonts w:ascii="Arial" w:hAnsi="Arial" w:cs="Arial"/>
          <w:bCs/>
          <w:sz w:val="22"/>
          <w:szCs w:val="22"/>
          <w:lang w:val="fr-FR"/>
        </w:rPr>
        <w:t>evaient</w:t>
      </w:r>
      <w:r w:rsidRPr="00EE346B">
        <w:rPr>
          <w:rFonts w:ascii="Arial" w:hAnsi="Arial" w:cs="Arial"/>
          <w:bCs/>
          <w:sz w:val="22"/>
          <w:szCs w:val="22"/>
          <w:lang w:val="fr-FR"/>
        </w:rPr>
        <w:t xml:space="preserve"> du développement progressif, ce qui </w:t>
      </w:r>
      <w:r>
        <w:rPr>
          <w:rFonts w:ascii="Arial" w:hAnsi="Arial" w:cs="Arial"/>
          <w:bCs/>
          <w:sz w:val="22"/>
          <w:szCs w:val="22"/>
          <w:lang w:val="fr-FR"/>
        </w:rPr>
        <w:t xml:space="preserve">était </w:t>
      </w:r>
      <w:r w:rsidRPr="00EE346B">
        <w:rPr>
          <w:rFonts w:ascii="Arial" w:hAnsi="Arial" w:cs="Arial"/>
          <w:bCs/>
          <w:sz w:val="22"/>
          <w:szCs w:val="22"/>
          <w:lang w:val="fr-FR"/>
        </w:rPr>
        <w:t>nouveau. En fait, lorsqu</w:t>
      </w:r>
      <w:r w:rsidR="008E532B">
        <w:rPr>
          <w:rFonts w:ascii="Arial" w:hAnsi="Arial" w:cs="Arial"/>
          <w:bCs/>
          <w:sz w:val="22"/>
          <w:szCs w:val="22"/>
          <w:lang w:val="fr-FR"/>
        </w:rPr>
        <w:t>’</w:t>
      </w:r>
      <w:r w:rsidRPr="00EE346B">
        <w:rPr>
          <w:rFonts w:ascii="Arial" w:hAnsi="Arial" w:cs="Arial"/>
          <w:bCs/>
          <w:sz w:val="22"/>
          <w:szCs w:val="22"/>
          <w:lang w:val="fr-FR"/>
        </w:rPr>
        <w:t>on li</w:t>
      </w:r>
      <w:r>
        <w:rPr>
          <w:rFonts w:ascii="Arial" w:hAnsi="Arial" w:cs="Arial"/>
          <w:bCs/>
          <w:sz w:val="22"/>
          <w:szCs w:val="22"/>
          <w:lang w:val="fr-FR"/>
        </w:rPr>
        <w:t xml:space="preserve">sait </w:t>
      </w:r>
      <w:r w:rsidRPr="00EE346B">
        <w:rPr>
          <w:rFonts w:ascii="Arial" w:hAnsi="Arial" w:cs="Arial"/>
          <w:bCs/>
          <w:sz w:val="22"/>
          <w:szCs w:val="22"/>
          <w:lang w:val="fr-FR"/>
        </w:rPr>
        <w:t xml:space="preserve">le document de travail conjointement avec le </w:t>
      </w:r>
      <w:r>
        <w:rPr>
          <w:rFonts w:ascii="Arial" w:hAnsi="Arial" w:cs="Arial"/>
          <w:bCs/>
          <w:sz w:val="22"/>
          <w:szCs w:val="22"/>
          <w:lang w:val="fr-FR"/>
        </w:rPr>
        <w:t>R</w:t>
      </w:r>
      <w:r w:rsidRPr="00EE346B">
        <w:rPr>
          <w:rFonts w:ascii="Arial" w:hAnsi="Arial" w:cs="Arial"/>
          <w:bCs/>
          <w:sz w:val="22"/>
          <w:szCs w:val="22"/>
          <w:lang w:val="fr-FR"/>
        </w:rPr>
        <w:t xml:space="preserve">èglement </w:t>
      </w:r>
      <w:r>
        <w:rPr>
          <w:rFonts w:ascii="Arial" w:hAnsi="Arial" w:cs="Arial"/>
          <w:bCs/>
          <w:sz w:val="22"/>
          <w:szCs w:val="22"/>
          <w:lang w:val="fr-FR"/>
        </w:rPr>
        <w:t>intérieur modèle</w:t>
      </w:r>
      <w:r w:rsidRPr="00EE346B">
        <w:rPr>
          <w:rFonts w:ascii="Arial" w:hAnsi="Arial" w:cs="Arial"/>
          <w:bCs/>
          <w:sz w:val="22"/>
          <w:szCs w:val="22"/>
          <w:lang w:val="fr-FR"/>
        </w:rPr>
        <w:t>, avec les commentaires, tel qu</w:t>
      </w:r>
      <w:r w:rsidR="008E532B">
        <w:rPr>
          <w:rFonts w:ascii="Arial" w:hAnsi="Arial" w:cs="Arial"/>
          <w:bCs/>
          <w:sz w:val="22"/>
          <w:szCs w:val="22"/>
          <w:lang w:val="fr-FR"/>
        </w:rPr>
        <w:t>’</w:t>
      </w:r>
      <w:r w:rsidRPr="00EE346B">
        <w:rPr>
          <w:rFonts w:ascii="Arial" w:hAnsi="Arial" w:cs="Arial"/>
          <w:bCs/>
          <w:sz w:val="22"/>
          <w:szCs w:val="22"/>
          <w:lang w:val="fr-FR"/>
        </w:rPr>
        <w:t>il a</w:t>
      </w:r>
      <w:r>
        <w:rPr>
          <w:rFonts w:ascii="Arial" w:hAnsi="Arial" w:cs="Arial"/>
          <w:bCs/>
          <w:sz w:val="22"/>
          <w:szCs w:val="22"/>
          <w:lang w:val="fr-FR"/>
        </w:rPr>
        <w:t>vait</w:t>
      </w:r>
      <w:r w:rsidRPr="00EE346B">
        <w:rPr>
          <w:rFonts w:ascii="Arial" w:hAnsi="Arial" w:cs="Arial"/>
          <w:bCs/>
          <w:sz w:val="22"/>
          <w:szCs w:val="22"/>
          <w:lang w:val="fr-FR"/>
        </w:rPr>
        <w:t xml:space="preserve"> été soumis à la Conférence générale de l</w:t>
      </w:r>
      <w:r w:rsidR="008E532B">
        <w:rPr>
          <w:rFonts w:ascii="Arial" w:hAnsi="Arial" w:cs="Arial"/>
          <w:bCs/>
          <w:sz w:val="22"/>
          <w:szCs w:val="22"/>
          <w:lang w:val="fr-FR"/>
        </w:rPr>
        <w:t>’</w:t>
      </w:r>
      <w:r w:rsidRPr="00EE346B">
        <w:rPr>
          <w:rFonts w:ascii="Arial" w:hAnsi="Arial" w:cs="Arial"/>
          <w:bCs/>
          <w:sz w:val="22"/>
          <w:szCs w:val="22"/>
          <w:lang w:val="fr-FR"/>
        </w:rPr>
        <w:t>UNESCO, on p</w:t>
      </w:r>
      <w:r>
        <w:rPr>
          <w:rFonts w:ascii="Arial" w:hAnsi="Arial" w:cs="Arial"/>
          <w:bCs/>
          <w:sz w:val="22"/>
          <w:szCs w:val="22"/>
          <w:lang w:val="fr-FR"/>
        </w:rPr>
        <w:t>ouvait</w:t>
      </w:r>
      <w:r w:rsidRPr="00EE346B">
        <w:rPr>
          <w:rFonts w:ascii="Arial" w:hAnsi="Arial" w:cs="Arial"/>
          <w:bCs/>
          <w:sz w:val="22"/>
          <w:szCs w:val="22"/>
          <w:lang w:val="fr-FR"/>
        </w:rPr>
        <w:t xml:space="preserve"> constater que les commentaires indiqu</w:t>
      </w:r>
      <w:r>
        <w:rPr>
          <w:rFonts w:ascii="Arial" w:hAnsi="Arial" w:cs="Arial"/>
          <w:bCs/>
          <w:sz w:val="22"/>
          <w:szCs w:val="22"/>
          <w:lang w:val="fr-FR"/>
        </w:rPr>
        <w:t>ai</w:t>
      </w:r>
      <w:r w:rsidRPr="00EE346B">
        <w:rPr>
          <w:rFonts w:ascii="Arial" w:hAnsi="Arial" w:cs="Arial"/>
          <w:bCs/>
          <w:sz w:val="22"/>
          <w:szCs w:val="22"/>
          <w:lang w:val="fr-FR"/>
        </w:rPr>
        <w:t>ent très clairement quand il y a</w:t>
      </w:r>
      <w:r>
        <w:rPr>
          <w:rFonts w:ascii="Arial" w:hAnsi="Arial" w:cs="Arial"/>
          <w:bCs/>
          <w:sz w:val="22"/>
          <w:szCs w:val="22"/>
          <w:lang w:val="fr-FR"/>
        </w:rPr>
        <w:t>vait</w:t>
      </w:r>
      <w:r w:rsidRPr="00EE346B">
        <w:rPr>
          <w:rFonts w:ascii="Arial" w:hAnsi="Arial" w:cs="Arial"/>
          <w:bCs/>
          <w:sz w:val="22"/>
          <w:szCs w:val="22"/>
          <w:lang w:val="fr-FR"/>
        </w:rPr>
        <w:t xml:space="preserve"> codification et quand il y a</w:t>
      </w:r>
      <w:r>
        <w:rPr>
          <w:rFonts w:ascii="Arial" w:hAnsi="Arial" w:cs="Arial"/>
          <w:bCs/>
          <w:sz w:val="22"/>
          <w:szCs w:val="22"/>
          <w:lang w:val="fr-FR"/>
        </w:rPr>
        <w:t>vait</w:t>
      </w:r>
      <w:r w:rsidRPr="00EE346B">
        <w:rPr>
          <w:rFonts w:ascii="Arial" w:hAnsi="Arial" w:cs="Arial"/>
          <w:bCs/>
          <w:sz w:val="22"/>
          <w:szCs w:val="22"/>
          <w:lang w:val="fr-FR"/>
        </w:rPr>
        <w:t xml:space="preserve"> de nouvelles propositions.</w:t>
      </w:r>
    </w:p>
    <w:p w14:paraId="4BB25EDF" w14:textId="6D3AFE2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2421C">
        <w:rPr>
          <w:rFonts w:ascii="Arial" w:hAnsi="Arial" w:cs="Arial"/>
          <w:bCs/>
          <w:sz w:val="22"/>
          <w:szCs w:val="22"/>
          <w:lang w:val="fr-FR"/>
        </w:rPr>
        <w:t xml:space="preserve">Le </w:t>
      </w:r>
      <w:r w:rsidRPr="00C2421C">
        <w:rPr>
          <w:rFonts w:ascii="Arial" w:hAnsi="Arial" w:cs="Arial"/>
          <w:b/>
          <w:sz w:val="22"/>
          <w:szCs w:val="22"/>
          <w:lang w:val="fr-FR"/>
        </w:rPr>
        <w:t>Conseiller juridique</w:t>
      </w:r>
      <w:r w:rsidRPr="00C2421C">
        <w:rPr>
          <w:rFonts w:ascii="Arial" w:hAnsi="Arial" w:cs="Arial"/>
          <w:bCs/>
          <w:sz w:val="22"/>
          <w:szCs w:val="22"/>
          <w:lang w:val="fr-FR"/>
        </w:rPr>
        <w:t xml:space="preserve"> </w:t>
      </w:r>
      <w:r>
        <w:rPr>
          <w:rFonts w:ascii="Arial" w:hAnsi="Arial" w:cs="Arial"/>
          <w:bCs/>
          <w:sz w:val="22"/>
          <w:szCs w:val="22"/>
          <w:lang w:val="fr-FR"/>
        </w:rPr>
        <w:t xml:space="preserve">a ensuite </w:t>
      </w:r>
      <w:r w:rsidRPr="00C2421C">
        <w:rPr>
          <w:rFonts w:ascii="Arial" w:hAnsi="Arial" w:cs="Arial"/>
          <w:bCs/>
          <w:sz w:val="22"/>
          <w:szCs w:val="22"/>
          <w:lang w:val="fr-FR"/>
        </w:rPr>
        <w:t>répond</w:t>
      </w:r>
      <w:r>
        <w:rPr>
          <w:rFonts w:ascii="Arial" w:hAnsi="Arial" w:cs="Arial"/>
          <w:bCs/>
          <w:sz w:val="22"/>
          <w:szCs w:val="22"/>
          <w:lang w:val="fr-FR"/>
        </w:rPr>
        <w:t>u</w:t>
      </w:r>
      <w:r w:rsidRPr="00C2421C">
        <w:rPr>
          <w:rFonts w:ascii="Arial" w:hAnsi="Arial" w:cs="Arial"/>
          <w:bCs/>
          <w:sz w:val="22"/>
          <w:szCs w:val="22"/>
          <w:lang w:val="fr-FR"/>
        </w:rPr>
        <w:t xml:space="preserve"> aux quatre questions. La première question concern</w:t>
      </w:r>
      <w:r>
        <w:rPr>
          <w:rFonts w:ascii="Arial" w:hAnsi="Arial" w:cs="Arial"/>
          <w:bCs/>
          <w:sz w:val="22"/>
          <w:szCs w:val="22"/>
          <w:lang w:val="fr-FR"/>
        </w:rPr>
        <w:t>ait</w:t>
      </w:r>
      <w:r w:rsidRPr="00C2421C">
        <w:rPr>
          <w:rFonts w:ascii="Arial" w:hAnsi="Arial" w:cs="Arial"/>
          <w:bCs/>
          <w:sz w:val="22"/>
          <w:szCs w:val="22"/>
          <w:lang w:val="fr-FR"/>
        </w:rPr>
        <w:t xml:space="preserve"> l</w:t>
      </w:r>
      <w:r w:rsidR="008E532B">
        <w:rPr>
          <w:rFonts w:ascii="Arial" w:hAnsi="Arial" w:cs="Arial"/>
          <w:bCs/>
          <w:sz w:val="22"/>
          <w:szCs w:val="22"/>
          <w:lang w:val="fr-FR"/>
        </w:rPr>
        <w:t>’</w:t>
      </w:r>
      <w:r w:rsidRPr="00C2421C">
        <w:rPr>
          <w:rFonts w:ascii="Arial" w:hAnsi="Arial" w:cs="Arial"/>
          <w:bCs/>
          <w:sz w:val="22"/>
          <w:szCs w:val="22"/>
          <w:lang w:val="fr-FR"/>
        </w:rPr>
        <w:t xml:space="preserve">article 3.3. Il </w:t>
      </w:r>
      <w:r>
        <w:rPr>
          <w:rFonts w:ascii="Arial" w:hAnsi="Arial" w:cs="Arial"/>
          <w:bCs/>
          <w:sz w:val="22"/>
          <w:szCs w:val="22"/>
          <w:lang w:val="fr-FR"/>
        </w:rPr>
        <w:t xml:space="preserve">a </w:t>
      </w:r>
      <w:r w:rsidRPr="00C2421C">
        <w:rPr>
          <w:rFonts w:ascii="Arial" w:hAnsi="Arial" w:cs="Arial"/>
          <w:bCs/>
          <w:sz w:val="22"/>
          <w:szCs w:val="22"/>
          <w:lang w:val="fr-FR"/>
        </w:rPr>
        <w:t>expliqu</w:t>
      </w:r>
      <w:r>
        <w:rPr>
          <w:rFonts w:ascii="Arial" w:hAnsi="Arial" w:cs="Arial"/>
          <w:bCs/>
          <w:sz w:val="22"/>
          <w:szCs w:val="22"/>
          <w:lang w:val="fr-FR"/>
        </w:rPr>
        <w:t>é</w:t>
      </w:r>
      <w:r w:rsidRPr="00C2421C">
        <w:rPr>
          <w:rFonts w:ascii="Arial" w:hAnsi="Arial" w:cs="Arial"/>
          <w:bCs/>
          <w:sz w:val="22"/>
          <w:szCs w:val="22"/>
          <w:lang w:val="fr-FR"/>
        </w:rPr>
        <w:t xml:space="preserve"> qu</w:t>
      </w:r>
      <w:r w:rsidR="008E532B">
        <w:rPr>
          <w:rFonts w:ascii="Arial" w:hAnsi="Arial" w:cs="Arial"/>
          <w:bCs/>
          <w:sz w:val="22"/>
          <w:szCs w:val="22"/>
          <w:lang w:val="fr-FR"/>
        </w:rPr>
        <w:t>’</w:t>
      </w:r>
      <w:r w:rsidRPr="00C2421C">
        <w:rPr>
          <w:rFonts w:ascii="Arial" w:hAnsi="Arial" w:cs="Arial"/>
          <w:bCs/>
          <w:sz w:val="22"/>
          <w:szCs w:val="22"/>
          <w:lang w:val="fr-FR"/>
        </w:rPr>
        <w:t>il s</w:t>
      </w:r>
      <w:r w:rsidR="008E532B">
        <w:rPr>
          <w:rFonts w:ascii="Arial" w:hAnsi="Arial" w:cs="Arial"/>
          <w:bCs/>
          <w:sz w:val="22"/>
          <w:szCs w:val="22"/>
          <w:lang w:val="fr-FR"/>
        </w:rPr>
        <w:t>’</w:t>
      </w:r>
      <w:r w:rsidRPr="00C2421C">
        <w:rPr>
          <w:rFonts w:ascii="Arial" w:hAnsi="Arial" w:cs="Arial"/>
          <w:bCs/>
          <w:sz w:val="22"/>
          <w:szCs w:val="22"/>
          <w:lang w:val="fr-FR"/>
        </w:rPr>
        <w:t>agi</w:t>
      </w:r>
      <w:r>
        <w:rPr>
          <w:rFonts w:ascii="Arial" w:hAnsi="Arial" w:cs="Arial"/>
          <w:bCs/>
          <w:sz w:val="22"/>
          <w:szCs w:val="22"/>
          <w:lang w:val="fr-FR"/>
        </w:rPr>
        <w:t>ssai</w:t>
      </w:r>
      <w:r w:rsidRPr="00C2421C">
        <w:rPr>
          <w:rFonts w:ascii="Arial" w:hAnsi="Arial" w:cs="Arial"/>
          <w:bCs/>
          <w:sz w:val="22"/>
          <w:szCs w:val="22"/>
          <w:lang w:val="fr-FR"/>
        </w:rPr>
        <w:t>t, pour l</w:t>
      </w:r>
      <w:r w:rsidR="008E532B">
        <w:rPr>
          <w:rFonts w:ascii="Arial" w:hAnsi="Arial" w:cs="Arial"/>
          <w:bCs/>
          <w:sz w:val="22"/>
          <w:szCs w:val="22"/>
          <w:lang w:val="fr-FR"/>
        </w:rPr>
        <w:t>’</w:t>
      </w:r>
      <w:r w:rsidRPr="00C2421C">
        <w:rPr>
          <w:rFonts w:ascii="Arial" w:hAnsi="Arial" w:cs="Arial"/>
          <w:bCs/>
          <w:sz w:val="22"/>
          <w:szCs w:val="22"/>
          <w:lang w:val="fr-FR"/>
        </w:rPr>
        <w:t>essentiel, d</w:t>
      </w:r>
      <w:r w:rsidR="008E532B">
        <w:rPr>
          <w:rFonts w:ascii="Arial" w:hAnsi="Arial" w:cs="Arial"/>
          <w:bCs/>
          <w:sz w:val="22"/>
          <w:szCs w:val="22"/>
          <w:lang w:val="fr-FR"/>
        </w:rPr>
        <w:t>’</w:t>
      </w:r>
      <w:r w:rsidRPr="00C2421C">
        <w:rPr>
          <w:rFonts w:ascii="Arial" w:hAnsi="Arial" w:cs="Arial"/>
          <w:bCs/>
          <w:sz w:val="22"/>
          <w:szCs w:val="22"/>
          <w:lang w:val="fr-FR"/>
        </w:rPr>
        <w:t xml:space="preserve">une codification, </w:t>
      </w:r>
      <w:r>
        <w:rPr>
          <w:rFonts w:ascii="Arial" w:hAnsi="Arial" w:cs="Arial"/>
          <w:bCs/>
          <w:sz w:val="22"/>
          <w:szCs w:val="22"/>
          <w:lang w:val="fr-FR"/>
        </w:rPr>
        <w:t xml:space="preserve">c.-à-d. </w:t>
      </w:r>
      <w:r w:rsidRPr="00C2421C">
        <w:rPr>
          <w:rFonts w:ascii="Arial" w:hAnsi="Arial" w:cs="Arial"/>
          <w:bCs/>
          <w:sz w:val="22"/>
          <w:szCs w:val="22"/>
          <w:lang w:val="fr-FR"/>
        </w:rPr>
        <w:t>il exist</w:t>
      </w:r>
      <w:r>
        <w:rPr>
          <w:rFonts w:ascii="Arial" w:hAnsi="Arial" w:cs="Arial"/>
          <w:bCs/>
          <w:sz w:val="22"/>
          <w:szCs w:val="22"/>
          <w:lang w:val="fr-FR"/>
        </w:rPr>
        <w:t>ait</w:t>
      </w:r>
      <w:r w:rsidRPr="00C2421C">
        <w:rPr>
          <w:rFonts w:ascii="Arial" w:hAnsi="Arial" w:cs="Arial"/>
          <w:bCs/>
          <w:sz w:val="22"/>
          <w:szCs w:val="22"/>
          <w:lang w:val="fr-FR"/>
        </w:rPr>
        <w:t xml:space="preserve"> déjà sous la forme de l</w:t>
      </w:r>
      <w:r w:rsidR="008E532B">
        <w:rPr>
          <w:rFonts w:ascii="Arial" w:hAnsi="Arial" w:cs="Arial"/>
          <w:bCs/>
          <w:sz w:val="22"/>
          <w:szCs w:val="22"/>
          <w:lang w:val="fr-FR"/>
        </w:rPr>
        <w:t>’</w:t>
      </w:r>
      <w:r w:rsidRPr="00C2421C">
        <w:rPr>
          <w:rFonts w:ascii="Arial" w:hAnsi="Arial" w:cs="Arial"/>
          <w:bCs/>
          <w:sz w:val="22"/>
          <w:szCs w:val="22"/>
          <w:lang w:val="fr-FR"/>
        </w:rPr>
        <w:t>article 2.2</w:t>
      </w:r>
      <w:r>
        <w:rPr>
          <w:rFonts w:ascii="Arial" w:hAnsi="Arial" w:cs="Arial"/>
          <w:bCs/>
          <w:sz w:val="22"/>
          <w:szCs w:val="22"/>
          <w:lang w:val="fr-FR"/>
        </w:rPr>
        <w:t xml:space="preserve"> qui était ainsi rédigé </w:t>
      </w:r>
      <w:r w:rsidRPr="00C2421C">
        <w:rPr>
          <w:rFonts w:ascii="Arial" w:hAnsi="Arial" w:cs="Arial"/>
          <w:bCs/>
          <w:sz w:val="22"/>
          <w:szCs w:val="22"/>
          <w:lang w:val="fr-FR"/>
        </w:rPr>
        <w:t xml:space="preserve">: </w:t>
      </w:r>
      <w:r>
        <w:rPr>
          <w:rFonts w:ascii="Arial" w:hAnsi="Arial" w:cs="Arial"/>
          <w:bCs/>
          <w:sz w:val="22"/>
          <w:szCs w:val="22"/>
          <w:lang w:val="fr-FR"/>
        </w:rPr>
        <w:t>« </w:t>
      </w:r>
      <w:r w:rsidRPr="00C2421C">
        <w:rPr>
          <w:rFonts w:ascii="Arial" w:hAnsi="Arial" w:cs="Arial"/>
          <w:bCs/>
          <w:sz w:val="22"/>
          <w:szCs w:val="22"/>
          <w:lang w:val="fr-FR"/>
        </w:rPr>
        <w:t>Les représentants de l</w:t>
      </w:r>
      <w:r w:rsidR="008E532B">
        <w:rPr>
          <w:rFonts w:ascii="Arial" w:hAnsi="Arial" w:cs="Arial"/>
          <w:bCs/>
          <w:sz w:val="22"/>
          <w:szCs w:val="22"/>
          <w:lang w:val="fr-FR"/>
        </w:rPr>
        <w:t>’</w:t>
      </w:r>
      <w:r w:rsidRPr="00C2421C">
        <w:rPr>
          <w:rFonts w:ascii="Arial" w:hAnsi="Arial" w:cs="Arial"/>
          <w:bCs/>
          <w:sz w:val="22"/>
          <w:szCs w:val="22"/>
          <w:lang w:val="fr-FR"/>
        </w:rPr>
        <w:t xml:space="preserve">Organisation des Nations Unies et des organisations du système des Nations Unies et autres organisations intergouvernementales </w:t>
      </w:r>
      <w:r>
        <w:rPr>
          <w:rFonts w:ascii="Arial" w:hAnsi="Arial" w:cs="Arial"/>
          <w:bCs/>
          <w:sz w:val="22"/>
          <w:szCs w:val="22"/>
          <w:lang w:val="fr-FR"/>
        </w:rPr>
        <w:t>avec lesquelles l</w:t>
      </w:r>
      <w:r w:rsidR="008E532B">
        <w:rPr>
          <w:rFonts w:ascii="Arial" w:hAnsi="Arial" w:cs="Arial"/>
          <w:bCs/>
          <w:sz w:val="22"/>
          <w:szCs w:val="22"/>
          <w:lang w:val="fr-FR"/>
        </w:rPr>
        <w:t>’</w:t>
      </w:r>
      <w:r w:rsidRPr="00C2421C">
        <w:rPr>
          <w:rFonts w:ascii="Arial" w:hAnsi="Arial" w:cs="Arial"/>
          <w:bCs/>
          <w:sz w:val="22"/>
          <w:szCs w:val="22"/>
          <w:lang w:val="fr-FR"/>
        </w:rPr>
        <w:t>UNESCO</w:t>
      </w:r>
      <w:r>
        <w:rPr>
          <w:rFonts w:ascii="Arial" w:hAnsi="Arial" w:cs="Arial"/>
          <w:bCs/>
          <w:sz w:val="22"/>
          <w:szCs w:val="22"/>
          <w:lang w:val="fr-FR"/>
        </w:rPr>
        <w:t xml:space="preserve"> a conclu </w:t>
      </w:r>
      <w:r w:rsidRPr="00C2421C">
        <w:rPr>
          <w:rFonts w:ascii="Arial" w:hAnsi="Arial" w:cs="Arial"/>
          <w:bCs/>
          <w:sz w:val="22"/>
          <w:szCs w:val="22"/>
          <w:lang w:val="fr-FR"/>
        </w:rPr>
        <w:t xml:space="preserve">un accord </w:t>
      </w:r>
      <w:r>
        <w:rPr>
          <w:rFonts w:ascii="Arial" w:hAnsi="Arial" w:cs="Arial"/>
          <w:bCs/>
          <w:sz w:val="22"/>
          <w:szCs w:val="22"/>
          <w:lang w:val="fr-FR"/>
        </w:rPr>
        <w:t xml:space="preserve">prévoyant une </w:t>
      </w:r>
      <w:r w:rsidRPr="00C2421C">
        <w:rPr>
          <w:rFonts w:ascii="Arial" w:hAnsi="Arial" w:cs="Arial"/>
          <w:bCs/>
          <w:sz w:val="22"/>
          <w:szCs w:val="22"/>
          <w:lang w:val="fr-FR"/>
        </w:rPr>
        <w:t>représentation réciproque, ainsi que les observateurs des organisations intergouvernementales et internationales non gouvernementales invités par le</w:t>
      </w:r>
      <w:r>
        <w:rPr>
          <w:rFonts w:ascii="Arial" w:hAnsi="Arial" w:cs="Arial"/>
          <w:bCs/>
          <w:sz w:val="22"/>
          <w:szCs w:val="22"/>
          <w:lang w:val="fr-FR"/>
        </w:rPr>
        <w:t>/la</w:t>
      </w:r>
      <w:r w:rsidRPr="00C2421C">
        <w:rPr>
          <w:rFonts w:ascii="Arial" w:hAnsi="Arial" w:cs="Arial"/>
          <w:bCs/>
          <w:sz w:val="22"/>
          <w:szCs w:val="22"/>
          <w:lang w:val="fr-FR"/>
        </w:rPr>
        <w:t xml:space="preserve"> Directeur</w:t>
      </w:r>
      <w:r>
        <w:rPr>
          <w:rFonts w:ascii="Arial" w:hAnsi="Arial" w:cs="Arial"/>
          <w:bCs/>
          <w:sz w:val="22"/>
          <w:szCs w:val="22"/>
          <w:lang w:val="fr-FR"/>
        </w:rPr>
        <w:t>/Directrice</w:t>
      </w:r>
      <w:r w:rsidRPr="00C2421C">
        <w:rPr>
          <w:rFonts w:ascii="Arial" w:hAnsi="Arial" w:cs="Arial"/>
          <w:bCs/>
          <w:sz w:val="22"/>
          <w:szCs w:val="22"/>
          <w:lang w:val="fr-FR"/>
        </w:rPr>
        <w:t xml:space="preserve"> général</w:t>
      </w:r>
      <w:r>
        <w:rPr>
          <w:rFonts w:ascii="Arial" w:hAnsi="Arial" w:cs="Arial"/>
          <w:bCs/>
          <w:sz w:val="22"/>
          <w:szCs w:val="22"/>
          <w:lang w:val="fr-FR"/>
        </w:rPr>
        <w:t>(e)</w:t>
      </w:r>
      <w:r w:rsidRPr="00C2421C">
        <w:rPr>
          <w:rFonts w:ascii="Arial" w:hAnsi="Arial" w:cs="Arial"/>
          <w:bCs/>
          <w:sz w:val="22"/>
          <w:szCs w:val="22"/>
          <w:lang w:val="fr-FR"/>
        </w:rPr>
        <w:t xml:space="preserve"> peuvent participer aux travaux de l</w:t>
      </w:r>
      <w:r w:rsidR="008E532B">
        <w:rPr>
          <w:rFonts w:ascii="Arial" w:hAnsi="Arial" w:cs="Arial"/>
          <w:bCs/>
          <w:sz w:val="22"/>
          <w:szCs w:val="22"/>
          <w:lang w:val="fr-FR"/>
        </w:rPr>
        <w:t>’</w:t>
      </w:r>
      <w:r w:rsidRPr="00C2421C">
        <w:rPr>
          <w:rFonts w:ascii="Arial" w:hAnsi="Arial" w:cs="Arial"/>
          <w:bCs/>
          <w:sz w:val="22"/>
          <w:szCs w:val="22"/>
          <w:lang w:val="fr-FR"/>
        </w:rPr>
        <w:t>Assemblée, sans droit de vote et sous réserve de l</w:t>
      </w:r>
      <w:r w:rsidR="008E532B">
        <w:rPr>
          <w:rFonts w:ascii="Arial" w:hAnsi="Arial" w:cs="Arial"/>
          <w:bCs/>
          <w:sz w:val="22"/>
          <w:szCs w:val="22"/>
          <w:lang w:val="fr-FR"/>
        </w:rPr>
        <w:t>’</w:t>
      </w:r>
      <w:r w:rsidRPr="00C2421C">
        <w:rPr>
          <w:rFonts w:ascii="Arial" w:hAnsi="Arial" w:cs="Arial"/>
          <w:bCs/>
          <w:sz w:val="22"/>
          <w:szCs w:val="22"/>
          <w:lang w:val="fr-FR"/>
        </w:rPr>
        <w:t>article 7.3</w:t>
      </w:r>
      <w:r>
        <w:rPr>
          <w:rFonts w:ascii="Arial" w:hAnsi="Arial" w:cs="Arial"/>
          <w:bCs/>
          <w:sz w:val="22"/>
          <w:szCs w:val="22"/>
          <w:lang w:val="fr-FR"/>
        </w:rPr>
        <w:t>. »</w:t>
      </w:r>
      <w:r w:rsidRPr="00C2421C">
        <w:rPr>
          <w:rFonts w:ascii="Arial" w:hAnsi="Arial" w:cs="Arial"/>
          <w:bCs/>
          <w:sz w:val="22"/>
          <w:szCs w:val="22"/>
          <w:lang w:val="fr-FR"/>
        </w:rPr>
        <w:t xml:space="preserve"> Le Conseiller juridique a précisé que les articles 3.2 et 3.3 établiss</w:t>
      </w:r>
      <w:r>
        <w:rPr>
          <w:rFonts w:ascii="Arial" w:hAnsi="Arial" w:cs="Arial"/>
          <w:bCs/>
          <w:sz w:val="22"/>
          <w:szCs w:val="22"/>
          <w:lang w:val="fr-FR"/>
        </w:rPr>
        <w:t>ai</w:t>
      </w:r>
      <w:r w:rsidRPr="00C2421C">
        <w:rPr>
          <w:rFonts w:ascii="Arial" w:hAnsi="Arial" w:cs="Arial"/>
          <w:bCs/>
          <w:sz w:val="22"/>
          <w:szCs w:val="22"/>
          <w:lang w:val="fr-FR"/>
        </w:rPr>
        <w:t>ent une distinction claire entre deux types d</w:t>
      </w:r>
      <w:r w:rsidR="008E532B">
        <w:rPr>
          <w:rFonts w:ascii="Arial" w:hAnsi="Arial" w:cs="Arial"/>
          <w:bCs/>
          <w:sz w:val="22"/>
          <w:szCs w:val="22"/>
          <w:lang w:val="fr-FR"/>
        </w:rPr>
        <w:t>’</w:t>
      </w:r>
      <w:r w:rsidRPr="00C2421C">
        <w:rPr>
          <w:rFonts w:ascii="Arial" w:hAnsi="Arial" w:cs="Arial"/>
          <w:bCs/>
          <w:sz w:val="22"/>
          <w:szCs w:val="22"/>
          <w:lang w:val="fr-FR"/>
        </w:rPr>
        <w:t>observateurs : d</w:t>
      </w:r>
      <w:r w:rsidR="008E532B">
        <w:rPr>
          <w:rFonts w:ascii="Arial" w:hAnsi="Arial" w:cs="Arial"/>
          <w:bCs/>
          <w:sz w:val="22"/>
          <w:szCs w:val="22"/>
          <w:lang w:val="fr-FR"/>
        </w:rPr>
        <w:t>’</w:t>
      </w:r>
      <w:r w:rsidRPr="00C2421C">
        <w:rPr>
          <w:rFonts w:ascii="Arial" w:hAnsi="Arial" w:cs="Arial"/>
          <w:bCs/>
          <w:sz w:val="22"/>
          <w:szCs w:val="22"/>
          <w:lang w:val="fr-FR"/>
        </w:rPr>
        <w:t xml:space="preserve">une part, </w:t>
      </w:r>
      <w:r>
        <w:rPr>
          <w:rFonts w:ascii="Arial" w:hAnsi="Arial" w:cs="Arial"/>
          <w:bCs/>
          <w:sz w:val="22"/>
          <w:szCs w:val="22"/>
          <w:lang w:val="fr-FR"/>
        </w:rPr>
        <w:t>à l</w:t>
      </w:r>
      <w:r w:rsidR="008E532B">
        <w:rPr>
          <w:rFonts w:ascii="Arial" w:hAnsi="Arial" w:cs="Arial"/>
          <w:bCs/>
          <w:sz w:val="22"/>
          <w:szCs w:val="22"/>
          <w:lang w:val="fr-FR"/>
        </w:rPr>
        <w:t>’</w:t>
      </w:r>
      <w:r>
        <w:rPr>
          <w:rFonts w:ascii="Arial" w:hAnsi="Arial" w:cs="Arial"/>
          <w:bCs/>
          <w:sz w:val="22"/>
          <w:szCs w:val="22"/>
          <w:lang w:val="fr-FR"/>
        </w:rPr>
        <w:t xml:space="preserve">article 3.2, </w:t>
      </w:r>
      <w:r w:rsidRPr="00C2421C">
        <w:rPr>
          <w:rFonts w:ascii="Arial" w:hAnsi="Arial" w:cs="Arial"/>
          <w:bCs/>
          <w:sz w:val="22"/>
          <w:szCs w:val="22"/>
          <w:lang w:val="fr-FR"/>
        </w:rPr>
        <w:t xml:space="preserve">les représentants des </w:t>
      </w:r>
      <w:r>
        <w:rPr>
          <w:rFonts w:ascii="Arial" w:hAnsi="Arial" w:cs="Arial"/>
          <w:bCs/>
          <w:sz w:val="22"/>
          <w:szCs w:val="22"/>
          <w:lang w:val="fr-FR"/>
        </w:rPr>
        <w:t>« </w:t>
      </w:r>
      <w:r w:rsidRPr="00C2421C">
        <w:rPr>
          <w:rFonts w:ascii="Arial" w:hAnsi="Arial" w:cs="Arial"/>
          <w:bCs/>
          <w:sz w:val="22"/>
          <w:szCs w:val="22"/>
          <w:lang w:val="fr-FR"/>
        </w:rPr>
        <w:t xml:space="preserve">organisations internationales intergouvernementales </w:t>
      </w:r>
      <w:r>
        <w:rPr>
          <w:rFonts w:ascii="Arial" w:hAnsi="Arial" w:cs="Arial"/>
          <w:bCs/>
          <w:sz w:val="22"/>
          <w:szCs w:val="22"/>
          <w:lang w:val="fr-FR"/>
        </w:rPr>
        <w:t>avec lesquelles l</w:t>
      </w:r>
      <w:r w:rsidR="008E532B">
        <w:rPr>
          <w:rFonts w:ascii="Arial" w:hAnsi="Arial" w:cs="Arial"/>
          <w:bCs/>
          <w:sz w:val="22"/>
          <w:szCs w:val="22"/>
          <w:lang w:val="fr-FR"/>
        </w:rPr>
        <w:t>’</w:t>
      </w:r>
      <w:r>
        <w:rPr>
          <w:rFonts w:ascii="Arial" w:hAnsi="Arial" w:cs="Arial"/>
          <w:bCs/>
          <w:sz w:val="22"/>
          <w:szCs w:val="22"/>
          <w:lang w:val="fr-FR"/>
        </w:rPr>
        <w:t xml:space="preserve">UNESCO </w:t>
      </w:r>
      <w:r w:rsidRPr="00C2421C">
        <w:rPr>
          <w:rFonts w:ascii="Arial" w:hAnsi="Arial" w:cs="Arial"/>
          <w:bCs/>
          <w:sz w:val="22"/>
          <w:szCs w:val="22"/>
          <w:lang w:val="fr-FR"/>
        </w:rPr>
        <w:t>a</w:t>
      </w:r>
      <w:r>
        <w:rPr>
          <w:rFonts w:ascii="Arial" w:hAnsi="Arial" w:cs="Arial"/>
          <w:bCs/>
          <w:sz w:val="22"/>
          <w:szCs w:val="22"/>
          <w:lang w:val="fr-FR"/>
        </w:rPr>
        <w:t xml:space="preserve"> </w:t>
      </w:r>
      <w:r w:rsidRPr="00C2421C">
        <w:rPr>
          <w:rFonts w:ascii="Arial" w:hAnsi="Arial" w:cs="Arial"/>
          <w:bCs/>
          <w:sz w:val="22"/>
          <w:szCs w:val="22"/>
          <w:lang w:val="fr-FR"/>
        </w:rPr>
        <w:t xml:space="preserve">conclu un accord de représentation </w:t>
      </w:r>
      <w:r>
        <w:rPr>
          <w:rFonts w:ascii="Arial" w:hAnsi="Arial" w:cs="Arial"/>
          <w:bCs/>
          <w:sz w:val="22"/>
          <w:szCs w:val="22"/>
          <w:lang w:val="fr-FR"/>
        </w:rPr>
        <w:t>réciproque »</w:t>
      </w:r>
      <w:r w:rsidRPr="00C2421C">
        <w:rPr>
          <w:rFonts w:ascii="Arial" w:hAnsi="Arial" w:cs="Arial"/>
          <w:bCs/>
          <w:sz w:val="22"/>
          <w:szCs w:val="22"/>
          <w:lang w:val="fr-FR"/>
        </w:rPr>
        <w:t>, et d</w:t>
      </w:r>
      <w:r w:rsidR="008E532B">
        <w:rPr>
          <w:rFonts w:ascii="Arial" w:hAnsi="Arial" w:cs="Arial"/>
          <w:bCs/>
          <w:sz w:val="22"/>
          <w:szCs w:val="22"/>
          <w:lang w:val="fr-FR"/>
        </w:rPr>
        <w:t>’</w:t>
      </w:r>
      <w:r w:rsidRPr="00C2421C">
        <w:rPr>
          <w:rFonts w:ascii="Arial" w:hAnsi="Arial" w:cs="Arial"/>
          <w:bCs/>
          <w:sz w:val="22"/>
          <w:szCs w:val="22"/>
          <w:lang w:val="fr-FR"/>
        </w:rPr>
        <w:t xml:space="preserve">autre part, </w:t>
      </w:r>
      <w:r>
        <w:rPr>
          <w:rFonts w:ascii="Arial" w:hAnsi="Arial" w:cs="Arial"/>
          <w:bCs/>
          <w:sz w:val="22"/>
          <w:szCs w:val="22"/>
          <w:lang w:val="fr-FR"/>
        </w:rPr>
        <w:t>à l</w:t>
      </w:r>
      <w:r w:rsidR="008E532B">
        <w:rPr>
          <w:rFonts w:ascii="Arial" w:hAnsi="Arial" w:cs="Arial"/>
          <w:bCs/>
          <w:sz w:val="22"/>
          <w:szCs w:val="22"/>
          <w:lang w:val="fr-FR"/>
        </w:rPr>
        <w:t>’</w:t>
      </w:r>
      <w:r>
        <w:rPr>
          <w:rFonts w:ascii="Arial" w:hAnsi="Arial" w:cs="Arial"/>
          <w:bCs/>
          <w:sz w:val="22"/>
          <w:szCs w:val="22"/>
          <w:lang w:val="fr-FR"/>
        </w:rPr>
        <w:t xml:space="preserve">article 3.3, </w:t>
      </w:r>
      <w:r w:rsidRPr="00C2421C">
        <w:rPr>
          <w:rFonts w:ascii="Arial" w:hAnsi="Arial" w:cs="Arial"/>
          <w:bCs/>
          <w:sz w:val="22"/>
          <w:szCs w:val="22"/>
          <w:lang w:val="fr-FR"/>
        </w:rPr>
        <w:t xml:space="preserve">les </w:t>
      </w:r>
      <w:r>
        <w:rPr>
          <w:rFonts w:ascii="Arial" w:hAnsi="Arial" w:cs="Arial"/>
          <w:bCs/>
          <w:sz w:val="22"/>
          <w:szCs w:val="22"/>
          <w:lang w:val="fr-FR"/>
        </w:rPr>
        <w:t>« </w:t>
      </w:r>
      <w:r w:rsidRPr="00C2421C">
        <w:rPr>
          <w:rFonts w:ascii="Arial" w:hAnsi="Arial" w:cs="Arial"/>
          <w:bCs/>
          <w:sz w:val="22"/>
          <w:szCs w:val="22"/>
          <w:lang w:val="fr-FR"/>
        </w:rPr>
        <w:t>autres organisations</w:t>
      </w:r>
      <w:r>
        <w:rPr>
          <w:rFonts w:ascii="Arial" w:hAnsi="Arial" w:cs="Arial"/>
          <w:bCs/>
          <w:sz w:val="22"/>
          <w:szCs w:val="22"/>
          <w:lang w:val="fr-FR"/>
        </w:rPr>
        <w:t> »</w:t>
      </w:r>
      <w:r w:rsidRPr="00C2421C">
        <w:rPr>
          <w:rFonts w:ascii="Arial" w:hAnsi="Arial" w:cs="Arial"/>
          <w:bCs/>
          <w:sz w:val="22"/>
          <w:szCs w:val="22"/>
          <w:lang w:val="fr-FR"/>
        </w:rPr>
        <w:t>. Essentiellement, l</w:t>
      </w:r>
      <w:r w:rsidR="008E532B">
        <w:rPr>
          <w:rFonts w:ascii="Arial" w:hAnsi="Arial" w:cs="Arial"/>
          <w:bCs/>
          <w:sz w:val="22"/>
          <w:szCs w:val="22"/>
          <w:lang w:val="fr-FR"/>
        </w:rPr>
        <w:t>’</w:t>
      </w:r>
      <w:r w:rsidRPr="00C2421C">
        <w:rPr>
          <w:rFonts w:ascii="Arial" w:hAnsi="Arial" w:cs="Arial"/>
          <w:bCs/>
          <w:sz w:val="22"/>
          <w:szCs w:val="22"/>
          <w:lang w:val="fr-FR"/>
        </w:rPr>
        <w:t>article 3.2 reprodui</w:t>
      </w:r>
      <w:r>
        <w:rPr>
          <w:rFonts w:ascii="Arial" w:hAnsi="Arial" w:cs="Arial"/>
          <w:bCs/>
          <w:sz w:val="22"/>
          <w:szCs w:val="22"/>
          <w:lang w:val="fr-FR"/>
        </w:rPr>
        <w:t>sai</w:t>
      </w:r>
      <w:r w:rsidRPr="00C2421C">
        <w:rPr>
          <w:rFonts w:ascii="Arial" w:hAnsi="Arial" w:cs="Arial"/>
          <w:bCs/>
          <w:sz w:val="22"/>
          <w:szCs w:val="22"/>
          <w:lang w:val="fr-FR"/>
        </w:rPr>
        <w:t>t l</w:t>
      </w:r>
      <w:r w:rsidR="008E532B">
        <w:rPr>
          <w:rFonts w:ascii="Arial" w:hAnsi="Arial" w:cs="Arial"/>
          <w:bCs/>
          <w:sz w:val="22"/>
          <w:szCs w:val="22"/>
          <w:lang w:val="fr-FR"/>
        </w:rPr>
        <w:t>’</w:t>
      </w:r>
      <w:r w:rsidRPr="00C2421C">
        <w:rPr>
          <w:rFonts w:ascii="Arial" w:hAnsi="Arial" w:cs="Arial"/>
          <w:bCs/>
          <w:sz w:val="22"/>
          <w:szCs w:val="22"/>
          <w:lang w:val="fr-FR"/>
        </w:rPr>
        <w:t>article 2.2 tel qu</w:t>
      </w:r>
      <w:r w:rsidR="008E532B">
        <w:rPr>
          <w:rFonts w:ascii="Arial" w:hAnsi="Arial" w:cs="Arial"/>
          <w:bCs/>
          <w:sz w:val="22"/>
          <w:szCs w:val="22"/>
          <w:lang w:val="fr-FR"/>
        </w:rPr>
        <w:t>’</w:t>
      </w:r>
      <w:r w:rsidRPr="00C2421C">
        <w:rPr>
          <w:rFonts w:ascii="Arial" w:hAnsi="Arial" w:cs="Arial"/>
          <w:bCs/>
          <w:sz w:val="22"/>
          <w:szCs w:val="22"/>
          <w:lang w:val="fr-FR"/>
        </w:rPr>
        <w:t>il exist</w:t>
      </w:r>
      <w:r>
        <w:rPr>
          <w:rFonts w:ascii="Arial" w:hAnsi="Arial" w:cs="Arial"/>
          <w:bCs/>
          <w:sz w:val="22"/>
          <w:szCs w:val="22"/>
          <w:lang w:val="fr-FR"/>
        </w:rPr>
        <w:t>ait</w:t>
      </w:r>
      <w:r w:rsidRPr="00C2421C">
        <w:rPr>
          <w:rFonts w:ascii="Arial" w:hAnsi="Arial" w:cs="Arial"/>
          <w:bCs/>
          <w:sz w:val="22"/>
          <w:szCs w:val="22"/>
          <w:lang w:val="fr-FR"/>
        </w:rPr>
        <w:t xml:space="preserve"> </w:t>
      </w:r>
      <w:r>
        <w:rPr>
          <w:rFonts w:ascii="Arial" w:hAnsi="Arial" w:cs="Arial"/>
          <w:bCs/>
          <w:sz w:val="22"/>
          <w:szCs w:val="22"/>
          <w:lang w:val="fr-FR"/>
        </w:rPr>
        <w:t>jusqu</w:t>
      </w:r>
      <w:r w:rsidR="008E532B">
        <w:rPr>
          <w:rFonts w:ascii="Arial" w:hAnsi="Arial" w:cs="Arial"/>
          <w:bCs/>
          <w:sz w:val="22"/>
          <w:szCs w:val="22"/>
          <w:lang w:val="fr-FR"/>
        </w:rPr>
        <w:t>’</w:t>
      </w:r>
      <w:r>
        <w:rPr>
          <w:rFonts w:ascii="Arial" w:hAnsi="Arial" w:cs="Arial"/>
          <w:bCs/>
          <w:sz w:val="22"/>
          <w:szCs w:val="22"/>
          <w:lang w:val="fr-FR"/>
        </w:rPr>
        <w:t>alors</w:t>
      </w:r>
      <w:r w:rsidRPr="00C2421C">
        <w:rPr>
          <w:rFonts w:ascii="Arial" w:hAnsi="Arial" w:cs="Arial"/>
          <w:bCs/>
          <w:sz w:val="22"/>
          <w:szCs w:val="22"/>
          <w:lang w:val="fr-FR"/>
        </w:rPr>
        <w:t>, c</w:t>
      </w:r>
      <w:r w:rsidR="008E532B">
        <w:rPr>
          <w:rFonts w:ascii="Arial" w:hAnsi="Arial" w:cs="Arial"/>
          <w:bCs/>
          <w:sz w:val="22"/>
          <w:szCs w:val="22"/>
          <w:lang w:val="fr-FR"/>
        </w:rPr>
        <w:t>’</w:t>
      </w:r>
      <w:r w:rsidRPr="00C2421C">
        <w:rPr>
          <w:rFonts w:ascii="Arial" w:hAnsi="Arial" w:cs="Arial"/>
          <w:bCs/>
          <w:sz w:val="22"/>
          <w:szCs w:val="22"/>
          <w:lang w:val="fr-FR"/>
        </w:rPr>
        <w:t xml:space="preserve">est-à-dire uniquement pour les Nations Unies et les autres organisations qui </w:t>
      </w:r>
      <w:r>
        <w:rPr>
          <w:rFonts w:ascii="Arial" w:hAnsi="Arial" w:cs="Arial"/>
          <w:bCs/>
          <w:sz w:val="22"/>
          <w:szCs w:val="22"/>
          <w:lang w:val="fr-FR"/>
        </w:rPr>
        <w:t xml:space="preserve">avaient </w:t>
      </w:r>
      <w:r w:rsidRPr="00C2421C">
        <w:rPr>
          <w:rFonts w:ascii="Arial" w:hAnsi="Arial" w:cs="Arial"/>
          <w:bCs/>
          <w:sz w:val="22"/>
          <w:szCs w:val="22"/>
          <w:lang w:val="fr-FR"/>
        </w:rPr>
        <w:t>conclu des accords de représentation réciproque. Il s</w:t>
      </w:r>
      <w:r w:rsidR="008E532B">
        <w:rPr>
          <w:rFonts w:ascii="Arial" w:hAnsi="Arial" w:cs="Arial"/>
          <w:bCs/>
          <w:sz w:val="22"/>
          <w:szCs w:val="22"/>
          <w:lang w:val="fr-FR"/>
        </w:rPr>
        <w:t>’</w:t>
      </w:r>
      <w:r w:rsidRPr="00C2421C">
        <w:rPr>
          <w:rFonts w:ascii="Arial" w:hAnsi="Arial" w:cs="Arial"/>
          <w:bCs/>
          <w:sz w:val="22"/>
          <w:szCs w:val="22"/>
          <w:lang w:val="fr-FR"/>
        </w:rPr>
        <w:t>agi</w:t>
      </w:r>
      <w:r>
        <w:rPr>
          <w:rFonts w:ascii="Arial" w:hAnsi="Arial" w:cs="Arial"/>
          <w:bCs/>
          <w:sz w:val="22"/>
          <w:szCs w:val="22"/>
          <w:lang w:val="fr-FR"/>
        </w:rPr>
        <w:t>ssai</w:t>
      </w:r>
      <w:r w:rsidRPr="00C2421C">
        <w:rPr>
          <w:rFonts w:ascii="Arial" w:hAnsi="Arial" w:cs="Arial"/>
          <w:bCs/>
          <w:sz w:val="22"/>
          <w:szCs w:val="22"/>
          <w:lang w:val="fr-FR"/>
        </w:rPr>
        <w:t>t donc d</w:t>
      </w:r>
      <w:r w:rsidR="008E532B">
        <w:rPr>
          <w:rFonts w:ascii="Arial" w:hAnsi="Arial" w:cs="Arial"/>
          <w:bCs/>
          <w:sz w:val="22"/>
          <w:szCs w:val="22"/>
          <w:lang w:val="fr-FR"/>
        </w:rPr>
        <w:t>’</w:t>
      </w:r>
      <w:r w:rsidRPr="00C2421C">
        <w:rPr>
          <w:rFonts w:ascii="Arial" w:hAnsi="Arial" w:cs="Arial"/>
          <w:bCs/>
          <w:sz w:val="22"/>
          <w:szCs w:val="22"/>
          <w:lang w:val="fr-FR"/>
        </w:rPr>
        <w:t>une codification</w:t>
      </w:r>
      <w:r>
        <w:rPr>
          <w:rFonts w:ascii="Arial" w:hAnsi="Arial" w:cs="Arial"/>
          <w:bCs/>
          <w:sz w:val="22"/>
          <w:szCs w:val="22"/>
          <w:lang w:val="fr-FR"/>
        </w:rPr>
        <w:t xml:space="preserve">, </w:t>
      </w:r>
      <w:r w:rsidRPr="00C2421C">
        <w:rPr>
          <w:rFonts w:ascii="Arial" w:hAnsi="Arial" w:cs="Arial"/>
          <w:bCs/>
          <w:sz w:val="22"/>
          <w:szCs w:val="22"/>
          <w:lang w:val="fr-FR"/>
        </w:rPr>
        <w:t>quelque chose qui exist</w:t>
      </w:r>
      <w:r>
        <w:rPr>
          <w:rFonts w:ascii="Arial" w:hAnsi="Arial" w:cs="Arial"/>
          <w:bCs/>
          <w:sz w:val="22"/>
          <w:szCs w:val="22"/>
          <w:lang w:val="fr-FR"/>
        </w:rPr>
        <w:t>ait</w:t>
      </w:r>
      <w:r w:rsidRPr="00C2421C">
        <w:rPr>
          <w:rFonts w:ascii="Arial" w:hAnsi="Arial" w:cs="Arial"/>
          <w:bCs/>
          <w:sz w:val="22"/>
          <w:szCs w:val="22"/>
          <w:lang w:val="fr-FR"/>
        </w:rPr>
        <w:t xml:space="preserve"> déjà et qui ne pos</w:t>
      </w:r>
      <w:r>
        <w:rPr>
          <w:rFonts w:ascii="Arial" w:hAnsi="Arial" w:cs="Arial"/>
          <w:bCs/>
          <w:sz w:val="22"/>
          <w:szCs w:val="22"/>
          <w:lang w:val="fr-FR"/>
        </w:rPr>
        <w:t>ait</w:t>
      </w:r>
      <w:r w:rsidRPr="00C2421C">
        <w:rPr>
          <w:rFonts w:ascii="Arial" w:hAnsi="Arial" w:cs="Arial"/>
          <w:bCs/>
          <w:sz w:val="22"/>
          <w:szCs w:val="22"/>
          <w:lang w:val="fr-FR"/>
        </w:rPr>
        <w:t xml:space="preserve"> pas de problème. L</w:t>
      </w:r>
      <w:r w:rsidR="008E532B">
        <w:rPr>
          <w:rFonts w:ascii="Arial" w:hAnsi="Arial" w:cs="Arial"/>
          <w:bCs/>
          <w:sz w:val="22"/>
          <w:szCs w:val="22"/>
          <w:lang w:val="fr-FR"/>
        </w:rPr>
        <w:t>’</w:t>
      </w:r>
      <w:r w:rsidRPr="00C2421C">
        <w:rPr>
          <w:rFonts w:ascii="Arial" w:hAnsi="Arial" w:cs="Arial"/>
          <w:bCs/>
          <w:sz w:val="22"/>
          <w:szCs w:val="22"/>
          <w:lang w:val="fr-FR"/>
        </w:rPr>
        <w:t xml:space="preserve">article 3.3 </w:t>
      </w:r>
      <w:r>
        <w:rPr>
          <w:rFonts w:ascii="Arial" w:hAnsi="Arial" w:cs="Arial"/>
          <w:bCs/>
          <w:sz w:val="22"/>
          <w:szCs w:val="22"/>
          <w:lang w:val="fr-FR"/>
        </w:rPr>
        <w:t>était</w:t>
      </w:r>
      <w:r w:rsidRPr="00C2421C">
        <w:rPr>
          <w:rFonts w:ascii="Arial" w:hAnsi="Arial" w:cs="Arial"/>
          <w:bCs/>
          <w:sz w:val="22"/>
          <w:szCs w:val="22"/>
          <w:lang w:val="fr-FR"/>
        </w:rPr>
        <w:t xml:space="preserve"> également une codification. Le Secrétariat a</w:t>
      </w:r>
      <w:r>
        <w:rPr>
          <w:rFonts w:ascii="Arial" w:hAnsi="Arial" w:cs="Arial"/>
          <w:bCs/>
          <w:sz w:val="22"/>
          <w:szCs w:val="22"/>
          <w:lang w:val="fr-FR"/>
        </w:rPr>
        <w:t>vait</w:t>
      </w:r>
      <w:r w:rsidRPr="00C2421C">
        <w:rPr>
          <w:rFonts w:ascii="Arial" w:hAnsi="Arial" w:cs="Arial"/>
          <w:bCs/>
          <w:sz w:val="22"/>
          <w:szCs w:val="22"/>
          <w:lang w:val="fr-FR"/>
        </w:rPr>
        <w:t xml:space="preserve"> simplement séparé l</w:t>
      </w:r>
      <w:r w:rsidR="008E532B">
        <w:rPr>
          <w:rFonts w:ascii="Arial" w:hAnsi="Arial" w:cs="Arial"/>
          <w:bCs/>
          <w:sz w:val="22"/>
          <w:szCs w:val="22"/>
          <w:lang w:val="fr-FR"/>
        </w:rPr>
        <w:t>’</w:t>
      </w:r>
      <w:r w:rsidRPr="00C2421C">
        <w:rPr>
          <w:rFonts w:ascii="Arial" w:hAnsi="Arial" w:cs="Arial"/>
          <w:bCs/>
          <w:sz w:val="22"/>
          <w:szCs w:val="22"/>
          <w:lang w:val="fr-FR"/>
        </w:rPr>
        <w:t>article 2.2 en deux parties différentes et il s</w:t>
      </w:r>
      <w:r w:rsidR="008E532B">
        <w:rPr>
          <w:rFonts w:ascii="Arial" w:hAnsi="Arial" w:cs="Arial"/>
          <w:bCs/>
          <w:sz w:val="22"/>
          <w:szCs w:val="22"/>
          <w:lang w:val="fr-FR"/>
        </w:rPr>
        <w:t>’</w:t>
      </w:r>
      <w:r w:rsidRPr="00C2421C">
        <w:rPr>
          <w:rFonts w:ascii="Arial" w:hAnsi="Arial" w:cs="Arial"/>
          <w:bCs/>
          <w:sz w:val="22"/>
          <w:szCs w:val="22"/>
          <w:lang w:val="fr-FR"/>
        </w:rPr>
        <w:t>agi</w:t>
      </w:r>
      <w:r>
        <w:rPr>
          <w:rFonts w:ascii="Arial" w:hAnsi="Arial" w:cs="Arial"/>
          <w:bCs/>
          <w:sz w:val="22"/>
          <w:szCs w:val="22"/>
          <w:lang w:val="fr-FR"/>
        </w:rPr>
        <w:t>ssai</w:t>
      </w:r>
      <w:r w:rsidRPr="00C2421C">
        <w:rPr>
          <w:rFonts w:ascii="Arial" w:hAnsi="Arial" w:cs="Arial"/>
          <w:bCs/>
          <w:sz w:val="22"/>
          <w:szCs w:val="22"/>
          <w:lang w:val="fr-FR"/>
        </w:rPr>
        <w:t>t donc d</w:t>
      </w:r>
      <w:r w:rsidR="008E532B">
        <w:rPr>
          <w:rFonts w:ascii="Arial" w:hAnsi="Arial" w:cs="Arial"/>
          <w:bCs/>
          <w:sz w:val="22"/>
          <w:szCs w:val="22"/>
          <w:lang w:val="fr-FR"/>
        </w:rPr>
        <w:t>’</w:t>
      </w:r>
      <w:r w:rsidRPr="00C2421C">
        <w:rPr>
          <w:rFonts w:ascii="Arial" w:hAnsi="Arial" w:cs="Arial"/>
          <w:bCs/>
          <w:sz w:val="22"/>
          <w:szCs w:val="22"/>
          <w:lang w:val="fr-FR"/>
        </w:rPr>
        <w:t xml:space="preserve">une codification, à une exception près. La seule exception </w:t>
      </w:r>
      <w:r>
        <w:rPr>
          <w:rFonts w:ascii="Arial" w:hAnsi="Arial" w:cs="Arial"/>
          <w:bCs/>
          <w:sz w:val="22"/>
          <w:szCs w:val="22"/>
          <w:lang w:val="fr-FR"/>
        </w:rPr>
        <w:t>consistait en</w:t>
      </w:r>
      <w:r w:rsidRPr="00C2421C">
        <w:rPr>
          <w:rFonts w:ascii="Arial" w:hAnsi="Arial" w:cs="Arial"/>
          <w:bCs/>
          <w:sz w:val="22"/>
          <w:szCs w:val="22"/>
          <w:lang w:val="fr-FR"/>
        </w:rPr>
        <w:t xml:space="preserve"> l</w:t>
      </w:r>
      <w:r w:rsidR="008E532B">
        <w:rPr>
          <w:rFonts w:ascii="Arial" w:hAnsi="Arial" w:cs="Arial"/>
          <w:bCs/>
          <w:sz w:val="22"/>
          <w:szCs w:val="22"/>
          <w:lang w:val="fr-FR"/>
        </w:rPr>
        <w:t>’</w:t>
      </w:r>
      <w:r w:rsidRPr="00C2421C">
        <w:rPr>
          <w:rFonts w:ascii="Arial" w:hAnsi="Arial" w:cs="Arial"/>
          <w:bCs/>
          <w:sz w:val="22"/>
          <w:szCs w:val="22"/>
          <w:lang w:val="fr-FR"/>
        </w:rPr>
        <w:t xml:space="preserve">ajout des termes </w:t>
      </w:r>
      <w:r>
        <w:rPr>
          <w:rFonts w:ascii="Arial" w:hAnsi="Arial" w:cs="Arial"/>
          <w:bCs/>
          <w:sz w:val="22"/>
          <w:szCs w:val="22"/>
          <w:lang w:val="fr-FR"/>
        </w:rPr>
        <w:t>« </w:t>
      </w:r>
      <w:r w:rsidRPr="00C2421C">
        <w:rPr>
          <w:rFonts w:ascii="Arial" w:hAnsi="Arial" w:cs="Arial"/>
          <w:bCs/>
          <w:sz w:val="22"/>
          <w:szCs w:val="22"/>
          <w:lang w:val="fr-FR"/>
        </w:rPr>
        <w:t>ainsi que d</w:t>
      </w:r>
      <w:r w:rsidR="008E532B">
        <w:rPr>
          <w:rFonts w:ascii="Arial" w:hAnsi="Arial" w:cs="Arial"/>
          <w:bCs/>
          <w:sz w:val="22"/>
          <w:szCs w:val="22"/>
          <w:lang w:val="fr-FR"/>
        </w:rPr>
        <w:t>’</w:t>
      </w:r>
      <w:r w:rsidRPr="00C2421C">
        <w:rPr>
          <w:rFonts w:ascii="Arial" w:hAnsi="Arial" w:cs="Arial"/>
          <w:bCs/>
          <w:sz w:val="22"/>
          <w:szCs w:val="22"/>
          <w:lang w:val="fr-FR"/>
        </w:rPr>
        <w:t>autres représentants ou observateurs</w:t>
      </w:r>
      <w:r>
        <w:rPr>
          <w:rFonts w:ascii="Arial" w:hAnsi="Arial" w:cs="Arial"/>
          <w:bCs/>
          <w:sz w:val="22"/>
          <w:szCs w:val="22"/>
          <w:lang w:val="fr-FR"/>
        </w:rPr>
        <w:t> »</w:t>
      </w:r>
      <w:r w:rsidRPr="00C2421C">
        <w:rPr>
          <w:rFonts w:ascii="Arial" w:hAnsi="Arial" w:cs="Arial"/>
          <w:bCs/>
          <w:sz w:val="22"/>
          <w:szCs w:val="22"/>
          <w:lang w:val="fr-FR"/>
        </w:rPr>
        <w:t>. On p</w:t>
      </w:r>
      <w:r>
        <w:rPr>
          <w:rFonts w:ascii="Arial" w:hAnsi="Arial" w:cs="Arial"/>
          <w:bCs/>
          <w:sz w:val="22"/>
          <w:szCs w:val="22"/>
          <w:lang w:val="fr-FR"/>
        </w:rPr>
        <w:t>ouvai</w:t>
      </w:r>
      <w:r w:rsidRPr="00C2421C">
        <w:rPr>
          <w:rFonts w:ascii="Arial" w:hAnsi="Arial" w:cs="Arial"/>
          <w:bCs/>
          <w:sz w:val="22"/>
          <w:szCs w:val="22"/>
          <w:lang w:val="fr-FR"/>
        </w:rPr>
        <w:t>t considérer qu</w:t>
      </w:r>
      <w:r w:rsidR="008E532B">
        <w:rPr>
          <w:rFonts w:ascii="Arial" w:hAnsi="Arial" w:cs="Arial"/>
          <w:bCs/>
          <w:sz w:val="22"/>
          <w:szCs w:val="22"/>
          <w:lang w:val="fr-FR"/>
        </w:rPr>
        <w:t>’</w:t>
      </w:r>
      <w:r w:rsidRPr="00C2421C">
        <w:rPr>
          <w:rFonts w:ascii="Arial" w:hAnsi="Arial" w:cs="Arial"/>
          <w:bCs/>
          <w:sz w:val="22"/>
          <w:szCs w:val="22"/>
          <w:lang w:val="fr-FR"/>
        </w:rPr>
        <w:t>il s</w:t>
      </w:r>
      <w:r w:rsidR="008E532B">
        <w:rPr>
          <w:rFonts w:ascii="Arial" w:hAnsi="Arial" w:cs="Arial"/>
          <w:bCs/>
          <w:sz w:val="22"/>
          <w:szCs w:val="22"/>
          <w:lang w:val="fr-FR"/>
        </w:rPr>
        <w:t>’</w:t>
      </w:r>
      <w:r w:rsidRPr="00C2421C">
        <w:rPr>
          <w:rFonts w:ascii="Arial" w:hAnsi="Arial" w:cs="Arial"/>
          <w:bCs/>
          <w:sz w:val="22"/>
          <w:szCs w:val="22"/>
          <w:lang w:val="fr-FR"/>
        </w:rPr>
        <w:t>agi</w:t>
      </w:r>
      <w:r>
        <w:rPr>
          <w:rFonts w:ascii="Arial" w:hAnsi="Arial" w:cs="Arial"/>
          <w:bCs/>
          <w:sz w:val="22"/>
          <w:szCs w:val="22"/>
          <w:lang w:val="fr-FR"/>
        </w:rPr>
        <w:t>ssai</w:t>
      </w:r>
      <w:r w:rsidRPr="00C2421C">
        <w:rPr>
          <w:rFonts w:ascii="Arial" w:hAnsi="Arial" w:cs="Arial"/>
          <w:bCs/>
          <w:sz w:val="22"/>
          <w:szCs w:val="22"/>
          <w:lang w:val="fr-FR"/>
        </w:rPr>
        <w:t>t</w:t>
      </w:r>
      <w:r>
        <w:rPr>
          <w:rFonts w:ascii="Arial" w:hAnsi="Arial" w:cs="Arial"/>
          <w:bCs/>
          <w:sz w:val="22"/>
          <w:szCs w:val="22"/>
          <w:lang w:val="fr-FR"/>
        </w:rPr>
        <w:t xml:space="preserve"> là </w:t>
      </w:r>
      <w:r w:rsidRPr="00C2421C">
        <w:rPr>
          <w:rFonts w:ascii="Arial" w:hAnsi="Arial" w:cs="Arial"/>
          <w:bCs/>
          <w:sz w:val="22"/>
          <w:szCs w:val="22"/>
          <w:lang w:val="fr-FR"/>
        </w:rPr>
        <w:t>d</w:t>
      </w:r>
      <w:r w:rsidR="008E532B">
        <w:rPr>
          <w:rFonts w:ascii="Arial" w:hAnsi="Arial" w:cs="Arial"/>
          <w:bCs/>
          <w:sz w:val="22"/>
          <w:szCs w:val="22"/>
          <w:lang w:val="fr-FR"/>
        </w:rPr>
        <w:t>’</w:t>
      </w:r>
      <w:r w:rsidRPr="00C2421C">
        <w:rPr>
          <w:rFonts w:ascii="Arial" w:hAnsi="Arial" w:cs="Arial"/>
          <w:bCs/>
          <w:sz w:val="22"/>
          <w:szCs w:val="22"/>
          <w:lang w:val="fr-FR"/>
        </w:rPr>
        <w:t xml:space="preserve">un </w:t>
      </w:r>
      <w:r>
        <w:rPr>
          <w:rFonts w:ascii="Arial" w:hAnsi="Arial" w:cs="Arial"/>
          <w:bCs/>
          <w:sz w:val="22"/>
          <w:szCs w:val="22"/>
          <w:lang w:val="fr-FR"/>
        </w:rPr>
        <w:t>« </w:t>
      </w:r>
      <w:r w:rsidRPr="00C2421C">
        <w:rPr>
          <w:rFonts w:ascii="Arial" w:hAnsi="Arial" w:cs="Arial"/>
          <w:bCs/>
          <w:sz w:val="22"/>
          <w:szCs w:val="22"/>
          <w:lang w:val="fr-FR"/>
        </w:rPr>
        <w:t>développement progressif</w:t>
      </w:r>
      <w:r>
        <w:rPr>
          <w:rFonts w:ascii="Arial" w:hAnsi="Arial" w:cs="Arial"/>
          <w:bCs/>
          <w:sz w:val="22"/>
          <w:szCs w:val="22"/>
          <w:lang w:val="fr-FR"/>
        </w:rPr>
        <w:t> »</w:t>
      </w:r>
      <w:r w:rsidRPr="00C2421C">
        <w:rPr>
          <w:rFonts w:ascii="Arial" w:hAnsi="Arial" w:cs="Arial"/>
          <w:bCs/>
          <w:sz w:val="22"/>
          <w:szCs w:val="22"/>
          <w:lang w:val="fr-FR"/>
        </w:rPr>
        <w:t>, mais c</w:t>
      </w:r>
      <w:r w:rsidR="008E532B">
        <w:rPr>
          <w:rFonts w:ascii="Arial" w:hAnsi="Arial" w:cs="Arial"/>
          <w:bCs/>
          <w:sz w:val="22"/>
          <w:szCs w:val="22"/>
          <w:lang w:val="fr-FR"/>
        </w:rPr>
        <w:t>’</w:t>
      </w:r>
      <w:r>
        <w:rPr>
          <w:rFonts w:ascii="Arial" w:hAnsi="Arial" w:cs="Arial"/>
          <w:bCs/>
          <w:sz w:val="22"/>
          <w:szCs w:val="22"/>
          <w:lang w:val="fr-FR"/>
        </w:rPr>
        <w:t xml:space="preserve">était </w:t>
      </w:r>
      <w:r w:rsidRPr="00370F25">
        <w:rPr>
          <w:rFonts w:ascii="Arial" w:hAnsi="Arial" w:cs="Arial"/>
          <w:bCs/>
          <w:color w:val="000000" w:themeColor="text1"/>
          <w:sz w:val="22"/>
          <w:szCs w:val="22"/>
          <w:lang w:val="fr-FR"/>
        </w:rPr>
        <w:t>également</w:t>
      </w:r>
      <w:r w:rsidRPr="00C2421C">
        <w:rPr>
          <w:rFonts w:ascii="Arial" w:hAnsi="Arial" w:cs="Arial"/>
          <w:bCs/>
          <w:sz w:val="22"/>
          <w:szCs w:val="22"/>
          <w:lang w:val="fr-FR"/>
        </w:rPr>
        <w:t xml:space="preserve"> une pratique </w:t>
      </w:r>
      <w:r>
        <w:rPr>
          <w:rFonts w:ascii="Arial" w:hAnsi="Arial" w:cs="Arial"/>
          <w:bCs/>
          <w:sz w:val="22"/>
          <w:szCs w:val="22"/>
          <w:lang w:val="fr-FR"/>
        </w:rPr>
        <w:t>existant</w:t>
      </w:r>
      <w:r w:rsidRPr="00C2421C">
        <w:rPr>
          <w:rFonts w:ascii="Arial" w:hAnsi="Arial" w:cs="Arial"/>
          <w:bCs/>
          <w:sz w:val="22"/>
          <w:szCs w:val="22"/>
          <w:lang w:val="fr-FR"/>
        </w:rPr>
        <w:t xml:space="preserve"> dans plusieurs conventions. Le </w:t>
      </w:r>
      <w:r>
        <w:rPr>
          <w:rFonts w:ascii="Arial" w:hAnsi="Arial" w:cs="Arial"/>
          <w:bCs/>
          <w:sz w:val="22"/>
          <w:szCs w:val="22"/>
          <w:lang w:val="fr-FR"/>
        </w:rPr>
        <w:t>C</w:t>
      </w:r>
      <w:r w:rsidRPr="00C2421C">
        <w:rPr>
          <w:rFonts w:ascii="Arial" w:hAnsi="Arial" w:cs="Arial"/>
          <w:bCs/>
          <w:sz w:val="22"/>
          <w:szCs w:val="22"/>
          <w:lang w:val="fr-FR"/>
        </w:rPr>
        <w:t>onseiller juridique a</w:t>
      </w:r>
      <w:r>
        <w:rPr>
          <w:rFonts w:ascii="Arial" w:hAnsi="Arial" w:cs="Arial"/>
          <w:bCs/>
          <w:sz w:val="22"/>
          <w:szCs w:val="22"/>
          <w:lang w:val="fr-FR"/>
        </w:rPr>
        <w:t>vait</w:t>
      </w:r>
      <w:r w:rsidRPr="00C2421C">
        <w:rPr>
          <w:rFonts w:ascii="Arial" w:hAnsi="Arial" w:cs="Arial"/>
          <w:bCs/>
          <w:sz w:val="22"/>
          <w:szCs w:val="22"/>
          <w:lang w:val="fr-FR"/>
        </w:rPr>
        <w:t xml:space="preserve"> cru comprendre que la Chine et un certain nombre de délégations n</w:t>
      </w:r>
      <w:r w:rsidR="008E532B">
        <w:rPr>
          <w:rFonts w:ascii="Arial" w:hAnsi="Arial" w:cs="Arial"/>
          <w:bCs/>
          <w:sz w:val="22"/>
          <w:szCs w:val="22"/>
          <w:lang w:val="fr-FR"/>
        </w:rPr>
        <w:t>’</w:t>
      </w:r>
      <w:r w:rsidRPr="00C2421C">
        <w:rPr>
          <w:rFonts w:ascii="Arial" w:hAnsi="Arial" w:cs="Arial"/>
          <w:bCs/>
          <w:sz w:val="22"/>
          <w:szCs w:val="22"/>
          <w:lang w:val="fr-FR"/>
        </w:rPr>
        <w:t>étaient pas d</w:t>
      </w:r>
      <w:r w:rsidR="008E532B">
        <w:rPr>
          <w:rFonts w:ascii="Arial" w:hAnsi="Arial" w:cs="Arial"/>
          <w:bCs/>
          <w:sz w:val="22"/>
          <w:szCs w:val="22"/>
          <w:lang w:val="fr-FR"/>
        </w:rPr>
        <w:t>’</w:t>
      </w:r>
      <w:r w:rsidRPr="00C2421C">
        <w:rPr>
          <w:rFonts w:ascii="Arial" w:hAnsi="Arial" w:cs="Arial"/>
          <w:bCs/>
          <w:sz w:val="22"/>
          <w:szCs w:val="22"/>
          <w:lang w:val="fr-FR"/>
        </w:rPr>
        <w:t>accord, mais qu</w:t>
      </w:r>
      <w:r w:rsidR="008E532B">
        <w:rPr>
          <w:rFonts w:ascii="Arial" w:hAnsi="Arial" w:cs="Arial"/>
          <w:bCs/>
          <w:sz w:val="22"/>
          <w:szCs w:val="22"/>
          <w:lang w:val="fr-FR"/>
        </w:rPr>
        <w:t>’</w:t>
      </w:r>
      <w:r w:rsidRPr="00C2421C">
        <w:rPr>
          <w:rFonts w:ascii="Arial" w:hAnsi="Arial" w:cs="Arial"/>
          <w:bCs/>
          <w:sz w:val="22"/>
          <w:szCs w:val="22"/>
          <w:lang w:val="fr-FR"/>
        </w:rPr>
        <w:t xml:space="preserve">elles </w:t>
      </w:r>
      <w:r>
        <w:rPr>
          <w:rFonts w:ascii="Arial" w:hAnsi="Arial" w:cs="Arial"/>
          <w:bCs/>
          <w:sz w:val="22"/>
          <w:szCs w:val="22"/>
          <w:lang w:val="fr-FR"/>
        </w:rPr>
        <w:t>étaient</w:t>
      </w:r>
      <w:r w:rsidRPr="00C2421C">
        <w:rPr>
          <w:rFonts w:ascii="Arial" w:hAnsi="Arial" w:cs="Arial"/>
          <w:bCs/>
          <w:sz w:val="22"/>
          <w:szCs w:val="22"/>
          <w:lang w:val="fr-FR"/>
        </w:rPr>
        <w:t xml:space="preserve"> en fait d</w:t>
      </w:r>
      <w:r w:rsidR="008E532B">
        <w:rPr>
          <w:rFonts w:ascii="Arial" w:hAnsi="Arial" w:cs="Arial"/>
          <w:bCs/>
          <w:sz w:val="22"/>
          <w:szCs w:val="22"/>
          <w:lang w:val="fr-FR"/>
        </w:rPr>
        <w:t>’</w:t>
      </w:r>
      <w:r w:rsidRPr="00C2421C">
        <w:rPr>
          <w:rFonts w:ascii="Arial" w:hAnsi="Arial" w:cs="Arial"/>
          <w:bCs/>
          <w:sz w:val="22"/>
          <w:szCs w:val="22"/>
          <w:lang w:val="fr-FR"/>
        </w:rPr>
        <w:t>accord avec le Règlement</w:t>
      </w:r>
      <w:r>
        <w:rPr>
          <w:rFonts w:ascii="Arial" w:hAnsi="Arial" w:cs="Arial"/>
          <w:bCs/>
          <w:sz w:val="22"/>
          <w:szCs w:val="22"/>
          <w:lang w:val="fr-FR"/>
        </w:rPr>
        <w:t xml:space="preserve"> tout en ayant </w:t>
      </w:r>
      <w:r w:rsidRPr="00C2421C">
        <w:rPr>
          <w:rFonts w:ascii="Arial" w:hAnsi="Arial" w:cs="Arial"/>
          <w:bCs/>
          <w:sz w:val="22"/>
          <w:szCs w:val="22"/>
          <w:lang w:val="fr-FR"/>
        </w:rPr>
        <w:t xml:space="preserve">des doutes sur cet ajout. Le </w:t>
      </w:r>
      <w:r>
        <w:rPr>
          <w:rFonts w:ascii="Arial" w:hAnsi="Arial" w:cs="Arial"/>
          <w:bCs/>
          <w:sz w:val="22"/>
          <w:szCs w:val="22"/>
          <w:lang w:val="fr-FR"/>
        </w:rPr>
        <w:t>C</w:t>
      </w:r>
      <w:r w:rsidRPr="00C2421C">
        <w:rPr>
          <w:rFonts w:ascii="Arial" w:hAnsi="Arial" w:cs="Arial"/>
          <w:bCs/>
          <w:sz w:val="22"/>
          <w:szCs w:val="22"/>
          <w:lang w:val="fr-FR"/>
        </w:rPr>
        <w:t xml:space="preserve">onseiller juridique </w:t>
      </w:r>
      <w:r>
        <w:rPr>
          <w:rFonts w:ascii="Arial" w:hAnsi="Arial" w:cs="Arial"/>
          <w:bCs/>
          <w:sz w:val="22"/>
          <w:szCs w:val="22"/>
          <w:lang w:val="fr-FR"/>
        </w:rPr>
        <w:t>comprenait</w:t>
      </w:r>
      <w:r w:rsidRPr="00C2421C">
        <w:rPr>
          <w:rFonts w:ascii="Arial" w:hAnsi="Arial" w:cs="Arial"/>
          <w:bCs/>
          <w:sz w:val="22"/>
          <w:szCs w:val="22"/>
          <w:lang w:val="fr-FR"/>
        </w:rPr>
        <w:t xml:space="preserve"> que la proposition ne visait pas à supprimer l</w:t>
      </w:r>
      <w:r w:rsidR="008E532B">
        <w:rPr>
          <w:rFonts w:ascii="Arial" w:hAnsi="Arial" w:cs="Arial"/>
          <w:bCs/>
          <w:sz w:val="22"/>
          <w:szCs w:val="22"/>
          <w:lang w:val="fr-FR"/>
        </w:rPr>
        <w:t>’</w:t>
      </w:r>
      <w:r w:rsidRPr="00C2421C">
        <w:rPr>
          <w:rFonts w:ascii="Arial" w:hAnsi="Arial" w:cs="Arial"/>
          <w:bCs/>
          <w:sz w:val="22"/>
          <w:szCs w:val="22"/>
          <w:lang w:val="fr-FR"/>
        </w:rPr>
        <w:t>ensemble de l</w:t>
      </w:r>
      <w:r w:rsidR="008E532B">
        <w:rPr>
          <w:rFonts w:ascii="Arial" w:hAnsi="Arial" w:cs="Arial"/>
          <w:bCs/>
          <w:sz w:val="22"/>
          <w:szCs w:val="22"/>
          <w:lang w:val="fr-FR"/>
        </w:rPr>
        <w:t>’</w:t>
      </w:r>
      <w:r w:rsidRPr="00C2421C">
        <w:rPr>
          <w:rFonts w:ascii="Arial" w:hAnsi="Arial" w:cs="Arial"/>
          <w:bCs/>
          <w:sz w:val="22"/>
          <w:szCs w:val="22"/>
          <w:lang w:val="fr-FR"/>
        </w:rPr>
        <w:t>article 3.3 (car cela modifierait en fait l</w:t>
      </w:r>
      <w:r w:rsidR="008E532B">
        <w:rPr>
          <w:rFonts w:ascii="Arial" w:hAnsi="Arial" w:cs="Arial"/>
          <w:bCs/>
          <w:sz w:val="22"/>
          <w:szCs w:val="22"/>
          <w:lang w:val="fr-FR"/>
        </w:rPr>
        <w:t>’</w:t>
      </w:r>
      <w:r w:rsidRPr="00C2421C">
        <w:rPr>
          <w:rFonts w:ascii="Arial" w:hAnsi="Arial" w:cs="Arial"/>
          <w:bCs/>
          <w:sz w:val="22"/>
          <w:szCs w:val="22"/>
          <w:lang w:val="fr-FR"/>
        </w:rPr>
        <w:t>article 2.2, qui exist</w:t>
      </w:r>
      <w:r>
        <w:rPr>
          <w:rFonts w:ascii="Arial" w:hAnsi="Arial" w:cs="Arial"/>
          <w:bCs/>
          <w:sz w:val="22"/>
          <w:szCs w:val="22"/>
          <w:lang w:val="fr-FR"/>
        </w:rPr>
        <w:t>ait</w:t>
      </w:r>
      <w:r w:rsidRPr="00C2421C">
        <w:rPr>
          <w:rFonts w:ascii="Arial" w:hAnsi="Arial" w:cs="Arial"/>
          <w:bCs/>
          <w:sz w:val="22"/>
          <w:szCs w:val="22"/>
          <w:lang w:val="fr-FR"/>
        </w:rPr>
        <w:t xml:space="preserve"> déjà) mais plutôt à supprimer </w:t>
      </w:r>
      <w:r>
        <w:rPr>
          <w:rFonts w:ascii="Arial" w:hAnsi="Arial" w:cs="Arial"/>
          <w:bCs/>
          <w:sz w:val="22"/>
          <w:szCs w:val="22"/>
          <w:lang w:val="fr-FR"/>
        </w:rPr>
        <w:t>« </w:t>
      </w:r>
      <w:r w:rsidRPr="00C2421C">
        <w:rPr>
          <w:rFonts w:ascii="Arial" w:hAnsi="Arial" w:cs="Arial"/>
          <w:bCs/>
          <w:sz w:val="22"/>
          <w:szCs w:val="22"/>
          <w:lang w:val="fr-FR"/>
        </w:rPr>
        <w:t>ainsi que d</w:t>
      </w:r>
      <w:r w:rsidR="008E532B">
        <w:rPr>
          <w:rFonts w:ascii="Arial" w:hAnsi="Arial" w:cs="Arial"/>
          <w:bCs/>
          <w:sz w:val="22"/>
          <w:szCs w:val="22"/>
          <w:lang w:val="fr-FR"/>
        </w:rPr>
        <w:t>’</w:t>
      </w:r>
      <w:r w:rsidRPr="00C2421C">
        <w:rPr>
          <w:rFonts w:ascii="Arial" w:hAnsi="Arial" w:cs="Arial"/>
          <w:bCs/>
          <w:sz w:val="22"/>
          <w:szCs w:val="22"/>
          <w:lang w:val="fr-FR"/>
        </w:rPr>
        <w:t>autres représentants ou observateurs</w:t>
      </w:r>
      <w:r>
        <w:rPr>
          <w:rFonts w:ascii="Arial" w:hAnsi="Arial" w:cs="Arial"/>
          <w:bCs/>
          <w:sz w:val="22"/>
          <w:szCs w:val="22"/>
          <w:lang w:val="fr-FR"/>
        </w:rPr>
        <w:t> »</w:t>
      </w:r>
      <w:r w:rsidRPr="00C2421C">
        <w:rPr>
          <w:rFonts w:ascii="Arial" w:hAnsi="Arial" w:cs="Arial"/>
          <w:bCs/>
          <w:sz w:val="22"/>
          <w:szCs w:val="22"/>
          <w:lang w:val="fr-FR"/>
        </w:rPr>
        <w:t xml:space="preserve">, qui </w:t>
      </w:r>
      <w:r>
        <w:rPr>
          <w:rFonts w:ascii="Arial" w:hAnsi="Arial" w:cs="Arial"/>
          <w:bCs/>
          <w:sz w:val="22"/>
          <w:szCs w:val="22"/>
          <w:lang w:val="fr-FR"/>
        </w:rPr>
        <w:t>était</w:t>
      </w:r>
      <w:r w:rsidRPr="00C2421C">
        <w:rPr>
          <w:rFonts w:ascii="Arial" w:hAnsi="Arial" w:cs="Arial"/>
          <w:bCs/>
          <w:sz w:val="22"/>
          <w:szCs w:val="22"/>
          <w:lang w:val="fr-FR"/>
        </w:rPr>
        <w:t xml:space="preserve"> nouveau dans la disposition. Le </w:t>
      </w:r>
      <w:r>
        <w:rPr>
          <w:rFonts w:ascii="Arial" w:hAnsi="Arial" w:cs="Arial"/>
          <w:bCs/>
          <w:sz w:val="22"/>
          <w:szCs w:val="22"/>
          <w:lang w:val="fr-FR"/>
        </w:rPr>
        <w:t>C</w:t>
      </w:r>
      <w:r w:rsidRPr="00C2421C">
        <w:rPr>
          <w:rFonts w:ascii="Arial" w:hAnsi="Arial" w:cs="Arial"/>
          <w:bCs/>
          <w:sz w:val="22"/>
          <w:szCs w:val="22"/>
          <w:lang w:val="fr-FR"/>
        </w:rPr>
        <w:t>onseiller juridique a demandé que l</w:t>
      </w:r>
      <w:r w:rsidR="008E532B">
        <w:rPr>
          <w:rFonts w:ascii="Arial" w:hAnsi="Arial" w:cs="Arial"/>
          <w:bCs/>
          <w:sz w:val="22"/>
          <w:szCs w:val="22"/>
          <w:lang w:val="fr-FR"/>
        </w:rPr>
        <w:t>’</w:t>
      </w:r>
      <w:r w:rsidRPr="00C2421C">
        <w:rPr>
          <w:rFonts w:ascii="Arial" w:hAnsi="Arial" w:cs="Arial"/>
          <w:bCs/>
          <w:sz w:val="22"/>
          <w:szCs w:val="22"/>
          <w:lang w:val="fr-FR"/>
        </w:rPr>
        <w:t xml:space="preserve">on précise si </w:t>
      </w:r>
      <w:r>
        <w:rPr>
          <w:rFonts w:ascii="Arial" w:hAnsi="Arial" w:cs="Arial"/>
          <w:bCs/>
          <w:sz w:val="22"/>
          <w:szCs w:val="22"/>
          <w:lang w:val="fr-FR"/>
        </w:rPr>
        <w:t xml:space="preserve">son </w:t>
      </w:r>
      <w:r w:rsidRPr="00C2421C">
        <w:rPr>
          <w:rFonts w:ascii="Arial" w:hAnsi="Arial" w:cs="Arial"/>
          <w:bCs/>
          <w:sz w:val="22"/>
          <w:szCs w:val="22"/>
          <w:lang w:val="fr-FR"/>
        </w:rPr>
        <w:t>interprétation était incorrecte. Bien entendu, si l</w:t>
      </w:r>
      <w:r w:rsidR="008E532B">
        <w:rPr>
          <w:rFonts w:ascii="Arial" w:hAnsi="Arial" w:cs="Arial"/>
          <w:bCs/>
          <w:sz w:val="22"/>
          <w:szCs w:val="22"/>
          <w:lang w:val="fr-FR"/>
        </w:rPr>
        <w:t>’</w:t>
      </w:r>
      <w:r w:rsidRPr="00C2421C">
        <w:rPr>
          <w:rFonts w:ascii="Arial" w:hAnsi="Arial" w:cs="Arial"/>
          <w:bCs/>
          <w:sz w:val="22"/>
          <w:szCs w:val="22"/>
          <w:lang w:val="fr-FR"/>
        </w:rPr>
        <w:t>Assemblée</w:t>
      </w:r>
      <w:r>
        <w:rPr>
          <w:rFonts w:ascii="Arial" w:hAnsi="Arial" w:cs="Arial"/>
          <w:bCs/>
          <w:sz w:val="22"/>
          <w:szCs w:val="22"/>
          <w:lang w:val="fr-FR"/>
        </w:rPr>
        <w:t xml:space="preserve"> </w:t>
      </w:r>
      <w:r w:rsidRPr="00C2421C">
        <w:rPr>
          <w:rFonts w:ascii="Arial" w:hAnsi="Arial" w:cs="Arial"/>
          <w:bCs/>
          <w:sz w:val="22"/>
          <w:szCs w:val="22"/>
          <w:lang w:val="fr-FR"/>
        </w:rPr>
        <w:t>décidait que c</w:t>
      </w:r>
      <w:r w:rsidR="008E532B">
        <w:rPr>
          <w:rFonts w:ascii="Arial" w:hAnsi="Arial" w:cs="Arial"/>
          <w:bCs/>
          <w:sz w:val="22"/>
          <w:szCs w:val="22"/>
          <w:lang w:val="fr-FR"/>
        </w:rPr>
        <w:t>’</w:t>
      </w:r>
      <w:r>
        <w:rPr>
          <w:rFonts w:ascii="Arial" w:hAnsi="Arial" w:cs="Arial"/>
          <w:bCs/>
          <w:sz w:val="22"/>
          <w:szCs w:val="22"/>
          <w:lang w:val="fr-FR"/>
        </w:rPr>
        <w:t xml:space="preserve">était </w:t>
      </w:r>
      <w:r w:rsidRPr="00C2421C">
        <w:rPr>
          <w:rFonts w:ascii="Arial" w:hAnsi="Arial" w:cs="Arial"/>
          <w:bCs/>
          <w:sz w:val="22"/>
          <w:szCs w:val="22"/>
          <w:lang w:val="fr-FR"/>
        </w:rPr>
        <w:t>ce qu</w:t>
      </w:r>
      <w:r w:rsidR="008E532B">
        <w:rPr>
          <w:rFonts w:ascii="Arial" w:hAnsi="Arial" w:cs="Arial"/>
          <w:bCs/>
          <w:sz w:val="22"/>
          <w:szCs w:val="22"/>
          <w:lang w:val="fr-FR"/>
        </w:rPr>
        <w:t>’</w:t>
      </w:r>
      <w:r w:rsidRPr="00C2421C">
        <w:rPr>
          <w:rFonts w:ascii="Arial" w:hAnsi="Arial" w:cs="Arial"/>
          <w:bCs/>
          <w:sz w:val="22"/>
          <w:szCs w:val="22"/>
          <w:lang w:val="fr-FR"/>
        </w:rPr>
        <w:t>elle v</w:t>
      </w:r>
      <w:r>
        <w:rPr>
          <w:rFonts w:ascii="Arial" w:hAnsi="Arial" w:cs="Arial"/>
          <w:bCs/>
          <w:sz w:val="22"/>
          <w:szCs w:val="22"/>
          <w:lang w:val="fr-FR"/>
        </w:rPr>
        <w:t>oulait</w:t>
      </w:r>
      <w:r w:rsidRPr="00C2421C">
        <w:rPr>
          <w:rFonts w:ascii="Arial" w:hAnsi="Arial" w:cs="Arial"/>
          <w:bCs/>
          <w:sz w:val="22"/>
          <w:szCs w:val="22"/>
          <w:lang w:val="fr-FR"/>
        </w:rPr>
        <w:t>, elle reviendrait à l</w:t>
      </w:r>
      <w:r w:rsidR="008E532B">
        <w:rPr>
          <w:rFonts w:ascii="Arial" w:hAnsi="Arial" w:cs="Arial"/>
          <w:bCs/>
          <w:sz w:val="22"/>
          <w:szCs w:val="22"/>
          <w:lang w:val="fr-FR"/>
        </w:rPr>
        <w:t>’</w:t>
      </w:r>
      <w:r w:rsidRPr="00C2421C">
        <w:rPr>
          <w:rFonts w:ascii="Arial" w:hAnsi="Arial" w:cs="Arial"/>
          <w:bCs/>
          <w:sz w:val="22"/>
          <w:szCs w:val="22"/>
          <w:lang w:val="fr-FR"/>
        </w:rPr>
        <w:t>article original</w:t>
      </w:r>
      <w:r>
        <w:rPr>
          <w:rFonts w:ascii="Arial" w:hAnsi="Arial" w:cs="Arial"/>
          <w:bCs/>
          <w:sz w:val="22"/>
          <w:szCs w:val="22"/>
          <w:lang w:val="fr-FR"/>
        </w:rPr>
        <w:t xml:space="preserve">, ce qui </w:t>
      </w:r>
      <w:r w:rsidRPr="00C2421C">
        <w:rPr>
          <w:rFonts w:ascii="Arial" w:hAnsi="Arial" w:cs="Arial"/>
          <w:bCs/>
          <w:sz w:val="22"/>
          <w:szCs w:val="22"/>
          <w:lang w:val="fr-FR"/>
        </w:rPr>
        <w:t>ne poserait pas de problème.</w:t>
      </w:r>
    </w:p>
    <w:p w14:paraId="14EE7CC3" w14:textId="38ED172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agissant de </w:t>
      </w:r>
      <w:r w:rsidRPr="00057242">
        <w:rPr>
          <w:rFonts w:ascii="Arial" w:hAnsi="Arial" w:cs="Arial"/>
          <w:bCs/>
          <w:sz w:val="22"/>
          <w:szCs w:val="22"/>
          <w:lang w:val="fr-FR"/>
        </w:rPr>
        <w:t xml:space="preserve">la deuxième question relative au vote en ligne, le </w:t>
      </w:r>
      <w:r w:rsidRPr="00057242">
        <w:rPr>
          <w:rFonts w:ascii="Arial" w:hAnsi="Arial" w:cs="Arial"/>
          <w:b/>
          <w:sz w:val="22"/>
          <w:szCs w:val="22"/>
          <w:lang w:val="fr-FR"/>
        </w:rPr>
        <w:t>Conseiller juridique</w:t>
      </w:r>
      <w:r w:rsidRPr="00057242">
        <w:rPr>
          <w:rFonts w:ascii="Arial" w:hAnsi="Arial" w:cs="Arial"/>
          <w:bCs/>
          <w:sz w:val="22"/>
          <w:szCs w:val="22"/>
          <w:lang w:val="fr-FR"/>
        </w:rPr>
        <w:t xml:space="preserve"> a rappelé qu</w:t>
      </w:r>
      <w:r w:rsidR="008E532B">
        <w:rPr>
          <w:rFonts w:ascii="Arial" w:hAnsi="Arial" w:cs="Arial"/>
          <w:bCs/>
          <w:sz w:val="22"/>
          <w:szCs w:val="22"/>
          <w:lang w:val="fr-FR"/>
        </w:rPr>
        <w:t>’</w:t>
      </w:r>
      <w:r w:rsidRPr="00057242">
        <w:rPr>
          <w:rFonts w:ascii="Arial" w:hAnsi="Arial" w:cs="Arial"/>
          <w:bCs/>
          <w:sz w:val="22"/>
          <w:szCs w:val="22"/>
          <w:lang w:val="fr-FR"/>
        </w:rPr>
        <w:t>il s</w:t>
      </w:r>
      <w:r w:rsidR="008E532B">
        <w:rPr>
          <w:rFonts w:ascii="Arial" w:hAnsi="Arial" w:cs="Arial"/>
          <w:bCs/>
          <w:sz w:val="22"/>
          <w:szCs w:val="22"/>
          <w:lang w:val="fr-FR"/>
        </w:rPr>
        <w:t>’</w:t>
      </w:r>
      <w:r w:rsidRPr="00057242">
        <w:rPr>
          <w:rFonts w:ascii="Arial" w:hAnsi="Arial" w:cs="Arial"/>
          <w:bCs/>
          <w:sz w:val="22"/>
          <w:szCs w:val="22"/>
          <w:lang w:val="fr-FR"/>
        </w:rPr>
        <w:t xml:space="preserve">agissait du nouvel article 6 du </w:t>
      </w:r>
      <w:r>
        <w:rPr>
          <w:rFonts w:ascii="Arial" w:hAnsi="Arial" w:cs="Arial"/>
          <w:bCs/>
          <w:sz w:val="22"/>
          <w:szCs w:val="22"/>
          <w:lang w:val="fr-FR"/>
        </w:rPr>
        <w:t>R</w:t>
      </w:r>
      <w:r w:rsidRPr="00057242">
        <w:rPr>
          <w:rFonts w:ascii="Arial" w:hAnsi="Arial" w:cs="Arial"/>
          <w:bCs/>
          <w:sz w:val="22"/>
          <w:szCs w:val="22"/>
          <w:lang w:val="fr-FR"/>
        </w:rPr>
        <w:t>èglement</w:t>
      </w:r>
      <w:r>
        <w:rPr>
          <w:rFonts w:ascii="Arial" w:hAnsi="Arial" w:cs="Arial"/>
          <w:bCs/>
          <w:sz w:val="22"/>
          <w:szCs w:val="22"/>
          <w:lang w:val="fr-FR"/>
        </w:rPr>
        <w:t>,</w:t>
      </w:r>
      <w:r w:rsidRPr="00057242">
        <w:rPr>
          <w:rFonts w:ascii="Arial" w:hAnsi="Arial" w:cs="Arial"/>
          <w:bCs/>
          <w:sz w:val="22"/>
          <w:szCs w:val="22"/>
          <w:lang w:val="fr-FR"/>
        </w:rPr>
        <w:t xml:space="preserve"> </w:t>
      </w:r>
      <w:r>
        <w:rPr>
          <w:rFonts w:ascii="Arial" w:hAnsi="Arial" w:cs="Arial"/>
          <w:bCs/>
          <w:sz w:val="22"/>
          <w:szCs w:val="22"/>
          <w:lang w:val="fr-FR"/>
        </w:rPr>
        <w:t>traitant des</w:t>
      </w:r>
      <w:r w:rsidRPr="00057242">
        <w:rPr>
          <w:rFonts w:ascii="Arial" w:hAnsi="Arial" w:cs="Arial"/>
          <w:bCs/>
          <w:sz w:val="22"/>
          <w:szCs w:val="22"/>
          <w:lang w:val="fr-FR"/>
        </w:rPr>
        <w:t xml:space="preserve"> sessions en ligne, qui constitu</w:t>
      </w:r>
      <w:r>
        <w:rPr>
          <w:rFonts w:ascii="Arial" w:hAnsi="Arial" w:cs="Arial"/>
          <w:bCs/>
          <w:sz w:val="22"/>
          <w:szCs w:val="22"/>
          <w:lang w:val="fr-FR"/>
        </w:rPr>
        <w:t>ait</w:t>
      </w:r>
      <w:r w:rsidRPr="00057242">
        <w:rPr>
          <w:rFonts w:ascii="Arial" w:hAnsi="Arial" w:cs="Arial"/>
          <w:bCs/>
          <w:sz w:val="22"/>
          <w:szCs w:val="22"/>
          <w:lang w:val="fr-FR"/>
        </w:rPr>
        <w:t xml:space="preserve"> un développement progressif, car il ne figur</w:t>
      </w:r>
      <w:r>
        <w:rPr>
          <w:rFonts w:ascii="Arial" w:hAnsi="Arial" w:cs="Arial"/>
          <w:bCs/>
          <w:sz w:val="22"/>
          <w:szCs w:val="22"/>
          <w:lang w:val="fr-FR"/>
        </w:rPr>
        <w:t>ait</w:t>
      </w:r>
      <w:r w:rsidRPr="00057242">
        <w:rPr>
          <w:rFonts w:ascii="Arial" w:hAnsi="Arial" w:cs="Arial"/>
          <w:bCs/>
          <w:sz w:val="22"/>
          <w:szCs w:val="22"/>
          <w:lang w:val="fr-FR"/>
        </w:rPr>
        <w:t xml:space="preserve"> pas </w:t>
      </w:r>
      <w:r>
        <w:rPr>
          <w:rFonts w:ascii="Arial" w:hAnsi="Arial" w:cs="Arial"/>
          <w:bCs/>
          <w:sz w:val="22"/>
          <w:szCs w:val="22"/>
          <w:lang w:val="fr-FR"/>
        </w:rPr>
        <w:t xml:space="preserve">précédemment </w:t>
      </w:r>
      <w:r w:rsidRPr="00057242">
        <w:rPr>
          <w:rFonts w:ascii="Arial" w:hAnsi="Arial" w:cs="Arial"/>
          <w:bCs/>
          <w:sz w:val="22"/>
          <w:szCs w:val="22"/>
          <w:lang w:val="fr-FR"/>
        </w:rPr>
        <w:t xml:space="preserve">dans le </w:t>
      </w:r>
      <w:r>
        <w:rPr>
          <w:rFonts w:ascii="Arial" w:hAnsi="Arial" w:cs="Arial"/>
          <w:bCs/>
          <w:sz w:val="22"/>
          <w:szCs w:val="22"/>
          <w:lang w:val="fr-FR"/>
        </w:rPr>
        <w:t>R</w:t>
      </w:r>
      <w:r w:rsidRPr="00057242">
        <w:rPr>
          <w:rFonts w:ascii="Arial" w:hAnsi="Arial" w:cs="Arial"/>
          <w:bCs/>
          <w:sz w:val="22"/>
          <w:szCs w:val="22"/>
          <w:lang w:val="fr-FR"/>
        </w:rPr>
        <w:t>èglement. Il s</w:t>
      </w:r>
      <w:r w:rsidR="008E532B">
        <w:rPr>
          <w:rFonts w:ascii="Arial" w:hAnsi="Arial" w:cs="Arial"/>
          <w:bCs/>
          <w:sz w:val="22"/>
          <w:szCs w:val="22"/>
          <w:lang w:val="fr-FR"/>
        </w:rPr>
        <w:t>’</w:t>
      </w:r>
      <w:r w:rsidRPr="00057242">
        <w:rPr>
          <w:rFonts w:ascii="Arial" w:hAnsi="Arial" w:cs="Arial"/>
          <w:bCs/>
          <w:sz w:val="22"/>
          <w:szCs w:val="22"/>
          <w:lang w:val="fr-FR"/>
        </w:rPr>
        <w:t>agissait d</w:t>
      </w:r>
      <w:r w:rsidR="008E532B">
        <w:rPr>
          <w:rFonts w:ascii="Arial" w:hAnsi="Arial" w:cs="Arial"/>
          <w:bCs/>
          <w:sz w:val="22"/>
          <w:szCs w:val="22"/>
          <w:lang w:val="fr-FR"/>
        </w:rPr>
        <w:t>’</w:t>
      </w:r>
      <w:r w:rsidRPr="00057242">
        <w:rPr>
          <w:rFonts w:ascii="Arial" w:hAnsi="Arial" w:cs="Arial"/>
          <w:bCs/>
          <w:sz w:val="22"/>
          <w:szCs w:val="22"/>
          <w:lang w:val="fr-FR"/>
        </w:rPr>
        <w:t>une nécessité qui était apparue au cours des deux dernières années</w:t>
      </w:r>
      <w:r>
        <w:rPr>
          <w:rFonts w:ascii="Arial" w:hAnsi="Arial" w:cs="Arial"/>
          <w:bCs/>
          <w:sz w:val="22"/>
          <w:szCs w:val="22"/>
          <w:lang w:val="fr-FR"/>
        </w:rPr>
        <w:t>,</w:t>
      </w:r>
      <w:r w:rsidRPr="00057242">
        <w:rPr>
          <w:rFonts w:ascii="Arial" w:hAnsi="Arial" w:cs="Arial"/>
          <w:bCs/>
          <w:sz w:val="22"/>
          <w:szCs w:val="22"/>
          <w:lang w:val="fr-FR"/>
        </w:rPr>
        <w:t xml:space="preserve"> en raison de la pandémie. En conséquence, elle semblait généralement acceptée à l</w:t>
      </w:r>
      <w:r w:rsidR="008E532B">
        <w:rPr>
          <w:rFonts w:ascii="Arial" w:hAnsi="Arial" w:cs="Arial"/>
          <w:bCs/>
          <w:sz w:val="22"/>
          <w:szCs w:val="22"/>
          <w:lang w:val="fr-FR"/>
        </w:rPr>
        <w:t>’</w:t>
      </w:r>
      <w:r w:rsidRPr="00057242">
        <w:rPr>
          <w:rFonts w:ascii="Arial" w:hAnsi="Arial" w:cs="Arial"/>
          <w:bCs/>
          <w:sz w:val="22"/>
          <w:szCs w:val="22"/>
          <w:lang w:val="fr-FR"/>
        </w:rPr>
        <w:t>UNESCO lorsqu</w:t>
      </w:r>
      <w:r w:rsidR="008E532B">
        <w:rPr>
          <w:rFonts w:ascii="Arial" w:hAnsi="Arial" w:cs="Arial"/>
          <w:bCs/>
          <w:sz w:val="22"/>
          <w:szCs w:val="22"/>
          <w:lang w:val="fr-FR"/>
        </w:rPr>
        <w:t>’</w:t>
      </w:r>
      <w:r w:rsidRPr="00057242">
        <w:rPr>
          <w:rFonts w:ascii="Arial" w:hAnsi="Arial" w:cs="Arial"/>
          <w:bCs/>
          <w:sz w:val="22"/>
          <w:szCs w:val="22"/>
          <w:lang w:val="fr-FR"/>
        </w:rPr>
        <w:t>il y a</w:t>
      </w:r>
      <w:r>
        <w:rPr>
          <w:rFonts w:ascii="Arial" w:hAnsi="Arial" w:cs="Arial"/>
          <w:bCs/>
          <w:sz w:val="22"/>
          <w:szCs w:val="22"/>
          <w:lang w:val="fr-FR"/>
        </w:rPr>
        <w:t>vait</w:t>
      </w:r>
      <w:r w:rsidRPr="00057242">
        <w:rPr>
          <w:rFonts w:ascii="Arial" w:hAnsi="Arial" w:cs="Arial"/>
          <w:bCs/>
          <w:sz w:val="22"/>
          <w:szCs w:val="22"/>
          <w:lang w:val="fr-FR"/>
        </w:rPr>
        <w:t xml:space="preserve"> des périodes d</w:t>
      </w:r>
      <w:r w:rsidR="008E532B">
        <w:rPr>
          <w:rFonts w:ascii="Arial" w:hAnsi="Arial" w:cs="Arial"/>
          <w:bCs/>
          <w:sz w:val="22"/>
          <w:szCs w:val="22"/>
          <w:lang w:val="fr-FR"/>
        </w:rPr>
        <w:t>’</w:t>
      </w:r>
      <w:r w:rsidRPr="00057242">
        <w:rPr>
          <w:rFonts w:ascii="Arial" w:hAnsi="Arial" w:cs="Arial"/>
          <w:bCs/>
          <w:sz w:val="22"/>
          <w:szCs w:val="22"/>
          <w:lang w:val="fr-FR"/>
        </w:rPr>
        <w:t xml:space="preserve">urgence et des circonstances exceptionnelles, qui rendent les réunions </w:t>
      </w:r>
      <w:r>
        <w:rPr>
          <w:rFonts w:ascii="Arial" w:hAnsi="Arial" w:cs="Arial"/>
          <w:bCs/>
          <w:sz w:val="22"/>
          <w:szCs w:val="22"/>
          <w:lang w:val="fr-FR"/>
        </w:rPr>
        <w:t>en présentiel (</w:t>
      </w:r>
      <w:r w:rsidRPr="007C713C">
        <w:rPr>
          <w:rFonts w:ascii="Arial" w:hAnsi="Arial" w:cs="Arial"/>
          <w:bCs/>
          <w:i/>
          <w:iCs/>
          <w:sz w:val="22"/>
          <w:szCs w:val="22"/>
          <w:lang w:val="fr-FR"/>
        </w:rPr>
        <w:t xml:space="preserve">in </w:t>
      </w:r>
      <w:proofErr w:type="spellStart"/>
      <w:r w:rsidRPr="007C713C">
        <w:rPr>
          <w:rFonts w:ascii="Arial" w:hAnsi="Arial" w:cs="Arial"/>
          <w:bCs/>
          <w:i/>
          <w:iCs/>
          <w:sz w:val="22"/>
          <w:szCs w:val="22"/>
          <w:lang w:val="fr-FR"/>
        </w:rPr>
        <w:t>praesentia</w:t>
      </w:r>
      <w:proofErr w:type="spellEnd"/>
      <w:r>
        <w:rPr>
          <w:rFonts w:ascii="Arial" w:hAnsi="Arial" w:cs="Arial"/>
          <w:bCs/>
          <w:sz w:val="22"/>
          <w:szCs w:val="22"/>
          <w:lang w:val="fr-FR"/>
        </w:rPr>
        <w:t>)</w:t>
      </w:r>
      <w:r>
        <w:rPr>
          <w:rStyle w:val="FootnoteReference"/>
          <w:rFonts w:ascii="Arial" w:hAnsi="Arial" w:cs="Arial"/>
          <w:bCs/>
          <w:sz w:val="22"/>
          <w:szCs w:val="22"/>
          <w:lang w:val="fr-FR"/>
        </w:rPr>
        <w:footnoteReference w:id="47"/>
      </w:r>
      <w:r w:rsidRPr="00057242">
        <w:rPr>
          <w:rFonts w:ascii="Arial" w:hAnsi="Arial" w:cs="Arial"/>
          <w:bCs/>
          <w:sz w:val="22"/>
          <w:szCs w:val="22"/>
          <w:lang w:val="fr-FR"/>
        </w:rPr>
        <w:t xml:space="preserve"> impraticables. Il s</w:t>
      </w:r>
      <w:r w:rsidR="008E532B">
        <w:rPr>
          <w:rFonts w:ascii="Arial" w:hAnsi="Arial" w:cs="Arial"/>
          <w:bCs/>
          <w:sz w:val="22"/>
          <w:szCs w:val="22"/>
          <w:lang w:val="fr-FR"/>
        </w:rPr>
        <w:t>’</w:t>
      </w:r>
      <w:r w:rsidRPr="00057242">
        <w:rPr>
          <w:rFonts w:ascii="Arial" w:hAnsi="Arial" w:cs="Arial"/>
          <w:bCs/>
          <w:sz w:val="22"/>
          <w:szCs w:val="22"/>
          <w:lang w:val="fr-FR"/>
        </w:rPr>
        <w:t>agissait donc d</w:t>
      </w:r>
      <w:r w:rsidR="008E532B">
        <w:rPr>
          <w:rFonts w:ascii="Arial" w:hAnsi="Arial" w:cs="Arial"/>
          <w:bCs/>
          <w:sz w:val="22"/>
          <w:szCs w:val="22"/>
          <w:lang w:val="fr-FR"/>
        </w:rPr>
        <w:t>’</w:t>
      </w:r>
      <w:r w:rsidRPr="00057242">
        <w:rPr>
          <w:rFonts w:ascii="Arial" w:hAnsi="Arial" w:cs="Arial"/>
          <w:bCs/>
          <w:sz w:val="22"/>
          <w:szCs w:val="22"/>
          <w:lang w:val="fr-FR"/>
        </w:rPr>
        <w:t>une mesure acquise appliquée dans des circonstances exceptionnelles pour permettre aux organes de l</w:t>
      </w:r>
      <w:r w:rsidR="008E532B">
        <w:rPr>
          <w:rFonts w:ascii="Arial" w:hAnsi="Arial" w:cs="Arial"/>
          <w:bCs/>
          <w:sz w:val="22"/>
          <w:szCs w:val="22"/>
          <w:lang w:val="fr-FR"/>
        </w:rPr>
        <w:t>’</w:t>
      </w:r>
      <w:r w:rsidRPr="00057242">
        <w:rPr>
          <w:rFonts w:ascii="Arial" w:hAnsi="Arial" w:cs="Arial"/>
          <w:bCs/>
          <w:sz w:val="22"/>
          <w:szCs w:val="22"/>
          <w:lang w:val="fr-FR"/>
        </w:rPr>
        <w:t>UNESCO de se réunir en ligne. L</w:t>
      </w:r>
      <w:r w:rsidR="008E532B">
        <w:rPr>
          <w:rFonts w:ascii="Arial" w:hAnsi="Arial" w:cs="Arial"/>
          <w:bCs/>
          <w:sz w:val="22"/>
          <w:szCs w:val="22"/>
          <w:lang w:val="fr-FR"/>
        </w:rPr>
        <w:t>’</w:t>
      </w:r>
      <w:r w:rsidRPr="00057242">
        <w:rPr>
          <w:rFonts w:ascii="Arial" w:hAnsi="Arial" w:cs="Arial"/>
          <w:bCs/>
          <w:sz w:val="22"/>
          <w:szCs w:val="22"/>
          <w:lang w:val="fr-FR"/>
        </w:rPr>
        <w:t>article 6.1 refl</w:t>
      </w:r>
      <w:r>
        <w:rPr>
          <w:rFonts w:ascii="Arial" w:hAnsi="Arial" w:cs="Arial"/>
          <w:bCs/>
          <w:sz w:val="22"/>
          <w:szCs w:val="22"/>
          <w:lang w:val="fr-FR"/>
        </w:rPr>
        <w:t>était</w:t>
      </w:r>
      <w:r w:rsidRPr="00057242">
        <w:rPr>
          <w:rFonts w:ascii="Arial" w:hAnsi="Arial" w:cs="Arial"/>
          <w:bCs/>
          <w:sz w:val="22"/>
          <w:szCs w:val="22"/>
          <w:lang w:val="fr-FR"/>
        </w:rPr>
        <w:t xml:space="preserve"> cette situation</w:t>
      </w:r>
      <w:r>
        <w:rPr>
          <w:rFonts w:ascii="Arial" w:hAnsi="Arial" w:cs="Arial"/>
          <w:bCs/>
          <w:sz w:val="22"/>
          <w:szCs w:val="22"/>
          <w:lang w:val="fr-FR"/>
        </w:rPr>
        <w:t xml:space="preserve"> qui était, selon le Conseiller juridique,</w:t>
      </w:r>
      <w:r w:rsidRPr="00057242">
        <w:rPr>
          <w:rFonts w:ascii="Arial" w:hAnsi="Arial" w:cs="Arial"/>
          <w:bCs/>
          <w:sz w:val="22"/>
          <w:szCs w:val="22"/>
          <w:lang w:val="fr-FR"/>
        </w:rPr>
        <w:t xml:space="preserve"> désormais généralement a</w:t>
      </w:r>
      <w:r>
        <w:rPr>
          <w:rFonts w:ascii="Arial" w:hAnsi="Arial" w:cs="Arial"/>
          <w:bCs/>
          <w:sz w:val="22"/>
          <w:szCs w:val="22"/>
          <w:lang w:val="fr-FR"/>
        </w:rPr>
        <w:t>cceptée</w:t>
      </w:r>
      <w:r w:rsidRPr="00057242">
        <w:rPr>
          <w:rFonts w:ascii="Arial" w:hAnsi="Arial" w:cs="Arial"/>
          <w:bCs/>
          <w:sz w:val="22"/>
          <w:szCs w:val="22"/>
          <w:lang w:val="fr-FR"/>
        </w:rPr>
        <w:t xml:space="preserve"> dans la Convention. Toutefois, sur un deuxième point connexe, ce qui était devenu problématique ces dernières années n</w:t>
      </w:r>
      <w:r w:rsidR="008E532B">
        <w:rPr>
          <w:rFonts w:ascii="Arial" w:hAnsi="Arial" w:cs="Arial"/>
          <w:bCs/>
          <w:sz w:val="22"/>
          <w:szCs w:val="22"/>
          <w:lang w:val="fr-FR"/>
        </w:rPr>
        <w:t>’</w:t>
      </w:r>
      <w:r w:rsidRPr="00057242">
        <w:rPr>
          <w:rFonts w:ascii="Arial" w:hAnsi="Arial" w:cs="Arial"/>
          <w:bCs/>
          <w:sz w:val="22"/>
          <w:szCs w:val="22"/>
          <w:lang w:val="fr-FR"/>
        </w:rPr>
        <w:t xml:space="preserve">était pas tant le fait de se réunir en ligne que la manière dont il était décidé de se réunir en ligne. Quelle procédure appliquer à la décision de se réunir en ligne ? La question </w:t>
      </w:r>
      <w:r>
        <w:rPr>
          <w:rFonts w:ascii="Arial" w:hAnsi="Arial" w:cs="Arial"/>
          <w:bCs/>
          <w:sz w:val="22"/>
          <w:szCs w:val="22"/>
          <w:lang w:val="fr-FR"/>
        </w:rPr>
        <w:t>était</w:t>
      </w:r>
      <w:r w:rsidRPr="00057242">
        <w:rPr>
          <w:rFonts w:ascii="Arial" w:hAnsi="Arial" w:cs="Arial"/>
          <w:bCs/>
          <w:sz w:val="22"/>
          <w:szCs w:val="22"/>
          <w:lang w:val="fr-FR"/>
        </w:rPr>
        <w:t xml:space="preserve"> particulièrement aiguë pour un organe tel que cette Assemblée générale qui ne dispos</w:t>
      </w:r>
      <w:r>
        <w:rPr>
          <w:rFonts w:ascii="Arial" w:hAnsi="Arial" w:cs="Arial"/>
          <w:bCs/>
          <w:sz w:val="22"/>
          <w:szCs w:val="22"/>
          <w:lang w:val="fr-FR"/>
        </w:rPr>
        <w:t>ait</w:t>
      </w:r>
      <w:r w:rsidRPr="00057242">
        <w:rPr>
          <w:rFonts w:ascii="Arial" w:hAnsi="Arial" w:cs="Arial"/>
          <w:bCs/>
          <w:sz w:val="22"/>
          <w:szCs w:val="22"/>
          <w:lang w:val="fr-FR"/>
        </w:rPr>
        <w:t xml:space="preserve"> pas d</w:t>
      </w:r>
      <w:r w:rsidR="008E532B">
        <w:rPr>
          <w:rFonts w:ascii="Arial" w:hAnsi="Arial" w:cs="Arial"/>
          <w:bCs/>
          <w:sz w:val="22"/>
          <w:szCs w:val="22"/>
          <w:lang w:val="fr-FR"/>
        </w:rPr>
        <w:t>’</w:t>
      </w:r>
      <w:r w:rsidRPr="00057242">
        <w:rPr>
          <w:rFonts w:ascii="Arial" w:hAnsi="Arial" w:cs="Arial"/>
          <w:bCs/>
          <w:sz w:val="22"/>
          <w:szCs w:val="22"/>
          <w:lang w:val="fr-FR"/>
        </w:rPr>
        <w:t>une règle explicite sur la consultation par correspondance</w:t>
      </w:r>
      <w:r>
        <w:rPr>
          <w:rFonts w:ascii="Arial" w:hAnsi="Arial" w:cs="Arial"/>
          <w:bCs/>
          <w:sz w:val="22"/>
          <w:szCs w:val="22"/>
          <w:lang w:val="fr-FR"/>
        </w:rPr>
        <w:t>, comme c</w:t>
      </w:r>
      <w:r w:rsidR="008E532B">
        <w:rPr>
          <w:rFonts w:ascii="Arial" w:hAnsi="Arial" w:cs="Arial"/>
          <w:bCs/>
          <w:sz w:val="22"/>
          <w:szCs w:val="22"/>
          <w:lang w:val="fr-FR"/>
        </w:rPr>
        <w:t>’</w:t>
      </w:r>
      <w:r>
        <w:rPr>
          <w:rFonts w:ascii="Arial" w:hAnsi="Arial" w:cs="Arial"/>
          <w:bCs/>
          <w:sz w:val="22"/>
          <w:szCs w:val="22"/>
          <w:lang w:val="fr-FR"/>
        </w:rPr>
        <w:t xml:space="preserve">est le cas, </w:t>
      </w:r>
      <w:r w:rsidRPr="00057242">
        <w:rPr>
          <w:rFonts w:ascii="Arial" w:hAnsi="Arial" w:cs="Arial"/>
          <w:bCs/>
          <w:sz w:val="22"/>
          <w:szCs w:val="22"/>
          <w:lang w:val="fr-FR"/>
        </w:rPr>
        <w:t xml:space="preserve">par exemple, </w:t>
      </w:r>
      <w:r>
        <w:rPr>
          <w:rFonts w:ascii="Arial" w:hAnsi="Arial" w:cs="Arial"/>
          <w:bCs/>
          <w:sz w:val="22"/>
          <w:szCs w:val="22"/>
          <w:lang w:val="fr-FR"/>
        </w:rPr>
        <w:t>pour le</w:t>
      </w:r>
      <w:r w:rsidRPr="00057242">
        <w:rPr>
          <w:rFonts w:ascii="Arial" w:hAnsi="Arial" w:cs="Arial"/>
          <w:bCs/>
          <w:sz w:val="22"/>
          <w:szCs w:val="22"/>
          <w:lang w:val="fr-FR"/>
        </w:rPr>
        <w:t xml:space="preserve"> </w:t>
      </w:r>
      <w:r>
        <w:rPr>
          <w:rFonts w:ascii="Arial" w:hAnsi="Arial" w:cs="Arial"/>
          <w:bCs/>
          <w:sz w:val="22"/>
          <w:szCs w:val="22"/>
          <w:lang w:val="fr-FR"/>
        </w:rPr>
        <w:t xml:space="preserve">Conseil </w:t>
      </w:r>
      <w:r w:rsidRPr="00057242">
        <w:rPr>
          <w:rFonts w:ascii="Arial" w:hAnsi="Arial" w:cs="Arial"/>
          <w:bCs/>
          <w:sz w:val="22"/>
          <w:szCs w:val="22"/>
          <w:lang w:val="fr-FR"/>
        </w:rPr>
        <w:t>exécutif. Les articles 6.1 et 6.3 vis</w:t>
      </w:r>
      <w:r>
        <w:rPr>
          <w:rFonts w:ascii="Arial" w:hAnsi="Arial" w:cs="Arial"/>
          <w:bCs/>
          <w:sz w:val="22"/>
          <w:szCs w:val="22"/>
          <w:lang w:val="fr-FR"/>
        </w:rPr>
        <w:t>ai</w:t>
      </w:r>
      <w:r w:rsidRPr="00057242">
        <w:rPr>
          <w:rFonts w:ascii="Arial" w:hAnsi="Arial" w:cs="Arial"/>
          <w:bCs/>
          <w:sz w:val="22"/>
          <w:szCs w:val="22"/>
          <w:lang w:val="fr-FR"/>
        </w:rPr>
        <w:t>ent donc à fournir un moyen pratique de prendre de telles décisions, tout en respectant les majorités de la session.</w:t>
      </w:r>
    </w:p>
    <w:p w14:paraId="1C34FFF6" w14:textId="6EFC8D0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271BE">
        <w:rPr>
          <w:rFonts w:ascii="Arial" w:hAnsi="Arial" w:cs="Arial"/>
          <w:bCs/>
          <w:sz w:val="22"/>
          <w:szCs w:val="22"/>
          <w:lang w:val="fr-FR"/>
        </w:rPr>
        <w:t xml:space="preserve">Le </w:t>
      </w:r>
      <w:r w:rsidRPr="00A271BE">
        <w:rPr>
          <w:rFonts w:ascii="Arial" w:hAnsi="Arial" w:cs="Arial"/>
          <w:b/>
          <w:sz w:val="22"/>
          <w:szCs w:val="22"/>
          <w:lang w:val="fr-FR"/>
        </w:rPr>
        <w:t>Conseiller juridique</w:t>
      </w:r>
      <w:r w:rsidRPr="00A271BE">
        <w:rPr>
          <w:rFonts w:ascii="Arial" w:hAnsi="Arial" w:cs="Arial"/>
          <w:bCs/>
          <w:sz w:val="22"/>
          <w:szCs w:val="22"/>
          <w:lang w:val="fr-FR"/>
        </w:rPr>
        <w:t xml:space="preserve"> a </w:t>
      </w:r>
      <w:r>
        <w:rPr>
          <w:rFonts w:ascii="Arial" w:hAnsi="Arial" w:cs="Arial"/>
          <w:bCs/>
          <w:sz w:val="22"/>
          <w:szCs w:val="22"/>
          <w:lang w:val="fr-FR"/>
        </w:rPr>
        <w:t xml:space="preserve">ensuite </w:t>
      </w:r>
      <w:r w:rsidRPr="00A271BE">
        <w:rPr>
          <w:rFonts w:ascii="Arial" w:hAnsi="Arial" w:cs="Arial"/>
          <w:bCs/>
          <w:sz w:val="22"/>
          <w:szCs w:val="22"/>
          <w:lang w:val="fr-FR"/>
        </w:rPr>
        <w:t>abordé la question posée par la France sur l</w:t>
      </w:r>
      <w:r w:rsidR="008E532B">
        <w:rPr>
          <w:rFonts w:ascii="Arial" w:hAnsi="Arial" w:cs="Arial"/>
          <w:bCs/>
          <w:sz w:val="22"/>
          <w:szCs w:val="22"/>
          <w:lang w:val="fr-FR"/>
        </w:rPr>
        <w:t>’</w:t>
      </w:r>
      <w:r w:rsidRPr="00A271BE">
        <w:rPr>
          <w:rFonts w:ascii="Arial" w:hAnsi="Arial" w:cs="Arial"/>
          <w:bCs/>
          <w:sz w:val="22"/>
          <w:szCs w:val="22"/>
          <w:lang w:val="fr-FR"/>
        </w:rPr>
        <w:t>opportunité d</w:t>
      </w:r>
      <w:r w:rsidR="008E532B">
        <w:rPr>
          <w:rFonts w:ascii="Arial" w:hAnsi="Arial" w:cs="Arial"/>
          <w:bCs/>
          <w:sz w:val="22"/>
          <w:szCs w:val="22"/>
          <w:lang w:val="fr-FR"/>
        </w:rPr>
        <w:t>’</w:t>
      </w:r>
      <w:r w:rsidRPr="00A271BE">
        <w:rPr>
          <w:rFonts w:ascii="Arial" w:hAnsi="Arial" w:cs="Arial"/>
          <w:bCs/>
          <w:sz w:val="22"/>
          <w:szCs w:val="22"/>
          <w:lang w:val="fr-FR"/>
        </w:rPr>
        <w:t>inclure une disposition qui préciserait que</w:t>
      </w:r>
      <w:r>
        <w:rPr>
          <w:rFonts w:ascii="Arial" w:hAnsi="Arial" w:cs="Arial"/>
          <w:bCs/>
          <w:sz w:val="22"/>
          <w:szCs w:val="22"/>
          <w:lang w:val="fr-FR"/>
        </w:rPr>
        <w:t>,</w:t>
      </w:r>
      <w:r w:rsidRPr="00A271BE">
        <w:rPr>
          <w:rFonts w:ascii="Arial" w:hAnsi="Arial" w:cs="Arial"/>
          <w:bCs/>
          <w:sz w:val="22"/>
          <w:szCs w:val="22"/>
          <w:lang w:val="fr-FR"/>
        </w:rPr>
        <w:t xml:space="preserve"> lorsqu</w:t>
      </w:r>
      <w:r w:rsidR="008E532B">
        <w:rPr>
          <w:rFonts w:ascii="Arial" w:hAnsi="Arial" w:cs="Arial"/>
          <w:bCs/>
          <w:sz w:val="22"/>
          <w:szCs w:val="22"/>
          <w:lang w:val="fr-FR"/>
        </w:rPr>
        <w:t>’</w:t>
      </w:r>
      <w:r w:rsidRPr="00A271BE">
        <w:rPr>
          <w:rFonts w:ascii="Arial" w:hAnsi="Arial" w:cs="Arial"/>
          <w:bCs/>
          <w:sz w:val="22"/>
          <w:szCs w:val="22"/>
          <w:lang w:val="fr-FR"/>
        </w:rPr>
        <w:t>une session se réunit, [les États parties] ne peuvent pas voter en ligne. C</w:t>
      </w:r>
      <w:r w:rsidR="008E532B">
        <w:rPr>
          <w:rFonts w:ascii="Arial" w:hAnsi="Arial" w:cs="Arial"/>
          <w:bCs/>
          <w:sz w:val="22"/>
          <w:szCs w:val="22"/>
          <w:lang w:val="fr-FR"/>
        </w:rPr>
        <w:t>’</w:t>
      </w:r>
      <w:r>
        <w:rPr>
          <w:rFonts w:ascii="Arial" w:hAnsi="Arial" w:cs="Arial"/>
          <w:bCs/>
          <w:sz w:val="22"/>
          <w:szCs w:val="22"/>
          <w:lang w:val="fr-FR"/>
        </w:rPr>
        <w:t>était</w:t>
      </w:r>
      <w:r w:rsidRPr="00A271BE">
        <w:rPr>
          <w:rFonts w:ascii="Arial" w:hAnsi="Arial" w:cs="Arial"/>
          <w:bCs/>
          <w:sz w:val="22"/>
          <w:szCs w:val="22"/>
          <w:lang w:val="fr-FR"/>
        </w:rPr>
        <w:t xml:space="preserve"> à l</w:t>
      </w:r>
      <w:r w:rsidR="008E532B">
        <w:rPr>
          <w:rFonts w:ascii="Arial" w:hAnsi="Arial" w:cs="Arial"/>
          <w:bCs/>
          <w:sz w:val="22"/>
          <w:szCs w:val="22"/>
          <w:lang w:val="fr-FR"/>
        </w:rPr>
        <w:t>’</w:t>
      </w:r>
      <w:r w:rsidRPr="00A271BE">
        <w:rPr>
          <w:rFonts w:ascii="Arial" w:hAnsi="Arial" w:cs="Arial"/>
          <w:bCs/>
          <w:sz w:val="22"/>
          <w:szCs w:val="22"/>
          <w:lang w:val="fr-FR"/>
        </w:rPr>
        <w:t xml:space="preserve">Assemblée de décider, </w:t>
      </w:r>
      <w:r>
        <w:rPr>
          <w:rFonts w:ascii="Arial" w:hAnsi="Arial" w:cs="Arial"/>
          <w:bCs/>
          <w:sz w:val="22"/>
          <w:szCs w:val="22"/>
          <w:lang w:val="fr-FR"/>
        </w:rPr>
        <w:t>c.-à-d.</w:t>
      </w:r>
      <w:r w:rsidRPr="00A271BE">
        <w:rPr>
          <w:rFonts w:ascii="Arial" w:hAnsi="Arial" w:cs="Arial"/>
          <w:bCs/>
          <w:sz w:val="22"/>
          <w:szCs w:val="22"/>
          <w:lang w:val="fr-FR"/>
        </w:rPr>
        <w:t xml:space="preserve"> savoir si elle souhait</w:t>
      </w:r>
      <w:r>
        <w:rPr>
          <w:rFonts w:ascii="Arial" w:hAnsi="Arial" w:cs="Arial"/>
          <w:bCs/>
          <w:sz w:val="22"/>
          <w:szCs w:val="22"/>
          <w:lang w:val="fr-FR"/>
        </w:rPr>
        <w:t>ait fermer la porte à la possibilité de</w:t>
      </w:r>
      <w:r w:rsidRPr="00A271BE">
        <w:rPr>
          <w:rFonts w:ascii="Arial" w:hAnsi="Arial" w:cs="Arial"/>
          <w:bCs/>
          <w:sz w:val="22"/>
          <w:szCs w:val="22"/>
          <w:lang w:val="fr-FR"/>
        </w:rPr>
        <w:t xml:space="preserve"> vote</w:t>
      </w:r>
      <w:r>
        <w:rPr>
          <w:rFonts w:ascii="Arial" w:hAnsi="Arial" w:cs="Arial"/>
          <w:bCs/>
          <w:sz w:val="22"/>
          <w:szCs w:val="22"/>
          <w:lang w:val="fr-FR"/>
        </w:rPr>
        <w:t>r</w:t>
      </w:r>
      <w:r w:rsidRPr="00A271BE">
        <w:rPr>
          <w:rFonts w:ascii="Arial" w:hAnsi="Arial" w:cs="Arial"/>
          <w:bCs/>
          <w:sz w:val="22"/>
          <w:szCs w:val="22"/>
          <w:lang w:val="fr-FR"/>
        </w:rPr>
        <w:t xml:space="preserve"> </w:t>
      </w:r>
      <w:r>
        <w:rPr>
          <w:rFonts w:ascii="Arial" w:hAnsi="Arial" w:cs="Arial"/>
          <w:bCs/>
          <w:sz w:val="22"/>
          <w:szCs w:val="22"/>
          <w:lang w:val="fr-FR"/>
        </w:rPr>
        <w:t>lorsqu</w:t>
      </w:r>
      <w:r w:rsidR="008E532B">
        <w:rPr>
          <w:rFonts w:ascii="Arial" w:hAnsi="Arial" w:cs="Arial"/>
          <w:bCs/>
          <w:sz w:val="22"/>
          <w:szCs w:val="22"/>
          <w:lang w:val="fr-FR"/>
        </w:rPr>
        <w:t>’</w:t>
      </w:r>
      <w:r>
        <w:rPr>
          <w:rFonts w:ascii="Arial" w:hAnsi="Arial" w:cs="Arial"/>
          <w:bCs/>
          <w:sz w:val="22"/>
          <w:szCs w:val="22"/>
          <w:lang w:val="fr-FR"/>
        </w:rPr>
        <w:t xml:space="preserve">il </w:t>
      </w:r>
      <w:r w:rsidRPr="00A271BE">
        <w:rPr>
          <w:rFonts w:ascii="Arial" w:hAnsi="Arial" w:cs="Arial"/>
          <w:bCs/>
          <w:sz w:val="22"/>
          <w:szCs w:val="22"/>
          <w:lang w:val="fr-FR"/>
        </w:rPr>
        <w:t>y a</w:t>
      </w:r>
      <w:r>
        <w:rPr>
          <w:rFonts w:ascii="Arial" w:hAnsi="Arial" w:cs="Arial"/>
          <w:bCs/>
          <w:sz w:val="22"/>
          <w:szCs w:val="22"/>
          <w:lang w:val="fr-FR"/>
        </w:rPr>
        <w:t>vait</w:t>
      </w:r>
      <w:r w:rsidRPr="00A271BE">
        <w:rPr>
          <w:rFonts w:ascii="Arial" w:hAnsi="Arial" w:cs="Arial"/>
          <w:bCs/>
          <w:sz w:val="22"/>
          <w:szCs w:val="22"/>
          <w:lang w:val="fr-FR"/>
        </w:rPr>
        <w:t xml:space="preserve"> une session en ligne, ce qui serait acceptable. Mais l</w:t>
      </w:r>
      <w:r w:rsidR="008E532B">
        <w:rPr>
          <w:rFonts w:ascii="Arial" w:hAnsi="Arial" w:cs="Arial"/>
          <w:bCs/>
          <w:sz w:val="22"/>
          <w:szCs w:val="22"/>
          <w:lang w:val="fr-FR"/>
        </w:rPr>
        <w:t>’</w:t>
      </w:r>
      <w:r w:rsidRPr="00A271BE">
        <w:rPr>
          <w:rFonts w:ascii="Arial" w:hAnsi="Arial" w:cs="Arial"/>
          <w:bCs/>
          <w:sz w:val="22"/>
          <w:szCs w:val="22"/>
          <w:lang w:val="fr-FR"/>
        </w:rPr>
        <w:t xml:space="preserve">Assemblée </w:t>
      </w:r>
      <w:r>
        <w:rPr>
          <w:rFonts w:ascii="Arial" w:hAnsi="Arial" w:cs="Arial"/>
          <w:bCs/>
          <w:sz w:val="22"/>
          <w:szCs w:val="22"/>
          <w:lang w:val="fr-FR"/>
        </w:rPr>
        <w:t xml:space="preserve">devait savoir </w:t>
      </w:r>
      <w:r w:rsidRPr="00A271BE">
        <w:rPr>
          <w:rFonts w:ascii="Arial" w:hAnsi="Arial" w:cs="Arial"/>
          <w:bCs/>
          <w:sz w:val="22"/>
          <w:szCs w:val="22"/>
          <w:lang w:val="fr-FR"/>
        </w:rPr>
        <w:t>que si une disposition était ajoutée stipul</w:t>
      </w:r>
      <w:r>
        <w:rPr>
          <w:rFonts w:ascii="Arial" w:hAnsi="Arial" w:cs="Arial"/>
          <w:bCs/>
          <w:sz w:val="22"/>
          <w:szCs w:val="22"/>
          <w:lang w:val="fr-FR"/>
        </w:rPr>
        <w:t>ant</w:t>
      </w:r>
      <w:r w:rsidRPr="00A271BE">
        <w:rPr>
          <w:rFonts w:ascii="Arial" w:hAnsi="Arial" w:cs="Arial"/>
          <w:bCs/>
          <w:sz w:val="22"/>
          <w:szCs w:val="22"/>
          <w:lang w:val="fr-FR"/>
        </w:rPr>
        <w:t xml:space="preserve"> qu</w:t>
      </w:r>
      <w:r w:rsidR="008E532B">
        <w:rPr>
          <w:rFonts w:ascii="Arial" w:hAnsi="Arial" w:cs="Arial"/>
          <w:bCs/>
          <w:sz w:val="22"/>
          <w:szCs w:val="22"/>
          <w:lang w:val="fr-FR"/>
        </w:rPr>
        <w:t>’</w:t>
      </w:r>
      <w:r w:rsidRPr="00A271BE">
        <w:rPr>
          <w:rFonts w:ascii="Arial" w:hAnsi="Arial" w:cs="Arial"/>
          <w:bCs/>
          <w:sz w:val="22"/>
          <w:szCs w:val="22"/>
          <w:lang w:val="fr-FR"/>
        </w:rPr>
        <w:t>aucun vote n</w:t>
      </w:r>
      <w:r w:rsidR="008E532B">
        <w:rPr>
          <w:rFonts w:ascii="Arial" w:hAnsi="Arial" w:cs="Arial"/>
          <w:bCs/>
          <w:sz w:val="22"/>
          <w:szCs w:val="22"/>
          <w:lang w:val="fr-FR"/>
        </w:rPr>
        <w:t>’</w:t>
      </w:r>
      <w:r w:rsidRPr="00A271BE">
        <w:rPr>
          <w:rFonts w:ascii="Arial" w:hAnsi="Arial" w:cs="Arial"/>
          <w:bCs/>
          <w:sz w:val="22"/>
          <w:szCs w:val="22"/>
          <w:lang w:val="fr-FR"/>
        </w:rPr>
        <w:t>est possible lors d</w:t>
      </w:r>
      <w:r w:rsidR="008E532B">
        <w:rPr>
          <w:rFonts w:ascii="Arial" w:hAnsi="Arial" w:cs="Arial"/>
          <w:bCs/>
          <w:sz w:val="22"/>
          <w:szCs w:val="22"/>
          <w:lang w:val="fr-FR"/>
        </w:rPr>
        <w:t>’</w:t>
      </w:r>
      <w:r w:rsidRPr="00A271BE">
        <w:rPr>
          <w:rFonts w:ascii="Arial" w:hAnsi="Arial" w:cs="Arial"/>
          <w:bCs/>
          <w:sz w:val="22"/>
          <w:szCs w:val="22"/>
          <w:lang w:val="fr-FR"/>
        </w:rPr>
        <w:t>une session en ligne, alors aucun vote ne serait possible lors d</w:t>
      </w:r>
      <w:r w:rsidR="008E532B">
        <w:rPr>
          <w:rFonts w:ascii="Arial" w:hAnsi="Arial" w:cs="Arial"/>
          <w:bCs/>
          <w:sz w:val="22"/>
          <w:szCs w:val="22"/>
          <w:lang w:val="fr-FR"/>
        </w:rPr>
        <w:t>’</w:t>
      </w:r>
      <w:r w:rsidRPr="00A271BE">
        <w:rPr>
          <w:rFonts w:ascii="Arial" w:hAnsi="Arial" w:cs="Arial"/>
          <w:bCs/>
          <w:sz w:val="22"/>
          <w:szCs w:val="22"/>
          <w:lang w:val="fr-FR"/>
        </w:rPr>
        <w:t xml:space="preserve">une session en ligne, quelles que soient les circonstances. En ce qui concerne la question sur les réunions hybrides, le </w:t>
      </w:r>
      <w:r>
        <w:rPr>
          <w:rFonts w:ascii="Arial" w:hAnsi="Arial" w:cs="Arial"/>
          <w:bCs/>
          <w:sz w:val="22"/>
          <w:szCs w:val="22"/>
          <w:lang w:val="fr-FR"/>
        </w:rPr>
        <w:t>C</w:t>
      </w:r>
      <w:r w:rsidRPr="00A271BE">
        <w:rPr>
          <w:rFonts w:ascii="Arial" w:hAnsi="Arial" w:cs="Arial"/>
          <w:bCs/>
          <w:sz w:val="22"/>
          <w:szCs w:val="22"/>
          <w:lang w:val="fr-FR"/>
        </w:rPr>
        <w:t xml:space="preserve">onseiller juridique </w:t>
      </w:r>
      <w:r>
        <w:rPr>
          <w:rFonts w:ascii="Arial" w:hAnsi="Arial" w:cs="Arial"/>
          <w:bCs/>
          <w:sz w:val="22"/>
          <w:szCs w:val="22"/>
          <w:lang w:val="fr-FR"/>
        </w:rPr>
        <w:t xml:space="preserve">a </w:t>
      </w:r>
      <w:r w:rsidRPr="00A271BE">
        <w:rPr>
          <w:rFonts w:ascii="Arial" w:hAnsi="Arial" w:cs="Arial"/>
          <w:bCs/>
          <w:sz w:val="22"/>
          <w:szCs w:val="22"/>
          <w:lang w:val="fr-FR"/>
        </w:rPr>
        <w:t>expliqu</w:t>
      </w:r>
      <w:r>
        <w:rPr>
          <w:rFonts w:ascii="Arial" w:hAnsi="Arial" w:cs="Arial"/>
          <w:bCs/>
          <w:sz w:val="22"/>
          <w:szCs w:val="22"/>
          <w:lang w:val="fr-FR"/>
        </w:rPr>
        <w:t>é</w:t>
      </w:r>
      <w:r w:rsidRPr="00A271BE">
        <w:rPr>
          <w:rFonts w:ascii="Arial" w:hAnsi="Arial" w:cs="Arial"/>
          <w:bCs/>
          <w:sz w:val="22"/>
          <w:szCs w:val="22"/>
          <w:lang w:val="fr-FR"/>
        </w:rPr>
        <w:t xml:space="preserve"> que le terme </w:t>
      </w:r>
      <w:r>
        <w:rPr>
          <w:rFonts w:ascii="Arial" w:hAnsi="Arial" w:cs="Arial"/>
          <w:bCs/>
          <w:sz w:val="22"/>
          <w:szCs w:val="22"/>
          <w:lang w:val="fr-FR"/>
        </w:rPr>
        <w:t>« </w:t>
      </w:r>
      <w:r w:rsidRPr="00A271BE">
        <w:rPr>
          <w:rFonts w:ascii="Arial" w:hAnsi="Arial" w:cs="Arial"/>
          <w:bCs/>
          <w:sz w:val="22"/>
          <w:szCs w:val="22"/>
          <w:lang w:val="fr-FR"/>
        </w:rPr>
        <w:t>hybride</w:t>
      </w:r>
      <w:r>
        <w:rPr>
          <w:rFonts w:ascii="Arial" w:hAnsi="Arial" w:cs="Arial"/>
          <w:bCs/>
          <w:sz w:val="22"/>
          <w:szCs w:val="22"/>
          <w:lang w:val="fr-FR"/>
        </w:rPr>
        <w:t> »</w:t>
      </w:r>
      <w:r w:rsidRPr="00A271BE">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est</w:t>
      </w:r>
      <w:r w:rsidRPr="00A271BE">
        <w:rPr>
          <w:rFonts w:ascii="Arial" w:hAnsi="Arial" w:cs="Arial"/>
          <w:bCs/>
          <w:sz w:val="22"/>
          <w:szCs w:val="22"/>
          <w:lang w:val="fr-FR"/>
        </w:rPr>
        <w:t xml:space="preserve"> pas un terme juridique</w:t>
      </w:r>
      <w:r>
        <w:rPr>
          <w:rFonts w:ascii="Arial" w:hAnsi="Arial" w:cs="Arial"/>
          <w:bCs/>
          <w:sz w:val="22"/>
          <w:szCs w:val="22"/>
          <w:lang w:val="fr-FR"/>
        </w:rPr>
        <w:t>,</w:t>
      </w:r>
      <w:r w:rsidRPr="00A271BE">
        <w:rPr>
          <w:rFonts w:ascii="Arial" w:hAnsi="Arial" w:cs="Arial"/>
          <w:bCs/>
          <w:sz w:val="22"/>
          <w:szCs w:val="22"/>
          <w:lang w:val="fr-FR"/>
        </w:rPr>
        <w:t xml:space="preserve"> et qu</w:t>
      </w:r>
      <w:r w:rsidR="008E532B">
        <w:rPr>
          <w:rFonts w:ascii="Arial" w:hAnsi="Arial" w:cs="Arial"/>
          <w:bCs/>
          <w:sz w:val="22"/>
          <w:szCs w:val="22"/>
          <w:lang w:val="fr-FR"/>
        </w:rPr>
        <w:t>’</w:t>
      </w:r>
      <w:r w:rsidRPr="00A271BE">
        <w:rPr>
          <w:rFonts w:ascii="Arial" w:hAnsi="Arial" w:cs="Arial"/>
          <w:bCs/>
          <w:sz w:val="22"/>
          <w:szCs w:val="22"/>
          <w:lang w:val="fr-FR"/>
        </w:rPr>
        <w:t>il a</w:t>
      </w:r>
      <w:r>
        <w:rPr>
          <w:rFonts w:ascii="Arial" w:hAnsi="Arial" w:cs="Arial"/>
          <w:bCs/>
          <w:sz w:val="22"/>
          <w:szCs w:val="22"/>
          <w:lang w:val="fr-FR"/>
        </w:rPr>
        <w:t>vait</w:t>
      </w:r>
      <w:r w:rsidRPr="00A271BE">
        <w:rPr>
          <w:rFonts w:ascii="Arial" w:hAnsi="Arial" w:cs="Arial"/>
          <w:bCs/>
          <w:sz w:val="22"/>
          <w:szCs w:val="22"/>
          <w:lang w:val="fr-FR"/>
        </w:rPr>
        <w:t xml:space="preserve"> malheureusement été utilisé pour désigner des réunions de nature différente. Par exemple, une réunion où les membres </w:t>
      </w:r>
      <w:r>
        <w:rPr>
          <w:rFonts w:ascii="Arial" w:hAnsi="Arial" w:cs="Arial"/>
          <w:bCs/>
          <w:sz w:val="22"/>
          <w:szCs w:val="22"/>
          <w:lang w:val="fr-FR"/>
        </w:rPr>
        <w:t>étaient</w:t>
      </w:r>
      <w:r w:rsidRPr="00A271BE">
        <w:rPr>
          <w:rFonts w:ascii="Arial" w:hAnsi="Arial" w:cs="Arial"/>
          <w:bCs/>
          <w:sz w:val="22"/>
          <w:szCs w:val="22"/>
          <w:lang w:val="fr-FR"/>
        </w:rPr>
        <w:t xml:space="preserve"> présents et les observateurs </w:t>
      </w:r>
      <w:r>
        <w:rPr>
          <w:rFonts w:ascii="Arial" w:hAnsi="Arial" w:cs="Arial"/>
          <w:bCs/>
          <w:sz w:val="22"/>
          <w:szCs w:val="22"/>
          <w:lang w:val="fr-FR"/>
        </w:rPr>
        <w:t xml:space="preserve">étaient </w:t>
      </w:r>
      <w:r w:rsidRPr="00A271BE">
        <w:rPr>
          <w:rFonts w:ascii="Arial" w:hAnsi="Arial" w:cs="Arial"/>
          <w:bCs/>
          <w:sz w:val="22"/>
          <w:szCs w:val="22"/>
          <w:lang w:val="fr-FR"/>
        </w:rPr>
        <w:t xml:space="preserve">en ligne avait été qualifiée de réunion hybride. Une réunion </w:t>
      </w:r>
      <w:r>
        <w:rPr>
          <w:rFonts w:ascii="Arial" w:hAnsi="Arial" w:cs="Arial"/>
          <w:bCs/>
          <w:sz w:val="22"/>
          <w:szCs w:val="22"/>
          <w:lang w:val="fr-FR"/>
        </w:rPr>
        <w:t>où</w:t>
      </w:r>
      <w:r w:rsidRPr="00A271BE">
        <w:rPr>
          <w:rFonts w:ascii="Arial" w:hAnsi="Arial" w:cs="Arial"/>
          <w:bCs/>
          <w:sz w:val="22"/>
          <w:szCs w:val="22"/>
          <w:lang w:val="fr-FR"/>
        </w:rPr>
        <w:t xml:space="preserve"> tous les membres </w:t>
      </w:r>
      <w:r>
        <w:rPr>
          <w:rFonts w:ascii="Arial" w:hAnsi="Arial" w:cs="Arial"/>
          <w:bCs/>
          <w:sz w:val="22"/>
          <w:szCs w:val="22"/>
          <w:lang w:val="fr-FR"/>
        </w:rPr>
        <w:t>étaient présents</w:t>
      </w:r>
      <w:r w:rsidRPr="00A271BE">
        <w:rPr>
          <w:rFonts w:ascii="Arial" w:hAnsi="Arial" w:cs="Arial"/>
          <w:bCs/>
          <w:sz w:val="22"/>
          <w:szCs w:val="22"/>
          <w:lang w:val="fr-FR"/>
        </w:rPr>
        <w:t xml:space="preserve"> mais où certaines délégations </w:t>
      </w:r>
      <w:r>
        <w:rPr>
          <w:rFonts w:ascii="Arial" w:hAnsi="Arial" w:cs="Arial"/>
          <w:bCs/>
          <w:sz w:val="22"/>
          <w:szCs w:val="22"/>
          <w:lang w:val="fr-FR"/>
        </w:rPr>
        <w:t>avaient</w:t>
      </w:r>
      <w:r w:rsidRPr="00A271BE">
        <w:rPr>
          <w:rFonts w:ascii="Arial" w:hAnsi="Arial" w:cs="Arial"/>
          <w:bCs/>
          <w:sz w:val="22"/>
          <w:szCs w:val="22"/>
          <w:lang w:val="fr-FR"/>
        </w:rPr>
        <w:t xml:space="preserve"> des représentants en ligne a</w:t>
      </w:r>
      <w:r>
        <w:rPr>
          <w:rFonts w:ascii="Arial" w:hAnsi="Arial" w:cs="Arial"/>
          <w:bCs/>
          <w:sz w:val="22"/>
          <w:szCs w:val="22"/>
          <w:lang w:val="fr-FR"/>
        </w:rPr>
        <w:t>vait</w:t>
      </w:r>
      <w:r w:rsidRPr="00A271BE">
        <w:rPr>
          <w:rFonts w:ascii="Arial" w:hAnsi="Arial" w:cs="Arial"/>
          <w:bCs/>
          <w:sz w:val="22"/>
          <w:szCs w:val="22"/>
          <w:lang w:val="fr-FR"/>
        </w:rPr>
        <w:t xml:space="preserve"> également été appelée </w:t>
      </w:r>
      <w:r>
        <w:rPr>
          <w:rFonts w:ascii="Arial" w:hAnsi="Arial" w:cs="Arial"/>
          <w:bCs/>
          <w:sz w:val="22"/>
          <w:szCs w:val="22"/>
          <w:lang w:val="fr-FR"/>
        </w:rPr>
        <w:t>« </w:t>
      </w:r>
      <w:r w:rsidRPr="00A271BE">
        <w:rPr>
          <w:rFonts w:ascii="Arial" w:hAnsi="Arial" w:cs="Arial"/>
          <w:bCs/>
          <w:sz w:val="22"/>
          <w:szCs w:val="22"/>
          <w:lang w:val="fr-FR"/>
        </w:rPr>
        <w:t>hybride</w:t>
      </w:r>
      <w:r>
        <w:rPr>
          <w:rFonts w:ascii="Arial" w:hAnsi="Arial" w:cs="Arial"/>
          <w:bCs/>
          <w:sz w:val="22"/>
          <w:szCs w:val="22"/>
          <w:lang w:val="fr-FR"/>
        </w:rPr>
        <w:t> »</w:t>
      </w:r>
      <w:r w:rsidRPr="00A271BE">
        <w:rPr>
          <w:rFonts w:ascii="Arial" w:hAnsi="Arial" w:cs="Arial"/>
          <w:bCs/>
          <w:sz w:val="22"/>
          <w:szCs w:val="22"/>
          <w:lang w:val="fr-FR"/>
        </w:rPr>
        <w:t xml:space="preserve">. Enfin, il y avait la réunion </w:t>
      </w:r>
      <w:r>
        <w:rPr>
          <w:rFonts w:ascii="Arial" w:hAnsi="Arial" w:cs="Arial"/>
          <w:bCs/>
          <w:sz w:val="22"/>
          <w:szCs w:val="22"/>
          <w:lang w:val="fr-FR"/>
        </w:rPr>
        <w:t>« </w:t>
      </w:r>
      <w:r w:rsidRPr="00A271BE">
        <w:rPr>
          <w:rFonts w:ascii="Arial" w:hAnsi="Arial" w:cs="Arial"/>
          <w:bCs/>
          <w:sz w:val="22"/>
          <w:szCs w:val="22"/>
          <w:lang w:val="fr-FR"/>
        </w:rPr>
        <w:t>purement hybride</w:t>
      </w:r>
      <w:r>
        <w:rPr>
          <w:rFonts w:ascii="Arial" w:hAnsi="Arial" w:cs="Arial"/>
          <w:bCs/>
          <w:sz w:val="22"/>
          <w:szCs w:val="22"/>
          <w:lang w:val="fr-FR"/>
        </w:rPr>
        <w:t> »</w:t>
      </w:r>
      <w:r w:rsidRPr="00A271BE">
        <w:rPr>
          <w:rFonts w:ascii="Arial" w:hAnsi="Arial" w:cs="Arial"/>
          <w:bCs/>
          <w:sz w:val="22"/>
          <w:szCs w:val="22"/>
          <w:lang w:val="fr-FR"/>
        </w:rPr>
        <w:t>, qui p</w:t>
      </w:r>
      <w:r>
        <w:rPr>
          <w:rFonts w:ascii="Arial" w:hAnsi="Arial" w:cs="Arial"/>
          <w:bCs/>
          <w:sz w:val="22"/>
          <w:szCs w:val="22"/>
          <w:lang w:val="fr-FR"/>
        </w:rPr>
        <w:t xml:space="preserve">ouvait </w:t>
      </w:r>
      <w:r w:rsidRPr="00A271BE">
        <w:rPr>
          <w:rFonts w:ascii="Arial" w:hAnsi="Arial" w:cs="Arial"/>
          <w:bCs/>
          <w:sz w:val="22"/>
          <w:szCs w:val="22"/>
          <w:lang w:val="fr-FR"/>
        </w:rPr>
        <w:t>impliquer l</w:t>
      </w:r>
      <w:r w:rsidR="008E532B">
        <w:rPr>
          <w:rFonts w:ascii="Arial" w:hAnsi="Arial" w:cs="Arial"/>
          <w:bCs/>
          <w:sz w:val="22"/>
          <w:szCs w:val="22"/>
          <w:lang w:val="fr-FR"/>
        </w:rPr>
        <w:t>’</w:t>
      </w:r>
      <w:r w:rsidRPr="00A271BE">
        <w:rPr>
          <w:rFonts w:ascii="Arial" w:hAnsi="Arial" w:cs="Arial"/>
          <w:bCs/>
          <w:sz w:val="22"/>
          <w:szCs w:val="22"/>
          <w:lang w:val="fr-FR"/>
        </w:rPr>
        <w:t>un ou l</w:t>
      </w:r>
      <w:r w:rsidR="008E532B">
        <w:rPr>
          <w:rFonts w:ascii="Arial" w:hAnsi="Arial" w:cs="Arial"/>
          <w:bCs/>
          <w:sz w:val="22"/>
          <w:szCs w:val="22"/>
          <w:lang w:val="fr-FR"/>
        </w:rPr>
        <w:t>’</w:t>
      </w:r>
      <w:r w:rsidRPr="00A271BE">
        <w:rPr>
          <w:rFonts w:ascii="Arial" w:hAnsi="Arial" w:cs="Arial"/>
          <w:bCs/>
          <w:sz w:val="22"/>
          <w:szCs w:val="22"/>
          <w:lang w:val="fr-FR"/>
        </w:rPr>
        <w:t>autre sens, ce qui rend</w:t>
      </w:r>
      <w:r>
        <w:rPr>
          <w:rFonts w:ascii="Arial" w:hAnsi="Arial" w:cs="Arial"/>
          <w:bCs/>
          <w:sz w:val="22"/>
          <w:szCs w:val="22"/>
          <w:lang w:val="fr-FR"/>
        </w:rPr>
        <w:t>ait</w:t>
      </w:r>
      <w:r w:rsidRPr="00A271BE">
        <w:rPr>
          <w:rFonts w:ascii="Arial" w:hAnsi="Arial" w:cs="Arial"/>
          <w:bCs/>
          <w:sz w:val="22"/>
          <w:szCs w:val="22"/>
          <w:lang w:val="fr-FR"/>
        </w:rPr>
        <w:t xml:space="preserve"> le terme </w:t>
      </w:r>
      <w:r>
        <w:rPr>
          <w:rFonts w:ascii="Arial" w:hAnsi="Arial" w:cs="Arial"/>
          <w:bCs/>
          <w:sz w:val="22"/>
          <w:szCs w:val="22"/>
          <w:lang w:val="fr-FR"/>
        </w:rPr>
        <w:t>« </w:t>
      </w:r>
      <w:r w:rsidRPr="00A271BE">
        <w:rPr>
          <w:rFonts w:ascii="Arial" w:hAnsi="Arial" w:cs="Arial"/>
          <w:bCs/>
          <w:sz w:val="22"/>
          <w:szCs w:val="22"/>
          <w:lang w:val="fr-FR"/>
        </w:rPr>
        <w:t>hybride</w:t>
      </w:r>
      <w:r>
        <w:rPr>
          <w:rFonts w:ascii="Arial" w:hAnsi="Arial" w:cs="Arial"/>
          <w:bCs/>
          <w:sz w:val="22"/>
          <w:szCs w:val="22"/>
          <w:lang w:val="fr-FR"/>
        </w:rPr>
        <w:t> »</w:t>
      </w:r>
      <w:r w:rsidRPr="00A271BE">
        <w:rPr>
          <w:rFonts w:ascii="Arial" w:hAnsi="Arial" w:cs="Arial"/>
          <w:bCs/>
          <w:sz w:val="22"/>
          <w:szCs w:val="22"/>
          <w:lang w:val="fr-FR"/>
        </w:rPr>
        <w:t xml:space="preserve"> difficile à saisir. Pour l</w:t>
      </w:r>
      <w:r w:rsidR="008E532B">
        <w:rPr>
          <w:rFonts w:ascii="Arial" w:hAnsi="Arial" w:cs="Arial"/>
          <w:bCs/>
          <w:sz w:val="22"/>
          <w:szCs w:val="22"/>
          <w:lang w:val="fr-FR"/>
        </w:rPr>
        <w:t>’</w:t>
      </w:r>
      <w:r w:rsidRPr="00A271BE">
        <w:rPr>
          <w:rFonts w:ascii="Arial" w:hAnsi="Arial" w:cs="Arial"/>
          <w:bCs/>
          <w:sz w:val="22"/>
          <w:szCs w:val="22"/>
          <w:lang w:val="fr-FR"/>
        </w:rPr>
        <w:t>instant, les réunions hybrides avaient été nommées ainsi pour les organes directeurs des réunions statutaires, mais peu de réunions à l</w:t>
      </w:r>
      <w:r w:rsidR="008E532B">
        <w:rPr>
          <w:rFonts w:ascii="Arial" w:hAnsi="Arial" w:cs="Arial"/>
          <w:bCs/>
          <w:sz w:val="22"/>
          <w:szCs w:val="22"/>
          <w:lang w:val="fr-FR"/>
        </w:rPr>
        <w:t>’</w:t>
      </w:r>
      <w:r w:rsidRPr="00A271BE">
        <w:rPr>
          <w:rFonts w:ascii="Arial" w:hAnsi="Arial" w:cs="Arial"/>
          <w:bCs/>
          <w:sz w:val="22"/>
          <w:szCs w:val="22"/>
          <w:lang w:val="fr-FR"/>
        </w:rPr>
        <w:t xml:space="preserve">UNESCO avaient été purement hybrides, </w:t>
      </w:r>
      <w:r>
        <w:rPr>
          <w:rFonts w:ascii="Arial" w:hAnsi="Arial" w:cs="Arial"/>
          <w:bCs/>
          <w:sz w:val="22"/>
          <w:szCs w:val="22"/>
          <w:lang w:val="fr-FR"/>
        </w:rPr>
        <w:t xml:space="preserve">c.-à-d. </w:t>
      </w:r>
      <w:r w:rsidRPr="00A271BE">
        <w:rPr>
          <w:rFonts w:ascii="Arial" w:hAnsi="Arial" w:cs="Arial"/>
          <w:bCs/>
          <w:sz w:val="22"/>
          <w:szCs w:val="22"/>
          <w:lang w:val="fr-FR"/>
        </w:rPr>
        <w:t>une délégation pouvait décider d</w:t>
      </w:r>
      <w:r w:rsidR="008E532B">
        <w:rPr>
          <w:rFonts w:ascii="Arial" w:hAnsi="Arial" w:cs="Arial"/>
          <w:bCs/>
          <w:sz w:val="22"/>
          <w:szCs w:val="22"/>
          <w:lang w:val="fr-FR"/>
        </w:rPr>
        <w:t>’</w:t>
      </w:r>
      <w:r w:rsidRPr="00A271BE">
        <w:rPr>
          <w:rFonts w:ascii="Arial" w:hAnsi="Arial" w:cs="Arial"/>
          <w:bCs/>
          <w:sz w:val="22"/>
          <w:szCs w:val="22"/>
          <w:lang w:val="fr-FR"/>
        </w:rPr>
        <w:t xml:space="preserve">être en ligne ou </w:t>
      </w:r>
      <w:r>
        <w:rPr>
          <w:rFonts w:ascii="Arial" w:hAnsi="Arial" w:cs="Arial"/>
          <w:bCs/>
          <w:sz w:val="22"/>
          <w:szCs w:val="22"/>
          <w:lang w:val="fr-FR"/>
        </w:rPr>
        <w:t>en présentiel</w:t>
      </w:r>
      <w:r w:rsidRPr="00A271BE">
        <w:rPr>
          <w:rFonts w:ascii="Arial" w:hAnsi="Arial" w:cs="Arial"/>
          <w:bCs/>
          <w:sz w:val="22"/>
          <w:szCs w:val="22"/>
          <w:lang w:val="fr-FR"/>
        </w:rPr>
        <w:t>. En effet, cela avait posé des problèmes. Par exemple, dans le cadre de la Convention de 1970, une réunion qui s</w:t>
      </w:r>
      <w:r>
        <w:rPr>
          <w:rFonts w:ascii="Arial" w:hAnsi="Arial" w:cs="Arial"/>
          <w:bCs/>
          <w:sz w:val="22"/>
          <w:szCs w:val="22"/>
          <w:lang w:val="fr-FR"/>
        </w:rPr>
        <w:t>e</w:t>
      </w:r>
      <w:r w:rsidRPr="00A271BE">
        <w:rPr>
          <w:rFonts w:ascii="Arial" w:hAnsi="Arial" w:cs="Arial"/>
          <w:bCs/>
          <w:sz w:val="22"/>
          <w:szCs w:val="22"/>
          <w:lang w:val="fr-FR"/>
        </w:rPr>
        <w:t xml:space="preserve"> ten</w:t>
      </w:r>
      <w:r>
        <w:rPr>
          <w:rFonts w:ascii="Arial" w:hAnsi="Arial" w:cs="Arial"/>
          <w:bCs/>
          <w:sz w:val="22"/>
          <w:szCs w:val="22"/>
          <w:lang w:val="fr-FR"/>
        </w:rPr>
        <w:t>ait</w:t>
      </w:r>
      <w:r w:rsidRPr="00A271BE">
        <w:rPr>
          <w:rFonts w:ascii="Arial" w:hAnsi="Arial" w:cs="Arial"/>
          <w:bCs/>
          <w:sz w:val="22"/>
          <w:szCs w:val="22"/>
          <w:lang w:val="fr-FR"/>
        </w:rPr>
        <w:t xml:space="preserve"> dans un format hybride a</w:t>
      </w:r>
      <w:r>
        <w:rPr>
          <w:rFonts w:ascii="Arial" w:hAnsi="Arial" w:cs="Arial"/>
          <w:bCs/>
          <w:sz w:val="22"/>
          <w:szCs w:val="22"/>
          <w:lang w:val="fr-FR"/>
        </w:rPr>
        <w:t>vait</w:t>
      </w:r>
      <w:r w:rsidRPr="00A271BE">
        <w:rPr>
          <w:rFonts w:ascii="Arial" w:hAnsi="Arial" w:cs="Arial"/>
          <w:bCs/>
          <w:sz w:val="22"/>
          <w:szCs w:val="22"/>
          <w:lang w:val="fr-FR"/>
        </w:rPr>
        <w:t xml:space="preserve"> posé d</w:t>
      </w:r>
      <w:r w:rsidR="008E532B">
        <w:rPr>
          <w:rFonts w:ascii="Arial" w:hAnsi="Arial" w:cs="Arial"/>
          <w:bCs/>
          <w:sz w:val="22"/>
          <w:szCs w:val="22"/>
          <w:lang w:val="fr-FR"/>
        </w:rPr>
        <w:t>’</w:t>
      </w:r>
      <w:r w:rsidRPr="00A271BE">
        <w:rPr>
          <w:rFonts w:ascii="Arial" w:hAnsi="Arial" w:cs="Arial"/>
          <w:bCs/>
          <w:sz w:val="22"/>
          <w:szCs w:val="22"/>
          <w:lang w:val="fr-FR"/>
        </w:rPr>
        <w:t>importants problèmes, ce qui a</w:t>
      </w:r>
      <w:r>
        <w:rPr>
          <w:rFonts w:ascii="Arial" w:hAnsi="Arial" w:cs="Arial"/>
          <w:bCs/>
          <w:sz w:val="22"/>
          <w:szCs w:val="22"/>
          <w:lang w:val="fr-FR"/>
        </w:rPr>
        <w:t>vait</w:t>
      </w:r>
      <w:r w:rsidRPr="00A271BE">
        <w:rPr>
          <w:rFonts w:ascii="Arial" w:hAnsi="Arial" w:cs="Arial"/>
          <w:bCs/>
          <w:sz w:val="22"/>
          <w:szCs w:val="22"/>
          <w:lang w:val="fr-FR"/>
        </w:rPr>
        <w:t xml:space="preserve"> entraîné un long débat. C</w:t>
      </w:r>
      <w:r w:rsidR="008E532B">
        <w:rPr>
          <w:rFonts w:ascii="Arial" w:hAnsi="Arial" w:cs="Arial"/>
          <w:bCs/>
          <w:sz w:val="22"/>
          <w:szCs w:val="22"/>
          <w:lang w:val="fr-FR"/>
        </w:rPr>
        <w:t>’</w:t>
      </w:r>
      <w:r>
        <w:rPr>
          <w:rFonts w:ascii="Arial" w:hAnsi="Arial" w:cs="Arial"/>
          <w:bCs/>
          <w:sz w:val="22"/>
          <w:szCs w:val="22"/>
          <w:lang w:val="fr-FR"/>
        </w:rPr>
        <w:t xml:space="preserve">est </w:t>
      </w:r>
      <w:r w:rsidRPr="00A271BE">
        <w:rPr>
          <w:rFonts w:ascii="Arial" w:hAnsi="Arial" w:cs="Arial"/>
          <w:bCs/>
          <w:sz w:val="22"/>
          <w:szCs w:val="22"/>
          <w:lang w:val="fr-FR"/>
        </w:rPr>
        <w:t>la raison pour laquelle</w:t>
      </w:r>
      <w:r>
        <w:rPr>
          <w:rFonts w:ascii="Arial" w:hAnsi="Arial" w:cs="Arial"/>
          <w:bCs/>
          <w:sz w:val="22"/>
          <w:szCs w:val="22"/>
          <w:lang w:val="fr-FR"/>
        </w:rPr>
        <w:t xml:space="preserve"> cela </w:t>
      </w:r>
      <w:r w:rsidRPr="00A271BE">
        <w:rPr>
          <w:rFonts w:ascii="Arial" w:hAnsi="Arial" w:cs="Arial"/>
          <w:bCs/>
          <w:sz w:val="22"/>
          <w:szCs w:val="22"/>
          <w:lang w:val="fr-FR"/>
        </w:rPr>
        <w:t>n</w:t>
      </w:r>
      <w:r w:rsidR="008E532B">
        <w:rPr>
          <w:rFonts w:ascii="Arial" w:hAnsi="Arial" w:cs="Arial"/>
          <w:bCs/>
          <w:sz w:val="22"/>
          <w:szCs w:val="22"/>
          <w:lang w:val="fr-FR"/>
        </w:rPr>
        <w:t>’</w:t>
      </w:r>
      <w:r w:rsidRPr="00A271BE">
        <w:rPr>
          <w:rFonts w:ascii="Arial" w:hAnsi="Arial" w:cs="Arial"/>
          <w:bCs/>
          <w:sz w:val="22"/>
          <w:szCs w:val="22"/>
          <w:lang w:val="fr-FR"/>
        </w:rPr>
        <w:t>a</w:t>
      </w:r>
      <w:r>
        <w:rPr>
          <w:rFonts w:ascii="Arial" w:hAnsi="Arial" w:cs="Arial"/>
          <w:bCs/>
          <w:sz w:val="22"/>
          <w:szCs w:val="22"/>
          <w:lang w:val="fr-FR"/>
        </w:rPr>
        <w:t>vait</w:t>
      </w:r>
      <w:r w:rsidRPr="00A271BE">
        <w:rPr>
          <w:rFonts w:ascii="Arial" w:hAnsi="Arial" w:cs="Arial"/>
          <w:bCs/>
          <w:sz w:val="22"/>
          <w:szCs w:val="22"/>
          <w:lang w:val="fr-FR"/>
        </w:rPr>
        <w:t xml:space="preserve"> pas été proposé dans le </w:t>
      </w:r>
      <w:r>
        <w:rPr>
          <w:rFonts w:ascii="Arial" w:hAnsi="Arial" w:cs="Arial"/>
          <w:bCs/>
          <w:sz w:val="22"/>
          <w:szCs w:val="22"/>
          <w:lang w:val="fr-FR"/>
        </w:rPr>
        <w:t>Règlement modèle.</w:t>
      </w:r>
    </w:p>
    <w:p w14:paraId="384C3FE8" w14:textId="0EA9681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87970">
        <w:rPr>
          <w:rFonts w:ascii="Arial" w:hAnsi="Arial" w:cs="Arial"/>
          <w:bCs/>
          <w:sz w:val="22"/>
          <w:szCs w:val="22"/>
          <w:lang w:val="fr-FR"/>
        </w:rPr>
        <w:t xml:space="preserve">Le </w:t>
      </w:r>
      <w:r w:rsidRPr="00A87970">
        <w:rPr>
          <w:rFonts w:ascii="Arial" w:hAnsi="Arial" w:cs="Arial"/>
          <w:b/>
          <w:sz w:val="22"/>
          <w:szCs w:val="22"/>
          <w:lang w:val="fr-FR"/>
        </w:rPr>
        <w:t>Conseiller juridique</w:t>
      </w:r>
      <w:r w:rsidRPr="00A87970">
        <w:rPr>
          <w:rFonts w:ascii="Arial" w:hAnsi="Arial" w:cs="Arial"/>
          <w:bCs/>
          <w:sz w:val="22"/>
          <w:szCs w:val="22"/>
          <w:lang w:val="fr-FR"/>
        </w:rPr>
        <w:t xml:space="preserve"> </w:t>
      </w:r>
      <w:r>
        <w:rPr>
          <w:rFonts w:ascii="Arial" w:hAnsi="Arial" w:cs="Arial"/>
          <w:bCs/>
          <w:sz w:val="22"/>
          <w:szCs w:val="22"/>
          <w:lang w:val="fr-FR"/>
        </w:rPr>
        <w:t xml:space="preserve">est passé à </w:t>
      </w:r>
      <w:r w:rsidRPr="00A87970">
        <w:rPr>
          <w:rFonts w:ascii="Arial" w:hAnsi="Arial" w:cs="Arial"/>
          <w:bCs/>
          <w:sz w:val="22"/>
          <w:szCs w:val="22"/>
          <w:lang w:val="fr-FR"/>
        </w:rPr>
        <w:t>la question de la Grenade concernant l</w:t>
      </w:r>
      <w:r w:rsidR="008E532B">
        <w:rPr>
          <w:rFonts w:ascii="Arial" w:hAnsi="Arial" w:cs="Arial"/>
          <w:bCs/>
          <w:sz w:val="22"/>
          <w:szCs w:val="22"/>
          <w:lang w:val="fr-FR"/>
        </w:rPr>
        <w:t>’</w:t>
      </w:r>
      <w:r w:rsidRPr="00A87970">
        <w:rPr>
          <w:rFonts w:ascii="Arial" w:hAnsi="Arial" w:cs="Arial"/>
          <w:bCs/>
          <w:sz w:val="22"/>
          <w:szCs w:val="22"/>
          <w:lang w:val="fr-FR"/>
        </w:rPr>
        <w:t>article 40 et la raison pour laquelle l</w:t>
      </w:r>
      <w:r w:rsidR="008E532B">
        <w:rPr>
          <w:rFonts w:ascii="Arial" w:hAnsi="Arial" w:cs="Arial"/>
          <w:bCs/>
          <w:sz w:val="22"/>
          <w:szCs w:val="22"/>
          <w:lang w:val="fr-FR"/>
        </w:rPr>
        <w:t>’</w:t>
      </w:r>
      <w:r w:rsidRPr="00A87970">
        <w:rPr>
          <w:rFonts w:ascii="Arial" w:hAnsi="Arial" w:cs="Arial"/>
          <w:bCs/>
          <w:sz w:val="22"/>
          <w:szCs w:val="22"/>
          <w:lang w:val="fr-FR"/>
        </w:rPr>
        <w:t xml:space="preserve">expression </w:t>
      </w:r>
      <w:r>
        <w:rPr>
          <w:rFonts w:ascii="Arial" w:hAnsi="Arial" w:cs="Arial"/>
          <w:bCs/>
          <w:sz w:val="22"/>
          <w:szCs w:val="22"/>
          <w:lang w:val="fr-FR"/>
        </w:rPr>
        <w:t>« </w:t>
      </w:r>
      <w:r w:rsidRPr="00A87970">
        <w:rPr>
          <w:rFonts w:ascii="Arial" w:hAnsi="Arial" w:cs="Arial"/>
          <w:bCs/>
          <w:sz w:val="22"/>
          <w:szCs w:val="22"/>
          <w:lang w:val="fr-FR"/>
        </w:rPr>
        <w:t>en séance plénière</w:t>
      </w:r>
      <w:r>
        <w:rPr>
          <w:rFonts w:ascii="Arial" w:hAnsi="Arial" w:cs="Arial"/>
          <w:bCs/>
          <w:sz w:val="22"/>
          <w:szCs w:val="22"/>
          <w:lang w:val="fr-FR"/>
        </w:rPr>
        <w:t> »</w:t>
      </w:r>
      <w:r w:rsidRPr="00A87970">
        <w:rPr>
          <w:rFonts w:ascii="Arial" w:hAnsi="Arial" w:cs="Arial"/>
          <w:bCs/>
          <w:sz w:val="22"/>
          <w:szCs w:val="22"/>
          <w:lang w:val="fr-FR"/>
        </w:rPr>
        <w:t xml:space="preserve"> a</w:t>
      </w:r>
      <w:r>
        <w:rPr>
          <w:rFonts w:ascii="Arial" w:hAnsi="Arial" w:cs="Arial"/>
          <w:bCs/>
          <w:sz w:val="22"/>
          <w:szCs w:val="22"/>
          <w:lang w:val="fr-FR"/>
        </w:rPr>
        <w:t>vait</w:t>
      </w:r>
      <w:r w:rsidRPr="00A87970">
        <w:rPr>
          <w:rFonts w:ascii="Arial" w:hAnsi="Arial" w:cs="Arial"/>
          <w:bCs/>
          <w:sz w:val="22"/>
          <w:szCs w:val="22"/>
          <w:lang w:val="fr-FR"/>
        </w:rPr>
        <w:t xml:space="preserve"> été supprimée. Il a expliqué qu</w:t>
      </w:r>
      <w:r w:rsidR="008E532B">
        <w:rPr>
          <w:rFonts w:ascii="Arial" w:hAnsi="Arial" w:cs="Arial"/>
          <w:bCs/>
          <w:sz w:val="22"/>
          <w:szCs w:val="22"/>
          <w:lang w:val="fr-FR"/>
        </w:rPr>
        <w:t>’</w:t>
      </w:r>
      <w:r w:rsidRPr="00A87970">
        <w:rPr>
          <w:rFonts w:ascii="Arial" w:hAnsi="Arial" w:cs="Arial"/>
          <w:bCs/>
          <w:sz w:val="22"/>
          <w:szCs w:val="22"/>
          <w:lang w:val="fr-FR"/>
        </w:rPr>
        <w:t>il s</w:t>
      </w:r>
      <w:r w:rsidR="008E532B">
        <w:rPr>
          <w:rFonts w:ascii="Arial" w:hAnsi="Arial" w:cs="Arial"/>
          <w:bCs/>
          <w:sz w:val="22"/>
          <w:szCs w:val="22"/>
          <w:lang w:val="fr-FR"/>
        </w:rPr>
        <w:t>’</w:t>
      </w:r>
      <w:r w:rsidRPr="00A87970">
        <w:rPr>
          <w:rFonts w:ascii="Arial" w:hAnsi="Arial" w:cs="Arial"/>
          <w:bCs/>
          <w:sz w:val="22"/>
          <w:szCs w:val="22"/>
          <w:lang w:val="fr-FR"/>
        </w:rPr>
        <w:t>agissait de faire preuve de plus de souplesse, car l</w:t>
      </w:r>
      <w:r w:rsidR="008E532B">
        <w:rPr>
          <w:rFonts w:ascii="Arial" w:hAnsi="Arial" w:cs="Arial"/>
          <w:bCs/>
          <w:sz w:val="22"/>
          <w:szCs w:val="22"/>
          <w:lang w:val="fr-FR"/>
        </w:rPr>
        <w:t>’</w:t>
      </w:r>
      <w:r w:rsidRPr="00A87970">
        <w:rPr>
          <w:rFonts w:ascii="Arial" w:hAnsi="Arial" w:cs="Arial"/>
          <w:bCs/>
          <w:sz w:val="22"/>
          <w:szCs w:val="22"/>
          <w:lang w:val="fr-FR"/>
        </w:rPr>
        <w:t xml:space="preserve">exigence </w:t>
      </w:r>
      <w:r>
        <w:rPr>
          <w:rFonts w:ascii="Arial" w:hAnsi="Arial" w:cs="Arial"/>
          <w:bCs/>
          <w:sz w:val="22"/>
          <w:szCs w:val="22"/>
          <w:lang w:val="fr-FR"/>
        </w:rPr>
        <w:t>« </w:t>
      </w:r>
      <w:r w:rsidRPr="00A87970">
        <w:rPr>
          <w:rFonts w:ascii="Arial" w:hAnsi="Arial" w:cs="Arial"/>
          <w:bCs/>
          <w:sz w:val="22"/>
          <w:szCs w:val="22"/>
          <w:lang w:val="fr-FR"/>
        </w:rPr>
        <w:t>en séance plénière</w:t>
      </w:r>
      <w:r>
        <w:rPr>
          <w:rFonts w:ascii="Arial" w:hAnsi="Arial" w:cs="Arial"/>
          <w:bCs/>
          <w:sz w:val="22"/>
          <w:szCs w:val="22"/>
          <w:lang w:val="fr-FR"/>
        </w:rPr>
        <w:t> »</w:t>
      </w:r>
      <w:r w:rsidRPr="00A87970">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était</w:t>
      </w:r>
      <w:r w:rsidRPr="00A87970">
        <w:rPr>
          <w:rFonts w:ascii="Arial" w:hAnsi="Arial" w:cs="Arial"/>
          <w:bCs/>
          <w:sz w:val="22"/>
          <w:szCs w:val="22"/>
          <w:lang w:val="fr-FR"/>
        </w:rPr>
        <w:t xml:space="preserve"> pas réellement requise, comme l</w:t>
      </w:r>
      <w:r w:rsidR="008E532B">
        <w:rPr>
          <w:rFonts w:ascii="Arial" w:hAnsi="Arial" w:cs="Arial"/>
          <w:bCs/>
          <w:sz w:val="22"/>
          <w:szCs w:val="22"/>
          <w:lang w:val="fr-FR"/>
        </w:rPr>
        <w:t>’</w:t>
      </w:r>
      <w:r w:rsidRPr="00A87970">
        <w:rPr>
          <w:rFonts w:ascii="Arial" w:hAnsi="Arial" w:cs="Arial"/>
          <w:bCs/>
          <w:sz w:val="22"/>
          <w:szCs w:val="22"/>
          <w:lang w:val="fr-FR"/>
        </w:rPr>
        <w:t>expliqu</w:t>
      </w:r>
      <w:r>
        <w:rPr>
          <w:rFonts w:ascii="Arial" w:hAnsi="Arial" w:cs="Arial"/>
          <w:bCs/>
          <w:sz w:val="22"/>
          <w:szCs w:val="22"/>
          <w:lang w:val="fr-FR"/>
        </w:rPr>
        <w:t>ait</w:t>
      </w:r>
      <w:r w:rsidRPr="00A87970">
        <w:rPr>
          <w:rFonts w:ascii="Arial" w:hAnsi="Arial" w:cs="Arial"/>
          <w:bCs/>
          <w:sz w:val="22"/>
          <w:szCs w:val="22"/>
          <w:lang w:val="fr-FR"/>
        </w:rPr>
        <w:t xml:space="preserve"> le commentaire où il </w:t>
      </w:r>
      <w:r>
        <w:rPr>
          <w:rFonts w:ascii="Arial" w:hAnsi="Arial" w:cs="Arial"/>
          <w:bCs/>
          <w:sz w:val="22"/>
          <w:szCs w:val="22"/>
          <w:lang w:val="fr-FR"/>
        </w:rPr>
        <w:t>était</w:t>
      </w:r>
      <w:r w:rsidRPr="00A87970">
        <w:rPr>
          <w:rFonts w:ascii="Arial" w:hAnsi="Arial" w:cs="Arial"/>
          <w:bCs/>
          <w:sz w:val="22"/>
          <w:szCs w:val="22"/>
          <w:lang w:val="fr-FR"/>
        </w:rPr>
        <w:t xml:space="preserve"> noté que certains l</w:t>
      </w:r>
      <w:r w:rsidR="008E532B">
        <w:rPr>
          <w:rFonts w:ascii="Arial" w:hAnsi="Arial" w:cs="Arial"/>
          <w:bCs/>
          <w:sz w:val="22"/>
          <w:szCs w:val="22"/>
          <w:lang w:val="fr-FR"/>
        </w:rPr>
        <w:t>’</w:t>
      </w:r>
      <w:r w:rsidRPr="00A87970">
        <w:rPr>
          <w:rFonts w:ascii="Arial" w:hAnsi="Arial" w:cs="Arial"/>
          <w:bCs/>
          <w:sz w:val="22"/>
          <w:szCs w:val="22"/>
          <w:lang w:val="fr-FR"/>
        </w:rPr>
        <w:t>exige</w:t>
      </w:r>
      <w:r>
        <w:rPr>
          <w:rFonts w:ascii="Arial" w:hAnsi="Arial" w:cs="Arial"/>
          <w:bCs/>
          <w:sz w:val="22"/>
          <w:szCs w:val="22"/>
          <w:lang w:val="fr-FR"/>
        </w:rPr>
        <w:t>aie</w:t>
      </w:r>
      <w:r w:rsidRPr="00A87970">
        <w:rPr>
          <w:rFonts w:ascii="Arial" w:hAnsi="Arial" w:cs="Arial"/>
          <w:bCs/>
          <w:sz w:val="22"/>
          <w:szCs w:val="22"/>
          <w:lang w:val="fr-FR"/>
        </w:rPr>
        <w:t>nt et d</w:t>
      </w:r>
      <w:r w:rsidR="008E532B">
        <w:rPr>
          <w:rFonts w:ascii="Arial" w:hAnsi="Arial" w:cs="Arial"/>
          <w:bCs/>
          <w:sz w:val="22"/>
          <w:szCs w:val="22"/>
          <w:lang w:val="fr-FR"/>
        </w:rPr>
        <w:t>’</w:t>
      </w:r>
      <w:r w:rsidRPr="00A87970">
        <w:rPr>
          <w:rFonts w:ascii="Arial" w:hAnsi="Arial" w:cs="Arial"/>
          <w:bCs/>
          <w:sz w:val="22"/>
          <w:szCs w:val="22"/>
          <w:lang w:val="fr-FR"/>
        </w:rPr>
        <w:t xml:space="preserve">autres non. En incluant </w:t>
      </w:r>
      <w:r>
        <w:rPr>
          <w:rFonts w:ascii="Arial" w:hAnsi="Arial" w:cs="Arial"/>
          <w:bCs/>
          <w:sz w:val="22"/>
          <w:szCs w:val="22"/>
          <w:lang w:val="fr-FR"/>
        </w:rPr>
        <w:t>« </w:t>
      </w:r>
      <w:r w:rsidRPr="00A87970">
        <w:rPr>
          <w:rFonts w:ascii="Arial" w:hAnsi="Arial" w:cs="Arial"/>
          <w:bCs/>
          <w:sz w:val="22"/>
          <w:szCs w:val="22"/>
          <w:lang w:val="fr-FR"/>
        </w:rPr>
        <w:t>en séance plénière</w:t>
      </w:r>
      <w:r>
        <w:rPr>
          <w:rFonts w:ascii="Arial" w:hAnsi="Arial" w:cs="Arial"/>
          <w:bCs/>
          <w:sz w:val="22"/>
          <w:szCs w:val="22"/>
          <w:lang w:val="fr-FR"/>
        </w:rPr>
        <w:t> »</w:t>
      </w:r>
      <w:r w:rsidRPr="00A87970">
        <w:rPr>
          <w:rFonts w:ascii="Arial" w:hAnsi="Arial" w:cs="Arial"/>
          <w:bCs/>
          <w:sz w:val="22"/>
          <w:szCs w:val="22"/>
          <w:lang w:val="fr-FR"/>
        </w:rPr>
        <w:t>, cela signifi</w:t>
      </w:r>
      <w:r>
        <w:rPr>
          <w:rFonts w:ascii="Arial" w:hAnsi="Arial" w:cs="Arial"/>
          <w:bCs/>
          <w:sz w:val="22"/>
          <w:szCs w:val="22"/>
          <w:lang w:val="fr-FR"/>
        </w:rPr>
        <w:t>erait</w:t>
      </w:r>
      <w:r w:rsidRPr="00A87970">
        <w:rPr>
          <w:rFonts w:ascii="Arial" w:hAnsi="Arial" w:cs="Arial"/>
          <w:bCs/>
          <w:sz w:val="22"/>
          <w:szCs w:val="22"/>
          <w:lang w:val="fr-FR"/>
        </w:rPr>
        <w:t xml:space="preserve"> que pour la suspension du Règlement, l</w:t>
      </w:r>
      <w:r w:rsidR="008E532B">
        <w:rPr>
          <w:rFonts w:ascii="Arial" w:hAnsi="Arial" w:cs="Arial"/>
          <w:bCs/>
          <w:sz w:val="22"/>
          <w:szCs w:val="22"/>
          <w:lang w:val="fr-FR"/>
        </w:rPr>
        <w:t>’</w:t>
      </w:r>
      <w:r w:rsidRPr="00A87970">
        <w:rPr>
          <w:rFonts w:ascii="Arial" w:hAnsi="Arial" w:cs="Arial"/>
          <w:bCs/>
          <w:sz w:val="22"/>
          <w:szCs w:val="22"/>
          <w:lang w:val="fr-FR"/>
        </w:rPr>
        <w:t>Assemblée d</w:t>
      </w:r>
      <w:r>
        <w:rPr>
          <w:rFonts w:ascii="Arial" w:hAnsi="Arial" w:cs="Arial"/>
          <w:bCs/>
          <w:sz w:val="22"/>
          <w:szCs w:val="22"/>
          <w:lang w:val="fr-FR"/>
        </w:rPr>
        <w:t xml:space="preserve">evrait </w:t>
      </w:r>
      <w:r w:rsidRPr="00A87970">
        <w:rPr>
          <w:rFonts w:ascii="Arial" w:hAnsi="Arial" w:cs="Arial"/>
          <w:bCs/>
          <w:sz w:val="22"/>
          <w:szCs w:val="22"/>
          <w:lang w:val="fr-FR"/>
        </w:rPr>
        <w:t xml:space="preserve">se réunir pour tenir une session. La </w:t>
      </w:r>
      <w:r>
        <w:rPr>
          <w:rFonts w:ascii="Arial" w:hAnsi="Arial" w:cs="Arial"/>
          <w:bCs/>
          <w:sz w:val="22"/>
          <w:szCs w:val="22"/>
          <w:lang w:val="fr-FR"/>
        </w:rPr>
        <w:t>« </w:t>
      </w:r>
      <w:r w:rsidRPr="00A87970">
        <w:rPr>
          <w:rFonts w:ascii="Arial" w:hAnsi="Arial" w:cs="Arial"/>
          <w:bCs/>
          <w:sz w:val="22"/>
          <w:szCs w:val="22"/>
          <w:lang w:val="fr-FR"/>
        </w:rPr>
        <w:t>majorité des deux tiers</w:t>
      </w:r>
      <w:r>
        <w:rPr>
          <w:rFonts w:ascii="Arial" w:hAnsi="Arial" w:cs="Arial"/>
          <w:bCs/>
          <w:sz w:val="22"/>
          <w:szCs w:val="22"/>
          <w:lang w:val="fr-FR"/>
        </w:rPr>
        <w:t xml:space="preserve"> » </w:t>
      </w:r>
      <w:r w:rsidRPr="00A87970">
        <w:rPr>
          <w:rFonts w:ascii="Arial" w:hAnsi="Arial" w:cs="Arial"/>
          <w:bCs/>
          <w:sz w:val="22"/>
          <w:szCs w:val="22"/>
          <w:lang w:val="fr-FR"/>
        </w:rPr>
        <w:t>serait conservée, mais l</w:t>
      </w:r>
      <w:r w:rsidR="008E532B">
        <w:rPr>
          <w:rFonts w:ascii="Arial" w:hAnsi="Arial" w:cs="Arial"/>
          <w:bCs/>
          <w:sz w:val="22"/>
          <w:szCs w:val="22"/>
          <w:lang w:val="fr-FR"/>
        </w:rPr>
        <w:t>’</w:t>
      </w:r>
      <w:r w:rsidRPr="00A87970">
        <w:rPr>
          <w:rFonts w:ascii="Arial" w:hAnsi="Arial" w:cs="Arial"/>
          <w:bCs/>
          <w:sz w:val="22"/>
          <w:szCs w:val="22"/>
          <w:lang w:val="fr-FR"/>
        </w:rPr>
        <w:t>Assemblée devrait se réunir en séance plénière. Le Conseiller juridique a expliqué qu</w:t>
      </w:r>
      <w:r w:rsidR="008E532B">
        <w:rPr>
          <w:rFonts w:ascii="Arial" w:hAnsi="Arial" w:cs="Arial"/>
          <w:bCs/>
          <w:sz w:val="22"/>
          <w:szCs w:val="22"/>
          <w:lang w:val="fr-FR"/>
        </w:rPr>
        <w:t>’</w:t>
      </w:r>
      <w:r w:rsidRPr="00A87970">
        <w:rPr>
          <w:rFonts w:ascii="Arial" w:hAnsi="Arial" w:cs="Arial"/>
          <w:bCs/>
          <w:sz w:val="22"/>
          <w:szCs w:val="22"/>
          <w:lang w:val="fr-FR"/>
        </w:rPr>
        <w:t>il s</w:t>
      </w:r>
      <w:r w:rsidR="008E532B">
        <w:rPr>
          <w:rFonts w:ascii="Arial" w:hAnsi="Arial" w:cs="Arial"/>
          <w:bCs/>
          <w:sz w:val="22"/>
          <w:szCs w:val="22"/>
          <w:lang w:val="fr-FR"/>
        </w:rPr>
        <w:t>’</w:t>
      </w:r>
      <w:r w:rsidRPr="00A87970">
        <w:rPr>
          <w:rFonts w:ascii="Arial" w:hAnsi="Arial" w:cs="Arial"/>
          <w:bCs/>
          <w:sz w:val="22"/>
          <w:szCs w:val="22"/>
          <w:lang w:val="fr-FR"/>
        </w:rPr>
        <w:t>agissait d</w:t>
      </w:r>
      <w:r w:rsidR="008E532B">
        <w:rPr>
          <w:rFonts w:ascii="Arial" w:hAnsi="Arial" w:cs="Arial"/>
          <w:bCs/>
          <w:sz w:val="22"/>
          <w:szCs w:val="22"/>
          <w:lang w:val="fr-FR"/>
        </w:rPr>
        <w:t>’</w:t>
      </w:r>
      <w:r w:rsidRPr="00A87970">
        <w:rPr>
          <w:rFonts w:ascii="Arial" w:hAnsi="Arial" w:cs="Arial"/>
          <w:bCs/>
          <w:sz w:val="22"/>
          <w:szCs w:val="22"/>
          <w:lang w:val="fr-FR"/>
        </w:rPr>
        <w:t>un développement progressif qui avait été ajouté</w:t>
      </w:r>
      <w:r>
        <w:rPr>
          <w:rFonts w:ascii="Arial" w:hAnsi="Arial" w:cs="Arial"/>
          <w:bCs/>
          <w:sz w:val="22"/>
          <w:szCs w:val="22"/>
          <w:lang w:val="fr-FR"/>
        </w:rPr>
        <w:t>, correspondant à d</w:t>
      </w:r>
      <w:r w:rsidR="008E532B">
        <w:rPr>
          <w:rFonts w:ascii="Arial" w:hAnsi="Arial" w:cs="Arial"/>
          <w:bCs/>
          <w:sz w:val="22"/>
          <w:szCs w:val="22"/>
          <w:lang w:val="fr-FR"/>
        </w:rPr>
        <w:t>’</w:t>
      </w:r>
      <w:r w:rsidRPr="00A87970">
        <w:rPr>
          <w:rFonts w:ascii="Arial" w:hAnsi="Arial" w:cs="Arial"/>
          <w:bCs/>
          <w:sz w:val="22"/>
          <w:szCs w:val="22"/>
          <w:lang w:val="fr-FR"/>
        </w:rPr>
        <w:t xml:space="preserve">autres </w:t>
      </w:r>
      <w:r>
        <w:rPr>
          <w:rFonts w:ascii="Arial" w:hAnsi="Arial" w:cs="Arial"/>
          <w:bCs/>
          <w:sz w:val="22"/>
          <w:szCs w:val="22"/>
          <w:lang w:val="fr-FR"/>
        </w:rPr>
        <w:t xml:space="preserve">contextes </w:t>
      </w:r>
      <w:r w:rsidRPr="00A87970">
        <w:rPr>
          <w:rFonts w:ascii="Arial" w:hAnsi="Arial" w:cs="Arial"/>
          <w:bCs/>
          <w:sz w:val="22"/>
          <w:szCs w:val="22"/>
          <w:lang w:val="fr-FR"/>
        </w:rPr>
        <w:t>de l</w:t>
      </w:r>
      <w:r w:rsidR="008E532B">
        <w:rPr>
          <w:rFonts w:ascii="Arial" w:hAnsi="Arial" w:cs="Arial"/>
          <w:bCs/>
          <w:sz w:val="22"/>
          <w:szCs w:val="22"/>
          <w:lang w:val="fr-FR"/>
        </w:rPr>
        <w:t>’</w:t>
      </w:r>
      <w:r w:rsidRPr="00A87970">
        <w:rPr>
          <w:rFonts w:ascii="Arial" w:hAnsi="Arial" w:cs="Arial"/>
          <w:bCs/>
          <w:sz w:val="22"/>
          <w:szCs w:val="22"/>
          <w:lang w:val="fr-FR"/>
        </w:rPr>
        <w:t xml:space="preserve">UNESCO. </w:t>
      </w:r>
      <w:r>
        <w:rPr>
          <w:rFonts w:ascii="Arial" w:hAnsi="Arial" w:cs="Arial"/>
          <w:bCs/>
          <w:sz w:val="22"/>
          <w:szCs w:val="22"/>
          <w:lang w:val="fr-FR"/>
        </w:rPr>
        <w:t>Afin d</w:t>
      </w:r>
      <w:r w:rsidR="008E532B">
        <w:rPr>
          <w:rFonts w:ascii="Arial" w:hAnsi="Arial" w:cs="Arial"/>
          <w:bCs/>
          <w:sz w:val="22"/>
          <w:szCs w:val="22"/>
          <w:lang w:val="fr-FR"/>
        </w:rPr>
        <w:t>’</w:t>
      </w:r>
      <w:r>
        <w:rPr>
          <w:rFonts w:ascii="Arial" w:hAnsi="Arial" w:cs="Arial"/>
          <w:bCs/>
          <w:sz w:val="22"/>
          <w:szCs w:val="22"/>
          <w:lang w:val="fr-FR"/>
        </w:rPr>
        <w:t>être plus explicite</w:t>
      </w:r>
      <w:r w:rsidRPr="00A87970">
        <w:rPr>
          <w:rFonts w:ascii="Arial" w:hAnsi="Arial" w:cs="Arial"/>
          <w:bCs/>
          <w:sz w:val="22"/>
          <w:szCs w:val="22"/>
          <w:lang w:val="fr-FR"/>
        </w:rPr>
        <w:t xml:space="preserve">, le </w:t>
      </w:r>
      <w:r>
        <w:rPr>
          <w:rFonts w:ascii="Arial" w:hAnsi="Arial" w:cs="Arial"/>
          <w:bCs/>
          <w:sz w:val="22"/>
          <w:szCs w:val="22"/>
          <w:lang w:val="fr-FR"/>
        </w:rPr>
        <w:t>C</w:t>
      </w:r>
      <w:r w:rsidRPr="00A87970">
        <w:rPr>
          <w:rFonts w:ascii="Arial" w:hAnsi="Arial" w:cs="Arial"/>
          <w:bCs/>
          <w:sz w:val="22"/>
          <w:szCs w:val="22"/>
          <w:lang w:val="fr-FR"/>
        </w:rPr>
        <w:t xml:space="preserve">onseiller juridique a donné un exemple de cas où il pourrait être utile de supprimer </w:t>
      </w:r>
      <w:r>
        <w:rPr>
          <w:rFonts w:ascii="Arial" w:hAnsi="Arial" w:cs="Arial"/>
          <w:bCs/>
          <w:sz w:val="22"/>
          <w:szCs w:val="22"/>
          <w:lang w:val="fr-FR"/>
        </w:rPr>
        <w:t>« </w:t>
      </w:r>
      <w:r w:rsidRPr="00A87970">
        <w:rPr>
          <w:rFonts w:ascii="Arial" w:hAnsi="Arial" w:cs="Arial"/>
          <w:bCs/>
          <w:sz w:val="22"/>
          <w:szCs w:val="22"/>
          <w:lang w:val="fr-FR"/>
        </w:rPr>
        <w:t>en séance plénière</w:t>
      </w:r>
      <w:r>
        <w:rPr>
          <w:rFonts w:ascii="Arial" w:hAnsi="Arial" w:cs="Arial"/>
          <w:bCs/>
          <w:sz w:val="22"/>
          <w:szCs w:val="22"/>
          <w:lang w:val="fr-FR"/>
        </w:rPr>
        <w:t> »</w:t>
      </w:r>
      <w:r w:rsidRPr="00A87970">
        <w:rPr>
          <w:rFonts w:ascii="Arial" w:hAnsi="Arial" w:cs="Arial"/>
          <w:bCs/>
          <w:sz w:val="22"/>
          <w:szCs w:val="22"/>
          <w:lang w:val="fr-FR"/>
        </w:rPr>
        <w:t>. Par exemple, si l</w:t>
      </w:r>
      <w:r w:rsidR="008E532B">
        <w:rPr>
          <w:rFonts w:ascii="Arial" w:hAnsi="Arial" w:cs="Arial"/>
          <w:bCs/>
          <w:sz w:val="22"/>
          <w:szCs w:val="22"/>
          <w:lang w:val="fr-FR"/>
        </w:rPr>
        <w:t>’</w:t>
      </w:r>
      <w:r w:rsidRPr="00A87970">
        <w:rPr>
          <w:rFonts w:ascii="Arial" w:hAnsi="Arial" w:cs="Arial"/>
          <w:bCs/>
          <w:sz w:val="22"/>
          <w:szCs w:val="22"/>
          <w:lang w:val="fr-FR"/>
        </w:rPr>
        <w:t>Assemblée devait se réunir en ligne en raison d</w:t>
      </w:r>
      <w:r w:rsidR="008E532B">
        <w:rPr>
          <w:rFonts w:ascii="Arial" w:hAnsi="Arial" w:cs="Arial"/>
          <w:bCs/>
          <w:sz w:val="22"/>
          <w:szCs w:val="22"/>
          <w:lang w:val="fr-FR"/>
        </w:rPr>
        <w:t>’</w:t>
      </w:r>
      <w:r w:rsidRPr="00A87970">
        <w:rPr>
          <w:rFonts w:ascii="Arial" w:hAnsi="Arial" w:cs="Arial"/>
          <w:bCs/>
          <w:sz w:val="22"/>
          <w:szCs w:val="22"/>
          <w:lang w:val="fr-FR"/>
        </w:rPr>
        <w:t>une pandémie et que, pour une raison quelconque, l</w:t>
      </w:r>
      <w:r w:rsidR="008E532B">
        <w:rPr>
          <w:rFonts w:ascii="Arial" w:hAnsi="Arial" w:cs="Arial"/>
          <w:bCs/>
          <w:sz w:val="22"/>
          <w:szCs w:val="22"/>
          <w:lang w:val="fr-FR"/>
        </w:rPr>
        <w:t>’</w:t>
      </w:r>
      <w:r w:rsidRPr="00A87970">
        <w:rPr>
          <w:rFonts w:ascii="Arial" w:hAnsi="Arial" w:cs="Arial"/>
          <w:bCs/>
          <w:sz w:val="22"/>
          <w:szCs w:val="22"/>
          <w:lang w:val="fr-FR"/>
        </w:rPr>
        <w:t>interprétation dans les six langues n</w:t>
      </w:r>
      <w:r w:rsidR="008E532B">
        <w:rPr>
          <w:rFonts w:ascii="Arial" w:hAnsi="Arial" w:cs="Arial"/>
          <w:bCs/>
          <w:sz w:val="22"/>
          <w:szCs w:val="22"/>
          <w:lang w:val="fr-FR"/>
        </w:rPr>
        <w:t>’</w:t>
      </w:r>
      <w:r w:rsidRPr="00A87970">
        <w:rPr>
          <w:rFonts w:ascii="Arial" w:hAnsi="Arial" w:cs="Arial"/>
          <w:bCs/>
          <w:sz w:val="22"/>
          <w:szCs w:val="22"/>
          <w:lang w:val="fr-FR"/>
        </w:rPr>
        <w:t>était pas disponible en ligne (ce qui s</w:t>
      </w:r>
      <w:r w:rsidR="008E532B">
        <w:rPr>
          <w:rFonts w:ascii="Arial" w:hAnsi="Arial" w:cs="Arial"/>
          <w:bCs/>
          <w:sz w:val="22"/>
          <w:szCs w:val="22"/>
          <w:lang w:val="fr-FR"/>
        </w:rPr>
        <w:t>’</w:t>
      </w:r>
      <w:r>
        <w:rPr>
          <w:rFonts w:ascii="Arial" w:hAnsi="Arial" w:cs="Arial"/>
          <w:bCs/>
          <w:sz w:val="22"/>
          <w:szCs w:val="22"/>
          <w:lang w:val="fr-FR"/>
        </w:rPr>
        <w:t xml:space="preserve">était </w:t>
      </w:r>
      <w:r w:rsidRPr="00A87970">
        <w:rPr>
          <w:rFonts w:ascii="Arial" w:hAnsi="Arial" w:cs="Arial"/>
          <w:bCs/>
          <w:sz w:val="22"/>
          <w:szCs w:val="22"/>
          <w:lang w:val="fr-FR"/>
        </w:rPr>
        <w:t>produit dans le passé), alors pour se réunir en ligne, l</w:t>
      </w:r>
      <w:r w:rsidR="008E532B">
        <w:rPr>
          <w:rFonts w:ascii="Arial" w:hAnsi="Arial" w:cs="Arial"/>
          <w:bCs/>
          <w:sz w:val="22"/>
          <w:szCs w:val="22"/>
          <w:lang w:val="fr-FR"/>
        </w:rPr>
        <w:t>’</w:t>
      </w:r>
      <w:r w:rsidRPr="00A87970">
        <w:rPr>
          <w:rFonts w:ascii="Arial" w:hAnsi="Arial" w:cs="Arial"/>
          <w:bCs/>
          <w:sz w:val="22"/>
          <w:szCs w:val="22"/>
          <w:lang w:val="fr-FR"/>
        </w:rPr>
        <w:t>Assemblée devrait suspendre la règle qui stipule qu</w:t>
      </w:r>
      <w:r w:rsidR="008E532B">
        <w:rPr>
          <w:rFonts w:ascii="Arial" w:hAnsi="Arial" w:cs="Arial"/>
          <w:bCs/>
          <w:sz w:val="22"/>
          <w:szCs w:val="22"/>
          <w:lang w:val="fr-FR"/>
        </w:rPr>
        <w:t>’</w:t>
      </w:r>
      <w:r w:rsidRPr="00A87970">
        <w:rPr>
          <w:rFonts w:ascii="Arial" w:hAnsi="Arial" w:cs="Arial"/>
          <w:bCs/>
          <w:sz w:val="22"/>
          <w:szCs w:val="22"/>
          <w:lang w:val="fr-FR"/>
        </w:rPr>
        <w:t>il y a six langues de la Convention. Cependant, la suspension de la règle nécessit</w:t>
      </w:r>
      <w:r>
        <w:rPr>
          <w:rFonts w:ascii="Arial" w:hAnsi="Arial" w:cs="Arial"/>
          <w:bCs/>
          <w:sz w:val="22"/>
          <w:szCs w:val="22"/>
          <w:lang w:val="fr-FR"/>
        </w:rPr>
        <w:t>ait</w:t>
      </w:r>
      <w:r w:rsidRPr="00A87970">
        <w:rPr>
          <w:rFonts w:ascii="Arial" w:hAnsi="Arial" w:cs="Arial"/>
          <w:bCs/>
          <w:sz w:val="22"/>
          <w:szCs w:val="22"/>
          <w:lang w:val="fr-FR"/>
        </w:rPr>
        <w:t xml:space="preserve"> une réunion plénière pour laquelle l</w:t>
      </w:r>
      <w:r w:rsidR="008E532B">
        <w:rPr>
          <w:rFonts w:ascii="Arial" w:hAnsi="Arial" w:cs="Arial"/>
          <w:bCs/>
          <w:sz w:val="22"/>
          <w:szCs w:val="22"/>
          <w:lang w:val="fr-FR"/>
        </w:rPr>
        <w:t>’</w:t>
      </w:r>
      <w:r w:rsidRPr="00A87970">
        <w:rPr>
          <w:rFonts w:ascii="Arial" w:hAnsi="Arial" w:cs="Arial"/>
          <w:bCs/>
          <w:sz w:val="22"/>
          <w:szCs w:val="22"/>
          <w:lang w:val="fr-FR"/>
        </w:rPr>
        <w:t>Assemblée devrait se réunir en ligne pour suspendre la règle que l</w:t>
      </w:r>
      <w:r w:rsidR="008E532B">
        <w:rPr>
          <w:rFonts w:ascii="Arial" w:hAnsi="Arial" w:cs="Arial"/>
          <w:bCs/>
          <w:sz w:val="22"/>
          <w:szCs w:val="22"/>
          <w:lang w:val="fr-FR"/>
        </w:rPr>
        <w:t>’</w:t>
      </w:r>
      <w:r w:rsidRPr="00A87970">
        <w:rPr>
          <w:rFonts w:ascii="Arial" w:hAnsi="Arial" w:cs="Arial"/>
          <w:bCs/>
          <w:sz w:val="22"/>
          <w:szCs w:val="22"/>
          <w:lang w:val="fr-FR"/>
        </w:rPr>
        <w:t>Assemblée suspend</w:t>
      </w:r>
      <w:r>
        <w:rPr>
          <w:rFonts w:ascii="Arial" w:hAnsi="Arial" w:cs="Arial"/>
          <w:bCs/>
          <w:sz w:val="22"/>
          <w:szCs w:val="22"/>
          <w:lang w:val="fr-FR"/>
        </w:rPr>
        <w:t>ait</w:t>
      </w:r>
      <w:r w:rsidRPr="00A87970">
        <w:rPr>
          <w:rFonts w:ascii="Arial" w:hAnsi="Arial" w:cs="Arial"/>
          <w:bCs/>
          <w:sz w:val="22"/>
          <w:szCs w:val="22"/>
          <w:lang w:val="fr-FR"/>
        </w:rPr>
        <w:t xml:space="preserve"> en fait en se réunissant en ligne. En supprimant </w:t>
      </w:r>
      <w:r>
        <w:rPr>
          <w:rFonts w:ascii="Arial" w:hAnsi="Arial" w:cs="Arial"/>
          <w:bCs/>
          <w:sz w:val="22"/>
          <w:szCs w:val="22"/>
          <w:lang w:val="fr-FR"/>
        </w:rPr>
        <w:t>« </w:t>
      </w:r>
      <w:r w:rsidRPr="00A87970">
        <w:rPr>
          <w:rFonts w:ascii="Arial" w:hAnsi="Arial" w:cs="Arial"/>
          <w:bCs/>
          <w:sz w:val="22"/>
          <w:szCs w:val="22"/>
          <w:lang w:val="fr-FR"/>
        </w:rPr>
        <w:t>en séance plénière</w:t>
      </w:r>
      <w:r>
        <w:rPr>
          <w:rFonts w:ascii="Arial" w:hAnsi="Arial" w:cs="Arial"/>
          <w:bCs/>
          <w:sz w:val="22"/>
          <w:szCs w:val="22"/>
          <w:lang w:val="fr-FR"/>
        </w:rPr>
        <w:t> »</w:t>
      </w:r>
      <w:r w:rsidRPr="00A87970">
        <w:rPr>
          <w:rFonts w:ascii="Arial" w:hAnsi="Arial" w:cs="Arial"/>
          <w:bCs/>
          <w:sz w:val="22"/>
          <w:szCs w:val="22"/>
          <w:lang w:val="fr-FR"/>
        </w:rPr>
        <w:t>, l</w:t>
      </w:r>
      <w:r w:rsidR="008E532B">
        <w:rPr>
          <w:rFonts w:ascii="Arial" w:hAnsi="Arial" w:cs="Arial"/>
          <w:bCs/>
          <w:sz w:val="22"/>
          <w:szCs w:val="22"/>
          <w:lang w:val="fr-FR"/>
        </w:rPr>
        <w:t>’</w:t>
      </w:r>
      <w:r w:rsidRPr="00A87970">
        <w:rPr>
          <w:rFonts w:ascii="Arial" w:hAnsi="Arial" w:cs="Arial"/>
          <w:bCs/>
          <w:sz w:val="22"/>
          <w:szCs w:val="22"/>
          <w:lang w:val="fr-FR"/>
        </w:rPr>
        <w:t>Assemblée permettrait ainsi la possibilité, dans un scénario extrême, d</w:t>
      </w:r>
      <w:r w:rsidR="008E532B">
        <w:rPr>
          <w:rFonts w:ascii="Arial" w:hAnsi="Arial" w:cs="Arial"/>
          <w:bCs/>
          <w:sz w:val="22"/>
          <w:szCs w:val="22"/>
          <w:lang w:val="fr-FR"/>
        </w:rPr>
        <w:t>’</w:t>
      </w:r>
      <w:r w:rsidRPr="00A87970">
        <w:rPr>
          <w:rFonts w:ascii="Arial" w:hAnsi="Arial" w:cs="Arial"/>
          <w:bCs/>
          <w:sz w:val="22"/>
          <w:szCs w:val="22"/>
          <w:lang w:val="fr-FR"/>
        </w:rPr>
        <w:t>obtenir une majorité des deux tiers par d</w:t>
      </w:r>
      <w:r w:rsidR="008E532B">
        <w:rPr>
          <w:rFonts w:ascii="Arial" w:hAnsi="Arial" w:cs="Arial"/>
          <w:bCs/>
          <w:sz w:val="22"/>
          <w:szCs w:val="22"/>
          <w:lang w:val="fr-FR"/>
        </w:rPr>
        <w:t>’</w:t>
      </w:r>
      <w:r w:rsidRPr="00A87970">
        <w:rPr>
          <w:rFonts w:ascii="Arial" w:hAnsi="Arial" w:cs="Arial"/>
          <w:bCs/>
          <w:sz w:val="22"/>
          <w:szCs w:val="22"/>
          <w:lang w:val="fr-FR"/>
        </w:rPr>
        <w:t>autres moyens, tels que la consultation par correspondance ou</w:t>
      </w:r>
      <w:r>
        <w:rPr>
          <w:rFonts w:ascii="Arial" w:hAnsi="Arial" w:cs="Arial"/>
          <w:bCs/>
          <w:sz w:val="22"/>
          <w:szCs w:val="22"/>
          <w:lang w:val="fr-FR"/>
        </w:rPr>
        <w:t xml:space="preserve"> quelque chose de semblable</w:t>
      </w:r>
      <w:r w:rsidRPr="00A87970">
        <w:rPr>
          <w:rFonts w:ascii="Arial" w:hAnsi="Arial" w:cs="Arial"/>
          <w:bCs/>
          <w:sz w:val="22"/>
          <w:szCs w:val="22"/>
          <w:lang w:val="fr-FR"/>
        </w:rPr>
        <w:t>.</w:t>
      </w:r>
    </w:p>
    <w:p w14:paraId="603C8251"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3C17D5">
        <w:rPr>
          <w:rFonts w:ascii="Arial" w:hAnsi="Arial" w:cs="Arial"/>
          <w:b/>
          <w:sz w:val="22"/>
          <w:szCs w:val="22"/>
          <w:lang w:val="fr-FR"/>
        </w:rPr>
        <w:t>Présidente</w:t>
      </w:r>
      <w:r>
        <w:rPr>
          <w:rFonts w:ascii="Arial" w:hAnsi="Arial" w:cs="Arial"/>
          <w:bCs/>
          <w:sz w:val="22"/>
          <w:szCs w:val="22"/>
          <w:lang w:val="fr-FR"/>
        </w:rPr>
        <w:t xml:space="preserve"> a remercié le Conseiller juridique et a repris la liste des orateurs.</w:t>
      </w:r>
    </w:p>
    <w:p w14:paraId="0C6051DE" w14:textId="4C63A124" w:rsidR="00D9653F" w:rsidRPr="003C17D5"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C17D5">
        <w:rPr>
          <w:rFonts w:ascii="Arial" w:hAnsi="Arial" w:cs="Arial"/>
          <w:bCs/>
          <w:sz w:val="22"/>
          <w:szCs w:val="22"/>
          <w:lang w:val="fr-FR"/>
        </w:rPr>
        <w:t xml:space="preserve">La délégation des </w:t>
      </w:r>
      <w:r w:rsidRPr="003C17D5">
        <w:rPr>
          <w:rFonts w:ascii="Arial" w:hAnsi="Arial" w:cs="Arial"/>
          <w:b/>
          <w:sz w:val="22"/>
          <w:szCs w:val="22"/>
          <w:lang w:val="fr-FR"/>
        </w:rPr>
        <w:t>Pays</w:t>
      </w:r>
      <w:r w:rsidRPr="003C17D5">
        <w:rPr>
          <w:rFonts w:ascii="Arial" w:hAnsi="Arial" w:cs="Arial"/>
          <w:b/>
          <w:sz w:val="22"/>
          <w:szCs w:val="22"/>
          <w:lang w:val="fr-FR"/>
        </w:rPr>
        <w:noBreakHyphen/>
        <w:t>Bas</w:t>
      </w:r>
      <w:r w:rsidRPr="003C17D5">
        <w:rPr>
          <w:rFonts w:ascii="Arial" w:hAnsi="Arial" w:cs="Arial"/>
          <w:bCs/>
          <w:sz w:val="22"/>
          <w:szCs w:val="22"/>
          <w:lang w:val="fr-FR"/>
        </w:rPr>
        <w:t xml:space="preserve"> </w:t>
      </w:r>
      <w:r>
        <w:rPr>
          <w:rFonts w:ascii="Arial" w:hAnsi="Arial" w:cs="Arial"/>
          <w:bCs/>
          <w:sz w:val="22"/>
          <w:szCs w:val="22"/>
          <w:lang w:val="fr-FR"/>
        </w:rPr>
        <w:t>était</w:t>
      </w:r>
      <w:r w:rsidRPr="003C17D5">
        <w:rPr>
          <w:rFonts w:ascii="Arial" w:hAnsi="Arial" w:cs="Arial"/>
          <w:bCs/>
          <w:sz w:val="22"/>
          <w:szCs w:val="22"/>
          <w:lang w:val="fr-FR"/>
        </w:rPr>
        <w:t xml:space="preserve"> curieuse d</w:t>
      </w:r>
      <w:r w:rsidR="008E532B">
        <w:rPr>
          <w:rFonts w:ascii="Arial" w:hAnsi="Arial" w:cs="Arial"/>
          <w:bCs/>
          <w:sz w:val="22"/>
          <w:szCs w:val="22"/>
          <w:lang w:val="fr-FR"/>
        </w:rPr>
        <w:t>’</w:t>
      </w:r>
      <w:r w:rsidRPr="003C17D5">
        <w:rPr>
          <w:rFonts w:ascii="Arial" w:hAnsi="Arial" w:cs="Arial"/>
          <w:bCs/>
          <w:sz w:val="22"/>
          <w:szCs w:val="22"/>
          <w:lang w:val="fr-FR"/>
        </w:rPr>
        <w:t>entendre la réponse de la Chine à l</w:t>
      </w:r>
      <w:r w:rsidR="008E532B">
        <w:rPr>
          <w:rFonts w:ascii="Arial" w:hAnsi="Arial" w:cs="Arial"/>
          <w:bCs/>
          <w:sz w:val="22"/>
          <w:szCs w:val="22"/>
          <w:lang w:val="fr-FR"/>
        </w:rPr>
        <w:t>’</w:t>
      </w:r>
      <w:r w:rsidRPr="003C17D5">
        <w:rPr>
          <w:rFonts w:ascii="Arial" w:hAnsi="Arial" w:cs="Arial"/>
          <w:bCs/>
          <w:sz w:val="22"/>
          <w:szCs w:val="22"/>
          <w:lang w:val="fr-FR"/>
        </w:rPr>
        <w:t xml:space="preserve">explication </w:t>
      </w:r>
      <w:r>
        <w:rPr>
          <w:rFonts w:ascii="Arial" w:hAnsi="Arial" w:cs="Arial"/>
          <w:bCs/>
          <w:sz w:val="22"/>
          <w:szCs w:val="22"/>
          <w:lang w:val="fr-FR"/>
        </w:rPr>
        <w:t>donnée</w:t>
      </w:r>
      <w:r w:rsidRPr="003C17D5">
        <w:rPr>
          <w:rFonts w:ascii="Arial" w:hAnsi="Arial" w:cs="Arial"/>
          <w:bCs/>
          <w:sz w:val="22"/>
          <w:szCs w:val="22"/>
          <w:lang w:val="fr-FR"/>
        </w:rPr>
        <w:t xml:space="preserve"> par le Conseiller juridique. Avait-elle l</w:t>
      </w:r>
      <w:r w:rsidR="008E532B">
        <w:rPr>
          <w:rFonts w:ascii="Arial" w:hAnsi="Arial" w:cs="Arial"/>
          <w:bCs/>
          <w:sz w:val="22"/>
          <w:szCs w:val="22"/>
          <w:lang w:val="fr-FR"/>
        </w:rPr>
        <w:t>’</w:t>
      </w:r>
      <w:r w:rsidRPr="003C17D5">
        <w:rPr>
          <w:rFonts w:ascii="Arial" w:hAnsi="Arial" w:cs="Arial"/>
          <w:bCs/>
          <w:sz w:val="22"/>
          <w:szCs w:val="22"/>
          <w:lang w:val="fr-FR"/>
        </w:rPr>
        <w:t>intention de supprimer l</w:t>
      </w:r>
      <w:r w:rsidR="008E532B">
        <w:rPr>
          <w:rFonts w:ascii="Arial" w:hAnsi="Arial" w:cs="Arial"/>
          <w:bCs/>
          <w:sz w:val="22"/>
          <w:szCs w:val="22"/>
          <w:lang w:val="fr-FR"/>
        </w:rPr>
        <w:t>’</w:t>
      </w:r>
      <w:r w:rsidRPr="003C17D5">
        <w:rPr>
          <w:rFonts w:ascii="Arial" w:hAnsi="Arial" w:cs="Arial"/>
          <w:bCs/>
          <w:sz w:val="22"/>
          <w:szCs w:val="22"/>
          <w:lang w:val="fr-FR"/>
        </w:rPr>
        <w:t>article 3.3 entièrement ou seulement certaines parties de la phrase ? La délégation s</w:t>
      </w:r>
      <w:r w:rsidR="008E532B">
        <w:rPr>
          <w:rFonts w:ascii="Arial" w:hAnsi="Arial" w:cs="Arial"/>
          <w:bCs/>
          <w:sz w:val="22"/>
          <w:szCs w:val="22"/>
          <w:lang w:val="fr-FR"/>
        </w:rPr>
        <w:t>’</w:t>
      </w:r>
      <w:r w:rsidRPr="003C17D5">
        <w:rPr>
          <w:rFonts w:ascii="Arial" w:hAnsi="Arial" w:cs="Arial"/>
          <w:bCs/>
          <w:sz w:val="22"/>
          <w:szCs w:val="22"/>
          <w:lang w:val="fr-FR"/>
        </w:rPr>
        <w:t>est fait l</w:t>
      </w:r>
      <w:r w:rsidR="008E532B">
        <w:rPr>
          <w:rFonts w:ascii="Arial" w:hAnsi="Arial" w:cs="Arial"/>
          <w:bCs/>
          <w:sz w:val="22"/>
          <w:szCs w:val="22"/>
          <w:lang w:val="fr-FR"/>
        </w:rPr>
        <w:t>’</w:t>
      </w:r>
      <w:r w:rsidRPr="003C17D5">
        <w:rPr>
          <w:rFonts w:ascii="Arial" w:hAnsi="Arial" w:cs="Arial"/>
          <w:bCs/>
          <w:sz w:val="22"/>
          <w:szCs w:val="22"/>
          <w:lang w:val="fr-FR"/>
        </w:rPr>
        <w:t xml:space="preserve">écho des remarques </w:t>
      </w:r>
      <w:r>
        <w:rPr>
          <w:rFonts w:ascii="Arial" w:hAnsi="Arial" w:cs="Arial"/>
          <w:bCs/>
          <w:sz w:val="22"/>
          <w:szCs w:val="22"/>
          <w:lang w:val="fr-FR"/>
        </w:rPr>
        <w:t>formulées par</w:t>
      </w:r>
      <w:r w:rsidRPr="003C17D5">
        <w:rPr>
          <w:rFonts w:ascii="Arial" w:hAnsi="Arial" w:cs="Arial"/>
          <w:bCs/>
          <w:sz w:val="22"/>
          <w:szCs w:val="22"/>
          <w:lang w:val="fr-FR"/>
        </w:rPr>
        <w:t xml:space="preserve"> la Tchéquie et la Suisse en s</w:t>
      </w:r>
      <w:r w:rsidR="008E532B">
        <w:rPr>
          <w:rFonts w:ascii="Arial" w:hAnsi="Arial" w:cs="Arial"/>
          <w:bCs/>
          <w:sz w:val="22"/>
          <w:szCs w:val="22"/>
          <w:lang w:val="fr-FR"/>
        </w:rPr>
        <w:t>’</w:t>
      </w:r>
      <w:r w:rsidRPr="003C17D5">
        <w:rPr>
          <w:rFonts w:ascii="Arial" w:hAnsi="Arial" w:cs="Arial"/>
          <w:bCs/>
          <w:sz w:val="22"/>
          <w:szCs w:val="22"/>
          <w:lang w:val="fr-FR"/>
        </w:rPr>
        <w:t>opposant fermement à la suppression de l</w:t>
      </w:r>
      <w:r w:rsidR="008E532B">
        <w:rPr>
          <w:rFonts w:ascii="Arial" w:hAnsi="Arial" w:cs="Arial"/>
          <w:bCs/>
          <w:sz w:val="22"/>
          <w:szCs w:val="22"/>
          <w:lang w:val="fr-FR"/>
        </w:rPr>
        <w:t>’</w:t>
      </w:r>
      <w:r w:rsidRPr="003C17D5">
        <w:rPr>
          <w:rFonts w:ascii="Arial" w:hAnsi="Arial" w:cs="Arial"/>
          <w:bCs/>
          <w:sz w:val="22"/>
          <w:szCs w:val="22"/>
          <w:lang w:val="fr-FR"/>
        </w:rPr>
        <w:t xml:space="preserve">article 3.3. À son avis, cette suppression </w:t>
      </w:r>
      <w:r>
        <w:rPr>
          <w:rFonts w:ascii="Arial" w:hAnsi="Arial" w:cs="Arial"/>
          <w:bCs/>
          <w:sz w:val="22"/>
          <w:szCs w:val="22"/>
          <w:lang w:val="fr-FR"/>
        </w:rPr>
        <w:t>était</w:t>
      </w:r>
      <w:r w:rsidRPr="003C17D5">
        <w:rPr>
          <w:rFonts w:ascii="Arial" w:hAnsi="Arial" w:cs="Arial"/>
          <w:bCs/>
          <w:sz w:val="22"/>
          <w:szCs w:val="22"/>
          <w:lang w:val="fr-FR"/>
        </w:rPr>
        <w:t xml:space="preserve"> contraire à l</w:t>
      </w:r>
      <w:r w:rsidR="008E532B">
        <w:rPr>
          <w:rFonts w:ascii="Arial" w:hAnsi="Arial" w:cs="Arial"/>
          <w:bCs/>
          <w:sz w:val="22"/>
          <w:szCs w:val="22"/>
          <w:lang w:val="fr-FR"/>
        </w:rPr>
        <w:t>’</w:t>
      </w:r>
      <w:r w:rsidRPr="003C17D5">
        <w:rPr>
          <w:rFonts w:ascii="Arial" w:hAnsi="Arial" w:cs="Arial"/>
          <w:bCs/>
          <w:sz w:val="22"/>
          <w:szCs w:val="22"/>
          <w:lang w:val="fr-FR"/>
        </w:rPr>
        <w:t>esprit de la Convention. Par exemple, le Président du Forum des ONG du PCI n</w:t>
      </w:r>
      <w:r w:rsidR="008E532B">
        <w:rPr>
          <w:rFonts w:ascii="Arial" w:hAnsi="Arial" w:cs="Arial"/>
          <w:bCs/>
          <w:sz w:val="22"/>
          <w:szCs w:val="22"/>
          <w:lang w:val="fr-FR"/>
        </w:rPr>
        <w:t>’</w:t>
      </w:r>
      <w:r w:rsidRPr="003C17D5">
        <w:rPr>
          <w:rFonts w:ascii="Arial" w:hAnsi="Arial" w:cs="Arial"/>
          <w:bCs/>
          <w:sz w:val="22"/>
          <w:szCs w:val="22"/>
          <w:lang w:val="fr-FR"/>
        </w:rPr>
        <w:t>aurait pas été en mesure de prendre la parole à l</w:t>
      </w:r>
      <w:r w:rsidR="008E532B">
        <w:rPr>
          <w:rFonts w:ascii="Arial" w:hAnsi="Arial" w:cs="Arial"/>
          <w:bCs/>
          <w:sz w:val="22"/>
          <w:szCs w:val="22"/>
          <w:lang w:val="fr-FR"/>
        </w:rPr>
        <w:t>’</w:t>
      </w:r>
      <w:r w:rsidRPr="003C17D5">
        <w:rPr>
          <w:rFonts w:ascii="Arial" w:hAnsi="Arial" w:cs="Arial"/>
          <w:bCs/>
          <w:sz w:val="22"/>
          <w:szCs w:val="22"/>
          <w:lang w:val="fr-FR"/>
        </w:rPr>
        <w:t xml:space="preserve">Assemblée générale. La délégation </w:t>
      </w:r>
      <w:r>
        <w:rPr>
          <w:rFonts w:ascii="Arial" w:hAnsi="Arial" w:cs="Arial"/>
          <w:bCs/>
          <w:sz w:val="22"/>
          <w:szCs w:val="22"/>
          <w:lang w:val="fr-FR"/>
        </w:rPr>
        <w:t xml:space="preserve">était </w:t>
      </w:r>
      <w:r w:rsidRPr="003C17D5">
        <w:rPr>
          <w:rFonts w:ascii="Arial" w:hAnsi="Arial" w:cs="Arial"/>
          <w:bCs/>
          <w:sz w:val="22"/>
          <w:szCs w:val="22"/>
          <w:lang w:val="fr-FR"/>
        </w:rPr>
        <w:t xml:space="preserve">donc favorable au maintien de </w:t>
      </w:r>
      <w:r>
        <w:rPr>
          <w:rFonts w:ascii="Arial" w:hAnsi="Arial" w:cs="Arial"/>
          <w:bCs/>
          <w:sz w:val="22"/>
          <w:szCs w:val="22"/>
          <w:lang w:val="fr-FR"/>
        </w:rPr>
        <w:t>« </w:t>
      </w:r>
      <w:r w:rsidRPr="003C17D5">
        <w:rPr>
          <w:rFonts w:ascii="Arial" w:hAnsi="Arial" w:cs="Arial"/>
          <w:bCs/>
          <w:sz w:val="22"/>
          <w:szCs w:val="22"/>
          <w:lang w:val="fr-FR"/>
        </w:rPr>
        <w:t>ainsi que d</w:t>
      </w:r>
      <w:r w:rsidR="008E532B">
        <w:rPr>
          <w:rFonts w:ascii="Arial" w:hAnsi="Arial" w:cs="Arial"/>
          <w:bCs/>
          <w:sz w:val="22"/>
          <w:szCs w:val="22"/>
          <w:lang w:val="fr-FR"/>
        </w:rPr>
        <w:t>’</w:t>
      </w:r>
      <w:r w:rsidRPr="003C17D5">
        <w:rPr>
          <w:rFonts w:ascii="Arial" w:hAnsi="Arial" w:cs="Arial"/>
          <w:bCs/>
          <w:sz w:val="22"/>
          <w:szCs w:val="22"/>
          <w:lang w:val="fr-FR"/>
        </w:rPr>
        <w:t xml:space="preserve">autres représentants </w:t>
      </w:r>
      <w:r>
        <w:rPr>
          <w:rFonts w:ascii="Arial" w:hAnsi="Arial" w:cs="Arial"/>
          <w:bCs/>
          <w:sz w:val="22"/>
          <w:szCs w:val="22"/>
          <w:lang w:val="fr-FR"/>
        </w:rPr>
        <w:t xml:space="preserve">ou </w:t>
      </w:r>
      <w:r w:rsidRPr="003C17D5">
        <w:rPr>
          <w:rFonts w:ascii="Arial" w:hAnsi="Arial" w:cs="Arial"/>
          <w:bCs/>
          <w:sz w:val="22"/>
          <w:szCs w:val="22"/>
          <w:lang w:val="fr-FR"/>
        </w:rPr>
        <w:t>observateurs</w:t>
      </w:r>
      <w:r>
        <w:rPr>
          <w:rFonts w:ascii="Arial" w:hAnsi="Arial" w:cs="Arial"/>
          <w:bCs/>
          <w:sz w:val="22"/>
          <w:szCs w:val="22"/>
          <w:lang w:val="fr-FR"/>
        </w:rPr>
        <w:t> »</w:t>
      </w:r>
      <w:r w:rsidRPr="003C17D5">
        <w:rPr>
          <w:rFonts w:ascii="Arial" w:hAnsi="Arial" w:cs="Arial"/>
          <w:bCs/>
          <w:sz w:val="22"/>
          <w:szCs w:val="22"/>
          <w:lang w:val="fr-FR"/>
        </w:rPr>
        <w:t>.</w:t>
      </w:r>
    </w:p>
    <w:p w14:paraId="66316F76" w14:textId="7C2F04C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634B8">
        <w:rPr>
          <w:rFonts w:ascii="Arial" w:hAnsi="Arial" w:cs="Arial"/>
          <w:bCs/>
          <w:sz w:val="22"/>
          <w:szCs w:val="22"/>
          <w:lang w:val="fr-FR"/>
        </w:rPr>
        <w:t>La délégation de l</w:t>
      </w:r>
      <w:r w:rsidR="008E532B">
        <w:rPr>
          <w:rFonts w:ascii="Arial" w:hAnsi="Arial" w:cs="Arial"/>
          <w:bCs/>
          <w:sz w:val="22"/>
          <w:szCs w:val="22"/>
          <w:lang w:val="fr-FR"/>
        </w:rPr>
        <w:t>’</w:t>
      </w:r>
      <w:r w:rsidRPr="009634B8">
        <w:rPr>
          <w:rFonts w:ascii="Arial" w:hAnsi="Arial" w:cs="Arial"/>
          <w:b/>
          <w:sz w:val="22"/>
          <w:szCs w:val="22"/>
          <w:lang w:val="fr-FR"/>
        </w:rPr>
        <w:t xml:space="preserve">Arabie saoudite </w:t>
      </w:r>
      <w:r w:rsidRPr="009634B8">
        <w:rPr>
          <w:rFonts w:ascii="Arial" w:hAnsi="Arial" w:cs="Arial"/>
          <w:bCs/>
          <w:sz w:val="22"/>
          <w:szCs w:val="22"/>
          <w:lang w:val="fr-FR"/>
        </w:rPr>
        <w:t xml:space="preserve">a remercié le Conseiller juridique pour son explication. </w:t>
      </w:r>
      <w:r>
        <w:rPr>
          <w:rFonts w:ascii="Arial" w:hAnsi="Arial" w:cs="Arial"/>
          <w:bCs/>
          <w:sz w:val="22"/>
          <w:szCs w:val="22"/>
          <w:lang w:val="fr-FR"/>
        </w:rPr>
        <w:t xml:space="preserve">Après avoir </w:t>
      </w:r>
      <w:r w:rsidRPr="009634B8">
        <w:rPr>
          <w:rFonts w:ascii="Arial" w:hAnsi="Arial" w:cs="Arial"/>
          <w:bCs/>
          <w:sz w:val="22"/>
          <w:szCs w:val="22"/>
          <w:lang w:val="fr-FR"/>
        </w:rPr>
        <w:t>écouté l</w:t>
      </w:r>
      <w:r w:rsidR="008E532B">
        <w:rPr>
          <w:rFonts w:ascii="Arial" w:hAnsi="Arial" w:cs="Arial"/>
          <w:bCs/>
          <w:sz w:val="22"/>
          <w:szCs w:val="22"/>
          <w:lang w:val="fr-FR"/>
        </w:rPr>
        <w:t>’</w:t>
      </w:r>
      <w:r w:rsidRPr="009634B8">
        <w:rPr>
          <w:rFonts w:ascii="Arial" w:hAnsi="Arial" w:cs="Arial"/>
          <w:bCs/>
          <w:sz w:val="22"/>
          <w:szCs w:val="22"/>
          <w:lang w:val="fr-FR"/>
        </w:rPr>
        <w:t>explication de la France sur les raisons pour lesquelles l</w:t>
      </w:r>
      <w:r w:rsidR="008E532B">
        <w:rPr>
          <w:rFonts w:ascii="Arial" w:hAnsi="Arial" w:cs="Arial"/>
          <w:bCs/>
          <w:sz w:val="22"/>
          <w:szCs w:val="22"/>
          <w:lang w:val="fr-FR"/>
        </w:rPr>
        <w:t>’</w:t>
      </w:r>
      <w:r w:rsidRPr="009634B8">
        <w:rPr>
          <w:rFonts w:ascii="Arial" w:hAnsi="Arial" w:cs="Arial"/>
          <w:bCs/>
          <w:sz w:val="22"/>
          <w:szCs w:val="22"/>
          <w:lang w:val="fr-FR"/>
        </w:rPr>
        <w:t>article 3.3 devrait être maintenu, elle soutenait la suppression de l</w:t>
      </w:r>
      <w:r w:rsidR="008E532B">
        <w:rPr>
          <w:rFonts w:ascii="Arial" w:hAnsi="Arial" w:cs="Arial"/>
          <w:bCs/>
          <w:sz w:val="22"/>
          <w:szCs w:val="22"/>
          <w:lang w:val="fr-FR"/>
        </w:rPr>
        <w:t>’</w:t>
      </w:r>
      <w:r w:rsidRPr="009634B8">
        <w:rPr>
          <w:rFonts w:ascii="Arial" w:hAnsi="Arial" w:cs="Arial"/>
          <w:bCs/>
          <w:sz w:val="22"/>
          <w:szCs w:val="22"/>
          <w:lang w:val="fr-FR"/>
        </w:rPr>
        <w:t>article 3.3 mais en conservant la phrase telle qu</w:t>
      </w:r>
      <w:r w:rsidR="008E532B">
        <w:rPr>
          <w:rFonts w:ascii="Arial" w:hAnsi="Arial" w:cs="Arial"/>
          <w:bCs/>
          <w:sz w:val="22"/>
          <w:szCs w:val="22"/>
          <w:lang w:val="fr-FR"/>
        </w:rPr>
        <w:t>’</w:t>
      </w:r>
      <w:r w:rsidRPr="009634B8">
        <w:rPr>
          <w:rFonts w:ascii="Arial" w:hAnsi="Arial" w:cs="Arial"/>
          <w:bCs/>
          <w:sz w:val="22"/>
          <w:szCs w:val="22"/>
          <w:lang w:val="fr-FR"/>
        </w:rPr>
        <w:t>elle figur</w:t>
      </w:r>
      <w:r>
        <w:rPr>
          <w:rFonts w:ascii="Arial" w:hAnsi="Arial" w:cs="Arial"/>
          <w:bCs/>
          <w:sz w:val="22"/>
          <w:szCs w:val="22"/>
          <w:lang w:val="fr-FR"/>
        </w:rPr>
        <w:t>ait</w:t>
      </w:r>
      <w:r w:rsidRPr="009634B8">
        <w:rPr>
          <w:rFonts w:ascii="Arial" w:hAnsi="Arial" w:cs="Arial"/>
          <w:bCs/>
          <w:sz w:val="22"/>
          <w:szCs w:val="22"/>
          <w:lang w:val="fr-FR"/>
        </w:rPr>
        <w:t xml:space="preserve"> à l</w:t>
      </w:r>
      <w:r w:rsidR="008E532B">
        <w:rPr>
          <w:rFonts w:ascii="Arial" w:hAnsi="Arial" w:cs="Arial"/>
          <w:bCs/>
          <w:sz w:val="22"/>
          <w:szCs w:val="22"/>
          <w:lang w:val="fr-FR"/>
        </w:rPr>
        <w:t>’</w:t>
      </w:r>
      <w:r w:rsidRPr="009634B8">
        <w:rPr>
          <w:rFonts w:ascii="Arial" w:hAnsi="Arial" w:cs="Arial"/>
          <w:bCs/>
          <w:sz w:val="22"/>
          <w:szCs w:val="22"/>
          <w:lang w:val="fr-FR"/>
        </w:rPr>
        <w:t xml:space="preserve">article 3.2, </w:t>
      </w:r>
      <w:r>
        <w:rPr>
          <w:rFonts w:ascii="Arial" w:hAnsi="Arial" w:cs="Arial"/>
          <w:bCs/>
          <w:sz w:val="22"/>
          <w:szCs w:val="22"/>
          <w:lang w:val="fr-FR"/>
        </w:rPr>
        <w:t>qui inclut « </w:t>
      </w:r>
      <w:r w:rsidRPr="009634B8">
        <w:rPr>
          <w:rFonts w:ascii="Arial" w:hAnsi="Arial" w:cs="Arial"/>
          <w:bCs/>
          <w:sz w:val="22"/>
          <w:szCs w:val="22"/>
          <w:lang w:val="fr-FR"/>
        </w:rPr>
        <w:t>ainsi que les observateurs des organisations intergouvernementales et internationales [...]</w:t>
      </w:r>
      <w:r>
        <w:rPr>
          <w:rFonts w:ascii="Arial" w:hAnsi="Arial" w:cs="Arial"/>
          <w:bCs/>
          <w:sz w:val="22"/>
          <w:szCs w:val="22"/>
          <w:lang w:val="fr-FR"/>
        </w:rPr>
        <w:t> »</w:t>
      </w:r>
      <w:r w:rsidRPr="009634B8">
        <w:rPr>
          <w:rFonts w:ascii="Arial" w:hAnsi="Arial" w:cs="Arial"/>
          <w:bCs/>
          <w:sz w:val="22"/>
          <w:szCs w:val="22"/>
          <w:lang w:val="fr-FR"/>
        </w:rPr>
        <w:t>.</w:t>
      </w:r>
    </w:p>
    <w:p w14:paraId="118DFC74" w14:textId="32D6815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634B8">
        <w:rPr>
          <w:rFonts w:ascii="Arial" w:hAnsi="Arial" w:cs="Arial"/>
          <w:bCs/>
          <w:sz w:val="22"/>
          <w:szCs w:val="22"/>
          <w:lang w:val="fr-FR"/>
        </w:rPr>
        <w:t>délégation</w:t>
      </w:r>
      <w:r>
        <w:rPr>
          <w:rFonts w:ascii="Arial" w:hAnsi="Arial" w:cs="Arial"/>
          <w:bCs/>
          <w:sz w:val="22"/>
          <w:szCs w:val="22"/>
          <w:lang w:val="fr-FR"/>
        </w:rPr>
        <w:t xml:space="preserve"> de la </w:t>
      </w:r>
      <w:r w:rsidRPr="009634B8">
        <w:rPr>
          <w:rFonts w:ascii="Arial" w:hAnsi="Arial" w:cs="Arial"/>
          <w:b/>
          <w:sz w:val="22"/>
          <w:szCs w:val="22"/>
          <w:lang w:val="fr-FR"/>
        </w:rPr>
        <w:t>Pologne</w:t>
      </w:r>
      <w:r>
        <w:rPr>
          <w:rFonts w:ascii="Arial" w:hAnsi="Arial" w:cs="Arial"/>
          <w:bCs/>
          <w:sz w:val="22"/>
          <w:szCs w:val="22"/>
          <w:lang w:val="fr-FR"/>
        </w:rPr>
        <w:t xml:space="preserve"> soutenait la position de la Suisse et de la Tchéquie sur l</w:t>
      </w:r>
      <w:r w:rsidR="008E532B">
        <w:rPr>
          <w:rFonts w:ascii="Arial" w:hAnsi="Arial" w:cs="Arial"/>
          <w:bCs/>
          <w:sz w:val="22"/>
          <w:szCs w:val="22"/>
          <w:lang w:val="fr-FR"/>
        </w:rPr>
        <w:t>’</w:t>
      </w:r>
      <w:r>
        <w:rPr>
          <w:rFonts w:ascii="Arial" w:hAnsi="Arial" w:cs="Arial"/>
          <w:bCs/>
          <w:sz w:val="22"/>
          <w:szCs w:val="22"/>
          <w:lang w:val="fr-FR"/>
        </w:rPr>
        <w:t>article 3.3. Elle a remercié le Conseiller juridique pour son explication très claire.</w:t>
      </w:r>
    </w:p>
    <w:p w14:paraId="0F1AA7EA" w14:textId="6A2D7C1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634B8">
        <w:rPr>
          <w:rFonts w:ascii="Arial" w:hAnsi="Arial" w:cs="Arial"/>
          <w:bCs/>
          <w:sz w:val="22"/>
          <w:szCs w:val="22"/>
          <w:lang w:val="fr-FR"/>
        </w:rPr>
        <w:t xml:space="preserve">La délégation du </w:t>
      </w:r>
      <w:r w:rsidRPr="009634B8">
        <w:rPr>
          <w:rFonts w:ascii="Arial" w:hAnsi="Arial" w:cs="Arial"/>
          <w:b/>
          <w:sz w:val="22"/>
          <w:szCs w:val="22"/>
          <w:lang w:val="fr-FR"/>
        </w:rPr>
        <w:t>Maroc</w:t>
      </w:r>
      <w:r w:rsidRPr="009634B8">
        <w:rPr>
          <w:rFonts w:ascii="Arial" w:hAnsi="Arial" w:cs="Arial"/>
          <w:bCs/>
          <w:sz w:val="22"/>
          <w:szCs w:val="22"/>
          <w:lang w:val="fr-FR"/>
        </w:rPr>
        <w:t xml:space="preserve"> souten</w:t>
      </w:r>
      <w:r>
        <w:rPr>
          <w:rFonts w:ascii="Arial" w:hAnsi="Arial" w:cs="Arial"/>
          <w:bCs/>
          <w:sz w:val="22"/>
          <w:szCs w:val="22"/>
          <w:lang w:val="fr-FR"/>
        </w:rPr>
        <w:t>ait</w:t>
      </w:r>
      <w:r w:rsidRPr="009634B8">
        <w:rPr>
          <w:rFonts w:ascii="Arial" w:hAnsi="Arial" w:cs="Arial"/>
          <w:bCs/>
          <w:sz w:val="22"/>
          <w:szCs w:val="22"/>
          <w:lang w:val="fr-FR"/>
        </w:rPr>
        <w:t xml:space="preserve"> les observations de la Chine mais, compte tenu des explications du Conseiller juridique, elle </w:t>
      </w:r>
      <w:r>
        <w:rPr>
          <w:rFonts w:ascii="Arial" w:hAnsi="Arial" w:cs="Arial"/>
          <w:bCs/>
          <w:sz w:val="22"/>
          <w:szCs w:val="22"/>
          <w:lang w:val="fr-FR"/>
        </w:rPr>
        <w:t xml:space="preserve">était favorable à </w:t>
      </w:r>
      <w:r w:rsidRPr="009634B8">
        <w:rPr>
          <w:rFonts w:ascii="Arial" w:hAnsi="Arial" w:cs="Arial"/>
          <w:bCs/>
          <w:sz w:val="22"/>
          <w:szCs w:val="22"/>
          <w:lang w:val="fr-FR"/>
        </w:rPr>
        <w:t xml:space="preserve">la suppression de </w:t>
      </w:r>
      <w:r>
        <w:rPr>
          <w:rFonts w:ascii="Arial" w:hAnsi="Arial" w:cs="Arial"/>
          <w:bCs/>
          <w:sz w:val="22"/>
          <w:szCs w:val="22"/>
          <w:lang w:val="fr-FR"/>
        </w:rPr>
        <w:t>« </w:t>
      </w:r>
      <w:r w:rsidRPr="009634B8">
        <w:rPr>
          <w:rFonts w:ascii="Arial" w:hAnsi="Arial" w:cs="Arial"/>
          <w:bCs/>
          <w:sz w:val="22"/>
          <w:szCs w:val="22"/>
          <w:lang w:val="fr-FR"/>
        </w:rPr>
        <w:t>ainsi que d</w:t>
      </w:r>
      <w:r w:rsidR="008E532B">
        <w:rPr>
          <w:rFonts w:ascii="Arial" w:hAnsi="Arial" w:cs="Arial"/>
          <w:bCs/>
          <w:sz w:val="22"/>
          <w:szCs w:val="22"/>
          <w:lang w:val="fr-FR"/>
        </w:rPr>
        <w:t>’</w:t>
      </w:r>
      <w:r w:rsidRPr="009634B8">
        <w:rPr>
          <w:rFonts w:ascii="Arial" w:hAnsi="Arial" w:cs="Arial"/>
          <w:bCs/>
          <w:sz w:val="22"/>
          <w:szCs w:val="22"/>
          <w:lang w:val="fr-FR"/>
        </w:rPr>
        <w:t>autres représentants et observateur</w:t>
      </w:r>
      <w:r>
        <w:rPr>
          <w:rFonts w:ascii="Arial" w:hAnsi="Arial" w:cs="Arial"/>
          <w:bCs/>
          <w:sz w:val="22"/>
          <w:szCs w:val="22"/>
          <w:lang w:val="fr-FR"/>
        </w:rPr>
        <w:t>s »</w:t>
      </w:r>
      <w:r w:rsidRPr="009634B8">
        <w:rPr>
          <w:rFonts w:ascii="Arial" w:hAnsi="Arial" w:cs="Arial"/>
          <w:bCs/>
          <w:sz w:val="22"/>
          <w:szCs w:val="22"/>
          <w:lang w:val="fr-FR"/>
        </w:rPr>
        <w:t>.</w:t>
      </w:r>
    </w:p>
    <w:p w14:paraId="0CA87136" w14:textId="090A4212" w:rsidR="00D9653F" w:rsidRPr="009634B8"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E</w:t>
      </w:r>
      <w:r w:rsidRPr="009634B8">
        <w:rPr>
          <w:rFonts w:ascii="Arial" w:hAnsi="Arial" w:cs="Arial"/>
          <w:bCs/>
          <w:sz w:val="22"/>
          <w:szCs w:val="22"/>
          <w:lang w:val="fr-FR"/>
        </w:rPr>
        <w:t>n ce qui concerne</w:t>
      </w:r>
      <w:r>
        <w:rPr>
          <w:rFonts w:ascii="Arial" w:hAnsi="Arial" w:cs="Arial"/>
          <w:bCs/>
          <w:sz w:val="22"/>
          <w:szCs w:val="22"/>
          <w:lang w:val="fr-FR"/>
        </w:rPr>
        <w:t xml:space="preserve"> l</w:t>
      </w:r>
      <w:r w:rsidRPr="009634B8">
        <w:rPr>
          <w:rFonts w:ascii="Arial" w:hAnsi="Arial" w:cs="Arial"/>
          <w:bCs/>
          <w:sz w:val="22"/>
          <w:szCs w:val="22"/>
          <w:lang w:val="fr-FR"/>
        </w:rPr>
        <w:t>es réunions en ligne, la délégation</w:t>
      </w:r>
      <w:r>
        <w:rPr>
          <w:rFonts w:ascii="Arial" w:hAnsi="Arial" w:cs="Arial"/>
          <w:bCs/>
          <w:sz w:val="22"/>
          <w:szCs w:val="22"/>
          <w:lang w:val="fr-FR"/>
        </w:rPr>
        <w:t xml:space="preserve"> de la </w:t>
      </w:r>
      <w:r w:rsidRPr="009634B8">
        <w:rPr>
          <w:rFonts w:ascii="Arial" w:hAnsi="Arial" w:cs="Arial"/>
          <w:b/>
          <w:sz w:val="22"/>
          <w:szCs w:val="22"/>
          <w:lang w:val="fr-FR"/>
        </w:rPr>
        <w:t>France</w:t>
      </w:r>
      <w:r w:rsidRPr="009634B8">
        <w:rPr>
          <w:rFonts w:ascii="Arial" w:hAnsi="Arial" w:cs="Arial"/>
          <w:bCs/>
          <w:sz w:val="22"/>
          <w:szCs w:val="22"/>
          <w:lang w:val="fr-FR"/>
        </w:rPr>
        <w:t xml:space="preserve"> </w:t>
      </w:r>
      <w:r>
        <w:rPr>
          <w:rFonts w:ascii="Arial" w:hAnsi="Arial" w:cs="Arial"/>
          <w:bCs/>
          <w:sz w:val="22"/>
          <w:szCs w:val="22"/>
          <w:lang w:val="fr-FR"/>
        </w:rPr>
        <w:t xml:space="preserve">a </w:t>
      </w:r>
      <w:r w:rsidRPr="009634B8">
        <w:rPr>
          <w:rFonts w:ascii="Arial" w:hAnsi="Arial" w:cs="Arial"/>
          <w:bCs/>
          <w:sz w:val="22"/>
          <w:szCs w:val="22"/>
          <w:lang w:val="fr-FR"/>
        </w:rPr>
        <w:t>précis</w:t>
      </w:r>
      <w:r>
        <w:rPr>
          <w:rFonts w:ascii="Arial" w:hAnsi="Arial" w:cs="Arial"/>
          <w:bCs/>
          <w:sz w:val="22"/>
          <w:szCs w:val="22"/>
          <w:lang w:val="fr-FR"/>
        </w:rPr>
        <w:t>é</w:t>
      </w:r>
      <w:r w:rsidRPr="009634B8">
        <w:rPr>
          <w:rFonts w:ascii="Arial" w:hAnsi="Arial" w:cs="Arial"/>
          <w:bCs/>
          <w:sz w:val="22"/>
          <w:szCs w:val="22"/>
          <w:lang w:val="fr-FR"/>
        </w:rPr>
        <w:t xml:space="preserve"> qu</w:t>
      </w:r>
      <w:r w:rsidR="008E532B">
        <w:rPr>
          <w:rFonts w:ascii="Arial" w:hAnsi="Arial" w:cs="Arial"/>
          <w:bCs/>
          <w:sz w:val="22"/>
          <w:szCs w:val="22"/>
          <w:lang w:val="fr-FR"/>
        </w:rPr>
        <w:t>’</w:t>
      </w:r>
      <w:r w:rsidRPr="009634B8">
        <w:rPr>
          <w:rFonts w:ascii="Arial" w:hAnsi="Arial" w:cs="Arial"/>
          <w:bCs/>
          <w:sz w:val="22"/>
          <w:szCs w:val="22"/>
          <w:lang w:val="fr-FR"/>
        </w:rPr>
        <w:t>elle ne sugg</w:t>
      </w:r>
      <w:r>
        <w:rPr>
          <w:rFonts w:ascii="Arial" w:hAnsi="Arial" w:cs="Arial"/>
          <w:bCs/>
          <w:sz w:val="22"/>
          <w:szCs w:val="22"/>
          <w:lang w:val="fr-FR"/>
        </w:rPr>
        <w:t>érait</w:t>
      </w:r>
      <w:r w:rsidRPr="009634B8">
        <w:rPr>
          <w:rFonts w:ascii="Arial" w:hAnsi="Arial" w:cs="Arial"/>
          <w:bCs/>
          <w:sz w:val="22"/>
          <w:szCs w:val="22"/>
          <w:lang w:val="fr-FR"/>
        </w:rPr>
        <w:t xml:space="preserve"> pas qu</w:t>
      </w:r>
      <w:r w:rsidR="008E532B">
        <w:rPr>
          <w:rFonts w:ascii="Arial" w:hAnsi="Arial" w:cs="Arial"/>
          <w:bCs/>
          <w:sz w:val="22"/>
          <w:szCs w:val="22"/>
          <w:lang w:val="fr-FR"/>
        </w:rPr>
        <w:t>’</w:t>
      </w:r>
      <w:r w:rsidRPr="009634B8">
        <w:rPr>
          <w:rFonts w:ascii="Arial" w:hAnsi="Arial" w:cs="Arial"/>
          <w:bCs/>
          <w:sz w:val="22"/>
          <w:szCs w:val="22"/>
          <w:lang w:val="fr-FR"/>
        </w:rPr>
        <w:t>il n</w:t>
      </w:r>
      <w:r w:rsidR="008E532B">
        <w:rPr>
          <w:rFonts w:ascii="Arial" w:hAnsi="Arial" w:cs="Arial"/>
          <w:bCs/>
          <w:sz w:val="22"/>
          <w:szCs w:val="22"/>
          <w:lang w:val="fr-FR"/>
        </w:rPr>
        <w:t>’</w:t>
      </w:r>
      <w:r w:rsidRPr="009634B8">
        <w:rPr>
          <w:rFonts w:ascii="Arial" w:hAnsi="Arial" w:cs="Arial"/>
          <w:bCs/>
          <w:sz w:val="22"/>
          <w:szCs w:val="22"/>
          <w:lang w:val="fr-FR"/>
        </w:rPr>
        <w:t>y ait pas de vote. Dans le cas d</w:t>
      </w:r>
      <w:r w:rsidR="008E532B">
        <w:rPr>
          <w:rFonts w:ascii="Arial" w:hAnsi="Arial" w:cs="Arial"/>
          <w:bCs/>
          <w:sz w:val="22"/>
          <w:szCs w:val="22"/>
          <w:lang w:val="fr-FR"/>
        </w:rPr>
        <w:t>’</w:t>
      </w:r>
      <w:r w:rsidRPr="009634B8">
        <w:rPr>
          <w:rFonts w:ascii="Arial" w:hAnsi="Arial" w:cs="Arial"/>
          <w:bCs/>
          <w:sz w:val="22"/>
          <w:szCs w:val="22"/>
          <w:lang w:val="fr-FR"/>
        </w:rPr>
        <w:t>une réunion en ligne, dans des cas très exceptionnels, prévus dans des circonstances bien spécifiées dans le Règlement intérieur, l</w:t>
      </w:r>
      <w:r w:rsidR="008E532B">
        <w:rPr>
          <w:rFonts w:ascii="Arial" w:hAnsi="Arial" w:cs="Arial"/>
          <w:bCs/>
          <w:sz w:val="22"/>
          <w:szCs w:val="22"/>
          <w:lang w:val="fr-FR"/>
        </w:rPr>
        <w:t>’</w:t>
      </w:r>
      <w:r w:rsidRPr="009634B8">
        <w:rPr>
          <w:rFonts w:ascii="Arial" w:hAnsi="Arial" w:cs="Arial"/>
          <w:bCs/>
          <w:sz w:val="22"/>
          <w:szCs w:val="22"/>
          <w:lang w:val="fr-FR"/>
        </w:rPr>
        <w:t>Assemblée d</w:t>
      </w:r>
      <w:r>
        <w:rPr>
          <w:rFonts w:ascii="Arial" w:hAnsi="Arial" w:cs="Arial"/>
          <w:bCs/>
          <w:sz w:val="22"/>
          <w:szCs w:val="22"/>
          <w:lang w:val="fr-FR"/>
        </w:rPr>
        <w:t xml:space="preserve">evait </w:t>
      </w:r>
      <w:r w:rsidRPr="009634B8">
        <w:rPr>
          <w:rFonts w:ascii="Arial" w:hAnsi="Arial" w:cs="Arial"/>
          <w:bCs/>
          <w:sz w:val="22"/>
          <w:szCs w:val="22"/>
          <w:lang w:val="fr-FR"/>
        </w:rPr>
        <w:t>évidemment pouvoir voter. Toutefois, le vote d</w:t>
      </w:r>
      <w:r>
        <w:rPr>
          <w:rFonts w:ascii="Arial" w:hAnsi="Arial" w:cs="Arial"/>
          <w:bCs/>
          <w:sz w:val="22"/>
          <w:szCs w:val="22"/>
          <w:lang w:val="fr-FR"/>
        </w:rPr>
        <w:t xml:space="preserve">evait se dérouler </w:t>
      </w:r>
      <w:r w:rsidRPr="007C713C">
        <w:rPr>
          <w:rFonts w:ascii="Arial" w:hAnsi="Arial" w:cs="Arial"/>
          <w:bCs/>
          <w:i/>
          <w:iCs/>
          <w:sz w:val="22"/>
          <w:szCs w:val="22"/>
          <w:lang w:val="fr-FR"/>
        </w:rPr>
        <w:t xml:space="preserve">in </w:t>
      </w:r>
      <w:proofErr w:type="spellStart"/>
      <w:r w:rsidRPr="007C713C">
        <w:rPr>
          <w:rFonts w:ascii="Arial" w:hAnsi="Arial" w:cs="Arial"/>
          <w:bCs/>
          <w:i/>
          <w:iCs/>
          <w:sz w:val="22"/>
          <w:szCs w:val="22"/>
          <w:lang w:val="fr-FR"/>
        </w:rPr>
        <w:t>pr</w:t>
      </w:r>
      <w:r>
        <w:rPr>
          <w:rFonts w:ascii="Arial" w:hAnsi="Arial" w:cs="Arial"/>
          <w:bCs/>
          <w:i/>
          <w:iCs/>
          <w:sz w:val="22"/>
          <w:szCs w:val="22"/>
          <w:lang w:val="fr-FR"/>
        </w:rPr>
        <w:t>æ</w:t>
      </w:r>
      <w:r w:rsidRPr="007C713C">
        <w:rPr>
          <w:rFonts w:ascii="Arial" w:hAnsi="Arial" w:cs="Arial"/>
          <w:bCs/>
          <w:i/>
          <w:iCs/>
          <w:sz w:val="22"/>
          <w:szCs w:val="22"/>
          <w:lang w:val="fr-FR"/>
        </w:rPr>
        <w:t>sentia</w:t>
      </w:r>
      <w:proofErr w:type="spellEnd"/>
      <w:r w:rsidRPr="009634B8">
        <w:rPr>
          <w:rFonts w:ascii="Arial" w:hAnsi="Arial" w:cs="Arial"/>
          <w:bCs/>
          <w:sz w:val="22"/>
          <w:szCs w:val="22"/>
          <w:lang w:val="fr-FR"/>
        </w:rPr>
        <w:t>. Par conséquent, en cas de réunion en ligne, il f</w:t>
      </w:r>
      <w:r>
        <w:rPr>
          <w:rFonts w:ascii="Arial" w:hAnsi="Arial" w:cs="Arial"/>
          <w:bCs/>
          <w:sz w:val="22"/>
          <w:szCs w:val="22"/>
          <w:lang w:val="fr-FR"/>
        </w:rPr>
        <w:t>allait</w:t>
      </w:r>
      <w:r w:rsidRPr="009634B8">
        <w:rPr>
          <w:rFonts w:ascii="Arial" w:hAnsi="Arial" w:cs="Arial"/>
          <w:bCs/>
          <w:sz w:val="22"/>
          <w:szCs w:val="22"/>
          <w:lang w:val="fr-FR"/>
        </w:rPr>
        <w:t xml:space="preserve"> prévoir les conditions pour que les délégations puissent voter au </w:t>
      </w:r>
      <w:r>
        <w:rPr>
          <w:rFonts w:ascii="Arial" w:hAnsi="Arial" w:cs="Arial"/>
          <w:bCs/>
          <w:sz w:val="22"/>
          <w:szCs w:val="22"/>
          <w:lang w:val="fr-FR"/>
        </w:rPr>
        <w:t>S</w:t>
      </w:r>
      <w:r w:rsidRPr="009634B8">
        <w:rPr>
          <w:rFonts w:ascii="Arial" w:hAnsi="Arial" w:cs="Arial"/>
          <w:bCs/>
          <w:sz w:val="22"/>
          <w:szCs w:val="22"/>
          <w:lang w:val="fr-FR"/>
        </w:rPr>
        <w:t>iège. Sur le point relatif aux réunions hybrides, le Conseiller juridique a</w:t>
      </w:r>
      <w:r>
        <w:rPr>
          <w:rFonts w:ascii="Arial" w:hAnsi="Arial" w:cs="Arial"/>
          <w:bCs/>
          <w:sz w:val="22"/>
          <w:szCs w:val="22"/>
          <w:lang w:val="fr-FR"/>
        </w:rPr>
        <w:t>vait</w:t>
      </w:r>
      <w:r w:rsidRPr="009634B8">
        <w:rPr>
          <w:rFonts w:ascii="Arial" w:hAnsi="Arial" w:cs="Arial"/>
          <w:bCs/>
          <w:sz w:val="22"/>
          <w:szCs w:val="22"/>
          <w:lang w:val="fr-FR"/>
        </w:rPr>
        <w:t xml:space="preserve"> très clairement expliqué qu</w:t>
      </w:r>
      <w:r w:rsidR="008E532B">
        <w:rPr>
          <w:rFonts w:ascii="Arial" w:hAnsi="Arial" w:cs="Arial"/>
          <w:bCs/>
          <w:sz w:val="22"/>
          <w:szCs w:val="22"/>
          <w:lang w:val="fr-FR"/>
        </w:rPr>
        <w:t>’</w:t>
      </w:r>
      <w:r w:rsidRPr="009634B8">
        <w:rPr>
          <w:rFonts w:ascii="Arial" w:hAnsi="Arial" w:cs="Arial"/>
          <w:bCs/>
          <w:sz w:val="22"/>
          <w:szCs w:val="22"/>
          <w:lang w:val="fr-FR"/>
        </w:rPr>
        <w:t>il n</w:t>
      </w:r>
      <w:r w:rsidR="008E532B">
        <w:rPr>
          <w:rFonts w:ascii="Arial" w:hAnsi="Arial" w:cs="Arial"/>
          <w:bCs/>
          <w:sz w:val="22"/>
          <w:szCs w:val="22"/>
          <w:lang w:val="fr-FR"/>
        </w:rPr>
        <w:t>’</w:t>
      </w:r>
      <w:r w:rsidRPr="009634B8">
        <w:rPr>
          <w:rFonts w:ascii="Arial" w:hAnsi="Arial" w:cs="Arial"/>
          <w:bCs/>
          <w:sz w:val="22"/>
          <w:szCs w:val="22"/>
          <w:lang w:val="fr-FR"/>
        </w:rPr>
        <w:t xml:space="preserve">existe pas de concept de réunion </w:t>
      </w:r>
      <w:r>
        <w:rPr>
          <w:rFonts w:ascii="Arial" w:hAnsi="Arial" w:cs="Arial"/>
          <w:bCs/>
          <w:sz w:val="22"/>
          <w:szCs w:val="22"/>
          <w:lang w:val="fr-FR"/>
        </w:rPr>
        <w:t>« </w:t>
      </w:r>
      <w:r w:rsidRPr="009634B8">
        <w:rPr>
          <w:rFonts w:ascii="Arial" w:hAnsi="Arial" w:cs="Arial"/>
          <w:bCs/>
          <w:sz w:val="22"/>
          <w:szCs w:val="22"/>
          <w:lang w:val="fr-FR"/>
        </w:rPr>
        <w:t>hybride</w:t>
      </w:r>
      <w:r>
        <w:rPr>
          <w:rFonts w:ascii="Arial" w:hAnsi="Arial" w:cs="Arial"/>
          <w:bCs/>
          <w:sz w:val="22"/>
          <w:szCs w:val="22"/>
          <w:lang w:val="fr-FR"/>
        </w:rPr>
        <w:t> »</w:t>
      </w:r>
      <w:r w:rsidRPr="009634B8">
        <w:rPr>
          <w:rFonts w:ascii="Arial" w:hAnsi="Arial" w:cs="Arial"/>
          <w:bCs/>
          <w:sz w:val="22"/>
          <w:szCs w:val="22"/>
          <w:lang w:val="fr-FR"/>
        </w:rPr>
        <w:t xml:space="preserve"> dans les textes de l</w:t>
      </w:r>
      <w:r w:rsidR="008E532B">
        <w:rPr>
          <w:rFonts w:ascii="Arial" w:hAnsi="Arial" w:cs="Arial"/>
          <w:bCs/>
          <w:sz w:val="22"/>
          <w:szCs w:val="22"/>
          <w:lang w:val="fr-FR"/>
        </w:rPr>
        <w:t>’</w:t>
      </w:r>
      <w:r w:rsidRPr="009634B8">
        <w:rPr>
          <w:rFonts w:ascii="Arial" w:hAnsi="Arial" w:cs="Arial"/>
          <w:bCs/>
          <w:sz w:val="22"/>
          <w:szCs w:val="22"/>
          <w:lang w:val="fr-FR"/>
        </w:rPr>
        <w:t>UNESCO et que cela pourrait entraîner beaucoup de confusion et de complications. Ainsi, effectivement, les réunions se déroul</w:t>
      </w:r>
      <w:r>
        <w:rPr>
          <w:rFonts w:ascii="Arial" w:hAnsi="Arial" w:cs="Arial"/>
          <w:bCs/>
          <w:sz w:val="22"/>
          <w:szCs w:val="22"/>
          <w:lang w:val="fr-FR"/>
        </w:rPr>
        <w:t>ai</w:t>
      </w:r>
      <w:r w:rsidRPr="009634B8">
        <w:rPr>
          <w:rFonts w:ascii="Arial" w:hAnsi="Arial" w:cs="Arial"/>
          <w:bCs/>
          <w:sz w:val="22"/>
          <w:szCs w:val="22"/>
          <w:lang w:val="fr-FR"/>
        </w:rPr>
        <w:t>ent soit en</w:t>
      </w:r>
      <w:r>
        <w:rPr>
          <w:rFonts w:ascii="Arial" w:hAnsi="Arial" w:cs="Arial"/>
          <w:bCs/>
          <w:sz w:val="22"/>
          <w:szCs w:val="22"/>
          <w:lang w:val="fr-FR"/>
        </w:rPr>
        <w:t xml:space="preserve"> présentiel</w:t>
      </w:r>
      <w:r w:rsidRPr="009634B8">
        <w:rPr>
          <w:rFonts w:ascii="Arial" w:hAnsi="Arial" w:cs="Arial"/>
          <w:bCs/>
          <w:sz w:val="22"/>
          <w:szCs w:val="22"/>
          <w:lang w:val="fr-FR"/>
        </w:rPr>
        <w:t>, soit en ligne à titre exceptionnel. La délégation estim</w:t>
      </w:r>
      <w:r>
        <w:rPr>
          <w:rFonts w:ascii="Arial" w:hAnsi="Arial" w:cs="Arial"/>
          <w:bCs/>
          <w:sz w:val="22"/>
          <w:szCs w:val="22"/>
          <w:lang w:val="fr-FR"/>
        </w:rPr>
        <w:t>ait</w:t>
      </w:r>
      <w:r w:rsidRPr="009634B8">
        <w:rPr>
          <w:rFonts w:ascii="Arial" w:hAnsi="Arial" w:cs="Arial"/>
          <w:bCs/>
          <w:sz w:val="22"/>
          <w:szCs w:val="22"/>
          <w:lang w:val="fr-FR"/>
        </w:rPr>
        <w:t xml:space="preserve"> qu</w:t>
      </w:r>
      <w:r w:rsidR="008E532B">
        <w:rPr>
          <w:rFonts w:ascii="Arial" w:hAnsi="Arial" w:cs="Arial"/>
          <w:bCs/>
          <w:sz w:val="22"/>
          <w:szCs w:val="22"/>
          <w:lang w:val="fr-FR"/>
        </w:rPr>
        <w:t>’</w:t>
      </w:r>
      <w:r w:rsidRPr="009634B8">
        <w:rPr>
          <w:rFonts w:ascii="Arial" w:hAnsi="Arial" w:cs="Arial"/>
          <w:bCs/>
          <w:sz w:val="22"/>
          <w:szCs w:val="22"/>
          <w:lang w:val="fr-FR"/>
        </w:rPr>
        <w:t xml:space="preserve">il </w:t>
      </w:r>
      <w:r>
        <w:rPr>
          <w:rFonts w:ascii="Arial" w:hAnsi="Arial" w:cs="Arial"/>
          <w:bCs/>
          <w:sz w:val="22"/>
          <w:szCs w:val="22"/>
          <w:lang w:val="fr-FR"/>
        </w:rPr>
        <w:t>était</w:t>
      </w:r>
      <w:r w:rsidRPr="009634B8">
        <w:rPr>
          <w:rFonts w:ascii="Arial" w:hAnsi="Arial" w:cs="Arial"/>
          <w:bCs/>
          <w:sz w:val="22"/>
          <w:szCs w:val="22"/>
          <w:lang w:val="fr-FR"/>
        </w:rPr>
        <w:t xml:space="preserve"> toutefois possible d</w:t>
      </w:r>
      <w:r w:rsidR="008E532B">
        <w:rPr>
          <w:rFonts w:ascii="Arial" w:hAnsi="Arial" w:cs="Arial"/>
          <w:bCs/>
          <w:sz w:val="22"/>
          <w:szCs w:val="22"/>
          <w:lang w:val="fr-FR"/>
        </w:rPr>
        <w:t>’</w:t>
      </w:r>
      <w:r w:rsidRPr="009634B8">
        <w:rPr>
          <w:rFonts w:ascii="Arial" w:hAnsi="Arial" w:cs="Arial"/>
          <w:bCs/>
          <w:sz w:val="22"/>
          <w:szCs w:val="22"/>
          <w:lang w:val="fr-FR"/>
        </w:rPr>
        <w:t xml:space="preserve">inviter des experts à assister à une réunion à distance, mais </w:t>
      </w:r>
      <w:r>
        <w:rPr>
          <w:rFonts w:ascii="Arial" w:hAnsi="Arial" w:cs="Arial"/>
          <w:bCs/>
          <w:sz w:val="22"/>
          <w:szCs w:val="22"/>
          <w:lang w:val="fr-FR"/>
        </w:rPr>
        <w:t xml:space="preserve">étant entendu </w:t>
      </w:r>
      <w:r w:rsidRPr="009634B8">
        <w:rPr>
          <w:rFonts w:ascii="Arial" w:hAnsi="Arial" w:cs="Arial"/>
          <w:bCs/>
          <w:sz w:val="22"/>
          <w:szCs w:val="22"/>
          <w:lang w:val="fr-FR"/>
        </w:rPr>
        <w:t xml:space="preserve">que la réunion se tienne statutairement </w:t>
      </w:r>
      <w:r>
        <w:rPr>
          <w:rFonts w:ascii="Arial" w:hAnsi="Arial" w:cs="Arial"/>
          <w:bCs/>
          <w:sz w:val="22"/>
          <w:szCs w:val="22"/>
          <w:lang w:val="fr-FR"/>
        </w:rPr>
        <w:t>en présentiel</w:t>
      </w:r>
      <w:r w:rsidRPr="009634B8">
        <w:rPr>
          <w:rFonts w:ascii="Arial" w:hAnsi="Arial" w:cs="Arial"/>
          <w:bCs/>
          <w:sz w:val="22"/>
          <w:szCs w:val="22"/>
          <w:lang w:val="fr-FR"/>
        </w:rPr>
        <w:t>. Enfin, concernant l</w:t>
      </w:r>
      <w:r w:rsidR="008E532B">
        <w:rPr>
          <w:rFonts w:ascii="Arial" w:hAnsi="Arial" w:cs="Arial"/>
          <w:bCs/>
          <w:sz w:val="22"/>
          <w:szCs w:val="22"/>
          <w:lang w:val="fr-FR"/>
        </w:rPr>
        <w:t>’</w:t>
      </w:r>
      <w:r w:rsidRPr="009634B8">
        <w:rPr>
          <w:rFonts w:ascii="Arial" w:hAnsi="Arial" w:cs="Arial"/>
          <w:bCs/>
          <w:sz w:val="22"/>
          <w:szCs w:val="22"/>
          <w:lang w:val="fr-FR"/>
        </w:rPr>
        <w:t>article 3.3, la France s</w:t>
      </w:r>
      <w:r>
        <w:rPr>
          <w:rFonts w:ascii="Arial" w:hAnsi="Arial" w:cs="Arial"/>
          <w:bCs/>
          <w:sz w:val="22"/>
          <w:szCs w:val="22"/>
          <w:lang w:val="fr-FR"/>
        </w:rPr>
        <w:t>outenait</w:t>
      </w:r>
      <w:r w:rsidRPr="009634B8">
        <w:rPr>
          <w:rFonts w:ascii="Arial" w:hAnsi="Arial" w:cs="Arial"/>
          <w:bCs/>
          <w:sz w:val="22"/>
          <w:szCs w:val="22"/>
          <w:lang w:val="fr-FR"/>
        </w:rPr>
        <w:t xml:space="preserve"> le libellé actuel.</w:t>
      </w:r>
    </w:p>
    <w:p w14:paraId="350BD6BF"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 xml:space="preserve">Fitness Committee is only $100, most of which is or will be utilized for our </w:t>
      </w:r>
      <w:proofErr w:type="gramStart"/>
      <w:r w:rsidRPr="00D9653F">
        <w:rPr>
          <w:rFonts w:ascii="Arial" w:hAnsi="Arial" w:cs="Arial"/>
          <w:color w:val="000000"/>
          <w:sz w:val="22"/>
          <w:szCs w:val="22"/>
        </w:rPr>
        <w:t>Programs</w:t>
      </w:r>
      <w:proofErr w:type="gramEnd"/>
      <w:r w:rsidRPr="00D9653F">
        <w:rPr>
          <w:rFonts w:ascii="Arial" w:hAnsi="Arial" w:cs="Arial"/>
          <w:color w:val="000000"/>
          <w:sz w:val="22"/>
          <w:szCs w:val="22"/>
        </w:rPr>
        <w:t xml:space="preserve"> </w:t>
      </w:r>
    </w:p>
    <w:p w14:paraId="223A24B8"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w:t>
      </w:r>
      <w:proofErr w:type="gramStart"/>
      <w:r w:rsidRPr="00D9653F">
        <w:rPr>
          <w:rFonts w:ascii="Arial" w:hAnsi="Arial" w:cs="Arial"/>
          <w:color w:val="000000"/>
          <w:sz w:val="22"/>
          <w:szCs w:val="22"/>
        </w:rPr>
        <w:t>such</w:t>
      </w:r>
      <w:proofErr w:type="gramEnd"/>
      <w:r w:rsidRPr="00D9653F">
        <w:rPr>
          <w:rFonts w:ascii="Arial" w:hAnsi="Arial" w:cs="Arial"/>
          <w:color w:val="000000"/>
          <w:sz w:val="22"/>
          <w:szCs w:val="22"/>
        </w:rPr>
        <w:t xml:space="preserve"> as the “Treadmill Challenge”, a speaker </w:t>
      </w:r>
      <w:proofErr w:type="spellStart"/>
      <w:r w:rsidRPr="00D9653F">
        <w:rPr>
          <w:rFonts w:ascii="Arial" w:hAnsi="Arial" w:cs="Arial"/>
          <w:color w:val="000000"/>
          <w:sz w:val="22"/>
          <w:szCs w:val="22"/>
        </w:rPr>
        <w:t>coning</w:t>
      </w:r>
      <w:proofErr w:type="spellEnd"/>
      <w:r w:rsidRPr="00D9653F">
        <w:rPr>
          <w:rFonts w:ascii="Arial" w:hAnsi="Arial" w:cs="Arial"/>
          <w:color w:val="000000"/>
          <w:sz w:val="22"/>
          <w:szCs w:val="22"/>
        </w:rPr>
        <w:t xml:space="preserve"> in to talk to the community in a </w:t>
      </w:r>
    </w:p>
    <w:p w14:paraId="2B9F7DB0" w14:textId="77777777" w:rsidR="00D9653F" w:rsidRPr="00D9653F" w:rsidRDefault="00D9653F" w:rsidP="00BB218A">
      <w:pPr>
        <w:shd w:val="clear" w:color="auto" w:fill="FFFFFF"/>
        <w:spacing w:line="0" w:lineRule="auto"/>
        <w:rPr>
          <w:rFonts w:ascii="Arial" w:hAnsi="Arial" w:cs="Arial"/>
          <w:color w:val="000000"/>
          <w:sz w:val="22"/>
          <w:szCs w:val="22"/>
        </w:rPr>
      </w:pPr>
      <w:r w:rsidRPr="00D9653F">
        <w:rPr>
          <w:rFonts w:ascii="Arial" w:hAnsi="Arial" w:cs="Arial"/>
          <w:color w:val="000000"/>
          <w:sz w:val="22"/>
          <w:szCs w:val="22"/>
        </w:rPr>
        <w:t>lecture entitled “Exercising and Aging”, etc.), we decided to come to the Task Force with</w:t>
      </w:r>
    </w:p>
    <w:p w14:paraId="20A5906C" w14:textId="77777777" w:rsidR="00D9653F" w:rsidRPr="003C17D5" w:rsidRDefault="00D9653F" w:rsidP="00BB218A">
      <w:pPr>
        <w:shd w:val="clear" w:color="auto" w:fill="FFFFFF"/>
        <w:spacing w:line="0" w:lineRule="auto"/>
        <w:rPr>
          <w:rFonts w:ascii="Arial" w:hAnsi="Arial" w:cs="Arial"/>
          <w:color w:val="000000"/>
          <w:sz w:val="22"/>
          <w:szCs w:val="22"/>
          <w:lang w:val="fr-FR"/>
        </w:rPr>
      </w:pPr>
      <w:proofErr w:type="gramStart"/>
      <w:r w:rsidRPr="003C17D5">
        <w:rPr>
          <w:rFonts w:ascii="Arial" w:hAnsi="Arial" w:cs="Arial"/>
          <w:color w:val="000000"/>
          <w:sz w:val="22"/>
          <w:szCs w:val="22"/>
          <w:lang w:val="fr-FR"/>
        </w:rPr>
        <w:t>out</w:t>
      </w:r>
      <w:proofErr w:type="gramEnd"/>
      <w:r w:rsidRPr="003C17D5">
        <w:rPr>
          <w:rFonts w:ascii="Arial" w:hAnsi="Arial" w:cs="Arial"/>
          <w:color w:val="000000"/>
          <w:sz w:val="22"/>
          <w:szCs w:val="22"/>
          <w:lang w:val="fr-FR"/>
        </w:rPr>
        <w:t xml:space="preserve"> </w:t>
      </w:r>
      <w:proofErr w:type="spellStart"/>
      <w:r w:rsidRPr="003C17D5">
        <w:rPr>
          <w:rFonts w:ascii="Arial" w:hAnsi="Arial" w:cs="Arial"/>
          <w:color w:val="000000"/>
          <w:sz w:val="22"/>
          <w:szCs w:val="22"/>
          <w:lang w:val="fr-FR"/>
        </w:rPr>
        <w:t>proposal</w:t>
      </w:r>
      <w:proofErr w:type="spellEnd"/>
      <w:r w:rsidRPr="003C17D5">
        <w:rPr>
          <w:rFonts w:ascii="Arial" w:hAnsi="Arial" w:cs="Arial"/>
          <w:color w:val="000000"/>
          <w:sz w:val="22"/>
          <w:szCs w:val="22"/>
          <w:lang w:val="fr-FR"/>
        </w:rPr>
        <w:t>.</w:t>
      </w:r>
    </w:p>
    <w:p w14:paraId="0AA23DA7" w14:textId="721B143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F58AE">
        <w:rPr>
          <w:rFonts w:ascii="Arial" w:hAnsi="Arial" w:cs="Arial"/>
          <w:bCs/>
          <w:sz w:val="22"/>
          <w:szCs w:val="22"/>
          <w:lang w:val="fr-FR"/>
        </w:rPr>
        <w:t xml:space="preserve">La délégation </w:t>
      </w:r>
      <w:r>
        <w:rPr>
          <w:rFonts w:ascii="Arial" w:hAnsi="Arial" w:cs="Arial"/>
          <w:bCs/>
          <w:sz w:val="22"/>
          <w:szCs w:val="22"/>
          <w:lang w:val="fr-FR"/>
        </w:rPr>
        <w:t xml:space="preserve">de </w:t>
      </w:r>
      <w:r w:rsidRPr="004D7BE1">
        <w:rPr>
          <w:rFonts w:ascii="Arial" w:hAnsi="Arial" w:cs="Arial"/>
          <w:b/>
          <w:sz w:val="22"/>
          <w:szCs w:val="22"/>
          <w:lang w:val="fr-FR"/>
        </w:rPr>
        <w:t>Cuba</w:t>
      </w:r>
      <w:r w:rsidRPr="00EF58AE">
        <w:rPr>
          <w:rFonts w:ascii="Arial" w:hAnsi="Arial" w:cs="Arial"/>
          <w:bCs/>
          <w:sz w:val="22"/>
          <w:szCs w:val="22"/>
          <w:lang w:val="fr-FR"/>
        </w:rPr>
        <w:t xml:space="preserve"> partage</w:t>
      </w:r>
      <w:r>
        <w:rPr>
          <w:rFonts w:ascii="Arial" w:hAnsi="Arial" w:cs="Arial"/>
          <w:bCs/>
          <w:sz w:val="22"/>
          <w:szCs w:val="22"/>
          <w:lang w:val="fr-FR"/>
        </w:rPr>
        <w:t>ait</w:t>
      </w:r>
      <w:r w:rsidRPr="00EF58AE">
        <w:rPr>
          <w:rFonts w:ascii="Arial" w:hAnsi="Arial" w:cs="Arial"/>
          <w:bCs/>
          <w:sz w:val="22"/>
          <w:szCs w:val="22"/>
          <w:lang w:val="fr-FR"/>
        </w:rPr>
        <w:t xml:space="preserve"> les préoccupations exprimées par certaines délégations concernant les réunions virtuelles et hybrides. </w:t>
      </w:r>
      <w:r>
        <w:rPr>
          <w:rFonts w:ascii="Arial" w:hAnsi="Arial" w:cs="Arial"/>
          <w:bCs/>
          <w:sz w:val="22"/>
          <w:szCs w:val="22"/>
          <w:lang w:val="fr-FR"/>
        </w:rPr>
        <w:t>I</w:t>
      </w:r>
      <w:r w:rsidRPr="00EF58AE">
        <w:rPr>
          <w:rFonts w:ascii="Arial" w:hAnsi="Arial" w:cs="Arial"/>
          <w:bCs/>
          <w:sz w:val="22"/>
          <w:szCs w:val="22"/>
          <w:lang w:val="fr-FR"/>
        </w:rPr>
        <w:t xml:space="preserve">l y avait </w:t>
      </w:r>
      <w:r>
        <w:rPr>
          <w:rFonts w:ascii="Arial" w:hAnsi="Arial" w:cs="Arial"/>
          <w:bCs/>
          <w:sz w:val="22"/>
          <w:szCs w:val="22"/>
          <w:lang w:val="fr-FR"/>
        </w:rPr>
        <w:t xml:space="preserve">effectivement </w:t>
      </w:r>
      <w:r w:rsidRPr="00EF58AE">
        <w:rPr>
          <w:rFonts w:ascii="Arial" w:hAnsi="Arial" w:cs="Arial"/>
          <w:bCs/>
          <w:sz w:val="22"/>
          <w:szCs w:val="22"/>
          <w:lang w:val="fr-FR"/>
        </w:rPr>
        <w:t xml:space="preserve">eu un manque de clarté sur cette question au cours des deux dernières années de pandémie. Pour la délégation, il </w:t>
      </w:r>
      <w:r>
        <w:rPr>
          <w:rFonts w:ascii="Arial" w:hAnsi="Arial" w:cs="Arial"/>
          <w:bCs/>
          <w:sz w:val="22"/>
          <w:szCs w:val="22"/>
          <w:lang w:val="fr-FR"/>
        </w:rPr>
        <w:t>était essentiel</w:t>
      </w:r>
      <w:r w:rsidRPr="00EF58AE">
        <w:rPr>
          <w:rFonts w:ascii="Arial" w:hAnsi="Arial" w:cs="Arial"/>
          <w:bCs/>
          <w:sz w:val="22"/>
          <w:szCs w:val="22"/>
          <w:lang w:val="fr-FR"/>
        </w:rPr>
        <w:t xml:space="preserve"> que le vote et, en particulier, le vote à bulletin</w:t>
      </w:r>
      <w:r>
        <w:rPr>
          <w:rFonts w:ascii="Arial" w:hAnsi="Arial" w:cs="Arial"/>
          <w:bCs/>
          <w:sz w:val="22"/>
          <w:szCs w:val="22"/>
          <w:lang w:val="fr-FR"/>
        </w:rPr>
        <w:t>s</w:t>
      </w:r>
      <w:r w:rsidRPr="00EF58AE">
        <w:rPr>
          <w:rFonts w:ascii="Arial" w:hAnsi="Arial" w:cs="Arial"/>
          <w:bCs/>
          <w:sz w:val="22"/>
          <w:szCs w:val="22"/>
          <w:lang w:val="fr-FR"/>
        </w:rPr>
        <w:t xml:space="preserve"> secret</w:t>
      </w:r>
      <w:r>
        <w:rPr>
          <w:rFonts w:ascii="Arial" w:hAnsi="Arial" w:cs="Arial"/>
          <w:bCs/>
          <w:sz w:val="22"/>
          <w:szCs w:val="22"/>
          <w:lang w:val="fr-FR"/>
        </w:rPr>
        <w:t>s</w:t>
      </w:r>
      <w:r w:rsidRPr="00EF58AE">
        <w:rPr>
          <w:rFonts w:ascii="Arial" w:hAnsi="Arial" w:cs="Arial"/>
          <w:bCs/>
          <w:sz w:val="22"/>
          <w:szCs w:val="22"/>
          <w:lang w:val="fr-FR"/>
        </w:rPr>
        <w:t xml:space="preserve">, se déroule </w:t>
      </w:r>
      <w:r w:rsidRPr="007C713C">
        <w:rPr>
          <w:rFonts w:ascii="Arial" w:hAnsi="Arial" w:cs="Arial"/>
          <w:bCs/>
          <w:i/>
          <w:iCs/>
          <w:sz w:val="22"/>
          <w:szCs w:val="22"/>
          <w:lang w:val="fr-FR"/>
        </w:rPr>
        <w:t xml:space="preserve">in </w:t>
      </w:r>
      <w:proofErr w:type="spellStart"/>
      <w:r w:rsidRPr="007C713C">
        <w:rPr>
          <w:rFonts w:ascii="Arial" w:hAnsi="Arial" w:cs="Arial"/>
          <w:bCs/>
          <w:i/>
          <w:iCs/>
          <w:sz w:val="22"/>
          <w:szCs w:val="22"/>
          <w:lang w:val="fr-FR"/>
        </w:rPr>
        <w:t>pr</w:t>
      </w:r>
      <w:r>
        <w:rPr>
          <w:rFonts w:ascii="Arial" w:hAnsi="Arial" w:cs="Arial"/>
          <w:bCs/>
          <w:i/>
          <w:iCs/>
          <w:sz w:val="22"/>
          <w:szCs w:val="22"/>
          <w:lang w:val="fr-FR"/>
        </w:rPr>
        <w:t>æ</w:t>
      </w:r>
      <w:r w:rsidRPr="007C713C">
        <w:rPr>
          <w:rFonts w:ascii="Arial" w:hAnsi="Arial" w:cs="Arial"/>
          <w:bCs/>
          <w:i/>
          <w:iCs/>
          <w:sz w:val="22"/>
          <w:szCs w:val="22"/>
          <w:lang w:val="fr-FR"/>
        </w:rPr>
        <w:t>sentia</w:t>
      </w:r>
      <w:proofErr w:type="spellEnd"/>
      <w:r w:rsidRPr="00EF58AE">
        <w:rPr>
          <w:rFonts w:ascii="Arial" w:hAnsi="Arial" w:cs="Arial"/>
          <w:bCs/>
          <w:sz w:val="22"/>
          <w:szCs w:val="22"/>
          <w:lang w:val="fr-FR"/>
        </w:rPr>
        <w:t>. Ce ne serait pas une bonne idée que l</w:t>
      </w:r>
      <w:r w:rsidR="008E532B">
        <w:rPr>
          <w:rFonts w:ascii="Arial" w:hAnsi="Arial" w:cs="Arial"/>
          <w:bCs/>
          <w:sz w:val="22"/>
          <w:szCs w:val="22"/>
          <w:lang w:val="fr-FR"/>
        </w:rPr>
        <w:t>’</w:t>
      </w:r>
      <w:r w:rsidRPr="00EF58AE">
        <w:rPr>
          <w:rFonts w:ascii="Arial" w:hAnsi="Arial" w:cs="Arial"/>
          <w:bCs/>
          <w:sz w:val="22"/>
          <w:szCs w:val="22"/>
          <w:lang w:val="fr-FR"/>
        </w:rPr>
        <w:t>Assemblée générale crée un précédent qui aurait ensuite un</w:t>
      </w:r>
      <w:r>
        <w:rPr>
          <w:rFonts w:ascii="Arial" w:hAnsi="Arial" w:cs="Arial"/>
          <w:bCs/>
          <w:sz w:val="22"/>
          <w:szCs w:val="22"/>
          <w:lang w:val="fr-FR"/>
        </w:rPr>
        <w:t xml:space="preserve">e </w:t>
      </w:r>
      <w:r w:rsidRPr="004D7BE1">
        <w:rPr>
          <w:rFonts w:ascii="Arial" w:hAnsi="Arial" w:cs="Arial"/>
          <w:bCs/>
          <w:sz w:val="22"/>
          <w:szCs w:val="22"/>
          <w:lang w:val="fr-FR"/>
        </w:rPr>
        <w:t>incidence</w:t>
      </w:r>
      <w:r>
        <w:rPr>
          <w:rFonts w:ascii="Arial" w:hAnsi="Arial" w:cs="Arial"/>
          <w:bCs/>
          <w:sz w:val="22"/>
          <w:szCs w:val="22"/>
          <w:lang w:val="fr-FR"/>
        </w:rPr>
        <w:t xml:space="preserve"> </w:t>
      </w:r>
      <w:r w:rsidRPr="00EF58AE">
        <w:rPr>
          <w:rFonts w:ascii="Arial" w:hAnsi="Arial" w:cs="Arial"/>
          <w:bCs/>
          <w:sz w:val="22"/>
          <w:szCs w:val="22"/>
          <w:lang w:val="fr-FR"/>
        </w:rPr>
        <w:t>sur d</w:t>
      </w:r>
      <w:r w:rsidR="008E532B">
        <w:rPr>
          <w:rFonts w:ascii="Arial" w:hAnsi="Arial" w:cs="Arial"/>
          <w:bCs/>
          <w:sz w:val="22"/>
          <w:szCs w:val="22"/>
          <w:lang w:val="fr-FR"/>
        </w:rPr>
        <w:t>’</w:t>
      </w:r>
      <w:r w:rsidRPr="00EF58AE">
        <w:rPr>
          <w:rFonts w:ascii="Arial" w:hAnsi="Arial" w:cs="Arial"/>
          <w:bCs/>
          <w:sz w:val="22"/>
          <w:szCs w:val="22"/>
          <w:lang w:val="fr-FR"/>
        </w:rPr>
        <w:t xml:space="preserve">autres forums. Par exemple, le </w:t>
      </w:r>
      <w:r>
        <w:rPr>
          <w:rFonts w:ascii="Arial" w:hAnsi="Arial" w:cs="Arial"/>
          <w:bCs/>
          <w:sz w:val="22"/>
          <w:szCs w:val="22"/>
          <w:lang w:val="fr-FR"/>
        </w:rPr>
        <w:t xml:space="preserve">Conseil </w:t>
      </w:r>
      <w:r w:rsidRPr="00EF58AE">
        <w:rPr>
          <w:rFonts w:ascii="Arial" w:hAnsi="Arial" w:cs="Arial"/>
          <w:bCs/>
          <w:sz w:val="22"/>
          <w:szCs w:val="22"/>
          <w:lang w:val="fr-FR"/>
        </w:rPr>
        <w:t xml:space="preserve">exécutif </w:t>
      </w:r>
      <w:r>
        <w:rPr>
          <w:rFonts w:ascii="Arial" w:hAnsi="Arial" w:cs="Arial"/>
          <w:bCs/>
          <w:sz w:val="22"/>
          <w:szCs w:val="22"/>
          <w:lang w:val="fr-FR"/>
        </w:rPr>
        <w:t xml:space="preserve">avait été </w:t>
      </w:r>
      <w:r w:rsidRPr="00EF58AE">
        <w:rPr>
          <w:rFonts w:ascii="Arial" w:hAnsi="Arial" w:cs="Arial"/>
          <w:bCs/>
          <w:sz w:val="22"/>
          <w:szCs w:val="22"/>
          <w:lang w:val="fr-FR"/>
        </w:rPr>
        <w:t>l</w:t>
      </w:r>
      <w:r w:rsidR="008E532B">
        <w:rPr>
          <w:rFonts w:ascii="Arial" w:hAnsi="Arial" w:cs="Arial"/>
          <w:bCs/>
          <w:sz w:val="22"/>
          <w:szCs w:val="22"/>
          <w:lang w:val="fr-FR"/>
        </w:rPr>
        <w:t>’</w:t>
      </w:r>
      <w:r w:rsidRPr="00EF58AE">
        <w:rPr>
          <w:rFonts w:ascii="Arial" w:hAnsi="Arial" w:cs="Arial"/>
          <w:bCs/>
          <w:sz w:val="22"/>
          <w:szCs w:val="22"/>
          <w:lang w:val="fr-FR"/>
        </w:rPr>
        <w:t xml:space="preserve">un des premiers organes à </w:t>
      </w:r>
      <w:r>
        <w:rPr>
          <w:rFonts w:ascii="Arial" w:hAnsi="Arial" w:cs="Arial"/>
          <w:bCs/>
          <w:sz w:val="22"/>
          <w:szCs w:val="22"/>
          <w:lang w:val="fr-FR"/>
        </w:rPr>
        <w:t xml:space="preserve">devoir </w:t>
      </w:r>
      <w:r w:rsidRPr="00EF58AE">
        <w:rPr>
          <w:rFonts w:ascii="Arial" w:hAnsi="Arial" w:cs="Arial"/>
          <w:bCs/>
          <w:sz w:val="22"/>
          <w:szCs w:val="22"/>
          <w:lang w:val="fr-FR"/>
        </w:rPr>
        <w:t>faire face à cette situation. Par définition, cela poserait des problèmes pour le bon fonctionnement de l</w:t>
      </w:r>
      <w:r w:rsidR="008E532B">
        <w:rPr>
          <w:rFonts w:ascii="Arial" w:hAnsi="Arial" w:cs="Arial"/>
          <w:bCs/>
          <w:sz w:val="22"/>
          <w:szCs w:val="22"/>
          <w:lang w:val="fr-FR"/>
        </w:rPr>
        <w:t>’</w:t>
      </w:r>
      <w:r w:rsidRPr="00EF58AE">
        <w:rPr>
          <w:rFonts w:ascii="Arial" w:hAnsi="Arial" w:cs="Arial"/>
          <w:bCs/>
          <w:sz w:val="22"/>
          <w:szCs w:val="22"/>
          <w:lang w:val="fr-FR"/>
        </w:rPr>
        <w:t>Assemblée, comme on l</w:t>
      </w:r>
      <w:r w:rsidR="008E532B">
        <w:rPr>
          <w:rFonts w:ascii="Arial" w:hAnsi="Arial" w:cs="Arial"/>
          <w:bCs/>
          <w:sz w:val="22"/>
          <w:szCs w:val="22"/>
          <w:lang w:val="fr-FR"/>
        </w:rPr>
        <w:t>’</w:t>
      </w:r>
      <w:r w:rsidRPr="00EF58AE">
        <w:rPr>
          <w:rFonts w:ascii="Arial" w:hAnsi="Arial" w:cs="Arial"/>
          <w:bCs/>
          <w:sz w:val="22"/>
          <w:szCs w:val="22"/>
          <w:lang w:val="fr-FR"/>
        </w:rPr>
        <w:t>a</w:t>
      </w:r>
      <w:r>
        <w:rPr>
          <w:rFonts w:ascii="Arial" w:hAnsi="Arial" w:cs="Arial"/>
          <w:bCs/>
          <w:sz w:val="22"/>
          <w:szCs w:val="22"/>
          <w:lang w:val="fr-FR"/>
        </w:rPr>
        <w:t>vait</w:t>
      </w:r>
      <w:r w:rsidRPr="00EF58AE">
        <w:rPr>
          <w:rFonts w:ascii="Arial" w:hAnsi="Arial" w:cs="Arial"/>
          <w:bCs/>
          <w:sz w:val="22"/>
          <w:szCs w:val="22"/>
          <w:lang w:val="fr-FR"/>
        </w:rPr>
        <w:t xml:space="preserve"> déjà vu avec la Convention de 1970. L</w:t>
      </w:r>
      <w:r w:rsidR="008E532B">
        <w:rPr>
          <w:rFonts w:ascii="Arial" w:hAnsi="Arial" w:cs="Arial"/>
          <w:bCs/>
          <w:sz w:val="22"/>
          <w:szCs w:val="22"/>
          <w:lang w:val="fr-FR"/>
        </w:rPr>
        <w:t>’</w:t>
      </w:r>
      <w:r w:rsidRPr="00EF58AE">
        <w:rPr>
          <w:rFonts w:ascii="Arial" w:hAnsi="Arial" w:cs="Arial"/>
          <w:bCs/>
          <w:sz w:val="22"/>
          <w:szCs w:val="22"/>
          <w:lang w:val="fr-FR"/>
        </w:rPr>
        <w:t>Assemblée d</w:t>
      </w:r>
      <w:r>
        <w:rPr>
          <w:rFonts w:ascii="Arial" w:hAnsi="Arial" w:cs="Arial"/>
          <w:bCs/>
          <w:sz w:val="22"/>
          <w:szCs w:val="22"/>
          <w:lang w:val="fr-FR"/>
        </w:rPr>
        <w:t>evait</w:t>
      </w:r>
      <w:r w:rsidRPr="00EF58AE">
        <w:rPr>
          <w:rFonts w:ascii="Arial" w:hAnsi="Arial" w:cs="Arial"/>
          <w:bCs/>
          <w:sz w:val="22"/>
          <w:szCs w:val="22"/>
          <w:lang w:val="fr-FR"/>
        </w:rPr>
        <w:t xml:space="preserve"> donc rapidement trouver un moyen de faire en sorte que les procédures de vote se déroulent</w:t>
      </w:r>
      <w:r>
        <w:rPr>
          <w:rFonts w:ascii="Arial" w:hAnsi="Arial" w:cs="Arial"/>
          <w:bCs/>
          <w:sz w:val="22"/>
          <w:szCs w:val="22"/>
          <w:lang w:val="fr-FR"/>
        </w:rPr>
        <w:t xml:space="preserve"> </w:t>
      </w:r>
      <w:r w:rsidRPr="007C713C">
        <w:rPr>
          <w:rFonts w:ascii="Arial" w:hAnsi="Arial" w:cs="Arial"/>
          <w:bCs/>
          <w:i/>
          <w:iCs/>
          <w:sz w:val="22"/>
          <w:szCs w:val="22"/>
          <w:lang w:val="fr-FR"/>
        </w:rPr>
        <w:t xml:space="preserve">in </w:t>
      </w:r>
      <w:proofErr w:type="spellStart"/>
      <w:r w:rsidRPr="007C713C">
        <w:rPr>
          <w:rFonts w:ascii="Arial" w:hAnsi="Arial" w:cs="Arial"/>
          <w:bCs/>
          <w:i/>
          <w:iCs/>
          <w:sz w:val="22"/>
          <w:szCs w:val="22"/>
          <w:lang w:val="fr-FR"/>
        </w:rPr>
        <w:t>pr</w:t>
      </w:r>
      <w:r>
        <w:rPr>
          <w:rFonts w:ascii="Arial" w:hAnsi="Arial" w:cs="Arial"/>
          <w:bCs/>
          <w:i/>
          <w:iCs/>
          <w:sz w:val="22"/>
          <w:szCs w:val="22"/>
          <w:lang w:val="fr-FR"/>
        </w:rPr>
        <w:t>æ</w:t>
      </w:r>
      <w:r w:rsidRPr="007C713C">
        <w:rPr>
          <w:rFonts w:ascii="Arial" w:hAnsi="Arial" w:cs="Arial"/>
          <w:bCs/>
          <w:i/>
          <w:iCs/>
          <w:sz w:val="22"/>
          <w:szCs w:val="22"/>
          <w:lang w:val="fr-FR"/>
        </w:rPr>
        <w:t>sentia</w:t>
      </w:r>
      <w:proofErr w:type="spellEnd"/>
      <w:r w:rsidRPr="00EF58AE">
        <w:rPr>
          <w:rFonts w:ascii="Arial" w:hAnsi="Arial" w:cs="Arial"/>
          <w:bCs/>
          <w:sz w:val="22"/>
          <w:szCs w:val="22"/>
          <w:lang w:val="fr-FR"/>
        </w:rPr>
        <w:t xml:space="preserve">. La délégation </w:t>
      </w:r>
      <w:r>
        <w:rPr>
          <w:rFonts w:ascii="Arial" w:hAnsi="Arial" w:cs="Arial"/>
          <w:bCs/>
          <w:sz w:val="22"/>
          <w:szCs w:val="22"/>
          <w:lang w:val="fr-FR"/>
        </w:rPr>
        <w:t xml:space="preserve">convenait </w:t>
      </w:r>
      <w:r w:rsidRPr="00EF58AE">
        <w:rPr>
          <w:rFonts w:ascii="Arial" w:hAnsi="Arial" w:cs="Arial"/>
          <w:bCs/>
          <w:sz w:val="22"/>
          <w:szCs w:val="22"/>
          <w:lang w:val="fr-FR"/>
        </w:rPr>
        <w:t>que les réunions hybrides cré</w:t>
      </w:r>
      <w:r>
        <w:rPr>
          <w:rFonts w:ascii="Arial" w:hAnsi="Arial" w:cs="Arial"/>
          <w:bCs/>
          <w:sz w:val="22"/>
          <w:szCs w:val="22"/>
          <w:lang w:val="fr-FR"/>
        </w:rPr>
        <w:t>ai</w:t>
      </w:r>
      <w:r w:rsidRPr="00EF58AE">
        <w:rPr>
          <w:rFonts w:ascii="Arial" w:hAnsi="Arial" w:cs="Arial"/>
          <w:bCs/>
          <w:sz w:val="22"/>
          <w:szCs w:val="22"/>
          <w:lang w:val="fr-FR"/>
        </w:rPr>
        <w:t xml:space="preserve">ent des difficultés. Par exemple, les réunions hybrides </w:t>
      </w:r>
      <w:r>
        <w:rPr>
          <w:rFonts w:ascii="Arial" w:hAnsi="Arial" w:cs="Arial"/>
          <w:bCs/>
          <w:sz w:val="22"/>
          <w:szCs w:val="22"/>
          <w:lang w:val="fr-FR"/>
        </w:rPr>
        <w:t>avaient</w:t>
      </w:r>
      <w:r w:rsidRPr="00EF58AE">
        <w:rPr>
          <w:rFonts w:ascii="Arial" w:hAnsi="Arial" w:cs="Arial"/>
          <w:bCs/>
          <w:sz w:val="22"/>
          <w:szCs w:val="22"/>
          <w:lang w:val="fr-FR"/>
        </w:rPr>
        <w:t xml:space="preserve"> tendance à donner la priorité aux délégations présentes dans la salle, ce qui rend</w:t>
      </w:r>
      <w:r>
        <w:rPr>
          <w:rFonts w:ascii="Arial" w:hAnsi="Arial" w:cs="Arial"/>
          <w:bCs/>
          <w:sz w:val="22"/>
          <w:szCs w:val="22"/>
          <w:lang w:val="fr-FR"/>
        </w:rPr>
        <w:t>ait</w:t>
      </w:r>
      <w:r w:rsidRPr="00EF58AE">
        <w:rPr>
          <w:rFonts w:ascii="Arial" w:hAnsi="Arial" w:cs="Arial"/>
          <w:bCs/>
          <w:sz w:val="22"/>
          <w:szCs w:val="22"/>
          <w:lang w:val="fr-FR"/>
        </w:rPr>
        <w:t xml:space="preserve"> plus difficile </w:t>
      </w:r>
      <w:r>
        <w:rPr>
          <w:rFonts w:ascii="Arial" w:hAnsi="Arial" w:cs="Arial"/>
          <w:bCs/>
          <w:sz w:val="22"/>
          <w:szCs w:val="22"/>
          <w:lang w:val="fr-FR"/>
        </w:rPr>
        <w:t>la garantie d</w:t>
      </w:r>
      <w:r w:rsidR="008E532B">
        <w:rPr>
          <w:rFonts w:ascii="Arial" w:hAnsi="Arial" w:cs="Arial"/>
          <w:bCs/>
          <w:sz w:val="22"/>
          <w:szCs w:val="22"/>
          <w:lang w:val="fr-FR"/>
        </w:rPr>
        <w:t>’</w:t>
      </w:r>
      <w:r w:rsidRPr="00EF58AE">
        <w:rPr>
          <w:rFonts w:ascii="Arial" w:hAnsi="Arial" w:cs="Arial"/>
          <w:bCs/>
          <w:sz w:val="22"/>
          <w:szCs w:val="22"/>
          <w:lang w:val="fr-FR"/>
        </w:rPr>
        <w:t>une représentation équitable. Les réunions devraient se tenir soit en</w:t>
      </w:r>
      <w:r>
        <w:rPr>
          <w:rFonts w:ascii="Arial" w:hAnsi="Arial" w:cs="Arial"/>
          <w:bCs/>
          <w:sz w:val="22"/>
          <w:szCs w:val="22"/>
          <w:lang w:val="fr-FR"/>
        </w:rPr>
        <w:t xml:space="preserve"> présentiel</w:t>
      </w:r>
      <w:r w:rsidRPr="00EF58AE">
        <w:rPr>
          <w:rFonts w:ascii="Arial" w:hAnsi="Arial" w:cs="Arial"/>
          <w:bCs/>
          <w:sz w:val="22"/>
          <w:szCs w:val="22"/>
          <w:lang w:val="fr-FR"/>
        </w:rPr>
        <w:t xml:space="preserve"> soit virtuellement, mais la notion de réunion hybride </w:t>
      </w:r>
      <w:r>
        <w:rPr>
          <w:rFonts w:ascii="Arial" w:hAnsi="Arial" w:cs="Arial"/>
          <w:bCs/>
          <w:sz w:val="22"/>
          <w:szCs w:val="22"/>
          <w:lang w:val="fr-FR"/>
        </w:rPr>
        <w:t>était</w:t>
      </w:r>
      <w:r w:rsidRPr="00EF58AE">
        <w:rPr>
          <w:rFonts w:ascii="Arial" w:hAnsi="Arial" w:cs="Arial"/>
          <w:bCs/>
          <w:sz w:val="22"/>
          <w:szCs w:val="22"/>
          <w:lang w:val="fr-FR"/>
        </w:rPr>
        <w:t xml:space="preserve"> toujours source de confusion et de problèmes. En ce qui concerne l</w:t>
      </w:r>
      <w:r w:rsidR="008E532B">
        <w:rPr>
          <w:rFonts w:ascii="Arial" w:hAnsi="Arial" w:cs="Arial"/>
          <w:bCs/>
          <w:sz w:val="22"/>
          <w:szCs w:val="22"/>
          <w:lang w:val="fr-FR"/>
        </w:rPr>
        <w:t>’</w:t>
      </w:r>
      <w:r w:rsidRPr="00EF58AE">
        <w:rPr>
          <w:rFonts w:ascii="Arial" w:hAnsi="Arial" w:cs="Arial"/>
          <w:bCs/>
          <w:sz w:val="22"/>
          <w:szCs w:val="22"/>
          <w:lang w:val="fr-FR"/>
        </w:rPr>
        <w:t>article 3.3, la délégation préf</w:t>
      </w:r>
      <w:r>
        <w:rPr>
          <w:rFonts w:ascii="Arial" w:hAnsi="Arial" w:cs="Arial"/>
          <w:bCs/>
          <w:sz w:val="22"/>
          <w:szCs w:val="22"/>
          <w:lang w:val="fr-FR"/>
        </w:rPr>
        <w:t>érait</w:t>
      </w:r>
      <w:r w:rsidRPr="00EF58AE">
        <w:rPr>
          <w:rFonts w:ascii="Arial" w:hAnsi="Arial" w:cs="Arial"/>
          <w:bCs/>
          <w:sz w:val="22"/>
          <w:szCs w:val="22"/>
          <w:lang w:val="fr-FR"/>
        </w:rPr>
        <w:t xml:space="preserve"> également conserver la formulation originale.</w:t>
      </w:r>
    </w:p>
    <w:p w14:paraId="0D23EEE9" w14:textId="3D50304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D7BE1">
        <w:rPr>
          <w:rFonts w:ascii="Arial" w:hAnsi="Arial" w:cs="Arial"/>
          <w:bCs/>
          <w:sz w:val="22"/>
          <w:szCs w:val="22"/>
          <w:lang w:val="fr-FR"/>
        </w:rPr>
        <w:t xml:space="preserve">La délégation de la </w:t>
      </w:r>
      <w:r w:rsidRPr="004D7BE1">
        <w:rPr>
          <w:rFonts w:ascii="Arial" w:hAnsi="Arial" w:cs="Arial"/>
          <w:b/>
          <w:sz w:val="22"/>
          <w:szCs w:val="22"/>
          <w:lang w:val="fr-FR"/>
        </w:rPr>
        <w:t>Palestine</w:t>
      </w:r>
      <w:r w:rsidRPr="004D7BE1">
        <w:rPr>
          <w:rFonts w:ascii="Arial" w:hAnsi="Arial" w:cs="Arial"/>
          <w:bCs/>
          <w:sz w:val="22"/>
          <w:szCs w:val="22"/>
          <w:lang w:val="fr-FR"/>
        </w:rPr>
        <w:t xml:space="preserve"> a demandé des éclaircissements au Conseiller juridique en ce qui concerne l</w:t>
      </w:r>
      <w:r w:rsidR="008E532B">
        <w:rPr>
          <w:rFonts w:ascii="Arial" w:hAnsi="Arial" w:cs="Arial"/>
          <w:bCs/>
          <w:sz w:val="22"/>
          <w:szCs w:val="22"/>
          <w:lang w:val="fr-FR"/>
        </w:rPr>
        <w:t>’</w:t>
      </w:r>
      <w:r>
        <w:rPr>
          <w:rFonts w:ascii="Arial" w:hAnsi="Arial" w:cs="Arial"/>
          <w:bCs/>
          <w:sz w:val="22"/>
          <w:szCs w:val="22"/>
          <w:lang w:val="fr-FR"/>
        </w:rPr>
        <w:t xml:space="preserve">article </w:t>
      </w:r>
      <w:r w:rsidRPr="004D7BE1">
        <w:rPr>
          <w:rFonts w:ascii="Arial" w:hAnsi="Arial" w:cs="Arial"/>
          <w:bCs/>
          <w:sz w:val="22"/>
          <w:szCs w:val="22"/>
          <w:lang w:val="fr-FR"/>
        </w:rPr>
        <w:t>3.3, car elle c</w:t>
      </w:r>
      <w:r>
        <w:rPr>
          <w:rFonts w:ascii="Arial" w:hAnsi="Arial" w:cs="Arial"/>
          <w:bCs/>
          <w:sz w:val="22"/>
          <w:szCs w:val="22"/>
          <w:lang w:val="fr-FR"/>
        </w:rPr>
        <w:t>omprenait</w:t>
      </w:r>
      <w:r w:rsidRPr="004D7BE1">
        <w:rPr>
          <w:rFonts w:ascii="Arial" w:hAnsi="Arial" w:cs="Arial"/>
          <w:bCs/>
          <w:sz w:val="22"/>
          <w:szCs w:val="22"/>
          <w:lang w:val="fr-FR"/>
        </w:rPr>
        <w:t xml:space="preserve"> que c</w:t>
      </w:r>
      <w:r w:rsidR="008E532B">
        <w:rPr>
          <w:rFonts w:ascii="Arial" w:hAnsi="Arial" w:cs="Arial"/>
          <w:bCs/>
          <w:sz w:val="22"/>
          <w:szCs w:val="22"/>
          <w:lang w:val="fr-FR"/>
        </w:rPr>
        <w:t>’</w:t>
      </w:r>
      <w:r w:rsidRPr="004D7BE1">
        <w:rPr>
          <w:rFonts w:ascii="Arial" w:hAnsi="Arial" w:cs="Arial"/>
          <w:bCs/>
          <w:sz w:val="22"/>
          <w:szCs w:val="22"/>
          <w:lang w:val="fr-FR"/>
        </w:rPr>
        <w:t>était la pratique et qu</w:t>
      </w:r>
      <w:r w:rsidR="008E532B">
        <w:rPr>
          <w:rFonts w:ascii="Arial" w:hAnsi="Arial" w:cs="Arial"/>
          <w:bCs/>
          <w:sz w:val="22"/>
          <w:szCs w:val="22"/>
          <w:lang w:val="fr-FR"/>
        </w:rPr>
        <w:t>’</w:t>
      </w:r>
      <w:r w:rsidRPr="004D7BE1">
        <w:rPr>
          <w:rFonts w:ascii="Arial" w:hAnsi="Arial" w:cs="Arial"/>
          <w:bCs/>
          <w:sz w:val="22"/>
          <w:szCs w:val="22"/>
          <w:lang w:val="fr-FR"/>
        </w:rPr>
        <w:t>aucun État partie ne s</w:t>
      </w:r>
      <w:r w:rsidR="008E532B">
        <w:rPr>
          <w:rFonts w:ascii="Arial" w:hAnsi="Arial" w:cs="Arial"/>
          <w:bCs/>
          <w:sz w:val="22"/>
          <w:szCs w:val="22"/>
          <w:lang w:val="fr-FR"/>
        </w:rPr>
        <w:t>’</w:t>
      </w:r>
      <w:r w:rsidRPr="004D7BE1">
        <w:rPr>
          <w:rFonts w:ascii="Arial" w:hAnsi="Arial" w:cs="Arial"/>
          <w:bCs/>
          <w:sz w:val="22"/>
          <w:szCs w:val="22"/>
          <w:lang w:val="fr-FR"/>
        </w:rPr>
        <w:t>y était opposé. En outre, elle figurait déjà dans la version originale, c</w:t>
      </w:r>
      <w:r w:rsidR="008E532B">
        <w:rPr>
          <w:rFonts w:ascii="Arial" w:hAnsi="Arial" w:cs="Arial"/>
          <w:bCs/>
          <w:sz w:val="22"/>
          <w:szCs w:val="22"/>
          <w:lang w:val="fr-FR"/>
        </w:rPr>
        <w:t>’</w:t>
      </w:r>
      <w:r w:rsidRPr="004D7BE1">
        <w:rPr>
          <w:rFonts w:ascii="Arial" w:hAnsi="Arial" w:cs="Arial"/>
          <w:bCs/>
          <w:sz w:val="22"/>
          <w:szCs w:val="22"/>
          <w:lang w:val="fr-FR"/>
        </w:rPr>
        <w:t>est-à-dire dans la partie qui avait été supprimée et que l</w:t>
      </w:r>
      <w:r w:rsidR="008E532B">
        <w:rPr>
          <w:rFonts w:ascii="Arial" w:hAnsi="Arial" w:cs="Arial"/>
          <w:bCs/>
          <w:sz w:val="22"/>
          <w:szCs w:val="22"/>
          <w:lang w:val="fr-FR"/>
        </w:rPr>
        <w:t>’</w:t>
      </w:r>
      <w:r w:rsidRPr="004D7BE1">
        <w:rPr>
          <w:rFonts w:ascii="Arial" w:hAnsi="Arial" w:cs="Arial"/>
          <w:bCs/>
          <w:sz w:val="22"/>
          <w:szCs w:val="22"/>
          <w:lang w:val="fr-FR"/>
        </w:rPr>
        <w:t>Arabie saoudite proposait de réintroduire. Ainsi, la suppression de l</w:t>
      </w:r>
      <w:r w:rsidR="008E532B">
        <w:rPr>
          <w:rFonts w:ascii="Arial" w:hAnsi="Arial" w:cs="Arial"/>
          <w:bCs/>
          <w:sz w:val="22"/>
          <w:szCs w:val="22"/>
          <w:lang w:val="fr-FR"/>
        </w:rPr>
        <w:t>’</w:t>
      </w:r>
      <w:r>
        <w:rPr>
          <w:rFonts w:ascii="Arial" w:hAnsi="Arial" w:cs="Arial"/>
          <w:bCs/>
          <w:sz w:val="22"/>
          <w:szCs w:val="22"/>
          <w:lang w:val="fr-FR"/>
        </w:rPr>
        <w:t>article</w:t>
      </w:r>
      <w:r w:rsidRPr="004D7BE1">
        <w:rPr>
          <w:rFonts w:ascii="Arial" w:hAnsi="Arial" w:cs="Arial"/>
          <w:bCs/>
          <w:sz w:val="22"/>
          <w:szCs w:val="22"/>
          <w:lang w:val="fr-FR"/>
        </w:rPr>
        <w:t xml:space="preserve"> 3.3 et le retour à la version originale de l</w:t>
      </w:r>
      <w:r w:rsidR="008E532B">
        <w:rPr>
          <w:rFonts w:ascii="Arial" w:hAnsi="Arial" w:cs="Arial"/>
          <w:bCs/>
          <w:sz w:val="22"/>
          <w:szCs w:val="22"/>
          <w:lang w:val="fr-FR"/>
        </w:rPr>
        <w:t>’</w:t>
      </w:r>
      <w:r>
        <w:rPr>
          <w:rFonts w:ascii="Arial" w:hAnsi="Arial" w:cs="Arial"/>
          <w:bCs/>
          <w:sz w:val="22"/>
          <w:szCs w:val="22"/>
          <w:lang w:val="fr-FR"/>
        </w:rPr>
        <w:t>article</w:t>
      </w:r>
      <w:r w:rsidRPr="004D7BE1">
        <w:rPr>
          <w:rFonts w:ascii="Arial" w:hAnsi="Arial" w:cs="Arial"/>
          <w:bCs/>
          <w:sz w:val="22"/>
          <w:szCs w:val="22"/>
          <w:lang w:val="fr-FR"/>
        </w:rPr>
        <w:t xml:space="preserve"> 3.2, comme </w:t>
      </w:r>
      <w:r>
        <w:rPr>
          <w:rFonts w:ascii="Arial" w:hAnsi="Arial" w:cs="Arial"/>
          <w:bCs/>
          <w:sz w:val="22"/>
          <w:szCs w:val="22"/>
          <w:lang w:val="fr-FR"/>
        </w:rPr>
        <w:t>proposé par</w:t>
      </w:r>
      <w:r w:rsidRPr="004D7BE1">
        <w:rPr>
          <w:rFonts w:ascii="Arial" w:hAnsi="Arial" w:cs="Arial"/>
          <w:bCs/>
          <w:sz w:val="22"/>
          <w:szCs w:val="22"/>
          <w:lang w:val="fr-FR"/>
        </w:rPr>
        <w:t xml:space="preserve"> l</w:t>
      </w:r>
      <w:r w:rsidR="008E532B">
        <w:rPr>
          <w:rFonts w:ascii="Arial" w:hAnsi="Arial" w:cs="Arial"/>
          <w:bCs/>
          <w:sz w:val="22"/>
          <w:szCs w:val="22"/>
          <w:lang w:val="fr-FR"/>
        </w:rPr>
        <w:t>’</w:t>
      </w:r>
      <w:r w:rsidRPr="004D7BE1">
        <w:rPr>
          <w:rFonts w:ascii="Arial" w:hAnsi="Arial" w:cs="Arial"/>
          <w:bCs/>
          <w:sz w:val="22"/>
          <w:szCs w:val="22"/>
          <w:lang w:val="fr-FR"/>
        </w:rPr>
        <w:t>Arabie saoudite, réglerait le problème. Concernant l</w:t>
      </w:r>
      <w:r w:rsidR="008E532B">
        <w:rPr>
          <w:rFonts w:ascii="Arial" w:hAnsi="Arial" w:cs="Arial"/>
          <w:bCs/>
          <w:sz w:val="22"/>
          <w:szCs w:val="22"/>
          <w:lang w:val="fr-FR"/>
        </w:rPr>
        <w:t>’</w:t>
      </w:r>
      <w:r w:rsidRPr="004D7BE1">
        <w:rPr>
          <w:rFonts w:ascii="Arial" w:hAnsi="Arial" w:cs="Arial"/>
          <w:bCs/>
          <w:sz w:val="22"/>
          <w:szCs w:val="22"/>
          <w:lang w:val="fr-FR"/>
        </w:rPr>
        <w:t xml:space="preserve">article 6 sur les réunions en ligne, hybrides ou </w:t>
      </w:r>
      <w:r>
        <w:rPr>
          <w:rFonts w:ascii="Arial" w:hAnsi="Arial" w:cs="Arial"/>
          <w:bCs/>
          <w:sz w:val="22"/>
          <w:szCs w:val="22"/>
          <w:lang w:val="fr-FR"/>
        </w:rPr>
        <w:t>en présentiel</w:t>
      </w:r>
      <w:r w:rsidRPr="004D7BE1">
        <w:rPr>
          <w:rFonts w:ascii="Arial" w:hAnsi="Arial" w:cs="Arial"/>
          <w:bCs/>
          <w:sz w:val="22"/>
          <w:szCs w:val="22"/>
          <w:lang w:val="fr-FR"/>
        </w:rPr>
        <w:t>, la délégation compren</w:t>
      </w:r>
      <w:r>
        <w:rPr>
          <w:rFonts w:ascii="Arial" w:hAnsi="Arial" w:cs="Arial"/>
          <w:bCs/>
          <w:sz w:val="22"/>
          <w:szCs w:val="22"/>
          <w:lang w:val="fr-FR"/>
        </w:rPr>
        <w:t>ait</w:t>
      </w:r>
      <w:r w:rsidRPr="004D7BE1">
        <w:rPr>
          <w:rFonts w:ascii="Arial" w:hAnsi="Arial" w:cs="Arial"/>
          <w:bCs/>
          <w:sz w:val="22"/>
          <w:szCs w:val="22"/>
          <w:lang w:val="fr-FR"/>
        </w:rPr>
        <w:t xml:space="preserve"> que le terme </w:t>
      </w:r>
      <w:r>
        <w:rPr>
          <w:rFonts w:ascii="Arial" w:hAnsi="Arial" w:cs="Arial"/>
          <w:bCs/>
          <w:sz w:val="22"/>
          <w:szCs w:val="22"/>
          <w:lang w:val="fr-FR"/>
        </w:rPr>
        <w:t>« </w:t>
      </w:r>
      <w:r w:rsidRPr="004D7BE1">
        <w:rPr>
          <w:rFonts w:ascii="Arial" w:hAnsi="Arial" w:cs="Arial"/>
          <w:bCs/>
          <w:sz w:val="22"/>
          <w:szCs w:val="22"/>
          <w:lang w:val="fr-FR"/>
        </w:rPr>
        <w:t>hybride</w:t>
      </w:r>
      <w:r>
        <w:rPr>
          <w:rFonts w:ascii="Arial" w:hAnsi="Arial" w:cs="Arial"/>
          <w:bCs/>
          <w:sz w:val="22"/>
          <w:szCs w:val="22"/>
          <w:lang w:val="fr-FR"/>
        </w:rPr>
        <w:t> »</w:t>
      </w:r>
      <w:r w:rsidRPr="004D7BE1">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était</w:t>
      </w:r>
      <w:r w:rsidRPr="004D7BE1">
        <w:rPr>
          <w:rFonts w:ascii="Arial" w:hAnsi="Arial" w:cs="Arial"/>
          <w:bCs/>
          <w:sz w:val="22"/>
          <w:szCs w:val="22"/>
          <w:lang w:val="fr-FR"/>
        </w:rPr>
        <w:t xml:space="preserve"> pas encore un terme juridique. Toutefois, si l</w:t>
      </w:r>
      <w:r w:rsidR="008E532B">
        <w:rPr>
          <w:rFonts w:ascii="Arial" w:hAnsi="Arial" w:cs="Arial"/>
          <w:bCs/>
          <w:sz w:val="22"/>
          <w:szCs w:val="22"/>
          <w:lang w:val="fr-FR"/>
        </w:rPr>
        <w:t>’</w:t>
      </w:r>
      <w:r w:rsidRPr="004D7BE1">
        <w:rPr>
          <w:rFonts w:ascii="Arial" w:hAnsi="Arial" w:cs="Arial"/>
          <w:bCs/>
          <w:sz w:val="22"/>
          <w:szCs w:val="22"/>
          <w:lang w:val="fr-FR"/>
        </w:rPr>
        <w:t xml:space="preserve">Assemblée adoptait cette formulation, elle serait </w:t>
      </w:r>
      <w:r>
        <w:rPr>
          <w:rFonts w:ascii="Arial" w:hAnsi="Arial" w:cs="Arial"/>
          <w:bCs/>
          <w:sz w:val="22"/>
          <w:szCs w:val="22"/>
          <w:lang w:val="fr-FR"/>
        </w:rPr>
        <w:t xml:space="preserve">juridiquement </w:t>
      </w:r>
      <w:r w:rsidRPr="004D7BE1">
        <w:rPr>
          <w:rFonts w:ascii="Arial" w:hAnsi="Arial" w:cs="Arial"/>
          <w:bCs/>
          <w:sz w:val="22"/>
          <w:szCs w:val="22"/>
          <w:lang w:val="fr-FR"/>
        </w:rPr>
        <w:t xml:space="preserve">acceptée. Il </w:t>
      </w:r>
      <w:r>
        <w:rPr>
          <w:rFonts w:ascii="Arial" w:hAnsi="Arial" w:cs="Arial"/>
          <w:bCs/>
          <w:sz w:val="22"/>
          <w:szCs w:val="22"/>
          <w:lang w:val="fr-FR"/>
        </w:rPr>
        <w:t>était</w:t>
      </w:r>
      <w:r w:rsidRPr="004D7BE1">
        <w:rPr>
          <w:rFonts w:ascii="Arial" w:hAnsi="Arial" w:cs="Arial"/>
          <w:bCs/>
          <w:sz w:val="22"/>
          <w:szCs w:val="22"/>
          <w:lang w:val="fr-FR"/>
        </w:rPr>
        <w:t xml:space="preserve"> évident que la tenue de réunions et </w:t>
      </w:r>
      <w:r>
        <w:rPr>
          <w:rFonts w:ascii="Arial" w:hAnsi="Arial" w:cs="Arial"/>
          <w:bCs/>
          <w:sz w:val="22"/>
          <w:szCs w:val="22"/>
          <w:lang w:val="fr-FR"/>
        </w:rPr>
        <w:t>l</w:t>
      </w:r>
      <w:r w:rsidR="008E532B">
        <w:rPr>
          <w:rFonts w:ascii="Arial" w:hAnsi="Arial" w:cs="Arial"/>
          <w:bCs/>
          <w:sz w:val="22"/>
          <w:szCs w:val="22"/>
          <w:lang w:val="fr-FR"/>
        </w:rPr>
        <w:t>’</w:t>
      </w:r>
      <w:r w:rsidRPr="00BC7732">
        <w:rPr>
          <w:rFonts w:ascii="Arial" w:hAnsi="Arial" w:cs="Arial"/>
          <w:bCs/>
          <w:sz w:val="22"/>
          <w:szCs w:val="22"/>
          <w:lang w:val="fr-FR"/>
        </w:rPr>
        <w:t>organisation</w:t>
      </w:r>
      <w:r w:rsidRPr="004D7BE1">
        <w:rPr>
          <w:rFonts w:ascii="Arial" w:hAnsi="Arial" w:cs="Arial"/>
          <w:bCs/>
          <w:sz w:val="22"/>
          <w:szCs w:val="22"/>
          <w:lang w:val="fr-FR"/>
        </w:rPr>
        <w:t xml:space="preserve"> de vote</w:t>
      </w:r>
      <w:r>
        <w:rPr>
          <w:rFonts w:ascii="Arial" w:hAnsi="Arial" w:cs="Arial"/>
          <w:bCs/>
          <w:sz w:val="22"/>
          <w:szCs w:val="22"/>
          <w:lang w:val="fr-FR"/>
        </w:rPr>
        <w:t>s</w:t>
      </w:r>
      <w:r w:rsidRPr="004D7BE1">
        <w:rPr>
          <w:rFonts w:ascii="Arial" w:hAnsi="Arial" w:cs="Arial"/>
          <w:bCs/>
          <w:sz w:val="22"/>
          <w:szCs w:val="22"/>
          <w:lang w:val="fr-FR"/>
        </w:rPr>
        <w:t xml:space="preserve"> en ligne suscit</w:t>
      </w:r>
      <w:r>
        <w:rPr>
          <w:rFonts w:ascii="Arial" w:hAnsi="Arial" w:cs="Arial"/>
          <w:bCs/>
          <w:sz w:val="22"/>
          <w:szCs w:val="22"/>
          <w:lang w:val="fr-FR"/>
        </w:rPr>
        <w:t>aient</w:t>
      </w:r>
      <w:r w:rsidRPr="004D7BE1">
        <w:rPr>
          <w:rFonts w:ascii="Arial" w:hAnsi="Arial" w:cs="Arial"/>
          <w:bCs/>
          <w:sz w:val="22"/>
          <w:szCs w:val="22"/>
          <w:lang w:val="fr-FR"/>
        </w:rPr>
        <w:t xml:space="preserve"> quelques inquiétudes. En effet, avec l</w:t>
      </w:r>
      <w:r>
        <w:rPr>
          <w:rFonts w:ascii="Arial" w:hAnsi="Arial" w:cs="Arial"/>
          <w:bCs/>
          <w:sz w:val="22"/>
          <w:szCs w:val="22"/>
          <w:lang w:val="fr-FR"/>
        </w:rPr>
        <w:t xml:space="preserve">e Règlement intérieur </w:t>
      </w:r>
      <w:r w:rsidRPr="004D7BE1">
        <w:rPr>
          <w:rFonts w:ascii="Arial" w:hAnsi="Arial" w:cs="Arial"/>
          <w:bCs/>
          <w:sz w:val="22"/>
          <w:szCs w:val="22"/>
          <w:lang w:val="fr-FR"/>
        </w:rPr>
        <w:t>actuel, rien n</w:t>
      </w:r>
      <w:r w:rsidR="008E532B">
        <w:rPr>
          <w:rFonts w:ascii="Arial" w:hAnsi="Arial" w:cs="Arial"/>
          <w:bCs/>
          <w:sz w:val="22"/>
          <w:szCs w:val="22"/>
          <w:lang w:val="fr-FR"/>
        </w:rPr>
        <w:t>’</w:t>
      </w:r>
      <w:r>
        <w:rPr>
          <w:rFonts w:ascii="Arial" w:hAnsi="Arial" w:cs="Arial"/>
          <w:bCs/>
          <w:sz w:val="22"/>
          <w:szCs w:val="22"/>
          <w:lang w:val="fr-FR"/>
        </w:rPr>
        <w:t>était</w:t>
      </w:r>
      <w:r w:rsidRPr="004D7BE1">
        <w:rPr>
          <w:rFonts w:ascii="Arial" w:hAnsi="Arial" w:cs="Arial"/>
          <w:bCs/>
          <w:sz w:val="22"/>
          <w:szCs w:val="22"/>
          <w:lang w:val="fr-FR"/>
        </w:rPr>
        <w:t xml:space="preserve"> prévu concernant les élections. Si une réunion de l</w:t>
      </w:r>
      <w:r w:rsidR="008E532B">
        <w:rPr>
          <w:rFonts w:ascii="Arial" w:hAnsi="Arial" w:cs="Arial"/>
          <w:bCs/>
          <w:sz w:val="22"/>
          <w:szCs w:val="22"/>
          <w:lang w:val="fr-FR"/>
        </w:rPr>
        <w:t>’</w:t>
      </w:r>
      <w:r w:rsidRPr="004D7BE1">
        <w:rPr>
          <w:rFonts w:ascii="Arial" w:hAnsi="Arial" w:cs="Arial"/>
          <w:bCs/>
          <w:sz w:val="22"/>
          <w:szCs w:val="22"/>
          <w:lang w:val="fr-FR"/>
        </w:rPr>
        <w:t xml:space="preserve">Assemblée </w:t>
      </w:r>
      <w:r>
        <w:rPr>
          <w:rFonts w:ascii="Arial" w:hAnsi="Arial" w:cs="Arial"/>
          <w:bCs/>
          <w:sz w:val="22"/>
          <w:szCs w:val="22"/>
          <w:lang w:val="fr-FR"/>
        </w:rPr>
        <w:t>se tenait</w:t>
      </w:r>
      <w:r w:rsidRPr="004D7BE1">
        <w:rPr>
          <w:rFonts w:ascii="Arial" w:hAnsi="Arial" w:cs="Arial"/>
          <w:bCs/>
          <w:sz w:val="22"/>
          <w:szCs w:val="22"/>
          <w:lang w:val="fr-FR"/>
        </w:rPr>
        <w:t xml:space="preserve"> en ligne, il devrait y avoir une disposition pour les élections, comme c</w:t>
      </w:r>
      <w:r w:rsidR="008E532B">
        <w:rPr>
          <w:rFonts w:ascii="Arial" w:hAnsi="Arial" w:cs="Arial"/>
          <w:bCs/>
          <w:sz w:val="22"/>
          <w:szCs w:val="22"/>
          <w:lang w:val="fr-FR"/>
        </w:rPr>
        <w:t>’</w:t>
      </w:r>
      <w:r>
        <w:rPr>
          <w:rFonts w:ascii="Arial" w:hAnsi="Arial" w:cs="Arial"/>
          <w:bCs/>
          <w:sz w:val="22"/>
          <w:szCs w:val="22"/>
          <w:lang w:val="fr-FR"/>
        </w:rPr>
        <w:t>était le cas</w:t>
      </w:r>
      <w:r w:rsidRPr="004D7BE1">
        <w:rPr>
          <w:rFonts w:ascii="Arial" w:hAnsi="Arial" w:cs="Arial"/>
          <w:bCs/>
          <w:sz w:val="22"/>
          <w:szCs w:val="22"/>
          <w:lang w:val="fr-FR"/>
        </w:rPr>
        <w:t xml:space="preserve"> pour le Conseil exécutif. Les réunions </w:t>
      </w:r>
      <w:r>
        <w:rPr>
          <w:rFonts w:ascii="Arial" w:hAnsi="Arial" w:cs="Arial"/>
          <w:bCs/>
          <w:sz w:val="22"/>
          <w:szCs w:val="22"/>
          <w:lang w:val="fr-FR"/>
        </w:rPr>
        <w:t>en présentiel</w:t>
      </w:r>
      <w:r w:rsidRPr="004D7BE1">
        <w:rPr>
          <w:rFonts w:ascii="Arial" w:hAnsi="Arial" w:cs="Arial"/>
          <w:bCs/>
          <w:sz w:val="22"/>
          <w:szCs w:val="22"/>
          <w:lang w:val="fr-FR"/>
        </w:rPr>
        <w:t xml:space="preserve"> </w:t>
      </w:r>
      <w:r>
        <w:rPr>
          <w:rFonts w:ascii="Arial" w:hAnsi="Arial" w:cs="Arial"/>
          <w:bCs/>
          <w:sz w:val="22"/>
          <w:szCs w:val="22"/>
          <w:lang w:val="fr-FR"/>
        </w:rPr>
        <w:t>étaient</w:t>
      </w:r>
      <w:r w:rsidRPr="004D7BE1">
        <w:rPr>
          <w:rFonts w:ascii="Arial" w:hAnsi="Arial" w:cs="Arial"/>
          <w:bCs/>
          <w:sz w:val="22"/>
          <w:szCs w:val="22"/>
          <w:lang w:val="fr-FR"/>
        </w:rPr>
        <w:t xml:space="preserve"> essentielles, mais les rendre hybrides pourrait faciliter [la convocation des réunions], bien qu</w:t>
      </w:r>
      <w:r w:rsidR="008E532B">
        <w:rPr>
          <w:rFonts w:ascii="Arial" w:hAnsi="Arial" w:cs="Arial"/>
          <w:bCs/>
          <w:sz w:val="22"/>
          <w:szCs w:val="22"/>
          <w:lang w:val="fr-FR"/>
        </w:rPr>
        <w:t>’</w:t>
      </w:r>
      <w:r w:rsidRPr="004D7BE1">
        <w:rPr>
          <w:rFonts w:ascii="Arial" w:hAnsi="Arial" w:cs="Arial"/>
          <w:bCs/>
          <w:sz w:val="22"/>
          <w:szCs w:val="22"/>
          <w:lang w:val="fr-FR"/>
        </w:rPr>
        <w:t>il manque effectivement une disposition concernant les élections dans les réunions purement en ligne. Concernant l</w:t>
      </w:r>
      <w:r w:rsidR="008E532B">
        <w:rPr>
          <w:rFonts w:ascii="Arial" w:hAnsi="Arial" w:cs="Arial"/>
          <w:bCs/>
          <w:sz w:val="22"/>
          <w:szCs w:val="22"/>
          <w:lang w:val="fr-FR"/>
        </w:rPr>
        <w:t>’</w:t>
      </w:r>
      <w:r w:rsidRPr="004D7BE1">
        <w:rPr>
          <w:rFonts w:ascii="Arial" w:hAnsi="Arial" w:cs="Arial"/>
          <w:bCs/>
          <w:sz w:val="22"/>
          <w:szCs w:val="22"/>
          <w:lang w:val="fr-FR"/>
        </w:rPr>
        <w:t xml:space="preserve">article 40 et la suppression de </w:t>
      </w:r>
      <w:r>
        <w:rPr>
          <w:rFonts w:ascii="Arial" w:hAnsi="Arial" w:cs="Arial"/>
          <w:bCs/>
          <w:sz w:val="22"/>
          <w:szCs w:val="22"/>
          <w:lang w:val="fr-FR"/>
        </w:rPr>
        <w:t>« </w:t>
      </w:r>
      <w:r w:rsidRPr="004D7BE1">
        <w:rPr>
          <w:rFonts w:ascii="Arial" w:hAnsi="Arial" w:cs="Arial"/>
          <w:bCs/>
          <w:sz w:val="22"/>
          <w:szCs w:val="22"/>
          <w:lang w:val="fr-FR"/>
        </w:rPr>
        <w:t>la plénière</w:t>
      </w:r>
      <w:r>
        <w:rPr>
          <w:rFonts w:ascii="Arial" w:hAnsi="Arial" w:cs="Arial"/>
          <w:bCs/>
          <w:sz w:val="22"/>
          <w:szCs w:val="22"/>
          <w:lang w:val="fr-FR"/>
        </w:rPr>
        <w:t> »</w:t>
      </w:r>
      <w:r w:rsidRPr="004D7BE1">
        <w:rPr>
          <w:rFonts w:ascii="Arial" w:hAnsi="Arial" w:cs="Arial"/>
          <w:bCs/>
          <w:sz w:val="22"/>
          <w:szCs w:val="22"/>
          <w:lang w:val="fr-FR"/>
        </w:rPr>
        <w:t>, la délégation n</w:t>
      </w:r>
      <w:r w:rsidR="008E532B">
        <w:rPr>
          <w:rFonts w:ascii="Arial" w:hAnsi="Arial" w:cs="Arial"/>
          <w:bCs/>
          <w:sz w:val="22"/>
          <w:szCs w:val="22"/>
          <w:lang w:val="fr-FR"/>
        </w:rPr>
        <w:t>’</w:t>
      </w:r>
      <w:r w:rsidRPr="004D7BE1">
        <w:rPr>
          <w:rFonts w:ascii="Arial" w:hAnsi="Arial" w:cs="Arial"/>
          <w:bCs/>
          <w:sz w:val="22"/>
          <w:szCs w:val="22"/>
          <w:lang w:val="fr-FR"/>
        </w:rPr>
        <w:t>a</w:t>
      </w:r>
      <w:r>
        <w:rPr>
          <w:rFonts w:ascii="Arial" w:hAnsi="Arial" w:cs="Arial"/>
          <w:bCs/>
          <w:sz w:val="22"/>
          <w:szCs w:val="22"/>
          <w:lang w:val="fr-FR"/>
        </w:rPr>
        <w:t>vait</w:t>
      </w:r>
      <w:r w:rsidRPr="004D7BE1">
        <w:rPr>
          <w:rFonts w:ascii="Arial" w:hAnsi="Arial" w:cs="Arial"/>
          <w:bCs/>
          <w:sz w:val="22"/>
          <w:szCs w:val="22"/>
          <w:lang w:val="fr-FR"/>
        </w:rPr>
        <w:t xml:space="preserve"> pas compris l</w:t>
      </w:r>
      <w:r w:rsidR="008E532B">
        <w:rPr>
          <w:rFonts w:ascii="Arial" w:hAnsi="Arial" w:cs="Arial"/>
          <w:bCs/>
          <w:sz w:val="22"/>
          <w:szCs w:val="22"/>
          <w:lang w:val="fr-FR"/>
        </w:rPr>
        <w:t>’</w:t>
      </w:r>
      <w:r w:rsidRPr="004D7BE1">
        <w:rPr>
          <w:rFonts w:ascii="Arial" w:hAnsi="Arial" w:cs="Arial"/>
          <w:bCs/>
          <w:sz w:val="22"/>
          <w:szCs w:val="22"/>
          <w:lang w:val="fr-FR"/>
        </w:rPr>
        <w:t xml:space="preserve">explication </w:t>
      </w:r>
      <w:r>
        <w:rPr>
          <w:rFonts w:ascii="Arial" w:hAnsi="Arial" w:cs="Arial"/>
          <w:bCs/>
          <w:sz w:val="22"/>
          <w:szCs w:val="22"/>
          <w:lang w:val="fr-FR"/>
        </w:rPr>
        <w:t xml:space="preserve">donnée </w:t>
      </w:r>
      <w:r w:rsidRPr="004D7BE1">
        <w:rPr>
          <w:rFonts w:ascii="Arial" w:hAnsi="Arial" w:cs="Arial"/>
          <w:bCs/>
          <w:sz w:val="22"/>
          <w:szCs w:val="22"/>
          <w:lang w:val="fr-FR"/>
        </w:rPr>
        <w:t xml:space="preserve">par le </w:t>
      </w:r>
      <w:r>
        <w:rPr>
          <w:rFonts w:ascii="Arial" w:hAnsi="Arial" w:cs="Arial"/>
          <w:bCs/>
          <w:sz w:val="22"/>
          <w:szCs w:val="22"/>
          <w:lang w:val="fr-FR"/>
        </w:rPr>
        <w:t>C</w:t>
      </w:r>
      <w:r w:rsidRPr="004D7BE1">
        <w:rPr>
          <w:rFonts w:ascii="Arial" w:hAnsi="Arial" w:cs="Arial"/>
          <w:bCs/>
          <w:sz w:val="22"/>
          <w:szCs w:val="22"/>
          <w:lang w:val="fr-FR"/>
        </w:rPr>
        <w:t xml:space="preserve">onseiller juridique. Quelle </w:t>
      </w:r>
      <w:r>
        <w:rPr>
          <w:rFonts w:ascii="Arial" w:hAnsi="Arial" w:cs="Arial"/>
          <w:bCs/>
          <w:sz w:val="22"/>
          <w:szCs w:val="22"/>
          <w:lang w:val="fr-FR"/>
        </w:rPr>
        <w:t>était</w:t>
      </w:r>
      <w:r w:rsidRPr="004D7BE1">
        <w:rPr>
          <w:rFonts w:ascii="Arial" w:hAnsi="Arial" w:cs="Arial"/>
          <w:bCs/>
          <w:sz w:val="22"/>
          <w:szCs w:val="22"/>
          <w:lang w:val="fr-FR"/>
        </w:rPr>
        <w:t xml:space="preserve"> la justification de cette suppression</w:t>
      </w:r>
      <w:r>
        <w:rPr>
          <w:rFonts w:ascii="Arial" w:hAnsi="Arial" w:cs="Arial"/>
          <w:bCs/>
          <w:sz w:val="22"/>
          <w:szCs w:val="22"/>
          <w:lang w:val="fr-FR"/>
        </w:rPr>
        <w:t> </w:t>
      </w:r>
      <w:r w:rsidRPr="004D7BE1">
        <w:rPr>
          <w:rFonts w:ascii="Arial" w:hAnsi="Arial" w:cs="Arial"/>
          <w:bCs/>
          <w:sz w:val="22"/>
          <w:szCs w:val="22"/>
          <w:lang w:val="fr-FR"/>
        </w:rPr>
        <w:t xml:space="preserve">? Dans le cas où une réunion en ligne </w:t>
      </w:r>
      <w:r>
        <w:rPr>
          <w:rFonts w:ascii="Arial" w:hAnsi="Arial" w:cs="Arial"/>
          <w:bCs/>
          <w:sz w:val="22"/>
          <w:szCs w:val="22"/>
          <w:lang w:val="fr-FR"/>
        </w:rPr>
        <w:t xml:space="preserve">était </w:t>
      </w:r>
      <w:r w:rsidRPr="004D7BE1">
        <w:rPr>
          <w:rFonts w:ascii="Arial" w:hAnsi="Arial" w:cs="Arial"/>
          <w:bCs/>
          <w:sz w:val="22"/>
          <w:szCs w:val="22"/>
          <w:lang w:val="fr-FR"/>
        </w:rPr>
        <w:t>convoquée et qu</w:t>
      </w:r>
      <w:r w:rsidR="008E532B">
        <w:rPr>
          <w:rFonts w:ascii="Arial" w:hAnsi="Arial" w:cs="Arial"/>
          <w:bCs/>
          <w:sz w:val="22"/>
          <w:szCs w:val="22"/>
          <w:lang w:val="fr-FR"/>
        </w:rPr>
        <w:t>’</w:t>
      </w:r>
      <w:r w:rsidRPr="004D7BE1">
        <w:rPr>
          <w:rFonts w:ascii="Arial" w:hAnsi="Arial" w:cs="Arial"/>
          <w:bCs/>
          <w:sz w:val="22"/>
          <w:szCs w:val="22"/>
          <w:lang w:val="fr-FR"/>
        </w:rPr>
        <w:t>un</w:t>
      </w:r>
      <w:r>
        <w:rPr>
          <w:rFonts w:ascii="Arial" w:hAnsi="Arial" w:cs="Arial"/>
          <w:bCs/>
          <w:sz w:val="22"/>
          <w:szCs w:val="22"/>
          <w:lang w:val="fr-FR"/>
        </w:rPr>
        <w:t xml:space="preserve"> article </w:t>
      </w:r>
      <w:r w:rsidRPr="004D7BE1">
        <w:rPr>
          <w:rFonts w:ascii="Arial" w:hAnsi="Arial" w:cs="Arial"/>
          <w:bCs/>
          <w:sz w:val="22"/>
          <w:szCs w:val="22"/>
          <w:lang w:val="fr-FR"/>
        </w:rPr>
        <w:t>d</w:t>
      </w:r>
      <w:r>
        <w:rPr>
          <w:rFonts w:ascii="Arial" w:hAnsi="Arial" w:cs="Arial"/>
          <w:bCs/>
          <w:sz w:val="22"/>
          <w:szCs w:val="22"/>
          <w:lang w:val="fr-FR"/>
        </w:rPr>
        <w:t>evait</w:t>
      </w:r>
      <w:r w:rsidRPr="004D7BE1">
        <w:rPr>
          <w:rFonts w:ascii="Arial" w:hAnsi="Arial" w:cs="Arial"/>
          <w:bCs/>
          <w:sz w:val="22"/>
          <w:szCs w:val="22"/>
          <w:lang w:val="fr-FR"/>
        </w:rPr>
        <w:t xml:space="preserve"> être suspendu, même si elle </w:t>
      </w:r>
      <w:r>
        <w:rPr>
          <w:rFonts w:ascii="Arial" w:hAnsi="Arial" w:cs="Arial"/>
          <w:bCs/>
          <w:sz w:val="22"/>
          <w:szCs w:val="22"/>
          <w:lang w:val="fr-FR"/>
        </w:rPr>
        <w:t>était</w:t>
      </w:r>
      <w:r w:rsidRPr="004D7BE1">
        <w:rPr>
          <w:rFonts w:ascii="Arial" w:hAnsi="Arial" w:cs="Arial"/>
          <w:bCs/>
          <w:sz w:val="22"/>
          <w:szCs w:val="22"/>
          <w:lang w:val="fr-FR"/>
        </w:rPr>
        <w:t xml:space="preserve"> en ligne, elle constitu</w:t>
      </w:r>
      <w:r>
        <w:rPr>
          <w:rFonts w:ascii="Arial" w:hAnsi="Arial" w:cs="Arial"/>
          <w:bCs/>
          <w:sz w:val="22"/>
          <w:szCs w:val="22"/>
          <w:lang w:val="fr-FR"/>
        </w:rPr>
        <w:t>ait</w:t>
      </w:r>
      <w:r w:rsidRPr="004D7BE1">
        <w:rPr>
          <w:rFonts w:ascii="Arial" w:hAnsi="Arial" w:cs="Arial"/>
          <w:bCs/>
          <w:sz w:val="22"/>
          <w:szCs w:val="22"/>
          <w:lang w:val="fr-FR"/>
        </w:rPr>
        <w:t xml:space="preserve"> toujours une session plénière.</w:t>
      </w:r>
    </w:p>
    <w:p w14:paraId="36911FCF" w14:textId="30896C9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C2F33">
        <w:rPr>
          <w:rFonts w:ascii="Arial" w:hAnsi="Arial" w:cs="Arial"/>
          <w:bCs/>
          <w:sz w:val="22"/>
          <w:szCs w:val="22"/>
          <w:lang w:val="fr-FR"/>
        </w:rPr>
        <w:t xml:space="preserve">La délégation de la </w:t>
      </w:r>
      <w:r w:rsidRPr="000C2F33">
        <w:rPr>
          <w:rFonts w:ascii="Arial" w:hAnsi="Arial" w:cs="Arial"/>
          <w:b/>
          <w:sz w:val="22"/>
          <w:szCs w:val="22"/>
          <w:lang w:val="fr-FR"/>
        </w:rPr>
        <w:t>Türki</w:t>
      </w:r>
      <w:r>
        <w:rPr>
          <w:rFonts w:ascii="Arial" w:hAnsi="Arial" w:cs="Arial"/>
          <w:b/>
          <w:sz w:val="22"/>
          <w:szCs w:val="22"/>
          <w:lang w:val="fr-FR"/>
        </w:rPr>
        <w:t>y</w:t>
      </w:r>
      <w:r w:rsidRPr="000C2F33">
        <w:rPr>
          <w:rFonts w:ascii="Arial" w:hAnsi="Arial" w:cs="Arial"/>
          <w:b/>
          <w:sz w:val="22"/>
          <w:szCs w:val="22"/>
          <w:lang w:val="fr-FR"/>
        </w:rPr>
        <w:t>e</w:t>
      </w:r>
      <w:r w:rsidRPr="000C2F33">
        <w:rPr>
          <w:rFonts w:ascii="Arial" w:hAnsi="Arial" w:cs="Arial"/>
          <w:bCs/>
          <w:sz w:val="22"/>
          <w:szCs w:val="22"/>
          <w:lang w:val="fr-FR"/>
        </w:rPr>
        <w:t xml:space="preserve"> a </w:t>
      </w:r>
      <w:r>
        <w:rPr>
          <w:rFonts w:ascii="Arial" w:hAnsi="Arial" w:cs="Arial"/>
          <w:bCs/>
          <w:sz w:val="22"/>
          <w:szCs w:val="22"/>
          <w:lang w:val="fr-FR"/>
        </w:rPr>
        <w:t>précisé</w:t>
      </w:r>
      <w:r w:rsidRPr="000C2F33">
        <w:rPr>
          <w:rFonts w:ascii="Arial" w:hAnsi="Arial" w:cs="Arial"/>
          <w:bCs/>
          <w:sz w:val="22"/>
          <w:szCs w:val="22"/>
          <w:lang w:val="fr-FR"/>
        </w:rPr>
        <w:t xml:space="preserve"> son intervention précédente en demandant de supprimer l</w:t>
      </w:r>
      <w:r w:rsidR="008E532B">
        <w:rPr>
          <w:rFonts w:ascii="Arial" w:hAnsi="Arial" w:cs="Arial"/>
          <w:bCs/>
          <w:sz w:val="22"/>
          <w:szCs w:val="22"/>
          <w:lang w:val="fr-FR"/>
        </w:rPr>
        <w:t>’</w:t>
      </w:r>
      <w:r w:rsidRPr="000C2F33">
        <w:rPr>
          <w:rFonts w:ascii="Arial" w:hAnsi="Arial" w:cs="Arial"/>
          <w:bCs/>
          <w:sz w:val="22"/>
          <w:szCs w:val="22"/>
          <w:lang w:val="fr-FR"/>
        </w:rPr>
        <w:t>article 3.3 mais en conservant l</w:t>
      </w:r>
      <w:r w:rsidR="008E532B">
        <w:rPr>
          <w:rFonts w:ascii="Arial" w:hAnsi="Arial" w:cs="Arial"/>
          <w:bCs/>
          <w:sz w:val="22"/>
          <w:szCs w:val="22"/>
          <w:lang w:val="fr-FR"/>
        </w:rPr>
        <w:t>’</w:t>
      </w:r>
      <w:r w:rsidRPr="000C2F33">
        <w:rPr>
          <w:rFonts w:ascii="Arial" w:hAnsi="Arial" w:cs="Arial"/>
          <w:bCs/>
          <w:sz w:val="22"/>
          <w:szCs w:val="22"/>
          <w:lang w:val="fr-FR"/>
        </w:rPr>
        <w:t>article 3.2 dans sa forme originale (conformément à l</w:t>
      </w:r>
      <w:r w:rsidR="008E532B">
        <w:rPr>
          <w:rFonts w:ascii="Arial" w:hAnsi="Arial" w:cs="Arial"/>
          <w:bCs/>
          <w:sz w:val="22"/>
          <w:szCs w:val="22"/>
          <w:lang w:val="fr-FR"/>
        </w:rPr>
        <w:t>’</w:t>
      </w:r>
      <w:r w:rsidRPr="000C2F33">
        <w:rPr>
          <w:rFonts w:ascii="Arial" w:hAnsi="Arial" w:cs="Arial"/>
          <w:bCs/>
          <w:sz w:val="22"/>
          <w:szCs w:val="22"/>
          <w:lang w:val="fr-FR"/>
        </w:rPr>
        <w:t xml:space="preserve">article 2.2), </w:t>
      </w:r>
      <w:r>
        <w:rPr>
          <w:rFonts w:ascii="Arial" w:hAnsi="Arial" w:cs="Arial"/>
          <w:bCs/>
          <w:sz w:val="22"/>
          <w:szCs w:val="22"/>
          <w:lang w:val="fr-FR"/>
        </w:rPr>
        <w:t xml:space="preserve">et a </w:t>
      </w:r>
      <w:r w:rsidRPr="000C2F33">
        <w:rPr>
          <w:rFonts w:ascii="Arial" w:hAnsi="Arial" w:cs="Arial"/>
          <w:bCs/>
          <w:sz w:val="22"/>
          <w:szCs w:val="22"/>
          <w:lang w:val="fr-FR"/>
        </w:rPr>
        <w:t>remerc</w:t>
      </w:r>
      <w:r>
        <w:rPr>
          <w:rFonts w:ascii="Arial" w:hAnsi="Arial" w:cs="Arial"/>
          <w:bCs/>
          <w:sz w:val="22"/>
          <w:szCs w:val="22"/>
          <w:lang w:val="fr-FR"/>
        </w:rPr>
        <w:t>ié</w:t>
      </w:r>
      <w:r w:rsidRPr="000C2F33">
        <w:rPr>
          <w:rFonts w:ascii="Arial" w:hAnsi="Arial" w:cs="Arial"/>
          <w:bCs/>
          <w:sz w:val="22"/>
          <w:szCs w:val="22"/>
          <w:lang w:val="fr-FR"/>
        </w:rPr>
        <w:t xml:space="preserve"> l</w:t>
      </w:r>
      <w:r w:rsidR="008E532B">
        <w:rPr>
          <w:rFonts w:ascii="Arial" w:hAnsi="Arial" w:cs="Arial"/>
          <w:bCs/>
          <w:sz w:val="22"/>
          <w:szCs w:val="22"/>
          <w:lang w:val="fr-FR"/>
        </w:rPr>
        <w:t>’</w:t>
      </w:r>
      <w:r w:rsidRPr="000C2F33">
        <w:rPr>
          <w:rFonts w:ascii="Arial" w:hAnsi="Arial" w:cs="Arial"/>
          <w:bCs/>
          <w:sz w:val="22"/>
          <w:szCs w:val="22"/>
          <w:lang w:val="fr-FR"/>
        </w:rPr>
        <w:t>Arabie saoudite pour la clarté de sa proposition. La délégation a rappelé que certaines délégations avaient mentionné une réunion d</w:t>
      </w:r>
      <w:r w:rsidR="008E532B">
        <w:rPr>
          <w:rFonts w:ascii="Arial" w:hAnsi="Arial" w:cs="Arial"/>
          <w:bCs/>
          <w:sz w:val="22"/>
          <w:szCs w:val="22"/>
          <w:lang w:val="fr-FR"/>
        </w:rPr>
        <w:t>’</w:t>
      </w:r>
      <w:r w:rsidRPr="000C2F33">
        <w:rPr>
          <w:rFonts w:ascii="Arial" w:hAnsi="Arial" w:cs="Arial"/>
          <w:bCs/>
          <w:sz w:val="22"/>
          <w:szCs w:val="22"/>
          <w:lang w:val="fr-FR"/>
        </w:rPr>
        <w:t>information le 31 mai sur le Règlement intérieur, qui n</w:t>
      </w:r>
      <w:r w:rsidR="008E532B">
        <w:rPr>
          <w:rFonts w:ascii="Arial" w:hAnsi="Arial" w:cs="Arial"/>
          <w:bCs/>
          <w:sz w:val="22"/>
          <w:szCs w:val="22"/>
          <w:lang w:val="fr-FR"/>
        </w:rPr>
        <w:t>’</w:t>
      </w:r>
      <w:r w:rsidRPr="000C2F33">
        <w:rPr>
          <w:rFonts w:ascii="Arial" w:hAnsi="Arial" w:cs="Arial"/>
          <w:bCs/>
          <w:sz w:val="22"/>
          <w:szCs w:val="22"/>
          <w:lang w:val="fr-FR"/>
        </w:rPr>
        <w:t xml:space="preserve">était pas une réunion de rédaction. </w:t>
      </w:r>
      <w:r>
        <w:rPr>
          <w:rFonts w:ascii="Arial" w:hAnsi="Arial" w:cs="Arial"/>
          <w:bCs/>
          <w:sz w:val="22"/>
          <w:szCs w:val="22"/>
          <w:lang w:val="fr-FR"/>
        </w:rPr>
        <w:t>Cela avait été</w:t>
      </w:r>
      <w:r w:rsidRPr="000C2F33">
        <w:rPr>
          <w:rFonts w:ascii="Arial" w:hAnsi="Arial" w:cs="Arial"/>
          <w:bCs/>
          <w:sz w:val="22"/>
          <w:szCs w:val="22"/>
          <w:lang w:val="fr-FR"/>
        </w:rPr>
        <w:t xml:space="preserve"> </w:t>
      </w:r>
      <w:r>
        <w:rPr>
          <w:rFonts w:ascii="Arial" w:hAnsi="Arial" w:cs="Arial"/>
          <w:bCs/>
          <w:sz w:val="22"/>
          <w:szCs w:val="22"/>
          <w:lang w:val="fr-FR"/>
        </w:rPr>
        <w:t>l</w:t>
      </w:r>
      <w:r w:rsidR="008E532B">
        <w:rPr>
          <w:rFonts w:ascii="Arial" w:hAnsi="Arial" w:cs="Arial"/>
          <w:bCs/>
          <w:sz w:val="22"/>
          <w:szCs w:val="22"/>
          <w:lang w:val="fr-FR"/>
        </w:rPr>
        <w:t>’</w:t>
      </w:r>
      <w:r w:rsidRPr="000C2F33">
        <w:rPr>
          <w:rFonts w:ascii="Arial" w:hAnsi="Arial" w:cs="Arial"/>
          <w:bCs/>
          <w:sz w:val="22"/>
          <w:szCs w:val="22"/>
          <w:lang w:val="fr-FR"/>
        </w:rPr>
        <w:t xml:space="preserve">occasion pour le Secrétariat de recueillir des avis et des préoccupations, </w:t>
      </w:r>
      <w:r>
        <w:rPr>
          <w:rFonts w:ascii="Arial" w:hAnsi="Arial" w:cs="Arial"/>
          <w:bCs/>
          <w:sz w:val="22"/>
          <w:szCs w:val="22"/>
          <w:lang w:val="fr-FR"/>
        </w:rPr>
        <w:t xml:space="preserve">et </w:t>
      </w:r>
      <w:r w:rsidRPr="000C2F33">
        <w:rPr>
          <w:rFonts w:ascii="Arial" w:hAnsi="Arial" w:cs="Arial"/>
          <w:bCs/>
          <w:sz w:val="22"/>
          <w:szCs w:val="22"/>
          <w:lang w:val="fr-FR"/>
        </w:rPr>
        <w:t>cette préoccupation a</w:t>
      </w:r>
      <w:r>
        <w:rPr>
          <w:rFonts w:ascii="Arial" w:hAnsi="Arial" w:cs="Arial"/>
          <w:bCs/>
          <w:sz w:val="22"/>
          <w:szCs w:val="22"/>
          <w:lang w:val="fr-FR"/>
        </w:rPr>
        <w:t>vait</w:t>
      </w:r>
      <w:r w:rsidRPr="000C2F33">
        <w:rPr>
          <w:rFonts w:ascii="Arial" w:hAnsi="Arial" w:cs="Arial"/>
          <w:bCs/>
          <w:sz w:val="22"/>
          <w:szCs w:val="22"/>
          <w:lang w:val="fr-FR"/>
        </w:rPr>
        <w:t xml:space="preserve"> été soulevée, notamment par la Türkiye. La délégation a réaffirmé qu</w:t>
      </w:r>
      <w:r w:rsidR="008E532B">
        <w:rPr>
          <w:rFonts w:ascii="Arial" w:hAnsi="Arial" w:cs="Arial"/>
          <w:bCs/>
          <w:sz w:val="22"/>
          <w:szCs w:val="22"/>
          <w:lang w:val="fr-FR"/>
        </w:rPr>
        <w:t>’</w:t>
      </w:r>
      <w:r w:rsidRPr="000C2F33">
        <w:rPr>
          <w:rFonts w:ascii="Arial" w:hAnsi="Arial" w:cs="Arial"/>
          <w:bCs/>
          <w:sz w:val="22"/>
          <w:szCs w:val="22"/>
          <w:lang w:val="fr-FR"/>
        </w:rPr>
        <w:t>elle souhaitait réintroduire l</w:t>
      </w:r>
      <w:r w:rsidR="008E532B">
        <w:rPr>
          <w:rFonts w:ascii="Arial" w:hAnsi="Arial" w:cs="Arial"/>
          <w:bCs/>
          <w:sz w:val="22"/>
          <w:szCs w:val="22"/>
          <w:lang w:val="fr-FR"/>
        </w:rPr>
        <w:t>’</w:t>
      </w:r>
      <w:r w:rsidRPr="000C2F33">
        <w:rPr>
          <w:rFonts w:ascii="Arial" w:hAnsi="Arial" w:cs="Arial"/>
          <w:bCs/>
          <w:sz w:val="22"/>
          <w:szCs w:val="22"/>
          <w:lang w:val="fr-FR"/>
        </w:rPr>
        <w:t>ancien article 2.2 original.</w:t>
      </w:r>
    </w:p>
    <w:p w14:paraId="787E26C1" w14:textId="5DDF03C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407EE">
        <w:rPr>
          <w:rFonts w:ascii="Arial" w:hAnsi="Arial" w:cs="Arial"/>
          <w:bCs/>
          <w:sz w:val="22"/>
          <w:szCs w:val="22"/>
          <w:lang w:val="fr-FR"/>
        </w:rPr>
        <w:t xml:space="preserve">La délégation de la </w:t>
      </w:r>
      <w:r w:rsidRPr="004407EE">
        <w:rPr>
          <w:rFonts w:ascii="Arial" w:hAnsi="Arial" w:cs="Arial"/>
          <w:b/>
          <w:sz w:val="22"/>
          <w:szCs w:val="22"/>
          <w:lang w:val="fr-FR"/>
        </w:rPr>
        <w:t>Grenade</w:t>
      </w:r>
      <w:r w:rsidRPr="004407EE">
        <w:rPr>
          <w:rFonts w:ascii="Arial" w:hAnsi="Arial" w:cs="Arial"/>
          <w:bCs/>
          <w:sz w:val="22"/>
          <w:szCs w:val="22"/>
          <w:lang w:val="fr-FR"/>
        </w:rPr>
        <w:t xml:space="preserve"> a remercié le Conseiller juridique pour son explication sur la suppression de la</w:t>
      </w:r>
      <w:r>
        <w:rPr>
          <w:rFonts w:ascii="Arial" w:hAnsi="Arial" w:cs="Arial"/>
          <w:bCs/>
          <w:sz w:val="22"/>
          <w:szCs w:val="22"/>
          <w:lang w:val="fr-FR"/>
        </w:rPr>
        <w:t xml:space="preserve"> </w:t>
      </w:r>
      <w:r w:rsidRPr="004407EE">
        <w:rPr>
          <w:rFonts w:ascii="Arial" w:hAnsi="Arial" w:cs="Arial"/>
          <w:bCs/>
          <w:sz w:val="22"/>
          <w:szCs w:val="22"/>
          <w:lang w:val="fr-FR"/>
        </w:rPr>
        <w:t>plénière. Dans ce cas, et après avoir écouté la Palestine, la délégation a suggéré d</w:t>
      </w:r>
      <w:r w:rsidR="008E532B">
        <w:rPr>
          <w:rFonts w:ascii="Arial" w:hAnsi="Arial" w:cs="Arial"/>
          <w:bCs/>
          <w:sz w:val="22"/>
          <w:szCs w:val="22"/>
          <w:lang w:val="fr-FR"/>
        </w:rPr>
        <w:t>’</w:t>
      </w:r>
      <w:r w:rsidRPr="004407EE">
        <w:rPr>
          <w:rFonts w:ascii="Arial" w:hAnsi="Arial" w:cs="Arial"/>
          <w:bCs/>
          <w:sz w:val="22"/>
          <w:szCs w:val="22"/>
          <w:lang w:val="fr-FR"/>
        </w:rPr>
        <w:t>inclure la consultation par correspondance, convenant qu</w:t>
      </w:r>
      <w:r w:rsidR="008E532B">
        <w:rPr>
          <w:rFonts w:ascii="Arial" w:hAnsi="Arial" w:cs="Arial"/>
          <w:bCs/>
          <w:sz w:val="22"/>
          <w:szCs w:val="22"/>
          <w:lang w:val="fr-FR"/>
        </w:rPr>
        <w:t>’</w:t>
      </w:r>
      <w:r w:rsidRPr="004407EE">
        <w:rPr>
          <w:rFonts w:ascii="Arial" w:hAnsi="Arial" w:cs="Arial"/>
          <w:bCs/>
          <w:sz w:val="22"/>
          <w:szCs w:val="22"/>
          <w:lang w:val="fr-FR"/>
        </w:rPr>
        <w:t>il ne s</w:t>
      </w:r>
      <w:r w:rsidR="008E532B">
        <w:rPr>
          <w:rFonts w:ascii="Arial" w:hAnsi="Arial" w:cs="Arial"/>
          <w:bCs/>
          <w:sz w:val="22"/>
          <w:szCs w:val="22"/>
          <w:lang w:val="fr-FR"/>
        </w:rPr>
        <w:t>’</w:t>
      </w:r>
      <w:r w:rsidRPr="004407EE">
        <w:rPr>
          <w:rFonts w:ascii="Arial" w:hAnsi="Arial" w:cs="Arial"/>
          <w:bCs/>
          <w:sz w:val="22"/>
          <w:szCs w:val="22"/>
          <w:lang w:val="fr-FR"/>
        </w:rPr>
        <w:t>agissait pas vraiment d</w:t>
      </w:r>
      <w:r w:rsidR="008E532B">
        <w:rPr>
          <w:rFonts w:ascii="Arial" w:hAnsi="Arial" w:cs="Arial"/>
          <w:bCs/>
          <w:sz w:val="22"/>
          <w:szCs w:val="22"/>
          <w:lang w:val="fr-FR"/>
        </w:rPr>
        <w:t>’</w:t>
      </w:r>
      <w:r w:rsidRPr="004407EE">
        <w:rPr>
          <w:rFonts w:ascii="Arial" w:hAnsi="Arial" w:cs="Arial"/>
          <w:bCs/>
          <w:sz w:val="22"/>
          <w:szCs w:val="22"/>
          <w:lang w:val="fr-FR"/>
        </w:rPr>
        <w:t xml:space="preserve">une plénière. Concernant les réunions hybrides, elle </w:t>
      </w:r>
      <w:r>
        <w:rPr>
          <w:rFonts w:ascii="Arial" w:hAnsi="Arial" w:cs="Arial"/>
          <w:bCs/>
          <w:sz w:val="22"/>
          <w:szCs w:val="22"/>
          <w:lang w:val="fr-FR"/>
        </w:rPr>
        <w:t>était</w:t>
      </w:r>
      <w:r w:rsidRPr="004407EE">
        <w:rPr>
          <w:rFonts w:ascii="Arial" w:hAnsi="Arial" w:cs="Arial"/>
          <w:bCs/>
          <w:sz w:val="22"/>
          <w:szCs w:val="22"/>
          <w:lang w:val="fr-FR"/>
        </w:rPr>
        <w:t xml:space="preserve"> d</w:t>
      </w:r>
      <w:r w:rsidR="008E532B">
        <w:rPr>
          <w:rFonts w:ascii="Arial" w:hAnsi="Arial" w:cs="Arial"/>
          <w:bCs/>
          <w:sz w:val="22"/>
          <w:szCs w:val="22"/>
          <w:lang w:val="fr-FR"/>
        </w:rPr>
        <w:t>’</w:t>
      </w:r>
      <w:r w:rsidRPr="004407EE">
        <w:rPr>
          <w:rFonts w:ascii="Arial" w:hAnsi="Arial" w:cs="Arial"/>
          <w:bCs/>
          <w:sz w:val="22"/>
          <w:szCs w:val="22"/>
          <w:lang w:val="fr-FR"/>
        </w:rPr>
        <w:t xml:space="preserve">accord avec les </w:t>
      </w:r>
      <w:r>
        <w:rPr>
          <w:rFonts w:ascii="Arial" w:hAnsi="Arial" w:cs="Arial"/>
          <w:bCs/>
          <w:sz w:val="22"/>
          <w:szCs w:val="22"/>
          <w:lang w:val="fr-FR"/>
        </w:rPr>
        <w:t xml:space="preserve">orateurs </w:t>
      </w:r>
      <w:r w:rsidRPr="004407EE">
        <w:rPr>
          <w:rFonts w:ascii="Arial" w:hAnsi="Arial" w:cs="Arial"/>
          <w:bCs/>
          <w:sz w:val="22"/>
          <w:szCs w:val="22"/>
          <w:lang w:val="fr-FR"/>
        </w:rPr>
        <w:t>précédents, rappelant le cas du Conseil exécutif. Il s</w:t>
      </w:r>
      <w:r w:rsidR="008E532B">
        <w:rPr>
          <w:rFonts w:ascii="Arial" w:hAnsi="Arial" w:cs="Arial"/>
          <w:bCs/>
          <w:sz w:val="22"/>
          <w:szCs w:val="22"/>
          <w:lang w:val="fr-FR"/>
        </w:rPr>
        <w:t>’</w:t>
      </w:r>
      <w:r w:rsidRPr="004407EE">
        <w:rPr>
          <w:rFonts w:ascii="Arial" w:hAnsi="Arial" w:cs="Arial"/>
          <w:bCs/>
          <w:sz w:val="22"/>
          <w:szCs w:val="22"/>
          <w:lang w:val="fr-FR"/>
        </w:rPr>
        <w:t>agissait d</w:t>
      </w:r>
      <w:r w:rsidR="008E532B">
        <w:rPr>
          <w:rFonts w:ascii="Arial" w:hAnsi="Arial" w:cs="Arial"/>
          <w:bCs/>
          <w:sz w:val="22"/>
          <w:szCs w:val="22"/>
          <w:lang w:val="fr-FR"/>
        </w:rPr>
        <w:t>’</w:t>
      </w:r>
      <w:r w:rsidRPr="004407EE">
        <w:rPr>
          <w:rFonts w:ascii="Arial" w:hAnsi="Arial" w:cs="Arial"/>
          <w:bCs/>
          <w:sz w:val="22"/>
          <w:szCs w:val="22"/>
          <w:lang w:val="fr-FR"/>
        </w:rPr>
        <w:t xml:space="preserve">une réunion en ligne et pour le vote, sur certains points, les représentants devaient être physiquement présents au </w:t>
      </w:r>
      <w:r>
        <w:rPr>
          <w:rFonts w:ascii="Arial" w:hAnsi="Arial" w:cs="Arial"/>
          <w:bCs/>
          <w:sz w:val="22"/>
          <w:szCs w:val="22"/>
          <w:lang w:val="fr-FR"/>
        </w:rPr>
        <w:t>S</w:t>
      </w:r>
      <w:r w:rsidRPr="004407EE">
        <w:rPr>
          <w:rFonts w:ascii="Arial" w:hAnsi="Arial" w:cs="Arial"/>
          <w:bCs/>
          <w:sz w:val="22"/>
          <w:szCs w:val="22"/>
          <w:lang w:val="fr-FR"/>
        </w:rPr>
        <w:t>iège. Ainsi, si on ne l</w:t>
      </w:r>
      <w:r w:rsidR="008E532B">
        <w:rPr>
          <w:rFonts w:ascii="Arial" w:hAnsi="Arial" w:cs="Arial"/>
          <w:bCs/>
          <w:sz w:val="22"/>
          <w:szCs w:val="22"/>
          <w:lang w:val="fr-FR"/>
        </w:rPr>
        <w:t>’</w:t>
      </w:r>
      <w:r w:rsidRPr="004407EE">
        <w:rPr>
          <w:rFonts w:ascii="Arial" w:hAnsi="Arial" w:cs="Arial"/>
          <w:bCs/>
          <w:sz w:val="22"/>
          <w:szCs w:val="22"/>
          <w:lang w:val="fr-FR"/>
        </w:rPr>
        <w:t>appel</w:t>
      </w:r>
      <w:r>
        <w:rPr>
          <w:rFonts w:ascii="Arial" w:hAnsi="Arial" w:cs="Arial"/>
          <w:bCs/>
          <w:sz w:val="22"/>
          <w:szCs w:val="22"/>
          <w:lang w:val="fr-FR"/>
        </w:rPr>
        <w:t>ait</w:t>
      </w:r>
      <w:r w:rsidRPr="004407EE">
        <w:rPr>
          <w:rFonts w:ascii="Arial" w:hAnsi="Arial" w:cs="Arial"/>
          <w:bCs/>
          <w:sz w:val="22"/>
          <w:szCs w:val="22"/>
          <w:lang w:val="fr-FR"/>
        </w:rPr>
        <w:t xml:space="preserve"> pas </w:t>
      </w:r>
      <w:r>
        <w:rPr>
          <w:rFonts w:ascii="Arial" w:hAnsi="Arial" w:cs="Arial"/>
          <w:bCs/>
          <w:sz w:val="22"/>
          <w:szCs w:val="22"/>
          <w:lang w:val="fr-FR"/>
        </w:rPr>
        <w:t>« </w:t>
      </w:r>
      <w:r w:rsidRPr="004407EE">
        <w:rPr>
          <w:rFonts w:ascii="Arial" w:hAnsi="Arial" w:cs="Arial"/>
          <w:bCs/>
          <w:sz w:val="22"/>
          <w:szCs w:val="22"/>
          <w:lang w:val="fr-FR"/>
        </w:rPr>
        <w:t>hybride</w:t>
      </w:r>
      <w:r>
        <w:rPr>
          <w:rFonts w:ascii="Arial" w:hAnsi="Arial" w:cs="Arial"/>
          <w:bCs/>
          <w:sz w:val="22"/>
          <w:szCs w:val="22"/>
          <w:lang w:val="fr-FR"/>
        </w:rPr>
        <w:t> »</w:t>
      </w:r>
      <w:r w:rsidRPr="004407EE">
        <w:rPr>
          <w:rFonts w:ascii="Arial" w:hAnsi="Arial" w:cs="Arial"/>
          <w:bCs/>
          <w:sz w:val="22"/>
          <w:szCs w:val="22"/>
          <w:lang w:val="fr-FR"/>
        </w:rPr>
        <w:t>, on devrait l</w:t>
      </w:r>
      <w:r w:rsidR="008E532B">
        <w:rPr>
          <w:rFonts w:ascii="Arial" w:hAnsi="Arial" w:cs="Arial"/>
          <w:bCs/>
          <w:sz w:val="22"/>
          <w:szCs w:val="22"/>
          <w:lang w:val="fr-FR"/>
        </w:rPr>
        <w:t>’</w:t>
      </w:r>
      <w:r w:rsidRPr="004407EE">
        <w:rPr>
          <w:rFonts w:ascii="Arial" w:hAnsi="Arial" w:cs="Arial"/>
          <w:bCs/>
          <w:sz w:val="22"/>
          <w:szCs w:val="22"/>
          <w:lang w:val="fr-FR"/>
        </w:rPr>
        <w:t>appeler autrement. De plus, avec l</w:t>
      </w:r>
      <w:r w:rsidR="008E532B">
        <w:rPr>
          <w:rFonts w:ascii="Arial" w:hAnsi="Arial" w:cs="Arial"/>
          <w:bCs/>
          <w:sz w:val="22"/>
          <w:szCs w:val="22"/>
          <w:lang w:val="fr-FR"/>
        </w:rPr>
        <w:t>’</w:t>
      </w:r>
      <w:r w:rsidRPr="004407EE">
        <w:rPr>
          <w:rFonts w:ascii="Arial" w:hAnsi="Arial" w:cs="Arial"/>
          <w:bCs/>
          <w:sz w:val="22"/>
          <w:szCs w:val="22"/>
          <w:lang w:val="fr-FR"/>
        </w:rPr>
        <w:t>évolution de la pandémie, l</w:t>
      </w:r>
      <w:r w:rsidR="008E532B">
        <w:rPr>
          <w:rFonts w:ascii="Arial" w:hAnsi="Arial" w:cs="Arial"/>
          <w:bCs/>
          <w:sz w:val="22"/>
          <w:szCs w:val="22"/>
          <w:lang w:val="fr-FR"/>
        </w:rPr>
        <w:t>’</w:t>
      </w:r>
      <w:r w:rsidRPr="004407EE">
        <w:rPr>
          <w:rFonts w:ascii="Arial" w:hAnsi="Arial" w:cs="Arial"/>
          <w:bCs/>
          <w:sz w:val="22"/>
          <w:szCs w:val="22"/>
          <w:lang w:val="fr-FR"/>
        </w:rPr>
        <w:t xml:space="preserve">Assemblée devrait effectivement être prudente. Le groupe de travail pour le Comité du patrimoine mondial sur les </w:t>
      </w:r>
      <w:r>
        <w:rPr>
          <w:rFonts w:ascii="Arial" w:hAnsi="Arial" w:cs="Arial"/>
          <w:bCs/>
          <w:sz w:val="22"/>
          <w:szCs w:val="22"/>
          <w:lang w:val="fr-FR"/>
        </w:rPr>
        <w:t>s</w:t>
      </w:r>
      <w:r w:rsidRPr="004407EE">
        <w:rPr>
          <w:rFonts w:ascii="Arial" w:hAnsi="Arial" w:cs="Arial"/>
          <w:bCs/>
          <w:sz w:val="22"/>
          <w:szCs w:val="22"/>
          <w:lang w:val="fr-FR"/>
        </w:rPr>
        <w:t>ites de mémoire s</w:t>
      </w:r>
      <w:r w:rsidR="008E532B">
        <w:rPr>
          <w:rFonts w:ascii="Arial" w:hAnsi="Arial" w:cs="Arial"/>
          <w:bCs/>
          <w:sz w:val="22"/>
          <w:szCs w:val="22"/>
          <w:lang w:val="fr-FR"/>
        </w:rPr>
        <w:t>’</w:t>
      </w:r>
      <w:r>
        <w:rPr>
          <w:rFonts w:ascii="Arial" w:hAnsi="Arial" w:cs="Arial"/>
          <w:bCs/>
          <w:sz w:val="22"/>
          <w:szCs w:val="22"/>
          <w:lang w:val="fr-FR"/>
        </w:rPr>
        <w:t>était</w:t>
      </w:r>
      <w:r w:rsidRPr="004407EE">
        <w:rPr>
          <w:rFonts w:ascii="Arial" w:hAnsi="Arial" w:cs="Arial"/>
          <w:bCs/>
          <w:sz w:val="22"/>
          <w:szCs w:val="22"/>
          <w:lang w:val="fr-FR"/>
        </w:rPr>
        <w:t xml:space="preserve"> </w:t>
      </w:r>
      <w:r>
        <w:rPr>
          <w:rFonts w:ascii="Arial" w:hAnsi="Arial" w:cs="Arial"/>
          <w:bCs/>
          <w:sz w:val="22"/>
          <w:szCs w:val="22"/>
          <w:lang w:val="fr-FR"/>
        </w:rPr>
        <w:t>réuni</w:t>
      </w:r>
      <w:r w:rsidRPr="004407EE">
        <w:rPr>
          <w:rFonts w:ascii="Arial" w:hAnsi="Arial" w:cs="Arial"/>
          <w:bCs/>
          <w:sz w:val="22"/>
          <w:szCs w:val="22"/>
          <w:lang w:val="fr-FR"/>
        </w:rPr>
        <w:t xml:space="preserve"> dans un format hybride et </w:t>
      </w:r>
      <w:r>
        <w:rPr>
          <w:rFonts w:ascii="Arial" w:hAnsi="Arial" w:cs="Arial"/>
          <w:bCs/>
          <w:sz w:val="22"/>
          <w:szCs w:val="22"/>
          <w:lang w:val="fr-FR"/>
        </w:rPr>
        <w:t>cela avait</w:t>
      </w:r>
      <w:r w:rsidRPr="004407EE">
        <w:rPr>
          <w:rFonts w:ascii="Arial" w:hAnsi="Arial" w:cs="Arial"/>
          <w:bCs/>
          <w:sz w:val="22"/>
          <w:szCs w:val="22"/>
          <w:lang w:val="fr-FR"/>
        </w:rPr>
        <w:t xml:space="preserve"> très bien fonctionné</w:t>
      </w:r>
      <w:r>
        <w:rPr>
          <w:rFonts w:ascii="Arial" w:hAnsi="Arial" w:cs="Arial"/>
          <w:bCs/>
          <w:sz w:val="22"/>
          <w:szCs w:val="22"/>
          <w:lang w:val="fr-FR"/>
        </w:rPr>
        <w:t>,</w:t>
      </w:r>
      <w:r w:rsidRPr="004407EE">
        <w:rPr>
          <w:rFonts w:ascii="Arial" w:hAnsi="Arial" w:cs="Arial"/>
          <w:bCs/>
          <w:sz w:val="22"/>
          <w:szCs w:val="22"/>
          <w:lang w:val="fr-FR"/>
        </w:rPr>
        <w:t xml:space="preserve"> et à l</w:t>
      </w:r>
      <w:r w:rsidR="008E532B">
        <w:rPr>
          <w:rFonts w:ascii="Arial" w:hAnsi="Arial" w:cs="Arial"/>
          <w:bCs/>
          <w:sz w:val="22"/>
          <w:szCs w:val="22"/>
          <w:lang w:val="fr-FR"/>
        </w:rPr>
        <w:t>’</w:t>
      </w:r>
      <w:r w:rsidRPr="004407EE">
        <w:rPr>
          <w:rFonts w:ascii="Arial" w:hAnsi="Arial" w:cs="Arial"/>
          <w:bCs/>
          <w:sz w:val="22"/>
          <w:szCs w:val="22"/>
          <w:lang w:val="fr-FR"/>
        </w:rPr>
        <w:t>avenir, ces processus pourraient être améliorés. Ils ne devraient donc pas être exclus, si l</w:t>
      </w:r>
      <w:r w:rsidR="008E532B">
        <w:rPr>
          <w:rFonts w:ascii="Arial" w:hAnsi="Arial" w:cs="Arial"/>
          <w:bCs/>
          <w:sz w:val="22"/>
          <w:szCs w:val="22"/>
          <w:lang w:val="fr-FR"/>
        </w:rPr>
        <w:t>’</w:t>
      </w:r>
      <w:r w:rsidRPr="004407EE">
        <w:rPr>
          <w:rFonts w:ascii="Arial" w:hAnsi="Arial" w:cs="Arial"/>
          <w:bCs/>
          <w:sz w:val="22"/>
          <w:szCs w:val="22"/>
          <w:lang w:val="fr-FR"/>
        </w:rPr>
        <w:t>on pouvait trouver un autre mot qu</w:t>
      </w:r>
      <w:proofErr w:type="gramStart"/>
      <w:r w:rsidR="008E532B">
        <w:rPr>
          <w:rFonts w:ascii="Arial" w:hAnsi="Arial" w:cs="Arial"/>
          <w:bCs/>
          <w:sz w:val="22"/>
          <w:szCs w:val="22"/>
          <w:lang w:val="fr-FR"/>
        </w:rPr>
        <w:t>’</w:t>
      </w:r>
      <w:r>
        <w:rPr>
          <w:rFonts w:ascii="Arial" w:hAnsi="Arial" w:cs="Arial"/>
          <w:bCs/>
          <w:sz w:val="22"/>
          <w:szCs w:val="22"/>
          <w:lang w:val="fr-FR"/>
        </w:rPr>
        <w:t>«</w:t>
      </w:r>
      <w:proofErr w:type="gramEnd"/>
      <w:r>
        <w:rPr>
          <w:rFonts w:ascii="Arial" w:hAnsi="Arial" w:cs="Arial"/>
          <w:bCs/>
          <w:sz w:val="22"/>
          <w:szCs w:val="22"/>
          <w:lang w:val="fr-FR"/>
        </w:rPr>
        <w:t> </w:t>
      </w:r>
      <w:r w:rsidRPr="004407EE">
        <w:rPr>
          <w:rFonts w:ascii="Arial" w:hAnsi="Arial" w:cs="Arial"/>
          <w:bCs/>
          <w:sz w:val="22"/>
          <w:szCs w:val="22"/>
          <w:lang w:val="fr-FR"/>
        </w:rPr>
        <w:t>hybride</w:t>
      </w:r>
      <w:r>
        <w:rPr>
          <w:rFonts w:ascii="Arial" w:hAnsi="Arial" w:cs="Arial"/>
          <w:bCs/>
          <w:sz w:val="22"/>
          <w:szCs w:val="22"/>
          <w:lang w:val="fr-FR"/>
        </w:rPr>
        <w:t> »</w:t>
      </w:r>
      <w:r w:rsidRPr="004407EE">
        <w:rPr>
          <w:rFonts w:ascii="Arial" w:hAnsi="Arial" w:cs="Arial"/>
          <w:bCs/>
          <w:sz w:val="22"/>
          <w:szCs w:val="22"/>
          <w:lang w:val="fr-FR"/>
        </w:rPr>
        <w:t>.</w:t>
      </w:r>
    </w:p>
    <w:p w14:paraId="1AA1C329" w14:textId="25C6EA4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407EE">
        <w:rPr>
          <w:rFonts w:ascii="Arial" w:hAnsi="Arial" w:cs="Arial"/>
          <w:bCs/>
          <w:sz w:val="22"/>
          <w:szCs w:val="22"/>
          <w:lang w:val="fr-FR"/>
        </w:rPr>
        <w:t xml:space="preserve">La délégation de la </w:t>
      </w:r>
      <w:r w:rsidRPr="004407EE">
        <w:rPr>
          <w:rFonts w:ascii="Arial" w:hAnsi="Arial" w:cs="Arial"/>
          <w:b/>
          <w:sz w:val="22"/>
          <w:szCs w:val="22"/>
          <w:lang w:val="fr-FR"/>
        </w:rPr>
        <w:t>Chine</w:t>
      </w:r>
      <w:r w:rsidRPr="004407EE">
        <w:rPr>
          <w:rFonts w:ascii="Arial" w:hAnsi="Arial" w:cs="Arial"/>
          <w:bCs/>
          <w:sz w:val="22"/>
          <w:szCs w:val="22"/>
          <w:lang w:val="fr-FR"/>
        </w:rPr>
        <w:t xml:space="preserve"> a expliqué que le </w:t>
      </w:r>
      <w:r>
        <w:rPr>
          <w:rFonts w:ascii="Arial" w:hAnsi="Arial" w:cs="Arial"/>
          <w:bCs/>
          <w:sz w:val="22"/>
          <w:szCs w:val="22"/>
          <w:lang w:val="fr-FR"/>
        </w:rPr>
        <w:t>R</w:t>
      </w:r>
      <w:r w:rsidRPr="004407EE">
        <w:rPr>
          <w:rFonts w:ascii="Arial" w:hAnsi="Arial" w:cs="Arial"/>
          <w:bCs/>
          <w:sz w:val="22"/>
          <w:szCs w:val="22"/>
          <w:lang w:val="fr-FR"/>
        </w:rPr>
        <w:t xml:space="preserve">èglement intérieur </w:t>
      </w:r>
      <w:r>
        <w:rPr>
          <w:rFonts w:ascii="Arial" w:hAnsi="Arial" w:cs="Arial"/>
          <w:bCs/>
          <w:sz w:val="22"/>
          <w:szCs w:val="22"/>
          <w:lang w:val="fr-FR"/>
        </w:rPr>
        <w:t>modèle</w:t>
      </w:r>
      <w:r w:rsidRPr="004407EE">
        <w:rPr>
          <w:rFonts w:ascii="Arial" w:hAnsi="Arial" w:cs="Arial"/>
          <w:bCs/>
          <w:sz w:val="22"/>
          <w:szCs w:val="22"/>
          <w:lang w:val="fr-FR"/>
        </w:rPr>
        <w:t xml:space="preserve"> avait été préparé par le Secrétariat et l</w:t>
      </w:r>
      <w:r>
        <w:rPr>
          <w:rFonts w:ascii="Arial" w:hAnsi="Arial" w:cs="Arial"/>
          <w:bCs/>
          <w:sz w:val="22"/>
          <w:szCs w:val="22"/>
          <w:lang w:val="fr-FR"/>
        </w:rPr>
        <w:t>es Affaires juridiques</w:t>
      </w:r>
      <w:r w:rsidRPr="004407EE">
        <w:rPr>
          <w:rFonts w:ascii="Arial" w:hAnsi="Arial" w:cs="Arial"/>
          <w:bCs/>
          <w:sz w:val="22"/>
          <w:szCs w:val="22"/>
          <w:lang w:val="fr-FR"/>
        </w:rPr>
        <w:t xml:space="preserve"> juste avant </w:t>
      </w:r>
      <w:proofErr w:type="gramStart"/>
      <w:r w:rsidRPr="004407EE">
        <w:rPr>
          <w:rFonts w:ascii="Arial" w:hAnsi="Arial" w:cs="Arial"/>
          <w:bCs/>
          <w:sz w:val="22"/>
          <w:szCs w:val="22"/>
          <w:lang w:val="fr-FR"/>
        </w:rPr>
        <w:t xml:space="preserve">la </w:t>
      </w:r>
      <w:r>
        <w:rPr>
          <w:rFonts w:ascii="Arial" w:hAnsi="Arial" w:cs="Arial"/>
          <w:bCs/>
          <w:sz w:val="22"/>
          <w:szCs w:val="22"/>
          <w:lang w:val="fr-FR"/>
        </w:rPr>
        <w:t>quarante</w:t>
      </w:r>
      <w:proofErr w:type="gramEnd"/>
      <w:r>
        <w:rPr>
          <w:rFonts w:ascii="Arial" w:hAnsi="Arial" w:cs="Arial"/>
          <w:bCs/>
          <w:sz w:val="22"/>
          <w:szCs w:val="22"/>
          <w:lang w:val="fr-FR"/>
        </w:rPr>
        <w:t> et unième</w:t>
      </w:r>
      <w:r w:rsidRPr="004407EE">
        <w:rPr>
          <w:rFonts w:ascii="Arial" w:hAnsi="Arial" w:cs="Arial"/>
          <w:bCs/>
          <w:sz w:val="22"/>
          <w:szCs w:val="22"/>
          <w:lang w:val="fr-FR"/>
        </w:rPr>
        <w:t xml:space="preserve"> Conférence générale de l</w:t>
      </w:r>
      <w:r w:rsidR="008E532B">
        <w:rPr>
          <w:rFonts w:ascii="Arial" w:hAnsi="Arial" w:cs="Arial"/>
          <w:bCs/>
          <w:sz w:val="22"/>
          <w:szCs w:val="22"/>
          <w:lang w:val="fr-FR"/>
        </w:rPr>
        <w:t>’</w:t>
      </w:r>
      <w:r w:rsidRPr="004407EE">
        <w:rPr>
          <w:rFonts w:ascii="Arial" w:hAnsi="Arial" w:cs="Arial"/>
          <w:bCs/>
          <w:sz w:val="22"/>
          <w:szCs w:val="22"/>
          <w:lang w:val="fr-FR"/>
        </w:rPr>
        <w:t>UNESCO, fin 2021</w:t>
      </w:r>
      <w:r>
        <w:rPr>
          <w:rFonts w:ascii="Arial" w:hAnsi="Arial" w:cs="Arial"/>
          <w:bCs/>
          <w:sz w:val="22"/>
          <w:szCs w:val="22"/>
          <w:lang w:val="fr-FR"/>
        </w:rPr>
        <w:t>, et qu</w:t>
      </w:r>
      <w:r w:rsidR="008E532B">
        <w:rPr>
          <w:rFonts w:ascii="Arial" w:hAnsi="Arial" w:cs="Arial"/>
          <w:bCs/>
          <w:sz w:val="22"/>
          <w:szCs w:val="22"/>
          <w:lang w:val="fr-FR"/>
        </w:rPr>
        <w:t>’</w:t>
      </w:r>
      <w:r>
        <w:rPr>
          <w:rFonts w:ascii="Arial" w:hAnsi="Arial" w:cs="Arial"/>
          <w:bCs/>
          <w:sz w:val="22"/>
          <w:szCs w:val="22"/>
          <w:lang w:val="fr-FR"/>
        </w:rPr>
        <w:t>il était disponible en ligne</w:t>
      </w:r>
      <w:r w:rsidRPr="004407EE">
        <w:rPr>
          <w:rFonts w:ascii="Arial" w:hAnsi="Arial" w:cs="Arial"/>
          <w:bCs/>
          <w:sz w:val="22"/>
          <w:szCs w:val="22"/>
          <w:lang w:val="fr-FR"/>
        </w:rPr>
        <w:t>. La délégation a rappelé que certains États membres avaient déclaré qu</w:t>
      </w:r>
      <w:r w:rsidR="008E532B">
        <w:rPr>
          <w:rFonts w:ascii="Arial" w:hAnsi="Arial" w:cs="Arial"/>
          <w:bCs/>
          <w:sz w:val="22"/>
          <w:szCs w:val="22"/>
          <w:lang w:val="fr-FR"/>
        </w:rPr>
        <w:t>’</w:t>
      </w:r>
      <w:r w:rsidRPr="004407EE">
        <w:rPr>
          <w:rFonts w:ascii="Arial" w:hAnsi="Arial" w:cs="Arial"/>
          <w:bCs/>
          <w:sz w:val="22"/>
          <w:szCs w:val="22"/>
          <w:lang w:val="fr-FR"/>
        </w:rPr>
        <w:t>ils n</w:t>
      </w:r>
      <w:r w:rsidR="008E532B">
        <w:rPr>
          <w:rFonts w:ascii="Arial" w:hAnsi="Arial" w:cs="Arial"/>
          <w:bCs/>
          <w:sz w:val="22"/>
          <w:szCs w:val="22"/>
          <w:lang w:val="fr-FR"/>
        </w:rPr>
        <w:t>’</w:t>
      </w:r>
      <w:r w:rsidRPr="004407EE">
        <w:rPr>
          <w:rFonts w:ascii="Arial" w:hAnsi="Arial" w:cs="Arial"/>
          <w:bCs/>
          <w:sz w:val="22"/>
          <w:szCs w:val="22"/>
          <w:lang w:val="fr-FR"/>
        </w:rPr>
        <w:t xml:space="preserve">avaient pas </w:t>
      </w:r>
      <w:r>
        <w:rPr>
          <w:rFonts w:ascii="Arial" w:hAnsi="Arial" w:cs="Arial"/>
          <w:bCs/>
          <w:sz w:val="22"/>
          <w:szCs w:val="22"/>
          <w:lang w:val="fr-FR"/>
        </w:rPr>
        <w:t xml:space="preserve">eu </w:t>
      </w:r>
      <w:r w:rsidRPr="004407EE">
        <w:rPr>
          <w:rFonts w:ascii="Arial" w:hAnsi="Arial" w:cs="Arial"/>
          <w:bCs/>
          <w:sz w:val="22"/>
          <w:szCs w:val="22"/>
          <w:lang w:val="fr-FR"/>
        </w:rPr>
        <w:t>assez de temps pour l</w:t>
      </w:r>
      <w:r w:rsidR="008E532B">
        <w:rPr>
          <w:rFonts w:ascii="Arial" w:hAnsi="Arial" w:cs="Arial"/>
          <w:bCs/>
          <w:sz w:val="22"/>
          <w:szCs w:val="22"/>
          <w:lang w:val="fr-FR"/>
        </w:rPr>
        <w:t>’</w:t>
      </w:r>
      <w:r w:rsidRPr="004407EE">
        <w:rPr>
          <w:rFonts w:ascii="Arial" w:hAnsi="Arial" w:cs="Arial"/>
          <w:bCs/>
          <w:sz w:val="22"/>
          <w:szCs w:val="22"/>
          <w:lang w:val="fr-FR"/>
        </w:rPr>
        <w:t xml:space="preserve">examiner en profondeur. La décision de la Conférence générale était donc de </w:t>
      </w:r>
      <w:r>
        <w:rPr>
          <w:rFonts w:ascii="Arial" w:hAnsi="Arial" w:cs="Arial"/>
          <w:bCs/>
          <w:sz w:val="22"/>
          <w:szCs w:val="22"/>
          <w:lang w:val="fr-FR"/>
        </w:rPr>
        <w:t>« </w:t>
      </w:r>
      <w:r w:rsidRPr="004407EE">
        <w:rPr>
          <w:rFonts w:ascii="Arial" w:hAnsi="Arial" w:cs="Arial"/>
          <w:bCs/>
          <w:sz w:val="22"/>
          <w:szCs w:val="22"/>
          <w:lang w:val="fr-FR"/>
        </w:rPr>
        <w:t>prendre note</w:t>
      </w:r>
      <w:r>
        <w:rPr>
          <w:rFonts w:ascii="Arial" w:hAnsi="Arial" w:cs="Arial"/>
          <w:bCs/>
          <w:sz w:val="22"/>
          <w:szCs w:val="22"/>
          <w:lang w:val="fr-FR"/>
        </w:rPr>
        <w:t> »</w:t>
      </w:r>
      <w:r w:rsidRPr="004407EE">
        <w:rPr>
          <w:rFonts w:ascii="Arial" w:hAnsi="Arial" w:cs="Arial"/>
          <w:bCs/>
          <w:sz w:val="22"/>
          <w:szCs w:val="22"/>
          <w:lang w:val="fr-FR"/>
        </w:rPr>
        <w:t xml:space="preserve"> du document modèle, </w:t>
      </w:r>
      <w:r>
        <w:rPr>
          <w:rFonts w:ascii="Arial" w:hAnsi="Arial" w:cs="Arial"/>
          <w:bCs/>
          <w:sz w:val="22"/>
          <w:szCs w:val="22"/>
          <w:lang w:val="fr-FR"/>
        </w:rPr>
        <w:t>« </w:t>
      </w:r>
      <w:r w:rsidRPr="004407EE">
        <w:rPr>
          <w:rFonts w:ascii="Arial" w:hAnsi="Arial" w:cs="Arial"/>
          <w:bCs/>
          <w:sz w:val="22"/>
          <w:szCs w:val="22"/>
          <w:lang w:val="fr-FR"/>
        </w:rPr>
        <w:t>dont l</w:t>
      </w:r>
      <w:r>
        <w:rPr>
          <w:rFonts w:ascii="Arial" w:hAnsi="Arial" w:cs="Arial"/>
          <w:bCs/>
          <w:sz w:val="22"/>
          <w:szCs w:val="22"/>
          <w:lang w:val="fr-FR"/>
        </w:rPr>
        <w:t>es</w:t>
      </w:r>
      <w:r w:rsidRPr="004407EE">
        <w:rPr>
          <w:rFonts w:ascii="Arial" w:hAnsi="Arial" w:cs="Arial"/>
          <w:bCs/>
          <w:sz w:val="22"/>
          <w:szCs w:val="22"/>
          <w:lang w:val="fr-FR"/>
        </w:rPr>
        <w:t>dite</w:t>
      </w:r>
      <w:r>
        <w:rPr>
          <w:rFonts w:ascii="Arial" w:hAnsi="Arial" w:cs="Arial"/>
          <w:bCs/>
          <w:sz w:val="22"/>
          <w:szCs w:val="22"/>
          <w:lang w:val="fr-FR"/>
        </w:rPr>
        <w:t>s</w:t>
      </w:r>
      <w:r w:rsidRPr="004407EE">
        <w:rPr>
          <w:rFonts w:ascii="Arial" w:hAnsi="Arial" w:cs="Arial"/>
          <w:bCs/>
          <w:sz w:val="22"/>
          <w:szCs w:val="22"/>
          <w:lang w:val="fr-FR"/>
        </w:rPr>
        <w:t xml:space="preserve"> </w:t>
      </w:r>
      <w:r>
        <w:rPr>
          <w:rFonts w:ascii="Arial" w:hAnsi="Arial" w:cs="Arial"/>
          <w:bCs/>
          <w:sz w:val="22"/>
          <w:szCs w:val="22"/>
          <w:lang w:val="fr-FR"/>
        </w:rPr>
        <w:t>a</w:t>
      </w:r>
      <w:r w:rsidRPr="004407EE">
        <w:rPr>
          <w:rFonts w:ascii="Arial" w:hAnsi="Arial" w:cs="Arial"/>
          <w:bCs/>
          <w:sz w:val="22"/>
          <w:szCs w:val="22"/>
          <w:lang w:val="fr-FR"/>
        </w:rPr>
        <w:t>ssemblée</w:t>
      </w:r>
      <w:r>
        <w:rPr>
          <w:rFonts w:ascii="Arial" w:hAnsi="Arial" w:cs="Arial"/>
          <w:bCs/>
          <w:sz w:val="22"/>
          <w:szCs w:val="22"/>
          <w:lang w:val="fr-FR"/>
        </w:rPr>
        <w:t>s</w:t>
      </w:r>
      <w:r w:rsidRPr="004407EE">
        <w:rPr>
          <w:rFonts w:ascii="Arial" w:hAnsi="Arial" w:cs="Arial"/>
          <w:bCs/>
          <w:sz w:val="22"/>
          <w:szCs w:val="22"/>
          <w:lang w:val="fr-FR"/>
        </w:rPr>
        <w:t xml:space="preserve"> </w:t>
      </w:r>
      <w:r>
        <w:rPr>
          <w:rFonts w:ascii="Arial" w:hAnsi="Arial" w:cs="Arial"/>
          <w:bCs/>
          <w:sz w:val="22"/>
          <w:szCs w:val="22"/>
          <w:lang w:val="fr-FR"/>
        </w:rPr>
        <w:t>peuvent s</w:t>
      </w:r>
      <w:r w:rsidR="008E532B">
        <w:rPr>
          <w:rFonts w:ascii="Arial" w:hAnsi="Arial" w:cs="Arial"/>
          <w:bCs/>
          <w:sz w:val="22"/>
          <w:szCs w:val="22"/>
          <w:lang w:val="fr-FR"/>
        </w:rPr>
        <w:t>’</w:t>
      </w:r>
      <w:r>
        <w:rPr>
          <w:rFonts w:ascii="Arial" w:hAnsi="Arial" w:cs="Arial"/>
          <w:bCs/>
          <w:sz w:val="22"/>
          <w:szCs w:val="22"/>
          <w:lang w:val="fr-FR"/>
        </w:rPr>
        <w:t>inspirer</w:t>
      </w:r>
      <w:r w:rsidRPr="004407EE">
        <w:rPr>
          <w:rFonts w:ascii="Arial" w:hAnsi="Arial" w:cs="Arial"/>
          <w:bCs/>
          <w:sz w:val="22"/>
          <w:szCs w:val="22"/>
          <w:lang w:val="fr-FR"/>
        </w:rPr>
        <w:t xml:space="preserve"> pour </w:t>
      </w:r>
      <w:r>
        <w:rPr>
          <w:rFonts w:ascii="Arial" w:hAnsi="Arial" w:cs="Arial"/>
          <w:bCs/>
          <w:sz w:val="22"/>
          <w:szCs w:val="22"/>
          <w:lang w:val="fr-FR"/>
        </w:rPr>
        <w:t>étudier</w:t>
      </w:r>
      <w:r w:rsidRPr="004407EE">
        <w:rPr>
          <w:rFonts w:ascii="Arial" w:hAnsi="Arial" w:cs="Arial"/>
          <w:bCs/>
          <w:sz w:val="22"/>
          <w:szCs w:val="22"/>
          <w:lang w:val="fr-FR"/>
        </w:rPr>
        <w:t xml:space="preserve"> les moyens </w:t>
      </w:r>
      <w:r>
        <w:rPr>
          <w:rFonts w:ascii="Arial" w:hAnsi="Arial" w:cs="Arial"/>
          <w:bCs/>
          <w:sz w:val="22"/>
          <w:szCs w:val="22"/>
          <w:lang w:val="fr-FR"/>
        </w:rPr>
        <w:t>éventuels</w:t>
      </w:r>
      <w:r w:rsidRPr="004407EE">
        <w:rPr>
          <w:rFonts w:ascii="Arial" w:hAnsi="Arial" w:cs="Arial"/>
          <w:bCs/>
          <w:sz w:val="22"/>
          <w:szCs w:val="22"/>
          <w:lang w:val="fr-FR"/>
        </w:rPr>
        <w:t xml:space="preserve"> d</w:t>
      </w:r>
      <w:r w:rsidR="008E532B">
        <w:rPr>
          <w:rFonts w:ascii="Arial" w:hAnsi="Arial" w:cs="Arial"/>
          <w:bCs/>
          <w:sz w:val="22"/>
          <w:szCs w:val="22"/>
          <w:lang w:val="fr-FR"/>
        </w:rPr>
        <w:t>’</w:t>
      </w:r>
      <w:r w:rsidRPr="004407EE">
        <w:rPr>
          <w:rFonts w:ascii="Arial" w:hAnsi="Arial" w:cs="Arial"/>
          <w:bCs/>
          <w:sz w:val="22"/>
          <w:szCs w:val="22"/>
          <w:lang w:val="fr-FR"/>
        </w:rPr>
        <w:t>harmoniser leurs règlements intérieurs respectifs, le cas échéant</w:t>
      </w:r>
      <w:r>
        <w:rPr>
          <w:rFonts w:ascii="Arial" w:hAnsi="Arial" w:cs="Arial"/>
          <w:bCs/>
          <w:sz w:val="22"/>
          <w:szCs w:val="22"/>
          <w:lang w:val="fr-FR"/>
        </w:rPr>
        <w:t> »</w:t>
      </w:r>
      <w:r w:rsidRPr="004407EE">
        <w:rPr>
          <w:rFonts w:ascii="Arial" w:hAnsi="Arial" w:cs="Arial"/>
          <w:bCs/>
          <w:sz w:val="22"/>
          <w:szCs w:val="22"/>
          <w:lang w:val="fr-FR"/>
        </w:rPr>
        <w:t>. La délégation a remercié l</w:t>
      </w:r>
      <w:r w:rsidR="008E532B">
        <w:rPr>
          <w:rFonts w:ascii="Arial" w:hAnsi="Arial" w:cs="Arial"/>
          <w:bCs/>
          <w:sz w:val="22"/>
          <w:szCs w:val="22"/>
          <w:lang w:val="fr-FR"/>
        </w:rPr>
        <w:t>’</w:t>
      </w:r>
      <w:r w:rsidRPr="004407EE">
        <w:rPr>
          <w:rFonts w:ascii="Arial" w:hAnsi="Arial" w:cs="Arial"/>
          <w:bCs/>
          <w:sz w:val="22"/>
          <w:szCs w:val="22"/>
          <w:lang w:val="fr-FR"/>
        </w:rPr>
        <w:t>Arabie Saoudite et la Türkiye d</w:t>
      </w:r>
      <w:r w:rsidR="008E532B">
        <w:rPr>
          <w:rFonts w:ascii="Arial" w:hAnsi="Arial" w:cs="Arial"/>
          <w:bCs/>
          <w:sz w:val="22"/>
          <w:szCs w:val="22"/>
          <w:lang w:val="fr-FR"/>
        </w:rPr>
        <w:t>’</w:t>
      </w:r>
      <w:r w:rsidRPr="004407EE">
        <w:rPr>
          <w:rFonts w:ascii="Arial" w:hAnsi="Arial" w:cs="Arial"/>
          <w:bCs/>
          <w:sz w:val="22"/>
          <w:szCs w:val="22"/>
          <w:lang w:val="fr-FR"/>
        </w:rPr>
        <w:t>avoir expliqué leur intention de conserver l</w:t>
      </w:r>
      <w:r w:rsidR="008E532B">
        <w:rPr>
          <w:rFonts w:ascii="Arial" w:hAnsi="Arial" w:cs="Arial"/>
          <w:bCs/>
          <w:sz w:val="22"/>
          <w:szCs w:val="22"/>
          <w:lang w:val="fr-FR"/>
        </w:rPr>
        <w:t>’</w:t>
      </w:r>
      <w:r w:rsidRPr="004407EE">
        <w:rPr>
          <w:rFonts w:ascii="Arial" w:hAnsi="Arial" w:cs="Arial"/>
          <w:bCs/>
          <w:sz w:val="22"/>
          <w:szCs w:val="22"/>
          <w:lang w:val="fr-FR"/>
        </w:rPr>
        <w:t>article 2.2 original, en remplaçant les articles 3.2 et 3.3 actuels. Il a été noté que lors de la session d</w:t>
      </w:r>
      <w:r w:rsidR="008E532B">
        <w:rPr>
          <w:rFonts w:ascii="Arial" w:hAnsi="Arial" w:cs="Arial"/>
          <w:bCs/>
          <w:sz w:val="22"/>
          <w:szCs w:val="22"/>
          <w:lang w:val="fr-FR"/>
        </w:rPr>
        <w:t>’</w:t>
      </w:r>
      <w:r w:rsidRPr="004407EE">
        <w:rPr>
          <w:rFonts w:ascii="Arial" w:hAnsi="Arial" w:cs="Arial"/>
          <w:bCs/>
          <w:sz w:val="22"/>
          <w:szCs w:val="22"/>
          <w:lang w:val="fr-FR"/>
        </w:rPr>
        <w:t xml:space="preserve">information organisée le </w:t>
      </w:r>
      <w:r>
        <w:rPr>
          <w:rFonts w:ascii="Arial" w:hAnsi="Arial" w:cs="Arial"/>
          <w:bCs/>
          <w:sz w:val="22"/>
          <w:szCs w:val="22"/>
          <w:lang w:val="fr-FR"/>
        </w:rPr>
        <w:t>1</w:t>
      </w:r>
      <w:r w:rsidRPr="00D37EB0">
        <w:rPr>
          <w:rFonts w:ascii="Arial" w:hAnsi="Arial" w:cs="Arial"/>
          <w:bCs/>
          <w:sz w:val="22"/>
          <w:szCs w:val="22"/>
          <w:vertAlign w:val="superscript"/>
          <w:lang w:val="fr-FR"/>
        </w:rPr>
        <w:t>er</w:t>
      </w:r>
      <w:r>
        <w:rPr>
          <w:rFonts w:ascii="Arial" w:hAnsi="Arial" w:cs="Arial"/>
          <w:bCs/>
          <w:sz w:val="22"/>
          <w:szCs w:val="22"/>
          <w:lang w:val="fr-FR"/>
        </w:rPr>
        <w:t> </w:t>
      </w:r>
      <w:r w:rsidRPr="004407EE">
        <w:rPr>
          <w:rFonts w:ascii="Arial" w:hAnsi="Arial" w:cs="Arial"/>
          <w:bCs/>
          <w:sz w:val="22"/>
          <w:szCs w:val="22"/>
          <w:lang w:val="fr-FR"/>
        </w:rPr>
        <w:t>juillet par le Secrétariat, plusieurs pays, et pas seulement la Chine, avaient soulevé cette préoccupation concernant le fait que le</w:t>
      </w:r>
      <w:r>
        <w:rPr>
          <w:rFonts w:ascii="Arial" w:hAnsi="Arial" w:cs="Arial"/>
          <w:bCs/>
          <w:sz w:val="22"/>
          <w:szCs w:val="22"/>
          <w:lang w:val="fr-FR"/>
        </w:rPr>
        <w:t>/la</w:t>
      </w:r>
      <w:r w:rsidRPr="004407EE">
        <w:rPr>
          <w:rFonts w:ascii="Arial" w:hAnsi="Arial" w:cs="Arial"/>
          <w:bCs/>
          <w:sz w:val="22"/>
          <w:szCs w:val="22"/>
          <w:lang w:val="fr-FR"/>
        </w:rPr>
        <w:t xml:space="preserve"> Directeur</w:t>
      </w:r>
      <w:r>
        <w:rPr>
          <w:rFonts w:ascii="Arial" w:hAnsi="Arial" w:cs="Arial"/>
          <w:bCs/>
          <w:sz w:val="22"/>
          <w:szCs w:val="22"/>
          <w:lang w:val="fr-FR"/>
        </w:rPr>
        <w:t>/Directrice</w:t>
      </w:r>
      <w:r w:rsidRPr="004407EE">
        <w:rPr>
          <w:rFonts w:ascii="Arial" w:hAnsi="Arial" w:cs="Arial"/>
          <w:bCs/>
          <w:sz w:val="22"/>
          <w:szCs w:val="22"/>
          <w:lang w:val="fr-FR"/>
        </w:rPr>
        <w:t xml:space="preserve"> général</w:t>
      </w:r>
      <w:r>
        <w:rPr>
          <w:rFonts w:ascii="Arial" w:hAnsi="Arial" w:cs="Arial"/>
          <w:bCs/>
          <w:sz w:val="22"/>
          <w:szCs w:val="22"/>
          <w:lang w:val="fr-FR"/>
        </w:rPr>
        <w:t>(e)</w:t>
      </w:r>
      <w:r w:rsidRPr="004407EE">
        <w:rPr>
          <w:rFonts w:ascii="Arial" w:hAnsi="Arial" w:cs="Arial"/>
          <w:bCs/>
          <w:sz w:val="22"/>
          <w:szCs w:val="22"/>
          <w:lang w:val="fr-FR"/>
        </w:rPr>
        <w:t xml:space="preserve"> invite d</w:t>
      </w:r>
      <w:r w:rsidR="008E532B">
        <w:rPr>
          <w:rFonts w:ascii="Arial" w:hAnsi="Arial" w:cs="Arial"/>
          <w:bCs/>
          <w:sz w:val="22"/>
          <w:szCs w:val="22"/>
          <w:lang w:val="fr-FR"/>
        </w:rPr>
        <w:t>’</w:t>
      </w:r>
      <w:r w:rsidRPr="004407EE">
        <w:rPr>
          <w:rFonts w:ascii="Arial" w:hAnsi="Arial" w:cs="Arial"/>
          <w:bCs/>
          <w:sz w:val="22"/>
          <w:szCs w:val="22"/>
          <w:lang w:val="fr-FR"/>
        </w:rPr>
        <w:t>autres entités en plus de celles citées dans le document original. D</w:t>
      </w:r>
      <w:r w:rsidR="008E532B">
        <w:rPr>
          <w:rFonts w:ascii="Arial" w:hAnsi="Arial" w:cs="Arial"/>
          <w:bCs/>
          <w:sz w:val="22"/>
          <w:szCs w:val="22"/>
          <w:lang w:val="fr-FR"/>
        </w:rPr>
        <w:t>’</w:t>
      </w:r>
      <w:r w:rsidRPr="004407EE">
        <w:rPr>
          <w:rFonts w:ascii="Arial" w:hAnsi="Arial" w:cs="Arial"/>
          <w:bCs/>
          <w:sz w:val="22"/>
          <w:szCs w:val="22"/>
          <w:lang w:val="fr-FR"/>
        </w:rPr>
        <w:t>où son souhait de conserver l</w:t>
      </w:r>
      <w:r w:rsidR="008E532B">
        <w:rPr>
          <w:rFonts w:ascii="Arial" w:hAnsi="Arial" w:cs="Arial"/>
          <w:bCs/>
          <w:sz w:val="22"/>
          <w:szCs w:val="22"/>
          <w:lang w:val="fr-FR"/>
        </w:rPr>
        <w:t>’</w:t>
      </w:r>
      <w:r w:rsidRPr="004407EE">
        <w:rPr>
          <w:rFonts w:ascii="Arial" w:hAnsi="Arial" w:cs="Arial"/>
          <w:bCs/>
          <w:sz w:val="22"/>
          <w:szCs w:val="22"/>
          <w:lang w:val="fr-FR"/>
        </w:rPr>
        <w:t>article 2.2 original et de supprimer l</w:t>
      </w:r>
      <w:r w:rsidR="008E532B">
        <w:rPr>
          <w:rFonts w:ascii="Arial" w:hAnsi="Arial" w:cs="Arial"/>
          <w:bCs/>
          <w:sz w:val="22"/>
          <w:szCs w:val="22"/>
          <w:lang w:val="fr-FR"/>
        </w:rPr>
        <w:t>’</w:t>
      </w:r>
      <w:r w:rsidRPr="004407EE">
        <w:rPr>
          <w:rFonts w:ascii="Arial" w:hAnsi="Arial" w:cs="Arial"/>
          <w:bCs/>
          <w:sz w:val="22"/>
          <w:szCs w:val="22"/>
          <w:lang w:val="fr-FR"/>
        </w:rPr>
        <w:t>article 3.3.</w:t>
      </w:r>
    </w:p>
    <w:p w14:paraId="4AC8B7E9" w14:textId="7A0DFD15" w:rsidR="00D9653F" w:rsidRPr="00D37EB0"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37EB0">
        <w:rPr>
          <w:rFonts w:ascii="Arial" w:hAnsi="Arial" w:cs="Arial"/>
          <w:bCs/>
          <w:sz w:val="22"/>
          <w:szCs w:val="22"/>
          <w:lang w:val="fr-FR"/>
        </w:rPr>
        <w:t xml:space="preserve">La délégation de la </w:t>
      </w:r>
      <w:r w:rsidRPr="00D37EB0">
        <w:rPr>
          <w:rFonts w:ascii="Arial" w:hAnsi="Arial" w:cs="Arial"/>
          <w:b/>
          <w:sz w:val="22"/>
          <w:szCs w:val="22"/>
          <w:lang w:val="fr-FR"/>
        </w:rPr>
        <w:t>Suède</w:t>
      </w:r>
      <w:r w:rsidRPr="00D37EB0">
        <w:rPr>
          <w:rFonts w:ascii="Arial" w:hAnsi="Arial" w:cs="Arial"/>
          <w:bCs/>
          <w:sz w:val="22"/>
          <w:szCs w:val="22"/>
          <w:lang w:val="fr-FR"/>
        </w:rPr>
        <w:t xml:space="preserve"> a remercié le Conseiller juridique d</w:t>
      </w:r>
      <w:r w:rsidR="008E532B">
        <w:rPr>
          <w:rFonts w:ascii="Arial" w:hAnsi="Arial" w:cs="Arial"/>
          <w:bCs/>
          <w:sz w:val="22"/>
          <w:szCs w:val="22"/>
          <w:lang w:val="fr-FR"/>
        </w:rPr>
        <w:t>’</w:t>
      </w:r>
      <w:r w:rsidRPr="00D37EB0">
        <w:rPr>
          <w:rFonts w:ascii="Arial" w:hAnsi="Arial" w:cs="Arial"/>
          <w:bCs/>
          <w:sz w:val="22"/>
          <w:szCs w:val="22"/>
          <w:lang w:val="fr-FR"/>
        </w:rPr>
        <w:t>avoir expliqué et clarifié les différents éléments de codification et d</w:t>
      </w:r>
      <w:r>
        <w:rPr>
          <w:rFonts w:ascii="Arial" w:hAnsi="Arial" w:cs="Arial"/>
          <w:bCs/>
          <w:sz w:val="22"/>
          <w:szCs w:val="22"/>
          <w:lang w:val="fr-FR"/>
        </w:rPr>
        <w:t xml:space="preserve">e </w:t>
      </w:r>
      <w:r w:rsidRPr="00D37EB0">
        <w:rPr>
          <w:rFonts w:ascii="Arial" w:hAnsi="Arial" w:cs="Arial"/>
          <w:bCs/>
          <w:sz w:val="22"/>
          <w:szCs w:val="22"/>
          <w:lang w:val="fr-FR"/>
        </w:rPr>
        <w:t>développement progressif. Comme il n</w:t>
      </w:r>
      <w:r w:rsidR="008E532B">
        <w:rPr>
          <w:rFonts w:ascii="Arial" w:hAnsi="Arial" w:cs="Arial"/>
          <w:bCs/>
          <w:sz w:val="22"/>
          <w:szCs w:val="22"/>
          <w:lang w:val="fr-FR"/>
        </w:rPr>
        <w:t>’</w:t>
      </w:r>
      <w:r w:rsidRPr="00D37EB0">
        <w:rPr>
          <w:rFonts w:ascii="Arial" w:hAnsi="Arial" w:cs="Arial"/>
          <w:bCs/>
          <w:sz w:val="22"/>
          <w:szCs w:val="22"/>
          <w:lang w:val="fr-FR"/>
        </w:rPr>
        <w:t>y a</w:t>
      </w:r>
      <w:r>
        <w:rPr>
          <w:rFonts w:ascii="Arial" w:hAnsi="Arial" w:cs="Arial"/>
          <w:bCs/>
          <w:sz w:val="22"/>
          <w:szCs w:val="22"/>
          <w:lang w:val="fr-FR"/>
        </w:rPr>
        <w:t>vait</w:t>
      </w:r>
      <w:r w:rsidRPr="00D37EB0">
        <w:rPr>
          <w:rFonts w:ascii="Arial" w:hAnsi="Arial" w:cs="Arial"/>
          <w:bCs/>
          <w:sz w:val="22"/>
          <w:szCs w:val="22"/>
          <w:lang w:val="fr-FR"/>
        </w:rPr>
        <w:t xml:space="preserve"> pas d</w:t>
      </w:r>
      <w:r w:rsidR="008E532B">
        <w:rPr>
          <w:rFonts w:ascii="Arial" w:hAnsi="Arial" w:cs="Arial"/>
          <w:bCs/>
          <w:sz w:val="22"/>
          <w:szCs w:val="22"/>
          <w:lang w:val="fr-FR"/>
        </w:rPr>
        <w:t>’</w:t>
      </w:r>
      <w:r w:rsidRPr="00D37EB0">
        <w:rPr>
          <w:rFonts w:ascii="Arial" w:hAnsi="Arial" w:cs="Arial"/>
          <w:bCs/>
          <w:sz w:val="22"/>
          <w:szCs w:val="22"/>
          <w:lang w:val="fr-FR"/>
        </w:rPr>
        <w:t>objections à la codification, la délégation interpr</w:t>
      </w:r>
      <w:r>
        <w:rPr>
          <w:rFonts w:ascii="Arial" w:hAnsi="Arial" w:cs="Arial"/>
          <w:bCs/>
          <w:sz w:val="22"/>
          <w:szCs w:val="22"/>
          <w:lang w:val="fr-FR"/>
        </w:rPr>
        <w:t>était</w:t>
      </w:r>
      <w:r w:rsidRPr="00D37EB0">
        <w:rPr>
          <w:rFonts w:ascii="Arial" w:hAnsi="Arial" w:cs="Arial"/>
          <w:bCs/>
          <w:sz w:val="22"/>
          <w:szCs w:val="22"/>
          <w:lang w:val="fr-FR"/>
        </w:rPr>
        <w:t xml:space="preserve"> l</w:t>
      </w:r>
      <w:r w:rsidR="008E532B">
        <w:rPr>
          <w:rFonts w:ascii="Arial" w:hAnsi="Arial" w:cs="Arial"/>
          <w:bCs/>
          <w:sz w:val="22"/>
          <w:szCs w:val="22"/>
          <w:lang w:val="fr-FR"/>
        </w:rPr>
        <w:t>’</w:t>
      </w:r>
      <w:r w:rsidRPr="00D37EB0">
        <w:rPr>
          <w:rFonts w:ascii="Arial" w:hAnsi="Arial" w:cs="Arial"/>
          <w:bCs/>
          <w:sz w:val="22"/>
          <w:szCs w:val="22"/>
          <w:lang w:val="fr-FR"/>
        </w:rPr>
        <w:t>article 3.3 progressif comme impliquant que le</w:t>
      </w:r>
      <w:r>
        <w:rPr>
          <w:rFonts w:ascii="Arial" w:hAnsi="Arial" w:cs="Arial"/>
          <w:bCs/>
          <w:sz w:val="22"/>
          <w:szCs w:val="22"/>
          <w:lang w:val="fr-FR"/>
        </w:rPr>
        <w:t>/la</w:t>
      </w:r>
      <w:r w:rsidRPr="00D37EB0">
        <w:rPr>
          <w:rFonts w:ascii="Arial" w:hAnsi="Arial" w:cs="Arial"/>
          <w:bCs/>
          <w:sz w:val="22"/>
          <w:szCs w:val="22"/>
          <w:lang w:val="fr-FR"/>
        </w:rPr>
        <w:t xml:space="preserve"> Directeur</w:t>
      </w:r>
      <w:r>
        <w:rPr>
          <w:rFonts w:ascii="Arial" w:hAnsi="Arial" w:cs="Arial"/>
          <w:bCs/>
          <w:sz w:val="22"/>
          <w:szCs w:val="22"/>
          <w:lang w:val="fr-FR"/>
        </w:rPr>
        <w:t>/Directrice</w:t>
      </w:r>
      <w:r w:rsidRPr="00D37EB0">
        <w:rPr>
          <w:rFonts w:ascii="Arial" w:hAnsi="Arial" w:cs="Arial"/>
          <w:bCs/>
          <w:sz w:val="22"/>
          <w:szCs w:val="22"/>
          <w:lang w:val="fr-FR"/>
        </w:rPr>
        <w:t xml:space="preserve"> général</w:t>
      </w:r>
      <w:r>
        <w:rPr>
          <w:rFonts w:ascii="Arial" w:hAnsi="Arial" w:cs="Arial"/>
          <w:bCs/>
          <w:sz w:val="22"/>
          <w:szCs w:val="22"/>
          <w:lang w:val="fr-FR"/>
        </w:rPr>
        <w:t>(e) était</w:t>
      </w:r>
      <w:r w:rsidRPr="00D37EB0">
        <w:rPr>
          <w:rFonts w:ascii="Arial" w:hAnsi="Arial" w:cs="Arial"/>
          <w:bCs/>
          <w:sz w:val="22"/>
          <w:szCs w:val="22"/>
          <w:lang w:val="fr-FR"/>
        </w:rPr>
        <w:t xml:space="preserve"> en mesure d</w:t>
      </w:r>
      <w:r w:rsidR="008E532B">
        <w:rPr>
          <w:rFonts w:ascii="Arial" w:hAnsi="Arial" w:cs="Arial"/>
          <w:bCs/>
          <w:sz w:val="22"/>
          <w:szCs w:val="22"/>
          <w:lang w:val="fr-FR"/>
        </w:rPr>
        <w:t>’</w:t>
      </w:r>
      <w:r w:rsidRPr="00D37EB0">
        <w:rPr>
          <w:rFonts w:ascii="Arial" w:hAnsi="Arial" w:cs="Arial"/>
          <w:bCs/>
          <w:sz w:val="22"/>
          <w:szCs w:val="22"/>
          <w:lang w:val="fr-FR"/>
        </w:rPr>
        <w:t>inviter des représentants pertinents à l</w:t>
      </w:r>
      <w:r w:rsidR="008E532B">
        <w:rPr>
          <w:rFonts w:ascii="Arial" w:hAnsi="Arial" w:cs="Arial"/>
          <w:bCs/>
          <w:sz w:val="22"/>
          <w:szCs w:val="22"/>
          <w:lang w:val="fr-FR"/>
        </w:rPr>
        <w:t>’</w:t>
      </w:r>
      <w:r w:rsidRPr="00D37EB0">
        <w:rPr>
          <w:rFonts w:ascii="Arial" w:hAnsi="Arial" w:cs="Arial"/>
          <w:bCs/>
          <w:sz w:val="22"/>
          <w:szCs w:val="22"/>
          <w:lang w:val="fr-FR"/>
        </w:rPr>
        <w:t>Assemblée générale. En effet, ce serait une bonne chose de pouvoir inviter des experts appropriés. La délégation a remercié l</w:t>
      </w:r>
      <w:r w:rsidR="008E532B">
        <w:rPr>
          <w:rFonts w:ascii="Arial" w:hAnsi="Arial" w:cs="Arial"/>
          <w:bCs/>
          <w:sz w:val="22"/>
          <w:szCs w:val="22"/>
          <w:lang w:val="fr-FR"/>
        </w:rPr>
        <w:t>’</w:t>
      </w:r>
      <w:r w:rsidRPr="00D37EB0">
        <w:rPr>
          <w:rFonts w:ascii="Arial" w:hAnsi="Arial" w:cs="Arial"/>
          <w:bCs/>
          <w:sz w:val="22"/>
          <w:szCs w:val="22"/>
          <w:lang w:val="fr-FR"/>
        </w:rPr>
        <w:t>Arabie saoudite pour sa proposition constructive.</w:t>
      </w:r>
    </w:p>
    <w:p w14:paraId="11445272" w14:textId="53A64AE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953B37">
        <w:rPr>
          <w:rFonts w:ascii="Arial" w:hAnsi="Arial" w:cs="Arial"/>
          <w:bCs/>
          <w:sz w:val="22"/>
          <w:szCs w:val="22"/>
          <w:lang w:val="fr-FR"/>
        </w:rPr>
        <w:t>La délégation d</w:t>
      </w:r>
      <w:r>
        <w:rPr>
          <w:rFonts w:ascii="Arial" w:hAnsi="Arial" w:cs="Arial"/>
          <w:bCs/>
          <w:sz w:val="22"/>
          <w:szCs w:val="22"/>
          <w:lang w:val="fr-FR"/>
        </w:rPr>
        <w:t xml:space="preserve">e la </w:t>
      </w:r>
      <w:r w:rsidRPr="00E8321F">
        <w:rPr>
          <w:rFonts w:ascii="Arial" w:hAnsi="Arial" w:cs="Arial"/>
          <w:b/>
          <w:sz w:val="22"/>
          <w:szCs w:val="22"/>
          <w:lang w:val="fr-FR"/>
        </w:rPr>
        <w:t>République bolivarienne du Venezuela</w:t>
      </w:r>
      <w:r>
        <w:rPr>
          <w:rFonts w:ascii="Arial" w:hAnsi="Arial" w:cs="Arial"/>
          <w:bCs/>
          <w:sz w:val="22"/>
          <w:szCs w:val="22"/>
          <w:lang w:val="fr-FR"/>
        </w:rPr>
        <w:t xml:space="preserve"> </w:t>
      </w:r>
      <w:r w:rsidRPr="00953B37">
        <w:rPr>
          <w:rFonts w:ascii="Arial" w:hAnsi="Arial" w:cs="Arial"/>
          <w:bCs/>
          <w:sz w:val="22"/>
          <w:szCs w:val="22"/>
          <w:lang w:val="fr-FR"/>
        </w:rPr>
        <w:t>a fait remarquer que l</w:t>
      </w:r>
      <w:r w:rsidR="008E532B">
        <w:rPr>
          <w:rFonts w:ascii="Arial" w:hAnsi="Arial" w:cs="Arial"/>
          <w:bCs/>
          <w:sz w:val="22"/>
          <w:szCs w:val="22"/>
          <w:lang w:val="fr-FR"/>
        </w:rPr>
        <w:t>’</w:t>
      </w:r>
      <w:r w:rsidRPr="00953B37">
        <w:rPr>
          <w:rFonts w:ascii="Arial" w:hAnsi="Arial" w:cs="Arial"/>
          <w:bCs/>
          <w:sz w:val="22"/>
          <w:szCs w:val="22"/>
          <w:lang w:val="fr-FR"/>
        </w:rPr>
        <w:t>article 3.3 semblait être la question principale, comme</w:t>
      </w:r>
      <w:r>
        <w:rPr>
          <w:rFonts w:ascii="Arial" w:hAnsi="Arial" w:cs="Arial"/>
          <w:bCs/>
          <w:sz w:val="22"/>
          <w:szCs w:val="22"/>
          <w:lang w:val="fr-FR"/>
        </w:rPr>
        <w:t xml:space="preserve"> </w:t>
      </w:r>
      <w:r w:rsidRPr="00953B37">
        <w:rPr>
          <w:rFonts w:ascii="Arial" w:hAnsi="Arial" w:cs="Arial"/>
          <w:bCs/>
          <w:sz w:val="22"/>
          <w:szCs w:val="22"/>
          <w:lang w:val="fr-FR"/>
        </w:rPr>
        <w:t xml:space="preserve">mentionné </w:t>
      </w:r>
      <w:r>
        <w:rPr>
          <w:rFonts w:ascii="Arial" w:hAnsi="Arial" w:cs="Arial"/>
          <w:bCs/>
          <w:sz w:val="22"/>
          <w:szCs w:val="22"/>
          <w:lang w:val="fr-FR"/>
        </w:rPr>
        <w:t xml:space="preserve">par </w:t>
      </w:r>
      <w:r w:rsidRPr="00953B37">
        <w:rPr>
          <w:rFonts w:ascii="Arial" w:hAnsi="Arial" w:cs="Arial"/>
          <w:bCs/>
          <w:sz w:val="22"/>
          <w:szCs w:val="22"/>
          <w:lang w:val="fr-FR"/>
        </w:rPr>
        <w:t>plusieurs délégations. Elle a</w:t>
      </w:r>
      <w:r>
        <w:rPr>
          <w:rFonts w:ascii="Arial" w:hAnsi="Arial" w:cs="Arial"/>
          <w:bCs/>
          <w:sz w:val="22"/>
          <w:szCs w:val="22"/>
          <w:lang w:val="fr-FR"/>
        </w:rPr>
        <w:t>vait</w:t>
      </w:r>
      <w:r w:rsidRPr="00953B37">
        <w:rPr>
          <w:rFonts w:ascii="Arial" w:hAnsi="Arial" w:cs="Arial"/>
          <w:bCs/>
          <w:sz w:val="22"/>
          <w:szCs w:val="22"/>
          <w:lang w:val="fr-FR"/>
        </w:rPr>
        <w:t xml:space="preserve"> noté, d</w:t>
      </w:r>
      <w:r w:rsidR="008E532B">
        <w:rPr>
          <w:rFonts w:ascii="Arial" w:hAnsi="Arial" w:cs="Arial"/>
          <w:bCs/>
          <w:sz w:val="22"/>
          <w:szCs w:val="22"/>
          <w:lang w:val="fr-FR"/>
        </w:rPr>
        <w:t>’</w:t>
      </w:r>
      <w:r w:rsidRPr="00953B37">
        <w:rPr>
          <w:rFonts w:ascii="Arial" w:hAnsi="Arial" w:cs="Arial"/>
          <w:bCs/>
          <w:sz w:val="22"/>
          <w:szCs w:val="22"/>
          <w:lang w:val="fr-FR"/>
        </w:rPr>
        <w:t xml:space="preserve">après les discussions précédentes, que les représentants ou les observateurs </w:t>
      </w:r>
      <w:r>
        <w:rPr>
          <w:rFonts w:ascii="Arial" w:hAnsi="Arial" w:cs="Arial"/>
          <w:bCs/>
          <w:sz w:val="22"/>
          <w:szCs w:val="22"/>
          <w:lang w:val="fr-FR"/>
        </w:rPr>
        <w:t>étaient</w:t>
      </w:r>
      <w:r w:rsidRPr="00953B37">
        <w:rPr>
          <w:rFonts w:ascii="Arial" w:hAnsi="Arial" w:cs="Arial"/>
          <w:bCs/>
          <w:sz w:val="22"/>
          <w:szCs w:val="22"/>
          <w:lang w:val="fr-FR"/>
        </w:rPr>
        <w:t xml:space="preserve"> en fait soigneusement sélectionnés</w:t>
      </w:r>
      <w:r>
        <w:rPr>
          <w:rFonts w:ascii="Arial" w:hAnsi="Arial" w:cs="Arial"/>
          <w:bCs/>
          <w:sz w:val="22"/>
          <w:szCs w:val="22"/>
          <w:lang w:val="fr-FR"/>
        </w:rPr>
        <w:t>,</w:t>
      </w:r>
      <w:r w:rsidRPr="00953B37">
        <w:rPr>
          <w:rFonts w:ascii="Arial" w:hAnsi="Arial" w:cs="Arial"/>
          <w:bCs/>
          <w:sz w:val="22"/>
          <w:szCs w:val="22"/>
          <w:lang w:val="fr-FR"/>
        </w:rPr>
        <w:t xml:space="preserve"> et que c</w:t>
      </w:r>
      <w:r w:rsidR="008E532B">
        <w:rPr>
          <w:rFonts w:ascii="Arial" w:hAnsi="Arial" w:cs="Arial"/>
          <w:bCs/>
          <w:sz w:val="22"/>
          <w:szCs w:val="22"/>
          <w:lang w:val="fr-FR"/>
        </w:rPr>
        <w:t>’</w:t>
      </w:r>
      <w:r>
        <w:rPr>
          <w:rFonts w:ascii="Arial" w:hAnsi="Arial" w:cs="Arial"/>
          <w:bCs/>
          <w:sz w:val="22"/>
          <w:szCs w:val="22"/>
          <w:lang w:val="fr-FR"/>
        </w:rPr>
        <w:t>était</w:t>
      </w:r>
      <w:r w:rsidRPr="00953B37">
        <w:rPr>
          <w:rFonts w:ascii="Arial" w:hAnsi="Arial" w:cs="Arial"/>
          <w:bCs/>
          <w:sz w:val="22"/>
          <w:szCs w:val="22"/>
          <w:lang w:val="fr-FR"/>
        </w:rPr>
        <w:t xml:space="preserve"> donc quelque chose qui d</w:t>
      </w:r>
      <w:r>
        <w:rPr>
          <w:rFonts w:ascii="Arial" w:hAnsi="Arial" w:cs="Arial"/>
          <w:bCs/>
          <w:sz w:val="22"/>
          <w:szCs w:val="22"/>
          <w:lang w:val="fr-FR"/>
        </w:rPr>
        <w:t>evait</w:t>
      </w:r>
      <w:r w:rsidRPr="00953B37">
        <w:rPr>
          <w:rFonts w:ascii="Arial" w:hAnsi="Arial" w:cs="Arial"/>
          <w:bCs/>
          <w:sz w:val="22"/>
          <w:szCs w:val="22"/>
          <w:lang w:val="fr-FR"/>
        </w:rPr>
        <w:t xml:space="preserve"> être protégé. L</w:t>
      </w:r>
      <w:r w:rsidR="008E532B">
        <w:rPr>
          <w:rFonts w:ascii="Arial" w:hAnsi="Arial" w:cs="Arial"/>
          <w:bCs/>
          <w:sz w:val="22"/>
          <w:szCs w:val="22"/>
          <w:lang w:val="fr-FR"/>
        </w:rPr>
        <w:t>’</w:t>
      </w:r>
      <w:r w:rsidRPr="00953B37">
        <w:rPr>
          <w:rFonts w:ascii="Arial" w:hAnsi="Arial" w:cs="Arial"/>
          <w:bCs/>
          <w:sz w:val="22"/>
          <w:szCs w:val="22"/>
          <w:lang w:val="fr-FR"/>
        </w:rPr>
        <w:t>inclusion de ce</w:t>
      </w:r>
      <w:r>
        <w:rPr>
          <w:rFonts w:ascii="Arial" w:hAnsi="Arial" w:cs="Arial"/>
          <w:bCs/>
          <w:sz w:val="22"/>
          <w:szCs w:val="22"/>
          <w:lang w:val="fr-FR"/>
        </w:rPr>
        <w:t>s termes</w:t>
      </w:r>
      <w:r w:rsidRPr="00953B37">
        <w:rPr>
          <w:rFonts w:ascii="Arial" w:hAnsi="Arial" w:cs="Arial"/>
          <w:bCs/>
          <w:sz w:val="22"/>
          <w:szCs w:val="22"/>
          <w:lang w:val="fr-FR"/>
        </w:rPr>
        <w:t xml:space="preserve"> diluerait ou affaiblirait en fait ce processus. Pour cette raison, la délégation cherch</w:t>
      </w:r>
      <w:r>
        <w:rPr>
          <w:rFonts w:ascii="Arial" w:hAnsi="Arial" w:cs="Arial"/>
          <w:bCs/>
          <w:sz w:val="22"/>
          <w:szCs w:val="22"/>
          <w:lang w:val="fr-FR"/>
        </w:rPr>
        <w:t>ait</w:t>
      </w:r>
      <w:r w:rsidRPr="00953B37">
        <w:rPr>
          <w:rFonts w:ascii="Arial" w:hAnsi="Arial" w:cs="Arial"/>
          <w:bCs/>
          <w:sz w:val="22"/>
          <w:szCs w:val="22"/>
          <w:lang w:val="fr-FR"/>
        </w:rPr>
        <w:t xml:space="preserve"> à mettre en place des procédures appropriées pour garantir la présence des représentants pertinents. D</w:t>
      </w:r>
      <w:r w:rsidR="008E532B">
        <w:rPr>
          <w:rFonts w:ascii="Arial" w:hAnsi="Arial" w:cs="Arial"/>
          <w:bCs/>
          <w:sz w:val="22"/>
          <w:szCs w:val="22"/>
          <w:lang w:val="fr-FR"/>
        </w:rPr>
        <w:t>’</w:t>
      </w:r>
      <w:r w:rsidRPr="00953B37">
        <w:rPr>
          <w:rFonts w:ascii="Arial" w:hAnsi="Arial" w:cs="Arial"/>
          <w:bCs/>
          <w:sz w:val="22"/>
          <w:szCs w:val="22"/>
          <w:lang w:val="fr-FR"/>
        </w:rPr>
        <w:t>où son souhait de supprimer cette partie de l</w:t>
      </w:r>
      <w:r w:rsidR="008E532B">
        <w:rPr>
          <w:rFonts w:ascii="Arial" w:hAnsi="Arial" w:cs="Arial"/>
          <w:bCs/>
          <w:sz w:val="22"/>
          <w:szCs w:val="22"/>
          <w:lang w:val="fr-FR"/>
        </w:rPr>
        <w:t>’</w:t>
      </w:r>
      <w:r w:rsidRPr="00953B37">
        <w:rPr>
          <w:rFonts w:ascii="Arial" w:hAnsi="Arial" w:cs="Arial"/>
          <w:bCs/>
          <w:sz w:val="22"/>
          <w:szCs w:val="22"/>
          <w:lang w:val="fr-FR"/>
        </w:rPr>
        <w:t xml:space="preserve">article 3.3 ou, alternativement, de revenir à la version précédente du </w:t>
      </w:r>
      <w:r>
        <w:rPr>
          <w:rFonts w:ascii="Arial" w:hAnsi="Arial" w:cs="Arial"/>
          <w:bCs/>
          <w:sz w:val="22"/>
          <w:szCs w:val="22"/>
          <w:lang w:val="fr-FR"/>
        </w:rPr>
        <w:t>R</w:t>
      </w:r>
      <w:r w:rsidRPr="00953B37">
        <w:rPr>
          <w:rFonts w:ascii="Arial" w:hAnsi="Arial" w:cs="Arial"/>
          <w:bCs/>
          <w:sz w:val="22"/>
          <w:szCs w:val="22"/>
          <w:lang w:val="fr-FR"/>
        </w:rPr>
        <w:t>èglement</w:t>
      </w:r>
      <w:r>
        <w:rPr>
          <w:rFonts w:ascii="Arial" w:hAnsi="Arial" w:cs="Arial"/>
          <w:bCs/>
          <w:sz w:val="22"/>
          <w:szCs w:val="22"/>
          <w:lang w:val="fr-FR"/>
        </w:rPr>
        <w:t xml:space="preserve"> intérieur.</w:t>
      </w:r>
    </w:p>
    <w:p w14:paraId="051B8901" w14:textId="2D9487F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53B37">
        <w:rPr>
          <w:rFonts w:ascii="Arial" w:hAnsi="Arial" w:cs="Arial"/>
          <w:b/>
          <w:sz w:val="22"/>
          <w:szCs w:val="22"/>
          <w:lang w:val="fr-FR"/>
        </w:rPr>
        <w:t>Présidente</w:t>
      </w:r>
      <w:r>
        <w:rPr>
          <w:rFonts w:ascii="Arial" w:hAnsi="Arial" w:cs="Arial"/>
          <w:bCs/>
          <w:sz w:val="22"/>
          <w:szCs w:val="22"/>
          <w:lang w:val="fr-FR"/>
        </w:rPr>
        <w:t xml:space="preserve"> a signalé que la discussion reprendrait après le déjeuner. Elle a rappelé à l</w:t>
      </w:r>
      <w:r w:rsidR="008E532B">
        <w:rPr>
          <w:rFonts w:ascii="Arial" w:hAnsi="Arial" w:cs="Arial"/>
          <w:bCs/>
          <w:sz w:val="22"/>
          <w:szCs w:val="22"/>
          <w:lang w:val="fr-FR"/>
        </w:rPr>
        <w:t>’</w:t>
      </w:r>
      <w:r>
        <w:rPr>
          <w:rFonts w:ascii="Arial" w:hAnsi="Arial" w:cs="Arial"/>
          <w:bCs/>
          <w:sz w:val="22"/>
          <w:szCs w:val="22"/>
          <w:lang w:val="fr-FR"/>
        </w:rPr>
        <w:t xml:space="preserve">Assemblée la </w:t>
      </w:r>
      <w:r w:rsidRPr="00953B37">
        <w:rPr>
          <w:rFonts w:ascii="Arial" w:hAnsi="Arial" w:cs="Arial"/>
          <w:bCs/>
          <w:sz w:val="22"/>
          <w:szCs w:val="22"/>
          <w:lang w:val="fr-FR"/>
        </w:rPr>
        <w:t>consultation</w:t>
      </w:r>
      <w:r>
        <w:rPr>
          <w:rFonts w:ascii="Arial" w:hAnsi="Arial" w:cs="Arial"/>
          <w:bCs/>
          <w:sz w:val="22"/>
          <w:szCs w:val="22"/>
          <w:lang w:val="fr-FR"/>
        </w:rPr>
        <w:t xml:space="preserve"> informelle sur le </w:t>
      </w:r>
      <w:r w:rsidRPr="00953B37">
        <w:rPr>
          <w:rFonts w:ascii="Arial" w:hAnsi="Arial" w:cs="Arial"/>
          <w:bCs/>
          <w:sz w:val="22"/>
          <w:szCs w:val="22"/>
          <w:lang w:val="fr-FR"/>
        </w:rPr>
        <w:t>paragraphe</w:t>
      </w:r>
      <w:r>
        <w:rPr>
          <w:rFonts w:ascii="Arial" w:hAnsi="Arial" w:cs="Arial"/>
          <w:bCs/>
          <w:sz w:val="22"/>
          <w:szCs w:val="22"/>
          <w:lang w:val="fr-FR"/>
        </w:rPr>
        <w:t xml:space="preserve"> 7bis, avec une </w:t>
      </w:r>
      <w:r w:rsidRPr="00953B37">
        <w:rPr>
          <w:rFonts w:ascii="Arial" w:hAnsi="Arial" w:cs="Arial"/>
          <w:bCs/>
          <w:sz w:val="22"/>
          <w:szCs w:val="22"/>
          <w:lang w:val="fr-FR"/>
        </w:rPr>
        <w:t>interprétation</w:t>
      </w:r>
      <w:r>
        <w:rPr>
          <w:rFonts w:ascii="Arial" w:hAnsi="Arial" w:cs="Arial"/>
          <w:bCs/>
          <w:sz w:val="22"/>
          <w:szCs w:val="22"/>
          <w:lang w:val="fr-FR"/>
        </w:rPr>
        <w:t xml:space="preserve"> simultanée en anglais et en français.</w:t>
      </w:r>
    </w:p>
    <w:p w14:paraId="63BA9C52" w14:textId="3631C95B" w:rsidR="00D9653F" w:rsidRPr="009F6BC9" w:rsidRDefault="00D9653F" w:rsidP="009F6BC9">
      <w:pPr>
        <w:autoSpaceDE w:val="0"/>
        <w:spacing w:before="240" w:after="240"/>
        <w:ind w:left="709" w:hanging="709"/>
        <w:jc w:val="center"/>
        <w:outlineLvl w:val="0"/>
        <w:rPr>
          <w:rFonts w:eastAsia="SimSun" w:cs="Arial"/>
          <w:i/>
          <w:iCs/>
          <w:szCs w:val="22"/>
          <w:lang w:val="fr-FR"/>
        </w:rPr>
      </w:pPr>
      <w:r w:rsidRPr="009F6BC9">
        <w:rPr>
          <w:rFonts w:ascii="Arial" w:eastAsia="SimSun" w:hAnsi="Arial" w:cs="Arial"/>
          <w:i/>
          <w:iCs/>
          <w:sz w:val="22"/>
          <w:szCs w:val="22"/>
          <w:lang w:val="fr-FR"/>
        </w:rPr>
        <w:t>[Jeudi 7 juillet, séance de l</w:t>
      </w:r>
      <w:r w:rsidR="008E532B">
        <w:rPr>
          <w:rFonts w:ascii="Arial" w:eastAsia="SimSun" w:hAnsi="Arial" w:cs="Arial"/>
          <w:i/>
          <w:iCs/>
          <w:sz w:val="22"/>
          <w:szCs w:val="22"/>
          <w:lang w:val="fr-FR"/>
        </w:rPr>
        <w:t>’</w:t>
      </w:r>
      <w:r w:rsidRPr="009F6BC9">
        <w:rPr>
          <w:rFonts w:ascii="Arial" w:eastAsia="SimSun" w:hAnsi="Arial" w:cs="Arial"/>
          <w:i/>
          <w:iCs/>
          <w:sz w:val="22"/>
          <w:szCs w:val="22"/>
          <w:lang w:val="fr-FR"/>
        </w:rPr>
        <w:t xml:space="preserve">après-midi] </w:t>
      </w:r>
    </w:p>
    <w:p w14:paraId="2781EA22" w14:textId="2F0676BC" w:rsidR="00D9653F" w:rsidRPr="009F6BC9" w:rsidRDefault="00D9653F" w:rsidP="009F6BC9">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val="fr-FR" w:eastAsia="en-GB"/>
        </w:rPr>
      </w:pPr>
      <w:r w:rsidRPr="009F6BC9">
        <w:rPr>
          <w:rFonts w:eastAsiaTheme="minorEastAsia" w:cs="Arial"/>
          <w:b/>
          <w:color w:val="000000" w:themeColor="text1"/>
          <w:szCs w:val="22"/>
          <w:u w:val="single"/>
          <w:lang w:val="fr-FR" w:eastAsia="en-GB"/>
        </w:rPr>
        <w:t>POINT 12 DE L</w:t>
      </w:r>
      <w:r w:rsidR="008E532B">
        <w:rPr>
          <w:rFonts w:eastAsiaTheme="minorEastAsia" w:cs="Arial"/>
          <w:b/>
          <w:color w:val="000000" w:themeColor="text1"/>
          <w:szCs w:val="22"/>
          <w:u w:val="single"/>
          <w:lang w:val="fr-FR" w:eastAsia="en-GB"/>
        </w:rPr>
        <w:t>’</w:t>
      </w:r>
      <w:r w:rsidRPr="009F6BC9">
        <w:rPr>
          <w:rFonts w:eastAsiaTheme="minorEastAsia" w:cs="Arial"/>
          <w:b/>
          <w:color w:val="000000" w:themeColor="text1"/>
          <w:szCs w:val="22"/>
          <w:u w:val="single"/>
          <w:lang w:val="fr-FR" w:eastAsia="en-GB"/>
        </w:rPr>
        <w:t xml:space="preserve">ORDRE DU JOUR [SUITE] : </w:t>
      </w:r>
    </w:p>
    <w:p w14:paraId="1C9E8C20" w14:textId="2605D97F" w:rsidR="00D9653F" w:rsidRPr="00D37EB0" w:rsidRDefault="00D9653F" w:rsidP="009F6BC9">
      <w:pPr>
        <w:keepNext/>
        <w:suppressAutoHyphens/>
        <w:autoSpaceDE w:val="0"/>
        <w:spacing w:after="120"/>
        <w:jc w:val="both"/>
        <w:rPr>
          <w:lang w:val="fr-FR"/>
        </w:rPr>
      </w:pPr>
      <w:r w:rsidRPr="009F6BC9">
        <w:rPr>
          <w:rFonts w:ascii="Arial" w:eastAsiaTheme="minorHAnsi" w:hAnsi="Arial"/>
          <w:b/>
          <w:snapToGrid w:val="0"/>
          <w:color w:val="000000" w:themeColor="text1"/>
          <w:sz w:val="22"/>
          <w:lang w:val="fr-FR" w:eastAsia="en-US"/>
        </w:rPr>
        <w:t>RÉVISIONS PROPOSÉES AU RÈGLEMENT INTÉRIEUR DE L</w:t>
      </w:r>
      <w:r w:rsidR="008E532B">
        <w:rPr>
          <w:rFonts w:ascii="Arial" w:eastAsiaTheme="minorHAnsi" w:hAnsi="Arial"/>
          <w:b/>
          <w:snapToGrid w:val="0"/>
          <w:color w:val="000000" w:themeColor="text1"/>
          <w:sz w:val="22"/>
          <w:lang w:val="fr-FR" w:eastAsia="en-US"/>
        </w:rPr>
        <w:t>’</w:t>
      </w:r>
      <w:r w:rsidRPr="009F6BC9">
        <w:rPr>
          <w:rFonts w:ascii="Arial" w:eastAsiaTheme="minorHAnsi" w:hAnsi="Arial"/>
          <w:b/>
          <w:snapToGrid w:val="0"/>
          <w:color w:val="000000" w:themeColor="text1"/>
          <w:sz w:val="22"/>
          <w:lang w:val="fr-FR" w:eastAsia="en-US"/>
        </w:rPr>
        <w:t>ASSEMBLÉE GÉNÉRALE DES ÉTATS PARTIES À LA CONVENTION</w:t>
      </w:r>
    </w:p>
    <w:p w14:paraId="09726C43" w14:textId="2E6AC0B2" w:rsidR="00D9653F" w:rsidRDefault="00D9653F" w:rsidP="00D9653F">
      <w:pPr>
        <w:numPr>
          <w:ilvl w:val="0"/>
          <w:numId w:val="19"/>
        </w:numPr>
        <w:suppressAutoHyphens/>
        <w:autoSpaceDE w:val="0"/>
        <w:ind w:left="567" w:hanging="567"/>
        <w:jc w:val="both"/>
        <w:rPr>
          <w:rFonts w:ascii="Arial" w:hAnsi="Arial" w:cs="Arial"/>
          <w:bCs/>
          <w:sz w:val="22"/>
          <w:szCs w:val="22"/>
          <w:lang w:val="fr-FR"/>
        </w:rPr>
      </w:pPr>
      <w:r w:rsidRPr="001B7BD1">
        <w:rPr>
          <w:rFonts w:ascii="Arial" w:hAnsi="Arial" w:cs="Arial"/>
          <w:bCs/>
          <w:sz w:val="22"/>
          <w:szCs w:val="22"/>
          <w:lang w:val="fr-FR"/>
        </w:rPr>
        <w:t xml:space="preserve">La </w:t>
      </w:r>
      <w:r w:rsidRPr="001B7BD1">
        <w:rPr>
          <w:rFonts w:ascii="Arial" w:hAnsi="Arial" w:cs="Arial"/>
          <w:b/>
          <w:sz w:val="22"/>
          <w:szCs w:val="22"/>
          <w:lang w:val="fr-FR"/>
        </w:rPr>
        <w:t>Présidente</w:t>
      </w:r>
      <w:r w:rsidRPr="001B7BD1">
        <w:rPr>
          <w:rFonts w:ascii="Arial" w:hAnsi="Arial" w:cs="Arial"/>
          <w:bCs/>
          <w:sz w:val="22"/>
          <w:szCs w:val="22"/>
          <w:lang w:val="fr-FR"/>
        </w:rPr>
        <w:t xml:space="preserve"> a rappelé l</w:t>
      </w:r>
      <w:r>
        <w:rPr>
          <w:rFonts w:ascii="Arial" w:hAnsi="Arial" w:cs="Arial"/>
          <w:bCs/>
          <w:sz w:val="22"/>
          <w:szCs w:val="22"/>
          <w:lang w:val="fr-FR"/>
        </w:rPr>
        <w:t xml:space="preserve">es </w:t>
      </w:r>
      <w:r w:rsidRPr="001B7BD1">
        <w:rPr>
          <w:rFonts w:ascii="Arial" w:hAnsi="Arial" w:cs="Arial"/>
          <w:bCs/>
          <w:sz w:val="22"/>
          <w:szCs w:val="22"/>
          <w:lang w:val="fr-FR"/>
        </w:rPr>
        <w:t>échange</w:t>
      </w:r>
      <w:r>
        <w:rPr>
          <w:rFonts w:ascii="Arial" w:hAnsi="Arial" w:cs="Arial"/>
          <w:bCs/>
          <w:sz w:val="22"/>
          <w:szCs w:val="22"/>
          <w:lang w:val="fr-FR"/>
        </w:rPr>
        <w:t>s</w:t>
      </w:r>
      <w:r w:rsidRPr="001B7BD1">
        <w:rPr>
          <w:rFonts w:ascii="Arial" w:hAnsi="Arial" w:cs="Arial"/>
          <w:bCs/>
          <w:sz w:val="22"/>
          <w:szCs w:val="22"/>
          <w:lang w:val="fr-FR"/>
        </w:rPr>
        <w:t xml:space="preserve"> fructueux de la s</w:t>
      </w:r>
      <w:r>
        <w:rPr>
          <w:rFonts w:ascii="Arial" w:hAnsi="Arial" w:cs="Arial"/>
          <w:bCs/>
          <w:sz w:val="22"/>
          <w:szCs w:val="22"/>
          <w:lang w:val="fr-FR"/>
        </w:rPr>
        <w:t>éance</w:t>
      </w:r>
      <w:r w:rsidRPr="001B7BD1">
        <w:rPr>
          <w:rFonts w:ascii="Arial" w:hAnsi="Arial" w:cs="Arial"/>
          <w:bCs/>
          <w:sz w:val="22"/>
          <w:szCs w:val="22"/>
          <w:lang w:val="fr-FR"/>
        </w:rPr>
        <w:t xml:space="preserve"> du matin</w:t>
      </w:r>
      <w:r>
        <w:rPr>
          <w:rFonts w:ascii="Arial" w:hAnsi="Arial" w:cs="Arial"/>
          <w:bCs/>
          <w:sz w:val="22"/>
          <w:szCs w:val="22"/>
          <w:lang w:val="fr-FR"/>
        </w:rPr>
        <w:t>,</w:t>
      </w:r>
      <w:r w:rsidRPr="001B7BD1">
        <w:rPr>
          <w:rFonts w:ascii="Arial" w:hAnsi="Arial" w:cs="Arial"/>
          <w:bCs/>
          <w:sz w:val="22"/>
          <w:szCs w:val="22"/>
          <w:lang w:val="fr-FR"/>
        </w:rPr>
        <w:t xml:space="preserve"> qui a</w:t>
      </w:r>
      <w:r>
        <w:rPr>
          <w:rFonts w:ascii="Arial" w:hAnsi="Arial" w:cs="Arial"/>
          <w:bCs/>
          <w:sz w:val="22"/>
          <w:szCs w:val="22"/>
          <w:lang w:val="fr-FR"/>
        </w:rPr>
        <w:t xml:space="preserve">vaient </w:t>
      </w:r>
      <w:r w:rsidRPr="001B7BD1">
        <w:rPr>
          <w:rFonts w:ascii="Arial" w:hAnsi="Arial" w:cs="Arial"/>
          <w:bCs/>
          <w:sz w:val="22"/>
          <w:szCs w:val="22"/>
          <w:lang w:val="fr-FR"/>
        </w:rPr>
        <w:t>permis d</w:t>
      </w:r>
      <w:r w:rsidR="008E532B">
        <w:rPr>
          <w:rFonts w:ascii="Arial" w:hAnsi="Arial" w:cs="Arial"/>
          <w:bCs/>
          <w:sz w:val="22"/>
          <w:szCs w:val="22"/>
          <w:lang w:val="fr-FR"/>
        </w:rPr>
        <w:t>’</w:t>
      </w:r>
      <w:r>
        <w:rPr>
          <w:rFonts w:ascii="Arial" w:hAnsi="Arial" w:cs="Arial"/>
          <w:bCs/>
          <w:sz w:val="22"/>
          <w:szCs w:val="22"/>
          <w:lang w:val="fr-FR"/>
        </w:rPr>
        <w:t xml:space="preserve">achever </w:t>
      </w:r>
      <w:r w:rsidRPr="001B7BD1">
        <w:rPr>
          <w:rFonts w:ascii="Arial" w:hAnsi="Arial" w:cs="Arial"/>
          <w:bCs/>
          <w:sz w:val="22"/>
          <w:szCs w:val="22"/>
          <w:lang w:val="fr-FR"/>
        </w:rPr>
        <w:t>efficacement l</w:t>
      </w:r>
      <w:r w:rsidR="008E532B">
        <w:rPr>
          <w:rFonts w:ascii="Arial" w:hAnsi="Arial" w:cs="Arial"/>
          <w:bCs/>
          <w:sz w:val="22"/>
          <w:szCs w:val="22"/>
          <w:lang w:val="fr-FR"/>
        </w:rPr>
        <w:t>’</w:t>
      </w:r>
      <w:r w:rsidRPr="001B7BD1">
        <w:rPr>
          <w:rFonts w:ascii="Arial" w:hAnsi="Arial" w:cs="Arial"/>
          <w:bCs/>
          <w:sz w:val="22"/>
          <w:szCs w:val="22"/>
          <w:lang w:val="fr-FR"/>
        </w:rPr>
        <w:t>examen des points 9, 10 et 11</w:t>
      </w:r>
      <w:r>
        <w:rPr>
          <w:rFonts w:ascii="Arial" w:hAnsi="Arial" w:cs="Arial"/>
          <w:bCs/>
          <w:sz w:val="22"/>
          <w:szCs w:val="22"/>
          <w:lang w:val="fr-FR"/>
        </w:rPr>
        <w:t>. La matinée s</w:t>
      </w:r>
      <w:r w:rsidR="008E532B">
        <w:rPr>
          <w:rFonts w:ascii="Arial" w:hAnsi="Arial" w:cs="Arial"/>
          <w:bCs/>
          <w:sz w:val="22"/>
          <w:szCs w:val="22"/>
          <w:lang w:val="fr-FR"/>
        </w:rPr>
        <w:t>’</w:t>
      </w:r>
      <w:r>
        <w:rPr>
          <w:rFonts w:ascii="Arial" w:hAnsi="Arial" w:cs="Arial"/>
          <w:bCs/>
          <w:sz w:val="22"/>
          <w:szCs w:val="22"/>
          <w:lang w:val="fr-FR"/>
        </w:rPr>
        <w:t xml:space="preserve">était achevée avec </w:t>
      </w:r>
      <w:r w:rsidRPr="001B7BD1">
        <w:rPr>
          <w:rFonts w:ascii="Arial" w:hAnsi="Arial" w:cs="Arial"/>
          <w:bCs/>
          <w:sz w:val="22"/>
          <w:szCs w:val="22"/>
          <w:lang w:val="fr-FR"/>
        </w:rPr>
        <w:t>un débat général sur le point 12 relatif aux révision</w:t>
      </w:r>
      <w:r>
        <w:rPr>
          <w:rFonts w:ascii="Arial" w:hAnsi="Arial" w:cs="Arial"/>
          <w:bCs/>
          <w:sz w:val="22"/>
          <w:szCs w:val="22"/>
          <w:lang w:val="fr-FR"/>
        </w:rPr>
        <w:t>s proposées</w:t>
      </w:r>
      <w:r w:rsidRPr="001B7BD1">
        <w:rPr>
          <w:rFonts w:ascii="Arial" w:hAnsi="Arial" w:cs="Arial"/>
          <w:bCs/>
          <w:sz w:val="22"/>
          <w:szCs w:val="22"/>
          <w:lang w:val="fr-FR"/>
        </w:rPr>
        <w:t xml:space="preserve"> </w:t>
      </w:r>
      <w:r>
        <w:rPr>
          <w:rFonts w:ascii="Arial" w:hAnsi="Arial" w:cs="Arial"/>
          <w:bCs/>
          <w:sz w:val="22"/>
          <w:szCs w:val="22"/>
          <w:lang w:val="fr-FR"/>
        </w:rPr>
        <w:t>au</w:t>
      </w:r>
      <w:r w:rsidRPr="001B7BD1">
        <w:rPr>
          <w:rFonts w:ascii="Arial" w:hAnsi="Arial" w:cs="Arial"/>
          <w:bCs/>
          <w:sz w:val="22"/>
          <w:szCs w:val="22"/>
          <w:lang w:val="fr-FR"/>
        </w:rPr>
        <w:t xml:space="preserve"> Règlement intérieur, rappelant aux délégués qu</w:t>
      </w:r>
      <w:r w:rsidR="008E532B">
        <w:rPr>
          <w:rFonts w:ascii="Arial" w:hAnsi="Arial" w:cs="Arial"/>
          <w:bCs/>
          <w:sz w:val="22"/>
          <w:szCs w:val="22"/>
          <w:lang w:val="fr-FR"/>
        </w:rPr>
        <w:t>’</w:t>
      </w:r>
      <w:r w:rsidRPr="001B7BD1">
        <w:rPr>
          <w:rFonts w:ascii="Arial" w:hAnsi="Arial" w:cs="Arial"/>
          <w:bCs/>
          <w:sz w:val="22"/>
          <w:szCs w:val="22"/>
          <w:lang w:val="fr-FR"/>
        </w:rPr>
        <w:t>il restait encore cinq points à l</w:t>
      </w:r>
      <w:r w:rsidR="008E532B">
        <w:rPr>
          <w:rFonts w:ascii="Arial" w:hAnsi="Arial" w:cs="Arial"/>
          <w:bCs/>
          <w:sz w:val="22"/>
          <w:szCs w:val="22"/>
          <w:lang w:val="fr-FR"/>
        </w:rPr>
        <w:t>’</w:t>
      </w:r>
      <w:r w:rsidRPr="001B7BD1">
        <w:rPr>
          <w:rFonts w:ascii="Arial" w:hAnsi="Arial" w:cs="Arial"/>
          <w:bCs/>
          <w:sz w:val="22"/>
          <w:szCs w:val="22"/>
          <w:lang w:val="fr-FR"/>
        </w:rPr>
        <w:t xml:space="preserve">ordre du jour, dont le point 7 </w:t>
      </w:r>
      <w:r>
        <w:rPr>
          <w:rFonts w:ascii="Arial" w:hAnsi="Arial" w:cs="Arial"/>
          <w:bCs/>
          <w:sz w:val="22"/>
          <w:szCs w:val="22"/>
          <w:lang w:val="fr-FR"/>
        </w:rPr>
        <w:t xml:space="preserve">qui avait été </w:t>
      </w:r>
      <w:r w:rsidRPr="001B7BD1">
        <w:rPr>
          <w:rFonts w:ascii="Arial" w:hAnsi="Arial" w:cs="Arial"/>
          <w:bCs/>
          <w:sz w:val="22"/>
          <w:szCs w:val="22"/>
          <w:lang w:val="fr-FR"/>
        </w:rPr>
        <w:t>suspendu.</w:t>
      </w:r>
    </w:p>
    <w:p w14:paraId="05B00881" w14:textId="1BCF628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B7BD1">
        <w:rPr>
          <w:rFonts w:ascii="Arial" w:hAnsi="Arial" w:cs="Arial"/>
          <w:bCs/>
          <w:sz w:val="22"/>
          <w:szCs w:val="22"/>
          <w:lang w:val="fr-FR"/>
        </w:rPr>
        <w:t xml:space="preserve">Le </w:t>
      </w:r>
      <w:r w:rsidRPr="001B7BD1">
        <w:rPr>
          <w:rFonts w:ascii="Arial" w:hAnsi="Arial" w:cs="Arial"/>
          <w:b/>
          <w:sz w:val="22"/>
          <w:szCs w:val="22"/>
          <w:lang w:val="fr-FR"/>
        </w:rPr>
        <w:t>Sous-Directeur général</w:t>
      </w:r>
      <w:r w:rsidRPr="001B7BD1">
        <w:rPr>
          <w:rFonts w:ascii="Arial" w:hAnsi="Arial" w:cs="Arial"/>
          <w:bCs/>
          <w:sz w:val="22"/>
          <w:szCs w:val="22"/>
          <w:lang w:val="fr-FR"/>
        </w:rPr>
        <w:t xml:space="preserve"> a assuré les délégués que le Secrétariat s</w:t>
      </w:r>
      <w:r w:rsidR="008E532B">
        <w:rPr>
          <w:rFonts w:ascii="Arial" w:hAnsi="Arial" w:cs="Arial"/>
          <w:bCs/>
          <w:sz w:val="22"/>
          <w:szCs w:val="22"/>
          <w:lang w:val="fr-FR"/>
        </w:rPr>
        <w:t>’</w:t>
      </w:r>
      <w:r w:rsidRPr="001B7BD1">
        <w:rPr>
          <w:rFonts w:ascii="Arial" w:hAnsi="Arial" w:cs="Arial"/>
          <w:bCs/>
          <w:sz w:val="22"/>
          <w:szCs w:val="22"/>
          <w:lang w:val="fr-FR"/>
        </w:rPr>
        <w:t>efforçait de faire en sorte que les travaux de l</w:t>
      </w:r>
      <w:r w:rsidR="008E532B">
        <w:rPr>
          <w:rFonts w:ascii="Arial" w:hAnsi="Arial" w:cs="Arial"/>
          <w:bCs/>
          <w:sz w:val="22"/>
          <w:szCs w:val="22"/>
          <w:lang w:val="fr-FR"/>
        </w:rPr>
        <w:t>’</w:t>
      </w:r>
      <w:r w:rsidRPr="001B7BD1">
        <w:rPr>
          <w:rFonts w:ascii="Arial" w:hAnsi="Arial" w:cs="Arial"/>
          <w:bCs/>
          <w:sz w:val="22"/>
          <w:szCs w:val="22"/>
          <w:lang w:val="fr-FR"/>
        </w:rPr>
        <w:t>Assemblée générale se poursuivent</w:t>
      </w:r>
      <w:r>
        <w:rPr>
          <w:rFonts w:ascii="Arial" w:hAnsi="Arial" w:cs="Arial"/>
          <w:bCs/>
          <w:sz w:val="22"/>
          <w:szCs w:val="22"/>
          <w:lang w:val="fr-FR"/>
        </w:rPr>
        <w:t>, si nécessaire,</w:t>
      </w:r>
      <w:r w:rsidRPr="001B7BD1">
        <w:rPr>
          <w:rFonts w:ascii="Arial" w:hAnsi="Arial" w:cs="Arial"/>
          <w:bCs/>
          <w:sz w:val="22"/>
          <w:szCs w:val="22"/>
          <w:lang w:val="fr-FR"/>
        </w:rPr>
        <w:t xml:space="preserve"> </w:t>
      </w:r>
      <w:r>
        <w:rPr>
          <w:rFonts w:ascii="Arial" w:hAnsi="Arial" w:cs="Arial"/>
          <w:bCs/>
          <w:sz w:val="22"/>
          <w:szCs w:val="22"/>
          <w:lang w:val="fr-FR"/>
        </w:rPr>
        <w:t xml:space="preserve">dans le cadre </w:t>
      </w:r>
      <w:r w:rsidRPr="001B7BD1">
        <w:rPr>
          <w:rFonts w:ascii="Arial" w:hAnsi="Arial" w:cs="Arial"/>
          <w:bCs/>
          <w:sz w:val="22"/>
          <w:szCs w:val="22"/>
          <w:lang w:val="fr-FR"/>
        </w:rPr>
        <w:t>d</w:t>
      </w:r>
      <w:r w:rsidR="008E532B">
        <w:rPr>
          <w:rFonts w:ascii="Arial" w:hAnsi="Arial" w:cs="Arial"/>
          <w:bCs/>
          <w:sz w:val="22"/>
          <w:szCs w:val="22"/>
          <w:lang w:val="fr-FR"/>
        </w:rPr>
        <w:t>’</w:t>
      </w:r>
      <w:r w:rsidRPr="001B7BD1">
        <w:rPr>
          <w:rFonts w:ascii="Arial" w:hAnsi="Arial" w:cs="Arial"/>
          <w:bCs/>
          <w:sz w:val="22"/>
          <w:szCs w:val="22"/>
          <w:lang w:val="fr-FR"/>
        </w:rPr>
        <w:t>une session prolongée</w:t>
      </w:r>
      <w:r>
        <w:rPr>
          <w:rFonts w:ascii="Arial" w:hAnsi="Arial" w:cs="Arial"/>
          <w:bCs/>
          <w:sz w:val="22"/>
          <w:szCs w:val="22"/>
          <w:lang w:val="fr-FR"/>
        </w:rPr>
        <w:t xml:space="preserve">, </w:t>
      </w:r>
      <w:r w:rsidRPr="001B7BD1">
        <w:rPr>
          <w:rFonts w:ascii="Arial" w:hAnsi="Arial" w:cs="Arial"/>
          <w:bCs/>
          <w:sz w:val="22"/>
          <w:szCs w:val="22"/>
          <w:lang w:val="fr-FR"/>
        </w:rPr>
        <w:t>bien qu</w:t>
      </w:r>
      <w:r w:rsidR="008E532B">
        <w:rPr>
          <w:rFonts w:ascii="Arial" w:hAnsi="Arial" w:cs="Arial"/>
          <w:bCs/>
          <w:sz w:val="22"/>
          <w:szCs w:val="22"/>
          <w:lang w:val="fr-FR"/>
        </w:rPr>
        <w:t>’</w:t>
      </w:r>
      <w:r w:rsidRPr="001B7BD1">
        <w:rPr>
          <w:rFonts w:ascii="Arial" w:hAnsi="Arial" w:cs="Arial"/>
          <w:bCs/>
          <w:sz w:val="22"/>
          <w:szCs w:val="22"/>
          <w:lang w:val="fr-FR"/>
        </w:rPr>
        <w:t>après 18 heures l</w:t>
      </w:r>
      <w:r w:rsidR="008E532B">
        <w:rPr>
          <w:rFonts w:ascii="Arial" w:hAnsi="Arial" w:cs="Arial"/>
          <w:bCs/>
          <w:sz w:val="22"/>
          <w:szCs w:val="22"/>
          <w:lang w:val="fr-FR"/>
        </w:rPr>
        <w:t>’</w:t>
      </w:r>
      <w:r w:rsidRPr="001B7BD1">
        <w:rPr>
          <w:rFonts w:ascii="Arial" w:hAnsi="Arial" w:cs="Arial"/>
          <w:bCs/>
          <w:sz w:val="22"/>
          <w:szCs w:val="22"/>
          <w:lang w:val="fr-FR"/>
        </w:rPr>
        <w:t>interprétation ne soit disponible qu</w:t>
      </w:r>
      <w:r w:rsidR="008E532B">
        <w:rPr>
          <w:rFonts w:ascii="Arial" w:hAnsi="Arial" w:cs="Arial"/>
          <w:bCs/>
          <w:sz w:val="22"/>
          <w:szCs w:val="22"/>
          <w:lang w:val="fr-FR"/>
        </w:rPr>
        <w:t>’</w:t>
      </w:r>
      <w:r w:rsidRPr="001B7BD1">
        <w:rPr>
          <w:rFonts w:ascii="Arial" w:hAnsi="Arial" w:cs="Arial"/>
          <w:bCs/>
          <w:sz w:val="22"/>
          <w:szCs w:val="22"/>
          <w:lang w:val="fr-FR"/>
        </w:rPr>
        <w:t>en anglais et en français. Ces dispositions permettraient à l</w:t>
      </w:r>
      <w:r w:rsidR="008E532B">
        <w:rPr>
          <w:rFonts w:ascii="Arial" w:hAnsi="Arial" w:cs="Arial"/>
          <w:bCs/>
          <w:sz w:val="22"/>
          <w:szCs w:val="22"/>
          <w:lang w:val="fr-FR"/>
        </w:rPr>
        <w:t>’</w:t>
      </w:r>
      <w:r w:rsidRPr="001B7BD1">
        <w:rPr>
          <w:rFonts w:ascii="Arial" w:hAnsi="Arial" w:cs="Arial"/>
          <w:bCs/>
          <w:sz w:val="22"/>
          <w:szCs w:val="22"/>
          <w:lang w:val="fr-FR"/>
        </w:rPr>
        <w:t>Assemblée de conclure tous les points de l</w:t>
      </w:r>
      <w:r w:rsidR="008E532B">
        <w:rPr>
          <w:rFonts w:ascii="Arial" w:hAnsi="Arial" w:cs="Arial"/>
          <w:bCs/>
          <w:sz w:val="22"/>
          <w:szCs w:val="22"/>
          <w:lang w:val="fr-FR"/>
        </w:rPr>
        <w:t>’</w:t>
      </w:r>
      <w:r w:rsidRPr="001B7BD1">
        <w:rPr>
          <w:rFonts w:ascii="Arial" w:hAnsi="Arial" w:cs="Arial"/>
          <w:bCs/>
          <w:sz w:val="22"/>
          <w:szCs w:val="22"/>
          <w:lang w:val="fr-FR"/>
        </w:rPr>
        <w:t>ordre du jour, tout en tenant compte des aspects logistiques et financiers de la réunion.</w:t>
      </w:r>
    </w:p>
    <w:p w14:paraId="4D42FF40" w14:textId="0CC14CE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B7BD1">
        <w:rPr>
          <w:rFonts w:ascii="Arial" w:hAnsi="Arial" w:cs="Arial"/>
          <w:bCs/>
          <w:sz w:val="22"/>
          <w:szCs w:val="22"/>
          <w:lang w:val="fr-FR"/>
        </w:rPr>
        <w:t xml:space="preserve">La </w:t>
      </w:r>
      <w:r w:rsidRPr="001B7BD1">
        <w:rPr>
          <w:rFonts w:ascii="Arial" w:hAnsi="Arial" w:cs="Arial"/>
          <w:b/>
          <w:sz w:val="22"/>
          <w:szCs w:val="22"/>
          <w:lang w:val="fr-FR"/>
        </w:rPr>
        <w:t>Présidente</w:t>
      </w:r>
      <w:r w:rsidRPr="001B7BD1">
        <w:rPr>
          <w:rFonts w:ascii="Arial" w:hAnsi="Arial" w:cs="Arial"/>
          <w:bCs/>
          <w:sz w:val="22"/>
          <w:szCs w:val="22"/>
          <w:lang w:val="fr-FR"/>
        </w:rPr>
        <w:t xml:space="preserve"> a demandé la coopération active de l</w:t>
      </w:r>
      <w:r w:rsidR="008E532B">
        <w:rPr>
          <w:rFonts w:ascii="Arial" w:hAnsi="Arial" w:cs="Arial"/>
          <w:bCs/>
          <w:sz w:val="22"/>
          <w:szCs w:val="22"/>
          <w:lang w:val="fr-FR"/>
        </w:rPr>
        <w:t>’</w:t>
      </w:r>
      <w:r w:rsidRPr="001B7BD1">
        <w:rPr>
          <w:rFonts w:ascii="Arial" w:hAnsi="Arial" w:cs="Arial"/>
          <w:bCs/>
          <w:sz w:val="22"/>
          <w:szCs w:val="22"/>
          <w:lang w:val="fr-FR"/>
        </w:rPr>
        <w:t>Assemblée pour conclure tous les points de l</w:t>
      </w:r>
      <w:r w:rsidR="008E532B">
        <w:rPr>
          <w:rFonts w:ascii="Arial" w:hAnsi="Arial" w:cs="Arial"/>
          <w:bCs/>
          <w:sz w:val="22"/>
          <w:szCs w:val="22"/>
          <w:lang w:val="fr-FR"/>
        </w:rPr>
        <w:t>’</w:t>
      </w:r>
      <w:r w:rsidRPr="001B7BD1">
        <w:rPr>
          <w:rFonts w:ascii="Arial" w:hAnsi="Arial" w:cs="Arial"/>
          <w:bCs/>
          <w:sz w:val="22"/>
          <w:szCs w:val="22"/>
          <w:lang w:val="fr-FR"/>
        </w:rPr>
        <w:t xml:space="preserve">ordre du jour dans un esprit de consensus. Des discussions fructueuses </w:t>
      </w:r>
      <w:r>
        <w:rPr>
          <w:rFonts w:ascii="Arial" w:hAnsi="Arial" w:cs="Arial"/>
          <w:bCs/>
          <w:sz w:val="22"/>
          <w:szCs w:val="22"/>
          <w:lang w:val="fr-FR"/>
        </w:rPr>
        <w:t>avaient</w:t>
      </w:r>
      <w:r w:rsidRPr="001B7BD1">
        <w:rPr>
          <w:rFonts w:ascii="Arial" w:hAnsi="Arial" w:cs="Arial"/>
          <w:bCs/>
          <w:sz w:val="22"/>
          <w:szCs w:val="22"/>
          <w:lang w:val="fr-FR"/>
        </w:rPr>
        <w:t xml:space="preserve"> eu lieu pendant </w:t>
      </w:r>
      <w:r>
        <w:rPr>
          <w:rFonts w:ascii="Arial" w:hAnsi="Arial" w:cs="Arial"/>
          <w:bCs/>
          <w:sz w:val="22"/>
          <w:szCs w:val="22"/>
          <w:lang w:val="fr-FR"/>
        </w:rPr>
        <w:t xml:space="preserve">la réunion du </w:t>
      </w:r>
      <w:r w:rsidRPr="001B7BD1">
        <w:rPr>
          <w:rFonts w:ascii="Arial" w:hAnsi="Arial" w:cs="Arial"/>
          <w:bCs/>
          <w:sz w:val="22"/>
          <w:szCs w:val="22"/>
          <w:lang w:val="fr-FR"/>
        </w:rPr>
        <w:t>groupe de consultation informel</w:t>
      </w:r>
      <w:r>
        <w:rPr>
          <w:rFonts w:ascii="Arial" w:hAnsi="Arial" w:cs="Arial"/>
          <w:bCs/>
          <w:sz w:val="22"/>
          <w:szCs w:val="22"/>
          <w:lang w:val="fr-FR"/>
        </w:rPr>
        <w:t>le</w:t>
      </w:r>
      <w:r w:rsidRPr="001B7BD1">
        <w:rPr>
          <w:rFonts w:ascii="Arial" w:hAnsi="Arial" w:cs="Arial"/>
          <w:bCs/>
          <w:sz w:val="22"/>
          <w:szCs w:val="22"/>
          <w:lang w:val="fr-FR"/>
        </w:rPr>
        <w:t xml:space="preserve"> sur le point 7, mais l</w:t>
      </w:r>
      <w:r w:rsidR="008E532B">
        <w:rPr>
          <w:rFonts w:ascii="Arial" w:hAnsi="Arial" w:cs="Arial"/>
          <w:bCs/>
          <w:sz w:val="22"/>
          <w:szCs w:val="22"/>
          <w:lang w:val="fr-FR"/>
        </w:rPr>
        <w:t>’</w:t>
      </w:r>
      <w:r w:rsidRPr="001B7BD1">
        <w:rPr>
          <w:rFonts w:ascii="Arial" w:hAnsi="Arial" w:cs="Arial"/>
          <w:bCs/>
          <w:sz w:val="22"/>
          <w:szCs w:val="22"/>
          <w:lang w:val="fr-FR"/>
        </w:rPr>
        <w:t>Assemblée poursuivra</w:t>
      </w:r>
      <w:r>
        <w:rPr>
          <w:rFonts w:ascii="Arial" w:hAnsi="Arial" w:cs="Arial"/>
          <w:bCs/>
          <w:sz w:val="22"/>
          <w:szCs w:val="22"/>
          <w:lang w:val="fr-FR"/>
        </w:rPr>
        <w:t>it</w:t>
      </w:r>
      <w:r w:rsidRPr="001B7BD1">
        <w:rPr>
          <w:rFonts w:ascii="Arial" w:hAnsi="Arial" w:cs="Arial"/>
          <w:bCs/>
          <w:sz w:val="22"/>
          <w:szCs w:val="22"/>
          <w:lang w:val="fr-FR"/>
        </w:rPr>
        <w:t xml:space="preserve"> l</w:t>
      </w:r>
      <w:r w:rsidR="008E532B">
        <w:rPr>
          <w:rFonts w:ascii="Arial" w:hAnsi="Arial" w:cs="Arial"/>
          <w:bCs/>
          <w:sz w:val="22"/>
          <w:szCs w:val="22"/>
          <w:lang w:val="fr-FR"/>
        </w:rPr>
        <w:t>’</w:t>
      </w:r>
      <w:r w:rsidRPr="001B7BD1">
        <w:rPr>
          <w:rFonts w:ascii="Arial" w:hAnsi="Arial" w:cs="Arial"/>
          <w:bCs/>
          <w:sz w:val="22"/>
          <w:szCs w:val="22"/>
          <w:lang w:val="fr-FR"/>
        </w:rPr>
        <w:t>examen du point 12.</w:t>
      </w:r>
    </w:p>
    <w:p w14:paraId="1E47118B" w14:textId="1766A8B8" w:rsidR="00D9653F" w:rsidRPr="003626EC"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B7BD1">
        <w:rPr>
          <w:rFonts w:ascii="Arial" w:hAnsi="Arial" w:cs="Arial"/>
          <w:bCs/>
          <w:sz w:val="22"/>
          <w:szCs w:val="22"/>
          <w:lang w:val="fr-FR"/>
        </w:rPr>
        <w:t xml:space="preserve">La délégation du </w:t>
      </w:r>
      <w:r w:rsidRPr="003626EC">
        <w:rPr>
          <w:rFonts w:ascii="Arial" w:hAnsi="Arial" w:cs="Arial"/>
          <w:b/>
          <w:sz w:val="22"/>
          <w:szCs w:val="22"/>
          <w:lang w:val="fr-FR"/>
        </w:rPr>
        <w:t>Mexique</w:t>
      </w:r>
      <w:r w:rsidRPr="001B7BD1">
        <w:rPr>
          <w:rFonts w:ascii="Arial" w:hAnsi="Arial" w:cs="Arial"/>
          <w:bCs/>
          <w:sz w:val="22"/>
          <w:szCs w:val="22"/>
          <w:lang w:val="fr-FR"/>
        </w:rPr>
        <w:t xml:space="preserve"> </w:t>
      </w:r>
      <w:r>
        <w:rPr>
          <w:rFonts w:ascii="Arial" w:hAnsi="Arial" w:cs="Arial"/>
          <w:bCs/>
          <w:sz w:val="22"/>
          <w:szCs w:val="22"/>
          <w:lang w:val="fr-FR"/>
        </w:rPr>
        <w:t>soutenait</w:t>
      </w:r>
      <w:r w:rsidRPr="001B7BD1">
        <w:rPr>
          <w:rFonts w:ascii="Arial" w:hAnsi="Arial" w:cs="Arial"/>
          <w:bCs/>
          <w:sz w:val="22"/>
          <w:szCs w:val="22"/>
          <w:lang w:val="fr-FR"/>
        </w:rPr>
        <w:t xml:space="preserve"> l</w:t>
      </w:r>
      <w:r w:rsidR="008E532B">
        <w:rPr>
          <w:rFonts w:ascii="Arial" w:hAnsi="Arial" w:cs="Arial"/>
          <w:bCs/>
          <w:sz w:val="22"/>
          <w:szCs w:val="22"/>
          <w:lang w:val="fr-FR"/>
        </w:rPr>
        <w:t>’</w:t>
      </w:r>
      <w:r w:rsidRPr="001B7BD1">
        <w:rPr>
          <w:rFonts w:ascii="Arial" w:hAnsi="Arial" w:cs="Arial"/>
          <w:bCs/>
          <w:sz w:val="22"/>
          <w:szCs w:val="22"/>
          <w:lang w:val="fr-FR"/>
        </w:rPr>
        <w:t>intervention de Cuba, notamment</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 xml:space="preserve">agissant des </w:t>
      </w:r>
      <w:r w:rsidRPr="003626EC">
        <w:rPr>
          <w:rFonts w:ascii="Arial" w:hAnsi="Arial" w:cs="Arial"/>
          <w:bCs/>
          <w:sz w:val="22"/>
          <w:szCs w:val="22"/>
          <w:lang w:val="fr-FR"/>
        </w:rPr>
        <w:t xml:space="preserve">préoccupations </w:t>
      </w:r>
      <w:r>
        <w:rPr>
          <w:rFonts w:ascii="Arial" w:hAnsi="Arial" w:cs="Arial"/>
          <w:bCs/>
          <w:sz w:val="22"/>
          <w:szCs w:val="22"/>
          <w:lang w:val="fr-FR"/>
        </w:rPr>
        <w:t xml:space="preserve">exprimées </w:t>
      </w:r>
      <w:r w:rsidRPr="003626EC">
        <w:rPr>
          <w:rFonts w:ascii="Arial" w:hAnsi="Arial" w:cs="Arial"/>
          <w:bCs/>
          <w:sz w:val="22"/>
          <w:szCs w:val="22"/>
          <w:lang w:val="fr-FR"/>
        </w:rPr>
        <w:t>quant à la nécessité d</w:t>
      </w:r>
      <w:r w:rsidR="008E532B">
        <w:rPr>
          <w:rFonts w:ascii="Arial" w:hAnsi="Arial" w:cs="Arial"/>
          <w:bCs/>
          <w:sz w:val="22"/>
          <w:szCs w:val="22"/>
          <w:lang w:val="fr-FR"/>
        </w:rPr>
        <w:t>’</w:t>
      </w:r>
      <w:r w:rsidRPr="003626EC">
        <w:rPr>
          <w:rFonts w:ascii="Arial" w:hAnsi="Arial" w:cs="Arial"/>
          <w:bCs/>
          <w:sz w:val="22"/>
          <w:szCs w:val="22"/>
          <w:lang w:val="fr-FR"/>
        </w:rPr>
        <w:t>avoir des procédures de vote très claires, surtout après l</w:t>
      </w:r>
      <w:r w:rsidR="008E532B">
        <w:rPr>
          <w:rFonts w:ascii="Arial" w:hAnsi="Arial" w:cs="Arial"/>
          <w:bCs/>
          <w:sz w:val="22"/>
          <w:szCs w:val="22"/>
          <w:lang w:val="fr-FR"/>
        </w:rPr>
        <w:t>’</w:t>
      </w:r>
      <w:r w:rsidRPr="003626EC">
        <w:rPr>
          <w:rFonts w:ascii="Arial" w:hAnsi="Arial" w:cs="Arial"/>
          <w:bCs/>
          <w:sz w:val="22"/>
          <w:szCs w:val="22"/>
          <w:lang w:val="fr-FR"/>
        </w:rPr>
        <w:t>exemple de la Convention de 1970 et de</w:t>
      </w:r>
      <w:r>
        <w:rPr>
          <w:rFonts w:ascii="Arial" w:hAnsi="Arial" w:cs="Arial"/>
          <w:bCs/>
          <w:sz w:val="22"/>
          <w:szCs w:val="22"/>
          <w:lang w:val="fr-FR"/>
        </w:rPr>
        <w:t xml:space="preserve"> l</w:t>
      </w:r>
      <w:r w:rsidR="008E532B">
        <w:rPr>
          <w:rFonts w:ascii="Arial" w:hAnsi="Arial" w:cs="Arial"/>
          <w:bCs/>
          <w:sz w:val="22"/>
          <w:szCs w:val="22"/>
          <w:lang w:val="fr-FR"/>
        </w:rPr>
        <w:t>’</w:t>
      </w:r>
      <w:r w:rsidRPr="003626EC">
        <w:rPr>
          <w:rFonts w:ascii="Arial" w:hAnsi="Arial" w:cs="Arial"/>
          <w:bCs/>
          <w:sz w:val="22"/>
          <w:szCs w:val="22"/>
          <w:lang w:val="fr-FR"/>
        </w:rPr>
        <w:t>organisation</w:t>
      </w:r>
      <w:r>
        <w:rPr>
          <w:rFonts w:ascii="Arial" w:hAnsi="Arial" w:cs="Arial"/>
          <w:bCs/>
          <w:sz w:val="22"/>
          <w:szCs w:val="22"/>
          <w:lang w:val="fr-FR"/>
        </w:rPr>
        <w:t xml:space="preserve"> de</w:t>
      </w:r>
      <w:r w:rsidRPr="003626EC">
        <w:rPr>
          <w:rFonts w:ascii="Arial" w:hAnsi="Arial" w:cs="Arial"/>
          <w:bCs/>
          <w:sz w:val="22"/>
          <w:szCs w:val="22"/>
          <w:lang w:val="fr-FR"/>
        </w:rPr>
        <w:t xml:space="preserve"> son vote.</w:t>
      </w:r>
    </w:p>
    <w:p w14:paraId="2778CC6D" w14:textId="217527D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626EC">
        <w:rPr>
          <w:rFonts w:ascii="Arial" w:hAnsi="Arial" w:cs="Arial"/>
          <w:bCs/>
          <w:sz w:val="22"/>
          <w:szCs w:val="22"/>
          <w:lang w:val="fr-FR"/>
        </w:rPr>
        <w:t xml:space="preserve">La délégation de la </w:t>
      </w:r>
      <w:r w:rsidRPr="003626EC">
        <w:rPr>
          <w:rFonts w:ascii="Arial" w:hAnsi="Arial" w:cs="Arial"/>
          <w:b/>
          <w:sz w:val="22"/>
          <w:szCs w:val="22"/>
          <w:lang w:val="fr-FR"/>
        </w:rPr>
        <w:t>Colombie</w:t>
      </w:r>
      <w:r w:rsidRPr="003626EC">
        <w:rPr>
          <w:rFonts w:ascii="Arial" w:hAnsi="Arial" w:cs="Arial"/>
          <w:bCs/>
          <w:sz w:val="22"/>
          <w:szCs w:val="22"/>
          <w:lang w:val="fr-FR"/>
        </w:rPr>
        <w:t xml:space="preserve"> préfér</w:t>
      </w:r>
      <w:r>
        <w:rPr>
          <w:rFonts w:ascii="Arial" w:hAnsi="Arial" w:cs="Arial"/>
          <w:bCs/>
          <w:sz w:val="22"/>
          <w:szCs w:val="22"/>
          <w:lang w:val="fr-FR"/>
        </w:rPr>
        <w:t>ait</w:t>
      </w:r>
      <w:r w:rsidRPr="003626EC">
        <w:rPr>
          <w:rFonts w:ascii="Arial" w:hAnsi="Arial" w:cs="Arial"/>
          <w:bCs/>
          <w:sz w:val="22"/>
          <w:szCs w:val="22"/>
          <w:lang w:val="fr-FR"/>
        </w:rPr>
        <w:t xml:space="preserve"> conserver l</w:t>
      </w:r>
      <w:r w:rsidR="008E532B">
        <w:rPr>
          <w:rFonts w:ascii="Arial" w:hAnsi="Arial" w:cs="Arial"/>
          <w:bCs/>
          <w:sz w:val="22"/>
          <w:szCs w:val="22"/>
          <w:lang w:val="fr-FR"/>
        </w:rPr>
        <w:t>’</w:t>
      </w:r>
      <w:r w:rsidRPr="003626EC">
        <w:rPr>
          <w:rFonts w:ascii="Arial" w:hAnsi="Arial" w:cs="Arial"/>
          <w:bCs/>
          <w:sz w:val="22"/>
          <w:szCs w:val="22"/>
          <w:lang w:val="fr-FR"/>
        </w:rPr>
        <w:t xml:space="preserve">article 3.3, mais </w:t>
      </w:r>
      <w:r>
        <w:rPr>
          <w:rFonts w:ascii="Arial" w:hAnsi="Arial" w:cs="Arial"/>
          <w:bCs/>
          <w:sz w:val="22"/>
          <w:szCs w:val="22"/>
          <w:lang w:val="fr-FR"/>
        </w:rPr>
        <w:t xml:space="preserve">ayant </w:t>
      </w:r>
      <w:r w:rsidRPr="003626EC">
        <w:rPr>
          <w:rFonts w:ascii="Arial" w:hAnsi="Arial" w:cs="Arial"/>
          <w:bCs/>
          <w:sz w:val="22"/>
          <w:szCs w:val="22"/>
          <w:lang w:val="fr-FR"/>
        </w:rPr>
        <w:t>également apprécié l</w:t>
      </w:r>
      <w:r w:rsidR="008E532B">
        <w:rPr>
          <w:rFonts w:ascii="Arial" w:hAnsi="Arial" w:cs="Arial"/>
          <w:bCs/>
          <w:sz w:val="22"/>
          <w:szCs w:val="22"/>
          <w:lang w:val="fr-FR"/>
        </w:rPr>
        <w:t>’</w:t>
      </w:r>
      <w:r w:rsidRPr="003626EC">
        <w:rPr>
          <w:rFonts w:ascii="Arial" w:hAnsi="Arial" w:cs="Arial"/>
          <w:bCs/>
          <w:sz w:val="22"/>
          <w:szCs w:val="22"/>
          <w:lang w:val="fr-FR"/>
        </w:rPr>
        <w:t>option proposée par l</w:t>
      </w:r>
      <w:r w:rsidR="008E532B">
        <w:rPr>
          <w:rFonts w:ascii="Arial" w:hAnsi="Arial" w:cs="Arial"/>
          <w:bCs/>
          <w:sz w:val="22"/>
          <w:szCs w:val="22"/>
          <w:lang w:val="fr-FR"/>
        </w:rPr>
        <w:t>’</w:t>
      </w:r>
      <w:r w:rsidRPr="003626EC">
        <w:rPr>
          <w:rFonts w:ascii="Arial" w:hAnsi="Arial" w:cs="Arial"/>
          <w:bCs/>
          <w:sz w:val="22"/>
          <w:szCs w:val="22"/>
          <w:lang w:val="fr-FR"/>
        </w:rPr>
        <w:t>Arabie saoudite</w:t>
      </w:r>
      <w:r>
        <w:rPr>
          <w:rFonts w:ascii="Arial" w:hAnsi="Arial" w:cs="Arial"/>
          <w:bCs/>
          <w:sz w:val="22"/>
          <w:szCs w:val="22"/>
          <w:lang w:val="fr-FR"/>
        </w:rPr>
        <w:t>, elle</w:t>
      </w:r>
      <w:r w:rsidRPr="003626EC">
        <w:rPr>
          <w:rFonts w:ascii="Arial" w:hAnsi="Arial" w:cs="Arial"/>
          <w:bCs/>
          <w:sz w:val="22"/>
          <w:szCs w:val="22"/>
          <w:lang w:val="fr-FR"/>
        </w:rPr>
        <w:t xml:space="preserve"> </w:t>
      </w:r>
      <w:r>
        <w:rPr>
          <w:rFonts w:ascii="Arial" w:hAnsi="Arial" w:cs="Arial"/>
          <w:bCs/>
          <w:sz w:val="22"/>
          <w:szCs w:val="22"/>
          <w:lang w:val="fr-FR"/>
        </w:rPr>
        <w:t xml:space="preserve">était flexible </w:t>
      </w:r>
      <w:r w:rsidRPr="003626EC">
        <w:rPr>
          <w:rFonts w:ascii="Arial" w:hAnsi="Arial" w:cs="Arial"/>
          <w:bCs/>
          <w:sz w:val="22"/>
          <w:szCs w:val="22"/>
          <w:lang w:val="fr-FR"/>
        </w:rPr>
        <w:t>sur cette question.</w:t>
      </w:r>
    </w:p>
    <w:p w14:paraId="60473DA6" w14:textId="62072BB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3626EC">
        <w:rPr>
          <w:rFonts w:ascii="Arial" w:hAnsi="Arial" w:cs="Arial"/>
          <w:bCs/>
          <w:sz w:val="22"/>
          <w:szCs w:val="22"/>
          <w:lang w:val="fr-FR"/>
        </w:rPr>
        <w:t>délégation</w:t>
      </w:r>
      <w:r>
        <w:rPr>
          <w:rFonts w:ascii="Arial" w:hAnsi="Arial" w:cs="Arial"/>
          <w:bCs/>
          <w:sz w:val="22"/>
          <w:szCs w:val="22"/>
          <w:lang w:val="fr-FR"/>
        </w:rPr>
        <w:t xml:space="preserve"> d</w:t>
      </w:r>
      <w:r w:rsidR="008E532B">
        <w:rPr>
          <w:rFonts w:ascii="Arial" w:hAnsi="Arial" w:cs="Arial"/>
          <w:bCs/>
          <w:sz w:val="22"/>
          <w:szCs w:val="22"/>
          <w:lang w:val="fr-FR"/>
        </w:rPr>
        <w:t>’</w:t>
      </w:r>
      <w:r w:rsidRPr="003626EC">
        <w:rPr>
          <w:rFonts w:ascii="Arial" w:hAnsi="Arial" w:cs="Arial"/>
          <w:b/>
          <w:sz w:val="22"/>
          <w:szCs w:val="22"/>
          <w:lang w:val="fr-FR"/>
        </w:rPr>
        <w:t>Oman</w:t>
      </w:r>
      <w:r>
        <w:rPr>
          <w:rFonts w:ascii="Arial" w:hAnsi="Arial" w:cs="Arial"/>
          <w:bCs/>
          <w:sz w:val="22"/>
          <w:szCs w:val="22"/>
          <w:lang w:val="fr-FR"/>
        </w:rPr>
        <w:t xml:space="preserve"> soutenait la </w:t>
      </w:r>
      <w:r w:rsidRPr="003626EC">
        <w:rPr>
          <w:rFonts w:ascii="Arial" w:hAnsi="Arial" w:cs="Arial"/>
          <w:bCs/>
          <w:sz w:val="22"/>
          <w:szCs w:val="22"/>
          <w:lang w:val="fr-FR"/>
        </w:rPr>
        <w:t>proposition</w:t>
      </w:r>
      <w:r>
        <w:rPr>
          <w:rFonts w:ascii="Arial" w:hAnsi="Arial" w:cs="Arial"/>
          <w:bCs/>
          <w:sz w:val="22"/>
          <w:szCs w:val="22"/>
          <w:lang w:val="fr-FR"/>
        </w:rPr>
        <w:t xml:space="preserve"> de l</w:t>
      </w:r>
      <w:r w:rsidR="008E532B">
        <w:rPr>
          <w:rFonts w:ascii="Arial" w:hAnsi="Arial" w:cs="Arial"/>
          <w:bCs/>
          <w:sz w:val="22"/>
          <w:szCs w:val="22"/>
          <w:lang w:val="fr-FR"/>
        </w:rPr>
        <w:t>’</w:t>
      </w:r>
      <w:r>
        <w:rPr>
          <w:rFonts w:ascii="Arial" w:hAnsi="Arial" w:cs="Arial"/>
          <w:bCs/>
          <w:sz w:val="22"/>
          <w:szCs w:val="22"/>
          <w:lang w:val="fr-FR"/>
        </w:rPr>
        <w:t>Arabie saoudite de supprimer l</w:t>
      </w:r>
      <w:r w:rsidR="008E532B">
        <w:rPr>
          <w:rFonts w:ascii="Arial" w:hAnsi="Arial" w:cs="Arial"/>
          <w:bCs/>
          <w:sz w:val="22"/>
          <w:szCs w:val="22"/>
          <w:lang w:val="fr-FR"/>
        </w:rPr>
        <w:t>’</w:t>
      </w:r>
      <w:r>
        <w:rPr>
          <w:rFonts w:ascii="Arial" w:hAnsi="Arial" w:cs="Arial"/>
          <w:bCs/>
          <w:sz w:val="22"/>
          <w:szCs w:val="22"/>
          <w:lang w:val="fr-FR"/>
        </w:rPr>
        <w:t>article 3.3 et de conserver le texte principal de l</w:t>
      </w:r>
      <w:r w:rsidR="008E532B">
        <w:rPr>
          <w:rFonts w:ascii="Arial" w:hAnsi="Arial" w:cs="Arial"/>
          <w:bCs/>
          <w:sz w:val="22"/>
          <w:szCs w:val="22"/>
          <w:lang w:val="fr-FR"/>
        </w:rPr>
        <w:t>’</w:t>
      </w:r>
      <w:r>
        <w:rPr>
          <w:rFonts w:ascii="Arial" w:hAnsi="Arial" w:cs="Arial"/>
          <w:bCs/>
          <w:sz w:val="22"/>
          <w:szCs w:val="22"/>
          <w:lang w:val="fr-FR"/>
        </w:rPr>
        <w:t>article 2.2.</w:t>
      </w:r>
    </w:p>
    <w:p w14:paraId="2814F128" w14:textId="5B92B22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626EC">
        <w:rPr>
          <w:rFonts w:ascii="Arial" w:hAnsi="Arial" w:cs="Arial"/>
          <w:bCs/>
          <w:sz w:val="22"/>
          <w:szCs w:val="22"/>
          <w:lang w:val="fr-FR"/>
        </w:rPr>
        <w:t xml:space="preserve">La délégation de la </w:t>
      </w:r>
      <w:r w:rsidRPr="003626EC">
        <w:rPr>
          <w:rFonts w:ascii="Arial" w:hAnsi="Arial" w:cs="Arial"/>
          <w:b/>
          <w:sz w:val="22"/>
          <w:szCs w:val="22"/>
          <w:lang w:val="fr-FR"/>
        </w:rPr>
        <w:t>Suisse</w:t>
      </w:r>
      <w:r w:rsidRPr="003626EC">
        <w:rPr>
          <w:rFonts w:ascii="Arial" w:hAnsi="Arial" w:cs="Arial"/>
          <w:bCs/>
          <w:sz w:val="22"/>
          <w:szCs w:val="22"/>
          <w:lang w:val="fr-FR"/>
        </w:rPr>
        <w:t xml:space="preserve"> appréci</w:t>
      </w:r>
      <w:r>
        <w:rPr>
          <w:rFonts w:ascii="Arial" w:hAnsi="Arial" w:cs="Arial"/>
          <w:bCs/>
          <w:sz w:val="22"/>
          <w:szCs w:val="22"/>
          <w:lang w:val="fr-FR"/>
        </w:rPr>
        <w:t>ait</w:t>
      </w:r>
      <w:r w:rsidRPr="003626EC">
        <w:rPr>
          <w:rFonts w:ascii="Arial" w:hAnsi="Arial" w:cs="Arial"/>
          <w:bCs/>
          <w:sz w:val="22"/>
          <w:szCs w:val="22"/>
          <w:lang w:val="fr-FR"/>
        </w:rPr>
        <w:t xml:space="preserve"> l</w:t>
      </w:r>
      <w:r w:rsidR="008E532B">
        <w:rPr>
          <w:rFonts w:ascii="Arial" w:hAnsi="Arial" w:cs="Arial"/>
          <w:bCs/>
          <w:sz w:val="22"/>
          <w:szCs w:val="22"/>
          <w:lang w:val="fr-FR"/>
        </w:rPr>
        <w:t>’</w:t>
      </w:r>
      <w:r w:rsidRPr="003626EC">
        <w:rPr>
          <w:rFonts w:ascii="Arial" w:hAnsi="Arial" w:cs="Arial"/>
          <w:bCs/>
          <w:sz w:val="22"/>
          <w:szCs w:val="22"/>
          <w:lang w:val="fr-FR"/>
        </w:rPr>
        <w:t>esprit de consensus concernant les amendements aux articles 3.2 et 3.3. Idéalement, elle souhaitait conserver l</w:t>
      </w:r>
      <w:r w:rsidR="008E532B">
        <w:rPr>
          <w:rFonts w:ascii="Arial" w:hAnsi="Arial" w:cs="Arial"/>
          <w:bCs/>
          <w:sz w:val="22"/>
          <w:szCs w:val="22"/>
          <w:lang w:val="fr-FR"/>
        </w:rPr>
        <w:t>’</w:t>
      </w:r>
      <w:r w:rsidRPr="003626EC">
        <w:rPr>
          <w:rFonts w:ascii="Arial" w:hAnsi="Arial" w:cs="Arial"/>
          <w:bCs/>
          <w:sz w:val="22"/>
          <w:szCs w:val="22"/>
          <w:lang w:val="fr-FR"/>
        </w:rPr>
        <w:t>article 3.3 dans sa formulation actuelle car la version originale de l</w:t>
      </w:r>
      <w:r w:rsidR="008E532B">
        <w:rPr>
          <w:rFonts w:ascii="Arial" w:hAnsi="Arial" w:cs="Arial"/>
          <w:bCs/>
          <w:sz w:val="22"/>
          <w:szCs w:val="22"/>
          <w:lang w:val="fr-FR"/>
        </w:rPr>
        <w:t>’</w:t>
      </w:r>
      <w:r w:rsidRPr="003626EC">
        <w:rPr>
          <w:rFonts w:ascii="Arial" w:hAnsi="Arial" w:cs="Arial"/>
          <w:bCs/>
          <w:sz w:val="22"/>
          <w:szCs w:val="22"/>
          <w:lang w:val="fr-FR"/>
        </w:rPr>
        <w:t xml:space="preserve">article 3.2 ne mentionnait pas les </w:t>
      </w:r>
      <w:r>
        <w:rPr>
          <w:rFonts w:ascii="Arial" w:hAnsi="Arial" w:cs="Arial"/>
          <w:bCs/>
          <w:sz w:val="22"/>
          <w:szCs w:val="22"/>
          <w:lang w:val="fr-FR"/>
        </w:rPr>
        <w:t>« </w:t>
      </w:r>
      <w:r w:rsidRPr="003626EC">
        <w:rPr>
          <w:rFonts w:ascii="Arial" w:hAnsi="Arial" w:cs="Arial"/>
          <w:bCs/>
          <w:sz w:val="22"/>
          <w:szCs w:val="22"/>
          <w:lang w:val="fr-FR"/>
        </w:rPr>
        <w:t>autres représentants et observateurs</w:t>
      </w:r>
      <w:r>
        <w:rPr>
          <w:rFonts w:ascii="Arial" w:hAnsi="Arial" w:cs="Arial"/>
          <w:bCs/>
          <w:sz w:val="22"/>
          <w:szCs w:val="22"/>
          <w:lang w:val="fr-FR"/>
        </w:rPr>
        <w:t> »</w:t>
      </w:r>
      <w:r w:rsidRPr="003626EC">
        <w:rPr>
          <w:rFonts w:ascii="Arial" w:hAnsi="Arial" w:cs="Arial"/>
          <w:bCs/>
          <w:sz w:val="22"/>
          <w:szCs w:val="22"/>
          <w:lang w:val="fr-FR"/>
        </w:rPr>
        <w:t>, qui compren</w:t>
      </w:r>
      <w:r>
        <w:rPr>
          <w:rFonts w:ascii="Arial" w:hAnsi="Arial" w:cs="Arial"/>
          <w:bCs/>
          <w:sz w:val="22"/>
          <w:szCs w:val="22"/>
          <w:lang w:val="fr-FR"/>
        </w:rPr>
        <w:t>aient</w:t>
      </w:r>
      <w:r w:rsidRPr="003626EC">
        <w:rPr>
          <w:rFonts w:ascii="Arial" w:hAnsi="Arial" w:cs="Arial"/>
          <w:bCs/>
          <w:sz w:val="22"/>
          <w:szCs w:val="22"/>
          <w:lang w:val="fr-FR"/>
        </w:rPr>
        <w:t xml:space="preserve"> les experts, les scientifiques et les représentants de</w:t>
      </w:r>
      <w:r>
        <w:rPr>
          <w:rFonts w:ascii="Arial" w:hAnsi="Arial" w:cs="Arial"/>
          <w:bCs/>
          <w:sz w:val="22"/>
          <w:szCs w:val="22"/>
          <w:lang w:val="fr-FR"/>
        </w:rPr>
        <w:t>s</w:t>
      </w:r>
      <w:r w:rsidRPr="003626EC">
        <w:rPr>
          <w:rFonts w:ascii="Arial" w:hAnsi="Arial" w:cs="Arial"/>
          <w:bCs/>
          <w:sz w:val="22"/>
          <w:szCs w:val="22"/>
          <w:lang w:val="fr-FR"/>
        </w:rPr>
        <w:t xml:space="preserve"> communauté</w:t>
      </w:r>
      <w:r>
        <w:rPr>
          <w:rFonts w:ascii="Arial" w:hAnsi="Arial" w:cs="Arial"/>
          <w:bCs/>
          <w:sz w:val="22"/>
          <w:szCs w:val="22"/>
          <w:lang w:val="fr-FR"/>
        </w:rPr>
        <w:t>s</w:t>
      </w:r>
      <w:r w:rsidRPr="003626EC">
        <w:rPr>
          <w:rFonts w:ascii="Arial" w:hAnsi="Arial" w:cs="Arial"/>
          <w:bCs/>
          <w:sz w:val="22"/>
          <w:szCs w:val="22"/>
          <w:lang w:val="fr-FR"/>
        </w:rPr>
        <w:t xml:space="preserve">. La délégation </w:t>
      </w:r>
      <w:r>
        <w:rPr>
          <w:rFonts w:ascii="Arial" w:hAnsi="Arial" w:cs="Arial"/>
          <w:bCs/>
          <w:sz w:val="22"/>
          <w:szCs w:val="22"/>
          <w:lang w:val="fr-FR"/>
        </w:rPr>
        <w:t>estimait qu</w:t>
      </w:r>
      <w:r w:rsidR="008E532B">
        <w:rPr>
          <w:rFonts w:ascii="Arial" w:hAnsi="Arial" w:cs="Arial"/>
          <w:bCs/>
          <w:sz w:val="22"/>
          <w:szCs w:val="22"/>
          <w:lang w:val="fr-FR"/>
        </w:rPr>
        <w:t>’</w:t>
      </w:r>
      <w:r>
        <w:rPr>
          <w:rFonts w:ascii="Arial" w:hAnsi="Arial" w:cs="Arial"/>
          <w:bCs/>
          <w:sz w:val="22"/>
          <w:szCs w:val="22"/>
          <w:lang w:val="fr-FR"/>
        </w:rPr>
        <w:t>il était</w:t>
      </w:r>
      <w:r w:rsidRPr="003626EC">
        <w:rPr>
          <w:rFonts w:ascii="Arial" w:hAnsi="Arial" w:cs="Arial"/>
          <w:bCs/>
          <w:sz w:val="22"/>
          <w:szCs w:val="22"/>
          <w:lang w:val="fr-FR"/>
        </w:rPr>
        <w:t xml:space="preserve"> très important de maintenir ces catégories d</w:t>
      </w:r>
      <w:r w:rsidR="008E532B">
        <w:rPr>
          <w:rFonts w:ascii="Arial" w:hAnsi="Arial" w:cs="Arial"/>
          <w:bCs/>
          <w:sz w:val="22"/>
          <w:szCs w:val="22"/>
          <w:lang w:val="fr-FR"/>
        </w:rPr>
        <w:t>’</w:t>
      </w:r>
      <w:r w:rsidRPr="003626EC">
        <w:rPr>
          <w:rFonts w:ascii="Arial" w:hAnsi="Arial" w:cs="Arial"/>
          <w:bCs/>
          <w:sz w:val="22"/>
          <w:szCs w:val="22"/>
          <w:lang w:val="fr-FR"/>
        </w:rPr>
        <w:t>acteurs, qui sont très utiles dans les débats et qui contribuent à la Convention.</w:t>
      </w:r>
    </w:p>
    <w:p w14:paraId="46745BEE" w14:textId="3092741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626EC">
        <w:rPr>
          <w:rFonts w:ascii="Arial" w:hAnsi="Arial" w:cs="Arial"/>
          <w:bCs/>
          <w:sz w:val="22"/>
          <w:szCs w:val="22"/>
          <w:lang w:val="fr-FR"/>
        </w:rPr>
        <w:t xml:space="preserve">La délégation du </w:t>
      </w:r>
      <w:r w:rsidRPr="003626EC">
        <w:rPr>
          <w:rFonts w:ascii="Arial" w:hAnsi="Arial" w:cs="Arial"/>
          <w:b/>
          <w:sz w:val="22"/>
          <w:szCs w:val="22"/>
          <w:lang w:val="fr-FR"/>
        </w:rPr>
        <w:t>Kazakhstan</w:t>
      </w:r>
      <w:r w:rsidRPr="003626EC">
        <w:rPr>
          <w:rFonts w:ascii="Arial" w:hAnsi="Arial" w:cs="Arial"/>
          <w:bCs/>
          <w:sz w:val="22"/>
          <w:szCs w:val="22"/>
          <w:lang w:val="fr-FR"/>
        </w:rPr>
        <w:t xml:space="preserve"> </w:t>
      </w:r>
      <w:r>
        <w:rPr>
          <w:rFonts w:ascii="Arial" w:hAnsi="Arial" w:cs="Arial"/>
          <w:bCs/>
          <w:sz w:val="22"/>
          <w:szCs w:val="22"/>
          <w:lang w:val="fr-FR"/>
        </w:rPr>
        <w:t xml:space="preserve">était </w:t>
      </w:r>
      <w:r w:rsidRPr="003626EC">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w:t>
      </w:r>
      <w:r w:rsidRPr="003626EC">
        <w:rPr>
          <w:rFonts w:ascii="Arial" w:hAnsi="Arial" w:cs="Arial"/>
          <w:bCs/>
          <w:sz w:val="22"/>
          <w:szCs w:val="22"/>
          <w:lang w:val="fr-FR"/>
        </w:rPr>
        <w:t>préoccupée par les réunions hybrides et encore plus par le vote virtuel, convenant qu</w:t>
      </w:r>
      <w:r w:rsidR="008E532B">
        <w:rPr>
          <w:rFonts w:ascii="Arial" w:hAnsi="Arial" w:cs="Arial"/>
          <w:bCs/>
          <w:sz w:val="22"/>
          <w:szCs w:val="22"/>
          <w:lang w:val="fr-FR"/>
        </w:rPr>
        <w:t>’</w:t>
      </w:r>
      <w:r w:rsidRPr="003626EC">
        <w:rPr>
          <w:rFonts w:ascii="Arial" w:hAnsi="Arial" w:cs="Arial"/>
          <w:bCs/>
          <w:sz w:val="22"/>
          <w:szCs w:val="22"/>
          <w:lang w:val="fr-FR"/>
        </w:rPr>
        <w:t>un mécanisme devrait être envisagé, comme suggéré par la Palestine et d</w:t>
      </w:r>
      <w:r w:rsidR="008E532B">
        <w:rPr>
          <w:rFonts w:ascii="Arial" w:hAnsi="Arial" w:cs="Arial"/>
          <w:bCs/>
          <w:sz w:val="22"/>
          <w:szCs w:val="22"/>
          <w:lang w:val="fr-FR"/>
        </w:rPr>
        <w:t>’</w:t>
      </w:r>
      <w:r w:rsidRPr="003626EC">
        <w:rPr>
          <w:rFonts w:ascii="Arial" w:hAnsi="Arial" w:cs="Arial"/>
          <w:bCs/>
          <w:sz w:val="22"/>
          <w:szCs w:val="22"/>
          <w:lang w:val="fr-FR"/>
        </w:rPr>
        <w:t>autres. Elle s</w:t>
      </w:r>
      <w:r w:rsidR="008E532B">
        <w:rPr>
          <w:rFonts w:ascii="Arial" w:hAnsi="Arial" w:cs="Arial"/>
          <w:bCs/>
          <w:sz w:val="22"/>
          <w:szCs w:val="22"/>
          <w:lang w:val="fr-FR"/>
        </w:rPr>
        <w:t>’</w:t>
      </w:r>
      <w:r w:rsidRPr="003626EC">
        <w:rPr>
          <w:rFonts w:ascii="Arial" w:hAnsi="Arial" w:cs="Arial"/>
          <w:bCs/>
          <w:sz w:val="22"/>
          <w:szCs w:val="22"/>
          <w:lang w:val="fr-FR"/>
        </w:rPr>
        <w:t>associ</w:t>
      </w:r>
      <w:r>
        <w:rPr>
          <w:rFonts w:ascii="Arial" w:hAnsi="Arial" w:cs="Arial"/>
          <w:bCs/>
          <w:sz w:val="22"/>
          <w:szCs w:val="22"/>
          <w:lang w:val="fr-FR"/>
        </w:rPr>
        <w:t>ait</w:t>
      </w:r>
      <w:r w:rsidRPr="003626EC">
        <w:rPr>
          <w:rFonts w:ascii="Arial" w:hAnsi="Arial" w:cs="Arial"/>
          <w:bCs/>
          <w:sz w:val="22"/>
          <w:szCs w:val="22"/>
          <w:lang w:val="fr-FR"/>
        </w:rPr>
        <w:t xml:space="preserve"> à la proposition de conserver l</w:t>
      </w:r>
      <w:r w:rsidR="008E532B">
        <w:rPr>
          <w:rFonts w:ascii="Arial" w:hAnsi="Arial" w:cs="Arial"/>
          <w:bCs/>
          <w:sz w:val="22"/>
          <w:szCs w:val="22"/>
          <w:lang w:val="fr-FR"/>
        </w:rPr>
        <w:t>’</w:t>
      </w:r>
      <w:r w:rsidRPr="003626EC">
        <w:rPr>
          <w:rFonts w:ascii="Arial" w:hAnsi="Arial" w:cs="Arial"/>
          <w:bCs/>
          <w:sz w:val="22"/>
          <w:szCs w:val="22"/>
          <w:lang w:val="fr-FR"/>
        </w:rPr>
        <w:t xml:space="preserve">article 3.2 original. </w:t>
      </w:r>
    </w:p>
    <w:p w14:paraId="78F78F7A" w14:textId="1284843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626EC">
        <w:rPr>
          <w:rFonts w:ascii="Arial" w:hAnsi="Arial" w:cs="Arial"/>
          <w:bCs/>
          <w:sz w:val="22"/>
          <w:szCs w:val="22"/>
          <w:lang w:val="fr-FR"/>
        </w:rPr>
        <w:t xml:space="preserve">La délégation de la </w:t>
      </w:r>
      <w:r w:rsidRPr="003626EC">
        <w:rPr>
          <w:rFonts w:ascii="Arial" w:hAnsi="Arial" w:cs="Arial"/>
          <w:b/>
          <w:sz w:val="22"/>
          <w:szCs w:val="22"/>
          <w:lang w:val="fr-FR"/>
        </w:rPr>
        <w:t xml:space="preserve">République arabe syrienne </w:t>
      </w:r>
      <w:r w:rsidRPr="003626EC">
        <w:rPr>
          <w:rFonts w:ascii="Arial" w:hAnsi="Arial" w:cs="Arial"/>
          <w:bCs/>
          <w:sz w:val="22"/>
          <w:szCs w:val="22"/>
          <w:lang w:val="fr-FR"/>
        </w:rPr>
        <w:t>a</w:t>
      </w:r>
      <w:r>
        <w:rPr>
          <w:rFonts w:ascii="Arial" w:hAnsi="Arial" w:cs="Arial"/>
          <w:bCs/>
          <w:sz w:val="22"/>
          <w:szCs w:val="22"/>
          <w:lang w:val="fr-FR"/>
        </w:rPr>
        <w:t>vait</w:t>
      </w:r>
      <w:r w:rsidRPr="003626EC">
        <w:rPr>
          <w:rFonts w:ascii="Arial" w:hAnsi="Arial" w:cs="Arial"/>
          <w:bCs/>
          <w:sz w:val="22"/>
          <w:szCs w:val="22"/>
          <w:lang w:val="fr-FR"/>
        </w:rPr>
        <w:t xml:space="preserve"> participé à la réunion d</w:t>
      </w:r>
      <w:r w:rsidR="008E532B">
        <w:rPr>
          <w:rFonts w:ascii="Arial" w:hAnsi="Arial" w:cs="Arial"/>
          <w:bCs/>
          <w:sz w:val="22"/>
          <w:szCs w:val="22"/>
          <w:lang w:val="fr-FR"/>
        </w:rPr>
        <w:t>’</w:t>
      </w:r>
      <w:r w:rsidRPr="003626EC">
        <w:rPr>
          <w:rFonts w:ascii="Arial" w:hAnsi="Arial" w:cs="Arial"/>
          <w:bCs/>
          <w:sz w:val="22"/>
          <w:szCs w:val="22"/>
          <w:lang w:val="fr-FR"/>
        </w:rPr>
        <w:t>information virtuelle du 31</w:t>
      </w:r>
      <w:r>
        <w:rPr>
          <w:rFonts w:ascii="Arial" w:hAnsi="Arial" w:cs="Arial"/>
          <w:bCs/>
          <w:sz w:val="22"/>
          <w:szCs w:val="22"/>
          <w:lang w:val="fr-FR"/>
        </w:rPr>
        <w:t> </w:t>
      </w:r>
      <w:r w:rsidRPr="003626EC">
        <w:rPr>
          <w:rFonts w:ascii="Arial" w:hAnsi="Arial" w:cs="Arial"/>
          <w:bCs/>
          <w:sz w:val="22"/>
          <w:szCs w:val="22"/>
          <w:lang w:val="fr-FR"/>
        </w:rPr>
        <w:t>mai qui a</w:t>
      </w:r>
      <w:r>
        <w:rPr>
          <w:rFonts w:ascii="Arial" w:hAnsi="Arial" w:cs="Arial"/>
          <w:bCs/>
          <w:sz w:val="22"/>
          <w:szCs w:val="22"/>
          <w:lang w:val="fr-FR"/>
        </w:rPr>
        <w:t>vait</w:t>
      </w:r>
      <w:r w:rsidRPr="003626EC">
        <w:rPr>
          <w:rFonts w:ascii="Arial" w:hAnsi="Arial" w:cs="Arial"/>
          <w:bCs/>
          <w:sz w:val="22"/>
          <w:szCs w:val="22"/>
          <w:lang w:val="fr-FR"/>
        </w:rPr>
        <w:t xml:space="preserve"> traité de nombreux sujets, notamment des amendements sur les propositions et des échanges sur les révisions proposées au Règlement intérieur. Il s</w:t>
      </w:r>
      <w:r w:rsidR="008E532B">
        <w:rPr>
          <w:rFonts w:ascii="Arial" w:hAnsi="Arial" w:cs="Arial"/>
          <w:bCs/>
          <w:sz w:val="22"/>
          <w:szCs w:val="22"/>
          <w:lang w:val="fr-FR"/>
        </w:rPr>
        <w:t>’</w:t>
      </w:r>
      <w:r w:rsidRPr="003626EC">
        <w:rPr>
          <w:rFonts w:ascii="Arial" w:hAnsi="Arial" w:cs="Arial"/>
          <w:bCs/>
          <w:sz w:val="22"/>
          <w:szCs w:val="22"/>
          <w:lang w:val="fr-FR"/>
        </w:rPr>
        <w:t>agissait d</w:t>
      </w:r>
      <w:r w:rsidR="008E532B">
        <w:rPr>
          <w:rFonts w:ascii="Arial" w:hAnsi="Arial" w:cs="Arial"/>
          <w:bCs/>
          <w:sz w:val="22"/>
          <w:szCs w:val="22"/>
          <w:lang w:val="fr-FR"/>
        </w:rPr>
        <w:t>’</w:t>
      </w:r>
      <w:r w:rsidRPr="003626EC">
        <w:rPr>
          <w:rFonts w:ascii="Arial" w:hAnsi="Arial" w:cs="Arial"/>
          <w:bCs/>
          <w:sz w:val="22"/>
          <w:szCs w:val="22"/>
          <w:lang w:val="fr-FR"/>
        </w:rPr>
        <w:t>un processus important qui intéressait un grand nombre d</w:t>
      </w:r>
      <w:r w:rsidR="008E532B">
        <w:rPr>
          <w:rFonts w:ascii="Arial" w:hAnsi="Arial" w:cs="Arial"/>
          <w:bCs/>
          <w:sz w:val="22"/>
          <w:szCs w:val="22"/>
          <w:lang w:val="fr-FR"/>
        </w:rPr>
        <w:t>’</w:t>
      </w:r>
      <w:r w:rsidRPr="003626EC">
        <w:rPr>
          <w:rFonts w:ascii="Arial" w:hAnsi="Arial" w:cs="Arial"/>
          <w:bCs/>
          <w:sz w:val="22"/>
          <w:szCs w:val="22"/>
          <w:lang w:val="fr-FR"/>
        </w:rPr>
        <w:t>États parties, impliquant l</w:t>
      </w:r>
      <w:r w:rsidR="008E532B">
        <w:rPr>
          <w:rFonts w:ascii="Arial" w:hAnsi="Arial" w:cs="Arial"/>
          <w:bCs/>
          <w:sz w:val="22"/>
          <w:szCs w:val="22"/>
          <w:lang w:val="fr-FR"/>
        </w:rPr>
        <w:t>’</w:t>
      </w:r>
      <w:r w:rsidRPr="003626EC">
        <w:rPr>
          <w:rFonts w:ascii="Arial" w:hAnsi="Arial" w:cs="Arial"/>
          <w:bCs/>
          <w:sz w:val="22"/>
          <w:szCs w:val="22"/>
          <w:lang w:val="fr-FR"/>
        </w:rPr>
        <w:t>ensemble du Secrétariat. La délégation a remercié le Secrétariat pour la très grande qualité du suivi et pour le temps consacré à la mise en place de cette réunion. La question de l</w:t>
      </w:r>
      <w:r w:rsidR="008E532B">
        <w:rPr>
          <w:rFonts w:ascii="Arial" w:hAnsi="Arial" w:cs="Arial"/>
          <w:bCs/>
          <w:sz w:val="22"/>
          <w:szCs w:val="22"/>
          <w:lang w:val="fr-FR"/>
        </w:rPr>
        <w:t>’</w:t>
      </w:r>
      <w:r w:rsidRPr="003626EC">
        <w:rPr>
          <w:rFonts w:ascii="Arial" w:hAnsi="Arial" w:cs="Arial"/>
          <w:bCs/>
          <w:sz w:val="22"/>
          <w:szCs w:val="22"/>
          <w:lang w:val="fr-FR"/>
        </w:rPr>
        <w:t>article 2.2 a</w:t>
      </w:r>
      <w:r>
        <w:rPr>
          <w:rFonts w:ascii="Arial" w:hAnsi="Arial" w:cs="Arial"/>
          <w:bCs/>
          <w:sz w:val="22"/>
          <w:szCs w:val="22"/>
          <w:lang w:val="fr-FR"/>
        </w:rPr>
        <w:t>vait</w:t>
      </w:r>
      <w:r w:rsidRPr="003626EC">
        <w:rPr>
          <w:rFonts w:ascii="Arial" w:hAnsi="Arial" w:cs="Arial"/>
          <w:bCs/>
          <w:sz w:val="22"/>
          <w:szCs w:val="22"/>
          <w:lang w:val="fr-FR"/>
        </w:rPr>
        <w:t xml:space="preserve"> été d</w:t>
      </w:r>
      <w:r>
        <w:rPr>
          <w:rFonts w:ascii="Arial" w:hAnsi="Arial" w:cs="Arial"/>
          <w:bCs/>
          <w:sz w:val="22"/>
          <w:szCs w:val="22"/>
          <w:lang w:val="fr-FR"/>
        </w:rPr>
        <w:t>ébattue</w:t>
      </w:r>
      <w:r w:rsidRPr="003626EC">
        <w:rPr>
          <w:rFonts w:ascii="Arial" w:hAnsi="Arial" w:cs="Arial"/>
          <w:bCs/>
          <w:sz w:val="22"/>
          <w:szCs w:val="22"/>
          <w:lang w:val="fr-FR"/>
        </w:rPr>
        <w:t xml:space="preserve"> lors de cette réunion, et l</w:t>
      </w:r>
      <w:r w:rsidR="008E532B">
        <w:rPr>
          <w:rFonts w:ascii="Arial" w:hAnsi="Arial" w:cs="Arial"/>
          <w:bCs/>
          <w:sz w:val="22"/>
          <w:szCs w:val="22"/>
          <w:lang w:val="fr-FR"/>
        </w:rPr>
        <w:t>’</w:t>
      </w:r>
      <w:r w:rsidRPr="003626EC">
        <w:rPr>
          <w:rFonts w:ascii="Arial" w:hAnsi="Arial" w:cs="Arial"/>
          <w:bCs/>
          <w:sz w:val="22"/>
          <w:szCs w:val="22"/>
          <w:lang w:val="fr-FR"/>
        </w:rPr>
        <w:t>Arabie Saoudite a</w:t>
      </w:r>
      <w:r>
        <w:rPr>
          <w:rFonts w:ascii="Arial" w:hAnsi="Arial" w:cs="Arial"/>
          <w:bCs/>
          <w:sz w:val="22"/>
          <w:szCs w:val="22"/>
          <w:lang w:val="fr-FR"/>
        </w:rPr>
        <w:t>vait</w:t>
      </w:r>
      <w:r w:rsidRPr="003626EC">
        <w:rPr>
          <w:rFonts w:ascii="Arial" w:hAnsi="Arial" w:cs="Arial"/>
          <w:bCs/>
          <w:sz w:val="22"/>
          <w:szCs w:val="22"/>
          <w:lang w:val="fr-FR"/>
        </w:rPr>
        <w:t xml:space="preserve"> raison de demander que l</w:t>
      </w:r>
      <w:r w:rsidR="008E532B">
        <w:rPr>
          <w:rFonts w:ascii="Arial" w:hAnsi="Arial" w:cs="Arial"/>
          <w:bCs/>
          <w:sz w:val="22"/>
          <w:szCs w:val="22"/>
          <w:lang w:val="fr-FR"/>
        </w:rPr>
        <w:t>’</w:t>
      </w:r>
      <w:r w:rsidRPr="003626EC">
        <w:rPr>
          <w:rFonts w:ascii="Arial" w:hAnsi="Arial" w:cs="Arial"/>
          <w:bCs/>
          <w:sz w:val="22"/>
          <w:szCs w:val="22"/>
          <w:lang w:val="fr-FR"/>
        </w:rPr>
        <w:t>article 3.2 soit maintenu.</w:t>
      </w:r>
    </w:p>
    <w:p w14:paraId="4C48293D" w14:textId="00D08D0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865B5">
        <w:rPr>
          <w:rFonts w:ascii="Arial" w:hAnsi="Arial" w:cs="Arial"/>
          <w:b/>
          <w:sz w:val="22"/>
          <w:szCs w:val="22"/>
          <w:lang w:val="fr-FR"/>
        </w:rPr>
        <w:t>Présidente</w:t>
      </w:r>
      <w:r>
        <w:rPr>
          <w:rFonts w:ascii="Arial" w:hAnsi="Arial" w:cs="Arial"/>
          <w:bCs/>
          <w:sz w:val="22"/>
          <w:szCs w:val="22"/>
          <w:lang w:val="fr-FR"/>
        </w:rPr>
        <w:t xml:space="preserve"> a clos la discussion sur ce point et est passée à l</w:t>
      </w:r>
      <w:r w:rsidR="008E532B">
        <w:rPr>
          <w:rFonts w:ascii="Arial" w:hAnsi="Arial" w:cs="Arial"/>
          <w:bCs/>
          <w:sz w:val="22"/>
          <w:szCs w:val="22"/>
          <w:lang w:val="fr-FR"/>
        </w:rPr>
        <w:t>’</w:t>
      </w:r>
      <w:r>
        <w:rPr>
          <w:rFonts w:ascii="Arial" w:hAnsi="Arial" w:cs="Arial"/>
          <w:bCs/>
          <w:sz w:val="22"/>
          <w:szCs w:val="22"/>
          <w:lang w:val="fr-FR"/>
        </w:rPr>
        <w:t xml:space="preserve">adoption du projet de </w:t>
      </w:r>
      <w:r w:rsidRPr="00F865B5">
        <w:rPr>
          <w:rFonts w:ascii="Arial" w:eastAsia="SimSun" w:hAnsi="Arial" w:cs="Arial"/>
          <w:bCs/>
          <w:sz w:val="22"/>
          <w:szCs w:val="22"/>
          <w:lang w:val="fr-FR" w:eastAsia="en-US"/>
        </w:rPr>
        <w:t>résolution</w:t>
      </w:r>
      <w:r>
        <w:rPr>
          <w:rFonts w:ascii="Arial" w:eastAsia="SimSun" w:hAnsi="Arial" w:cs="Arial"/>
          <w:bCs/>
          <w:sz w:val="22"/>
          <w:szCs w:val="22"/>
          <w:lang w:val="fr-FR" w:eastAsia="en-US"/>
        </w:rPr>
        <w:t>.</w:t>
      </w:r>
    </w:p>
    <w:p w14:paraId="0762F4FC" w14:textId="5BBFA3C7" w:rsidR="00D9653F" w:rsidRPr="00F865B5"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865B5">
        <w:rPr>
          <w:rFonts w:ascii="Arial" w:hAnsi="Arial" w:cs="Arial"/>
          <w:bCs/>
          <w:sz w:val="22"/>
          <w:szCs w:val="22"/>
          <w:lang w:val="fr-FR"/>
        </w:rPr>
        <w:t>délégation</w:t>
      </w:r>
      <w:r>
        <w:rPr>
          <w:rFonts w:ascii="Arial" w:hAnsi="Arial" w:cs="Arial"/>
          <w:bCs/>
          <w:sz w:val="22"/>
          <w:szCs w:val="22"/>
          <w:lang w:val="fr-FR"/>
        </w:rPr>
        <w:t xml:space="preserve"> de la </w:t>
      </w:r>
      <w:r w:rsidRPr="00F865B5">
        <w:rPr>
          <w:rFonts w:ascii="Arial" w:hAnsi="Arial" w:cs="Arial"/>
          <w:b/>
          <w:sz w:val="22"/>
          <w:szCs w:val="22"/>
          <w:lang w:val="fr-FR"/>
        </w:rPr>
        <w:t>Türkiye</w:t>
      </w:r>
      <w:r>
        <w:rPr>
          <w:rFonts w:ascii="Arial" w:hAnsi="Arial" w:cs="Arial"/>
          <w:bCs/>
          <w:sz w:val="22"/>
          <w:szCs w:val="22"/>
          <w:lang w:val="fr-FR"/>
        </w:rPr>
        <w:t xml:space="preserve"> a demandé si le Règlement intérieur mis à jour serait visible à l</w:t>
      </w:r>
      <w:r w:rsidR="008E532B">
        <w:rPr>
          <w:rFonts w:ascii="Arial" w:hAnsi="Arial" w:cs="Arial"/>
          <w:bCs/>
          <w:sz w:val="22"/>
          <w:szCs w:val="22"/>
          <w:lang w:val="fr-FR"/>
        </w:rPr>
        <w:t>’</w:t>
      </w:r>
      <w:r>
        <w:rPr>
          <w:rFonts w:ascii="Arial" w:hAnsi="Arial" w:cs="Arial"/>
          <w:bCs/>
          <w:sz w:val="22"/>
          <w:szCs w:val="22"/>
          <w:lang w:val="fr-FR"/>
        </w:rPr>
        <w:t xml:space="preserve">écran ou seulement le projet de </w:t>
      </w:r>
      <w:r w:rsidRPr="00F865B5">
        <w:rPr>
          <w:rFonts w:ascii="Arial" w:eastAsia="SimSun" w:hAnsi="Arial" w:cs="Arial"/>
          <w:bCs/>
          <w:sz w:val="22"/>
          <w:szCs w:val="22"/>
          <w:lang w:val="fr-FR" w:eastAsia="en-US"/>
        </w:rPr>
        <w:t>résolution</w:t>
      </w:r>
      <w:r>
        <w:rPr>
          <w:rFonts w:ascii="Arial" w:eastAsia="SimSun" w:hAnsi="Arial" w:cs="Arial"/>
          <w:bCs/>
          <w:sz w:val="22"/>
          <w:szCs w:val="22"/>
          <w:lang w:val="fr-FR" w:eastAsia="en-US"/>
        </w:rPr>
        <w:t>.</w:t>
      </w:r>
    </w:p>
    <w:p w14:paraId="7A5D29A1" w14:textId="1167B97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Le </w:t>
      </w:r>
      <w:r w:rsidRPr="00F865B5">
        <w:rPr>
          <w:rFonts w:ascii="Arial" w:hAnsi="Arial" w:cs="Arial"/>
          <w:b/>
          <w:sz w:val="22"/>
          <w:szCs w:val="22"/>
          <w:lang w:val="fr-FR"/>
        </w:rPr>
        <w:t>Sous-Directeur général</w:t>
      </w:r>
      <w:r>
        <w:rPr>
          <w:rFonts w:ascii="Arial" w:hAnsi="Arial" w:cs="Arial"/>
          <w:bCs/>
          <w:sz w:val="22"/>
          <w:szCs w:val="22"/>
          <w:lang w:val="fr-FR"/>
        </w:rPr>
        <w:t xml:space="preserve"> a </w:t>
      </w:r>
      <w:r w:rsidR="000936CD">
        <w:rPr>
          <w:rFonts w:ascii="Arial" w:hAnsi="Arial" w:cs="Arial"/>
          <w:bCs/>
          <w:sz w:val="22"/>
          <w:szCs w:val="22"/>
          <w:lang w:val="fr-FR"/>
        </w:rPr>
        <w:t>not</w:t>
      </w:r>
      <w:r>
        <w:rPr>
          <w:rFonts w:ascii="Arial" w:hAnsi="Arial" w:cs="Arial"/>
          <w:bCs/>
          <w:sz w:val="22"/>
          <w:szCs w:val="22"/>
          <w:lang w:val="fr-FR"/>
        </w:rPr>
        <w:t>é que l</w:t>
      </w:r>
      <w:r w:rsidR="008E532B">
        <w:rPr>
          <w:rFonts w:ascii="Arial" w:hAnsi="Arial" w:cs="Arial"/>
          <w:bCs/>
          <w:sz w:val="22"/>
          <w:szCs w:val="22"/>
          <w:lang w:val="fr-FR"/>
        </w:rPr>
        <w:t>’</w:t>
      </w:r>
      <w:r>
        <w:rPr>
          <w:rFonts w:ascii="Arial" w:hAnsi="Arial" w:cs="Arial"/>
          <w:bCs/>
          <w:sz w:val="22"/>
          <w:szCs w:val="22"/>
          <w:lang w:val="fr-FR"/>
        </w:rPr>
        <w:t>Assemblée adopterait d</w:t>
      </w:r>
      <w:r w:rsidR="008E532B">
        <w:rPr>
          <w:rFonts w:ascii="Arial" w:hAnsi="Arial" w:cs="Arial"/>
          <w:bCs/>
          <w:sz w:val="22"/>
          <w:szCs w:val="22"/>
          <w:lang w:val="fr-FR"/>
        </w:rPr>
        <w:t>’</w:t>
      </w:r>
      <w:r>
        <w:rPr>
          <w:rFonts w:ascii="Arial" w:hAnsi="Arial" w:cs="Arial"/>
          <w:bCs/>
          <w:sz w:val="22"/>
          <w:szCs w:val="22"/>
          <w:lang w:val="fr-FR"/>
        </w:rPr>
        <w:t xml:space="preserve">abord les </w:t>
      </w:r>
      <w:r w:rsidRPr="00F865B5">
        <w:rPr>
          <w:rFonts w:ascii="Arial" w:hAnsi="Arial" w:cs="Arial"/>
          <w:bCs/>
          <w:sz w:val="22"/>
          <w:szCs w:val="22"/>
          <w:lang w:val="fr-FR"/>
        </w:rPr>
        <w:t>paragraphe</w:t>
      </w:r>
      <w:r>
        <w:rPr>
          <w:rFonts w:ascii="Arial" w:hAnsi="Arial" w:cs="Arial"/>
          <w:bCs/>
          <w:sz w:val="22"/>
          <w:szCs w:val="22"/>
          <w:lang w:val="fr-FR"/>
        </w:rPr>
        <w:t xml:space="preserve"> 1 à 4, pour lesquels il n</w:t>
      </w:r>
      <w:r w:rsidR="008E532B">
        <w:rPr>
          <w:rFonts w:ascii="Arial" w:hAnsi="Arial" w:cs="Arial"/>
          <w:bCs/>
          <w:sz w:val="22"/>
          <w:szCs w:val="22"/>
          <w:lang w:val="fr-FR"/>
        </w:rPr>
        <w:t>’</w:t>
      </w:r>
      <w:r>
        <w:rPr>
          <w:rFonts w:ascii="Arial" w:hAnsi="Arial" w:cs="Arial"/>
          <w:bCs/>
          <w:sz w:val="22"/>
          <w:szCs w:val="22"/>
          <w:lang w:val="fr-FR"/>
        </w:rPr>
        <w:t>y avait pas d</w:t>
      </w:r>
      <w:r w:rsidR="008E532B">
        <w:rPr>
          <w:rFonts w:ascii="Arial" w:hAnsi="Arial" w:cs="Arial"/>
          <w:bCs/>
          <w:sz w:val="22"/>
          <w:szCs w:val="22"/>
          <w:lang w:val="fr-FR"/>
        </w:rPr>
        <w:t>’</w:t>
      </w:r>
      <w:r w:rsidRPr="00F865B5">
        <w:rPr>
          <w:rFonts w:ascii="Arial" w:hAnsi="Arial" w:cs="Arial"/>
          <w:bCs/>
          <w:sz w:val="22"/>
          <w:szCs w:val="22"/>
          <w:lang w:val="fr-FR"/>
        </w:rPr>
        <w:t>amendemen</w:t>
      </w:r>
      <w:r>
        <w:rPr>
          <w:rFonts w:ascii="Arial" w:hAnsi="Arial" w:cs="Arial"/>
          <w:bCs/>
          <w:sz w:val="22"/>
          <w:szCs w:val="22"/>
          <w:lang w:val="fr-FR"/>
        </w:rPr>
        <w:t xml:space="preserve">ts, avant de passer au </w:t>
      </w:r>
      <w:r w:rsidRPr="00F865B5">
        <w:rPr>
          <w:rFonts w:ascii="Arial" w:hAnsi="Arial" w:cs="Arial"/>
          <w:bCs/>
          <w:sz w:val="22"/>
          <w:szCs w:val="22"/>
          <w:lang w:val="fr-FR"/>
        </w:rPr>
        <w:t>paragraphe</w:t>
      </w:r>
      <w:r>
        <w:rPr>
          <w:rFonts w:ascii="Arial" w:hAnsi="Arial" w:cs="Arial"/>
          <w:bCs/>
          <w:sz w:val="22"/>
          <w:szCs w:val="22"/>
          <w:lang w:val="fr-FR"/>
        </w:rPr>
        <w:t xml:space="preserve"> 5 pour travailler sur les </w:t>
      </w:r>
      <w:r w:rsidRPr="00F865B5">
        <w:rPr>
          <w:rFonts w:ascii="Arial" w:hAnsi="Arial" w:cs="Arial"/>
          <w:bCs/>
          <w:sz w:val="22"/>
          <w:szCs w:val="22"/>
          <w:lang w:val="fr-FR"/>
        </w:rPr>
        <w:t>amendemen</w:t>
      </w:r>
      <w:r>
        <w:rPr>
          <w:rFonts w:ascii="Arial" w:hAnsi="Arial" w:cs="Arial"/>
          <w:bCs/>
          <w:sz w:val="22"/>
          <w:szCs w:val="22"/>
          <w:lang w:val="fr-FR"/>
        </w:rPr>
        <w:t>ts au texte.</w:t>
      </w:r>
    </w:p>
    <w:p w14:paraId="63130DA2" w14:textId="3BF1E0F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865B5">
        <w:rPr>
          <w:rFonts w:ascii="Arial" w:hAnsi="Arial" w:cs="Arial"/>
          <w:b/>
          <w:sz w:val="22"/>
          <w:szCs w:val="22"/>
          <w:lang w:val="fr-FR"/>
        </w:rPr>
        <w:t>Présidente</w:t>
      </w:r>
      <w:r>
        <w:rPr>
          <w:rFonts w:ascii="Arial" w:hAnsi="Arial" w:cs="Arial"/>
          <w:bCs/>
          <w:sz w:val="22"/>
          <w:szCs w:val="22"/>
          <w:lang w:val="fr-FR"/>
        </w:rPr>
        <w:t xml:space="preserve"> a noté qu</w:t>
      </w:r>
      <w:r w:rsidR="008E532B">
        <w:rPr>
          <w:rFonts w:ascii="Arial" w:hAnsi="Arial" w:cs="Arial"/>
          <w:bCs/>
          <w:sz w:val="22"/>
          <w:szCs w:val="22"/>
          <w:lang w:val="fr-FR"/>
        </w:rPr>
        <w:t>’</w:t>
      </w:r>
      <w:r>
        <w:rPr>
          <w:rFonts w:ascii="Arial" w:hAnsi="Arial" w:cs="Arial"/>
          <w:bCs/>
          <w:sz w:val="22"/>
          <w:szCs w:val="22"/>
          <w:lang w:val="fr-FR"/>
        </w:rPr>
        <w:t>il n</w:t>
      </w:r>
      <w:r w:rsidR="008E532B">
        <w:rPr>
          <w:rFonts w:ascii="Arial" w:hAnsi="Arial" w:cs="Arial"/>
          <w:bCs/>
          <w:sz w:val="22"/>
          <w:szCs w:val="22"/>
          <w:lang w:val="fr-FR"/>
        </w:rPr>
        <w:t>’</w:t>
      </w:r>
      <w:r>
        <w:rPr>
          <w:rFonts w:ascii="Arial" w:hAnsi="Arial" w:cs="Arial"/>
          <w:bCs/>
          <w:sz w:val="22"/>
          <w:szCs w:val="22"/>
          <w:lang w:val="fr-FR"/>
        </w:rPr>
        <w:t>y avait pas d</w:t>
      </w:r>
      <w:r w:rsidR="008E532B">
        <w:rPr>
          <w:rFonts w:ascii="Arial" w:hAnsi="Arial" w:cs="Arial"/>
          <w:bCs/>
          <w:sz w:val="22"/>
          <w:szCs w:val="22"/>
          <w:lang w:val="fr-FR"/>
        </w:rPr>
        <w:t>’</w:t>
      </w:r>
      <w:r w:rsidRPr="00F865B5">
        <w:rPr>
          <w:rFonts w:ascii="Arial" w:hAnsi="Arial" w:cs="Arial"/>
          <w:bCs/>
          <w:sz w:val="22"/>
          <w:szCs w:val="22"/>
          <w:lang w:val="fr-FR"/>
        </w:rPr>
        <w:t>objections</w:t>
      </w:r>
      <w:r>
        <w:rPr>
          <w:rFonts w:ascii="Arial" w:hAnsi="Arial" w:cs="Arial"/>
          <w:bCs/>
          <w:sz w:val="22"/>
          <w:szCs w:val="22"/>
          <w:lang w:val="fr-FR"/>
        </w:rPr>
        <w:t xml:space="preserve"> aux </w:t>
      </w:r>
      <w:r w:rsidRPr="00F865B5">
        <w:rPr>
          <w:rFonts w:ascii="Arial" w:hAnsi="Arial" w:cs="Arial"/>
          <w:bCs/>
          <w:sz w:val="22"/>
          <w:szCs w:val="22"/>
          <w:lang w:val="fr-FR"/>
        </w:rPr>
        <w:t>paragraph</w:t>
      </w:r>
      <w:r>
        <w:rPr>
          <w:rFonts w:ascii="Arial" w:hAnsi="Arial" w:cs="Arial"/>
          <w:bCs/>
          <w:sz w:val="22"/>
          <w:szCs w:val="22"/>
          <w:lang w:val="fr-FR"/>
        </w:rPr>
        <w:t xml:space="preserve">es 1 à 4 qui ont été dûment adoptés. Elle est ensuite passée au </w:t>
      </w:r>
      <w:r w:rsidRPr="00F865B5">
        <w:rPr>
          <w:rFonts w:ascii="Arial" w:hAnsi="Arial" w:cs="Arial"/>
          <w:bCs/>
          <w:sz w:val="22"/>
          <w:szCs w:val="22"/>
          <w:lang w:val="fr-FR"/>
        </w:rPr>
        <w:t>paragraphe</w:t>
      </w:r>
      <w:r>
        <w:rPr>
          <w:rFonts w:ascii="Arial" w:hAnsi="Arial" w:cs="Arial"/>
          <w:bCs/>
          <w:sz w:val="22"/>
          <w:szCs w:val="22"/>
          <w:lang w:val="fr-FR"/>
        </w:rPr>
        <w:t xml:space="preserve"> 5 et a proposé de ne débattre que des </w:t>
      </w:r>
      <w:r w:rsidRPr="00F865B5">
        <w:rPr>
          <w:rFonts w:ascii="Arial" w:hAnsi="Arial" w:cs="Arial"/>
          <w:bCs/>
          <w:sz w:val="22"/>
          <w:szCs w:val="22"/>
          <w:lang w:val="fr-FR"/>
        </w:rPr>
        <w:t>dispositio</w:t>
      </w:r>
      <w:r>
        <w:rPr>
          <w:rFonts w:ascii="Arial" w:hAnsi="Arial" w:cs="Arial"/>
          <w:bCs/>
          <w:sz w:val="22"/>
          <w:szCs w:val="22"/>
          <w:lang w:val="fr-FR"/>
        </w:rPr>
        <w:t>ns qui avaient été commentées plus tôt dans la journée, au cours du débat, c.-à-d. l</w:t>
      </w:r>
      <w:r w:rsidR="008E532B">
        <w:rPr>
          <w:rFonts w:ascii="Arial" w:hAnsi="Arial" w:cs="Arial"/>
          <w:bCs/>
          <w:sz w:val="22"/>
          <w:szCs w:val="22"/>
          <w:lang w:val="fr-FR"/>
        </w:rPr>
        <w:t>’</w:t>
      </w:r>
      <w:r>
        <w:rPr>
          <w:rFonts w:ascii="Arial" w:hAnsi="Arial" w:cs="Arial"/>
          <w:bCs/>
          <w:sz w:val="22"/>
          <w:szCs w:val="22"/>
          <w:lang w:val="fr-FR"/>
        </w:rPr>
        <w:t>article 3.3 et l</w:t>
      </w:r>
      <w:r w:rsidR="008E532B">
        <w:rPr>
          <w:rFonts w:ascii="Arial" w:hAnsi="Arial" w:cs="Arial"/>
          <w:bCs/>
          <w:sz w:val="22"/>
          <w:szCs w:val="22"/>
          <w:lang w:val="fr-FR"/>
        </w:rPr>
        <w:t>’</w:t>
      </w:r>
      <w:r w:rsidRPr="00F865B5">
        <w:rPr>
          <w:rFonts w:ascii="Arial" w:hAnsi="Arial" w:cs="Arial"/>
          <w:bCs/>
          <w:sz w:val="22"/>
          <w:szCs w:val="22"/>
          <w:lang w:val="fr-FR"/>
        </w:rPr>
        <w:t>article</w:t>
      </w:r>
      <w:r>
        <w:rPr>
          <w:rFonts w:ascii="Arial" w:hAnsi="Arial" w:cs="Arial"/>
          <w:bCs/>
          <w:sz w:val="22"/>
          <w:szCs w:val="22"/>
          <w:lang w:val="fr-FR"/>
        </w:rPr>
        <w:t xml:space="preserve"> 6.1.</w:t>
      </w:r>
    </w:p>
    <w:p w14:paraId="6CFEDB56" w14:textId="135A166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865B5">
        <w:rPr>
          <w:rFonts w:ascii="Arial" w:hAnsi="Arial" w:cs="Arial"/>
          <w:bCs/>
          <w:sz w:val="22"/>
          <w:szCs w:val="22"/>
          <w:lang w:val="fr-FR"/>
        </w:rPr>
        <w:t xml:space="preserve">Le </w:t>
      </w:r>
      <w:r w:rsidRPr="00F865B5">
        <w:rPr>
          <w:rFonts w:ascii="Arial" w:hAnsi="Arial" w:cs="Arial"/>
          <w:b/>
          <w:sz w:val="22"/>
          <w:szCs w:val="22"/>
          <w:lang w:val="fr-FR"/>
        </w:rPr>
        <w:t>Sous-Directeur général</w:t>
      </w:r>
      <w:r w:rsidRPr="00F865B5">
        <w:rPr>
          <w:rFonts w:ascii="Arial" w:hAnsi="Arial" w:cs="Arial"/>
          <w:bCs/>
          <w:sz w:val="22"/>
          <w:szCs w:val="22"/>
          <w:lang w:val="fr-FR"/>
        </w:rPr>
        <w:t xml:space="preserve"> a </w:t>
      </w:r>
      <w:r>
        <w:rPr>
          <w:rFonts w:ascii="Arial" w:hAnsi="Arial" w:cs="Arial"/>
          <w:bCs/>
          <w:sz w:val="22"/>
          <w:szCs w:val="22"/>
          <w:lang w:val="fr-FR"/>
        </w:rPr>
        <w:t>fait remarquer</w:t>
      </w:r>
      <w:r w:rsidRPr="00F865B5">
        <w:rPr>
          <w:rFonts w:ascii="Arial" w:hAnsi="Arial" w:cs="Arial"/>
          <w:bCs/>
          <w:sz w:val="22"/>
          <w:szCs w:val="22"/>
          <w:lang w:val="fr-FR"/>
        </w:rPr>
        <w:t xml:space="preserve"> que la discussion du matin a</w:t>
      </w:r>
      <w:r>
        <w:rPr>
          <w:rFonts w:ascii="Arial" w:hAnsi="Arial" w:cs="Arial"/>
          <w:bCs/>
          <w:sz w:val="22"/>
          <w:szCs w:val="22"/>
          <w:lang w:val="fr-FR"/>
        </w:rPr>
        <w:t>vait</w:t>
      </w:r>
      <w:r w:rsidRPr="00F865B5">
        <w:rPr>
          <w:rFonts w:ascii="Arial" w:hAnsi="Arial" w:cs="Arial"/>
          <w:bCs/>
          <w:sz w:val="22"/>
          <w:szCs w:val="22"/>
          <w:lang w:val="fr-FR"/>
        </w:rPr>
        <w:t xml:space="preserve"> abouti à une proposition qui sembl</w:t>
      </w:r>
      <w:r>
        <w:rPr>
          <w:rFonts w:ascii="Arial" w:hAnsi="Arial" w:cs="Arial"/>
          <w:bCs/>
          <w:sz w:val="22"/>
          <w:szCs w:val="22"/>
          <w:lang w:val="fr-FR"/>
        </w:rPr>
        <w:t>ait</w:t>
      </w:r>
      <w:r w:rsidRPr="00F865B5">
        <w:rPr>
          <w:rFonts w:ascii="Arial" w:hAnsi="Arial" w:cs="Arial"/>
          <w:bCs/>
          <w:sz w:val="22"/>
          <w:szCs w:val="22"/>
          <w:lang w:val="fr-FR"/>
        </w:rPr>
        <w:t xml:space="preserve"> avoir fait l</w:t>
      </w:r>
      <w:r w:rsidR="008E532B">
        <w:rPr>
          <w:rFonts w:ascii="Arial" w:hAnsi="Arial" w:cs="Arial"/>
          <w:bCs/>
          <w:sz w:val="22"/>
          <w:szCs w:val="22"/>
          <w:lang w:val="fr-FR"/>
        </w:rPr>
        <w:t>’</w:t>
      </w:r>
      <w:r w:rsidRPr="00F865B5">
        <w:rPr>
          <w:rFonts w:ascii="Arial" w:hAnsi="Arial" w:cs="Arial"/>
          <w:bCs/>
          <w:sz w:val="22"/>
          <w:szCs w:val="22"/>
          <w:lang w:val="fr-FR"/>
        </w:rPr>
        <w:t>objet d</w:t>
      </w:r>
      <w:r w:rsidR="008E532B">
        <w:rPr>
          <w:rFonts w:ascii="Arial" w:hAnsi="Arial" w:cs="Arial"/>
          <w:bCs/>
          <w:sz w:val="22"/>
          <w:szCs w:val="22"/>
          <w:lang w:val="fr-FR"/>
        </w:rPr>
        <w:t>’</w:t>
      </w:r>
      <w:r w:rsidRPr="00F865B5">
        <w:rPr>
          <w:rFonts w:ascii="Arial" w:hAnsi="Arial" w:cs="Arial"/>
          <w:bCs/>
          <w:sz w:val="22"/>
          <w:szCs w:val="22"/>
          <w:lang w:val="fr-FR"/>
        </w:rPr>
        <w:t>un consensus. Le Conseiller juridique pourrait ainsi contribuer à la révision des articles 3.2 et 3.3 afin de traiter les questions soulevées précédemment.</w:t>
      </w:r>
    </w:p>
    <w:p w14:paraId="08316A22" w14:textId="5A18EF5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44294">
        <w:rPr>
          <w:rFonts w:ascii="Arial" w:hAnsi="Arial" w:cs="Arial"/>
          <w:bCs/>
          <w:sz w:val="22"/>
          <w:szCs w:val="22"/>
          <w:lang w:val="fr-FR"/>
        </w:rPr>
        <w:t xml:space="preserve">La délégation des </w:t>
      </w:r>
      <w:r w:rsidRPr="00C44294">
        <w:rPr>
          <w:rFonts w:ascii="Arial" w:hAnsi="Arial" w:cs="Arial"/>
          <w:b/>
          <w:sz w:val="22"/>
          <w:szCs w:val="22"/>
          <w:lang w:val="fr-FR"/>
        </w:rPr>
        <w:t>Pays</w:t>
      </w:r>
      <w:r>
        <w:rPr>
          <w:rFonts w:ascii="Arial" w:hAnsi="Arial" w:cs="Arial"/>
          <w:b/>
          <w:sz w:val="22"/>
          <w:szCs w:val="22"/>
          <w:lang w:val="fr-FR"/>
        </w:rPr>
        <w:noBreakHyphen/>
      </w:r>
      <w:r w:rsidRPr="00C44294">
        <w:rPr>
          <w:rFonts w:ascii="Arial" w:hAnsi="Arial" w:cs="Arial"/>
          <w:b/>
          <w:sz w:val="22"/>
          <w:szCs w:val="22"/>
          <w:lang w:val="fr-FR"/>
        </w:rPr>
        <w:t>Bas</w:t>
      </w:r>
      <w:r w:rsidRPr="00C44294">
        <w:rPr>
          <w:rFonts w:ascii="Arial" w:hAnsi="Arial" w:cs="Arial"/>
          <w:bCs/>
          <w:sz w:val="22"/>
          <w:szCs w:val="22"/>
          <w:lang w:val="fr-FR"/>
        </w:rPr>
        <w:t xml:space="preserv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est référée </w:t>
      </w:r>
      <w:r w:rsidRPr="00C44294">
        <w:rPr>
          <w:rFonts w:ascii="Arial" w:hAnsi="Arial" w:cs="Arial"/>
          <w:bCs/>
          <w:sz w:val="22"/>
          <w:szCs w:val="22"/>
          <w:lang w:val="fr-FR"/>
        </w:rPr>
        <w:t>aux notes prises lors de la réunion d</w:t>
      </w:r>
      <w:r w:rsidR="008E532B">
        <w:rPr>
          <w:rFonts w:ascii="Arial" w:hAnsi="Arial" w:cs="Arial"/>
          <w:bCs/>
          <w:sz w:val="22"/>
          <w:szCs w:val="22"/>
          <w:lang w:val="fr-FR"/>
        </w:rPr>
        <w:t>’</w:t>
      </w:r>
      <w:r w:rsidRPr="00C44294">
        <w:rPr>
          <w:rFonts w:ascii="Arial" w:hAnsi="Arial" w:cs="Arial"/>
          <w:bCs/>
          <w:sz w:val="22"/>
          <w:szCs w:val="22"/>
          <w:lang w:val="fr-FR"/>
        </w:rPr>
        <w:t>information au cours de laquelle le Secrétaire de la Convention, M.</w:t>
      </w:r>
      <w:r>
        <w:rPr>
          <w:rFonts w:ascii="Arial" w:hAnsi="Arial" w:cs="Arial"/>
          <w:bCs/>
          <w:sz w:val="22"/>
          <w:szCs w:val="22"/>
          <w:lang w:val="fr-FR"/>
        </w:rPr>
        <w:t> </w:t>
      </w:r>
      <w:r w:rsidRPr="00C44294">
        <w:rPr>
          <w:rFonts w:ascii="Arial" w:hAnsi="Arial" w:cs="Arial"/>
          <w:bCs/>
          <w:sz w:val="22"/>
          <w:szCs w:val="22"/>
          <w:lang w:val="fr-FR"/>
        </w:rPr>
        <w:t>Tim Curtis, avait commenté ce point en disant que cela pourrait être un compromis de n</w:t>
      </w:r>
      <w:r w:rsidR="008E532B">
        <w:rPr>
          <w:rFonts w:ascii="Arial" w:hAnsi="Arial" w:cs="Arial"/>
          <w:bCs/>
          <w:sz w:val="22"/>
          <w:szCs w:val="22"/>
          <w:lang w:val="fr-FR"/>
        </w:rPr>
        <w:t>’</w:t>
      </w:r>
      <w:r w:rsidRPr="00C44294">
        <w:rPr>
          <w:rFonts w:ascii="Arial" w:hAnsi="Arial" w:cs="Arial"/>
          <w:bCs/>
          <w:sz w:val="22"/>
          <w:szCs w:val="22"/>
          <w:lang w:val="fr-FR"/>
        </w:rPr>
        <w:t xml:space="preserve">avoir que des </w:t>
      </w:r>
      <w:r>
        <w:rPr>
          <w:rFonts w:ascii="Arial" w:hAnsi="Arial" w:cs="Arial"/>
          <w:bCs/>
          <w:sz w:val="22"/>
          <w:szCs w:val="22"/>
          <w:lang w:val="fr-FR"/>
        </w:rPr>
        <w:t>« </w:t>
      </w:r>
      <w:r w:rsidRPr="00C44294">
        <w:rPr>
          <w:rFonts w:ascii="Arial" w:hAnsi="Arial" w:cs="Arial"/>
          <w:bCs/>
          <w:sz w:val="22"/>
          <w:szCs w:val="22"/>
          <w:lang w:val="fr-FR"/>
        </w:rPr>
        <w:t>observateurs</w:t>
      </w:r>
      <w:r>
        <w:rPr>
          <w:rFonts w:ascii="Arial" w:hAnsi="Arial" w:cs="Arial"/>
          <w:bCs/>
          <w:sz w:val="22"/>
          <w:szCs w:val="22"/>
          <w:lang w:val="fr-FR"/>
        </w:rPr>
        <w:t> »</w:t>
      </w:r>
      <w:r w:rsidRPr="00C44294">
        <w:rPr>
          <w:rFonts w:ascii="Arial" w:hAnsi="Arial" w:cs="Arial"/>
          <w:bCs/>
          <w:sz w:val="22"/>
          <w:szCs w:val="22"/>
          <w:lang w:val="fr-FR"/>
        </w:rPr>
        <w:t xml:space="preserve"> et de ne pas inclure les </w:t>
      </w:r>
      <w:r>
        <w:rPr>
          <w:rFonts w:ascii="Arial" w:hAnsi="Arial" w:cs="Arial"/>
          <w:bCs/>
          <w:sz w:val="22"/>
          <w:szCs w:val="22"/>
          <w:lang w:val="fr-FR"/>
        </w:rPr>
        <w:t>« </w:t>
      </w:r>
      <w:r w:rsidRPr="00C44294">
        <w:rPr>
          <w:rFonts w:ascii="Arial" w:hAnsi="Arial" w:cs="Arial"/>
          <w:bCs/>
          <w:sz w:val="22"/>
          <w:szCs w:val="22"/>
          <w:lang w:val="fr-FR"/>
        </w:rPr>
        <w:t>représentants</w:t>
      </w:r>
      <w:r>
        <w:rPr>
          <w:rFonts w:ascii="Arial" w:hAnsi="Arial" w:cs="Arial"/>
          <w:bCs/>
          <w:sz w:val="22"/>
          <w:szCs w:val="22"/>
          <w:lang w:val="fr-FR"/>
        </w:rPr>
        <w:t> »</w:t>
      </w:r>
      <w:r w:rsidRPr="00C44294">
        <w:rPr>
          <w:rFonts w:ascii="Arial" w:hAnsi="Arial" w:cs="Arial"/>
          <w:bCs/>
          <w:sz w:val="22"/>
          <w:szCs w:val="22"/>
          <w:lang w:val="fr-FR"/>
        </w:rPr>
        <w:t>. La délégation a suggéré d</w:t>
      </w:r>
      <w:r w:rsidR="008E532B">
        <w:rPr>
          <w:rFonts w:ascii="Arial" w:hAnsi="Arial" w:cs="Arial"/>
          <w:bCs/>
          <w:sz w:val="22"/>
          <w:szCs w:val="22"/>
          <w:lang w:val="fr-FR"/>
        </w:rPr>
        <w:t>’</w:t>
      </w:r>
      <w:r w:rsidRPr="00C44294">
        <w:rPr>
          <w:rFonts w:ascii="Arial" w:hAnsi="Arial" w:cs="Arial"/>
          <w:bCs/>
          <w:sz w:val="22"/>
          <w:szCs w:val="22"/>
          <w:lang w:val="fr-FR"/>
        </w:rPr>
        <w:t xml:space="preserve">inclure </w:t>
      </w:r>
      <w:r>
        <w:rPr>
          <w:rFonts w:ascii="Arial" w:hAnsi="Arial" w:cs="Arial"/>
          <w:bCs/>
          <w:sz w:val="22"/>
          <w:szCs w:val="22"/>
          <w:lang w:val="fr-FR"/>
        </w:rPr>
        <w:t>« </w:t>
      </w:r>
      <w:r w:rsidRPr="00C44294">
        <w:rPr>
          <w:rFonts w:ascii="Arial" w:hAnsi="Arial" w:cs="Arial"/>
          <w:bCs/>
          <w:sz w:val="22"/>
          <w:szCs w:val="22"/>
          <w:lang w:val="fr-FR"/>
        </w:rPr>
        <w:t xml:space="preserve">en </w:t>
      </w:r>
      <w:r>
        <w:rPr>
          <w:rFonts w:ascii="Arial" w:hAnsi="Arial" w:cs="Arial"/>
          <w:bCs/>
          <w:sz w:val="22"/>
          <w:szCs w:val="22"/>
          <w:lang w:val="fr-FR"/>
        </w:rPr>
        <w:t>qualité</w:t>
      </w:r>
      <w:r w:rsidRPr="00C44294">
        <w:rPr>
          <w:rFonts w:ascii="Arial" w:hAnsi="Arial" w:cs="Arial"/>
          <w:bCs/>
          <w:sz w:val="22"/>
          <w:szCs w:val="22"/>
          <w:lang w:val="fr-FR"/>
        </w:rPr>
        <w:t xml:space="preserve"> qu</w:t>
      </w:r>
      <w:r w:rsidR="008E532B">
        <w:rPr>
          <w:rFonts w:ascii="Arial" w:hAnsi="Arial" w:cs="Arial"/>
          <w:bCs/>
          <w:sz w:val="22"/>
          <w:szCs w:val="22"/>
          <w:lang w:val="fr-FR"/>
        </w:rPr>
        <w:t>’</w:t>
      </w:r>
      <w:r w:rsidRPr="00C44294">
        <w:rPr>
          <w:rFonts w:ascii="Arial" w:hAnsi="Arial" w:cs="Arial"/>
          <w:bCs/>
          <w:sz w:val="22"/>
          <w:szCs w:val="22"/>
          <w:lang w:val="fr-FR"/>
        </w:rPr>
        <w:t>observateurs</w:t>
      </w:r>
      <w:r>
        <w:rPr>
          <w:rFonts w:ascii="Arial" w:hAnsi="Arial" w:cs="Arial"/>
          <w:bCs/>
          <w:sz w:val="22"/>
          <w:szCs w:val="22"/>
          <w:lang w:val="fr-FR"/>
        </w:rPr>
        <w:t> »</w:t>
      </w:r>
      <w:r w:rsidRPr="00C44294">
        <w:rPr>
          <w:rFonts w:ascii="Arial" w:hAnsi="Arial" w:cs="Arial"/>
          <w:bCs/>
          <w:sz w:val="22"/>
          <w:szCs w:val="22"/>
          <w:lang w:val="fr-FR"/>
        </w:rPr>
        <w:t xml:space="preserve"> à l</w:t>
      </w:r>
      <w:r w:rsidR="008E532B">
        <w:rPr>
          <w:rFonts w:ascii="Arial" w:hAnsi="Arial" w:cs="Arial"/>
          <w:bCs/>
          <w:sz w:val="22"/>
          <w:szCs w:val="22"/>
          <w:lang w:val="fr-FR"/>
        </w:rPr>
        <w:t>’</w:t>
      </w:r>
      <w:r w:rsidRPr="00C44294">
        <w:rPr>
          <w:rFonts w:ascii="Arial" w:hAnsi="Arial" w:cs="Arial"/>
          <w:bCs/>
          <w:sz w:val="22"/>
          <w:szCs w:val="22"/>
          <w:lang w:val="fr-FR"/>
        </w:rPr>
        <w:t>article 3.2 et de supprimer l</w:t>
      </w:r>
      <w:r w:rsidR="008E532B">
        <w:rPr>
          <w:rFonts w:ascii="Arial" w:hAnsi="Arial" w:cs="Arial"/>
          <w:bCs/>
          <w:sz w:val="22"/>
          <w:szCs w:val="22"/>
          <w:lang w:val="fr-FR"/>
        </w:rPr>
        <w:t>’</w:t>
      </w:r>
      <w:r w:rsidRPr="00C44294">
        <w:rPr>
          <w:rFonts w:ascii="Arial" w:hAnsi="Arial" w:cs="Arial"/>
          <w:bCs/>
          <w:sz w:val="22"/>
          <w:szCs w:val="22"/>
          <w:lang w:val="fr-FR"/>
        </w:rPr>
        <w:t>article 3.3.</w:t>
      </w:r>
    </w:p>
    <w:p w14:paraId="6AC13F70" w14:textId="36A2A5C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44294">
        <w:rPr>
          <w:rFonts w:ascii="Arial" w:hAnsi="Arial" w:cs="Arial"/>
          <w:bCs/>
          <w:sz w:val="22"/>
          <w:szCs w:val="22"/>
          <w:lang w:val="fr-FR"/>
        </w:rPr>
        <w:t xml:space="preserve">Par souci de clarté, </w:t>
      </w:r>
      <w:r>
        <w:rPr>
          <w:rFonts w:ascii="Arial" w:hAnsi="Arial" w:cs="Arial"/>
          <w:bCs/>
          <w:sz w:val="22"/>
          <w:szCs w:val="22"/>
          <w:lang w:val="fr-FR"/>
        </w:rPr>
        <w:t>l</w:t>
      </w:r>
      <w:r w:rsidRPr="00C44294">
        <w:rPr>
          <w:rFonts w:ascii="Arial" w:hAnsi="Arial" w:cs="Arial"/>
          <w:bCs/>
          <w:sz w:val="22"/>
          <w:szCs w:val="22"/>
          <w:lang w:val="fr-FR"/>
        </w:rPr>
        <w:t xml:space="preserve">a </w:t>
      </w:r>
      <w:r w:rsidRPr="00C44294">
        <w:rPr>
          <w:rFonts w:ascii="Arial" w:hAnsi="Arial" w:cs="Arial"/>
          <w:b/>
          <w:sz w:val="22"/>
          <w:szCs w:val="22"/>
          <w:lang w:val="fr-FR"/>
        </w:rPr>
        <w:t>Présidente</w:t>
      </w:r>
      <w:r w:rsidRPr="00C44294">
        <w:rPr>
          <w:rFonts w:ascii="Arial" w:hAnsi="Arial" w:cs="Arial"/>
          <w:bCs/>
          <w:sz w:val="22"/>
          <w:szCs w:val="22"/>
          <w:lang w:val="fr-FR"/>
        </w:rPr>
        <w:t xml:space="preserve"> </w:t>
      </w:r>
      <w:r>
        <w:rPr>
          <w:rFonts w:ascii="Arial" w:hAnsi="Arial" w:cs="Arial"/>
          <w:bCs/>
          <w:sz w:val="22"/>
          <w:szCs w:val="22"/>
          <w:lang w:val="fr-FR"/>
        </w:rPr>
        <w:t xml:space="preserve">a </w:t>
      </w:r>
      <w:r w:rsidRPr="00C44294">
        <w:rPr>
          <w:rFonts w:ascii="Arial" w:hAnsi="Arial" w:cs="Arial"/>
          <w:bCs/>
          <w:sz w:val="22"/>
          <w:szCs w:val="22"/>
          <w:lang w:val="fr-FR"/>
        </w:rPr>
        <w:t>donn</w:t>
      </w:r>
      <w:r>
        <w:rPr>
          <w:rFonts w:ascii="Arial" w:hAnsi="Arial" w:cs="Arial"/>
          <w:bCs/>
          <w:sz w:val="22"/>
          <w:szCs w:val="22"/>
          <w:lang w:val="fr-FR"/>
        </w:rPr>
        <w:t>é</w:t>
      </w:r>
      <w:r w:rsidRPr="00C44294">
        <w:rPr>
          <w:rFonts w:ascii="Arial" w:hAnsi="Arial" w:cs="Arial"/>
          <w:bCs/>
          <w:sz w:val="22"/>
          <w:szCs w:val="22"/>
          <w:lang w:val="fr-FR"/>
        </w:rPr>
        <w:t xml:space="preserve"> lecture de l</w:t>
      </w:r>
      <w:r w:rsidR="008E532B">
        <w:rPr>
          <w:rFonts w:ascii="Arial" w:hAnsi="Arial" w:cs="Arial"/>
          <w:bCs/>
          <w:sz w:val="22"/>
          <w:szCs w:val="22"/>
          <w:lang w:val="fr-FR"/>
        </w:rPr>
        <w:t>’</w:t>
      </w:r>
      <w:r w:rsidRPr="00C44294">
        <w:rPr>
          <w:rFonts w:ascii="Arial" w:hAnsi="Arial" w:cs="Arial"/>
          <w:bCs/>
          <w:sz w:val="22"/>
          <w:szCs w:val="22"/>
          <w:lang w:val="fr-FR"/>
        </w:rPr>
        <w:t xml:space="preserve">article 3.2 : </w:t>
      </w:r>
      <w:r>
        <w:rPr>
          <w:rFonts w:ascii="Arial" w:hAnsi="Arial" w:cs="Arial"/>
          <w:bCs/>
          <w:sz w:val="22"/>
          <w:szCs w:val="22"/>
          <w:lang w:val="fr-FR"/>
        </w:rPr>
        <w:t>« </w:t>
      </w:r>
      <w:r w:rsidRPr="00C44294">
        <w:rPr>
          <w:rFonts w:ascii="Arial" w:hAnsi="Arial" w:cs="Arial"/>
          <w:bCs/>
          <w:sz w:val="22"/>
          <w:szCs w:val="22"/>
          <w:lang w:val="fr-FR"/>
        </w:rPr>
        <w:t>Les représentants de l</w:t>
      </w:r>
      <w:r w:rsidR="008E532B">
        <w:rPr>
          <w:rFonts w:ascii="Arial" w:hAnsi="Arial" w:cs="Arial"/>
          <w:bCs/>
          <w:sz w:val="22"/>
          <w:szCs w:val="22"/>
          <w:lang w:val="fr-FR"/>
        </w:rPr>
        <w:t>’</w:t>
      </w:r>
      <w:r w:rsidRPr="00C44294">
        <w:rPr>
          <w:rFonts w:ascii="Arial" w:hAnsi="Arial" w:cs="Arial"/>
          <w:bCs/>
          <w:sz w:val="22"/>
          <w:szCs w:val="22"/>
          <w:lang w:val="fr-FR"/>
        </w:rPr>
        <w:t xml:space="preserve">Organisation des Nations Unies et des organisations du système des Nations Unies et autres organisations intergouvernementales </w:t>
      </w:r>
      <w:r>
        <w:rPr>
          <w:rFonts w:ascii="Arial" w:hAnsi="Arial" w:cs="Arial"/>
          <w:bCs/>
          <w:sz w:val="22"/>
          <w:szCs w:val="22"/>
          <w:lang w:val="fr-FR"/>
        </w:rPr>
        <w:t>avec lesquelles l</w:t>
      </w:r>
      <w:r w:rsidR="008E532B">
        <w:rPr>
          <w:rFonts w:ascii="Arial" w:hAnsi="Arial" w:cs="Arial"/>
          <w:bCs/>
          <w:sz w:val="22"/>
          <w:szCs w:val="22"/>
          <w:lang w:val="fr-FR"/>
        </w:rPr>
        <w:t>’</w:t>
      </w:r>
      <w:r>
        <w:rPr>
          <w:rFonts w:ascii="Arial" w:hAnsi="Arial" w:cs="Arial"/>
          <w:bCs/>
          <w:sz w:val="22"/>
          <w:szCs w:val="22"/>
          <w:lang w:val="fr-FR"/>
        </w:rPr>
        <w:t xml:space="preserve">UNESCO a </w:t>
      </w:r>
      <w:r w:rsidRPr="00C44294">
        <w:rPr>
          <w:rFonts w:ascii="Arial" w:hAnsi="Arial" w:cs="Arial"/>
          <w:bCs/>
          <w:sz w:val="22"/>
          <w:szCs w:val="22"/>
          <w:lang w:val="fr-FR"/>
        </w:rPr>
        <w:t>conclu un accord de représentation réciproque peuvent participer aux travaux de l</w:t>
      </w:r>
      <w:r w:rsidR="008E532B">
        <w:rPr>
          <w:rFonts w:ascii="Arial" w:hAnsi="Arial" w:cs="Arial"/>
          <w:bCs/>
          <w:sz w:val="22"/>
          <w:szCs w:val="22"/>
          <w:lang w:val="fr-FR"/>
        </w:rPr>
        <w:t>’</w:t>
      </w:r>
      <w:r w:rsidRPr="00C44294">
        <w:rPr>
          <w:rFonts w:ascii="Arial" w:hAnsi="Arial" w:cs="Arial"/>
          <w:bCs/>
          <w:sz w:val="22"/>
          <w:szCs w:val="22"/>
          <w:lang w:val="fr-FR"/>
        </w:rPr>
        <w:t>Assemblée en qualité d</w:t>
      </w:r>
      <w:r w:rsidR="008E532B">
        <w:rPr>
          <w:rFonts w:ascii="Arial" w:hAnsi="Arial" w:cs="Arial"/>
          <w:bCs/>
          <w:sz w:val="22"/>
          <w:szCs w:val="22"/>
          <w:lang w:val="fr-FR"/>
        </w:rPr>
        <w:t>’</w:t>
      </w:r>
      <w:r w:rsidRPr="00C44294">
        <w:rPr>
          <w:rFonts w:ascii="Arial" w:hAnsi="Arial" w:cs="Arial"/>
          <w:bCs/>
          <w:sz w:val="22"/>
          <w:szCs w:val="22"/>
          <w:lang w:val="fr-FR"/>
        </w:rPr>
        <w:t>observateurs sans droit de vote et sous réserve de l</w:t>
      </w:r>
      <w:r w:rsidR="008E532B">
        <w:rPr>
          <w:rFonts w:ascii="Arial" w:hAnsi="Arial" w:cs="Arial"/>
          <w:bCs/>
          <w:sz w:val="22"/>
          <w:szCs w:val="22"/>
          <w:lang w:val="fr-FR"/>
        </w:rPr>
        <w:t>’</w:t>
      </w:r>
      <w:r w:rsidRPr="00C44294">
        <w:rPr>
          <w:rFonts w:ascii="Arial" w:hAnsi="Arial" w:cs="Arial"/>
          <w:bCs/>
          <w:sz w:val="22"/>
          <w:szCs w:val="22"/>
          <w:lang w:val="fr-FR"/>
        </w:rPr>
        <w:t>article 16.3</w:t>
      </w:r>
      <w:r>
        <w:rPr>
          <w:rFonts w:ascii="Arial" w:hAnsi="Arial" w:cs="Arial"/>
          <w:bCs/>
          <w:sz w:val="22"/>
          <w:szCs w:val="22"/>
          <w:lang w:val="fr-FR"/>
        </w:rPr>
        <w:t>. »</w:t>
      </w:r>
    </w:p>
    <w:p w14:paraId="12ABA885" w14:textId="33AB41C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44294">
        <w:rPr>
          <w:rFonts w:ascii="Arial" w:hAnsi="Arial" w:cs="Arial"/>
          <w:bCs/>
          <w:sz w:val="22"/>
          <w:szCs w:val="22"/>
          <w:lang w:val="fr-FR"/>
        </w:rPr>
        <w:t xml:space="preserve">La délégation de la </w:t>
      </w:r>
      <w:r w:rsidRPr="00C44294">
        <w:rPr>
          <w:rFonts w:ascii="Arial" w:hAnsi="Arial" w:cs="Arial"/>
          <w:b/>
          <w:sz w:val="22"/>
          <w:szCs w:val="22"/>
          <w:lang w:val="fr-FR"/>
        </w:rPr>
        <w:t>Türkiye</w:t>
      </w:r>
      <w:r w:rsidRPr="00C44294">
        <w:rPr>
          <w:rFonts w:ascii="Arial" w:hAnsi="Arial" w:cs="Arial"/>
          <w:bCs/>
          <w:sz w:val="22"/>
          <w:szCs w:val="22"/>
          <w:lang w:val="fr-FR"/>
        </w:rPr>
        <w:t xml:space="preserve"> avait précédemment suggéré de conserver l</w:t>
      </w:r>
      <w:r w:rsidR="008E532B">
        <w:rPr>
          <w:rFonts w:ascii="Arial" w:hAnsi="Arial" w:cs="Arial"/>
          <w:bCs/>
          <w:sz w:val="22"/>
          <w:szCs w:val="22"/>
          <w:lang w:val="fr-FR"/>
        </w:rPr>
        <w:t>’</w:t>
      </w:r>
      <w:r w:rsidRPr="00C44294">
        <w:rPr>
          <w:rFonts w:ascii="Arial" w:hAnsi="Arial" w:cs="Arial"/>
          <w:bCs/>
          <w:sz w:val="22"/>
          <w:szCs w:val="22"/>
          <w:lang w:val="fr-FR"/>
        </w:rPr>
        <w:t>article 2.2 et de le faire figurer en tant qu</w:t>
      </w:r>
      <w:r w:rsidR="008E532B">
        <w:rPr>
          <w:rFonts w:ascii="Arial" w:hAnsi="Arial" w:cs="Arial"/>
          <w:bCs/>
          <w:sz w:val="22"/>
          <w:szCs w:val="22"/>
          <w:lang w:val="fr-FR"/>
        </w:rPr>
        <w:t>’</w:t>
      </w:r>
      <w:r w:rsidRPr="00C44294">
        <w:rPr>
          <w:rFonts w:ascii="Arial" w:hAnsi="Arial" w:cs="Arial"/>
          <w:bCs/>
          <w:sz w:val="22"/>
          <w:szCs w:val="22"/>
          <w:lang w:val="fr-FR"/>
        </w:rPr>
        <w:t xml:space="preserve">article 3.2 dans le nouveau </w:t>
      </w:r>
      <w:r>
        <w:rPr>
          <w:rFonts w:ascii="Arial" w:hAnsi="Arial" w:cs="Arial"/>
          <w:bCs/>
          <w:sz w:val="22"/>
          <w:szCs w:val="22"/>
          <w:lang w:val="fr-FR"/>
        </w:rPr>
        <w:t>R</w:t>
      </w:r>
      <w:r w:rsidRPr="00C44294">
        <w:rPr>
          <w:rFonts w:ascii="Arial" w:hAnsi="Arial" w:cs="Arial"/>
          <w:bCs/>
          <w:sz w:val="22"/>
          <w:szCs w:val="22"/>
          <w:lang w:val="fr-FR"/>
        </w:rPr>
        <w:t xml:space="preserve">èglement, </w:t>
      </w:r>
      <w:r>
        <w:rPr>
          <w:rFonts w:ascii="Arial" w:hAnsi="Arial" w:cs="Arial"/>
          <w:bCs/>
          <w:sz w:val="22"/>
          <w:szCs w:val="22"/>
          <w:lang w:val="fr-FR"/>
        </w:rPr>
        <w:t>indiquant</w:t>
      </w:r>
      <w:r w:rsidRPr="00C44294">
        <w:rPr>
          <w:rFonts w:ascii="Arial" w:hAnsi="Arial" w:cs="Arial"/>
          <w:bCs/>
          <w:sz w:val="22"/>
          <w:szCs w:val="22"/>
          <w:lang w:val="fr-FR"/>
        </w:rPr>
        <w:t xml:space="preserve"> qu</w:t>
      </w:r>
      <w:r w:rsidR="008E532B">
        <w:rPr>
          <w:rFonts w:ascii="Arial" w:hAnsi="Arial" w:cs="Arial"/>
          <w:bCs/>
          <w:sz w:val="22"/>
          <w:szCs w:val="22"/>
          <w:lang w:val="fr-FR"/>
        </w:rPr>
        <w:t>’</w:t>
      </w:r>
      <w:r w:rsidRPr="00C44294">
        <w:rPr>
          <w:rFonts w:ascii="Arial" w:hAnsi="Arial" w:cs="Arial"/>
          <w:bCs/>
          <w:sz w:val="22"/>
          <w:szCs w:val="22"/>
          <w:lang w:val="fr-FR"/>
        </w:rPr>
        <w:t>elle avait reçu un large soutien.</w:t>
      </w:r>
    </w:p>
    <w:p w14:paraId="5E6CC151" w14:textId="6075559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44294">
        <w:rPr>
          <w:rFonts w:ascii="Arial" w:hAnsi="Arial" w:cs="Arial"/>
          <w:bCs/>
          <w:sz w:val="22"/>
          <w:szCs w:val="22"/>
          <w:lang w:val="fr-FR"/>
        </w:rPr>
        <w:t xml:space="preserve">Le </w:t>
      </w:r>
      <w:r w:rsidRPr="00C44294">
        <w:rPr>
          <w:rFonts w:ascii="Arial" w:hAnsi="Arial" w:cs="Arial"/>
          <w:b/>
          <w:sz w:val="22"/>
          <w:szCs w:val="22"/>
          <w:lang w:val="fr-FR"/>
        </w:rPr>
        <w:t>Sous-Directeur général</w:t>
      </w:r>
      <w:r w:rsidRPr="00C44294">
        <w:rPr>
          <w:rFonts w:ascii="Arial" w:hAnsi="Arial" w:cs="Arial"/>
          <w:bCs/>
          <w:sz w:val="22"/>
          <w:szCs w:val="22"/>
          <w:lang w:val="fr-FR"/>
        </w:rPr>
        <w:t xml:space="preserve"> a expliqué que le texte original d</w:t>
      </w:r>
      <w:r>
        <w:rPr>
          <w:rFonts w:ascii="Arial" w:hAnsi="Arial" w:cs="Arial"/>
          <w:bCs/>
          <w:sz w:val="22"/>
          <w:szCs w:val="22"/>
          <w:lang w:val="fr-FR"/>
        </w:rPr>
        <w:t>e l</w:t>
      </w:r>
      <w:r w:rsidR="008E532B">
        <w:rPr>
          <w:rFonts w:ascii="Arial" w:hAnsi="Arial" w:cs="Arial"/>
          <w:bCs/>
          <w:sz w:val="22"/>
          <w:szCs w:val="22"/>
          <w:lang w:val="fr-FR"/>
        </w:rPr>
        <w:t>’</w:t>
      </w:r>
      <w:r>
        <w:rPr>
          <w:rFonts w:ascii="Arial" w:hAnsi="Arial" w:cs="Arial"/>
          <w:bCs/>
          <w:sz w:val="22"/>
          <w:szCs w:val="22"/>
          <w:lang w:val="fr-FR"/>
        </w:rPr>
        <w:t xml:space="preserve">article </w:t>
      </w:r>
      <w:r w:rsidRPr="00C44294">
        <w:rPr>
          <w:rFonts w:ascii="Arial" w:hAnsi="Arial" w:cs="Arial"/>
          <w:bCs/>
          <w:sz w:val="22"/>
          <w:szCs w:val="22"/>
          <w:lang w:val="fr-FR"/>
        </w:rPr>
        <w:t xml:space="preserve">2.2 nécessiterait une modification importante, qui </w:t>
      </w:r>
      <w:r>
        <w:rPr>
          <w:rFonts w:ascii="Arial" w:hAnsi="Arial" w:cs="Arial"/>
          <w:bCs/>
          <w:sz w:val="22"/>
          <w:szCs w:val="22"/>
          <w:lang w:val="fr-FR"/>
        </w:rPr>
        <w:t>intégrerait l</w:t>
      </w:r>
      <w:r w:rsidR="008E532B">
        <w:rPr>
          <w:rFonts w:ascii="Arial" w:hAnsi="Arial" w:cs="Arial"/>
          <w:bCs/>
          <w:sz w:val="22"/>
          <w:szCs w:val="22"/>
          <w:lang w:val="fr-FR"/>
        </w:rPr>
        <w:t>’</w:t>
      </w:r>
      <w:r>
        <w:rPr>
          <w:rFonts w:ascii="Arial" w:hAnsi="Arial" w:cs="Arial"/>
          <w:bCs/>
          <w:sz w:val="22"/>
          <w:szCs w:val="22"/>
          <w:lang w:val="fr-FR"/>
        </w:rPr>
        <w:t>article 16.3</w:t>
      </w:r>
      <w:r w:rsidRPr="00C44294">
        <w:rPr>
          <w:rFonts w:ascii="Arial" w:hAnsi="Arial" w:cs="Arial"/>
          <w:bCs/>
          <w:sz w:val="22"/>
          <w:szCs w:val="22"/>
          <w:lang w:val="fr-FR"/>
        </w:rPr>
        <w:t xml:space="preserve"> (à la place de </w:t>
      </w:r>
      <w:r>
        <w:rPr>
          <w:rFonts w:ascii="Arial" w:hAnsi="Arial" w:cs="Arial"/>
          <w:bCs/>
          <w:sz w:val="22"/>
          <w:szCs w:val="22"/>
          <w:lang w:val="fr-FR"/>
        </w:rPr>
        <w:t>l</w:t>
      </w:r>
      <w:r w:rsidR="008E532B">
        <w:rPr>
          <w:rFonts w:ascii="Arial" w:hAnsi="Arial" w:cs="Arial"/>
          <w:bCs/>
          <w:sz w:val="22"/>
          <w:szCs w:val="22"/>
          <w:lang w:val="fr-FR"/>
        </w:rPr>
        <w:t>’</w:t>
      </w:r>
      <w:r w:rsidRPr="00C44294">
        <w:rPr>
          <w:rFonts w:ascii="Arial" w:hAnsi="Arial" w:cs="Arial"/>
          <w:bCs/>
          <w:sz w:val="22"/>
          <w:szCs w:val="22"/>
          <w:lang w:val="fr-FR"/>
        </w:rPr>
        <w:t>article</w:t>
      </w:r>
      <w:r>
        <w:rPr>
          <w:rFonts w:ascii="Arial" w:hAnsi="Arial" w:cs="Arial"/>
          <w:bCs/>
          <w:sz w:val="22"/>
          <w:szCs w:val="22"/>
          <w:lang w:val="fr-FR"/>
        </w:rPr>
        <w:t xml:space="preserve"> </w:t>
      </w:r>
      <w:r w:rsidRPr="00C44294">
        <w:rPr>
          <w:rFonts w:ascii="Arial" w:hAnsi="Arial" w:cs="Arial"/>
          <w:bCs/>
          <w:sz w:val="22"/>
          <w:szCs w:val="22"/>
          <w:lang w:val="fr-FR"/>
        </w:rPr>
        <w:t>7.3).</w:t>
      </w:r>
    </w:p>
    <w:p w14:paraId="0D4139D0" w14:textId="25254C1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44294">
        <w:rPr>
          <w:rFonts w:ascii="Arial" w:hAnsi="Arial" w:cs="Arial"/>
          <w:bCs/>
          <w:sz w:val="22"/>
          <w:szCs w:val="22"/>
          <w:lang w:val="fr-FR"/>
        </w:rPr>
        <w:t xml:space="preserve">La délégation de la </w:t>
      </w:r>
      <w:r w:rsidRPr="00C44294">
        <w:rPr>
          <w:rFonts w:ascii="Arial" w:hAnsi="Arial" w:cs="Arial"/>
          <w:b/>
          <w:sz w:val="22"/>
          <w:szCs w:val="22"/>
          <w:lang w:val="fr-FR"/>
        </w:rPr>
        <w:t>Suisse</w:t>
      </w:r>
      <w:r w:rsidRPr="00C44294">
        <w:rPr>
          <w:rFonts w:ascii="Arial" w:hAnsi="Arial" w:cs="Arial"/>
          <w:bCs/>
          <w:sz w:val="22"/>
          <w:szCs w:val="22"/>
          <w:lang w:val="fr-FR"/>
        </w:rPr>
        <w:t xml:space="preserve"> a noté que la proposition de</w:t>
      </w:r>
      <w:r>
        <w:rPr>
          <w:rFonts w:ascii="Arial" w:hAnsi="Arial" w:cs="Arial"/>
          <w:bCs/>
          <w:sz w:val="22"/>
          <w:szCs w:val="22"/>
          <w:lang w:val="fr-FR"/>
        </w:rPr>
        <w:t xml:space="preserve"> la</w:t>
      </w:r>
      <w:r w:rsidRPr="00C44294">
        <w:rPr>
          <w:rFonts w:ascii="Arial" w:hAnsi="Arial" w:cs="Arial"/>
          <w:bCs/>
          <w:sz w:val="22"/>
          <w:szCs w:val="22"/>
          <w:lang w:val="fr-FR"/>
        </w:rPr>
        <w:t xml:space="preserve"> Türkiye s</w:t>
      </w:r>
      <w:r w:rsidR="008E532B">
        <w:rPr>
          <w:rFonts w:ascii="Arial" w:hAnsi="Arial" w:cs="Arial"/>
          <w:bCs/>
          <w:sz w:val="22"/>
          <w:szCs w:val="22"/>
          <w:lang w:val="fr-FR"/>
        </w:rPr>
        <w:t>’</w:t>
      </w:r>
      <w:r w:rsidRPr="00C44294">
        <w:rPr>
          <w:rFonts w:ascii="Arial" w:hAnsi="Arial" w:cs="Arial"/>
          <w:bCs/>
          <w:sz w:val="22"/>
          <w:szCs w:val="22"/>
          <w:lang w:val="fr-FR"/>
        </w:rPr>
        <w:t xml:space="preserve">alignait sur </w:t>
      </w:r>
      <w:r>
        <w:rPr>
          <w:rFonts w:ascii="Arial" w:hAnsi="Arial" w:cs="Arial"/>
          <w:bCs/>
          <w:sz w:val="22"/>
          <w:szCs w:val="22"/>
          <w:lang w:val="fr-FR"/>
        </w:rPr>
        <w:t xml:space="preserve">celle </w:t>
      </w:r>
      <w:r w:rsidRPr="00C44294">
        <w:rPr>
          <w:rFonts w:ascii="Arial" w:hAnsi="Arial" w:cs="Arial"/>
          <w:bCs/>
          <w:sz w:val="22"/>
          <w:szCs w:val="22"/>
          <w:lang w:val="fr-FR"/>
        </w:rPr>
        <w:t>de l</w:t>
      </w:r>
      <w:r w:rsidR="008E532B">
        <w:rPr>
          <w:rFonts w:ascii="Arial" w:hAnsi="Arial" w:cs="Arial"/>
          <w:bCs/>
          <w:sz w:val="22"/>
          <w:szCs w:val="22"/>
          <w:lang w:val="fr-FR"/>
        </w:rPr>
        <w:t>’</w:t>
      </w:r>
      <w:r w:rsidRPr="00C44294">
        <w:rPr>
          <w:rFonts w:ascii="Arial" w:hAnsi="Arial" w:cs="Arial"/>
          <w:bCs/>
          <w:sz w:val="22"/>
          <w:szCs w:val="22"/>
          <w:lang w:val="fr-FR"/>
        </w:rPr>
        <w:t>Arabie saoudite de conserver l</w:t>
      </w:r>
      <w:r w:rsidR="008E532B">
        <w:rPr>
          <w:rFonts w:ascii="Arial" w:hAnsi="Arial" w:cs="Arial"/>
          <w:bCs/>
          <w:sz w:val="22"/>
          <w:szCs w:val="22"/>
          <w:lang w:val="fr-FR"/>
        </w:rPr>
        <w:t>’</w:t>
      </w:r>
      <w:r w:rsidRPr="00C44294">
        <w:rPr>
          <w:rFonts w:ascii="Arial" w:hAnsi="Arial" w:cs="Arial"/>
          <w:bCs/>
          <w:sz w:val="22"/>
          <w:szCs w:val="22"/>
          <w:lang w:val="fr-FR"/>
        </w:rPr>
        <w:t>article 2.2. Toutefois, elle a demandé aux délégations de faire preuve de souplesse et de reprendre éventuellement l</w:t>
      </w:r>
      <w:r w:rsidR="008E532B">
        <w:rPr>
          <w:rFonts w:ascii="Arial" w:hAnsi="Arial" w:cs="Arial"/>
          <w:bCs/>
          <w:sz w:val="22"/>
          <w:szCs w:val="22"/>
          <w:lang w:val="fr-FR"/>
        </w:rPr>
        <w:t>’</w:t>
      </w:r>
      <w:r w:rsidRPr="00C44294">
        <w:rPr>
          <w:rFonts w:ascii="Arial" w:hAnsi="Arial" w:cs="Arial"/>
          <w:bCs/>
          <w:sz w:val="22"/>
          <w:szCs w:val="22"/>
          <w:lang w:val="fr-FR"/>
        </w:rPr>
        <w:t>amendement suggéré par les Pays</w:t>
      </w:r>
      <w:r>
        <w:rPr>
          <w:rFonts w:ascii="Arial" w:hAnsi="Arial" w:cs="Arial"/>
          <w:bCs/>
          <w:sz w:val="22"/>
          <w:szCs w:val="22"/>
          <w:lang w:val="fr-FR"/>
        </w:rPr>
        <w:noBreakHyphen/>
      </w:r>
      <w:r w:rsidRPr="00C44294">
        <w:rPr>
          <w:rFonts w:ascii="Arial" w:hAnsi="Arial" w:cs="Arial"/>
          <w:bCs/>
          <w:sz w:val="22"/>
          <w:szCs w:val="22"/>
          <w:lang w:val="fr-FR"/>
        </w:rPr>
        <w:t xml:space="preserve">Bas, à savoir conserver </w:t>
      </w:r>
      <w:r>
        <w:rPr>
          <w:rFonts w:ascii="Arial" w:hAnsi="Arial" w:cs="Arial"/>
          <w:bCs/>
          <w:sz w:val="22"/>
          <w:szCs w:val="22"/>
          <w:lang w:val="fr-FR"/>
        </w:rPr>
        <w:t>« </w:t>
      </w:r>
      <w:r w:rsidRPr="00C44294">
        <w:rPr>
          <w:rFonts w:ascii="Arial" w:hAnsi="Arial" w:cs="Arial"/>
          <w:bCs/>
          <w:sz w:val="22"/>
          <w:szCs w:val="22"/>
          <w:lang w:val="fr-FR"/>
        </w:rPr>
        <w:t>ainsi que d</w:t>
      </w:r>
      <w:r w:rsidR="008E532B">
        <w:rPr>
          <w:rFonts w:ascii="Arial" w:hAnsi="Arial" w:cs="Arial"/>
          <w:bCs/>
          <w:sz w:val="22"/>
          <w:szCs w:val="22"/>
          <w:lang w:val="fr-FR"/>
        </w:rPr>
        <w:t>’</w:t>
      </w:r>
      <w:r w:rsidRPr="00C44294">
        <w:rPr>
          <w:rFonts w:ascii="Arial" w:hAnsi="Arial" w:cs="Arial"/>
          <w:bCs/>
          <w:sz w:val="22"/>
          <w:szCs w:val="22"/>
          <w:lang w:val="fr-FR"/>
        </w:rPr>
        <w:t>autres observateurs</w:t>
      </w:r>
      <w:r>
        <w:rPr>
          <w:rFonts w:ascii="Arial" w:hAnsi="Arial" w:cs="Arial"/>
          <w:bCs/>
          <w:sz w:val="22"/>
          <w:szCs w:val="22"/>
          <w:lang w:val="fr-FR"/>
        </w:rPr>
        <w:t> »</w:t>
      </w:r>
      <w:r w:rsidRPr="00C44294">
        <w:rPr>
          <w:rFonts w:ascii="Arial" w:hAnsi="Arial" w:cs="Arial"/>
          <w:bCs/>
          <w:sz w:val="22"/>
          <w:szCs w:val="22"/>
          <w:lang w:val="fr-FR"/>
        </w:rPr>
        <w:t xml:space="preserve"> et supprimer </w:t>
      </w:r>
      <w:r>
        <w:rPr>
          <w:rFonts w:ascii="Arial" w:hAnsi="Arial" w:cs="Arial"/>
          <w:bCs/>
          <w:sz w:val="22"/>
          <w:szCs w:val="22"/>
          <w:lang w:val="fr-FR"/>
        </w:rPr>
        <w:t>« </w:t>
      </w:r>
      <w:r w:rsidRPr="00C44294">
        <w:rPr>
          <w:rFonts w:ascii="Arial" w:hAnsi="Arial" w:cs="Arial"/>
          <w:bCs/>
          <w:sz w:val="22"/>
          <w:szCs w:val="22"/>
          <w:lang w:val="fr-FR"/>
        </w:rPr>
        <w:t>représentants</w:t>
      </w:r>
      <w:r>
        <w:rPr>
          <w:rFonts w:ascii="Arial" w:hAnsi="Arial" w:cs="Arial"/>
          <w:bCs/>
          <w:sz w:val="22"/>
          <w:szCs w:val="22"/>
          <w:lang w:val="fr-FR"/>
        </w:rPr>
        <w:t> »</w:t>
      </w:r>
      <w:r w:rsidRPr="005D0343">
        <w:rPr>
          <w:rFonts w:ascii="Arial" w:hAnsi="Arial" w:cs="Arial"/>
          <w:bCs/>
          <w:sz w:val="22"/>
          <w:szCs w:val="22"/>
          <w:lang w:val="fr-FR"/>
        </w:rPr>
        <w:t xml:space="preserve"> </w:t>
      </w:r>
      <w:r>
        <w:rPr>
          <w:rFonts w:ascii="Arial" w:hAnsi="Arial" w:cs="Arial"/>
          <w:bCs/>
          <w:sz w:val="22"/>
          <w:szCs w:val="22"/>
          <w:lang w:val="fr-FR"/>
        </w:rPr>
        <w:t>dans l</w:t>
      </w:r>
      <w:r w:rsidR="008E532B">
        <w:rPr>
          <w:rFonts w:ascii="Arial" w:hAnsi="Arial" w:cs="Arial"/>
          <w:bCs/>
          <w:sz w:val="22"/>
          <w:szCs w:val="22"/>
          <w:lang w:val="fr-FR"/>
        </w:rPr>
        <w:t>’</w:t>
      </w:r>
      <w:r>
        <w:rPr>
          <w:rFonts w:ascii="Arial" w:hAnsi="Arial" w:cs="Arial"/>
          <w:bCs/>
          <w:sz w:val="22"/>
          <w:szCs w:val="22"/>
          <w:lang w:val="fr-FR"/>
        </w:rPr>
        <w:t>article 3.3</w:t>
      </w:r>
      <w:r w:rsidRPr="00C44294">
        <w:rPr>
          <w:rFonts w:ascii="Arial" w:hAnsi="Arial" w:cs="Arial"/>
          <w:bCs/>
          <w:sz w:val="22"/>
          <w:szCs w:val="22"/>
          <w:lang w:val="fr-FR"/>
        </w:rPr>
        <w:t xml:space="preserve">. Il </w:t>
      </w:r>
      <w:r>
        <w:rPr>
          <w:rFonts w:ascii="Arial" w:hAnsi="Arial" w:cs="Arial"/>
          <w:bCs/>
          <w:sz w:val="22"/>
          <w:szCs w:val="22"/>
          <w:lang w:val="fr-FR"/>
        </w:rPr>
        <w:t xml:space="preserve">était </w:t>
      </w:r>
      <w:r w:rsidRPr="00C44294">
        <w:rPr>
          <w:rFonts w:ascii="Arial" w:hAnsi="Arial" w:cs="Arial"/>
          <w:bCs/>
          <w:sz w:val="22"/>
          <w:szCs w:val="22"/>
          <w:lang w:val="fr-FR"/>
        </w:rPr>
        <w:t xml:space="preserve">entendu que les </w:t>
      </w:r>
      <w:r>
        <w:rPr>
          <w:rFonts w:ascii="Arial" w:hAnsi="Arial" w:cs="Arial"/>
          <w:bCs/>
          <w:sz w:val="22"/>
          <w:szCs w:val="22"/>
          <w:lang w:val="fr-FR"/>
        </w:rPr>
        <w:t>« </w:t>
      </w:r>
      <w:r w:rsidRPr="00C44294">
        <w:rPr>
          <w:rFonts w:ascii="Arial" w:hAnsi="Arial" w:cs="Arial"/>
          <w:bCs/>
          <w:sz w:val="22"/>
          <w:szCs w:val="22"/>
          <w:lang w:val="fr-FR"/>
        </w:rPr>
        <w:t>autres observateurs</w:t>
      </w:r>
      <w:r>
        <w:rPr>
          <w:rFonts w:ascii="Arial" w:hAnsi="Arial" w:cs="Arial"/>
          <w:bCs/>
          <w:sz w:val="22"/>
          <w:szCs w:val="22"/>
          <w:lang w:val="fr-FR"/>
        </w:rPr>
        <w:t> »</w:t>
      </w:r>
      <w:r w:rsidRPr="00C44294">
        <w:rPr>
          <w:rFonts w:ascii="Arial" w:hAnsi="Arial" w:cs="Arial"/>
          <w:bCs/>
          <w:sz w:val="22"/>
          <w:szCs w:val="22"/>
          <w:lang w:val="fr-FR"/>
        </w:rPr>
        <w:t xml:space="preserve"> compren</w:t>
      </w:r>
      <w:r>
        <w:rPr>
          <w:rFonts w:ascii="Arial" w:hAnsi="Arial" w:cs="Arial"/>
          <w:bCs/>
          <w:sz w:val="22"/>
          <w:szCs w:val="22"/>
          <w:lang w:val="fr-FR"/>
        </w:rPr>
        <w:t>aient</w:t>
      </w:r>
      <w:r w:rsidRPr="00C44294">
        <w:rPr>
          <w:rFonts w:ascii="Arial" w:hAnsi="Arial" w:cs="Arial"/>
          <w:bCs/>
          <w:sz w:val="22"/>
          <w:szCs w:val="22"/>
          <w:lang w:val="fr-FR"/>
        </w:rPr>
        <w:t xml:space="preserve"> également l</w:t>
      </w:r>
      <w:r w:rsidR="008E532B">
        <w:rPr>
          <w:rFonts w:ascii="Arial" w:hAnsi="Arial" w:cs="Arial"/>
          <w:bCs/>
          <w:sz w:val="22"/>
          <w:szCs w:val="22"/>
          <w:lang w:val="fr-FR"/>
        </w:rPr>
        <w:t>’</w:t>
      </w:r>
      <w:r w:rsidRPr="00C44294">
        <w:rPr>
          <w:rFonts w:ascii="Arial" w:hAnsi="Arial" w:cs="Arial"/>
          <w:bCs/>
          <w:sz w:val="22"/>
          <w:szCs w:val="22"/>
          <w:lang w:val="fr-FR"/>
        </w:rPr>
        <w:t>inclusion possible des communautés, des experts et des chercheurs, qui sont très importants pour la Convention.</w:t>
      </w:r>
    </w:p>
    <w:p w14:paraId="1A539DEE" w14:textId="0FD4F99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41617">
        <w:rPr>
          <w:rFonts w:ascii="Arial" w:hAnsi="Arial" w:cs="Arial"/>
          <w:bCs/>
          <w:sz w:val="22"/>
          <w:szCs w:val="22"/>
          <w:lang w:val="fr-FR"/>
        </w:rPr>
        <w:t xml:space="preserve">Le </w:t>
      </w:r>
      <w:r w:rsidRPr="00F41617">
        <w:rPr>
          <w:rFonts w:ascii="Arial" w:hAnsi="Arial" w:cs="Arial"/>
          <w:b/>
          <w:sz w:val="22"/>
          <w:szCs w:val="22"/>
          <w:lang w:val="fr-FR"/>
        </w:rPr>
        <w:t>Sous-Directeur général</w:t>
      </w:r>
      <w:r w:rsidRPr="00F41617">
        <w:rPr>
          <w:rFonts w:ascii="Arial" w:hAnsi="Arial" w:cs="Arial"/>
          <w:bCs/>
          <w:sz w:val="22"/>
          <w:szCs w:val="22"/>
          <w:lang w:val="fr-FR"/>
        </w:rPr>
        <w:t xml:space="preserve"> a expliqué que l</w:t>
      </w:r>
      <w:r w:rsidR="008E532B">
        <w:rPr>
          <w:rFonts w:ascii="Arial" w:hAnsi="Arial" w:cs="Arial"/>
          <w:bCs/>
          <w:sz w:val="22"/>
          <w:szCs w:val="22"/>
          <w:lang w:val="fr-FR"/>
        </w:rPr>
        <w:t>’</w:t>
      </w:r>
      <w:r w:rsidRPr="00F41617">
        <w:rPr>
          <w:rFonts w:ascii="Arial" w:hAnsi="Arial" w:cs="Arial"/>
          <w:bCs/>
          <w:sz w:val="22"/>
          <w:szCs w:val="22"/>
          <w:lang w:val="fr-FR"/>
        </w:rPr>
        <w:t xml:space="preserve">exercice de rédaction de ce texte juridique ne pouvait pas utiliser le mode de </w:t>
      </w:r>
      <w:r>
        <w:rPr>
          <w:rFonts w:ascii="Arial" w:hAnsi="Arial" w:cs="Arial"/>
          <w:bCs/>
          <w:sz w:val="22"/>
          <w:szCs w:val="22"/>
          <w:lang w:val="fr-FR"/>
        </w:rPr>
        <w:t xml:space="preserve">suivi des </w:t>
      </w:r>
      <w:r w:rsidRPr="00F41617">
        <w:rPr>
          <w:rFonts w:ascii="Arial" w:hAnsi="Arial" w:cs="Arial"/>
          <w:bCs/>
          <w:sz w:val="22"/>
          <w:szCs w:val="22"/>
          <w:lang w:val="fr-FR"/>
        </w:rPr>
        <w:t xml:space="preserve">modifications tel </w:t>
      </w:r>
      <w:r>
        <w:rPr>
          <w:rFonts w:ascii="Arial" w:hAnsi="Arial" w:cs="Arial"/>
          <w:bCs/>
          <w:sz w:val="22"/>
          <w:szCs w:val="22"/>
          <w:lang w:val="fr-FR"/>
        </w:rPr>
        <w:t>qu</w:t>
      </w:r>
      <w:r w:rsidR="008E532B">
        <w:rPr>
          <w:rFonts w:ascii="Arial" w:hAnsi="Arial" w:cs="Arial"/>
          <w:bCs/>
          <w:sz w:val="22"/>
          <w:szCs w:val="22"/>
          <w:lang w:val="fr-FR"/>
        </w:rPr>
        <w:t>’</w:t>
      </w:r>
      <w:r w:rsidRPr="00F41617">
        <w:rPr>
          <w:rFonts w:ascii="Arial" w:hAnsi="Arial" w:cs="Arial"/>
          <w:bCs/>
          <w:sz w:val="22"/>
          <w:szCs w:val="22"/>
          <w:lang w:val="fr-FR"/>
        </w:rPr>
        <w:t>utilisé pour les projets de décision. Il a donc invité le Conseiller juridique à donner lecture de la proposition de l</w:t>
      </w:r>
      <w:r w:rsidR="008E532B">
        <w:rPr>
          <w:rFonts w:ascii="Arial" w:hAnsi="Arial" w:cs="Arial"/>
          <w:bCs/>
          <w:sz w:val="22"/>
          <w:szCs w:val="22"/>
          <w:lang w:val="fr-FR"/>
        </w:rPr>
        <w:t>’</w:t>
      </w:r>
      <w:r w:rsidRPr="00F41617">
        <w:rPr>
          <w:rFonts w:ascii="Arial" w:hAnsi="Arial" w:cs="Arial"/>
          <w:bCs/>
          <w:sz w:val="22"/>
          <w:szCs w:val="22"/>
          <w:lang w:val="fr-FR"/>
        </w:rPr>
        <w:t>Arabie saoudite et de la proposition des Pays</w:t>
      </w:r>
      <w:r>
        <w:rPr>
          <w:rFonts w:ascii="Arial" w:hAnsi="Arial" w:cs="Arial"/>
          <w:bCs/>
          <w:sz w:val="22"/>
          <w:szCs w:val="22"/>
          <w:lang w:val="fr-FR"/>
        </w:rPr>
        <w:noBreakHyphen/>
      </w:r>
      <w:r w:rsidRPr="00F41617">
        <w:rPr>
          <w:rFonts w:ascii="Arial" w:hAnsi="Arial" w:cs="Arial"/>
          <w:bCs/>
          <w:sz w:val="22"/>
          <w:szCs w:val="22"/>
          <w:lang w:val="fr-FR"/>
        </w:rPr>
        <w:t>Bas.</w:t>
      </w:r>
    </w:p>
    <w:p w14:paraId="14DE843D" w14:textId="2E6997D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Le </w:t>
      </w:r>
      <w:r w:rsidRPr="00F41617">
        <w:rPr>
          <w:rFonts w:ascii="Arial" w:hAnsi="Arial" w:cs="Arial"/>
          <w:b/>
          <w:sz w:val="22"/>
          <w:szCs w:val="22"/>
          <w:lang w:val="fr-FR"/>
        </w:rPr>
        <w:t>Conseiller juridique</w:t>
      </w:r>
      <w:r>
        <w:rPr>
          <w:rFonts w:ascii="Arial" w:hAnsi="Arial" w:cs="Arial"/>
          <w:bCs/>
          <w:sz w:val="22"/>
          <w:szCs w:val="22"/>
          <w:lang w:val="fr-FR"/>
        </w:rPr>
        <w:t xml:space="preserve"> a confirmé que la </w:t>
      </w:r>
      <w:r w:rsidRPr="00F41617">
        <w:rPr>
          <w:rFonts w:ascii="Arial" w:hAnsi="Arial" w:cs="Arial"/>
          <w:bCs/>
          <w:sz w:val="22"/>
          <w:szCs w:val="22"/>
          <w:lang w:val="fr-FR"/>
        </w:rPr>
        <w:t>proposition</w:t>
      </w:r>
      <w:r>
        <w:rPr>
          <w:rFonts w:ascii="Arial" w:hAnsi="Arial" w:cs="Arial"/>
          <w:bCs/>
          <w:sz w:val="22"/>
          <w:szCs w:val="22"/>
          <w:lang w:val="fr-FR"/>
        </w:rPr>
        <w:t xml:space="preserve"> de l</w:t>
      </w:r>
      <w:r w:rsidR="008E532B">
        <w:rPr>
          <w:rFonts w:ascii="Arial" w:hAnsi="Arial" w:cs="Arial"/>
          <w:bCs/>
          <w:sz w:val="22"/>
          <w:szCs w:val="22"/>
          <w:lang w:val="fr-FR"/>
        </w:rPr>
        <w:t>’</w:t>
      </w:r>
      <w:r>
        <w:rPr>
          <w:rFonts w:ascii="Arial" w:hAnsi="Arial" w:cs="Arial"/>
          <w:bCs/>
          <w:sz w:val="22"/>
          <w:szCs w:val="22"/>
          <w:lang w:val="fr-FR"/>
        </w:rPr>
        <w:t>Arabie saoudite était de supprimer les articles 3.2 et 3.3 et de les remplacer par l</w:t>
      </w:r>
      <w:r w:rsidR="008E532B">
        <w:rPr>
          <w:rFonts w:ascii="Arial" w:hAnsi="Arial" w:cs="Arial"/>
          <w:bCs/>
          <w:sz w:val="22"/>
          <w:szCs w:val="22"/>
          <w:lang w:val="fr-FR"/>
        </w:rPr>
        <w:t>’</w:t>
      </w:r>
      <w:r>
        <w:rPr>
          <w:rFonts w:ascii="Arial" w:hAnsi="Arial" w:cs="Arial"/>
          <w:bCs/>
          <w:sz w:val="22"/>
          <w:szCs w:val="22"/>
          <w:lang w:val="fr-FR"/>
        </w:rPr>
        <w:t>actuel article 2.2.</w:t>
      </w:r>
    </w:p>
    <w:p w14:paraId="3783C44B" w14:textId="253519C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41617">
        <w:rPr>
          <w:rFonts w:ascii="Arial" w:hAnsi="Arial" w:cs="Arial"/>
          <w:bCs/>
          <w:sz w:val="22"/>
          <w:szCs w:val="22"/>
          <w:lang w:val="fr-FR"/>
        </w:rPr>
        <w:t>La délégation de l</w:t>
      </w:r>
      <w:r w:rsidR="008E532B">
        <w:rPr>
          <w:rFonts w:ascii="Arial" w:hAnsi="Arial" w:cs="Arial"/>
          <w:bCs/>
          <w:sz w:val="22"/>
          <w:szCs w:val="22"/>
          <w:lang w:val="fr-FR"/>
        </w:rPr>
        <w:t>’</w:t>
      </w:r>
      <w:r w:rsidRPr="00F41617">
        <w:rPr>
          <w:rFonts w:ascii="Arial" w:hAnsi="Arial" w:cs="Arial"/>
          <w:b/>
          <w:sz w:val="22"/>
          <w:szCs w:val="22"/>
          <w:lang w:val="fr-FR"/>
        </w:rPr>
        <w:t xml:space="preserve">Arabie saoudite </w:t>
      </w:r>
      <w:r w:rsidRPr="00F41617">
        <w:rPr>
          <w:rFonts w:ascii="Arial" w:hAnsi="Arial" w:cs="Arial"/>
          <w:bCs/>
          <w:sz w:val="22"/>
          <w:szCs w:val="22"/>
          <w:lang w:val="fr-FR"/>
        </w:rPr>
        <w:t>compr</w:t>
      </w:r>
      <w:r>
        <w:rPr>
          <w:rFonts w:ascii="Arial" w:hAnsi="Arial" w:cs="Arial"/>
          <w:bCs/>
          <w:sz w:val="22"/>
          <w:szCs w:val="22"/>
          <w:lang w:val="fr-FR"/>
        </w:rPr>
        <w:t>enait</w:t>
      </w:r>
      <w:r w:rsidRPr="00F41617">
        <w:rPr>
          <w:rFonts w:ascii="Arial" w:hAnsi="Arial" w:cs="Arial"/>
          <w:bCs/>
          <w:sz w:val="22"/>
          <w:szCs w:val="22"/>
          <w:lang w:val="fr-FR"/>
        </w:rPr>
        <w:t>, d</w:t>
      </w:r>
      <w:r w:rsidR="008E532B">
        <w:rPr>
          <w:rFonts w:ascii="Arial" w:hAnsi="Arial" w:cs="Arial"/>
          <w:bCs/>
          <w:sz w:val="22"/>
          <w:szCs w:val="22"/>
          <w:lang w:val="fr-FR"/>
        </w:rPr>
        <w:t>’</w:t>
      </w:r>
      <w:r w:rsidRPr="00F41617">
        <w:rPr>
          <w:rFonts w:ascii="Arial" w:hAnsi="Arial" w:cs="Arial"/>
          <w:bCs/>
          <w:sz w:val="22"/>
          <w:szCs w:val="22"/>
          <w:lang w:val="fr-FR"/>
        </w:rPr>
        <w:t xml:space="preserve">après les remarques </w:t>
      </w:r>
      <w:r>
        <w:rPr>
          <w:rFonts w:ascii="Arial" w:hAnsi="Arial" w:cs="Arial"/>
          <w:bCs/>
          <w:sz w:val="22"/>
          <w:szCs w:val="22"/>
          <w:lang w:val="fr-FR"/>
        </w:rPr>
        <w:t xml:space="preserve">formulées </w:t>
      </w:r>
      <w:r w:rsidRPr="00F41617">
        <w:rPr>
          <w:rFonts w:ascii="Arial" w:hAnsi="Arial" w:cs="Arial"/>
          <w:bCs/>
          <w:sz w:val="22"/>
          <w:szCs w:val="22"/>
          <w:lang w:val="fr-FR"/>
        </w:rPr>
        <w:t>dans la salle, que l</w:t>
      </w:r>
      <w:r w:rsidR="008E532B">
        <w:rPr>
          <w:rFonts w:ascii="Arial" w:hAnsi="Arial" w:cs="Arial"/>
          <w:bCs/>
          <w:sz w:val="22"/>
          <w:szCs w:val="22"/>
          <w:lang w:val="fr-FR"/>
        </w:rPr>
        <w:t>’</w:t>
      </w:r>
      <w:r w:rsidRPr="00F41617">
        <w:rPr>
          <w:rFonts w:ascii="Arial" w:hAnsi="Arial" w:cs="Arial"/>
          <w:bCs/>
          <w:sz w:val="22"/>
          <w:szCs w:val="22"/>
          <w:lang w:val="fr-FR"/>
        </w:rPr>
        <w:t>article 3.2 pouvait rester sans être barré et refléter ainsi l</w:t>
      </w:r>
      <w:r w:rsidR="008E532B">
        <w:rPr>
          <w:rFonts w:ascii="Arial" w:hAnsi="Arial" w:cs="Arial"/>
          <w:bCs/>
          <w:sz w:val="22"/>
          <w:szCs w:val="22"/>
          <w:lang w:val="fr-FR"/>
        </w:rPr>
        <w:t>’</w:t>
      </w:r>
      <w:r w:rsidRPr="00F41617">
        <w:rPr>
          <w:rFonts w:ascii="Arial" w:hAnsi="Arial" w:cs="Arial"/>
          <w:bCs/>
          <w:sz w:val="22"/>
          <w:szCs w:val="22"/>
          <w:lang w:val="fr-FR"/>
        </w:rPr>
        <w:t>article 2.2, mais avec le remplacement de l</w:t>
      </w:r>
      <w:r w:rsidR="008E532B">
        <w:rPr>
          <w:rFonts w:ascii="Arial" w:hAnsi="Arial" w:cs="Arial"/>
          <w:bCs/>
          <w:sz w:val="22"/>
          <w:szCs w:val="22"/>
          <w:lang w:val="fr-FR"/>
        </w:rPr>
        <w:t>’</w:t>
      </w:r>
      <w:r w:rsidRPr="00F41617">
        <w:rPr>
          <w:rFonts w:ascii="Arial" w:hAnsi="Arial" w:cs="Arial"/>
          <w:bCs/>
          <w:sz w:val="22"/>
          <w:szCs w:val="22"/>
          <w:lang w:val="fr-FR"/>
        </w:rPr>
        <w:t>article 16.3 à la place de l</w:t>
      </w:r>
      <w:r w:rsidR="008E532B">
        <w:rPr>
          <w:rFonts w:ascii="Arial" w:hAnsi="Arial" w:cs="Arial"/>
          <w:bCs/>
          <w:sz w:val="22"/>
          <w:szCs w:val="22"/>
          <w:lang w:val="fr-FR"/>
        </w:rPr>
        <w:t>’</w:t>
      </w:r>
      <w:r w:rsidRPr="00F41617">
        <w:rPr>
          <w:rFonts w:ascii="Arial" w:hAnsi="Arial" w:cs="Arial"/>
          <w:bCs/>
          <w:sz w:val="22"/>
          <w:szCs w:val="22"/>
          <w:lang w:val="fr-FR"/>
        </w:rPr>
        <w:t>article 7.3.</w:t>
      </w:r>
    </w:p>
    <w:p w14:paraId="550E4A8F" w14:textId="6CEBC343" w:rsidR="00D9653F" w:rsidRPr="00F41617"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41617">
        <w:rPr>
          <w:rFonts w:ascii="Arial" w:hAnsi="Arial" w:cs="Arial"/>
          <w:bCs/>
          <w:sz w:val="22"/>
          <w:szCs w:val="22"/>
          <w:lang w:val="fr-FR"/>
        </w:rPr>
        <w:t xml:space="preserve">Le </w:t>
      </w:r>
      <w:r w:rsidRPr="00F41617">
        <w:rPr>
          <w:rFonts w:ascii="Arial" w:hAnsi="Arial" w:cs="Arial"/>
          <w:b/>
          <w:sz w:val="22"/>
          <w:szCs w:val="22"/>
          <w:lang w:val="fr-FR"/>
        </w:rPr>
        <w:t>Conseiller juridique</w:t>
      </w:r>
      <w:r w:rsidRPr="00F41617">
        <w:rPr>
          <w:rFonts w:ascii="Arial" w:hAnsi="Arial" w:cs="Arial"/>
          <w:bCs/>
          <w:sz w:val="22"/>
          <w:szCs w:val="22"/>
          <w:lang w:val="fr-FR"/>
        </w:rPr>
        <w:t xml:space="preserve"> compr</w:t>
      </w:r>
      <w:r>
        <w:rPr>
          <w:rFonts w:ascii="Arial" w:hAnsi="Arial" w:cs="Arial"/>
          <w:bCs/>
          <w:sz w:val="22"/>
          <w:szCs w:val="22"/>
          <w:lang w:val="fr-FR"/>
        </w:rPr>
        <w:t>enait</w:t>
      </w:r>
      <w:r w:rsidRPr="00F41617">
        <w:rPr>
          <w:rFonts w:ascii="Arial" w:hAnsi="Arial" w:cs="Arial"/>
          <w:bCs/>
          <w:sz w:val="22"/>
          <w:szCs w:val="22"/>
          <w:lang w:val="fr-FR"/>
        </w:rPr>
        <w:t xml:space="preserve"> que l</w:t>
      </w:r>
      <w:r w:rsidR="008E532B">
        <w:rPr>
          <w:rFonts w:ascii="Arial" w:hAnsi="Arial" w:cs="Arial"/>
          <w:bCs/>
          <w:sz w:val="22"/>
          <w:szCs w:val="22"/>
          <w:lang w:val="fr-FR"/>
        </w:rPr>
        <w:t>’</w:t>
      </w:r>
      <w:r w:rsidRPr="00F41617">
        <w:rPr>
          <w:rFonts w:ascii="Arial" w:hAnsi="Arial" w:cs="Arial"/>
          <w:bCs/>
          <w:sz w:val="22"/>
          <w:szCs w:val="22"/>
          <w:lang w:val="fr-FR"/>
        </w:rPr>
        <w:t>article 3.2 reprendrait l</w:t>
      </w:r>
      <w:r w:rsidR="008E532B">
        <w:rPr>
          <w:rFonts w:ascii="Arial" w:hAnsi="Arial" w:cs="Arial"/>
          <w:bCs/>
          <w:sz w:val="22"/>
          <w:szCs w:val="22"/>
          <w:lang w:val="fr-FR"/>
        </w:rPr>
        <w:t>’</w:t>
      </w:r>
      <w:r w:rsidRPr="00F41617">
        <w:rPr>
          <w:rFonts w:ascii="Arial" w:hAnsi="Arial" w:cs="Arial"/>
          <w:bCs/>
          <w:sz w:val="22"/>
          <w:szCs w:val="22"/>
          <w:lang w:val="fr-FR"/>
        </w:rPr>
        <w:t>actuel article 2.2, à l</w:t>
      </w:r>
      <w:r w:rsidR="008E532B">
        <w:rPr>
          <w:rFonts w:ascii="Arial" w:hAnsi="Arial" w:cs="Arial"/>
          <w:bCs/>
          <w:sz w:val="22"/>
          <w:szCs w:val="22"/>
          <w:lang w:val="fr-FR"/>
        </w:rPr>
        <w:t>’</w:t>
      </w:r>
      <w:r w:rsidRPr="00F41617">
        <w:rPr>
          <w:rFonts w:ascii="Arial" w:hAnsi="Arial" w:cs="Arial"/>
          <w:bCs/>
          <w:sz w:val="22"/>
          <w:szCs w:val="22"/>
          <w:lang w:val="fr-FR"/>
        </w:rPr>
        <w:t>exception de l</w:t>
      </w:r>
      <w:r w:rsidR="008E532B">
        <w:rPr>
          <w:rFonts w:ascii="Arial" w:hAnsi="Arial" w:cs="Arial"/>
          <w:bCs/>
          <w:sz w:val="22"/>
          <w:szCs w:val="22"/>
          <w:lang w:val="fr-FR"/>
        </w:rPr>
        <w:t>’</w:t>
      </w:r>
      <w:r w:rsidRPr="00F41617">
        <w:rPr>
          <w:rFonts w:ascii="Arial" w:hAnsi="Arial" w:cs="Arial"/>
          <w:bCs/>
          <w:sz w:val="22"/>
          <w:szCs w:val="22"/>
          <w:lang w:val="fr-FR"/>
        </w:rPr>
        <w:t>ajout de l</w:t>
      </w:r>
      <w:r w:rsidR="008E532B">
        <w:rPr>
          <w:rFonts w:ascii="Arial" w:hAnsi="Arial" w:cs="Arial"/>
          <w:bCs/>
          <w:sz w:val="22"/>
          <w:szCs w:val="22"/>
          <w:lang w:val="fr-FR"/>
        </w:rPr>
        <w:t>’</w:t>
      </w:r>
      <w:r w:rsidRPr="00F41617">
        <w:rPr>
          <w:rFonts w:ascii="Arial" w:hAnsi="Arial" w:cs="Arial"/>
          <w:bCs/>
          <w:sz w:val="22"/>
          <w:szCs w:val="22"/>
          <w:lang w:val="fr-FR"/>
        </w:rPr>
        <w:t>article 16.3, qui refl</w:t>
      </w:r>
      <w:r>
        <w:rPr>
          <w:rFonts w:ascii="Arial" w:hAnsi="Arial" w:cs="Arial"/>
          <w:bCs/>
          <w:sz w:val="22"/>
          <w:szCs w:val="22"/>
          <w:lang w:val="fr-FR"/>
        </w:rPr>
        <w:t>était</w:t>
      </w:r>
      <w:r w:rsidRPr="00F41617">
        <w:rPr>
          <w:rFonts w:ascii="Arial" w:hAnsi="Arial" w:cs="Arial"/>
          <w:bCs/>
          <w:sz w:val="22"/>
          <w:szCs w:val="22"/>
          <w:lang w:val="fr-FR"/>
        </w:rPr>
        <w:t xml:space="preserve"> un changement dans la numérotation des articles et ne constitu</w:t>
      </w:r>
      <w:r>
        <w:rPr>
          <w:rFonts w:ascii="Arial" w:hAnsi="Arial" w:cs="Arial"/>
          <w:bCs/>
          <w:sz w:val="22"/>
          <w:szCs w:val="22"/>
          <w:lang w:val="fr-FR"/>
        </w:rPr>
        <w:t>ait</w:t>
      </w:r>
      <w:r w:rsidRPr="00F41617">
        <w:rPr>
          <w:rFonts w:ascii="Arial" w:hAnsi="Arial" w:cs="Arial"/>
          <w:bCs/>
          <w:sz w:val="22"/>
          <w:szCs w:val="22"/>
          <w:lang w:val="fr-FR"/>
        </w:rPr>
        <w:t xml:space="preserve"> pas une modification de fond. L</w:t>
      </w:r>
      <w:r w:rsidR="008E532B">
        <w:rPr>
          <w:rFonts w:ascii="Arial" w:hAnsi="Arial" w:cs="Arial"/>
          <w:bCs/>
          <w:sz w:val="22"/>
          <w:szCs w:val="22"/>
          <w:lang w:val="fr-FR"/>
        </w:rPr>
        <w:t>’</w:t>
      </w:r>
      <w:r w:rsidRPr="00F41617">
        <w:rPr>
          <w:rFonts w:ascii="Arial" w:hAnsi="Arial" w:cs="Arial"/>
          <w:bCs/>
          <w:sz w:val="22"/>
          <w:szCs w:val="22"/>
          <w:lang w:val="fr-FR"/>
        </w:rPr>
        <w:t xml:space="preserve">article 3.2 serait donc </w:t>
      </w:r>
      <w:r>
        <w:rPr>
          <w:rFonts w:ascii="Arial" w:hAnsi="Arial" w:cs="Arial"/>
          <w:bCs/>
          <w:sz w:val="22"/>
          <w:szCs w:val="22"/>
          <w:lang w:val="fr-FR"/>
        </w:rPr>
        <w:t>ainsi rédigé </w:t>
      </w:r>
      <w:r w:rsidRPr="00F41617">
        <w:rPr>
          <w:rFonts w:ascii="Arial" w:hAnsi="Arial" w:cs="Arial"/>
          <w:bCs/>
          <w:sz w:val="22"/>
          <w:szCs w:val="22"/>
          <w:lang w:val="fr-FR"/>
        </w:rPr>
        <w:t xml:space="preserve">: </w:t>
      </w:r>
      <w:r>
        <w:rPr>
          <w:rFonts w:ascii="Arial" w:hAnsi="Arial" w:cs="Arial"/>
          <w:bCs/>
          <w:sz w:val="22"/>
          <w:szCs w:val="22"/>
          <w:lang w:val="fr-FR"/>
        </w:rPr>
        <w:t>« </w:t>
      </w:r>
      <w:r w:rsidRPr="00F41617">
        <w:rPr>
          <w:rFonts w:ascii="Arial" w:hAnsi="Arial" w:cs="Arial"/>
          <w:bCs/>
          <w:sz w:val="22"/>
          <w:szCs w:val="22"/>
          <w:lang w:val="fr-FR"/>
        </w:rPr>
        <w:t>Les représentants de l</w:t>
      </w:r>
      <w:r w:rsidR="008E532B">
        <w:rPr>
          <w:rFonts w:ascii="Arial" w:hAnsi="Arial" w:cs="Arial"/>
          <w:bCs/>
          <w:sz w:val="22"/>
          <w:szCs w:val="22"/>
          <w:lang w:val="fr-FR"/>
        </w:rPr>
        <w:t>’</w:t>
      </w:r>
      <w:r w:rsidRPr="00F41617">
        <w:rPr>
          <w:rFonts w:ascii="Arial" w:hAnsi="Arial" w:cs="Arial"/>
          <w:bCs/>
          <w:sz w:val="22"/>
          <w:szCs w:val="22"/>
          <w:lang w:val="fr-FR"/>
        </w:rPr>
        <w:t>Organisation des Nations Unies</w:t>
      </w:r>
      <w:r>
        <w:rPr>
          <w:rFonts w:ascii="Arial" w:hAnsi="Arial" w:cs="Arial"/>
          <w:bCs/>
          <w:sz w:val="22"/>
          <w:szCs w:val="22"/>
          <w:lang w:val="fr-FR"/>
        </w:rPr>
        <w:t xml:space="preserve"> et </w:t>
      </w:r>
      <w:r w:rsidRPr="00F41617">
        <w:rPr>
          <w:rFonts w:ascii="Arial" w:hAnsi="Arial" w:cs="Arial"/>
          <w:bCs/>
          <w:sz w:val="22"/>
          <w:szCs w:val="22"/>
          <w:lang w:val="fr-FR"/>
        </w:rPr>
        <w:t xml:space="preserve">des organisations du système des Nations Unies et autres organisations intergouvernementales </w:t>
      </w:r>
      <w:r>
        <w:rPr>
          <w:rFonts w:ascii="Arial" w:hAnsi="Arial" w:cs="Arial"/>
          <w:bCs/>
          <w:sz w:val="22"/>
          <w:szCs w:val="22"/>
          <w:lang w:val="fr-FR"/>
        </w:rPr>
        <w:t>avec lesquelles l</w:t>
      </w:r>
      <w:r w:rsidR="008E532B">
        <w:rPr>
          <w:rFonts w:ascii="Arial" w:hAnsi="Arial" w:cs="Arial"/>
          <w:bCs/>
          <w:sz w:val="22"/>
          <w:szCs w:val="22"/>
          <w:lang w:val="fr-FR"/>
        </w:rPr>
        <w:t>’</w:t>
      </w:r>
      <w:r>
        <w:rPr>
          <w:rFonts w:ascii="Arial" w:hAnsi="Arial" w:cs="Arial"/>
          <w:bCs/>
          <w:sz w:val="22"/>
          <w:szCs w:val="22"/>
          <w:lang w:val="fr-FR"/>
        </w:rPr>
        <w:t xml:space="preserve">UNESCO a </w:t>
      </w:r>
      <w:r w:rsidRPr="00F41617">
        <w:rPr>
          <w:rFonts w:ascii="Arial" w:hAnsi="Arial" w:cs="Arial"/>
          <w:bCs/>
          <w:sz w:val="22"/>
          <w:szCs w:val="22"/>
          <w:lang w:val="fr-FR"/>
        </w:rPr>
        <w:t xml:space="preserve">conclu un accord de représentation réciproque, ainsi que les observateurs des organisations intergouvernementales et internationales non gouvernementales invités par </w:t>
      </w:r>
      <w:r>
        <w:rPr>
          <w:rFonts w:ascii="Arial" w:hAnsi="Arial" w:cs="Arial"/>
          <w:bCs/>
          <w:sz w:val="22"/>
          <w:szCs w:val="22"/>
          <w:lang w:val="fr-FR"/>
        </w:rPr>
        <w:t xml:space="preserve">le/la Directeur/Directrice général(e) </w:t>
      </w:r>
      <w:r w:rsidRPr="00F41617">
        <w:rPr>
          <w:rFonts w:ascii="Arial" w:hAnsi="Arial" w:cs="Arial"/>
          <w:bCs/>
          <w:sz w:val="22"/>
          <w:szCs w:val="22"/>
          <w:lang w:val="fr-FR"/>
        </w:rPr>
        <w:t>peuvent participer aux travaux de l</w:t>
      </w:r>
      <w:r w:rsidR="008E532B">
        <w:rPr>
          <w:rFonts w:ascii="Arial" w:hAnsi="Arial" w:cs="Arial"/>
          <w:bCs/>
          <w:sz w:val="22"/>
          <w:szCs w:val="22"/>
          <w:lang w:val="fr-FR"/>
        </w:rPr>
        <w:t>’</w:t>
      </w:r>
      <w:r w:rsidRPr="00F41617">
        <w:rPr>
          <w:rFonts w:ascii="Arial" w:hAnsi="Arial" w:cs="Arial"/>
          <w:bCs/>
          <w:sz w:val="22"/>
          <w:szCs w:val="22"/>
          <w:lang w:val="fr-FR"/>
        </w:rPr>
        <w:t>Assemblée</w:t>
      </w:r>
      <w:r>
        <w:rPr>
          <w:rFonts w:ascii="Arial" w:hAnsi="Arial" w:cs="Arial"/>
          <w:bCs/>
          <w:sz w:val="22"/>
          <w:szCs w:val="22"/>
          <w:lang w:val="fr-FR"/>
        </w:rPr>
        <w:t>,</w:t>
      </w:r>
      <w:r w:rsidRPr="00F41617">
        <w:rPr>
          <w:rFonts w:ascii="Arial" w:hAnsi="Arial" w:cs="Arial"/>
          <w:bCs/>
          <w:sz w:val="22"/>
          <w:szCs w:val="22"/>
          <w:lang w:val="fr-FR"/>
        </w:rPr>
        <w:t xml:space="preserve"> sans droit de vote et sous réserve de</w:t>
      </w:r>
      <w:r>
        <w:rPr>
          <w:rFonts w:ascii="Arial" w:hAnsi="Arial" w:cs="Arial"/>
          <w:bCs/>
          <w:sz w:val="22"/>
          <w:szCs w:val="22"/>
          <w:lang w:val="fr-FR"/>
        </w:rPr>
        <w:t xml:space="preserve">s </w:t>
      </w:r>
      <w:r w:rsidRPr="00F41617">
        <w:rPr>
          <w:rFonts w:ascii="Arial" w:hAnsi="Arial" w:cs="Arial"/>
          <w:bCs/>
          <w:sz w:val="22"/>
          <w:szCs w:val="22"/>
          <w:lang w:val="fr-FR"/>
        </w:rPr>
        <w:t>dispositio</w:t>
      </w:r>
      <w:r>
        <w:rPr>
          <w:rFonts w:ascii="Arial" w:hAnsi="Arial" w:cs="Arial"/>
          <w:bCs/>
          <w:sz w:val="22"/>
          <w:szCs w:val="22"/>
          <w:lang w:val="fr-FR"/>
        </w:rPr>
        <w:t>ns de</w:t>
      </w:r>
      <w:r w:rsidRPr="00F41617">
        <w:rPr>
          <w:rFonts w:ascii="Arial" w:hAnsi="Arial" w:cs="Arial"/>
          <w:bCs/>
          <w:sz w:val="22"/>
          <w:szCs w:val="22"/>
          <w:lang w:val="fr-FR"/>
        </w:rPr>
        <w:t xml:space="preserve"> l</w:t>
      </w:r>
      <w:r w:rsidR="008E532B">
        <w:rPr>
          <w:rFonts w:ascii="Arial" w:hAnsi="Arial" w:cs="Arial"/>
          <w:bCs/>
          <w:sz w:val="22"/>
          <w:szCs w:val="22"/>
          <w:lang w:val="fr-FR"/>
        </w:rPr>
        <w:t>’</w:t>
      </w:r>
      <w:r w:rsidRPr="00F41617">
        <w:rPr>
          <w:rFonts w:ascii="Arial" w:hAnsi="Arial" w:cs="Arial"/>
          <w:bCs/>
          <w:sz w:val="22"/>
          <w:szCs w:val="22"/>
          <w:lang w:val="fr-FR"/>
        </w:rPr>
        <w:t>article 16.3.</w:t>
      </w:r>
      <w:r>
        <w:rPr>
          <w:rFonts w:ascii="Arial" w:hAnsi="Arial" w:cs="Arial"/>
          <w:bCs/>
          <w:sz w:val="22"/>
          <w:szCs w:val="22"/>
          <w:lang w:val="fr-FR"/>
        </w:rPr>
        <w:t> »</w:t>
      </w:r>
      <w:r w:rsidRPr="00F41617">
        <w:rPr>
          <w:rFonts w:ascii="Arial" w:hAnsi="Arial" w:cs="Arial"/>
          <w:bCs/>
          <w:sz w:val="22"/>
          <w:szCs w:val="22"/>
          <w:lang w:val="fr-FR"/>
        </w:rPr>
        <w:t xml:space="preserve"> L</w:t>
      </w:r>
      <w:r w:rsidR="008E532B">
        <w:rPr>
          <w:rFonts w:ascii="Arial" w:hAnsi="Arial" w:cs="Arial"/>
          <w:bCs/>
          <w:sz w:val="22"/>
          <w:szCs w:val="22"/>
          <w:lang w:val="fr-FR"/>
        </w:rPr>
        <w:t>’</w:t>
      </w:r>
      <w:r w:rsidRPr="00F41617">
        <w:rPr>
          <w:rFonts w:ascii="Arial" w:hAnsi="Arial" w:cs="Arial"/>
          <w:bCs/>
          <w:sz w:val="22"/>
          <w:szCs w:val="22"/>
          <w:lang w:val="fr-FR"/>
        </w:rPr>
        <w:t>article 3.3 serait alors supprimé. Il s</w:t>
      </w:r>
      <w:r w:rsidR="008E532B">
        <w:rPr>
          <w:rFonts w:ascii="Arial" w:hAnsi="Arial" w:cs="Arial"/>
          <w:bCs/>
          <w:sz w:val="22"/>
          <w:szCs w:val="22"/>
          <w:lang w:val="fr-FR"/>
        </w:rPr>
        <w:t>’</w:t>
      </w:r>
      <w:r w:rsidRPr="00F41617">
        <w:rPr>
          <w:rFonts w:ascii="Arial" w:hAnsi="Arial" w:cs="Arial"/>
          <w:bCs/>
          <w:sz w:val="22"/>
          <w:szCs w:val="22"/>
          <w:lang w:val="fr-FR"/>
        </w:rPr>
        <w:t>agi</w:t>
      </w:r>
      <w:r>
        <w:rPr>
          <w:rFonts w:ascii="Arial" w:hAnsi="Arial" w:cs="Arial"/>
          <w:bCs/>
          <w:sz w:val="22"/>
          <w:szCs w:val="22"/>
          <w:lang w:val="fr-FR"/>
        </w:rPr>
        <w:t>ssai</w:t>
      </w:r>
      <w:r w:rsidRPr="00F41617">
        <w:rPr>
          <w:rFonts w:ascii="Arial" w:hAnsi="Arial" w:cs="Arial"/>
          <w:bCs/>
          <w:sz w:val="22"/>
          <w:szCs w:val="22"/>
          <w:lang w:val="fr-FR"/>
        </w:rPr>
        <w:t>t de la première proposition soutenue par un certain nombre d</w:t>
      </w:r>
      <w:r w:rsidR="008E532B">
        <w:rPr>
          <w:rFonts w:ascii="Arial" w:hAnsi="Arial" w:cs="Arial"/>
          <w:bCs/>
          <w:sz w:val="22"/>
          <w:szCs w:val="22"/>
          <w:lang w:val="fr-FR"/>
        </w:rPr>
        <w:t>’</w:t>
      </w:r>
      <w:r w:rsidRPr="00F41617">
        <w:rPr>
          <w:rFonts w:ascii="Arial" w:hAnsi="Arial" w:cs="Arial"/>
          <w:bCs/>
          <w:sz w:val="22"/>
          <w:szCs w:val="22"/>
          <w:lang w:val="fr-FR"/>
        </w:rPr>
        <w:t>États parties. Il y a</w:t>
      </w:r>
      <w:r>
        <w:rPr>
          <w:rFonts w:ascii="Arial" w:hAnsi="Arial" w:cs="Arial"/>
          <w:bCs/>
          <w:sz w:val="22"/>
          <w:szCs w:val="22"/>
          <w:lang w:val="fr-FR"/>
        </w:rPr>
        <w:t>vait</w:t>
      </w:r>
      <w:r w:rsidRPr="00F41617">
        <w:rPr>
          <w:rFonts w:ascii="Arial" w:hAnsi="Arial" w:cs="Arial"/>
          <w:bCs/>
          <w:sz w:val="22"/>
          <w:szCs w:val="22"/>
          <w:lang w:val="fr-FR"/>
        </w:rPr>
        <w:t xml:space="preserve"> deux autres propositions. La première proposition des Pays</w:t>
      </w:r>
      <w:r>
        <w:rPr>
          <w:rFonts w:ascii="Arial" w:hAnsi="Arial" w:cs="Arial"/>
          <w:bCs/>
          <w:sz w:val="22"/>
          <w:szCs w:val="22"/>
          <w:lang w:val="fr-FR"/>
        </w:rPr>
        <w:noBreakHyphen/>
      </w:r>
      <w:r w:rsidRPr="00F41617">
        <w:rPr>
          <w:rFonts w:ascii="Arial" w:hAnsi="Arial" w:cs="Arial"/>
          <w:bCs/>
          <w:sz w:val="22"/>
          <w:szCs w:val="22"/>
          <w:lang w:val="fr-FR"/>
        </w:rPr>
        <w:t>Bas consist</w:t>
      </w:r>
      <w:r>
        <w:rPr>
          <w:rFonts w:ascii="Arial" w:hAnsi="Arial" w:cs="Arial"/>
          <w:bCs/>
          <w:sz w:val="22"/>
          <w:szCs w:val="22"/>
          <w:lang w:val="fr-FR"/>
        </w:rPr>
        <w:t>ait</w:t>
      </w:r>
      <w:r w:rsidRPr="00F41617">
        <w:rPr>
          <w:rFonts w:ascii="Arial" w:hAnsi="Arial" w:cs="Arial"/>
          <w:bCs/>
          <w:sz w:val="22"/>
          <w:szCs w:val="22"/>
          <w:lang w:val="fr-FR"/>
        </w:rPr>
        <w:t xml:space="preserve"> à ajouter </w:t>
      </w:r>
      <w:r>
        <w:rPr>
          <w:rFonts w:ascii="Arial" w:hAnsi="Arial" w:cs="Arial"/>
          <w:bCs/>
          <w:sz w:val="22"/>
          <w:szCs w:val="22"/>
          <w:lang w:val="fr-FR"/>
        </w:rPr>
        <w:t>« </w:t>
      </w:r>
      <w:r w:rsidRPr="00F41617">
        <w:rPr>
          <w:rFonts w:ascii="Arial" w:hAnsi="Arial" w:cs="Arial"/>
          <w:bCs/>
          <w:sz w:val="22"/>
          <w:szCs w:val="22"/>
          <w:lang w:val="fr-FR"/>
        </w:rPr>
        <w:t xml:space="preserve">en </w:t>
      </w:r>
      <w:r>
        <w:rPr>
          <w:rFonts w:ascii="Arial" w:hAnsi="Arial" w:cs="Arial"/>
          <w:bCs/>
          <w:sz w:val="22"/>
          <w:szCs w:val="22"/>
          <w:lang w:val="fr-FR"/>
        </w:rPr>
        <w:t>qualité</w:t>
      </w:r>
      <w:r w:rsidRPr="00F41617">
        <w:rPr>
          <w:rFonts w:ascii="Arial" w:hAnsi="Arial" w:cs="Arial"/>
          <w:bCs/>
          <w:sz w:val="22"/>
          <w:szCs w:val="22"/>
          <w:lang w:val="fr-FR"/>
        </w:rPr>
        <w:t xml:space="preserve"> qu</w:t>
      </w:r>
      <w:r w:rsidR="008E532B">
        <w:rPr>
          <w:rFonts w:ascii="Arial" w:hAnsi="Arial" w:cs="Arial"/>
          <w:bCs/>
          <w:sz w:val="22"/>
          <w:szCs w:val="22"/>
          <w:lang w:val="fr-FR"/>
        </w:rPr>
        <w:t>’</w:t>
      </w:r>
      <w:r w:rsidRPr="00F41617">
        <w:rPr>
          <w:rFonts w:ascii="Arial" w:hAnsi="Arial" w:cs="Arial"/>
          <w:bCs/>
          <w:sz w:val="22"/>
          <w:szCs w:val="22"/>
          <w:lang w:val="fr-FR"/>
        </w:rPr>
        <w:t>observateurs</w:t>
      </w:r>
      <w:r>
        <w:rPr>
          <w:rFonts w:ascii="Arial" w:hAnsi="Arial" w:cs="Arial"/>
          <w:bCs/>
          <w:sz w:val="22"/>
          <w:szCs w:val="22"/>
          <w:lang w:val="fr-FR"/>
        </w:rPr>
        <w:t> »</w:t>
      </w:r>
      <w:r w:rsidRPr="00F41617">
        <w:rPr>
          <w:rFonts w:ascii="Arial" w:hAnsi="Arial" w:cs="Arial"/>
          <w:bCs/>
          <w:sz w:val="22"/>
          <w:szCs w:val="22"/>
          <w:lang w:val="fr-FR"/>
        </w:rPr>
        <w:t xml:space="preserve"> après </w:t>
      </w:r>
      <w:r>
        <w:rPr>
          <w:rFonts w:ascii="Arial" w:hAnsi="Arial" w:cs="Arial"/>
          <w:bCs/>
          <w:sz w:val="22"/>
          <w:szCs w:val="22"/>
          <w:lang w:val="fr-FR"/>
        </w:rPr>
        <w:t>« </w:t>
      </w:r>
      <w:r w:rsidRPr="00F41617">
        <w:rPr>
          <w:rFonts w:ascii="Arial" w:hAnsi="Arial" w:cs="Arial"/>
          <w:bCs/>
          <w:sz w:val="22"/>
          <w:szCs w:val="22"/>
          <w:lang w:val="fr-FR"/>
        </w:rPr>
        <w:t>peuvent participer</w:t>
      </w:r>
      <w:r>
        <w:rPr>
          <w:rFonts w:ascii="Arial" w:hAnsi="Arial" w:cs="Arial"/>
          <w:bCs/>
          <w:sz w:val="22"/>
          <w:szCs w:val="22"/>
          <w:lang w:val="fr-FR"/>
        </w:rPr>
        <w:t> »</w:t>
      </w:r>
      <w:r w:rsidRPr="00F41617">
        <w:rPr>
          <w:rFonts w:ascii="Arial" w:hAnsi="Arial" w:cs="Arial"/>
          <w:bCs/>
          <w:sz w:val="22"/>
          <w:szCs w:val="22"/>
          <w:lang w:val="fr-FR"/>
        </w:rPr>
        <w:t>. Il s</w:t>
      </w:r>
      <w:r w:rsidR="008E532B">
        <w:rPr>
          <w:rFonts w:ascii="Arial" w:hAnsi="Arial" w:cs="Arial"/>
          <w:bCs/>
          <w:sz w:val="22"/>
          <w:szCs w:val="22"/>
          <w:lang w:val="fr-FR"/>
        </w:rPr>
        <w:t>’</w:t>
      </w:r>
      <w:r w:rsidRPr="00F41617">
        <w:rPr>
          <w:rFonts w:ascii="Arial" w:hAnsi="Arial" w:cs="Arial"/>
          <w:bCs/>
          <w:sz w:val="22"/>
          <w:szCs w:val="22"/>
          <w:lang w:val="fr-FR"/>
        </w:rPr>
        <w:t>agissait d</w:t>
      </w:r>
      <w:r w:rsidR="008E532B">
        <w:rPr>
          <w:rFonts w:ascii="Arial" w:hAnsi="Arial" w:cs="Arial"/>
          <w:bCs/>
          <w:sz w:val="22"/>
          <w:szCs w:val="22"/>
          <w:lang w:val="fr-FR"/>
        </w:rPr>
        <w:t>’</w:t>
      </w:r>
      <w:r w:rsidRPr="00F41617">
        <w:rPr>
          <w:rFonts w:ascii="Arial" w:hAnsi="Arial" w:cs="Arial"/>
          <w:bCs/>
          <w:sz w:val="22"/>
          <w:szCs w:val="22"/>
          <w:lang w:val="fr-FR"/>
        </w:rPr>
        <w:t>une clarification en ce sens que les organisations participeraient aux travaux de l</w:t>
      </w:r>
      <w:r w:rsidR="008E532B">
        <w:rPr>
          <w:rFonts w:ascii="Arial" w:hAnsi="Arial" w:cs="Arial"/>
          <w:bCs/>
          <w:sz w:val="22"/>
          <w:szCs w:val="22"/>
          <w:lang w:val="fr-FR"/>
        </w:rPr>
        <w:t>’</w:t>
      </w:r>
      <w:r w:rsidRPr="00F41617">
        <w:rPr>
          <w:rFonts w:ascii="Arial" w:hAnsi="Arial" w:cs="Arial"/>
          <w:bCs/>
          <w:sz w:val="22"/>
          <w:szCs w:val="22"/>
          <w:lang w:val="fr-FR"/>
        </w:rPr>
        <w:t xml:space="preserve">Assemblée en </w:t>
      </w:r>
      <w:r>
        <w:rPr>
          <w:rFonts w:ascii="Arial" w:hAnsi="Arial" w:cs="Arial"/>
          <w:bCs/>
          <w:sz w:val="22"/>
          <w:szCs w:val="22"/>
          <w:lang w:val="fr-FR"/>
        </w:rPr>
        <w:t>qualité d</w:t>
      </w:r>
      <w:r w:rsidR="008E532B">
        <w:rPr>
          <w:rFonts w:ascii="Arial" w:hAnsi="Arial" w:cs="Arial"/>
          <w:bCs/>
          <w:sz w:val="22"/>
          <w:szCs w:val="22"/>
          <w:lang w:val="fr-FR"/>
        </w:rPr>
        <w:t>’</w:t>
      </w:r>
      <w:r w:rsidRPr="00F41617">
        <w:rPr>
          <w:rFonts w:ascii="Arial" w:hAnsi="Arial" w:cs="Arial"/>
          <w:bCs/>
          <w:sz w:val="22"/>
          <w:szCs w:val="22"/>
          <w:lang w:val="fr-FR"/>
        </w:rPr>
        <w:t>observateurs. Il a été noté que</w:t>
      </w:r>
      <w:r>
        <w:rPr>
          <w:rFonts w:ascii="Arial" w:hAnsi="Arial" w:cs="Arial"/>
          <w:bCs/>
          <w:sz w:val="22"/>
          <w:szCs w:val="22"/>
          <w:lang w:val="fr-FR"/>
        </w:rPr>
        <w:t xml:space="preserve"> « </w:t>
      </w:r>
      <w:r w:rsidRPr="008410D2">
        <w:rPr>
          <w:rFonts w:ascii="Arial" w:hAnsi="Arial" w:cs="Arial"/>
          <w:bCs/>
          <w:sz w:val="22"/>
          <w:szCs w:val="22"/>
          <w:lang w:val="fr-FR"/>
        </w:rPr>
        <w:t>observateurs</w:t>
      </w:r>
      <w:r>
        <w:rPr>
          <w:rFonts w:ascii="Arial" w:hAnsi="Arial" w:cs="Arial"/>
          <w:bCs/>
          <w:sz w:val="22"/>
          <w:szCs w:val="22"/>
          <w:lang w:val="fr-FR"/>
        </w:rPr>
        <w:t> »</w:t>
      </w:r>
      <w:r w:rsidRPr="00F41617">
        <w:rPr>
          <w:rFonts w:ascii="Arial" w:hAnsi="Arial" w:cs="Arial"/>
          <w:bCs/>
          <w:sz w:val="22"/>
          <w:szCs w:val="22"/>
          <w:lang w:val="fr-FR"/>
        </w:rPr>
        <w:t xml:space="preserve"> était en fait le titre de l</w:t>
      </w:r>
      <w:r w:rsidR="008E532B">
        <w:rPr>
          <w:rFonts w:ascii="Arial" w:hAnsi="Arial" w:cs="Arial"/>
          <w:bCs/>
          <w:sz w:val="22"/>
          <w:szCs w:val="22"/>
          <w:lang w:val="fr-FR"/>
        </w:rPr>
        <w:t>’</w:t>
      </w:r>
      <w:r w:rsidRPr="00F41617">
        <w:rPr>
          <w:rFonts w:ascii="Arial" w:hAnsi="Arial" w:cs="Arial"/>
          <w:bCs/>
          <w:sz w:val="22"/>
          <w:szCs w:val="22"/>
          <w:lang w:val="fr-FR"/>
        </w:rPr>
        <w:t>article 3 et était donc légèrement redondant mais, néanmoins, il était peut-être bon de le rappeler. L</w:t>
      </w:r>
      <w:r w:rsidR="008E532B">
        <w:rPr>
          <w:rFonts w:ascii="Arial" w:hAnsi="Arial" w:cs="Arial"/>
          <w:bCs/>
          <w:sz w:val="22"/>
          <w:szCs w:val="22"/>
          <w:lang w:val="fr-FR"/>
        </w:rPr>
        <w:t>’</w:t>
      </w:r>
      <w:r w:rsidRPr="00F41617">
        <w:rPr>
          <w:rFonts w:ascii="Arial" w:hAnsi="Arial" w:cs="Arial"/>
          <w:bCs/>
          <w:sz w:val="22"/>
          <w:szCs w:val="22"/>
          <w:lang w:val="fr-FR"/>
        </w:rPr>
        <w:t xml:space="preserve">autre proposition, </w:t>
      </w:r>
      <w:r>
        <w:rPr>
          <w:rFonts w:ascii="Arial" w:hAnsi="Arial" w:cs="Arial"/>
          <w:bCs/>
          <w:sz w:val="22"/>
          <w:szCs w:val="22"/>
          <w:lang w:val="fr-FR"/>
        </w:rPr>
        <w:t>soumise</w:t>
      </w:r>
      <w:r w:rsidRPr="00F41617">
        <w:rPr>
          <w:rFonts w:ascii="Arial" w:hAnsi="Arial" w:cs="Arial"/>
          <w:bCs/>
          <w:sz w:val="22"/>
          <w:szCs w:val="22"/>
          <w:lang w:val="fr-FR"/>
        </w:rPr>
        <w:t xml:space="preserve"> par la Suisse, demand</w:t>
      </w:r>
      <w:r>
        <w:rPr>
          <w:rFonts w:ascii="Arial" w:hAnsi="Arial" w:cs="Arial"/>
          <w:bCs/>
          <w:sz w:val="22"/>
          <w:szCs w:val="22"/>
          <w:lang w:val="fr-FR"/>
        </w:rPr>
        <w:t>ait</w:t>
      </w:r>
      <w:r w:rsidRPr="00F41617">
        <w:rPr>
          <w:rFonts w:ascii="Arial" w:hAnsi="Arial" w:cs="Arial"/>
          <w:bCs/>
          <w:sz w:val="22"/>
          <w:szCs w:val="22"/>
          <w:lang w:val="fr-FR"/>
        </w:rPr>
        <w:t xml:space="preserve"> une certaine flexibilité en ajoutant </w:t>
      </w:r>
      <w:r>
        <w:rPr>
          <w:rFonts w:ascii="Arial" w:hAnsi="Arial" w:cs="Arial"/>
          <w:bCs/>
          <w:sz w:val="22"/>
          <w:szCs w:val="22"/>
          <w:lang w:val="fr-FR"/>
        </w:rPr>
        <w:t>« </w:t>
      </w:r>
      <w:r w:rsidRPr="008410D2">
        <w:rPr>
          <w:rFonts w:ascii="Arial" w:hAnsi="Arial" w:cs="Arial"/>
          <w:bCs/>
          <w:i/>
          <w:iCs/>
          <w:sz w:val="22"/>
          <w:szCs w:val="22"/>
          <w:lang w:val="fr-FR"/>
        </w:rPr>
        <w:t>et</w:t>
      </w:r>
      <w:r>
        <w:rPr>
          <w:rFonts w:ascii="Arial" w:hAnsi="Arial" w:cs="Arial"/>
          <w:bCs/>
          <w:sz w:val="22"/>
          <w:szCs w:val="22"/>
          <w:lang w:val="fr-FR"/>
        </w:rPr>
        <w:t xml:space="preserve"> autres </w:t>
      </w:r>
      <w:r w:rsidRPr="00F41617">
        <w:rPr>
          <w:rFonts w:ascii="Arial" w:hAnsi="Arial" w:cs="Arial"/>
          <w:bCs/>
          <w:sz w:val="22"/>
          <w:szCs w:val="22"/>
          <w:lang w:val="fr-FR"/>
        </w:rPr>
        <w:t>observateurs</w:t>
      </w:r>
      <w:r>
        <w:rPr>
          <w:rFonts w:ascii="Arial" w:hAnsi="Arial" w:cs="Arial"/>
          <w:bCs/>
          <w:sz w:val="22"/>
          <w:szCs w:val="22"/>
          <w:lang w:val="fr-FR"/>
        </w:rPr>
        <w:t> »</w:t>
      </w:r>
      <w:r w:rsidRPr="00F41617">
        <w:rPr>
          <w:rFonts w:ascii="Arial" w:hAnsi="Arial" w:cs="Arial"/>
          <w:bCs/>
          <w:sz w:val="22"/>
          <w:szCs w:val="22"/>
          <w:lang w:val="fr-FR"/>
        </w:rPr>
        <w:t xml:space="preserve"> après </w:t>
      </w:r>
      <w:r>
        <w:rPr>
          <w:rFonts w:ascii="Arial" w:hAnsi="Arial" w:cs="Arial"/>
          <w:bCs/>
          <w:sz w:val="22"/>
          <w:szCs w:val="22"/>
          <w:lang w:val="fr-FR"/>
        </w:rPr>
        <w:t>« </w:t>
      </w:r>
      <w:r w:rsidRPr="00F41617">
        <w:rPr>
          <w:rFonts w:ascii="Arial" w:hAnsi="Arial" w:cs="Arial"/>
          <w:bCs/>
          <w:sz w:val="22"/>
          <w:szCs w:val="22"/>
          <w:lang w:val="fr-FR"/>
        </w:rPr>
        <w:t>ainsi que les observateurs des organisations intergouvernementales et internationales non gouvernementales</w:t>
      </w:r>
      <w:r>
        <w:rPr>
          <w:rFonts w:ascii="Arial" w:hAnsi="Arial" w:cs="Arial"/>
          <w:bCs/>
          <w:sz w:val="22"/>
          <w:szCs w:val="22"/>
          <w:lang w:val="fr-FR"/>
        </w:rPr>
        <w:t> »</w:t>
      </w:r>
      <w:r w:rsidRPr="00F41617">
        <w:rPr>
          <w:rFonts w:ascii="Arial" w:hAnsi="Arial" w:cs="Arial"/>
          <w:bCs/>
          <w:sz w:val="22"/>
          <w:szCs w:val="22"/>
          <w:lang w:val="fr-FR"/>
        </w:rPr>
        <w:t>.</w:t>
      </w:r>
    </w:p>
    <w:p w14:paraId="204F3D92" w14:textId="6DB672C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8410D2">
        <w:rPr>
          <w:rFonts w:ascii="Arial" w:hAnsi="Arial" w:cs="Arial"/>
          <w:b/>
          <w:sz w:val="22"/>
          <w:szCs w:val="22"/>
          <w:lang w:val="fr-FR"/>
        </w:rPr>
        <w:t>Présidente</w:t>
      </w:r>
      <w:r>
        <w:rPr>
          <w:rFonts w:ascii="Arial" w:hAnsi="Arial" w:cs="Arial"/>
          <w:bCs/>
          <w:sz w:val="22"/>
          <w:szCs w:val="22"/>
          <w:lang w:val="fr-FR"/>
        </w:rPr>
        <w:t xml:space="preserve"> a demandé à l</w:t>
      </w:r>
      <w:r w:rsidR="008E532B">
        <w:rPr>
          <w:rFonts w:ascii="Arial" w:hAnsi="Arial" w:cs="Arial"/>
          <w:bCs/>
          <w:sz w:val="22"/>
          <w:szCs w:val="22"/>
          <w:lang w:val="fr-FR"/>
        </w:rPr>
        <w:t>’</w:t>
      </w:r>
      <w:r>
        <w:rPr>
          <w:rFonts w:ascii="Arial" w:hAnsi="Arial" w:cs="Arial"/>
          <w:bCs/>
          <w:sz w:val="22"/>
          <w:szCs w:val="22"/>
          <w:lang w:val="fr-FR"/>
        </w:rPr>
        <w:t xml:space="preserve">Assemblée de réfléchir à la </w:t>
      </w:r>
      <w:r w:rsidRPr="008410D2">
        <w:rPr>
          <w:rFonts w:ascii="Arial" w:hAnsi="Arial" w:cs="Arial"/>
          <w:bCs/>
          <w:sz w:val="22"/>
          <w:szCs w:val="22"/>
          <w:lang w:val="fr-FR"/>
        </w:rPr>
        <w:t>proposition</w:t>
      </w:r>
      <w:r>
        <w:rPr>
          <w:rFonts w:ascii="Arial" w:hAnsi="Arial" w:cs="Arial"/>
          <w:bCs/>
          <w:sz w:val="22"/>
          <w:szCs w:val="22"/>
          <w:lang w:val="fr-FR"/>
        </w:rPr>
        <w:t xml:space="preserve"> d</w:t>
      </w:r>
      <w:r w:rsidR="008E532B">
        <w:rPr>
          <w:rFonts w:ascii="Arial" w:hAnsi="Arial" w:cs="Arial"/>
          <w:bCs/>
          <w:sz w:val="22"/>
          <w:szCs w:val="22"/>
          <w:lang w:val="fr-FR"/>
        </w:rPr>
        <w:t>’</w:t>
      </w:r>
      <w:r>
        <w:rPr>
          <w:rFonts w:ascii="Arial" w:hAnsi="Arial" w:cs="Arial"/>
          <w:bCs/>
          <w:sz w:val="22"/>
          <w:szCs w:val="22"/>
          <w:lang w:val="fr-FR"/>
        </w:rPr>
        <w:t>article 3.2 par les Pays</w:t>
      </w:r>
      <w:r>
        <w:rPr>
          <w:rFonts w:ascii="Arial" w:hAnsi="Arial" w:cs="Arial"/>
          <w:bCs/>
          <w:sz w:val="22"/>
          <w:szCs w:val="22"/>
          <w:lang w:val="fr-FR"/>
        </w:rPr>
        <w:noBreakHyphen/>
        <w:t>Bas.</w:t>
      </w:r>
    </w:p>
    <w:p w14:paraId="1AF9D9EA" w14:textId="1CDE0D0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8410D2">
        <w:rPr>
          <w:rFonts w:ascii="Arial" w:hAnsi="Arial" w:cs="Arial"/>
          <w:bCs/>
          <w:sz w:val="22"/>
          <w:szCs w:val="22"/>
          <w:lang w:val="fr-FR"/>
        </w:rPr>
        <w:t>délégation</w:t>
      </w:r>
      <w:r>
        <w:rPr>
          <w:rFonts w:ascii="Arial" w:hAnsi="Arial" w:cs="Arial"/>
          <w:bCs/>
          <w:sz w:val="22"/>
          <w:szCs w:val="22"/>
          <w:lang w:val="fr-FR"/>
        </w:rPr>
        <w:t xml:space="preserve"> de la </w:t>
      </w:r>
      <w:r w:rsidRPr="008410D2">
        <w:rPr>
          <w:rFonts w:ascii="Arial" w:hAnsi="Arial" w:cs="Arial"/>
          <w:b/>
          <w:sz w:val="22"/>
          <w:szCs w:val="22"/>
          <w:lang w:val="fr-FR"/>
        </w:rPr>
        <w:t>Chine</w:t>
      </w:r>
      <w:r>
        <w:rPr>
          <w:rFonts w:ascii="Arial" w:hAnsi="Arial" w:cs="Arial"/>
          <w:bCs/>
          <w:sz w:val="22"/>
          <w:szCs w:val="22"/>
          <w:lang w:val="fr-FR"/>
        </w:rPr>
        <w:t xml:space="preserve"> trouvait le texte à l</w:t>
      </w:r>
      <w:r w:rsidR="008E532B">
        <w:rPr>
          <w:rFonts w:ascii="Arial" w:hAnsi="Arial" w:cs="Arial"/>
          <w:bCs/>
          <w:sz w:val="22"/>
          <w:szCs w:val="22"/>
          <w:lang w:val="fr-FR"/>
        </w:rPr>
        <w:t>’</w:t>
      </w:r>
      <w:r>
        <w:rPr>
          <w:rFonts w:ascii="Arial" w:hAnsi="Arial" w:cs="Arial"/>
          <w:bCs/>
          <w:sz w:val="22"/>
          <w:szCs w:val="22"/>
          <w:lang w:val="fr-FR"/>
        </w:rPr>
        <w:t xml:space="preserve">écran peu clair. Elle a exprimé son soutien à la </w:t>
      </w:r>
      <w:r w:rsidRPr="008410D2">
        <w:rPr>
          <w:rFonts w:ascii="Arial" w:hAnsi="Arial" w:cs="Arial"/>
          <w:bCs/>
          <w:sz w:val="22"/>
          <w:szCs w:val="22"/>
          <w:lang w:val="fr-FR"/>
        </w:rPr>
        <w:t>proposition</w:t>
      </w:r>
      <w:r>
        <w:rPr>
          <w:rFonts w:ascii="Arial" w:hAnsi="Arial" w:cs="Arial"/>
          <w:bCs/>
          <w:sz w:val="22"/>
          <w:szCs w:val="22"/>
          <w:lang w:val="fr-FR"/>
        </w:rPr>
        <w:t xml:space="preserve"> de l</w:t>
      </w:r>
      <w:r w:rsidR="008E532B">
        <w:rPr>
          <w:rFonts w:ascii="Arial" w:hAnsi="Arial" w:cs="Arial"/>
          <w:bCs/>
          <w:sz w:val="22"/>
          <w:szCs w:val="22"/>
          <w:lang w:val="fr-FR"/>
        </w:rPr>
        <w:t>’</w:t>
      </w:r>
      <w:r>
        <w:rPr>
          <w:rFonts w:ascii="Arial" w:hAnsi="Arial" w:cs="Arial"/>
          <w:bCs/>
          <w:sz w:val="22"/>
          <w:szCs w:val="22"/>
          <w:lang w:val="fr-FR"/>
        </w:rPr>
        <w:t>Arabie saoudite.</w:t>
      </w:r>
    </w:p>
    <w:p w14:paraId="208F9214" w14:textId="76EBDC2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410D2">
        <w:rPr>
          <w:rFonts w:ascii="Arial" w:hAnsi="Arial" w:cs="Arial"/>
          <w:bCs/>
          <w:sz w:val="22"/>
          <w:szCs w:val="22"/>
          <w:lang w:val="fr-FR"/>
        </w:rPr>
        <w:t xml:space="preserve">La délégation du </w:t>
      </w:r>
      <w:r w:rsidRPr="008410D2">
        <w:rPr>
          <w:rFonts w:ascii="Arial" w:hAnsi="Arial" w:cs="Arial"/>
          <w:b/>
          <w:sz w:val="22"/>
          <w:szCs w:val="22"/>
          <w:lang w:val="fr-FR"/>
        </w:rPr>
        <w:t>Portugal</w:t>
      </w:r>
      <w:r w:rsidRPr="008410D2">
        <w:rPr>
          <w:rFonts w:ascii="Arial" w:hAnsi="Arial" w:cs="Arial"/>
          <w:bCs/>
          <w:sz w:val="22"/>
          <w:szCs w:val="22"/>
          <w:lang w:val="fr-FR"/>
        </w:rPr>
        <w:t xml:space="preserve"> a demandé des éclaircissements</w:t>
      </w:r>
      <w:r>
        <w:rPr>
          <w:rFonts w:ascii="Arial" w:hAnsi="Arial" w:cs="Arial"/>
          <w:bCs/>
          <w:sz w:val="22"/>
          <w:szCs w:val="22"/>
          <w:lang w:val="fr-FR"/>
        </w:rPr>
        <w:t>.</w:t>
      </w:r>
      <w:r w:rsidRPr="008410D2">
        <w:rPr>
          <w:rFonts w:ascii="Arial" w:hAnsi="Arial" w:cs="Arial"/>
          <w:bCs/>
          <w:sz w:val="22"/>
          <w:szCs w:val="22"/>
          <w:lang w:val="fr-FR"/>
        </w:rPr>
        <w:t xml:space="preserve"> </w:t>
      </w:r>
      <w:r>
        <w:rPr>
          <w:rFonts w:ascii="Arial" w:hAnsi="Arial" w:cs="Arial"/>
          <w:bCs/>
          <w:sz w:val="22"/>
          <w:szCs w:val="22"/>
          <w:lang w:val="fr-FR"/>
        </w:rPr>
        <w:t>L</w:t>
      </w:r>
      <w:r w:rsidRPr="008410D2">
        <w:rPr>
          <w:rFonts w:ascii="Arial" w:hAnsi="Arial" w:cs="Arial"/>
          <w:bCs/>
          <w:sz w:val="22"/>
          <w:szCs w:val="22"/>
          <w:lang w:val="fr-FR"/>
        </w:rPr>
        <w:t>a proposition de la Suisse d</w:t>
      </w:r>
      <w:r w:rsidR="008E532B">
        <w:rPr>
          <w:rFonts w:ascii="Arial" w:hAnsi="Arial" w:cs="Arial"/>
          <w:bCs/>
          <w:sz w:val="22"/>
          <w:szCs w:val="22"/>
          <w:lang w:val="fr-FR"/>
        </w:rPr>
        <w:t>’</w:t>
      </w:r>
      <w:r w:rsidRPr="008410D2">
        <w:rPr>
          <w:rFonts w:ascii="Arial" w:hAnsi="Arial" w:cs="Arial"/>
          <w:bCs/>
          <w:sz w:val="22"/>
          <w:szCs w:val="22"/>
          <w:lang w:val="fr-FR"/>
        </w:rPr>
        <w:t xml:space="preserve">ajouter </w:t>
      </w:r>
      <w:r>
        <w:rPr>
          <w:rFonts w:ascii="Arial" w:hAnsi="Arial" w:cs="Arial"/>
          <w:bCs/>
          <w:sz w:val="22"/>
          <w:szCs w:val="22"/>
          <w:lang w:val="fr-FR"/>
        </w:rPr>
        <w:t>« </w:t>
      </w:r>
      <w:r w:rsidRPr="008410D2">
        <w:rPr>
          <w:rFonts w:ascii="Arial" w:hAnsi="Arial" w:cs="Arial"/>
          <w:bCs/>
          <w:sz w:val="22"/>
          <w:szCs w:val="22"/>
          <w:lang w:val="fr-FR"/>
        </w:rPr>
        <w:t>et autres observateurs</w:t>
      </w:r>
      <w:r>
        <w:rPr>
          <w:rFonts w:ascii="Arial" w:hAnsi="Arial" w:cs="Arial"/>
          <w:bCs/>
          <w:sz w:val="22"/>
          <w:szCs w:val="22"/>
          <w:lang w:val="fr-FR"/>
        </w:rPr>
        <w:t> »</w:t>
      </w:r>
      <w:r w:rsidRPr="008410D2">
        <w:rPr>
          <w:rFonts w:ascii="Arial" w:hAnsi="Arial" w:cs="Arial"/>
          <w:bCs/>
          <w:sz w:val="22"/>
          <w:szCs w:val="22"/>
          <w:lang w:val="fr-FR"/>
        </w:rPr>
        <w:t xml:space="preserve"> à la fin de l</w:t>
      </w:r>
      <w:r w:rsidR="008E532B">
        <w:rPr>
          <w:rFonts w:ascii="Arial" w:hAnsi="Arial" w:cs="Arial"/>
          <w:bCs/>
          <w:sz w:val="22"/>
          <w:szCs w:val="22"/>
          <w:lang w:val="fr-FR"/>
        </w:rPr>
        <w:t>’</w:t>
      </w:r>
      <w:r w:rsidRPr="008410D2">
        <w:rPr>
          <w:rFonts w:ascii="Arial" w:hAnsi="Arial" w:cs="Arial"/>
          <w:bCs/>
          <w:sz w:val="22"/>
          <w:szCs w:val="22"/>
          <w:lang w:val="fr-FR"/>
        </w:rPr>
        <w:t>avant-dernier paragraphe</w:t>
      </w:r>
      <w:r>
        <w:rPr>
          <w:rFonts w:ascii="Arial" w:hAnsi="Arial" w:cs="Arial"/>
          <w:bCs/>
          <w:sz w:val="22"/>
          <w:szCs w:val="22"/>
          <w:lang w:val="fr-FR"/>
        </w:rPr>
        <w:t xml:space="preserve"> avait-elle été supprimée ?</w:t>
      </w:r>
    </w:p>
    <w:p w14:paraId="3EE3CC07" w14:textId="0926B44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103FA">
        <w:rPr>
          <w:rFonts w:ascii="Arial" w:hAnsi="Arial" w:cs="Arial"/>
          <w:bCs/>
          <w:sz w:val="22"/>
          <w:szCs w:val="22"/>
          <w:lang w:val="fr-FR"/>
        </w:rPr>
        <w:t xml:space="preserve">Le </w:t>
      </w:r>
      <w:r w:rsidRPr="001103FA">
        <w:rPr>
          <w:rFonts w:ascii="Arial" w:hAnsi="Arial" w:cs="Arial"/>
          <w:b/>
          <w:sz w:val="22"/>
          <w:szCs w:val="22"/>
          <w:lang w:val="fr-FR"/>
        </w:rPr>
        <w:t>Conseiller juridique</w:t>
      </w:r>
      <w:r w:rsidRPr="001103FA">
        <w:rPr>
          <w:rFonts w:ascii="Arial" w:hAnsi="Arial" w:cs="Arial"/>
          <w:bCs/>
          <w:sz w:val="22"/>
          <w:szCs w:val="22"/>
          <w:lang w:val="fr-FR"/>
        </w:rPr>
        <w:t xml:space="preserve"> a expliqué que la présentation des propositions à l</w:t>
      </w:r>
      <w:r w:rsidR="008E532B">
        <w:rPr>
          <w:rFonts w:ascii="Arial" w:hAnsi="Arial" w:cs="Arial"/>
          <w:bCs/>
          <w:sz w:val="22"/>
          <w:szCs w:val="22"/>
          <w:lang w:val="fr-FR"/>
        </w:rPr>
        <w:t>’</w:t>
      </w:r>
      <w:r w:rsidRPr="001103FA">
        <w:rPr>
          <w:rFonts w:ascii="Arial" w:hAnsi="Arial" w:cs="Arial"/>
          <w:bCs/>
          <w:sz w:val="22"/>
          <w:szCs w:val="22"/>
          <w:lang w:val="fr-FR"/>
        </w:rPr>
        <w:t>écran reflétait la demande de la Chine d</w:t>
      </w:r>
      <w:r w:rsidR="008E532B">
        <w:rPr>
          <w:rFonts w:ascii="Arial" w:hAnsi="Arial" w:cs="Arial"/>
          <w:bCs/>
          <w:sz w:val="22"/>
          <w:szCs w:val="22"/>
          <w:lang w:val="fr-FR"/>
        </w:rPr>
        <w:t>’</w:t>
      </w:r>
      <w:r w:rsidRPr="001103FA">
        <w:rPr>
          <w:rFonts w:ascii="Arial" w:hAnsi="Arial" w:cs="Arial"/>
          <w:bCs/>
          <w:sz w:val="22"/>
          <w:szCs w:val="22"/>
          <w:lang w:val="fr-FR"/>
        </w:rPr>
        <w:t>avoir une</w:t>
      </w:r>
      <w:r>
        <w:rPr>
          <w:rFonts w:ascii="Arial" w:hAnsi="Arial" w:cs="Arial"/>
          <w:bCs/>
          <w:sz w:val="22"/>
          <w:szCs w:val="22"/>
          <w:lang w:val="fr-FR"/>
        </w:rPr>
        <w:t xml:space="preserve"> vision</w:t>
      </w:r>
      <w:r w:rsidRPr="001103FA">
        <w:rPr>
          <w:rFonts w:ascii="Arial" w:hAnsi="Arial" w:cs="Arial"/>
          <w:bCs/>
          <w:sz w:val="22"/>
          <w:szCs w:val="22"/>
          <w:lang w:val="fr-FR"/>
        </w:rPr>
        <w:t xml:space="preserve"> plus claire des options disponibles à ce stade. L</w:t>
      </w:r>
      <w:r w:rsidR="008E532B">
        <w:rPr>
          <w:rFonts w:ascii="Arial" w:hAnsi="Arial" w:cs="Arial"/>
          <w:bCs/>
          <w:sz w:val="22"/>
          <w:szCs w:val="22"/>
          <w:lang w:val="fr-FR"/>
        </w:rPr>
        <w:t>’</w:t>
      </w:r>
      <w:r w:rsidRPr="001103FA">
        <w:rPr>
          <w:rFonts w:ascii="Arial" w:hAnsi="Arial" w:cs="Arial"/>
          <w:bCs/>
          <w:sz w:val="22"/>
          <w:szCs w:val="22"/>
          <w:lang w:val="fr-FR"/>
        </w:rPr>
        <w:t>option</w:t>
      </w:r>
      <w:r>
        <w:rPr>
          <w:rFonts w:ascii="Arial" w:hAnsi="Arial" w:cs="Arial"/>
          <w:bCs/>
          <w:sz w:val="22"/>
          <w:szCs w:val="22"/>
          <w:lang w:val="fr-FR"/>
        </w:rPr>
        <w:t> 1</w:t>
      </w:r>
      <w:r w:rsidRPr="001103FA">
        <w:rPr>
          <w:rFonts w:ascii="Arial" w:hAnsi="Arial" w:cs="Arial"/>
          <w:bCs/>
          <w:sz w:val="22"/>
          <w:szCs w:val="22"/>
          <w:lang w:val="fr-FR"/>
        </w:rPr>
        <w:t xml:space="preserve"> </w:t>
      </w:r>
      <w:r>
        <w:rPr>
          <w:rFonts w:ascii="Arial" w:hAnsi="Arial" w:cs="Arial"/>
          <w:bCs/>
          <w:sz w:val="22"/>
          <w:szCs w:val="22"/>
          <w:lang w:val="fr-FR"/>
        </w:rPr>
        <w:t>était</w:t>
      </w:r>
      <w:r w:rsidRPr="001103FA">
        <w:rPr>
          <w:rFonts w:ascii="Arial" w:hAnsi="Arial" w:cs="Arial"/>
          <w:bCs/>
          <w:sz w:val="22"/>
          <w:szCs w:val="22"/>
          <w:lang w:val="fr-FR"/>
        </w:rPr>
        <w:t xml:space="preserve"> celle de l</w:t>
      </w:r>
      <w:r w:rsidR="008E532B">
        <w:rPr>
          <w:rFonts w:ascii="Arial" w:hAnsi="Arial" w:cs="Arial"/>
          <w:bCs/>
          <w:sz w:val="22"/>
          <w:szCs w:val="22"/>
          <w:lang w:val="fr-FR"/>
        </w:rPr>
        <w:t>’</w:t>
      </w:r>
      <w:r w:rsidRPr="001103FA">
        <w:rPr>
          <w:rFonts w:ascii="Arial" w:hAnsi="Arial" w:cs="Arial"/>
          <w:bCs/>
          <w:sz w:val="22"/>
          <w:szCs w:val="22"/>
          <w:lang w:val="fr-FR"/>
        </w:rPr>
        <w:t>Arabie saoudite, qui vis</w:t>
      </w:r>
      <w:r>
        <w:rPr>
          <w:rFonts w:ascii="Arial" w:hAnsi="Arial" w:cs="Arial"/>
          <w:bCs/>
          <w:sz w:val="22"/>
          <w:szCs w:val="22"/>
          <w:lang w:val="fr-FR"/>
        </w:rPr>
        <w:t>ait</w:t>
      </w:r>
      <w:r w:rsidRPr="001103FA">
        <w:rPr>
          <w:rFonts w:ascii="Arial" w:hAnsi="Arial" w:cs="Arial"/>
          <w:bCs/>
          <w:sz w:val="22"/>
          <w:szCs w:val="22"/>
          <w:lang w:val="fr-FR"/>
        </w:rPr>
        <w:t xml:space="preserve"> à revenir au libellé initial de l</w:t>
      </w:r>
      <w:r w:rsidR="008E532B">
        <w:rPr>
          <w:rFonts w:ascii="Arial" w:hAnsi="Arial" w:cs="Arial"/>
          <w:bCs/>
          <w:sz w:val="22"/>
          <w:szCs w:val="22"/>
          <w:lang w:val="fr-FR"/>
        </w:rPr>
        <w:t>’</w:t>
      </w:r>
      <w:r>
        <w:rPr>
          <w:rFonts w:ascii="Arial" w:hAnsi="Arial" w:cs="Arial"/>
          <w:bCs/>
          <w:sz w:val="22"/>
          <w:szCs w:val="22"/>
          <w:lang w:val="fr-FR"/>
        </w:rPr>
        <w:t>article</w:t>
      </w:r>
      <w:r w:rsidRPr="001103FA">
        <w:rPr>
          <w:rFonts w:ascii="Arial" w:hAnsi="Arial" w:cs="Arial"/>
          <w:bCs/>
          <w:sz w:val="22"/>
          <w:szCs w:val="22"/>
          <w:lang w:val="fr-FR"/>
        </w:rPr>
        <w:t xml:space="preserve"> 2.2 (à l</w:t>
      </w:r>
      <w:r w:rsidR="008E532B">
        <w:rPr>
          <w:rFonts w:ascii="Arial" w:hAnsi="Arial" w:cs="Arial"/>
          <w:bCs/>
          <w:sz w:val="22"/>
          <w:szCs w:val="22"/>
          <w:lang w:val="fr-FR"/>
        </w:rPr>
        <w:t>’</w:t>
      </w:r>
      <w:r w:rsidRPr="001103FA">
        <w:rPr>
          <w:rFonts w:ascii="Arial" w:hAnsi="Arial" w:cs="Arial"/>
          <w:bCs/>
          <w:sz w:val="22"/>
          <w:szCs w:val="22"/>
          <w:lang w:val="fr-FR"/>
        </w:rPr>
        <w:t xml:space="preserve">exception de la modification technique </w:t>
      </w:r>
      <w:r>
        <w:rPr>
          <w:rFonts w:ascii="Arial" w:hAnsi="Arial" w:cs="Arial"/>
          <w:bCs/>
          <w:sz w:val="22"/>
          <w:szCs w:val="22"/>
          <w:lang w:val="fr-FR"/>
        </w:rPr>
        <w:t>concernant</w:t>
      </w:r>
      <w:r w:rsidRPr="001103FA">
        <w:rPr>
          <w:rFonts w:ascii="Arial" w:hAnsi="Arial" w:cs="Arial"/>
          <w:bCs/>
          <w:sz w:val="22"/>
          <w:szCs w:val="22"/>
          <w:lang w:val="fr-FR"/>
        </w:rPr>
        <w:t xml:space="preserve"> l</w:t>
      </w:r>
      <w:r w:rsidR="008E532B">
        <w:rPr>
          <w:rFonts w:ascii="Arial" w:hAnsi="Arial" w:cs="Arial"/>
          <w:bCs/>
          <w:sz w:val="22"/>
          <w:szCs w:val="22"/>
          <w:lang w:val="fr-FR"/>
        </w:rPr>
        <w:t>’</w:t>
      </w:r>
      <w:r>
        <w:rPr>
          <w:rFonts w:ascii="Arial" w:hAnsi="Arial" w:cs="Arial"/>
          <w:bCs/>
          <w:sz w:val="22"/>
          <w:szCs w:val="22"/>
          <w:lang w:val="fr-FR"/>
        </w:rPr>
        <w:t>article</w:t>
      </w:r>
      <w:r w:rsidRPr="001103FA">
        <w:rPr>
          <w:rFonts w:ascii="Arial" w:hAnsi="Arial" w:cs="Arial"/>
          <w:bCs/>
          <w:sz w:val="22"/>
          <w:szCs w:val="22"/>
          <w:lang w:val="fr-FR"/>
        </w:rPr>
        <w:t xml:space="preserve"> 16.3). </w:t>
      </w:r>
      <w:r>
        <w:rPr>
          <w:rFonts w:ascii="Arial" w:hAnsi="Arial" w:cs="Arial"/>
          <w:bCs/>
          <w:sz w:val="22"/>
          <w:szCs w:val="22"/>
          <w:lang w:val="fr-FR"/>
        </w:rPr>
        <w:t>L</w:t>
      </w:r>
      <w:r w:rsidR="008E532B">
        <w:rPr>
          <w:rFonts w:ascii="Arial" w:hAnsi="Arial" w:cs="Arial"/>
          <w:bCs/>
          <w:sz w:val="22"/>
          <w:szCs w:val="22"/>
          <w:lang w:val="fr-FR"/>
        </w:rPr>
        <w:t>’</w:t>
      </w:r>
      <w:r w:rsidRPr="001103FA">
        <w:rPr>
          <w:rFonts w:ascii="Arial" w:hAnsi="Arial" w:cs="Arial"/>
          <w:bCs/>
          <w:sz w:val="22"/>
          <w:szCs w:val="22"/>
          <w:lang w:val="fr-FR"/>
        </w:rPr>
        <w:t>option</w:t>
      </w:r>
      <w:r>
        <w:rPr>
          <w:rFonts w:ascii="Arial" w:hAnsi="Arial" w:cs="Arial"/>
          <w:bCs/>
          <w:sz w:val="22"/>
          <w:szCs w:val="22"/>
          <w:lang w:val="fr-FR"/>
        </w:rPr>
        <w:t> 2 était</w:t>
      </w:r>
      <w:r w:rsidRPr="001103FA">
        <w:rPr>
          <w:rFonts w:ascii="Arial" w:hAnsi="Arial" w:cs="Arial"/>
          <w:bCs/>
          <w:sz w:val="22"/>
          <w:szCs w:val="22"/>
          <w:lang w:val="fr-FR"/>
        </w:rPr>
        <w:t xml:space="preserve"> la proposition de l</w:t>
      </w:r>
      <w:r w:rsidR="008E532B">
        <w:rPr>
          <w:rFonts w:ascii="Arial" w:hAnsi="Arial" w:cs="Arial"/>
          <w:bCs/>
          <w:sz w:val="22"/>
          <w:szCs w:val="22"/>
          <w:lang w:val="fr-FR"/>
        </w:rPr>
        <w:t>’</w:t>
      </w:r>
      <w:r w:rsidRPr="001103FA">
        <w:rPr>
          <w:rFonts w:ascii="Arial" w:hAnsi="Arial" w:cs="Arial"/>
          <w:bCs/>
          <w:sz w:val="22"/>
          <w:szCs w:val="22"/>
          <w:lang w:val="fr-FR"/>
        </w:rPr>
        <w:t>Arabie saoudite avec l</w:t>
      </w:r>
      <w:r w:rsidR="008E532B">
        <w:rPr>
          <w:rFonts w:ascii="Arial" w:hAnsi="Arial" w:cs="Arial"/>
          <w:bCs/>
          <w:sz w:val="22"/>
          <w:szCs w:val="22"/>
          <w:lang w:val="fr-FR"/>
        </w:rPr>
        <w:t>’</w:t>
      </w:r>
      <w:r w:rsidRPr="001103FA">
        <w:rPr>
          <w:rFonts w:ascii="Arial" w:hAnsi="Arial" w:cs="Arial"/>
          <w:bCs/>
          <w:sz w:val="22"/>
          <w:szCs w:val="22"/>
          <w:lang w:val="fr-FR"/>
        </w:rPr>
        <w:t>amendement de la Suisse et l</w:t>
      </w:r>
      <w:r w:rsidR="008E532B">
        <w:rPr>
          <w:rFonts w:ascii="Arial" w:hAnsi="Arial" w:cs="Arial"/>
          <w:bCs/>
          <w:sz w:val="22"/>
          <w:szCs w:val="22"/>
          <w:lang w:val="fr-FR"/>
        </w:rPr>
        <w:t>’</w:t>
      </w:r>
      <w:r w:rsidRPr="001103FA">
        <w:rPr>
          <w:rFonts w:ascii="Arial" w:hAnsi="Arial" w:cs="Arial"/>
          <w:bCs/>
          <w:sz w:val="22"/>
          <w:szCs w:val="22"/>
          <w:lang w:val="fr-FR"/>
        </w:rPr>
        <w:t xml:space="preserve">ajout de </w:t>
      </w:r>
      <w:r>
        <w:rPr>
          <w:rFonts w:ascii="Arial" w:hAnsi="Arial" w:cs="Arial"/>
          <w:bCs/>
          <w:sz w:val="22"/>
          <w:szCs w:val="22"/>
          <w:lang w:val="fr-FR"/>
        </w:rPr>
        <w:t>« </w:t>
      </w:r>
      <w:r w:rsidRPr="001103FA">
        <w:rPr>
          <w:rFonts w:ascii="Arial" w:hAnsi="Arial" w:cs="Arial"/>
          <w:bCs/>
          <w:sz w:val="22"/>
          <w:szCs w:val="22"/>
          <w:lang w:val="fr-FR"/>
        </w:rPr>
        <w:t>et autres observateurs</w:t>
      </w:r>
      <w:r>
        <w:rPr>
          <w:rFonts w:ascii="Arial" w:hAnsi="Arial" w:cs="Arial"/>
          <w:bCs/>
          <w:sz w:val="22"/>
          <w:szCs w:val="22"/>
          <w:lang w:val="fr-FR"/>
        </w:rPr>
        <w:t> »</w:t>
      </w:r>
      <w:r w:rsidRPr="001103FA">
        <w:rPr>
          <w:rFonts w:ascii="Arial" w:hAnsi="Arial" w:cs="Arial"/>
          <w:bCs/>
          <w:sz w:val="22"/>
          <w:szCs w:val="22"/>
          <w:lang w:val="fr-FR"/>
        </w:rPr>
        <w:t>.</w:t>
      </w:r>
    </w:p>
    <w:p w14:paraId="40DA65C0" w14:textId="18C25C7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103FA">
        <w:rPr>
          <w:rFonts w:ascii="Arial" w:hAnsi="Arial" w:cs="Arial"/>
          <w:bCs/>
          <w:sz w:val="22"/>
          <w:szCs w:val="22"/>
          <w:lang w:val="fr-FR"/>
        </w:rPr>
        <w:t>La délégation de l</w:t>
      </w:r>
      <w:r w:rsidR="008E532B">
        <w:rPr>
          <w:rFonts w:ascii="Arial" w:hAnsi="Arial" w:cs="Arial"/>
          <w:bCs/>
          <w:sz w:val="22"/>
          <w:szCs w:val="22"/>
          <w:lang w:val="fr-FR"/>
        </w:rPr>
        <w:t>’</w:t>
      </w:r>
      <w:r w:rsidRPr="001103FA">
        <w:rPr>
          <w:rFonts w:ascii="Arial" w:hAnsi="Arial" w:cs="Arial"/>
          <w:b/>
          <w:sz w:val="22"/>
          <w:szCs w:val="22"/>
          <w:lang w:val="fr-FR"/>
        </w:rPr>
        <w:t xml:space="preserve">Arabie saoudite </w:t>
      </w:r>
      <w:r w:rsidRPr="001103FA">
        <w:rPr>
          <w:rFonts w:ascii="Arial" w:hAnsi="Arial" w:cs="Arial"/>
          <w:bCs/>
          <w:sz w:val="22"/>
          <w:szCs w:val="22"/>
          <w:lang w:val="fr-FR"/>
        </w:rPr>
        <w:t>a fait remarquer que l</w:t>
      </w:r>
      <w:r w:rsidR="008E532B">
        <w:rPr>
          <w:rFonts w:ascii="Arial" w:hAnsi="Arial" w:cs="Arial"/>
          <w:bCs/>
          <w:sz w:val="22"/>
          <w:szCs w:val="22"/>
          <w:lang w:val="fr-FR"/>
        </w:rPr>
        <w:t>’</w:t>
      </w:r>
      <w:r w:rsidRPr="001103FA">
        <w:rPr>
          <w:rFonts w:ascii="Arial" w:hAnsi="Arial" w:cs="Arial"/>
          <w:bCs/>
          <w:sz w:val="22"/>
          <w:szCs w:val="22"/>
          <w:lang w:val="fr-FR"/>
        </w:rPr>
        <w:t>Assemblée devait décider entre l</w:t>
      </w:r>
      <w:r w:rsidR="008E532B">
        <w:rPr>
          <w:rFonts w:ascii="Arial" w:hAnsi="Arial" w:cs="Arial"/>
          <w:bCs/>
          <w:sz w:val="22"/>
          <w:szCs w:val="22"/>
          <w:lang w:val="fr-FR"/>
        </w:rPr>
        <w:t>’</w:t>
      </w:r>
      <w:r w:rsidRPr="001103FA">
        <w:rPr>
          <w:rFonts w:ascii="Arial" w:hAnsi="Arial" w:cs="Arial"/>
          <w:bCs/>
          <w:sz w:val="22"/>
          <w:szCs w:val="22"/>
          <w:lang w:val="fr-FR"/>
        </w:rPr>
        <w:t xml:space="preserve">option 1 ou </w:t>
      </w:r>
      <w:r>
        <w:rPr>
          <w:rFonts w:ascii="Arial" w:hAnsi="Arial" w:cs="Arial"/>
          <w:bCs/>
          <w:sz w:val="22"/>
          <w:szCs w:val="22"/>
          <w:lang w:val="fr-FR"/>
        </w:rPr>
        <w:t>l</w:t>
      </w:r>
      <w:r w:rsidR="008E532B">
        <w:rPr>
          <w:rFonts w:ascii="Arial" w:hAnsi="Arial" w:cs="Arial"/>
          <w:bCs/>
          <w:sz w:val="22"/>
          <w:szCs w:val="22"/>
          <w:lang w:val="fr-FR"/>
        </w:rPr>
        <w:t>’</w:t>
      </w:r>
      <w:r>
        <w:rPr>
          <w:rFonts w:ascii="Arial" w:hAnsi="Arial" w:cs="Arial"/>
          <w:bCs/>
          <w:sz w:val="22"/>
          <w:szCs w:val="22"/>
          <w:lang w:val="fr-FR"/>
        </w:rPr>
        <w:t xml:space="preserve">option </w:t>
      </w:r>
      <w:r w:rsidRPr="001103FA">
        <w:rPr>
          <w:rFonts w:ascii="Arial" w:hAnsi="Arial" w:cs="Arial"/>
          <w:bCs/>
          <w:sz w:val="22"/>
          <w:szCs w:val="22"/>
          <w:lang w:val="fr-FR"/>
        </w:rPr>
        <w:t>2. Sa proposition consist</w:t>
      </w:r>
      <w:r>
        <w:rPr>
          <w:rFonts w:ascii="Arial" w:hAnsi="Arial" w:cs="Arial"/>
          <w:bCs/>
          <w:sz w:val="22"/>
          <w:szCs w:val="22"/>
          <w:lang w:val="fr-FR"/>
        </w:rPr>
        <w:t>ait</w:t>
      </w:r>
      <w:r w:rsidRPr="001103FA">
        <w:rPr>
          <w:rFonts w:ascii="Arial" w:hAnsi="Arial" w:cs="Arial"/>
          <w:bCs/>
          <w:sz w:val="22"/>
          <w:szCs w:val="22"/>
          <w:lang w:val="fr-FR"/>
        </w:rPr>
        <w:t xml:space="preserve"> à modifier le texte qui était initialement l</w:t>
      </w:r>
      <w:r w:rsidR="008E532B">
        <w:rPr>
          <w:rFonts w:ascii="Arial" w:hAnsi="Arial" w:cs="Arial"/>
          <w:bCs/>
          <w:sz w:val="22"/>
          <w:szCs w:val="22"/>
          <w:lang w:val="fr-FR"/>
        </w:rPr>
        <w:t>’</w:t>
      </w:r>
      <w:r w:rsidRPr="001103FA">
        <w:rPr>
          <w:rFonts w:ascii="Arial" w:hAnsi="Arial" w:cs="Arial"/>
          <w:bCs/>
          <w:sz w:val="22"/>
          <w:szCs w:val="22"/>
          <w:lang w:val="fr-FR"/>
        </w:rPr>
        <w:t xml:space="preserve">article 3.2, en supprimant </w:t>
      </w:r>
      <w:r>
        <w:rPr>
          <w:rFonts w:ascii="Arial" w:hAnsi="Arial" w:cs="Arial"/>
          <w:bCs/>
          <w:sz w:val="22"/>
          <w:szCs w:val="22"/>
          <w:lang w:val="fr-FR"/>
        </w:rPr>
        <w:t>« </w:t>
      </w:r>
      <w:r w:rsidRPr="001103FA">
        <w:rPr>
          <w:rFonts w:ascii="Arial" w:hAnsi="Arial" w:cs="Arial"/>
          <w:bCs/>
          <w:sz w:val="22"/>
          <w:szCs w:val="22"/>
          <w:lang w:val="fr-FR"/>
        </w:rPr>
        <w:t xml:space="preserve">en </w:t>
      </w:r>
      <w:r>
        <w:rPr>
          <w:rFonts w:ascii="Arial" w:hAnsi="Arial" w:cs="Arial"/>
          <w:bCs/>
          <w:sz w:val="22"/>
          <w:szCs w:val="22"/>
          <w:lang w:val="fr-FR"/>
        </w:rPr>
        <w:t>qualité d</w:t>
      </w:r>
      <w:r w:rsidR="008E532B">
        <w:rPr>
          <w:rFonts w:ascii="Arial" w:hAnsi="Arial" w:cs="Arial"/>
          <w:bCs/>
          <w:sz w:val="22"/>
          <w:szCs w:val="22"/>
          <w:lang w:val="fr-FR"/>
        </w:rPr>
        <w:t>’</w:t>
      </w:r>
      <w:r w:rsidRPr="001103FA">
        <w:rPr>
          <w:rFonts w:ascii="Arial" w:hAnsi="Arial" w:cs="Arial"/>
          <w:bCs/>
          <w:sz w:val="22"/>
          <w:szCs w:val="22"/>
          <w:lang w:val="fr-FR"/>
        </w:rPr>
        <w:t>observateurs</w:t>
      </w:r>
      <w:r>
        <w:rPr>
          <w:rFonts w:ascii="Arial" w:hAnsi="Arial" w:cs="Arial"/>
          <w:bCs/>
          <w:sz w:val="22"/>
          <w:szCs w:val="22"/>
          <w:lang w:val="fr-FR"/>
        </w:rPr>
        <w:t> »</w:t>
      </w:r>
      <w:r w:rsidRPr="001103FA">
        <w:rPr>
          <w:rFonts w:ascii="Arial" w:hAnsi="Arial" w:cs="Arial"/>
          <w:bCs/>
          <w:sz w:val="22"/>
          <w:szCs w:val="22"/>
          <w:lang w:val="fr-FR"/>
        </w:rPr>
        <w:t xml:space="preserve"> et </w:t>
      </w:r>
      <w:r>
        <w:rPr>
          <w:rFonts w:ascii="Arial" w:hAnsi="Arial" w:cs="Arial"/>
          <w:bCs/>
          <w:sz w:val="22"/>
          <w:szCs w:val="22"/>
          <w:lang w:val="fr-FR"/>
        </w:rPr>
        <w:t>en changeant</w:t>
      </w:r>
      <w:r w:rsidRPr="001103FA">
        <w:rPr>
          <w:rFonts w:ascii="Arial" w:hAnsi="Arial" w:cs="Arial"/>
          <w:bCs/>
          <w:sz w:val="22"/>
          <w:szCs w:val="22"/>
          <w:lang w:val="fr-FR"/>
        </w:rPr>
        <w:t xml:space="preserve"> </w:t>
      </w:r>
      <w:r>
        <w:rPr>
          <w:rFonts w:ascii="Arial" w:hAnsi="Arial" w:cs="Arial"/>
          <w:bCs/>
          <w:sz w:val="22"/>
          <w:szCs w:val="22"/>
          <w:lang w:val="fr-FR"/>
        </w:rPr>
        <w:t>« </w:t>
      </w:r>
      <w:r w:rsidRPr="001103FA">
        <w:rPr>
          <w:rFonts w:ascii="Arial" w:hAnsi="Arial" w:cs="Arial"/>
          <w:bCs/>
          <w:sz w:val="22"/>
          <w:szCs w:val="22"/>
          <w:lang w:val="fr-FR"/>
        </w:rPr>
        <w:t>article 16.3</w:t>
      </w:r>
      <w:r>
        <w:rPr>
          <w:rFonts w:ascii="Arial" w:hAnsi="Arial" w:cs="Arial"/>
          <w:bCs/>
          <w:sz w:val="22"/>
          <w:szCs w:val="22"/>
          <w:lang w:val="fr-FR"/>
        </w:rPr>
        <w:t> »</w:t>
      </w:r>
      <w:r w:rsidRPr="001103FA">
        <w:rPr>
          <w:rFonts w:ascii="Arial" w:hAnsi="Arial" w:cs="Arial"/>
          <w:bCs/>
          <w:sz w:val="22"/>
          <w:szCs w:val="22"/>
          <w:lang w:val="fr-FR"/>
        </w:rPr>
        <w:t>. Elle ne propos</w:t>
      </w:r>
      <w:r>
        <w:rPr>
          <w:rFonts w:ascii="Arial" w:hAnsi="Arial" w:cs="Arial"/>
          <w:bCs/>
          <w:sz w:val="22"/>
          <w:szCs w:val="22"/>
          <w:lang w:val="fr-FR"/>
        </w:rPr>
        <w:t>ait</w:t>
      </w:r>
      <w:r w:rsidRPr="001103FA">
        <w:rPr>
          <w:rFonts w:ascii="Arial" w:hAnsi="Arial" w:cs="Arial"/>
          <w:bCs/>
          <w:sz w:val="22"/>
          <w:szCs w:val="22"/>
          <w:lang w:val="fr-FR"/>
        </w:rPr>
        <w:t xml:space="preserve"> pas de revenir à l</w:t>
      </w:r>
      <w:r w:rsidR="008E532B">
        <w:rPr>
          <w:rFonts w:ascii="Arial" w:hAnsi="Arial" w:cs="Arial"/>
          <w:bCs/>
          <w:sz w:val="22"/>
          <w:szCs w:val="22"/>
          <w:lang w:val="fr-FR"/>
        </w:rPr>
        <w:t>’</w:t>
      </w:r>
      <w:r w:rsidRPr="001103FA">
        <w:rPr>
          <w:rFonts w:ascii="Arial" w:hAnsi="Arial" w:cs="Arial"/>
          <w:bCs/>
          <w:sz w:val="22"/>
          <w:szCs w:val="22"/>
          <w:lang w:val="fr-FR"/>
        </w:rPr>
        <w:t>article 2.2 mais, s</w:t>
      </w:r>
      <w:r w:rsidR="008E532B">
        <w:rPr>
          <w:rFonts w:ascii="Arial" w:hAnsi="Arial" w:cs="Arial"/>
          <w:bCs/>
          <w:sz w:val="22"/>
          <w:szCs w:val="22"/>
          <w:lang w:val="fr-FR"/>
        </w:rPr>
        <w:t>’</w:t>
      </w:r>
      <w:r w:rsidRPr="001103FA">
        <w:rPr>
          <w:rFonts w:ascii="Arial" w:hAnsi="Arial" w:cs="Arial"/>
          <w:bCs/>
          <w:sz w:val="22"/>
          <w:szCs w:val="22"/>
          <w:lang w:val="fr-FR"/>
        </w:rPr>
        <w:t>il s</w:t>
      </w:r>
      <w:r w:rsidR="008E532B">
        <w:rPr>
          <w:rFonts w:ascii="Arial" w:hAnsi="Arial" w:cs="Arial"/>
          <w:bCs/>
          <w:sz w:val="22"/>
          <w:szCs w:val="22"/>
          <w:lang w:val="fr-FR"/>
        </w:rPr>
        <w:t>’</w:t>
      </w:r>
      <w:r w:rsidRPr="001103FA">
        <w:rPr>
          <w:rFonts w:ascii="Arial" w:hAnsi="Arial" w:cs="Arial"/>
          <w:bCs/>
          <w:sz w:val="22"/>
          <w:szCs w:val="22"/>
          <w:lang w:val="fr-FR"/>
        </w:rPr>
        <w:t>agi</w:t>
      </w:r>
      <w:r>
        <w:rPr>
          <w:rFonts w:ascii="Arial" w:hAnsi="Arial" w:cs="Arial"/>
          <w:bCs/>
          <w:sz w:val="22"/>
          <w:szCs w:val="22"/>
          <w:lang w:val="fr-FR"/>
        </w:rPr>
        <w:t>ssai</w:t>
      </w:r>
      <w:r w:rsidRPr="001103FA">
        <w:rPr>
          <w:rFonts w:ascii="Arial" w:hAnsi="Arial" w:cs="Arial"/>
          <w:bCs/>
          <w:sz w:val="22"/>
          <w:szCs w:val="22"/>
          <w:lang w:val="fr-FR"/>
        </w:rPr>
        <w:t>t du même texte que l</w:t>
      </w:r>
      <w:r w:rsidR="008E532B">
        <w:rPr>
          <w:rFonts w:ascii="Arial" w:hAnsi="Arial" w:cs="Arial"/>
          <w:bCs/>
          <w:sz w:val="22"/>
          <w:szCs w:val="22"/>
          <w:lang w:val="fr-FR"/>
        </w:rPr>
        <w:t>’</w:t>
      </w:r>
      <w:r w:rsidRPr="001103FA">
        <w:rPr>
          <w:rFonts w:ascii="Arial" w:hAnsi="Arial" w:cs="Arial"/>
          <w:bCs/>
          <w:sz w:val="22"/>
          <w:szCs w:val="22"/>
          <w:lang w:val="fr-FR"/>
        </w:rPr>
        <w:t>article 3.2, elle pourrait conserver l</w:t>
      </w:r>
      <w:r w:rsidR="008E532B">
        <w:rPr>
          <w:rFonts w:ascii="Arial" w:hAnsi="Arial" w:cs="Arial"/>
          <w:bCs/>
          <w:sz w:val="22"/>
          <w:szCs w:val="22"/>
          <w:lang w:val="fr-FR"/>
        </w:rPr>
        <w:t>’</w:t>
      </w:r>
      <w:r w:rsidRPr="001103FA">
        <w:rPr>
          <w:rFonts w:ascii="Arial" w:hAnsi="Arial" w:cs="Arial"/>
          <w:bCs/>
          <w:sz w:val="22"/>
          <w:szCs w:val="22"/>
          <w:lang w:val="fr-FR"/>
        </w:rPr>
        <w:t>article 2.2, sinon elle souhait</w:t>
      </w:r>
      <w:r>
        <w:rPr>
          <w:rFonts w:ascii="Arial" w:hAnsi="Arial" w:cs="Arial"/>
          <w:bCs/>
          <w:sz w:val="22"/>
          <w:szCs w:val="22"/>
          <w:lang w:val="fr-FR"/>
        </w:rPr>
        <w:t>ait</w:t>
      </w:r>
      <w:r w:rsidRPr="001103FA">
        <w:rPr>
          <w:rFonts w:ascii="Arial" w:hAnsi="Arial" w:cs="Arial"/>
          <w:bCs/>
          <w:sz w:val="22"/>
          <w:szCs w:val="22"/>
          <w:lang w:val="fr-FR"/>
        </w:rPr>
        <w:t xml:space="preserve"> conserver l</w:t>
      </w:r>
      <w:r w:rsidR="008E532B">
        <w:rPr>
          <w:rFonts w:ascii="Arial" w:hAnsi="Arial" w:cs="Arial"/>
          <w:bCs/>
          <w:sz w:val="22"/>
          <w:szCs w:val="22"/>
          <w:lang w:val="fr-FR"/>
        </w:rPr>
        <w:t>’</w:t>
      </w:r>
      <w:r w:rsidRPr="001103FA">
        <w:rPr>
          <w:rFonts w:ascii="Arial" w:hAnsi="Arial" w:cs="Arial"/>
          <w:bCs/>
          <w:sz w:val="22"/>
          <w:szCs w:val="22"/>
          <w:lang w:val="fr-FR"/>
        </w:rPr>
        <w:t>article 3.2 initial.</w:t>
      </w:r>
    </w:p>
    <w:p w14:paraId="281D7718" w14:textId="1CF888E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B26F87">
        <w:rPr>
          <w:rFonts w:ascii="Arial" w:hAnsi="Arial" w:cs="Arial"/>
          <w:b/>
          <w:sz w:val="22"/>
          <w:szCs w:val="22"/>
          <w:lang w:val="fr-FR"/>
        </w:rPr>
        <w:t>Présidente</w:t>
      </w:r>
      <w:r>
        <w:rPr>
          <w:rFonts w:ascii="Arial" w:hAnsi="Arial" w:cs="Arial"/>
          <w:bCs/>
          <w:sz w:val="22"/>
          <w:szCs w:val="22"/>
          <w:lang w:val="fr-FR"/>
        </w:rPr>
        <w:t xml:space="preserve"> a soumis l</w:t>
      </w:r>
      <w:r w:rsidR="008E532B">
        <w:rPr>
          <w:rFonts w:ascii="Arial" w:hAnsi="Arial" w:cs="Arial"/>
          <w:bCs/>
          <w:sz w:val="22"/>
          <w:szCs w:val="22"/>
          <w:lang w:val="fr-FR"/>
        </w:rPr>
        <w:t>’</w:t>
      </w:r>
      <w:r>
        <w:rPr>
          <w:rFonts w:ascii="Arial" w:hAnsi="Arial" w:cs="Arial"/>
          <w:bCs/>
          <w:sz w:val="22"/>
          <w:szCs w:val="22"/>
          <w:lang w:val="fr-FR"/>
        </w:rPr>
        <w:t>option 1 et l</w:t>
      </w:r>
      <w:r w:rsidR="008E532B">
        <w:rPr>
          <w:rFonts w:ascii="Arial" w:hAnsi="Arial" w:cs="Arial"/>
          <w:bCs/>
          <w:sz w:val="22"/>
          <w:szCs w:val="22"/>
          <w:lang w:val="fr-FR"/>
        </w:rPr>
        <w:t>’</w:t>
      </w:r>
      <w:r>
        <w:rPr>
          <w:rFonts w:ascii="Arial" w:hAnsi="Arial" w:cs="Arial"/>
          <w:bCs/>
          <w:sz w:val="22"/>
          <w:szCs w:val="22"/>
          <w:lang w:val="fr-FR"/>
        </w:rPr>
        <w:t>option 2 à l</w:t>
      </w:r>
      <w:r w:rsidR="008E532B">
        <w:rPr>
          <w:rFonts w:ascii="Arial" w:hAnsi="Arial" w:cs="Arial"/>
          <w:bCs/>
          <w:sz w:val="22"/>
          <w:szCs w:val="22"/>
          <w:lang w:val="fr-FR"/>
        </w:rPr>
        <w:t>’</w:t>
      </w:r>
      <w:r>
        <w:rPr>
          <w:rFonts w:ascii="Arial" w:hAnsi="Arial" w:cs="Arial"/>
          <w:bCs/>
          <w:sz w:val="22"/>
          <w:szCs w:val="22"/>
          <w:lang w:val="fr-FR"/>
        </w:rPr>
        <w:t>Assemblée.</w:t>
      </w:r>
    </w:p>
    <w:p w14:paraId="0D6E89D2" w14:textId="177C9407" w:rsidR="00D9653F" w:rsidRPr="00B26F87"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26F87">
        <w:rPr>
          <w:rFonts w:ascii="Arial" w:hAnsi="Arial" w:cs="Arial"/>
          <w:bCs/>
          <w:sz w:val="22"/>
          <w:szCs w:val="22"/>
          <w:lang w:val="fr-FR"/>
        </w:rPr>
        <w:t xml:space="preserve">La délégation de la </w:t>
      </w:r>
      <w:r w:rsidRPr="00B26F87">
        <w:rPr>
          <w:rFonts w:ascii="Arial" w:hAnsi="Arial" w:cs="Arial"/>
          <w:b/>
          <w:sz w:val="22"/>
          <w:szCs w:val="22"/>
          <w:lang w:val="fr-FR"/>
        </w:rPr>
        <w:t>Palestine</w:t>
      </w:r>
      <w:r w:rsidRPr="00B26F87">
        <w:rPr>
          <w:rFonts w:ascii="Arial" w:hAnsi="Arial" w:cs="Arial"/>
          <w:bCs/>
          <w:sz w:val="22"/>
          <w:szCs w:val="22"/>
          <w:lang w:val="fr-FR"/>
        </w:rPr>
        <w:t xml:space="preserve"> a fait remarquer que les deux options étaient effectivement similaires. L</w:t>
      </w:r>
      <w:r w:rsidR="008E532B">
        <w:rPr>
          <w:rFonts w:ascii="Arial" w:hAnsi="Arial" w:cs="Arial"/>
          <w:bCs/>
          <w:sz w:val="22"/>
          <w:szCs w:val="22"/>
          <w:lang w:val="fr-FR"/>
        </w:rPr>
        <w:t>’</w:t>
      </w:r>
      <w:r w:rsidRPr="00B26F87">
        <w:rPr>
          <w:rFonts w:ascii="Arial" w:hAnsi="Arial" w:cs="Arial"/>
          <w:bCs/>
          <w:sz w:val="22"/>
          <w:szCs w:val="22"/>
          <w:lang w:val="fr-FR"/>
        </w:rPr>
        <w:t>amendement de la Suisse ne pos</w:t>
      </w:r>
      <w:r>
        <w:rPr>
          <w:rFonts w:ascii="Arial" w:hAnsi="Arial" w:cs="Arial"/>
          <w:bCs/>
          <w:sz w:val="22"/>
          <w:szCs w:val="22"/>
          <w:lang w:val="fr-FR"/>
        </w:rPr>
        <w:t>ait</w:t>
      </w:r>
      <w:r w:rsidRPr="00B26F87">
        <w:rPr>
          <w:rFonts w:ascii="Arial" w:hAnsi="Arial" w:cs="Arial"/>
          <w:bCs/>
          <w:sz w:val="22"/>
          <w:szCs w:val="22"/>
          <w:lang w:val="fr-FR"/>
        </w:rPr>
        <w:t xml:space="preserve"> pas de problème, mais il n</w:t>
      </w:r>
      <w:r w:rsidR="008E532B">
        <w:rPr>
          <w:rFonts w:ascii="Arial" w:hAnsi="Arial" w:cs="Arial"/>
          <w:bCs/>
          <w:sz w:val="22"/>
          <w:szCs w:val="22"/>
          <w:lang w:val="fr-FR"/>
        </w:rPr>
        <w:t>’</w:t>
      </w:r>
      <w:r>
        <w:rPr>
          <w:rFonts w:ascii="Arial" w:hAnsi="Arial" w:cs="Arial"/>
          <w:bCs/>
          <w:sz w:val="22"/>
          <w:szCs w:val="22"/>
          <w:lang w:val="fr-FR"/>
        </w:rPr>
        <w:t>était</w:t>
      </w:r>
      <w:r w:rsidRPr="00B26F87">
        <w:rPr>
          <w:rFonts w:ascii="Arial" w:hAnsi="Arial" w:cs="Arial"/>
          <w:bCs/>
          <w:sz w:val="22"/>
          <w:szCs w:val="22"/>
          <w:lang w:val="fr-FR"/>
        </w:rPr>
        <w:t xml:space="preserve"> pas essentiel, et il ne change</w:t>
      </w:r>
      <w:r>
        <w:rPr>
          <w:rFonts w:ascii="Arial" w:hAnsi="Arial" w:cs="Arial"/>
          <w:bCs/>
          <w:sz w:val="22"/>
          <w:szCs w:val="22"/>
          <w:lang w:val="fr-FR"/>
        </w:rPr>
        <w:t>ait</w:t>
      </w:r>
      <w:r w:rsidRPr="00B26F87">
        <w:rPr>
          <w:rFonts w:ascii="Arial" w:hAnsi="Arial" w:cs="Arial"/>
          <w:bCs/>
          <w:sz w:val="22"/>
          <w:szCs w:val="22"/>
          <w:lang w:val="fr-FR"/>
        </w:rPr>
        <w:t xml:space="preserve"> rien à la pratique en vigueur ailleurs. Il a été rappelé que </w:t>
      </w:r>
      <w:r>
        <w:rPr>
          <w:rFonts w:ascii="Arial" w:hAnsi="Arial" w:cs="Arial"/>
          <w:bCs/>
          <w:sz w:val="22"/>
          <w:szCs w:val="22"/>
          <w:lang w:val="fr-FR"/>
        </w:rPr>
        <w:t xml:space="preserve">le/la Directeur/Directrice général(e) </w:t>
      </w:r>
      <w:r w:rsidRPr="00B26F87">
        <w:rPr>
          <w:rFonts w:ascii="Arial" w:hAnsi="Arial" w:cs="Arial"/>
          <w:bCs/>
          <w:sz w:val="22"/>
          <w:szCs w:val="22"/>
          <w:lang w:val="fr-FR"/>
        </w:rPr>
        <w:t xml:space="preserve">invite occasionnellement </w:t>
      </w:r>
      <w:r>
        <w:rPr>
          <w:rFonts w:ascii="Arial" w:hAnsi="Arial" w:cs="Arial"/>
          <w:bCs/>
          <w:sz w:val="22"/>
          <w:szCs w:val="22"/>
          <w:lang w:val="fr-FR"/>
        </w:rPr>
        <w:t>d</w:t>
      </w:r>
      <w:proofErr w:type="gramStart"/>
      <w:r w:rsidR="008E532B">
        <w:rPr>
          <w:rFonts w:ascii="Arial" w:hAnsi="Arial" w:cs="Arial"/>
          <w:bCs/>
          <w:sz w:val="22"/>
          <w:szCs w:val="22"/>
          <w:lang w:val="fr-FR"/>
        </w:rPr>
        <w:t>’</w:t>
      </w:r>
      <w:r>
        <w:rPr>
          <w:rFonts w:ascii="Arial" w:hAnsi="Arial" w:cs="Arial"/>
          <w:bCs/>
          <w:sz w:val="22"/>
          <w:szCs w:val="22"/>
          <w:lang w:val="fr-FR"/>
        </w:rPr>
        <w:t>«</w:t>
      </w:r>
      <w:proofErr w:type="gramEnd"/>
      <w:r>
        <w:rPr>
          <w:rFonts w:ascii="Arial" w:hAnsi="Arial" w:cs="Arial"/>
          <w:bCs/>
          <w:sz w:val="22"/>
          <w:szCs w:val="22"/>
          <w:lang w:val="fr-FR"/>
        </w:rPr>
        <w:t> </w:t>
      </w:r>
      <w:r w:rsidRPr="00B26F87">
        <w:rPr>
          <w:rFonts w:ascii="Arial" w:hAnsi="Arial" w:cs="Arial"/>
          <w:bCs/>
          <w:sz w:val="22"/>
          <w:szCs w:val="22"/>
          <w:lang w:val="fr-FR"/>
        </w:rPr>
        <w:t>autres observateurs</w:t>
      </w:r>
      <w:r>
        <w:rPr>
          <w:rFonts w:ascii="Arial" w:hAnsi="Arial" w:cs="Arial"/>
          <w:bCs/>
          <w:sz w:val="22"/>
          <w:szCs w:val="22"/>
          <w:lang w:val="fr-FR"/>
        </w:rPr>
        <w:t> »</w:t>
      </w:r>
      <w:r w:rsidRPr="00B26F87">
        <w:rPr>
          <w:rFonts w:ascii="Arial" w:hAnsi="Arial" w:cs="Arial"/>
          <w:bCs/>
          <w:sz w:val="22"/>
          <w:szCs w:val="22"/>
          <w:lang w:val="fr-FR"/>
        </w:rPr>
        <w:t>, qui sont des musiciens, des artistes, etc. Ainsi, l</w:t>
      </w:r>
      <w:r w:rsidR="008E532B">
        <w:rPr>
          <w:rFonts w:ascii="Arial" w:hAnsi="Arial" w:cs="Arial"/>
          <w:bCs/>
          <w:sz w:val="22"/>
          <w:szCs w:val="22"/>
          <w:lang w:val="fr-FR"/>
        </w:rPr>
        <w:t>’</w:t>
      </w:r>
      <w:r w:rsidRPr="00B26F87">
        <w:rPr>
          <w:rFonts w:ascii="Arial" w:hAnsi="Arial" w:cs="Arial"/>
          <w:bCs/>
          <w:sz w:val="22"/>
          <w:szCs w:val="22"/>
          <w:lang w:val="fr-FR"/>
        </w:rPr>
        <w:t xml:space="preserve">ajout de </w:t>
      </w:r>
      <w:r>
        <w:rPr>
          <w:rFonts w:ascii="Arial" w:hAnsi="Arial" w:cs="Arial"/>
          <w:bCs/>
          <w:sz w:val="22"/>
          <w:szCs w:val="22"/>
          <w:lang w:val="fr-FR"/>
        </w:rPr>
        <w:t>« </w:t>
      </w:r>
      <w:r w:rsidRPr="00B26F87">
        <w:rPr>
          <w:rFonts w:ascii="Arial" w:hAnsi="Arial" w:cs="Arial"/>
          <w:bCs/>
          <w:sz w:val="22"/>
          <w:szCs w:val="22"/>
          <w:lang w:val="fr-FR"/>
        </w:rPr>
        <w:t>et autres observateurs</w:t>
      </w:r>
      <w:r>
        <w:rPr>
          <w:rFonts w:ascii="Arial" w:hAnsi="Arial" w:cs="Arial"/>
          <w:bCs/>
          <w:sz w:val="22"/>
          <w:szCs w:val="22"/>
          <w:lang w:val="fr-FR"/>
        </w:rPr>
        <w:t> »</w:t>
      </w:r>
      <w:r w:rsidRPr="00B26F87">
        <w:rPr>
          <w:rFonts w:ascii="Arial" w:hAnsi="Arial" w:cs="Arial"/>
          <w:bCs/>
          <w:sz w:val="22"/>
          <w:szCs w:val="22"/>
          <w:lang w:val="fr-FR"/>
        </w:rPr>
        <w:t xml:space="preserve"> ne change</w:t>
      </w:r>
      <w:r>
        <w:rPr>
          <w:rFonts w:ascii="Arial" w:hAnsi="Arial" w:cs="Arial"/>
          <w:bCs/>
          <w:sz w:val="22"/>
          <w:szCs w:val="22"/>
          <w:lang w:val="fr-FR"/>
        </w:rPr>
        <w:t>ait</w:t>
      </w:r>
      <w:r w:rsidRPr="00B26F87">
        <w:rPr>
          <w:rFonts w:ascii="Arial" w:hAnsi="Arial" w:cs="Arial"/>
          <w:bCs/>
          <w:sz w:val="22"/>
          <w:szCs w:val="22"/>
          <w:lang w:val="fr-FR"/>
        </w:rPr>
        <w:t xml:space="preserve"> rien. A priori, la majorité des délégations soutenait la proposition de l</w:t>
      </w:r>
      <w:r w:rsidR="008E532B">
        <w:rPr>
          <w:rFonts w:ascii="Arial" w:hAnsi="Arial" w:cs="Arial"/>
          <w:bCs/>
          <w:sz w:val="22"/>
          <w:szCs w:val="22"/>
          <w:lang w:val="fr-FR"/>
        </w:rPr>
        <w:t>’</w:t>
      </w:r>
      <w:r w:rsidRPr="00B26F87">
        <w:rPr>
          <w:rFonts w:ascii="Arial" w:hAnsi="Arial" w:cs="Arial"/>
          <w:bCs/>
          <w:sz w:val="22"/>
          <w:szCs w:val="22"/>
          <w:lang w:val="fr-FR"/>
        </w:rPr>
        <w:t>Arabie Saoudite, et la délégation a donc suggéré d</w:t>
      </w:r>
      <w:r w:rsidR="008E532B">
        <w:rPr>
          <w:rFonts w:ascii="Arial" w:hAnsi="Arial" w:cs="Arial"/>
          <w:bCs/>
          <w:sz w:val="22"/>
          <w:szCs w:val="22"/>
          <w:lang w:val="fr-FR"/>
        </w:rPr>
        <w:t>’</w:t>
      </w:r>
      <w:r w:rsidRPr="00B26F87">
        <w:rPr>
          <w:rFonts w:ascii="Arial" w:hAnsi="Arial" w:cs="Arial"/>
          <w:bCs/>
          <w:sz w:val="22"/>
          <w:szCs w:val="22"/>
          <w:lang w:val="fr-FR"/>
        </w:rPr>
        <w:t>aller de l</w:t>
      </w:r>
      <w:r w:rsidR="008E532B">
        <w:rPr>
          <w:rFonts w:ascii="Arial" w:hAnsi="Arial" w:cs="Arial"/>
          <w:bCs/>
          <w:sz w:val="22"/>
          <w:szCs w:val="22"/>
          <w:lang w:val="fr-FR"/>
        </w:rPr>
        <w:t>’</w:t>
      </w:r>
      <w:r w:rsidRPr="00B26F87">
        <w:rPr>
          <w:rFonts w:ascii="Arial" w:hAnsi="Arial" w:cs="Arial"/>
          <w:bCs/>
          <w:sz w:val="22"/>
          <w:szCs w:val="22"/>
          <w:lang w:val="fr-FR"/>
        </w:rPr>
        <w:t>avant et d</w:t>
      </w:r>
      <w:r w:rsidR="008E532B">
        <w:rPr>
          <w:rFonts w:ascii="Arial" w:hAnsi="Arial" w:cs="Arial"/>
          <w:bCs/>
          <w:sz w:val="22"/>
          <w:szCs w:val="22"/>
          <w:lang w:val="fr-FR"/>
        </w:rPr>
        <w:t>’</w:t>
      </w:r>
      <w:r w:rsidRPr="00B26F87">
        <w:rPr>
          <w:rFonts w:ascii="Arial" w:hAnsi="Arial" w:cs="Arial"/>
          <w:bCs/>
          <w:sz w:val="22"/>
          <w:szCs w:val="22"/>
          <w:lang w:val="fr-FR"/>
        </w:rPr>
        <w:t>adopter l</w:t>
      </w:r>
      <w:r w:rsidR="008E532B">
        <w:rPr>
          <w:rFonts w:ascii="Arial" w:hAnsi="Arial" w:cs="Arial"/>
          <w:bCs/>
          <w:sz w:val="22"/>
          <w:szCs w:val="22"/>
          <w:lang w:val="fr-FR"/>
        </w:rPr>
        <w:t>’</w:t>
      </w:r>
      <w:r w:rsidRPr="00B26F87">
        <w:rPr>
          <w:rFonts w:ascii="Arial" w:hAnsi="Arial" w:cs="Arial"/>
          <w:bCs/>
          <w:sz w:val="22"/>
          <w:szCs w:val="22"/>
          <w:lang w:val="fr-FR"/>
        </w:rPr>
        <w:t>option 1.</w:t>
      </w:r>
    </w:p>
    <w:p w14:paraId="64A9F64F" w14:textId="21478D6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26F87">
        <w:rPr>
          <w:rFonts w:ascii="Arial" w:hAnsi="Arial" w:cs="Arial"/>
          <w:bCs/>
          <w:sz w:val="22"/>
          <w:szCs w:val="22"/>
          <w:lang w:val="fr-FR"/>
        </w:rPr>
        <w:t xml:space="preserve">La délégation </w:t>
      </w:r>
      <w:r>
        <w:rPr>
          <w:rFonts w:ascii="Arial" w:hAnsi="Arial" w:cs="Arial"/>
          <w:bCs/>
          <w:sz w:val="22"/>
          <w:szCs w:val="22"/>
          <w:lang w:val="fr-FR"/>
        </w:rPr>
        <w:t xml:space="preserve">de la </w:t>
      </w:r>
      <w:r w:rsidRPr="00E8321F">
        <w:rPr>
          <w:rFonts w:ascii="Arial" w:hAnsi="Arial" w:cs="Arial"/>
          <w:b/>
          <w:sz w:val="22"/>
          <w:szCs w:val="22"/>
          <w:lang w:val="fr-FR"/>
        </w:rPr>
        <w:t>République bolivarienne du Venezuela</w:t>
      </w:r>
      <w:r w:rsidRPr="00B26F87">
        <w:rPr>
          <w:rFonts w:ascii="Arial" w:hAnsi="Arial" w:cs="Arial"/>
          <w:bCs/>
          <w:sz w:val="22"/>
          <w:szCs w:val="22"/>
          <w:lang w:val="fr-FR"/>
        </w:rPr>
        <w:t xml:space="preserve"> </w:t>
      </w:r>
      <w:r>
        <w:rPr>
          <w:rFonts w:ascii="Arial" w:hAnsi="Arial" w:cs="Arial"/>
          <w:bCs/>
          <w:sz w:val="22"/>
          <w:szCs w:val="22"/>
          <w:lang w:val="fr-FR"/>
        </w:rPr>
        <w:t>abondait dans le sens de</w:t>
      </w:r>
      <w:r w:rsidRPr="00B26F87">
        <w:rPr>
          <w:rFonts w:ascii="Arial" w:hAnsi="Arial" w:cs="Arial"/>
          <w:bCs/>
          <w:sz w:val="22"/>
          <w:szCs w:val="22"/>
          <w:lang w:val="fr-FR"/>
        </w:rPr>
        <w:t xml:space="preserve"> la Palestine, préférant adopter l</w:t>
      </w:r>
      <w:r w:rsidR="008E532B">
        <w:rPr>
          <w:rFonts w:ascii="Arial" w:hAnsi="Arial" w:cs="Arial"/>
          <w:bCs/>
          <w:sz w:val="22"/>
          <w:szCs w:val="22"/>
          <w:lang w:val="fr-FR"/>
        </w:rPr>
        <w:t>’</w:t>
      </w:r>
      <w:r w:rsidRPr="00B26F87">
        <w:rPr>
          <w:rFonts w:ascii="Arial" w:hAnsi="Arial" w:cs="Arial"/>
          <w:bCs/>
          <w:sz w:val="22"/>
          <w:szCs w:val="22"/>
          <w:lang w:val="fr-FR"/>
        </w:rPr>
        <w:t xml:space="preserve">option 1 car elle </w:t>
      </w:r>
      <w:r>
        <w:rPr>
          <w:rFonts w:ascii="Arial" w:hAnsi="Arial" w:cs="Arial"/>
          <w:bCs/>
          <w:sz w:val="22"/>
          <w:szCs w:val="22"/>
          <w:lang w:val="fr-FR"/>
        </w:rPr>
        <w:t>était</w:t>
      </w:r>
      <w:r w:rsidRPr="00B26F87">
        <w:rPr>
          <w:rFonts w:ascii="Arial" w:hAnsi="Arial" w:cs="Arial"/>
          <w:bCs/>
          <w:sz w:val="22"/>
          <w:szCs w:val="22"/>
          <w:lang w:val="fr-FR"/>
        </w:rPr>
        <w:t xml:space="preserve"> plus claire et ne prêt</w:t>
      </w:r>
      <w:r>
        <w:rPr>
          <w:rFonts w:ascii="Arial" w:hAnsi="Arial" w:cs="Arial"/>
          <w:bCs/>
          <w:sz w:val="22"/>
          <w:szCs w:val="22"/>
          <w:lang w:val="fr-FR"/>
        </w:rPr>
        <w:t>ait</w:t>
      </w:r>
      <w:r w:rsidRPr="00B26F87">
        <w:rPr>
          <w:rFonts w:ascii="Arial" w:hAnsi="Arial" w:cs="Arial"/>
          <w:bCs/>
          <w:sz w:val="22"/>
          <w:szCs w:val="22"/>
          <w:lang w:val="fr-FR"/>
        </w:rPr>
        <w:t xml:space="preserve"> pas à interprétation.</w:t>
      </w:r>
      <w:r>
        <w:rPr>
          <w:rFonts w:ascii="Arial" w:hAnsi="Arial" w:cs="Arial"/>
          <w:bCs/>
          <w:sz w:val="22"/>
          <w:szCs w:val="22"/>
          <w:lang w:val="fr-FR"/>
        </w:rPr>
        <w:t xml:space="preserve"> Il était entendu</w:t>
      </w:r>
      <w:r w:rsidRPr="00B26F87">
        <w:rPr>
          <w:rFonts w:ascii="Arial" w:hAnsi="Arial" w:cs="Arial"/>
          <w:bCs/>
          <w:sz w:val="22"/>
          <w:szCs w:val="22"/>
          <w:lang w:val="fr-FR"/>
        </w:rPr>
        <w:t xml:space="preserve"> que </w:t>
      </w:r>
      <w:r>
        <w:rPr>
          <w:rFonts w:ascii="Arial" w:hAnsi="Arial" w:cs="Arial"/>
          <w:bCs/>
          <w:sz w:val="22"/>
          <w:szCs w:val="22"/>
          <w:lang w:val="fr-FR"/>
        </w:rPr>
        <w:t xml:space="preserve">le/la Directeur/Directrice général(e) </w:t>
      </w:r>
      <w:r w:rsidRPr="00B26F87">
        <w:rPr>
          <w:rFonts w:ascii="Arial" w:hAnsi="Arial" w:cs="Arial"/>
          <w:bCs/>
          <w:sz w:val="22"/>
          <w:szCs w:val="22"/>
          <w:lang w:val="fr-FR"/>
        </w:rPr>
        <w:t>continuait à agir comme cela avait été le cas auparavant.</w:t>
      </w:r>
    </w:p>
    <w:p w14:paraId="675B174E" w14:textId="348F9A2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F7373">
        <w:rPr>
          <w:rFonts w:ascii="Arial" w:hAnsi="Arial" w:cs="Arial"/>
          <w:bCs/>
          <w:sz w:val="22"/>
          <w:szCs w:val="22"/>
          <w:lang w:val="fr-FR"/>
        </w:rPr>
        <w:t>délégation</w:t>
      </w:r>
      <w:r>
        <w:rPr>
          <w:rFonts w:ascii="Arial" w:hAnsi="Arial" w:cs="Arial"/>
          <w:bCs/>
          <w:sz w:val="22"/>
          <w:szCs w:val="22"/>
          <w:lang w:val="fr-FR"/>
        </w:rPr>
        <w:t xml:space="preserve"> de la </w:t>
      </w:r>
      <w:r w:rsidRPr="001F7373">
        <w:rPr>
          <w:rFonts w:ascii="Arial" w:hAnsi="Arial" w:cs="Arial"/>
          <w:b/>
          <w:sz w:val="22"/>
          <w:szCs w:val="22"/>
          <w:lang w:val="fr-FR"/>
        </w:rPr>
        <w:t>Colombie</w:t>
      </w:r>
      <w:r>
        <w:rPr>
          <w:rFonts w:ascii="Arial" w:hAnsi="Arial" w:cs="Arial"/>
          <w:bCs/>
          <w:sz w:val="22"/>
          <w:szCs w:val="22"/>
          <w:lang w:val="fr-FR"/>
        </w:rPr>
        <w:t xml:space="preserve"> soutenait l</w:t>
      </w:r>
      <w:r w:rsidR="008E532B">
        <w:rPr>
          <w:rFonts w:ascii="Arial" w:hAnsi="Arial" w:cs="Arial"/>
          <w:bCs/>
          <w:sz w:val="22"/>
          <w:szCs w:val="22"/>
          <w:lang w:val="fr-FR"/>
        </w:rPr>
        <w:t>’</w:t>
      </w:r>
      <w:r>
        <w:rPr>
          <w:rFonts w:ascii="Arial" w:hAnsi="Arial" w:cs="Arial"/>
          <w:bCs/>
          <w:sz w:val="22"/>
          <w:szCs w:val="22"/>
          <w:lang w:val="fr-FR"/>
        </w:rPr>
        <w:t xml:space="preserve">option 2, avec la </w:t>
      </w:r>
      <w:r w:rsidRPr="001F7373">
        <w:rPr>
          <w:rFonts w:ascii="Arial" w:hAnsi="Arial" w:cs="Arial"/>
          <w:bCs/>
          <w:sz w:val="22"/>
          <w:szCs w:val="22"/>
          <w:lang w:val="fr-FR"/>
        </w:rPr>
        <w:t>proposition</w:t>
      </w:r>
      <w:r>
        <w:rPr>
          <w:rFonts w:ascii="Arial" w:hAnsi="Arial" w:cs="Arial"/>
          <w:bCs/>
          <w:sz w:val="22"/>
          <w:szCs w:val="22"/>
          <w:lang w:val="fr-FR"/>
        </w:rPr>
        <w:t xml:space="preserve"> de la Suisse d</w:t>
      </w:r>
      <w:r w:rsidR="008E532B">
        <w:rPr>
          <w:rFonts w:ascii="Arial" w:hAnsi="Arial" w:cs="Arial"/>
          <w:bCs/>
          <w:sz w:val="22"/>
          <w:szCs w:val="22"/>
          <w:lang w:val="fr-FR"/>
        </w:rPr>
        <w:t>’</w:t>
      </w:r>
      <w:r>
        <w:rPr>
          <w:rFonts w:ascii="Arial" w:hAnsi="Arial" w:cs="Arial"/>
          <w:bCs/>
          <w:sz w:val="22"/>
          <w:szCs w:val="22"/>
          <w:lang w:val="fr-FR"/>
        </w:rPr>
        <w:t xml:space="preserve">inclure « et autres </w:t>
      </w:r>
      <w:r w:rsidRPr="001F7373">
        <w:rPr>
          <w:rFonts w:ascii="Arial" w:hAnsi="Arial" w:cs="Arial"/>
          <w:bCs/>
          <w:sz w:val="22"/>
          <w:szCs w:val="22"/>
          <w:lang w:val="fr-FR"/>
        </w:rPr>
        <w:t>observateur</w:t>
      </w:r>
      <w:r>
        <w:rPr>
          <w:rFonts w:ascii="Arial" w:hAnsi="Arial" w:cs="Arial"/>
          <w:bCs/>
          <w:sz w:val="22"/>
          <w:szCs w:val="22"/>
          <w:lang w:val="fr-FR"/>
        </w:rPr>
        <w:t>s », mais elle était flexible.</w:t>
      </w:r>
    </w:p>
    <w:p w14:paraId="2C99E6AD" w14:textId="4121AB8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F7373">
        <w:rPr>
          <w:rFonts w:ascii="Arial" w:hAnsi="Arial" w:cs="Arial"/>
          <w:bCs/>
          <w:sz w:val="22"/>
          <w:szCs w:val="22"/>
          <w:lang w:val="fr-FR"/>
        </w:rPr>
        <w:t xml:space="preserve">La délégation de la </w:t>
      </w:r>
      <w:r w:rsidRPr="001F7373">
        <w:rPr>
          <w:rFonts w:ascii="Arial" w:hAnsi="Arial" w:cs="Arial"/>
          <w:b/>
          <w:sz w:val="22"/>
          <w:szCs w:val="22"/>
          <w:lang w:val="fr-FR"/>
        </w:rPr>
        <w:t>Tchéquie</w:t>
      </w:r>
      <w:r w:rsidRPr="001F7373">
        <w:rPr>
          <w:rFonts w:ascii="Arial" w:hAnsi="Arial" w:cs="Arial"/>
          <w:bCs/>
          <w:sz w:val="22"/>
          <w:szCs w:val="22"/>
          <w:lang w:val="fr-FR"/>
        </w:rPr>
        <w:t xml:space="preserve"> </w:t>
      </w:r>
      <w:r>
        <w:rPr>
          <w:rFonts w:ascii="Arial" w:hAnsi="Arial" w:cs="Arial"/>
          <w:bCs/>
          <w:sz w:val="22"/>
          <w:szCs w:val="22"/>
          <w:lang w:val="fr-FR"/>
        </w:rPr>
        <w:t xml:space="preserve">était </w:t>
      </w:r>
      <w:r w:rsidRPr="001F7373">
        <w:rPr>
          <w:rFonts w:ascii="Arial" w:hAnsi="Arial" w:cs="Arial"/>
          <w:bCs/>
          <w:sz w:val="22"/>
          <w:szCs w:val="22"/>
          <w:lang w:val="fr-FR"/>
        </w:rPr>
        <w:t>également</w:t>
      </w:r>
      <w:r>
        <w:rPr>
          <w:rFonts w:ascii="Arial" w:hAnsi="Arial" w:cs="Arial"/>
          <w:bCs/>
          <w:sz w:val="22"/>
          <w:szCs w:val="22"/>
          <w:lang w:val="fr-FR"/>
        </w:rPr>
        <w:t xml:space="preserve"> plutôt favorable à</w:t>
      </w:r>
      <w:r w:rsidRPr="001F7373">
        <w:rPr>
          <w:rFonts w:ascii="Arial" w:hAnsi="Arial" w:cs="Arial"/>
          <w:bCs/>
          <w:sz w:val="22"/>
          <w:szCs w:val="22"/>
          <w:lang w:val="fr-FR"/>
        </w:rPr>
        <w:t xml:space="preserve"> l</w:t>
      </w:r>
      <w:r w:rsidR="008E532B">
        <w:rPr>
          <w:rFonts w:ascii="Arial" w:hAnsi="Arial" w:cs="Arial"/>
          <w:bCs/>
          <w:sz w:val="22"/>
          <w:szCs w:val="22"/>
          <w:lang w:val="fr-FR"/>
        </w:rPr>
        <w:t>’</w:t>
      </w:r>
      <w:r w:rsidRPr="001F7373">
        <w:rPr>
          <w:rFonts w:ascii="Arial" w:hAnsi="Arial" w:cs="Arial"/>
          <w:bCs/>
          <w:sz w:val="22"/>
          <w:szCs w:val="22"/>
          <w:lang w:val="fr-FR"/>
        </w:rPr>
        <w:t>option 2, en remarquant que le Conseiller juridique avait clairement expliqué que la révision de ce document était une occasion d</w:t>
      </w:r>
      <w:r w:rsidR="008E532B">
        <w:rPr>
          <w:rFonts w:ascii="Arial" w:hAnsi="Arial" w:cs="Arial"/>
          <w:bCs/>
          <w:sz w:val="22"/>
          <w:szCs w:val="22"/>
          <w:lang w:val="fr-FR"/>
        </w:rPr>
        <w:t>’</w:t>
      </w:r>
      <w:r>
        <w:rPr>
          <w:rFonts w:ascii="Arial" w:hAnsi="Arial" w:cs="Arial"/>
          <w:bCs/>
          <w:sz w:val="22"/>
          <w:szCs w:val="22"/>
          <w:lang w:val="fr-FR"/>
        </w:rPr>
        <w:t xml:space="preserve">aller plus avant dans </w:t>
      </w:r>
      <w:r w:rsidRPr="001F7373">
        <w:rPr>
          <w:rFonts w:ascii="Arial" w:hAnsi="Arial" w:cs="Arial"/>
          <w:bCs/>
          <w:sz w:val="22"/>
          <w:szCs w:val="22"/>
          <w:lang w:val="fr-FR"/>
        </w:rPr>
        <w:t>les travaux de l</w:t>
      </w:r>
      <w:r w:rsidR="008E532B">
        <w:rPr>
          <w:rFonts w:ascii="Arial" w:hAnsi="Arial" w:cs="Arial"/>
          <w:bCs/>
          <w:sz w:val="22"/>
          <w:szCs w:val="22"/>
          <w:lang w:val="fr-FR"/>
        </w:rPr>
        <w:t>’</w:t>
      </w:r>
      <w:r w:rsidRPr="001F7373">
        <w:rPr>
          <w:rFonts w:ascii="Arial" w:hAnsi="Arial" w:cs="Arial"/>
          <w:bCs/>
          <w:sz w:val="22"/>
          <w:szCs w:val="22"/>
          <w:lang w:val="fr-FR"/>
        </w:rPr>
        <w:t>Assemblée. La délégation souhait</w:t>
      </w:r>
      <w:r>
        <w:rPr>
          <w:rFonts w:ascii="Arial" w:hAnsi="Arial" w:cs="Arial"/>
          <w:bCs/>
          <w:sz w:val="22"/>
          <w:szCs w:val="22"/>
          <w:lang w:val="fr-FR"/>
        </w:rPr>
        <w:t>ait</w:t>
      </w:r>
      <w:r w:rsidRPr="001F7373">
        <w:rPr>
          <w:rFonts w:ascii="Arial" w:hAnsi="Arial" w:cs="Arial"/>
          <w:bCs/>
          <w:sz w:val="22"/>
          <w:szCs w:val="22"/>
          <w:lang w:val="fr-FR"/>
        </w:rPr>
        <w:t xml:space="preserve"> que les représentants des communautés, par exemple, puissent suivre </w:t>
      </w:r>
      <w:r>
        <w:rPr>
          <w:rFonts w:ascii="Arial" w:hAnsi="Arial" w:cs="Arial"/>
          <w:bCs/>
          <w:sz w:val="22"/>
          <w:szCs w:val="22"/>
          <w:lang w:val="fr-FR"/>
        </w:rPr>
        <w:t xml:space="preserve">les travaux </w:t>
      </w:r>
      <w:r w:rsidRPr="001F7373">
        <w:rPr>
          <w:rFonts w:ascii="Arial" w:hAnsi="Arial" w:cs="Arial"/>
          <w:bCs/>
          <w:sz w:val="22"/>
          <w:szCs w:val="22"/>
          <w:lang w:val="fr-FR"/>
        </w:rPr>
        <w:t>en tant qu</w:t>
      </w:r>
      <w:r w:rsidR="008E532B">
        <w:rPr>
          <w:rFonts w:ascii="Arial" w:hAnsi="Arial" w:cs="Arial"/>
          <w:bCs/>
          <w:sz w:val="22"/>
          <w:szCs w:val="22"/>
          <w:lang w:val="fr-FR"/>
        </w:rPr>
        <w:t>’</w:t>
      </w:r>
      <w:r w:rsidRPr="001F7373">
        <w:rPr>
          <w:rFonts w:ascii="Arial" w:hAnsi="Arial" w:cs="Arial"/>
          <w:bCs/>
          <w:sz w:val="22"/>
          <w:szCs w:val="22"/>
          <w:lang w:val="fr-FR"/>
        </w:rPr>
        <w:t>observateurs, sans droit de vote. Cela permettrait de diffuser encore davantage les activités de la Convention. La Tchéquie consid</w:t>
      </w:r>
      <w:r>
        <w:rPr>
          <w:rFonts w:ascii="Arial" w:hAnsi="Arial" w:cs="Arial"/>
          <w:bCs/>
          <w:sz w:val="22"/>
          <w:szCs w:val="22"/>
          <w:lang w:val="fr-FR"/>
        </w:rPr>
        <w:t>érait</w:t>
      </w:r>
      <w:r w:rsidRPr="001F7373">
        <w:rPr>
          <w:rFonts w:ascii="Arial" w:hAnsi="Arial" w:cs="Arial"/>
          <w:bCs/>
          <w:sz w:val="22"/>
          <w:szCs w:val="22"/>
          <w:lang w:val="fr-FR"/>
        </w:rPr>
        <w:t xml:space="preserve"> que l</w:t>
      </w:r>
      <w:r w:rsidR="008E532B">
        <w:rPr>
          <w:rFonts w:ascii="Arial" w:hAnsi="Arial" w:cs="Arial"/>
          <w:bCs/>
          <w:sz w:val="22"/>
          <w:szCs w:val="22"/>
          <w:lang w:val="fr-FR"/>
        </w:rPr>
        <w:t>’</w:t>
      </w:r>
      <w:r w:rsidRPr="001F7373">
        <w:rPr>
          <w:rFonts w:ascii="Arial" w:hAnsi="Arial" w:cs="Arial"/>
          <w:bCs/>
          <w:sz w:val="22"/>
          <w:szCs w:val="22"/>
          <w:lang w:val="fr-FR"/>
        </w:rPr>
        <w:t xml:space="preserve">ajout de </w:t>
      </w:r>
      <w:r>
        <w:rPr>
          <w:rFonts w:ascii="Arial" w:hAnsi="Arial" w:cs="Arial"/>
          <w:bCs/>
          <w:sz w:val="22"/>
          <w:szCs w:val="22"/>
          <w:lang w:val="fr-FR"/>
        </w:rPr>
        <w:t>« </w:t>
      </w:r>
      <w:r w:rsidRPr="001F7373">
        <w:rPr>
          <w:rFonts w:ascii="Arial" w:hAnsi="Arial" w:cs="Arial"/>
          <w:bCs/>
          <w:sz w:val="22"/>
          <w:szCs w:val="22"/>
          <w:lang w:val="fr-FR"/>
        </w:rPr>
        <w:t>et autres observateurs</w:t>
      </w:r>
      <w:r>
        <w:rPr>
          <w:rFonts w:ascii="Arial" w:hAnsi="Arial" w:cs="Arial"/>
          <w:bCs/>
          <w:sz w:val="22"/>
          <w:szCs w:val="22"/>
          <w:lang w:val="fr-FR"/>
        </w:rPr>
        <w:t> »</w:t>
      </w:r>
      <w:r w:rsidRPr="001F7373">
        <w:rPr>
          <w:rFonts w:ascii="Arial" w:hAnsi="Arial" w:cs="Arial"/>
          <w:bCs/>
          <w:sz w:val="22"/>
          <w:szCs w:val="22"/>
          <w:lang w:val="fr-FR"/>
        </w:rPr>
        <w:t xml:space="preserve"> par la Suisse </w:t>
      </w:r>
      <w:r>
        <w:rPr>
          <w:rFonts w:ascii="Arial" w:hAnsi="Arial" w:cs="Arial"/>
          <w:bCs/>
          <w:sz w:val="22"/>
          <w:szCs w:val="22"/>
          <w:lang w:val="fr-FR"/>
        </w:rPr>
        <w:t xml:space="preserve">était </w:t>
      </w:r>
      <w:r w:rsidRPr="001F7373">
        <w:rPr>
          <w:rFonts w:ascii="Arial" w:hAnsi="Arial" w:cs="Arial"/>
          <w:bCs/>
          <w:sz w:val="22"/>
          <w:szCs w:val="22"/>
          <w:lang w:val="fr-FR"/>
        </w:rPr>
        <w:t>très important. Toutefois, elle</w:t>
      </w:r>
      <w:r>
        <w:rPr>
          <w:rFonts w:ascii="Arial" w:hAnsi="Arial" w:cs="Arial"/>
          <w:bCs/>
          <w:sz w:val="22"/>
          <w:szCs w:val="22"/>
          <w:lang w:val="fr-FR"/>
        </w:rPr>
        <w:t xml:space="preserve"> était</w:t>
      </w:r>
      <w:r w:rsidRPr="001F7373">
        <w:rPr>
          <w:rFonts w:ascii="Arial" w:hAnsi="Arial" w:cs="Arial"/>
          <w:bCs/>
          <w:sz w:val="22"/>
          <w:szCs w:val="22"/>
          <w:lang w:val="fr-FR"/>
        </w:rPr>
        <w:t xml:space="preserve"> assez </w:t>
      </w:r>
      <w:r>
        <w:rPr>
          <w:rFonts w:ascii="Arial" w:hAnsi="Arial" w:cs="Arial"/>
          <w:bCs/>
          <w:sz w:val="22"/>
          <w:szCs w:val="22"/>
          <w:lang w:val="fr-FR"/>
        </w:rPr>
        <w:t>flexible</w:t>
      </w:r>
      <w:r w:rsidRPr="001F7373">
        <w:rPr>
          <w:rFonts w:ascii="Arial" w:hAnsi="Arial" w:cs="Arial"/>
          <w:bCs/>
          <w:sz w:val="22"/>
          <w:szCs w:val="22"/>
          <w:lang w:val="fr-FR"/>
        </w:rPr>
        <w:t xml:space="preserve"> à l</w:t>
      </w:r>
      <w:r w:rsidR="008E532B">
        <w:rPr>
          <w:rFonts w:ascii="Arial" w:hAnsi="Arial" w:cs="Arial"/>
          <w:bCs/>
          <w:sz w:val="22"/>
          <w:szCs w:val="22"/>
          <w:lang w:val="fr-FR"/>
        </w:rPr>
        <w:t>’</w:t>
      </w:r>
      <w:r w:rsidRPr="001F7373">
        <w:rPr>
          <w:rFonts w:ascii="Arial" w:hAnsi="Arial" w:cs="Arial"/>
          <w:bCs/>
          <w:sz w:val="22"/>
          <w:szCs w:val="22"/>
          <w:lang w:val="fr-FR"/>
        </w:rPr>
        <w:t>égard de la proposition de l</w:t>
      </w:r>
      <w:r w:rsidR="008E532B">
        <w:rPr>
          <w:rFonts w:ascii="Arial" w:hAnsi="Arial" w:cs="Arial"/>
          <w:bCs/>
          <w:sz w:val="22"/>
          <w:szCs w:val="22"/>
          <w:lang w:val="fr-FR"/>
        </w:rPr>
        <w:t>’</w:t>
      </w:r>
      <w:r w:rsidRPr="001F7373">
        <w:rPr>
          <w:rFonts w:ascii="Arial" w:hAnsi="Arial" w:cs="Arial"/>
          <w:bCs/>
          <w:sz w:val="22"/>
          <w:szCs w:val="22"/>
          <w:lang w:val="fr-FR"/>
        </w:rPr>
        <w:t>Arabie saoudite, même si le fait d</w:t>
      </w:r>
      <w:r w:rsidR="008E532B">
        <w:rPr>
          <w:rFonts w:ascii="Arial" w:hAnsi="Arial" w:cs="Arial"/>
          <w:bCs/>
          <w:sz w:val="22"/>
          <w:szCs w:val="22"/>
          <w:lang w:val="fr-FR"/>
        </w:rPr>
        <w:t>’</w:t>
      </w:r>
      <w:r w:rsidRPr="001F7373">
        <w:rPr>
          <w:rFonts w:ascii="Arial" w:hAnsi="Arial" w:cs="Arial"/>
          <w:bCs/>
          <w:sz w:val="22"/>
          <w:szCs w:val="22"/>
          <w:lang w:val="fr-FR"/>
        </w:rPr>
        <w:t>avoir à la fois l</w:t>
      </w:r>
      <w:r w:rsidR="008E532B">
        <w:rPr>
          <w:rFonts w:ascii="Arial" w:hAnsi="Arial" w:cs="Arial"/>
          <w:bCs/>
          <w:sz w:val="22"/>
          <w:szCs w:val="22"/>
          <w:lang w:val="fr-FR"/>
        </w:rPr>
        <w:t>’</w:t>
      </w:r>
      <w:r w:rsidRPr="001F7373">
        <w:rPr>
          <w:rFonts w:ascii="Arial" w:hAnsi="Arial" w:cs="Arial"/>
          <w:bCs/>
          <w:sz w:val="22"/>
          <w:szCs w:val="22"/>
          <w:lang w:val="fr-FR"/>
        </w:rPr>
        <w:t>article 3.2 et l</w:t>
      </w:r>
      <w:r w:rsidR="008E532B">
        <w:rPr>
          <w:rFonts w:ascii="Arial" w:hAnsi="Arial" w:cs="Arial"/>
          <w:bCs/>
          <w:sz w:val="22"/>
          <w:szCs w:val="22"/>
          <w:lang w:val="fr-FR"/>
        </w:rPr>
        <w:t>’</w:t>
      </w:r>
      <w:r w:rsidRPr="001F7373">
        <w:rPr>
          <w:rFonts w:ascii="Arial" w:hAnsi="Arial" w:cs="Arial"/>
          <w:bCs/>
          <w:sz w:val="22"/>
          <w:szCs w:val="22"/>
          <w:lang w:val="fr-FR"/>
        </w:rPr>
        <w:t xml:space="preserve">article 3.3 </w:t>
      </w:r>
      <w:r>
        <w:rPr>
          <w:rFonts w:ascii="Arial" w:hAnsi="Arial" w:cs="Arial"/>
          <w:bCs/>
          <w:sz w:val="22"/>
          <w:szCs w:val="22"/>
          <w:lang w:val="fr-FR"/>
        </w:rPr>
        <w:t>était</w:t>
      </w:r>
      <w:r w:rsidRPr="001F7373">
        <w:rPr>
          <w:rFonts w:ascii="Arial" w:hAnsi="Arial" w:cs="Arial"/>
          <w:bCs/>
          <w:sz w:val="22"/>
          <w:szCs w:val="22"/>
          <w:lang w:val="fr-FR"/>
        </w:rPr>
        <w:t xml:space="preserve"> beaucoup plus clair qu</w:t>
      </w:r>
      <w:r w:rsidR="008E532B">
        <w:rPr>
          <w:rFonts w:ascii="Arial" w:hAnsi="Arial" w:cs="Arial"/>
          <w:bCs/>
          <w:sz w:val="22"/>
          <w:szCs w:val="22"/>
          <w:lang w:val="fr-FR"/>
        </w:rPr>
        <w:t>’</w:t>
      </w:r>
      <w:r w:rsidRPr="001F7373">
        <w:rPr>
          <w:rFonts w:ascii="Arial" w:hAnsi="Arial" w:cs="Arial"/>
          <w:bCs/>
          <w:sz w:val="22"/>
          <w:szCs w:val="22"/>
          <w:lang w:val="fr-FR"/>
        </w:rPr>
        <w:t xml:space="preserve">un seul article, à condition que </w:t>
      </w:r>
      <w:r>
        <w:rPr>
          <w:rFonts w:ascii="Arial" w:hAnsi="Arial" w:cs="Arial"/>
          <w:bCs/>
          <w:sz w:val="22"/>
          <w:szCs w:val="22"/>
          <w:lang w:val="fr-FR"/>
        </w:rPr>
        <w:t>« </w:t>
      </w:r>
      <w:r w:rsidRPr="001F7373">
        <w:rPr>
          <w:rFonts w:ascii="Arial" w:hAnsi="Arial" w:cs="Arial"/>
          <w:bCs/>
          <w:sz w:val="22"/>
          <w:szCs w:val="22"/>
          <w:lang w:val="fr-FR"/>
        </w:rPr>
        <w:t>et autres observateurs</w:t>
      </w:r>
      <w:r>
        <w:rPr>
          <w:rFonts w:ascii="Arial" w:hAnsi="Arial" w:cs="Arial"/>
          <w:bCs/>
          <w:sz w:val="22"/>
          <w:szCs w:val="22"/>
          <w:lang w:val="fr-FR"/>
        </w:rPr>
        <w:t> » figure dans le texte</w:t>
      </w:r>
      <w:r w:rsidRPr="001F7373">
        <w:rPr>
          <w:rFonts w:ascii="Arial" w:hAnsi="Arial" w:cs="Arial"/>
          <w:bCs/>
          <w:sz w:val="22"/>
          <w:szCs w:val="22"/>
          <w:lang w:val="fr-FR"/>
        </w:rPr>
        <w:t>.</w:t>
      </w:r>
    </w:p>
    <w:p w14:paraId="27333E6F" w14:textId="250616E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631C2">
        <w:rPr>
          <w:rFonts w:ascii="Arial" w:hAnsi="Arial" w:cs="Arial"/>
          <w:bCs/>
          <w:sz w:val="22"/>
          <w:szCs w:val="22"/>
          <w:lang w:val="fr-FR"/>
        </w:rPr>
        <w:t>délégation</w:t>
      </w:r>
      <w:r>
        <w:rPr>
          <w:rFonts w:ascii="Arial" w:hAnsi="Arial" w:cs="Arial"/>
          <w:bCs/>
          <w:sz w:val="22"/>
          <w:szCs w:val="22"/>
          <w:lang w:val="fr-FR"/>
        </w:rPr>
        <w:t xml:space="preserve"> de la </w:t>
      </w:r>
      <w:r w:rsidRPr="001631C2">
        <w:rPr>
          <w:rFonts w:ascii="Arial" w:hAnsi="Arial" w:cs="Arial"/>
          <w:b/>
          <w:sz w:val="22"/>
          <w:szCs w:val="22"/>
          <w:lang w:val="fr-FR"/>
        </w:rPr>
        <w:t>France</w:t>
      </w:r>
      <w:r>
        <w:rPr>
          <w:rFonts w:ascii="Arial" w:hAnsi="Arial" w:cs="Arial"/>
          <w:bCs/>
          <w:sz w:val="22"/>
          <w:szCs w:val="22"/>
          <w:lang w:val="fr-FR"/>
        </w:rPr>
        <w:t xml:space="preserve"> était favorable à l</w:t>
      </w:r>
      <w:r w:rsidR="008E532B">
        <w:rPr>
          <w:rFonts w:ascii="Arial" w:hAnsi="Arial" w:cs="Arial"/>
          <w:bCs/>
          <w:sz w:val="22"/>
          <w:szCs w:val="22"/>
          <w:lang w:val="fr-FR"/>
        </w:rPr>
        <w:t>’</w:t>
      </w:r>
      <w:r>
        <w:rPr>
          <w:rFonts w:ascii="Arial" w:hAnsi="Arial" w:cs="Arial"/>
          <w:bCs/>
          <w:sz w:val="22"/>
          <w:szCs w:val="22"/>
          <w:lang w:val="fr-FR"/>
        </w:rPr>
        <w:t xml:space="preserve">option 2 et à la mention « et autres </w:t>
      </w:r>
      <w:r w:rsidRPr="001631C2">
        <w:rPr>
          <w:rFonts w:ascii="Arial" w:hAnsi="Arial" w:cs="Arial"/>
          <w:bCs/>
          <w:sz w:val="22"/>
          <w:szCs w:val="22"/>
          <w:lang w:val="fr-FR"/>
        </w:rPr>
        <w:t>observateurs</w:t>
      </w:r>
      <w:r>
        <w:rPr>
          <w:rFonts w:ascii="Arial" w:hAnsi="Arial" w:cs="Arial"/>
          <w:bCs/>
          <w:sz w:val="22"/>
          <w:szCs w:val="22"/>
          <w:lang w:val="fr-FR"/>
        </w:rPr>
        <w:t> », d</w:t>
      </w:r>
      <w:r w:rsidR="008E532B">
        <w:rPr>
          <w:rFonts w:ascii="Arial" w:hAnsi="Arial" w:cs="Arial"/>
          <w:bCs/>
          <w:sz w:val="22"/>
          <w:szCs w:val="22"/>
          <w:lang w:val="fr-FR"/>
        </w:rPr>
        <w:t>’</w:t>
      </w:r>
      <w:r>
        <w:rPr>
          <w:rFonts w:ascii="Arial" w:hAnsi="Arial" w:cs="Arial"/>
          <w:bCs/>
          <w:sz w:val="22"/>
          <w:szCs w:val="22"/>
          <w:lang w:val="fr-FR"/>
        </w:rPr>
        <w:t>autant que c</w:t>
      </w:r>
      <w:r w:rsidR="008E532B">
        <w:rPr>
          <w:rFonts w:ascii="Arial" w:hAnsi="Arial" w:cs="Arial"/>
          <w:bCs/>
          <w:sz w:val="22"/>
          <w:szCs w:val="22"/>
          <w:lang w:val="fr-FR"/>
        </w:rPr>
        <w:t>’</w:t>
      </w:r>
      <w:r>
        <w:rPr>
          <w:rFonts w:ascii="Arial" w:hAnsi="Arial" w:cs="Arial"/>
          <w:bCs/>
          <w:sz w:val="22"/>
          <w:szCs w:val="22"/>
          <w:lang w:val="fr-FR"/>
        </w:rPr>
        <w:t>était déjà le cas et qu</w:t>
      </w:r>
      <w:r w:rsidR="008E532B">
        <w:rPr>
          <w:rFonts w:ascii="Arial" w:hAnsi="Arial" w:cs="Arial"/>
          <w:bCs/>
          <w:sz w:val="22"/>
          <w:szCs w:val="22"/>
          <w:lang w:val="fr-FR"/>
        </w:rPr>
        <w:t>’</w:t>
      </w:r>
      <w:r>
        <w:rPr>
          <w:rFonts w:ascii="Arial" w:hAnsi="Arial" w:cs="Arial"/>
          <w:bCs/>
          <w:sz w:val="22"/>
          <w:szCs w:val="22"/>
          <w:lang w:val="fr-FR"/>
        </w:rPr>
        <w:t>elle ne voyait aucun obstacle à cette mention.</w:t>
      </w:r>
    </w:p>
    <w:p w14:paraId="73EEFC04" w14:textId="75A9A64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631C2">
        <w:rPr>
          <w:rFonts w:ascii="Arial" w:hAnsi="Arial" w:cs="Arial"/>
          <w:bCs/>
          <w:sz w:val="22"/>
          <w:szCs w:val="22"/>
          <w:lang w:val="fr-FR"/>
        </w:rPr>
        <w:t xml:space="preserve">La délégation </w:t>
      </w:r>
      <w:r>
        <w:rPr>
          <w:rFonts w:ascii="Arial" w:hAnsi="Arial" w:cs="Arial"/>
          <w:bCs/>
          <w:sz w:val="22"/>
          <w:szCs w:val="22"/>
          <w:lang w:val="fr-FR"/>
        </w:rPr>
        <w:t xml:space="preserve">de la </w:t>
      </w:r>
      <w:r w:rsidRPr="001631C2">
        <w:rPr>
          <w:rFonts w:ascii="Arial" w:hAnsi="Arial" w:cs="Arial"/>
          <w:b/>
          <w:sz w:val="22"/>
          <w:szCs w:val="22"/>
          <w:lang w:val="fr-FR"/>
        </w:rPr>
        <w:t>Pologne</w:t>
      </w:r>
      <w:r>
        <w:rPr>
          <w:rFonts w:ascii="Arial" w:hAnsi="Arial" w:cs="Arial"/>
          <w:bCs/>
          <w:sz w:val="22"/>
          <w:szCs w:val="22"/>
          <w:lang w:val="fr-FR"/>
        </w:rPr>
        <w:t xml:space="preserve"> </w:t>
      </w:r>
      <w:r w:rsidRPr="001631C2">
        <w:rPr>
          <w:rFonts w:ascii="Arial" w:hAnsi="Arial" w:cs="Arial"/>
          <w:bCs/>
          <w:sz w:val="22"/>
          <w:szCs w:val="22"/>
          <w:lang w:val="fr-FR"/>
        </w:rPr>
        <w:t>soutenait fermement l</w:t>
      </w:r>
      <w:r w:rsidR="008E532B">
        <w:rPr>
          <w:rFonts w:ascii="Arial" w:hAnsi="Arial" w:cs="Arial"/>
          <w:bCs/>
          <w:sz w:val="22"/>
          <w:szCs w:val="22"/>
          <w:lang w:val="fr-FR"/>
        </w:rPr>
        <w:t>’</w:t>
      </w:r>
      <w:r w:rsidRPr="001631C2">
        <w:rPr>
          <w:rFonts w:ascii="Arial" w:hAnsi="Arial" w:cs="Arial"/>
          <w:bCs/>
          <w:sz w:val="22"/>
          <w:szCs w:val="22"/>
          <w:lang w:val="fr-FR"/>
        </w:rPr>
        <w:t>option 2</w:t>
      </w:r>
      <w:r>
        <w:rPr>
          <w:rFonts w:ascii="Arial" w:hAnsi="Arial" w:cs="Arial"/>
          <w:bCs/>
          <w:sz w:val="22"/>
          <w:szCs w:val="22"/>
          <w:lang w:val="fr-FR"/>
        </w:rPr>
        <w:t>,</w:t>
      </w:r>
      <w:r w:rsidRPr="001631C2">
        <w:rPr>
          <w:rFonts w:ascii="Arial" w:hAnsi="Arial" w:cs="Arial"/>
          <w:bCs/>
          <w:sz w:val="22"/>
          <w:szCs w:val="22"/>
          <w:lang w:val="fr-FR"/>
        </w:rPr>
        <w:t xml:space="preserve"> car il exist</w:t>
      </w:r>
      <w:r>
        <w:rPr>
          <w:rFonts w:ascii="Arial" w:hAnsi="Arial" w:cs="Arial"/>
          <w:bCs/>
          <w:sz w:val="22"/>
          <w:szCs w:val="22"/>
          <w:lang w:val="fr-FR"/>
        </w:rPr>
        <w:t>ait</w:t>
      </w:r>
      <w:r w:rsidRPr="001631C2">
        <w:rPr>
          <w:rFonts w:ascii="Arial" w:hAnsi="Arial" w:cs="Arial"/>
          <w:bCs/>
          <w:sz w:val="22"/>
          <w:szCs w:val="22"/>
          <w:lang w:val="fr-FR"/>
        </w:rPr>
        <w:t xml:space="preserve"> une grande différence entre les organisations intergouvernementales et les organisations internationales non gouvernementales et autres observateurs.</w:t>
      </w:r>
    </w:p>
    <w:p w14:paraId="32472189" w14:textId="0692DB8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631C2">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1631C2">
        <w:rPr>
          <w:rFonts w:ascii="Arial" w:hAnsi="Arial" w:cs="Arial"/>
          <w:b/>
          <w:sz w:val="22"/>
          <w:szCs w:val="22"/>
          <w:lang w:val="fr-FR"/>
        </w:rPr>
        <w:t>Autriche</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alignait sur la Colombie, la Tchéquie, la France et la Pologne en faveur de l</w:t>
      </w:r>
      <w:r w:rsidR="008E532B">
        <w:rPr>
          <w:rFonts w:ascii="Arial" w:hAnsi="Arial" w:cs="Arial"/>
          <w:bCs/>
          <w:sz w:val="22"/>
          <w:szCs w:val="22"/>
          <w:lang w:val="fr-FR"/>
        </w:rPr>
        <w:t>’</w:t>
      </w:r>
      <w:r>
        <w:rPr>
          <w:rFonts w:ascii="Arial" w:hAnsi="Arial" w:cs="Arial"/>
          <w:bCs/>
          <w:sz w:val="22"/>
          <w:szCs w:val="22"/>
          <w:lang w:val="fr-FR"/>
        </w:rPr>
        <w:t>option 2.</w:t>
      </w:r>
    </w:p>
    <w:p w14:paraId="6DDE56D0" w14:textId="4FA7F04E" w:rsidR="00D9653F" w:rsidRPr="001631C2"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631C2">
        <w:rPr>
          <w:rFonts w:ascii="Arial" w:hAnsi="Arial" w:cs="Arial"/>
          <w:bCs/>
          <w:sz w:val="22"/>
          <w:szCs w:val="22"/>
          <w:lang w:val="fr-FR"/>
        </w:rPr>
        <w:t xml:space="preserve">La délégation de la </w:t>
      </w:r>
      <w:r w:rsidRPr="001631C2">
        <w:rPr>
          <w:rFonts w:ascii="Arial" w:hAnsi="Arial" w:cs="Arial"/>
          <w:b/>
          <w:sz w:val="22"/>
          <w:szCs w:val="22"/>
          <w:lang w:val="fr-FR"/>
        </w:rPr>
        <w:t>Türkiye</w:t>
      </w:r>
      <w:r>
        <w:rPr>
          <w:rFonts w:ascii="Arial" w:hAnsi="Arial" w:cs="Arial"/>
          <w:bCs/>
          <w:sz w:val="22"/>
          <w:szCs w:val="22"/>
          <w:lang w:val="fr-FR"/>
        </w:rPr>
        <w:t xml:space="preserve"> </w:t>
      </w:r>
      <w:r w:rsidRPr="001631C2">
        <w:rPr>
          <w:rFonts w:ascii="Arial" w:hAnsi="Arial" w:cs="Arial"/>
          <w:bCs/>
          <w:sz w:val="22"/>
          <w:szCs w:val="22"/>
          <w:lang w:val="fr-FR"/>
        </w:rPr>
        <w:t>préfér</w:t>
      </w:r>
      <w:r>
        <w:rPr>
          <w:rFonts w:ascii="Arial" w:hAnsi="Arial" w:cs="Arial"/>
          <w:bCs/>
          <w:sz w:val="22"/>
          <w:szCs w:val="22"/>
          <w:lang w:val="fr-FR"/>
        </w:rPr>
        <w:t>ait</w:t>
      </w:r>
      <w:r w:rsidRPr="001631C2">
        <w:rPr>
          <w:rFonts w:ascii="Arial" w:hAnsi="Arial" w:cs="Arial"/>
          <w:bCs/>
          <w:sz w:val="22"/>
          <w:szCs w:val="22"/>
          <w:lang w:val="fr-FR"/>
        </w:rPr>
        <w:t xml:space="preserve"> l</w:t>
      </w:r>
      <w:r w:rsidR="008E532B">
        <w:rPr>
          <w:rFonts w:ascii="Arial" w:hAnsi="Arial" w:cs="Arial"/>
          <w:bCs/>
          <w:sz w:val="22"/>
          <w:szCs w:val="22"/>
          <w:lang w:val="fr-FR"/>
        </w:rPr>
        <w:t>’</w:t>
      </w:r>
      <w:r w:rsidRPr="001631C2">
        <w:rPr>
          <w:rFonts w:ascii="Arial" w:hAnsi="Arial" w:cs="Arial"/>
          <w:bCs/>
          <w:sz w:val="22"/>
          <w:szCs w:val="22"/>
          <w:lang w:val="fr-FR"/>
        </w:rPr>
        <w:t>option 1, ajoutant que l</w:t>
      </w:r>
      <w:r w:rsidR="008E532B">
        <w:rPr>
          <w:rFonts w:ascii="Arial" w:hAnsi="Arial" w:cs="Arial"/>
          <w:bCs/>
          <w:sz w:val="22"/>
          <w:szCs w:val="22"/>
          <w:lang w:val="fr-FR"/>
        </w:rPr>
        <w:t>’</w:t>
      </w:r>
      <w:r w:rsidRPr="001631C2">
        <w:rPr>
          <w:rFonts w:ascii="Arial" w:hAnsi="Arial" w:cs="Arial"/>
          <w:bCs/>
          <w:sz w:val="22"/>
          <w:szCs w:val="22"/>
          <w:lang w:val="fr-FR"/>
        </w:rPr>
        <w:t>option 2 et l</w:t>
      </w:r>
      <w:r w:rsidR="008E532B">
        <w:rPr>
          <w:rFonts w:ascii="Arial" w:hAnsi="Arial" w:cs="Arial"/>
          <w:bCs/>
          <w:sz w:val="22"/>
          <w:szCs w:val="22"/>
          <w:lang w:val="fr-FR"/>
        </w:rPr>
        <w:t>’</w:t>
      </w:r>
      <w:r w:rsidRPr="001631C2">
        <w:rPr>
          <w:rFonts w:ascii="Arial" w:hAnsi="Arial" w:cs="Arial"/>
          <w:bCs/>
          <w:sz w:val="22"/>
          <w:szCs w:val="22"/>
          <w:lang w:val="fr-FR"/>
        </w:rPr>
        <w:t>ajout de</w:t>
      </w:r>
      <w:r>
        <w:rPr>
          <w:rFonts w:ascii="Arial" w:hAnsi="Arial" w:cs="Arial"/>
          <w:bCs/>
          <w:sz w:val="22"/>
          <w:szCs w:val="22"/>
          <w:lang w:val="fr-FR"/>
        </w:rPr>
        <w:t>s</w:t>
      </w:r>
      <w:r w:rsidRPr="001631C2">
        <w:rPr>
          <w:rFonts w:ascii="Arial" w:hAnsi="Arial" w:cs="Arial"/>
          <w:bCs/>
          <w:sz w:val="22"/>
          <w:szCs w:val="22"/>
          <w:lang w:val="fr-FR"/>
        </w:rPr>
        <w:t xml:space="preserve"> </w:t>
      </w:r>
      <w:r>
        <w:rPr>
          <w:rFonts w:ascii="Arial" w:hAnsi="Arial" w:cs="Arial"/>
          <w:bCs/>
          <w:sz w:val="22"/>
          <w:szCs w:val="22"/>
          <w:lang w:val="fr-FR"/>
        </w:rPr>
        <w:t>« </w:t>
      </w:r>
      <w:r w:rsidRPr="001631C2">
        <w:rPr>
          <w:rFonts w:ascii="Arial" w:hAnsi="Arial" w:cs="Arial"/>
          <w:bCs/>
          <w:sz w:val="22"/>
          <w:szCs w:val="22"/>
          <w:lang w:val="fr-FR"/>
        </w:rPr>
        <w:t>autres observateurs</w:t>
      </w:r>
      <w:r>
        <w:rPr>
          <w:rFonts w:ascii="Arial" w:hAnsi="Arial" w:cs="Arial"/>
          <w:bCs/>
          <w:sz w:val="22"/>
          <w:szCs w:val="22"/>
          <w:lang w:val="fr-FR"/>
        </w:rPr>
        <w:t xml:space="preserve"> » </w:t>
      </w:r>
      <w:r w:rsidRPr="001631C2">
        <w:rPr>
          <w:rFonts w:ascii="Arial" w:hAnsi="Arial" w:cs="Arial"/>
          <w:bCs/>
          <w:sz w:val="22"/>
          <w:szCs w:val="22"/>
          <w:lang w:val="fr-FR"/>
        </w:rPr>
        <w:t>ne faisaient pas une grande différence</w:t>
      </w:r>
      <w:r>
        <w:rPr>
          <w:rFonts w:ascii="Arial" w:hAnsi="Arial" w:cs="Arial"/>
          <w:bCs/>
          <w:sz w:val="22"/>
          <w:szCs w:val="22"/>
          <w:lang w:val="fr-FR"/>
        </w:rPr>
        <w:t>,</w:t>
      </w:r>
      <w:r w:rsidRPr="001631C2">
        <w:rPr>
          <w:rFonts w:ascii="Arial" w:hAnsi="Arial" w:cs="Arial"/>
          <w:bCs/>
          <w:sz w:val="22"/>
          <w:szCs w:val="22"/>
          <w:lang w:val="fr-FR"/>
        </w:rPr>
        <w:t xml:space="preserve"> puisque les invitations pouvaient être adressées à toute personne ou organisation. L</w:t>
      </w:r>
      <w:r w:rsidR="008E532B">
        <w:rPr>
          <w:rFonts w:ascii="Arial" w:hAnsi="Arial" w:cs="Arial"/>
          <w:bCs/>
          <w:sz w:val="22"/>
          <w:szCs w:val="22"/>
          <w:lang w:val="fr-FR"/>
        </w:rPr>
        <w:t>’</w:t>
      </w:r>
      <w:r w:rsidRPr="001631C2">
        <w:rPr>
          <w:rFonts w:ascii="Arial" w:hAnsi="Arial" w:cs="Arial"/>
          <w:bCs/>
          <w:sz w:val="22"/>
          <w:szCs w:val="22"/>
          <w:lang w:val="fr-FR"/>
        </w:rPr>
        <w:t>option 1 int</w:t>
      </w:r>
      <w:r>
        <w:rPr>
          <w:rFonts w:ascii="Arial" w:hAnsi="Arial" w:cs="Arial"/>
          <w:bCs/>
          <w:sz w:val="22"/>
          <w:szCs w:val="22"/>
          <w:lang w:val="fr-FR"/>
        </w:rPr>
        <w:t>égrait</w:t>
      </w:r>
      <w:r w:rsidRPr="001631C2">
        <w:rPr>
          <w:rFonts w:ascii="Arial" w:hAnsi="Arial" w:cs="Arial"/>
          <w:bCs/>
          <w:sz w:val="22"/>
          <w:szCs w:val="22"/>
          <w:lang w:val="fr-FR"/>
        </w:rPr>
        <w:t xml:space="preserve"> en fait les anciens articles 3.2 à 3.3. </w:t>
      </w:r>
    </w:p>
    <w:p w14:paraId="05B565CC" w14:textId="02CD8CE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26585">
        <w:rPr>
          <w:rFonts w:ascii="Arial" w:hAnsi="Arial" w:cs="Arial"/>
          <w:bCs/>
          <w:sz w:val="22"/>
          <w:szCs w:val="22"/>
          <w:lang w:val="fr-FR"/>
        </w:rPr>
        <w:t xml:space="preserve">La délégation du </w:t>
      </w:r>
      <w:r w:rsidRPr="00726585">
        <w:rPr>
          <w:rFonts w:ascii="Arial" w:hAnsi="Arial" w:cs="Arial"/>
          <w:b/>
          <w:sz w:val="22"/>
          <w:szCs w:val="22"/>
          <w:lang w:val="fr-FR"/>
        </w:rPr>
        <w:t>Koweït</w:t>
      </w:r>
      <w:r w:rsidRPr="00726585">
        <w:rPr>
          <w:rFonts w:ascii="Arial" w:hAnsi="Arial" w:cs="Arial"/>
          <w:bCs/>
          <w:sz w:val="22"/>
          <w:szCs w:val="22"/>
          <w:lang w:val="fr-FR"/>
        </w:rPr>
        <w:t xml:space="preserve"> souten</w:t>
      </w:r>
      <w:r>
        <w:rPr>
          <w:rFonts w:ascii="Arial" w:hAnsi="Arial" w:cs="Arial"/>
          <w:bCs/>
          <w:sz w:val="22"/>
          <w:szCs w:val="22"/>
          <w:lang w:val="fr-FR"/>
        </w:rPr>
        <w:t>ait</w:t>
      </w:r>
      <w:r w:rsidRPr="00726585">
        <w:rPr>
          <w:rFonts w:ascii="Arial" w:hAnsi="Arial" w:cs="Arial"/>
          <w:bCs/>
          <w:sz w:val="22"/>
          <w:szCs w:val="22"/>
          <w:lang w:val="fr-FR"/>
        </w:rPr>
        <w:t xml:space="preserve"> l</w:t>
      </w:r>
      <w:r w:rsidR="008E532B">
        <w:rPr>
          <w:rFonts w:ascii="Arial" w:hAnsi="Arial" w:cs="Arial"/>
          <w:bCs/>
          <w:sz w:val="22"/>
          <w:szCs w:val="22"/>
          <w:lang w:val="fr-FR"/>
        </w:rPr>
        <w:t>’</w:t>
      </w:r>
      <w:r w:rsidRPr="00726585">
        <w:rPr>
          <w:rFonts w:ascii="Arial" w:hAnsi="Arial" w:cs="Arial"/>
          <w:bCs/>
          <w:sz w:val="22"/>
          <w:szCs w:val="22"/>
          <w:lang w:val="fr-FR"/>
        </w:rPr>
        <w:t>option 1, étant donné qu</w:t>
      </w:r>
      <w:r w:rsidR="008E532B">
        <w:rPr>
          <w:rFonts w:ascii="Arial" w:hAnsi="Arial" w:cs="Arial"/>
          <w:bCs/>
          <w:sz w:val="22"/>
          <w:szCs w:val="22"/>
          <w:lang w:val="fr-FR"/>
        </w:rPr>
        <w:t>’</w:t>
      </w:r>
      <w:r w:rsidRPr="00726585">
        <w:rPr>
          <w:rFonts w:ascii="Arial" w:hAnsi="Arial" w:cs="Arial"/>
          <w:bCs/>
          <w:sz w:val="22"/>
          <w:szCs w:val="22"/>
          <w:lang w:val="fr-FR"/>
        </w:rPr>
        <w:t>elle est très claire, qu</w:t>
      </w:r>
      <w:r w:rsidR="008E532B">
        <w:rPr>
          <w:rFonts w:ascii="Arial" w:hAnsi="Arial" w:cs="Arial"/>
          <w:bCs/>
          <w:sz w:val="22"/>
          <w:szCs w:val="22"/>
          <w:lang w:val="fr-FR"/>
        </w:rPr>
        <w:t>’</w:t>
      </w:r>
      <w:r w:rsidRPr="00726585">
        <w:rPr>
          <w:rFonts w:ascii="Arial" w:hAnsi="Arial" w:cs="Arial"/>
          <w:bCs/>
          <w:sz w:val="22"/>
          <w:szCs w:val="22"/>
          <w:lang w:val="fr-FR"/>
        </w:rPr>
        <w:t>elle refl</w:t>
      </w:r>
      <w:r>
        <w:rPr>
          <w:rFonts w:ascii="Arial" w:hAnsi="Arial" w:cs="Arial"/>
          <w:bCs/>
          <w:sz w:val="22"/>
          <w:szCs w:val="22"/>
          <w:lang w:val="fr-FR"/>
        </w:rPr>
        <w:t>était</w:t>
      </w:r>
      <w:r w:rsidRPr="00726585">
        <w:rPr>
          <w:rFonts w:ascii="Arial" w:hAnsi="Arial" w:cs="Arial"/>
          <w:bCs/>
          <w:sz w:val="22"/>
          <w:szCs w:val="22"/>
          <w:lang w:val="fr-FR"/>
        </w:rPr>
        <w:t xml:space="preserve"> les pratiques antérieures et qu</w:t>
      </w:r>
      <w:r w:rsidR="008E532B">
        <w:rPr>
          <w:rFonts w:ascii="Arial" w:hAnsi="Arial" w:cs="Arial"/>
          <w:bCs/>
          <w:sz w:val="22"/>
          <w:szCs w:val="22"/>
          <w:lang w:val="fr-FR"/>
        </w:rPr>
        <w:t>’</w:t>
      </w:r>
      <w:r w:rsidRPr="00726585">
        <w:rPr>
          <w:rFonts w:ascii="Arial" w:hAnsi="Arial" w:cs="Arial"/>
          <w:bCs/>
          <w:sz w:val="22"/>
          <w:szCs w:val="22"/>
          <w:lang w:val="fr-FR"/>
        </w:rPr>
        <w:t>elle a</w:t>
      </w:r>
      <w:r>
        <w:rPr>
          <w:rFonts w:ascii="Arial" w:hAnsi="Arial" w:cs="Arial"/>
          <w:bCs/>
          <w:sz w:val="22"/>
          <w:szCs w:val="22"/>
          <w:lang w:val="fr-FR"/>
        </w:rPr>
        <w:t>vait</w:t>
      </w:r>
      <w:r w:rsidRPr="00726585">
        <w:rPr>
          <w:rFonts w:ascii="Arial" w:hAnsi="Arial" w:cs="Arial"/>
          <w:bCs/>
          <w:sz w:val="22"/>
          <w:szCs w:val="22"/>
          <w:lang w:val="fr-FR"/>
        </w:rPr>
        <w:t xml:space="preserve"> fonctionné sans problème.</w:t>
      </w:r>
    </w:p>
    <w:p w14:paraId="1B0EFCE2" w14:textId="22A4681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D1E8F">
        <w:rPr>
          <w:rFonts w:ascii="Arial" w:hAnsi="Arial" w:cs="Arial"/>
          <w:bCs/>
          <w:sz w:val="22"/>
          <w:szCs w:val="22"/>
          <w:lang w:val="fr-FR"/>
        </w:rPr>
        <w:t xml:space="preserve">La délégation des </w:t>
      </w:r>
      <w:r w:rsidRPr="00BD1E8F">
        <w:rPr>
          <w:rFonts w:ascii="Arial" w:hAnsi="Arial" w:cs="Arial"/>
          <w:b/>
          <w:sz w:val="22"/>
          <w:szCs w:val="22"/>
          <w:lang w:val="fr-FR"/>
        </w:rPr>
        <w:t>Pays</w:t>
      </w:r>
      <w:r w:rsidRPr="00BD1E8F">
        <w:rPr>
          <w:rFonts w:ascii="Arial" w:hAnsi="Arial" w:cs="Arial"/>
          <w:b/>
          <w:sz w:val="22"/>
          <w:szCs w:val="22"/>
          <w:lang w:val="fr-FR"/>
        </w:rPr>
        <w:noBreakHyphen/>
        <w:t>Bas</w:t>
      </w:r>
      <w:r w:rsidRPr="00BD1E8F">
        <w:rPr>
          <w:rFonts w:ascii="Arial" w:hAnsi="Arial" w:cs="Arial"/>
          <w:bCs/>
          <w:sz w:val="22"/>
          <w:szCs w:val="22"/>
          <w:lang w:val="fr-FR"/>
        </w:rPr>
        <w:t xml:space="preserve"> a demandé des éclaircissements </w:t>
      </w:r>
      <w:r>
        <w:rPr>
          <w:rFonts w:ascii="Arial" w:hAnsi="Arial" w:cs="Arial"/>
          <w:bCs/>
          <w:sz w:val="22"/>
          <w:szCs w:val="22"/>
          <w:lang w:val="fr-FR"/>
        </w:rPr>
        <w:t xml:space="preserve">quant aux </w:t>
      </w:r>
      <w:r w:rsidRPr="00BD1E8F">
        <w:rPr>
          <w:rFonts w:ascii="Arial" w:hAnsi="Arial" w:cs="Arial"/>
          <w:bCs/>
          <w:sz w:val="22"/>
          <w:szCs w:val="22"/>
          <w:lang w:val="fr-FR"/>
        </w:rPr>
        <w:t>conséquences de la suppression d</w:t>
      </w:r>
      <w:r>
        <w:rPr>
          <w:rFonts w:ascii="Arial" w:hAnsi="Arial" w:cs="Arial"/>
          <w:bCs/>
          <w:sz w:val="22"/>
          <w:szCs w:val="22"/>
          <w:lang w:val="fr-FR"/>
        </w:rPr>
        <w:t>u terme « </w:t>
      </w:r>
      <w:r w:rsidRPr="00BD1E8F">
        <w:rPr>
          <w:rFonts w:ascii="Arial" w:hAnsi="Arial" w:cs="Arial"/>
          <w:bCs/>
          <w:sz w:val="22"/>
          <w:szCs w:val="22"/>
          <w:lang w:val="fr-FR"/>
        </w:rPr>
        <w:t>autres observateurs</w:t>
      </w:r>
      <w:r>
        <w:rPr>
          <w:rFonts w:ascii="Arial" w:hAnsi="Arial" w:cs="Arial"/>
          <w:bCs/>
          <w:sz w:val="22"/>
          <w:szCs w:val="22"/>
          <w:lang w:val="fr-FR"/>
        </w:rPr>
        <w:t> »</w:t>
      </w:r>
      <w:r w:rsidRPr="00BD1E8F">
        <w:rPr>
          <w:rFonts w:ascii="Arial" w:hAnsi="Arial" w:cs="Arial"/>
          <w:bCs/>
          <w:sz w:val="22"/>
          <w:szCs w:val="22"/>
          <w:lang w:val="fr-FR"/>
        </w:rPr>
        <w:t>.</w:t>
      </w:r>
      <w:r>
        <w:rPr>
          <w:rFonts w:ascii="Arial" w:hAnsi="Arial" w:cs="Arial"/>
          <w:bCs/>
          <w:sz w:val="22"/>
          <w:szCs w:val="22"/>
          <w:lang w:val="fr-FR"/>
        </w:rPr>
        <w:t xml:space="preserve"> L</w:t>
      </w:r>
      <w:r w:rsidRPr="00BD1E8F">
        <w:rPr>
          <w:rFonts w:ascii="Arial" w:hAnsi="Arial" w:cs="Arial"/>
          <w:bCs/>
          <w:sz w:val="22"/>
          <w:szCs w:val="22"/>
          <w:lang w:val="fr-FR"/>
        </w:rPr>
        <w:t>e</w:t>
      </w:r>
      <w:r>
        <w:rPr>
          <w:rFonts w:ascii="Arial" w:hAnsi="Arial" w:cs="Arial"/>
          <w:bCs/>
          <w:sz w:val="22"/>
          <w:szCs w:val="22"/>
          <w:lang w:val="fr-FR"/>
        </w:rPr>
        <w:t xml:space="preserve">s participants </w:t>
      </w:r>
      <w:r w:rsidRPr="00BD1E8F">
        <w:rPr>
          <w:rFonts w:ascii="Arial" w:hAnsi="Arial" w:cs="Arial"/>
          <w:bCs/>
          <w:sz w:val="22"/>
          <w:szCs w:val="22"/>
          <w:lang w:val="fr-FR"/>
        </w:rPr>
        <w:t>seraient-ils en mesure de prendre part aux travaux de l</w:t>
      </w:r>
      <w:r w:rsidR="008E532B">
        <w:rPr>
          <w:rFonts w:ascii="Arial" w:hAnsi="Arial" w:cs="Arial"/>
          <w:bCs/>
          <w:sz w:val="22"/>
          <w:szCs w:val="22"/>
          <w:lang w:val="fr-FR"/>
        </w:rPr>
        <w:t>’</w:t>
      </w:r>
      <w:r w:rsidRPr="00BD1E8F">
        <w:rPr>
          <w:rFonts w:ascii="Arial" w:hAnsi="Arial" w:cs="Arial"/>
          <w:bCs/>
          <w:sz w:val="22"/>
          <w:szCs w:val="22"/>
          <w:lang w:val="fr-FR"/>
        </w:rPr>
        <w:t>Assemblée, comme en ligne</w:t>
      </w:r>
      <w:r>
        <w:rPr>
          <w:rFonts w:ascii="Arial" w:hAnsi="Arial" w:cs="Arial"/>
          <w:bCs/>
          <w:sz w:val="22"/>
          <w:szCs w:val="22"/>
          <w:lang w:val="fr-FR"/>
        </w:rPr>
        <w:t>, par exemple ?</w:t>
      </w:r>
    </w:p>
    <w:p w14:paraId="29081F4D" w14:textId="48B862F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D1E8F">
        <w:rPr>
          <w:rFonts w:ascii="Arial" w:hAnsi="Arial" w:cs="Arial"/>
          <w:bCs/>
          <w:sz w:val="22"/>
          <w:szCs w:val="22"/>
          <w:lang w:val="fr-FR"/>
        </w:rPr>
        <w:t xml:space="preserve">Le </w:t>
      </w:r>
      <w:r w:rsidRPr="00BD1E8F">
        <w:rPr>
          <w:rFonts w:ascii="Arial" w:hAnsi="Arial" w:cs="Arial"/>
          <w:b/>
          <w:sz w:val="22"/>
          <w:szCs w:val="22"/>
          <w:lang w:val="fr-FR"/>
        </w:rPr>
        <w:t>Conseiller juridique</w:t>
      </w:r>
      <w:r w:rsidRPr="00BD1E8F">
        <w:rPr>
          <w:rFonts w:ascii="Arial" w:hAnsi="Arial" w:cs="Arial"/>
          <w:bCs/>
          <w:sz w:val="22"/>
          <w:szCs w:val="22"/>
          <w:lang w:val="fr-FR"/>
        </w:rPr>
        <w:t xml:space="preserve"> a expliqué que l</w:t>
      </w:r>
      <w:r w:rsidR="008E532B">
        <w:rPr>
          <w:rFonts w:ascii="Arial" w:hAnsi="Arial" w:cs="Arial"/>
          <w:bCs/>
          <w:sz w:val="22"/>
          <w:szCs w:val="22"/>
          <w:lang w:val="fr-FR"/>
        </w:rPr>
        <w:t>’</w:t>
      </w:r>
      <w:r w:rsidRPr="00BD1E8F">
        <w:rPr>
          <w:rFonts w:ascii="Arial" w:hAnsi="Arial" w:cs="Arial"/>
          <w:bCs/>
          <w:sz w:val="22"/>
          <w:szCs w:val="22"/>
          <w:lang w:val="fr-FR"/>
        </w:rPr>
        <w:t>option 1 signifiait un retour à la situation actuelle. À toutes fins utiles, l</w:t>
      </w:r>
      <w:r w:rsidR="008E532B">
        <w:rPr>
          <w:rFonts w:ascii="Arial" w:hAnsi="Arial" w:cs="Arial"/>
          <w:bCs/>
          <w:sz w:val="22"/>
          <w:szCs w:val="22"/>
          <w:lang w:val="fr-FR"/>
        </w:rPr>
        <w:t>’</w:t>
      </w:r>
      <w:r w:rsidRPr="00BD1E8F">
        <w:rPr>
          <w:rFonts w:ascii="Arial" w:hAnsi="Arial" w:cs="Arial"/>
          <w:bCs/>
          <w:sz w:val="22"/>
          <w:szCs w:val="22"/>
          <w:lang w:val="fr-FR"/>
        </w:rPr>
        <w:t>article 3.2, tel que proposé par l</w:t>
      </w:r>
      <w:r w:rsidR="008E532B">
        <w:rPr>
          <w:rFonts w:ascii="Arial" w:hAnsi="Arial" w:cs="Arial"/>
          <w:bCs/>
          <w:sz w:val="22"/>
          <w:szCs w:val="22"/>
          <w:lang w:val="fr-FR"/>
        </w:rPr>
        <w:t>’</w:t>
      </w:r>
      <w:r w:rsidRPr="00BD1E8F">
        <w:rPr>
          <w:rFonts w:ascii="Arial" w:hAnsi="Arial" w:cs="Arial"/>
          <w:bCs/>
          <w:sz w:val="22"/>
          <w:szCs w:val="22"/>
          <w:lang w:val="fr-FR"/>
        </w:rPr>
        <w:t xml:space="preserve">Arabie saoudite, serait un retour ou un maintien de la pratique actuelle. Ainsi, quiconque avait été autorisé à participer précédemment continuerait </w:t>
      </w:r>
      <w:r>
        <w:rPr>
          <w:rFonts w:ascii="Arial" w:hAnsi="Arial" w:cs="Arial"/>
          <w:bCs/>
          <w:sz w:val="22"/>
          <w:szCs w:val="22"/>
          <w:lang w:val="fr-FR"/>
        </w:rPr>
        <w:t>de</w:t>
      </w:r>
      <w:r w:rsidRPr="00BD1E8F">
        <w:rPr>
          <w:rFonts w:ascii="Arial" w:hAnsi="Arial" w:cs="Arial"/>
          <w:bCs/>
          <w:sz w:val="22"/>
          <w:szCs w:val="22"/>
          <w:lang w:val="fr-FR"/>
        </w:rPr>
        <w:t xml:space="preserve"> l</w:t>
      </w:r>
      <w:r w:rsidR="008E532B">
        <w:rPr>
          <w:rFonts w:ascii="Arial" w:hAnsi="Arial" w:cs="Arial"/>
          <w:bCs/>
          <w:sz w:val="22"/>
          <w:szCs w:val="22"/>
          <w:lang w:val="fr-FR"/>
        </w:rPr>
        <w:t>’</w:t>
      </w:r>
      <w:r w:rsidRPr="00BD1E8F">
        <w:rPr>
          <w:rFonts w:ascii="Arial" w:hAnsi="Arial" w:cs="Arial"/>
          <w:bCs/>
          <w:sz w:val="22"/>
          <w:szCs w:val="22"/>
          <w:lang w:val="fr-FR"/>
        </w:rPr>
        <w:t>être. Ce qui était vraiment important, c</w:t>
      </w:r>
      <w:r w:rsidR="008E532B">
        <w:rPr>
          <w:rFonts w:ascii="Arial" w:hAnsi="Arial" w:cs="Arial"/>
          <w:bCs/>
          <w:sz w:val="22"/>
          <w:szCs w:val="22"/>
          <w:lang w:val="fr-FR"/>
        </w:rPr>
        <w:t>’</w:t>
      </w:r>
      <w:r w:rsidRPr="00BD1E8F">
        <w:rPr>
          <w:rFonts w:ascii="Arial" w:hAnsi="Arial" w:cs="Arial"/>
          <w:bCs/>
          <w:sz w:val="22"/>
          <w:szCs w:val="22"/>
          <w:lang w:val="fr-FR"/>
        </w:rPr>
        <w:t>était d</w:t>
      </w:r>
      <w:r w:rsidR="008E532B">
        <w:rPr>
          <w:rFonts w:ascii="Arial" w:hAnsi="Arial" w:cs="Arial"/>
          <w:bCs/>
          <w:sz w:val="22"/>
          <w:szCs w:val="22"/>
          <w:lang w:val="fr-FR"/>
        </w:rPr>
        <w:t>’</w:t>
      </w:r>
      <w:r>
        <w:rPr>
          <w:rFonts w:ascii="Arial" w:hAnsi="Arial" w:cs="Arial"/>
          <w:bCs/>
          <w:sz w:val="22"/>
          <w:szCs w:val="22"/>
          <w:lang w:val="fr-FR"/>
        </w:rPr>
        <w:t>établir une</w:t>
      </w:r>
      <w:r w:rsidRPr="00BD1E8F">
        <w:rPr>
          <w:rFonts w:ascii="Arial" w:hAnsi="Arial" w:cs="Arial"/>
          <w:bCs/>
          <w:sz w:val="22"/>
          <w:szCs w:val="22"/>
          <w:lang w:val="fr-FR"/>
        </w:rPr>
        <w:t xml:space="preserve"> distinction entre le grand public, </w:t>
      </w:r>
      <w:r>
        <w:rPr>
          <w:rFonts w:ascii="Arial" w:hAnsi="Arial" w:cs="Arial"/>
          <w:bCs/>
          <w:sz w:val="22"/>
          <w:szCs w:val="22"/>
          <w:lang w:val="fr-FR"/>
        </w:rPr>
        <w:t>c.-à-d.</w:t>
      </w:r>
      <w:r w:rsidRPr="00BD1E8F">
        <w:rPr>
          <w:rFonts w:ascii="Arial" w:hAnsi="Arial" w:cs="Arial"/>
          <w:bCs/>
          <w:sz w:val="22"/>
          <w:szCs w:val="22"/>
          <w:lang w:val="fr-FR"/>
        </w:rPr>
        <w:t xml:space="preserve"> les personnes p</w:t>
      </w:r>
      <w:r>
        <w:rPr>
          <w:rFonts w:ascii="Arial" w:hAnsi="Arial" w:cs="Arial"/>
          <w:bCs/>
          <w:sz w:val="22"/>
          <w:szCs w:val="22"/>
          <w:lang w:val="fr-FR"/>
        </w:rPr>
        <w:t>ouvant</w:t>
      </w:r>
      <w:r w:rsidRPr="00BD1E8F">
        <w:rPr>
          <w:rFonts w:ascii="Arial" w:hAnsi="Arial" w:cs="Arial"/>
          <w:bCs/>
          <w:sz w:val="22"/>
          <w:szCs w:val="22"/>
          <w:lang w:val="fr-FR"/>
        </w:rPr>
        <w:t xml:space="preserve"> être présentes dans la salle, écouter et suivre en ligne, et les </w:t>
      </w:r>
      <w:r>
        <w:rPr>
          <w:rFonts w:ascii="Arial" w:hAnsi="Arial" w:cs="Arial"/>
          <w:bCs/>
          <w:sz w:val="22"/>
          <w:szCs w:val="22"/>
          <w:lang w:val="fr-FR"/>
        </w:rPr>
        <w:t>« </w:t>
      </w:r>
      <w:r w:rsidRPr="00BD1E8F">
        <w:rPr>
          <w:rFonts w:ascii="Arial" w:hAnsi="Arial" w:cs="Arial"/>
          <w:bCs/>
          <w:sz w:val="22"/>
          <w:szCs w:val="22"/>
          <w:lang w:val="fr-FR"/>
        </w:rPr>
        <w:t>observateurs</w:t>
      </w:r>
      <w:r>
        <w:rPr>
          <w:rFonts w:ascii="Arial" w:hAnsi="Arial" w:cs="Arial"/>
          <w:bCs/>
          <w:sz w:val="22"/>
          <w:szCs w:val="22"/>
          <w:lang w:val="fr-FR"/>
        </w:rPr>
        <w:t> »</w:t>
      </w:r>
      <w:r w:rsidRPr="00BD1E8F">
        <w:rPr>
          <w:rFonts w:ascii="Arial" w:hAnsi="Arial" w:cs="Arial"/>
          <w:bCs/>
          <w:sz w:val="22"/>
          <w:szCs w:val="22"/>
          <w:lang w:val="fr-FR"/>
        </w:rPr>
        <w:t xml:space="preserve">. Les observateurs </w:t>
      </w:r>
      <w:r>
        <w:rPr>
          <w:rFonts w:ascii="Arial" w:hAnsi="Arial" w:cs="Arial"/>
          <w:bCs/>
          <w:sz w:val="22"/>
          <w:szCs w:val="22"/>
          <w:lang w:val="fr-FR"/>
        </w:rPr>
        <w:t xml:space="preserve">étaient </w:t>
      </w:r>
      <w:r w:rsidRPr="00BD1E8F">
        <w:rPr>
          <w:rFonts w:ascii="Arial" w:hAnsi="Arial" w:cs="Arial"/>
          <w:bCs/>
          <w:sz w:val="22"/>
          <w:szCs w:val="22"/>
          <w:lang w:val="fr-FR"/>
        </w:rPr>
        <w:t xml:space="preserve">des personnes ou des entités qui </w:t>
      </w:r>
      <w:r>
        <w:rPr>
          <w:rFonts w:ascii="Arial" w:hAnsi="Arial" w:cs="Arial"/>
          <w:bCs/>
          <w:sz w:val="22"/>
          <w:szCs w:val="22"/>
          <w:lang w:val="fr-FR"/>
        </w:rPr>
        <w:t>avaient</w:t>
      </w:r>
      <w:r w:rsidRPr="00BD1E8F">
        <w:rPr>
          <w:rFonts w:ascii="Arial" w:hAnsi="Arial" w:cs="Arial"/>
          <w:bCs/>
          <w:sz w:val="22"/>
          <w:szCs w:val="22"/>
          <w:lang w:val="fr-FR"/>
        </w:rPr>
        <w:t xml:space="preserve"> effectivement le droit de prendre la parole et de s</w:t>
      </w:r>
      <w:r w:rsidR="008E532B">
        <w:rPr>
          <w:rFonts w:ascii="Arial" w:hAnsi="Arial" w:cs="Arial"/>
          <w:bCs/>
          <w:sz w:val="22"/>
          <w:szCs w:val="22"/>
          <w:lang w:val="fr-FR"/>
        </w:rPr>
        <w:t>’</w:t>
      </w:r>
      <w:r w:rsidRPr="00BD1E8F">
        <w:rPr>
          <w:rFonts w:ascii="Arial" w:hAnsi="Arial" w:cs="Arial"/>
          <w:bCs/>
          <w:sz w:val="22"/>
          <w:szCs w:val="22"/>
          <w:lang w:val="fr-FR"/>
        </w:rPr>
        <w:t>exprimer, sous réserve de l</w:t>
      </w:r>
      <w:r w:rsidR="008E532B">
        <w:rPr>
          <w:rFonts w:ascii="Arial" w:hAnsi="Arial" w:cs="Arial"/>
          <w:bCs/>
          <w:sz w:val="22"/>
          <w:szCs w:val="22"/>
          <w:lang w:val="fr-FR"/>
        </w:rPr>
        <w:t>’</w:t>
      </w:r>
      <w:r w:rsidRPr="00BD1E8F">
        <w:rPr>
          <w:rFonts w:ascii="Arial" w:hAnsi="Arial" w:cs="Arial"/>
          <w:bCs/>
          <w:sz w:val="22"/>
          <w:szCs w:val="22"/>
          <w:lang w:val="fr-FR"/>
        </w:rPr>
        <w:t>article 16.3 et de l</w:t>
      </w:r>
      <w:r w:rsidR="008E532B">
        <w:rPr>
          <w:rFonts w:ascii="Arial" w:hAnsi="Arial" w:cs="Arial"/>
          <w:bCs/>
          <w:sz w:val="22"/>
          <w:szCs w:val="22"/>
          <w:lang w:val="fr-FR"/>
        </w:rPr>
        <w:t>’</w:t>
      </w:r>
      <w:r w:rsidRPr="00BD1E8F">
        <w:rPr>
          <w:rFonts w:ascii="Arial" w:hAnsi="Arial" w:cs="Arial"/>
          <w:bCs/>
          <w:sz w:val="22"/>
          <w:szCs w:val="22"/>
          <w:lang w:val="fr-FR"/>
        </w:rPr>
        <w:t xml:space="preserve">approbation </w:t>
      </w:r>
      <w:r>
        <w:rPr>
          <w:rFonts w:ascii="Arial" w:hAnsi="Arial" w:cs="Arial"/>
          <w:bCs/>
          <w:sz w:val="22"/>
          <w:szCs w:val="22"/>
          <w:lang w:val="fr-FR"/>
        </w:rPr>
        <w:t>du/</w:t>
      </w:r>
      <w:r w:rsidRPr="00BD1E8F">
        <w:rPr>
          <w:rFonts w:ascii="Arial" w:hAnsi="Arial" w:cs="Arial"/>
          <w:bCs/>
          <w:sz w:val="22"/>
          <w:szCs w:val="22"/>
          <w:lang w:val="fr-FR"/>
        </w:rPr>
        <w:t xml:space="preserve">de la </w:t>
      </w:r>
      <w:r>
        <w:rPr>
          <w:rFonts w:ascii="Arial" w:hAnsi="Arial" w:cs="Arial"/>
          <w:bCs/>
          <w:sz w:val="22"/>
          <w:szCs w:val="22"/>
          <w:lang w:val="fr-FR"/>
        </w:rPr>
        <w:t>p</w:t>
      </w:r>
      <w:r w:rsidRPr="00BD1E8F">
        <w:rPr>
          <w:rFonts w:ascii="Arial" w:hAnsi="Arial" w:cs="Arial"/>
          <w:bCs/>
          <w:sz w:val="22"/>
          <w:szCs w:val="22"/>
          <w:lang w:val="fr-FR"/>
        </w:rPr>
        <w:t>résident</w:t>
      </w:r>
      <w:r>
        <w:rPr>
          <w:rFonts w:ascii="Arial" w:hAnsi="Arial" w:cs="Arial"/>
          <w:bCs/>
          <w:sz w:val="22"/>
          <w:szCs w:val="22"/>
          <w:lang w:val="fr-FR"/>
        </w:rPr>
        <w:t>(</w:t>
      </w:r>
      <w:r w:rsidRPr="00BD1E8F">
        <w:rPr>
          <w:rFonts w:ascii="Arial" w:hAnsi="Arial" w:cs="Arial"/>
          <w:bCs/>
          <w:sz w:val="22"/>
          <w:szCs w:val="22"/>
          <w:lang w:val="fr-FR"/>
        </w:rPr>
        <w:t>e</w:t>
      </w:r>
      <w:r>
        <w:rPr>
          <w:rFonts w:ascii="Arial" w:hAnsi="Arial" w:cs="Arial"/>
          <w:bCs/>
          <w:sz w:val="22"/>
          <w:szCs w:val="22"/>
          <w:lang w:val="fr-FR"/>
        </w:rPr>
        <w:t>)</w:t>
      </w:r>
      <w:r w:rsidRPr="00BD1E8F">
        <w:rPr>
          <w:rFonts w:ascii="Arial" w:hAnsi="Arial" w:cs="Arial"/>
          <w:bCs/>
          <w:sz w:val="22"/>
          <w:szCs w:val="22"/>
          <w:lang w:val="fr-FR"/>
        </w:rPr>
        <w:t>, ce qui ne serait pas le cas du grand public.</w:t>
      </w:r>
    </w:p>
    <w:p w14:paraId="37A5A577" w14:textId="68B007F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06385">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106385">
        <w:rPr>
          <w:rFonts w:ascii="Arial" w:hAnsi="Arial" w:cs="Arial"/>
          <w:b/>
          <w:sz w:val="22"/>
          <w:szCs w:val="22"/>
          <w:lang w:val="fr-FR"/>
        </w:rPr>
        <w:t>Éthiopie</w:t>
      </w:r>
      <w:r>
        <w:rPr>
          <w:rFonts w:ascii="Arial" w:hAnsi="Arial" w:cs="Arial"/>
          <w:bCs/>
          <w:sz w:val="22"/>
          <w:szCs w:val="22"/>
          <w:lang w:val="fr-FR"/>
        </w:rPr>
        <w:t xml:space="preserve"> était plutôt favorable à l</w:t>
      </w:r>
      <w:r w:rsidR="008E532B">
        <w:rPr>
          <w:rFonts w:ascii="Arial" w:hAnsi="Arial" w:cs="Arial"/>
          <w:bCs/>
          <w:sz w:val="22"/>
          <w:szCs w:val="22"/>
          <w:lang w:val="fr-FR"/>
        </w:rPr>
        <w:t>’</w:t>
      </w:r>
      <w:r>
        <w:rPr>
          <w:rFonts w:ascii="Arial" w:hAnsi="Arial" w:cs="Arial"/>
          <w:bCs/>
          <w:sz w:val="22"/>
          <w:szCs w:val="22"/>
          <w:lang w:val="fr-FR"/>
        </w:rPr>
        <w:t>option 2 car elle croyait en l</w:t>
      </w:r>
      <w:r w:rsidR="008E532B">
        <w:rPr>
          <w:rFonts w:ascii="Arial" w:hAnsi="Arial" w:cs="Arial"/>
          <w:bCs/>
          <w:sz w:val="22"/>
          <w:szCs w:val="22"/>
          <w:lang w:val="fr-FR"/>
        </w:rPr>
        <w:t>’</w:t>
      </w:r>
      <w:r>
        <w:rPr>
          <w:rFonts w:ascii="Arial" w:hAnsi="Arial" w:cs="Arial"/>
          <w:bCs/>
          <w:sz w:val="22"/>
          <w:szCs w:val="22"/>
          <w:lang w:val="fr-FR"/>
        </w:rPr>
        <w:t>inclusion, mais par souci de clarté, elle souhaitait comprendre ce qu</w:t>
      </w:r>
      <w:r w:rsidR="008E532B">
        <w:rPr>
          <w:rFonts w:ascii="Arial" w:hAnsi="Arial" w:cs="Arial"/>
          <w:bCs/>
          <w:sz w:val="22"/>
          <w:szCs w:val="22"/>
          <w:lang w:val="fr-FR"/>
        </w:rPr>
        <w:t>’</w:t>
      </w:r>
      <w:r>
        <w:rPr>
          <w:rFonts w:ascii="Arial" w:hAnsi="Arial" w:cs="Arial"/>
          <w:bCs/>
          <w:sz w:val="22"/>
          <w:szCs w:val="22"/>
          <w:lang w:val="fr-FR"/>
        </w:rPr>
        <w:t xml:space="preserve">impliquait le terme « autres </w:t>
      </w:r>
      <w:r w:rsidRPr="00106385">
        <w:rPr>
          <w:rFonts w:ascii="Arial" w:hAnsi="Arial" w:cs="Arial"/>
          <w:bCs/>
          <w:sz w:val="22"/>
          <w:szCs w:val="22"/>
          <w:lang w:val="fr-FR"/>
        </w:rPr>
        <w:t>observateurs</w:t>
      </w:r>
      <w:r>
        <w:rPr>
          <w:rFonts w:ascii="Arial" w:hAnsi="Arial" w:cs="Arial"/>
          <w:bCs/>
          <w:sz w:val="22"/>
          <w:szCs w:val="22"/>
          <w:lang w:val="fr-FR"/>
        </w:rPr>
        <w:t> ».</w:t>
      </w:r>
    </w:p>
    <w:p w14:paraId="68C98D8F" w14:textId="1616C29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06385">
        <w:rPr>
          <w:rFonts w:ascii="Arial" w:hAnsi="Arial" w:cs="Arial"/>
          <w:bCs/>
          <w:sz w:val="22"/>
          <w:szCs w:val="22"/>
          <w:lang w:val="fr-FR"/>
        </w:rPr>
        <w:t xml:space="preserve">Le </w:t>
      </w:r>
      <w:r w:rsidRPr="00106385">
        <w:rPr>
          <w:rFonts w:ascii="Arial" w:hAnsi="Arial" w:cs="Arial"/>
          <w:b/>
          <w:sz w:val="22"/>
          <w:szCs w:val="22"/>
          <w:lang w:val="fr-FR"/>
        </w:rPr>
        <w:t>Conseiller juridique</w:t>
      </w:r>
      <w:r w:rsidRPr="00106385">
        <w:rPr>
          <w:rFonts w:ascii="Arial" w:hAnsi="Arial" w:cs="Arial"/>
          <w:bCs/>
          <w:sz w:val="22"/>
          <w:szCs w:val="22"/>
          <w:lang w:val="fr-FR"/>
        </w:rPr>
        <w:t xml:space="preserve"> n</w:t>
      </w:r>
      <w:r w:rsidR="008E532B">
        <w:rPr>
          <w:rFonts w:ascii="Arial" w:hAnsi="Arial" w:cs="Arial"/>
          <w:bCs/>
          <w:sz w:val="22"/>
          <w:szCs w:val="22"/>
          <w:lang w:val="fr-FR"/>
        </w:rPr>
        <w:t>’</w:t>
      </w:r>
      <w:r w:rsidRPr="00106385">
        <w:rPr>
          <w:rFonts w:ascii="Arial" w:hAnsi="Arial" w:cs="Arial"/>
          <w:bCs/>
          <w:sz w:val="22"/>
          <w:szCs w:val="22"/>
          <w:lang w:val="fr-FR"/>
        </w:rPr>
        <w:t xml:space="preserve">était pas </w:t>
      </w:r>
      <w:r>
        <w:rPr>
          <w:rFonts w:ascii="Arial" w:hAnsi="Arial" w:cs="Arial"/>
          <w:bCs/>
          <w:sz w:val="22"/>
          <w:szCs w:val="22"/>
          <w:lang w:val="fr-FR"/>
        </w:rPr>
        <w:t xml:space="preserve">certain </w:t>
      </w:r>
      <w:r w:rsidRPr="00106385">
        <w:rPr>
          <w:rFonts w:ascii="Arial" w:hAnsi="Arial" w:cs="Arial"/>
          <w:bCs/>
          <w:sz w:val="22"/>
          <w:szCs w:val="22"/>
          <w:lang w:val="fr-FR"/>
        </w:rPr>
        <w:t xml:space="preserve">de la pratique </w:t>
      </w:r>
      <w:r>
        <w:rPr>
          <w:rFonts w:ascii="Arial" w:hAnsi="Arial" w:cs="Arial"/>
          <w:bCs/>
          <w:sz w:val="22"/>
          <w:szCs w:val="22"/>
          <w:lang w:val="fr-FR"/>
        </w:rPr>
        <w:t>en cours à</w:t>
      </w:r>
      <w:r w:rsidRPr="00106385">
        <w:rPr>
          <w:rFonts w:ascii="Arial" w:hAnsi="Arial" w:cs="Arial"/>
          <w:bCs/>
          <w:sz w:val="22"/>
          <w:szCs w:val="22"/>
          <w:lang w:val="fr-FR"/>
        </w:rPr>
        <w:t xml:space="preserve"> la présente session</w:t>
      </w:r>
      <w:r>
        <w:rPr>
          <w:rFonts w:ascii="Arial" w:hAnsi="Arial" w:cs="Arial"/>
          <w:bCs/>
          <w:sz w:val="22"/>
          <w:szCs w:val="22"/>
          <w:lang w:val="fr-FR"/>
        </w:rPr>
        <w:t>,</w:t>
      </w:r>
      <w:r w:rsidRPr="00106385">
        <w:rPr>
          <w:rFonts w:ascii="Arial" w:hAnsi="Arial" w:cs="Arial"/>
          <w:bCs/>
          <w:sz w:val="22"/>
          <w:szCs w:val="22"/>
          <w:lang w:val="fr-FR"/>
        </w:rPr>
        <w:t xml:space="preserve"> mais</w:t>
      </w:r>
      <w:r>
        <w:rPr>
          <w:rFonts w:ascii="Arial" w:hAnsi="Arial" w:cs="Arial"/>
          <w:bCs/>
          <w:sz w:val="22"/>
          <w:szCs w:val="22"/>
          <w:lang w:val="fr-FR"/>
        </w:rPr>
        <w:t xml:space="preserve"> </w:t>
      </w:r>
      <w:r w:rsidRPr="00106385">
        <w:rPr>
          <w:rFonts w:ascii="Arial" w:hAnsi="Arial" w:cs="Arial"/>
          <w:bCs/>
          <w:sz w:val="22"/>
          <w:szCs w:val="22"/>
          <w:lang w:val="fr-FR"/>
        </w:rPr>
        <w:t>l</w:t>
      </w:r>
      <w:r w:rsidR="008E532B">
        <w:rPr>
          <w:rFonts w:ascii="Arial" w:hAnsi="Arial" w:cs="Arial"/>
          <w:bCs/>
          <w:sz w:val="22"/>
          <w:szCs w:val="22"/>
          <w:lang w:val="fr-FR"/>
        </w:rPr>
        <w:t>’</w:t>
      </w:r>
      <w:r w:rsidRPr="00106385">
        <w:rPr>
          <w:rFonts w:ascii="Arial" w:hAnsi="Arial" w:cs="Arial"/>
          <w:bCs/>
          <w:sz w:val="22"/>
          <w:szCs w:val="22"/>
          <w:lang w:val="fr-FR"/>
        </w:rPr>
        <w:t>intention était d</w:t>
      </w:r>
      <w:r w:rsidR="008E532B">
        <w:rPr>
          <w:rFonts w:ascii="Arial" w:hAnsi="Arial" w:cs="Arial"/>
          <w:bCs/>
          <w:sz w:val="22"/>
          <w:szCs w:val="22"/>
          <w:lang w:val="fr-FR"/>
        </w:rPr>
        <w:t>’</w:t>
      </w:r>
      <w:r w:rsidRPr="00106385">
        <w:rPr>
          <w:rFonts w:ascii="Arial" w:hAnsi="Arial" w:cs="Arial"/>
          <w:bCs/>
          <w:sz w:val="22"/>
          <w:szCs w:val="22"/>
          <w:lang w:val="fr-FR"/>
        </w:rPr>
        <w:t>inviter d</w:t>
      </w:r>
      <w:r w:rsidR="008E532B">
        <w:rPr>
          <w:rFonts w:ascii="Arial" w:hAnsi="Arial" w:cs="Arial"/>
          <w:bCs/>
          <w:sz w:val="22"/>
          <w:szCs w:val="22"/>
          <w:lang w:val="fr-FR"/>
        </w:rPr>
        <w:t>’</w:t>
      </w:r>
      <w:r w:rsidRPr="00106385">
        <w:rPr>
          <w:rFonts w:ascii="Arial" w:hAnsi="Arial" w:cs="Arial"/>
          <w:bCs/>
          <w:sz w:val="22"/>
          <w:szCs w:val="22"/>
          <w:lang w:val="fr-FR"/>
        </w:rPr>
        <w:t>autres personnalités importantes, par exemple</w:t>
      </w:r>
      <w:r>
        <w:rPr>
          <w:rFonts w:ascii="Arial" w:hAnsi="Arial" w:cs="Arial"/>
          <w:bCs/>
          <w:sz w:val="22"/>
          <w:szCs w:val="22"/>
          <w:lang w:val="fr-FR"/>
        </w:rPr>
        <w:t>,</w:t>
      </w:r>
      <w:r w:rsidRPr="00106385">
        <w:rPr>
          <w:rFonts w:ascii="Arial" w:hAnsi="Arial" w:cs="Arial"/>
          <w:bCs/>
          <w:sz w:val="22"/>
          <w:szCs w:val="22"/>
          <w:lang w:val="fr-FR"/>
        </w:rPr>
        <w:t xml:space="preserve"> des experts n</w:t>
      </w:r>
      <w:r w:rsidR="008E532B">
        <w:rPr>
          <w:rFonts w:ascii="Arial" w:hAnsi="Arial" w:cs="Arial"/>
          <w:bCs/>
          <w:sz w:val="22"/>
          <w:szCs w:val="22"/>
          <w:lang w:val="fr-FR"/>
        </w:rPr>
        <w:t>’</w:t>
      </w:r>
      <w:r w:rsidRPr="00106385">
        <w:rPr>
          <w:rFonts w:ascii="Arial" w:hAnsi="Arial" w:cs="Arial"/>
          <w:bCs/>
          <w:sz w:val="22"/>
          <w:szCs w:val="22"/>
          <w:lang w:val="fr-FR"/>
        </w:rPr>
        <w:t>appart</w:t>
      </w:r>
      <w:r>
        <w:rPr>
          <w:rFonts w:ascii="Arial" w:hAnsi="Arial" w:cs="Arial"/>
          <w:bCs/>
          <w:sz w:val="22"/>
          <w:szCs w:val="22"/>
          <w:lang w:val="fr-FR"/>
        </w:rPr>
        <w:t>enant</w:t>
      </w:r>
      <w:r w:rsidRPr="00106385">
        <w:rPr>
          <w:rFonts w:ascii="Arial" w:hAnsi="Arial" w:cs="Arial"/>
          <w:bCs/>
          <w:sz w:val="22"/>
          <w:szCs w:val="22"/>
          <w:lang w:val="fr-FR"/>
        </w:rPr>
        <w:t xml:space="preserve"> pas nécessairement à des organisations intergouvernementales ou non gouvernementales. </w:t>
      </w:r>
      <w:r>
        <w:rPr>
          <w:rFonts w:ascii="Arial" w:hAnsi="Arial" w:cs="Arial"/>
          <w:bCs/>
          <w:sz w:val="22"/>
          <w:szCs w:val="22"/>
          <w:lang w:val="fr-FR"/>
        </w:rPr>
        <w:t>Cela pourrait</w:t>
      </w:r>
      <w:r w:rsidRPr="00106385">
        <w:rPr>
          <w:rFonts w:ascii="Arial" w:hAnsi="Arial" w:cs="Arial"/>
          <w:bCs/>
          <w:sz w:val="22"/>
          <w:szCs w:val="22"/>
          <w:lang w:val="fr-FR"/>
        </w:rPr>
        <w:t xml:space="preserve">, par exemple, être des artistes ou un expert dans un domaine spécifique du </w:t>
      </w:r>
      <w:r w:rsidR="00E908E2">
        <w:rPr>
          <w:rFonts w:ascii="Arial" w:eastAsia="SimSun" w:hAnsi="Arial" w:cs="Arial"/>
          <w:bCs/>
          <w:sz w:val="22"/>
          <w:szCs w:val="22"/>
          <w:lang w:val="fr-FR" w:eastAsia="en-US"/>
        </w:rPr>
        <w:t>patrimoine culturel immatériel</w:t>
      </w:r>
      <w:r w:rsidRPr="00106385">
        <w:rPr>
          <w:rFonts w:ascii="Arial" w:hAnsi="Arial" w:cs="Arial"/>
          <w:bCs/>
          <w:sz w:val="22"/>
          <w:szCs w:val="22"/>
          <w:lang w:val="fr-FR"/>
        </w:rPr>
        <w:t>. Sinon, la disposition actuelle était limitée aux organisations.</w:t>
      </w:r>
    </w:p>
    <w:p w14:paraId="1748A428" w14:textId="35271A8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06385">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106385">
        <w:rPr>
          <w:rFonts w:ascii="Arial" w:hAnsi="Arial" w:cs="Arial"/>
          <w:b/>
          <w:sz w:val="22"/>
          <w:szCs w:val="22"/>
          <w:lang w:val="fr-FR"/>
        </w:rPr>
        <w:t>Éthiopie</w:t>
      </w:r>
      <w:r>
        <w:rPr>
          <w:rFonts w:ascii="Arial" w:hAnsi="Arial" w:cs="Arial"/>
          <w:bCs/>
          <w:sz w:val="22"/>
          <w:szCs w:val="22"/>
          <w:lang w:val="fr-FR"/>
        </w:rPr>
        <w:t xml:space="preserve"> a exprimé son soutien à l</w:t>
      </w:r>
      <w:r w:rsidR="008E532B">
        <w:rPr>
          <w:rFonts w:ascii="Arial" w:hAnsi="Arial" w:cs="Arial"/>
          <w:bCs/>
          <w:sz w:val="22"/>
          <w:szCs w:val="22"/>
          <w:lang w:val="fr-FR"/>
        </w:rPr>
        <w:t>’</w:t>
      </w:r>
      <w:r>
        <w:rPr>
          <w:rFonts w:ascii="Arial" w:hAnsi="Arial" w:cs="Arial"/>
          <w:bCs/>
          <w:sz w:val="22"/>
          <w:szCs w:val="22"/>
          <w:lang w:val="fr-FR"/>
        </w:rPr>
        <w:t>option 2 ;</w:t>
      </w:r>
    </w:p>
    <w:p w14:paraId="58CE5A03" w14:textId="3F7A5B5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06385">
        <w:rPr>
          <w:rFonts w:ascii="Arial" w:hAnsi="Arial" w:cs="Arial"/>
          <w:bCs/>
          <w:sz w:val="22"/>
          <w:szCs w:val="22"/>
          <w:lang w:val="fr-FR"/>
        </w:rPr>
        <w:t>La délégation de l</w:t>
      </w:r>
      <w:r w:rsidR="008E532B">
        <w:rPr>
          <w:rFonts w:ascii="Arial" w:hAnsi="Arial" w:cs="Arial"/>
          <w:bCs/>
          <w:sz w:val="22"/>
          <w:szCs w:val="22"/>
          <w:lang w:val="fr-FR"/>
        </w:rPr>
        <w:t>’</w:t>
      </w:r>
      <w:r w:rsidRPr="00106385">
        <w:rPr>
          <w:rFonts w:ascii="Arial" w:hAnsi="Arial" w:cs="Arial"/>
          <w:b/>
          <w:sz w:val="22"/>
          <w:szCs w:val="22"/>
          <w:lang w:val="fr-FR"/>
        </w:rPr>
        <w:t>Azerbaïdjan</w:t>
      </w:r>
      <w:r w:rsidRPr="00106385">
        <w:rPr>
          <w:rFonts w:ascii="Arial" w:hAnsi="Arial" w:cs="Arial"/>
          <w:bCs/>
          <w:sz w:val="22"/>
          <w:szCs w:val="22"/>
          <w:lang w:val="fr-FR"/>
        </w:rPr>
        <w:t xml:space="preserve"> a fait remarquer que sa première déclaration sur cette question était spécifiquement de supprimer l</w:t>
      </w:r>
      <w:r w:rsidR="008E532B">
        <w:rPr>
          <w:rFonts w:ascii="Arial" w:hAnsi="Arial" w:cs="Arial"/>
          <w:bCs/>
          <w:sz w:val="22"/>
          <w:szCs w:val="22"/>
          <w:lang w:val="fr-FR"/>
        </w:rPr>
        <w:t>’</w:t>
      </w:r>
      <w:r w:rsidRPr="00106385">
        <w:rPr>
          <w:rFonts w:ascii="Arial" w:hAnsi="Arial" w:cs="Arial"/>
          <w:bCs/>
          <w:sz w:val="22"/>
          <w:szCs w:val="22"/>
          <w:lang w:val="fr-FR"/>
        </w:rPr>
        <w:t>article 3.3 et de revenir à la version initiale de l</w:t>
      </w:r>
      <w:r w:rsidR="008E532B">
        <w:rPr>
          <w:rFonts w:ascii="Arial" w:hAnsi="Arial" w:cs="Arial"/>
          <w:bCs/>
          <w:sz w:val="22"/>
          <w:szCs w:val="22"/>
          <w:lang w:val="fr-FR"/>
        </w:rPr>
        <w:t>’</w:t>
      </w:r>
      <w:r w:rsidRPr="00106385">
        <w:rPr>
          <w:rFonts w:ascii="Arial" w:hAnsi="Arial" w:cs="Arial"/>
          <w:bCs/>
          <w:sz w:val="22"/>
          <w:szCs w:val="22"/>
          <w:lang w:val="fr-FR"/>
        </w:rPr>
        <w:t>article 2.2, mais que dans un souci de compromis, elle soutiendrait également l</w:t>
      </w:r>
      <w:r w:rsidR="008E532B">
        <w:rPr>
          <w:rFonts w:ascii="Arial" w:hAnsi="Arial" w:cs="Arial"/>
          <w:bCs/>
          <w:sz w:val="22"/>
          <w:szCs w:val="22"/>
          <w:lang w:val="fr-FR"/>
        </w:rPr>
        <w:t>’</w:t>
      </w:r>
      <w:r w:rsidRPr="00106385">
        <w:rPr>
          <w:rFonts w:ascii="Arial" w:hAnsi="Arial" w:cs="Arial"/>
          <w:bCs/>
          <w:sz w:val="22"/>
          <w:szCs w:val="22"/>
          <w:lang w:val="fr-FR"/>
        </w:rPr>
        <w:t>option 1.</w:t>
      </w:r>
    </w:p>
    <w:p w14:paraId="7F6009DD" w14:textId="7ABC769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06385">
        <w:rPr>
          <w:rFonts w:ascii="Arial" w:hAnsi="Arial" w:cs="Arial"/>
          <w:bCs/>
          <w:sz w:val="22"/>
          <w:szCs w:val="22"/>
          <w:lang w:val="fr-FR"/>
        </w:rPr>
        <w:t xml:space="preserve">La délégation </w:t>
      </w:r>
      <w:r>
        <w:rPr>
          <w:rFonts w:ascii="Arial" w:hAnsi="Arial" w:cs="Arial"/>
          <w:bCs/>
          <w:sz w:val="22"/>
          <w:szCs w:val="22"/>
          <w:lang w:val="fr-FR"/>
        </w:rPr>
        <w:t xml:space="preserve">de la </w:t>
      </w:r>
      <w:r w:rsidRPr="00E8321F">
        <w:rPr>
          <w:rFonts w:ascii="Arial" w:hAnsi="Arial" w:cs="Arial"/>
          <w:b/>
          <w:sz w:val="22"/>
          <w:szCs w:val="22"/>
          <w:lang w:val="fr-FR"/>
        </w:rPr>
        <w:t>République bolivarienne du Venezuela</w:t>
      </w:r>
      <w:r w:rsidRPr="00106385">
        <w:rPr>
          <w:rFonts w:ascii="Arial" w:hAnsi="Arial" w:cs="Arial"/>
          <w:bCs/>
          <w:sz w:val="22"/>
          <w:szCs w:val="22"/>
          <w:lang w:val="fr-FR"/>
        </w:rPr>
        <w:t xml:space="preserve"> a </w:t>
      </w:r>
      <w:r>
        <w:rPr>
          <w:rFonts w:ascii="Arial" w:hAnsi="Arial" w:cs="Arial"/>
          <w:bCs/>
          <w:sz w:val="22"/>
          <w:szCs w:val="22"/>
          <w:lang w:val="fr-FR"/>
        </w:rPr>
        <w:t>noté</w:t>
      </w:r>
      <w:r w:rsidRPr="00106385">
        <w:rPr>
          <w:rFonts w:ascii="Arial" w:hAnsi="Arial" w:cs="Arial"/>
          <w:bCs/>
          <w:sz w:val="22"/>
          <w:szCs w:val="22"/>
          <w:lang w:val="fr-FR"/>
        </w:rPr>
        <w:t xml:space="preserve"> que l</w:t>
      </w:r>
      <w:r w:rsidR="008E532B">
        <w:rPr>
          <w:rFonts w:ascii="Arial" w:hAnsi="Arial" w:cs="Arial"/>
          <w:bCs/>
          <w:sz w:val="22"/>
          <w:szCs w:val="22"/>
          <w:lang w:val="fr-FR"/>
        </w:rPr>
        <w:t>’</w:t>
      </w:r>
      <w:r w:rsidRPr="00106385">
        <w:rPr>
          <w:rFonts w:ascii="Arial" w:hAnsi="Arial" w:cs="Arial"/>
          <w:bCs/>
          <w:sz w:val="22"/>
          <w:szCs w:val="22"/>
          <w:lang w:val="fr-FR"/>
        </w:rPr>
        <w:t>option 1 maint</w:t>
      </w:r>
      <w:r>
        <w:rPr>
          <w:rFonts w:ascii="Arial" w:hAnsi="Arial" w:cs="Arial"/>
          <w:bCs/>
          <w:sz w:val="22"/>
          <w:szCs w:val="22"/>
          <w:lang w:val="fr-FR"/>
        </w:rPr>
        <w:t>enait</w:t>
      </w:r>
      <w:r w:rsidRPr="00106385">
        <w:rPr>
          <w:rFonts w:ascii="Arial" w:hAnsi="Arial" w:cs="Arial"/>
          <w:bCs/>
          <w:sz w:val="22"/>
          <w:szCs w:val="22"/>
          <w:lang w:val="fr-FR"/>
        </w:rPr>
        <w:t xml:space="preserve"> la pratique actuelle, comme l</w:t>
      </w:r>
      <w:r w:rsidR="008E532B">
        <w:rPr>
          <w:rFonts w:ascii="Arial" w:hAnsi="Arial" w:cs="Arial"/>
          <w:bCs/>
          <w:sz w:val="22"/>
          <w:szCs w:val="22"/>
          <w:lang w:val="fr-FR"/>
        </w:rPr>
        <w:t>’</w:t>
      </w:r>
      <w:r w:rsidRPr="00106385">
        <w:rPr>
          <w:rFonts w:ascii="Arial" w:hAnsi="Arial" w:cs="Arial"/>
          <w:bCs/>
          <w:sz w:val="22"/>
          <w:szCs w:val="22"/>
          <w:lang w:val="fr-FR"/>
        </w:rPr>
        <w:t>a</w:t>
      </w:r>
      <w:r>
        <w:rPr>
          <w:rFonts w:ascii="Arial" w:hAnsi="Arial" w:cs="Arial"/>
          <w:bCs/>
          <w:sz w:val="22"/>
          <w:szCs w:val="22"/>
          <w:lang w:val="fr-FR"/>
        </w:rPr>
        <w:t>vait</w:t>
      </w:r>
      <w:r w:rsidRPr="00106385">
        <w:rPr>
          <w:rFonts w:ascii="Arial" w:hAnsi="Arial" w:cs="Arial"/>
          <w:bCs/>
          <w:sz w:val="22"/>
          <w:szCs w:val="22"/>
          <w:lang w:val="fr-FR"/>
        </w:rPr>
        <w:t xml:space="preserve"> expliqué le Conseiller juridique. En d</w:t>
      </w:r>
      <w:r w:rsidR="008E532B">
        <w:rPr>
          <w:rFonts w:ascii="Arial" w:hAnsi="Arial" w:cs="Arial"/>
          <w:bCs/>
          <w:sz w:val="22"/>
          <w:szCs w:val="22"/>
          <w:lang w:val="fr-FR"/>
        </w:rPr>
        <w:t>’</w:t>
      </w:r>
      <w:r w:rsidRPr="00106385">
        <w:rPr>
          <w:rFonts w:ascii="Arial" w:hAnsi="Arial" w:cs="Arial"/>
          <w:bCs/>
          <w:sz w:val="22"/>
          <w:szCs w:val="22"/>
          <w:lang w:val="fr-FR"/>
        </w:rPr>
        <w:t>autres termes, tous les participants présents dans la salle et en ligne continueraient à pouvoir suivre l</w:t>
      </w:r>
      <w:r w:rsidR="008E532B">
        <w:rPr>
          <w:rFonts w:ascii="Arial" w:hAnsi="Arial" w:cs="Arial"/>
          <w:bCs/>
          <w:sz w:val="22"/>
          <w:szCs w:val="22"/>
          <w:lang w:val="fr-FR"/>
        </w:rPr>
        <w:t>’</w:t>
      </w:r>
      <w:r w:rsidRPr="00106385">
        <w:rPr>
          <w:rFonts w:ascii="Arial" w:hAnsi="Arial" w:cs="Arial"/>
          <w:bCs/>
          <w:sz w:val="22"/>
          <w:szCs w:val="22"/>
          <w:lang w:val="fr-FR"/>
        </w:rPr>
        <w:t>Assemblée. La délégation a également noté que de nombreuses délégations préféraient en fait l</w:t>
      </w:r>
      <w:r w:rsidR="008E532B">
        <w:rPr>
          <w:rFonts w:ascii="Arial" w:hAnsi="Arial" w:cs="Arial"/>
          <w:bCs/>
          <w:sz w:val="22"/>
          <w:szCs w:val="22"/>
          <w:lang w:val="fr-FR"/>
        </w:rPr>
        <w:t>’</w:t>
      </w:r>
      <w:r w:rsidRPr="00106385">
        <w:rPr>
          <w:rFonts w:ascii="Arial" w:hAnsi="Arial" w:cs="Arial"/>
          <w:bCs/>
          <w:sz w:val="22"/>
          <w:szCs w:val="22"/>
          <w:lang w:val="fr-FR"/>
        </w:rPr>
        <w:t>article 3.3 mais que, au nom de la flexibilité, elles accept</w:t>
      </w:r>
      <w:r>
        <w:rPr>
          <w:rFonts w:ascii="Arial" w:hAnsi="Arial" w:cs="Arial"/>
          <w:bCs/>
          <w:sz w:val="22"/>
          <w:szCs w:val="22"/>
          <w:lang w:val="fr-FR"/>
        </w:rPr>
        <w:t>aient</w:t>
      </w:r>
      <w:r w:rsidRPr="00106385">
        <w:rPr>
          <w:rFonts w:ascii="Arial" w:hAnsi="Arial" w:cs="Arial"/>
          <w:bCs/>
          <w:sz w:val="22"/>
          <w:szCs w:val="22"/>
          <w:lang w:val="fr-FR"/>
        </w:rPr>
        <w:t xml:space="preserve"> de revenir à l</w:t>
      </w:r>
      <w:r w:rsidR="008E532B">
        <w:rPr>
          <w:rFonts w:ascii="Arial" w:hAnsi="Arial" w:cs="Arial"/>
          <w:bCs/>
          <w:sz w:val="22"/>
          <w:szCs w:val="22"/>
          <w:lang w:val="fr-FR"/>
        </w:rPr>
        <w:t>’</w:t>
      </w:r>
      <w:r w:rsidRPr="00106385">
        <w:rPr>
          <w:rFonts w:ascii="Arial" w:hAnsi="Arial" w:cs="Arial"/>
          <w:bCs/>
          <w:sz w:val="22"/>
          <w:szCs w:val="22"/>
          <w:lang w:val="fr-FR"/>
        </w:rPr>
        <w:t>article 2.2 avec sa modification mineure. C</w:t>
      </w:r>
      <w:r w:rsidR="008E532B">
        <w:rPr>
          <w:rFonts w:ascii="Arial" w:hAnsi="Arial" w:cs="Arial"/>
          <w:bCs/>
          <w:sz w:val="22"/>
          <w:szCs w:val="22"/>
          <w:lang w:val="fr-FR"/>
        </w:rPr>
        <w:t>’</w:t>
      </w:r>
      <w:r>
        <w:rPr>
          <w:rFonts w:ascii="Arial" w:hAnsi="Arial" w:cs="Arial"/>
          <w:bCs/>
          <w:sz w:val="22"/>
          <w:szCs w:val="22"/>
          <w:lang w:val="fr-FR"/>
        </w:rPr>
        <w:t>était</w:t>
      </w:r>
      <w:r w:rsidRPr="00106385">
        <w:rPr>
          <w:rFonts w:ascii="Arial" w:hAnsi="Arial" w:cs="Arial"/>
          <w:bCs/>
          <w:sz w:val="22"/>
          <w:szCs w:val="22"/>
          <w:lang w:val="fr-FR"/>
        </w:rPr>
        <w:t xml:space="preserve"> la proposition de l</w:t>
      </w:r>
      <w:r w:rsidR="008E532B">
        <w:rPr>
          <w:rFonts w:ascii="Arial" w:hAnsi="Arial" w:cs="Arial"/>
          <w:bCs/>
          <w:sz w:val="22"/>
          <w:szCs w:val="22"/>
          <w:lang w:val="fr-FR"/>
        </w:rPr>
        <w:t>’</w:t>
      </w:r>
      <w:r w:rsidRPr="00106385">
        <w:rPr>
          <w:rFonts w:ascii="Arial" w:hAnsi="Arial" w:cs="Arial"/>
          <w:bCs/>
          <w:sz w:val="22"/>
          <w:szCs w:val="22"/>
          <w:lang w:val="fr-FR"/>
        </w:rPr>
        <w:t xml:space="preserve">Arabie Saoudite, qui </w:t>
      </w:r>
      <w:r>
        <w:rPr>
          <w:rFonts w:ascii="Arial" w:hAnsi="Arial" w:cs="Arial"/>
          <w:bCs/>
          <w:sz w:val="22"/>
          <w:szCs w:val="22"/>
          <w:lang w:val="fr-FR"/>
        </w:rPr>
        <w:t>maintenait</w:t>
      </w:r>
      <w:r w:rsidRPr="00106385">
        <w:rPr>
          <w:rFonts w:ascii="Arial" w:hAnsi="Arial" w:cs="Arial"/>
          <w:bCs/>
          <w:sz w:val="22"/>
          <w:szCs w:val="22"/>
          <w:lang w:val="fr-FR"/>
        </w:rPr>
        <w:t xml:space="preserve"> également la pratique actuelle. Toutefois, comme certaines délégations estimaient que cela poserait </w:t>
      </w:r>
      <w:proofErr w:type="gramStart"/>
      <w:r w:rsidRPr="00106385">
        <w:rPr>
          <w:rFonts w:ascii="Arial" w:hAnsi="Arial" w:cs="Arial"/>
          <w:bCs/>
          <w:sz w:val="22"/>
          <w:szCs w:val="22"/>
          <w:lang w:val="fr-FR"/>
        </w:rPr>
        <w:t>problème</w:t>
      </w:r>
      <w:proofErr w:type="gramEnd"/>
      <w:r w:rsidRPr="00106385">
        <w:rPr>
          <w:rFonts w:ascii="Arial" w:hAnsi="Arial" w:cs="Arial"/>
          <w:bCs/>
          <w:sz w:val="22"/>
          <w:szCs w:val="22"/>
          <w:lang w:val="fr-FR"/>
        </w:rPr>
        <w:t>, on pourrait peut-être citer les observateurs qui pourraient être invités, mais avec le risque d</w:t>
      </w:r>
      <w:r w:rsidR="008E532B">
        <w:rPr>
          <w:rFonts w:ascii="Arial" w:hAnsi="Arial" w:cs="Arial"/>
          <w:bCs/>
          <w:sz w:val="22"/>
          <w:szCs w:val="22"/>
          <w:lang w:val="fr-FR"/>
        </w:rPr>
        <w:t>’</w:t>
      </w:r>
      <w:r w:rsidRPr="00106385">
        <w:rPr>
          <w:rFonts w:ascii="Arial" w:hAnsi="Arial" w:cs="Arial"/>
          <w:bCs/>
          <w:sz w:val="22"/>
          <w:szCs w:val="22"/>
          <w:lang w:val="fr-FR"/>
        </w:rPr>
        <w:t>exclure quelqu</w:t>
      </w:r>
      <w:r w:rsidR="008E532B">
        <w:rPr>
          <w:rFonts w:ascii="Arial" w:hAnsi="Arial" w:cs="Arial"/>
          <w:bCs/>
          <w:sz w:val="22"/>
          <w:szCs w:val="22"/>
          <w:lang w:val="fr-FR"/>
        </w:rPr>
        <w:t>’</w:t>
      </w:r>
      <w:r w:rsidRPr="00106385">
        <w:rPr>
          <w:rFonts w:ascii="Arial" w:hAnsi="Arial" w:cs="Arial"/>
          <w:bCs/>
          <w:sz w:val="22"/>
          <w:szCs w:val="22"/>
          <w:lang w:val="fr-FR"/>
        </w:rPr>
        <w:t>un. La délégation a fait remarquer que puisque rien n</w:t>
      </w:r>
      <w:r w:rsidR="008E532B">
        <w:rPr>
          <w:rFonts w:ascii="Arial" w:hAnsi="Arial" w:cs="Arial"/>
          <w:bCs/>
          <w:sz w:val="22"/>
          <w:szCs w:val="22"/>
          <w:lang w:val="fr-FR"/>
        </w:rPr>
        <w:t>’</w:t>
      </w:r>
      <w:r w:rsidRPr="00106385">
        <w:rPr>
          <w:rFonts w:ascii="Arial" w:hAnsi="Arial" w:cs="Arial"/>
          <w:bCs/>
          <w:sz w:val="22"/>
          <w:szCs w:val="22"/>
          <w:lang w:val="fr-FR"/>
        </w:rPr>
        <w:t xml:space="preserve">était changé et que les observateurs, </w:t>
      </w:r>
      <w:r>
        <w:rPr>
          <w:rFonts w:ascii="Arial" w:hAnsi="Arial" w:cs="Arial"/>
          <w:bCs/>
          <w:sz w:val="22"/>
          <w:szCs w:val="22"/>
          <w:lang w:val="fr-FR"/>
        </w:rPr>
        <w:t xml:space="preserve">dans la </w:t>
      </w:r>
      <w:r w:rsidRPr="00B424EA">
        <w:rPr>
          <w:rFonts w:ascii="Arial" w:hAnsi="Arial" w:cs="Arial"/>
          <w:bCs/>
          <w:sz w:val="22"/>
          <w:szCs w:val="22"/>
          <w:lang w:val="fr-FR"/>
        </w:rPr>
        <w:t>situation</w:t>
      </w:r>
      <w:r>
        <w:rPr>
          <w:rFonts w:ascii="Arial" w:hAnsi="Arial" w:cs="Arial"/>
          <w:bCs/>
          <w:sz w:val="22"/>
          <w:szCs w:val="22"/>
          <w:lang w:val="fr-FR"/>
        </w:rPr>
        <w:t xml:space="preserve"> actuelle </w:t>
      </w:r>
      <w:r w:rsidRPr="00106385">
        <w:rPr>
          <w:rFonts w:ascii="Arial" w:hAnsi="Arial" w:cs="Arial"/>
          <w:bCs/>
          <w:sz w:val="22"/>
          <w:szCs w:val="22"/>
          <w:lang w:val="fr-FR"/>
        </w:rPr>
        <w:t>(suiv</w:t>
      </w:r>
      <w:r>
        <w:rPr>
          <w:rFonts w:ascii="Arial" w:hAnsi="Arial" w:cs="Arial"/>
          <w:bCs/>
          <w:sz w:val="22"/>
          <w:szCs w:val="22"/>
          <w:lang w:val="fr-FR"/>
        </w:rPr>
        <w:t>an</w:t>
      </w:r>
      <w:r w:rsidRPr="00106385">
        <w:rPr>
          <w:rFonts w:ascii="Arial" w:hAnsi="Arial" w:cs="Arial"/>
          <w:bCs/>
          <w:sz w:val="22"/>
          <w:szCs w:val="22"/>
          <w:lang w:val="fr-FR"/>
        </w:rPr>
        <w:t xml:space="preserve">t </w:t>
      </w:r>
      <w:r>
        <w:rPr>
          <w:rFonts w:ascii="Arial" w:hAnsi="Arial" w:cs="Arial"/>
          <w:bCs/>
          <w:sz w:val="22"/>
          <w:szCs w:val="22"/>
          <w:lang w:val="fr-FR"/>
        </w:rPr>
        <w:t>l</w:t>
      </w:r>
      <w:r w:rsidR="008E532B">
        <w:rPr>
          <w:rFonts w:ascii="Arial" w:hAnsi="Arial" w:cs="Arial"/>
          <w:bCs/>
          <w:sz w:val="22"/>
          <w:szCs w:val="22"/>
          <w:lang w:val="fr-FR"/>
        </w:rPr>
        <w:t>’</w:t>
      </w:r>
      <w:r>
        <w:rPr>
          <w:rFonts w:ascii="Arial" w:hAnsi="Arial" w:cs="Arial"/>
          <w:bCs/>
          <w:sz w:val="22"/>
          <w:szCs w:val="22"/>
          <w:lang w:val="fr-FR"/>
        </w:rPr>
        <w:t xml:space="preserve">Assemblée soit </w:t>
      </w:r>
      <w:r w:rsidRPr="00106385">
        <w:rPr>
          <w:rFonts w:ascii="Arial" w:hAnsi="Arial" w:cs="Arial"/>
          <w:bCs/>
          <w:sz w:val="22"/>
          <w:szCs w:val="22"/>
          <w:lang w:val="fr-FR"/>
        </w:rPr>
        <w:t xml:space="preserve">en ligne </w:t>
      </w:r>
      <w:r>
        <w:rPr>
          <w:rFonts w:ascii="Arial" w:hAnsi="Arial" w:cs="Arial"/>
          <w:bCs/>
          <w:sz w:val="22"/>
          <w:szCs w:val="22"/>
          <w:lang w:val="fr-FR"/>
        </w:rPr>
        <w:t xml:space="preserve">soit </w:t>
      </w:r>
      <w:r w:rsidRPr="00106385">
        <w:rPr>
          <w:rFonts w:ascii="Arial" w:hAnsi="Arial" w:cs="Arial"/>
          <w:bCs/>
          <w:sz w:val="22"/>
          <w:szCs w:val="22"/>
          <w:lang w:val="fr-FR"/>
        </w:rPr>
        <w:t>dans la salle)</w:t>
      </w:r>
      <w:r>
        <w:rPr>
          <w:rFonts w:ascii="Arial" w:hAnsi="Arial" w:cs="Arial"/>
          <w:bCs/>
          <w:sz w:val="22"/>
          <w:szCs w:val="22"/>
          <w:lang w:val="fr-FR"/>
        </w:rPr>
        <w:t>,</w:t>
      </w:r>
      <w:r w:rsidRPr="00106385">
        <w:rPr>
          <w:rFonts w:ascii="Arial" w:hAnsi="Arial" w:cs="Arial"/>
          <w:bCs/>
          <w:sz w:val="22"/>
          <w:szCs w:val="22"/>
          <w:lang w:val="fr-FR"/>
        </w:rPr>
        <w:t xml:space="preserve"> p</w:t>
      </w:r>
      <w:r>
        <w:rPr>
          <w:rFonts w:ascii="Arial" w:hAnsi="Arial" w:cs="Arial"/>
          <w:bCs/>
          <w:sz w:val="22"/>
          <w:szCs w:val="22"/>
          <w:lang w:val="fr-FR"/>
        </w:rPr>
        <w:t>ouvaient</w:t>
      </w:r>
      <w:r w:rsidRPr="00106385">
        <w:rPr>
          <w:rFonts w:ascii="Arial" w:hAnsi="Arial" w:cs="Arial"/>
          <w:bCs/>
          <w:sz w:val="22"/>
          <w:szCs w:val="22"/>
          <w:lang w:val="fr-FR"/>
        </w:rPr>
        <w:t xml:space="preserve"> continuer comme ils l</w:t>
      </w:r>
      <w:r w:rsidR="008E532B">
        <w:rPr>
          <w:rFonts w:ascii="Arial" w:hAnsi="Arial" w:cs="Arial"/>
          <w:bCs/>
          <w:sz w:val="22"/>
          <w:szCs w:val="22"/>
          <w:lang w:val="fr-FR"/>
        </w:rPr>
        <w:t>’</w:t>
      </w:r>
      <w:r>
        <w:rPr>
          <w:rFonts w:ascii="Arial" w:hAnsi="Arial" w:cs="Arial"/>
          <w:bCs/>
          <w:sz w:val="22"/>
          <w:szCs w:val="22"/>
          <w:lang w:val="fr-FR"/>
        </w:rPr>
        <w:t>avaient</w:t>
      </w:r>
      <w:r w:rsidRPr="00106385">
        <w:rPr>
          <w:rFonts w:ascii="Arial" w:hAnsi="Arial" w:cs="Arial"/>
          <w:bCs/>
          <w:sz w:val="22"/>
          <w:szCs w:val="22"/>
          <w:lang w:val="fr-FR"/>
        </w:rPr>
        <w:t xml:space="preserve"> toujours fait, elle a proposé l</w:t>
      </w:r>
      <w:r w:rsidR="008E532B">
        <w:rPr>
          <w:rFonts w:ascii="Arial" w:hAnsi="Arial" w:cs="Arial"/>
          <w:bCs/>
          <w:sz w:val="22"/>
          <w:szCs w:val="22"/>
          <w:lang w:val="fr-FR"/>
        </w:rPr>
        <w:t>’</w:t>
      </w:r>
      <w:r w:rsidRPr="00106385">
        <w:rPr>
          <w:rFonts w:ascii="Arial" w:hAnsi="Arial" w:cs="Arial"/>
          <w:bCs/>
          <w:sz w:val="22"/>
          <w:szCs w:val="22"/>
          <w:lang w:val="fr-FR"/>
        </w:rPr>
        <w:t>option raisonnable qui était de maintenir la pratique actuelle. La délégation a appelé les délégations à faire preuve d</w:t>
      </w:r>
      <w:r w:rsidR="008E532B">
        <w:rPr>
          <w:rFonts w:ascii="Arial" w:hAnsi="Arial" w:cs="Arial"/>
          <w:bCs/>
          <w:sz w:val="22"/>
          <w:szCs w:val="22"/>
          <w:lang w:val="fr-FR"/>
        </w:rPr>
        <w:t>’</w:t>
      </w:r>
      <w:r w:rsidRPr="00106385">
        <w:rPr>
          <w:rFonts w:ascii="Arial" w:hAnsi="Arial" w:cs="Arial"/>
          <w:bCs/>
          <w:sz w:val="22"/>
          <w:szCs w:val="22"/>
          <w:lang w:val="fr-FR"/>
        </w:rPr>
        <w:t xml:space="preserve">un peu de </w:t>
      </w:r>
      <w:r>
        <w:rPr>
          <w:rFonts w:ascii="Arial" w:hAnsi="Arial" w:cs="Arial"/>
          <w:bCs/>
          <w:sz w:val="22"/>
          <w:szCs w:val="22"/>
          <w:lang w:val="fr-FR"/>
        </w:rPr>
        <w:t>flexibilité</w:t>
      </w:r>
      <w:r w:rsidRPr="00106385">
        <w:rPr>
          <w:rFonts w:ascii="Arial" w:hAnsi="Arial" w:cs="Arial"/>
          <w:bCs/>
          <w:sz w:val="22"/>
          <w:szCs w:val="22"/>
          <w:lang w:val="fr-FR"/>
        </w:rPr>
        <w:t xml:space="preserve"> sur cette question.</w:t>
      </w:r>
    </w:p>
    <w:p w14:paraId="22676F41" w14:textId="0EEE44C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D6601">
        <w:rPr>
          <w:rFonts w:ascii="Arial" w:hAnsi="Arial" w:cs="Arial"/>
          <w:b/>
          <w:sz w:val="22"/>
          <w:szCs w:val="22"/>
          <w:lang w:val="fr-FR"/>
        </w:rPr>
        <w:t>Présidente</w:t>
      </w:r>
      <w:r>
        <w:rPr>
          <w:rFonts w:ascii="Arial" w:hAnsi="Arial" w:cs="Arial"/>
          <w:bCs/>
          <w:sz w:val="22"/>
          <w:szCs w:val="22"/>
          <w:lang w:val="fr-FR"/>
        </w:rPr>
        <w:t xml:space="preserve"> a fait remarquer qu</w:t>
      </w:r>
      <w:r w:rsidR="008E532B">
        <w:rPr>
          <w:rFonts w:ascii="Arial" w:hAnsi="Arial" w:cs="Arial"/>
          <w:bCs/>
          <w:sz w:val="22"/>
          <w:szCs w:val="22"/>
          <w:lang w:val="fr-FR"/>
        </w:rPr>
        <w:t>’</w:t>
      </w:r>
      <w:r>
        <w:rPr>
          <w:rFonts w:ascii="Arial" w:hAnsi="Arial" w:cs="Arial"/>
          <w:bCs/>
          <w:sz w:val="22"/>
          <w:szCs w:val="22"/>
          <w:lang w:val="fr-FR"/>
        </w:rPr>
        <w:t>on était proche d</w:t>
      </w:r>
      <w:r w:rsidR="008E532B">
        <w:rPr>
          <w:rFonts w:ascii="Arial" w:hAnsi="Arial" w:cs="Arial"/>
          <w:bCs/>
          <w:sz w:val="22"/>
          <w:szCs w:val="22"/>
          <w:lang w:val="fr-FR"/>
        </w:rPr>
        <w:t>’</w:t>
      </w:r>
      <w:r>
        <w:rPr>
          <w:rFonts w:ascii="Arial" w:hAnsi="Arial" w:cs="Arial"/>
          <w:bCs/>
          <w:sz w:val="22"/>
          <w:szCs w:val="22"/>
          <w:lang w:val="fr-FR"/>
        </w:rPr>
        <w:t>un consensus en ce qui concerne le libellé. Elle a proposé l</w:t>
      </w:r>
      <w:r w:rsidR="008E532B">
        <w:rPr>
          <w:rFonts w:ascii="Arial" w:hAnsi="Arial" w:cs="Arial"/>
          <w:bCs/>
          <w:sz w:val="22"/>
          <w:szCs w:val="22"/>
          <w:lang w:val="fr-FR"/>
        </w:rPr>
        <w:t>’</w:t>
      </w:r>
      <w:r>
        <w:rPr>
          <w:rFonts w:ascii="Arial" w:hAnsi="Arial" w:cs="Arial"/>
          <w:bCs/>
          <w:sz w:val="22"/>
          <w:szCs w:val="22"/>
          <w:lang w:val="fr-FR"/>
        </w:rPr>
        <w:t>option 1 et l</w:t>
      </w:r>
      <w:r w:rsidR="008E532B">
        <w:rPr>
          <w:rFonts w:ascii="Arial" w:hAnsi="Arial" w:cs="Arial"/>
          <w:bCs/>
          <w:sz w:val="22"/>
          <w:szCs w:val="22"/>
          <w:lang w:val="fr-FR"/>
        </w:rPr>
        <w:t>’</w:t>
      </w:r>
      <w:r>
        <w:rPr>
          <w:rFonts w:ascii="Arial" w:hAnsi="Arial" w:cs="Arial"/>
          <w:bCs/>
          <w:sz w:val="22"/>
          <w:szCs w:val="22"/>
          <w:lang w:val="fr-FR"/>
        </w:rPr>
        <w:t>option 2, demandant s</w:t>
      </w:r>
      <w:r w:rsidR="008E532B">
        <w:rPr>
          <w:rFonts w:ascii="Arial" w:hAnsi="Arial" w:cs="Arial"/>
          <w:bCs/>
          <w:sz w:val="22"/>
          <w:szCs w:val="22"/>
          <w:lang w:val="fr-FR"/>
        </w:rPr>
        <w:t>’</w:t>
      </w:r>
      <w:r>
        <w:rPr>
          <w:rFonts w:ascii="Arial" w:hAnsi="Arial" w:cs="Arial"/>
          <w:bCs/>
          <w:sz w:val="22"/>
          <w:szCs w:val="22"/>
          <w:lang w:val="fr-FR"/>
        </w:rPr>
        <w:t>il y avait des objections à l</w:t>
      </w:r>
      <w:r w:rsidR="008E532B">
        <w:rPr>
          <w:rFonts w:ascii="Arial" w:hAnsi="Arial" w:cs="Arial"/>
          <w:bCs/>
          <w:sz w:val="22"/>
          <w:szCs w:val="22"/>
          <w:lang w:val="fr-FR"/>
        </w:rPr>
        <w:t>’</w:t>
      </w:r>
      <w:r>
        <w:rPr>
          <w:rFonts w:ascii="Arial" w:hAnsi="Arial" w:cs="Arial"/>
          <w:bCs/>
          <w:sz w:val="22"/>
          <w:szCs w:val="22"/>
          <w:lang w:val="fr-FR"/>
        </w:rPr>
        <w:t xml:space="preserve">option 1. </w:t>
      </w:r>
    </w:p>
    <w:p w14:paraId="7523CFC6" w14:textId="132222BC" w:rsidR="00D9653F" w:rsidRPr="001D660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D6601">
        <w:rPr>
          <w:rFonts w:ascii="Arial" w:hAnsi="Arial" w:cs="Arial"/>
          <w:bCs/>
          <w:sz w:val="22"/>
          <w:szCs w:val="22"/>
          <w:lang w:val="fr-FR"/>
        </w:rPr>
        <w:t xml:space="preserve">La délégation de la </w:t>
      </w:r>
      <w:r w:rsidRPr="001D6601">
        <w:rPr>
          <w:rFonts w:ascii="Arial" w:hAnsi="Arial" w:cs="Arial"/>
          <w:b/>
          <w:sz w:val="22"/>
          <w:szCs w:val="22"/>
          <w:lang w:val="fr-FR"/>
        </w:rPr>
        <w:t>Tchéquie</w:t>
      </w:r>
      <w:r w:rsidRPr="001D6601">
        <w:rPr>
          <w:rFonts w:ascii="Arial" w:hAnsi="Arial" w:cs="Arial"/>
          <w:bCs/>
          <w:sz w:val="22"/>
          <w:szCs w:val="22"/>
          <w:lang w:val="fr-FR"/>
        </w:rPr>
        <w:t xml:space="preserve"> </w:t>
      </w:r>
      <w:r>
        <w:rPr>
          <w:rFonts w:ascii="Arial" w:hAnsi="Arial" w:cs="Arial"/>
          <w:bCs/>
          <w:sz w:val="22"/>
          <w:szCs w:val="22"/>
          <w:lang w:val="fr-FR"/>
        </w:rPr>
        <w:t>pensait</w:t>
      </w:r>
      <w:r w:rsidRPr="001D6601">
        <w:rPr>
          <w:rFonts w:ascii="Arial" w:hAnsi="Arial" w:cs="Arial"/>
          <w:bCs/>
          <w:sz w:val="22"/>
          <w:szCs w:val="22"/>
          <w:lang w:val="fr-FR"/>
        </w:rPr>
        <w:t xml:space="preserve"> qu</w:t>
      </w:r>
      <w:r w:rsidR="008E532B">
        <w:rPr>
          <w:rFonts w:ascii="Arial" w:hAnsi="Arial" w:cs="Arial"/>
          <w:bCs/>
          <w:sz w:val="22"/>
          <w:szCs w:val="22"/>
          <w:lang w:val="fr-FR"/>
        </w:rPr>
        <w:t>’</w:t>
      </w:r>
      <w:r w:rsidRPr="001D6601">
        <w:rPr>
          <w:rFonts w:ascii="Arial" w:hAnsi="Arial" w:cs="Arial"/>
          <w:bCs/>
          <w:sz w:val="22"/>
          <w:szCs w:val="22"/>
          <w:lang w:val="fr-FR"/>
        </w:rPr>
        <w:t xml:space="preserve">il </w:t>
      </w:r>
      <w:r>
        <w:rPr>
          <w:rFonts w:ascii="Arial" w:hAnsi="Arial" w:cs="Arial"/>
          <w:bCs/>
          <w:sz w:val="22"/>
          <w:szCs w:val="22"/>
          <w:lang w:val="fr-FR"/>
        </w:rPr>
        <w:t>était</w:t>
      </w:r>
      <w:r w:rsidRPr="001D6601">
        <w:rPr>
          <w:rFonts w:ascii="Arial" w:hAnsi="Arial" w:cs="Arial"/>
          <w:bCs/>
          <w:sz w:val="22"/>
          <w:szCs w:val="22"/>
          <w:lang w:val="fr-FR"/>
        </w:rPr>
        <w:t xml:space="preserve"> dommage de fermer la porte à d</w:t>
      </w:r>
      <w:r w:rsidR="008E532B">
        <w:rPr>
          <w:rFonts w:ascii="Arial" w:hAnsi="Arial" w:cs="Arial"/>
          <w:bCs/>
          <w:sz w:val="22"/>
          <w:szCs w:val="22"/>
          <w:lang w:val="fr-FR"/>
        </w:rPr>
        <w:t>’</w:t>
      </w:r>
      <w:r w:rsidRPr="001D6601">
        <w:rPr>
          <w:rFonts w:ascii="Arial" w:hAnsi="Arial" w:cs="Arial"/>
          <w:bCs/>
          <w:sz w:val="22"/>
          <w:szCs w:val="22"/>
          <w:lang w:val="fr-FR"/>
        </w:rPr>
        <w:t xml:space="preserve">autres observateurs, tels que des experts dans le domaine de compétence du </w:t>
      </w:r>
      <w:r w:rsidR="00E908E2">
        <w:rPr>
          <w:rFonts w:ascii="Arial" w:eastAsia="SimSun" w:hAnsi="Arial" w:cs="Arial"/>
          <w:bCs/>
          <w:sz w:val="22"/>
          <w:szCs w:val="22"/>
          <w:lang w:val="fr-FR" w:eastAsia="en-US"/>
        </w:rPr>
        <w:t>patrimoine culturel immatériel</w:t>
      </w:r>
      <w:r w:rsidRPr="001D6601">
        <w:rPr>
          <w:rFonts w:ascii="Arial" w:hAnsi="Arial" w:cs="Arial"/>
          <w:bCs/>
          <w:sz w:val="22"/>
          <w:szCs w:val="22"/>
          <w:lang w:val="fr-FR"/>
        </w:rPr>
        <w:t>, et elle ne vo</w:t>
      </w:r>
      <w:r>
        <w:rPr>
          <w:rFonts w:ascii="Arial" w:hAnsi="Arial" w:cs="Arial"/>
          <w:bCs/>
          <w:sz w:val="22"/>
          <w:szCs w:val="22"/>
          <w:lang w:val="fr-FR"/>
        </w:rPr>
        <w:t xml:space="preserve">yait </w:t>
      </w:r>
      <w:r w:rsidRPr="001D6601">
        <w:rPr>
          <w:rFonts w:ascii="Arial" w:hAnsi="Arial" w:cs="Arial"/>
          <w:bCs/>
          <w:sz w:val="22"/>
          <w:szCs w:val="22"/>
          <w:lang w:val="fr-FR"/>
        </w:rPr>
        <w:t>pas pourquoi l</w:t>
      </w:r>
      <w:r w:rsidR="008E532B">
        <w:rPr>
          <w:rFonts w:ascii="Arial" w:hAnsi="Arial" w:cs="Arial"/>
          <w:bCs/>
          <w:sz w:val="22"/>
          <w:szCs w:val="22"/>
          <w:lang w:val="fr-FR"/>
        </w:rPr>
        <w:t>’</w:t>
      </w:r>
      <w:r w:rsidRPr="001D6601">
        <w:rPr>
          <w:rFonts w:ascii="Arial" w:hAnsi="Arial" w:cs="Arial"/>
          <w:bCs/>
          <w:sz w:val="22"/>
          <w:szCs w:val="22"/>
          <w:lang w:val="fr-FR"/>
        </w:rPr>
        <w:t>Assemblée se priverait de cette option.</w:t>
      </w:r>
    </w:p>
    <w:p w14:paraId="79E6E3D9" w14:textId="5FA73FC3" w:rsidR="00D9653F" w:rsidRPr="001D660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D6601">
        <w:rPr>
          <w:rFonts w:ascii="Arial" w:hAnsi="Arial" w:cs="Arial"/>
          <w:bCs/>
          <w:sz w:val="22"/>
          <w:szCs w:val="22"/>
          <w:lang w:val="fr-FR"/>
        </w:rPr>
        <w:t>délégation</w:t>
      </w:r>
      <w:r>
        <w:rPr>
          <w:rFonts w:ascii="Arial" w:hAnsi="Arial" w:cs="Arial"/>
          <w:bCs/>
          <w:sz w:val="22"/>
          <w:szCs w:val="22"/>
          <w:lang w:val="fr-FR"/>
        </w:rPr>
        <w:t xml:space="preserve"> de la </w:t>
      </w:r>
      <w:r w:rsidRPr="001D6601">
        <w:rPr>
          <w:rFonts w:ascii="Arial" w:hAnsi="Arial" w:cs="Arial"/>
          <w:b/>
          <w:sz w:val="22"/>
          <w:szCs w:val="22"/>
          <w:lang w:val="fr-FR"/>
        </w:rPr>
        <w:t>Slovaquie</w:t>
      </w:r>
      <w:r>
        <w:rPr>
          <w:rFonts w:ascii="Arial" w:hAnsi="Arial" w:cs="Arial"/>
          <w:bCs/>
          <w:sz w:val="22"/>
          <w:szCs w:val="22"/>
          <w:lang w:val="fr-FR"/>
        </w:rPr>
        <w:t xml:space="preserve"> soutenait la </w:t>
      </w:r>
      <w:r w:rsidRPr="001D6601">
        <w:rPr>
          <w:rFonts w:ascii="Arial" w:hAnsi="Arial" w:cs="Arial"/>
          <w:bCs/>
          <w:sz w:val="22"/>
          <w:szCs w:val="22"/>
          <w:lang w:val="fr-FR"/>
        </w:rPr>
        <w:t>proposition</w:t>
      </w:r>
      <w:r>
        <w:rPr>
          <w:rFonts w:ascii="Arial" w:hAnsi="Arial" w:cs="Arial"/>
          <w:bCs/>
          <w:sz w:val="22"/>
          <w:szCs w:val="22"/>
          <w:lang w:val="fr-FR"/>
        </w:rPr>
        <w:t xml:space="preserve"> de la Tchéquie, de la Suisse et d</w:t>
      </w:r>
      <w:r w:rsidR="008E532B">
        <w:rPr>
          <w:rFonts w:ascii="Arial" w:hAnsi="Arial" w:cs="Arial"/>
          <w:bCs/>
          <w:sz w:val="22"/>
          <w:szCs w:val="22"/>
          <w:lang w:val="fr-FR"/>
        </w:rPr>
        <w:t>’</w:t>
      </w:r>
      <w:r>
        <w:rPr>
          <w:rFonts w:ascii="Arial" w:hAnsi="Arial" w:cs="Arial"/>
          <w:bCs/>
          <w:sz w:val="22"/>
          <w:szCs w:val="22"/>
          <w:lang w:val="fr-FR"/>
        </w:rPr>
        <w:t xml:space="preserve">autres </w:t>
      </w:r>
      <w:r w:rsidRPr="001D6601">
        <w:rPr>
          <w:rFonts w:ascii="Arial" w:hAnsi="Arial" w:cs="Arial"/>
          <w:bCs/>
          <w:sz w:val="22"/>
          <w:szCs w:val="22"/>
          <w:lang w:val="fr-FR"/>
        </w:rPr>
        <w:t>délégatio</w:t>
      </w:r>
      <w:r>
        <w:rPr>
          <w:rFonts w:ascii="Arial" w:hAnsi="Arial" w:cs="Arial"/>
          <w:bCs/>
          <w:sz w:val="22"/>
          <w:szCs w:val="22"/>
          <w:lang w:val="fr-FR"/>
        </w:rPr>
        <w:t>ns qui s</w:t>
      </w:r>
      <w:r w:rsidR="008E532B">
        <w:rPr>
          <w:rFonts w:ascii="Arial" w:hAnsi="Arial" w:cs="Arial"/>
          <w:bCs/>
          <w:sz w:val="22"/>
          <w:szCs w:val="22"/>
          <w:lang w:val="fr-FR"/>
        </w:rPr>
        <w:t>’</w:t>
      </w:r>
      <w:r>
        <w:rPr>
          <w:rFonts w:ascii="Arial" w:hAnsi="Arial" w:cs="Arial"/>
          <w:bCs/>
          <w:sz w:val="22"/>
          <w:szCs w:val="22"/>
          <w:lang w:val="fr-FR"/>
        </w:rPr>
        <w:t>étaient exprimées en faveur de l</w:t>
      </w:r>
      <w:r w:rsidR="008E532B">
        <w:rPr>
          <w:rFonts w:ascii="Arial" w:hAnsi="Arial" w:cs="Arial"/>
          <w:bCs/>
          <w:sz w:val="22"/>
          <w:szCs w:val="22"/>
          <w:lang w:val="fr-FR"/>
        </w:rPr>
        <w:t>’</w:t>
      </w:r>
      <w:r>
        <w:rPr>
          <w:rFonts w:ascii="Arial" w:hAnsi="Arial" w:cs="Arial"/>
          <w:bCs/>
          <w:sz w:val="22"/>
          <w:szCs w:val="22"/>
          <w:lang w:val="fr-FR"/>
        </w:rPr>
        <w:t>option 2, car c</w:t>
      </w:r>
      <w:r w:rsidR="008E532B">
        <w:rPr>
          <w:rFonts w:ascii="Arial" w:hAnsi="Arial" w:cs="Arial"/>
          <w:bCs/>
          <w:sz w:val="22"/>
          <w:szCs w:val="22"/>
          <w:lang w:val="fr-FR"/>
        </w:rPr>
        <w:t>’</w:t>
      </w:r>
      <w:r>
        <w:rPr>
          <w:rFonts w:ascii="Arial" w:hAnsi="Arial" w:cs="Arial"/>
          <w:bCs/>
          <w:sz w:val="22"/>
          <w:szCs w:val="22"/>
          <w:lang w:val="fr-FR"/>
        </w:rPr>
        <w:t>était une garantie d</w:t>
      </w:r>
      <w:r w:rsidR="008E532B">
        <w:rPr>
          <w:rFonts w:ascii="Arial" w:hAnsi="Arial" w:cs="Arial"/>
          <w:bCs/>
          <w:sz w:val="22"/>
          <w:szCs w:val="22"/>
          <w:lang w:val="fr-FR"/>
        </w:rPr>
        <w:t>’</w:t>
      </w:r>
      <w:r>
        <w:rPr>
          <w:rFonts w:ascii="Arial" w:hAnsi="Arial" w:cs="Arial"/>
          <w:bCs/>
          <w:sz w:val="22"/>
          <w:szCs w:val="22"/>
          <w:lang w:val="fr-FR"/>
        </w:rPr>
        <w:t>inclusivité.</w:t>
      </w:r>
    </w:p>
    <w:p w14:paraId="29C00507" w14:textId="2CB4E15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476AE">
        <w:rPr>
          <w:rFonts w:ascii="Arial" w:hAnsi="Arial" w:cs="Arial"/>
          <w:bCs/>
          <w:sz w:val="22"/>
          <w:szCs w:val="22"/>
          <w:lang w:val="fr-FR"/>
        </w:rPr>
        <w:t xml:space="preserve">La </w:t>
      </w:r>
      <w:r w:rsidRPr="00B476AE">
        <w:rPr>
          <w:rFonts w:ascii="Arial" w:hAnsi="Arial" w:cs="Arial"/>
          <w:b/>
          <w:sz w:val="22"/>
          <w:szCs w:val="22"/>
          <w:lang w:val="fr-FR"/>
        </w:rPr>
        <w:t>Présidente</w:t>
      </w:r>
      <w:r w:rsidRPr="00B476AE">
        <w:rPr>
          <w:rFonts w:ascii="Arial" w:hAnsi="Arial" w:cs="Arial"/>
          <w:bCs/>
          <w:sz w:val="22"/>
          <w:szCs w:val="22"/>
          <w:lang w:val="fr-FR"/>
        </w:rPr>
        <w:t xml:space="preserve"> </w:t>
      </w:r>
      <w:r>
        <w:rPr>
          <w:rFonts w:ascii="Arial" w:hAnsi="Arial" w:cs="Arial"/>
          <w:bCs/>
          <w:sz w:val="22"/>
          <w:szCs w:val="22"/>
          <w:lang w:val="fr-FR"/>
        </w:rPr>
        <w:t xml:space="preserve">a </w:t>
      </w:r>
      <w:r w:rsidRPr="00B476AE">
        <w:rPr>
          <w:rFonts w:ascii="Arial" w:hAnsi="Arial" w:cs="Arial"/>
          <w:bCs/>
          <w:sz w:val="22"/>
          <w:szCs w:val="22"/>
          <w:lang w:val="fr-FR"/>
        </w:rPr>
        <w:t>demand</w:t>
      </w:r>
      <w:r>
        <w:rPr>
          <w:rFonts w:ascii="Arial" w:hAnsi="Arial" w:cs="Arial"/>
          <w:bCs/>
          <w:sz w:val="22"/>
          <w:szCs w:val="22"/>
          <w:lang w:val="fr-FR"/>
        </w:rPr>
        <w:t>é</w:t>
      </w:r>
      <w:r w:rsidRPr="00B476AE">
        <w:rPr>
          <w:rFonts w:ascii="Arial" w:hAnsi="Arial" w:cs="Arial"/>
          <w:bCs/>
          <w:sz w:val="22"/>
          <w:szCs w:val="22"/>
          <w:lang w:val="fr-FR"/>
        </w:rPr>
        <w:t xml:space="preserve"> à l</w:t>
      </w:r>
      <w:r w:rsidR="008E532B">
        <w:rPr>
          <w:rFonts w:ascii="Arial" w:hAnsi="Arial" w:cs="Arial"/>
          <w:bCs/>
          <w:sz w:val="22"/>
          <w:szCs w:val="22"/>
          <w:lang w:val="fr-FR"/>
        </w:rPr>
        <w:t>’</w:t>
      </w:r>
      <w:r w:rsidRPr="00B476AE">
        <w:rPr>
          <w:rFonts w:ascii="Arial" w:hAnsi="Arial" w:cs="Arial"/>
          <w:bCs/>
          <w:sz w:val="22"/>
          <w:szCs w:val="22"/>
          <w:lang w:val="fr-FR"/>
        </w:rPr>
        <w:t>Assemblée s</w:t>
      </w:r>
      <w:r w:rsidR="008E532B">
        <w:rPr>
          <w:rFonts w:ascii="Arial" w:hAnsi="Arial" w:cs="Arial"/>
          <w:bCs/>
          <w:sz w:val="22"/>
          <w:szCs w:val="22"/>
          <w:lang w:val="fr-FR"/>
        </w:rPr>
        <w:t>’</w:t>
      </w:r>
      <w:r w:rsidRPr="00B476AE">
        <w:rPr>
          <w:rFonts w:ascii="Arial" w:hAnsi="Arial" w:cs="Arial"/>
          <w:bCs/>
          <w:sz w:val="22"/>
          <w:szCs w:val="22"/>
          <w:lang w:val="fr-FR"/>
        </w:rPr>
        <w:t>il y a</w:t>
      </w:r>
      <w:r>
        <w:rPr>
          <w:rFonts w:ascii="Arial" w:hAnsi="Arial" w:cs="Arial"/>
          <w:bCs/>
          <w:sz w:val="22"/>
          <w:szCs w:val="22"/>
          <w:lang w:val="fr-FR"/>
        </w:rPr>
        <w:t>vait</w:t>
      </w:r>
      <w:r w:rsidRPr="00B476AE">
        <w:rPr>
          <w:rFonts w:ascii="Arial" w:hAnsi="Arial" w:cs="Arial"/>
          <w:bCs/>
          <w:sz w:val="22"/>
          <w:szCs w:val="22"/>
          <w:lang w:val="fr-FR"/>
        </w:rPr>
        <w:t xml:space="preserve"> des objections à l</w:t>
      </w:r>
      <w:r w:rsidR="008E532B">
        <w:rPr>
          <w:rFonts w:ascii="Arial" w:hAnsi="Arial" w:cs="Arial"/>
          <w:bCs/>
          <w:sz w:val="22"/>
          <w:szCs w:val="22"/>
          <w:lang w:val="fr-FR"/>
        </w:rPr>
        <w:t>’</w:t>
      </w:r>
      <w:r w:rsidRPr="00B476AE">
        <w:rPr>
          <w:rFonts w:ascii="Arial" w:hAnsi="Arial" w:cs="Arial"/>
          <w:bCs/>
          <w:sz w:val="22"/>
          <w:szCs w:val="22"/>
          <w:lang w:val="fr-FR"/>
        </w:rPr>
        <w:t>option 1. La Pologne et le Portugal se sont opposés à l</w:t>
      </w:r>
      <w:r w:rsidR="008E532B">
        <w:rPr>
          <w:rFonts w:ascii="Arial" w:hAnsi="Arial" w:cs="Arial"/>
          <w:bCs/>
          <w:sz w:val="22"/>
          <w:szCs w:val="22"/>
          <w:lang w:val="fr-FR"/>
        </w:rPr>
        <w:t>’</w:t>
      </w:r>
      <w:r w:rsidRPr="00B476AE">
        <w:rPr>
          <w:rFonts w:ascii="Arial" w:hAnsi="Arial" w:cs="Arial"/>
          <w:bCs/>
          <w:sz w:val="22"/>
          <w:szCs w:val="22"/>
          <w:lang w:val="fr-FR"/>
        </w:rPr>
        <w:t xml:space="preserve">option 1. Ainsi, </w:t>
      </w:r>
      <w:r>
        <w:rPr>
          <w:rFonts w:ascii="Arial" w:hAnsi="Arial" w:cs="Arial"/>
          <w:bCs/>
          <w:sz w:val="22"/>
          <w:szCs w:val="22"/>
          <w:lang w:val="fr-FR"/>
        </w:rPr>
        <w:t xml:space="preserve">des oppositions aux deux options, 1 et 2, avaient été exprimées. </w:t>
      </w:r>
    </w:p>
    <w:p w14:paraId="468DA77F" w14:textId="3236830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Notant que l</w:t>
      </w:r>
      <w:r w:rsidR="008E532B">
        <w:rPr>
          <w:rFonts w:ascii="Arial" w:hAnsi="Arial" w:cs="Arial"/>
          <w:bCs/>
          <w:sz w:val="22"/>
          <w:szCs w:val="22"/>
          <w:lang w:val="fr-FR"/>
        </w:rPr>
        <w:t>’</w:t>
      </w:r>
      <w:r>
        <w:rPr>
          <w:rFonts w:ascii="Arial" w:hAnsi="Arial" w:cs="Arial"/>
          <w:bCs/>
          <w:sz w:val="22"/>
          <w:szCs w:val="22"/>
          <w:lang w:val="fr-FR"/>
        </w:rPr>
        <w:t xml:space="preserve">article 2.2 conservait la situation actuelle, les </w:t>
      </w:r>
      <w:r w:rsidRPr="00B476AE">
        <w:rPr>
          <w:rFonts w:ascii="Arial" w:hAnsi="Arial" w:cs="Arial"/>
          <w:b/>
          <w:sz w:val="22"/>
          <w:szCs w:val="22"/>
          <w:lang w:val="fr-FR"/>
        </w:rPr>
        <w:t>Pays</w:t>
      </w:r>
      <w:r w:rsidRPr="00B476AE">
        <w:rPr>
          <w:rFonts w:ascii="Arial" w:hAnsi="Arial" w:cs="Arial"/>
          <w:b/>
          <w:sz w:val="22"/>
          <w:szCs w:val="22"/>
          <w:lang w:val="fr-FR"/>
        </w:rPr>
        <w:noBreakHyphen/>
        <w:t>Bas</w:t>
      </w:r>
      <w:r>
        <w:rPr>
          <w:rFonts w:ascii="Arial" w:hAnsi="Arial" w:cs="Arial"/>
          <w:bCs/>
          <w:sz w:val="22"/>
          <w:szCs w:val="22"/>
          <w:lang w:val="fr-FR"/>
        </w:rPr>
        <w:t xml:space="preserve"> pensaient que cela constituait une option de compromis.</w:t>
      </w:r>
    </w:p>
    <w:p w14:paraId="435F97B1" w14:textId="411076BC" w:rsidR="00D9653F" w:rsidRPr="00B26F87"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476AE">
        <w:rPr>
          <w:rFonts w:ascii="Arial" w:hAnsi="Arial" w:cs="Arial"/>
          <w:bCs/>
          <w:sz w:val="22"/>
          <w:szCs w:val="22"/>
          <w:lang w:val="fr-FR"/>
        </w:rPr>
        <w:t xml:space="preserve">Le </w:t>
      </w:r>
      <w:r w:rsidRPr="00B476AE">
        <w:rPr>
          <w:rFonts w:ascii="Arial" w:hAnsi="Arial" w:cs="Arial"/>
          <w:b/>
          <w:sz w:val="22"/>
          <w:szCs w:val="22"/>
          <w:lang w:val="fr-FR"/>
        </w:rPr>
        <w:t>Sous-Directeur général</w:t>
      </w:r>
      <w:r w:rsidRPr="00B476AE">
        <w:rPr>
          <w:rFonts w:ascii="Arial" w:hAnsi="Arial" w:cs="Arial"/>
          <w:bCs/>
          <w:sz w:val="22"/>
          <w:szCs w:val="22"/>
          <w:lang w:val="fr-FR"/>
        </w:rPr>
        <w:t xml:space="preserve"> a constaté qu</w:t>
      </w:r>
      <w:r w:rsidR="008E532B">
        <w:rPr>
          <w:rFonts w:ascii="Arial" w:hAnsi="Arial" w:cs="Arial"/>
          <w:bCs/>
          <w:sz w:val="22"/>
          <w:szCs w:val="22"/>
          <w:lang w:val="fr-FR"/>
        </w:rPr>
        <w:t>’</w:t>
      </w:r>
      <w:r w:rsidRPr="00B476AE">
        <w:rPr>
          <w:rFonts w:ascii="Arial" w:hAnsi="Arial" w:cs="Arial"/>
          <w:bCs/>
          <w:sz w:val="22"/>
          <w:szCs w:val="22"/>
          <w:lang w:val="fr-FR"/>
        </w:rPr>
        <w:t>il n</w:t>
      </w:r>
      <w:r w:rsidR="008E532B">
        <w:rPr>
          <w:rFonts w:ascii="Arial" w:hAnsi="Arial" w:cs="Arial"/>
          <w:bCs/>
          <w:sz w:val="22"/>
          <w:szCs w:val="22"/>
          <w:lang w:val="fr-FR"/>
        </w:rPr>
        <w:t>’</w:t>
      </w:r>
      <w:r w:rsidRPr="00B476AE">
        <w:rPr>
          <w:rFonts w:ascii="Arial" w:hAnsi="Arial" w:cs="Arial"/>
          <w:bCs/>
          <w:sz w:val="22"/>
          <w:szCs w:val="22"/>
          <w:lang w:val="fr-FR"/>
        </w:rPr>
        <w:t>y avait pas de consensus</w:t>
      </w:r>
      <w:r>
        <w:rPr>
          <w:rFonts w:ascii="Arial" w:hAnsi="Arial" w:cs="Arial"/>
          <w:bCs/>
          <w:sz w:val="22"/>
          <w:szCs w:val="22"/>
          <w:lang w:val="fr-FR"/>
        </w:rPr>
        <w:t>, ni</w:t>
      </w:r>
      <w:r w:rsidRPr="00B476AE">
        <w:rPr>
          <w:rFonts w:ascii="Arial" w:hAnsi="Arial" w:cs="Arial"/>
          <w:bCs/>
          <w:sz w:val="22"/>
          <w:szCs w:val="22"/>
          <w:lang w:val="fr-FR"/>
        </w:rPr>
        <w:t xml:space="preserve"> sur l</w:t>
      </w:r>
      <w:r w:rsidR="008E532B">
        <w:rPr>
          <w:rFonts w:ascii="Arial" w:hAnsi="Arial" w:cs="Arial"/>
          <w:bCs/>
          <w:sz w:val="22"/>
          <w:szCs w:val="22"/>
          <w:lang w:val="fr-FR"/>
        </w:rPr>
        <w:t>’</w:t>
      </w:r>
      <w:r w:rsidRPr="00B476AE">
        <w:rPr>
          <w:rFonts w:ascii="Arial" w:hAnsi="Arial" w:cs="Arial"/>
          <w:bCs/>
          <w:sz w:val="22"/>
          <w:szCs w:val="22"/>
          <w:lang w:val="fr-FR"/>
        </w:rPr>
        <w:t xml:space="preserve">option 1 </w:t>
      </w:r>
      <w:r>
        <w:rPr>
          <w:rFonts w:ascii="Arial" w:hAnsi="Arial" w:cs="Arial"/>
          <w:bCs/>
          <w:sz w:val="22"/>
          <w:szCs w:val="22"/>
          <w:lang w:val="fr-FR"/>
        </w:rPr>
        <w:t>ni sur l</w:t>
      </w:r>
      <w:r w:rsidR="008E532B">
        <w:rPr>
          <w:rFonts w:ascii="Arial" w:hAnsi="Arial" w:cs="Arial"/>
          <w:bCs/>
          <w:sz w:val="22"/>
          <w:szCs w:val="22"/>
          <w:lang w:val="fr-FR"/>
        </w:rPr>
        <w:t>’</w:t>
      </w:r>
      <w:r>
        <w:rPr>
          <w:rFonts w:ascii="Arial" w:hAnsi="Arial" w:cs="Arial"/>
          <w:bCs/>
          <w:sz w:val="22"/>
          <w:szCs w:val="22"/>
          <w:lang w:val="fr-FR"/>
        </w:rPr>
        <w:t>option</w:t>
      </w:r>
      <w:r w:rsidRPr="00B476AE">
        <w:rPr>
          <w:rFonts w:ascii="Arial" w:hAnsi="Arial" w:cs="Arial"/>
          <w:bCs/>
          <w:sz w:val="22"/>
          <w:szCs w:val="22"/>
          <w:lang w:val="fr-FR"/>
        </w:rPr>
        <w:t xml:space="preserve"> 2. Il y a</w:t>
      </w:r>
      <w:r>
        <w:rPr>
          <w:rFonts w:ascii="Arial" w:hAnsi="Arial" w:cs="Arial"/>
          <w:bCs/>
          <w:sz w:val="22"/>
          <w:szCs w:val="22"/>
          <w:lang w:val="fr-FR"/>
        </w:rPr>
        <w:t xml:space="preserve">vait </w:t>
      </w:r>
      <w:r w:rsidRPr="00B476AE">
        <w:rPr>
          <w:rFonts w:ascii="Arial" w:hAnsi="Arial" w:cs="Arial"/>
          <w:bCs/>
          <w:color w:val="000000" w:themeColor="text1"/>
          <w:sz w:val="22"/>
          <w:szCs w:val="22"/>
          <w:lang w:val="fr-FR"/>
        </w:rPr>
        <w:t>désormais</w:t>
      </w:r>
      <w:r w:rsidRPr="00B476AE">
        <w:rPr>
          <w:rFonts w:ascii="Arial" w:hAnsi="Arial" w:cs="Arial"/>
          <w:bCs/>
          <w:sz w:val="22"/>
          <w:szCs w:val="22"/>
          <w:lang w:val="fr-FR"/>
        </w:rPr>
        <w:t xml:space="preserve"> une troisième option proposée par les Pays</w:t>
      </w:r>
      <w:r>
        <w:rPr>
          <w:rFonts w:ascii="Arial" w:hAnsi="Arial" w:cs="Arial"/>
          <w:bCs/>
          <w:sz w:val="22"/>
          <w:szCs w:val="22"/>
          <w:lang w:val="fr-FR"/>
        </w:rPr>
        <w:noBreakHyphen/>
      </w:r>
      <w:r w:rsidRPr="00B476AE">
        <w:rPr>
          <w:rFonts w:ascii="Arial" w:hAnsi="Arial" w:cs="Arial"/>
          <w:bCs/>
          <w:sz w:val="22"/>
          <w:szCs w:val="22"/>
          <w:lang w:val="fr-FR"/>
        </w:rPr>
        <w:t>Bas, qui consist</w:t>
      </w:r>
      <w:r>
        <w:rPr>
          <w:rFonts w:ascii="Arial" w:hAnsi="Arial" w:cs="Arial"/>
          <w:bCs/>
          <w:sz w:val="22"/>
          <w:szCs w:val="22"/>
          <w:lang w:val="fr-FR"/>
        </w:rPr>
        <w:t>ait</w:t>
      </w:r>
      <w:r w:rsidRPr="00B476AE">
        <w:rPr>
          <w:rFonts w:ascii="Arial" w:hAnsi="Arial" w:cs="Arial"/>
          <w:bCs/>
          <w:sz w:val="22"/>
          <w:szCs w:val="22"/>
          <w:lang w:val="fr-FR"/>
        </w:rPr>
        <w:t xml:space="preserve"> à revenir à l</w:t>
      </w:r>
      <w:r w:rsidR="008E532B">
        <w:rPr>
          <w:rFonts w:ascii="Arial" w:hAnsi="Arial" w:cs="Arial"/>
          <w:bCs/>
          <w:sz w:val="22"/>
          <w:szCs w:val="22"/>
          <w:lang w:val="fr-FR"/>
        </w:rPr>
        <w:t>’</w:t>
      </w:r>
      <w:r>
        <w:rPr>
          <w:rFonts w:ascii="Arial" w:hAnsi="Arial" w:cs="Arial"/>
          <w:bCs/>
          <w:sz w:val="22"/>
          <w:szCs w:val="22"/>
          <w:lang w:val="fr-FR"/>
        </w:rPr>
        <w:t xml:space="preserve">article </w:t>
      </w:r>
      <w:r w:rsidRPr="00B476AE">
        <w:rPr>
          <w:rFonts w:ascii="Arial" w:hAnsi="Arial" w:cs="Arial"/>
          <w:bCs/>
          <w:sz w:val="22"/>
          <w:szCs w:val="22"/>
          <w:lang w:val="fr-FR"/>
        </w:rPr>
        <w:t>2.2 (transformé</w:t>
      </w:r>
      <w:r>
        <w:rPr>
          <w:rFonts w:ascii="Arial" w:hAnsi="Arial" w:cs="Arial"/>
          <w:bCs/>
          <w:sz w:val="22"/>
          <w:szCs w:val="22"/>
          <w:lang w:val="fr-FR"/>
        </w:rPr>
        <w:t xml:space="preserve"> en </w:t>
      </w:r>
      <w:r w:rsidRPr="00B476AE">
        <w:rPr>
          <w:rFonts w:ascii="Arial" w:hAnsi="Arial" w:cs="Arial"/>
          <w:bCs/>
          <w:sz w:val="22"/>
          <w:szCs w:val="22"/>
          <w:lang w:val="fr-FR"/>
        </w:rPr>
        <w:t>article</w:t>
      </w:r>
      <w:r>
        <w:rPr>
          <w:rFonts w:ascii="Arial" w:hAnsi="Arial" w:cs="Arial"/>
          <w:bCs/>
          <w:sz w:val="22"/>
          <w:szCs w:val="22"/>
          <w:lang w:val="fr-FR"/>
        </w:rPr>
        <w:t xml:space="preserve"> </w:t>
      </w:r>
      <w:r w:rsidRPr="00B476AE">
        <w:rPr>
          <w:rFonts w:ascii="Arial" w:hAnsi="Arial" w:cs="Arial"/>
          <w:bCs/>
          <w:sz w:val="22"/>
          <w:szCs w:val="22"/>
          <w:lang w:val="fr-FR"/>
        </w:rPr>
        <w:t>3.1)</w:t>
      </w:r>
      <w:r>
        <w:rPr>
          <w:rFonts w:ascii="Arial" w:hAnsi="Arial" w:cs="Arial"/>
          <w:bCs/>
          <w:sz w:val="22"/>
          <w:szCs w:val="22"/>
          <w:lang w:val="fr-FR"/>
        </w:rPr>
        <w:t xml:space="preserve">, </w:t>
      </w:r>
      <w:r w:rsidRPr="00B476AE">
        <w:rPr>
          <w:rFonts w:ascii="Arial" w:hAnsi="Arial" w:cs="Arial"/>
          <w:bCs/>
          <w:sz w:val="22"/>
          <w:szCs w:val="22"/>
          <w:lang w:val="fr-FR"/>
        </w:rPr>
        <w:t xml:space="preserve">avec la modification de </w:t>
      </w:r>
      <w:r>
        <w:rPr>
          <w:rFonts w:ascii="Arial" w:hAnsi="Arial" w:cs="Arial"/>
          <w:bCs/>
          <w:sz w:val="22"/>
          <w:szCs w:val="22"/>
          <w:lang w:val="fr-FR"/>
        </w:rPr>
        <w:t>la référence à l</w:t>
      </w:r>
      <w:r w:rsidR="008E532B">
        <w:rPr>
          <w:rFonts w:ascii="Arial" w:hAnsi="Arial" w:cs="Arial"/>
          <w:bCs/>
          <w:sz w:val="22"/>
          <w:szCs w:val="22"/>
          <w:lang w:val="fr-FR"/>
        </w:rPr>
        <w:t>’</w:t>
      </w:r>
      <w:r>
        <w:rPr>
          <w:rFonts w:ascii="Arial" w:hAnsi="Arial" w:cs="Arial"/>
          <w:bCs/>
          <w:sz w:val="22"/>
          <w:szCs w:val="22"/>
          <w:lang w:val="fr-FR"/>
        </w:rPr>
        <w:t xml:space="preserve">article </w:t>
      </w:r>
      <w:r w:rsidRPr="00B476AE">
        <w:rPr>
          <w:rFonts w:ascii="Arial" w:hAnsi="Arial" w:cs="Arial"/>
          <w:bCs/>
          <w:sz w:val="22"/>
          <w:szCs w:val="22"/>
          <w:lang w:val="fr-FR"/>
        </w:rPr>
        <w:t xml:space="preserve">7.3 </w:t>
      </w:r>
      <w:r>
        <w:rPr>
          <w:rFonts w:ascii="Arial" w:hAnsi="Arial" w:cs="Arial"/>
          <w:bCs/>
          <w:sz w:val="22"/>
          <w:szCs w:val="22"/>
          <w:lang w:val="fr-FR"/>
        </w:rPr>
        <w:t>devenant 1</w:t>
      </w:r>
      <w:r w:rsidRPr="00B476AE">
        <w:rPr>
          <w:rFonts w:ascii="Arial" w:hAnsi="Arial" w:cs="Arial"/>
          <w:bCs/>
          <w:sz w:val="22"/>
          <w:szCs w:val="22"/>
          <w:lang w:val="fr-FR"/>
        </w:rPr>
        <w:t>6.3 (</w:t>
      </w:r>
      <w:r>
        <w:rPr>
          <w:rFonts w:ascii="Arial" w:hAnsi="Arial" w:cs="Arial"/>
          <w:bCs/>
          <w:sz w:val="22"/>
          <w:szCs w:val="22"/>
          <w:lang w:val="fr-FR"/>
        </w:rPr>
        <w:t>modifié</w:t>
      </w:r>
      <w:r w:rsidRPr="00B476AE">
        <w:rPr>
          <w:rFonts w:ascii="Arial" w:hAnsi="Arial" w:cs="Arial"/>
          <w:bCs/>
          <w:sz w:val="22"/>
          <w:szCs w:val="22"/>
          <w:lang w:val="fr-FR"/>
        </w:rPr>
        <w:t xml:space="preserve"> pour </w:t>
      </w:r>
      <w:r>
        <w:rPr>
          <w:rFonts w:ascii="Arial" w:hAnsi="Arial" w:cs="Arial"/>
          <w:bCs/>
          <w:sz w:val="22"/>
          <w:szCs w:val="22"/>
          <w:lang w:val="fr-FR"/>
        </w:rPr>
        <w:t>des questions de re</w:t>
      </w:r>
      <w:r w:rsidRPr="00B476AE">
        <w:rPr>
          <w:rFonts w:ascii="Arial" w:hAnsi="Arial" w:cs="Arial"/>
          <w:bCs/>
          <w:sz w:val="22"/>
          <w:szCs w:val="22"/>
          <w:lang w:val="fr-FR"/>
        </w:rPr>
        <w:t xml:space="preserve">numérotation). </w:t>
      </w:r>
    </w:p>
    <w:p w14:paraId="454B3200" w14:textId="56CE058D" w:rsidR="00D9653F" w:rsidRPr="00B476A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476AE">
        <w:rPr>
          <w:rFonts w:ascii="Arial" w:hAnsi="Arial" w:cs="Arial"/>
          <w:bCs/>
          <w:sz w:val="22"/>
          <w:szCs w:val="22"/>
          <w:lang w:val="fr-FR"/>
        </w:rPr>
        <w:t>La délégation de l</w:t>
      </w:r>
      <w:r w:rsidR="008E532B">
        <w:rPr>
          <w:rFonts w:ascii="Arial" w:hAnsi="Arial" w:cs="Arial"/>
          <w:bCs/>
          <w:sz w:val="22"/>
          <w:szCs w:val="22"/>
          <w:lang w:val="fr-FR"/>
        </w:rPr>
        <w:t>’</w:t>
      </w:r>
      <w:r w:rsidRPr="00B476AE">
        <w:rPr>
          <w:rFonts w:ascii="Arial" w:hAnsi="Arial" w:cs="Arial"/>
          <w:b/>
          <w:sz w:val="22"/>
          <w:szCs w:val="22"/>
          <w:lang w:val="fr-FR"/>
        </w:rPr>
        <w:t>Éthiopie</w:t>
      </w:r>
      <w:r w:rsidRPr="00B476AE">
        <w:rPr>
          <w:rFonts w:ascii="Arial" w:hAnsi="Arial" w:cs="Arial"/>
          <w:bCs/>
          <w:sz w:val="22"/>
          <w:szCs w:val="22"/>
          <w:lang w:val="fr-FR"/>
        </w:rPr>
        <w:t xml:space="preserve"> </w:t>
      </w:r>
      <w:r>
        <w:rPr>
          <w:rFonts w:ascii="Arial" w:hAnsi="Arial" w:cs="Arial"/>
          <w:bCs/>
          <w:sz w:val="22"/>
          <w:szCs w:val="22"/>
          <w:lang w:val="fr-FR"/>
        </w:rPr>
        <w:t>estimait</w:t>
      </w:r>
      <w:r w:rsidRPr="00B476AE">
        <w:rPr>
          <w:rFonts w:ascii="Arial" w:hAnsi="Arial" w:cs="Arial"/>
          <w:bCs/>
          <w:sz w:val="22"/>
          <w:szCs w:val="22"/>
          <w:lang w:val="fr-FR"/>
        </w:rPr>
        <w:t xml:space="preserve"> que la proposition des Pays-Bas était un très bon compromis et </w:t>
      </w:r>
      <w:r>
        <w:rPr>
          <w:rFonts w:ascii="Arial" w:hAnsi="Arial" w:cs="Arial"/>
          <w:bCs/>
          <w:sz w:val="22"/>
          <w:szCs w:val="22"/>
          <w:lang w:val="fr-FR"/>
        </w:rPr>
        <w:t>était prête à</w:t>
      </w:r>
      <w:r w:rsidRPr="00B476AE">
        <w:rPr>
          <w:rFonts w:ascii="Arial" w:hAnsi="Arial" w:cs="Arial"/>
          <w:bCs/>
          <w:sz w:val="22"/>
          <w:szCs w:val="22"/>
          <w:lang w:val="fr-FR"/>
        </w:rPr>
        <w:t xml:space="preserve"> approuver l</w:t>
      </w:r>
      <w:r w:rsidR="008E532B">
        <w:rPr>
          <w:rFonts w:ascii="Arial" w:hAnsi="Arial" w:cs="Arial"/>
          <w:bCs/>
          <w:sz w:val="22"/>
          <w:szCs w:val="22"/>
          <w:lang w:val="fr-FR"/>
        </w:rPr>
        <w:t>’</w:t>
      </w:r>
      <w:r w:rsidRPr="00B476AE">
        <w:rPr>
          <w:rFonts w:ascii="Arial" w:hAnsi="Arial" w:cs="Arial"/>
          <w:bCs/>
          <w:sz w:val="22"/>
          <w:szCs w:val="22"/>
          <w:lang w:val="fr-FR"/>
        </w:rPr>
        <w:t>option 3.</w:t>
      </w:r>
    </w:p>
    <w:p w14:paraId="70C9F586" w14:textId="376811F4" w:rsidR="00D9653F" w:rsidRPr="00B476A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2A02BE">
        <w:rPr>
          <w:rFonts w:ascii="Arial" w:hAnsi="Arial" w:cs="Arial"/>
          <w:b/>
          <w:sz w:val="22"/>
          <w:szCs w:val="22"/>
          <w:lang w:val="fr-FR"/>
        </w:rPr>
        <w:t>Présidente</w:t>
      </w:r>
      <w:r>
        <w:rPr>
          <w:rFonts w:ascii="Arial" w:hAnsi="Arial" w:cs="Arial"/>
          <w:bCs/>
          <w:sz w:val="22"/>
          <w:szCs w:val="22"/>
          <w:lang w:val="fr-FR"/>
        </w:rPr>
        <w:t xml:space="preserve"> a demandé s</w:t>
      </w:r>
      <w:r w:rsidR="008E532B">
        <w:rPr>
          <w:rFonts w:ascii="Arial" w:hAnsi="Arial" w:cs="Arial"/>
          <w:bCs/>
          <w:sz w:val="22"/>
          <w:szCs w:val="22"/>
          <w:lang w:val="fr-FR"/>
        </w:rPr>
        <w:t>’</w:t>
      </w:r>
      <w:r>
        <w:rPr>
          <w:rFonts w:ascii="Arial" w:hAnsi="Arial" w:cs="Arial"/>
          <w:bCs/>
          <w:sz w:val="22"/>
          <w:szCs w:val="22"/>
          <w:lang w:val="fr-FR"/>
        </w:rPr>
        <w:t>il y avait une opposition à l</w:t>
      </w:r>
      <w:r w:rsidR="008E532B">
        <w:rPr>
          <w:rFonts w:ascii="Arial" w:hAnsi="Arial" w:cs="Arial"/>
          <w:bCs/>
          <w:sz w:val="22"/>
          <w:szCs w:val="22"/>
          <w:lang w:val="fr-FR"/>
        </w:rPr>
        <w:t>’</w:t>
      </w:r>
      <w:r>
        <w:rPr>
          <w:rFonts w:ascii="Arial" w:hAnsi="Arial" w:cs="Arial"/>
          <w:bCs/>
          <w:sz w:val="22"/>
          <w:szCs w:val="22"/>
          <w:lang w:val="fr-FR"/>
        </w:rPr>
        <w:t>option 3, soutenue par l</w:t>
      </w:r>
      <w:r w:rsidR="008E532B">
        <w:rPr>
          <w:rFonts w:ascii="Arial" w:hAnsi="Arial" w:cs="Arial"/>
          <w:bCs/>
          <w:sz w:val="22"/>
          <w:szCs w:val="22"/>
          <w:lang w:val="fr-FR"/>
        </w:rPr>
        <w:t>’</w:t>
      </w:r>
      <w:r>
        <w:rPr>
          <w:rFonts w:ascii="Arial" w:hAnsi="Arial" w:cs="Arial"/>
          <w:bCs/>
          <w:sz w:val="22"/>
          <w:szCs w:val="22"/>
          <w:lang w:val="fr-FR"/>
        </w:rPr>
        <w:t>Éthiopie.</w:t>
      </w:r>
    </w:p>
    <w:p w14:paraId="0EDD197B" w14:textId="1F2099DD" w:rsidR="00D9653F" w:rsidRPr="002A02B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A02BE">
        <w:rPr>
          <w:rFonts w:ascii="Arial" w:hAnsi="Arial" w:cs="Arial"/>
          <w:bCs/>
          <w:sz w:val="22"/>
          <w:szCs w:val="22"/>
          <w:lang w:val="fr-FR"/>
        </w:rPr>
        <w:t>La délégation de l</w:t>
      </w:r>
      <w:r w:rsidR="008E532B">
        <w:rPr>
          <w:rFonts w:ascii="Arial" w:hAnsi="Arial" w:cs="Arial"/>
          <w:bCs/>
          <w:sz w:val="22"/>
          <w:szCs w:val="22"/>
          <w:lang w:val="fr-FR"/>
        </w:rPr>
        <w:t>’</w:t>
      </w:r>
      <w:r w:rsidRPr="002A02BE">
        <w:rPr>
          <w:rFonts w:ascii="Arial" w:hAnsi="Arial" w:cs="Arial"/>
          <w:b/>
          <w:sz w:val="22"/>
          <w:szCs w:val="22"/>
          <w:lang w:val="fr-FR"/>
        </w:rPr>
        <w:t xml:space="preserve">Arabie Saoudite </w:t>
      </w:r>
      <w:r w:rsidRPr="002A02BE">
        <w:rPr>
          <w:rFonts w:ascii="Arial" w:hAnsi="Arial" w:cs="Arial"/>
          <w:bCs/>
          <w:sz w:val="22"/>
          <w:szCs w:val="22"/>
          <w:lang w:val="fr-FR"/>
        </w:rPr>
        <w:t>a demandé au Conseiller juridique de clarifier un point. Il a</w:t>
      </w:r>
      <w:r>
        <w:rPr>
          <w:rFonts w:ascii="Arial" w:hAnsi="Arial" w:cs="Arial"/>
          <w:bCs/>
          <w:sz w:val="22"/>
          <w:szCs w:val="22"/>
          <w:lang w:val="fr-FR"/>
        </w:rPr>
        <w:t>vait</w:t>
      </w:r>
      <w:r w:rsidRPr="002A02BE">
        <w:rPr>
          <w:rFonts w:ascii="Arial" w:hAnsi="Arial" w:cs="Arial"/>
          <w:bCs/>
          <w:sz w:val="22"/>
          <w:szCs w:val="22"/>
          <w:lang w:val="fr-FR"/>
        </w:rPr>
        <w:t xml:space="preserve"> été </w:t>
      </w:r>
      <w:r>
        <w:rPr>
          <w:rFonts w:ascii="Arial" w:hAnsi="Arial" w:cs="Arial"/>
          <w:bCs/>
          <w:sz w:val="22"/>
          <w:szCs w:val="22"/>
          <w:lang w:val="fr-FR"/>
        </w:rPr>
        <w:t>précisé</w:t>
      </w:r>
      <w:r w:rsidRPr="002A02BE">
        <w:rPr>
          <w:rFonts w:ascii="Arial" w:hAnsi="Arial" w:cs="Arial"/>
          <w:bCs/>
          <w:sz w:val="22"/>
          <w:szCs w:val="22"/>
          <w:lang w:val="fr-FR"/>
        </w:rPr>
        <w:t xml:space="preserve"> que l</w:t>
      </w:r>
      <w:r w:rsidR="008E532B">
        <w:rPr>
          <w:rFonts w:ascii="Arial" w:hAnsi="Arial" w:cs="Arial"/>
          <w:bCs/>
          <w:sz w:val="22"/>
          <w:szCs w:val="22"/>
          <w:lang w:val="fr-FR"/>
        </w:rPr>
        <w:t>’</w:t>
      </w:r>
      <w:r w:rsidRPr="002A02BE">
        <w:rPr>
          <w:rFonts w:ascii="Arial" w:hAnsi="Arial" w:cs="Arial"/>
          <w:bCs/>
          <w:sz w:val="22"/>
          <w:szCs w:val="22"/>
          <w:lang w:val="fr-FR"/>
        </w:rPr>
        <w:t xml:space="preserve">ancien article 2.2 mentionnait que les observateurs et les organisations </w:t>
      </w:r>
      <w:r>
        <w:rPr>
          <w:rFonts w:ascii="Arial" w:hAnsi="Arial" w:cs="Arial"/>
          <w:bCs/>
          <w:sz w:val="22"/>
          <w:szCs w:val="22"/>
          <w:lang w:val="fr-FR"/>
        </w:rPr>
        <w:t>« </w:t>
      </w:r>
      <w:r w:rsidRPr="002A02BE">
        <w:rPr>
          <w:rFonts w:ascii="Arial" w:hAnsi="Arial" w:cs="Arial"/>
          <w:bCs/>
          <w:sz w:val="22"/>
          <w:szCs w:val="22"/>
          <w:lang w:val="fr-FR"/>
        </w:rPr>
        <w:t>p</w:t>
      </w:r>
      <w:r>
        <w:rPr>
          <w:rFonts w:ascii="Arial" w:hAnsi="Arial" w:cs="Arial"/>
          <w:bCs/>
          <w:sz w:val="22"/>
          <w:szCs w:val="22"/>
          <w:lang w:val="fr-FR"/>
        </w:rPr>
        <w:t xml:space="preserve">euvent </w:t>
      </w:r>
      <w:r w:rsidRPr="002A02BE">
        <w:rPr>
          <w:rFonts w:ascii="Arial" w:hAnsi="Arial" w:cs="Arial"/>
          <w:bCs/>
          <w:sz w:val="22"/>
          <w:szCs w:val="22"/>
          <w:lang w:val="fr-FR"/>
        </w:rPr>
        <w:t>participer aux travaux de l</w:t>
      </w:r>
      <w:r w:rsidR="008E532B">
        <w:rPr>
          <w:rFonts w:ascii="Arial" w:hAnsi="Arial" w:cs="Arial"/>
          <w:bCs/>
          <w:sz w:val="22"/>
          <w:szCs w:val="22"/>
          <w:lang w:val="fr-FR"/>
        </w:rPr>
        <w:t>’</w:t>
      </w:r>
      <w:r w:rsidRPr="002A02BE">
        <w:rPr>
          <w:rFonts w:ascii="Arial" w:hAnsi="Arial" w:cs="Arial"/>
          <w:bCs/>
          <w:sz w:val="22"/>
          <w:szCs w:val="22"/>
          <w:lang w:val="fr-FR"/>
        </w:rPr>
        <w:t>Assemblée</w:t>
      </w:r>
      <w:r>
        <w:rPr>
          <w:rFonts w:ascii="Arial" w:hAnsi="Arial" w:cs="Arial"/>
          <w:bCs/>
          <w:sz w:val="22"/>
          <w:szCs w:val="22"/>
          <w:lang w:val="fr-FR"/>
        </w:rPr>
        <w:t> »</w:t>
      </w:r>
      <w:r w:rsidRPr="002A02BE">
        <w:rPr>
          <w:rFonts w:ascii="Arial" w:hAnsi="Arial" w:cs="Arial"/>
          <w:bCs/>
          <w:sz w:val="22"/>
          <w:szCs w:val="22"/>
          <w:lang w:val="fr-FR"/>
        </w:rPr>
        <w:t xml:space="preserve"> et qu</w:t>
      </w:r>
      <w:r w:rsidR="008E532B">
        <w:rPr>
          <w:rFonts w:ascii="Arial" w:hAnsi="Arial" w:cs="Arial"/>
          <w:bCs/>
          <w:sz w:val="22"/>
          <w:szCs w:val="22"/>
          <w:lang w:val="fr-FR"/>
        </w:rPr>
        <w:t>’</w:t>
      </w:r>
      <w:r w:rsidRPr="002A02BE">
        <w:rPr>
          <w:rFonts w:ascii="Arial" w:hAnsi="Arial" w:cs="Arial"/>
          <w:bCs/>
          <w:sz w:val="22"/>
          <w:szCs w:val="22"/>
          <w:lang w:val="fr-FR"/>
        </w:rPr>
        <w:t>il avait été révisé (dans le nouveau Règlement) pour clarifier l</w:t>
      </w:r>
      <w:r>
        <w:rPr>
          <w:rFonts w:ascii="Arial" w:hAnsi="Arial" w:cs="Arial"/>
          <w:bCs/>
          <w:sz w:val="22"/>
          <w:szCs w:val="22"/>
          <w:lang w:val="fr-FR"/>
        </w:rPr>
        <w:t>eur</w:t>
      </w:r>
      <w:r w:rsidRPr="002A02BE">
        <w:rPr>
          <w:rFonts w:ascii="Arial" w:hAnsi="Arial" w:cs="Arial"/>
          <w:bCs/>
          <w:sz w:val="22"/>
          <w:szCs w:val="22"/>
          <w:lang w:val="fr-FR"/>
        </w:rPr>
        <w:t xml:space="preserve"> capacité de participation. Par conséquent, l</w:t>
      </w:r>
      <w:r w:rsidR="008E532B">
        <w:rPr>
          <w:rFonts w:ascii="Arial" w:hAnsi="Arial" w:cs="Arial"/>
          <w:bCs/>
          <w:sz w:val="22"/>
          <w:szCs w:val="22"/>
          <w:lang w:val="fr-FR"/>
        </w:rPr>
        <w:t>’</w:t>
      </w:r>
      <w:r w:rsidRPr="002A02BE">
        <w:rPr>
          <w:rFonts w:ascii="Arial" w:hAnsi="Arial" w:cs="Arial"/>
          <w:bCs/>
          <w:sz w:val="22"/>
          <w:szCs w:val="22"/>
          <w:lang w:val="fr-FR"/>
        </w:rPr>
        <w:t xml:space="preserve">article 3.1 </w:t>
      </w:r>
      <w:r>
        <w:rPr>
          <w:rFonts w:ascii="Arial" w:hAnsi="Arial" w:cs="Arial"/>
          <w:bCs/>
          <w:sz w:val="22"/>
          <w:szCs w:val="22"/>
          <w:lang w:val="fr-FR"/>
        </w:rPr>
        <w:t>était</w:t>
      </w:r>
      <w:r w:rsidRPr="002A02BE">
        <w:rPr>
          <w:rFonts w:ascii="Arial" w:hAnsi="Arial" w:cs="Arial"/>
          <w:bCs/>
          <w:sz w:val="22"/>
          <w:szCs w:val="22"/>
          <w:lang w:val="fr-FR"/>
        </w:rPr>
        <w:t xml:space="preserve"> introduit pour ajouter </w:t>
      </w:r>
      <w:r>
        <w:rPr>
          <w:rFonts w:ascii="Arial" w:hAnsi="Arial" w:cs="Arial"/>
          <w:bCs/>
          <w:sz w:val="22"/>
          <w:szCs w:val="22"/>
          <w:lang w:val="fr-FR"/>
        </w:rPr>
        <w:t>« </w:t>
      </w:r>
      <w:r w:rsidRPr="002A02BE">
        <w:rPr>
          <w:rFonts w:ascii="Arial" w:hAnsi="Arial" w:cs="Arial"/>
          <w:bCs/>
          <w:sz w:val="22"/>
          <w:szCs w:val="22"/>
          <w:lang w:val="fr-FR"/>
        </w:rPr>
        <w:t>et les observateurs</w:t>
      </w:r>
      <w:r>
        <w:rPr>
          <w:rFonts w:ascii="Arial" w:hAnsi="Arial" w:cs="Arial"/>
          <w:bCs/>
          <w:sz w:val="22"/>
          <w:szCs w:val="22"/>
          <w:lang w:val="fr-FR"/>
        </w:rPr>
        <w:t> »</w:t>
      </w:r>
      <w:r w:rsidRPr="002A02BE">
        <w:rPr>
          <w:rFonts w:ascii="Arial" w:hAnsi="Arial" w:cs="Arial"/>
          <w:bCs/>
          <w:sz w:val="22"/>
          <w:szCs w:val="22"/>
          <w:lang w:val="fr-FR"/>
        </w:rPr>
        <w:t>. La délégation a demandé au Conseiller juridique s</w:t>
      </w:r>
      <w:r w:rsidR="008E532B">
        <w:rPr>
          <w:rFonts w:ascii="Arial" w:hAnsi="Arial" w:cs="Arial"/>
          <w:bCs/>
          <w:sz w:val="22"/>
          <w:szCs w:val="22"/>
          <w:lang w:val="fr-FR"/>
        </w:rPr>
        <w:t>’</w:t>
      </w:r>
      <w:r w:rsidRPr="002A02BE">
        <w:rPr>
          <w:rFonts w:ascii="Arial" w:hAnsi="Arial" w:cs="Arial"/>
          <w:bCs/>
          <w:sz w:val="22"/>
          <w:szCs w:val="22"/>
          <w:lang w:val="fr-FR"/>
        </w:rPr>
        <w:t xml:space="preserve">il était acceptable de citer </w:t>
      </w:r>
      <w:r>
        <w:rPr>
          <w:rFonts w:ascii="Arial" w:hAnsi="Arial" w:cs="Arial"/>
          <w:bCs/>
          <w:sz w:val="22"/>
          <w:szCs w:val="22"/>
          <w:lang w:val="fr-FR"/>
        </w:rPr>
        <w:t>« </w:t>
      </w:r>
      <w:r w:rsidRPr="002A02BE">
        <w:rPr>
          <w:rFonts w:ascii="Arial" w:hAnsi="Arial" w:cs="Arial"/>
          <w:bCs/>
          <w:sz w:val="22"/>
          <w:szCs w:val="22"/>
          <w:lang w:val="fr-FR"/>
        </w:rPr>
        <w:t>participer</w:t>
      </w:r>
      <w:r>
        <w:rPr>
          <w:rFonts w:ascii="Arial" w:hAnsi="Arial" w:cs="Arial"/>
          <w:bCs/>
          <w:sz w:val="22"/>
          <w:szCs w:val="22"/>
          <w:lang w:val="fr-FR"/>
        </w:rPr>
        <w:t> »</w:t>
      </w:r>
      <w:r w:rsidRPr="002A02BE">
        <w:rPr>
          <w:rFonts w:ascii="Arial" w:hAnsi="Arial" w:cs="Arial"/>
          <w:bCs/>
          <w:sz w:val="22"/>
          <w:szCs w:val="22"/>
          <w:lang w:val="fr-FR"/>
        </w:rPr>
        <w:t xml:space="preserve"> sans le chapeau </w:t>
      </w:r>
      <w:r>
        <w:rPr>
          <w:rFonts w:ascii="Arial" w:hAnsi="Arial" w:cs="Arial"/>
          <w:bCs/>
          <w:sz w:val="22"/>
          <w:szCs w:val="22"/>
          <w:lang w:val="fr-FR"/>
        </w:rPr>
        <w:t>« </w:t>
      </w:r>
      <w:r w:rsidRPr="002A02BE">
        <w:rPr>
          <w:rFonts w:ascii="Arial" w:hAnsi="Arial" w:cs="Arial"/>
          <w:bCs/>
          <w:sz w:val="22"/>
          <w:szCs w:val="22"/>
          <w:lang w:val="fr-FR"/>
        </w:rPr>
        <w:t>observateurs</w:t>
      </w:r>
      <w:r>
        <w:rPr>
          <w:rFonts w:ascii="Arial" w:hAnsi="Arial" w:cs="Arial"/>
          <w:bCs/>
          <w:sz w:val="22"/>
          <w:szCs w:val="22"/>
          <w:lang w:val="fr-FR"/>
        </w:rPr>
        <w:t> »</w:t>
      </w:r>
      <w:r w:rsidRPr="002A02BE">
        <w:rPr>
          <w:rFonts w:ascii="Arial" w:hAnsi="Arial" w:cs="Arial"/>
          <w:bCs/>
          <w:sz w:val="22"/>
          <w:szCs w:val="22"/>
          <w:lang w:val="fr-FR"/>
        </w:rPr>
        <w:t>, auquel cas elle ne s</w:t>
      </w:r>
      <w:r w:rsidR="008E532B">
        <w:rPr>
          <w:rFonts w:ascii="Arial" w:hAnsi="Arial" w:cs="Arial"/>
          <w:bCs/>
          <w:sz w:val="22"/>
          <w:szCs w:val="22"/>
          <w:lang w:val="fr-FR"/>
        </w:rPr>
        <w:t>’</w:t>
      </w:r>
      <w:r w:rsidRPr="002A02BE">
        <w:rPr>
          <w:rFonts w:ascii="Arial" w:hAnsi="Arial" w:cs="Arial"/>
          <w:bCs/>
          <w:sz w:val="22"/>
          <w:szCs w:val="22"/>
          <w:lang w:val="fr-FR"/>
        </w:rPr>
        <w:t>opposerait pas au consensus.</w:t>
      </w:r>
    </w:p>
    <w:p w14:paraId="53274AA4" w14:textId="6678C35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A02BE">
        <w:rPr>
          <w:rFonts w:ascii="Arial" w:hAnsi="Arial" w:cs="Arial"/>
          <w:bCs/>
          <w:sz w:val="22"/>
          <w:szCs w:val="22"/>
          <w:lang w:val="fr-FR"/>
        </w:rPr>
        <w:t xml:space="preserve">Le </w:t>
      </w:r>
      <w:r w:rsidRPr="002A02BE">
        <w:rPr>
          <w:rFonts w:ascii="Arial" w:hAnsi="Arial" w:cs="Arial"/>
          <w:b/>
          <w:sz w:val="22"/>
          <w:szCs w:val="22"/>
          <w:lang w:val="fr-FR"/>
        </w:rPr>
        <w:t>Conseiller juridique</w:t>
      </w:r>
      <w:r w:rsidRPr="002A02BE">
        <w:rPr>
          <w:rFonts w:ascii="Arial" w:hAnsi="Arial" w:cs="Arial"/>
          <w:bCs/>
          <w:sz w:val="22"/>
          <w:szCs w:val="22"/>
          <w:lang w:val="fr-FR"/>
        </w:rPr>
        <w:t xml:space="preserve"> </w:t>
      </w:r>
      <w:r>
        <w:rPr>
          <w:rFonts w:ascii="Arial" w:hAnsi="Arial" w:cs="Arial"/>
          <w:bCs/>
          <w:sz w:val="22"/>
          <w:szCs w:val="22"/>
          <w:lang w:val="fr-FR"/>
        </w:rPr>
        <w:t xml:space="preserve">a </w:t>
      </w:r>
      <w:r w:rsidRPr="002A02BE">
        <w:rPr>
          <w:rFonts w:ascii="Arial" w:hAnsi="Arial" w:cs="Arial"/>
          <w:bCs/>
          <w:sz w:val="22"/>
          <w:szCs w:val="22"/>
          <w:lang w:val="fr-FR"/>
        </w:rPr>
        <w:t>remerci</w:t>
      </w:r>
      <w:r>
        <w:rPr>
          <w:rFonts w:ascii="Arial" w:hAnsi="Arial" w:cs="Arial"/>
          <w:bCs/>
          <w:sz w:val="22"/>
          <w:szCs w:val="22"/>
          <w:lang w:val="fr-FR"/>
        </w:rPr>
        <w:t>é</w:t>
      </w:r>
      <w:r w:rsidRPr="002A02BE">
        <w:rPr>
          <w:rFonts w:ascii="Arial" w:hAnsi="Arial" w:cs="Arial"/>
          <w:bCs/>
          <w:sz w:val="22"/>
          <w:szCs w:val="22"/>
          <w:lang w:val="fr-FR"/>
        </w:rPr>
        <w:t xml:space="preserve"> l</w:t>
      </w:r>
      <w:r w:rsidR="008E532B">
        <w:rPr>
          <w:rFonts w:ascii="Arial" w:hAnsi="Arial" w:cs="Arial"/>
          <w:bCs/>
          <w:sz w:val="22"/>
          <w:szCs w:val="22"/>
          <w:lang w:val="fr-FR"/>
        </w:rPr>
        <w:t>’</w:t>
      </w:r>
      <w:r w:rsidRPr="002A02BE">
        <w:rPr>
          <w:rFonts w:ascii="Arial" w:hAnsi="Arial" w:cs="Arial"/>
          <w:bCs/>
          <w:sz w:val="22"/>
          <w:szCs w:val="22"/>
          <w:lang w:val="fr-FR"/>
        </w:rPr>
        <w:t xml:space="preserve">Arabie saoudite pour sa question et </w:t>
      </w:r>
      <w:r>
        <w:rPr>
          <w:rFonts w:ascii="Arial" w:hAnsi="Arial" w:cs="Arial"/>
          <w:bCs/>
          <w:sz w:val="22"/>
          <w:szCs w:val="22"/>
          <w:lang w:val="fr-FR"/>
        </w:rPr>
        <w:t>a convenu</w:t>
      </w:r>
      <w:r w:rsidRPr="002A02BE">
        <w:rPr>
          <w:rFonts w:ascii="Arial" w:hAnsi="Arial" w:cs="Arial"/>
          <w:bCs/>
          <w:sz w:val="22"/>
          <w:szCs w:val="22"/>
          <w:lang w:val="fr-FR"/>
        </w:rPr>
        <w:t xml:space="preserve"> qu</w:t>
      </w:r>
      <w:r w:rsidR="008E532B">
        <w:rPr>
          <w:rFonts w:ascii="Arial" w:hAnsi="Arial" w:cs="Arial"/>
          <w:bCs/>
          <w:sz w:val="22"/>
          <w:szCs w:val="22"/>
          <w:lang w:val="fr-FR"/>
        </w:rPr>
        <w:t>’</w:t>
      </w:r>
      <w:r w:rsidRPr="002A02BE">
        <w:rPr>
          <w:rFonts w:ascii="Arial" w:hAnsi="Arial" w:cs="Arial"/>
          <w:bCs/>
          <w:sz w:val="22"/>
          <w:szCs w:val="22"/>
          <w:lang w:val="fr-FR"/>
        </w:rPr>
        <w:t xml:space="preserve">il </w:t>
      </w:r>
      <w:r>
        <w:rPr>
          <w:rFonts w:ascii="Arial" w:hAnsi="Arial" w:cs="Arial"/>
          <w:bCs/>
          <w:sz w:val="22"/>
          <w:szCs w:val="22"/>
          <w:lang w:val="fr-FR"/>
        </w:rPr>
        <w:t>était</w:t>
      </w:r>
      <w:r w:rsidRPr="002A02BE">
        <w:rPr>
          <w:rFonts w:ascii="Arial" w:hAnsi="Arial" w:cs="Arial"/>
          <w:bCs/>
          <w:sz w:val="22"/>
          <w:szCs w:val="22"/>
          <w:lang w:val="fr-FR"/>
        </w:rPr>
        <w:t xml:space="preserve"> préférable que la terminologie soit explicite, mais que cela n</w:t>
      </w:r>
      <w:r w:rsidR="008E532B">
        <w:rPr>
          <w:rFonts w:ascii="Arial" w:hAnsi="Arial" w:cs="Arial"/>
          <w:bCs/>
          <w:sz w:val="22"/>
          <w:szCs w:val="22"/>
          <w:lang w:val="fr-FR"/>
        </w:rPr>
        <w:t>’</w:t>
      </w:r>
      <w:r>
        <w:rPr>
          <w:rFonts w:ascii="Arial" w:hAnsi="Arial" w:cs="Arial"/>
          <w:bCs/>
          <w:sz w:val="22"/>
          <w:szCs w:val="22"/>
          <w:lang w:val="fr-FR"/>
        </w:rPr>
        <w:t>était</w:t>
      </w:r>
      <w:r w:rsidRPr="002A02BE">
        <w:rPr>
          <w:rFonts w:ascii="Arial" w:hAnsi="Arial" w:cs="Arial"/>
          <w:bCs/>
          <w:sz w:val="22"/>
          <w:szCs w:val="22"/>
          <w:lang w:val="fr-FR"/>
        </w:rPr>
        <w:t xml:space="preserve"> pas nécessaire dans la mesure où le titre de l</w:t>
      </w:r>
      <w:r w:rsidR="008E532B">
        <w:rPr>
          <w:rFonts w:ascii="Arial" w:hAnsi="Arial" w:cs="Arial"/>
          <w:bCs/>
          <w:sz w:val="22"/>
          <w:szCs w:val="22"/>
          <w:lang w:val="fr-FR"/>
        </w:rPr>
        <w:t>’</w:t>
      </w:r>
      <w:r w:rsidRPr="002A02BE">
        <w:rPr>
          <w:rFonts w:ascii="Arial" w:hAnsi="Arial" w:cs="Arial"/>
          <w:bCs/>
          <w:sz w:val="22"/>
          <w:szCs w:val="22"/>
          <w:lang w:val="fr-FR"/>
        </w:rPr>
        <w:t>article a</w:t>
      </w:r>
      <w:r>
        <w:rPr>
          <w:rFonts w:ascii="Arial" w:hAnsi="Arial" w:cs="Arial"/>
          <w:bCs/>
          <w:sz w:val="22"/>
          <w:szCs w:val="22"/>
          <w:lang w:val="fr-FR"/>
        </w:rPr>
        <w:t>vait</w:t>
      </w:r>
      <w:r w:rsidRPr="002A02BE">
        <w:rPr>
          <w:rFonts w:ascii="Arial" w:hAnsi="Arial" w:cs="Arial"/>
          <w:bCs/>
          <w:sz w:val="22"/>
          <w:szCs w:val="22"/>
          <w:lang w:val="fr-FR"/>
        </w:rPr>
        <w:t xml:space="preserve"> été modifié pour devenir </w:t>
      </w:r>
      <w:r>
        <w:rPr>
          <w:rFonts w:ascii="Arial" w:hAnsi="Arial" w:cs="Arial"/>
          <w:bCs/>
          <w:sz w:val="22"/>
          <w:szCs w:val="22"/>
          <w:lang w:val="fr-FR"/>
        </w:rPr>
        <w:t>« </w:t>
      </w:r>
      <w:r w:rsidRPr="002A02BE">
        <w:rPr>
          <w:rFonts w:ascii="Arial" w:hAnsi="Arial" w:cs="Arial"/>
          <w:bCs/>
          <w:sz w:val="22"/>
          <w:szCs w:val="22"/>
          <w:lang w:val="fr-FR"/>
        </w:rPr>
        <w:t xml:space="preserve">Article 3 </w:t>
      </w:r>
      <w:r>
        <w:rPr>
          <w:rFonts w:ascii="Arial" w:hAnsi="Arial" w:cs="Arial"/>
          <w:bCs/>
          <w:sz w:val="22"/>
          <w:szCs w:val="22"/>
          <w:lang w:val="fr-FR"/>
        </w:rPr>
        <w:t>–</w:t>
      </w:r>
      <w:r w:rsidRPr="002A02BE">
        <w:rPr>
          <w:rFonts w:ascii="Arial" w:hAnsi="Arial" w:cs="Arial"/>
          <w:bCs/>
          <w:sz w:val="22"/>
          <w:szCs w:val="22"/>
          <w:lang w:val="fr-FR"/>
        </w:rPr>
        <w:t xml:space="preserve"> Observateurs</w:t>
      </w:r>
      <w:r>
        <w:rPr>
          <w:rFonts w:ascii="Arial" w:hAnsi="Arial" w:cs="Arial"/>
          <w:bCs/>
          <w:sz w:val="22"/>
          <w:szCs w:val="22"/>
          <w:lang w:val="fr-FR"/>
        </w:rPr>
        <w:t> »</w:t>
      </w:r>
      <w:r w:rsidRPr="002A02BE">
        <w:rPr>
          <w:rFonts w:ascii="Arial" w:hAnsi="Arial" w:cs="Arial"/>
          <w:bCs/>
          <w:sz w:val="22"/>
          <w:szCs w:val="22"/>
          <w:lang w:val="fr-FR"/>
        </w:rPr>
        <w:t>, et qu</w:t>
      </w:r>
      <w:r w:rsidR="008E532B">
        <w:rPr>
          <w:rFonts w:ascii="Arial" w:hAnsi="Arial" w:cs="Arial"/>
          <w:bCs/>
          <w:sz w:val="22"/>
          <w:szCs w:val="22"/>
          <w:lang w:val="fr-FR"/>
        </w:rPr>
        <w:t>’</w:t>
      </w:r>
      <w:r w:rsidRPr="002A02BE">
        <w:rPr>
          <w:rFonts w:ascii="Arial" w:hAnsi="Arial" w:cs="Arial"/>
          <w:bCs/>
          <w:sz w:val="22"/>
          <w:szCs w:val="22"/>
          <w:lang w:val="fr-FR"/>
        </w:rPr>
        <w:t xml:space="preserve">il </w:t>
      </w:r>
      <w:r>
        <w:rPr>
          <w:rFonts w:ascii="Arial" w:hAnsi="Arial" w:cs="Arial"/>
          <w:bCs/>
          <w:sz w:val="22"/>
          <w:szCs w:val="22"/>
          <w:lang w:val="fr-FR"/>
        </w:rPr>
        <w:t>allait</w:t>
      </w:r>
      <w:r w:rsidRPr="002A02BE">
        <w:rPr>
          <w:rFonts w:ascii="Arial" w:hAnsi="Arial" w:cs="Arial"/>
          <w:bCs/>
          <w:sz w:val="22"/>
          <w:szCs w:val="22"/>
          <w:lang w:val="fr-FR"/>
        </w:rPr>
        <w:t xml:space="preserve"> donc de soi que toutes les personnes mentionnées à l</w:t>
      </w:r>
      <w:r w:rsidR="008E532B">
        <w:rPr>
          <w:rFonts w:ascii="Arial" w:hAnsi="Arial" w:cs="Arial"/>
          <w:bCs/>
          <w:sz w:val="22"/>
          <w:szCs w:val="22"/>
          <w:lang w:val="fr-FR"/>
        </w:rPr>
        <w:t>’</w:t>
      </w:r>
      <w:r w:rsidRPr="002A02BE">
        <w:rPr>
          <w:rFonts w:ascii="Arial" w:hAnsi="Arial" w:cs="Arial"/>
          <w:bCs/>
          <w:sz w:val="22"/>
          <w:szCs w:val="22"/>
          <w:lang w:val="fr-FR"/>
        </w:rPr>
        <w:t xml:space="preserve">article 3 </w:t>
      </w:r>
      <w:r>
        <w:rPr>
          <w:rFonts w:ascii="Arial" w:hAnsi="Arial" w:cs="Arial"/>
          <w:bCs/>
          <w:sz w:val="22"/>
          <w:szCs w:val="22"/>
          <w:lang w:val="fr-FR"/>
        </w:rPr>
        <w:t>étaient</w:t>
      </w:r>
      <w:r w:rsidRPr="002A02BE">
        <w:rPr>
          <w:rFonts w:ascii="Arial" w:hAnsi="Arial" w:cs="Arial"/>
          <w:bCs/>
          <w:sz w:val="22"/>
          <w:szCs w:val="22"/>
          <w:lang w:val="fr-FR"/>
        </w:rPr>
        <w:t xml:space="preserve"> des observateurs. Il </w:t>
      </w:r>
      <w:r>
        <w:rPr>
          <w:rFonts w:ascii="Arial" w:hAnsi="Arial" w:cs="Arial"/>
          <w:bCs/>
          <w:sz w:val="22"/>
          <w:szCs w:val="22"/>
          <w:lang w:val="fr-FR"/>
        </w:rPr>
        <w:t>a constaté</w:t>
      </w:r>
      <w:r w:rsidRPr="002A02BE">
        <w:rPr>
          <w:rFonts w:ascii="Arial" w:hAnsi="Arial" w:cs="Arial"/>
          <w:bCs/>
          <w:sz w:val="22"/>
          <w:szCs w:val="22"/>
          <w:lang w:val="fr-FR"/>
        </w:rPr>
        <w:t xml:space="preserve"> le consensus dans la salle et réaffirm</w:t>
      </w:r>
      <w:r>
        <w:rPr>
          <w:rFonts w:ascii="Arial" w:hAnsi="Arial" w:cs="Arial"/>
          <w:bCs/>
          <w:sz w:val="22"/>
          <w:szCs w:val="22"/>
          <w:lang w:val="fr-FR"/>
        </w:rPr>
        <w:t>é</w:t>
      </w:r>
      <w:r w:rsidRPr="002A02BE">
        <w:rPr>
          <w:rFonts w:ascii="Arial" w:hAnsi="Arial" w:cs="Arial"/>
          <w:bCs/>
          <w:sz w:val="22"/>
          <w:szCs w:val="22"/>
          <w:lang w:val="fr-FR"/>
        </w:rPr>
        <w:t xml:space="preserve"> qu</w:t>
      </w:r>
      <w:r w:rsidR="008E532B">
        <w:rPr>
          <w:rFonts w:ascii="Arial" w:hAnsi="Arial" w:cs="Arial"/>
          <w:bCs/>
          <w:sz w:val="22"/>
          <w:szCs w:val="22"/>
          <w:lang w:val="fr-FR"/>
        </w:rPr>
        <w:t>’</w:t>
      </w:r>
      <w:r w:rsidRPr="002A02BE">
        <w:rPr>
          <w:rFonts w:ascii="Arial" w:hAnsi="Arial" w:cs="Arial"/>
          <w:bCs/>
          <w:sz w:val="22"/>
          <w:szCs w:val="22"/>
          <w:lang w:val="fr-FR"/>
        </w:rPr>
        <w:t>il n</w:t>
      </w:r>
      <w:r w:rsidR="008E532B">
        <w:rPr>
          <w:rFonts w:ascii="Arial" w:hAnsi="Arial" w:cs="Arial"/>
          <w:bCs/>
          <w:sz w:val="22"/>
          <w:szCs w:val="22"/>
          <w:lang w:val="fr-FR"/>
        </w:rPr>
        <w:t>’</w:t>
      </w:r>
      <w:r w:rsidRPr="002A02BE">
        <w:rPr>
          <w:rFonts w:ascii="Arial" w:hAnsi="Arial" w:cs="Arial"/>
          <w:bCs/>
          <w:sz w:val="22"/>
          <w:szCs w:val="22"/>
          <w:lang w:val="fr-FR"/>
        </w:rPr>
        <w:t xml:space="preserve">y a aucune objection juridique à ne pas inclure </w:t>
      </w:r>
      <w:r>
        <w:rPr>
          <w:rFonts w:ascii="Arial" w:hAnsi="Arial" w:cs="Arial"/>
          <w:bCs/>
          <w:sz w:val="22"/>
          <w:szCs w:val="22"/>
          <w:lang w:val="fr-FR"/>
        </w:rPr>
        <w:t>« o</w:t>
      </w:r>
      <w:r w:rsidRPr="002A02BE">
        <w:rPr>
          <w:rFonts w:ascii="Arial" w:hAnsi="Arial" w:cs="Arial"/>
          <w:bCs/>
          <w:sz w:val="22"/>
          <w:szCs w:val="22"/>
          <w:lang w:val="fr-FR"/>
        </w:rPr>
        <w:t>bservateurs</w:t>
      </w:r>
      <w:r>
        <w:rPr>
          <w:rFonts w:ascii="Arial" w:hAnsi="Arial" w:cs="Arial"/>
          <w:bCs/>
          <w:sz w:val="22"/>
          <w:szCs w:val="22"/>
          <w:lang w:val="fr-FR"/>
        </w:rPr>
        <w:t> »</w:t>
      </w:r>
      <w:r w:rsidRPr="002A02BE">
        <w:rPr>
          <w:rFonts w:ascii="Arial" w:hAnsi="Arial" w:cs="Arial"/>
          <w:bCs/>
          <w:sz w:val="22"/>
          <w:szCs w:val="22"/>
          <w:lang w:val="fr-FR"/>
        </w:rPr>
        <w:t>.</w:t>
      </w:r>
    </w:p>
    <w:p w14:paraId="25674FF2" w14:textId="5D214AD0" w:rsidR="00D9653F" w:rsidRPr="002A02B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A02BE">
        <w:rPr>
          <w:rFonts w:ascii="Arial" w:hAnsi="Arial" w:cs="Arial"/>
          <w:bCs/>
          <w:sz w:val="22"/>
          <w:szCs w:val="22"/>
          <w:lang w:val="fr-FR"/>
        </w:rPr>
        <w:t xml:space="preserve">La délégation </w:t>
      </w:r>
      <w:r>
        <w:rPr>
          <w:rFonts w:ascii="Arial" w:hAnsi="Arial" w:cs="Arial"/>
          <w:bCs/>
          <w:sz w:val="22"/>
          <w:szCs w:val="22"/>
          <w:lang w:val="fr-FR"/>
        </w:rPr>
        <w:t xml:space="preserve">de la </w:t>
      </w:r>
      <w:r w:rsidRPr="001952B6">
        <w:rPr>
          <w:rFonts w:ascii="Arial" w:hAnsi="Arial" w:cs="Arial"/>
          <w:b/>
          <w:sz w:val="22"/>
          <w:szCs w:val="22"/>
          <w:lang w:val="fr-FR"/>
        </w:rPr>
        <w:t>Pologne</w:t>
      </w:r>
      <w:r>
        <w:rPr>
          <w:rFonts w:ascii="Arial" w:hAnsi="Arial" w:cs="Arial"/>
          <w:bCs/>
          <w:sz w:val="22"/>
          <w:szCs w:val="22"/>
          <w:lang w:val="fr-FR"/>
        </w:rPr>
        <w:t xml:space="preserve"> </w:t>
      </w:r>
      <w:r w:rsidRPr="002A02BE">
        <w:rPr>
          <w:rFonts w:ascii="Arial" w:hAnsi="Arial" w:cs="Arial"/>
          <w:bCs/>
          <w:sz w:val="22"/>
          <w:szCs w:val="22"/>
          <w:lang w:val="fr-FR"/>
        </w:rPr>
        <w:t>compren</w:t>
      </w:r>
      <w:r>
        <w:rPr>
          <w:rFonts w:ascii="Arial" w:hAnsi="Arial" w:cs="Arial"/>
          <w:bCs/>
          <w:sz w:val="22"/>
          <w:szCs w:val="22"/>
          <w:lang w:val="fr-FR"/>
        </w:rPr>
        <w:t>ait</w:t>
      </w:r>
      <w:r w:rsidRPr="002A02BE">
        <w:rPr>
          <w:rFonts w:ascii="Arial" w:hAnsi="Arial" w:cs="Arial"/>
          <w:bCs/>
          <w:sz w:val="22"/>
          <w:szCs w:val="22"/>
          <w:lang w:val="fr-FR"/>
        </w:rPr>
        <w:t xml:space="preserve"> que l</w:t>
      </w:r>
      <w:r w:rsidR="008E532B">
        <w:rPr>
          <w:rFonts w:ascii="Arial" w:hAnsi="Arial" w:cs="Arial"/>
          <w:bCs/>
          <w:sz w:val="22"/>
          <w:szCs w:val="22"/>
          <w:lang w:val="fr-FR"/>
        </w:rPr>
        <w:t>’</w:t>
      </w:r>
      <w:r w:rsidRPr="002A02BE">
        <w:rPr>
          <w:rFonts w:ascii="Arial" w:hAnsi="Arial" w:cs="Arial"/>
          <w:bCs/>
          <w:sz w:val="22"/>
          <w:szCs w:val="22"/>
          <w:lang w:val="fr-FR"/>
        </w:rPr>
        <w:t xml:space="preserve">article 3.1 </w:t>
      </w:r>
      <w:r>
        <w:rPr>
          <w:rFonts w:ascii="Arial" w:hAnsi="Arial" w:cs="Arial"/>
          <w:bCs/>
          <w:sz w:val="22"/>
          <w:szCs w:val="22"/>
          <w:lang w:val="fr-FR"/>
        </w:rPr>
        <w:t>était</w:t>
      </w:r>
      <w:r w:rsidRPr="002A02BE">
        <w:rPr>
          <w:rFonts w:ascii="Arial" w:hAnsi="Arial" w:cs="Arial"/>
          <w:bCs/>
          <w:sz w:val="22"/>
          <w:szCs w:val="22"/>
          <w:lang w:val="fr-FR"/>
        </w:rPr>
        <w:t xml:space="preserve"> intitulé </w:t>
      </w:r>
      <w:r>
        <w:rPr>
          <w:rFonts w:ascii="Arial" w:hAnsi="Arial" w:cs="Arial"/>
          <w:bCs/>
          <w:sz w:val="22"/>
          <w:szCs w:val="22"/>
          <w:lang w:val="fr-FR"/>
        </w:rPr>
        <w:t>« </w:t>
      </w:r>
      <w:r w:rsidRPr="002A02BE">
        <w:rPr>
          <w:rFonts w:ascii="Arial" w:hAnsi="Arial" w:cs="Arial"/>
          <w:bCs/>
          <w:sz w:val="22"/>
          <w:szCs w:val="22"/>
          <w:lang w:val="fr-FR"/>
        </w:rPr>
        <w:t>Observateurs</w:t>
      </w:r>
      <w:r>
        <w:rPr>
          <w:rFonts w:ascii="Arial" w:hAnsi="Arial" w:cs="Arial"/>
          <w:bCs/>
          <w:sz w:val="22"/>
          <w:szCs w:val="22"/>
          <w:lang w:val="fr-FR"/>
        </w:rPr>
        <w:t> »</w:t>
      </w:r>
      <w:r w:rsidRPr="002A02BE">
        <w:rPr>
          <w:rFonts w:ascii="Arial" w:hAnsi="Arial" w:cs="Arial"/>
          <w:bCs/>
          <w:sz w:val="22"/>
          <w:szCs w:val="22"/>
          <w:lang w:val="fr-FR"/>
        </w:rPr>
        <w:t>, mais elle souhait</w:t>
      </w:r>
      <w:r>
        <w:rPr>
          <w:rFonts w:ascii="Arial" w:hAnsi="Arial" w:cs="Arial"/>
          <w:bCs/>
          <w:sz w:val="22"/>
          <w:szCs w:val="22"/>
          <w:lang w:val="fr-FR"/>
        </w:rPr>
        <w:t>ait</w:t>
      </w:r>
      <w:r w:rsidRPr="002A02BE">
        <w:rPr>
          <w:rFonts w:ascii="Arial" w:hAnsi="Arial" w:cs="Arial"/>
          <w:bCs/>
          <w:sz w:val="22"/>
          <w:szCs w:val="22"/>
          <w:lang w:val="fr-FR"/>
        </w:rPr>
        <w:t xml:space="preserve"> que l</w:t>
      </w:r>
      <w:r w:rsidR="008E532B">
        <w:rPr>
          <w:rFonts w:ascii="Arial" w:hAnsi="Arial" w:cs="Arial"/>
          <w:bCs/>
          <w:sz w:val="22"/>
          <w:szCs w:val="22"/>
          <w:lang w:val="fr-FR"/>
        </w:rPr>
        <w:t>’</w:t>
      </w:r>
      <w:r w:rsidRPr="002A02BE">
        <w:rPr>
          <w:rFonts w:ascii="Arial" w:hAnsi="Arial" w:cs="Arial"/>
          <w:bCs/>
          <w:sz w:val="22"/>
          <w:szCs w:val="22"/>
          <w:lang w:val="fr-FR"/>
        </w:rPr>
        <w:t xml:space="preserve">article 3.1 soit clairement projeté </w:t>
      </w:r>
      <w:r>
        <w:rPr>
          <w:rFonts w:ascii="Arial" w:hAnsi="Arial" w:cs="Arial"/>
          <w:bCs/>
          <w:sz w:val="22"/>
          <w:szCs w:val="22"/>
          <w:lang w:val="fr-FR"/>
        </w:rPr>
        <w:t xml:space="preserve">à </w:t>
      </w:r>
      <w:r w:rsidRPr="002A02BE">
        <w:rPr>
          <w:rFonts w:ascii="Arial" w:hAnsi="Arial" w:cs="Arial"/>
          <w:bCs/>
          <w:sz w:val="22"/>
          <w:szCs w:val="22"/>
          <w:lang w:val="fr-FR"/>
        </w:rPr>
        <w:t>l</w:t>
      </w:r>
      <w:r w:rsidR="008E532B">
        <w:rPr>
          <w:rFonts w:ascii="Arial" w:hAnsi="Arial" w:cs="Arial"/>
          <w:bCs/>
          <w:sz w:val="22"/>
          <w:szCs w:val="22"/>
          <w:lang w:val="fr-FR"/>
        </w:rPr>
        <w:t>’</w:t>
      </w:r>
      <w:r w:rsidRPr="002A02BE">
        <w:rPr>
          <w:rFonts w:ascii="Arial" w:hAnsi="Arial" w:cs="Arial"/>
          <w:bCs/>
          <w:sz w:val="22"/>
          <w:szCs w:val="22"/>
          <w:lang w:val="fr-FR"/>
        </w:rPr>
        <w:t xml:space="preserve">écran afin de pouvoir voir les observateurs </w:t>
      </w:r>
      <w:r>
        <w:rPr>
          <w:rFonts w:ascii="Arial" w:hAnsi="Arial" w:cs="Arial"/>
          <w:bCs/>
          <w:sz w:val="22"/>
          <w:szCs w:val="22"/>
          <w:lang w:val="fr-FR"/>
        </w:rPr>
        <w:t>à</w:t>
      </w:r>
      <w:r w:rsidRPr="002A02BE">
        <w:rPr>
          <w:rFonts w:ascii="Arial" w:hAnsi="Arial" w:cs="Arial"/>
          <w:bCs/>
          <w:sz w:val="22"/>
          <w:szCs w:val="22"/>
          <w:lang w:val="fr-FR"/>
        </w:rPr>
        <w:t xml:space="preserve"> l</w:t>
      </w:r>
      <w:r w:rsidR="008E532B">
        <w:rPr>
          <w:rFonts w:ascii="Arial" w:hAnsi="Arial" w:cs="Arial"/>
          <w:bCs/>
          <w:sz w:val="22"/>
          <w:szCs w:val="22"/>
          <w:lang w:val="fr-FR"/>
        </w:rPr>
        <w:t>’</w:t>
      </w:r>
      <w:r w:rsidRPr="002A02BE">
        <w:rPr>
          <w:rFonts w:ascii="Arial" w:hAnsi="Arial" w:cs="Arial"/>
          <w:bCs/>
          <w:sz w:val="22"/>
          <w:szCs w:val="22"/>
          <w:lang w:val="fr-FR"/>
        </w:rPr>
        <w:t>article 3.1, ainsi que les paragraphes suivants.</w:t>
      </w:r>
    </w:p>
    <w:p w14:paraId="5555CC1F" w14:textId="5F2F77E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952B6">
        <w:rPr>
          <w:rFonts w:ascii="Arial" w:hAnsi="Arial" w:cs="Arial"/>
          <w:b/>
          <w:sz w:val="22"/>
          <w:szCs w:val="22"/>
          <w:lang w:val="fr-FR"/>
        </w:rPr>
        <w:t>Présidente</w:t>
      </w:r>
      <w:r>
        <w:rPr>
          <w:rFonts w:ascii="Arial" w:hAnsi="Arial" w:cs="Arial"/>
          <w:bCs/>
          <w:sz w:val="22"/>
          <w:szCs w:val="22"/>
          <w:lang w:val="fr-FR"/>
        </w:rPr>
        <w:t xml:space="preserve"> a demandé s</w:t>
      </w:r>
      <w:r w:rsidR="008E532B">
        <w:rPr>
          <w:rFonts w:ascii="Arial" w:hAnsi="Arial" w:cs="Arial"/>
          <w:bCs/>
          <w:sz w:val="22"/>
          <w:szCs w:val="22"/>
          <w:lang w:val="fr-FR"/>
        </w:rPr>
        <w:t>’</w:t>
      </w:r>
      <w:r>
        <w:rPr>
          <w:rFonts w:ascii="Arial" w:hAnsi="Arial" w:cs="Arial"/>
          <w:bCs/>
          <w:sz w:val="22"/>
          <w:szCs w:val="22"/>
          <w:lang w:val="fr-FR"/>
        </w:rPr>
        <w:t xml:space="preserve">il y avait des objections à la </w:t>
      </w:r>
      <w:r w:rsidRPr="001952B6">
        <w:rPr>
          <w:rFonts w:ascii="Arial" w:hAnsi="Arial" w:cs="Arial"/>
          <w:bCs/>
          <w:sz w:val="22"/>
          <w:szCs w:val="22"/>
          <w:lang w:val="fr-FR"/>
        </w:rPr>
        <w:t>proposition</w:t>
      </w:r>
      <w:r>
        <w:rPr>
          <w:rFonts w:ascii="Arial" w:hAnsi="Arial" w:cs="Arial"/>
          <w:bCs/>
          <w:sz w:val="22"/>
          <w:szCs w:val="22"/>
          <w:lang w:val="fr-FR"/>
        </w:rPr>
        <w:t xml:space="preserve"> des Pays</w:t>
      </w:r>
      <w:r>
        <w:rPr>
          <w:rFonts w:ascii="Arial" w:hAnsi="Arial" w:cs="Arial"/>
          <w:bCs/>
          <w:sz w:val="22"/>
          <w:szCs w:val="22"/>
          <w:lang w:val="fr-FR"/>
        </w:rPr>
        <w:noBreakHyphen/>
        <w:t>Bas.</w:t>
      </w:r>
    </w:p>
    <w:p w14:paraId="5784921C" w14:textId="57618A92" w:rsidR="00D9653F" w:rsidRPr="001952B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952B6">
        <w:rPr>
          <w:rFonts w:ascii="Arial" w:hAnsi="Arial" w:cs="Arial"/>
          <w:bCs/>
          <w:sz w:val="22"/>
          <w:szCs w:val="22"/>
          <w:lang w:val="fr-FR"/>
        </w:rPr>
        <w:t>La délégation de l</w:t>
      </w:r>
      <w:r w:rsidR="008E532B">
        <w:rPr>
          <w:rFonts w:ascii="Arial" w:hAnsi="Arial" w:cs="Arial"/>
          <w:bCs/>
          <w:sz w:val="22"/>
          <w:szCs w:val="22"/>
          <w:lang w:val="fr-FR"/>
        </w:rPr>
        <w:t>’</w:t>
      </w:r>
      <w:r w:rsidRPr="001952B6">
        <w:rPr>
          <w:rFonts w:ascii="Arial" w:hAnsi="Arial" w:cs="Arial"/>
          <w:b/>
          <w:sz w:val="22"/>
          <w:szCs w:val="22"/>
          <w:lang w:val="fr-FR"/>
        </w:rPr>
        <w:t xml:space="preserve">Arabie saoudite </w:t>
      </w:r>
      <w:r w:rsidRPr="001952B6">
        <w:rPr>
          <w:rFonts w:ascii="Arial" w:hAnsi="Arial" w:cs="Arial"/>
          <w:bCs/>
          <w:sz w:val="22"/>
          <w:szCs w:val="22"/>
          <w:lang w:val="fr-FR"/>
        </w:rPr>
        <w:t>souhait</w:t>
      </w:r>
      <w:r>
        <w:rPr>
          <w:rFonts w:ascii="Arial" w:hAnsi="Arial" w:cs="Arial"/>
          <w:bCs/>
          <w:sz w:val="22"/>
          <w:szCs w:val="22"/>
          <w:lang w:val="fr-FR"/>
        </w:rPr>
        <w:t>ait</w:t>
      </w:r>
      <w:r w:rsidRPr="001952B6">
        <w:rPr>
          <w:rFonts w:ascii="Arial" w:hAnsi="Arial" w:cs="Arial"/>
          <w:bCs/>
          <w:sz w:val="22"/>
          <w:szCs w:val="22"/>
          <w:lang w:val="fr-FR"/>
        </w:rPr>
        <w:t xml:space="preserve"> se joindre au consensus </w:t>
      </w:r>
      <w:r>
        <w:rPr>
          <w:rFonts w:ascii="Arial" w:hAnsi="Arial" w:cs="Arial"/>
          <w:bCs/>
          <w:sz w:val="22"/>
          <w:szCs w:val="22"/>
          <w:lang w:val="fr-FR"/>
        </w:rPr>
        <w:t xml:space="preserve">en faveur de </w:t>
      </w:r>
      <w:r w:rsidRPr="001952B6">
        <w:rPr>
          <w:rFonts w:ascii="Arial" w:hAnsi="Arial" w:cs="Arial"/>
          <w:bCs/>
          <w:sz w:val="22"/>
          <w:szCs w:val="22"/>
          <w:lang w:val="fr-FR"/>
        </w:rPr>
        <w:t>l</w:t>
      </w:r>
      <w:r w:rsidR="008E532B">
        <w:rPr>
          <w:rFonts w:ascii="Arial" w:hAnsi="Arial" w:cs="Arial"/>
          <w:bCs/>
          <w:sz w:val="22"/>
          <w:szCs w:val="22"/>
          <w:lang w:val="fr-FR"/>
        </w:rPr>
        <w:t>’</w:t>
      </w:r>
      <w:r w:rsidRPr="001952B6">
        <w:rPr>
          <w:rFonts w:ascii="Arial" w:hAnsi="Arial" w:cs="Arial"/>
          <w:bCs/>
          <w:sz w:val="22"/>
          <w:szCs w:val="22"/>
          <w:lang w:val="fr-FR"/>
        </w:rPr>
        <w:t>option</w:t>
      </w:r>
      <w:r>
        <w:rPr>
          <w:rFonts w:ascii="Arial" w:hAnsi="Arial" w:cs="Arial"/>
          <w:bCs/>
          <w:sz w:val="22"/>
          <w:szCs w:val="22"/>
          <w:lang w:val="fr-FR"/>
        </w:rPr>
        <w:t> </w:t>
      </w:r>
      <w:r w:rsidRPr="001952B6">
        <w:rPr>
          <w:rFonts w:ascii="Arial" w:hAnsi="Arial" w:cs="Arial"/>
          <w:bCs/>
          <w:sz w:val="22"/>
          <w:szCs w:val="22"/>
          <w:lang w:val="fr-FR"/>
        </w:rPr>
        <w:t>3</w:t>
      </w:r>
      <w:r>
        <w:rPr>
          <w:rFonts w:ascii="Arial" w:hAnsi="Arial" w:cs="Arial"/>
          <w:bCs/>
          <w:sz w:val="22"/>
          <w:szCs w:val="22"/>
          <w:lang w:val="fr-FR"/>
        </w:rPr>
        <w:t>,</w:t>
      </w:r>
      <w:r w:rsidRPr="001952B6">
        <w:rPr>
          <w:rFonts w:ascii="Arial" w:hAnsi="Arial" w:cs="Arial"/>
          <w:bCs/>
          <w:sz w:val="22"/>
          <w:szCs w:val="22"/>
          <w:lang w:val="fr-FR"/>
        </w:rPr>
        <w:t xml:space="preserve"> </w:t>
      </w:r>
      <w:proofErr w:type="gramStart"/>
      <w:r w:rsidRPr="001952B6">
        <w:rPr>
          <w:rFonts w:ascii="Arial" w:hAnsi="Arial" w:cs="Arial"/>
          <w:bCs/>
          <w:sz w:val="22"/>
          <w:szCs w:val="22"/>
          <w:lang w:val="fr-FR"/>
        </w:rPr>
        <w:t>suite à</w:t>
      </w:r>
      <w:proofErr w:type="gramEnd"/>
      <w:r w:rsidRPr="001952B6">
        <w:rPr>
          <w:rFonts w:ascii="Arial" w:hAnsi="Arial" w:cs="Arial"/>
          <w:bCs/>
          <w:sz w:val="22"/>
          <w:szCs w:val="22"/>
          <w:lang w:val="fr-FR"/>
        </w:rPr>
        <w:t xml:space="preserve"> l</w:t>
      </w:r>
      <w:r w:rsidR="008E532B">
        <w:rPr>
          <w:rFonts w:ascii="Arial" w:hAnsi="Arial" w:cs="Arial"/>
          <w:bCs/>
          <w:sz w:val="22"/>
          <w:szCs w:val="22"/>
          <w:lang w:val="fr-FR"/>
        </w:rPr>
        <w:t>’</w:t>
      </w:r>
      <w:r w:rsidRPr="001952B6">
        <w:rPr>
          <w:rFonts w:ascii="Arial" w:hAnsi="Arial" w:cs="Arial"/>
          <w:bCs/>
          <w:sz w:val="22"/>
          <w:szCs w:val="22"/>
          <w:lang w:val="fr-FR"/>
        </w:rPr>
        <w:t>explication du Conseiller juridique. La délégation a demandé que l</w:t>
      </w:r>
      <w:r w:rsidR="008E532B">
        <w:rPr>
          <w:rFonts w:ascii="Arial" w:hAnsi="Arial" w:cs="Arial"/>
          <w:bCs/>
          <w:sz w:val="22"/>
          <w:szCs w:val="22"/>
          <w:lang w:val="fr-FR"/>
        </w:rPr>
        <w:t>’</w:t>
      </w:r>
      <w:r w:rsidRPr="001952B6">
        <w:rPr>
          <w:rFonts w:ascii="Arial" w:hAnsi="Arial" w:cs="Arial"/>
          <w:bCs/>
          <w:sz w:val="22"/>
          <w:szCs w:val="22"/>
          <w:lang w:val="fr-FR"/>
        </w:rPr>
        <w:t>explication du Conseiller juridique soit incluse dans le rapport oral.</w:t>
      </w:r>
    </w:p>
    <w:p w14:paraId="13E615A4" w14:textId="540DE592" w:rsidR="00D9653F" w:rsidRPr="001952B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952B6">
        <w:rPr>
          <w:rFonts w:ascii="Arial" w:hAnsi="Arial" w:cs="Arial"/>
          <w:b/>
          <w:sz w:val="22"/>
          <w:szCs w:val="22"/>
          <w:lang w:val="fr-FR"/>
        </w:rPr>
        <w:t>Présidente</w:t>
      </w:r>
      <w:r>
        <w:rPr>
          <w:rFonts w:ascii="Arial" w:hAnsi="Arial" w:cs="Arial"/>
          <w:bCs/>
          <w:sz w:val="22"/>
          <w:szCs w:val="22"/>
          <w:lang w:val="fr-FR"/>
        </w:rPr>
        <w:t xml:space="preserve"> a remercié l</w:t>
      </w:r>
      <w:r w:rsidR="008E532B">
        <w:rPr>
          <w:rFonts w:ascii="Arial" w:hAnsi="Arial" w:cs="Arial"/>
          <w:bCs/>
          <w:sz w:val="22"/>
          <w:szCs w:val="22"/>
          <w:lang w:val="fr-FR"/>
        </w:rPr>
        <w:t>’</w:t>
      </w:r>
      <w:r>
        <w:rPr>
          <w:rFonts w:ascii="Arial" w:hAnsi="Arial" w:cs="Arial"/>
          <w:bCs/>
          <w:sz w:val="22"/>
          <w:szCs w:val="22"/>
          <w:lang w:val="fr-FR"/>
        </w:rPr>
        <w:t>Arabie saoudite pour sa flexibilité.</w:t>
      </w:r>
    </w:p>
    <w:p w14:paraId="7CD8E368" w14:textId="6709AB8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952B6">
        <w:rPr>
          <w:rFonts w:ascii="Arial" w:hAnsi="Arial" w:cs="Arial"/>
          <w:bCs/>
          <w:sz w:val="22"/>
          <w:szCs w:val="22"/>
          <w:lang w:val="fr-FR"/>
        </w:rPr>
        <w:t>délégation</w:t>
      </w:r>
      <w:r>
        <w:rPr>
          <w:rFonts w:ascii="Arial" w:hAnsi="Arial" w:cs="Arial"/>
          <w:bCs/>
          <w:sz w:val="22"/>
          <w:szCs w:val="22"/>
          <w:lang w:val="fr-FR"/>
        </w:rPr>
        <w:t xml:space="preserve"> de la </w:t>
      </w:r>
      <w:r w:rsidRPr="001952B6">
        <w:rPr>
          <w:rFonts w:ascii="Arial" w:hAnsi="Arial" w:cs="Arial"/>
          <w:b/>
          <w:sz w:val="22"/>
          <w:szCs w:val="22"/>
          <w:lang w:val="fr-FR"/>
        </w:rPr>
        <w:t>Pologne</w:t>
      </w:r>
      <w:r>
        <w:rPr>
          <w:rFonts w:ascii="Arial" w:hAnsi="Arial" w:cs="Arial"/>
          <w:bCs/>
          <w:sz w:val="22"/>
          <w:szCs w:val="22"/>
          <w:lang w:val="fr-FR"/>
        </w:rPr>
        <w:t xml:space="preserve"> a demandé au Conseiller juridique d</w:t>
      </w:r>
      <w:r w:rsidR="008E532B">
        <w:rPr>
          <w:rFonts w:ascii="Arial" w:hAnsi="Arial" w:cs="Arial"/>
          <w:bCs/>
          <w:sz w:val="22"/>
          <w:szCs w:val="22"/>
          <w:lang w:val="fr-FR"/>
        </w:rPr>
        <w:t>’</w:t>
      </w:r>
      <w:r>
        <w:rPr>
          <w:rFonts w:ascii="Arial" w:hAnsi="Arial" w:cs="Arial"/>
          <w:bCs/>
          <w:sz w:val="22"/>
          <w:szCs w:val="22"/>
          <w:lang w:val="fr-FR"/>
        </w:rPr>
        <w:t>expliquer la différence entre l</w:t>
      </w:r>
      <w:r w:rsidR="008E532B">
        <w:rPr>
          <w:rFonts w:ascii="Arial" w:hAnsi="Arial" w:cs="Arial"/>
          <w:bCs/>
          <w:sz w:val="22"/>
          <w:szCs w:val="22"/>
          <w:lang w:val="fr-FR"/>
        </w:rPr>
        <w:t>’</w:t>
      </w:r>
      <w:r>
        <w:rPr>
          <w:rFonts w:ascii="Arial" w:hAnsi="Arial" w:cs="Arial"/>
          <w:bCs/>
          <w:sz w:val="22"/>
          <w:szCs w:val="22"/>
          <w:lang w:val="fr-FR"/>
        </w:rPr>
        <w:t>option 2 et l</w:t>
      </w:r>
      <w:r w:rsidR="008E532B">
        <w:rPr>
          <w:rFonts w:ascii="Arial" w:hAnsi="Arial" w:cs="Arial"/>
          <w:bCs/>
          <w:sz w:val="22"/>
          <w:szCs w:val="22"/>
          <w:lang w:val="fr-FR"/>
        </w:rPr>
        <w:t>’</w:t>
      </w:r>
      <w:r>
        <w:rPr>
          <w:rFonts w:ascii="Arial" w:hAnsi="Arial" w:cs="Arial"/>
          <w:bCs/>
          <w:sz w:val="22"/>
          <w:szCs w:val="22"/>
          <w:lang w:val="fr-FR"/>
        </w:rPr>
        <w:t>article initial 2.2.</w:t>
      </w:r>
    </w:p>
    <w:p w14:paraId="2798FAC7" w14:textId="6D015A33" w:rsidR="00D9653F" w:rsidRPr="001952B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Le </w:t>
      </w:r>
      <w:r w:rsidRPr="001952B6">
        <w:rPr>
          <w:rFonts w:ascii="Arial" w:hAnsi="Arial" w:cs="Arial"/>
          <w:b/>
          <w:sz w:val="22"/>
          <w:szCs w:val="22"/>
          <w:lang w:val="fr-FR"/>
        </w:rPr>
        <w:t>Conseiller juridique</w:t>
      </w:r>
      <w:r>
        <w:rPr>
          <w:rFonts w:ascii="Arial" w:hAnsi="Arial" w:cs="Arial"/>
          <w:bCs/>
          <w:sz w:val="22"/>
          <w:szCs w:val="22"/>
          <w:lang w:val="fr-FR"/>
        </w:rPr>
        <w:t xml:space="preserve"> a expliqué qu</w:t>
      </w:r>
      <w:r w:rsidR="008E532B">
        <w:rPr>
          <w:rFonts w:ascii="Arial" w:hAnsi="Arial" w:cs="Arial"/>
          <w:bCs/>
          <w:sz w:val="22"/>
          <w:szCs w:val="22"/>
          <w:lang w:val="fr-FR"/>
        </w:rPr>
        <w:t>’</w:t>
      </w:r>
      <w:r>
        <w:rPr>
          <w:rFonts w:ascii="Arial" w:hAnsi="Arial" w:cs="Arial"/>
          <w:bCs/>
          <w:sz w:val="22"/>
          <w:szCs w:val="22"/>
          <w:lang w:val="fr-FR"/>
        </w:rPr>
        <w:t>il n</w:t>
      </w:r>
      <w:r w:rsidR="008E532B">
        <w:rPr>
          <w:rFonts w:ascii="Arial" w:hAnsi="Arial" w:cs="Arial"/>
          <w:bCs/>
          <w:sz w:val="22"/>
          <w:szCs w:val="22"/>
          <w:lang w:val="fr-FR"/>
        </w:rPr>
        <w:t>’</w:t>
      </w:r>
      <w:r>
        <w:rPr>
          <w:rFonts w:ascii="Arial" w:hAnsi="Arial" w:cs="Arial"/>
          <w:bCs/>
          <w:sz w:val="22"/>
          <w:szCs w:val="22"/>
          <w:lang w:val="fr-FR"/>
        </w:rPr>
        <w:t>y avait aucune différence et que c</w:t>
      </w:r>
      <w:r w:rsidR="008E532B">
        <w:rPr>
          <w:rFonts w:ascii="Arial" w:hAnsi="Arial" w:cs="Arial"/>
          <w:bCs/>
          <w:sz w:val="22"/>
          <w:szCs w:val="22"/>
          <w:lang w:val="fr-FR"/>
        </w:rPr>
        <w:t>’</w:t>
      </w:r>
      <w:r>
        <w:rPr>
          <w:rFonts w:ascii="Arial" w:hAnsi="Arial" w:cs="Arial"/>
          <w:bCs/>
          <w:sz w:val="22"/>
          <w:szCs w:val="22"/>
          <w:lang w:val="fr-FR"/>
        </w:rPr>
        <w:t xml:space="preserve">était, en fait, la même </w:t>
      </w:r>
      <w:r w:rsidRPr="001952B6">
        <w:rPr>
          <w:rFonts w:ascii="Arial" w:hAnsi="Arial" w:cs="Arial"/>
          <w:bCs/>
          <w:sz w:val="22"/>
          <w:szCs w:val="22"/>
          <w:lang w:val="fr-FR"/>
        </w:rPr>
        <w:t>disposition</w:t>
      </w:r>
      <w:r>
        <w:rPr>
          <w:rFonts w:ascii="Arial" w:hAnsi="Arial" w:cs="Arial"/>
          <w:bCs/>
          <w:sz w:val="22"/>
          <w:szCs w:val="22"/>
          <w:lang w:val="fr-FR"/>
        </w:rPr>
        <w:t>, avec uniquement l</w:t>
      </w:r>
      <w:r w:rsidR="008E532B">
        <w:rPr>
          <w:rFonts w:ascii="Arial" w:hAnsi="Arial" w:cs="Arial"/>
          <w:bCs/>
          <w:sz w:val="22"/>
          <w:szCs w:val="22"/>
          <w:lang w:val="fr-FR"/>
        </w:rPr>
        <w:t>’</w:t>
      </w:r>
      <w:r>
        <w:rPr>
          <w:rFonts w:ascii="Arial" w:hAnsi="Arial" w:cs="Arial"/>
          <w:bCs/>
          <w:sz w:val="22"/>
          <w:szCs w:val="22"/>
          <w:lang w:val="fr-FR"/>
        </w:rPr>
        <w:t>ajustement de la nouvelle référence à l</w:t>
      </w:r>
      <w:r w:rsidR="008E532B">
        <w:rPr>
          <w:rFonts w:ascii="Arial" w:hAnsi="Arial" w:cs="Arial"/>
          <w:bCs/>
          <w:sz w:val="22"/>
          <w:szCs w:val="22"/>
          <w:lang w:val="fr-FR"/>
        </w:rPr>
        <w:t>’</w:t>
      </w:r>
      <w:r>
        <w:rPr>
          <w:rFonts w:ascii="Arial" w:hAnsi="Arial" w:cs="Arial"/>
          <w:bCs/>
          <w:sz w:val="22"/>
          <w:szCs w:val="22"/>
          <w:lang w:val="fr-FR"/>
        </w:rPr>
        <w:t>article 16.3.</w:t>
      </w:r>
    </w:p>
    <w:p w14:paraId="32D970A5" w14:textId="424E9D60" w:rsidR="00D9653F" w:rsidRPr="001952B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952B6">
        <w:rPr>
          <w:rFonts w:ascii="Arial" w:hAnsi="Arial" w:cs="Arial"/>
          <w:bCs/>
          <w:sz w:val="22"/>
          <w:szCs w:val="22"/>
          <w:lang w:val="fr-FR"/>
        </w:rPr>
        <w:t>La délégation d</w:t>
      </w:r>
      <w:r>
        <w:rPr>
          <w:rFonts w:ascii="Arial" w:hAnsi="Arial" w:cs="Arial"/>
          <w:bCs/>
          <w:sz w:val="22"/>
          <w:szCs w:val="22"/>
          <w:lang w:val="fr-FR"/>
        </w:rPr>
        <w:t xml:space="preserve">e la </w:t>
      </w:r>
      <w:r w:rsidRPr="00E8321F">
        <w:rPr>
          <w:rFonts w:ascii="Arial" w:hAnsi="Arial" w:cs="Arial"/>
          <w:b/>
          <w:sz w:val="22"/>
          <w:szCs w:val="22"/>
          <w:lang w:val="fr-FR"/>
        </w:rPr>
        <w:t>République bolivarienne du Venezuela</w:t>
      </w:r>
      <w:r w:rsidRPr="001952B6">
        <w:rPr>
          <w:rFonts w:ascii="Arial" w:hAnsi="Arial" w:cs="Arial"/>
          <w:bCs/>
          <w:sz w:val="22"/>
          <w:szCs w:val="22"/>
          <w:lang w:val="fr-FR"/>
        </w:rPr>
        <w:t xml:space="preserve"> </w:t>
      </w:r>
      <w:r>
        <w:rPr>
          <w:rFonts w:ascii="Arial" w:hAnsi="Arial" w:cs="Arial"/>
          <w:bCs/>
          <w:sz w:val="22"/>
          <w:szCs w:val="22"/>
          <w:lang w:val="fr-FR"/>
        </w:rPr>
        <w:t>était</w:t>
      </w:r>
      <w:r w:rsidRPr="001952B6">
        <w:rPr>
          <w:rFonts w:ascii="Arial" w:hAnsi="Arial" w:cs="Arial"/>
          <w:bCs/>
          <w:sz w:val="22"/>
          <w:szCs w:val="22"/>
          <w:lang w:val="fr-FR"/>
        </w:rPr>
        <w:t xml:space="preserve"> prête à se joindre au consensus mais, comme l</w:t>
      </w:r>
      <w:r w:rsidR="008E532B">
        <w:rPr>
          <w:rFonts w:ascii="Arial" w:hAnsi="Arial" w:cs="Arial"/>
          <w:bCs/>
          <w:sz w:val="22"/>
          <w:szCs w:val="22"/>
          <w:lang w:val="fr-FR"/>
        </w:rPr>
        <w:t>’</w:t>
      </w:r>
      <w:r w:rsidRPr="001952B6">
        <w:rPr>
          <w:rFonts w:ascii="Arial" w:hAnsi="Arial" w:cs="Arial"/>
          <w:bCs/>
          <w:sz w:val="22"/>
          <w:szCs w:val="22"/>
          <w:lang w:val="fr-FR"/>
        </w:rPr>
        <w:t>a</w:t>
      </w:r>
      <w:r>
        <w:rPr>
          <w:rFonts w:ascii="Arial" w:hAnsi="Arial" w:cs="Arial"/>
          <w:bCs/>
          <w:sz w:val="22"/>
          <w:szCs w:val="22"/>
          <w:lang w:val="fr-FR"/>
        </w:rPr>
        <w:t>vait</w:t>
      </w:r>
      <w:r w:rsidRPr="001952B6">
        <w:rPr>
          <w:rFonts w:ascii="Arial" w:hAnsi="Arial" w:cs="Arial"/>
          <w:bCs/>
          <w:sz w:val="22"/>
          <w:szCs w:val="22"/>
          <w:lang w:val="fr-FR"/>
        </w:rPr>
        <w:t xml:space="preserve"> mentionné l</w:t>
      </w:r>
      <w:r w:rsidR="008E532B">
        <w:rPr>
          <w:rFonts w:ascii="Arial" w:hAnsi="Arial" w:cs="Arial"/>
          <w:bCs/>
          <w:sz w:val="22"/>
          <w:szCs w:val="22"/>
          <w:lang w:val="fr-FR"/>
        </w:rPr>
        <w:t>’</w:t>
      </w:r>
      <w:r w:rsidRPr="001952B6">
        <w:rPr>
          <w:rFonts w:ascii="Arial" w:hAnsi="Arial" w:cs="Arial"/>
          <w:bCs/>
          <w:sz w:val="22"/>
          <w:szCs w:val="22"/>
          <w:lang w:val="fr-FR"/>
        </w:rPr>
        <w:t>Arabie saoudite, elle souhait</w:t>
      </w:r>
      <w:r>
        <w:rPr>
          <w:rFonts w:ascii="Arial" w:hAnsi="Arial" w:cs="Arial"/>
          <w:bCs/>
          <w:sz w:val="22"/>
          <w:szCs w:val="22"/>
          <w:lang w:val="fr-FR"/>
        </w:rPr>
        <w:t>ait</w:t>
      </w:r>
      <w:r w:rsidRPr="001952B6">
        <w:rPr>
          <w:rFonts w:ascii="Arial" w:hAnsi="Arial" w:cs="Arial"/>
          <w:bCs/>
          <w:sz w:val="22"/>
          <w:szCs w:val="22"/>
          <w:lang w:val="fr-FR"/>
        </w:rPr>
        <w:t xml:space="preserve"> que l</w:t>
      </w:r>
      <w:r w:rsidR="008E532B">
        <w:rPr>
          <w:rFonts w:ascii="Arial" w:hAnsi="Arial" w:cs="Arial"/>
          <w:bCs/>
          <w:sz w:val="22"/>
          <w:szCs w:val="22"/>
          <w:lang w:val="fr-FR"/>
        </w:rPr>
        <w:t>’</w:t>
      </w:r>
      <w:r w:rsidRPr="001952B6">
        <w:rPr>
          <w:rFonts w:ascii="Arial" w:hAnsi="Arial" w:cs="Arial"/>
          <w:bCs/>
          <w:sz w:val="22"/>
          <w:szCs w:val="22"/>
          <w:lang w:val="fr-FR"/>
        </w:rPr>
        <w:t xml:space="preserve">explication du </w:t>
      </w:r>
      <w:r>
        <w:rPr>
          <w:rFonts w:ascii="Arial" w:hAnsi="Arial" w:cs="Arial"/>
          <w:bCs/>
          <w:sz w:val="22"/>
          <w:szCs w:val="22"/>
          <w:lang w:val="fr-FR"/>
        </w:rPr>
        <w:t>C</w:t>
      </w:r>
      <w:r w:rsidRPr="001952B6">
        <w:rPr>
          <w:rFonts w:ascii="Arial" w:hAnsi="Arial" w:cs="Arial"/>
          <w:bCs/>
          <w:sz w:val="22"/>
          <w:szCs w:val="22"/>
          <w:lang w:val="fr-FR"/>
        </w:rPr>
        <w:t xml:space="preserve">onseiller juridique soit </w:t>
      </w:r>
      <w:r>
        <w:rPr>
          <w:rFonts w:ascii="Arial" w:hAnsi="Arial" w:cs="Arial"/>
          <w:bCs/>
          <w:sz w:val="22"/>
          <w:szCs w:val="22"/>
          <w:lang w:val="fr-FR"/>
        </w:rPr>
        <w:t xml:space="preserve">reprise </w:t>
      </w:r>
      <w:r w:rsidRPr="001952B6">
        <w:rPr>
          <w:rFonts w:ascii="Arial" w:hAnsi="Arial" w:cs="Arial"/>
          <w:bCs/>
          <w:sz w:val="22"/>
          <w:szCs w:val="22"/>
          <w:lang w:val="fr-FR"/>
        </w:rPr>
        <w:t>dans le rapport oral. Elle aurait également souhaité que l</w:t>
      </w:r>
      <w:r w:rsidR="008E532B">
        <w:rPr>
          <w:rFonts w:ascii="Arial" w:hAnsi="Arial" w:cs="Arial"/>
          <w:bCs/>
          <w:sz w:val="22"/>
          <w:szCs w:val="22"/>
          <w:lang w:val="fr-FR"/>
        </w:rPr>
        <w:t>’</w:t>
      </w:r>
      <w:r w:rsidRPr="001952B6">
        <w:rPr>
          <w:rFonts w:ascii="Arial" w:hAnsi="Arial" w:cs="Arial"/>
          <w:bCs/>
          <w:sz w:val="22"/>
          <w:szCs w:val="22"/>
          <w:lang w:val="fr-FR"/>
        </w:rPr>
        <w:t>intitulé de l</w:t>
      </w:r>
      <w:r w:rsidR="008E532B">
        <w:rPr>
          <w:rFonts w:ascii="Arial" w:hAnsi="Arial" w:cs="Arial"/>
          <w:bCs/>
          <w:sz w:val="22"/>
          <w:szCs w:val="22"/>
          <w:lang w:val="fr-FR"/>
        </w:rPr>
        <w:t>’</w:t>
      </w:r>
      <w:r w:rsidRPr="001952B6">
        <w:rPr>
          <w:rFonts w:ascii="Arial" w:hAnsi="Arial" w:cs="Arial"/>
          <w:bCs/>
          <w:sz w:val="22"/>
          <w:szCs w:val="22"/>
          <w:lang w:val="fr-FR"/>
        </w:rPr>
        <w:t xml:space="preserve">article soit </w:t>
      </w:r>
      <w:r>
        <w:rPr>
          <w:rFonts w:ascii="Arial" w:hAnsi="Arial" w:cs="Arial"/>
          <w:bCs/>
          <w:sz w:val="22"/>
          <w:szCs w:val="22"/>
          <w:lang w:val="fr-FR"/>
        </w:rPr>
        <w:t>« </w:t>
      </w:r>
      <w:r w:rsidRPr="001952B6">
        <w:rPr>
          <w:rFonts w:ascii="Arial" w:hAnsi="Arial" w:cs="Arial"/>
          <w:bCs/>
          <w:sz w:val="22"/>
          <w:szCs w:val="22"/>
          <w:lang w:val="fr-FR"/>
        </w:rPr>
        <w:t>Observateurs</w:t>
      </w:r>
      <w:r>
        <w:rPr>
          <w:rFonts w:ascii="Arial" w:hAnsi="Arial" w:cs="Arial"/>
          <w:bCs/>
          <w:sz w:val="22"/>
          <w:szCs w:val="22"/>
          <w:lang w:val="fr-FR"/>
        </w:rPr>
        <w:t> »</w:t>
      </w:r>
      <w:r w:rsidRPr="001952B6">
        <w:rPr>
          <w:rFonts w:ascii="Arial" w:hAnsi="Arial" w:cs="Arial"/>
          <w:bCs/>
          <w:sz w:val="22"/>
          <w:szCs w:val="22"/>
          <w:lang w:val="fr-FR"/>
        </w:rPr>
        <w:t>. Toutefois, le texte de l</w:t>
      </w:r>
      <w:r w:rsidR="008E532B">
        <w:rPr>
          <w:rFonts w:ascii="Arial" w:hAnsi="Arial" w:cs="Arial"/>
          <w:bCs/>
          <w:sz w:val="22"/>
          <w:szCs w:val="22"/>
          <w:lang w:val="fr-FR"/>
        </w:rPr>
        <w:t>’</w:t>
      </w:r>
      <w:r w:rsidRPr="001952B6">
        <w:rPr>
          <w:rFonts w:ascii="Arial" w:hAnsi="Arial" w:cs="Arial"/>
          <w:bCs/>
          <w:sz w:val="22"/>
          <w:szCs w:val="22"/>
          <w:lang w:val="fr-FR"/>
        </w:rPr>
        <w:t>article 2.2 serait également acceptable.</w:t>
      </w:r>
    </w:p>
    <w:p w14:paraId="5AC3474D" w14:textId="5AB40534" w:rsidR="00D9653F" w:rsidRPr="001952B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952B6">
        <w:rPr>
          <w:rFonts w:ascii="Arial" w:hAnsi="Arial" w:cs="Arial"/>
          <w:bCs/>
          <w:sz w:val="22"/>
          <w:szCs w:val="22"/>
          <w:lang w:val="fr-FR"/>
        </w:rPr>
        <w:t xml:space="preserve">La délégation de </w:t>
      </w:r>
      <w:r w:rsidRPr="001952B6">
        <w:rPr>
          <w:rFonts w:ascii="Arial" w:hAnsi="Arial" w:cs="Arial"/>
          <w:b/>
          <w:sz w:val="22"/>
          <w:szCs w:val="22"/>
          <w:lang w:val="fr-FR"/>
        </w:rPr>
        <w:t>Madagascar</w:t>
      </w:r>
      <w:r w:rsidRPr="001952B6">
        <w:rPr>
          <w:rFonts w:ascii="Arial" w:hAnsi="Arial" w:cs="Arial"/>
          <w:bCs/>
          <w:sz w:val="22"/>
          <w:szCs w:val="22"/>
          <w:lang w:val="fr-FR"/>
        </w:rPr>
        <w:t xml:space="preserve"> </w:t>
      </w:r>
      <w:r>
        <w:rPr>
          <w:rFonts w:ascii="Arial" w:hAnsi="Arial" w:cs="Arial"/>
          <w:bCs/>
          <w:sz w:val="22"/>
          <w:szCs w:val="22"/>
          <w:lang w:val="fr-FR"/>
        </w:rPr>
        <w:t xml:space="preserve">soutenait </w:t>
      </w:r>
      <w:r w:rsidRPr="001952B6">
        <w:rPr>
          <w:rFonts w:ascii="Arial" w:hAnsi="Arial" w:cs="Arial"/>
          <w:bCs/>
          <w:sz w:val="22"/>
          <w:szCs w:val="22"/>
          <w:lang w:val="fr-FR"/>
        </w:rPr>
        <w:t>également l</w:t>
      </w:r>
      <w:r w:rsidR="008E532B">
        <w:rPr>
          <w:rFonts w:ascii="Arial" w:hAnsi="Arial" w:cs="Arial"/>
          <w:bCs/>
          <w:sz w:val="22"/>
          <w:szCs w:val="22"/>
          <w:lang w:val="fr-FR"/>
        </w:rPr>
        <w:t>’</w:t>
      </w:r>
      <w:r w:rsidRPr="001952B6">
        <w:rPr>
          <w:rFonts w:ascii="Arial" w:hAnsi="Arial" w:cs="Arial"/>
          <w:bCs/>
          <w:sz w:val="22"/>
          <w:szCs w:val="22"/>
          <w:lang w:val="fr-FR"/>
        </w:rPr>
        <w:t>option 3 proposée par les Pays</w:t>
      </w:r>
      <w:r>
        <w:rPr>
          <w:rFonts w:ascii="Arial" w:hAnsi="Arial" w:cs="Arial"/>
          <w:bCs/>
          <w:sz w:val="22"/>
          <w:szCs w:val="22"/>
          <w:lang w:val="fr-FR"/>
        </w:rPr>
        <w:noBreakHyphen/>
      </w:r>
      <w:r w:rsidRPr="001952B6">
        <w:rPr>
          <w:rFonts w:ascii="Arial" w:hAnsi="Arial" w:cs="Arial"/>
          <w:bCs/>
          <w:sz w:val="22"/>
          <w:szCs w:val="22"/>
          <w:lang w:val="fr-FR"/>
        </w:rPr>
        <w:t>Bas et soutenue par l</w:t>
      </w:r>
      <w:r w:rsidR="008E532B">
        <w:rPr>
          <w:rFonts w:ascii="Arial" w:hAnsi="Arial" w:cs="Arial"/>
          <w:bCs/>
          <w:sz w:val="22"/>
          <w:szCs w:val="22"/>
          <w:lang w:val="fr-FR"/>
        </w:rPr>
        <w:t>’</w:t>
      </w:r>
      <w:r w:rsidRPr="001952B6">
        <w:rPr>
          <w:rFonts w:ascii="Arial" w:hAnsi="Arial" w:cs="Arial"/>
          <w:bCs/>
          <w:sz w:val="22"/>
          <w:szCs w:val="22"/>
          <w:lang w:val="fr-FR"/>
        </w:rPr>
        <w:t>Éthiopie, l</w:t>
      </w:r>
      <w:r w:rsidR="008E532B">
        <w:rPr>
          <w:rFonts w:ascii="Arial" w:hAnsi="Arial" w:cs="Arial"/>
          <w:bCs/>
          <w:sz w:val="22"/>
          <w:szCs w:val="22"/>
          <w:lang w:val="fr-FR"/>
        </w:rPr>
        <w:t>’</w:t>
      </w:r>
      <w:r w:rsidRPr="001952B6">
        <w:rPr>
          <w:rFonts w:ascii="Arial" w:hAnsi="Arial" w:cs="Arial"/>
          <w:bCs/>
          <w:sz w:val="22"/>
          <w:szCs w:val="22"/>
          <w:lang w:val="fr-FR"/>
        </w:rPr>
        <w:t>Arabie saoudite et l</w:t>
      </w:r>
      <w:r>
        <w:rPr>
          <w:rFonts w:ascii="Arial" w:hAnsi="Arial" w:cs="Arial"/>
          <w:bCs/>
          <w:sz w:val="22"/>
          <w:szCs w:val="22"/>
          <w:lang w:val="fr-FR"/>
        </w:rPr>
        <w:t>a République bolivarienne du Venezuela</w:t>
      </w:r>
      <w:r w:rsidRPr="001952B6">
        <w:rPr>
          <w:rFonts w:ascii="Arial" w:hAnsi="Arial" w:cs="Arial"/>
          <w:bCs/>
          <w:sz w:val="22"/>
          <w:szCs w:val="22"/>
          <w:lang w:val="fr-FR"/>
        </w:rPr>
        <w:t>.</w:t>
      </w:r>
    </w:p>
    <w:p w14:paraId="10933B41" w14:textId="5CD56F6C" w:rsidR="00D9653F" w:rsidRPr="001952B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952B6">
        <w:rPr>
          <w:rFonts w:ascii="Arial" w:hAnsi="Arial" w:cs="Arial"/>
          <w:bCs/>
          <w:sz w:val="22"/>
          <w:szCs w:val="22"/>
          <w:lang w:val="fr-FR"/>
        </w:rPr>
        <w:t>délégation</w:t>
      </w:r>
      <w:r>
        <w:rPr>
          <w:rFonts w:ascii="Arial" w:hAnsi="Arial" w:cs="Arial"/>
          <w:bCs/>
          <w:sz w:val="22"/>
          <w:szCs w:val="22"/>
          <w:lang w:val="fr-FR"/>
        </w:rPr>
        <w:t xml:space="preserve"> du </w:t>
      </w:r>
      <w:r w:rsidRPr="0001261E">
        <w:rPr>
          <w:rFonts w:ascii="Arial" w:hAnsi="Arial" w:cs="Arial"/>
          <w:b/>
          <w:sz w:val="22"/>
          <w:szCs w:val="22"/>
          <w:lang w:val="fr-FR"/>
        </w:rPr>
        <w:t>Liban</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 xml:space="preserve">est </w:t>
      </w:r>
      <w:r w:rsidRPr="001952B6">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jointe au consensus. Elle soutenait donc l</w:t>
      </w:r>
      <w:r w:rsidR="008E532B">
        <w:rPr>
          <w:rFonts w:ascii="Arial" w:hAnsi="Arial" w:cs="Arial"/>
          <w:bCs/>
          <w:color w:val="000000" w:themeColor="text1"/>
          <w:sz w:val="22"/>
          <w:szCs w:val="22"/>
          <w:lang w:val="fr-FR"/>
        </w:rPr>
        <w:t>’</w:t>
      </w:r>
      <w:r>
        <w:rPr>
          <w:rFonts w:ascii="Arial" w:hAnsi="Arial" w:cs="Arial"/>
          <w:bCs/>
          <w:color w:val="000000" w:themeColor="text1"/>
          <w:sz w:val="22"/>
          <w:szCs w:val="22"/>
          <w:lang w:val="fr-FR"/>
        </w:rPr>
        <w:t>option 3.</w:t>
      </w:r>
    </w:p>
    <w:p w14:paraId="7B54DDC3" w14:textId="1BA72F37" w:rsidR="00D9653F" w:rsidRPr="0001261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bookmarkStart w:id="3" w:name="_Hlk114892015"/>
      <w:r w:rsidRPr="0001261E">
        <w:rPr>
          <w:rFonts w:ascii="Arial" w:hAnsi="Arial" w:cs="Arial"/>
          <w:bCs/>
          <w:sz w:val="22"/>
          <w:szCs w:val="22"/>
          <w:lang w:val="fr-FR"/>
        </w:rPr>
        <w:t xml:space="preserve">La délégation de la </w:t>
      </w:r>
      <w:r w:rsidRPr="0001261E">
        <w:rPr>
          <w:rFonts w:ascii="Arial" w:hAnsi="Arial" w:cs="Arial"/>
          <w:b/>
          <w:sz w:val="22"/>
          <w:szCs w:val="22"/>
          <w:lang w:val="fr-FR"/>
        </w:rPr>
        <w:t>Pologne</w:t>
      </w:r>
      <w:r w:rsidRPr="0001261E">
        <w:rPr>
          <w:rFonts w:ascii="Arial" w:hAnsi="Arial" w:cs="Arial"/>
          <w:bCs/>
          <w:sz w:val="22"/>
          <w:szCs w:val="22"/>
          <w:lang w:val="fr-FR"/>
        </w:rPr>
        <w:t xml:space="preserve"> a remercié le Conseiller juridique pour ses éclaircissements, expliquant qu</w:t>
      </w:r>
      <w:r w:rsidR="008E532B">
        <w:rPr>
          <w:rFonts w:ascii="Arial" w:hAnsi="Arial" w:cs="Arial"/>
          <w:bCs/>
          <w:sz w:val="22"/>
          <w:szCs w:val="22"/>
          <w:lang w:val="fr-FR"/>
        </w:rPr>
        <w:t>’</w:t>
      </w:r>
      <w:r w:rsidRPr="0001261E">
        <w:rPr>
          <w:rFonts w:ascii="Arial" w:hAnsi="Arial" w:cs="Arial"/>
          <w:bCs/>
          <w:sz w:val="22"/>
          <w:szCs w:val="22"/>
          <w:lang w:val="fr-FR"/>
        </w:rPr>
        <w:t xml:space="preserve">elle souhaitait une décision cohérente. Elle était très favorable au consensus sur cette question très importante, surtout lorsque certaines ONG </w:t>
      </w:r>
      <w:r>
        <w:rPr>
          <w:rFonts w:ascii="Arial" w:hAnsi="Arial" w:cs="Arial"/>
          <w:bCs/>
          <w:sz w:val="22"/>
          <w:szCs w:val="22"/>
          <w:lang w:val="fr-FR"/>
        </w:rPr>
        <w:t>étaient</w:t>
      </w:r>
      <w:r w:rsidRPr="0001261E">
        <w:rPr>
          <w:rFonts w:ascii="Arial" w:hAnsi="Arial" w:cs="Arial"/>
          <w:bCs/>
          <w:sz w:val="22"/>
          <w:szCs w:val="22"/>
          <w:lang w:val="fr-FR"/>
        </w:rPr>
        <w:t xml:space="preserve"> accréditées dans </w:t>
      </w:r>
      <w:r w:rsidR="00603192">
        <w:rPr>
          <w:rFonts w:ascii="Arial" w:hAnsi="Arial" w:cs="Arial"/>
          <w:bCs/>
          <w:sz w:val="22"/>
          <w:szCs w:val="22"/>
          <w:lang w:val="fr-FR"/>
        </w:rPr>
        <w:t>son</w:t>
      </w:r>
      <w:r w:rsidR="00603192" w:rsidRPr="0001261E">
        <w:rPr>
          <w:rFonts w:ascii="Arial" w:hAnsi="Arial" w:cs="Arial"/>
          <w:bCs/>
          <w:sz w:val="22"/>
          <w:szCs w:val="22"/>
          <w:lang w:val="fr-FR"/>
        </w:rPr>
        <w:t xml:space="preserve"> </w:t>
      </w:r>
      <w:r w:rsidR="00603192">
        <w:rPr>
          <w:rFonts w:ascii="Arial" w:hAnsi="Arial" w:cs="Arial"/>
          <w:bCs/>
          <w:sz w:val="22"/>
          <w:szCs w:val="22"/>
          <w:lang w:val="fr-FR"/>
        </w:rPr>
        <w:t xml:space="preserve">propre </w:t>
      </w:r>
      <w:r w:rsidRPr="0001261E">
        <w:rPr>
          <w:rFonts w:ascii="Arial" w:hAnsi="Arial" w:cs="Arial"/>
          <w:bCs/>
          <w:sz w:val="22"/>
          <w:szCs w:val="22"/>
          <w:lang w:val="fr-FR"/>
        </w:rPr>
        <w:t>pays et qu</w:t>
      </w:r>
      <w:r w:rsidR="008E532B">
        <w:rPr>
          <w:rFonts w:ascii="Arial" w:hAnsi="Arial" w:cs="Arial"/>
          <w:bCs/>
          <w:sz w:val="22"/>
          <w:szCs w:val="22"/>
          <w:lang w:val="fr-FR"/>
        </w:rPr>
        <w:t>’</w:t>
      </w:r>
      <w:r w:rsidRPr="0001261E">
        <w:rPr>
          <w:rFonts w:ascii="Arial" w:hAnsi="Arial" w:cs="Arial"/>
          <w:bCs/>
          <w:sz w:val="22"/>
          <w:szCs w:val="22"/>
          <w:lang w:val="fr-FR"/>
        </w:rPr>
        <w:t>elles n</w:t>
      </w:r>
      <w:r w:rsidR="008E532B">
        <w:rPr>
          <w:rFonts w:ascii="Arial" w:hAnsi="Arial" w:cs="Arial"/>
          <w:bCs/>
          <w:sz w:val="22"/>
          <w:szCs w:val="22"/>
          <w:lang w:val="fr-FR"/>
        </w:rPr>
        <w:t>’</w:t>
      </w:r>
      <w:r>
        <w:rPr>
          <w:rFonts w:ascii="Arial" w:hAnsi="Arial" w:cs="Arial"/>
          <w:bCs/>
          <w:sz w:val="22"/>
          <w:szCs w:val="22"/>
          <w:lang w:val="fr-FR"/>
        </w:rPr>
        <w:t xml:space="preserve">avaient </w:t>
      </w:r>
      <w:r w:rsidRPr="0001261E">
        <w:rPr>
          <w:rFonts w:ascii="Arial" w:hAnsi="Arial" w:cs="Arial"/>
          <w:bCs/>
          <w:sz w:val="22"/>
          <w:szCs w:val="22"/>
          <w:lang w:val="fr-FR"/>
        </w:rPr>
        <w:t>pas de reconnaissance internationale alors qu</w:t>
      </w:r>
      <w:r w:rsidR="008E532B">
        <w:rPr>
          <w:rFonts w:ascii="Arial" w:hAnsi="Arial" w:cs="Arial"/>
          <w:bCs/>
          <w:sz w:val="22"/>
          <w:szCs w:val="22"/>
          <w:lang w:val="fr-FR"/>
        </w:rPr>
        <w:t>’</w:t>
      </w:r>
      <w:r w:rsidRPr="0001261E">
        <w:rPr>
          <w:rFonts w:ascii="Arial" w:hAnsi="Arial" w:cs="Arial"/>
          <w:bCs/>
          <w:sz w:val="22"/>
          <w:szCs w:val="22"/>
          <w:lang w:val="fr-FR"/>
        </w:rPr>
        <w:t xml:space="preserve">elles </w:t>
      </w:r>
      <w:r>
        <w:rPr>
          <w:rFonts w:ascii="Arial" w:hAnsi="Arial" w:cs="Arial"/>
          <w:bCs/>
          <w:sz w:val="22"/>
          <w:szCs w:val="22"/>
          <w:lang w:val="fr-FR"/>
        </w:rPr>
        <w:t>étaient</w:t>
      </w:r>
      <w:r w:rsidRPr="0001261E">
        <w:rPr>
          <w:rFonts w:ascii="Arial" w:hAnsi="Arial" w:cs="Arial"/>
          <w:bCs/>
          <w:sz w:val="22"/>
          <w:szCs w:val="22"/>
          <w:lang w:val="fr-FR"/>
        </w:rPr>
        <w:t xml:space="preserve"> importantes pour cette Convention. D</w:t>
      </w:r>
      <w:r w:rsidR="008E532B">
        <w:rPr>
          <w:rFonts w:ascii="Arial" w:hAnsi="Arial" w:cs="Arial"/>
          <w:bCs/>
          <w:sz w:val="22"/>
          <w:szCs w:val="22"/>
          <w:lang w:val="fr-FR"/>
        </w:rPr>
        <w:t>’</w:t>
      </w:r>
      <w:r w:rsidRPr="0001261E">
        <w:rPr>
          <w:rFonts w:ascii="Arial" w:hAnsi="Arial" w:cs="Arial"/>
          <w:bCs/>
          <w:sz w:val="22"/>
          <w:szCs w:val="22"/>
          <w:lang w:val="fr-FR"/>
        </w:rPr>
        <w:t>où sa demande antérieure de voir la différence entre l</w:t>
      </w:r>
      <w:r w:rsidR="008E532B">
        <w:rPr>
          <w:rFonts w:ascii="Arial" w:hAnsi="Arial" w:cs="Arial"/>
          <w:bCs/>
          <w:sz w:val="22"/>
          <w:szCs w:val="22"/>
          <w:lang w:val="fr-FR"/>
        </w:rPr>
        <w:t>’</w:t>
      </w:r>
      <w:r w:rsidRPr="0001261E">
        <w:rPr>
          <w:rFonts w:ascii="Arial" w:hAnsi="Arial" w:cs="Arial"/>
          <w:bCs/>
          <w:sz w:val="22"/>
          <w:szCs w:val="22"/>
          <w:lang w:val="fr-FR"/>
        </w:rPr>
        <w:t>option 3 et l</w:t>
      </w:r>
      <w:r w:rsidR="008E532B">
        <w:rPr>
          <w:rFonts w:ascii="Arial" w:hAnsi="Arial" w:cs="Arial"/>
          <w:bCs/>
          <w:sz w:val="22"/>
          <w:szCs w:val="22"/>
          <w:lang w:val="fr-FR"/>
        </w:rPr>
        <w:t>’</w:t>
      </w:r>
      <w:r w:rsidRPr="0001261E">
        <w:rPr>
          <w:rFonts w:ascii="Arial" w:hAnsi="Arial" w:cs="Arial"/>
          <w:bCs/>
          <w:sz w:val="22"/>
          <w:szCs w:val="22"/>
          <w:lang w:val="fr-FR"/>
        </w:rPr>
        <w:t>option 1, qui n</w:t>
      </w:r>
      <w:r w:rsidR="008E532B">
        <w:rPr>
          <w:rFonts w:ascii="Arial" w:hAnsi="Arial" w:cs="Arial"/>
          <w:bCs/>
          <w:sz w:val="22"/>
          <w:szCs w:val="22"/>
          <w:lang w:val="fr-FR"/>
        </w:rPr>
        <w:t>’</w:t>
      </w:r>
      <w:r w:rsidRPr="0001261E">
        <w:rPr>
          <w:rFonts w:ascii="Arial" w:hAnsi="Arial" w:cs="Arial"/>
          <w:bCs/>
          <w:sz w:val="22"/>
          <w:szCs w:val="22"/>
          <w:lang w:val="fr-FR"/>
        </w:rPr>
        <w:t>apparaissait pas clairement à l</w:t>
      </w:r>
      <w:r w:rsidR="008E532B">
        <w:rPr>
          <w:rFonts w:ascii="Arial" w:hAnsi="Arial" w:cs="Arial"/>
          <w:bCs/>
          <w:sz w:val="22"/>
          <w:szCs w:val="22"/>
          <w:lang w:val="fr-FR"/>
        </w:rPr>
        <w:t>’</w:t>
      </w:r>
      <w:r w:rsidRPr="0001261E">
        <w:rPr>
          <w:rFonts w:ascii="Arial" w:hAnsi="Arial" w:cs="Arial"/>
          <w:bCs/>
          <w:sz w:val="22"/>
          <w:szCs w:val="22"/>
          <w:lang w:val="fr-FR"/>
        </w:rPr>
        <w:t>écran.</w:t>
      </w:r>
    </w:p>
    <w:bookmarkEnd w:id="3"/>
    <w:p w14:paraId="01CC880A" w14:textId="6C9F33E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1261E">
        <w:rPr>
          <w:rFonts w:ascii="Arial" w:hAnsi="Arial" w:cs="Arial"/>
          <w:bCs/>
          <w:sz w:val="22"/>
          <w:szCs w:val="22"/>
          <w:lang w:val="fr-FR"/>
        </w:rPr>
        <w:t xml:space="preserve">Le </w:t>
      </w:r>
      <w:r w:rsidRPr="0001261E">
        <w:rPr>
          <w:rFonts w:ascii="Arial" w:hAnsi="Arial" w:cs="Arial"/>
          <w:b/>
          <w:sz w:val="22"/>
          <w:szCs w:val="22"/>
          <w:lang w:val="fr-FR"/>
        </w:rPr>
        <w:t>Sous-Directeur général</w:t>
      </w:r>
      <w:r w:rsidRPr="0001261E">
        <w:rPr>
          <w:rFonts w:ascii="Arial" w:hAnsi="Arial" w:cs="Arial"/>
          <w:bCs/>
          <w:sz w:val="22"/>
          <w:szCs w:val="22"/>
          <w:lang w:val="fr-FR"/>
        </w:rPr>
        <w:t xml:space="preserve"> </w:t>
      </w:r>
      <w:r>
        <w:rPr>
          <w:rFonts w:ascii="Arial" w:hAnsi="Arial" w:cs="Arial"/>
          <w:bCs/>
          <w:sz w:val="22"/>
          <w:szCs w:val="22"/>
          <w:lang w:val="fr-FR"/>
        </w:rPr>
        <w:t xml:space="preserve">a </w:t>
      </w:r>
      <w:r w:rsidRPr="0001261E">
        <w:rPr>
          <w:rFonts w:ascii="Arial" w:hAnsi="Arial" w:cs="Arial"/>
          <w:bCs/>
          <w:sz w:val="22"/>
          <w:szCs w:val="22"/>
          <w:lang w:val="fr-FR"/>
        </w:rPr>
        <w:t>précis</w:t>
      </w:r>
      <w:r>
        <w:rPr>
          <w:rFonts w:ascii="Arial" w:hAnsi="Arial" w:cs="Arial"/>
          <w:bCs/>
          <w:sz w:val="22"/>
          <w:szCs w:val="22"/>
          <w:lang w:val="fr-FR"/>
        </w:rPr>
        <w:t xml:space="preserve">é </w:t>
      </w:r>
      <w:r w:rsidRPr="0001261E">
        <w:rPr>
          <w:rFonts w:ascii="Arial" w:hAnsi="Arial" w:cs="Arial"/>
          <w:bCs/>
          <w:sz w:val="22"/>
          <w:szCs w:val="22"/>
          <w:lang w:val="fr-FR"/>
        </w:rPr>
        <w:t>que</w:t>
      </w:r>
      <w:r>
        <w:rPr>
          <w:rFonts w:ascii="Arial" w:hAnsi="Arial" w:cs="Arial"/>
          <w:bCs/>
          <w:sz w:val="22"/>
          <w:szCs w:val="22"/>
          <w:lang w:val="fr-FR"/>
        </w:rPr>
        <w:t xml:space="preserve"> dans</w:t>
      </w:r>
      <w:r w:rsidRPr="0001261E">
        <w:rPr>
          <w:rFonts w:ascii="Arial" w:hAnsi="Arial" w:cs="Arial"/>
          <w:bCs/>
          <w:sz w:val="22"/>
          <w:szCs w:val="22"/>
          <w:lang w:val="fr-FR"/>
        </w:rPr>
        <w:t xml:space="preserve"> l</w:t>
      </w:r>
      <w:r w:rsidR="008E532B">
        <w:rPr>
          <w:rFonts w:ascii="Arial" w:hAnsi="Arial" w:cs="Arial"/>
          <w:bCs/>
          <w:sz w:val="22"/>
          <w:szCs w:val="22"/>
          <w:lang w:val="fr-FR"/>
        </w:rPr>
        <w:t>’</w:t>
      </w:r>
      <w:r w:rsidRPr="0001261E">
        <w:rPr>
          <w:rFonts w:ascii="Arial" w:hAnsi="Arial" w:cs="Arial"/>
          <w:bCs/>
          <w:sz w:val="22"/>
          <w:szCs w:val="22"/>
          <w:lang w:val="fr-FR"/>
        </w:rPr>
        <w:t>option 1, le texte suivan</w:t>
      </w:r>
      <w:r>
        <w:rPr>
          <w:rFonts w:ascii="Arial" w:hAnsi="Arial" w:cs="Arial"/>
          <w:bCs/>
          <w:sz w:val="22"/>
          <w:szCs w:val="22"/>
          <w:lang w:val="fr-FR"/>
        </w:rPr>
        <w:t>t :</w:t>
      </w:r>
      <w:r w:rsidRPr="0001261E">
        <w:rPr>
          <w:rFonts w:ascii="Arial" w:hAnsi="Arial" w:cs="Arial"/>
          <w:bCs/>
          <w:sz w:val="22"/>
          <w:szCs w:val="22"/>
          <w:lang w:val="fr-FR"/>
        </w:rPr>
        <w:t xml:space="preserve"> </w:t>
      </w:r>
      <w:r>
        <w:rPr>
          <w:rFonts w:ascii="Arial" w:hAnsi="Arial" w:cs="Arial"/>
          <w:bCs/>
          <w:sz w:val="22"/>
          <w:szCs w:val="22"/>
          <w:lang w:val="fr-FR"/>
        </w:rPr>
        <w:t>« </w:t>
      </w:r>
      <w:r w:rsidRPr="0001261E">
        <w:rPr>
          <w:rFonts w:ascii="Arial" w:hAnsi="Arial" w:cs="Arial"/>
          <w:bCs/>
          <w:sz w:val="22"/>
          <w:szCs w:val="22"/>
          <w:lang w:val="fr-FR"/>
        </w:rPr>
        <w:t>peuvent participer aux travaux de l</w:t>
      </w:r>
      <w:r w:rsidR="008E532B">
        <w:rPr>
          <w:rFonts w:ascii="Arial" w:hAnsi="Arial" w:cs="Arial"/>
          <w:bCs/>
          <w:sz w:val="22"/>
          <w:szCs w:val="22"/>
          <w:lang w:val="fr-FR"/>
        </w:rPr>
        <w:t>’</w:t>
      </w:r>
      <w:r w:rsidRPr="0001261E">
        <w:rPr>
          <w:rFonts w:ascii="Arial" w:hAnsi="Arial" w:cs="Arial"/>
          <w:bCs/>
          <w:sz w:val="22"/>
          <w:szCs w:val="22"/>
          <w:lang w:val="fr-FR"/>
        </w:rPr>
        <w:t>Assemblée en qualité d</w:t>
      </w:r>
      <w:r w:rsidR="008E532B">
        <w:rPr>
          <w:rFonts w:ascii="Arial" w:hAnsi="Arial" w:cs="Arial"/>
          <w:bCs/>
          <w:sz w:val="22"/>
          <w:szCs w:val="22"/>
          <w:lang w:val="fr-FR"/>
        </w:rPr>
        <w:t>’</w:t>
      </w:r>
      <w:r w:rsidRPr="0001261E">
        <w:rPr>
          <w:rFonts w:ascii="Arial" w:hAnsi="Arial" w:cs="Arial"/>
          <w:bCs/>
          <w:sz w:val="22"/>
          <w:szCs w:val="22"/>
          <w:lang w:val="fr-FR"/>
        </w:rPr>
        <w:t>observateurs sans droit de vote</w:t>
      </w:r>
      <w:r>
        <w:rPr>
          <w:rFonts w:ascii="Arial" w:hAnsi="Arial" w:cs="Arial"/>
          <w:bCs/>
          <w:sz w:val="22"/>
          <w:szCs w:val="22"/>
          <w:lang w:val="fr-FR"/>
        </w:rPr>
        <w:t xml:space="preserve"> » figurait à la fin du paragraphe </w:t>
      </w:r>
      <w:r w:rsidRPr="0001261E">
        <w:rPr>
          <w:rFonts w:ascii="Arial" w:hAnsi="Arial" w:cs="Arial"/>
          <w:bCs/>
          <w:sz w:val="22"/>
          <w:szCs w:val="22"/>
          <w:lang w:val="fr-FR"/>
        </w:rPr>
        <w:t>d</w:t>
      </w:r>
      <w:r>
        <w:rPr>
          <w:rFonts w:ascii="Arial" w:hAnsi="Arial" w:cs="Arial"/>
          <w:bCs/>
          <w:sz w:val="22"/>
          <w:szCs w:val="22"/>
          <w:lang w:val="fr-FR"/>
        </w:rPr>
        <w:t>e l</w:t>
      </w:r>
      <w:r w:rsidR="008E532B">
        <w:rPr>
          <w:rFonts w:ascii="Arial" w:hAnsi="Arial" w:cs="Arial"/>
          <w:bCs/>
          <w:sz w:val="22"/>
          <w:szCs w:val="22"/>
          <w:lang w:val="fr-FR"/>
        </w:rPr>
        <w:t>’</w:t>
      </w:r>
      <w:r w:rsidRPr="0001261E">
        <w:rPr>
          <w:rFonts w:ascii="Arial" w:hAnsi="Arial" w:cs="Arial"/>
          <w:bCs/>
          <w:sz w:val="22"/>
          <w:szCs w:val="22"/>
          <w:lang w:val="fr-FR"/>
        </w:rPr>
        <w:t>article 3.</w:t>
      </w:r>
      <w:r>
        <w:rPr>
          <w:rFonts w:ascii="Arial" w:hAnsi="Arial" w:cs="Arial"/>
          <w:bCs/>
          <w:sz w:val="22"/>
          <w:szCs w:val="22"/>
          <w:lang w:val="fr-FR"/>
        </w:rPr>
        <w:t>1</w:t>
      </w:r>
      <w:r w:rsidRPr="0001261E">
        <w:rPr>
          <w:rFonts w:ascii="Arial" w:hAnsi="Arial" w:cs="Arial"/>
          <w:bCs/>
          <w:sz w:val="22"/>
          <w:szCs w:val="22"/>
          <w:lang w:val="fr-FR"/>
        </w:rPr>
        <w:t xml:space="preserve">. </w:t>
      </w:r>
      <w:r>
        <w:rPr>
          <w:rFonts w:ascii="Arial" w:hAnsi="Arial" w:cs="Arial"/>
          <w:bCs/>
          <w:sz w:val="22"/>
          <w:szCs w:val="22"/>
          <w:lang w:val="fr-FR"/>
        </w:rPr>
        <w:t>Ce texte ne figurait pas dans l</w:t>
      </w:r>
      <w:r w:rsidR="008E532B">
        <w:rPr>
          <w:rFonts w:ascii="Arial" w:hAnsi="Arial" w:cs="Arial"/>
          <w:bCs/>
          <w:sz w:val="22"/>
          <w:szCs w:val="22"/>
          <w:lang w:val="fr-FR"/>
        </w:rPr>
        <w:t>’</w:t>
      </w:r>
      <w:r w:rsidRPr="0001261E">
        <w:rPr>
          <w:rFonts w:ascii="Arial" w:hAnsi="Arial" w:cs="Arial"/>
          <w:bCs/>
          <w:sz w:val="22"/>
          <w:szCs w:val="22"/>
          <w:lang w:val="fr-FR"/>
        </w:rPr>
        <w:t>option 3. Dans l</w:t>
      </w:r>
      <w:r w:rsidR="008E532B">
        <w:rPr>
          <w:rFonts w:ascii="Arial" w:hAnsi="Arial" w:cs="Arial"/>
          <w:bCs/>
          <w:sz w:val="22"/>
          <w:szCs w:val="22"/>
          <w:lang w:val="fr-FR"/>
        </w:rPr>
        <w:t>’</w:t>
      </w:r>
      <w:r w:rsidRPr="0001261E">
        <w:rPr>
          <w:rFonts w:ascii="Arial" w:hAnsi="Arial" w:cs="Arial"/>
          <w:bCs/>
          <w:sz w:val="22"/>
          <w:szCs w:val="22"/>
          <w:lang w:val="fr-FR"/>
        </w:rPr>
        <w:t>article 2.2 original, il n</w:t>
      </w:r>
      <w:r w:rsidR="008E532B">
        <w:rPr>
          <w:rFonts w:ascii="Arial" w:hAnsi="Arial" w:cs="Arial"/>
          <w:bCs/>
          <w:sz w:val="22"/>
          <w:szCs w:val="22"/>
          <w:lang w:val="fr-FR"/>
        </w:rPr>
        <w:t>’</w:t>
      </w:r>
      <w:r w:rsidRPr="0001261E">
        <w:rPr>
          <w:rFonts w:ascii="Arial" w:hAnsi="Arial" w:cs="Arial"/>
          <w:bCs/>
          <w:sz w:val="22"/>
          <w:szCs w:val="22"/>
          <w:lang w:val="fr-FR"/>
        </w:rPr>
        <w:t>était pas fait mention des observateurs à la fin du texte.</w:t>
      </w:r>
    </w:p>
    <w:p w14:paraId="1E8BA766" w14:textId="03CFCFA2" w:rsidR="00D9653F" w:rsidRPr="00853CAB"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853CAB">
        <w:rPr>
          <w:rFonts w:ascii="Arial" w:hAnsi="Arial" w:cs="Arial"/>
          <w:bCs/>
          <w:sz w:val="22"/>
          <w:szCs w:val="22"/>
          <w:lang w:val="fr-FR"/>
        </w:rPr>
        <w:t>délégation</w:t>
      </w:r>
      <w:r>
        <w:rPr>
          <w:rFonts w:ascii="Arial" w:hAnsi="Arial" w:cs="Arial"/>
          <w:bCs/>
          <w:sz w:val="22"/>
          <w:szCs w:val="22"/>
          <w:lang w:val="fr-FR"/>
        </w:rPr>
        <w:t xml:space="preserve"> du </w:t>
      </w:r>
      <w:r w:rsidRPr="00853CAB">
        <w:rPr>
          <w:rFonts w:ascii="Arial" w:hAnsi="Arial" w:cs="Arial"/>
          <w:b/>
          <w:sz w:val="22"/>
          <w:szCs w:val="22"/>
          <w:lang w:val="fr-FR"/>
        </w:rPr>
        <w:t>Liban</w:t>
      </w:r>
      <w:r>
        <w:rPr>
          <w:rFonts w:ascii="Arial" w:hAnsi="Arial" w:cs="Arial"/>
          <w:bCs/>
          <w:sz w:val="22"/>
          <w:szCs w:val="22"/>
          <w:lang w:val="fr-FR"/>
        </w:rPr>
        <w:t xml:space="preserve"> a suggéré que toutes les questions, suggestions et clarifications soient consignées dans le rapport oral, ce qui permettrait d</w:t>
      </w:r>
      <w:r w:rsidR="008E532B">
        <w:rPr>
          <w:rFonts w:ascii="Arial" w:hAnsi="Arial" w:cs="Arial"/>
          <w:bCs/>
          <w:sz w:val="22"/>
          <w:szCs w:val="22"/>
          <w:lang w:val="fr-FR"/>
        </w:rPr>
        <w:t>’</w:t>
      </w:r>
      <w:r>
        <w:rPr>
          <w:rFonts w:ascii="Arial" w:hAnsi="Arial" w:cs="Arial"/>
          <w:bCs/>
          <w:sz w:val="22"/>
          <w:szCs w:val="22"/>
          <w:lang w:val="fr-FR"/>
        </w:rPr>
        <w:t>aller de l</w:t>
      </w:r>
      <w:r w:rsidR="008E532B">
        <w:rPr>
          <w:rFonts w:ascii="Arial" w:hAnsi="Arial" w:cs="Arial"/>
          <w:bCs/>
          <w:sz w:val="22"/>
          <w:szCs w:val="22"/>
          <w:lang w:val="fr-FR"/>
        </w:rPr>
        <w:t>’</w:t>
      </w:r>
      <w:r>
        <w:rPr>
          <w:rFonts w:ascii="Arial" w:hAnsi="Arial" w:cs="Arial"/>
          <w:bCs/>
          <w:sz w:val="22"/>
          <w:szCs w:val="22"/>
          <w:lang w:val="fr-FR"/>
        </w:rPr>
        <w:t xml:space="preserve">avant. </w:t>
      </w:r>
    </w:p>
    <w:p w14:paraId="6EA1BDA2" w14:textId="7B45554B" w:rsidR="00D9653F" w:rsidRPr="004A412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A4126">
        <w:rPr>
          <w:rFonts w:ascii="Arial" w:hAnsi="Arial" w:cs="Arial"/>
          <w:bCs/>
          <w:sz w:val="22"/>
          <w:szCs w:val="22"/>
          <w:lang w:val="fr-FR"/>
        </w:rPr>
        <w:t xml:space="preserve">La délégation de la </w:t>
      </w:r>
      <w:r w:rsidRPr="004A4126">
        <w:rPr>
          <w:rFonts w:ascii="Arial" w:hAnsi="Arial" w:cs="Arial"/>
          <w:b/>
          <w:sz w:val="22"/>
          <w:szCs w:val="22"/>
          <w:lang w:val="fr-FR"/>
        </w:rPr>
        <w:t>Pologne</w:t>
      </w:r>
      <w:r w:rsidRPr="004A4126">
        <w:rPr>
          <w:rFonts w:ascii="Arial" w:hAnsi="Arial" w:cs="Arial"/>
          <w:bCs/>
          <w:sz w:val="22"/>
          <w:szCs w:val="22"/>
          <w:lang w:val="fr-FR"/>
        </w:rPr>
        <w:t xml:space="preserve"> </w:t>
      </w:r>
      <w:r>
        <w:rPr>
          <w:rFonts w:ascii="Arial" w:hAnsi="Arial" w:cs="Arial"/>
          <w:bCs/>
          <w:sz w:val="22"/>
          <w:szCs w:val="22"/>
          <w:lang w:val="fr-FR"/>
        </w:rPr>
        <w:t xml:space="preserve">a </w:t>
      </w:r>
      <w:r w:rsidRPr="004A4126">
        <w:rPr>
          <w:rFonts w:ascii="Arial" w:hAnsi="Arial" w:cs="Arial"/>
          <w:bCs/>
          <w:sz w:val="22"/>
          <w:szCs w:val="22"/>
          <w:lang w:val="fr-FR"/>
        </w:rPr>
        <w:t>remerci</w:t>
      </w:r>
      <w:r>
        <w:rPr>
          <w:rFonts w:ascii="Arial" w:hAnsi="Arial" w:cs="Arial"/>
          <w:bCs/>
          <w:sz w:val="22"/>
          <w:szCs w:val="22"/>
          <w:lang w:val="fr-FR"/>
        </w:rPr>
        <w:t>é</w:t>
      </w:r>
      <w:r w:rsidRPr="004A4126">
        <w:rPr>
          <w:rFonts w:ascii="Arial" w:hAnsi="Arial" w:cs="Arial"/>
          <w:bCs/>
          <w:sz w:val="22"/>
          <w:szCs w:val="22"/>
          <w:lang w:val="fr-FR"/>
        </w:rPr>
        <w:t xml:space="preserve"> le Sous-Directeur général pour ses éclaircissements mais </w:t>
      </w:r>
      <w:r>
        <w:rPr>
          <w:rFonts w:ascii="Arial" w:hAnsi="Arial" w:cs="Arial"/>
          <w:bCs/>
          <w:sz w:val="22"/>
          <w:szCs w:val="22"/>
          <w:lang w:val="fr-FR"/>
        </w:rPr>
        <w:t xml:space="preserve">a </w:t>
      </w:r>
      <w:r w:rsidRPr="004A4126">
        <w:rPr>
          <w:rFonts w:ascii="Arial" w:hAnsi="Arial" w:cs="Arial"/>
          <w:bCs/>
          <w:sz w:val="22"/>
          <w:szCs w:val="22"/>
          <w:lang w:val="fr-FR"/>
        </w:rPr>
        <w:t>fait remarquer qu</w:t>
      </w:r>
      <w:r w:rsidR="008E532B">
        <w:rPr>
          <w:rFonts w:ascii="Arial" w:hAnsi="Arial" w:cs="Arial"/>
          <w:bCs/>
          <w:sz w:val="22"/>
          <w:szCs w:val="22"/>
          <w:lang w:val="fr-FR"/>
        </w:rPr>
        <w:t>’</w:t>
      </w:r>
      <w:r w:rsidRPr="004A4126">
        <w:rPr>
          <w:rFonts w:ascii="Arial" w:hAnsi="Arial" w:cs="Arial"/>
          <w:bCs/>
          <w:sz w:val="22"/>
          <w:szCs w:val="22"/>
          <w:lang w:val="fr-FR"/>
        </w:rPr>
        <w:t>il a</w:t>
      </w:r>
      <w:r>
        <w:rPr>
          <w:rFonts w:ascii="Arial" w:hAnsi="Arial" w:cs="Arial"/>
          <w:bCs/>
          <w:sz w:val="22"/>
          <w:szCs w:val="22"/>
          <w:lang w:val="fr-FR"/>
        </w:rPr>
        <w:t>vait</w:t>
      </w:r>
      <w:r w:rsidRPr="004A4126">
        <w:rPr>
          <w:rFonts w:ascii="Arial" w:hAnsi="Arial" w:cs="Arial"/>
          <w:bCs/>
          <w:sz w:val="22"/>
          <w:szCs w:val="22"/>
          <w:lang w:val="fr-FR"/>
        </w:rPr>
        <w:t xml:space="preserve"> lu l</w:t>
      </w:r>
      <w:r w:rsidR="008E532B">
        <w:rPr>
          <w:rFonts w:ascii="Arial" w:hAnsi="Arial" w:cs="Arial"/>
          <w:bCs/>
          <w:sz w:val="22"/>
          <w:szCs w:val="22"/>
          <w:lang w:val="fr-FR"/>
        </w:rPr>
        <w:t>’</w:t>
      </w:r>
      <w:r w:rsidRPr="004A4126">
        <w:rPr>
          <w:rFonts w:ascii="Arial" w:hAnsi="Arial" w:cs="Arial"/>
          <w:bCs/>
          <w:sz w:val="22"/>
          <w:szCs w:val="22"/>
          <w:lang w:val="fr-FR"/>
        </w:rPr>
        <w:t>article 3.1 et non l</w:t>
      </w:r>
      <w:r w:rsidR="008E532B">
        <w:rPr>
          <w:rFonts w:ascii="Arial" w:hAnsi="Arial" w:cs="Arial"/>
          <w:bCs/>
          <w:sz w:val="22"/>
          <w:szCs w:val="22"/>
          <w:lang w:val="fr-FR"/>
        </w:rPr>
        <w:t>’</w:t>
      </w:r>
      <w:r w:rsidRPr="004A4126">
        <w:rPr>
          <w:rFonts w:ascii="Arial" w:hAnsi="Arial" w:cs="Arial"/>
          <w:bCs/>
          <w:sz w:val="22"/>
          <w:szCs w:val="22"/>
          <w:lang w:val="fr-FR"/>
        </w:rPr>
        <w:t xml:space="preserve">article 3.2 qui avait </w:t>
      </w:r>
      <w:r>
        <w:rPr>
          <w:rFonts w:ascii="Arial" w:hAnsi="Arial" w:cs="Arial"/>
          <w:bCs/>
          <w:sz w:val="22"/>
          <w:szCs w:val="22"/>
          <w:lang w:val="fr-FR"/>
        </w:rPr>
        <w:t>fait l</w:t>
      </w:r>
      <w:r w:rsidR="008E532B">
        <w:rPr>
          <w:rFonts w:ascii="Arial" w:hAnsi="Arial" w:cs="Arial"/>
          <w:bCs/>
          <w:sz w:val="22"/>
          <w:szCs w:val="22"/>
          <w:lang w:val="fr-FR"/>
        </w:rPr>
        <w:t>’</w:t>
      </w:r>
      <w:r>
        <w:rPr>
          <w:rFonts w:ascii="Arial" w:hAnsi="Arial" w:cs="Arial"/>
          <w:bCs/>
          <w:sz w:val="22"/>
          <w:szCs w:val="22"/>
          <w:lang w:val="fr-FR"/>
        </w:rPr>
        <w:t>objet de la</w:t>
      </w:r>
      <w:r w:rsidRPr="004A4126">
        <w:rPr>
          <w:rFonts w:ascii="Arial" w:hAnsi="Arial" w:cs="Arial"/>
          <w:bCs/>
          <w:sz w:val="22"/>
          <w:szCs w:val="22"/>
          <w:lang w:val="fr-FR"/>
        </w:rPr>
        <w:t xml:space="preserve"> demand</w:t>
      </w:r>
      <w:r>
        <w:rPr>
          <w:rFonts w:ascii="Arial" w:hAnsi="Arial" w:cs="Arial"/>
          <w:bCs/>
          <w:sz w:val="22"/>
          <w:szCs w:val="22"/>
          <w:lang w:val="fr-FR"/>
        </w:rPr>
        <w:t>e</w:t>
      </w:r>
      <w:r w:rsidRPr="004A4126">
        <w:rPr>
          <w:rFonts w:ascii="Arial" w:hAnsi="Arial" w:cs="Arial"/>
          <w:bCs/>
          <w:sz w:val="22"/>
          <w:szCs w:val="22"/>
          <w:lang w:val="fr-FR"/>
        </w:rPr>
        <w:t xml:space="preserve">. En outre, il </w:t>
      </w:r>
      <w:r>
        <w:rPr>
          <w:rFonts w:ascii="Arial" w:hAnsi="Arial" w:cs="Arial"/>
          <w:bCs/>
          <w:sz w:val="22"/>
          <w:szCs w:val="22"/>
          <w:lang w:val="fr-FR"/>
        </w:rPr>
        <w:t>était</w:t>
      </w:r>
      <w:r w:rsidRPr="004A4126">
        <w:rPr>
          <w:rFonts w:ascii="Arial" w:hAnsi="Arial" w:cs="Arial"/>
          <w:bCs/>
          <w:sz w:val="22"/>
          <w:szCs w:val="22"/>
          <w:lang w:val="fr-FR"/>
        </w:rPr>
        <w:t xml:space="preserve"> difficile de prendre une décision </w:t>
      </w:r>
      <w:r>
        <w:rPr>
          <w:rFonts w:ascii="Arial" w:hAnsi="Arial" w:cs="Arial"/>
          <w:bCs/>
          <w:sz w:val="22"/>
          <w:szCs w:val="22"/>
          <w:lang w:val="fr-FR"/>
        </w:rPr>
        <w:t xml:space="preserve">sur </w:t>
      </w:r>
      <w:r w:rsidRPr="004A4126">
        <w:rPr>
          <w:rFonts w:ascii="Arial" w:hAnsi="Arial" w:cs="Arial"/>
          <w:bCs/>
          <w:sz w:val="22"/>
          <w:szCs w:val="22"/>
          <w:lang w:val="fr-FR"/>
        </w:rPr>
        <w:t>les options lorsqu</w:t>
      </w:r>
      <w:r w:rsidR="008E532B">
        <w:rPr>
          <w:rFonts w:ascii="Arial" w:hAnsi="Arial" w:cs="Arial"/>
          <w:bCs/>
          <w:sz w:val="22"/>
          <w:szCs w:val="22"/>
          <w:lang w:val="fr-FR"/>
        </w:rPr>
        <w:t>’</w:t>
      </w:r>
      <w:r w:rsidRPr="004A4126">
        <w:rPr>
          <w:rFonts w:ascii="Arial" w:hAnsi="Arial" w:cs="Arial"/>
          <w:bCs/>
          <w:sz w:val="22"/>
          <w:szCs w:val="22"/>
          <w:lang w:val="fr-FR"/>
        </w:rPr>
        <w:t>elles n</w:t>
      </w:r>
      <w:r w:rsidR="008E532B">
        <w:rPr>
          <w:rFonts w:ascii="Arial" w:hAnsi="Arial" w:cs="Arial"/>
          <w:bCs/>
          <w:sz w:val="22"/>
          <w:szCs w:val="22"/>
          <w:lang w:val="fr-FR"/>
        </w:rPr>
        <w:t>’</w:t>
      </w:r>
      <w:r>
        <w:rPr>
          <w:rFonts w:ascii="Arial" w:hAnsi="Arial" w:cs="Arial"/>
          <w:bCs/>
          <w:sz w:val="22"/>
          <w:szCs w:val="22"/>
          <w:lang w:val="fr-FR"/>
        </w:rPr>
        <w:t xml:space="preserve">étaient </w:t>
      </w:r>
      <w:r w:rsidRPr="004A4126">
        <w:rPr>
          <w:rFonts w:ascii="Arial" w:hAnsi="Arial" w:cs="Arial"/>
          <w:bCs/>
          <w:sz w:val="22"/>
          <w:szCs w:val="22"/>
          <w:lang w:val="fr-FR"/>
        </w:rPr>
        <w:t>pas clairement affichées à l</w:t>
      </w:r>
      <w:r w:rsidR="008E532B">
        <w:rPr>
          <w:rFonts w:ascii="Arial" w:hAnsi="Arial" w:cs="Arial"/>
          <w:bCs/>
          <w:sz w:val="22"/>
          <w:szCs w:val="22"/>
          <w:lang w:val="fr-FR"/>
        </w:rPr>
        <w:t>’</w:t>
      </w:r>
      <w:r w:rsidRPr="004A4126">
        <w:rPr>
          <w:rFonts w:ascii="Arial" w:hAnsi="Arial" w:cs="Arial"/>
          <w:bCs/>
          <w:sz w:val="22"/>
          <w:szCs w:val="22"/>
          <w:lang w:val="fr-FR"/>
        </w:rPr>
        <w:t>écran.</w:t>
      </w:r>
    </w:p>
    <w:p w14:paraId="4DF4EEEE" w14:textId="1D615D3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A4126">
        <w:rPr>
          <w:rFonts w:ascii="Arial" w:hAnsi="Arial" w:cs="Arial"/>
          <w:bCs/>
          <w:sz w:val="22"/>
          <w:szCs w:val="22"/>
          <w:lang w:val="fr-FR"/>
        </w:rPr>
        <w:t xml:space="preserve">Le </w:t>
      </w:r>
      <w:r w:rsidRPr="004A4126">
        <w:rPr>
          <w:rFonts w:ascii="Arial" w:hAnsi="Arial" w:cs="Arial"/>
          <w:b/>
          <w:sz w:val="22"/>
          <w:szCs w:val="22"/>
          <w:lang w:val="fr-FR"/>
        </w:rPr>
        <w:t>Sous-Directeur général</w:t>
      </w:r>
      <w:r w:rsidRPr="004A4126">
        <w:rPr>
          <w:rFonts w:ascii="Arial" w:hAnsi="Arial" w:cs="Arial"/>
          <w:bCs/>
          <w:sz w:val="22"/>
          <w:szCs w:val="22"/>
          <w:lang w:val="fr-FR"/>
        </w:rPr>
        <w:t xml:space="preserve"> a répété que l</w:t>
      </w:r>
      <w:r w:rsidR="008E532B">
        <w:rPr>
          <w:rFonts w:ascii="Arial" w:hAnsi="Arial" w:cs="Arial"/>
          <w:bCs/>
          <w:sz w:val="22"/>
          <w:szCs w:val="22"/>
          <w:lang w:val="fr-FR"/>
        </w:rPr>
        <w:t>’</w:t>
      </w:r>
      <w:r w:rsidRPr="004A4126">
        <w:rPr>
          <w:rFonts w:ascii="Arial" w:hAnsi="Arial" w:cs="Arial"/>
          <w:bCs/>
          <w:sz w:val="22"/>
          <w:szCs w:val="22"/>
          <w:lang w:val="fr-FR"/>
        </w:rPr>
        <w:t>option 1 et l</w:t>
      </w:r>
      <w:r w:rsidR="008E532B">
        <w:rPr>
          <w:rFonts w:ascii="Arial" w:hAnsi="Arial" w:cs="Arial"/>
          <w:bCs/>
          <w:sz w:val="22"/>
          <w:szCs w:val="22"/>
          <w:lang w:val="fr-FR"/>
        </w:rPr>
        <w:t>’</w:t>
      </w:r>
      <w:r w:rsidRPr="004A4126">
        <w:rPr>
          <w:rFonts w:ascii="Arial" w:hAnsi="Arial" w:cs="Arial"/>
          <w:bCs/>
          <w:sz w:val="22"/>
          <w:szCs w:val="22"/>
          <w:lang w:val="fr-FR"/>
        </w:rPr>
        <w:t>option 2 étaient différentes, mais qu</w:t>
      </w:r>
      <w:r w:rsidR="008E532B">
        <w:rPr>
          <w:rFonts w:ascii="Arial" w:hAnsi="Arial" w:cs="Arial"/>
          <w:bCs/>
          <w:sz w:val="22"/>
          <w:szCs w:val="22"/>
          <w:lang w:val="fr-FR"/>
        </w:rPr>
        <w:t>’</w:t>
      </w:r>
      <w:r>
        <w:rPr>
          <w:rFonts w:ascii="Arial" w:hAnsi="Arial" w:cs="Arial"/>
          <w:bCs/>
          <w:sz w:val="22"/>
          <w:szCs w:val="22"/>
          <w:lang w:val="fr-FR"/>
        </w:rPr>
        <w:t>on était parvenu à un consensus sur</w:t>
      </w:r>
      <w:r w:rsidRPr="004A4126">
        <w:rPr>
          <w:rFonts w:ascii="Arial" w:hAnsi="Arial" w:cs="Arial"/>
          <w:bCs/>
          <w:sz w:val="22"/>
          <w:szCs w:val="22"/>
          <w:lang w:val="fr-FR"/>
        </w:rPr>
        <w:t xml:space="preserve"> l</w:t>
      </w:r>
      <w:r w:rsidR="008E532B">
        <w:rPr>
          <w:rFonts w:ascii="Arial" w:hAnsi="Arial" w:cs="Arial"/>
          <w:bCs/>
          <w:sz w:val="22"/>
          <w:szCs w:val="22"/>
          <w:lang w:val="fr-FR"/>
        </w:rPr>
        <w:t>’</w:t>
      </w:r>
      <w:r w:rsidRPr="004A4126">
        <w:rPr>
          <w:rFonts w:ascii="Arial" w:hAnsi="Arial" w:cs="Arial"/>
          <w:bCs/>
          <w:sz w:val="22"/>
          <w:szCs w:val="22"/>
          <w:lang w:val="fr-FR"/>
        </w:rPr>
        <w:t>option 3 et qu</w:t>
      </w:r>
      <w:r w:rsidR="008E532B">
        <w:rPr>
          <w:rFonts w:ascii="Arial" w:hAnsi="Arial" w:cs="Arial"/>
          <w:bCs/>
          <w:sz w:val="22"/>
          <w:szCs w:val="22"/>
          <w:lang w:val="fr-FR"/>
        </w:rPr>
        <w:t>’</w:t>
      </w:r>
      <w:r w:rsidRPr="004A4126">
        <w:rPr>
          <w:rFonts w:ascii="Arial" w:hAnsi="Arial" w:cs="Arial"/>
          <w:bCs/>
          <w:sz w:val="22"/>
          <w:szCs w:val="22"/>
          <w:lang w:val="fr-FR"/>
        </w:rPr>
        <w:t>il avait donc été décidé d</w:t>
      </w:r>
      <w:r w:rsidR="008E532B">
        <w:rPr>
          <w:rFonts w:ascii="Arial" w:hAnsi="Arial" w:cs="Arial"/>
          <w:bCs/>
          <w:sz w:val="22"/>
          <w:szCs w:val="22"/>
          <w:lang w:val="fr-FR"/>
        </w:rPr>
        <w:t>’</w:t>
      </w:r>
      <w:r w:rsidRPr="004A4126">
        <w:rPr>
          <w:rFonts w:ascii="Arial" w:hAnsi="Arial" w:cs="Arial"/>
          <w:bCs/>
          <w:sz w:val="22"/>
          <w:szCs w:val="22"/>
          <w:lang w:val="fr-FR"/>
        </w:rPr>
        <w:t>adopter cette option. Comme mentionné par le Liban, toutes les remarques ser</w:t>
      </w:r>
      <w:r>
        <w:rPr>
          <w:rFonts w:ascii="Arial" w:hAnsi="Arial" w:cs="Arial"/>
          <w:bCs/>
          <w:sz w:val="22"/>
          <w:szCs w:val="22"/>
          <w:lang w:val="fr-FR"/>
        </w:rPr>
        <w:t>aie</w:t>
      </w:r>
      <w:r w:rsidRPr="004A4126">
        <w:rPr>
          <w:rFonts w:ascii="Arial" w:hAnsi="Arial" w:cs="Arial"/>
          <w:bCs/>
          <w:sz w:val="22"/>
          <w:szCs w:val="22"/>
          <w:lang w:val="fr-FR"/>
        </w:rPr>
        <w:t xml:space="preserve">nt </w:t>
      </w:r>
      <w:r>
        <w:rPr>
          <w:rFonts w:ascii="Arial" w:hAnsi="Arial" w:cs="Arial"/>
          <w:bCs/>
          <w:sz w:val="22"/>
          <w:szCs w:val="22"/>
          <w:lang w:val="fr-FR"/>
        </w:rPr>
        <w:t>consignées</w:t>
      </w:r>
      <w:r w:rsidRPr="004A4126">
        <w:rPr>
          <w:rFonts w:ascii="Arial" w:hAnsi="Arial" w:cs="Arial"/>
          <w:bCs/>
          <w:sz w:val="22"/>
          <w:szCs w:val="22"/>
          <w:lang w:val="fr-FR"/>
        </w:rPr>
        <w:t xml:space="preserve"> dans le rapport oral.</w:t>
      </w:r>
    </w:p>
    <w:p w14:paraId="487EFCB3" w14:textId="37C33E68" w:rsidR="00D9653F" w:rsidRPr="004A412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A4126">
        <w:rPr>
          <w:rFonts w:ascii="Arial" w:hAnsi="Arial" w:cs="Arial"/>
          <w:bCs/>
          <w:sz w:val="22"/>
          <w:szCs w:val="22"/>
          <w:lang w:val="fr-FR"/>
        </w:rPr>
        <w:t xml:space="preserve">La délégation de la </w:t>
      </w:r>
      <w:r w:rsidRPr="004A4126">
        <w:rPr>
          <w:rFonts w:ascii="Arial" w:hAnsi="Arial" w:cs="Arial"/>
          <w:b/>
          <w:sz w:val="22"/>
          <w:szCs w:val="22"/>
          <w:lang w:val="fr-FR"/>
        </w:rPr>
        <w:t>Palestine</w:t>
      </w:r>
      <w:r w:rsidRPr="004A4126">
        <w:rPr>
          <w:rFonts w:ascii="Arial" w:hAnsi="Arial" w:cs="Arial"/>
          <w:bCs/>
          <w:sz w:val="22"/>
          <w:szCs w:val="22"/>
          <w:lang w:val="fr-FR"/>
        </w:rPr>
        <w:t xml:space="preserve"> a </w:t>
      </w:r>
      <w:r>
        <w:rPr>
          <w:rFonts w:ascii="Arial" w:hAnsi="Arial" w:cs="Arial"/>
          <w:bCs/>
          <w:sz w:val="22"/>
          <w:szCs w:val="22"/>
          <w:lang w:val="fr-FR"/>
        </w:rPr>
        <w:t xml:space="preserve">souscrit à </w:t>
      </w:r>
      <w:r w:rsidRPr="004A4126">
        <w:rPr>
          <w:rFonts w:ascii="Arial" w:hAnsi="Arial" w:cs="Arial"/>
          <w:bCs/>
          <w:sz w:val="22"/>
          <w:szCs w:val="22"/>
          <w:lang w:val="fr-FR"/>
        </w:rPr>
        <w:t>l</w:t>
      </w:r>
      <w:r w:rsidR="008E532B">
        <w:rPr>
          <w:rFonts w:ascii="Arial" w:hAnsi="Arial" w:cs="Arial"/>
          <w:bCs/>
          <w:sz w:val="22"/>
          <w:szCs w:val="22"/>
          <w:lang w:val="fr-FR"/>
        </w:rPr>
        <w:t>’</w:t>
      </w:r>
      <w:r w:rsidRPr="004A4126">
        <w:rPr>
          <w:rFonts w:ascii="Arial" w:hAnsi="Arial" w:cs="Arial"/>
          <w:bCs/>
          <w:sz w:val="22"/>
          <w:szCs w:val="22"/>
          <w:lang w:val="fr-FR"/>
        </w:rPr>
        <w:t xml:space="preserve">explication </w:t>
      </w:r>
      <w:r>
        <w:rPr>
          <w:rFonts w:ascii="Arial" w:hAnsi="Arial" w:cs="Arial"/>
          <w:bCs/>
          <w:sz w:val="22"/>
          <w:szCs w:val="22"/>
          <w:lang w:val="fr-FR"/>
        </w:rPr>
        <w:t xml:space="preserve">donnée </w:t>
      </w:r>
      <w:r w:rsidRPr="004A4126">
        <w:rPr>
          <w:rFonts w:ascii="Arial" w:hAnsi="Arial" w:cs="Arial"/>
          <w:bCs/>
          <w:sz w:val="22"/>
          <w:szCs w:val="22"/>
          <w:lang w:val="fr-FR"/>
        </w:rPr>
        <w:t xml:space="preserve">par le Sous-Directeur général. Elle </w:t>
      </w:r>
      <w:r>
        <w:rPr>
          <w:rFonts w:ascii="Arial" w:hAnsi="Arial" w:cs="Arial"/>
          <w:bCs/>
          <w:sz w:val="22"/>
          <w:szCs w:val="22"/>
          <w:lang w:val="fr-FR"/>
        </w:rPr>
        <w:t xml:space="preserve">soutenait </w:t>
      </w:r>
      <w:r w:rsidRPr="004A4126">
        <w:rPr>
          <w:rFonts w:ascii="Arial" w:hAnsi="Arial" w:cs="Arial"/>
          <w:bCs/>
          <w:sz w:val="22"/>
          <w:szCs w:val="22"/>
          <w:lang w:val="fr-FR"/>
        </w:rPr>
        <w:t>également pleinement la proposition de l</w:t>
      </w:r>
      <w:r w:rsidR="008E532B">
        <w:rPr>
          <w:rFonts w:ascii="Arial" w:hAnsi="Arial" w:cs="Arial"/>
          <w:bCs/>
          <w:sz w:val="22"/>
          <w:szCs w:val="22"/>
          <w:lang w:val="fr-FR"/>
        </w:rPr>
        <w:t>’</w:t>
      </w:r>
      <w:r w:rsidRPr="004A4126">
        <w:rPr>
          <w:rFonts w:ascii="Arial" w:hAnsi="Arial" w:cs="Arial"/>
          <w:bCs/>
          <w:sz w:val="22"/>
          <w:szCs w:val="22"/>
          <w:lang w:val="fr-FR"/>
        </w:rPr>
        <w:t>Éthiopie et des Pays</w:t>
      </w:r>
      <w:r>
        <w:rPr>
          <w:rFonts w:ascii="Arial" w:hAnsi="Arial" w:cs="Arial"/>
          <w:bCs/>
          <w:sz w:val="22"/>
          <w:szCs w:val="22"/>
          <w:lang w:val="fr-FR"/>
        </w:rPr>
        <w:noBreakHyphen/>
      </w:r>
      <w:r w:rsidRPr="004A4126">
        <w:rPr>
          <w:rFonts w:ascii="Arial" w:hAnsi="Arial" w:cs="Arial"/>
          <w:bCs/>
          <w:sz w:val="22"/>
          <w:szCs w:val="22"/>
          <w:lang w:val="fr-FR"/>
        </w:rPr>
        <w:t xml:space="preserve">Bas, </w:t>
      </w:r>
      <w:r w:rsidRPr="004A4126">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w:t>
      </w:r>
      <w:r w:rsidRPr="004A4126">
        <w:rPr>
          <w:rFonts w:ascii="Arial" w:hAnsi="Arial" w:cs="Arial"/>
          <w:bCs/>
          <w:sz w:val="22"/>
          <w:szCs w:val="22"/>
          <w:lang w:val="fr-FR"/>
        </w:rPr>
        <w:t>soutenue par d</w:t>
      </w:r>
      <w:r w:rsidR="008E532B">
        <w:rPr>
          <w:rFonts w:ascii="Arial" w:hAnsi="Arial" w:cs="Arial"/>
          <w:bCs/>
          <w:sz w:val="22"/>
          <w:szCs w:val="22"/>
          <w:lang w:val="fr-FR"/>
        </w:rPr>
        <w:t>’</w:t>
      </w:r>
      <w:r w:rsidRPr="004A4126">
        <w:rPr>
          <w:rFonts w:ascii="Arial" w:hAnsi="Arial" w:cs="Arial"/>
          <w:bCs/>
          <w:sz w:val="22"/>
          <w:szCs w:val="22"/>
          <w:lang w:val="fr-FR"/>
        </w:rPr>
        <w:t>autres. La délégation compren</w:t>
      </w:r>
      <w:r>
        <w:rPr>
          <w:rFonts w:ascii="Arial" w:hAnsi="Arial" w:cs="Arial"/>
          <w:bCs/>
          <w:sz w:val="22"/>
          <w:szCs w:val="22"/>
          <w:lang w:val="fr-FR"/>
        </w:rPr>
        <w:t>ait</w:t>
      </w:r>
      <w:r w:rsidRPr="004A4126">
        <w:rPr>
          <w:rFonts w:ascii="Arial" w:hAnsi="Arial" w:cs="Arial"/>
          <w:bCs/>
          <w:sz w:val="22"/>
          <w:szCs w:val="22"/>
          <w:lang w:val="fr-FR"/>
        </w:rPr>
        <w:t xml:space="preserve"> parfaitement la préoccupation de la Pologne, mais la pratique v</w:t>
      </w:r>
      <w:r>
        <w:rPr>
          <w:rFonts w:ascii="Arial" w:hAnsi="Arial" w:cs="Arial"/>
          <w:bCs/>
          <w:sz w:val="22"/>
          <w:szCs w:val="22"/>
          <w:lang w:val="fr-FR"/>
        </w:rPr>
        <w:t>oulait</w:t>
      </w:r>
      <w:r w:rsidRPr="004A4126">
        <w:rPr>
          <w:rFonts w:ascii="Arial" w:hAnsi="Arial" w:cs="Arial"/>
          <w:bCs/>
          <w:sz w:val="22"/>
          <w:szCs w:val="22"/>
          <w:lang w:val="fr-FR"/>
        </w:rPr>
        <w:t xml:space="preserve"> que </w:t>
      </w:r>
      <w:r>
        <w:rPr>
          <w:rFonts w:ascii="Arial" w:hAnsi="Arial" w:cs="Arial"/>
          <w:bCs/>
          <w:sz w:val="22"/>
          <w:szCs w:val="22"/>
          <w:lang w:val="fr-FR"/>
        </w:rPr>
        <w:t xml:space="preserve">le/la Directeur/Directrice général(e) </w:t>
      </w:r>
      <w:r w:rsidRPr="004A4126">
        <w:rPr>
          <w:rFonts w:ascii="Arial" w:hAnsi="Arial" w:cs="Arial"/>
          <w:bCs/>
          <w:sz w:val="22"/>
          <w:szCs w:val="22"/>
          <w:lang w:val="fr-FR"/>
        </w:rPr>
        <w:t>puisse inviter d</w:t>
      </w:r>
      <w:r w:rsidR="008E532B">
        <w:rPr>
          <w:rFonts w:ascii="Arial" w:hAnsi="Arial" w:cs="Arial"/>
          <w:bCs/>
          <w:sz w:val="22"/>
          <w:szCs w:val="22"/>
          <w:lang w:val="fr-FR"/>
        </w:rPr>
        <w:t>’</w:t>
      </w:r>
      <w:r w:rsidRPr="004A4126">
        <w:rPr>
          <w:rFonts w:ascii="Arial" w:hAnsi="Arial" w:cs="Arial"/>
          <w:bCs/>
          <w:sz w:val="22"/>
          <w:szCs w:val="22"/>
          <w:lang w:val="fr-FR"/>
        </w:rPr>
        <w:t>autres observateurs. Il n</w:t>
      </w:r>
      <w:r w:rsidR="008E532B">
        <w:rPr>
          <w:rFonts w:ascii="Arial" w:hAnsi="Arial" w:cs="Arial"/>
          <w:bCs/>
          <w:sz w:val="22"/>
          <w:szCs w:val="22"/>
          <w:lang w:val="fr-FR"/>
        </w:rPr>
        <w:t>’</w:t>
      </w:r>
      <w:r w:rsidRPr="004A4126">
        <w:rPr>
          <w:rFonts w:ascii="Arial" w:hAnsi="Arial" w:cs="Arial"/>
          <w:bCs/>
          <w:sz w:val="22"/>
          <w:szCs w:val="22"/>
          <w:lang w:val="fr-FR"/>
        </w:rPr>
        <w:t xml:space="preserve">y avait aucun obstacle à cette pratique. La deuxième demande, </w:t>
      </w:r>
      <w:r>
        <w:rPr>
          <w:rFonts w:ascii="Arial" w:hAnsi="Arial" w:cs="Arial"/>
          <w:bCs/>
          <w:sz w:val="22"/>
          <w:szCs w:val="22"/>
          <w:lang w:val="fr-FR"/>
        </w:rPr>
        <w:t>à la</w:t>
      </w:r>
      <w:r w:rsidRPr="004A4126">
        <w:rPr>
          <w:rFonts w:ascii="Arial" w:hAnsi="Arial" w:cs="Arial"/>
          <w:bCs/>
          <w:sz w:val="22"/>
          <w:szCs w:val="22"/>
          <w:lang w:val="fr-FR"/>
        </w:rPr>
        <w:t>que</w:t>
      </w:r>
      <w:r>
        <w:rPr>
          <w:rFonts w:ascii="Arial" w:hAnsi="Arial" w:cs="Arial"/>
          <w:bCs/>
          <w:sz w:val="22"/>
          <w:szCs w:val="22"/>
          <w:lang w:val="fr-FR"/>
        </w:rPr>
        <w:t>lle</w:t>
      </w:r>
      <w:r w:rsidRPr="004A4126">
        <w:rPr>
          <w:rFonts w:ascii="Arial" w:hAnsi="Arial" w:cs="Arial"/>
          <w:bCs/>
          <w:sz w:val="22"/>
          <w:szCs w:val="22"/>
          <w:lang w:val="fr-FR"/>
        </w:rPr>
        <w:t xml:space="preserve"> la délégation </w:t>
      </w:r>
      <w:r>
        <w:rPr>
          <w:rFonts w:ascii="Arial" w:hAnsi="Arial" w:cs="Arial"/>
          <w:bCs/>
          <w:sz w:val="22"/>
          <w:szCs w:val="22"/>
          <w:lang w:val="fr-FR"/>
        </w:rPr>
        <w:t xml:space="preserve">souscrivait </w:t>
      </w:r>
      <w:r w:rsidRPr="004A4126">
        <w:rPr>
          <w:rFonts w:ascii="Arial" w:hAnsi="Arial" w:cs="Arial"/>
          <w:bCs/>
          <w:sz w:val="22"/>
          <w:szCs w:val="22"/>
          <w:lang w:val="fr-FR"/>
        </w:rPr>
        <w:t xml:space="preserve">également, était que toutes ces préoccupations soient </w:t>
      </w:r>
      <w:r>
        <w:rPr>
          <w:rFonts w:ascii="Arial" w:hAnsi="Arial" w:cs="Arial"/>
          <w:bCs/>
          <w:sz w:val="22"/>
          <w:szCs w:val="22"/>
          <w:lang w:val="fr-FR"/>
        </w:rPr>
        <w:t xml:space="preserve">consignées </w:t>
      </w:r>
      <w:r w:rsidRPr="004A4126">
        <w:rPr>
          <w:rFonts w:ascii="Arial" w:hAnsi="Arial" w:cs="Arial"/>
          <w:bCs/>
          <w:sz w:val="22"/>
          <w:szCs w:val="22"/>
          <w:lang w:val="fr-FR"/>
        </w:rPr>
        <w:t>dans le rapport oral. En outre, il s</w:t>
      </w:r>
      <w:r w:rsidR="008E532B">
        <w:rPr>
          <w:rFonts w:ascii="Arial" w:hAnsi="Arial" w:cs="Arial"/>
          <w:bCs/>
          <w:sz w:val="22"/>
          <w:szCs w:val="22"/>
          <w:lang w:val="fr-FR"/>
        </w:rPr>
        <w:t>’</w:t>
      </w:r>
      <w:r w:rsidRPr="004A4126">
        <w:rPr>
          <w:rFonts w:ascii="Arial" w:hAnsi="Arial" w:cs="Arial"/>
          <w:bCs/>
          <w:sz w:val="22"/>
          <w:szCs w:val="22"/>
          <w:lang w:val="fr-FR"/>
        </w:rPr>
        <w:t>agissait d</w:t>
      </w:r>
      <w:r w:rsidR="008E532B">
        <w:rPr>
          <w:rFonts w:ascii="Arial" w:hAnsi="Arial" w:cs="Arial"/>
          <w:bCs/>
          <w:sz w:val="22"/>
          <w:szCs w:val="22"/>
          <w:lang w:val="fr-FR"/>
        </w:rPr>
        <w:t>’</w:t>
      </w:r>
      <w:r w:rsidRPr="004A4126">
        <w:rPr>
          <w:rFonts w:ascii="Arial" w:hAnsi="Arial" w:cs="Arial"/>
          <w:bCs/>
          <w:sz w:val="22"/>
          <w:szCs w:val="22"/>
          <w:lang w:val="fr-FR"/>
        </w:rPr>
        <w:t xml:space="preserve">un exercice </w:t>
      </w:r>
      <w:r>
        <w:rPr>
          <w:rFonts w:ascii="Arial" w:hAnsi="Arial" w:cs="Arial"/>
          <w:bCs/>
          <w:sz w:val="22"/>
          <w:szCs w:val="22"/>
          <w:lang w:val="fr-FR"/>
        </w:rPr>
        <w:t xml:space="preserve">en </w:t>
      </w:r>
      <w:r w:rsidRPr="004A4126">
        <w:rPr>
          <w:rFonts w:ascii="Arial" w:hAnsi="Arial" w:cs="Arial"/>
          <w:bCs/>
          <w:sz w:val="22"/>
          <w:szCs w:val="22"/>
          <w:lang w:val="fr-FR"/>
        </w:rPr>
        <w:t>continu et les États parties pouvaient modifier tout article à l</w:t>
      </w:r>
      <w:r w:rsidR="008E532B">
        <w:rPr>
          <w:rFonts w:ascii="Arial" w:hAnsi="Arial" w:cs="Arial"/>
          <w:bCs/>
          <w:sz w:val="22"/>
          <w:szCs w:val="22"/>
          <w:lang w:val="fr-FR"/>
        </w:rPr>
        <w:t>’</w:t>
      </w:r>
      <w:r w:rsidRPr="004A4126">
        <w:rPr>
          <w:rFonts w:ascii="Arial" w:hAnsi="Arial" w:cs="Arial"/>
          <w:bCs/>
          <w:sz w:val="22"/>
          <w:szCs w:val="22"/>
          <w:lang w:val="fr-FR"/>
        </w:rPr>
        <w:t>avenir s</w:t>
      </w:r>
      <w:r w:rsidR="008E532B">
        <w:rPr>
          <w:rFonts w:ascii="Arial" w:hAnsi="Arial" w:cs="Arial"/>
          <w:bCs/>
          <w:sz w:val="22"/>
          <w:szCs w:val="22"/>
          <w:lang w:val="fr-FR"/>
        </w:rPr>
        <w:t>’</w:t>
      </w:r>
      <w:r w:rsidRPr="004A4126">
        <w:rPr>
          <w:rFonts w:ascii="Arial" w:hAnsi="Arial" w:cs="Arial"/>
          <w:bCs/>
          <w:sz w:val="22"/>
          <w:szCs w:val="22"/>
          <w:lang w:val="fr-FR"/>
        </w:rPr>
        <w:t>ils le jugeaient nécessaire. Pour l</w:t>
      </w:r>
      <w:r w:rsidR="008E532B">
        <w:rPr>
          <w:rFonts w:ascii="Arial" w:hAnsi="Arial" w:cs="Arial"/>
          <w:bCs/>
          <w:sz w:val="22"/>
          <w:szCs w:val="22"/>
          <w:lang w:val="fr-FR"/>
        </w:rPr>
        <w:t>’</w:t>
      </w:r>
      <w:r w:rsidRPr="004A4126">
        <w:rPr>
          <w:rFonts w:ascii="Arial" w:hAnsi="Arial" w:cs="Arial"/>
          <w:bCs/>
          <w:sz w:val="22"/>
          <w:szCs w:val="22"/>
          <w:lang w:val="fr-FR"/>
        </w:rPr>
        <w:t>instant, l</w:t>
      </w:r>
      <w:r w:rsidR="008E532B">
        <w:rPr>
          <w:rFonts w:ascii="Arial" w:hAnsi="Arial" w:cs="Arial"/>
          <w:bCs/>
          <w:sz w:val="22"/>
          <w:szCs w:val="22"/>
          <w:lang w:val="fr-FR"/>
        </w:rPr>
        <w:t>’</w:t>
      </w:r>
      <w:r w:rsidRPr="004A4126">
        <w:rPr>
          <w:rFonts w:ascii="Arial" w:hAnsi="Arial" w:cs="Arial"/>
          <w:bCs/>
          <w:sz w:val="22"/>
          <w:szCs w:val="22"/>
          <w:lang w:val="fr-FR"/>
        </w:rPr>
        <w:t>option 3 couvrait toutes les préoccupations.</w:t>
      </w:r>
    </w:p>
    <w:p w14:paraId="4AB12981" w14:textId="23600F2D" w:rsidR="00D9653F" w:rsidRPr="008C2E74"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8C2E74">
        <w:rPr>
          <w:rFonts w:ascii="Arial" w:hAnsi="Arial" w:cs="Arial"/>
          <w:b/>
          <w:sz w:val="22"/>
          <w:szCs w:val="22"/>
          <w:lang w:val="fr-FR"/>
        </w:rPr>
        <w:t>Présidente</w:t>
      </w:r>
      <w:r>
        <w:rPr>
          <w:rFonts w:ascii="Arial" w:hAnsi="Arial" w:cs="Arial"/>
          <w:bCs/>
          <w:sz w:val="22"/>
          <w:szCs w:val="22"/>
          <w:lang w:val="fr-FR"/>
        </w:rPr>
        <w:t xml:space="preserve"> a noté qu</w:t>
      </w:r>
      <w:r w:rsidR="008E532B">
        <w:rPr>
          <w:rFonts w:ascii="Arial" w:hAnsi="Arial" w:cs="Arial"/>
          <w:bCs/>
          <w:sz w:val="22"/>
          <w:szCs w:val="22"/>
          <w:lang w:val="fr-FR"/>
        </w:rPr>
        <w:t>’</w:t>
      </w:r>
      <w:r>
        <w:rPr>
          <w:rFonts w:ascii="Arial" w:hAnsi="Arial" w:cs="Arial"/>
          <w:bCs/>
          <w:sz w:val="22"/>
          <w:szCs w:val="22"/>
          <w:lang w:val="fr-FR"/>
        </w:rPr>
        <w:t>il n</w:t>
      </w:r>
      <w:r w:rsidR="008E532B">
        <w:rPr>
          <w:rFonts w:ascii="Arial" w:hAnsi="Arial" w:cs="Arial"/>
          <w:bCs/>
          <w:sz w:val="22"/>
          <w:szCs w:val="22"/>
          <w:lang w:val="fr-FR"/>
        </w:rPr>
        <w:t>’</w:t>
      </w:r>
      <w:r>
        <w:rPr>
          <w:rFonts w:ascii="Arial" w:hAnsi="Arial" w:cs="Arial"/>
          <w:bCs/>
          <w:sz w:val="22"/>
          <w:szCs w:val="22"/>
          <w:lang w:val="fr-FR"/>
        </w:rPr>
        <w:t>y avait pas d</w:t>
      </w:r>
      <w:r w:rsidR="008E532B">
        <w:rPr>
          <w:rFonts w:ascii="Arial" w:hAnsi="Arial" w:cs="Arial"/>
          <w:bCs/>
          <w:sz w:val="22"/>
          <w:szCs w:val="22"/>
          <w:lang w:val="fr-FR"/>
        </w:rPr>
        <w:t>’</w:t>
      </w:r>
      <w:r w:rsidRPr="008C2E74">
        <w:rPr>
          <w:rFonts w:ascii="Arial" w:hAnsi="Arial" w:cs="Arial"/>
          <w:bCs/>
          <w:sz w:val="22"/>
          <w:szCs w:val="22"/>
          <w:lang w:val="fr-FR"/>
        </w:rPr>
        <w:t>objections</w:t>
      </w:r>
      <w:r>
        <w:rPr>
          <w:rFonts w:ascii="Arial" w:hAnsi="Arial" w:cs="Arial"/>
          <w:bCs/>
          <w:sz w:val="22"/>
          <w:szCs w:val="22"/>
          <w:lang w:val="fr-FR"/>
        </w:rPr>
        <w:t xml:space="preserve"> aux remarques de la Palestine. Elle est donc passée à l</w:t>
      </w:r>
      <w:r w:rsidR="008E532B">
        <w:rPr>
          <w:rFonts w:ascii="Arial" w:hAnsi="Arial" w:cs="Arial"/>
          <w:bCs/>
          <w:sz w:val="22"/>
          <w:szCs w:val="22"/>
          <w:lang w:val="fr-FR"/>
        </w:rPr>
        <w:t>’</w:t>
      </w:r>
      <w:r w:rsidRPr="008C2E74">
        <w:rPr>
          <w:rFonts w:ascii="Arial" w:hAnsi="Arial" w:cs="Arial"/>
          <w:bCs/>
          <w:sz w:val="22"/>
          <w:szCs w:val="22"/>
          <w:lang w:val="fr-FR"/>
        </w:rPr>
        <w:t>article</w:t>
      </w:r>
      <w:r>
        <w:rPr>
          <w:rFonts w:ascii="Arial" w:hAnsi="Arial" w:cs="Arial"/>
          <w:bCs/>
          <w:sz w:val="22"/>
          <w:szCs w:val="22"/>
          <w:lang w:val="fr-FR"/>
        </w:rPr>
        <w:t xml:space="preserve"> 6.1.</w:t>
      </w:r>
    </w:p>
    <w:p w14:paraId="099228D6" w14:textId="6C1F5836"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C2E74">
        <w:rPr>
          <w:rFonts w:ascii="Arial" w:hAnsi="Arial" w:cs="Arial"/>
          <w:bCs/>
          <w:sz w:val="22"/>
          <w:szCs w:val="22"/>
          <w:lang w:val="fr-FR"/>
        </w:rPr>
        <w:t xml:space="preserve">Le </w:t>
      </w:r>
      <w:r w:rsidRPr="008C2E74">
        <w:rPr>
          <w:rFonts w:ascii="Arial" w:hAnsi="Arial" w:cs="Arial"/>
          <w:b/>
          <w:sz w:val="22"/>
          <w:szCs w:val="22"/>
          <w:lang w:val="fr-FR"/>
        </w:rPr>
        <w:t>Sous-Directeur général</w:t>
      </w:r>
      <w:r w:rsidRPr="008C2E74">
        <w:rPr>
          <w:rFonts w:ascii="Arial" w:hAnsi="Arial" w:cs="Arial"/>
          <w:bCs/>
          <w:sz w:val="22"/>
          <w:szCs w:val="22"/>
          <w:lang w:val="fr-FR"/>
        </w:rPr>
        <w:t xml:space="preserve"> </w:t>
      </w:r>
      <w:r>
        <w:rPr>
          <w:rFonts w:ascii="Arial" w:hAnsi="Arial" w:cs="Arial"/>
          <w:bCs/>
          <w:sz w:val="22"/>
          <w:szCs w:val="22"/>
          <w:lang w:val="fr-FR"/>
        </w:rPr>
        <w:t xml:space="preserve">a </w:t>
      </w:r>
      <w:r w:rsidRPr="008C2E74">
        <w:rPr>
          <w:rFonts w:ascii="Arial" w:hAnsi="Arial" w:cs="Arial"/>
          <w:bCs/>
          <w:sz w:val="22"/>
          <w:szCs w:val="22"/>
          <w:lang w:val="fr-FR"/>
        </w:rPr>
        <w:t>expliqu</w:t>
      </w:r>
      <w:r>
        <w:rPr>
          <w:rFonts w:ascii="Arial" w:hAnsi="Arial" w:cs="Arial"/>
          <w:bCs/>
          <w:sz w:val="22"/>
          <w:szCs w:val="22"/>
          <w:lang w:val="fr-FR"/>
        </w:rPr>
        <w:t>é</w:t>
      </w:r>
      <w:r w:rsidRPr="008C2E74">
        <w:rPr>
          <w:rFonts w:ascii="Arial" w:hAnsi="Arial" w:cs="Arial"/>
          <w:bCs/>
          <w:sz w:val="22"/>
          <w:szCs w:val="22"/>
          <w:lang w:val="fr-FR"/>
        </w:rPr>
        <w:t xml:space="preserve"> que le deuxième point concern</w:t>
      </w:r>
      <w:r>
        <w:rPr>
          <w:rFonts w:ascii="Arial" w:hAnsi="Arial" w:cs="Arial"/>
          <w:bCs/>
          <w:sz w:val="22"/>
          <w:szCs w:val="22"/>
          <w:lang w:val="fr-FR"/>
        </w:rPr>
        <w:t>ait</w:t>
      </w:r>
      <w:r w:rsidRPr="008C2E74">
        <w:rPr>
          <w:rFonts w:ascii="Arial" w:hAnsi="Arial" w:cs="Arial"/>
          <w:bCs/>
          <w:sz w:val="22"/>
          <w:szCs w:val="22"/>
          <w:lang w:val="fr-FR"/>
        </w:rPr>
        <w:t xml:space="preserve"> l</w:t>
      </w:r>
      <w:r w:rsidR="008E532B">
        <w:rPr>
          <w:rFonts w:ascii="Arial" w:hAnsi="Arial" w:cs="Arial"/>
          <w:bCs/>
          <w:sz w:val="22"/>
          <w:szCs w:val="22"/>
          <w:lang w:val="fr-FR"/>
        </w:rPr>
        <w:t>’</w:t>
      </w:r>
      <w:r w:rsidRPr="008C2E74">
        <w:rPr>
          <w:rFonts w:ascii="Arial" w:hAnsi="Arial" w:cs="Arial"/>
          <w:bCs/>
          <w:sz w:val="22"/>
          <w:szCs w:val="22"/>
          <w:lang w:val="fr-FR"/>
        </w:rPr>
        <w:t>article 6 et s</w:t>
      </w:r>
      <w:r>
        <w:rPr>
          <w:rFonts w:ascii="Arial" w:hAnsi="Arial" w:cs="Arial"/>
          <w:bCs/>
          <w:sz w:val="22"/>
          <w:szCs w:val="22"/>
          <w:lang w:val="fr-FR"/>
        </w:rPr>
        <w:t>on aspect « </w:t>
      </w:r>
      <w:r w:rsidRPr="008C2E74">
        <w:rPr>
          <w:rFonts w:ascii="Arial" w:hAnsi="Arial" w:cs="Arial"/>
          <w:bCs/>
          <w:sz w:val="22"/>
          <w:szCs w:val="22"/>
          <w:lang w:val="fr-FR"/>
        </w:rPr>
        <w:t>en ligne</w:t>
      </w:r>
      <w:r>
        <w:rPr>
          <w:rFonts w:ascii="Arial" w:hAnsi="Arial" w:cs="Arial"/>
          <w:bCs/>
          <w:sz w:val="22"/>
          <w:szCs w:val="22"/>
          <w:lang w:val="fr-FR"/>
        </w:rPr>
        <w:t> »</w:t>
      </w:r>
      <w:r w:rsidRPr="008C2E74">
        <w:rPr>
          <w:rFonts w:ascii="Arial" w:hAnsi="Arial" w:cs="Arial"/>
          <w:bCs/>
          <w:sz w:val="22"/>
          <w:szCs w:val="22"/>
          <w:lang w:val="fr-FR"/>
        </w:rPr>
        <w:t>. L</w:t>
      </w:r>
      <w:r w:rsidR="008E532B">
        <w:rPr>
          <w:rFonts w:ascii="Arial" w:hAnsi="Arial" w:cs="Arial"/>
          <w:bCs/>
          <w:sz w:val="22"/>
          <w:szCs w:val="22"/>
          <w:lang w:val="fr-FR"/>
        </w:rPr>
        <w:t>’</w:t>
      </w:r>
      <w:r w:rsidRPr="008C2E74">
        <w:rPr>
          <w:rFonts w:ascii="Arial" w:hAnsi="Arial" w:cs="Arial"/>
          <w:bCs/>
          <w:sz w:val="22"/>
          <w:szCs w:val="22"/>
          <w:lang w:val="fr-FR"/>
        </w:rPr>
        <w:t>article 6.1 ne pos</w:t>
      </w:r>
      <w:r>
        <w:rPr>
          <w:rFonts w:ascii="Arial" w:hAnsi="Arial" w:cs="Arial"/>
          <w:bCs/>
          <w:sz w:val="22"/>
          <w:szCs w:val="22"/>
          <w:lang w:val="fr-FR"/>
        </w:rPr>
        <w:t>ait</w:t>
      </w:r>
      <w:r w:rsidRPr="008C2E74">
        <w:rPr>
          <w:rFonts w:ascii="Arial" w:hAnsi="Arial" w:cs="Arial"/>
          <w:bCs/>
          <w:sz w:val="22"/>
          <w:szCs w:val="22"/>
          <w:lang w:val="fr-FR"/>
        </w:rPr>
        <w:t xml:space="preserve"> pas de problème, mais l</w:t>
      </w:r>
      <w:r w:rsidR="008E532B">
        <w:rPr>
          <w:rFonts w:ascii="Arial" w:hAnsi="Arial" w:cs="Arial"/>
          <w:bCs/>
          <w:sz w:val="22"/>
          <w:szCs w:val="22"/>
          <w:lang w:val="fr-FR"/>
        </w:rPr>
        <w:t>’</w:t>
      </w:r>
      <w:r w:rsidRPr="008C2E74">
        <w:rPr>
          <w:rFonts w:ascii="Arial" w:hAnsi="Arial" w:cs="Arial"/>
          <w:bCs/>
          <w:sz w:val="22"/>
          <w:szCs w:val="22"/>
          <w:lang w:val="fr-FR"/>
        </w:rPr>
        <w:t>article 6.2 soul</w:t>
      </w:r>
      <w:r>
        <w:rPr>
          <w:rFonts w:ascii="Arial" w:hAnsi="Arial" w:cs="Arial"/>
          <w:bCs/>
          <w:sz w:val="22"/>
          <w:szCs w:val="22"/>
          <w:lang w:val="fr-FR"/>
        </w:rPr>
        <w:t>evait</w:t>
      </w:r>
      <w:r w:rsidRPr="008C2E74">
        <w:rPr>
          <w:rFonts w:ascii="Arial" w:hAnsi="Arial" w:cs="Arial"/>
          <w:bCs/>
          <w:sz w:val="22"/>
          <w:szCs w:val="22"/>
          <w:lang w:val="fr-FR"/>
        </w:rPr>
        <w:t xml:space="preserve"> la question [de la France] d</w:t>
      </w:r>
      <w:r>
        <w:rPr>
          <w:rFonts w:ascii="Arial" w:hAnsi="Arial" w:cs="Arial"/>
          <w:bCs/>
          <w:sz w:val="22"/>
          <w:szCs w:val="22"/>
          <w:lang w:val="fr-FR"/>
        </w:rPr>
        <w:t>u</w:t>
      </w:r>
      <w:r w:rsidRPr="008C2E74">
        <w:rPr>
          <w:rFonts w:ascii="Arial" w:hAnsi="Arial" w:cs="Arial"/>
          <w:bCs/>
          <w:sz w:val="22"/>
          <w:szCs w:val="22"/>
          <w:lang w:val="fr-FR"/>
        </w:rPr>
        <w:t xml:space="preserve"> vote </w:t>
      </w:r>
      <w:r>
        <w:rPr>
          <w:rFonts w:ascii="Arial" w:hAnsi="Arial" w:cs="Arial"/>
          <w:bCs/>
          <w:sz w:val="22"/>
          <w:szCs w:val="22"/>
          <w:lang w:val="fr-FR"/>
        </w:rPr>
        <w:t xml:space="preserve">qui </w:t>
      </w:r>
      <w:r w:rsidRPr="008C2E74">
        <w:rPr>
          <w:rFonts w:ascii="Arial" w:hAnsi="Arial" w:cs="Arial"/>
          <w:bCs/>
          <w:sz w:val="22"/>
          <w:szCs w:val="22"/>
          <w:lang w:val="fr-FR"/>
        </w:rPr>
        <w:t xml:space="preserve">ne </w:t>
      </w:r>
      <w:r>
        <w:rPr>
          <w:rFonts w:ascii="Arial" w:hAnsi="Arial" w:cs="Arial"/>
          <w:bCs/>
          <w:sz w:val="22"/>
          <w:szCs w:val="22"/>
          <w:lang w:val="fr-FR"/>
        </w:rPr>
        <w:t xml:space="preserve">pouvait </w:t>
      </w:r>
      <w:r w:rsidRPr="008C2E74">
        <w:rPr>
          <w:rFonts w:ascii="Arial" w:hAnsi="Arial" w:cs="Arial"/>
          <w:bCs/>
          <w:sz w:val="22"/>
          <w:szCs w:val="22"/>
          <w:lang w:val="fr-FR"/>
        </w:rPr>
        <w:t>avoir lieu en ligne et d</w:t>
      </w:r>
      <w:r>
        <w:rPr>
          <w:rFonts w:ascii="Arial" w:hAnsi="Arial" w:cs="Arial"/>
          <w:bCs/>
          <w:sz w:val="22"/>
          <w:szCs w:val="22"/>
          <w:lang w:val="fr-FR"/>
        </w:rPr>
        <w:t xml:space="preserve">evait se dérouler </w:t>
      </w:r>
      <w:r w:rsidRPr="007C713C">
        <w:rPr>
          <w:rFonts w:ascii="Arial" w:hAnsi="Arial" w:cs="Arial"/>
          <w:bCs/>
          <w:i/>
          <w:iCs/>
          <w:sz w:val="22"/>
          <w:szCs w:val="22"/>
          <w:lang w:val="fr-FR"/>
        </w:rPr>
        <w:t xml:space="preserve">in </w:t>
      </w:r>
      <w:proofErr w:type="spellStart"/>
      <w:r w:rsidRPr="007C713C">
        <w:rPr>
          <w:rFonts w:ascii="Arial" w:hAnsi="Arial" w:cs="Arial"/>
          <w:bCs/>
          <w:i/>
          <w:iCs/>
          <w:sz w:val="22"/>
          <w:szCs w:val="22"/>
          <w:lang w:val="fr-FR"/>
        </w:rPr>
        <w:t>pr</w:t>
      </w:r>
      <w:r>
        <w:rPr>
          <w:rFonts w:ascii="Arial" w:hAnsi="Arial" w:cs="Arial"/>
          <w:bCs/>
          <w:i/>
          <w:iCs/>
          <w:sz w:val="22"/>
          <w:szCs w:val="22"/>
          <w:lang w:val="fr-FR"/>
        </w:rPr>
        <w:t>æ</w:t>
      </w:r>
      <w:r w:rsidRPr="007C713C">
        <w:rPr>
          <w:rFonts w:ascii="Arial" w:hAnsi="Arial" w:cs="Arial"/>
          <w:bCs/>
          <w:i/>
          <w:iCs/>
          <w:sz w:val="22"/>
          <w:szCs w:val="22"/>
          <w:lang w:val="fr-FR"/>
        </w:rPr>
        <w:t>sentia</w:t>
      </w:r>
      <w:proofErr w:type="spellEnd"/>
      <w:r>
        <w:rPr>
          <w:rFonts w:ascii="Arial" w:hAnsi="Arial" w:cs="Arial"/>
          <w:bCs/>
          <w:sz w:val="22"/>
          <w:szCs w:val="22"/>
          <w:lang w:val="fr-FR"/>
        </w:rPr>
        <w:t>.</w:t>
      </w:r>
    </w:p>
    <w:p w14:paraId="47354D98" w14:textId="36E6B371" w:rsidR="00D9653F" w:rsidRPr="007C713C"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C713C">
        <w:rPr>
          <w:rFonts w:ascii="Arial" w:hAnsi="Arial" w:cs="Arial"/>
          <w:bCs/>
          <w:sz w:val="22"/>
          <w:szCs w:val="22"/>
          <w:lang w:val="fr-FR"/>
        </w:rPr>
        <w:t xml:space="preserve">La délégation de la </w:t>
      </w:r>
      <w:r w:rsidRPr="007C713C">
        <w:rPr>
          <w:rFonts w:ascii="Arial" w:hAnsi="Arial" w:cs="Arial"/>
          <w:b/>
          <w:sz w:val="22"/>
          <w:szCs w:val="22"/>
          <w:lang w:val="fr-FR"/>
        </w:rPr>
        <w:t>Palestine</w:t>
      </w:r>
      <w:r w:rsidRPr="007C713C">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était</w:t>
      </w:r>
      <w:r w:rsidRPr="007C713C">
        <w:rPr>
          <w:rFonts w:ascii="Arial" w:hAnsi="Arial" w:cs="Arial"/>
          <w:bCs/>
          <w:sz w:val="22"/>
          <w:szCs w:val="22"/>
          <w:lang w:val="fr-FR"/>
        </w:rPr>
        <w:t xml:space="preserve"> pas d</w:t>
      </w:r>
      <w:r w:rsidR="008E532B">
        <w:rPr>
          <w:rFonts w:ascii="Arial" w:hAnsi="Arial" w:cs="Arial"/>
          <w:bCs/>
          <w:sz w:val="22"/>
          <w:szCs w:val="22"/>
          <w:lang w:val="fr-FR"/>
        </w:rPr>
        <w:t>’</w:t>
      </w:r>
      <w:r w:rsidRPr="007C713C">
        <w:rPr>
          <w:rFonts w:ascii="Arial" w:hAnsi="Arial" w:cs="Arial"/>
          <w:bCs/>
          <w:sz w:val="22"/>
          <w:szCs w:val="22"/>
          <w:lang w:val="fr-FR"/>
        </w:rPr>
        <w:t>accord avec le fait que le vote ne puisse pas avoir lieu dans le c</w:t>
      </w:r>
      <w:r>
        <w:rPr>
          <w:rFonts w:ascii="Arial" w:hAnsi="Arial" w:cs="Arial"/>
          <w:bCs/>
          <w:sz w:val="22"/>
          <w:szCs w:val="22"/>
          <w:lang w:val="fr-FR"/>
        </w:rPr>
        <w:t xml:space="preserve">as </w:t>
      </w:r>
      <w:r w:rsidRPr="007C713C">
        <w:rPr>
          <w:rFonts w:ascii="Arial" w:hAnsi="Arial" w:cs="Arial"/>
          <w:bCs/>
          <w:sz w:val="22"/>
          <w:szCs w:val="22"/>
          <w:lang w:val="fr-FR"/>
        </w:rPr>
        <w:t>de réunions en ligne. L</w:t>
      </w:r>
      <w:r w:rsidR="008E532B">
        <w:rPr>
          <w:rFonts w:ascii="Arial" w:hAnsi="Arial" w:cs="Arial"/>
          <w:bCs/>
          <w:sz w:val="22"/>
          <w:szCs w:val="22"/>
          <w:lang w:val="fr-FR"/>
        </w:rPr>
        <w:t>’</w:t>
      </w:r>
      <w:r w:rsidRPr="007C713C">
        <w:rPr>
          <w:rFonts w:ascii="Arial" w:hAnsi="Arial" w:cs="Arial"/>
          <w:bCs/>
          <w:sz w:val="22"/>
          <w:szCs w:val="22"/>
          <w:lang w:val="fr-FR"/>
        </w:rPr>
        <w:t>idée était de s</w:t>
      </w:r>
      <w:r w:rsidR="008E532B">
        <w:rPr>
          <w:rFonts w:ascii="Arial" w:hAnsi="Arial" w:cs="Arial"/>
          <w:bCs/>
          <w:sz w:val="22"/>
          <w:szCs w:val="22"/>
          <w:lang w:val="fr-FR"/>
        </w:rPr>
        <w:t>’</w:t>
      </w:r>
      <w:r w:rsidRPr="007C713C">
        <w:rPr>
          <w:rFonts w:ascii="Arial" w:hAnsi="Arial" w:cs="Arial"/>
          <w:bCs/>
          <w:sz w:val="22"/>
          <w:szCs w:val="22"/>
          <w:lang w:val="fr-FR"/>
        </w:rPr>
        <w:t>assurer qu</w:t>
      </w:r>
      <w:r w:rsidR="008E532B">
        <w:rPr>
          <w:rFonts w:ascii="Arial" w:hAnsi="Arial" w:cs="Arial"/>
          <w:bCs/>
          <w:sz w:val="22"/>
          <w:szCs w:val="22"/>
          <w:lang w:val="fr-FR"/>
        </w:rPr>
        <w:t>’</w:t>
      </w:r>
      <w:r w:rsidRPr="007C713C">
        <w:rPr>
          <w:rFonts w:ascii="Arial" w:hAnsi="Arial" w:cs="Arial"/>
          <w:bCs/>
          <w:sz w:val="22"/>
          <w:szCs w:val="22"/>
          <w:lang w:val="fr-FR"/>
        </w:rPr>
        <w:t>une disposition existe dans l</w:t>
      </w:r>
      <w:r>
        <w:rPr>
          <w:rFonts w:ascii="Arial" w:hAnsi="Arial" w:cs="Arial"/>
          <w:bCs/>
          <w:sz w:val="22"/>
          <w:szCs w:val="22"/>
          <w:lang w:val="fr-FR"/>
        </w:rPr>
        <w:t>e Règlement</w:t>
      </w:r>
      <w:r w:rsidRPr="007C713C">
        <w:rPr>
          <w:rFonts w:ascii="Arial" w:hAnsi="Arial" w:cs="Arial"/>
          <w:bCs/>
          <w:sz w:val="22"/>
          <w:szCs w:val="22"/>
          <w:lang w:val="fr-FR"/>
        </w:rPr>
        <w:t xml:space="preserve"> pour les élections lors des sessions en ligne, comme c</w:t>
      </w:r>
      <w:r w:rsidR="008E532B">
        <w:rPr>
          <w:rFonts w:ascii="Arial" w:hAnsi="Arial" w:cs="Arial"/>
          <w:bCs/>
          <w:sz w:val="22"/>
          <w:szCs w:val="22"/>
          <w:lang w:val="fr-FR"/>
        </w:rPr>
        <w:t>’</w:t>
      </w:r>
      <w:r>
        <w:rPr>
          <w:rFonts w:ascii="Arial" w:hAnsi="Arial" w:cs="Arial"/>
          <w:bCs/>
          <w:sz w:val="22"/>
          <w:szCs w:val="22"/>
          <w:lang w:val="fr-FR"/>
        </w:rPr>
        <w:t>était</w:t>
      </w:r>
      <w:r w:rsidRPr="007C713C">
        <w:rPr>
          <w:rFonts w:ascii="Arial" w:hAnsi="Arial" w:cs="Arial"/>
          <w:bCs/>
          <w:sz w:val="22"/>
          <w:szCs w:val="22"/>
          <w:lang w:val="fr-FR"/>
        </w:rPr>
        <w:t xml:space="preserve"> le cas pour le Conseil exécutif.</w:t>
      </w:r>
    </w:p>
    <w:p w14:paraId="62EE8E5E" w14:textId="69A231A7" w:rsidR="00D9653F" w:rsidRPr="00025493"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C713C">
        <w:rPr>
          <w:rFonts w:ascii="Arial" w:hAnsi="Arial" w:cs="Arial"/>
          <w:bCs/>
          <w:sz w:val="22"/>
          <w:szCs w:val="22"/>
          <w:lang w:val="fr-FR"/>
        </w:rPr>
        <w:t xml:space="preserve">Le </w:t>
      </w:r>
      <w:r w:rsidRPr="00025493">
        <w:rPr>
          <w:rFonts w:ascii="Arial" w:hAnsi="Arial" w:cs="Arial"/>
          <w:b/>
          <w:sz w:val="22"/>
          <w:szCs w:val="22"/>
          <w:lang w:val="fr-FR"/>
        </w:rPr>
        <w:t>Conseiller juridique</w:t>
      </w:r>
      <w:r w:rsidRPr="007C713C">
        <w:rPr>
          <w:rFonts w:ascii="Arial" w:hAnsi="Arial" w:cs="Arial"/>
          <w:bCs/>
          <w:sz w:val="22"/>
          <w:szCs w:val="22"/>
          <w:lang w:val="fr-FR"/>
        </w:rPr>
        <w:t xml:space="preserve"> </w:t>
      </w:r>
      <w:r>
        <w:rPr>
          <w:rFonts w:ascii="Arial" w:hAnsi="Arial" w:cs="Arial"/>
          <w:bCs/>
          <w:sz w:val="22"/>
          <w:szCs w:val="22"/>
          <w:lang w:val="fr-FR"/>
        </w:rPr>
        <w:t>comprenait</w:t>
      </w:r>
      <w:r w:rsidRPr="007C713C">
        <w:rPr>
          <w:rFonts w:ascii="Arial" w:hAnsi="Arial" w:cs="Arial"/>
          <w:bCs/>
          <w:sz w:val="22"/>
          <w:szCs w:val="22"/>
          <w:lang w:val="fr-FR"/>
        </w:rPr>
        <w:t xml:space="preserve"> qu</w:t>
      </w:r>
      <w:r w:rsidR="008E532B">
        <w:rPr>
          <w:rFonts w:ascii="Arial" w:hAnsi="Arial" w:cs="Arial"/>
          <w:bCs/>
          <w:sz w:val="22"/>
          <w:szCs w:val="22"/>
          <w:lang w:val="fr-FR"/>
        </w:rPr>
        <w:t>’</w:t>
      </w:r>
      <w:r w:rsidRPr="007C713C">
        <w:rPr>
          <w:rFonts w:ascii="Arial" w:hAnsi="Arial" w:cs="Arial"/>
          <w:bCs/>
          <w:sz w:val="22"/>
          <w:szCs w:val="22"/>
          <w:lang w:val="fr-FR"/>
        </w:rPr>
        <w:t xml:space="preserve">il y avait une préoccupation concernant les élections </w:t>
      </w:r>
      <w:r>
        <w:rPr>
          <w:rFonts w:ascii="Arial" w:hAnsi="Arial" w:cs="Arial"/>
          <w:bCs/>
          <w:sz w:val="22"/>
          <w:szCs w:val="22"/>
          <w:lang w:val="fr-FR"/>
        </w:rPr>
        <w:t xml:space="preserve">à bulletins </w:t>
      </w:r>
      <w:r w:rsidRPr="007C713C">
        <w:rPr>
          <w:rFonts w:ascii="Arial" w:hAnsi="Arial" w:cs="Arial"/>
          <w:bCs/>
          <w:sz w:val="22"/>
          <w:szCs w:val="22"/>
          <w:lang w:val="fr-FR"/>
        </w:rPr>
        <w:t>secret</w:t>
      </w:r>
      <w:r>
        <w:rPr>
          <w:rFonts w:ascii="Arial" w:hAnsi="Arial" w:cs="Arial"/>
          <w:bCs/>
          <w:sz w:val="22"/>
          <w:szCs w:val="22"/>
          <w:lang w:val="fr-FR"/>
        </w:rPr>
        <w:t>s</w:t>
      </w:r>
      <w:r w:rsidRPr="007C713C">
        <w:rPr>
          <w:rFonts w:ascii="Arial" w:hAnsi="Arial" w:cs="Arial"/>
          <w:bCs/>
          <w:sz w:val="22"/>
          <w:szCs w:val="22"/>
          <w:lang w:val="fr-FR"/>
        </w:rPr>
        <w:t>, en particulier lors d</w:t>
      </w:r>
      <w:r w:rsidR="008E532B">
        <w:rPr>
          <w:rFonts w:ascii="Arial" w:hAnsi="Arial" w:cs="Arial"/>
          <w:bCs/>
          <w:sz w:val="22"/>
          <w:szCs w:val="22"/>
          <w:lang w:val="fr-FR"/>
        </w:rPr>
        <w:t>’</w:t>
      </w:r>
      <w:r w:rsidRPr="007C713C">
        <w:rPr>
          <w:rFonts w:ascii="Arial" w:hAnsi="Arial" w:cs="Arial"/>
          <w:bCs/>
          <w:sz w:val="22"/>
          <w:szCs w:val="22"/>
          <w:lang w:val="fr-FR"/>
        </w:rPr>
        <w:t xml:space="preserve">une session tenue en ligne. Un certain nombre de délégations </w:t>
      </w:r>
      <w:r>
        <w:rPr>
          <w:rFonts w:ascii="Arial" w:hAnsi="Arial" w:cs="Arial"/>
          <w:bCs/>
          <w:sz w:val="22"/>
          <w:szCs w:val="22"/>
          <w:lang w:val="fr-FR"/>
        </w:rPr>
        <w:t>avaient</w:t>
      </w:r>
      <w:r w:rsidRPr="007C713C">
        <w:rPr>
          <w:rFonts w:ascii="Arial" w:hAnsi="Arial" w:cs="Arial"/>
          <w:bCs/>
          <w:sz w:val="22"/>
          <w:szCs w:val="22"/>
          <w:lang w:val="fr-FR"/>
        </w:rPr>
        <w:t xml:space="preserve"> exprimé l</w:t>
      </w:r>
      <w:r w:rsidR="008E532B">
        <w:rPr>
          <w:rFonts w:ascii="Arial" w:hAnsi="Arial" w:cs="Arial"/>
          <w:bCs/>
          <w:sz w:val="22"/>
          <w:szCs w:val="22"/>
          <w:lang w:val="fr-FR"/>
        </w:rPr>
        <w:t>’</w:t>
      </w:r>
      <w:r>
        <w:rPr>
          <w:rFonts w:ascii="Arial" w:hAnsi="Arial" w:cs="Arial"/>
          <w:bCs/>
          <w:sz w:val="22"/>
          <w:szCs w:val="22"/>
          <w:lang w:val="fr-FR"/>
        </w:rPr>
        <w:t>opinion selon laquelle,</w:t>
      </w:r>
      <w:r w:rsidRPr="007C713C">
        <w:rPr>
          <w:rFonts w:ascii="Arial" w:hAnsi="Arial" w:cs="Arial"/>
          <w:bCs/>
          <w:sz w:val="22"/>
          <w:szCs w:val="22"/>
          <w:lang w:val="fr-FR"/>
        </w:rPr>
        <w:t xml:space="preserve"> dans le cas d</w:t>
      </w:r>
      <w:r w:rsidR="008E532B">
        <w:rPr>
          <w:rFonts w:ascii="Arial" w:hAnsi="Arial" w:cs="Arial"/>
          <w:bCs/>
          <w:sz w:val="22"/>
          <w:szCs w:val="22"/>
          <w:lang w:val="fr-FR"/>
        </w:rPr>
        <w:t>’</w:t>
      </w:r>
      <w:r w:rsidRPr="007C713C">
        <w:rPr>
          <w:rFonts w:ascii="Arial" w:hAnsi="Arial" w:cs="Arial"/>
          <w:bCs/>
          <w:sz w:val="22"/>
          <w:szCs w:val="22"/>
          <w:lang w:val="fr-FR"/>
        </w:rPr>
        <w:t>une réunion en ligne,</w:t>
      </w:r>
      <w:r>
        <w:rPr>
          <w:rFonts w:ascii="Arial" w:hAnsi="Arial" w:cs="Arial"/>
          <w:bCs/>
          <w:sz w:val="22"/>
          <w:szCs w:val="22"/>
          <w:lang w:val="fr-FR"/>
        </w:rPr>
        <w:t xml:space="preserve"> il conviendrait de clarifier dans le texte les modalités des élections, qui étaient le seul cas de vote à bulletins secrets autorisé en vertu du Règlement intérieur. </w:t>
      </w:r>
      <w:r w:rsidRPr="00025493">
        <w:rPr>
          <w:rFonts w:ascii="Arial" w:hAnsi="Arial" w:cs="Arial"/>
          <w:bCs/>
          <w:sz w:val="22"/>
          <w:szCs w:val="22"/>
          <w:lang w:val="fr-FR"/>
        </w:rPr>
        <w:t>Le Conseiller juridique a donc proposé d</w:t>
      </w:r>
      <w:r w:rsidR="008E532B">
        <w:rPr>
          <w:rFonts w:ascii="Arial" w:hAnsi="Arial" w:cs="Arial"/>
          <w:bCs/>
          <w:sz w:val="22"/>
          <w:szCs w:val="22"/>
          <w:lang w:val="fr-FR"/>
        </w:rPr>
        <w:t>’</w:t>
      </w:r>
      <w:r w:rsidRPr="00025493">
        <w:rPr>
          <w:rFonts w:ascii="Arial" w:hAnsi="Arial" w:cs="Arial"/>
          <w:bCs/>
          <w:sz w:val="22"/>
          <w:szCs w:val="22"/>
          <w:lang w:val="fr-FR"/>
        </w:rPr>
        <w:t>ajouter</w:t>
      </w:r>
      <w:r>
        <w:rPr>
          <w:rFonts w:ascii="Arial" w:hAnsi="Arial" w:cs="Arial"/>
          <w:bCs/>
          <w:sz w:val="22"/>
          <w:szCs w:val="22"/>
          <w:lang w:val="fr-FR"/>
        </w:rPr>
        <w:t xml:space="preserve">, </w:t>
      </w:r>
      <w:r w:rsidRPr="00025493">
        <w:rPr>
          <w:rFonts w:ascii="Arial" w:hAnsi="Arial" w:cs="Arial"/>
          <w:bCs/>
          <w:sz w:val="22"/>
          <w:szCs w:val="22"/>
          <w:lang w:val="fr-FR"/>
        </w:rPr>
        <w:t>si l</w:t>
      </w:r>
      <w:r w:rsidR="008E532B">
        <w:rPr>
          <w:rFonts w:ascii="Arial" w:hAnsi="Arial" w:cs="Arial"/>
          <w:bCs/>
          <w:sz w:val="22"/>
          <w:szCs w:val="22"/>
          <w:lang w:val="fr-FR"/>
        </w:rPr>
        <w:t>’</w:t>
      </w:r>
      <w:r w:rsidRPr="00025493">
        <w:rPr>
          <w:rFonts w:ascii="Arial" w:hAnsi="Arial" w:cs="Arial"/>
          <w:bCs/>
          <w:sz w:val="22"/>
          <w:szCs w:val="22"/>
          <w:lang w:val="fr-FR"/>
        </w:rPr>
        <w:t>Assemblée le souhaitait</w:t>
      </w:r>
      <w:r>
        <w:rPr>
          <w:rFonts w:ascii="Arial" w:hAnsi="Arial" w:cs="Arial"/>
          <w:bCs/>
          <w:sz w:val="22"/>
          <w:szCs w:val="22"/>
          <w:lang w:val="fr-FR"/>
        </w:rPr>
        <w:t>,</w:t>
      </w:r>
      <w:r w:rsidRPr="00025493">
        <w:rPr>
          <w:rFonts w:ascii="Arial" w:hAnsi="Arial" w:cs="Arial"/>
          <w:bCs/>
          <w:sz w:val="22"/>
          <w:szCs w:val="22"/>
          <w:lang w:val="fr-FR"/>
        </w:rPr>
        <w:t xml:space="preserve"> une phrase qui indiquerait que les élections </w:t>
      </w:r>
      <w:r>
        <w:rPr>
          <w:rFonts w:ascii="Arial" w:hAnsi="Arial" w:cs="Arial"/>
          <w:bCs/>
          <w:sz w:val="22"/>
          <w:szCs w:val="22"/>
          <w:lang w:val="fr-FR"/>
        </w:rPr>
        <w:t>à bulletins</w:t>
      </w:r>
      <w:r w:rsidRPr="00025493">
        <w:rPr>
          <w:rFonts w:ascii="Arial" w:hAnsi="Arial" w:cs="Arial"/>
          <w:bCs/>
          <w:sz w:val="22"/>
          <w:szCs w:val="22"/>
          <w:lang w:val="fr-FR"/>
        </w:rPr>
        <w:t xml:space="preserve"> secret</w:t>
      </w:r>
      <w:r>
        <w:rPr>
          <w:rFonts w:ascii="Arial" w:hAnsi="Arial" w:cs="Arial"/>
          <w:bCs/>
          <w:sz w:val="22"/>
          <w:szCs w:val="22"/>
          <w:lang w:val="fr-FR"/>
        </w:rPr>
        <w:t>s</w:t>
      </w:r>
      <w:r w:rsidRPr="00025493">
        <w:rPr>
          <w:rFonts w:ascii="Arial" w:hAnsi="Arial" w:cs="Arial"/>
          <w:bCs/>
          <w:sz w:val="22"/>
          <w:szCs w:val="22"/>
          <w:lang w:val="fr-FR"/>
        </w:rPr>
        <w:t xml:space="preserve"> s</w:t>
      </w:r>
      <w:r>
        <w:rPr>
          <w:rFonts w:ascii="Arial" w:hAnsi="Arial" w:cs="Arial"/>
          <w:bCs/>
          <w:sz w:val="22"/>
          <w:szCs w:val="22"/>
          <w:lang w:val="fr-FR"/>
        </w:rPr>
        <w:t xml:space="preserve">e dérouleraient </w:t>
      </w:r>
      <w:r w:rsidRPr="00025493">
        <w:rPr>
          <w:rFonts w:ascii="Arial" w:hAnsi="Arial" w:cs="Arial"/>
          <w:bCs/>
          <w:i/>
          <w:iCs/>
          <w:sz w:val="22"/>
          <w:szCs w:val="22"/>
          <w:lang w:val="fr-FR"/>
        </w:rPr>
        <w:t xml:space="preserve">in </w:t>
      </w:r>
      <w:proofErr w:type="spellStart"/>
      <w:r w:rsidRPr="00025493">
        <w:rPr>
          <w:rFonts w:ascii="Arial" w:hAnsi="Arial" w:cs="Arial"/>
          <w:bCs/>
          <w:i/>
          <w:iCs/>
          <w:sz w:val="22"/>
          <w:szCs w:val="22"/>
          <w:lang w:val="fr-FR"/>
        </w:rPr>
        <w:t>præsentia</w:t>
      </w:r>
      <w:proofErr w:type="spellEnd"/>
      <w:r w:rsidRPr="00025493">
        <w:rPr>
          <w:rFonts w:ascii="Arial" w:hAnsi="Arial" w:cs="Arial"/>
          <w:bCs/>
          <w:sz w:val="22"/>
          <w:szCs w:val="22"/>
          <w:lang w:val="fr-FR"/>
        </w:rPr>
        <w:t xml:space="preserve"> </w:t>
      </w:r>
      <w:r>
        <w:rPr>
          <w:rFonts w:ascii="Arial" w:hAnsi="Arial" w:cs="Arial"/>
          <w:bCs/>
          <w:sz w:val="22"/>
          <w:szCs w:val="22"/>
          <w:lang w:val="fr-FR"/>
        </w:rPr>
        <w:t>dans le cas d</w:t>
      </w:r>
      <w:r w:rsidR="008E532B">
        <w:rPr>
          <w:rFonts w:ascii="Arial" w:hAnsi="Arial" w:cs="Arial"/>
          <w:bCs/>
          <w:sz w:val="22"/>
          <w:szCs w:val="22"/>
          <w:lang w:val="fr-FR"/>
        </w:rPr>
        <w:t>’</w:t>
      </w:r>
      <w:r w:rsidRPr="00025493">
        <w:rPr>
          <w:rFonts w:ascii="Arial" w:hAnsi="Arial" w:cs="Arial"/>
          <w:bCs/>
          <w:sz w:val="22"/>
          <w:szCs w:val="22"/>
          <w:lang w:val="fr-FR"/>
        </w:rPr>
        <w:t>une réunion en ligne</w:t>
      </w:r>
      <w:r>
        <w:rPr>
          <w:rFonts w:ascii="Arial" w:hAnsi="Arial" w:cs="Arial"/>
          <w:bCs/>
          <w:sz w:val="22"/>
          <w:szCs w:val="22"/>
          <w:lang w:val="fr-FR"/>
        </w:rPr>
        <w:t>.</w:t>
      </w:r>
    </w:p>
    <w:p w14:paraId="74D8974B" w14:textId="0E57C929" w:rsidR="00D9653F" w:rsidRPr="00025493"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25493">
        <w:rPr>
          <w:rFonts w:ascii="Arial" w:hAnsi="Arial" w:cs="Arial"/>
          <w:bCs/>
          <w:sz w:val="22"/>
          <w:szCs w:val="22"/>
          <w:lang w:val="fr-FR"/>
        </w:rPr>
        <w:t xml:space="preserve">La délégation de la </w:t>
      </w:r>
      <w:r w:rsidRPr="00025493">
        <w:rPr>
          <w:rFonts w:ascii="Arial" w:hAnsi="Arial" w:cs="Arial"/>
          <w:b/>
          <w:sz w:val="22"/>
          <w:szCs w:val="22"/>
          <w:lang w:val="fr-FR"/>
        </w:rPr>
        <w:t>France</w:t>
      </w:r>
      <w:r w:rsidRPr="00025493">
        <w:rPr>
          <w:rFonts w:ascii="Arial" w:hAnsi="Arial" w:cs="Arial"/>
          <w:bCs/>
          <w:sz w:val="22"/>
          <w:szCs w:val="22"/>
          <w:lang w:val="fr-FR"/>
        </w:rPr>
        <w:t xml:space="preserve"> a remercié le Conseiller juridique pour son interprétation correcte. En effet, dans le cas d</w:t>
      </w:r>
      <w:r w:rsidR="008E532B">
        <w:rPr>
          <w:rFonts w:ascii="Arial" w:hAnsi="Arial" w:cs="Arial"/>
          <w:bCs/>
          <w:sz w:val="22"/>
          <w:szCs w:val="22"/>
          <w:lang w:val="fr-FR"/>
        </w:rPr>
        <w:t>’</w:t>
      </w:r>
      <w:r w:rsidRPr="00025493">
        <w:rPr>
          <w:rFonts w:ascii="Arial" w:hAnsi="Arial" w:cs="Arial"/>
          <w:bCs/>
          <w:sz w:val="22"/>
          <w:szCs w:val="22"/>
          <w:lang w:val="fr-FR"/>
        </w:rPr>
        <w:t xml:space="preserve">une session en ligne, un vote par appel nominal serait possible en ligne, mais un vote </w:t>
      </w:r>
      <w:r>
        <w:rPr>
          <w:rFonts w:ascii="Arial" w:hAnsi="Arial" w:cs="Arial"/>
          <w:bCs/>
          <w:sz w:val="22"/>
          <w:szCs w:val="22"/>
          <w:lang w:val="fr-FR"/>
        </w:rPr>
        <w:t xml:space="preserve">à bulletins </w:t>
      </w:r>
      <w:r w:rsidRPr="00025493">
        <w:rPr>
          <w:rFonts w:ascii="Arial" w:hAnsi="Arial" w:cs="Arial"/>
          <w:bCs/>
          <w:sz w:val="22"/>
          <w:szCs w:val="22"/>
          <w:lang w:val="fr-FR"/>
        </w:rPr>
        <w:t>secret</w:t>
      </w:r>
      <w:r>
        <w:rPr>
          <w:rFonts w:ascii="Arial" w:hAnsi="Arial" w:cs="Arial"/>
          <w:bCs/>
          <w:sz w:val="22"/>
          <w:szCs w:val="22"/>
          <w:lang w:val="fr-FR"/>
        </w:rPr>
        <w:t>s</w:t>
      </w:r>
      <w:r w:rsidRPr="00025493">
        <w:rPr>
          <w:rFonts w:ascii="Arial" w:hAnsi="Arial" w:cs="Arial"/>
          <w:bCs/>
          <w:sz w:val="22"/>
          <w:szCs w:val="22"/>
          <w:lang w:val="fr-FR"/>
        </w:rPr>
        <w:t xml:space="preserve"> d</w:t>
      </w:r>
      <w:r>
        <w:rPr>
          <w:rFonts w:ascii="Arial" w:hAnsi="Arial" w:cs="Arial"/>
          <w:bCs/>
          <w:sz w:val="22"/>
          <w:szCs w:val="22"/>
          <w:lang w:val="fr-FR"/>
        </w:rPr>
        <w:t xml:space="preserve">evait </w:t>
      </w:r>
      <w:r w:rsidRPr="00025493">
        <w:rPr>
          <w:rFonts w:ascii="Arial" w:hAnsi="Arial" w:cs="Arial"/>
          <w:bCs/>
          <w:sz w:val="22"/>
          <w:szCs w:val="22"/>
          <w:lang w:val="fr-FR"/>
        </w:rPr>
        <w:t xml:space="preserve">absolument </w:t>
      </w:r>
      <w:r>
        <w:rPr>
          <w:rFonts w:ascii="Arial" w:hAnsi="Arial" w:cs="Arial"/>
          <w:bCs/>
          <w:sz w:val="22"/>
          <w:szCs w:val="22"/>
          <w:lang w:val="fr-FR"/>
        </w:rPr>
        <w:t xml:space="preserve">se dérouler </w:t>
      </w:r>
      <w:r w:rsidRPr="00C22CCE">
        <w:rPr>
          <w:rFonts w:ascii="Arial" w:hAnsi="Arial" w:cs="Arial"/>
          <w:bCs/>
          <w:i/>
          <w:iCs/>
          <w:sz w:val="22"/>
          <w:szCs w:val="22"/>
          <w:lang w:val="fr-FR"/>
        </w:rPr>
        <w:t xml:space="preserve">in </w:t>
      </w:r>
      <w:proofErr w:type="spellStart"/>
      <w:r w:rsidRPr="00C22CCE">
        <w:rPr>
          <w:rFonts w:ascii="Arial" w:hAnsi="Arial" w:cs="Arial"/>
          <w:bCs/>
          <w:i/>
          <w:iCs/>
          <w:sz w:val="22"/>
          <w:szCs w:val="22"/>
          <w:lang w:val="fr-FR"/>
        </w:rPr>
        <w:t>præsentia</w:t>
      </w:r>
      <w:proofErr w:type="spellEnd"/>
      <w:r w:rsidRPr="00025493">
        <w:rPr>
          <w:rFonts w:ascii="Arial" w:hAnsi="Arial" w:cs="Arial"/>
          <w:bCs/>
          <w:sz w:val="22"/>
          <w:szCs w:val="22"/>
          <w:lang w:val="fr-FR"/>
        </w:rPr>
        <w:t>. Des modalités avaient été adoptées pour le Conseil exécutif lors de la Conférence générale, et la délégation souhait</w:t>
      </w:r>
      <w:r>
        <w:rPr>
          <w:rFonts w:ascii="Arial" w:hAnsi="Arial" w:cs="Arial"/>
          <w:bCs/>
          <w:sz w:val="22"/>
          <w:szCs w:val="22"/>
          <w:lang w:val="fr-FR"/>
        </w:rPr>
        <w:t>ait</w:t>
      </w:r>
      <w:r w:rsidRPr="00025493">
        <w:rPr>
          <w:rFonts w:ascii="Arial" w:hAnsi="Arial" w:cs="Arial"/>
          <w:bCs/>
          <w:sz w:val="22"/>
          <w:szCs w:val="22"/>
          <w:lang w:val="fr-FR"/>
        </w:rPr>
        <w:t xml:space="preserve"> que cela soit </w:t>
      </w:r>
      <w:r>
        <w:rPr>
          <w:rFonts w:ascii="Arial" w:hAnsi="Arial" w:cs="Arial"/>
          <w:bCs/>
          <w:sz w:val="22"/>
          <w:szCs w:val="22"/>
          <w:lang w:val="fr-FR"/>
        </w:rPr>
        <w:t xml:space="preserve">repris </w:t>
      </w:r>
      <w:r w:rsidRPr="00025493">
        <w:rPr>
          <w:rFonts w:ascii="Arial" w:hAnsi="Arial" w:cs="Arial"/>
          <w:bCs/>
          <w:sz w:val="22"/>
          <w:szCs w:val="22"/>
          <w:lang w:val="fr-FR"/>
        </w:rPr>
        <w:t>ici.</w:t>
      </w:r>
    </w:p>
    <w:p w14:paraId="34310EB5" w14:textId="1BADCEA9" w:rsidR="00D9653F" w:rsidRPr="00025493"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25493">
        <w:rPr>
          <w:rFonts w:ascii="Arial" w:hAnsi="Arial" w:cs="Arial"/>
          <w:bCs/>
          <w:sz w:val="22"/>
          <w:szCs w:val="22"/>
          <w:lang w:val="fr-FR"/>
        </w:rPr>
        <w:t xml:space="preserve">La délégation de la </w:t>
      </w:r>
      <w:r w:rsidRPr="00025493">
        <w:rPr>
          <w:rFonts w:ascii="Arial" w:hAnsi="Arial" w:cs="Arial"/>
          <w:b/>
          <w:sz w:val="22"/>
          <w:szCs w:val="22"/>
          <w:lang w:val="fr-FR"/>
        </w:rPr>
        <w:t>Türkiye</w:t>
      </w:r>
      <w:r w:rsidRPr="00025493">
        <w:rPr>
          <w:rFonts w:ascii="Arial" w:hAnsi="Arial" w:cs="Arial"/>
          <w:bCs/>
          <w:sz w:val="22"/>
          <w:szCs w:val="22"/>
          <w:lang w:val="fr-FR"/>
        </w:rPr>
        <w:t xml:space="preserve"> a fait </w:t>
      </w:r>
      <w:r>
        <w:rPr>
          <w:rFonts w:ascii="Arial" w:hAnsi="Arial" w:cs="Arial"/>
          <w:bCs/>
          <w:sz w:val="22"/>
          <w:szCs w:val="22"/>
          <w:lang w:val="fr-FR"/>
        </w:rPr>
        <w:t xml:space="preserve">observer </w:t>
      </w:r>
      <w:r w:rsidRPr="00025493">
        <w:rPr>
          <w:rFonts w:ascii="Arial" w:hAnsi="Arial" w:cs="Arial"/>
          <w:bCs/>
          <w:sz w:val="22"/>
          <w:szCs w:val="22"/>
          <w:lang w:val="fr-FR"/>
        </w:rPr>
        <w:t>qu</w:t>
      </w:r>
      <w:r w:rsidR="008E532B">
        <w:rPr>
          <w:rFonts w:ascii="Arial" w:hAnsi="Arial" w:cs="Arial"/>
          <w:bCs/>
          <w:sz w:val="22"/>
          <w:szCs w:val="22"/>
          <w:lang w:val="fr-FR"/>
        </w:rPr>
        <w:t>’</w:t>
      </w:r>
      <w:r w:rsidRPr="00025493">
        <w:rPr>
          <w:rFonts w:ascii="Arial" w:hAnsi="Arial" w:cs="Arial"/>
          <w:bCs/>
          <w:sz w:val="22"/>
          <w:szCs w:val="22"/>
          <w:lang w:val="fr-FR"/>
        </w:rPr>
        <w:t xml:space="preserve">elle avait quelques points à améliorer en ce qui concerne certains articles du </w:t>
      </w:r>
      <w:r>
        <w:rPr>
          <w:rFonts w:ascii="Arial" w:hAnsi="Arial" w:cs="Arial"/>
          <w:bCs/>
          <w:sz w:val="22"/>
          <w:szCs w:val="22"/>
          <w:lang w:val="fr-FR"/>
        </w:rPr>
        <w:t>R</w:t>
      </w:r>
      <w:r w:rsidRPr="00025493">
        <w:rPr>
          <w:rFonts w:ascii="Arial" w:hAnsi="Arial" w:cs="Arial"/>
          <w:bCs/>
          <w:sz w:val="22"/>
          <w:szCs w:val="22"/>
          <w:lang w:val="fr-FR"/>
        </w:rPr>
        <w:t>èglement et qu</w:t>
      </w:r>
      <w:r w:rsidR="008E532B">
        <w:rPr>
          <w:rFonts w:ascii="Arial" w:hAnsi="Arial" w:cs="Arial"/>
          <w:bCs/>
          <w:sz w:val="22"/>
          <w:szCs w:val="22"/>
          <w:lang w:val="fr-FR"/>
        </w:rPr>
        <w:t>’</w:t>
      </w:r>
      <w:r w:rsidRPr="00025493">
        <w:rPr>
          <w:rFonts w:ascii="Arial" w:hAnsi="Arial" w:cs="Arial"/>
          <w:bCs/>
          <w:sz w:val="22"/>
          <w:szCs w:val="22"/>
          <w:lang w:val="fr-FR"/>
        </w:rPr>
        <w:t xml:space="preserve">elle </w:t>
      </w:r>
      <w:r>
        <w:rPr>
          <w:rFonts w:ascii="Arial" w:hAnsi="Arial" w:cs="Arial"/>
          <w:bCs/>
          <w:sz w:val="22"/>
          <w:szCs w:val="22"/>
          <w:lang w:val="fr-FR"/>
        </w:rPr>
        <w:t>s</w:t>
      </w:r>
      <w:r w:rsidR="008E532B">
        <w:rPr>
          <w:rFonts w:ascii="Arial" w:hAnsi="Arial" w:cs="Arial"/>
          <w:bCs/>
          <w:sz w:val="22"/>
          <w:szCs w:val="22"/>
          <w:lang w:val="fr-FR"/>
        </w:rPr>
        <w:t>’</w:t>
      </w:r>
      <w:r w:rsidRPr="00025493">
        <w:rPr>
          <w:rFonts w:ascii="Arial" w:hAnsi="Arial" w:cs="Arial"/>
          <w:bCs/>
          <w:sz w:val="22"/>
          <w:szCs w:val="22"/>
          <w:lang w:val="fr-FR"/>
        </w:rPr>
        <w:t>exprimerait ultérieur</w:t>
      </w:r>
      <w:r>
        <w:rPr>
          <w:rFonts w:ascii="Arial" w:hAnsi="Arial" w:cs="Arial"/>
          <w:bCs/>
          <w:sz w:val="22"/>
          <w:szCs w:val="22"/>
          <w:lang w:val="fr-FR"/>
        </w:rPr>
        <w:t>ement</w:t>
      </w:r>
      <w:r w:rsidRPr="00025493">
        <w:rPr>
          <w:rFonts w:ascii="Arial" w:hAnsi="Arial" w:cs="Arial"/>
          <w:bCs/>
          <w:sz w:val="22"/>
          <w:szCs w:val="22"/>
          <w:lang w:val="fr-FR"/>
        </w:rPr>
        <w:t>. Dans le cas de l</w:t>
      </w:r>
      <w:r w:rsidR="008E532B">
        <w:rPr>
          <w:rFonts w:ascii="Arial" w:hAnsi="Arial" w:cs="Arial"/>
          <w:bCs/>
          <w:sz w:val="22"/>
          <w:szCs w:val="22"/>
          <w:lang w:val="fr-FR"/>
        </w:rPr>
        <w:t>’</w:t>
      </w:r>
      <w:r w:rsidRPr="00025493">
        <w:rPr>
          <w:rFonts w:ascii="Arial" w:hAnsi="Arial" w:cs="Arial"/>
          <w:bCs/>
          <w:sz w:val="22"/>
          <w:szCs w:val="22"/>
          <w:lang w:val="fr-FR"/>
        </w:rPr>
        <w:t>article 6.1, la délégation conven</w:t>
      </w:r>
      <w:r>
        <w:rPr>
          <w:rFonts w:ascii="Arial" w:hAnsi="Arial" w:cs="Arial"/>
          <w:bCs/>
          <w:sz w:val="22"/>
          <w:szCs w:val="22"/>
          <w:lang w:val="fr-FR"/>
        </w:rPr>
        <w:t>ait</w:t>
      </w:r>
      <w:r w:rsidRPr="00025493">
        <w:rPr>
          <w:rFonts w:ascii="Arial" w:hAnsi="Arial" w:cs="Arial"/>
          <w:bCs/>
          <w:sz w:val="22"/>
          <w:szCs w:val="22"/>
          <w:lang w:val="fr-FR"/>
        </w:rPr>
        <w:t xml:space="preserve"> avec la France et d</w:t>
      </w:r>
      <w:r w:rsidR="008E532B">
        <w:rPr>
          <w:rFonts w:ascii="Arial" w:hAnsi="Arial" w:cs="Arial"/>
          <w:bCs/>
          <w:sz w:val="22"/>
          <w:szCs w:val="22"/>
          <w:lang w:val="fr-FR"/>
        </w:rPr>
        <w:t>’</w:t>
      </w:r>
      <w:r w:rsidRPr="00025493">
        <w:rPr>
          <w:rFonts w:ascii="Arial" w:hAnsi="Arial" w:cs="Arial"/>
          <w:bCs/>
          <w:sz w:val="22"/>
          <w:szCs w:val="22"/>
          <w:lang w:val="fr-FR"/>
        </w:rPr>
        <w:t>autres pays qu</w:t>
      </w:r>
      <w:r w:rsidR="008E532B">
        <w:rPr>
          <w:rFonts w:ascii="Arial" w:hAnsi="Arial" w:cs="Arial"/>
          <w:bCs/>
          <w:sz w:val="22"/>
          <w:szCs w:val="22"/>
          <w:lang w:val="fr-FR"/>
        </w:rPr>
        <w:t>’</w:t>
      </w:r>
      <w:r w:rsidRPr="00025493">
        <w:rPr>
          <w:rFonts w:ascii="Arial" w:hAnsi="Arial" w:cs="Arial"/>
          <w:bCs/>
          <w:sz w:val="22"/>
          <w:szCs w:val="22"/>
          <w:lang w:val="fr-FR"/>
        </w:rPr>
        <w:t>une phrase devrait être introduite pour clarifier la situation. À ce</w:t>
      </w:r>
      <w:r>
        <w:rPr>
          <w:rFonts w:ascii="Arial" w:hAnsi="Arial" w:cs="Arial"/>
          <w:bCs/>
          <w:sz w:val="22"/>
          <w:szCs w:val="22"/>
          <w:lang w:val="fr-FR"/>
        </w:rPr>
        <w:t xml:space="preserve"> sujet</w:t>
      </w:r>
      <w:r w:rsidRPr="00025493">
        <w:rPr>
          <w:rFonts w:ascii="Arial" w:hAnsi="Arial" w:cs="Arial"/>
          <w:bCs/>
          <w:sz w:val="22"/>
          <w:szCs w:val="22"/>
          <w:lang w:val="fr-FR"/>
        </w:rPr>
        <w:t>, la délégation propos</w:t>
      </w:r>
      <w:r>
        <w:rPr>
          <w:rFonts w:ascii="Arial" w:hAnsi="Arial" w:cs="Arial"/>
          <w:bCs/>
          <w:sz w:val="22"/>
          <w:szCs w:val="22"/>
          <w:lang w:val="fr-FR"/>
        </w:rPr>
        <w:t>ait</w:t>
      </w:r>
      <w:r w:rsidRPr="00025493">
        <w:rPr>
          <w:rFonts w:ascii="Arial" w:hAnsi="Arial" w:cs="Arial"/>
          <w:bCs/>
          <w:sz w:val="22"/>
          <w:szCs w:val="22"/>
          <w:lang w:val="fr-FR"/>
        </w:rPr>
        <w:t xml:space="preserve"> d</w:t>
      </w:r>
      <w:r w:rsidR="008E532B">
        <w:rPr>
          <w:rFonts w:ascii="Arial" w:hAnsi="Arial" w:cs="Arial"/>
          <w:bCs/>
          <w:sz w:val="22"/>
          <w:szCs w:val="22"/>
          <w:lang w:val="fr-FR"/>
        </w:rPr>
        <w:t>’</w:t>
      </w:r>
      <w:r w:rsidRPr="00025493">
        <w:rPr>
          <w:rFonts w:ascii="Arial" w:hAnsi="Arial" w:cs="Arial"/>
          <w:bCs/>
          <w:sz w:val="22"/>
          <w:szCs w:val="22"/>
          <w:lang w:val="fr-FR"/>
        </w:rPr>
        <w:t xml:space="preserve">ajouter, après </w:t>
      </w:r>
      <w:r>
        <w:rPr>
          <w:rFonts w:ascii="Arial" w:hAnsi="Arial" w:cs="Arial"/>
          <w:bCs/>
          <w:sz w:val="22"/>
          <w:szCs w:val="22"/>
          <w:lang w:val="fr-FR"/>
        </w:rPr>
        <w:t xml:space="preserve">« rendant </w:t>
      </w:r>
      <w:r w:rsidRPr="00025493">
        <w:rPr>
          <w:rFonts w:ascii="Arial" w:hAnsi="Arial" w:cs="Arial"/>
          <w:bCs/>
          <w:sz w:val="22"/>
          <w:szCs w:val="22"/>
          <w:lang w:val="fr-FR"/>
        </w:rPr>
        <w:t>im</w:t>
      </w:r>
      <w:r>
        <w:rPr>
          <w:rFonts w:ascii="Arial" w:hAnsi="Arial" w:cs="Arial"/>
          <w:bCs/>
          <w:sz w:val="22"/>
          <w:szCs w:val="22"/>
          <w:lang w:val="fr-FR"/>
        </w:rPr>
        <w:t>possibles les réunions en présentiel. »</w:t>
      </w:r>
      <w:r w:rsidRPr="00025493">
        <w:rPr>
          <w:rFonts w:ascii="Arial" w:hAnsi="Arial" w:cs="Arial"/>
          <w:bCs/>
          <w:sz w:val="22"/>
          <w:szCs w:val="22"/>
          <w:lang w:val="fr-FR"/>
        </w:rPr>
        <w:t xml:space="preserve">, le texte suivant : </w:t>
      </w:r>
      <w:r>
        <w:rPr>
          <w:rFonts w:ascii="Arial" w:hAnsi="Arial" w:cs="Arial"/>
          <w:bCs/>
          <w:sz w:val="22"/>
          <w:szCs w:val="22"/>
          <w:lang w:val="fr-FR"/>
        </w:rPr>
        <w:t>« </w:t>
      </w:r>
      <w:r w:rsidRPr="00025493">
        <w:rPr>
          <w:rFonts w:ascii="Arial" w:hAnsi="Arial" w:cs="Arial"/>
          <w:bCs/>
          <w:sz w:val="22"/>
          <w:szCs w:val="22"/>
          <w:lang w:val="fr-FR"/>
        </w:rPr>
        <w:t xml:space="preserve">Pour les </w:t>
      </w:r>
      <w:r>
        <w:rPr>
          <w:rFonts w:ascii="Arial" w:hAnsi="Arial" w:cs="Arial"/>
          <w:bCs/>
          <w:sz w:val="22"/>
          <w:szCs w:val="22"/>
          <w:lang w:val="fr-FR"/>
        </w:rPr>
        <w:t xml:space="preserve">élections à bulletins </w:t>
      </w:r>
      <w:r w:rsidRPr="00025493">
        <w:rPr>
          <w:rFonts w:ascii="Arial" w:hAnsi="Arial" w:cs="Arial"/>
          <w:bCs/>
          <w:sz w:val="22"/>
          <w:szCs w:val="22"/>
          <w:lang w:val="fr-FR"/>
        </w:rPr>
        <w:t>secret</w:t>
      </w:r>
      <w:r>
        <w:rPr>
          <w:rFonts w:ascii="Arial" w:hAnsi="Arial" w:cs="Arial"/>
          <w:bCs/>
          <w:sz w:val="22"/>
          <w:szCs w:val="22"/>
          <w:lang w:val="fr-FR"/>
        </w:rPr>
        <w:t>s qui devraient se tenir en personne,</w:t>
      </w:r>
      <w:r w:rsidRPr="00025493">
        <w:rPr>
          <w:rFonts w:ascii="Arial" w:hAnsi="Arial" w:cs="Arial"/>
          <w:bCs/>
          <w:sz w:val="22"/>
          <w:szCs w:val="22"/>
          <w:lang w:val="fr-FR"/>
        </w:rPr>
        <w:t xml:space="preserve"> le Secrétariat doit faire les préparatifs nécessaires et informer les États parties </w:t>
      </w:r>
      <w:r>
        <w:rPr>
          <w:rFonts w:ascii="Arial" w:hAnsi="Arial" w:cs="Arial"/>
          <w:bCs/>
          <w:sz w:val="22"/>
          <w:szCs w:val="22"/>
          <w:lang w:val="fr-FR"/>
        </w:rPr>
        <w:t>à l</w:t>
      </w:r>
      <w:r w:rsidR="008E532B">
        <w:rPr>
          <w:rFonts w:ascii="Arial" w:hAnsi="Arial" w:cs="Arial"/>
          <w:bCs/>
          <w:sz w:val="22"/>
          <w:szCs w:val="22"/>
          <w:lang w:val="fr-FR"/>
        </w:rPr>
        <w:t>’</w:t>
      </w:r>
      <w:r>
        <w:rPr>
          <w:rFonts w:ascii="Arial" w:hAnsi="Arial" w:cs="Arial"/>
          <w:bCs/>
          <w:sz w:val="22"/>
          <w:szCs w:val="22"/>
          <w:lang w:val="fr-FR"/>
        </w:rPr>
        <w:t xml:space="preserve">avance </w:t>
      </w:r>
      <w:r w:rsidRPr="00025493">
        <w:rPr>
          <w:rFonts w:ascii="Arial" w:hAnsi="Arial" w:cs="Arial"/>
          <w:bCs/>
          <w:sz w:val="22"/>
          <w:szCs w:val="22"/>
          <w:lang w:val="fr-FR"/>
        </w:rPr>
        <w:t xml:space="preserve">des procédures et des </w:t>
      </w:r>
      <w:r w:rsidRPr="00643617">
        <w:rPr>
          <w:rFonts w:ascii="Arial" w:hAnsi="Arial" w:cs="Arial"/>
          <w:bCs/>
          <w:sz w:val="22"/>
          <w:szCs w:val="22"/>
          <w:lang w:val="fr-FR"/>
        </w:rPr>
        <w:t>dispositio</w:t>
      </w:r>
      <w:r>
        <w:rPr>
          <w:rFonts w:ascii="Arial" w:hAnsi="Arial" w:cs="Arial"/>
          <w:bCs/>
          <w:sz w:val="22"/>
          <w:szCs w:val="22"/>
          <w:lang w:val="fr-FR"/>
        </w:rPr>
        <w:t xml:space="preserve">ns </w:t>
      </w:r>
      <w:r w:rsidRPr="00025493">
        <w:rPr>
          <w:rFonts w:ascii="Arial" w:hAnsi="Arial" w:cs="Arial"/>
          <w:bCs/>
          <w:sz w:val="22"/>
          <w:szCs w:val="22"/>
          <w:lang w:val="fr-FR"/>
        </w:rPr>
        <w:t>de vote</w:t>
      </w:r>
      <w:r>
        <w:rPr>
          <w:rFonts w:ascii="Arial" w:hAnsi="Arial" w:cs="Arial"/>
          <w:bCs/>
          <w:sz w:val="22"/>
          <w:szCs w:val="22"/>
          <w:lang w:val="fr-FR"/>
        </w:rPr>
        <w:t>. »</w:t>
      </w:r>
    </w:p>
    <w:p w14:paraId="590E1656" w14:textId="5AC59050" w:rsidR="00D9653F" w:rsidRPr="00643617"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643617">
        <w:rPr>
          <w:rFonts w:ascii="Arial" w:hAnsi="Arial" w:cs="Arial"/>
          <w:b/>
          <w:sz w:val="22"/>
          <w:szCs w:val="22"/>
          <w:lang w:val="fr-FR"/>
        </w:rPr>
        <w:t>Présidente</w:t>
      </w:r>
      <w:r>
        <w:rPr>
          <w:rFonts w:ascii="Arial" w:hAnsi="Arial" w:cs="Arial"/>
          <w:bCs/>
          <w:sz w:val="22"/>
          <w:szCs w:val="22"/>
          <w:lang w:val="fr-FR"/>
        </w:rPr>
        <w:t xml:space="preserve"> a demandé à l</w:t>
      </w:r>
      <w:r w:rsidR="008E532B">
        <w:rPr>
          <w:rFonts w:ascii="Arial" w:hAnsi="Arial" w:cs="Arial"/>
          <w:bCs/>
          <w:sz w:val="22"/>
          <w:szCs w:val="22"/>
          <w:lang w:val="fr-FR"/>
        </w:rPr>
        <w:t>’</w:t>
      </w:r>
      <w:r>
        <w:rPr>
          <w:rFonts w:ascii="Arial" w:hAnsi="Arial" w:cs="Arial"/>
          <w:bCs/>
          <w:sz w:val="22"/>
          <w:szCs w:val="22"/>
          <w:lang w:val="fr-FR"/>
        </w:rPr>
        <w:t>Assemblée s</w:t>
      </w:r>
      <w:r w:rsidR="008E532B">
        <w:rPr>
          <w:rFonts w:ascii="Arial" w:hAnsi="Arial" w:cs="Arial"/>
          <w:bCs/>
          <w:sz w:val="22"/>
          <w:szCs w:val="22"/>
          <w:lang w:val="fr-FR"/>
        </w:rPr>
        <w:t>’</w:t>
      </w:r>
      <w:r>
        <w:rPr>
          <w:rFonts w:ascii="Arial" w:hAnsi="Arial" w:cs="Arial"/>
          <w:bCs/>
          <w:sz w:val="22"/>
          <w:szCs w:val="22"/>
          <w:lang w:val="fr-FR"/>
        </w:rPr>
        <w:t>il y avait un consensus sur cette formulation.</w:t>
      </w:r>
    </w:p>
    <w:p w14:paraId="0C7BC041" w14:textId="2982BB98" w:rsidR="00D9653F" w:rsidRPr="00643617"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43617">
        <w:rPr>
          <w:rFonts w:ascii="Arial" w:hAnsi="Arial" w:cs="Arial"/>
          <w:bCs/>
          <w:sz w:val="22"/>
          <w:szCs w:val="22"/>
          <w:lang w:val="fr-FR"/>
        </w:rPr>
        <w:t>La délégation d</w:t>
      </w:r>
      <w:r>
        <w:rPr>
          <w:rFonts w:ascii="Arial" w:hAnsi="Arial" w:cs="Arial"/>
          <w:bCs/>
          <w:sz w:val="22"/>
          <w:szCs w:val="22"/>
          <w:lang w:val="fr-FR"/>
        </w:rPr>
        <w:t xml:space="preserve">e la </w:t>
      </w:r>
      <w:r w:rsidRPr="00E8321F">
        <w:rPr>
          <w:rFonts w:ascii="Arial" w:hAnsi="Arial" w:cs="Arial"/>
          <w:b/>
          <w:sz w:val="22"/>
          <w:szCs w:val="22"/>
          <w:lang w:val="fr-FR"/>
        </w:rPr>
        <w:t>République bolivarienne du Venezuela</w:t>
      </w:r>
      <w:r w:rsidRPr="00643617">
        <w:rPr>
          <w:rFonts w:ascii="Arial" w:hAnsi="Arial" w:cs="Arial"/>
          <w:bCs/>
          <w:sz w:val="22"/>
          <w:szCs w:val="22"/>
          <w:lang w:val="fr-FR"/>
        </w:rPr>
        <w:t xml:space="preserve"> </w:t>
      </w:r>
      <w:r>
        <w:rPr>
          <w:rFonts w:ascii="Arial" w:hAnsi="Arial" w:cs="Arial"/>
          <w:bCs/>
          <w:sz w:val="22"/>
          <w:szCs w:val="22"/>
          <w:lang w:val="fr-FR"/>
        </w:rPr>
        <w:t>était</w:t>
      </w:r>
      <w:r w:rsidRPr="00643617">
        <w:rPr>
          <w:rFonts w:ascii="Arial" w:hAnsi="Arial" w:cs="Arial"/>
          <w:bCs/>
          <w:sz w:val="22"/>
          <w:szCs w:val="22"/>
          <w:lang w:val="fr-FR"/>
        </w:rPr>
        <w:t xml:space="preserve"> d</w:t>
      </w:r>
      <w:r w:rsidR="008E532B">
        <w:rPr>
          <w:rFonts w:ascii="Arial" w:hAnsi="Arial" w:cs="Arial"/>
          <w:bCs/>
          <w:sz w:val="22"/>
          <w:szCs w:val="22"/>
          <w:lang w:val="fr-FR"/>
        </w:rPr>
        <w:t>’</w:t>
      </w:r>
      <w:r w:rsidRPr="00643617">
        <w:rPr>
          <w:rFonts w:ascii="Arial" w:hAnsi="Arial" w:cs="Arial"/>
          <w:bCs/>
          <w:sz w:val="22"/>
          <w:szCs w:val="22"/>
          <w:lang w:val="fr-FR"/>
        </w:rPr>
        <w:t>accord pour que le vote à bulletin</w:t>
      </w:r>
      <w:r>
        <w:rPr>
          <w:rFonts w:ascii="Arial" w:hAnsi="Arial" w:cs="Arial"/>
          <w:bCs/>
          <w:sz w:val="22"/>
          <w:szCs w:val="22"/>
          <w:lang w:val="fr-FR"/>
        </w:rPr>
        <w:t>s</w:t>
      </w:r>
      <w:r w:rsidRPr="00643617">
        <w:rPr>
          <w:rFonts w:ascii="Arial" w:hAnsi="Arial" w:cs="Arial"/>
          <w:bCs/>
          <w:sz w:val="22"/>
          <w:szCs w:val="22"/>
          <w:lang w:val="fr-FR"/>
        </w:rPr>
        <w:t xml:space="preserve"> secret</w:t>
      </w:r>
      <w:r>
        <w:rPr>
          <w:rFonts w:ascii="Arial" w:hAnsi="Arial" w:cs="Arial"/>
          <w:bCs/>
          <w:sz w:val="22"/>
          <w:szCs w:val="22"/>
          <w:lang w:val="fr-FR"/>
        </w:rPr>
        <w:t>s</w:t>
      </w:r>
      <w:r w:rsidRPr="00643617">
        <w:rPr>
          <w:rFonts w:ascii="Arial" w:hAnsi="Arial" w:cs="Arial"/>
          <w:bCs/>
          <w:sz w:val="22"/>
          <w:szCs w:val="22"/>
          <w:lang w:val="fr-FR"/>
        </w:rPr>
        <w:t xml:space="preserve"> se déroule </w:t>
      </w:r>
      <w:r w:rsidRPr="00C22CCE">
        <w:rPr>
          <w:rFonts w:ascii="Arial" w:hAnsi="Arial" w:cs="Arial"/>
          <w:bCs/>
          <w:i/>
          <w:iCs/>
          <w:sz w:val="22"/>
          <w:szCs w:val="22"/>
          <w:lang w:val="fr-FR"/>
        </w:rPr>
        <w:t xml:space="preserve">in </w:t>
      </w:r>
      <w:proofErr w:type="spellStart"/>
      <w:r w:rsidRPr="00C22CCE">
        <w:rPr>
          <w:rFonts w:ascii="Arial" w:hAnsi="Arial" w:cs="Arial"/>
          <w:bCs/>
          <w:i/>
          <w:iCs/>
          <w:sz w:val="22"/>
          <w:szCs w:val="22"/>
          <w:lang w:val="fr-FR"/>
        </w:rPr>
        <w:t>præsentia</w:t>
      </w:r>
      <w:proofErr w:type="spellEnd"/>
      <w:r w:rsidRPr="00643617">
        <w:rPr>
          <w:rFonts w:ascii="Arial" w:hAnsi="Arial" w:cs="Arial"/>
          <w:bCs/>
          <w:sz w:val="22"/>
          <w:szCs w:val="22"/>
          <w:lang w:val="fr-FR"/>
        </w:rPr>
        <w:t>, mais elle n</w:t>
      </w:r>
      <w:r w:rsidR="008E532B">
        <w:rPr>
          <w:rFonts w:ascii="Arial" w:hAnsi="Arial" w:cs="Arial"/>
          <w:bCs/>
          <w:sz w:val="22"/>
          <w:szCs w:val="22"/>
          <w:lang w:val="fr-FR"/>
        </w:rPr>
        <w:t>’</w:t>
      </w:r>
      <w:r>
        <w:rPr>
          <w:rFonts w:ascii="Arial" w:hAnsi="Arial" w:cs="Arial"/>
          <w:bCs/>
          <w:sz w:val="22"/>
          <w:szCs w:val="22"/>
          <w:lang w:val="fr-FR"/>
        </w:rPr>
        <w:t xml:space="preserve">était </w:t>
      </w:r>
      <w:r w:rsidRPr="00643617">
        <w:rPr>
          <w:rFonts w:ascii="Arial" w:hAnsi="Arial" w:cs="Arial"/>
          <w:bCs/>
          <w:sz w:val="22"/>
          <w:szCs w:val="22"/>
          <w:lang w:val="fr-FR"/>
        </w:rPr>
        <w:t>pas sûre que l</w:t>
      </w:r>
      <w:r w:rsidR="008E532B">
        <w:rPr>
          <w:rFonts w:ascii="Arial" w:hAnsi="Arial" w:cs="Arial"/>
          <w:bCs/>
          <w:sz w:val="22"/>
          <w:szCs w:val="22"/>
          <w:lang w:val="fr-FR"/>
        </w:rPr>
        <w:t>’</w:t>
      </w:r>
      <w:r w:rsidRPr="00643617">
        <w:rPr>
          <w:rFonts w:ascii="Arial" w:hAnsi="Arial" w:cs="Arial"/>
          <w:bCs/>
          <w:sz w:val="22"/>
          <w:szCs w:val="22"/>
          <w:lang w:val="fr-FR"/>
        </w:rPr>
        <w:t>Assemblée doive procéder à un vote spécifique en ce sens, car elle préf</w:t>
      </w:r>
      <w:r>
        <w:rPr>
          <w:rFonts w:ascii="Arial" w:hAnsi="Arial" w:cs="Arial"/>
          <w:bCs/>
          <w:sz w:val="22"/>
          <w:szCs w:val="22"/>
          <w:lang w:val="fr-FR"/>
        </w:rPr>
        <w:t>érait</w:t>
      </w:r>
      <w:r w:rsidRPr="00643617">
        <w:rPr>
          <w:rFonts w:ascii="Arial" w:hAnsi="Arial" w:cs="Arial"/>
          <w:bCs/>
          <w:sz w:val="22"/>
          <w:szCs w:val="22"/>
          <w:lang w:val="fr-FR"/>
        </w:rPr>
        <w:t xml:space="preserve"> que tout vote se déroule en</w:t>
      </w:r>
      <w:r>
        <w:rPr>
          <w:rFonts w:ascii="Arial" w:hAnsi="Arial" w:cs="Arial"/>
          <w:bCs/>
          <w:sz w:val="22"/>
          <w:szCs w:val="22"/>
          <w:lang w:val="fr-FR"/>
        </w:rPr>
        <w:t xml:space="preserve"> présentiel</w:t>
      </w:r>
      <w:r w:rsidRPr="00643617">
        <w:rPr>
          <w:rFonts w:ascii="Arial" w:hAnsi="Arial" w:cs="Arial"/>
          <w:bCs/>
          <w:sz w:val="22"/>
          <w:szCs w:val="22"/>
          <w:lang w:val="fr-FR"/>
        </w:rPr>
        <w:t>. En réalité, cela se produi</w:t>
      </w:r>
      <w:r>
        <w:rPr>
          <w:rFonts w:ascii="Arial" w:hAnsi="Arial" w:cs="Arial"/>
          <w:bCs/>
          <w:sz w:val="22"/>
          <w:szCs w:val="22"/>
          <w:lang w:val="fr-FR"/>
        </w:rPr>
        <w:t>sai</w:t>
      </w:r>
      <w:r w:rsidRPr="00643617">
        <w:rPr>
          <w:rFonts w:ascii="Arial" w:hAnsi="Arial" w:cs="Arial"/>
          <w:bCs/>
          <w:sz w:val="22"/>
          <w:szCs w:val="22"/>
          <w:lang w:val="fr-FR"/>
        </w:rPr>
        <w:t>t à l</w:t>
      </w:r>
      <w:r w:rsidR="008E532B">
        <w:rPr>
          <w:rFonts w:ascii="Arial" w:hAnsi="Arial" w:cs="Arial"/>
          <w:bCs/>
          <w:sz w:val="22"/>
          <w:szCs w:val="22"/>
          <w:lang w:val="fr-FR"/>
        </w:rPr>
        <w:t>’</w:t>
      </w:r>
      <w:r w:rsidRPr="00643617">
        <w:rPr>
          <w:rFonts w:ascii="Arial" w:hAnsi="Arial" w:cs="Arial"/>
          <w:bCs/>
          <w:sz w:val="22"/>
          <w:szCs w:val="22"/>
          <w:lang w:val="fr-FR"/>
        </w:rPr>
        <w:t>UNESCO, comme on l</w:t>
      </w:r>
      <w:r w:rsidR="008E532B">
        <w:rPr>
          <w:rFonts w:ascii="Arial" w:hAnsi="Arial" w:cs="Arial"/>
          <w:bCs/>
          <w:sz w:val="22"/>
          <w:szCs w:val="22"/>
          <w:lang w:val="fr-FR"/>
        </w:rPr>
        <w:t>’</w:t>
      </w:r>
      <w:r w:rsidRPr="00643617">
        <w:rPr>
          <w:rFonts w:ascii="Arial" w:hAnsi="Arial" w:cs="Arial"/>
          <w:bCs/>
          <w:sz w:val="22"/>
          <w:szCs w:val="22"/>
          <w:lang w:val="fr-FR"/>
        </w:rPr>
        <w:t>a</w:t>
      </w:r>
      <w:r>
        <w:rPr>
          <w:rFonts w:ascii="Arial" w:hAnsi="Arial" w:cs="Arial"/>
          <w:bCs/>
          <w:sz w:val="22"/>
          <w:szCs w:val="22"/>
          <w:lang w:val="fr-FR"/>
        </w:rPr>
        <w:t>vait</w:t>
      </w:r>
      <w:r w:rsidRPr="00643617">
        <w:rPr>
          <w:rFonts w:ascii="Arial" w:hAnsi="Arial" w:cs="Arial"/>
          <w:bCs/>
          <w:sz w:val="22"/>
          <w:szCs w:val="22"/>
          <w:lang w:val="fr-FR"/>
        </w:rPr>
        <w:t xml:space="preserve"> vu, par exemple, au Conseil exécutif et dans d</w:t>
      </w:r>
      <w:r w:rsidR="008E532B">
        <w:rPr>
          <w:rFonts w:ascii="Arial" w:hAnsi="Arial" w:cs="Arial"/>
          <w:bCs/>
          <w:sz w:val="22"/>
          <w:szCs w:val="22"/>
          <w:lang w:val="fr-FR"/>
        </w:rPr>
        <w:t>’</w:t>
      </w:r>
      <w:r w:rsidRPr="00643617">
        <w:rPr>
          <w:rFonts w:ascii="Arial" w:hAnsi="Arial" w:cs="Arial"/>
          <w:bCs/>
          <w:sz w:val="22"/>
          <w:szCs w:val="22"/>
          <w:lang w:val="fr-FR"/>
        </w:rPr>
        <w:t>autres forums. De cette manière, on s</w:t>
      </w:r>
      <w:r w:rsidR="008E532B">
        <w:rPr>
          <w:rFonts w:ascii="Arial" w:hAnsi="Arial" w:cs="Arial"/>
          <w:bCs/>
          <w:sz w:val="22"/>
          <w:szCs w:val="22"/>
          <w:lang w:val="fr-FR"/>
        </w:rPr>
        <w:t>’</w:t>
      </w:r>
      <w:r w:rsidRPr="00643617">
        <w:rPr>
          <w:rFonts w:ascii="Arial" w:hAnsi="Arial" w:cs="Arial"/>
          <w:bCs/>
          <w:sz w:val="22"/>
          <w:szCs w:val="22"/>
          <w:lang w:val="fr-FR"/>
        </w:rPr>
        <w:t>assurerait qu</w:t>
      </w:r>
      <w:r w:rsidR="008E532B">
        <w:rPr>
          <w:rFonts w:ascii="Arial" w:hAnsi="Arial" w:cs="Arial"/>
          <w:bCs/>
          <w:sz w:val="22"/>
          <w:szCs w:val="22"/>
          <w:lang w:val="fr-FR"/>
        </w:rPr>
        <w:t>’</w:t>
      </w:r>
      <w:r w:rsidRPr="00643617">
        <w:rPr>
          <w:rFonts w:ascii="Arial" w:hAnsi="Arial" w:cs="Arial"/>
          <w:bCs/>
          <w:sz w:val="22"/>
          <w:szCs w:val="22"/>
          <w:lang w:val="fr-FR"/>
        </w:rPr>
        <w:t>il n</w:t>
      </w:r>
      <w:r w:rsidR="008E532B">
        <w:rPr>
          <w:rFonts w:ascii="Arial" w:hAnsi="Arial" w:cs="Arial"/>
          <w:bCs/>
          <w:sz w:val="22"/>
          <w:szCs w:val="22"/>
          <w:lang w:val="fr-FR"/>
        </w:rPr>
        <w:t>’</w:t>
      </w:r>
      <w:r w:rsidRPr="00643617">
        <w:rPr>
          <w:rFonts w:ascii="Arial" w:hAnsi="Arial" w:cs="Arial"/>
          <w:bCs/>
          <w:sz w:val="22"/>
          <w:szCs w:val="22"/>
          <w:lang w:val="fr-FR"/>
        </w:rPr>
        <w:t>y a pas de problèmes de connectivité ou d</w:t>
      </w:r>
      <w:r w:rsidR="008E532B">
        <w:rPr>
          <w:rFonts w:ascii="Arial" w:hAnsi="Arial" w:cs="Arial"/>
          <w:bCs/>
          <w:sz w:val="22"/>
          <w:szCs w:val="22"/>
          <w:lang w:val="fr-FR"/>
        </w:rPr>
        <w:t>’</w:t>
      </w:r>
      <w:r w:rsidRPr="00643617">
        <w:rPr>
          <w:rFonts w:ascii="Arial" w:hAnsi="Arial" w:cs="Arial"/>
          <w:bCs/>
          <w:sz w:val="22"/>
          <w:szCs w:val="22"/>
          <w:lang w:val="fr-FR"/>
        </w:rPr>
        <w:t xml:space="preserve">autres </w:t>
      </w:r>
      <w:r>
        <w:rPr>
          <w:rFonts w:ascii="Arial" w:hAnsi="Arial" w:cs="Arial"/>
          <w:bCs/>
          <w:sz w:val="22"/>
          <w:szCs w:val="22"/>
          <w:lang w:val="fr-FR"/>
        </w:rPr>
        <w:t xml:space="preserve">problèmes </w:t>
      </w:r>
      <w:r w:rsidRPr="00643617">
        <w:rPr>
          <w:rFonts w:ascii="Arial" w:hAnsi="Arial" w:cs="Arial"/>
          <w:bCs/>
          <w:sz w:val="22"/>
          <w:szCs w:val="22"/>
          <w:lang w:val="fr-FR"/>
        </w:rPr>
        <w:t>qui empêcheraient un État membre d</w:t>
      </w:r>
      <w:r w:rsidR="008E532B">
        <w:rPr>
          <w:rFonts w:ascii="Arial" w:hAnsi="Arial" w:cs="Arial"/>
          <w:bCs/>
          <w:sz w:val="22"/>
          <w:szCs w:val="22"/>
          <w:lang w:val="fr-FR"/>
        </w:rPr>
        <w:t>’</w:t>
      </w:r>
      <w:r>
        <w:rPr>
          <w:rFonts w:ascii="Arial" w:hAnsi="Arial" w:cs="Arial"/>
          <w:bCs/>
          <w:sz w:val="22"/>
          <w:szCs w:val="22"/>
          <w:lang w:val="fr-FR"/>
        </w:rPr>
        <w:t xml:space="preserve">exercer son droit de </w:t>
      </w:r>
      <w:r w:rsidRPr="00643617">
        <w:rPr>
          <w:rFonts w:ascii="Arial" w:hAnsi="Arial" w:cs="Arial"/>
          <w:bCs/>
          <w:sz w:val="22"/>
          <w:szCs w:val="22"/>
          <w:lang w:val="fr-FR"/>
        </w:rPr>
        <w:t>vote</w:t>
      </w:r>
      <w:r>
        <w:rPr>
          <w:rFonts w:ascii="Arial" w:hAnsi="Arial" w:cs="Arial"/>
          <w:bCs/>
          <w:sz w:val="22"/>
          <w:szCs w:val="22"/>
          <w:lang w:val="fr-FR"/>
        </w:rPr>
        <w:t>,</w:t>
      </w:r>
      <w:r w:rsidRPr="00643617">
        <w:rPr>
          <w:rFonts w:ascii="Arial" w:hAnsi="Arial" w:cs="Arial"/>
          <w:bCs/>
          <w:sz w:val="22"/>
          <w:szCs w:val="22"/>
          <w:lang w:val="fr-FR"/>
        </w:rPr>
        <w:t xml:space="preserve"> sur un pied d</w:t>
      </w:r>
      <w:r w:rsidR="008E532B">
        <w:rPr>
          <w:rFonts w:ascii="Arial" w:hAnsi="Arial" w:cs="Arial"/>
          <w:bCs/>
          <w:sz w:val="22"/>
          <w:szCs w:val="22"/>
          <w:lang w:val="fr-FR"/>
        </w:rPr>
        <w:t>’</w:t>
      </w:r>
      <w:r w:rsidRPr="00643617">
        <w:rPr>
          <w:rFonts w:ascii="Arial" w:hAnsi="Arial" w:cs="Arial"/>
          <w:bCs/>
          <w:sz w:val="22"/>
          <w:szCs w:val="22"/>
          <w:lang w:val="fr-FR"/>
        </w:rPr>
        <w:t xml:space="preserve">égalité avec les autres. La délégation </w:t>
      </w:r>
      <w:r>
        <w:rPr>
          <w:rFonts w:ascii="Arial" w:hAnsi="Arial" w:cs="Arial"/>
          <w:bCs/>
          <w:sz w:val="22"/>
          <w:szCs w:val="22"/>
          <w:lang w:val="fr-FR"/>
        </w:rPr>
        <w:t xml:space="preserve">préférait </w:t>
      </w:r>
      <w:r w:rsidRPr="00643617">
        <w:rPr>
          <w:rFonts w:ascii="Arial" w:hAnsi="Arial" w:cs="Arial"/>
          <w:bCs/>
          <w:sz w:val="22"/>
          <w:szCs w:val="22"/>
          <w:lang w:val="fr-FR"/>
        </w:rPr>
        <w:t>donc un</w:t>
      </w:r>
      <w:r>
        <w:rPr>
          <w:rFonts w:ascii="Arial" w:hAnsi="Arial" w:cs="Arial"/>
          <w:bCs/>
          <w:sz w:val="22"/>
          <w:szCs w:val="22"/>
          <w:lang w:val="fr-FR"/>
        </w:rPr>
        <w:t xml:space="preserve">e formulation </w:t>
      </w:r>
      <w:r w:rsidRPr="00643617">
        <w:rPr>
          <w:rFonts w:ascii="Arial" w:hAnsi="Arial" w:cs="Arial"/>
          <w:bCs/>
          <w:sz w:val="22"/>
          <w:szCs w:val="22"/>
          <w:lang w:val="fr-FR"/>
        </w:rPr>
        <w:t>plus général</w:t>
      </w:r>
      <w:r>
        <w:rPr>
          <w:rFonts w:ascii="Arial" w:hAnsi="Arial" w:cs="Arial"/>
          <w:bCs/>
          <w:sz w:val="22"/>
          <w:szCs w:val="22"/>
          <w:lang w:val="fr-FR"/>
        </w:rPr>
        <w:t>e</w:t>
      </w:r>
      <w:r w:rsidRPr="00643617">
        <w:rPr>
          <w:rFonts w:ascii="Arial" w:hAnsi="Arial" w:cs="Arial"/>
          <w:bCs/>
          <w:sz w:val="22"/>
          <w:szCs w:val="22"/>
          <w:lang w:val="fr-FR"/>
        </w:rPr>
        <w:t xml:space="preserve"> et a proposé : </w:t>
      </w:r>
      <w:r>
        <w:rPr>
          <w:rFonts w:ascii="Arial" w:hAnsi="Arial" w:cs="Arial"/>
          <w:bCs/>
          <w:sz w:val="22"/>
          <w:szCs w:val="22"/>
          <w:lang w:val="fr-FR"/>
        </w:rPr>
        <w:t>« </w:t>
      </w:r>
      <w:r w:rsidRPr="00643617">
        <w:rPr>
          <w:rFonts w:ascii="Arial" w:hAnsi="Arial" w:cs="Arial"/>
          <w:bCs/>
          <w:sz w:val="22"/>
          <w:szCs w:val="22"/>
          <w:lang w:val="fr-FR"/>
        </w:rPr>
        <w:t xml:space="preserve">Toute élection ou </w:t>
      </w:r>
      <w:r>
        <w:rPr>
          <w:rFonts w:ascii="Arial" w:hAnsi="Arial" w:cs="Arial"/>
          <w:bCs/>
          <w:sz w:val="22"/>
          <w:szCs w:val="22"/>
          <w:lang w:val="fr-FR"/>
        </w:rPr>
        <w:t>scrutin devrait se tenir en personne</w:t>
      </w:r>
      <w:r w:rsidRPr="00643617">
        <w:rPr>
          <w:rFonts w:ascii="Arial" w:hAnsi="Arial" w:cs="Arial"/>
          <w:bCs/>
          <w:sz w:val="22"/>
          <w:szCs w:val="22"/>
          <w:lang w:val="fr-FR"/>
        </w:rPr>
        <w:t xml:space="preserve"> </w:t>
      </w:r>
      <w:r>
        <w:rPr>
          <w:rFonts w:ascii="Arial" w:hAnsi="Arial" w:cs="Arial"/>
          <w:bCs/>
          <w:sz w:val="22"/>
          <w:szCs w:val="22"/>
          <w:lang w:val="fr-FR"/>
        </w:rPr>
        <w:t xml:space="preserve">et </w:t>
      </w:r>
      <w:r w:rsidRPr="00643617">
        <w:rPr>
          <w:rFonts w:ascii="Arial" w:hAnsi="Arial" w:cs="Arial"/>
          <w:bCs/>
          <w:sz w:val="22"/>
          <w:szCs w:val="22"/>
          <w:lang w:val="fr-FR"/>
        </w:rPr>
        <w:t>le Secrétariat doit faire les préparatifs nécessaires et informer</w:t>
      </w:r>
      <w:r>
        <w:rPr>
          <w:rFonts w:ascii="Arial" w:hAnsi="Arial" w:cs="Arial"/>
          <w:bCs/>
          <w:sz w:val="22"/>
          <w:szCs w:val="22"/>
          <w:lang w:val="fr-FR"/>
        </w:rPr>
        <w:t xml:space="preserve"> </w:t>
      </w:r>
      <w:r w:rsidRPr="00643617">
        <w:rPr>
          <w:rFonts w:ascii="Arial" w:hAnsi="Arial" w:cs="Arial"/>
          <w:bCs/>
          <w:sz w:val="22"/>
          <w:szCs w:val="22"/>
          <w:lang w:val="fr-FR"/>
        </w:rPr>
        <w:t xml:space="preserve">les États parties </w:t>
      </w:r>
      <w:r>
        <w:rPr>
          <w:rFonts w:ascii="Arial" w:hAnsi="Arial" w:cs="Arial"/>
          <w:bCs/>
          <w:sz w:val="22"/>
          <w:szCs w:val="22"/>
          <w:lang w:val="fr-FR"/>
        </w:rPr>
        <w:t>à l</w:t>
      </w:r>
      <w:r w:rsidR="008E532B">
        <w:rPr>
          <w:rFonts w:ascii="Arial" w:hAnsi="Arial" w:cs="Arial"/>
          <w:bCs/>
          <w:sz w:val="22"/>
          <w:szCs w:val="22"/>
          <w:lang w:val="fr-FR"/>
        </w:rPr>
        <w:t>’</w:t>
      </w:r>
      <w:r>
        <w:rPr>
          <w:rFonts w:ascii="Arial" w:hAnsi="Arial" w:cs="Arial"/>
          <w:bCs/>
          <w:sz w:val="22"/>
          <w:szCs w:val="22"/>
          <w:lang w:val="fr-FR"/>
        </w:rPr>
        <w:t xml:space="preserve">avance </w:t>
      </w:r>
      <w:r w:rsidRPr="00643617">
        <w:rPr>
          <w:rFonts w:ascii="Arial" w:hAnsi="Arial" w:cs="Arial"/>
          <w:bCs/>
          <w:sz w:val="22"/>
          <w:szCs w:val="22"/>
          <w:lang w:val="fr-FR"/>
        </w:rPr>
        <w:t xml:space="preserve">des procédures et des </w:t>
      </w:r>
      <w:r w:rsidRPr="003E5B1A">
        <w:rPr>
          <w:rFonts w:ascii="Arial" w:hAnsi="Arial" w:cs="Arial"/>
          <w:bCs/>
          <w:sz w:val="22"/>
          <w:szCs w:val="22"/>
          <w:lang w:val="fr-FR"/>
        </w:rPr>
        <w:t>dispositio</w:t>
      </w:r>
      <w:r>
        <w:rPr>
          <w:rFonts w:ascii="Arial" w:hAnsi="Arial" w:cs="Arial"/>
          <w:bCs/>
          <w:sz w:val="22"/>
          <w:szCs w:val="22"/>
          <w:lang w:val="fr-FR"/>
        </w:rPr>
        <w:t xml:space="preserve">ns </w:t>
      </w:r>
      <w:r w:rsidRPr="00643617">
        <w:rPr>
          <w:rFonts w:ascii="Arial" w:hAnsi="Arial" w:cs="Arial"/>
          <w:bCs/>
          <w:sz w:val="22"/>
          <w:szCs w:val="22"/>
          <w:lang w:val="fr-FR"/>
        </w:rPr>
        <w:t>d</w:t>
      </w:r>
      <w:r>
        <w:rPr>
          <w:rFonts w:ascii="Arial" w:hAnsi="Arial" w:cs="Arial"/>
          <w:bCs/>
          <w:sz w:val="22"/>
          <w:szCs w:val="22"/>
          <w:lang w:val="fr-FR"/>
        </w:rPr>
        <w:t>u</w:t>
      </w:r>
      <w:r w:rsidRPr="00643617">
        <w:rPr>
          <w:rFonts w:ascii="Arial" w:hAnsi="Arial" w:cs="Arial"/>
          <w:bCs/>
          <w:sz w:val="22"/>
          <w:szCs w:val="22"/>
          <w:lang w:val="fr-FR"/>
        </w:rPr>
        <w:t xml:space="preserve"> vote.</w:t>
      </w:r>
      <w:r>
        <w:rPr>
          <w:rFonts w:ascii="Arial" w:hAnsi="Arial" w:cs="Arial"/>
          <w:bCs/>
          <w:sz w:val="22"/>
          <w:szCs w:val="22"/>
          <w:lang w:val="fr-FR"/>
        </w:rPr>
        <w:t> »</w:t>
      </w:r>
      <w:r w:rsidRPr="00643617">
        <w:rPr>
          <w:rFonts w:ascii="Arial" w:hAnsi="Arial" w:cs="Arial"/>
          <w:bCs/>
          <w:sz w:val="22"/>
          <w:szCs w:val="22"/>
          <w:lang w:val="fr-FR"/>
        </w:rPr>
        <w:t xml:space="preserve"> </w:t>
      </w:r>
    </w:p>
    <w:p w14:paraId="028B3D62" w14:textId="0EE7E478" w:rsidR="00D9653F" w:rsidRPr="00E920D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920DD">
        <w:rPr>
          <w:rFonts w:ascii="Arial" w:hAnsi="Arial" w:cs="Arial"/>
          <w:bCs/>
          <w:sz w:val="22"/>
          <w:szCs w:val="22"/>
          <w:lang w:val="fr-FR"/>
        </w:rPr>
        <w:t xml:space="preserve">La délégation de la </w:t>
      </w:r>
      <w:r w:rsidRPr="00E920DD">
        <w:rPr>
          <w:rFonts w:ascii="Arial" w:hAnsi="Arial" w:cs="Arial"/>
          <w:b/>
          <w:sz w:val="22"/>
          <w:szCs w:val="22"/>
          <w:lang w:val="fr-FR"/>
        </w:rPr>
        <w:t>Palestine</w:t>
      </w:r>
      <w:r w:rsidRPr="00E920DD">
        <w:rPr>
          <w:rFonts w:ascii="Arial" w:hAnsi="Arial" w:cs="Arial"/>
          <w:bCs/>
          <w:sz w:val="22"/>
          <w:szCs w:val="22"/>
          <w:lang w:val="fr-FR"/>
        </w:rPr>
        <w:t xml:space="preserve"> n</w:t>
      </w:r>
      <w:r w:rsidR="008E532B">
        <w:rPr>
          <w:rFonts w:ascii="Arial" w:hAnsi="Arial" w:cs="Arial"/>
          <w:bCs/>
          <w:sz w:val="22"/>
          <w:szCs w:val="22"/>
          <w:lang w:val="fr-FR"/>
        </w:rPr>
        <w:t>’</w:t>
      </w:r>
      <w:r w:rsidRPr="00E920DD">
        <w:rPr>
          <w:rFonts w:ascii="Arial" w:hAnsi="Arial" w:cs="Arial"/>
          <w:bCs/>
          <w:sz w:val="22"/>
          <w:szCs w:val="22"/>
          <w:lang w:val="fr-FR"/>
        </w:rPr>
        <w:t>a</w:t>
      </w:r>
      <w:r>
        <w:rPr>
          <w:rFonts w:ascii="Arial" w:hAnsi="Arial" w:cs="Arial"/>
          <w:bCs/>
          <w:sz w:val="22"/>
          <w:szCs w:val="22"/>
          <w:lang w:val="fr-FR"/>
        </w:rPr>
        <w:t>vait</w:t>
      </w:r>
      <w:r w:rsidRPr="00E920DD">
        <w:rPr>
          <w:rFonts w:ascii="Arial" w:hAnsi="Arial" w:cs="Arial"/>
          <w:bCs/>
          <w:sz w:val="22"/>
          <w:szCs w:val="22"/>
          <w:lang w:val="fr-FR"/>
        </w:rPr>
        <w:t xml:space="preserve"> aucun problème avec la première partie </w:t>
      </w:r>
      <w:r>
        <w:rPr>
          <w:rFonts w:ascii="Arial" w:hAnsi="Arial" w:cs="Arial"/>
          <w:bCs/>
          <w:sz w:val="22"/>
          <w:szCs w:val="22"/>
          <w:lang w:val="fr-FR"/>
        </w:rPr>
        <w:t>telle qu</w:t>
      </w:r>
      <w:r w:rsidR="008E532B">
        <w:rPr>
          <w:rFonts w:ascii="Arial" w:hAnsi="Arial" w:cs="Arial"/>
          <w:bCs/>
          <w:sz w:val="22"/>
          <w:szCs w:val="22"/>
          <w:lang w:val="fr-FR"/>
        </w:rPr>
        <w:t>’</w:t>
      </w:r>
      <w:r w:rsidRPr="00E920DD">
        <w:rPr>
          <w:rFonts w:ascii="Arial" w:hAnsi="Arial" w:cs="Arial"/>
          <w:bCs/>
          <w:sz w:val="22"/>
          <w:szCs w:val="22"/>
          <w:lang w:val="fr-FR"/>
        </w:rPr>
        <w:t>amendée par l</w:t>
      </w:r>
      <w:r>
        <w:rPr>
          <w:rFonts w:ascii="Arial" w:hAnsi="Arial" w:cs="Arial"/>
          <w:bCs/>
          <w:sz w:val="22"/>
          <w:szCs w:val="22"/>
          <w:lang w:val="fr-FR"/>
        </w:rPr>
        <w:t xml:space="preserve">a République bolivarienne du Venezuela, </w:t>
      </w:r>
      <w:r w:rsidRPr="00E920DD">
        <w:rPr>
          <w:rFonts w:ascii="Arial" w:hAnsi="Arial" w:cs="Arial"/>
          <w:bCs/>
          <w:sz w:val="22"/>
          <w:szCs w:val="22"/>
          <w:lang w:val="fr-FR"/>
        </w:rPr>
        <w:t xml:space="preserve">mais </w:t>
      </w:r>
      <w:r>
        <w:rPr>
          <w:rFonts w:ascii="Arial" w:hAnsi="Arial" w:cs="Arial"/>
          <w:bCs/>
          <w:sz w:val="22"/>
          <w:szCs w:val="22"/>
          <w:lang w:val="fr-FR"/>
        </w:rPr>
        <w:t xml:space="preserve">elle </w:t>
      </w:r>
      <w:r w:rsidRPr="00E920DD">
        <w:rPr>
          <w:rFonts w:ascii="Arial" w:hAnsi="Arial" w:cs="Arial"/>
          <w:bCs/>
          <w:sz w:val="22"/>
          <w:szCs w:val="22"/>
          <w:lang w:val="fr-FR"/>
        </w:rPr>
        <w:t>souhait</w:t>
      </w:r>
      <w:r>
        <w:rPr>
          <w:rFonts w:ascii="Arial" w:hAnsi="Arial" w:cs="Arial"/>
          <w:bCs/>
          <w:sz w:val="22"/>
          <w:szCs w:val="22"/>
          <w:lang w:val="fr-FR"/>
        </w:rPr>
        <w:t>ait</w:t>
      </w:r>
      <w:r w:rsidRPr="00E920DD">
        <w:rPr>
          <w:rFonts w:ascii="Arial" w:hAnsi="Arial" w:cs="Arial"/>
          <w:bCs/>
          <w:sz w:val="22"/>
          <w:szCs w:val="22"/>
          <w:lang w:val="fr-FR"/>
        </w:rPr>
        <w:t xml:space="preserve"> ajouter que le Secrétariat, </w:t>
      </w:r>
      <w:r>
        <w:rPr>
          <w:rFonts w:ascii="Arial" w:hAnsi="Arial" w:cs="Arial"/>
          <w:bCs/>
          <w:sz w:val="22"/>
          <w:szCs w:val="22"/>
          <w:lang w:val="fr-FR"/>
        </w:rPr>
        <w:t>lors de sa notification préalable aux</w:t>
      </w:r>
      <w:r w:rsidRPr="00E920DD">
        <w:rPr>
          <w:rFonts w:ascii="Arial" w:hAnsi="Arial" w:cs="Arial"/>
          <w:bCs/>
          <w:sz w:val="22"/>
          <w:szCs w:val="22"/>
          <w:lang w:val="fr-FR"/>
        </w:rPr>
        <w:t xml:space="preserve"> États partie</w:t>
      </w:r>
      <w:r>
        <w:rPr>
          <w:rFonts w:ascii="Arial" w:hAnsi="Arial" w:cs="Arial"/>
          <w:bCs/>
          <w:sz w:val="22"/>
          <w:szCs w:val="22"/>
          <w:lang w:val="fr-FR"/>
        </w:rPr>
        <w:t>s</w:t>
      </w:r>
      <w:r w:rsidRPr="00E920DD">
        <w:rPr>
          <w:rFonts w:ascii="Arial" w:hAnsi="Arial" w:cs="Arial"/>
          <w:bCs/>
          <w:sz w:val="22"/>
          <w:szCs w:val="22"/>
          <w:lang w:val="fr-FR"/>
        </w:rPr>
        <w:t xml:space="preserve">, devrait également </w:t>
      </w:r>
      <w:r>
        <w:rPr>
          <w:rFonts w:ascii="Arial" w:hAnsi="Arial" w:cs="Arial"/>
          <w:bCs/>
          <w:sz w:val="22"/>
          <w:szCs w:val="22"/>
          <w:lang w:val="fr-FR"/>
        </w:rPr>
        <w:t xml:space="preserve">communiquer </w:t>
      </w:r>
      <w:r w:rsidRPr="00E920DD">
        <w:rPr>
          <w:rFonts w:ascii="Arial" w:hAnsi="Arial" w:cs="Arial"/>
          <w:bCs/>
          <w:sz w:val="22"/>
          <w:szCs w:val="22"/>
          <w:lang w:val="fr-FR"/>
        </w:rPr>
        <w:t>le lieu et l</w:t>
      </w:r>
      <w:r w:rsidR="008E532B">
        <w:rPr>
          <w:rFonts w:ascii="Arial" w:hAnsi="Arial" w:cs="Arial"/>
          <w:bCs/>
          <w:sz w:val="22"/>
          <w:szCs w:val="22"/>
          <w:lang w:val="fr-FR"/>
        </w:rPr>
        <w:t>’</w:t>
      </w:r>
      <w:r w:rsidRPr="00E920DD">
        <w:rPr>
          <w:rFonts w:ascii="Arial" w:hAnsi="Arial" w:cs="Arial"/>
          <w:bCs/>
          <w:sz w:val="22"/>
          <w:szCs w:val="22"/>
          <w:lang w:val="fr-FR"/>
        </w:rPr>
        <w:t>heure du scrutin. Elle cherch</w:t>
      </w:r>
      <w:r>
        <w:rPr>
          <w:rFonts w:ascii="Arial" w:hAnsi="Arial" w:cs="Arial"/>
          <w:bCs/>
          <w:sz w:val="22"/>
          <w:szCs w:val="22"/>
          <w:lang w:val="fr-FR"/>
        </w:rPr>
        <w:t>ait</w:t>
      </w:r>
      <w:r w:rsidRPr="00E920DD">
        <w:rPr>
          <w:rFonts w:ascii="Arial" w:hAnsi="Arial" w:cs="Arial"/>
          <w:bCs/>
          <w:sz w:val="22"/>
          <w:szCs w:val="22"/>
          <w:lang w:val="fr-FR"/>
        </w:rPr>
        <w:t xml:space="preserve"> à ajouter ce</w:t>
      </w:r>
      <w:r>
        <w:rPr>
          <w:rFonts w:ascii="Arial" w:hAnsi="Arial" w:cs="Arial"/>
          <w:bCs/>
          <w:sz w:val="22"/>
          <w:szCs w:val="22"/>
          <w:lang w:val="fr-FR"/>
        </w:rPr>
        <w:t xml:space="preserve">t élément </w:t>
      </w:r>
      <w:r w:rsidRPr="00E920DD">
        <w:rPr>
          <w:rFonts w:ascii="Arial" w:hAnsi="Arial" w:cs="Arial"/>
          <w:bCs/>
          <w:sz w:val="22"/>
          <w:szCs w:val="22"/>
          <w:lang w:val="fr-FR"/>
        </w:rPr>
        <w:t>à la formulation proposée.</w:t>
      </w:r>
    </w:p>
    <w:p w14:paraId="32BE7BD2" w14:textId="6CECBAE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920DD">
        <w:rPr>
          <w:rFonts w:ascii="Arial" w:hAnsi="Arial" w:cs="Arial"/>
          <w:bCs/>
          <w:sz w:val="22"/>
          <w:szCs w:val="22"/>
          <w:lang w:val="fr-FR"/>
        </w:rPr>
        <w:t xml:space="preserve">Le </w:t>
      </w:r>
      <w:r w:rsidRPr="00E920DD">
        <w:rPr>
          <w:rFonts w:ascii="Arial" w:hAnsi="Arial" w:cs="Arial"/>
          <w:b/>
          <w:sz w:val="22"/>
          <w:szCs w:val="22"/>
          <w:lang w:val="fr-FR"/>
        </w:rPr>
        <w:t>Conseiller juridique</w:t>
      </w:r>
      <w:r w:rsidRPr="00E920DD">
        <w:rPr>
          <w:rFonts w:ascii="Arial" w:hAnsi="Arial" w:cs="Arial"/>
          <w:bCs/>
          <w:sz w:val="22"/>
          <w:szCs w:val="22"/>
          <w:lang w:val="fr-FR"/>
        </w:rPr>
        <w:t xml:space="preserve"> a pris note du consensus général, mais avec deux positions différentes et pourtant similaires. L</w:t>
      </w:r>
      <w:r w:rsidR="008E532B">
        <w:rPr>
          <w:rFonts w:ascii="Arial" w:hAnsi="Arial" w:cs="Arial"/>
          <w:bCs/>
          <w:sz w:val="22"/>
          <w:szCs w:val="22"/>
          <w:lang w:val="fr-FR"/>
        </w:rPr>
        <w:t>’</w:t>
      </w:r>
      <w:r w:rsidRPr="00E920DD">
        <w:rPr>
          <w:rFonts w:ascii="Arial" w:hAnsi="Arial" w:cs="Arial"/>
          <w:bCs/>
          <w:sz w:val="22"/>
          <w:szCs w:val="22"/>
          <w:lang w:val="fr-FR"/>
        </w:rPr>
        <w:t>une des positions a</w:t>
      </w:r>
      <w:r>
        <w:rPr>
          <w:rFonts w:ascii="Arial" w:hAnsi="Arial" w:cs="Arial"/>
          <w:bCs/>
          <w:sz w:val="22"/>
          <w:szCs w:val="22"/>
          <w:lang w:val="fr-FR"/>
        </w:rPr>
        <w:t>vait</w:t>
      </w:r>
      <w:r w:rsidRPr="00E920DD">
        <w:rPr>
          <w:rFonts w:ascii="Arial" w:hAnsi="Arial" w:cs="Arial"/>
          <w:bCs/>
          <w:sz w:val="22"/>
          <w:szCs w:val="22"/>
          <w:lang w:val="fr-FR"/>
        </w:rPr>
        <w:t xml:space="preserve"> été exprimée plus particulièrement par la France, avec le soutien d</w:t>
      </w:r>
      <w:r w:rsidR="008E532B">
        <w:rPr>
          <w:rFonts w:ascii="Arial" w:hAnsi="Arial" w:cs="Arial"/>
          <w:bCs/>
          <w:sz w:val="22"/>
          <w:szCs w:val="22"/>
          <w:lang w:val="fr-FR"/>
        </w:rPr>
        <w:t>’</w:t>
      </w:r>
      <w:r w:rsidRPr="00E920DD">
        <w:rPr>
          <w:rFonts w:ascii="Arial" w:hAnsi="Arial" w:cs="Arial"/>
          <w:bCs/>
          <w:sz w:val="22"/>
          <w:szCs w:val="22"/>
          <w:lang w:val="fr-FR"/>
        </w:rPr>
        <w:t xml:space="preserve">autres délégations, selon laquelle le </w:t>
      </w:r>
      <w:r>
        <w:rPr>
          <w:rFonts w:ascii="Arial" w:hAnsi="Arial" w:cs="Arial"/>
          <w:bCs/>
          <w:sz w:val="22"/>
          <w:szCs w:val="22"/>
          <w:lang w:val="fr-FR"/>
        </w:rPr>
        <w:t>R</w:t>
      </w:r>
      <w:r w:rsidRPr="00E920DD">
        <w:rPr>
          <w:rFonts w:ascii="Arial" w:hAnsi="Arial" w:cs="Arial"/>
          <w:bCs/>
          <w:sz w:val="22"/>
          <w:szCs w:val="22"/>
          <w:lang w:val="fr-FR"/>
        </w:rPr>
        <w:t xml:space="preserve">èglement intérieur devrait </w:t>
      </w:r>
      <w:r>
        <w:rPr>
          <w:rFonts w:ascii="Arial" w:hAnsi="Arial" w:cs="Arial"/>
          <w:bCs/>
          <w:sz w:val="22"/>
          <w:szCs w:val="22"/>
          <w:lang w:val="fr-FR"/>
        </w:rPr>
        <w:t xml:space="preserve">inclure </w:t>
      </w:r>
      <w:r w:rsidRPr="00E920DD">
        <w:rPr>
          <w:rFonts w:ascii="Arial" w:hAnsi="Arial" w:cs="Arial"/>
          <w:bCs/>
          <w:sz w:val="22"/>
          <w:szCs w:val="22"/>
          <w:lang w:val="fr-FR"/>
        </w:rPr>
        <w:t xml:space="preserve">une disposition stipulant que les élections </w:t>
      </w:r>
      <w:r>
        <w:rPr>
          <w:rFonts w:ascii="Arial" w:hAnsi="Arial" w:cs="Arial"/>
          <w:bCs/>
          <w:sz w:val="22"/>
          <w:szCs w:val="22"/>
          <w:lang w:val="fr-FR"/>
        </w:rPr>
        <w:t>à bulletins</w:t>
      </w:r>
      <w:r w:rsidRPr="00E920DD">
        <w:rPr>
          <w:rFonts w:ascii="Arial" w:hAnsi="Arial" w:cs="Arial"/>
          <w:bCs/>
          <w:sz w:val="22"/>
          <w:szCs w:val="22"/>
          <w:lang w:val="fr-FR"/>
        </w:rPr>
        <w:t xml:space="preserve"> secret</w:t>
      </w:r>
      <w:r>
        <w:rPr>
          <w:rFonts w:ascii="Arial" w:hAnsi="Arial" w:cs="Arial"/>
          <w:bCs/>
          <w:sz w:val="22"/>
          <w:szCs w:val="22"/>
          <w:lang w:val="fr-FR"/>
        </w:rPr>
        <w:t xml:space="preserve">s </w:t>
      </w:r>
      <w:r w:rsidRPr="00E920DD">
        <w:rPr>
          <w:rFonts w:ascii="Arial" w:hAnsi="Arial" w:cs="Arial"/>
          <w:bCs/>
          <w:sz w:val="22"/>
          <w:szCs w:val="22"/>
          <w:lang w:val="fr-FR"/>
        </w:rPr>
        <w:t xml:space="preserve">devraient </w:t>
      </w:r>
      <w:r>
        <w:rPr>
          <w:rFonts w:ascii="Arial" w:hAnsi="Arial" w:cs="Arial"/>
          <w:bCs/>
          <w:sz w:val="22"/>
          <w:szCs w:val="22"/>
          <w:lang w:val="fr-FR"/>
        </w:rPr>
        <w:t xml:space="preserve">se dérouler </w:t>
      </w:r>
      <w:r w:rsidRPr="00E920DD">
        <w:rPr>
          <w:rFonts w:ascii="Arial" w:hAnsi="Arial" w:cs="Arial"/>
          <w:bCs/>
          <w:i/>
          <w:iCs/>
          <w:sz w:val="22"/>
          <w:szCs w:val="22"/>
          <w:lang w:val="fr-FR"/>
        </w:rPr>
        <w:t xml:space="preserve">in </w:t>
      </w:r>
      <w:proofErr w:type="spellStart"/>
      <w:r w:rsidRPr="00E920DD">
        <w:rPr>
          <w:rFonts w:ascii="Arial" w:hAnsi="Arial" w:cs="Arial"/>
          <w:bCs/>
          <w:i/>
          <w:iCs/>
          <w:sz w:val="22"/>
          <w:szCs w:val="22"/>
          <w:lang w:val="fr-FR"/>
        </w:rPr>
        <w:t>pr</w:t>
      </w:r>
      <w:r>
        <w:rPr>
          <w:rFonts w:ascii="Arial" w:hAnsi="Arial" w:cs="Arial"/>
          <w:bCs/>
          <w:i/>
          <w:iCs/>
          <w:sz w:val="22"/>
          <w:szCs w:val="22"/>
          <w:lang w:val="fr-FR"/>
        </w:rPr>
        <w:t>æ</w:t>
      </w:r>
      <w:r w:rsidRPr="00E920DD">
        <w:rPr>
          <w:rFonts w:ascii="Arial" w:hAnsi="Arial" w:cs="Arial"/>
          <w:bCs/>
          <w:i/>
          <w:iCs/>
          <w:sz w:val="22"/>
          <w:szCs w:val="22"/>
          <w:lang w:val="fr-FR"/>
        </w:rPr>
        <w:t>sentia</w:t>
      </w:r>
      <w:proofErr w:type="spellEnd"/>
      <w:r>
        <w:rPr>
          <w:rFonts w:ascii="Arial" w:hAnsi="Arial" w:cs="Arial"/>
          <w:bCs/>
          <w:sz w:val="22"/>
          <w:szCs w:val="22"/>
          <w:lang w:val="fr-FR"/>
        </w:rPr>
        <w:t xml:space="preserve"> au cours d</w:t>
      </w:r>
      <w:r w:rsidR="008E532B">
        <w:rPr>
          <w:rFonts w:ascii="Arial" w:hAnsi="Arial" w:cs="Arial"/>
          <w:bCs/>
          <w:sz w:val="22"/>
          <w:szCs w:val="22"/>
          <w:lang w:val="fr-FR"/>
        </w:rPr>
        <w:t>’</w:t>
      </w:r>
      <w:r w:rsidRPr="00E920DD">
        <w:rPr>
          <w:rFonts w:ascii="Arial" w:hAnsi="Arial" w:cs="Arial"/>
          <w:bCs/>
          <w:sz w:val="22"/>
          <w:szCs w:val="22"/>
          <w:lang w:val="fr-FR"/>
        </w:rPr>
        <w:t xml:space="preserve">une session en ligne.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agissant des </w:t>
      </w:r>
      <w:r w:rsidRPr="00E920DD">
        <w:rPr>
          <w:rFonts w:ascii="Arial" w:hAnsi="Arial" w:cs="Arial"/>
          <w:bCs/>
          <w:sz w:val="22"/>
          <w:szCs w:val="22"/>
          <w:lang w:val="fr-FR"/>
        </w:rPr>
        <w:t xml:space="preserve">autres types de vote, </w:t>
      </w:r>
      <w:r>
        <w:rPr>
          <w:rFonts w:ascii="Arial" w:hAnsi="Arial" w:cs="Arial"/>
          <w:bCs/>
          <w:sz w:val="22"/>
          <w:szCs w:val="22"/>
          <w:lang w:val="fr-FR"/>
        </w:rPr>
        <w:t xml:space="preserve">il était envisagé </w:t>
      </w:r>
      <w:r w:rsidRPr="00E920DD">
        <w:rPr>
          <w:rFonts w:ascii="Arial" w:hAnsi="Arial" w:cs="Arial"/>
          <w:bCs/>
          <w:sz w:val="22"/>
          <w:szCs w:val="22"/>
          <w:lang w:val="fr-FR"/>
        </w:rPr>
        <w:t>que ceux-ci puissent avoir lieu en ligne. L</w:t>
      </w:r>
      <w:r w:rsidR="008E532B">
        <w:rPr>
          <w:rFonts w:ascii="Arial" w:hAnsi="Arial" w:cs="Arial"/>
          <w:bCs/>
          <w:sz w:val="22"/>
          <w:szCs w:val="22"/>
          <w:lang w:val="fr-FR"/>
        </w:rPr>
        <w:t>’</w:t>
      </w:r>
      <w:r w:rsidRPr="00E920DD">
        <w:rPr>
          <w:rFonts w:ascii="Arial" w:hAnsi="Arial" w:cs="Arial"/>
          <w:bCs/>
          <w:sz w:val="22"/>
          <w:szCs w:val="22"/>
          <w:lang w:val="fr-FR"/>
        </w:rPr>
        <w:t>autre position</w:t>
      </w:r>
      <w:r>
        <w:rPr>
          <w:rFonts w:ascii="Arial" w:hAnsi="Arial" w:cs="Arial"/>
          <w:bCs/>
          <w:sz w:val="22"/>
          <w:szCs w:val="22"/>
          <w:lang w:val="fr-FR"/>
        </w:rPr>
        <w:t>, défendue</w:t>
      </w:r>
      <w:r w:rsidRPr="00E920DD">
        <w:rPr>
          <w:rFonts w:ascii="Arial" w:hAnsi="Arial" w:cs="Arial"/>
          <w:bCs/>
          <w:sz w:val="22"/>
          <w:szCs w:val="22"/>
          <w:lang w:val="fr-FR"/>
        </w:rPr>
        <w:t xml:space="preserve"> par l</w:t>
      </w:r>
      <w:r>
        <w:rPr>
          <w:rFonts w:ascii="Arial" w:hAnsi="Arial" w:cs="Arial"/>
          <w:bCs/>
          <w:sz w:val="22"/>
          <w:szCs w:val="22"/>
          <w:lang w:val="fr-FR"/>
        </w:rPr>
        <w:t xml:space="preserve">a République bolivarienne du Venezuela </w:t>
      </w:r>
      <w:r w:rsidRPr="00E920DD">
        <w:rPr>
          <w:rFonts w:ascii="Arial" w:hAnsi="Arial" w:cs="Arial"/>
          <w:bCs/>
          <w:sz w:val="22"/>
          <w:szCs w:val="22"/>
          <w:lang w:val="fr-FR"/>
        </w:rPr>
        <w:t xml:space="preserve">était que tous les </w:t>
      </w:r>
      <w:r>
        <w:rPr>
          <w:rFonts w:ascii="Arial" w:hAnsi="Arial" w:cs="Arial"/>
          <w:bCs/>
          <w:sz w:val="22"/>
          <w:szCs w:val="22"/>
          <w:lang w:val="fr-FR"/>
        </w:rPr>
        <w:t xml:space="preserve">autres </w:t>
      </w:r>
      <w:r w:rsidRPr="00E920DD">
        <w:rPr>
          <w:rFonts w:ascii="Arial" w:hAnsi="Arial" w:cs="Arial"/>
          <w:bCs/>
          <w:sz w:val="22"/>
          <w:szCs w:val="22"/>
          <w:lang w:val="fr-FR"/>
        </w:rPr>
        <w:t xml:space="preserve">types de vote, </w:t>
      </w:r>
      <w:r>
        <w:rPr>
          <w:rFonts w:ascii="Arial" w:hAnsi="Arial" w:cs="Arial"/>
          <w:bCs/>
          <w:sz w:val="22"/>
          <w:szCs w:val="22"/>
          <w:lang w:val="fr-FR"/>
        </w:rPr>
        <w:t xml:space="preserve">c.-à-d. </w:t>
      </w:r>
      <w:r w:rsidRPr="00E920DD">
        <w:rPr>
          <w:rFonts w:ascii="Arial" w:hAnsi="Arial" w:cs="Arial"/>
          <w:bCs/>
          <w:sz w:val="22"/>
          <w:szCs w:val="22"/>
          <w:lang w:val="fr-FR"/>
        </w:rPr>
        <w:t xml:space="preserve">le vote par appel nominal ou à main levée, devraient également </w:t>
      </w:r>
      <w:r>
        <w:rPr>
          <w:rFonts w:ascii="Arial" w:hAnsi="Arial" w:cs="Arial"/>
          <w:bCs/>
          <w:sz w:val="22"/>
          <w:szCs w:val="22"/>
          <w:lang w:val="fr-FR"/>
        </w:rPr>
        <w:t xml:space="preserve">se dérouler </w:t>
      </w:r>
      <w:r w:rsidRPr="00C22CCE">
        <w:rPr>
          <w:rFonts w:ascii="Arial" w:hAnsi="Arial" w:cs="Arial"/>
          <w:bCs/>
          <w:i/>
          <w:iCs/>
          <w:sz w:val="22"/>
          <w:szCs w:val="22"/>
          <w:lang w:val="fr-FR"/>
        </w:rPr>
        <w:t xml:space="preserve">in </w:t>
      </w:r>
      <w:proofErr w:type="spellStart"/>
      <w:r w:rsidRPr="00C22CCE">
        <w:rPr>
          <w:rFonts w:ascii="Arial" w:hAnsi="Arial" w:cs="Arial"/>
          <w:bCs/>
          <w:i/>
          <w:iCs/>
          <w:sz w:val="22"/>
          <w:szCs w:val="22"/>
          <w:lang w:val="fr-FR"/>
        </w:rPr>
        <w:t>præsentia</w:t>
      </w:r>
      <w:proofErr w:type="spellEnd"/>
      <w:r w:rsidRPr="00E920DD">
        <w:rPr>
          <w:rFonts w:ascii="Arial" w:hAnsi="Arial" w:cs="Arial"/>
          <w:bCs/>
          <w:sz w:val="22"/>
          <w:szCs w:val="22"/>
          <w:lang w:val="fr-FR"/>
        </w:rPr>
        <w:t>. Cela impliquait que si l</w:t>
      </w:r>
      <w:r w:rsidR="008E532B">
        <w:rPr>
          <w:rFonts w:ascii="Arial" w:hAnsi="Arial" w:cs="Arial"/>
          <w:bCs/>
          <w:sz w:val="22"/>
          <w:szCs w:val="22"/>
          <w:lang w:val="fr-FR"/>
        </w:rPr>
        <w:t>’</w:t>
      </w:r>
      <w:r w:rsidRPr="00E920DD">
        <w:rPr>
          <w:rFonts w:ascii="Arial" w:hAnsi="Arial" w:cs="Arial"/>
          <w:bCs/>
          <w:sz w:val="22"/>
          <w:szCs w:val="22"/>
          <w:lang w:val="fr-FR"/>
        </w:rPr>
        <w:t xml:space="preserve">Assemblée se trouvait dans une situation où elle ne pouvait pas se réunir </w:t>
      </w:r>
      <w:r>
        <w:rPr>
          <w:rFonts w:ascii="Arial" w:hAnsi="Arial" w:cs="Arial"/>
          <w:bCs/>
          <w:sz w:val="22"/>
          <w:szCs w:val="22"/>
          <w:lang w:val="fr-FR"/>
        </w:rPr>
        <w:t>en présentiel</w:t>
      </w:r>
      <w:r w:rsidRPr="00E920DD">
        <w:rPr>
          <w:rFonts w:ascii="Arial" w:hAnsi="Arial" w:cs="Arial"/>
          <w:bCs/>
          <w:sz w:val="22"/>
          <w:szCs w:val="22"/>
          <w:lang w:val="fr-FR"/>
        </w:rPr>
        <w:t>, aux fins du vote, elle devait prendre des dispositions pour que tout type de vote ait lieu</w:t>
      </w:r>
      <w:r>
        <w:rPr>
          <w:rFonts w:ascii="Arial" w:hAnsi="Arial" w:cs="Arial"/>
          <w:bCs/>
          <w:sz w:val="22"/>
          <w:szCs w:val="22"/>
          <w:lang w:val="fr-FR"/>
        </w:rPr>
        <w:t xml:space="preserve"> </w:t>
      </w:r>
      <w:r w:rsidRPr="00C22CCE">
        <w:rPr>
          <w:rFonts w:ascii="Arial" w:hAnsi="Arial" w:cs="Arial"/>
          <w:bCs/>
          <w:i/>
          <w:iCs/>
          <w:sz w:val="22"/>
          <w:szCs w:val="22"/>
          <w:lang w:val="fr-FR"/>
        </w:rPr>
        <w:t xml:space="preserve">in </w:t>
      </w:r>
      <w:proofErr w:type="spellStart"/>
      <w:r w:rsidRPr="00C22CCE">
        <w:rPr>
          <w:rFonts w:ascii="Arial" w:hAnsi="Arial" w:cs="Arial"/>
          <w:bCs/>
          <w:i/>
          <w:iCs/>
          <w:sz w:val="22"/>
          <w:szCs w:val="22"/>
          <w:lang w:val="fr-FR"/>
        </w:rPr>
        <w:t>præsentia</w:t>
      </w:r>
      <w:proofErr w:type="spellEnd"/>
      <w:r w:rsidRPr="00E920DD">
        <w:rPr>
          <w:rFonts w:ascii="Arial" w:hAnsi="Arial" w:cs="Arial"/>
          <w:bCs/>
          <w:sz w:val="22"/>
          <w:szCs w:val="22"/>
          <w:lang w:val="fr-FR"/>
        </w:rPr>
        <w:t>. L</w:t>
      </w:r>
      <w:r w:rsidR="008E532B">
        <w:rPr>
          <w:rFonts w:ascii="Arial" w:hAnsi="Arial" w:cs="Arial"/>
          <w:bCs/>
          <w:sz w:val="22"/>
          <w:szCs w:val="22"/>
          <w:lang w:val="fr-FR"/>
        </w:rPr>
        <w:t>’</w:t>
      </w:r>
      <w:r w:rsidRPr="00E920DD">
        <w:rPr>
          <w:rFonts w:ascii="Arial" w:hAnsi="Arial" w:cs="Arial"/>
          <w:bCs/>
          <w:sz w:val="22"/>
          <w:szCs w:val="22"/>
          <w:lang w:val="fr-FR"/>
        </w:rPr>
        <w:t xml:space="preserve">Assemblée devait donc décider </w:t>
      </w:r>
      <w:r>
        <w:rPr>
          <w:rFonts w:ascii="Arial" w:hAnsi="Arial" w:cs="Arial"/>
          <w:bCs/>
          <w:sz w:val="22"/>
          <w:szCs w:val="22"/>
          <w:lang w:val="fr-FR"/>
        </w:rPr>
        <w:t>quant à</w:t>
      </w:r>
      <w:r w:rsidRPr="00E920DD">
        <w:rPr>
          <w:rFonts w:ascii="Arial" w:hAnsi="Arial" w:cs="Arial"/>
          <w:bCs/>
          <w:sz w:val="22"/>
          <w:szCs w:val="22"/>
          <w:lang w:val="fr-FR"/>
        </w:rPr>
        <w:t xml:space="preserve"> sa position préférée, après quoi un projet de texte et des</w:t>
      </w:r>
      <w:r>
        <w:rPr>
          <w:rFonts w:ascii="Arial" w:hAnsi="Arial" w:cs="Arial"/>
          <w:bCs/>
          <w:sz w:val="22"/>
          <w:szCs w:val="22"/>
          <w:lang w:val="fr-FR"/>
        </w:rPr>
        <w:t xml:space="preserve"> </w:t>
      </w:r>
      <w:r w:rsidRPr="00E920DD">
        <w:rPr>
          <w:rFonts w:ascii="Arial" w:hAnsi="Arial" w:cs="Arial"/>
          <w:bCs/>
          <w:sz w:val="22"/>
          <w:szCs w:val="22"/>
          <w:lang w:val="fr-FR"/>
        </w:rPr>
        <w:t>références pourraient être fournis pour son inclusion.</w:t>
      </w:r>
    </w:p>
    <w:p w14:paraId="50A0E901" w14:textId="12C8570E" w:rsidR="00D9653F" w:rsidRPr="00D82A34"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82A34">
        <w:rPr>
          <w:rFonts w:ascii="Arial" w:hAnsi="Arial" w:cs="Arial"/>
          <w:bCs/>
          <w:sz w:val="22"/>
          <w:szCs w:val="22"/>
          <w:lang w:val="fr-FR"/>
        </w:rPr>
        <w:t>La délégation de l</w:t>
      </w:r>
      <w:r w:rsidR="008E532B">
        <w:rPr>
          <w:rFonts w:ascii="Arial" w:hAnsi="Arial" w:cs="Arial"/>
          <w:bCs/>
          <w:sz w:val="22"/>
          <w:szCs w:val="22"/>
          <w:lang w:val="fr-FR"/>
        </w:rPr>
        <w:t>’</w:t>
      </w:r>
      <w:r w:rsidRPr="00D82A34">
        <w:rPr>
          <w:rFonts w:ascii="Arial" w:hAnsi="Arial" w:cs="Arial"/>
          <w:b/>
          <w:sz w:val="22"/>
          <w:szCs w:val="22"/>
          <w:lang w:val="fr-FR"/>
        </w:rPr>
        <w:t>Estonie</w:t>
      </w:r>
      <w:r w:rsidRPr="00D82A34">
        <w:rPr>
          <w:rFonts w:ascii="Arial" w:hAnsi="Arial" w:cs="Arial"/>
          <w:bCs/>
          <w:sz w:val="22"/>
          <w:szCs w:val="22"/>
          <w:lang w:val="fr-FR"/>
        </w:rPr>
        <w:t xml:space="preserve"> a noté que la question principale concernait le vote à bulletin</w:t>
      </w:r>
      <w:r>
        <w:rPr>
          <w:rFonts w:ascii="Arial" w:hAnsi="Arial" w:cs="Arial"/>
          <w:bCs/>
          <w:sz w:val="22"/>
          <w:szCs w:val="22"/>
          <w:lang w:val="fr-FR"/>
        </w:rPr>
        <w:t>s</w:t>
      </w:r>
      <w:r w:rsidRPr="00D82A34">
        <w:rPr>
          <w:rFonts w:ascii="Arial" w:hAnsi="Arial" w:cs="Arial"/>
          <w:bCs/>
          <w:sz w:val="22"/>
          <w:szCs w:val="22"/>
          <w:lang w:val="fr-FR"/>
        </w:rPr>
        <w:t xml:space="preserve"> secret</w:t>
      </w:r>
      <w:r>
        <w:rPr>
          <w:rFonts w:ascii="Arial" w:hAnsi="Arial" w:cs="Arial"/>
          <w:bCs/>
          <w:sz w:val="22"/>
          <w:szCs w:val="22"/>
          <w:lang w:val="fr-FR"/>
        </w:rPr>
        <w:t xml:space="preserve">s et a </w:t>
      </w:r>
      <w:r w:rsidRPr="00D82A34">
        <w:rPr>
          <w:rFonts w:ascii="Arial" w:hAnsi="Arial" w:cs="Arial"/>
          <w:bCs/>
          <w:sz w:val="22"/>
          <w:szCs w:val="22"/>
          <w:lang w:val="fr-FR"/>
        </w:rPr>
        <w:t>expliqu</w:t>
      </w:r>
      <w:r>
        <w:rPr>
          <w:rFonts w:ascii="Arial" w:hAnsi="Arial" w:cs="Arial"/>
          <w:bCs/>
          <w:sz w:val="22"/>
          <w:szCs w:val="22"/>
          <w:lang w:val="fr-FR"/>
        </w:rPr>
        <w:t>é</w:t>
      </w:r>
      <w:r w:rsidRPr="00D82A34">
        <w:rPr>
          <w:rFonts w:ascii="Arial" w:hAnsi="Arial" w:cs="Arial"/>
          <w:bCs/>
          <w:sz w:val="22"/>
          <w:szCs w:val="22"/>
          <w:lang w:val="fr-FR"/>
        </w:rPr>
        <w:t xml:space="preserve"> qu</w:t>
      </w:r>
      <w:r w:rsidR="008E532B">
        <w:rPr>
          <w:rFonts w:ascii="Arial" w:hAnsi="Arial" w:cs="Arial"/>
          <w:bCs/>
          <w:sz w:val="22"/>
          <w:szCs w:val="22"/>
          <w:lang w:val="fr-FR"/>
        </w:rPr>
        <w:t>’</w:t>
      </w:r>
      <w:r w:rsidRPr="00D82A34">
        <w:rPr>
          <w:rFonts w:ascii="Arial" w:hAnsi="Arial" w:cs="Arial"/>
          <w:bCs/>
          <w:sz w:val="22"/>
          <w:szCs w:val="22"/>
          <w:lang w:val="fr-FR"/>
        </w:rPr>
        <w:t>il était important d</w:t>
      </w:r>
      <w:r w:rsidR="008E532B">
        <w:rPr>
          <w:rFonts w:ascii="Arial" w:hAnsi="Arial" w:cs="Arial"/>
          <w:bCs/>
          <w:sz w:val="22"/>
          <w:szCs w:val="22"/>
          <w:lang w:val="fr-FR"/>
        </w:rPr>
        <w:t>’</w:t>
      </w:r>
      <w:r w:rsidRPr="00D82A34">
        <w:rPr>
          <w:rFonts w:ascii="Arial" w:hAnsi="Arial" w:cs="Arial"/>
          <w:bCs/>
          <w:sz w:val="22"/>
          <w:szCs w:val="22"/>
          <w:lang w:val="fr-FR"/>
        </w:rPr>
        <w:t xml:space="preserve">être flexible et que les réunions </w:t>
      </w:r>
      <w:r>
        <w:rPr>
          <w:rFonts w:ascii="Arial" w:hAnsi="Arial" w:cs="Arial"/>
          <w:bCs/>
          <w:sz w:val="22"/>
          <w:szCs w:val="22"/>
          <w:lang w:val="fr-FR"/>
        </w:rPr>
        <w:t>par</w:t>
      </w:r>
      <w:r w:rsidRPr="00D82A34">
        <w:rPr>
          <w:rFonts w:ascii="Arial" w:hAnsi="Arial" w:cs="Arial"/>
          <w:bCs/>
          <w:sz w:val="22"/>
          <w:szCs w:val="22"/>
          <w:lang w:val="fr-FR"/>
        </w:rPr>
        <w:t xml:space="preserve"> Zoom au cours des deux dernières années avaient montré qu</w:t>
      </w:r>
      <w:r w:rsidR="008E532B">
        <w:rPr>
          <w:rFonts w:ascii="Arial" w:hAnsi="Arial" w:cs="Arial"/>
          <w:bCs/>
          <w:sz w:val="22"/>
          <w:szCs w:val="22"/>
          <w:lang w:val="fr-FR"/>
        </w:rPr>
        <w:t>’</w:t>
      </w:r>
      <w:r w:rsidRPr="00D82A34">
        <w:rPr>
          <w:rFonts w:ascii="Arial" w:hAnsi="Arial" w:cs="Arial"/>
          <w:bCs/>
          <w:sz w:val="22"/>
          <w:szCs w:val="22"/>
          <w:lang w:val="fr-FR"/>
        </w:rPr>
        <w:t xml:space="preserve">il était possible de voter à main levée. Il était donc tout à fait logique de conserver la possibilité de voter en ligne </w:t>
      </w:r>
      <w:r>
        <w:rPr>
          <w:rFonts w:ascii="Arial" w:hAnsi="Arial" w:cs="Arial"/>
          <w:bCs/>
          <w:sz w:val="22"/>
          <w:szCs w:val="22"/>
          <w:lang w:val="fr-FR"/>
        </w:rPr>
        <w:t xml:space="preserve">pour </w:t>
      </w:r>
      <w:r w:rsidRPr="00D82A34">
        <w:rPr>
          <w:rFonts w:ascii="Arial" w:hAnsi="Arial" w:cs="Arial"/>
          <w:bCs/>
          <w:sz w:val="22"/>
          <w:szCs w:val="22"/>
          <w:lang w:val="fr-FR"/>
        </w:rPr>
        <w:t>un vote à main levée ou même par appel nominal. Cependant, la délégation conven</w:t>
      </w:r>
      <w:r>
        <w:rPr>
          <w:rFonts w:ascii="Arial" w:hAnsi="Arial" w:cs="Arial"/>
          <w:bCs/>
          <w:sz w:val="22"/>
          <w:szCs w:val="22"/>
          <w:lang w:val="fr-FR"/>
        </w:rPr>
        <w:t>ait</w:t>
      </w:r>
      <w:r w:rsidRPr="00D82A34">
        <w:rPr>
          <w:rFonts w:ascii="Arial" w:hAnsi="Arial" w:cs="Arial"/>
          <w:bCs/>
          <w:sz w:val="22"/>
          <w:szCs w:val="22"/>
          <w:lang w:val="fr-FR"/>
        </w:rPr>
        <w:t xml:space="preserve"> que le vote à bulletin</w:t>
      </w:r>
      <w:r>
        <w:rPr>
          <w:rFonts w:ascii="Arial" w:hAnsi="Arial" w:cs="Arial"/>
          <w:bCs/>
          <w:sz w:val="22"/>
          <w:szCs w:val="22"/>
          <w:lang w:val="fr-FR"/>
        </w:rPr>
        <w:t>s</w:t>
      </w:r>
      <w:r w:rsidRPr="00D82A34">
        <w:rPr>
          <w:rFonts w:ascii="Arial" w:hAnsi="Arial" w:cs="Arial"/>
          <w:bCs/>
          <w:sz w:val="22"/>
          <w:szCs w:val="22"/>
          <w:lang w:val="fr-FR"/>
        </w:rPr>
        <w:t xml:space="preserve"> secret</w:t>
      </w:r>
      <w:r>
        <w:rPr>
          <w:rFonts w:ascii="Arial" w:hAnsi="Arial" w:cs="Arial"/>
          <w:bCs/>
          <w:sz w:val="22"/>
          <w:szCs w:val="22"/>
          <w:lang w:val="fr-FR"/>
        </w:rPr>
        <w:t>s</w:t>
      </w:r>
      <w:r w:rsidRPr="00D82A34">
        <w:rPr>
          <w:rFonts w:ascii="Arial" w:hAnsi="Arial" w:cs="Arial"/>
          <w:bCs/>
          <w:sz w:val="22"/>
          <w:szCs w:val="22"/>
          <w:lang w:val="fr-FR"/>
        </w:rPr>
        <w:t xml:space="preserve"> était beaucoup plus difficile et, à cette fin, il devrait y avoir une phrase </w:t>
      </w:r>
      <w:r>
        <w:rPr>
          <w:rFonts w:ascii="Arial" w:hAnsi="Arial" w:cs="Arial"/>
          <w:bCs/>
          <w:sz w:val="22"/>
          <w:szCs w:val="22"/>
          <w:lang w:val="fr-FR"/>
        </w:rPr>
        <w:t xml:space="preserve">abordant </w:t>
      </w:r>
      <w:r w:rsidRPr="00D82A34">
        <w:rPr>
          <w:rFonts w:ascii="Arial" w:hAnsi="Arial" w:cs="Arial"/>
          <w:bCs/>
          <w:sz w:val="22"/>
          <w:szCs w:val="22"/>
          <w:lang w:val="fr-FR"/>
        </w:rPr>
        <w:t>la question d</w:t>
      </w:r>
      <w:r>
        <w:rPr>
          <w:rFonts w:ascii="Arial" w:hAnsi="Arial" w:cs="Arial"/>
          <w:bCs/>
          <w:sz w:val="22"/>
          <w:szCs w:val="22"/>
          <w:lang w:val="fr-FR"/>
        </w:rPr>
        <w:t>u</w:t>
      </w:r>
      <w:r w:rsidRPr="00D82A34">
        <w:rPr>
          <w:rFonts w:ascii="Arial" w:hAnsi="Arial" w:cs="Arial"/>
          <w:bCs/>
          <w:sz w:val="22"/>
          <w:szCs w:val="22"/>
          <w:lang w:val="fr-FR"/>
        </w:rPr>
        <w:t xml:space="preserve"> </w:t>
      </w:r>
      <w:r>
        <w:rPr>
          <w:rFonts w:ascii="Arial" w:hAnsi="Arial" w:cs="Arial"/>
          <w:bCs/>
          <w:sz w:val="22"/>
          <w:szCs w:val="22"/>
          <w:lang w:val="fr-FR"/>
        </w:rPr>
        <w:t xml:space="preserve">vote à </w:t>
      </w:r>
      <w:r w:rsidRPr="00D82A34">
        <w:rPr>
          <w:rFonts w:ascii="Arial" w:hAnsi="Arial" w:cs="Arial"/>
          <w:bCs/>
          <w:sz w:val="22"/>
          <w:szCs w:val="22"/>
          <w:lang w:val="fr-FR"/>
        </w:rPr>
        <w:t>bulletins secrets qui devrai</w:t>
      </w:r>
      <w:r>
        <w:rPr>
          <w:rFonts w:ascii="Arial" w:hAnsi="Arial" w:cs="Arial"/>
          <w:bCs/>
          <w:sz w:val="22"/>
          <w:szCs w:val="22"/>
          <w:lang w:val="fr-FR"/>
        </w:rPr>
        <w:t>t</w:t>
      </w:r>
      <w:r w:rsidRPr="00D82A34">
        <w:rPr>
          <w:rFonts w:ascii="Arial" w:hAnsi="Arial" w:cs="Arial"/>
          <w:bCs/>
          <w:sz w:val="22"/>
          <w:szCs w:val="22"/>
          <w:lang w:val="fr-FR"/>
        </w:rPr>
        <w:t xml:space="preserve"> </w:t>
      </w:r>
      <w:r>
        <w:rPr>
          <w:rFonts w:ascii="Arial" w:hAnsi="Arial" w:cs="Arial"/>
          <w:bCs/>
          <w:sz w:val="22"/>
          <w:szCs w:val="22"/>
          <w:lang w:val="fr-FR"/>
        </w:rPr>
        <w:t xml:space="preserve">se dérouler </w:t>
      </w:r>
      <w:r w:rsidRPr="00C22CCE">
        <w:rPr>
          <w:rFonts w:ascii="Arial" w:hAnsi="Arial" w:cs="Arial"/>
          <w:bCs/>
          <w:i/>
          <w:iCs/>
          <w:sz w:val="22"/>
          <w:szCs w:val="22"/>
          <w:lang w:val="fr-FR"/>
        </w:rPr>
        <w:t xml:space="preserve">in </w:t>
      </w:r>
      <w:proofErr w:type="spellStart"/>
      <w:r w:rsidRPr="00C22CCE">
        <w:rPr>
          <w:rFonts w:ascii="Arial" w:hAnsi="Arial" w:cs="Arial"/>
          <w:bCs/>
          <w:i/>
          <w:iCs/>
          <w:sz w:val="22"/>
          <w:szCs w:val="22"/>
          <w:lang w:val="fr-FR"/>
        </w:rPr>
        <w:t>præsentia</w:t>
      </w:r>
      <w:proofErr w:type="spellEnd"/>
      <w:r w:rsidRPr="00D82A34">
        <w:rPr>
          <w:rFonts w:ascii="Arial" w:hAnsi="Arial" w:cs="Arial"/>
          <w:bCs/>
          <w:sz w:val="22"/>
          <w:szCs w:val="22"/>
          <w:lang w:val="fr-FR"/>
        </w:rPr>
        <w:t>.</w:t>
      </w:r>
    </w:p>
    <w:p w14:paraId="4817A14E" w14:textId="3C4B60AF" w:rsidR="00D9653F" w:rsidRPr="00D82A34"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82A34">
        <w:rPr>
          <w:rFonts w:ascii="Arial" w:hAnsi="Arial" w:cs="Arial"/>
          <w:bCs/>
          <w:sz w:val="22"/>
          <w:szCs w:val="22"/>
          <w:lang w:val="fr-FR"/>
        </w:rPr>
        <w:t xml:space="preserve">La délégation de </w:t>
      </w:r>
      <w:r w:rsidRPr="00D82A34">
        <w:rPr>
          <w:rFonts w:ascii="Arial" w:hAnsi="Arial" w:cs="Arial"/>
          <w:b/>
          <w:sz w:val="22"/>
          <w:szCs w:val="22"/>
          <w:lang w:val="fr-FR"/>
        </w:rPr>
        <w:t>Cuba</w:t>
      </w:r>
      <w:r w:rsidRPr="00D82A34">
        <w:rPr>
          <w:rFonts w:ascii="Arial" w:hAnsi="Arial" w:cs="Arial"/>
          <w:bCs/>
          <w:sz w:val="22"/>
          <w:szCs w:val="22"/>
          <w:lang w:val="fr-FR"/>
        </w:rPr>
        <w:t xml:space="preserve"> partage</w:t>
      </w:r>
      <w:r>
        <w:rPr>
          <w:rFonts w:ascii="Arial" w:hAnsi="Arial" w:cs="Arial"/>
          <w:bCs/>
          <w:sz w:val="22"/>
          <w:szCs w:val="22"/>
          <w:lang w:val="fr-FR"/>
        </w:rPr>
        <w:t>ait</w:t>
      </w:r>
      <w:r w:rsidRPr="00D82A34">
        <w:rPr>
          <w:rFonts w:ascii="Arial" w:hAnsi="Arial" w:cs="Arial"/>
          <w:bCs/>
          <w:sz w:val="22"/>
          <w:szCs w:val="22"/>
          <w:lang w:val="fr-FR"/>
        </w:rPr>
        <w:t xml:space="preserve"> les préoccupations exprimées par l</w:t>
      </w:r>
      <w:r>
        <w:rPr>
          <w:rFonts w:ascii="Arial" w:hAnsi="Arial" w:cs="Arial"/>
          <w:bCs/>
          <w:sz w:val="22"/>
          <w:szCs w:val="22"/>
          <w:lang w:val="fr-FR"/>
        </w:rPr>
        <w:t>a République bolivarienne du Venezuela</w:t>
      </w:r>
      <w:r w:rsidRPr="00D82A34">
        <w:rPr>
          <w:rFonts w:ascii="Arial" w:hAnsi="Arial" w:cs="Arial"/>
          <w:bCs/>
          <w:sz w:val="22"/>
          <w:szCs w:val="22"/>
          <w:lang w:val="fr-FR"/>
        </w:rPr>
        <w:t>, étant entendu que tout le monde compren</w:t>
      </w:r>
      <w:r>
        <w:rPr>
          <w:rFonts w:ascii="Arial" w:hAnsi="Arial" w:cs="Arial"/>
          <w:bCs/>
          <w:sz w:val="22"/>
          <w:szCs w:val="22"/>
          <w:lang w:val="fr-FR"/>
        </w:rPr>
        <w:t>ait</w:t>
      </w:r>
      <w:r w:rsidRPr="00D82A34">
        <w:rPr>
          <w:rFonts w:ascii="Arial" w:hAnsi="Arial" w:cs="Arial"/>
          <w:bCs/>
          <w:sz w:val="22"/>
          <w:szCs w:val="22"/>
          <w:lang w:val="fr-FR"/>
        </w:rPr>
        <w:t xml:space="preserve"> les difficultés qu</w:t>
      </w:r>
      <w:r w:rsidR="008E532B">
        <w:rPr>
          <w:rFonts w:ascii="Arial" w:hAnsi="Arial" w:cs="Arial"/>
          <w:bCs/>
          <w:sz w:val="22"/>
          <w:szCs w:val="22"/>
          <w:lang w:val="fr-FR"/>
        </w:rPr>
        <w:t>’</w:t>
      </w:r>
      <w:r>
        <w:rPr>
          <w:rFonts w:ascii="Arial" w:hAnsi="Arial" w:cs="Arial"/>
          <w:bCs/>
          <w:sz w:val="22"/>
          <w:szCs w:val="22"/>
          <w:lang w:val="fr-FR"/>
        </w:rPr>
        <w:t>ont</w:t>
      </w:r>
      <w:r w:rsidRPr="00D82A34">
        <w:rPr>
          <w:rFonts w:ascii="Arial" w:hAnsi="Arial" w:cs="Arial"/>
          <w:bCs/>
          <w:sz w:val="22"/>
          <w:szCs w:val="22"/>
          <w:lang w:val="fr-FR"/>
        </w:rPr>
        <w:t xml:space="preserve"> certains pays à se connecter en ligne. Elle </w:t>
      </w:r>
      <w:r>
        <w:rPr>
          <w:rFonts w:ascii="Arial" w:hAnsi="Arial" w:cs="Arial"/>
          <w:bCs/>
          <w:sz w:val="22"/>
          <w:szCs w:val="22"/>
          <w:lang w:val="fr-FR"/>
        </w:rPr>
        <w:t>était</w:t>
      </w:r>
      <w:r w:rsidRPr="00D82A34">
        <w:rPr>
          <w:rFonts w:ascii="Arial" w:hAnsi="Arial" w:cs="Arial"/>
          <w:bCs/>
          <w:sz w:val="22"/>
          <w:szCs w:val="22"/>
          <w:lang w:val="fr-FR"/>
        </w:rPr>
        <w:t xml:space="preserve"> particulièrement préoccupée par les réunions hybrides qui génèrent des situations vraiment compliquées dans lesquelles certaines personnes assistent en personne et d</w:t>
      </w:r>
      <w:r w:rsidR="008E532B">
        <w:rPr>
          <w:rFonts w:ascii="Arial" w:hAnsi="Arial" w:cs="Arial"/>
          <w:bCs/>
          <w:sz w:val="22"/>
          <w:szCs w:val="22"/>
          <w:lang w:val="fr-FR"/>
        </w:rPr>
        <w:t>’</w:t>
      </w:r>
      <w:r w:rsidRPr="00D82A34">
        <w:rPr>
          <w:rFonts w:ascii="Arial" w:hAnsi="Arial" w:cs="Arial"/>
          <w:bCs/>
          <w:sz w:val="22"/>
          <w:szCs w:val="22"/>
          <w:lang w:val="fr-FR"/>
        </w:rPr>
        <w:t xml:space="preserve">autres en ligne, et ensuite, pour certaines délégations, </w:t>
      </w:r>
      <w:r>
        <w:rPr>
          <w:rFonts w:ascii="Arial" w:hAnsi="Arial" w:cs="Arial"/>
          <w:bCs/>
          <w:sz w:val="22"/>
          <w:szCs w:val="22"/>
          <w:lang w:val="fr-FR"/>
        </w:rPr>
        <w:t>cela pouvait</w:t>
      </w:r>
      <w:r w:rsidRPr="00D82A34">
        <w:rPr>
          <w:rFonts w:ascii="Arial" w:hAnsi="Arial" w:cs="Arial"/>
          <w:bCs/>
          <w:sz w:val="22"/>
          <w:szCs w:val="22"/>
          <w:lang w:val="fr-FR"/>
        </w:rPr>
        <w:t xml:space="preserve"> être réellement impossible d</w:t>
      </w:r>
      <w:r w:rsidR="008E532B">
        <w:rPr>
          <w:rFonts w:ascii="Arial" w:hAnsi="Arial" w:cs="Arial"/>
          <w:bCs/>
          <w:sz w:val="22"/>
          <w:szCs w:val="22"/>
          <w:lang w:val="fr-FR"/>
        </w:rPr>
        <w:t>’</w:t>
      </w:r>
      <w:r w:rsidRPr="00D82A34">
        <w:rPr>
          <w:rFonts w:ascii="Arial" w:hAnsi="Arial" w:cs="Arial"/>
          <w:bCs/>
          <w:sz w:val="22"/>
          <w:szCs w:val="22"/>
          <w:lang w:val="fr-FR"/>
        </w:rPr>
        <w:t>obtenir une connexion en ligne si elles n</w:t>
      </w:r>
      <w:r w:rsidR="008E532B">
        <w:rPr>
          <w:rFonts w:ascii="Arial" w:hAnsi="Arial" w:cs="Arial"/>
          <w:bCs/>
          <w:sz w:val="22"/>
          <w:szCs w:val="22"/>
          <w:lang w:val="fr-FR"/>
        </w:rPr>
        <w:t>’</w:t>
      </w:r>
      <w:r w:rsidRPr="00D82A34">
        <w:rPr>
          <w:rFonts w:ascii="Arial" w:hAnsi="Arial" w:cs="Arial"/>
          <w:bCs/>
          <w:sz w:val="22"/>
          <w:szCs w:val="22"/>
          <w:lang w:val="fr-FR"/>
        </w:rPr>
        <w:t>ont pas de représentant à Paris. Cela signifi</w:t>
      </w:r>
      <w:r>
        <w:rPr>
          <w:rFonts w:ascii="Arial" w:hAnsi="Arial" w:cs="Arial"/>
          <w:bCs/>
          <w:sz w:val="22"/>
          <w:szCs w:val="22"/>
          <w:lang w:val="fr-FR"/>
        </w:rPr>
        <w:t>ait</w:t>
      </w:r>
      <w:r w:rsidRPr="00D82A34">
        <w:rPr>
          <w:rFonts w:ascii="Arial" w:hAnsi="Arial" w:cs="Arial"/>
          <w:bCs/>
          <w:sz w:val="22"/>
          <w:szCs w:val="22"/>
          <w:lang w:val="fr-FR"/>
        </w:rPr>
        <w:t xml:space="preserve"> qu</w:t>
      </w:r>
      <w:r w:rsidR="008E532B">
        <w:rPr>
          <w:rFonts w:ascii="Arial" w:hAnsi="Arial" w:cs="Arial"/>
          <w:bCs/>
          <w:sz w:val="22"/>
          <w:szCs w:val="22"/>
          <w:lang w:val="fr-FR"/>
        </w:rPr>
        <w:t>’</w:t>
      </w:r>
      <w:r w:rsidRPr="00D82A34">
        <w:rPr>
          <w:rFonts w:ascii="Arial" w:hAnsi="Arial" w:cs="Arial"/>
          <w:bCs/>
          <w:sz w:val="22"/>
          <w:szCs w:val="22"/>
          <w:lang w:val="fr-FR"/>
        </w:rPr>
        <w:t>elles ne peuvent pas prendre part au vote. C</w:t>
      </w:r>
      <w:r w:rsidR="008E532B">
        <w:rPr>
          <w:rFonts w:ascii="Arial" w:hAnsi="Arial" w:cs="Arial"/>
          <w:bCs/>
          <w:sz w:val="22"/>
          <w:szCs w:val="22"/>
          <w:lang w:val="fr-FR"/>
        </w:rPr>
        <w:t>’</w:t>
      </w:r>
      <w:r>
        <w:rPr>
          <w:rFonts w:ascii="Arial" w:hAnsi="Arial" w:cs="Arial"/>
          <w:bCs/>
          <w:sz w:val="22"/>
          <w:szCs w:val="22"/>
          <w:lang w:val="fr-FR"/>
        </w:rPr>
        <w:t>était</w:t>
      </w:r>
      <w:r w:rsidRPr="00D82A34">
        <w:rPr>
          <w:rFonts w:ascii="Arial" w:hAnsi="Arial" w:cs="Arial"/>
          <w:bCs/>
          <w:sz w:val="22"/>
          <w:szCs w:val="22"/>
          <w:lang w:val="fr-FR"/>
        </w:rPr>
        <w:t xml:space="preserve"> une situation qui s</w:t>
      </w:r>
      <w:r w:rsidR="008E532B">
        <w:rPr>
          <w:rFonts w:ascii="Arial" w:hAnsi="Arial" w:cs="Arial"/>
          <w:bCs/>
          <w:sz w:val="22"/>
          <w:szCs w:val="22"/>
          <w:lang w:val="fr-FR"/>
        </w:rPr>
        <w:t>’</w:t>
      </w:r>
      <w:r>
        <w:rPr>
          <w:rFonts w:ascii="Arial" w:hAnsi="Arial" w:cs="Arial"/>
          <w:bCs/>
          <w:sz w:val="22"/>
          <w:szCs w:val="22"/>
          <w:lang w:val="fr-FR"/>
        </w:rPr>
        <w:t>était</w:t>
      </w:r>
      <w:r w:rsidRPr="00D82A34">
        <w:rPr>
          <w:rFonts w:ascii="Arial" w:hAnsi="Arial" w:cs="Arial"/>
          <w:bCs/>
          <w:sz w:val="22"/>
          <w:szCs w:val="22"/>
          <w:lang w:val="fr-FR"/>
        </w:rPr>
        <w:t xml:space="preserve"> produite lors d</w:t>
      </w:r>
      <w:r w:rsidR="008E532B">
        <w:rPr>
          <w:rFonts w:ascii="Arial" w:hAnsi="Arial" w:cs="Arial"/>
          <w:bCs/>
          <w:sz w:val="22"/>
          <w:szCs w:val="22"/>
          <w:lang w:val="fr-FR"/>
        </w:rPr>
        <w:t>’</w:t>
      </w:r>
      <w:r w:rsidRPr="00D82A34">
        <w:rPr>
          <w:rFonts w:ascii="Arial" w:hAnsi="Arial" w:cs="Arial"/>
          <w:bCs/>
          <w:sz w:val="22"/>
          <w:szCs w:val="22"/>
          <w:lang w:val="fr-FR"/>
        </w:rPr>
        <w:t>autres sessions. La délégation estim</w:t>
      </w:r>
      <w:r>
        <w:rPr>
          <w:rFonts w:ascii="Arial" w:hAnsi="Arial" w:cs="Arial"/>
          <w:bCs/>
          <w:sz w:val="22"/>
          <w:szCs w:val="22"/>
          <w:lang w:val="fr-FR"/>
        </w:rPr>
        <w:t>ait</w:t>
      </w:r>
      <w:r w:rsidRPr="00D82A34">
        <w:rPr>
          <w:rFonts w:ascii="Arial" w:hAnsi="Arial" w:cs="Arial"/>
          <w:bCs/>
          <w:sz w:val="22"/>
          <w:szCs w:val="22"/>
          <w:lang w:val="fr-FR"/>
        </w:rPr>
        <w:t xml:space="preserve"> qu</w:t>
      </w:r>
      <w:r w:rsidR="008E532B">
        <w:rPr>
          <w:rFonts w:ascii="Arial" w:hAnsi="Arial" w:cs="Arial"/>
          <w:bCs/>
          <w:sz w:val="22"/>
          <w:szCs w:val="22"/>
          <w:lang w:val="fr-FR"/>
        </w:rPr>
        <w:t>’</w:t>
      </w:r>
      <w:r w:rsidRPr="00D82A34">
        <w:rPr>
          <w:rFonts w:ascii="Arial" w:hAnsi="Arial" w:cs="Arial"/>
          <w:bCs/>
          <w:sz w:val="22"/>
          <w:szCs w:val="22"/>
          <w:lang w:val="fr-FR"/>
        </w:rPr>
        <w:t>il serait vraiment compliqué de limiter les mesures au seul vote à bulletin</w:t>
      </w:r>
      <w:r>
        <w:rPr>
          <w:rFonts w:ascii="Arial" w:hAnsi="Arial" w:cs="Arial"/>
          <w:bCs/>
          <w:sz w:val="22"/>
          <w:szCs w:val="22"/>
          <w:lang w:val="fr-FR"/>
        </w:rPr>
        <w:t>s</w:t>
      </w:r>
      <w:r w:rsidRPr="00D82A34">
        <w:rPr>
          <w:rFonts w:ascii="Arial" w:hAnsi="Arial" w:cs="Arial"/>
          <w:bCs/>
          <w:sz w:val="22"/>
          <w:szCs w:val="22"/>
          <w:lang w:val="fr-FR"/>
        </w:rPr>
        <w:t xml:space="preserve"> secret</w:t>
      </w:r>
      <w:r>
        <w:rPr>
          <w:rFonts w:ascii="Arial" w:hAnsi="Arial" w:cs="Arial"/>
          <w:bCs/>
          <w:sz w:val="22"/>
          <w:szCs w:val="22"/>
          <w:lang w:val="fr-FR"/>
        </w:rPr>
        <w:t>s</w:t>
      </w:r>
      <w:r w:rsidRPr="00D82A34">
        <w:rPr>
          <w:rFonts w:ascii="Arial" w:hAnsi="Arial" w:cs="Arial"/>
          <w:bCs/>
          <w:sz w:val="22"/>
          <w:szCs w:val="22"/>
          <w:lang w:val="fr-FR"/>
        </w:rPr>
        <w:t xml:space="preserve"> lorsqu</w:t>
      </w:r>
      <w:r w:rsidR="008E532B">
        <w:rPr>
          <w:rFonts w:ascii="Arial" w:hAnsi="Arial" w:cs="Arial"/>
          <w:bCs/>
          <w:sz w:val="22"/>
          <w:szCs w:val="22"/>
          <w:lang w:val="fr-FR"/>
        </w:rPr>
        <w:t>’</w:t>
      </w:r>
      <w:r w:rsidRPr="00D82A34">
        <w:rPr>
          <w:rFonts w:ascii="Arial" w:hAnsi="Arial" w:cs="Arial"/>
          <w:bCs/>
          <w:sz w:val="22"/>
          <w:szCs w:val="22"/>
          <w:lang w:val="fr-FR"/>
        </w:rPr>
        <w:t xml:space="preserve">on considère les difficultés rencontrées par certains pays, comme on </w:t>
      </w:r>
      <w:r>
        <w:rPr>
          <w:rFonts w:ascii="Arial" w:hAnsi="Arial" w:cs="Arial"/>
          <w:bCs/>
          <w:sz w:val="22"/>
          <w:szCs w:val="22"/>
          <w:lang w:val="fr-FR"/>
        </w:rPr>
        <w:t xml:space="preserve">pouvait le voir, par exemple, </w:t>
      </w:r>
      <w:r w:rsidRPr="00D82A34">
        <w:rPr>
          <w:rFonts w:ascii="Arial" w:hAnsi="Arial" w:cs="Arial"/>
          <w:bCs/>
          <w:sz w:val="22"/>
          <w:szCs w:val="22"/>
          <w:lang w:val="fr-FR"/>
        </w:rPr>
        <w:t>avec les PEID.</w:t>
      </w:r>
    </w:p>
    <w:p w14:paraId="4D941449" w14:textId="1F72E616" w:rsidR="00D9653F" w:rsidRPr="001B6B1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B6B1F">
        <w:rPr>
          <w:rFonts w:ascii="Arial" w:hAnsi="Arial" w:cs="Arial"/>
          <w:bCs/>
          <w:sz w:val="22"/>
          <w:szCs w:val="22"/>
          <w:lang w:val="fr-FR"/>
        </w:rPr>
        <w:t xml:space="preserve">La délégation de la </w:t>
      </w:r>
      <w:r w:rsidRPr="001B6B1F">
        <w:rPr>
          <w:rFonts w:ascii="Arial" w:hAnsi="Arial" w:cs="Arial"/>
          <w:b/>
          <w:sz w:val="22"/>
          <w:szCs w:val="22"/>
          <w:lang w:val="fr-FR"/>
        </w:rPr>
        <w:t>Grenade</w:t>
      </w:r>
      <w:r w:rsidRPr="001B6B1F">
        <w:rPr>
          <w:rFonts w:ascii="Arial" w:hAnsi="Arial" w:cs="Arial"/>
          <w:bCs/>
          <w:sz w:val="22"/>
          <w:szCs w:val="22"/>
          <w:lang w:val="fr-FR"/>
        </w:rPr>
        <w:t xml:space="preserve"> compren</w:t>
      </w:r>
      <w:r>
        <w:rPr>
          <w:rFonts w:ascii="Arial" w:hAnsi="Arial" w:cs="Arial"/>
          <w:bCs/>
          <w:sz w:val="22"/>
          <w:szCs w:val="22"/>
          <w:lang w:val="fr-FR"/>
        </w:rPr>
        <w:t>ait</w:t>
      </w:r>
      <w:r w:rsidRPr="001B6B1F">
        <w:rPr>
          <w:rFonts w:ascii="Arial" w:hAnsi="Arial" w:cs="Arial"/>
          <w:bCs/>
          <w:sz w:val="22"/>
          <w:szCs w:val="22"/>
          <w:lang w:val="fr-FR"/>
        </w:rPr>
        <w:t xml:space="preserve"> les préoccupations </w:t>
      </w:r>
      <w:r>
        <w:rPr>
          <w:rFonts w:ascii="Arial" w:hAnsi="Arial" w:cs="Arial"/>
          <w:bCs/>
          <w:sz w:val="22"/>
          <w:szCs w:val="22"/>
          <w:lang w:val="fr-FR"/>
        </w:rPr>
        <w:t xml:space="preserve">exprimées par la République bolivarienne du Venezuela </w:t>
      </w:r>
      <w:r w:rsidRPr="001B6B1F">
        <w:rPr>
          <w:rFonts w:ascii="Arial" w:hAnsi="Arial" w:cs="Arial"/>
          <w:bCs/>
          <w:sz w:val="22"/>
          <w:szCs w:val="22"/>
          <w:lang w:val="fr-FR"/>
        </w:rPr>
        <w:t>et Cuba et</w:t>
      </w:r>
      <w:r>
        <w:rPr>
          <w:rFonts w:ascii="Arial" w:hAnsi="Arial" w:cs="Arial"/>
          <w:bCs/>
          <w:sz w:val="22"/>
          <w:szCs w:val="22"/>
          <w:lang w:val="fr-FR"/>
        </w:rPr>
        <w:t xml:space="preserve"> convenait</w:t>
      </w:r>
      <w:r w:rsidRPr="001B6B1F">
        <w:rPr>
          <w:rFonts w:ascii="Arial" w:hAnsi="Arial" w:cs="Arial"/>
          <w:bCs/>
          <w:sz w:val="22"/>
          <w:szCs w:val="22"/>
          <w:lang w:val="fr-FR"/>
        </w:rPr>
        <w:t>, bien entendu,</w:t>
      </w:r>
      <w:r>
        <w:rPr>
          <w:rFonts w:ascii="Arial" w:hAnsi="Arial" w:cs="Arial"/>
          <w:bCs/>
          <w:sz w:val="22"/>
          <w:szCs w:val="22"/>
          <w:lang w:val="fr-FR"/>
        </w:rPr>
        <w:t xml:space="preserve"> </w:t>
      </w:r>
      <w:r w:rsidRPr="001B6B1F">
        <w:rPr>
          <w:rFonts w:ascii="Arial" w:hAnsi="Arial" w:cs="Arial"/>
          <w:bCs/>
          <w:sz w:val="22"/>
          <w:szCs w:val="22"/>
          <w:lang w:val="fr-FR"/>
        </w:rPr>
        <w:t>de l</w:t>
      </w:r>
      <w:r w:rsidR="008E532B">
        <w:rPr>
          <w:rFonts w:ascii="Arial" w:hAnsi="Arial" w:cs="Arial"/>
          <w:bCs/>
          <w:sz w:val="22"/>
          <w:szCs w:val="22"/>
          <w:lang w:val="fr-FR"/>
        </w:rPr>
        <w:t>’</w:t>
      </w:r>
      <w:r w:rsidRPr="001B6B1F">
        <w:rPr>
          <w:rFonts w:ascii="Arial" w:hAnsi="Arial" w:cs="Arial"/>
          <w:bCs/>
          <w:sz w:val="22"/>
          <w:szCs w:val="22"/>
          <w:lang w:val="fr-FR"/>
        </w:rPr>
        <w:t xml:space="preserve">importance du vote </w:t>
      </w:r>
      <w:r w:rsidRPr="00C22CCE">
        <w:rPr>
          <w:rFonts w:ascii="Arial" w:hAnsi="Arial" w:cs="Arial"/>
          <w:bCs/>
          <w:i/>
          <w:iCs/>
          <w:sz w:val="22"/>
          <w:szCs w:val="22"/>
          <w:lang w:val="fr-FR"/>
        </w:rPr>
        <w:t xml:space="preserve">in </w:t>
      </w:r>
      <w:proofErr w:type="spellStart"/>
      <w:r w:rsidRPr="00C22CCE">
        <w:rPr>
          <w:rFonts w:ascii="Arial" w:hAnsi="Arial" w:cs="Arial"/>
          <w:bCs/>
          <w:i/>
          <w:iCs/>
          <w:sz w:val="22"/>
          <w:szCs w:val="22"/>
          <w:lang w:val="fr-FR"/>
        </w:rPr>
        <w:t>præsentia</w:t>
      </w:r>
      <w:proofErr w:type="spellEnd"/>
      <w:r>
        <w:rPr>
          <w:rFonts w:ascii="Arial" w:hAnsi="Arial" w:cs="Arial"/>
          <w:bCs/>
          <w:sz w:val="22"/>
          <w:szCs w:val="22"/>
          <w:lang w:val="fr-FR"/>
        </w:rPr>
        <w:t xml:space="preserve"> </w:t>
      </w:r>
      <w:r w:rsidRPr="001B6B1F">
        <w:rPr>
          <w:rFonts w:ascii="Arial" w:hAnsi="Arial" w:cs="Arial"/>
          <w:bCs/>
          <w:sz w:val="22"/>
          <w:szCs w:val="22"/>
          <w:lang w:val="fr-FR"/>
        </w:rPr>
        <w:t xml:space="preserve">en cas de </w:t>
      </w:r>
      <w:r>
        <w:rPr>
          <w:rFonts w:ascii="Arial" w:hAnsi="Arial" w:cs="Arial"/>
          <w:bCs/>
          <w:sz w:val="22"/>
          <w:szCs w:val="22"/>
          <w:lang w:val="fr-FR"/>
        </w:rPr>
        <w:t xml:space="preserve">vote à bulletins </w:t>
      </w:r>
      <w:r w:rsidRPr="001B6B1F">
        <w:rPr>
          <w:rFonts w:ascii="Arial" w:hAnsi="Arial" w:cs="Arial"/>
          <w:bCs/>
          <w:sz w:val="22"/>
          <w:szCs w:val="22"/>
          <w:lang w:val="fr-FR"/>
        </w:rPr>
        <w:t>secret</w:t>
      </w:r>
      <w:r>
        <w:rPr>
          <w:rFonts w:ascii="Arial" w:hAnsi="Arial" w:cs="Arial"/>
          <w:bCs/>
          <w:sz w:val="22"/>
          <w:szCs w:val="22"/>
          <w:lang w:val="fr-FR"/>
        </w:rPr>
        <w:t>s</w:t>
      </w:r>
      <w:r w:rsidRPr="001B6B1F">
        <w:rPr>
          <w:rFonts w:ascii="Arial" w:hAnsi="Arial" w:cs="Arial"/>
          <w:bCs/>
          <w:sz w:val="22"/>
          <w:szCs w:val="22"/>
          <w:lang w:val="fr-FR"/>
        </w:rPr>
        <w:t>. Toutefois, comme l</w:t>
      </w:r>
      <w:r w:rsidR="008E532B">
        <w:rPr>
          <w:rFonts w:ascii="Arial" w:hAnsi="Arial" w:cs="Arial"/>
          <w:bCs/>
          <w:sz w:val="22"/>
          <w:szCs w:val="22"/>
          <w:lang w:val="fr-FR"/>
        </w:rPr>
        <w:t>’</w:t>
      </w:r>
      <w:r w:rsidRPr="001B6B1F">
        <w:rPr>
          <w:rFonts w:ascii="Arial" w:hAnsi="Arial" w:cs="Arial"/>
          <w:bCs/>
          <w:sz w:val="22"/>
          <w:szCs w:val="22"/>
          <w:lang w:val="fr-FR"/>
        </w:rPr>
        <w:t>a</w:t>
      </w:r>
      <w:r>
        <w:rPr>
          <w:rFonts w:ascii="Arial" w:hAnsi="Arial" w:cs="Arial"/>
          <w:bCs/>
          <w:sz w:val="22"/>
          <w:szCs w:val="22"/>
          <w:lang w:val="fr-FR"/>
        </w:rPr>
        <w:t>vait</w:t>
      </w:r>
      <w:r w:rsidRPr="001B6B1F">
        <w:rPr>
          <w:rFonts w:ascii="Arial" w:hAnsi="Arial" w:cs="Arial"/>
          <w:bCs/>
          <w:sz w:val="22"/>
          <w:szCs w:val="22"/>
          <w:lang w:val="fr-FR"/>
        </w:rPr>
        <w:t xml:space="preserve"> mentionné l</w:t>
      </w:r>
      <w:r w:rsidR="008E532B">
        <w:rPr>
          <w:rFonts w:ascii="Arial" w:hAnsi="Arial" w:cs="Arial"/>
          <w:bCs/>
          <w:sz w:val="22"/>
          <w:szCs w:val="22"/>
          <w:lang w:val="fr-FR"/>
        </w:rPr>
        <w:t>’</w:t>
      </w:r>
      <w:r w:rsidRPr="001B6B1F">
        <w:rPr>
          <w:rFonts w:ascii="Arial" w:hAnsi="Arial" w:cs="Arial"/>
          <w:bCs/>
          <w:sz w:val="22"/>
          <w:szCs w:val="22"/>
          <w:lang w:val="fr-FR"/>
        </w:rPr>
        <w:t>Estonie, un vote par appel nominal sur un point particulier ou un vote à main levée</w:t>
      </w:r>
      <w:r>
        <w:rPr>
          <w:rFonts w:ascii="Arial" w:hAnsi="Arial" w:cs="Arial"/>
          <w:bCs/>
          <w:sz w:val="22"/>
          <w:szCs w:val="22"/>
          <w:lang w:val="fr-FR"/>
        </w:rPr>
        <w:t xml:space="preserve">, </w:t>
      </w:r>
      <w:r w:rsidRPr="001B6B1F">
        <w:rPr>
          <w:rFonts w:ascii="Arial" w:hAnsi="Arial" w:cs="Arial"/>
          <w:bCs/>
          <w:sz w:val="22"/>
          <w:szCs w:val="22"/>
          <w:lang w:val="fr-FR"/>
        </w:rPr>
        <w:t>ou équivalent</w:t>
      </w:r>
      <w:r>
        <w:rPr>
          <w:rFonts w:ascii="Arial" w:hAnsi="Arial" w:cs="Arial"/>
          <w:bCs/>
          <w:sz w:val="22"/>
          <w:szCs w:val="22"/>
          <w:lang w:val="fr-FR"/>
        </w:rPr>
        <w:t>,</w:t>
      </w:r>
      <w:r w:rsidRPr="001B6B1F">
        <w:rPr>
          <w:rFonts w:ascii="Arial" w:hAnsi="Arial" w:cs="Arial"/>
          <w:bCs/>
          <w:sz w:val="22"/>
          <w:szCs w:val="22"/>
          <w:lang w:val="fr-FR"/>
        </w:rPr>
        <w:t xml:space="preserve"> </w:t>
      </w:r>
      <w:r>
        <w:rPr>
          <w:rFonts w:ascii="Arial" w:hAnsi="Arial" w:cs="Arial"/>
          <w:bCs/>
          <w:sz w:val="22"/>
          <w:szCs w:val="22"/>
          <w:lang w:val="fr-FR"/>
        </w:rPr>
        <w:t xml:space="preserve">devrait être </w:t>
      </w:r>
      <w:r w:rsidRPr="001B6B1F">
        <w:rPr>
          <w:rFonts w:ascii="Arial" w:hAnsi="Arial" w:cs="Arial"/>
          <w:bCs/>
          <w:sz w:val="22"/>
          <w:szCs w:val="22"/>
          <w:lang w:val="fr-FR"/>
        </w:rPr>
        <w:t xml:space="preserve">possible en ligne. On pourrait donc ajouter un libellé qui tienne compte des deux possibilités. La délégation a également suggéré de remplacer </w:t>
      </w:r>
      <w:r>
        <w:rPr>
          <w:rFonts w:ascii="Arial" w:hAnsi="Arial" w:cs="Arial"/>
          <w:bCs/>
          <w:sz w:val="22"/>
          <w:szCs w:val="22"/>
          <w:lang w:val="fr-FR"/>
        </w:rPr>
        <w:t>le mot « </w:t>
      </w:r>
      <w:r w:rsidRPr="001B6B1F">
        <w:rPr>
          <w:rFonts w:ascii="Arial" w:hAnsi="Arial" w:cs="Arial"/>
          <w:bCs/>
          <w:sz w:val="22"/>
          <w:szCs w:val="22"/>
          <w:lang w:val="fr-FR"/>
        </w:rPr>
        <w:t>scrutin</w:t>
      </w:r>
      <w:r>
        <w:rPr>
          <w:rFonts w:ascii="Arial" w:hAnsi="Arial" w:cs="Arial"/>
          <w:bCs/>
          <w:sz w:val="22"/>
          <w:szCs w:val="22"/>
          <w:lang w:val="fr-FR"/>
        </w:rPr>
        <w:t> »</w:t>
      </w:r>
      <w:r w:rsidRPr="001B6B1F">
        <w:rPr>
          <w:rFonts w:ascii="Arial" w:hAnsi="Arial" w:cs="Arial"/>
          <w:bCs/>
          <w:sz w:val="22"/>
          <w:szCs w:val="22"/>
          <w:lang w:val="fr-FR"/>
        </w:rPr>
        <w:t xml:space="preserve"> dans la version française par </w:t>
      </w:r>
      <w:r>
        <w:rPr>
          <w:rFonts w:ascii="Arial" w:hAnsi="Arial" w:cs="Arial"/>
          <w:bCs/>
          <w:sz w:val="22"/>
          <w:szCs w:val="22"/>
          <w:lang w:val="fr-FR"/>
        </w:rPr>
        <w:t>« vot</w:t>
      </w:r>
      <w:r w:rsidRPr="001B6B1F">
        <w:rPr>
          <w:rFonts w:ascii="Arial" w:hAnsi="Arial" w:cs="Arial"/>
          <w:bCs/>
          <w:sz w:val="22"/>
          <w:szCs w:val="22"/>
          <w:lang w:val="fr-FR"/>
        </w:rPr>
        <w:t>e</w:t>
      </w:r>
      <w:r>
        <w:rPr>
          <w:rFonts w:ascii="Arial" w:hAnsi="Arial" w:cs="Arial"/>
          <w:bCs/>
          <w:sz w:val="22"/>
          <w:szCs w:val="22"/>
          <w:lang w:val="fr-FR"/>
        </w:rPr>
        <w:t> »,</w:t>
      </w:r>
      <w:r w:rsidRPr="001B6B1F">
        <w:rPr>
          <w:rFonts w:ascii="Arial" w:hAnsi="Arial" w:cs="Arial"/>
          <w:bCs/>
          <w:sz w:val="22"/>
          <w:szCs w:val="22"/>
          <w:lang w:val="fr-FR"/>
        </w:rPr>
        <w:t xml:space="preserve"> car il arriv</w:t>
      </w:r>
      <w:r>
        <w:rPr>
          <w:rFonts w:ascii="Arial" w:hAnsi="Arial" w:cs="Arial"/>
          <w:bCs/>
          <w:sz w:val="22"/>
          <w:szCs w:val="22"/>
          <w:lang w:val="fr-FR"/>
        </w:rPr>
        <w:t>ait</w:t>
      </w:r>
      <w:r w:rsidRPr="001B6B1F">
        <w:rPr>
          <w:rFonts w:ascii="Arial" w:hAnsi="Arial" w:cs="Arial"/>
          <w:bCs/>
          <w:sz w:val="22"/>
          <w:szCs w:val="22"/>
          <w:lang w:val="fr-FR"/>
        </w:rPr>
        <w:t xml:space="preserve"> que l</w:t>
      </w:r>
      <w:r w:rsidR="008E532B">
        <w:rPr>
          <w:rFonts w:ascii="Arial" w:hAnsi="Arial" w:cs="Arial"/>
          <w:bCs/>
          <w:sz w:val="22"/>
          <w:szCs w:val="22"/>
          <w:lang w:val="fr-FR"/>
        </w:rPr>
        <w:t>’</w:t>
      </w:r>
      <w:r w:rsidRPr="001B6B1F">
        <w:rPr>
          <w:rFonts w:ascii="Arial" w:hAnsi="Arial" w:cs="Arial"/>
          <w:bCs/>
          <w:sz w:val="22"/>
          <w:szCs w:val="22"/>
          <w:lang w:val="fr-FR"/>
        </w:rPr>
        <w:t>Assemblée vote sur un article, un mot ou un amendement</w:t>
      </w:r>
      <w:r>
        <w:rPr>
          <w:rFonts w:ascii="Arial" w:hAnsi="Arial" w:cs="Arial"/>
          <w:bCs/>
          <w:sz w:val="22"/>
          <w:szCs w:val="22"/>
          <w:lang w:val="fr-FR"/>
        </w:rPr>
        <w:t>, ce qui n</w:t>
      </w:r>
      <w:r w:rsidR="008E532B">
        <w:rPr>
          <w:rFonts w:ascii="Arial" w:hAnsi="Arial" w:cs="Arial"/>
          <w:bCs/>
          <w:sz w:val="22"/>
          <w:szCs w:val="22"/>
          <w:lang w:val="fr-FR"/>
        </w:rPr>
        <w:t>’</w:t>
      </w:r>
      <w:r>
        <w:rPr>
          <w:rFonts w:ascii="Arial" w:hAnsi="Arial" w:cs="Arial"/>
          <w:bCs/>
          <w:sz w:val="22"/>
          <w:szCs w:val="22"/>
          <w:lang w:val="fr-FR"/>
        </w:rPr>
        <w:t>était pas</w:t>
      </w:r>
      <w:r w:rsidRPr="001B6B1F">
        <w:rPr>
          <w:rFonts w:ascii="Arial" w:hAnsi="Arial" w:cs="Arial"/>
          <w:bCs/>
          <w:sz w:val="22"/>
          <w:szCs w:val="22"/>
          <w:lang w:val="fr-FR"/>
        </w:rPr>
        <w:t xml:space="preserve"> </w:t>
      </w:r>
      <w:r>
        <w:rPr>
          <w:rFonts w:ascii="Arial" w:hAnsi="Arial" w:cs="Arial"/>
          <w:bCs/>
          <w:sz w:val="22"/>
          <w:szCs w:val="22"/>
          <w:lang w:val="fr-FR"/>
        </w:rPr>
        <w:t xml:space="preserve">à proprement parler </w:t>
      </w:r>
      <w:r w:rsidRPr="001B6B1F">
        <w:rPr>
          <w:rFonts w:ascii="Arial" w:hAnsi="Arial" w:cs="Arial"/>
          <w:bCs/>
          <w:sz w:val="22"/>
          <w:szCs w:val="22"/>
          <w:lang w:val="fr-FR"/>
        </w:rPr>
        <w:t xml:space="preserve">pas un </w:t>
      </w:r>
      <w:r>
        <w:rPr>
          <w:rFonts w:ascii="Arial" w:hAnsi="Arial" w:cs="Arial"/>
          <w:bCs/>
          <w:sz w:val="22"/>
          <w:szCs w:val="22"/>
          <w:lang w:val="fr-FR"/>
        </w:rPr>
        <w:t>« </w:t>
      </w:r>
      <w:r w:rsidRPr="001B6B1F">
        <w:rPr>
          <w:rFonts w:ascii="Arial" w:hAnsi="Arial" w:cs="Arial"/>
          <w:bCs/>
          <w:sz w:val="22"/>
          <w:szCs w:val="22"/>
          <w:lang w:val="fr-FR"/>
        </w:rPr>
        <w:t>scrutin</w:t>
      </w:r>
      <w:r>
        <w:rPr>
          <w:rFonts w:ascii="Arial" w:hAnsi="Arial" w:cs="Arial"/>
          <w:bCs/>
          <w:sz w:val="22"/>
          <w:szCs w:val="22"/>
          <w:lang w:val="fr-FR"/>
        </w:rPr>
        <w:t> »</w:t>
      </w:r>
      <w:r w:rsidRPr="001B6B1F">
        <w:rPr>
          <w:rFonts w:ascii="Arial" w:hAnsi="Arial" w:cs="Arial"/>
          <w:bCs/>
          <w:sz w:val="22"/>
          <w:szCs w:val="22"/>
          <w:lang w:val="fr-FR"/>
        </w:rPr>
        <w:t>.</w:t>
      </w:r>
    </w:p>
    <w:p w14:paraId="44DB2463" w14:textId="71BE246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B6B1F">
        <w:rPr>
          <w:rFonts w:ascii="Arial" w:hAnsi="Arial" w:cs="Arial"/>
          <w:bCs/>
          <w:sz w:val="22"/>
          <w:szCs w:val="22"/>
          <w:lang w:val="fr-FR"/>
        </w:rPr>
        <w:t xml:space="preserve">Le </w:t>
      </w:r>
      <w:r w:rsidRPr="001B6B1F">
        <w:rPr>
          <w:rFonts w:ascii="Arial" w:hAnsi="Arial" w:cs="Arial"/>
          <w:b/>
          <w:sz w:val="22"/>
          <w:szCs w:val="22"/>
          <w:lang w:val="fr-FR"/>
        </w:rPr>
        <w:t>Sous-Directeur général</w:t>
      </w:r>
      <w:r w:rsidRPr="001B6B1F">
        <w:rPr>
          <w:rFonts w:ascii="Arial" w:hAnsi="Arial" w:cs="Arial"/>
          <w:bCs/>
          <w:sz w:val="22"/>
          <w:szCs w:val="22"/>
          <w:lang w:val="fr-FR"/>
        </w:rPr>
        <w:t xml:space="preserve"> a pris note du consensus pour introduire un libellé relatif au </w:t>
      </w:r>
      <w:r>
        <w:rPr>
          <w:rFonts w:ascii="Arial" w:hAnsi="Arial" w:cs="Arial"/>
          <w:bCs/>
          <w:sz w:val="22"/>
          <w:szCs w:val="22"/>
          <w:lang w:val="fr-FR"/>
        </w:rPr>
        <w:t xml:space="preserve">vote à bulletins </w:t>
      </w:r>
      <w:r w:rsidRPr="001B6B1F">
        <w:rPr>
          <w:rFonts w:ascii="Arial" w:hAnsi="Arial" w:cs="Arial"/>
          <w:bCs/>
          <w:sz w:val="22"/>
          <w:szCs w:val="22"/>
          <w:lang w:val="fr-FR"/>
        </w:rPr>
        <w:t>secret</w:t>
      </w:r>
      <w:r>
        <w:rPr>
          <w:rFonts w:ascii="Arial" w:hAnsi="Arial" w:cs="Arial"/>
          <w:bCs/>
          <w:sz w:val="22"/>
          <w:szCs w:val="22"/>
          <w:lang w:val="fr-FR"/>
        </w:rPr>
        <w:t>s</w:t>
      </w:r>
      <w:r w:rsidRPr="001B6B1F">
        <w:rPr>
          <w:rFonts w:ascii="Arial" w:hAnsi="Arial" w:cs="Arial"/>
          <w:bCs/>
          <w:sz w:val="22"/>
          <w:szCs w:val="22"/>
          <w:lang w:val="fr-FR"/>
        </w:rPr>
        <w:t xml:space="preserve">. Des délégations </w:t>
      </w:r>
      <w:r>
        <w:rPr>
          <w:rFonts w:ascii="Arial" w:hAnsi="Arial" w:cs="Arial"/>
          <w:bCs/>
          <w:sz w:val="22"/>
          <w:szCs w:val="22"/>
          <w:lang w:val="fr-FR"/>
        </w:rPr>
        <w:t xml:space="preserve">demandaient </w:t>
      </w:r>
      <w:r w:rsidRPr="001B6B1F">
        <w:rPr>
          <w:rFonts w:ascii="Arial" w:hAnsi="Arial" w:cs="Arial"/>
          <w:bCs/>
          <w:sz w:val="22"/>
          <w:szCs w:val="22"/>
          <w:lang w:val="fr-FR"/>
        </w:rPr>
        <w:t xml:space="preserve">également </w:t>
      </w:r>
      <w:r>
        <w:rPr>
          <w:rFonts w:ascii="Arial" w:hAnsi="Arial" w:cs="Arial"/>
          <w:bCs/>
          <w:sz w:val="22"/>
          <w:szCs w:val="22"/>
          <w:lang w:val="fr-FR"/>
        </w:rPr>
        <w:t>que l</w:t>
      </w:r>
      <w:r w:rsidR="008E532B">
        <w:rPr>
          <w:rFonts w:ascii="Arial" w:hAnsi="Arial" w:cs="Arial"/>
          <w:bCs/>
          <w:sz w:val="22"/>
          <w:szCs w:val="22"/>
          <w:lang w:val="fr-FR"/>
        </w:rPr>
        <w:t>’</w:t>
      </w:r>
      <w:r>
        <w:rPr>
          <w:rFonts w:ascii="Arial" w:hAnsi="Arial" w:cs="Arial"/>
          <w:bCs/>
          <w:sz w:val="22"/>
          <w:szCs w:val="22"/>
          <w:lang w:val="fr-FR"/>
        </w:rPr>
        <w:t xml:space="preserve">on évoque </w:t>
      </w:r>
      <w:r w:rsidRPr="001B6B1F">
        <w:rPr>
          <w:rFonts w:ascii="Arial" w:hAnsi="Arial" w:cs="Arial"/>
          <w:bCs/>
          <w:sz w:val="22"/>
          <w:szCs w:val="22"/>
          <w:lang w:val="fr-FR"/>
        </w:rPr>
        <w:t>d</w:t>
      </w:r>
      <w:r w:rsidR="008E532B">
        <w:rPr>
          <w:rFonts w:ascii="Arial" w:hAnsi="Arial" w:cs="Arial"/>
          <w:bCs/>
          <w:sz w:val="22"/>
          <w:szCs w:val="22"/>
          <w:lang w:val="fr-FR"/>
        </w:rPr>
        <w:t>’</w:t>
      </w:r>
      <w:r w:rsidRPr="001B6B1F">
        <w:rPr>
          <w:rFonts w:ascii="Arial" w:hAnsi="Arial" w:cs="Arial"/>
          <w:bCs/>
          <w:sz w:val="22"/>
          <w:szCs w:val="22"/>
          <w:lang w:val="fr-FR"/>
        </w:rPr>
        <w:t>autres</w:t>
      </w:r>
      <w:r>
        <w:rPr>
          <w:rFonts w:ascii="Arial" w:hAnsi="Arial" w:cs="Arial"/>
          <w:bCs/>
          <w:sz w:val="22"/>
          <w:szCs w:val="22"/>
          <w:lang w:val="fr-FR"/>
        </w:rPr>
        <w:t xml:space="preserve"> mode</w:t>
      </w:r>
      <w:r w:rsidRPr="001B6B1F">
        <w:rPr>
          <w:rFonts w:ascii="Arial" w:hAnsi="Arial" w:cs="Arial"/>
          <w:bCs/>
          <w:sz w:val="22"/>
          <w:szCs w:val="22"/>
          <w:lang w:val="fr-FR"/>
        </w:rPr>
        <w:t xml:space="preserve"> d</w:t>
      </w:r>
      <w:r>
        <w:rPr>
          <w:rFonts w:ascii="Arial" w:hAnsi="Arial" w:cs="Arial"/>
          <w:bCs/>
          <w:sz w:val="22"/>
          <w:szCs w:val="22"/>
          <w:lang w:val="fr-FR"/>
        </w:rPr>
        <w:t>e vote</w:t>
      </w:r>
      <w:r w:rsidRPr="001B6B1F">
        <w:rPr>
          <w:rFonts w:ascii="Arial" w:hAnsi="Arial" w:cs="Arial"/>
          <w:bCs/>
          <w:sz w:val="22"/>
          <w:szCs w:val="22"/>
          <w:lang w:val="fr-FR"/>
        </w:rPr>
        <w:t>.</w:t>
      </w:r>
    </w:p>
    <w:p w14:paraId="260FCB13" w14:textId="55DDD63F" w:rsidR="00D9653F" w:rsidRPr="001B6B1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B6B1F">
        <w:rPr>
          <w:rFonts w:ascii="Arial" w:hAnsi="Arial" w:cs="Arial"/>
          <w:bCs/>
          <w:sz w:val="22"/>
          <w:szCs w:val="22"/>
          <w:lang w:val="fr-FR"/>
        </w:rPr>
        <w:t>La délégation d</w:t>
      </w:r>
      <w:r>
        <w:rPr>
          <w:rFonts w:ascii="Arial" w:hAnsi="Arial" w:cs="Arial"/>
          <w:bCs/>
          <w:sz w:val="22"/>
          <w:szCs w:val="22"/>
          <w:lang w:val="fr-FR"/>
        </w:rPr>
        <w:t xml:space="preserve">e la </w:t>
      </w:r>
      <w:r w:rsidRPr="00E8321F">
        <w:rPr>
          <w:rFonts w:ascii="Arial" w:hAnsi="Arial" w:cs="Arial"/>
          <w:b/>
          <w:sz w:val="22"/>
          <w:szCs w:val="22"/>
          <w:lang w:val="fr-FR"/>
        </w:rPr>
        <w:t>République bolivarienne du Venezuela</w:t>
      </w:r>
      <w:r>
        <w:rPr>
          <w:rFonts w:ascii="Arial" w:hAnsi="Arial" w:cs="Arial"/>
          <w:bCs/>
          <w:sz w:val="22"/>
          <w:szCs w:val="22"/>
          <w:lang w:val="fr-FR"/>
        </w:rPr>
        <w:t xml:space="preserve"> </w:t>
      </w:r>
      <w:r w:rsidRPr="001B6B1F">
        <w:rPr>
          <w:rFonts w:ascii="Arial" w:hAnsi="Arial" w:cs="Arial"/>
          <w:bCs/>
          <w:sz w:val="22"/>
          <w:szCs w:val="22"/>
          <w:lang w:val="fr-FR"/>
        </w:rPr>
        <w:t>s</w:t>
      </w:r>
      <w:r w:rsidR="008E532B">
        <w:rPr>
          <w:rFonts w:ascii="Arial" w:hAnsi="Arial" w:cs="Arial"/>
          <w:bCs/>
          <w:sz w:val="22"/>
          <w:szCs w:val="22"/>
          <w:lang w:val="fr-FR"/>
        </w:rPr>
        <w:t>’</w:t>
      </w:r>
      <w:r w:rsidRPr="001B6B1F">
        <w:rPr>
          <w:rFonts w:ascii="Arial" w:hAnsi="Arial" w:cs="Arial"/>
          <w:bCs/>
          <w:sz w:val="22"/>
          <w:szCs w:val="22"/>
          <w:lang w:val="fr-FR"/>
        </w:rPr>
        <w:t xml:space="preserve">est référée à la Conférence générale de 2021 </w:t>
      </w:r>
      <w:r>
        <w:rPr>
          <w:rFonts w:ascii="Arial" w:hAnsi="Arial" w:cs="Arial"/>
          <w:bCs/>
          <w:sz w:val="22"/>
          <w:szCs w:val="22"/>
          <w:lang w:val="fr-FR"/>
        </w:rPr>
        <w:t>au cours de laquelle</w:t>
      </w:r>
      <w:r w:rsidRPr="001B6B1F">
        <w:rPr>
          <w:rFonts w:ascii="Arial" w:hAnsi="Arial" w:cs="Arial"/>
          <w:bCs/>
          <w:sz w:val="22"/>
          <w:szCs w:val="22"/>
          <w:lang w:val="fr-FR"/>
        </w:rPr>
        <w:t xml:space="preserve"> différents mécanismes</w:t>
      </w:r>
      <w:r>
        <w:rPr>
          <w:rFonts w:ascii="Arial" w:hAnsi="Arial" w:cs="Arial"/>
          <w:bCs/>
          <w:sz w:val="22"/>
          <w:szCs w:val="22"/>
          <w:lang w:val="fr-FR"/>
        </w:rPr>
        <w:t xml:space="preserve"> avaient</w:t>
      </w:r>
      <w:r w:rsidRPr="001B6B1F">
        <w:rPr>
          <w:rFonts w:ascii="Arial" w:hAnsi="Arial" w:cs="Arial"/>
          <w:bCs/>
          <w:sz w:val="22"/>
          <w:szCs w:val="22"/>
          <w:lang w:val="fr-FR"/>
        </w:rPr>
        <w:t xml:space="preserve"> été examinés pour le vote en ligne</w:t>
      </w:r>
      <w:r>
        <w:rPr>
          <w:rFonts w:ascii="Arial" w:hAnsi="Arial" w:cs="Arial"/>
          <w:bCs/>
          <w:sz w:val="22"/>
          <w:szCs w:val="22"/>
          <w:lang w:val="fr-FR"/>
        </w:rPr>
        <w:t xml:space="preserve">, </w:t>
      </w:r>
      <w:r w:rsidRPr="001B6B1F">
        <w:rPr>
          <w:rFonts w:ascii="Arial" w:hAnsi="Arial" w:cs="Arial"/>
          <w:bCs/>
          <w:sz w:val="22"/>
          <w:szCs w:val="22"/>
          <w:lang w:val="fr-FR"/>
        </w:rPr>
        <w:t>et il a</w:t>
      </w:r>
      <w:r>
        <w:rPr>
          <w:rFonts w:ascii="Arial" w:hAnsi="Arial" w:cs="Arial"/>
          <w:bCs/>
          <w:sz w:val="22"/>
          <w:szCs w:val="22"/>
          <w:lang w:val="fr-FR"/>
        </w:rPr>
        <w:t>vait</w:t>
      </w:r>
      <w:r w:rsidRPr="001B6B1F">
        <w:rPr>
          <w:rFonts w:ascii="Arial" w:hAnsi="Arial" w:cs="Arial"/>
          <w:bCs/>
          <w:sz w:val="22"/>
          <w:szCs w:val="22"/>
          <w:lang w:val="fr-FR"/>
        </w:rPr>
        <w:t xml:space="preserve"> été décidé qu</w:t>
      </w:r>
      <w:r w:rsidR="008E532B">
        <w:rPr>
          <w:rFonts w:ascii="Arial" w:hAnsi="Arial" w:cs="Arial"/>
          <w:bCs/>
          <w:sz w:val="22"/>
          <w:szCs w:val="22"/>
          <w:lang w:val="fr-FR"/>
        </w:rPr>
        <w:t>’</w:t>
      </w:r>
      <w:r w:rsidRPr="001B6B1F">
        <w:rPr>
          <w:rFonts w:ascii="Arial" w:hAnsi="Arial" w:cs="Arial"/>
          <w:bCs/>
          <w:sz w:val="22"/>
          <w:szCs w:val="22"/>
          <w:lang w:val="fr-FR"/>
        </w:rPr>
        <w:t>il serait</w:t>
      </w:r>
      <w:r>
        <w:rPr>
          <w:rFonts w:ascii="Arial" w:hAnsi="Arial" w:cs="Arial"/>
          <w:bCs/>
          <w:sz w:val="22"/>
          <w:szCs w:val="22"/>
          <w:lang w:val="fr-FR"/>
        </w:rPr>
        <w:t xml:space="preserve"> préférable</w:t>
      </w:r>
      <w:r w:rsidRPr="001B6B1F">
        <w:rPr>
          <w:rFonts w:ascii="Arial" w:hAnsi="Arial" w:cs="Arial"/>
          <w:bCs/>
          <w:sz w:val="22"/>
          <w:szCs w:val="22"/>
          <w:lang w:val="fr-FR"/>
        </w:rPr>
        <w:t xml:space="preserve"> que le vote se</w:t>
      </w:r>
      <w:r>
        <w:rPr>
          <w:rFonts w:ascii="Arial" w:hAnsi="Arial" w:cs="Arial"/>
          <w:bCs/>
          <w:sz w:val="22"/>
          <w:szCs w:val="22"/>
          <w:lang w:val="fr-FR"/>
        </w:rPr>
        <w:t xml:space="preserve"> tienne </w:t>
      </w:r>
      <w:r w:rsidRPr="001B6B1F">
        <w:rPr>
          <w:rFonts w:ascii="Arial" w:hAnsi="Arial" w:cs="Arial"/>
          <w:bCs/>
          <w:sz w:val="22"/>
          <w:szCs w:val="22"/>
          <w:lang w:val="fr-FR"/>
        </w:rPr>
        <w:t>en personne. La délégation s</w:t>
      </w:r>
      <w:r w:rsidR="008E532B">
        <w:rPr>
          <w:rFonts w:ascii="Arial" w:hAnsi="Arial" w:cs="Arial"/>
          <w:bCs/>
          <w:sz w:val="22"/>
          <w:szCs w:val="22"/>
          <w:lang w:val="fr-FR"/>
        </w:rPr>
        <w:t>’</w:t>
      </w:r>
      <w:r w:rsidRPr="001B6B1F">
        <w:rPr>
          <w:rFonts w:ascii="Arial" w:hAnsi="Arial" w:cs="Arial"/>
          <w:bCs/>
          <w:sz w:val="22"/>
          <w:szCs w:val="22"/>
          <w:lang w:val="fr-FR"/>
        </w:rPr>
        <w:t xml:space="preserve">est donc interrogée sur la logique </w:t>
      </w:r>
      <w:r>
        <w:rPr>
          <w:rFonts w:ascii="Arial" w:hAnsi="Arial" w:cs="Arial"/>
          <w:bCs/>
          <w:sz w:val="22"/>
          <w:szCs w:val="22"/>
          <w:lang w:val="fr-FR"/>
        </w:rPr>
        <w:t xml:space="preserve">qui consistait à </w:t>
      </w:r>
      <w:r w:rsidRPr="001B6B1F">
        <w:rPr>
          <w:rFonts w:ascii="Arial" w:hAnsi="Arial" w:cs="Arial"/>
          <w:bCs/>
          <w:sz w:val="22"/>
          <w:szCs w:val="22"/>
          <w:lang w:val="fr-FR"/>
        </w:rPr>
        <w:t>créer un précédent selon lequel certaines formes de vote p</w:t>
      </w:r>
      <w:r>
        <w:rPr>
          <w:rFonts w:ascii="Arial" w:hAnsi="Arial" w:cs="Arial"/>
          <w:bCs/>
          <w:sz w:val="22"/>
          <w:szCs w:val="22"/>
          <w:lang w:val="fr-FR"/>
        </w:rPr>
        <w:t>ouvaient</w:t>
      </w:r>
      <w:r w:rsidRPr="001B6B1F">
        <w:rPr>
          <w:rFonts w:ascii="Arial" w:hAnsi="Arial" w:cs="Arial"/>
          <w:bCs/>
          <w:sz w:val="22"/>
          <w:szCs w:val="22"/>
          <w:lang w:val="fr-FR"/>
        </w:rPr>
        <w:t xml:space="preserve"> </w:t>
      </w:r>
      <w:r>
        <w:rPr>
          <w:rFonts w:ascii="Arial" w:hAnsi="Arial" w:cs="Arial"/>
          <w:bCs/>
          <w:sz w:val="22"/>
          <w:szCs w:val="22"/>
          <w:lang w:val="fr-FR"/>
        </w:rPr>
        <w:t>se tenir</w:t>
      </w:r>
      <w:r w:rsidRPr="001B6B1F">
        <w:rPr>
          <w:rFonts w:ascii="Arial" w:hAnsi="Arial" w:cs="Arial"/>
          <w:bCs/>
          <w:sz w:val="22"/>
          <w:szCs w:val="22"/>
          <w:lang w:val="fr-FR"/>
        </w:rPr>
        <w:t xml:space="preserve"> en ligne alors qu</w:t>
      </w:r>
      <w:r w:rsidR="008E532B">
        <w:rPr>
          <w:rFonts w:ascii="Arial" w:hAnsi="Arial" w:cs="Arial"/>
          <w:bCs/>
          <w:sz w:val="22"/>
          <w:szCs w:val="22"/>
          <w:lang w:val="fr-FR"/>
        </w:rPr>
        <w:t>’</w:t>
      </w:r>
      <w:r w:rsidRPr="001B6B1F">
        <w:rPr>
          <w:rFonts w:ascii="Arial" w:hAnsi="Arial" w:cs="Arial"/>
          <w:bCs/>
          <w:sz w:val="22"/>
          <w:szCs w:val="22"/>
          <w:lang w:val="fr-FR"/>
        </w:rPr>
        <w:t>il avait été clair</w:t>
      </w:r>
      <w:r>
        <w:rPr>
          <w:rFonts w:ascii="Arial" w:hAnsi="Arial" w:cs="Arial"/>
          <w:bCs/>
          <w:sz w:val="22"/>
          <w:szCs w:val="22"/>
          <w:lang w:val="fr-FR"/>
        </w:rPr>
        <w:t xml:space="preserve">, </w:t>
      </w:r>
      <w:r w:rsidRPr="001B6B1F">
        <w:rPr>
          <w:rFonts w:ascii="Arial" w:hAnsi="Arial" w:cs="Arial"/>
          <w:bCs/>
          <w:sz w:val="22"/>
          <w:szCs w:val="22"/>
          <w:lang w:val="fr-FR"/>
        </w:rPr>
        <w:t>lors de la dernière Conférence générale</w:t>
      </w:r>
      <w:r>
        <w:rPr>
          <w:rFonts w:ascii="Arial" w:hAnsi="Arial" w:cs="Arial"/>
          <w:bCs/>
          <w:sz w:val="22"/>
          <w:szCs w:val="22"/>
          <w:lang w:val="fr-FR"/>
        </w:rPr>
        <w:t>,</w:t>
      </w:r>
      <w:r w:rsidRPr="001B6B1F">
        <w:rPr>
          <w:rFonts w:ascii="Arial" w:hAnsi="Arial" w:cs="Arial"/>
          <w:bCs/>
          <w:sz w:val="22"/>
          <w:szCs w:val="22"/>
          <w:lang w:val="fr-FR"/>
        </w:rPr>
        <w:t xml:space="preserve"> qu</w:t>
      </w:r>
      <w:r w:rsidR="008E532B">
        <w:rPr>
          <w:rFonts w:ascii="Arial" w:hAnsi="Arial" w:cs="Arial"/>
          <w:bCs/>
          <w:sz w:val="22"/>
          <w:szCs w:val="22"/>
          <w:lang w:val="fr-FR"/>
        </w:rPr>
        <w:t>’</w:t>
      </w:r>
      <w:r w:rsidRPr="001B6B1F">
        <w:rPr>
          <w:rFonts w:ascii="Arial" w:hAnsi="Arial" w:cs="Arial"/>
          <w:bCs/>
          <w:sz w:val="22"/>
          <w:szCs w:val="22"/>
          <w:lang w:val="fr-FR"/>
        </w:rPr>
        <w:t>il y avait une préférence pour le vote en personne. De plus, l</w:t>
      </w:r>
      <w:r>
        <w:rPr>
          <w:rFonts w:ascii="Arial" w:hAnsi="Arial" w:cs="Arial"/>
          <w:bCs/>
          <w:sz w:val="22"/>
          <w:szCs w:val="22"/>
          <w:lang w:val="fr-FR"/>
        </w:rPr>
        <w:t>a République bolivarienne du Venezuela était</w:t>
      </w:r>
      <w:r w:rsidRPr="001B6B1F">
        <w:rPr>
          <w:rFonts w:ascii="Arial" w:hAnsi="Arial" w:cs="Arial"/>
          <w:bCs/>
          <w:sz w:val="22"/>
          <w:szCs w:val="22"/>
          <w:lang w:val="fr-FR"/>
        </w:rPr>
        <w:t xml:space="preserve"> l</w:t>
      </w:r>
      <w:r w:rsidR="008E532B">
        <w:rPr>
          <w:rFonts w:ascii="Arial" w:hAnsi="Arial" w:cs="Arial"/>
          <w:bCs/>
          <w:sz w:val="22"/>
          <w:szCs w:val="22"/>
          <w:lang w:val="fr-FR"/>
        </w:rPr>
        <w:t>’</w:t>
      </w:r>
      <w:r w:rsidRPr="001B6B1F">
        <w:rPr>
          <w:rFonts w:ascii="Arial" w:hAnsi="Arial" w:cs="Arial"/>
          <w:bCs/>
          <w:sz w:val="22"/>
          <w:szCs w:val="22"/>
          <w:lang w:val="fr-FR"/>
        </w:rPr>
        <w:t xml:space="preserve">un des pays </w:t>
      </w:r>
      <w:r>
        <w:rPr>
          <w:rFonts w:ascii="Arial" w:hAnsi="Arial" w:cs="Arial"/>
          <w:bCs/>
          <w:sz w:val="22"/>
          <w:szCs w:val="22"/>
          <w:lang w:val="fr-FR"/>
        </w:rPr>
        <w:t>concernés</w:t>
      </w:r>
      <w:r w:rsidRPr="001B6B1F">
        <w:rPr>
          <w:rFonts w:ascii="Arial" w:hAnsi="Arial" w:cs="Arial"/>
          <w:bCs/>
          <w:sz w:val="22"/>
          <w:szCs w:val="22"/>
          <w:lang w:val="fr-FR"/>
        </w:rPr>
        <w:t xml:space="preserve"> par les problèmes de connectivité. La question</w:t>
      </w:r>
      <w:r>
        <w:rPr>
          <w:rFonts w:ascii="Arial" w:hAnsi="Arial" w:cs="Arial"/>
          <w:bCs/>
          <w:sz w:val="22"/>
          <w:szCs w:val="22"/>
          <w:lang w:val="fr-FR"/>
        </w:rPr>
        <w:t xml:space="preserve"> consistait à s</w:t>
      </w:r>
      <w:r w:rsidR="008E532B">
        <w:rPr>
          <w:rFonts w:ascii="Arial" w:hAnsi="Arial" w:cs="Arial"/>
          <w:bCs/>
          <w:sz w:val="22"/>
          <w:szCs w:val="22"/>
          <w:lang w:val="fr-FR"/>
        </w:rPr>
        <w:t>’</w:t>
      </w:r>
      <w:r w:rsidRPr="001B6B1F">
        <w:rPr>
          <w:rFonts w:ascii="Arial" w:hAnsi="Arial" w:cs="Arial"/>
          <w:bCs/>
          <w:sz w:val="22"/>
          <w:szCs w:val="22"/>
          <w:lang w:val="fr-FR"/>
        </w:rPr>
        <w:t xml:space="preserve">assurer que le vote de chaque délégation </w:t>
      </w:r>
      <w:r>
        <w:rPr>
          <w:rFonts w:ascii="Arial" w:hAnsi="Arial" w:cs="Arial"/>
          <w:bCs/>
          <w:sz w:val="22"/>
          <w:szCs w:val="22"/>
          <w:lang w:val="fr-FR"/>
        </w:rPr>
        <w:t xml:space="preserve">était </w:t>
      </w:r>
      <w:r w:rsidRPr="001B6B1F">
        <w:rPr>
          <w:rFonts w:ascii="Arial" w:hAnsi="Arial" w:cs="Arial"/>
          <w:bCs/>
          <w:sz w:val="22"/>
          <w:szCs w:val="22"/>
          <w:lang w:val="fr-FR"/>
        </w:rPr>
        <w:t>dûment enregistré lors du vote en ligne. Il exist</w:t>
      </w:r>
      <w:r>
        <w:rPr>
          <w:rFonts w:ascii="Arial" w:hAnsi="Arial" w:cs="Arial"/>
          <w:bCs/>
          <w:sz w:val="22"/>
          <w:szCs w:val="22"/>
          <w:lang w:val="fr-FR"/>
        </w:rPr>
        <w:t>ait</w:t>
      </w:r>
      <w:r w:rsidRPr="001B6B1F">
        <w:rPr>
          <w:rFonts w:ascii="Arial" w:hAnsi="Arial" w:cs="Arial"/>
          <w:bCs/>
          <w:sz w:val="22"/>
          <w:szCs w:val="22"/>
          <w:lang w:val="fr-FR"/>
        </w:rPr>
        <w:t xml:space="preserve"> des moyens d</w:t>
      </w:r>
      <w:r w:rsidR="008E532B">
        <w:rPr>
          <w:rFonts w:ascii="Arial" w:hAnsi="Arial" w:cs="Arial"/>
          <w:bCs/>
          <w:sz w:val="22"/>
          <w:szCs w:val="22"/>
          <w:lang w:val="fr-FR"/>
        </w:rPr>
        <w:t>’</w:t>
      </w:r>
      <w:r>
        <w:rPr>
          <w:rFonts w:ascii="Arial" w:hAnsi="Arial" w:cs="Arial"/>
          <w:bCs/>
          <w:sz w:val="22"/>
          <w:szCs w:val="22"/>
          <w:lang w:val="fr-FR"/>
        </w:rPr>
        <w:t>y parvenir</w:t>
      </w:r>
      <w:r w:rsidRPr="001B6B1F">
        <w:rPr>
          <w:rFonts w:ascii="Arial" w:hAnsi="Arial" w:cs="Arial"/>
          <w:bCs/>
          <w:sz w:val="22"/>
          <w:szCs w:val="22"/>
          <w:lang w:val="fr-FR"/>
        </w:rPr>
        <w:t>, comme cela avait déjà été fait aux Nations Unies</w:t>
      </w:r>
      <w:r>
        <w:rPr>
          <w:rFonts w:ascii="Arial" w:hAnsi="Arial" w:cs="Arial"/>
          <w:bCs/>
          <w:sz w:val="22"/>
          <w:szCs w:val="22"/>
          <w:lang w:val="fr-FR"/>
        </w:rPr>
        <w:t xml:space="preserve"> et </w:t>
      </w:r>
      <w:r w:rsidRPr="001B6B1F">
        <w:rPr>
          <w:rFonts w:ascii="Arial" w:hAnsi="Arial" w:cs="Arial"/>
          <w:bCs/>
          <w:sz w:val="22"/>
          <w:szCs w:val="22"/>
          <w:lang w:val="fr-FR"/>
        </w:rPr>
        <w:t>avec le patrimoine mondial et la Convention de 1970. Les gens pourraient venir dans la salle et voter en personne. La délégation ne compren</w:t>
      </w:r>
      <w:r>
        <w:rPr>
          <w:rFonts w:ascii="Arial" w:hAnsi="Arial" w:cs="Arial"/>
          <w:bCs/>
          <w:sz w:val="22"/>
          <w:szCs w:val="22"/>
          <w:lang w:val="fr-FR"/>
        </w:rPr>
        <w:t>ait</w:t>
      </w:r>
      <w:r w:rsidRPr="001B6B1F">
        <w:rPr>
          <w:rFonts w:ascii="Arial" w:hAnsi="Arial" w:cs="Arial"/>
          <w:bCs/>
          <w:sz w:val="22"/>
          <w:szCs w:val="22"/>
          <w:lang w:val="fr-FR"/>
        </w:rPr>
        <w:t xml:space="preserve"> pas pourquoi cela ne pourrait pas être étendu à d</w:t>
      </w:r>
      <w:r w:rsidR="008E532B">
        <w:rPr>
          <w:rFonts w:ascii="Arial" w:hAnsi="Arial" w:cs="Arial"/>
          <w:bCs/>
          <w:sz w:val="22"/>
          <w:szCs w:val="22"/>
          <w:lang w:val="fr-FR"/>
        </w:rPr>
        <w:t>’</w:t>
      </w:r>
      <w:r w:rsidRPr="001B6B1F">
        <w:rPr>
          <w:rFonts w:ascii="Arial" w:hAnsi="Arial" w:cs="Arial"/>
          <w:bCs/>
          <w:sz w:val="22"/>
          <w:szCs w:val="22"/>
          <w:lang w:val="fr-FR"/>
        </w:rPr>
        <w:t>autres formes</w:t>
      </w:r>
      <w:r>
        <w:rPr>
          <w:rFonts w:ascii="Arial" w:hAnsi="Arial" w:cs="Arial"/>
          <w:bCs/>
          <w:sz w:val="22"/>
          <w:szCs w:val="22"/>
          <w:lang w:val="fr-FR"/>
        </w:rPr>
        <w:t xml:space="preserve"> de vote</w:t>
      </w:r>
      <w:r w:rsidRPr="001B6B1F">
        <w:rPr>
          <w:rFonts w:ascii="Arial" w:hAnsi="Arial" w:cs="Arial"/>
          <w:bCs/>
          <w:sz w:val="22"/>
          <w:szCs w:val="22"/>
          <w:lang w:val="fr-FR"/>
        </w:rPr>
        <w:t>, comme l</w:t>
      </w:r>
      <w:r w:rsidR="008E532B">
        <w:rPr>
          <w:rFonts w:ascii="Arial" w:hAnsi="Arial" w:cs="Arial"/>
          <w:bCs/>
          <w:sz w:val="22"/>
          <w:szCs w:val="22"/>
          <w:lang w:val="fr-FR"/>
        </w:rPr>
        <w:t>’</w:t>
      </w:r>
      <w:r w:rsidRPr="001B6B1F">
        <w:rPr>
          <w:rFonts w:ascii="Arial" w:hAnsi="Arial" w:cs="Arial"/>
          <w:bCs/>
          <w:sz w:val="22"/>
          <w:szCs w:val="22"/>
          <w:lang w:val="fr-FR"/>
        </w:rPr>
        <w:t>appel nominal. Déclarer que tous les votes aur</w:t>
      </w:r>
      <w:r>
        <w:rPr>
          <w:rFonts w:ascii="Arial" w:hAnsi="Arial" w:cs="Arial"/>
          <w:bCs/>
          <w:sz w:val="22"/>
          <w:szCs w:val="22"/>
          <w:lang w:val="fr-FR"/>
        </w:rPr>
        <w:t>aie</w:t>
      </w:r>
      <w:r w:rsidRPr="001B6B1F">
        <w:rPr>
          <w:rFonts w:ascii="Arial" w:hAnsi="Arial" w:cs="Arial"/>
          <w:bCs/>
          <w:sz w:val="22"/>
          <w:szCs w:val="22"/>
          <w:lang w:val="fr-FR"/>
        </w:rPr>
        <w:t>nt lieu en personne serait l</w:t>
      </w:r>
      <w:r w:rsidR="008E532B">
        <w:rPr>
          <w:rFonts w:ascii="Arial" w:hAnsi="Arial" w:cs="Arial"/>
          <w:bCs/>
          <w:sz w:val="22"/>
          <w:szCs w:val="22"/>
          <w:lang w:val="fr-FR"/>
        </w:rPr>
        <w:t>’</w:t>
      </w:r>
      <w:r w:rsidRPr="001B6B1F">
        <w:rPr>
          <w:rFonts w:ascii="Arial" w:hAnsi="Arial" w:cs="Arial"/>
          <w:bCs/>
          <w:sz w:val="22"/>
          <w:szCs w:val="22"/>
          <w:lang w:val="fr-FR"/>
        </w:rPr>
        <w:t>option la plus simple, comme cela a</w:t>
      </w:r>
      <w:r>
        <w:rPr>
          <w:rFonts w:ascii="Arial" w:hAnsi="Arial" w:cs="Arial"/>
          <w:bCs/>
          <w:sz w:val="22"/>
          <w:szCs w:val="22"/>
          <w:lang w:val="fr-FR"/>
        </w:rPr>
        <w:t>vait</w:t>
      </w:r>
      <w:r w:rsidRPr="001B6B1F">
        <w:rPr>
          <w:rFonts w:ascii="Arial" w:hAnsi="Arial" w:cs="Arial"/>
          <w:bCs/>
          <w:sz w:val="22"/>
          <w:szCs w:val="22"/>
          <w:lang w:val="fr-FR"/>
        </w:rPr>
        <w:t xml:space="preserve"> été </w:t>
      </w:r>
      <w:r>
        <w:rPr>
          <w:rFonts w:ascii="Arial" w:hAnsi="Arial" w:cs="Arial"/>
          <w:bCs/>
          <w:sz w:val="22"/>
          <w:szCs w:val="22"/>
          <w:lang w:val="fr-FR"/>
        </w:rPr>
        <w:t>débattu</w:t>
      </w:r>
      <w:r w:rsidRPr="001B6B1F">
        <w:rPr>
          <w:rFonts w:ascii="Arial" w:hAnsi="Arial" w:cs="Arial"/>
          <w:bCs/>
          <w:sz w:val="22"/>
          <w:szCs w:val="22"/>
          <w:lang w:val="fr-FR"/>
        </w:rPr>
        <w:t xml:space="preserve"> au Conseil exécutif et à la Conférence</w:t>
      </w:r>
      <w:r>
        <w:rPr>
          <w:rFonts w:ascii="Arial" w:hAnsi="Arial" w:cs="Arial"/>
          <w:bCs/>
          <w:sz w:val="22"/>
          <w:szCs w:val="22"/>
          <w:lang w:val="fr-FR"/>
        </w:rPr>
        <w:t xml:space="preserve"> </w:t>
      </w:r>
      <w:r w:rsidRPr="001B6B1F">
        <w:rPr>
          <w:rFonts w:ascii="Arial" w:hAnsi="Arial" w:cs="Arial"/>
          <w:bCs/>
          <w:sz w:val="22"/>
          <w:szCs w:val="22"/>
          <w:lang w:val="fr-FR"/>
        </w:rPr>
        <w:t>générale, et il n</w:t>
      </w:r>
      <w:r w:rsidR="008E532B">
        <w:rPr>
          <w:rFonts w:ascii="Arial" w:hAnsi="Arial" w:cs="Arial"/>
          <w:bCs/>
          <w:sz w:val="22"/>
          <w:szCs w:val="22"/>
          <w:lang w:val="fr-FR"/>
        </w:rPr>
        <w:t>’</w:t>
      </w:r>
      <w:r>
        <w:rPr>
          <w:rFonts w:ascii="Arial" w:hAnsi="Arial" w:cs="Arial"/>
          <w:bCs/>
          <w:sz w:val="22"/>
          <w:szCs w:val="22"/>
          <w:lang w:val="fr-FR"/>
        </w:rPr>
        <w:t>était</w:t>
      </w:r>
      <w:r w:rsidRPr="001B6B1F">
        <w:rPr>
          <w:rFonts w:ascii="Arial" w:hAnsi="Arial" w:cs="Arial"/>
          <w:bCs/>
          <w:sz w:val="22"/>
          <w:szCs w:val="22"/>
          <w:lang w:val="fr-FR"/>
        </w:rPr>
        <w:t xml:space="preserve"> pas nécessaire de </w:t>
      </w:r>
      <w:r>
        <w:rPr>
          <w:rFonts w:ascii="Arial" w:hAnsi="Arial" w:cs="Arial"/>
          <w:bCs/>
          <w:sz w:val="22"/>
          <w:szCs w:val="22"/>
          <w:lang w:val="fr-FR"/>
        </w:rPr>
        <w:t>« </w:t>
      </w:r>
      <w:r w:rsidRPr="001B6B1F">
        <w:rPr>
          <w:rFonts w:ascii="Arial" w:hAnsi="Arial" w:cs="Arial"/>
          <w:bCs/>
          <w:sz w:val="22"/>
          <w:szCs w:val="22"/>
          <w:lang w:val="fr-FR"/>
        </w:rPr>
        <w:t>réinventer la roue</w:t>
      </w:r>
      <w:r>
        <w:rPr>
          <w:rFonts w:ascii="Arial" w:hAnsi="Arial" w:cs="Arial"/>
          <w:bCs/>
          <w:sz w:val="22"/>
          <w:szCs w:val="22"/>
          <w:lang w:val="fr-FR"/>
        </w:rPr>
        <w:t> »</w:t>
      </w:r>
      <w:r w:rsidRPr="001B6B1F">
        <w:rPr>
          <w:rFonts w:ascii="Arial" w:hAnsi="Arial" w:cs="Arial"/>
          <w:bCs/>
          <w:sz w:val="22"/>
          <w:szCs w:val="22"/>
          <w:lang w:val="fr-FR"/>
        </w:rPr>
        <w:t>.</w:t>
      </w:r>
    </w:p>
    <w:p w14:paraId="46EE5AF7" w14:textId="4282939C" w:rsidR="00D9653F" w:rsidRPr="00BB38E2"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B38E2">
        <w:rPr>
          <w:rFonts w:ascii="Arial" w:hAnsi="Arial" w:cs="Arial"/>
          <w:bCs/>
          <w:sz w:val="22"/>
          <w:szCs w:val="22"/>
          <w:lang w:val="fr-FR"/>
        </w:rPr>
        <w:t xml:space="preserve">La délégation de </w:t>
      </w:r>
      <w:r w:rsidRPr="00BB38E2">
        <w:rPr>
          <w:rFonts w:ascii="Arial" w:hAnsi="Arial" w:cs="Arial"/>
          <w:b/>
          <w:sz w:val="22"/>
          <w:szCs w:val="22"/>
          <w:lang w:val="fr-FR"/>
        </w:rPr>
        <w:t>Chypre</w:t>
      </w:r>
      <w:r w:rsidRPr="00BB38E2">
        <w:rPr>
          <w:rFonts w:ascii="Arial" w:hAnsi="Arial" w:cs="Arial"/>
          <w:bCs/>
          <w:sz w:val="22"/>
          <w:szCs w:val="22"/>
          <w:lang w:val="fr-FR"/>
        </w:rPr>
        <w:t xml:space="preserve"> souten</w:t>
      </w:r>
      <w:r>
        <w:rPr>
          <w:rFonts w:ascii="Arial" w:hAnsi="Arial" w:cs="Arial"/>
          <w:bCs/>
          <w:sz w:val="22"/>
          <w:szCs w:val="22"/>
          <w:lang w:val="fr-FR"/>
        </w:rPr>
        <w:t>ait</w:t>
      </w:r>
      <w:r w:rsidRPr="00BB38E2">
        <w:rPr>
          <w:rFonts w:ascii="Arial" w:hAnsi="Arial" w:cs="Arial"/>
          <w:bCs/>
          <w:sz w:val="22"/>
          <w:szCs w:val="22"/>
          <w:lang w:val="fr-FR"/>
        </w:rPr>
        <w:t xml:space="preserve"> la position </w:t>
      </w:r>
      <w:r>
        <w:rPr>
          <w:rFonts w:ascii="Arial" w:hAnsi="Arial" w:cs="Arial"/>
          <w:bCs/>
          <w:sz w:val="22"/>
          <w:szCs w:val="22"/>
          <w:lang w:val="fr-FR"/>
        </w:rPr>
        <w:t>défendue</w:t>
      </w:r>
      <w:r w:rsidRPr="00BB38E2">
        <w:rPr>
          <w:rFonts w:ascii="Arial" w:hAnsi="Arial" w:cs="Arial"/>
          <w:bCs/>
          <w:sz w:val="22"/>
          <w:szCs w:val="22"/>
          <w:lang w:val="fr-FR"/>
        </w:rPr>
        <w:t xml:space="preserve"> par </w:t>
      </w:r>
      <w:r>
        <w:rPr>
          <w:rFonts w:ascii="Arial" w:hAnsi="Arial" w:cs="Arial"/>
          <w:bCs/>
          <w:sz w:val="22"/>
          <w:szCs w:val="22"/>
          <w:lang w:val="fr-FR"/>
        </w:rPr>
        <w:t>la République bolivarienne du Venezuela</w:t>
      </w:r>
      <w:r w:rsidRPr="00BB38E2">
        <w:rPr>
          <w:rFonts w:ascii="Arial" w:hAnsi="Arial" w:cs="Arial"/>
          <w:bCs/>
          <w:sz w:val="22"/>
          <w:szCs w:val="22"/>
          <w:lang w:val="fr-FR"/>
        </w:rPr>
        <w:t>, rappelant la dernière réunion du Comité de la Convention de 1970 au cours de laquelle il y avait eu des problèmes avec le vote en ligne et aussi en personne. Il a</w:t>
      </w:r>
      <w:r>
        <w:rPr>
          <w:rFonts w:ascii="Arial" w:hAnsi="Arial" w:cs="Arial"/>
          <w:bCs/>
          <w:sz w:val="22"/>
          <w:szCs w:val="22"/>
          <w:lang w:val="fr-FR"/>
        </w:rPr>
        <w:t>vait</w:t>
      </w:r>
      <w:r w:rsidRPr="00BB38E2">
        <w:rPr>
          <w:rFonts w:ascii="Arial" w:hAnsi="Arial" w:cs="Arial"/>
          <w:bCs/>
          <w:sz w:val="22"/>
          <w:szCs w:val="22"/>
          <w:lang w:val="fr-FR"/>
        </w:rPr>
        <w:t xml:space="preserve"> également été mentionné que le mot </w:t>
      </w:r>
      <w:r>
        <w:rPr>
          <w:rFonts w:ascii="Arial" w:hAnsi="Arial" w:cs="Arial"/>
          <w:bCs/>
          <w:sz w:val="22"/>
          <w:szCs w:val="22"/>
          <w:lang w:val="fr-FR"/>
        </w:rPr>
        <w:t>« </w:t>
      </w:r>
      <w:r w:rsidRPr="00BB38E2">
        <w:rPr>
          <w:rFonts w:ascii="Arial" w:hAnsi="Arial" w:cs="Arial"/>
          <w:bCs/>
          <w:sz w:val="22"/>
          <w:szCs w:val="22"/>
          <w:lang w:val="fr-FR"/>
        </w:rPr>
        <w:t>hybride</w:t>
      </w:r>
      <w:r>
        <w:rPr>
          <w:rFonts w:ascii="Arial" w:hAnsi="Arial" w:cs="Arial"/>
          <w:bCs/>
          <w:sz w:val="22"/>
          <w:szCs w:val="22"/>
          <w:lang w:val="fr-FR"/>
        </w:rPr>
        <w:t> »</w:t>
      </w:r>
      <w:r w:rsidRPr="00BB38E2">
        <w:rPr>
          <w:rFonts w:ascii="Arial" w:hAnsi="Arial" w:cs="Arial"/>
          <w:bCs/>
          <w:sz w:val="22"/>
          <w:szCs w:val="22"/>
          <w:lang w:val="fr-FR"/>
        </w:rPr>
        <w:t xml:space="preserve"> ne devrait plus être utilisé dans les lettres d</w:t>
      </w:r>
      <w:r w:rsidR="008E532B">
        <w:rPr>
          <w:rFonts w:ascii="Arial" w:hAnsi="Arial" w:cs="Arial"/>
          <w:bCs/>
          <w:sz w:val="22"/>
          <w:szCs w:val="22"/>
          <w:lang w:val="fr-FR"/>
        </w:rPr>
        <w:t>’</w:t>
      </w:r>
      <w:r w:rsidRPr="00BB38E2">
        <w:rPr>
          <w:rFonts w:ascii="Arial" w:hAnsi="Arial" w:cs="Arial"/>
          <w:bCs/>
          <w:sz w:val="22"/>
          <w:szCs w:val="22"/>
          <w:lang w:val="fr-FR"/>
        </w:rPr>
        <w:t>invitation à un vote. Il d</w:t>
      </w:r>
      <w:r>
        <w:rPr>
          <w:rFonts w:ascii="Arial" w:hAnsi="Arial" w:cs="Arial"/>
          <w:bCs/>
          <w:sz w:val="22"/>
          <w:szCs w:val="22"/>
          <w:lang w:val="fr-FR"/>
        </w:rPr>
        <w:t>evait</w:t>
      </w:r>
      <w:r w:rsidRPr="00BB38E2">
        <w:rPr>
          <w:rFonts w:ascii="Arial" w:hAnsi="Arial" w:cs="Arial"/>
          <w:bCs/>
          <w:sz w:val="22"/>
          <w:szCs w:val="22"/>
          <w:lang w:val="fr-FR"/>
        </w:rPr>
        <w:t xml:space="preserve"> être explicitement indiqué </w:t>
      </w:r>
      <w:r>
        <w:rPr>
          <w:rFonts w:ascii="Arial" w:hAnsi="Arial" w:cs="Arial"/>
          <w:bCs/>
          <w:sz w:val="22"/>
          <w:szCs w:val="22"/>
          <w:lang w:val="fr-FR"/>
        </w:rPr>
        <w:t xml:space="preserve">que même </w:t>
      </w:r>
      <w:r w:rsidRPr="00BB38E2">
        <w:rPr>
          <w:rFonts w:ascii="Arial" w:hAnsi="Arial" w:cs="Arial"/>
          <w:bCs/>
          <w:sz w:val="22"/>
          <w:szCs w:val="22"/>
          <w:lang w:val="fr-FR"/>
        </w:rPr>
        <w:t>si l</w:t>
      </w:r>
      <w:r w:rsidR="008E532B">
        <w:rPr>
          <w:rFonts w:ascii="Arial" w:hAnsi="Arial" w:cs="Arial"/>
          <w:bCs/>
          <w:sz w:val="22"/>
          <w:szCs w:val="22"/>
          <w:lang w:val="fr-FR"/>
        </w:rPr>
        <w:t>’</w:t>
      </w:r>
      <w:r w:rsidRPr="00BB38E2">
        <w:rPr>
          <w:rFonts w:ascii="Arial" w:hAnsi="Arial" w:cs="Arial"/>
          <w:bCs/>
          <w:sz w:val="22"/>
          <w:szCs w:val="22"/>
          <w:lang w:val="fr-FR"/>
        </w:rPr>
        <w:t>organe t</w:t>
      </w:r>
      <w:r>
        <w:rPr>
          <w:rFonts w:ascii="Arial" w:hAnsi="Arial" w:cs="Arial"/>
          <w:bCs/>
          <w:sz w:val="22"/>
          <w:szCs w:val="22"/>
          <w:lang w:val="fr-FR"/>
        </w:rPr>
        <w:t xml:space="preserve">enait </w:t>
      </w:r>
      <w:r w:rsidRPr="00BB38E2">
        <w:rPr>
          <w:rFonts w:ascii="Arial" w:hAnsi="Arial" w:cs="Arial"/>
          <w:bCs/>
          <w:sz w:val="22"/>
          <w:szCs w:val="22"/>
          <w:lang w:val="fr-FR"/>
        </w:rPr>
        <w:t>une réunion en personne et/ou en ligne</w:t>
      </w:r>
      <w:r>
        <w:rPr>
          <w:rFonts w:ascii="Arial" w:hAnsi="Arial" w:cs="Arial"/>
          <w:bCs/>
          <w:sz w:val="22"/>
          <w:szCs w:val="22"/>
          <w:lang w:val="fr-FR"/>
        </w:rPr>
        <w:t xml:space="preserve">, </w:t>
      </w:r>
      <w:r w:rsidRPr="00BB38E2">
        <w:rPr>
          <w:rFonts w:ascii="Arial" w:hAnsi="Arial" w:cs="Arial"/>
          <w:bCs/>
          <w:sz w:val="22"/>
          <w:szCs w:val="22"/>
          <w:lang w:val="fr-FR"/>
        </w:rPr>
        <w:t xml:space="preserve">le vote </w:t>
      </w:r>
      <w:r>
        <w:rPr>
          <w:rFonts w:ascii="Arial" w:hAnsi="Arial" w:cs="Arial"/>
          <w:bCs/>
          <w:sz w:val="22"/>
          <w:szCs w:val="22"/>
          <w:lang w:val="fr-FR"/>
        </w:rPr>
        <w:t xml:space="preserve">était lui </w:t>
      </w:r>
      <w:r w:rsidRPr="00C22CCE">
        <w:rPr>
          <w:rFonts w:ascii="Arial" w:hAnsi="Arial" w:cs="Arial"/>
          <w:bCs/>
          <w:i/>
          <w:iCs/>
          <w:sz w:val="22"/>
          <w:szCs w:val="22"/>
          <w:lang w:val="fr-FR"/>
        </w:rPr>
        <w:t xml:space="preserve">in </w:t>
      </w:r>
      <w:proofErr w:type="spellStart"/>
      <w:r w:rsidRPr="00C22CCE">
        <w:rPr>
          <w:rFonts w:ascii="Arial" w:hAnsi="Arial" w:cs="Arial"/>
          <w:bCs/>
          <w:i/>
          <w:iCs/>
          <w:sz w:val="22"/>
          <w:szCs w:val="22"/>
          <w:lang w:val="fr-FR"/>
        </w:rPr>
        <w:t>præsentia</w:t>
      </w:r>
      <w:proofErr w:type="spellEnd"/>
      <w:r w:rsidRPr="00BB38E2">
        <w:rPr>
          <w:rFonts w:ascii="Arial" w:hAnsi="Arial" w:cs="Arial"/>
          <w:bCs/>
          <w:sz w:val="22"/>
          <w:szCs w:val="22"/>
          <w:lang w:val="fr-FR"/>
        </w:rPr>
        <w:t xml:space="preserve">. Compte tenu des nombreux problèmes liés au mot </w:t>
      </w:r>
      <w:r>
        <w:rPr>
          <w:rFonts w:ascii="Arial" w:hAnsi="Arial" w:cs="Arial"/>
          <w:bCs/>
          <w:sz w:val="22"/>
          <w:szCs w:val="22"/>
          <w:lang w:val="fr-FR"/>
        </w:rPr>
        <w:t>« </w:t>
      </w:r>
      <w:r w:rsidRPr="00BB38E2">
        <w:rPr>
          <w:rFonts w:ascii="Arial" w:hAnsi="Arial" w:cs="Arial"/>
          <w:bCs/>
          <w:sz w:val="22"/>
          <w:szCs w:val="22"/>
          <w:lang w:val="fr-FR"/>
        </w:rPr>
        <w:t>hybride</w:t>
      </w:r>
      <w:r>
        <w:rPr>
          <w:rFonts w:ascii="Arial" w:hAnsi="Arial" w:cs="Arial"/>
          <w:bCs/>
          <w:sz w:val="22"/>
          <w:szCs w:val="22"/>
          <w:lang w:val="fr-FR"/>
        </w:rPr>
        <w:t> »</w:t>
      </w:r>
      <w:r w:rsidRPr="00BB38E2">
        <w:rPr>
          <w:rFonts w:ascii="Arial" w:hAnsi="Arial" w:cs="Arial"/>
          <w:bCs/>
          <w:sz w:val="22"/>
          <w:szCs w:val="22"/>
          <w:lang w:val="fr-FR"/>
        </w:rPr>
        <w:t xml:space="preserve"> lors du dernier Comité de la Convention de 1970, il importa</w:t>
      </w:r>
      <w:r>
        <w:rPr>
          <w:rFonts w:ascii="Arial" w:hAnsi="Arial" w:cs="Arial"/>
          <w:bCs/>
          <w:sz w:val="22"/>
          <w:szCs w:val="22"/>
          <w:lang w:val="fr-FR"/>
        </w:rPr>
        <w:t>i</w:t>
      </w:r>
      <w:r w:rsidRPr="00BB38E2">
        <w:rPr>
          <w:rFonts w:ascii="Arial" w:hAnsi="Arial" w:cs="Arial"/>
          <w:bCs/>
          <w:sz w:val="22"/>
          <w:szCs w:val="22"/>
          <w:lang w:val="fr-FR"/>
        </w:rPr>
        <w:t>t d</w:t>
      </w:r>
      <w:r w:rsidR="008E532B">
        <w:rPr>
          <w:rFonts w:ascii="Arial" w:hAnsi="Arial" w:cs="Arial"/>
          <w:bCs/>
          <w:sz w:val="22"/>
          <w:szCs w:val="22"/>
          <w:lang w:val="fr-FR"/>
        </w:rPr>
        <w:t>’</w:t>
      </w:r>
      <w:r w:rsidRPr="00BB38E2">
        <w:rPr>
          <w:rFonts w:ascii="Arial" w:hAnsi="Arial" w:cs="Arial"/>
          <w:bCs/>
          <w:sz w:val="22"/>
          <w:szCs w:val="22"/>
          <w:lang w:val="fr-FR"/>
        </w:rPr>
        <w:t>être clair dans ce type de situation.</w:t>
      </w:r>
    </w:p>
    <w:p w14:paraId="41247F03"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B38E2">
        <w:rPr>
          <w:rFonts w:ascii="Arial" w:hAnsi="Arial" w:cs="Arial"/>
          <w:bCs/>
          <w:sz w:val="22"/>
          <w:szCs w:val="22"/>
          <w:lang w:val="fr-FR"/>
        </w:rPr>
        <w:t xml:space="preserve">La </w:t>
      </w:r>
      <w:r w:rsidRPr="00BB38E2">
        <w:rPr>
          <w:rFonts w:ascii="Arial" w:hAnsi="Arial" w:cs="Arial"/>
          <w:b/>
          <w:sz w:val="22"/>
          <w:szCs w:val="22"/>
          <w:lang w:val="fr-FR"/>
        </w:rPr>
        <w:t>Présidente</w:t>
      </w:r>
      <w:r w:rsidRPr="00BB38E2">
        <w:rPr>
          <w:rFonts w:ascii="Arial" w:hAnsi="Arial" w:cs="Arial"/>
          <w:bCs/>
          <w:sz w:val="22"/>
          <w:szCs w:val="22"/>
          <w:lang w:val="fr-FR"/>
        </w:rPr>
        <w:t xml:space="preserve"> </w:t>
      </w:r>
      <w:r>
        <w:rPr>
          <w:rFonts w:ascii="Arial" w:hAnsi="Arial" w:cs="Arial"/>
          <w:bCs/>
          <w:sz w:val="22"/>
          <w:szCs w:val="22"/>
          <w:lang w:val="fr-FR"/>
        </w:rPr>
        <w:t xml:space="preserve">a </w:t>
      </w:r>
      <w:r w:rsidRPr="00BB38E2">
        <w:rPr>
          <w:rFonts w:ascii="Arial" w:hAnsi="Arial" w:cs="Arial"/>
          <w:bCs/>
          <w:sz w:val="22"/>
          <w:szCs w:val="22"/>
          <w:lang w:val="fr-FR"/>
        </w:rPr>
        <w:t>invit</w:t>
      </w:r>
      <w:r>
        <w:rPr>
          <w:rFonts w:ascii="Arial" w:hAnsi="Arial" w:cs="Arial"/>
          <w:bCs/>
          <w:sz w:val="22"/>
          <w:szCs w:val="22"/>
          <w:lang w:val="fr-FR"/>
        </w:rPr>
        <w:t>é</w:t>
      </w:r>
      <w:r w:rsidRPr="00BB38E2">
        <w:rPr>
          <w:rFonts w:ascii="Arial" w:hAnsi="Arial" w:cs="Arial"/>
          <w:bCs/>
          <w:sz w:val="22"/>
          <w:szCs w:val="22"/>
          <w:lang w:val="fr-FR"/>
        </w:rPr>
        <w:t xml:space="preserve"> le Conseiller juridique à faire part de son expérience et </w:t>
      </w:r>
      <w:r>
        <w:rPr>
          <w:rFonts w:ascii="Arial" w:hAnsi="Arial" w:cs="Arial"/>
          <w:bCs/>
          <w:sz w:val="22"/>
          <w:szCs w:val="22"/>
          <w:lang w:val="fr-FR"/>
        </w:rPr>
        <w:t>a suggéré une</w:t>
      </w:r>
      <w:r w:rsidRPr="00BB38E2">
        <w:rPr>
          <w:rFonts w:ascii="Arial" w:hAnsi="Arial" w:cs="Arial"/>
          <w:bCs/>
          <w:sz w:val="22"/>
          <w:szCs w:val="22"/>
          <w:lang w:val="fr-FR"/>
        </w:rPr>
        <w:t xml:space="preserve"> proposition.</w:t>
      </w:r>
    </w:p>
    <w:p w14:paraId="3029624B" w14:textId="6E8DC54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55B38">
        <w:rPr>
          <w:rFonts w:ascii="Arial" w:hAnsi="Arial" w:cs="Arial"/>
          <w:bCs/>
          <w:sz w:val="22"/>
          <w:szCs w:val="22"/>
          <w:lang w:val="fr-FR"/>
        </w:rPr>
        <w:t xml:space="preserve">Le </w:t>
      </w:r>
      <w:r w:rsidRPr="00655B38">
        <w:rPr>
          <w:rFonts w:ascii="Arial" w:hAnsi="Arial" w:cs="Arial"/>
          <w:b/>
          <w:sz w:val="22"/>
          <w:szCs w:val="22"/>
          <w:lang w:val="fr-FR"/>
        </w:rPr>
        <w:t>Conseiller juridique</w:t>
      </w:r>
      <w:r w:rsidRPr="00655B38">
        <w:rPr>
          <w:rFonts w:ascii="Arial" w:hAnsi="Arial" w:cs="Arial"/>
          <w:bCs/>
          <w:sz w:val="22"/>
          <w:szCs w:val="22"/>
          <w:lang w:val="fr-FR"/>
        </w:rPr>
        <w:t xml:space="preserve"> </w:t>
      </w:r>
      <w:r>
        <w:rPr>
          <w:rFonts w:ascii="Arial" w:hAnsi="Arial" w:cs="Arial"/>
          <w:bCs/>
          <w:sz w:val="22"/>
          <w:szCs w:val="22"/>
          <w:lang w:val="fr-FR"/>
        </w:rPr>
        <w:t>était d</w:t>
      </w:r>
      <w:r w:rsidR="008E532B">
        <w:rPr>
          <w:rFonts w:ascii="Arial" w:hAnsi="Arial" w:cs="Arial"/>
          <w:bCs/>
          <w:sz w:val="22"/>
          <w:szCs w:val="22"/>
          <w:lang w:val="fr-FR"/>
        </w:rPr>
        <w:t>’</w:t>
      </w:r>
      <w:r>
        <w:rPr>
          <w:rFonts w:ascii="Arial" w:hAnsi="Arial" w:cs="Arial"/>
          <w:bCs/>
          <w:sz w:val="22"/>
          <w:szCs w:val="22"/>
          <w:lang w:val="fr-FR"/>
        </w:rPr>
        <w:t>accord</w:t>
      </w:r>
      <w:r w:rsidRPr="00655B38">
        <w:rPr>
          <w:rFonts w:ascii="Arial" w:hAnsi="Arial" w:cs="Arial"/>
          <w:bCs/>
          <w:sz w:val="22"/>
          <w:szCs w:val="22"/>
          <w:lang w:val="fr-FR"/>
        </w:rPr>
        <w:t xml:space="preserve"> et a rappelé les problèmes rencontrés dans le cadre de la Convention de 1970, comme l</w:t>
      </w:r>
      <w:r w:rsidR="008E532B">
        <w:rPr>
          <w:rFonts w:ascii="Arial" w:hAnsi="Arial" w:cs="Arial"/>
          <w:bCs/>
          <w:sz w:val="22"/>
          <w:szCs w:val="22"/>
          <w:lang w:val="fr-FR"/>
        </w:rPr>
        <w:t>’</w:t>
      </w:r>
      <w:r w:rsidRPr="00655B38">
        <w:rPr>
          <w:rFonts w:ascii="Arial" w:hAnsi="Arial" w:cs="Arial"/>
          <w:bCs/>
          <w:sz w:val="22"/>
          <w:szCs w:val="22"/>
          <w:lang w:val="fr-FR"/>
        </w:rPr>
        <w:t>a</w:t>
      </w:r>
      <w:r>
        <w:rPr>
          <w:rFonts w:ascii="Arial" w:hAnsi="Arial" w:cs="Arial"/>
          <w:bCs/>
          <w:sz w:val="22"/>
          <w:szCs w:val="22"/>
          <w:lang w:val="fr-FR"/>
        </w:rPr>
        <w:t>vait</w:t>
      </w:r>
      <w:r w:rsidRPr="00655B38">
        <w:rPr>
          <w:rFonts w:ascii="Arial" w:hAnsi="Arial" w:cs="Arial"/>
          <w:bCs/>
          <w:sz w:val="22"/>
          <w:szCs w:val="22"/>
          <w:lang w:val="fr-FR"/>
        </w:rPr>
        <w:t xml:space="preserve"> souligné Chypre. Il a </w:t>
      </w:r>
      <w:r>
        <w:rPr>
          <w:rFonts w:ascii="Arial" w:hAnsi="Arial" w:cs="Arial"/>
          <w:bCs/>
          <w:sz w:val="22"/>
          <w:szCs w:val="22"/>
          <w:lang w:val="fr-FR"/>
        </w:rPr>
        <w:t xml:space="preserve">insisté sur </w:t>
      </w:r>
      <w:r w:rsidRPr="00655B38">
        <w:rPr>
          <w:rFonts w:ascii="Arial" w:hAnsi="Arial" w:cs="Arial"/>
          <w:bCs/>
          <w:sz w:val="22"/>
          <w:szCs w:val="22"/>
          <w:lang w:val="fr-FR"/>
        </w:rPr>
        <w:t xml:space="preserve">le fait que ces problèmes </w:t>
      </w:r>
      <w:r>
        <w:rPr>
          <w:rFonts w:ascii="Arial" w:hAnsi="Arial" w:cs="Arial"/>
          <w:bCs/>
          <w:sz w:val="22"/>
          <w:szCs w:val="22"/>
          <w:lang w:val="fr-FR"/>
        </w:rPr>
        <w:t xml:space="preserve">étaient </w:t>
      </w:r>
      <w:r w:rsidRPr="00655B38">
        <w:rPr>
          <w:rFonts w:ascii="Arial" w:hAnsi="Arial" w:cs="Arial"/>
          <w:bCs/>
          <w:sz w:val="22"/>
          <w:szCs w:val="22"/>
          <w:lang w:val="fr-FR"/>
        </w:rPr>
        <w:t>survenus parce que la session s</w:t>
      </w:r>
      <w:r w:rsidR="008E532B">
        <w:rPr>
          <w:rFonts w:ascii="Arial" w:hAnsi="Arial" w:cs="Arial"/>
          <w:bCs/>
          <w:sz w:val="22"/>
          <w:szCs w:val="22"/>
          <w:lang w:val="fr-FR"/>
        </w:rPr>
        <w:t>’</w:t>
      </w:r>
      <w:r>
        <w:rPr>
          <w:rFonts w:ascii="Arial" w:hAnsi="Arial" w:cs="Arial"/>
          <w:bCs/>
          <w:sz w:val="22"/>
          <w:szCs w:val="22"/>
          <w:lang w:val="fr-FR"/>
        </w:rPr>
        <w:t>était</w:t>
      </w:r>
      <w:r w:rsidRPr="00655B38">
        <w:rPr>
          <w:rFonts w:ascii="Arial" w:hAnsi="Arial" w:cs="Arial"/>
          <w:bCs/>
          <w:sz w:val="22"/>
          <w:szCs w:val="22"/>
          <w:lang w:val="fr-FR"/>
        </w:rPr>
        <w:t xml:space="preserve"> déroulée dans un format hybride,</w:t>
      </w:r>
      <w:r>
        <w:rPr>
          <w:rFonts w:ascii="Arial" w:hAnsi="Arial" w:cs="Arial"/>
          <w:bCs/>
          <w:sz w:val="22"/>
          <w:szCs w:val="22"/>
          <w:lang w:val="fr-FR"/>
        </w:rPr>
        <w:t xml:space="preserve"> </w:t>
      </w:r>
      <w:r w:rsidRPr="00655B38">
        <w:rPr>
          <w:rFonts w:ascii="Arial" w:hAnsi="Arial" w:cs="Arial"/>
          <w:bCs/>
          <w:sz w:val="22"/>
          <w:szCs w:val="22"/>
          <w:lang w:val="fr-FR"/>
        </w:rPr>
        <w:t>raison pour laquelle il a</w:t>
      </w:r>
      <w:r>
        <w:rPr>
          <w:rFonts w:ascii="Arial" w:hAnsi="Arial" w:cs="Arial"/>
          <w:bCs/>
          <w:sz w:val="22"/>
          <w:szCs w:val="22"/>
          <w:lang w:val="fr-FR"/>
        </w:rPr>
        <w:t>vait</w:t>
      </w:r>
      <w:r w:rsidRPr="00655B38">
        <w:rPr>
          <w:rFonts w:ascii="Arial" w:hAnsi="Arial" w:cs="Arial"/>
          <w:bCs/>
          <w:sz w:val="22"/>
          <w:szCs w:val="22"/>
          <w:lang w:val="fr-FR"/>
        </w:rPr>
        <w:t xml:space="preserve"> mis en garde l</w:t>
      </w:r>
      <w:r w:rsidR="008E532B">
        <w:rPr>
          <w:rFonts w:ascii="Arial" w:hAnsi="Arial" w:cs="Arial"/>
          <w:bCs/>
          <w:sz w:val="22"/>
          <w:szCs w:val="22"/>
          <w:lang w:val="fr-FR"/>
        </w:rPr>
        <w:t>’</w:t>
      </w:r>
      <w:r w:rsidRPr="00655B38">
        <w:rPr>
          <w:rFonts w:ascii="Arial" w:hAnsi="Arial" w:cs="Arial"/>
          <w:bCs/>
          <w:sz w:val="22"/>
          <w:szCs w:val="22"/>
          <w:lang w:val="fr-FR"/>
        </w:rPr>
        <w:t xml:space="preserve">Assemblée contre la tenue de </w:t>
      </w:r>
      <w:r>
        <w:rPr>
          <w:rFonts w:ascii="Arial" w:hAnsi="Arial" w:cs="Arial"/>
          <w:bCs/>
          <w:sz w:val="22"/>
          <w:szCs w:val="22"/>
          <w:lang w:val="fr-FR"/>
        </w:rPr>
        <w:t xml:space="preserve">telles </w:t>
      </w:r>
      <w:r w:rsidRPr="00655B38">
        <w:rPr>
          <w:rFonts w:ascii="Arial" w:hAnsi="Arial" w:cs="Arial"/>
          <w:bCs/>
          <w:sz w:val="22"/>
          <w:szCs w:val="22"/>
          <w:lang w:val="fr-FR"/>
        </w:rPr>
        <w:t>sessions. Toutefois, ce n</w:t>
      </w:r>
      <w:r w:rsidR="008E532B">
        <w:rPr>
          <w:rFonts w:ascii="Arial" w:hAnsi="Arial" w:cs="Arial"/>
          <w:bCs/>
          <w:sz w:val="22"/>
          <w:szCs w:val="22"/>
          <w:lang w:val="fr-FR"/>
        </w:rPr>
        <w:t>’</w:t>
      </w:r>
      <w:r>
        <w:rPr>
          <w:rFonts w:ascii="Arial" w:hAnsi="Arial" w:cs="Arial"/>
          <w:bCs/>
          <w:sz w:val="22"/>
          <w:szCs w:val="22"/>
          <w:lang w:val="fr-FR"/>
        </w:rPr>
        <w:t>était</w:t>
      </w:r>
      <w:r w:rsidRPr="00655B38">
        <w:rPr>
          <w:rFonts w:ascii="Arial" w:hAnsi="Arial" w:cs="Arial"/>
          <w:bCs/>
          <w:sz w:val="22"/>
          <w:szCs w:val="22"/>
          <w:lang w:val="fr-FR"/>
        </w:rPr>
        <w:t xml:space="preserve"> pas nécessairement le cas pour une session purement en ligne,</w:t>
      </w:r>
      <w:r>
        <w:rPr>
          <w:rFonts w:ascii="Arial" w:hAnsi="Arial" w:cs="Arial"/>
          <w:bCs/>
          <w:sz w:val="22"/>
          <w:szCs w:val="22"/>
          <w:lang w:val="fr-FR"/>
        </w:rPr>
        <w:t xml:space="preserve"> qui était le sujet de</w:t>
      </w:r>
      <w:r w:rsidRPr="00655B38">
        <w:rPr>
          <w:rFonts w:ascii="Arial" w:hAnsi="Arial" w:cs="Arial"/>
          <w:bCs/>
          <w:sz w:val="22"/>
          <w:szCs w:val="22"/>
          <w:lang w:val="fr-FR"/>
        </w:rPr>
        <w:t xml:space="preserve"> l</w:t>
      </w:r>
      <w:r w:rsidR="008E532B">
        <w:rPr>
          <w:rFonts w:ascii="Arial" w:hAnsi="Arial" w:cs="Arial"/>
          <w:bCs/>
          <w:sz w:val="22"/>
          <w:szCs w:val="22"/>
          <w:lang w:val="fr-FR"/>
        </w:rPr>
        <w:t>’</w:t>
      </w:r>
      <w:r w:rsidRPr="00655B38">
        <w:rPr>
          <w:rFonts w:ascii="Arial" w:hAnsi="Arial" w:cs="Arial"/>
          <w:bCs/>
          <w:sz w:val="22"/>
          <w:szCs w:val="22"/>
          <w:lang w:val="fr-FR"/>
        </w:rPr>
        <w:t xml:space="preserve">article 6. Le Conseiller juridique </w:t>
      </w:r>
      <w:r>
        <w:rPr>
          <w:rFonts w:ascii="Arial" w:hAnsi="Arial" w:cs="Arial"/>
          <w:bCs/>
          <w:sz w:val="22"/>
          <w:szCs w:val="22"/>
          <w:lang w:val="fr-FR"/>
        </w:rPr>
        <w:t xml:space="preserve">a </w:t>
      </w:r>
      <w:r w:rsidRPr="00655B38">
        <w:rPr>
          <w:rFonts w:ascii="Arial" w:hAnsi="Arial" w:cs="Arial"/>
          <w:bCs/>
          <w:sz w:val="22"/>
          <w:szCs w:val="22"/>
          <w:lang w:val="fr-FR"/>
        </w:rPr>
        <w:t xml:space="preserve">également </w:t>
      </w:r>
      <w:r>
        <w:rPr>
          <w:rFonts w:ascii="Arial" w:hAnsi="Arial" w:cs="Arial"/>
          <w:bCs/>
          <w:sz w:val="22"/>
          <w:szCs w:val="22"/>
          <w:lang w:val="fr-FR"/>
        </w:rPr>
        <w:t xml:space="preserve">convenu </w:t>
      </w:r>
      <w:r w:rsidRPr="00655B38">
        <w:rPr>
          <w:rFonts w:ascii="Arial" w:hAnsi="Arial" w:cs="Arial"/>
          <w:bCs/>
          <w:sz w:val="22"/>
          <w:szCs w:val="22"/>
          <w:lang w:val="fr-FR"/>
        </w:rPr>
        <w:t>avec l</w:t>
      </w:r>
      <w:r>
        <w:rPr>
          <w:rFonts w:ascii="Arial" w:hAnsi="Arial" w:cs="Arial"/>
          <w:bCs/>
          <w:sz w:val="22"/>
          <w:szCs w:val="22"/>
          <w:lang w:val="fr-FR"/>
        </w:rPr>
        <w:t xml:space="preserve">a République bolivarienne du Venezuela </w:t>
      </w:r>
      <w:r w:rsidRPr="00655B38">
        <w:rPr>
          <w:rFonts w:ascii="Arial" w:hAnsi="Arial" w:cs="Arial"/>
          <w:bCs/>
          <w:sz w:val="22"/>
          <w:szCs w:val="22"/>
          <w:lang w:val="fr-FR"/>
        </w:rPr>
        <w:t>que l</w:t>
      </w:r>
      <w:r w:rsidR="008E532B">
        <w:rPr>
          <w:rFonts w:ascii="Arial" w:hAnsi="Arial" w:cs="Arial"/>
          <w:bCs/>
          <w:sz w:val="22"/>
          <w:szCs w:val="22"/>
          <w:lang w:val="fr-FR"/>
        </w:rPr>
        <w:t>’</w:t>
      </w:r>
      <w:r w:rsidRPr="00655B38">
        <w:rPr>
          <w:rFonts w:ascii="Arial" w:hAnsi="Arial" w:cs="Arial"/>
          <w:bCs/>
          <w:sz w:val="22"/>
          <w:szCs w:val="22"/>
          <w:lang w:val="fr-FR"/>
        </w:rPr>
        <w:t xml:space="preserve">Assemblée devrait prendre note des discussions approfondies qui </w:t>
      </w:r>
      <w:r>
        <w:rPr>
          <w:rFonts w:ascii="Arial" w:hAnsi="Arial" w:cs="Arial"/>
          <w:bCs/>
          <w:sz w:val="22"/>
          <w:szCs w:val="22"/>
          <w:lang w:val="fr-FR"/>
        </w:rPr>
        <w:t>avaient</w:t>
      </w:r>
      <w:r w:rsidRPr="00655B38">
        <w:rPr>
          <w:rFonts w:ascii="Arial" w:hAnsi="Arial" w:cs="Arial"/>
          <w:bCs/>
          <w:sz w:val="22"/>
          <w:szCs w:val="22"/>
          <w:lang w:val="fr-FR"/>
        </w:rPr>
        <w:t xml:space="preserve"> eu lieu au sein du Conseil exécutif et de la Conférence générale de l</w:t>
      </w:r>
      <w:r w:rsidR="008E532B">
        <w:rPr>
          <w:rFonts w:ascii="Arial" w:hAnsi="Arial" w:cs="Arial"/>
          <w:bCs/>
          <w:sz w:val="22"/>
          <w:szCs w:val="22"/>
          <w:lang w:val="fr-FR"/>
        </w:rPr>
        <w:t>’</w:t>
      </w:r>
      <w:r w:rsidRPr="00655B38">
        <w:rPr>
          <w:rFonts w:ascii="Arial" w:hAnsi="Arial" w:cs="Arial"/>
          <w:bCs/>
          <w:sz w:val="22"/>
          <w:szCs w:val="22"/>
          <w:lang w:val="fr-FR"/>
        </w:rPr>
        <w:t>UNESCO sur cette question. Il a également souligné que les groupes de travail</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 xml:space="preserve">étaient penchés </w:t>
      </w:r>
      <w:r w:rsidRPr="00655B38">
        <w:rPr>
          <w:rFonts w:ascii="Arial" w:hAnsi="Arial" w:cs="Arial"/>
          <w:bCs/>
          <w:sz w:val="22"/>
          <w:szCs w:val="22"/>
          <w:lang w:val="fr-FR"/>
        </w:rPr>
        <w:t>sur cette question et avaient convenu que le vote par appel nominal était effectivement possible lors d</w:t>
      </w:r>
      <w:r w:rsidR="008E532B">
        <w:rPr>
          <w:rFonts w:ascii="Arial" w:hAnsi="Arial" w:cs="Arial"/>
          <w:bCs/>
          <w:sz w:val="22"/>
          <w:szCs w:val="22"/>
          <w:lang w:val="fr-FR"/>
        </w:rPr>
        <w:t>’</w:t>
      </w:r>
      <w:r w:rsidRPr="00655B38">
        <w:rPr>
          <w:rFonts w:ascii="Arial" w:hAnsi="Arial" w:cs="Arial"/>
          <w:bCs/>
          <w:sz w:val="22"/>
          <w:szCs w:val="22"/>
          <w:lang w:val="fr-FR"/>
        </w:rPr>
        <w:t>une session en ligne, alors qu</w:t>
      </w:r>
      <w:r w:rsidR="008E532B">
        <w:rPr>
          <w:rFonts w:ascii="Arial" w:hAnsi="Arial" w:cs="Arial"/>
          <w:bCs/>
          <w:sz w:val="22"/>
          <w:szCs w:val="22"/>
          <w:lang w:val="fr-FR"/>
        </w:rPr>
        <w:t>’</w:t>
      </w:r>
      <w:r w:rsidRPr="00655B38">
        <w:rPr>
          <w:rFonts w:ascii="Arial" w:hAnsi="Arial" w:cs="Arial"/>
          <w:bCs/>
          <w:sz w:val="22"/>
          <w:szCs w:val="22"/>
          <w:lang w:val="fr-FR"/>
        </w:rPr>
        <w:t>il</w:t>
      </w:r>
      <w:r>
        <w:rPr>
          <w:rFonts w:ascii="Arial" w:hAnsi="Arial" w:cs="Arial"/>
          <w:bCs/>
          <w:sz w:val="22"/>
          <w:szCs w:val="22"/>
          <w:lang w:val="fr-FR"/>
        </w:rPr>
        <w:t>s</w:t>
      </w:r>
      <w:r w:rsidRPr="00655B38">
        <w:rPr>
          <w:rFonts w:ascii="Arial" w:hAnsi="Arial" w:cs="Arial"/>
          <w:bCs/>
          <w:sz w:val="22"/>
          <w:szCs w:val="22"/>
          <w:lang w:val="fr-FR"/>
        </w:rPr>
        <w:t xml:space="preserve"> avai</w:t>
      </w:r>
      <w:r>
        <w:rPr>
          <w:rFonts w:ascii="Arial" w:hAnsi="Arial" w:cs="Arial"/>
          <w:bCs/>
          <w:sz w:val="22"/>
          <w:szCs w:val="22"/>
          <w:lang w:val="fr-FR"/>
        </w:rPr>
        <w:t>en</w:t>
      </w:r>
      <w:r w:rsidRPr="00655B38">
        <w:rPr>
          <w:rFonts w:ascii="Arial" w:hAnsi="Arial" w:cs="Arial"/>
          <w:bCs/>
          <w:sz w:val="22"/>
          <w:szCs w:val="22"/>
          <w:lang w:val="fr-FR"/>
        </w:rPr>
        <w:t>t exprimé des préoccupations concernant le vote à bulletin</w:t>
      </w:r>
      <w:r>
        <w:rPr>
          <w:rFonts w:ascii="Arial" w:hAnsi="Arial" w:cs="Arial"/>
          <w:bCs/>
          <w:sz w:val="22"/>
          <w:szCs w:val="22"/>
          <w:lang w:val="fr-FR"/>
        </w:rPr>
        <w:t>s</w:t>
      </w:r>
      <w:r w:rsidRPr="00655B38">
        <w:rPr>
          <w:rFonts w:ascii="Arial" w:hAnsi="Arial" w:cs="Arial"/>
          <w:bCs/>
          <w:sz w:val="22"/>
          <w:szCs w:val="22"/>
          <w:lang w:val="fr-FR"/>
        </w:rPr>
        <w:t xml:space="preserve"> secret</w:t>
      </w:r>
      <w:r>
        <w:rPr>
          <w:rFonts w:ascii="Arial" w:hAnsi="Arial" w:cs="Arial"/>
          <w:bCs/>
          <w:sz w:val="22"/>
          <w:szCs w:val="22"/>
          <w:lang w:val="fr-FR"/>
        </w:rPr>
        <w:t>s</w:t>
      </w:r>
      <w:r w:rsidRPr="00655B38">
        <w:rPr>
          <w:rFonts w:ascii="Arial" w:hAnsi="Arial" w:cs="Arial"/>
          <w:bCs/>
          <w:sz w:val="22"/>
          <w:szCs w:val="22"/>
          <w:lang w:val="fr-FR"/>
        </w:rPr>
        <w:t xml:space="preserve">. Il a cité les recommandations du groupe de travail à composition non limitée sur les méthodes de travail de la </w:t>
      </w:r>
      <w:r>
        <w:rPr>
          <w:rFonts w:ascii="Arial" w:hAnsi="Arial" w:cs="Arial"/>
          <w:bCs/>
          <w:sz w:val="22"/>
          <w:szCs w:val="22"/>
          <w:lang w:val="fr-FR"/>
        </w:rPr>
        <w:t>quarante et unième</w:t>
      </w:r>
      <w:r w:rsidRPr="00655B38">
        <w:rPr>
          <w:rFonts w:ascii="Arial" w:hAnsi="Arial" w:cs="Arial"/>
          <w:bCs/>
          <w:sz w:val="22"/>
          <w:szCs w:val="22"/>
          <w:lang w:val="fr-FR"/>
        </w:rPr>
        <w:t xml:space="preserve"> session de la Conférence générale, qui stipulent que </w:t>
      </w:r>
      <w:r>
        <w:rPr>
          <w:rFonts w:ascii="Arial" w:hAnsi="Arial" w:cs="Arial"/>
          <w:bCs/>
          <w:sz w:val="22"/>
          <w:szCs w:val="22"/>
          <w:lang w:val="fr-FR"/>
        </w:rPr>
        <w:t>« </w:t>
      </w:r>
      <w:r w:rsidRPr="00655B38">
        <w:rPr>
          <w:rFonts w:ascii="Arial" w:hAnsi="Arial" w:cs="Arial"/>
          <w:bCs/>
          <w:sz w:val="22"/>
          <w:szCs w:val="22"/>
          <w:lang w:val="fr-FR"/>
        </w:rPr>
        <w:t>compte tenu des moyens technologiques dont dispose actuellement le Secrétariat, les votes à bulletin</w:t>
      </w:r>
      <w:r>
        <w:rPr>
          <w:rFonts w:ascii="Arial" w:hAnsi="Arial" w:cs="Arial"/>
          <w:bCs/>
          <w:sz w:val="22"/>
          <w:szCs w:val="22"/>
          <w:lang w:val="fr-FR"/>
        </w:rPr>
        <w:t>s</w:t>
      </w:r>
      <w:r w:rsidRPr="00655B38">
        <w:rPr>
          <w:rFonts w:ascii="Arial" w:hAnsi="Arial" w:cs="Arial"/>
          <w:bCs/>
          <w:sz w:val="22"/>
          <w:szCs w:val="22"/>
          <w:lang w:val="fr-FR"/>
        </w:rPr>
        <w:t xml:space="preserve"> secret</w:t>
      </w:r>
      <w:r>
        <w:rPr>
          <w:rFonts w:ascii="Arial" w:hAnsi="Arial" w:cs="Arial"/>
          <w:bCs/>
          <w:sz w:val="22"/>
          <w:szCs w:val="22"/>
          <w:lang w:val="fr-FR"/>
        </w:rPr>
        <w:t>s</w:t>
      </w:r>
      <w:r w:rsidRPr="00655B38">
        <w:rPr>
          <w:rFonts w:ascii="Arial" w:hAnsi="Arial" w:cs="Arial"/>
          <w:bCs/>
          <w:sz w:val="22"/>
          <w:szCs w:val="22"/>
          <w:lang w:val="fr-FR"/>
        </w:rPr>
        <w:t xml:space="preserve"> seront organisés </w:t>
      </w:r>
      <w:r w:rsidRPr="00655B38">
        <w:rPr>
          <w:rFonts w:ascii="Arial" w:hAnsi="Arial" w:cs="Arial"/>
          <w:bCs/>
          <w:i/>
          <w:iCs/>
          <w:sz w:val="22"/>
          <w:szCs w:val="22"/>
          <w:lang w:val="fr-FR"/>
        </w:rPr>
        <w:t xml:space="preserve">in </w:t>
      </w:r>
      <w:proofErr w:type="spellStart"/>
      <w:r w:rsidRPr="00655B38">
        <w:rPr>
          <w:rFonts w:ascii="Arial" w:hAnsi="Arial" w:cs="Arial"/>
          <w:bCs/>
          <w:i/>
          <w:iCs/>
          <w:sz w:val="22"/>
          <w:szCs w:val="22"/>
          <w:lang w:val="fr-FR"/>
        </w:rPr>
        <w:t>præsentia</w:t>
      </w:r>
      <w:proofErr w:type="spellEnd"/>
      <w:r w:rsidRPr="00655B38">
        <w:rPr>
          <w:rFonts w:ascii="Arial" w:hAnsi="Arial" w:cs="Arial"/>
          <w:bCs/>
          <w:sz w:val="22"/>
          <w:szCs w:val="22"/>
          <w:lang w:val="fr-FR"/>
        </w:rPr>
        <w:t xml:space="preserve">. Tous les efforts possibles seront </w:t>
      </w:r>
      <w:r>
        <w:rPr>
          <w:rFonts w:ascii="Arial" w:hAnsi="Arial" w:cs="Arial"/>
          <w:bCs/>
          <w:sz w:val="22"/>
          <w:szCs w:val="22"/>
          <w:lang w:val="fr-FR"/>
        </w:rPr>
        <w:t xml:space="preserve">déployés </w:t>
      </w:r>
      <w:r w:rsidRPr="00655B38">
        <w:rPr>
          <w:rFonts w:ascii="Arial" w:hAnsi="Arial" w:cs="Arial"/>
          <w:bCs/>
          <w:sz w:val="22"/>
          <w:szCs w:val="22"/>
          <w:lang w:val="fr-FR"/>
        </w:rPr>
        <w:t xml:space="preserve">pour assurer la participation de tous les membres à un </w:t>
      </w:r>
      <w:r>
        <w:rPr>
          <w:rFonts w:ascii="Arial" w:hAnsi="Arial" w:cs="Arial"/>
          <w:bCs/>
          <w:sz w:val="22"/>
          <w:szCs w:val="22"/>
          <w:lang w:val="fr-FR"/>
        </w:rPr>
        <w:t>vote à bulletins secrets »</w:t>
      </w:r>
      <w:r w:rsidRPr="00655B38">
        <w:rPr>
          <w:rFonts w:ascii="Arial" w:hAnsi="Arial" w:cs="Arial"/>
          <w:bCs/>
          <w:sz w:val="22"/>
          <w:szCs w:val="22"/>
          <w:lang w:val="fr-FR"/>
        </w:rPr>
        <w:t xml:space="preserve">. Ainsi, selon le groupe de travail, le seul cas où cela était requis était celui des </w:t>
      </w:r>
      <w:r>
        <w:rPr>
          <w:rFonts w:ascii="Arial" w:hAnsi="Arial" w:cs="Arial"/>
          <w:bCs/>
          <w:sz w:val="22"/>
          <w:szCs w:val="22"/>
          <w:lang w:val="fr-FR"/>
        </w:rPr>
        <w:t xml:space="preserve">votes à bulletins </w:t>
      </w:r>
      <w:r w:rsidRPr="00655B38">
        <w:rPr>
          <w:rFonts w:ascii="Arial" w:hAnsi="Arial" w:cs="Arial"/>
          <w:bCs/>
          <w:sz w:val="22"/>
          <w:szCs w:val="22"/>
          <w:lang w:val="fr-FR"/>
        </w:rPr>
        <w:t>secrets. Pour les autres types de vote, notamment les appels nominaux, le groupe de travail était arrivé à la conclusion que ceux-ci étaient possibles avec les arrangements nécessaires dans le cadre d</w:t>
      </w:r>
      <w:r w:rsidR="008E532B">
        <w:rPr>
          <w:rFonts w:ascii="Arial" w:hAnsi="Arial" w:cs="Arial"/>
          <w:bCs/>
          <w:sz w:val="22"/>
          <w:szCs w:val="22"/>
          <w:lang w:val="fr-FR"/>
        </w:rPr>
        <w:t>’</w:t>
      </w:r>
      <w:r w:rsidRPr="00655B38">
        <w:rPr>
          <w:rFonts w:ascii="Arial" w:hAnsi="Arial" w:cs="Arial"/>
          <w:bCs/>
          <w:sz w:val="22"/>
          <w:szCs w:val="22"/>
          <w:lang w:val="fr-FR"/>
        </w:rPr>
        <w:t>une session en ligne.</w:t>
      </w:r>
    </w:p>
    <w:p w14:paraId="3EACA6AC" w14:textId="37B39D36" w:rsidR="00D9653F" w:rsidRPr="000B604B"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B604B">
        <w:rPr>
          <w:rFonts w:ascii="Arial" w:hAnsi="Arial" w:cs="Arial"/>
          <w:bCs/>
          <w:sz w:val="22"/>
          <w:szCs w:val="22"/>
          <w:lang w:val="fr-FR"/>
        </w:rPr>
        <w:t xml:space="preserve">La délégation de la </w:t>
      </w:r>
      <w:r w:rsidRPr="000B604B">
        <w:rPr>
          <w:rFonts w:ascii="Arial" w:hAnsi="Arial" w:cs="Arial"/>
          <w:b/>
          <w:sz w:val="22"/>
          <w:szCs w:val="22"/>
          <w:lang w:val="fr-FR"/>
        </w:rPr>
        <w:t>Palestine</w:t>
      </w:r>
      <w:r w:rsidRPr="000B604B">
        <w:rPr>
          <w:rFonts w:ascii="Arial" w:hAnsi="Arial" w:cs="Arial"/>
          <w:bCs/>
          <w:sz w:val="22"/>
          <w:szCs w:val="22"/>
          <w:lang w:val="fr-FR"/>
        </w:rPr>
        <w:t xml:space="preserve"> </w:t>
      </w:r>
      <w:r>
        <w:rPr>
          <w:rFonts w:ascii="Arial" w:hAnsi="Arial" w:cs="Arial"/>
          <w:bCs/>
          <w:sz w:val="22"/>
          <w:szCs w:val="22"/>
          <w:lang w:val="fr-FR"/>
        </w:rPr>
        <w:t xml:space="preserve">a </w:t>
      </w:r>
      <w:r w:rsidRPr="000B604B">
        <w:rPr>
          <w:rFonts w:ascii="Arial" w:hAnsi="Arial" w:cs="Arial"/>
          <w:bCs/>
          <w:sz w:val="22"/>
          <w:szCs w:val="22"/>
          <w:lang w:val="fr-FR"/>
        </w:rPr>
        <w:t>fait remarque</w:t>
      </w:r>
      <w:r>
        <w:rPr>
          <w:rFonts w:ascii="Arial" w:hAnsi="Arial" w:cs="Arial"/>
          <w:bCs/>
          <w:sz w:val="22"/>
          <w:szCs w:val="22"/>
          <w:lang w:val="fr-FR"/>
        </w:rPr>
        <w:t xml:space="preserve">r </w:t>
      </w:r>
      <w:r w:rsidRPr="000B604B">
        <w:rPr>
          <w:rFonts w:ascii="Arial" w:hAnsi="Arial" w:cs="Arial"/>
          <w:bCs/>
          <w:sz w:val="22"/>
          <w:szCs w:val="22"/>
          <w:lang w:val="fr-FR"/>
        </w:rPr>
        <w:t>que</w:t>
      </w:r>
      <w:r>
        <w:rPr>
          <w:rFonts w:ascii="Arial" w:hAnsi="Arial" w:cs="Arial"/>
          <w:bCs/>
          <w:sz w:val="22"/>
          <w:szCs w:val="22"/>
          <w:lang w:val="fr-FR"/>
        </w:rPr>
        <w:t>,</w:t>
      </w:r>
      <w:r w:rsidRPr="000B604B">
        <w:rPr>
          <w:rFonts w:ascii="Arial" w:hAnsi="Arial" w:cs="Arial"/>
          <w:bCs/>
          <w:sz w:val="22"/>
          <w:szCs w:val="22"/>
          <w:lang w:val="fr-FR"/>
        </w:rPr>
        <w:t xml:space="preserve"> pour une élection </w:t>
      </w:r>
      <w:r>
        <w:rPr>
          <w:rFonts w:ascii="Arial" w:hAnsi="Arial" w:cs="Arial"/>
          <w:bCs/>
          <w:sz w:val="22"/>
          <w:szCs w:val="22"/>
          <w:lang w:val="fr-FR"/>
        </w:rPr>
        <w:t>à bulletins secrets</w:t>
      </w:r>
      <w:r w:rsidRPr="000B604B">
        <w:rPr>
          <w:rFonts w:ascii="Arial" w:hAnsi="Arial" w:cs="Arial"/>
          <w:bCs/>
          <w:sz w:val="22"/>
          <w:szCs w:val="22"/>
          <w:lang w:val="fr-FR"/>
        </w:rPr>
        <w:t xml:space="preserve">, </w:t>
      </w:r>
      <w:r>
        <w:rPr>
          <w:rFonts w:ascii="Arial" w:hAnsi="Arial" w:cs="Arial"/>
          <w:bCs/>
          <w:sz w:val="22"/>
          <w:szCs w:val="22"/>
          <w:lang w:val="fr-FR"/>
        </w:rPr>
        <w:t xml:space="preserve">il était clair que </w:t>
      </w:r>
      <w:r w:rsidRPr="000B604B">
        <w:rPr>
          <w:rFonts w:ascii="Arial" w:hAnsi="Arial" w:cs="Arial"/>
          <w:bCs/>
          <w:sz w:val="22"/>
          <w:szCs w:val="22"/>
          <w:lang w:val="fr-FR"/>
        </w:rPr>
        <w:t>le vote d</w:t>
      </w:r>
      <w:r>
        <w:rPr>
          <w:rFonts w:ascii="Arial" w:hAnsi="Arial" w:cs="Arial"/>
          <w:bCs/>
          <w:sz w:val="22"/>
          <w:szCs w:val="22"/>
          <w:lang w:val="fr-FR"/>
        </w:rPr>
        <w:t>evait</w:t>
      </w:r>
      <w:r w:rsidRPr="000B604B">
        <w:rPr>
          <w:rFonts w:ascii="Arial" w:hAnsi="Arial" w:cs="Arial"/>
          <w:bCs/>
          <w:sz w:val="22"/>
          <w:szCs w:val="22"/>
          <w:lang w:val="fr-FR"/>
        </w:rPr>
        <w:t xml:space="preserve"> avoir lieu en personne. Elle a donc suggéré de conserver la première phrase telle quelle pour un </w:t>
      </w:r>
      <w:r>
        <w:rPr>
          <w:rFonts w:ascii="Arial" w:hAnsi="Arial" w:cs="Arial"/>
          <w:bCs/>
          <w:sz w:val="22"/>
          <w:szCs w:val="22"/>
          <w:lang w:val="fr-FR"/>
        </w:rPr>
        <w:t xml:space="preserve">vote à bulletins </w:t>
      </w:r>
      <w:r w:rsidRPr="000B604B">
        <w:rPr>
          <w:rFonts w:ascii="Arial" w:hAnsi="Arial" w:cs="Arial"/>
          <w:bCs/>
          <w:sz w:val="22"/>
          <w:szCs w:val="22"/>
          <w:lang w:val="fr-FR"/>
        </w:rPr>
        <w:t>secret, et d</w:t>
      </w:r>
      <w:r w:rsidR="008E532B">
        <w:rPr>
          <w:rFonts w:ascii="Arial" w:hAnsi="Arial" w:cs="Arial"/>
          <w:bCs/>
          <w:sz w:val="22"/>
          <w:szCs w:val="22"/>
          <w:lang w:val="fr-FR"/>
        </w:rPr>
        <w:t>’</w:t>
      </w:r>
      <w:r w:rsidRPr="000B604B">
        <w:rPr>
          <w:rFonts w:ascii="Arial" w:hAnsi="Arial" w:cs="Arial"/>
          <w:bCs/>
          <w:sz w:val="22"/>
          <w:szCs w:val="22"/>
          <w:lang w:val="fr-FR"/>
        </w:rPr>
        <w:t>ajouter une autre phrase concernant d</w:t>
      </w:r>
      <w:r w:rsidR="008E532B">
        <w:rPr>
          <w:rFonts w:ascii="Arial" w:hAnsi="Arial" w:cs="Arial"/>
          <w:bCs/>
          <w:sz w:val="22"/>
          <w:szCs w:val="22"/>
          <w:lang w:val="fr-FR"/>
        </w:rPr>
        <w:t>’</w:t>
      </w:r>
      <w:r w:rsidRPr="000B604B">
        <w:rPr>
          <w:rFonts w:ascii="Arial" w:hAnsi="Arial" w:cs="Arial"/>
          <w:bCs/>
          <w:sz w:val="22"/>
          <w:szCs w:val="22"/>
          <w:lang w:val="fr-FR"/>
        </w:rPr>
        <w:t>autres méthodes de vote, par exemple</w:t>
      </w:r>
      <w:r>
        <w:rPr>
          <w:rFonts w:ascii="Arial" w:hAnsi="Arial" w:cs="Arial"/>
          <w:bCs/>
          <w:sz w:val="22"/>
          <w:szCs w:val="22"/>
          <w:lang w:val="fr-FR"/>
        </w:rPr>
        <w:t>,</w:t>
      </w:r>
      <w:r w:rsidRPr="000B604B">
        <w:rPr>
          <w:rFonts w:ascii="Arial" w:hAnsi="Arial" w:cs="Arial"/>
          <w:bCs/>
          <w:sz w:val="22"/>
          <w:szCs w:val="22"/>
          <w:lang w:val="fr-FR"/>
        </w:rPr>
        <w:t xml:space="preserve"> à main levée ou par appel nominal, qui pourrait être </w:t>
      </w:r>
      <w:r>
        <w:rPr>
          <w:rFonts w:ascii="Arial" w:hAnsi="Arial" w:cs="Arial"/>
          <w:bCs/>
          <w:sz w:val="22"/>
          <w:szCs w:val="22"/>
          <w:lang w:val="fr-FR"/>
        </w:rPr>
        <w:t xml:space="preserve">ainsi </w:t>
      </w:r>
      <w:r w:rsidRPr="000B604B">
        <w:rPr>
          <w:rFonts w:ascii="Arial" w:hAnsi="Arial" w:cs="Arial"/>
          <w:bCs/>
          <w:sz w:val="22"/>
          <w:szCs w:val="22"/>
          <w:lang w:val="fr-FR"/>
        </w:rPr>
        <w:t>libellé</w:t>
      </w:r>
      <w:r>
        <w:rPr>
          <w:rFonts w:ascii="Arial" w:hAnsi="Arial" w:cs="Arial"/>
          <w:bCs/>
          <w:sz w:val="22"/>
          <w:szCs w:val="22"/>
          <w:lang w:val="fr-FR"/>
        </w:rPr>
        <w:t>e « </w:t>
      </w:r>
      <w:r w:rsidRPr="000B604B">
        <w:rPr>
          <w:rFonts w:ascii="Arial" w:hAnsi="Arial" w:cs="Arial"/>
          <w:bCs/>
          <w:sz w:val="22"/>
          <w:szCs w:val="22"/>
          <w:lang w:val="fr-FR"/>
        </w:rPr>
        <w:t>de préférence en personne</w:t>
      </w:r>
      <w:r>
        <w:rPr>
          <w:rFonts w:ascii="Arial" w:hAnsi="Arial" w:cs="Arial"/>
          <w:bCs/>
          <w:sz w:val="22"/>
          <w:szCs w:val="22"/>
          <w:lang w:val="fr-FR"/>
        </w:rPr>
        <w:t xml:space="preserve"> ». Elle a </w:t>
      </w:r>
      <w:r w:rsidRPr="000B604B">
        <w:rPr>
          <w:rFonts w:ascii="Arial" w:hAnsi="Arial" w:cs="Arial"/>
          <w:bCs/>
          <w:sz w:val="22"/>
          <w:szCs w:val="22"/>
          <w:lang w:val="fr-FR"/>
        </w:rPr>
        <w:t>demand</w:t>
      </w:r>
      <w:r>
        <w:rPr>
          <w:rFonts w:ascii="Arial" w:hAnsi="Arial" w:cs="Arial"/>
          <w:bCs/>
          <w:sz w:val="22"/>
          <w:szCs w:val="22"/>
          <w:lang w:val="fr-FR"/>
        </w:rPr>
        <w:t>é</w:t>
      </w:r>
      <w:r w:rsidRPr="000B604B">
        <w:rPr>
          <w:rFonts w:ascii="Arial" w:hAnsi="Arial" w:cs="Arial"/>
          <w:bCs/>
          <w:sz w:val="22"/>
          <w:szCs w:val="22"/>
          <w:lang w:val="fr-FR"/>
        </w:rPr>
        <w:t xml:space="preserve"> au Conseiller juridique d</w:t>
      </w:r>
      <w:r w:rsidR="008E532B">
        <w:rPr>
          <w:rFonts w:ascii="Arial" w:hAnsi="Arial" w:cs="Arial"/>
          <w:bCs/>
          <w:sz w:val="22"/>
          <w:szCs w:val="22"/>
          <w:lang w:val="fr-FR"/>
        </w:rPr>
        <w:t>’</w:t>
      </w:r>
      <w:r w:rsidRPr="000B604B">
        <w:rPr>
          <w:rFonts w:ascii="Arial" w:hAnsi="Arial" w:cs="Arial"/>
          <w:bCs/>
          <w:sz w:val="22"/>
          <w:szCs w:val="22"/>
          <w:lang w:val="fr-FR"/>
        </w:rPr>
        <w:t>aider à rédiger une nouvelle phrase dans ce sens.</w:t>
      </w:r>
    </w:p>
    <w:p w14:paraId="0082DCA5" w14:textId="7CF43AA3" w:rsidR="00D9653F" w:rsidRPr="00C22CC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22CCE">
        <w:rPr>
          <w:rFonts w:ascii="Arial" w:hAnsi="Arial" w:cs="Arial"/>
          <w:bCs/>
          <w:sz w:val="22"/>
          <w:szCs w:val="22"/>
          <w:lang w:val="fr-FR"/>
        </w:rPr>
        <w:t xml:space="preserve">La délégation du </w:t>
      </w:r>
      <w:r w:rsidRPr="00C22CCE">
        <w:rPr>
          <w:rFonts w:ascii="Arial" w:hAnsi="Arial" w:cs="Arial"/>
          <w:b/>
          <w:sz w:val="22"/>
          <w:szCs w:val="22"/>
          <w:lang w:val="fr-FR"/>
        </w:rPr>
        <w:t>Panama</w:t>
      </w:r>
      <w:r w:rsidRPr="00C22CCE">
        <w:rPr>
          <w:rFonts w:ascii="Arial" w:hAnsi="Arial" w:cs="Arial"/>
          <w:bCs/>
          <w:sz w:val="22"/>
          <w:szCs w:val="22"/>
          <w:lang w:val="fr-FR"/>
        </w:rPr>
        <w:t xml:space="preserve"> a ajouté aux remarques </w:t>
      </w:r>
      <w:r>
        <w:rPr>
          <w:rFonts w:ascii="Arial" w:hAnsi="Arial" w:cs="Arial"/>
          <w:bCs/>
          <w:sz w:val="22"/>
          <w:szCs w:val="22"/>
          <w:lang w:val="fr-FR"/>
        </w:rPr>
        <w:t>formulées par</w:t>
      </w:r>
      <w:r w:rsidRPr="00C22CCE">
        <w:rPr>
          <w:rFonts w:ascii="Arial" w:hAnsi="Arial" w:cs="Arial"/>
          <w:bCs/>
          <w:sz w:val="22"/>
          <w:szCs w:val="22"/>
          <w:lang w:val="fr-FR"/>
        </w:rPr>
        <w:t xml:space="preserve"> la Grenade et</w:t>
      </w:r>
      <w:r>
        <w:rPr>
          <w:rFonts w:ascii="Arial" w:hAnsi="Arial" w:cs="Arial"/>
          <w:bCs/>
          <w:sz w:val="22"/>
          <w:szCs w:val="22"/>
          <w:lang w:val="fr-FR"/>
        </w:rPr>
        <w:t xml:space="preserve"> </w:t>
      </w:r>
      <w:r w:rsidRPr="00C22CCE">
        <w:rPr>
          <w:rFonts w:ascii="Arial" w:hAnsi="Arial" w:cs="Arial"/>
          <w:bCs/>
          <w:sz w:val="22"/>
          <w:szCs w:val="22"/>
          <w:lang w:val="fr-FR"/>
        </w:rPr>
        <w:t>l</w:t>
      </w:r>
      <w:r w:rsidR="008E532B">
        <w:rPr>
          <w:rFonts w:ascii="Arial" w:hAnsi="Arial" w:cs="Arial"/>
          <w:bCs/>
          <w:sz w:val="22"/>
          <w:szCs w:val="22"/>
          <w:lang w:val="fr-FR"/>
        </w:rPr>
        <w:t>’</w:t>
      </w:r>
      <w:r w:rsidRPr="00C22CCE">
        <w:rPr>
          <w:rFonts w:ascii="Arial" w:hAnsi="Arial" w:cs="Arial"/>
          <w:bCs/>
          <w:sz w:val="22"/>
          <w:szCs w:val="22"/>
          <w:lang w:val="fr-FR"/>
        </w:rPr>
        <w:t>Estonie que</w:t>
      </w:r>
      <w:r>
        <w:rPr>
          <w:rFonts w:ascii="Arial" w:hAnsi="Arial" w:cs="Arial"/>
          <w:bCs/>
          <w:sz w:val="22"/>
          <w:szCs w:val="22"/>
          <w:lang w:val="fr-FR"/>
        </w:rPr>
        <w:t>,</w:t>
      </w:r>
      <w:r w:rsidRPr="00C22CCE">
        <w:rPr>
          <w:rFonts w:ascii="Arial" w:hAnsi="Arial" w:cs="Arial"/>
          <w:bCs/>
          <w:sz w:val="22"/>
          <w:szCs w:val="22"/>
          <w:lang w:val="fr-FR"/>
        </w:rPr>
        <w:t xml:space="preserve"> dans cette réalité </w:t>
      </w:r>
      <w:proofErr w:type="spellStart"/>
      <w:r w:rsidRPr="00C22CCE">
        <w:rPr>
          <w:rFonts w:ascii="Arial" w:hAnsi="Arial" w:cs="Arial"/>
          <w:bCs/>
          <w:sz w:val="22"/>
          <w:szCs w:val="22"/>
          <w:lang w:val="fr-FR"/>
        </w:rPr>
        <w:t>post-pandémique</w:t>
      </w:r>
      <w:proofErr w:type="spellEnd"/>
      <w:r w:rsidRPr="00C22CCE">
        <w:rPr>
          <w:rFonts w:ascii="Arial" w:hAnsi="Arial" w:cs="Arial"/>
          <w:bCs/>
          <w:sz w:val="22"/>
          <w:szCs w:val="22"/>
          <w:lang w:val="fr-FR"/>
        </w:rPr>
        <w:t>, l</w:t>
      </w:r>
      <w:r w:rsidR="008E532B">
        <w:rPr>
          <w:rFonts w:ascii="Arial" w:hAnsi="Arial" w:cs="Arial"/>
          <w:bCs/>
          <w:sz w:val="22"/>
          <w:szCs w:val="22"/>
          <w:lang w:val="fr-FR"/>
        </w:rPr>
        <w:t>’</w:t>
      </w:r>
      <w:r w:rsidRPr="00C22CCE">
        <w:rPr>
          <w:rFonts w:ascii="Arial" w:hAnsi="Arial" w:cs="Arial"/>
          <w:bCs/>
          <w:sz w:val="22"/>
          <w:szCs w:val="22"/>
          <w:lang w:val="fr-FR"/>
        </w:rPr>
        <w:t>Assemblée pourrait être confrontée à une autre situation qui exige un vote en ligne par appel nominal sans possibilité de le faire en personne. En tenant compte de cette réalité, comme l</w:t>
      </w:r>
      <w:r w:rsidR="008E532B">
        <w:rPr>
          <w:rFonts w:ascii="Arial" w:hAnsi="Arial" w:cs="Arial"/>
          <w:bCs/>
          <w:sz w:val="22"/>
          <w:szCs w:val="22"/>
          <w:lang w:val="fr-FR"/>
        </w:rPr>
        <w:t>’</w:t>
      </w:r>
      <w:r w:rsidRPr="00C22CCE">
        <w:rPr>
          <w:rFonts w:ascii="Arial" w:hAnsi="Arial" w:cs="Arial"/>
          <w:bCs/>
          <w:sz w:val="22"/>
          <w:szCs w:val="22"/>
          <w:lang w:val="fr-FR"/>
        </w:rPr>
        <w:t>a</w:t>
      </w:r>
      <w:r>
        <w:rPr>
          <w:rFonts w:ascii="Arial" w:hAnsi="Arial" w:cs="Arial"/>
          <w:bCs/>
          <w:sz w:val="22"/>
          <w:szCs w:val="22"/>
          <w:lang w:val="fr-FR"/>
        </w:rPr>
        <w:t>vait</w:t>
      </w:r>
      <w:r w:rsidRPr="00C22CCE">
        <w:rPr>
          <w:rFonts w:ascii="Arial" w:hAnsi="Arial" w:cs="Arial"/>
          <w:bCs/>
          <w:sz w:val="22"/>
          <w:szCs w:val="22"/>
          <w:lang w:val="fr-FR"/>
        </w:rPr>
        <w:t xml:space="preserve"> mentionné le Conseiller juridique et comme on l</w:t>
      </w:r>
      <w:r w:rsidR="008E532B">
        <w:rPr>
          <w:rFonts w:ascii="Arial" w:hAnsi="Arial" w:cs="Arial"/>
          <w:bCs/>
          <w:sz w:val="22"/>
          <w:szCs w:val="22"/>
          <w:lang w:val="fr-FR"/>
        </w:rPr>
        <w:t>’</w:t>
      </w:r>
      <w:r w:rsidRPr="00C22CCE">
        <w:rPr>
          <w:rFonts w:ascii="Arial" w:hAnsi="Arial" w:cs="Arial"/>
          <w:bCs/>
          <w:sz w:val="22"/>
          <w:szCs w:val="22"/>
          <w:lang w:val="fr-FR"/>
        </w:rPr>
        <w:t>a</w:t>
      </w:r>
      <w:r>
        <w:rPr>
          <w:rFonts w:ascii="Arial" w:hAnsi="Arial" w:cs="Arial"/>
          <w:bCs/>
          <w:sz w:val="22"/>
          <w:szCs w:val="22"/>
          <w:lang w:val="fr-FR"/>
        </w:rPr>
        <w:t>vait</w:t>
      </w:r>
      <w:r w:rsidRPr="00C22CCE">
        <w:rPr>
          <w:rFonts w:ascii="Arial" w:hAnsi="Arial" w:cs="Arial"/>
          <w:bCs/>
          <w:sz w:val="22"/>
          <w:szCs w:val="22"/>
          <w:lang w:val="fr-FR"/>
        </w:rPr>
        <w:t xml:space="preserve"> vu dans d</w:t>
      </w:r>
      <w:r w:rsidR="008E532B">
        <w:rPr>
          <w:rFonts w:ascii="Arial" w:hAnsi="Arial" w:cs="Arial"/>
          <w:bCs/>
          <w:sz w:val="22"/>
          <w:szCs w:val="22"/>
          <w:lang w:val="fr-FR"/>
        </w:rPr>
        <w:t>’</w:t>
      </w:r>
      <w:r w:rsidRPr="00C22CCE">
        <w:rPr>
          <w:rFonts w:ascii="Arial" w:hAnsi="Arial" w:cs="Arial"/>
          <w:bCs/>
          <w:sz w:val="22"/>
          <w:szCs w:val="22"/>
          <w:lang w:val="fr-FR"/>
        </w:rPr>
        <w:t>autres conventions, il faudrait laisser un espace ouvert pour d</w:t>
      </w:r>
      <w:r w:rsidR="008E532B">
        <w:rPr>
          <w:rFonts w:ascii="Arial" w:hAnsi="Arial" w:cs="Arial"/>
          <w:bCs/>
          <w:sz w:val="22"/>
          <w:szCs w:val="22"/>
          <w:lang w:val="fr-FR"/>
        </w:rPr>
        <w:t>’</w:t>
      </w:r>
      <w:r w:rsidRPr="00C22CCE">
        <w:rPr>
          <w:rFonts w:ascii="Arial" w:hAnsi="Arial" w:cs="Arial"/>
          <w:bCs/>
          <w:sz w:val="22"/>
          <w:szCs w:val="22"/>
          <w:lang w:val="fr-FR"/>
        </w:rPr>
        <w:t xml:space="preserve">autres types de vote. En outre, il </w:t>
      </w:r>
      <w:r>
        <w:rPr>
          <w:rFonts w:ascii="Arial" w:hAnsi="Arial" w:cs="Arial"/>
          <w:bCs/>
          <w:sz w:val="22"/>
          <w:szCs w:val="22"/>
          <w:lang w:val="fr-FR"/>
        </w:rPr>
        <w:t>était</w:t>
      </w:r>
      <w:r w:rsidRPr="00C22CCE">
        <w:rPr>
          <w:rFonts w:ascii="Arial" w:hAnsi="Arial" w:cs="Arial"/>
          <w:bCs/>
          <w:sz w:val="22"/>
          <w:szCs w:val="22"/>
          <w:lang w:val="fr-FR"/>
        </w:rPr>
        <w:t xml:space="preserve"> important de prendre en considération les réalités auxquelles </w:t>
      </w:r>
      <w:r>
        <w:rPr>
          <w:rFonts w:ascii="Arial" w:hAnsi="Arial" w:cs="Arial"/>
          <w:bCs/>
          <w:sz w:val="22"/>
          <w:szCs w:val="22"/>
          <w:lang w:val="fr-FR"/>
        </w:rPr>
        <w:t xml:space="preserve">étaient </w:t>
      </w:r>
      <w:r w:rsidRPr="00C22CCE">
        <w:rPr>
          <w:rFonts w:ascii="Arial" w:hAnsi="Arial" w:cs="Arial"/>
          <w:bCs/>
          <w:sz w:val="22"/>
          <w:szCs w:val="22"/>
          <w:lang w:val="fr-FR"/>
        </w:rPr>
        <w:t>confrontés des pays comme Chypre, l</w:t>
      </w:r>
      <w:r>
        <w:rPr>
          <w:rFonts w:ascii="Arial" w:hAnsi="Arial" w:cs="Arial"/>
          <w:bCs/>
          <w:sz w:val="22"/>
          <w:szCs w:val="22"/>
          <w:lang w:val="fr-FR"/>
        </w:rPr>
        <w:t xml:space="preserve">a République bolivarienne du Venezuela </w:t>
      </w:r>
      <w:r w:rsidRPr="00C22CCE">
        <w:rPr>
          <w:rFonts w:ascii="Arial" w:hAnsi="Arial" w:cs="Arial"/>
          <w:bCs/>
          <w:sz w:val="22"/>
          <w:szCs w:val="22"/>
          <w:lang w:val="fr-FR"/>
        </w:rPr>
        <w:t>et Cuba en matière de connectivité. Des solutions pourraient être convenues mais il importa</w:t>
      </w:r>
      <w:r>
        <w:rPr>
          <w:rFonts w:ascii="Arial" w:hAnsi="Arial" w:cs="Arial"/>
          <w:bCs/>
          <w:sz w:val="22"/>
          <w:szCs w:val="22"/>
          <w:lang w:val="fr-FR"/>
        </w:rPr>
        <w:t>i</w:t>
      </w:r>
      <w:r w:rsidRPr="00C22CCE">
        <w:rPr>
          <w:rFonts w:ascii="Arial" w:hAnsi="Arial" w:cs="Arial"/>
          <w:bCs/>
          <w:sz w:val="22"/>
          <w:szCs w:val="22"/>
          <w:lang w:val="fr-FR"/>
        </w:rPr>
        <w:t>t de laisser un espace ouvert dans la réalité d</w:t>
      </w:r>
      <w:r w:rsidR="008E532B">
        <w:rPr>
          <w:rFonts w:ascii="Arial" w:hAnsi="Arial" w:cs="Arial"/>
          <w:bCs/>
          <w:sz w:val="22"/>
          <w:szCs w:val="22"/>
          <w:lang w:val="fr-FR"/>
        </w:rPr>
        <w:t>’</w:t>
      </w:r>
      <w:r w:rsidRPr="00C22CCE">
        <w:rPr>
          <w:rFonts w:ascii="Arial" w:hAnsi="Arial" w:cs="Arial"/>
          <w:bCs/>
          <w:sz w:val="22"/>
          <w:szCs w:val="22"/>
          <w:lang w:val="fr-FR"/>
        </w:rPr>
        <w:t>aujourd</w:t>
      </w:r>
      <w:r w:rsidR="008E532B">
        <w:rPr>
          <w:rFonts w:ascii="Arial" w:hAnsi="Arial" w:cs="Arial"/>
          <w:bCs/>
          <w:sz w:val="22"/>
          <w:szCs w:val="22"/>
          <w:lang w:val="fr-FR"/>
        </w:rPr>
        <w:t>’</w:t>
      </w:r>
      <w:r w:rsidRPr="00C22CCE">
        <w:rPr>
          <w:rFonts w:ascii="Arial" w:hAnsi="Arial" w:cs="Arial"/>
          <w:bCs/>
          <w:sz w:val="22"/>
          <w:szCs w:val="22"/>
          <w:lang w:val="fr-FR"/>
        </w:rPr>
        <w:t>hui.</w:t>
      </w:r>
    </w:p>
    <w:p w14:paraId="37575659" w14:textId="7EC2BAD8" w:rsidR="00D9653F" w:rsidRPr="00101AD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01AD1">
        <w:rPr>
          <w:rFonts w:ascii="Arial" w:hAnsi="Arial" w:cs="Arial"/>
          <w:bCs/>
          <w:sz w:val="22"/>
          <w:szCs w:val="22"/>
          <w:lang w:val="fr-FR"/>
        </w:rPr>
        <w:t xml:space="preserve">La délégation </w:t>
      </w:r>
      <w:r>
        <w:rPr>
          <w:rFonts w:ascii="Arial" w:hAnsi="Arial" w:cs="Arial"/>
          <w:bCs/>
          <w:sz w:val="22"/>
          <w:szCs w:val="22"/>
          <w:lang w:val="fr-FR"/>
        </w:rPr>
        <w:t>de l</w:t>
      </w:r>
      <w:r w:rsidR="008E532B">
        <w:rPr>
          <w:rFonts w:ascii="Arial" w:hAnsi="Arial" w:cs="Arial"/>
          <w:bCs/>
          <w:sz w:val="22"/>
          <w:szCs w:val="22"/>
          <w:lang w:val="fr-FR"/>
        </w:rPr>
        <w:t>’</w:t>
      </w:r>
      <w:r w:rsidRPr="00101AD1">
        <w:rPr>
          <w:rFonts w:ascii="Arial" w:hAnsi="Arial" w:cs="Arial"/>
          <w:b/>
          <w:sz w:val="22"/>
          <w:szCs w:val="22"/>
          <w:lang w:val="fr-FR"/>
        </w:rPr>
        <w:t>Argentine</w:t>
      </w:r>
      <w:r w:rsidRPr="00101AD1">
        <w:rPr>
          <w:rFonts w:ascii="Arial" w:hAnsi="Arial" w:cs="Arial"/>
          <w:bCs/>
          <w:sz w:val="22"/>
          <w:szCs w:val="22"/>
          <w:lang w:val="fr-FR"/>
        </w:rPr>
        <w:t xml:space="preserve"> </w:t>
      </w:r>
      <w:r>
        <w:rPr>
          <w:rFonts w:ascii="Arial" w:hAnsi="Arial" w:cs="Arial"/>
          <w:bCs/>
          <w:sz w:val="22"/>
          <w:szCs w:val="22"/>
          <w:lang w:val="fr-FR"/>
        </w:rPr>
        <w:t xml:space="preserve">soutenait les </w:t>
      </w:r>
      <w:r w:rsidRPr="00101AD1">
        <w:rPr>
          <w:rFonts w:ascii="Arial" w:hAnsi="Arial" w:cs="Arial"/>
          <w:bCs/>
          <w:sz w:val="22"/>
          <w:szCs w:val="22"/>
          <w:lang w:val="fr-FR"/>
        </w:rPr>
        <w:t>préoccupations exprimées par l</w:t>
      </w:r>
      <w:r>
        <w:rPr>
          <w:rFonts w:ascii="Arial" w:hAnsi="Arial" w:cs="Arial"/>
          <w:bCs/>
          <w:sz w:val="22"/>
          <w:szCs w:val="22"/>
          <w:lang w:val="fr-FR"/>
        </w:rPr>
        <w:t>a République bolivarienne du Venezuela</w:t>
      </w:r>
      <w:r w:rsidRPr="00101AD1">
        <w:rPr>
          <w:rFonts w:ascii="Arial" w:hAnsi="Arial" w:cs="Arial"/>
          <w:bCs/>
          <w:sz w:val="22"/>
          <w:szCs w:val="22"/>
          <w:lang w:val="fr-FR"/>
        </w:rPr>
        <w:t>, ajoutant qu</w:t>
      </w:r>
      <w:r w:rsidR="008E532B">
        <w:rPr>
          <w:rFonts w:ascii="Arial" w:hAnsi="Arial" w:cs="Arial"/>
          <w:bCs/>
          <w:sz w:val="22"/>
          <w:szCs w:val="22"/>
          <w:lang w:val="fr-FR"/>
        </w:rPr>
        <w:t>’</w:t>
      </w:r>
      <w:r w:rsidRPr="00101AD1">
        <w:rPr>
          <w:rFonts w:ascii="Arial" w:hAnsi="Arial" w:cs="Arial"/>
          <w:bCs/>
          <w:sz w:val="22"/>
          <w:szCs w:val="22"/>
          <w:lang w:val="fr-FR"/>
        </w:rPr>
        <w:t xml:space="preserve">il </w:t>
      </w:r>
      <w:r>
        <w:rPr>
          <w:rFonts w:ascii="Arial" w:hAnsi="Arial" w:cs="Arial"/>
          <w:bCs/>
          <w:sz w:val="22"/>
          <w:szCs w:val="22"/>
          <w:lang w:val="fr-FR"/>
        </w:rPr>
        <w:t>était</w:t>
      </w:r>
      <w:r w:rsidRPr="00101AD1">
        <w:rPr>
          <w:rFonts w:ascii="Arial" w:hAnsi="Arial" w:cs="Arial"/>
          <w:bCs/>
          <w:sz w:val="22"/>
          <w:szCs w:val="22"/>
          <w:lang w:val="fr-FR"/>
        </w:rPr>
        <w:t xml:space="preserve"> important de s</w:t>
      </w:r>
      <w:r w:rsidR="008E532B">
        <w:rPr>
          <w:rFonts w:ascii="Arial" w:hAnsi="Arial" w:cs="Arial"/>
          <w:bCs/>
          <w:sz w:val="22"/>
          <w:szCs w:val="22"/>
          <w:lang w:val="fr-FR"/>
        </w:rPr>
        <w:t>’</w:t>
      </w:r>
      <w:r w:rsidRPr="00101AD1">
        <w:rPr>
          <w:rFonts w:ascii="Arial" w:hAnsi="Arial" w:cs="Arial"/>
          <w:bCs/>
          <w:sz w:val="22"/>
          <w:szCs w:val="22"/>
          <w:lang w:val="fr-FR"/>
        </w:rPr>
        <w:t xml:space="preserve">assurer que tous les votes </w:t>
      </w:r>
      <w:r>
        <w:rPr>
          <w:rFonts w:ascii="Arial" w:hAnsi="Arial" w:cs="Arial"/>
          <w:bCs/>
          <w:sz w:val="22"/>
          <w:szCs w:val="22"/>
          <w:lang w:val="fr-FR"/>
        </w:rPr>
        <w:t xml:space="preserve">étaient </w:t>
      </w:r>
      <w:r w:rsidRPr="00101AD1">
        <w:rPr>
          <w:rFonts w:ascii="Arial" w:hAnsi="Arial" w:cs="Arial"/>
          <w:bCs/>
          <w:sz w:val="22"/>
          <w:szCs w:val="22"/>
          <w:lang w:val="fr-FR"/>
        </w:rPr>
        <w:t>au moins équitables si le vote ne p</w:t>
      </w:r>
      <w:r>
        <w:rPr>
          <w:rFonts w:ascii="Arial" w:hAnsi="Arial" w:cs="Arial"/>
          <w:bCs/>
          <w:sz w:val="22"/>
          <w:szCs w:val="22"/>
          <w:lang w:val="fr-FR"/>
        </w:rPr>
        <w:t xml:space="preserve">ouvait </w:t>
      </w:r>
      <w:r w:rsidRPr="00101AD1">
        <w:rPr>
          <w:rFonts w:ascii="Arial" w:hAnsi="Arial" w:cs="Arial"/>
          <w:bCs/>
          <w:sz w:val="22"/>
          <w:szCs w:val="22"/>
          <w:lang w:val="fr-FR"/>
        </w:rPr>
        <w:t xml:space="preserve">avoir lieu en personne. La délégation préférerait que tous les votes se déroulent </w:t>
      </w:r>
      <w:r w:rsidRPr="00101AD1">
        <w:rPr>
          <w:rFonts w:ascii="Arial" w:hAnsi="Arial" w:cs="Arial"/>
          <w:bCs/>
          <w:i/>
          <w:iCs/>
          <w:sz w:val="22"/>
          <w:szCs w:val="22"/>
          <w:lang w:val="fr-FR"/>
        </w:rPr>
        <w:t xml:space="preserve">in </w:t>
      </w:r>
      <w:proofErr w:type="spellStart"/>
      <w:r w:rsidRPr="00101AD1">
        <w:rPr>
          <w:rFonts w:ascii="Arial" w:hAnsi="Arial" w:cs="Arial"/>
          <w:bCs/>
          <w:i/>
          <w:iCs/>
          <w:sz w:val="22"/>
          <w:szCs w:val="22"/>
          <w:lang w:val="fr-FR"/>
        </w:rPr>
        <w:t>præsentia</w:t>
      </w:r>
      <w:proofErr w:type="spellEnd"/>
      <w:r w:rsidRPr="00101AD1">
        <w:rPr>
          <w:rFonts w:ascii="Arial" w:hAnsi="Arial" w:cs="Arial"/>
          <w:bCs/>
          <w:sz w:val="22"/>
          <w:szCs w:val="22"/>
          <w:lang w:val="fr-FR"/>
        </w:rPr>
        <w:t>, mais pourrait se rallier à la proposition de la Palestine d</w:t>
      </w:r>
      <w:r w:rsidR="008E532B">
        <w:rPr>
          <w:rFonts w:ascii="Arial" w:hAnsi="Arial" w:cs="Arial"/>
          <w:bCs/>
          <w:sz w:val="22"/>
          <w:szCs w:val="22"/>
          <w:lang w:val="fr-FR"/>
        </w:rPr>
        <w:t>’</w:t>
      </w:r>
      <w:r w:rsidRPr="00101AD1">
        <w:rPr>
          <w:rFonts w:ascii="Arial" w:hAnsi="Arial" w:cs="Arial"/>
          <w:bCs/>
          <w:sz w:val="22"/>
          <w:szCs w:val="22"/>
          <w:lang w:val="fr-FR"/>
        </w:rPr>
        <w:t xml:space="preserve">ajouter </w:t>
      </w:r>
      <w:r>
        <w:rPr>
          <w:rFonts w:ascii="Arial" w:hAnsi="Arial" w:cs="Arial"/>
          <w:bCs/>
          <w:sz w:val="22"/>
          <w:szCs w:val="22"/>
          <w:lang w:val="fr-FR"/>
        </w:rPr>
        <w:t>« </w:t>
      </w:r>
      <w:r w:rsidRPr="00101AD1">
        <w:rPr>
          <w:rFonts w:ascii="Arial" w:hAnsi="Arial" w:cs="Arial"/>
          <w:bCs/>
          <w:sz w:val="22"/>
          <w:szCs w:val="22"/>
          <w:lang w:val="fr-FR"/>
        </w:rPr>
        <w:t>de préférence en personne</w:t>
      </w:r>
      <w:r>
        <w:rPr>
          <w:rFonts w:ascii="Arial" w:hAnsi="Arial" w:cs="Arial"/>
          <w:bCs/>
          <w:sz w:val="22"/>
          <w:szCs w:val="22"/>
          <w:lang w:val="fr-FR"/>
        </w:rPr>
        <w:t> »</w:t>
      </w:r>
      <w:r w:rsidRPr="00101AD1">
        <w:rPr>
          <w:rFonts w:ascii="Arial" w:hAnsi="Arial" w:cs="Arial"/>
          <w:bCs/>
          <w:sz w:val="22"/>
          <w:szCs w:val="22"/>
          <w:lang w:val="fr-FR"/>
        </w:rPr>
        <w:t>.</w:t>
      </w:r>
    </w:p>
    <w:p w14:paraId="2C9854D9"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01AD1">
        <w:rPr>
          <w:rFonts w:ascii="Arial" w:hAnsi="Arial" w:cs="Arial"/>
          <w:b/>
          <w:sz w:val="22"/>
          <w:szCs w:val="22"/>
          <w:lang w:val="fr-FR"/>
        </w:rPr>
        <w:t>Présidente</w:t>
      </w:r>
      <w:r>
        <w:rPr>
          <w:rFonts w:ascii="Arial" w:hAnsi="Arial" w:cs="Arial"/>
          <w:bCs/>
          <w:sz w:val="22"/>
          <w:szCs w:val="22"/>
          <w:lang w:val="fr-FR"/>
        </w:rPr>
        <w:t xml:space="preserve"> a rappelé que le Conseiller juridique avait proposé de suggérer un projet de texte.</w:t>
      </w:r>
    </w:p>
    <w:p w14:paraId="6AFBD6D5" w14:textId="72DEC8BC" w:rsidR="00D9653F" w:rsidRPr="00101AD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01AD1">
        <w:rPr>
          <w:rFonts w:ascii="Arial" w:hAnsi="Arial" w:cs="Arial"/>
          <w:bCs/>
          <w:sz w:val="22"/>
          <w:szCs w:val="22"/>
          <w:lang w:val="fr-FR"/>
        </w:rPr>
        <w:t xml:space="preserve">Le </w:t>
      </w:r>
      <w:r w:rsidRPr="00C8187A">
        <w:rPr>
          <w:rFonts w:ascii="Arial" w:hAnsi="Arial" w:cs="Arial"/>
          <w:b/>
          <w:sz w:val="22"/>
          <w:szCs w:val="22"/>
          <w:lang w:val="fr-FR"/>
        </w:rPr>
        <w:t>Conseiller juridique</w:t>
      </w:r>
      <w:r w:rsidRPr="00101AD1">
        <w:rPr>
          <w:rFonts w:ascii="Arial" w:hAnsi="Arial" w:cs="Arial"/>
          <w:bCs/>
          <w:sz w:val="22"/>
          <w:szCs w:val="22"/>
          <w:lang w:val="fr-FR"/>
        </w:rPr>
        <w:t xml:space="preserve"> a expliqué qu</w:t>
      </w:r>
      <w:r w:rsidR="008E532B">
        <w:rPr>
          <w:rFonts w:ascii="Arial" w:hAnsi="Arial" w:cs="Arial"/>
          <w:bCs/>
          <w:sz w:val="22"/>
          <w:szCs w:val="22"/>
          <w:lang w:val="fr-FR"/>
        </w:rPr>
        <w:t>’</w:t>
      </w:r>
      <w:r>
        <w:rPr>
          <w:rFonts w:ascii="Arial" w:hAnsi="Arial" w:cs="Arial"/>
          <w:bCs/>
          <w:sz w:val="22"/>
          <w:szCs w:val="22"/>
          <w:lang w:val="fr-FR"/>
        </w:rPr>
        <w:t xml:space="preserve">en règle </w:t>
      </w:r>
      <w:r w:rsidRPr="00101AD1">
        <w:rPr>
          <w:rFonts w:ascii="Arial" w:hAnsi="Arial" w:cs="Arial"/>
          <w:bCs/>
          <w:sz w:val="22"/>
          <w:szCs w:val="22"/>
          <w:lang w:val="fr-FR"/>
        </w:rPr>
        <w:t xml:space="preserve">générale, il </w:t>
      </w:r>
      <w:r>
        <w:rPr>
          <w:rFonts w:ascii="Arial" w:hAnsi="Arial" w:cs="Arial"/>
          <w:bCs/>
          <w:sz w:val="22"/>
          <w:szCs w:val="22"/>
          <w:lang w:val="fr-FR"/>
        </w:rPr>
        <w:t>était</w:t>
      </w:r>
      <w:r w:rsidRPr="00101AD1">
        <w:rPr>
          <w:rFonts w:ascii="Arial" w:hAnsi="Arial" w:cs="Arial"/>
          <w:bCs/>
          <w:sz w:val="22"/>
          <w:szCs w:val="22"/>
          <w:lang w:val="fr-FR"/>
        </w:rPr>
        <w:t xml:space="preserve"> toujours préférable d</w:t>
      </w:r>
      <w:r w:rsidR="008E532B">
        <w:rPr>
          <w:rFonts w:ascii="Arial" w:hAnsi="Arial" w:cs="Arial"/>
          <w:bCs/>
          <w:sz w:val="22"/>
          <w:szCs w:val="22"/>
          <w:lang w:val="fr-FR"/>
        </w:rPr>
        <w:t>’</w:t>
      </w:r>
      <w:r w:rsidRPr="00101AD1">
        <w:rPr>
          <w:rFonts w:ascii="Arial" w:hAnsi="Arial" w:cs="Arial"/>
          <w:bCs/>
          <w:sz w:val="22"/>
          <w:szCs w:val="22"/>
          <w:lang w:val="fr-FR"/>
        </w:rPr>
        <w:t>avoir un paragraphe/une règle plutôt que d</w:t>
      </w:r>
      <w:r w:rsidR="008E532B">
        <w:rPr>
          <w:rFonts w:ascii="Arial" w:hAnsi="Arial" w:cs="Arial"/>
          <w:bCs/>
          <w:sz w:val="22"/>
          <w:szCs w:val="22"/>
          <w:lang w:val="fr-FR"/>
        </w:rPr>
        <w:t>’</w:t>
      </w:r>
      <w:r w:rsidRPr="00101AD1">
        <w:rPr>
          <w:rFonts w:ascii="Arial" w:hAnsi="Arial" w:cs="Arial"/>
          <w:bCs/>
          <w:sz w:val="22"/>
          <w:szCs w:val="22"/>
          <w:lang w:val="fr-FR"/>
        </w:rPr>
        <w:t xml:space="preserve">avoir trop de règles dans </w:t>
      </w:r>
      <w:r>
        <w:rPr>
          <w:rFonts w:ascii="Arial" w:hAnsi="Arial" w:cs="Arial"/>
          <w:bCs/>
          <w:sz w:val="22"/>
          <w:szCs w:val="22"/>
          <w:lang w:val="fr-FR"/>
        </w:rPr>
        <w:t>un</w:t>
      </w:r>
      <w:r w:rsidRPr="00101AD1">
        <w:rPr>
          <w:rFonts w:ascii="Arial" w:hAnsi="Arial" w:cs="Arial"/>
          <w:bCs/>
          <w:sz w:val="22"/>
          <w:szCs w:val="22"/>
          <w:lang w:val="fr-FR"/>
        </w:rPr>
        <w:t xml:space="preserve"> même paragraphe, sinon cela dev</w:t>
      </w:r>
      <w:r>
        <w:rPr>
          <w:rFonts w:ascii="Arial" w:hAnsi="Arial" w:cs="Arial"/>
          <w:bCs/>
          <w:sz w:val="22"/>
          <w:szCs w:val="22"/>
          <w:lang w:val="fr-FR"/>
        </w:rPr>
        <w:t>enait</w:t>
      </w:r>
      <w:r w:rsidRPr="00101AD1">
        <w:rPr>
          <w:rFonts w:ascii="Arial" w:hAnsi="Arial" w:cs="Arial"/>
          <w:bCs/>
          <w:sz w:val="22"/>
          <w:szCs w:val="22"/>
          <w:lang w:val="fr-FR"/>
        </w:rPr>
        <w:t xml:space="preserve"> difficile à lire et à suivre. Il </w:t>
      </w:r>
      <w:r>
        <w:rPr>
          <w:rFonts w:ascii="Arial" w:hAnsi="Arial" w:cs="Arial"/>
          <w:bCs/>
          <w:sz w:val="22"/>
          <w:szCs w:val="22"/>
          <w:lang w:val="fr-FR"/>
        </w:rPr>
        <w:t xml:space="preserve">a </w:t>
      </w:r>
      <w:r w:rsidRPr="00101AD1">
        <w:rPr>
          <w:rFonts w:ascii="Arial" w:hAnsi="Arial" w:cs="Arial"/>
          <w:bCs/>
          <w:sz w:val="22"/>
          <w:szCs w:val="22"/>
          <w:lang w:val="fr-FR"/>
        </w:rPr>
        <w:t>propos</w:t>
      </w:r>
      <w:r>
        <w:rPr>
          <w:rFonts w:ascii="Arial" w:hAnsi="Arial" w:cs="Arial"/>
          <w:bCs/>
          <w:sz w:val="22"/>
          <w:szCs w:val="22"/>
          <w:lang w:val="fr-FR"/>
        </w:rPr>
        <w:t>é</w:t>
      </w:r>
      <w:r w:rsidRPr="00101AD1">
        <w:rPr>
          <w:rFonts w:ascii="Arial" w:hAnsi="Arial" w:cs="Arial"/>
          <w:bCs/>
          <w:sz w:val="22"/>
          <w:szCs w:val="22"/>
          <w:lang w:val="fr-FR"/>
        </w:rPr>
        <w:t xml:space="preserve"> de couper et de coller la formulation proposée [par la </w:t>
      </w:r>
      <w:r>
        <w:rPr>
          <w:rFonts w:ascii="Arial" w:hAnsi="Arial" w:cs="Arial"/>
          <w:bCs/>
          <w:sz w:val="22"/>
          <w:szCs w:val="22"/>
          <w:lang w:val="fr-FR"/>
        </w:rPr>
        <w:t>Türkiye</w:t>
      </w:r>
      <w:r w:rsidRPr="00101AD1">
        <w:rPr>
          <w:rFonts w:ascii="Arial" w:hAnsi="Arial" w:cs="Arial"/>
          <w:bCs/>
          <w:sz w:val="22"/>
          <w:szCs w:val="22"/>
          <w:lang w:val="fr-FR"/>
        </w:rPr>
        <w:t xml:space="preserve"> et la Palestine] jusqu</w:t>
      </w:r>
      <w:r w:rsidR="008E532B">
        <w:rPr>
          <w:rFonts w:ascii="Arial" w:hAnsi="Arial" w:cs="Arial"/>
          <w:bCs/>
          <w:sz w:val="22"/>
          <w:szCs w:val="22"/>
          <w:lang w:val="fr-FR"/>
        </w:rPr>
        <w:t>’</w:t>
      </w:r>
      <w:r w:rsidRPr="00101AD1">
        <w:rPr>
          <w:rFonts w:ascii="Arial" w:hAnsi="Arial" w:cs="Arial"/>
          <w:bCs/>
          <w:sz w:val="22"/>
          <w:szCs w:val="22"/>
          <w:lang w:val="fr-FR"/>
        </w:rPr>
        <w:t xml:space="preserve">à </w:t>
      </w:r>
      <w:r>
        <w:rPr>
          <w:rFonts w:ascii="Arial" w:hAnsi="Arial" w:cs="Arial"/>
          <w:bCs/>
          <w:sz w:val="22"/>
          <w:szCs w:val="22"/>
          <w:lang w:val="fr-FR"/>
        </w:rPr>
        <w:t>« rendant impossibles les réunions en présentiel »</w:t>
      </w:r>
      <w:r w:rsidRPr="00101AD1">
        <w:rPr>
          <w:rFonts w:ascii="Arial" w:hAnsi="Arial" w:cs="Arial"/>
          <w:bCs/>
          <w:sz w:val="22"/>
          <w:szCs w:val="22"/>
          <w:lang w:val="fr-FR"/>
        </w:rPr>
        <w:t xml:space="preserve"> pour créer un nouvel article 6.4. De cette façon, l</w:t>
      </w:r>
      <w:r w:rsidR="008E532B">
        <w:rPr>
          <w:rFonts w:ascii="Arial" w:hAnsi="Arial" w:cs="Arial"/>
          <w:bCs/>
          <w:sz w:val="22"/>
          <w:szCs w:val="22"/>
          <w:lang w:val="fr-FR"/>
        </w:rPr>
        <w:t>’</w:t>
      </w:r>
      <w:r w:rsidRPr="00101AD1">
        <w:rPr>
          <w:rFonts w:ascii="Arial" w:hAnsi="Arial" w:cs="Arial"/>
          <w:bCs/>
          <w:sz w:val="22"/>
          <w:szCs w:val="22"/>
          <w:lang w:val="fr-FR"/>
        </w:rPr>
        <w:t>article 6.1 indiquerait simplement et clairement que l</w:t>
      </w:r>
      <w:r w:rsidR="008E532B">
        <w:rPr>
          <w:rFonts w:ascii="Arial" w:hAnsi="Arial" w:cs="Arial"/>
          <w:bCs/>
          <w:sz w:val="22"/>
          <w:szCs w:val="22"/>
          <w:lang w:val="fr-FR"/>
        </w:rPr>
        <w:t>’</w:t>
      </w:r>
      <w:r w:rsidRPr="00101AD1">
        <w:rPr>
          <w:rFonts w:ascii="Arial" w:hAnsi="Arial" w:cs="Arial"/>
          <w:bCs/>
          <w:sz w:val="22"/>
          <w:szCs w:val="22"/>
          <w:lang w:val="fr-FR"/>
        </w:rPr>
        <w:t>Assemblée p</w:t>
      </w:r>
      <w:r>
        <w:rPr>
          <w:rFonts w:ascii="Arial" w:hAnsi="Arial" w:cs="Arial"/>
          <w:bCs/>
          <w:sz w:val="22"/>
          <w:szCs w:val="22"/>
          <w:lang w:val="fr-FR"/>
        </w:rPr>
        <w:t xml:space="preserve">eut </w:t>
      </w:r>
      <w:r w:rsidRPr="00101AD1">
        <w:rPr>
          <w:rFonts w:ascii="Arial" w:hAnsi="Arial" w:cs="Arial"/>
          <w:bCs/>
          <w:sz w:val="22"/>
          <w:szCs w:val="22"/>
          <w:lang w:val="fr-FR"/>
        </w:rPr>
        <w:t>tenir une réunion en ligne. Les articles 6.2 et 6.3 concern</w:t>
      </w:r>
      <w:r>
        <w:rPr>
          <w:rFonts w:ascii="Arial" w:hAnsi="Arial" w:cs="Arial"/>
          <w:bCs/>
          <w:sz w:val="22"/>
          <w:szCs w:val="22"/>
          <w:lang w:val="fr-FR"/>
        </w:rPr>
        <w:t>ai</w:t>
      </w:r>
      <w:r w:rsidRPr="00101AD1">
        <w:rPr>
          <w:rFonts w:ascii="Arial" w:hAnsi="Arial" w:cs="Arial"/>
          <w:bCs/>
          <w:sz w:val="22"/>
          <w:szCs w:val="22"/>
          <w:lang w:val="fr-FR"/>
        </w:rPr>
        <w:t>ent la manière dont l</w:t>
      </w:r>
      <w:r w:rsidR="008E532B">
        <w:rPr>
          <w:rFonts w:ascii="Arial" w:hAnsi="Arial" w:cs="Arial"/>
          <w:bCs/>
          <w:sz w:val="22"/>
          <w:szCs w:val="22"/>
          <w:lang w:val="fr-FR"/>
        </w:rPr>
        <w:t>’</w:t>
      </w:r>
      <w:r w:rsidRPr="00101AD1">
        <w:rPr>
          <w:rFonts w:ascii="Arial" w:hAnsi="Arial" w:cs="Arial"/>
          <w:bCs/>
          <w:sz w:val="22"/>
          <w:szCs w:val="22"/>
          <w:lang w:val="fr-FR"/>
        </w:rPr>
        <w:t>Assemblée prend sa décision de se réunir en ligne. L</w:t>
      </w:r>
      <w:r w:rsidR="008E532B">
        <w:rPr>
          <w:rFonts w:ascii="Arial" w:hAnsi="Arial" w:cs="Arial"/>
          <w:bCs/>
          <w:sz w:val="22"/>
          <w:szCs w:val="22"/>
          <w:lang w:val="fr-FR"/>
        </w:rPr>
        <w:t>’</w:t>
      </w:r>
      <w:r w:rsidRPr="00101AD1">
        <w:rPr>
          <w:rFonts w:ascii="Arial" w:hAnsi="Arial" w:cs="Arial"/>
          <w:bCs/>
          <w:sz w:val="22"/>
          <w:szCs w:val="22"/>
          <w:lang w:val="fr-FR"/>
        </w:rPr>
        <w:t>article 6.4 décri</w:t>
      </w:r>
      <w:r>
        <w:rPr>
          <w:rFonts w:ascii="Arial" w:hAnsi="Arial" w:cs="Arial"/>
          <w:bCs/>
          <w:sz w:val="22"/>
          <w:szCs w:val="22"/>
          <w:lang w:val="fr-FR"/>
        </w:rPr>
        <w:t>vai</w:t>
      </w:r>
      <w:r w:rsidRPr="00101AD1">
        <w:rPr>
          <w:rFonts w:ascii="Arial" w:hAnsi="Arial" w:cs="Arial"/>
          <w:bCs/>
          <w:sz w:val="22"/>
          <w:szCs w:val="22"/>
          <w:lang w:val="fr-FR"/>
        </w:rPr>
        <w:t xml:space="preserve">t ce qui se passe lorsque la réunion se tient en ligne. Il </w:t>
      </w:r>
      <w:r>
        <w:rPr>
          <w:rFonts w:ascii="Arial" w:hAnsi="Arial" w:cs="Arial"/>
          <w:bCs/>
          <w:sz w:val="22"/>
          <w:szCs w:val="22"/>
          <w:lang w:val="fr-FR"/>
        </w:rPr>
        <w:t xml:space="preserve">a </w:t>
      </w:r>
      <w:r w:rsidRPr="00101AD1">
        <w:rPr>
          <w:rFonts w:ascii="Arial" w:hAnsi="Arial" w:cs="Arial"/>
          <w:bCs/>
          <w:sz w:val="22"/>
          <w:szCs w:val="22"/>
          <w:lang w:val="fr-FR"/>
        </w:rPr>
        <w:t>propos</w:t>
      </w:r>
      <w:r>
        <w:rPr>
          <w:rFonts w:ascii="Arial" w:hAnsi="Arial" w:cs="Arial"/>
          <w:bCs/>
          <w:sz w:val="22"/>
          <w:szCs w:val="22"/>
          <w:lang w:val="fr-FR"/>
        </w:rPr>
        <w:t>é le texte ainsi rédigé :</w:t>
      </w:r>
      <w:r w:rsidRPr="00101AD1">
        <w:rPr>
          <w:rFonts w:ascii="Arial" w:hAnsi="Arial" w:cs="Arial"/>
          <w:bCs/>
          <w:sz w:val="22"/>
          <w:szCs w:val="22"/>
          <w:lang w:val="fr-FR"/>
        </w:rPr>
        <w:t xml:space="preserve"> </w:t>
      </w:r>
      <w:r>
        <w:rPr>
          <w:rFonts w:ascii="Arial" w:hAnsi="Arial" w:cs="Arial"/>
          <w:bCs/>
          <w:sz w:val="22"/>
          <w:szCs w:val="22"/>
          <w:lang w:val="fr-FR"/>
        </w:rPr>
        <w:t>« </w:t>
      </w:r>
      <w:r w:rsidRPr="00101AD1">
        <w:rPr>
          <w:rFonts w:ascii="Arial" w:hAnsi="Arial" w:cs="Arial"/>
          <w:bCs/>
          <w:sz w:val="22"/>
          <w:szCs w:val="22"/>
          <w:lang w:val="fr-FR"/>
        </w:rPr>
        <w:t xml:space="preserve">Les élections </w:t>
      </w:r>
      <w:r>
        <w:rPr>
          <w:rFonts w:ascii="Arial" w:hAnsi="Arial" w:cs="Arial"/>
          <w:bCs/>
          <w:sz w:val="22"/>
          <w:szCs w:val="22"/>
          <w:lang w:val="fr-FR"/>
        </w:rPr>
        <w:t xml:space="preserve">à bulletins </w:t>
      </w:r>
      <w:r w:rsidRPr="00101AD1">
        <w:rPr>
          <w:rFonts w:ascii="Arial" w:hAnsi="Arial" w:cs="Arial"/>
          <w:bCs/>
          <w:sz w:val="22"/>
          <w:szCs w:val="22"/>
          <w:lang w:val="fr-FR"/>
        </w:rPr>
        <w:t>secret</w:t>
      </w:r>
      <w:r>
        <w:rPr>
          <w:rFonts w:ascii="Arial" w:hAnsi="Arial" w:cs="Arial"/>
          <w:bCs/>
          <w:sz w:val="22"/>
          <w:szCs w:val="22"/>
          <w:lang w:val="fr-FR"/>
        </w:rPr>
        <w:t xml:space="preserve">s </w:t>
      </w:r>
      <w:r w:rsidRPr="00101AD1">
        <w:rPr>
          <w:rFonts w:ascii="Arial" w:hAnsi="Arial" w:cs="Arial"/>
          <w:bCs/>
          <w:sz w:val="22"/>
          <w:szCs w:val="22"/>
          <w:lang w:val="fr-FR"/>
        </w:rPr>
        <w:t xml:space="preserve">organisées conformément au présent </w:t>
      </w:r>
      <w:r>
        <w:rPr>
          <w:rFonts w:ascii="Arial" w:hAnsi="Arial" w:cs="Arial"/>
          <w:bCs/>
          <w:sz w:val="22"/>
          <w:szCs w:val="22"/>
          <w:lang w:val="fr-FR"/>
        </w:rPr>
        <w:t>R</w:t>
      </w:r>
      <w:r w:rsidRPr="00101AD1">
        <w:rPr>
          <w:rFonts w:ascii="Arial" w:hAnsi="Arial" w:cs="Arial"/>
          <w:bCs/>
          <w:sz w:val="22"/>
          <w:szCs w:val="22"/>
          <w:lang w:val="fr-FR"/>
        </w:rPr>
        <w:t>èglement au cours d</w:t>
      </w:r>
      <w:r w:rsidR="008E532B">
        <w:rPr>
          <w:rFonts w:ascii="Arial" w:hAnsi="Arial" w:cs="Arial"/>
          <w:bCs/>
          <w:sz w:val="22"/>
          <w:szCs w:val="22"/>
          <w:lang w:val="fr-FR"/>
        </w:rPr>
        <w:t>’</w:t>
      </w:r>
      <w:r w:rsidRPr="00101AD1">
        <w:rPr>
          <w:rFonts w:ascii="Arial" w:hAnsi="Arial" w:cs="Arial"/>
          <w:bCs/>
          <w:sz w:val="22"/>
          <w:szCs w:val="22"/>
          <w:lang w:val="fr-FR"/>
        </w:rPr>
        <w:t xml:space="preserve">une session en ligne </w:t>
      </w:r>
      <w:r>
        <w:rPr>
          <w:rFonts w:ascii="Arial" w:hAnsi="Arial" w:cs="Arial"/>
          <w:bCs/>
          <w:sz w:val="22"/>
          <w:szCs w:val="22"/>
          <w:lang w:val="fr-FR"/>
        </w:rPr>
        <w:t xml:space="preserve">doivent se dérouler </w:t>
      </w:r>
      <w:r w:rsidRPr="0062233E">
        <w:rPr>
          <w:rFonts w:ascii="Arial" w:hAnsi="Arial" w:cs="Arial"/>
          <w:bCs/>
          <w:i/>
          <w:iCs/>
          <w:sz w:val="22"/>
          <w:szCs w:val="22"/>
          <w:lang w:val="fr-FR"/>
        </w:rPr>
        <w:t xml:space="preserve">in </w:t>
      </w:r>
      <w:proofErr w:type="spellStart"/>
      <w:r w:rsidRPr="0062233E">
        <w:rPr>
          <w:rFonts w:ascii="Arial" w:hAnsi="Arial" w:cs="Arial"/>
          <w:bCs/>
          <w:i/>
          <w:iCs/>
          <w:sz w:val="22"/>
          <w:szCs w:val="22"/>
          <w:lang w:val="fr-FR"/>
        </w:rPr>
        <w:t>præsentia</w:t>
      </w:r>
      <w:proofErr w:type="spellEnd"/>
      <w:r>
        <w:rPr>
          <w:rFonts w:ascii="Arial" w:hAnsi="Arial" w:cs="Arial"/>
          <w:bCs/>
          <w:sz w:val="22"/>
          <w:szCs w:val="22"/>
          <w:lang w:val="fr-FR"/>
        </w:rPr>
        <w:t>. »</w:t>
      </w:r>
      <w:r w:rsidRPr="00101AD1">
        <w:rPr>
          <w:rFonts w:ascii="Arial" w:hAnsi="Arial" w:cs="Arial"/>
          <w:bCs/>
          <w:sz w:val="22"/>
          <w:szCs w:val="22"/>
          <w:lang w:val="fr-FR"/>
        </w:rPr>
        <w:t xml:space="preserve"> Le </w:t>
      </w:r>
      <w:r>
        <w:rPr>
          <w:rFonts w:ascii="Arial" w:hAnsi="Arial" w:cs="Arial"/>
          <w:bCs/>
          <w:sz w:val="22"/>
          <w:szCs w:val="22"/>
          <w:lang w:val="fr-FR"/>
        </w:rPr>
        <w:t>C</w:t>
      </w:r>
      <w:r w:rsidRPr="00101AD1">
        <w:rPr>
          <w:rFonts w:ascii="Arial" w:hAnsi="Arial" w:cs="Arial"/>
          <w:bCs/>
          <w:sz w:val="22"/>
          <w:szCs w:val="22"/>
          <w:lang w:val="fr-FR"/>
        </w:rPr>
        <w:t xml:space="preserve">onseiller juridique </w:t>
      </w:r>
      <w:r>
        <w:rPr>
          <w:rFonts w:ascii="Arial" w:hAnsi="Arial" w:cs="Arial"/>
          <w:bCs/>
          <w:sz w:val="22"/>
          <w:szCs w:val="22"/>
          <w:lang w:val="fr-FR"/>
        </w:rPr>
        <w:t>pensait</w:t>
      </w:r>
      <w:r w:rsidRPr="00101AD1">
        <w:rPr>
          <w:rFonts w:ascii="Arial" w:hAnsi="Arial" w:cs="Arial"/>
          <w:bCs/>
          <w:sz w:val="22"/>
          <w:szCs w:val="22"/>
          <w:lang w:val="fr-FR"/>
        </w:rPr>
        <w:t xml:space="preserve"> que ce premier élément </w:t>
      </w:r>
      <w:r>
        <w:rPr>
          <w:rFonts w:ascii="Arial" w:hAnsi="Arial" w:cs="Arial"/>
          <w:bCs/>
          <w:sz w:val="22"/>
          <w:szCs w:val="22"/>
          <w:lang w:val="fr-FR"/>
        </w:rPr>
        <w:t xml:space="preserve">avait été </w:t>
      </w:r>
      <w:r w:rsidRPr="00101AD1">
        <w:rPr>
          <w:rFonts w:ascii="Arial" w:hAnsi="Arial" w:cs="Arial"/>
          <w:bCs/>
          <w:sz w:val="22"/>
          <w:szCs w:val="22"/>
          <w:lang w:val="fr-FR"/>
        </w:rPr>
        <w:t>largement accepté par tous. La deuxième phrase de l</w:t>
      </w:r>
      <w:r w:rsidR="008E532B">
        <w:rPr>
          <w:rFonts w:ascii="Arial" w:hAnsi="Arial" w:cs="Arial"/>
          <w:bCs/>
          <w:sz w:val="22"/>
          <w:szCs w:val="22"/>
          <w:lang w:val="fr-FR"/>
        </w:rPr>
        <w:t>’</w:t>
      </w:r>
      <w:r w:rsidRPr="00101AD1">
        <w:rPr>
          <w:rFonts w:ascii="Arial" w:hAnsi="Arial" w:cs="Arial"/>
          <w:bCs/>
          <w:sz w:val="22"/>
          <w:szCs w:val="22"/>
          <w:lang w:val="fr-FR"/>
        </w:rPr>
        <w:t>article 6.4 répond</w:t>
      </w:r>
      <w:r>
        <w:rPr>
          <w:rFonts w:ascii="Arial" w:hAnsi="Arial" w:cs="Arial"/>
          <w:bCs/>
          <w:sz w:val="22"/>
          <w:szCs w:val="22"/>
          <w:lang w:val="fr-FR"/>
        </w:rPr>
        <w:t>ait</w:t>
      </w:r>
      <w:r w:rsidRPr="00101AD1">
        <w:rPr>
          <w:rFonts w:ascii="Arial" w:hAnsi="Arial" w:cs="Arial"/>
          <w:bCs/>
          <w:sz w:val="22"/>
          <w:szCs w:val="22"/>
          <w:lang w:val="fr-FR"/>
        </w:rPr>
        <w:t xml:space="preserve"> à la proposition de la T</w:t>
      </w:r>
      <w:r>
        <w:rPr>
          <w:rFonts w:ascii="Arial" w:hAnsi="Arial" w:cs="Arial"/>
          <w:bCs/>
          <w:sz w:val="22"/>
          <w:szCs w:val="22"/>
          <w:lang w:val="fr-FR"/>
        </w:rPr>
        <w:t>ürkiye</w:t>
      </w:r>
      <w:r w:rsidRPr="00101AD1">
        <w:rPr>
          <w:rFonts w:ascii="Arial" w:hAnsi="Arial" w:cs="Arial"/>
          <w:bCs/>
          <w:sz w:val="22"/>
          <w:szCs w:val="22"/>
          <w:lang w:val="fr-FR"/>
        </w:rPr>
        <w:t xml:space="preserve"> et de la Palestine et </w:t>
      </w:r>
      <w:r>
        <w:rPr>
          <w:rFonts w:ascii="Arial" w:hAnsi="Arial" w:cs="Arial"/>
          <w:bCs/>
          <w:sz w:val="22"/>
          <w:szCs w:val="22"/>
          <w:lang w:val="fr-FR"/>
        </w:rPr>
        <w:t>était ainsi rédigée :</w:t>
      </w:r>
      <w:r w:rsidRPr="00101AD1">
        <w:rPr>
          <w:rFonts w:ascii="Arial" w:hAnsi="Arial" w:cs="Arial"/>
          <w:bCs/>
          <w:sz w:val="22"/>
          <w:szCs w:val="22"/>
          <w:lang w:val="fr-FR"/>
        </w:rPr>
        <w:t xml:space="preserve"> </w:t>
      </w:r>
      <w:r>
        <w:rPr>
          <w:rFonts w:ascii="Arial" w:hAnsi="Arial" w:cs="Arial"/>
          <w:bCs/>
          <w:sz w:val="22"/>
          <w:szCs w:val="22"/>
          <w:lang w:val="fr-FR"/>
        </w:rPr>
        <w:t>« </w:t>
      </w:r>
      <w:r w:rsidRPr="00101AD1">
        <w:rPr>
          <w:rFonts w:ascii="Arial" w:hAnsi="Arial" w:cs="Arial"/>
          <w:bCs/>
          <w:sz w:val="22"/>
          <w:szCs w:val="22"/>
          <w:lang w:val="fr-FR"/>
        </w:rPr>
        <w:t xml:space="preserve">Le Secrétariat </w:t>
      </w:r>
      <w:r>
        <w:rPr>
          <w:rFonts w:ascii="Arial" w:hAnsi="Arial" w:cs="Arial"/>
          <w:bCs/>
          <w:sz w:val="22"/>
          <w:szCs w:val="22"/>
          <w:lang w:val="fr-FR"/>
        </w:rPr>
        <w:t xml:space="preserve">devra </w:t>
      </w:r>
      <w:r w:rsidRPr="00101AD1">
        <w:rPr>
          <w:rFonts w:ascii="Arial" w:hAnsi="Arial" w:cs="Arial"/>
          <w:bCs/>
          <w:sz w:val="22"/>
          <w:szCs w:val="22"/>
          <w:lang w:val="fr-FR"/>
        </w:rPr>
        <w:t>prend</w:t>
      </w:r>
      <w:r>
        <w:rPr>
          <w:rFonts w:ascii="Arial" w:hAnsi="Arial" w:cs="Arial"/>
          <w:bCs/>
          <w:sz w:val="22"/>
          <w:szCs w:val="22"/>
          <w:lang w:val="fr-FR"/>
        </w:rPr>
        <w:t>re</w:t>
      </w:r>
      <w:r w:rsidRPr="00101AD1">
        <w:rPr>
          <w:rFonts w:ascii="Arial" w:hAnsi="Arial" w:cs="Arial"/>
          <w:bCs/>
          <w:sz w:val="22"/>
          <w:szCs w:val="22"/>
          <w:lang w:val="fr-FR"/>
        </w:rPr>
        <w:t xml:space="preserve"> les </w:t>
      </w:r>
      <w:r>
        <w:rPr>
          <w:rFonts w:ascii="Arial" w:hAnsi="Arial" w:cs="Arial"/>
          <w:bCs/>
          <w:sz w:val="22"/>
          <w:szCs w:val="22"/>
          <w:lang w:val="fr-FR"/>
        </w:rPr>
        <w:t xml:space="preserve">mesures </w:t>
      </w:r>
      <w:r w:rsidRPr="00101AD1">
        <w:rPr>
          <w:rFonts w:ascii="Arial" w:hAnsi="Arial" w:cs="Arial"/>
          <w:bCs/>
          <w:sz w:val="22"/>
          <w:szCs w:val="22"/>
          <w:lang w:val="fr-FR"/>
        </w:rPr>
        <w:t xml:space="preserve">nécessaires à cet effet, y compris </w:t>
      </w:r>
      <w:r>
        <w:rPr>
          <w:rFonts w:ascii="Arial" w:hAnsi="Arial" w:cs="Arial"/>
          <w:bCs/>
          <w:sz w:val="22"/>
          <w:szCs w:val="22"/>
          <w:lang w:val="fr-FR"/>
        </w:rPr>
        <w:t xml:space="preserve">pour </w:t>
      </w:r>
      <w:r w:rsidRPr="00101AD1">
        <w:rPr>
          <w:rFonts w:ascii="Arial" w:hAnsi="Arial" w:cs="Arial"/>
          <w:bCs/>
          <w:sz w:val="22"/>
          <w:szCs w:val="22"/>
          <w:lang w:val="fr-FR"/>
        </w:rPr>
        <w:t>le lieu et l</w:t>
      </w:r>
      <w:r w:rsidR="008E532B">
        <w:rPr>
          <w:rFonts w:ascii="Arial" w:hAnsi="Arial" w:cs="Arial"/>
          <w:bCs/>
          <w:sz w:val="22"/>
          <w:szCs w:val="22"/>
          <w:lang w:val="fr-FR"/>
        </w:rPr>
        <w:t>’</w:t>
      </w:r>
      <w:r>
        <w:rPr>
          <w:rFonts w:ascii="Arial" w:hAnsi="Arial" w:cs="Arial"/>
          <w:bCs/>
          <w:sz w:val="22"/>
          <w:szCs w:val="22"/>
          <w:lang w:val="fr-FR"/>
        </w:rPr>
        <w:t>horaire</w:t>
      </w:r>
      <w:r w:rsidRPr="00101AD1">
        <w:rPr>
          <w:rFonts w:ascii="Arial" w:hAnsi="Arial" w:cs="Arial"/>
          <w:bCs/>
          <w:sz w:val="22"/>
          <w:szCs w:val="22"/>
          <w:lang w:val="fr-FR"/>
        </w:rPr>
        <w:t xml:space="preserve"> de l</w:t>
      </w:r>
      <w:r w:rsidR="008E532B">
        <w:rPr>
          <w:rFonts w:ascii="Arial" w:hAnsi="Arial" w:cs="Arial"/>
          <w:bCs/>
          <w:sz w:val="22"/>
          <w:szCs w:val="22"/>
          <w:lang w:val="fr-FR"/>
        </w:rPr>
        <w:t>’</w:t>
      </w:r>
      <w:r w:rsidRPr="00101AD1">
        <w:rPr>
          <w:rFonts w:ascii="Arial" w:hAnsi="Arial" w:cs="Arial"/>
          <w:bCs/>
          <w:sz w:val="22"/>
          <w:szCs w:val="22"/>
          <w:lang w:val="fr-FR"/>
        </w:rPr>
        <w:t>élection,</w:t>
      </w:r>
      <w:r>
        <w:rPr>
          <w:rFonts w:ascii="Arial" w:hAnsi="Arial" w:cs="Arial"/>
          <w:bCs/>
          <w:sz w:val="22"/>
          <w:szCs w:val="22"/>
          <w:lang w:val="fr-FR"/>
        </w:rPr>
        <w:t xml:space="preserve"> afin d</w:t>
      </w:r>
      <w:r w:rsidR="008E532B">
        <w:rPr>
          <w:rFonts w:ascii="Arial" w:hAnsi="Arial" w:cs="Arial"/>
          <w:bCs/>
          <w:sz w:val="22"/>
          <w:szCs w:val="22"/>
          <w:lang w:val="fr-FR"/>
        </w:rPr>
        <w:t>’</w:t>
      </w:r>
      <w:r>
        <w:rPr>
          <w:rFonts w:ascii="Arial" w:hAnsi="Arial" w:cs="Arial"/>
          <w:bCs/>
          <w:sz w:val="22"/>
          <w:szCs w:val="22"/>
          <w:lang w:val="fr-FR"/>
        </w:rPr>
        <w:t>informer les</w:t>
      </w:r>
      <w:r w:rsidRPr="00101AD1">
        <w:rPr>
          <w:rFonts w:ascii="Arial" w:hAnsi="Arial" w:cs="Arial"/>
          <w:bCs/>
          <w:sz w:val="22"/>
          <w:szCs w:val="22"/>
          <w:lang w:val="fr-FR"/>
        </w:rPr>
        <w:t xml:space="preserve"> États parties </w:t>
      </w:r>
      <w:r>
        <w:rPr>
          <w:rFonts w:ascii="Arial" w:hAnsi="Arial" w:cs="Arial"/>
          <w:bCs/>
          <w:sz w:val="22"/>
          <w:szCs w:val="22"/>
          <w:lang w:val="fr-FR"/>
        </w:rPr>
        <w:t xml:space="preserve">en avance du </w:t>
      </w:r>
      <w:r w:rsidRPr="00101AD1">
        <w:rPr>
          <w:rFonts w:ascii="Arial" w:hAnsi="Arial" w:cs="Arial"/>
          <w:bCs/>
          <w:sz w:val="22"/>
          <w:szCs w:val="22"/>
          <w:lang w:val="fr-FR"/>
        </w:rPr>
        <w:t>scrutin</w:t>
      </w:r>
      <w:r>
        <w:rPr>
          <w:rFonts w:ascii="Arial" w:hAnsi="Arial" w:cs="Arial"/>
          <w:bCs/>
          <w:sz w:val="22"/>
          <w:szCs w:val="22"/>
          <w:lang w:val="fr-FR"/>
        </w:rPr>
        <w:t>. »</w:t>
      </w:r>
      <w:r w:rsidRPr="00101AD1">
        <w:rPr>
          <w:rFonts w:ascii="Arial" w:hAnsi="Arial" w:cs="Arial"/>
          <w:bCs/>
          <w:sz w:val="22"/>
          <w:szCs w:val="22"/>
          <w:lang w:val="fr-FR"/>
        </w:rPr>
        <w:t xml:space="preserve"> Une troisième phrase se</w:t>
      </w:r>
      <w:r>
        <w:rPr>
          <w:rFonts w:ascii="Arial" w:hAnsi="Arial" w:cs="Arial"/>
          <w:bCs/>
          <w:sz w:val="22"/>
          <w:szCs w:val="22"/>
          <w:lang w:val="fr-FR"/>
        </w:rPr>
        <w:t>rait ainsi rédigée : « </w:t>
      </w:r>
      <w:r w:rsidRPr="00101AD1">
        <w:rPr>
          <w:rFonts w:ascii="Arial" w:hAnsi="Arial" w:cs="Arial"/>
          <w:bCs/>
          <w:sz w:val="22"/>
          <w:szCs w:val="22"/>
          <w:lang w:val="fr-FR"/>
        </w:rPr>
        <w:t xml:space="preserve">Les autres </w:t>
      </w:r>
      <w:r>
        <w:rPr>
          <w:rFonts w:ascii="Arial" w:hAnsi="Arial" w:cs="Arial"/>
          <w:bCs/>
          <w:sz w:val="22"/>
          <w:szCs w:val="22"/>
          <w:lang w:val="fr-FR"/>
        </w:rPr>
        <w:t xml:space="preserve">votes </w:t>
      </w:r>
      <w:r w:rsidRPr="00101AD1">
        <w:rPr>
          <w:rFonts w:ascii="Arial" w:hAnsi="Arial" w:cs="Arial"/>
          <w:bCs/>
          <w:sz w:val="22"/>
          <w:szCs w:val="22"/>
          <w:lang w:val="fr-FR"/>
        </w:rPr>
        <w:t xml:space="preserve">organisés conformément au présent Règlement </w:t>
      </w:r>
      <w:r>
        <w:rPr>
          <w:rFonts w:ascii="Arial" w:hAnsi="Arial" w:cs="Arial"/>
          <w:bCs/>
          <w:sz w:val="22"/>
          <w:szCs w:val="22"/>
          <w:lang w:val="fr-FR"/>
        </w:rPr>
        <w:t xml:space="preserve">devraient </w:t>
      </w:r>
      <w:r w:rsidRPr="00101AD1">
        <w:rPr>
          <w:rFonts w:ascii="Arial" w:hAnsi="Arial" w:cs="Arial"/>
          <w:bCs/>
          <w:sz w:val="22"/>
          <w:szCs w:val="22"/>
          <w:lang w:val="fr-FR"/>
        </w:rPr>
        <w:t xml:space="preserve">de préférence </w:t>
      </w:r>
      <w:r>
        <w:rPr>
          <w:rFonts w:ascii="Arial" w:hAnsi="Arial" w:cs="Arial"/>
          <w:bCs/>
          <w:sz w:val="22"/>
          <w:szCs w:val="22"/>
          <w:lang w:val="fr-FR"/>
        </w:rPr>
        <w:t xml:space="preserve">se tenir </w:t>
      </w:r>
      <w:r w:rsidRPr="0062233E">
        <w:rPr>
          <w:rFonts w:ascii="Arial" w:hAnsi="Arial" w:cs="Arial"/>
          <w:bCs/>
          <w:i/>
          <w:iCs/>
          <w:sz w:val="22"/>
          <w:szCs w:val="22"/>
          <w:lang w:val="fr-FR"/>
        </w:rPr>
        <w:t xml:space="preserve">in </w:t>
      </w:r>
      <w:proofErr w:type="spellStart"/>
      <w:r w:rsidRPr="0062233E">
        <w:rPr>
          <w:rFonts w:ascii="Arial" w:hAnsi="Arial" w:cs="Arial"/>
          <w:bCs/>
          <w:i/>
          <w:iCs/>
          <w:sz w:val="22"/>
          <w:szCs w:val="22"/>
          <w:lang w:val="fr-FR"/>
        </w:rPr>
        <w:t>præsentia</w:t>
      </w:r>
      <w:proofErr w:type="spellEnd"/>
      <w:r>
        <w:rPr>
          <w:rFonts w:ascii="Arial" w:hAnsi="Arial" w:cs="Arial"/>
          <w:bCs/>
          <w:sz w:val="22"/>
          <w:szCs w:val="22"/>
          <w:lang w:val="fr-FR"/>
        </w:rPr>
        <w:t>. »</w:t>
      </w:r>
      <w:r w:rsidRPr="00101AD1">
        <w:rPr>
          <w:rFonts w:ascii="Arial" w:hAnsi="Arial" w:cs="Arial"/>
          <w:bCs/>
          <w:sz w:val="22"/>
          <w:szCs w:val="22"/>
          <w:lang w:val="fr-FR"/>
        </w:rPr>
        <w:t xml:space="preserve"> Il s</w:t>
      </w:r>
      <w:r w:rsidR="008E532B">
        <w:rPr>
          <w:rFonts w:ascii="Arial" w:hAnsi="Arial" w:cs="Arial"/>
          <w:bCs/>
          <w:sz w:val="22"/>
          <w:szCs w:val="22"/>
          <w:lang w:val="fr-FR"/>
        </w:rPr>
        <w:t>’</w:t>
      </w:r>
      <w:r w:rsidRPr="00101AD1">
        <w:rPr>
          <w:rFonts w:ascii="Arial" w:hAnsi="Arial" w:cs="Arial"/>
          <w:bCs/>
          <w:sz w:val="22"/>
          <w:szCs w:val="22"/>
          <w:lang w:val="fr-FR"/>
        </w:rPr>
        <w:t>agi</w:t>
      </w:r>
      <w:r>
        <w:rPr>
          <w:rFonts w:ascii="Arial" w:hAnsi="Arial" w:cs="Arial"/>
          <w:bCs/>
          <w:sz w:val="22"/>
          <w:szCs w:val="22"/>
          <w:lang w:val="fr-FR"/>
        </w:rPr>
        <w:t>ssait</w:t>
      </w:r>
      <w:r w:rsidRPr="00101AD1">
        <w:rPr>
          <w:rFonts w:ascii="Arial" w:hAnsi="Arial" w:cs="Arial"/>
          <w:bCs/>
          <w:sz w:val="22"/>
          <w:szCs w:val="22"/>
          <w:lang w:val="fr-FR"/>
        </w:rPr>
        <w:t xml:space="preserve"> de la dernière proposition de la Palestine. La première phrase stipul</w:t>
      </w:r>
      <w:r>
        <w:rPr>
          <w:rFonts w:ascii="Arial" w:hAnsi="Arial" w:cs="Arial"/>
          <w:bCs/>
          <w:sz w:val="22"/>
          <w:szCs w:val="22"/>
          <w:lang w:val="fr-FR"/>
        </w:rPr>
        <w:t xml:space="preserve">ait </w:t>
      </w:r>
      <w:r w:rsidRPr="00101AD1">
        <w:rPr>
          <w:rFonts w:ascii="Arial" w:hAnsi="Arial" w:cs="Arial"/>
          <w:bCs/>
          <w:sz w:val="22"/>
          <w:szCs w:val="22"/>
          <w:lang w:val="fr-FR"/>
        </w:rPr>
        <w:t xml:space="preserve">que les élections </w:t>
      </w:r>
      <w:r>
        <w:rPr>
          <w:rFonts w:ascii="Arial" w:hAnsi="Arial" w:cs="Arial"/>
          <w:bCs/>
          <w:sz w:val="22"/>
          <w:szCs w:val="22"/>
          <w:lang w:val="fr-FR"/>
        </w:rPr>
        <w:t xml:space="preserve">à bulletins </w:t>
      </w:r>
      <w:r w:rsidRPr="00101AD1">
        <w:rPr>
          <w:rFonts w:ascii="Arial" w:hAnsi="Arial" w:cs="Arial"/>
          <w:bCs/>
          <w:sz w:val="22"/>
          <w:szCs w:val="22"/>
          <w:lang w:val="fr-FR"/>
        </w:rPr>
        <w:t>secret</w:t>
      </w:r>
      <w:r>
        <w:rPr>
          <w:rFonts w:ascii="Arial" w:hAnsi="Arial" w:cs="Arial"/>
          <w:bCs/>
          <w:sz w:val="22"/>
          <w:szCs w:val="22"/>
          <w:lang w:val="fr-FR"/>
        </w:rPr>
        <w:t>s</w:t>
      </w:r>
      <w:r w:rsidRPr="00101AD1">
        <w:rPr>
          <w:rFonts w:ascii="Arial" w:hAnsi="Arial" w:cs="Arial"/>
          <w:bCs/>
          <w:sz w:val="22"/>
          <w:szCs w:val="22"/>
          <w:lang w:val="fr-FR"/>
        </w:rPr>
        <w:t xml:space="preserve">, seul cas de </w:t>
      </w:r>
      <w:r>
        <w:rPr>
          <w:rFonts w:ascii="Arial" w:hAnsi="Arial" w:cs="Arial"/>
          <w:bCs/>
          <w:sz w:val="22"/>
          <w:szCs w:val="22"/>
          <w:lang w:val="fr-FR"/>
        </w:rPr>
        <w:t>bulletins secrets</w:t>
      </w:r>
      <w:r w:rsidRPr="00101AD1">
        <w:rPr>
          <w:rFonts w:ascii="Arial" w:hAnsi="Arial" w:cs="Arial"/>
          <w:bCs/>
          <w:sz w:val="22"/>
          <w:szCs w:val="22"/>
          <w:lang w:val="fr-FR"/>
        </w:rPr>
        <w:t xml:space="preserve"> </w:t>
      </w:r>
      <w:r>
        <w:rPr>
          <w:rFonts w:ascii="Arial" w:hAnsi="Arial" w:cs="Arial"/>
          <w:bCs/>
          <w:sz w:val="22"/>
          <w:szCs w:val="22"/>
          <w:lang w:val="fr-FR"/>
        </w:rPr>
        <w:t xml:space="preserve">prévu </w:t>
      </w:r>
      <w:r w:rsidRPr="00101AD1">
        <w:rPr>
          <w:rFonts w:ascii="Arial" w:hAnsi="Arial" w:cs="Arial"/>
          <w:bCs/>
          <w:sz w:val="22"/>
          <w:szCs w:val="22"/>
          <w:lang w:val="fr-FR"/>
        </w:rPr>
        <w:t>dans cette Convention, d</w:t>
      </w:r>
      <w:r>
        <w:rPr>
          <w:rFonts w:ascii="Arial" w:hAnsi="Arial" w:cs="Arial"/>
          <w:bCs/>
          <w:sz w:val="22"/>
          <w:szCs w:val="22"/>
          <w:lang w:val="fr-FR"/>
        </w:rPr>
        <w:t>oivent</w:t>
      </w:r>
      <w:r w:rsidRPr="00101AD1">
        <w:rPr>
          <w:rFonts w:ascii="Arial" w:hAnsi="Arial" w:cs="Arial"/>
          <w:bCs/>
          <w:sz w:val="22"/>
          <w:szCs w:val="22"/>
          <w:lang w:val="fr-FR"/>
        </w:rPr>
        <w:t xml:space="preserve"> se dérouler </w:t>
      </w:r>
      <w:r w:rsidRPr="0062233E">
        <w:rPr>
          <w:rFonts w:ascii="Arial" w:hAnsi="Arial" w:cs="Arial"/>
          <w:bCs/>
          <w:i/>
          <w:iCs/>
          <w:sz w:val="22"/>
          <w:szCs w:val="22"/>
          <w:lang w:val="fr-FR"/>
        </w:rPr>
        <w:t xml:space="preserve">in </w:t>
      </w:r>
      <w:proofErr w:type="spellStart"/>
      <w:r w:rsidRPr="0062233E">
        <w:rPr>
          <w:rFonts w:ascii="Arial" w:hAnsi="Arial" w:cs="Arial"/>
          <w:bCs/>
          <w:i/>
          <w:iCs/>
          <w:sz w:val="22"/>
          <w:szCs w:val="22"/>
          <w:lang w:val="fr-FR"/>
        </w:rPr>
        <w:t>præsentia</w:t>
      </w:r>
      <w:proofErr w:type="spellEnd"/>
      <w:r w:rsidRPr="00101AD1">
        <w:rPr>
          <w:rFonts w:ascii="Arial" w:hAnsi="Arial" w:cs="Arial"/>
          <w:bCs/>
          <w:sz w:val="22"/>
          <w:szCs w:val="22"/>
          <w:lang w:val="fr-FR"/>
        </w:rPr>
        <w:t xml:space="preserve">. Ceci </w:t>
      </w:r>
      <w:r>
        <w:rPr>
          <w:rFonts w:ascii="Arial" w:hAnsi="Arial" w:cs="Arial"/>
          <w:bCs/>
          <w:sz w:val="22"/>
          <w:szCs w:val="22"/>
          <w:lang w:val="fr-FR"/>
        </w:rPr>
        <w:t xml:space="preserve">était </w:t>
      </w:r>
      <w:r w:rsidRPr="00101AD1">
        <w:rPr>
          <w:rFonts w:ascii="Arial" w:hAnsi="Arial" w:cs="Arial"/>
          <w:bCs/>
          <w:sz w:val="22"/>
          <w:szCs w:val="22"/>
          <w:lang w:val="fr-FR"/>
        </w:rPr>
        <w:t>conforme à la pratique suivie par la Conférence générale et le Conseil exécutif. La deuxième phrase indiqu</w:t>
      </w:r>
      <w:r>
        <w:rPr>
          <w:rFonts w:ascii="Arial" w:hAnsi="Arial" w:cs="Arial"/>
          <w:bCs/>
          <w:sz w:val="22"/>
          <w:szCs w:val="22"/>
          <w:lang w:val="fr-FR"/>
        </w:rPr>
        <w:t>ait</w:t>
      </w:r>
      <w:r w:rsidRPr="00101AD1">
        <w:rPr>
          <w:rFonts w:ascii="Arial" w:hAnsi="Arial" w:cs="Arial"/>
          <w:bCs/>
          <w:sz w:val="22"/>
          <w:szCs w:val="22"/>
          <w:lang w:val="fr-FR"/>
        </w:rPr>
        <w:t xml:space="preserve"> que le Secrétariat prend les </w:t>
      </w:r>
      <w:r>
        <w:rPr>
          <w:rFonts w:ascii="Arial" w:hAnsi="Arial" w:cs="Arial"/>
          <w:bCs/>
          <w:sz w:val="22"/>
          <w:szCs w:val="22"/>
          <w:lang w:val="fr-FR"/>
        </w:rPr>
        <w:t xml:space="preserve">mesures </w:t>
      </w:r>
      <w:r w:rsidRPr="00101AD1">
        <w:rPr>
          <w:rFonts w:ascii="Arial" w:hAnsi="Arial" w:cs="Arial"/>
          <w:bCs/>
          <w:sz w:val="22"/>
          <w:szCs w:val="22"/>
          <w:lang w:val="fr-FR"/>
        </w:rPr>
        <w:t xml:space="preserve">nécessaires et </w:t>
      </w:r>
      <w:r>
        <w:rPr>
          <w:rFonts w:ascii="Arial" w:hAnsi="Arial" w:cs="Arial"/>
          <w:bCs/>
          <w:sz w:val="22"/>
          <w:szCs w:val="22"/>
          <w:lang w:val="fr-FR"/>
        </w:rPr>
        <w:t>communique</w:t>
      </w:r>
      <w:r w:rsidRPr="00101AD1">
        <w:rPr>
          <w:rFonts w:ascii="Arial" w:hAnsi="Arial" w:cs="Arial"/>
          <w:bCs/>
          <w:sz w:val="22"/>
          <w:szCs w:val="22"/>
          <w:lang w:val="fr-FR"/>
        </w:rPr>
        <w:t xml:space="preserve"> les informations aux délégations à l</w:t>
      </w:r>
      <w:r w:rsidR="008E532B">
        <w:rPr>
          <w:rFonts w:ascii="Arial" w:hAnsi="Arial" w:cs="Arial"/>
          <w:bCs/>
          <w:sz w:val="22"/>
          <w:szCs w:val="22"/>
          <w:lang w:val="fr-FR"/>
        </w:rPr>
        <w:t>’</w:t>
      </w:r>
      <w:r w:rsidRPr="00101AD1">
        <w:rPr>
          <w:rFonts w:ascii="Arial" w:hAnsi="Arial" w:cs="Arial"/>
          <w:bCs/>
          <w:sz w:val="22"/>
          <w:szCs w:val="22"/>
          <w:lang w:val="fr-FR"/>
        </w:rPr>
        <w:t>avance, et la troisième phrase prévo</w:t>
      </w:r>
      <w:r>
        <w:rPr>
          <w:rFonts w:ascii="Arial" w:hAnsi="Arial" w:cs="Arial"/>
          <w:bCs/>
          <w:sz w:val="22"/>
          <w:szCs w:val="22"/>
          <w:lang w:val="fr-FR"/>
        </w:rPr>
        <w:t xml:space="preserve">yait </w:t>
      </w:r>
      <w:r w:rsidRPr="00101AD1">
        <w:rPr>
          <w:rFonts w:ascii="Arial" w:hAnsi="Arial" w:cs="Arial"/>
          <w:bCs/>
          <w:sz w:val="22"/>
          <w:szCs w:val="22"/>
          <w:lang w:val="fr-FR"/>
        </w:rPr>
        <w:t xml:space="preserve">la notion de </w:t>
      </w:r>
      <w:r>
        <w:rPr>
          <w:rFonts w:ascii="Arial" w:hAnsi="Arial" w:cs="Arial"/>
          <w:bCs/>
          <w:sz w:val="22"/>
          <w:szCs w:val="22"/>
          <w:lang w:val="fr-FR"/>
        </w:rPr>
        <w:t>« </w:t>
      </w:r>
      <w:r w:rsidRPr="00101AD1">
        <w:rPr>
          <w:rFonts w:ascii="Arial" w:hAnsi="Arial" w:cs="Arial"/>
          <w:bCs/>
          <w:sz w:val="22"/>
          <w:szCs w:val="22"/>
          <w:lang w:val="fr-FR"/>
        </w:rPr>
        <w:t>préférence</w:t>
      </w:r>
      <w:r>
        <w:rPr>
          <w:rFonts w:ascii="Arial" w:hAnsi="Arial" w:cs="Arial"/>
          <w:bCs/>
          <w:sz w:val="22"/>
          <w:szCs w:val="22"/>
          <w:lang w:val="fr-FR"/>
        </w:rPr>
        <w:t> » en faveur d</w:t>
      </w:r>
      <w:r w:rsidR="008E532B">
        <w:rPr>
          <w:rFonts w:ascii="Arial" w:hAnsi="Arial" w:cs="Arial"/>
          <w:bCs/>
          <w:sz w:val="22"/>
          <w:szCs w:val="22"/>
          <w:lang w:val="fr-FR"/>
        </w:rPr>
        <w:t>’</w:t>
      </w:r>
      <w:r>
        <w:rPr>
          <w:rFonts w:ascii="Arial" w:hAnsi="Arial" w:cs="Arial"/>
          <w:bCs/>
          <w:sz w:val="22"/>
          <w:szCs w:val="22"/>
          <w:lang w:val="fr-FR"/>
        </w:rPr>
        <w:t>un déroulement des autres votes</w:t>
      </w:r>
      <w:r w:rsidRPr="00101AD1">
        <w:rPr>
          <w:rFonts w:ascii="Arial" w:hAnsi="Arial" w:cs="Arial"/>
          <w:bCs/>
          <w:sz w:val="22"/>
          <w:szCs w:val="22"/>
          <w:lang w:val="fr-FR"/>
        </w:rPr>
        <w:t xml:space="preserve"> </w:t>
      </w:r>
      <w:r w:rsidRPr="0032754E">
        <w:rPr>
          <w:rFonts w:ascii="Arial" w:hAnsi="Arial" w:cs="Arial"/>
          <w:bCs/>
          <w:i/>
          <w:iCs/>
          <w:sz w:val="22"/>
          <w:szCs w:val="22"/>
          <w:lang w:val="fr-FR"/>
        </w:rPr>
        <w:t xml:space="preserve">in </w:t>
      </w:r>
      <w:proofErr w:type="spellStart"/>
      <w:r w:rsidRPr="0032754E">
        <w:rPr>
          <w:rFonts w:ascii="Arial" w:hAnsi="Arial" w:cs="Arial"/>
          <w:bCs/>
          <w:i/>
          <w:iCs/>
          <w:sz w:val="22"/>
          <w:szCs w:val="22"/>
          <w:lang w:val="fr-FR"/>
        </w:rPr>
        <w:t>præsentia</w:t>
      </w:r>
      <w:proofErr w:type="spellEnd"/>
      <w:r>
        <w:rPr>
          <w:rFonts w:ascii="Arial" w:hAnsi="Arial" w:cs="Arial"/>
          <w:bCs/>
          <w:i/>
          <w:iCs/>
          <w:sz w:val="22"/>
          <w:szCs w:val="22"/>
          <w:lang w:val="fr-FR"/>
        </w:rPr>
        <w:t xml:space="preserve">, </w:t>
      </w:r>
      <w:r w:rsidRPr="0032754E">
        <w:rPr>
          <w:rFonts w:ascii="Arial" w:hAnsi="Arial" w:cs="Arial"/>
          <w:bCs/>
          <w:sz w:val="22"/>
          <w:szCs w:val="22"/>
          <w:lang w:val="fr-FR"/>
        </w:rPr>
        <w:t>mais pas d</w:t>
      </w:r>
      <w:r w:rsidR="008E532B">
        <w:rPr>
          <w:rFonts w:ascii="Arial" w:hAnsi="Arial" w:cs="Arial"/>
          <w:bCs/>
          <w:sz w:val="22"/>
          <w:szCs w:val="22"/>
          <w:lang w:val="fr-FR"/>
        </w:rPr>
        <w:t>’</w:t>
      </w:r>
      <w:r w:rsidRPr="0032754E">
        <w:rPr>
          <w:rFonts w:ascii="Arial" w:hAnsi="Arial" w:cs="Arial"/>
          <w:bCs/>
          <w:sz w:val="22"/>
          <w:szCs w:val="22"/>
          <w:lang w:val="fr-FR"/>
        </w:rPr>
        <w:t>obligation</w:t>
      </w:r>
      <w:r w:rsidRPr="00101AD1">
        <w:rPr>
          <w:rFonts w:ascii="Arial" w:hAnsi="Arial" w:cs="Arial"/>
          <w:bCs/>
          <w:sz w:val="22"/>
          <w:szCs w:val="22"/>
          <w:lang w:val="fr-FR"/>
        </w:rPr>
        <w:t>. Cette proposition était purement technique</w:t>
      </w:r>
      <w:r>
        <w:rPr>
          <w:rFonts w:ascii="Arial" w:hAnsi="Arial" w:cs="Arial"/>
          <w:bCs/>
          <w:sz w:val="22"/>
          <w:szCs w:val="22"/>
          <w:lang w:val="fr-FR"/>
        </w:rPr>
        <w:t xml:space="preserve">. Elle </w:t>
      </w:r>
      <w:r w:rsidRPr="00101AD1">
        <w:rPr>
          <w:rFonts w:ascii="Arial" w:hAnsi="Arial" w:cs="Arial"/>
          <w:bCs/>
          <w:sz w:val="22"/>
          <w:szCs w:val="22"/>
          <w:lang w:val="fr-FR"/>
        </w:rPr>
        <w:t xml:space="preserve">reflétait le consensus politique </w:t>
      </w:r>
      <w:r>
        <w:rPr>
          <w:rFonts w:ascii="Arial" w:hAnsi="Arial" w:cs="Arial"/>
          <w:bCs/>
          <w:sz w:val="22"/>
          <w:szCs w:val="22"/>
          <w:lang w:val="fr-FR"/>
        </w:rPr>
        <w:t xml:space="preserve">auquel on était parvenu </w:t>
      </w:r>
      <w:r w:rsidRPr="00101AD1">
        <w:rPr>
          <w:rFonts w:ascii="Arial" w:hAnsi="Arial" w:cs="Arial"/>
          <w:bCs/>
          <w:sz w:val="22"/>
          <w:szCs w:val="22"/>
          <w:lang w:val="fr-FR"/>
        </w:rPr>
        <w:t>dans la salle</w:t>
      </w:r>
      <w:r>
        <w:rPr>
          <w:rFonts w:ascii="Arial" w:hAnsi="Arial" w:cs="Arial"/>
          <w:bCs/>
          <w:sz w:val="22"/>
          <w:szCs w:val="22"/>
          <w:lang w:val="fr-FR"/>
        </w:rPr>
        <w:t>,</w:t>
      </w:r>
      <w:r w:rsidRPr="00101AD1">
        <w:rPr>
          <w:rFonts w:ascii="Arial" w:hAnsi="Arial" w:cs="Arial"/>
          <w:bCs/>
          <w:sz w:val="22"/>
          <w:szCs w:val="22"/>
          <w:lang w:val="fr-FR"/>
        </w:rPr>
        <w:t xml:space="preserve"> et n</w:t>
      </w:r>
      <w:r w:rsidR="008E532B">
        <w:rPr>
          <w:rFonts w:ascii="Arial" w:hAnsi="Arial" w:cs="Arial"/>
          <w:bCs/>
          <w:sz w:val="22"/>
          <w:szCs w:val="22"/>
          <w:lang w:val="fr-FR"/>
        </w:rPr>
        <w:t>’</w:t>
      </w:r>
      <w:r w:rsidRPr="00101AD1">
        <w:rPr>
          <w:rFonts w:ascii="Arial" w:hAnsi="Arial" w:cs="Arial"/>
          <w:bCs/>
          <w:sz w:val="22"/>
          <w:szCs w:val="22"/>
          <w:lang w:val="fr-FR"/>
        </w:rPr>
        <w:t xml:space="preserve">avait pas pour but de faire croire que le </w:t>
      </w:r>
      <w:r>
        <w:rPr>
          <w:rFonts w:ascii="Arial" w:hAnsi="Arial" w:cs="Arial"/>
          <w:bCs/>
          <w:sz w:val="22"/>
          <w:szCs w:val="22"/>
          <w:lang w:val="fr-FR"/>
        </w:rPr>
        <w:t>C</w:t>
      </w:r>
      <w:r w:rsidRPr="00101AD1">
        <w:rPr>
          <w:rFonts w:ascii="Arial" w:hAnsi="Arial" w:cs="Arial"/>
          <w:bCs/>
          <w:sz w:val="22"/>
          <w:szCs w:val="22"/>
          <w:lang w:val="fr-FR"/>
        </w:rPr>
        <w:t>onseiller juridique prenait une quelconque position politique.</w:t>
      </w:r>
    </w:p>
    <w:p w14:paraId="5A6D8697" w14:textId="02DE4547" w:rsidR="00D9653F" w:rsidRPr="0032754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2754E">
        <w:rPr>
          <w:rFonts w:ascii="Arial" w:hAnsi="Arial" w:cs="Arial"/>
          <w:bCs/>
          <w:sz w:val="22"/>
          <w:szCs w:val="22"/>
          <w:lang w:val="fr-FR"/>
        </w:rPr>
        <w:t xml:space="preserve">La délégation de la </w:t>
      </w:r>
      <w:r w:rsidRPr="0032754E">
        <w:rPr>
          <w:rFonts w:ascii="Arial" w:hAnsi="Arial" w:cs="Arial"/>
          <w:b/>
          <w:sz w:val="22"/>
          <w:szCs w:val="22"/>
          <w:lang w:val="fr-FR"/>
        </w:rPr>
        <w:t>Grenade</w:t>
      </w:r>
      <w:r w:rsidRPr="0032754E">
        <w:rPr>
          <w:rFonts w:ascii="Arial" w:hAnsi="Arial" w:cs="Arial"/>
          <w:bCs/>
          <w:sz w:val="22"/>
          <w:szCs w:val="22"/>
          <w:lang w:val="fr-FR"/>
        </w:rPr>
        <w:t xml:space="preserve"> a remercié le Conseiller juridique pour sa proposition, convenant que les élections générales se déroulent effectivement </w:t>
      </w:r>
      <w:r>
        <w:rPr>
          <w:rFonts w:ascii="Arial" w:hAnsi="Arial" w:cs="Arial"/>
          <w:bCs/>
          <w:sz w:val="22"/>
          <w:szCs w:val="22"/>
          <w:lang w:val="fr-FR"/>
        </w:rPr>
        <w:t xml:space="preserve">par vote à bulletins </w:t>
      </w:r>
      <w:r w:rsidRPr="0032754E">
        <w:rPr>
          <w:rFonts w:ascii="Arial" w:hAnsi="Arial" w:cs="Arial"/>
          <w:bCs/>
          <w:sz w:val="22"/>
          <w:szCs w:val="22"/>
          <w:lang w:val="fr-FR"/>
        </w:rPr>
        <w:t>secret</w:t>
      </w:r>
      <w:r>
        <w:rPr>
          <w:rFonts w:ascii="Arial" w:hAnsi="Arial" w:cs="Arial"/>
          <w:bCs/>
          <w:sz w:val="22"/>
          <w:szCs w:val="22"/>
          <w:lang w:val="fr-FR"/>
        </w:rPr>
        <w:t>s. T</w:t>
      </w:r>
      <w:r w:rsidRPr="0032754E">
        <w:rPr>
          <w:rFonts w:ascii="Arial" w:hAnsi="Arial" w:cs="Arial"/>
          <w:bCs/>
          <w:sz w:val="22"/>
          <w:szCs w:val="22"/>
          <w:lang w:val="fr-FR"/>
        </w:rPr>
        <w:t xml:space="preserve">outefois, le </w:t>
      </w:r>
      <w:r>
        <w:rPr>
          <w:rFonts w:ascii="Arial" w:hAnsi="Arial" w:cs="Arial"/>
          <w:bCs/>
          <w:sz w:val="22"/>
          <w:szCs w:val="22"/>
          <w:lang w:val="fr-FR"/>
        </w:rPr>
        <w:t>R</w:t>
      </w:r>
      <w:r w:rsidRPr="0032754E">
        <w:rPr>
          <w:rFonts w:ascii="Arial" w:hAnsi="Arial" w:cs="Arial"/>
          <w:bCs/>
          <w:sz w:val="22"/>
          <w:szCs w:val="22"/>
          <w:lang w:val="fr-FR"/>
        </w:rPr>
        <w:t>èglement n</w:t>
      </w:r>
      <w:r w:rsidR="008E532B">
        <w:rPr>
          <w:rFonts w:ascii="Arial" w:hAnsi="Arial" w:cs="Arial"/>
          <w:bCs/>
          <w:sz w:val="22"/>
          <w:szCs w:val="22"/>
          <w:lang w:val="fr-FR"/>
        </w:rPr>
        <w:t>’</w:t>
      </w:r>
      <w:r w:rsidRPr="0032754E">
        <w:rPr>
          <w:rFonts w:ascii="Arial" w:hAnsi="Arial" w:cs="Arial"/>
          <w:bCs/>
          <w:sz w:val="22"/>
          <w:szCs w:val="22"/>
          <w:lang w:val="fr-FR"/>
        </w:rPr>
        <w:t>empêch</w:t>
      </w:r>
      <w:r>
        <w:rPr>
          <w:rFonts w:ascii="Arial" w:hAnsi="Arial" w:cs="Arial"/>
          <w:bCs/>
          <w:sz w:val="22"/>
          <w:szCs w:val="22"/>
          <w:lang w:val="fr-FR"/>
        </w:rPr>
        <w:t>ait</w:t>
      </w:r>
      <w:r w:rsidRPr="0032754E">
        <w:rPr>
          <w:rFonts w:ascii="Arial" w:hAnsi="Arial" w:cs="Arial"/>
          <w:bCs/>
          <w:sz w:val="22"/>
          <w:szCs w:val="22"/>
          <w:lang w:val="fr-FR"/>
        </w:rPr>
        <w:t xml:space="preserve"> pas d</w:t>
      </w:r>
      <w:r w:rsidR="008E532B">
        <w:rPr>
          <w:rFonts w:ascii="Arial" w:hAnsi="Arial" w:cs="Arial"/>
          <w:bCs/>
          <w:sz w:val="22"/>
          <w:szCs w:val="22"/>
          <w:lang w:val="fr-FR"/>
        </w:rPr>
        <w:t>’</w:t>
      </w:r>
      <w:r w:rsidRPr="0032754E">
        <w:rPr>
          <w:rFonts w:ascii="Arial" w:hAnsi="Arial" w:cs="Arial"/>
          <w:bCs/>
          <w:sz w:val="22"/>
          <w:szCs w:val="22"/>
          <w:lang w:val="fr-FR"/>
        </w:rPr>
        <w:t xml:space="preserve">autres types de vote </w:t>
      </w:r>
      <w:r>
        <w:rPr>
          <w:rFonts w:ascii="Arial" w:hAnsi="Arial" w:cs="Arial"/>
          <w:bCs/>
          <w:sz w:val="22"/>
          <w:szCs w:val="22"/>
          <w:lang w:val="fr-FR"/>
        </w:rPr>
        <w:t xml:space="preserve">de se dérouler à bulletins </w:t>
      </w:r>
      <w:r w:rsidRPr="0032754E">
        <w:rPr>
          <w:rFonts w:ascii="Arial" w:hAnsi="Arial" w:cs="Arial"/>
          <w:bCs/>
          <w:sz w:val="22"/>
          <w:szCs w:val="22"/>
          <w:lang w:val="fr-FR"/>
        </w:rPr>
        <w:t>secret</w:t>
      </w:r>
      <w:r>
        <w:rPr>
          <w:rFonts w:ascii="Arial" w:hAnsi="Arial" w:cs="Arial"/>
          <w:bCs/>
          <w:sz w:val="22"/>
          <w:szCs w:val="22"/>
          <w:lang w:val="fr-FR"/>
        </w:rPr>
        <w:t>s</w:t>
      </w:r>
      <w:r w:rsidRPr="0032754E">
        <w:rPr>
          <w:rFonts w:ascii="Arial" w:hAnsi="Arial" w:cs="Arial"/>
          <w:bCs/>
          <w:sz w:val="22"/>
          <w:szCs w:val="22"/>
          <w:lang w:val="fr-FR"/>
        </w:rPr>
        <w:t>. La délégation a mentionné</w:t>
      </w:r>
      <w:r>
        <w:rPr>
          <w:rFonts w:ascii="Arial" w:hAnsi="Arial" w:cs="Arial"/>
          <w:bCs/>
          <w:sz w:val="22"/>
          <w:szCs w:val="22"/>
          <w:lang w:val="fr-FR"/>
        </w:rPr>
        <w:t xml:space="preserve"> un article du Règlement aux termes duquel </w:t>
      </w:r>
      <w:r w:rsidRPr="0032754E">
        <w:rPr>
          <w:rFonts w:ascii="Arial" w:hAnsi="Arial" w:cs="Arial"/>
          <w:bCs/>
          <w:sz w:val="22"/>
          <w:szCs w:val="22"/>
          <w:lang w:val="fr-FR"/>
        </w:rPr>
        <w:t>le</w:t>
      </w:r>
      <w:r>
        <w:rPr>
          <w:rFonts w:ascii="Arial" w:hAnsi="Arial" w:cs="Arial"/>
          <w:bCs/>
          <w:sz w:val="22"/>
          <w:szCs w:val="22"/>
          <w:lang w:val="fr-FR"/>
        </w:rPr>
        <w:t xml:space="preserve">s votes ont </w:t>
      </w:r>
      <w:r w:rsidRPr="0032754E">
        <w:rPr>
          <w:rFonts w:ascii="Arial" w:hAnsi="Arial" w:cs="Arial"/>
          <w:bCs/>
          <w:sz w:val="22"/>
          <w:szCs w:val="22"/>
          <w:lang w:val="fr-FR"/>
        </w:rPr>
        <w:t xml:space="preserve">normalement </w:t>
      </w:r>
      <w:r>
        <w:rPr>
          <w:rFonts w:ascii="Arial" w:hAnsi="Arial" w:cs="Arial"/>
          <w:bCs/>
          <w:sz w:val="22"/>
          <w:szCs w:val="22"/>
          <w:lang w:val="fr-FR"/>
        </w:rPr>
        <w:t xml:space="preserve">lieu </w:t>
      </w:r>
      <w:r w:rsidRPr="0032754E">
        <w:rPr>
          <w:rFonts w:ascii="Arial" w:hAnsi="Arial" w:cs="Arial"/>
          <w:bCs/>
          <w:sz w:val="22"/>
          <w:szCs w:val="22"/>
          <w:lang w:val="fr-FR"/>
        </w:rPr>
        <w:t>à main levée. La délégation a donc suggéré d</w:t>
      </w:r>
      <w:r w:rsidR="008E532B">
        <w:rPr>
          <w:rFonts w:ascii="Arial" w:hAnsi="Arial" w:cs="Arial"/>
          <w:bCs/>
          <w:sz w:val="22"/>
          <w:szCs w:val="22"/>
          <w:lang w:val="fr-FR"/>
        </w:rPr>
        <w:t>’</w:t>
      </w:r>
      <w:r w:rsidRPr="0032754E">
        <w:rPr>
          <w:rFonts w:ascii="Arial" w:hAnsi="Arial" w:cs="Arial"/>
          <w:bCs/>
          <w:sz w:val="22"/>
          <w:szCs w:val="22"/>
          <w:lang w:val="fr-FR"/>
        </w:rPr>
        <w:t xml:space="preserve">ajouter </w:t>
      </w:r>
      <w:r>
        <w:rPr>
          <w:rFonts w:ascii="Arial" w:hAnsi="Arial" w:cs="Arial"/>
          <w:bCs/>
          <w:sz w:val="22"/>
          <w:szCs w:val="22"/>
          <w:lang w:val="fr-FR"/>
        </w:rPr>
        <w:t>« </w:t>
      </w:r>
      <w:r w:rsidRPr="0032754E">
        <w:rPr>
          <w:rFonts w:ascii="Arial" w:hAnsi="Arial" w:cs="Arial"/>
          <w:bCs/>
          <w:sz w:val="22"/>
          <w:szCs w:val="22"/>
          <w:lang w:val="fr-FR"/>
        </w:rPr>
        <w:t>et autres votes</w:t>
      </w:r>
      <w:r>
        <w:rPr>
          <w:rFonts w:ascii="Arial" w:hAnsi="Arial" w:cs="Arial"/>
          <w:bCs/>
          <w:sz w:val="22"/>
          <w:szCs w:val="22"/>
          <w:lang w:val="fr-FR"/>
        </w:rPr>
        <w:t> »</w:t>
      </w:r>
      <w:r w:rsidRPr="0032754E">
        <w:rPr>
          <w:rFonts w:ascii="Arial" w:hAnsi="Arial" w:cs="Arial"/>
          <w:bCs/>
          <w:sz w:val="22"/>
          <w:szCs w:val="22"/>
          <w:lang w:val="fr-FR"/>
        </w:rPr>
        <w:t xml:space="preserve">, ce qui donnerait </w:t>
      </w:r>
      <w:r>
        <w:rPr>
          <w:rFonts w:ascii="Arial" w:hAnsi="Arial" w:cs="Arial"/>
          <w:bCs/>
          <w:sz w:val="22"/>
          <w:szCs w:val="22"/>
          <w:lang w:val="fr-FR"/>
        </w:rPr>
        <w:t>« Les é</w:t>
      </w:r>
      <w:r w:rsidRPr="0032754E">
        <w:rPr>
          <w:rFonts w:ascii="Arial" w:hAnsi="Arial" w:cs="Arial"/>
          <w:bCs/>
          <w:sz w:val="22"/>
          <w:szCs w:val="22"/>
          <w:lang w:val="fr-FR"/>
        </w:rPr>
        <w:t xml:space="preserve">lections et autres votes </w:t>
      </w:r>
      <w:r>
        <w:rPr>
          <w:rFonts w:ascii="Arial" w:hAnsi="Arial" w:cs="Arial"/>
          <w:bCs/>
          <w:sz w:val="22"/>
          <w:szCs w:val="22"/>
          <w:lang w:val="fr-FR"/>
        </w:rPr>
        <w:t>à bulletins</w:t>
      </w:r>
      <w:r w:rsidRPr="0032754E">
        <w:rPr>
          <w:rFonts w:ascii="Arial" w:hAnsi="Arial" w:cs="Arial"/>
          <w:bCs/>
          <w:sz w:val="22"/>
          <w:szCs w:val="22"/>
          <w:lang w:val="fr-FR"/>
        </w:rPr>
        <w:t xml:space="preserve"> secret</w:t>
      </w:r>
      <w:r>
        <w:rPr>
          <w:rFonts w:ascii="Arial" w:hAnsi="Arial" w:cs="Arial"/>
          <w:bCs/>
          <w:sz w:val="22"/>
          <w:szCs w:val="22"/>
          <w:lang w:val="fr-FR"/>
        </w:rPr>
        <w:t>s</w:t>
      </w:r>
      <w:r w:rsidRPr="0032754E">
        <w:rPr>
          <w:rFonts w:ascii="Arial" w:hAnsi="Arial" w:cs="Arial"/>
          <w:bCs/>
          <w:sz w:val="22"/>
          <w:szCs w:val="22"/>
          <w:lang w:val="fr-FR"/>
        </w:rPr>
        <w:t xml:space="preserve"> </w:t>
      </w:r>
      <w:r>
        <w:rPr>
          <w:rFonts w:ascii="Arial" w:hAnsi="Arial" w:cs="Arial"/>
          <w:bCs/>
          <w:sz w:val="22"/>
          <w:szCs w:val="22"/>
          <w:lang w:val="fr-FR"/>
        </w:rPr>
        <w:t>organisés</w:t>
      </w:r>
      <w:r w:rsidRPr="0032754E">
        <w:rPr>
          <w:rFonts w:ascii="Arial" w:hAnsi="Arial" w:cs="Arial"/>
          <w:bCs/>
          <w:sz w:val="22"/>
          <w:szCs w:val="22"/>
          <w:lang w:val="fr-FR"/>
        </w:rPr>
        <w:t xml:space="preserve"> </w:t>
      </w:r>
      <w:r w:rsidRPr="00F847B5">
        <w:rPr>
          <w:rFonts w:ascii="Arial" w:hAnsi="Arial" w:cs="Arial"/>
          <w:bCs/>
          <w:sz w:val="22"/>
          <w:szCs w:val="22"/>
          <w:lang w:val="fr-FR"/>
        </w:rPr>
        <w:t>conformément</w:t>
      </w:r>
      <w:r>
        <w:rPr>
          <w:rFonts w:ascii="Arial" w:hAnsi="Arial" w:cs="Arial"/>
          <w:bCs/>
          <w:sz w:val="22"/>
          <w:szCs w:val="22"/>
          <w:lang w:val="fr-FR"/>
        </w:rPr>
        <w:t xml:space="preserve"> au </w:t>
      </w:r>
      <w:r w:rsidRPr="0032754E">
        <w:rPr>
          <w:rFonts w:ascii="Arial" w:hAnsi="Arial" w:cs="Arial"/>
          <w:bCs/>
          <w:sz w:val="22"/>
          <w:szCs w:val="22"/>
          <w:lang w:val="fr-FR"/>
        </w:rPr>
        <w:t>[...]</w:t>
      </w:r>
      <w:r>
        <w:rPr>
          <w:rFonts w:ascii="Arial" w:hAnsi="Arial" w:cs="Arial"/>
          <w:bCs/>
          <w:sz w:val="22"/>
          <w:szCs w:val="22"/>
          <w:lang w:val="fr-FR"/>
        </w:rPr>
        <w:t> »</w:t>
      </w:r>
      <w:r w:rsidRPr="0032754E">
        <w:rPr>
          <w:rFonts w:ascii="Arial" w:hAnsi="Arial" w:cs="Arial"/>
          <w:bCs/>
          <w:sz w:val="22"/>
          <w:szCs w:val="22"/>
          <w:lang w:val="fr-FR"/>
        </w:rPr>
        <w:t xml:space="preserve">, car les autres types de vote, </w:t>
      </w:r>
      <w:r>
        <w:rPr>
          <w:rFonts w:ascii="Arial" w:hAnsi="Arial" w:cs="Arial"/>
          <w:bCs/>
          <w:sz w:val="22"/>
          <w:szCs w:val="22"/>
          <w:lang w:val="fr-FR"/>
        </w:rPr>
        <w:t>à bulletins</w:t>
      </w:r>
      <w:r w:rsidRPr="0032754E">
        <w:rPr>
          <w:rFonts w:ascii="Arial" w:hAnsi="Arial" w:cs="Arial"/>
          <w:bCs/>
          <w:sz w:val="22"/>
          <w:szCs w:val="22"/>
          <w:lang w:val="fr-FR"/>
        </w:rPr>
        <w:t xml:space="preserve"> secret</w:t>
      </w:r>
      <w:r>
        <w:rPr>
          <w:rFonts w:ascii="Arial" w:hAnsi="Arial" w:cs="Arial"/>
          <w:bCs/>
          <w:sz w:val="22"/>
          <w:szCs w:val="22"/>
          <w:lang w:val="fr-FR"/>
        </w:rPr>
        <w:t>s</w:t>
      </w:r>
      <w:r w:rsidRPr="0032754E">
        <w:rPr>
          <w:rFonts w:ascii="Arial" w:hAnsi="Arial" w:cs="Arial"/>
          <w:bCs/>
          <w:sz w:val="22"/>
          <w:szCs w:val="22"/>
          <w:lang w:val="fr-FR"/>
        </w:rPr>
        <w:t xml:space="preserve">, autres que </w:t>
      </w:r>
      <w:r>
        <w:rPr>
          <w:rFonts w:ascii="Arial" w:hAnsi="Arial" w:cs="Arial"/>
          <w:bCs/>
          <w:sz w:val="22"/>
          <w:szCs w:val="22"/>
          <w:lang w:val="fr-FR"/>
        </w:rPr>
        <w:t>pour les élections</w:t>
      </w:r>
      <w:r w:rsidRPr="0032754E">
        <w:rPr>
          <w:rFonts w:ascii="Arial" w:hAnsi="Arial" w:cs="Arial"/>
          <w:bCs/>
          <w:sz w:val="22"/>
          <w:szCs w:val="22"/>
          <w:lang w:val="fr-FR"/>
        </w:rPr>
        <w:t>, ne devraient pas être omis.</w:t>
      </w:r>
    </w:p>
    <w:p w14:paraId="36D12732" w14:textId="7A6CF2F5" w:rsidR="00D9653F" w:rsidRPr="00AE2E7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E2E71">
        <w:rPr>
          <w:rFonts w:ascii="Arial" w:hAnsi="Arial" w:cs="Arial"/>
          <w:bCs/>
          <w:sz w:val="22"/>
          <w:szCs w:val="22"/>
          <w:lang w:val="fr-FR"/>
        </w:rPr>
        <w:t>La délégation d</w:t>
      </w:r>
      <w:r>
        <w:rPr>
          <w:rFonts w:ascii="Arial" w:hAnsi="Arial" w:cs="Arial"/>
          <w:bCs/>
          <w:sz w:val="22"/>
          <w:szCs w:val="22"/>
          <w:lang w:val="fr-FR"/>
        </w:rPr>
        <w:t>e</w:t>
      </w:r>
      <w:r w:rsidRPr="00AE2E71">
        <w:rPr>
          <w:rFonts w:ascii="Arial" w:hAnsi="Arial" w:cs="Arial"/>
          <w:bCs/>
          <w:sz w:val="22"/>
          <w:szCs w:val="22"/>
          <w:lang w:val="fr-FR"/>
        </w:rPr>
        <w:t xml:space="preserve"> </w:t>
      </w:r>
      <w:r>
        <w:rPr>
          <w:rFonts w:ascii="Arial" w:hAnsi="Arial" w:cs="Arial"/>
          <w:b/>
          <w:sz w:val="22"/>
          <w:szCs w:val="22"/>
          <w:lang w:val="fr-FR"/>
        </w:rPr>
        <w:t xml:space="preserve">la République bolivarienne du Venezuela </w:t>
      </w:r>
      <w:r w:rsidRPr="00AE2E71">
        <w:rPr>
          <w:rFonts w:ascii="Arial" w:hAnsi="Arial" w:cs="Arial"/>
          <w:bCs/>
          <w:sz w:val="22"/>
          <w:szCs w:val="22"/>
          <w:lang w:val="fr-FR"/>
        </w:rPr>
        <w:t>a remercié la Palestine pour sa proposition et le Conseiller juridique pou</w:t>
      </w:r>
      <w:r>
        <w:rPr>
          <w:rFonts w:ascii="Arial" w:hAnsi="Arial" w:cs="Arial"/>
          <w:bCs/>
          <w:sz w:val="22"/>
          <w:szCs w:val="22"/>
          <w:lang w:val="fr-FR"/>
        </w:rPr>
        <w:t>r l</w:t>
      </w:r>
      <w:r w:rsidR="008E532B">
        <w:rPr>
          <w:rFonts w:ascii="Arial" w:hAnsi="Arial" w:cs="Arial"/>
          <w:bCs/>
          <w:sz w:val="22"/>
          <w:szCs w:val="22"/>
          <w:lang w:val="fr-FR"/>
        </w:rPr>
        <w:t>’</w:t>
      </w:r>
      <w:r>
        <w:rPr>
          <w:rFonts w:ascii="Arial" w:hAnsi="Arial" w:cs="Arial"/>
          <w:bCs/>
          <w:sz w:val="22"/>
          <w:szCs w:val="22"/>
          <w:lang w:val="fr-FR"/>
        </w:rPr>
        <w:t xml:space="preserve">intégration de </w:t>
      </w:r>
      <w:r w:rsidRPr="00AE2E71">
        <w:rPr>
          <w:rFonts w:ascii="Arial" w:hAnsi="Arial" w:cs="Arial"/>
          <w:bCs/>
          <w:sz w:val="22"/>
          <w:szCs w:val="22"/>
          <w:lang w:val="fr-FR"/>
        </w:rPr>
        <w:t xml:space="preserve">la proposition de la Palestine, </w:t>
      </w:r>
      <w:r>
        <w:rPr>
          <w:rFonts w:ascii="Arial" w:hAnsi="Arial" w:cs="Arial"/>
          <w:bCs/>
          <w:sz w:val="22"/>
          <w:szCs w:val="22"/>
          <w:lang w:val="fr-FR"/>
        </w:rPr>
        <w:t>à laquelle elle pouvait accorder son soutien</w:t>
      </w:r>
      <w:r w:rsidRPr="00AE2E71">
        <w:rPr>
          <w:rFonts w:ascii="Arial" w:hAnsi="Arial" w:cs="Arial"/>
          <w:bCs/>
          <w:sz w:val="22"/>
          <w:szCs w:val="22"/>
          <w:lang w:val="fr-FR"/>
        </w:rPr>
        <w:t>. Elle souhait</w:t>
      </w:r>
      <w:r>
        <w:rPr>
          <w:rFonts w:ascii="Arial" w:hAnsi="Arial" w:cs="Arial"/>
          <w:bCs/>
          <w:sz w:val="22"/>
          <w:szCs w:val="22"/>
          <w:lang w:val="fr-FR"/>
        </w:rPr>
        <w:t>ait</w:t>
      </w:r>
      <w:r w:rsidRPr="00AE2E71">
        <w:rPr>
          <w:rFonts w:ascii="Arial" w:hAnsi="Arial" w:cs="Arial"/>
          <w:bCs/>
          <w:sz w:val="22"/>
          <w:szCs w:val="22"/>
          <w:lang w:val="fr-FR"/>
        </w:rPr>
        <w:t xml:space="preserve"> que soit consigné dans le compte rendu</w:t>
      </w:r>
      <w:r>
        <w:rPr>
          <w:rFonts w:ascii="Arial" w:hAnsi="Arial" w:cs="Arial"/>
          <w:bCs/>
          <w:sz w:val="22"/>
          <w:szCs w:val="22"/>
          <w:lang w:val="fr-FR"/>
        </w:rPr>
        <w:t xml:space="preserve"> </w:t>
      </w:r>
      <w:r w:rsidRPr="00AE2E71">
        <w:rPr>
          <w:rFonts w:ascii="Arial" w:hAnsi="Arial" w:cs="Arial"/>
          <w:bCs/>
          <w:sz w:val="22"/>
          <w:szCs w:val="22"/>
          <w:lang w:val="fr-FR"/>
        </w:rPr>
        <w:t>que l</w:t>
      </w:r>
      <w:r w:rsidR="008E532B">
        <w:rPr>
          <w:rFonts w:ascii="Arial" w:hAnsi="Arial" w:cs="Arial"/>
          <w:bCs/>
          <w:sz w:val="22"/>
          <w:szCs w:val="22"/>
          <w:lang w:val="fr-FR"/>
        </w:rPr>
        <w:t>’</w:t>
      </w:r>
      <w:r w:rsidRPr="00AE2E71">
        <w:rPr>
          <w:rFonts w:ascii="Arial" w:hAnsi="Arial" w:cs="Arial"/>
          <w:bCs/>
          <w:sz w:val="22"/>
          <w:szCs w:val="22"/>
          <w:lang w:val="fr-FR"/>
        </w:rPr>
        <w:t>Assemblée, de manière extraordinaire, avec l</w:t>
      </w:r>
      <w:r w:rsidR="008E532B">
        <w:rPr>
          <w:rFonts w:ascii="Arial" w:hAnsi="Arial" w:cs="Arial"/>
          <w:bCs/>
          <w:sz w:val="22"/>
          <w:szCs w:val="22"/>
          <w:lang w:val="fr-FR"/>
        </w:rPr>
        <w:t>’</w:t>
      </w:r>
      <w:r w:rsidRPr="00AE2E71">
        <w:rPr>
          <w:rFonts w:ascii="Arial" w:hAnsi="Arial" w:cs="Arial"/>
          <w:bCs/>
          <w:sz w:val="22"/>
          <w:szCs w:val="22"/>
          <w:lang w:val="fr-FR"/>
        </w:rPr>
        <w:t>accord des États parties, respect</w:t>
      </w:r>
      <w:r>
        <w:rPr>
          <w:rFonts w:ascii="Arial" w:hAnsi="Arial" w:cs="Arial"/>
          <w:bCs/>
          <w:sz w:val="22"/>
          <w:szCs w:val="22"/>
          <w:lang w:val="fr-FR"/>
        </w:rPr>
        <w:t>ait</w:t>
      </w:r>
      <w:r w:rsidRPr="00AE2E71">
        <w:rPr>
          <w:rFonts w:ascii="Arial" w:hAnsi="Arial" w:cs="Arial"/>
          <w:bCs/>
          <w:sz w:val="22"/>
          <w:szCs w:val="22"/>
          <w:lang w:val="fr-FR"/>
        </w:rPr>
        <w:t xml:space="preserve"> et pr</w:t>
      </w:r>
      <w:r>
        <w:rPr>
          <w:rFonts w:ascii="Arial" w:hAnsi="Arial" w:cs="Arial"/>
          <w:bCs/>
          <w:sz w:val="22"/>
          <w:szCs w:val="22"/>
          <w:lang w:val="fr-FR"/>
        </w:rPr>
        <w:t>enait</w:t>
      </w:r>
      <w:r w:rsidRPr="00AE2E71">
        <w:rPr>
          <w:rFonts w:ascii="Arial" w:hAnsi="Arial" w:cs="Arial"/>
          <w:bCs/>
          <w:sz w:val="22"/>
          <w:szCs w:val="22"/>
          <w:lang w:val="fr-FR"/>
        </w:rPr>
        <w:t xml:space="preserve"> en considération le fait que chaque État partie a</w:t>
      </w:r>
      <w:r>
        <w:rPr>
          <w:rFonts w:ascii="Arial" w:hAnsi="Arial" w:cs="Arial"/>
          <w:bCs/>
          <w:sz w:val="22"/>
          <w:szCs w:val="22"/>
          <w:lang w:val="fr-FR"/>
        </w:rPr>
        <w:t>vait</w:t>
      </w:r>
      <w:r w:rsidRPr="00AE2E71">
        <w:rPr>
          <w:rFonts w:ascii="Arial" w:hAnsi="Arial" w:cs="Arial"/>
          <w:bCs/>
          <w:sz w:val="22"/>
          <w:szCs w:val="22"/>
          <w:lang w:val="fr-FR"/>
        </w:rPr>
        <w:t xml:space="preserve"> besoin que son vote soit dûment enregistré sur un pied d</w:t>
      </w:r>
      <w:r w:rsidR="008E532B">
        <w:rPr>
          <w:rFonts w:ascii="Arial" w:hAnsi="Arial" w:cs="Arial"/>
          <w:bCs/>
          <w:sz w:val="22"/>
          <w:szCs w:val="22"/>
          <w:lang w:val="fr-FR"/>
        </w:rPr>
        <w:t>’</w:t>
      </w:r>
      <w:r w:rsidRPr="00AE2E71">
        <w:rPr>
          <w:rFonts w:ascii="Arial" w:hAnsi="Arial" w:cs="Arial"/>
          <w:bCs/>
          <w:sz w:val="22"/>
          <w:szCs w:val="22"/>
          <w:lang w:val="fr-FR"/>
        </w:rPr>
        <w:t>égalité, en tenant compte des éventuelles difficultés liées à la connectivité, etc. [en cas de vote en ligne]. La délégation a réitéré ses remerciements au Conseiller juridique pour sa patience et, surtout, pour sa contribution utile et constructive.</w:t>
      </w:r>
    </w:p>
    <w:p w14:paraId="10D988ED" w14:textId="77777777" w:rsidR="00D9653F" w:rsidRPr="00AE2E7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AE2E71">
        <w:rPr>
          <w:rFonts w:ascii="Arial" w:hAnsi="Arial" w:cs="Arial"/>
          <w:b/>
          <w:sz w:val="22"/>
          <w:szCs w:val="22"/>
          <w:lang w:val="fr-FR"/>
        </w:rPr>
        <w:t>Présidente</w:t>
      </w:r>
      <w:r>
        <w:rPr>
          <w:rFonts w:ascii="Arial" w:hAnsi="Arial" w:cs="Arial"/>
          <w:bCs/>
          <w:sz w:val="22"/>
          <w:szCs w:val="22"/>
          <w:lang w:val="fr-FR"/>
        </w:rPr>
        <w:t xml:space="preserve"> a pris note de la demande de la République bolivarienne du Venezuela et a invité le Conseiller juridique à répondre à la question de la Grenade.</w:t>
      </w:r>
    </w:p>
    <w:p w14:paraId="0466A4D3" w14:textId="751CCF1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AE2E71">
        <w:rPr>
          <w:rFonts w:ascii="Arial" w:hAnsi="Arial" w:cs="Arial"/>
          <w:bCs/>
          <w:sz w:val="22"/>
          <w:szCs w:val="22"/>
          <w:lang w:val="fr-FR"/>
        </w:rPr>
        <w:t xml:space="preserve">Le </w:t>
      </w:r>
      <w:r w:rsidRPr="00AE2E71">
        <w:rPr>
          <w:rFonts w:ascii="Arial" w:hAnsi="Arial" w:cs="Arial"/>
          <w:b/>
          <w:sz w:val="22"/>
          <w:szCs w:val="22"/>
          <w:lang w:val="fr-FR"/>
        </w:rPr>
        <w:t>Conseiller juridique</w:t>
      </w:r>
      <w:r w:rsidRPr="00AE2E71">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était</w:t>
      </w:r>
      <w:r w:rsidRPr="00AE2E71">
        <w:rPr>
          <w:rFonts w:ascii="Arial" w:hAnsi="Arial" w:cs="Arial"/>
          <w:bCs/>
          <w:sz w:val="22"/>
          <w:szCs w:val="22"/>
          <w:lang w:val="fr-FR"/>
        </w:rPr>
        <w:t xml:space="preserve"> pas d</w:t>
      </w:r>
      <w:r w:rsidR="008E532B">
        <w:rPr>
          <w:rFonts w:ascii="Arial" w:hAnsi="Arial" w:cs="Arial"/>
          <w:bCs/>
          <w:sz w:val="22"/>
          <w:szCs w:val="22"/>
          <w:lang w:val="fr-FR"/>
        </w:rPr>
        <w:t>’</w:t>
      </w:r>
      <w:r w:rsidRPr="00AE2E71">
        <w:rPr>
          <w:rFonts w:ascii="Arial" w:hAnsi="Arial" w:cs="Arial"/>
          <w:bCs/>
          <w:sz w:val="22"/>
          <w:szCs w:val="22"/>
          <w:lang w:val="fr-FR"/>
        </w:rPr>
        <w:t>accord avec l</w:t>
      </w:r>
      <w:r w:rsidR="008E532B">
        <w:rPr>
          <w:rFonts w:ascii="Arial" w:hAnsi="Arial" w:cs="Arial"/>
          <w:bCs/>
          <w:sz w:val="22"/>
          <w:szCs w:val="22"/>
          <w:lang w:val="fr-FR"/>
        </w:rPr>
        <w:t>’</w:t>
      </w:r>
      <w:r w:rsidRPr="00AE2E71">
        <w:rPr>
          <w:rFonts w:ascii="Arial" w:hAnsi="Arial" w:cs="Arial"/>
          <w:bCs/>
          <w:sz w:val="22"/>
          <w:szCs w:val="22"/>
          <w:lang w:val="fr-FR"/>
        </w:rPr>
        <w:t>interprétation de l</w:t>
      </w:r>
      <w:r w:rsidR="008E532B">
        <w:rPr>
          <w:rFonts w:ascii="Arial" w:hAnsi="Arial" w:cs="Arial"/>
          <w:bCs/>
          <w:sz w:val="22"/>
          <w:szCs w:val="22"/>
          <w:lang w:val="fr-FR"/>
        </w:rPr>
        <w:t>’</w:t>
      </w:r>
      <w:r w:rsidRPr="00AE2E71">
        <w:rPr>
          <w:rFonts w:ascii="Arial" w:hAnsi="Arial" w:cs="Arial"/>
          <w:bCs/>
          <w:sz w:val="22"/>
          <w:szCs w:val="22"/>
          <w:lang w:val="fr-FR"/>
        </w:rPr>
        <w:t>article 12 par la Grenade. Contrairement au règlement intérieur d</w:t>
      </w:r>
      <w:r w:rsidR="008E532B">
        <w:rPr>
          <w:rFonts w:ascii="Arial" w:hAnsi="Arial" w:cs="Arial"/>
          <w:bCs/>
          <w:sz w:val="22"/>
          <w:szCs w:val="22"/>
          <w:lang w:val="fr-FR"/>
        </w:rPr>
        <w:t>’</w:t>
      </w:r>
      <w:r w:rsidRPr="00AE2E71">
        <w:rPr>
          <w:rFonts w:ascii="Arial" w:hAnsi="Arial" w:cs="Arial"/>
          <w:bCs/>
          <w:sz w:val="22"/>
          <w:szCs w:val="22"/>
          <w:lang w:val="fr-FR"/>
        </w:rPr>
        <w:t>autres organes, par exemple</w:t>
      </w:r>
      <w:r>
        <w:rPr>
          <w:rFonts w:ascii="Arial" w:hAnsi="Arial" w:cs="Arial"/>
          <w:bCs/>
          <w:sz w:val="22"/>
          <w:szCs w:val="22"/>
          <w:lang w:val="fr-FR"/>
        </w:rPr>
        <w:t>,</w:t>
      </w:r>
      <w:r w:rsidRPr="00AE2E71">
        <w:rPr>
          <w:rFonts w:ascii="Arial" w:hAnsi="Arial" w:cs="Arial"/>
          <w:bCs/>
          <w:sz w:val="22"/>
          <w:szCs w:val="22"/>
          <w:lang w:val="fr-FR"/>
        </w:rPr>
        <w:t xml:space="preserve"> le Conseil exécutif, le </w:t>
      </w:r>
      <w:r>
        <w:rPr>
          <w:rFonts w:ascii="Arial" w:hAnsi="Arial" w:cs="Arial"/>
          <w:bCs/>
          <w:sz w:val="22"/>
          <w:szCs w:val="22"/>
          <w:lang w:val="fr-FR"/>
        </w:rPr>
        <w:t>R</w:t>
      </w:r>
      <w:r w:rsidRPr="00AE2E71">
        <w:rPr>
          <w:rFonts w:ascii="Arial" w:hAnsi="Arial" w:cs="Arial"/>
          <w:bCs/>
          <w:sz w:val="22"/>
          <w:szCs w:val="22"/>
          <w:lang w:val="fr-FR"/>
        </w:rPr>
        <w:t>èglement intérieur de cette Assemblée ne prévo</w:t>
      </w:r>
      <w:r>
        <w:rPr>
          <w:rFonts w:ascii="Arial" w:hAnsi="Arial" w:cs="Arial"/>
          <w:bCs/>
          <w:sz w:val="22"/>
          <w:szCs w:val="22"/>
          <w:lang w:val="fr-FR"/>
        </w:rPr>
        <w:t>yait</w:t>
      </w:r>
      <w:r w:rsidRPr="00AE2E71">
        <w:rPr>
          <w:rFonts w:ascii="Arial" w:hAnsi="Arial" w:cs="Arial"/>
          <w:bCs/>
          <w:sz w:val="22"/>
          <w:szCs w:val="22"/>
          <w:lang w:val="fr-FR"/>
        </w:rPr>
        <w:t xml:space="preserve"> pas de </w:t>
      </w:r>
      <w:r>
        <w:rPr>
          <w:rFonts w:ascii="Arial" w:hAnsi="Arial" w:cs="Arial"/>
          <w:bCs/>
          <w:sz w:val="22"/>
          <w:szCs w:val="22"/>
          <w:lang w:val="fr-FR"/>
        </w:rPr>
        <w:t>vote à bulletins secrets</w:t>
      </w:r>
      <w:r w:rsidRPr="00AE2E71">
        <w:rPr>
          <w:rFonts w:ascii="Arial" w:hAnsi="Arial" w:cs="Arial"/>
          <w:bCs/>
          <w:sz w:val="22"/>
          <w:szCs w:val="22"/>
          <w:lang w:val="fr-FR"/>
        </w:rPr>
        <w:t xml:space="preserve"> sauf en cas d</w:t>
      </w:r>
      <w:r w:rsidR="008E532B">
        <w:rPr>
          <w:rFonts w:ascii="Arial" w:hAnsi="Arial" w:cs="Arial"/>
          <w:bCs/>
          <w:sz w:val="22"/>
          <w:szCs w:val="22"/>
          <w:lang w:val="fr-FR"/>
        </w:rPr>
        <w:t>’</w:t>
      </w:r>
      <w:r w:rsidRPr="00AE2E71">
        <w:rPr>
          <w:rFonts w:ascii="Arial" w:hAnsi="Arial" w:cs="Arial"/>
          <w:bCs/>
          <w:sz w:val="22"/>
          <w:szCs w:val="22"/>
          <w:lang w:val="fr-FR"/>
        </w:rPr>
        <w:t>élection. Cela signifi</w:t>
      </w:r>
      <w:r>
        <w:rPr>
          <w:rFonts w:ascii="Arial" w:hAnsi="Arial" w:cs="Arial"/>
          <w:bCs/>
          <w:sz w:val="22"/>
          <w:szCs w:val="22"/>
          <w:lang w:val="fr-FR"/>
        </w:rPr>
        <w:t>ait</w:t>
      </w:r>
      <w:r w:rsidRPr="00AE2E71">
        <w:rPr>
          <w:rFonts w:ascii="Arial" w:hAnsi="Arial" w:cs="Arial"/>
          <w:bCs/>
          <w:sz w:val="22"/>
          <w:szCs w:val="22"/>
          <w:lang w:val="fr-FR"/>
        </w:rPr>
        <w:t xml:space="preserve"> qu</w:t>
      </w:r>
      <w:r w:rsidR="008E532B">
        <w:rPr>
          <w:rFonts w:ascii="Arial" w:hAnsi="Arial" w:cs="Arial"/>
          <w:bCs/>
          <w:sz w:val="22"/>
          <w:szCs w:val="22"/>
          <w:lang w:val="fr-FR"/>
        </w:rPr>
        <w:t>’</w:t>
      </w:r>
      <w:r w:rsidRPr="00AE2E71">
        <w:rPr>
          <w:rFonts w:ascii="Arial" w:hAnsi="Arial" w:cs="Arial"/>
          <w:bCs/>
          <w:sz w:val="22"/>
          <w:szCs w:val="22"/>
          <w:lang w:val="fr-FR"/>
        </w:rPr>
        <w:t xml:space="preserve">un vote </w:t>
      </w:r>
      <w:r>
        <w:rPr>
          <w:rFonts w:ascii="Arial" w:hAnsi="Arial" w:cs="Arial"/>
          <w:bCs/>
          <w:sz w:val="22"/>
          <w:szCs w:val="22"/>
          <w:lang w:val="fr-FR"/>
        </w:rPr>
        <w:t xml:space="preserve">à bulletins </w:t>
      </w:r>
      <w:r w:rsidRPr="00AE2E71">
        <w:rPr>
          <w:rFonts w:ascii="Arial" w:hAnsi="Arial" w:cs="Arial"/>
          <w:bCs/>
          <w:sz w:val="22"/>
          <w:szCs w:val="22"/>
          <w:lang w:val="fr-FR"/>
        </w:rPr>
        <w:t>secret</w:t>
      </w:r>
      <w:r>
        <w:rPr>
          <w:rFonts w:ascii="Arial" w:hAnsi="Arial" w:cs="Arial"/>
          <w:bCs/>
          <w:sz w:val="22"/>
          <w:szCs w:val="22"/>
          <w:lang w:val="fr-FR"/>
        </w:rPr>
        <w:t>s</w:t>
      </w:r>
      <w:r w:rsidRPr="00AE2E71">
        <w:rPr>
          <w:rFonts w:ascii="Arial" w:hAnsi="Arial" w:cs="Arial"/>
          <w:bCs/>
          <w:sz w:val="22"/>
          <w:szCs w:val="22"/>
          <w:lang w:val="fr-FR"/>
        </w:rPr>
        <w:t xml:space="preserve"> n</w:t>
      </w:r>
      <w:r w:rsidR="008E532B">
        <w:rPr>
          <w:rFonts w:ascii="Arial" w:hAnsi="Arial" w:cs="Arial"/>
          <w:bCs/>
          <w:sz w:val="22"/>
          <w:szCs w:val="22"/>
          <w:lang w:val="fr-FR"/>
        </w:rPr>
        <w:t>’</w:t>
      </w:r>
      <w:r w:rsidRPr="00AE2E71">
        <w:rPr>
          <w:rFonts w:ascii="Arial" w:hAnsi="Arial" w:cs="Arial"/>
          <w:bCs/>
          <w:sz w:val="22"/>
          <w:szCs w:val="22"/>
          <w:lang w:val="fr-FR"/>
        </w:rPr>
        <w:t>est pas possible au sein de l</w:t>
      </w:r>
      <w:r w:rsidR="008E532B">
        <w:rPr>
          <w:rFonts w:ascii="Arial" w:hAnsi="Arial" w:cs="Arial"/>
          <w:bCs/>
          <w:sz w:val="22"/>
          <w:szCs w:val="22"/>
          <w:lang w:val="fr-FR"/>
        </w:rPr>
        <w:t>’</w:t>
      </w:r>
      <w:r w:rsidRPr="00AE2E71">
        <w:rPr>
          <w:rFonts w:ascii="Arial" w:hAnsi="Arial" w:cs="Arial"/>
          <w:bCs/>
          <w:sz w:val="22"/>
          <w:szCs w:val="22"/>
          <w:lang w:val="fr-FR"/>
        </w:rPr>
        <w:t>Assemblée générale, sauf en cas d</w:t>
      </w:r>
      <w:r w:rsidR="008E532B">
        <w:rPr>
          <w:rFonts w:ascii="Arial" w:hAnsi="Arial" w:cs="Arial"/>
          <w:bCs/>
          <w:sz w:val="22"/>
          <w:szCs w:val="22"/>
          <w:lang w:val="fr-FR"/>
        </w:rPr>
        <w:t>’</w:t>
      </w:r>
      <w:r w:rsidRPr="00AE2E71">
        <w:rPr>
          <w:rFonts w:ascii="Arial" w:hAnsi="Arial" w:cs="Arial"/>
          <w:bCs/>
          <w:sz w:val="22"/>
          <w:szCs w:val="22"/>
          <w:lang w:val="fr-FR"/>
        </w:rPr>
        <w:t>élection. Quant à la raison pour laquelle l</w:t>
      </w:r>
      <w:r w:rsidR="008E532B">
        <w:rPr>
          <w:rFonts w:ascii="Arial" w:hAnsi="Arial" w:cs="Arial"/>
          <w:bCs/>
          <w:sz w:val="22"/>
          <w:szCs w:val="22"/>
          <w:lang w:val="fr-FR"/>
        </w:rPr>
        <w:t>’</w:t>
      </w:r>
      <w:r w:rsidRPr="00AE2E71">
        <w:rPr>
          <w:rFonts w:ascii="Arial" w:hAnsi="Arial" w:cs="Arial"/>
          <w:bCs/>
          <w:sz w:val="22"/>
          <w:szCs w:val="22"/>
          <w:lang w:val="fr-FR"/>
        </w:rPr>
        <w:t>article</w:t>
      </w:r>
      <w:r>
        <w:rPr>
          <w:rFonts w:ascii="Arial" w:hAnsi="Arial" w:cs="Arial"/>
          <w:bCs/>
          <w:sz w:val="22"/>
          <w:szCs w:val="22"/>
          <w:lang w:val="fr-FR"/>
        </w:rPr>
        <w:t> </w:t>
      </w:r>
      <w:r w:rsidRPr="00AE2E71">
        <w:rPr>
          <w:rFonts w:ascii="Arial" w:hAnsi="Arial" w:cs="Arial"/>
          <w:bCs/>
          <w:sz w:val="22"/>
          <w:szCs w:val="22"/>
          <w:lang w:val="fr-FR"/>
        </w:rPr>
        <w:t>12.5 fai</w:t>
      </w:r>
      <w:r>
        <w:rPr>
          <w:rFonts w:ascii="Arial" w:hAnsi="Arial" w:cs="Arial"/>
          <w:bCs/>
          <w:sz w:val="22"/>
          <w:szCs w:val="22"/>
          <w:lang w:val="fr-FR"/>
        </w:rPr>
        <w:t>sait</w:t>
      </w:r>
      <w:r w:rsidRPr="00AE2E71">
        <w:rPr>
          <w:rFonts w:ascii="Arial" w:hAnsi="Arial" w:cs="Arial"/>
          <w:bCs/>
          <w:sz w:val="22"/>
          <w:szCs w:val="22"/>
          <w:lang w:val="fr-FR"/>
        </w:rPr>
        <w:t xml:space="preserve"> référence au fait que </w:t>
      </w:r>
      <w:r>
        <w:rPr>
          <w:rFonts w:ascii="Arial" w:hAnsi="Arial" w:cs="Arial"/>
          <w:bCs/>
          <w:sz w:val="22"/>
          <w:szCs w:val="22"/>
          <w:lang w:val="fr-FR"/>
        </w:rPr>
        <w:t>« </w:t>
      </w:r>
      <w:r w:rsidRPr="00AE2E71">
        <w:rPr>
          <w:rFonts w:ascii="Arial" w:hAnsi="Arial" w:cs="Arial"/>
          <w:bCs/>
          <w:sz w:val="22"/>
          <w:szCs w:val="22"/>
          <w:lang w:val="fr-FR"/>
        </w:rPr>
        <w:t>Le</w:t>
      </w:r>
      <w:r>
        <w:rPr>
          <w:rFonts w:ascii="Arial" w:hAnsi="Arial" w:cs="Arial"/>
          <w:bCs/>
          <w:sz w:val="22"/>
          <w:szCs w:val="22"/>
          <w:lang w:val="fr-FR"/>
        </w:rPr>
        <w:t>s</w:t>
      </w:r>
      <w:r w:rsidRPr="00AE2E71">
        <w:rPr>
          <w:rFonts w:ascii="Arial" w:hAnsi="Arial" w:cs="Arial"/>
          <w:bCs/>
          <w:sz w:val="22"/>
          <w:szCs w:val="22"/>
          <w:lang w:val="fr-FR"/>
        </w:rPr>
        <w:t xml:space="preserve"> vote</w:t>
      </w:r>
      <w:r>
        <w:rPr>
          <w:rFonts w:ascii="Arial" w:hAnsi="Arial" w:cs="Arial"/>
          <w:bCs/>
          <w:sz w:val="22"/>
          <w:szCs w:val="22"/>
          <w:lang w:val="fr-FR"/>
        </w:rPr>
        <w:t>s</w:t>
      </w:r>
      <w:r w:rsidRPr="00AE2E71">
        <w:rPr>
          <w:rFonts w:ascii="Arial" w:hAnsi="Arial" w:cs="Arial"/>
          <w:bCs/>
          <w:sz w:val="22"/>
          <w:szCs w:val="22"/>
          <w:lang w:val="fr-FR"/>
        </w:rPr>
        <w:t xml:space="preserve"> </w:t>
      </w:r>
      <w:r>
        <w:rPr>
          <w:rFonts w:ascii="Arial" w:hAnsi="Arial" w:cs="Arial"/>
          <w:bCs/>
          <w:sz w:val="22"/>
          <w:szCs w:val="22"/>
          <w:lang w:val="fr-FR"/>
        </w:rPr>
        <w:t>ont</w:t>
      </w:r>
      <w:r w:rsidRPr="00AE2E71">
        <w:rPr>
          <w:rFonts w:ascii="Arial" w:hAnsi="Arial" w:cs="Arial"/>
          <w:bCs/>
          <w:sz w:val="22"/>
          <w:szCs w:val="22"/>
          <w:lang w:val="fr-FR"/>
        </w:rPr>
        <w:t xml:space="preserve"> lieu normalement à main levée</w:t>
      </w:r>
      <w:r>
        <w:rPr>
          <w:rFonts w:ascii="Arial" w:hAnsi="Arial" w:cs="Arial"/>
          <w:bCs/>
          <w:sz w:val="22"/>
          <w:szCs w:val="22"/>
          <w:lang w:val="fr-FR"/>
        </w:rPr>
        <w:t> »</w:t>
      </w:r>
      <w:r w:rsidRPr="00AE2E71">
        <w:rPr>
          <w:rFonts w:ascii="Arial" w:hAnsi="Arial" w:cs="Arial"/>
          <w:bCs/>
          <w:sz w:val="22"/>
          <w:szCs w:val="22"/>
          <w:lang w:val="fr-FR"/>
        </w:rPr>
        <w:t>, elle d</w:t>
      </w:r>
      <w:r>
        <w:rPr>
          <w:rFonts w:ascii="Arial" w:hAnsi="Arial" w:cs="Arial"/>
          <w:bCs/>
          <w:sz w:val="22"/>
          <w:szCs w:val="22"/>
          <w:lang w:val="fr-FR"/>
        </w:rPr>
        <w:t>evait</w:t>
      </w:r>
      <w:r w:rsidRPr="00AE2E71">
        <w:rPr>
          <w:rFonts w:ascii="Arial" w:hAnsi="Arial" w:cs="Arial"/>
          <w:bCs/>
          <w:sz w:val="22"/>
          <w:szCs w:val="22"/>
          <w:lang w:val="fr-FR"/>
        </w:rPr>
        <w:t xml:space="preserve"> être lue à la lumière de l</w:t>
      </w:r>
      <w:r w:rsidR="008E532B">
        <w:rPr>
          <w:rFonts w:ascii="Arial" w:hAnsi="Arial" w:cs="Arial"/>
          <w:bCs/>
          <w:sz w:val="22"/>
          <w:szCs w:val="22"/>
          <w:lang w:val="fr-FR"/>
        </w:rPr>
        <w:t>’</w:t>
      </w:r>
      <w:r w:rsidRPr="00AE2E71">
        <w:rPr>
          <w:rFonts w:ascii="Arial" w:hAnsi="Arial" w:cs="Arial"/>
          <w:bCs/>
          <w:sz w:val="22"/>
          <w:szCs w:val="22"/>
          <w:lang w:val="fr-FR"/>
        </w:rPr>
        <w:t>article 12.6, qui stipul</w:t>
      </w:r>
      <w:r>
        <w:rPr>
          <w:rFonts w:ascii="Arial" w:hAnsi="Arial" w:cs="Arial"/>
          <w:bCs/>
          <w:sz w:val="22"/>
          <w:szCs w:val="22"/>
          <w:lang w:val="fr-FR"/>
        </w:rPr>
        <w:t>ait</w:t>
      </w:r>
      <w:r w:rsidRPr="00AE2E71">
        <w:rPr>
          <w:rFonts w:ascii="Arial" w:hAnsi="Arial" w:cs="Arial"/>
          <w:bCs/>
          <w:sz w:val="22"/>
          <w:szCs w:val="22"/>
          <w:lang w:val="fr-FR"/>
        </w:rPr>
        <w:t xml:space="preserve"> que </w:t>
      </w:r>
      <w:r>
        <w:rPr>
          <w:rFonts w:ascii="Arial" w:hAnsi="Arial" w:cs="Arial"/>
          <w:bCs/>
          <w:sz w:val="22"/>
          <w:szCs w:val="22"/>
          <w:lang w:val="fr-FR"/>
        </w:rPr>
        <w:t>« En cas de doute sur le résultat</w:t>
      </w:r>
      <w:r w:rsidRPr="00AE2E71">
        <w:rPr>
          <w:rFonts w:ascii="Arial" w:hAnsi="Arial" w:cs="Arial"/>
          <w:bCs/>
          <w:sz w:val="22"/>
          <w:szCs w:val="22"/>
          <w:lang w:val="fr-FR"/>
        </w:rPr>
        <w:t xml:space="preserve"> d</w:t>
      </w:r>
      <w:r w:rsidR="008E532B">
        <w:rPr>
          <w:rFonts w:ascii="Arial" w:hAnsi="Arial" w:cs="Arial"/>
          <w:bCs/>
          <w:sz w:val="22"/>
          <w:szCs w:val="22"/>
          <w:lang w:val="fr-FR"/>
        </w:rPr>
        <w:t>’</w:t>
      </w:r>
      <w:r w:rsidRPr="00AE2E71">
        <w:rPr>
          <w:rFonts w:ascii="Arial" w:hAnsi="Arial" w:cs="Arial"/>
          <w:bCs/>
          <w:sz w:val="22"/>
          <w:szCs w:val="22"/>
          <w:lang w:val="fr-FR"/>
        </w:rPr>
        <w:t xml:space="preserve">un vote à main levée, </w:t>
      </w:r>
      <w:r>
        <w:rPr>
          <w:rFonts w:ascii="Arial" w:hAnsi="Arial" w:cs="Arial"/>
          <w:bCs/>
          <w:sz w:val="22"/>
          <w:szCs w:val="22"/>
          <w:lang w:val="fr-FR"/>
        </w:rPr>
        <w:t>le/</w:t>
      </w:r>
      <w:r w:rsidRPr="00AE2E71">
        <w:rPr>
          <w:rFonts w:ascii="Arial" w:hAnsi="Arial" w:cs="Arial"/>
          <w:bCs/>
          <w:sz w:val="22"/>
          <w:szCs w:val="22"/>
          <w:lang w:val="fr-FR"/>
        </w:rPr>
        <w:t xml:space="preserve">la </w:t>
      </w:r>
      <w:r>
        <w:rPr>
          <w:rFonts w:ascii="Arial" w:hAnsi="Arial" w:cs="Arial"/>
          <w:bCs/>
          <w:sz w:val="22"/>
          <w:szCs w:val="22"/>
          <w:lang w:val="fr-FR"/>
        </w:rPr>
        <w:t>p</w:t>
      </w:r>
      <w:r w:rsidRPr="00AE2E71">
        <w:rPr>
          <w:rFonts w:ascii="Arial" w:hAnsi="Arial" w:cs="Arial"/>
          <w:bCs/>
          <w:sz w:val="22"/>
          <w:szCs w:val="22"/>
          <w:lang w:val="fr-FR"/>
        </w:rPr>
        <w:t>résident</w:t>
      </w:r>
      <w:r>
        <w:rPr>
          <w:rFonts w:ascii="Arial" w:hAnsi="Arial" w:cs="Arial"/>
          <w:bCs/>
          <w:sz w:val="22"/>
          <w:szCs w:val="22"/>
          <w:lang w:val="fr-FR"/>
        </w:rPr>
        <w:t>(</w:t>
      </w:r>
      <w:r w:rsidRPr="00AE2E71">
        <w:rPr>
          <w:rFonts w:ascii="Arial" w:hAnsi="Arial" w:cs="Arial"/>
          <w:bCs/>
          <w:sz w:val="22"/>
          <w:szCs w:val="22"/>
          <w:lang w:val="fr-FR"/>
        </w:rPr>
        <w:t>e</w:t>
      </w:r>
      <w:r>
        <w:rPr>
          <w:rFonts w:ascii="Arial" w:hAnsi="Arial" w:cs="Arial"/>
          <w:bCs/>
          <w:sz w:val="22"/>
          <w:szCs w:val="22"/>
          <w:lang w:val="fr-FR"/>
        </w:rPr>
        <w:t>)</w:t>
      </w:r>
      <w:r w:rsidRPr="00AE2E71">
        <w:rPr>
          <w:rFonts w:ascii="Arial" w:hAnsi="Arial" w:cs="Arial"/>
          <w:bCs/>
          <w:sz w:val="22"/>
          <w:szCs w:val="22"/>
          <w:lang w:val="fr-FR"/>
        </w:rPr>
        <w:t xml:space="preserve"> peut faire procéder à un second vote par appel nominal. </w:t>
      </w:r>
      <w:r>
        <w:rPr>
          <w:rFonts w:ascii="Arial" w:hAnsi="Arial" w:cs="Arial"/>
          <w:bCs/>
          <w:sz w:val="22"/>
          <w:szCs w:val="22"/>
          <w:lang w:val="fr-FR"/>
        </w:rPr>
        <w:t xml:space="preserve">En outre, le vote est de droit </w:t>
      </w:r>
      <w:r w:rsidRPr="00AE2E71">
        <w:rPr>
          <w:rFonts w:ascii="Arial" w:hAnsi="Arial" w:cs="Arial"/>
          <w:bCs/>
          <w:sz w:val="22"/>
          <w:szCs w:val="22"/>
          <w:lang w:val="fr-FR"/>
        </w:rPr>
        <w:t>par appel nominal s</w:t>
      </w:r>
      <w:r w:rsidR="008E532B">
        <w:rPr>
          <w:rFonts w:ascii="Arial" w:hAnsi="Arial" w:cs="Arial"/>
          <w:bCs/>
          <w:sz w:val="22"/>
          <w:szCs w:val="22"/>
          <w:lang w:val="fr-FR"/>
        </w:rPr>
        <w:t>’</w:t>
      </w:r>
      <w:r>
        <w:rPr>
          <w:rFonts w:ascii="Arial" w:hAnsi="Arial" w:cs="Arial"/>
          <w:bCs/>
          <w:sz w:val="22"/>
          <w:szCs w:val="22"/>
          <w:lang w:val="fr-FR"/>
        </w:rPr>
        <w:t xml:space="preserve">il </w:t>
      </w:r>
      <w:r w:rsidRPr="00AE2E71">
        <w:rPr>
          <w:rFonts w:ascii="Arial" w:hAnsi="Arial" w:cs="Arial"/>
          <w:bCs/>
          <w:sz w:val="22"/>
          <w:szCs w:val="22"/>
          <w:lang w:val="fr-FR"/>
        </w:rPr>
        <w:t>est demandé</w:t>
      </w:r>
      <w:r>
        <w:rPr>
          <w:rFonts w:ascii="Arial" w:hAnsi="Arial" w:cs="Arial"/>
          <w:bCs/>
          <w:sz w:val="22"/>
          <w:szCs w:val="22"/>
          <w:lang w:val="fr-FR"/>
        </w:rPr>
        <w:t xml:space="preserve"> […] »</w:t>
      </w:r>
      <w:r w:rsidRPr="00AE2E71">
        <w:rPr>
          <w:rFonts w:ascii="Arial" w:hAnsi="Arial" w:cs="Arial"/>
          <w:bCs/>
          <w:sz w:val="22"/>
          <w:szCs w:val="22"/>
          <w:lang w:val="fr-FR"/>
        </w:rPr>
        <w:t>. Ainsi, selon son interprétation, le vote se fai</w:t>
      </w:r>
      <w:r>
        <w:rPr>
          <w:rFonts w:ascii="Arial" w:hAnsi="Arial" w:cs="Arial"/>
          <w:bCs/>
          <w:sz w:val="22"/>
          <w:szCs w:val="22"/>
          <w:lang w:val="fr-FR"/>
        </w:rPr>
        <w:t>sait</w:t>
      </w:r>
      <w:r w:rsidRPr="00AE2E71">
        <w:rPr>
          <w:rFonts w:ascii="Arial" w:hAnsi="Arial" w:cs="Arial"/>
          <w:bCs/>
          <w:sz w:val="22"/>
          <w:szCs w:val="22"/>
          <w:lang w:val="fr-FR"/>
        </w:rPr>
        <w:t xml:space="preserve"> normalement à main levée. Dans certains cas, </w:t>
      </w:r>
      <w:r>
        <w:rPr>
          <w:rFonts w:ascii="Arial" w:hAnsi="Arial" w:cs="Arial"/>
          <w:bCs/>
          <w:sz w:val="22"/>
          <w:szCs w:val="22"/>
          <w:lang w:val="fr-FR"/>
        </w:rPr>
        <w:t xml:space="preserve">c.-à-d. </w:t>
      </w:r>
      <w:r w:rsidRPr="00AE2E71">
        <w:rPr>
          <w:rFonts w:ascii="Arial" w:hAnsi="Arial" w:cs="Arial"/>
          <w:bCs/>
          <w:sz w:val="22"/>
          <w:szCs w:val="22"/>
          <w:lang w:val="fr-FR"/>
        </w:rPr>
        <w:t>dans les cas qui n</w:t>
      </w:r>
      <w:r w:rsidR="008E532B">
        <w:rPr>
          <w:rFonts w:ascii="Arial" w:hAnsi="Arial" w:cs="Arial"/>
          <w:bCs/>
          <w:sz w:val="22"/>
          <w:szCs w:val="22"/>
          <w:lang w:val="fr-FR"/>
        </w:rPr>
        <w:t>’</w:t>
      </w:r>
      <w:r>
        <w:rPr>
          <w:rFonts w:ascii="Arial" w:hAnsi="Arial" w:cs="Arial"/>
          <w:bCs/>
          <w:sz w:val="22"/>
          <w:szCs w:val="22"/>
          <w:lang w:val="fr-FR"/>
        </w:rPr>
        <w:t>étaient</w:t>
      </w:r>
      <w:r w:rsidRPr="00AE2E71">
        <w:rPr>
          <w:rFonts w:ascii="Arial" w:hAnsi="Arial" w:cs="Arial"/>
          <w:bCs/>
          <w:sz w:val="22"/>
          <w:szCs w:val="22"/>
          <w:lang w:val="fr-FR"/>
        </w:rPr>
        <w:t xml:space="preserve"> pas normaux, </w:t>
      </w:r>
      <w:r>
        <w:rPr>
          <w:rFonts w:ascii="Arial" w:hAnsi="Arial" w:cs="Arial"/>
          <w:bCs/>
          <w:sz w:val="22"/>
          <w:szCs w:val="22"/>
          <w:lang w:val="fr-FR"/>
        </w:rPr>
        <w:t xml:space="preserve">on aurait recours à </w:t>
      </w:r>
      <w:r w:rsidRPr="00AE2E71">
        <w:rPr>
          <w:rFonts w:ascii="Arial" w:hAnsi="Arial" w:cs="Arial"/>
          <w:bCs/>
          <w:sz w:val="22"/>
          <w:szCs w:val="22"/>
          <w:lang w:val="fr-FR"/>
        </w:rPr>
        <w:t>un appel nominal, mais il n</w:t>
      </w:r>
      <w:r w:rsidR="008E532B">
        <w:rPr>
          <w:rFonts w:ascii="Arial" w:hAnsi="Arial" w:cs="Arial"/>
          <w:bCs/>
          <w:sz w:val="22"/>
          <w:szCs w:val="22"/>
          <w:lang w:val="fr-FR"/>
        </w:rPr>
        <w:t>’</w:t>
      </w:r>
      <w:r>
        <w:rPr>
          <w:rFonts w:ascii="Arial" w:hAnsi="Arial" w:cs="Arial"/>
          <w:bCs/>
          <w:sz w:val="22"/>
          <w:szCs w:val="22"/>
          <w:lang w:val="fr-FR"/>
        </w:rPr>
        <w:t>était</w:t>
      </w:r>
      <w:r w:rsidRPr="00AE2E71">
        <w:rPr>
          <w:rFonts w:ascii="Arial" w:hAnsi="Arial" w:cs="Arial"/>
          <w:bCs/>
          <w:sz w:val="22"/>
          <w:szCs w:val="22"/>
          <w:lang w:val="fr-FR"/>
        </w:rPr>
        <w:t xml:space="preserve"> pas possible de voter </w:t>
      </w:r>
      <w:r>
        <w:rPr>
          <w:rFonts w:ascii="Arial" w:hAnsi="Arial" w:cs="Arial"/>
          <w:bCs/>
          <w:sz w:val="22"/>
          <w:szCs w:val="22"/>
          <w:lang w:val="fr-FR"/>
        </w:rPr>
        <w:t>à bulletins secrets</w:t>
      </w:r>
      <w:r w:rsidRPr="00AE2E71">
        <w:rPr>
          <w:rFonts w:ascii="Arial" w:hAnsi="Arial" w:cs="Arial"/>
          <w:bCs/>
          <w:sz w:val="22"/>
          <w:szCs w:val="22"/>
          <w:lang w:val="fr-FR"/>
        </w:rPr>
        <w:t xml:space="preserve"> sur </w:t>
      </w:r>
      <w:r>
        <w:rPr>
          <w:rFonts w:ascii="Arial" w:hAnsi="Arial" w:cs="Arial"/>
          <w:bCs/>
          <w:sz w:val="22"/>
          <w:szCs w:val="22"/>
          <w:lang w:val="fr-FR"/>
        </w:rPr>
        <w:t xml:space="preserve">un </w:t>
      </w:r>
      <w:r w:rsidRPr="00AE2E71">
        <w:rPr>
          <w:rFonts w:ascii="Arial" w:hAnsi="Arial" w:cs="Arial"/>
          <w:bCs/>
          <w:sz w:val="22"/>
          <w:szCs w:val="22"/>
          <w:lang w:val="fr-FR"/>
        </w:rPr>
        <w:t xml:space="preserve">autre </w:t>
      </w:r>
      <w:r>
        <w:rPr>
          <w:rFonts w:ascii="Arial" w:hAnsi="Arial" w:cs="Arial"/>
          <w:bCs/>
          <w:sz w:val="22"/>
          <w:szCs w:val="22"/>
          <w:lang w:val="fr-FR"/>
        </w:rPr>
        <w:t>sujet</w:t>
      </w:r>
      <w:r w:rsidRPr="00AE2E71">
        <w:rPr>
          <w:rFonts w:ascii="Arial" w:hAnsi="Arial" w:cs="Arial"/>
          <w:bCs/>
          <w:sz w:val="22"/>
          <w:szCs w:val="22"/>
          <w:lang w:val="fr-FR"/>
        </w:rPr>
        <w:t xml:space="preserve"> que ce qui </w:t>
      </w:r>
      <w:r>
        <w:rPr>
          <w:rFonts w:ascii="Arial" w:hAnsi="Arial" w:cs="Arial"/>
          <w:bCs/>
          <w:sz w:val="22"/>
          <w:szCs w:val="22"/>
          <w:lang w:val="fr-FR"/>
        </w:rPr>
        <w:t>était</w:t>
      </w:r>
      <w:r w:rsidRPr="00AE2E71">
        <w:rPr>
          <w:rFonts w:ascii="Arial" w:hAnsi="Arial" w:cs="Arial"/>
          <w:bCs/>
          <w:sz w:val="22"/>
          <w:szCs w:val="22"/>
          <w:lang w:val="fr-FR"/>
        </w:rPr>
        <w:t xml:space="preserve"> prévu à l</w:t>
      </w:r>
      <w:r w:rsidR="008E532B">
        <w:rPr>
          <w:rFonts w:ascii="Arial" w:hAnsi="Arial" w:cs="Arial"/>
          <w:bCs/>
          <w:sz w:val="22"/>
          <w:szCs w:val="22"/>
          <w:lang w:val="fr-FR"/>
        </w:rPr>
        <w:t>’</w:t>
      </w:r>
      <w:r w:rsidRPr="00AE2E71">
        <w:rPr>
          <w:rFonts w:ascii="Arial" w:hAnsi="Arial" w:cs="Arial"/>
          <w:bCs/>
          <w:sz w:val="22"/>
          <w:szCs w:val="22"/>
          <w:lang w:val="fr-FR"/>
        </w:rPr>
        <w:t xml:space="preserve">article 15.1, </w:t>
      </w:r>
      <w:r>
        <w:rPr>
          <w:rFonts w:ascii="Arial" w:hAnsi="Arial" w:cs="Arial"/>
          <w:bCs/>
          <w:sz w:val="22"/>
          <w:szCs w:val="22"/>
          <w:lang w:val="fr-FR"/>
        </w:rPr>
        <w:t>selon les termes duquel</w:t>
      </w:r>
      <w:r w:rsidRPr="00AE2E71">
        <w:rPr>
          <w:rFonts w:ascii="Arial" w:hAnsi="Arial" w:cs="Arial"/>
          <w:bCs/>
          <w:sz w:val="22"/>
          <w:szCs w:val="22"/>
          <w:lang w:val="fr-FR"/>
        </w:rPr>
        <w:t xml:space="preserve"> </w:t>
      </w:r>
      <w:r>
        <w:rPr>
          <w:rFonts w:ascii="Arial" w:hAnsi="Arial" w:cs="Arial"/>
          <w:bCs/>
          <w:sz w:val="22"/>
          <w:szCs w:val="22"/>
          <w:lang w:val="fr-FR"/>
        </w:rPr>
        <w:t>« </w:t>
      </w:r>
      <w:r w:rsidRPr="00AE2E71">
        <w:rPr>
          <w:rFonts w:ascii="Arial" w:hAnsi="Arial" w:cs="Arial"/>
          <w:bCs/>
          <w:sz w:val="22"/>
          <w:szCs w:val="22"/>
          <w:lang w:val="fr-FR"/>
        </w:rPr>
        <w:t>L</w:t>
      </w:r>
      <w:r w:rsidR="008E532B">
        <w:rPr>
          <w:rFonts w:ascii="Arial" w:hAnsi="Arial" w:cs="Arial"/>
          <w:bCs/>
          <w:sz w:val="22"/>
          <w:szCs w:val="22"/>
          <w:lang w:val="fr-FR"/>
        </w:rPr>
        <w:t>’</w:t>
      </w:r>
      <w:r w:rsidRPr="00AE2E71">
        <w:rPr>
          <w:rFonts w:ascii="Arial" w:hAnsi="Arial" w:cs="Arial"/>
          <w:bCs/>
          <w:sz w:val="22"/>
          <w:szCs w:val="22"/>
          <w:lang w:val="fr-FR"/>
        </w:rPr>
        <w:t>élection des membres du Comité se fait au scrutin secret [...]</w:t>
      </w:r>
      <w:r>
        <w:rPr>
          <w:rFonts w:ascii="Arial" w:hAnsi="Arial" w:cs="Arial"/>
          <w:bCs/>
          <w:sz w:val="22"/>
          <w:szCs w:val="22"/>
          <w:lang w:val="fr-FR"/>
        </w:rPr>
        <w:t> »</w:t>
      </w:r>
      <w:r w:rsidRPr="00AE2E71">
        <w:rPr>
          <w:rFonts w:ascii="Arial" w:hAnsi="Arial" w:cs="Arial"/>
          <w:bCs/>
          <w:sz w:val="22"/>
          <w:szCs w:val="22"/>
          <w:lang w:val="fr-FR"/>
        </w:rPr>
        <w:t>.</w:t>
      </w:r>
    </w:p>
    <w:p w14:paraId="70CDD305" w14:textId="6332351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4F2F68">
        <w:rPr>
          <w:rFonts w:ascii="Arial" w:hAnsi="Arial" w:cs="Arial"/>
          <w:b/>
          <w:sz w:val="22"/>
          <w:szCs w:val="22"/>
          <w:lang w:val="fr-FR"/>
        </w:rPr>
        <w:t>Présidente</w:t>
      </w:r>
      <w:r>
        <w:rPr>
          <w:rFonts w:ascii="Arial" w:hAnsi="Arial" w:cs="Arial"/>
          <w:bCs/>
          <w:sz w:val="22"/>
          <w:szCs w:val="22"/>
          <w:lang w:val="fr-FR"/>
        </w:rPr>
        <w:t xml:space="preserve"> a pris note du consensus en faveur de la </w:t>
      </w:r>
      <w:r w:rsidRPr="004F2F68">
        <w:rPr>
          <w:rFonts w:ascii="Arial" w:hAnsi="Arial" w:cs="Arial"/>
          <w:bCs/>
          <w:sz w:val="22"/>
          <w:szCs w:val="22"/>
          <w:lang w:val="fr-FR"/>
        </w:rPr>
        <w:t>proposition</w:t>
      </w:r>
      <w:r>
        <w:rPr>
          <w:rFonts w:ascii="Arial" w:hAnsi="Arial" w:cs="Arial"/>
          <w:bCs/>
          <w:sz w:val="22"/>
          <w:szCs w:val="22"/>
          <w:lang w:val="fr-FR"/>
        </w:rPr>
        <w:t xml:space="preserve"> du Conseiller juridique, qui a été dûment acceptée en l</w:t>
      </w:r>
      <w:r w:rsidR="008E532B">
        <w:rPr>
          <w:rFonts w:ascii="Arial" w:hAnsi="Arial" w:cs="Arial"/>
          <w:bCs/>
          <w:sz w:val="22"/>
          <w:szCs w:val="22"/>
          <w:lang w:val="fr-FR"/>
        </w:rPr>
        <w:t>’</w:t>
      </w:r>
      <w:r>
        <w:rPr>
          <w:rFonts w:ascii="Arial" w:hAnsi="Arial" w:cs="Arial"/>
          <w:bCs/>
          <w:sz w:val="22"/>
          <w:szCs w:val="22"/>
          <w:lang w:val="fr-FR"/>
        </w:rPr>
        <w:t>absence d</w:t>
      </w:r>
      <w:r w:rsidR="008E532B">
        <w:rPr>
          <w:rFonts w:ascii="Arial" w:hAnsi="Arial" w:cs="Arial"/>
          <w:bCs/>
          <w:sz w:val="22"/>
          <w:szCs w:val="22"/>
          <w:lang w:val="fr-FR"/>
        </w:rPr>
        <w:t>’</w:t>
      </w:r>
      <w:r>
        <w:rPr>
          <w:rFonts w:ascii="Arial" w:hAnsi="Arial" w:cs="Arial"/>
          <w:bCs/>
          <w:sz w:val="22"/>
          <w:szCs w:val="22"/>
          <w:lang w:val="fr-FR"/>
        </w:rPr>
        <w:t xml:space="preserve">objections. </w:t>
      </w:r>
    </w:p>
    <w:p w14:paraId="232552A4" w14:textId="6039D0EC" w:rsidR="00D9653F" w:rsidRPr="004F2F68"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F2F68">
        <w:rPr>
          <w:rFonts w:ascii="Arial" w:hAnsi="Arial" w:cs="Arial"/>
          <w:bCs/>
          <w:sz w:val="22"/>
          <w:szCs w:val="22"/>
          <w:lang w:val="fr-FR"/>
        </w:rPr>
        <w:t xml:space="preserve">La délégation de la </w:t>
      </w:r>
      <w:r w:rsidRPr="004F2F68">
        <w:rPr>
          <w:rFonts w:ascii="Arial" w:hAnsi="Arial" w:cs="Arial"/>
          <w:b/>
          <w:sz w:val="22"/>
          <w:szCs w:val="22"/>
          <w:lang w:val="fr-FR"/>
        </w:rPr>
        <w:t>Grenade</w:t>
      </w:r>
      <w:r w:rsidRPr="004F2F68">
        <w:rPr>
          <w:rFonts w:ascii="Arial" w:hAnsi="Arial" w:cs="Arial"/>
          <w:bCs/>
          <w:sz w:val="22"/>
          <w:szCs w:val="22"/>
          <w:lang w:val="fr-FR"/>
        </w:rPr>
        <w:t xml:space="preserve"> a remercié le Conseiller juridique pour son interprétation du texte. Elle a toutefois tenu à préciser qu</w:t>
      </w:r>
      <w:r w:rsidR="008E532B">
        <w:rPr>
          <w:rFonts w:ascii="Arial" w:hAnsi="Arial" w:cs="Arial"/>
          <w:bCs/>
          <w:sz w:val="22"/>
          <w:szCs w:val="22"/>
          <w:lang w:val="fr-FR"/>
        </w:rPr>
        <w:t>’</w:t>
      </w:r>
      <w:r>
        <w:rPr>
          <w:rFonts w:ascii="Arial" w:hAnsi="Arial" w:cs="Arial"/>
          <w:bCs/>
          <w:sz w:val="22"/>
          <w:szCs w:val="22"/>
          <w:lang w:val="fr-FR"/>
        </w:rPr>
        <w:t>occasionnellement</w:t>
      </w:r>
      <w:r w:rsidRPr="004F2F68">
        <w:rPr>
          <w:rFonts w:ascii="Arial" w:hAnsi="Arial" w:cs="Arial"/>
          <w:bCs/>
          <w:sz w:val="22"/>
          <w:szCs w:val="22"/>
          <w:lang w:val="fr-FR"/>
        </w:rPr>
        <w:t>, lorsqu</w:t>
      </w:r>
      <w:r w:rsidR="008E532B">
        <w:rPr>
          <w:rFonts w:ascii="Arial" w:hAnsi="Arial" w:cs="Arial"/>
          <w:bCs/>
          <w:sz w:val="22"/>
          <w:szCs w:val="22"/>
          <w:lang w:val="fr-FR"/>
        </w:rPr>
        <w:t>’</w:t>
      </w:r>
      <w:r w:rsidRPr="004F2F68">
        <w:rPr>
          <w:rFonts w:ascii="Arial" w:hAnsi="Arial" w:cs="Arial"/>
          <w:bCs/>
          <w:sz w:val="22"/>
          <w:szCs w:val="22"/>
          <w:lang w:val="fr-FR"/>
        </w:rPr>
        <w:t>il y a</w:t>
      </w:r>
      <w:r>
        <w:rPr>
          <w:rFonts w:ascii="Arial" w:hAnsi="Arial" w:cs="Arial"/>
          <w:bCs/>
          <w:sz w:val="22"/>
          <w:szCs w:val="22"/>
          <w:lang w:val="fr-FR"/>
        </w:rPr>
        <w:t>vait</w:t>
      </w:r>
      <w:r w:rsidRPr="004F2F68">
        <w:rPr>
          <w:rFonts w:ascii="Arial" w:hAnsi="Arial" w:cs="Arial"/>
          <w:bCs/>
          <w:sz w:val="22"/>
          <w:szCs w:val="22"/>
          <w:lang w:val="fr-FR"/>
        </w:rPr>
        <w:t xml:space="preserve"> un vote sensible dans d</w:t>
      </w:r>
      <w:r w:rsidR="008E532B">
        <w:rPr>
          <w:rFonts w:ascii="Arial" w:hAnsi="Arial" w:cs="Arial"/>
          <w:bCs/>
          <w:sz w:val="22"/>
          <w:szCs w:val="22"/>
          <w:lang w:val="fr-FR"/>
        </w:rPr>
        <w:t>’</w:t>
      </w:r>
      <w:r w:rsidRPr="004F2F68">
        <w:rPr>
          <w:rFonts w:ascii="Arial" w:hAnsi="Arial" w:cs="Arial"/>
          <w:bCs/>
          <w:sz w:val="22"/>
          <w:szCs w:val="22"/>
          <w:lang w:val="fr-FR"/>
        </w:rPr>
        <w:t>autres enceintes, autres que cette Assemblée, un vote à bulletin</w:t>
      </w:r>
      <w:r>
        <w:rPr>
          <w:rFonts w:ascii="Arial" w:hAnsi="Arial" w:cs="Arial"/>
          <w:bCs/>
          <w:sz w:val="22"/>
          <w:szCs w:val="22"/>
          <w:lang w:val="fr-FR"/>
        </w:rPr>
        <w:t>s</w:t>
      </w:r>
      <w:r w:rsidRPr="004F2F68">
        <w:rPr>
          <w:rFonts w:ascii="Arial" w:hAnsi="Arial" w:cs="Arial"/>
          <w:bCs/>
          <w:sz w:val="22"/>
          <w:szCs w:val="22"/>
          <w:lang w:val="fr-FR"/>
        </w:rPr>
        <w:t xml:space="preserve"> secret</w:t>
      </w:r>
      <w:r>
        <w:rPr>
          <w:rFonts w:ascii="Arial" w:hAnsi="Arial" w:cs="Arial"/>
          <w:bCs/>
          <w:sz w:val="22"/>
          <w:szCs w:val="22"/>
          <w:lang w:val="fr-FR"/>
        </w:rPr>
        <w:t>s</w:t>
      </w:r>
      <w:r w:rsidRPr="004F2F68">
        <w:rPr>
          <w:rFonts w:ascii="Arial" w:hAnsi="Arial" w:cs="Arial"/>
          <w:bCs/>
          <w:sz w:val="22"/>
          <w:szCs w:val="22"/>
          <w:lang w:val="fr-FR"/>
        </w:rPr>
        <w:t xml:space="preserve"> </w:t>
      </w:r>
      <w:r>
        <w:rPr>
          <w:rFonts w:ascii="Arial" w:hAnsi="Arial" w:cs="Arial"/>
          <w:bCs/>
          <w:sz w:val="22"/>
          <w:szCs w:val="22"/>
          <w:lang w:val="fr-FR"/>
        </w:rPr>
        <w:t>était</w:t>
      </w:r>
      <w:r w:rsidRPr="004F2F68">
        <w:rPr>
          <w:rFonts w:ascii="Arial" w:hAnsi="Arial" w:cs="Arial"/>
          <w:bCs/>
          <w:sz w:val="22"/>
          <w:szCs w:val="22"/>
          <w:lang w:val="fr-FR"/>
        </w:rPr>
        <w:t xml:space="preserve"> possible et</w:t>
      </w:r>
      <w:r>
        <w:rPr>
          <w:rFonts w:ascii="Arial" w:hAnsi="Arial" w:cs="Arial"/>
          <w:bCs/>
          <w:sz w:val="22"/>
          <w:szCs w:val="22"/>
          <w:lang w:val="fr-FR"/>
        </w:rPr>
        <w:t xml:space="preserve"> pouvait</w:t>
      </w:r>
      <w:r w:rsidRPr="004F2F68">
        <w:rPr>
          <w:rFonts w:ascii="Arial" w:hAnsi="Arial" w:cs="Arial"/>
          <w:bCs/>
          <w:sz w:val="22"/>
          <w:szCs w:val="22"/>
          <w:lang w:val="fr-FR"/>
        </w:rPr>
        <w:t xml:space="preserve"> être demandé. La délégation a néanmoins pris note que, selon l</w:t>
      </w:r>
      <w:r w:rsidR="008E532B">
        <w:rPr>
          <w:rFonts w:ascii="Arial" w:hAnsi="Arial" w:cs="Arial"/>
          <w:bCs/>
          <w:sz w:val="22"/>
          <w:szCs w:val="22"/>
          <w:lang w:val="fr-FR"/>
        </w:rPr>
        <w:t>’</w:t>
      </w:r>
      <w:r w:rsidRPr="004F2F68">
        <w:rPr>
          <w:rFonts w:ascii="Arial" w:hAnsi="Arial" w:cs="Arial"/>
          <w:bCs/>
          <w:sz w:val="22"/>
          <w:szCs w:val="22"/>
          <w:lang w:val="fr-FR"/>
        </w:rPr>
        <w:t>interprétation du Conseiller juridique, il n</w:t>
      </w:r>
      <w:r w:rsidR="008E532B">
        <w:rPr>
          <w:rFonts w:ascii="Arial" w:hAnsi="Arial" w:cs="Arial"/>
          <w:bCs/>
          <w:sz w:val="22"/>
          <w:szCs w:val="22"/>
          <w:lang w:val="fr-FR"/>
        </w:rPr>
        <w:t>’</w:t>
      </w:r>
      <w:r w:rsidRPr="004F2F68">
        <w:rPr>
          <w:rFonts w:ascii="Arial" w:hAnsi="Arial" w:cs="Arial"/>
          <w:bCs/>
          <w:sz w:val="22"/>
          <w:szCs w:val="22"/>
          <w:lang w:val="fr-FR"/>
        </w:rPr>
        <w:t>y a</w:t>
      </w:r>
      <w:r>
        <w:rPr>
          <w:rFonts w:ascii="Arial" w:hAnsi="Arial" w:cs="Arial"/>
          <w:bCs/>
          <w:sz w:val="22"/>
          <w:szCs w:val="22"/>
          <w:lang w:val="fr-FR"/>
        </w:rPr>
        <w:t>vait</w:t>
      </w:r>
      <w:r w:rsidRPr="004F2F68">
        <w:rPr>
          <w:rFonts w:ascii="Arial" w:hAnsi="Arial" w:cs="Arial"/>
          <w:bCs/>
          <w:sz w:val="22"/>
          <w:szCs w:val="22"/>
          <w:lang w:val="fr-FR"/>
        </w:rPr>
        <w:t xml:space="preserve"> pas d</w:t>
      </w:r>
      <w:r w:rsidR="008E532B">
        <w:rPr>
          <w:rFonts w:ascii="Arial" w:hAnsi="Arial" w:cs="Arial"/>
          <w:bCs/>
          <w:sz w:val="22"/>
          <w:szCs w:val="22"/>
          <w:lang w:val="fr-FR"/>
        </w:rPr>
        <w:t>’</w:t>
      </w:r>
      <w:r w:rsidRPr="004F2F68">
        <w:rPr>
          <w:rFonts w:ascii="Arial" w:hAnsi="Arial" w:cs="Arial"/>
          <w:bCs/>
          <w:sz w:val="22"/>
          <w:szCs w:val="22"/>
          <w:lang w:val="fr-FR"/>
        </w:rPr>
        <w:t>autre possibilité dans cette Assemblée.</w:t>
      </w:r>
    </w:p>
    <w:p w14:paraId="69E01FBD" w14:textId="287BF750" w:rsidR="00D9653F" w:rsidRPr="004F2F68"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4F2F68">
        <w:rPr>
          <w:rFonts w:ascii="Arial" w:hAnsi="Arial" w:cs="Arial"/>
          <w:bCs/>
          <w:sz w:val="22"/>
          <w:szCs w:val="22"/>
          <w:lang w:val="fr-FR"/>
        </w:rPr>
        <w:t xml:space="preserve">La délégation de la </w:t>
      </w:r>
      <w:r w:rsidRPr="004F2F68">
        <w:rPr>
          <w:rFonts w:ascii="Arial" w:hAnsi="Arial" w:cs="Arial"/>
          <w:b/>
          <w:sz w:val="22"/>
          <w:szCs w:val="22"/>
          <w:lang w:val="fr-FR"/>
        </w:rPr>
        <w:t>Türkiye</w:t>
      </w:r>
      <w:r w:rsidRPr="004F2F68">
        <w:rPr>
          <w:rFonts w:ascii="Arial" w:hAnsi="Arial" w:cs="Arial"/>
          <w:bCs/>
          <w:sz w:val="22"/>
          <w:szCs w:val="22"/>
          <w:lang w:val="fr-FR"/>
        </w:rPr>
        <w:t xml:space="preserve"> </w:t>
      </w:r>
      <w:r>
        <w:rPr>
          <w:rFonts w:ascii="Arial" w:hAnsi="Arial" w:cs="Arial"/>
          <w:bCs/>
          <w:sz w:val="22"/>
          <w:szCs w:val="22"/>
          <w:lang w:val="fr-FR"/>
        </w:rPr>
        <w:t xml:space="preserve">a </w:t>
      </w:r>
      <w:r w:rsidRPr="004F2F68">
        <w:rPr>
          <w:rFonts w:ascii="Arial" w:hAnsi="Arial" w:cs="Arial"/>
          <w:bCs/>
          <w:sz w:val="22"/>
          <w:szCs w:val="22"/>
          <w:lang w:val="fr-FR"/>
        </w:rPr>
        <w:t>soul</w:t>
      </w:r>
      <w:r>
        <w:rPr>
          <w:rFonts w:ascii="Arial" w:hAnsi="Arial" w:cs="Arial"/>
          <w:bCs/>
          <w:sz w:val="22"/>
          <w:szCs w:val="22"/>
          <w:lang w:val="fr-FR"/>
        </w:rPr>
        <w:t>evé</w:t>
      </w:r>
      <w:r w:rsidRPr="004F2F68">
        <w:rPr>
          <w:rFonts w:ascii="Arial" w:hAnsi="Arial" w:cs="Arial"/>
          <w:bCs/>
          <w:sz w:val="22"/>
          <w:szCs w:val="22"/>
          <w:lang w:val="fr-FR"/>
        </w:rPr>
        <w:t xml:space="preserve"> deux points sur le</w:t>
      </w:r>
      <w:r>
        <w:rPr>
          <w:rFonts w:ascii="Arial" w:hAnsi="Arial" w:cs="Arial"/>
          <w:bCs/>
          <w:sz w:val="22"/>
          <w:szCs w:val="22"/>
          <w:lang w:val="fr-FR"/>
        </w:rPr>
        <w:t>s</w:t>
      </w:r>
      <w:r w:rsidRPr="004F2F68">
        <w:rPr>
          <w:rFonts w:ascii="Arial" w:hAnsi="Arial" w:cs="Arial"/>
          <w:bCs/>
          <w:sz w:val="22"/>
          <w:szCs w:val="22"/>
          <w:lang w:val="fr-FR"/>
        </w:rPr>
        <w:t xml:space="preserve"> nouve</w:t>
      </w:r>
      <w:r>
        <w:rPr>
          <w:rFonts w:ascii="Arial" w:hAnsi="Arial" w:cs="Arial"/>
          <w:bCs/>
          <w:sz w:val="22"/>
          <w:szCs w:val="22"/>
          <w:lang w:val="fr-FR"/>
        </w:rPr>
        <w:t>aux</w:t>
      </w:r>
      <w:r w:rsidRPr="004F2F68">
        <w:rPr>
          <w:rFonts w:ascii="Arial" w:hAnsi="Arial" w:cs="Arial"/>
          <w:bCs/>
          <w:sz w:val="22"/>
          <w:szCs w:val="22"/>
          <w:lang w:val="fr-FR"/>
        </w:rPr>
        <w:t xml:space="preserve"> article</w:t>
      </w:r>
      <w:r>
        <w:rPr>
          <w:rFonts w:ascii="Arial" w:hAnsi="Arial" w:cs="Arial"/>
          <w:bCs/>
          <w:sz w:val="22"/>
          <w:szCs w:val="22"/>
          <w:lang w:val="fr-FR"/>
        </w:rPr>
        <w:t> </w:t>
      </w:r>
      <w:r w:rsidRPr="004F2F68">
        <w:rPr>
          <w:rFonts w:ascii="Arial" w:hAnsi="Arial" w:cs="Arial"/>
          <w:bCs/>
          <w:sz w:val="22"/>
          <w:szCs w:val="22"/>
          <w:lang w:val="fr-FR"/>
        </w:rPr>
        <w:t>5.2 et</w:t>
      </w:r>
      <w:r>
        <w:rPr>
          <w:rFonts w:ascii="Arial" w:hAnsi="Arial" w:cs="Arial"/>
          <w:bCs/>
          <w:sz w:val="22"/>
          <w:szCs w:val="22"/>
          <w:lang w:val="fr-FR"/>
        </w:rPr>
        <w:t> </w:t>
      </w:r>
      <w:r w:rsidRPr="004F2F68">
        <w:rPr>
          <w:rFonts w:ascii="Arial" w:hAnsi="Arial" w:cs="Arial"/>
          <w:bCs/>
          <w:sz w:val="22"/>
          <w:szCs w:val="22"/>
          <w:lang w:val="fr-FR"/>
        </w:rPr>
        <w:t>7.4. L</w:t>
      </w:r>
      <w:r w:rsidR="008E532B">
        <w:rPr>
          <w:rFonts w:ascii="Arial" w:hAnsi="Arial" w:cs="Arial"/>
          <w:bCs/>
          <w:sz w:val="22"/>
          <w:szCs w:val="22"/>
          <w:lang w:val="fr-FR"/>
        </w:rPr>
        <w:t>’</w:t>
      </w:r>
      <w:r w:rsidRPr="004F2F68">
        <w:rPr>
          <w:rFonts w:ascii="Arial" w:hAnsi="Arial" w:cs="Arial"/>
          <w:bCs/>
          <w:sz w:val="22"/>
          <w:szCs w:val="22"/>
          <w:lang w:val="fr-FR"/>
        </w:rPr>
        <w:t>article</w:t>
      </w:r>
      <w:r>
        <w:rPr>
          <w:rFonts w:ascii="Arial" w:hAnsi="Arial" w:cs="Arial"/>
          <w:bCs/>
          <w:sz w:val="22"/>
          <w:szCs w:val="22"/>
          <w:lang w:val="fr-FR"/>
        </w:rPr>
        <w:t> </w:t>
      </w:r>
      <w:r w:rsidRPr="004F2F68">
        <w:rPr>
          <w:rFonts w:ascii="Arial" w:hAnsi="Arial" w:cs="Arial"/>
          <w:bCs/>
          <w:sz w:val="22"/>
          <w:szCs w:val="22"/>
          <w:lang w:val="fr-FR"/>
        </w:rPr>
        <w:t>5.2 stipul</w:t>
      </w:r>
      <w:r>
        <w:rPr>
          <w:rFonts w:ascii="Arial" w:hAnsi="Arial" w:cs="Arial"/>
          <w:bCs/>
          <w:sz w:val="22"/>
          <w:szCs w:val="22"/>
          <w:lang w:val="fr-FR"/>
        </w:rPr>
        <w:t>ait</w:t>
      </w:r>
      <w:r w:rsidRPr="004F2F68">
        <w:rPr>
          <w:rFonts w:ascii="Arial" w:hAnsi="Arial" w:cs="Arial"/>
          <w:bCs/>
          <w:sz w:val="22"/>
          <w:szCs w:val="22"/>
          <w:lang w:val="fr-FR"/>
        </w:rPr>
        <w:t xml:space="preserve"> : </w:t>
      </w:r>
      <w:r>
        <w:rPr>
          <w:rFonts w:ascii="Arial" w:hAnsi="Arial" w:cs="Arial"/>
          <w:bCs/>
          <w:sz w:val="22"/>
          <w:szCs w:val="22"/>
          <w:lang w:val="fr-FR"/>
        </w:rPr>
        <w:t xml:space="preserve">« Sauf si </w:t>
      </w:r>
      <w:r w:rsidRPr="004F2F68">
        <w:rPr>
          <w:rFonts w:ascii="Arial" w:hAnsi="Arial" w:cs="Arial"/>
          <w:bCs/>
          <w:sz w:val="22"/>
          <w:szCs w:val="22"/>
          <w:lang w:val="fr-FR"/>
        </w:rPr>
        <w:t xml:space="preserve">la date </w:t>
      </w:r>
      <w:r>
        <w:rPr>
          <w:rFonts w:ascii="Arial" w:hAnsi="Arial" w:cs="Arial"/>
          <w:bCs/>
          <w:sz w:val="22"/>
          <w:szCs w:val="22"/>
          <w:lang w:val="fr-FR"/>
        </w:rPr>
        <w:t xml:space="preserve">a </w:t>
      </w:r>
      <w:r w:rsidRPr="004F2F68">
        <w:rPr>
          <w:rFonts w:ascii="Arial" w:hAnsi="Arial" w:cs="Arial"/>
          <w:bCs/>
          <w:sz w:val="22"/>
          <w:szCs w:val="22"/>
          <w:lang w:val="fr-FR"/>
        </w:rPr>
        <w:t>été décidée par l</w:t>
      </w:r>
      <w:r w:rsidR="008E532B">
        <w:rPr>
          <w:rFonts w:ascii="Arial" w:hAnsi="Arial" w:cs="Arial"/>
          <w:bCs/>
          <w:sz w:val="22"/>
          <w:szCs w:val="22"/>
          <w:lang w:val="fr-FR"/>
        </w:rPr>
        <w:t>’</w:t>
      </w:r>
      <w:r w:rsidRPr="004F2F68">
        <w:rPr>
          <w:rFonts w:ascii="Arial" w:hAnsi="Arial" w:cs="Arial"/>
          <w:bCs/>
          <w:sz w:val="22"/>
          <w:szCs w:val="22"/>
          <w:lang w:val="fr-FR"/>
        </w:rPr>
        <w:t xml:space="preserve">Assemblée, </w:t>
      </w:r>
      <w:r>
        <w:rPr>
          <w:rFonts w:ascii="Arial" w:hAnsi="Arial" w:cs="Arial"/>
          <w:bCs/>
          <w:sz w:val="22"/>
          <w:szCs w:val="22"/>
          <w:lang w:val="fr-FR"/>
        </w:rPr>
        <w:t>le/la</w:t>
      </w:r>
      <w:r w:rsidRPr="004F2F68">
        <w:rPr>
          <w:rFonts w:ascii="Arial" w:hAnsi="Arial" w:cs="Arial"/>
          <w:bCs/>
          <w:sz w:val="22"/>
          <w:szCs w:val="22"/>
          <w:lang w:val="fr-FR"/>
        </w:rPr>
        <w:t xml:space="preserve"> Directeur</w:t>
      </w:r>
      <w:r>
        <w:rPr>
          <w:rFonts w:ascii="Arial" w:hAnsi="Arial" w:cs="Arial"/>
          <w:bCs/>
          <w:sz w:val="22"/>
          <w:szCs w:val="22"/>
          <w:lang w:val="fr-FR"/>
        </w:rPr>
        <w:t>/Directrice général(e) détermine</w:t>
      </w:r>
      <w:r w:rsidRPr="004F2F68">
        <w:rPr>
          <w:rFonts w:ascii="Arial" w:hAnsi="Arial" w:cs="Arial"/>
          <w:bCs/>
          <w:sz w:val="22"/>
          <w:szCs w:val="22"/>
          <w:lang w:val="fr-FR"/>
        </w:rPr>
        <w:t xml:space="preserve"> la date de la session extraordinaire</w:t>
      </w:r>
      <w:r>
        <w:rPr>
          <w:rFonts w:ascii="Arial" w:hAnsi="Arial" w:cs="Arial"/>
          <w:bCs/>
          <w:sz w:val="22"/>
          <w:szCs w:val="22"/>
          <w:lang w:val="fr-FR"/>
        </w:rPr>
        <w:t> »</w:t>
      </w:r>
      <w:r w:rsidRPr="004F2F68">
        <w:rPr>
          <w:rFonts w:ascii="Arial" w:hAnsi="Arial" w:cs="Arial"/>
          <w:bCs/>
          <w:sz w:val="22"/>
          <w:szCs w:val="22"/>
          <w:lang w:val="fr-FR"/>
        </w:rPr>
        <w:t xml:space="preserve">. Cependant, aucun délai ou date limite </w:t>
      </w:r>
      <w:r>
        <w:rPr>
          <w:rFonts w:ascii="Arial" w:hAnsi="Arial" w:cs="Arial"/>
          <w:bCs/>
          <w:sz w:val="22"/>
          <w:szCs w:val="22"/>
          <w:lang w:val="fr-FR"/>
        </w:rPr>
        <w:t>n</w:t>
      </w:r>
      <w:r w:rsidR="008E532B">
        <w:rPr>
          <w:rFonts w:ascii="Arial" w:hAnsi="Arial" w:cs="Arial"/>
          <w:bCs/>
          <w:sz w:val="22"/>
          <w:szCs w:val="22"/>
          <w:lang w:val="fr-FR"/>
        </w:rPr>
        <w:t>’</w:t>
      </w:r>
      <w:r>
        <w:rPr>
          <w:rFonts w:ascii="Arial" w:hAnsi="Arial" w:cs="Arial"/>
          <w:bCs/>
          <w:sz w:val="22"/>
          <w:szCs w:val="22"/>
          <w:lang w:val="fr-FR"/>
        </w:rPr>
        <w:t xml:space="preserve">était prévu </w:t>
      </w:r>
      <w:r w:rsidRPr="004F2F68">
        <w:rPr>
          <w:rFonts w:ascii="Arial" w:hAnsi="Arial" w:cs="Arial"/>
          <w:bCs/>
          <w:sz w:val="22"/>
          <w:szCs w:val="22"/>
          <w:lang w:val="fr-FR"/>
        </w:rPr>
        <w:t xml:space="preserve">pour la </w:t>
      </w:r>
      <w:r>
        <w:rPr>
          <w:rFonts w:ascii="Arial" w:hAnsi="Arial" w:cs="Arial"/>
          <w:bCs/>
          <w:sz w:val="22"/>
          <w:szCs w:val="22"/>
          <w:lang w:val="fr-FR"/>
        </w:rPr>
        <w:t xml:space="preserve">tenue de la </w:t>
      </w:r>
      <w:r w:rsidRPr="004F2F68">
        <w:rPr>
          <w:rFonts w:ascii="Arial" w:hAnsi="Arial" w:cs="Arial"/>
          <w:bCs/>
          <w:sz w:val="22"/>
          <w:szCs w:val="22"/>
          <w:lang w:val="fr-FR"/>
        </w:rPr>
        <w:t>session extraordinaire, c</w:t>
      </w:r>
      <w:r>
        <w:rPr>
          <w:rFonts w:ascii="Arial" w:hAnsi="Arial" w:cs="Arial"/>
          <w:bCs/>
          <w:sz w:val="22"/>
          <w:szCs w:val="22"/>
          <w:lang w:val="fr-FR"/>
        </w:rPr>
        <w:t>ontrairement à</w:t>
      </w:r>
      <w:r w:rsidRPr="004F2F68">
        <w:rPr>
          <w:rFonts w:ascii="Arial" w:hAnsi="Arial" w:cs="Arial"/>
          <w:bCs/>
          <w:sz w:val="22"/>
          <w:szCs w:val="22"/>
          <w:lang w:val="fr-FR"/>
        </w:rPr>
        <w:t xml:space="preserve"> </w:t>
      </w:r>
      <w:r>
        <w:rPr>
          <w:rFonts w:ascii="Arial" w:hAnsi="Arial" w:cs="Arial"/>
          <w:bCs/>
          <w:sz w:val="22"/>
          <w:szCs w:val="22"/>
          <w:lang w:val="fr-FR"/>
        </w:rPr>
        <w:t xml:space="preserve">ce </w:t>
      </w:r>
      <w:r w:rsidRPr="004F2F68">
        <w:rPr>
          <w:rFonts w:ascii="Arial" w:hAnsi="Arial" w:cs="Arial"/>
          <w:bCs/>
          <w:sz w:val="22"/>
          <w:szCs w:val="22"/>
          <w:lang w:val="fr-FR"/>
        </w:rPr>
        <w:t xml:space="preserve">qui </w:t>
      </w:r>
      <w:r>
        <w:rPr>
          <w:rFonts w:ascii="Arial" w:hAnsi="Arial" w:cs="Arial"/>
          <w:bCs/>
          <w:sz w:val="22"/>
          <w:szCs w:val="22"/>
          <w:lang w:val="fr-FR"/>
        </w:rPr>
        <w:t>est</w:t>
      </w:r>
      <w:r w:rsidRPr="004F2F68">
        <w:rPr>
          <w:rFonts w:ascii="Arial" w:hAnsi="Arial" w:cs="Arial"/>
          <w:bCs/>
          <w:sz w:val="22"/>
          <w:szCs w:val="22"/>
          <w:lang w:val="fr-FR"/>
        </w:rPr>
        <w:t xml:space="preserve"> spécifié dans d</w:t>
      </w:r>
      <w:r w:rsidR="008E532B">
        <w:rPr>
          <w:rFonts w:ascii="Arial" w:hAnsi="Arial" w:cs="Arial"/>
          <w:bCs/>
          <w:sz w:val="22"/>
          <w:szCs w:val="22"/>
          <w:lang w:val="fr-FR"/>
        </w:rPr>
        <w:t>’</w:t>
      </w:r>
      <w:r w:rsidRPr="004F2F68">
        <w:rPr>
          <w:rFonts w:ascii="Arial" w:hAnsi="Arial" w:cs="Arial"/>
          <w:bCs/>
          <w:sz w:val="22"/>
          <w:szCs w:val="22"/>
          <w:lang w:val="fr-FR"/>
        </w:rPr>
        <w:t>autres conventions de l</w:t>
      </w:r>
      <w:r w:rsidR="008E532B">
        <w:rPr>
          <w:rFonts w:ascii="Arial" w:hAnsi="Arial" w:cs="Arial"/>
          <w:bCs/>
          <w:sz w:val="22"/>
          <w:szCs w:val="22"/>
          <w:lang w:val="fr-FR"/>
        </w:rPr>
        <w:t>’</w:t>
      </w:r>
      <w:r w:rsidRPr="004F2F68">
        <w:rPr>
          <w:rFonts w:ascii="Arial" w:hAnsi="Arial" w:cs="Arial"/>
          <w:bCs/>
          <w:sz w:val="22"/>
          <w:szCs w:val="22"/>
          <w:lang w:val="fr-FR"/>
        </w:rPr>
        <w:t xml:space="preserve">UNESCO. La délégation a donc suggéré une formulation à placer à la fin du paragraphe, qui serait la suivante : </w:t>
      </w:r>
      <w:r>
        <w:rPr>
          <w:rFonts w:ascii="Arial" w:hAnsi="Arial" w:cs="Arial"/>
          <w:bCs/>
          <w:sz w:val="22"/>
          <w:szCs w:val="22"/>
          <w:lang w:val="fr-FR"/>
        </w:rPr>
        <w:t>« </w:t>
      </w:r>
      <w:r w:rsidRPr="004F2F68">
        <w:rPr>
          <w:rFonts w:ascii="Arial" w:hAnsi="Arial" w:cs="Arial"/>
          <w:bCs/>
          <w:sz w:val="22"/>
          <w:szCs w:val="22"/>
          <w:lang w:val="fr-FR"/>
        </w:rPr>
        <w:t xml:space="preserve">En tout état de cause, la </w:t>
      </w:r>
      <w:r>
        <w:rPr>
          <w:rFonts w:ascii="Arial" w:hAnsi="Arial" w:cs="Arial"/>
          <w:bCs/>
          <w:sz w:val="22"/>
          <w:szCs w:val="22"/>
          <w:lang w:val="fr-FR"/>
        </w:rPr>
        <w:t xml:space="preserve">date de la </w:t>
      </w:r>
      <w:r w:rsidRPr="004F2F68">
        <w:rPr>
          <w:rFonts w:ascii="Arial" w:hAnsi="Arial" w:cs="Arial"/>
          <w:bCs/>
          <w:sz w:val="22"/>
          <w:szCs w:val="22"/>
          <w:lang w:val="fr-FR"/>
        </w:rPr>
        <w:t xml:space="preserve">session extraordinaire doit être </w:t>
      </w:r>
      <w:r>
        <w:rPr>
          <w:rFonts w:ascii="Arial" w:hAnsi="Arial" w:cs="Arial"/>
          <w:bCs/>
          <w:sz w:val="22"/>
          <w:szCs w:val="22"/>
          <w:lang w:val="fr-FR"/>
        </w:rPr>
        <w:t xml:space="preserve">déterminée </w:t>
      </w:r>
      <w:r w:rsidRPr="004F2F68">
        <w:rPr>
          <w:rFonts w:ascii="Arial" w:hAnsi="Arial" w:cs="Arial"/>
          <w:bCs/>
          <w:sz w:val="22"/>
          <w:szCs w:val="22"/>
          <w:lang w:val="fr-FR"/>
        </w:rPr>
        <w:t>dans les</w:t>
      </w:r>
      <w:r>
        <w:rPr>
          <w:rFonts w:ascii="Arial" w:hAnsi="Arial" w:cs="Arial"/>
          <w:bCs/>
          <w:sz w:val="22"/>
          <w:szCs w:val="22"/>
          <w:lang w:val="fr-FR"/>
        </w:rPr>
        <w:t xml:space="preserve"> quarante-cinq </w:t>
      </w:r>
      <w:r w:rsidRPr="004F2F68">
        <w:rPr>
          <w:rFonts w:ascii="Arial" w:hAnsi="Arial" w:cs="Arial"/>
          <w:bCs/>
          <w:sz w:val="22"/>
          <w:szCs w:val="22"/>
          <w:lang w:val="fr-FR"/>
        </w:rPr>
        <w:t>jours qui suivent la décision prise par l</w:t>
      </w:r>
      <w:r w:rsidR="008E532B">
        <w:rPr>
          <w:rFonts w:ascii="Arial" w:hAnsi="Arial" w:cs="Arial"/>
          <w:bCs/>
          <w:sz w:val="22"/>
          <w:szCs w:val="22"/>
          <w:lang w:val="fr-FR"/>
        </w:rPr>
        <w:t>’</w:t>
      </w:r>
      <w:r w:rsidRPr="004F2F68">
        <w:rPr>
          <w:rFonts w:ascii="Arial" w:hAnsi="Arial" w:cs="Arial"/>
          <w:bCs/>
          <w:sz w:val="22"/>
          <w:szCs w:val="22"/>
          <w:lang w:val="fr-FR"/>
        </w:rPr>
        <w:t>Assemblée</w:t>
      </w:r>
      <w:r>
        <w:rPr>
          <w:rFonts w:ascii="Arial" w:hAnsi="Arial" w:cs="Arial"/>
          <w:bCs/>
          <w:sz w:val="22"/>
          <w:szCs w:val="22"/>
          <w:lang w:val="fr-FR"/>
        </w:rPr>
        <w:t> »</w:t>
      </w:r>
      <w:r w:rsidRPr="004F2F68">
        <w:rPr>
          <w:rFonts w:ascii="Arial" w:hAnsi="Arial" w:cs="Arial"/>
          <w:bCs/>
          <w:sz w:val="22"/>
          <w:szCs w:val="22"/>
          <w:lang w:val="fr-FR"/>
        </w:rPr>
        <w:t>. Elle a suggéré que le Secrétariat définisse un délai approprié.</w:t>
      </w:r>
    </w:p>
    <w:p w14:paraId="562E7E69" w14:textId="1E6D23EF" w:rsidR="00D9653F" w:rsidRPr="00024F7A"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24F7A">
        <w:rPr>
          <w:rFonts w:ascii="Arial" w:hAnsi="Arial" w:cs="Arial"/>
          <w:bCs/>
          <w:sz w:val="22"/>
          <w:szCs w:val="22"/>
          <w:lang w:val="fr-FR"/>
        </w:rPr>
        <w:t xml:space="preserve">Le </w:t>
      </w:r>
      <w:r w:rsidRPr="00024F7A">
        <w:rPr>
          <w:rFonts w:ascii="Arial" w:hAnsi="Arial" w:cs="Arial"/>
          <w:b/>
          <w:sz w:val="22"/>
          <w:szCs w:val="22"/>
          <w:lang w:val="fr-FR"/>
        </w:rPr>
        <w:t>Conseiller juridique</w:t>
      </w:r>
      <w:r w:rsidRPr="00024F7A">
        <w:rPr>
          <w:rFonts w:ascii="Arial" w:hAnsi="Arial" w:cs="Arial"/>
          <w:bCs/>
          <w:sz w:val="22"/>
          <w:szCs w:val="22"/>
          <w:lang w:val="fr-FR"/>
        </w:rPr>
        <w:t xml:space="preserve"> n</w:t>
      </w:r>
      <w:r>
        <w:rPr>
          <w:rFonts w:ascii="Arial" w:hAnsi="Arial" w:cs="Arial"/>
          <w:bCs/>
          <w:sz w:val="22"/>
          <w:szCs w:val="22"/>
          <w:lang w:val="fr-FR"/>
        </w:rPr>
        <w:t xml:space="preserve">e comprenait </w:t>
      </w:r>
      <w:r w:rsidRPr="00024F7A">
        <w:rPr>
          <w:rFonts w:ascii="Arial" w:hAnsi="Arial" w:cs="Arial"/>
          <w:bCs/>
          <w:sz w:val="22"/>
          <w:szCs w:val="22"/>
          <w:lang w:val="fr-FR"/>
        </w:rPr>
        <w:t>pas bien</w:t>
      </w:r>
      <w:r>
        <w:rPr>
          <w:rFonts w:ascii="Arial" w:hAnsi="Arial" w:cs="Arial"/>
          <w:bCs/>
          <w:sz w:val="22"/>
          <w:szCs w:val="22"/>
          <w:lang w:val="fr-FR"/>
        </w:rPr>
        <w:t xml:space="preserve"> </w:t>
      </w:r>
      <w:r w:rsidRPr="00024F7A">
        <w:rPr>
          <w:rFonts w:ascii="Arial" w:hAnsi="Arial" w:cs="Arial"/>
          <w:bCs/>
          <w:sz w:val="22"/>
          <w:szCs w:val="22"/>
          <w:lang w:val="fr-FR"/>
        </w:rPr>
        <w:t>ce qu</w:t>
      </w:r>
      <w:r w:rsidR="008E532B">
        <w:rPr>
          <w:rFonts w:ascii="Arial" w:hAnsi="Arial" w:cs="Arial"/>
          <w:bCs/>
          <w:sz w:val="22"/>
          <w:szCs w:val="22"/>
          <w:lang w:val="fr-FR"/>
        </w:rPr>
        <w:t>’</w:t>
      </w:r>
      <w:r w:rsidRPr="00024F7A">
        <w:rPr>
          <w:rFonts w:ascii="Arial" w:hAnsi="Arial" w:cs="Arial"/>
          <w:bCs/>
          <w:sz w:val="22"/>
          <w:szCs w:val="22"/>
          <w:lang w:val="fr-FR"/>
        </w:rPr>
        <w:t>impliquait</w:t>
      </w:r>
      <w:r>
        <w:rPr>
          <w:rFonts w:ascii="Arial" w:hAnsi="Arial" w:cs="Arial"/>
          <w:bCs/>
          <w:sz w:val="22"/>
          <w:szCs w:val="22"/>
          <w:lang w:val="fr-FR"/>
        </w:rPr>
        <w:t xml:space="preserve"> le terme</w:t>
      </w:r>
      <w:r w:rsidRPr="00024F7A">
        <w:rPr>
          <w:rFonts w:ascii="Arial" w:hAnsi="Arial" w:cs="Arial"/>
          <w:bCs/>
          <w:sz w:val="22"/>
          <w:szCs w:val="22"/>
          <w:lang w:val="fr-FR"/>
        </w:rPr>
        <w:t xml:space="preserve"> </w:t>
      </w:r>
      <w:r>
        <w:rPr>
          <w:rFonts w:ascii="Arial" w:hAnsi="Arial" w:cs="Arial"/>
          <w:bCs/>
          <w:sz w:val="22"/>
          <w:szCs w:val="22"/>
          <w:lang w:val="fr-FR"/>
        </w:rPr>
        <w:t>« </w:t>
      </w:r>
      <w:r w:rsidRPr="00024F7A">
        <w:rPr>
          <w:rFonts w:ascii="Arial" w:hAnsi="Arial" w:cs="Arial"/>
          <w:bCs/>
          <w:sz w:val="22"/>
          <w:szCs w:val="22"/>
          <w:lang w:val="fr-FR"/>
        </w:rPr>
        <w:t>quarante</w:t>
      </w:r>
      <w:r>
        <w:rPr>
          <w:rFonts w:ascii="Arial" w:hAnsi="Arial" w:cs="Arial"/>
          <w:bCs/>
          <w:sz w:val="22"/>
          <w:szCs w:val="22"/>
          <w:lang w:val="fr-FR"/>
        </w:rPr>
        <w:noBreakHyphen/>
      </w:r>
      <w:r w:rsidRPr="00024F7A">
        <w:rPr>
          <w:rFonts w:ascii="Arial" w:hAnsi="Arial" w:cs="Arial"/>
          <w:bCs/>
          <w:sz w:val="22"/>
          <w:szCs w:val="22"/>
          <w:lang w:val="fr-FR"/>
        </w:rPr>
        <w:t>cinq jours après la décision prise par l</w:t>
      </w:r>
      <w:r w:rsidR="008E532B">
        <w:rPr>
          <w:rFonts w:ascii="Arial" w:hAnsi="Arial" w:cs="Arial"/>
          <w:bCs/>
          <w:sz w:val="22"/>
          <w:szCs w:val="22"/>
          <w:lang w:val="fr-FR"/>
        </w:rPr>
        <w:t>’</w:t>
      </w:r>
      <w:r w:rsidRPr="00024F7A">
        <w:rPr>
          <w:rFonts w:ascii="Arial" w:hAnsi="Arial" w:cs="Arial"/>
          <w:bCs/>
          <w:sz w:val="22"/>
          <w:szCs w:val="22"/>
          <w:lang w:val="fr-FR"/>
        </w:rPr>
        <w:t>Assemblée</w:t>
      </w:r>
      <w:r>
        <w:rPr>
          <w:rFonts w:ascii="Arial" w:hAnsi="Arial" w:cs="Arial"/>
          <w:bCs/>
          <w:sz w:val="22"/>
          <w:szCs w:val="22"/>
          <w:lang w:val="fr-FR"/>
        </w:rPr>
        <w:t> »</w:t>
      </w:r>
      <w:r w:rsidRPr="00024F7A">
        <w:rPr>
          <w:rFonts w:ascii="Arial" w:hAnsi="Arial" w:cs="Arial"/>
          <w:bCs/>
          <w:sz w:val="22"/>
          <w:szCs w:val="22"/>
          <w:lang w:val="fr-FR"/>
        </w:rPr>
        <w:t xml:space="preserve">. </w:t>
      </w:r>
      <w:r>
        <w:rPr>
          <w:rFonts w:ascii="Arial" w:hAnsi="Arial" w:cs="Arial"/>
          <w:bCs/>
          <w:sz w:val="22"/>
          <w:szCs w:val="22"/>
          <w:lang w:val="fr-FR"/>
        </w:rPr>
        <w:t>De q</w:t>
      </w:r>
      <w:r w:rsidRPr="00024F7A">
        <w:rPr>
          <w:rFonts w:ascii="Arial" w:hAnsi="Arial" w:cs="Arial"/>
          <w:bCs/>
          <w:sz w:val="22"/>
          <w:szCs w:val="22"/>
          <w:lang w:val="fr-FR"/>
        </w:rPr>
        <w:t>uelle décision</w:t>
      </w:r>
      <w:r>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agissait-il </w:t>
      </w:r>
      <w:r w:rsidRPr="00024F7A">
        <w:rPr>
          <w:rFonts w:ascii="Arial" w:hAnsi="Arial" w:cs="Arial"/>
          <w:bCs/>
          <w:sz w:val="22"/>
          <w:szCs w:val="22"/>
          <w:lang w:val="fr-FR"/>
        </w:rPr>
        <w:t>?</w:t>
      </w:r>
    </w:p>
    <w:p w14:paraId="50B4596F" w14:textId="5DFA4E5A" w:rsidR="00D9653F" w:rsidRPr="00024F7A"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24F7A">
        <w:rPr>
          <w:rFonts w:ascii="Arial" w:hAnsi="Arial" w:cs="Arial"/>
          <w:bCs/>
          <w:sz w:val="22"/>
          <w:szCs w:val="22"/>
          <w:lang w:val="fr-FR"/>
        </w:rPr>
        <w:t xml:space="preserve">La délégation de la </w:t>
      </w:r>
      <w:r w:rsidRPr="00024F7A">
        <w:rPr>
          <w:rFonts w:ascii="Arial" w:hAnsi="Arial" w:cs="Arial"/>
          <w:b/>
          <w:sz w:val="22"/>
          <w:szCs w:val="22"/>
          <w:lang w:val="fr-FR"/>
        </w:rPr>
        <w:t>Türkiye</w:t>
      </w:r>
      <w:r w:rsidRPr="00024F7A">
        <w:rPr>
          <w:rFonts w:ascii="Arial" w:hAnsi="Arial" w:cs="Arial"/>
          <w:bCs/>
          <w:sz w:val="22"/>
          <w:szCs w:val="22"/>
          <w:lang w:val="fr-FR"/>
        </w:rPr>
        <w:t xml:space="preserve"> a expliqué qu</w:t>
      </w:r>
      <w:r w:rsidR="008E532B">
        <w:rPr>
          <w:rFonts w:ascii="Arial" w:hAnsi="Arial" w:cs="Arial"/>
          <w:bCs/>
          <w:sz w:val="22"/>
          <w:szCs w:val="22"/>
          <w:lang w:val="fr-FR"/>
        </w:rPr>
        <w:t>’</w:t>
      </w:r>
      <w:r>
        <w:rPr>
          <w:rFonts w:ascii="Arial" w:hAnsi="Arial" w:cs="Arial"/>
          <w:bCs/>
          <w:sz w:val="22"/>
          <w:szCs w:val="22"/>
          <w:lang w:val="fr-FR"/>
        </w:rPr>
        <w:t>on pouvait le déduire</w:t>
      </w:r>
      <w:r w:rsidRPr="00024F7A">
        <w:rPr>
          <w:rFonts w:ascii="Arial" w:hAnsi="Arial" w:cs="Arial"/>
          <w:bCs/>
          <w:sz w:val="22"/>
          <w:szCs w:val="22"/>
          <w:lang w:val="fr-FR"/>
        </w:rPr>
        <w:t xml:space="preserve"> </w:t>
      </w:r>
      <w:r>
        <w:rPr>
          <w:rFonts w:ascii="Arial" w:hAnsi="Arial" w:cs="Arial"/>
          <w:bCs/>
          <w:sz w:val="22"/>
          <w:szCs w:val="22"/>
          <w:lang w:val="fr-FR"/>
        </w:rPr>
        <w:t>du</w:t>
      </w:r>
      <w:r w:rsidRPr="00024F7A">
        <w:rPr>
          <w:rFonts w:ascii="Arial" w:hAnsi="Arial" w:cs="Arial"/>
          <w:bCs/>
          <w:sz w:val="22"/>
          <w:szCs w:val="22"/>
          <w:lang w:val="fr-FR"/>
        </w:rPr>
        <w:t xml:space="preserve"> début de l</w:t>
      </w:r>
      <w:r w:rsidR="008E532B">
        <w:rPr>
          <w:rFonts w:ascii="Arial" w:hAnsi="Arial" w:cs="Arial"/>
          <w:bCs/>
          <w:sz w:val="22"/>
          <w:szCs w:val="22"/>
          <w:lang w:val="fr-FR"/>
        </w:rPr>
        <w:t>’</w:t>
      </w:r>
      <w:r w:rsidRPr="00024F7A">
        <w:rPr>
          <w:rFonts w:ascii="Arial" w:hAnsi="Arial" w:cs="Arial"/>
          <w:bCs/>
          <w:sz w:val="22"/>
          <w:szCs w:val="22"/>
          <w:lang w:val="fr-FR"/>
        </w:rPr>
        <w:t xml:space="preserve">article 5.2 où il </w:t>
      </w:r>
      <w:r>
        <w:rPr>
          <w:rFonts w:ascii="Arial" w:hAnsi="Arial" w:cs="Arial"/>
          <w:bCs/>
          <w:sz w:val="22"/>
          <w:szCs w:val="22"/>
          <w:lang w:val="fr-FR"/>
        </w:rPr>
        <w:t>était</w:t>
      </w:r>
      <w:r w:rsidRPr="00024F7A">
        <w:rPr>
          <w:rFonts w:ascii="Arial" w:hAnsi="Arial" w:cs="Arial"/>
          <w:bCs/>
          <w:sz w:val="22"/>
          <w:szCs w:val="22"/>
          <w:lang w:val="fr-FR"/>
        </w:rPr>
        <w:t xml:space="preserve"> indiqué </w:t>
      </w:r>
      <w:r>
        <w:rPr>
          <w:rFonts w:ascii="Arial" w:hAnsi="Arial" w:cs="Arial"/>
          <w:bCs/>
          <w:sz w:val="22"/>
          <w:szCs w:val="22"/>
          <w:lang w:val="fr-FR"/>
        </w:rPr>
        <w:t>« </w:t>
      </w:r>
      <w:r w:rsidRPr="00024F7A">
        <w:rPr>
          <w:rFonts w:ascii="Arial" w:hAnsi="Arial" w:cs="Arial"/>
          <w:bCs/>
          <w:sz w:val="22"/>
          <w:szCs w:val="22"/>
          <w:lang w:val="fr-FR"/>
        </w:rPr>
        <w:t>Sauf si la date a été décidée par l</w:t>
      </w:r>
      <w:r w:rsidR="008E532B">
        <w:rPr>
          <w:rFonts w:ascii="Arial" w:hAnsi="Arial" w:cs="Arial"/>
          <w:bCs/>
          <w:sz w:val="22"/>
          <w:szCs w:val="22"/>
          <w:lang w:val="fr-FR"/>
        </w:rPr>
        <w:t>’</w:t>
      </w:r>
      <w:r w:rsidRPr="00024F7A">
        <w:rPr>
          <w:rFonts w:ascii="Arial" w:hAnsi="Arial" w:cs="Arial"/>
          <w:bCs/>
          <w:sz w:val="22"/>
          <w:szCs w:val="22"/>
          <w:lang w:val="fr-FR"/>
        </w:rPr>
        <w:t>Assemblée</w:t>
      </w:r>
      <w:r>
        <w:rPr>
          <w:rFonts w:ascii="Arial" w:hAnsi="Arial" w:cs="Arial"/>
          <w:bCs/>
          <w:sz w:val="22"/>
          <w:szCs w:val="22"/>
          <w:lang w:val="fr-FR"/>
        </w:rPr>
        <w:t> »</w:t>
      </w:r>
      <w:r w:rsidRPr="00024F7A">
        <w:rPr>
          <w:rFonts w:ascii="Arial" w:hAnsi="Arial" w:cs="Arial"/>
          <w:bCs/>
          <w:sz w:val="22"/>
          <w:szCs w:val="22"/>
          <w:lang w:val="fr-FR"/>
        </w:rPr>
        <w:t>, ce qui fai</w:t>
      </w:r>
      <w:r>
        <w:rPr>
          <w:rFonts w:ascii="Arial" w:hAnsi="Arial" w:cs="Arial"/>
          <w:bCs/>
          <w:sz w:val="22"/>
          <w:szCs w:val="22"/>
          <w:lang w:val="fr-FR"/>
        </w:rPr>
        <w:t>sait</w:t>
      </w:r>
      <w:r w:rsidRPr="00024F7A">
        <w:rPr>
          <w:rFonts w:ascii="Arial" w:hAnsi="Arial" w:cs="Arial"/>
          <w:bCs/>
          <w:sz w:val="22"/>
          <w:szCs w:val="22"/>
          <w:lang w:val="fr-FR"/>
        </w:rPr>
        <w:t xml:space="preserve"> référence à la décision de l</w:t>
      </w:r>
      <w:r w:rsidR="008E532B">
        <w:rPr>
          <w:rFonts w:ascii="Arial" w:hAnsi="Arial" w:cs="Arial"/>
          <w:bCs/>
          <w:sz w:val="22"/>
          <w:szCs w:val="22"/>
          <w:lang w:val="fr-FR"/>
        </w:rPr>
        <w:t>’</w:t>
      </w:r>
      <w:r w:rsidRPr="00024F7A">
        <w:rPr>
          <w:rFonts w:ascii="Arial" w:hAnsi="Arial" w:cs="Arial"/>
          <w:bCs/>
          <w:sz w:val="22"/>
          <w:szCs w:val="22"/>
          <w:lang w:val="fr-FR"/>
        </w:rPr>
        <w:t>Assemblée de tenir une session extraordinaire conformément à l</w:t>
      </w:r>
      <w:r w:rsidR="008E532B">
        <w:rPr>
          <w:rFonts w:ascii="Arial" w:hAnsi="Arial" w:cs="Arial"/>
          <w:bCs/>
          <w:sz w:val="22"/>
          <w:szCs w:val="22"/>
          <w:lang w:val="fr-FR"/>
        </w:rPr>
        <w:t>’</w:t>
      </w:r>
      <w:r w:rsidRPr="00024F7A">
        <w:rPr>
          <w:rFonts w:ascii="Arial" w:hAnsi="Arial" w:cs="Arial"/>
          <w:bCs/>
          <w:sz w:val="22"/>
          <w:szCs w:val="22"/>
          <w:lang w:val="fr-FR"/>
        </w:rPr>
        <w:t>article 5.1.</w:t>
      </w:r>
    </w:p>
    <w:p w14:paraId="31D7E89E" w14:textId="077A6E18"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72B1D">
        <w:rPr>
          <w:rFonts w:ascii="Arial" w:hAnsi="Arial" w:cs="Arial"/>
          <w:bCs/>
          <w:sz w:val="22"/>
          <w:szCs w:val="22"/>
          <w:lang w:val="fr-FR"/>
        </w:rPr>
        <w:t xml:space="preserve">Le </w:t>
      </w:r>
      <w:r w:rsidRPr="00C72B1D">
        <w:rPr>
          <w:rFonts w:ascii="Arial" w:hAnsi="Arial" w:cs="Arial"/>
          <w:b/>
          <w:sz w:val="22"/>
          <w:szCs w:val="22"/>
          <w:lang w:val="fr-FR"/>
        </w:rPr>
        <w:t>Conseiller juridique</w:t>
      </w:r>
      <w:r w:rsidRPr="00C72B1D">
        <w:rPr>
          <w:rFonts w:ascii="Arial" w:hAnsi="Arial" w:cs="Arial"/>
          <w:bCs/>
          <w:sz w:val="22"/>
          <w:szCs w:val="22"/>
          <w:lang w:val="fr-FR"/>
        </w:rPr>
        <w:t xml:space="preserve"> a expliqué que si la date avait été décidée par l</w:t>
      </w:r>
      <w:r w:rsidR="008E532B">
        <w:rPr>
          <w:rFonts w:ascii="Arial" w:hAnsi="Arial" w:cs="Arial"/>
          <w:bCs/>
          <w:sz w:val="22"/>
          <w:szCs w:val="22"/>
          <w:lang w:val="fr-FR"/>
        </w:rPr>
        <w:t>’</w:t>
      </w:r>
      <w:r w:rsidRPr="00C72B1D">
        <w:rPr>
          <w:rFonts w:ascii="Arial" w:hAnsi="Arial" w:cs="Arial"/>
          <w:bCs/>
          <w:sz w:val="22"/>
          <w:szCs w:val="22"/>
          <w:lang w:val="fr-FR"/>
        </w:rPr>
        <w:t>Assemblée, alors elle serait programmée à la date que l</w:t>
      </w:r>
      <w:r w:rsidR="008E532B">
        <w:rPr>
          <w:rFonts w:ascii="Arial" w:hAnsi="Arial" w:cs="Arial"/>
          <w:bCs/>
          <w:sz w:val="22"/>
          <w:szCs w:val="22"/>
          <w:lang w:val="fr-FR"/>
        </w:rPr>
        <w:t>’</w:t>
      </w:r>
      <w:r w:rsidRPr="00C72B1D">
        <w:rPr>
          <w:rFonts w:ascii="Arial" w:hAnsi="Arial" w:cs="Arial"/>
          <w:bCs/>
          <w:sz w:val="22"/>
          <w:szCs w:val="22"/>
          <w:lang w:val="fr-FR"/>
        </w:rPr>
        <w:t xml:space="preserve">Assemblée avait </w:t>
      </w:r>
      <w:r>
        <w:rPr>
          <w:rFonts w:ascii="Arial" w:hAnsi="Arial" w:cs="Arial"/>
          <w:bCs/>
          <w:sz w:val="22"/>
          <w:szCs w:val="22"/>
          <w:lang w:val="fr-FR"/>
        </w:rPr>
        <w:t xml:space="preserve">elle-même </w:t>
      </w:r>
      <w:r w:rsidRPr="00C72B1D">
        <w:rPr>
          <w:rFonts w:ascii="Arial" w:hAnsi="Arial" w:cs="Arial"/>
          <w:bCs/>
          <w:sz w:val="22"/>
          <w:szCs w:val="22"/>
          <w:lang w:val="fr-FR"/>
        </w:rPr>
        <w:t>déterminée. Si elle n</w:t>
      </w:r>
      <w:r w:rsidR="008E532B">
        <w:rPr>
          <w:rFonts w:ascii="Arial" w:hAnsi="Arial" w:cs="Arial"/>
          <w:bCs/>
          <w:sz w:val="22"/>
          <w:szCs w:val="22"/>
          <w:lang w:val="fr-FR"/>
        </w:rPr>
        <w:t>’</w:t>
      </w:r>
      <w:r>
        <w:rPr>
          <w:rFonts w:ascii="Arial" w:hAnsi="Arial" w:cs="Arial"/>
          <w:bCs/>
          <w:sz w:val="22"/>
          <w:szCs w:val="22"/>
          <w:lang w:val="fr-FR"/>
        </w:rPr>
        <w:t>était</w:t>
      </w:r>
      <w:r w:rsidRPr="00C72B1D">
        <w:rPr>
          <w:rFonts w:ascii="Arial" w:hAnsi="Arial" w:cs="Arial"/>
          <w:bCs/>
          <w:sz w:val="22"/>
          <w:szCs w:val="22"/>
          <w:lang w:val="fr-FR"/>
        </w:rPr>
        <w:t xml:space="preserve"> </w:t>
      </w:r>
      <w:r w:rsidRPr="00C72B1D">
        <w:rPr>
          <w:rFonts w:ascii="Arial" w:hAnsi="Arial" w:cs="Arial"/>
          <w:bCs/>
          <w:i/>
          <w:iCs/>
          <w:sz w:val="22"/>
          <w:szCs w:val="22"/>
          <w:lang w:val="fr-FR"/>
        </w:rPr>
        <w:t>pas</w:t>
      </w:r>
      <w:r w:rsidRPr="00C72B1D">
        <w:rPr>
          <w:rFonts w:ascii="Arial" w:hAnsi="Arial" w:cs="Arial"/>
          <w:bCs/>
          <w:sz w:val="22"/>
          <w:szCs w:val="22"/>
          <w:lang w:val="fr-FR"/>
        </w:rPr>
        <w:t xml:space="preserve"> déterminée par l</w:t>
      </w:r>
      <w:r w:rsidR="008E532B">
        <w:rPr>
          <w:rFonts w:ascii="Arial" w:hAnsi="Arial" w:cs="Arial"/>
          <w:bCs/>
          <w:sz w:val="22"/>
          <w:szCs w:val="22"/>
          <w:lang w:val="fr-FR"/>
        </w:rPr>
        <w:t>’</w:t>
      </w:r>
      <w:r w:rsidRPr="00C72B1D">
        <w:rPr>
          <w:rFonts w:ascii="Arial" w:hAnsi="Arial" w:cs="Arial"/>
          <w:bCs/>
          <w:sz w:val="22"/>
          <w:szCs w:val="22"/>
          <w:lang w:val="fr-FR"/>
        </w:rPr>
        <w:t>Assemblée, il n</w:t>
      </w:r>
      <w:r w:rsidR="008E532B">
        <w:rPr>
          <w:rFonts w:ascii="Arial" w:hAnsi="Arial" w:cs="Arial"/>
          <w:bCs/>
          <w:sz w:val="22"/>
          <w:szCs w:val="22"/>
          <w:lang w:val="fr-FR"/>
        </w:rPr>
        <w:t>’</w:t>
      </w:r>
      <w:r w:rsidRPr="00C72B1D">
        <w:rPr>
          <w:rFonts w:ascii="Arial" w:hAnsi="Arial" w:cs="Arial"/>
          <w:bCs/>
          <w:sz w:val="22"/>
          <w:szCs w:val="22"/>
          <w:lang w:val="fr-FR"/>
        </w:rPr>
        <w:t xml:space="preserve">y aurait pas de décision et </w:t>
      </w:r>
      <w:r>
        <w:rPr>
          <w:rFonts w:ascii="Arial" w:hAnsi="Arial" w:cs="Arial"/>
          <w:bCs/>
          <w:sz w:val="22"/>
          <w:szCs w:val="22"/>
          <w:lang w:val="fr-FR"/>
        </w:rPr>
        <w:t>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w:t>
      </w:r>
      <w:r w:rsidRPr="00C72B1D">
        <w:rPr>
          <w:rFonts w:ascii="Arial" w:hAnsi="Arial" w:cs="Arial"/>
          <w:bCs/>
          <w:sz w:val="22"/>
          <w:szCs w:val="22"/>
          <w:lang w:val="fr-FR"/>
        </w:rPr>
        <w:t>détermin</w:t>
      </w:r>
      <w:r>
        <w:rPr>
          <w:rFonts w:ascii="Arial" w:hAnsi="Arial" w:cs="Arial"/>
          <w:bCs/>
          <w:sz w:val="22"/>
          <w:szCs w:val="22"/>
          <w:lang w:val="fr-FR"/>
        </w:rPr>
        <w:t>erait</w:t>
      </w:r>
      <w:r w:rsidRPr="00C72B1D">
        <w:rPr>
          <w:rFonts w:ascii="Arial" w:hAnsi="Arial" w:cs="Arial"/>
          <w:bCs/>
          <w:sz w:val="22"/>
          <w:szCs w:val="22"/>
          <w:lang w:val="fr-FR"/>
        </w:rPr>
        <w:t xml:space="preserve"> la date. Le Conseiller juridique ne vo</w:t>
      </w:r>
      <w:r>
        <w:rPr>
          <w:rFonts w:ascii="Arial" w:hAnsi="Arial" w:cs="Arial"/>
          <w:bCs/>
          <w:sz w:val="22"/>
          <w:szCs w:val="22"/>
          <w:lang w:val="fr-FR"/>
        </w:rPr>
        <w:t>yai</w:t>
      </w:r>
      <w:r w:rsidRPr="00C72B1D">
        <w:rPr>
          <w:rFonts w:ascii="Arial" w:hAnsi="Arial" w:cs="Arial"/>
          <w:bCs/>
          <w:sz w:val="22"/>
          <w:szCs w:val="22"/>
          <w:lang w:val="fr-FR"/>
        </w:rPr>
        <w:t xml:space="preserve">t pas </w:t>
      </w:r>
      <w:r>
        <w:rPr>
          <w:rFonts w:ascii="Arial" w:hAnsi="Arial" w:cs="Arial"/>
          <w:bCs/>
          <w:sz w:val="22"/>
          <w:szCs w:val="22"/>
          <w:lang w:val="fr-FR"/>
        </w:rPr>
        <w:t>de quelle façon une</w:t>
      </w:r>
      <w:r w:rsidRPr="00C72B1D">
        <w:rPr>
          <w:rFonts w:ascii="Arial" w:hAnsi="Arial" w:cs="Arial"/>
          <w:bCs/>
          <w:sz w:val="22"/>
          <w:szCs w:val="22"/>
          <w:lang w:val="fr-FR"/>
        </w:rPr>
        <w:t xml:space="preserve"> date limite s</w:t>
      </w:r>
      <w:r w:rsidR="008E532B">
        <w:rPr>
          <w:rFonts w:ascii="Arial" w:hAnsi="Arial" w:cs="Arial"/>
          <w:bCs/>
          <w:sz w:val="22"/>
          <w:szCs w:val="22"/>
          <w:lang w:val="fr-FR"/>
        </w:rPr>
        <w:t>’</w:t>
      </w:r>
      <w:r w:rsidRPr="00C72B1D">
        <w:rPr>
          <w:rFonts w:ascii="Arial" w:hAnsi="Arial" w:cs="Arial"/>
          <w:bCs/>
          <w:sz w:val="22"/>
          <w:szCs w:val="22"/>
          <w:lang w:val="fr-FR"/>
        </w:rPr>
        <w:t>appliquerait.</w:t>
      </w:r>
    </w:p>
    <w:p w14:paraId="4303C173" w14:textId="2EB57450" w:rsidR="00D9653F" w:rsidRPr="00C72B1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72B1D">
        <w:rPr>
          <w:rFonts w:ascii="Arial" w:hAnsi="Arial" w:cs="Arial"/>
          <w:bCs/>
          <w:sz w:val="22"/>
          <w:szCs w:val="22"/>
          <w:lang w:val="fr-FR"/>
        </w:rPr>
        <w:t xml:space="preserve">La délégation de la </w:t>
      </w:r>
      <w:r w:rsidRPr="00C72B1D">
        <w:rPr>
          <w:rFonts w:ascii="Arial" w:hAnsi="Arial" w:cs="Arial"/>
          <w:b/>
          <w:sz w:val="22"/>
          <w:szCs w:val="22"/>
          <w:lang w:val="fr-FR"/>
        </w:rPr>
        <w:t>Türkiye</w:t>
      </w:r>
      <w:r w:rsidRPr="00C72B1D">
        <w:rPr>
          <w:rFonts w:ascii="Arial" w:hAnsi="Arial" w:cs="Arial"/>
          <w:bCs/>
          <w:sz w:val="22"/>
          <w:szCs w:val="22"/>
          <w:lang w:val="fr-FR"/>
        </w:rPr>
        <w:t xml:space="preserve"> </w:t>
      </w:r>
      <w:r>
        <w:rPr>
          <w:rFonts w:ascii="Arial" w:hAnsi="Arial" w:cs="Arial"/>
          <w:bCs/>
          <w:sz w:val="22"/>
          <w:szCs w:val="22"/>
          <w:lang w:val="fr-FR"/>
        </w:rPr>
        <w:t xml:space="preserve">a </w:t>
      </w:r>
      <w:r w:rsidRPr="00C72B1D">
        <w:rPr>
          <w:rFonts w:ascii="Arial" w:hAnsi="Arial" w:cs="Arial"/>
          <w:bCs/>
          <w:sz w:val="22"/>
          <w:szCs w:val="22"/>
          <w:lang w:val="fr-FR"/>
        </w:rPr>
        <w:t>expliqu</w:t>
      </w:r>
      <w:r>
        <w:rPr>
          <w:rFonts w:ascii="Arial" w:hAnsi="Arial" w:cs="Arial"/>
          <w:bCs/>
          <w:sz w:val="22"/>
          <w:szCs w:val="22"/>
          <w:lang w:val="fr-FR"/>
        </w:rPr>
        <w:t>é</w:t>
      </w:r>
      <w:r w:rsidRPr="00C72B1D">
        <w:rPr>
          <w:rFonts w:ascii="Arial" w:hAnsi="Arial" w:cs="Arial"/>
          <w:bCs/>
          <w:sz w:val="22"/>
          <w:szCs w:val="22"/>
          <w:lang w:val="fr-FR"/>
        </w:rPr>
        <w:t xml:space="preserve"> que si l</w:t>
      </w:r>
      <w:r w:rsidR="008E532B">
        <w:rPr>
          <w:rFonts w:ascii="Arial" w:hAnsi="Arial" w:cs="Arial"/>
          <w:bCs/>
          <w:sz w:val="22"/>
          <w:szCs w:val="22"/>
          <w:lang w:val="fr-FR"/>
        </w:rPr>
        <w:t>’</w:t>
      </w:r>
      <w:r w:rsidRPr="00C72B1D">
        <w:rPr>
          <w:rFonts w:ascii="Arial" w:hAnsi="Arial" w:cs="Arial"/>
          <w:bCs/>
          <w:sz w:val="22"/>
          <w:szCs w:val="22"/>
          <w:lang w:val="fr-FR"/>
        </w:rPr>
        <w:t>Assemblée ne p</w:t>
      </w:r>
      <w:r>
        <w:rPr>
          <w:rFonts w:ascii="Arial" w:hAnsi="Arial" w:cs="Arial"/>
          <w:bCs/>
          <w:sz w:val="22"/>
          <w:szCs w:val="22"/>
          <w:lang w:val="fr-FR"/>
        </w:rPr>
        <w:t>ouvait</w:t>
      </w:r>
      <w:r w:rsidRPr="00C72B1D">
        <w:rPr>
          <w:rFonts w:ascii="Arial" w:hAnsi="Arial" w:cs="Arial"/>
          <w:bCs/>
          <w:sz w:val="22"/>
          <w:szCs w:val="22"/>
          <w:lang w:val="fr-FR"/>
        </w:rPr>
        <w:t xml:space="preserve"> pas décider de la date,</w:t>
      </w:r>
      <w:r>
        <w:rPr>
          <w:rFonts w:ascii="Arial" w:hAnsi="Arial" w:cs="Arial"/>
          <w:bCs/>
          <w:sz w:val="22"/>
          <w:szCs w:val="22"/>
          <w:lang w:val="fr-FR"/>
        </w:rPr>
        <w:t xml:space="preserve"> 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w:t>
      </w:r>
      <w:r w:rsidRPr="00C72B1D">
        <w:rPr>
          <w:rFonts w:ascii="Arial" w:hAnsi="Arial" w:cs="Arial"/>
          <w:bCs/>
          <w:sz w:val="22"/>
          <w:szCs w:val="22"/>
          <w:lang w:val="fr-FR"/>
        </w:rPr>
        <w:t>détermin</w:t>
      </w:r>
      <w:r>
        <w:rPr>
          <w:rFonts w:ascii="Arial" w:hAnsi="Arial" w:cs="Arial"/>
          <w:bCs/>
          <w:sz w:val="22"/>
          <w:szCs w:val="22"/>
          <w:lang w:val="fr-FR"/>
        </w:rPr>
        <w:t>erait</w:t>
      </w:r>
      <w:r w:rsidRPr="00C72B1D">
        <w:rPr>
          <w:rFonts w:ascii="Arial" w:hAnsi="Arial" w:cs="Arial"/>
          <w:bCs/>
          <w:sz w:val="22"/>
          <w:szCs w:val="22"/>
          <w:lang w:val="fr-FR"/>
        </w:rPr>
        <w:t xml:space="preserve"> la date de la session extraordinaire. Dans ce cas, la session extraordinaire devrait avoir lieu dans les quarante-cinq jours suivant la décision de convoquer la session extraordinaire. Mais dans le Règlement, aucune date</w:t>
      </w:r>
      <w:r>
        <w:rPr>
          <w:rFonts w:ascii="Arial" w:hAnsi="Arial" w:cs="Arial"/>
          <w:bCs/>
          <w:sz w:val="22"/>
          <w:szCs w:val="22"/>
          <w:lang w:val="fr-FR"/>
        </w:rPr>
        <w:t xml:space="preserve"> limite</w:t>
      </w:r>
      <w:r w:rsidRPr="00C72B1D">
        <w:rPr>
          <w:rFonts w:ascii="Arial" w:hAnsi="Arial" w:cs="Arial"/>
          <w:bCs/>
          <w:sz w:val="22"/>
          <w:szCs w:val="22"/>
          <w:lang w:val="fr-FR"/>
        </w:rPr>
        <w:t xml:space="preserve"> n</w:t>
      </w:r>
      <w:r w:rsidR="008E532B">
        <w:rPr>
          <w:rFonts w:ascii="Arial" w:hAnsi="Arial" w:cs="Arial"/>
          <w:bCs/>
          <w:sz w:val="22"/>
          <w:szCs w:val="22"/>
          <w:lang w:val="fr-FR"/>
        </w:rPr>
        <w:t>’</w:t>
      </w:r>
      <w:r>
        <w:rPr>
          <w:rFonts w:ascii="Arial" w:hAnsi="Arial" w:cs="Arial"/>
          <w:bCs/>
          <w:sz w:val="22"/>
          <w:szCs w:val="22"/>
          <w:lang w:val="fr-FR"/>
        </w:rPr>
        <w:t>était</w:t>
      </w:r>
      <w:r w:rsidRPr="00C72B1D">
        <w:rPr>
          <w:rFonts w:ascii="Arial" w:hAnsi="Arial" w:cs="Arial"/>
          <w:bCs/>
          <w:sz w:val="22"/>
          <w:szCs w:val="22"/>
          <w:lang w:val="fr-FR"/>
        </w:rPr>
        <w:t xml:space="preserve"> prévue dans ce cas.</w:t>
      </w:r>
    </w:p>
    <w:p w14:paraId="022140A2" w14:textId="54A9311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C72B1D">
        <w:rPr>
          <w:rFonts w:ascii="Arial" w:hAnsi="Arial" w:cs="Arial"/>
          <w:bCs/>
          <w:sz w:val="22"/>
          <w:szCs w:val="22"/>
          <w:lang w:val="fr-FR"/>
        </w:rPr>
        <w:t xml:space="preserve">Le </w:t>
      </w:r>
      <w:r w:rsidRPr="00C72B1D">
        <w:rPr>
          <w:rFonts w:ascii="Arial" w:hAnsi="Arial" w:cs="Arial"/>
          <w:b/>
          <w:sz w:val="22"/>
          <w:szCs w:val="22"/>
          <w:lang w:val="fr-FR"/>
        </w:rPr>
        <w:t>Conseiller juridique</w:t>
      </w:r>
      <w:r w:rsidRPr="00C72B1D">
        <w:rPr>
          <w:rFonts w:ascii="Arial" w:hAnsi="Arial" w:cs="Arial"/>
          <w:bCs/>
          <w:sz w:val="22"/>
          <w:szCs w:val="22"/>
          <w:lang w:val="fr-FR"/>
        </w:rPr>
        <w:t xml:space="preserve"> a demandé des précisions sur la date à partir de laquelle l</w:t>
      </w:r>
      <w:r>
        <w:rPr>
          <w:rFonts w:ascii="Arial" w:hAnsi="Arial" w:cs="Arial"/>
          <w:bCs/>
          <w:sz w:val="22"/>
          <w:szCs w:val="22"/>
          <w:lang w:val="fr-FR"/>
        </w:rPr>
        <w:t>a</w:t>
      </w:r>
      <w:r w:rsidRPr="00C72B1D">
        <w:rPr>
          <w:rFonts w:ascii="Arial" w:hAnsi="Arial" w:cs="Arial"/>
          <w:bCs/>
          <w:sz w:val="22"/>
          <w:szCs w:val="22"/>
          <w:lang w:val="fr-FR"/>
        </w:rPr>
        <w:t xml:space="preserve"> d</w:t>
      </w:r>
      <w:r>
        <w:rPr>
          <w:rFonts w:ascii="Arial" w:hAnsi="Arial" w:cs="Arial"/>
          <w:bCs/>
          <w:sz w:val="22"/>
          <w:szCs w:val="22"/>
          <w:lang w:val="fr-FR"/>
        </w:rPr>
        <w:t>ate limite courait</w:t>
      </w:r>
      <w:r w:rsidRPr="00C72B1D">
        <w:rPr>
          <w:rFonts w:ascii="Arial" w:hAnsi="Arial" w:cs="Arial"/>
          <w:bCs/>
          <w:sz w:val="22"/>
          <w:szCs w:val="22"/>
          <w:lang w:val="fr-FR"/>
        </w:rPr>
        <w:t>. Si l</w:t>
      </w:r>
      <w:r w:rsidR="008E532B">
        <w:rPr>
          <w:rFonts w:ascii="Arial" w:hAnsi="Arial" w:cs="Arial"/>
          <w:bCs/>
          <w:sz w:val="22"/>
          <w:szCs w:val="22"/>
          <w:lang w:val="fr-FR"/>
        </w:rPr>
        <w:t>’</w:t>
      </w:r>
      <w:r w:rsidRPr="00C72B1D">
        <w:rPr>
          <w:rFonts w:ascii="Arial" w:hAnsi="Arial" w:cs="Arial"/>
          <w:bCs/>
          <w:sz w:val="22"/>
          <w:szCs w:val="22"/>
          <w:lang w:val="fr-FR"/>
        </w:rPr>
        <w:t>Assemblée ne se pronon</w:t>
      </w:r>
      <w:r>
        <w:rPr>
          <w:rFonts w:ascii="Arial" w:hAnsi="Arial" w:cs="Arial"/>
          <w:bCs/>
          <w:sz w:val="22"/>
          <w:szCs w:val="22"/>
          <w:lang w:val="fr-FR"/>
        </w:rPr>
        <w:t>çait</w:t>
      </w:r>
      <w:r w:rsidRPr="00C72B1D">
        <w:rPr>
          <w:rFonts w:ascii="Arial" w:hAnsi="Arial" w:cs="Arial"/>
          <w:bCs/>
          <w:sz w:val="22"/>
          <w:szCs w:val="22"/>
          <w:lang w:val="fr-FR"/>
        </w:rPr>
        <w:t xml:space="preserve"> pas,</w:t>
      </w:r>
      <w:r>
        <w:rPr>
          <w:rFonts w:ascii="Arial" w:hAnsi="Arial" w:cs="Arial"/>
          <w:bCs/>
          <w:sz w:val="22"/>
          <w:szCs w:val="22"/>
          <w:lang w:val="fr-FR"/>
        </w:rPr>
        <w:t xml:space="preserve"> 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w:t>
      </w:r>
      <w:r w:rsidRPr="00C72B1D">
        <w:rPr>
          <w:rFonts w:ascii="Arial" w:hAnsi="Arial" w:cs="Arial"/>
          <w:bCs/>
          <w:sz w:val="22"/>
          <w:szCs w:val="22"/>
          <w:lang w:val="fr-FR"/>
        </w:rPr>
        <w:t>dispos</w:t>
      </w:r>
      <w:r>
        <w:rPr>
          <w:rFonts w:ascii="Arial" w:hAnsi="Arial" w:cs="Arial"/>
          <w:bCs/>
          <w:sz w:val="22"/>
          <w:szCs w:val="22"/>
          <w:lang w:val="fr-FR"/>
        </w:rPr>
        <w:t>ait</w:t>
      </w:r>
      <w:r w:rsidRPr="00C72B1D">
        <w:rPr>
          <w:rFonts w:ascii="Arial" w:hAnsi="Arial" w:cs="Arial"/>
          <w:bCs/>
          <w:sz w:val="22"/>
          <w:szCs w:val="22"/>
          <w:lang w:val="fr-FR"/>
        </w:rPr>
        <w:t xml:space="preserve"> de quarante-cinq jours, mais à partir de quand, lorsqu</w:t>
      </w:r>
      <w:r w:rsidR="008E532B">
        <w:rPr>
          <w:rFonts w:ascii="Arial" w:hAnsi="Arial" w:cs="Arial"/>
          <w:bCs/>
          <w:sz w:val="22"/>
          <w:szCs w:val="22"/>
          <w:lang w:val="fr-FR"/>
        </w:rPr>
        <w:t>’</w:t>
      </w:r>
      <w:r>
        <w:rPr>
          <w:rFonts w:ascii="Arial" w:hAnsi="Arial" w:cs="Arial"/>
          <w:bCs/>
          <w:sz w:val="22"/>
          <w:szCs w:val="22"/>
          <w:lang w:val="fr-FR"/>
        </w:rPr>
        <w:t>il n</w:t>
      </w:r>
      <w:r w:rsidR="008E532B">
        <w:rPr>
          <w:rFonts w:ascii="Arial" w:hAnsi="Arial" w:cs="Arial"/>
          <w:bCs/>
          <w:sz w:val="22"/>
          <w:szCs w:val="22"/>
          <w:lang w:val="fr-FR"/>
        </w:rPr>
        <w:t>’</w:t>
      </w:r>
      <w:r>
        <w:rPr>
          <w:rFonts w:ascii="Arial" w:hAnsi="Arial" w:cs="Arial"/>
          <w:bCs/>
          <w:sz w:val="22"/>
          <w:szCs w:val="22"/>
          <w:lang w:val="fr-FR"/>
        </w:rPr>
        <w:t>y avait pas de décision prise par l</w:t>
      </w:r>
      <w:r w:rsidR="008E532B">
        <w:rPr>
          <w:rFonts w:ascii="Arial" w:hAnsi="Arial" w:cs="Arial"/>
          <w:bCs/>
          <w:sz w:val="22"/>
          <w:szCs w:val="22"/>
          <w:lang w:val="fr-FR"/>
        </w:rPr>
        <w:t>’</w:t>
      </w:r>
      <w:r>
        <w:rPr>
          <w:rFonts w:ascii="Arial" w:hAnsi="Arial" w:cs="Arial"/>
          <w:bCs/>
          <w:sz w:val="22"/>
          <w:szCs w:val="22"/>
          <w:lang w:val="fr-FR"/>
        </w:rPr>
        <w:t>Assemblée</w:t>
      </w:r>
      <w:r w:rsidRPr="00C72B1D">
        <w:rPr>
          <w:rFonts w:ascii="Arial" w:hAnsi="Arial" w:cs="Arial"/>
          <w:bCs/>
          <w:sz w:val="22"/>
          <w:szCs w:val="22"/>
          <w:lang w:val="fr-FR"/>
        </w:rPr>
        <w:t>.</w:t>
      </w:r>
    </w:p>
    <w:p w14:paraId="50B930E3" w14:textId="0B42CEBA" w:rsidR="00D9653F" w:rsidRPr="00E561A2"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561A2">
        <w:rPr>
          <w:rFonts w:ascii="Arial" w:hAnsi="Arial" w:cs="Arial"/>
          <w:bCs/>
          <w:sz w:val="22"/>
          <w:szCs w:val="22"/>
          <w:lang w:val="fr-FR"/>
        </w:rPr>
        <w:t xml:space="preserve">La délégation de la </w:t>
      </w:r>
      <w:r w:rsidRPr="00E561A2">
        <w:rPr>
          <w:rFonts w:ascii="Arial" w:hAnsi="Arial" w:cs="Arial"/>
          <w:b/>
          <w:sz w:val="22"/>
          <w:szCs w:val="22"/>
          <w:lang w:val="fr-FR"/>
        </w:rPr>
        <w:t>Türkiye</w:t>
      </w:r>
      <w:r w:rsidRPr="00E561A2">
        <w:rPr>
          <w:rFonts w:ascii="Arial" w:hAnsi="Arial" w:cs="Arial"/>
          <w:bCs/>
          <w:sz w:val="22"/>
          <w:szCs w:val="22"/>
          <w:lang w:val="fr-FR"/>
        </w:rPr>
        <w:t xml:space="preserve"> </w:t>
      </w:r>
      <w:r>
        <w:rPr>
          <w:rFonts w:ascii="Arial" w:hAnsi="Arial" w:cs="Arial"/>
          <w:bCs/>
          <w:sz w:val="22"/>
          <w:szCs w:val="22"/>
          <w:lang w:val="fr-FR"/>
        </w:rPr>
        <w:t xml:space="preserve">a </w:t>
      </w:r>
      <w:r w:rsidRPr="00E561A2">
        <w:rPr>
          <w:rFonts w:ascii="Arial" w:hAnsi="Arial" w:cs="Arial"/>
          <w:bCs/>
          <w:sz w:val="22"/>
          <w:szCs w:val="22"/>
          <w:lang w:val="fr-FR"/>
        </w:rPr>
        <w:t>fait remarquer que l</w:t>
      </w:r>
      <w:r w:rsidR="008E532B">
        <w:rPr>
          <w:rFonts w:ascii="Arial" w:hAnsi="Arial" w:cs="Arial"/>
          <w:bCs/>
          <w:sz w:val="22"/>
          <w:szCs w:val="22"/>
          <w:lang w:val="fr-FR"/>
        </w:rPr>
        <w:t>’</w:t>
      </w:r>
      <w:r w:rsidRPr="00E561A2">
        <w:rPr>
          <w:rFonts w:ascii="Arial" w:hAnsi="Arial" w:cs="Arial"/>
          <w:bCs/>
          <w:sz w:val="22"/>
          <w:szCs w:val="22"/>
          <w:lang w:val="fr-FR"/>
        </w:rPr>
        <w:t>article 5.1 stipul</w:t>
      </w:r>
      <w:r>
        <w:rPr>
          <w:rFonts w:ascii="Arial" w:hAnsi="Arial" w:cs="Arial"/>
          <w:bCs/>
          <w:sz w:val="22"/>
          <w:szCs w:val="22"/>
          <w:lang w:val="fr-FR"/>
        </w:rPr>
        <w:t>ait</w:t>
      </w:r>
      <w:r w:rsidRPr="00E561A2">
        <w:rPr>
          <w:rFonts w:ascii="Arial" w:hAnsi="Arial" w:cs="Arial"/>
          <w:bCs/>
          <w:sz w:val="22"/>
          <w:szCs w:val="22"/>
          <w:lang w:val="fr-FR"/>
        </w:rPr>
        <w:t xml:space="preserve"> que </w:t>
      </w:r>
      <w:r>
        <w:rPr>
          <w:rFonts w:ascii="Arial" w:hAnsi="Arial" w:cs="Arial"/>
          <w:bCs/>
          <w:sz w:val="22"/>
          <w:szCs w:val="22"/>
          <w:lang w:val="fr-FR"/>
        </w:rPr>
        <w:t>« Le/la</w:t>
      </w:r>
      <w:r w:rsidRPr="004F2F68">
        <w:rPr>
          <w:rFonts w:ascii="Arial" w:hAnsi="Arial" w:cs="Arial"/>
          <w:bCs/>
          <w:sz w:val="22"/>
          <w:szCs w:val="22"/>
          <w:lang w:val="fr-FR"/>
        </w:rPr>
        <w:t xml:space="preserve"> Directeur</w:t>
      </w:r>
      <w:r>
        <w:rPr>
          <w:rFonts w:ascii="Arial" w:hAnsi="Arial" w:cs="Arial"/>
          <w:bCs/>
          <w:sz w:val="22"/>
          <w:szCs w:val="22"/>
          <w:lang w:val="fr-FR"/>
        </w:rPr>
        <w:t>/Directrice général(e) détermine</w:t>
      </w:r>
      <w:r w:rsidRPr="00E561A2">
        <w:rPr>
          <w:rFonts w:ascii="Arial" w:hAnsi="Arial" w:cs="Arial"/>
          <w:bCs/>
          <w:sz w:val="22"/>
          <w:szCs w:val="22"/>
          <w:lang w:val="fr-FR"/>
        </w:rPr>
        <w:t xml:space="preserve"> la date de la session extraordinaire (sic)</w:t>
      </w:r>
      <w:r>
        <w:rPr>
          <w:rFonts w:ascii="Arial" w:hAnsi="Arial" w:cs="Arial"/>
          <w:bCs/>
          <w:sz w:val="22"/>
          <w:szCs w:val="22"/>
          <w:lang w:val="fr-FR"/>
        </w:rPr>
        <w:t xml:space="preserve"> ». Alors, </w:t>
      </w:r>
      <w:r w:rsidRPr="00E561A2">
        <w:rPr>
          <w:rFonts w:ascii="Arial" w:hAnsi="Arial" w:cs="Arial"/>
          <w:bCs/>
          <w:sz w:val="22"/>
          <w:szCs w:val="22"/>
          <w:lang w:val="fr-FR"/>
        </w:rPr>
        <w:t>quand la session extraordinaire d</w:t>
      </w:r>
      <w:r>
        <w:rPr>
          <w:rFonts w:ascii="Arial" w:hAnsi="Arial" w:cs="Arial"/>
          <w:bCs/>
          <w:sz w:val="22"/>
          <w:szCs w:val="22"/>
          <w:lang w:val="fr-FR"/>
        </w:rPr>
        <w:t>evrait</w:t>
      </w:r>
      <w:r w:rsidRPr="00E561A2">
        <w:rPr>
          <w:rFonts w:ascii="Arial" w:hAnsi="Arial" w:cs="Arial"/>
          <w:bCs/>
          <w:sz w:val="22"/>
          <w:szCs w:val="22"/>
          <w:lang w:val="fr-FR"/>
        </w:rPr>
        <w:t>-elle être convoquée ? L</w:t>
      </w:r>
      <w:r w:rsidR="008E532B">
        <w:rPr>
          <w:rFonts w:ascii="Arial" w:hAnsi="Arial" w:cs="Arial"/>
          <w:bCs/>
          <w:sz w:val="22"/>
          <w:szCs w:val="22"/>
          <w:lang w:val="fr-FR"/>
        </w:rPr>
        <w:t>’</w:t>
      </w:r>
      <w:r w:rsidRPr="00E561A2">
        <w:rPr>
          <w:rFonts w:ascii="Arial" w:hAnsi="Arial" w:cs="Arial"/>
          <w:bCs/>
          <w:sz w:val="22"/>
          <w:szCs w:val="22"/>
          <w:lang w:val="fr-FR"/>
        </w:rPr>
        <w:t xml:space="preserve">Assemblée pourrait donc prendre la décision de convoquer une session extraordinaire mais pas </w:t>
      </w:r>
      <w:r>
        <w:rPr>
          <w:rFonts w:ascii="Arial" w:hAnsi="Arial" w:cs="Arial"/>
          <w:bCs/>
          <w:sz w:val="22"/>
          <w:szCs w:val="22"/>
          <w:lang w:val="fr-FR"/>
        </w:rPr>
        <w:t xml:space="preserve">en définir </w:t>
      </w:r>
      <w:r w:rsidRPr="00E561A2">
        <w:rPr>
          <w:rFonts w:ascii="Arial" w:hAnsi="Arial" w:cs="Arial"/>
          <w:bCs/>
          <w:sz w:val="22"/>
          <w:szCs w:val="22"/>
          <w:lang w:val="fr-FR"/>
        </w:rPr>
        <w:t>la date, qui serait déterminée par</w:t>
      </w:r>
      <w:r>
        <w:rPr>
          <w:rFonts w:ascii="Arial" w:hAnsi="Arial" w:cs="Arial"/>
          <w:bCs/>
          <w:sz w:val="22"/>
          <w:szCs w:val="22"/>
          <w:lang w:val="fr-FR"/>
        </w:rPr>
        <w:t xml:space="preserve"> 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w:t>
      </w:r>
      <w:r w:rsidRPr="00E561A2">
        <w:rPr>
          <w:rFonts w:ascii="Arial" w:hAnsi="Arial" w:cs="Arial"/>
          <w:bCs/>
          <w:sz w:val="22"/>
          <w:szCs w:val="22"/>
          <w:lang w:val="fr-FR"/>
        </w:rPr>
        <w:t xml:space="preserve">Si tel </w:t>
      </w:r>
      <w:r>
        <w:rPr>
          <w:rFonts w:ascii="Arial" w:hAnsi="Arial" w:cs="Arial"/>
          <w:bCs/>
          <w:sz w:val="22"/>
          <w:szCs w:val="22"/>
          <w:lang w:val="fr-FR"/>
        </w:rPr>
        <w:t>était</w:t>
      </w:r>
      <w:r w:rsidRPr="00E561A2">
        <w:rPr>
          <w:rFonts w:ascii="Arial" w:hAnsi="Arial" w:cs="Arial"/>
          <w:bCs/>
          <w:sz w:val="22"/>
          <w:szCs w:val="22"/>
          <w:lang w:val="fr-FR"/>
        </w:rPr>
        <w:t xml:space="preserve"> le cas, </w:t>
      </w:r>
      <w:r>
        <w:rPr>
          <w:rFonts w:ascii="Arial" w:hAnsi="Arial" w:cs="Arial"/>
          <w:bCs/>
          <w:sz w:val="22"/>
          <w:szCs w:val="22"/>
          <w:lang w:val="fr-FR"/>
        </w:rPr>
        <w:t>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w:t>
      </w:r>
      <w:r w:rsidRPr="00E561A2">
        <w:rPr>
          <w:rFonts w:ascii="Arial" w:hAnsi="Arial" w:cs="Arial"/>
          <w:bCs/>
          <w:sz w:val="22"/>
          <w:szCs w:val="22"/>
          <w:lang w:val="fr-FR"/>
        </w:rPr>
        <w:t>devrait d</w:t>
      </w:r>
      <w:r>
        <w:rPr>
          <w:rFonts w:ascii="Arial" w:hAnsi="Arial" w:cs="Arial"/>
          <w:bCs/>
          <w:sz w:val="22"/>
          <w:szCs w:val="22"/>
          <w:lang w:val="fr-FR"/>
        </w:rPr>
        <w:t xml:space="preserve">éterminer </w:t>
      </w:r>
      <w:r w:rsidRPr="00E561A2">
        <w:rPr>
          <w:rFonts w:ascii="Arial" w:hAnsi="Arial" w:cs="Arial"/>
          <w:bCs/>
          <w:sz w:val="22"/>
          <w:szCs w:val="22"/>
          <w:lang w:val="fr-FR"/>
        </w:rPr>
        <w:t>la date, par exemple, dans un délai de quarante-cinq à soixante jours après que la décision de tenir une session extraordinaire a été prise par l</w:t>
      </w:r>
      <w:r w:rsidR="008E532B">
        <w:rPr>
          <w:rFonts w:ascii="Arial" w:hAnsi="Arial" w:cs="Arial"/>
          <w:bCs/>
          <w:sz w:val="22"/>
          <w:szCs w:val="22"/>
          <w:lang w:val="fr-FR"/>
        </w:rPr>
        <w:t>’</w:t>
      </w:r>
      <w:r w:rsidRPr="00E561A2">
        <w:rPr>
          <w:rFonts w:ascii="Arial" w:hAnsi="Arial" w:cs="Arial"/>
          <w:bCs/>
          <w:sz w:val="22"/>
          <w:szCs w:val="22"/>
          <w:lang w:val="fr-FR"/>
        </w:rPr>
        <w:t>Assemblée.</w:t>
      </w:r>
    </w:p>
    <w:p w14:paraId="6B954A7C" w14:textId="42148BFA" w:rsidR="00D9653F" w:rsidRPr="00AE29E8"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AE29E8">
        <w:rPr>
          <w:rFonts w:ascii="Arial" w:hAnsi="Arial" w:cs="Arial"/>
          <w:b/>
          <w:sz w:val="22"/>
          <w:szCs w:val="22"/>
          <w:lang w:val="fr-FR"/>
        </w:rPr>
        <w:t>Présidente</w:t>
      </w:r>
      <w:r>
        <w:rPr>
          <w:rFonts w:ascii="Arial" w:hAnsi="Arial" w:cs="Arial"/>
          <w:bCs/>
          <w:sz w:val="22"/>
          <w:szCs w:val="22"/>
          <w:lang w:val="fr-FR"/>
        </w:rPr>
        <w:t xml:space="preserve"> a demandé au Conseiller juridique d</w:t>
      </w:r>
      <w:r w:rsidR="008E532B">
        <w:rPr>
          <w:rFonts w:ascii="Arial" w:hAnsi="Arial" w:cs="Arial"/>
          <w:bCs/>
          <w:sz w:val="22"/>
          <w:szCs w:val="22"/>
          <w:lang w:val="fr-FR"/>
        </w:rPr>
        <w:t>’</w:t>
      </w:r>
      <w:r>
        <w:rPr>
          <w:rFonts w:ascii="Arial" w:hAnsi="Arial" w:cs="Arial"/>
          <w:bCs/>
          <w:sz w:val="22"/>
          <w:szCs w:val="22"/>
          <w:lang w:val="fr-FR"/>
        </w:rPr>
        <w:t xml:space="preserve">apporter des </w:t>
      </w:r>
      <w:r w:rsidRPr="00AE29E8">
        <w:rPr>
          <w:rFonts w:ascii="Arial" w:hAnsi="Arial" w:cs="Arial"/>
          <w:bCs/>
          <w:sz w:val="22"/>
          <w:szCs w:val="22"/>
          <w:lang w:val="fr-FR"/>
        </w:rPr>
        <w:t>éclaircissements</w:t>
      </w:r>
      <w:r>
        <w:rPr>
          <w:rFonts w:ascii="Arial" w:hAnsi="Arial" w:cs="Arial"/>
          <w:bCs/>
          <w:sz w:val="22"/>
          <w:szCs w:val="22"/>
          <w:lang w:val="fr-FR"/>
        </w:rPr>
        <w:t xml:space="preserve"> sur l</w:t>
      </w:r>
      <w:r w:rsidR="008E532B">
        <w:rPr>
          <w:rFonts w:ascii="Arial" w:hAnsi="Arial" w:cs="Arial"/>
          <w:bCs/>
          <w:sz w:val="22"/>
          <w:szCs w:val="22"/>
          <w:lang w:val="fr-FR"/>
        </w:rPr>
        <w:t>’</w:t>
      </w:r>
      <w:r>
        <w:rPr>
          <w:rFonts w:ascii="Arial" w:hAnsi="Arial" w:cs="Arial"/>
          <w:bCs/>
          <w:sz w:val="22"/>
          <w:szCs w:val="22"/>
          <w:lang w:val="fr-FR"/>
        </w:rPr>
        <w:t>article 5.1 qui fait référence à une session « ordinaire » et l</w:t>
      </w:r>
      <w:r w:rsidR="008E532B">
        <w:rPr>
          <w:rFonts w:ascii="Arial" w:hAnsi="Arial" w:cs="Arial"/>
          <w:bCs/>
          <w:sz w:val="22"/>
          <w:szCs w:val="22"/>
          <w:lang w:val="fr-FR"/>
        </w:rPr>
        <w:t>’</w:t>
      </w:r>
      <w:r>
        <w:rPr>
          <w:rFonts w:ascii="Arial" w:hAnsi="Arial" w:cs="Arial"/>
          <w:bCs/>
          <w:sz w:val="22"/>
          <w:szCs w:val="22"/>
          <w:lang w:val="fr-FR"/>
        </w:rPr>
        <w:t>article 5.2 qui fait référence à une session « extraordinaire ».</w:t>
      </w:r>
    </w:p>
    <w:p w14:paraId="5957559B" w14:textId="6A339A9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F3E1D">
        <w:rPr>
          <w:rFonts w:ascii="Arial" w:hAnsi="Arial" w:cs="Arial"/>
          <w:bCs/>
          <w:sz w:val="22"/>
          <w:szCs w:val="22"/>
          <w:lang w:val="fr-FR"/>
        </w:rPr>
        <w:t xml:space="preserve">Le </w:t>
      </w:r>
      <w:r w:rsidRPr="007F3E1D">
        <w:rPr>
          <w:rFonts w:ascii="Arial" w:hAnsi="Arial" w:cs="Arial"/>
          <w:b/>
          <w:sz w:val="22"/>
          <w:szCs w:val="22"/>
          <w:lang w:val="fr-FR"/>
        </w:rPr>
        <w:t>Conseiller juridique</w:t>
      </w:r>
      <w:r w:rsidRPr="007F3E1D">
        <w:rPr>
          <w:rFonts w:ascii="Arial" w:hAnsi="Arial" w:cs="Arial"/>
          <w:bCs/>
          <w:sz w:val="22"/>
          <w:szCs w:val="22"/>
          <w:lang w:val="fr-FR"/>
        </w:rPr>
        <w:t xml:space="preserve"> </w:t>
      </w:r>
      <w:r>
        <w:rPr>
          <w:rFonts w:ascii="Arial" w:hAnsi="Arial" w:cs="Arial"/>
          <w:bCs/>
          <w:sz w:val="22"/>
          <w:szCs w:val="22"/>
          <w:lang w:val="fr-FR"/>
        </w:rPr>
        <w:t xml:space="preserve">a </w:t>
      </w:r>
      <w:r w:rsidRPr="007F3E1D">
        <w:rPr>
          <w:rFonts w:ascii="Arial" w:hAnsi="Arial" w:cs="Arial"/>
          <w:bCs/>
          <w:sz w:val="22"/>
          <w:szCs w:val="22"/>
          <w:lang w:val="fr-FR"/>
        </w:rPr>
        <w:t>invit</w:t>
      </w:r>
      <w:r>
        <w:rPr>
          <w:rFonts w:ascii="Arial" w:hAnsi="Arial" w:cs="Arial"/>
          <w:bCs/>
          <w:sz w:val="22"/>
          <w:szCs w:val="22"/>
          <w:lang w:val="fr-FR"/>
        </w:rPr>
        <w:t>é</w:t>
      </w:r>
      <w:r w:rsidRPr="007F3E1D">
        <w:rPr>
          <w:rFonts w:ascii="Arial" w:hAnsi="Arial" w:cs="Arial"/>
          <w:bCs/>
          <w:sz w:val="22"/>
          <w:szCs w:val="22"/>
          <w:lang w:val="fr-FR"/>
        </w:rPr>
        <w:t xml:space="preserve"> l</w:t>
      </w:r>
      <w:r w:rsidR="008E532B">
        <w:rPr>
          <w:rFonts w:ascii="Arial" w:hAnsi="Arial" w:cs="Arial"/>
          <w:bCs/>
          <w:sz w:val="22"/>
          <w:szCs w:val="22"/>
          <w:lang w:val="fr-FR"/>
        </w:rPr>
        <w:t>’</w:t>
      </w:r>
      <w:r w:rsidRPr="007F3E1D">
        <w:rPr>
          <w:rFonts w:ascii="Arial" w:hAnsi="Arial" w:cs="Arial"/>
          <w:bCs/>
          <w:sz w:val="22"/>
          <w:szCs w:val="22"/>
          <w:lang w:val="fr-FR"/>
        </w:rPr>
        <w:t>Assemblée à lire l</w:t>
      </w:r>
      <w:r w:rsidR="008E532B">
        <w:rPr>
          <w:rFonts w:ascii="Arial" w:hAnsi="Arial" w:cs="Arial"/>
          <w:bCs/>
          <w:sz w:val="22"/>
          <w:szCs w:val="22"/>
          <w:lang w:val="fr-FR"/>
        </w:rPr>
        <w:t>’</w:t>
      </w:r>
      <w:r w:rsidRPr="007F3E1D">
        <w:rPr>
          <w:rFonts w:ascii="Arial" w:hAnsi="Arial" w:cs="Arial"/>
          <w:bCs/>
          <w:sz w:val="22"/>
          <w:szCs w:val="22"/>
          <w:lang w:val="fr-FR"/>
        </w:rPr>
        <w:t>article 4 sur l</w:t>
      </w:r>
      <w:r w:rsidR="008E532B">
        <w:rPr>
          <w:rFonts w:ascii="Arial" w:hAnsi="Arial" w:cs="Arial"/>
          <w:bCs/>
          <w:sz w:val="22"/>
          <w:szCs w:val="22"/>
          <w:lang w:val="fr-FR"/>
        </w:rPr>
        <w:t>’</w:t>
      </w:r>
      <w:r w:rsidRPr="007F3E1D">
        <w:rPr>
          <w:rFonts w:ascii="Arial" w:hAnsi="Arial" w:cs="Arial"/>
          <w:bCs/>
          <w:sz w:val="22"/>
          <w:szCs w:val="22"/>
          <w:lang w:val="fr-FR"/>
        </w:rPr>
        <w:t>organisation de l</w:t>
      </w:r>
      <w:r w:rsidR="008E532B">
        <w:rPr>
          <w:rFonts w:ascii="Arial" w:hAnsi="Arial" w:cs="Arial"/>
          <w:bCs/>
          <w:sz w:val="22"/>
          <w:szCs w:val="22"/>
          <w:lang w:val="fr-FR"/>
        </w:rPr>
        <w:t>’</w:t>
      </w:r>
      <w:r w:rsidRPr="007F3E1D">
        <w:rPr>
          <w:rFonts w:ascii="Arial" w:hAnsi="Arial" w:cs="Arial"/>
          <w:bCs/>
          <w:sz w:val="22"/>
          <w:szCs w:val="22"/>
          <w:lang w:val="fr-FR"/>
        </w:rPr>
        <w:t xml:space="preserve">Assemblée, </w:t>
      </w:r>
      <w:r>
        <w:rPr>
          <w:rFonts w:ascii="Arial" w:hAnsi="Arial" w:cs="Arial"/>
          <w:bCs/>
          <w:sz w:val="22"/>
          <w:szCs w:val="22"/>
          <w:lang w:val="fr-FR"/>
        </w:rPr>
        <w:t>selon lequel</w:t>
      </w:r>
      <w:r w:rsidRPr="007F3E1D">
        <w:rPr>
          <w:rFonts w:ascii="Arial" w:hAnsi="Arial" w:cs="Arial"/>
          <w:bCs/>
          <w:sz w:val="22"/>
          <w:szCs w:val="22"/>
          <w:lang w:val="fr-FR"/>
        </w:rPr>
        <w:t xml:space="preserve"> l</w:t>
      </w:r>
      <w:r w:rsidR="008E532B">
        <w:rPr>
          <w:rFonts w:ascii="Arial" w:hAnsi="Arial" w:cs="Arial"/>
          <w:bCs/>
          <w:sz w:val="22"/>
          <w:szCs w:val="22"/>
          <w:lang w:val="fr-FR"/>
        </w:rPr>
        <w:t>’</w:t>
      </w:r>
      <w:r w:rsidRPr="007F3E1D">
        <w:rPr>
          <w:rFonts w:ascii="Arial" w:hAnsi="Arial" w:cs="Arial"/>
          <w:bCs/>
          <w:sz w:val="22"/>
          <w:szCs w:val="22"/>
          <w:lang w:val="fr-FR"/>
        </w:rPr>
        <w:t>Assemblée peut se réunir de deux manières : en session ordinaire</w:t>
      </w:r>
      <w:r>
        <w:rPr>
          <w:rFonts w:ascii="Arial" w:hAnsi="Arial" w:cs="Arial"/>
          <w:bCs/>
          <w:sz w:val="22"/>
          <w:szCs w:val="22"/>
          <w:lang w:val="fr-FR"/>
        </w:rPr>
        <w:t xml:space="preserve"> </w:t>
      </w:r>
      <w:r w:rsidRPr="007F3E1D">
        <w:rPr>
          <w:rFonts w:ascii="Arial" w:hAnsi="Arial" w:cs="Arial"/>
          <w:bCs/>
          <w:sz w:val="22"/>
          <w:szCs w:val="22"/>
          <w:lang w:val="fr-FR"/>
        </w:rPr>
        <w:t>et en session extraordinaire. L</w:t>
      </w:r>
      <w:r w:rsidR="008E532B">
        <w:rPr>
          <w:rFonts w:ascii="Arial" w:hAnsi="Arial" w:cs="Arial"/>
          <w:bCs/>
          <w:sz w:val="22"/>
          <w:szCs w:val="22"/>
          <w:lang w:val="fr-FR"/>
        </w:rPr>
        <w:t>’</w:t>
      </w:r>
      <w:r w:rsidRPr="007F3E1D">
        <w:rPr>
          <w:rFonts w:ascii="Arial" w:hAnsi="Arial" w:cs="Arial"/>
          <w:bCs/>
          <w:sz w:val="22"/>
          <w:szCs w:val="22"/>
          <w:lang w:val="fr-FR"/>
        </w:rPr>
        <w:t>article 4.1 stipul</w:t>
      </w:r>
      <w:r>
        <w:rPr>
          <w:rFonts w:ascii="Arial" w:hAnsi="Arial" w:cs="Arial"/>
          <w:bCs/>
          <w:sz w:val="22"/>
          <w:szCs w:val="22"/>
          <w:lang w:val="fr-FR"/>
        </w:rPr>
        <w:t>ait</w:t>
      </w:r>
      <w:r w:rsidRPr="007F3E1D">
        <w:rPr>
          <w:rFonts w:ascii="Arial" w:hAnsi="Arial" w:cs="Arial"/>
          <w:bCs/>
          <w:sz w:val="22"/>
          <w:szCs w:val="22"/>
          <w:lang w:val="fr-FR"/>
        </w:rPr>
        <w:t xml:space="preserve"> que </w:t>
      </w:r>
      <w:r>
        <w:rPr>
          <w:rFonts w:ascii="Arial" w:hAnsi="Arial" w:cs="Arial"/>
          <w:bCs/>
          <w:sz w:val="22"/>
          <w:szCs w:val="22"/>
          <w:lang w:val="fr-FR"/>
        </w:rPr>
        <w:t>« </w:t>
      </w:r>
      <w:r w:rsidRPr="007F3E1D">
        <w:rPr>
          <w:rFonts w:ascii="Arial" w:hAnsi="Arial" w:cs="Arial"/>
          <w:bCs/>
          <w:sz w:val="22"/>
          <w:szCs w:val="22"/>
          <w:lang w:val="fr-FR"/>
        </w:rPr>
        <w:t>l</w:t>
      </w:r>
      <w:r w:rsidR="008E532B">
        <w:rPr>
          <w:rFonts w:ascii="Arial" w:hAnsi="Arial" w:cs="Arial"/>
          <w:bCs/>
          <w:sz w:val="22"/>
          <w:szCs w:val="22"/>
          <w:lang w:val="fr-FR"/>
        </w:rPr>
        <w:t>’</w:t>
      </w:r>
      <w:r w:rsidRPr="007F3E1D">
        <w:rPr>
          <w:rFonts w:ascii="Arial" w:hAnsi="Arial" w:cs="Arial"/>
          <w:bCs/>
          <w:sz w:val="22"/>
          <w:szCs w:val="22"/>
          <w:lang w:val="fr-FR"/>
        </w:rPr>
        <w:t>Assemblée se réunit tous les deux ans en session ordinaire</w:t>
      </w:r>
      <w:r>
        <w:rPr>
          <w:rFonts w:ascii="Arial" w:hAnsi="Arial" w:cs="Arial"/>
          <w:bCs/>
          <w:sz w:val="22"/>
          <w:szCs w:val="22"/>
          <w:lang w:val="fr-FR"/>
        </w:rPr>
        <w:t> »</w:t>
      </w:r>
      <w:r w:rsidRPr="007F3E1D">
        <w:rPr>
          <w:rFonts w:ascii="Arial" w:hAnsi="Arial" w:cs="Arial"/>
          <w:bCs/>
          <w:sz w:val="22"/>
          <w:szCs w:val="22"/>
          <w:lang w:val="fr-FR"/>
        </w:rPr>
        <w:t xml:space="preserve">, ce qui </w:t>
      </w:r>
      <w:r>
        <w:rPr>
          <w:rFonts w:ascii="Arial" w:hAnsi="Arial" w:cs="Arial"/>
          <w:bCs/>
          <w:sz w:val="22"/>
          <w:szCs w:val="22"/>
          <w:lang w:val="fr-FR"/>
        </w:rPr>
        <w:t>était</w:t>
      </w:r>
      <w:r w:rsidRPr="007F3E1D">
        <w:rPr>
          <w:rFonts w:ascii="Arial" w:hAnsi="Arial" w:cs="Arial"/>
          <w:bCs/>
          <w:sz w:val="22"/>
          <w:szCs w:val="22"/>
          <w:lang w:val="fr-FR"/>
        </w:rPr>
        <w:t xml:space="preserve"> un principe. L</w:t>
      </w:r>
      <w:r w:rsidR="008E532B">
        <w:rPr>
          <w:rFonts w:ascii="Arial" w:hAnsi="Arial" w:cs="Arial"/>
          <w:bCs/>
          <w:sz w:val="22"/>
          <w:szCs w:val="22"/>
          <w:lang w:val="fr-FR"/>
        </w:rPr>
        <w:t>’</w:t>
      </w:r>
      <w:r w:rsidRPr="007F3E1D">
        <w:rPr>
          <w:rFonts w:ascii="Arial" w:hAnsi="Arial" w:cs="Arial"/>
          <w:bCs/>
          <w:sz w:val="22"/>
          <w:szCs w:val="22"/>
          <w:lang w:val="fr-FR"/>
        </w:rPr>
        <w:t>article 4.2 indiqu</w:t>
      </w:r>
      <w:r>
        <w:rPr>
          <w:rFonts w:ascii="Arial" w:hAnsi="Arial" w:cs="Arial"/>
          <w:bCs/>
          <w:sz w:val="22"/>
          <w:szCs w:val="22"/>
          <w:lang w:val="fr-FR"/>
        </w:rPr>
        <w:t>ait</w:t>
      </w:r>
      <w:r w:rsidRPr="007F3E1D">
        <w:rPr>
          <w:rFonts w:ascii="Arial" w:hAnsi="Arial" w:cs="Arial"/>
          <w:bCs/>
          <w:sz w:val="22"/>
          <w:szCs w:val="22"/>
          <w:lang w:val="fr-FR"/>
        </w:rPr>
        <w:t xml:space="preserve"> quand l</w:t>
      </w:r>
      <w:r w:rsidR="008E532B">
        <w:rPr>
          <w:rFonts w:ascii="Arial" w:hAnsi="Arial" w:cs="Arial"/>
          <w:bCs/>
          <w:sz w:val="22"/>
          <w:szCs w:val="22"/>
          <w:lang w:val="fr-FR"/>
        </w:rPr>
        <w:t>’</w:t>
      </w:r>
      <w:r w:rsidRPr="007F3E1D">
        <w:rPr>
          <w:rFonts w:ascii="Arial" w:hAnsi="Arial" w:cs="Arial"/>
          <w:bCs/>
          <w:sz w:val="22"/>
          <w:szCs w:val="22"/>
          <w:lang w:val="fr-FR"/>
        </w:rPr>
        <w:t>Assemblée p</w:t>
      </w:r>
      <w:r>
        <w:rPr>
          <w:rFonts w:ascii="Arial" w:hAnsi="Arial" w:cs="Arial"/>
          <w:bCs/>
          <w:sz w:val="22"/>
          <w:szCs w:val="22"/>
          <w:lang w:val="fr-FR"/>
        </w:rPr>
        <w:t>eut</w:t>
      </w:r>
      <w:r w:rsidRPr="007F3E1D">
        <w:rPr>
          <w:rFonts w:ascii="Arial" w:hAnsi="Arial" w:cs="Arial"/>
          <w:bCs/>
          <w:sz w:val="22"/>
          <w:szCs w:val="22"/>
          <w:lang w:val="fr-FR"/>
        </w:rPr>
        <w:t xml:space="preserve"> être convoquée en session extraordinaire, </w:t>
      </w:r>
      <w:r>
        <w:rPr>
          <w:rFonts w:ascii="Arial" w:hAnsi="Arial" w:cs="Arial"/>
          <w:bCs/>
          <w:sz w:val="22"/>
          <w:szCs w:val="22"/>
          <w:lang w:val="fr-FR"/>
        </w:rPr>
        <w:t>et ce</w:t>
      </w:r>
      <w:r w:rsidRPr="007F3E1D">
        <w:rPr>
          <w:rFonts w:ascii="Arial" w:hAnsi="Arial" w:cs="Arial"/>
          <w:bCs/>
          <w:sz w:val="22"/>
          <w:szCs w:val="22"/>
          <w:lang w:val="fr-FR"/>
        </w:rPr>
        <w:t xml:space="preserve"> de trois manières différentes : i) si l</w:t>
      </w:r>
      <w:r w:rsidR="008E532B">
        <w:rPr>
          <w:rFonts w:ascii="Arial" w:hAnsi="Arial" w:cs="Arial"/>
          <w:bCs/>
          <w:sz w:val="22"/>
          <w:szCs w:val="22"/>
          <w:lang w:val="fr-FR"/>
        </w:rPr>
        <w:t>’</w:t>
      </w:r>
      <w:r w:rsidRPr="007F3E1D">
        <w:rPr>
          <w:rFonts w:ascii="Arial" w:hAnsi="Arial" w:cs="Arial"/>
          <w:bCs/>
          <w:sz w:val="22"/>
          <w:szCs w:val="22"/>
          <w:lang w:val="fr-FR"/>
        </w:rPr>
        <w:t>Assemblée décide de convoquer une session extraordinaire ; ii) si le Comité intergouvernemental le demande ; et iii) si un tiers des États parties le demande. Alors, comment l</w:t>
      </w:r>
      <w:r w:rsidR="008E532B">
        <w:rPr>
          <w:rFonts w:ascii="Arial" w:hAnsi="Arial" w:cs="Arial"/>
          <w:bCs/>
          <w:sz w:val="22"/>
          <w:szCs w:val="22"/>
          <w:lang w:val="fr-FR"/>
        </w:rPr>
        <w:t>’</w:t>
      </w:r>
      <w:r w:rsidRPr="007F3E1D">
        <w:rPr>
          <w:rFonts w:ascii="Arial" w:hAnsi="Arial" w:cs="Arial"/>
          <w:bCs/>
          <w:sz w:val="22"/>
          <w:szCs w:val="22"/>
          <w:lang w:val="fr-FR"/>
        </w:rPr>
        <w:t>Assemblée pren</w:t>
      </w:r>
      <w:r>
        <w:rPr>
          <w:rFonts w:ascii="Arial" w:hAnsi="Arial" w:cs="Arial"/>
          <w:bCs/>
          <w:sz w:val="22"/>
          <w:szCs w:val="22"/>
          <w:lang w:val="fr-FR"/>
        </w:rPr>
        <w:t>ait</w:t>
      </w:r>
      <w:r w:rsidRPr="007F3E1D">
        <w:rPr>
          <w:rFonts w:ascii="Arial" w:hAnsi="Arial" w:cs="Arial"/>
          <w:bCs/>
          <w:sz w:val="22"/>
          <w:szCs w:val="22"/>
          <w:lang w:val="fr-FR"/>
        </w:rPr>
        <w:t xml:space="preserve">-elle la décision de se réunir ? Une fois la décision </w:t>
      </w:r>
      <w:r>
        <w:rPr>
          <w:rFonts w:ascii="Arial" w:hAnsi="Arial" w:cs="Arial"/>
          <w:bCs/>
          <w:sz w:val="22"/>
          <w:szCs w:val="22"/>
          <w:lang w:val="fr-FR"/>
        </w:rPr>
        <w:t xml:space="preserve">prise </w:t>
      </w:r>
      <w:r w:rsidRPr="007F3E1D">
        <w:rPr>
          <w:rFonts w:ascii="Arial" w:hAnsi="Arial" w:cs="Arial"/>
          <w:bCs/>
          <w:sz w:val="22"/>
          <w:szCs w:val="22"/>
          <w:lang w:val="fr-FR"/>
        </w:rPr>
        <w:t xml:space="preserve">de convoquer une session, </w:t>
      </w:r>
      <w:r>
        <w:rPr>
          <w:rFonts w:ascii="Arial" w:hAnsi="Arial" w:cs="Arial"/>
          <w:bCs/>
          <w:sz w:val="22"/>
          <w:szCs w:val="22"/>
          <w:lang w:val="fr-FR"/>
        </w:rPr>
        <w:t xml:space="preserve">selon </w:t>
      </w:r>
      <w:r w:rsidRPr="007F3E1D">
        <w:rPr>
          <w:rFonts w:ascii="Arial" w:hAnsi="Arial" w:cs="Arial"/>
          <w:bCs/>
          <w:sz w:val="22"/>
          <w:szCs w:val="22"/>
          <w:lang w:val="fr-FR"/>
        </w:rPr>
        <w:t>l</w:t>
      </w:r>
      <w:r w:rsidR="008E532B">
        <w:rPr>
          <w:rFonts w:ascii="Arial" w:hAnsi="Arial" w:cs="Arial"/>
          <w:bCs/>
          <w:sz w:val="22"/>
          <w:szCs w:val="22"/>
          <w:lang w:val="fr-FR"/>
        </w:rPr>
        <w:t>’</w:t>
      </w:r>
      <w:r w:rsidRPr="007F3E1D">
        <w:rPr>
          <w:rFonts w:ascii="Arial" w:hAnsi="Arial" w:cs="Arial"/>
          <w:bCs/>
          <w:sz w:val="22"/>
          <w:szCs w:val="22"/>
          <w:lang w:val="fr-FR"/>
        </w:rPr>
        <w:t>article 5.1</w:t>
      </w:r>
      <w:r>
        <w:rPr>
          <w:rFonts w:ascii="Arial" w:hAnsi="Arial" w:cs="Arial"/>
          <w:bCs/>
          <w:sz w:val="22"/>
          <w:szCs w:val="22"/>
          <w:lang w:val="fr-FR"/>
        </w:rPr>
        <w:t>, « Le/la</w:t>
      </w:r>
      <w:r w:rsidRPr="004F2F68">
        <w:rPr>
          <w:rFonts w:ascii="Arial" w:hAnsi="Arial" w:cs="Arial"/>
          <w:bCs/>
          <w:sz w:val="22"/>
          <w:szCs w:val="22"/>
          <w:lang w:val="fr-FR"/>
        </w:rPr>
        <w:t xml:space="preserve"> Directeur</w:t>
      </w:r>
      <w:r>
        <w:rPr>
          <w:rFonts w:ascii="Arial" w:hAnsi="Arial" w:cs="Arial"/>
          <w:bCs/>
          <w:sz w:val="22"/>
          <w:szCs w:val="22"/>
          <w:lang w:val="fr-FR"/>
        </w:rPr>
        <w:t>/Directrice général(e) détermine</w:t>
      </w:r>
      <w:r w:rsidRPr="007F3E1D">
        <w:rPr>
          <w:rFonts w:ascii="Arial" w:hAnsi="Arial" w:cs="Arial"/>
          <w:bCs/>
          <w:sz w:val="22"/>
          <w:szCs w:val="22"/>
          <w:lang w:val="fr-FR"/>
        </w:rPr>
        <w:t xml:space="preserve"> la date de la session ordinaire [...] et communique cette date [...]</w:t>
      </w:r>
      <w:r>
        <w:rPr>
          <w:rFonts w:ascii="Arial" w:hAnsi="Arial" w:cs="Arial"/>
          <w:bCs/>
          <w:sz w:val="22"/>
          <w:szCs w:val="22"/>
          <w:lang w:val="fr-FR"/>
        </w:rPr>
        <w:t> »</w:t>
      </w:r>
      <w:r w:rsidRPr="007F3E1D">
        <w:rPr>
          <w:rFonts w:ascii="Arial" w:hAnsi="Arial" w:cs="Arial"/>
          <w:bCs/>
          <w:sz w:val="22"/>
          <w:szCs w:val="22"/>
          <w:lang w:val="fr-FR"/>
        </w:rPr>
        <w:t xml:space="preserve">. </w:t>
      </w:r>
      <w:r>
        <w:rPr>
          <w:rFonts w:ascii="Arial" w:hAnsi="Arial" w:cs="Arial"/>
          <w:bCs/>
          <w:sz w:val="22"/>
          <w:szCs w:val="22"/>
          <w:lang w:val="fr-FR"/>
        </w:rPr>
        <w:t>Puis, selon l</w:t>
      </w:r>
      <w:r w:rsidR="008E532B">
        <w:rPr>
          <w:rFonts w:ascii="Arial" w:hAnsi="Arial" w:cs="Arial"/>
          <w:bCs/>
          <w:sz w:val="22"/>
          <w:szCs w:val="22"/>
          <w:lang w:val="fr-FR"/>
        </w:rPr>
        <w:t>’</w:t>
      </w:r>
      <w:r>
        <w:rPr>
          <w:rFonts w:ascii="Arial" w:hAnsi="Arial" w:cs="Arial"/>
          <w:bCs/>
          <w:sz w:val="22"/>
          <w:szCs w:val="22"/>
          <w:lang w:val="fr-FR"/>
        </w:rPr>
        <w:t>article 5.2</w:t>
      </w:r>
      <w:r w:rsidRPr="007F3E1D">
        <w:rPr>
          <w:rFonts w:ascii="Arial" w:hAnsi="Arial" w:cs="Arial"/>
          <w:bCs/>
          <w:sz w:val="22"/>
          <w:szCs w:val="22"/>
          <w:lang w:val="fr-FR"/>
        </w:rPr>
        <w:t xml:space="preserve"> : </w:t>
      </w:r>
      <w:r>
        <w:rPr>
          <w:rFonts w:ascii="Arial" w:hAnsi="Arial" w:cs="Arial"/>
          <w:bCs/>
          <w:sz w:val="22"/>
          <w:szCs w:val="22"/>
          <w:lang w:val="fr-FR"/>
        </w:rPr>
        <w:t xml:space="preserve">« Sauf si </w:t>
      </w:r>
      <w:r w:rsidRPr="007F3E1D">
        <w:rPr>
          <w:rFonts w:ascii="Arial" w:hAnsi="Arial" w:cs="Arial"/>
          <w:bCs/>
          <w:sz w:val="22"/>
          <w:szCs w:val="22"/>
          <w:lang w:val="fr-FR"/>
        </w:rPr>
        <w:t xml:space="preserve">la date </w:t>
      </w:r>
      <w:r>
        <w:rPr>
          <w:rFonts w:ascii="Arial" w:hAnsi="Arial" w:cs="Arial"/>
          <w:bCs/>
          <w:sz w:val="22"/>
          <w:szCs w:val="22"/>
          <w:lang w:val="fr-FR"/>
        </w:rPr>
        <w:t xml:space="preserve">a </w:t>
      </w:r>
      <w:r w:rsidRPr="007F3E1D">
        <w:rPr>
          <w:rFonts w:ascii="Arial" w:hAnsi="Arial" w:cs="Arial"/>
          <w:bCs/>
          <w:sz w:val="22"/>
          <w:szCs w:val="22"/>
          <w:lang w:val="fr-FR"/>
        </w:rPr>
        <w:t>été décidée par l</w:t>
      </w:r>
      <w:r w:rsidR="008E532B">
        <w:rPr>
          <w:rFonts w:ascii="Arial" w:hAnsi="Arial" w:cs="Arial"/>
          <w:bCs/>
          <w:sz w:val="22"/>
          <w:szCs w:val="22"/>
          <w:lang w:val="fr-FR"/>
        </w:rPr>
        <w:t>’</w:t>
      </w:r>
      <w:r w:rsidRPr="007F3E1D">
        <w:rPr>
          <w:rFonts w:ascii="Arial" w:hAnsi="Arial" w:cs="Arial"/>
          <w:bCs/>
          <w:sz w:val="22"/>
          <w:szCs w:val="22"/>
          <w:lang w:val="fr-FR"/>
        </w:rPr>
        <w:t>Assemblée</w:t>
      </w:r>
      <w:r>
        <w:rPr>
          <w:rFonts w:ascii="Arial" w:hAnsi="Arial" w:cs="Arial"/>
          <w:bCs/>
          <w:sz w:val="22"/>
          <w:szCs w:val="22"/>
          <w:lang w:val="fr-FR"/>
        </w:rPr>
        <w:t> »</w:t>
      </w:r>
      <w:r w:rsidRPr="007F3E1D">
        <w:rPr>
          <w:rFonts w:ascii="Arial" w:hAnsi="Arial" w:cs="Arial"/>
          <w:bCs/>
          <w:sz w:val="22"/>
          <w:szCs w:val="22"/>
          <w:lang w:val="fr-FR"/>
        </w:rPr>
        <w:t xml:space="preserve">, </w:t>
      </w:r>
      <w:r>
        <w:rPr>
          <w:rFonts w:ascii="Arial" w:hAnsi="Arial" w:cs="Arial"/>
          <w:bCs/>
          <w:sz w:val="22"/>
          <w:szCs w:val="22"/>
          <w:lang w:val="fr-FR"/>
        </w:rPr>
        <w:t xml:space="preserve">qui est le </w:t>
      </w:r>
      <w:r w:rsidRPr="007F3E1D">
        <w:rPr>
          <w:rFonts w:ascii="Arial" w:hAnsi="Arial" w:cs="Arial"/>
          <w:bCs/>
          <w:sz w:val="22"/>
          <w:szCs w:val="22"/>
          <w:lang w:val="fr-FR"/>
        </w:rPr>
        <w:t>seul organe pouvant l</w:t>
      </w:r>
      <w:r w:rsidR="008E532B">
        <w:rPr>
          <w:rFonts w:ascii="Arial" w:hAnsi="Arial" w:cs="Arial"/>
          <w:bCs/>
          <w:sz w:val="22"/>
          <w:szCs w:val="22"/>
          <w:lang w:val="fr-FR"/>
        </w:rPr>
        <w:t>’</w:t>
      </w:r>
      <w:r w:rsidRPr="007F3E1D">
        <w:rPr>
          <w:rFonts w:ascii="Arial" w:hAnsi="Arial" w:cs="Arial"/>
          <w:bCs/>
          <w:sz w:val="22"/>
          <w:szCs w:val="22"/>
          <w:lang w:val="fr-FR"/>
        </w:rPr>
        <w:t>imposer, c</w:t>
      </w:r>
      <w:r w:rsidR="008E532B">
        <w:rPr>
          <w:rFonts w:ascii="Arial" w:hAnsi="Arial" w:cs="Arial"/>
          <w:bCs/>
          <w:sz w:val="22"/>
          <w:szCs w:val="22"/>
          <w:lang w:val="fr-FR"/>
        </w:rPr>
        <w:t>’</w:t>
      </w:r>
      <w:r>
        <w:rPr>
          <w:rFonts w:ascii="Arial" w:hAnsi="Arial" w:cs="Arial"/>
          <w:bCs/>
          <w:sz w:val="22"/>
          <w:szCs w:val="22"/>
          <w:lang w:val="fr-FR"/>
        </w:rPr>
        <w:t>était 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w:t>
      </w:r>
      <w:r w:rsidRPr="007F3E1D">
        <w:rPr>
          <w:rFonts w:ascii="Arial" w:hAnsi="Arial" w:cs="Arial"/>
          <w:bCs/>
          <w:sz w:val="22"/>
          <w:szCs w:val="22"/>
          <w:lang w:val="fr-FR"/>
        </w:rPr>
        <w:t xml:space="preserve">qui peut déterminer </w:t>
      </w:r>
      <w:r>
        <w:rPr>
          <w:rFonts w:ascii="Arial" w:hAnsi="Arial" w:cs="Arial"/>
          <w:bCs/>
          <w:sz w:val="22"/>
          <w:szCs w:val="22"/>
          <w:lang w:val="fr-FR"/>
        </w:rPr>
        <w:t>la</w:t>
      </w:r>
      <w:r w:rsidRPr="007F3E1D">
        <w:rPr>
          <w:rFonts w:ascii="Arial" w:hAnsi="Arial" w:cs="Arial"/>
          <w:bCs/>
          <w:sz w:val="22"/>
          <w:szCs w:val="22"/>
          <w:lang w:val="fr-FR"/>
        </w:rPr>
        <w:t xml:space="preserve"> date de la session extraordinaire</w:t>
      </w:r>
      <w:r>
        <w:rPr>
          <w:rFonts w:ascii="Arial" w:hAnsi="Arial" w:cs="Arial"/>
          <w:bCs/>
          <w:sz w:val="22"/>
          <w:szCs w:val="22"/>
          <w:lang w:val="fr-FR"/>
        </w:rPr>
        <w:t>,</w:t>
      </w:r>
      <w:r w:rsidRPr="007F3E1D">
        <w:rPr>
          <w:rFonts w:ascii="Arial" w:hAnsi="Arial" w:cs="Arial"/>
          <w:bCs/>
          <w:sz w:val="22"/>
          <w:szCs w:val="22"/>
          <w:lang w:val="fr-FR"/>
        </w:rPr>
        <w:t xml:space="preserve"> et </w:t>
      </w:r>
      <w:r>
        <w:rPr>
          <w:rFonts w:ascii="Arial" w:hAnsi="Arial" w:cs="Arial"/>
          <w:bCs/>
          <w:sz w:val="22"/>
          <w:szCs w:val="22"/>
          <w:lang w:val="fr-FR"/>
        </w:rPr>
        <w:t>le /la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qui </w:t>
      </w:r>
      <w:r w:rsidRPr="007F3E1D">
        <w:rPr>
          <w:rFonts w:ascii="Arial" w:hAnsi="Arial" w:cs="Arial"/>
          <w:bCs/>
          <w:sz w:val="22"/>
          <w:szCs w:val="22"/>
          <w:lang w:val="fr-FR"/>
        </w:rPr>
        <w:t xml:space="preserve">communique cette date à tous. Le Conseiller juridique a estimé que cela était suffisamment clair et que la demande serait </w:t>
      </w:r>
      <w:r>
        <w:rPr>
          <w:rFonts w:ascii="Arial" w:hAnsi="Arial" w:cs="Arial"/>
          <w:bCs/>
          <w:sz w:val="22"/>
          <w:szCs w:val="22"/>
          <w:lang w:val="fr-FR"/>
        </w:rPr>
        <w:t>suivie d</w:t>
      </w:r>
      <w:r w:rsidR="008E532B">
        <w:rPr>
          <w:rFonts w:ascii="Arial" w:hAnsi="Arial" w:cs="Arial"/>
          <w:bCs/>
          <w:sz w:val="22"/>
          <w:szCs w:val="22"/>
          <w:lang w:val="fr-FR"/>
        </w:rPr>
        <w:t>’</w:t>
      </w:r>
      <w:r>
        <w:rPr>
          <w:rFonts w:ascii="Arial" w:hAnsi="Arial" w:cs="Arial"/>
          <w:bCs/>
          <w:sz w:val="22"/>
          <w:szCs w:val="22"/>
          <w:lang w:val="fr-FR"/>
        </w:rPr>
        <w:t>effet</w:t>
      </w:r>
      <w:r w:rsidRPr="007F3E1D">
        <w:rPr>
          <w:rFonts w:ascii="Arial" w:hAnsi="Arial" w:cs="Arial"/>
          <w:bCs/>
          <w:sz w:val="22"/>
          <w:szCs w:val="22"/>
          <w:lang w:val="fr-FR"/>
        </w:rPr>
        <w:t>. L</w:t>
      </w:r>
      <w:r w:rsidR="008E532B">
        <w:rPr>
          <w:rFonts w:ascii="Arial" w:hAnsi="Arial" w:cs="Arial"/>
          <w:bCs/>
          <w:sz w:val="22"/>
          <w:szCs w:val="22"/>
          <w:lang w:val="fr-FR"/>
        </w:rPr>
        <w:t>’</w:t>
      </w:r>
      <w:r w:rsidRPr="007F3E1D">
        <w:rPr>
          <w:rFonts w:ascii="Arial" w:hAnsi="Arial" w:cs="Arial"/>
          <w:bCs/>
          <w:sz w:val="22"/>
          <w:szCs w:val="22"/>
          <w:lang w:val="fr-FR"/>
        </w:rPr>
        <w:t>avis de la Palestine était que ce n</w:t>
      </w:r>
      <w:r w:rsidR="008E532B">
        <w:rPr>
          <w:rFonts w:ascii="Arial" w:hAnsi="Arial" w:cs="Arial"/>
          <w:bCs/>
          <w:sz w:val="22"/>
          <w:szCs w:val="22"/>
          <w:lang w:val="fr-FR"/>
        </w:rPr>
        <w:t>’</w:t>
      </w:r>
      <w:r>
        <w:rPr>
          <w:rFonts w:ascii="Arial" w:hAnsi="Arial" w:cs="Arial"/>
          <w:bCs/>
          <w:sz w:val="22"/>
          <w:szCs w:val="22"/>
          <w:lang w:val="fr-FR"/>
        </w:rPr>
        <w:t>était</w:t>
      </w:r>
      <w:r w:rsidRPr="007F3E1D">
        <w:rPr>
          <w:rFonts w:ascii="Arial" w:hAnsi="Arial" w:cs="Arial"/>
          <w:bCs/>
          <w:sz w:val="22"/>
          <w:szCs w:val="22"/>
          <w:lang w:val="fr-FR"/>
        </w:rPr>
        <w:t xml:space="preserve"> pas assez clair. Le Conseiller juridique attendait donc avec impatience de savoir comment améliorer cette </w:t>
      </w:r>
      <w:r w:rsidRPr="000F399F">
        <w:rPr>
          <w:rFonts w:ascii="Arial" w:hAnsi="Arial" w:cs="Arial"/>
          <w:bCs/>
          <w:sz w:val="22"/>
          <w:szCs w:val="22"/>
          <w:lang w:val="fr-FR"/>
        </w:rPr>
        <w:t>interprétation</w:t>
      </w:r>
      <w:r>
        <w:rPr>
          <w:rFonts w:ascii="Arial" w:hAnsi="Arial" w:cs="Arial"/>
          <w:bCs/>
          <w:sz w:val="22"/>
          <w:szCs w:val="22"/>
          <w:lang w:val="fr-FR"/>
        </w:rPr>
        <w:t xml:space="preserve"> </w:t>
      </w:r>
      <w:r w:rsidRPr="007F3E1D">
        <w:rPr>
          <w:rFonts w:ascii="Arial" w:hAnsi="Arial" w:cs="Arial"/>
          <w:bCs/>
          <w:sz w:val="22"/>
          <w:szCs w:val="22"/>
          <w:lang w:val="fr-FR"/>
        </w:rPr>
        <w:t>afin de rédiger un texte approprié. En tout état de cause, il a déconseillé de faire référence à un délai de quarante-cinq jours à compter de la date à laquelle l</w:t>
      </w:r>
      <w:r w:rsidR="008E532B">
        <w:rPr>
          <w:rFonts w:ascii="Arial" w:hAnsi="Arial" w:cs="Arial"/>
          <w:bCs/>
          <w:sz w:val="22"/>
          <w:szCs w:val="22"/>
          <w:lang w:val="fr-FR"/>
        </w:rPr>
        <w:t>’</w:t>
      </w:r>
      <w:r w:rsidRPr="007F3E1D">
        <w:rPr>
          <w:rFonts w:ascii="Arial" w:hAnsi="Arial" w:cs="Arial"/>
          <w:bCs/>
          <w:sz w:val="22"/>
          <w:szCs w:val="22"/>
          <w:lang w:val="fr-FR"/>
        </w:rPr>
        <w:t xml:space="preserve">Assemblée </w:t>
      </w:r>
      <w:r>
        <w:rPr>
          <w:rFonts w:ascii="Arial" w:hAnsi="Arial" w:cs="Arial"/>
          <w:bCs/>
          <w:sz w:val="22"/>
          <w:szCs w:val="22"/>
          <w:lang w:val="fr-FR"/>
        </w:rPr>
        <w:t>prenait</w:t>
      </w:r>
      <w:r w:rsidRPr="007F3E1D">
        <w:rPr>
          <w:rFonts w:ascii="Arial" w:hAnsi="Arial" w:cs="Arial"/>
          <w:bCs/>
          <w:sz w:val="22"/>
          <w:szCs w:val="22"/>
          <w:lang w:val="fr-FR"/>
        </w:rPr>
        <w:t xml:space="preserve"> sa décision, au cas où l</w:t>
      </w:r>
      <w:r w:rsidR="008E532B">
        <w:rPr>
          <w:rFonts w:ascii="Arial" w:hAnsi="Arial" w:cs="Arial"/>
          <w:bCs/>
          <w:sz w:val="22"/>
          <w:szCs w:val="22"/>
          <w:lang w:val="fr-FR"/>
        </w:rPr>
        <w:t>’</w:t>
      </w:r>
      <w:r w:rsidRPr="007F3E1D">
        <w:rPr>
          <w:rFonts w:ascii="Arial" w:hAnsi="Arial" w:cs="Arial"/>
          <w:bCs/>
          <w:sz w:val="22"/>
          <w:szCs w:val="22"/>
          <w:lang w:val="fr-FR"/>
        </w:rPr>
        <w:t>Assemblée ne prendrait pas de décision.</w:t>
      </w:r>
    </w:p>
    <w:p w14:paraId="067BFE25" w14:textId="1346A7E4" w:rsidR="00D9653F" w:rsidRPr="000F399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F399F">
        <w:rPr>
          <w:rFonts w:ascii="Arial" w:hAnsi="Arial" w:cs="Arial"/>
          <w:bCs/>
          <w:sz w:val="22"/>
          <w:szCs w:val="22"/>
          <w:lang w:val="fr-FR"/>
        </w:rPr>
        <w:t xml:space="preserve">La délégation de la </w:t>
      </w:r>
      <w:r w:rsidRPr="000F399F">
        <w:rPr>
          <w:rFonts w:ascii="Arial" w:hAnsi="Arial" w:cs="Arial"/>
          <w:b/>
          <w:sz w:val="22"/>
          <w:szCs w:val="22"/>
          <w:lang w:val="fr-FR"/>
        </w:rPr>
        <w:t>Palestine</w:t>
      </w:r>
      <w:r w:rsidRPr="000F399F">
        <w:rPr>
          <w:rFonts w:ascii="Arial" w:hAnsi="Arial" w:cs="Arial"/>
          <w:bCs/>
          <w:sz w:val="22"/>
          <w:szCs w:val="22"/>
          <w:lang w:val="fr-FR"/>
        </w:rPr>
        <w:t xml:space="preserve"> compr</w:t>
      </w:r>
      <w:r>
        <w:rPr>
          <w:rFonts w:ascii="Arial" w:hAnsi="Arial" w:cs="Arial"/>
          <w:bCs/>
          <w:sz w:val="22"/>
          <w:szCs w:val="22"/>
          <w:lang w:val="fr-FR"/>
        </w:rPr>
        <w:t>enait</w:t>
      </w:r>
      <w:r w:rsidRPr="000F399F">
        <w:rPr>
          <w:rFonts w:ascii="Arial" w:hAnsi="Arial" w:cs="Arial"/>
          <w:bCs/>
          <w:sz w:val="22"/>
          <w:szCs w:val="22"/>
          <w:lang w:val="fr-FR"/>
        </w:rPr>
        <w:t xml:space="preserve"> l</w:t>
      </w:r>
      <w:r w:rsidR="008E532B">
        <w:rPr>
          <w:rFonts w:ascii="Arial" w:hAnsi="Arial" w:cs="Arial"/>
          <w:bCs/>
          <w:sz w:val="22"/>
          <w:szCs w:val="22"/>
          <w:lang w:val="fr-FR"/>
        </w:rPr>
        <w:t>’</w:t>
      </w:r>
      <w:r w:rsidRPr="000F399F">
        <w:rPr>
          <w:rFonts w:ascii="Arial" w:hAnsi="Arial" w:cs="Arial"/>
          <w:bCs/>
          <w:sz w:val="22"/>
          <w:szCs w:val="22"/>
          <w:lang w:val="fr-FR"/>
        </w:rPr>
        <w:t xml:space="preserve">explication claire du Conseiller juridique, mais </w:t>
      </w:r>
      <w:r>
        <w:rPr>
          <w:rFonts w:ascii="Arial" w:hAnsi="Arial" w:cs="Arial"/>
          <w:bCs/>
          <w:sz w:val="22"/>
          <w:szCs w:val="22"/>
          <w:lang w:val="fr-FR"/>
        </w:rPr>
        <w:t xml:space="preserve">également </w:t>
      </w:r>
      <w:r w:rsidRPr="000F399F">
        <w:rPr>
          <w:rFonts w:ascii="Arial" w:hAnsi="Arial" w:cs="Arial"/>
          <w:bCs/>
          <w:sz w:val="22"/>
          <w:szCs w:val="22"/>
          <w:lang w:val="fr-FR"/>
        </w:rPr>
        <w:t>la préoccupation exprimée par la Türkiye. En fait, comme l</w:t>
      </w:r>
      <w:r w:rsidR="008E532B">
        <w:rPr>
          <w:rFonts w:ascii="Arial" w:hAnsi="Arial" w:cs="Arial"/>
          <w:bCs/>
          <w:sz w:val="22"/>
          <w:szCs w:val="22"/>
          <w:lang w:val="fr-FR"/>
        </w:rPr>
        <w:t>’</w:t>
      </w:r>
      <w:r w:rsidRPr="000F399F">
        <w:rPr>
          <w:rFonts w:ascii="Arial" w:hAnsi="Arial" w:cs="Arial"/>
          <w:bCs/>
          <w:sz w:val="22"/>
          <w:szCs w:val="22"/>
          <w:lang w:val="fr-FR"/>
        </w:rPr>
        <w:t>a</w:t>
      </w:r>
      <w:r>
        <w:rPr>
          <w:rFonts w:ascii="Arial" w:hAnsi="Arial" w:cs="Arial"/>
          <w:bCs/>
          <w:sz w:val="22"/>
          <w:szCs w:val="22"/>
          <w:lang w:val="fr-FR"/>
        </w:rPr>
        <w:t>vait</w:t>
      </w:r>
      <w:r w:rsidRPr="000F399F">
        <w:rPr>
          <w:rFonts w:ascii="Arial" w:hAnsi="Arial" w:cs="Arial"/>
          <w:bCs/>
          <w:sz w:val="22"/>
          <w:szCs w:val="22"/>
          <w:lang w:val="fr-FR"/>
        </w:rPr>
        <w:t xml:space="preserve"> mentionné le Conseiller juridique, l</w:t>
      </w:r>
      <w:r w:rsidR="008E532B">
        <w:rPr>
          <w:rFonts w:ascii="Arial" w:hAnsi="Arial" w:cs="Arial"/>
          <w:bCs/>
          <w:sz w:val="22"/>
          <w:szCs w:val="22"/>
          <w:lang w:val="fr-FR"/>
        </w:rPr>
        <w:t>’</w:t>
      </w:r>
      <w:r w:rsidRPr="000F399F">
        <w:rPr>
          <w:rFonts w:ascii="Arial" w:hAnsi="Arial" w:cs="Arial"/>
          <w:bCs/>
          <w:sz w:val="22"/>
          <w:szCs w:val="22"/>
          <w:lang w:val="fr-FR"/>
        </w:rPr>
        <w:t>Assemblée générale, le Comité ou un tiers des États parties peuvent demander une session extraordinaire. L</w:t>
      </w:r>
      <w:r w:rsidR="008E532B">
        <w:rPr>
          <w:rFonts w:ascii="Arial" w:hAnsi="Arial" w:cs="Arial"/>
          <w:bCs/>
          <w:sz w:val="22"/>
          <w:szCs w:val="22"/>
          <w:lang w:val="fr-FR"/>
        </w:rPr>
        <w:t>’</w:t>
      </w:r>
      <w:r w:rsidRPr="000F399F">
        <w:rPr>
          <w:rFonts w:ascii="Arial" w:hAnsi="Arial" w:cs="Arial"/>
          <w:bCs/>
          <w:sz w:val="22"/>
          <w:szCs w:val="22"/>
          <w:lang w:val="fr-FR"/>
        </w:rPr>
        <w:t xml:space="preserve">idée </w:t>
      </w:r>
      <w:r>
        <w:rPr>
          <w:rFonts w:ascii="Arial" w:hAnsi="Arial" w:cs="Arial"/>
          <w:bCs/>
          <w:sz w:val="22"/>
          <w:szCs w:val="22"/>
          <w:lang w:val="fr-FR"/>
        </w:rPr>
        <w:t>était</w:t>
      </w:r>
      <w:r w:rsidRPr="000F399F">
        <w:rPr>
          <w:rFonts w:ascii="Arial" w:hAnsi="Arial" w:cs="Arial"/>
          <w:bCs/>
          <w:sz w:val="22"/>
          <w:szCs w:val="22"/>
          <w:lang w:val="fr-FR"/>
        </w:rPr>
        <w:t xml:space="preserve"> que si l</w:t>
      </w:r>
      <w:r w:rsidR="008E532B">
        <w:rPr>
          <w:rFonts w:ascii="Arial" w:hAnsi="Arial" w:cs="Arial"/>
          <w:bCs/>
          <w:sz w:val="22"/>
          <w:szCs w:val="22"/>
          <w:lang w:val="fr-FR"/>
        </w:rPr>
        <w:t>’</w:t>
      </w:r>
      <w:r w:rsidRPr="000F399F">
        <w:rPr>
          <w:rFonts w:ascii="Arial" w:hAnsi="Arial" w:cs="Arial"/>
          <w:bCs/>
          <w:sz w:val="22"/>
          <w:szCs w:val="22"/>
          <w:lang w:val="fr-FR"/>
        </w:rPr>
        <w:t>Assemblée générale ne décide pas de la date, c</w:t>
      </w:r>
      <w:r w:rsidR="008E532B">
        <w:rPr>
          <w:rFonts w:ascii="Arial" w:hAnsi="Arial" w:cs="Arial"/>
          <w:bCs/>
          <w:sz w:val="22"/>
          <w:szCs w:val="22"/>
          <w:lang w:val="fr-FR"/>
        </w:rPr>
        <w:t>’</w:t>
      </w:r>
      <w:r w:rsidRPr="000F399F">
        <w:rPr>
          <w:rFonts w:ascii="Arial" w:hAnsi="Arial" w:cs="Arial"/>
          <w:bCs/>
          <w:sz w:val="22"/>
          <w:szCs w:val="22"/>
          <w:lang w:val="fr-FR"/>
        </w:rPr>
        <w:t xml:space="preserve">est </w:t>
      </w:r>
      <w:r>
        <w:rPr>
          <w:rFonts w:ascii="Arial" w:hAnsi="Arial" w:cs="Arial"/>
          <w:bCs/>
          <w:sz w:val="22"/>
          <w:szCs w:val="22"/>
          <w:lang w:val="fr-FR"/>
        </w:rPr>
        <w:t>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w:t>
      </w:r>
      <w:r w:rsidRPr="000F399F">
        <w:rPr>
          <w:rFonts w:ascii="Arial" w:hAnsi="Arial" w:cs="Arial"/>
          <w:bCs/>
          <w:sz w:val="22"/>
          <w:szCs w:val="22"/>
          <w:lang w:val="fr-FR"/>
        </w:rPr>
        <w:t>qui le fait. Par exemple, si un tiers des États parties demand</w:t>
      </w:r>
      <w:r>
        <w:rPr>
          <w:rFonts w:ascii="Arial" w:hAnsi="Arial" w:cs="Arial"/>
          <w:bCs/>
          <w:sz w:val="22"/>
          <w:szCs w:val="22"/>
          <w:lang w:val="fr-FR"/>
        </w:rPr>
        <w:t>e</w:t>
      </w:r>
      <w:r w:rsidRPr="000F399F">
        <w:rPr>
          <w:rFonts w:ascii="Arial" w:hAnsi="Arial" w:cs="Arial"/>
          <w:bCs/>
          <w:sz w:val="22"/>
          <w:szCs w:val="22"/>
          <w:lang w:val="fr-FR"/>
        </w:rPr>
        <w:t xml:space="preserve"> une session extraordinaire, </w:t>
      </w:r>
      <w:r>
        <w:rPr>
          <w:rFonts w:ascii="Arial" w:hAnsi="Arial" w:cs="Arial"/>
          <w:bCs/>
          <w:sz w:val="22"/>
          <w:szCs w:val="22"/>
          <w:lang w:val="fr-FR"/>
        </w:rPr>
        <w:t>ce n</w:t>
      </w:r>
      <w:r w:rsidR="008E532B">
        <w:rPr>
          <w:rFonts w:ascii="Arial" w:hAnsi="Arial" w:cs="Arial"/>
          <w:bCs/>
          <w:sz w:val="22"/>
          <w:szCs w:val="22"/>
          <w:lang w:val="fr-FR"/>
        </w:rPr>
        <w:t>’</w:t>
      </w:r>
      <w:r>
        <w:rPr>
          <w:rFonts w:ascii="Arial" w:hAnsi="Arial" w:cs="Arial"/>
          <w:bCs/>
          <w:sz w:val="22"/>
          <w:szCs w:val="22"/>
          <w:lang w:val="fr-FR"/>
        </w:rPr>
        <w:t>était pas l</w:t>
      </w:r>
      <w:r w:rsidR="008E532B">
        <w:rPr>
          <w:rFonts w:ascii="Arial" w:hAnsi="Arial" w:cs="Arial"/>
          <w:bCs/>
          <w:sz w:val="22"/>
          <w:szCs w:val="22"/>
          <w:lang w:val="fr-FR"/>
        </w:rPr>
        <w:t>’</w:t>
      </w:r>
      <w:r w:rsidRPr="000F399F">
        <w:rPr>
          <w:rFonts w:ascii="Arial" w:hAnsi="Arial" w:cs="Arial"/>
          <w:bCs/>
          <w:sz w:val="22"/>
          <w:szCs w:val="22"/>
          <w:lang w:val="fr-FR"/>
        </w:rPr>
        <w:t>Assemblée</w:t>
      </w:r>
      <w:r>
        <w:rPr>
          <w:rFonts w:ascii="Arial" w:hAnsi="Arial" w:cs="Arial"/>
          <w:bCs/>
          <w:sz w:val="22"/>
          <w:szCs w:val="22"/>
          <w:lang w:val="fr-FR"/>
        </w:rPr>
        <w:t xml:space="preserve"> qui décidait de la date</w:t>
      </w:r>
      <w:r w:rsidRPr="000F399F">
        <w:rPr>
          <w:rFonts w:ascii="Arial" w:hAnsi="Arial" w:cs="Arial"/>
          <w:bCs/>
          <w:sz w:val="22"/>
          <w:szCs w:val="22"/>
          <w:lang w:val="fr-FR"/>
        </w:rPr>
        <w:t>. Dans ce cas</w:t>
      </w:r>
      <w:r>
        <w:rPr>
          <w:rFonts w:ascii="Arial" w:hAnsi="Arial" w:cs="Arial"/>
          <w:bCs/>
          <w:sz w:val="22"/>
          <w:szCs w:val="22"/>
          <w:lang w:val="fr-FR"/>
        </w:rPr>
        <w:t xml:space="preserve"> précis</w:t>
      </w:r>
      <w:r w:rsidRPr="000F399F">
        <w:rPr>
          <w:rFonts w:ascii="Arial" w:hAnsi="Arial" w:cs="Arial"/>
          <w:bCs/>
          <w:sz w:val="22"/>
          <w:szCs w:val="22"/>
          <w:lang w:val="fr-FR"/>
        </w:rPr>
        <w:t xml:space="preserve">, la date </w:t>
      </w:r>
      <w:r>
        <w:rPr>
          <w:rFonts w:ascii="Arial" w:hAnsi="Arial" w:cs="Arial"/>
          <w:bCs/>
          <w:sz w:val="22"/>
          <w:szCs w:val="22"/>
          <w:lang w:val="fr-FR"/>
        </w:rPr>
        <w:t>serait</w:t>
      </w:r>
      <w:r w:rsidRPr="000F399F">
        <w:rPr>
          <w:rFonts w:ascii="Arial" w:hAnsi="Arial" w:cs="Arial"/>
          <w:bCs/>
          <w:sz w:val="22"/>
          <w:szCs w:val="22"/>
          <w:lang w:val="fr-FR"/>
        </w:rPr>
        <w:t xml:space="preserve"> déterminée par</w:t>
      </w:r>
      <w:r>
        <w:rPr>
          <w:rFonts w:ascii="Arial" w:hAnsi="Arial" w:cs="Arial"/>
          <w:bCs/>
          <w:sz w:val="22"/>
          <w:szCs w:val="22"/>
          <w:lang w:val="fr-FR"/>
        </w:rPr>
        <w:t xml:space="preserve"> le/la</w:t>
      </w:r>
      <w:r w:rsidRPr="004F2F68">
        <w:rPr>
          <w:rFonts w:ascii="Arial" w:hAnsi="Arial" w:cs="Arial"/>
          <w:bCs/>
          <w:sz w:val="22"/>
          <w:szCs w:val="22"/>
          <w:lang w:val="fr-FR"/>
        </w:rPr>
        <w:t xml:space="preserve"> Directeur</w:t>
      </w:r>
      <w:r>
        <w:rPr>
          <w:rFonts w:ascii="Arial" w:hAnsi="Arial" w:cs="Arial"/>
          <w:bCs/>
          <w:sz w:val="22"/>
          <w:szCs w:val="22"/>
          <w:lang w:val="fr-FR"/>
        </w:rPr>
        <w:t>/Directrice général(e)</w:t>
      </w:r>
      <w:r w:rsidRPr="000F399F">
        <w:rPr>
          <w:rFonts w:ascii="Arial" w:hAnsi="Arial" w:cs="Arial"/>
          <w:bCs/>
          <w:sz w:val="22"/>
          <w:szCs w:val="22"/>
          <w:lang w:val="fr-FR"/>
        </w:rPr>
        <w:t xml:space="preserve">. Toutefois, </w:t>
      </w:r>
      <w:r>
        <w:rPr>
          <w:rFonts w:ascii="Arial" w:hAnsi="Arial" w:cs="Arial"/>
          <w:bCs/>
          <w:sz w:val="22"/>
          <w:szCs w:val="22"/>
          <w:lang w:val="fr-FR"/>
        </w:rPr>
        <w:t>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w:t>
      </w:r>
      <w:r w:rsidRPr="000F399F">
        <w:rPr>
          <w:rFonts w:ascii="Arial" w:hAnsi="Arial" w:cs="Arial"/>
          <w:bCs/>
          <w:sz w:val="22"/>
          <w:szCs w:val="22"/>
          <w:lang w:val="fr-FR"/>
        </w:rPr>
        <w:t>p</w:t>
      </w:r>
      <w:r>
        <w:rPr>
          <w:rFonts w:ascii="Arial" w:hAnsi="Arial" w:cs="Arial"/>
          <w:bCs/>
          <w:sz w:val="22"/>
          <w:szCs w:val="22"/>
          <w:lang w:val="fr-FR"/>
        </w:rPr>
        <w:t xml:space="preserve">ouvait </w:t>
      </w:r>
      <w:r w:rsidRPr="000F399F">
        <w:rPr>
          <w:rFonts w:ascii="Arial" w:hAnsi="Arial" w:cs="Arial"/>
          <w:bCs/>
          <w:sz w:val="22"/>
          <w:szCs w:val="22"/>
          <w:lang w:val="fr-FR"/>
        </w:rPr>
        <w:t>décider de tenir cette session extraordinaire dans un délai d</w:t>
      </w:r>
      <w:r w:rsidR="008E532B">
        <w:rPr>
          <w:rFonts w:ascii="Arial" w:hAnsi="Arial" w:cs="Arial"/>
          <w:bCs/>
          <w:sz w:val="22"/>
          <w:szCs w:val="22"/>
          <w:lang w:val="fr-FR"/>
        </w:rPr>
        <w:t>’</w:t>
      </w:r>
      <w:r w:rsidRPr="000F399F">
        <w:rPr>
          <w:rFonts w:ascii="Arial" w:hAnsi="Arial" w:cs="Arial"/>
          <w:bCs/>
          <w:sz w:val="22"/>
          <w:szCs w:val="22"/>
          <w:lang w:val="fr-FR"/>
        </w:rPr>
        <w:t>un ou deux mois, voire plus. Ainsi,</w:t>
      </w:r>
      <w:r>
        <w:rPr>
          <w:rFonts w:ascii="Arial" w:hAnsi="Arial" w:cs="Arial"/>
          <w:bCs/>
          <w:sz w:val="22"/>
          <w:szCs w:val="22"/>
          <w:lang w:val="fr-FR"/>
        </w:rPr>
        <w:t xml:space="preserve"> u</w:t>
      </w:r>
      <w:r w:rsidRPr="000F399F">
        <w:rPr>
          <w:rFonts w:ascii="Arial" w:hAnsi="Arial" w:cs="Arial"/>
          <w:bCs/>
          <w:sz w:val="22"/>
          <w:szCs w:val="22"/>
          <w:lang w:val="fr-FR"/>
        </w:rPr>
        <w:t>ne durée</w:t>
      </w:r>
      <w:r>
        <w:rPr>
          <w:rFonts w:ascii="Arial" w:hAnsi="Arial" w:cs="Arial"/>
          <w:bCs/>
          <w:sz w:val="22"/>
          <w:szCs w:val="22"/>
          <w:lang w:val="fr-FR"/>
        </w:rPr>
        <w:t xml:space="preserve"> de temps devrait être définie</w:t>
      </w:r>
      <w:r w:rsidRPr="000F399F">
        <w:rPr>
          <w:rFonts w:ascii="Arial" w:hAnsi="Arial" w:cs="Arial"/>
          <w:bCs/>
          <w:sz w:val="22"/>
          <w:szCs w:val="22"/>
          <w:lang w:val="fr-FR"/>
        </w:rPr>
        <w:t xml:space="preserve">, </w:t>
      </w:r>
      <w:r>
        <w:rPr>
          <w:rFonts w:ascii="Arial" w:hAnsi="Arial" w:cs="Arial"/>
          <w:bCs/>
          <w:sz w:val="22"/>
          <w:szCs w:val="22"/>
          <w:lang w:val="fr-FR"/>
        </w:rPr>
        <w:t>à partir de</w:t>
      </w:r>
      <w:r w:rsidRPr="000F399F">
        <w:rPr>
          <w:rFonts w:ascii="Arial" w:hAnsi="Arial" w:cs="Arial"/>
          <w:bCs/>
          <w:sz w:val="22"/>
          <w:szCs w:val="22"/>
          <w:lang w:val="fr-FR"/>
        </w:rPr>
        <w:t xml:space="preserve"> la demande, pendant laquelle la session extraordinaire devrait </w:t>
      </w:r>
      <w:r>
        <w:rPr>
          <w:rFonts w:ascii="Arial" w:hAnsi="Arial" w:cs="Arial"/>
          <w:bCs/>
          <w:sz w:val="22"/>
          <w:szCs w:val="22"/>
          <w:lang w:val="fr-FR"/>
        </w:rPr>
        <w:t>se tenir</w:t>
      </w:r>
      <w:r w:rsidRPr="000F399F">
        <w:rPr>
          <w:rFonts w:ascii="Arial" w:hAnsi="Arial" w:cs="Arial"/>
          <w:bCs/>
          <w:sz w:val="22"/>
          <w:szCs w:val="22"/>
          <w:lang w:val="fr-FR"/>
        </w:rPr>
        <w:t>, ce qui était le but de l</w:t>
      </w:r>
      <w:r w:rsidR="008E532B">
        <w:rPr>
          <w:rFonts w:ascii="Arial" w:hAnsi="Arial" w:cs="Arial"/>
          <w:bCs/>
          <w:sz w:val="22"/>
          <w:szCs w:val="22"/>
          <w:lang w:val="fr-FR"/>
        </w:rPr>
        <w:t>’</w:t>
      </w:r>
      <w:r w:rsidRPr="000F399F">
        <w:rPr>
          <w:rFonts w:ascii="Arial" w:hAnsi="Arial" w:cs="Arial"/>
          <w:bCs/>
          <w:sz w:val="22"/>
          <w:szCs w:val="22"/>
          <w:lang w:val="fr-FR"/>
        </w:rPr>
        <w:t>amendement de la Türkiye. Cela pourrait être inclus dans l</w:t>
      </w:r>
      <w:r w:rsidR="008E532B">
        <w:rPr>
          <w:rFonts w:ascii="Arial" w:hAnsi="Arial" w:cs="Arial"/>
          <w:bCs/>
          <w:sz w:val="22"/>
          <w:szCs w:val="22"/>
          <w:lang w:val="fr-FR"/>
        </w:rPr>
        <w:t>’</w:t>
      </w:r>
      <w:r w:rsidRPr="000F399F">
        <w:rPr>
          <w:rFonts w:ascii="Arial" w:hAnsi="Arial" w:cs="Arial"/>
          <w:bCs/>
          <w:sz w:val="22"/>
          <w:szCs w:val="22"/>
          <w:lang w:val="fr-FR"/>
        </w:rPr>
        <w:t>article 5.2, qui se</w:t>
      </w:r>
      <w:r>
        <w:rPr>
          <w:rFonts w:ascii="Arial" w:hAnsi="Arial" w:cs="Arial"/>
          <w:bCs/>
          <w:sz w:val="22"/>
          <w:szCs w:val="22"/>
          <w:lang w:val="fr-FR"/>
        </w:rPr>
        <w:t>rait ainsi rédigé</w:t>
      </w:r>
      <w:r w:rsidRPr="000F399F">
        <w:rPr>
          <w:rFonts w:ascii="Arial" w:hAnsi="Arial" w:cs="Arial"/>
          <w:bCs/>
          <w:sz w:val="22"/>
          <w:szCs w:val="22"/>
          <w:lang w:val="fr-FR"/>
        </w:rPr>
        <w:t xml:space="preserve"> : </w:t>
      </w:r>
      <w:r>
        <w:rPr>
          <w:rFonts w:ascii="Arial" w:hAnsi="Arial" w:cs="Arial"/>
          <w:bCs/>
          <w:sz w:val="22"/>
          <w:szCs w:val="22"/>
          <w:lang w:val="fr-FR"/>
        </w:rPr>
        <w:t>« Sauf si la</w:t>
      </w:r>
      <w:r w:rsidRPr="000F399F">
        <w:rPr>
          <w:rFonts w:ascii="Arial" w:hAnsi="Arial" w:cs="Arial"/>
          <w:bCs/>
          <w:sz w:val="22"/>
          <w:szCs w:val="22"/>
          <w:lang w:val="fr-FR"/>
        </w:rPr>
        <w:t xml:space="preserve"> date </w:t>
      </w:r>
      <w:r>
        <w:rPr>
          <w:rFonts w:ascii="Arial" w:hAnsi="Arial" w:cs="Arial"/>
          <w:bCs/>
          <w:sz w:val="22"/>
          <w:szCs w:val="22"/>
          <w:lang w:val="fr-FR"/>
        </w:rPr>
        <w:t xml:space="preserve">a </w:t>
      </w:r>
      <w:r w:rsidRPr="000F399F">
        <w:rPr>
          <w:rFonts w:ascii="Arial" w:hAnsi="Arial" w:cs="Arial"/>
          <w:bCs/>
          <w:sz w:val="22"/>
          <w:szCs w:val="22"/>
          <w:lang w:val="fr-FR"/>
        </w:rPr>
        <w:t>été décidée par l</w:t>
      </w:r>
      <w:r w:rsidR="008E532B">
        <w:rPr>
          <w:rFonts w:ascii="Arial" w:hAnsi="Arial" w:cs="Arial"/>
          <w:bCs/>
          <w:sz w:val="22"/>
          <w:szCs w:val="22"/>
          <w:lang w:val="fr-FR"/>
        </w:rPr>
        <w:t>’</w:t>
      </w:r>
      <w:r w:rsidRPr="000F399F">
        <w:rPr>
          <w:rFonts w:ascii="Arial" w:hAnsi="Arial" w:cs="Arial"/>
          <w:bCs/>
          <w:sz w:val="22"/>
          <w:szCs w:val="22"/>
          <w:lang w:val="fr-FR"/>
        </w:rPr>
        <w:t xml:space="preserve">Assemblée, </w:t>
      </w:r>
      <w:r>
        <w:rPr>
          <w:rFonts w:ascii="Arial" w:hAnsi="Arial" w:cs="Arial"/>
          <w:bCs/>
          <w:sz w:val="22"/>
          <w:szCs w:val="22"/>
          <w:lang w:val="fr-FR"/>
        </w:rPr>
        <w:t>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détermine </w:t>
      </w:r>
      <w:r w:rsidRPr="000F399F">
        <w:rPr>
          <w:rFonts w:ascii="Arial" w:hAnsi="Arial" w:cs="Arial"/>
          <w:bCs/>
          <w:sz w:val="22"/>
          <w:szCs w:val="22"/>
          <w:lang w:val="fr-FR"/>
        </w:rPr>
        <w:t xml:space="preserve">la date de la session extraordinaire, </w:t>
      </w:r>
      <w:r w:rsidRPr="00385CA5">
        <w:rPr>
          <w:rFonts w:ascii="Arial" w:hAnsi="Arial" w:cs="Arial"/>
          <w:bCs/>
          <w:sz w:val="22"/>
          <w:szCs w:val="22"/>
          <w:u w:val="single"/>
          <w:lang w:val="fr-FR"/>
        </w:rPr>
        <w:t>qui ne doit pas dépasser trente jours</w:t>
      </w:r>
      <w:r>
        <w:rPr>
          <w:rFonts w:ascii="Arial" w:hAnsi="Arial" w:cs="Arial"/>
          <w:bCs/>
          <w:sz w:val="22"/>
          <w:szCs w:val="22"/>
          <w:lang w:val="fr-FR"/>
        </w:rPr>
        <w:t> »</w:t>
      </w:r>
      <w:r w:rsidRPr="000F399F">
        <w:rPr>
          <w:rFonts w:ascii="Arial" w:hAnsi="Arial" w:cs="Arial"/>
          <w:bCs/>
          <w:sz w:val="22"/>
          <w:szCs w:val="22"/>
          <w:lang w:val="fr-FR"/>
        </w:rPr>
        <w:t xml:space="preserve"> (ou </w:t>
      </w:r>
      <w:r>
        <w:rPr>
          <w:rFonts w:ascii="Arial" w:hAnsi="Arial" w:cs="Arial"/>
          <w:bCs/>
          <w:sz w:val="22"/>
          <w:szCs w:val="22"/>
          <w:lang w:val="fr-FR"/>
        </w:rPr>
        <w:t>quarante-cinq</w:t>
      </w:r>
      <w:r w:rsidRPr="000F399F">
        <w:rPr>
          <w:rFonts w:ascii="Arial" w:hAnsi="Arial" w:cs="Arial"/>
          <w:bCs/>
          <w:sz w:val="22"/>
          <w:szCs w:val="22"/>
          <w:lang w:val="fr-FR"/>
        </w:rPr>
        <w:t xml:space="preserve"> jours). De cette façon, une date limite </w:t>
      </w:r>
      <w:r>
        <w:rPr>
          <w:rFonts w:ascii="Arial" w:hAnsi="Arial" w:cs="Arial"/>
          <w:bCs/>
          <w:sz w:val="22"/>
          <w:szCs w:val="22"/>
          <w:lang w:val="fr-FR"/>
        </w:rPr>
        <w:t xml:space="preserve">était </w:t>
      </w:r>
      <w:r w:rsidRPr="000F399F">
        <w:rPr>
          <w:rFonts w:ascii="Arial" w:hAnsi="Arial" w:cs="Arial"/>
          <w:bCs/>
          <w:sz w:val="22"/>
          <w:szCs w:val="22"/>
          <w:lang w:val="fr-FR"/>
        </w:rPr>
        <w:t xml:space="preserve">fixée pour la </w:t>
      </w:r>
      <w:r>
        <w:rPr>
          <w:rFonts w:ascii="Arial" w:hAnsi="Arial" w:cs="Arial"/>
          <w:bCs/>
          <w:sz w:val="22"/>
          <w:szCs w:val="22"/>
          <w:lang w:val="fr-FR"/>
        </w:rPr>
        <w:t xml:space="preserve">tenue </w:t>
      </w:r>
      <w:r w:rsidRPr="000F399F">
        <w:rPr>
          <w:rFonts w:ascii="Arial" w:hAnsi="Arial" w:cs="Arial"/>
          <w:bCs/>
          <w:sz w:val="22"/>
          <w:szCs w:val="22"/>
          <w:lang w:val="fr-FR"/>
        </w:rPr>
        <w:t>de la session</w:t>
      </w:r>
      <w:r>
        <w:rPr>
          <w:rFonts w:ascii="Arial" w:hAnsi="Arial" w:cs="Arial"/>
          <w:bCs/>
          <w:sz w:val="22"/>
          <w:szCs w:val="22"/>
          <w:lang w:val="fr-FR"/>
        </w:rPr>
        <w:t xml:space="preserve"> </w:t>
      </w:r>
      <w:r w:rsidRPr="000F399F">
        <w:rPr>
          <w:rFonts w:ascii="Arial" w:hAnsi="Arial" w:cs="Arial"/>
          <w:bCs/>
          <w:sz w:val="22"/>
          <w:szCs w:val="22"/>
          <w:lang w:val="fr-FR"/>
        </w:rPr>
        <w:t>qui</w:t>
      </w:r>
      <w:r>
        <w:rPr>
          <w:rFonts w:ascii="Arial" w:hAnsi="Arial" w:cs="Arial"/>
          <w:bCs/>
          <w:sz w:val="22"/>
          <w:szCs w:val="22"/>
          <w:lang w:val="fr-FR"/>
        </w:rPr>
        <w:t>,</w:t>
      </w:r>
      <w:r w:rsidRPr="000F399F">
        <w:rPr>
          <w:rFonts w:ascii="Arial" w:hAnsi="Arial" w:cs="Arial"/>
          <w:bCs/>
          <w:sz w:val="22"/>
          <w:szCs w:val="22"/>
          <w:lang w:val="fr-FR"/>
        </w:rPr>
        <w:t xml:space="preserve"> </w:t>
      </w:r>
      <w:r>
        <w:rPr>
          <w:rFonts w:ascii="Arial" w:hAnsi="Arial" w:cs="Arial"/>
          <w:bCs/>
          <w:sz w:val="22"/>
          <w:szCs w:val="22"/>
          <w:lang w:val="fr-FR"/>
        </w:rPr>
        <w:t>sinon, resterait indéfinie,</w:t>
      </w:r>
      <w:r w:rsidRPr="000F399F">
        <w:rPr>
          <w:rFonts w:ascii="Arial" w:hAnsi="Arial" w:cs="Arial"/>
          <w:bCs/>
          <w:sz w:val="22"/>
          <w:szCs w:val="22"/>
          <w:lang w:val="fr-FR"/>
        </w:rPr>
        <w:t xml:space="preserve"> </w:t>
      </w:r>
      <w:r>
        <w:rPr>
          <w:rFonts w:ascii="Arial" w:hAnsi="Arial" w:cs="Arial"/>
          <w:bCs/>
          <w:sz w:val="22"/>
          <w:szCs w:val="22"/>
          <w:lang w:val="fr-FR"/>
        </w:rPr>
        <w:t>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w:t>
      </w:r>
      <w:r w:rsidRPr="000F399F">
        <w:rPr>
          <w:rFonts w:ascii="Arial" w:hAnsi="Arial" w:cs="Arial"/>
          <w:bCs/>
          <w:sz w:val="22"/>
          <w:szCs w:val="22"/>
          <w:lang w:val="fr-FR"/>
        </w:rPr>
        <w:t>p</w:t>
      </w:r>
      <w:r>
        <w:rPr>
          <w:rFonts w:ascii="Arial" w:hAnsi="Arial" w:cs="Arial"/>
          <w:bCs/>
          <w:sz w:val="22"/>
          <w:szCs w:val="22"/>
          <w:lang w:val="fr-FR"/>
        </w:rPr>
        <w:t>ouvant</w:t>
      </w:r>
      <w:r w:rsidRPr="000F399F">
        <w:rPr>
          <w:rFonts w:ascii="Arial" w:hAnsi="Arial" w:cs="Arial"/>
          <w:bCs/>
          <w:sz w:val="22"/>
          <w:szCs w:val="22"/>
          <w:lang w:val="fr-FR"/>
        </w:rPr>
        <w:t xml:space="preserve"> avoir d</w:t>
      </w:r>
      <w:r w:rsidR="008E532B">
        <w:rPr>
          <w:rFonts w:ascii="Arial" w:hAnsi="Arial" w:cs="Arial"/>
          <w:bCs/>
          <w:sz w:val="22"/>
          <w:szCs w:val="22"/>
          <w:lang w:val="fr-FR"/>
        </w:rPr>
        <w:t>’</w:t>
      </w:r>
      <w:r w:rsidRPr="000F399F">
        <w:rPr>
          <w:rFonts w:ascii="Arial" w:hAnsi="Arial" w:cs="Arial"/>
          <w:bCs/>
          <w:sz w:val="22"/>
          <w:szCs w:val="22"/>
          <w:lang w:val="fr-FR"/>
        </w:rPr>
        <w:t>autres priorités</w:t>
      </w:r>
      <w:r>
        <w:rPr>
          <w:rFonts w:ascii="Arial" w:hAnsi="Arial" w:cs="Arial"/>
          <w:bCs/>
          <w:sz w:val="22"/>
          <w:szCs w:val="22"/>
          <w:lang w:val="fr-FR"/>
        </w:rPr>
        <w:t xml:space="preserve"> entre-temps</w:t>
      </w:r>
      <w:r w:rsidRPr="000F399F">
        <w:rPr>
          <w:rFonts w:ascii="Arial" w:hAnsi="Arial" w:cs="Arial"/>
          <w:bCs/>
          <w:sz w:val="22"/>
          <w:szCs w:val="22"/>
          <w:lang w:val="fr-FR"/>
        </w:rPr>
        <w:t>.</w:t>
      </w:r>
    </w:p>
    <w:p w14:paraId="5DD174F5" w14:textId="259CEAB9" w:rsidR="00D9653F" w:rsidRPr="00FA25A2"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A25A2">
        <w:rPr>
          <w:rFonts w:ascii="Arial" w:hAnsi="Arial" w:cs="Arial"/>
          <w:bCs/>
          <w:sz w:val="22"/>
          <w:szCs w:val="22"/>
          <w:lang w:val="fr-FR"/>
        </w:rPr>
        <w:t>La délégation d</w:t>
      </w:r>
      <w:r>
        <w:rPr>
          <w:rFonts w:ascii="Arial" w:hAnsi="Arial" w:cs="Arial"/>
          <w:bCs/>
          <w:sz w:val="22"/>
          <w:szCs w:val="22"/>
          <w:lang w:val="fr-FR"/>
        </w:rPr>
        <w:t xml:space="preserve">e la </w:t>
      </w:r>
      <w:r w:rsidRPr="00E8321F">
        <w:rPr>
          <w:rFonts w:ascii="Arial" w:hAnsi="Arial" w:cs="Arial"/>
          <w:b/>
          <w:sz w:val="22"/>
          <w:szCs w:val="22"/>
          <w:lang w:val="fr-FR"/>
        </w:rPr>
        <w:t>République bolivarienne du Venezuela</w:t>
      </w:r>
      <w:r>
        <w:rPr>
          <w:rFonts w:ascii="Arial" w:hAnsi="Arial" w:cs="Arial"/>
          <w:bCs/>
          <w:sz w:val="22"/>
          <w:szCs w:val="22"/>
          <w:lang w:val="fr-FR"/>
        </w:rPr>
        <w:t xml:space="preserve"> </w:t>
      </w:r>
      <w:r w:rsidRPr="00FA25A2">
        <w:rPr>
          <w:rFonts w:ascii="Arial" w:hAnsi="Arial" w:cs="Arial"/>
          <w:bCs/>
          <w:sz w:val="22"/>
          <w:szCs w:val="22"/>
          <w:lang w:val="fr-FR"/>
        </w:rPr>
        <w:t>s</w:t>
      </w:r>
      <w:r w:rsidR="008E532B">
        <w:rPr>
          <w:rFonts w:ascii="Arial" w:hAnsi="Arial" w:cs="Arial"/>
          <w:bCs/>
          <w:sz w:val="22"/>
          <w:szCs w:val="22"/>
          <w:lang w:val="fr-FR"/>
        </w:rPr>
        <w:t>’</w:t>
      </w:r>
      <w:r w:rsidRPr="00FA25A2">
        <w:rPr>
          <w:rFonts w:ascii="Arial" w:hAnsi="Arial" w:cs="Arial"/>
          <w:bCs/>
          <w:sz w:val="22"/>
          <w:szCs w:val="22"/>
          <w:lang w:val="fr-FR"/>
        </w:rPr>
        <w:t>est alignée sur l</w:t>
      </w:r>
      <w:r w:rsidR="008E532B">
        <w:rPr>
          <w:rFonts w:ascii="Arial" w:hAnsi="Arial" w:cs="Arial"/>
          <w:bCs/>
          <w:sz w:val="22"/>
          <w:szCs w:val="22"/>
          <w:lang w:val="fr-FR"/>
        </w:rPr>
        <w:t>’</w:t>
      </w:r>
      <w:r w:rsidRPr="00FA25A2">
        <w:rPr>
          <w:rFonts w:ascii="Arial" w:hAnsi="Arial" w:cs="Arial"/>
          <w:bCs/>
          <w:sz w:val="22"/>
          <w:szCs w:val="22"/>
          <w:lang w:val="fr-FR"/>
        </w:rPr>
        <w:t xml:space="preserve">explication claire de la Palestine. </w:t>
      </w:r>
      <w:r>
        <w:rPr>
          <w:rFonts w:ascii="Arial" w:hAnsi="Arial" w:cs="Arial"/>
          <w:bCs/>
          <w:sz w:val="22"/>
          <w:szCs w:val="22"/>
          <w:lang w:val="fr-FR"/>
        </w:rPr>
        <w:t>Comprenant</w:t>
      </w:r>
      <w:r w:rsidRPr="00FA25A2">
        <w:rPr>
          <w:rFonts w:ascii="Arial" w:hAnsi="Arial" w:cs="Arial"/>
          <w:bCs/>
          <w:sz w:val="22"/>
          <w:szCs w:val="22"/>
          <w:lang w:val="fr-FR"/>
        </w:rPr>
        <w:t xml:space="preserve"> également les préoccupations </w:t>
      </w:r>
      <w:r>
        <w:rPr>
          <w:rFonts w:ascii="Arial" w:hAnsi="Arial" w:cs="Arial"/>
          <w:bCs/>
          <w:sz w:val="22"/>
          <w:szCs w:val="22"/>
          <w:lang w:val="fr-FR"/>
        </w:rPr>
        <w:t>exprimées par</w:t>
      </w:r>
      <w:r w:rsidRPr="00FA25A2">
        <w:rPr>
          <w:rFonts w:ascii="Arial" w:hAnsi="Arial" w:cs="Arial"/>
          <w:bCs/>
          <w:sz w:val="22"/>
          <w:szCs w:val="22"/>
          <w:lang w:val="fr-FR"/>
        </w:rPr>
        <w:t xml:space="preserve"> la Türkiye</w:t>
      </w:r>
      <w:r>
        <w:rPr>
          <w:rFonts w:ascii="Arial" w:hAnsi="Arial" w:cs="Arial"/>
          <w:bCs/>
          <w:sz w:val="22"/>
          <w:szCs w:val="22"/>
          <w:lang w:val="fr-FR"/>
        </w:rPr>
        <w:t>,</w:t>
      </w:r>
      <w:r w:rsidRPr="00FA25A2">
        <w:rPr>
          <w:rFonts w:ascii="Arial" w:hAnsi="Arial" w:cs="Arial"/>
          <w:bCs/>
          <w:sz w:val="22"/>
          <w:szCs w:val="22"/>
          <w:lang w:val="fr-FR"/>
        </w:rPr>
        <w:t xml:space="preserve"> </w:t>
      </w:r>
      <w:r>
        <w:rPr>
          <w:rFonts w:ascii="Arial" w:hAnsi="Arial" w:cs="Arial"/>
          <w:bCs/>
          <w:sz w:val="22"/>
          <w:szCs w:val="22"/>
          <w:lang w:val="fr-FR"/>
        </w:rPr>
        <w:t xml:space="preserve">elle </w:t>
      </w:r>
      <w:r w:rsidRPr="00FA25A2">
        <w:rPr>
          <w:rFonts w:ascii="Arial" w:hAnsi="Arial" w:cs="Arial"/>
          <w:bCs/>
          <w:sz w:val="22"/>
          <w:szCs w:val="22"/>
          <w:lang w:val="fr-FR"/>
        </w:rPr>
        <w:t xml:space="preserve">a demandé que le Conseiller juridique rédige une formulation plus claire qui </w:t>
      </w:r>
      <w:r>
        <w:rPr>
          <w:rFonts w:ascii="Arial" w:hAnsi="Arial" w:cs="Arial"/>
          <w:bCs/>
          <w:sz w:val="22"/>
          <w:szCs w:val="22"/>
          <w:lang w:val="fr-FR"/>
        </w:rPr>
        <w:t>précise</w:t>
      </w:r>
      <w:r w:rsidRPr="00FA25A2">
        <w:rPr>
          <w:rFonts w:ascii="Arial" w:hAnsi="Arial" w:cs="Arial"/>
          <w:bCs/>
          <w:sz w:val="22"/>
          <w:szCs w:val="22"/>
          <w:lang w:val="fr-FR"/>
        </w:rPr>
        <w:t xml:space="preserve"> un délai minimum ou maximum </w:t>
      </w:r>
      <w:r>
        <w:rPr>
          <w:rFonts w:ascii="Arial" w:hAnsi="Arial" w:cs="Arial"/>
          <w:bCs/>
          <w:sz w:val="22"/>
          <w:szCs w:val="22"/>
          <w:lang w:val="fr-FR"/>
        </w:rPr>
        <w:t>au cours duquel</w:t>
      </w:r>
      <w:r w:rsidRPr="00FA25A2">
        <w:rPr>
          <w:rFonts w:ascii="Arial" w:hAnsi="Arial" w:cs="Arial"/>
          <w:bCs/>
          <w:sz w:val="22"/>
          <w:szCs w:val="22"/>
          <w:lang w:val="fr-FR"/>
        </w:rPr>
        <w:t xml:space="preserve"> la session extraordinaire devrait </w:t>
      </w:r>
      <w:r>
        <w:rPr>
          <w:rFonts w:ascii="Arial" w:hAnsi="Arial" w:cs="Arial"/>
          <w:bCs/>
          <w:sz w:val="22"/>
          <w:szCs w:val="22"/>
          <w:lang w:val="fr-FR"/>
        </w:rPr>
        <w:t>se tenir</w:t>
      </w:r>
      <w:r w:rsidRPr="00FA25A2">
        <w:rPr>
          <w:rFonts w:ascii="Arial" w:hAnsi="Arial" w:cs="Arial"/>
          <w:bCs/>
          <w:sz w:val="22"/>
          <w:szCs w:val="22"/>
          <w:lang w:val="fr-FR"/>
        </w:rPr>
        <w:t>. Cela garantirait qu</w:t>
      </w:r>
      <w:r w:rsidR="008E532B">
        <w:rPr>
          <w:rFonts w:ascii="Arial" w:hAnsi="Arial" w:cs="Arial"/>
          <w:bCs/>
          <w:sz w:val="22"/>
          <w:szCs w:val="22"/>
          <w:lang w:val="fr-FR"/>
        </w:rPr>
        <w:t>’</w:t>
      </w:r>
      <w:r w:rsidRPr="00FA25A2">
        <w:rPr>
          <w:rFonts w:ascii="Arial" w:hAnsi="Arial" w:cs="Arial"/>
          <w:bCs/>
          <w:sz w:val="22"/>
          <w:szCs w:val="22"/>
          <w:lang w:val="fr-FR"/>
        </w:rPr>
        <w:t>une telle réunion ne soit pas retardée ou reportée indéfiniment et qu</w:t>
      </w:r>
      <w:r w:rsidR="008E532B">
        <w:rPr>
          <w:rFonts w:ascii="Arial" w:hAnsi="Arial" w:cs="Arial"/>
          <w:bCs/>
          <w:sz w:val="22"/>
          <w:szCs w:val="22"/>
          <w:lang w:val="fr-FR"/>
        </w:rPr>
        <w:t>’</w:t>
      </w:r>
      <w:r w:rsidRPr="00FA25A2">
        <w:rPr>
          <w:rFonts w:ascii="Arial" w:hAnsi="Arial" w:cs="Arial"/>
          <w:bCs/>
          <w:sz w:val="22"/>
          <w:szCs w:val="22"/>
          <w:lang w:val="fr-FR"/>
        </w:rPr>
        <w:t>elle soit clairement placée à l</w:t>
      </w:r>
      <w:r w:rsidR="008E532B">
        <w:rPr>
          <w:rFonts w:ascii="Arial" w:hAnsi="Arial" w:cs="Arial"/>
          <w:bCs/>
          <w:sz w:val="22"/>
          <w:szCs w:val="22"/>
          <w:lang w:val="fr-FR"/>
        </w:rPr>
        <w:t>’</w:t>
      </w:r>
      <w:r w:rsidRPr="00FA25A2">
        <w:rPr>
          <w:rFonts w:ascii="Arial" w:hAnsi="Arial" w:cs="Arial"/>
          <w:bCs/>
          <w:sz w:val="22"/>
          <w:szCs w:val="22"/>
          <w:lang w:val="fr-FR"/>
        </w:rPr>
        <w:t>ordre du jour de l</w:t>
      </w:r>
      <w:r w:rsidR="008E532B">
        <w:rPr>
          <w:rFonts w:ascii="Arial" w:hAnsi="Arial" w:cs="Arial"/>
          <w:bCs/>
          <w:sz w:val="22"/>
          <w:szCs w:val="22"/>
          <w:lang w:val="fr-FR"/>
        </w:rPr>
        <w:t>’</w:t>
      </w:r>
      <w:r w:rsidRPr="00FA25A2">
        <w:rPr>
          <w:rFonts w:ascii="Arial" w:hAnsi="Arial" w:cs="Arial"/>
          <w:bCs/>
          <w:sz w:val="22"/>
          <w:szCs w:val="22"/>
          <w:lang w:val="fr-FR"/>
        </w:rPr>
        <w:t>UNESCO.</w:t>
      </w:r>
    </w:p>
    <w:p w14:paraId="4780B897" w14:textId="02DC324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A25A2">
        <w:rPr>
          <w:rFonts w:ascii="Arial" w:hAnsi="Arial" w:cs="Arial"/>
          <w:bCs/>
          <w:sz w:val="22"/>
          <w:szCs w:val="22"/>
          <w:lang w:val="fr-FR"/>
        </w:rPr>
        <w:t xml:space="preserve">Le </w:t>
      </w:r>
      <w:r w:rsidRPr="00FA25A2">
        <w:rPr>
          <w:rFonts w:ascii="Arial" w:hAnsi="Arial" w:cs="Arial"/>
          <w:b/>
          <w:sz w:val="22"/>
          <w:szCs w:val="22"/>
          <w:lang w:val="fr-FR"/>
        </w:rPr>
        <w:t>Conseiller juridique</w:t>
      </w:r>
      <w:r w:rsidRPr="00FA25A2">
        <w:rPr>
          <w:rFonts w:ascii="Arial" w:hAnsi="Arial" w:cs="Arial"/>
          <w:bCs/>
          <w:sz w:val="22"/>
          <w:szCs w:val="22"/>
          <w:lang w:val="fr-FR"/>
        </w:rPr>
        <w:t xml:space="preserve"> compren</w:t>
      </w:r>
      <w:r>
        <w:rPr>
          <w:rFonts w:ascii="Arial" w:hAnsi="Arial" w:cs="Arial"/>
          <w:bCs/>
          <w:sz w:val="22"/>
          <w:szCs w:val="22"/>
          <w:lang w:val="fr-FR"/>
        </w:rPr>
        <w:t>ait</w:t>
      </w:r>
      <w:r w:rsidRPr="00FA25A2">
        <w:rPr>
          <w:rFonts w:ascii="Arial" w:hAnsi="Arial" w:cs="Arial"/>
          <w:bCs/>
          <w:sz w:val="22"/>
          <w:szCs w:val="22"/>
          <w:lang w:val="fr-FR"/>
        </w:rPr>
        <w:t xml:space="preserve"> parfaitement la demande. Toutefois, il n</w:t>
      </w:r>
      <w:r w:rsidR="008E532B">
        <w:rPr>
          <w:rFonts w:ascii="Arial" w:hAnsi="Arial" w:cs="Arial"/>
          <w:bCs/>
          <w:sz w:val="22"/>
          <w:szCs w:val="22"/>
          <w:lang w:val="fr-FR"/>
        </w:rPr>
        <w:t>’</w:t>
      </w:r>
      <w:r w:rsidRPr="00FA25A2">
        <w:rPr>
          <w:rFonts w:ascii="Arial" w:hAnsi="Arial" w:cs="Arial"/>
          <w:bCs/>
          <w:sz w:val="22"/>
          <w:szCs w:val="22"/>
          <w:lang w:val="fr-FR"/>
        </w:rPr>
        <w:t>a</w:t>
      </w:r>
      <w:r>
        <w:rPr>
          <w:rFonts w:ascii="Arial" w:hAnsi="Arial" w:cs="Arial"/>
          <w:bCs/>
          <w:sz w:val="22"/>
          <w:szCs w:val="22"/>
          <w:lang w:val="fr-FR"/>
        </w:rPr>
        <w:t>vait</w:t>
      </w:r>
      <w:r w:rsidRPr="00FA25A2">
        <w:rPr>
          <w:rFonts w:ascii="Arial" w:hAnsi="Arial" w:cs="Arial"/>
          <w:bCs/>
          <w:sz w:val="22"/>
          <w:szCs w:val="22"/>
          <w:lang w:val="fr-FR"/>
        </w:rPr>
        <w:t xml:space="preserve"> pas connaissance d</w:t>
      </w:r>
      <w:r w:rsidR="008E532B">
        <w:rPr>
          <w:rFonts w:ascii="Arial" w:hAnsi="Arial" w:cs="Arial"/>
          <w:bCs/>
          <w:sz w:val="22"/>
          <w:szCs w:val="22"/>
          <w:lang w:val="fr-FR"/>
        </w:rPr>
        <w:t>’</w:t>
      </w:r>
      <w:r w:rsidRPr="00FA25A2">
        <w:rPr>
          <w:rFonts w:ascii="Arial" w:hAnsi="Arial" w:cs="Arial"/>
          <w:bCs/>
          <w:sz w:val="22"/>
          <w:szCs w:val="22"/>
          <w:lang w:val="fr-FR"/>
        </w:rPr>
        <w:t>un autre cas dans lequel une telle disposition existe ; le délai de quarante</w:t>
      </w:r>
      <w:r>
        <w:rPr>
          <w:rFonts w:ascii="Arial" w:hAnsi="Arial" w:cs="Arial"/>
          <w:bCs/>
          <w:sz w:val="22"/>
          <w:szCs w:val="22"/>
          <w:lang w:val="fr-FR"/>
        </w:rPr>
        <w:noBreakHyphen/>
      </w:r>
      <w:r w:rsidRPr="00FA25A2">
        <w:rPr>
          <w:rFonts w:ascii="Arial" w:hAnsi="Arial" w:cs="Arial"/>
          <w:bCs/>
          <w:sz w:val="22"/>
          <w:szCs w:val="22"/>
          <w:lang w:val="fr-FR"/>
        </w:rPr>
        <w:t>cinq jours n</w:t>
      </w:r>
      <w:r w:rsidR="008E532B">
        <w:rPr>
          <w:rFonts w:ascii="Arial" w:hAnsi="Arial" w:cs="Arial"/>
          <w:bCs/>
          <w:sz w:val="22"/>
          <w:szCs w:val="22"/>
          <w:lang w:val="fr-FR"/>
        </w:rPr>
        <w:t>’</w:t>
      </w:r>
      <w:r>
        <w:rPr>
          <w:rFonts w:ascii="Arial" w:hAnsi="Arial" w:cs="Arial"/>
          <w:bCs/>
          <w:sz w:val="22"/>
          <w:szCs w:val="22"/>
          <w:lang w:val="fr-FR"/>
        </w:rPr>
        <w:t>était</w:t>
      </w:r>
      <w:r w:rsidRPr="00FA25A2">
        <w:rPr>
          <w:rFonts w:ascii="Arial" w:hAnsi="Arial" w:cs="Arial"/>
          <w:bCs/>
          <w:sz w:val="22"/>
          <w:szCs w:val="22"/>
          <w:lang w:val="fr-FR"/>
        </w:rPr>
        <w:t xml:space="preserve"> pas prévu dans le Règlement intérieur de la Conférence générale ou </w:t>
      </w:r>
      <w:r>
        <w:rPr>
          <w:rFonts w:ascii="Arial" w:hAnsi="Arial" w:cs="Arial"/>
          <w:bCs/>
          <w:sz w:val="22"/>
          <w:szCs w:val="22"/>
          <w:lang w:val="fr-FR"/>
        </w:rPr>
        <w:t>d</w:t>
      </w:r>
      <w:r w:rsidR="008E532B">
        <w:rPr>
          <w:rFonts w:ascii="Arial" w:hAnsi="Arial" w:cs="Arial"/>
          <w:bCs/>
          <w:sz w:val="22"/>
          <w:szCs w:val="22"/>
          <w:lang w:val="fr-FR"/>
        </w:rPr>
        <w:t>’</w:t>
      </w:r>
      <w:r w:rsidRPr="00FA25A2">
        <w:rPr>
          <w:rFonts w:ascii="Arial" w:hAnsi="Arial" w:cs="Arial"/>
          <w:bCs/>
          <w:sz w:val="22"/>
          <w:szCs w:val="22"/>
          <w:lang w:val="fr-FR"/>
        </w:rPr>
        <w:t>autres</w:t>
      </w:r>
      <w:r>
        <w:rPr>
          <w:rFonts w:ascii="Arial" w:hAnsi="Arial" w:cs="Arial"/>
          <w:bCs/>
          <w:sz w:val="22"/>
          <w:szCs w:val="22"/>
          <w:lang w:val="fr-FR"/>
        </w:rPr>
        <w:t xml:space="preserve"> organes</w:t>
      </w:r>
      <w:r w:rsidRPr="00FA25A2">
        <w:rPr>
          <w:rFonts w:ascii="Arial" w:hAnsi="Arial" w:cs="Arial"/>
          <w:bCs/>
          <w:sz w:val="22"/>
          <w:szCs w:val="22"/>
          <w:lang w:val="fr-FR"/>
        </w:rPr>
        <w:t xml:space="preserve">. </w:t>
      </w:r>
      <w:r>
        <w:rPr>
          <w:rFonts w:ascii="Arial" w:hAnsi="Arial" w:cs="Arial"/>
          <w:bCs/>
          <w:sz w:val="22"/>
          <w:szCs w:val="22"/>
          <w:lang w:val="fr-FR"/>
        </w:rPr>
        <w:t>Effectivement</w:t>
      </w:r>
      <w:r w:rsidRPr="00FA25A2">
        <w:rPr>
          <w:rFonts w:ascii="Arial" w:hAnsi="Arial" w:cs="Arial"/>
          <w:bCs/>
          <w:sz w:val="22"/>
          <w:szCs w:val="22"/>
          <w:lang w:val="fr-FR"/>
        </w:rPr>
        <w:t xml:space="preserve">, </w:t>
      </w:r>
      <w:r>
        <w:rPr>
          <w:rFonts w:ascii="Arial" w:hAnsi="Arial" w:cs="Arial"/>
          <w:bCs/>
          <w:sz w:val="22"/>
          <w:szCs w:val="22"/>
          <w:lang w:val="fr-FR"/>
        </w:rPr>
        <w:t>le/la</w:t>
      </w:r>
      <w:r w:rsidRPr="004F2F68">
        <w:rPr>
          <w:rFonts w:ascii="Arial" w:hAnsi="Arial" w:cs="Arial"/>
          <w:bCs/>
          <w:sz w:val="22"/>
          <w:szCs w:val="22"/>
          <w:lang w:val="fr-FR"/>
        </w:rPr>
        <w:t xml:space="preserve"> Directeur</w:t>
      </w:r>
      <w:r>
        <w:rPr>
          <w:rFonts w:ascii="Arial" w:hAnsi="Arial" w:cs="Arial"/>
          <w:bCs/>
          <w:sz w:val="22"/>
          <w:szCs w:val="22"/>
          <w:lang w:val="fr-FR"/>
        </w:rPr>
        <w:t xml:space="preserve">/Directrice général(e) </w:t>
      </w:r>
      <w:r w:rsidRPr="00FA25A2">
        <w:rPr>
          <w:rFonts w:ascii="Arial" w:hAnsi="Arial" w:cs="Arial"/>
          <w:bCs/>
          <w:sz w:val="22"/>
          <w:szCs w:val="22"/>
          <w:lang w:val="fr-FR"/>
        </w:rPr>
        <w:t>n</w:t>
      </w:r>
      <w:r w:rsidR="008E532B">
        <w:rPr>
          <w:rFonts w:ascii="Arial" w:hAnsi="Arial" w:cs="Arial"/>
          <w:bCs/>
          <w:sz w:val="22"/>
          <w:szCs w:val="22"/>
          <w:lang w:val="fr-FR"/>
        </w:rPr>
        <w:t>’</w:t>
      </w:r>
      <w:r w:rsidRPr="00FA25A2">
        <w:rPr>
          <w:rFonts w:ascii="Arial" w:hAnsi="Arial" w:cs="Arial"/>
          <w:bCs/>
          <w:sz w:val="22"/>
          <w:szCs w:val="22"/>
          <w:lang w:val="fr-FR"/>
        </w:rPr>
        <w:t>a</w:t>
      </w:r>
      <w:r>
        <w:rPr>
          <w:rFonts w:ascii="Arial" w:hAnsi="Arial" w:cs="Arial"/>
          <w:bCs/>
          <w:sz w:val="22"/>
          <w:szCs w:val="22"/>
          <w:lang w:val="fr-FR"/>
        </w:rPr>
        <w:t>vait</w:t>
      </w:r>
      <w:r w:rsidRPr="00FA25A2">
        <w:rPr>
          <w:rFonts w:ascii="Arial" w:hAnsi="Arial" w:cs="Arial"/>
          <w:bCs/>
          <w:sz w:val="22"/>
          <w:szCs w:val="22"/>
          <w:lang w:val="fr-FR"/>
        </w:rPr>
        <w:t xml:space="preserve"> aucune raison de reporter la convocation d</w:t>
      </w:r>
      <w:r w:rsidR="008E532B">
        <w:rPr>
          <w:rFonts w:ascii="Arial" w:hAnsi="Arial" w:cs="Arial"/>
          <w:bCs/>
          <w:sz w:val="22"/>
          <w:szCs w:val="22"/>
          <w:lang w:val="fr-FR"/>
        </w:rPr>
        <w:t>’</w:t>
      </w:r>
      <w:r w:rsidRPr="00FA25A2">
        <w:rPr>
          <w:rFonts w:ascii="Arial" w:hAnsi="Arial" w:cs="Arial"/>
          <w:bCs/>
          <w:sz w:val="22"/>
          <w:szCs w:val="22"/>
          <w:lang w:val="fr-FR"/>
        </w:rPr>
        <w:t>une session, sauf pour des raisons logistiques. Il p</w:t>
      </w:r>
      <w:r>
        <w:rPr>
          <w:rFonts w:ascii="Arial" w:hAnsi="Arial" w:cs="Arial"/>
          <w:bCs/>
          <w:sz w:val="22"/>
          <w:szCs w:val="22"/>
          <w:lang w:val="fr-FR"/>
        </w:rPr>
        <w:t>ouvait</w:t>
      </w:r>
      <w:r w:rsidRPr="00FA25A2">
        <w:rPr>
          <w:rFonts w:ascii="Arial" w:hAnsi="Arial" w:cs="Arial"/>
          <w:bCs/>
          <w:sz w:val="22"/>
          <w:szCs w:val="22"/>
          <w:lang w:val="fr-FR"/>
        </w:rPr>
        <w:t xml:space="preserve"> y avoir des situations </w:t>
      </w:r>
      <w:r>
        <w:rPr>
          <w:rFonts w:ascii="Arial" w:hAnsi="Arial" w:cs="Arial"/>
          <w:bCs/>
          <w:sz w:val="22"/>
          <w:szCs w:val="22"/>
          <w:lang w:val="fr-FR"/>
        </w:rPr>
        <w:t>dans lesquelles</w:t>
      </w:r>
      <w:r w:rsidRPr="00FA25A2">
        <w:rPr>
          <w:rFonts w:ascii="Arial" w:hAnsi="Arial" w:cs="Arial"/>
          <w:bCs/>
          <w:sz w:val="22"/>
          <w:szCs w:val="22"/>
          <w:lang w:val="fr-FR"/>
        </w:rPr>
        <w:t xml:space="preserve"> il n</w:t>
      </w:r>
      <w:r w:rsidR="008E532B">
        <w:rPr>
          <w:rFonts w:ascii="Arial" w:hAnsi="Arial" w:cs="Arial"/>
          <w:bCs/>
          <w:sz w:val="22"/>
          <w:szCs w:val="22"/>
          <w:lang w:val="fr-FR"/>
        </w:rPr>
        <w:t>’</w:t>
      </w:r>
      <w:r>
        <w:rPr>
          <w:rFonts w:ascii="Arial" w:hAnsi="Arial" w:cs="Arial"/>
          <w:bCs/>
          <w:sz w:val="22"/>
          <w:szCs w:val="22"/>
          <w:lang w:val="fr-FR"/>
        </w:rPr>
        <w:t>était</w:t>
      </w:r>
      <w:r w:rsidRPr="00FA25A2">
        <w:rPr>
          <w:rFonts w:ascii="Arial" w:hAnsi="Arial" w:cs="Arial"/>
          <w:bCs/>
          <w:sz w:val="22"/>
          <w:szCs w:val="22"/>
          <w:lang w:val="fr-FR"/>
        </w:rPr>
        <w:t xml:space="preserve"> pas possible, d</w:t>
      </w:r>
      <w:r w:rsidR="008E532B">
        <w:rPr>
          <w:rFonts w:ascii="Arial" w:hAnsi="Arial" w:cs="Arial"/>
          <w:bCs/>
          <w:sz w:val="22"/>
          <w:szCs w:val="22"/>
          <w:lang w:val="fr-FR"/>
        </w:rPr>
        <w:t>’</w:t>
      </w:r>
      <w:r w:rsidRPr="00FA25A2">
        <w:rPr>
          <w:rFonts w:ascii="Arial" w:hAnsi="Arial" w:cs="Arial"/>
          <w:bCs/>
          <w:sz w:val="22"/>
          <w:szCs w:val="22"/>
          <w:lang w:val="fr-FR"/>
        </w:rPr>
        <w:t>un point de vue logistique, de tenir une session dans les quarante</w:t>
      </w:r>
      <w:r>
        <w:rPr>
          <w:rFonts w:ascii="Arial" w:hAnsi="Arial" w:cs="Arial"/>
          <w:bCs/>
          <w:sz w:val="22"/>
          <w:szCs w:val="22"/>
          <w:lang w:val="fr-FR"/>
        </w:rPr>
        <w:noBreakHyphen/>
      </w:r>
      <w:r w:rsidRPr="00FA25A2">
        <w:rPr>
          <w:rFonts w:ascii="Arial" w:hAnsi="Arial" w:cs="Arial"/>
          <w:bCs/>
          <w:sz w:val="22"/>
          <w:szCs w:val="22"/>
          <w:lang w:val="fr-FR"/>
        </w:rPr>
        <w:t>cinq jours. La tenue d</w:t>
      </w:r>
      <w:r w:rsidR="008E532B">
        <w:rPr>
          <w:rFonts w:ascii="Arial" w:hAnsi="Arial" w:cs="Arial"/>
          <w:bCs/>
          <w:sz w:val="22"/>
          <w:szCs w:val="22"/>
          <w:lang w:val="fr-FR"/>
        </w:rPr>
        <w:t>’</w:t>
      </w:r>
      <w:r w:rsidRPr="00FA25A2">
        <w:rPr>
          <w:rFonts w:ascii="Arial" w:hAnsi="Arial" w:cs="Arial"/>
          <w:bCs/>
          <w:sz w:val="22"/>
          <w:szCs w:val="22"/>
          <w:lang w:val="fr-FR"/>
        </w:rPr>
        <w:t>une session extraordinaire de l</w:t>
      </w:r>
      <w:r w:rsidR="008E532B">
        <w:rPr>
          <w:rFonts w:ascii="Arial" w:hAnsi="Arial" w:cs="Arial"/>
          <w:bCs/>
          <w:sz w:val="22"/>
          <w:szCs w:val="22"/>
          <w:lang w:val="fr-FR"/>
        </w:rPr>
        <w:t>’</w:t>
      </w:r>
      <w:r w:rsidRPr="00FA25A2">
        <w:rPr>
          <w:rFonts w:ascii="Arial" w:hAnsi="Arial" w:cs="Arial"/>
          <w:bCs/>
          <w:sz w:val="22"/>
          <w:szCs w:val="22"/>
          <w:lang w:val="fr-FR"/>
        </w:rPr>
        <w:t>Assemblée générale pourrait être compliquée, il pourrait n</w:t>
      </w:r>
      <w:r w:rsidR="008E532B">
        <w:rPr>
          <w:rFonts w:ascii="Arial" w:hAnsi="Arial" w:cs="Arial"/>
          <w:bCs/>
          <w:sz w:val="22"/>
          <w:szCs w:val="22"/>
          <w:lang w:val="fr-FR"/>
        </w:rPr>
        <w:t>’</w:t>
      </w:r>
      <w:r w:rsidRPr="00FA25A2">
        <w:rPr>
          <w:rFonts w:ascii="Arial" w:hAnsi="Arial" w:cs="Arial"/>
          <w:bCs/>
          <w:sz w:val="22"/>
          <w:szCs w:val="22"/>
          <w:lang w:val="fr-FR"/>
        </w:rPr>
        <w:t>y avoir aucune salle disponible, etc. Le Conseiller juridique a donné l</w:t>
      </w:r>
      <w:r w:rsidR="008E532B">
        <w:rPr>
          <w:rFonts w:ascii="Arial" w:hAnsi="Arial" w:cs="Arial"/>
          <w:bCs/>
          <w:sz w:val="22"/>
          <w:szCs w:val="22"/>
          <w:lang w:val="fr-FR"/>
        </w:rPr>
        <w:t>’</w:t>
      </w:r>
      <w:r w:rsidRPr="00FA25A2">
        <w:rPr>
          <w:rFonts w:ascii="Arial" w:hAnsi="Arial" w:cs="Arial"/>
          <w:bCs/>
          <w:sz w:val="22"/>
          <w:szCs w:val="22"/>
          <w:lang w:val="fr-FR"/>
        </w:rPr>
        <w:t>exemple d</w:t>
      </w:r>
      <w:r w:rsidR="008E532B">
        <w:rPr>
          <w:rFonts w:ascii="Arial" w:hAnsi="Arial" w:cs="Arial"/>
          <w:bCs/>
          <w:sz w:val="22"/>
          <w:szCs w:val="22"/>
          <w:lang w:val="fr-FR"/>
        </w:rPr>
        <w:t>’</w:t>
      </w:r>
      <w:r w:rsidRPr="00FA25A2">
        <w:rPr>
          <w:rFonts w:ascii="Arial" w:hAnsi="Arial" w:cs="Arial"/>
          <w:bCs/>
          <w:sz w:val="22"/>
          <w:szCs w:val="22"/>
          <w:lang w:val="fr-FR"/>
        </w:rPr>
        <w:t>une décision prise le 15 juillet et, dans les quarante-cinq jours, l</w:t>
      </w:r>
      <w:r w:rsidR="008E532B">
        <w:rPr>
          <w:rFonts w:ascii="Arial" w:hAnsi="Arial" w:cs="Arial"/>
          <w:bCs/>
          <w:sz w:val="22"/>
          <w:szCs w:val="22"/>
          <w:lang w:val="fr-FR"/>
        </w:rPr>
        <w:t>’</w:t>
      </w:r>
      <w:r w:rsidRPr="00FA25A2">
        <w:rPr>
          <w:rFonts w:ascii="Arial" w:hAnsi="Arial" w:cs="Arial"/>
          <w:bCs/>
          <w:sz w:val="22"/>
          <w:szCs w:val="22"/>
          <w:lang w:val="fr-FR"/>
        </w:rPr>
        <w:t>Assemblée d</w:t>
      </w:r>
      <w:r>
        <w:rPr>
          <w:rFonts w:ascii="Arial" w:hAnsi="Arial" w:cs="Arial"/>
          <w:bCs/>
          <w:sz w:val="22"/>
          <w:szCs w:val="22"/>
          <w:lang w:val="fr-FR"/>
        </w:rPr>
        <w:t>evait</w:t>
      </w:r>
      <w:r w:rsidRPr="00FA25A2">
        <w:rPr>
          <w:rFonts w:ascii="Arial" w:hAnsi="Arial" w:cs="Arial"/>
          <w:bCs/>
          <w:sz w:val="22"/>
          <w:szCs w:val="22"/>
          <w:lang w:val="fr-FR"/>
        </w:rPr>
        <w:t xml:space="preserve"> se réunir, c</w:t>
      </w:r>
      <w:r w:rsidR="008E532B">
        <w:rPr>
          <w:rFonts w:ascii="Arial" w:hAnsi="Arial" w:cs="Arial"/>
          <w:bCs/>
          <w:sz w:val="22"/>
          <w:szCs w:val="22"/>
          <w:lang w:val="fr-FR"/>
        </w:rPr>
        <w:t>’</w:t>
      </w:r>
      <w:r w:rsidRPr="00FA25A2">
        <w:rPr>
          <w:rFonts w:ascii="Arial" w:hAnsi="Arial" w:cs="Arial"/>
          <w:bCs/>
          <w:sz w:val="22"/>
          <w:szCs w:val="22"/>
          <w:lang w:val="fr-FR"/>
        </w:rPr>
        <w:t>est-à-dire avant le 31 août [pendant les vacances d</w:t>
      </w:r>
      <w:r w:rsidR="008E532B">
        <w:rPr>
          <w:rFonts w:ascii="Arial" w:hAnsi="Arial" w:cs="Arial"/>
          <w:bCs/>
          <w:sz w:val="22"/>
          <w:szCs w:val="22"/>
          <w:lang w:val="fr-FR"/>
        </w:rPr>
        <w:t>’</w:t>
      </w:r>
      <w:r w:rsidRPr="00FA25A2">
        <w:rPr>
          <w:rFonts w:ascii="Arial" w:hAnsi="Arial" w:cs="Arial"/>
          <w:bCs/>
          <w:sz w:val="22"/>
          <w:szCs w:val="22"/>
          <w:lang w:val="fr-FR"/>
        </w:rPr>
        <w:t xml:space="preserve">été]. </w:t>
      </w:r>
      <w:r>
        <w:rPr>
          <w:rFonts w:ascii="Arial" w:hAnsi="Arial" w:cs="Arial"/>
          <w:bCs/>
          <w:sz w:val="22"/>
          <w:szCs w:val="22"/>
          <w:lang w:val="fr-FR"/>
        </w:rPr>
        <w:t>C</w:t>
      </w:r>
      <w:r w:rsidRPr="00FA25A2">
        <w:rPr>
          <w:rFonts w:ascii="Arial" w:hAnsi="Arial" w:cs="Arial"/>
          <w:bCs/>
          <w:sz w:val="22"/>
          <w:szCs w:val="22"/>
          <w:lang w:val="fr-FR"/>
        </w:rPr>
        <w:t>ependant, il n</w:t>
      </w:r>
      <w:r w:rsidR="008E532B">
        <w:rPr>
          <w:rFonts w:ascii="Arial" w:hAnsi="Arial" w:cs="Arial"/>
          <w:bCs/>
          <w:sz w:val="22"/>
          <w:szCs w:val="22"/>
          <w:lang w:val="fr-FR"/>
        </w:rPr>
        <w:t>’</w:t>
      </w:r>
      <w:r w:rsidRPr="00FA25A2">
        <w:rPr>
          <w:rFonts w:ascii="Arial" w:hAnsi="Arial" w:cs="Arial"/>
          <w:bCs/>
          <w:sz w:val="22"/>
          <w:szCs w:val="22"/>
          <w:lang w:val="fr-FR"/>
        </w:rPr>
        <w:t xml:space="preserve">y aurait </w:t>
      </w:r>
      <w:r>
        <w:rPr>
          <w:rFonts w:ascii="Arial" w:hAnsi="Arial" w:cs="Arial"/>
          <w:bCs/>
          <w:sz w:val="22"/>
          <w:szCs w:val="22"/>
          <w:lang w:val="fr-FR"/>
        </w:rPr>
        <w:t xml:space="preserve">normalement </w:t>
      </w:r>
      <w:r w:rsidRPr="00FA25A2">
        <w:rPr>
          <w:rFonts w:ascii="Arial" w:hAnsi="Arial" w:cs="Arial"/>
          <w:bCs/>
          <w:sz w:val="22"/>
          <w:szCs w:val="22"/>
          <w:lang w:val="fr-FR"/>
        </w:rPr>
        <w:t xml:space="preserve">aucune raison de retarder plus que nécessaire. En tant que </w:t>
      </w:r>
      <w:r>
        <w:rPr>
          <w:rFonts w:ascii="Arial" w:hAnsi="Arial" w:cs="Arial"/>
          <w:bCs/>
          <w:sz w:val="22"/>
          <w:szCs w:val="22"/>
          <w:lang w:val="fr-FR"/>
        </w:rPr>
        <w:t>C</w:t>
      </w:r>
      <w:r w:rsidRPr="00FA25A2">
        <w:rPr>
          <w:rFonts w:ascii="Arial" w:hAnsi="Arial" w:cs="Arial"/>
          <w:bCs/>
          <w:sz w:val="22"/>
          <w:szCs w:val="22"/>
          <w:lang w:val="fr-FR"/>
        </w:rPr>
        <w:t>onseiller juridique, il ne p</w:t>
      </w:r>
      <w:r>
        <w:rPr>
          <w:rFonts w:ascii="Arial" w:hAnsi="Arial" w:cs="Arial"/>
          <w:bCs/>
          <w:sz w:val="22"/>
          <w:szCs w:val="22"/>
          <w:lang w:val="fr-FR"/>
        </w:rPr>
        <w:t>ouvait</w:t>
      </w:r>
      <w:r w:rsidRPr="00FA25A2">
        <w:rPr>
          <w:rFonts w:ascii="Arial" w:hAnsi="Arial" w:cs="Arial"/>
          <w:bCs/>
          <w:sz w:val="22"/>
          <w:szCs w:val="22"/>
          <w:lang w:val="fr-FR"/>
        </w:rPr>
        <w:t xml:space="preserve"> pas se prononcer sur la question car il s</w:t>
      </w:r>
      <w:r w:rsidR="008E532B">
        <w:rPr>
          <w:rFonts w:ascii="Arial" w:hAnsi="Arial" w:cs="Arial"/>
          <w:bCs/>
          <w:sz w:val="22"/>
          <w:szCs w:val="22"/>
          <w:lang w:val="fr-FR"/>
        </w:rPr>
        <w:t>’</w:t>
      </w:r>
      <w:r w:rsidRPr="00FA25A2">
        <w:rPr>
          <w:rFonts w:ascii="Arial" w:hAnsi="Arial" w:cs="Arial"/>
          <w:bCs/>
          <w:sz w:val="22"/>
          <w:szCs w:val="22"/>
          <w:lang w:val="fr-FR"/>
        </w:rPr>
        <w:t>agi</w:t>
      </w:r>
      <w:r>
        <w:rPr>
          <w:rFonts w:ascii="Arial" w:hAnsi="Arial" w:cs="Arial"/>
          <w:bCs/>
          <w:sz w:val="22"/>
          <w:szCs w:val="22"/>
          <w:lang w:val="fr-FR"/>
        </w:rPr>
        <w:t>ssai</w:t>
      </w:r>
      <w:r w:rsidRPr="00FA25A2">
        <w:rPr>
          <w:rFonts w:ascii="Arial" w:hAnsi="Arial" w:cs="Arial"/>
          <w:bCs/>
          <w:sz w:val="22"/>
          <w:szCs w:val="22"/>
          <w:lang w:val="fr-FR"/>
        </w:rPr>
        <w:t>t d</w:t>
      </w:r>
      <w:r w:rsidR="008E532B">
        <w:rPr>
          <w:rFonts w:ascii="Arial" w:hAnsi="Arial" w:cs="Arial"/>
          <w:bCs/>
          <w:sz w:val="22"/>
          <w:szCs w:val="22"/>
          <w:lang w:val="fr-FR"/>
        </w:rPr>
        <w:t>’</w:t>
      </w:r>
      <w:r w:rsidRPr="00FA25A2">
        <w:rPr>
          <w:rFonts w:ascii="Arial" w:hAnsi="Arial" w:cs="Arial"/>
          <w:bCs/>
          <w:sz w:val="22"/>
          <w:szCs w:val="22"/>
          <w:lang w:val="fr-FR"/>
        </w:rPr>
        <w:t>une décision politique qui d</w:t>
      </w:r>
      <w:r>
        <w:rPr>
          <w:rFonts w:ascii="Arial" w:hAnsi="Arial" w:cs="Arial"/>
          <w:bCs/>
          <w:sz w:val="22"/>
          <w:szCs w:val="22"/>
          <w:lang w:val="fr-FR"/>
        </w:rPr>
        <w:t xml:space="preserve">evait </w:t>
      </w:r>
      <w:r w:rsidRPr="00FA25A2">
        <w:rPr>
          <w:rFonts w:ascii="Arial" w:hAnsi="Arial" w:cs="Arial"/>
          <w:bCs/>
          <w:sz w:val="22"/>
          <w:szCs w:val="22"/>
          <w:lang w:val="fr-FR"/>
        </w:rPr>
        <w:t>être prise par l</w:t>
      </w:r>
      <w:r w:rsidR="008E532B">
        <w:rPr>
          <w:rFonts w:ascii="Arial" w:hAnsi="Arial" w:cs="Arial"/>
          <w:bCs/>
          <w:sz w:val="22"/>
          <w:szCs w:val="22"/>
          <w:lang w:val="fr-FR"/>
        </w:rPr>
        <w:t>’</w:t>
      </w:r>
      <w:r w:rsidRPr="00FA25A2">
        <w:rPr>
          <w:rFonts w:ascii="Arial" w:hAnsi="Arial" w:cs="Arial"/>
          <w:bCs/>
          <w:sz w:val="22"/>
          <w:szCs w:val="22"/>
          <w:lang w:val="fr-FR"/>
        </w:rPr>
        <w:t>Assemblée. Toutefois, si cette disposition était incluse et que</w:t>
      </w:r>
      <w:r>
        <w:rPr>
          <w:rFonts w:ascii="Arial" w:hAnsi="Arial" w:cs="Arial"/>
          <w:bCs/>
          <w:sz w:val="22"/>
          <w:szCs w:val="22"/>
          <w:lang w:val="fr-FR"/>
        </w:rPr>
        <w:t>,</w:t>
      </w:r>
      <w:r w:rsidRPr="00FA25A2">
        <w:rPr>
          <w:rFonts w:ascii="Arial" w:hAnsi="Arial" w:cs="Arial"/>
          <w:bCs/>
          <w:sz w:val="22"/>
          <w:szCs w:val="22"/>
          <w:lang w:val="fr-FR"/>
        </w:rPr>
        <w:t xml:space="preserve"> pour une raison quelconque, la réunion ne pouvait </w:t>
      </w:r>
      <w:r>
        <w:rPr>
          <w:rFonts w:ascii="Arial" w:hAnsi="Arial" w:cs="Arial"/>
          <w:bCs/>
          <w:sz w:val="22"/>
          <w:szCs w:val="22"/>
          <w:lang w:val="fr-FR"/>
        </w:rPr>
        <w:t xml:space="preserve">se tenir </w:t>
      </w:r>
      <w:r w:rsidRPr="00FA25A2">
        <w:rPr>
          <w:rFonts w:ascii="Arial" w:hAnsi="Arial" w:cs="Arial"/>
          <w:bCs/>
          <w:sz w:val="22"/>
          <w:szCs w:val="22"/>
          <w:lang w:val="fr-FR"/>
        </w:rPr>
        <w:t>dans les quarante-cinq jours, il s</w:t>
      </w:r>
      <w:r w:rsidR="008E532B">
        <w:rPr>
          <w:rFonts w:ascii="Arial" w:hAnsi="Arial" w:cs="Arial"/>
          <w:bCs/>
          <w:sz w:val="22"/>
          <w:szCs w:val="22"/>
          <w:lang w:val="fr-FR"/>
        </w:rPr>
        <w:t>’</w:t>
      </w:r>
      <w:r w:rsidRPr="00FA25A2">
        <w:rPr>
          <w:rFonts w:ascii="Arial" w:hAnsi="Arial" w:cs="Arial"/>
          <w:bCs/>
          <w:sz w:val="22"/>
          <w:szCs w:val="22"/>
          <w:lang w:val="fr-FR"/>
        </w:rPr>
        <w:t>agirait d</w:t>
      </w:r>
      <w:r w:rsidR="008E532B">
        <w:rPr>
          <w:rFonts w:ascii="Arial" w:hAnsi="Arial" w:cs="Arial"/>
          <w:bCs/>
          <w:sz w:val="22"/>
          <w:szCs w:val="22"/>
          <w:lang w:val="fr-FR"/>
        </w:rPr>
        <w:t>’</w:t>
      </w:r>
      <w:r w:rsidRPr="00FA25A2">
        <w:rPr>
          <w:rFonts w:ascii="Arial" w:hAnsi="Arial" w:cs="Arial"/>
          <w:bCs/>
          <w:sz w:val="22"/>
          <w:szCs w:val="22"/>
          <w:lang w:val="fr-FR"/>
        </w:rPr>
        <w:t xml:space="preserve">une violation de la règle. </w:t>
      </w:r>
      <w:proofErr w:type="gramStart"/>
      <w:r w:rsidRPr="00FA25A2">
        <w:rPr>
          <w:rFonts w:ascii="Arial" w:hAnsi="Arial" w:cs="Arial"/>
          <w:bCs/>
          <w:sz w:val="22"/>
          <w:szCs w:val="22"/>
          <w:lang w:val="fr-FR"/>
        </w:rPr>
        <w:t>Ce</w:t>
      </w:r>
      <w:r>
        <w:rPr>
          <w:rFonts w:ascii="Arial" w:hAnsi="Arial" w:cs="Arial"/>
          <w:bCs/>
          <w:sz w:val="22"/>
          <w:szCs w:val="22"/>
          <w:lang w:val="fr-FR"/>
        </w:rPr>
        <w:t>ci</w:t>
      </w:r>
      <w:r w:rsidRPr="00FA25A2">
        <w:rPr>
          <w:rFonts w:ascii="Arial" w:hAnsi="Arial" w:cs="Arial"/>
          <w:bCs/>
          <w:sz w:val="22"/>
          <w:szCs w:val="22"/>
          <w:lang w:val="fr-FR"/>
        </w:rPr>
        <w:t xml:space="preserve"> dit</w:t>
      </w:r>
      <w:proofErr w:type="gramEnd"/>
      <w:r w:rsidRPr="00FA25A2">
        <w:rPr>
          <w:rFonts w:ascii="Arial" w:hAnsi="Arial" w:cs="Arial"/>
          <w:bCs/>
          <w:sz w:val="22"/>
          <w:szCs w:val="22"/>
          <w:lang w:val="fr-FR"/>
        </w:rPr>
        <w:t>, le Conseiller juridique pou</w:t>
      </w:r>
      <w:r>
        <w:rPr>
          <w:rFonts w:ascii="Arial" w:hAnsi="Arial" w:cs="Arial"/>
          <w:bCs/>
          <w:sz w:val="22"/>
          <w:szCs w:val="22"/>
          <w:lang w:val="fr-FR"/>
        </w:rPr>
        <w:t>v</w:t>
      </w:r>
      <w:r w:rsidRPr="00FA25A2">
        <w:rPr>
          <w:rFonts w:ascii="Arial" w:hAnsi="Arial" w:cs="Arial"/>
          <w:bCs/>
          <w:sz w:val="22"/>
          <w:szCs w:val="22"/>
          <w:lang w:val="fr-FR"/>
        </w:rPr>
        <w:t xml:space="preserve">ait proposer une formulation </w:t>
      </w:r>
      <w:r>
        <w:rPr>
          <w:rFonts w:ascii="Arial" w:hAnsi="Arial" w:cs="Arial"/>
          <w:bCs/>
          <w:sz w:val="22"/>
          <w:szCs w:val="22"/>
          <w:lang w:val="fr-FR"/>
        </w:rPr>
        <w:t>conforme à</w:t>
      </w:r>
      <w:r w:rsidRPr="00FA25A2">
        <w:rPr>
          <w:rFonts w:ascii="Arial" w:hAnsi="Arial" w:cs="Arial"/>
          <w:bCs/>
          <w:sz w:val="22"/>
          <w:szCs w:val="22"/>
          <w:lang w:val="fr-FR"/>
        </w:rPr>
        <w:t xml:space="preserve"> la demande de la Türkiye à l</w:t>
      </w:r>
      <w:r w:rsidR="008E532B">
        <w:rPr>
          <w:rFonts w:ascii="Arial" w:hAnsi="Arial" w:cs="Arial"/>
          <w:bCs/>
          <w:sz w:val="22"/>
          <w:szCs w:val="22"/>
          <w:lang w:val="fr-FR"/>
        </w:rPr>
        <w:t>’</w:t>
      </w:r>
      <w:r w:rsidRPr="00FA25A2">
        <w:rPr>
          <w:rFonts w:ascii="Arial" w:hAnsi="Arial" w:cs="Arial"/>
          <w:bCs/>
          <w:sz w:val="22"/>
          <w:szCs w:val="22"/>
          <w:lang w:val="fr-FR"/>
        </w:rPr>
        <w:t xml:space="preserve">article 5.2, qui serait </w:t>
      </w:r>
      <w:r>
        <w:rPr>
          <w:rFonts w:ascii="Arial" w:hAnsi="Arial" w:cs="Arial"/>
          <w:bCs/>
          <w:sz w:val="22"/>
          <w:szCs w:val="22"/>
          <w:lang w:val="fr-FR"/>
        </w:rPr>
        <w:t>ainsi rédigée</w:t>
      </w:r>
      <w:r w:rsidRPr="00FA25A2">
        <w:rPr>
          <w:rFonts w:ascii="Arial" w:hAnsi="Arial" w:cs="Arial"/>
          <w:bCs/>
          <w:sz w:val="22"/>
          <w:szCs w:val="22"/>
          <w:lang w:val="fr-FR"/>
        </w:rPr>
        <w:t xml:space="preserve"> :</w:t>
      </w:r>
      <w:r>
        <w:rPr>
          <w:rFonts w:ascii="Arial" w:hAnsi="Arial" w:cs="Arial"/>
          <w:bCs/>
          <w:sz w:val="22"/>
          <w:szCs w:val="22"/>
          <w:lang w:val="fr-FR"/>
        </w:rPr>
        <w:t xml:space="preserve"> « Sauf si</w:t>
      </w:r>
      <w:r w:rsidRPr="00FA25A2">
        <w:rPr>
          <w:rFonts w:ascii="Arial" w:hAnsi="Arial" w:cs="Arial"/>
          <w:bCs/>
          <w:sz w:val="22"/>
          <w:szCs w:val="22"/>
          <w:lang w:val="fr-FR"/>
        </w:rPr>
        <w:t xml:space="preserve"> la date </w:t>
      </w:r>
      <w:r>
        <w:rPr>
          <w:rFonts w:ascii="Arial" w:hAnsi="Arial" w:cs="Arial"/>
          <w:bCs/>
          <w:sz w:val="22"/>
          <w:szCs w:val="22"/>
          <w:lang w:val="fr-FR"/>
        </w:rPr>
        <w:t>a été</w:t>
      </w:r>
      <w:r w:rsidRPr="00FA25A2">
        <w:rPr>
          <w:rFonts w:ascii="Arial" w:hAnsi="Arial" w:cs="Arial"/>
          <w:bCs/>
          <w:sz w:val="22"/>
          <w:szCs w:val="22"/>
          <w:lang w:val="fr-FR"/>
        </w:rPr>
        <w:t xml:space="preserve"> décidée par l</w:t>
      </w:r>
      <w:r w:rsidR="008E532B">
        <w:rPr>
          <w:rFonts w:ascii="Arial" w:hAnsi="Arial" w:cs="Arial"/>
          <w:bCs/>
          <w:sz w:val="22"/>
          <w:szCs w:val="22"/>
          <w:lang w:val="fr-FR"/>
        </w:rPr>
        <w:t>’</w:t>
      </w:r>
      <w:r w:rsidRPr="00FA25A2">
        <w:rPr>
          <w:rFonts w:ascii="Arial" w:hAnsi="Arial" w:cs="Arial"/>
          <w:bCs/>
          <w:sz w:val="22"/>
          <w:szCs w:val="22"/>
          <w:lang w:val="fr-FR"/>
        </w:rPr>
        <w:t xml:space="preserve">Assemblée, </w:t>
      </w:r>
      <w:r>
        <w:rPr>
          <w:rFonts w:ascii="Arial" w:hAnsi="Arial" w:cs="Arial"/>
          <w:bCs/>
          <w:sz w:val="22"/>
          <w:szCs w:val="22"/>
          <w:lang w:val="fr-FR"/>
        </w:rPr>
        <w:t>le/la</w:t>
      </w:r>
      <w:r w:rsidRPr="004F2F68">
        <w:rPr>
          <w:rFonts w:ascii="Arial" w:hAnsi="Arial" w:cs="Arial"/>
          <w:bCs/>
          <w:sz w:val="22"/>
          <w:szCs w:val="22"/>
          <w:lang w:val="fr-FR"/>
        </w:rPr>
        <w:t xml:space="preserve"> Directeur</w:t>
      </w:r>
      <w:r>
        <w:rPr>
          <w:rFonts w:ascii="Arial" w:hAnsi="Arial" w:cs="Arial"/>
          <w:bCs/>
          <w:sz w:val="22"/>
          <w:szCs w:val="22"/>
          <w:lang w:val="fr-FR"/>
        </w:rPr>
        <w:t>/Directrice général(e) détermine</w:t>
      </w:r>
      <w:r w:rsidRPr="00FA25A2">
        <w:rPr>
          <w:rFonts w:ascii="Arial" w:hAnsi="Arial" w:cs="Arial"/>
          <w:bCs/>
          <w:sz w:val="22"/>
          <w:szCs w:val="22"/>
          <w:lang w:val="fr-FR"/>
        </w:rPr>
        <w:t xml:space="preserve"> la date de la session extraordinaire, qui d</w:t>
      </w:r>
      <w:r>
        <w:rPr>
          <w:rFonts w:ascii="Arial" w:hAnsi="Arial" w:cs="Arial"/>
          <w:bCs/>
          <w:sz w:val="22"/>
          <w:szCs w:val="22"/>
          <w:lang w:val="fr-FR"/>
        </w:rPr>
        <w:t>evra</w:t>
      </w:r>
      <w:r w:rsidRPr="00FA25A2">
        <w:rPr>
          <w:rFonts w:ascii="Arial" w:hAnsi="Arial" w:cs="Arial"/>
          <w:bCs/>
          <w:sz w:val="22"/>
          <w:szCs w:val="22"/>
          <w:lang w:val="fr-FR"/>
        </w:rPr>
        <w:t xml:space="preserve"> alors être fixée dans les </w:t>
      </w:r>
      <w:r>
        <w:rPr>
          <w:rFonts w:ascii="Arial" w:hAnsi="Arial" w:cs="Arial"/>
          <w:bCs/>
          <w:sz w:val="22"/>
          <w:szCs w:val="22"/>
          <w:lang w:val="fr-FR"/>
        </w:rPr>
        <w:t>quarante</w:t>
      </w:r>
      <w:r>
        <w:rPr>
          <w:rFonts w:ascii="Arial" w:hAnsi="Arial" w:cs="Arial"/>
          <w:bCs/>
          <w:sz w:val="22"/>
          <w:szCs w:val="22"/>
          <w:lang w:val="fr-FR"/>
        </w:rPr>
        <w:noBreakHyphen/>
        <w:t>cinq</w:t>
      </w:r>
      <w:r w:rsidRPr="00FA25A2">
        <w:rPr>
          <w:rFonts w:ascii="Arial" w:hAnsi="Arial" w:cs="Arial"/>
          <w:bCs/>
          <w:sz w:val="22"/>
          <w:szCs w:val="22"/>
          <w:lang w:val="fr-FR"/>
        </w:rPr>
        <w:t xml:space="preserve"> jours</w:t>
      </w:r>
      <w:r>
        <w:rPr>
          <w:rFonts w:ascii="Arial" w:hAnsi="Arial" w:cs="Arial"/>
          <w:bCs/>
          <w:sz w:val="22"/>
          <w:szCs w:val="22"/>
          <w:lang w:val="fr-FR"/>
        </w:rPr>
        <w:t>,</w:t>
      </w:r>
      <w:r w:rsidRPr="00FA25A2">
        <w:rPr>
          <w:rFonts w:ascii="Arial" w:hAnsi="Arial" w:cs="Arial"/>
          <w:bCs/>
          <w:sz w:val="22"/>
          <w:szCs w:val="22"/>
          <w:lang w:val="fr-FR"/>
        </w:rPr>
        <w:t xml:space="preserve"> suivant la date de la demande </w:t>
      </w:r>
      <w:r>
        <w:rPr>
          <w:rFonts w:ascii="Arial" w:hAnsi="Arial" w:cs="Arial"/>
          <w:bCs/>
          <w:sz w:val="22"/>
          <w:szCs w:val="22"/>
          <w:lang w:val="fr-FR"/>
        </w:rPr>
        <w:t>prévue</w:t>
      </w:r>
      <w:r w:rsidRPr="00FA25A2">
        <w:rPr>
          <w:rFonts w:ascii="Arial" w:hAnsi="Arial" w:cs="Arial"/>
          <w:bCs/>
          <w:sz w:val="22"/>
          <w:szCs w:val="22"/>
          <w:lang w:val="fr-FR"/>
        </w:rPr>
        <w:t xml:space="preserve"> à l</w:t>
      </w:r>
      <w:r w:rsidR="008E532B">
        <w:rPr>
          <w:rFonts w:ascii="Arial" w:hAnsi="Arial" w:cs="Arial"/>
          <w:bCs/>
          <w:sz w:val="22"/>
          <w:szCs w:val="22"/>
          <w:lang w:val="fr-FR"/>
        </w:rPr>
        <w:t>’</w:t>
      </w:r>
      <w:r w:rsidRPr="00FA25A2">
        <w:rPr>
          <w:rFonts w:ascii="Arial" w:hAnsi="Arial" w:cs="Arial"/>
          <w:bCs/>
          <w:sz w:val="22"/>
          <w:szCs w:val="22"/>
          <w:lang w:val="fr-FR"/>
        </w:rPr>
        <w:t>article 4.2.</w:t>
      </w:r>
      <w:r>
        <w:rPr>
          <w:rFonts w:ascii="Arial" w:hAnsi="Arial" w:cs="Arial"/>
          <w:bCs/>
          <w:sz w:val="22"/>
          <w:szCs w:val="22"/>
          <w:lang w:val="fr-FR"/>
        </w:rPr>
        <w:t> »</w:t>
      </w:r>
      <w:r w:rsidRPr="00FA25A2">
        <w:rPr>
          <w:rFonts w:ascii="Arial" w:hAnsi="Arial" w:cs="Arial"/>
          <w:bCs/>
          <w:sz w:val="22"/>
          <w:szCs w:val="22"/>
          <w:lang w:val="fr-FR"/>
        </w:rPr>
        <w:t xml:space="preserve"> Le Conseiller juridique</w:t>
      </w:r>
      <w:r>
        <w:rPr>
          <w:rFonts w:ascii="Arial" w:hAnsi="Arial" w:cs="Arial"/>
          <w:bCs/>
          <w:sz w:val="22"/>
          <w:szCs w:val="22"/>
          <w:lang w:val="fr-FR"/>
        </w:rPr>
        <w:t xml:space="preserve"> </w:t>
      </w:r>
      <w:r w:rsidRPr="00FA25A2">
        <w:rPr>
          <w:rFonts w:ascii="Arial" w:hAnsi="Arial" w:cs="Arial"/>
          <w:bCs/>
          <w:sz w:val="22"/>
          <w:szCs w:val="22"/>
          <w:lang w:val="fr-FR"/>
        </w:rPr>
        <w:t>maint</w:t>
      </w:r>
      <w:r>
        <w:rPr>
          <w:rFonts w:ascii="Arial" w:hAnsi="Arial" w:cs="Arial"/>
          <w:bCs/>
          <w:sz w:val="22"/>
          <w:szCs w:val="22"/>
          <w:lang w:val="fr-FR"/>
        </w:rPr>
        <w:t>enait</w:t>
      </w:r>
      <w:r w:rsidRPr="00FA25A2">
        <w:rPr>
          <w:rFonts w:ascii="Arial" w:hAnsi="Arial" w:cs="Arial"/>
          <w:bCs/>
          <w:sz w:val="22"/>
          <w:szCs w:val="22"/>
          <w:lang w:val="fr-FR"/>
        </w:rPr>
        <w:t xml:space="preserve"> son commentaire sur le fond.</w:t>
      </w:r>
    </w:p>
    <w:p w14:paraId="30364DAD" w14:textId="77777777" w:rsidR="00D9653F" w:rsidRPr="001B4BD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1B4BD1">
        <w:rPr>
          <w:rFonts w:ascii="Arial" w:hAnsi="Arial" w:cs="Arial"/>
          <w:b/>
          <w:sz w:val="22"/>
          <w:szCs w:val="22"/>
          <w:lang w:val="fr-FR"/>
        </w:rPr>
        <w:t>Présidente</w:t>
      </w:r>
      <w:r>
        <w:rPr>
          <w:rFonts w:ascii="Arial" w:hAnsi="Arial" w:cs="Arial"/>
          <w:bCs/>
          <w:sz w:val="22"/>
          <w:szCs w:val="22"/>
          <w:lang w:val="fr-FR"/>
        </w:rPr>
        <w:t xml:space="preserve"> a demandé à la Türkiye si elle consentait à la formulation.</w:t>
      </w:r>
    </w:p>
    <w:p w14:paraId="2E4EB101" w14:textId="54818E3B" w:rsidR="00D9653F" w:rsidRPr="001B4BD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B4BD1">
        <w:rPr>
          <w:rFonts w:ascii="Arial" w:hAnsi="Arial" w:cs="Arial"/>
          <w:bCs/>
          <w:sz w:val="22"/>
          <w:szCs w:val="22"/>
          <w:lang w:val="fr-FR"/>
        </w:rPr>
        <w:t xml:space="preserve">La délégation de la </w:t>
      </w:r>
      <w:r w:rsidRPr="00FE169D">
        <w:rPr>
          <w:rFonts w:ascii="Arial" w:hAnsi="Arial" w:cs="Arial"/>
          <w:b/>
          <w:sz w:val="22"/>
          <w:szCs w:val="22"/>
          <w:lang w:val="fr-FR"/>
        </w:rPr>
        <w:t>Türkiye</w:t>
      </w:r>
      <w:r w:rsidRPr="001B4BD1">
        <w:rPr>
          <w:rFonts w:ascii="Arial" w:hAnsi="Arial" w:cs="Arial"/>
          <w:bCs/>
          <w:sz w:val="22"/>
          <w:szCs w:val="22"/>
          <w:lang w:val="fr-FR"/>
        </w:rPr>
        <w:t xml:space="preserve"> </w:t>
      </w:r>
      <w:r>
        <w:rPr>
          <w:rFonts w:ascii="Arial" w:hAnsi="Arial" w:cs="Arial"/>
          <w:bCs/>
          <w:sz w:val="22"/>
          <w:szCs w:val="22"/>
          <w:lang w:val="fr-FR"/>
        </w:rPr>
        <w:t>souscrivait pleinement à</w:t>
      </w:r>
      <w:r w:rsidRPr="001B4BD1">
        <w:rPr>
          <w:rFonts w:ascii="Arial" w:hAnsi="Arial" w:cs="Arial"/>
          <w:bCs/>
          <w:sz w:val="22"/>
          <w:szCs w:val="22"/>
          <w:lang w:val="fr-FR"/>
        </w:rPr>
        <w:t xml:space="preserve"> la formulation</w:t>
      </w:r>
      <w:r>
        <w:rPr>
          <w:rFonts w:ascii="Arial" w:hAnsi="Arial" w:cs="Arial"/>
          <w:bCs/>
          <w:sz w:val="22"/>
          <w:szCs w:val="22"/>
          <w:lang w:val="fr-FR"/>
        </w:rPr>
        <w:t>,</w:t>
      </w:r>
      <w:r w:rsidRPr="001B4BD1">
        <w:rPr>
          <w:rFonts w:ascii="Arial" w:hAnsi="Arial" w:cs="Arial"/>
          <w:bCs/>
          <w:sz w:val="22"/>
          <w:szCs w:val="22"/>
          <w:lang w:val="fr-FR"/>
        </w:rPr>
        <w:t xml:space="preserve"> mais si quarante</w:t>
      </w:r>
      <w:r>
        <w:rPr>
          <w:rFonts w:ascii="Arial" w:hAnsi="Arial" w:cs="Arial"/>
          <w:bCs/>
          <w:sz w:val="22"/>
          <w:szCs w:val="22"/>
          <w:lang w:val="fr-FR"/>
        </w:rPr>
        <w:noBreakHyphen/>
      </w:r>
      <w:r w:rsidRPr="001B4BD1">
        <w:rPr>
          <w:rFonts w:ascii="Arial" w:hAnsi="Arial" w:cs="Arial"/>
          <w:bCs/>
          <w:sz w:val="22"/>
          <w:szCs w:val="22"/>
          <w:lang w:val="fr-FR"/>
        </w:rPr>
        <w:t>cinq jours ne suffis</w:t>
      </w:r>
      <w:r>
        <w:rPr>
          <w:rFonts w:ascii="Arial" w:hAnsi="Arial" w:cs="Arial"/>
          <w:bCs/>
          <w:sz w:val="22"/>
          <w:szCs w:val="22"/>
          <w:lang w:val="fr-FR"/>
        </w:rPr>
        <w:t>ai</w:t>
      </w:r>
      <w:r w:rsidRPr="001B4BD1">
        <w:rPr>
          <w:rFonts w:ascii="Arial" w:hAnsi="Arial" w:cs="Arial"/>
          <w:bCs/>
          <w:sz w:val="22"/>
          <w:szCs w:val="22"/>
          <w:lang w:val="fr-FR"/>
        </w:rPr>
        <w:t>ent</w:t>
      </w:r>
      <w:r>
        <w:rPr>
          <w:rFonts w:ascii="Arial" w:hAnsi="Arial" w:cs="Arial"/>
          <w:bCs/>
          <w:sz w:val="22"/>
          <w:szCs w:val="22"/>
          <w:lang w:val="fr-FR"/>
        </w:rPr>
        <w:t xml:space="preserve"> </w:t>
      </w:r>
      <w:r w:rsidRPr="001B4BD1">
        <w:rPr>
          <w:rFonts w:ascii="Arial" w:hAnsi="Arial" w:cs="Arial"/>
          <w:bCs/>
          <w:sz w:val="22"/>
          <w:szCs w:val="22"/>
          <w:lang w:val="fr-FR"/>
        </w:rPr>
        <w:t xml:space="preserve">pas pour organiser une Assemblée, elle </w:t>
      </w:r>
      <w:r>
        <w:rPr>
          <w:rFonts w:ascii="Arial" w:hAnsi="Arial" w:cs="Arial"/>
          <w:bCs/>
          <w:sz w:val="22"/>
          <w:szCs w:val="22"/>
          <w:lang w:val="fr-FR"/>
        </w:rPr>
        <w:t>en appellerait</w:t>
      </w:r>
      <w:r w:rsidRPr="001B4BD1">
        <w:rPr>
          <w:rFonts w:ascii="Arial" w:hAnsi="Arial" w:cs="Arial"/>
          <w:bCs/>
          <w:sz w:val="22"/>
          <w:szCs w:val="22"/>
          <w:lang w:val="fr-FR"/>
        </w:rPr>
        <w:t xml:space="preserve"> au Secrétariat et à l</w:t>
      </w:r>
      <w:r w:rsidR="008E532B">
        <w:rPr>
          <w:rFonts w:ascii="Arial" w:hAnsi="Arial" w:cs="Arial"/>
          <w:bCs/>
          <w:sz w:val="22"/>
          <w:szCs w:val="22"/>
          <w:lang w:val="fr-FR"/>
        </w:rPr>
        <w:t>’</w:t>
      </w:r>
      <w:r w:rsidRPr="001B4BD1">
        <w:rPr>
          <w:rFonts w:ascii="Arial" w:hAnsi="Arial" w:cs="Arial"/>
          <w:bCs/>
          <w:sz w:val="22"/>
          <w:szCs w:val="22"/>
          <w:lang w:val="fr-FR"/>
        </w:rPr>
        <w:t>Assemblée pour définir un délai, éventuellement quatre</w:t>
      </w:r>
      <w:r>
        <w:rPr>
          <w:rFonts w:ascii="Arial" w:hAnsi="Arial" w:cs="Arial"/>
          <w:bCs/>
          <w:sz w:val="22"/>
          <w:szCs w:val="22"/>
          <w:lang w:val="fr-FR"/>
        </w:rPr>
        <w:noBreakHyphen/>
      </w:r>
      <w:r w:rsidRPr="001B4BD1">
        <w:rPr>
          <w:rFonts w:ascii="Arial" w:hAnsi="Arial" w:cs="Arial"/>
          <w:bCs/>
          <w:sz w:val="22"/>
          <w:szCs w:val="22"/>
          <w:lang w:val="fr-FR"/>
        </w:rPr>
        <w:t>vingt</w:t>
      </w:r>
      <w:r>
        <w:rPr>
          <w:rFonts w:ascii="Arial" w:hAnsi="Arial" w:cs="Arial"/>
          <w:bCs/>
          <w:sz w:val="22"/>
          <w:szCs w:val="22"/>
          <w:lang w:val="fr-FR"/>
        </w:rPr>
        <w:noBreakHyphen/>
      </w:r>
      <w:r w:rsidRPr="001B4BD1">
        <w:rPr>
          <w:rFonts w:ascii="Arial" w:hAnsi="Arial" w:cs="Arial"/>
          <w:bCs/>
          <w:sz w:val="22"/>
          <w:szCs w:val="22"/>
          <w:lang w:val="fr-FR"/>
        </w:rPr>
        <w:t xml:space="preserve">dix jours. La principale préoccupation était simplement de fixer un délai pour </w:t>
      </w:r>
      <w:r>
        <w:rPr>
          <w:rFonts w:ascii="Arial" w:hAnsi="Arial" w:cs="Arial"/>
          <w:bCs/>
          <w:sz w:val="22"/>
          <w:szCs w:val="22"/>
          <w:lang w:val="fr-FR"/>
        </w:rPr>
        <w:t xml:space="preserve">tenir </w:t>
      </w:r>
      <w:r w:rsidRPr="001B4BD1">
        <w:rPr>
          <w:rFonts w:ascii="Arial" w:hAnsi="Arial" w:cs="Arial"/>
          <w:bCs/>
          <w:sz w:val="22"/>
          <w:szCs w:val="22"/>
          <w:lang w:val="fr-FR"/>
        </w:rPr>
        <w:t>la session extraordinaire. La délégation a remercié le Conseiller juridique pour la formulation proposée.</w:t>
      </w:r>
    </w:p>
    <w:p w14:paraId="1BE92DF6" w14:textId="2F965553"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E169D">
        <w:rPr>
          <w:rFonts w:ascii="Arial" w:hAnsi="Arial" w:cs="Arial"/>
          <w:bCs/>
          <w:sz w:val="22"/>
          <w:szCs w:val="22"/>
          <w:lang w:val="fr-FR"/>
        </w:rPr>
        <w:t>délégation</w:t>
      </w:r>
      <w:r>
        <w:rPr>
          <w:rFonts w:ascii="Arial" w:hAnsi="Arial" w:cs="Arial"/>
          <w:bCs/>
          <w:sz w:val="22"/>
          <w:szCs w:val="22"/>
          <w:lang w:val="fr-FR"/>
        </w:rPr>
        <w:t xml:space="preserve"> de la </w:t>
      </w:r>
      <w:r w:rsidRPr="00FE169D">
        <w:rPr>
          <w:rFonts w:ascii="Arial" w:hAnsi="Arial" w:cs="Arial"/>
          <w:b/>
          <w:sz w:val="22"/>
          <w:szCs w:val="22"/>
          <w:lang w:val="fr-FR"/>
        </w:rPr>
        <w:t>Palestine</w:t>
      </w:r>
      <w:r>
        <w:rPr>
          <w:rFonts w:ascii="Arial" w:hAnsi="Arial" w:cs="Arial"/>
          <w:bCs/>
          <w:sz w:val="22"/>
          <w:szCs w:val="22"/>
          <w:lang w:val="fr-FR"/>
        </w:rPr>
        <w:t xml:space="preserve"> a r</w:t>
      </w:r>
      <w:r w:rsidRPr="00FE169D">
        <w:rPr>
          <w:rFonts w:ascii="Arial" w:hAnsi="Arial" w:cs="Arial"/>
          <w:bCs/>
          <w:sz w:val="22"/>
          <w:szCs w:val="22"/>
          <w:lang w:val="fr-FR"/>
        </w:rPr>
        <w:t>emerci</w:t>
      </w:r>
      <w:r>
        <w:rPr>
          <w:rFonts w:ascii="Arial" w:hAnsi="Arial" w:cs="Arial"/>
          <w:bCs/>
          <w:sz w:val="22"/>
          <w:szCs w:val="22"/>
          <w:lang w:val="fr-FR"/>
        </w:rPr>
        <w:t>é</w:t>
      </w:r>
      <w:r w:rsidRPr="00FE169D">
        <w:rPr>
          <w:rFonts w:ascii="Arial" w:hAnsi="Arial" w:cs="Arial"/>
          <w:bCs/>
          <w:sz w:val="22"/>
          <w:szCs w:val="22"/>
          <w:lang w:val="fr-FR"/>
        </w:rPr>
        <w:t xml:space="preserve"> le Conseiller juridique</w:t>
      </w:r>
      <w:r>
        <w:rPr>
          <w:rFonts w:ascii="Arial" w:hAnsi="Arial" w:cs="Arial"/>
          <w:bCs/>
          <w:sz w:val="22"/>
          <w:szCs w:val="22"/>
          <w:lang w:val="fr-FR"/>
        </w:rPr>
        <w:t xml:space="preserve"> et a déclaré </w:t>
      </w:r>
      <w:r w:rsidRPr="00FE169D">
        <w:rPr>
          <w:rFonts w:ascii="Arial" w:hAnsi="Arial" w:cs="Arial"/>
          <w:bCs/>
          <w:sz w:val="22"/>
          <w:szCs w:val="22"/>
          <w:lang w:val="fr-FR"/>
        </w:rPr>
        <w:t>comprend</w:t>
      </w:r>
      <w:r>
        <w:rPr>
          <w:rFonts w:ascii="Arial" w:hAnsi="Arial" w:cs="Arial"/>
          <w:bCs/>
          <w:sz w:val="22"/>
          <w:szCs w:val="22"/>
          <w:lang w:val="fr-FR"/>
        </w:rPr>
        <w:t>re</w:t>
      </w:r>
      <w:r w:rsidRPr="00FE169D">
        <w:rPr>
          <w:rFonts w:ascii="Arial" w:hAnsi="Arial" w:cs="Arial"/>
          <w:bCs/>
          <w:sz w:val="22"/>
          <w:szCs w:val="22"/>
          <w:lang w:val="fr-FR"/>
        </w:rPr>
        <w:t xml:space="preserve"> la remarque sur l</w:t>
      </w:r>
      <w:r w:rsidR="008E532B">
        <w:rPr>
          <w:rFonts w:ascii="Arial" w:hAnsi="Arial" w:cs="Arial"/>
          <w:bCs/>
          <w:sz w:val="22"/>
          <w:szCs w:val="22"/>
          <w:lang w:val="fr-FR"/>
        </w:rPr>
        <w:t>’</w:t>
      </w:r>
      <w:r w:rsidRPr="00FE169D">
        <w:rPr>
          <w:rFonts w:ascii="Arial" w:hAnsi="Arial" w:cs="Arial"/>
          <w:bCs/>
          <w:sz w:val="22"/>
          <w:szCs w:val="22"/>
          <w:lang w:val="fr-FR"/>
        </w:rPr>
        <w:t>inconvénient d</w:t>
      </w:r>
      <w:r w:rsidR="008E532B">
        <w:rPr>
          <w:rFonts w:ascii="Arial" w:hAnsi="Arial" w:cs="Arial"/>
          <w:bCs/>
          <w:sz w:val="22"/>
          <w:szCs w:val="22"/>
          <w:lang w:val="fr-FR"/>
        </w:rPr>
        <w:t>’</w:t>
      </w:r>
      <w:r w:rsidRPr="00FE169D">
        <w:rPr>
          <w:rFonts w:ascii="Arial" w:hAnsi="Arial" w:cs="Arial"/>
          <w:bCs/>
          <w:sz w:val="22"/>
          <w:szCs w:val="22"/>
          <w:lang w:val="fr-FR"/>
        </w:rPr>
        <w:t>une date</w:t>
      </w:r>
      <w:r>
        <w:rPr>
          <w:rFonts w:ascii="Arial" w:hAnsi="Arial" w:cs="Arial"/>
          <w:bCs/>
          <w:sz w:val="22"/>
          <w:szCs w:val="22"/>
          <w:lang w:val="fr-FR"/>
        </w:rPr>
        <w:t xml:space="preserve"> en </w:t>
      </w:r>
      <w:r w:rsidRPr="00FE169D">
        <w:rPr>
          <w:rFonts w:ascii="Arial" w:hAnsi="Arial" w:cs="Arial"/>
          <w:bCs/>
          <w:sz w:val="22"/>
          <w:szCs w:val="22"/>
          <w:lang w:val="fr-FR"/>
        </w:rPr>
        <w:t>juin qui fixerait un</w:t>
      </w:r>
      <w:r>
        <w:rPr>
          <w:rFonts w:ascii="Arial" w:hAnsi="Arial" w:cs="Arial"/>
          <w:bCs/>
          <w:sz w:val="22"/>
          <w:szCs w:val="22"/>
          <w:lang w:val="fr-FR"/>
        </w:rPr>
        <w:t>e</w:t>
      </w:r>
      <w:r w:rsidRPr="00FE169D">
        <w:rPr>
          <w:rFonts w:ascii="Arial" w:hAnsi="Arial" w:cs="Arial"/>
          <w:bCs/>
          <w:sz w:val="22"/>
          <w:szCs w:val="22"/>
          <w:lang w:val="fr-FR"/>
        </w:rPr>
        <w:t xml:space="preserve"> d</w:t>
      </w:r>
      <w:r>
        <w:rPr>
          <w:rFonts w:ascii="Arial" w:hAnsi="Arial" w:cs="Arial"/>
          <w:bCs/>
          <w:sz w:val="22"/>
          <w:szCs w:val="22"/>
          <w:lang w:val="fr-FR"/>
        </w:rPr>
        <w:t xml:space="preserve">ate limite </w:t>
      </w:r>
      <w:r w:rsidRPr="00FE169D">
        <w:rPr>
          <w:rFonts w:ascii="Arial" w:hAnsi="Arial" w:cs="Arial"/>
          <w:bCs/>
          <w:sz w:val="22"/>
          <w:szCs w:val="22"/>
          <w:lang w:val="fr-FR"/>
        </w:rPr>
        <w:t>en août. La délégation a donc suggéré d</w:t>
      </w:r>
      <w:r w:rsidR="008E532B">
        <w:rPr>
          <w:rFonts w:ascii="Arial" w:hAnsi="Arial" w:cs="Arial"/>
          <w:bCs/>
          <w:sz w:val="22"/>
          <w:szCs w:val="22"/>
          <w:lang w:val="fr-FR"/>
        </w:rPr>
        <w:t>’</w:t>
      </w:r>
      <w:r w:rsidRPr="00FE169D">
        <w:rPr>
          <w:rFonts w:ascii="Arial" w:hAnsi="Arial" w:cs="Arial"/>
          <w:bCs/>
          <w:sz w:val="22"/>
          <w:szCs w:val="22"/>
          <w:lang w:val="fr-FR"/>
        </w:rPr>
        <w:t xml:space="preserve">ajouter </w:t>
      </w:r>
      <w:r>
        <w:rPr>
          <w:rFonts w:ascii="Arial" w:hAnsi="Arial" w:cs="Arial"/>
          <w:bCs/>
          <w:sz w:val="22"/>
          <w:szCs w:val="22"/>
          <w:lang w:val="fr-FR"/>
        </w:rPr>
        <w:t>« </w:t>
      </w:r>
      <w:r w:rsidRPr="00FE169D">
        <w:rPr>
          <w:rFonts w:ascii="Arial" w:hAnsi="Arial" w:cs="Arial"/>
          <w:bCs/>
          <w:sz w:val="22"/>
          <w:szCs w:val="22"/>
          <w:lang w:val="fr-FR"/>
        </w:rPr>
        <w:t>si possible</w:t>
      </w:r>
      <w:r>
        <w:rPr>
          <w:rFonts w:ascii="Arial" w:hAnsi="Arial" w:cs="Arial"/>
          <w:bCs/>
          <w:sz w:val="22"/>
          <w:szCs w:val="22"/>
          <w:lang w:val="fr-FR"/>
        </w:rPr>
        <w:t> »</w:t>
      </w:r>
      <w:r w:rsidRPr="00FE169D">
        <w:rPr>
          <w:rFonts w:ascii="Arial" w:hAnsi="Arial" w:cs="Arial"/>
          <w:bCs/>
          <w:sz w:val="22"/>
          <w:szCs w:val="22"/>
          <w:lang w:val="fr-FR"/>
        </w:rPr>
        <w:t xml:space="preserve"> à la fin de la phrase, qui se</w:t>
      </w:r>
      <w:r>
        <w:rPr>
          <w:rFonts w:ascii="Arial" w:hAnsi="Arial" w:cs="Arial"/>
          <w:bCs/>
          <w:sz w:val="22"/>
          <w:szCs w:val="22"/>
          <w:lang w:val="fr-FR"/>
        </w:rPr>
        <w:t>rait ainsi rédigée :</w:t>
      </w:r>
      <w:r w:rsidRPr="00FE169D">
        <w:rPr>
          <w:rFonts w:ascii="Arial" w:hAnsi="Arial" w:cs="Arial"/>
          <w:bCs/>
          <w:sz w:val="22"/>
          <w:szCs w:val="22"/>
          <w:lang w:val="fr-FR"/>
        </w:rPr>
        <w:t xml:space="preserve"> </w:t>
      </w:r>
      <w:r>
        <w:rPr>
          <w:rFonts w:ascii="Arial" w:hAnsi="Arial" w:cs="Arial"/>
          <w:bCs/>
          <w:sz w:val="22"/>
          <w:szCs w:val="22"/>
          <w:lang w:val="fr-FR"/>
        </w:rPr>
        <w:t>« </w:t>
      </w:r>
      <w:r w:rsidRPr="00FE169D">
        <w:rPr>
          <w:rFonts w:ascii="Arial" w:hAnsi="Arial" w:cs="Arial"/>
          <w:bCs/>
          <w:sz w:val="22"/>
          <w:szCs w:val="22"/>
          <w:lang w:val="fr-FR"/>
        </w:rPr>
        <w:t xml:space="preserve">[...] </w:t>
      </w:r>
      <w:r>
        <w:rPr>
          <w:rFonts w:ascii="Arial" w:hAnsi="Arial" w:cs="Arial"/>
          <w:bCs/>
          <w:sz w:val="22"/>
          <w:szCs w:val="22"/>
          <w:lang w:val="fr-FR"/>
        </w:rPr>
        <w:t>qui devra être</w:t>
      </w:r>
      <w:r w:rsidRPr="00FE169D">
        <w:rPr>
          <w:rFonts w:ascii="Arial" w:hAnsi="Arial" w:cs="Arial"/>
          <w:bCs/>
          <w:sz w:val="22"/>
          <w:szCs w:val="22"/>
          <w:lang w:val="fr-FR"/>
        </w:rPr>
        <w:t xml:space="preserve"> fixé</w:t>
      </w:r>
      <w:r>
        <w:rPr>
          <w:rFonts w:ascii="Arial" w:hAnsi="Arial" w:cs="Arial"/>
          <w:bCs/>
          <w:sz w:val="22"/>
          <w:szCs w:val="22"/>
          <w:lang w:val="fr-FR"/>
        </w:rPr>
        <w:t>e</w:t>
      </w:r>
      <w:r w:rsidRPr="00FE169D">
        <w:rPr>
          <w:rFonts w:ascii="Arial" w:hAnsi="Arial" w:cs="Arial"/>
          <w:bCs/>
          <w:sz w:val="22"/>
          <w:szCs w:val="22"/>
          <w:lang w:val="fr-FR"/>
        </w:rPr>
        <w:t xml:space="preserve"> dans les </w:t>
      </w:r>
      <w:r>
        <w:rPr>
          <w:rFonts w:ascii="Arial" w:hAnsi="Arial" w:cs="Arial"/>
          <w:bCs/>
          <w:sz w:val="22"/>
          <w:szCs w:val="22"/>
          <w:lang w:val="fr-FR"/>
        </w:rPr>
        <w:t>quarante</w:t>
      </w:r>
      <w:r>
        <w:rPr>
          <w:rFonts w:ascii="Arial" w:hAnsi="Arial" w:cs="Arial"/>
          <w:bCs/>
          <w:sz w:val="22"/>
          <w:szCs w:val="22"/>
          <w:lang w:val="fr-FR"/>
        </w:rPr>
        <w:noBreakHyphen/>
        <w:t>cinq</w:t>
      </w:r>
      <w:r w:rsidRPr="00FE169D">
        <w:rPr>
          <w:rFonts w:ascii="Arial" w:hAnsi="Arial" w:cs="Arial"/>
          <w:bCs/>
          <w:sz w:val="22"/>
          <w:szCs w:val="22"/>
          <w:lang w:val="fr-FR"/>
        </w:rPr>
        <w:t xml:space="preserve"> jours suivant la date de la demande, si possible</w:t>
      </w:r>
      <w:r>
        <w:rPr>
          <w:rFonts w:ascii="Arial" w:hAnsi="Arial" w:cs="Arial"/>
          <w:bCs/>
          <w:sz w:val="22"/>
          <w:szCs w:val="22"/>
          <w:lang w:val="fr-FR"/>
        </w:rPr>
        <w:t> ».</w:t>
      </w:r>
    </w:p>
    <w:p w14:paraId="5B94EB7D" w14:textId="3554224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B110B9">
        <w:rPr>
          <w:rFonts w:ascii="Arial" w:hAnsi="Arial" w:cs="Arial"/>
          <w:b/>
          <w:sz w:val="22"/>
          <w:szCs w:val="22"/>
          <w:lang w:val="fr-FR"/>
        </w:rPr>
        <w:t>Présidente</w:t>
      </w:r>
      <w:r>
        <w:rPr>
          <w:rFonts w:ascii="Arial" w:hAnsi="Arial" w:cs="Arial"/>
          <w:bCs/>
          <w:sz w:val="22"/>
          <w:szCs w:val="22"/>
          <w:lang w:val="fr-FR"/>
        </w:rPr>
        <w:t xml:space="preserve"> a noté qu</w:t>
      </w:r>
      <w:r w:rsidR="008E532B">
        <w:rPr>
          <w:rFonts w:ascii="Arial" w:hAnsi="Arial" w:cs="Arial"/>
          <w:bCs/>
          <w:sz w:val="22"/>
          <w:szCs w:val="22"/>
          <w:lang w:val="fr-FR"/>
        </w:rPr>
        <w:t>’</w:t>
      </w:r>
      <w:r>
        <w:rPr>
          <w:rFonts w:ascii="Arial" w:hAnsi="Arial" w:cs="Arial"/>
          <w:bCs/>
          <w:sz w:val="22"/>
          <w:szCs w:val="22"/>
          <w:lang w:val="fr-FR"/>
        </w:rPr>
        <w:t>il y avait un consensus.</w:t>
      </w:r>
    </w:p>
    <w:p w14:paraId="7B1B124B" w14:textId="3FD4D956" w:rsidR="00D9653F" w:rsidRPr="00B110B9"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110B9">
        <w:rPr>
          <w:rFonts w:ascii="Arial" w:hAnsi="Arial" w:cs="Arial"/>
          <w:bCs/>
          <w:sz w:val="22"/>
          <w:szCs w:val="22"/>
          <w:lang w:val="fr-FR"/>
        </w:rPr>
        <w:t xml:space="preserve">La délégation du </w:t>
      </w:r>
      <w:r w:rsidRPr="00B110B9">
        <w:rPr>
          <w:rFonts w:ascii="Arial" w:hAnsi="Arial" w:cs="Arial"/>
          <w:b/>
          <w:sz w:val="22"/>
          <w:szCs w:val="22"/>
          <w:lang w:val="fr-FR"/>
        </w:rPr>
        <w:t>Koweït</w:t>
      </w:r>
      <w:r w:rsidRPr="00B110B9">
        <w:rPr>
          <w:rFonts w:ascii="Arial" w:hAnsi="Arial" w:cs="Arial"/>
          <w:bCs/>
          <w:sz w:val="22"/>
          <w:szCs w:val="22"/>
          <w:lang w:val="fr-FR"/>
        </w:rPr>
        <w:t xml:space="preserve"> </w:t>
      </w:r>
      <w:r>
        <w:rPr>
          <w:rFonts w:ascii="Arial" w:hAnsi="Arial" w:cs="Arial"/>
          <w:bCs/>
          <w:sz w:val="22"/>
          <w:szCs w:val="22"/>
          <w:lang w:val="fr-FR"/>
        </w:rPr>
        <w:t>était</w:t>
      </w:r>
      <w:r w:rsidRPr="00B110B9">
        <w:rPr>
          <w:rFonts w:ascii="Arial" w:hAnsi="Arial" w:cs="Arial"/>
          <w:bCs/>
          <w:sz w:val="22"/>
          <w:szCs w:val="22"/>
          <w:lang w:val="fr-FR"/>
        </w:rPr>
        <w:t xml:space="preserve"> entièrement d</w:t>
      </w:r>
      <w:r w:rsidR="008E532B">
        <w:rPr>
          <w:rFonts w:ascii="Arial" w:hAnsi="Arial" w:cs="Arial"/>
          <w:bCs/>
          <w:sz w:val="22"/>
          <w:szCs w:val="22"/>
          <w:lang w:val="fr-FR"/>
        </w:rPr>
        <w:t>’</w:t>
      </w:r>
      <w:r w:rsidRPr="00B110B9">
        <w:rPr>
          <w:rFonts w:ascii="Arial" w:hAnsi="Arial" w:cs="Arial"/>
          <w:bCs/>
          <w:sz w:val="22"/>
          <w:szCs w:val="22"/>
          <w:lang w:val="fr-FR"/>
        </w:rPr>
        <w:t>accord avec le Conseiller juridique sur l</w:t>
      </w:r>
      <w:r>
        <w:rPr>
          <w:rFonts w:ascii="Arial" w:hAnsi="Arial" w:cs="Arial"/>
          <w:bCs/>
          <w:sz w:val="22"/>
          <w:szCs w:val="22"/>
          <w:lang w:val="fr-FR"/>
        </w:rPr>
        <w:t>a probabilité d</w:t>
      </w:r>
      <w:r w:rsidR="008E532B">
        <w:rPr>
          <w:rFonts w:ascii="Arial" w:hAnsi="Arial" w:cs="Arial"/>
          <w:bCs/>
          <w:sz w:val="22"/>
          <w:szCs w:val="22"/>
          <w:lang w:val="fr-FR"/>
        </w:rPr>
        <w:t>’</w:t>
      </w:r>
      <w:r w:rsidRPr="00B110B9">
        <w:rPr>
          <w:rFonts w:ascii="Arial" w:hAnsi="Arial" w:cs="Arial"/>
          <w:bCs/>
          <w:sz w:val="22"/>
          <w:szCs w:val="22"/>
          <w:lang w:val="fr-FR"/>
        </w:rPr>
        <w:t xml:space="preserve">une situation </w:t>
      </w:r>
      <w:r>
        <w:rPr>
          <w:rFonts w:ascii="Arial" w:hAnsi="Arial" w:cs="Arial"/>
          <w:bCs/>
          <w:sz w:val="22"/>
          <w:szCs w:val="22"/>
          <w:lang w:val="fr-FR"/>
        </w:rPr>
        <w:t xml:space="preserve">qui </w:t>
      </w:r>
      <w:r w:rsidRPr="00B110B9">
        <w:rPr>
          <w:rFonts w:ascii="Arial" w:hAnsi="Arial" w:cs="Arial"/>
          <w:bCs/>
          <w:sz w:val="22"/>
          <w:szCs w:val="22"/>
          <w:lang w:val="fr-FR"/>
        </w:rPr>
        <w:t>rende un engagement irréalisable d</w:t>
      </w:r>
      <w:r w:rsidR="008E532B">
        <w:rPr>
          <w:rFonts w:ascii="Arial" w:hAnsi="Arial" w:cs="Arial"/>
          <w:bCs/>
          <w:sz w:val="22"/>
          <w:szCs w:val="22"/>
          <w:lang w:val="fr-FR"/>
        </w:rPr>
        <w:t>’</w:t>
      </w:r>
      <w:r w:rsidRPr="00B110B9">
        <w:rPr>
          <w:rFonts w:ascii="Arial" w:hAnsi="Arial" w:cs="Arial"/>
          <w:bCs/>
          <w:sz w:val="22"/>
          <w:szCs w:val="22"/>
          <w:lang w:val="fr-FR"/>
        </w:rPr>
        <w:t>un point de vue logistique. La délégation a donc suggéré d</w:t>
      </w:r>
      <w:r w:rsidR="008E532B">
        <w:rPr>
          <w:rFonts w:ascii="Arial" w:hAnsi="Arial" w:cs="Arial"/>
          <w:bCs/>
          <w:sz w:val="22"/>
          <w:szCs w:val="22"/>
          <w:lang w:val="fr-FR"/>
        </w:rPr>
        <w:t>’</w:t>
      </w:r>
      <w:r w:rsidRPr="00B110B9">
        <w:rPr>
          <w:rFonts w:ascii="Arial" w:hAnsi="Arial" w:cs="Arial"/>
          <w:bCs/>
          <w:sz w:val="22"/>
          <w:szCs w:val="22"/>
          <w:lang w:val="fr-FR"/>
        </w:rPr>
        <w:t xml:space="preserve">ajouter </w:t>
      </w:r>
      <w:r>
        <w:rPr>
          <w:rFonts w:ascii="Arial" w:hAnsi="Arial" w:cs="Arial"/>
          <w:bCs/>
          <w:sz w:val="22"/>
          <w:szCs w:val="22"/>
          <w:lang w:val="fr-FR"/>
        </w:rPr>
        <w:t>« </w:t>
      </w:r>
      <w:r w:rsidRPr="00B110B9">
        <w:rPr>
          <w:rFonts w:ascii="Arial" w:hAnsi="Arial" w:cs="Arial"/>
          <w:bCs/>
          <w:sz w:val="22"/>
          <w:szCs w:val="22"/>
          <w:lang w:val="fr-FR"/>
        </w:rPr>
        <w:t>sauf si cela n</w:t>
      </w:r>
      <w:r w:rsidR="008E532B">
        <w:rPr>
          <w:rFonts w:ascii="Arial" w:hAnsi="Arial" w:cs="Arial"/>
          <w:bCs/>
          <w:sz w:val="22"/>
          <w:szCs w:val="22"/>
          <w:lang w:val="fr-FR"/>
        </w:rPr>
        <w:t>’</w:t>
      </w:r>
      <w:r w:rsidRPr="00B110B9">
        <w:rPr>
          <w:rFonts w:ascii="Arial" w:hAnsi="Arial" w:cs="Arial"/>
          <w:bCs/>
          <w:sz w:val="22"/>
          <w:szCs w:val="22"/>
          <w:lang w:val="fr-FR"/>
        </w:rPr>
        <w:t>est pas possible d</w:t>
      </w:r>
      <w:r w:rsidR="008E532B">
        <w:rPr>
          <w:rFonts w:ascii="Arial" w:hAnsi="Arial" w:cs="Arial"/>
          <w:bCs/>
          <w:sz w:val="22"/>
          <w:szCs w:val="22"/>
          <w:lang w:val="fr-FR"/>
        </w:rPr>
        <w:t>’</w:t>
      </w:r>
      <w:r w:rsidRPr="00B110B9">
        <w:rPr>
          <w:rFonts w:ascii="Arial" w:hAnsi="Arial" w:cs="Arial"/>
          <w:bCs/>
          <w:sz w:val="22"/>
          <w:szCs w:val="22"/>
          <w:lang w:val="fr-FR"/>
        </w:rPr>
        <w:t>un point de vue logistique</w:t>
      </w:r>
      <w:r>
        <w:rPr>
          <w:rFonts w:ascii="Arial" w:hAnsi="Arial" w:cs="Arial"/>
          <w:bCs/>
          <w:sz w:val="22"/>
          <w:szCs w:val="22"/>
          <w:lang w:val="fr-FR"/>
        </w:rPr>
        <w:t> »</w:t>
      </w:r>
      <w:r w:rsidRPr="00B110B9">
        <w:rPr>
          <w:rFonts w:ascii="Arial" w:hAnsi="Arial" w:cs="Arial"/>
          <w:bCs/>
          <w:sz w:val="22"/>
          <w:szCs w:val="22"/>
          <w:lang w:val="fr-FR"/>
        </w:rPr>
        <w:t>, ce qui donnerait plus de flexibilité au Secrétariat.</w:t>
      </w:r>
    </w:p>
    <w:p w14:paraId="5899B910" w14:textId="61D9890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110B9">
        <w:rPr>
          <w:rFonts w:ascii="Arial" w:hAnsi="Arial" w:cs="Arial"/>
          <w:bCs/>
          <w:sz w:val="22"/>
          <w:szCs w:val="22"/>
          <w:lang w:val="fr-FR"/>
        </w:rPr>
        <w:t xml:space="preserve">Après avoir écouté le Conseiller juridique, la délégation </w:t>
      </w:r>
      <w:r>
        <w:rPr>
          <w:rFonts w:ascii="Arial" w:hAnsi="Arial" w:cs="Arial"/>
          <w:bCs/>
          <w:sz w:val="22"/>
          <w:szCs w:val="22"/>
          <w:lang w:val="fr-FR"/>
        </w:rPr>
        <w:t>de l</w:t>
      </w:r>
      <w:r w:rsidR="008E532B">
        <w:rPr>
          <w:rFonts w:ascii="Arial" w:hAnsi="Arial" w:cs="Arial"/>
          <w:bCs/>
          <w:sz w:val="22"/>
          <w:szCs w:val="22"/>
          <w:lang w:val="fr-FR"/>
        </w:rPr>
        <w:t>’</w:t>
      </w:r>
      <w:r w:rsidRPr="00B110B9">
        <w:rPr>
          <w:rFonts w:ascii="Arial" w:hAnsi="Arial" w:cs="Arial"/>
          <w:b/>
          <w:sz w:val="22"/>
          <w:szCs w:val="22"/>
          <w:lang w:val="fr-FR"/>
        </w:rPr>
        <w:t>Éthiopie</w:t>
      </w:r>
      <w:r w:rsidRPr="00B110B9">
        <w:rPr>
          <w:rFonts w:ascii="Arial" w:hAnsi="Arial" w:cs="Arial"/>
          <w:bCs/>
          <w:sz w:val="22"/>
          <w:szCs w:val="22"/>
          <w:lang w:val="fr-FR"/>
        </w:rPr>
        <w:t xml:space="preserve"> </w:t>
      </w:r>
      <w:r>
        <w:rPr>
          <w:rFonts w:ascii="Arial" w:hAnsi="Arial" w:cs="Arial"/>
          <w:bCs/>
          <w:sz w:val="22"/>
          <w:szCs w:val="22"/>
          <w:lang w:val="fr-FR"/>
        </w:rPr>
        <w:t>était</w:t>
      </w:r>
      <w:r w:rsidRPr="00B110B9">
        <w:rPr>
          <w:rFonts w:ascii="Arial" w:hAnsi="Arial" w:cs="Arial"/>
          <w:bCs/>
          <w:sz w:val="22"/>
          <w:szCs w:val="22"/>
          <w:lang w:val="fr-FR"/>
        </w:rPr>
        <w:t xml:space="preserve"> convaincue qu</w:t>
      </w:r>
      <w:r w:rsidR="008E532B">
        <w:rPr>
          <w:rFonts w:ascii="Arial" w:hAnsi="Arial" w:cs="Arial"/>
          <w:bCs/>
          <w:sz w:val="22"/>
          <w:szCs w:val="22"/>
          <w:lang w:val="fr-FR"/>
        </w:rPr>
        <w:t>’</w:t>
      </w:r>
      <w:r w:rsidRPr="00B110B9">
        <w:rPr>
          <w:rFonts w:ascii="Arial" w:hAnsi="Arial" w:cs="Arial"/>
          <w:bCs/>
          <w:sz w:val="22"/>
          <w:szCs w:val="22"/>
          <w:lang w:val="fr-FR"/>
        </w:rPr>
        <w:t>il n</w:t>
      </w:r>
      <w:r w:rsidR="008E532B">
        <w:rPr>
          <w:rFonts w:ascii="Arial" w:hAnsi="Arial" w:cs="Arial"/>
          <w:bCs/>
          <w:sz w:val="22"/>
          <w:szCs w:val="22"/>
          <w:lang w:val="fr-FR"/>
        </w:rPr>
        <w:t>’</w:t>
      </w:r>
      <w:r>
        <w:rPr>
          <w:rFonts w:ascii="Arial" w:hAnsi="Arial" w:cs="Arial"/>
          <w:bCs/>
          <w:sz w:val="22"/>
          <w:szCs w:val="22"/>
          <w:lang w:val="fr-FR"/>
        </w:rPr>
        <w:t>était</w:t>
      </w:r>
      <w:r w:rsidRPr="00B110B9">
        <w:rPr>
          <w:rFonts w:ascii="Arial" w:hAnsi="Arial" w:cs="Arial"/>
          <w:bCs/>
          <w:sz w:val="22"/>
          <w:szCs w:val="22"/>
          <w:lang w:val="fr-FR"/>
        </w:rPr>
        <w:t xml:space="preserve"> pas nécessaire d</w:t>
      </w:r>
      <w:r w:rsidR="008E532B">
        <w:rPr>
          <w:rFonts w:ascii="Arial" w:hAnsi="Arial" w:cs="Arial"/>
          <w:bCs/>
          <w:sz w:val="22"/>
          <w:szCs w:val="22"/>
          <w:lang w:val="fr-FR"/>
        </w:rPr>
        <w:t>’</w:t>
      </w:r>
      <w:r w:rsidRPr="00B110B9">
        <w:rPr>
          <w:rFonts w:ascii="Arial" w:hAnsi="Arial" w:cs="Arial"/>
          <w:bCs/>
          <w:sz w:val="22"/>
          <w:szCs w:val="22"/>
          <w:lang w:val="fr-FR"/>
        </w:rPr>
        <w:t>inclure un calendrier spécifique. L</w:t>
      </w:r>
      <w:r w:rsidR="008E532B">
        <w:rPr>
          <w:rFonts w:ascii="Arial" w:hAnsi="Arial" w:cs="Arial"/>
          <w:bCs/>
          <w:sz w:val="22"/>
          <w:szCs w:val="22"/>
          <w:lang w:val="fr-FR"/>
        </w:rPr>
        <w:t>’</w:t>
      </w:r>
      <w:r w:rsidRPr="00B110B9">
        <w:rPr>
          <w:rFonts w:ascii="Arial" w:hAnsi="Arial" w:cs="Arial"/>
          <w:bCs/>
          <w:sz w:val="22"/>
          <w:szCs w:val="22"/>
          <w:lang w:val="fr-FR"/>
        </w:rPr>
        <w:t>Assemblée devrait faire preuve de bon sens et avoir confiance dans le</w:t>
      </w:r>
      <w:r>
        <w:rPr>
          <w:rFonts w:ascii="Arial" w:hAnsi="Arial" w:cs="Arial"/>
          <w:bCs/>
          <w:sz w:val="22"/>
          <w:szCs w:val="22"/>
          <w:lang w:val="fr-FR"/>
        </w:rPr>
        <w:t>/la D</w:t>
      </w:r>
      <w:r w:rsidRPr="00B110B9">
        <w:rPr>
          <w:rFonts w:ascii="Arial" w:hAnsi="Arial" w:cs="Arial"/>
          <w:bCs/>
          <w:sz w:val="22"/>
          <w:szCs w:val="22"/>
          <w:lang w:val="fr-FR"/>
        </w:rPr>
        <w:t>irecteur</w:t>
      </w:r>
      <w:r>
        <w:rPr>
          <w:rFonts w:ascii="Arial" w:hAnsi="Arial" w:cs="Arial"/>
          <w:bCs/>
          <w:sz w:val="22"/>
          <w:szCs w:val="22"/>
          <w:lang w:val="fr-FR"/>
        </w:rPr>
        <w:t>/Directrice</w:t>
      </w:r>
      <w:r w:rsidRPr="00B110B9">
        <w:rPr>
          <w:rFonts w:ascii="Arial" w:hAnsi="Arial" w:cs="Arial"/>
          <w:bCs/>
          <w:sz w:val="22"/>
          <w:szCs w:val="22"/>
          <w:lang w:val="fr-FR"/>
        </w:rPr>
        <w:t xml:space="preserve"> général</w:t>
      </w:r>
      <w:r>
        <w:rPr>
          <w:rFonts w:ascii="Arial" w:hAnsi="Arial" w:cs="Arial"/>
          <w:bCs/>
          <w:sz w:val="22"/>
          <w:szCs w:val="22"/>
          <w:lang w:val="fr-FR"/>
        </w:rPr>
        <w:t>(e)</w:t>
      </w:r>
      <w:r w:rsidRPr="00B110B9">
        <w:rPr>
          <w:rFonts w:ascii="Arial" w:hAnsi="Arial" w:cs="Arial"/>
          <w:bCs/>
          <w:sz w:val="22"/>
          <w:szCs w:val="22"/>
          <w:lang w:val="fr-FR"/>
        </w:rPr>
        <w:t>, et l</w:t>
      </w:r>
      <w:r w:rsidR="008E532B">
        <w:rPr>
          <w:rFonts w:ascii="Arial" w:hAnsi="Arial" w:cs="Arial"/>
          <w:bCs/>
          <w:sz w:val="22"/>
          <w:szCs w:val="22"/>
          <w:lang w:val="fr-FR"/>
        </w:rPr>
        <w:t>’</w:t>
      </w:r>
      <w:r w:rsidRPr="00B110B9">
        <w:rPr>
          <w:rFonts w:ascii="Arial" w:hAnsi="Arial" w:cs="Arial"/>
          <w:bCs/>
          <w:sz w:val="22"/>
          <w:szCs w:val="22"/>
          <w:lang w:val="fr-FR"/>
        </w:rPr>
        <w:t>ajout d</w:t>
      </w:r>
      <w:r w:rsidR="008E532B">
        <w:rPr>
          <w:rFonts w:ascii="Arial" w:hAnsi="Arial" w:cs="Arial"/>
          <w:bCs/>
          <w:sz w:val="22"/>
          <w:szCs w:val="22"/>
          <w:lang w:val="fr-FR"/>
        </w:rPr>
        <w:t>’</w:t>
      </w:r>
      <w:r w:rsidRPr="00B110B9">
        <w:rPr>
          <w:rFonts w:ascii="Arial" w:hAnsi="Arial" w:cs="Arial"/>
          <w:bCs/>
          <w:sz w:val="22"/>
          <w:szCs w:val="22"/>
          <w:lang w:val="fr-FR"/>
        </w:rPr>
        <w:t>une date n</w:t>
      </w:r>
      <w:r w:rsidR="008E532B">
        <w:rPr>
          <w:rFonts w:ascii="Arial" w:hAnsi="Arial" w:cs="Arial"/>
          <w:bCs/>
          <w:sz w:val="22"/>
          <w:szCs w:val="22"/>
          <w:lang w:val="fr-FR"/>
        </w:rPr>
        <w:t>’</w:t>
      </w:r>
      <w:r w:rsidRPr="00B110B9">
        <w:rPr>
          <w:rFonts w:ascii="Arial" w:hAnsi="Arial" w:cs="Arial"/>
          <w:bCs/>
          <w:sz w:val="22"/>
          <w:szCs w:val="22"/>
          <w:lang w:val="fr-FR"/>
        </w:rPr>
        <w:t>a</w:t>
      </w:r>
      <w:r>
        <w:rPr>
          <w:rFonts w:ascii="Arial" w:hAnsi="Arial" w:cs="Arial"/>
          <w:bCs/>
          <w:sz w:val="22"/>
          <w:szCs w:val="22"/>
          <w:lang w:val="fr-FR"/>
        </w:rPr>
        <w:t>vait</w:t>
      </w:r>
      <w:r w:rsidRPr="00B110B9">
        <w:rPr>
          <w:rFonts w:ascii="Arial" w:hAnsi="Arial" w:cs="Arial"/>
          <w:bCs/>
          <w:sz w:val="22"/>
          <w:szCs w:val="22"/>
          <w:lang w:val="fr-FR"/>
        </w:rPr>
        <w:t xml:space="preserve"> pas de sens. De nombreuses situations pourraient rendr</w:t>
      </w:r>
      <w:r>
        <w:rPr>
          <w:rFonts w:ascii="Arial" w:hAnsi="Arial" w:cs="Arial"/>
          <w:bCs/>
          <w:sz w:val="22"/>
          <w:szCs w:val="22"/>
          <w:lang w:val="fr-FR"/>
        </w:rPr>
        <w:t>e</w:t>
      </w:r>
      <w:r w:rsidRPr="00B110B9">
        <w:rPr>
          <w:rFonts w:ascii="Arial" w:hAnsi="Arial" w:cs="Arial"/>
          <w:bCs/>
          <w:sz w:val="22"/>
          <w:szCs w:val="22"/>
          <w:lang w:val="fr-FR"/>
        </w:rPr>
        <w:t xml:space="preserve"> le</w:t>
      </w:r>
      <w:r>
        <w:rPr>
          <w:rFonts w:ascii="Arial" w:hAnsi="Arial" w:cs="Arial"/>
          <w:bCs/>
          <w:sz w:val="22"/>
          <w:szCs w:val="22"/>
          <w:lang w:val="fr-FR"/>
        </w:rPr>
        <w:t xml:space="preserve"> respect du délai de</w:t>
      </w:r>
      <w:r w:rsidRPr="00B110B9">
        <w:rPr>
          <w:rFonts w:ascii="Arial" w:hAnsi="Arial" w:cs="Arial"/>
          <w:bCs/>
          <w:sz w:val="22"/>
          <w:szCs w:val="22"/>
          <w:lang w:val="fr-FR"/>
        </w:rPr>
        <w:t xml:space="preserve"> quarante</w:t>
      </w:r>
      <w:r>
        <w:rPr>
          <w:rFonts w:ascii="Arial" w:hAnsi="Arial" w:cs="Arial"/>
          <w:bCs/>
          <w:sz w:val="22"/>
          <w:szCs w:val="22"/>
          <w:lang w:val="fr-FR"/>
        </w:rPr>
        <w:noBreakHyphen/>
      </w:r>
      <w:proofErr w:type="gramStart"/>
      <w:r w:rsidRPr="00B110B9">
        <w:rPr>
          <w:rFonts w:ascii="Arial" w:hAnsi="Arial" w:cs="Arial"/>
          <w:bCs/>
          <w:sz w:val="22"/>
          <w:szCs w:val="22"/>
          <w:lang w:val="fr-FR"/>
        </w:rPr>
        <w:t>cinq jours</w:t>
      </w:r>
      <w:r>
        <w:rPr>
          <w:rFonts w:ascii="Arial" w:hAnsi="Arial" w:cs="Arial"/>
          <w:bCs/>
          <w:sz w:val="22"/>
          <w:szCs w:val="22"/>
          <w:lang w:val="fr-FR"/>
        </w:rPr>
        <w:t xml:space="preserve"> impossible</w:t>
      </w:r>
      <w:proofErr w:type="gramEnd"/>
      <w:r w:rsidRPr="00B110B9">
        <w:rPr>
          <w:rFonts w:ascii="Arial" w:hAnsi="Arial" w:cs="Arial"/>
          <w:bCs/>
          <w:sz w:val="22"/>
          <w:szCs w:val="22"/>
          <w:lang w:val="fr-FR"/>
        </w:rPr>
        <w:t>. La délégation a suggéré de remplacer les quarante</w:t>
      </w:r>
      <w:r>
        <w:rPr>
          <w:rFonts w:ascii="Arial" w:hAnsi="Arial" w:cs="Arial"/>
          <w:bCs/>
          <w:sz w:val="22"/>
          <w:szCs w:val="22"/>
          <w:lang w:val="fr-FR"/>
        </w:rPr>
        <w:noBreakHyphen/>
      </w:r>
      <w:r w:rsidRPr="00B110B9">
        <w:rPr>
          <w:rFonts w:ascii="Arial" w:hAnsi="Arial" w:cs="Arial"/>
          <w:bCs/>
          <w:sz w:val="22"/>
          <w:szCs w:val="22"/>
          <w:lang w:val="fr-FR"/>
        </w:rPr>
        <w:t xml:space="preserve">cinq jours par </w:t>
      </w:r>
      <w:r>
        <w:rPr>
          <w:rFonts w:ascii="Arial" w:hAnsi="Arial" w:cs="Arial"/>
          <w:bCs/>
          <w:sz w:val="22"/>
          <w:szCs w:val="22"/>
          <w:lang w:val="fr-FR"/>
        </w:rPr>
        <w:t>« </w:t>
      </w:r>
      <w:r w:rsidRPr="00B110B9">
        <w:rPr>
          <w:rFonts w:ascii="Arial" w:hAnsi="Arial" w:cs="Arial"/>
          <w:bCs/>
          <w:sz w:val="22"/>
          <w:szCs w:val="22"/>
          <w:lang w:val="fr-FR"/>
        </w:rPr>
        <w:t>dès que possible</w:t>
      </w:r>
      <w:r>
        <w:rPr>
          <w:rFonts w:ascii="Arial" w:hAnsi="Arial" w:cs="Arial"/>
          <w:bCs/>
          <w:sz w:val="22"/>
          <w:szCs w:val="22"/>
          <w:lang w:val="fr-FR"/>
        </w:rPr>
        <w:t> »</w:t>
      </w:r>
      <w:r w:rsidRPr="00B110B9">
        <w:rPr>
          <w:rFonts w:ascii="Arial" w:hAnsi="Arial" w:cs="Arial"/>
          <w:bCs/>
          <w:sz w:val="22"/>
          <w:szCs w:val="22"/>
          <w:lang w:val="fr-FR"/>
        </w:rPr>
        <w:t>.</w:t>
      </w:r>
    </w:p>
    <w:p w14:paraId="1C5D715B" w14:textId="118A05D7" w:rsidR="00D9653F" w:rsidRPr="00E92F3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92F3E">
        <w:rPr>
          <w:rFonts w:ascii="Arial" w:hAnsi="Arial" w:cs="Arial"/>
          <w:bCs/>
          <w:sz w:val="22"/>
          <w:szCs w:val="22"/>
          <w:lang w:val="fr-FR"/>
        </w:rPr>
        <w:t>La délégation de l</w:t>
      </w:r>
      <w:r w:rsidR="008E532B">
        <w:rPr>
          <w:rFonts w:ascii="Arial" w:hAnsi="Arial" w:cs="Arial"/>
          <w:bCs/>
          <w:sz w:val="22"/>
          <w:szCs w:val="22"/>
          <w:lang w:val="fr-FR"/>
        </w:rPr>
        <w:t>’</w:t>
      </w:r>
      <w:r w:rsidRPr="00E92F3E">
        <w:rPr>
          <w:rFonts w:ascii="Arial" w:hAnsi="Arial" w:cs="Arial"/>
          <w:b/>
          <w:sz w:val="22"/>
          <w:szCs w:val="22"/>
          <w:lang w:val="fr-FR"/>
        </w:rPr>
        <w:t xml:space="preserve">Arabie Saoudite </w:t>
      </w:r>
      <w:r w:rsidRPr="00E92F3E">
        <w:rPr>
          <w:rFonts w:ascii="Arial" w:hAnsi="Arial" w:cs="Arial"/>
          <w:bCs/>
          <w:sz w:val="22"/>
          <w:szCs w:val="22"/>
          <w:lang w:val="fr-FR"/>
        </w:rPr>
        <w:t xml:space="preserve">a remercié le Conseiller juridique pour son explication. </w:t>
      </w:r>
      <w:r>
        <w:rPr>
          <w:rFonts w:ascii="Arial" w:hAnsi="Arial" w:cs="Arial"/>
          <w:bCs/>
          <w:sz w:val="22"/>
          <w:szCs w:val="22"/>
          <w:lang w:val="fr-FR"/>
        </w:rPr>
        <w:t>Dans un premier temps</w:t>
      </w:r>
      <w:r w:rsidRPr="00E92F3E">
        <w:rPr>
          <w:rFonts w:ascii="Arial" w:hAnsi="Arial" w:cs="Arial"/>
          <w:bCs/>
          <w:sz w:val="22"/>
          <w:szCs w:val="22"/>
          <w:lang w:val="fr-FR"/>
        </w:rPr>
        <w:t xml:space="preserve">, elle </w:t>
      </w:r>
      <w:r>
        <w:rPr>
          <w:rFonts w:ascii="Arial" w:hAnsi="Arial" w:cs="Arial"/>
          <w:bCs/>
          <w:sz w:val="22"/>
          <w:szCs w:val="22"/>
          <w:lang w:val="fr-FR"/>
        </w:rPr>
        <w:t xml:space="preserve">avait été favorable à </w:t>
      </w:r>
      <w:r w:rsidRPr="00E92F3E">
        <w:rPr>
          <w:rFonts w:ascii="Arial" w:hAnsi="Arial" w:cs="Arial"/>
          <w:bCs/>
          <w:sz w:val="22"/>
          <w:szCs w:val="22"/>
          <w:lang w:val="fr-FR"/>
        </w:rPr>
        <w:t>la position de l</w:t>
      </w:r>
      <w:r w:rsidR="008E532B">
        <w:rPr>
          <w:rFonts w:ascii="Arial" w:hAnsi="Arial" w:cs="Arial"/>
          <w:bCs/>
          <w:sz w:val="22"/>
          <w:szCs w:val="22"/>
          <w:lang w:val="fr-FR"/>
        </w:rPr>
        <w:t>’</w:t>
      </w:r>
      <w:r w:rsidRPr="00E92F3E">
        <w:rPr>
          <w:rFonts w:ascii="Arial" w:hAnsi="Arial" w:cs="Arial"/>
          <w:bCs/>
          <w:sz w:val="22"/>
          <w:szCs w:val="22"/>
          <w:lang w:val="fr-FR"/>
        </w:rPr>
        <w:t xml:space="preserve">Éthiopie, mais en regardant la formulation </w:t>
      </w:r>
      <w:r>
        <w:rPr>
          <w:rFonts w:ascii="Arial" w:hAnsi="Arial" w:cs="Arial"/>
          <w:bCs/>
          <w:sz w:val="22"/>
          <w:szCs w:val="22"/>
          <w:lang w:val="fr-FR"/>
        </w:rPr>
        <w:t>« </w:t>
      </w:r>
      <w:r w:rsidRPr="00B110B9">
        <w:rPr>
          <w:rFonts w:ascii="Arial" w:hAnsi="Arial" w:cs="Arial"/>
          <w:bCs/>
          <w:sz w:val="22"/>
          <w:szCs w:val="22"/>
          <w:lang w:val="fr-FR"/>
        </w:rPr>
        <w:t>sauf si cela n</w:t>
      </w:r>
      <w:r w:rsidR="008E532B">
        <w:rPr>
          <w:rFonts w:ascii="Arial" w:hAnsi="Arial" w:cs="Arial"/>
          <w:bCs/>
          <w:sz w:val="22"/>
          <w:szCs w:val="22"/>
          <w:lang w:val="fr-FR"/>
        </w:rPr>
        <w:t>’</w:t>
      </w:r>
      <w:r w:rsidRPr="00B110B9">
        <w:rPr>
          <w:rFonts w:ascii="Arial" w:hAnsi="Arial" w:cs="Arial"/>
          <w:bCs/>
          <w:sz w:val="22"/>
          <w:szCs w:val="22"/>
          <w:lang w:val="fr-FR"/>
        </w:rPr>
        <w:t>est pas possible d</w:t>
      </w:r>
      <w:r w:rsidR="008E532B">
        <w:rPr>
          <w:rFonts w:ascii="Arial" w:hAnsi="Arial" w:cs="Arial"/>
          <w:bCs/>
          <w:sz w:val="22"/>
          <w:szCs w:val="22"/>
          <w:lang w:val="fr-FR"/>
        </w:rPr>
        <w:t>’</w:t>
      </w:r>
      <w:r w:rsidRPr="00B110B9">
        <w:rPr>
          <w:rFonts w:ascii="Arial" w:hAnsi="Arial" w:cs="Arial"/>
          <w:bCs/>
          <w:sz w:val="22"/>
          <w:szCs w:val="22"/>
          <w:lang w:val="fr-FR"/>
        </w:rPr>
        <w:t>un point de vue logistique</w:t>
      </w:r>
      <w:r>
        <w:rPr>
          <w:rFonts w:ascii="Arial" w:hAnsi="Arial" w:cs="Arial"/>
          <w:bCs/>
          <w:sz w:val="22"/>
          <w:szCs w:val="22"/>
          <w:lang w:val="fr-FR"/>
        </w:rPr>
        <w:t xml:space="preserve"> », proposée par le </w:t>
      </w:r>
      <w:r w:rsidRPr="00E92F3E">
        <w:rPr>
          <w:rFonts w:ascii="Arial" w:hAnsi="Arial" w:cs="Arial"/>
          <w:bCs/>
          <w:sz w:val="22"/>
          <w:szCs w:val="22"/>
          <w:lang w:val="fr-FR"/>
        </w:rPr>
        <w:t>Koweït, elle estim</w:t>
      </w:r>
      <w:r>
        <w:rPr>
          <w:rFonts w:ascii="Arial" w:hAnsi="Arial" w:cs="Arial"/>
          <w:bCs/>
          <w:sz w:val="22"/>
          <w:szCs w:val="22"/>
          <w:lang w:val="fr-FR"/>
        </w:rPr>
        <w:t>ait</w:t>
      </w:r>
      <w:r w:rsidRPr="00E92F3E">
        <w:rPr>
          <w:rFonts w:ascii="Arial" w:hAnsi="Arial" w:cs="Arial"/>
          <w:bCs/>
          <w:sz w:val="22"/>
          <w:szCs w:val="22"/>
          <w:lang w:val="fr-FR"/>
        </w:rPr>
        <w:t xml:space="preserve"> qu</w:t>
      </w:r>
      <w:r>
        <w:rPr>
          <w:rFonts w:ascii="Arial" w:hAnsi="Arial" w:cs="Arial"/>
          <w:bCs/>
          <w:sz w:val="22"/>
          <w:szCs w:val="22"/>
          <w:lang w:val="fr-FR"/>
        </w:rPr>
        <w:t>e c</w:t>
      </w:r>
      <w:r w:rsidR="008E532B">
        <w:rPr>
          <w:rFonts w:ascii="Arial" w:hAnsi="Arial" w:cs="Arial"/>
          <w:bCs/>
          <w:sz w:val="22"/>
          <w:szCs w:val="22"/>
          <w:lang w:val="fr-FR"/>
        </w:rPr>
        <w:t>’</w:t>
      </w:r>
      <w:r w:rsidRPr="00E92F3E">
        <w:rPr>
          <w:rFonts w:ascii="Arial" w:hAnsi="Arial" w:cs="Arial"/>
          <w:bCs/>
          <w:sz w:val="22"/>
          <w:szCs w:val="22"/>
          <w:lang w:val="fr-FR"/>
        </w:rPr>
        <w:t xml:space="preserve">était plus réaliste et </w:t>
      </w:r>
      <w:r>
        <w:rPr>
          <w:rFonts w:ascii="Arial" w:hAnsi="Arial" w:cs="Arial"/>
          <w:bCs/>
          <w:sz w:val="22"/>
          <w:szCs w:val="22"/>
          <w:lang w:val="fr-FR"/>
        </w:rPr>
        <w:t xml:space="preserve">elle </w:t>
      </w:r>
      <w:r w:rsidRPr="00E92F3E">
        <w:rPr>
          <w:rFonts w:ascii="Arial" w:hAnsi="Arial" w:cs="Arial"/>
          <w:bCs/>
          <w:sz w:val="22"/>
          <w:szCs w:val="22"/>
          <w:lang w:val="fr-FR"/>
        </w:rPr>
        <w:t>pouvait accepter cette proposition.</w:t>
      </w:r>
    </w:p>
    <w:p w14:paraId="47D28208" w14:textId="2589C9C3" w:rsidR="00D9653F" w:rsidRPr="00E92F3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92F3E">
        <w:rPr>
          <w:rFonts w:ascii="Arial" w:hAnsi="Arial" w:cs="Arial"/>
          <w:bCs/>
          <w:sz w:val="22"/>
          <w:szCs w:val="22"/>
          <w:lang w:val="fr-FR"/>
        </w:rPr>
        <w:t xml:space="preserve">La délégation </w:t>
      </w:r>
      <w:r>
        <w:rPr>
          <w:rFonts w:ascii="Arial" w:hAnsi="Arial" w:cs="Arial"/>
          <w:bCs/>
          <w:sz w:val="22"/>
          <w:szCs w:val="22"/>
          <w:lang w:val="fr-FR"/>
        </w:rPr>
        <w:t xml:space="preserve">de la </w:t>
      </w:r>
      <w:r w:rsidRPr="00E92F3E">
        <w:rPr>
          <w:rFonts w:ascii="Arial" w:hAnsi="Arial" w:cs="Arial"/>
          <w:b/>
          <w:sz w:val="22"/>
          <w:szCs w:val="22"/>
          <w:lang w:val="fr-FR"/>
        </w:rPr>
        <w:t>Grèce</w:t>
      </w:r>
      <w:r>
        <w:rPr>
          <w:rFonts w:ascii="Arial" w:hAnsi="Arial" w:cs="Arial"/>
          <w:bCs/>
          <w:sz w:val="22"/>
          <w:szCs w:val="22"/>
          <w:lang w:val="fr-FR"/>
        </w:rPr>
        <w:t xml:space="preserve"> </w:t>
      </w:r>
      <w:r w:rsidRPr="00E92F3E">
        <w:rPr>
          <w:rFonts w:ascii="Arial" w:hAnsi="Arial" w:cs="Arial"/>
          <w:bCs/>
          <w:sz w:val="22"/>
          <w:szCs w:val="22"/>
          <w:lang w:val="fr-FR"/>
        </w:rPr>
        <w:t>approuv</w:t>
      </w:r>
      <w:r>
        <w:rPr>
          <w:rFonts w:ascii="Arial" w:hAnsi="Arial" w:cs="Arial"/>
          <w:bCs/>
          <w:sz w:val="22"/>
          <w:szCs w:val="22"/>
          <w:lang w:val="fr-FR"/>
        </w:rPr>
        <w:t>ait</w:t>
      </w:r>
      <w:r w:rsidRPr="00E92F3E">
        <w:rPr>
          <w:rFonts w:ascii="Arial" w:hAnsi="Arial" w:cs="Arial"/>
          <w:bCs/>
          <w:sz w:val="22"/>
          <w:szCs w:val="22"/>
          <w:lang w:val="fr-FR"/>
        </w:rPr>
        <w:t xml:space="preserve"> la proposition de l</w:t>
      </w:r>
      <w:r w:rsidR="008E532B">
        <w:rPr>
          <w:rFonts w:ascii="Arial" w:hAnsi="Arial" w:cs="Arial"/>
          <w:bCs/>
          <w:sz w:val="22"/>
          <w:szCs w:val="22"/>
          <w:lang w:val="fr-FR"/>
        </w:rPr>
        <w:t>’</w:t>
      </w:r>
      <w:r w:rsidRPr="00E92F3E">
        <w:rPr>
          <w:rFonts w:ascii="Arial" w:hAnsi="Arial" w:cs="Arial"/>
          <w:bCs/>
          <w:sz w:val="22"/>
          <w:szCs w:val="22"/>
          <w:lang w:val="fr-FR"/>
        </w:rPr>
        <w:t>Éthiopie, mais elle pourrait également se rallier à la suggestion du Koweït plutôt qu</w:t>
      </w:r>
      <w:r w:rsidR="008E532B">
        <w:rPr>
          <w:rFonts w:ascii="Arial" w:hAnsi="Arial" w:cs="Arial"/>
          <w:bCs/>
          <w:sz w:val="22"/>
          <w:szCs w:val="22"/>
          <w:lang w:val="fr-FR"/>
        </w:rPr>
        <w:t>’</w:t>
      </w:r>
      <w:r w:rsidRPr="00E92F3E">
        <w:rPr>
          <w:rFonts w:ascii="Arial" w:hAnsi="Arial" w:cs="Arial"/>
          <w:bCs/>
          <w:sz w:val="22"/>
          <w:szCs w:val="22"/>
          <w:lang w:val="fr-FR"/>
        </w:rPr>
        <w:t>à l</w:t>
      </w:r>
      <w:r w:rsidR="008E532B">
        <w:rPr>
          <w:rFonts w:ascii="Arial" w:hAnsi="Arial" w:cs="Arial"/>
          <w:bCs/>
          <w:sz w:val="22"/>
          <w:szCs w:val="22"/>
          <w:lang w:val="fr-FR"/>
        </w:rPr>
        <w:t>’</w:t>
      </w:r>
      <w:r w:rsidRPr="00E92F3E">
        <w:rPr>
          <w:rFonts w:ascii="Arial" w:hAnsi="Arial" w:cs="Arial"/>
          <w:bCs/>
          <w:sz w:val="22"/>
          <w:szCs w:val="22"/>
          <w:lang w:val="fr-FR"/>
        </w:rPr>
        <w:t xml:space="preserve">amendement de la Palestine </w:t>
      </w:r>
      <w:r>
        <w:rPr>
          <w:rFonts w:ascii="Arial" w:hAnsi="Arial" w:cs="Arial"/>
          <w:bCs/>
          <w:sz w:val="22"/>
          <w:szCs w:val="22"/>
          <w:lang w:val="fr-FR"/>
        </w:rPr>
        <w:t>« </w:t>
      </w:r>
      <w:r w:rsidRPr="00E92F3E">
        <w:rPr>
          <w:rFonts w:ascii="Arial" w:hAnsi="Arial" w:cs="Arial"/>
          <w:bCs/>
          <w:sz w:val="22"/>
          <w:szCs w:val="22"/>
          <w:lang w:val="fr-FR"/>
        </w:rPr>
        <w:t>si possible</w:t>
      </w:r>
      <w:r>
        <w:rPr>
          <w:rFonts w:ascii="Arial" w:hAnsi="Arial" w:cs="Arial"/>
          <w:bCs/>
          <w:sz w:val="22"/>
          <w:szCs w:val="22"/>
          <w:lang w:val="fr-FR"/>
        </w:rPr>
        <w:t> »</w:t>
      </w:r>
      <w:r w:rsidRPr="00E92F3E">
        <w:rPr>
          <w:rFonts w:ascii="Arial" w:hAnsi="Arial" w:cs="Arial"/>
          <w:bCs/>
          <w:sz w:val="22"/>
          <w:szCs w:val="22"/>
          <w:lang w:val="fr-FR"/>
        </w:rPr>
        <w:t>, car cela ouvrirait la voie à une explication des raisons pour lesquelles ce ne serait pas possible.</w:t>
      </w:r>
    </w:p>
    <w:p w14:paraId="71D33BCE" w14:textId="389309A5" w:rsidR="00D9653F" w:rsidRPr="00E92F3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E92F3E">
        <w:rPr>
          <w:rFonts w:ascii="Arial" w:hAnsi="Arial" w:cs="Arial"/>
          <w:bCs/>
          <w:sz w:val="22"/>
          <w:szCs w:val="22"/>
          <w:lang w:val="fr-FR"/>
        </w:rPr>
        <w:t>délégation</w:t>
      </w:r>
      <w:r>
        <w:rPr>
          <w:rFonts w:ascii="Arial" w:hAnsi="Arial" w:cs="Arial"/>
          <w:bCs/>
          <w:sz w:val="22"/>
          <w:szCs w:val="22"/>
          <w:lang w:val="fr-FR"/>
        </w:rPr>
        <w:t xml:space="preserve"> de la </w:t>
      </w:r>
      <w:r w:rsidRPr="00E92F3E">
        <w:rPr>
          <w:rFonts w:ascii="Arial" w:hAnsi="Arial" w:cs="Arial"/>
          <w:b/>
          <w:sz w:val="22"/>
          <w:szCs w:val="22"/>
          <w:lang w:val="fr-FR"/>
        </w:rPr>
        <w:t>Palestine</w:t>
      </w:r>
      <w:r>
        <w:rPr>
          <w:rFonts w:ascii="Arial" w:hAnsi="Arial" w:cs="Arial"/>
          <w:bCs/>
          <w:sz w:val="22"/>
          <w:szCs w:val="22"/>
          <w:lang w:val="fr-FR"/>
        </w:rPr>
        <w:t xml:space="preserve"> a retiré son </w:t>
      </w:r>
      <w:r w:rsidRPr="00E92F3E">
        <w:rPr>
          <w:rFonts w:ascii="Arial" w:hAnsi="Arial" w:cs="Arial"/>
          <w:bCs/>
          <w:sz w:val="22"/>
          <w:szCs w:val="22"/>
          <w:lang w:val="fr-FR"/>
        </w:rPr>
        <w:t>amendement</w:t>
      </w:r>
      <w:r>
        <w:rPr>
          <w:rFonts w:ascii="Arial" w:hAnsi="Arial" w:cs="Arial"/>
          <w:bCs/>
          <w:sz w:val="22"/>
          <w:szCs w:val="22"/>
          <w:lang w:val="fr-FR"/>
        </w:rPr>
        <w:t>, ajoutant qu</w:t>
      </w:r>
      <w:r w:rsidR="008E532B">
        <w:rPr>
          <w:rFonts w:ascii="Arial" w:hAnsi="Arial" w:cs="Arial"/>
          <w:bCs/>
          <w:sz w:val="22"/>
          <w:szCs w:val="22"/>
          <w:lang w:val="fr-FR"/>
        </w:rPr>
        <w:t>’</w:t>
      </w:r>
      <w:r>
        <w:rPr>
          <w:rFonts w:ascii="Arial" w:hAnsi="Arial" w:cs="Arial"/>
          <w:bCs/>
          <w:sz w:val="22"/>
          <w:szCs w:val="22"/>
          <w:lang w:val="fr-FR"/>
        </w:rPr>
        <w:t>elle soutenait l</w:t>
      </w:r>
      <w:r w:rsidR="008E532B">
        <w:rPr>
          <w:rFonts w:ascii="Arial" w:hAnsi="Arial" w:cs="Arial"/>
          <w:bCs/>
          <w:sz w:val="22"/>
          <w:szCs w:val="22"/>
          <w:lang w:val="fr-FR"/>
        </w:rPr>
        <w:t>’</w:t>
      </w:r>
      <w:r w:rsidRPr="00E92F3E">
        <w:rPr>
          <w:rFonts w:ascii="Arial" w:hAnsi="Arial" w:cs="Arial"/>
          <w:bCs/>
          <w:sz w:val="22"/>
          <w:szCs w:val="22"/>
          <w:lang w:val="fr-FR"/>
        </w:rPr>
        <w:t>amendement</w:t>
      </w:r>
      <w:r>
        <w:rPr>
          <w:rFonts w:ascii="Arial" w:hAnsi="Arial" w:cs="Arial"/>
          <w:bCs/>
          <w:sz w:val="22"/>
          <w:szCs w:val="22"/>
          <w:lang w:val="fr-FR"/>
        </w:rPr>
        <w:t xml:space="preserve"> du Koweït. Si l</w:t>
      </w:r>
      <w:r w:rsidR="008E532B">
        <w:rPr>
          <w:rFonts w:ascii="Arial" w:hAnsi="Arial" w:cs="Arial"/>
          <w:bCs/>
          <w:sz w:val="22"/>
          <w:szCs w:val="22"/>
          <w:lang w:val="fr-FR"/>
        </w:rPr>
        <w:t>’</w:t>
      </w:r>
      <w:r>
        <w:rPr>
          <w:rFonts w:ascii="Arial" w:hAnsi="Arial" w:cs="Arial"/>
          <w:bCs/>
          <w:sz w:val="22"/>
          <w:szCs w:val="22"/>
          <w:lang w:val="fr-FR"/>
        </w:rPr>
        <w:t xml:space="preserve">on ne parvenait pas à un consensus, elle pourrait </w:t>
      </w:r>
      <w:r w:rsidRPr="00E92F3E">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accepter la </w:t>
      </w:r>
      <w:r w:rsidRPr="00E92F3E">
        <w:rPr>
          <w:rFonts w:ascii="Arial" w:hAnsi="Arial" w:cs="Arial"/>
          <w:bCs/>
          <w:color w:val="000000" w:themeColor="text1"/>
          <w:sz w:val="22"/>
          <w:szCs w:val="22"/>
          <w:lang w:val="fr-FR"/>
        </w:rPr>
        <w:t>proposition</w:t>
      </w:r>
      <w:r>
        <w:rPr>
          <w:rFonts w:ascii="Arial" w:hAnsi="Arial" w:cs="Arial"/>
          <w:bCs/>
          <w:color w:val="000000" w:themeColor="text1"/>
          <w:sz w:val="22"/>
          <w:szCs w:val="22"/>
          <w:lang w:val="fr-FR"/>
        </w:rPr>
        <w:t xml:space="preserve"> de l</w:t>
      </w:r>
      <w:r w:rsidR="008E532B">
        <w:rPr>
          <w:rFonts w:ascii="Arial" w:hAnsi="Arial" w:cs="Arial"/>
          <w:bCs/>
          <w:color w:val="000000" w:themeColor="text1"/>
          <w:sz w:val="22"/>
          <w:szCs w:val="22"/>
          <w:lang w:val="fr-FR"/>
        </w:rPr>
        <w:t>’</w:t>
      </w:r>
      <w:r>
        <w:rPr>
          <w:rFonts w:ascii="Arial" w:hAnsi="Arial" w:cs="Arial"/>
          <w:bCs/>
          <w:color w:val="000000" w:themeColor="text1"/>
          <w:sz w:val="22"/>
          <w:szCs w:val="22"/>
          <w:lang w:val="fr-FR"/>
        </w:rPr>
        <w:t>Éthiopie, bien qu</w:t>
      </w:r>
      <w:r w:rsidR="008E532B">
        <w:rPr>
          <w:rFonts w:ascii="Arial" w:hAnsi="Arial" w:cs="Arial"/>
          <w:bCs/>
          <w:color w:val="000000" w:themeColor="text1"/>
          <w:sz w:val="22"/>
          <w:szCs w:val="22"/>
          <w:lang w:val="fr-FR"/>
        </w:rPr>
        <w:t>’</w:t>
      </w:r>
      <w:r>
        <w:rPr>
          <w:rFonts w:ascii="Arial" w:hAnsi="Arial" w:cs="Arial"/>
          <w:bCs/>
          <w:color w:val="000000" w:themeColor="text1"/>
          <w:sz w:val="22"/>
          <w:szCs w:val="22"/>
          <w:lang w:val="fr-FR"/>
        </w:rPr>
        <w:t>elle préfère l</w:t>
      </w:r>
      <w:r w:rsidR="008E532B">
        <w:rPr>
          <w:rFonts w:ascii="Arial" w:hAnsi="Arial" w:cs="Arial"/>
          <w:bCs/>
          <w:color w:val="000000" w:themeColor="text1"/>
          <w:sz w:val="22"/>
          <w:szCs w:val="22"/>
          <w:lang w:val="fr-FR"/>
        </w:rPr>
        <w:t>’</w:t>
      </w:r>
      <w:r w:rsidRPr="00E92F3E">
        <w:rPr>
          <w:rFonts w:ascii="Arial" w:hAnsi="Arial" w:cs="Arial"/>
          <w:bCs/>
          <w:color w:val="000000" w:themeColor="text1"/>
          <w:sz w:val="22"/>
          <w:szCs w:val="22"/>
          <w:lang w:val="fr-FR"/>
        </w:rPr>
        <w:t>amendement</w:t>
      </w:r>
      <w:r>
        <w:rPr>
          <w:rFonts w:ascii="Arial" w:hAnsi="Arial" w:cs="Arial"/>
          <w:bCs/>
          <w:color w:val="000000" w:themeColor="text1"/>
          <w:sz w:val="22"/>
          <w:szCs w:val="22"/>
          <w:lang w:val="fr-FR"/>
        </w:rPr>
        <w:t xml:space="preserve"> du Koweït.</w:t>
      </w:r>
    </w:p>
    <w:p w14:paraId="4FAA31F1" w14:textId="7BE5D7F4" w:rsidR="00D9653F" w:rsidRPr="00E92F3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E92F3E">
        <w:rPr>
          <w:rFonts w:ascii="Arial" w:hAnsi="Arial" w:cs="Arial"/>
          <w:b/>
          <w:sz w:val="22"/>
          <w:szCs w:val="22"/>
          <w:lang w:val="fr-FR"/>
        </w:rPr>
        <w:t>Présidente</w:t>
      </w:r>
      <w:r>
        <w:rPr>
          <w:rFonts w:ascii="Arial" w:hAnsi="Arial" w:cs="Arial"/>
          <w:bCs/>
          <w:sz w:val="22"/>
          <w:szCs w:val="22"/>
          <w:lang w:val="fr-FR"/>
        </w:rPr>
        <w:t xml:space="preserve"> a demandé s</w:t>
      </w:r>
      <w:r w:rsidR="008E532B">
        <w:rPr>
          <w:rFonts w:ascii="Arial" w:hAnsi="Arial" w:cs="Arial"/>
          <w:bCs/>
          <w:sz w:val="22"/>
          <w:szCs w:val="22"/>
          <w:lang w:val="fr-FR"/>
        </w:rPr>
        <w:t>’</w:t>
      </w:r>
      <w:r>
        <w:rPr>
          <w:rFonts w:ascii="Arial" w:hAnsi="Arial" w:cs="Arial"/>
          <w:bCs/>
          <w:sz w:val="22"/>
          <w:szCs w:val="22"/>
          <w:lang w:val="fr-FR"/>
        </w:rPr>
        <w:t>il y avait opposition au libellé « dès que possible ».</w:t>
      </w:r>
    </w:p>
    <w:p w14:paraId="4F4AB7CD" w14:textId="3B9AA3C0" w:rsidR="00D9653F" w:rsidRPr="00E92F3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E92F3E">
        <w:rPr>
          <w:rFonts w:ascii="Arial" w:hAnsi="Arial" w:cs="Arial"/>
          <w:bCs/>
          <w:sz w:val="22"/>
          <w:szCs w:val="22"/>
          <w:lang w:val="fr-FR"/>
        </w:rPr>
        <w:t>délégation</w:t>
      </w:r>
      <w:r>
        <w:rPr>
          <w:rFonts w:ascii="Arial" w:hAnsi="Arial" w:cs="Arial"/>
          <w:bCs/>
          <w:sz w:val="22"/>
          <w:szCs w:val="22"/>
          <w:lang w:val="fr-FR"/>
        </w:rPr>
        <w:t xml:space="preserve"> de la Türkiye </w:t>
      </w:r>
      <w:r w:rsidRPr="00E92F3E">
        <w:rPr>
          <w:rFonts w:ascii="Arial" w:hAnsi="Arial" w:cs="Arial"/>
          <w:b/>
          <w:sz w:val="22"/>
          <w:szCs w:val="22"/>
          <w:lang w:val="fr-FR"/>
        </w:rPr>
        <w:t>préférait</w:t>
      </w:r>
      <w:r>
        <w:rPr>
          <w:rFonts w:ascii="Arial" w:hAnsi="Arial" w:cs="Arial"/>
          <w:bCs/>
          <w:sz w:val="22"/>
          <w:szCs w:val="22"/>
          <w:lang w:val="fr-FR"/>
        </w:rPr>
        <w:t xml:space="preserve"> la </w:t>
      </w:r>
      <w:r w:rsidRPr="00E92F3E">
        <w:rPr>
          <w:rFonts w:ascii="Arial" w:hAnsi="Arial" w:cs="Arial"/>
          <w:bCs/>
          <w:sz w:val="22"/>
          <w:szCs w:val="22"/>
          <w:lang w:val="fr-FR"/>
        </w:rPr>
        <w:t>proposition</w:t>
      </w:r>
      <w:r>
        <w:rPr>
          <w:rFonts w:ascii="Arial" w:hAnsi="Arial" w:cs="Arial"/>
          <w:bCs/>
          <w:sz w:val="22"/>
          <w:szCs w:val="22"/>
          <w:lang w:val="fr-FR"/>
        </w:rPr>
        <w:t xml:space="preserve"> fixant des limites de temps et l</w:t>
      </w:r>
      <w:r w:rsidR="008E532B">
        <w:rPr>
          <w:rFonts w:ascii="Arial" w:hAnsi="Arial" w:cs="Arial"/>
          <w:bCs/>
          <w:sz w:val="22"/>
          <w:szCs w:val="22"/>
          <w:lang w:val="fr-FR"/>
        </w:rPr>
        <w:t>’</w:t>
      </w:r>
      <w:r w:rsidRPr="00E92F3E">
        <w:rPr>
          <w:rFonts w:ascii="Arial" w:hAnsi="Arial" w:cs="Arial"/>
          <w:bCs/>
          <w:sz w:val="22"/>
          <w:szCs w:val="22"/>
          <w:lang w:val="fr-FR"/>
        </w:rPr>
        <w:t>amendement</w:t>
      </w:r>
      <w:r>
        <w:rPr>
          <w:rFonts w:ascii="Arial" w:hAnsi="Arial" w:cs="Arial"/>
          <w:bCs/>
          <w:sz w:val="22"/>
          <w:szCs w:val="22"/>
          <w:lang w:val="fr-FR"/>
        </w:rPr>
        <w:t xml:space="preserve"> du Koweït.</w:t>
      </w:r>
    </w:p>
    <w:p w14:paraId="007A17BB" w14:textId="3688DD2F" w:rsidR="00D9653F" w:rsidRPr="00E92F3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E92F3E">
        <w:rPr>
          <w:rFonts w:ascii="Arial" w:hAnsi="Arial" w:cs="Arial"/>
          <w:b/>
          <w:sz w:val="22"/>
          <w:szCs w:val="22"/>
          <w:lang w:val="fr-FR"/>
        </w:rPr>
        <w:t>Présidente</w:t>
      </w:r>
      <w:r>
        <w:rPr>
          <w:rFonts w:ascii="Arial" w:hAnsi="Arial" w:cs="Arial"/>
          <w:bCs/>
          <w:sz w:val="22"/>
          <w:szCs w:val="22"/>
          <w:lang w:val="fr-FR"/>
        </w:rPr>
        <w:t xml:space="preserve"> a demandé à la Türkiye si elle s</w:t>
      </w:r>
      <w:r w:rsidR="008E532B">
        <w:rPr>
          <w:rFonts w:ascii="Arial" w:hAnsi="Arial" w:cs="Arial"/>
          <w:bCs/>
          <w:sz w:val="22"/>
          <w:szCs w:val="22"/>
          <w:lang w:val="fr-FR"/>
        </w:rPr>
        <w:t>’</w:t>
      </w:r>
      <w:r>
        <w:rPr>
          <w:rFonts w:ascii="Arial" w:hAnsi="Arial" w:cs="Arial"/>
          <w:bCs/>
          <w:sz w:val="22"/>
          <w:szCs w:val="22"/>
          <w:lang w:val="fr-FR"/>
        </w:rPr>
        <w:t>opposait au terme « dès que possible ».</w:t>
      </w:r>
    </w:p>
    <w:p w14:paraId="66ED15C2" w14:textId="5545D219" w:rsidR="00D9653F" w:rsidRPr="00E92F3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92F3E">
        <w:rPr>
          <w:rFonts w:ascii="Arial" w:hAnsi="Arial" w:cs="Arial"/>
          <w:bCs/>
          <w:sz w:val="22"/>
          <w:szCs w:val="22"/>
          <w:lang w:val="fr-FR"/>
        </w:rPr>
        <w:t xml:space="preserve">La délégation de la </w:t>
      </w:r>
      <w:r w:rsidRPr="00E92F3E">
        <w:rPr>
          <w:rFonts w:ascii="Arial" w:hAnsi="Arial" w:cs="Arial"/>
          <w:b/>
          <w:sz w:val="22"/>
          <w:szCs w:val="22"/>
          <w:lang w:val="fr-FR"/>
        </w:rPr>
        <w:t>Türkiye</w:t>
      </w:r>
      <w:r w:rsidRPr="00E92F3E">
        <w:rPr>
          <w:rFonts w:ascii="Arial" w:hAnsi="Arial" w:cs="Arial"/>
          <w:bCs/>
          <w:sz w:val="22"/>
          <w:szCs w:val="22"/>
          <w:lang w:val="fr-FR"/>
        </w:rPr>
        <w:t xml:space="preserve"> a fait remarquer que l</w:t>
      </w:r>
      <w:r w:rsidR="008E532B">
        <w:rPr>
          <w:rFonts w:ascii="Arial" w:hAnsi="Arial" w:cs="Arial"/>
          <w:bCs/>
          <w:sz w:val="22"/>
          <w:szCs w:val="22"/>
          <w:lang w:val="fr-FR"/>
        </w:rPr>
        <w:t>’</w:t>
      </w:r>
      <w:r w:rsidRPr="00E92F3E">
        <w:rPr>
          <w:rFonts w:ascii="Arial" w:hAnsi="Arial" w:cs="Arial"/>
          <w:bCs/>
          <w:sz w:val="22"/>
          <w:szCs w:val="22"/>
          <w:lang w:val="fr-FR"/>
        </w:rPr>
        <w:t xml:space="preserve">ajout de </w:t>
      </w:r>
      <w:r>
        <w:rPr>
          <w:rFonts w:ascii="Arial" w:hAnsi="Arial" w:cs="Arial"/>
          <w:bCs/>
          <w:sz w:val="22"/>
          <w:szCs w:val="22"/>
          <w:lang w:val="fr-FR"/>
        </w:rPr>
        <w:t>« </w:t>
      </w:r>
      <w:r w:rsidRPr="00E92F3E">
        <w:rPr>
          <w:rFonts w:ascii="Arial" w:hAnsi="Arial" w:cs="Arial"/>
          <w:bCs/>
          <w:sz w:val="22"/>
          <w:szCs w:val="22"/>
          <w:lang w:val="fr-FR"/>
        </w:rPr>
        <w:t>dès que possible</w:t>
      </w:r>
      <w:r>
        <w:rPr>
          <w:rFonts w:ascii="Arial" w:hAnsi="Arial" w:cs="Arial"/>
          <w:bCs/>
          <w:sz w:val="22"/>
          <w:szCs w:val="22"/>
          <w:lang w:val="fr-FR"/>
        </w:rPr>
        <w:t> »</w:t>
      </w:r>
      <w:r w:rsidRPr="00E92F3E">
        <w:rPr>
          <w:rFonts w:ascii="Arial" w:hAnsi="Arial" w:cs="Arial"/>
          <w:bCs/>
          <w:sz w:val="22"/>
          <w:szCs w:val="22"/>
          <w:lang w:val="fr-FR"/>
        </w:rPr>
        <w:t xml:space="preserve"> impliquerait la suppression de </w:t>
      </w:r>
      <w:r>
        <w:rPr>
          <w:rFonts w:ascii="Arial" w:hAnsi="Arial" w:cs="Arial"/>
          <w:bCs/>
          <w:sz w:val="22"/>
          <w:szCs w:val="22"/>
          <w:lang w:val="fr-FR"/>
        </w:rPr>
        <w:t>« </w:t>
      </w:r>
      <w:r w:rsidRPr="00E92F3E">
        <w:rPr>
          <w:rFonts w:ascii="Arial" w:hAnsi="Arial" w:cs="Arial"/>
          <w:bCs/>
          <w:sz w:val="22"/>
          <w:szCs w:val="22"/>
          <w:lang w:val="fr-FR"/>
        </w:rPr>
        <w:t xml:space="preserve">dans les </w:t>
      </w:r>
      <w:r>
        <w:rPr>
          <w:rFonts w:ascii="Arial" w:hAnsi="Arial" w:cs="Arial"/>
          <w:bCs/>
          <w:sz w:val="22"/>
          <w:szCs w:val="22"/>
          <w:lang w:val="fr-FR"/>
        </w:rPr>
        <w:t>quarante</w:t>
      </w:r>
      <w:r>
        <w:rPr>
          <w:rFonts w:ascii="Arial" w:hAnsi="Arial" w:cs="Arial"/>
          <w:bCs/>
          <w:sz w:val="22"/>
          <w:szCs w:val="22"/>
          <w:lang w:val="fr-FR"/>
        </w:rPr>
        <w:noBreakHyphen/>
        <w:t>cinq</w:t>
      </w:r>
      <w:r w:rsidRPr="00E92F3E">
        <w:rPr>
          <w:rFonts w:ascii="Arial" w:hAnsi="Arial" w:cs="Arial"/>
          <w:bCs/>
          <w:sz w:val="22"/>
          <w:szCs w:val="22"/>
          <w:lang w:val="fr-FR"/>
        </w:rPr>
        <w:t xml:space="preserve"> jours</w:t>
      </w:r>
      <w:r>
        <w:rPr>
          <w:rFonts w:ascii="Arial" w:hAnsi="Arial" w:cs="Arial"/>
          <w:bCs/>
          <w:sz w:val="22"/>
          <w:szCs w:val="22"/>
          <w:lang w:val="fr-FR"/>
        </w:rPr>
        <w:t> »</w:t>
      </w:r>
      <w:r w:rsidRPr="00E92F3E">
        <w:rPr>
          <w:rFonts w:ascii="Arial" w:hAnsi="Arial" w:cs="Arial"/>
          <w:bCs/>
          <w:sz w:val="22"/>
          <w:szCs w:val="22"/>
          <w:lang w:val="fr-FR"/>
        </w:rPr>
        <w:t>, et qu</w:t>
      </w:r>
      <w:r w:rsidR="008E532B">
        <w:rPr>
          <w:rFonts w:ascii="Arial" w:hAnsi="Arial" w:cs="Arial"/>
          <w:bCs/>
          <w:sz w:val="22"/>
          <w:szCs w:val="22"/>
          <w:lang w:val="fr-FR"/>
        </w:rPr>
        <w:t>’</w:t>
      </w:r>
      <w:r w:rsidRPr="00E92F3E">
        <w:rPr>
          <w:rFonts w:ascii="Arial" w:hAnsi="Arial" w:cs="Arial"/>
          <w:bCs/>
          <w:sz w:val="22"/>
          <w:szCs w:val="22"/>
          <w:lang w:val="fr-FR"/>
        </w:rPr>
        <w:t xml:space="preserve">elle préférait donc conserver </w:t>
      </w:r>
      <w:r>
        <w:rPr>
          <w:rFonts w:ascii="Arial" w:hAnsi="Arial" w:cs="Arial"/>
          <w:bCs/>
          <w:sz w:val="22"/>
          <w:szCs w:val="22"/>
          <w:lang w:val="fr-FR"/>
        </w:rPr>
        <w:t>« </w:t>
      </w:r>
      <w:r w:rsidRPr="00E92F3E">
        <w:rPr>
          <w:rFonts w:ascii="Arial" w:hAnsi="Arial" w:cs="Arial"/>
          <w:bCs/>
          <w:sz w:val="22"/>
          <w:szCs w:val="22"/>
          <w:lang w:val="fr-FR"/>
        </w:rPr>
        <w:t xml:space="preserve">dans les </w:t>
      </w:r>
      <w:r>
        <w:rPr>
          <w:rFonts w:ascii="Arial" w:hAnsi="Arial" w:cs="Arial"/>
          <w:bCs/>
          <w:sz w:val="22"/>
          <w:szCs w:val="22"/>
          <w:lang w:val="fr-FR"/>
        </w:rPr>
        <w:t>quarante</w:t>
      </w:r>
      <w:r>
        <w:rPr>
          <w:rFonts w:ascii="Arial" w:hAnsi="Arial" w:cs="Arial"/>
          <w:bCs/>
          <w:sz w:val="22"/>
          <w:szCs w:val="22"/>
          <w:lang w:val="fr-FR"/>
        </w:rPr>
        <w:noBreakHyphen/>
        <w:t>cinq</w:t>
      </w:r>
      <w:r w:rsidRPr="00E92F3E">
        <w:rPr>
          <w:rFonts w:ascii="Arial" w:hAnsi="Arial" w:cs="Arial"/>
          <w:bCs/>
          <w:sz w:val="22"/>
          <w:szCs w:val="22"/>
          <w:lang w:val="fr-FR"/>
        </w:rPr>
        <w:t xml:space="preserve"> jours</w:t>
      </w:r>
      <w:r>
        <w:rPr>
          <w:rFonts w:ascii="Arial" w:hAnsi="Arial" w:cs="Arial"/>
          <w:bCs/>
          <w:sz w:val="22"/>
          <w:szCs w:val="22"/>
          <w:lang w:val="fr-FR"/>
        </w:rPr>
        <w:t xml:space="preserve"> sauf si cela n</w:t>
      </w:r>
      <w:r w:rsidR="008E532B">
        <w:rPr>
          <w:rFonts w:ascii="Arial" w:hAnsi="Arial" w:cs="Arial"/>
          <w:bCs/>
          <w:sz w:val="22"/>
          <w:szCs w:val="22"/>
          <w:lang w:val="fr-FR"/>
        </w:rPr>
        <w:t>’</w:t>
      </w:r>
      <w:r>
        <w:rPr>
          <w:rFonts w:ascii="Arial" w:hAnsi="Arial" w:cs="Arial"/>
          <w:bCs/>
          <w:sz w:val="22"/>
          <w:szCs w:val="22"/>
          <w:lang w:val="fr-FR"/>
        </w:rPr>
        <w:t xml:space="preserve">est </w:t>
      </w:r>
      <w:r w:rsidRPr="00E92F3E">
        <w:rPr>
          <w:rFonts w:ascii="Arial" w:hAnsi="Arial" w:cs="Arial"/>
          <w:bCs/>
          <w:sz w:val="22"/>
          <w:szCs w:val="22"/>
          <w:lang w:val="fr-FR"/>
        </w:rPr>
        <w:t>pas possible d</w:t>
      </w:r>
      <w:r w:rsidR="008E532B">
        <w:rPr>
          <w:rFonts w:ascii="Arial" w:hAnsi="Arial" w:cs="Arial"/>
          <w:bCs/>
          <w:sz w:val="22"/>
          <w:szCs w:val="22"/>
          <w:lang w:val="fr-FR"/>
        </w:rPr>
        <w:t>’</w:t>
      </w:r>
      <w:r w:rsidRPr="00E92F3E">
        <w:rPr>
          <w:rFonts w:ascii="Arial" w:hAnsi="Arial" w:cs="Arial"/>
          <w:bCs/>
          <w:sz w:val="22"/>
          <w:szCs w:val="22"/>
          <w:lang w:val="fr-FR"/>
        </w:rPr>
        <w:t>un point de vue logistique</w:t>
      </w:r>
      <w:r>
        <w:rPr>
          <w:rFonts w:ascii="Arial" w:hAnsi="Arial" w:cs="Arial"/>
          <w:bCs/>
          <w:sz w:val="22"/>
          <w:szCs w:val="22"/>
          <w:lang w:val="fr-FR"/>
        </w:rPr>
        <w:t> »</w:t>
      </w:r>
      <w:r w:rsidRPr="00E92F3E">
        <w:rPr>
          <w:rFonts w:ascii="Arial" w:hAnsi="Arial" w:cs="Arial"/>
          <w:bCs/>
          <w:sz w:val="22"/>
          <w:szCs w:val="22"/>
          <w:lang w:val="fr-FR"/>
        </w:rPr>
        <w:t xml:space="preserve">. Elle </w:t>
      </w:r>
      <w:r>
        <w:rPr>
          <w:rFonts w:ascii="Arial" w:hAnsi="Arial" w:cs="Arial"/>
          <w:bCs/>
          <w:sz w:val="22"/>
          <w:szCs w:val="22"/>
          <w:lang w:val="fr-FR"/>
        </w:rPr>
        <w:t>était</w:t>
      </w:r>
      <w:r w:rsidRPr="00E92F3E">
        <w:rPr>
          <w:rFonts w:ascii="Arial" w:hAnsi="Arial" w:cs="Arial"/>
          <w:bCs/>
          <w:sz w:val="22"/>
          <w:szCs w:val="22"/>
          <w:lang w:val="fr-FR"/>
        </w:rPr>
        <w:t xml:space="preserve"> donc opposée à </w:t>
      </w:r>
      <w:r>
        <w:rPr>
          <w:rFonts w:ascii="Arial" w:hAnsi="Arial" w:cs="Arial"/>
          <w:bCs/>
          <w:sz w:val="22"/>
          <w:szCs w:val="22"/>
          <w:lang w:val="fr-FR"/>
        </w:rPr>
        <w:t>« </w:t>
      </w:r>
      <w:r w:rsidRPr="00E92F3E">
        <w:rPr>
          <w:rFonts w:ascii="Arial" w:hAnsi="Arial" w:cs="Arial"/>
          <w:bCs/>
          <w:sz w:val="22"/>
          <w:szCs w:val="22"/>
          <w:lang w:val="fr-FR"/>
        </w:rPr>
        <w:t>dès que possible</w:t>
      </w:r>
      <w:r>
        <w:rPr>
          <w:rFonts w:ascii="Arial" w:hAnsi="Arial" w:cs="Arial"/>
          <w:bCs/>
          <w:sz w:val="22"/>
          <w:szCs w:val="22"/>
          <w:lang w:val="fr-FR"/>
        </w:rPr>
        <w:t> »</w:t>
      </w:r>
      <w:r w:rsidRPr="00E92F3E">
        <w:rPr>
          <w:rFonts w:ascii="Arial" w:hAnsi="Arial" w:cs="Arial"/>
          <w:bCs/>
          <w:sz w:val="22"/>
          <w:szCs w:val="22"/>
          <w:lang w:val="fr-FR"/>
        </w:rPr>
        <w:t xml:space="preserve">. Dans </w:t>
      </w:r>
      <w:r>
        <w:rPr>
          <w:rFonts w:ascii="Arial" w:hAnsi="Arial" w:cs="Arial"/>
          <w:bCs/>
          <w:sz w:val="22"/>
          <w:szCs w:val="22"/>
          <w:lang w:val="fr-FR"/>
        </w:rPr>
        <w:t>un</w:t>
      </w:r>
      <w:r w:rsidRPr="00E92F3E">
        <w:rPr>
          <w:rFonts w:ascii="Arial" w:hAnsi="Arial" w:cs="Arial"/>
          <w:bCs/>
          <w:sz w:val="22"/>
          <w:szCs w:val="22"/>
          <w:lang w:val="fr-FR"/>
        </w:rPr>
        <w:t xml:space="preserve"> souci d</w:t>
      </w:r>
      <w:r w:rsidR="008E532B">
        <w:rPr>
          <w:rFonts w:ascii="Arial" w:hAnsi="Arial" w:cs="Arial"/>
          <w:bCs/>
          <w:sz w:val="22"/>
          <w:szCs w:val="22"/>
          <w:lang w:val="fr-FR"/>
        </w:rPr>
        <w:t>’</w:t>
      </w:r>
      <w:r>
        <w:rPr>
          <w:rFonts w:ascii="Arial" w:hAnsi="Arial" w:cs="Arial"/>
          <w:bCs/>
          <w:sz w:val="22"/>
          <w:szCs w:val="22"/>
          <w:lang w:val="fr-FR"/>
        </w:rPr>
        <w:t>accorder</w:t>
      </w:r>
      <w:r w:rsidRPr="00E92F3E">
        <w:rPr>
          <w:rFonts w:ascii="Arial" w:hAnsi="Arial" w:cs="Arial"/>
          <w:bCs/>
          <w:sz w:val="22"/>
          <w:szCs w:val="22"/>
          <w:lang w:val="fr-FR"/>
        </w:rPr>
        <w:t xml:space="preserve"> plus de temps, la délégation </w:t>
      </w:r>
      <w:r>
        <w:rPr>
          <w:rFonts w:ascii="Arial" w:hAnsi="Arial" w:cs="Arial"/>
          <w:bCs/>
          <w:sz w:val="22"/>
          <w:szCs w:val="22"/>
          <w:lang w:val="fr-FR"/>
        </w:rPr>
        <w:t xml:space="preserve">a </w:t>
      </w:r>
      <w:r w:rsidRPr="00E92F3E">
        <w:rPr>
          <w:rFonts w:ascii="Arial" w:hAnsi="Arial" w:cs="Arial"/>
          <w:bCs/>
          <w:sz w:val="22"/>
          <w:szCs w:val="22"/>
          <w:lang w:val="fr-FR"/>
        </w:rPr>
        <w:t>sugg</w:t>
      </w:r>
      <w:r>
        <w:rPr>
          <w:rFonts w:ascii="Arial" w:hAnsi="Arial" w:cs="Arial"/>
          <w:bCs/>
          <w:sz w:val="22"/>
          <w:szCs w:val="22"/>
          <w:lang w:val="fr-FR"/>
        </w:rPr>
        <w:t>éré</w:t>
      </w:r>
      <w:r w:rsidRPr="00E92F3E">
        <w:rPr>
          <w:rFonts w:ascii="Arial" w:hAnsi="Arial" w:cs="Arial"/>
          <w:bCs/>
          <w:sz w:val="22"/>
          <w:szCs w:val="22"/>
          <w:lang w:val="fr-FR"/>
        </w:rPr>
        <w:t xml:space="preserve"> de remplacer </w:t>
      </w:r>
      <w:r>
        <w:rPr>
          <w:rFonts w:ascii="Arial" w:hAnsi="Arial" w:cs="Arial"/>
          <w:bCs/>
          <w:sz w:val="22"/>
          <w:szCs w:val="22"/>
          <w:lang w:val="fr-FR"/>
        </w:rPr>
        <w:t>« </w:t>
      </w:r>
      <w:r w:rsidRPr="00E92F3E">
        <w:rPr>
          <w:rFonts w:ascii="Arial" w:hAnsi="Arial" w:cs="Arial"/>
          <w:bCs/>
          <w:sz w:val="22"/>
          <w:szCs w:val="22"/>
          <w:lang w:val="fr-FR"/>
        </w:rPr>
        <w:t>quarante</w:t>
      </w:r>
      <w:r>
        <w:rPr>
          <w:rFonts w:ascii="Arial" w:hAnsi="Arial" w:cs="Arial"/>
          <w:bCs/>
          <w:sz w:val="22"/>
          <w:szCs w:val="22"/>
          <w:lang w:val="fr-FR"/>
        </w:rPr>
        <w:noBreakHyphen/>
      </w:r>
      <w:r w:rsidRPr="00E92F3E">
        <w:rPr>
          <w:rFonts w:ascii="Arial" w:hAnsi="Arial" w:cs="Arial"/>
          <w:bCs/>
          <w:sz w:val="22"/>
          <w:szCs w:val="22"/>
          <w:lang w:val="fr-FR"/>
        </w:rPr>
        <w:t>cinq jours</w:t>
      </w:r>
      <w:r>
        <w:rPr>
          <w:rFonts w:ascii="Arial" w:hAnsi="Arial" w:cs="Arial"/>
          <w:bCs/>
          <w:sz w:val="22"/>
          <w:szCs w:val="22"/>
          <w:lang w:val="fr-FR"/>
        </w:rPr>
        <w:t> »</w:t>
      </w:r>
      <w:r w:rsidRPr="00E92F3E">
        <w:rPr>
          <w:rFonts w:ascii="Arial" w:hAnsi="Arial" w:cs="Arial"/>
          <w:bCs/>
          <w:sz w:val="22"/>
          <w:szCs w:val="22"/>
          <w:lang w:val="fr-FR"/>
        </w:rPr>
        <w:t xml:space="preserve"> par </w:t>
      </w:r>
      <w:r>
        <w:rPr>
          <w:rFonts w:ascii="Arial" w:hAnsi="Arial" w:cs="Arial"/>
          <w:bCs/>
          <w:sz w:val="22"/>
          <w:szCs w:val="22"/>
          <w:lang w:val="fr-FR"/>
        </w:rPr>
        <w:t>« </w:t>
      </w:r>
      <w:r w:rsidRPr="00E92F3E">
        <w:rPr>
          <w:rFonts w:ascii="Arial" w:hAnsi="Arial" w:cs="Arial"/>
          <w:bCs/>
          <w:sz w:val="22"/>
          <w:szCs w:val="22"/>
          <w:lang w:val="fr-FR"/>
        </w:rPr>
        <w:t>soixante jours</w:t>
      </w:r>
      <w:r>
        <w:rPr>
          <w:rFonts w:ascii="Arial" w:hAnsi="Arial" w:cs="Arial"/>
          <w:bCs/>
          <w:sz w:val="22"/>
          <w:szCs w:val="22"/>
          <w:lang w:val="fr-FR"/>
        </w:rPr>
        <w:t> »</w:t>
      </w:r>
      <w:r w:rsidRPr="00E92F3E">
        <w:rPr>
          <w:rFonts w:ascii="Arial" w:hAnsi="Arial" w:cs="Arial"/>
          <w:bCs/>
          <w:sz w:val="22"/>
          <w:szCs w:val="22"/>
          <w:lang w:val="fr-FR"/>
        </w:rPr>
        <w:t>. Même si l</w:t>
      </w:r>
      <w:r w:rsidR="008E532B">
        <w:rPr>
          <w:rFonts w:ascii="Arial" w:hAnsi="Arial" w:cs="Arial"/>
          <w:bCs/>
          <w:sz w:val="22"/>
          <w:szCs w:val="22"/>
          <w:lang w:val="fr-FR"/>
        </w:rPr>
        <w:t>’</w:t>
      </w:r>
      <w:r w:rsidRPr="00E92F3E">
        <w:rPr>
          <w:rFonts w:ascii="Arial" w:hAnsi="Arial" w:cs="Arial"/>
          <w:bCs/>
          <w:sz w:val="22"/>
          <w:szCs w:val="22"/>
          <w:lang w:val="fr-FR"/>
        </w:rPr>
        <w:t>Assemblée pren</w:t>
      </w:r>
      <w:r>
        <w:rPr>
          <w:rFonts w:ascii="Arial" w:hAnsi="Arial" w:cs="Arial"/>
          <w:bCs/>
          <w:sz w:val="22"/>
          <w:szCs w:val="22"/>
          <w:lang w:val="fr-FR"/>
        </w:rPr>
        <w:t xml:space="preserve">ait </w:t>
      </w:r>
      <w:r w:rsidRPr="00E92F3E">
        <w:rPr>
          <w:rFonts w:ascii="Arial" w:hAnsi="Arial" w:cs="Arial"/>
          <w:bCs/>
          <w:sz w:val="22"/>
          <w:szCs w:val="22"/>
          <w:lang w:val="fr-FR"/>
        </w:rPr>
        <w:t>une décision au début du mois de juillet, la session pourrait toujours se tenir à la fin du mois de septembre ou dans un délai de quatre</w:t>
      </w:r>
      <w:r>
        <w:rPr>
          <w:rFonts w:ascii="Arial" w:hAnsi="Arial" w:cs="Arial"/>
          <w:bCs/>
          <w:sz w:val="22"/>
          <w:szCs w:val="22"/>
          <w:lang w:val="fr-FR"/>
        </w:rPr>
        <w:noBreakHyphen/>
      </w:r>
      <w:r w:rsidRPr="00E92F3E">
        <w:rPr>
          <w:rFonts w:ascii="Arial" w:hAnsi="Arial" w:cs="Arial"/>
          <w:bCs/>
          <w:sz w:val="22"/>
          <w:szCs w:val="22"/>
          <w:lang w:val="fr-FR"/>
        </w:rPr>
        <w:t>vingt</w:t>
      </w:r>
      <w:r>
        <w:rPr>
          <w:rFonts w:ascii="Arial" w:hAnsi="Arial" w:cs="Arial"/>
          <w:bCs/>
          <w:sz w:val="22"/>
          <w:szCs w:val="22"/>
          <w:lang w:val="fr-FR"/>
        </w:rPr>
        <w:noBreakHyphen/>
      </w:r>
      <w:r w:rsidRPr="00E92F3E">
        <w:rPr>
          <w:rFonts w:ascii="Arial" w:hAnsi="Arial" w:cs="Arial"/>
          <w:bCs/>
          <w:sz w:val="22"/>
          <w:szCs w:val="22"/>
          <w:lang w:val="fr-FR"/>
        </w:rPr>
        <w:t>dix jours, pour autant qu</w:t>
      </w:r>
      <w:r w:rsidR="008E532B">
        <w:rPr>
          <w:rFonts w:ascii="Arial" w:hAnsi="Arial" w:cs="Arial"/>
          <w:bCs/>
          <w:sz w:val="22"/>
          <w:szCs w:val="22"/>
          <w:lang w:val="fr-FR"/>
        </w:rPr>
        <w:t>’</w:t>
      </w:r>
      <w:r w:rsidRPr="00E92F3E">
        <w:rPr>
          <w:rFonts w:ascii="Arial" w:hAnsi="Arial" w:cs="Arial"/>
          <w:bCs/>
          <w:sz w:val="22"/>
          <w:szCs w:val="22"/>
          <w:lang w:val="fr-FR"/>
        </w:rPr>
        <w:t>il y ait un calendrier et non pas simplement à la discrétion d</w:t>
      </w:r>
      <w:r>
        <w:rPr>
          <w:rFonts w:ascii="Arial" w:hAnsi="Arial" w:cs="Arial"/>
          <w:bCs/>
          <w:sz w:val="22"/>
          <w:szCs w:val="22"/>
          <w:lang w:val="fr-FR"/>
        </w:rPr>
        <w:t xml:space="preserve">u/de la </w:t>
      </w:r>
      <w:r w:rsidRPr="00E92F3E">
        <w:rPr>
          <w:rFonts w:ascii="Arial" w:hAnsi="Arial" w:cs="Arial"/>
          <w:bCs/>
          <w:sz w:val="22"/>
          <w:szCs w:val="22"/>
          <w:lang w:val="fr-FR"/>
        </w:rPr>
        <w:t>Directeur</w:t>
      </w:r>
      <w:r>
        <w:rPr>
          <w:rFonts w:ascii="Arial" w:hAnsi="Arial" w:cs="Arial"/>
          <w:bCs/>
          <w:sz w:val="22"/>
          <w:szCs w:val="22"/>
          <w:lang w:val="fr-FR"/>
        </w:rPr>
        <w:t>/Directrice</w:t>
      </w:r>
      <w:r w:rsidRPr="00E92F3E">
        <w:rPr>
          <w:rFonts w:ascii="Arial" w:hAnsi="Arial" w:cs="Arial"/>
          <w:bCs/>
          <w:sz w:val="22"/>
          <w:szCs w:val="22"/>
          <w:lang w:val="fr-FR"/>
        </w:rPr>
        <w:t xml:space="preserve"> général</w:t>
      </w:r>
      <w:r>
        <w:rPr>
          <w:rFonts w:ascii="Arial" w:hAnsi="Arial" w:cs="Arial"/>
          <w:bCs/>
          <w:sz w:val="22"/>
          <w:szCs w:val="22"/>
          <w:lang w:val="fr-FR"/>
        </w:rPr>
        <w:t>(e)</w:t>
      </w:r>
      <w:r w:rsidRPr="00E92F3E">
        <w:rPr>
          <w:rFonts w:ascii="Arial" w:hAnsi="Arial" w:cs="Arial"/>
          <w:bCs/>
          <w:sz w:val="22"/>
          <w:szCs w:val="22"/>
          <w:lang w:val="fr-FR"/>
        </w:rPr>
        <w:t>.</w:t>
      </w:r>
    </w:p>
    <w:p w14:paraId="30688F7E" w14:textId="760F8C96" w:rsidR="00D9653F" w:rsidRPr="00D1450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D1450E">
        <w:rPr>
          <w:rFonts w:ascii="Arial" w:hAnsi="Arial" w:cs="Arial"/>
          <w:b/>
          <w:sz w:val="22"/>
          <w:szCs w:val="22"/>
          <w:lang w:val="fr-FR"/>
        </w:rPr>
        <w:t>Présidente</w:t>
      </w:r>
      <w:r>
        <w:rPr>
          <w:rFonts w:ascii="Arial" w:hAnsi="Arial" w:cs="Arial"/>
          <w:bCs/>
          <w:sz w:val="22"/>
          <w:szCs w:val="22"/>
          <w:lang w:val="fr-FR"/>
        </w:rPr>
        <w:t xml:space="preserve"> a demandé s</w:t>
      </w:r>
      <w:r w:rsidR="008E532B">
        <w:rPr>
          <w:rFonts w:ascii="Arial" w:hAnsi="Arial" w:cs="Arial"/>
          <w:bCs/>
          <w:sz w:val="22"/>
          <w:szCs w:val="22"/>
          <w:lang w:val="fr-FR"/>
        </w:rPr>
        <w:t>’</w:t>
      </w:r>
      <w:r>
        <w:rPr>
          <w:rFonts w:ascii="Arial" w:hAnsi="Arial" w:cs="Arial"/>
          <w:bCs/>
          <w:sz w:val="22"/>
          <w:szCs w:val="22"/>
          <w:lang w:val="fr-FR"/>
        </w:rPr>
        <w:t>il y avait opposition à l</w:t>
      </w:r>
      <w:r w:rsidR="008E532B">
        <w:rPr>
          <w:rFonts w:ascii="Arial" w:hAnsi="Arial" w:cs="Arial"/>
          <w:bCs/>
          <w:sz w:val="22"/>
          <w:szCs w:val="22"/>
          <w:lang w:val="fr-FR"/>
        </w:rPr>
        <w:t>’</w:t>
      </w:r>
      <w:r>
        <w:rPr>
          <w:rFonts w:ascii="Arial" w:hAnsi="Arial" w:cs="Arial"/>
          <w:bCs/>
          <w:sz w:val="22"/>
          <w:szCs w:val="22"/>
          <w:lang w:val="fr-FR"/>
        </w:rPr>
        <w:t>article 5.2 tel qu</w:t>
      </w:r>
      <w:r w:rsidR="008E532B">
        <w:rPr>
          <w:rFonts w:ascii="Arial" w:hAnsi="Arial" w:cs="Arial"/>
          <w:bCs/>
          <w:sz w:val="22"/>
          <w:szCs w:val="22"/>
          <w:lang w:val="fr-FR"/>
        </w:rPr>
        <w:t>’</w:t>
      </w:r>
      <w:r>
        <w:rPr>
          <w:rFonts w:ascii="Arial" w:hAnsi="Arial" w:cs="Arial"/>
          <w:bCs/>
          <w:sz w:val="22"/>
          <w:szCs w:val="22"/>
          <w:lang w:val="fr-FR"/>
        </w:rPr>
        <w:t>amendé par la Türkiye.</w:t>
      </w:r>
    </w:p>
    <w:p w14:paraId="365595D0" w14:textId="596A76FF" w:rsidR="00D9653F" w:rsidRPr="00D1450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1450E">
        <w:rPr>
          <w:rFonts w:ascii="Arial" w:hAnsi="Arial" w:cs="Arial"/>
          <w:bCs/>
          <w:sz w:val="22"/>
          <w:szCs w:val="22"/>
          <w:lang w:val="fr-FR"/>
        </w:rPr>
        <w:t>La délégation de l</w:t>
      </w:r>
      <w:r w:rsidR="008E532B">
        <w:rPr>
          <w:rFonts w:ascii="Arial" w:hAnsi="Arial" w:cs="Arial"/>
          <w:bCs/>
          <w:sz w:val="22"/>
          <w:szCs w:val="22"/>
          <w:lang w:val="fr-FR"/>
        </w:rPr>
        <w:t>’</w:t>
      </w:r>
      <w:r w:rsidRPr="00D1450E">
        <w:rPr>
          <w:rFonts w:ascii="Arial" w:hAnsi="Arial" w:cs="Arial"/>
          <w:b/>
          <w:sz w:val="22"/>
          <w:szCs w:val="22"/>
          <w:lang w:val="fr-FR"/>
        </w:rPr>
        <w:t>Éthiopie</w:t>
      </w:r>
      <w:r w:rsidRPr="00D1450E">
        <w:rPr>
          <w:rFonts w:ascii="Arial" w:hAnsi="Arial" w:cs="Arial"/>
          <w:bCs/>
          <w:sz w:val="22"/>
          <w:szCs w:val="22"/>
          <w:lang w:val="fr-FR"/>
        </w:rPr>
        <w:t xml:space="preserve"> </w:t>
      </w:r>
      <w:r>
        <w:rPr>
          <w:rFonts w:ascii="Arial" w:hAnsi="Arial" w:cs="Arial"/>
          <w:bCs/>
          <w:sz w:val="22"/>
          <w:szCs w:val="22"/>
          <w:lang w:val="fr-FR"/>
        </w:rPr>
        <w:t xml:space="preserve">a </w:t>
      </w:r>
      <w:r w:rsidRPr="00D1450E">
        <w:rPr>
          <w:rFonts w:ascii="Arial" w:hAnsi="Arial" w:cs="Arial"/>
          <w:bCs/>
          <w:sz w:val="22"/>
          <w:szCs w:val="22"/>
          <w:lang w:val="fr-FR"/>
        </w:rPr>
        <w:t>fait remarquer que quarante</w:t>
      </w:r>
      <w:r>
        <w:rPr>
          <w:rFonts w:ascii="Arial" w:hAnsi="Arial" w:cs="Arial"/>
          <w:bCs/>
          <w:sz w:val="22"/>
          <w:szCs w:val="22"/>
          <w:lang w:val="fr-FR"/>
        </w:rPr>
        <w:noBreakHyphen/>
      </w:r>
      <w:r w:rsidRPr="00D1450E">
        <w:rPr>
          <w:rFonts w:ascii="Arial" w:hAnsi="Arial" w:cs="Arial"/>
          <w:bCs/>
          <w:sz w:val="22"/>
          <w:szCs w:val="22"/>
          <w:lang w:val="fr-FR"/>
        </w:rPr>
        <w:t xml:space="preserve">cinq jours ou soixante jours </w:t>
      </w:r>
      <w:r>
        <w:rPr>
          <w:rFonts w:ascii="Arial" w:hAnsi="Arial" w:cs="Arial"/>
          <w:bCs/>
          <w:sz w:val="22"/>
          <w:szCs w:val="22"/>
          <w:lang w:val="fr-FR"/>
        </w:rPr>
        <w:t>étaient</w:t>
      </w:r>
      <w:r w:rsidRPr="00D1450E">
        <w:rPr>
          <w:rFonts w:ascii="Arial" w:hAnsi="Arial" w:cs="Arial"/>
          <w:bCs/>
          <w:sz w:val="22"/>
          <w:szCs w:val="22"/>
          <w:lang w:val="fr-FR"/>
        </w:rPr>
        <w:t xml:space="preserve"> arbitraires</w:t>
      </w:r>
      <w:r>
        <w:rPr>
          <w:rFonts w:ascii="Arial" w:hAnsi="Arial" w:cs="Arial"/>
          <w:bCs/>
          <w:sz w:val="22"/>
          <w:szCs w:val="22"/>
          <w:lang w:val="fr-FR"/>
        </w:rPr>
        <w:t>,</w:t>
      </w:r>
      <w:r w:rsidRPr="00D1450E">
        <w:rPr>
          <w:rFonts w:ascii="Arial" w:hAnsi="Arial" w:cs="Arial"/>
          <w:bCs/>
          <w:sz w:val="22"/>
          <w:szCs w:val="22"/>
          <w:lang w:val="fr-FR"/>
        </w:rPr>
        <w:t xml:space="preserve"> car </w:t>
      </w:r>
      <w:r>
        <w:rPr>
          <w:rFonts w:ascii="Arial" w:hAnsi="Arial" w:cs="Arial"/>
          <w:bCs/>
          <w:sz w:val="22"/>
          <w:szCs w:val="22"/>
          <w:lang w:val="fr-FR"/>
        </w:rPr>
        <w:t xml:space="preserve">cela </w:t>
      </w:r>
      <w:r w:rsidRPr="00D1450E">
        <w:rPr>
          <w:rFonts w:ascii="Arial" w:hAnsi="Arial" w:cs="Arial"/>
          <w:bCs/>
          <w:sz w:val="22"/>
          <w:szCs w:val="22"/>
          <w:lang w:val="fr-FR"/>
        </w:rPr>
        <w:t>dépend</w:t>
      </w:r>
      <w:r>
        <w:rPr>
          <w:rFonts w:ascii="Arial" w:hAnsi="Arial" w:cs="Arial"/>
          <w:bCs/>
          <w:sz w:val="22"/>
          <w:szCs w:val="22"/>
          <w:lang w:val="fr-FR"/>
        </w:rPr>
        <w:t>ait</w:t>
      </w:r>
      <w:r w:rsidRPr="00D1450E">
        <w:rPr>
          <w:rFonts w:ascii="Arial" w:hAnsi="Arial" w:cs="Arial"/>
          <w:bCs/>
          <w:sz w:val="22"/>
          <w:szCs w:val="22"/>
          <w:lang w:val="fr-FR"/>
        </w:rPr>
        <w:t xml:space="preserve"> de la question soumise à la session extraordinaire. Ainsi, la meilleure formulation serait </w:t>
      </w:r>
      <w:r>
        <w:rPr>
          <w:rFonts w:ascii="Arial" w:hAnsi="Arial" w:cs="Arial"/>
          <w:bCs/>
          <w:sz w:val="22"/>
          <w:szCs w:val="22"/>
          <w:lang w:val="fr-FR"/>
        </w:rPr>
        <w:t>« </w:t>
      </w:r>
      <w:r w:rsidRPr="00D1450E">
        <w:rPr>
          <w:rFonts w:ascii="Arial" w:hAnsi="Arial" w:cs="Arial"/>
          <w:bCs/>
          <w:sz w:val="22"/>
          <w:szCs w:val="22"/>
          <w:lang w:val="fr-FR"/>
        </w:rPr>
        <w:t>dans les meilleurs délais</w:t>
      </w:r>
      <w:r>
        <w:rPr>
          <w:rFonts w:ascii="Arial" w:hAnsi="Arial" w:cs="Arial"/>
          <w:bCs/>
          <w:sz w:val="22"/>
          <w:szCs w:val="22"/>
          <w:lang w:val="fr-FR"/>
        </w:rPr>
        <w:t> »</w:t>
      </w:r>
      <w:r w:rsidRPr="00D1450E">
        <w:rPr>
          <w:rFonts w:ascii="Arial" w:hAnsi="Arial" w:cs="Arial"/>
          <w:bCs/>
          <w:sz w:val="22"/>
          <w:szCs w:val="22"/>
          <w:lang w:val="fr-FR"/>
        </w:rPr>
        <w:t>, ce qui laisserait au</w:t>
      </w:r>
      <w:r>
        <w:rPr>
          <w:rFonts w:ascii="Arial" w:hAnsi="Arial" w:cs="Arial"/>
          <w:bCs/>
          <w:sz w:val="22"/>
          <w:szCs w:val="22"/>
          <w:lang w:val="fr-FR"/>
        </w:rPr>
        <w:t xml:space="preserve">/à la </w:t>
      </w:r>
      <w:r w:rsidRPr="00E92F3E">
        <w:rPr>
          <w:rFonts w:ascii="Arial" w:hAnsi="Arial" w:cs="Arial"/>
          <w:bCs/>
          <w:sz w:val="22"/>
          <w:szCs w:val="22"/>
          <w:lang w:val="fr-FR"/>
        </w:rPr>
        <w:t>Directeur</w:t>
      </w:r>
      <w:r>
        <w:rPr>
          <w:rFonts w:ascii="Arial" w:hAnsi="Arial" w:cs="Arial"/>
          <w:bCs/>
          <w:sz w:val="22"/>
          <w:szCs w:val="22"/>
          <w:lang w:val="fr-FR"/>
        </w:rPr>
        <w:t>/Directrice</w:t>
      </w:r>
      <w:r w:rsidRPr="00E92F3E">
        <w:rPr>
          <w:rFonts w:ascii="Arial" w:hAnsi="Arial" w:cs="Arial"/>
          <w:bCs/>
          <w:sz w:val="22"/>
          <w:szCs w:val="22"/>
          <w:lang w:val="fr-FR"/>
        </w:rPr>
        <w:t xml:space="preserve"> général</w:t>
      </w:r>
      <w:r>
        <w:rPr>
          <w:rFonts w:ascii="Arial" w:hAnsi="Arial" w:cs="Arial"/>
          <w:bCs/>
          <w:sz w:val="22"/>
          <w:szCs w:val="22"/>
          <w:lang w:val="fr-FR"/>
        </w:rPr>
        <w:t xml:space="preserve">(e) </w:t>
      </w:r>
      <w:r w:rsidRPr="00D1450E">
        <w:rPr>
          <w:rFonts w:ascii="Arial" w:hAnsi="Arial" w:cs="Arial"/>
          <w:bCs/>
          <w:sz w:val="22"/>
          <w:szCs w:val="22"/>
          <w:lang w:val="fr-FR"/>
        </w:rPr>
        <w:t>le droit de déterminer une date. Cela signifi</w:t>
      </w:r>
      <w:r>
        <w:rPr>
          <w:rFonts w:ascii="Arial" w:hAnsi="Arial" w:cs="Arial"/>
          <w:bCs/>
          <w:sz w:val="22"/>
          <w:szCs w:val="22"/>
          <w:lang w:val="fr-FR"/>
        </w:rPr>
        <w:t>ait</w:t>
      </w:r>
      <w:r w:rsidRPr="00D1450E">
        <w:rPr>
          <w:rFonts w:ascii="Arial" w:hAnsi="Arial" w:cs="Arial"/>
          <w:bCs/>
          <w:sz w:val="22"/>
          <w:szCs w:val="22"/>
          <w:lang w:val="fr-FR"/>
        </w:rPr>
        <w:t xml:space="preserve"> que</w:t>
      </w:r>
      <w:r>
        <w:rPr>
          <w:rFonts w:ascii="Arial" w:hAnsi="Arial" w:cs="Arial"/>
          <w:bCs/>
          <w:sz w:val="22"/>
          <w:szCs w:val="22"/>
          <w:lang w:val="fr-FR"/>
        </w:rPr>
        <w:t xml:space="preserve"> </w:t>
      </w:r>
      <w:r w:rsidRPr="00D1450E">
        <w:rPr>
          <w:rFonts w:ascii="Arial" w:hAnsi="Arial" w:cs="Arial"/>
          <w:bCs/>
          <w:sz w:val="22"/>
          <w:szCs w:val="22"/>
          <w:lang w:val="fr-FR"/>
        </w:rPr>
        <w:t>fix</w:t>
      </w:r>
      <w:r>
        <w:rPr>
          <w:rFonts w:ascii="Arial" w:hAnsi="Arial" w:cs="Arial"/>
          <w:bCs/>
          <w:sz w:val="22"/>
          <w:szCs w:val="22"/>
          <w:lang w:val="fr-FR"/>
        </w:rPr>
        <w:t xml:space="preserve">er </w:t>
      </w:r>
      <w:r w:rsidRPr="00D1450E">
        <w:rPr>
          <w:rFonts w:ascii="Arial" w:hAnsi="Arial" w:cs="Arial"/>
          <w:bCs/>
          <w:sz w:val="22"/>
          <w:szCs w:val="22"/>
          <w:lang w:val="fr-FR"/>
        </w:rPr>
        <w:t xml:space="preserve">une période particulière en </w:t>
      </w:r>
      <w:r>
        <w:rPr>
          <w:rFonts w:ascii="Arial" w:hAnsi="Arial" w:cs="Arial"/>
          <w:bCs/>
          <w:sz w:val="22"/>
          <w:szCs w:val="22"/>
          <w:lang w:val="fr-FR"/>
        </w:rPr>
        <w:t>nombre</w:t>
      </w:r>
      <w:r w:rsidRPr="00D1450E">
        <w:rPr>
          <w:rFonts w:ascii="Arial" w:hAnsi="Arial" w:cs="Arial"/>
          <w:bCs/>
          <w:sz w:val="22"/>
          <w:szCs w:val="22"/>
          <w:lang w:val="fr-FR"/>
        </w:rPr>
        <w:t xml:space="preserve"> de jours n</w:t>
      </w:r>
      <w:r w:rsidR="008E532B">
        <w:rPr>
          <w:rFonts w:ascii="Arial" w:hAnsi="Arial" w:cs="Arial"/>
          <w:bCs/>
          <w:sz w:val="22"/>
          <w:szCs w:val="22"/>
          <w:lang w:val="fr-FR"/>
        </w:rPr>
        <w:t>’</w:t>
      </w:r>
      <w:r>
        <w:rPr>
          <w:rFonts w:ascii="Arial" w:hAnsi="Arial" w:cs="Arial"/>
          <w:bCs/>
          <w:sz w:val="22"/>
          <w:szCs w:val="22"/>
          <w:lang w:val="fr-FR"/>
        </w:rPr>
        <w:t>était</w:t>
      </w:r>
      <w:r w:rsidRPr="00D1450E">
        <w:rPr>
          <w:rFonts w:ascii="Arial" w:hAnsi="Arial" w:cs="Arial"/>
          <w:bCs/>
          <w:sz w:val="22"/>
          <w:szCs w:val="22"/>
          <w:lang w:val="fr-FR"/>
        </w:rPr>
        <w:t xml:space="preserve"> pas nécessaire.</w:t>
      </w:r>
    </w:p>
    <w:p w14:paraId="0C611984" w14:textId="391DC5C7" w:rsidR="00D9653F" w:rsidRPr="00D1450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1450E">
        <w:rPr>
          <w:rFonts w:ascii="Arial" w:hAnsi="Arial" w:cs="Arial"/>
          <w:bCs/>
          <w:sz w:val="22"/>
          <w:szCs w:val="22"/>
          <w:lang w:val="fr-FR"/>
        </w:rPr>
        <w:t>La délégation</w:t>
      </w:r>
      <w:r>
        <w:rPr>
          <w:rFonts w:ascii="Arial" w:hAnsi="Arial" w:cs="Arial"/>
          <w:bCs/>
          <w:sz w:val="22"/>
          <w:szCs w:val="22"/>
          <w:lang w:val="fr-FR"/>
        </w:rPr>
        <w:t xml:space="preserve"> de la</w:t>
      </w:r>
      <w:r w:rsidRPr="00D1450E">
        <w:rPr>
          <w:rFonts w:ascii="Arial" w:hAnsi="Arial" w:cs="Arial"/>
          <w:bCs/>
          <w:sz w:val="22"/>
          <w:szCs w:val="22"/>
          <w:lang w:val="fr-FR"/>
        </w:rPr>
        <w:t xml:space="preserve"> </w:t>
      </w:r>
      <w:r w:rsidRPr="00D1450E">
        <w:rPr>
          <w:rFonts w:ascii="Arial" w:hAnsi="Arial" w:cs="Arial"/>
          <w:b/>
          <w:sz w:val="22"/>
          <w:szCs w:val="22"/>
          <w:lang w:val="fr-FR"/>
        </w:rPr>
        <w:t>Palestine</w:t>
      </w:r>
      <w:r w:rsidRPr="00D1450E">
        <w:rPr>
          <w:rFonts w:ascii="Arial" w:hAnsi="Arial" w:cs="Arial"/>
          <w:bCs/>
          <w:sz w:val="22"/>
          <w:szCs w:val="22"/>
          <w:lang w:val="fr-FR"/>
        </w:rPr>
        <w:t xml:space="preserve"> a convenu que l</w:t>
      </w:r>
      <w:r w:rsidR="008E532B">
        <w:rPr>
          <w:rFonts w:ascii="Arial" w:hAnsi="Arial" w:cs="Arial"/>
          <w:bCs/>
          <w:sz w:val="22"/>
          <w:szCs w:val="22"/>
          <w:lang w:val="fr-FR"/>
        </w:rPr>
        <w:t>’</w:t>
      </w:r>
      <w:r w:rsidRPr="00D1450E">
        <w:rPr>
          <w:rFonts w:ascii="Arial" w:hAnsi="Arial" w:cs="Arial"/>
          <w:bCs/>
          <w:sz w:val="22"/>
          <w:szCs w:val="22"/>
          <w:lang w:val="fr-FR"/>
        </w:rPr>
        <w:t xml:space="preserve">expression </w:t>
      </w:r>
      <w:r>
        <w:rPr>
          <w:rFonts w:ascii="Arial" w:hAnsi="Arial" w:cs="Arial"/>
          <w:bCs/>
          <w:sz w:val="22"/>
          <w:szCs w:val="22"/>
          <w:lang w:val="fr-FR"/>
        </w:rPr>
        <w:t>« </w:t>
      </w:r>
      <w:r w:rsidRPr="00D1450E">
        <w:rPr>
          <w:rFonts w:ascii="Arial" w:hAnsi="Arial" w:cs="Arial"/>
          <w:bCs/>
          <w:sz w:val="22"/>
          <w:szCs w:val="22"/>
          <w:lang w:val="fr-FR"/>
        </w:rPr>
        <w:t>dès que possible</w:t>
      </w:r>
      <w:r>
        <w:rPr>
          <w:rFonts w:ascii="Arial" w:hAnsi="Arial" w:cs="Arial"/>
          <w:bCs/>
          <w:sz w:val="22"/>
          <w:szCs w:val="22"/>
          <w:lang w:val="fr-FR"/>
        </w:rPr>
        <w:t> »</w:t>
      </w:r>
      <w:r w:rsidRPr="00D1450E">
        <w:rPr>
          <w:rFonts w:ascii="Arial" w:hAnsi="Arial" w:cs="Arial"/>
          <w:bCs/>
          <w:sz w:val="22"/>
          <w:szCs w:val="22"/>
          <w:lang w:val="fr-FR"/>
        </w:rPr>
        <w:t xml:space="preserve"> offrait un peu plus de flexibilité, mais laissait également la question ouverte. Une autre condition était également de fixer le délai à quarante</w:t>
      </w:r>
      <w:r>
        <w:rPr>
          <w:rFonts w:ascii="Arial" w:hAnsi="Arial" w:cs="Arial"/>
          <w:bCs/>
          <w:sz w:val="22"/>
          <w:szCs w:val="22"/>
          <w:lang w:val="fr-FR"/>
        </w:rPr>
        <w:noBreakHyphen/>
      </w:r>
      <w:r w:rsidRPr="00D1450E">
        <w:rPr>
          <w:rFonts w:ascii="Arial" w:hAnsi="Arial" w:cs="Arial"/>
          <w:bCs/>
          <w:sz w:val="22"/>
          <w:szCs w:val="22"/>
          <w:lang w:val="fr-FR"/>
        </w:rPr>
        <w:t xml:space="preserve">cinq ou </w:t>
      </w:r>
      <w:r>
        <w:rPr>
          <w:rFonts w:ascii="Arial" w:hAnsi="Arial" w:cs="Arial"/>
          <w:bCs/>
          <w:sz w:val="22"/>
          <w:szCs w:val="22"/>
          <w:lang w:val="fr-FR"/>
        </w:rPr>
        <w:t xml:space="preserve">à </w:t>
      </w:r>
      <w:r w:rsidRPr="00D1450E">
        <w:rPr>
          <w:rFonts w:ascii="Arial" w:hAnsi="Arial" w:cs="Arial"/>
          <w:bCs/>
          <w:sz w:val="22"/>
          <w:szCs w:val="22"/>
          <w:lang w:val="fr-FR"/>
        </w:rPr>
        <w:t>soixante jours, à moins que cela ne soit pas possible d</w:t>
      </w:r>
      <w:r w:rsidR="008E532B">
        <w:rPr>
          <w:rFonts w:ascii="Arial" w:hAnsi="Arial" w:cs="Arial"/>
          <w:bCs/>
          <w:sz w:val="22"/>
          <w:szCs w:val="22"/>
          <w:lang w:val="fr-FR"/>
        </w:rPr>
        <w:t>’</w:t>
      </w:r>
      <w:r w:rsidRPr="00D1450E">
        <w:rPr>
          <w:rFonts w:ascii="Arial" w:hAnsi="Arial" w:cs="Arial"/>
          <w:bCs/>
          <w:sz w:val="22"/>
          <w:szCs w:val="22"/>
          <w:lang w:val="fr-FR"/>
        </w:rPr>
        <w:t>un point de vue logistique. La délégation a donc suggéré d</w:t>
      </w:r>
      <w:r w:rsidR="008E532B">
        <w:rPr>
          <w:rFonts w:ascii="Arial" w:hAnsi="Arial" w:cs="Arial"/>
          <w:bCs/>
          <w:sz w:val="22"/>
          <w:szCs w:val="22"/>
          <w:lang w:val="fr-FR"/>
        </w:rPr>
        <w:t>’</w:t>
      </w:r>
      <w:r w:rsidRPr="00D1450E">
        <w:rPr>
          <w:rFonts w:ascii="Arial" w:hAnsi="Arial" w:cs="Arial"/>
          <w:bCs/>
          <w:sz w:val="22"/>
          <w:szCs w:val="22"/>
          <w:lang w:val="fr-FR"/>
        </w:rPr>
        <w:t xml:space="preserve">inclure les deux, ce qui donnerait </w:t>
      </w:r>
      <w:r>
        <w:rPr>
          <w:rFonts w:ascii="Arial" w:hAnsi="Arial" w:cs="Arial"/>
          <w:bCs/>
          <w:sz w:val="22"/>
          <w:szCs w:val="22"/>
          <w:lang w:val="fr-FR"/>
        </w:rPr>
        <w:t>« </w:t>
      </w:r>
      <w:r w:rsidRPr="00D1450E">
        <w:rPr>
          <w:rFonts w:ascii="Arial" w:hAnsi="Arial" w:cs="Arial"/>
          <w:bCs/>
          <w:sz w:val="22"/>
          <w:szCs w:val="22"/>
          <w:lang w:val="fr-FR"/>
        </w:rPr>
        <w:t xml:space="preserve">fixé dès que possible et dans les </w:t>
      </w:r>
      <w:r>
        <w:rPr>
          <w:rFonts w:ascii="Arial" w:hAnsi="Arial" w:cs="Arial"/>
          <w:bCs/>
          <w:sz w:val="22"/>
          <w:szCs w:val="22"/>
          <w:lang w:val="fr-FR"/>
        </w:rPr>
        <w:t xml:space="preserve">soixante </w:t>
      </w:r>
      <w:r w:rsidRPr="00D1450E">
        <w:rPr>
          <w:rFonts w:ascii="Arial" w:hAnsi="Arial" w:cs="Arial"/>
          <w:bCs/>
          <w:sz w:val="22"/>
          <w:szCs w:val="22"/>
          <w:lang w:val="fr-FR"/>
        </w:rPr>
        <w:t>jours</w:t>
      </w:r>
      <w:r>
        <w:rPr>
          <w:rFonts w:ascii="Arial" w:hAnsi="Arial" w:cs="Arial"/>
          <w:bCs/>
          <w:sz w:val="22"/>
          <w:szCs w:val="22"/>
          <w:lang w:val="fr-FR"/>
        </w:rPr>
        <w:t> »</w:t>
      </w:r>
      <w:r w:rsidRPr="00D1450E">
        <w:rPr>
          <w:rFonts w:ascii="Arial" w:hAnsi="Arial" w:cs="Arial"/>
          <w:bCs/>
          <w:sz w:val="22"/>
          <w:szCs w:val="22"/>
          <w:lang w:val="fr-FR"/>
        </w:rPr>
        <w:t xml:space="preserve">, sans </w:t>
      </w:r>
      <w:r>
        <w:rPr>
          <w:rFonts w:ascii="Arial" w:hAnsi="Arial" w:cs="Arial"/>
          <w:bCs/>
          <w:sz w:val="22"/>
          <w:szCs w:val="22"/>
          <w:lang w:val="fr-FR"/>
        </w:rPr>
        <w:t>ajouter « </w:t>
      </w:r>
      <w:r w:rsidRPr="00D1450E">
        <w:rPr>
          <w:rFonts w:ascii="Arial" w:hAnsi="Arial" w:cs="Arial"/>
          <w:bCs/>
          <w:sz w:val="22"/>
          <w:szCs w:val="22"/>
          <w:lang w:val="fr-FR"/>
        </w:rPr>
        <w:t>sauf si cela n</w:t>
      </w:r>
      <w:r w:rsidR="008E532B">
        <w:rPr>
          <w:rFonts w:ascii="Arial" w:hAnsi="Arial" w:cs="Arial"/>
          <w:bCs/>
          <w:sz w:val="22"/>
          <w:szCs w:val="22"/>
          <w:lang w:val="fr-FR"/>
        </w:rPr>
        <w:t>’</w:t>
      </w:r>
      <w:r w:rsidRPr="00D1450E">
        <w:rPr>
          <w:rFonts w:ascii="Arial" w:hAnsi="Arial" w:cs="Arial"/>
          <w:bCs/>
          <w:sz w:val="22"/>
          <w:szCs w:val="22"/>
          <w:lang w:val="fr-FR"/>
        </w:rPr>
        <w:t>est pas possible d</w:t>
      </w:r>
      <w:r w:rsidR="008E532B">
        <w:rPr>
          <w:rFonts w:ascii="Arial" w:hAnsi="Arial" w:cs="Arial"/>
          <w:bCs/>
          <w:sz w:val="22"/>
          <w:szCs w:val="22"/>
          <w:lang w:val="fr-FR"/>
        </w:rPr>
        <w:t>’</w:t>
      </w:r>
      <w:r w:rsidRPr="00D1450E">
        <w:rPr>
          <w:rFonts w:ascii="Arial" w:hAnsi="Arial" w:cs="Arial"/>
          <w:bCs/>
          <w:sz w:val="22"/>
          <w:szCs w:val="22"/>
          <w:lang w:val="fr-FR"/>
        </w:rPr>
        <w:t xml:space="preserve">un point de vue logistique". Dans ce cas, une date </w:t>
      </w:r>
      <w:r>
        <w:rPr>
          <w:rFonts w:ascii="Arial" w:hAnsi="Arial" w:cs="Arial"/>
          <w:bCs/>
          <w:sz w:val="22"/>
          <w:szCs w:val="22"/>
          <w:lang w:val="fr-FR"/>
        </w:rPr>
        <w:t>était</w:t>
      </w:r>
      <w:r w:rsidRPr="00D1450E">
        <w:rPr>
          <w:rFonts w:ascii="Arial" w:hAnsi="Arial" w:cs="Arial"/>
          <w:bCs/>
          <w:sz w:val="22"/>
          <w:szCs w:val="22"/>
          <w:lang w:val="fr-FR"/>
        </w:rPr>
        <w:t xml:space="preserve"> fixée dès que possible et dans les soixante jours.</w:t>
      </w:r>
    </w:p>
    <w:p w14:paraId="041CA556" w14:textId="7AD33D55"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866E0">
        <w:rPr>
          <w:rFonts w:ascii="Arial" w:hAnsi="Arial" w:cs="Arial"/>
          <w:bCs/>
          <w:sz w:val="22"/>
          <w:szCs w:val="22"/>
          <w:lang w:val="fr-FR"/>
        </w:rPr>
        <w:t xml:space="preserve">Le </w:t>
      </w:r>
      <w:r w:rsidRPr="000866E0">
        <w:rPr>
          <w:rFonts w:ascii="Arial" w:hAnsi="Arial" w:cs="Arial"/>
          <w:b/>
          <w:sz w:val="22"/>
          <w:szCs w:val="22"/>
          <w:lang w:val="fr-FR"/>
        </w:rPr>
        <w:t>Sous-Directeur général</w:t>
      </w:r>
      <w:r w:rsidRPr="000866E0">
        <w:rPr>
          <w:rFonts w:ascii="Arial" w:hAnsi="Arial" w:cs="Arial"/>
          <w:bCs/>
          <w:sz w:val="22"/>
          <w:szCs w:val="22"/>
          <w:lang w:val="fr-FR"/>
        </w:rPr>
        <w:t xml:space="preserve"> </w:t>
      </w:r>
      <w:r>
        <w:rPr>
          <w:rFonts w:ascii="Arial" w:hAnsi="Arial" w:cs="Arial"/>
          <w:bCs/>
          <w:sz w:val="22"/>
          <w:szCs w:val="22"/>
          <w:lang w:val="fr-FR"/>
        </w:rPr>
        <w:t xml:space="preserve">a </w:t>
      </w:r>
      <w:r w:rsidR="00603192">
        <w:rPr>
          <w:rFonts w:ascii="Arial" w:hAnsi="Arial" w:cs="Arial"/>
          <w:bCs/>
          <w:sz w:val="22"/>
          <w:szCs w:val="22"/>
          <w:lang w:val="fr-FR"/>
        </w:rPr>
        <w:t xml:space="preserve">résumé </w:t>
      </w:r>
      <w:r w:rsidRPr="000866E0">
        <w:rPr>
          <w:rFonts w:ascii="Arial" w:hAnsi="Arial" w:cs="Arial"/>
          <w:bCs/>
          <w:sz w:val="22"/>
          <w:szCs w:val="22"/>
          <w:lang w:val="fr-FR"/>
        </w:rPr>
        <w:t>que la Présidente a</w:t>
      </w:r>
      <w:r>
        <w:rPr>
          <w:rFonts w:ascii="Arial" w:hAnsi="Arial" w:cs="Arial"/>
          <w:bCs/>
          <w:sz w:val="22"/>
          <w:szCs w:val="22"/>
          <w:lang w:val="fr-FR"/>
        </w:rPr>
        <w:t>vait</w:t>
      </w:r>
      <w:r w:rsidRPr="000866E0">
        <w:rPr>
          <w:rFonts w:ascii="Arial" w:hAnsi="Arial" w:cs="Arial"/>
          <w:bCs/>
          <w:sz w:val="22"/>
          <w:szCs w:val="22"/>
          <w:lang w:val="fr-FR"/>
        </w:rPr>
        <w:t xml:space="preserve"> demandé s</w:t>
      </w:r>
      <w:r w:rsidR="008E532B">
        <w:rPr>
          <w:rFonts w:ascii="Arial" w:hAnsi="Arial" w:cs="Arial"/>
          <w:bCs/>
          <w:sz w:val="22"/>
          <w:szCs w:val="22"/>
          <w:lang w:val="fr-FR"/>
        </w:rPr>
        <w:t>’</w:t>
      </w:r>
      <w:r w:rsidRPr="000866E0">
        <w:rPr>
          <w:rFonts w:ascii="Arial" w:hAnsi="Arial" w:cs="Arial"/>
          <w:bCs/>
          <w:sz w:val="22"/>
          <w:szCs w:val="22"/>
          <w:lang w:val="fr-FR"/>
        </w:rPr>
        <w:t xml:space="preserve">il y avait une opposition à la proposition </w:t>
      </w:r>
      <w:r>
        <w:rPr>
          <w:rFonts w:ascii="Arial" w:hAnsi="Arial" w:cs="Arial"/>
          <w:bCs/>
          <w:sz w:val="22"/>
          <w:szCs w:val="22"/>
          <w:lang w:val="fr-FR"/>
        </w:rPr>
        <w:t>« </w:t>
      </w:r>
      <w:r w:rsidRPr="000866E0">
        <w:rPr>
          <w:rFonts w:ascii="Arial" w:hAnsi="Arial" w:cs="Arial"/>
          <w:bCs/>
          <w:sz w:val="22"/>
          <w:szCs w:val="22"/>
          <w:lang w:val="fr-FR"/>
        </w:rPr>
        <w:t>dès que possible</w:t>
      </w:r>
      <w:r>
        <w:rPr>
          <w:rFonts w:ascii="Arial" w:hAnsi="Arial" w:cs="Arial"/>
          <w:bCs/>
          <w:sz w:val="22"/>
          <w:szCs w:val="22"/>
          <w:lang w:val="fr-FR"/>
        </w:rPr>
        <w:t> »</w:t>
      </w:r>
      <w:r w:rsidRPr="000866E0">
        <w:rPr>
          <w:rFonts w:ascii="Arial" w:hAnsi="Arial" w:cs="Arial"/>
          <w:bCs/>
          <w:sz w:val="22"/>
          <w:szCs w:val="22"/>
          <w:lang w:val="fr-FR"/>
        </w:rPr>
        <w:t xml:space="preserve"> sans mentionner de nombre de jours. Il a été </w:t>
      </w:r>
      <w:r w:rsidRPr="000866E0">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w:t>
      </w:r>
      <w:r w:rsidRPr="000866E0">
        <w:rPr>
          <w:rFonts w:ascii="Arial" w:hAnsi="Arial" w:cs="Arial"/>
          <w:bCs/>
          <w:sz w:val="22"/>
          <w:szCs w:val="22"/>
          <w:lang w:val="fr-FR"/>
        </w:rPr>
        <w:t>rappelé qu</w:t>
      </w:r>
      <w:r w:rsidR="008E532B">
        <w:rPr>
          <w:rFonts w:ascii="Arial" w:hAnsi="Arial" w:cs="Arial"/>
          <w:bCs/>
          <w:sz w:val="22"/>
          <w:szCs w:val="22"/>
          <w:lang w:val="fr-FR"/>
        </w:rPr>
        <w:t>’</w:t>
      </w:r>
      <w:r w:rsidRPr="000866E0">
        <w:rPr>
          <w:rFonts w:ascii="Arial" w:hAnsi="Arial" w:cs="Arial"/>
          <w:bCs/>
          <w:sz w:val="22"/>
          <w:szCs w:val="22"/>
          <w:lang w:val="fr-FR"/>
        </w:rPr>
        <w:t>il y avait eu une opposition d</w:t>
      </w:r>
      <w:r>
        <w:rPr>
          <w:rFonts w:ascii="Arial" w:hAnsi="Arial" w:cs="Arial"/>
          <w:bCs/>
          <w:sz w:val="22"/>
          <w:szCs w:val="22"/>
          <w:lang w:val="fr-FR"/>
        </w:rPr>
        <w:t>e la part d</w:t>
      </w:r>
      <w:r w:rsidR="008E532B">
        <w:rPr>
          <w:rFonts w:ascii="Arial" w:hAnsi="Arial" w:cs="Arial"/>
          <w:bCs/>
          <w:sz w:val="22"/>
          <w:szCs w:val="22"/>
          <w:lang w:val="fr-FR"/>
        </w:rPr>
        <w:t>’</w:t>
      </w:r>
      <w:r>
        <w:rPr>
          <w:rFonts w:ascii="Arial" w:hAnsi="Arial" w:cs="Arial"/>
          <w:bCs/>
          <w:sz w:val="22"/>
          <w:szCs w:val="22"/>
          <w:lang w:val="fr-FR"/>
        </w:rPr>
        <w:t>un</w:t>
      </w:r>
      <w:r w:rsidRPr="000866E0">
        <w:rPr>
          <w:rFonts w:ascii="Arial" w:hAnsi="Arial" w:cs="Arial"/>
          <w:bCs/>
          <w:sz w:val="22"/>
          <w:szCs w:val="22"/>
          <w:lang w:val="fr-FR"/>
        </w:rPr>
        <w:t xml:space="preserve"> État partie dans la salle, de sorte qu</w:t>
      </w:r>
      <w:r>
        <w:rPr>
          <w:rFonts w:ascii="Arial" w:hAnsi="Arial" w:cs="Arial"/>
          <w:bCs/>
          <w:sz w:val="22"/>
          <w:szCs w:val="22"/>
          <w:lang w:val="fr-FR"/>
        </w:rPr>
        <w:t xml:space="preserve">e cette </w:t>
      </w:r>
      <w:r w:rsidRPr="009C23B1">
        <w:rPr>
          <w:rFonts w:ascii="Arial" w:hAnsi="Arial" w:cs="Arial"/>
          <w:bCs/>
          <w:sz w:val="22"/>
          <w:szCs w:val="22"/>
          <w:lang w:val="fr-FR"/>
        </w:rPr>
        <w:t>proposition</w:t>
      </w:r>
      <w:r w:rsidRPr="000866E0">
        <w:rPr>
          <w:rFonts w:ascii="Arial" w:hAnsi="Arial" w:cs="Arial"/>
          <w:bCs/>
          <w:sz w:val="22"/>
          <w:szCs w:val="22"/>
          <w:lang w:val="fr-FR"/>
        </w:rPr>
        <w:t xml:space="preserve"> n</w:t>
      </w:r>
      <w:r w:rsidR="008E532B">
        <w:rPr>
          <w:rFonts w:ascii="Arial" w:hAnsi="Arial" w:cs="Arial"/>
          <w:bCs/>
          <w:sz w:val="22"/>
          <w:szCs w:val="22"/>
          <w:lang w:val="fr-FR"/>
        </w:rPr>
        <w:t>’</w:t>
      </w:r>
      <w:r w:rsidRPr="000866E0">
        <w:rPr>
          <w:rFonts w:ascii="Arial" w:hAnsi="Arial" w:cs="Arial"/>
          <w:bCs/>
          <w:sz w:val="22"/>
          <w:szCs w:val="22"/>
          <w:lang w:val="fr-FR"/>
        </w:rPr>
        <w:t>avait pas fait l</w:t>
      </w:r>
      <w:r w:rsidR="008E532B">
        <w:rPr>
          <w:rFonts w:ascii="Arial" w:hAnsi="Arial" w:cs="Arial"/>
          <w:bCs/>
          <w:sz w:val="22"/>
          <w:szCs w:val="22"/>
          <w:lang w:val="fr-FR"/>
        </w:rPr>
        <w:t>’</w:t>
      </w:r>
      <w:r w:rsidRPr="000866E0">
        <w:rPr>
          <w:rFonts w:ascii="Arial" w:hAnsi="Arial" w:cs="Arial"/>
          <w:bCs/>
          <w:sz w:val="22"/>
          <w:szCs w:val="22"/>
          <w:lang w:val="fr-FR"/>
        </w:rPr>
        <w:t>objet d</w:t>
      </w:r>
      <w:r w:rsidR="008E532B">
        <w:rPr>
          <w:rFonts w:ascii="Arial" w:hAnsi="Arial" w:cs="Arial"/>
          <w:bCs/>
          <w:sz w:val="22"/>
          <w:szCs w:val="22"/>
          <w:lang w:val="fr-FR"/>
        </w:rPr>
        <w:t>’</w:t>
      </w:r>
      <w:r w:rsidRPr="000866E0">
        <w:rPr>
          <w:rFonts w:ascii="Arial" w:hAnsi="Arial" w:cs="Arial"/>
          <w:bCs/>
          <w:sz w:val="22"/>
          <w:szCs w:val="22"/>
          <w:lang w:val="fr-FR"/>
        </w:rPr>
        <w:t>un consensus. Ensuite, la question s</w:t>
      </w:r>
      <w:r w:rsidR="008E532B">
        <w:rPr>
          <w:rFonts w:ascii="Arial" w:hAnsi="Arial" w:cs="Arial"/>
          <w:bCs/>
          <w:sz w:val="22"/>
          <w:szCs w:val="22"/>
          <w:lang w:val="fr-FR"/>
        </w:rPr>
        <w:t>’</w:t>
      </w:r>
      <w:r>
        <w:rPr>
          <w:rFonts w:ascii="Arial" w:hAnsi="Arial" w:cs="Arial"/>
          <w:bCs/>
          <w:sz w:val="22"/>
          <w:szCs w:val="22"/>
          <w:lang w:val="fr-FR"/>
        </w:rPr>
        <w:t>était</w:t>
      </w:r>
      <w:r w:rsidRPr="000866E0">
        <w:rPr>
          <w:rFonts w:ascii="Arial" w:hAnsi="Arial" w:cs="Arial"/>
          <w:bCs/>
          <w:sz w:val="22"/>
          <w:szCs w:val="22"/>
          <w:lang w:val="fr-FR"/>
        </w:rPr>
        <w:t xml:space="preserve"> posée de savoir si l</w:t>
      </w:r>
      <w:r w:rsidR="008E532B">
        <w:rPr>
          <w:rFonts w:ascii="Arial" w:hAnsi="Arial" w:cs="Arial"/>
          <w:bCs/>
          <w:sz w:val="22"/>
          <w:szCs w:val="22"/>
          <w:lang w:val="fr-FR"/>
        </w:rPr>
        <w:t>’</w:t>
      </w:r>
      <w:r w:rsidRPr="000866E0">
        <w:rPr>
          <w:rFonts w:ascii="Arial" w:hAnsi="Arial" w:cs="Arial"/>
          <w:bCs/>
          <w:sz w:val="22"/>
          <w:szCs w:val="22"/>
          <w:lang w:val="fr-FR"/>
        </w:rPr>
        <w:t xml:space="preserve">Assemblée pouvait accepter de supprimer </w:t>
      </w:r>
      <w:r>
        <w:rPr>
          <w:rFonts w:ascii="Arial" w:hAnsi="Arial" w:cs="Arial"/>
          <w:bCs/>
          <w:sz w:val="22"/>
          <w:szCs w:val="22"/>
          <w:lang w:val="fr-FR"/>
        </w:rPr>
        <w:t>« </w:t>
      </w:r>
      <w:r w:rsidRPr="000866E0">
        <w:rPr>
          <w:rFonts w:ascii="Arial" w:hAnsi="Arial" w:cs="Arial"/>
          <w:bCs/>
          <w:sz w:val="22"/>
          <w:szCs w:val="22"/>
          <w:lang w:val="fr-FR"/>
        </w:rPr>
        <w:t>dès que possible</w:t>
      </w:r>
      <w:r>
        <w:rPr>
          <w:rFonts w:ascii="Arial" w:hAnsi="Arial" w:cs="Arial"/>
          <w:bCs/>
          <w:sz w:val="22"/>
          <w:szCs w:val="22"/>
          <w:lang w:val="fr-FR"/>
        </w:rPr>
        <w:t> »</w:t>
      </w:r>
      <w:r w:rsidRPr="000866E0">
        <w:rPr>
          <w:rFonts w:ascii="Arial" w:hAnsi="Arial" w:cs="Arial"/>
          <w:bCs/>
          <w:sz w:val="22"/>
          <w:szCs w:val="22"/>
          <w:lang w:val="fr-FR"/>
        </w:rPr>
        <w:t xml:space="preserve"> et d</w:t>
      </w:r>
      <w:r w:rsidR="008E532B">
        <w:rPr>
          <w:rFonts w:ascii="Arial" w:hAnsi="Arial" w:cs="Arial"/>
          <w:bCs/>
          <w:sz w:val="22"/>
          <w:szCs w:val="22"/>
          <w:lang w:val="fr-FR"/>
        </w:rPr>
        <w:t>’</w:t>
      </w:r>
      <w:r w:rsidRPr="000866E0">
        <w:rPr>
          <w:rFonts w:ascii="Arial" w:hAnsi="Arial" w:cs="Arial"/>
          <w:bCs/>
          <w:sz w:val="22"/>
          <w:szCs w:val="22"/>
          <w:lang w:val="fr-FR"/>
        </w:rPr>
        <w:t>inclure une date, ce qui a</w:t>
      </w:r>
      <w:r>
        <w:rPr>
          <w:rFonts w:ascii="Arial" w:hAnsi="Arial" w:cs="Arial"/>
          <w:bCs/>
          <w:sz w:val="22"/>
          <w:szCs w:val="22"/>
          <w:lang w:val="fr-FR"/>
        </w:rPr>
        <w:t>vait</w:t>
      </w:r>
      <w:r w:rsidRPr="000866E0">
        <w:rPr>
          <w:rFonts w:ascii="Arial" w:hAnsi="Arial" w:cs="Arial"/>
          <w:bCs/>
          <w:sz w:val="22"/>
          <w:szCs w:val="22"/>
          <w:lang w:val="fr-FR"/>
        </w:rPr>
        <w:t xml:space="preserve"> également suscité une opposition, car aucune date n</w:t>
      </w:r>
      <w:r w:rsidR="008E532B">
        <w:rPr>
          <w:rFonts w:ascii="Arial" w:hAnsi="Arial" w:cs="Arial"/>
          <w:bCs/>
          <w:sz w:val="22"/>
          <w:szCs w:val="22"/>
          <w:lang w:val="fr-FR"/>
        </w:rPr>
        <w:t>’</w:t>
      </w:r>
      <w:r w:rsidRPr="000866E0">
        <w:rPr>
          <w:rFonts w:ascii="Arial" w:hAnsi="Arial" w:cs="Arial"/>
          <w:bCs/>
          <w:sz w:val="22"/>
          <w:szCs w:val="22"/>
          <w:lang w:val="fr-FR"/>
        </w:rPr>
        <w:t>a</w:t>
      </w:r>
      <w:r>
        <w:rPr>
          <w:rFonts w:ascii="Arial" w:hAnsi="Arial" w:cs="Arial"/>
          <w:bCs/>
          <w:sz w:val="22"/>
          <w:szCs w:val="22"/>
          <w:lang w:val="fr-FR"/>
        </w:rPr>
        <w:t>vait</w:t>
      </w:r>
      <w:r w:rsidRPr="000866E0">
        <w:rPr>
          <w:rFonts w:ascii="Arial" w:hAnsi="Arial" w:cs="Arial"/>
          <w:bCs/>
          <w:sz w:val="22"/>
          <w:szCs w:val="22"/>
          <w:lang w:val="fr-FR"/>
        </w:rPr>
        <w:t xml:space="preserve"> été préférée. La troisième option propos</w:t>
      </w:r>
      <w:r>
        <w:rPr>
          <w:rFonts w:ascii="Arial" w:hAnsi="Arial" w:cs="Arial"/>
          <w:bCs/>
          <w:sz w:val="22"/>
          <w:szCs w:val="22"/>
          <w:lang w:val="fr-FR"/>
        </w:rPr>
        <w:t>ait « </w:t>
      </w:r>
      <w:r w:rsidRPr="000866E0">
        <w:rPr>
          <w:rFonts w:ascii="Arial" w:hAnsi="Arial" w:cs="Arial"/>
          <w:bCs/>
          <w:sz w:val="22"/>
          <w:szCs w:val="22"/>
          <w:lang w:val="fr-FR"/>
        </w:rPr>
        <w:t>dès que possible</w:t>
      </w:r>
      <w:r>
        <w:rPr>
          <w:rFonts w:ascii="Arial" w:hAnsi="Arial" w:cs="Arial"/>
          <w:bCs/>
          <w:sz w:val="22"/>
          <w:szCs w:val="22"/>
          <w:lang w:val="fr-FR"/>
        </w:rPr>
        <w:t> »</w:t>
      </w:r>
      <w:r w:rsidRPr="000866E0">
        <w:rPr>
          <w:rFonts w:ascii="Arial" w:hAnsi="Arial" w:cs="Arial"/>
          <w:bCs/>
          <w:sz w:val="22"/>
          <w:szCs w:val="22"/>
          <w:lang w:val="fr-FR"/>
        </w:rPr>
        <w:t xml:space="preserve"> avec une durée proposée. </w:t>
      </w:r>
      <w:r w:rsidR="000936CD" w:rsidRPr="000936CD">
        <w:rPr>
          <w:rFonts w:ascii="Arial" w:hAnsi="Arial" w:cs="Arial"/>
          <w:bCs/>
          <w:sz w:val="22"/>
          <w:szCs w:val="22"/>
          <w:lang w:val="fr-FR"/>
        </w:rPr>
        <w:t xml:space="preserve">Le Sous-Directeur général </w:t>
      </w:r>
      <w:r>
        <w:rPr>
          <w:rFonts w:ascii="Arial" w:hAnsi="Arial" w:cs="Arial"/>
          <w:bCs/>
          <w:sz w:val="22"/>
          <w:szCs w:val="22"/>
          <w:lang w:val="fr-FR"/>
        </w:rPr>
        <w:t xml:space="preserve">a </w:t>
      </w:r>
      <w:r w:rsidRPr="000866E0">
        <w:rPr>
          <w:rFonts w:ascii="Arial" w:hAnsi="Arial" w:cs="Arial"/>
          <w:bCs/>
          <w:sz w:val="22"/>
          <w:szCs w:val="22"/>
          <w:lang w:val="fr-FR"/>
        </w:rPr>
        <w:t>lanc</w:t>
      </w:r>
      <w:r>
        <w:rPr>
          <w:rFonts w:ascii="Arial" w:hAnsi="Arial" w:cs="Arial"/>
          <w:bCs/>
          <w:sz w:val="22"/>
          <w:szCs w:val="22"/>
          <w:lang w:val="fr-FR"/>
        </w:rPr>
        <w:t>é</w:t>
      </w:r>
      <w:r w:rsidRPr="000866E0">
        <w:rPr>
          <w:rFonts w:ascii="Arial" w:hAnsi="Arial" w:cs="Arial"/>
          <w:bCs/>
          <w:sz w:val="22"/>
          <w:szCs w:val="22"/>
          <w:lang w:val="fr-FR"/>
        </w:rPr>
        <w:t xml:space="preserve"> un appel à l</w:t>
      </w:r>
      <w:r w:rsidR="008E532B">
        <w:rPr>
          <w:rFonts w:ascii="Arial" w:hAnsi="Arial" w:cs="Arial"/>
          <w:bCs/>
          <w:sz w:val="22"/>
          <w:szCs w:val="22"/>
          <w:lang w:val="fr-FR"/>
        </w:rPr>
        <w:t>’</w:t>
      </w:r>
      <w:r w:rsidRPr="000866E0">
        <w:rPr>
          <w:rFonts w:ascii="Arial" w:hAnsi="Arial" w:cs="Arial"/>
          <w:bCs/>
          <w:sz w:val="22"/>
          <w:szCs w:val="22"/>
          <w:lang w:val="fr-FR"/>
        </w:rPr>
        <w:t xml:space="preserve">Assemblée </w:t>
      </w:r>
      <w:r>
        <w:rPr>
          <w:rFonts w:ascii="Arial" w:hAnsi="Arial" w:cs="Arial"/>
          <w:bCs/>
          <w:sz w:val="22"/>
          <w:szCs w:val="22"/>
          <w:lang w:val="fr-FR"/>
        </w:rPr>
        <w:t>afin</w:t>
      </w:r>
      <w:r w:rsidRPr="000866E0">
        <w:rPr>
          <w:rFonts w:ascii="Arial" w:hAnsi="Arial" w:cs="Arial"/>
          <w:bCs/>
          <w:sz w:val="22"/>
          <w:szCs w:val="22"/>
          <w:lang w:val="fr-FR"/>
        </w:rPr>
        <w:t xml:space="preserve"> qu</w:t>
      </w:r>
      <w:r w:rsidR="008E532B">
        <w:rPr>
          <w:rFonts w:ascii="Arial" w:hAnsi="Arial" w:cs="Arial"/>
          <w:bCs/>
          <w:sz w:val="22"/>
          <w:szCs w:val="22"/>
          <w:lang w:val="fr-FR"/>
        </w:rPr>
        <w:t>’</w:t>
      </w:r>
      <w:r w:rsidRPr="000866E0">
        <w:rPr>
          <w:rFonts w:ascii="Arial" w:hAnsi="Arial" w:cs="Arial"/>
          <w:bCs/>
          <w:sz w:val="22"/>
          <w:szCs w:val="22"/>
          <w:lang w:val="fr-FR"/>
        </w:rPr>
        <w:t>elle prenne une décision, notant que La Présidente cherch</w:t>
      </w:r>
      <w:r>
        <w:rPr>
          <w:rFonts w:ascii="Arial" w:hAnsi="Arial" w:cs="Arial"/>
          <w:bCs/>
          <w:sz w:val="22"/>
          <w:szCs w:val="22"/>
          <w:lang w:val="fr-FR"/>
        </w:rPr>
        <w:t>ait</w:t>
      </w:r>
      <w:r w:rsidRPr="000866E0">
        <w:rPr>
          <w:rFonts w:ascii="Arial" w:hAnsi="Arial" w:cs="Arial"/>
          <w:bCs/>
          <w:sz w:val="22"/>
          <w:szCs w:val="22"/>
          <w:lang w:val="fr-FR"/>
        </w:rPr>
        <w:t xml:space="preserve"> à savoir s</w:t>
      </w:r>
      <w:r w:rsidR="008E532B">
        <w:rPr>
          <w:rFonts w:ascii="Arial" w:hAnsi="Arial" w:cs="Arial"/>
          <w:bCs/>
          <w:sz w:val="22"/>
          <w:szCs w:val="22"/>
          <w:lang w:val="fr-FR"/>
        </w:rPr>
        <w:t>’</w:t>
      </w:r>
      <w:r w:rsidRPr="000866E0">
        <w:rPr>
          <w:rFonts w:ascii="Arial" w:hAnsi="Arial" w:cs="Arial"/>
          <w:bCs/>
          <w:sz w:val="22"/>
          <w:szCs w:val="22"/>
          <w:lang w:val="fr-FR"/>
        </w:rPr>
        <w:t>il y a</w:t>
      </w:r>
      <w:r>
        <w:rPr>
          <w:rFonts w:ascii="Arial" w:hAnsi="Arial" w:cs="Arial"/>
          <w:bCs/>
          <w:sz w:val="22"/>
          <w:szCs w:val="22"/>
          <w:lang w:val="fr-FR"/>
        </w:rPr>
        <w:t>vait</w:t>
      </w:r>
      <w:r w:rsidRPr="000866E0">
        <w:rPr>
          <w:rFonts w:ascii="Arial" w:hAnsi="Arial" w:cs="Arial"/>
          <w:bCs/>
          <w:sz w:val="22"/>
          <w:szCs w:val="22"/>
          <w:lang w:val="fr-FR"/>
        </w:rPr>
        <w:t xml:space="preserve"> une opposition à cette troisième version.</w:t>
      </w:r>
    </w:p>
    <w:p w14:paraId="59FF998D" w14:textId="29C3832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C23B1">
        <w:rPr>
          <w:rFonts w:ascii="Arial" w:hAnsi="Arial" w:cs="Arial"/>
          <w:b/>
          <w:sz w:val="22"/>
          <w:szCs w:val="22"/>
          <w:lang w:val="fr-FR"/>
        </w:rPr>
        <w:t>Présidente</w:t>
      </w:r>
      <w:r>
        <w:rPr>
          <w:rFonts w:ascii="Arial" w:hAnsi="Arial" w:cs="Arial"/>
          <w:bCs/>
          <w:sz w:val="22"/>
          <w:szCs w:val="22"/>
          <w:lang w:val="fr-FR"/>
        </w:rPr>
        <w:t xml:space="preserve"> a demandé ce qui se passerait si un délai était ajouté mais que l</w:t>
      </w:r>
      <w:r w:rsidR="008E532B">
        <w:rPr>
          <w:rFonts w:ascii="Arial" w:hAnsi="Arial" w:cs="Arial"/>
          <w:bCs/>
          <w:sz w:val="22"/>
          <w:szCs w:val="22"/>
          <w:lang w:val="fr-FR"/>
        </w:rPr>
        <w:t>’</w:t>
      </w:r>
      <w:r>
        <w:rPr>
          <w:rFonts w:ascii="Arial" w:hAnsi="Arial" w:cs="Arial"/>
          <w:bCs/>
          <w:sz w:val="22"/>
          <w:szCs w:val="22"/>
          <w:lang w:val="fr-FR"/>
        </w:rPr>
        <w:t>Assemblée ne parvenait pas à s</w:t>
      </w:r>
      <w:r w:rsidR="008E532B">
        <w:rPr>
          <w:rFonts w:ascii="Arial" w:hAnsi="Arial" w:cs="Arial"/>
          <w:bCs/>
          <w:sz w:val="22"/>
          <w:szCs w:val="22"/>
          <w:lang w:val="fr-FR"/>
        </w:rPr>
        <w:t>’</w:t>
      </w:r>
      <w:r>
        <w:rPr>
          <w:rFonts w:ascii="Arial" w:hAnsi="Arial" w:cs="Arial"/>
          <w:bCs/>
          <w:sz w:val="22"/>
          <w:szCs w:val="22"/>
          <w:lang w:val="fr-FR"/>
        </w:rPr>
        <w:t>y conformer dans le temps imparti.</w:t>
      </w:r>
    </w:p>
    <w:p w14:paraId="3DB290BD" w14:textId="11C4429C"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proofErr w:type="gramStart"/>
      <w:r w:rsidRPr="009C23B1">
        <w:rPr>
          <w:rFonts w:ascii="Arial" w:hAnsi="Arial" w:cs="Arial"/>
          <w:bCs/>
          <w:sz w:val="22"/>
          <w:szCs w:val="22"/>
          <w:lang w:val="fr-FR"/>
        </w:rPr>
        <w:t>Suite à</w:t>
      </w:r>
      <w:proofErr w:type="gramEnd"/>
      <w:r w:rsidRPr="009C23B1">
        <w:rPr>
          <w:rFonts w:ascii="Arial" w:hAnsi="Arial" w:cs="Arial"/>
          <w:bCs/>
          <w:sz w:val="22"/>
          <w:szCs w:val="22"/>
          <w:lang w:val="fr-FR"/>
        </w:rPr>
        <w:t xml:space="preserve"> l</w:t>
      </w:r>
      <w:r w:rsidR="008E532B">
        <w:rPr>
          <w:rFonts w:ascii="Arial" w:hAnsi="Arial" w:cs="Arial"/>
          <w:bCs/>
          <w:sz w:val="22"/>
          <w:szCs w:val="22"/>
          <w:lang w:val="fr-FR"/>
        </w:rPr>
        <w:t>’</w:t>
      </w:r>
      <w:r w:rsidRPr="009C23B1">
        <w:rPr>
          <w:rFonts w:ascii="Arial" w:hAnsi="Arial" w:cs="Arial"/>
          <w:bCs/>
          <w:sz w:val="22"/>
          <w:szCs w:val="22"/>
          <w:lang w:val="fr-FR"/>
        </w:rPr>
        <w:t>explication donnée par le Sous-Directeur général sur les options, la délégation de l</w:t>
      </w:r>
      <w:r w:rsidR="008E532B">
        <w:rPr>
          <w:rFonts w:ascii="Arial" w:hAnsi="Arial" w:cs="Arial"/>
          <w:bCs/>
          <w:sz w:val="22"/>
          <w:szCs w:val="22"/>
          <w:lang w:val="fr-FR"/>
        </w:rPr>
        <w:t>’</w:t>
      </w:r>
      <w:r w:rsidRPr="009C23B1">
        <w:rPr>
          <w:rFonts w:ascii="Arial" w:hAnsi="Arial" w:cs="Arial"/>
          <w:b/>
          <w:sz w:val="22"/>
          <w:szCs w:val="22"/>
          <w:lang w:val="fr-FR"/>
        </w:rPr>
        <w:t>Azerbaïdjan</w:t>
      </w:r>
      <w:r w:rsidRPr="009C23B1">
        <w:rPr>
          <w:rFonts w:ascii="Arial" w:hAnsi="Arial" w:cs="Arial"/>
          <w:bCs/>
          <w:sz w:val="22"/>
          <w:szCs w:val="22"/>
          <w:lang w:val="fr-FR"/>
        </w:rPr>
        <w:t xml:space="preserve"> </w:t>
      </w:r>
      <w:r>
        <w:rPr>
          <w:rFonts w:ascii="Arial" w:hAnsi="Arial" w:cs="Arial"/>
          <w:bCs/>
          <w:sz w:val="22"/>
          <w:szCs w:val="22"/>
          <w:lang w:val="fr-FR"/>
        </w:rPr>
        <w:t xml:space="preserve">a </w:t>
      </w:r>
      <w:r w:rsidRPr="009C23B1">
        <w:rPr>
          <w:rFonts w:ascii="Arial" w:hAnsi="Arial" w:cs="Arial"/>
          <w:bCs/>
          <w:sz w:val="22"/>
          <w:szCs w:val="22"/>
          <w:lang w:val="fr-FR"/>
        </w:rPr>
        <w:t>souhait</w:t>
      </w:r>
      <w:r>
        <w:rPr>
          <w:rFonts w:ascii="Arial" w:hAnsi="Arial" w:cs="Arial"/>
          <w:bCs/>
          <w:sz w:val="22"/>
          <w:szCs w:val="22"/>
          <w:lang w:val="fr-FR"/>
        </w:rPr>
        <w:t>é</w:t>
      </w:r>
      <w:r w:rsidRPr="009C23B1">
        <w:rPr>
          <w:rFonts w:ascii="Arial" w:hAnsi="Arial" w:cs="Arial"/>
          <w:bCs/>
          <w:sz w:val="22"/>
          <w:szCs w:val="22"/>
          <w:lang w:val="fr-FR"/>
        </w:rPr>
        <w:t xml:space="preserve"> voir toutes les options </w:t>
      </w:r>
      <w:r>
        <w:rPr>
          <w:rFonts w:ascii="Arial" w:hAnsi="Arial" w:cs="Arial"/>
          <w:bCs/>
          <w:sz w:val="22"/>
          <w:szCs w:val="22"/>
          <w:lang w:val="fr-FR"/>
        </w:rPr>
        <w:t xml:space="preserve">affichées </w:t>
      </w:r>
      <w:r w:rsidRPr="009C23B1">
        <w:rPr>
          <w:rFonts w:ascii="Arial" w:hAnsi="Arial" w:cs="Arial"/>
          <w:bCs/>
          <w:sz w:val="22"/>
          <w:szCs w:val="22"/>
          <w:lang w:val="fr-FR"/>
        </w:rPr>
        <w:t>à l</w:t>
      </w:r>
      <w:r w:rsidR="008E532B">
        <w:rPr>
          <w:rFonts w:ascii="Arial" w:hAnsi="Arial" w:cs="Arial"/>
          <w:bCs/>
          <w:sz w:val="22"/>
          <w:szCs w:val="22"/>
          <w:lang w:val="fr-FR"/>
        </w:rPr>
        <w:t>’</w:t>
      </w:r>
      <w:r w:rsidRPr="009C23B1">
        <w:rPr>
          <w:rFonts w:ascii="Arial" w:hAnsi="Arial" w:cs="Arial"/>
          <w:bCs/>
          <w:sz w:val="22"/>
          <w:szCs w:val="22"/>
          <w:lang w:val="fr-FR"/>
        </w:rPr>
        <w:t xml:space="preserve">écran, car cela faciliterait la tâche. Pour </w:t>
      </w:r>
      <w:r>
        <w:rPr>
          <w:rFonts w:ascii="Arial" w:hAnsi="Arial" w:cs="Arial"/>
          <w:bCs/>
          <w:sz w:val="22"/>
          <w:szCs w:val="22"/>
          <w:lang w:val="fr-FR"/>
        </w:rPr>
        <w:t xml:space="preserve">parvenir à associer </w:t>
      </w:r>
      <w:r w:rsidRPr="009C23B1">
        <w:rPr>
          <w:rFonts w:ascii="Arial" w:hAnsi="Arial" w:cs="Arial"/>
          <w:bCs/>
          <w:sz w:val="22"/>
          <w:szCs w:val="22"/>
          <w:lang w:val="fr-FR"/>
        </w:rPr>
        <w:t>l</w:t>
      </w:r>
      <w:r>
        <w:rPr>
          <w:rFonts w:ascii="Arial" w:hAnsi="Arial" w:cs="Arial"/>
          <w:bCs/>
          <w:sz w:val="22"/>
          <w:szCs w:val="22"/>
          <w:lang w:val="fr-FR"/>
        </w:rPr>
        <w:t>e terme « </w:t>
      </w:r>
      <w:r w:rsidRPr="009C23B1">
        <w:rPr>
          <w:rFonts w:ascii="Arial" w:hAnsi="Arial" w:cs="Arial"/>
          <w:bCs/>
          <w:sz w:val="22"/>
          <w:szCs w:val="22"/>
          <w:lang w:val="fr-FR"/>
        </w:rPr>
        <w:t>dès que possible</w:t>
      </w:r>
      <w:r>
        <w:rPr>
          <w:rFonts w:ascii="Arial" w:hAnsi="Arial" w:cs="Arial"/>
          <w:bCs/>
          <w:sz w:val="22"/>
          <w:szCs w:val="22"/>
          <w:lang w:val="fr-FR"/>
        </w:rPr>
        <w:t> »</w:t>
      </w:r>
      <w:r w:rsidRPr="009C23B1">
        <w:rPr>
          <w:rFonts w:ascii="Arial" w:hAnsi="Arial" w:cs="Arial"/>
          <w:bCs/>
          <w:sz w:val="22"/>
          <w:szCs w:val="22"/>
          <w:lang w:val="fr-FR"/>
        </w:rPr>
        <w:t xml:space="preserve"> </w:t>
      </w:r>
      <w:r>
        <w:rPr>
          <w:rFonts w:ascii="Arial" w:hAnsi="Arial" w:cs="Arial"/>
          <w:bCs/>
          <w:sz w:val="22"/>
          <w:szCs w:val="22"/>
          <w:lang w:val="fr-FR"/>
        </w:rPr>
        <w:t xml:space="preserve">à </w:t>
      </w:r>
      <w:r w:rsidRPr="009C23B1">
        <w:rPr>
          <w:rFonts w:ascii="Arial" w:hAnsi="Arial" w:cs="Arial"/>
          <w:bCs/>
          <w:sz w:val="22"/>
          <w:szCs w:val="22"/>
          <w:lang w:val="fr-FR"/>
        </w:rPr>
        <w:t xml:space="preserve">un nombre de jours, elle </w:t>
      </w:r>
      <w:r>
        <w:rPr>
          <w:rFonts w:ascii="Arial" w:hAnsi="Arial" w:cs="Arial"/>
          <w:bCs/>
          <w:sz w:val="22"/>
          <w:szCs w:val="22"/>
          <w:lang w:val="fr-FR"/>
        </w:rPr>
        <w:t xml:space="preserve">a </w:t>
      </w:r>
      <w:r w:rsidRPr="009C23B1">
        <w:rPr>
          <w:rFonts w:ascii="Arial" w:hAnsi="Arial" w:cs="Arial"/>
          <w:bCs/>
          <w:sz w:val="22"/>
          <w:szCs w:val="22"/>
          <w:lang w:val="fr-FR"/>
        </w:rPr>
        <w:t>sugg</w:t>
      </w:r>
      <w:r>
        <w:rPr>
          <w:rFonts w:ascii="Arial" w:hAnsi="Arial" w:cs="Arial"/>
          <w:bCs/>
          <w:sz w:val="22"/>
          <w:szCs w:val="22"/>
          <w:lang w:val="fr-FR"/>
        </w:rPr>
        <w:t>éré</w:t>
      </w:r>
      <w:r w:rsidRPr="009C23B1">
        <w:rPr>
          <w:rFonts w:ascii="Arial" w:hAnsi="Arial" w:cs="Arial"/>
          <w:bCs/>
          <w:sz w:val="22"/>
          <w:szCs w:val="22"/>
          <w:lang w:val="fr-FR"/>
        </w:rPr>
        <w:t xml:space="preserve"> </w:t>
      </w:r>
      <w:r>
        <w:rPr>
          <w:rFonts w:ascii="Arial" w:hAnsi="Arial" w:cs="Arial"/>
          <w:bCs/>
          <w:sz w:val="22"/>
          <w:szCs w:val="22"/>
          <w:lang w:val="fr-FR"/>
        </w:rPr>
        <w:t>« </w:t>
      </w:r>
      <w:r w:rsidRPr="009C23B1">
        <w:rPr>
          <w:rFonts w:ascii="Arial" w:hAnsi="Arial" w:cs="Arial"/>
          <w:bCs/>
          <w:sz w:val="22"/>
          <w:szCs w:val="22"/>
          <w:lang w:val="fr-FR"/>
        </w:rPr>
        <w:t xml:space="preserve">dès que possible mais </w:t>
      </w:r>
      <w:r>
        <w:rPr>
          <w:rFonts w:ascii="Arial" w:hAnsi="Arial" w:cs="Arial"/>
          <w:bCs/>
          <w:sz w:val="22"/>
          <w:szCs w:val="22"/>
          <w:lang w:val="fr-FR"/>
        </w:rPr>
        <w:t>dans la limite de soixante</w:t>
      </w:r>
      <w:r w:rsidRPr="009C23B1">
        <w:rPr>
          <w:rFonts w:ascii="Arial" w:hAnsi="Arial" w:cs="Arial"/>
          <w:bCs/>
          <w:sz w:val="22"/>
          <w:szCs w:val="22"/>
          <w:lang w:val="fr-FR"/>
        </w:rPr>
        <w:t xml:space="preserve"> jours</w:t>
      </w:r>
      <w:r>
        <w:rPr>
          <w:rFonts w:ascii="Arial" w:hAnsi="Arial" w:cs="Arial"/>
          <w:bCs/>
          <w:sz w:val="22"/>
          <w:szCs w:val="22"/>
          <w:lang w:val="fr-FR"/>
        </w:rPr>
        <w:t> »</w:t>
      </w:r>
      <w:r w:rsidRPr="009C23B1">
        <w:rPr>
          <w:rFonts w:ascii="Arial" w:hAnsi="Arial" w:cs="Arial"/>
          <w:bCs/>
          <w:sz w:val="22"/>
          <w:szCs w:val="22"/>
          <w:lang w:val="fr-FR"/>
        </w:rPr>
        <w:t>. Cela offrirait une certaine flexibilité</w:t>
      </w:r>
      <w:r>
        <w:rPr>
          <w:rFonts w:ascii="Arial" w:hAnsi="Arial" w:cs="Arial"/>
          <w:bCs/>
          <w:sz w:val="22"/>
          <w:szCs w:val="22"/>
          <w:lang w:val="fr-FR"/>
        </w:rPr>
        <w:t xml:space="preserve"> </w:t>
      </w:r>
      <w:r w:rsidRPr="005667AF">
        <w:rPr>
          <w:rFonts w:ascii="Arial" w:hAnsi="Arial" w:cs="Arial"/>
          <w:bCs/>
          <w:sz w:val="22"/>
          <w:szCs w:val="22"/>
          <w:lang w:val="fr-FR"/>
        </w:rPr>
        <w:t>en ce qui concerne</w:t>
      </w:r>
      <w:r>
        <w:rPr>
          <w:rFonts w:ascii="Arial" w:hAnsi="Arial" w:cs="Arial"/>
          <w:bCs/>
          <w:sz w:val="22"/>
          <w:szCs w:val="22"/>
          <w:lang w:val="fr-FR"/>
        </w:rPr>
        <w:t xml:space="preserve"> la fixation du </w:t>
      </w:r>
      <w:r w:rsidRPr="009C23B1">
        <w:rPr>
          <w:rFonts w:ascii="Arial" w:hAnsi="Arial" w:cs="Arial"/>
          <w:bCs/>
          <w:sz w:val="22"/>
          <w:szCs w:val="22"/>
          <w:lang w:val="fr-FR"/>
        </w:rPr>
        <w:t>début de la date provisoire et de la fin, afin que cela ne prenne pas plus de soixante jours.</w:t>
      </w:r>
    </w:p>
    <w:p w14:paraId="06676653" w14:textId="302B17FB" w:rsidR="00D9653F" w:rsidRPr="005667A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667AF">
        <w:rPr>
          <w:rFonts w:ascii="Arial" w:hAnsi="Arial" w:cs="Arial"/>
          <w:bCs/>
          <w:sz w:val="22"/>
          <w:szCs w:val="22"/>
          <w:lang w:val="fr-FR"/>
        </w:rPr>
        <w:t xml:space="preserve">La délégation du </w:t>
      </w:r>
      <w:r w:rsidRPr="005667AF">
        <w:rPr>
          <w:rFonts w:ascii="Arial" w:hAnsi="Arial" w:cs="Arial"/>
          <w:b/>
          <w:sz w:val="22"/>
          <w:szCs w:val="22"/>
          <w:lang w:val="fr-FR"/>
        </w:rPr>
        <w:t>Koweït</w:t>
      </w:r>
      <w:r>
        <w:rPr>
          <w:rFonts w:ascii="Arial" w:hAnsi="Arial" w:cs="Arial"/>
          <w:bCs/>
          <w:sz w:val="22"/>
          <w:szCs w:val="22"/>
          <w:lang w:val="fr-FR"/>
        </w:rPr>
        <w:t>, qui cherchait à aller de l</w:t>
      </w:r>
      <w:r w:rsidR="008E532B">
        <w:rPr>
          <w:rFonts w:ascii="Arial" w:hAnsi="Arial" w:cs="Arial"/>
          <w:bCs/>
          <w:sz w:val="22"/>
          <w:szCs w:val="22"/>
          <w:lang w:val="fr-FR"/>
        </w:rPr>
        <w:t>’</w:t>
      </w:r>
      <w:r>
        <w:rPr>
          <w:rFonts w:ascii="Arial" w:hAnsi="Arial" w:cs="Arial"/>
          <w:bCs/>
          <w:sz w:val="22"/>
          <w:szCs w:val="22"/>
          <w:lang w:val="fr-FR"/>
        </w:rPr>
        <w:t xml:space="preserve">avant, a </w:t>
      </w:r>
      <w:r w:rsidRPr="005667AF">
        <w:rPr>
          <w:rFonts w:ascii="Arial" w:hAnsi="Arial" w:cs="Arial"/>
          <w:bCs/>
          <w:sz w:val="22"/>
          <w:szCs w:val="22"/>
          <w:lang w:val="fr-FR"/>
        </w:rPr>
        <w:t>expliqu</w:t>
      </w:r>
      <w:r>
        <w:rPr>
          <w:rFonts w:ascii="Arial" w:hAnsi="Arial" w:cs="Arial"/>
          <w:bCs/>
          <w:sz w:val="22"/>
          <w:szCs w:val="22"/>
          <w:lang w:val="fr-FR"/>
        </w:rPr>
        <w:t>é</w:t>
      </w:r>
      <w:r w:rsidRPr="005667AF">
        <w:rPr>
          <w:rFonts w:ascii="Arial" w:hAnsi="Arial" w:cs="Arial"/>
          <w:bCs/>
          <w:sz w:val="22"/>
          <w:szCs w:val="22"/>
          <w:lang w:val="fr-FR"/>
        </w:rPr>
        <w:t xml:space="preserve"> qu</w:t>
      </w:r>
      <w:r w:rsidR="008E532B">
        <w:rPr>
          <w:rFonts w:ascii="Arial" w:hAnsi="Arial" w:cs="Arial"/>
          <w:bCs/>
          <w:sz w:val="22"/>
          <w:szCs w:val="22"/>
          <w:lang w:val="fr-FR"/>
        </w:rPr>
        <w:t>’</w:t>
      </w:r>
      <w:r w:rsidRPr="005667AF">
        <w:rPr>
          <w:rFonts w:ascii="Arial" w:hAnsi="Arial" w:cs="Arial"/>
          <w:bCs/>
          <w:sz w:val="22"/>
          <w:szCs w:val="22"/>
          <w:lang w:val="fr-FR"/>
        </w:rPr>
        <w:t xml:space="preserve">elle avait prévu une certaine flexibilité dans son amendement </w:t>
      </w:r>
      <w:proofErr w:type="gramStart"/>
      <w:r w:rsidRPr="005667AF">
        <w:rPr>
          <w:rFonts w:ascii="Arial" w:hAnsi="Arial" w:cs="Arial"/>
          <w:bCs/>
          <w:sz w:val="22"/>
          <w:szCs w:val="22"/>
          <w:lang w:val="fr-FR"/>
        </w:rPr>
        <w:t>suite à</w:t>
      </w:r>
      <w:proofErr w:type="gramEnd"/>
      <w:r w:rsidRPr="005667AF">
        <w:rPr>
          <w:rFonts w:ascii="Arial" w:hAnsi="Arial" w:cs="Arial"/>
          <w:bCs/>
          <w:sz w:val="22"/>
          <w:szCs w:val="22"/>
          <w:lang w:val="fr-FR"/>
        </w:rPr>
        <w:t xml:space="preserve"> la proposition de Türkiye et après avoir écouté le Conseiller juridique. Il était entendu qu</w:t>
      </w:r>
      <w:r>
        <w:rPr>
          <w:rFonts w:ascii="Arial" w:hAnsi="Arial" w:cs="Arial"/>
          <w:bCs/>
          <w:sz w:val="22"/>
          <w:szCs w:val="22"/>
          <w:lang w:val="fr-FR"/>
        </w:rPr>
        <w:t xml:space="preserve">e, </w:t>
      </w:r>
      <w:r w:rsidRPr="005667AF">
        <w:rPr>
          <w:rFonts w:ascii="Arial" w:hAnsi="Arial" w:cs="Arial"/>
          <w:bCs/>
          <w:sz w:val="22"/>
          <w:szCs w:val="22"/>
          <w:lang w:val="fr-FR"/>
        </w:rPr>
        <w:t>parfois</w:t>
      </w:r>
      <w:r>
        <w:rPr>
          <w:rFonts w:ascii="Arial" w:hAnsi="Arial" w:cs="Arial"/>
          <w:bCs/>
          <w:sz w:val="22"/>
          <w:szCs w:val="22"/>
          <w:lang w:val="fr-FR"/>
        </w:rPr>
        <w:t xml:space="preserve">, </w:t>
      </w:r>
      <w:r w:rsidRPr="005667AF">
        <w:rPr>
          <w:rFonts w:ascii="Arial" w:hAnsi="Arial" w:cs="Arial"/>
          <w:bCs/>
          <w:sz w:val="22"/>
          <w:szCs w:val="22"/>
          <w:lang w:val="fr-FR"/>
        </w:rPr>
        <w:t>une situation échappe au contrôle du Secrétariat. D</w:t>
      </w:r>
      <w:r w:rsidR="008E532B">
        <w:rPr>
          <w:rFonts w:ascii="Arial" w:hAnsi="Arial" w:cs="Arial"/>
          <w:bCs/>
          <w:sz w:val="22"/>
          <w:szCs w:val="22"/>
          <w:lang w:val="fr-FR"/>
        </w:rPr>
        <w:t>’</w:t>
      </w:r>
      <w:r w:rsidRPr="005667AF">
        <w:rPr>
          <w:rFonts w:ascii="Arial" w:hAnsi="Arial" w:cs="Arial"/>
          <w:bCs/>
          <w:sz w:val="22"/>
          <w:szCs w:val="22"/>
          <w:lang w:val="fr-FR"/>
        </w:rPr>
        <w:t xml:space="preserve">où son amendement </w:t>
      </w:r>
      <w:r>
        <w:rPr>
          <w:rFonts w:ascii="Arial" w:hAnsi="Arial" w:cs="Arial"/>
          <w:bCs/>
          <w:sz w:val="22"/>
          <w:szCs w:val="22"/>
          <w:lang w:val="fr-FR"/>
        </w:rPr>
        <w:t>« </w:t>
      </w:r>
      <w:r w:rsidRPr="005667AF">
        <w:rPr>
          <w:rFonts w:ascii="Arial" w:hAnsi="Arial" w:cs="Arial"/>
          <w:bCs/>
          <w:sz w:val="22"/>
          <w:szCs w:val="22"/>
          <w:lang w:val="fr-FR"/>
        </w:rPr>
        <w:t>sauf si cela n</w:t>
      </w:r>
      <w:r w:rsidR="008E532B">
        <w:rPr>
          <w:rFonts w:ascii="Arial" w:hAnsi="Arial" w:cs="Arial"/>
          <w:bCs/>
          <w:sz w:val="22"/>
          <w:szCs w:val="22"/>
          <w:lang w:val="fr-FR"/>
        </w:rPr>
        <w:t>’</w:t>
      </w:r>
      <w:r w:rsidRPr="005667AF">
        <w:rPr>
          <w:rFonts w:ascii="Arial" w:hAnsi="Arial" w:cs="Arial"/>
          <w:bCs/>
          <w:sz w:val="22"/>
          <w:szCs w:val="22"/>
          <w:lang w:val="fr-FR"/>
        </w:rPr>
        <w:t>est pas possible d</w:t>
      </w:r>
      <w:r w:rsidR="008E532B">
        <w:rPr>
          <w:rFonts w:ascii="Arial" w:hAnsi="Arial" w:cs="Arial"/>
          <w:bCs/>
          <w:sz w:val="22"/>
          <w:szCs w:val="22"/>
          <w:lang w:val="fr-FR"/>
        </w:rPr>
        <w:t>’</w:t>
      </w:r>
      <w:r w:rsidRPr="005667AF">
        <w:rPr>
          <w:rFonts w:ascii="Arial" w:hAnsi="Arial" w:cs="Arial"/>
          <w:bCs/>
          <w:sz w:val="22"/>
          <w:szCs w:val="22"/>
          <w:lang w:val="fr-FR"/>
        </w:rPr>
        <w:t>un point de vue logistique</w:t>
      </w:r>
      <w:r>
        <w:rPr>
          <w:rFonts w:ascii="Arial" w:hAnsi="Arial" w:cs="Arial"/>
          <w:bCs/>
          <w:sz w:val="22"/>
          <w:szCs w:val="22"/>
          <w:lang w:val="fr-FR"/>
        </w:rPr>
        <w:t> »</w:t>
      </w:r>
      <w:r w:rsidRPr="005667AF">
        <w:rPr>
          <w:rFonts w:ascii="Arial" w:hAnsi="Arial" w:cs="Arial"/>
          <w:bCs/>
          <w:sz w:val="22"/>
          <w:szCs w:val="22"/>
          <w:lang w:val="fr-FR"/>
        </w:rPr>
        <w:t>, avec l</w:t>
      </w:r>
      <w:r w:rsidR="008E532B">
        <w:rPr>
          <w:rFonts w:ascii="Arial" w:hAnsi="Arial" w:cs="Arial"/>
          <w:bCs/>
          <w:sz w:val="22"/>
          <w:szCs w:val="22"/>
          <w:lang w:val="fr-FR"/>
        </w:rPr>
        <w:t>’</w:t>
      </w:r>
      <w:r w:rsidRPr="005667AF">
        <w:rPr>
          <w:rFonts w:ascii="Arial" w:hAnsi="Arial" w:cs="Arial"/>
          <w:bCs/>
          <w:sz w:val="22"/>
          <w:szCs w:val="22"/>
          <w:lang w:val="fr-FR"/>
        </w:rPr>
        <w:t>ajout d</w:t>
      </w:r>
      <w:r w:rsidR="008E532B">
        <w:rPr>
          <w:rFonts w:ascii="Arial" w:hAnsi="Arial" w:cs="Arial"/>
          <w:bCs/>
          <w:sz w:val="22"/>
          <w:szCs w:val="22"/>
          <w:lang w:val="fr-FR"/>
        </w:rPr>
        <w:t>’</w:t>
      </w:r>
      <w:r w:rsidRPr="005667AF">
        <w:rPr>
          <w:rFonts w:ascii="Arial" w:hAnsi="Arial" w:cs="Arial"/>
          <w:bCs/>
          <w:sz w:val="22"/>
          <w:szCs w:val="22"/>
          <w:lang w:val="fr-FR"/>
        </w:rPr>
        <w:t>un nombre de jours précis (quarante</w:t>
      </w:r>
      <w:r>
        <w:rPr>
          <w:rFonts w:ascii="Arial" w:hAnsi="Arial" w:cs="Arial"/>
          <w:bCs/>
          <w:sz w:val="22"/>
          <w:szCs w:val="22"/>
          <w:lang w:val="fr-FR"/>
        </w:rPr>
        <w:noBreakHyphen/>
      </w:r>
      <w:r w:rsidRPr="005667AF">
        <w:rPr>
          <w:rFonts w:ascii="Arial" w:hAnsi="Arial" w:cs="Arial"/>
          <w:bCs/>
          <w:sz w:val="22"/>
          <w:szCs w:val="22"/>
          <w:lang w:val="fr-FR"/>
        </w:rPr>
        <w:t>cinq ou soixante jours), qui offr</w:t>
      </w:r>
      <w:r>
        <w:rPr>
          <w:rFonts w:ascii="Arial" w:hAnsi="Arial" w:cs="Arial"/>
          <w:bCs/>
          <w:sz w:val="22"/>
          <w:szCs w:val="22"/>
          <w:lang w:val="fr-FR"/>
        </w:rPr>
        <w:t>ait</w:t>
      </w:r>
      <w:r w:rsidRPr="005667AF">
        <w:rPr>
          <w:rFonts w:ascii="Arial" w:hAnsi="Arial" w:cs="Arial"/>
          <w:bCs/>
          <w:sz w:val="22"/>
          <w:szCs w:val="22"/>
          <w:lang w:val="fr-FR"/>
        </w:rPr>
        <w:t xml:space="preserve"> une certaine souplesse et t</w:t>
      </w:r>
      <w:r>
        <w:rPr>
          <w:rFonts w:ascii="Arial" w:hAnsi="Arial" w:cs="Arial"/>
          <w:bCs/>
          <w:sz w:val="22"/>
          <w:szCs w:val="22"/>
          <w:lang w:val="fr-FR"/>
        </w:rPr>
        <w:t>enait</w:t>
      </w:r>
      <w:r w:rsidRPr="005667AF">
        <w:rPr>
          <w:rFonts w:ascii="Arial" w:hAnsi="Arial" w:cs="Arial"/>
          <w:bCs/>
          <w:sz w:val="22"/>
          <w:szCs w:val="22"/>
          <w:lang w:val="fr-FR"/>
        </w:rPr>
        <w:t xml:space="preserve"> compte des différentes positions. La délégation a appelé les États parties à approuver cette option et à aller de l</w:t>
      </w:r>
      <w:r w:rsidR="008E532B">
        <w:rPr>
          <w:rFonts w:ascii="Arial" w:hAnsi="Arial" w:cs="Arial"/>
          <w:bCs/>
          <w:sz w:val="22"/>
          <w:szCs w:val="22"/>
          <w:lang w:val="fr-FR"/>
        </w:rPr>
        <w:t>’</w:t>
      </w:r>
      <w:r w:rsidRPr="005667AF">
        <w:rPr>
          <w:rFonts w:ascii="Arial" w:hAnsi="Arial" w:cs="Arial"/>
          <w:bCs/>
          <w:sz w:val="22"/>
          <w:szCs w:val="22"/>
          <w:lang w:val="fr-FR"/>
        </w:rPr>
        <w:t>avant afin de se concentrer sur les autres amendements importants.</w:t>
      </w:r>
    </w:p>
    <w:p w14:paraId="47CD3274" w14:textId="224833A5" w:rsidR="00D9653F" w:rsidRPr="005667A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667AF">
        <w:rPr>
          <w:rFonts w:ascii="Arial" w:hAnsi="Arial" w:cs="Arial"/>
          <w:bCs/>
          <w:sz w:val="22"/>
          <w:szCs w:val="22"/>
          <w:lang w:val="fr-FR"/>
        </w:rPr>
        <w:t xml:space="preserve">La délégation de la </w:t>
      </w:r>
      <w:r w:rsidRPr="005667AF">
        <w:rPr>
          <w:rFonts w:ascii="Arial" w:hAnsi="Arial" w:cs="Arial"/>
          <w:b/>
          <w:sz w:val="22"/>
          <w:szCs w:val="22"/>
          <w:lang w:val="fr-FR"/>
        </w:rPr>
        <w:t>Hongrie</w:t>
      </w:r>
      <w:r w:rsidRPr="005667AF">
        <w:rPr>
          <w:rFonts w:ascii="Arial" w:hAnsi="Arial" w:cs="Arial"/>
          <w:bCs/>
          <w:sz w:val="22"/>
          <w:szCs w:val="22"/>
          <w:lang w:val="fr-FR"/>
        </w:rPr>
        <w:t xml:space="preserve"> a suggéré une solution de compromis</w:t>
      </w:r>
      <w:r>
        <w:rPr>
          <w:rFonts w:ascii="Arial" w:hAnsi="Arial" w:cs="Arial"/>
          <w:bCs/>
          <w:sz w:val="22"/>
          <w:szCs w:val="22"/>
          <w:lang w:val="fr-FR"/>
        </w:rPr>
        <w:t>,</w:t>
      </w:r>
      <w:r w:rsidRPr="005667AF">
        <w:rPr>
          <w:rFonts w:ascii="Arial" w:hAnsi="Arial" w:cs="Arial"/>
          <w:bCs/>
          <w:sz w:val="22"/>
          <w:szCs w:val="22"/>
          <w:lang w:val="fr-FR"/>
        </w:rPr>
        <w:t xml:space="preserve"> tirée de la Convention de 1972 sur la convocation d</w:t>
      </w:r>
      <w:r w:rsidR="008E532B">
        <w:rPr>
          <w:rFonts w:ascii="Arial" w:hAnsi="Arial" w:cs="Arial"/>
          <w:bCs/>
          <w:sz w:val="22"/>
          <w:szCs w:val="22"/>
          <w:lang w:val="fr-FR"/>
        </w:rPr>
        <w:t>’</w:t>
      </w:r>
      <w:r w:rsidRPr="005667AF">
        <w:rPr>
          <w:rFonts w:ascii="Arial" w:hAnsi="Arial" w:cs="Arial"/>
          <w:bCs/>
          <w:sz w:val="22"/>
          <w:szCs w:val="22"/>
          <w:lang w:val="fr-FR"/>
        </w:rPr>
        <w:t>une session, qui se réfère au Comité mais pourrait s</w:t>
      </w:r>
      <w:r w:rsidR="008E532B">
        <w:rPr>
          <w:rFonts w:ascii="Arial" w:hAnsi="Arial" w:cs="Arial"/>
          <w:bCs/>
          <w:sz w:val="22"/>
          <w:szCs w:val="22"/>
          <w:lang w:val="fr-FR"/>
        </w:rPr>
        <w:t>’</w:t>
      </w:r>
      <w:r w:rsidRPr="005667AF">
        <w:rPr>
          <w:rFonts w:ascii="Arial" w:hAnsi="Arial" w:cs="Arial"/>
          <w:bCs/>
          <w:sz w:val="22"/>
          <w:szCs w:val="22"/>
          <w:lang w:val="fr-FR"/>
        </w:rPr>
        <w:t>appliquer dans ce cas</w:t>
      </w:r>
      <w:r>
        <w:rPr>
          <w:rFonts w:ascii="Arial" w:hAnsi="Arial" w:cs="Arial"/>
          <w:bCs/>
          <w:sz w:val="22"/>
          <w:szCs w:val="22"/>
          <w:lang w:val="fr-FR"/>
        </w:rPr>
        <w:t xml:space="preserve"> précis</w:t>
      </w:r>
      <w:r w:rsidRPr="005667AF">
        <w:rPr>
          <w:rFonts w:ascii="Arial" w:hAnsi="Arial" w:cs="Arial"/>
          <w:bCs/>
          <w:sz w:val="22"/>
          <w:szCs w:val="22"/>
          <w:lang w:val="fr-FR"/>
        </w:rPr>
        <w:t>. L</w:t>
      </w:r>
      <w:r w:rsidR="008E532B">
        <w:rPr>
          <w:rFonts w:ascii="Arial" w:hAnsi="Arial" w:cs="Arial"/>
          <w:bCs/>
          <w:sz w:val="22"/>
          <w:szCs w:val="22"/>
          <w:lang w:val="fr-FR"/>
        </w:rPr>
        <w:t>’</w:t>
      </w:r>
      <w:r>
        <w:rPr>
          <w:rFonts w:ascii="Arial" w:hAnsi="Arial" w:cs="Arial"/>
          <w:bCs/>
          <w:sz w:val="22"/>
          <w:szCs w:val="22"/>
          <w:lang w:val="fr-FR"/>
        </w:rPr>
        <w:t>article</w:t>
      </w:r>
      <w:r w:rsidRPr="005667AF">
        <w:rPr>
          <w:rFonts w:ascii="Arial" w:hAnsi="Arial" w:cs="Arial"/>
          <w:bCs/>
          <w:sz w:val="22"/>
          <w:szCs w:val="22"/>
          <w:lang w:val="fr-FR"/>
        </w:rPr>
        <w:t xml:space="preserve"> </w:t>
      </w:r>
      <w:r>
        <w:rPr>
          <w:rFonts w:ascii="Arial" w:hAnsi="Arial" w:cs="Arial"/>
          <w:bCs/>
          <w:sz w:val="22"/>
          <w:szCs w:val="22"/>
          <w:lang w:val="fr-FR"/>
        </w:rPr>
        <w:t>était</w:t>
      </w:r>
      <w:r w:rsidRPr="005667AF">
        <w:rPr>
          <w:rFonts w:ascii="Arial" w:hAnsi="Arial" w:cs="Arial"/>
          <w:bCs/>
          <w:sz w:val="22"/>
          <w:szCs w:val="22"/>
          <w:lang w:val="fr-FR"/>
        </w:rPr>
        <w:t xml:space="preserve"> </w:t>
      </w:r>
      <w:r>
        <w:rPr>
          <w:rFonts w:ascii="Arial" w:hAnsi="Arial" w:cs="Arial"/>
          <w:bCs/>
          <w:sz w:val="22"/>
          <w:szCs w:val="22"/>
          <w:lang w:val="fr-FR"/>
        </w:rPr>
        <w:t>ainsi rédigé </w:t>
      </w:r>
      <w:r w:rsidRPr="005667AF">
        <w:rPr>
          <w:rFonts w:ascii="Arial" w:hAnsi="Arial" w:cs="Arial"/>
          <w:bCs/>
          <w:sz w:val="22"/>
          <w:szCs w:val="22"/>
          <w:lang w:val="fr-FR"/>
        </w:rPr>
        <w:t xml:space="preserve">: </w:t>
      </w:r>
      <w:r>
        <w:rPr>
          <w:rFonts w:ascii="Arial" w:hAnsi="Arial" w:cs="Arial"/>
          <w:bCs/>
          <w:sz w:val="22"/>
          <w:szCs w:val="22"/>
          <w:lang w:val="fr-FR"/>
        </w:rPr>
        <w:t>« </w:t>
      </w:r>
      <w:r w:rsidRPr="005667AF">
        <w:rPr>
          <w:rFonts w:ascii="Arial" w:hAnsi="Arial" w:cs="Arial"/>
          <w:bCs/>
          <w:sz w:val="22"/>
          <w:szCs w:val="22"/>
          <w:lang w:val="fr-FR"/>
        </w:rPr>
        <w:t>Le</w:t>
      </w:r>
      <w:r>
        <w:rPr>
          <w:rFonts w:ascii="Arial" w:hAnsi="Arial" w:cs="Arial"/>
          <w:bCs/>
          <w:sz w:val="22"/>
          <w:szCs w:val="22"/>
          <w:lang w:val="fr-FR"/>
        </w:rPr>
        <w:t xml:space="preserve">/la Directeur/Directrice général(e) informe les </w:t>
      </w:r>
      <w:r w:rsidRPr="005667AF">
        <w:rPr>
          <w:rFonts w:ascii="Arial" w:hAnsi="Arial" w:cs="Arial"/>
          <w:bCs/>
          <w:sz w:val="22"/>
          <w:szCs w:val="22"/>
          <w:lang w:val="fr-FR"/>
        </w:rPr>
        <w:t xml:space="preserve">États parties </w:t>
      </w:r>
      <w:r>
        <w:rPr>
          <w:rFonts w:ascii="Arial" w:hAnsi="Arial" w:cs="Arial"/>
          <w:bCs/>
          <w:sz w:val="22"/>
          <w:szCs w:val="22"/>
          <w:lang w:val="fr-FR"/>
        </w:rPr>
        <w:t xml:space="preserve">de </w:t>
      </w:r>
      <w:r w:rsidRPr="005667AF">
        <w:rPr>
          <w:rFonts w:ascii="Arial" w:hAnsi="Arial" w:cs="Arial"/>
          <w:bCs/>
          <w:sz w:val="22"/>
          <w:szCs w:val="22"/>
          <w:lang w:val="fr-FR"/>
        </w:rPr>
        <w:t>la convocation de la session extraordinaire, si possible dans un délai d</w:t>
      </w:r>
      <w:r w:rsidR="008E532B">
        <w:rPr>
          <w:rFonts w:ascii="Arial" w:hAnsi="Arial" w:cs="Arial"/>
          <w:bCs/>
          <w:sz w:val="22"/>
          <w:szCs w:val="22"/>
          <w:lang w:val="fr-FR"/>
        </w:rPr>
        <w:t>’</w:t>
      </w:r>
      <w:r>
        <w:rPr>
          <w:rFonts w:ascii="Arial" w:hAnsi="Arial" w:cs="Arial"/>
          <w:bCs/>
          <w:sz w:val="22"/>
          <w:szCs w:val="22"/>
          <w:lang w:val="fr-FR"/>
        </w:rPr>
        <w:t>au moins</w:t>
      </w:r>
      <w:r w:rsidRPr="005667AF">
        <w:rPr>
          <w:rFonts w:ascii="Arial" w:hAnsi="Arial" w:cs="Arial"/>
          <w:bCs/>
          <w:sz w:val="22"/>
          <w:szCs w:val="22"/>
          <w:lang w:val="fr-FR"/>
        </w:rPr>
        <w:t xml:space="preserve"> </w:t>
      </w:r>
      <w:r>
        <w:rPr>
          <w:rFonts w:ascii="Arial" w:hAnsi="Arial" w:cs="Arial"/>
          <w:bCs/>
          <w:sz w:val="22"/>
          <w:szCs w:val="22"/>
          <w:lang w:val="fr-FR"/>
        </w:rPr>
        <w:t>trente</w:t>
      </w:r>
      <w:r w:rsidRPr="005667AF">
        <w:rPr>
          <w:rFonts w:ascii="Arial" w:hAnsi="Arial" w:cs="Arial"/>
          <w:bCs/>
          <w:sz w:val="22"/>
          <w:szCs w:val="22"/>
          <w:lang w:val="fr-FR"/>
        </w:rPr>
        <w:t xml:space="preserve"> jours</w:t>
      </w:r>
      <w:r>
        <w:rPr>
          <w:rFonts w:ascii="Arial" w:hAnsi="Arial" w:cs="Arial"/>
          <w:bCs/>
          <w:sz w:val="22"/>
          <w:szCs w:val="22"/>
          <w:lang w:val="fr-FR"/>
        </w:rPr>
        <w:t> »</w:t>
      </w:r>
      <w:r w:rsidRPr="005667AF">
        <w:rPr>
          <w:rFonts w:ascii="Arial" w:hAnsi="Arial" w:cs="Arial"/>
          <w:bCs/>
          <w:sz w:val="22"/>
          <w:szCs w:val="22"/>
          <w:lang w:val="fr-FR"/>
        </w:rPr>
        <w:t xml:space="preserve">. On pourrait donc </w:t>
      </w:r>
      <w:r>
        <w:rPr>
          <w:rFonts w:ascii="Arial" w:hAnsi="Arial" w:cs="Arial"/>
          <w:bCs/>
          <w:sz w:val="22"/>
          <w:szCs w:val="22"/>
          <w:lang w:val="fr-FR"/>
        </w:rPr>
        <w:t>écrire</w:t>
      </w:r>
      <w:r w:rsidRPr="005667AF">
        <w:rPr>
          <w:rFonts w:ascii="Arial" w:hAnsi="Arial" w:cs="Arial"/>
          <w:bCs/>
          <w:sz w:val="22"/>
          <w:szCs w:val="22"/>
          <w:lang w:val="fr-FR"/>
        </w:rPr>
        <w:t xml:space="preserve"> </w:t>
      </w:r>
      <w:r>
        <w:rPr>
          <w:rFonts w:ascii="Arial" w:hAnsi="Arial" w:cs="Arial"/>
          <w:bCs/>
          <w:sz w:val="22"/>
          <w:szCs w:val="22"/>
          <w:lang w:val="fr-FR"/>
        </w:rPr>
        <w:t>« quarante</w:t>
      </w:r>
      <w:r>
        <w:rPr>
          <w:rFonts w:ascii="Arial" w:hAnsi="Arial" w:cs="Arial"/>
          <w:bCs/>
          <w:sz w:val="22"/>
          <w:szCs w:val="22"/>
          <w:lang w:val="fr-FR"/>
        </w:rPr>
        <w:noBreakHyphen/>
        <w:t>cinq</w:t>
      </w:r>
      <w:r w:rsidRPr="005667AF">
        <w:rPr>
          <w:rFonts w:ascii="Arial" w:hAnsi="Arial" w:cs="Arial"/>
          <w:bCs/>
          <w:sz w:val="22"/>
          <w:szCs w:val="22"/>
          <w:lang w:val="fr-FR"/>
        </w:rPr>
        <w:t xml:space="preserve"> jours</w:t>
      </w:r>
      <w:r>
        <w:rPr>
          <w:rFonts w:ascii="Arial" w:hAnsi="Arial" w:cs="Arial"/>
          <w:bCs/>
          <w:sz w:val="22"/>
          <w:szCs w:val="22"/>
          <w:lang w:val="fr-FR"/>
        </w:rPr>
        <w:t> »</w:t>
      </w:r>
      <w:r w:rsidRPr="005667AF">
        <w:rPr>
          <w:rFonts w:ascii="Arial" w:hAnsi="Arial" w:cs="Arial"/>
          <w:bCs/>
          <w:sz w:val="22"/>
          <w:szCs w:val="22"/>
          <w:lang w:val="fr-FR"/>
        </w:rPr>
        <w:t xml:space="preserve"> ou </w:t>
      </w:r>
      <w:r>
        <w:rPr>
          <w:rFonts w:ascii="Arial" w:hAnsi="Arial" w:cs="Arial"/>
          <w:bCs/>
          <w:sz w:val="22"/>
          <w:szCs w:val="22"/>
          <w:lang w:val="fr-FR"/>
        </w:rPr>
        <w:t>« soixante</w:t>
      </w:r>
      <w:r w:rsidRPr="005667AF">
        <w:rPr>
          <w:rFonts w:ascii="Arial" w:hAnsi="Arial" w:cs="Arial"/>
          <w:bCs/>
          <w:sz w:val="22"/>
          <w:szCs w:val="22"/>
          <w:lang w:val="fr-FR"/>
        </w:rPr>
        <w:t xml:space="preserve"> jours</w:t>
      </w:r>
      <w:r>
        <w:rPr>
          <w:rFonts w:ascii="Arial" w:hAnsi="Arial" w:cs="Arial"/>
          <w:bCs/>
          <w:sz w:val="22"/>
          <w:szCs w:val="22"/>
          <w:lang w:val="fr-FR"/>
        </w:rPr>
        <w:t> »</w:t>
      </w:r>
      <w:r w:rsidRPr="005667AF">
        <w:rPr>
          <w:rFonts w:ascii="Arial" w:hAnsi="Arial" w:cs="Arial"/>
          <w:bCs/>
          <w:sz w:val="22"/>
          <w:szCs w:val="22"/>
          <w:lang w:val="fr-FR"/>
        </w:rPr>
        <w:t>.</w:t>
      </w:r>
    </w:p>
    <w:p w14:paraId="26155DBD" w14:textId="77777777" w:rsidR="00D9653F" w:rsidRPr="00362E62"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362E62">
        <w:rPr>
          <w:rFonts w:ascii="Arial" w:hAnsi="Arial" w:cs="Arial"/>
          <w:bCs/>
          <w:sz w:val="22"/>
          <w:szCs w:val="22"/>
          <w:lang w:val="fr-FR"/>
        </w:rPr>
        <w:t>délégation</w:t>
      </w:r>
      <w:r>
        <w:rPr>
          <w:rFonts w:ascii="Arial" w:hAnsi="Arial" w:cs="Arial"/>
          <w:bCs/>
          <w:sz w:val="22"/>
          <w:szCs w:val="22"/>
          <w:lang w:val="fr-FR"/>
        </w:rPr>
        <w:t xml:space="preserve"> de la </w:t>
      </w:r>
      <w:r w:rsidRPr="00362E62">
        <w:rPr>
          <w:rFonts w:ascii="Arial" w:hAnsi="Arial" w:cs="Arial"/>
          <w:b/>
          <w:sz w:val="22"/>
          <w:szCs w:val="22"/>
          <w:lang w:val="fr-FR"/>
        </w:rPr>
        <w:t>Grenade</w:t>
      </w:r>
      <w:r>
        <w:rPr>
          <w:rFonts w:ascii="Arial" w:hAnsi="Arial" w:cs="Arial"/>
          <w:bCs/>
          <w:sz w:val="22"/>
          <w:szCs w:val="22"/>
          <w:lang w:val="fr-FR"/>
        </w:rPr>
        <w:t xml:space="preserve"> était ouverte à toute solution et accepterait le consensus qui se dégagerait. Elle trouvait que la </w:t>
      </w:r>
      <w:r w:rsidRPr="00362E62">
        <w:rPr>
          <w:rFonts w:ascii="Arial" w:hAnsi="Arial" w:cs="Arial"/>
          <w:bCs/>
          <w:sz w:val="22"/>
          <w:szCs w:val="22"/>
          <w:lang w:val="fr-FR"/>
        </w:rPr>
        <w:t>proposition</w:t>
      </w:r>
      <w:r>
        <w:rPr>
          <w:rFonts w:ascii="Arial" w:hAnsi="Arial" w:cs="Arial"/>
          <w:bCs/>
          <w:sz w:val="22"/>
          <w:szCs w:val="22"/>
          <w:lang w:val="fr-FR"/>
        </w:rPr>
        <w:t xml:space="preserve"> « dès que possible et dans la limite de soixante jours » était un bon compromis.</w:t>
      </w:r>
    </w:p>
    <w:p w14:paraId="1CB9EE15" w14:textId="249565E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362E62">
        <w:rPr>
          <w:rFonts w:ascii="Arial" w:hAnsi="Arial" w:cs="Arial"/>
          <w:bCs/>
          <w:sz w:val="22"/>
          <w:szCs w:val="22"/>
          <w:lang w:val="fr-FR"/>
        </w:rPr>
        <w:t>délégation</w:t>
      </w:r>
      <w:r>
        <w:rPr>
          <w:rFonts w:ascii="Arial" w:hAnsi="Arial" w:cs="Arial"/>
          <w:bCs/>
          <w:sz w:val="22"/>
          <w:szCs w:val="22"/>
          <w:lang w:val="fr-FR"/>
        </w:rPr>
        <w:t xml:space="preserve"> du </w:t>
      </w:r>
      <w:r w:rsidRPr="00BA294D">
        <w:rPr>
          <w:rFonts w:ascii="Arial" w:hAnsi="Arial" w:cs="Arial"/>
          <w:b/>
          <w:sz w:val="22"/>
          <w:szCs w:val="22"/>
          <w:lang w:val="fr-FR"/>
        </w:rPr>
        <w:t>Pakistan</w:t>
      </w:r>
      <w:r>
        <w:rPr>
          <w:rFonts w:ascii="Arial" w:hAnsi="Arial" w:cs="Arial"/>
          <w:bCs/>
          <w:sz w:val="22"/>
          <w:szCs w:val="22"/>
          <w:lang w:val="fr-FR"/>
        </w:rPr>
        <w:t xml:space="preserve"> souscrivait aux commentaires formulés par le Koweït selon lequel aucune </w:t>
      </w:r>
      <w:r w:rsidRPr="00BA294D">
        <w:rPr>
          <w:rFonts w:ascii="Arial" w:hAnsi="Arial" w:cs="Arial"/>
          <w:bCs/>
          <w:sz w:val="22"/>
          <w:szCs w:val="22"/>
          <w:lang w:val="fr-FR"/>
        </w:rPr>
        <w:t>délégation</w:t>
      </w:r>
      <w:r>
        <w:rPr>
          <w:rFonts w:ascii="Arial" w:hAnsi="Arial" w:cs="Arial"/>
          <w:bCs/>
          <w:sz w:val="22"/>
          <w:szCs w:val="22"/>
          <w:lang w:val="fr-FR"/>
        </w:rPr>
        <w:t xml:space="preserve"> ne s</w:t>
      </w:r>
      <w:r w:rsidR="008E532B">
        <w:rPr>
          <w:rFonts w:ascii="Arial" w:hAnsi="Arial" w:cs="Arial"/>
          <w:bCs/>
          <w:sz w:val="22"/>
          <w:szCs w:val="22"/>
          <w:lang w:val="fr-FR"/>
        </w:rPr>
        <w:t>’</w:t>
      </w:r>
      <w:r>
        <w:rPr>
          <w:rFonts w:ascii="Arial" w:hAnsi="Arial" w:cs="Arial"/>
          <w:bCs/>
          <w:sz w:val="22"/>
          <w:szCs w:val="22"/>
          <w:lang w:val="fr-FR"/>
        </w:rPr>
        <w:t>opposait à l</w:t>
      </w:r>
      <w:r w:rsidR="008E532B">
        <w:rPr>
          <w:rFonts w:ascii="Arial" w:hAnsi="Arial" w:cs="Arial"/>
          <w:bCs/>
          <w:sz w:val="22"/>
          <w:szCs w:val="22"/>
          <w:lang w:val="fr-FR"/>
        </w:rPr>
        <w:t>’</w:t>
      </w:r>
      <w:r>
        <w:rPr>
          <w:rFonts w:ascii="Arial" w:hAnsi="Arial" w:cs="Arial"/>
          <w:bCs/>
          <w:sz w:val="22"/>
          <w:szCs w:val="22"/>
          <w:lang w:val="fr-FR"/>
        </w:rPr>
        <w:t>option 2, « sauf si cela n</w:t>
      </w:r>
      <w:r w:rsidR="008E532B">
        <w:rPr>
          <w:rFonts w:ascii="Arial" w:hAnsi="Arial" w:cs="Arial"/>
          <w:bCs/>
          <w:sz w:val="22"/>
          <w:szCs w:val="22"/>
          <w:lang w:val="fr-FR"/>
        </w:rPr>
        <w:t>’</w:t>
      </w:r>
      <w:r>
        <w:rPr>
          <w:rFonts w:ascii="Arial" w:hAnsi="Arial" w:cs="Arial"/>
          <w:bCs/>
          <w:sz w:val="22"/>
          <w:szCs w:val="22"/>
          <w:lang w:val="fr-FR"/>
        </w:rPr>
        <w:t>est pas possible d</w:t>
      </w:r>
      <w:r w:rsidR="008E532B">
        <w:rPr>
          <w:rFonts w:ascii="Arial" w:hAnsi="Arial" w:cs="Arial"/>
          <w:bCs/>
          <w:sz w:val="22"/>
          <w:szCs w:val="22"/>
          <w:lang w:val="fr-FR"/>
        </w:rPr>
        <w:t>’</w:t>
      </w:r>
      <w:r>
        <w:rPr>
          <w:rFonts w:ascii="Arial" w:hAnsi="Arial" w:cs="Arial"/>
          <w:bCs/>
          <w:sz w:val="22"/>
          <w:szCs w:val="22"/>
          <w:lang w:val="fr-FR"/>
        </w:rPr>
        <w:t>un point de vue logistique », qui reprenait l</w:t>
      </w:r>
      <w:r w:rsidR="008E532B">
        <w:rPr>
          <w:rFonts w:ascii="Arial" w:hAnsi="Arial" w:cs="Arial"/>
          <w:bCs/>
          <w:sz w:val="22"/>
          <w:szCs w:val="22"/>
          <w:lang w:val="fr-FR"/>
        </w:rPr>
        <w:t>’</w:t>
      </w:r>
      <w:r>
        <w:rPr>
          <w:rFonts w:ascii="Arial" w:hAnsi="Arial" w:cs="Arial"/>
          <w:bCs/>
          <w:sz w:val="22"/>
          <w:szCs w:val="22"/>
          <w:lang w:val="fr-FR"/>
        </w:rPr>
        <w:t>avis du Conseiller juridique.</w:t>
      </w:r>
    </w:p>
    <w:p w14:paraId="23EF6DFA" w14:textId="04467A39" w:rsidR="00D9653F" w:rsidRPr="00BA294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82137">
        <w:rPr>
          <w:rFonts w:ascii="Arial" w:hAnsi="Arial" w:cs="Arial"/>
          <w:bCs/>
          <w:sz w:val="22"/>
          <w:szCs w:val="22"/>
          <w:lang w:val="fr-FR"/>
        </w:rPr>
        <w:t>délégation</w:t>
      </w:r>
      <w:r>
        <w:rPr>
          <w:rFonts w:ascii="Arial" w:hAnsi="Arial" w:cs="Arial"/>
          <w:bCs/>
          <w:sz w:val="22"/>
          <w:szCs w:val="22"/>
          <w:lang w:val="fr-FR"/>
        </w:rPr>
        <w:t xml:space="preserve"> de la </w:t>
      </w:r>
      <w:r w:rsidRPr="00C81F86">
        <w:rPr>
          <w:rFonts w:ascii="Arial" w:hAnsi="Arial" w:cs="Arial"/>
          <w:b/>
          <w:sz w:val="22"/>
          <w:szCs w:val="22"/>
          <w:lang w:val="fr-FR"/>
        </w:rPr>
        <w:t>Palestine</w:t>
      </w:r>
      <w:r>
        <w:rPr>
          <w:rFonts w:ascii="Arial" w:hAnsi="Arial" w:cs="Arial"/>
          <w:bCs/>
          <w:sz w:val="22"/>
          <w:szCs w:val="22"/>
          <w:lang w:val="fr-FR"/>
        </w:rPr>
        <w:t xml:space="preserve"> a estimé que les trois options étaient semblables et que les différences entre chacune d</w:t>
      </w:r>
      <w:r w:rsidR="008E532B">
        <w:rPr>
          <w:rFonts w:ascii="Arial" w:hAnsi="Arial" w:cs="Arial"/>
          <w:bCs/>
          <w:sz w:val="22"/>
          <w:szCs w:val="22"/>
          <w:lang w:val="fr-FR"/>
        </w:rPr>
        <w:t>’</w:t>
      </w:r>
      <w:r>
        <w:rPr>
          <w:rFonts w:ascii="Arial" w:hAnsi="Arial" w:cs="Arial"/>
          <w:bCs/>
          <w:sz w:val="22"/>
          <w:szCs w:val="22"/>
          <w:lang w:val="fr-FR"/>
        </w:rPr>
        <w:t>entre elles étaient minimes. Elle n</w:t>
      </w:r>
      <w:r w:rsidR="008E532B">
        <w:rPr>
          <w:rFonts w:ascii="Arial" w:hAnsi="Arial" w:cs="Arial"/>
          <w:bCs/>
          <w:sz w:val="22"/>
          <w:szCs w:val="22"/>
          <w:lang w:val="fr-FR"/>
        </w:rPr>
        <w:t>’</w:t>
      </w:r>
      <w:r>
        <w:rPr>
          <w:rFonts w:ascii="Arial" w:hAnsi="Arial" w:cs="Arial"/>
          <w:bCs/>
          <w:sz w:val="22"/>
          <w:szCs w:val="22"/>
          <w:lang w:val="fr-FR"/>
        </w:rPr>
        <w:t>avait aucune objection aux options 1, 2 ou 3.</w:t>
      </w:r>
    </w:p>
    <w:p w14:paraId="335ADB33" w14:textId="77777777" w:rsidR="00D9653F" w:rsidRPr="00BA294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BA294D">
        <w:rPr>
          <w:rFonts w:ascii="Arial" w:hAnsi="Arial" w:cs="Arial"/>
          <w:b/>
          <w:sz w:val="22"/>
          <w:szCs w:val="22"/>
          <w:lang w:val="fr-FR"/>
        </w:rPr>
        <w:t>Présidente</w:t>
      </w:r>
      <w:r>
        <w:rPr>
          <w:rFonts w:ascii="Arial" w:hAnsi="Arial" w:cs="Arial"/>
          <w:bCs/>
          <w:sz w:val="22"/>
          <w:szCs w:val="22"/>
          <w:lang w:val="fr-FR"/>
        </w:rPr>
        <w:t xml:space="preserve"> a remercié la Palestine pour sa flexibilité.</w:t>
      </w:r>
    </w:p>
    <w:p w14:paraId="3F980307" w14:textId="088863E7" w:rsidR="00D9653F" w:rsidRPr="00BA294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A294D">
        <w:rPr>
          <w:rFonts w:ascii="Arial" w:hAnsi="Arial" w:cs="Arial"/>
          <w:bCs/>
          <w:sz w:val="22"/>
          <w:szCs w:val="22"/>
          <w:lang w:val="fr-FR"/>
        </w:rPr>
        <w:t xml:space="preserve">La délégation de la </w:t>
      </w:r>
      <w:r w:rsidRPr="00BA294D">
        <w:rPr>
          <w:rFonts w:ascii="Arial" w:hAnsi="Arial" w:cs="Arial"/>
          <w:b/>
          <w:sz w:val="22"/>
          <w:szCs w:val="22"/>
          <w:lang w:val="fr-FR"/>
        </w:rPr>
        <w:t>Pologne</w:t>
      </w:r>
      <w:r w:rsidRPr="00BA294D">
        <w:rPr>
          <w:rFonts w:ascii="Arial" w:hAnsi="Arial" w:cs="Arial"/>
          <w:bCs/>
          <w:sz w:val="22"/>
          <w:szCs w:val="22"/>
          <w:lang w:val="fr-FR"/>
        </w:rPr>
        <w:t xml:space="preserve">, qui </w:t>
      </w:r>
      <w:r>
        <w:rPr>
          <w:rFonts w:ascii="Arial" w:hAnsi="Arial" w:cs="Arial"/>
          <w:bCs/>
          <w:sz w:val="22"/>
          <w:szCs w:val="22"/>
          <w:lang w:val="fr-FR"/>
        </w:rPr>
        <w:t xml:space="preserve">comprenait </w:t>
      </w:r>
      <w:r w:rsidRPr="00BA294D">
        <w:rPr>
          <w:rFonts w:ascii="Arial" w:hAnsi="Arial" w:cs="Arial"/>
          <w:bCs/>
          <w:sz w:val="22"/>
          <w:szCs w:val="22"/>
          <w:lang w:val="fr-FR"/>
        </w:rPr>
        <w:t>qu</w:t>
      </w:r>
      <w:r>
        <w:rPr>
          <w:rFonts w:ascii="Arial" w:hAnsi="Arial" w:cs="Arial"/>
          <w:bCs/>
          <w:sz w:val="22"/>
          <w:szCs w:val="22"/>
          <w:lang w:val="fr-FR"/>
        </w:rPr>
        <w:t xml:space="preserve">e cela faisait référence à </w:t>
      </w:r>
      <w:r w:rsidRPr="00BA294D">
        <w:rPr>
          <w:rFonts w:ascii="Arial" w:hAnsi="Arial" w:cs="Arial"/>
          <w:bCs/>
          <w:sz w:val="22"/>
          <w:szCs w:val="22"/>
          <w:lang w:val="fr-FR"/>
        </w:rPr>
        <w:t>une session extraordinaire</w:t>
      </w:r>
      <w:r>
        <w:rPr>
          <w:rFonts w:ascii="Arial" w:hAnsi="Arial" w:cs="Arial"/>
          <w:bCs/>
          <w:sz w:val="22"/>
          <w:szCs w:val="22"/>
          <w:lang w:val="fr-FR"/>
        </w:rPr>
        <w:t xml:space="preserve">, </w:t>
      </w:r>
      <w:r w:rsidRPr="00BA294D">
        <w:rPr>
          <w:rFonts w:ascii="Arial" w:hAnsi="Arial" w:cs="Arial"/>
          <w:bCs/>
          <w:sz w:val="22"/>
          <w:szCs w:val="22"/>
          <w:lang w:val="fr-FR"/>
        </w:rPr>
        <w:t>a fait remarquer que dans d</w:t>
      </w:r>
      <w:r w:rsidR="008E532B">
        <w:rPr>
          <w:rFonts w:ascii="Arial" w:hAnsi="Arial" w:cs="Arial"/>
          <w:bCs/>
          <w:sz w:val="22"/>
          <w:szCs w:val="22"/>
          <w:lang w:val="fr-FR"/>
        </w:rPr>
        <w:t>’</w:t>
      </w:r>
      <w:r w:rsidRPr="00BA294D">
        <w:rPr>
          <w:rFonts w:ascii="Arial" w:hAnsi="Arial" w:cs="Arial"/>
          <w:bCs/>
          <w:sz w:val="22"/>
          <w:szCs w:val="22"/>
          <w:lang w:val="fr-FR"/>
        </w:rPr>
        <w:t>autres conventions ou organes statutaires de l</w:t>
      </w:r>
      <w:r w:rsidR="008E532B">
        <w:rPr>
          <w:rFonts w:ascii="Arial" w:hAnsi="Arial" w:cs="Arial"/>
          <w:bCs/>
          <w:sz w:val="22"/>
          <w:szCs w:val="22"/>
          <w:lang w:val="fr-FR"/>
        </w:rPr>
        <w:t>’</w:t>
      </w:r>
      <w:r w:rsidRPr="00BA294D">
        <w:rPr>
          <w:rFonts w:ascii="Arial" w:hAnsi="Arial" w:cs="Arial"/>
          <w:bCs/>
          <w:sz w:val="22"/>
          <w:szCs w:val="22"/>
          <w:lang w:val="fr-FR"/>
        </w:rPr>
        <w:t xml:space="preserve">UNESCO, il </w:t>
      </w:r>
      <w:r>
        <w:rPr>
          <w:rFonts w:ascii="Arial" w:hAnsi="Arial" w:cs="Arial"/>
          <w:bCs/>
          <w:sz w:val="22"/>
          <w:szCs w:val="22"/>
          <w:lang w:val="fr-FR"/>
        </w:rPr>
        <w:t>était</w:t>
      </w:r>
      <w:r w:rsidRPr="00BA294D">
        <w:rPr>
          <w:rFonts w:ascii="Arial" w:hAnsi="Arial" w:cs="Arial"/>
          <w:bCs/>
          <w:sz w:val="22"/>
          <w:szCs w:val="22"/>
          <w:lang w:val="fr-FR"/>
        </w:rPr>
        <w:t xml:space="preserve"> courant d</w:t>
      </w:r>
      <w:r w:rsidR="008E532B">
        <w:rPr>
          <w:rFonts w:ascii="Arial" w:hAnsi="Arial" w:cs="Arial"/>
          <w:bCs/>
          <w:sz w:val="22"/>
          <w:szCs w:val="22"/>
          <w:lang w:val="fr-FR"/>
        </w:rPr>
        <w:t>’</w:t>
      </w:r>
      <w:r w:rsidRPr="00BA294D">
        <w:rPr>
          <w:rFonts w:ascii="Arial" w:hAnsi="Arial" w:cs="Arial"/>
          <w:bCs/>
          <w:sz w:val="22"/>
          <w:szCs w:val="22"/>
          <w:lang w:val="fr-FR"/>
        </w:rPr>
        <w:t>avoir un délai plus court pour la convocation d</w:t>
      </w:r>
      <w:r w:rsidR="008E532B">
        <w:rPr>
          <w:rFonts w:ascii="Arial" w:hAnsi="Arial" w:cs="Arial"/>
          <w:bCs/>
          <w:sz w:val="22"/>
          <w:szCs w:val="22"/>
          <w:lang w:val="fr-FR"/>
        </w:rPr>
        <w:t>’</w:t>
      </w:r>
      <w:r w:rsidRPr="00BA294D">
        <w:rPr>
          <w:rFonts w:ascii="Arial" w:hAnsi="Arial" w:cs="Arial"/>
          <w:bCs/>
          <w:sz w:val="22"/>
          <w:szCs w:val="22"/>
          <w:lang w:val="fr-FR"/>
        </w:rPr>
        <w:t xml:space="preserve">une session extraordinaire. Par exemple, pour le Conseil exécutif, il </w:t>
      </w:r>
      <w:r>
        <w:rPr>
          <w:rFonts w:ascii="Arial" w:hAnsi="Arial" w:cs="Arial"/>
          <w:bCs/>
          <w:sz w:val="22"/>
          <w:szCs w:val="22"/>
          <w:lang w:val="fr-FR"/>
        </w:rPr>
        <w:t xml:space="preserve">était </w:t>
      </w:r>
      <w:r w:rsidRPr="00BA294D">
        <w:rPr>
          <w:rFonts w:ascii="Arial" w:hAnsi="Arial" w:cs="Arial"/>
          <w:bCs/>
          <w:sz w:val="22"/>
          <w:szCs w:val="22"/>
          <w:lang w:val="fr-FR"/>
        </w:rPr>
        <w:t>d</w:t>
      </w:r>
      <w:r w:rsidR="008E532B">
        <w:rPr>
          <w:rFonts w:ascii="Arial" w:hAnsi="Arial" w:cs="Arial"/>
          <w:bCs/>
          <w:sz w:val="22"/>
          <w:szCs w:val="22"/>
          <w:lang w:val="fr-FR"/>
        </w:rPr>
        <w:t>’</w:t>
      </w:r>
      <w:r w:rsidRPr="00BA294D">
        <w:rPr>
          <w:rFonts w:ascii="Arial" w:hAnsi="Arial" w:cs="Arial"/>
          <w:bCs/>
          <w:sz w:val="22"/>
          <w:szCs w:val="22"/>
          <w:lang w:val="fr-FR"/>
        </w:rPr>
        <w:t xml:space="preserve">au moins quinze jours, et pour le Comité du patrimoine mondial, il </w:t>
      </w:r>
      <w:r>
        <w:rPr>
          <w:rFonts w:ascii="Arial" w:hAnsi="Arial" w:cs="Arial"/>
          <w:bCs/>
          <w:sz w:val="22"/>
          <w:szCs w:val="22"/>
          <w:lang w:val="fr-FR"/>
        </w:rPr>
        <w:t>était</w:t>
      </w:r>
      <w:r w:rsidRPr="00BA294D">
        <w:rPr>
          <w:rFonts w:ascii="Arial" w:hAnsi="Arial" w:cs="Arial"/>
          <w:bCs/>
          <w:sz w:val="22"/>
          <w:szCs w:val="22"/>
          <w:lang w:val="fr-FR"/>
        </w:rPr>
        <w:t xml:space="preserve"> de trente jours. La délégation compren</w:t>
      </w:r>
      <w:r>
        <w:rPr>
          <w:rFonts w:ascii="Arial" w:hAnsi="Arial" w:cs="Arial"/>
          <w:bCs/>
          <w:sz w:val="22"/>
          <w:szCs w:val="22"/>
          <w:lang w:val="fr-FR"/>
        </w:rPr>
        <w:t>ait</w:t>
      </w:r>
      <w:r w:rsidRPr="00BA294D">
        <w:rPr>
          <w:rFonts w:ascii="Arial" w:hAnsi="Arial" w:cs="Arial"/>
          <w:bCs/>
          <w:sz w:val="22"/>
          <w:szCs w:val="22"/>
          <w:lang w:val="fr-FR"/>
        </w:rPr>
        <w:t xml:space="preserve"> qu</w:t>
      </w:r>
      <w:r w:rsidR="008E532B">
        <w:rPr>
          <w:rFonts w:ascii="Arial" w:hAnsi="Arial" w:cs="Arial"/>
          <w:bCs/>
          <w:sz w:val="22"/>
          <w:szCs w:val="22"/>
          <w:lang w:val="fr-FR"/>
        </w:rPr>
        <w:t>’</w:t>
      </w:r>
      <w:r w:rsidRPr="00BA294D">
        <w:rPr>
          <w:rFonts w:ascii="Arial" w:hAnsi="Arial" w:cs="Arial"/>
          <w:bCs/>
          <w:sz w:val="22"/>
          <w:szCs w:val="22"/>
          <w:lang w:val="fr-FR"/>
        </w:rPr>
        <w:t xml:space="preserve">un certain temps </w:t>
      </w:r>
      <w:r>
        <w:rPr>
          <w:rFonts w:ascii="Arial" w:hAnsi="Arial" w:cs="Arial"/>
          <w:bCs/>
          <w:sz w:val="22"/>
          <w:szCs w:val="22"/>
          <w:lang w:val="fr-FR"/>
        </w:rPr>
        <w:t>est</w:t>
      </w:r>
      <w:r w:rsidRPr="00BA294D">
        <w:rPr>
          <w:rFonts w:ascii="Arial" w:hAnsi="Arial" w:cs="Arial"/>
          <w:bCs/>
          <w:sz w:val="22"/>
          <w:szCs w:val="22"/>
          <w:lang w:val="fr-FR"/>
        </w:rPr>
        <w:t xml:space="preserve"> nécessaire pour préparer une réunion, mais soixante jours pour une session extraordinaire de l</w:t>
      </w:r>
      <w:r w:rsidR="008E532B">
        <w:rPr>
          <w:rFonts w:ascii="Arial" w:hAnsi="Arial" w:cs="Arial"/>
          <w:bCs/>
          <w:sz w:val="22"/>
          <w:szCs w:val="22"/>
          <w:lang w:val="fr-FR"/>
        </w:rPr>
        <w:t>’</w:t>
      </w:r>
      <w:r w:rsidRPr="00BA294D">
        <w:rPr>
          <w:rFonts w:ascii="Arial" w:hAnsi="Arial" w:cs="Arial"/>
          <w:bCs/>
          <w:sz w:val="22"/>
          <w:szCs w:val="22"/>
          <w:lang w:val="fr-FR"/>
        </w:rPr>
        <w:t xml:space="preserve">Assemblée générale </w:t>
      </w:r>
      <w:r>
        <w:rPr>
          <w:rFonts w:ascii="Arial" w:hAnsi="Arial" w:cs="Arial"/>
          <w:bCs/>
          <w:sz w:val="22"/>
          <w:szCs w:val="22"/>
          <w:lang w:val="fr-FR"/>
        </w:rPr>
        <w:t xml:space="preserve">était </w:t>
      </w:r>
      <w:r w:rsidRPr="00BA294D">
        <w:rPr>
          <w:rFonts w:ascii="Arial" w:hAnsi="Arial" w:cs="Arial"/>
          <w:bCs/>
          <w:sz w:val="22"/>
          <w:szCs w:val="22"/>
          <w:lang w:val="fr-FR"/>
        </w:rPr>
        <w:t>trop long. La délégation</w:t>
      </w:r>
      <w:r>
        <w:rPr>
          <w:rFonts w:ascii="Arial" w:hAnsi="Arial" w:cs="Arial"/>
          <w:bCs/>
          <w:sz w:val="22"/>
          <w:szCs w:val="22"/>
          <w:lang w:val="fr-FR"/>
        </w:rPr>
        <w:t xml:space="preserve"> </w:t>
      </w:r>
      <w:r w:rsidRPr="00BA294D">
        <w:rPr>
          <w:rFonts w:ascii="Arial" w:hAnsi="Arial" w:cs="Arial"/>
          <w:bCs/>
          <w:sz w:val="22"/>
          <w:szCs w:val="22"/>
          <w:lang w:val="fr-FR"/>
        </w:rPr>
        <w:t>souhait</w:t>
      </w:r>
      <w:r>
        <w:rPr>
          <w:rFonts w:ascii="Arial" w:hAnsi="Arial" w:cs="Arial"/>
          <w:bCs/>
          <w:sz w:val="22"/>
          <w:szCs w:val="22"/>
          <w:lang w:val="fr-FR"/>
        </w:rPr>
        <w:t xml:space="preserve">ait reprendre </w:t>
      </w:r>
      <w:r w:rsidRPr="00BA294D">
        <w:rPr>
          <w:rFonts w:ascii="Arial" w:hAnsi="Arial" w:cs="Arial"/>
          <w:bCs/>
          <w:sz w:val="22"/>
          <w:szCs w:val="22"/>
          <w:lang w:val="fr-FR"/>
        </w:rPr>
        <w:t xml:space="preserve">la pratique établie à la Convention du patrimoine mondial et donc </w:t>
      </w:r>
      <w:r>
        <w:rPr>
          <w:rFonts w:ascii="Arial" w:hAnsi="Arial" w:cs="Arial"/>
          <w:bCs/>
          <w:sz w:val="22"/>
          <w:szCs w:val="22"/>
          <w:lang w:val="fr-FR"/>
        </w:rPr>
        <w:t>« au moins</w:t>
      </w:r>
      <w:r w:rsidRPr="00BA294D">
        <w:rPr>
          <w:rFonts w:ascii="Arial" w:hAnsi="Arial" w:cs="Arial"/>
          <w:bCs/>
          <w:sz w:val="22"/>
          <w:szCs w:val="22"/>
          <w:lang w:val="fr-FR"/>
        </w:rPr>
        <w:t xml:space="preserve"> </w:t>
      </w:r>
      <w:r>
        <w:rPr>
          <w:rFonts w:ascii="Arial" w:hAnsi="Arial" w:cs="Arial"/>
          <w:bCs/>
          <w:sz w:val="22"/>
          <w:szCs w:val="22"/>
          <w:lang w:val="fr-FR"/>
        </w:rPr>
        <w:t>trente</w:t>
      </w:r>
      <w:r w:rsidRPr="00BA294D">
        <w:rPr>
          <w:rFonts w:ascii="Arial" w:hAnsi="Arial" w:cs="Arial"/>
          <w:bCs/>
          <w:sz w:val="22"/>
          <w:szCs w:val="22"/>
          <w:lang w:val="fr-FR"/>
        </w:rPr>
        <w:t xml:space="preserve"> jours</w:t>
      </w:r>
      <w:r>
        <w:rPr>
          <w:rFonts w:ascii="Arial" w:hAnsi="Arial" w:cs="Arial"/>
          <w:bCs/>
          <w:sz w:val="22"/>
          <w:szCs w:val="22"/>
          <w:lang w:val="fr-FR"/>
        </w:rPr>
        <w:t> »</w:t>
      </w:r>
      <w:r w:rsidRPr="00BA294D">
        <w:rPr>
          <w:rFonts w:ascii="Arial" w:hAnsi="Arial" w:cs="Arial"/>
          <w:bCs/>
          <w:sz w:val="22"/>
          <w:szCs w:val="22"/>
          <w:lang w:val="fr-FR"/>
        </w:rPr>
        <w:t>.</w:t>
      </w:r>
    </w:p>
    <w:p w14:paraId="45B8F2AB" w14:textId="17052A57" w:rsidR="00D9653F" w:rsidRPr="00BA294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A294D">
        <w:rPr>
          <w:rFonts w:ascii="Arial" w:hAnsi="Arial" w:cs="Arial"/>
          <w:bCs/>
          <w:sz w:val="22"/>
          <w:szCs w:val="22"/>
          <w:lang w:val="fr-FR"/>
        </w:rPr>
        <w:t>La délégation de l</w:t>
      </w:r>
      <w:r w:rsidR="008E532B">
        <w:rPr>
          <w:rFonts w:ascii="Arial" w:hAnsi="Arial" w:cs="Arial"/>
          <w:bCs/>
          <w:sz w:val="22"/>
          <w:szCs w:val="22"/>
          <w:lang w:val="fr-FR"/>
        </w:rPr>
        <w:t>’</w:t>
      </w:r>
      <w:r w:rsidRPr="00BA294D">
        <w:rPr>
          <w:rFonts w:ascii="Arial" w:hAnsi="Arial" w:cs="Arial"/>
          <w:b/>
          <w:sz w:val="22"/>
          <w:szCs w:val="22"/>
          <w:lang w:val="fr-FR"/>
        </w:rPr>
        <w:t xml:space="preserve">Arabie saoudite </w:t>
      </w:r>
      <w:r w:rsidRPr="00BA294D">
        <w:rPr>
          <w:rFonts w:ascii="Arial" w:hAnsi="Arial" w:cs="Arial"/>
          <w:bCs/>
          <w:sz w:val="22"/>
          <w:szCs w:val="22"/>
          <w:lang w:val="fr-FR"/>
        </w:rPr>
        <w:t>préfér</w:t>
      </w:r>
      <w:r>
        <w:rPr>
          <w:rFonts w:ascii="Arial" w:hAnsi="Arial" w:cs="Arial"/>
          <w:bCs/>
          <w:sz w:val="22"/>
          <w:szCs w:val="22"/>
          <w:lang w:val="fr-FR"/>
        </w:rPr>
        <w:t>ait</w:t>
      </w:r>
      <w:r w:rsidRPr="00BA294D">
        <w:rPr>
          <w:rFonts w:ascii="Arial" w:hAnsi="Arial" w:cs="Arial"/>
          <w:bCs/>
          <w:sz w:val="22"/>
          <w:szCs w:val="22"/>
          <w:lang w:val="fr-FR"/>
        </w:rPr>
        <w:t xml:space="preserve"> l</w:t>
      </w:r>
      <w:r w:rsidR="008E532B">
        <w:rPr>
          <w:rFonts w:ascii="Arial" w:hAnsi="Arial" w:cs="Arial"/>
          <w:bCs/>
          <w:sz w:val="22"/>
          <w:szCs w:val="22"/>
          <w:lang w:val="fr-FR"/>
        </w:rPr>
        <w:t>’</w:t>
      </w:r>
      <w:r w:rsidRPr="00BA294D">
        <w:rPr>
          <w:rFonts w:ascii="Arial" w:hAnsi="Arial" w:cs="Arial"/>
          <w:bCs/>
          <w:sz w:val="22"/>
          <w:szCs w:val="22"/>
          <w:lang w:val="fr-FR"/>
        </w:rPr>
        <w:t>option 2 [proposition du Koweït]. En ce qui concerne la suggestion de la Pologne, elle pourrait accepter un nouveau nombre de jours et suivre le consensus. Mais l</w:t>
      </w:r>
      <w:r w:rsidR="008E532B">
        <w:rPr>
          <w:rFonts w:ascii="Arial" w:hAnsi="Arial" w:cs="Arial"/>
          <w:bCs/>
          <w:sz w:val="22"/>
          <w:szCs w:val="22"/>
          <w:lang w:val="fr-FR"/>
        </w:rPr>
        <w:t>’</w:t>
      </w:r>
      <w:r w:rsidRPr="00BA294D">
        <w:rPr>
          <w:rFonts w:ascii="Arial" w:hAnsi="Arial" w:cs="Arial"/>
          <w:bCs/>
          <w:sz w:val="22"/>
          <w:szCs w:val="22"/>
          <w:lang w:val="fr-FR"/>
        </w:rPr>
        <w:t>option 2 englob</w:t>
      </w:r>
      <w:r>
        <w:rPr>
          <w:rFonts w:ascii="Arial" w:hAnsi="Arial" w:cs="Arial"/>
          <w:bCs/>
          <w:sz w:val="22"/>
          <w:szCs w:val="22"/>
          <w:lang w:val="fr-FR"/>
        </w:rPr>
        <w:t xml:space="preserve">ait </w:t>
      </w:r>
      <w:r w:rsidRPr="00BA294D">
        <w:rPr>
          <w:rFonts w:ascii="Arial" w:hAnsi="Arial" w:cs="Arial"/>
          <w:bCs/>
          <w:sz w:val="22"/>
          <w:szCs w:val="22"/>
          <w:lang w:val="fr-FR"/>
        </w:rPr>
        <w:t>le mieux toutes les opinions.</w:t>
      </w:r>
    </w:p>
    <w:p w14:paraId="63425CC4" w14:textId="7E84BA6D" w:rsidR="00D9653F" w:rsidRPr="00BA294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A294D">
        <w:rPr>
          <w:rFonts w:ascii="Arial" w:hAnsi="Arial" w:cs="Arial"/>
          <w:bCs/>
          <w:sz w:val="22"/>
          <w:szCs w:val="22"/>
          <w:lang w:val="fr-FR"/>
        </w:rPr>
        <w:t xml:space="preserve">La délégation </w:t>
      </w:r>
      <w:r>
        <w:rPr>
          <w:rFonts w:ascii="Arial" w:hAnsi="Arial" w:cs="Arial"/>
          <w:bCs/>
          <w:sz w:val="22"/>
          <w:szCs w:val="22"/>
          <w:lang w:val="fr-FR"/>
        </w:rPr>
        <w:t xml:space="preserve">du </w:t>
      </w:r>
      <w:r w:rsidRPr="00BA294D">
        <w:rPr>
          <w:rFonts w:ascii="Arial" w:hAnsi="Arial" w:cs="Arial"/>
          <w:b/>
          <w:sz w:val="22"/>
          <w:szCs w:val="22"/>
          <w:lang w:val="fr-FR"/>
        </w:rPr>
        <w:t>Liban</w:t>
      </w:r>
      <w:r w:rsidRPr="00BA294D">
        <w:rPr>
          <w:rFonts w:ascii="Arial" w:hAnsi="Arial" w:cs="Arial"/>
          <w:bCs/>
          <w:sz w:val="22"/>
          <w:szCs w:val="22"/>
          <w:lang w:val="fr-FR"/>
        </w:rPr>
        <w:t xml:space="preserve"> </w:t>
      </w:r>
      <w:r>
        <w:rPr>
          <w:rFonts w:ascii="Arial" w:hAnsi="Arial" w:cs="Arial"/>
          <w:bCs/>
          <w:sz w:val="22"/>
          <w:szCs w:val="22"/>
          <w:lang w:val="fr-FR"/>
        </w:rPr>
        <w:t>pensait</w:t>
      </w:r>
      <w:r w:rsidRPr="00BA294D">
        <w:rPr>
          <w:rFonts w:ascii="Arial" w:hAnsi="Arial" w:cs="Arial"/>
          <w:bCs/>
          <w:sz w:val="22"/>
          <w:szCs w:val="22"/>
          <w:lang w:val="fr-FR"/>
        </w:rPr>
        <w:t xml:space="preserve"> que la suggestion de la Hongrie d</w:t>
      </w:r>
      <w:r w:rsidR="008E532B">
        <w:rPr>
          <w:rFonts w:ascii="Arial" w:hAnsi="Arial" w:cs="Arial"/>
          <w:bCs/>
          <w:sz w:val="22"/>
          <w:szCs w:val="22"/>
          <w:lang w:val="fr-FR"/>
        </w:rPr>
        <w:t>’</w:t>
      </w:r>
      <w:r w:rsidRPr="00BA294D">
        <w:rPr>
          <w:rFonts w:ascii="Arial" w:hAnsi="Arial" w:cs="Arial"/>
          <w:bCs/>
          <w:sz w:val="22"/>
          <w:szCs w:val="22"/>
          <w:lang w:val="fr-FR"/>
        </w:rPr>
        <w:t xml:space="preserve">utiliser les termes codifiés de la Convention de 1972 </w:t>
      </w:r>
      <w:r>
        <w:rPr>
          <w:rFonts w:ascii="Arial" w:hAnsi="Arial" w:cs="Arial"/>
          <w:bCs/>
          <w:sz w:val="22"/>
          <w:szCs w:val="22"/>
          <w:lang w:val="fr-FR"/>
        </w:rPr>
        <w:t>était</w:t>
      </w:r>
      <w:r w:rsidRPr="00BA294D">
        <w:rPr>
          <w:rFonts w:ascii="Arial" w:hAnsi="Arial" w:cs="Arial"/>
          <w:bCs/>
          <w:sz w:val="22"/>
          <w:szCs w:val="22"/>
          <w:lang w:val="fr-FR"/>
        </w:rPr>
        <w:t xml:space="preserve"> une bonne idée, à savoir l</w:t>
      </w:r>
      <w:r w:rsidR="008E532B">
        <w:rPr>
          <w:rFonts w:ascii="Arial" w:hAnsi="Arial" w:cs="Arial"/>
          <w:bCs/>
          <w:sz w:val="22"/>
          <w:szCs w:val="22"/>
          <w:lang w:val="fr-FR"/>
        </w:rPr>
        <w:t>’</w:t>
      </w:r>
      <w:r w:rsidRPr="00BA294D">
        <w:rPr>
          <w:rFonts w:ascii="Arial" w:hAnsi="Arial" w:cs="Arial"/>
          <w:bCs/>
          <w:sz w:val="22"/>
          <w:szCs w:val="22"/>
          <w:lang w:val="fr-FR"/>
        </w:rPr>
        <w:t>option 2, avec des termes légèrement différents.</w:t>
      </w:r>
    </w:p>
    <w:p w14:paraId="03EDB275" w14:textId="1085E835" w:rsidR="00D9653F" w:rsidRPr="003C76D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C76DD">
        <w:rPr>
          <w:rFonts w:ascii="Arial" w:hAnsi="Arial" w:cs="Arial"/>
          <w:bCs/>
          <w:sz w:val="22"/>
          <w:szCs w:val="22"/>
          <w:lang w:val="fr-FR"/>
        </w:rPr>
        <w:t xml:space="preserve">La délégation </w:t>
      </w:r>
      <w:r>
        <w:rPr>
          <w:rFonts w:ascii="Arial" w:hAnsi="Arial" w:cs="Arial"/>
          <w:bCs/>
          <w:sz w:val="22"/>
          <w:szCs w:val="22"/>
          <w:lang w:val="fr-FR"/>
        </w:rPr>
        <w:t xml:space="preserve">de la </w:t>
      </w:r>
      <w:r w:rsidRPr="003C76DD">
        <w:rPr>
          <w:rFonts w:ascii="Arial" w:hAnsi="Arial" w:cs="Arial"/>
          <w:b/>
          <w:sz w:val="22"/>
          <w:szCs w:val="22"/>
          <w:lang w:val="fr-FR"/>
        </w:rPr>
        <w:t>Colombie</w:t>
      </w:r>
      <w:r>
        <w:rPr>
          <w:rFonts w:ascii="Arial" w:hAnsi="Arial" w:cs="Arial"/>
          <w:bCs/>
          <w:sz w:val="22"/>
          <w:szCs w:val="22"/>
          <w:lang w:val="fr-FR"/>
        </w:rPr>
        <w:t xml:space="preserve"> </w:t>
      </w:r>
      <w:r w:rsidRPr="003C76DD">
        <w:rPr>
          <w:rFonts w:ascii="Arial" w:hAnsi="Arial" w:cs="Arial"/>
          <w:bCs/>
          <w:sz w:val="22"/>
          <w:szCs w:val="22"/>
          <w:lang w:val="fr-FR"/>
        </w:rPr>
        <w:t>souhait</w:t>
      </w:r>
      <w:r>
        <w:rPr>
          <w:rFonts w:ascii="Arial" w:hAnsi="Arial" w:cs="Arial"/>
          <w:bCs/>
          <w:sz w:val="22"/>
          <w:szCs w:val="22"/>
          <w:lang w:val="fr-FR"/>
        </w:rPr>
        <w:t xml:space="preserve">ait </w:t>
      </w:r>
      <w:r w:rsidRPr="003C76DD">
        <w:rPr>
          <w:rFonts w:ascii="Arial" w:hAnsi="Arial" w:cs="Arial"/>
          <w:bCs/>
          <w:sz w:val="22"/>
          <w:szCs w:val="22"/>
          <w:lang w:val="fr-FR"/>
        </w:rPr>
        <w:t>aller de l</w:t>
      </w:r>
      <w:r w:rsidR="008E532B">
        <w:rPr>
          <w:rFonts w:ascii="Arial" w:hAnsi="Arial" w:cs="Arial"/>
          <w:bCs/>
          <w:sz w:val="22"/>
          <w:szCs w:val="22"/>
          <w:lang w:val="fr-FR"/>
        </w:rPr>
        <w:t>’</w:t>
      </w:r>
      <w:r w:rsidRPr="003C76DD">
        <w:rPr>
          <w:rFonts w:ascii="Arial" w:hAnsi="Arial" w:cs="Arial"/>
          <w:bCs/>
          <w:sz w:val="22"/>
          <w:szCs w:val="22"/>
          <w:lang w:val="fr-FR"/>
        </w:rPr>
        <w:t>avant</w:t>
      </w:r>
      <w:r>
        <w:rPr>
          <w:rFonts w:ascii="Arial" w:hAnsi="Arial" w:cs="Arial"/>
          <w:bCs/>
          <w:sz w:val="22"/>
          <w:szCs w:val="22"/>
          <w:lang w:val="fr-FR"/>
        </w:rPr>
        <w:t xml:space="preserve"> et que la discussion s</w:t>
      </w:r>
      <w:r w:rsidR="008E532B">
        <w:rPr>
          <w:rFonts w:ascii="Arial" w:hAnsi="Arial" w:cs="Arial"/>
          <w:bCs/>
          <w:sz w:val="22"/>
          <w:szCs w:val="22"/>
          <w:lang w:val="fr-FR"/>
        </w:rPr>
        <w:t>’</w:t>
      </w:r>
      <w:r>
        <w:rPr>
          <w:rFonts w:ascii="Arial" w:hAnsi="Arial" w:cs="Arial"/>
          <w:bCs/>
          <w:sz w:val="22"/>
          <w:szCs w:val="22"/>
          <w:lang w:val="fr-FR"/>
        </w:rPr>
        <w:t>achève</w:t>
      </w:r>
      <w:r w:rsidRPr="003C76DD">
        <w:rPr>
          <w:rFonts w:ascii="Arial" w:hAnsi="Arial" w:cs="Arial"/>
          <w:bCs/>
          <w:sz w:val="22"/>
          <w:szCs w:val="22"/>
          <w:lang w:val="fr-FR"/>
        </w:rPr>
        <w:t>. Elle a noté que le Liban trouvait l</w:t>
      </w:r>
      <w:r w:rsidR="008E532B">
        <w:rPr>
          <w:rFonts w:ascii="Arial" w:hAnsi="Arial" w:cs="Arial"/>
          <w:bCs/>
          <w:sz w:val="22"/>
          <w:szCs w:val="22"/>
          <w:lang w:val="fr-FR"/>
        </w:rPr>
        <w:t>’</w:t>
      </w:r>
      <w:r w:rsidRPr="003C76DD">
        <w:rPr>
          <w:rFonts w:ascii="Arial" w:hAnsi="Arial" w:cs="Arial"/>
          <w:bCs/>
          <w:sz w:val="22"/>
          <w:szCs w:val="22"/>
          <w:lang w:val="fr-FR"/>
        </w:rPr>
        <w:t>option 2 la plus proche de la formulation de la Convention de 1972. La délégation s</w:t>
      </w:r>
      <w:r w:rsidR="008E532B">
        <w:rPr>
          <w:rFonts w:ascii="Arial" w:hAnsi="Arial" w:cs="Arial"/>
          <w:bCs/>
          <w:sz w:val="22"/>
          <w:szCs w:val="22"/>
          <w:lang w:val="fr-FR"/>
        </w:rPr>
        <w:t>’</w:t>
      </w:r>
      <w:r w:rsidRPr="003C76DD">
        <w:rPr>
          <w:rFonts w:ascii="Arial" w:hAnsi="Arial" w:cs="Arial"/>
          <w:bCs/>
          <w:sz w:val="22"/>
          <w:szCs w:val="22"/>
          <w:lang w:val="fr-FR"/>
        </w:rPr>
        <w:t>est donc demandé si le Conseiller juridique ou le Sous-Directeur général connaissait la pratique courante dans d</w:t>
      </w:r>
      <w:r w:rsidR="008E532B">
        <w:rPr>
          <w:rFonts w:ascii="Arial" w:hAnsi="Arial" w:cs="Arial"/>
          <w:bCs/>
          <w:sz w:val="22"/>
          <w:szCs w:val="22"/>
          <w:lang w:val="fr-FR"/>
        </w:rPr>
        <w:t>’</w:t>
      </w:r>
      <w:r w:rsidRPr="003C76DD">
        <w:rPr>
          <w:rFonts w:ascii="Arial" w:hAnsi="Arial" w:cs="Arial"/>
          <w:bCs/>
          <w:sz w:val="22"/>
          <w:szCs w:val="22"/>
          <w:lang w:val="fr-FR"/>
        </w:rPr>
        <w:t>autres forums statutaires ou conventions, car cela pourrait aider à faire avancer la discussion. Elle a égalemen</w:t>
      </w:r>
      <w:r>
        <w:rPr>
          <w:rFonts w:ascii="Arial" w:hAnsi="Arial" w:cs="Arial"/>
          <w:bCs/>
          <w:sz w:val="22"/>
          <w:szCs w:val="22"/>
          <w:lang w:val="fr-FR"/>
        </w:rPr>
        <w:t>t formulé l</w:t>
      </w:r>
      <w:r w:rsidR="008E532B">
        <w:rPr>
          <w:rFonts w:ascii="Arial" w:hAnsi="Arial" w:cs="Arial"/>
          <w:bCs/>
          <w:sz w:val="22"/>
          <w:szCs w:val="22"/>
          <w:lang w:val="fr-FR"/>
        </w:rPr>
        <w:t>’</w:t>
      </w:r>
      <w:r>
        <w:rPr>
          <w:rFonts w:ascii="Arial" w:hAnsi="Arial" w:cs="Arial"/>
          <w:bCs/>
          <w:sz w:val="22"/>
          <w:szCs w:val="22"/>
          <w:lang w:val="fr-FR"/>
        </w:rPr>
        <w:t>espoir que</w:t>
      </w:r>
      <w:r w:rsidRPr="003C76DD">
        <w:rPr>
          <w:rFonts w:ascii="Arial" w:hAnsi="Arial" w:cs="Arial"/>
          <w:bCs/>
          <w:sz w:val="22"/>
          <w:szCs w:val="22"/>
          <w:lang w:val="fr-FR"/>
        </w:rPr>
        <w:t xml:space="preserve"> les autres amendements de la Türkiye ne s</w:t>
      </w:r>
      <w:r>
        <w:rPr>
          <w:rFonts w:ascii="Arial" w:hAnsi="Arial" w:cs="Arial"/>
          <w:bCs/>
          <w:sz w:val="22"/>
          <w:szCs w:val="22"/>
          <w:lang w:val="fr-FR"/>
        </w:rPr>
        <w:t>oient</w:t>
      </w:r>
      <w:r w:rsidRPr="003C76DD">
        <w:rPr>
          <w:rFonts w:ascii="Arial" w:hAnsi="Arial" w:cs="Arial"/>
          <w:bCs/>
          <w:sz w:val="22"/>
          <w:szCs w:val="22"/>
          <w:lang w:val="fr-FR"/>
        </w:rPr>
        <w:t xml:space="preserve"> pas aussi controversés.</w:t>
      </w:r>
    </w:p>
    <w:p w14:paraId="50E3F185" w14:textId="33053F04" w:rsidR="00D9653F" w:rsidRPr="003C76D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C76DD">
        <w:rPr>
          <w:rFonts w:ascii="Arial" w:hAnsi="Arial" w:cs="Arial"/>
          <w:bCs/>
          <w:sz w:val="22"/>
          <w:szCs w:val="22"/>
          <w:lang w:val="fr-FR"/>
        </w:rPr>
        <w:t xml:space="preserve">Le </w:t>
      </w:r>
      <w:r w:rsidRPr="003C76DD">
        <w:rPr>
          <w:rFonts w:ascii="Arial" w:hAnsi="Arial" w:cs="Arial"/>
          <w:b/>
          <w:sz w:val="22"/>
          <w:szCs w:val="22"/>
          <w:lang w:val="fr-FR"/>
        </w:rPr>
        <w:t>Conseiller juridique</w:t>
      </w:r>
      <w:r w:rsidRPr="003C76DD">
        <w:rPr>
          <w:rFonts w:ascii="Arial" w:hAnsi="Arial" w:cs="Arial"/>
          <w:bCs/>
          <w:sz w:val="22"/>
          <w:szCs w:val="22"/>
          <w:lang w:val="fr-FR"/>
        </w:rPr>
        <w:t xml:space="preserve"> a répondu à la question de la Colombie en confirmant qu</w:t>
      </w:r>
      <w:r w:rsidR="008E532B">
        <w:rPr>
          <w:rFonts w:ascii="Arial" w:hAnsi="Arial" w:cs="Arial"/>
          <w:bCs/>
          <w:sz w:val="22"/>
          <w:szCs w:val="22"/>
          <w:lang w:val="fr-FR"/>
        </w:rPr>
        <w:t>’</w:t>
      </w:r>
      <w:r w:rsidRPr="003C76DD">
        <w:rPr>
          <w:rFonts w:ascii="Arial" w:hAnsi="Arial" w:cs="Arial"/>
          <w:bCs/>
          <w:sz w:val="22"/>
          <w:szCs w:val="22"/>
          <w:lang w:val="fr-FR"/>
        </w:rPr>
        <w:t>une telle disposition n</w:t>
      </w:r>
      <w:r w:rsidR="008E532B">
        <w:rPr>
          <w:rFonts w:ascii="Arial" w:hAnsi="Arial" w:cs="Arial"/>
          <w:bCs/>
          <w:sz w:val="22"/>
          <w:szCs w:val="22"/>
          <w:lang w:val="fr-FR"/>
        </w:rPr>
        <w:t>’</w:t>
      </w:r>
      <w:r w:rsidRPr="003C76DD">
        <w:rPr>
          <w:rFonts w:ascii="Arial" w:hAnsi="Arial" w:cs="Arial"/>
          <w:bCs/>
          <w:sz w:val="22"/>
          <w:szCs w:val="22"/>
          <w:lang w:val="fr-FR"/>
        </w:rPr>
        <w:t>était présente dans aucun autre cadre, ni la Conférence générale ni le Conseil exécutif. Il ne se souv</w:t>
      </w:r>
      <w:r>
        <w:rPr>
          <w:rFonts w:ascii="Arial" w:hAnsi="Arial" w:cs="Arial"/>
          <w:bCs/>
          <w:sz w:val="22"/>
          <w:szCs w:val="22"/>
          <w:lang w:val="fr-FR"/>
        </w:rPr>
        <w:t>enait</w:t>
      </w:r>
      <w:r w:rsidRPr="003C76DD">
        <w:rPr>
          <w:rFonts w:ascii="Arial" w:hAnsi="Arial" w:cs="Arial"/>
          <w:bCs/>
          <w:sz w:val="22"/>
          <w:szCs w:val="22"/>
          <w:lang w:val="fr-FR"/>
        </w:rPr>
        <w:t xml:space="preserve"> d</w:t>
      </w:r>
      <w:r w:rsidR="008E532B">
        <w:rPr>
          <w:rFonts w:ascii="Arial" w:hAnsi="Arial" w:cs="Arial"/>
          <w:bCs/>
          <w:sz w:val="22"/>
          <w:szCs w:val="22"/>
          <w:lang w:val="fr-FR"/>
        </w:rPr>
        <w:t>’</w:t>
      </w:r>
      <w:r w:rsidRPr="003C76DD">
        <w:rPr>
          <w:rFonts w:ascii="Arial" w:hAnsi="Arial" w:cs="Arial"/>
          <w:bCs/>
          <w:sz w:val="22"/>
          <w:szCs w:val="22"/>
          <w:lang w:val="fr-FR"/>
        </w:rPr>
        <w:t xml:space="preserve">aucun cas dans lequel il </w:t>
      </w:r>
      <w:r>
        <w:rPr>
          <w:rFonts w:ascii="Arial" w:hAnsi="Arial" w:cs="Arial"/>
          <w:bCs/>
          <w:sz w:val="22"/>
          <w:szCs w:val="22"/>
          <w:lang w:val="fr-FR"/>
        </w:rPr>
        <w:t>est</w:t>
      </w:r>
      <w:r w:rsidRPr="003C76DD">
        <w:rPr>
          <w:rFonts w:ascii="Arial" w:hAnsi="Arial" w:cs="Arial"/>
          <w:bCs/>
          <w:sz w:val="22"/>
          <w:szCs w:val="22"/>
          <w:lang w:val="fr-FR"/>
        </w:rPr>
        <w:t xml:space="preserve"> exigé que la session soit fixée ou programmée dans un certain délai. Ce qui exist</w:t>
      </w:r>
      <w:r>
        <w:rPr>
          <w:rFonts w:ascii="Arial" w:hAnsi="Arial" w:cs="Arial"/>
          <w:bCs/>
          <w:sz w:val="22"/>
          <w:szCs w:val="22"/>
          <w:lang w:val="fr-FR"/>
        </w:rPr>
        <w:t>ait</w:t>
      </w:r>
      <w:r w:rsidRPr="003C76DD">
        <w:rPr>
          <w:rFonts w:ascii="Arial" w:hAnsi="Arial" w:cs="Arial"/>
          <w:bCs/>
          <w:sz w:val="22"/>
          <w:szCs w:val="22"/>
          <w:lang w:val="fr-FR"/>
        </w:rPr>
        <w:t xml:space="preserve"> </w:t>
      </w:r>
      <w:r>
        <w:rPr>
          <w:rFonts w:ascii="Arial" w:hAnsi="Arial" w:cs="Arial"/>
          <w:bCs/>
          <w:sz w:val="22"/>
          <w:szCs w:val="22"/>
          <w:lang w:val="fr-FR"/>
        </w:rPr>
        <w:t>était</w:t>
      </w:r>
      <w:r w:rsidRPr="003C76DD">
        <w:rPr>
          <w:rFonts w:ascii="Arial" w:hAnsi="Arial" w:cs="Arial"/>
          <w:bCs/>
          <w:sz w:val="22"/>
          <w:szCs w:val="22"/>
          <w:lang w:val="fr-FR"/>
        </w:rPr>
        <w:t xml:space="preserve"> ce qui a</w:t>
      </w:r>
      <w:r>
        <w:rPr>
          <w:rFonts w:ascii="Arial" w:hAnsi="Arial" w:cs="Arial"/>
          <w:bCs/>
          <w:sz w:val="22"/>
          <w:szCs w:val="22"/>
          <w:lang w:val="fr-FR"/>
        </w:rPr>
        <w:t>vait</w:t>
      </w:r>
      <w:r w:rsidRPr="003C76DD">
        <w:rPr>
          <w:rFonts w:ascii="Arial" w:hAnsi="Arial" w:cs="Arial"/>
          <w:bCs/>
          <w:sz w:val="22"/>
          <w:szCs w:val="22"/>
          <w:lang w:val="fr-FR"/>
        </w:rPr>
        <w:t xml:space="preserve"> été mentionné par la Pologne, à savoir que la notification d</w:t>
      </w:r>
      <w:r>
        <w:rPr>
          <w:rFonts w:ascii="Arial" w:hAnsi="Arial" w:cs="Arial"/>
          <w:bCs/>
          <w:sz w:val="22"/>
          <w:szCs w:val="22"/>
          <w:lang w:val="fr-FR"/>
        </w:rPr>
        <w:t>evait</w:t>
      </w:r>
      <w:r w:rsidRPr="003C76DD">
        <w:rPr>
          <w:rFonts w:ascii="Arial" w:hAnsi="Arial" w:cs="Arial"/>
          <w:bCs/>
          <w:sz w:val="22"/>
          <w:szCs w:val="22"/>
          <w:lang w:val="fr-FR"/>
        </w:rPr>
        <w:t xml:space="preserve"> être envoyée quinze ou trente jours avant la session. Le Conseiller juridique</w:t>
      </w:r>
      <w:r>
        <w:rPr>
          <w:rFonts w:ascii="Arial" w:hAnsi="Arial" w:cs="Arial"/>
          <w:bCs/>
          <w:sz w:val="22"/>
          <w:szCs w:val="22"/>
          <w:lang w:val="fr-FR"/>
        </w:rPr>
        <w:t xml:space="preserve"> était</w:t>
      </w:r>
      <w:r w:rsidRPr="003C76DD">
        <w:rPr>
          <w:rFonts w:ascii="Arial" w:hAnsi="Arial" w:cs="Arial"/>
          <w:bCs/>
          <w:sz w:val="22"/>
          <w:szCs w:val="22"/>
          <w:lang w:val="fr-FR"/>
        </w:rPr>
        <w:t xml:space="preserve"> disposé à suggérer une formulation qui reprendrait effectivement l</w:t>
      </w:r>
      <w:r w:rsidR="008E532B">
        <w:rPr>
          <w:rFonts w:ascii="Arial" w:hAnsi="Arial" w:cs="Arial"/>
          <w:bCs/>
          <w:sz w:val="22"/>
          <w:szCs w:val="22"/>
          <w:lang w:val="fr-FR"/>
        </w:rPr>
        <w:t>’</w:t>
      </w:r>
      <w:r w:rsidRPr="003C76DD">
        <w:rPr>
          <w:rFonts w:ascii="Arial" w:hAnsi="Arial" w:cs="Arial"/>
          <w:bCs/>
          <w:sz w:val="22"/>
          <w:szCs w:val="22"/>
          <w:lang w:val="fr-FR"/>
        </w:rPr>
        <w:t>exemple de la Convention de 1972.</w:t>
      </w:r>
    </w:p>
    <w:p w14:paraId="53B54BF0" w14:textId="67CBDF6F"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70862">
        <w:rPr>
          <w:rFonts w:ascii="Arial" w:hAnsi="Arial" w:cs="Arial"/>
          <w:bCs/>
          <w:sz w:val="22"/>
          <w:szCs w:val="22"/>
          <w:lang w:val="fr-FR"/>
        </w:rPr>
        <w:t xml:space="preserve">Le </w:t>
      </w:r>
      <w:r w:rsidRPr="00870862">
        <w:rPr>
          <w:rFonts w:ascii="Arial" w:hAnsi="Arial" w:cs="Arial"/>
          <w:b/>
          <w:sz w:val="22"/>
          <w:szCs w:val="22"/>
          <w:lang w:val="fr-FR"/>
        </w:rPr>
        <w:t>Sous-Directeur général</w:t>
      </w:r>
      <w:r w:rsidRPr="00870862">
        <w:rPr>
          <w:rFonts w:ascii="Arial" w:hAnsi="Arial" w:cs="Arial"/>
          <w:bCs/>
          <w:sz w:val="22"/>
          <w:szCs w:val="22"/>
          <w:lang w:val="fr-FR"/>
        </w:rPr>
        <w:t xml:space="preserve"> </w:t>
      </w:r>
      <w:r>
        <w:rPr>
          <w:rFonts w:ascii="Arial" w:hAnsi="Arial" w:cs="Arial"/>
          <w:bCs/>
          <w:sz w:val="22"/>
          <w:szCs w:val="22"/>
          <w:lang w:val="fr-FR"/>
        </w:rPr>
        <w:t xml:space="preserve">a </w:t>
      </w:r>
      <w:r w:rsidRPr="00870862">
        <w:rPr>
          <w:rFonts w:ascii="Arial" w:hAnsi="Arial" w:cs="Arial"/>
          <w:bCs/>
          <w:sz w:val="22"/>
          <w:szCs w:val="22"/>
          <w:lang w:val="fr-FR"/>
        </w:rPr>
        <w:t>précis</w:t>
      </w:r>
      <w:r>
        <w:rPr>
          <w:rFonts w:ascii="Arial" w:hAnsi="Arial" w:cs="Arial"/>
          <w:bCs/>
          <w:sz w:val="22"/>
          <w:szCs w:val="22"/>
          <w:lang w:val="fr-FR"/>
        </w:rPr>
        <w:t>é</w:t>
      </w:r>
      <w:r w:rsidRPr="00870862">
        <w:rPr>
          <w:rFonts w:ascii="Arial" w:hAnsi="Arial" w:cs="Arial"/>
          <w:bCs/>
          <w:sz w:val="22"/>
          <w:szCs w:val="22"/>
          <w:lang w:val="fr-FR"/>
        </w:rPr>
        <w:t xml:space="preserve"> en outre que la disposition de la Convention de 1972 concern</w:t>
      </w:r>
      <w:r>
        <w:rPr>
          <w:rFonts w:ascii="Arial" w:hAnsi="Arial" w:cs="Arial"/>
          <w:bCs/>
          <w:sz w:val="22"/>
          <w:szCs w:val="22"/>
          <w:lang w:val="fr-FR"/>
        </w:rPr>
        <w:t>e</w:t>
      </w:r>
      <w:r w:rsidRPr="00870862">
        <w:rPr>
          <w:rFonts w:ascii="Arial" w:hAnsi="Arial" w:cs="Arial"/>
          <w:bCs/>
          <w:sz w:val="22"/>
          <w:szCs w:val="22"/>
          <w:lang w:val="fr-FR"/>
        </w:rPr>
        <w:t xml:space="preserve"> le Comité</w:t>
      </w:r>
      <w:r w:rsidR="000936CD">
        <w:rPr>
          <w:rFonts w:ascii="Arial" w:hAnsi="Arial" w:cs="Arial"/>
          <w:bCs/>
          <w:sz w:val="22"/>
          <w:szCs w:val="22"/>
          <w:lang w:val="fr-FR"/>
        </w:rPr>
        <w:t>, plutôt que</w:t>
      </w:r>
      <w:r w:rsidRPr="00870862">
        <w:rPr>
          <w:rFonts w:ascii="Arial" w:hAnsi="Arial" w:cs="Arial"/>
          <w:bCs/>
          <w:sz w:val="22"/>
          <w:szCs w:val="22"/>
          <w:lang w:val="fr-FR"/>
        </w:rPr>
        <w:t xml:space="preserve"> l</w:t>
      </w:r>
      <w:r w:rsidR="008E532B">
        <w:rPr>
          <w:rFonts w:ascii="Arial" w:hAnsi="Arial" w:cs="Arial"/>
          <w:bCs/>
          <w:sz w:val="22"/>
          <w:szCs w:val="22"/>
          <w:lang w:val="fr-FR"/>
        </w:rPr>
        <w:t>’</w:t>
      </w:r>
      <w:r w:rsidRPr="00870862">
        <w:rPr>
          <w:rFonts w:ascii="Arial" w:hAnsi="Arial" w:cs="Arial"/>
          <w:bCs/>
          <w:sz w:val="22"/>
          <w:szCs w:val="22"/>
          <w:lang w:val="fr-FR"/>
        </w:rPr>
        <w:t>Assemblée générale. Dans le cas des assemblées, aucune autre convention de l</w:t>
      </w:r>
      <w:r w:rsidR="008E532B">
        <w:rPr>
          <w:rFonts w:ascii="Arial" w:hAnsi="Arial" w:cs="Arial"/>
          <w:bCs/>
          <w:sz w:val="22"/>
          <w:szCs w:val="22"/>
          <w:lang w:val="fr-FR"/>
        </w:rPr>
        <w:t>’</w:t>
      </w:r>
      <w:r w:rsidRPr="00870862">
        <w:rPr>
          <w:rFonts w:ascii="Arial" w:hAnsi="Arial" w:cs="Arial"/>
          <w:bCs/>
          <w:sz w:val="22"/>
          <w:szCs w:val="22"/>
          <w:lang w:val="fr-FR"/>
        </w:rPr>
        <w:t>UNESCO</w:t>
      </w:r>
      <w:r>
        <w:rPr>
          <w:rFonts w:ascii="Arial" w:hAnsi="Arial" w:cs="Arial"/>
          <w:bCs/>
          <w:sz w:val="22"/>
          <w:szCs w:val="22"/>
          <w:lang w:val="fr-FR"/>
        </w:rPr>
        <w:t xml:space="preserve"> en matière de culture</w:t>
      </w:r>
      <w:r w:rsidRPr="00870862">
        <w:rPr>
          <w:rFonts w:ascii="Arial" w:hAnsi="Arial" w:cs="Arial"/>
          <w:bCs/>
          <w:sz w:val="22"/>
          <w:szCs w:val="22"/>
          <w:lang w:val="fr-FR"/>
        </w:rPr>
        <w:t xml:space="preserve"> ne prévo</w:t>
      </w:r>
      <w:r>
        <w:rPr>
          <w:rFonts w:ascii="Arial" w:hAnsi="Arial" w:cs="Arial"/>
          <w:bCs/>
          <w:sz w:val="22"/>
          <w:szCs w:val="22"/>
          <w:lang w:val="fr-FR"/>
        </w:rPr>
        <w:t>yait</w:t>
      </w:r>
      <w:r w:rsidRPr="00870862">
        <w:rPr>
          <w:rFonts w:ascii="Arial" w:hAnsi="Arial" w:cs="Arial"/>
          <w:bCs/>
          <w:sz w:val="22"/>
          <w:szCs w:val="22"/>
          <w:lang w:val="fr-FR"/>
        </w:rPr>
        <w:t xml:space="preserve"> la possibilité de demander des dates pour des réunions extraordinaires.</w:t>
      </w:r>
    </w:p>
    <w:p w14:paraId="6D2F211C" w14:textId="3E979E5D"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870862">
        <w:rPr>
          <w:rFonts w:ascii="Arial" w:hAnsi="Arial" w:cs="Arial"/>
          <w:bCs/>
          <w:sz w:val="22"/>
          <w:szCs w:val="22"/>
          <w:lang w:val="fr-FR"/>
        </w:rPr>
        <w:t>délégation</w:t>
      </w:r>
      <w:r>
        <w:rPr>
          <w:rFonts w:ascii="Arial" w:hAnsi="Arial" w:cs="Arial"/>
          <w:bCs/>
          <w:sz w:val="22"/>
          <w:szCs w:val="22"/>
          <w:lang w:val="fr-FR"/>
        </w:rPr>
        <w:t xml:space="preserve"> du </w:t>
      </w:r>
      <w:r w:rsidRPr="00870862">
        <w:rPr>
          <w:rFonts w:ascii="Arial" w:hAnsi="Arial" w:cs="Arial"/>
          <w:b/>
          <w:sz w:val="22"/>
          <w:szCs w:val="22"/>
          <w:lang w:val="fr-FR"/>
        </w:rPr>
        <w:t>Liban</w:t>
      </w:r>
      <w:r>
        <w:rPr>
          <w:rFonts w:ascii="Arial" w:hAnsi="Arial" w:cs="Arial"/>
          <w:bCs/>
          <w:sz w:val="22"/>
          <w:szCs w:val="22"/>
          <w:lang w:val="fr-FR"/>
        </w:rPr>
        <w:t xml:space="preserve"> était d</w:t>
      </w:r>
      <w:r w:rsidR="008E532B">
        <w:rPr>
          <w:rFonts w:ascii="Arial" w:hAnsi="Arial" w:cs="Arial"/>
          <w:bCs/>
          <w:sz w:val="22"/>
          <w:szCs w:val="22"/>
          <w:lang w:val="fr-FR"/>
        </w:rPr>
        <w:t>’</w:t>
      </w:r>
      <w:r>
        <w:rPr>
          <w:rFonts w:ascii="Arial" w:hAnsi="Arial" w:cs="Arial"/>
          <w:bCs/>
          <w:sz w:val="22"/>
          <w:szCs w:val="22"/>
          <w:lang w:val="fr-FR"/>
        </w:rPr>
        <w:t xml:space="preserve">accord pour ne pas créer une </w:t>
      </w:r>
      <w:r w:rsidRPr="00870862">
        <w:rPr>
          <w:rFonts w:ascii="Arial" w:hAnsi="Arial" w:cs="Arial"/>
          <w:bCs/>
          <w:sz w:val="22"/>
          <w:szCs w:val="22"/>
          <w:lang w:val="fr-FR"/>
        </w:rPr>
        <w:t>disposition</w:t>
      </w:r>
      <w:r>
        <w:rPr>
          <w:rFonts w:ascii="Arial" w:hAnsi="Arial" w:cs="Arial"/>
          <w:bCs/>
          <w:sz w:val="22"/>
          <w:szCs w:val="22"/>
          <w:lang w:val="fr-FR"/>
        </w:rPr>
        <w:t xml:space="preserve"> qui n</w:t>
      </w:r>
      <w:r w:rsidR="008E532B">
        <w:rPr>
          <w:rFonts w:ascii="Arial" w:hAnsi="Arial" w:cs="Arial"/>
          <w:bCs/>
          <w:sz w:val="22"/>
          <w:szCs w:val="22"/>
          <w:lang w:val="fr-FR"/>
        </w:rPr>
        <w:t>’</w:t>
      </w:r>
      <w:r>
        <w:rPr>
          <w:rFonts w:ascii="Arial" w:hAnsi="Arial" w:cs="Arial"/>
          <w:bCs/>
          <w:sz w:val="22"/>
          <w:szCs w:val="22"/>
          <w:lang w:val="fr-FR"/>
        </w:rPr>
        <w:t>existe dans aucune autre convention.</w:t>
      </w:r>
    </w:p>
    <w:p w14:paraId="441610BB" w14:textId="761709DD" w:rsidR="00D9653F" w:rsidRPr="00870862"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70862">
        <w:rPr>
          <w:rFonts w:ascii="Arial" w:hAnsi="Arial" w:cs="Arial"/>
          <w:bCs/>
          <w:sz w:val="22"/>
          <w:szCs w:val="22"/>
          <w:lang w:val="fr-FR"/>
        </w:rPr>
        <w:t>La délégation de l</w:t>
      </w:r>
      <w:r w:rsidR="008E532B">
        <w:rPr>
          <w:rFonts w:ascii="Arial" w:hAnsi="Arial" w:cs="Arial"/>
          <w:bCs/>
          <w:sz w:val="22"/>
          <w:szCs w:val="22"/>
          <w:lang w:val="fr-FR"/>
        </w:rPr>
        <w:t>’</w:t>
      </w:r>
      <w:r w:rsidRPr="00870862">
        <w:rPr>
          <w:rFonts w:ascii="Arial" w:hAnsi="Arial" w:cs="Arial"/>
          <w:b/>
          <w:sz w:val="22"/>
          <w:szCs w:val="22"/>
          <w:lang w:val="fr-FR"/>
        </w:rPr>
        <w:t>Éthiopie</w:t>
      </w:r>
      <w:r w:rsidRPr="00870862">
        <w:rPr>
          <w:rFonts w:ascii="Arial" w:hAnsi="Arial" w:cs="Arial"/>
          <w:bCs/>
          <w:sz w:val="22"/>
          <w:szCs w:val="22"/>
          <w:lang w:val="fr-FR"/>
        </w:rPr>
        <w:t xml:space="preserve"> a fait remarquer que la mention de quarante-cinq ou soixante jours était arbitraire et, grâce à la Pologne, il a</w:t>
      </w:r>
      <w:r>
        <w:rPr>
          <w:rFonts w:ascii="Arial" w:hAnsi="Arial" w:cs="Arial"/>
          <w:bCs/>
          <w:sz w:val="22"/>
          <w:szCs w:val="22"/>
          <w:lang w:val="fr-FR"/>
        </w:rPr>
        <w:t>vait</w:t>
      </w:r>
      <w:r w:rsidRPr="00870862">
        <w:rPr>
          <w:rFonts w:ascii="Arial" w:hAnsi="Arial" w:cs="Arial"/>
          <w:bCs/>
          <w:sz w:val="22"/>
          <w:szCs w:val="22"/>
          <w:lang w:val="fr-FR"/>
        </w:rPr>
        <w:t xml:space="preserve"> été rappelé à l</w:t>
      </w:r>
      <w:r w:rsidR="008E532B">
        <w:rPr>
          <w:rFonts w:ascii="Arial" w:hAnsi="Arial" w:cs="Arial"/>
          <w:bCs/>
          <w:sz w:val="22"/>
          <w:szCs w:val="22"/>
          <w:lang w:val="fr-FR"/>
        </w:rPr>
        <w:t>’</w:t>
      </w:r>
      <w:r w:rsidRPr="00870862">
        <w:rPr>
          <w:rFonts w:ascii="Arial" w:hAnsi="Arial" w:cs="Arial"/>
          <w:bCs/>
          <w:sz w:val="22"/>
          <w:szCs w:val="22"/>
          <w:lang w:val="fr-FR"/>
        </w:rPr>
        <w:t>Assemblée de prendre en considération que les sessions extraordinaires sont convoquées lorsqu</w:t>
      </w:r>
      <w:r w:rsidR="008E532B">
        <w:rPr>
          <w:rFonts w:ascii="Arial" w:hAnsi="Arial" w:cs="Arial"/>
          <w:bCs/>
          <w:sz w:val="22"/>
          <w:szCs w:val="22"/>
          <w:lang w:val="fr-FR"/>
        </w:rPr>
        <w:t>’</w:t>
      </w:r>
      <w:r w:rsidRPr="00870862">
        <w:rPr>
          <w:rFonts w:ascii="Arial" w:hAnsi="Arial" w:cs="Arial"/>
          <w:bCs/>
          <w:sz w:val="22"/>
          <w:szCs w:val="22"/>
          <w:lang w:val="fr-FR"/>
        </w:rPr>
        <w:t>il y a une question urgente. D</w:t>
      </w:r>
      <w:r w:rsidR="008E532B">
        <w:rPr>
          <w:rFonts w:ascii="Arial" w:hAnsi="Arial" w:cs="Arial"/>
          <w:bCs/>
          <w:sz w:val="22"/>
          <w:szCs w:val="22"/>
          <w:lang w:val="fr-FR"/>
        </w:rPr>
        <w:t>’</w:t>
      </w:r>
      <w:r w:rsidRPr="00870862">
        <w:rPr>
          <w:rFonts w:ascii="Arial" w:hAnsi="Arial" w:cs="Arial"/>
          <w:bCs/>
          <w:sz w:val="22"/>
          <w:szCs w:val="22"/>
          <w:lang w:val="fr-FR"/>
        </w:rPr>
        <w:t>où la proposition de l</w:t>
      </w:r>
      <w:r w:rsidR="008E532B">
        <w:rPr>
          <w:rFonts w:ascii="Arial" w:hAnsi="Arial" w:cs="Arial"/>
          <w:bCs/>
          <w:sz w:val="22"/>
          <w:szCs w:val="22"/>
          <w:lang w:val="fr-FR"/>
        </w:rPr>
        <w:t>’</w:t>
      </w:r>
      <w:r w:rsidRPr="00870862">
        <w:rPr>
          <w:rFonts w:ascii="Arial" w:hAnsi="Arial" w:cs="Arial"/>
          <w:bCs/>
          <w:sz w:val="22"/>
          <w:szCs w:val="22"/>
          <w:lang w:val="fr-FR"/>
        </w:rPr>
        <w:t xml:space="preserve">Éthiopie de dire </w:t>
      </w:r>
      <w:r>
        <w:rPr>
          <w:rFonts w:ascii="Arial" w:hAnsi="Arial" w:cs="Arial"/>
          <w:bCs/>
          <w:sz w:val="22"/>
          <w:szCs w:val="22"/>
          <w:lang w:val="fr-FR"/>
        </w:rPr>
        <w:t>« </w:t>
      </w:r>
      <w:r w:rsidRPr="00870862">
        <w:rPr>
          <w:rFonts w:ascii="Arial" w:hAnsi="Arial" w:cs="Arial"/>
          <w:bCs/>
          <w:sz w:val="22"/>
          <w:szCs w:val="22"/>
          <w:lang w:val="fr-FR"/>
        </w:rPr>
        <w:t>dès que possible</w:t>
      </w:r>
      <w:r>
        <w:rPr>
          <w:rFonts w:ascii="Arial" w:hAnsi="Arial" w:cs="Arial"/>
          <w:bCs/>
          <w:sz w:val="22"/>
          <w:szCs w:val="22"/>
          <w:lang w:val="fr-FR"/>
        </w:rPr>
        <w:t> »</w:t>
      </w:r>
      <w:r w:rsidRPr="00870862">
        <w:rPr>
          <w:rFonts w:ascii="Arial" w:hAnsi="Arial" w:cs="Arial"/>
          <w:bCs/>
          <w:sz w:val="22"/>
          <w:szCs w:val="22"/>
          <w:lang w:val="fr-FR"/>
        </w:rPr>
        <w:t>. Toutefois, pour parvenir à un consensus, l</w:t>
      </w:r>
      <w:r w:rsidR="008E532B">
        <w:rPr>
          <w:rFonts w:ascii="Arial" w:hAnsi="Arial" w:cs="Arial"/>
          <w:bCs/>
          <w:sz w:val="22"/>
          <w:szCs w:val="22"/>
          <w:lang w:val="fr-FR"/>
        </w:rPr>
        <w:t>’</w:t>
      </w:r>
      <w:r w:rsidRPr="00870862">
        <w:rPr>
          <w:rFonts w:ascii="Arial" w:hAnsi="Arial" w:cs="Arial"/>
          <w:bCs/>
          <w:sz w:val="22"/>
          <w:szCs w:val="22"/>
          <w:lang w:val="fr-FR"/>
        </w:rPr>
        <w:t>Éthiopie a retiré sa suggestion.</w:t>
      </w:r>
    </w:p>
    <w:p w14:paraId="1D8C9C98" w14:textId="6CE24969" w:rsidR="00D9653F" w:rsidRPr="00067F7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67F7F">
        <w:rPr>
          <w:rFonts w:ascii="Arial" w:hAnsi="Arial" w:cs="Arial"/>
          <w:b/>
          <w:sz w:val="22"/>
          <w:szCs w:val="22"/>
          <w:lang w:val="fr-FR"/>
        </w:rPr>
        <w:t>Présidente</w:t>
      </w:r>
      <w:r>
        <w:rPr>
          <w:rFonts w:ascii="Arial" w:hAnsi="Arial" w:cs="Arial"/>
          <w:bCs/>
          <w:sz w:val="22"/>
          <w:szCs w:val="22"/>
          <w:lang w:val="fr-FR"/>
        </w:rPr>
        <w:t xml:space="preserve"> a remercié l</w:t>
      </w:r>
      <w:r w:rsidR="008E532B">
        <w:rPr>
          <w:rFonts w:ascii="Arial" w:hAnsi="Arial" w:cs="Arial"/>
          <w:bCs/>
          <w:sz w:val="22"/>
          <w:szCs w:val="22"/>
          <w:lang w:val="fr-FR"/>
        </w:rPr>
        <w:t>’</w:t>
      </w:r>
      <w:r>
        <w:rPr>
          <w:rFonts w:ascii="Arial" w:hAnsi="Arial" w:cs="Arial"/>
          <w:bCs/>
          <w:sz w:val="22"/>
          <w:szCs w:val="22"/>
          <w:lang w:val="fr-FR"/>
        </w:rPr>
        <w:t>Éthiopie pour sa flexibilité.</w:t>
      </w:r>
    </w:p>
    <w:p w14:paraId="366031B6" w14:textId="66E20FDB" w:rsidR="00D9653F" w:rsidRPr="00067F7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67F7F">
        <w:rPr>
          <w:rFonts w:ascii="Arial" w:hAnsi="Arial" w:cs="Arial"/>
          <w:bCs/>
          <w:sz w:val="22"/>
          <w:szCs w:val="22"/>
          <w:lang w:val="fr-FR"/>
        </w:rPr>
        <w:t xml:space="preserve">La délégation du </w:t>
      </w:r>
      <w:r w:rsidRPr="00067F7F">
        <w:rPr>
          <w:rFonts w:ascii="Arial" w:hAnsi="Arial" w:cs="Arial"/>
          <w:b/>
          <w:sz w:val="22"/>
          <w:szCs w:val="22"/>
          <w:lang w:val="fr-FR"/>
        </w:rPr>
        <w:t>Portugal</w:t>
      </w:r>
      <w:r w:rsidRPr="00067F7F">
        <w:rPr>
          <w:rFonts w:ascii="Arial" w:hAnsi="Arial" w:cs="Arial"/>
          <w:bCs/>
          <w:sz w:val="22"/>
          <w:szCs w:val="22"/>
          <w:lang w:val="fr-FR"/>
        </w:rPr>
        <w:t xml:space="preserve"> a suggéré d</w:t>
      </w:r>
      <w:r w:rsidR="008E532B">
        <w:rPr>
          <w:rFonts w:ascii="Arial" w:hAnsi="Arial" w:cs="Arial"/>
          <w:bCs/>
          <w:sz w:val="22"/>
          <w:szCs w:val="22"/>
          <w:lang w:val="fr-FR"/>
        </w:rPr>
        <w:t>’</w:t>
      </w:r>
      <w:r w:rsidRPr="00067F7F">
        <w:rPr>
          <w:rFonts w:ascii="Arial" w:hAnsi="Arial" w:cs="Arial"/>
          <w:bCs/>
          <w:sz w:val="22"/>
          <w:szCs w:val="22"/>
          <w:lang w:val="fr-FR"/>
        </w:rPr>
        <w:t>accepter l</w:t>
      </w:r>
      <w:r w:rsidR="008E532B">
        <w:rPr>
          <w:rFonts w:ascii="Arial" w:hAnsi="Arial" w:cs="Arial"/>
          <w:bCs/>
          <w:sz w:val="22"/>
          <w:szCs w:val="22"/>
          <w:lang w:val="fr-FR"/>
        </w:rPr>
        <w:t>’</w:t>
      </w:r>
      <w:r w:rsidRPr="00067F7F">
        <w:rPr>
          <w:rFonts w:ascii="Arial" w:hAnsi="Arial" w:cs="Arial"/>
          <w:bCs/>
          <w:sz w:val="22"/>
          <w:szCs w:val="22"/>
          <w:lang w:val="fr-FR"/>
        </w:rPr>
        <w:t>amendement de l</w:t>
      </w:r>
      <w:r w:rsidR="008E532B">
        <w:rPr>
          <w:rFonts w:ascii="Arial" w:hAnsi="Arial" w:cs="Arial"/>
          <w:bCs/>
          <w:sz w:val="22"/>
          <w:szCs w:val="22"/>
          <w:lang w:val="fr-FR"/>
        </w:rPr>
        <w:t>’</w:t>
      </w:r>
      <w:r w:rsidRPr="00067F7F">
        <w:rPr>
          <w:rFonts w:ascii="Arial" w:hAnsi="Arial" w:cs="Arial"/>
          <w:bCs/>
          <w:sz w:val="22"/>
          <w:szCs w:val="22"/>
          <w:lang w:val="fr-FR"/>
        </w:rPr>
        <w:t>Éthiopie, car il donn</w:t>
      </w:r>
      <w:r>
        <w:rPr>
          <w:rFonts w:ascii="Arial" w:hAnsi="Arial" w:cs="Arial"/>
          <w:bCs/>
          <w:sz w:val="22"/>
          <w:szCs w:val="22"/>
          <w:lang w:val="fr-FR"/>
        </w:rPr>
        <w:t>ait</w:t>
      </w:r>
      <w:r w:rsidRPr="00067F7F">
        <w:rPr>
          <w:rFonts w:ascii="Arial" w:hAnsi="Arial" w:cs="Arial"/>
          <w:bCs/>
          <w:sz w:val="22"/>
          <w:szCs w:val="22"/>
          <w:lang w:val="fr-FR"/>
        </w:rPr>
        <w:t xml:space="preserve"> une certaine marge de manœuvre au</w:t>
      </w:r>
      <w:r>
        <w:rPr>
          <w:rFonts w:ascii="Arial" w:hAnsi="Arial" w:cs="Arial"/>
          <w:bCs/>
          <w:sz w:val="22"/>
          <w:szCs w:val="22"/>
          <w:lang w:val="fr-FR"/>
        </w:rPr>
        <w:t xml:space="preserve">/à la </w:t>
      </w:r>
      <w:r w:rsidRPr="00067F7F">
        <w:rPr>
          <w:rFonts w:ascii="Arial" w:hAnsi="Arial" w:cs="Arial"/>
          <w:bCs/>
          <w:sz w:val="22"/>
          <w:szCs w:val="22"/>
          <w:lang w:val="fr-FR"/>
        </w:rPr>
        <w:t>Directeur</w:t>
      </w:r>
      <w:r>
        <w:rPr>
          <w:rFonts w:ascii="Arial" w:hAnsi="Arial" w:cs="Arial"/>
          <w:bCs/>
          <w:sz w:val="22"/>
          <w:szCs w:val="22"/>
          <w:lang w:val="fr-FR"/>
        </w:rPr>
        <w:t>/Directrice</w:t>
      </w:r>
      <w:r w:rsidRPr="00067F7F">
        <w:rPr>
          <w:rFonts w:ascii="Arial" w:hAnsi="Arial" w:cs="Arial"/>
          <w:bCs/>
          <w:sz w:val="22"/>
          <w:szCs w:val="22"/>
          <w:lang w:val="fr-FR"/>
        </w:rPr>
        <w:t xml:space="preserve"> généra</w:t>
      </w:r>
      <w:r>
        <w:rPr>
          <w:rFonts w:ascii="Arial" w:hAnsi="Arial" w:cs="Arial"/>
          <w:bCs/>
          <w:sz w:val="22"/>
          <w:szCs w:val="22"/>
          <w:lang w:val="fr-FR"/>
        </w:rPr>
        <w:t>l(e)</w:t>
      </w:r>
      <w:r w:rsidRPr="00067F7F">
        <w:rPr>
          <w:rFonts w:ascii="Arial" w:hAnsi="Arial" w:cs="Arial"/>
          <w:bCs/>
          <w:sz w:val="22"/>
          <w:szCs w:val="22"/>
          <w:lang w:val="fr-FR"/>
        </w:rPr>
        <w:t>, tout en respectant le besoin d</w:t>
      </w:r>
      <w:r w:rsidR="008E532B">
        <w:rPr>
          <w:rFonts w:ascii="Arial" w:hAnsi="Arial" w:cs="Arial"/>
          <w:bCs/>
          <w:sz w:val="22"/>
          <w:szCs w:val="22"/>
          <w:lang w:val="fr-FR"/>
        </w:rPr>
        <w:t>’</w:t>
      </w:r>
      <w:r w:rsidRPr="00067F7F">
        <w:rPr>
          <w:rFonts w:ascii="Arial" w:hAnsi="Arial" w:cs="Arial"/>
          <w:bCs/>
          <w:sz w:val="22"/>
          <w:szCs w:val="22"/>
          <w:lang w:val="fr-FR"/>
        </w:rPr>
        <w:t>urgence dans la convocation d</w:t>
      </w:r>
      <w:r w:rsidR="008E532B">
        <w:rPr>
          <w:rFonts w:ascii="Arial" w:hAnsi="Arial" w:cs="Arial"/>
          <w:bCs/>
          <w:sz w:val="22"/>
          <w:szCs w:val="22"/>
          <w:lang w:val="fr-FR"/>
        </w:rPr>
        <w:t>’</w:t>
      </w:r>
      <w:r w:rsidRPr="00067F7F">
        <w:rPr>
          <w:rFonts w:ascii="Arial" w:hAnsi="Arial" w:cs="Arial"/>
          <w:bCs/>
          <w:sz w:val="22"/>
          <w:szCs w:val="22"/>
          <w:lang w:val="fr-FR"/>
        </w:rPr>
        <w:t>une session extraordinaire.</w:t>
      </w:r>
    </w:p>
    <w:p w14:paraId="235FD954" w14:textId="098733FB" w:rsidR="00D9653F" w:rsidRPr="00067F7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067F7F">
        <w:rPr>
          <w:rFonts w:ascii="Arial" w:hAnsi="Arial" w:cs="Arial"/>
          <w:b/>
          <w:sz w:val="22"/>
          <w:szCs w:val="22"/>
          <w:lang w:val="fr-FR"/>
        </w:rPr>
        <w:t>Présidente</w:t>
      </w:r>
      <w:r>
        <w:rPr>
          <w:rFonts w:ascii="Arial" w:hAnsi="Arial" w:cs="Arial"/>
          <w:bCs/>
          <w:sz w:val="22"/>
          <w:szCs w:val="22"/>
          <w:lang w:val="fr-FR"/>
        </w:rPr>
        <w:t xml:space="preserve"> a demandé s</w:t>
      </w:r>
      <w:r w:rsidR="008E532B">
        <w:rPr>
          <w:rFonts w:ascii="Arial" w:hAnsi="Arial" w:cs="Arial"/>
          <w:bCs/>
          <w:sz w:val="22"/>
          <w:szCs w:val="22"/>
          <w:lang w:val="fr-FR"/>
        </w:rPr>
        <w:t>’</w:t>
      </w:r>
      <w:r>
        <w:rPr>
          <w:rFonts w:ascii="Arial" w:hAnsi="Arial" w:cs="Arial"/>
          <w:bCs/>
          <w:sz w:val="22"/>
          <w:szCs w:val="22"/>
          <w:lang w:val="fr-FR"/>
        </w:rPr>
        <w:t xml:space="preserve">il y avait opposition à la </w:t>
      </w:r>
      <w:r w:rsidRPr="00067F7F">
        <w:rPr>
          <w:rFonts w:ascii="Arial" w:hAnsi="Arial" w:cs="Arial"/>
          <w:bCs/>
          <w:sz w:val="22"/>
          <w:szCs w:val="22"/>
          <w:lang w:val="fr-FR"/>
        </w:rPr>
        <w:t>proposition</w:t>
      </w:r>
      <w:r>
        <w:rPr>
          <w:rFonts w:ascii="Arial" w:hAnsi="Arial" w:cs="Arial"/>
          <w:bCs/>
          <w:sz w:val="22"/>
          <w:szCs w:val="22"/>
          <w:lang w:val="fr-FR"/>
        </w:rPr>
        <w:t xml:space="preserve"> du Portugal.</w:t>
      </w:r>
    </w:p>
    <w:p w14:paraId="2F21268F" w14:textId="08D0708A" w:rsidR="00D9653F" w:rsidRPr="00067F7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67F7F">
        <w:rPr>
          <w:rFonts w:ascii="Arial" w:hAnsi="Arial" w:cs="Arial"/>
          <w:bCs/>
          <w:sz w:val="22"/>
          <w:szCs w:val="22"/>
          <w:lang w:val="fr-FR"/>
        </w:rPr>
        <w:t xml:space="preserve">La délégation de la </w:t>
      </w:r>
      <w:r w:rsidRPr="00067F7F">
        <w:rPr>
          <w:rFonts w:ascii="Arial" w:hAnsi="Arial" w:cs="Arial"/>
          <w:b/>
          <w:sz w:val="22"/>
          <w:szCs w:val="22"/>
          <w:lang w:val="fr-FR"/>
        </w:rPr>
        <w:t>Türkiye</w:t>
      </w:r>
      <w:r w:rsidRPr="00067F7F">
        <w:rPr>
          <w:rFonts w:ascii="Arial" w:hAnsi="Arial" w:cs="Arial"/>
          <w:bCs/>
          <w:sz w:val="22"/>
          <w:szCs w:val="22"/>
          <w:lang w:val="fr-FR"/>
        </w:rPr>
        <w:t xml:space="preserve"> </w:t>
      </w:r>
      <w:r>
        <w:rPr>
          <w:rFonts w:ascii="Arial" w:hAnsi="Arial" w:cs="Arial"/>
          <w:bCs/>
          <w:sz w:val="22"/>
          <w:szCs w:val="22"/>
          <w:lang w:val="fr-FR"/>
        </w:rPr>
        <w:t xml:space="preserve">était favorable à </w:t>
      </w:r>
      <w:r w:rsidRPr="00067F7F">
        <w:rPr>
          <w:rFonts w:ascii="Arial" w:hAnsi="Arial" w:cs="Arial"/>
          <w:bCs/>
          <w:sz w:val="22"/>
          <w:szCs w:val="22"/>
          <w:lang w:val="fr-FR"/>
        </w:rPr>
        <w:t>l</w:t>
      </w:r>
      <w:r w:rsidR="008E532B">
        <w:rPr>
          <w:rFonts w:ascii="Arial" w:hAnsi="Arial" w:cs="Arial"/>
          <w:bCs/>
          <w:sz w:val="22"/>
          <w:szCs w:val="22"/>
          <w:lang w:val="fr-FR"/>
        </w:rPr>
        <w:t>’</w:t>
      </w:r>
      <w:r w:rsidRPr="00067F7F">
        <w:rPr>
          <w:rFonts w:ascii="Arial" w:hAnsi="Arial" w:cs="Arial"/>
          <w:bCs/>
          <w:sz w:val="22"/>
          <w:szCs w:val="22"/>
          <w:lang w:val="fr-FR"/>
        </w:rPr>
        <w:t>option 2, qui offr</w:t>
      </w:r>
      <w:r>
        <w:rPr>
          <w:rFonts w:ascii="Arial" w:hAnsi="Arial" w:cs="Arial"/>
          <w:bCs/>
          <w:sz w:val="22"/>
          <w:szCs w:val="22"/>
          <w:lang w:val="fr-FR"/>
        </w:rPr>
        <w:t>ait</w:t>
      </w:r>
      <w:r w:rsidRPr="00067F7F">
        <w:rPr>
          <w:rFonts w:ascii="Arial" w:hAnsi="Arial" w:cs="Arial"/>
          <w:bCs/>
          <w:sz w:val="22"/>
          <w:szCs w:val="22"/>
          <w:lang w:val="fr-FR"/>
        </w:rPr>
        <w:t xml:space="preserve"> une certaine souplesse au</w:t>
      </w:r>
      <w:r>
        <w:rPr>
          <w:rFonts w:ascii="Arial" w:hAnsi="Arial" w:cs="Arial"/>
          <w:bCs/>
          <w:sz w:val="22"/>
          <w:szCs w:val="22"/>
          <w:lang w:val="fr-FR"/>
        </w:rPr>
        <w:t xml:space="preserve">/à la </w:t>
      </w:r>
      <w:r w:rsidRPr="00067F7F">
        <w:rPr>
          <w:rFonts w:ascii="Arial" w:hAnsi="Arial" w:cs="Arial"/>
          <w:bCs/>
          <w:sz w:val="22"/>
          <w:szCs w:val="22"/>
          <w:lang w:val="fr-FR"/>
        </w:rPr>
        <w:t>Directeur</w:t>
      </w:r>
      <w:r>
        <w:rPr>
          <w:rFonts w:ascii="Arial" w:hAnsi="Arial" w:cs="Arial"/>
          <w:bCs/>
          <w:sz w:val="22"/>
          <w:szCs w:val="22"/>
          <w:lang w:val="fr-FR"/>
        </w:rPr>
        <w:t>/Directrice</w:t>
      </w:r>
      <w:r w:rsidRPr="00067F7F">
        <w:rPr>
          <w:rFonts w:ascii="Arial" w:hAnsi="Arial" w:cs="Arial"/>
          <w:bCs/>
          <w:sz w:val="22"/>
          <w:szCs w:val="22"/>
          <w:lang w:val="fr-FR"/>
        </w:rPr>
        <w:t xml:space="preserve"> général</w:t>
      </w:r>
      <w:r>
        <w:rPr>
          <w:rFonts w:ascii="Arial" w:hAnsi="Arial" w:cs="Arial"/>
          <w:bCs/>
          <w:sz w:val="22"/>
          <w:szCs w:val="22"/>
          <w:lang w:val="fr-FR"/>
        </w:rPr>
        <w:t>(e)</w:t>
      </w:r>
      <w:r w:rsidRPr="00067F7F">
        <w:rPr>
          <w:rFonts w:ascii="Arial" w:hAnsi="Arial" w:cs="Arial"/>
          <w:bCs/>
          <w:sz w:val="22"/>
          <w:szCs w:val="22"/>
          <w:lang w:val="fr-FR"/>
        </w:rPr>
        <w:t xml:space="preserve"> si le temps manqu</w:t>
      </w:r>
      <w:r>
        <w:rPr>
          <w:rFonts w:ascii="Arial" w:hAnsi="Arial" w:cs="Arial"/>
          <w:bCs/>
          <w:sz w:val="22"/>
          <w:szCs w:val="22"/>
          <w:lang w:val="fr-FR"/>
        </w:rPr>
        <w:t>ait</w:t>
      </w:r>
      <w:r w:rsidRPr="00067F7F">
        <w:rPr>
          <w:rFonts w:ascii="Arial" w:hAnsi="Arial" w:cs="Arial"/>
          <w:bCs/>
          <w:sz w:val="22"/>
          <w:szCs w:val="22"/>
          <w:lang w:val="fr-FR"/>
        </w:rPr>
        <w:t xml:space="preserve"> pour</w:t>
      </w:r>
      <w:r>
        <w:rPr>
          <w:rFonts w:ascii="Arial" w:hAnsi="Arial" w:cs="Arial"/>
          <w:bCs/>
          <w:sz w:val="22"/>
          <w:szCs w:val="22"/>
          <w:lang w:val="fr-FR"/>
        </w:rPr>
        <w:t xml:space="preserve"> la préparation </w:t>
      </w:r>
      <w:r w:rsidRPr="00067F7F">
        <w:rPr>
          <w:rFonts w:ascii="Arial" w:hAnsi="Arial" w:cs="Arial"/>
          <w:bCs/>
          <w:sz w:val="22"/>
          <w:szCs w:val="22"/>
          <w:lang w:val="fr-FR"/>
        </w:rPr>
        <w:t>logistique</w:t>
      </w:r>
      <w:r>
        <w:rPr>
          <w:rFonts w:ascii="Arial" w:hAnsi="Arial" w:cs="Arial"/>
          <w:bCs/>
          <w:sz w:val="22"/>
          <w:szCs w:val="22"/>
          <w:lang w:val="fr-FR"/>
        </w:rPr>
        <w:t xml:space="preserve"> de </w:t>
      </w:r>
      <w:r w:rsidRPr="00067F7F">
        <w:rPr>
          <w:rFonts w:ascii="Arial" w:hAnsi="Arial" w:cs="Arial"/>
          <w:bCs/>
          <w:sz w:val="22"/>
          <w:szCs w:val="22"/>
          <w:lang w:val="fr-FR"/>
        </w:rPr>
        <w:t>la réunion. Elle compren</w:t>
      </w:r>
      <w:r>
        <w:rPr>
          <w:rFonts w:ascii="Arial" w:hAnsi="Arial" w:cs="Arial"/>
          <w:bCs/>
          <w:sz w:val="22"/>
          <w:szCs w:val="22"/>
          <w:lang w:val="fr-FR"/>
        </w:rPr>
        <w:t>ait</w:t>
      </w:r>
      <w:r w:rsidRPr="00067F7F">
        <w:rPr>
          <w:rFonts w:ascii="Arial" w:hAnsi="Arial" w:cs="Arial"/>
          <w:bCs/>
          <w:sz w:val="22"/>
          <w:szCs w:val="22"/>
          <w:lang w:val="fr-FR"/>
        </w:rPr>
        <w:t xml:space="preserve"> qu</w:t>
      </w:r>
      <w:r w:rsidR="008E532B">
        <w:rPr>
          <w:rFonts w:ascii="Arial" w:hAnsi="Arial" w:cs="Arial"/>
          <w:bCs/>
          <w:sz w:val="22"/>
          <w:szCs w:val="22"/>
          <w:lang w:val="fr-FR"/>
        </w:rPr>
        <w:t>’</w:t>
      </w:r>
      <w:r w:rsidRPr="00067F7F">
        <w:rPr>
          <w:rFonts w:ascii="Arial" w:hAnsi="Arial" w:cs="Arial"/>
          <w:bCs/>
          <w:sz w:val="22"/>
          <w:szCs w:val="22"/>
          <w:lang w:val="fr-FR"/>
        </w:rPr>
        <w:t xml:space="preserve">un </w:t>
      </w:r>
      <w:r>
        <w:rPr>
          <w:rFonts w:ascii="Arial" w:hAnsi="Arial" w:cs="Arial"/>
          <w:bCs/>
          <w:sz w:val="22"/>
          <w:szCs w:val="22"/>
          <w:lang w:val="fr-FR"/>
        </w:rPr>
        <w:t xml:space="preserve">tel </w:t>
      </w:r>
      <w:r w:rsidRPr="00067F7F">
        <w:rPr>
          <w:rFonts w:ascii="Arial" w:hAnsi="Arial" w:cs="Arial"/>
          <w:bCs/>
          <w:sz w:val="22"/>
          <w:szCs w:val="22"/>
          <w:lang w:val="fr-FR"/>
        </w:rPr>
        <w:t>calendrier n</w:t>
      </w:r>
      <w:r w:rsidR="008E532B">
        <w:rPr>
          <w:rFonts w:ascii="Arial" w:hAnsi="Arial" w:cs="Arial"/>
          <w:bCs/>
          <w:sz w:val="22"/>
          <w:szCs w:val="22"/>
          <w:lang w:val="fr-FR"/>
        </w:rPr>
        <w:t>’</w:t>
      </w:r>
      <w:r w:rsidRPr="00067F7F">
        <w:rPr>
          <w:rFonts w:ascii="Arial" w:hAnsi="Arial" w:cs="Arial"/>
          <w:bCs/>
          <w:sz w:val="22"/>
          <w:szCs w:val="22"/>
          <w:lang w:val="fr-FR"/>
        </w:rPr>
        <w:t>exist</w:t>
      </w:r>
      <w:r>
        <w:rPr>
          <w:rFonts w:ascii="Arial" w:hAnsi="Arial" w:cs="Arial"/>
          <w:bCs/>
          <w:sz w:val="22"/>
          <w:szCs w:val="22"/>
          <w:lang w:val="fr-FR"/>
        </w:rPr>
        <w:t>ait</w:t>
      </w:r>
      <w:r w:rsidRPr="00067F7F">
        <w:rPr>
          <w:rFonts w:ascii="Arial" w:hAnsi="Arial" w:cs="Arial"/>
          <w:bCs/>
          <w:sz w:val="22"/>
          <w:szCs w:val="22"/>
          <w:lang w:val="fr-FR"/>
        </w:rPr>
        <w:t xml:space="preserve"> pas pour d</w:t>
      </w:r>
      <w:r w:rsidR="008E532B">
        <w:rPr>
          <w:rFonts w:ascii="Arial" w:hAnsi="Arial" w:cs="Arial"/>
          <w:bCs/>
          <w:sz w:val="22"/>
          <w:szCs w:val="22"/>
          <w:lang w:val="fr-FR"/>
        </w:rPr>
        <w:t>’</w:t>
      </w:r>
      <w:r w:rsidRPr="00067F7F">
        <w:rPr>
          <w:rFonts w:ascii="Arial" w:hAnsi="Arial" w:cs="Arial"/>
          <w:bCs/>
          <w:sz w:val="22"/>
          <w:szCs w:val="22"/>
          <w:lang w:val="fr-FR"/>
        </w:rPr>
        <w:t>autres conventions, mais les sessions en ligne n</w:t>
      </w:r>
      <w:r w:rsidR="008E532B">
        <w:rPr>
          <w:rFonts w:ascii="Arial" w:hAnsi="Arial" w:cs="Arial"/>
          <w:bCs/>
          <w:sz w:val="22"/>
          <w:szCs w:val="22"/>
          <w:lang w:val="fr-FR"/>
        </w:rPr>
        <w:t>’</w:t>
      </w:r>
      <w:r w:rsidRPr="00067F7F">
        <w:rPr>
          <w:rFonts w:ascii="Arial" w:hAnsi="Arial" w:cs="Arial"/>
          <w:bCs/>
          <w:sz w:val="22"/>
          <w:szCs w:val="22"/>
          <w:lang w:val="fr-FR"/>
        </w:rPr>
        <w:t>exist</w:t>
      </w:r>
      <w:r>
        <w:rPr>
          <w:rFonts w:ascii="Arial" w:hAnsi="Arial" w:cs="Arial"/>
          <w:bCs/>
          <w:sz w:val="22"/>
          <w:szCs w:val="22"/>
          <w:lang w:val="fr-FR"/>
        </w:rPr>
        <w:t>ai</w:t>
      </w:r>
      <w:r w:rsidRPr="00067F7F">
        <w:rPr>
          <w:rFonts w:ascii="Arial" w:hAnsi="Arial" w:cs="Arial"/>
          <w:bCs/>
          <w:sz w:val="22"/>
          <w:szCs w:val="22"/>
          <w:lang w:val="fr-FR"/>
        </w:rPr>
        <w:t>ent pas non plus dans d</w:t>
      </w:r>
      <w:r w:rsidR="008E532B">
        <w:rPr>
          <w:rFonts w:ascii="Arial" w:hAnsi="Arial" w:cs="Arial"/>
          <w:bCs/>
          <w:sz w:val="22"/>
          <w:szCs w:val="22"/>
          <w:lang w:val="fr-FR"/>
        </w:rPr>
        <w:t>’</w:t>
      </w:r>
      <w:r w:rsidRPr="00067F7F">
        <w:rPr>
          <w:rFonts w:ascii="Arial" w:hAnsi="Arial" w:cs="Arial"/>
          <w:bCs/>
          <w:sz w:val="22"/>
          <w:szCs w:val="22"/>
          <w:lang w:val="fr-FR"/>
        </w:rPr>
        <w:t xml:space="preserve">autres conventions, comme </w:t>
      </w:r>
      <w:r>
        <w:rPr>
          <w:rFonts w:ascii="Arial" w:hAnsi="Arial" w:cs="Arial"/>
          <w:bCs/>
          <w:sz w:val="22"/>
          <w:szCs w:val="22"/>
          <w:lang w:val="fr-FR"/>
        </w:rPr>
        <w:t>on venait de les</w:t>
      </w:r>
      <w:r w:rsidRPr="00067F7F">
        <w:rPr>
          <w:rFonts w:ascii="Arial" w:hAnsi="Arial" w:cs="Arial"/>
          <w:bCs/>
          <w:sz w:val="22"/>
          <w:szCs w:val="22"/>
          <w:lang w:val="fr-FR"/>
        </w:rPr>
        <w:t xml:space="preserve"> adopt</w:t>
      </w:r>
      <w:r>
        <w:rPr>
          <w:rFonts w:ascii="Arial" w:hAnsi="Arial" w:cs="Arial"/>
          <w:bCs/>
          <w:sz w:val="22"/>
          <w:szCs w:val="22"/>
          <w:lang w:val="fr-FR"/>
        </w:rPr>
        <w:t>er</w:t>
      </w:r>
      <w:r w:rsidRPr="00067F7F">
        <w:rPr>
          <w:rFonts w:ascii="Arial" w:hAnsi="Arial" w:cs="Arial"/>
          <w:bCs/>
          <w:sz w:val="22"/>
          <w:szCs w:val="22"/>
          <w:lang w:val="fr-FR"/>
        </w:rPr>
        <w:t>. La délégation estim</w:t>
      </w:r>
      <w:r>
        <w:rPr>
          <w:rFonts w:ascii="Arial" w:hAnsi="Arial" w:cs="Arial"/>
          <w:bCs/>
          <w:sz w:val="22"/>
          <w:szCs w:val="22"/>
          <w:lang w:val="fr-FR"/>
        </w:rPr>
        <w:t>ait</w:t>
      </w:r>
      <w:r w:rsidRPr="00067F7F">
        <w:rPr>
          <w:rFonts w:ascii="Arial" w:hAnsi="Arial" w:cs="Arial"/>
          <w:bCs/>
          <w:sz w:val="22"/>
          <w:szCs w:val="22"/>
          <w:lang w:val="fr-FR"/>
        </w:rPr>
        <w:t xml:space="preserve"> qu</w:t>
      </w:r>
      <w:r w:rsidR="008E532B">
        <w:rPr>
          <w:rFonts w:ascii="Arial" w:hAnsi="Arial" w:cs="Arial"/>
          <w:bCs/>
          <w:sz w:val="22"/>
          <w:szCs w:val="22"/>
          <w:lang w:val="fr-FR"/>
        </w:rPr>
        <w:t>’</w:t>
      </w:r>
      <w:r w:rsidRPr="00067F7F">
        <w:rPr>
          <w:rFonts w:ascii="Arial" w:hAnsi="Arial" w:cs="Arial"/>
          <w:bCs/>
          <w:sz w:val="22"/>
          <w:szCs w:val="22"/>
          <w:lang w:val="fr-FR"/>
        </w:rPr>
        <w:t>il devrait y avoir un certain délai et des procédures à suivre. Elle préf</w:t>
      </w:r>
      <w:r>
        <w:rPr>
          <w:rFonts w:ascii="Arial" w:hAnsi="Arial" w:cs="Arial"/>
          <w:bCs/>
          <w:sz w:val="22"/>
          <w:szCs w:val="22"/>
          <w:lang w:val="fr-FR"/>
        </w:rPr>
        <w:t>érait</w:t>
      </w:r>
      <w:r w:rsidRPr="00067F7F">
        <w:rPr>
          <w:rFonts w:ascii="Arial" w:hAnsi="Arial" w:cs="Arial"/>
          <w:bCs/>
          <w:sz w:val="22"/>
          <w:szCs w:val="22"/>
          <w:lang w:val="fr-FR"/>
        </w:rPr>
        <w:t xml:space="preserve"> l</w:t>
      </w:r>
      <w:r w:rsidR="008E532B">
        <w:rPr>
          <w:rFonts w:ascii="Arial" w:hAnsi="Arial" w:cs="Arial"/>
          <w:bCs/>
          <w:sz w:val="22"/>
          <w:szCs w:val="22"/>
          <w:lang w:val="fr-FR"/>
        </w:rPr>
        <w:t>’</w:t>
      </w:r>
      <w:r w:rsidRPr="00067F7F">
        <w:rPr>
          <w:rFonts w:ascii="Arial" w:hAnsi="Arial" w:cs="Arial"/>
          <w:bCs/>
          <w:sz w:val="22"/>
          <w:szCs w:val="22"/>
          <w:lang w:val="fr-FR"/>
        </w:rPr>
        <w:t xml:space="preserve">option 2, mais elle </w:t>
      </w:r>
      <w:r>
        <w:rPr>
          <w:rFonts w:ascii="Arial" w:hAnsi="Arial" w:cs="Arial"/>
          <w:bCs/>
          <w:sz w:val="22"/>
          <w:szCs w:val="22"/>
          <w:lang w:val="fr-FR"/>
        </w:rPr>
        <w:t>était</w:t>
      </w:r>
      <w:r w:rsidRPr="00067F7F">
        <w:rPr>
          <w:rFonts w:ascii="Arial" w:hAnsi="Arial" w:cs="Arial"/>
          <w:bCs/>
          <w:sz w:val="22"/>
          <w:szCs w:val="22"/>
          <w:lang w:val="fr-FR"/>
        </w:rPr>
        <w:t xml:space="preserve"> également flexible avec l</w:t>
      </w:r>
      <w:r w:rsidR="008E532B">
        <w:rPr>
          <w:rFonts w:ascii="Arial" w:hAnsi="Arial" w:cs="Arial"/>
          <w:bCs/>
          <w:sz w:val="22"/>
          <w:szCs w:val="22"/>
          <w:lang w:val="fr-FR"/>
        </w:rPr>
        <w:t>’</w:t>
      </w:r>
      <w:r w:rsidRPr="00067F7F">
        <w:rPr>
          <w:rFonts w:ascii="Arial" w:hAnsi="Arial" w:cs="Arial"/>
          <w:bCs/>
          <w:sz w:val="22"/>
          <w:szCs w:val="22"/>
          <w:lang w:val="fr-FR"/>
        </w:rPr>
        <w:t>option 1 et l</w:t>
      </w:r>
      <w:r w:rsidR="008E532B">
        <w:rPr>
          <w:rFonts w:ascii="Arial" w:hAnsi="Arial" w:cs="Arial"/>
          <w:bCs/>
          <w:sz w:val="22"/>
          <w:szCs w:val="22"/>
          <w:lang w:val="fr-FR"/>
        </w:rPr>
        <w:t>’</w:t>
      </w:r>
      <w:r w:rsidRPr="00067F7F">
        <w:rPr>
          <w:rFonts w:ascii="Arial" w:hAnsi="Arial" w:cs="Arial"/>
          <w:bCs/>
          <w:sz w:val="22"/>
          <w:szCs w:val="22"/>
          <w:lang w:val="fr-FR"/>
        </w:rPr>
        <w:t>option 3.</w:t>
      </w:r>
    </w:p>
    <w:p w14:paraId="25D11AE3" w14:textId="3F7A0D0A"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B7BC7">
        <w:rPr>
          <w:rFonts w:ascii="Arial" w:hAnsi="Arial" w:cs="Arial"/>
          <w:bCs/>
          <w:sz w:val="22"/>
          <w:szCs w:val="22"/>
          <w:lang w:val="fr-FR"/>
        </w:rPr>
        <w:t xml:space="preserve">Le </w:t>
      </w:r>
      <w:r w:rsidRPr="002B7BC7">
        <w:rPr>
          <w:rFonts w:ascii="Arial" w:hAnsi="Arial" w:cs="Arial"/>
          <w:b/>
          <w:sz w:val="22"/>
          <w:szCs w:val="22"/>
          <w:lang w:val="fr-FR"/>
        </w:rPr>
        <w:t>Sous-Directeur général</w:t>
      </w:r>
      <w:r w:rsidRPr="002B7BC7">
        <w:rPr>
          <w:rFonts w:ascii="Arial" w:hAnsi="Arial" w:cs="Arial"/>
          <w:bCs/>
          <w:sz w:val="22"/>
          <w:szCs w:val="22"/>
          <w:lang w:val="fr-FR"/>
        </w:rPr>
        <w:t xml:space="preserve"> a fait remarquer que les trois options étaient effectivement similaires et tendaient vers le même objectif. Avant de poursuivre, il </w:t>
      </w:r>
      <w:r>
        <w:rPr>
          <w:rFonts w:ascii="Arial" w:hAnsi="Arial" w:cs="Arial"/>
          <w:bCs/>
          <w:sz w:val="22"/>
          <w:szCs w:val="22"/>
          <w:lang w:val="fr-FR"/>
        </w:rPr>
        <w:t xml:space="preserve">a </w:t>
      </w:r>
      <w:r w:rsidRPr="002B7BC7">
        <w:rPr>
          <w:rFonts w:ascii="Arial" w:hAnsi="Arial" w:cs="Arial"/>
          <w:bCs/>
          <w:sz w:val="22"/>
          <w:szCs w:val="22"/>
          <w:lang w:val="fr-FR"/>
        </w:rPr>
        <w:t>demand</w:t>
      </w:r>
      <w:r>
        <w:rPr>
          <w:rFonts w:ascii="Arial" w:hAnsi="Arial" w:cs="Arial"/>
          <w:bCs/>
          <w:sz w:val="22"/>
          <w:szCs w:val="22"/>
          <w:lang w:val="fr-FR"/>
        </w:rPr>
        <w:t xml:space="preserve">é </w:t>
      </w:r>
      <w:r w:rsidRPr="002B7BC7">
        <w:rPr>
          <w:rFonts w:ascii="Arial" w:hAnsi="Arial" w:cs="Arial"/>
          <w:bCs/>
          <w:sz w:val="22"/>
          <w:szCs w:val="22"/>
          <w:lang w:val="fr-FR"/>
        </w:rPr>
        <w:t>à l</w:t>
      </w:r>
      <w:r w:rsidR="008E532B">
        <w:rPr>
          <w:rFonts w:ascii="Arial" w:hAnsi="Arial" w:cs="Arial"/>
          <w:bCs/>
          <w:sz w:val="22"/>
          <w:szCs w:val="22"/>
          <w:lang w:val="fr-FR"/>
        </w:rPr>
        <w:t>’</w:t>
      </w:r>
      <w:r w:rsidRPr="002B7BC7">
        <w:rPr>
          <w:rFonts w:ascii="Arial" w:hAnsi="Arial" w:cs="Arial"/>
          <w:bCs/>
          <w:sz w:val="22"/>
          <w:szCs w:val="22"/>
          <w:lang w:val="fr-FR"/>
        </w:rPr>
        <w:t>Éthiopie si elle a</w:t>
      </w:r>
      <w:r>
        <w:rPr>
          <w:rFonts w:ascii="Arial" w:hAnsi="Arial" w:cs="Arial"/>
          <w:bCs/>
          <w:sz w:val="22"/>
          <w:szCs w:val="22"/>
          <w:lang w:val="fr-FR"/>
        </w:rPr>
        <w:t>vait</w:t>
      </w:r>
      <w:r w:rsidRPr="002B7BC7">
        <w:rPr>
          <w:rFonts w:ascii="Arial" w:hAnsi="Arial" w:cs="Arial"/>
          <w:bCs/>
          <w:sz w:val="22"/>
          <w:szCs w:val="22"/>
          <w:lang w:val="fr-FR"/>
        </w:rPr>
        <w:t xml:space="preserve"> une préférence pour sa propre option 4, qui consist</w:t>
      </w:r>
      <w:r>
        <w:rPr>
          <w:rFonts w:ascii="Arial" w:hAnsi="Arial" w:cs="Arial"/>
          <w:bCs/>
          <w:sz w:val="22"/>
          <w:szCs w:val="22"/>
          <w:lang w:val="fr-FR"/>
        </w:rPr>
        <w:t>ait</w:t>
      </w:r>
      <w:r w:rsidRPr="002B7BC7">
        <w:rPr>
          <w:rFonts w:ascii="Arial" w:hAnsi="Arial" w:cs="Arial"/>
          <w:bCs/>
          <w:sz w:val="22"/>
          <w:szCs w:val="22"/>
          <w:lang w:val="fr-FR"/>
        </w:rPr>
        <w:t xml:space="preserve"> à revenir à </w:t>
      </w:r>
      <w:r>
        <w:rPr>
          <w:rFonts w:ascii="Arial" w:hAnsi="Arial" w:cs="Arial"/>
          <w:bCs/>
          <w:sz w:val="22"/>
          <w:szCs w:val="22"/>
          <w:lang w:val="fr-FR"/>
        </w:rPr>
        <w:t>« </w:t>
      </w:r>
      <w:r w:rsidRPr="002B7BC7">
        <w:rPr>
          <w:rFonts w:ascii="Arial" w:hAnsi="Arial" w:cs="Arial"/>
          <w:bCs/>
          <w:sz w:val="22"/>
          <w:szCs w:val="22"/>
          <w:lang w:val="fr-FR"/>
        </w:rPr>
        <w:t>dès que possible</w:t>
      </w:r>
      <w:r>
        <w:rPr>
          <w:rFonts w:ascii="Arial" w:hAnsi="Arial" w:cs="Arial"/>
          <w:bCs/>
          <w:sz w:val="22"/>
          <w:szCs w:val="22"/>
          <w:lang w:val="fr-FR"/>
        </w:rPr>
        <w:t> »</w:t>
      </w:r>
      <w:r w:rsidRPr="002B7BC7">
        <w:rPr>
          <w:rFonts w:ascii="Arial" w:hAnsi="Arial" w:cs="Arial"/>
          <w:bCs/>
          <w:sz w:val="22"/>
          <w:szCs w:val="22"/>
          <w:lang w:val="fr-FR"/>
        </w:rPr>
        <w:t>.</w:t>
      </w:r>
    </w:p>
    <w:p w14:paraId="62012F42" w14:textId="34495107" w:rsidR="00D9653F" w:rsidRPr="002B7BC7"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2B7BC7">
        <w:rPr>
          <w:rFonts w:ascii="Arial" w:hAnsi="Arial" w:cs="Arial"/>
          <w:bCs/>
          <w:sz w:val="22"/>
          <w:szCs w:val="22"/>
          <w:lang w:val="fr-FR"/>
        </w:rPr>
        <w:t>délégation</w:t>
      </w:r>
      <w:r>
        <w:rPr>
          <w:rFonts w:ascii="Arial" w:hAnsi="Arial" w:cs="Arial"/>
          <w:bCs/>
          <w:sz w:val="22"/>
          <w:szCs w:val="22"/>
          <w:lang w:val="fr-FR"/>
        </w:rPr>
        <w:t xml:space="preserve"> de l</w:t>
      </w:r>
      <w:r w:rsidR="008E532B">
        <w:rPr>
          <w:rFonts w:ascii="Arial" w:hAnsi="Arial" w:cs="Arial"/>
          <w:bCs/>
          <w:sz w:val="22"/>
          <w:szCs w:val="22"/>
          <w:lang w:val="fr-FR"/>
        </w:rPr>
        <w:t>’</w:t>
      </w:r>
      <w:r w:rsidRPr="002B7BC7">
        <w:rPr>
          <w:rFonts w:ascii="Arial" w:hAnsi="Arial" w:cs="Arial"/>
          <w:b/>
          <w:sz w:val="22"/>
          <w:szCs w:val="22"/>
          <w:lang w:val="fr-FR"/>
        </w:rPr>
        <w:t>Éthiopie</w:t>
      </w:r>
      <w:r>
        <w:rPr>
          <w:rFonts w:ascii="Arial" w:hAnsi="Arial" w:cs="Arial"/>
          <w:bCs/>
          <w:sz w:val="22"/>
          <w:szCs w:val="22"/>
          <w:lang w:val="fr-FR"/>
        </w:rPr>
        <w:t xml:space="preserve"> ne souhaitait présenter une quatrième option. Elle avait retiré son </w:t>
      </w:r>
      <w:r w:rsidRPr="002B7BC7">
        <w:rPr>
          <w:rFonts w:ascii="Arial" w:hAnsi="Arial" w:cs="Arial"/>
          <w:bCs/>
          <w:sz w:val="22"/>
          <w:szCs w:val="22"/>
          <w:lang w:val="fr-FR"/>
        </w:rPr>
        <w:t>amendement</w:t>
      </w:r>
      <w:r>
        <w:rPr>
          <w:rFonts w:ascii="Arial" w:hAnsi="Arial" w:cs="Arial"/>
          <w:bCs/>
          <w:sz w:val="22"/>
          <w:szCs w:val="22"/>
          <w:lang w:val="fr-FR"/>
        </w:rPr>
        <w:t xml:space="preserve"> afin que l</w:t>
      </w:r>
      <w:r w:rsidR="008E532B">
        <w:rPr>
          <w:rFonts w:ascii="Arial" w:hAnsi="Arial" w:cs="Arial"/>
          <w:bCs/>
          <w:sz w:val="22"/>
          <w:szCs w:val="22"/>
          <w:lang w:val="fr-FR"/>
        </w:rPr>
        <w:t>’</w:t>
      </w:r>
      <w:r>
        <w:rPr>
          <w:rFonts w:ascii="Arial" w:hAnsi="Arial" w:cs="Arial"/>
          <w:bCs/>
          <w:sz w:val="22"/>
          <w:szCs w:val="22"/>
          <w:lang w:val="fr-FR"/>
        </w:rPr>
        <w:t>Assemblée puisse parvenir à un consensus sans ce terme.</w:t>
      </w:r>
    </w:p>
    <w:p w14:paraId="627EEB0A" w14:textId="19F6E149"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B7BC7">
        <w:rPr>
          <w:rFonts w:ascii="Arial" w:hAnsi="Arial" w:cs="Arial"/>
          <w:bCs/>
          <w:sz w:val="22"/>
          <w:szCs w:val="22"/>
          <w:lang w:val="fr-FR"/>
        </w:rPr>
        <w:t xml:space="preserve">Le </w:t>
      </w:r>
      <w:r w:rsidRPr="002B7BC7">
        <w:rPr>
          <w:rFonts w:ascii="Arial" w:hAnsi="Arial" w:cs="Arial"/>
          <w:b/>
          <w:sz w:val="22"/>
          <w:szCs w:val="22"/>
          <w:lang w:val="fr-FR"/>
        </w:rPr>
        <w:t>Sous-Directeur général</w:t>
      </w:r>
      <w:r w:rsidRPr="002B7BC7">
        <w:rPr>
          <w:rFonts w:ascii="Arial" w:hAnsi="Arial" w:cs="Arial"/>
          <w:bCs/>
          <w:sz w:val="22"/>
          <w:szCs w:val="22"/>
          <w:lang w:val="fr-FR"/>
        </w:rPr>
        <w:t xml:space="preserve"> </w:t>
      </w:r>
      <w:r>
        <w:rPr>
          <w:rFonts w:ascii="Arial" w:hAnsi="Arial" w:cs="Arial"/>
          <w:bCs/>
          <w:sz w:val="22"/>
          <w:szCs w:val="22"/>
          <w:lang w:val="fr-FR"/>
        </w:rPr>
        <w:t xml:space="preserve">a </w:t>
      </w:r>
      <w:r w:rsidRPr="002B7BC7">
        <w:rPr>
          <w:rFonts w:ascii="Arial" w:hAnsi="Arial" w:cs="Arial"/>
          <w:bCs/>
          <w:sz w:val="22"/>
          <w:szCs w:val="22"/>
          <w:lang w:val="fr-FR"/>
        </w:rPr>
        <w:t>not</w:t>
      </w:r>
      <w:r>
        <w:rPr>
          <w:rFonts w:ascii="Arial" w:hAnsi="Arial" w:cs="Arial"/>
          <w:bCs/>
          <w:sz w:val="22"/>
          <w:szCs w:val="22"/>
          <w:lang w:val="fr-FR"/>
        </w:rPr>
        <w:t>é</w:t>
      </w:r>
      <w:r w:rsidRPr="002B7BC7">
        <w:rPr>
          <w:rFonts w:ascii="Arial" w:hAnsi="Arial" w:cs="Arial"/>
          <w:bCs/>
          <w:sz w:val="22"/>
          <w:szCs w:val="22"/>
          <w:lang w:val="fr-FR"/>
        </w:rPr>
        <w:t xml:space="preserve"> que l</w:t>
      </w:r>
      <w:r w:rsidR="008E532B">
        <w:rPr>
          <w:rFonts w:ascii="Arial" w:hAnsi="Arial" w:cs="Arial"/>
          <w:bCs/>
          <w:sz w:val="22"/>
          <w:szCs w:val="22"/>
          <w:lang w:val="fr-FR"/>
        </w:rPr>
        <w:t>’</w:t>
      </w:r>
      <w:r w:rsidRPr="002B7BC7">
        <w:rPr>
          <w:rFonts w:ascii="Arial" w:hAnsi="Arial" w:cs="Arial"/>
          <w:bCs/>
          <w:sz w:val="22"/>
          <w:szCs w:val="22"/>
          <w:lang w:val="fr-FR"/>
        </w:rPr>
        <w:t xml:space="preserve">Éthiopie </w:t>
      </w:r>
      <w:r>
        <w:rPr>
          <w:rFonts w:ascii="Arial" w:hAnsi="Arial" w:cs="Arial"/>
          <w:bCs/>
          <w:sz w:val="22"/>
          <w:szCs w:val="22"/>
          <w:lang w:val="fr-FR"/>
        </w:rPr>
        <w:t>était</w:t>
      </w:r>
      <w:r w:rsidRPr="002B7BC7">
        <w:rPr>
          <w:rFonts w:ascii="Arial" w:hAnsi="Arial" w:cs="Arial"/>
          <w:bCs/>
          <w:sz w:val="22"/>
          <w:szCs w:val="22"/>
          <w:lang w:val="fr-FR"/>
        </w:rPr>
        <w:t xml:space="preserve"> prête à supprimer </w:t>
      </w:r>
      <w:r>
        <w:rPr>
          <w:rFonts w:ascii="Arial" w:hAnsi="Arial" w:cs="Arial"/>
          <w:bCs/>
          <w:sz w:val="22"/>
          <w:szCs w:val="22"/>
          <w:lang w:val="fr-FR"/>
        </w:rPr>
        <w:t>« </w:t>
      </w:r>
      <w:r w:rsidRPr="002B7BC7">
        <w:rPr>
          <w:rFonts w:ascii="Arial" w:hAnsi="Arial" w:cs="Arial"/>
          <w:bCs/>
          <w:sz w:val="22"/>
          <w:szCs w:val="22"/>
          <w:lang w:val="fr-FR"/>
        </w:rPr>
        <w:t>dès que possible</w:t>
      </w:r>
      <w:r>
        <w:rPr>
          <w:rFonts w:ascii="Arial" w:hAnsi="Arial" w:cs="Arial"/>
          <w:bCs/>
          <w:sz w:val="22"/>
          <w:szCs w:val="22"/>
          <w:lang w:val="fr-FR"/>
        </w:rPr>
        <w:t> »</w:t>
      </w:r>
      <w:r w:rsidRPr="002B7BC7">
        <w:rPr>
          <w:rFonts w:ascii="Arial" w:hAnsi="Arial" w:cs="Arial"/>
          <w:bCs/>
          <w:sz w:val="22"/>
          <w:szCs w:val="22"/>
          <w:lang w:val="fr-FR"/>
        </w:rPr>
        <w:t>, ce qui entraîn</w:t>
      </w:r>
      <w:r>
        <w:rPr>
          <w:rFonts w:ascii="Arial" w:hAnsi="Arial" w:cs="Arial"/>
          <w:bCs/>
          <w:sz w:val="22"/>
          <w:szCs w:val="22"/>
          <w:lang w:val="fr-FR"/>
        </w:rPr>
        <w:t>ait</w:t>
      </w:r>
      <w:r w:rsidRPr="002B7BC7">
        <w:rPr>
          <w:rFonts w:ascii="Arial" w:hAnsi="Arial" w:cs="Arial"/>
          <w:bCs/>
          <w:sz w:val="22"/>
          <w:szCs w:val="22"/>
          <w:lang w:val="fr-FR"/>
        </w:rPr>
        <w:t xml:space="preserve"> la suppression des options 1 et 3</w:t>
      </w:r>
      <w:r>
        <w:rPr>
          <w:rFonts w:ascii="Arial" w:hAnsi="Arial" w:cs="Arial"/>
          <w:bCs/>
          <w:sz w:val="22"/>
          <w:szCs w:val="22"/>
          <w:lang w:val="fr-FR"/>
        </w:rPr>
        <w:t xml:space="preserve">. Il a </w:t>
      </w:r>
      <w:r w:rsidRPr="002B7BC7">
        <w:rPr>
          <w:rFonts w:ascii="Arial" w:hAnsi="Arial" w:cs="Arial"/>
          <w:bCs/>
          <w:sz w:val="22"/>
          <w:szCs w:val="22"/>
          <w:lang w:val="fr-FR"/>
        </w:rPr>
        <w:t>demand</w:t>
      </w:r>
      <w:r>
        <w:rPr>
          <w:rFonts w:ascii="Arial" w:hAnsi="Arial" w:cs="Arial"/>
          <w:bCs/>
          <w:sz w:val="22"/>
          <w:szCs w:val="22"/>
          <w:lang w:val="fr-FR"/>
        </w:rPr>
        <w:t>é</w:t>
      </w:r>
      <w:r w:rsidRPr="002B7BC7">
        <w:rPr>
          <w:rFonts w:ascii="Arial" w:hAnsi="Arial" w:cs="Arial"/>
          <w:bCs/>
          <w:sz w:val="22"/>
          <w:szCs w:val="22"/>
          <w:lang w:val="fr-FR"/>
        </w:rPr>
        <w:t xml:space="preserve"> s</w:t>
      </w:r>
      <w:r w:rsidR="008E532B">
        <w:rPr>
          <w:rFonts w:ascii="Arial" w:hAnsi="Arial" w:cs="Arial"/>
          <w:bCs/>
          <w:sz w:val="22"/>
          <w:szCs w:val="22"/>
          <w:lang w:val="fr-FR"/>
        </w:rPr>
        <w:t>’</w:t>
      </w:r>
      <w:r w:rsidRPr="002B7BC7">
        <w:rPr>
          <w:rFonts w:ascii="Arial" w:hAnsi="Arial" w:cs="Arial"/>
          <w:bCs/>
          <w:sz w:val="22"/>
          <w:szCs w:val="22"/>
          <w:lang w:val="fr-FR"/>
        </w:rPr>
        <w:t>il y a</w:t>
      </w:r>
      <w:r>
        <w:rPr>
          <w:rFonts w:ascii="Arial" w:hAnsi="Arial" w:cs="Arial"/>
          <w:bCs/>
          <w:sz w:val="22"/>
          <w:szCs w:val="22"/>
          <w:lang w:val="fr-FR"/>
        </w:rPr>
        <w:t>vait</w:t>
      </w:r>
      <w:r w:rsidRPr="002B7BC7">
        <w:rPr>
          <w:rFonts w:ascii="Arial" w:hAnsi="Arial" w:cs="Arial"/>
          <w:bCs/>
          <w:sz w:val="22"/>
          <w:szCs w:val="22"/>
          <w:lang w:val="fr-FR"/>
        </w:rPr>
        <w:t xml:space="preserve"> des objections à l</w:t>
      </w:r>
      <w:r w:rsidR="008E532B">
        <w:rPr>
          <w:rFonts w:ascii="Arial" w:hAnsi="Arial" w:cs="Arial"/>
          <w:bCs/>
          <w:sz w:val="22"/>
          <w:szCs w:val="22"/>
          <w:lang w:val="fr-FR"/>
        </w:rPr>
        <w:t>’</w:t>
      </w:r>
      <w:r w:rsidRPr="002B7BC7">
        <w:rPr>
          <w:rFonts w:ascii="Arial" w:hAnsi="Arial" w:cs="Arial"/>
          <w:bCs/>
          <w:sz w:val="22"/>
          <w:szCs w:val="22"/>
          <w:lang w:val="fr-FR"/>
        </w:rPr>
        <w:t>option 2.</w:t>
      </w:r>
    </w:p>
    <w:p w14:paraId="3A0BC656" w14:textId="3FB92495" w:rsidR="00D9653F" w:rsidRPr="0012406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B7BC7">
        <w:rPr>
          <w:rFonts w:ascii="Arial" w:hAnsi="Arial" w:cs="Arial"/>
          <w:bCs/>
          <w:sz w:val="22"/>
          <w:szCs w:val="22"/>
          <w:lang w:val="fr-FR"/>
        </w:rPr>
        <w:t xml:space="preserve">La </w:t>
      </w:r>
      <w:r w:rsidRPr="002B7BC7">
        <w:rPr>
          <w:rFonts w:ascii="Arial" w:hAnsi="Arial" w:cs="Arial"/>
          <w:b/>
          <w:sz w:val="22"/>
          <w:szCs w:val="22"/>
          <w:lang w:val="fr-FR"/>
        </w:rPr>
        <w:t>Présidente</w:t>
      </w:r>
      <w:r w:rsidRPr="002B7BC7">
        <w:rPr>
          <w:rFonts w:ascii="Arial" w:hAnsi="Arial" w:cs="Arial"/>
          <w:bCs/>
          <w:sz w:val="22"/>
          <w:szCs w:val="22"/>
          <w:lang w:val="fr-FR"/>
        </w:rPr>
        <w:t xml:space="preserve"> </w:t>
      </w:r>
      <w:r>
        <w:rPr>
          <w:rFonts w:ascii="Arial" w:hAnsi="Arial" w:cs="Arial"/>
          <w:bCs/>
          <w:sz w:val="22"/>
          <w:szCs w:val="22"/>
          <w:lang w:val="fr-FR"/>
        </w:rPr>
        <w:t xml:space="preserve">a </w:t>
      </w:r>
      <w:r w:rsidRPr="002B7BC7">
        <w:rPr>
          <w:rFonts w:ascii="Arial" w:hAnsi="Arial" w:cs="Arial"/>
          <w:bCs/>
          <w:sz w:val="22"/>
          <w:szCs w:val="22"/>
          <w:lang w:val="fr-FR"/>
        </w:rPr>
        <w:t>constat</w:t>
      </w:r>
      <w:r>
        <w:rPr>
          <w:rFonts w:ascii="Arial" w:hAnsi="Arial" w:cs="Arial"/>
          <w:bCs/>
          <w:sz w:val="22"/>
          <w:szCs w:val="22"/>
          <w:lang w:val="fr-FR"/>
        </w:rPr>
        <w:t>é</w:t>
      </w:r>
      <w:r w:rsidRPr="002B7BC7">
        <w:rPr>
          <w:rFonts w:ascii="Arial" w:hAnsi="Arial" w:cs="Arial"/>
          <w:bCs/>
          <w:sz w:val="22"/>
          <w:szCs w:val="22"/>
          <w:lang w:val="fr-FR"/>
        </w:rPr>
        <w:t xml:space="preserve"> qu</w:t>
      </w:r>
      <w:r w:rsidR="008E532B">
        <w:rPr>
          <w:rFonts w:ascii="Arial" w:hAnsi="Arial" w:cs="Arial"/>
          <w:bCs/>
          <w:sz w:val="22"/>
          <w:szCs w:val="22"/>
          <w:lang w:val="fr-FR"/>
        </w:rPr>
        <w:t>’</w:t>
      </w:r>
      <w:r w:rsidRPr="002B7BC7">
        <w:rPr>
          <w:rFonts w:ascii="Arial" w:hAnsi="Arial" w:cs="Arial"/>
          <w:bCs/>
          <w:sz w:val="22"/>
          <w:szCs w:val="22"/>
          <w:lang w:val="fr-FR"/>
        </w:rPr>
        <w:t>il n</w:t>
      </w:r>
      <w:r w:rsidR="008E532B">
        <w:rPr>
          <w:rFonts w:ascii="Arial" w:hAnsi="Arial" w:cs="Arial"/>
          <w:bCs/>
          <w:sz w:val="22"/>
          <w:szCs w:val="22"/>
          <w:lang w:val="fr-FR"/>
        </w:rPr>
        <w:t>’</w:t>
      </w:r>
      <w:r w:rsidRPr="002B7BC7">
        <w:rPr>
          <w:rFonts w:ascii="Arial" w:hAnsi="Arial" w:cs="Arial"/>
          <w:bCs/>
          <w:sz w:val="22"/>
          <w:szCs w:val="22"/>
          <w:lang w:val="fr-FR"/>
        </w:rPr>
        <w:t>y a</w:t>
      </w:r>
      <w:r>
        <w:rPr>
          <w:rFonts w:ascii="Arial" w:hAnsi="Arial" w:cs="Arial"/>
          <w:bCs/>
          <w:sz w:val="22"/>
          <w:szCs w:val="22"/>
          <w:lang w:val="fr-FR"/>
        </w:rPr>
        <w:t>vait</w:t>
      </w:r>
      <w:r w:rsidRPr="002B7BC7">
        <w:rPr>
          <w:rFonts w:ascii="Arial" w:hAnsi="Arial" w:cs="Arial"/>
          <w:bCs/>
          <w:sz w:val="22"/>
          <w:szCs w:val="22"/>
          <w:lang w:val="fr-FR"/>
        </w:rPr>
        <w:t xml:space="preserve"> </w:t>
      </w:r>
      <w:r w:rsidRPr="00124061">
        <w:rPr>
          <w:rFonts w:ascii="Arial" w:hAnsi="Arial" w:cs="Arial"/>
          <w:bCs/>
          <w:sz w:val="22"/>
          <w:szCs w:val="22"/>
          <w:lang w:val="fr-FR"/>
        </w:rPr>
        <w:t>pas d</w:t>
      </w:r>
      <w:r w:rsidR="008E532B">
        <w:rPr>
          <w:rFonts w:ascii="Arial" w:hAnsi="Arial" w:cs="Arial"/>
          <w:bCs/>
          <w:sz w:val="22"/>
          <w:szCs w:val="22"/>
          <w:lang w:val="fr-FR"/>
        </w:rPr>
        <w:t>’</w:t>
      </w:r>
      <w:r w:rsidRPr="00124061">
        <w:rPr>
          <w:rFonts w:ascii="Arial" w:hAnsi="Arial" w:cs="Arial"/>
          <w:bCs/>
          <w:sz w:val="22"/>
          <w:szCs w:val="22"/>
          <w:lang w:val="fr-FR"/>
        </w:rPr>
        <w:t>objection à l</w:t>
      </w:r>
      <w:r w:rsidR="008E532B">
        <w:rPr>
          <w:rFonts w:ascii="Arial" w:hAnsi="Arial" w:cs="Arial"/>
          <w:bCs/>
          <w:sz w:val="22"/>
          <w:szCs w:val="22"/>
          <w:lang w:val="fr-FR"/>
        </w:rPr>
        <w:t>’</w:t>
      </w:r>
      <w:r w:rsidRPr="00124061">
        <w:rPr>
          <w:rFonts w:ascii="Arial" w:hAnsi="Arial" w:cs="Arial"/>
          <w:bCs/>
          <w:sz w:val="22"/>
          <w:szCs w:val="22"/>
          <w:lang w:val="fr-FR"/>
        </w:rPr>
        <w:t>option 2 [la proposition de la T</w:t>
      </w:r>
      <w:r>
        <w:rPr>
          <w:rFonts w:ascii="Arial" w:hAnsi="Arial" w:cs="Arial"/>
          <w:bCs/>
          <w:sz w:val="22"/>
          <w:szCs w:val="22"/>
          <w:lang w:val="fr-FR"/>
        </w:rPr>
        <w:t>ürkiye</w:t>
      </w:r>
      <w:r w:rsidRPr="00124061">
        <w:rPr>
          <w:rFonts w:ascii="Arial" w:hAnsi="Arial" w:cs="Arial"/>
          <w:bCs/>
          <w:sz w:val="22"/>
          <w:szCs w:val="22"/>
          <w:lang w:val="fr-FR"/>
        </w:rPr>
        <w:t xml:space="preserve"> et du Koweït], qui a été dûment adoptée. L</w:t>
      </w:r>
      <w:r w:rsidR="008E532B">
        <w:rPr>
          <w:rFonts w:ascii="Arial" w:hAnsi="Arial" w:cs="Arial"/>
          <w:bCs/>
          <w:sz w:val="22"/>
          <w:szCs w:val="22"/>
          <w:lang w:val="fr-FR"/>
        </w:rPr>
        <w:t>’</w:t>
      </w:r>
      <w:r w:rsidRPr="00124061">
        <w:rPr>
          <w:rFonts w:ascii="Arial" w:hAnsi="Arial" w:cs="Arial"/>
          <w:bCs/>
          <w:sz w:val="22"/>
          <w:szCs w:val="22"/>
          <w:lang w:val="fr-FR"/>
        </w:rPr>
        <w:t>article 5.2, tel qu</w:t>
      </w:r>
      <w:r w:rsidR="008E532B">
        <w:rPr>
          <w:rFonts w:ascii="Arial" w:hAnsi="Arial" w:cs="Arial"/>
          <w:bCs/>
          <w:sz w:val="22"/>
          <w:szCs w:val="22"/>
          <w:lang w:val="fr-FR"/>
        </w:rPr>
        <w:t>’</w:t>
      </w:r>
      <w:r w:rsidRPr="00124061">
        <w:rPr>
          <w:rFonts w:ascii="Arial" w:hAnsi="Arial" w:cs="Arial"/>
          <w:bCs/>
          <w:sz w:val="22"/>
          <w:szCs w:val="22"/>
          <w:lang w:val="fr-FR"/>
        </w:rPr>
        <w:t>amendé, serait désormais ainsi rédigé : « Sauf si la date a été décidée par l</w:t>
      </w:r>
      <w:r w:rsidR="008E532B">
        <w:rPr>
          <w:rFonts w:ascii="Arial" w:hAnsi="Arial" w:cs="Arial"/>
          <w:bCs/>
          <w:sz w:val="22"/>
          <w:szCs w:val="22"/>
          <w:lang w:val="fr-FR"/>
        </w:rPr>
        <w:t>’</w:t>
      </w:r>
      <w:r w:rsidRPr="00124061">
        <w:rPr>
          <w:rFonts w:ascii="Arial" w:hAnsi="Arial" w:cs="Arial"/>
          <w:bCs/>
          <w:sz w:val="22"/>
          <w:szCs w:val="22"/>
          <w:lang w:val="fr-FR"/>
        </w:rPr>
        <w:t>Assemblée, le/la Directeur/Directrice général(e) détermine la date de la session extraordinaire, qui devra alors être fixée dans les soixante jours, sauf si cela n</w:t>
      </w:r>
      <w:r w:rsidR="008E532B">
        <w:rPr>
          <w:rFonts w:ascii="Arial" w:hAnsi="Arial" w:cs="Arial"/>
          <w:bCs/>
          <w:sz w:val="22"/>
          <w:szCs w:val="22"/>
          <w:lang w:val="fr-FR"/>
        </w:rPr>
        <w:t>’</w:t>
      </w:r>
      <w:r w:rsidRPr="00124061">
        <w:rPr>
          <w:rFonts w:ascii="Arial" w:hAnsi="Arial" w:cs="Arial"/>
          <w:bCs/>
          <w:sz w:val="22"/>
          <w:szCs w:val="22"/>
          <w:lang w:val="fr-FR"/>
        </w:rPr>
        <w:t>est pas possible d</w:t>
      </w:r>
      <w:r w:rsidR="008E532B">
        <w:rPr>
          <w:rFonts w:ascii="Arial" w:hAnsi="Arial" w:cs="Arial"/>
          <w:bCs/>
          <w:sz w:val="22"/>
          <w:szCs w:val="22"/>
          <w:lang w:val="fr-FR"/>
        </w:rPr>
        <w:t>’</w:t>
      </w:r>
      <w:r w:rsidRPr="00124061">
        <w:rPr>
          <w:rFonts w:ascii="Arial" w:hAnsi="Arial" w:cs="Arial"/>
          <w:bCs/>
          <w:sz w:val="22"/>
          <w:szCs w:val="22"/>
          <w:lang w:val="fr-FR"/>
        </w:rPr>
        <w:t>un point de vue logistique, suivant la date de la demande prévue à l</w:t>
      </w:r>
      <w:r w:rsidR="008E532B">
        <w:rPr>
          <w:rFonts w:ascii="Arial" w:hAnsi="Arial" w:cs="Arial"/>
          <w:bCs/>
          <w:sz w:val="22"/>
          <w:szCs w:val="22"/>
          <w:lang w:val="fr-FR"/>
        </w:rPr>
        <w:t>’</w:t>
      </w:r>
      <w:r w:rsidRPr="00124061">
        <w:rPr>
          <w:rFonts w:ascii="Arial" w:hAnsi="Arial" w:cs="Arial"/>
          <w:bCs/>
          <w:sz w:val="22"/>
          <w:szCs w:val="22"/>
          <w:lang w:val="fr-FR"/>
        </w:rPr>
        <w:t>article 4.2. Le/la Directeur/Directrice général(e) communique cette date à l</w:t>
      </w:r>
      <w:r w:rsidR="008E532B">
        <w:rPr>
          <w:rFonts w:ascii="Arial" w:hAnsi="Arial" w:cs="Arial"/>
          <w:bCs/>
          <w:sz w:val="22"/>
          <w:szCs w:val="22"/>
          <w:lang w:val="fr-FR"/>
        </w:rPr>
        <w:t>’</w:t>
      </w:r>
      <w:r w:rsidRPr="00124061">
        <w:rPr>
          <w:rFonts w:ascii="Arial" w:hAnsi="Arial" w:cs="Arial"/>
          <w:bCs/>
          <w:sz w:val="22"/>
          <w:szCs w:val="22"/>
          <w:lang w:val="fr-FR"/>
        </w:rPr>
        <w:t>ensemble des États parties et des observateurs. »</w:t>
      </w:r>
    </w:p>
    <w:p w14:paraId="70C493B3" w14:textId="3B3F5C1B" w:rsidR="00D9653F" w:rsidRPr="0012406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24061">
        <w:rPr>
          <w:rFonts w:ascii="Arial" w:hAnsi="Arial" w:cs="Arial"/>
          <w:bCs/>
          <w:sz w:val="22"/>
          <w:szCs w:val="22"/>
          <w:lang w:val="fr-FR"/>
        </w:rPr>
        <w:t xml:space="preserve">La délégation de la </w:t>
      </w:r>
      <w:r w:rsidRPr="00124061">
        <w:rPr>
          <w:rFonts w:ascii="Arial" w:hAnsi="Arial" w:cs="Arial"/>
          <w:b/>
          <w:sz w:val="22"/>
          <w:szCs w:val="22"/>
          <w:lang w:val="fr-FR"/>
        </w:rPr>
        <w:t>Türkiye</w:t>
      </w:r>
      <w:r w:rsidRPr="00124061">
        <w:rPr>
          <w:rFonts w:ascii="Arial" w:hAnsi="Arial" w:cs="Arial"/>
          <w:bCs/>
          <w:sz w:val="22"/>
          <w:szCs w:val="22"/>
          <w:lang w:val="fr-FR"/>
        </w:rPr>
        <w:t xml:space="preserve"> </w:t>
      </w:r>
      <w:r>
        <w:rPr>
          <w:rFonts w:ascii="Arial" w:hAnsi="Arial" w:cs="Arial"/>
          <w:bCs/>
          <w:sz w:val="22"/>
          <w:szCs w:val="22"/>
          <w:lang w:val="fr-FR"/>
        </w:rPr>
        <w:t xml:space="preserve">est </w:t>
      </w:r>
      <w:r w:rsidRPr="00124061">
        <w:rPr>
          <w:rFonts w:ascii="Arial" w:hAnsi="Arial" w:cs="Arial"/>
          <w:bCs/>
          <w:sz w:val="22"/>
          <w:szCs w:val="22"/>
          <w:lang w:val="fr-FR"/>
        </w:rPr>
        <w:t>pass</w:t>
      </w:r>
      <w:r>
        <w:rPr>
          <w:rFonts w:ascii="Arial" w:hAnsi="Arial" w:cs="Arial"/>
          <w:bCs/>
          <w:sz w:val="22"/>
          <w:szCs w:val="22"/>
          <w:lang w:val="fr-FR"/>
        </w:rPr>
        <w:t>ée</w:t>
      </w:r>
      <w:r w:rsidRPr="00124061">
        <w:rPr>
          <w:rFonts w:ascii="Arial" w:hAnsi="Arial" w:cs="Arial"/>
          <w:bCs/>
          <w:sz w:val="22"/>
          <w:szCs w:val="22"/>
          <w:lang w:val="fr-FR"/>
        </w:rPr>
        <w:t xml:space="preserve"> à l</w:t>
      </w:r>
      <w:r w:rsidR="008E532B">
        <w:rPr>
          <w:rFonts w:ascii="Arial" w:hAnsi="Arial" w:cs="Arial"/>
          <w:bCs/>
          <w:sz w:val="22"/>
          <w:szCs w:val="22"/>
          <w:lang w:val="fr-FR"/>
        </w:rPr>
        <w:t>’</w:t>
      </w:r>
      <w:r w:rsidRPr="00124061">
        <w:rPr>
          <w:rFonts w:ascii="Arial" w:hAnsi="Arial" w:cs="Arial"/>
          <w:bCs/>
          <w:sz w:val="22"/>
          <w:szCs w:val="22"/>
          <w:lang w:val="fr-FR"/>
        </w:rPr>
        <w:t xml:space="preserve">article 7.4 </w:t>
      </w:r>
      <w:r>
        <w:rPr>
          <w:rFonts w:ascii="Arial" w:hAnsi="Arial" w:cs="Arial"/>
          <w:bCs/>
          <w:sz w:val="22"/>
          <w:szCs w:val="22"/>
          <w:lang w:val="fr-FR"/>
        </w:rPr>
        <w:t xml:space="preserve">sur </w:t>
      </w:r>
      <w:r w:rsidRPr="00124061">
        <w:rPr>
          <w:rFonts w:ascii="Arial" w:hAnsi="Arial" w:cs="Arial"/>
          <w:bCs/>
          <w:sz w:val="22"/>
          <w:szCs w:val="22"/>
          <w:lang w:val="fr-FR"/>
        </w:rPr>
        <w:t>l</w:t>
      </w:r>
      <w:r w:rsidR="008E532B">
        <w:rPr>
          <w:rFonts w:ascii="Arial" w:hAnsi="Arial" w:cs="Arial"/>
          <w:bCs/>
          <w:sz w:val="22"/>
          <w:szCs w:val="22"/>
          <w:lang w:val="fr-FR"/>
        </w:rPr>
        <w:t>’</w:t>
      </w:r>
      <w:r w:rsidRPr="00124061">
        <w:rPr>
          <w:rFonts w:ascii="Arial" w:hAnsi="Arial" w:cs="Arial"/>
          <w:bCs/>
          <w:sz w:val="22"/>
          <w:szCs w:val="22"/>
          <w:lang w:val="fr-FR"/>
        </w:rPr>
        <w:t>ordre du jour provisoire pour proposer un amendement. Dans un souci d</w:t>
      </w:r>
      <w:r w:rsidR="008E532B">
        <w:rPr>
          <w:rFonts w:ascii="Arial" w:hAnsi="Arial" w:cs="Arial"/>
          <w:bCs/>
          <w:sz w:val="22"/>
          <w:szCs w:val="22"/>
          <w:lang w:val="fr-FR"/>
        </w:rPr>
        <w:t>’</w:t>
      </w:r>
      <w:r w:rsidRPr="00124061">
        <w:rPr>
          <w:rFonts w:ascii="Arial" w:hAnsi="Arial" w:cs="Arial"/>
          <w:bCs/>
          <w:sz w:val="22"/>
          <w:szCs w:val="22"/>
          <w:lang w:val="fr-FR"/>
        </w:rPr>
        <w:t>harmonisation avec les autres conventions, elle a proposé</w:t>
      </w:r>
      <w:r>
        <w:rPr>
          <w:rFonts w:ascii="Arial" w:hAnsi="Arial" w:cs="Arial"/>
          <w:bCs/>
          <w:sz w:val="22"/>
          <w:szCs w:val="22"/>
          <w:lang w:val="fr-FR"/>
        </w:rPr>
        <w:t>,</w:t>
      </w:r>
      <w:r w:rsidRPr="00124061">
        <w:rPr>
          <w:rFonts w:ascii="Arial" w:hAnsi="Arial" w:cs="Arial"/>
          <w:bCs/>
          <w:sz w:val="22"/>
          <w:szCs w:val="22"/>
          <w:lang w:val="fr-FR"/>
        </w:rPr>
        <w:t xml:space="preserve"> après </w:t>
      </w:r>
      <w:r>
        <w:rPr>
          <w:rFonts w:ascii="Arial" w:hAnsi="Arial" w:cs="Arial"/>
          <w:bCs/>
          <w:sz w:val="22"/>
          <w:szCs w:val="22"/>
          <w:lang w:val="fr-FR"/>
        </w:rPr>
        <w:t>« </w:t>
      </w:r>
      <w:r w:rsidRPr="00124061">
        <w:rPr>
          <w:rFonts w:ascii="Arial" w:hAnsi="Arial" w:cs="Arial"/>
          <w:bCs/>
          <w:sz w:val="22"/>
          <w:szCs w:val="22"/>
          <w:lang w:val="fr-FR"/>
        </w:rPr>
        <w:t>dès que possible</w:t>
      </w:r>
      <w:r>
        <w:rPr>
          <w:rFonts w:ascii="Arial" w:hAnsi="Arial" w:cs="Arial"/>
          <w:bCs/>
          <w:sz w:val="22"/>
          <w:szCs w:val="22"/>
          <w:lang w:val="fr-FR"/>
        </w:rPr>
        <w:t> »,</w:t>
      </w:r>
      <w:r w:rsidRPr="00124061">
        <w:rPr>
          <w:rFonts w:ascii="Arial" w:hAnsi="Arial" w:cs="Arial"/>
          <w:bCs/>
          <w:sz w:val="22"/>
          <w:szCs w:val="22"/>
          <w:lang w:val="fr-FR"/>
        </w:rPr>
        <w:t xml:space="preserve"> d</w:t>
      </w:r>
      <w:r w:rsidR="008E532B">
        <w:rPr>
          <w:rFonts w:ascii="Arial" w:hAnsi="Arial" w:cs="Arial"/>
          <w:bCs/>
          <w:sz w:val="22"/>
          <w:szCs w:val="22"/>
          <w:lang w:val="fr-FR"/>
        </w:rPr>
        <w:t>’</w:t>
      </w:r>
      <w:r w:rsidRPr="00124061">
        <w:rPr>
          <w:rFonts w:ascii="Arial" w:hAnsi="Arial" w:cs="Arial"/>
          <w:bCs/>
          <w:sz w:val="22"/>
          <w:szCs w:val="22"/>
          <w:lang w:val="fr-FR"/>
        </w:rPr>
        <w:t>insérer</w:t>
      </w:r>
      <w:r>
        <w:rPr>
          <w:rFonts w:ascii="Arial" w:hAnsi="Arial" w:cs="Arial"/>
          <w:bCs/>
          <w:sz w:val="22"/>
          <w:szCs w:val="22"/>
          <w:lang w:val="fr-FR"/>
        </w:rPr>
        <w:t> « </w:t>
      </w:r>
      <w:r w:rsidRPr="00124061">
        <w:rPr>
          <w:rFonts w:ascii="Arial" w:hAnsi="Arial" w:cs="Arial"/>
          <w:bCs/>
          <w:sz w:val="22"/>
          <w:szCs w:val="22"/>
          <w:lang w:val="fr-FR"/>
        </w:rPr>
        <w:t xml:space="preserve">au moins </w:t>
      </w:r>
      <w:r>
        <w:rPr>
          <w:rFonts w:ascii="Arial" w:hAnsi="Arial" w:cs="Arial"/>
          <w:bCs/>
          <w:sz w:val="22"/>
          <w:szCs w:val="22"/>
          <w:lang w:val="fr-FR"/>
        </w:rPr>
        <w:t>quinze</w:t>
      </w:r>
      <w:r w:rsidRPr="00124061">
        <w:rPr>
          <w:rFonts w:ascii="Arial" w:hAnsi="Arial" w:cs="Arial"/>
          <w:bCs/>
          <w:sz w:val="22"/>
          <w:szCs w:val="22"/>
          <w:lang w:val="fr-FR"/>
        </w:rPr>
        <w:t xml:space="preserve"> jours à l</w:t>
      </w:r>
      <w:r w:rsidR="008E532B">
        <w:rPr>
          <w:rFonts w:ascii="Arial" w:hAnsi="Arial" w:cs="Arial"/>
          <w:bCs/>
          <w:sz w:val="22"/>
          <w:szCs w:val="22"/>
          <w:lang w:val="fr-FR"/>
        </w:rPr>
        <w:t>’</w:t>
      </w:r>
      <w:r w:rsidRPr="00124061">
        <w:rPr>
          <w:rFonts w:ascii="Arial" w:hAnsi="Arial" w:cs="Arial"/>
          <w:bCs/>
          <w:sz w:val="22"/>
          <w:szCs w:val="22"/>
          <w:lang w:val="fr-FR"/>
        </w:rPr>
        <w:t>avance en cas de session extraordinaire</w:t>
      </w:r>
      <w:r>
        <w:rPr>
          <w:rFonts w:ascii="Arial" w:hAnsi="Arial" w:cs="Arial"/>
          <w:bCs/>
          <w:sz w:val="22"/>
          <w:szCs w:val="22"/>
          <w:lang w:val="fr-FR"/>
        </w:rPr>
        <w:t> »</w:t>
      </w:r>
      <w:r w:rsidRPr="00124061">
        <w:rPr>
          <w:rFonts w:ascii="Arial" w:hAnsi="Arial" w:cs="Arial"/>
          <w:bCs/>
          <w:sz w:val="22"/>
          <w:szCs w:val="22"/>
          <w:lang w:val="fr-FR"/>
        </w:rPr>
        <w:t>.</w:t>
      </w:r>
    </w:p>
    <w:p w14:paraId="40633EA7" w14:textId="33533B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04408">
        <w:rPr>
          <w:rFonts w:ascii="Arial" w:hAnsi="Arial" w:cs="Arial"/>
          <w:bCs/>
          <w:sz w:val="22"/>
          <w:szCs w:val="22"/>
          <w:lang w:val="fr-FR"/>
        </w:rPr>
        <w:t xml:space="preserve">Le </w:t>
      </w:r>
      <w:r w:rsidRPr="00304408">
        <w:rPr>
          <w:rFonts w:ascii="Arial" w:hAnsi="Arial" w:cs="Arial"/>
          <w:b/>
          <w:sz w:val="22"/>
          <w:szCs w:val="22"/>
          <w:lang w:val="fr-FR"/>
        </w:rPr>
        <w:t>Sous-Directeur général</w:t>
      </w:r>
      <w:r w:rsidRPr="00304408">
        <w:rPr>
          <w:rFonts w:ascii="Arial" w:hAnsi="Arial" w:cs="Arial"/>
          <w:bCs/>
          <w:sz w:val="22"/>
          <w:szCs w:val="22"/>
          <w:lang w:val="fr-FR"/>
        </w:rPr>
        <w:t xml:space="preserve"> a expliqué que le texte original sur lequel le Secrétariat s</w:t>
      </w:r>
      <w:r w:rsidR="008E532B">
        <w:rPr>
          <w:rFonts w:ascii="Arial" w:hAnsi="Arial" w:cs="Arial"/>
          <w:bCs/>
          <w:sz w:val="22"/>
          <w:szCs w:val="22"/>
          <w:lang w:val="fr-FR"/>
        </w:rPr>
        <w:t>’</w:t>
      </w:r>
      <w:r>
        <w:rPr>
          <w:rFonts w:ascii="Arial" w:hAnsi="Arial" w:cs="Arial"/>
          <w:bCs/>
          <w:sz w:val="22"/>
          <w:szCs w:val="22"/>
          <w:lang w:val="fr-FR"/>
        </w:rPr>
        <w:t>était</w:t>
      </w:r>
      <w:r w:rsidRPr="00304408">
        <w:rPr>
          <w:rFonts w:ascii="Arial" w:hAnsi="Arial" w:cs="Arial"/>
          <w:bCs/>
          <w:sz w:val="22"/>
          <w:szCs w:val="22"/>
          <w:lang w:val="fr-FR"/>
        </w:rPr>
        <w:t xml:space="preserve"> basé était le résultat d</w:t>
      </w:r>
      <w:r w:rsidR="008E532B">
        <w:rPr>
          <w:rFonts w:ascii="Arial" w:hAnsi="Arial" w:cs="Arial"/>
          <w:bCs/>
          <w:sz w:val="22"/>
          <w:szCs w:val="22"/>
          <w:lang w:val="fr-FR"/>
        </w:rPr>
        <w:t>’</w:t>
      </w:r>
      <w:r w:rsidRPr="00304408">
        <w:rPr>
          <w:rFonts w:ascii="Arial" w:hAnsi="Arial" w:cs="Arial"/>
          <w:bCs/>
          <w:sz w:val="22"/>
          <w:szCs w:val="22"/>
          <w:lang w:val="fr-FR"/>
        </w:rPr>
        <w:t>un</w:t>
      </w:r>
      <w:r>
        <w:rPr>
          <w:rFonts w:ascii="Arial" w:hAnsi="Arial" w:cs="Arial"/>
          <w:bCs/>
          <w:sz w:val="22"/>
          <w:szCs w:val="22"/>
          <w:lang w:val="fr-FR"/>
        </w:rPr>
        <w:t>e</w:t>
      </w:r>
      <w:r w:rsidRPr="00304408">
        <w:rPr>
          <w:rFonts w:ascii="Arial" w:hAnsi="Arial" w:cs="Arial"/>
          <w:bCs/>
          <w:sz w:val="22"/>
          <w:szCs w:val="22"/>
          <w:lang w:val="fr-FR"/>
        </w:rPr>
        <w:t xml:space="preserve"> a</w:t>
      </w:r>
      <w:r>
        <w:rPr>
          <w:rFonts w:ascii="Arial" w:hAnsi="Arial" w:cs="Arial"/>
          <w:bCs/>
          <w:sz w:val="22"/>
          <w:szCs w:val="22"/>
          <w:lang w:val="fr-FR"/>
        </w:rPr>
        <w:t>nnée</w:t>
      </w:r>
      <w:r w:rsidRPr="00304408">
        <w:rPr>
          <w:rFonts w:ascii="Arial" w:hAnsi="Arial" w:cs="Arial"/>
          <w:bCs/>
          <w:sz w:val="22"/>
          <w:szCs w:val="22"/>
          <w:lang w:val="fr-FR"/>
        </w:rPr>
        <w:t xml:space="preserve"> de travail d</w:t>
      </w:r>
      <w:r w:rsidR="008E532B">
        <w:rPr>
          <w:rFonts w:ascii="Arial" w:hAnsi="Arial" w:cs="Arial"/>
          <w:bCs/>
          <w:sz w:val="22"/>
          <w:szCs w:val="22"/>
          <w:lang w:val="fr-FR"/>
        </w:rPr>
        <w:t>’</w:t>
      </w:r>
      <w:r w:rsidRPr="00304408">
        <w:rPr>
          <w:rFonts w:ascii="Arial" w:hAnsi="Arial" w:cs="Arial"/>
          <w:bCs/>
          <w:sz w:val="22"/>
          <w:szCs w:val="22"/>
          <w:lang w:val="fr-FR"/>
        </w:rPr>
        <w:t>harmonisation.</w:t>
      </w:r>
      <w:r>
        <w:rPr>
          <w:rFonts w:ascii="Arial" w:hAnsi="Arial" w:cs="Arial"/>
          <w:bCs/>
          <w:sz w:val="22"/>
          <w:szCs w:val="22"/>
          <w:lang w:val="fr-FR"/>
        </w:rPr>
        <w:t xml:space="preserve"> </w:t>
      </w:r>
      <w:r w:rsidRPr="00304408">
        <w:rPr>
          <w:rFonts w:ascii="Arial" w:hAnsi="Arial" w:cs="Arial"/>
          <w:bCs/>
          <w:sz w:val="22"/>
          <w:szCs w:val="22"/>
          <w:lang w:val="fr-FR"/>
        </w:rPr>
        <w:t>Il a été rappelé que ce travail [d</w:t>
      </w:r>
      <w:r w:rsidR="008E532B">
        <w:rPr>
          <w:rFonts w:ascii="Arial" w:hAnsi="Arial" w:cs="Arial"/>
          <w:bCs/>
          <w:sz w:val="22"/>
          <w:szCs w:val="22"/>
          <w:lang w:val="fr-FR"/>
        </w:rPr>
        <w:t>’</w:t>
      </w:r>
      <w:r w:rsidRPr="00304408">
        <w:rPr>
          <w:rFonts w:ascii="Arial" w:hAnsi="Arial" w:cs="Arial"/>
          <w:bCs/>
          <w:sz w:val="22"/>
          <w:szCs w:val="22"/>
          <w:lang w:val="fr-FR"/>
        </w:rPr>
        <w:t xml:space="preserve">harmonisation] avait eu lieu pour toutes les </w:t>
      </w:r>
      <w:r>
        <w:rPr>
          <w:rFonts w:ascii="Arial" w:hAnsi="Arial" w:cs="Arial"/>
          <w:bCs/>
          <w:sz w:val="22"/>
          <w:szCs w:val="22"/>
          <w:lang w:val="fr-FR"/>
        </w:rPr>
        <w:t>c</w:t>
      </w:r>
      <w:r w:rsidRPr="00304408">
        <w:rPr>
          <w:rFonts w:ascii="Arial" w:hAnsi="Arial" w:cs="Arial"/>
          <w:bCs/>
          <w:sz w:val="22"/>
          <w:szCs w:val="22"/>
          <w:lang w:val="fr-FR"/>
        </w:rPr>
        <w:t>onventions</w:t>
      </w:r>
      <w:r>
        <w:rPr>
          <w:rFonts w:ascii="Arial" w:hAnsi="Arial" w:cs="Arial"/>
          <w:bCs/>
          <w:sz w:val="22"/>
          <w:szCs w:val="22"/>
          <w:lang w:val="fr-FR"/>
        </w:rPr>
        <w:t>,</w:t>
      </w:r>
      <w:r w:rsidRPr="00304408">
        <w:rPr>
          <w:rFonts w:ascii="Arial" w:hAnsi="Arial" w:cs="Arial"/>
          <w:bCs/>
          <w:sz w:val="22"/>
          <w:szCs w:val="22"/>
          <w:lang w:val="fr-FR"/>
        </w:rPr>
        <w:t xml:space="preserve"> mais que toutes les </w:t>
      </w:r>
      <w:r>
        <w:rPr>
          <w:rFonts w:ascii="Arial" w:hAnsi="Arial" w:cs="Arial"/>
          <w:bCs/>
          <w:sz w:val="22"/>
          <w:szCs w:val="22"/>
          <w:lang w:val="fr-FR"/>
        </w:rPr>
        <w:t>c</w:t>
      </w:r>
      <w:r w:rsidRPr="00304408">
        <w:rPr>
          <w:rFonts w:ascii="Arial" w:hAnsi="Arial" w:cs="Arial"/>
          <w:bCs/>
          <w:sz w:val="22"/>
          <w:szCs w:val="22"/>
          <w:lang w:val="fr-FR"/>
        </w:rPr>
        <w:t>onventions n</w:t>
      </w:r>
      <w:r w:rsidR="008E532B">
        <w:rPr>
          <w:rFonts w:ascii="Arial" w:hAnsi="Arial" w:cs="Arial"/>
          <w:bCs/>
          <w:sz w:val="22"/>
          <w:szCs w:val="22"/>
          <w:lang w:val="fr-FR"/>
        </w:rPr>
        <w:t>’</w:t>
      </w:r>
      <w:r>
        <w:rPr>
          <w:rFonts w:ascii="Arial" w:hAnsi="Arial" w:cs="Arial"/>
          <w:bCs/>
          <w:sz w:val="22"/>
          <w:szCs w:val="22"/>
          <w:lang w:val="fr-FR"/>
        </w:rPr>
        <w:t xml:space="preserve">ont </w:t>
      </w:r>
      <w:r w:rsidRPr="00304408">
        <w:rPr>
          <w:rFonts w:ascii="Arial" w:hAnsi="Arial" w:cs="Arial"/>
          <w:bCs/>
          <w:sz w:val="22"/>
          <w:szCs w:val="22"/>
          <w:lang w:val="fr-FR"/>
        </w:rPr>
        <w:t xml:space="preserve">pas les mêmes </w:t>
      </w:r>
      <w:r>
        <w:rPr>
          <w:rFonts w:ascii="Arial" w:hAnsi="Arial" w:cs="Arial"/>
          <w:bCs/>
          <w:sz w:val="22"/>
          <w:szCs w:val="22"/>
          <w:lang w:val="fr-FR"/>
        </w:rPr>
        <w:t>É</w:t>
      </w:r>
      <w:r w:rsidRPr="00304408">
        <w:rPr>
          <w:rFonts w:ascii="Arial" w:hAnsi="Arial" w:cs="Arial"/>
          <w:bCs/>
          <w:sz w:val="22"/>
          <w:szCs w:val="22"/>
          <w:lang w:val="fr-FR"/>
        </w:rPr>
        <w:t xml:space="preserve">tats parties. </w:t>
      </w:r>
      <w:r w:rsidR="009637BC" w:rsidRPr="009637BC">
        <w:rPr>
          <w:rFonts w:ascii="Arial" w:hAnsi="Arial" w:cs="Arial"/>
          <w:bCs/>
          <w:sz w:val="22"/>
          <w:szCs w:val="22"/>
          <w:lang w:val="fr-FR"/>
        </w:rPr>
        <w:t xml:space="preserve">Le Sous-Directeur général </w:t>
      </w:r>
      <w:r w:rsidR="009637BC">
        <w:rPr>
          <w:rFonts w:ascii="Arial" w:hAnsi="Arial" w:cs="Arial"/>
          <w:bCs/>
          <w:sz w:val="22"/>
          <w:szCs w:val="22"/>
          <w:lang w:val="fr-FR"/>
        </w:rPr>
        <w:t>a noté qu’</w:t>
      </w:r>
      <w:r w:rsidRPr="00304408">
        <w:rPr>
          <w:rFonts w:ascii="Arial" w:hAnsi="Arial" w:cs="Arial"/>
          <w:bCs/>
          <w:sz w:val="22"/>
          <w:szCs w:val="22"/>
          <w:lang w:val="fr-FR"/>
        </w:rPr>
        <w:t>il était important de tenir compte du fait qu</w:t>
      </w:r>
      <w:r w:rsidR="008E532B">
        <w:rPr>
          <w:rFonts w:ascii="Arial" w:hAnsi="Arial" w:cs="Arial"/>
          <w:bCs/>
          <w:sz w:val="22"/>
          <w:szCs w:val="22"/>
          <w:lang w:val="fr-FR"/>
        </w:rPr>
        <w:t>’</w:t>
      </w:r>
      <w:r w:rsidRPr="00304408">
        <w:rPr>
          <w:rFonts w:ascii="Arial" w:hAnsi="Arial" w:cs="Arial"/>
          <w:bCs/>
          <w:sz w:val="22"/>
          <w:szCs w:val="22"/>
          <w:lang w:val="fr-FR"/>
        </w:rPr>
        <w:t>il s</w:t>
      </w:r>
      <w:r w:rsidR="008E532B">
        <w:rPr>
          <w:rFonts w:ascii="Arial" w:hAnsi="Arial" w:cs="Arial"/>
          <w:bCs/>
          <w:sz w:val="22"/>
          <w:szCs w:val="22"/>
          <w:lang w:val="fr-FR"/>
        </w:rPr>
        <w:t>’</w:t>
      </w:r>
      <w:r w:rsidRPr="00304408">
        <w:rPr>
          <w:rFonts w:ascii="Arial" w:hAnsi="Arial" w:cs="Arial"/>
          <w:bCs/>
          <w:sz w:val="22"/>
          <w:szCs w:val="22"/>
          <w:lang w:val="fr-FR"/>
        </w:rPr>
        <w:t>agit d</w:t>
      </w:r>
      <w:r w:rsidR="008E532B">
        <w:rPr>
          <w:rFonts w:ascii="Arial" w:hAnsi="Arial" w:cs="Arial"/>
          <w:bCs/>
          <w:sz w:val="22"/>
          <w:szCs w:val="22"/>
          <w:lang w:val="fr-FR"/>
        </w:rPr>
        <w:t>’</w:t>
      </w:r>
      <w:r w:rsidRPr="00304408">
        <w:rPr>
          <w:rFonts w:ascii="Arial" w:hAnsi="Arial" w:cs="Arial"/>
          <w:bCs/>
          <w:sz w:val="22"/>
          <w:szCs w:val="22"/>
          <w:lang w:val="fr-FR"/>
        </w:rPr>
        <w:t xml:space="preserve">un travail continu en cours et que les amendements ne devraient pas </w:t>
      </w:r>
      <w:r>
        <w:rPr>
          <w:rFonts w:ascii="Arial" w:hAnsi="Arial" w:cs="Arial"/>
          <w:bCs/>
          <w:sz w:val="22"/>
          <w:szCs w:val="22"/>
          <w:lang w:val="fr-FR"/>
        </w:rPr>
        <w:t>avoir d</w:t>
      </w:r>
      <w:r w:rsidR="008E532B">
        <w:rPr>
          <w:rFonts w:ascii="Arial" w:hAnsi="Arial" w:cs="Arial"/>
          <w:bCs/>
          <w:sz w:val="22"/>
          <w:szCs w:val="22"/>
          <w:lang w:val="fr-FR"/>
        </w:rPr>
        <w:t>’</w:t>
      </w:r>
      <w:r>
        <w:rPr>
          <w:rFonts w:ascii="Arial" w:hAnsi="Arial" w:cs="Arial"/>
          <w:bCs/>
          <w:sz w:val="22"/>
          <w:szCs w:val="22"/>
          <w:lang w:val="fr-FR"/>
        </w:rPr>
        <w:t xml:space="preserve">incidence sur </w:t>
      </w:r>
      <w:r w:rsidRPr="00304408">
        <w:rPr>
          <w:rFonts w:ascii="Arial" w:hAnsi="Arial" w:cs="Arial"/>
          <w:bCs/>
          <w:sz w:val="22"/>
          <w:szCs w:val="22"/>
          <w:lang w:val="fr-FR"/>
        </w:rPr>
        <w:t>les décisions de l</w:t>
      </w:r>
      <w:r w:rsidR="008E532B">
        <w:rPr>
          <w:rFonts w:ascii="Arial" w:hAnsi="Arial" w:cs="Arial"/>
          <w:bCs/>
          <w:sz w:val="22"/>
          <w:szCs w:val="22"/>
          <w:lang w:val="fr-FR"/>
        </w:rPr>
        <w:t>’</w:t>
      </w:r>
      <w:r w:rsidRPr="00304408">
        <w:rPr>
          <w:rFonts w:ascii="Arial" w:hAnsi="Arial" w:cs="Arial"/>
          <w:bCs/>
          <w:sz w:val="22"/>
          <w:szCs w:val="22"/>
          <w:lang w:val="fr-FR"/>
        </w:rPr>
        <w:t xml:space="preserve">Assemblée ni </w:t>
      </w:r>
      <w:r>
        <w:rPr>
          <w:rFonts w:ascii="Arial" w:hAnsi="Arial" w:cs="Arial"/>
          <w:bCs/>
          <w:sz w:val="22"/>
          <w:szCs w:val="22"/>
          <w:lang w:val="fr-FR"/>
        </w:rPr>
        <w:t xml:space="preserve">sur </w:t>
      </w:r>
      <w:r w:rsidRPr="00304408">
        <w:rPr>
          <w:rFonts w:ascii="Arial" w:hAnsi="Arial" w:cs="Arial"/>
          <w:bCs/>
          <w:sz w:val="22"/>
          <w:szCs w:val="22"/>
          <w:lang w:val="fr-FR"/>
        </w:rPr>
        <w:t xml:space="preserve">le cœur des procédures de chaque </w:t>
      </w:r>
      <w:r>
        <w:rPr>
          <w:rFonts w:ascii="Arial" w:hAnsi="Arial" w:cs="Arial"/>
          <w:bCs/>
          <w:sz w:val="22"/>
          <w:szCs w:val="22"/>
          <w:lang w:val="fr-FR"/>
        </w:rPr>
        <w:t>a</w:t>
      </w:r>
      <w:r w:rsidRPr="00304408">
        <w:rPr>
          <w:rFonts w:ascii="Arial" w:hAnsi="Arial" w:cs="Arial"/>
          <w:bCs/>
          <w:sz w:val="22"/>
          <w:szCs w:val="22"/>
          <w:lang w:val="fr-FR"/>
        </w:rPr>
        <w:t>ssemblée.</w:t>
      </w:r>
    </w:p>
    <w:p w14:paraId="3A6753A0" w14:textId="772025A0"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41271">
        <w:rPr>
          <w:rFonts w:ascii="Arial" w:hAnsi="Arial" w:cs="Arial"/>
          <w:bCs/>
          <w:sz w:val="22"/>
          <w:szCs w:val="22"/>
          <w:lang w:val="fr-FR"/>
        </w:rPr>
        <w:t xml:space="preserve">Le </w:t>
      </w:r>
      <w:r w:rsidRPr="00741271">
        <w:rPr>
          <w:rFonts w:ascii="Arial" w:hAnsi="Arial" w:cs="Arial"/>
          <w:b/>
          <w:sz w:val="22"/>
          <w:szCs w:val="22"/>
          <w:lang w:val="fr-FR"/>
        </w:rPr>
        <w:t>Conseiller juridique</w:t>
      </w:r>
      <w:r w:rsidRPr="00741271">
        <w:rPr>
          <w:rFonts w:ascii="Arial" w:hAnsi="Arial" w:cs="Arial"/>
          <w:bCs/>
          <w:sz w:val="22"/>
          <w:szCs w:val="22"/>
          <w:lang w:val="fr-FR"/>
        </w:rPr>
        <w:t xml:space="preserve"> a</w:t>
      </w:r>
      <w:r>
        <w:rPr>
          <w:rFonts w:ascii="Arial" w:hAnsi="Arial" w:cs="Arial"/>
          <w:bCs/>
          <w:sz w:val="22"/>
          <w:szCs w:val="22"/>
          <w:lang w:val="fr-FR"/>
        </w:rPr>
        <w:t>vait</w:t>
      </w:r>
      <w:r w:rsidRPr="00741271">
        <w:rPr>
          <w:rFonts w:ascii="Arial" w:hAnsi="Arial" w:cs="Arial"/>
          <w:bCs/>
          <w:sz w:val="22"/>
          <w:szCs w:val="22"/>
          <w:lang w:val="fr-FR"/>
        </w:rPr>
        <w:t xml:space="preserve"> recherché le texte original, expliquant que lors d</w:t>
      </w:r>
      <w:r w:rsidR="008E532B">
        <w:rPr>
          <w:rFonts w:ascii="Arial" w:hAnsi="Arial" w:cs="Arial"/>
          <w:bCs/>
          <w:sz w:val="22"/>
          <w:szCs w:val="22"/>
          <w:lang w:val="fr-FR"/>
        </w:rPr>
        <w:t>’</w:t>
      </w:r>
      <w:r w:rsidRPr="00741271">
        <w:rPr>
          <w:rFonts w:ascii="Arial" w:hAnsi="Arial" w:cs="Arial"/>
          <w:bCs/>
          <w:sz w:val="22"/>
          <w:szCs w:val="22"/>
          <w:lang w:val="fr-FR"/>
        </w:rPr>
        <w:t>une session normale de l</w:t>
      </w:r>
      <w:r w:rsidR="008E532B">
        <w:rPr>
          <w:rFonts w:ascii="Arial" w:hAnsi="Arial" w:cs="Arial"/>
          <w:bCs/>
          <w:sz w:val="22"/>
          <w:szCs w:val="22"/>
          <w:lang w:val="fr-FR"/>
        </w:rPr>
        <w:t>’</w:t>
      </w:r>
      <w:r w:rsidRPr="00741271">
        <w:rPr>
          <w:rFonts w:ascii="Arial" w:hAnsi="Arial" w:cs="Arial"/>
          <w:bCs/>
          <w:sz w:val="22"/>
          <w:szCs w:val="22"/>
          <w:lang w:val="fr-FR"/>
        </w:rPr>
        <w:t>Assemblée, l</w:t>
      </w:r>
      <w:r w:rsidR="008E532B">
        <w:rPr>
          <w:rFonts w:ascii="Arial" w:hAnsi="Arial" w:cs="Arial"/>
          <w:bCs/>
          <w:sz w:val="22"/>
          <w:szCs w:val="22"/>
          <w:lang w:val="fr-FR"/>
        </w:rPr>
        <w:t>’</w:t>
      </w:r>
      <w:r w:rsidRPr="00741271">
        <w:rPr>
          <w:rFonts w:ascii="Arial" w:hAnsi="Arial" w:cs="Arial"/>
          <w:bCs/>
          <w:sz w:val="22"/>
          <w:szCs w:val="22"/>
          <w:lang w:val="fr-FR"/>
        </w:rPr>
        <w:t xml:space="preserve">ordre du jour provisoire </w:t>
      </w:r>
      <w:r>
        <w:rPr>
          <w:rFonts w:ascii="Arial" w:hAnsi="Arial" w:cs="Arial"/>
          <w:bCs/>
          <w:sz w:val="22"/>
          <w:szCs w:val="22"/>
          <w:lang w:val="fr-FR"/>
        </w:rPr>
        <w:t xml:space="preserve">évoque </w:t>
      </w:r>
      <w:r w:rsidRPr="00741271">
        <w:rPr>
          <w:rFonts w:ascii="Arial" w:hAnsi="Arial" w:cs="Arial"/>
          <w:bCs/>
          <w:sz w:val="22"/>
          <w:szCs w:val="22"/>
          <w:lang w:val="fr-FR"/>
        </w:rPr>
        <w:t>un</w:t>
      </w:r>
      <w:r>
        <w:rPr>
          <w:rFonts w:ascii="Arial" w:hAnsi="Arial" w:cs="Arial"/>
          <w:bCs/>
          <w:sz w:val="22"/>
          <w:szCs w:val="22"/>
          <w:lang w:val="fr-FR"/>
        </w:rPr>
        <w:t>e notification préalable</w:t>
      </w:r>
      <w:r w:rsidRPr="00741271">
        <w:rPr>
          <w:rFonts w:ascii="Arial" w:hAnsi="Arial" w:cs="Arial"/>
          <w:bCs/>
          <w:sz w:val="22"/>
          <w:szCs w:val="22"/>
          <w:lang w:val="fr-FR"/>
        </w:rPr>
        <w:t xml:space="preserve"> de soixante jours</w:t>
      </w:r>
      <w:r>
        <w:rPr>
          <w:rFonts w:ascii="Arial" w:hAnsi="Arial" w:cs="Arial"/>
          <w:bCs/>
          <w:sz w:val="22"/>
          <w:szCs w:val="22"/>
          <w:lang w:val="fr-FR"/>
        </w:rPr>
        <w:t xml:space="preserve"> afin</w:t>
      </w:r>
      <w:r w:rsidRPr="00741271">
        <w:rPr>
          <w:rFonts w:ascii="Arial" w:hAnsi="Arial" w:cs="Arial"/>
          <w:bCs/>
          <w:sz w:val="22"/>
          <w:szCs w:val="22"/>
          <w:lang w:val="fr-FR"/>
        </w:rPr>
        <w:t xml:space="preserve"> que les États parties soient informés de la réunion. Dans le cas d</w:t>
      </w:r>
      <w:r w:rsidR="008E532B">
        <w:rPr>
          <w:rFonts w:ascii="Arial" w:hAnsi="Arial" w:cs="Arial"/>
          <w:bCs/>
          <w:sz w:val="22"/>
          <w:szCs w:val="22"/>
          <w:lang w:val="fr-FR"/>
        </w:rPr>
        <w:t>’</w:t>
      </w:r>
      <w:r w:rsidRPr="00741271">
        <w:rPr>
          <w:rFonts w:ascii="Arial" w:hAnsi="Arial" w:cs="Arial"/>
          <w:bCs/>
          <w:sz w:val="22"/>
          <w:szCs w:val="22"/>
          <w:lang w:val="fr-FR"/>
        </w:rPr>
        <w:t>une session extraordinaire, précisément parce qu</w:t>
      </w:r>
      <w:r w:rsidR="008E532B">
        <w:rPr>
          <w:rFonts w:ascii="Arial" w:hAnsi="Arial" w:cs="Arial"/>
          <w:bCs/>
          <w:sz w:val="22"/>
          <w:szCs w:val="22"/>
          <w:lang w:val="fr-FR"/>
        </w:rPr>
        <w:t>’</w:t>
      </w:r>
      <w:r w:rsidRPr="00741271">
        <w:rPr>
          <w:rFonts w:ascii="Arial" w:hAnsi="Arial" w:cs="Arial"/>
          <w:bCs/>
          <w:sz w:val="22"/>
          <w:szCs w:val="22"/>
          <w:lang w:val="fr-FR"/>
        </w:rPr>
        <w:t>il n</w:t>
      </w:r>
      <w:r w:rsidR="008E532B">
        <w:rPr>
          <w:rFonts w:ascii="Arial" w:hAnsi="Arial" w:cs="Arial"/>
          <w:bCs/>
          <w:sz w:val="22"/>
          <w:szCs w:val="22"/>
          <w:lang w:val="fr-FR"/>
        </w:rPr>
        <w:t>’</w:t>
      </w:r>
      <w:r w:rsidRPr="00741271">
        <w:rPr>
          <w:rFonts w:ascii="Arial" w:hAnsi="Arial" w:cs="Arial"/>
          <w:bCs/>
          <w:sz w:val="22"/>
          <w:szCs w:val="22"/>
          <w:lang w:val="fr-FR"/>
        </w:rPr>
        <w:t xml:space="preserve">y a pas de délai, il </w:t>
      </w:r>
      <w:r>
        <w:rPr>
          <w:rFonts w:ascii="Arial" w:hAnsi="Arial" w:cs="Arial"/>
          <w:bCs/>
          <w:sz w:val="22"/>
          <w:szCs w:val="22"/>
          <w:lang w:val="fr-FR"/>
        </w:rPr>
        <w:t xml:space="preserve">était </w:t>
      </w:r>
      <w:r w:rsidRPr="00741271">
        <w:rPr>
          <w:rFonts w:ascii="Arial" w:hAnsi="Arial" w:cs="Arial"/>
          <w:bCs/>
          <w:sz w:val="22"/>
          <w:szCs w:val="22"/>
          <w:lang w:val="fr-FR"/>
        </w:rPr>
        <w:t>demandé au</w:t>
      </w:r>
      <w:r>
        <w:rPr>
          <w:rFonts w:ascii="Arial" w:hAnsi="Arial" w:cs="Arial"/>
          <w:bCs/>
          <w:sz w:val="22"/>
          <w:szCs w:val="22"/>
          <w:lang w:val="fr-FR"/>
        </w:rPr>
        <w:t>/à la</w:t>
      </w:r>
      <w:r w:rsidRPr="00741271">
        <w:rPr>
          <w:rFonts w:ascii="Arial" w:hAnsi="Arial" w:cs="Arial"/>
          <w:bCs/>
          <w:sz w:val="22"/>
          <w:szCs w:val="22"/>
          <w:lang w:val="fr-FR"/>
        </w:rPr>
        <w:t xml:space="preserve"> Directeur</w:t>
      </w:r>
      <w:r>
        <w:rPr>
          <w:rFonts w:ascii="Arial" w:hAnsi="Arial" w:cs="Arial"/>
          <w:bCs/>
          <w:sz w:val="22"/>
          <w:szCs w:val="22"/>
          <w:lang w:val="fr-FR"/>
        </w:rPr>
        <w:t>/Directrice</w:t>
      </w:r>
      <w:r w:rsidRPr="00741271">
        <w:rPr>
          <w:rFonts w:ascii="Arial" w:hAnsi="Arial" w:cs="Arial"/>
          <w:bCs/>
          <w:sz w:val="22"/>
          <w:szCs w:val="22"/>
          <w:lang w:val="fr-FR"/>
        </w:rPr>
        <w:t xml:space="preserve"> général</w:t>
      </w:r>
      <w:r>
        <w:rPr>
          <w:rFonts w:ascii="Arial" w:hAnsi="Arial" w:cs="Arial"/>
          <w:bCs/>
          <w:sz w:val="22"/>
          <w:szCs w:val="22"/>
          <w:lang w:val="fr-FR"/>
        </w:rPr>
        <w:t>(e)</w:t>
      </w:r>
      <w:r w:rsidRPr="00741271">
        <w:rPr>
          <w:rFonts w:ascii="Arial" w:hAnsi="Arial" w:cs="Arial"/>
          <w:bCs/>
          <w:sz w:val="22"/>
          <w:szCs w:val="22"/>
          <w:lang w:val="fr-FR"/>
        </w:rPr>
        <w:t xml:space="preserve"> d</w:t>
      </w:r>
      <w:r w:rsidR="008E532B">
        <w:rPr>
          <w:rFonts w:ascii="Arial" w:hAnsi="Arial" w:cs="Arial"/>
          <w:bCs/>
          <w:sz w:val="22"/>
          <w:szCs w:val="22"/>
          <w:lang w:val="fr-FR"/>
        </w:rPr>
        <w:t>’</w:t>
      </w:r>
      <w:r w:rsidRPr="00741271">
        <w:rPr>
          <w:rFonts w:ascii="Arial" w:hAnsi="Arial" w:cs="Arial"/>
          <w:bCs/>
          <w:sz w:val="22"/>
          <w:szCs w:val="22"/>
          <w:lang w:val="fr-FR"/>
        </w:rPr>
        <w:t>agir dès que possible. S</w:t>
      </w:r>
      <w:r w:rsidR="008E532B">
        <w:rPr>
          <w:rFonts w:ascii="Arial" w:hAnsi="Arial" w:cs="Arial"/>
          <w:bCs/>
          <w:sz w:val="22"/>
          <w:szCs w:val="22"/>
          <w:lang w:val="fr-FR"/>
        </w:rPr>
        <w:t>’</w:t>
      </w:r>
      <w:r w:rsidRPr="00741271">
        <w:rPr>
          <w:rFonts w:ascii="Arial" w:hAnsi="Arial" w:cs="Arial"/>
          <w:bCs/>
          <w:sz w:val="22"/>
          <w:szCs w:val="22"/>
          <w:lang w:val="fr-FR"/>
        </w:rPr>
        <w:t>il y a</w:t>
      </w:r>
      <w:r>
        <w:rPr>
          <w:rFonts w:ascii="Arial" w:hAnsi="Arial" w:cs="Arial"/>
          <w:bCs/>
          <w:sz w:val="22"/>
          <w:szCs w:val="22"/>
          <w:lang w:val="fr-FR"/>
        </w:rPr>
        <w:t>vait</w:t>
      </w:r>
      <w:r w:rsidRPr="00741271">
        <w:rPr>
          <w:rFonts w:ascii="Arial" w:hAnsi="Arial" w:cs="Arial"/>
          <w:bCs/>
          <w:sz w:val="22"/>
          <w:szCs w:val="22"/>
          <w:lang w:val="fr-FR"/>
        </w:rPr>
        <w:t xml:space="preserve"> une date limite pour la session extraordinaire, cela signifierait que la session extraordinaire ne p</w:t>
      </w:r>
      <w:r>
        <w:rPr>
          <w:rFonts w:ascii="Arial" w:hAnsi="Arial" w:cs="Arial"/>
          <w:bCs/>
          <w:sz w:val="22"/>
          <w:szCs w:val="22"/>
          <w:lang w:val="fr-FR"/>
        </w:rPr>
        <w:t>ourrait</w:t>
      </w:r>
      <w:r w:rsidRPr="00741271">
        <w:rPr>
          <w:rFonts w:ascii="Arial" w:hAnsi="Arial" w:cs="Arial"/>
          <w:bCs/>
          <w:sz w:val="22"/>
          <w:szCs w:val="22"/>
          <w:lang w:val="fr-FR"/>
        </w:rPr>
        <w:t xml:space="preserve"> pas avoir lieu dans ce délai (elle </w:t>
      </w:r>
      <w:r>
        <w:rPr>
          <w:rFonts w:ascii="Arial" w:hAnsi="Arial" w:cs="Arial"/>
          <w:bCs/>
          <w:sz w:val="22"/>
          <w:szCs w:val="22"/>
          <w:lang w:val="fr-FR"/>
        </w:rPr>
        <w:t>aurait</w:t>
      </w:r>
      <w:r w:rsidRPr="00741271">
        <w:rPr>
          <w:rFonts w:ascii="Arial" w:hAnsi="Arial" w:cs="Arial"/>
          <w:bCs/>
          <w:sz w:val="22"/>
          <w:szCs w:val="22"/>
          <w:lang w:val="fr-FR"/>
        </w:rPr>
        <w:t xml:space="preserve"> lieu </w:t>
      </w:r>
      <w:r>
        <w:rPr>
          <w:rFonts w:ascii="Arial" w:hAnsi="Arial" w:cs="Arial"/>
          <w:bCs/>
          <w:sz w:val="22"/>
          <w:szCs w:val="22"/>
          <w:lang w:val="fr-FR"/>
        </w:rPr>
        <w:t xml:space="preserve">une fois que </w:t>
      </w:r>
      <w:r w:rsidRPr="00741271">
        <w:rPr>
          <w:rFonts w:ascii="Arial" w:hAnsi="Arial" w:cs="Arial"/>
          <w:bCs/>
          <w:sz w:val="22"/>
          <w:szCs w:val="22"/>
          <w:lang w:val="fr-FR"/>
        </w:rPr>
        <w:t xml:space="preserve">le </w:t>
      </w:r>
      <w:r>
        <w:rPr>
          <w:rFonts w:ascii="Arial" w:hAnsi="Arial" w:cs="Arial"/>
          <w:bCs/>
          <w:sz w:val="22"/>
          <w:szCs w:val="22"/>
          <w:lang w:val="fr-FR"/>
        </w:rPr>
        <w:t xml:space="preserve">délai serait </w:t>
      </w:r>
      <w:r w:rsidRPr="00741271">
        <w:rPr>
          <w:rFonts w:ascii="Arial" w:hAnsi="Arial" w:cs="Arial"/>
          <w:bCs/>
          <w:sz w:val="22"/>
          <w:szCs w:val="22"/>
          <w:lang w:val="fr-FR"/>
        </w:rPr>
        <w:t>écoulé). Ainsi, l</w:t>
      </w:r>
      <w:r w:rsidR="008E532B">
        <w:rPr>
          <w:rFonts w:ascii="Arial" w:hAnsi="Arial" w:cs="Arial"/>
          <w:bCs/>
          <w:sz w:val="22"/>
          <w:szCs w:val="22"/>
          <w:lang w:val="fr-FR"/>
        </w:rPr>
        <w:t>’</w:t>
      </w:r>
      <w:r w:rsidRPr="00741271">
        <w:rPr>
          <w:rFonts w:ascii="Arial" w:hAnsi="Arial" w:cs="Arial"/>
          <w:bCs/>
          <w:sz w:val="22"/>
          <w:szCs w:val="22"/>
          <w:lang w:val="fr-FR"/>
        </w:rPr>
        <w:t xml:space="preserve">ajout de </w:t>
      </w:r>
      <w:r>
        <w:rPr>
          <w:rFonts w:ascii="Arial" w:hAnsi="Arial" w:cs="Arial"/>
          <w:bCs/>
          <w:sz w:val="22"/>
          <w:szCs w:val="22"/>
          <w:lang w:val="fr-FR"/>
        </w:rPr>
        <w:t>« </w:t>
      </w:r>
      <w:r w:rsidRPr="00741271">
        <w:rPr>
          <w:rFonts w:ascii="Arial" w:hAnsi="Arial" w:cs="Arial"/>
          <w:bCs/>
          <w:sz w:val="22"/>
          <w:szCs w:val="22"/>
          <w:lang w:val="fr-FR"/>
        </w:rPr>
        <w:t>dès que possible</w:t>
      </w:r>
      <w:r>
        <w:rPr>
          <w:rFonts w:ascii="Arial" w:hAnsi="Arial" w:cs="Arial"/>
          <w:bCs/>
          <w:sz w:val="22"/>
          <w:szCs w:val="22"/>
          <w:lang w:val="fr-FR"/>
        </w:rPr>
        <w:t> »</w:t>
      </w:r>
      <w:r w:rsidRPr="00741271">
        <w:rPr>
          <w:rFonts w:ascii="Arial" w:hAnsi="Arial" w:cs="Arial"/>
          <w:bCs/>
          <w:sz w:val="22"/>
          <w:szCs w:val="22"/>
          <w:lang w:val="fr-FR"/>
        </w:rPr>
        <w:t xml:space="preserve"> </w:t>
      </w:r>
      <w:r>
        <w:rPr>
          <w:rFonts w:ascii="Arial" w:hAnsi="Arial" w:cs="Arial"/>
          <w:bCs/>
          <w:sz w:val="22"/>
          <w:szCs w:val="22"/>
          <w:lang w:val="fr-FR"/>
        </w:rPr>
        <w:t>faisait écho à</w:t>
      </w:r>
      <w:r w:rsidRPr="00741271">
        <w:rPr>
          <w:rFonts w:ascii="Arial" w:hAnsi="Arial" w:cs="Arial"/>
          <w:bCs/>
          <w:sz w:val="22"/>
          <w:szCs w:val="22"/>
          <w:lang w:val="fr-FR"/>
        </w:rPr>
        <w:t xml:space="preserve"> la discussion </w:t>
      </w:r>
      <w:r>
        <w:rPr>
          <w:rFonts w:ascii="Arial" w:hAnsi="Arial" w:cs="Arial"/>
          <w:bCs/>
          <w:sz w:val="22"/>
          <w:szCs w:val="22"/>
          <w:lang w:val="fr-FR"/>
        </w:rPr>
        <w:t xml:space="preserve">précédente </w:t>
      </w:r>
      <w:r w:rsidRPr="00741271">
        <w:rPr>
          <w:rFonts w:ascii="Arial" w:hAnsi="Arial" w:cs="Arial"/>
          <w:bCs/>
          <w:sz w:val="22"/>
          <w:szCs w:val="22"/>
          <w:lang w:val="fr-FR"/>
        </w:rPr>
        <w:t xml:space="preserve">relative </w:t>
      </w:r>
      <w:r>
        <w:rPr>
          <w:rFonts w:ascii="Arial" w:hAnsi="Arial" w:cs="Arial"/>
          <w:bCs/>
          <w:sz w:val="22"/>
          <w:szCs w:val="22"/>
          <w:lang w:val="fr-FR"/>
        </w:rPr>
        <w:t>à</w:t>
      </w:r>
      <w:r w:rsidRPr="00741271">
        <w:rPr>
          <w:rFonts w:ascii="Arial" w:hAnsi="Arial" w:cs="Arial"/>
          <w:bCs/>
          <w:sz w:val="22"/>
          <w:szCs w:val="22"/>
          <w:lang w:val="fr-FR"/>
        </w:rPr>
        <w:t xml:space="preserve"> l</w:t>
      </w:r>
      <w:r w:rsidR="008E532B">
        <w:rPr>
          <w:rFonts w:ascii="Arial" w:hAnsi="Arial" w:cs="Arial"/>
          <w:bCs/>
          <w:sz w:val="22"/>
          <w:szCs w:val="22"/>
          <w:lang w:val="fr-FR"/>
        </w:rPr>
        <w:t>’</w:t>
      </w:r>
      <w:r w:rsidRPr="00741271">
        <w:rPr>
          <w:rFonts w:ascii="Arial" w:hAnsi="Arial" w:cs="Arial"/>
          <w:bCs/>
          <w:sz w:val="22"/>
          <w:szCs w:val="22"/>
          <w:lang w:val="fr-FR"/>
        </w:rPr>
        <w:t>article 5.2. Celui-ci stipul</w:t>
      </w:r>
      <w:r>
        <w:rPr>
          <w:rFonts w:ascii="Arial" w:hAnsi="Arial" w:cs="Arial"/>
          <w:bCs/>
          <w:sz w:val="22"/>
          <w:szCs w:val="22"/>
          <w:lang w:val="fr-FR"/>
        </w:rPr>
        <w:t>ait</w:t>
      </w:r>
      <w:r w:rsidRPr="00741271">
        <w:rPr>
          <w:rFonts w:ascii="Arial" w:hAnsi="Arial" w:cs="Arial"/>
          <w:bCs/>
          <w:sz w:val="22"/>
          <w:szCs w:val="22"/>
          <w:lang w:val="fr-FR"/>
        </w:rPr>
        <w:t xml:space="preserve"> que s</w:t>
      </w:r>
      <w:r w:rsidR="008E532B">
        <w:rPr>
          <w:rFonts w:ascii="Arial" w:hAnsi="Arial" w:cs="Arial"/>
          <w:bCs/>
          <w:sz w:val="22"/>
          <w:szCs w:val="22"/>
          <w:lang w:val="fr-FR"/>
        </w:rPr>
        <w:t>’</w:t>
      </w:r>
      <w:r w:rsidRPr="00741271">
        <w:rPr>
          <w:rFonts w:ascii="Arial" w:hAnsi="Arial" w:cs="Arial"/>
          <w:bCs/>
          <w:sz w:val="22"/>
          <w:szCs w:val="22"/>
          <w:lang w:val="fr-FR"/>
        </w:rPr>
        <w:t xml:space="preserve">il y a une demande de session [extraordinaire], </w:t>
      </w:r>
      <w:r>
        <w:rPr>
          <w:rFonts w:ascii="Arial" w:hAnsi="Arial" w:cs="Arial"/>
          <w:bCs/>
          <w:sz w:val="22"/>
          <w:szCs w:val="22"/>
          <w:lang w:val="fr-FR"/>
        </w:rPr>
        <w:t>le/la</w:t>
      </w:r>
      <w:r w:rsidRPr="00741271">
        <w:rPr>
          <w:rFonts w:ascii="Arial" w:hAnsi="Arial" w:cs="Arial"/>
          <w:bCs/>
          <w:sz w:val="22"/>
          <w:szCs w:val="22"/>
          <w:lang w:val="fr-FR"/>
        </w:rPr>
        <w:t xml:space="preserve"> Directeur</w:t>
      </w:r>
      <w:r>
        <w:rPr>
          <w:rFonts w:ascii="Arial" w:hAnsi="Arial" w:cs="Arial"/>
          <w:bCs/>
          <w:sz w:val="22"/>
          <w:szCs w:val="22"/>
          <w:lang w:val="fr-FR"/>
        </w:rPr>
        <w:t>/Directrice</w:t>
      </w:r>
      <w:r w:rsidRPr="00741271">
        <w:rPr>
          <w:rFonts w:ascii="Arial" w:hAnsi="Arial" w:cs="Arial"/>
          <w:bCs/>
          <w:sz w:val="22"/>
          <w:szCs w:val="22"/>
          <w:lang w:val="fr-FR"/>
        </w:rPr>
        <w:t xml:space="preserve"> général</w:t>
      </w:r>
      <w:r>
        <w:rPr>
          <w:rFonts w:ascii="Arial" w:hAnsi="Arial" w:cs="Arial"/>
          <w:bCs/>
          <w:sz w:val="22"/>
          <w:szCs w:val="22"/>
          <w:lang w:val="fr-FR"/>
        </w:rPr>
        <w:t>(e)</w:t>
      </w:r>
      <w:r w:rsidRPr="00741271">
        <w:rPr>
          <w:rFonts w:ascii="Arial" w:hAnsi="Arial" w:cs="Arial"/>
          <w:bCs/>
          <w:sz w:val="22"/>
          <w:szCs w:val="22"/>
          <w:lang w:val="fr-FR"/>
        </w:rPr>
        <w:t xml:space="preserve"> est prié de réagir rapidement et d</w:t>
      </w:r>
      <w:r w:rsidR="008E532B">
        <w:rPr>
          <w:rFonts w:ascii="Arial" w:hAnsi="Arial" w:cs="Arial"/>
          <w:bCs/>
          <w:sz w:val="22"/>
          <w:szCs w:val="22"/>
          <w:lang w:val="fr-FR"/>
        </w:rPr>
        <w:t>’</w:t>
      </w:r>
      <w:r w:rsidRPr="00741271">
        <w:rPr>
          <w:rFonts w:ascii="Arial" w:hAnsi="Arial" w:cs="Arial"/>
          <w:bCs/>
          <w:sz w:val="22"/>
          <w:szCs w:val="22"/>
          <w:lang w:val="fr-FR"/>
        </w:rPr>
        <w:t>organiser la session dès que possible. Pour en revenir à l</w:t>
      </w:r>
      <w:r w:rsidR="008E532B">
        <w:rPr>
          <w:rFonts w:ascii="Arial" w:hAnsi="Arial" w:cs="Arial"/>
          <w:bCs/>
          <w:sz w:val="22"/>
          <w:szCs w:val="22"/>
          <w:lang w:val="fr-FR"/>
        </w:rPr>
        <w:t>’</w:t>
      </w:r>
      <w:r w:rsidRPr="00741271">
        <w:rPr>
          <w:rFonts w:ascii="Arial" w:hAnsi="Arial" w:cs="Arial"/>
          <w:bCs/>
          <w:sz w:val="22"/>
          <w:szCs w:val="22"/>
          <w:lang w:val="fr-FR"/>
        </w:rPr>
        <w:t xml:space="preserve">amendement de la Türkiye, en ajoutant </w:t>
      </w:r>
      <w:r>
        <w:rPr>
          <w:rFonts w:ascii="Arial" w:hAnsi="Arial" w:cs="Arial"/>
          <w:bCs/>
          <w:sz w:val="22"/>
          <w:szCs w:val="22"/>
          <w:lang w:val="fr-FR"/>
        </w:rPr>
        <w:t>« </w:t>
      </w:r>
      <w:r w:rsidRPr="00741271">
        <w:rPr>
          <w:rFonts w:ascii="Arial" w:hAnsi="Arial" w:cs="Arial"/>
          <w:bCs/>
          <w:sz w:val="22"/>
          <w:szCs w:val="22"/>
          <w:lang w:val="fr-FR"/>
        </w:rPr>
        <w:t xml:space="preserve">au moins </w:t>
      </w:r>
      <w:r>
        <w:rPr>
          <w:rFonts w:ascii="Arial" w:hAnsi="Arial" w:cs="Arial"/>
          <w:bCs/>
          <w:sz w:val="22"/>
          <w:szCs w:val="22"/>
          <w:lang w:val="fr-FR"/>
        </w:rPr>
        <w:t>quinze jours »</w:t>
      </w:r>
      <w:r w:rsidRPr="00741271">
        <w:rPr>
          <w:rFonts w:ascii="Arial" w:hAnsi="Arial" w:cs="Arial"/>
          <w:bCs/>
          <w:sz w:val="22"/>
          <w:szCs w:val="22"/>
          <w:lang w:val="fr-FR"/>
        </w:rPr>
        <w:t xml:space="preserve"> avant la session, cela signifierait que le</w:t>
      </w:r>
      <w:r>
        <w:rPr>
          <w:rFonts w:ascii="Arial" w:hAnsi="Arial" w:cs="Arial"/>
          <w:bCs/>
          <w:sz w:val="22"/>
          <w:szCs w:val="22"/>
          <w:lang w:val="fr-FR"/>
        </w:rPr>
        <w:t>/la</w:t>
      </w:r>
      <w:r w:rsidRPr="00741271">
        <w:rPr>
          <w:rFonts w:ascii="Arial" w:hAnsi="Arial" w:cs="Arial"/>
          <w:bCs/>
          <w:sz w:val="22"/>
          <w:szCs w:val="22"/>
          <w:lang w:val="fr-FR"/>
        </w:rPr>
        <w:t xml:space="preserve"> Directeur</w:t>
      </w:r>
      <w:r>
        <w:rPr>
          <w:rFonts w:ascii="Arial" w:hAnsi="Arial" w:cs="Arial"/>
          <w:bCs/>
          <w:sz w:val="22"/>
          <w:szCs w:val="22"/>
          <w:lang w:val="fr-FR"/>
        </w:rPr>
        <w:t>/Directrice</w:t>
      </w:r>
      <w:r w:rsidRPr="00741271">
        <w:rPr>
          <w:rFonts w:ascii="Arial" w:hAnsi="Arial" w:cs="Arial"/>
          <w:bCs/>
          <w:sz w:val="22"/>
          <w:szCs w:val="22"/>
          <w:lang w:val="fr-FR"/>
        </w:rPr>
        <w:t xml:space="preserve"> général</w:t>
      </w:r>
      <w:r>
        <w:rPr>
          <w:rFonts w:ascii="Arial" w:hAnsi="Arial" w:cs="Arial"/>
          <w:bCs/>
          <w:sz w:val="22"/>
          <w:szCs w:val="22"/>
          <w:lang w:val="fr-FR"/>
        </w:rPr>
        <w:t xml:space="preserve">(e) </w:t>
      </w:r>
      <w:r w:rsidRPr="00741271">
        <w:rPr>
          <w:rFonts w:ascii="Arial" w:hAnsi="Arial" w:cs="Arial"/>
          <w:bCs/>
          <w:sz w:val="22"/>
          <w:szCs w:val="22"/>
          <w:lang w:val="fr-FR"/>
        </w:rPr>
        <w:t>d</w:t>
      </w:r>
      <w:r>
        <w:rPr>
          <w:rFonts w:ascii="Arial" w:hAnsi="Arial" w:cs="Arial"/>
          <w:bCs/>
          <w:sz w:val="22"/>
          <w:szCs w:val="22"/>
          <w:lang w:val="fr-FR"/>
        </w:rPr>
        <w:t>evait</w:t>
      </w:r>
      <w:r w:rsidRPr="00741271">
        <w:rPr>
          <w:rFonts w:ascii="Arial" w:hAnsi="Arial" w:cs="Arial"/>
          <w:bCs/>
          <w:sz w:val="22"/>
          <w:szCs w:val="22"/>
          <w:lang w:val="fr-FR"/>
        </w:rPr>
        <w:t xml:space="preserve"> être plus judicieux en </w:t>
      </w:r>
      <w:r>
        <w:rPr>
          <w:rFonts w:ascii="Arial" w:hAnsi="Arial" w:cs="Arial"/>
          <w:bCs/>
          <w:sz w:val="22"/>
          <w:szCs w:val="22"/>
          <w:lang w:val="fr-FR"/>
        </w:rPr>
        <w:t>matière</w:t>
      </w:r>
      <w:r w:rsidRPr="00741271">
        <w:rPr>
          <w:rFonts w:ascii="Arial" w:hAnsi="Arial" w:cs="Arial"/>
          <w:bCs/>
          <w:sz w:val="22"/>
          <w:szCs w:val="22"/>
          <w:lang w:val="fr-FR"/>
        </w:rPr>
        <w:t xml:space="preserve"> de calendrier car il</w:t>
      </w:r>
      <w:r>
        <w:rPr>
          <w:rFonts w:ascii="Arial" w:hAnsi="Arial" w:cs="Arial"/>
          <w:bCs/>
          <w:sz w:val="22"/>
          <w:szCs w:val="22"/>
          <w:lang w:val="fr-FR"/>
        </w:rPr>
        <w:t>/elle</w:t>
      </w:r>
      <w:r w:rsidRPr="00741271">
        <w:rPr>
          <w:rFonts w:ascii="Arial" w:hAnsi="Arial" w:cs="Arial"/>
          <w:bCs/>
          <w:sz w:val="22"/>
          <w:szCs w:val="22"/>
          <w:lang w:val="fr-FR"/>
        </w:rPr>
        <w:t xml:space="preserve"> ne p</w:t>
      </w:r>
      <w:r>
        <w:rPr>
          <w:rFonts w:ascii="Arial" w:hAnsi="Arial" w:cs="Arial"/>
          <w:bCs/>
          <w:sz w:val="22"/>
          <w:szCs w:val="22"/>
          <w:lang w:val="fr-FR"/>
        </w:rPr>
        <w:t>ouvai</w:t>
      </w:r>
      <w:r w:rsidRPr="00741271">
        <w:rPr>
          <w:rFonts w:ascii="Arial" w:hAnsi="Arial" w:cs="Arial"/>
          <w:bCs/>
          <w:sz w:val="22"/>
          <w:szCs w:val="22"/>
          <w:lang w:val="fr-FR"/>
        </w:rPr>
        <w:t>t pas aller au-delà de soixante jours mais d</w:t>
      </w:r>
      <w:r>
        <w:rPr>
          <w:rFonts w:ascii="Arial" w:hAnsi="Arial" w:cs="Arial"/>
          <w:bCs/>
          <w:sz w:val="22"/>
          <w:szCs w:val="22"/>
          <w:lang w:val="fr-FR"/>
        </w:rPr>
        <w:t>evait</w:t>
      </w:r>
      <w:r w:rsidRPr="00741271">
        <w:rPr>
          <w:rFonts w:ascii="Arial" w:hAnsi="Arial" w:cs="Arial"/>
          <w:bCs/>
          <w:sz w:val="22"/>
          <w:szCs w:val="22"/>
          <w:lang w:val="fr-FR"/>
        </w:rPr>
        <w:t xml:space="preserve"> compter quinze jours pour permettre l</w:t>
      </w:r>
      <w:r w:rsidR="008E532B">
        <w:rPr>
          <w:rFonts w:ascii="Arial" w:hAnsi="Arial" w:cs="Arial"/>
          <w:bCs/>
          <w:sz w:val="22"/>
          <w:szCs w:val="22"/>
          <w:lang w:val="fr-FR"/>
        </w:rPr>
        <w:t>’</w:t>
      </w:r>
      <w:r w:rsidRPr="00741271">
        <w:rPr>
          <w:rFonts w:ascii="Arial" w:hAnsi="Arial" w:cs="Arial"/>
          <w:bCs/>
          <w:sz w:val="22"/>
          <w:szCs w:val="22"/>
          <w:lang w:val="fr-FR"/>
        </w:rPr>
        <w:t>envoi de l</w:t>
      </w:r>
      <w:r w:rsidR="008E532B">
        <w:rPr>
          <w:rFonts w:ascii="Arial" w:hAnsi="Arial" w:cs="Arial"/>
          <w:bCs/>
          <w:sz w:val="22"/>
          <w:szCs w:val="22"/>
          <w:lang w:val="fr-FR"/>
        </w:rPr>
        <w:t>’</w:t>
      </w:r>
      <w:r w:rsidRPr="00741271">
        <w:rPr>
          <w:rFonts w:ascii="Arial" w:hAnsi="Arial" w:cs="Arial"/>
          <w:bCs/>
          <w:sz w:val="22"/>
          <w:szCs w:val="22"/>
          <w:lang w:val="fr-FR"/>
        </w:rPr>
        <w:t>ordre du jour provisoire. Il exist</w:t>
      </w:r>
      <w:r>
        <w:rPr>
          <w:rFonts w:ascii="Arial" w:hAnsi="Arial" w:cs="Arial"/>
          <w:bCs/>
          <w:sz w:val="22"/>
          <w:szCs w:val="22"/>
          <w:lang w:val="fr-FR"/>
        </w:rPr>
        <w:t>ait bien</w:t>
      </w:r>
      <w:r w:rsidRPr="00741271">
        <w:rPr>
          <w:rFonts w:ascii="Arial" w:hAnsi="Arial" w:cs="Arial"/>
          <w:bCs/>
          <w:sz w:val="22"/>
          <w:szCs w:val="22"/>
          <w:lang w:val="fr-FR"/>
        </w:rPr>
        <w:t xml:space="preserve"> un texte dans lequel cela est exigé par le Conseil exécutif. Il a été rappelé que le Conseil</w:t>
      </w:r>
      <w:r>
        <w:rPr>
          <w:rFonts w:ascii="Arial" w:hAnsi="Arial" w:cs="Arial"/>
          <w:bCs/>
          <w:sz w:val="22"/>
          <w:szCs w:val="22"/>
          <w:lang w:val="fr-FR"/>
        </w:rPr>
        <w:t xml:space="preserve"> exécutif</w:t>
      </w:r>
      <w:r w:rsidRPr="00741271">
        <w:rPr>
          <w:rFonts w:ascii="Arial" w:hAnsi="Arial" w:cs="Arial"/>
          <w:bCs/>
          <w:sz w:val="22"/>
          <w:szCs w:val="22"/>
          <w:lang w:val="fr-FR"/>
        </w:rPr>
        <w:t xml:space="preserve"> s</w:t>
      </w:r>
      <w:r w:rsidR="008E532B">
        <w:rPr>
          <w:rFonts w:ascii="Arial" w:hAnsi="Arial" w:cs="Arial"/>
          <w:bCs/>
          <w:sz w:val="22"/>
          <w:szCs w:val="22"/>
          <w:lang w:val="fr-FR"/>
        </w:rPr>
        <w:t>’</w:t>
      </w:r>
      <w:r w:rsidRPr="00741271">
        <w:rPr>
          <w:rFonts w:ascii="Arial" w:hAnsi="Arial" w:cs="Arial"/>
          <w:bCs/>
          <w:sz w:val="22"/>
          <w:szCs w:val="22"/>
          <w:lang w:val="fr-FR"/>
        </w:rPr>
        <w:t>était réuni en session extraordinaire en mai 2022 et qu</w:t>
      </w:r>
      <w:r w:rsidR="008E532B">
        <w:rPr>
          <w:rFonts w:ascii="Arial" w:hAnsi="Arial" w:cs="Arial"/>
          <w:bCs/>
          <w:sz w:val="22"/>
          <w:szCs w:val="22"/>
          <w:lang w:val="fr-FR"/>
        </w:rPr>
        <w:t>’</w:t>
      </w:r>
      <w:r w:rsidRPr="00741271">
        <w:rPr>
          <w:rFonts w:ascii="Arial" w:hAnsi="Arial" w:cs="Arial"/>
          <w:bCs/>
          <w:sz w:val="22"/>
          <w:szCs w:val="22"/>
          <w:lang w:val="fr-FR"/>
        </w:rPr>
        <w:t>il avait dû attendre quinze jours avant de pouvoir</w:t>
      </w:r>
      <w:r>
        <w:rPr>
          <w:rFonts w:ascii="Arial" w:hAnsi="Arial" w:cs="Arial"/>
          <w:bCs/>
          <w:sz w:val="22"/>
          <w:szCs w:val="22"/>
          <w:lang w:val="fr-FR"/>
        </w:rPr>
        <w:t xml:space="preserve"> se réunir</w:t>
      </w:r>
      <w:r w:rsidRPr="00741271">
        <w:rPr>
          <w:rFonts w:ascii="Arial" w:hAnsi="Arial" w:cs="Arial"/>
          <w:bCs/>
          <w:sz w:val="22"/>
          <w:szCs w:val="22"/>
          <w:lang w:val="fr-FR"/>
        </w:rPr>
        <w:t xml:space="preserve">, étant donné la notification préalable de </w:t>
      </w:r>
      <w:proofErr w:type="gramStart"/>
      <w:r w:rsidRPr="00741271">
        <w:rPr>
          <w:rFonts w:ascii="Arial" w:hAnsi="Arial" w:cs="Arial"/>
          <w:bCs/>
          <w:sz w:val="22"/>
          <w:szCs w:val="22"/>
          <w:lang w:val="fr-FR"/>
        </w:rPr>
        <w:t>quinze jours requise</w:t>
      </w:r>
      <w:proofErr w:type="gramEnd"/>
      <w:r w:rsidRPr="00741271">
        <w:rPr>
          <w:rFonts w:ascii="Arial" w:hAnsi="Arial" w:cs="Arial"/>
          <w:bCs/>
          <w:sz w:val="22"/>
          <w:szCs w:val="22"/>
          <w:lang w:val="fr-FR"/>
        </w:rPr>
        <w:t xml:space="preserve"> pour la tenue de la session. L</w:t>
      </w:r>
      <w:r w:rsidR="008E532B">
        <w:rPr>
          <w:rFonts w:ascii="Arial" w:hAnsi="Arial" w:cs="Arial"/>
          <w:bCs/>
          <w:sz w:val="22"/>
          <w:szCs w:val="22"/>
          <w:lang w:val="fr-FR"/>
        </w:rPr>
        <w:t>’</w:t>
      </w:r>
      <w:r w:rsidRPr="00741271">
        <w:rPr>
          <w:rFonts w:ascii="Arial" w:hAnsi="Arial" w:cs="Arial"/>
          <w:bCs/>
          <w:sz w:val="22"/>
          <w:szCs w:val="22"/>
          <w:lang w:val="fr-FR"/>
        </w:rPr>
        <w:t>amendement de la Türkiye signifierait donc qu</w:t>
      </w:r>
      <w:r w:rsidR="008E532B">
        <w:rPr>
          <w:rFonts w:ascii="Arial" w:hAnsi="Arial" w:cs="Arial"/>
          <w:bCs/>
          <w:sz w:val="22"/>
          <w:szCs w:val="22"/>
          <w:lang w:val="fr-FR"/>
        </w:rPr>
        <w:t>’</w:t>
      </w:r>
      <w:r w:rsidRPr="00741271">
        <w:rPr>
          <w:rFonts w:ascii="Arial" w:hAnsi="Arial" w:cs="Arial"/>
          <w:bCs/>
          <w:sz w:val="22"/>
          <w:szCs w:val="22"/>
          <w:lang w:val="fr-FR"/>
        </w:rPr>
        <w:t>il faudrait au moins quinze jours pour la diffusion de l</w:t>
      </w:r>
      <w:r w:rsidR="008E532B">
        <w:rPr>
          <w:rFonts w:ascii="Arial" w:hAnsi="Arial" w:cs="Arial"/>
          <w:bCs/>
          <w:sz w:val="22"/>
          <w:szCs w:val="22"/>
          <w:lang w:val="fr-FR"/>
        </w:rPr>
        <w:t>’</w:t>
      </w:r>
      <w:r w:rsidRPr="00741271">
        <w:rPr>
          <w:rFonts w:ascii="Arial" w:hAnsi="Arial" w:cs="Arial"/>
          <w:bCs/>
          <w:sz w:val="22"/>
          <w:szCs w:val="22"/>
          <w:lang w:val="fr-FR"/>
        </w:rPr>
        <w:t xml:space="preserve">ordre du jour provisoire avant que la session extraordinaire </w:t>
      </w:r>
      <w:r>
        <w:rPr>
          <w:rFonts w:ascii="Arial" w:hAnsi="Arial" w:cs="Arial"/>
          <w:bCs/>
          <w:sz w:val="22"/>
          <w:szCs w:val="22"/>
          <w:lang w:val="fr-FR"/>
        </w:rPr>
        <w:t xml:space="preserve">ne </w:t>
      </w:r>
      <w:r w:rsidRPr="00741271">
        <w:rPr>
          <w:rFonts w:ascii="Arial" w:hAnsi="Arial" w:cs="Arial"/>
          <w:bCs/>
          <w:sz w:val="22"/>
          <w:szCs w:val="22"/>
          <w:lang w:val="fr-FR"/>
        </w:rPr>
        <w:t xml:space="preserve">puisse se tenir. En tout état de cause, une session extraordinaire nécessiterait au moins quinze jours de préparation. Toutes les dispositions </w:t>
      </w:r>
      <w:r>
        <w:rPr>
          <w:rFonts w:ascii="Arial" w:hAnsi="Arial" w:cs="Arial"/>
          <w:bCs/>
          <w:sz w:val="22"/>
          <w:szCs w:val="22"/>
          <w:lang w:val="fr-FR"/>
        </w:rPr>
        <w:t>utilisaient le terme</w:t>
      </w:r>
      <w:r w:rsidRPr="00741271">
        <w:rPr>
          <w:rFonts w:ascii="Arial" w:hAnsi="Arial" w:cs="Arial"/>
          <w:bCs/>
          <w:sz w:val="22"/>
          <w:szCs w:val="22"/>
          <w:lang w:val="fr-FR"/>
        </w:rPr>
        <w:t xml:space="preserve"> </w:t>
      </w:r>
      <w:r>
        <w:rPr>
          <w:rFonts w:ascii="Arial" w:hAnsi="Arial" w:cs="Arial"/>
          <w:bCs/>
          <w:sz w:val="22"/>
          <w:szCs w:val="22"/>
          <w:lang w:val="fr-FR"/>
        </w:rPr>
        <w:t>« </w:t>
      </w:r>
      <w:r w:rsidRPr="00741271">
        <w:rPr>
          <w:rFonts w:ascii="Arial" w:hAnsi="Arial" w:cs="Arial"/>
          <w:bCs/>
          <w:sz w:val="22"/>
          <w:szCs w:val="22"/>
          <w:lang w:val="fr-FR"/>
        </w:rPr>
        <w:t>si possible</w:t>
      </w:r>
      <w:r>
        <w:rPr>
          <w:rFonts w:ascii="Arial" w:hAnsi="Arial" w:cs="Arial"/>
          <w:bCs/>
          <w:sz w:val="22"/>
          <w:szCs w:val="22"/>
          <w:lang w:val="fr-FR"/>
        </w:rPr>
        <w:t> »,</w:t>
      </w:r>
      <w:r w:rsidRPr="00741271">
        <w:rPr>
          <w:rFonts w:ascii="Arial" w:hAnsi="Arial" w:cs="Arial"/>
          <w:bCs/>
          <w:sz w:val="22"/>
          <w:szCs w:val="22"/>
          <w:lang w:val="fr-FR"/>
        </w:rPr>
        <w:t xml:space="preserve"> mais dans ce cas</w:t>
      </w:r>
      <w:r>
        <w:rPr>
          <w:rFonts w:ascii="Arial" w:hAnsi="Arial" w:cs="Arial"/>
          <w:bCs/>
          <w:sz w:val="22"/>
          <w:szCs w:val="22"/>
          <w:lang w:val="fr-FR"/>
        </w:rPr>
        <w:t xml:space="preserve"> précis</w:t>
      </w:r>
      <w:r w:rsidRPr="00741271">
        <w:rPr>
          <w:rFonts w:ascii="Arial" w:hAnsi="Arial" w:cs="Arial"/>
          <w:bCs/>
          <w:sz w:val="22"/>
          <w:szCs w:val="22"/>
          <w:lang w:val="fr-FR"/>
        </w:rPr>
        <w:t>, l</w:t>
      </w:r>
      <w:r w:rsidR="008E532B">
        <w:rPr>
          <w:rFonts w:ascii="Arial" w:hAnsi="Arial" w:cs="Arial"/>
          <w:bCs/>
          <w:sz w:val="22"/>
          <w:szCs w:val="22"/>
          <w:lang w:val="fr-FR"/>
        </w:rPr>
        <w:t>’</w:t>
      </w:r>
      <w:r w:rsidRPr="00741271">
        <w:rPr>
          <w:rFonts w:ascii="Arial" w:hAnsi="Arial" w:cs="Arial"/>
          <w:bCs/>
          <w:sz w:val="22"/>
          <w:szCs w:val="22"/>
          <w:lang w:val="fr-FR"/>
        </w:rPr>
        <w:t xml:space="preserve">Assemblée aurait besoin de quinze jours, si elle </w:t>
      </w:r>
      <w:r>
        <w:rPr>
          <w:rFonts w:ascii="Arial" w:hAnsi="Arial" w:cs="Arial"/>
          <w:bCs/>
          <w:sz w:val="22"/>
          <w:szCs w:val="22"/>
          <w:lang w:val="fr-FR"/>
        </w:rPr>
        <w:t>en</w:t>
      </w:r>
      <w:r w:rsidRPr="00741271">
        <w:rPr>
          <w:rFonts w:ascii="Arial" w:hAnsi="Arial" w:cs="Arial"/>
          <w:bCs/>
          <w:sz w:val="22"/>
          <w:szCs w:val="22"/>
          <w:lang w:val="fr-FR"/>
        </w:rPr>
        <w:t xml:space="preserve"> décidait</w:t>
      </w:r>
      <w:r>
        <w:rPr>
          <w:rFonts w:ascii="Arial" w:hAnsi="Arial" w:cs="Arial"/>
          <w:bCs/>
          <w:sz w:val="22"/>
          <w:szCs w:val="22"/>
          <w:lang w:val="fr-FR"/>
        </w:rPr>
        <w:t xml:space="preserve"> ainsi</w:t>
      </w:r>
      <w:r w:rsidRPr="00741271">
        <w:rPr>
          <w:rFonts w:ascii="Arial" w:hAnsi="Arial" w:cs="Arial"/>
          <w:bCs/>
          <w:sz w:val="22"/>
          <w:szCs w:val="22"/>
          <w:lang w:val="fr-FR"/>
        </w:rPr>
        <w:t>.</w:t>
      </w:r>
    </w:p>
    <w:p w14:paraId="28FFFB7E" w14:textId="3E9CAF78" w:rsidR="00D9653F" w:rsidRPr="00302EA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02EAE">
        <w:rPr>
          <w:rFonts w:ascii="Arial" w:hAnsi="Arial" w:cs="Arial"/>
          <w:bCs/>
          <w:sz w:val="22"/>
          <w:szCs w:val="22"/>
          <w:lang w:val="fr-FR"/>
        </w:rPr>
        <w:t xml:space="preserve">La délégation de la </w:t>
      </w:r>
      <w:r w:rsidRPr="00302EAE">
        <w:rPr>
          <w:rFonts w:ascii="Arial" w:hAnsi="Arial" w:cs="Arial"/>
          <w:b/>
          <w:sz w:val="22"/>
          <w:szCs w:val="22"/>
          <w:lang w:val="fr-FR"/>
        </w:rPr>
        <w:t>Türkiye</w:t>
      </w:r>
      <w:r w:rsidRPr="00302EAE">
        <w:rPr>
          <w:rFonts w:ascii="Arial" w:hAnsi="Arial" w:cs="Arial"/>
          <w:bCs/>
          <w:sz w:val="22"/>
          <w:szCs w:val="22"/>
          <w:lang w:val="fr-FR"/>
        </w:rPr>
        <w:t xml:space="preserve"> </w:t>
      </w:r>
      <w:r>
        <w:rPr>
          <w:rFonts w:ascii="Arial" w:hAnsi="Arial" w:cs="Arial"/>
          <w:bCs/>
          <w:sz w:val="22"/>
          <w:szCs w:val="22"/>
          <w:lang w:val="fr-FR"/>
        </w:rPr>
        <w:t xml:space="preserve">a </w:t>
      </w:r>
      <w:r w:rsidRPr="00302EAE">
        <w:rPr>
          <w:rFonts w:ascii="Arial" w:hAnsi="Arial" w:cs="Arial"/>
          <w:bCs/>
          <w:sz w:val="22"/>
          <w:szCs w:val="22"/>
          <w:lang w:val="fr-FR"/>
        </w:rPr>
        <w:t>remerci</w:t>
      </w:r>
      <w:r>
        <w:rPr>
          <w:rFonts w:ascii="Arial" w:hAnsi="Arial" w:cs="Arial"/>
          <w:bCs/>
          <w:sz w:val="22"/>
          <w:szCs w:val="22"/>
          <w:lang w:val="fr-FR"/>
        </w:rPr>
        <w:t>é</w:t>
      </w:r>
      <w:r w:rsidRPr="00302EAE">
        <w:rPr>
          <w:rFonts w:ascii="Arial" w:hAnsi="Arial" w:cs="Arial"/>
          <w:bCs/>
          <w:sz w:val="22"/>
          <w:szCs w:val="22"/>
          <w:lang w:val="fr-FR"/>
        </w:rPr>
        <w:t xml:space="preserve"> le Conseiller juridique pour son explication et </w:t>
      </w:r>
      <w:r>
        <w:rPr>
          <w:rFonts w:ascii="Arial" w:hAnsi="Arial" w:cs="Arial"/>
          <w:bCs/>
          <w:sz w:val="22"/>
          <w:szCs w:val="22"/>
          <w:lang w:val="fr-FR"/>
        </w:rPr>
        <w:t xml:space="preserve">a </w:t>
      </w:r>
      <w:r w:rsidRPr="00302EAE">
        <w:rPr>
          <w:rFonts w:ascii="Arial" w:hAnsi="Arial" w:cs="Arial"/>
          <w:bCs/>
          <w:sz w:val="22"/>
          <w:szCs w:val="22"/>
          <w:lang w:val="fr-FR"/>
        </w:rPr>
        <w:t>décid</w:t>
      </w:r>
      <w:r>
        <w:rPr>
          <w:rFonts w:ascii="Arial" w:hAnsi="Arial" w:cs="Arial"/>
          <w:bCs/>
          <w:sz w:val="22"/>
          <w:szCs w:val="22"/>
          <w:lang w:val="fr-FR"/>
        </w:rPr>
        <w:t>é</w:t>
      </w:r>
      <w:r w:rsidRPr="00302EAE">
        <w:rPr>
          <w:rFonts w:ascii="Arial" w:hAnsi="Arial" w:cs="Arial"/>
          <w:bCs/>
          <w:sz w:val="22"/>
          <w:szCs w:val="22"/>
          <w:lang w:val="fr-FR"/>
        </w:rPr>
        <w:t xml:space="preserve"> de retirer son amendement. Toutefois, dans le précédent article 5.2, il a</w:t>
      </w:r>
      <w:r>
        <w:rPr>
          <w:rFonts w:ascii="Arial" w:hAnsi="Arial" w:cs="Arial"/>
          <w:bCs/>
          <w:sz w:val="22"/>
          <w:szCs w:val="22"/>
          <w:lang w:val="fr-FR"/>
        </w:rPr>
        <w:t>vait</w:t>
      </w:r>
      <w:r w:rsidRPr="00302EAE">
        <w:rPr>
          <w:rFonts w:ascii="Arial" w:hAnsi="Arial" w:cs="Arial"/>
          <w:bCs/>
          <w:sz w:val="22"/>
          <w:szCs w:val="22"/>
          <w:lang w:val="fr-FR"/>
        </w:rPr>
        <w:t xml:space="preserve"> été dit à l</w:t>
      </w:r>
      <w:r w:rsidR="008E532B">
        <w:rPr>
          <w:rFonts w:ascii="Arial" w:hAnsi="Arial" w:cs="Arial"/>
          <w:bCs/>
          <w:sz w:val="22"/>
          <w:szCs w:val="22"/>
          <w:lang w:val="fr-FR"/>
        </w:rPr>
        <w:t>’</w:t>
      </w:r>
      <w:r w:rsidRPr="00302EAE">
        <w:rPr>
          <w:rFonts w:ascii="Arial" w:hAnsi="Arial" w:cs="Arial"/>
          <w:bCs/>
          <w:sz w:val="22"/>
          <w:szCs w:val="22"/>
          <w:lang w:val="fr-FR"/>
        </w:rPr>
        <w:t>Assemblée que quarante-cinq jours ne suffiraient pas pour convoquer une Assemblée générale</w:t>
      </w:r>
      <w:r>
        <w:rPr>
          <w:rFonts w:ascii="Arial" w:hAnsi="Arial" w:cs="Arial"/>
          <w:bCs/>
          <w:sz w:val="22"/>
          <w:szCs w:val="22"/>
          <w:lang w:val="fr-FR"/>
        </w:rPr>
        <w:t xml:space="preserve">. Donc, </w:t>
      </w:r>
      <w:r w:rsidRPr="00302EAE">
        <w:rPr>
          <w:rFonts w:ascii="Arial" w:hAnsi="Arial" w:cs="Arial"/>
          <w:bCs/>
          <w:sz w:val="22"/>
          <w:szCs w:val="22"/>
          <w:lang w:val="fr-FR"/>
        </w:rPr>
        <w:t>comment une Assemblée générale pourrait-elle être convoquée en une ou deux semaines ? D</w:t>
      </w:r>
      <w:r w:rsidR="008E532B">
        <w:rPr>
          <w:rFonts w:ascii="Arial" w:hAnsi="Arial" w:cs="Arial"/>
          <w:bCs/>
          <w:sz w:val="22"/>
          <w:szCs w:val="22"/>
          <w:lang w:val="fr-FR"/>
        </w:rPr>
        <w:t>’</w:t>
      </w:r>
      <w:r w:rsidRPr="00302EAE">
        <w:rPr>
          <w:rFonts w:ascii="Arial" w:hAnsi="Arial" w:cs="Arial"/>
          <w:bCs/>
          <w:sz w:val="22"/>
          <w:szCs w:val="22"/>
          <w:lang w:val="fr-FR"/>
        </w:rPr>
        <w:t xml:space="preserve">où sa suggestion de </w:t>
      </w:r>
      <w:r>
        <w:rPr>
          <w:rFonts w:ascii="Arial" w:hAnsi="Arial" w:cs="Arial"/>
          <w:bCs/>
          <w:sz w:val="22"/>
          <w:szCs w:val="22"/>
          <w:lang w:val="fr-FR"/>
        </w:rPr>
        <w:t>diffuser</w:t>
      </w:r>
      <w:r w:rsidRPr="00302EAE">
        <w:rPr>
          <w:rFonts w:ascii="Arial" w:hAnsi="Arial" w:cs="Arial"/>
          <w:bCs/>
          <w:sz w:val="22"/>
          <w:szCs w:val="22"/>
          <w:lang w:val="fr-FR"/>
        </w:rPr>
        <w:t xml:space="preserve"> l</w:t>
      </w:r>
      <w:r w:rsidR="008E532B">
        <w:rPr>
          <w:rFonts w:ascii="Arial" w:hAnsi="Arial" w:cs="Arial"/>
          <w:bCs/>
          <w:sz w:val="22"/>
          <w:szCs w:val="22"/>
          <w:lang w:val="fr-FR"/>
        </w:rPr>
        <w:t>’</w:t>
      </w:r>
      <w:r w:rsidRPr="00302EAE">
        <w:rPr>
          <w:rFonts w:ascii="Arial" w:hAnsi="Arial" w:cs="Arial"/>
          <w:bCs/>
          <w:sz w:val="22"/>
          <w:szCs w:val="22"/>
          <w:lang w:val="fr-FR"/>
        </w:rPr>
        <w:t>ordre du jour provisoire quinze jours avant la convocation d</w:t>
      </w:r>
      <w:r w:rsidR="008E532B">
        <w:rPr>
          <w:rFonts w:ascii="Arial" w:hAnsi="Arial" w:cs="Arial"/>
          <w:bCs/>
          <w:sz w:val="22"/>
          <w:szCs w:val="22"/>
          <w:lang w:val="fr-FR"/>
        </w:rPr>
        <w:t>’</w:t>
      </w:r>
      <w:r w:rsidRPr="00302EAE">
        <w:rPr>
          <w:rFonts w:ascii="Arial" w:hAnsi="Arial" w:cs="Arial"/>
          <w:bCs/>
          <w:sz w:val="22"/>
          <w:szCs w:val="22"/>
          <w:lang w:val="fr-FR"/>
        </w:rPr>
        <w:t>une session extraordinaire de l</w:t>
      </w:r>
      <w:r w:rsidR="008E532B">
        <w:rPr>
          <w:rFonts w:ascii="Arial" w:hAnsi="Arial" w:cs="Arial"/>
          <w:bCs/>
          <w:sz w:val="22"/>
          <w:szCs w:val="22"/>
          <w:lang w:val="fr-FR"/>
        </w:rPr>
        <w:t>’</w:t>
      </w:r>
      <w:r w:rsidRPr="00302EAE">
        <w:rPr>
          <w:rFonts w:ascii="Arial" w:hAnsi="Arial" w:cs="Arial"/>
          <w:bCs/>
          <w:sz w:val="22"/>
          <w:szCs w:val="22"/>
          <w:lang w:val="fr-FR"/>
        </w:rPr>
        <w:t>Assemblée générale. La délégation a expliqué qu</w:t>
      </w:r>
      <w:r w:rsidR="008E532B">
        <w:rPr>
          <w:rFonts w:ascii="Arial" w:hAnsi="Arial" w:cs="Arial"/>
          <w:bCs/>
          <w:sz w:val="22"/>
          <w:szCs w:val="22"/>
          <w:lang w:val="fr-FR"/>
        </w:rPr>
        <w:t>’</w:t>
      </w:r>
      <w:r w:rsidRPr="00302EAE">
        <w:rPr>
          <w:rFonts w:ascii="Arial" w:hAnsi="Arial" w:cs="Arial"/>
          <w:bCs/>
          <w:sz w:val="22"/>
          <w:szCs w:val="22"/>
          <w:lang w:val="fr-FR"/>
        </w:rPr>
        <w:t>elle avait proposé son amendement pour s</w:t>
      </w:r>
      <w:r w:rsidR="008E532B">
        <w:rPr>
          <w:rFonts w:ascii="Arial" w:hAnsi="Arial" w:cs="Arial"/>
          <w:bCs/>
          <w:sz w:val="22"/>
          <w:szCs w:val="22"/>
          <w:lang w:val="fr-FR"/>
        </w:rPr>
        <w:t>’</w:t>
      </w:r>
      <w:r w:rsidRPr="00302EAE">
        <w:rPr>
          <w:rFonts w:ascii="Arial" w:hAnsi="Arial" w:cs="Arial"/>
          <w:bCs/>
          <w:sz w:val="22"/>
          <w:szCs w:val="22"/>
          <w:lang w:val="fr-FR"/>
        </w:rPr>
        <w:t>aligner sur d</w:t>
      </w:r>
      <w:r w:rsidR="008E532B">
        <w:rPr>
          <w:rFonts w:ascii="Arial" w:hAnsi="Arial" w:cs="Arial"/>
          <w:bCs/>
          <w:sz w:val="22"/>
          <w:szCs w:val="22"/>
          <w:lang w:val="fr-FR"/>
        </w:rPr>
        <w:t>’</w:t>
      </w:r>
      <w:r w:rsidRPr="00302EAE">
        <w:rPr>
          <w:rFonts w:ascii="Arial" w:hAnsi="Arial" w:cs="Arial"/>
          <w:bCs/>
          <w:sz w:val="22"/>
          <w:szCs w:val="22"/>
          <w:lang w:val="fr-FR"/>
        </w:rPr>
        <w:t>autres dispositions d</w:t>
      </w:r>
      <w:r w:rsidR="008E532B">
        <w:rPr>
          <w:rFonts w:ascii="Arial" w:hAnsi="Arial" w:cs="Arial"/>
          <w:bCs/>
          <w:sz w:val="22"/>
          <w:szCs w:val="22"/>
          <w:lang w:val="fr-FR"/>
        </w:rPr>
        <w:t>’</w:t>
      </w:r>
      <w:r w:rsidRPr="00302EAE">
        <w:rPr>
          <w:rFonts w:ascii="Arial" w:hAnsi="Arial" w:cs="Arial"/>
          <w:bCs/>
          <w:sz w:val="22"/>
          <w:szCs w:val="22"/>
          <w:lang w:val="fr-FR"/>
        </w:rPr>
        <w:t>autres conventions et du Bureau exécutif, mais elle retir</w:t>
      </w:r>
      <w:r>
        <w:rPr>
          <w:rFonts w:ascii="Arial" w:hAnsi="Arial" w:cs="Arial"/>
          <w:bCs/>
          <w:sz w:val="22"/>
          <w:szCs w:val="22"/>
          <w:lang w:val="fr-FR"/>
        </w:rPr>
        <w:t>ait finalement</w:t>
      </w:r>
      <w:r w:rsidRPr="00302EAE">
        <w:rPr>
          <w:rFonts w:ascii="Arial" w:hAnsi="Arial" w:cs="Arial"/>
          <w:bCs/>
          <w:sz w:val="22"/>
          <w:szCs w:val="22"/>
          <w:lang w:val="fr-FR"/>
        </w:rPr>
        <w:t xml:space="preserve"> sa proposition.</w:t>
      </w:r>
    </w:p>
    <w:p w14:paraId="7F5FC67E" w14:textId="709D16B1" w:rsidR="00D9653F" w:rsidRPr="00302EA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302EAE">
        <w:rPr>
          <w:rFonts w:ascii="Arial" w:hAnsi="Arial" w:cs="Arial"/>
          <w:b/>
          <w:sz w:val="22"/>
          <w:szCs w:val="22"/>
          <w:lang w:val="fr-FR"/>
        </w:rPr>
        <w:t>Présidente</w:t>
      </w:r>
      <w:r>
        <w:rPr>
          <w:rFonts w:ascii="Arial" w:hAnsi="Arial" w:cs="Arial"/>
          <w:bCs/>
          <w:sz w:val="22"/>
          <w:szCs w:val="22"/>
          <w:lang w:val="fr-FR"/>
        </w:rPr>
        <w:t xml:space="preserve"> a remercié la Türkiye pour sa flexibilité et a demandé s</w:t>
      </w:r>
      <w:r w:rsidR="008E532B">
        <w:rPr>
          <w:rFonts w:ascii="Arial" w:hAnsi="Arial" w:cs="Arial"/>
          <w:bCs/>
          <w:sz w:val="22"/>
          <w:szCs w:val="22"/>
          <w:lang w:val="fr-FR"/>
        </w:rPr>
        <w:t>’</w:t>
      </w:r>
      <w:r>
        <w:rPr>
          <w:rFonts w:ascii="Arial" w:hAnsi="Arial" w:cs="Arial"/>
          <w:bCs/>
          <w:sz w:val="22"/>
          <w:szCs w:val="22"/>
          <w:lang w:val="fr-FR"/>
        </w:rPr>
        <w:t>il y avait un consensus sur le libellé initial de l</w:t>
      </w:r>
      <w:r w:rsidR="008E532B">
        <w:rPr>
          <w:rFonts w:ascii="Arial" w:hAnsi="Arial" w:cs="Arial"/>
          <w:bCs/>
          <w:sz w:val="22"/>
          <w:szCs w:val="22"/>
          <w:lang w:val="fr-FR"/>
        </w:rPr>
        <w:t>’</w:t>
      </w:r>
      <w:r>
        <w:rPr>
          <w:rFonts w:ascii="Arial" w:hAnsi="Arial" w:cs="Arial"/>
          <w:bCs/>
          <w:sz w:val="22"/>
          <w:szCs w:val="22"/>
          <w:lang w:val="fr-FR"/>
        </w:rPr>
        <w:t>article 7.4.</w:t>
      </w:r>
    </w:p>
    <w:p w14:paraId="184ED90B" w14:textId="12E51AA5" w:rsidR="00D9653F" w:rsidRPr="00302EA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302EAE">
        <w:rPr>
          <w:rFonts w:ascii="Arial" w:hAnsi="Arial" w:cs="Arial"/>
          <w:bCs/>
          <w:sz w:val="22"/>
          <w:szCs w:val="22"/>
          <w:lang w:val="fr-FR"/>
        </w:rPr>
        <w:t xml:space="preserve">La délégation de la </w:t>
      </w:r>
      <w:r w:rsidRPr="00302EAE">
        <w:rPr>
          <w:rFonts w:ascii="Arial" w:hAnsi="Arial" w:cs="Arial"/>
          <w:b/>
          <w:sz w:val="22"/>
          <w:szCs w:val="22"/>
          <w:lang w:val="fr-FR"/>
        </w:rPr>
        <w:t>Palestine</w:t>
      </w:r>
      <w:r w:rsidRPr="00302EAE">
        <w:rPr>
          <w:rFonts w:ascii="Arial" w:hAnsi="Arial" w:cs="Arial"/>
          <w:bCs/>
          <w:sz w:val="22"/>
          <w:szCs w:val="22"/>
          <w:lang w:val="fr-FR"/>
        </w:rPr>
        <w:t xml:space="preserve"> a précisé que l</w:t>
      </w:r>
      <w:r>
        <w:rPr>
          <w:rFonts w:ascii="Arial" w:hAnsi="Arial" w:cs="Arial"/>
          <w:bCs/>
          <w:sz w:val="22"/>
          <w:szCs w:val="22"/>
          <w:lang w:val="fr-FR"/>
        </w:rPr>
        <w:t>e terme « </w:t>
      </w:r>
      <w:r w:rsidRPr="00302EAE">
        <w:rPr>
          <w:rFonts w:ascii="Arial" w:hAnsi="Arial" w:cs="Arial"/>
          <w:bCs/>
          <w:sz w:val="22"/>
          <w:szCs w:val="22"/>
          <w:lang w:val="fr-FR"/>
        </w:rPr>
        <w:t>dès que possible</w:t>
      </w:r>
      <w:r>
        <w:rPr>
          <w:rFonts w:ascii="Arial" w:hAnsi="Arial" w:cs="Arial"/>
          <w:bCs/>
          <w:sz w:val="22"/>
          <w:szCs w:val="22"/>
          <w:lang w:val="fr-FR"/>
        </w:rPr>
        <w:t> »</w:t>
      </w:r>
      <w:r w:rsidRPr="00302EAE">
        <w:rPr>
          <w:rFonts w:ascii="Arial" w:hAnsi="Arial" w:cs="Arial"/>
          <w:bCs/>
          <w:sz w:val="22"/>
          <w:szCs w:val="22"/>
          <w:lang w:val="fr-FR"/>
        </w:rPr>
        <w:t xml:space="preserve"> figurait dans le Règlement intérieur de la Convention de 1954. En effet, les documents </w:t>
      </w:r>
      <w:r>
        <w:rPr>
          <w:rFonts w:ascii="Arial" w:hAnsi="Arial" w:cs="Arial"/>
          <w:bCs/>
          <w:sz w:val="22"/>
          <w:szCs w:val="22"/>
          <w:lang w:val="fr-FR"/>
        </w:rPr>
        <w:t>étaient</w:t>
      </w:r>
      <w:r w:rsidRPr="00302EAE">
        <w:rPr>
          <w:rFonts w:ascii="Arial" w:hAnsi="Arial" w:cs="Arial"/>
          <w:bCs/>
          <w:sz w:val="22"/>
          <w:szCs w:val="22"/>
          <w:lang w:val="fr-FR"/>
        </w:rPr>
        <w:t xml:space="preserve"> distribués à l</w:t>
      </w:r>
      <w:r w:rsidR="008E532B">
        <w:rPr>
          <w:rFonts w:ascii="Arial" w:hAnsi="Arial" w:cs="Arial"/>
          <w:bCs/>
          <w:sz w:val="22"/>
          <w:szCs w:val="22"/>
          <w:lang w:val="fr-FR"/>
        </w:rPr>
        <w:t>’</w:t>
      </w:r>
      <w:r w:rsidRPr="00302EAE">
        <w:rPr>
          <w:rFonts w:ascii="Arial" w:hAnsi="Arial" w:cs="Arial"/>
          <w:bCs/>
          <w:sz w:val="22"/>
          <w:szCs w:val="22"/>
          <w:lang w:val="fr-FR"/>
        </w:rPr>
        <w:t>Assemblée le jour même de la réunion. Par conséquent, cet exercice de modification du Règlement intérieur a</w:t>
      </w:r>
      <w:r>
        <w:rPr>
          <w:rFonts w:ascii="Arial" w:hAnsi="Arial" w:cs="Arial"/>
          <w:bCs/>
          <w:sz w:val="22"/>
          <w:szCs w:val="22"/>
          <w:lang w:val="fr-FR"/>
        </w:rPr>
        <w:t>vait</w:t>
      </w:r>
      <w:r w:rsidRPr="00302EAE">
        <w:rPr>
          <w:rFonts w:ascii="Arial" w:hAnsi="Arial" w:cs="Arial"/>
          <w:bCs/>
          <w:sz w:val="22"/>
          <w:szCs w:val="22"/>
          <w:lang w:val="fr-FR"/>
        </w:rPr>
        <w:t xml:space="preserve"> eu lieu à cause de cet incident. La délégation compren</w:t>
      </w:r>
      <w:r>
        <w:rPr>
          <w:rFonts w:ascii="Arial" w:hAnsi="Arial" w:cs="Arial"/>
          <w:bCs/>
          <w:sz w:val="22"/>
          <w:szCs w:val="22"/>
          <w:lang w:val="fr-FR"/>
        </w:rPr>
        <w:t>ait</w:t>
      </w:r>
      <w:r w:rsidRPr="00302EAE">
        <w:rPr>
          <w:rFonts w:ascii="Arial" w:hAnsi="Arial" w:cs="Arial"/>
          <w:bCs/>
          <w:sz w:val="22"/>
          <w:szCs w:val="22"/>
          <w:lang w:val="fr-FR"/>
        </w:rPr>
        <w:t xml:space="preserve"> l</w:t>
      </w:r>
      <w:r w:rsidR="008E532B">
        <w:rPr>
          <w:rFonts w:ascii="Arial" w:hAnsi="Arial" w:cs="Arial"/>
          <w:bCs/>
          <w:sz w:val="22"/>
          <w:szCs w:val="22"/>
          <w:lang w:val="fr-FR"/>
        </w:rPr>
        <w:t>’</w:t>
      </w:r>
      <w:r w:rsidRPr="00302EAE">
        <w:rPr>
          <w:rFonts w:ascii="Arial" w:hAnsi="Arial" w:cs="Arial"/>
          <w:bCs/>
          <w:sz w:val="22"/>
          <w:szCs w:val="22"/>
          <w:lang w:val="fr-FR"/>
        </w:rPr>
        <w:t>explication du Conseiller juridique et du Sous-Directeur général, mais la Türkiye a</w:t>
      </w:r>
      <w:r>
        <w:rPr>
          <w:rFonts w:ascii="Arial" w:hAnsi="Arial" w:cs="Arial"/>
          <w:bCs/>
          <w:sz w:val="22"/>
          <w:szCs w:val="22"/>
          <w:lang w:val="fr-FR"/>
        </w:rPr>
        <w:t>vait</w:t>
      </w:r>
      <w:r w:rsidRPr="00302EAE">
        <w:rPr>
          <w:rFonts w:ascii="Arial" w:hAnsi="Arial" w:cs="Arial"/>
          <w:bCs/>
          <w:sz w:val="22"/>
          <w:szCs w:val="22"/>
          <w:lang w:val="fr-FR"/>
        </w:rPr>
        <w:t xml:space="preserve"> raison sur la nécessité de préciser une date. Elle </w:t>
      </w:r>
      <w:r>
        <w:rPr>
          <w:rFonts w:ascii="Arial" w:hAnsi="Arial" w:cs="Arial"/>
          <w:bCs/>
          <w:sz w:val="22"/>
          <w:szCs w:val="22"/>
          <w:lang w:val="fr-FR"/>
        </w:rPr>
        <w:t>comprenait</w:t>
      </w:r>
      <w:r w:rsidRPr="00302EAE">
        <w:rPr>
          <w:rFonts w:ascii="Arial" w:hAnsi="Arial" w:cs="Arial"/>
          <w:bCs/>
          <w:sz w:val="22"/>
          <w:szCs w:val="22"/>
          <w:lang w:val="fr-FR"/>
        </w:rPr>
        <w:t xml:space="preserve"> également la difficulté que représente le fait que si l</w:t>
      </w:r>
      <w:r w:rsidR="008E532B">
        <w:rPr>
          <w:rFonts w:ascii="Arial" w:hAnsi="Arial" w:cs="Arial"/>
          <w:bCs/>
          <w:sz w:val="22"/>
          <w:szCs w:val="22"/>
          <w:lang w:val="fr-FR"/>
        </w:rPr>
        <w:t>’</w:t>
      </w:r>
      <w:r w:rsidRPr="00302EAE">
        <w:rPr>
          <w:rFonts w:ascii="Arial" w:hAnsi="Arial" w:cs="Arial"/>
          <w:bCs/>
          <w:sz w:val="22"/>
          <w:szCs w:val="22"/>
          <w:lang w:val="fr-FR"/>
        </w:rPr>
        <w:t>ordre du jour provisoire n</w:t>
      </w:r>
      <w:r w:rsidR="008E532B">
        <w:rPr>
          <w:rFonts w:ascii="Arial" w:hAnsi="Arial" w:cs="Arial"/>
          <w:bCs/>
          <w:sz w:val="22"/>
          <w:szCs w:val="22"/>
          <w:lang w:val="fr-FR"/>
        </w:rPr>
        <w:t>’</w:t>
      </w:r>
      <w:r w:rsidRPr="00302EAE">
        <w:rPr>
          <w:rFonts w:ascii="Arial" w:hAnsi="Arial" w:cs="Arial"/>
          <w:bCs/>
          <w:sz w:val="22"/>
          <w:szCs w:val="22"/>
          <w:lang w:val="fr-FR"/>
        </w:rPr>
        <w:t>est pas di</w:t>
      </w:r>
      <w:r>
        <w:rPr>
          <w:rFonts w:ascii="Arial" w:hAnsi="Arial" w:cs="Arial"/>
          <w:bCs/>
          <w:sz w:val="22"/>
          <w:szCs w:val="22"/>
          <w:lang w:val="fr-FR"/>
        </w:rPr>
        <w:t>ffusé</w:t>
      </w:r>
      <w:r w:rsidRPr="00302EAE">
        <w:rPr>
          <w:rFonts w:ascii="Arial" w:hAnsi="Arial" w:cs="Arial"/>
          <w:bCs/>
          <w:sz w:val="22"/>
          <w:szCs w:val="22"/>
          <w:lang w:val="fr-FR"/>
        </w:rPr>
        <w:t xml:space="preserve"> dans les quinze jours, l</w:t>
      </w:r>
      <w:r w:rsidR="008E532B">
        <w:rPr>
          <w:rFonts w:ascii="Arial" w:hAnsi="Arial" w:cs="Arial"/>
          <w:bCs/>
          <w:sz w:val="22"/>
          <w:szCs w:val="22"/>
          <w:lang w:val="fr-FR"/>
        </w:rPr>
        <w:t>’</w:t>
      </w:r>
      <w:r w:rsidRPr="00302EAE">
        <w:rPr>
          <w:rFonts w:ascii="Arial" w:hAnsi="Arial" w:cs="Arial"/>
          <w:bCs/>
          <w:sz w:val="22"/>
          <w:szCs w:val="22"/>
          <w:lang w:val="fr-FR"/>
        </w:rPr>
        <w:t>Assemblée ne peut avoir lieu. Pour cette raison, la délégation s</w:t>
      </w:r>
      <w:r w:rsidR="008E532B">
        <w:rPr>
          <w:rFonts w:ascii="Arial" w:hAnsi="Arial" w:cs="Arial"/>
          <w:bCs/>
          <w:sz w:val="22"/>
          <w:szCs w:val="22"/>
          <w:lang w:val="fr-FR"/>
        </w:rPr>
        <w:t>’</w:t>
      </w:r>
      <w:r w:rsidRPr="00302EAE">
        <w:rPr>
          <w:rFonts w:ascii="Arial" w:hAnsi="Arial" w:cs="Arial"/>
          <w:bCs/>
          <w:sz w:val="22"/>
          <w:szCs w:val="22"/>
          <w:lang w:val="fr-FR"/>
        </w:rPr>
        <w:t>est demandé s</w:t>
      </w:r>
      <w:r w:rsidR="008E532B">
        <w:rPr>
          <w:rFonts w:ascii="Arial" w:hAnsi="Arial" w:cs="Arial"/>
          <w:bCs/>
          <w:sz w:val="22"/>
          <w:szCs w:val="22"/>
          <w:lang w:val="fr-FR"/>
        </w:rPr>
        <w:t>’</w:t>
      </w:r>
      <w:r w:rsidRPr="00302EAE">
        <w:rPr>
          <w:rFonts w:ascii="Arial" w:hAnsi="Arial" w:cs="Arial"/>
          <w:bCs/>
          <w:sz w:val="22"/>
          <w:szCs w:val="22"/>
          <w:lang w:val="fr-FR"/>
        </w:rPr>
        <w:t>il n</w:t>
      </w:r>
      <w:r w:rsidR="008E532B">
        <w:rPr>
          <w:rFonts w:ascii="Arial" w:hAnsi="Arial" w:cs="Arial"/>
          <w:bCs/>
          <w:sz w:val="22"/>
          <w:szCs w:val="22"/>
          <w:lang w:val="fr-FR"/>
        </w:rPr>
        <w:t>’</w:t>
      </w:r>
      <w:r w:rsidRPr="00302EAE">
        <w:rPr>
          <w:rFonts w:ascii="Arial" w:hAnsi="Arial" w:cs="Arial"/>
          <w:bCs/>
          <w:sz w:val="22"/>
          <w:szCs w:val="22"/>
          <w:lang w:val="fr-FR"/>
        </w:rPr>
        <w:t>était pas possible d</w:t>
      </w:r>
      <w:r w:rsidR="008E532B">
        <w:rPr>
          <w:rFonts w:ascii="Arial" w:hAnsi="Arial" w:cs="Arial"/>
          <w:bCs/>
          <w:sz w:val="22"/>
          <w:szCs w:val="22"/>
          <w:lang w:val="fr-FR"/>
        </w:rPr>
        <w:t>’</w:t>
      </w:r>
      <w:r>
        <w:rPr>
          <w:rFonts w:ascii="Arial" w:hAnsi="Arial" w:cs="Arial"/>
          <w:bCs/>
          <w:sz w:val="22"/>
          <w:szCs w:val="22"/>
          <w:lang w:val="fr-FR"/>
        </w:rPr>
        <w:t>insérer</w:t>
      </w:r>
      <w:r w:rsidRPr="00302EAE">
        <w:rPr>
          <w:rFonts w:ascii="Arial" w:hAnsi="Arial" w:cs="Arial"/>
          <w:bCs/>
          <w:sz w:val="22"/>
          <w:szCs w:val="22"/>
          <w:lang w:val="fr-FR"/>
        </w:rPr>
        <w:t xml:space="preserve"> </w:t>
      </w:r>
      <w:r>
        <w:rPr>
          <w:rFonts w:ascii="Arial" w:hAnsi="Arial" w:cs="Arial"/>
          <w:bCs/>
          <w:sz w:val="22"/>
          <w:szCs w:val="22"/>
          <w:lang w:val="fr-FR"/>
        </w:rPr>
        <w:t>« </w:t>
      </w:r>
      <w:r w:rsidRPr="00302EAE">
        <w:rPr>
          <w:rFonts w:ascii="Arial" w:hAnsi="Arial" w:cs="Arial"/>
          <w:bCs/>
          <w:sz w:val="22"/>
          <w:szCs w:val="22"/>
          <w:lang w:val="fr-FR"/>
        </w:rPr>
        <w:t>dès que possible</w:t>
      </w:r>
      <w:r>
        <w:rPr>
          <w:rFonts w:ascii="Arial" w:hAnsi="Arial" w:cs="Arial"/>
          <w:bCs/>
          <w:sz w:val="22"/>
          <w:szCs w:val="22"/>
          <w:lang w:val="fr-FR"/>
        </w:rPr>
        <w:t xml:space="preserve">, </w:t>
      </w:r>
      <w:r w:rsidRPr="00302EAE">
        <w:rPr>
          <w:rFonts w:ascii="Arial" w:hAnsi="Arial" w:cs="Arial"/>
          <w:bCs/>
          <w:sz w:val="22"/>
          <w:szCs w:val="22"/>
          <w:lang w:val="fr-FR"/>
        </w:rPr>
        <w:t xml:space="preserve">de préférence dans les </w:t>
      </w:r>
      <w:r>
        <w:rPr>
          <w:rFonts w:ascii="Arial" w:hAnsi="Arial" w:cs="Arial"/>
          <w:bCs/>
          <w:sz w:val="22"/>
          <w:szCs w:val="22"/>
          <w:lang w:val="fr-FR"/>
        </w:rPr>
        <w:t>quinze</w:t>
      </w:r>
      <w:r w:rsidRPr="00302EAE">
        <w:rPr>
          <w:rFonts w:ascii="Arial" w:hAnsi="Arial" w:cs="Arial"/>
          <w:bCs/>
          <w:sz w:val="22"/>
          <w:szCs w:val="22"/>
          <w:lang w:val="fr-FR"/>
        </w:rPr>
        <w:t xml:space="preserve"> jours</w:t>
      </w:r>
      <w:r>
        <w:rPr>
          <w:rFonts w:ascii="Arial" w:hAnsi="Arial" w:cs="Arial"/>
          <w:bCs/>
          <w:sz w:val="22"/>
          <w:szCs w:val="22"/>
          <w:lang w:val="fr-FR"/>
        </w:rPr>
        <w:t> »</w:t>
      </w:r>
      <w:r w:rsidRPr="00302EAE">
        <w:rPr>
          <w:rFonts w:ascii="Arial" w:hAnsi="Arial" w:cs="Arial"/>
          <w:bCs/>
          <w:sz w:val="22"/>
          <w:szCs w:val="22"/>
          <w:lang w:val="fr-FR"/>
        </w:rPr>
        <w:t xml:space="preserve">, indiquant ainsi une durée, plutôt que </w:t>
      </w:r>
      <w:r>
        <w:rPr>
          <w:rFonts w:ascii="Arial" w:hAnsi="Arial" w:cs="Arial"/>
          <w:bCs/>
          <w:sz w:val="22"/>
          <w:szCs w:val="22"/>
          <w:lang w:val="fr-FR"/>
        </w:rPr>
        <w:t>« </w:t>
      </w:r>
      <w:r w:rsidRPr="00302EAE">
        <w:rPr>
          <w:rFonts w:ascii="Arial" w:hAnsi="Arial" w:cs="Arial"/>
          <w:bCs/>
          <w:sz w:val="22"/>
          <w:szCs w:val="22"/>
          <w:lang w:val="fr-FR"/>
        </w:rPr>
        <w:t>dès que possible</w:t>
      </w:r>
      <w:r>
        <w:rPr>
          <w:rFonts w:ascii="Arial" w:hAnsi="Arial" w:cs="Arial"/>
          <w:bCs/>
          <w:sz w:val="22"/>
          <w:szCs w:val="22"/>
          <w:lang w:val="fr-FR"/>
        </w:rPr>
        <w:t xml:space="preserve"> », un terme qui prêtait à </w:t>
      </w:r>
      <w:r w:rsidRPr="00302EAE">
        <w:rPr>
          <w:rFonts w:ascii="Arial" w:hAnsi="Arial" w:cs="Arial"/>
          <w:bCs/>
          <w:sz w:val="22"/>
          <w:szCs w:val="22"/>
          <w:lang w:val="fr-FR"/>
        </w:rPr>
        <w:t>interprétation.</w:t>
      </w:r>
    </w:p>
    <w:p w14:paraId="23E94BD9" w14:textId="7A3BF07F" w:rsidR="00D9653F" w:rsidRPr="00302EAE"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302EAE">
        <w:rPr>
          <w:rFonts w:ascii="Arial" w:hAnsi="Arial" w:cs="Arial"/>
          <w:b/>
          <w:sz w:val="22"/>
          <w:szCs w:val="22"/>
          <w:lang w:val="fr-FR"/>
        </w:rPr>
        <w:t>Présidente</w:t>
      </w:r>
      <w:r>
        <w:rPr>
          <w:rFonts w:ascii="Arial" w:hAnsi="Arial" w:cs="Arial"/>
          <w:bCs/>
          <w:sz w:val="22"/>
          <w:szCs w:val="22"/>
          <w:lang w:val="fr-FR"/>
        </w:rPr>
        <w:t xml:space="preserve"> a demandé si la Palestine était opposée au libellé de l</w:t>
      </w:r>
      <w:r w:rsidR="008E532B">
        <w:rPr>
          <w:rFonts w:ascii="Arial" w:hAnsi="Arial" w:cs="Arial"/>
          <w:bCs/>
          <w:sz w:val="22"/>
          <w:szCs w:val="22"/>
          <w:lang w:val="fr-FR"/>
        </w:rPr>
        <w:t>’</w:t>
      </w:r>
      <w:r>
        <w:rPr>
          <w:rFonts w:ascii="Arial" w:hAnsi="Arial" w:cs="Arial"/>
          <w:bCs/>
          <w:sz w:val="22"/>
          <w:szCs w:val="22"/>
          <w:lang w:val="fr-FR"/>
        </w:rPr>
        <w:t>article 7.4.</w:t>
      </w:r>
    </w:p>
    <w:p w14:paraId="480F76EF" w14:textId="6886400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2311E">
        <w:rPr>
          <w:rFonts w:ascii="Arial" w:hAnsi="Arial" w:cs="Arial"/>
          <w:bCs/>
          <w:sz w:val="22"/>
          <w:szCs w:val="22"/>
          <w:lang w:val="fr-FR"/>
        </w:rPr>
        <w:t>délégation</w:t>
      </w:r>
      <w:r>
        <w:rPr>
          <w:rFonts w:ascii="Arial" w:hAnsi="Arial" w:cs="Arial"/>
          <w:bCs/>
          <w:sz w:val="22"/>
          <w:szCs w:val="22"/>
          <w:lang w:val="fr-FR"/>
        </w:rPr>
        <w:t xml:space="preserve"> de la </w:t>
      </w:r>
      <w:r w:rsidRPr="00DC0E0B">
        <w:rPr>
          <w:rFonts w:ascii="Arial" w:hAnsi="Arial" w:cs="Arial"/>
          <w:b/>
          <w:sz w:val="22"/>
          <w:szCs w:val="22"/>
          <w:lang w:val="fr-FR"/>
        </w:rPr>
        <w:t>Palestine</w:t>
      </w:r>
      <w:r>
        <w:rPr>
          <w:rFonts w:ascii="Arial" w:hAnsi="Arial" w:cs="Arial"/>
          <w:bCs/>
          <w:sz w:val="22"/>
          <w:szCs w:val="22"/>
          <w:lang w:val="fr-FR"/>
        </w:rPr>
        <w:t xml:space="preserve"> préférait sa version, mais elle était prête à la retirer si une opposition s</w:t>
      </w:r>
      <w:r w:rsidR="008E532B">
        <w:rPr>
          <w:rFonts w:ascii="Arial" w:hAnsi="Arial" w:cs="Arial"/>
          <w:bCs/>
          <w:sz w:val="22"/>
          <w:szCs w:val="22"/>
          <w:lang w:val="fr-FR"/>
        </w:rPr>
        <w:t>’</w:t>
      </w:r>
      <w:r>
        <w:rPr>
          <w:rFonts w:ascii="Arial" w:hAnsi="Arial" w:cs="Arial"/>
          <w:bCs/>
          <w:sz w:val="22"/>
          <w:szCs w:val="22"/>
          <w:lang w:val="fr-FR"/>
        </w:rPr>
        <w:t>exprimait à son sujet.</w:t>
      </w:r>
    </w:p>
    <w:p w14:paraId="14528405" w14:textId="0642A1A5" w:rsidR="00D9653F" w:rsidRPr="00DC0E0B"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DC0E0B">
        <w:rPr>
          <w:rFonts w:ascii="Arial" w:hAnsi="Arial" w:cs="Arial"/>
          <w:b/>
          <w:sz w:val="22"/>
          <w:szCs w:val="22"/>
          <w:lang w:val="fr-FR"/>
        </w:rPr>
        <w:t>Présidente</w:t>
      </w:r>
      <w:r>
        <w:rPr>
          <w:rFonts w:ascii="Arial" w:hAnsi="Arial" w:cs="Arial"/>
          <w:bCs/>
          <w:sz w:val="22"/>
          <w:szCs w:val="22"/>
          <w:lang w:val="fr-FR"/>
        </w:rPr>
        <w:t xml:space="preserve"> a demandé s</w:t>
      </w:r>
      <w:r w:rsidR="008E532B">
        <w:rPr>
          <w:rFonts w:ascii="Arial" w:hAnsi="Arial" w:cs="Arial"/>
          <w:bCs/>
          <w:sz w:val="22"/>
          <w:szCs w:val="22"/>
          <w:lang w:val="fr-FR"/>
        </w:rPr>
        <w:t>’</w:t>
      </w:r>
      <w:r>
        <w:rPr>
          <w:rFonts w:ascii="Arial" w:hAnsi="Arial" w:cs="Arial"/>
          <w:bCs/>
          <w:sz w:val="22"/>
          <w:szCs w:val="22"/>
          <w:lang w:val="fr-FR"/>
        </w:rPr>
        <w:t>il y avait opposition à l</w:t>
      </w:r>
      <w:r w:rsidR="008E532B">
        <w:rPr>
          <w:rFonts w:ascii="Arial" w:hAnsi="Arial" w:cs="Arial"/>
          <w:bCs/>
          <w:sz w:val="22"/>
          <w:szCs w:val="22"/>
          <w:lang w:val="fr-FR"/>
        </w:rPr>
        <w:t>’</w:t>
      </w:r>
      <w:r>
        <w:rPr>
          <w:rFonts w:ascii="Arial" w:hAnsi="Arial" w:cs="Arial"/>
          <w:bCs/>
          <w:sz w:val="22"/>
          <w:szCs w:val="22"/>
          <w:lang w:val="fr-FR"/>
        </w:rPr>
        <w:t>article 7.4 tel qu</w:t>
      </w:r>
      <w:r w:rsidR="008E532B">
        <w:rPr>
          <w:rFonts w:ascii="Arial" w:hAnsi="Arial" w:cs="Arial"/>
          <w:bCs/>
          <w:sz w:val="22"/>
          <w:szCs w:val="22"/>
          <w:lang w:val="fr-FR"/>
        </w:rPr>
        <w:t>’</w:t>
      </w:r>
      <w:r>
        <w:rPr>
          <w:rFonts w:ascii="Arial" w:hAnsi="Arial" w:cs="Arial"/>
          <w:bCs/>
          <w:sz w:val="22"/>
          <w:szCs w:val="22"/>
          <w:lang w:val="fr-FR"/>
        </w:rPr>
        <w:t>affiché à l</w:t>
      </w:r>
      <w:r w:rsidR="008E532B">
        <w:rPr>
          <w:rFonts w:ascii="Arial" w:hAnsi="Arial" w:cs="Arial"/>
          <w:bCs/>
          <w:sz w:val="22"/>
          <w:szCs w:val="22"/>
          <w:lang w:val="fr-FR"/>
        </w:rPr>
        <w:t>’</w:t>
      </w:r>
      <w:r>
        <w:rPr>
          <w:rFonts w:ascii="Arial" w:hAnsi="Arial" w:cs="Arial"/>
          <w:bCs/>
          <w:sz w:val="22"/>
          <w:szCs w:val="22"/>
          <w:lang w:val="fr-FR"/>
        </w:rPr>
        <w:t>écran.</w:t>
      </w:r>
    </w:p>
    <w:p w14:paraId="3C9F7B73" w14:textId="0DB30501"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C0E0B">
        <w:rPr>
          <w:rFonts w:ascii="Arial" w:hAnsi="Arial" w:cs="Arial"/>
          <w:bCs/>
          <w:sz w:val="22"/>
          <w:szCs w:val="22"/>
          <w:lang w:val="fr-FR"/>
        </w:rPr>
        <w:t xml:space="preserve">Le </w:t>
      </w:r>
      <w:r w:rsidRPr="00DC0E0B">
        <w:rPr>
          <w:rFonts w:ascii="Arial" w:hAnsi="Arial" w:cs="Arial"/>
          <w:b/>
          <w:sz w:val="22"/>
          <w:szCs w:val="22"/>
          <w:lang w:val="fr-FR"/>
        </w:rPr>
        <w:t>Sous-Directeur général</w:t>
      </w:r>
      <w:r w:rsidRPr="00DC0E0B">
        <w:rPr>
          <w:rFonts w:ascii="Arial" w:hAnsi="Arial" w:cs="Arial"/>
          <w:bCs/>
          <w:sz w:val="22"/>
          <w:szCs w:val="22"/>
          <w:lang w:val="fr-FR"/>
        </w:rPr>
        <w:t xml:space="preserve"> a précisé que l</w:t>
      </w:r>
      <w:r w:rsidR="008E532B">
        <w:rPr>
          <w:rFonts w:ascii="Arial" w:hAnsi="Arial" w:cs="Arial"/>
          <w:bCs/>
          <w:sz w:val="22"/>
          <w:szCs w:val="22"/>
          <w:lang w:val="fr-FR"/>
        </w:rPr>
        <w:t>’</w:t>
      </w:r>
      <w:r w:rsidRPr="00DC0E0B">
        <w:rPr>
          <w:rFonts w:ascii="Arial" w:hAnsi="Arial" w:cs="Arial"/>
          <w:bCs/>
          <w:sz w:val="22"/>
          <w:szCs w:val="22"/>
          <w:lang w:val="fr-FR"/>
        </w:rPr>
        <w:t>article 7.4 correspondait à l</w:t>
      </w:r>
      <w:r w:rsidR="008E532B">
        <w:rPr>
          <w:rFonts w:ascii="Arial" w:hAnsi="Arial" w:cs="Arial"/>
          <w:bCs/>
          <w:sz w:val="22"/>
          <w:szCs w:val="22"/>
          <w:lang w:val="fr-FR"/>
        </w:rPr>
        <w:t>’</w:t>
      </w:r>
      <w:r w:rsidRPr="00DC0E0B">
        <w:rPr>
          <w:rFonts w:ascii="Arial" w:hAnsi="Arial" w:cs="Arial"/>
          <w:bCs/>
          <w:sz w:val="22"/>
          <w:szCs w:val="22"/>
          <w:lang w:val="fr-FR"/>
        </w:rPr>
        <w:t>amendement de la Palestine, qui se</w:t>
      </w:r>
      <w:r>
        <w:rPr>
          <w:rFonts w:ascii="Arial" w:hAnsi="Arial" w:cs="Arial"/>
          <w:bCs/>
          <w:sz w:val="22"/>
          <w:szCs w:val="22"/>
          <w:lang w:val="fr-FR"/>
        </w:rPr>
        <w:t>rait ainsi rédigé </w:t>
      </w:r>
      <w:r w:rsidRPr="00DC0E0B">
        <w:rPr>
          <w:rFonts w:ascii="Arial" w:hAnsi="Arial" w:cs="Arial"/>
          <w:bCs/>
          <w:sz w:val="22"/>
          <w:szCs w:val="22"/>
          <w:lang w:val="fr-FR"/>
        </w:rPr>
        <w:t xml:space="preserve">: </w:t>
      </w:r>
      <w:r>
        <w:rPr>
          <w:rFonts w:ascii="Arial" w:hAnsi="Arial" w:cs="Arial"/>
          <w:bCs/>
          <w:sz w:val="22"/>
          <w:szCs w:val="22"/>
          <w:lang w:val="fr-FR"/>
        </w:rPr>
        <w:t>« </w:t>
      </w:r>
      <w:r w:rsidRPr="00DC0E0B">
        <w:rPr>
          <w:rFonts w:ascii="Arial" w:hAnsi="Arial" w:cs="Arial"/>
          <w:bCs/>
          <w:sz w:val="22"/>
          <w:szCs w:val="22"/>
          <w:lang w:val="fr-FR"/>
        </w:rPr>
        <w:t>dès que possible</w:t>
      </w:r>
      <w:r>
        <w:rPr>
          <w:rFonts w:ascii="Arial" w:hAnsi="Arial" w:cs="Arial"/>
          <w:bCs/>
          <w:sz w:val="22"/>
          <w:szCs w:val="22"/>
          <w:lang w:val="fr-FR"/>
        </w:rPr>
        <w:t>,</w:t>
      </w:r>
      <w:r w:rsidRPr="00DC0E0B">
        <w:rPr>
          <w:rFonts w:ascii="Arial" w:hAnsi="Arial" w:cs="Arial"/>
          <w:bCs/>
          <w:sz w:val="22"/>
          <w:szCs w:val="22"/>
          <w:lang w:val="fr-FR"/>
        </w:rPr>
        <w:t xml:space="preserve"> et de préférence dans les 15 jours dans le cas d</w:t>
      </w:r>
      <w:r w:rsidR="008E532B">
        <w:rPr>
          <w:rFonts w:ascii="Arial" w:hAnsi="Arial" w:cs="Arial"/>
          <w:bCs/>
          <w:sz w:val="22"/>
          <w:szCs w:val="22"/>
          <w:lang w:val="fr-FR"/>
        </w:rPr>
        <w:t>’</w:t>
      </w:r>
      <w:r w:rsidRPr="00DC0E0B">
        <w:rPr>
          <w:rFonts w:ascii="Arial" w:hAnsi="Arial" w:cs="Arial"/>
          <w:bCs/>
          <w:sz w:val="22"/>
          <w:szCs w:val="22"/>
          <w:lang w:val="fr-FR"/>
        </w:rPr>
        <w:t>une session extraordinaire</w:t>
      </w:r>
      <w:r>
        <w:rPr>
          <w:rFonts w:ascii="Arial" w:hAnsi="Arial" w:cs="Arial"/>
          <w:bCs/>
          <w:sz w:val="22"/>
          <w:szCs w:val="22"/>
          <w:lang w:val="fr-FR"/>
        </w:rPr>
        <w:t> ».</w:t>
      </w:r>
    </w:p>
    <w:p w14:paraId="4D4FB721" w14:textId="27D3B568" w:rsidR="00D9653F" w:rsidRPr="00DC0E0B"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DC0E0B">
        <w:rPr>
          <w:rFonts w:ascii="Arial" w:hAnsi="Arial" w:cs="Arial"/>
          <w:bCs/>
          <w:sz w:val="22"/>
          <w:szCs w:val="22"/>
          <w:lang w:val="fr-FR"/>
        </w:rPr>
        <w:t>délégation</w:t>
      </w:r>
      <w:r>
        <w:rPr>
          <w:rFonts w:ascii="Arial" w:hAnsi="Arial" w:cs="Arial"/>
          <w:bCs/>
          <w:sz w:val="22"/>
          <w:szCs w:val="22"/>
          <w:lang w:val="fr-FR"/>
        </w:rPr>
        <w:t xml:space="preserve"> de la </w:t>
      </w:r>
      <w:r w:rsidRPr="00DC0E0B">
        <w:rPr>
          <w:rFonts w:ascii="Arial" w:hAnsi="Arial" w:cs="Arial"/>
          <w:b/>
          <w:sz w:val="22"/>
          <w:szCs w:val="22"/>
          <w:lang w:val="fr-FR"/>
        </w:rPr>
        <w:t>Pologne</w:t>
      </w:r>
      <w:r>
        <w:rPr>
          <w:rFonts w:ascii="Arial" w:hAnsi="Arial" w:cs="Arial"/>
          <w:bCs/>
          <w:sz w:val="22"/>
          <w:szCs w:val="22"/>
          <w:lang w:val="fr-FR"/>
        </w:rPr>
        <w:t xml:space="preserve"> a sollicité des </w:t>
      </w:r>
      <w:r w:rsidRPr="00DC0E0B">
        <w:rPr>
          <w:rFonts w:ascii="Arial" w:hAnsi="Arial" w:cs="Arial"/>
          <w:bCs/>
          <w:sz w:val="22"/>
          <w:szCs w:val="22"/>
          <w:lang w:val="fr-FR"/>
        </w:rPr>
        <w:t>éclaircissements</w:t>
      </w:r>
      <w:r>
        <w:rPr>
          <w:rFonts w:ascii="Arial" w:hAnsi="Arial" w:cs="Arial"/>
          <w:bCs/>
          <w:sz w:val="22"/>
          <w:szCs w:val="22"/>
          <w:lang w:val="fr-FR"/>
        </w:rPr>
        <w:t xml:space="preserve"> de la part du Conseiller juridique sur la légalité d</w:t>
      </w:r>
      <w:r w:rsidR="008E532B">
        <w:rPr>
          <w:rFonts w:ascii="Arial" w:hAnsi="Arial" w:cs="Arial"/>
          <w:bCs/>
          <w:sz w:val="22"/>
          <w:szCs w:val="22"/>
          <w:lang w:val="fr-FR"/>
        </w:rPr>
        <w:t>’</w:t>
      </w:r>
      <w:r>
        <w:rPr>
          <w:rFonts w:ascii="Arial" w:hAnsi="Arial" w:cs="Arial"/>
          <w:bCs/>
          <w:sz w:val="22"/>
          <w:szCs w:val="22"/>
          <w:lang w:val="fr-FR"/>
        </w:rPr>
        <w:t xml:space="preserve">avoir une </w:t>
      </w:r>
      <w:proofErr w:type="gramStart"/>
      <w:r>
        <w:rPr>
          <w:rFonts w:ascii="Arial" w:hAnsi="Arial" w:cs="Arial"/>
          <w:bCs/>
          <w:sz w:val="22"/>
          <w:szCs w:val="22"/>
          <w:lang w:val="fr-FR"/>
        </w:rPr>
        <w:t>période de temps</w:t>
      </w:r>
      <w:proofErr w:type="gramEnd"/>
      <w:r>
        <w:rPr>
          <w:rFonts w:ascii="Arial" w:hAnsi="Arial" w:cs="Arial"/>
          <w:bCs/>
          <w:sz w:val="22"/>
          <w:szCs w:val="22"/>
          <w:lang w:val="fr-FR"/>
        </w:rPr>
        <w:t xml:space="preserve"> et « </w:t>
      </w:r>
      <w:r w:rsidRPr="00DC0E0B">
        <w:rPr>
          <w:rFonts w:ascii="Arial" w:hAnsi="Arial" w:cs="Arial"/>
          <w:bCs/>
          <w:sz w:val="22"/>
          <w:szCs w:val="22"/>
          <w:lang w:val="fr-FR"/>
        </w:rPr>
        <w:t>dès que possible</w:t>
      </w:r>
      <w:r>
        <w:rPr>
          <w:rFonts w:ascii="Arial" w:hAnsi="Arial" w:cs="Arial"/>
          <w:bCs/>
          <w:sz w:val="22"/>
          <w:szCs w:val="22"/>
          <w:lang w:val="fr-FR"/>
        </w:rPr>
        <w:t>,</w:t>
      </w:r>
      <w:r w:rsidRPr="00DC0E0B">
        <w:rPr>
          <w:rFonts w:ascii="Arial" w:hAnsi="Arial" w:cs="Arial"/>
          <w:bCs/>
          <w:sz w:val="22"/>
          <w:szCs w:val="22"/>
          <w:lang w:val="fr-FR"/>
        </w:rPr>
        <w:t xml:space="preserve"> et de préférence dans les </w:t>
      </w:r>
      <w:r>
        <w:rPr>
          <w:rFonts w:ascii="Arial" w:hAnsi="Arial" w:cs="Arial"/>
          <w:bCs/>
          <w:sz w:val="22"/>
          <w:szCs w:val="22"/>
          <w:lang w:val="fr-FR"/>
        </w:rPr>
        <w:t>quinze</w:t>
      </w:r>
      <w:r w:rsidRPr="00DC0E0B">
        <w:rPr>
          <w:rFonts w:ascii="Arial" w:hAnsi="Arial" w:cs="Arial"/>
          <w:bCs/>
          <w:sz w:val="22"/>
          <w:szCs w:val="22"/>
          <w:lang w:val="fr-FR"/>
        </w:rPr>
        <w:t xml:space="preserve"> jours</w:t>
      </w:r>
      <w:r>
        <w:rPr>
          <w:rFonts w:ascii="Arial" w:hAnsi="Arial" w:cs="Arial"/>
          <w:bCs/>
          <w:sz w:val="22"/>
          <w:szCs w:val="22"/>
          <w:lang w:val="fr-FR"/>
        </w:rPr>
        <w:t> »</w:t>
      </w:r>
    </w:p>
    <w:p w14:paraId="06314A5A" w14:textId="4657BD44" w:rsidR="00D9653F" w:rsidRPr="00DC0E0B"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Le </w:t>
      </w:r>
      <w:r w:rsidRPr="00DC0E0B">
        <w:rPr>
          <w:rFonts w:ascii="Arial" w:hAnsi="Arial" w:cs="Arial"/>
          <w:b/>
          <w:sz w:val="22"/>
          <w:szCs w:val="22"/>
          <w:lang w:val="fr-FR"/>
        </w:rPr>
        <w:t>Conseiller juridique</w:t>
      </w:r>
      <w:r>
        <w:rPr>
          <w:rFonts w:ascii="Arial" w:hAnsi="Arial" w:cs="Arial"/>
          <w:bCs/>
          <w:sz w:val="22"/>
          <w:szCs w:val="22"/>
          <w:lang w:val="fr-FR"/>
        </w:rPr>
        <w:t xml:space="preserve"> a confirmé qu</w:t>
      </w:r>
      <w:r w:rsidR="008E532B">
        <w:rPr>
          <w:rFonts w:ascii="Arial" w:hAnsi="Arial" w:cs="Arial"/>
          <w:bCs/>
          <w:sz w:val="22"/>
          <w:szCs w:val="22"/>
          <w:lang w:val="fr-FR"/>
        </w:rPr>
        <w:t>’</w:t>
      </w:r>
      <w:r>
        <w:rPr>
          <w:rFonts w:ascii="Arial" w:hAnsi="Arial" w:cs="Arial"/>
          <w:bCs/>
          <w:sz w:val="22"/>
          <w:szCs w:val="22"/>
          <w:lang w:val="fr-FR"/>
        </w:rPr>
        <w:t>il était possible d</w:t>
      </w:r>
      <w:r w:rsidR="008E532B">
        <w:rPr>
          <w:rFonts w:ascii="Arial" w:hAnsi="Arial" w:cs="Arial"/>
          <w:bCs/>
          <w:sz w:val="22"/>
          <w:szCs w:val="22"/>
          <w:lang w:val="fr-FR"/>
        </w:rPr>
        <w:t>’</w:t>
      </w:r>
      <w:r>
        <w:rPr>
          <w:rFonts w:ascii="Arial" w:hAnsi="Arial" w:cs="Arial"/>
          <w:bCs/>
          <w:sz w:val="22"/>
          <w:szCs w:val="22"/>
          <w:lang w:val="fr-FR"/>
        </w:rPr>
        <w:t xml:space="preserve">avoir ce libellé avec une </w:t>
      </w:r>
      <w:proofErr w:type="gramStart"/>
      <w:r>
        <w:rPr>
          <w:rFonts w:ascii="Arial" w:hAnsi="Arial" w:cs="Arial"/>
          <w:bCs/>
          <w:sz w:val="22"/>
          <w:szCs w:val="22"/>
          <w:lang w:val="fr-FR"/>
        </w:rPr>
        <w:t>période de temps</w:t>
      </w:r>
      <w:proofErr w:type="gramEnd"/>
      <w:r>
        <w:rPr>
          <w:rFonts w:ascii="Arial" w:hAnsi="Arial" w:cs="Arial"/>
          <w:bCs/>
          <w:sz w:val="22"/>
          <w:szCs w:val="22"/>
          <w:lang w:val="fr-FR"/>
        </w:rPr>
        <w:t>.</w:t>
      </w:r>
    </w:p>
    <w:p w14:paraId="2BFE1E9C" w14:textId="62DBA7F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DC0E0B">
        <w:rPr>
          <w:rFonts w:ascii="Arial" w:hAnsi="Arial" w:cs="Arial"/>
          <w:b/>
          <w:sz w:val="22"/>
          <w:szCs w:val="22"/>
          <w:lang w:val="fr-FR"/>
        </w:rPr>
        <w:t>Présidente</w:t>
      </w:r>
      <w:r>
        <w:rPr>
          <w:rFonts w:ascii="Arial" w:hAnsi="Arial" w:cs="Arial"/>
          <w:bCs/>
          <w:sz w:val="22"/>
          <w:szCs w:val="22"/>
          <w:lang w:val="fr-FR"/>
        </w:rPr>
        <w:t xml:space="preserve"> a de nouveau demandé s</w:t>
      </w:r>
      <w:r w:rsidR="008E532B">
        <w:rPr>
          <w:rFonts w:ascii="Arial" w:hAnsi="Arial" w:cs="Arial"/>
          <w:bCs/>
          <w:sz w:val="22"/>
          <w:szCs w:val="22"/>
          <w:lang w:val="fr-FR"/>
        </w:rPr>
        <w:t>’</w:t>
      </w:r>
      <w:r>
        <w:rPr>
          <w:rFonts w:ascii="Arial" w:hAnsi="Arial" w:cs="Arial"/>
          <w:bCs/>
          <w:sz w:val="22"/>
          <w:szCs w:val="22"/>
          <w:lang w:val="fr-FR"/>
        </w:rPr>
        <w:t>il y avait opposition au libellé de l</w:t>
      </w:r>
      <w:r w:rsidR="008E532B">
        <w:rPr>
          <w:rFonts w:ascii="Arial" w:hAnsi="Arial" w:cs="Arial"/>
          <w:bCs/>
          <w:sz w:val="22"/>
          <w:szCs w:val="22"/>
          <w:lang w:val="fr-FR"/>
        </w:rPr>
        <w:t>’</w:t>
      </w:r>
      <w:r w:rsidRPr="00DC0E0B">
        <w:rPr>
          <w:rFonts w:ascii="Arial" w:hAnsi="Arial" w:cs="Arial"/>
          <w:bCs/>
          <w:sz w:val="22"/>
          <w:szCs w:val="22"/>
          <w:lang w:val="fr-FR"/>
        </w:rPr>
        <w:t>article</w:t>
      </w:r>
      <w:r>
        <w:rPr>
          <w:rFonts w:ascii="Arial" w:hAnsi="Arial" w:cs="Arial"/>
          <w:bCs/>
          <w:sz w:val="22"/>
          <w:szCs w:val="22"/>
          <w:lang w:val="fr-FR"/>
        </w:rPr>
        <w:t xml:space="preserve"> 7.4.</w:t>
      </w:r>
    </w:p>
    <w:p w14:paraId="4EE91E30" w14:textId="09A5EEB4"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C0E0B">
        <w:rPr>
          <w:rFonts w:ascii="Arial" w:hAnsi="Arial" w:cs="Arial"/>
          <w:bCs/>
          <w:sz w:val="22"/>
          <w:szCs w:val="22"/>
          <w:lang w:val="fr-FR"/>
        </w:rPr>
        <w:t xml:space="preserve">Le </w:t>
      </w:r>
      <w:r w:rsidRPr="00DC0E0B">
        <w:rPr>
          <w:rFonts w:ascii="Arial" w:hAnsi="Arial" w:cs="Arial"/>
          <w:b/>
          <w:sz w:val="22"/>
          <w:szCs w:val="22"/>
          <w:lang w:val="fr-FR"/>
        </w:rPr>
        <w:t>Conseiller juridique</w:t>
      </w:r>
      <w:r w:rsidRPr="00DC0E0B">
        <w:rPr>
          <w:rFonts w:ascii="Arial" w:hAnsi="Arial" w:cs="Arial"/>
          <w:bCs/>
          <w:sz w:val="22"/>
          <w:szCs w:val="22"/>
          <w:lang w:val="fr-FR"/>
        </w:rPr>
        <w:t xml:space="preserve"> a </w:t>
      </w:r>
      <w:r>
        <w:rPr>
          <w:rFonts w:ascii="Arial" w:hAnsi="Arial" w:cs="Arial"/>
          <w:bCs/>
          <w:sz w:val="22"/>
          <w:szCs w:val="22"/>
          <w:lang w:val="fr-FR"/>
        </w:rPr>
        <w:t xml:space="preserve">précisé </w:t>
      </w:r>
      <w:r w:rsidRPr="00DC0E0B">
        <w:rPr>
          <w:rFonts w:ascii="Arial" w:hAnsi="Arial" w:cs="Arial"/>
          <w:bCs/>
          <w:sz w:val="22"/>
          <w:szCs w:val="22"/>
          <w:lang w:val="fr-FR"/>
        </w:rPr>
        <w:t>l</w:t>
      </w:r>
      <w:r w:rsidR="008E532B">
        <w:rPr>
          <w:rFonts w:ascii="Arial" w:hAnsi="Arial" w:cs="Arial"/>
          <w:bCs/>
          <w:sz w:val="22"/>
          <w:szCs w:val="22"/>
          <w:lang w:val="fr-FR"/>
        </w:rPr>
        <w:t>’</w:t>
      </w:r>
      <w:r w:rsidRPr="00DC0E0B">
        <w:rPr>
          <w:rFonts w:ascii="Arial" w:hAnsi="Arial" w:cs="Arial"/>
          <w:bCs/>
          <w:sz w:val="22"/>
          <w:szCs w:val="22"/>
          <w:lang w:val="fr-FR"/>
        </w:rPr>
        <w:t>amendement de la Palestine</w:t>
      </w:r>
      <w:r>
        <w:rPr>
          <w:rFonts w:ascii="Arial" w:hAnsi="Arial" w:cs="Arial"/>
          <w:bCs/>
          <w:sz w:val="22"/>
          <w:szCs w:val="22"/>
          <w:lang w:val="fr-FR"/>
        </w:rPr>
        <w:t>. É</w:t>
      </w:r>
      <w:r w:rsidRPr="00DC0E0B">
        <w:rPr>
          <w:rFonts w:ascii="Arial" w:hAnsi="Arial" w:cs="Arial"/>
          <w:bCs/>
          <w:sz w:val="22"/>
          <w:szCs w:val="22"/>
          <w:lang w:val="fr-FR"/>
        </w:rPr>
        <w:t>tant donné q</w:t>
      </w:r>
      <w:r>
        <w:rPr>
          <w:rFonts w:ascii="Arial" w:hAnsi="Arial" w:cs="Arial"/>
          <w:bCs/>
          <w:sz w:val="22"/>
          <w:szCs w:val="22"/>
          <w:lang w:val="fr-FR"/>
        </w:rPr>
        <w:t>u</w:t>
      </w:r>
      <w:r w:rsidR="008E532B">
        <w:rPr>
          <w:rFonts w:ascii="Arial" w:hAnsi="Arial" w:cs="Arial"/>
          <w:bCs/>
          <w:sz w:val="22"/>
          <w:szCs w:val="22"/>
          <w:lang w:val="fr-FR"/>
        </w:rPr>
        <w:t>’</w:t>
      </w:r>
      <w:r>
        <w:rPr>
          <w:rFonts w:ascii="Arial" w:hAnsi="Arial" w:cs="Arial"/>
          <w:bCs/>
          <w:sz w:val="22"/>
          <w:szCs w:val="22"/>
          <w:lang w:val="fr-FR"/>
        </w:rPr>
        <w:t>on évoquait « </w:t>
      </w:r>
      <w:r w:rsidRPr="00DC0E0B">
        <w:rPr>
          <w:rFonts w:ascii="Arial" w:hAnsi="Arial" w:cs="Arial"/>
          <w:bCs/>
          <w:sz w:val="22"/>
          <w:szCs w:val="22"/>
          <w:lang w:val="fr-FR"/>
        </w:rPr>
        <w:t>au moins soixante jours avant l</w:t>
      </w:r>
      <w:r w:rsidR="008E532B">
        <w:rPr>
          <w:rFonts w:ascii="Arial" w:hAnsi="Arial" w:cs="Arial"/>
          <w:bCs/>
          <w:sz w:val="22"/>
          <w:szCs w:val="22"/>
          <w:lang w:val="fr-FR"/>
        </w:rPr>
        <w:t>’</w:t>
      </w:r>
      <w:r w:rsidRPr="00DC0E0B">
        <w:rPr>
          <w:rFonts w:ascii="Arial" w:hAnsi="Arial" w:cs="Arial"/>
          <w:bCs/>
          <w:sz w:val="22"/>
          <w:szCs w:val="22"/>
          <w:lang w:val="fr-FR"/>
        </w:rPr>
        <w:t>ouverture d</w:t>
      </w:r>
      <w:r w:rsidR="008E532B">
        <w:rPr>
          <w:rFonts w:ascii="Arial" w:hAnsi="Arial" w:cs="Arial"/>
          <w:bCs/>
          <w:sz w:val="22"/>
          <w:szCs w:val="22"/>
          <w:lang w:val="fr-FR"/>
        </w:rPr>
        <w:t>’</w:t>
      </w:r>
      <w:r w:rsidRPr="00DC0E0B">
        <w:rPr>
          <w:rFonts w:ascii="Arial" w:hAnsi="Arial" w:cs="Arial"/>
          <w:bCs/>
          <w:sz w:val="22"/>
          <w:szCs w:val="22"/>
          <w:lang w:val="fr-FR"/>
        </w:rPr>
        <w:t>une session ordinaire</w:t>
      </w:r>
      <w:r>
        <w:rPr>
          <w:rFonts w:ascii="Arial" w:hAnsi="Arial" w:cs="Arial"/>
          <w:bCs/>
          <w:sz w:val="22"/>
          <w:szCs w:val="22"/>
          <w:lang w:val="fr-FR"/>
        </w:rPr>
        <w:t> »</w:t>
      </w:r>
      <w:r w:rsidRPr="00DC0E0B">
        <w:rPr>
          <w:rFonts w:ascii="Arial" w:hAnsi="Arial" w:cs="Arial"/>
          <w:bCs/>
          <w:sz w:val="22"/>
          <w:szCs w:val="22"/>
          <w:lang w:val="fr-FR"/>
        </w:rPr>
        <w:t xml:space="preserve">, </w:t>
      </w:r>
      <w:r>
        <w:rPr>
          <w:rFonts w:ascii="Arial" w:hAnsi="Arial" w:cs="Arial"/>
          <w:bCs/>
          <w:sz w:val="22"/>
          <w:szCs w:val="22"/>
          <w:lang w:val="fr-FR"/>
        </w:rPr>
        <w:t xml:space="preserve">il a estimé </w:t>
      </w:r>
      <w:r w:rsidRPr="00DC0E0B">
        <w:rPr>
          <w:rFonts w:ascii="Arial" w:hAnsi="Arial" w:cs="Arial"/>
          <w:bCs/>
          <w:sz w:val="22"/>
          <w:szCs w:val="22"/>
          <w:lang w:val="fr-FR"/>
        </w:rPr>
        <w:t>qu</w:t>
      </w:r>
      <w:r>
        <w:rPr>
          <w:rFonts w:ascii="Arial" w:hAnsi="Arial" w:cs="Arial"/>
          <w:bCs/>
          <w:sz w:val="22"/>
          <w:szCs w:val="22"/>
          <w:lang w:val="fr-FR"/>
        </w:rPr>
        <w:t xml:space="preserve">e la </w:t>
      </w:r>
      <w:r w:rsidRPr="009E1932">
        <w:rPr>
          <w:rFonts w:ascii="Arial" w:hAnsi="Arial" w:cs="Arial"/>
          <w:bCs/>
          <w:sz w:val="22"/>
          <w:szCs w:val="22"/>
          <w:lang w:val="fr-FR"/>
        </w:rPr>
        <w:t>délégation</w:t>
      </w:r>
      <w:r w:rsidRPr="00DC0E0B">
        <w:rPr>
          <w:rFonts w:ascii="Arial" w:hAnsi="Arial" w:cs="Arial"/>
          <w:bCs/>
          <w:sz w:val="22"/>
          <w:szCs w:val="22"/>
          <w:lang w:val="fr-FR"/>
        </w:rPr>
        <w:t xml:space="preserve"> </w:t>
      </w:r>
      <w:r>
        <w:rPr>
          <w:rFonts w:ascii="Arial" w:hAnsi="Arial" w:cs="Arial"/>
          <w:bCs/>
          <w:sz w:val="22"/>
          <w:szCs w:val="22"/>
          <w:lang w:val="fr-FR"/>
        </w:rPr>
        <w:t>devait vouloir</w:t>
      </w:r>
      <w:r w:rsidRPr="00DC0E0B">
        <w:rPr>
          <w:rFonts w:ascii="Arial" w:hAnsi="Arial" w:cs="Arial"/>
          <w:bCs/>
          <w:sz w:val="22"/>
          <w:szCs w:val="22"/>
          <w:lang w:val="fr-FR"/>
        </w:rPr>
        <w:t xml:space="preserve"> dire </w:t>
      </w:r>
      <w:r>
        <w:rPr>
          <w:rFonts w:ascii="Arial" w:hAnsi="Arial" w:cs="Arial"/>
          <w:bCs/>
          <w:sz w:val="22"/>
          <w:szCs w:val="22"/>
          <w:lang w:val="fr-FR"/>
        </w:rPr>
        <w:t>« </w:t>
      </w:r>
      <w:r w:rsidRPr="00DC0E0B">
        <w:rPr>
          <w:rFonts w:ascii="Arial" w:hAnsi="Arial" w:cs="Arial"/>
          <w:bCs/>
          <w:sz w:val="22"/>
          <w:szCs w:val="22"/>
          <w:lang w:val="fr-FR"/>
        </w:rPr>
        <w:t>dès que possible</w:t>
      </w:r>
      <w:r>
        <w:rPr>
          <w:rFonts w:ascii="Arial" w:hAnsi="Arial" w:cs="Arial"/>
          <w:bCs/>
          <w:sz w:val="22"/>
          <w:szCs w:val="22"/>
          <w:lang w:val="fr-FR"/>
        </w:rPr>
        <w:t xml:space="preserve">, </w:t>
      </w:r>
      <w:r w:rsidRPr="00DC0E0B">
        <w:rPr>
          <w:rFonts w:ascii="Arial" w:hAnsi="Arial" w:cs="Arial"/>
          <w:bCs/>
          <w:sz w:val="22"/>
          <w:szCs w:val="22"/>
          <w:lang w:val="fr-FR"/>
        </w:rPr>
        <w:t xml:space="preserve">de préférence </w:t>
      </w:r>
      <w:r>
        <w:rPr>
          <w:rFonts w:ascii="Arial" w:hAnsi="Arial" w:cs="Arial"/>
          <w:bCs/>
          <w:sz w:val="22"/>
          <w:szCs w:val="22"/>
          <w:lang w:val="fr-FR"/>
        </w:rPr>
        <w:t xml:space="preserve">dans les </w:t>
      </w:r>
      <w:r w:rsidRPr="00DC0E0B">
        <w:rPr>
          <w:rFonts w:ascii="Arial" w:hAnsi="Arial" w:cs="Arial"/>
          <w:bCs/>
          <w:sz w:val="22"/>
          <w:szCs w:val="22"/>
          <w:lang w:val="fr-FR"/>
        </w:rPr>
        <w:t>quinze jours</w:t>
      </w:r>
      <w:r>
        <w:rPr>
          <w:rFonts w:ascii="Arial" w:hAnsi="Arial" w:cs="Arial"/>
          <w:bCs/>
          <w:sz w:val="22"/>
          <w:szCs w:val="22"/>
          <w:lang w:val="fr-FR"/>
        </w:rPr>
        <w:t>,</w:t>
      </w:r>
      <w:r w:rsidRPr="00DC0E0B">
        <w:rPr>
          <w:rFonts w:ascii="Arial" w:hAnsi="Arial" w:cs="Arial"/>
          <w:bCs/>
          <w:sz w:val="22"/>
          <w:szCs w:val="22"/>
          <w:lang w:val="fr-FR"/>
        </w:rPr>
        <w:t xml:space="preserve"> avant l</w:t>
      </w:r>
      <w:r w:rsidR="008E532B">
        <w:rPr>
          <w:rFonts w:ascii="Arial" w:hAnsi="Arial" w:cs="Arial"/>
          <w:bCs/>
          <w:sz w:val="22"/>
          <w:szCs w:val="22"/>
          <w:lang w:val="fr-FR"/>
        </w:rPr>
        <w:t>’</w:t>
      </w:r>
      <w:r w:rsidRPr="00DC0E0B">
        <w:rPr>
          <w:rFonts w:ascii="Arial" w:hAnsi="Arial" w:cs="Arial"/>
          <w:bCs/>
          <w:sz w:val="22"/>
          <w:szCs w:val="22"/>
          <w:lang w:val="fr-FR"/>
        </w:rPr>
        <w:t>ouverture d</w:t>
      </w:r>
      <w:r w:rsidR="008E532B">
        <w:rPr>
          <w:rFonts w:ascii="Arial" w:hAnsi="Arial" w:cs="Arial"/>
          <w:bCs/>
          <w:sz w:val="22"/>
          <w:szCs w:val="22"/>
          <w:lang w:val="fr-FR"/>
        </w:rPr>
        <w:t>’</w:t>
      </w:r>
      <w:r w:rsidRPr="00DC0E0B">
        <w:rPr>
          <w:rFonts w:ascii="Arial" w:hAnsi="Arial" w:cs="Arial"/>
          <w:bCs/>
          <w:sz w:val="22"/>
          <w:szCs w:val="22"/>
          <w:lang w:val="fr-FR"/>
        </w:rPr>
        <w:t>une session extraordinaire</w:t>
      </w:r>
      <w:r>
        <w:rPr>
          <w:rFonts w:ascii="Arial" w:hAnsi="Arial" w:cs="Arial"/>
          <w:bCs/>
          <w:sz w:val="22"/>
          <w:szCs w:val="22"/>
          <w:lang w:val="fr-FR"/>
        </w:rPr>
        <w:t> »</w:t>
      </w:r>
      <w:r w:rsidRPr="00DC0E0B">
        <w:rPr>
          <w:rFonts w:ascii="Arial" w:hAnsi="Arial" w:cs="Arial"/>
          <w:bCs/>
          <w:sz w:val="22"/>
          <w:szCs w:val="22"/>
          <w:lang w:val="fr-FR"/>
        </w:rPr>
        <w:t xml:space="preserve">, plutôt que </w:t>
      </w:r>
      <w:r>
        <w:rPr>
          <w:rFonts w:ascii="Arial" w:hAnsi="Arial" w:cs="Arial"/>
          <w:bCs/>
          <w:sz w:val="22"/>
          <w:szCs w:val="22"/>
          <w:lang w:val="fr-FR"/>
        </w:rPr>
        <w:t>« </w:t>
      </w:r>
      <w:r w:rsidRPr="00DC0E0B">
        <w:rPr>
          <w:rFonts w:ascii="Arial" w:hAnsi="Arial" w:cs="Arial"/>
          <w:bCs/>
          <w:sz w:val="22"/>
          <w:szCs w:val="22"/>
          <w:lang w:val="fr-FR"/>
        </w:rPr>
        <w:t>dans les quinze jours</w:t>
      </w:r>
      <w:r>
        <w:rPr>
          <w:rFonts w:ascii="Arial" w:hAnsi="Arial" w:cs="Arial"/>
          <w:bCs/>
          <w:sz w:val="22"/>
          <w:szCs w:val="22"/>
          <w:lang w:val="fr-FR"/>
        </w:rPr>
        <w:t xml:space="preserve"> dans le cas d</w:t>
      </w:r>
      <w:r w:rsidR="008E532B">
        <w:rPr>
          <w:rFonts w:ascii="Arial" w:hAnsi="Arial" w:cs="Arial"/>
          <w:bCs/>
          <w:sz w:val="22"/>
          <w:szCs w:val="22"/>
          <w:lang w:val="fr-FR"/>
        </w:rPr>
        <w:t>’</w:t>
      </w:r>
      <w:r>
        <w:rPr>
          <w:rFonts w:ascii="Arial" w:hAnsi="Arial" w:cs="Arial"/>
          <w:bCs/>
          <w:sz w:val="22"/>
          <w:szCs w:val="22"/>
          <w:lang w:val="fr-FR"/>
        </w:rPr>
        <w:t>une session extraordinaire »</w:t>
      </w:r>
      <w:r w:rsidRPr="00DC0E0B">
        <w:rPr>
          <w:rFonts w:ascii="Arial" w:hAnsi="Arial" w:cs="Arial"/>
          <w:bCs/>
          <w:sz w:val="22"/>
          <w:szCs w:val="22"/>
          <w:lang w:val="fr-FR"/>
        </w:rPr>
        <w:t>.</w:t>
      </w:r>
    </w:p>
    <w:p w14:paraId="6037F745" w14:textId="3DC325B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9E1932">
        <w:rPr>
          <w:rFonts w:ascii="Arial" w:hAnsi="Arial" w:cs="Arial"/>
          <w:b/>
          <w:sz w:val="22"/>
          <w:szCs w:val="22"/>
          <w:lang w:val="fr-FR"/>
        </w:rPr>
        <w:t>Présidente</w:t>
      </w:r>
      <w:r>
        <w:rPr>
          <w:rFonts w:ascii="Arial" w:hAnsi="Arial" w:cs="Arial"/>
          <w:bCs/>
          <w:sz w:val="22"/>
          <w:szCs w:val="22"/>
          <w:lang w:val="fr-FR"/>
        </w:rPr>
        <w:t xml:space="preserve"> a constaté un consensus sur l</w:t>
      </w:r>
      <w:r w:rsidR="008E532B">
        <w:rPr>
          <w:rFonts w:ascii="Arial" w:hAnsi="Arial" w:cs="Arial"/>
          <w:bCs/>
          <w:sz w:val="22"/>
          <w:szCs w:val="22"/>
          <w:lang w:val="fr-FR"/>
        </w:rPr>
        <w:t>’</w:t>
      </w:r>
      <w:r>
        <w:rPr>
          <w:rFonts w:ascii="Arial" w:hAnsi="Arial" w:cs="Arial"/>
          <w:bCs/>
          <w:sz w:val="22"/>
          <w:szCs w:val="22"/>
          <w:lang w:val="fr-FR"/>
        </w:rPr>
        <w:t>article 7.4 tel que reformulé, qui a été dûment adopté.</w:t>
      </w:r>
    </w:p>
    <w:p w14:paraId="5E15F81E" w14:textId="6C66C16A" w:rsidR="00D9653F" w:rsidRPr="00EF4C24"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F4C24">
        <w:rPr>
          <w:rFonts w:ascii="Arial" w:hAnsi="Arial" w:cs="Arial"/>
          <w:bCs/>
          <w:sz w:val="22"/>
          <w:szCs w:val="22"/>
          <w:lang w:val="fr-FR"/>
        </w:rPr>
        <w:t xml:space="preserve">La délégation de la </w:t>
      </w:r>
      <w:r w:rsidRPr="00EF4C24">
        <w:rPr>
          <w:rFonts w:ascii="Arial" w:hAnsi="Arial" w:cs="Arial"/>
          <w:b/>
          <w:sz w:val="22"/>
          <w:szCs w:val="22"/>
          <w:lang w:val="fr-FR"/>
        </w:rPr>
        <w:t>Palestine</w:t>
      </w:r>
      <w:r w:rsidRPr="00EF4C24">
        <w:rPr>
          <w:rFonts w:ascii="Arial" w:hAnsi="Arial" w:cs="Arial"/>
          <w:bCs/>
          <w:sz w:val="22"/>
          <w:szCs w:val="22"/>
          <w:lang w:val="fr-FR"/>
        </w:rPr>
        <w:t xml:space="preserve"> </w:t>
      </w:r>
      <w:r>
        <w:rPr>
          <w:rFonts w:ascii="Arial" w:hAnsi="Arial" w:cs="Arial"/>
          <w:bCs/>
          <w:sz w:val="22"/>
          <w:szCs w:val="22"/>
          <w:lang w:val="fr-FR"/>
        </w:rPr>
        <w:t>souhaitait faire</w:t>
      </w:r>
      <w:r w:rsidRPr="00EF4C24">
        <w:rPr>
          <w:rFonts w:ascii="Arial" w:hAnsi="Arial" w:cs="Arial"/>
          <w:bCs/>
          <w:sz w:val="22"/>
          <w:szCs w:val="22"/>
          <w:lang w:val="fr-FR"/>
        </w:rPr>
        <w:t xml:space="preserve"> une intervention </w:t>
      </w:r>
      <w:r>
        <w:rPr>
          <w:rFonts w:ascii="Arial" w:hAnsi="Arial" w:cs="Arial"/>
          <w:bCs/>
          <w:sz w:val="22"/>
          <w:szCs w:val="22"/>
          <w:lang w:val="fr-FR"/>
        </w:rPr>
        <w:t>sur</w:t>
      </w:r>
      <w:r w:rsidRPr="00EF4C24">
        <w:rPr>
          <w:rFonts w:ascii="Arial" w:hAnsi="Arial" w:cs="Arial"/>
          <w:bCs/>
          <w:sz w:val="22"/>
          <w:szCs w:val="22"/>
          <w:lang w:val="fr-FR"/>
        </w:rPr>
        <w:t xml:space="preserve"> l</w:t>
      </w:r>
      <w:r w:rsidR="008E532B">
        <w:rPr>
          <w:rFonts w:ascii="Arial" w:hAnsi="Arial" w:cs="Arial"/>
          <w:bCs/>
          <w:sz w:val="22"/>
          <w:szCs w:val="22"/>
          <w:lang w:val="fr-FR"/>
        </w:rPr>
        <w:t>’</w:t>
      </w:r>
      <w:r w:rsidRPr="00EF4C24">
        <w:rPr>
          <w:rFonts w:ascii="Arial" w:hAnsi="Arial" w:cs="Arial"/>
          <w:bCs/>
          <w:sz w:val="22"/>
          <w:szCs w:val="22"/>
          <w:lang w:val="fr-FR"/>
        </w:rPr>
        <w:t>article 11.2.</w:t>
      </w:r>
      <w:r>
        <w:rPr>
          <w:rFonts w:ascii="Arial" w:hAnsi="Arial" w:cs="Arial"/>
          <w:bCs/>
          <w:sz w:val="22"/>
          <w:szCs w:val="22"/>
          <w:lang w:val="fr-FR"/>
        </w:rPr>
        <w:t>, consacré à</w:t>
      </w:r>
      <w:r w:rsidRPr="00EF4C24">
        <w:rPr>
          <w:rFonts w:ascii="Arial" w:hAnsi="Arial" w:cs="Arial"/>
          <w:bCs/>
          <w:sz w:val="22"/>
          <w:szCs w:val="22"/>
          <w:lang w:val="fr-FR"/>
        </w:rPr>
        <w:t xml:space="preserve"> la durée du mandat du Bureau. Il a été noté que dans certaines autres conventions, le mandat du Bureau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étend sur</w:t>
      </w:r>
      <w:r w:rsidRPr="00EF4C24">
        <w:rPr>
          <w:rFonts w:ascii="Arial" w:hAnsi="Arial" w:cs="Arial"/>
          <w:bCs/>
          <w:sz w:val="22"/>
          <w:szCs w:val="22"/>
          <w:lang w:val="fr-FR"/>
        </w:rPr>
        <w:t xml:space="preserve"> une période de deux ans</w:t>
      </w:r>
      <w:r>
        <w:rPr>
          <w:rFonts w:ascii="Arial" w:hAnsi="Arial" w:cs="Arial"/>
          <w:bCs/>
          <w:sz w:val="22"/>
          <w:szCs w:val="22"/>
          <w:lang w:val="fr-FR"/>
        </w:rPr>
        <w:t>,</w:t>
      </w:r>
      <w:r w:rsidRPr="00EF4C24">
        <w:rPr>
          <w:rFonts w:ascii="Arial" w:hAnsi="Arial" w:cs="Arial"/>
          <w:bCs/>
          <w:sz w:val="22"/>
          <w:szCs w:val="22"/>
          <w:lang w:val="fr-FR"/>
        </w:rPr>
        <w:t xml:space="preserve"> pendant l</w:t>
      </w:r>
      <w:r w:rsidR="008E532B">
        <w:rPr>
          <w:rFonts w:ascii="Arial" w:hAnsi="Arial" w:cs="Arial"/>
          <w:bCs/>
          <w:sz w:val="22"/>
          <w:szCs w:val="22"/>
          <w:lang w:val="fr-FR"/>
        </w:rPr>
        <w:t>’</w:t>
      </w:r>
      <w:r w:rsidRPr="00EF4C24">
        <w:rPr>
          <w:rFonts w:ascii="Arial" w:hAnsi="Arial" w:cs="Arial"/>
          <w:bCs/>
          <w:sz w:val="22"/>
          <w:szCs w:val="22"/>
          <w:lang w:val="fr-FR"/>
        </w:rPr>
        <w:t>intersession. Dans le cas présent, le Bureau n</w:t>
      </w:r>
      <w:r w:rsidR="008E532B">
        <w:rPr>
          <w:rFonts w:ascii="Arial" w:hAnsi="Arial" w:cs="Arial"/>
          <w:bCs/>
          <w:sz w:val="22"/>
          <w:szCs w:val="22"/>
          <w:lang w:val="fr-FR"/>
        </w:rPr>
        <w:t>’</w:t>
      </w:r>
      <w:r w:rsidRPr="00EF4C24">
        <w:rPr>
          <w:rFonts w:ascii="Arial" w:hAnsi="Arial" w:cs="Arial"/>
          <w:bCs/>
          <w:sz w:val="22"/>
          <w:szCs w:val="22"/>
          <w:lang w:val="fr-FR"/>
        </w:rPr>
        <w:t>exist</w:t>
      </w:r>
      <w:r>
        <w:rPr>
          <w:rFonts w:ascii="Arial" w:hAnsi="Arial" w:cs="Arial"/>
          <w:bCs/>
          <w:sz w:val="22"/>
          <w:szCs w:val="22"/>
          <w:lang w:val="fr-FR"/>
        </w:rPr>
        <w:t>ait</w:t>
      </w:r>
      <w:r w:rsidRPr="00EF4C24">
        <w:rPr>
          <w:rFonts w:ascii="Arial" w:hAnsi="Arial" w:cs="Arial"/>
          <w:bCs/>
          <w:sz w:val="22"/>
          <w:szCs w:val="22"/>
          <w:lang w:val="fr-FR"/>
        </w:rPr>
        <w:t xml:space="preserve"> que pour la durée de la session. La délégation ne souhait</w:t>
      </w:r>
      <w:r>
        <w:rPr>
          <w:rFonts w:ascii="Arial" w:hAnsi="Arial" w:cs="Arial"/>
          <w:bCs/>
          <w:sz w:val="22"/>
          <w:szCs w:val="22"/>
          <w:lang w:val="fr-FR"/>
        </w:rPr>
        <w:t>ait</w:t>
      </w:r>
      <w:r w:rsidRPr="00EF4C24">
        <w:rPr>
          <w:rFonts w:ascii="Arial" w:hAnsi="Arial" w:cs="Arial"/>
          <w:bCs/>
          <w:sz w:val="22"/>
          <w:szCs w:val="22"/>
          <w:lang w:val="fr-FR"/>
        </w:rPr>
        <w:t xml:space="preserve"> pas ouvrir la discussion, car il y a</w:t>
      </w:r>
      <w:r>
        <w:rPr>
          <w:rFonts w:ascii="Arial" w:hAnsi="Arial" w:cs="Arial"/>
          <w:bCs/>
          <w:sz w:val="22"/>
          <w:szCs w:val="22"/>
          <w:lang w:val="fr-FR"/>
        </w:rPr>
        <w:t>vait</w:t>
      </w:r>
      <w:r w:rsidRPr="00EF4C24">
        <w:rPr>
          <w:rFonts w:ascii="Arial" w:hAnsi="Arial" w:cs="Arial"/>
          <w:bCs/>
          <w:sz w:val="22"/>
          <w:szCs w:val="22"/>
          <w:lang w:val="fr-FR"/>
        </w:rPr>
        <w:t xml:space="preserve"> un consensus sur le texte actuel, mais elle souhait</w:t>
      </w:r>
      <w:r>
        <w:rPr>
          <w:rFonts w:ascii="Arial" w:hAnsi="Arial" w:cs="Arial"/>
          <w:bCs/>
          <w:sz w:val="22"/>
          <w:szCs w:val="22"/>
          <w:lang w:val="fr-FR"/>
        </w:rPr>
        <w:t>ait</w:t>
      </w:r>
      <w:r w:rsidRPr="00EF4C24">
        <w:rPr>
          <w:rFonts w:ascii="Arial" w:hAnsi="Arial" w:cs="Arial"/>
          <w:bCs/>
          <w:sz w:val="22"/>
          <w:szCs w:val="22"/>
          <w:lang w:val="fr-FR"/>
        </w:rPr>
        <w:t xml:space="preserve"> inclure cette observation dans le rapport oral. La suggestion était d</w:t>
      </w:r>
      <w:r w:rsidR="008E532B">
        <w:rPr>
          <w:rFonts w:ascii="Arial" w:hAnsi="Arial" w:cs="Arial"/>
          <w:bCs/>
          <w:sz w:val="22"/>
          <w:szCs w:val="22"/>
          <w:lang w:val="fr-FR"/>
        </w:rPr>
        <w:t>’</w:t>
      </w:r>
      <w:r w:rsidRPr="00EF4C24">
        <w:rPr>
          <w:rFonts w:ascii="Arial" w:hAnsi="Arial" w:cs="Arial"/>
          <w:bCs/>
          <w:sz w:val="22"/>
          <w:szCs w:val="22"/>
          <w:lang w:val="fr-FR"/>
        </w:rPr>
        <w:t>harmoniser ce point avec les autres conventions. Il s</w:t>
      </w:r>
      <w:r w:rsidR="008E532B">
        <w:rPr>
          <w:rFonts w:ascii="Arial" w:hAnsi="Arial" w:cs="Arial"/>
          <w:bCs/>
          <w:sz w:val="22"/>
          <w:szCs w:val="22"/>
          <w:lang w:val="fr-FR"/>
        </w:rPr>
        <w:t>’</w:t>
      </w:r>
      <w:r w:rsidRPr="00EF4C24">
        <w:rPr>
          <w:rFonts w:ascii="Arial" w:hAnsi="Arial" w:cs="Arial"/>
          <w:bCs/>
          <w:sz w:val="22"/>
          <w:szCs w:val="22"/>
          <w:lang w:val="fr-FR"/>
        </w:rPr>
        <w:t>agissait également d</w:t>
      </w:r>
      <w:r w:rsidR="008E532B">
        <w:rPr>
          <w:rFonts w:ascii="Arial" w:hAnsi="Arial" w:cs="Arial"/>
          <w:bCs/>
          <w:sz w:val="22"/>
          <w:szCs w:val="22"/>
          <w:lang w:val="fr-FR"/>
        </w:rPr>
        <w:t>’</w:t>
      </w:r>
      <w:r w:rsidRPr="00EF4C24">
        <w:rPr>
          <w:rFonts w:ascii="Arial" w:hAnsi="Arial" w:cs="Arial"/>
          <w:bCs/>
          <w:sz w:val="22"/>
          <w:szCs w:val="22"/>
          <w:lang w:val="fr-FR"/>
        </w:rPr>
        <w:t>une question pratique dans la mesure où, si une situation se présentait [entre les sessions], le Bureau pourrait traiter la question en question au cours de son mandat de deux ans.</w:t>
      </w:r>
      <w:r>
        <w:rPr>
          <w:rFonts w:ascii="Arial" w:hAnsi="Arial" w:cs="Arial"/>
          <w:bCs/>
          <w:sz w:val="22"/>
          <w:szCs w:val="22"/>
          <w:lang w:val="fr-FR"/>
        </w:rPr>
        <w:t xml:space="preserve"> Selon</w:t>
      </w:r>
      <w:r w:rsidRPr="00EF4C24">
        <w:rPr>
          <w:rFonts w:ascii="Arial" w:hAnsi="Arial" w:cs="Arial"/>
          <w:bCs/>
          <w:sz w:val="22"/>
          <w:szCs w:val="22"/>
          <w:lang w:val="fr-FR"/>
        </w:rPr>
        <w:t xml:space="preserve"> la règle actuelle, le Bureau n</w:t>
      </w:r>
      <w:r w:rsidR="008E532B">
        <w:rPr>
          <w:rFonts w:ascii="Arial" w:hAnsi="Arial" w:cs="Arial"/>
          <w:bCs/>
          <w:sz w:val="22"/>
          <w:szCs w:val="22"/>
          <w:lang w:val="fr-FR"/>
        </w:rPr>
        <w:t>’</w:t>
      </w:r>
      <w:r w:rsidRPr="00EF4C24">
        <w:rPr>
          <w:rFonts w:ascii="Arial" w:hAnsi="Arial" w:cs="Arial"/>
          <w:bCs/>
          <w:sz w:val="22"/>
          <w:szCs w:val="22"/>
          <w:lang w:val="fr-FR"/>
        </w:rPr>
        <w:t>exist</w:t>
      </w:r>
      <w:r>
        <w:rPr>
          <w:rFonts w:ascii="Arial" w:hAnsi="Arial" w:cs="Arial"/>
          <w:bCs/>
          <w:sz w:val="22"/>
          <w:szCs w:val="22"/>
          <w:lang w:val="fr-FR"/>
        </w:rPr>
        <w:t>ait</w:t>
      </w:r>
      <w:r w:rsidRPr="00EF4C24">
        <w:rPr>
          <w:rFonts w:ascii="Arial" w:hAnsi="Arial" w:cs="Arial"/>
          <w:bCs/>
          <w:sz w:val="22"/>
          <w:szCs w:val="22"/>
          <w:lang w:val="fr-FR"/>
        </w:rPr>
        <w:t xml:space="preserve"> pas entre les sessions. L</w:t>
      </w:r>
      <w:r w:rsidR="008E532B">
        <w:rPr>
          <w:rFonts w:ascii="Arial" w:hAnsi="Arial" w:cs="Arial"/>
          <w:bCs/>
          <w:sz w:val="22"/>
          <w:szCs w:val="22"/>
          <w:lang w:val="fr-FR"/>
        </w:rPr>
        <w:t>’</w:t>
      </w:r>
      <w:r w:rsidRPr="00EF4C24">
        <w:rPr>
          <w:rFonts w:ascii="Arial" w:hAnsi="Arial" w:cs="Arial"/>
          <w:bCs/>
          <w:sz w:val="22"/>
          <w:szCs w:val="22"/>
          <w:lang w:val="fr-FR"/>
        </w:rPr>
        <w:t xml:space="preserve">Assemblée devrait considérer ce point dans les futurs amendements </w:t>
      </w:r>
      <w:r>
        <w:rPr>
          <w:rFonts w:ascii="Arial" w:hAnsi="Arial" w:cs="Arial"/>
          <w:bCs/>
          <w:sz w:val="22"/>
          <w:szCs w:val="22"/>
          <w:lang w:val="fr-FR"/>
        </w:rPr>
        <w:t>au</w:t>
      </w:r>
      <w:r w:rsidRPr="00EF4C24">
        <w:rPr>
          <w:rFonts w:ascii="Arial" w:hAnsi="Arial" w:cs="Arial"/>
          <w:bCs/>
          <w:sz w:val="22"/>
          <w:szCs w:val="22"/>
          <w:lang w:val="fr-FR"/>
        </w:rPr>
        <w:t xml:space="preserve"> Règlement</w:t>
      </w:r>
      <w:r>
        <w:rPr>
          <w:rFonts w:ascii="Arial" w:hAnsi="Arial" w:cs="Arial"/>
          <w:bCs/>
          <w:sz w:val="22"/>
          <w:szCs w:val="22"/>
          <w:lang w:val="fr-FR"/>
        </w:rPr>
        <w:t xml:space="preserve"> intérieur</w:t>
      </w:r>
      <w:r w:rsidRPr="00EF4C24">
        <w:rPr>
          <w:rFonts w:ascii="Arial" w:hAnsi="Arial" w:cs="Arial"/>
          <w:bCs/>
          <w:sz w:val="22"/>
          <w:szCs w:val="22"/>
          <w:lang w:val="fr-FR"/>
        </w:rPr>
        <w:t>.</w:t>
      </w:r>
    </w:p>
    <w:p w14:paraId="0BDC7FE0" w14:textId="47341DCB"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1963C4">
        <w:rPr>
          <w:rFonts w:ascii="Arial" w:hAnsi="Arial" w:cs="Arial"/>
          <w:bCs/>
          <w:sz w:val="22"/>
          <w:szCs w:val="22"/>
          <w:lang w:val="fr-FR"/>
        </w:rPr>
        <w:t xml:space="preserve">La </w:t>
      </w:r>
      <w:r w:rsidRPr="001963C4">
        <w:rPr>
          <w:rFonts w:ascii="Arial" w:hAnsi="Arial" w:cs="Arial"/>
          <w:b/>
          <w:sz w:val="22"/>
          <w:szCs w:val="22"/>
          <w:lang w:val="fr-FR"/>
        </w:rPr>
        <w:t>Présidente</w:t>
      </w:r>
      <w:r w:rsidRPr="001963C4">
        <w:rPr>
          <w:rFonts w:ascii="Arial" w:hAnsi="Arial" w:cs="Arial"/>
          <w:bCs/>
          <w:sz w:val="22"/>
          <w:szCs w:val="22"/>
          <w:lang w:val="fr-FR"/>
        </w:rPr>
        <w:t xml:space="preserve"> </w:t>
      </w:r>
      <w:r>
        <w:rPr>
          <w:rFonts w:ascii="Arial" w:hAnsi="Arial" w:cs="Arial"/>
          <w:bCs/>
          <w:sz w:val="22"/>
          <w:szCs w:val="22"/>
          <w:lang w:val="fr-FR"/>
        </w:rPr>
        <w:t>a pris</w:t>
      </w:r>
      <w:r w:rsidRPr="001963C4">
        <w:rPr>
          <w:rFonts w:ascii="Arial" w:hAnsi="Arial" w:cs="Arial"/>
          <w:bCs/>
          <w:sz w:val="22"/>
          <w:szCs w:val="22"/>
          <w:lang w:val="fr-FR"/>
        </w:rPr>
        <w:t xml:space="preserve"> note de l</w:t>
      </w:r>
      <w:r w:rsidR="008E532B">
        <w:rPr>
          <w:rFonts w:ascii="Arial" w:hAnsi="Arial" w:cs="Arial"/>
          <w:bCs/>
          <w:sz w:val="22"/>
          <w:szCs w:val="22"/>
          <w:lang w:val="fr-FR"/>
        </w:rPr>
        <w:t>’</w:t>
      </w:r>
      <w:r w:rsidRPr="001963C4">
        <w:rPr>
          <w:rFonts w:ascii="Arial" w:hAnsi="Arial" w:cs="Arial"/>
          <w:bCs/>
          <w:sz w:val="22"/>
          <w:szCs w:val="22"/>
          <w:lang w:val="fr-FR"/>
        </w:rPr>
        <w:t xml:space="preserve">intervention de la Palestine. Ayant déjà adopté les quatre paragraphes précédents, elle </w:t>
      </w:r>
      <w:r>
        <w:rPr>
          <w:rFonts w:ascii="Arial" w:hAnsi="Arial" w:cs="Arial"/>
          <w:bCs/>
          <w:sz w:val="22"/>
          <w:szCs w:val="22"/>
          <w:lang w:val="fr-FR"/>
        </w:rPr>
        <w:t xml:space="preserve">est </w:t>
      </w:r>
      <w:r w:rsidRPr="001963C4">
        <w:rPr>
          <w:rFonts w:ascii="Arial" w:hAnsi="Arial" w:cs="Arial"/>
          <w:bCs/>
          <w:sz w:val="22"/>
          <w:szCs w:val="22"/>
          <w:lang w:val="fr-FR"/>
        </w:rPr>
        <w:t>pass</w:t>
      </w:r>
      <w:r>
        <w:rPr>
          <w:rFonts w:ascii="Arial" w:hAnsi="Arial" w:cs="Arial"/>
          <w:bCs/>
          <w:sz w:val="22"/>
          <w:szCs w:val="22"/>
          <w:lang w:val="fr-FR"/>
        </w:rPr>
        <w:t>é</w:t>
      </w:r>
      <w:r w:rsidRPr="001963C4">
        <w:rPr>
          <w:rFonts w:ascii="Arial" w:hAnsi="Arial" w:cs="Arial"/>
          <w:bCs/>
          <w:sz w:val="22"/>
          <w:szCs w:val="22"/>
          <w:lang w:val="fr-FR"/>
        </w:rPr>
        <w:t>e à l</w:t>
      </w:r>
      <w:r w:rsidR="008E532B">
        <w:rPr>
          <w:rFonts w:ascii="Arial" w:hAnsi="Arial" w:cs="Arial"/>
          <w:bCs/>
          <w:sz w:val="22"/>
          <w:szCs w:val="22"/>
          <w:lang w:val="fr-FR"/>
        </w:rPr>
        <w:t>’</w:t>
      </w:r>
      <w:r w:rsidRPr="001963C4">
        <w:rPr>
          <w:rFonts w:ascii="Arial" w:hAnsi="Arial" w:cs="Arial"/>
          <w:bCs/>
          <w:sz w:val="22"/>
          <w:szCs w:val="22"/>
          <w:lang w:val="fr-FR"/>
        </w:rPr>
        <w:t>adoption du paragraphe 5 du projet de décision, qui se</w:t>
      </w:r>
      <w:r>
        <w:rPr>
          <w:rFonts w:ascii="Arial" w:hAnsi="Arial" w:cs="Arial"/>
          <w:bCs/>
          <w:sz w:val="22"/>
          <w:szCs w:val="22"/>
          <w:lang w:val="fr-FR"/>
        </w:rPr>
        <w:t xml:space="preserve">rait ainsi rédigé </w:t>
      </w:r>
      <w:r w:rsidRPr="001963C4">
        <w:rPr>
          <w:rFonts w:ascii="Arial" w:hAnsi="Arial" w:cs="Arial"/>
          <w:bCs/>
          <w:sz w:val="22"/>
          <w:szCs w:val="22"/>
          <w:lang w:val="fr-FR"/>
        </w:rPr>
        <w:t xml:space="preserve">: </w:t>
      </w:r>
      <w:r>
        <w:rPr>
          <w:rFonts w:ascii="Arial" w:hAnsi="Arial" w:cs="Arial"/>
          <w:bCs/>
          <w:sz w:val="22"/>
          <w:szCs w:val="22"/>
          <w:lang w:val="fr-FR"/>
        </w:rPr>
        <w:t>« </w:t>
      </w:r>
      <w:r w:rsidRPr="001963C4">
        <w:rPr>
          <w:rFonts w:ascii="Arial" w:hAnsi="Arial" w:cs="Arial"/>
          <w:bCs/>
          <w:sz w:val="22"/>
          <w:szCs w:val="22"/>
          <w:lang w:val="fr-FR"/>
        </w:rPr>
        <w:t>Approuve les révisions du Règlement intérieur de l</w:t>
      </w:r>
      <w:r w:rsidR="008E532B">
        <w:rPr>
          <w:rFonts w:ascii="Arial" w:hAnsi="Arial" w:cs="Arial"/>
          <w:bCs/>
          <w:sz w:val="22"/>
          <w:szCs w:val="22"/>
          <w:lang w:val="fr-FR"/>
        </w:rPr>
        <w:t>’</w:t>
      </w:r>
      <w:r w:rsidRPr="001963C4">
        <w:rPr>
          <w:rFonts w:ascii="Arial" w:hAnsi="Arial" w:cs="Arial"/>
          <w:bCs/>
          <w:sz w:val="22"/>
          <w:szCs w:val="22"/>
          <w:lang w:val="fr-FR"/>
        </w:rPr>
        <w:t>Assemblée générale telles que décrites à l</w:t>
      </w:r>
      <w:r w:rsidR="008E532B">
        <w:rPr>
          <w:rFonts w:ascii="Arial" w:hAnsi="Arial" w:cs="Arial"/>
          <w:bCs/>
          <w:sz w:val="22"/>
          <w:szCs w:val="22"/>
          <w:lang w:val="fr-FR"/>
        </w:rPr>
        <w:t>’</w:t>
      </w:r>
      <w:r>
        <w:rPr>
          <w:rFonts w:ascii="Arial" w:hAnsi="Arial" w:cs="Arial"/>
          <w:bCs/>
          <w:sz w:val="22"/>
          <w:szCs w:val="22"/>
          <w:lang w:val="fr-FR"/>
        </w:rPr>
        <w:t>A</w:t>
      </w:r>
      <w:r w:rsidRPr="001963C4">
        <w:rPr>
          <w:rFonts w:ascii="Arial" w:hAnsi="Arial" w:cs="Arial"/>
          <w:bCs/>
          <w:sz w:val="22"/>
          <w:szCs w:val="22"/>
          <w:lang w:val="fr-FR"/>
        </w:rPr>
        <w:t xml:space="preserve">nnexe I de la présente résolution, qui tiennent compte du Règlement intérieur </w:t>
      </w:r>
      <w:r>
        <w:rPr>
          <w:rFonts w:ascii="Arial" w:hAnsi="Arial" w:cs="Arial"/>
          <w:bCs/>
          <w:sz w:val="22"/>
          <w:szCs w:val="22"/>
          <w:lang w:val="fr-FR"/>
        </w:rPr>
        <w:t>modèle</w:t>
      </w:r>
      <w:r w:rsidRPr="001963C4">
        <w:rPr>
          <w:rFonts w:ascii="Arial" w:hAnsi="Arial" w:cs="Arial"/>
          <w:bCs/>
          <w:sz w:val="22"/>
          <w:szCs w:val="22"/>
          <w:lang w:val="fr-FR"/>
        </w:rPr>
        <w:t xml:space="preserve"> des assemblées des </w:t>
      </w:r>
      <w:r>
        <w:rPr>
          <w:rFonts w:ascii="Arial" w:hAnsi="Arial" w:cs="Arial"/>
          <w:bCs/>
          <w:sz w:val="22"/>
          <w:szCs w:val="22"/>
          <w:lang w:val="fr-FR"/>
        </w:rPr>
        <w:t>P</w:t>
      </w:r>
      <w:r w:rsidRPr="001963C4">
        <w:rPr>
          <w:rFonts w:ascii="Arial" w:hAnsi="Arial" w:cs="Arial"/>
          <w:bCs/>
          <w:sz w:val="22"/>
          <w:szCs w:val="22"/>
          <w:lang w:val="fr-FR"/>
        </w:rPr>
        <w:t>arties aux conventions de l</w:t>
      </w:r>
      <w:r w:rsidR="008E532B">
        <w:rPr>
          <w:rFonts w:ascii="Arial" w:hAnsi="Arial" w:cs="Arial"/>
          <w:bCs/>
          <w:sz w:val="22"/>
          <w:szCs w:val="22"/>
          <w:lang w:val="fr-FR"/>
        </w:rPr>
        <w:t>’</w:t>
      </w:r>
      <w:r w:rsidRPr="001963C4">
        <w:rPr>
          <w:rFonts w:ascii="Arial" w:hAnsi="Arial" w:cs="Arial"/>
          <w:bCs/>
          <w:sz w:val="22"/>
          <w:szCs w:val="22"/>
          <w:lang w:val="fr-FR"/>
        </w:rPr>
        <w:t xml:space="preserve">UNESCO </w:t>
      </w:r>
      <w:r>
        <w:rPr>
          <w:rFonts w:ascii="Arial" w:hAnsi="Arial" w:cs="Arial"/>
          <w:bCs/>
          <w:sz w:val="22"/>
          <w:szCs w:val="22"/>
          <w:lang w:val="fr-FR"/>
        </w:rPr>
        <w:t>en matière de</w:t>
      </w:r>
      <w:r w:rsidRPr="001963C4">
        <w:rPr>
          <w:rFonts w:ascii="Arial" w:hAnsi="Arial" w:cs="Arial"/>
          <w:bCs/>
          <w:sz w:val="22"/>
          <w:szCs w:val="22"/>
          <w:lang w:val="fr-FR"/>
        </w:rPr>
        <w:t xml:space="preserve"> culture</w:t>
      </w:r>
      <w:r>
        <w:rPr>
          <w:rFonts w:ascii="Arial" w:hAnsi="Arial" w:cs="Arial"/>
          <w:bCs/>
          <w:sz w:val="22"/>
          <w:szCs w:val="22"/>
          <w:lang w:val="fr-FR"/>
        </w:rPr>
        <w:t>. »</w:t>
      </w:r>
      <w:r w:rsidRPr="001963C4">
        <w:rPr>
          <w:rFonts w:ascii="Arial" w:hAnsi="Arial" w:cs="Arial"/>
          <w:bCs/>
          <w:sz w:val="22"/>
          <w:szCs w:val="22"/>
          <w:lang w:val="fr-FR"/>
        </w:rPr>
        <w:t>. En l</w:t>
      </w:r>
      <w:r w:rsidR="008E532B">
        <w:rPr>
          <w:rFonts w:ascii="Arial" w:hAnsi="Arial" w:cs="Arial"/>
          <w:bCs/>
          <w:sz w:val="22"/>
          <w:szCs w:val="22"/>
          <w:lang w:val="fr-FR"/>
        </w:rPr>
        <w:t>’</w:t>
      </w:r>
      <w:r w:rsidRPr="001963C4">
        <w:rPr>
          <w:rFonts w:ascii="Arial" w:hAnsi="Arial" w:cs="Arial"/>
          <w:bCs/>
          <w:sz w:val="22"/>
          <w:szCs w:val="22"/>
          <w:lang w:val="fr-FR"/>
        </w:rPr>
        <w:t>absence</w:t>
      </w:r>
      <w:r>
        <w:rPr>
          <w:rFonts w:ascii="Arial" w:hAnsi="Arial" w:cs="Arial"/>
          <w:bCs/>
          <w:sz w:val="22"/>
          <w:szCs w:val="22"/>
          <w:lang w:val="fr-FR"/>
        </w:rPr>
        <w:t xml:space="preserve"> de </w:t>
      </w:r>
      <w:r w:rsidRPr="001963C4">
        <w:rPr>
          <w:rFonts w:ascii="Arial" w:hAnsi="Arial" w:cs="Arial"/>
          <w:bCs/>
          <w:sz w:val="22"/>
          <w:szCs w:val="22"/>
          <w:lang w:val="fr-FR"/>
        </w:rPr>
        <w:t xml:space="preserve">commentaires </w:t>
      </w:r>
      <w:r>
        <w:rPr>
          <w:rFonts w:ascii="Arial" w:hAnsi="Arial" w:cs="Arial"/>
          <w:bCs/>
          <w:sz w:val="22"/>
          <w:szCs w:val="22"/>
          <w:lang w:val="fr-FR"/>
        </w:rPr>
        <w:t>ou</w:t>
      </w:r>
      <w:r w:rsidRPr="001963C4">
        <w:rPr>
          <w:rFonts w:ascii="Arial" w:hAnsi="Arial" w:cs="Arial"/>
          <w:bCs/>
          <w:sz w:val="22"/>
          <w:szCs w:val="22"/>
          <w:lang w:val="fr-FR"/>
        </w:rPr>
        <w:t xml:space="preserve"> </w:t>
      </w:r>
      <w:r>
        <w:rPr>
          <w:rFonts w:ascii="Arial" w:hAnsi="Arial" w:cs="Arial"/>
          <w:bCs/>
          <w:sz w:val="22"/>
          <w:szCs w:val="22"/>
          <w:lang w:val="fr-FR"/>
        </w:rPr>
        <w:t>d</w:t>
      </w:r>
      <w:r w:rsidR="008E532B">
        <w:rPr>
          <w:rFonts w:ascii="Arial" w:hAnsi="Arial" w:cs="Arial"/>
          <w:bCs/>
          <w:sz w:val="22"/>
          <w:szCs w:val="22"/>
          <w:lang w:val="fr-FR"/>
        </w:rPr>
        <w:t>’</w:t>
      </w:r>
      <w:r w:rsidRPr="001963C4">
        <w:rPr>
          <w:rFonts w:ascii="Arial" w:hAnsi="Arial" w:cs="Arial"/>
          <w:bCs/>
          <w:sz w:val="22"/>
          <w:szCs w:val="22"/>
          <w:lang w:val="fr-FR"/>
        </w:rPr>
        <w:t xml:space="preserve">objections, le paragraphe 5 </w:t>
      </w:r>
      <w:r>
        <w:rPr>
          <w:rFonts w:ascii="Arial" w:hAnsi="Arial" w:cs="Arial"/>
          <w:bCs/>
          <w:sz w:val="22"/>
          <w:szCs w:val="22"/>
          <w:lang w:val="fr-FR"/>
        </w:rPr>
        <w:t xml:space="preserve">a été </w:t>
      </w:r>
      <w:r w:rsidRPr="001963C4">
        <w:rPr>
          <w:rFonts w:ascii="Arial" w:hAnsi="Arial" w:cs="Arial"/>
          <w:bCs/>
          <w:sz w:val="22"/>
          <w:szCs w:val="22"/>
          <w:lang w:val="fr-FR"/>
        </w:rPr>
        <w:t>adopté. Passant à l</w:t>
      </w:r>
      <w:r w:rsidR="008E532B">
        <w:rPr>
          <w:rFonts w:ascii="Arial" w:hAnsi="Arial" w:cs="Arial"/>
          <w:bCs/>
          <w:sz w:val="22"/>
          <w:szCs w:val="22"/>
          <w:lang w:val="fr-FR"/>
        </w:rPr>
        <w:t>’</w:t>
      </w:r>
      <w:r w:rsidRPr="001963C4">
        <w:rPr>
          <w:rFonts w:ascii="Arial" w:hAnsi="Arial" w:cs="Arial"/>
          <w:bCs/>
          <w:sz w:val="22"/>
          <w:szCs w:val="22"/>
          <w:lang w:val="fr-FR"/>
        </w:rPr>
        <w:t xml:space="preserve">adoption du projet de résolution dans son ensemble, la </w:t>
      </w:r>
      <w:r w:rsidRPr="001963C4">
        <w:rPr>
          <w:rFonts w:ascii="Arial" w:hAnsi="Arial" w:cs="Arial"/>
          <w:b/>
          <w:sz w:val="22"/>
          <w:szCs w:val="22"/>
          <w:lang w:val="fr-FR"/>
        </w:rPr>
        <w:t>Présidente a déclaré la résolution 9.GA</w:t>
      </w:r>
      <w:r>
        <w:rPr>
          <w:rFonts w:ascii="Arial" w:hAnsi="Arial" w:cs="Arial"/>
          <w:b/>
          <w:sz w:val="22"/>
          <w:szCs w:val="22"/>
          <w:lang w:val="fr-FR"/>
        </w:rPr>
        <w:t> </w:t>
      </w:r>
      <w:r w:rsidRPr="001963C4">
        <w:rPr>
          <w:rFonts w:ascii="Arial" w:hAnsi="Arial" w:cs="Arial"/>
          <w:b/>
          <w:sz w:val="22"/>
          <w:szCs w:val="22"/>
          <w:lang w:val="fr-FR"/>
        </w:rPr>
        <w:t>12 adoptée</w:t>
      </w:r>
      <w:r w:rsidRPr="001963C4">
        <w:rPr>
          <w:rFonts w:ascii="Arial" w:hAnsi="Arial" w:cs="Arial"/>
          <w:bCs/>
          <w:sz w:val="22"/>
          <w:szCs w:val="22"/>
          <w:lang w:val="fr-FR"/>
        </w:rPr>
        <w:t>.</w:t>
      </w:r>
    </w:p>
    <w:p w14:paraId="36B7282F" w14:textId="3567E0A5" w:rsidR="00D9653F" w:rsidRPr="009F6BC9" w:rsidRDefault="00D9653F" w:rsidP="009F6BC9">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val="fr-FR" w:eastAsia="en-GB"/>
        </w:rPr>
      </w:pPr>
      <w:r w:rsidRPr="009F6BC9">
        <w:rPr>
          <w:rFonts w:eastAsiaTheme="minorEastAsia" w:cs="Arial"/>
          <w:b/>
          <w:color w:val="000000" w:themeColor="text1"/>
          <w:szCs w:val="22"/>
          <w:u w:val="single"/>
          <w:lang w:val="fr-FR" w:eastAsia="en-GB"/>
        </w:rPr>
        <w:t>POINT 7 DE L</w:t>
      </w:r>
      <w:r w:rsidR="008E532B">
        <w:rPr>
          <w:rFonts w:eastAsiaTheme="minorEastAsia" w:cs="Arial"/>
          <w:b/>
          <w:color w:val="000000" w:themeColor="text1"/>
          <w:szCs w:val="22"/>
          <w:u w:val="single"/>
          <w:lang w:val="fr-FR" w:eastAsia="en-GB"/>
        </w:rPr>
        <w:t>’</w:t>
      </w:r>
      <w:r w:rsidRPr="009F6BC9">
        <w:rPr>
          <w:rFonts w:eastAsiaTheme="minorEastAsia" w:cs="Arial"/>
          <w:b/>
          <w:color w:val="000000" w:themeColor="text1"/>
          <w:szCs w:val="22"/>
          <w:u w:val="single"/>
          <w:lang w:val="fr-FR" w:eastAsia="en-GB"/>
        </w:rPr>
        <w:t xml:space="preserve">ORDRE DU JOUR [SUITE] : </w:t>
      </w:r>
    </w:p>
    <w:p w14:paraId="69B25489" w14:textId="6D21E2FE" w:rsidR="00D9653F" w:rsidRPr="001963C4" w:rsidRDefault="00D9653F" w:rsidP="009F6BC9">
      <w:pPr>
        <w:pStyle w:val="Marge"/>
        <w:keepNext/>
        <w:tabs>
          <w:tab w:val="clear" w:pos="567"/>
          <w:tab w:val="left" w:pos="709"/>
          <w:tab w:val="left" w:pos="1418"/>
          <w:tab w:val="left" w:pos="2126"/>
          <w:tab w:val="left" w:pos="2835"/>
        </w:tabs>
        <w:spacing w:after="120"/>
        <w:jc w:val="left"/>
        <w:outlineLvl w:val="0"/>
        <w:rPr>
          <w:lang w:val="fr-FR"/>
        </w:rPr>
      </w:pPr>
      <w:r w:rsidRPr="009F6BC9">
        <w:rPr>
          <w:rFonts w:eastAsiaTheme="minorHAnsi"/>
          <w:b/>
          <w:color w:val="000000" w:themeColor="text1"/>
          <w:lang w:val="fr-FR"/>
        </w:rPr>
        <w:t>ACCRÉDITATION DES ORGANISATIONS NON GOUVERNEMENTALES À DES FINS D</w:t>
      </w:r>
      <w:r w:rsidR="008E532B">
        <w:rPr>
          <w:rFonts w:eastAsiaTheme="minorHAnsi"/>
          <w:b/>
          <w:color w:val="000000" w:themeColor="text1"/>
          <w:lang w:val="fr-FR"/>
        </w:rPr>
        <w:t>’</w:t>
      </w:r>
      <w:r w:rsidRPr="009F6BC9">
        <w:rPr>
          <w:rFonts w:eastAsiaTheme="minorHAnsi"/>
          <w:b/>
          <w:color w:val="000000" w:themeColor="text1"/>
          <w:lang w:val="fr-FR"/>
        </w:rPr>
        <w:t>ASSISTANCE CONSULTATIVE AUPRÈS DU COMITÉ</w:t>
      </w:r>
    </w:p>
    <w:p w14:paraId="7961EB13" w14:textId="68C7B082" w:rsidR="00D9653F" w:rsidRDefault="00D9653F" w:rsidP="00D9653F">
      <w:pPr>
        <w:numPr>
          <w:ilvl w:val="0"/>
          <w:numId w:val="19"/>
        </w:numPr>
        <w:suppressAutoHyphens/>
        <w:autoSpaceDE w:val="0"/>
        <w:ind w:left="567" w:hanging="567"/>
        <w:jc w:val="both"/>
        <w:rPr>
          <w:rFonts w:ascii="Arial" w:hAnsi="Arial" w:cs="Arial"/>
          <w:bCs/>
          <w:sz w:val="22"/>
          <w:szCs w:val="22"/>
          <w:lang w:val="fr-FR"/>
        </w:rPr>
      </w:pPr>
      <w:r w:rsidRPr="002B1854">
        <w:rPr>
          <w:rFonts w:ascii="Arial" w:hAnsi="Arial" w:cs="Arial"/>
          <w:bCs/>
          <w:sz w:val="22"/>
          <w:szCs w:val="22"/>
          <w:lang w:val="fr-FR"/>
        </w:rPr>
        <w:t xml:space="preserve">La </w:t>
      </w:r>
      <w:r w:rsidRPr="002B1854">
        <w:rPr>
          <w:rFonts w:ascii="Arial" w:hAnsi="Arial" w:cs="Arial"/>
          <w:b/>
          <w:sz w:val="22"/>
          <w:szCs w:val="22"/>
          <w:lang w:val="fr-FR"/>
        </w:rPr>
        <w:t>Présidente</w:t>
      </w:r>
      <w:r w:rsidRPr="002B1854">
        <w:rPr>
          <w:rFonts w:ascii="Arial" w:hAnsi="Arial" w:cs="Arial"/>
          <w:bCs/>
          <w:sz w:val="22"/>
          <w:szCs w:val="22"/>
          <w:lang w:val="fr-FR"/>
        </w:rPr>
        <w:t xml:space="preserve"> est revenue sur le point 7</w:t>
      </w:r>
      <w:r>
        <w:rPr>
          <w:rFonts w:ascii="Arial" w:hAnsi="Arial" w:cs="Arial"/>
          <w:bCs/>
          <w:sz w:val="22"/>
          <w:szCs w:val="22"/>
          <w:lang w:val="fr-FR"/>
        </w:rPr>
        <w:t xml:space="preserve"> et a </w:t>
      </w:r>
      <w:r w:rsidRPr="002B1854">
        <w:rPr>
          <w:rFonts w:ascii="Arial" w:hAnsi="Arial" w:cs="Arial"/>
          <w:bCs/>
          <w:sz w:val="22"/>
          <w:szCs w:val="22"/>
          <w:lang w:val="fr-FR"/>
        </w:rPr>
        <w:t>inform</w:t>
      </w:r>
      <w:r>
        <w:rPr>
          <w:rFonts w:ascii="Arial" w:hAnsi="Arial" w:cs="Arial"/>
          <w:bCs/>
          <w:sz w:val="22"/>
          <w:szCs w:val="22"/>
          <w:lang w:val="fr-FR"/>
        </w:rPr>
        <w:t>é</w:t>
      </w:r>
      <w:r w:rsidRPr="002B1854">
        <w:rPr>
          <w:rFonts w:ascii="Arial" w:hAnsi="Arial" w:cs="Arial"/>
          <w:bCs/>
          <w:sz w:val="22"/>
          <w:szCs w:val="22"/>
          <w:lang w:val="fr-FR"/>
        </w:rPr>
        <w:t xml:space="preserve"> l</w:t>
      </w:r>
      <w:r w:rsidR="008E532B">
        <w:rPr>
          <w:rFonts w:ascii="Arial" w:hAnsi="Arial" w:cs="Arial"/>
          <w:bCs/>
          <w:sz w:val="22"/>
          <w:szCs w:val="22"/>
          <w:lang w:val="fr-FR"/>
        </w:rPr>
        <w:t>’</w:t>
      </w:r>
      <w:r w:rsidRPr="002B1854">
        <w:rPr>
          <w:rFonts w:ascii="Arial" w:hAnsi="Arial" w:cs="Arial"/>
          <w:bCs/>
          <w:sz w:val="22"/>
          <w:szCs w:val="22"/>
          <w:lang w:val="fr-FR"/>
        </w:rPr>
        <w:t xml:space="preserve">Assemblée que le groupe de consultation informel </w:t>
      </w:r>
      <w:r>
        <w:rPr>
          <w:rFonts w:ascii="Arial" w:hAnsi="Arial" w:cs="Arial"/>
          <w:bCs/>
          <w:sz w:val="22"/>
          <w:szCs w:val="22"/>
          <w:lang w:val="fr-FR"/>
        </w:rPr>
        <w:t>était parvenu</w:t>
      </w:r>
      <w:r w:rsidRPr="002B1854">
        <w:rPr>
          <w:rFonts w:ascii="Arial" w:hAnsi="Arial" w:cs="Arial"/>
          <w:bCs/>
          <w:sz w:val="22"/>
          <w:szCs w:val="22"/>
          <w:lang w:val="fr-FR"/>
        </w:rPr>
        <w:t xml:space="preserve"> </w:t>
      </w:r>
      <w:r>
        <w:rPr>
          <w:rFonts w:ascii="Arial" w:hAnsi="Arial" w:cs="Arial"/>
          <w:bCs/>
          <w:sz w:val="22"/>
          <w:szCs w:val="22"/>
          <w:lang w:val="fr-FR"/>
        </w:rPr>
        <w:t>à</w:t>
      </w:r>
      <w:r w:rsidRPr="002B1854">
        <w:rPr>
          <w:rFonts w:ascii="Arial" w:hAnsi="Arial" w:cs="Arial"/>
          <w:bCs/>
          <w:sz w:val="22"/>
          <w:szCs w:val="22"/>
          <w:lang w:val="fr-FR"/>
        </w:rPr>
        <w:t xml:space="preserve"> un consensus et que le texte du paragraphe 7bis était prêt</w:t>
      </w:r>
      <w:r>
        <w:rPr>
          <w:rFonts w:ascii="Arial" w:hAnsi="Arial" w:cs="Arial"/>
          <w:bCs/>
          <w:sz w:val="22"/>
          <w:szCs w:val="22"/>
          <w:lang w:val="fr-FR"/>
        </w:rPr>
        <w:t>. Il serait ainsi rédigé </w:t>
      </w:r>
      <w:r w:rsidRPr="002B1854">
        <w:rPr>
          <w:rFonts w:ascii="Arial" w:hAnsi="Arial" w:cs="Arial"/>
          <w:bCs/>
          <w:sz w:val="22"/>
          <w:szCs w:val="22"/>
          <w:lang w:val="fr-FR"/>
        </w:rPr>
        <w:t xml:space="preserve">: </w:t>
      </w:r>
      <w:r>
        <w:rPr>
          <w:rFonts w:ascii="Arial" w:hAnsi="Arial" w:cs="Arial"/>
          <w:bCs/>
          <w:sz w:val="22"/>
          <w:szCs w:val="22"/>
          <w:lang w:val="fr-FR"/>
        </w:rPr>
        <w:t>« </w:t>
      </w:r>
      <w:r w:rsidRPr="002B1854">
        <w:rPr>
          <w:rFonts w:ascii="Arial" w:hAnsi="Arial" w:cs="Arial"/>
          <w:bCs/>
          <w:sz w:val="22"/>
          <w:szCs w:val="22"/>
          <w:lang w:val="fr-FR"/>
        </w:rPr>
        <w:t>Recommande au Comité d</w:t>
      </w:r>
      <w:r w:rsidR="008E532B">
        <w:rPr>
          <w:rFonts w:ascii="Arial" w:hAnsi="Arial" w:cs="Arial"/>
          <w:bCs/>
          <w:sz w:val="22"/>
          <w:szCs w:val="22"/>
          <w:lang w:val="fr-FR"/>
        </w:rPr>
        <w:t>’</w:t>
      </w:r>
      <w:r w:rsidRPr="002B1854">
        <w:rPr>
          <w:rFonts w:ascii="Arial" w:hAnsi="Arial" w:cs="Arial"/>
          <w:bCs/>
          <w:sz w:val="22"/>
          <w:szCs w:val="22"/>
          <w:lang w:val="fr-FR"/>
        </w:rPr>
        <w:t>être attentif au domicile des ONG accréditées, lors de l</w:t>
      </w:r>
      <w:r w:rsidR="008E532B">
        <w:rPr>
          <w:rFonts w:ascii="Arial" w:hAnsi="Arial" w:cs="Arial"/>
          <w:bCs/>
          <w:sz w:val="22"/>
          <w:szCs w:val="22"/>
          <w:lang w:val="fr-FR"/>
        </w:rPr>
        <w:t>’</w:t>
      </w:r>
      <w:r w:rsidRPr="002B1854">
        <w:rPr>
          <w:rFonts w:ascii="Arial" w:hAnsi="Arial" w:cs="Arial"/>
          <w:bCs/>
          <w:sz w:val="22"/>
          <w:szCs w:val="22"/>
          <w:lang w:val="fr-FR"/>
        </w:rPr>
        <w:t>élection des membres de l</w:t>
      </w:r>
      <w:r w:rsidR="008E532B">
        <w:rPr>
          <w:rFonts w:ascii="Arial" w:hAnsi="Arial" w:cs="Arial"/>
          <w:bCs/>
          <w:sz w:val="22"/>
          <w:szCs w:val="22"/>
          <w:lang w:val="fr-FR"/>
        </w:rPr>
        <w:t>’</w:t>
      </w:r>
      <w:r w:rsidRPr="002B1854">
        <w:rPr>
          <w:rFonts w:ascii="Arial" w:hAnsi="Arial" w:cs="Arial"/>
          <w:bCs/>
          <w:sz w:val="22"/>
          <w:szCs w:val="22"/>
          <w:lang w:val="fr-FR"/>
        </w:rPr>
        <w:t>Organe d</w:t>
      </w:r>
      <w:r w:rsidR="008E532B">
        <w:rPr>
          <w:rFonts w:ascii="Arial" w:hAnsi="Arial" w:cs="Arial"/>
          <w:bCs/>
          <w:sz w:val="22"/>
          <w:szCs w:val="22"/>
          <w:lang w:val="fr-FR"/>
        </w:rPr>
        <w:t>’</w:t>
      </w:r>
      <w:r w:rsidRPr="002B1854">
        <w:rPr>
          <w:rFonts w:ascii="Arial" w:hAnsi="Arial" w:cs="Arial"/>
          <w:bCs/>
          <w:sz w:val="22"/>
          <w:szCs w:val="22"/>
          <w:lang w:val="fr-FR"/>
        </w:rPr>
        <w:t xml:space="preserve">évaluation, </w:t>
      </w:r>
      <w:r>
        <w:rPr>
          <w:rFonts w:ascii="Arial" w:hAnsi="Arial" w:cs="Arial"/>
          <w:bCs/>
          <w:sz w:val="22"/>
          <w:szCs w:val="22"/>
          <w:lang w:val="fr-FR"/>
        </w:rPr>
        <w:t xml:space="preserve">prenant en </w:t>
      </w:r>
      <w:r w:rsidRPr="002B1854">
        <w:rPr>
          <w:rFonts w:ascii="Arial" w:hAnsi="Arial" w:cs="Arial"/>
          <w:bCs/>
          <w:sz w:val="22"/>
          <w:szCs w:val="22"/>
          <w:lang w:val="fr-FR"/>
        </w:rPr>
        <w:t>considération l</w:t>
      </w:r>
      <w:r>
        <w:rPr>
          <w:rFonts w:ascii="Arial" w:hAnsi="Arial" w:cs="Arial"/>
          <w:bCs/>
          <w:sz w:val="22"/>
          <w:szCs w:val="22"/>
          <w:lang w:val="fr-FR"/>
        </w:rPr>
        <w:t>es</w:t>
      </w:r>
      <w:r w:rsidRPr="002B1854">
        <w:rPr>
          <w:rFonts w:ascii="Arial" w:hAnsi="Arial" w:cs="Arial"/>
          <w:bCs/>
          <w:sz w:val="22"/>
          <w:szCs w:val="22"/>
          <w:lang w:val="fr-FR"/>
        </w:rPr>
        <w:t xml:space="preserve"> discussion</w:t>
      </w:r>
      <w:r>
        <w:rPr>
          <w:rFonts w:ascii="Arial" w:hAnsi="Arial" w:cs="Arial"/>
          <w:bCs/>
          <w:sz w:val="22"/>
          <w:szCs w:val="22"/>
          <w:lang w:val="fr-FR"/>
        </w:rPr>
        <w:t>s</w:t>
      </w:r>
      <w:r w:rsidRPr="002B1854">
        <w:rPr>
          <w:rFonts w:ascii="Arial" w:hAnsi="Arial" w:cs="Arial"/>
          <w:bCs/>
          <w:sz w:val="22"/>
          <w:szCs w:val="22"/>
          <w:lang w:val="fr-FR"/>
        </w:rPr>
        <w:t xml:space="preserve"> de la neuvième session de l</w:t>
      </w:r>
      <w:r w:rsidR="008E532B">
        <w:rPr>
          <w:rFonts w:ascii="Arial" w:hAnsi="Arial" w:cs="Arial"/>
          <w:bCs/>
          <w:sz w:val="22"/>
          <w:szCs w:val="22"/>
          <w:lang w:val="fr-FR"/>
        </w:rPr>
        <w:t>’</w:t>
      </w:r>
      <w:r w:rsidRPr="002B1854">
        <w:rPr>
          <w:rFonts w:ascii="Arial" w:hAnsi="Arial" w:cs="Arial"/>
          <w:bCs/>
          <w:sz w:val="22"/>
          <w:szCs w:val="22"/>
          <w:lang w:val="fr-FR"/>
        </w:rPr>
        <w:t xml:space="preserve">Assemblée générale, </w:t>
      </w:r>
      <w:r>
        <w:rPr>
          <w:rFonts w:ascii="Arial" w:hAnsi="Arial" w:cs="Arial"/>
          <w:bCs/>
          <w:sz w:val="22"/>
          <w:szCs w:val="22"/>
          <w:lang w:val="fr-FR"/>
        </w:rPr>
        <w:t xml:space="preserve">surtout </w:t>
      </w:r>
      <w:r w:rsidRPr="002B1854">
        <w:rPr>
          <w:rFonts w:ascii="Arial" w:hAnsi="Arial" w:cs="Arial"/>
          <w:bCs/>
          <w:sz w:val="22"/>
          <w:szCs w:val="22"/>
          <w:lang w:val="fr-FR"/>
        </w:rPr>
        <w:t>concern</w:t>
      </w:r>
      <w:r>
        <w:rPr>
          <w:rFonts w:ascii="Arial" w:hAnsi="Arial" w:cs="Arial"/>
          <w:bCs/>
          <w:sz w:val="22"/>
          <w:szCs w:val="22"/>
          <w:lang w:val="fr-FR"/>
        </w:rPr>
        <w:t>ant</w:t>
      </w:r>
      <w:r w:rsidRPr="002B1854">
        <w:rPr>
          <w:rFonts w:ascii="Arial" w:hAnsi="Arial" w:cs="Arial"/>
          <w:bCs/>
          <w:sz w:val="22"/>
          <w:szCs w:val="22"/>
          <w:lang w:val="fr-FR"/>
        </w:rPr>
        <w:t xml:space="preserve"> les ONG accréditées domiciliées dans des États non parties et en gardant à l</w:t>
      </w:r>
      <w:r w:rsidR="008E532B">
        <w:rPr>
          <w:rFonts w:ascii="Arial" w:hAnsi="Arial" w:cs="Arial"/>
          <w:bCs/>
          <w:sz w:val="22"/>
          <w:szCs w:val="22"/>
          <w:lang w:val="fr-FR"/>
        </w:rPr>
        <w:t>’</w:t>
      </w:r>
      <w:r w:rsidRPr="002B1854">
        <w:rPr>
          <w:rFonts w:ascii="Arial" w:hAnsi="Arial" w:cs="Arial"/>
          <w:bCs/>
          <w:sz w:val="22"/>
          <w:szCs w:val="22"/>
          <w:lang w:val="fr-FR"/>
        </w:rPr>
        <w:t>esprit que l</w:t>
      </w:r>
      <w:r w:rsidR="008E532B">
        <w:rPr>
          <w:rFonts w:ascii="Arial" w:hAnsi="Arial" w:cs="Arial"/>
          <w:bCs/>
          <w:sz w:val="22"/>
          <w:szCs w:val="22"/>
          <w:lang w:val="fr-FR"/>
        </w:rPr>
        <w:t>’</w:t>
      </w:r>
      <w:r w:rsidRPr="002B1854">
        <w:rPr>
          <w:rFonts w:ascii="Arial" w:hAnsi="Arial" w:cs="Arial"/>
          <w:bCs/>
          <w:sz w:val="22"/>
          <w:szCs w:val="22"/>
          <w:lang w:val="fr-FR"/>
        </w:rPr>
        <w:t>expertise des ONG doit être appréciée à la lumière d</w:t>
      </w:r>
      <w:r w:rsidR="008E532B">
        <w:rPr>
          <w:rFonts w:ascii="Arial" w:hAnsi="Arial" w:cs="Arial"/>
          <w:bCs/>
          <w:sz w:val="22"/>
          <w:szCs w:val="22"/>
          <w:lang w:val="fr-FR"/>
        </w:rPr>
        <w:t>’</w:t>
      </w:r>
      <w:r>
        <w:rPr>
          <w:rFonts w:ascii="Arial" w:hAnsi="Arial" w:cs="Arial"/>
          <w:bCs/>
          <w:sz w:val="22"/>
          <w:szCs w:val="22"/>
          <w:lang w:val="fr-FR"/>
        </w:rPr>
        <w:t>une</w:t>
      </w:r>
      <w:r w:rsidRPr="002B1854">
        <w:rPr>
          <w:rFonts w:ascii="Arial" w:hAnsi="Arial" w:cs="Arial"/>
          <w:bCs/>
          <w:sz w:val="22"/>
          <w:szCs w:val="22"/>
          <w:lang w:val="fr-FR"/>
        </w:rPr>
        <w:t xml:space="preserve"> diversité de critères</w:t>
      </w:r>
      <w:r>
        <w:rPr>
          <w:rFonts w:ascii="Arial" w:hAnsi="Arial" w:cs="Arial"/>
          <w:bCs/>
          <w:sz w:val="22"/>
          <w:szCs w:val="22"/>
          <w:lang w:val="fr-FR"/>
        </w:rPr>
        <w:t> »</w:t>
      </w:r>
      <w:r w:rsidRPr="002B1854">
        <w:rPr>
          <w:rFonts w:ascii="Arial" w:hAnsi="Arial" w:cs="Arial"/>
          <w:bCs/>
          <w:sz w:val="22"/>
          <w:szCs w:val="22"/>
          <w:lang w:val="fr-FR"/>
        </w:rPr>
        <w:t xml:space="preserve">. La Présidente </w:t>
      </w:r>
      <w:r>
        <w:rPr>
          <w:rFonts w:ascii="Arial" w:hAnsi="Arial" w:cs="Arial"/>
          <w:bCs/>
          <w:sz w:val="22"/>
          <w:szCs w:val="22"/>
          <w:lang w:val="fr-FR"/>
        </w:rPr>
        <w:t xml:space="preserve">a </w:t>
      </w:r>
      <w:r w:rsidRPr="002B1854">
        <w:rPr>
          <w:rFonts w:ascii="Arial" w:hAnsi="Arial" w:cs="Arial"/>
          <w:bCs/>
          <w:sz w:val="22"/>
          <w:szCs w:val="22"/>
          <w:lang w:val="fr-FR"/>
        </w:rPr>
        <w:t>remerci</w:t>
      </w:r>
      <w:r>
        <w:rPr>
          <w:rFonts w:ascii="Arial" w:hAnsi="Arial" w:cs="Arial"/>
          <w:bCs/>
          <w:sz w:val="22"/>
          <w:szCs w:val="22"/>
          <w:lang w:val="fr-FR"/>
        </w:rPr>
        <w:t>é</w:t>
      </w:r>
      <w:r w:rsidRPr="002B1854">
        <w:rPr>
          <w:rFonts w:ascii="Arial" w:hAnsi="Arial" w:cs="Arial"/>
          <w:bCs/>
          <w:sz w:val="22"/>
          <w:szCs w:val="22"/>
          <w:lang w:val="fr-FR"/>
        </w:rPr>
        <w:t xml:space="preserve"> les Vice-Président</w:t>
      </w:r>
      <w:r>
        <w:rPr>
          <w:rFonts w:ascii="Arial" w:hAnsi="Arial" w:cs="Arial"/>
          <w:bCs/>
          <w:sz w:val="22"/>
          <w:szCs w:val="22"/>
          <w:lang w:val="fr-FR"/>
        </w:rPr>
        <w:t>(e)</w:t>
      </w:r>
      <w:r w:rsidRPr="002B1854">
        <w:rPr>
          <w:rFonts w:ascii="Arial" w:hAnsi="Arial" w:cs="Arial"/>
          <w:bCs/>
          <w:sz w:val="22"/>
          <w:szCs w:val="22"/>
          <w:lang w:val="fr-FR"/>
        </w:rPr>
        <w:t>s, l</w:t>
      </w:r>
      <w:r w:rsidR="008E532B">
        <w:rPr>
          <w:rFonts w:ascii="Arial" w:hAnsi="Arial" w:cs="Arial"/>
          <w:bCs/>
          <w:sz w:val="22"/>
          <w:szCs w:val="22"/>
          <w:lang w:val="fr-FR"/>
        </w:rPr>
        <w:t>’</w:t>
      </w:r>
      <w:r>
        <w:rPr>
          <w:rFonts w:ascii="Arial" w:hAnsi="Arial" w:cs="Arial"/>
          <w:bCs/>
          <w:sz w:val="22"/>
          <w:szCs w:val="22"/>
          <w:lang w:val="fr-FR"/>
        </w:rPr>
        <w:t>É</w:t>
      </w:r>
      <w:r w:rsidRPr="002B1854">
        <w:rPr>
          <w:rFonts w:ascii="Arial" w:hAnsi="Arial" w:cs="Arial"/>
          <w:bCs/>
          <w:sz w:val="22"/>
          <w:szCs w:val="22"/>
          <w:lang w:val="fr-FR"/>
        </w:rPr>
        <w:t xml:space="preserve">thiopie et le Japon, et </w:t>
      </w:r>
      <w:r>
        <w:rPr>
          <w:rFonts w:ascii="Arial" w:hAnsi="Arial" w:cs="Arial"/>
          <w:bCs/>
          <w:sz w:val="22"/>
          <w:szCs w:val="22"/>
          <w:lang w:val="fr-FR"/>
        </w:rPr>
        <w:t xml:space="preserve">a </w:t>
      </w:r>
      <w:r w:rsidRPr="002B1854">
        <w:rPr>
          <w:rFonts w:ascii="Arial" w:hAnsi="Arial" w:cs="Arial"/>
          <w:bCs/>
          <w:sz w:val="22"/>
          <w:szCs w:val="22"/>
          <w:lang w:val="fr-FR"/>
        </w:rPr>
        <w:t>demand</w:t>
      </w:r>
      <w:r>
        <w:rPr>
          <w:rFonts w:ascii="Arial" w:hAnsi="Arial" w:cs="Arial"/>
          <w:bCs/>
          <w:sz w:val="22"/>
          <w:szCs w:val="22"/>
          <w:lang w:val="fr-FR"/>
        </w:rPr>
        <w:t xml:space="preserve">é </w:t>
      </w:r>
      <w:r w:rsidRPr="002B1854">
        <w:rPr>
          <w:rFonts w:ascii="Arial" w:hAnsi="Arial" w:cs="Arial"/>
          <w:bCs/>
          <w:sz w:val="22"/>
          <w:szCs w:val="22"/>
          <w:lang w:val="fr-FR"/>
        </w:rPr>
        <w:t>s</w:t>
      </w:r>
      <w:r w:rsidR="008E532B">
        <w:rPr>
          <w:rFonts w:ascii="Arial" w:hAnsi="Arial" w:cs="Arial"/>
          <w:bCs/>
          <w:sz w:val="22"/>
          <w:szCs w:val="22"/>
          <w:lang w:val="fr-FR"/>
        </w:rPr>
        <w:t>’</w:t>
      </w:r>
      <w:r w:rsidRPr="002B1854">
        <w:rPr>
          <w:rFonts w:ascii="Arial" w:hAnsi="Arial" w:cs="Arial"/>
          <w:bCs/>
          <w:sz w:val="22"/>
          <w:szCs w:val="22"/>
          <w:lang w:val="fr-FR"/>
        </w:rPr>
        <w:t>il y</w:t>
      </w:r>
      <w:r>
        <w:rPr>
          <w:rFonts w:ascii="Arial" w:hAnsi="Arial" w:cs="Arial"/>
          <w:bCs/>
          <w:sz w:val="22"/>
          <w:szCs w:val="22"/>
          <w:lang w:val="fr-FR"/>
        </w:rPr>
        <w:t xml:space="preserve"> avait opposition </w:t>
      </w:r>
      <w:r w:rsidRPr="002B1854">
        <w:rPr>
          <w:rFonts w:ascii="Arial" w:hAnsi="Arial" w:cs="Arial"/>
          <w:bCs/>
          <w:sz w:val="22"/>
          <w:szCs w:val="22"/>
          <w:lang w:val="fr-FR"/>
        </w:rPr>
        <w:t>au paragraphe</w:t>
      </w:r>
      <w:r>
        <w:rPr>
          <w:rFonts w:ascii="Arial" w:hAnsi="Arial" w:cs="Arial"/>
          <w:bCs/>
          <w:sz w:val="22"/>
          <w:szCs w:val="22"/>
          <w:lang w:val="fr-FR"/>
        </w:rPr>
        <w:t> </w:t>
      </w:r>
      <w:r w:rsidRPr="002B1854">
        <w:rPr>
          <w:rFonts w:ascii="Arial" w:hAnsi="Arial" w:cs="Arial"/>
          <w:bCs/>
          <w:sz w:val="22"/>
          <w:szCs w:val="22"/>
          <w:lang w:val="fr-FR"/>
        </w:rPr>
        <w:t>7bis.</w:t>
      </w:r>
    </w:p>
    <w:p w14:paraId="3C8439E7" w14:textId="7777777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B48CF">
        <w:rPr>
          <w:rFonts w:ascii="Arial" w:hAnsi="Arial" w:cs="Arial"/>
          <w:bCs/>
          <w:sz w:val="22"/>
          <w:szCs w:val="22"/>
          <w:lang w:val="fr-FR"/>
        </w:rPr>
        <w:t xml:space="preserve">La délégation de la </w:t>
      </w:r>
      <w:r w:rsidRPr="005B48CF">
        <w:rPr>
          <w:rFonts w:ascii="Arial" w:hAnsi="Arial" w:cs="Arial"/>
          <w:b/>
          <w:sz w:val="22"/>
          <w:szCs w:val="22"/>
          <w:lang w:val="fr-FR"/>
        </w:rPr>
        <w:t>Chine</w:t>
      </w:r>
      <w:r>
        <w:rPr>
          <w:rFonts w:ascii="Arial" w:hAnsi="Arial" w:cs="Arial"/>
          <w:bCs/>
          <w:sz w:val="22"/>
          <w:szCs w:val="22"/>
          <w:lang w:val="fr-FR"/>
        </w:rPr>
        <w:t xml:space="preserve">, qui </w:t>
      </w:r>
      <w:r w:rsidRPr="005B48CF">
        <w:rPr>
          <w:rFonts w:ascii="Arial" w:hAnsi="Arial" w:cs="Arial"/>
          <w:bCs/>
          <w:sz w:val="22"/>
          <w:szCs w:val="22"/>
          <w:lang w:val="fr-FR"/>
        </w:rPr>
        <w:t>a</w:t>
      </w:r>
      <w:r>
        <w:rPr>
          <w:rFonts w:ascii="Arial" w:hAnsi="Arial" w:cs="Arial"/>
          <w:bCs/>
          <w:sz w:val="22"/>
          <w:szCs w:val="22"/>
          <w:lang w:val="fr-FR"/>
        </w:rPr>
        <w:t>vait</w:t>
      </w:r>
      <w:r w:rsidRPr="005B48CF">
        <w:rPr>
          <w:rFonts w:ascii="Arial" w:hAnsi="Arial" w:cs="Arial"/>
          <w:bCs/>
          <w:sz w:val="22"/>
          <w:szCs w:val="22"/>
          <w:lang w:val="fr-FR"/>
        </w:rPr>
        <w:t xml:space="preserve"> participé à ce groupe de travail</w:t>
      </w:r>
      <w:r>
        <w:rPr>
          <w:rFonts w:ascii="Arial" w:hAnsi="Arial" w:cs="Arial"/>
          <w:bCs/>
          <w:sz w:val="22"/>
          <w:szCs w:val="22"/>
          <w:lang w:val="fr-FR"/>
        </w:rPr>
        <w:t>,</w:t>
      </w:r>
      <w:r w:rsidRPr="005B48CF">
        <w:rPr>
          <w:rFonts w:ascii="Arial" w:hAnsi="Arial" w:cs="Arial"/>
          <w:bCs/>
          <w:sz w:val="22"/>
          <w:szCs w:val="22"/>
          <w:lang w:val="fr-FR"/>
        </w:rPr>
        <w:t xml:space="preserve"> souhait</w:t>
      </w:r>
      <w:r>
        <w:rPr>
          <w:rFonts w:ascii="Arial" w:hAnsi="Arial" w:cs="Arial"/>
          <w:bCs/>
          <w:sz w:val="22"/>
          <w:szCs w:val="22"/>
          <w:lang w:val="fr-FR"/>
        </w:rPr>
        <w:t>ait</w:t>
      </w:r>
      <w:r w:rsidRPr="005B48CF">
        <w:rPr>
          <w:rFonts w:ascii="Arial" w:hAnsi="Arial" w:cs="Arial"/>
          <w:bCs/>
          <w:sz w:val="22"/>
          <w:szCs w:val="22"/>
          <w:lang w:val="fr-FR"/>
        </w:rPr>
        <w:t xml:space="preserve"> clarifier la </w:t>
      </w:r>
      <w:r>
        <w:rPr>
          <w:rFonts w:ascii="Arial" w:hAnsi="Arial" w:cs="Arial"/>
          <w:bCs/>
          <w:sz w:val="22"/>
          <w:szCs w:val="22"/>
          <w:lang w:val="fr-FR"/>
        </w:rPr>
        <w:t xml:space="preserve">bonne </w:t>
      </w:r>
      <w:r w:rsidRPr="005B48CF">
        <w:rPr>
          <w:rFonts w:ascii="Arial" w:hAnsi="Arial" w:cs="Arial"/>
          <w:bCs/>
          <w:sz w:val="22"/>
          <w:szCs w:val="22"/>
          <w:lang w:val="fr-FR"/>
        </w:rPr>
        <w:t>compréhension du texte, notamment l</w:t>
      </w:r>
      <w:r>
        <w:rPr>
          <w:rFonts w:ascii="Arial" w:hAnsi="Arial" w:cs="Arial"/>
          <w:bCs/>
          <w:sz w:val="22"/>
          <w:szCs w:val="22"/>
          <w:lang w:val="fr-FR"/>
        </w:rPr>
        <w:t>e dernier terme</w:t>
      </w:r>
      <w:r w:rsidRPr="005B48CF">
        <w:rPr>
          <w:rFonts w:ascii="Arial" w:hAnsi="Arial" w:cs="Arial"/>
          <w:bCs/>
          <w:sz w:val="22"/>
          <w:szCs w:val="22"/>
          <w:lang w:val="fr-FR"/>
        </w:rPr>
        <w:t xml:space="preserve">, </w:t>
      </w:r>
      <w:r>
        <w:rPr>
          <w:rFonts w:ascii="Arial" w:hAnsi="Arial" w:cs="Arial"/>
          <w:bCs/>
          <w:sz w:val="22"/>
          <w:szCs w:val="22"/>
          <w:lang w:val="fr-FR"/>
        </w:rPr>
        <w:t>« </w:t>
      </w:r>
      <w:r w:rsidRPr="005B48CF">
        <w:rPr>
          <w:rFonts w:ascii="Arial" w:hAnsi="Arial" w:cs="Arial"/>
          <w:bCs/>
          <w:sz w:val="22"/>
          <w:szCs w:val="22"/>
          <w:lang w:val="fr-FR"/>
        </w:rPr>
        <w:t>diversité des critères</w:t>
      </w:r>
      <w:r>
        <w:rPr>
          <w:rFonts w:ascii="Arial" w:hAnsi="Arial" w:cs="Arial"/>
          <w:bCs/>
          <w:sz w:val="22"/>
          <w:szCs w:val="22"/>
          <w:lang w:val="fr-FR"/>
        </w:rPr>
        <w:t> »</w:t>
      </w:r>
      <w:r w:rsidRPr="005B48CF">
        <w:rPr>
          <w:rFonts w:ascii="Arial" w:hAnsi="Arial" w:cs="Arial"/>
          <w:bCs/>
          <w:sz w:val="22"/>
          <w:szCs w:val="22"/>
          <w:lang w:val="fr-FR"/>
        </w:rPr>
        <w:t>, qui avait été proposé par la France.</w:t>
      </w:r>
    </w:p>
    <w:p w14:paraId="37AE3274" w14:textId="504FB2D5" w:rsidR="00D9653F" w:rsidRPr="006D54B3"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5B48CF">
        <w:rPr>
          <w:rFonts w:ascii="Arial" w:hAnsi="Arial" w:cs="Arial"/>
          <w:bCs/>
          <w:sz w:val="22"/>
          <w:szCs w:val="22"/>
          <w:lang w:val="fr-FR"/>
        </w:rPr>
        <w:t xml:space="preserve">La délégation </w:t>
      </w:r>
      <w:r>
        <w:rPr>
          <w:rFonts w:ascii="Arial" w:hAnsi="Arial" w:cs="Arial"/>
          <w:bCs/>
          <w:sz w:val="22"/>
          <w:szCs w:val="22"/>
          <w:lang w:val="fr-FR"/>
        </w:rPr>
        <w:t xml:space="preserve">de la </w:t>
      </w:r>
      <w:r w:rsidRPr="005B48CF">
        <w:rPr>
          <w:rFonts w:ascii="Arial" w:hAnsi="Arial" w:cs="Arial"/>
          <w:b/>
          <w:sz w:val="22"/>
          <w:szCs w:val="22"/>
          <w:lang w:val="fr-FR"/>
        </w:rPr>
        <w:t>France</w:t>
      </w:r>
      <w:r>
        <w:rPr>
          <w:rFonts w:ascii="Arial" w:hAnsi="Arial" w:cs="Arial"/>
          <w:bCs/>
          <w:sz w:val="22"/>
          <w:szCs w:val="22"/>
          <w:lang w:val="fr-FR"/>
        </w:rPr>
        <w:t xml:space="preserve"> </w:t>
      </w:r>
      <w:r w:rsidRPr="005B48CF">
        <w:rPr>
          <w:rFonts w:ascii="Arial" w:hAnsi="Arial" w:cs="Arial"/>
          <w:bCs/>
          <w:sz w:val="22"/>
          <w:szCs w:val="22"/>
          <w:lang w:val="fr-FR"/>
        </w:rPr>
        <w:t>a expliqué que cela faisait référence à tous les critères contenus dans les textes, ce qui inclut la domiciliation mais pas exclusivement. Elle a fait référence aux critères selon lesquels le Comité considère qu</w:t>
      </w:r>
      <w:r w:rsidR="008E532B">
        <w:rPr>
          <w:rFonts w:ascii="Arial" w:hAnsi="Arial" w:cs="Arial"/>
          <w:bCs/>
          <w:sz w:val="22"/>
          <w:szCs w:val="22"/>
          <w:lang w:val="fr-FR"/>
        </w:rPr>
        <w:t>’</w:t>
      </w:r>
      <w:r w:rsidRPr="005B48CF">
        <w:rPr>
          <w:rFonts w:ascii="Arial" w:hAnsi="Arial" w:cs="Arial"/>
          <w:bCs/>
          <w:sz w:val="22"/>
          <w:szCs w:val="22"/>
          <w:lang w:val="fr-FR"/>
        </w:rPr>
        <w:t xml:space="preserve">une ONG peut apporter une contribution </w:t>
      </w:r>
      <w:r>
        <w:rPr>
          <w:rFonts w:ascii="Arial" w:hAnsi="Arial" w:cs="Arial"/>
          <w:bCs/>
          <w:sz w:val="22"/>
          <w:szCs w:val="22"/>
          <w:lang w:val="fr-FR"/>
        </w:rPr>
        <w:t xml:space="preserve">valable </w:t>
      </w:r>
      <w:r w:rsidRPr="006D54B3">
        <w:rPr>
          <w:rFonts w:ascii="Arial" w:hAnsi="Arial" w:cs="Arial"/>
          <w:bCs/>
          <w:sz w:val="22"/>
          <w:szCs w:val="22"/>
          <w:lang w:val="fr-FR"/>
        </w:rPr>
        <w:t>au</w:t>
      </w:r>
      <w:r>
        <w:rPr>
          <w:rFonts w:ascii="Arial" w:hAnsi="Arial" w:cs="Arial"/>
          <w:bCs/>
          <w:sz w:val="22"/>
          <w:szCs w:val="22"/>
          <w:lang w:val="fr-FR"/>
        </w:rPr>
        <w:t>x</w:t>
      </w:r>
      <w:r w:rsidRPr="006D54B3">
        <w:rPr>
          <w:rFonts w:ascii="Arial" w:hAnsi="Arial" w:cs="Arial"/>
          <w:bCs/>
          <w:sz w:val="22"/>
          <w:szCs w:val="22"/>
          <w:lang w:val="fr-FR"/>
        </w:rPr>
        <w:t xml:space="preserve"> trava</w:t>
      </w:r>
      <w:r>
        <w:rPr>
          <w:rFonts w:ascii="Arial" w:hAnsi="Arial" w:cs="Arial"/>
          <w:bCs/>
          <w:sz w:val="22"/>
          <w:szCs w:val="22"/>
          <w:lang w:val="fr-FR"/>
        </w:rPr>
        <w:t>ux</w:t>
      </w:r>
      <w:r w:rsidRPr="006D54B3">
        <w:rPr>
          <w:rFonts w:ascii="Arial" w:hAnsi="Arial" w:cs="Arial"/>
          <w:bCs/>
          <w:sz w:val="22"/>
          <w:szCs w:val="22"/>
          <w:lang w:val="fr-FR"/>
        </w:rPr>
        <w:t xml:space="preserve"> de l</w:t>
      </w:r>
      <w:r w:rsidR="008E532B">
        <w:rPr>
          <w:rFonts w:ascii="Arial" w:hAnsi="Arial" w:cs="Arial"/>
          <w:bCs/>
          <w:sz w:val="22"/>
          <w:szCs w:val="22"/>
          <w:lang w:val="fr-FR"/>
        </w:rPr>
        <w:t>’</w:t>
      </w:r>
      <w:r w:rsidRPr="006D54B3">
        <w:rPr>
          <w:rFonts w:ascii="Arial" w:hAnsi="Arial" w:cs="Arial"/>
          <w:bCs/>
          <w:sz w:val="22"/>
          <w:szCs w:val="22"/>
          <w:lang w:val="fr-FR"/>
        </w:rPr>
        <w:t>Organe d</w:t>
      </w:r>
      <w:r w:rsidR="008E532B">
        <w:rPr>
          <w:rFonts w:ascii="Arial" w:hAnsi="Arial" w:cs="Arial"/>
          <w:bCs/>
          <w:sz w:val="22"/>
          <w:szCs w:val="22"/>
          <w:lang w:val="fr-FR"/>
        </w:rPr>
        <w:t>’</w:t>
      </w:r>
      <w:r w:rsidRPr="006D54B3">
        <w:rPr>
          <w:rFonts w:ascii="Arial" w:hAnsi="Arial" w:cs="Arial"/>
          <w:bCs/>
          <w:sz w:val="22"/>
          <w:szCs w:val="22"/>
          <w:lang w:val="fr-FR"/>
        </w:rPr>
        <w:t>évaluation, notamment son domaine d</w:t>
      </w:r>
      <w:r w:rsidR="008E532B">
        <w:rPr>
          <w:rFonts w:ascii="Arial" w:hAnsi="Arial" w:cs="Arial"/>
          <w:bCs/>
          <w:sz w:val="22"/>
          <w:szCs w:val="22"/>
          <w:lang w:val="fr-FR"/>
        </w:rPr>
        <w:t>’</w:t>
      </w:r>
      <w:r w:rsidRPr="006D54B3">
        <w:rPr>
          <w:rFonts w:ascii="Arial" w:hAnsi="Arial" w:cs="Arial"/>
          <w:bCs/>
          <w:sz w:val="22"/>
          <w:szCs w:val="22"/>
          <w:lang w:val="fr-FR"/>
        </w:rPr>
        <w:t>expertise, la zone géographique dans laquelle elle opère, etc.</w:t>
      </w:r>
    </w:p>
    <w:p w14:paraId="30D25652" w14:textId="0C0A0A80" w:rsidR="00D9653F" w:rsidRPr="006D54B3"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6D54B3">
        <w:rPr>
          <w:rFonts w:ascii="Arial" w:hAnsi="Arial" w:cs="Arial"/>
          <w:b/>
          <w:sz w:val="22"/>
          <w:szCs w:val="22"/>
          <w:lang w:val="fr-FR"/>
        </w:rPr>
        <w:t>Présidente</w:t>
      </w:r>
      <w:r>
        <w:rPr>
          <w:rFonts w:ascii="Arial" w:hAnsi="Arial" w:cs="Arial"/>
          <w:bCs/>
          <w:sz w:val="22"/>
          <w:szCs w:val="22"/>
          <w:lang w:val="fr-FR"/>
        </w:rPr>
        <w:t xml:space="preserve"> a remercié la France pour cette clarification et est passée à l</w:t>
      </w:r>
      <w:r w:rsidR="008E532B">
        <w:rPr>
          <w:rFonts w:ascii="Arial" w:hAnsi="Arial" w:cs="Arial"/>
          <w:bCs/>
          <w:sz w:val="22"/>
          <w:szCs w:val="22"/>
          <w:lang w:val="fr-FR"/>
        </w:rPr>
        <w:t>’</w:t>
      </w:r>
      <w:r>
        <w:rPr>
          <w:rFonts w:ascii="Arial" w:hAnsi="Arial" w:cs="Arial"/>
          <w:bCs/>
          <w:sz w:val="22"/>
          <w:szCs w:val="22"/>
          <w:lang w:val="fr-FR"/>
        </w:rPr>
        <w:t xml:space="preserve">adoption du texte. </w:t>
      </w:r>
      <w:r w:rsidRPr="006D54B3">
        <w:rPr>
          <w:rFonts w:ascii="Arial" w:hAnsi="Arial" w:cs="Arial"/>
          <w:bCs/>
          <w:sz w:val="22"/>
          <w:szCs w:val="22"/>
          <w:lang w:val="fr-FR"/>
        </w:rPr>
        <w:t>En l</w:t>
      </w:r>
      <w:r w:rsidR="008E532B">
        <w:rPr>
          <w:rFonts w:ascii="Arial" w:hAnsi="Arial" w:cs="Arial"/>
          <w:bCs/>
          <w:sz w:val="22"/>
          <w:szCs w:val="22"/>
          <w:lang w:val="fr-FR"/>
        </w:rPr>
        <w:t>’</w:t>
      </w:r>
      <w:r w:rsidRPr="006D54B3">
        <w:rPr>
          <w:rFonts w:ascii="Arial" w:hAnsi="Arial" w:cs="Arial"/>
          <w:bCs/>
          <w:sz w:val="22"/>
          <w:szCs w:val="22"/>
          <w:lang w:val="fr-FR"/>
        </w:rPr>
        <w:t>absence</w:t>
      </w:r>
      <w:r>
        <w:rPr>
          <w:rFonts w:ascii="Arial" w:hAnsi="Arial" w:cs="Arial"/>
          <w:bCs/>
          <w:sz w:val="22"/>
          <w:szCs w:val="22"/>
          <w:lang w:val="fr-FR"/>
        </w:rPr>
        <w:t xml:space="preserve"> d</w:t>
      </w:r>
      <w:r w:rsidR="008E532B">
        <w:rPr>
          <w:rFonts w:ascii="Arial" w:hAnsi="Arial" w:cs="Arial"/>
          <w:bCs/>
          <w:sz w:val="22"/>
          <w:szCs w:val="22"/>
          <w:lang w:val="fr-FR"/>
        </w:rPr>
        <w:t>’</w:t>
      </w:r>
      <w:r>
        <w:rPr>
          <w:rFonts w:ascii="Arial" w:hAnsi="Arial" w:cs="Arial"/>
          <w:bCs/>
          <w:sz w:val="22"/>
          <w:szCs w:val="22"/>
          <w:lang w:val="fr-FR"/>
        </w:rPr>
        <w:t xml:space="preserve">objections, le </w:t>
      </w:r>
      <w:r w:rsidRPr="006D54B3">
        <w:rPr>
          <w:rFonts w:ascii="Arial" w:hAnsi="Arial" w:cs="Arial"/>
          <w:bCs/>
          <w:sz w:val="22"/>
          <w:szCs w:val="22"/>
          <w:lang w:val="fr-FR"/>
        </w:rPr>
        <w:t>paragraphe</w:t>
      </w:r>
      <w:r>
        <w:rPr>
          <w:rFonts w:ascii="Arial" w:hAnsi="Arial" w:cs="Arial"/>
          <w:bCs/>
          <w:sz w:val="22"/>
          <w:szCs w:val="22"/>
          <w:lang w:val="fr-FR"/>
        </w:rPr>
        <w:t xml:space="preserve"> 7bis a été dûment adopté. Elle est ensuite passée au </w:t>
      </w:r>
      <w:r w:rsidRPr="006D54B3">
        <w:rPr>
          <w:rFonts w:ascii="Arial" w:hAnsi="Arial" w:cs="Arial"/>
          <w:bCs/>
          <w:sz w:val="22"/>
          <w:szCs w:val="22"/>
          <w:lang w:val="fr-FR"/>
        </w:rPr>
        <w:t>paragraphe</w:t>
      </w:r>
      <w:r>
        <w:rPr>
          <w:rFonts w:ascii="Arial" w:hAnsi="Arial" w:cs="Arial"/>
          <w:bCs/>
          <w:sz w:val="22"/>
          <w:szCs w:val="22"/>
          <w:lang w:val="fr-FR"/>
        </w:rPr>
        <w:t xml:space="preserve"> 4 suspendu, qui a été adopté. Puis, passant à l</w:t>
      </w:r>
      <w:r w:rsidR="008E532B">
        <w:rPr>
          <w:rFonts w:ascii="Arial" w:hAnsi="Arial" w:cs="Arial"/>
          <w:bCs/>
          <w:sz w:val="22"/>
          <w:szCs w:val="22"/>
          <w:lang w:val="fr-FR"/>
        </w:rPr>
        <w:t>’</w:t>
      </w:r>
      <w:r>
        <w:rPr>
          <w:rFonts w:ascii="Arial" w:hAnsi="Arial" w:cs="Arial"/>
          <w:bCs/>
          <w:sz w:val="22"/>
          <w:szCs w:val="22"/>
          <w:lang w:val="fr-FR"/>
        </w:rPr>
        <w:t xml:space="preserve">adoption du projet de décision dans son ensemble, la </w:t>
      </w:r>
      <w:r w:rsidRPr="006D54B3">
        <w:rPr>
          <w:rFonts w:ascii="Arial" w:hAnsi="Arial" w:cs="Arial"/>
          <w:b/>
          <w:sz w:val="22"/>
          <w:szCs w:val="22"/>
          <w:lang w:val="fr-FR"/>
        </w:rPr>
        <w:t xml:space="preserve">Présidente a déclaré la </w:t>
      </w:r>
      <w:r w:rsidRPr="006D54B3">
        <w:rPr>
          <w:rFonts w:ascii="Arial" w:eastAsia="SimSun" w:hAnsi="Arial" w:cs="Arial"/>
          <w:b/>
          <w:sz w:val="22"/>
          <w:szCs w:val="22"/>
          <w:lang w:val="fr-FR" w:eastAsia="en-US"/>
        </w:rPr>
        <w:t>résolution 9.GA</w:t>
      </w:r>
      <w:r>
        <w:rPr>
          <w:rFonts w:ascii="Arial" w:eastAsia="SimSun" w:hAnsi="Arial" w:cs="Arial"/>
          <w:b/>
          <w:sz w:val="22"/>
          <w:szCs w:val="22"/>
          <w:lang w:val="fr-FR" w:eastAsia="en-US"/>
        </w:rPr>
        <w:t> </w:t>
      </w:r>
      <w:r w:rsidRPr="006D54B3">
        <w:rPr>
          <w:rFonts w:ascii="Arial" w:eastAsia="SimSun" w:hAnsi="Arial" w:cs="Arial"/>
          <w:b/>
          <w:sz w:val="22"/>
          <w:szCs w:val="22"/>
          <w:lang w:val="fr-FR" w:eastAsia="en-US"/>
        </w:rPr>
        <w:t>7 adoptée</w:t>
      </w:r>
      <w:r>
        <w:rPr>
          <w:rFonts w:ascii="Arial" w:eastAsia="SimSun" w:hAnsi="Arial" w:cs="Arial"/>
          <w:bCs/>
          <w:sz w:val="22"/>
          <w:szCs w:val="22"/>
          <w:lang w:val="fr-FR" w:eastAsia="en-US"/>
        </w:rPr>
        <w:t>.</w:t>
      </w:r>
    </w:p>
    <w:p w14:paraId="10465AE3" w14:textId="62FC0FD0" w:rsidR="00D9653F" w:rsidRPr="006D54B3"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D54B3">
        <w:rPr>
          <w:rFonts w:ascii="Arial" w:hAnsi="Arial" w:cs="Arial"/>
          <w:bCs/>
          <w:sz w:val="22"/>
          <w:szCs w:val="22"/>
          <w:lang w:val="fr-FR"/>
        </w:rPr>
        <w:t xml:space="preserve">La délégation de la </w:t>
      </w:r>
      <w:r w:rsidRPr="006D54B3">
        <w:rPr>
          <w:rFonts w:ascii="Arial" w:hAnsi="Arial" w:cs="Arial"/>
          <w:b/>
          <w:sz w:val="22"/>
          <w:szCs w:val="22"/>
          <w:lang w:val="fr-FR"/>
        </w:rPr>
        <w:t>Palestine</w:t>
      </w:r>
      <w:r w:rsidRPr="006D54B3">
        <w:rPr>
          <w:rFonts w:ascii="Arial" w:hAnsi="Arial" w:cs="Arial"/>
          <w:bCs/>
          <w:sz w:val="22"/>
          <w:szCs w:val="22"/>
          <w:lang w:val="fr-FR"/>
        </w:rPr>
        <w:t xml:space="preserve"> a remercié l</w:t>
      </w:r>
      <w:r w:rsidR="008E532B">
        <w:rPr>
          <w:rFonts w:ascii="Arial" w:hAnsi="Arial" w:cs="Arial"/>
          <w:bCs/>
          <w:sz w:val="22"/>
          <w:szCs w:val="22"/>
          <w:lang w:val="fr-FR"/>
        </w:rPr>
        <w:t>’</w:t>
      </w:r>
      <w:r>
        <w:rPr>
          <w:rFonts w:ascii="Arial" w:hAnsi="Arial" w:cs="Arial"/>
          <w:bCs/>
          <w:sz w:val="22"/>
          <w:szCs w:val="22"/>
          <w:lang w:val="fr-FR"/>
        </w:rPr>
        <w:t>a</w:t>
      </w:r>
      <w:r w:rsidRPr="006D54B3">
        <w:rPr>
          <w:rFonts w:ascii="Arial" w:hAnsi="Arial" w:cs="Arial"/>
          <w:bCs/>
          <w:sz w:val="22"/>
          <w:szCs w:val="22"/>
          <w:lang w:val="fr-FR"/>
        </w:rPr>
        <w:t>mbassadeur du Japon, M.</w:t>
      </w:r>
      <w:r>
        <w:rPr>
          <w:rFonts w:ascii="Arial" w:hAnsi="Arial" w:cs="Arial"/>
          <w:bCs/>
          <w:sz w:val="22"/>
          <w:szCs w:val="22"/>
          <w:lang w:val="fr-FR"/>
        </w:rPr>
        <w:t> </w:t>
      </w:r>
      <w:proofErr w:type="spellStart"/>
      <w:r w:rsidRPr="006D54B3">
        <w:rPr>
          <w:rFonts w:ascii="Arial" w:hAnsi="Arial" w:cs="Arial"/>
          <w:bCs/>
          <w:sz w:val="22"/>
          <w:szCs w:val="22"/>
          <w:lang w:val="fr-FR"/>
        </w:rPr>
        <w:t>Oike</w:t>
      </w:r>
      <w:proofErr w:type="spellEnd"/>
      <w:r w:rsidRPr="006D54B3">
        <w:rPr>
          <w:rFonts w:ascii="Arial" w:hAnsi="Arial" w:cs="Arial"/>
          <w:bCs/>
          <w:sz w:val="22"/>
          <w:szCs w:val="22"/>
          <w:lang w:val="fr-FR"/>
        </w:rPr>
        <w:t>, qui a</w:t>
      </w:r>
      <w:r>
        <w:rPr>
          <w:rFonts w:ascii="Arial" w:hAnsi="Arial" w:cs="Arial"/>
          <w:bCs/>
          <w:sz w:val="22"/>
          <w:szCs w:val="22"/>
          <w:lang w:val="fr-FR"/>
        </w:rPr>
        <w:t>vait</w:t>
      </w:r>
      <w:r w:rsidRPr="006D54B3">
        <w:rPr>
          <w:rFonts w:ascii="Arial" w:hAnsi="Arial" w:cs="Arial"/>
          <w:bCs/>
          <w:sz w:val="22"/>
          <w:szCs w:val="22"/>
          <w:lang w:val="fr-FR"/>
        </w:rPr>
        <w:t xml:space="preserve"> présidé le groupe informel. Elle a noté les nombreux points de vue sur la question des ONG non parties à la Convention et, </w:t>
      </w:r>
      <w:proofErr w:type="gramStart"/>
      <w:r w:rsidRPr="006D54B3">
        <w:rPr>
          <w:rFonts w:ascii="Arial" w:hAnsi="Arial" w:cs="Arial"/>
          <w:bCs/>
          <w:sz w:val="22"/>
          <w:szCs w:val="22"/>
          <w:lang w:val="fr-FR"/>
        </w:rPr>
        <w:t>suite aux</w:t>
      </w:r>
      <w:proofErr w:type="gramEnd"/>
      <w:r w:rsidRPr="006D54B3">
        <w:rPr>
          <w:rFonts w:ascii="Arial" w:hAnsi="Arial" w:cs="Arial"/>
          <w:bCs/>
          <w:sz w:val="22"/>
          <w:szCs w:val="22"/>
          <w:lang w:val="fr-FR"/>
        </w:rPr>
        <w:t xml:space="preserve"> discussions et négociations, un paragraphe a</w:t>
      </w:r>
      <w:r>
        <w:rPr>
          <w:rFonts w:ascii="Arial" w:hAnsi="Arial" w:cs="Arial"/>
          <w:bCs/>
          <w:sz w:val="22"/>
          <w:szCs w:val="22"/>
          <w:lang w:val="fr-FR"/>
        </w:rPr>
        <w:t>vait</w:t>
      </w:r>
      <w:r w:rsidRPr="006D54B3">
        <w:rPr>
          <w:rFonts w:ascii="Arial" w:hAnsi="Arial" w:cs="Arial"/>
          <w:bCs/>
          <w:sz w:val="22"/>
          <w:szCs w:val="22"/>
          <w:lang w:val="fr-FR"/>
        </w:rPr>
        <w:t xml:space="preserve"> été rédigé et adopté avec succès. </w:t>
      </w:r>
      <w:r>
        <w:rPr>
          <w:rFonts w:ascii="Arial" w:hAnsi="Arial" w:cs="Arial"/>
          <w:bCs/>
          <w:sz w:val="22"/>
          <w:szCs w:val="22"/>
          <w:lang w:val="fr-FR"/>
        </w:rPr>
        <w:t>Afin de</w:t>
      </w:r>
      <w:r w:rsidRPr="006D54B3">
        <w:rPr>
          <w:rFonts w:ascii="Arial" w:hAnsi="Arial" w:cs="Arial"/>
          <w:bCs/>
          <w:sz w:val="22"/>
          <w:szCs w:val="22"/>
          <w:lang w:val="fr-FR"/>
        </w:rPr>
        <w:t xml:space="preserve"> tenir compte de</w:t>
      </w:r>
      <w:r>
        <w:rPr>
          <w:rFonts w:ascii="Arial" w:hAnsi="Arial" w:cs="Arial"/>
          <w:bCs/>
          <w:sz w:val="22"/>
          <w:szCs w:val="22"/>
          <w:lang w:val="fr-FR"/>
        </w:rPr>
        <w:t xml:space="preserve">s </w:t>
      </w:r>
      <w:r w:rsidRPr="006D54B3">
        <w:rPr>
          <w:rFonts w:ascii="Arial" w:hAnsi="Arial" w:cs="Arial"/>
          <w:bCs/>
          <w:sz w:val="22"/>
          <w:szCs w:val="22"/>
          <w:lang w:val="fr-FR"/>
        </w:rPr>
        <w:t>discussion</w:t>
      </w:r>
      <w:r>
        <w:rPr>
          <w:rFonts w:ascii="Arial" w:hAnsi="Arial" w:cs="Arial"/>
          <w:bCs/>
          <w:sz w:val="22"/>
          <w:szCs w:val="22"/>
          <w:lang w:val="fr-FR"/>
        </w:rPr>
        <w:t>s</w:t>
      </w:r>
      <w:r w:rsidRPr="006D54B3">
        <w:rPr>
          <w:rFonts w:ascii="Arial" w:hAnsi="Arial" w:cs="Arial"/>
          <w:bCs/>
          <w:sz w:val="22"/>
          <w:szCs w:val="22"/>
          <w:lang w:val="fr-FR"/>
        </w:rPr>
        <w:t>, la délégation a demandé que les différents points de vue et positions exprimés sur cette question, non seulement concernant l</w:t>
      </w:r>
      <w:r w:rsidR="008E532B">
        <w:rPr>
          <w:rFonts w:ascii="Arial" w:hAnsi="Arial" w:cs="Arial"/>
          <w:bCs/>
          <w:sz w:val="22"/>
          <w:szCs w:val="22"/>
          <w:lang w:val="fr-FR"/>
        </w:rPr>
        <w:t>’</w:t>
      </w:r>
      <w:r w:rsidRPr="006D54B3">
        <w:rPr>
          <w:rFonts w:ascii="Arial" w:hAnsi="Arial" w:cs="Arial"/>
          <w:bCs/>
          <w:sz w:val="22"/>
          <w:szCs w:val="22"/>
          <w:lang w:val="fr-FR"/>
        </w:rPr>
        <w:t xml:space="preserve">élection mais </w:t>
      </w:r>
      <w:r w:rsidRPr="007A724D">
        <w:rPr>
          <w:rFonts w:ascii="Arial" w:hAnsi="Arial" w:cs="Arial"/>
          <w:bCs/>
          <w:color w:val="000000" w:themeColor="text1"/>
          <w:sz w:val="22"/>
          <w:szCs w:val="22"/>
          <w:lang w:val="fr-FR"/>
        </w:rPr>
        <w:t>également</w:t>
      </w:r>
      <w:r>
        <w:rPr>
          <w:rFonts w:ascii="Arial" w:hAnsi="Arial" w:cs="Arial"/>
          <w:bCs/>
          <w:color w:val="000000" w:themeColor="text1"/>
          <w:sz w:val="22"/>
          <w:szCs w:val="22"/>
          <w:lang w:val="fr-FR"/>
        </w:rPr>
        <w:t xml:space="preserve"> </w:t>
      </w:r>
      <w:r w:rsidRPr="006D54B3">
        <w:rPr>
          <w:rFonts w:ascii="Arial" w:hAnsi="Arial" w:cs="Arial"/>
          <w:bCs/>
          <w:sz w:val="22"/>
          <w:szCs w:val="22"/>
          <w:lang w:val="fr-FR"/>
        </w:rPr>
        <w:t>l</w:t>
      </w:r>
      <w:r w:rsidR="008E532B">
        <w:rPr>
          <w:rFonts w:ascii="Arial" w:hAnsi="Arial" w:cs="Arial"/>
          <w:bCs/>
          <w:sz w:val="22"/>
          <w:szCs w:val="22"/>
          <w:lang w:val="fr-FR"/>
        </w:rPr>
        <w:t>’</w:t>
      </w:r>
      <w:r w:rsidRPr="006D54B3">
        <w:rPr>
          <w:rFonts w:ascii="Arial" w:hAnsi="Arial" w:cs="Arial"/>
          <w:bCs/>
          <w:sz w:val="22"/>
          <w:szCs w:val="22"/>
          <w:lang w:val="fr-FR"/>
        </w:rPr>
        <w:t>accréditation des ONG des États non parties à la Convention, soient reflétés dans le rapport oral. La délégation a remercié la Présidente, toutes les délégations, le Conseiller juridique, le Sous-Directeur général et l</w:t>
      </w:r>
      <w:r w:rsidR="008E532B">
        <w:rPr>
          <w:rFonts w:ascii="Arial" w:hAnsi="Arial" w:cs="Arial"/>
          <w:bCs/>
          <w:sz w:val="22"/>
          <w:szCs w:val="22"/>
          <w:lang w:val="fr-FR"/>
        </w:rPr>
        <w:t>’</w:t>
      </w:r>
      <w:r w:rsidRPr="006D54B3">
        <w:rPr>
          <w:rFonts w:ascii="Arial" w:hAnsi="Arial" w:cs="Arial"/>
          <w:bCs/>
          <w:sz w:val="22"/>
          <w:szCs w:val="22"/>
          <w:lang w:val="fr-FR"/>
        </w:rPr>
        <w:t>ensemble du Secrétariat pour leur patience.</w:t>
      </w:r>
    </w:p>
    <w:p w14:paraId="4A88D720" w14:textId="7AF78789" w:rsidR="00D9653F" w:rsidRPr="009F6BC9" w:rsidRDefault="00D9653F" w:rsidP="009F6BC9">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val="fr-FR" w:eastAsia="en-GB"/>
        </w:rPr>
      </w:pPr>
      <w:r w:rsidRPr="009F6BC9">
        <w:rPr>
          <w:rFonts w:eastAsiaTheme="minorEastAsia" w:cs="Arial"/>
          <w:b/>
          <w:color w:val="000000" w:themeColor="text1"/>
          <w:szCs w:val="22"/>
          <w:u w:val="single"/>
          <w:lang w:val="fr-FR" w:eastAsia="en-GB"/>
        </w:rPr>
        <w:t>POINT 13 DE L</w:t>
      </w:r>
      <w:r w:rsidR="008E532B">
        <w:rPr>
          <w:rFonts w:eastAsiaTheme="minorEastAsia" w:cs="Arial"/>
          <w:b/>
          <w:color w:val="000000" w:themeColor="text1"/>
          <w:szCs w:val="22"/>
          <w:u w:val="single"/>
          <w:lang w:val="fr-FR" w:eastAsia="en-GB"/>
        </w:rPr>
        <w:t>’</w:t>
      </w:r>
      <w:r w:rsidRPr="009F6BC9">
        <w:rPr>
          <w:rFonts w:eastAsiaTheme="minorEastAsia" w:cs="Arial"/>
          <w:b/>
          <w:color w:val="000000" w:themeColor="text1"/>
          <w:szCs w:val="22"/>
          <w:u w:val="single"/>
          <w:lang w:val="fr-FR" w:eastAsia="en-GB"/>
        </w:rPr>
        <w:t>ORDRE DU JOUR :</w:t>
      </w:r>
    </w:p>
    <w:p w14:paraId="0328F2CE" w14:textId="2991FE73" w:rsidR="00D9653F" w:rsidRPr="007A724D" w:rsidRDefault="00D9653F" w:rsidP="009F6BC9">
      <w:pPr>
        <w:pStyle w:val="Marge"/>
        <w:keepNext/>
        <w:tabs>
          <w:tab w:val="clear" w:pos="567"/>
          <w:tab w:val="left" w:pos="709"/>
          <w:tab w:val="left" w:pos="1418"/>
          <w:tab w:val="left" w:pos="2126"/>
          <w:tab w:val="left" w:pos="2835"/>
        </w:tabs>
        <w:spacing w:after="120"/>
        <w:jc w:val="left"/>
        <w:outlineLvl w:val="0"/>
        <w:rPr>
          <w:lang w:val="fr-FR"/>
        </w:rPr>
      </w:pPr>
      <w:r w:rsidRPr="009F6BC9">
        <w:rPr>
          <w:rFonts w:eastAsiaTheme="minorHAnsi"/>
          <w:b/>
          <w:color w:val="000000" w:themeColor="text1"/>
          <w:lang w:val="fr-FR"/>
        </w:rPr>
        <w:t>PROPOSITION POUR LA CÉLÉBRATION DU VINGTIÈME ANNIVERSAIRE DE LA CONVENTION EN 2023</w:t>
      </w:r>
    </w:p>
    <w:p w14:paraId="54F77784" w14:textId="3918FC7A" w:rsidR="00D9653F" w:rsidRPr="007A724D" w:rsidRDefault="00D9653F" w:rsidP="000438FF">
      <w:pPr>
        <w:tabs>
          <w:tab w:val="left" w:pos="567"/>
          <w:tab w:val="left" w:pos="2127"/>
        </w:tabs>
        <w:suppressAutoHyphens/>
        <w:autoSpaceDE w:val="0"/>
        <w:spacing w:after="120"/>
        <w:jc w:val="both"/>
        <w:rPr>
          <w:rFonts w:ascii="Arial" w:hAnsi="Arial" w:cs="Arial"/>
          <w:b/>
          <w:sz w:val="22"/>
          <w:szCs w:val="22"/>
          <w:lang w:val="fr-FR"/>
        </w:rPr>
      </w:pPr>
      <w:r w:rsidRPr="007A724D">
        <w:rPr>
          <w:rFonts w:ascii="Arial" w:hAnsi="Arial" w:cs="Arial"/>
          <w:b/>
          <w:sz w:val="22"/>
          <w:szCs w:val="22"/>
          <w:lang w:val="fr-FR"/>
        </w:rPr>
        <w:tab/>
      </w:r>
      <w:r>
        <w:rPr>
          <w:rFonts w:ascii="Arial" w:hAnsi="Arial" w:cs="Arial"/>
          <w:b/>
          <w:sz w:val="22"/>
          <w:szCs w:val="22"/>
          <w:lang w:val="fr-FR"/>
        </w:rPr>
        <w:t>Document</w:t>
      </w:r>
      <w:r w:rsidR="00603192">
        <w:rPr>
          <w:rFonts w:ascii="Arial" w:hAnsi="Arial" w:cs="Arial"/>
          <w:b/>
          <w:sz w:val="22"/>
          <w:szCs w:val="22"/>
          <w:lang w:val="fr-FR"/>
        </w:rPr>
        <w:t> </w:t>
      </w:r>
      <w:r>
        <w:rPr>
          <w:rFonts w:ascii="Arial" w:hAnsi="Arial" w:cs="Arial"/>
          <w:b/>
          <w:sz w:val="22"/>
          <w:szCs w:val="22"/>
          <w:lang w:val="fr-FR"/>
        </w:rPr>
        <w:t>:</w:t>
      </w:r>
      <w:r w:rsidR="00603192">
        <w:rPr>
          <w:rFonts w:ascii="Arial" w:hAnsi="Arial" w:cs="Arial"/>
          <w:b/>
          <w:sz w:val="22"/>
          <w:szCs w:val="22"/>
          <w:lang w:val="fr-FR"/>
        </w:rPr>
        <w:tab/>
      </w:r>
      <w:hyperlink r:id="rId63" w:history="1">
        <w:r w:rsidRPr="007A724D">
          <w:rPr>
            <w:rStyle w:val="Hyperlink"/>
            <w:rFonts w:ascii="Arial" w:hAnsi="Arial" w:cs="Arial"/>
            <w:bCs/>
            <w:i/>
            <w:iCs/>
            <w:sz w:val="22"/>
            <w:szCs w:val="22"/>
            <w:lang w:val="fr-FR"/>
          </w:rPr>
          <w:t>LHE/2</w:t>
        </w:r>
        <w:r w:rsidRPr="007A724D">
          <w:rPr>
            <w:rStyle w:val="Hyperlink"/>
            <w:rFonts w:ascii="Arial" w:hAnsi="Arial" w:cs="Arial"/>
            <w:bCs/>
            <w:i/>
            <w:iCs/>
            <w:sz w:val="22"/>
            <w:szCs w:val="22"/>
            <w:lang w:val="fr-FR"/>
          </w:rPr>
          <w:t>2</w:t>
        </w:r>
        <w:r w:rsidRPr="007A724D">
          <w:rPr>
            <w:rStyle w:val="Hyperlink"/>
            <w:rFonts w:ascii="Arial" w:hAnsi="Arial" w:cs="Arial"/>
            <w:bCs/>
            <w:i/>
            <w:iCs/>
            <w:sz w:val="22"/>
            <w:szCs w:val="22"/>
            <w:lang w:val="fr-FR"/>
          </w:rPr>
          <w:t>/9.GA/13</w:t>
        </w:r>
      </w:hyperlink>
    </w:p>
    <w:p w14:paraId="0101D5B1" w14:textId="5C40ED49" w:rsidR="00D9653F" w:rsidRPr="007A724D" w:rsidRDefault="00D9653F" w:rsidP="000438FF">
      <w:pPr>
        <w:tabs>
          <w:tab w:val="left" w:pos="567"/>
          <w:tab w:val="left" w:pos="2127"/>
        </w:tabs>
        <w:suppressAutoHyphens/>
        <w:autoSpaceDE w:val="0"/>
        <w:spacing w:before="120" w:after="240"/>
        <w:jc w:val="both"/>
        <w:rPr>
          <w:rFonts w:ascii="Arial" w:hAnsi="Arial" w:cs="Arial"/>
          <w:bCs/>
          <w:sz w:val="22"/>
          <w:szCs w:val="22"/>
          <w:lang w:val="fr-FR"/>
        </w:rPr>
      </w:pPr>
      <w:r w:rsidRPr="007A724D">
        <w:rPr>
          <w:rFonts w:ascii="Arial" w:hAnsi="Arial" w:cs="Arial"/>
          <w:b/>
          <w:sz w:val="22"/>
          <w:szCs w:val="22"/>
          <w:lang w:val="fr-FR"/>
        </w:rPr>
        <w:tab/>
        <w:t>R</w:t>
      </w:r>
      <w:r>
        <w:rPr>
          <w:rFonts w:ascii="Arial" w:hAnsi="Arial" w:cs="Arial"/>
          <w:b/>
          <w:sz w:val="22"/>
          <w:szCs w:val="22"/>
          <w:lang w:val="fr-FR"/>
        </w:rPr>
        <w:t>ésolution :</w:t>
      </w:r>
      <w:r w:rsidR="00603192">
        <w:rPr>
          <w:rFonts w:ascii="Arial" w:hAnsi="Arial" w:cs="Arial"/>
          <w:b/>
          <w:sz w:val="22"/>
          <w:szCs w:val="22"/>
          <w:lang w:val="fr-FR"/>
        </w:rPr>
        <w:tab/>
      </w:r>
      <w:hyperlink r:id="rId64" w:history="1">
        <w:r w:rsidRPr="007A724D">
          <w:rPr>
            <w:rStyle w:val="Hyperlink"/>
            <w:rFonts w:ascii="Arial" w:hAnsi="Arial" w:cs="Arial"/>
            <w:bCs/>
            <w:i/>
            <w:iCs/>
            <w:sz w:val="22"/>
            <w:szCs w:val="22"/>
            <w:lang w:val="fr-FR"/>
          </w:rPr>
          <w:t>9.G</w:t>
        </w:r>
        <w:r w:rsidRPr="007A724D">
          <w:rPr>
            <w:rStyle w:val="Hyperlink"/>
            <w:rFonts w:ascii="Arial" w:hAnsi="Arial" w:cs="Arial"/>
            <w:bCs/>
            <w:i/>
            <w:iCs/>
            <w:sz w:val="22"/>
            <w:szCs w:val="22"/>
            <w:lang w:val="fr-FR"/>
          </w:rPr>
          <w:t>A</w:t>
        </w:r>
        <w:r w:rsidRPr="007A724D">
          <w:rPr>
            <w:rStyle w:val="Hyperlink"/>
            <w:rFonts w:ascii="Arial" w:hAnsi="Arial" w:cs="Arial"/>
            <w:bCs/>
            <w:i/>
            <w:iCs/>
            <w:sz w:val="22"/>
            <w:szCs w:val="22"/>
            <w:lang w:val="fr-FR"/>
          </w:rPr>
          <w:t xml:space="preserve"> 13</w:t>
        </w:r>
      </w:hyperlink>
    </w:p>
    <w:p w14:paraId="3E6F947C" w14:textId="77777777" w:rsidR="00D9653F" w:rsidRDefault="00D9653F" w:rsidP="00D9653F">
      <w:pPr>
        <w:numPr>
          <w:ilvl w:val="0"/>
          <w:numId w:val="19"/>
        </w:numPr>
        <w:suppressAutoHyphens/>
        <w:autoSpaceDE w:val="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7A724D">
        <w:rPr>
          <w:rFonts w:ascii="Arial" w:hAnsi="Arial" w:cs="Arial"/>
          <w:b/>
          <w:sz w:val="22"/>
          <w:szCs w:val="22"/>
          <w:lang w:val="fr-FR"/>
        </w:rPr>
        <w:t>Présidente</w:t>
      </w:r>
      <w:r>
        <w:rPr>
          <w:rFonts w:ascii="Arial" w:hAnsi="Arial" w:cs="Arial"/>
          <w:bCs/>
          <w:sz w:val="22"/>
          <w:szCs w:val="22"/>
          <w:lang w:val="fr-FR"/>
        </w:rPr>
        <w:t xml:space="preserve"> est passée au point 13, la </w:t>
      </w:r>
      <w:r w:rsidRPr="007A724D">
        <w:rPr>
          <w:rFonts w:ascii="Arial" w:hAnsi="Arial" w:cs="Arial"/>
          <w:bCs/>
          <w:sz w:val="22"/>
          <w:szCs w:val="22"/>
          <w:lang w:val="fr-FR"/>
        </w:rPr>
        <w:t>proposition</w:t>
      </w:r>
      <w:r>
        <w:rPr>
          <w:rFonts w:ascii="Arial" w:hAnsi="Arial" w:cs="Arial"/>
          <w:bCs/>
          <w:sz w:val="22"/>
          <w:szCs w:val="22"/>
          <w:lang w:val="fr-FR"/>
        </w:rPr>
        <w:t xml:space="preserve"> pour la célébration du vingtième anniversaire de la Convention en 2023.</w:t>
      </w:r>
    </w:p>
    <w:p w14:paraId="59A020D4" w14:textId="12607112"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A724D">
        <w:rPr>
          <w:rFonts w:ascii="Arial" w:hAnsi="Arial" w:cs="Arial"/>
          <w:bCs/>
          <w:sz w:val="22"/>
          <w:szCs w:val="22"/>
          <w:lang w:val="fr-FR"/>
        </w:rPr>
        <w:t xml:space="preserve">Le </w:t>
      </w:r>
      <w:r w:rsidRPr="007A724D">
        <w:rPr>
          <w:rFonts w:ascii="Arial" w:hAnsi="Arial" w:cs="Arial"/>
          <w:b/>
          <w:sz w:val="22"/>
          <w:szCs w:val="22"/>
          <w:lang w:val="fr-FR"/>
        </w:rPr>
        <w:t>Sous-Directeur général</w:t>
      </w:r>
      <w:r w:rsidRPr="007A724D">
        <w:rPr>
          <w:rFonts w:ascii="Arial" w:hAnsi="Arial" w:cs="Arial"/>
          <w:bCs/>
          <w:sz w:val="22"/>
          <w:szCs w:val="22"/>
          <w:lang w:val="fr-FR"/>
        </w:rPr>
        <w:t xml:space="preserve"> a fait remarquer que 2023 marquait le vingtième anniversaire de l</w:t>
      </w:r>
      <w:r w:rsidR="008E532B">
        <w:rPr>
          <w:rFonts w:ascii="Arial" w:hAnsi="Arial" w:cs="Arial"/>
          <w:bCs/>
          <w:sz w:val="22"/>
          <w:szCs w:val="22"/>
          <w:lang w:val="fr-FR"/>
        </w:rPr>
        <w:t>’</w:t>
      </w:r>
      <w:r w:rsidRPr="007A724D">
        <w:rPr>
          <w:rFonts w:ascii="Arial" w:hAnsi="Arial" w:cs="Arial"/>
          <w:bCs/>
          <w:sz w:val="22"/>
          <w:szCs w:val="22"/>
          <w:lang w:val="fr-FR"/>
        </w:rPr>
        <w:t>adoption de la Convention de 2003, un tournant important dans la vie de cette Convention. La célébration serait l</w:t>
      </w:r>
      <w:r w:rsidR="008E532B">
        <w:rPr>
          <w:rFonts w:ascii="Arial" w:hAnsi="Arial" w:cs="Arial"/>
          <w:bCs/>
          <w:sz w:val="22"/>
          <w:szCs w:val="22"/>
          <w:lang w:val="fr-FR"/>
        </w:rPr>
        <w:t>’</w:t>
      </w:r>
      <w:r w:rsidRPr="007A724D">
        <w:rPr>
          <w:rFonts w:ascii="Arial" w:hAnsi="Arial" w:cs="Arial"/>
          <w:bCs/>
          <w:sz w:val="22"/>
          <w:szCs w:val="22"/>
          <w:lang w:val="fr-FR"/>
        </w:rPr>
        <w:t>occasion pour les parties prenantes de faire le point sur les réalisations passées et de réfléchir à l</w:t>
      </w:r>
      <w:r w:rsidR="008E532B">
        <w:rPr>
          <w:rFonts w:ascii="Arial" w:hAnsi="Arial" w:cs="Arial"/>
          <w:bCs/>
          <w:sz w:val="22"/>
          <w:szCs w:val="22"/>
          <w:lang w:val="fr-FR"/>
        </w:rPr>
        <w:t>’</w:t>
      </w:r>
      <w:r w:rsidRPr="007A724D">
        <w:rPr>
          <w:rFonts w:ascii="Arial" w:hAnsi="Arial" w:cs="Arial"/>
          <w:bCs/>
          <w:sz w:val="22"/>
          <w:szCs w:val="22"/>
          <w:lang w:val="fr-FR"/>
        </w:rPr>
        <w:t>orientation future de la Convention. Ce serait également l</w:t>
      </w:r>
      <w:r w:rsidR="008E532B">
        <w:rPr>
          <w:rFonts w:ascii="Arial" w:hAnsi="Arial" w:cs="Arial"/>
          <w:bCs/>
          <w:sz w:val="22"/>
          <w:szCs w:val="22"/>
          <w:lang w:val="fr-FR"/>
        </w:rPr>
        <w:t>’</w:t>
      </w:r>
      <w:r w:rsidRPr="007A724D">
        <w:rPr>
          <w:rFonts w:ascii="Arial" w:hAnsi="Arial" w:cs="Arial"/>
          <w:bCs/>
          <w:sz w:val="22"/>
          <w:szCs w:val="22"/>
          <w:lang w:val="fr-FR"/>
        </w:rPr>
        <w:t>occasion de sensibiliser davantage à l</w:t>
      </w:r>
      <w:r w:rsidR="008E532B">
        <w:rPr>
          <w:rFonts w:ascii="Arial" w:hAnsi="Arial" w:cs="Arial"/>
          <w:bCs/>
          <w:sz w:val="22"/>
          <w:szCs w:val="22"/>
          <w:lang w:val="fr-FR"/>
        </w:rPr>
        <w:t>’</w:t>
      </w:r>
      <w:r w:rsidRPr="007A724D">
        <w:rPr>
          <w:rFonts w:ascii="Arial" w:hAnsi="Arial" w:cs="Arial"/>
          <w:bCs/>
          <w:sz w:val="22"/>
          <w:szCs w:val="22"/>
          <w:lang w:val="fr-FR"/>
        </w:rPr>
        <w:t>importance du patrimoine vivant. Le plan du Secrétariat prévoyait une campagne mondiale tout au long de 2023 pour célébrer l</w:t>
      </w:r>
      <w:r w:rsidR="008E532B">
        <w:rPr>
          <w:rFonts w:ascii="Arial" w:hAnsi="Arial" w:cs="Arial"/>
          <w:bCs/>
          <w:sz w:val="22"/>
          <w:szCs w:val="22"/>
          <w:lang w:val="fr-FR"/>
        </w:rPr>
        <w:t>’</w:t>
      </w:r>
      <w:r w:rsidRPr="007A724D">
        <w:rPr>
          <w:rFonts w:ascii="Arial" w:hAnsi="Arial" w:cs="Arial"/>
          <w:bCs/>
          <w:sz w:val="22"/>
          <w:szCs w:val="22"/>
          <w:lang w:val="fr-FR"/>
        </w:rPr>
        <w:t>anniversaire, avec une série d</w:t>
      </w:r>
      <w:r w:rsidR="008E532B">
        <w:rPr>
          <w:rFonts w:ascii="Arial" w:hAnsi="Arial" w:cs="Arial"/>
          <w:bCs/>
          <w:sz w:val="22"/>
          <w:szCs w:val="22"/>
          <w:lang w:val="fr-FR"/>
        </w:rPr>
        <w:t>’</w:t>
      </w:r>
      <w:r w:rsidRPr="007A724D">
        <w:rPr>
          <w:rFonts w:ascii="Arial" w:hAnsi="Arial" w:cs="Arial"/>
          <w:bCs/>
          <w:sz w:val="22"/>
          <w:szCs w:val="22"/>
          <w:lang w:val="fr-FR"/>
        </w:rPr>
        <w:t xml:space="preserve">activités visant à mettre en valeur la diversité et la richesse du patrimoine vivant. Il </w:t>
      </w:r>
      <w:r>
        <w:rPr>
          <w:rFonts w:ascii="Arial" w:hAnsi="Arial" w:cs="Arial"/>
          <w:bCs/>
          <w:sz w:val="22"/>
          <w:szCs w:val="22"/>
          <w:lang w:val="fr-FR"/>
        </w:rPr>
        <w:t>était</w:t>
      </w:r>
      <w:r w:rsidRPr="007A724D">
        <w:rPr>
          <w:rFonts w:ascii="Arial" w:hAnsi="Arial" w:cs="Arial"/>
          <w:bCs/>
          <w:sz w:val="22"/>
          <w:szCs w:val="22"/>
          <w:lang w:val="fr-FR"/>
        </w:rPr>
        <w:t xml:space="preserve"> également proposé que les célébrations de l</w:t>
      </w:r>
      <w:r w:rsidR="008E532B">
        <w:rPr>
          <w:rFonts w:ascii="Arial" w:hAnsi="Arial" w:cs="Arial"/>
          <w:bCs/>
          <w:sz w:val="22"/>
          <w:szCs w:val="22"/>
          <w:lang w:val="fr-FR"/>
        </w:rPr>
        <w:t>’</w:t>
      </w:r>
      <w:r w:rsidRPr="007A724D">
        <w:rPr>
          <w:rFonts w:ascii="Arial" w:hAnsi="Arial" w:cs="Arial"/>
          <w:bCs/>
          <w:sz w:val="22"/>
          <w:szCs w:val="22"/>
          <w:lang w:val="fr-FR"/>
        </w:rPr>
        <w:t>anniversaire se concentrent sur les changements que la mise en œuvre de la Convention de 2003 a</w:t>
      </w:r>
      <w:r>
        <w:rPr>
          <w:rFonts w:ascii="Arial" w:hAnsi="Arial" w:cs="Arial"/>
          <w:bCs/>
          <w:sz w:val="22"/>
          <w:szCs w:val="22"/>
          <w:lang w:val="fr-FR"/>
        </w:rPr>
        <w:t>vait</w:t>
      </w:r>
      <w:r w:rsidRPr="007A724D">
        <w:rPr>
          <w:rFonts w:ascii="Arial" w:hAnsi="Arial" w:cs="Arial"/>
          <w:bCs/>
          <w:sz w:val="22"/>
          <w:szCs w:val="22"/>
          <w:lang w:val="fr-FR"/>
        </w:rPr>
        <w:t xml:space="preserve"> apportés à la sauvegarde du patrimoine vivant aux niveaux local, national et international. Dans le même temps, les États parties p</w:t>
      </w:r>
      <w:r>
        <w:rPr>
          <w:rFonts w:ascii="Arial" w:hAnsi="Arial" w:cs="Arial"/>
          <w:bCs/>
          <w:sz w:val="22"/>
          <w:szCs w:val="22"/>
          <w:lang w:val="fr-FR"/>
        </w:rPr>
        <w:t>ouvaient</w:t>
      </w:r>
      <w:r w:rsidRPr="007A724D">
        <w:rPr>
          <w:rFonts w:ascii="Arial" w:hAnsi="Arial" w:cs="Arial"/>
          <w:bCs/>
          <w:sz w:val="22"/>
          <w:szCs w:val="22"/>
          <w:lang w:val="fr-FR"/>
        </w:rPr>
        <w:t xml:space="preserve"> être encouragés à organiser des événements et des activités au niveau national et communautaire pour promouvoir les objectifs de la Convention. À c</w:t>
      </w:r>
      <w:r>
        <w:rPr>
          <w:rFonts w:ascii="Arial" w:hAnsi="Arial" w:cs="Arial"/>
          <w:bCs/>
          <w:sz w:val="22"/>
          <w:szCs w:val="22"/>
          <w:lang w:val="fr-FR"/>
        </w:rPr>
        <w:t>e sujet</w:t>
      </w:r>
      <w:r w:rsidRPr="007A724D">
        <w:rPr>
          <w:rFonts w:ascii="Arial" w:hAnsi="Arial" w:cs="Arial"/>
          <w:bCs/>
          <w:sz w:val="22"/>
          <w:szCs w:val="22"/>
          <w:lang w:val="fr-FR"/>
        </w:rPr>
        <w:t xml:space="preserve">, les documents de travail proposaient trois objectifs principaux comme lignes directrices pour encadrer la célébration. </w:t>
      </w:r>
      <w:r w:rsidR="009637BC">
        <w:rPr>
          <w:rFonts w:ascii="Arial" w:hAnsi="Arial" w:cs="Arial"/>
          <w:bCs/>
          <w:sz w:val="22"/>
          <w:szCs w:val="22"/>
          <w:lang w:val="fr-FR"/>
        </w:rPr>
        <w:t>Le Sous-directeur général</w:t>
      </w:r>
      <w:r w:rsidRPr="007A724D">
        <w:rPr>
          <w:rFonts w:ascii="Arial" w:hAnsi="Arial" w:cs="Arial"/>
          <w:bCs/>
          <w:sz w:val="22"/>
          <w:szCs w:val="22"/>
          <w:lang w:val="fr-FR"/>
        </w:rPr>
        <w:t xml:space="preserve"> a fait remarquer que de nombreuses délégations avaient participé aux célébrations de la Convention de 1972</w:t>
      </w:r>
      <w:r>
        <w:rPr>
          <w:rFonts w:ascii="Arial" w:hAnsi="Arial" w:cs="Arial"/>
          <w:bCs/>
          <w:sz w:val="22"/>
          <w:szCs w:val="22"/>
          <w:lang w:val="fr-FR"/>
        </w:rPr>
        <w:t>,</w:t>
      </w:r>
      <w:r w:rsidRPr="007A724D">
        <w:rPr>
          <w:rFonts w:ascii="Arial" w:hAnsi="Arial" w:cs="Arial"/>
          <w:bCs/>
          <w:sz w:val="22"/>
          <w:szCs w:val="22"/>
          <w:lang w:val="fr-FR"/>
        </w:rPr>
        <w:t xml:space="preserve"> et que l</w:t>
      </w:r>
      <w:r w:rsidR="008E532B">
        <w:rPr>
          <w:rFonts w:ascii="Arial" w:hAnsi="Arial" w:cs="Arial"/>
          <w:bCs/>
          <w:sz w:val="22"/>
          <w:szCs w:val="22"/>
          <w:lang w:val="fr-FR"/>
        </w:rPr>
        <w:t>’</w:t>
      </w:r>
      <w:r w:rsidRPr="007A724D">
        <w:rPr>
          <w:rFonts w:ascii="Arial" w:hAnsi="Arial" w:cs="Arial"/>
          <w:bCs/>
          <w:sz w:val="22"/>
          <w:szCs w:val="22"/>
          <w:lang w:val="fr-FR"/>
        </w:rPr>
        <w:t>idée était de commencer déjà à réfléchir pour trouver les meilleurs moyens d</w:t>
      </w:r>
      <w:r w:rsidR="008E532B">
        <w:rPr>
          <w:rFonts w:ascii="Arial" w:hAnsi="Arial" w:cs="Arial"/>
          <w:bCs/>
          <w:sz w:val="22"/>
          <w:szCs w:val="22"/>
          <w:lang w:val="fr-FR"/>
        </w:rPr>
        <w:t>’</w:t>
      </w:r>
      <w:r w:rsidRPr="007A724D">
        <w:rPr>
          <w:rFonts w:ascii="Arial" w:hAnsi="Arial" w:cs="Arial"/>
          <w:bCs/>
          <w:sz w:val="22"/>
          <w:szCs w:val="22"/>
          <w:lang w:val="fr-FR"/>
        </w:rPr>
        <w:t>intégrer le patrimoine vivant dans les politiques publiques de chaque pays, tout en assurant une plus grande visibilité à la Convention.</w:t>
      </w:r>
    </w:p>
    <w:p w14:paraId="6F184AC4" w14:textId="18DE8467"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bCs/>
          <w:sz w:val="22"/>
          <w:szCs w:val="22"/>
          <w:lang w:val="fr-FR"/>
        </w:rPr>
        <w:t xml:space="preserve">La </w:t>
      </w:r>
      <w:r w:rsidRPr="00FE29F1">
        <w:rPr>
          <w:rFonts w:ascii="Arial" w:hAnsi="Arial" w:cs="Arial"/>
          <w:b/>
          <w:sz w:val="22"/>
          <w:szCs w:val="22"/>
          <w:lang w:val="fr-FR"/>
        </w:rPr>
        <w:t>Présidente</w:t>
      </w:r>
      <w:r>
        <w:rPr>
          <w:rFonts w:ascii="Arial" w:hAnsi="Arial" w:cs="Arial"/>
          <w:bCs/>
          <w:sz w:val="22"/>
          <w:szCs w:val="22"/>
          <w:lang w:val="fr-FR"/>
        </w:rPr>
        <w:t>, qui était impatiente de célébrer les réussites de la Convention, a donné la parole aux orateurs afin qu</w:t>
      </w:r>
      <w:r w:rsidR="008E532B">
        <w:rPr>
          <w:rFonts w:ascii="Arial" w:hAnsi="Arial" w:cs="Arial"/>
          <w:bCs/>
          <w:sz w:val="22"/>
          <w:szCs w:val="22"/>
          <w:lang w:val="fr-FR"/>
        </w:rPr>
        <w:t>’</w:t>
      </w:r>
      <w:r>
        <w:rPr>
          <w:rFonts w:ascii="Arial" w:hAnsi="Arial" w:cs="Arial"/>
          <w:bCs/>
          <w:sz w:val="22"/>
          <w:szCs w:val="22"/>
          <w:lang w:val="fr-FR"/>
        </w:rPr>
        <w:t xml:space="preserve">ils formulent des </w:t>
      </w:r>
      <w:r w:rsidRPr="00FE29F1">
        <w:rPr>
          <w:rFonts w:ascii="Arial" w:hAnsi="Arial" w:cs="Arial"/>
          <w:bCs/>
          <w:sz w:val="22"/>
          <w:szCs w:val="22"/>
          <w:lang w:val="fr-FR"/>
        </w:rPr>
        <w:t>commentaires</w:t>
      </w:r>
      <w:r>
        <w:rPr>
          <w:rFonts w:ascii="Arial" w:hAnsi="Arial" w:cs="Arial"/>
          <w:bCs/>
          <w:sz w:val="22"/>
          <w:szCs w:val="22"/>
          <w:lang w:val="fr-FR"/>
        </w:rPr>
        <w:t>.</w:t>
      </w:r>
    </w:p>
    <w:p w14:paraId="11F934AC" w14:textId="5A195D89" w:rsidR="00D9653F" w:rsidRPr="00FE29F1"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FE29F1">
        <w:rPr>
          <w:rFonts w:ascii="Arial" w:hAnsi="Arial" w:cs="Arial"/>
          <w:bCs/>
          <w:sz w:val="22"/>
          <w:szCs w:val="22"/>
          <w:lang w:val="fr-FR"/>
        </w:rPr>
        <w:t>La délégation de l</w:t>
      </w:r>
      <w:r w:rsidR="008E532B">
        <w:rPr>
          <w:rFonts w:ascii="Arial" w:hAnsi="Arial" w:cs="Arial"/>
          <w:bCs/>
          <w:sz w:val="22"/>
          <w:szCs w:val="22"/>
          <w:lang w:val="fr-FR"/>
        </w:rPr>
        <w:t>’</w:t>
      </w:r>
      <w:r w:rsidRPr="00FE29F1">
        <w:rPr>
          <w:rFonts w:ascii="Arial" w:hAnsi="Arial" w:cs="Arial"/>
          <w:b/>
          <w:sz w:val="22"/>
          <w:szCs w:val="22"/>
          <w:lang w:val="fr-FR"/>
        </w:rPr>
        <w:t>Indonésie</w:t>
      </w:r>
      <w:r w:rsidRPr="00FE29F1">
        <w:rPr>
          <w:rFonts w:ascii="Arial" w:hAnsi="Arial" w:cs="Arial"/>
          <w:bCs/>
          <w:sz w:val="22"/>
          <w:szCs w:val="22"/>
          <w:lang w:val="fr-FR"/>
        </w:rPr>
        <w:t xml:space="preserve"> a félicité la Présidente pour sa gestion efficace de la session. Elle a exprimé son vif intérêt à faire partie des célébrations du vingtième anniversaire de la Convention en 2023. En tant que pays abritant actuellement plus de 11</w:t>
      </w:r>
      <w:r>
        <w:rPr>
          <w:rFonts w:ascii="Arial" w:hAnsi="Arial" w:cs="Arial"/>
          <w:bCs/>
          <w:sz w:val="22"/>
          <w:szCs w:val="22"/>
          <w:lang w:val="fr-FR"/>
        </w:rPr>
        <w:t> </w:t>
      </w:r>
      <w:r w:rsidRPr="00FE29F1">
        <w:rPr>
          <w:rFonts w:ascii="Arial" w:hAnsi="Arial" w:cs="Arial"/>
          <w:bCs/>
          <w:sz w:val="22"/>
          <w:szCs w:val="22"/>
          <w:lang w:val="fr-FR"/>
        </w:rPr>
        <w:t xml:space="preserve">000 éléments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FE29F1">
        <w:rPr>
          <w:rFonts w:ascii="Arial" w:hAnsi="Arial" w:cs="Arial"/>
          <w:bCs/>
          <w:sz w:val="22"/>
          <w:szCs w:val="22"/>
          <w:lang w:val="fr-FR"/>
        </w:rPr>
        <w:t>et plus de 1</w:t>
      </w:r>
      <w:r>
        <w:rPr>
          <w:rFonts w:ascii="Arial" w:hAnsi="Arial" w:cs="Arial"/>
          <w:bCs/>
          <w:sz w:val="22"/>
          <w:szCs w:val="22"/>
          <w:lang w:val="fr-FR"/>
        </w:rPr>
        <w:t> </w:t>
      </w:r>
      <w:r w:rsidRPr="00FE29F1">
        <w:rPr>
          <w:rFonts w:ascii="Arial" w:hAnsi="Arial" w:cs="Arial"/>
          <w:bCs/>
          <w:sz w:val="22"/>
          <w:szCs w:val="22"/>
          <w:lang w:val="fr-FR"/>
        </w:rPr>
        <w:t xml:space="preserve">500 éléments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FE29F1">
        <w:rPr>
          <w:rFonts w:ascii="Arial" w:hAnsi="Arial" w:cs="Arial"/>
          <w:bCs/>
          <w:sz w:val="22"/>
          <w:szCs w:val="22"/>
          <w:lang w:val="fr-FR"/>
        </w:rPr>
        <w:t xml:space="preserve">enregistrés au niveau national, il </w:t>
      </w:r>
      <w:r>
        <w:rPr>
          <w:rFonts w:ascii="Arial" w:hAnsi="Arial" w:cs="Arial"/>
          <w:bCs/>
          <w:sz w:val="22"/>
          <w:szCs w:val="22"/>
          <w:lang w:val="fr-FR"/>
        </w:rPr>
        <w:t>était</w:t>
      </w:r>
      <w:r w:rsidRPr="00FE29F1">
        <w:rPr>
          <w:rFonts w:ascii="Arial" w:hAnsi="Arial" w:cs="Arial"/>
          <w:bCs/>
          <w:sz w:val="22"/>
          <w:szCs w:val="22"/>
          <w:lang w:val="fr-FR"/>
        </w:rPr>
        <w:t xml:space="preserve"> particulièrement important pour l</w:t>
      </w:r>
      <w:r w:rsidR="008E532B">
        <w:rPr>
          <w:rFonts w:ascii="Arial" w:hAnsi="Arial" w:cs="Arial"/>
          <w:bCs/>
          <w:sz w:val="22"/>
          <w:szCs w:val="22"/>
          <w:lang w:val="fr-FR"/>
        </w:rPr>
        <w:t>’</w:t>
      </w:r>
      <w:r w:rsidRPr="00FE29F1">
        <w:rPr>
          <w:rFonts w:ascii="Arial" w:hAnsi="Arial" w:cs="Arial"/>
          <w:bCs/>
          <w:sz w:val="22"/>
          <w:szCs w:val="22"/>
          <w:lang w:val="fr-FR"/>
        </w:rPr>
        <w:t>Indonésie d</w:t>
      </w:r>
      <w:r w:rsidR="008E532B">
        <w:rPr>
          <w:rFonts w:ascii="Arial" w:hAnsi="Arial" w:cs="Arial"/>
          <w:bCs/>
          <w:sz w:val="22"/>
          <w:szCs w:val="22"/>
          <w:lang w:val="fr-FR"/>
        </w:rPr>
        <w:t>’</w:t>
      </w:r>
      <w:r w:rsidRPr="00FE29F1">
        <w:rPr>
          <w:rFonts w:ascii="Arial" w:hAnsi="Arial" w:cs="Arial"/>
          <w:bCs/>
          <w:sz w:val="22"/>
          <w:szCs w:val="22"/>
          <w:lang w:val="fr-FR"/>
        </w:rPr>
        <w:t>incorporer son patrimoine vivant</w:t>
      </w:r>
      <w:r>
        <w:rPr>
          <w:rFonts w:ascii="Arial" w:hAnsi="Arial" w:cs="Arial"/>
          <w:bCs/>
          <w:sz w:val="22"/>
          <w:szCs w:val="22"/>
          <w:lang w:val="fr-FR"/>
        </w:rPr>
        <w:t>,</w:t>
      </w:r>
      <w:r w:rsidRPr="00FE29F1">
        <w:rPr>
          <w:rFonts w:ascii="Arial" w:hAnsi="Arial" w:cs="Arial"/>
          <w:bCs/>
          <w:sz w:val="22"/>
          <w:szCs w:val="22"/>
          <w:lang w:val="fr-FR"/>
        </w:rPr>
        <w:t xml:space="preserve"> riche et diversifié</w:t>
      </w:r>
      <w:r>
        <w:rPr>
          <w:rFonts w:ascii="Arial" w:hAnsi="Arial" w:cs="Arial"/>
          <w:bCs/>
          <w:sz w:val="22"/>
          <w:szCs w:val="22"/>
          <w:lang w:val="fr-FR"/>
        </w:rPr>
        <w:t xml:space="preserve">, </w:t>
      </w:r>
      <w:r w:rsidRPr="00FE29F1">
        <w:rPr>
          <w:rFonts w:ascii="Arial" w:hAnsi="Arial" w:cs="Arial"/>
          <w:bCs/>
          <w:sz w:val="22"/>
          <w:szCs w:val="22"/>
          <w:lang w:val="fr-FR"/>
        </w:rPr>
        <w:t>en tant que courant de créativité dans la réalisation des ODD. Cette démarche s</w:t>
      </w:r>
      <w:r w:rsidR="008E532B">
        <w:rPr>
          <w:rFonts w:ascii="Arial" w:hAnsi="Arial" w:cs="Arial"/>
          <w:bCs/>
          <w:sz w:val="22"/>
          <w:szCs w:val="22"/>
          <w:lang w:val="fr-FR"/>
        </w:rPr>
        <w:t>’</w:t>
      </w:r>
      <w:r w:rsidRPr="00FE29F1">
        <w:rPr>
          <w:rFonts w:ascii="Arial" w:hAnsi="Arial" w:cs="Arial"/>
          <w:bCs/>
          <w:sz w:val="22"/>
          <w:szCs w:val="22"/>
          <w:lang w:val="fr-FR"/>
        </w:rPr>
        <w:t>inscri</w:t>
      </w:r>
      <w:r>
        <w:rPr>
          <w:rFonts w:ascii="Arial" w:hAnsi="Arial" w:cs="Arial"/>
          <w:bCs/>
          <w:sz w:val="22"/>
          <w:szCs w:val="22"/>
          <w:lang w:val="fr-FR"/>
        </w:rPr>
        <w:t>vai</w:t>
      </w:r>
      <w:r w:rsidRPr="00FE29F1">
        <w:rPr>
          <w:rFonts w:ascii="Arial" w:hAnsi="Arial" w:cs="Arial"/>
          <w:bCs/>
          <w:sz w:val="22"/>
          <w:szCs w:val="22"/>
          <w:lang w:val="fr-FR"/>
        </w:rPr>
        <w:t>t dans le droit fil de l</w:t>
      </w:r>
      <w:r w:rsidR="008E532B">
        <w:rPr>
          <w:rFonts w:ascii="Arial" w:hAnsi="Arial" w:cs="Arial"/>
          <w:bCs/>
          <w:sz w:val="22"/>
          <w:szCs w:val="22"/>
          <w:lang w:val="fr-FR"/>
        </w:rPr>
        <w:t>’</w:t>
      </w:r>
      <w:r w:rsidRPr="00FE29F1">
        <w:rPr>
          <w:rFonts w:ascii="Arial" w:hAnsi="Arial" w:cs="Arial"/>
          <w:bCs/>
          <w:sz w:val="22"/>
          <w:szCs w:val="22"/>
          <w:lang w:val="fr-FR"/>
        </w:rPr>
        <w:t xml:space="preserve">actuelle </w:t>
      </w:r>
      <w:r>
        <w:rPr>
          <w:rFonts w:ascii="Arial" w:hAnsi="Arial" w:cs="Arial"/>
          <w:bCs/>
          <w:sz w:val="22"/>
          <w:szCs w:val="22"/>
          <w:lang w:val="fr-FR"/>
        </w:rPr>
        <w:t>P</w:t>
      </w:r>
      <w:r w:rsidRPr="00FE29F1">
        <w:rPr>
          <w:rFonts w:ascii="Arial" w:hAnsi="Arial" w:cs="Arial"/>
          <w:bCs/>
          <w:sz w:val="22"/>
          <w:szCs w:val="22"/>
          <w:lang w:val="fr-FR"/>
        </w:rPr>
        <w:t>résidence indonésienne du G20 [avec une série d</w:t>
      </w:r>
      <w:r w:rsidR="008E532B">
        <w:rPr>
          <w:rFonts w:ascii="Arial" w:hAnsi="Arial" w:cs="Arial"/>
          <w:bCs/>
          <w:sz w:val="22"/>
          <w:szCs w:val="22"/>
          <w:lang w:val="fr-FR"/>
        </w:rPr>
        <w:t>’</w:t>
      </w:r>
      <w:r w:rsidRPr="00FE29F1">
        <w:rPr>
          <w:rFonts w:ascii="Arial" w:hAnsi="Arial" w:cs="Arial"/>
          <w:bCs/>
          <w:sz w:val="22"/>
          <w:szCs w:val="22"/>
          <w:lang w:val="fr-FR"/>
        </w:rPr>
        <w:t xml:space="preserve">événements </w:t>
      </w:r>
      <w:r>
        <w:rPr>
          <w:rFonts w:ascii="Arial" w:hAnsi="Arial" w:cs="Arial"/>
          <w:bCs/>
          <w:sz w:val="22"/>
          <w:szCs w:val="22"/>
          <w:lang w:val="fr-FR"/>
        </w:rPr>
        <w:t>autour du</w:t>
      </w:r>
      <w:r w:rsidRPr="00FE29F1">
        <w:rPr>
          <w:rFonts w:ascii="Arial" w:hAnsi="Arial" w:cs="Arial"/>
          <w:bCs/>
          <w:sz w:val="22"/>
          <w:szCs w:val="22"/>
          <w:lang w:val="fr-FR"/>
        </w:rPr>
        <w:t xml:space="preserve"> thème] </w:t>
      </w:r>
      <w:r>
        <w:rPr>
          <w:rFonts w:ascii="Arial" w:hAnsi="Arial" w:cs="Arial"/>
          <w:bCs/>
          <w:sz w:val="22"/>
          <w:szCs w:val="22"/>
          <w:lang w:val="fr-FR"/>
        </w:rPr>
        <w:t>« </w:t>
      </w:r>
      <w:r w:rsidRPr="00FE29F1">
        <w:rPr>
          <w:rFonts w:ascii="Arial" w:hAnsi="Arial" w:cs="Arial"/>
          <w:bCs/>
          <w:sz w:val="22"/>
          <w:szCs w:val="22"/>
          <w:lang w:val="fr-FR"/>
        </w:rPr>
        <w:t>La culture pour un mode de vie durable</w:t>
      </w:r>
      <w:r>
        <w:rPr>
          <w:rFonts w:ascii="Arial" w:hAnsi="Arial" w:cs="Arial"/>
          <w:bCs/>
          <w:sz w:val="22"/>
          <w:szCs w:val="22"/>
          <w:lang w:val="fr-FR"/>
        </w:rPr>
        <w:t> »</w:t>
      </w:r>
      <w:r w:rsidRPr="00FE29F1">
        <w:rPr>
          <w:rFonts w:ascii="Arial" w:hAnsi="Arial" w:cs="Arial"/>
          <w:bCs/>
          <w:sz w:val="22"/>
          <w:szCs w:val="22"/>
          <w:lang w:val="fr-FR"/>
        </w:rPr>
        <w:t xml:space="preserve">. La </w:t>
      </w:r>
      <w:r>
        <w:rPr>
          <w:rFonts w:ascii="Arial" w:hAnsi="Arial" w:cs="Arial"/>
          <w:bCs/>
          <w:sz w:val="22"/>
          <w:szCs w:val="22"/>
          <w:lang w:val="fr-FR"/>
        </w:rPr>
        <w:t>P</w:t>
      </w:r>
      <w:r w:rsidRPr="00FE29F1">
        <w:rPr>
          <w:rFonts w:ascii="Arial" w:hAnsi="Arial" w:cs="Arial"/>
          <w:bCs/>
          <w:sz w:val="22"/>
          <w:szCs w:val="22"/>
          <w:lang w:val="fr-FR"/>
        </w:rPr>
        <w:t>résidence indonésienne élabor</w:t>
      </w:r>
      <w:r>
        <w:rPr>
          <w:rFonts w:ascii="Arial" w:hAnsi="Arial" w:cs="Arial"/>
          <w:bCs/>
          <w:sz w:val="22"/>
          <w:szCs w:val="22"/>
          <w:lang w:val="fr-FR"/>
        </w:rPr>
        <w:t xml:space="preserve">ait </w:t>
      </w:r>
      <w:r w:rsidRPr="00FE29F1">
        <w:rPr>
          <w:rFonts w:ascii="Arial" w:hAnsi="Arial" w:cs="Arial"/>
          <w:bCs/>
          <w:sz w:val="22"/>
          <w:szCs w:val="22"/>
          <w:lang w:val="fr-FR"/>
        </w:rPr>
        <w:t>une proposition pour la culture en tant que fondement d</w:t>
      </w:r>
      <w:r w:rsidR="008E532B">
        <w:rPr>
          <w:rFonts w:ascii="Arial" w:hAnsi="Arial" w:cs="Arial"/>
          <w:bCs/>
          <w:sz w:val="22"/>
          <w:szCs w:val="22"/>
          <w:lang w:val="fr-FR"/>
        </w:rPr>
        <w:t>’</w:t>
      </w:r>
      <w:r w:rsidRPr="00FE29F1">
        <w:rPr>
          <w:rFonts w:ascii="Arial" w:hAnsi="Arial" w:cs="Arial"/>
          <w:bCs/>
          <w:sz w:val="22"/>
          <w:szCs w:val="22"/>
          <w:lang w:val="fr-FR"/>
        </w:rPr>
        <w:t>une plus grande résilience et d</w:t>
      </w:r>
      <w:r w:rsidR="008E532B">
        <w:rPr>
          <w:rFonts w:ascii="Arial" w:hAnsi="Arial" w:cs="Arial"/>
          <w:bCs/>
          <w:sz w:val="22"/>
          <w:szCs w:val="22"/>
          <w:lang w:val="fr-FR"/>
        </w:rPr>
        <w:t>’</w:t>
      </w:r>
      <w:r w:rsidRPr="00FE29F1">
        <w:rPr>
          <w:rFonts w:ascii="Arial" w:hAnsi="Arial" w:cs="Arial"/>
          <w:bCs/>
          <w:sz w:val="22"/>
          <w:szCs w:val="22"/>
          <w:lang w:val="fr-FR"/>
        </w:rPr>
        <w:t>un avenir social, économique et environnemental plus durable. En participant aux célébrations du vingtième anniversaire, l</w:t>
      </w:r>
      <w:r w:rsidR="008E532B">
        <w:rPr>
          <w:rFonts w:ascii="Arial" w:hAnsi="Arial" w:cs="Arial"/>
          <w:bCs/>
          <w:sz w:val="22"/>
          <w:szCs w:val="22"/>
          <w:lang w:val="fr-FR"/>
        </w:rPr>
        <w:t>’</w:t>
      </w:r>
      <w:r w:rsidRPr="00FE29F1">
        <w:rPr>
          <w:rFonts w:ascii="Arial" w:hAnsi="Arial" w:cs="Arial"/>
          <w:bCs/>
          <w:sz w:val="22"/>
          <w:szCs w:val="22"/>
          <w:lang w:val="fr-FR"/>
        </w:rPr>
        <w:t>Indonésie souhait</w:t>
      </w:r>
      <w:r>
        <w:rPr>
          <w:rFonts w:ascii="Arial" w:hAnsi="Arial" w:cs="Arial"/>
          <w:bCs/>
          <w:sz w:val="22"/>
          <w:szCs w:val="22"/>
          <w:lang w:val="fr-FR"/>
        </w:rPr>
        <w:t>er</w:t>
      </w:r>
      <w:r w:rsidRPr="00FE29F1">
        <w:rPr>
          <w:rFonts w:ascii="Arial" w:hAnsi="Arial" w:cs="Arial"/>
          <w:bCs/>
          <w:sz w:val="22"/>
          <w:szCs w:val="22"/>
          <w:lang w:val="fr-FR"/>
        </w:rPr>
        <w:t>ait également prendre part à l</w:t>
      </w:r>
      <w:r w:rsidR="008E532B">
        <w:rPr>
          <w:rFonts w:ascii="Arial" w:hAnsi="Arial" w:cs="Arial"/>
          <w:bCs/>
          <w:sz w:val="22"/>
          <w:szCs w:val="22"/>
          <w:lang w:val="fr-FR"/>
        </w:rPr>
        <w:t>’</w:t>
      </w:r>
      <w:r w:rsidRPr="00FE29F1">
        <w:rPr>
          <w:rFonts w:ascii="Arial" w:hAnsi="Arial" w:cs="Arial"/>
          <w:bCs/>
          <w:sz w:val="22"/>
          <w:szCs w:val="22"/>
          <w:lang w:val="fr-FR"/>
        </w:rPr>
        <w:t xml:space="preserve">effort mondial sur la meilleure façon de comprendre le rôle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FE29F1">
        <w:rPr>
          <w:rFonts w:ascii="Arial" w:hAnsi="Arial" w:cs="Arial"/>
          <w:bCs/>
          <w:sz w:val="22"/>
          <w:szCs w:val="22"/>
          <w:lang w:val="fr-FR"/>
        </w:rPr>
        <w:t xml:space="preserve">dans le développement durable afin que ses contributions puissent être reconnues et pleinement réalisées. Elle </w:t>
      </w:r>
      <w:r>
        <w:rPr>
          <w:rFonts w:ascii="Arial" w:hAnsi="Arial" w:cs="Arial"/>
          <w:bCs/>
          <w:sz w:val="22"/>
          <w:szCs w:val="22"/>
          <w:lang w:val="fr-FR"/>
        </w:rPr>
        <w:t xml:space="preserve">croyait </w:t>
      </w:r>
      <w:r w:rsidRPr="00FE29F1">
        <w:rPr>
          <w:rFonts w:ascii="Arial" w:hAnsi="Arial" w:cs="Arial"/>
          <w:bCs/>
          <w:sz w:val="22"/>
          <w:szCs w:val="22"/>
          <w:lang w:val="fr-FR"/>
        </w:rPr>
        <w:t>qu</w:t>
      </w:r>
      <w:r w:rsidR="008E532B">
        <w:rPr>
          <w:rFonts w:ascii="Arial" w:hAnsi="Arial" w:cs="Arial"/>
          <w:bCs/>
          <w:sz w:val="22"/>
          <w:szCs w:val="22"/>
          <w:lang w:val="fr-FR"/>
        </w:rPr>
        <w:t>’</w:t>
      </w:r>
      <w:r w:rsidRPr="00FE29F1">
        <w:rPr>
          <w:rFonts w:ascii="Arial" w:hAnsi="Arial" w:cs="Arial"/>
          <w:bCs/>
          <w:sz w:val="22"/>
          <w:szCs w:val="22"/>
          <w:lang w:val="fr-FR"/>
        </w:rPr>
        <w:t xml:space="preserve">en identifiant les liens entre les différents groupes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FE29F1">
        <w:rPr>
          <w:rFonts w:ascii="Arial" w:hAnsi="Arial" w:cs="Arial"/>
          <w:bCs/>
          <w:sz w:val="22"/>
          <w:szCs w:val="22"/>
          <w:lang w:val="fr-FR"/>
        </w:rPr>
        <w:t xml:space="preserve">et les ODD correspondants, cela permettrait de mieux faire connaître le </w:t>
      </w:r>
      <w:r w:rsidR="00E908E2">
        <w:rPr>
          <w:rFonts w:ascii="Arial" w:eastAsia="SimSun" w:hAnsi="Arial" w:cs="Arial"/>
          <w:bCs/>
          <w:sz w:val="22"/>
          <w:szCs w:val="22"/>
          <w:lang w:val="fr-FR" w:eastAsia="en-US"/>
        </w:rPr>
        <w:t>patrimoine culturel immatériel</w:t>
      </w:r>
      <w:r w:rsidRPr="00FE29F1">
        <w:rPr>
          <w:rFonts w:ascii="Arial" w:hAnsi="Arial" w:cs="Arial"/>
          <w:bCs/>
          <w:sz w:val="22"/>
          <w:szCs w:val="22"/>
          <w:lang w:val="fr-FR"/>
        </w:rPr>
        <w:t xml:space="preserve">, contribuant ainsi à la réalisation des ODD. La délégation </w:t>
      </w:r>
      <w:r>
        <w:rPr>
          <w:rFonts w:ascii="Arial" w:hAnsi="Arial" w:cs="Arial"/>
          <w:bCs/>
          <w:sz w:val="22"/>
          <w:szCs w:val="22"/>
          <w:lang w:val="fr-FR"/>
        </w:rPr>
        <w:t>était</w:t>
      </w:r>
      <w:r w:rsidRPr="00FE29F1">
        <w:rPr>
          <w:rFonts w:ascii="Arial" w:hAnsi="Arial" w:cs="Arial"/>
          <w:bCs/>
          <w:sz w:val="22"/>
          <w:szCs w:val="22"/>
          <w:lang w:val="fr-FR"/>
        </w:rPr>
        <w:t xml:space="preserve"> prête à collaborer avec le Secrétariat, les États parties et les autres parties prenantes pour se joindre aux célébrations du vingtième anniversaire.</w:t>
      </w:r>
    </w:p>
    <w:p w14:paraId="20665A84" w14:textId="58DB1126" w:rsidR="00D9653F" w:rsidRPr="00E4666A"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4666A">
        <w:rPr>
          <w:rFonts w:ascii="Arial" w:hAnsi="Arial" w:cs="Arial"/>
          <w:bCs/>
          <w:sz w:val="22"/>
          <w:szCs w:val="22"/>
          <w:lang w:val="fr-FR"/>
        </w:rPr>
        <w:t xml:space="preserve">La délégation des </w:t>
      </w:r>
      <w:r w:rsidRPr="00E4666A">
        <w:rPr>
          <w:rFonts w:ascii="Arial" w:hAnsi="Arial" w:cs="Arial"/>
          <w:b/>
          <w:sz w:val="22"/>
          <w:szCs w:val="22"/>
          <w:lang w:val="fr-FR"/>
        </w:rPr>
        <w:t>Philippines</w:t>
      </w:r>
      <w:r w:rsidRPr="00E4666A">
        <w:rPr>
          <w:rFonts w:ascii="Arial" w:hAnsi="Arial" w:cs="Arial"/>
          <w:bCs/>
          <w:sz w:val="22"/>
          <w:szCs w:val="22"/>
          <w:lang w:val="fr-FR"/>
        </w:rPr>
        <w:t xml:space="preserve"> </w:t>
      </w:r>
      <w:r>
        <w:rPr>
          <w:rFonts w:ascii="Arial" w:hAnsi="Arial" w:cs="Arial"/>
          <w:bCs/>
          <w:sz w:val="22"/>
          <w:szCs w:val="22"/>
          <w:lang w:val="fr-FR"/>
        </w:rPr>
        <w:t xml:space="preserve">a </w:t>
      </w:r>
      <w:r w:rsidRPr="00E4666A">
        <w:rPr>
          <w:rFonts w:ascii="Arial" w:hAnsi="Arial" w:cs="Arial"/>
          <w:bCs/>
          <w:sz w:val="22"/>
          <w:szCs w:val="22"/>
          <w:lang w:val="fr-FR"/>
        </w:rPr>
        <w:t>présent</w:t>
      </w:r>
      <w:r>
        <w:rPr>
          <w:rFonts w:ascii="Arial" w:hAnsi="Arial" w:cs="Arial"/>
          <w:bCs/>
          <w:sz w:val="22"/>
          <w:szCs w:val="22"/>
          <w:lang w:val="fr-FR"/>
        </w:rPr>
        <w:t>é</w:t>
      </w:r>
      <w:r w:rsidRPr="00E4666A">
        <w:rPr>
          <w:rFonts w:ascii="Arial" w:hAnsi="Arial" w:cs="Arial"/>
          <w:bCs/>
          <w:sz w:val="22"/>
          <w:szCs w:val="22"/>
          <w:lang w:val="fr-FR"/>
        </w:rPr>
        <w:t xml:space="preserve"> ses félicitations anticipées à l</w:t>
      </w:r>
      <w:r w:rsidR="008E532B">
        <w:rPr>
          <w:rFonts w:ascii="Arial" w:hAnsi="Arial" w:cs="Arial"/>
          <w:bCs/>
          <w:sz w:val="22"/>
          <w:szCs w:val="22"/>
          <w:lang w:val="fr-FR"/>
        </w:rPr>
        <w:t>’</w:t>
      </w:r>
      <w:r w:rsidRPr="00E4666A">
        <w:rPr>
          <w:rFonts w:ascii="Arial" w:hAnsi="Arial" w:cs="Arial"/>
          <w:bCs/>
          <w:sz w:val="22"/>
          <w:szCs w:val="22"/>
          <w:lang w:val="fr-FR"/>
        </w:rPr>
        <w:t>occasion du vingtième anniversaire de la Convention. Deux décennies après son adoption, la Convention a</w:t>
      </w:r>
      <w:r>
        <w:rPr>
          <w:rFonts w:ascii="Arial" w:hAnsi="Arial" w:cs="Arial"/>
          <w:bCs/>
          <w:sz w:val="22"/>
          <w:szCs w:val="22"/>
          <w:lang w:val="fr-FR"/>
        </w:rPr>
        <w:t>vait</w:t>
      </w:r>
      <w:r w:rsidRPr="00E4666A">
        <w:rPr>
          <w:rFonts w:ascii="Arial" w:hAnsi="Arial" w:cs="Arial"/>
          <w:bCs/>
          <w:sz w:val="22"/>
          <w:szCs w:val="22"/>
          <w:lang w:val="fr-FR"/>
        </w:rPr>
        <w:t xml:space="preserve"> presque atteint la ratification universelle avec un total de 180</w:t>
      </w:r>
      <w:r>
        <w:rPr>
          <w:rFonts w:ascii="Arial" w:hAnsi="Arial" w:cs="Arial"/>
          <w:bCs/>
          <w:sz w:val="22"/>
          <w:szCs w:val="22"/>
          <w:lang w:val="fr-FR"/>
        </w:rPr>
        <w:t> </w:t>
      </w:r>
      <w:r w:rsidRPr="00E4666A">
        <w:rPr>
          <w:rFonts w:ascii="Arial" w:hAnsi="Arial" w:cs="Arial"/>
          <w:bCs/>
          <w:sz w:val="22"/>
          <w:szCs w:val="22"/>
          <w:lang w:val="fr-FR"/>
        </w:rPr>
        <w:t>États</w:t>
      </w:r>
      <w:r>
        <w:rPr>
          <w:rFonts w:ascii="Arial" w:hAnsi="Arial" w:cs="Arial"/>
          <w:bCs/>
          <w:sz w:val="22"/>
          <w:szCs w:val="22"/>
          <w:lang w:val="fr-FR"/>
        </w:rPr>
        <w:t> </w:t>
      </w:r>
      <w:r w:rsidRPr="00E4666A">
        <w:rPr>
          <w:rFonts w:ascii="Arial" w:hAnsi="Arial" w:cs="Arial"/>
          <w:bCs/>
          <w:sz w:val="22"/>
          <w:szCs w:val="22"/>
          <w:lang w:val="fr-FR"/>
        </w:rPr>
        <w:t>parties. Les Philippines encourage</w:t>
      </w:r>
      <w:r>
        <w:rPr>
          <w:rFonts w:ascii="Arial" w:hAnsi="Arial" w:cs="Arial"/>
          <w:bCs/>
          <w:sz w:val="22"/>
          <w:szCs w:val="22"/>
          <w:lang w:val="fr-FR"/>
        </w:rPr>
        <w:t>aie</w:t>
      </w:r>
      <w:r w:rsidRPr="00E4666A">
        <w:rPr>
          <w:rFonts w:ascii="Arial" w:hAnsi="Arial" w:cs="Arial"/>
          <w:bCs/>
          <w:sz w:val="22"/>
          <w:szCs w:val="22"/>
          <w:lang w:val="fr-FR"/>
        </w:rPr>
        <w:t xml:space="preserve">nt les autres États </w:t>
      </w:r>
      <w:r>
        <w:rPr>
          <w:rFonts w:ascii="Arial" w:hAnsi="Arial" w:cs="Arial"/>
          <w:bCs/>
          <w:sz w:val="22"/>
          <w:szCs w:val="22"/>
          <w:lang w:val="fr-FR"/>
        </w:rPr>
        <w:t>m</w:t>
      </w:r>
      <w:r w:rsidRPr="00E4666A">
        <w:rPr>
          <w:rFonts w:ascii="Arial" w:hAnsi="Arial" w:cs="Arial"/>
          <w:bCs/>
          <w:sz w:val="22"/>
          <w:szCs w:val="22"/>
          <w:lang w:val="fr-FR"/>
        </w:rPr>
        <w:t>embres à ratifier la Convention, qui a</w:t>
      </w:r>
      <w:r>
        <w:rPr>
          <w:rFonts w:ascii="Arial" w:hAnsi="Arial" w:cs="Arial"/>
          <w:bCs/>
          <w:sz w:val="22"/>
          <w:szCs w:val="22"/>
          <w:lang w:val="fr-FR"/>
        </w:rPr>
        <w:t>vait</w:t>
      </w:r>
      <w:r w:rsidRPr="00E4666A">
        <w:rPr>
          <w:rFonts w:ascii="Arial" w:hAnsi="Arial" w:cs="Arial"/>
          <w:bCs/>
          <w:sz w:val="22"/>
          <w:szCs w:val="22"/>
          <w:lang w:val="fr-FR"/>
        </w:rPr>
        <w:t xml:space="preserve"> </w:t>
      </w:r>
      <w:r>
        <w:rPr>
          <w:rFonts w:ascii="Arial" w:hAnsi="Arial" w:cs="Arial"/>
          <w:bCs/>
          <w:sz w:val="22"/>
          <w:szCs w:val="22"/>
          <w:lang w:val="fr-FR"/>
        </w:rPr>
        <w:t xml:space="preserve">solidement installé </w:t>
      </w:r>
      <w:r w:rsidRPr="00E4666A">
        <w:rPr>
          <w:rFonts w:ascii="Arial" w:hAnsi="Arial" w:cs="Arial"/>
          <w:bCs/>
          <w:sz w:val="22"/>
          <w:szCs w:val="22"/>
          <w:lang w:val="fr-FR"/>
        </w:rPr>
        <w:t xml:space="preserve">la sauvegarde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E4666A">
        <w:rPr>
          <w:rFonts w:ascii="Arial" w:hAnsi="Arial" w:cs="Arial"/>
          <w:bCs/>
          <w:sz w:val="22"/>
          <w:szCs w:val="22"/>
          <w:lang w:val="fr-FR"/>
        </w:rPr>
        <w:t>au niveau international, devenant une référence claire pour les Philippines et les autres États parties dans l</w:t>
      </w:r>
      <w:r w:rsidR="008E532B">
        <w:rPr>
          <w:rFonts w:ascii="Arial" w:hAnsi="Arial" w:cs="Arial"/>
          <w:bCs/>
          <w:sz w:val="22"/>
          <w:szCs w:val="22"/>
          <w:lang w:val="fr-FR"/>
        </w:rPr>
        <w:t>’</w:t>
      </w:r>
      <w:r w:rsidRPr="00E4666A">
        <w:rPr>
          <w:rFonts w:ascii="Arial" w:hAnsi="Arial" w:cs="Arial"/>
          <w:bCs/>
          <w:sz w:val="22"/>
          <w:szCs w:val="22"/>
          <w:lang w:val="fr-FR"/>
        </w:rPr>
        <w:t>élaboration de politiques publiques, tout en reconnaissant le rôle central des communautés, groupes et individus concernés. Les Philippines participer</w:t>
      </w:r>
      <w:r>
        <w:rPr>
          <w:rFonts w:ascii="Arial" w:hAnsi="Arial" w:cs="Arial"/>
          <w:bCs/>
          <w:sz w:val="22"/>
          <w:szCs w:val="22"/>
          <w:lang w:val="fr-FR"/>
        </w:rPr>
        <w:t>aie</w:t>
      </w:r>
      <w:r w:rsidRPr="00E4666A">
        <w:rPr>
          <w:rFonts w:ascii="Arial" w:hAnsi="Arial" w:cs="Arial"/>
          <w:bCs/>
          <w:sz w:val="22"/>
          <w:szCs w:val="22"/>
          <w:lang w:val="fr-FR"/>
        </w:rPr>
        <w:t>nt à cette occasion mémorable en organisant des événements et des activités au</w:t>
      </w:r>
      <w:r>
        <w:rPr>
          <w:rFonts w:ascii="Arial" w:hAnsi="Arial" w:cs="Arial"/>
          <w:bCs/>
          <w:sz w:val="22"/>
          <w:szCs w:val="22"/>
          <w:lang w:val="fr-FR"/>
        </w:rPr>
        <w:t>x</w:t>
      </w:r>
      <w:r w:rsidRPr="00E4666A">
        <w:rPr>
          <w:rFonts w:ascii="Arial" w:hAnsi="Arial" w:cs="Arial"/>
          <w:bCs/>
          <w:sz w:val="22"/>
          <w:szCs w:val="22"/>
          <w:lang w:val="fr-FR"/>
        </w:rPr>
        <w:t xml:space="preserve"> niveau</w:t>
      </w:r>
      <w:r>
        <w:rPr>
          <w:rFonts w:ascii="Arial" w:hAnsi="Arial" w:cs="Arial"/>
          <w:bCs/>
          <w:sz w:val="22"/>
          <w:szCs w:val="22"/>
          <w:lang w:val="fr-FR"/>
        </w:rPr>
        <w:t>x</w:t>
      </w:r>
      <w:r w:rsidRPr="00E4666A">
        <w:rPr>
          <w:rFonts w:ascii="Arial" w:hAnsi="Arial" w:cs="Arial"/>
          <w:bCs/>
          <w:sz w:val="22"/>
          <w:szCs w:val="22"/>
          <w:lang w:val="fr-FR"/>
        </w:rPr>
        <w:t xml:space="preserve"> national et communautaire pour promouvoir les objectifs de la Convention par la traduction de la Convention dans les langues locales, le soutien au renforcement des capacités, la diffusion des méthodologies numériques de sauvegarde et l</w:t>
      </w:r>
      <w:r w:rsidR="008E532B">
        <w:rPr>
          <w:rFonts w:ascii="Arial" w:hAnsi="Arial" w:cs="Arial"/>
          <w:bCs/>
          <w:sz w:val="22"/>
          <w:szCs w:val="22"/>
          <w:lang w:val="fr-FR"/>
        </w:rPr>
        <w:t>’</w:t>
      </w:r>
      <w:r w:rsidRPr="00E4666A">
        <w:rPr>
          <w:rFonts w:ascii="Arial" w:hAnsi="Arial" w:cs="Arial"/>
          <w:bCs/>
          <w:sz w:val="22"/>
          <w:szCs w:val="22"/>
          <w:lang w:val="fr-FR"/>
        </w:rPr>
        <w:t>équilibre entre le développement économique et la protection du patrimoine, ainsi que des activités qui soulignent l</w:t>
      </w:r>
      <w:r w:rsidR="008E532B">
        <w:rPr>
          <w:rFonts w:ascii="Arial" w:hAnsi="Arial" w:cs="Arial"/>
          <w:bCs/>
          <w:sz w:val="22"/>
          <w:szCs w:val="22"/>
          <w:lang w:val="fr-FR"/>
        </w:rPr>
        <w:t>’</w:t>
      </w:r>
      <w:r w:rsidRPr="00E4666A">
        <w:rPr>
          <w:rFonts w:ascii="Arial" w:hAnsi="Arial" w:cs="Arial"/>
          <w:bCs/>
          <w:sz w:val="22"/>
          <w:szCs w:val="22"/>
          <w:lang w:val="fr-FR"/>
        </w:rPr>
        <w:t>importance du consentement dans les décisions concernant les communautés et leur patrimoine.</w:t>
      </w:r>
    </w:p>
    <w:p w14:paraId="11AB3DFE" w14:textId="43D7C554" w:rsidR="00D9653F" w:rsidRPr="00803667"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E4666A">
        <w:rPr>
          <w:rFonts w:ascii="Arial" w:hAnsi="Arial" w:cs="Arial"/>
          <w:bCs/>
          <w:sz w:val="22"/>
          <w:szCs w:val="22"/>
          <w:lang w:val="fr-FR"/>
        </w:rPr>
        <w:t xml:space="preserve">La délégation du </w:t>
      </w:r>
      <w:r w:rsidRPr="00E4666A">
        <w:rPr>
          <w:rFonts w:ascii="Arial" w:hAnsi="Arial" w:cs="Arial"/>
          <w:b/>
          <w:sz w:val="22"/>
          <w:szCs w:val="22"/>
          <w:lang w:val="fr-FR"/>
        </w:rPr>
        <w:t>Brésil</w:t>
      </w:r>
      <w:r w:rsidRPr="00E4666A">
        <w:rPr>
          <w:rFonts w:ascii="Arial" w:hAnsi="Arial" w:cs="Arial"/>
          <w:bCs/>
          <w:sz w:val="22"/>
          <w:szCs w:val="22"/>
          <w:lang w:val="fr-FR"/>
        </w:rPr>
        <w:t xml:space="preserve"> a convenu que la Convention est l</w:t>
      </w:r>
      <w:r w:rsidR="008E532B">
        <w:rPr>
          <w:rFonts w:ascii="Arial" w:hAnsi="Arial" w:cs="Arial"/>
          <w:bCs/>
          <w:sz w:val="22"/>
          <w:szCs w:val="22"/>
          <w:lang w:val="fr-FR"/>
        </w:rPr>
        <w:t>’</w:t>
      </w:r>
      <w:r w:rsidRPr="00E4666A">
        <w:rPr>
          <w:rFonts w:ascii="Arial" w:hAnsi="Arial" w:cs="Arial"/>
          <w:bCs/>
          <w:sz w:val="22"/>
          <w:szCs w:val="22"/>
          <w:lang w:val="fr-FR"/>
        </w:rPr>
        <w:t xml:space="preserve">une des réalisations les plus remarquables pour tous les États parties. Le Brésil </w:t>
      </w:r>
      <w:r>
        <w:rPr>
          <w:rFonts w:ascii="Arial" w:hAnsi="Arial" w:cs="Arial"/>
          <w:bCs/>
          <w:sz w:val="22"/>
          <w:szCs w:val="22"/>
          <w:lang w:val="fr-FR"/>
        </w:rPr>
        <w:t>était</w:t>
      </w:r>
      <w:r w:rsidRPr="00E4666A">
        <w:rPr>
          <w:rFonts w:ascii="Arial" w:hAnsi="Arial" w:cs="Arial"/>
          <w:bCs/>
          <w:sz w:val="22"/>
          <w:szCs w:val="22"/>
          <w:lang w:val="fr-FR"/>
        </w:rPr>
        <w:t xml:space="preserve"> fier d</w:t>
      </w:r>
      <w:r w:rsidR="008E532B">
        <w:rPr>
          <w:rFonts w:ascii="Arial" w:hAnsi="Arial" w:cs="Arial"/>
          <w:bCs/>
          <w:sz w:val="22"/>
          <w:szCs w:val="22"/>
          <w:lang w:val="fr-FR"/>
        </w:rPr>
        <w:t>’</w:t>
      </w:r>
      <w:r w:rsidRPr="00E4666A">
        <w:rPr>
          <w:rFonts w:ascii="Arial" w:hAnsi="Arial" w:cs="Arial"/>
          <w:bCs/>
          <w:sz w:val="22"/>
          <w:szCs w:val="22"/>
          <w:lang w:val="fr-FR"/>
        </w:rPr>
        <w:t xml:space="preserve">avoir joué un rôle actif dans les premières négociations qui </w:t>
      </w:r>
      <w:r>
        <w:rPr>
          <w:rFonts w:ascii="Arial" w:hAnsi="Arial" w:cs="Arial"/>
          <w:bCs/>
          <w:sz w:val="22"/>
          <w:szCs w:val="22"/>
          <w:lang w:val="fr-FR"/>
        </w:rPr>
        <w:t>avaient</w:t>
      </w:r>
      <w:r w:rsidRPr="00E4666A">
        <w:rPr>
          <w:rFonts w:ascii="Arial" w:hAnsi="Arial" w:cs="Arial"/>
          <w:bCs/>
          <w:sz w:val="22"/>
          <w:szCs w:val="22"/>
          <w:lang w:val="fr-FR"/>
        </w:rPr>
        <w:t xml:space="preserve"> donné naissance à la Convention. En 2023, au niveau national, le Brésil fêtera</w:t>
      </w:r>
      <w:r>
        <w:rPr>
          <w:rFonts w:ascii="Arial" w:hAnsi="Arial" w:cs="Arial"/>
          <w:bCs/>
          <w:sz w:val="22"/>
          <w:szCs w:val="22"/>
          <w:lang w:val="fr-FR"/>
        </w:rPr>
        <w:t>it</w:t>
      </w:r>
      <w:r w:rsidRPr="00E4666A">
        <w:rPr>
          <w:rFonts w:ascii="Arial" w:hAnsi="Arial" w:cs="Arial"/>
          <w:bCs/>
          <w:sz w:val="22"/>
          <w:szCs w:val="22"/>
          <w:lang w:val="fr-FR"/>
        </w:rPr>
        <w:t xml:space="preserve"> le </w:t>
      </w:r>
      <w:r>
        <w:rPr>
          <w:rFonts w:ascii="Arial" w:hAnsi="Arial" w:cs="Arial"/>
          <w:bCs/>
          <w:sz w:val="22"/>
          <w:szCs w:val="22"/>
          <w:lang w:val="fr-FR"/>
        </w:rPr>
        <w:t>vingt</w:t>
      </w:r>
      <w:r>
        <w:rPr>
          <w:rFonts w:ascii="Arial" w:hAnsi="Arial" w:cs="Arial"/>
          <w:bCs/>
          <w:sz w:val="22"/>
          <w:szCs w:val="22"/>
          <w:lang w:val="fr-FR"/>
        </w:rPr>
        <w:noBreakHyphen/>
        <w:t>troisième</w:t>
      </w:r>
      <w:r w:rsidRPr="00E4666A">
        <w:rPr>
          <w:rFonts w:ascii="Arial" w:hAnsi="Arial" w:cs="Arial"/>
          <w:bCs/>
          <w:sz w:val="22"/>
          <w:szCs w:val="22"/>
          <w:lang w:val="fr-FR"/>
        </w:rPr>
        <w:t xml:space="preserve"> anniversaire de son programme national pour la sauvegarde du patrimoine immatériel. Cela refl</w:t>
      </w:r>
      <w:r>
        <w:rPr>
          <w:rFonts w:ascii="Arial" w:hAnsi="Arial" w:cs="Arial"/>
          <w:bCs/>
          <w:sz w:val="22"/>
          <w:szCs w:val="22"/>
          <w:lang w:val="fr-FR"/>
        </w:rPr>
        <w:t>était</w:t>
      </w:r>
      <w:r w:rsidRPr="00E4666A">
        <w:rPr>
          <w:rFonts w:ascii="Arial" w:hAnsi="Arial" w:cs="Arial"/>
          <w:bCs/>
          <w:sz w:val="22"/>
          <w:szCs w:val="22"/>
          <w:lang w:val="fr-FR"/>
        </w:rPr>
        <w:t xml:space="preserve"> la conscience historique de la société brésilienne à l</w:t>
      </w:r>
      <w:r w:rsidR="008E532B">
        <w:rPr>
          <w:rFonts w:ascii="Arial" w:hAnsi="Arial" w:cs="Arial"/>
          <w:bCs/>
          <w:sz w:val="22"/>
          <w:szCs w:val="22"/>
          <w:lang w:val="fr-FR"/>
        </w:rPr>
        <w:t>’</w:t>
      </w:r>
      <w:r w:rsidRPr="00E4666A">
        <w:rPr>
          <w:rFonts w:ascii="Arial" w:hAnsi="Arial" w:cs="Arial"/>
          <w:bCs/>
          <w:sz w:val="22"/>
          <w:szCs w:val="22"/>
          <w:lang w:val="fr-FR"/>
        </w:rPr>
        <w:t>égard du patrimoine vivant</w:t>
      </w:r>
      <w:r>
        <w:rPr>
          <w:rFonts w:ascii="Arial" w:hAnsi="Arial" w:cs="Arial"/>
          <w:bCs/>
          <w:sz w:val="22"/>
          <w:szCs w:val="22"/>
          <w:lang w:val="fr-FR"/>
        </w:rPr>
        <w:t xml:space="preserve">, </w:t>
      </w:r>
      <w:r w:rsidRPr="00E4666A">
        <w:rPr>
          <w:rFonts w:ascii="Arial" w:hAnsi="Arial" w:cs="Arial"/>
          <w:bCs/>
          <w:sz w:val="22"/>
          <w:szCs w:val="22"/>
          <w:lang w:val="fr-FR"/>
        </w:rPr>
        <w:t>cette myriade de traditions et de manifestations culturelles qui conf</w:t>
      </w:r>
      <w:r>
        <w:rPr>
          <w:rFonts w:ascii="Arial" w:hAnsi="Arial" w:cs="Arial"/>
          <w:bCs/>
          <w:sz w:val="22"/>
          <w:szCs w:val="22"/>
          <w:lang w:val="fr-FR"/>
        </w:rPr>
        <w:t>éraient</w:t>
      </w:r>
      <w:r w:rsidRPr="00E4666A">
        <w:rPr>
          <w:rFonts w:ascii="Arial" w:hAnsi="Arial" w:cs="Arial"/>
          <w:bCs/>
          <w:sz w:val="22"/>
          <w:szCs w:val="22"/>
          <w:lang w:val="fr-FR"/>
        </w:rPr>
        <w:t xml:space="preserve"> unité et identité à sa société multiethnique. A titre d</w:t>
      </w:r>
      <w:r w:rsidR="008E532B">
        <w:rPr>
          <w:rFonts w:ascii="Arial" w:hAnsi="Arial" w:cs="Arial"/>
          <w:bCs/>
          <w:sz w:val="22"/>
          <w:szCs w:val="22"/>
          <w:lang w:val="fr-FR"/>
        </w:rPr>
        <w:t>’</w:t>
      </w:r>
      <w:r w:rsidRPr="00E4666A">
        <w:rPr>
          <w:rFonts w:ascii="Arial" w:hAnsi="Arial" w:cs="Arial"/>
          <w:bCs/>
          <w:sz w:val="22"/>
          <w:szCs w:val="22"/>
          <w:lang w:val="fr-FR"/>
        </w:rPr>
        <w:t>exemple d</w:t>
      </w:r>
      <w:r>
        <w:rPr>
          <w:rFonts w:ascii="Arial" w:hAnsi="Arial" w:cs="Arial"/>
          <w:bCs/>
          <w:sz w:val="22"/>
          <w:szCs w:val="22"/>
          <w:lang w:val="fr-FR"/>
        </w:rPr>
        <w:t xml:space="preserve">es </w:t>
      </w:r>
      <w:r w:rsidRPr="00E4666A">
        <w:rPr>
          <w:rFonts w:ascii="Arial" w:hAnsi="Arial" w:cs="Arial"/>
          <w:bCs/>
          <w:sz w:val="22"/>
          <w:szCs w:val="22"/>
          <w:lang w:val="fr-FR"/>
        </w:rPr>
        <w:t>actions</w:t>
      </w:r>
      <w:r>
        <w:rPr>
          <w:rFonts w:ascii="Arial" w:hAnsi="Arial" w:cs="Arial"/>
          <w:bCs/>
          <w:sz w:val="22"/>
          <w:szCs w:val="22"/>
          <w:lang w:val="fr-FR"/>
        </w:rPr>
        <w:t xml:space="preserve"> mises en œuvre</w:t>
      </w:r>
      <w:r w:rsidRPr="00E4666A">
        <w:rPr>
          <w:rFonts w:ascii="Arial" w:hAnsi="Arial" w:cs="Arial"/>
          <w:bCs/>
          <w:sz w:val="22"/>
          <w:szCs w:val="22"/>
          <w:lang w:val="fr-FR"/>
        </w:rPr>
        <w:t>, son Institut national du patrimoine historique et artistique v</w:t>
      </w:r>
      <w:r>
        <w:rPr>
          <w:rFonts w:ascii="Arial" w:hAnsi="Arial" w:cs="Arial"/>
          <w:bCs/>
          <w:sz w:val="22"/>
          <w:szCs w:val="22"/>
          <w:lang w:val="fr-FR"/>
        </w:rPr>
        <w:t>enait</w:t>
      </w:r>
      <w:r w:rsidRPr="00E4666A">
        <w:rPr>
          <w:rFonts w:ascii="Arial" w:hAnsi="Arial" w:cs="Arial"/>
          <w:bCs/>
          <w:sz w:val="22"/>
          <w:szCs w:val="22"/>
          <w:lang w:val="fr-FR"/>
        </w:rPr>
        <w:t xml:space="preserve"> de signer un accord de coopération technique avec l</w:t>
      </w:r>
      <w:r w:rsidR="008E532B">
        <w:rPr>
          <w:rFonts w:ascii="Arial" w:hAnsi="Arial" w:cs="Arial"/>
          <w:bCs/>
          <w:sz w:val="22"/>
          <w:szCs w:val="22"/>
          <w:lang w:val="fr-FR"/>
        </w:rPr>
        <w:t>’</w:t>
      </w:r>
      <w:r w:rsidRPr="00E4666A">
        <w:rPr>
          <w:rFonts w:ascii="Arial" w:hAnsi="Arial" w:cs="Arial"/>
          <w:bCs/>
          <w:sz w:val="22"/>
          <w:szCs w:val="22"/>
          <w:lang w:val="fr-FR"/>
        </w:rPr>
        <w:t>Agence brésilienne de promotion du tourisme</w:t>
      </w:r>
      <w:r>
        <w:rPr>
          <w:rFonts w:ascii="Arial" w:hAnsi="Arial" w:cs="Arial"/>
          <w:bCs/>
          <w:sz w:val="22"/>
          <w:szCs w:val="22"/>
          <w:lang w:val="fr-FR"/>
        </w:rPr>
        <w:t>, qui</w:t>
      </w:r>
      <w:r w:rsidRPr="00E4666A">
        <w:rPr>
          <w:rFonts w:ascii="Arial" w:hAnsi="Arial" w:cs="Arial"/>
          <w:bCs/>
          <w:sz w:val="22"/>
          <w:szCs w:val="22"/>
          <w:lang w:val="fr-FR"/>
        </w:rPr>
        <w:t xml:space="preserve"> visa</w:t>
      </w:r>
      <w:r>
        <w:rPr>
          <w:rFonts w:ascii="Arial" w:hAnsi="Arial" w:cs="Arial"/>
          <w:bCs/>
          <w:sz w:val="22"/>
          <w:szCs w:val="22"/>
          <w:lang w:val="fr-FR"/>
        </w:rPr>
        <w:t>it</w:t>
      </w:r>
      <w:r w:rsidRPr="00E4666A">
        <w:rPr>
          <w:rFonts w:ascii="Arial" w:hAnsi="Arial" w:cs="Arial"/>
          <w:bCs/>
          <w:sz w:val="22"/>
          <w:szCs w:val="22"/>
          <w:lang w:val="fr-FR"/>
        </w:rPr>
        <w:t xml:space="preserve"> à la promotion et à la diffusion des éléments culturels brésiliens inscrits sur la Liste représentative et sur la Liste du patrimoine mondial. Cela contribu</w:t>
      </w:r>
      <w:r>
        <w:rPr>
          <w:rFonts w:ascii="Arial" w:hAnsi="Arial" w:cs="Arial"/>
          <w:bCs/>
          <w:sz w:val="22"/>
          <w:szCs w:val="22"/>
          <w:lang w:val="fr-FR"/>
        </w:rPr>
        <w:t>ait</w:t>
      </w:r>
      <w:r w:rsidRPr="00E4666A">
        <w:rPr>
          <w:rFonts w:ascii="Arial" w:hAnsi="Arial" w:cs="Arial"/>
          <w:bCs/>
          <w:sz w:val="22"/>
          <w:szCs w:val="22"/>
          <w:lang w:val="fr-FR"/>
        </w:rPr>
        <w:t xml:space="preserve"> grandement aux diverses dimensions de la durabilité au sein des communautés et des groupes sociaux connexes, ce qui se tradui</w:t>
      </w:r>
      <w:r>
        <w:rPr>
          <w:rFonts w:ascii="Arial" w:hAnsi="Arial" w:cs="Arial"/>
          <w:bCs/>
          <w:sz w:val="22"/>
          <w:szCs w:val="22"/>
          <w:lang w:val="fr-FR"/>
        </w:rPr>
        <w:t>sai</w:t>
      </w:r>
      <w:r w:rsidRPr="00E4666A">
        <w:rPr>
          <w:rFonts w:ascii="Arial" w:hAnsi="Arial" w:cs="Arial"/>
          <w:bCs/>
          <w:sz w:val="22"/>
          <w:szCs w:val="22"/>
          <w:lang w:val="fr-FR"/>
        </w:rPr>
        <w:t xml:space="preserve">t par le renforcement des actions de sauvegarde de ces éléments culturels. La stratégie </w:t>
      </w:r>
      <w:r>
        <w:rPr>
          <w:rFonts w:ascii="Arial" w:hAnsi="Arial" w:cs="Arial"/>
          <w:bCs/>
          <w:sz w:val="22"/>
          <w:szCs w:val="22"/>
          <w:lang w:val="fr-FR"/>
        </w:rPr>
        <w:t xml:space="preserve">du Brésil pour la </w:t>
      </w:r>
      <w:r w:rsidRPr="00E4666A">
        <w:rPr>
          <w:rFonts w:ascii="Arial" w:hAnsi="Arial" w:cs="Arial"/>
          <w:bCs/>
          <w:sz w:val="22"/>
          <w:szCs w:val="22"/>
          <w:lang w:val="fr-FR"/>
        </w:rPr>
        <w:t xml:space="preserve">promotion du patrimoine immatériel </w:t>
      </w:r>
      <w:r>
        <w:rPr>
          <w:rFonts w:ascii="Arial" w:hAnsi="Arial" w:cs="Arial"/>
          <w:bCs/>
          <w:sz w:val="22"/>
          <w:szCs w:val="22"/>
          <w:lang w:val="fr-FR"/>
        </w:rPr>
        <w:t>reprenait</w:t>
      </w:r>
      <w:r w:rsidRPr="00803667">
        <w:rPr>
          <w:rFonts w:ascii="Arial" w:hAnsi="Arial" w:cs="Arial"/>
          <w:bCs/>
          <w:sz w:val="22"/>
          <w:szCs w:val="22"/>
          <w:lang w:val="fr-FR"/>
        </w:rPr>
        <w:t xml:space="preserve">, dans une large mesure, </w:t>
      </w:r>
      <w:r>
        <w:rPr>
          <w:rFonts w:ascii="Arial" w:hAnsi="Arial" w:cs="Arial"/>
          <w:bCs/>
          <w:sz w:val="22"/>
          <w:szCs w:val="22"/>
          <w:lang w:val="fr-FR"/>
        </w:rPr>
        <w:t xml:space="preserve">les </w:t>
      </w:r>
      <w:r w:rsidRPr="00803667">
        <w:rPr>
          <w:rFonts w:ascii="Arial" w:hAnsi="Arial" w:cs="Arial"/>
          <w:bCs/>
          <w:sz w:val="22"/>
          <w:szCs w:val="22"/>
          <w:lang w:val="fr-FR"/>
        </w:rPr>
        <w:t xml:space="preserve">suggestions du Secrétariat pour célébrer les vingt ans de la Convention. </w:t>
      </w:r>
      <w:r>
        <w:rPr>
          <w:rFonts w:ascii="Arial" w:hAnsi="Arial" w:cs="Arial"/>
          <w:bCs/>
          <w:sz w:val="22"/>
          <w:szCs w:val="22"/>
          <w:lang w:val="fr-FR"/>
        </w:rPr>
        <w:t>Le pays</w:t>
      </w:r>
      <w:r w:rsidRPr="00803667">
        <w:rPr>
          <w:rFonts w:ascii="Arial" w:hAnsi="Arial" w:cs="Arial"/>
          <w:bCs/>
          <w:sz w:val="22"/>
          <w:szCs w:val="22"/>
          <w:lang w:val="fr-FR"/>
        </w:rPr>
        <w:t xml:space="preserve"> travaillait activement à des campagnes de sensibilisation et à l</w:t>
      </w:r>
      <w:r w:rsidR="008E532B">
        <w:rPr>
          <w:rFonts w:ascii="Arial" w:hAnsi="Arial" w:cs="Arial"/>
          <w:bCs/>
          <w:sz w:val="22"/>
          <w:szCs w:val="22"/>
          <w:lang w:val="fr-FR"/>
        </w:rPr>
        <w:t>’</w:t>
      </w:r>
      <w:r w:rsidRPr="00803667">
        <w:rPr>
          <w:rFonts w:ascii="Arial" w:hAnsi="Arial" w:cs="Arial"/>
          <w:bCs/>
          <w:sz w:val="22"/>
          <w:szCs w:val="22"/>
          <w:lang w:val="fr-FR"/>
        </w:rPr>
        <w:t>intégration des manifestations culturelles brésiliennes dans le monde virtuel. Dans cette optique, la stratégie prenait en compte les jeunes et les populations autochtones dans sa campagne. Pour ces raisons, la délégation saluait et soutenait pleinement le Secrétariat à l</w:t>
      </w:r>
      <w:r w:rsidR="008E532B">
        <w:rPr>
          <w:rFonts w:ascii="Arial" w:hAnsi="Arial" w:cs="Arial"/>
          <w:bCs/>
          <w:sz w:val="22"/>
          <w:szCs w:val="22"/>
          <w:lang w:val="fr-FR"/>
        </w:rPr>
        <w:t>’</w:t>
      </w:r>
      <w:r w:rsidRPr="00803667">
        <w:rPr>
          <w:rFonts w:ascii="Arial" w:hAnsi="Arial" w:cs="Arial"/>
          <w:bCs/>
          <w:sz w:val="22"/>
          <w:szCs w:val="22"/>
          <w:lang w:val="fr-FR"/>
        </w:rPr>
        <w:t>occasion de sa célébration du vingtième anniversaire de la Convention de 2003. Le Brésil était heureux de contribuer par son expertise à des événements tant nationaux qu</w:t>
      </w:r>
      <w:r w:rsidR="008E532B">
        <w:rPr>
          <w:rFonts w:ascii="Arial" w:hAnsi="Arial" w:cs="Arial"/>
          <w:bCs/>
          <w:sz w:val="22"/>
          <w:szCs w:val="22"/>
          <w:lang w:val="fr-FR"/>
        </w:rPr>
        <w:t>’</w:t>
      </w:r>
      <w:r w:rsidRPr="00803667">
        <w:rPr>
          <w:rFonts w:ascii="Arial" w:hAnsi="Arial" w:cs="Arial"/>
          <w:bCs/>
          <w:sz w:val="22"/>
          <w:szCs w:val="22"/>
          <w:lang w:val="fr-FR"/>
        </w:rPr>
        <w:t>internationaux.</w:t>
      </w:r>
    </w:p>
    <w:p w14:paraId="7175EA0D" w14:textId="1C70FB29" w:rsidR="00D9653F" w:rsidRPr="00766CF5"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66CF5">
        <w:rPr>
          <w:rFonts w:ascii="Arial" w:hAnsi="Arial" w:cs="Arial"/>
          <w:bCs/>
          <w:sz w:val="22"/>
          <w:szCs w:val="22"/>
          <w:lang w:val="fr-FR"/>
        </w:rPr>
        <w:t xml:space="preserve">La délégation de la </w:t>
      </w:r>
      <w:r w:rsidRPr="00766CF5">
        <w:rPr>
          <w:rFonts w:ascii="Arial" w:hAnsi="Arial" w:cs="Arial"/>
          <w:b/>
          <w:sz w:val="22"/>
          <w:szCs w:val="22"/>
          <w:lang w:val="fr-FR"/>
        </w:rPr>
        <w:t>République de Corée</w:t>
      </w:r>
      <w:r w:rsidRPr="00766CF5">
        <w:rPr>
          <w:rFonts w:ascii="Arial" w:hAnsi="Arial" w:cs="Arial"/>
          <w:bCs/>
          <w:sz w:val="22"/>
          <w:szCs w:val="22"/>
          <w:lang w:val="fr-FR"/>
        </w:rPr>
        <w:t xml:space="preserve"> a exprimé sa sincère gratitude au Secrétariat pour</w:t>
      </w:r>
      <w:r>
        <w:rPr>
          <w:rFonts w:ascii="Arial" w:hAnsi="Arial" w:cs="Arial"/>
          <w:bCs/>
          <w:sz w:val="22"/>
          <w:szCs w:val="22"/>
          <w:lang w:val="fr-FR"/>
        </w:rPr>
        <w:t xml:space="preserve"> l</w:t>
      </w:r>
      <w:r w:rsidR="008E532B">
        <w:rPr>
          <w:rFonts w:ascii="Arial" w:hAnsi="Arial" w:cs="Arial"/>
          <w:bCs/>
          <w:sz w:val="22"/>
          <w:szCs w:val="22"/>
          <w:lang w:val="fr-FR"/>
        </w:rPr>
        <w:t>’</w:t>
      </w:r>
      <w:r w:rsidRPr="00766CF5">
        <w:rPr>
          <w:rFonts w:ascii="Arial" w:hAnsi="Arial" w:cs="Arial"/>
          <w:bCs/>
          <w:sz w:val="22"/>
          <w:szCs w:val="22"/>
          <w:lang w:val="fr-FR"/>
        </w:rPr>
        <w:t>organisation</w:t>
      </w:r>
      <w:r>
        <w:rPr>
          <w:rFonts w:ascii="Arial" w:hAnsi="Arial" w:cs="Arial"/>
          <w:bCs/>
          <w:sz w:val="22"/>
          <w:szCs w:val="22"/>
          <w:lang w:val="fr-FR"/>
        </w:rPr>
        <w:t xml:space="preserve"> de</w:t>
      </w:r>
      <w:r w:rsidRPr="00766CF5">
        <w:rPr>
          <w:rFonts w:ascii="Arial" w:hAnsi="Arial" w:cs="Arial"/>
          <w:bCs/>
          <w:sz w:val="22"/>
          <w:szCs w:val="22"/>
          <w:lang w:val="fr-FR"/>
        </w:rPr>
        <w:t xml:space="preserve"> cette importante réunion. Elle a</w:t>
      </w:r>
      <w:r>
        <w:rPr>
          <w:rFonts w:ascii="Arial" w:hAnsi="Arial" w:cs="Arial"/>
          <w:bCs/>
          <w:sz w:val="22"/>
          <w:szCs w:val="22"/>
          <w:lang w:val="fr-FR"/>
        </w:rPr>
        <w:t>vait</w:t>
      </w:r>
      <w:r w:rsidRPr="00766CF5">
        <w:rPr>
          <w:rFonts w:ascii="Arial" w:hAnsi="Arial" w:cs="Arial"/>
          <w:bCs/>
          <w:sz w:val="22"/>
          <w:szCs w:val="22"/>
          <w:lang w:val="fr-FR"/>
        </w:rPr>
        <w:t xml:space="preserve"> également apprécié le travail remarquable du groupe de travail présidé par l</w:t>
      </w:r>
      <w:r w:rsidR="008E532B">
        <w:rPr>
          <w:rFonts w:ascii="Arial" w:hAnsi="Arial" w:cs="Arial"/>
          <w:bCs/>
          <w:sz w:val="22"/>
          <w:szCs w:val="22"/>
          <w:lang w:val="fr-FR"/>
        </w:rPr>
        <w:t>’</w:t>
      </w:r>
      <w:r>
        <w:rPr>
          <w:rFonts w:ascii="Arial" w:hAnsi="Arial" w:cs="Arial"/>
          <w:bCs/>
          <w:sz w:val="22"/>
          <w:szCs w:val="22"/>
          <w:lang w:val="fr-FR"/>
        </w:rPr>
        <w:t>a</w:t>
      </w:r>
      <w:r w:rsidRPr="00766CF5">
        <w:rPr>
          <w:rFonts w:ascii="Arial" w:hAnsi="Arial" w:cs="Arial"/>
          <w:bCs/>
          <w:sz w:val="22"/>
          <w:szCs w:val="22"/>
          <w:lang w:val="fr-FR"/>
        </w:rPr>
        <w:t xml:space="preserve">mbassadeur </w:t>
      </w:r>
      <w:proofErr w:type="spellStart"/>
      <w:r w:rsidRPr="00766CF5">
        <w:rPr>
          <w:rFonts w:ascii="Arial" w:hAnsi="Arial" w:cs="Arial"/>
          <w:bCs/>
          <w:sz w:val="22"/>
          <w:szCs w:val="22"/>
          <w:lang w:val="fr-FR"/>
        </w:rPr>
        <w:t>Oike</w:t>
      </w:r>
      <w:proofErr w:type="spellEnd"/>
      <w:r w:rsidRPr="00766CF5">
        <w:rPr>
          <w:rFonts w:ascii="Arial" w:hAnsi="Arial" w:cs="Arial"/>
          <w:bCs/>
          <w:sz w:val="22"/>
          <w:szCs w:val="22"/>
          <w:lang w:val="fr-FR"/>
        </w:rPr>
        <w:t xml:space="preserve"> sur la révision des </w:t>
      </w:r>
      <w:r>
        <w:rPr>
          <w:rFonts w:ascii="Arial" w:hAnsi="Arial" w:cs="Arial"/>
          <w:bCs/>
          <w:sz w:val="22"/>
          <w:szCs w:val="22"/>
          <w:lang w:val="fr-FR"/>
        </w:rPr>
        <w:t>D</w:t>
      </w:r>
      <w:r w:rsidRPr="00766CF5">
        <w:rPr>
          <w:rFonts w:ascii="Arial" w:hAnsi="Arial" w:cs="Arial"/>
          <w:bCs/>
          <w:sz w:val="22"/>
          <w:szCs w:val="22"/>
          <w:lang w:val="fr-FR"/>
        </w:rPr>
        <w:t>irectives opérationnelles. Elle a noté q</w:t>
      </w:r>
      <w:r>
        <w:rPr>
          <w:rFonts w:ascii="Arial" w:hAnsi="Arial" w:cs="Arial"/>
          <w:bCs/>
          <w:sz w:val="22"/>
          <w:szCs w:val="22"/>
          <w:lang w:val="fr-FR"/>
        </w:rPr>
        <w:t>ue</w:t>
      </w:r>
      <w:r w:rsidRPr="00766CF5">
        <w:rPr>
          <w:rFonts w:ascii="Arial" w:hAnsi="Arial" w:cs="Arial"/>
          <w:bCs/>
          <w:sz w:val="22"/>
          <w:szCs w:val="22"/>
          <w:lang w:val="fr-FR"/>
        </w:rPr>
        <w:t xml:space="preserve"> 180 pays </w:t>
      </w:r>
      <w:r>
        <w:rPr>
          <w:rFonts w:ascii="Arial" w:hAnsi="Arial" w:cs="Arial"/>
          <w:bCs/>
          <w:sz w:val="22"/>
          <w:szCs w:val="22"/>
          <w:lang w:val="fr-FR"/>
        </w:rPr>
        <w:t>avaient</w:t>
      </w:r>
      <w:r w:rsidRPr="00766CF5">
        <w:rPr>
          <w:rFonts w:ascii="Arial" w:hAnsi="Arial" w:cs="Arial"/>
          <w:bCs/>
          <w:sz w:val="22"/>
          <w:szCs w:val="22"/>
          <w:lang w:val="fr-FR"/>
        </w:rPr>
        <w:t xml:space="preserve"> </w:t>
      </w:r>
      <w:r>
        <w:rPr>
          <w:rFonts w:ascii="Arial" w:hAnsi="Arial" w:cs="Arial"/>
          <w:bCs/>
          <w:sz w:val="22"/>
          <w:szCs w:val="22"/>
          <w:lang w:val="fr-FR"/>
        </w:rPr>
        <w:t>jusqu</w:t>
      </w:r>
      <w:r w:rsidR="008E532B">
        <w:rPr>
          <w:rFonts w:ascii="Arial" w:hAnsi="Arial" w:cs="Arial"/>
          <w:bCs/>
          <w:sz w:val="22"/>
          <w:szCs w:val="22"/>
          <w:lang w:val="fr-FR"/>
        </w:rPr>
        <w:t>’</w:t>
      </w:r>
      <w:r>
        <w:rPr>
          <w:rFonts w:ascii="Arial" w:hAnsi="Arial" w:cs="Arial"/>
          <w:bCs/>
          <w:sz w:val="22"/>
          <w:szCs w:val="22"/>
          <w:lang w:val="fr-FR"/>
        </w:rPr>
        <w:t xml:space="preserve">alors </w:t>
      </w:r>
      <w:r w:rsidRPr="00766CF5">
        <w:rPr>
          <w:rFonts w:ascii="Arial" w:hAnsi="Arial" w:cs="Arial"/>
          <w:bCs/>
          <w:sz w:val="22"/>
          <w:szCs w:val="22"/>
          <w:lang w:val="fr-FR"/>
        </w:rPr>
        <w:t>adhéré à la Convention</w:t>
      </w:r>
      <w:r>
        <w:rPr>
          <w:rFonts w:ascii="Arial" w:hAnsi="Arial" w:cs="Arial"/>
          <w:bCs/>
          <w:sz w:val="22"/>
          <w:szCs w:val="22"/>
          <w:lang w:val="fr-FR"/>
        </w:rPr>
        <w:t xml:space="preserve">, </w:t>
      </w:r>
      <w:r w:rsidRPr="00766CF5">
        <w:rPr>
          <w:rFonts w:ascii="Arial" w:hAnsi="Arial" w:cs="Arial"/>
          <w:bCs/>
          <w:sz w:val="22"/>
          <w:szCs w:val="22"/>
          <w:lang w:val="fr-FR"/>
        </w:rPr>
        <w:t xml:space="preserve">et il </w:t>
      </w:r>
      <w:r>
        <w:rPr>
          <w:rFonts w:ascii="Arial" w:hAnsi="Arial" w:cs="Arial"/>
          <w:bCs/>
          <w:sz w:val="22"/>
          <w:szCs w:val="22"/>
          <w:lang w:val="fr-FR"/>
        </w:rPr>
        <w:t>était</w:t>
      </w:r>
      <w:r w:rsidRPr="00766CF5">
        <w:rPr>
          <w:rFonts w:ascii="Arial" w:hAnsi="Arial" w:cs="Arial"/>
          <w:bCs/>
          <w:sz w:val="22"/>
          <w:szCs w:val="22"/>
          <w:lang w:val="fr-FR"/>
        </w:rPr>
        <w:t xml:space="preserve"> encourageant de constater l</w:t>
      </w:r>
      <w:r w:rsidR="008E532B">
        <w:rPr>
          <w:rFonts w:ascii="Arial" w:hAnsi="Arial" w:cs="Arial"/>
          <w:bCs/>
          <w:sz w:val="22"/>
          <w:szCs w:val="22"/>
          <w:lang w:val="fr-FR"/>
        </w:rPr>
        <w:t>’</w:t>
      </w:r>
      <w:r w:rsidRPr="00766CF5">
        <w:rPr>
          <w:rFonts w:ascii="Arial" w:hAnsi="Arial" w:cs="Arial"/>
          <w:bCs/>
          <w:sz w:val="22"/>
          <w:szCs w:val="22"/>
          <w:lang w:val="fr-FR"/>
        </w:rPr>
        <w:t>engagement de chaque État partie envers la Convention, notamment en ce qui concerne les mesures de sauvegarde, qui vont des inventaires à l</w:t>
      </w:r>
      <w:r w:rsidR="008E532B">
        <w:rPr>
          <w:rFonts w:ascii="Arial" w:hAnsi="Arial" w:cs="Arial"/>
          <w:bCs/>
          <w:sz w:val="22"/>
          <w:szCs w:val="22"/>
          <w:lang w:val="fr-FR"/>
        </w:rPr>
        <w:t>’</w:t>
      </w:r>
      <w:r w:rsidRPr="00766CF5">
        <w:rPr>
          <w:rFonts w:ascii="Arial" w:hAnsi="Arial" w:cs="Arial"/>
          <w:bCs/>
          <w:sz w:val="22"/>
          <w:szCs w:val="22"/>
          <w:lang w:val="fr-FR"/>
        </w:rPr>
        <w:t xml:space="preserve">application du cadre juridique.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agissant du</w:t>
      </w:r>
      <w:r w:rsidRPr="00766CF5">
        <w:rPr>
          <w:rFonts w:ascii="Arial" w:hAnsi="Arial" w:cs="Arial"/>
          <w:bCs/>
          <w:sz w:val="22"/>
          <w:szCs w:val="22"/>
          <w:lang w:val="fr-FR"/>
        </w:rPr>
        <w:t xml:space="preserve"> vingtième anniversaire, le </w:t>
      </w:r>
      <w:r>
        <w:rPr>
          <w:rFonts w:ascii="Arial" w:hAnsi="Arial" w:cs="Arial"/>
          <w:bCs/>
          <w:sz w:val="22"/>
          <w:szCs w:val="22"/>
          <w:lang w:val="fr-FR"/>
        </w:rPr>
        <w:t>G</w:t>
      </w:r>
      <w:r w:rsidRPr="00766CF5">
        <w:rPr>
          <w:rFonts w:ascii="Arial" w:hAnsi="Arial" w:cs="Arial"/>
          <w:bCs/>
          <w:sz w:val="22"/>
          <w:szCs w:val="22"/>
          <w:lang w:val="fr-FR"/>
        </w:rPr>
        <w:t>ouvernement coréen a</w:t>
      </w:r>
      <w:r>
        <w:rPr>
          <w:rFonts w:ascii="Arial" w:hAnsi="Arial" w:cs="Arial"/>
          <w:bCs/>
          <w:sz w:val="22"/>
          <w:szCs w:val="22"/>
          <w:lang w:val="fr-FR"/>
        </w:rPr>
        <w:t>vait</w:t>
      </w:r>
      <w:r w:rsidRPr="00766CF5">
        <w:rPr>
          <w:rFonts w:ascii="Arial" w:hAnsi="Arial" w:cs="Arial"/>
          <w:bCs/>
          <w:sz w:val="22"/>
          <w:szCs w:val="22"/>
          <w:lang w:val="fr-FR"/>
        </w:rPr>
        <w:t xml:space="preserve"> prévu d</w:t>
      </w:r>
      <w:r w:rsidR="008E532B">
        <w:rPr>
          <w:rFonts w:ascii="Arial" w:hAnsi="Arial" w:cs="Arial"/>
          <w:bCs/>
          <w:sz w:val="22"/>
          <w:szCs w:val="22"/>
          <w:lang w:val="fr-FR"/>
        </w:rPr>
        <w:t>’</w:t>
      </w:r>
      <w:r w:rsidRPr="00766CF5">
        <w:rPr>
          <w:rFonts w:ascii="Arial" w:hAnsi="Arial" w:cs="Arial"/>
          <w:bCs/>
          <w:sz w:val="22"/>
          <w:szCs w:val="22"/>
          <w:lang w:val="fr-FR"/>
        </w:rPr>
        <w:t xml:space="preserve">organiser un forum spécial sur le thème </w:t>
      </w:r>
      <w:r>
        <w:rPr>
          <w:rFonts w:ascii="Arial" w:hAnsi="Arial" w:cs="Arial"/>
          <w:bCs/>
          <w:sz w:val="22"/>
          <w:szCs w:val="22"/>
          <w:lang w:val="fr-FR"/>
        </w:rPr>
        <w:t>« </w:t>
      </w:r>
      <w:r w:rsidRPr="00766CF5">
        <w:rPr>
          <w:rFonts w:ascii="Arial" w:hAnsi="Arial" w:cs="Arial"/>
          <w:bCs/>
          <w:sz w:val="22"/>
          <w:szCs w:val="22"/>
          <w:lang w:val="fr-FR"/>
        </w:rPr>
        <w:t xml:space="preserve">Réflexion sur les </w:t>
      </w:r>
      <w:r>
        <w:rPr>
          <w:rFonts w:ascii="Arial" w:hAnsi="Arial" w:cs="Arial"/>
          <w:bCs/>
          <w:sz w:val="22"/>
          <w:szCs w:val="22"/>
          <w:lang w:val="fr-FR"/>
        </w:rPr>
        <w:t>vingt</w:t>
      </w:r>
      <w:r w:rsidRPr="00766CF5">
        <w:rPr>
          <w:rFonts w:ascii="Arial" w:hAnsi="Arial" w:cs="Arial"/>
          <w:bCs/>
          <w:sz w:val="22"/>
          <w:szCs w:val="22"/>
          <w:lang w:val="fr-FR"/>
        </w:rPr>
        <w:t xml:space="preserve"> ans d</w:t>
      </w:r>
      <w:r w:rsidR="008E532B">
        <w:rPr>
          <w:rFonts w:ascii="Arial" w:hAnsi="Arial" w:cs="Arial"/>
          <w:bCs/>
          <w:sz w:val="22"/>
          <w:szCs w:val="22"/>
          <w:lang w:val="fr-FR"/>
        </w:rPr>
        <w:t>’</w:t>
      </w:r>
      <w:r w:rsidRPr="00766CF5">
        <w:rPr>
          <w:rFonts w:ascii="Arial" w:hAnsi="Arial" w:cs="Arial"/>
          <w:bCs/>
          <w:sz w:val="22"/>
          <w:szCs w:val="22"/>
          <w:lang w:val="fr-FR"/>
        </w:rPr>
        <w:t>histoire de la Convention de 2003</w:t>
      </w:r>
      <w:r>
        <w:rPr>
          <w:rFonts w:ascii="Arial" w:hAnsi="Arial" w:cs="Arial"/>
          <w:bCs/>
          <w:sz w:val="22"/>
          <w:szCs w:val="22"/>
          <w:lang w:val="fr-FR"/>
        </w:rPr>
        <w:t> ». Ce fo</w:t>
      </w:r>
      <w:r w:rsidRPr="00766CF5">
        <w:rPr>
          <w:rFonts w:ascii="Arial" w:hAnsi="Arial" w:cs="Arial"/>
          <w:bCs/>
          <w:sz w:val="22"/>
          <w:szCs w:val="22"/>
          <w:lang w:val="fr-FR"/>
        </w:rPr>
        <w:t xml:space="preserve">rum </w:t>
      </w:r>
      <w:r>
        <w:rPr>
          <w:rFonts w:ascii="Arial" w:hAnsi="Arial" w:cs="Arial"/>
          <w:bCs/>
          <w:sz w:val="22"/>
          <w:szCs w:val="22"/>
          <w:lang w:val="fr-FR"/>
        </w:rPr>
        <w:t>était</w:t>
      </w:r>
      <w:r w:rsidRPr="00766CF5">
        <w:rPr>
          <w:rFonts w:ascii="Arial" w:hAnsi="Arial" w:cs="Arial"/>
          <w:bCs/>
          <w:sz w:val="22"/>
          <w:szCs w:val="22"/>
          <w:lang w:val="fr-FR"/>
        </w:rPr>
        <w:t xml:space="preserve"> un événement annuel appelé </w:t>
      </w:r>
      <w:r>
        <w:rPr>
          <w:rFonts w:ascii="Arial" w:hAnsi="Arial" w:cs="Arial"/>
          <w:bCs/>
          <w:sz w:val="22"/>
          <w:szCs w:val="22"/>
          <w:lang w:val="fr-FR"/>
        </w:rPr>
        <w:t>« </w:t>
      </w:r>
      <w:r w:rsidRPr="00766CF5">
        <w:rPr>
          <w:rFonts w:ascii="Arial" w:hAnsi="Arial" w:cs="Arial"/>
          <w:bCs/>
          <w:sz w:val="22"/>
          <w:szCs w:val="22"/>
          <w:lang w:val="fr-FR"/>
        </w:rPr>
        <w:t>Forum mondial du patrimoine culturel immatériel</w:t>
      </w:r>
      <w:r>
        <w:rPr>
          <w:rFonts w:ascii="Arial" w:hAnsi="Arial" w:cs="Arial"/>
          <w:bCs/>
          <w:sz w:val="22"/>
          <w:szCs w:val="22"/>
          <w:lang w:val="fr-FR"/>
        </w:rPr>
        <w:t> »</w:t>
      </w:r>
      <w:r w:rsidRPr="00766CF5">
        <w:rPr>
          <w:rFonts w:ascii="Arial" w:hAnsi="Arial" w:cs="Arial"/>
          <w:bCs/>
          <w:sz w:val="22"/>
          <w:szCs w:val="22"/>
          <w:lang w:val="fr-FR"/>
        </w:rPr>
        <w:t>, organisé conjointement par le</w:t>
      </w:r>
      <w:r>
        <w:rPr>
          <w:rFonts w:ascii="Arial" w:hAnsi="Arial" w:cs="Arial"/>
          <w:bCs/>
          <w:sz w:val="22"/>
          <w:szCs w:val="22"/>
          <w:lang w:val="fr-FR"/>
        </w:rPr>
        <w:t xml:space="preserve"> Centre national du </w:t>
      </w:r>
      <w:r w:rsidRPr="00766CF5">
        <w:rPr>
          <w:rFonts w:ascii="Arial" w:hAnsi="Arial" w:cs="Arial"/>
          <w:bCs/>
          <w:sz w:val="22"/>
          <w:szCs w:val="22"/>
          <w:lang w:val="fr-FR"/>
        </w:rPr>
        <w:t>patrimoine</w:t>
      </w:r>
      <w:r>
        <w:rPr>
          <w:rFonts w:ascii="Arial" w:hAnsi="Arial" w:cs="Arial"/>
          <w:bCs/>
          <w:sz w:val="22"/>
          <w:szCs w:val="22"/>
          <w:lang w:val="fr-FR"/>
        </w:rPr>
        <w:t xml:space="preserve"> immatériel de la République de Corée</w:t>
      </w:r>
      <w:r w:rsidRPr="00766CF5">
        <w:rPr>
          <w:rFonts w:ascii="Arial" w:hAnsi="Arial" w:cs="Arial"/>
          <w:bCs/>
          <w:sz w:val="22"/>
          <w:szCs w:val="22"/>
          <w:lang w:val="fr-FR"/>
        </w:rPr>
        <w:t xml:space="preserve"> et l</w:t>
      </w:r>
      <w:r w:rsidR="008E532B">
        <w:rPr>
          <w:rFonts w:ascii="Arial" w:hAnsi="Arial" w:cs="Arial"/>
          <w:bCs/>
          <w:sz w:val="22"/>
          <w:szCs w:val="22"/>
          <w:lang w:val="fr-FR"/>
        </w:rPr>
        <w:t>’</w:t>
      </w:r>
      <w:r w:rsidRPr="00766CF5">
        <w:rPr>
          <w:rFonts w:ascii="Arial" w:hAnsi="Arial" w:cs="Arial"/>
          <w:bCs/>
          <w:sz w:val="22"/>
          <w:szCs w:val="22"/>
          <w:lang w:val="fr-FR"/>
        </w:rPr>
        <w:t>ICHCAP. Le forum invit</w:t>
      </w:r>
      <w:r>
        <w:rPr>
          <w:rFonts w:ascii="Arial" w:hAnsi="Arial" w:cs="Arial"/>
          <w:bCs/>
          <w:sz w:val="22"/>
          <w:szCs w:val="22"/>
          <w:lang w:val="fr-FR"/>
        </w:rPr>
        <w:t>ait</w:t>
      </w:r>
      <w:r w:rsidRPr="00766CF5">
        <w:rPr>
          <w:rFonts w:ascii="Arial" w:hAnsi="Arial" w:cs="Arial"/>
          <w:bCs/>
          <w:sz w:val="22"/>
          <w:szCs w:val="22"/>
          <w:lang w:val="fr-FR"/>
        </w:rPr>
        <w:t xml:space="preserve"> diverses parties prenantes, telles que des communautés, des praticiens, des chercheurs, des experts et des</w:t>
      </w:r>
      <w:r>
        <w:rPr>
          <w:rFonts w:ascii="Arial" w:hAnsi="Arial" w:cs="Arial"/>
          <w:bCs/>
          <w:sz w:val="22"/>
          <w:szCs w:val="22"/>
          <w:lang w:val="fr-FR"/>
        </w:rPr>
        <w:t xml:space="preserve"> législateurs</w:t>
      </w:r>
      <w:r w:rsidRPr="00766CF5">
        <w:rPr>
          <w:rFonts w:ascii="Arial" w:hAnsi="Arial" w:cs="Arial"/>
          <w:bCs/>
          <w:sz w:val="22"/>
          <w:szCs w:val="22"/>
          <w:lang w:val="fr-FR"/>
        </w:rPr>
        <w:t>, à partager leurs réalisations et la mise en œuvre de la Convention et à discuter de</w:t>
      </w:r>
      <w:r>
        <w:rPr>
          <w:rFonts w:ascii="Arial" w:hAnsi="Arial" w:cs="Arial"/>
          <w:bCs/>
          <w:sz w:val="22"/>
          <w:szCs w:val="22"/>
          <w:lang w:val="fr-FR"/>
        </w:rPr>
        <w:t xml:space="preserve">s </w:t>
      </w:r>
      <w:r w:rsidRPr="00766CF5">
        <w:rPr>
          <w:rFonts w:ascii="Arial" w:hAnsi="Arial" w:cs="Arial"/>
          <w:bCs/>
          <w:sz w:val="22"/>
          <w:szCs w:val="22"/>
          <w:lang w:val="fr-FR"/>
        </w:rPr>
        <w:t>orientation</w:t>
      </w:r>
      <w:r>
        <w:rPr>
          <w:rFonts w:ascii="Arial" w:hAnsi="Arial" w:cs="Arial"/>
          <w:bCs/>
          <w:sz w:val="22"/>
          <w:szCs w:val="22"/>
          <w:lang w:val="fr-FR"/>
        </w:rPr>
        <w:t>s à prendre</w:t>
      </w:r>
      <w:r w:rsidRPr="00766CF5">
        <w:rPr>
          <w:rFonts w:ascii="Arial" w:hAnsi="Arial" w:cs="Arial"/>
          <w:bCs/>
          <w:sz w:val="22"/>
          <w:szCs w:val="22"/>
          <w:lang w:val="fr-FR"/>
        </w:rPr>
        <w:t xml:space="preserve">. La délégation a félicité tous les membres du Comité nouvellement élus pour leur élection et </w:t>
      </w:r>
      <w:r>
        <w:rPr>
          <w:rFonts w:ascii="Arial" w:hAnsi="Arial" w:cs="Arial"/>
          <w:bCs/>
          <w:sz w:val="22"/>
          <w:szCs w:val="22"/>
          <w:lang w:val="fr-FR"/>
        </w:rPr>
        <w:t>a formulé l</w:t>
      </w:r>
      <w:r w:rsidR="008E532B">
        <w:rPr>
          <w:rFonts w:ascii="Arial" w:hAnsi="Arial" w:cs="Arial"/>
          <w:bCs/>
          <w:sz w:val="22"/>
          <w:szCs w:val="22"/>
          <w:lang w:val="fr-FR"/>
        </w:rPr>
        <w:t>’</w:t>
      </w:r>
      <w:r>
        <w:rPr>
          <w:rFonts w:ascii="Arial" w:hAnsi="Arial" w:cs="Arial"/>
          <w:bCs/>
          <w:sz w:val="22"/>
          <w:szCs w:val="22"/>
          <w:lang w:val="fr-FR"/>
        </w:rPr>
        <w:t xml:space="preserve">espoir de </w:t>
      </w:r>
      <w:r w:rsidRPr="00766CF5">
        <w:rPr>
          <w:rFonts w:ascii="Arial" w:hAnsi="Arial" w:cs="Arial"/>
          <w:bCs/>
          <w:sz w:val="22"/>
          <w:szCs w:val="22"/>
          <w:lang w:val="fr-FR"/>
        </w:rPr>
        <w:t>coopérer étroitement avec les autres membres dans la mise en œuvre de cette Convention</w:t>
      </w:r>
      <w:r>
        <w:rPr>
          <w:rFonts w:ascii="Arial" w:hAnsi="Arial" w:cs="Arial"/>
          <w:bCs/>
          <w:sz w:val="22"/>
          <w:szCs w:val="22"/>
          <w:lang w:val="fr-FR"/>
        </w:rPr>
        <w:t>.</w:t>
      </w:r>
    </w:p>
    <w:p w14:paraId="53A0D814" w14:textId="3668957B" w:rsidR="00D9653F" w:rsidRPr="00766CF5"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766CF5">
        <w:rPr>
          <w:rFonts w:ascii="Arial" w:hAnsi="Arial" w:cs="Arial"/>
          <w:bCs/>
          <w:sz w:val="22"/>
          <w:szCs w:val="22"/>
          <w:lang w:val="fr-FR"/>
        </w:rPr>
        <w:t>La délégation</w:t>
      </w:r>
      <w:r>
        <w:rPr>
          <w:rFonts w:ascii="Arial" w:hAnsi="Arial" w:cs="Arial"/>
          <w:bCs/>
          <w:sz w:val="22"/>
          <w:szCs w:val="22"/>
          <w:lang w:val="fr-FR"/>
        </w:rPr>
        <w:t xml:space="preserve"> de la </w:t>
      </w:r>
      <w:r w:rsidRPr="00766CF5">
        <w:rPr>
          <w:rFonts w:ascii="Arial" w:hAnsi="Arial" w:cs="Arial"/>
          <w:b/>
          <w:sz w:val="22"/>
          <w:szCs w:val="22"/>
          <w:lang w:val="fr-FR"/>
        </w:rPr>
        <w:t>Lettonie</w:t>
      </w:r>
      <w:r w:rsidRPr="00766CF5">
        <w:rPr>
          <w:rFonts w:ascii="Arial" w:hAnsi="Arial" w:cs="Arial"/>
          <w:bCs/>
          <w:sz w:val="22"/>
          <w:szCs w:val="22"/>
          <w:lang w:val="fr-FR"/>
        </w:rPr>
        <w:t xml:space="preserve"> s</w:t>
      </w:r>
      <w:r w:rsidR="008E532B">
        <w:rPr>
          <w:rFonts w:ascii="Arial" w:hAnsi="Arial" w:cs="Arial"/>
          <w:bCs/>
          <w:sz w:val="22"/>
          <w:szCs w:val="22"/>
          <w:lang w:val="fr-FR"/>
        </w:rPr>
        <w:t>’</w:t>
      </w:r>
      <w:r>
        <w:rPr>
          <w:rFonts w:ascii="Arial" w:hAnsi="Arial" w:cs="Arial"/>
          <w:bCs/>
          <w:sz w:val="22"/>
          <w:szCs w:val="22"/>
          <w:lang w:val="fr-FR"/>
        </w:rPr>
        <w:t>est</w:t>
      </w:r>
      <w:r w:rsidRPr="00766CF5">
        <w:rPr>
          <w:rFonts w:ascii="Arial" w:hAnsi="Arial" w:cs="Arial"/>
          <w:bCs/>
          <w:sz w:val="22"/>
          <w:szCs w:val="22"/>
          <w:lang w:val="fr-FR"/>
        </w:rPr>
        <w:t xml:space="preserve"> réjoui</w:t>
      </w:r>
      <w:r>
        <w:rPr>
          <w:rFonts w:ascii="Arial" w:hAnsi="Arial" w:cs="Arial"/>
          <w:bCs/>
          <w:sz w:val="22"/>
          <w:szCs w:val="22"/>
          <w:lang w:val="fr-FR"/>
        </w:rPr>
        <w:t>e</w:t>
      </w:r>
      <w:r w:rsidRPr="00766CF5">
        <w:rPr>
          <w:rFonts w:ascii="Arial" w:hAnsi="Arial" w:cs="Arial"/>
          <w:bCs/>
          <w:sz w:val="22"/>
          <w:szCs w:val="22"/>
          <w:lang w:val="fr-FR"/>
        </w:rPr>
        <w:t xml:space="preserve"> de la célébration du vingtième anniversaire de la Convention en 2023 et de la mise en œuvre de la Convention</w:t>
      </w:r>
      <w:r>
        <w:rPr>
          <w:rFonts w:ascii="Arial" w:hAnsi="Arial" w:cs="Arial"/>
          <w:bCs/>
          <w:sz w:val="22"/>
          <w:szCs w:val="22"/>
          <w:lang w:val="fr-FR"/>
        </w:rPr>
        <w:t>,</w:t>
      </w:r>
      <w:r w:rsidRPr="00766CF5">
        <w:rPr>
          <w:rFonts w:ascii="Arial" w:hAnsi="Arial" w:cs="Arial"/>
          <w:bCs/>
          <w:sz w:val="22"/>
          <w:szCs w:val="22"/>
          <w:lang w:val="fr-FR"/>
        </w:rPr>
        <w:t xml:space="preserve"> pour l</w:t>
      </w:r>
      <w:r w:rsidR="008E532B">
        <w:rPr>
          <w:rFonts w:ascii="Arial" w:hAnsi="Arial" w:cs="Arial"/>
          <w:bCs/>
          <w:sz w:val="22"/>
          <w:szCs w:val="22"/>
          <w:lang w:val="fr-FR"/>
        </w:rPr>
        <w:t>’</w:t>
      </w:r>
      <w:r w:rsidRPr="00766CF5">
        <w:rPr>
          <w:rFonts w:ascii="Arial" w:hAnsi="Arial" w:cs="Arial"/>
          <w:bCs/>
          <w:sz w:val="22"/>
          <w:szCs w:val="22"/>
          <w:lang w:val="fr-FR"/>
        </w:rPr>
        <w:t xml:space="preserve">avenir du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766CF5">
        <w:rPr>
          <w:rFonts w:ascii="Arial" w:hAnsi="Arial" w:cs="Arial"/>
          <w:bCs/>
          <w:sz w:val="22"/>
          <w:szCs w:val="22"/>
          <w:lang w:val="fr-FR"/>
        </w:rPr>
        <w:t xml:space="preserve">dans le monde entier. Elle </w:t>
      </w:r>
      <w:r>
        <w:rPr>
          <w:rFonts w:ascii="Arial" w:hAnsi="Arial" w:cs="Arial"/>
          <w:bCs/>
          <w:sz w:val="22"/>
          <w:szCs w:val="22"/>
          <w:lang w:val="fr-FR"/>
        </w:rPr>
        <w:t xml:space="preserve">appréciait </w:t>
      </w:r>
      <w:r w:rsidRPr="00766CF5">
        <w:rPr>
          <w:rFonts w:ascii="Arial" w:hAnsi="Arial" w:cs="Arial"/>
          <w:bCs/>
          <w:sz w:val="22"/>
          <w:szCs w:val="22"/>
          <w:lang w:val="fr-FR"/>
        </w:rPr>
        <w:t>tout le travail de planification de la célébration au niveau international, saluant en particulier l</w:t>
      </w:r>
      <w:r>
        <w:rPr>
          <w:rFonts w:ascii="Arial" w:hAnsi="Arial" w:cs="Arial"/>
          <w:bCs/>
          <w:sz w:val="22"/>
          <w:szCs w:val="22"/>
          <w:lang w:val="fr-FR"/>
        </w:rPr>
        <w:t>es idées</w:t>
      </w:r>
      <w:r w:rsidRPr="00766CF5">
        <w:rPr>
          <w:rFonts w:ascii="Arial" w:hAnsi="Arial" w:cs="Arial"/>
          <w:bCs/>
          <w:sz w:val="22"/>
          <w:szCs w:val="22"/>
          <w:lang w:val="fr-FR"/>
        </w:rPr>
        <w:t xml:space="preserve"> de</w:t>
      </w:r>
      <w:r>
        <w:rPr>
          <w:rFonts w:ascii="Arial" w:hAnsi="Arial" w:cs="Arial"/>
          <w:bCs/>
          <w:sz w:val="22"/>
          <w:szCs w:val="22"/>
          <w:lang w:val="fr-FR"/>
        </w:rPr>
        <w:t xml:space="preserve"> </w:t>
      </w:r>
      <w:r w:rsidRPr="00766CF5">
        <w:rPr>
          <w:rFonts w:ascii="Arial" w:hAnsi="Arial" w:cs="Arial"/>
          <w:bCs/>
          <w:sz w:val="22"/>
          <w:szCs w:val="22"/>
          <w:lang w:val="fr-FR"/>
        </w:rPr>
        <w:t xml:space="preserve">campagne mondiale de sensibilisation et </w:t>
      </w:r>
      <w:r>
        <w:rPr>
          <w:rFonts w:ascii="Arial" w:hAnsi="Arial" w:cs="Arial"/>
          <w:bCs/>
          <w:sz w:val="22"/>
          <w:szCs w:val="22"/>
          <w:lang w:val="fr-FR"/>
        </w:rPr>
        <w:t xml:space="preserve">de </w:t>
      </w:r>
      <w:r w:rsidRPr="00766CF5">
        <w:rPr>
          <w:rFonts w:ascii="Arial" w:hAnsi="Arial" w:cs="Arial"/>
          <w:bCs/>
          <w:sz w:val="22"/>
          <w:szCs w:val="22"/>
          <w:lang w:val="fr-FR"/>
        </w:rPr>
        <w:t xml:space="preserve">mobilisation des jeunes. La délégation </w:t>
      </w:r>
      <w:r>
        <w:rPr>
          <w:rFonts w:ascii="Arial" w:hAnsi="Arial" w:cs="Arial"/>
          <w:bCs/>
          <w:sz w:val="22"/>
          <w:szCs w:val="22"/>
          <w:lang w:val="fr-FR"/>
        </w:rPr>
        <w:t>était</w:t>
      </w:r>
      <w:r w:rsidRPr="00766CF5">
        <w:rPr>
          <w:rFonts w:ascii="Arial" w:hAnsi="Arial" w:cs="Arial"/>
          <w:bCs/>
          <w:sz w:val="22"/>
          <w:szCs w:val="22"/>
          <w:lang w:val="fr-FR"/>
        </w:rPr>
        <w:t xml:space="preserve"> heureuse d</w:t>
      </w:r>
      <w:r w:rsidR="008E532B">
        <w:rPr>
          <w:rFonts w:ascii="Arial" w:hAnsi="Arial" w:cs="Arial"/>
          <w:bCs/>
          <w:sz w:val="22"/>
          <w:szCs w:val="22"/>
          <w:lang w:val="fr-FR"/>
        </w:rPr>
        <w:t>’</w:t>
      </w:r>
      <w:r w:rsidRPr="00766CF5">
        <w:rPr>
          <w:rFonts w:ascii="Arial" w:hAnsi="Arial" w:cs="Arial"/>
          <w:bCs/>
          <w:sz w:val="22"/>
          <w:szCs w:val="22"/>
          <w:lang w:val="fr-FR"/>
        </w:rPr>
        <w:t>annoncer que l</w:t>
      </w:r>
      <w:r w:rsidR="008E532B">
        <w:rPr>
          <w:rFonts w:ascii="Arial" w:hAnsi="Arial" w:cs="Arial"/>
          <w:bCs/>
          <w:sz w:val="22"/>
          <w:szCs w:val="22"/>
          <w:lang w:val="fr-FR"/>
        </w:rPr>
        <w:t>’</w:t>
      </w:r>
      <w:r w:rsidRPr="00766CF5">
        <w:rPr>
          <w:rFonts w:ascii="Arial" w:hAnsi="Arial" w:cs="Arial"/>
          <w:bCs/>
          <w:sz w:val="22"/>
          <w:szCs w:val="22"/>
          <w:lang w:val="fr-FR"/>
        </w:rPr>
        <w:t xml:space="preserve">anniversaire de la Convention coïncidait avec le </w:t>
      </w:r>
      <w:r>
        <w:rPr>
          <w:rFonts w:ascii="Arial" w:hAnsi="Arial" w:cs="Arial"/>
          <w:bCs/>
          <w:sz w:val="22"/>
          <w:szCs w:val="22"/>
          <w:lang w:val="fr-FR"/>
        </w:rPr>
        <w:t>150</w:t>
      </w:r>
      <w:r w:rsidRPr="00694ECF">
        <w:rPr>
          <w:rFonts w:ascii="Arial" w:hAnsi="Arial" w:cs="Arial"/>
          <w:bCs/>
          <w:sz w:val="22"/>
          <w:szCs w:val="22"/>
          <w:vertAlign w:val="superscript"/>
          <w:lang w:val="fr-FR"/>
        </w:rPr>
        <w:t>e</w:t>
      </w:r>
      <w:r w:rsidRPr="00766CF5">
        <w:rPr>
          <w:rFonts w:ascii="Arial" w:hAnsi="Arial" w:cs="Arial"/>
          <w:bCs/>
          <w:sz w:val="22"/>
          <w:szCs w:val="22"/>
          <w:lang w:val="fr-FR"/>
        </w:rPr>
        <w:t xml:space="preserve"> anniversaire de</w:t>
      </w:r>
      <w:r>
        <w:rPr>
          <w:rFonts w:ascii="Arial" w:hAnsi="Arial" w:cs="Arial"/>
          <w:bCs/>
          <w:sz w:val="22"/>
          <w:szCs w:val="22"/>
          <w:lang w:val="fr-FR"/>
        </w:rPr>
        <w:t>s</w:t>
      </w:r>
      <w:r w:rsidRPr="00766CF5">
        <w:rPr>
          <w:rFonts w:ascii="Arial" w:hAnsi="Arial" w:cs="Arial"/>
          <w:bCs/>
          <w:sz w:val="22"/>
          <w:szCs w:val="22"/>
          <w:lang w:val="fr-FR"/>
        </w:rPr>
        <w:t xml:space="preserve"> célébration</w:t>
      </w:r>
      <w:r>
        <w:rPr>
          <w:rFonts w:ascii="Arial" w:hAnsi="Arial" w:cs="Arial"/>
          <w:bCs/>
          <w:sz w:val="22"/>
          <w:szCs w:val="22"/>
          <w:lang w:val="fr-FR"/>
        </w:rPr>
        <w:t>s</w:t>
      </w:r>
      <w:r w:rsidRPr="00766CF5">
        <w:rPr>
          <w:rFonts w:ascii="Arial" w:hAnsi="Arial" w:cs="Arial"/>
          <w:bCs/>
          <w:sz w:val="22"/>
          <w:szCs w:val="22"/>
          <w:lang w:val="fr-FR"/>
        </w:rPr>
        <w:t xml:space="preserve"> des chants et danses lettons, qui faisai</w:t>
      </w:r>
      <w:r>
        <w:rPr>
          <w:rFonts w:ascii="Arial" w:hAnsi="Arial" w:cs="Arial"/>
          <w:bCs/>
          <w:sz w:val="22"/>
          <w:szCs w:val="22"/>
          <w:lang w:val="fr-FR"/>
        </w:rPr>
        <w:t>en</w:t>
      </w:r>
      <w:r w:rsidRPr="00766CF5">
        <w:rPr>
          <w:rFonts w:ascii="Arial" w:hAnsi="Arial" w:cs="Arial"/>
          <w:bCs/>
          <w:sz w:val="22"/>
          <w:szCs w:val="22"/>
          <w:lang w:val="fr-FR"/>
        </w:rPr>
        <w:t>t partie de l</w:t>
      </w:r>
      <w:r w:rsidR="008E532B">
        <w:rPr>
          <w:rFonts w:ascii="Arial" w:hAnsi="Arial" w:cs="Arial"/>
          <w:bCs/>
          <w:sz w:val="22"/>
          <w:szCs w:val="22"/>
          <w:lang w:val="fr-FR"/>
        </w:rPr>
        <w:t>’</w:t>
      </w:r>
      <w:r w:rsidRPr="00766CF5">
        <w:rPr>
          <w:rFonts w:ascii="Arial" w:hAnsi="Arial" w:cs="Arial"/>
          <w:bCs/>
          <w:sz w:val="22"/>
          <w:szCs w:val="22"/>
          <w:lang w:val="fr-FR"/>
        </w:rPr>
        <w:t>élément multinational</w:t>
      </w:r>
      <w:r>
        <w:rPr>
          <w:rFonts w:ascii="Arial" w:hAnsi="Arial" w:cs="Arial"/>
          <w:bCs/>
          <w:sz w:val="22"/>
          <w:szCs w:val="22"/>
          <w:lang w:val="fr-FR"/>
        </w:rPr>
        <w:t xml:space="preserve">, les </w:t>
      </w:r>
      <w:r w:rsidRPr="00766CF5">
        <w:rPr>
          <w:rFonts w:ascii="Arial" w:hAnsi="Arial" w:cs="Arial"/>
          <w:bCs/>
          <w:sz w:val="22"/>
          <w:szCs w:val="22"/>
          <w:lang w:val="fr-FR"/>
        </w:rPr>
        <w:t>célébrations des chants et danses baltes</w:t>
      </w:r>
      <w:r>
        <w:rPr>
          <w:rFonts w:ascii="Arial" w:hAnsi="Arial" w:cs="Arial"/>
          <w:bCs/>
          <w:sz w:val="22"/>
          <w:szCs w:val="22"/>
          <w:lang w:val="fr-FR"/>
        </w:rPr>
        <w:t>,</w:t>
      </w:r>
      <w:r w:rsidRPr="00766CF5">
        <w:rPr>
          <w:rFonts w:ascii="Arial" w:hAnsi="Arial" w:cs="Arial"/>
          <w:bCs/>
          <w:sz w:val="22"/>
          <w:szCs w:val="22"/>
          <w:lang w:val="fr-FR"/>
        </w:rPr>
        <w:t xml:space="preserve"> inscrit sur la Liste représentative de l</w:t>
      </w:r>
      <w:r w:rsidR="008E532B">
        <w:rPr>
          <w:rFonts w:ascii="Arial" w:hAnsi="Arial" w:cs="Arial"/>
          <w:bCs/>
          <w:sz w:val="22"/>
          <w:szCs w:val="22"/>
          <w:lang w:val="fr-FR"/>
        </w:rPr>
        <w:t>’</w:t>
      </w:r>
      <w:r w:rsidRPr="00766CF5">
        <w:rPr>
          <w:rFonts w:ascii="Arial" w:hAnsi="Arial" w:cs="Arial"/>
          <w:bCs/>
          <w:sz w:val="22"/>
          <w:szCs w:val="22"/>
          <w:lang w:val="fr-FR"/>
        </w:rPr>
        <w:t xml:space="preserve">UNESCO [en 2008]. La délégation a invité les délégués à </w:t>
      </w:r>
      <w:r>
        <w:rPr>
          <w:rFonts w:ascii="Arial" w:hAnsi="Arial" w:cs="Arial"/>
          <w:bCs/>
          <w:sz w:val="22"/>
          <w:szCs w:val="22"/>
          <w:lang w:val="fr-FR"/>
        </w:rPr>
        <w:t xml:space="preserve">se rendre en </w:t>
      </w:r>
      <w:r w:rsidRPr="00766CF5">
        <w:rPr>
          <w:rFonts w:ascii="Arial" w:hAnsi="Arial" w:cs="Arial"/>
          <w:bCs/>
          <w:sz w:val="22"/>
          <w:szCs w:val="22"/>
          <w:lang w:val="fr-FR"/>
        </w:rPr>
        <w:t>Lettonie du 30 juin au 9 juillet pour découvrir son patrimoine vivant de chants et de danses, qui joue toujours un rôle important dans l</w:t>
      </w:r>
      <w:r w:rsidR="008E532B">
        <w:rPr>
          <w:rFonts w:ascii="Arial" w:hAnsi="Arial" w:cs="Arial"/>
          <w:bCs/>
          <w:sz w:val="22"/>
          <w:szCs w:val="22"/>
          <w:lang w:val="fr-FR"/>
        </w:rPr>
        <w:t>’</w:t>
      </w:r>
      <w:r w:rsidRPr="00766CF5">
        <w:rPr>
          <w:rFonts w:ascii="Arial" w:hAnsi="Arial" w:cs="Arial"/>
          <w:bCs/>
          <w:sz w:val="22"/>
          <w:szCs w:val="22"/>
          <w:lang w:val="fr-FR"/>
        </w:rPr>
        <w:t>identité nationale lettone. La Lettonie soutenait l</w:t>
      </w:r>
      <w:r w:rsidR="008E532B">
        <w:rPr>
          <w:rFonts w:ascii="Arial" w:hAnsi="Arial" w:cs="Arial"/>
          <w:bCs/>
          <w:sz w:val="22"/>
          <w:szCs w:val="22"/>
          <w:lang w:val="fr-FR"/>
        </w:rPr>
        <w:t>’</w:t>
      </w:r>
      <w:r w:rsidRPr="00766CF5">
        <w:rPr>
          <w:rFonts w:ascii="Arial" w:hAnsi="Arial" w:cs="Arial"/>
          <w:bCs/>
          <w:sz w:val="22"/>
          <w:szCs w:val="22"/>
          <w:lang w:val="fr-FR"/>
        </w:rPr>
        <w:t>idée de publier une liste d</w:t>
      </w:r>
      <w:r>
        <w:rPr>
          <w:rFonts w:ascii="Arial" w:hAnsi="Arial" w:cs="Arial"/>
          <w:bCs/>
          <w:sz w:val="22"/>
          <w:szCs w:val="22"/>
          <w:lang w:val="fr-FR"/>
        </w:rPr>
        <w:t xml:space="preserve">es </w:t>
      </w:r>
      <w:r w:rsidRPr="00766CF5">
        <w:rPr>
          <w:rFonts w:ascii="Arial" w:hAnsi="Arial" w:cs="Arial"/>
          <w:bCs/>
          <w:sz w:val="22"/>
          <w:szCs w:val="22"/>
          <w:lang w:val="fr-FR"/>
        </w:rPr>
        <w:t xml:space="preserve">événements et activités </w:t>
      </w:r>
      <w:r>
        <w:rPr>
          <w:rFonts w:ascii="Arial" w:hAnsi="Arial" w:cs="Arial"/>
          <w:bCs/>
          <w:sz w:val="22"/>
          <w:szCs w:val="22"/>
          <w:lang w:val="fr-FR"/>
        </w:rPr>
        <w:t xml:space="preserve">liés à la </w:t>
      </w:r>
      <w:r w:rsidRPr="00766CF5">
        <w:rPr>
          <w:rFonts w:ascii="Arial" w:hAnsi="Arial" w:cs="Arial"/>
          <w:bCs/>
          <w:sz w:val="22"/>
          <w:szCs w:val="22"/>
          <w:lang w:val="fr-FR"/>
        </w:rPr>
        <w:t>célébration sur le site Web de l</w:t>
      </w:r>
      <w:r w:rsidR="008E532B">
        <w:rPr>
          <w:rFonts w:ascii="Arial" w:hAnsi="Arial" w:cs="Arial"/>
          <w:bCs/>
          <w:sz w:val="22"/>
          <w:szCs w:val="22"/>
          <w:lang w:val="fr-FR"/>
        </w:rPr>
        <w:t>’</w:t>
      </w:r>
      <w:r w:rsidRPr="00766CF5">
        <w:rPr>
          <w:rFonts w:ascii="Arial" w:hAnsi="Arial" w:cs="Arial"/>
          <w:bCs/>
          <w:sz w:val="22"/>
          <w:szCs w:val="22"/>
          <w:lang w:val="fr-FR"/>
        </w:rPr>
        <w:t>Entité du patrimoine vivant</w:t>
      </w:r>
      <w:r>
        <w:rPr>
          <w:rFonts w:ascii="Arial" w:hAnsi="Arial" w:cs="Arial"/>
          <w:bCs/>
          <w:sz w:val="22"/>
          <w:szCs w:val="22"/>
          <w:lang w:val="fr-FR"/>
        </w:rPr>
        <w:t>,</w:t>
      </w:r>
      <w:r w:rsidRPr="00766CF5">
        <w:rPr>
          <w:rFonts w:ascii="Arial" w:hAnsi="Arial" w:cs="Arial"/>
          <w:bCs/>
          <w:sz w:val="22"/>
          <w:szCs w:val="22"/>
          <w:lang w:val="fr-FR"/>
        </w:rPr>
        <w:t xml:space="preserve"> et était heureuse de </w:t>
      </w:r>
      <w:r>
        <w:rPr>
          <w:rFonts w:ascii="Arial" w:hAnsi="Arial" w:cs="Arial"/>
          <w:bCs/>
          <w:sz w:val="22"/>
          <w:szCs w:val="22"/>
          <w:lang w:val="fr-FR"/>
        </w:rPr>
        <w:t>soumettre</w:t>
      </w:r>
      <w:r w:rsidRPr="00766CF5">
        <w:rPr>
          <w:rFonts w:ascii="Arial" w:hAnsi="Arial" w:cs="Arial"/>
          <w:bCs/>
          <w:sz w:val="22"/>
          <w:szCs w:val="22"/>
          <w:lang w:val="fr-FR"/>
        </w:rPr>
        <w:t xml:space="preserve"> des informations, ainsi qu</w:t>
      </w:r>
      <w:r w:rsidR="008E532B">
        <w:rPr>
          <w:rFonts w:ascii="Arial" w:hAnsi="Arial" w:cs="Arial"/>
          <w:bCs/>
          <w:sz w:val="22"/>
          <w:szCs w:val="22"/>
          <w:lang w:val="fr-FR"/>
        </w:rPr>
        <w:t>’</w:t>
      </w:r>
      <w:r w:rsidRPr="00766CF5">
        <w:rPr>
          <w:rFonts w:ascii="Arial" w:hAnsi="Arial" w:cs="Arial"/>
          <w:bCs/>
          <w:sz w:val="22"/>
          <w:szCs w:val="22"/>
          <w:lang w:val="fr-FR"/>
        </w:rPr>
        <w:t>une proposition de célébration des chants et danses lettons</w:t>
      </w:r>
      <w:r>
        <w:rPr>
          <w:rFonts w:ascii="Arial" w:hAnsi="Arial" w:cs="Arial"/>
          <w:bCs/>
          <w:sz w:val="22"/>
          <w:szCs w:val="22"/>
          <w:lang w:val="fr-FR"/>
        </w:rPr>
        <w:t>,</w:t>
      </w:r>
      <w:r w:rsidRPr="00766CF5">
        <w:rPr>
          <w:rFonts w:ascii="Arial" w:hAnsi="Arial" w:cs="Arial"/>
          <w:bCs/>
          <w:sz w:val="22"/>
          <w:szCs w:val="22"/>
          <w:lang w:val="fr-FR"/>
        </w:rPr>
        <w:t xml:space="preserve"> dans le cadre des événements </w:t>
      </w:r>
      <w:r>
        <w:rPr>
          <w:rFonts w:ascii="Arial" w:hAnsi="Arial" w:cs="Arial"/>
          <w:bCs/>
          <w:sz w:val="22"/>
          <w:szCs w:val="22"/>
          <w:lang w:val="fr-FR"/>
        </w:rPr>
        <w:t xml:space="preserve">liés à la </w:t>
      </w:r>
      <w:r w:rsidRPr="00766CF5">
        <w:rPr>
          <w:rFonts w:ascii="Arial" w:hAnsi="Arial" w:cs="Arial"/>
          <w:bCs/>
          <w:sz w:val="22"/>
          <w:szCs w:val="22"/>
          <w:lang w:val="fr-FR"/>
        </w:rPr>
        <w:t>célébration.</w:t>
      </w:r>
    </w:p>
    <w:p w14:paraId="5C8E4BB5" w14:textId="653B4E3F" w:rsidR="00D9653F" w:rsidRPr="00694EC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694ECF">
        <w:rPr>
          <w:rFonts w:ascii="Arial" w:hAnsi="Arial" w:cs="Arial"/>
          <w:bCs/>
          <w:sz w:val="22"/>
          <w:szCs w:val="22"/>
          <w:lang w:val="fr-FR"/>
        </w:rPr>
        <w:t xml:space="preserve">La délégation </w:t>
      </w:r>
      <w:r>
        <w:rPr>
          <w:rFonts w:ascii="Arial" w:hAnsi="Arial" w:cs="Arial"/>
          <w:bCs/>
          <w:sz w:val="22"/>
          <w:szCs w:val="22"/>
          <w:lang w:val="fr-FR"/>
        </w:rPr>
        <w:t xml:space="preserve">de la </w:t>
      </w:r>
      <w:r w:rsidRPr="00694ECF">
        <w:rPr>
          <w:rFonts w:ascii="Arial" w:hAnsi="Arial" w:cs="Arial"/>
          <w:b/>
          <w:sz w:val="22"/>
          <w:szCs w:val="22"/>
          <w:lang w:val="fr-FR"/>
        </w:rPr>
        <w:t>Chine</w:t>
      </w:r>
      <w:r>
        <w:rPr>
          <w:rFonts w:ascii="Arial" w:hAnsi="Arial" w:cs="Arial"/>
          <w:bCs/>
          <w:sz w:val="22"/>
          <w:szCs w:val="22"/>
          <w:lang w:val="fr-FR"/>
        </w:rPr>
        <w:t xml:space="preserve"> </w:t>
      </w:r>
      <w:r w:rsidRPr="00694ECF">
        <w:rPr>
          <w:rFonts w:ascii="Arial" w:hAnsi="Arial" w:cs="Arial"/>
          <w:bCs/>
          <w:sz w:val="22"/>
          <w:szCs w:val="22"/>
          <w:lang w:val="fr-FR"/>
        </w:rPr>
        <w:t xml:space="preserve">a exprimé sa gratitude envers la Convention pour avoir accompli tant de choses au cours des vingt dernières années, la Chine ayant énormément bénéficié de la mise en œuvre de cette Convention pour sauvegarder le </w:t>
      </w:r>
      <w:r w:rsidR="00E908E2">
        <w:rPr>
          <w:rFonts w:ascii="Arial" w:eastAsia="SimSun" w:hAnsi="Arial" w:cs="Arial"/>
          <w:bCs/>
          <w:sz w:val="22"/>
          <w:szCs w:val="22"/>
          <w:lang w:val="fr-FR" w:eastAsia="en-US"/>
        </w:rPr>
        <w:t>patrimoine culturel immatériel</w:t>
      </w:r>
      <w:r w:rsidRPr="00694ECF">
        <w:rPr>
          <w:rFonts w:ascii="Arial" w:hAnsi="Arial" w:cs="Arial"/>
          <w:bCs/>
          <w:sz w:val="22"/>
          <w:szCs w:val="22"/>
          <w:lang w:val="fr-FR"/>
        </w:rPr>
        <w:t>. Elle a souhaité que tout le monde se joigne à cette occasion de célébration très importante.</w:t>
      </w:r>
    </w:p>
    <w:p w14:paraId="59FB53CA" w14:textId="0487EC1E" w:rsidR="00D9653F" w:rsidRPr="002765A6"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765A6">
        <w:rPr>
          <w:rFonts w:ascii="Arial" w:hAnsi="Arial" w:cs="Arial"/>
          <w:bCs/>
          <w:sz w:val="22"/>
          <w:szCs w:val="22"/>
          <w:lang w:val="fr-FR"/>
        </w:rPr>
        <w:t xml:space="preserve">La délégation de la </w:t>
      </w:r>
      <w:r w:rsidRPr="002765A6">
        <w:rPr>
          <w:rFonts w:ascii="Arial" w:hAnsi="Arial" w:cs="Arial"/>
          <w:b/>
          <w:sz w:val="22"/>
          <w:szCs w:val="22"/>
          <w:lang w:val="fr-FR"/>
        </w:rPr>
        <w:t>Mongolie</w:t>
      </w:r>
      <w:r>
        <w:rPr>
          <w:rFonts w:ascii="Arial" w:hAnsi="Arial" w:cs="Arial"/>
          <w:bCs/>
          <w:sz w:val="22"/>
          <w:szCs w:val="22"/>
          <w:lang w:val="fr-FR"/>
        </w:rPr>
        <w:t xml:space="preserve"> a salué</w:t>
      </w:r>
      <w:r w:rsidRPr="002765A6">
        <w:rPr>
          <w:rFonts w:ascii="Arial" w:hAnsi="Arial" w:cs="Arial"/>
          <w:bCs/>
          <w:sz w:val="22"/>
          <w:szCs w:val="22"/>
          <w:lang w:val="fr-FR"/>
        </w:rPr>
        <w:t xml:space="preserve"> l</w:t>
      </w:r>
      <w:r w:rsidR="008E532B">
        <w:rPr>
          <w:rFonts w:ascii="Arial" w:hAnsi="Arial" w:cs="Arial"/>
          <w:bCs/>
          <w:sz w:val="22"/>
          <w:szCs w:val="22"/>
          <w:lang w:val="fr-FR"/>
        </w:rPr>
        <w:t>’</w:t>
      </w:r>
      <w:r w:rsidRPr="002765A6">
        <w:rPr>
          <w:rFonts w:ascii="Arial" w:hAnsi="Arial" w:cs="Arial"/>
          <w:bCs/>
          <w:sz w:val="22"/>
          <w:szCs w:val="22"/>
          <w:lang w:val="fr-FR"/>
        </w:rPr>
        <w:t>initiative du Secrétariat de célébrer le vingtième anniversaire de la Convention, ajoutant qu</w:t>
      </w:r>
      <w:r w:rsidR="008E532B">
        <w:rPr>
          <w:rFonts w:ascii="Arial" w:hAnsi="Arial" w:cs="Arial"/>
          <w:bCs/>
          <w:sz w:val="22"/>
          <w:szCs w:val="22"/>
          <w:lang w:val="fr-FR"/>
        </w:rPr>
        <w:t>’</w:t>
      </w:r>
      <w:r w:rsidRPr="002765A6">
        <w:rPr>
          <w:rFonts w:ascii="Arial" w:hAnsi="Arial" w:cs="Arial"/>
          <w:bCs/>
          <w:sz w:val="22"/>
          <w:szCs w:val="22"/>
          <w:lang w:val="fr-FR"/>
        </w:rPr>
        <w:t>elle prévoyait de le faire aux niveaux national et régional. Elle souhait</w:t>
      </w:r>
      <w:r>
        <w:rPr>
          <w:rFonts w:ascii="Arial" w:hAnsi="Arial" w:cs="Arial"/>
          <w:bCs/>
          <w:sz w:val="22"/>
          <w:szCs w:val="22"/>
          <w:lang w:val="fr-FR"/>
        </w:rPr>
        <w:t>ait</w:t>
      </w:r>
      <w:r w:rsidRPr="002765A6">
        <w:rPr>
          <w:rFonts w:ascii="Arial" w:hAnsi="Arial" w:cs="Arial"/>
          <w:bCs/>
          <w:sz w:val="22"/>
          <w:szCs w:val="22"/>
          <w:lang w:val="fr-FR"/>
        </w:rPr>
        <w:t xml:space="preserve"> organiser l</w:t>
      </w:r>
      <w:r w:rsidR="008E532B">
        <w:rPr>
          <w:rFonts w:ascii="Arial" w:hAnsi="Arial" w:cs="Arial"/>
          <w:bCs/>
          <w:sz w:val="22"/>
          <w:szCs w:val="22"/>
          <w:lang w:val="fr-FR"/>
        </w:rPr>
        <w:t>’</w:t>
      </w:r>
      <w:r w:rsidRPr="002765A6">
        <w:rPr>
          <w:rFonts w:ascii="Arial" w:hAnsi="Arial" w:cs="Arial"/>
          <w:bCs/>
          <w:sz w:val="22"/>
          <w:szCs w:val="22"/>
          <w:lang w:val="fr-FR"/>
        </w:rPr>
        <w:t>ouverture de l</w:t>
      </w:r>
      <w:r w:rsidR="008E532B">
        <w:rPr>
          <w:rFonts w:ascii="Arial" w:hAnsi="Arial" w:cs="Arial"/>
          <w:bCs/>
          <w:sz w:val="22"/>
          <w:szCs w:val="22"/>
          <w:lang w:val="fr-FR"/>
        </w:rPr>
        <w:t>’</w:t>
      </w:r>
      <w:r w:rsidRPr="002765A6">
        <w:rPr>
          <w:rFonts w:ascii="Arial" w:hAnsi="Arial" w:cs="Arial"/>
          <w:bCs/>
          <w:sz w:val="22"/>
          <w:szCs w:val="22"/>
          <w:lang w:val="fr-FR"/>
        </w:rPr>
        <w:t>année et la clôture de l</w:t>
      </w:r>
      <w:r w:rsidR="008E532B">
        <w:rPr>
          <w:rFonts w:ascii="Arial" w:hAnsi="Arial" w:cs="Arial"/>
          <w:bCs/>
          <w:sz w:val="22"/>
          <w:szCs w:val="22"/>
          <w:lang w:val="fr-FR"/>
        </w:rPr>
        <w:t>’</w:t>
      </w:r>
      <w:r w:rsidRPr="002765A6">
        <w:rPr>
          <w:rFonts w:ascii="Arial" w:hAnsi="Arial" w:cs="Arial"/>
          <w:bCs/>
          <w:sz w:val="22"/>
          <w:szCs w:val="22"/>
          <w:lang w:val="fr-FR"/>
        </w:rPr>
        <w:t xml:space="preserve">anniversaire lors de la </w:t>
      </w:r>
      <w:r>
        <w:rPr>
          <w:rFonts w:ascii="Arial" w:hAnsi="Arial" w:cs="Arial"/>
          <w:bCs/>
          <w:sz w:val="22"/>
          <w:szCs w:val="22"/>
          <w:lang w:val="fr-FR"/>
        </w:rPr>
        <w:t>dix-huitième</w:t>
      </w:r>
      <w:r w:rsidRPr="002765A6">
        <w:rPr>
          <w:rFonts w:ascii="Arial" w:hAnsi="Arial" w:cs="Arial"/>
          <w:bCs/>
          <w:sz w:val="22"/>
          <w:szCs w:val="22"/>
          <w:lang w:val="fr-FR"/>
        </w:rPr>
        <w:t xml:space="preserve"> session du Comité [de la Convention]. La délégation a interrogé le Secrétariat sur la possibilité de déclarer une Année internationale du patrimoine culturel immatériel, </w:t>
      </w:r>
      <w:r>
        <w:rPr>
          <w:rFonts w:ascii="Arial" w:hAnsi="Arial" w:cs="Arial"/>
          <w:bCs/>
          <w:sz w:val="22"/>
          <w:szCs w:val="22"/>
          <w:lang w:val="fr-FR"/>
        </w:rPr>
        <w:t xml:space="preserve">faisant </w:t>
      </w:r>
      <w:r w:rsidRPr="002765A6">
        <w:rPr>
          <w:rFonts w:ascii="Arial" w:hAnsi="Arial" w:cs="Arial"/>
          <w:bCs/>
          <w:sz w:val="22"/>
          <w:szCs w:val="22"/>
          <w:lang w:val="fr-FR"/>
        </w:rPr>
        <w:t xml:space="preserve">notamment </w:t>
      </w:r>
      <w:r>
        <w:rPr>
          <w:rFonts w:ascii="Arial" w:hAnsi="Arial" w:cs="Arial"/>
          <w:bCs/>
          <w:sz w:val="22"/>
          <w:szCs w:val="22"/>
          <w:lang w:val="fr-FR"/>
        </w:rPr>
        <w:t>la promotion d</w:t>
      </w:r>
      <w:r w:rsidRPr="002765A6">
        <w:rPr>
          <w:rFonts w:ascii="Arial" w:hAnsi="Arial" w:cs="Arial"/>
          <w:bCs/>
          <w:sz w:val="22"/>
          <w:szCs w:val="22"/>
          <w:lang w:val="fr-FR"/>
        </w:rPr>
        <w:t>es savoirs traditionnels, par les Nations Unies.</w:t>
      </w:r>
    </w:p>
    <w:p w14:paraId="19CA61F3" w14:textId="5209BD4E" w:rsidR="00D9653F" w:rsidRPr="00063830"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2765A6">
        <w:rPr>
          <w:rFonts w:ascii="Arial" w:hAnsi="Arial" w:cs="Arial"/>
          <w:bCs/>
          <w:sz w:val="22"/>
          <w:szCs w:val="22"/>
          <w:lang w:val="fr-FR"/>
        </w:rPr>
        <w:t xml:space="preserve">La délégation de la </w:t>
      </w:r>
      <w:r w:rsidRPr="002765A6">
        <w:rPr>
          <w:rFonts w:ascii="Arial" w:hAnsi="Arial" w:cs="Arial"/>
          <w:b/>
          <w:sz w:val="22"/>
          <w:szCs w:val="22"/>
          <w:lang w:val="fr-FR"/>
        </w:rPr>
        <w:t>République arabe syrienne</w:t>
      </w:r>
      <w:r w:rsidRPr="002765A6">
        <w:rPr>
          <w:rFonts w:ascii="Arial" w:hAnsi="Arial" w:cs="Arial"/>
          <w:bCs/>
          <w:sz w:val="22"/>
          <w:szCs w:val="22"/>
          <w:lang w:val="fr-FR"/>
        </w:rPr>
        <w:t xml:space="preserve"> a remercié la Présidente pour son excellente gestion des travaux de l</w:t>
      </w:r>
      <w:r w:rsidR="008E532B">
        <w:rPr>
          <w:rFonts w:ascii="Arial" w:hAnsi="Arial" w:cs="Arial"/>
          <w:bCs/>
          <w:sz w:val="22"/>
          <w:szCs w:val="22"/>
          <w:lang w:val="fr-FR"/>
        </w:rPr>
        <w:t>’</w:t>
      </w:r>
      <w:r w:rsidRPr="002765A6">
        <w:rPr>
          <w:rFonts w:ascii="Arial" w:hAnsi="Arial" w:cs="Arial"/>
          <w:bCs/>
          <w:sz w:val="22"/>
          <w:szCs w:val="22"/>
          <w:lang w:val="fr-FR"/>
        </w:rPr>
        <w:t>Assemblée, ainsi que le Sous-Directeur général et l</w:t>
      </w:r>
      <w:r w:rsidR="008E532B">
        <w:rPr>
          <w:rFonts w:ascii="Arial" w:hAnsi="Arial" w:cs="Arial"/>
          <w:bCs/>
          <w:sz w:val="22"/>
          <w:szCs w:val="22"/>
          <w:lang w:val="fr-FR"/>
        </w:rPr>
        <w:t>’</w:t>
      </w:r>
      <w:r w:rsidRPr="002765A6">
        <w:rPr>
          <w:rFonts w:ascii="Arial" w:hAnsi="Arial" w:cs="Arial"/>
          <w:bCs/>
          <w:sz w:val="22"/>
          <w:szCs w:val="22"/>
          <w:lang w:val="fr-FR"/>
        </w:rPr>
        <w:t>ensemble du Secrétariat pour leur travail acharné. Elle a également remercié l</w:t>
      </w:r>
      <w:r w:rsidR="008E532B">
        <w:rPr>
          <w:rFonts w:ascii="Arial" w:hAnsi="Arial" w:cs="Arial"/>
          <w:bCs/>
          <w:sz w:val="22"/>
          <w:szCs w:val="22"/>
          <w:lang w:val="fr-FR"/>
        </w:rPr>
        <w:t>’</w:t>
      </w:r>
      <w:r>
        <w:rPr>
          <w:rFonts w:ascii="Arial" w:hAnsi="Arial" w:cs="Arial"/>
          <w:bCs/>
          <w:sz w:val="22"/>
          <w:szCs w:val="22"/>
          <w:lang w:val="fr-FR"/>
        </w:rPr>
        <w:t>a</w:t>
      </w:r>
      <w:r w:rsidRPr="002765A6">
        <w:rPr>
          <w:rFonts w:ascii="Arial" w:hAnsi="Arial" w:cs="Arial"/>
          <w:bCs/>
          <w:sz w:val="22"/>
          <w:szCs w:val="22"/>
          <w:lang w:val="fr-FR"/>
        </w:rPr>
        <w:t xml:space="preserve">mbassadeur du Japon </w:t>
      </w:r>
      <w:r>
        <w:rPr>
          <w:rFonts w:ascii="Arial" w:hAnsi="Arial" w:cs="Arial"/>
          <w:bCs/>
          <w:sz w:val="22"/>
          <w:szCs w:val="22"/>
          <w:lang w:val="fr-FR"/>
        </w:rPr>
        <w:t>d</w:t>
      </w:r>
      <w:r w:rsidR="008E532B">
        <w:rPr>
          <w:rFonts w:ascii="Arial" w:hAnsi="Arial" w:cs="Arial"/>
          <w:bCs/>
          <w:sz w:val="22"/>
          <w:szCs w:val="22"/>
          <w:lang w:val="fr-FR"/>
        </w:rPr>
        <w:t>’</w:t>
      </w:r>
      <w:r w:rsidRPr="002765A6">
        <w:rPr>
          <w:rFonts w:ascii="Arial" w:hAnsi="Arial" w:cs="Arial"/>
          <w:bCs/>
          <w:sz w:val="22"/>
          <w:szCs w:val="22"/>
          <w:lang w:val="fr-FR"/>
        </w:rPr>
        <w:t>avoir présidé le groupe de travail</w:t>
      </w:r>
      <w:r>
        <w:rPr>
          <w:rFonts w:ascii="Arial" w:hAnsi="Arial" w:cs="Arial"/>
          <w:bCs/>
          <w:sz w:val="22"/>
          <w:szCs w:val="22"/>
          <w:lang w:val="fr-FR"/>
        </w:rPr>
        <w:t>,</w:t>
      </w:r>
      <w:r w:rsidRPr="002765A6">
        <w:rPr>
          <w:rFonts w:ascii="Arial" w:hAnsi="Arial" w:cs="Arial"/>
          <w:bCs/>
          <w:sz w:val="22"/>
          <w:szCs w:val="22"/>
          <w:lang w:val="fr-FR"/>
        </w:rPr>
        <w:t xml:space="preserve"> et tous les </w:t>
      </w:r>
      <w:r>
        <w:rPr>
          <w:rFonts w:ascii="Arial" w:hAnsi="Arial" w:cs="Arial"/>
          <w:bCs/>
          <w:sz w:val="22"/>
          <w:szCs w:val="22"/>
          <w:lang w:val="fr-FR"/>
        </w:rPr>
        <w:t>É</w:t>
      </w:r>
      <w:r w:rsidRPr="002765A6">
        <w:rPr>
          <w:rFonts w:ascii="Arial" w:hAnsi="Arial" w:cs="Arial"/>
          <w:bCs/>
          <w:sz w:val="22"/>
          <w:szCs w:val="22"/>
          <w:lang w:val="fr-FR"/>
        </w:rPr>
        <w:t xml:space="preserve">tats parties qui </w:t>
      </w:r>
      <w:r>
        <w:rPr>
          <w:rFonts w:ascii="Arial" w:hAnsi="Arial" w:cs="Arial"/>
          <w:bCs/>
          <w:sz w:val="22"/>
          <w:szCs w:val="22"/>
          <w:lang w:val="fr-FR"/>
        </w:rPr>
        <w:t xml:space="preserve">avaient </w:t>
      </w:r>
      <w:r w:rsidRPr="002765A6">
        <w:rPr>
          <w:rFonts w:ascii="Arial" w:hAnsi="Arial" w:cs="Arial"/>
          <w:bCs/>
          <w:sz w:val="22"/>
          <w:szCs w:val="22"/>
          <w:lang w:val="fr-FR"/>
        </w:rPr>
        <w:t>participé à ces travaux, ainsi que toutes les délégations officielles présentes. L</w:t>
      </w:r>
      <w:r w:rsidR="008E532B">
        <w:rPr>
          <w:rFonts w:ascii="Arial" w:hAnsi="Arial" w:cs="Arial"/>
          <w:bCs/>
          <w:sz w:val="22"/>
          <w:szCs w:val="22"/>
          <w:lang w:val="fr-FR"/>
        </w:rPr>
        <w:t>’</w:t>
      </w:r>
      <w:r w:rsidRPr="002765A6">
        <w:rPr>
          <w:rFonts w:ascii="Arial" w:hAnsi="Arial" w:cs="Arial"/>
          <w:bCs/>
          <w:sz w:val="22"/>
          <w:szCs w:val="22"/>
          <w:lang w:val="fr-FR"/>
        </w:rPr>
        <w:t>Assemblée conclu</w:t>
      </w:r>
      <w:r>
        <w:rPr>
          <w:rFonts w:ascii="Arial" w:hAnsi="Arial" w:cs="Arial"/>
          <w:bCs/>
          <w:sz w:val="22"/>
          <w:szCs w:val="22"/>
          <w:lang w:val="fr-FR"/>
        </w:rPr>
        <w:t>ait</w:t>
      </w:r>
      <w:r w:rsidRPr="002765A6">
        <w:rPr>
          <w:rFonts w:ascii="Arial" w:hAnsi="Arial" w:cs="Arial"/>
          <w:bCs/>
          <w:sz w:val="22"/>
          <w:szCs w:val="22"/>
          <w:lang w:val="fr-FR"/>
        </w:rPr>
        <w:t xml:space="preserve"> ses travaux en </w:t>
      </w:r>
      <w:r>
        <w:rPr>
          <w:rFonts w:ascii="Arial" w:hAnsi="Arial" w:cs="Arial"/>
          <w:bCs/>
          <w:sz w:val="22"/>
          <w:szCs w:val="22"/>
          <w:lang w:val="fr-FR"/>
        </w:rPr>
        <w:t>formulant l</w:t>
      </w:r>
      <w:r w:rsidR="008E532B">
        <w:rPr>
          <w:rFonts w:ascii="Arial" w:hAnsi="Arial" w:cs="Arial"/>
          <w:bCs/>
          <w:sz w:val="22"/>
          <w:szCs w:val="22"/>
          <w:lang w:val="fr-FR"/>
        </w:rPr>
        <w:t>’</w:t>
      </w:r>
      <w:r>
        <w:rPr>
          <w:rFonts w:ascii="Arial" w:hAnsi="Arial" w:cs="Arial"/>
          <w:bCs/>
          <w:sz w:val="22"/>
          <w:szCs w:val="22"/>
          <w:lang w:val="fr-FR"/>
        </w:rPr>
        <w:t xml:space="preserve">espoir </w:t>
      </w:r>
      <w:r w:rsidRPr="002765A6">
        <w:rPr>
          <w:rFonts w:ascii="Arial" w:hAnsi="Arial" w:cs="Arial"/>
          <w:bCs/>
          <w:sz w:val="22"/>
          <w:szCs w:val="22"/>
          <w:lang w:val="fr-FR"/>
        </w:rPr>
        <w:t>que l</w:t>
      </w:r>
      <w:r w:rsidR="008E532B">
        <w:rPr>
          <w:rFonts w:ascii="Arial" w:hAnsi="Arial" w:cs="Arial"/>
          <w:bCs/>
          <w:sz w:val="22"/>
          <w:szCs w:val="22"/>
          <w:lang w:val="fr-FR"/>
        </w:rPr>
        <w:t>’</w:t>
      </w:r>
      <w:r w:rsidRPr="002765A6">
        <w:rPr>
          <w:rFonts w:ascii="Arial" w:hAnsi="Arial" w:cs="Arial"/>
          <w:bCs/>
          <w:sz w:val="22"/>
          <w:szCs w:val="22"/>
          <w:lang w:val="fr-FR"/>
        </w:rPr>
        <w:t>anniversaire de la Convention en 2023 s</w:t>
      </w:r>
      <w:r>
        <w:rPr>
          <w:rFonts w:ascii="Arial" w:hAnsi="Arial" w:cs="Arial"/>
          <w:bCs/>
          <w:sz w:val="22"/>
          <w:szCs w:val="22"/>
          <w:lang w:val="fr-FR"/>
        </w:rPr>
        <w:t>erait</w:t>
      </w:r>
      <w:r w:rsidRPr="002765A6">
        <w:rPr>
          <w:rFonts w:ascii="Arial" w:hAnsi="Arial" w:cs="Arial"/>
          <w:bCs/>
          <w:sz w:val="22"/>
          <w:szCs w:val="22"/>
          <w:lang w:val="fr-FR"/>
        </w:rPr>
        <w:t xml:space="preserve"> un moment extraordinaire de célébration des réalisations de nos communautés locales, détentrices et praticiennes du patrimoine vivant pour toutes les traditions culturelles de nos pays. La République arabe syrienne a</w:t>
      </w:r>
      <w:r>
        <w:rPr>
          <w:rFonts w:ascii="Arial" w:hAnsi="Arial" w:cs="Arial"/>
          <w:bCs/>
          <w:sz w:val="22"/>
          <w:szCs w:val="22"/>
          <w:lang w:val="fr-FR"/>
        </w:rPr>
        <w:t>vait</w:t>
      </w:r>
      <w:r w:rsidRPr="002765A6">
        <w:rPr>
          <w:rFonts w:ascii="Arial" w:hAnsi="Arial" w:cs="Arial"/>
          <w:bCs/>
          <w:sz w:val="22"/>
          <w:szCs w:val="22"/>
          <w:lang w:val="fr-FR"/>
        </w:rPr>
        <w:t xml:space="preserve"> l</w:t>
      </w:r>
      <w:r w:rsidR="008E532B">
        <w:rPr>
          <w:rFonts w:ascii="Arial" w:hAnsi="Arial" w:cs="Arial"/>
          <w:bCs/>
          <w:sz w:val="22"/>
          <w:szCs w:val="22"/>
          <w:lang w:val="fr-FR"/>
        </w:rPr>
        <w:t>’</w:t>
      </w:r>
      <w:r w:rsidRPr="002765A6">
        <w:rPr>
          <w:rFonts w:ascii="Arial" w:hAnsi="Arial" w:cs="Arial"/>
          <w:bCs/>
          <w:sz w:val="22"/>
          <w:szCs w:val="22"/>
          <w:lang w:val="fr-FR"/>
        </w:rPr>
        <w:t>honneur d</w:t>
      </w:r>
      <w:r w:rsidR="008E532B">
        <w:rPr>
          <w:rFonts w:ascii="Arial" w:hAnsi="Arial" w:cs="Arial"/>
          <w:bCs/>
          <w:sz w:val="22"/>
          <w:szCs w:val="22"/>
          <w:lang w:val="fr-FR"/>
        </w:rPr>
        <w:t>’</w:t>
      </w:r>
      <w:r w:rsidRPr="002765A6">
        <w:rPr>
          <w:rFonts w:ascii="Arial" w:hAnsi="Arial" w:cs="Arial"/>
          <w:bCs/>
          <w:sz w:val="22"/>
          <w:szCs w:val="22"/>
          <w:lang w:val="fr-FR"/>
        </w:rPr>
        <w:t xml:space="preserve">annoncer </w:t>
      </w:r>
      <w:r>
        <w:rPr>
          <w:rFonts w:ascii="Arial" w:hAnsi="Arial" w:cs="Arial"/>
          <w:bCs/>
          <w:sz w:val="22"/>
          <w:szCs w:val="22"/>
          <w:lang w:val="fr-FR"/>
        </w:rPr>
        <w:t>qu</w:t>
      </w:r>
      <w:r w:rsidR="008E532B">
        <w:rPr>
          <w:rFonts w:ascii="Arial" w:hAnsi="Arial" w:cs="Arial"/>
          <w:bCs/>
          <w:sz w:val="22"/>
          <w:szCs w:val="22"/>
          <w:lang w:val="fr-FR"/>
        </w:rPr>
        <w:t>’</w:t>
      </w:r>
      <w:r>
        <w:rPr>
          <w:rFonts w:ascii="Arial" w:hAnsi="Arial" w:cs="Arial"/>
          <w:bCs/>
          <w:sz w:val="22"/>
          <w:szCs w:val="22"/>
          <w:lang w:val="fr-FR"/>
        </w:rPr>
        <w:t>elle s</w:t>
      </w:r>
      <w:r w:rsidR="008E532B">
        <w:rPr>
          <w:rFonts w:ascii="Arial" w:hAnsi="Arial" w:cs="Arial"/>
          <w:bCs/>
          <w:sz w:val="22"/>
          <w:szCs w:val="22"/>
          <w:lang w:val="fr-FR"/>
        </w:rPr>
        <w:t>’</w:t>
      </w:r>
      <w:r>
        <w:rPr>
          <w:rFonts w:ascii="Arial" w:hAnsi="Arial" w:cs="Arial"/>
          <w:bCs/>
          <w:sz w:val="22"/>
          <w:szCs w:val="22"/>
          <w:lang w:val="fr-FR"/>
        </w:rPr>
        <w:t>engageait, pour</w:t>
      </w:r>
      <w:r w:rsidRPr="002765A6">
        <w:rPr>
          <w:rFonts w:ascii="Arial" w:hAnsi="Arial" w:cs="Arial"/>
          <w:bCs/>
          <w:sz w:val="22"/>
          <w:szCs w:val="22"/>
          <w:lang w:val="fr-FR"/>
        </w:rPr>
        <w:t xml:space="preserve"> cet anniversaire</w:t>
      </w:r>
      <w:r>
        <w:rPr>
          <w:rFonts w:ascii="Arial" w:hAnsi="Arial" w:cs="Arial"/>
          <w:bCs/>
          <w:sz w:val="22"/>
          <w:szCs w:val="22"/>
          <w:lang w:val="fr-FR"/>
        </w:rPr>
        <w:t xml:space="preserve">, à organiser </w:t>
      </w:r>
      <w:r w:rsidRPr="002765A6">
        <w:rPr>
          <w:rFonts w:ascii="Arial" w:hAnsi="Arial" w:cs="Arial"/>
          <w:bCs/>
          <w:sz w:val="22"/>
          <w:szCs w:val="22"/>
          <w:lang w:val="fr-FR"/>
        </w:rPr>
        <w:t>d</w:t>
      </w:r>
      <w:r>
        <w:rPr>
          <w:rFonts w:ascii="Arial" w:hAnsi="Arial" w:cs="Arial"/>
          <w:bCs/>
          <w:sz w:val="22"/>
          <w:szCs w:val="22"/>
          <w:lang w:val="fr-FR"/>
        </w:rPr>
        <w:t xml:space="preserve">es </w:t>
      </w:r>
      <w:r w:rsidRPr="002765A6">
        <w:rPr>
          <w:rFonts w:ascii="Arial" w:hAnsi="Arial" w:cs="Arial"/>
          <w:bCs/>
          <w:sz w:val="22"/>
          <w:szCs w:val="22"/>
          <w:lang w:val="fr-FR"/>
        </w:rPr>
        <w:t>activités tout au long de l</w:t>
      </w:r>
      <w:r w:rsidR="008E532B">
        <w:rPr>
          <w:rFonts w:ascii="Arial" w:hAnsi="Arial" w:cs="Arial"/>
          <w:bCs/>
          <w:sz w:val="22"/>
          <w:szCs w:val="22"/>
          <w:lang w:val="fr-FR"/>
        </w:rPr>
        <w:t>’</w:t>
      </w:r>
      <w:r w:rsidRPr="002765A6">
        <w:rPr>
          <w:rFonts w:ascii="Arial" w:hAnsi="Arial" w:cs="Arial"/>
          <w:bCs/>
          <w:sz w:val="22"/>
          <w:szCs w:val="22"/>
          <w:lang w:val="fr-FR"/>
        </w:rPr>
        <w:t>année. Pour ce vingtième anniversaire, elle a fait part de son souhait de s</w:t>
      </w:r>
      <w:r w:rsidR="008E532B">
        <w:rPr>
          <w:rFonts w:ascii="Arial" w:hAnsi="Arial" w:cs="Arial"/>
          <w:bCs/>
          <w:sz w:val="22"/>
          <w:szCs w:val="22"/>
          <w:lang w:val="fr-FR"/>
        </w:rPr>
        <w:t>’</w:t>
      </w:r>
      <w:r w:rsidRPr="002765A6">
        <w:rPr>
          <w:rFonts w:ascii="Arial" w:hAnsi="Arial" w:cs="Arial"/>
          <w:bCs/>
          <w:sz w:val="22"/>
          <w:szCs w:val="22"/>
          <w:lang w:val="fr-FR"/>
        </w:rPr>
        <w:t>associer au Secrétariat, à l</w:t>
      </w:r>
      <w:r w:rsidR="008E532B">
        <w:rPr>
          <w:rFonts w:ascii="Arial" w:hAnsi="Arial" w:cs="Arial"/>
          <w:bCs/>
          <w:sz w:val="22"/>
          <w:szCs w:val="22"/>
          <w:lang w:val="fr-FR"/>
        </w:rPr>
        <w:t>’</w:t>
      </w:r>
      <w:r w:rsidRPr="002765A6">
        <w:rPr>
          <w:rFonts w:ascii="Arial" w:hAnsi="Arial" w:cs="Arial"/>
          <w:bCs/>
          <w:sz w:val="22"/>
          <w:szCs w:val="22"/>
          <w:lang w:val="fr-FR"/>
        </w:rPr>
        <w:t xml:space="preserve">UNESCO et au Secteur de la </w:t>
      </w:r>
      <w:r>
        <w:rPr>
          <w:rFonts w:ascii="Arial" w:hAnsi="Arial" w:cs="Arial"/>
          <w:bCs/>
          <w:sz w:val="22"/>
          <w:szCs w:val="22"/>
          <w:lang w:val="fr-FR"/>
        </w:rPr>
        <w:t>c</w:t>
      </w:r>
      <w:r w:rsidRPr="002765A6">
        <w:rPr>
          <w:rFonts w:ascii="Arial" w:hAnsi="Arial" w:cs="Arial"/>
          <w:bCs/>
          <w:sz w:val="22"/>
          <w:szCs w:val="22"/>
          <w:lang w:val="fr-FR"/>
        </w:rPr>
        <w:t>ulture, ainsi qu</w:t>
      </w:r>
      <w:r w:rsidR="008E532B">
        <w:rPr>
          <w:rFonts w:ascii="Arial" w:hAnsi="Arial" w:cs="Arial"/>
          <w:bCs/>
          <w:sz w:val="22"/>
          <w:szCs w:val="22"/>
          <w:lang w:val="fr-FR"/>
        </w:rPr>
        <w:t>’</w:t>
      </w:r>
      <w:r w:rsidRPr="002765A6">
        <w:rPr>
          <w:rFonts w:ascii="Arial" w:hAnsi="Arial" w:cs="Arial"/>
          <w:bCs/>
          <w:sz w:val="22"/>
          <w:szCs w:val="22"/>
          <w:lang w:val="fr-FR"/>
        </w:rPr>
        <w:t xml:space="preserve">à tout </w:t>
      </w:r>
      <w:r>
        <w:rPr>
          <w:rFonts w:ascii="Arial" w:hAnsi="Arial" w:cs="Arial"/>
          <w:bCs/>
          <w:sz w:val="22"/>
          <w:szCs w:val="22"/>
          <w:lang w:val="fr-FR"/>
        </w:rPr>
        <w:t>É</w:t>
      </w:r>
      <w:r w:rsidRPr="002765A6">
        <w:rPr>
          <w:rFonts w:ascii="Arial" w:hAnsi="Arial" w:cs="Arial"/>
          <w:bCs/>
          <w:sz w:val="22"/>
          <w:szCs w:val="22"/>
          <w:lang w:val="fr-FR"/>
        </w:rPr>
        <w:t>tat</w:t>
      </w:r>
      <w:r>
        <w:rPr>
          <w:rFonts w:ascii="Arial" w:hAnsi="Arial" w:cs="Arial"/>
          <w:bCs/>
          <w:sz w:val="22"/>
          <w:szCs w:val="22"/>
          <w:lang w:val="fr-FR"/>
        </w:rPr>
        <w:t> </w:t>
      </w:r>
      <w:r w:rsidRPr="002765A6">
        <w:rPr>
          <w:rFonts w:ascii="Arial" w:hAnsi="Arial" w:cs="Arial"/>
          <w:bCs/>
          <w:sz w:val="22"/>
          <w:szCs w:val="22"/>
          <w:lang w:val="fr-FR"/>
        </w:rPr>
        <w:t>membre qui souhaiterait rejoindre la Syrie au niveau régional pour célébrer cet événement majeur. Elle a demandé que cette annonce soit officielle et figure dans le</w:t>
      </w:r>
      <w:r>
        <w:rPr>
          <w:rFonts w:ascii="Arial" w:hAnsi="Arial" w:cs="Arial"/>
          <w:bCs/>
          <w:sz w:val="22"/>
          <w:szCs w:val="22"/>
          <w:lang w:val="fr-FR"/>
        </w:rPr>
        <w:t xml:space="preserve"> </w:t>
      </w:r>
      <w:r w:rsidRPr="00063830">
        <w:rPr>
          <w:rFonts w:ascii="Arial" w:hAnsi="Arial" w:cs="Arial"/>
          <w:bCs/>
          <w:sz w:val="22"/>
          <w:szCs w:val="22"/>
          <w:lang w:val="fr-FR"/>
        </w:rPr>
        <w:t>compte rendu de l</w:t>
      </w:r>
      <w:r w:rsidR="008E532B">
        <w:rPr>
          <w:rFonts w:ascii="Arial" w:hAnsi="Arial" w:cs="Arial"/>
          <w:bCs/>
          <w:sz w:val="22"/>
          <w:szCs w:val="22"/>
          <w:lang w:val="fr-FR"/>
        </w:rPr>
        <w:t>’</w:t>
      </w:r>
      <w:r w:rsidRPr="00063830">
        <w:rPr>
          <w:rFonts w:ascii="Arial" w:hAnsi="Arial" w:cs="Arial"/>
          <w:bCs/>
          <w:sz w:val="22"/>
          <w:szCs w:val="22"/>
          <w:lang w:val="fr-FR"/>
        </w:rPr>
        <w:t>Assemblée générale.</w:t>
      </w:r>
    </w:p>
    <w:p w14:paraId="041C5A88" w14:textId="1F8BE825" w:rsidR="00D9653F" w:rsidRPr="00063830"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063830">
        <w:rPr>
          <w:rFonts w:ascii="Arial" w:hAnsi="Arial" w:cs="Arial"/>
          <w:bCs/>
          <w:sz w:val="22"/>
          <w:szCs w:val="22"/>
          <w:lang w:val="fr-FR"/>
        </w:rPr>
        <w:t xml:space="preserve">La délégation de la </w:t>
      </w:r>
      <w:r w:rsidRPr="00063830">
        <w:rPr>
          <w:rFonts w:ascii="Arial" w:hAnsi="Arial" w:cs="Arial"/>
          <w:b/>
          <w:sz w:val="22"/>
          <w:szCs w:val="22"/>
          <w:lang w:val="fr-FR"/>
        </w:rPr>
        <w:t>Barbade</w:t>
      </w:r>
      <w:r w:rsidRPr="00063830">
        <w:rPr>
          <w:rFonts w:ascii="Arial" w:hAnsi="Arial" w:cs="Arial"/>
          <w:bCs/>
          <w:sz w:val="22"/>
          <w:szCs w:val="22"/>
          <w:lang w:val="fr-FR"/>
        </w:rPr>
        <w:t xml:space="preserve"> </w:t>
      </w:r>
      <w:r>
        <w:rPr>
          <w:rFonts w:ascii="Arial" w:hAnsi="Arial" w:cs="Arial"/>
          <w:bCs/>
          <w:sz w:val="22"/>
          <w:szCs w:val="22"/>
          <w:lang w:val="fr-FR"/>
        </w:rPr>
        <w:t xml:space="preserve">était </w:t>
      </w:r>
      <w:r w:rsidRPr="00063830">
        <w:rPr>
          <w:rFonts w:ascii="Arial" w:hAnsi="Arial" w:cs="Arial"/>
          <w:bCs/>
          <w:sz w:val="22"/>
          <w:szCs w:val="22"/>
          <w:lang w:val="fr-FR"/>
        </w:rPr>
        <w:t xml:space="preserve">heureuse de se joindre à ses collègues pour célébrer les vingt ans de la Convention en 2023. Cela marquerait également les </w:t>
      </w:r>
      <w:r>
        <w:rPr>
          <w:rFonts w:ascii="Arial" w:hAnsi="Arial" w:cs="Arial"/>
          <w:bCs/>
          <w:sz w:val="22"/>
          <w:szCs w:val="22"/>
          <w:lang w:val="fr-FR"/>
        </w:rPr>
        <w:t xml:space="preserve">quinze </w:t>
      </w:r>
      <w:r w:rsidRPr="00063830">
        <w:rPr>
          <w:rFonts w:ascii="Arial" w:hAnsi="Arial" w:cs="Arial"/>
          <w:bCs/>
          <w:sz w:val="22"/>
          <w:szCs w:val="22"/>
          <w:lang w:val="fr-FR"/>
        </w:rPr>
        <w:t>ans de la signature de la Convention par la Barbade, il y a</w:t>
      </w:r>
      <w:r>
        <w:rPr>
          <w:rFonts w:ascii="Arial" w:hAnsi="Arial" w:cs="Arial"/>
          <w:bCs/>
          <w:sz w:val="22"/>
          <w:szCs w:val="22"/>
          <w:lang w:val="fr-FR"/>
        </w:rPr>
        <w:t>vait</w:t>
      </w:r>
      <w:r w:rsidRPr="00063830">
        <w:rPr>
          <w:rFonts w:ascii="Arial" w:hAnsi="Arial" w:cs="Arial"/>
          <w:bCs/>
          <w:sz w:val="22"/>
          <w:szCs w:val="22"/>
          <w:lang w:val="fr-FR"/>
        </w:rPr>
        <w:t xml:space="preserve"> donc une double raison de célébrer</w:t>
      </w:r>
      <w:r>
        <w:rPr>
          <w:rFonts w:ascii="Arial" w:hAnsi="Arial" w:cs="Arial"/>
          <w:bCs/>
          <w:sz w:val="22"/>
          <w:szCs w:val="22"/>
          <w:lang w:val="fr-FR"/>
        </w:rPr>
        <w:t xml:space="preserve"> un anniversaire</w:t>
      </w:r>
      <w:r w:rsidRPr="00063830">
        <w:rPr>
          <w:rFonts w:ascii="Arial" w:hAnsi="Arial" w:cs="Arial"/>
          <w:bCs/>
          <w:sz w:val="22"/>
          <w:szCs w:val="22"/>
          <w:lang w:val="fr-FR"/>
        </w:rPr>
        <w:t xml:space="preserve">. Elle a également reconnu les vulnérabilités </w:t>
      </w:r>
      <w:r>
        <w:rPr>
          <w:rFonts w:ascii="Arial" w:hAnsi="Arial" w:cs="Arial"/>
          <w:bCs/>
          <w:sz w:val="22"/>
          <w:szCs w:val="22"/>
          <w:lang w:val="fr-FR"/>
        </w:rPr>
        <w:t xml:space="preserve">que connaissait </w:t>
      </w:r>
      <w:r w:rsidRPr="00063830">
        <w:rPr>
          <w:rFonts w:ascii="Arial" w:hAnsi="Arial" w:cs="Arial"/>
          <w:bCs/>
          <w:sz w:val="22"/>
          <w:szCs w:val="22"/>
          <w:lang w:val="fr-FR"/>
        </w:rPr>
        <w:t>la région</w:t>
      </w:r>
      <w:r>
        <w:rPr>
          <w:rFonts w:ascii="Arial" w:hAnsi="Arial" w:cs="Arial"/>
          <w:bCs/>
          <w:sz w:val="22"/>
          <w:szCs w:val="22"/>
          <w:lang w:val="fr-FR"/>
        </w:rPr>
        <w:t xml:space="preserve">, </w:t>
      </w:r>
      <w:r w:rsidRPr="00063830">
        <w:rPr>
          <w:rFonts w:ascii="Arial" w:hAnsi="Arial" w:cs="Arial"/>
          <w:bCs/>
          <w:sz w:val="22"/>
          <w:szCs w:val="22"/>
          <w:lang w:val="fr-FR"/>
        </w:rPr>
        <w:t xml:space="preserve">et elle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 xml:space="preserve">est </w:t>
      </w:r>
      <w:proofErr w:type="gramStart"/>
      <w:r>
        <w:rPr>
          <w:rFonts w:ascii="Arial" w:hAnsi="Arial" w:cs="Arial"/>
          <w:bCs/>
          <w:sz w:val="22"/>
          <w:szCs w:val="22"/>
          <w:lang w:val="fr-FR"/>
        </w:rPr>
        <w:t>dite</w:t>
      </w:r>
      <w:proofErr w:type="gramEnd"/>
      <w:r w:rsidRPr="00063830">
        <w:rPr>
          <w:rFonts w:ascii="Arial" w:hAnsi="Arial" w:cs="Arial"/>
          <w:bCs/>
          <w:sz w:val="22"/>
          <w:szCs w:val="22"/>
          <w:lang w:val="fr-FR"/>
        </w:rPr>
        <w:t xml:space="preserve"> particulièrement inspirée par les actions d</w:t>
      </w:r>
      <w:r w:rsidR="008E532B">
        <w:rPr>
          <w:rFonts w:ascii="Arial" w:hAnsi="Arial" w:cs="Arial"/>
          <w:bCs/>
          <w:sz w:val="22"/>
          <w:szCs w:val="22"/>
          <w:lang w:val="fr-FR"/>
        </w:rPr>
        <w:t>’</w:t>
      </w:r>
      <w:r w:rsidRPr="00063830">
        <w:rPr>
          <w:rFonts w:ascii="Arial" w:hAnsi="Arial" w:cs="Arial"/>
          <w:bCs/>
          <w:sz w:val="22"/>
          <w:szCs w:val="22"/>
          <w:lang w:val="fr-FR"/>
        </w:rPr>
        <w:t xml:space="preserve">Haïti au cours de cette session en </w:t>
      </w:r>
      <w:r>
        <w:rPr>
          <w:rFonts w:ascii="Arial" w:hAnsi="Arial" w:cs="Arial"/>
          <w:bCs/>
          <w:sz w:val="22"/>
          <w:szCs w:val="22"/>
          <w:lang w:val="fr-FR"/>
        </w:rPr>
        <w:t>matière</w:t>
      </w:r>
      <w:r w:rsidRPr="00063830">
        <w:rPr>
          <w:rFonts w:ascii="Arial" w:hAnsi="Arial" w:cs="Arial"/>
          <w:bCs/>
          <w:sz w:val="22"/>
          <w:szCs w:val="22"/>
          <w:lang w:val="fr-FR"/>
        </w:rPr>
        <w:t xml:space="preserve"> de résilience</w:t>
      </w:r>
      <w:r>
        <w:rPr>
          <w:rFonts w:ascii="Arial" w:hAnsi="Arial" w:cs="Arial"/>
          <w:bCs/>
          <w:sz w:val="22"/>
          <w:szCs w:val="22"/>
          <w:lang w:val="fr-FR"/>
        </w:rPr>
        <w:t>,</w:t>
      </w:r>
      <w:r w:rsidRPr="00063830">
        <w:rPr>
          <w:rFonts w:ascii="Arial" w:hAnsi="Arial" w:cs="Arial"/>
          <w:bCs/>
          <w:sz w:val="22"/>
          <w:szCs w:val="22"/>
          <w:lang w:val="fr-FR"/>
        </w:rPr>
        <w:t xml:space="preserve"> </w:t>
      </w:r>
      <w:r>
        <w:rPr>
          <w:rFonts w:ascii="Arial" w:hAnsi="Arial" w:cs="Arial"/>
          <w:bCs/>
          <w:sz w:val="22"/>
          <w:szCs w:val="22"/>
          <w:lang w:val="fr-FR"/>
        </w:rPr>
        <w:t>avec</w:t>
      </w:r>
      <w:r w:rsidRPr="00063830">
        <w:rPr>
          <w:rFonts w:ascii="Arial" w:hAnsi="Arial" w:cs="Arial"/>
          <w:bCs/>
          <w:sz w:val="22"/>
          <w:szCs w:val="22"/>
          <w:lang w:val="fr-FR"/>
        </w:rPr>
        <w:t xml:space="preserve"> l</w:t>
      </w:r>
      <w:r w:rsidR="008E532B">
        <w:rPr>
          <w:rFonts w:ascii="Arial" w:hAnsi="Arial" w:cs="Arial"/>
          <w:bCs/>
          <w:sz w:val="22"/>
          <w:szCs w:val="22"/>
          <w:lang w:val="fr-FR"/>
        </w:rPr>
        <w:t>’</w:t>
      </w:r>
      <w:r w:rsidRPr="00063830">
        <w:rPr>
          <w:rFonts w:ascii="Arial" w:hAnsi="Arial" w:cs="Arial"/>
          <w:bCs/>
          <w:sz w:val="22"/>
          <w:szCs w:val="22"/>
          <w:lang w:val="fr-FR"/>
        </w:rPr>
        <w:t xml:space="preserve">utilisation de la </w:t>
      </w:r>
      <w:r>
        <w:rPr>
          <w:rFonts w:ascii="Arial" w:hAnsi="Arial" w:cs="Arial"/>
          <w:bCs/>
          <w:sz w:val="22"/>
          <w:szCs w:val="22"/>
          <w:lang w:val="fr-FR"/>
        </w:rPr>
        <w:t>soupe au giraumon</w:t>
      </w:r>
      <w:r w:rsidRPr="00063830">
        <w:rPr>
          <w:rFonts w:ascii="Arial" w:hAnsi="Arial" w:cs="Arial"/>
          <w:bCs/>
          <w:sz w:val="22"/>
          <w:szCs w:val="22"/>
          <w:lang w:val="fr-FR"/>
        </w:rPr>
        <w:t>. La délégation a reconnu que les</w:t>
      </w:r>
      <w:r>
        <w:rPr>
          <w:rFonts w:ascii="Arial" w:hAnsi="Arial" w:cs="Arial"/>
          <w:bCs/>
          <w:sz w:val="22"/>
          <w:szCs w:val="22"/>
          <w:lang w:val="fr-FR"/>
        </w:rPr>
        <w:t xml:space="preserve"> alignements </w:t>
      </w:r>
      <w:r w:rsidRPr="00063830">
        <w:rPr>
          <w:rFonts w:ascii="Arial" w:hAnsi="Arial" w:cs="Arial"/>
          <w:bCs/>
          <w:sz w:val="22"/>
          <w:szCs w:val="22"/>
          <w:lang w:val="fr-FR"/>
        </w:rPr>
        <w:t>et la capacité d</w:t>
      </w:r>
      <w:r w:rsidR="008E532B">
        <w:rPr>
          <w:rFonts w:ascii="Arial" w:hAnsi="Arial" w:cs="Arial"/>
          <w:bCs/>
          <w:sz w:val="22"/>
          <w:szCs w:val="22"/>
          <w:lang w:val="fr-FR"/>
        </w:rPr>
        <w:t>’</w:t>
      </w:r>
      <w:r w:rsidRPr="00063830">
        <w:rPr>
          <w:rFonts w:ascii="Arial" w:hAnsi="Arial" w:cs="Arial"/>
          <w:bCs/>
          <w:sz w:val="22"/>
          <w:szCs w:val="22"/>
          <w:lang w:val="fr-FR"/>
        </w:rPr>
        <w:t xml:space="preserve">utiliser la Convention et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063830">
        <w:rPr>
          <w:rFonts w:ascii="Arial" w:hAnsi="Arial" w:cs="Arial"/>
          <w:bCs/>
          <w:sz w:val="22"/>
          <w:szCs w:val="22"/>
          <w:lang w:val="fr-FR"/>
        </w:rPr>
        <w:t>comme mode de résilience étaient importants pour la Barbade. Elle continuera</w:t>
      </w:r>
      <w:r>
        <w:rPr>
          <w:rFonts w:ascii="Arial" w:hAnsi="Arial" w:cs="Arial"/>
          <w:bCs/>
          <w:sz w:val="22"/>
          <w:szCs w:val="22"/>
          <w:lang w:val="fr-FR"/>
        </w:rPr>
        <w:t>it</w:t>
      </w:r>
      <w:r w:rsidRPr="00063830">
        <w:rPr>
          <w:rFonts w:ascii="Arial" w:hAnsi="Arial" w:cs="Arial"/>
          <w:bCs/>
          <w:sz w:val="22"/>
          <w:szCs w:val="22"/>
          <w:lang w:val="fr-FR"/>
        </w:rPr>
        <w:t xml:space="preserve"> à aligner la Convention sur d</w:t>
      </w:r>
      <w:r w:rsidR="008E532B">
        <w:rPr>
          <w:rFonts w:ascii="Arial" w:hAnsi="Arial" w:cs="Arial"/>
          <w:bCs/>
          <w:sz w:val="22"/>
          <w:szCs w:val="22"/>
          <w:lang w:val="fr-FR"/>
        </w:rPr>
        <w:t>’</w:t>
      </w:r>
      <w:r w:rsidRPr="00063830">
        <w:rPr>
          <w:rFonts w:ascii="Arial" w:hAnsi="Arial" w:cs="Arial"/>
          <w:bCs/>
          <w:sz w:val="22"/>
          <w:szCs w:val="22"/>
          <w:lang w:val="fr-FR"/>
        </w:rPr>
        <w:t>autres mouvements significatifs et, ce faisant, reconnaîtra</w:t>
      </w:r>
      <w:r>
        <w:rPr>
          <w:rFonts w:ascii="Arial" w:hAnsi="Arial" w:cs="Arial"/>
          <w:bCs/>
          <w:sz w:val="22"/>
          <w:szCs w:val="22"/>
          <w:lang w:val="fr-FR"/>
        </w:rPr>
        <w:t>it</w:t>
      </w:r>
      <w:r w:rsidRPr="00063830">
        <w:rPr>
          <w:rFonts w:ascii="Arial" w:hAnsi="Arial" w:cs="Arial"/>
          <w:bCs/>
          <w:sz w:val="22"/>
          <w:szCs w:val="22"/>
          <w:lang w:val="fr-FR"/>
        </w:rPr>
        <w:t xml:space="preserve"> l</w:t>
      </w:r>
      <w:r w:rsidR="008E532B">
        <w:rPr>
          <w:rFonts w:ascii="Arial" w:hAnsi="Arial" w:cs="Arial"/>
          <w:bCs/>
          <w:sz w:val="22"/>
          <w:szCs w:val="22"/>
          <w:lang w:val="fr-FR"/>
        </w:rPr>
        <w:t>’</w:t>
      </w:r>
      <w:r w:rsidRPr="00063830">
        <w:rPr>
          <w:rFonts w:ascii="Arial" w:hAnsi="Arial" w:cs="Arial"/>
          <w:bCs/>
          <w:sz w:val="22"/>
          <w:szCs w:val="22"/>
          <w:lang w:val="fr-FR"/>
        </w:rPr>
        <w:t>ODD 13 sur l</w:t>
      </w:r>
      <w:r w:rsidR="008E532B">
        <w:rPr>
          <w:rFonts w:ascii="Arial" w:hAnsi="Arial" w:cs="Arial"/>
          <w:bCs/>
          <w:sz w:val="22"/>
          <w:szCs w:val="22"/>
          <w:lang w:val="fr-FR"/>
        </w:rPr>
        <w:t>’</w:t>
      </w:r>
      <w:r w:rsidRPr="00063830">
        <w:rPr>
          <w:rFonts w:ascii="Arial" w:hAnsi="Arial" w:cs="Arial"/>
          <w:bCs/>
          <w:sz w:val="22"/>
          <w:szCs w:val="22"/>
          <w:lang w:val="fr-FR"/>
        </w:rPr>
        <w:t xml:space="preserve">action climatique, qui </w:t>
      </w:r>
      <w:r>
        <w:rPr>
          <w:rFonts w:ascii="Arial" w:hAnsi="Arial" w:cs="Arial"/>
          <w:bCs/>
          <w:sz w:val="22"/>
          <w:szCs w:val="22"/>
          <w:lang w:val="fr-FR"/>
        </w:rPr>
        <w:t>était</w:t>
      </w:r>
      <w:r w:rsidRPr="00063830">
        <w:rPr>
          <w:rFonts w:ascii="Arial" w:hAnsi="Arial" w:cs="Arial"/>
          <w:bCs/>
          <w:sz w:val="22"/>
          <w:szCs w:val="22"/>
          <w:lang w:val="fr-FR"/>
        </w:rPr>
        <w:t xml:space="preserve"> important</w:t>
      </w:r>
      <w:r>
        <w:rPr>
          <w:rFonts w:ascii="Arial" w:hAnsi="Arial" w:cs="Arial"/>
          <w:bCs/>
          <w:sz w:val="22"/>
          <w:szCs w:val="22"/>
          <w:lang w:val="fr-FR"/>
        </w:rPr>
        <w:t>e</w:t>
      </w:r>
      <w:r w:rsidRPr="00063830">
        <w:rPr>
          <w:rFonts w:ascii="Arial" w:hAnsi="Arial" w:cs="Arial"/>
          <w:bCs/>
          <w:sz w:val="22"/>
          <w:szCs w:val="22"/>
          <w:lang w:val="fr-FR"/>
        </w:rPr>
        <w:t xml:space="preserve"> pour la région en </w:t>
      </w:r>
      <w:r>
        <w:rPr>
          <w:rFonts w:ascii="Arial" w:hAnsi="Arial" w:cs="Arial"/>
          <w:bCs/>
          <w:sz w:val="22"/>
          <w:szCs w:val="22"/>
          <w:lang w:val="fr-FR"/>
        </w:rPr>
        <w:t>matière</w:t>
      </w:r>
      <w:r w:rsidRPr="00063830">
        <w:rPr>
          <w:rFonts w:ascii="Arial" w:hAnsi="Arial" w:cs="Arial"/>
          <w:bCs/>
          <w:sz w:val="22"/>
          <w:szCs w:val="22"/>
          <w:lang w:val="fr-FR"/>
        </w:rPr>
        <w:t xml:space="preserve"> de vulnérabilités. La Barbade continuera</w:t>
      </w:r>
      <w:r>
        <w:rPr>
          <w:rFonts w:ascii="Arial" w:hAnsi="Arial" w:cs="Arial"/>
          <w:bCs/>
          <w:sz w:val="22"/>
          <w:szCs w:val="22"/>
          <w:lang w:val="fr-FR"/>
        </w:rPr>
        <w:t>it</w:t>
      </w:r>
      <w:r w:rsidRPr="00063830">
        <w:rPr>
          <w:rFonts w:ascii="Arial" w:hAnsi="Arial" w:cs="Arial"/>
          <w:bCs/>
          <w:sz w:val="22"/>
          <w:szCs w:val="22"/>
          <w:lang w:val="fr-FR"/>
        </w:rPr>
        <w:t xml:space="preserve"> donc à utiliser le </w:t>
      </w:r>
      <w:r w:rsidR="00E908E2">
        <w:rPr>
          <w:rFonts w:ascii="Arial" w:eastAsia="SimSun" w:hAnsi="Arial" w:cs="Arial"/>
          <w:bCs/>
          <w:sz w:val="22"/>
          <w:szCs w:val="22"/>
          <w:lang w:val="fr-FR" w:eastAsia="en-US"/>
        </w:rPr>
        <w:t>patrimoine culturel immatériel</w:t>
      </w:r>
      <w:r w:rsidR="00E908E2" w:rsidRPr="001C722F">
        <w:rPr>
          <w:rFonts w:ascii="Arial" w:eastAsia="SimSun" w:hAnsi="Arial" w:cs="Arial"/>
          <w:bCs/>
          <w:sz w:val="22"/>
          <w:szCs w:val="22"/>
          <w:lang w:val="fr-FR" w:eastAsia="en-US"/>
        </w:rPr>
        <w:t xml:space="preserve"> </w:t>
      </w:r>
      <w:r w:rsidRPr="00063830">
        <w:rPr>
          <w:rFonts w:ascii="Arial" w:hAnsi="Arial" w:cs="Arial"/>
          <w:bCs/>
          <w:sz w:val="22"/>
          <w:szCs w:val="22"/>
          <w:lang w:val="fr-FR"/>
        </w:rPr>
        <w:t>dans ses célébrations comme un mode de résilience pour une action climatique positive.</w:t>
      </w:r>
    </w:p>
    <w:p w14:paraId="4EC9D02C" w14:textId="520D8F92" w:rsidR="00D9653F" w:rsidRPr="008934B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8934BF">
        <w:rPr>
          <w:rFonts w:ascii="Arial" w:hAnsi="Arial" w:cs="Arial"/>
          <w:bCs/>
          <w:sz w:val="22"/>
          <w:szCs w:val="22"/>
          <w:lang w:val="fr-FR"/>
        </w:rPr>
        <w:t xml:space="preserve">La délégation du </w:t>
      </w:r>
      <w:r w:rsidRPr="008934BF">
        <w:rPr>
          <w:rFonts w:ascii="Arial" w:hAnsi="Arial" w:cs="Arial"/>
          <w:b/>
          <w:sz w:val="22"/>
          <w:szCs w:val="22"/>
          <w:lang w:val="fr-FR"/>
        </w:rPr>
        <w:t>Koweït</w:t>
      </w:r>
      <w:r>
        <w:rPr>
          <w:rFonts w:ascii="Arial" w:hAnsi="Arial" w:cs="Arial"/>
          <w:bCs/>
          <w:sz w:val="22"/>
          <w:szCs w:val="22"/>
          <w:lang w:val="fr-FR"/>
        </w:rPr>
        <w:t xml:space="preserve">, qui </w:t>
      </w:r>
      <w:r w:rsidRPr="008934BF">
        <w:rPr>
          <w:rFonts w:ascii="Arial" w:hAnsi="Arial" w:cs="Arial"/>
          <w:bCs/>
          <w:sz w:val="22"/>
          <w:szCs w:val="22"/>
          <w:lang w:val="fr-FR"/>
        </w:rPr>
        <w:t>était heureuse d</w:t>
      </w:r>
      <w:r w:rsidR="008E532B">
        <w:rPr>
          <w:rFonts w:ascii="Arial" w:hAnsi="Arial" w:cs="Arial"/>
          <w:bCs/>
          <w:sz w:val="22"/>
          <w:szCs w:val="22"/>
          <w:lang w:val="fr-FR"/>
        </w:rPr>
        <w:t>’</w:t>
      </w:r>
      <w:r w:rsidRPr="008934BF">
        <w:rPr>
          <w:rFonts w:ascii="Arial" w:hAnsi="Arial" w:cs="Arial"/>
          <w:bCs/>
          <w:sz w:val="22"/>
          <w:szCs w:val="22"/>
          <w:lang w:val="fr-FR"/>
        </w:rPr>
        <w:t>avoir la première ONG accréditée du pays, ce qui était un</w:t>
      </w:r>
      <w:r>
        <w:rPr>
          <w:rFonts w:ascii="Arial" w:hAnsi="Arial" w:cs="Arial"/>
          <w:bCs/>
          <w:sz w:val="22"/>
          <w:szCs w:val="22"/>
          <w:lang w:val="fr-FR"/>
        </w:rPr>
        <w:t xml:space="preserve"> événement</w:t>
      </w:r>
      <w:r w:rsidRPr="008934BF">
        <w:rPr>
          <w:rFonts w:ascii="Arial" w:hAnsi="Arial" w:cs="Arial"/>
          <w:bCs/>
          <w:sz w:val="22"/>
          <w:szCs w:val="22"/>
          <w:lang w:val="fr-FR"/>
        </w:rPr>
        <w:t xml:space="preserve"> </w:t>
      </w:r>
      <w:r>
        <w:rPr>
          <w:rFonts w:ascii="Arial" w:hAnsi="Arial" w:cs="Arial"/>
          <w:bCs/>
          <w:sz w:val="22"/>
          <w:szCs w:val="22"/>
          <w:lang w:val="fr-FR"/>
        </w:rPr>
        <w:t>à</w:t>
      </w:r>
      <w:r w:rsidRPr="008934BF">
        <w:rPr>
          <w:rFonts w:ascii="Arial" w:hAnsi="Arial" w:cs="Arial"/>
          <w:bCs/>
          <w:sz w:val="22"/>
          <w:szCs w:val="22"/>
          <w:lang w:val="fr-FR"/>
        </w:rPr>
        <w:t xml:space="preserve"> célébrer,</w:t>
      </w:r>
      <w:r>
        <w:rPr>
          <w:rFonts w:ascii="Arial" w:hAnsi="Arial" w:cs="Arial"/>
          <w:bCs/>
          <w:sz w:val="22"/>
          <w:szCs w:val="22"/>
          <w:lang w:val="fr-FR"/>
        </w:rPr>
        <w:t xml:space="preserve"> a</w:t>
      </w:r>
      <w:r w:rsidRPr="008934BF">
        <w:rPr>
          <w:rFonts w:ascii="Arial" w:hAnsi="Arial" w:cs="Arial"/>
          <w:bCs/>
          <w:sz w:val="22"/>
          <w:szCs w:val="22"/>
          <w:lang w:val="fr-FR"/>
        </w:rPr>
        <w:t xml:space="preserve"> remerci</w:t>
      </w:r>
      <w:r>
        <w:rPr>
          <w:rFonts w:ascii="Arial" w:hAnsi="Arial" w:cs="Arial"/>
          <w:bCs/>
          <w:sz w:val="22"/>
          <w:szCs w:val="22"/>
          <w:lang w:val="fr-FR"/>
        </w:rPr>
        <w:t>é</w:t>
      </w:r>
      <w:r w:rsidRPr="008934BF">
        <w:rPr>
          <w:rFonts w:ascii="Arial" w:hAnsi="Arial" w:cs="Arial"/>
          <w:bCs/>
          <w:sz w:val="22"/>
          <w:szCs w:val="22"/>
          <w:lang w:val="fr-FR"/>
        </w:rPr>
        <w:t xml:space="preserve"> ceux qui</w:t>
      </w:r>
      <w:r>
        <w:rPr>
          <w:rFonts w:ascii="Arial" w:hAnsi="Arial" w:cs="Arial"/>
          <w:bCs/>
          <w:sz w:val="22"/>
          <w:szCs w:val="22"/>
          <w:lang w:val="fr-FR"/>
        </w:rPr>
        <w:t>, dans le pays,</w:t>
      </w:r>
      <w:r w:rsidRPr="008934BF">
        <w:rPr>
          <w:rFonts w:ascii="Arial" w:hAnsi="Arial" w:cs="Arial"/>
          <w:bCs/>
          <w:sz w:val="22"/>
          <w:szCs w:val="22"/>
          <w:lang w:val="fr-FR"/>
        </w:rPr>
        <w:t xml:space="preserve"> </w:t>
      </w:r>
      <w:r>
        <w:rPr>
          <w:rFonts w:ascii="Arial" w:hAnsi="Arial" w:cs="Arial"/>
          <w:bCs/>
          <w:sz w:val="22"/>
          <w:szCs w:val="22"/>
          <w:lang w:val="fr-FR"/>
        </w:rPr>
        <w:t xml:space="preserve">avaient </w:t>
      </w:r>
      <w:r w:rsidRPr="008934BF">
        <w:rPr>
          <w:rFonts w:ascii="Arial" w:hAnsi="Arial" w:cs="Arial"/>
          <w:bCs/>
          <w:sz w:val="22"/>
          <w:szCs w:val="22"/>
          <w:lang w:val="fr-FR"/>
        </w:rPr>
        <w:t xml:space="preserve">accompli cet exploit et en </w:t>
      </w:r>
      <w:r>
        <w:rPr>
          <w:rFonts w:ascii="Arial" w:hAnsi="Arial" w:cs="Arial"/>
          <w:bCs/>
          <w:sz w:val="22"/>
          <w:szCs w:val="22"/>
          <w:lang w:val="fr-FR"/>
        </w:rPr>
        <w:t>avaient</w:t>
      </w:r>
      <w:r w:rsidRPr="008934BF">
        <w:rPr>
          <w:rFonts w:ascii="Arial" w:hAnsi="Arial" w:cs="Arial"/>
          <w:bCs/>
          <w:sz w:val="22"/>
          <w:szCs w:val="22"/>
          <w:lang w:val="fr-FR"/>
        </w:rPr>
        <w:t xml:space="preserve"> fait une réalité. Cette session étant la dernière pour le Koweït en tant que membre du Comité, la délégation a remercié tout le monde pour l</w:t>
      </w:r>
      <w:r w:rsidR="008E532B">
        <w:rPr>
          <w:rFonts w:ascii="Arial" w:hAnsi="Arial" w:cs="Arial"/>
          <w:bCs/>
          <w:sz w:val="22"/>
          <w:szCs w:val="22"/>
          <w:lang w:val="fr-FR"/>
        </w:rPr>
        <w:t>’</w:t>
      </w:r>
      <w:r w:rsidRPr="008934BF">
        <w:rPr>
          <w:rFonts w:ascii="Arial" w:hAnsi="Arial" w:cs="Arial"/>
          <w:bCs/>
          <w:sz w:val="22"/>
          <w:szCs w:val="22"/>
          <w:lang w:val="fr-FR"/>
        </w:rPr>
        <w:t xml:space="preserve">honneur </w:t>
      </w:r>
      <w:r>
        <w:rPr>
          <w:rFonts w:ascii="Arial" w:hAnsi="Arial" w:cs="Arial"/>
          <w:bCs/>
          <w:sz w:val="22"/>
          <w:szCs w:val="22"/>
          <w:lang w:val="fr-FR"/>
        </w:rPr>
        <w:t xml:space="preserve">ressenti au cours </w:t>
      </w:r>
      <w:r w:rsidRPr="008934BF">
        <w:rPr>
          <w:rFonts w:ascii="Arial" w:hAnsi="Arial" w:cs="Arial"/>
          <w:bCs/>
          <w:sz w:val="22"/>
          <w:szCs w:val="22"/>
          <w:lang w:val="fr-FR"/>
        </w:rPr>
        <w:t>des quatre dernières années, pour le</w:t>
      </w:r>
      <w:r>
        <w:rPr>
          <w:rFonts w:ascii="Arial" w:hAnsi="Arial" w:cs="Arial"/>
          <w:bCs/>
          <w:sz w:val="22"/>
          <w:szCs w:val="22"/>
          <w:lang w:val="fr-FR"/>
        </w:rPr>
        <w:t xml:space="preserve">s </w:t>
      </w:r>
      <w:r w:rsidRPr="008934BF">
        <w:rPr>
          <w:rFonts w:ascii="Arial" w:hAnsi="Arial" w:cs="Arial"/>
          <w:bCs/>
          <w:sz w:val="22"/>
          <w:szCs w:val="22"/>
          <w:lang w:val="fr-FR"/>
        </w:rPr>
        <w:t xml:space="preserve">efforts </w:t>
      </w:r>
      <w:r>
        <w:rPr>
          <w:rFonts w:ascii="Arial" w:hAnsi="Arial" w:cs="Arial"/>
          <w:bCs/>
          <w:sz w:val="22"/>
          <w:szCs w:val="22"/>
          <w:lang w:val="fr-FR"/>
        </w:rPr>
        <w:t xml:space="preserve">déployés </w:t>
      </w:r>
      <w:r w:rsidRPr="008934BF">
        <w:rPr>
          <w:rFonts w:ascii="Arial" w:hAnsi="Arial" w:cs="Arial"/>
          <w:bCs/>
          <w:sz w:val="22"/>
          <w:szCs w:val="22"/>
          <w:lang w:val="fr-FR"/>
        </w:rPr>
        <w:t>et le</w:t>
      </w:r>
      <w:r>
        <w:rPr>
          <w:rFonts w:ascii="Arial" w:hAnsi="Arial" w:cs="Arial"/>
          <w:bCs/>
          <w:sz w:val="22"/>
          <w:szCs w:val="22"/>
          <w:lang w:val="fr-FR"/>
        </w:rPr>
        <w:t xml:space="preserve">s </w:t>
      </w:r>
      <w:r w:rsidRPr="008934BF">
        <w:rPr>
          <w:rFonts w:ascii="Arial" w:hAnsi="Arial" w:cs="Arial"/>
          <w:bCs/>
          <w:sz w:val="22"/>
          <w:szCs w:val="22"/>
          <w:lang w:val="fr-FR"/>
        </w:rPr>
        <w:t xml:space="preserve">décisions de qualité </w:t>
      </w:r>
      <w:r>
        <w:rPr>
          <w:rFonts w:ascii="Arial" w:hAnsi="Arial" w:cs="Arial"/>
          <w:bCs/>
          <w:sz w:val="22"/>
          <w:szCs w:val="22"/>
          <w:lang w:val="fr-FR"/>
        </w:rPr>
        <w:t xml:space="preserve">prises en matière de </w:t>
      </w:r>
      <w:r w:rsidRPr="008934BF">
        <w:rPr>
          <w:rFonts w:ascii="Arial" w:hAnsi="Arial" w:cs="Arial"/>
          <w:bCs/>
          <w:sz w:val="22"/>
          <w:szCs w:val="22"/>
          <w:lang w:val="fr-FR"/>
        </w:rPr>
        <w:t xml:space="preserve">sauvegarde du patrimoine immatériel pour les générations futures. Le Koweït </w:t>
      </w:r>
      <w:r>
        <w:rPr>
          <w:rFonts w:ascii="Arial" w:hAnsi="Arial" w:cs="Arial"/>
          <w:bCs/>
          <w:sz w:val="22"/>
          <w:szCs w:val="22"/>
          <w:lang w:val="fr-FR"/>
        </w:rPr>
        <w:t>s</w:t>
      </w:r>
      <w:r w:rsidR="008E532B">
        <w:rPr>
          <w:rFonts w:ascii="Arial" w:hAnsi="Arial" w:cs="Arial"/>
          <w:bCs/>
          <w:sz w:val="22"/>
          <w:szCs w:val="22"/>
          <w:lang w:val="fr-FR"/>
        </w:rPr>
        <w:t>’</w:t>
      </w:r>
      <w:r>
        <w:rPr>
          <w:rFonts w:ascii="Arial" w:hAnsi="Arial" w:cs="Arial"/>
          <w:bCs/>
          <w:sz w:val="22"/>
          <w:szCs w:val="22"/>
          <w:lang w:val="fr-FR"/>
        </w:rPr>
        <w:t>était</w:t>
      </w:r>
      <w:r w:rsidRPr="008934BF">
        <w:rPr>
          <w:rFonts w:ascii="Arial" w:hAnsi="Arial" w:cs="Arial"/>
          <w:bCs/>
          <w:sz w:val="22"/>
          <w:szCs w:val="22"/>
          <w:lang w:val="fr-FR"/>
        </w:rPr>
        <w:t xml:space="preserve"> pleinement engagé dans le travail du Comité, en se concentrant toujours sur les résultats et l</w:t>
      </w:r>
      <w:r w:rsidR="008E532B">
        <w:rPr>
          <w:rFonts w:ascii="Arial" w:hAnsi="Arial" w:cs="Arial"/>
          <w:bCs/>
          <w:sz w:val="22"/>
          <w:szCs w:val="22"/>
          <w:lang w:val="fr-FR"/>
        </w:rPr>
        <w:t>’</w:t>
      </w:r>
      <w:r w:rsidRPr="008934BF">
        <w:rPr>
          <w:rFonts w:ascii="Arial" w:hAnsi="Arial" w:cs="Arial"/>
          <w:bCs/>
          <w:sz w:val="22"/>
          <w:szCs w:val="22"/>
          <w:lang w:val="fr-FR"/>
        </w:rPr>
        <w:t>efficacité</w:t>
      </w:r>
      <w:r>
        <w:rPr>
          <w:rFonts w:ascii="Arial" w:hAnsi="Arial" w:cs="Arial"/>
          <w:bCs/>
          <w:sz w:val="22"/>
          <w:szCs w:val="22"/>
          <w:lang w:val="fr-FR"/>
        </w:rPr>
        <w:t>, et</w:t>
      </w:r>
      <w:r w:rsidRPr="008934BF">
        <w:rPr>
          <w:rFonts w:ascii="Arial" w:hAnsi="Arial" w:cs="Arial"/>
          <w:bCs/>
          <w:sz w:val="22"/>
          <w:szCs w:val="22"/>
          <w:lang w:val="fr-FR"/>
        </w:rPr>
        <w:t xml:space="preserve"> en cherchant</w:t>
      </w:r>
      <w:r>
        <w:rPr>
          <w:rFonts w:ascii="Arial" w:hAnsi="Arial" w:cs="Arial"/>
          <w:bCs/>
          <w:sz w:val="22"/>
          <w:szCs w:val="22"/>
          <w:lang w:val="fr-FR"/>
        </w:rPr>
        <w:t xml:space="preserve">, </w:t>
      </w:r>
      <w:r w:rsidRPr="008934BF">
        <w:rPr>
          <w:rFonts w:ascii="Arial" w:hAnsi="Arial" w:cs="Arial"/>
          <w:bCs/>
          <w:sz w:val="22"/>
          <w:szCs w:val="22"/>
          <w:lang w:val="fr-FR"/>
        </w:rPr>
        <w:t>et en trouvant</w:t>
      </w:r>
      <w:r>
        <w:rPr>
          <w:rFonts w:ascii="Arial" w:hAnsi="Arial" w:cs="Arial"/>
          <w:bCs/>
          <w:sz w:val="22"/>
          <w:szCs w:val="22"/>
          <w:lang w:val="fr-FR"/>
        </w:rPr>
        <w:t xml:space="preserve">, </w:t>
      </w:r>
      <w:r w:rsidRPr="008934BF">
        <w:rPr>
          <w:rFonts w:ascii="Arial" w:hAnsi="Arial" w:cs="Arial"/>
          <w:bCs/>
          <w:sz w:val="22"/>
          <w:szCs w:val="22"/>
          <w:lang w:val="fr-FR"/>
        </w:rPr>
        <w:t xml:space="preserve">des solutions avec diplomatie. Les compétences </w:t>
      </w:r>
      <w:r>
        <w:rPr>
          <w:rFonts w:ascii="Arial" w:hAnsi="Arial" w:cs="Arial"/>
          <w:bCs/>
          <w:sz w:val="22"/>
          <w:szCs w:val="22"/>
          <w:lang w:val="fr-FR"/>
        </w:rPr>
        <w:t xml:space="preserve">en matière </w:t>
      </w:r>
      <w:r w:rsidRPr="008934BF">
        <w:rPr>
          <w:rFonts w:ascii="Arial" w:hAnsi="Arial" w:cs="Arial"/>
          <w:bCs/>
          <w:sz w:val="22"/>
          <w:szCs w:val="22"/>
          <w:lang w:val="fr-FR"/>
        </w:rPr>
        <w:t xml:space="preserve">de coordination et le professionnalisme des membres du Comité </w:t>
      </w:r>
      <w:r>
        <w:rPr>
          <w:rFonts w:ascii="Arial" w:hAnsi="Arial" w:cs="Arial"/>
          <w:bCs/>
          <w:sz w:val="22"/>
          <w:szCs w:val="22"/>
          <w:lang w:val="fr-FR"/>
        </w:rPr>
        <w:t>avaient</w:t>
      </w:r>
      <w:r w:rsidRPr="008934BF">
        <w:rPr>
          <w:rFonts w:ascii="Arial" w:hAnsi="Arial" w:cs="Arial"/>
          <w:bCs/>
          <w:sz w:val="22"/>
          <w:szCs w:val="22"/>
          <w:lang w:val="fr-FR"/>
        </w:rPr>
        <w:t xml:space="preserve"> permis un travail d</w:t>
      </w:r>
      <w:r w:rsidR="008E532B">
        <w:rPr>
          <w:rFonts w:ascii="Arial" w:hAnsi="Arial" w:cs="Arial"/>
          <w:bCs/>
          <w:sz w:val="22"/>
          <w:szCs w:val="22"/>
          <w:lang w:val="fr-FR"/>
        </w:rPr>
        <w:t>’</w:t>
      </w:r>
      <w:r w:rsidRPr="008934BF">
        <w:rPr>
          <w:rFonts w:ascii="Arial" w:hAnsi="Arial" w:cs="Arial"/>
          <w:bCs/>
          <w:sz w:val="22"/>
          <w:szCs w:val="22"/>
          <w:lang w:val="fr-FR"/>
        </w:rPr>
        <w:t>équipe efficace, avec un impact positif sur les résultats. Au cours de son mandat de quatre ans, le Koweït s</w:t>
      </w:r>
      <w:r w:rsidR="008E532B">
        <w:rPr>
          <w:rFonts w:ascii="Arial" w:hAnsi="Arial" w:cs="Arial"/>
          <w:bCs/>
          <w:sz w:val="22"/>
          <w:szCs w:val="22"/>
          <w:lang w:val="fr-FR"/>
        </w:rPr>
        <w:t>’</w:t>
      </w:r>
      <w:r>
        <w:rPr>
          <w:rFonts w:ascii="Arial" w:hAnsi="Arial" w:cs="Arial"/>
          <w:bCs/>
          <w:sz w:val="22"/>
          <w:szCs w:val="22"/>
          <w:lang w:val="fr-FR"/>
        </w:rPr>
        <w:t xml:space="preserve">était </w:t>
      </w:r>
      <w:r w:rsidRPr="008934BF">
        <w:rPr>
          <w:rFonts w:ascii="Arial" w:hAnsi="Arial" w:cs="Arial"/>
          <w:bCs/>
          <w:sz w:val="22"/>
          <w:szCs w:val="22"/>
          <w:lang w:val="fr-FR"/>
        </w:rPr>
        <w:t>pleinement impliqué dans sa mission. Il avait participé activement aux groupes de travail et au maintien de l</w:t>
      </w:r>
      <w:r w:rsidR="008E532B">
        <w:rPr>
          <w:rFonts w:ascii="Arial" w:hAnsi="Arial" w:cs="Arial"/>
          <w:bCs/>
          <w:sz w:val="22"/>
          <w:szCs w:val="22"/>
          <w:lang w:val="fr-FR"/>
        </w:rPr>
        <w:t>’</w:t>
      </w:r>
      <w:r w:rsidRPr="008934BF">
        <w:rPr>
          <w:rFonts w:ascii="Arial" w:hAnsi="Arial" w:cs="Arial"/>
          <w:bCs/>
          <w:sz w:val="22"/>
          <w:szCs w:val="22"/>
          <w:lang w:val="fr-FR"/>
        </w:rPr>
        <w:t>intégrité de la Convention et de l</w:t>
      </w:r>
      <w:r w:rsidR="008E532B">
        <w:rPr>
          <w:rFonts w:ascii="Arial" w:hAnsi="Arial" w:cs="Arial"/>
          <w:bCs/>
          <w:sz w:val="22"/>
          <w:szCs w:val="22"/>
          <w:lang w:val="fr-FR"/>
        </w:rPr>
        <w:t>’</w:t>
      </w:r>
      <w:r w:rsidRPr="008934BF">
        <w:rPr>
          <w:rFonts w:ascii="Arial" w:hAnsi="Arial" w:cs="Arial"/>
          <w:bCs/>
          <w:sz w:val="22"/>
          <w:szCs w:val="22"/>
          <w:lang w:val="fr-FR"/>
        </w:rPr>
        <w:t>Organe d</w:t>
      </w:r>
      <w:r w:rsidR="008E532B">
        <w:rPr>
          <w:rFonts w:ascii="Arial" w:hAnsi="Arial" w:cs="Arial"/>
          <w:bCs/>
          <w:sz w:val="22"/>
          <w:szCs w:val="22"/>
          <w:lang w:val="fr-FR"/>
        </w:rPr>
        <w:t>’</w:t>
      </w:r>
      <w:r w:rsidRPr="008934BF">
        <w:rPr>
          <w:rFonts w:ascii="Arial" w:hAnsi="Arial" w:cs="Arial"/>
          <w:bCs/>
          <w:sz w:val="22"/>
          <w:szCs w:val="22"/>
          <w:lang w:val="fr-FR"/>
        </w:rPr>
        <w:t>évaluation. Bien qu</w:t>
      </w:r>
      <w:r w:rsidR="008E532B">
        <w:rPr>
          <w:rFonts w:ascii="Arial" w:hAnsi="Arial" w:cs="Arial"/>
          <w:bCs/>
          <w:sz w:val="22"/>
          <w:szCs w:val="22"/>
          <w:lang w:val="fr-FR"/>
        </w:rPr>
        <w:t>’</w:t>
      </w:r>
      <w:r w:rsidRPr="008934BF">
        <w:rPr>
          <w:rFonts w:ascii="Arial" w:hAnsi="Arial" w:cs="Arial"/>
          <w:bCs/>
          <w:sz w:val="22"/>
          <w:szCs w:val="22"/>
          <w:lang w:val="fr-FR"/>
        </w:rPr>
        <w:t>il quitte le Comité, le Koweït rest</w:t>
      </w:r>
      <w:r>
        <w:rPr>
          <w:rFonts w:ascii="Arial" w:hAnsi="Arial" w:cs="Arial"/>
          <w:bCs/>
          <w:sz w:val="22"/>
          <w:szCs w:val="22"/>
          <w:lang w:val="fr-FR"/>
        </w:rPr>
        <w:t>ait</w:t>
      </w:r>
      <w:r w:rsidRPr="008934BF">
        <w:rPr>
          <w:rFonts w:ascii="Arial" w:hAnsi="Arial" w:cs="Arial"/>
          <w:bCs/>
          <w:sz w:val="22"/>
          <w:szCs w:val="22"/>
          <w:lang w:val="fr-FR"/>
        </w:rPr>
        <w:t xml:space="preserve"> attaché à la Convention, à sa noble mission et à son mandat, et souhait</w:t>
      </w:r>
      <w:r>
        <w:rPr>
          <w:rFonts w:ascii="Arial" w:hAnsi="Arial" w:cs="Arial"/>
          <w:bCs/>
          <w:sz w:val="22"/>
          <w:szCs w:val="22"/>
          <w:lang w:val="fr-FR"/>
        </w:rPr>
        <w:t>ait</w:t>
      </w:r>
      <w:r w:rsidRPr="008934BF">
        <w:rPr>
          <w:rFonts w:ascii="Arial" w:hAnsi="Arial" w:cs="Arial"/>
          <w:bCs/>
          <w:sz w:val="22"/>
          <w:szCs w:val="22"/>
          <w:lang w:val="fr-FR"/>
        </w:rPr>
        <w:t xml:space="preserve"> le meilleur pour le Comité et la prochaine Assemblée générale.</w:t>
      </w:r>
    </w:p>
    <w:p w14:paraId="2F440DBD" w14:textId="2D51D489" w:rsidR="00D9653F" w:rsidRPr="008464E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B9622A">
        <w:rPr>
          <w:rFonts w:ascii="Arial" w:hAnsi="Arial" w:cs="Arial"/>
          <w:bCs/>
          <w:sz w:val="22"/>
          <w:szCs w:val="22"/>
          <w:lang w:val="fr-FR"/>
        </w:rPr>
        <w:t xml:space="preserve">La délégation du </w:t>
      </w:r>
      <w:r w:rsidRPr="00B9622A">
        <w:rPr>
          <w:rFonts w:ascii="Arial" w:hAnsi="Arial" w:cs="Arial"/>
          <w:b/>
          <w:sz w:val="22"/>
          <w:szCs w:val="22"/>
          <w:lang w:val="fr-FR"/>
        </w:rPr>
        <w:t>Burkina Faso</w:t>
      </w:r>
      <w:r w:rsidRPr="00B9622A">
        <w:rPr>
          <w:rFonts w:ascii="Arial" w:hAnsi="Arial" w:cs="Arial"/>
          <w:bCs/>
          <w:sz w:val="22"/>
          <w:szCs w:val="22"/>
          <w:lang w:val="fr-FR"/>
        </w:rPr>
        <w:t xml:space="preserve"> </w:t>
      </w:r>
      <w:r>
        <w:rPr>
          <w:rFonts w:ascii="Arial" w:hAnsi="Arial" w:cs="Arial"/>
          <w:bCs/>
          <w:sz w:val="22"/>
          <w:szCs w:val="22"/>
          <w:lang w:val="fr-FR"/>
        </w:rPr>
        <w:t>a salué</w:t>
      </w:r>
      <w:r w:rsidRPr="00B9622A">
        <w:rPr>
          <w:rFonts w:ascii="Arial" w:hAnsi="Arial" w:cs="Arial"/>
          <w:bCs/>
          <w:sz w:val="22"/>
          <w:szCs w:val="22"/>
          <w:lang w:val="fr-FR"/>
        </w:rPr>
        <w:t xml:space="preserve"> la célébration prochaine du vingtième anniversaire de la Convention et, en tant que membre du Comité nouvellement élu, a remercié tous ceux qui </w:t>
      </w:r>
      <w:r>
        <w:rPr>
          <w:rFonts w:ascii="Arial" w:hAnsi="Arial" w:cs="Arial"/>
          <w:bCs/>
          <w:sz w:val="22"/>
          <w:szCs w:val="22"/>
          <w:lang w:val="fr-FR"/>
        </w:rPr>
        <w:t>avaient</w:t>
      </w:r>
      <w:r w:rsidRPr="00B9622A">
        <w:rPr>
          <w:rFonts w:ascii="Arial" w:hAnsi="Arial" w:cs="Arial"/>
          <w:bCs/>
          <w:sz w:val="22"/>
          <w:szCs w:val="22"/>
          <w:lang w:val="fr-FR"/>
        </w:rPr>
        <w:t xml:space="preserve"> soutenu sa candidature, en particulier le Groupe électoral V(a). La délégation a assuré l</w:t>
      </w:r>
      <w:r w:rsidR="008E532B">
        <w:rPr>
          <w:rFonts w:ascii="Arial" w:hAnsi="Arial" w:cs="Arial"/>
          <w:bCs/>
          <w:sz w:val="22"/>
          <w:szCs w:val="22"/>
          <w:lang w:val="fr-FR"/>
        </w:rPr>
        <w:t>’</w:t>
      </w:r>
      <w:r w:rsidRPr="00B9622A">
        <w:rPr>
          <w:rFonts w:ascii="Arial" w:hAnsi="Arial" w:cs="Arial"/>
          <w:bCs/>
          <w:sz w:val="22"/>
          <w:szCs w:val="22"/>
          <w:lang w:val="fr-FR"/>
        </w:rPr>
        <w:t>Assemblée de son intention de partager son expérience et, surtout, d</w:t>
      </w:r>
      <w:r w:rsidR="008E532B">
        <w:rPr>
          <w:rFonts w:ascii="Arial" w:hAnsi="Arial" w:cs="Arial"/>
          <w:bCs/>
          <w:sz w:val="22"/>
          <w:szCs w:val="22"/>
          <w:lang w:val="fr-FR"/>
        </w:rPr>
        <w:t>’</w:t>
      </w:r>
      <w:r w:rsidRPr="00B9622A">
        <w:rPr>
          <w:rFonts w:ascii="Arial" w:hAnsi="Arial" w:cs="Arial"/>
          <w:bCs/>
          <w:sz w:val="22"/>
          <w:szCs w:val="22"/>
          <w:lang w:val="fr-FR"/>
        </w:rPr>
        <w:t>apprendre de l</w:t>
      </w:r>
      <w:r w:rsidR="008E532B">
        <w:rPr>
          <w:rFonts w:ascii="Arial" w:hAnsi="Arial" w:cs="Arial"/>
          <w:bCs/>
          <w:sz w:val="22"/>
          <w:szCs w:val="22"/>
          <w:lang w:val="fr-FR"/>
        </w:rPr>
        <w:t>’</w:t>
      </w:r>
      <w:r w:rsidRPr="00B9622A">
        <w:rPr>
          <w:rFonts w:ascii="Arial" w:hAnsi="Arial" w:cs="Arial"/>
          <w:bCs/>
          <w:sz w:val="22"/>
          <w:szCs w:val="22"/>
          <w:lang w:val="fr-FR"/>
        </w:rPr>
        <w:t xml:space="preserve">expérience du reste du monde dans le cadre de la promotion et de la mise en œuvre de la Convention. La délégation a félicité les </w:t>
      </w:r>
      <w:r>
        <w:rPr>
          <w:rFonts w:ascii="Arial" w:hAnsi="Arial" w:cs="Arial"/>
          <w:bCs/>
          <w:sz w:val="22"/>
          <w:szCs w:val="22"/>
          <w:lang w:val="fr-FR"/>
        </w:rPr>
        <w:t>m</w:t>
      </w:r>
      <w:r w:rsidRPr="00B9622A">
        <w:rPr>
          <w:rFonts w:ascii="Arial" w:hAnsi="Arial" w:cs="Arial"/>
          <w:bCs/>
          <w:sz w:val="22"/>
          <w:szCs w:val="22"/>
          <w:lang w:val="fr-FR"/>
        </w:rPr>
        <w:t>embres sortants, ajoutant qu</w:t>
      </w:r>
      <w:r w:rsidR="008E532B">
        <w:rPr>
          <w:rFonts w:ascii="Arial" w:hAnsi="Arial" w:cs="Arial"/>
          <w:bCs/>
          <w:sz w:val="22"/>
          <w:szCs w:val="22"/>
          <w:lang w:val="fr-FR"/>
        </w:rPr>
        <w:t>’</w:t>
      </w:r>
      <w:r w:rsidRPr="00B9622A">
        <w:rPr>
          <w:rFonts w:ascii="Arial" w:hAnsi="Arial" w:cs="Arial"/>
          <w:bCs/>
          <w:sz w:val="22"/>
          <w:szCs w:val="22"/>
          <w:lang w:val="fr-FR"/>
        </w:rPr>
        <w:t>elle souhaitait bénéficier de leur expérience, notamment par le biais du groupe de travail à composition non limitée. Elle a remercié le Secrétariat et son équipe, ainsi que le Sous-Directeur général pour son soutien et sa disponibilité.</w:t>
      </w:r>
    </w:p>
    <w:p w14:paraId="60CFD8C2" w14:textId="3DF4A352" w:rsidR="00D9653F" w:rsidRPr="008464ED"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Pr>
          <w:rFonts w:ascii="Arial" w:hAnsi="Arial" w:cs="Arial"/>
          <w:sz w:val="22"/>
          <w:szCs w:val="22"/>
          <w:lang w:val="fr-FR"/>
        </w:rPr>
        <w:t xml:space="preserve">La </w:t>
      </w:r>
      <w:r w:rsidRPr="008464ED">
        <w:rPr>
          <w:rFonts w:ascii="Arial" w:hAnsi="Arial" w:cs="Arial"/>
          <w:b/>
          <w:bCs/>
          <w:sz w:val="22"/>
          <w:szCs w:val="22"/>
          <w:lang w:val="fr-FR"/>
        </w:rPr>
        <w:t>Présidente</w:t>
      </w:r>
      <w:r>
        <w:rPr>
          <w:rFonts w:ascii="Arial" w:hAnsi="Arial" w:cs="Arial"/>
          <w:sz w:val="22"/>
          <w:szCs w:val="22"/>
          <w:lang w:val="fr-FR"/>
        </w:rPr>
        <w:t xml:space="preserve"> est passée à l</w:t>
      </w:r>
      <w:r w:rsidR="008E532B">
        <w:rPr>
          <w:rFonts w:ascii="Arial" w:hAnsi="Arial" w:cs="Arial"/>
          <w:sz w:val="22"/>
          <w:szCs w:val="22"/>
          <w:lang w:val="fr-FR"/>
        </w:rPr>
        <w:t>’</w:t>
      </w:r>
      <w:r>
        <w:rPr>
          <w:rFonts w:ascii="Arial" w:hAnsi="Arial" w:cs="Arial"/>
          <w:sz w:val="22"/>
          <w:szCs w:val="22"/>
          <w:lang w:val="fr-FR"/>
        </w:rPr>
        <w:t>adoption du projet de décision dans son ensemble. En l</w:t>
      </w:r>
      <w:r w:rsidR="008E532B">
        <w:rPr>
          <w:rFonts w:ascii="Arial" w:hAnsi="Arial" w:cs="Arial"/>
          <w:sz w:val="22"/>
          <w:szCs w:val="22"/>
          <w:lang w:val="fr-FR"/>
        </w:rPr>
        <w:t>’</w:t>
      </w:r>
      <w:r>
        <w:rPr>
          <w:rFonts w:ascii="Arial" w:hAnsi="Arial" w:cs="Arial"/>
          <w:sz w:val="22"/>
          <w:szCs w:val="22"/>
          <w:lang w:val="fr-FR"/>
        </w:rPr>
        <w:t xml:space="preserve">absence de </w:t>
      </w:r>
      <w:r w:rsidRPr="008464ED">
        <w:rPr>
          <w:rFonts w:ascii="Arial" w:hAnsi="Arial" w:cs="Arial"/>
          <w:sz w:val="22"/>
          <w:szCs w:val="22"/>
          <w:lang w:val="fr-FR"/>
        </w:rPr>
        <w:t>commentaires</w:t>
      </w:r>
      <w:r>
        <w:rPr>
          <w:rFonts w:ascii="Arial" w:hAnsi="Arial" w:cs="Arial"/>
          <w:sz w:val="22"/>
          <w:szCs w:val="22"/>
          <w:lang w:val="fr-FR"/>
        </w:rPr>
        <w:t xml:space="preserve"> ou d</w:t>
      </w:r>
      <w:r w:rsidR="008E532B">
        <w:rPr>
          <w:rFonts w:ascii="Arial" w:hAnsi="Arial" w:cs="Arial"/>
          <w:sz w:val="22"/>
          <w:szCs w:val="22"/>
          <w:lang w:val="fr-FR"/>
        </w:rPr>
        <w:t>’</w:t>
      </w:r>
      <w:r>
        <w:rPr>
          <w:rFonts w:ascii="Arial" w:hAnsi="Arial" w:cs="Arial"/>
          <w:sz w:val="22"/>
          <w:szCs w:val="22"/>
          <w:lang w:val="fr-FR"/>
        </w:rPr>
        <w:t xml:space="preserve">objections, la </w:t>
      </w:r>
      <w:r w:rsidRPr="008464ED">
        <w:rPr>
          <w:rFonts w:ascii="Arial" w:hAnsi="Arial" w:cs="Arial"/>
          <w:b/>
          <w:bCs/>
          <w:sz w:val="22"/>
          <w:szCs w:val="22"/>
          <w:lang w:val="fr-FR"/>
        </w:rPr>
        <w:t xml:space="preserve">Présidente a déclaré la </w:t>
      </w:r>
      <w:r w:rsidRPr="008464ED">
        <w:rPr>
          <w:rFonts w:ascii="Arial" w:eastAsia="SimSun" w:hAnsi="Arial" w:cs="Arial"/>
          <w:b/>
          <w:bCs/>
          <w:sz w:val="22"/>
          <w:szCs w:val="22"/>
          <w:lang w:val="fr-FR" w:eastAsia="en-US"/>
        </w:rPr>
        <w:t>résolution 9.GA 13 adoptée</w:t>
      </w:r>
      <w:r>
        <w:rPr>
          <w:rFonts w:ascii="Arial" w:eastAsia="SimSun" w:hAnsi="Arial" w:cs="Arial"/>
          <w:bCs/>
          <w:sz w:val="22"/>
          <w:szCs w:val="22"/>
          <w:lang w:val="fr-FR" w:eastAsia="en-US"/>
        </w:rPr>
        <w:t>.</w:t>
      </w:r>
    </w:p>
    <w:p w14:paraId="553CECF6" w14:textId="6D2A4D10" w:rsidR="00D9653F" w:rsidRPr="009F6BC9" w:rsidRDefault="00D9653F" w:rsidP="009F6BC9">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val="fr-FR" w:eastAsia="en-GB"/>
        </w:rPr>
      </w:pPr>
      <w:r w:rsidRPr="009F6BC9">
        <w:rPr>
          <w:rFonts w:eastAsiaTheme="minorEastAsia" w:cs="Arial"/>
          <w:b/>
          <w:color w:val="000000" w:themeColor="text1"/>
          <w:szCs w:val="22"/>
          <w:u w:val="single"/>
          <w:lang w:val="fr-FR" w:eastAsia="en-GB"/>
        </w:rPr>
        <w:t>POINT 14 DE L</w:t>
      </w:r>
      <w:r w:rsidR="008E532B">
        <w:rPr>
          <w:rFonts w:eastAsiaTheme="minorEastAsia" w:cs="Arial"/>
          <w:b/>
          <w:color w:val="000000" w:themeColor="text1"/>
          <w:szCs w:val="22"/>
          <w:u w:val="single"/>
          <w:lang w:val="fr-FR" w:eastAsia="en-GB"/>
        </w:rPr>
        <w:t>’</w:t>
      </w:r>
      <w:r w:rsidRPr="009F6BC9">
        <w:rPr>
          <w:rFonts w:eastAsiaTheme="minorEastAsia" w:cs="Arial"/>
          <w:b/>
          <w:color w:val="000000" w:themeColor="text1"/>
          <w:szCs w:val="22"/>
          <w:u w:val="single"/>
          <w:lang w:val="fr-FR" w:eastAsia="en-GB"/>
        </w:rPr>
        <w:t>ORDRE DU JOUR :</w:t>
      </w:r>
    </w:p>
    <w:p w14:paraId="58962778" w14:textId="3FA23B86" w:rsidR="00D9653F" w:rsidRPr="008464ED" w:rsidRDefault="00D9653F" w:rsidP="009F6BC9">
      <w:pPr>
        <w:pStyle w:val="Marge"/>
        <w:keepNext/>
        <w:tabs>
          <w:tab w:val="clear" w:pos="567"/>
          <w:tab w:val="left" w:pos="709"/>
          <w:tab w:val="left" w:pos="1418"/>
          <w:tab w:val="left" w:pos="2126"/>
          <w:tab w:val="left" w:pos="2835"/>
        </w:tabs>
        <w:spacing w:after="120"/>
        <w:ind w:left="567" w:hanging="567"/>
        <w:jc w:val="left"/>
        <w:outlineLvl w:val="0"/>
        <w:rPr>
          <w:lang w:val="fr-FR"/>
        </w:rPr>
      </w:pPr>
      <w:r w:rsidRPr="009F6BC9">
        <w:rPr>
          <w:rFonts w:eastAsiaTheme="minorHAnsi"/>
          <w:b/>
          <w:color w:val="000000" w:themeColor="text1"/>
        </w:rPr>
        <w:t>QUESTIONS DIVERSES</w:t>
      </w:r>
    </w:p>
    <w:p w14:paraId="1374FE6A" w14:textId="0ADB5B92" w:rsidR="00D9653F"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La </w:t>
      </w:r>
      <w:r w:rsidRPr="008464ED">
        <w:rPr>
          <w:rFonts w:ascii="Arial" w:hAnsi="Arial" w:cs="Arial"/>
          <w:b/>
          <w:bCs/>
          <w:sz w:val="22"/>
          <w:szCs w:val="22"/>
          <w:lang w:val="fr-FR"/>
        </w:rPr>
        <w:t>Présidente</w:t>
      </w:r>
      <w:r>
        <w:rPr>
          <w:rFonts w:ascii="Arial" w:hAnsi="Arial" w:cs="Arial"/>
          <w:sz w:val="22"/>
          <w:szCs w:val="22"/>
          <w:lang w:val="fr-FR"/>
        </w:rPr>
        <w:t xml:space="preserve"> a invité les États parties à présenter les questions qu</w:t>
      </w:r>
      <w:r w:rsidR="008E532B">
        <w:rPr>
          <w:rFonts w:ascii="Arial" w:hAnsi="Arial" w:cs="Arial"/>
          <w:sz w:val="22"/>
          <w:szCs w:val="22"/>
          <w:lang w:val="fr-FR"/>
        </w:rPr>
        <w:t>’</w:t>
      </w:r>
      <w:r>
        <w:rPr>
          <w:rFonts w:ascii="Arial" w:hAnsi="Arial" w:cs="Arial"/>
          <w:sz w:val="22"/>
          <w:szCs w:val="22"/>
          <w:lang w:val="fr-FR"/>
        </w:rPr>
        <w:t>ils souhaitaient aborder.</w:t>
      </w:r>
    </w:p>
    <w:p w14:paraId="0A50D77E" w14:textId="788FF3E9" w:rsidR="00D9653F"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8464ED">
        <w:rPr>
          <w:rFonts w:ascii="Arial" w:hAnsi="Arial" w:cs="Arial"/>
          <w:sz w:val="22"/>
          <w:szCs w:val="22"/>
          <w:lang w:val="fr-FR"/>
        </w:rPr>
        <w:t xml:space="preserve">La délégation du </w:t>
      </w:r>
      <w:r w:rsidRPr="008464ED">
        <w:rPr>
          <w:rFonts w:ascii="Arial" w:hAnsi="Arial" w:cs="Arial"/>
          <w:b/>
          <w:bCs/>
          <w:sz w:val="22"/>
          <w:szCs w:val="22"/>
          <w:lang w:val="fr-FR"/>
        </w:rPr>
        <w:t>Mexique</w:t>
      </w:r>
      <w:r w:rsidRPr="008464ED">
        <w:rPr>
          <w:rFonts w:ascii="Arial" w:hAnsi="Arial" w:cs="Arial"/>
          <w:sz w:val="22"/>
          <w:szCs w:val="22"/>
          <w:lang w:val="fr-FR"/>
        </w:rPr>
        <w:t xml:space="preserve"> est revenue sur le point 7 et le paragraphe 4 dans lequel un nombre erroné </w:t>
      </w:r>
      <w:r>
        <w:rPr>
          <w:rFonts w:ascii="Arial" w:hAnsi="Arial" w:cs="Arial"/>
          <w:sz w:val="22"/>
          <w:szCs w:val="22"/>
          <w:lang w:val="fr-FR"/>
        </w:rPr>
        <w:t>était</w:t>
      </w:r>
      <w:r w:rsidRPr="008464ED">
        <w:rPr>
          <w:rFonts w:ascii="Arial" w:hAnsi="Arial" w:cs="Arial"/>
          <w:sz w:val="22"/>
          <w:szCs w:val="22"/>
          <w:lang w:val="fr-FR"/>
        </w:rPr>
        <w:t xml:space="preserve"> indiqué dans la décision, notant trente-deux ONG accréditées alors qu</w:t>
      </w:r>
      <w:r w:rsidR="008E532B">
        <w:rPr>
          <w:rFonts w:ascii="Arial" w:hAnsi="Arial" w:cs="Arial"/>
          <w:sz w:val="22"/>
          <w:szCs w:val="22"/>
          <w:lang w:val="fr-FR"/>
        </w:rPr>
        <w:t>’</w:t>
      </w:r>
      <w:r w:rsidRPr="008464ED">
        <w:rPr>
          <w:rFonts w:ascii="Arial" w:hAnsi="Arial" w:cs="Arial"/>
          <w:sz w:val="22"/>
          <w:szCs w:val="22"/>
          <w:lang w:val="fr-FR"/>
        </w:rPr>
        <w:t>une ONG supplémentaire devait être ajoutée</w:t>
      </w:r>
      <w:r>
        <w:rPr>
          <w:rFonts w:ascii="Arial" w:hAnsi="Arial" w:cs="Arial"/>
          <w:sz w:val="22"/>
          <w:szCs w:val="22"/>
          <w:lang w:val="fr-FR"/>
        </w:rPr>
        <w:t xml:space="preserve"> selon le</w:t>
      </w:r>
      <w:r w:rsidRPr="008464ED">
        <w:rPr>
          <w:rFonts w:ascii="Arial" w:hAnsi="Arial" w:cs="Arial"/>
          <w:sz w:val="22"/>
          <w:szCs w:val="22"/>
          <w:lang w:val="fr-FR"/>
        </w:rPr>
        <w:t xml:space="preserve"> paragraphe 5 </w:t>
      </w:r>
      <w:r>
        <w:rPr>
          <w:rFonts w:ascii="Arial" w:hAnsi="Arial" w:cs="Arial"/>
          <w:sz w:val="22"/>
          <w:szCs w:val="22"/>
          <w:lang w:val="fr-FR"/>
        </w:rPr>
        <w:t>tel qu</w:t>
      </w:r>
      <w:r w:rsidR="008E532B">
        <w:rPr>
          <w:rFonts w:ascii="Arial" w:hAnsi="Arial" w:cs="Arial"/>
          <w:sz w:val="22"/>
          <w:szCs w:val="22"/>
          <w:lang w:val="fr-FR"/>
        </w:rPr>
        <w:t>’</w:t>
      </w:r>
      <w:r w:rsidRPr="008464ED">
        <w:rPr>
          <w:rFonts w:ascii="Arial" w:hAnsi="Arial" w:cs="Arial"/>
          <w:sz w:val="22"/>
          <w:szCs w:val="22"/>
          <w:lang w:val="fr-FR"/>
        </w:rPr>
        <w:t>amendé.</w:t>
      </w:r>
    </w:p>
    <w:p w14:paraId="5A67ABFA" w14:textId="21358D41" w:rsidR="00D9653F"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Pr>
          <w:rFonts w:ascii="Arial" w:hAnsi="Arial" w:cs="Arial"/>
          <w:sz w:val="22"/>
          <w:szCs w:val="22"/>
          <w:lang w:val="fr-FR"/>
        </w:rPr>
        <w:t xml:space="preserve">La </w:t>
      </w:r>
      <w:r w:rsidRPr="001D0B3A">
        <w:rPr>
          <w:rFonts w:ascii="Arial" w:hAnsi="Arial" w:cs="Arial"/>
          <w:b/>
          <w:bCs/>
          <w:sz w:val="22"/>
          <w:szCs w:val="22"/>
          <w:lang w:val="fr-FR"/>
        </w:rPr>
        <w:t>Présidente</w:t>
      </w:r>
      <w:r>
        <w:rPr>
          <w:rFonts w:ascii="Arial" w:hAnsi="Arial" w:cs="Arial"/>
          <w:sz w:val="22"/>
          <w:szCs w:val="22"/>
          <w:lang w:val="fr-FR"/>
        </w:rPr>
        <w:t xml:space="preserve"> a remercié le Mexique d</w:t>
      </w:r>
      <w:r w:rsidR="008E532B">
        <w:rPr>
          <w:rFonts w:ascii="Arial" w:hAnsi="Arial" w:cs="Arial"/>
          <w:sz w:val="22"/>
          <w:szCs w:val="22"/>
          <w:lang w:val="fr-FR"/>
        </w:rPr>
        <w:t>’</w:t>
      </w:r>
      <w:r>
        <w:rPr>
          <w:rFonts w:ascii="Arial" w:hAnsi="Arial" w:cs="Arial"/>
          <w:sz w:val="22"/>
          <w:szCs w:val="22"/>
          <w:lang w:val="fr-FR"/>
        </w:rPr>
        <w:t xml:space="preserve">avoir soulevé ce point qui serait traité par le </w:t>
      </w:r>
      <w:r w:rsidRPr="001D0B3A">
        <w:rPr>
          <w:rFonts w:ascii="Arial" w:hAnsi="Arial" w:cs="Arial"/>
          <w:sz w:val="22"/>
          <w:szCs w:val="22"/>
          <w:lang w:val="fr-FR"/>
        </w:rPr>
        <w:t>Secréta</w:t>
      </w:r>
      <w:r>
        <w:rPr>
          <w:rFonts w:ascii="Arial" w:hAnsi="Arial" w:cs="Arial"/>
          <w:sz w:val="22"/>
          <w:szCs w:val="22"/>
          <w:lang w:val="fr-FR"/>
        </w:rPr>
        <w:t xml:space="preserve">riat. </w:t>
      </w:r>
      <w:r w:rsidRPr="001D0B3A">
        <w:rPr>
          <w:rFonts w:ascii="Arial" w:hAnsi="Arial" w:cs="Arial"/>
          <w:sz w:val="22"/>
          <w:szCs w:val="22"/>
          <w:lang w:val="fr-FR"/>
        </w:rPr>
        <w:t>En l</w:t>
      </w:r>
      <w:r w:rsidR="008E532B">
        <w:rPr>
          <w:rFonts w:ascii="Arial" w:hAnsi="Arial" w:cs="Arial"/>
          <w:sz w:val="22"/>
          <w:szCs w:val="22"/>
          <w:lang w:val="fr-FR"/>
        </w:rPr>
        <w:t>’</w:t>
      </w:r>
      <w:r w:rsidRPr="001D0B3A">
        <w:rPr>
          <w:rFonts w:ascii="Arial" w:hAnsi="Arial" w:cs="Arial"/>
          <w:sz w:val="22"/>
          <w:szCs w:val="22"/>
          <w:lang w:val="fr-FR"/>
        </w:rPr>
        <w:t>absence</w:t>
      </w:r>
      <w:r>
        <w:rPr>
          <w:rFonts w:ascii="Arial" w:hAnsi="Arial" w:cs="Arial"/>
          <w:sz w:val="22"/>
          <w:szCs w:val="22"/>
          <w:lang w:val="fr-FR"/>
        </w:rPr>
        <w:t xml:space="preserve"> d</w:t>
      </w:r>
      <w:r w:rsidR="008E532B">
        <w:rPr>
          <w:rFonts w:ascii="Arial" w:hAnsi="Arial" w:cs="Arial"/>
          <w:sz w:val="22"/>
          <w:szCs w:val="22"/>
          <w:lang w:val="fr-FR"/>
        </w:rPr>
        <w:t>’</w:t>
      </w:r>
      <w:r>
        <w:rPr>
          <w:rFonts w:ascii="Arial" w:hAnsi="Arial" w:cs="Arial"/>
          <w:sz w:val="22"/>
          <w:szCs w:val="22"/>
          <w:lang w:val="fr-FR"/>
        </w:rPr>
        <w:t>autres demandes de parole, elle est passée au point 15.</w:t>
      </w:r>
    </w:p>
    <w:p w14:paraId="106F9B5C" w14:textId="1E78B555" w:rsidR="00D9653F" w:rsidRPr="009F6BC9" w:rsidRDefault="00D9653F" w:rsidP="009F6BC9">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val="fr-FR" w:eastAsia="en-GB"/>
        </w:rPr>
      </w:pPr>
      <w:r w:rsidRPr="009F6BC9">
        <w:rPr>
          <w:rFonts w:eastAsiaTheme="minorEastAsia" w:cs="Arial"/>
          <w:b/>
          <w:color w:val="000000" w:themeColor="text1"/>
          <w:szCs w:val="22"/>
          <w:u w:val="single"/>
          <w:lang w:val="fr-FR" w:eastAsia="en-GB"/>
        </w:rPr>
        <w:t>POINT 15 DE L</w:t>
      </w:r>
      <w:r w:rsidR="008E532B">
        <w:rPr>
          <w:rFonts w:eastAsiaTheme="minorEastAsia" w:cs="Arial"/>
          <w:b/>
          <w:color w:val="000000" w:themeColor="text1"/>
          <w:szCs w:val="22"/>
          <w:u w:val="single"/>
          <w:lang w:val="fr-FR" w:eastAsia="en-GB"/>
        </w:rPr>
        <w:t>’</w:t>
      </w:r>
      <w:r w:rsidRPr="009F6BC9">
        <w:rPr>
          <w:rFonts w:eastAsiaTheme="minorEastAsia" w:cs="Arial"/>
          <w:b/>
          <w:color w:val="000000" w:themeColor="text1"/>
          <w:szCs w:val="22"/>
          <w:u w:val="single"/>
          <w:lang w:val="fr-FR" w:eastAsia="en-GB"/>
        </w:rPr>
        <w:t xml:space="preserve">ORDRE DU JOUR </w:t>
      </w:r>
    </w:p>
    <w:p w14:paraId="5514FEEA" w14:textId="4DD25A25" w:rsidR="00D9653F" w:rsidRPr="008464ED" w:rsidRDefault="00D9653F" w:rsidP="009F6BC9">
      <w:pPr>
        <w:pStyle w:val="Marge"/>
        <w:keepNext/>
        <w:tabs>
          <w:tab w:val="clear" w:pos="567"/>
          <w:tab w:val="left" w:pos="709"/>
          <w:tab w:val="left" w:pos="1418"/>
          <w:tab w:val="left" w:pos="2126"/>
          <w:tab w:val="left" w:pos="2835"/>
        </w:tabs>
        <w:spacing w:after="120"/>
        <w:ind w:left="567" w:hanging="567"/>
        <w:jc w:val="left"/>
        <w:outlineLvl w:val="0"/>
        <w:rPr>
          <w:lang w:val="fr-FR"/>
        </w:rPr>
      </w:pPr>
      <w:r w:rsidRPr="009F6BC9">
        <w:rPr>
          <w:rFonts w:eastAsiaTheme="minorHAnsi"/>
          <w:b/>
          <w:color w:val="000000" w:themeColor="text1"/>
          <w:lang w:val="fr-FR"/>
        </w:rPr>
        <w:t>CLÔTURE</w:t>
      </w:r>
    </w:p>
    <w:p w14:paraId="21843A97" w14:textId="438D4100" w:rsidR="00D9653F" w:rsidRPr="001D0B3A" w:rsidRDefault="00D9653F" w:rsidP="00D9653F">
      <w:pPr>
        <w:numPr>
          <w:ilvl w:val="0"/>
          <w:numId w:val="19"/>
        </w:numPr>
        <w:suppressAutoHyphens/>
        <w:autoSpaceDE w:val="0"/>
        <w:ind w:left="567" w:hanging="567"/>
        <w:jc w:val="both"/>
        <w:rPr>
          <w:rFonts w:ascii="Arial" w:hAnsi="Arial" w:cs="Arial"/>
          <w:sz w:val="22"/>
          <w:szCs w:val="22"/>
          <w:lang w:val="fr-FR"/>
        </w:rPr>
      </w:pPr>
      <w:r w:rsidRPr="001D0B3A">
        <w:rPr>
          <w:rFonts w:ascii="Arial" w:hAnsi="Arial" w:cs="Arial"/>
          <w:sz w:val="22"/>
          <w:szCs w:val="22"/>
          <w:lang w:val="fr-FR"/>
        </w:rPr>
        <w:t xml:space="preserve">La </w:t>
      </w:r>
      <w:r w:rsidRPr="001D0B3A">
        <w:rPr>
          <w:rFonts w:ascii="Arial" w:hAnsi="Arial" w:cs="Arial"/>
          <w:b/>
          <w:bCs/>
          <w:sz w:val="22"/>
          <w:szCs w:val="22"/>
          <w:lang w:val="fr-FR"/>
        </w:rPr>
        <w:t>Présidente</w:t>
      </w:r>
      <w:r w:rsidRPr="001D0B3A">
        <w:rPr>
          <w:rFonts w:ascii="Arial" w:hAnsi="Arial" w:cs="Arial"/>
          <w:sz w:val="22"/>
          <w:szCs w:val="22"/>
          <w:lang w:val="fr-FR"/>
        </w:rPr>
        <w:t xml:space="preserve"> a noté que les travaux de l</w:t>
      </w:r>
      <w:r w:rsidR="008E532B">
        <w:rPr>
          <w:rFonts w:ascii="Arial" w:hAnsi="Arial" w:cs="Arial"/>
          <w:sz w:val="22"/>
          <w:szCs w:val="22"/>
          <w:lang w:val="fr-FR"/>
        </w:rPr>
        <w:t>’</w:t>
      </w:r>
      <w:r w:rsidRPr="001D0B3A">
        <w:rPr>
          <w:rFonts w:ascii="Arial" w:hAnsi="Arial" w:cs="Arial"/>
          <w:sz w:val="22"/>
          <w:szCs w:val="22"/>
          <w:lang w:val="fr-FR"/>
        </w:rPr>
        <w:t xml:space="preserve">Assemblée générale </w:t>
      </w:r>
      <w:r>
        <w:rPr>
          <w:rFonts w:ascii="Arial" w:hAnsi="Arial" w:cs="Arial"/>
          <w:sz w:val="22"/>
          <w:szCs w:val="22"/>
          <w:lang w:val="fr-FR"/>
        </w:rPr>
        <w:t>prenaient</w:t>
      </w:r>
      <w:r w:rsidRPr="001D0B3A">
        <w:rPr>
          <w:rFonts w:ascii="Arial" w:hAnsi="Arial" w:cs="Arial"/>
          <w:sz w:val="22"/>
          <w:szCs w:val="22"/>
          <w:lang w:val="fr-FR"/>
        </w:rPr>
        <w:t xml:space="preserve"> fin après trois jours de </w:t>
      </w:r>
      <w:r>
        <w:rPr>
          <w:rFonts w:ascii="Arial" w:hAnsi="Arial" w:cs="Arial"/>
          <w:sz w:val="22"/>
          <w:szCs w:val="22"/>
          <w:lang w:val="fr-FR"/>
        </w:rPr>
        <w:t>travail acharné</w:t>
      </w:r>
      <w:r w:rsidRPr="001D0B3A">
        <w:rPr>
          <w:rFonts w:ascii="Arial" w:hAnsi="Arial" w:cs="Arial"/>
          <w:sz w:val="22"/>
          <w:szCs w:val="22"/>
          <w:lang w:val="fr-FR"/>
        </w:rPr>
        <w:t>, au cours desquels elle a</w:t>
      </w:r>
      <w:r>
        <w:rPr>
          <w:rFonts w:ascii="Arial" w:hAnsi="Arial" w:cs="Arial"/>
          <w:sz w:val="22"/>
          <w:szCs w:val="22"/>
          <w:lang w:val="fr-FR"/>
        </w:rPr>
        <w:t>vait</w:t>
      </w:r>
      <w:r w:rsidRPr="001D0B3A">
        <w:rPr>
          <w:rFonts w:ascii="Arial" w:hAnsi="Arial" w:cs="Arial"/>
          <w:sz w:val="22"/>
          <w:szCs w:val="22"/>
          <w:lang w:val="fr-FR"/>
        </w:rPr>
        <w:t xml:space="preserve"> accompli la tâche importante de </w:t>
      </w:r>
      <w:r>
        <w:rPr>
          <w:rFonts w:ascii="Arial" w:hAnsi="Arial" w:cs="Arial"/>
          <w:sz w:val="22"/>
          <w:szCs w:val="22"/>
          <w:lang w:val="fr-FR"/>
        </w:rPr>
        <w:t xml:space="preserve">jeter </w:t>
      </w:r>
      <w:r w:rsidRPr="001D0B3A">
        <w:rPr>
          <w:rFonts w:ascii="Arial" w:hAnsi="Arial" w:cs="Arial"/>
          <w:sz w:val="22"/>
          <w:szCs w:val="22"/>
          <w:lang w:val="fr-FR"/>
        </w:rPr>
        <w:t>des bases solides pour l</w:t>
      </w:r>
      <w:r w:rsidR="008E532B">
        <w:rPr>
          <w:rFonts w:ascii="Arial" w:hAnsi="Arial" w:cs="Arial"/>
          <w:sz w:val="22"/>
          <w:szCs w:val="22"/>
          <w:lang w:val="fr-FR"/>
        </w:rPr>
        <w:t>’</w:t>
      </w:r>
      <w:r w:rsidRPr="001D0B3A">
        <w:rPr>
          <w:rFonts w:ascii="Arial" w:hAnsi="Arial" w:cs="Arial"/>
          <w:sz w:val="22"/>
          <w:szCs w:val="22"/>
          <w:lang w:val="fr-FR"/>
        </w:rPr>
        <w:t xml:space="preserve">avenir de la Convention. Elle a remercié les </w:t>
      </w:r>
      <w:r>
        <w:rPr>
          <w:rFonts w:ascii="Arial" w:hAnsi="Arial" w:cs="Arial"/>
          <w:sz w:val="22"/>
          <w:szCs w:val="22"/>
          <w:lang w:val="fr-FR"/>
        </w:rPr>
        <w:t>É</w:t>
      </w:r>
      <w:r w:rsidRPr="001D0B3A">
        <w:rPr>
          <w:rFonts w:ascii="Arial" w:hAnsi="Arial" w:cs="Arial"/>
          <w:sz w:val="22"/>
          <w:szCs w:val="22"/>
          <w:lang w:val="fr-FR"/>
        </w:rPr>
        <w:t xml:space="preserve">tats parties pour leur coopération active dans un esprit de consensus et de solidarité. </w:t>
      </w:r>
      <w:r>
        <w:rPr>
          <w:rFonts w:ascii="Arial" w:hAnsi="Arial" w:cs="Arial"/>
          <w:sz w:val="22"/>
          <w:szCs w:val="22"/>
          <w:lang w:val="fr-FR"/>
        </w:rPr>
        <w:t xml:space="preserve">Désireuse de souligner </w:t>
      </w:r>
      <w:r w:rsidRPr="001D0B3A">
        <w:rPr>
          <w:rFonts w:ascii="Arial" w:hAnsi="Arial" w:cs="Arial"/>
          <w:sz w:val="22"/>
          <w:szCs w:val="22"/>
          <w:lang w:val="fr-FR"/>
        </w:rPr>
        <w:t>certaines réalisations clés,</w:t>
      </w:r>
      <w:r>
        <w:rPr>
          <w:rFonts w:ascii="Arial" w:hAnsi="Arial" w:cs="Arial"/>
          <w:sz w:val="22"/>
          <w:szCs w:val="22"/>
          <w:lang w:val="fr-FR"/>
        </w:rPr>
        <w:t xml:space="preserve"> la Présidente a rappelé que</w:t>
      </w:r>
      <w:r w:rsidRPr="001D0B3A">
        <w:rPr>
          <w:rFonts w:ascii="Arial" w:hAnsi="Arial" w:cs="Arial"/>
          <w:sz w:val="22"/>
          <w:szCs w:val="22"/>
          <w:lang w:val="fr-FR"/>
        </w:rPr>
        <w:t xml:space="preserve"> l</w:t>
      </w:r>
      <w:r w:rsidR="008E532B">
        <w:rPr>
          <w:rFonts w:ascii="Arial" w:hAnsi="Arial" w:cs="Arial"/>
          <w:sz w:val="22"/>
          <w:szCs w:val="22"/>
          <w:lang w:val="fr-FR"/>
        </w:rPr>
        <w:t>’</w:t>
      </w:r>
      <w:r w:rsidRPr="001D0B3A">
        <w:rPr>
          <w:rFonts w:ascii="Arial" w:hAnsi="Arial" w:cs="Arial"/>
          <w:sz w:val="22"/>
          <w:szCs w:val="22"/>
          <w:lang w:val="fr-FR"/>
        </w:rPr>
        <w:t>Assemblée générale a</w:t>
      </w:r>
      <w:r>
        <w:rPr>
          <w:rFonts w:ascii="Arial" w:hAnsi="Arial" w:cs="Arial"/>
          <w:sz w:val="22"/>
          <w:szCs w:val="22"/>
          <w:lang w:val="fr-FR"/>
        </w:rPr>
        <w:t>vait</w:t>
      </w:r>
      <w:r w:rsidRPr="001D0B3A">
        <w:rPr>
          <w:rFonts w:ascii="Arial" w:hAnsi="Arial" w:cs="Arial"/>
          <w:sz w:val="22"/>
          <w:szCs w:val="22"/>
          <w:lang w:val="fr-FR"/>
        </w:rPr>
        <w:t xml:space="preserve"> élu douze nouveaux </w:t>
      </w:r>
      <w:r>
        <w:rPr>
          <w:rFonts w:ascii="Arial" w:hAnsi="Arial" w:cs="Arial"/>
          <w:sz w:val="22"/>
          <w:szCs w:val="22"/>
          <w:lang w:val="fr-FR"/>
        </w:rPr>
        <w:t>m</w:t>
      </w:r>
      <w:r w:rsidRPr="001D0B3A">
        <w:rPr>
          <w:rFonts w:ascii="Arial" w:hAnsi="Arial" w:cs="Arial"/>
          <w:sz w:val="22"/>
          <w:szCs w:val="22"/>
          <w:lang w:val="fr-FR"/>
        </w:rPr>
        <w:t xml:space="preserve">embres au Comité. Elle a souhaité aux nouveaux </w:t>
      </w:r>
      <w:r>
        <w:rPr>
          <w:rFonts w:ascii="Arial" w:hAnsi="Arial" w:cs="Arial"/>
          <w:sz w:val="22"/>
          <w:szCs w:val="22"/>
          <w:lang w:val="fr-FR"/>
        </w:rPr>
        <w:t>m</w:t>
      </w:r>
      <w:r w:rsidRPr="001D0B3A">
        <w:rPr>
          <w:rFonts w:ascii="Arial" w:hAnsi="Arial" w:cs="Arial"/>
          <w:sz w:val="22"/>
          <w:szCs w:val="22"/>
          <w:lang w:val="fr-FR"/>
        </w:rPr>
        <w:t xml:space="preserve">embres tout le succès possible et a également remercié les </w:t>
      </w:r>
      <w:r>
        <w:rPr>
          <w:rFonts w:ascii="Arial" w:hAnsi="Arial" w:cs="Arial"/>
          <w:sz w:val="22"/>
          <w:szCs w:val="22"/>
          <w:lang w:val="fr-FR"/>
        </w:rPr>
        <w:t>m</w:t>
      </w:r>
      <w:r w:rsidRPr="001D0B3A">
        <w:rPr>
          <w:rFonts w:ascii="Arial" w:hAnsi="Arial" w:cs="Arial"/>
          <w:sz w:val="22"/>
          <w:szCs w:val="22"/>
          <w:lang w:val="fr-FR"/>
        </w:rPr>
        <w:t>embres sortants pour leur contribution essentielle à la Convention. L</w:t>
      </w:r>
      <w:r w:rsidR="008E532B">
        <w:rPr>
          <w:rFonts w:ascii="Arial" w:hAnsi="Arial" w:cs="Arial"/>
          <w:sz w:val="22"/>
          <w:szCs w:val="22"/>
          <w:lang w:val="fr-FR"/>
        </w:rPr>
        <w:t>’</w:t>
      </w:r>
      <w:r w:rsidRPr="001D0B3A">
        <w:rPr>
          <w:rFonts w:ascii="Arial" w:hAnsi="Arial" w:cs="Arial"/>
          <w:sz w:val="22"/>
          <w:szCs w:val="22"/>
          <w:lang w:val="fr-FR"/>
        </w:rPr>
        <w:t>Assemblée avait également approuvé le plan d</w:t>
      </w:r>
      <w:r w:rsidR="008E532B">
        <w:rPr>
          <w:rFonts w:ascii="Arial" w:hAnsi="Arial" w:cs="Arial"/>
          <w:sz w:val="22"/>
          <w:szCs w:val="22"/>
          <w:lang w:val="fr-FR"/>
        </w:rPr>
        <w:t>’</w:t>
      </w:r>
      <w:r w:rsidRPr="001D0B3A">
        <w:rPr>
          <w:rFonts w:ascii="Arial" w:hAnsi="Arial" w:cs="Arial"/>
          <w:sz w:val="22"/>
          <w:szCs w:val="22"/>
          <w:lang w:val="fr-FR"/>
        </w:rPr>
        <w:t>utilisation des ressources du Fonds, permettant à la Convention de renforcer son suivi des projets d</w:t>
      </w:r>
      <w:r w:rsidR="008E532B">
        <w:rPr>
          <w:rFonts w:ascii="Arial" w:hAnsi="Arial" w:cs="Arial"/>
          <w:sz w:val="22"/>
          <w:szCs w:val="22"/>
          <w:lang w:val="fr-FR"/>
        </w:rPr>
        <w:t>’</w:t>
      </w:r>
      <w:r w:rsidRPr="001D0B3A">
        <w:rPr>
          <w:rFonts w:ascii="Arial" w:hAnsi="Arial" w:cs="Arial"/>
          <w:sz w:val="22"/>
          <w:szCs w:val="22"/>
          <w:lang w:val="fr-FR"/>
        </w:rPr>
        <w:t>assistance internationale. Les révisions proposées aux Directives opérationnelles</w:t>
      </w:r>
      <w:r>
        <w:rPr>
          <w:rFonts w:ascii="Arial" w:hAnsi="Arial" w:cs="Arial"/>
          <w:sz w:val="22"/>
          <w:szCs w:val="22"/>
          <w:lang w:val="fr-FR"/>
        </w:rPr>
        <w:t xml:space="preserve">, liées </w:t>
      </w:r>
      <w:r w:rsidRPr="001D0B3A">
        <w:rPr>
          <w:rFonts w:ascii="Arial" w:hAnsi="Arial" w:cs="Arial"/>
          <w:sz w:val="22"/>
          <w:szCs w:val="22"/>
          <w:lang w:val="fr-FR"/>
        </w:rPr>
        <w:t>la réflexion globale sur les mécanismes d</w:t>
      </w:r>
      <w:r w:rsidR="008E532B">
        <w:rPr>
          <w:rFonts w:ascii="Arial" w:hAnsi="Arial" w:cs="Arial"/>
          <w:sz w:val="22"/>
          <w:szCs w:val="22"/>
          <w:lang w:val="fr-FR"/>
        </w:rPr>
        <w:t>’</w:t>
      </w:r>
      <w:r w:rsidRPr="001D0B3A">
        <w:rPr>
          <w:rFonts w:ascii="Arial" w:hAnsi="Arial" w:cs="Arial"/>
          <w:sz w:val="22"/>
          <w:szCs w:val="22"/>
          <w:lang w:val="fr-FR"/>
        </w:rPr>
        <w:t>inscription</w:t>
      </w:r>
      <w:r>
        <w:rPr>
          <w:rFonts w:ascii="Arial" w:hAnsi="Arial" w:cs="Arial"/>
          <w:sz w:val="22"/>
          <w:szCs w:val="22"/>
          <w:lang w:val="fr-FR"/>
        </w:rPr>
        <w:t>,</w:t>
      </w:r>
      <w:r w:rsidRPr="001D0B3A">
        <w:rPr>
          <w:rFonts w:ascii="Arial" w:hAnsi="Arial" w:cs="Arial"/>
          <w:sz w:val="22"/>
          <w:szCs w:val="22"/>
          <w:lang w:val="fr-FR"/>
        </w:rPr>
        <w:t xml:space="preserve"> </w:t>
      </w:r>
      <w:r>
        <w:rPr>
          <w:rFonts w:ascii="Arial" w:hAnsi="Arial" w:cs="Arial"/>
          <w:sz w:val="22"/>
          <w:szCs w:val="22"/>
          <w:lang w:val="fr-FR"/>
        </w:rPr>
        <w:t>avaient</w:t>
      </w:r>
      <w:r w:rsidRPr="001D0B3A">
        <w:rPr>
          <w:rFonts w:ascii="Arial" w:hAnsi="Arial" w:cs="Arial"/>
          <w:sz w:val="22"/>
          <w:szCs w:val="22"/>
          <w:lang w:val="fr-FR"/>
        </w:rPr>
        <w:t xml:space="preserve"> également été approuvées</w:t>
      </w:r>
      <w:r>
        <w:rPr>
          <w:rFonts w:ascii="Arial" w:hAnsi="Arial" w:cs="Arial"/>
          <w:sz w:val="22"/>
          <w:szCs w:val="22"/>
          <w:lang w:val="fr-FR"/>
        </w:rPr>
        <w:t> ;</w:t>
      </w:r>
      <w:r w:rsidRPr="001D0B3A">
        <w:rPr>
          <w:rFonts w:ascii="Arial" w:hAnsi="Arial" w:cs="Arial"/>
          <w:sz w:val="22"/>
          <w:szCs w:val="22"/>
          <w:lang w:val="fr-FR"/>
        </w:rPr>
        <w:t xml:space="preserve"> </w:t>
      </w:r>
      <w:r>
        <w:rPr>
          <w:rFonts w:ascii="Arial" w:hAnsi="Arial" w:cs="Arial"/>
          <w:sz w:val="22"/>
          <w:szCs w:val="22"/>
          <w:lang w:val="fr-FR"/>
        </w:rPr>
        <w:t xml:space="preserve">le travail du </w:t>
      </w:r>
      <w:r w:rsidRPr="001D0B3A">
        <w:rPr>
          <w:rFonts w:ascii="Arial" w:hAnsi="Arial" w:cs="Arial"/>
          <w:sz w:val="22"/>
          <w:szCs w:val="22"/>
          <w:lang w:val="fr-FR"/>
        </w:rPr>
        <w:t>groupe de travail à composition non limitée</w:t>
      </w:r>
      <w:r>
        <w:rPr>
          <w:rFonts w:ascii="Arial" w:hAnsi="Arial" w:cs="Arial"/>
          <w:sz w:val="22"/>
          <w:szCs w:val="22"/>
          <w:lang w:val="fr-FR"/>
        </w:rPr>
        <w:t xml:space="preserve"> ayant été très apprécié</w:t>
      </w:r>
      <w:r w:rsidRPr="001D0B3A">
        <w:rPr>
          <w:rFonts w:ascii="Arial" w:hAnsi="Arial" w:cs="Arial"/>
          <w:sz w:val="22"/>
          <w:szCs w:val="22"/>
          <w:lang w:val="fr-FR"/>
        </w:rPr>
        <w:t>. Les révisions du Règlement intérieur de l</w:t>
      </w:r>
      <w:r w:rsidR="008E532B">
        <w:rPr>
          <w:rFonts w:ascii="Arial" w:hAnsi="Arial" w:cs="Arial"/>
          <w:sz w:val="22"/>
          <w:szCs w:val="22"/>
          <w:lang w:val="fr-FR"/>
        </w:rPr>
        <w:t>’</w:t>
      </w:r>
      <w:r w:rsidRPr="001D0B3A">
        <w:rPr>
          <w:rFonts w:ascii="Arial" w:hAnsi="Arial" w:cs="Arial"/>
          <w:sz w:val="22"/>
          <w:szCs w:val="22"/>
          <w:lang w:val="fr-FR"/>
        </w:rPr>
        <w:t xml:space="preserve">Assemblée générale </w:t>
      </w:r>
      <w:r>
        <w:rPr>
          <w:rFonts w:ascii="Arial" w:hAnsi="Arial" w:cs="Arial"/>
          <w:sz w:val="22"/>
          <w:szCs w:val="22"/>
          <w:lang w:val="fr-FR"/>
        </w:rPr>
        <w:t>avaient</w:t>
      </w:r>
      <w:r w:rsidRPr="001D0B3A">
        <w:rPr>
          <w:rFonts w:ascii="Arial" w:hAnsi="Arial" w:cs="Arial"/>
          <w:sz w:val="22"/>
          <w:szCs w:val="22"/>
          <w:lang w:val="fr-FR"/>
        </w:rPr>
        <w:t xml:space="preserve"> également été approuvées, contribuant ainsi à l</w:t>
      </w:r>
      <w:r w:rsidR="008E532B">
        <w:rPr>
          <w:rFonts w:ascii="Arial" w:hAnsi="Arial" w:cs="Arial"/>
          <w:sz w:val="22"/>
          <w:szCs w:val="22"/>
          <w:lang w:val="fr-FR"/>
        </w:rPr>
        <w:t>’</w:t>
      </w:r>
      <w:r w:rsidRPr="001D0B3A">
        <w:rPr>
          <w:rFonts w:ascii="Arial" w:hAnsi="Arial" w:cs="Arial"/>
          <w:sz w:val="22"/>
          <w:szCs w:val="22"/>
          <w:lang w:val="fr-FR"/>
        </w:rPr>
        <w:t xml:space="preserve">harmonisation des procédures des organes directeurs des </w:t>
      </w:r>
      <w:r>
        <w:rPr>
          <w:rFonts w:ascii="Arial" w:hAnsi="Arial" w:cs="Arial"/>
          <w:sz w:val="22"/>
          <w:szCs w:val="22"/>
          <w:lang w:val="fr-FR"/>
        </w:rPr>
        <w:t>c</w:t>
      </w:r>
      <w:r w:rsidRPr="001D0B3A">
        <w:rPr>
          <w:rFonts w:ascii="Arial" w:hAnsi="Arial" w:cs="Arial"/>
          <w:sz w:val="22"/>
          <w:szCs w:val="22"/>
          <w:lang w:val="fr-FR"/>
        </w:rPr>
        <w:t xml:space="preserve">onventions </w:t>
      </w:r>
      <w:r>
        <w:rPr>
          <w:rFonts w:ascii="Arial" w:hAnsi="Arial" w:cs="Arial"/>
          <w:sz w:val="22"/>
          <w:szCs w:val="22"/>
          <w:lang w:val="fr-FR"/>
        </w:rPr>
        <w:t xml:space="preserve">en matière de </w:t>
      </w:r>
      <w:r w:rsidRPr="001D0B3A">
        <w:rPr>
          <w:rFonts w:ascii="Arial" w:hAnsi="Arial" w:cs="Arial"/>
          <w:sz w:val="22"/>
          <w:szCs w:val="22"/>
          <w:lang w:val="fr-FR"/>
        </w:rPr>
        <w:t>culture. Après un long débat, l</w:t>
      </w:r>
      <w:r w:rsidR="008E532B">
        <w:rPr>
          <w:rFonts w:ascii="Arial" w:hAnsi="Arial" w:cs="Arial"/>
          <w:sz w:val="22"/>
          <w:szCs w:val="22"/>
          <w:lang w:val="fr-FR"/>
        </w:rPr>
        <w:t>’</w:t>
      </w:r>
      <w:r w:rsidRPr="001D0B3A">
        <w:rPr>
          <w:rFonts w:ascii="Arial" w:hAnsi="Arial" w:cs="Arial"/>
          <w:sz w:val="22"/>
          <w:szCs w:val="22"/>
          <w:lang w:val="fr-FR"/>
        </w:rPr>
        <w:t>Assemblée a</w:t>
      </w:r>
      <w:r>
        <w:rPr>
          <w:rFonts w:ascii="Arial" w:hAnsi="Arial" w:cs="Arial"/>
          <w:sz w:val="22"/>
          <w:szCs w:val="22"/>
          <w:lang w:val="fr-FR"/>
        </w:rPr>
        <w:t>vait</w:t>
      </w:r>
      <w:r w:rsidRPr="001D0B3A">
        <w:rPr>
          <w:rFonts w:ascii="Arial" w:hAnsi="Arial" w:cs="Arial"/>
          <w:sz w:val="22"/>
          <w:szCs w:val="22"/>
          <w:lang w:val="fr-FR"/>
        </w:rPr>
        <w:t xml:space="preserve"> accrédité trente</w:t>
      </w:r>
      <w:r>
        <w:rPr>
          <w:rFonts w:ascii="Arial" w:hAnsi="Arial" w:cs="Arial"/>
          <w:sz w:val="22"/>
          <w:szCs w:val="22"/>
          <w:lang w:val="fr-FR"/>
        </w:rPr>
        <w:noBreakHyphen/>
      </w:r>
      <w:r w:rsidRPr="001D0B3A">
        <w:rPr>
          <w:rFonts w:ascii="Arial" w:hAnsi="Arial" w:cs="Arial"/>
          <w:sz w:val="22"/>
          <w:szCs w:val="22"/>
          <w:lang w:val="fr-FR"/>
        </w:rPr>
        <w:t xml:space="preserve">trois ONG. La Convention </w:t>
      </w:r>
      <w:r>
        <w:rPr>
          <w:rFonts w:ascii="Arial" w:hAnsi="Arial" w:cs="Arial"/>
          <w:sz w:val="22"/>
          <w:szCs w:val="22"/>
          <w:lang w:val="fr-FR"/>
        </w:rPr>
        <w:t xml:space="preserve">était </w:t>
      </w:r>
      <w:r w:rsidRPr="001D0B3A">
        <w:rPr>
          <w:rFonts w:ascii="Arial" w:hAnsi="Arial" w:cs="Arial"/>
          <w:sz w:val="22"/>
          <w:szCs w:val="22"/>
          <w:lang w:val="fr-FR"/>
        </w:rPr>
        <w:t>désormais en mesure de faire appel à l</w:t>
      </w:r>
      <w:r w:rsidR="008E532B">
        <w:rPr>
          <w:rFonts w:ascii="Arial" w:hAnsi="Arial" w:cs="Arial"/>
          <w:sz w:val="22"/>
          <w:szCs w:val="22"/>
          <w:lang w:val="fr-FR"/>
        </w:rPr>
        <w:t>’</w:t>
      </w:r>
      <w:r w:rsidRPr="001D0B3A">
        <w:rPr>
          <w:rFonts w:ascii="Arial" w:hAnsi="Arial" w:cs="Arial"/>
          <w:sz w:val="22"/>
          <w:szCs w:val="22"/>
          <w:lang w:val="fr-FR"/>
        </w:rPr>
        <w:t>expertise de nombreuses ONG pour la conseiller sur toute une série de questions</w:t>
      </w:r>
      <w:r>
        <w:rPr>
          <w:rFonts w:ascii="Arial" w:hAnsi="Arial" w:cs="Arial"/>
          <w:sz w:val="22"/>
          <w:szCs w:val="22"/>
          <w:lang w:val="fr-FR"/>
        </w:rPr>
        <w:t>,</w:t>
      </w:r>
      <w:r w:rsidRPr="001D0B3A">
        <w:rPr>
          <w:rFonts w:ascii="Arial" w:hAnsi="Arial" w:cs="Arial"/>
          <w:sz w:val="22"/>
          <w:szCs w:val="22"/>
          <w:lang w:val="fr-FR"/>
        </w:rPr>
        <w:t xml:space="preserve"> et </w:t>
      </w:r>
      <w:r>
        <w:rPr>
          <w:rFonts w:ascii="Arial" w:hAnsi="Arial" w:cs="Arial"/>
          <w:sz w:val="22"/>
          <w:szCs w:val="22"/>
          <w:lang w:val="fr-FR"/>
        </w:rPr>
        <w:t>la Présidente</w:t>
      </w:r>
      <w:r w:rsidRPr="001D0B3A">
        <w:rPr>
          <w:rFonts w:ascii="Arial" w:hAnsi="Arial" w:cs="Arial"/>
          <w:sz w:val="22"/>
          <w:szCs w:val="22"/>
          <w:lang w:val="fr-FR"/>
        </w:rPr>
        <w:t xml:space="preserve"> les </w:t>
      </w:r>
      <w:r>
        <w:rPr>
          <w:rFonts w:ascii="Arial" w:hAnsi="Arial" w:cs="Arial"/>
          <w:sz w:val="22"/>
          <w:szCs w:val="22"/>
          <w:lang w:val="fr-FR"/>
        </w:rPr>
        <w:t xml:space="preserve">a </w:t>
      </w:r>
      <w:r w:rsidRPr="001D0B3A">
        <w:rPr>
          <w:rFonts w:ascii="Arial" w:hAnsi="Arial" w:cs="Arial"/>
          <w:sz w:val="22"/>
          <w:szCs w:val="22"/>
          <w:lang w:val="fr-FR"/>
        </w:rPr>
        <w:t>chaleureusement</w:t>
      </w:r>
      <w:r>
        <w:rPr>
          <w:rFonts w:ascii="Arial" w:hAnsi="Arial" w:cs="Arial"/>
          <w:sz w:val="22"/>
          <w:szCs w:val="22"/>
          <w:lang w:val="fr-FR"/>
        </w:rPr>
        <w:t xml:space="preserve"> félicitées</w:t>
      </w:r>
      <w:r w:rsidRPr="001D0B3A">
        <w:rPr>
          <w:rFonts w:ascii="Arial" w:hAnsi="Arial" w:cs="Arial"/>
          <w:sz w:val="22"/>
          <w:szCs w:val="22"/>
          <w:lang w:val="fr-FR"/>
        </w:rPr>
        <w:t>. L</w:t>
      </w:r>
      <w:r w:rsidR="008E532B">
        <w:rPr>
          <w:rFonts w:ascii="Arial" w:hAnsi="Arial" w:cs="Arial"/>
          <w:sz w:val="22"/>
          <w:szCs w:val="22"/>
          <w:lang w:val="fr-FR"/>
        </w:rPr>
        <w:t>’</w:t>
      </w:r>
      <w:r w:rsidRPr="001D0B3A">
        <w:rPr>
          <w:rFonts w:ascii="Arial" w:hAnsi="Arial" w:cs="Arial"/>
          <w:sz w:val="22"/>
          <w:szCs w:val="22"/>
          <w:lang w:val="fr-FR"/>
        </w:rPr>
        <w:t>Assemblée a</w:t>
      </w:r>
      <w:r>
        <w:rPr>
          <w:rFonts w:ascii="Arial" w:hAnsi="Arial" w:cs="Arial"/>
          <w:sz w:val="22"/>
          <w:szCs w:val="22"/>
          <w:lang w:val="fr-FR"/>
        </w:rPr>
        <w:t>vait</w:t>
      </w:r>
      <w:r w:rsidRPr="001D0B3A">
        <w:rPr>
          <w:rFonts w:ascii="Arial" w:hAnsi="Arial" w:cs="Arial"/>
          <w:sz w:val="22"/>
          <w:szCs w:val="22"/>
          <w:lang w:val="fr-FR"/>
        </w:rPr>
        <w:t xml:space="preserve"> également démontré son soutien total et sa solidarité avec Haïti en inscrivant la soupe </w:t>
      </w:r>
      <w:r>
        <w:rPr>
          <w:rFonts w:ascii="Arial" w:hAnsi="Arial" w:cs="Arial"/>
          <w:sz w:val="22"/>
          <w:szCs w:val="22"/>
          <w:lang w:val="fr-FR"/>
        </w:rPr>
        <w:t xml:space="preserve">au giraumon </w:t>
      </w:r>
      <w:r w:rsidRPr="001D0B3A">
        <w:rPr>
          <w:rFonts w:ascii="Arial" w:hAnsi="Arial" w:cs="Arial"/>
          <w:sz w:val="22"/>
          <w:szCs w:val="22"/>
          <w:lang w:val="fr-FR"/>
        </w:rPr>
        <w:t>sur la Liste représentative.</w:t>
      </w:r>
    </w:p>
    <w:p w14:paraId="68C875B0" w14:textId="77B5DFED" w:rsidR="00D9653F" w:rsidRDefault="00D9653F" w:rsidP="00D9653F">
      <w:pPr>
        <w:numPr>
          <w:ilvl w:val="0"/>
          <w:numId w:val="19"/>
        </w:numPr>
        <w:suppressAutoHyphens/>
        <w:autoSpaceDE w:val="0"/>
        <w:spacing w:before="120"/>
        <w:ind w:left="567" w:hanging="567"/>
        <w:jc w:val="both"/>
        <w:rPr>
          <w:rFonts w:ascii="Arial" w:hAnsi="Arial" w:cs="Arial"/>
          <w:sz w:val="22"/>
          <w:szCs w:val="22"/>
          <w:lang w:val="fr-FR"/>
        </w:rPr>
      </w:pPr>
      <w:r w:rsidRPr="008A6A93">
        <w:rPr>
          <w:rFonts w:ascii="Arial" w:hAnsi="Arial" w:cs="Arial"/>
          <w:sz w:val="22"/>
          <w:szCs w:val="22"/>
          <w:lang w:val="fr-FR"/>
        </w:rPr>
        <w:t xml:space="preserve">Le </w:t>
      </w:r>
      <w:r w:rsidRPr="008A6A93">
        <w:rPr>
          <w:rFonts w:ascii="Arial" w:hAnsi="Arial" w:cs="Arial"/>
          <w:b/>
          <w:bCs/>
          <w:sz w:val="22"/>
          <w:szCs w:val="22"/>
          <w:lang w:val="fr-FR"/>
        </w:rPr>
        <w:t>Sous-Directeur général</w:t>
      </w:r>
      <w:r w:rsidRPr="008A6A93">
        <w:rPr>
          <w:rFonts w:ascii="Arial" w:hAnsi="Arial" w:cs="Arial"/>
          <w:sz w:val="22"/>
          <w:szCs w:val="22"/>
          <w:lang w:val="fr-FR"/>
        </w:rPr>
        <w:t xml:space="preserve"> a remercié tous les délégués et ambassadeurs pour leur attention durant cette réunion et pour l</w:t>
      </w:r>
      <w:r w:rsidR="008E532B">
        <w:rPr>
          <w:rFonts w:ascii="Arial" w:hAnsi="Arial" w:cs="Arial"/>
          <w:sz w:val="22"/>
          <w:szCs w:val="22"/>
          <w:lang w:val="fr-FR"/>
        </w:rPr>
        <w:t>’</w:t>
      </w:r>
      <w:r w:rsidRPr="008A6A93">
        <w:rPr>
          <w:rFonts w:ascii="Arial" w:hAnsi="Arial" w:cs="Arial"/>
          <w:sz w:val="22"/>
          <w:szCs w:val="22"/>
          <w:lang w:val="fr-FR"/>
        </w:rPr>
        <w:t>avoir accompagné dans cette expérience extraordinaire. Il a remercié la Présidente pour son ouverture au dialogue et la recherche du consensus entre les États parties, reflétant l</w:t>
      </w:r>
      <w:r w:rsidR="008E532B">
        <w:rPr>
          <w:rFonts w:ascii="Arial" w:hAnsi="Arial" w:cs="Arial"/>
          <w:sz w:val="22"/>
          <w:szCs w:val="22"/>
          <w:lang w:val="fr-FR"/>
        </w:rPr>
        <w:t>’</w:t>
      </w:r>
      <w:r w:rsidRPr="008A6A93">
        <w:rPr>
          <w:rFonts w:ascii="Arial" w:hAnsi="Arial" w:cs="Arial"/>
          <w:sz w:val="22"/>
          <w:szCs w:val="22"/>
          <w:lang w:val="fr-FR"/>
        </w:rPr>
        <w:t xml:space="preserve">esprit de la Convention. </w:t>
      </w:r>
      <w:r w:rsidR="009637BC" w:rsidRPr="009637BC">
        <w:rPr>
          <w:rFonts w:ascii="Arial" w:hAnsi="Arial" w:cs="Arial"/>
          <w:sz w:val="22"/>
          <w:szCs w:val="22"/>
          <w:lang w:val="fr-FR"/>
        </w:rPr>
        <w:t xml:space="preserve">Le Sous-Directeur général </w:t>
      </w:r>
      <w:r>
        <w:rPr>
          <w:rFonts w:ascii="Arial" w:hAnsi="Arial" w:cs="Arial"/>
          <w:sz w:val="22"/>
          <w:szCs w:val="22"/>
          <w:lang w:val="fr-FR"/>
        </w:rPr>
        <w:t xml:space="preserve">était </w:t>
      </w:r>
      <w:r w:rsidRPr="008A6A93">
        <w:rPr>
          <w:rFonts w:ascii="Arial" w:hAnsi="Arial" w:cs="Arial"/>
          <w:sz w:val="22"/>
          <w:szCs w:val="22"/>
          <w:lang w:val="fr-FR"/>
        </w:rPr>
        <w:t>certain qu</w:t>
      </w:r>
      <w:r w:rsidR="008E532B">
        <w:rPr>
          <w:rFonts w:ascii="Arial" w:hAnsi="Arial" w:cs="Arial"/>
          <w:sz w:val="22"/>
          <w:szCs w:val="22"/>
          <w:lang w:val="fr-FR"/>
        </w:rPr>
        <w:t>’</w:t>
      </w:r>
      <w:r>
        <w:rPr>
          <w:rFonts w:ascii="Arial" w:hAnsi="Arial" w:cs="Arial"/>
          <w:sz w:val="22"/>
          <w:szCs w:val="22"/>
          <w:lang w:val="fr-FR"/>
        </w:rPr>
        <w:t>avec le soutien de la Présidente,</w:t>
      </w:r>
      <w:r w:rsidRPr="008A6A93">
        <w:rPr>
          <w:rFonts w:ascii="Arial" w:hAnsi="Arial" w:cs="Arial"/>
          <w:sz w:val="22"/>
          <w:szCs w:val="22"/>
          <w:lang w:val="fr-FR"/>
        </w:rPr>
        <w:t xml:space="preserve"> les célébrations de 2023 ser</w:t>
      </w:r>
      <w:r>
        <w:rPr>
          <w:rFonts w:ascii="Arial" w:hAnsi="Arial" w:cs="Arial"/>
          <w:sz w:val="22"/>
          <w:szCs w:val="22"/>
          <w:lang w:val="fr-FR"/>
        </w:rPr>
        <w:t>aien</w:t>
      </w:r>
      <w:r w:rsidRPr="008A6A93">
        <w:rPr>
          <w:rFonts w:ascii="Arial" w:hAnsi="Arial" w:cs="Arial"/>
          <w:sz w:val="22"/>
          <w:szCs w:val="22"/>
          <w:lang w:val="fr-FR"/>
        </w:rPr>
        <w:t xml:space="preserve">t pleinement à la hauteur des attentes. Il a conclu </w:t>
      </w:r>
      <w:r>
        <w:rPr>
          <w:rFonts w:ascii="Arial" w:hAnsi="Arial" w:cs="Arial"/>
          <w:sz w:val="22"/>
          <w:szCs w:val="22"/>
          <w:lang w:val="fr-FR"/>
        </w:rPr>
        <w:t xml:space="preserve">son </w:t>
      </w:r>
      <w:r w:rsidRPr="008A6A93">
        <w:rPr>
          <w:rFonts w:ascii="Arial" w:hAnsi="Arial" w:cs="Arial"/>
          <w:sz w:val="22"/>
          <w:szCs w:val="22"/>
          <w:lang w:val="fr-FR"/>
        </w:rPr>
        <w:t>intervention</w:t>
      </w:r>
      <w:r>
        <w:rPr>
          <w:rFonts w:ascii="Arial" w:hAnsi="Arial" w:cs="Arial"/>
          <w:sz w:val="22"/>
          <w:szCs w:val="22"/>
          <w:lang w:val="fr-FR"/>
        </w:rPr>
        <w:t xml:space="preserve"> </w:t>
      </w:r>
      <w:r w:rsidRPr="008A6A93">
        <w:rPr>
          <w:rFonts w:ascii="Arial" w:hAnsi="Arial" w:cs="Arial"/>
          <w:sz w:val="22"/>
          <w:szCs w:val="22"/>
          <w:lang w:val="fr-FR"/>
        </w:rPr>
        <w:t>en demandant une salve d</w:t>
      </w:r>
      <w:r w:rsidR="008E532B">
        <w:rPr>
          <w:rFonts w:ascii="Arial" w:hAnsi="Arial" w:cs="Arial"/>
          <w:sz w:val="22"/>
          <w:szCs w:val="22"/>
          <w:lang w:val="fr-FR"/>
        </w:rPr>
        <w:t>’</w:t>
      </w:r>
      <w:r w:rsidRPr="008A6A93">
        <w:rPr>
          <w:rFonts w:ascii="Arial" w:hAnsi="Arial" w:cs="Arial"/>
          <w:sz w:val="22"/>
          <w:szCs w:val="22"/>
          <w:lang w:val="fr-FR"/>
        </w:rPr>
        <w:t>applaudissements pour le Secrétariat, qui travaille toute l</w:t>
      </w:r>
      <w:r w:rsidR="008E532B">
        <w:rPr>
          <w:rFonts w:ascii="Arial" w:hAnsi="Arial" w:cs="Arial"/>
          <w:sz w:val="22"/>
          <w:szCs w:val="22"/>
          <w:lang w:val="fr-FR"/>
        </w:rPr>
        <w:t>’</w:t>
      </w:r>
      <w:r w:rsidRPr="008A6A93">
        <w:rPr>
          <w:rFonts w:ascii="Arial" w:hAnsi="Arial" w:cs="Arial"/>
          <w:sz w:val="22"/>
          <w:szCs w:val="22"/>
          <w:lang w:val="fr-FR"/>
        </w:rPr>
        <w:t>année pour réaliser des choses extraordinaires.</w:t>
      </w:r>
    </w:p>
    <w:p w14:paraId="6D57E209" w14:textId="35FB4E1E" w:rsidR="00D9653F" w:rsidRDefault="00D9653F" w:rsidP="00D9653F">
      <w:pPr>
        <w:numPr>
          <w:ilvl w:val="0"/>
          <w:numId w:val="19"/>
        </w:numPr>
        <w:suppressAutoHyphens/>
        <w:autoSpaceDE w:val="0"/>
        <w:spacing w:before="120"/>
        <w:ind w:left="567" w:hanging="567"/>
        <w:jc w:val="both"/>
        <w:rPr>
          <w:rFonts w:ascii="Arial" w:hAnsi="Arial" w:cs="Arial"/>
          <w:bCs/>
          <w:sz w:val="22"/>
          <w:szCs w:val="22"/>
          <w:lang w:val="fr-FR"/>
        </w:rPr>
      </w:pPr>
      <w:r w:rsidRPr="00D82C1E">
        <w:rPr>
          <w:rFonts w:ascii="Arial" w:hAnsi="Arial" w:cs="Arial"/>
          <w:bCs/>
          <w:sz w:val="22"/>
          <w:szCs w:val="22"/>
          <w:lang w:val="fr-FR"/>
        </w:rPr>
        <w:t xml:space="preserve">La </w:t>
      </w:r>
      <w:r w:rsidRPr="00D82C1E">
        <w:rPr>
          <w:rFonts w:ascii="Arial" w:hAnsi="Arial" w:cs="Arial"/>
          <w:b/>
          <w:sz w:val="22"/>
          <w:szCs w:val="22"/>
          <w:lang w:val="fr-FR"/>
        </w:rPr>
        <w:t>Présidente</w:t>
      </w:r>
      <w:r w:rsidRPr="00D82C1E">
        <w:rPr>
          <w:rFonts w:ascii="Arial" w:hAnsi="Arial" w:cs="Arial"/>
          <w:bCs/>
          <w:sz w:val="22"/>
          <w:szCs w:val="22"/>
          <w:lang w:val="fr-FR"/>
        </w:rPr>
        <w:t xml:space="preserve"> </w:t>
      </w:r>
      <w:r>
        <w:rPr>
          <w:rFonts w:ascii="Arial" w:hAnsi="Arial" w:cs="Arial"/>
          <w:bCs/>
          <w:sz w:val="22"/>
          <w:szCs w:val="22"/>
          <w:lang w:val="fr-FR"/>
        </w:rPr>
        <w:t xml:space="preserve">a </w:t>
      </w:r>
      <w:r w:rsidRPr="00D82C1E">
        <w:rPr>
          <w:rFonts w:ascii="Arial" w:hAnsi="Arial" w:cs="Arial"/>
          <w:bCs/>
          <w:sz w:val="22"/>
          <w:szCs w:val="22"/>
          <w:lang w:val="fr-FR"/>
        </w:rPr>
        <w:t>remerci</w:t>
      </w:r>
      <w:r>
        <w:rPr>
          <w:rFonts w:ascii="Arial" w:hAnsi="Arial" w:cs="Arial"/>
          <w:bCs/>
          <w:sz w:val="22"/>
          <w:szCs w:val="22"/>
          <w:lang w:val="fr-FR"/>
        </w:rPr>
        <w:t>é</w:t>
      </w:r>
      <w:r w:rsidRPr="00D82C1E">
        <w:rPr>
          <w:rFonts w:ascii="Arial" w:hAnsi="Arial" w:cs="Arial"/>
          <w:bCs/>
          <w:sz w:val="22"/>
          <w:szCs w:val="22"/>
          <w:lang w:val="fr-FR"/>
        </w:rPr>
        <w:t xml:space="preserve"> </w:t>
      </w:r>
      <w:r w:rsidR="009637BC">
        <w:rPr>
          <w:rFonts w:ascii="Arial" w:hAnsi="Arial" w:cs="Arial"/>
          <w:bCs/>
          <w:sz w:val="22"/>
          <w:szCs w:val="22"/>
          <w:lang w:val="fr-FR"/>
        </w:rPr>
        <w:t>le</w:t>
      </w:r>
      <w:r w:rsidR="009637BC" w:rsidRPr="009637BC">
        <w:rPr>
          <w:rFonts w:ascii="Arial" w:hAnsi="Arial" w:cs="Arial"/>
          <w:bCs/>
          <w:sz w:val="22"/>
          <w:szCs w:val="22"/>
          <w:lang w:val="fr-FR"/>
        </w:rPr>
        <w:t xml:space="preserve"> Sous-Directeur général </w:t>
      </w:r>
      <w:r w:rsidRPr="00D82C1E">
        <w:rPr>
          <w:rFonts w:ascii="Arial" w:hAnsi="Arial" w:cs="Arial"/>
          <w:bCs/>
          <w:sz w:val="22"/>
          <w:szCs w:val="22"/>
          <w:lang w:val="fr-FR"/>
        </w:rPr>
        <w:t>pour ses paroles</w:t>
      </w:r>
      <w:r>
        <w:rPr>
          <w:rFonts w:ascii="Arial" w:hAnsi="Arial" w:cs="Arial"/>
          <w:bCs/>
          <w:sz w:val="22"/>
          <w:szCs w:val="22"/>
          <w:lang w:val="fr-FR"/>
        </w:rPr>
        <w:t xml:space="preserve"> enthousiasmantes</w:t>
      </w:r>
      <w:r w:rsidRPr="00D82C1E">
        <w:rPr>
          <w:rFonts w:ascii="Arial" w:hAnsi="Arial" w:cs="Arial"/>
          <w:bCs/>
          <w:sz w:val="22"/>
          <w:szCs w:val="22"/>
          <w:lang w:val="fr-FR"/>
        </w:rPr>
        <w:t>. En raison de l</w:t>
      </w:r>
      <w:r w:rsidR="008E532B">
        <w:rPr>
          <w:rFonts w:ascii="Arial" w:hAnsi="Arial" w:cs="Arial"/>
          <w:bCs/>
          <w:sz w:val="22"/>
          <w:szCs w:val="22"/>
          <w:lang w:val="fr-FR"/>
        </w:rPr>
        <w:t>’</w:t>
      </w:r>
      <w:r w:rsidRPr="00D82C1E">
        <w:rPr>
          <w:rFonts w:ascii="Arial" w:hAnsi="Arial" w:cs="Arial"/>
          <w:bCs/>
          <w:sz w:val="22"/>
          <w:szCs w:val="22"/>
          <w:lang w:val="fr-FR"/>
        </w:rPr>
        <w:t xml:space="preserve">heure, elle </w:t>
      </w:r>
      <w:r>
        <w:rPr>
          <w:rFonts w:ascii="Arial" w:hAnsi="Arial" w:cs="Arial"/>
          <w:bCs/>
          <w:sz w:val="22"/>
          <w:szCs w:val="22"/>
          <w:lang w:val="fr-FR"/>
        </w:rPr>
        <w:t xml:space="preserve">a </w:t>
      </w:r>
      <w:r w:rsidRPr="00D82C1E">
        <w:rPr>
          <w:rFonts w:ascii="Arial" w:hAnsi="Arial" w:cs="Arial"/>
          <w:bCs/>
          <w:sz w:val="22"/>
          <w:szCs w:val="22"/>
          <w:lang w:val="fr-FR"/>
        </w:rPr>
        <w:t>regrett</w:t>
      </w:r>
      <w:r>
        <w:rPr>
          <w:rFonts w:ascii="Arial" w:hAnsi="Arial" w:cs="Arial"/>
          <w:bCs/>
          <w:sz w:val="22"/>
          <w:szCs w:val="22"/>
          <w:lang w:val="fr-FR"/>
        </w:rPr>
        <w:t>é</w:t>
      </w:r>
      <w:r w:rsidRPr="00D82C1E">
        <w:rPr>
          <w:rFonts w:ascii="Arial" w:hAnsi="Arial" w:cs="Arial"/>
          <w:bCs/>
          <w:sz w:val="22"/>
          <w:szCs w:val="22"/>
          <w:lang w:val="fr-FR"/>
        </w:rPr>
        <w:t xml:space="preserve"> de ne pas pouvoir inviter les États parties à prononcer </w:t>
      </w:r>
      <w:r>
        <w:rPr>
          <w:rFonts w:ascii="Arial" w:hAnsi="Arial" w:cs="Arial"/>
          <w:bCs/>
          <w:sz w:val="22"/>
          <w:szCs w:val="22"/>
          <w:lang w:val="fr-FR"/>
        </w:rPr>
        <w:t xml:space="preserve">un </w:t>
      </w:r>
      <w:r w:rsidRPr="00D82C1E">
        <w:rPr>
          <w:rFonts w:ascii="Arial" w:hAnsi="Arial" w:cs="Arial"/>
          <w:bCs/>
          <w:sz w:val="22"/>
          <w:szCs w:val="22"/>
          <w:lang w:val="fr-FR"/>
        </w:rPr>
        <w:t xml:space="preserve">dernier mot. Elle </w:t>
      </w:r>
      <w:r>
        <w:rPr>
          <w:rFonts w:ascii="Arial" w:hAnsi="Arial" w:cs="Arial"/>
          <w:bCs/>
          <w:sz w:val="22"/>
          <w:szCs w:val="22"/>
          <w:lang w:val="fr-FR"/>
        </w:rPr>
        <w:t xml:space="preserve">a </w:t>
      </w:r>
      <w:r w:rsidRPr="00D82C1E">
        <w:rPr>
          <w:rFonts w:ascii="Arial" w:hAnsi="Arial" w:cs="Arial"/>
          <w:bCs/>
          <w:sz w:val="22"/>
          <w:szCs w:val="22"/>
          <w:lang w:val="fr-FR"/>
        </w:rPr>
        <w:t xml:space="preserve">conclu en remerciant les membres du Bureau pour le grand privilège </w:t>
      </w:r>
      <w:r>
        <w:rPr>
          <w:rFonts w:ascii="Arial" w:hAnsi="Arial" w:cs="Arial"/>
          <w:bCs/>
          <w:sz w:val="22"/>
          <w:szCs w:val="22"/>
          <w:lang w:val="fr-FR"/>
        </w:rPr>
        <w:t xml:space="preserve">que constitue </w:t>
      </w:r>
      <w:r w:rsidRPr="00D82C1E">
        <w:rPr>
          <w:rFonts w:ascii="Arial" w:hAnsi="Arial" w:cs="Arial"/>
          <w:bCs/>
          <w:sz w:val="22"/>
          <w:szCs w:val="22"/>
          <w:lang w:val="fr-FR"/>
        </w:rPr>
        <w:t xml:space="preserve">leur précieux soutien. Elle </w:t>
      </w:r>
      <w:r>
        <w:rPr>
          <w:rFonts w:ascii="Arial" w:hAnsi="Arial" w:cs="Arial"/>
          <w:bCs/>
          <w:sz w:val="22"/>
          <w:szCs w:val="22"/>
          <w:lang w:val="fr-FR"/>
        </w:rPr>
        <w:t xml:space="preserve">a </w:t>
      </w:r>
      <w:r w:rsidRPr="00D82C1E">
        <w:rPr>
          <w:rFonts w:ascii="Arial" w:hAnsi="Arial" w:cs="Arial"/>
          <w:bCs/>
          <w:sz w:val="22"/>
          <w:szCs w:val="22"/>
          <w:lang w:val="fr-FR"/>
        </w:rPr>
        <w:t>remerci</w:t>
      </w:r>
      <w:r>
        <w:rPr>
          <w:rFonts w:ascii="Arial" w:hAnsi="Arial" w:cs="Arial"/>
          <w:bCs/>
          <w:sz w:val="22"/>
          <w:szCs w:val="22"/>
          <w:lang w:val="fr-FR"/>
        </w:rPr>
        <w:t>é</w:t>
      </w:r>
      <w:r w:rsidRPr="00D82C1E">
        <w:rPr>
          <w:rFonts w:ascii="Arial" w:hAnsi="Arial" w:cs="Arial"/>
          <w:bCs/>
          <w:sz w:val="22"/>
          <w:szCs w:val="22"/>
          <w:lang w:val="fr-FR"/>
        </w:rPr>
        <w:t xml:space="preserve"> le Secrétariat pour son efficacité et son excellent soutien [applaudissements], et elle </w:t>
      </w:r>
      <w:r>
        <w:rPr>
          <w:rFonts w:ascii="Arial" w:hAnsi="Arial" w:cs="Arial"/>
          <w:bCs/>
          <w:sz w:val="22"/>
          <w:szCs w:val="22"/>
          <w:lang w:val="fr-FR"/>
        </w:rPr>
        <w:t xml:space="preserve">a </w:t>
      </w:r>
      <w:r w:rsidRPr="00D82C1E">
        <w:rPr>
          <w:rFonts w:ascii="Arial" w:hAnsi="Arial" w:cs="Arial"/>
          <w:bCs/>
          <w:sz w:val="22"/>
          <w:szCs w:val="22"/>
          <w:lang w:val="fr-FR"/>
        </w:rPr>
        <w:t xml:space="preserve">chaleureusement </w:t>
      </w:r>
      <w:r>
        <w:rPr>
          <w:rFonts w:ascii="Arial" w:hAnsi="Arial" w:cs="Arial"/>
          <w:bCs/>
          <w:sz w:val="22"/>
          <w:szCs w:val="22"/>
          <w:lang w:val="fr-FR"/>
        </w:rPr>
        <w:t xml:space="preserve">remercié </w:t>
      </w:r>
      <w:r w:rsidRPr="00D82C1E">
        <w:rPr>
          <w:rFonts w:ascii="Arial" w:hAnsi="Arial" w:cs="Arial"/>
          <w:bCs/>
          <w:sz w:val="22"/>
          <w:szCs w:val="22"/>
          <w:lang w:val="fr-FR"/>
        </w:rPr>
        <w:t>les interprètes, traducteurs et techniciens pour le bon déroulement de l</w:t>
      </w:r>
      <w:r w:rsidR="008E532B">
        <w:rPr>
          <w:rFonts w:ascii="Arial" w:hAnsi="Arial" w:cs="Arial"/>
          <w:bCs/>
          <w:sz w:val="22"/>
          <w:szCs w:val="22"/>
          <w:lang w:val="fr-FR"/>
        </w:rPr>
        <w:t>’</w:t>
      </w:r>
      <w:r w:rsidRPr="00D82C1E">
        <w:rPr>
          <w:rFonts w:ascii="Arial" w:hAnsi="Arial" w:cs="Arial"/>
          <w:bCs/>
          <w:sz w:val="22"/>
          <w:szCs w:val="22"/>
          <w:lang w:val="fr-FR"/>
        </w:rPr>
        <w:t xml:space="preserve">Assemblée [applaudissements]. La Présidente </w:t>
      </w:r>
      <w:r>
        <w:rPr>
          <w:rFonts w:ascii="Arial" w:hAnsi="Arial" w:cs="Arial"/>
          <w:bCs/>
          <w:sz w:val="22"/>
          <w:szCs w:val="22"/>
          <w:lang w:val="fr-FR"/>
        </w:rPr>
        <w:t xml:space="preserve">a </w:t>
      </w:r>
      <w:r w:rsidRPr="00D82C1E">
        <w:rPr>
          <w:rFonts w:ascii="Arial" w:hAnsi="Arial" w:cs="Arial"/>
          <w:bCs/>
          <w:sz w:val="22"/>
          <w:szCs w:val="22"/>
          <w:lang w:val="fr-FR"/>
        </w:rPr>
        <w:t>déclar</w:t>
      </w:r>
      <w:r>
        <w:rPr>
          <w:rFonts w:ascii="Arial" w:hAnsi="Arial" w:cs="Arial"/>
          <w:bCs/>
          <w:sz w:val="22"/>
          <w:szCs w:val="22"/>
          <w:lang w:val="fr-FR"/>
        </w:rPr>
        <w:t>é</w:t>
      </w:r>
      <w:r w:rsidRPr="00D82C1E">
        <w:rPr>
          <w:rFonts w:ascii="Arial" w:hAnsi="Arial" w:cs="Arial"/>
          <w:bCs/>
          <w:sz w:val="22"/>
          <w:szCs w:val="22"/>
          <w:lang w:val="fr-FR"/>
        </w:rPr>
        <w:t xml:space="preserve"> close la neuvième session de l</w:t>
      </w:r>
      <w:r w:rsidR="008E532B">
        <w:rPr>
          <w:rFonts w:ascii="Arial" w:hAnsi="Arial" w:cs="Arial"/>
          <w:bCs/>
          <w:sz w:val="22"/>
          <w:szCs w:val="22"/>
          <w:lang w:val="fr-FR"/>
        </w:rPr>
        <w:t>’</w:t>
      </w:r>
      <w:r w:rsidRPr="00D82C1E">
        <w:rPr>
          <w:rFonts w:ascii="Arial" w:hAnsi="Arial" w:cs="Arial"/>
          <w:bCs/>
          <w:sz w:val="22"/>
          <w:szCs w:val="22"/>
          <w:lang w:val="fr-FR"/>
        </w:rPr>
        <w:t>Assemblée générale des États parties à la Convention pour la sauvegarde du patrimoine culturel immatériel.</w:t>
      </w:r>
    </w:p>
    <w:p w14:paraId="59E3FF78" w14:textId="04F0A108" w:rsidR="00A80928" w:rsidRPr="009F6BC9" w:rsidRDefault="00D9653F" w:rsidP="009F6BC9">
      <w:pPr>
        <w:autoSpaceDE w:val="0"/>
        <w:spacing w:before="240" w:after="240"/>
        <w:ind w:left="709" w:hanging="709"/>
        <w:jc w:val="center"/>
        <w:outlineLvl w:val="0"/>
        <w:rPr>
          <w:rFonts w:eastAsia="SimSun" w:cs="Arial"/>
          <w:i/>
          <w:iCs/>
          <w:szCs w:val="22"/>
          <w:lang w:val="fr-FR"/>
        </w:rPr>
      </w:pPr>
      <w:r w:rsidRPr="009F6BC9">
        <w:rPr>
          <w:rFonts w:ascii="Arial" w:eastAsia="SimSun" w:hAnsi="Arial" w:cs="Arial"/>
          <w:i/>
          <w:iCs/>
          <w:sz w:val="22"/>
          <w:szCs w:val="22"/>
          <w:lang w:val="fr-FR"/>
        </w:rPr>
        <w:t>[</w:t>
      </w:r>
      <w:proofErr w:type="gramStart"/>
      <w:r w:rsidRPr="009F6BC9">
        <w:rPr>
          <w:rFonts w:ascii="Arial" w:eastAsia="SimSun" w:hAnsi="Arial" w:cs="Arial"/>
          <w:i/>
          <w:iCs/>
          <w:sz w:val="22"/>
          <w:szCs w:val="22"/>
          <w:lang w:val="fr-FR"/>
        </w:rPr>
        <w:t>clôture</w:t>
      </w:r>
      <w:proofErr w:type="gramEnd"/>
      <w:r w:rsidRPr="009F6BC9">
        <w:rPr>
          <w:rFonts w:ascii="Arial" w:eastAsia="SimSun" w:hAnsi="Arial" w:cs="Arial"/>
          <w:i/>
          <w:iCs/>
          <w:sz w:val="22"/>
          <w:szCs w:val="22"/>
          <w:lang w:val="fr-FR"/>
        </w:rPr>
        <w:t xml:space="preserve"> de la </w:t>
      </w:r>
      <w:r w:rsidR="00603192">
        <w:rPr>
          <w:rFonts w:ascii="Arial" w:eastAsia="SimSun" w:hAnsi="Arial" w:cs="Arial"/>
          <w:i/>
          <w:iCs/>
          <w:sz w:val="22"/>
          <w:szCs w:val="22"/>
          <w:lang w:val="fr-FR"/>
        </w:rPr>
        <w:t>neuvième session de l’Assemblée générale des États parties</w:t>
      </w:r>
      <w:r w:rsidRPr="009F6BC9">
        <w:rPr>
          <w:rFonts w:ascii="Arial" w:eastAsia="SimSun" w:hAnsi="Arial" w:cs="Arial"/>
          <w:i/>
          <w:iCs/>
          <w:sz w:val="22"/>
          <w:szCs w:val="22"/>
          <w:lang w:val="fr-FR"/>
        </w:rPr>
        <w:t>]</w:t>
      </w:r>
    </w:p>
    <w:sectPr w:rsidR="00A80928" w:rsidRPr="009F6BC9" w:rsidSect="009F6BC9">
      <w:headerReference w:type="even" r:id="rId65"/>
      <w:headerReference w:type="default" r:id="rId66"/>
      <w:headerReference w:type="first" r:id="rId67"/>
      <w:pgSz w:w="11906" w:h="16838" w:code="9"/>
      <w:pgMar w:top="1418" w:right="1133"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C182" w14:textId="0CCD505B" w:rsidR="00BA3560" w:rsidRDefault="00BA3560" w:rsidP="002938F2">
      <w:r>
        <w:separator/>
      </w:r>
    </w:p>
  </w:endnote>
  <w:endnote w:type="continuationSeparator" w:id="0">
    <w:p w14:paraId="693EC5B8" w14:textId="5B486D9F"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2C53" w14:textId="77777777" w:rsidR="00BA3560" w:rsidRDefault="00BA3560" w:rsidP="002938F2">
      <w:r>
        <w:separator/>
      </w:r>
    </w:p>
  </w:footnote>
  <w:footnote w:type="continuationSeparator" w:id="0">
    <w:p w14:paraId="29C63978" w14:textId="79173930" w:rsidR="00BA3560" w:rsidRDefault="00BA3560" w:rsidP="002938F2">
      <w:r>
        <w:continuationSeparator/>
      </w:r>
    </w:p>
  </w:footnote>
  <w:footnote w:id="1">
    <w:p w14:paraId="090E437B" w14:textId="659E41F0" w:rsidR="00D9653F" w:rsidRPr="007E552D" w:rsidRDefault="00D9653F" w:rsidP="00A96116">
      <w:pPr>
        <w:pStyle w:val="FootnoteText"/>
        <w:jc w:val="both"/>
        <w:rPr>
          <w:rFonts w:ascii="Arial" w:hAnsi="Arial" w:cs="Arial"/>
          <w:sz w:val="18"/>
          <w:szCs w:val="18"/>
          <w:lang w:val="fr-FR"/>
        </w:rPr>
      </w:pPr>
      <w:r w:rsidRPr="007E552D">
        <w:rPr>
          <w:rStyle w:val="FootnoteReference"/>
          <w:rFonts w:ascii="Arial" w:hAnsi="Arial" w:cs="Arial"/>
          <w:sz w:val="18"/>
          <w:szCs w:val="18"/>
          <w:lang w:val="fr-FR"/>
        </w:rPr>
        <w:footnoteRef/>
      </w:r>
      <w:r w:rsidRPr="007E552D">
        <w:rPr>
          <w:rFonts w:ascii="Arial" w:hAnsi="Arial" w:cs="Arial"/>
          <w:sz w:val="18"/>
          <w:szCs w:val="18"/>
          <w:lang w:val="fr-FR"/>
        </w:rPr>
        <w:t xml:space="preserve"> </w:t>
      </w:r>
      <w:r w:rsidR="00A96116">
        <w:rPr>
          <w:rFonts w:ascii="Arial" w:hAnsi="Arial" w:cs="Arial"/>
          <w:sz w:val="18"/>
          <w:szCs w:val="18"/>
          <w:lang w:val="fr-FR"/>
        </w:rPr>
        <w:tab/>
      </w:r>
      <w:r w:rsidRPr="007E552D">
        <w:rPr>
          <w:rFonts w:ascii="Arial" w:hAnsi="Arial" w:cs="Arial"/>
          <w:sz w:val="18"/>
          <w:szCs w:val="18"/>
          <w:lang w:val="fr-FR"/>
        </w:rPr>
        <w:t xml:space="preserve">Pour en savoir plus sur </w:t>
      </w:r>
      <w:r>
        <w:rPr>
          <w:rFonts w:ascii="Arial" w:hAnsi="Arial" w:cs="Arial"/>
          <w:sz w:val="18"/>
          <w:szCs w:val="18"/>
          <w:lang w:val="fr-FR"/>
        </w:rPr>
        <w:t xml:space="preserve">MONDIACULT 2022, </w:t>
      </w:r>
      <w:r w:rsidRPr="007E552D">
        <w:rPr>
          <w:rFonts w:ascii="Arial" w:hAnsi="Arial" w:cs="Arial"/>
          <w:sz w:val="18"/>
          <w:szCs w:val="18"/>
          <w:lang w:val="fr-FR"/>
        </w:rPr>
        <w:t xml:space="preserve">la Conférence mondiale de l’UNESCO sur les politiques culturelles et le </w:t>
      </w:r>
      <w:r>
        <w:rPr>
          <w:rFonts w:ascii="Arial" w:hAnsi="Arial" w:cs="Arial"/>
          <w:sz w:val="18"/>
          <w:szCs w:val="18"/>
          <w:lang w:val="fr-FR"/>
        </w:rPr>
        <w:t xml:space="preserve">développement durable, cliquez </w:t>
      </w:r>
      <w:hyperlink r:id="rId1" w:history="1">
        <w:r w:rsidRPr="007E552D">
          <w:rPr>
            <w:rStyle w:val="Hyperlink"/>
            <w:rFonts w:ascii="Arial" w:hAnsi="Arial" w:cs="Arial"/>
            <w:sz w:val="18"/>
            <w:szCs w:val="18"/>
            <w:lang w:val="fr-FR"/>
          </w:rPr>
          <w:t>ici</w:t>
        </w:r>
      </w:hyperlink>
      <w:r>
        <w:rPr>
          <w:rFonts w:ascii="Arial" w:hAnsi="Arial" w:cs="Arial"/>
          <w:sz w:val="18"/>
          <w:szCs w:val="18"/>
          <w:lang w:val="fr-FR"/>
        </w:rPr>
        <w:t>.</w:t>
      </w:r>
    </w:p>
  </w:footnote>
  <w:footnote w:id="2">
    <w:p w14:paraId="36E9969E" w14:textId="03547393" w:rsidR="00D9653F" w:rsidRPr="00A96116" w:rsidRDefault="00D9653F" w:rsidP="00A96116">
      <w:pPr>
        <w:pStyle w:val="FootnoteText"/>
        <w:tabs>
          <w:tab w:val="clear" w:pos="567"/>
        </w:tabs>
        <w:jc w:val="both"/>
        <w:rPr>
          <w:lang w:val="fr-FR"/>
        </w:rPr>
      </w:pPr>
      <w:r>
        <w:rPr>
          <w:rStyle w:val="FootnoteReference"/>
        </w:rPr>
        <w:footnoteRef/>
      </w:r>
      <w:r w:rsidRPr="00D9653F">
        <w:rPr>
          <w:lang w:val="fr-FR"/>
        </w:rPr>
        <w:t xml:space="preserve"> </w:t>
      </w:r>
      <w:r w:rsidR="00A96116">
        <w:rPr>
          <w:lang w:val="fr-FR"/>
        </w:rPr>
        <w:tab/>
      </w:r>
      <w:r w:rsidRPr="00CD0350">
        <w:rPr>
          <w:rFonts w:ascii="Arial" w:hAnsi="Arial" w:cs="Arial"/>
          <w:sz w:val="18"/>
          <w:szCs w:val="18"/>
          <w:lang w:val="fr-FR"/>
        </w:rPr>
        <w:t>Les enreg</w:t>
      </w:r>
      <w:r>
        <w:rPr>
          <w:rFonts w:ascii="Arial" w:hAnsi="Arial" w:cs="Arial"/>
          <w:sz w:val="18"/>
          <w:szCs w:val="18"/>
          <w:lang w:val="fr-FR"/>
        </w:rPr>
        <w:t xml:space="preserve">istrements vidéo et audio de toutes les séances se trouvent sur le site Web de la Convention : </w:t>
      </w:r>
      <w:hyperlink r:id="rId2" w:history="1">
        <w:r w:rsidRPr="00D9653F">
          <w:rPr>
            <w:rStyle w:val="Hyperlink"/>
            <w:rFonts w:ascii="Arial" w:hAnsi="Arial" w:cs="Arial"/>
            <w:sz w:val="18"/>
            <w:szCs w:val="18"/>
            <w:lang w:val="fr-FR"/>
          </w:rPr>
          <w:t>https://ich.unesco.org/fr/9ga</w:t>
        </w:r>
      </w:hyperlink>
    </w:p>
  </w:footnote>
  <w:footnote w:id="3">
    <w:p w14:paraId="3A43F55B" w14:textId="4A2BFF39" w:rsidR="00D9653F" w:rsidRPr="00EF2B80" w:rsidRDefault="00D9653F" w:rsidP="00511B25">
      <w:pPr>
        <w:pStyle w:val="FootnoteText"/>
        <w:rPr>
          <w:rFonts w:ascii="Arial" w:hAnsi="Arial" w:cs="Arial"/>
          <w:sz w:val="18"/>
          <w:szCs w:val="18"/>
          <w:lang w:val="fr-FR"/>
        </w:rPr>
      </w:pPr>
      <w:r w:rsidRPr="00EF2B80">
        <w:rPr>
          <w:rStyle w:val="FootnoteReference"/>
          <w:rFonts w:ascii="Arial" w:hAnsi="Arial" w:cs="Arial"/>
          <w:sz w:val="18"/>
          <w:szCs w:val="18"/>
          <w:lang w:val="fr-FR"/>
        </w:rPr>
        <w:footnoteRef/>
      </w:r>
      <w:r w:rsidRPr="00EF2B80">
        <w:rPr>
          <w:rFonts w:ascii="Arial" w:hAnsi="Arial" w:cs="Arial"/>
          <w:sz w:val="18"/>
          <w:szCs w:val="18"/>
          <w:lang w:val="fr-FR"/>
        </w:rPr>
        <w:t xml:space="preserve"> </w:t>
      </w:r>
      <w:r w:rsidR="00D76503">
        <w:rPr>
          <w:rFonts w:ascii="Arial" w:hAnsi="Arial" w:cs="Arial"/>
          <w:sz w:val="18"/>
          <w:szCs w:val="18"/>
          <w:lang w:val="fr-FR"/>
        </w:rPr>
        <w:tab/>
      </w:r>
      <w:r w:rsidRPr="00EF2B80">
        <w:rPr>
          <w:rFonts w:ascii="Arial" w:hAnsi="Arial" w:cs="Arial"/>
          <w:sz w:val="18"/>
          <w:szCs w:val="18"/>
          <w:lang w:val="fr-FR"/>
        </w:rPr>
        <w:t xml:space="preserve">Cliquez </w:t>
      </w:r>
      <w:hyperlink r:id="rId3" w:history="1">
        <w:r w:rsidRPr="00EF2B80">
          <w:rPr>
            <w:rStyle w:val="Hyperlink"/>
            <w:rFonts w:ascii="Arial" w:hAnsi="Arial" w:cs="Arial"/>
            <w:sz w:val="18"/>
            <w:szCs w:val="18"/>
            <w:lang w:val="fr-FR"/>
          </w:rPr>
          <w:t>ici</w:t>
        </w:r>
      </w:hyperlink>
      <w:r w:rsidRPr="00EF2B80">
        <w:rPr>
          <w:rFonts w:ascii="Arial" w:hAnsi="Arial" w:cs="Arial"/>
          <w:sz w:val="18"/>
          <w:szCs w:val="18"/>
          <w:lang w:val="fr-FR"/>
        </w:rPr>
        <w:t xml:space="preserve"> pour en savoir plus sur le r</w:t>
      </w:r>
      <w:r>
        <w:rPr>
          <w:rFonts w:ascii="Arial" w:hAnsi="Arial" w:cs="Arial"/>
          <w:sz w:val="18"/>
          <w:szCs w:val="18"/>
          <w:lang w:val="fr-FR"/>
        </w:rPr>
        <w:t>é</w:t>
      </w:r>
      <w:r w:rsidRPr="00EF2B80">
        <w:rPr>
          <w:rFonts w:ascii="Arial" w:hAnsi="Arial" w:cs="Arial"/>
          <w:sz w:val="18"/>
          <w:szCs w:val="18"/>
          <w:lang w:val="fr-FR"/>
        </w:rPr>
        <w:t>seau global des facilitateurs.</w:t>
      </w:r>
    </w:p>
  </w:footnote>
  <w:footnote w:id="4">
    <w:p w14:paraId="5C287940" w14:textId="14EB048D" w:rsidR="00D9653F" w:rsidRPr="00D9653F" w:rsidRDefault="00D9653F" w:rsidP="00511B25">
      <w:pPr>
        <w:pStyle w:val="FootnoteText"/>
        <w:rPr>
          <w:rFonts w:ascii="Arial" w:hAnsi="Arial" w:cs="Arial"/>
          <w:sz w:val="18"/>
          <w:szCs w:val="18"/>
        </w:rPr>
      </w:pPr>
      <w:r w:rsidRPr="00D77CB3">
        <w:rPr>
          <w:rStyle w:val="FootnoteReference"/>
          <w:rFonts w:ascii="Arial" w:hAnsi="Arial" w:cs="Arial"/>
          <w:sz w:val="18"/>
          <w:szCs w:val="18"/>
        </w:rPr>
        <w:footnoteRef/>
      </w:r>
      <w:r w:rsidRPr="00D77CB3">
        <w:rPr>
          <w:rFonts w:ascii="Arial" w:hAnsi="Arial" w:cs="Arial"/>
          <w:sz w:val="18"/>
          <w:szCs w:val="18"/>
        </w:rPr>
        <w:t xml:space="preserve"> </w:t>
      </w:r>
      <w:r w:rsidR="00D76503">
        <w:rPr>
          <w:rFonts w:ascii="Arial" w:hAnsi="Arial" w:cs="Arial"/>
          <w:sz w:val="18"/>
          <w:szCs w:val="18"/>
        </w:rPr>
        <w:tab/>
      </w:r>
      <w:r w:rsidRPr="00D77CB3">
        <w:rPr>
          <w:rFonts w:ascii="Arial" w:hAnsi="Arial" w:cs="Arial"/>
          <w:sz w:val="18"/>
          <w:szCs w:val="18"/>
        </w:rPr>
        <w:t xml:space="preserve">Cf. </w:t>
      </w:r>
      <w:hyperlink r:id="rId4" w:history="1">
        <w:r w:rsidRPr="00D77CB3">
          <w:rPr>
            <w:rStyle w:val="Hyperlink"/>
            <w:rFonts w:ascii="Arial" w:hAnsi="Arial" w:cs="Arial"/>
            <w:sz w:val="18"/>
            <w:szCs w:val="18"/>
          </w:rPr>
          <w:t>https://ich.unesco.org/fr/les-principes-et-modalits-oprationnels-en-situations-d-urgence-01143</w:t>
        </w:r>
      </w:hyperlink>
      <w:r w:rsidRPr="00D77CB3">
        <w:rPr>
          <w:rFonts w:ascii="Arial" w:hAnsi="Arial" w:cs="Arial"/>
          <w:sz w:val="18"/>
          <w:szCs w:val="18"/>
        </w:rPr>
        <w:t xml:space="preserve"> </w:t>
      </w:r>
    </w:p>
  </w:footnote>
  <w:footnote w:id="5">
    <w:p w14:paraId="17C07A3F" w14:textId="171A5CB5" w:rsidR="00D9653F" w:rsidRPr="0004347A" w:rsidRDefault="00D9653F" w:rsidP="00D76503">
      <w:pPr>
        <w:pStyle w:val="FootnoteText"/>
        <w:jc w:val="both"/>
        <w:rPr>
          <w:rFonts w:ascii="Arial" w:hAnsi="Arial" w:cs="Arial"/>
          <w:sz w:val="18"/>
          <w:szCs w:val="18"/>
          <w:lang w:val="fr-FR"/>
        </w:rPr>
      </w:pPr>
      <w:r w:rsidRPr="0004347A">
        <w:rPr>
          <w:rStyle w:val="FootnoteReference"/>
          <w:rFonts w:ascii="Arial" w:hAnsi="Arial" w:cs="Arial"/>
          <w:sz w:val="18"/>
          <w:szCs w:val="18"/>
        </w:rPr>
        <w:footnoteRef/>
      </w:r>
      <w:r w:rsidRPr="00D9653F">
        <w:rPr>
          <w:rFonts w:ascii="Arial" w:hAnsi="Arial" w:cs="Arial"/>
          <w:sz w:val="18"/>
          <w:szCs w:val="18"/>
          <w:lang w:val="fr-FR"/>
        </w:rPr>
        <w:t xml:space="preserve"> </w:t>
      </w:r>
      <w:r w:rsidR="00D76503">
        <w:rPr>
          <w:rFonts w:ascii="Arial" w:hAnsi="Arial" w:cs="Arial"/>
          <w:sz w:val="18"/>
          <w:szCs w:val="18"/>
          <w:lang w:val="fr-FR"/>
        </w:rPr>
        <w:tab/>
      </w:r>
      <w:r w:rsidRPr="0004347A">
        <w:rPr>
          <w:rFonts w:ascii="Arial" w:hAnsi="Arial" w:cs="Arial"/>
          <w:sz w:val="18"/>
          <w:szCs w:val="18"/>
          <w:lang w:val="fr-FR"/>
        </w:rPr>
        <w:t xml:space="preserve">Centre international d’information et de travail en réseau sur le patrimoine culturel immatériel dans la région Asie-Pacifique : </w:t>
      </w:r>
      <w:hyperlink r:id="rId5" w:history="1">
        <w:r w:rsidRPr="0004347A">
          <w:rPr>
            <w:rStyle w:val="Hyperlink"/>
            <w:rFonts w:ascii="Arial" w:hAnsi="Arial" w:cs="Arial"/>
            <w:sz w:val="18"/>
            <w:szCs w:val="18"/>
            <w:lang w:val="fr-FR"/>
          </w:rPr>
          <w:t>https://www.unesco-ichcap.org</w:t>
        </w:r>
      </w:hyperlink>
      <w:r w:rsidRPr="0004347A">
        <w:rPr>
          <w:rFonts w:ascii="Arial" w:hAnsi="Arial" w:cs="Arial"/>
          <w:sz w:val="18"/>
          <w:szCs w:val="18"/>
          <w:lang w:val="fr-FR"/>
        </w:rPr>
        <w:t xml:space="preserve"> (en anglais et en coréen).</w:t>
      </w:r>
    </w:p>
  </w:footnote>
  <w:footnote w:id="6">
    <w:p w14:paraId="4E1E8F3D" w14:textId="4370ECC8" w:rsidR="00D9653F" w:rsidRPr="0004347A" w:rsidRDefault="00D9653F" w:rsidP="00511B25">
      <w:pPr>
        <w:pStyle w:val="FootnoteText"/>
        <w:rPr>
          <w:rFonts w:ascii="Arial" w:hAnsi="Arial" w:cs="Arial"/>
          <w:sz w:val="18"/>
          <w:szCs w:val="18"/>
          <w:lang w:val="fr-FR"/>
        </w:rPr>
      </w:pPr>
      <w:r w:rsidRPr="0004347A">
        <w:rPr>
          <w:rStyle w:val="FootnoteReference"/>
          <w:rFonts w:ascii="Arial" w:hAnsi="Arial" w:cs="Arial"/>
          <w:sz w:val="18"/>
          <w:szCs w:val="18"/>
        </w:rPr>
        <w:footnoteRef/>
      </w:r>
      <w:r w:rsidRPr="00D9653F">
        <w:rPr>
          <w:rFonts w:ascii="Arial" w:hAnsi="Arial" w:cs="Arial"/>
          <w:sz w:val="18"/>
          <w:szCs w:val="18"/>
          <w:lang w:val="fr-FR"/>
        </w:rPr>
        <w:t xml:space="preserve"> </w:t>
      </w:r>
      <w:r w:rsidR="00D76503">
        <w:rPr>
          <w:rFonts w:ascii="Arial" w:hAnsi="Arial" w:cs="Arial"/>
          <w:sz w:val="18"/>
          <w:szCs w:val="18"/>
          <w:lang w:val="fr-FR"/>
        </w:rPr>
        <w:tab/>
      </w:r>
      <w:r w:rsidRPr="0004347A">
        <w:rPr>
          <w:rFonts w:ascii="Arial" w:hAnsi="Arial" w:cs="Arial"/>
          <w:sz w:val="18"/>
          <w:szCs w:val="18"/>
          <w:lang w:val="fr-FR"/>
        </w:rPr>
        <w:t xml:space="preserve">Cf. </w:t>
      </w:r>
      <w:hyperlink r:id="rId6" w:history="1">
        <w:r w:rsidRPr="00A41B95">
          <w:rPr>
            <w:rStyle w:val="Hyperlink"/>
            <w:rFonts w:ascii="Arial" w:hAnsi="Arial" w:cs="Arial"/>
            <w:sz w:val="18"/>
            <w:szCs w:val="18"/>
            <w:lang w:val="fr-FR"/>
          </w:rPr>
          <w:t>https://www.ichlinks.com/index.do</w:t>
        </w:r>
      </w:hyperlink>
      <w:r>
        <w:rPr>
          <w:rFonts w:ascii="Arial" w:hAnsi="Arial" w:cs="Arial"/>
          <w:sz w:val="18"/>
          <w:szCs w:val="18"/>
          <w:lang w:val="fr-FR"/>
        </w:rPr>
        <w:t xml:space="preserve"> (en anglais)</w:t>
      </w:r>
    </w:p>
  </w:footnote>
  <w:footnote w:id="7">
    <w:p w14:paraId="0569F486" w14:textId="5E389743" w:rsidR="00D9653F" w:rsidRPr="00536DAF" w:rsidRDefault="00D9653F" w:rsidP="00D76503">
      <w:pPr>
        <w:pStyle w:val="FootnoteText"/>
        <w:jc w:val="both"/>
        <w:rPr>
          <w:rFonts w:ascii="Arial" w:hAnsi="Arial" w:cs="Arial"/>
          <w:sz w:val="18"/>
          <w:szCs w:val="18"/>
          <w:lang w:val="fr-FR"/>
        </w:rPr>
      </w:pPr>
      <w:r w:rsidRPr="00536DAF">
        <w:rPr>
          <w:rStyle w:val="FootnoteReference"/>
          <w:rFonts w:ascii="Arial" w:hAnsi="Arial" w:cs="Arial"/>
          <w:sz w:val="18"/>
          <w:szCs w:val="18"/>
          <w:lang w:val="fr-FR"/>
        </w:rPr>
        <w:footnoteRef/>
      </w:r>
      <w:r w:rsidRPr="00536DAF">
        <w:rPr>
          <w:rFonts w:ascii="Arial" w:hAnsi="Arial" w:cs="Arial"/>
          <w:sz w:val="18"/>
          <w:szCs w:val="18"/>
          <w:lang w:val="fr-FR"/>
        </w:rPr>
        <w:t xml:space="preserve"> </w:t>
      </w:r>
      <w:r w:rsidR="00D76503">
        <w:rPr>
          <w:rFonts w:ascii="Arial" w:hAnsi="Arial" w:cs="Arial"/>
          <w:sz w:val="18"/>
          <w:szCs w:val="18"/>
          <w:lang w:val="fr-FR"/>
        </w:rPr>
        <w:tab/>
      </w:r>
      <w:r w:rsidRPr="00536DAF">
        <w:rPr>
          <w:rFonts w:ascii="Arial" w:hAnsi="Arial" w:cs="Arial"/>
          <w:sz w:val="18"/>
          <w:szCs w:val="18"/>
          <w:lang w:val="fr-FR"/>
        </w:rPr>
        <w:t xml:space="preserve">Le </w:t>
      </w:r>
      <w:r>
        <w:rPr>
          <w:rFonts w:ascii="Arial" w:hAnsi="Arial" w:cs="Arial"/>
          <w:sz w:val="18"/>
          <w:szCs w:val="18"/>
          <w:lang w:val="fr-FR"/>
        </w:rPr>
        <w:t xml:space="preserve">processus de Khiva : promouvoir la collaboration </w:t>
      </w:r>
      <w:r w:rsidRPr="00536DAF">
        <w:rPr>
          <w:rFonts w:ascii="Arial" w:hAnsi="Arial" w:cs="Arial"/>
          <w:sz w:val="18"/>
          <w:szCs w:val="18"/>
          <w:lang w:val="fr-FR"/>
        </w:rPr>
        <w:t>internationale</w:t>
      </w:r>
      <w:r>
        <w:rPr>
          <w:rFonts w:ascii="Arial" w:hAnsi="Arial" w:cs="Arial"/>
          <w:sz w:val="18"/>
          <w:szCs w:val="18"/>
          <w:lang w:val="fr-FR"/>
        </w:rPr>
        <w:t xml:space="preserve"> en Asie centrale, à l’</w:t>
      </w:r>
      <w:r w:rsidRPr="00536DAF">
        <w:rPr>
          <w:rFonts w:ascii="Arial" w:hAnsi="Arial" w:cs="Arial"/>
          <w:sz w:val="18"/>
          <w:szCs w:val="18"/>
          <w:lang w:val="fr-FR"/>
        </w:rPr>
        <w:t>initiative</w:t>
      </w:r>
      <w:r>
        <w:rPr>
          <w:rFonts w:ascii="Arial" w:hAnsi="Arial" w:cs="Arial"/>
          <w:sz w:val="18"/>
          <w:szCs w:val="18"/>
          <w:lang w:val="fr-FR"/>
        </w:rPr>
        <w:t xml:space="preserve"> de l’Ouzbékistan, a été adopté par le Conseil exécutif de l’</w:t>
      </w:r>
      <w:r w:rsidRPr="00A014F2">
        <w:rPr>
          <w:rFonts w:ascii="Arial" w:hAnsi="Arial" w:cs="Arial"/>
          <w:sz w:val="18"/>
          <w:szCs w:val="18"/>
          <w:lang w:val="fr-FR"/>
        </w:rPr>
        <w:t>UNESCO</w:t>
      </w:r>
      <w:r>
        <w:rPr>
          <w:rFonts w:ascii="Arial" w:hAnsi="Arial" w:cs="Arial"/>
          <w:sz w:val="18"/>
          <w:szCs w:val="18"/>
          <w:lang w:val="fr-FR"/>
        </w:rPr>
        <w:t xml:space="preserve"> à sa 212</w:t>
      </w:r>
      <w:r w:rsidRPr="00A014F2">
        <w:rPr>
          <w:rFonts w:ascii="Arial" w:hAnsi="Arial" w:cs="Arial"/>
          <w:sz w:val="18"/>
          <w:szCs w:val="18"/>
          <w:vertAlign w:val="superscript"/>
          <w:lang w:val="fr-FR"/>
        </w:rPr>
        <w:t>e</w:t>
      </w:r>
      <w:r>
        <w:rPr>
          <w:rFonts w:ascii="Arial" w:hAnsi="Arial" w:cs="Arial"/>
          <w:sz w:val="18"/>
          <w:szCs w:val="18"/>
          <w:lang w:val="fr-FR"/>
        </w:rPr>
        <w:t xml:space="preserve"> session.</w:t>
      </w:r>
    </w:p>
  </w:footnote>
  <w:footnote w:id="8">
    <w:p w14:paraId="4CD67898" w14:textId="2F51D915" w:rsidR="00D9653F" w:rsidRPr="00F2625E" w:rsidRDefault="00D9653F" w:rsidP="00511B25">
      <w:pPr>
        <w:pStyle w:val="FootnoteText"/>
        <w:rPr>
          <w:rFonts w:ascii="Arial" w:hAnsi="Arial" w:cs="Arial"/>
          <w:sz w:val="18"/>
          <w:szCs w:val="18"/>
          <w:lang w:val="fr-FR"/>
        </w:rPr>
      </w:pPr>
      <w:r w:rsidRPr="00F2625E">
        <w:rPr>
          <w:rStyle w:val="FootnoteReference"/>
          <w:rFonts w:ascii="Arial" w:hAnsi="Arial" w:cs="Arial"/>
          <w:sz w:val="18"/>
          <w:szCs w:val="18"/>
          <w:lang w:val="fr-FR"/>
        </w:rPr>
        <w:footnoteRef/>
      </w:r>
      <w:r w:rsidRPr="00F2625E">
        <w:rPr>
          <w:rFonts w:ascii="Arial" w:hAnsi="Arial" w:cs="Arial"/>
          <w:sz w:val="18"/>
          <w:szCs w:val="18"/>
          <w:lang w:val="fr-FR"/>
        </w:rPr>
        <w:t xml:space="preserve"> </w:t>
      </w:r>
      <w:r w:rsidR="00D76503">
        <w:rPr>
          <w:rFonts w:ascii="Arial" w:hAnsi="Arial" w:cs="Arial"/>
          <w:sz w:val="18"/>
          <w:szCs w:val="18"/>
          <w:lang w:val="fr-FR"/>
        </w:rPr>
        <w:tab/>
      </w:r>
      <w:r>
        <w:rPr>
          <w:rFonts w:ascii="Arial" w:hAnsi="Arial" w:cs="Arial"/>
          <w:sz w:val="18"/>
          <w:szCs w:val="18"/>
          <w:lang w:val="fr-FR"/>
        </w:rPr>
        <w:t xml:space="preserve">Pour en savoir plus sur le projet, cliquez </w:t>
      </w:r>
      <w:hyperlink r:id="rId7" w:history="1">
        <w:r w:rsidRPr="00F2625E">
          <w:rPr>
            <w:rStyle w:val="Hyperlink"/>
            <w:rFonts w:ascii="Arial" w:hAnsi="Arial" w:cs="Arial"/>
            <w:sz w:val="18"/>
            <w:szCs w:val="18"/>
            <w:lang w:val="fr-FR"/>
          </w:rPr>
          <w:t>ici</w:t>
        </w:r>
      </w:hyperlink>
      <w:r>
        <w:rPr>
          <w:rFonts w:ascii="Arial" w:hAnsi="Arial" w:cs="Arial"/>
          <w:sz w:val="18"/>
          <w:szCs w:val="18"/>
          <w:lang w:val="fr-FR"/>
        </w:rPr>
        <w:t>.</w:t>
      </w:r>
    </w:p>
  </w:footnote>
  <w:footnote w:id="9">
    <w:p w14:paraId="5ADD36BC" w14:textId="7201B78B" w:rsidR="00D9653F" w:rsidRPr="00BC0E10" w:rsidRDefault="00D9653F" w:rsidP="00511B25">
      <w:pPr>
        <w:pStyle w:val="FootnoteText"/>
        <w:rPr>
          <w:rFonts w:ascii="Arial" w:hAnsi="Arial" w:cs="Arial"/>
          <w:sz w:val="18"/>
          <w:szCs w:val="18"/>
          <w:lang w:val="fr-FR"/>
        </w:rPr>
      </w:pPr>
      <w:r w:rsidRPr="00BC0E10">
        <w:rPr>
          <w:rStyle w:val="FootnoteReference"/>
          <w:rFonts w:ascii="Arial" w:hAnsi="Arial" w:cs="Arial"/>
          <w:sz w:val="18"/>
          <w:szCs w:val="18"/>
          <w:lang w:val="fr-FR"/>
        </w:rPr>
        <w:footnoteRef/>
      </w:r>
      <w:r w:rsidRPr="00BC0E10">
        <w:rPr>
          <w:rFonts w:ascii="Arial" w:hAnsi="Arial" w:cs="Arial"/>
          <w:sz w:val="18"/>
          <w:szCs w:val="18"/>
          <w:lang w:val="fr-FR"/>
        </w:rPr>
        <w:t xml:space="preserve"> </w:t>
      </w:r>
      <w:r w:rsidR="00D76503">
        <w:rPr>
          <w:rFonts w:ascii="Arial" w:hAnsi="Arial" w:cs="Arial"/>
          <w:sz w:val="18"/>
          <w:szCs w:val="18"/>
          <w:lang w:val="fr-FR"/>
        </w:rPr>
        <w:tab/>
      </w:r>
      <w:r w:rsidRPr="00BC0E10">
        <w:rPr>
          <w:rFonts w:ascii="Arial" w:hAnsi="Arial" w:cs="Arial"/>
          <w:sz w:val="18"/>
          <w:szCs w:val="18"/>
          <w:lang w:val="fr-FR"/>
        </w:rPr>
        <w:t xml:space="preserve">Cette publication de l’UNESCO est disponible </w:t>
      </w:r>
      <w:hyperlink r:id="rId8" w:history="1">
        <w:r w:rsidRPr="00BC0E10">
          <w:rPr>
            <w:rStyle w:val="Hyperlink"/>
            <w:rFonts w:ascii="Arial" w:hAnsi="Arial" w:cs="Arial"/>
            <w:sz w:val="18"/>
            <w:szCs w:val="18"/>
            <w:lang w:val="fr-FR"/>
          </w:rPr>
          <w:t>ici</w:t>
        </w:r>
      </w:hyperlink>
      <w:r w:rsidRPr="00BC0E10">
        <w:rPr>
          <w:rFonts w:ascii="Arial" w:hAnsi="Arial" w:cs="Arial"/>
          <w:sz w:val="18"/>
          <w:szCs w:val="18"/>
          <w:lang w:val="fr-FR"/>
        </w:rPr>
        <w:t>.</w:t>
      </w:r>
    </w:p>
  </w:footnote>
  <w:footnote w:id="10">
    <w:p w14:paraId="7389AA21" w14:textId="46EB432F" w:rsidR="00D9653F" w:rsidRPr="009E5D93" w:rsidRDefault="00D9653F">
      <w:pPr>
        <w:pStyle w:val="FootnoteText"/>
        <w:rPr>
          <w:rFonts w:ascii="Arial" w:hAnsi="Arial" w:cs="Arial"/>
          <w:sz w:val="18"/>
          <w:szCs w:val="18"/>
          <w:lang w:val="fr-FR"/>
        </w:rPr>
      </w:pPr>
      <w:r w:rsidRPr="009E5D93">
        <w:rPr>
          <w:rStyle w:val="FootnoteReference"/>
          <w:rFonts w:ascii="Arial" w:hAnsi="Arial" w:cs="Arial"/>
          <w:sz w:val="18"/>
          <w:szCs w:val="18"/>
          <w:lang w:val="fr-FR"/>
        </w:rPr>
        <w:footnoteRef/>
      </w:r>
      <w:r w:rsidRPr="009E5D93">
        <w:rPr>
          <w:rFonts w:ascii="Arial" w:hAnsi="Arial" w:cs="Arial"/>
          <w:sz w:val="18"/>
          <w:szCs w:val="18"/>
          <w:lang w:val="fr-FR"/>
        </w:rPr>
        <w:t xml:space="preserve"> </w:t>
      </w:r>
      <w:r w:rsidR="00D76503">
        <w:rPr>
          <w:rFonts w:ascii="Arial" w:hAnsi="Arial" w:cs="Arial"/>
          <w:sz w:val="18"/>
          <w:szCs w:val="18"/>
          <w:lang w:val="fr-FR"/>
        </w:rPr>
        <w:tab/>
      </w:r>
      <w:r w:rsidRPr="009E5D93">
        <w:rPr>
          <w:rFonts w:ascii="Arial" w:hAnsi="Arial" w:cs="Arial"/>
          <w:sz w:val="18"/>
          <w:szCs w:val="18"/>
          <w:lang w:val="fr-FR"/>
        </w:rPr>
        <w:t xml:space="preserve">Pour en savoir plus sur le projet, cliquez </w:t>
      </w:r>
      <w:hyperlink r:id="rId9" w:history="1">
        <w:r w:rsidRPr="009E5D93">
          <w:rPr>
            <w:rStyle w:val="Hyperlink"/>
            <w:rFonts w:ascii="Arial" w:hAnsi="Arial" w:cs="Arial"/>
            <w:sz w:val="18"/>
            <w:szCs w:val="18"/>
            <w:lang w:val="fr-FR"/>
          </w:rPr>
          <w:t>ici</w:t>
        </w:r>
      </w:hyperlink>
      <w:r w:rsidRPr="009E5D93">
        <w:rPr>
          <w:rFonts w:ascii="Arial" w:hAnsi="Arial" w:cs="Arial"/>
          <w:sz w:val="18"/>
          <w:szCs w:val="18"/>
          <w:lang w:val="fr-FR"/>
        </w:rPr>
        <w:t>.</w:t>
      </w:r>
    </w:p>
  </w:footnote>
  <w:footnote w:id="11">
    <w:p w14:paraId="03509A0B" w14:textId="4A7D4D4C" w:rsidR="00D9653F" w:rsidRPr="006D082C" w:rsidRDefault="00D9653F">
      <w:pPr>
        <w:pStyle w:val="FootnoteText"/>
        <w:rPr>
          <w:rFonts w:ascii="Arial" w:hAnsi="Arial" w:cs="Arial"/>
          <w:sz w:val="18"/>
          <w:szCs w:val="18"/>
          <w:lang w:val="fr-FR"/>
        </w:rPr>
      </w:pPr>
      <w:r w:rsidRPr="006D082C">
        <w:rPr>
          <w:rStyle w:val="FootnoteReference"/>
          <w:rFonts w:ascii="Arial" w:hAnsi="Arial" w:cs="Arial"/>
          <w:sz w:val="18"/>
          <w:szCs w:val="18"/>
          <w:lang w:val="fr-FR"/>
        </w:rPr>
        <w:footnoteRef/>
      </w:r>
      <w:r w:rsidRPr="006D082C">
        <w:rPr>
          <w:rFonts w:ascii="Arial" w:hAnsi="Arial" w:cs="Arial"/>
          <w:sz w:val="18"/>
          <w:szCs w:val="18"/>
          <w:lang w:val="fr-FR"/>
        </w:rPr>
        <w:t xml:space="preserve"> </w:t>
      </w:r>
      <w:r w:rsidR="00D76503">
        <w:rPr>
          <w:rFonts w:ascii="Arial" w:hAnsi="Arial" w:cs="Arial"/>
          <w:sz w:val="18"/>
          <w:szCs w:val="18"/>
          <w:lang w:val="fr-FR"/>
        </w:rPr>
        <w:tab/>
      </w:r>
      <w:r>
        <w:rPr>
          <w:rFonts w:ascii="Arial" w:hAnsi="Arial" w:cs="Arial"/>
          <w:sz w:val="18"/>
          <w:szCs w:val="18"/>
          <w:lang w:val="fr-FR"/>
        </w:rPr>
        <w:t>Le théâtre d’ombres a été inscrit sur la Liste de sauvegarde urgente en 2018.</w:t>
      </w:r>
    </w:p>
  </w:footnote>
  <w:footnote w:id="12">
    <w:p w14:paraId="46325AC2" w14:textId="21D18331" w:rsidR="00D9653F" w:rsidRPr="00625369" w:rsidRDefault="00D9653F" w:rsidP="00D76503">
      <w:pPr>
        <w:pStyle w:val="FootnoteText"/>
        <w:rPr>
          <w:rFonts w:ascii="Arial" w:hAnsi="Arial" w:cs="Arial"/>
          <w:sz w:val="18"/>
          <w:szCs w:val="18"/>
          <w:lang w:val="fr-FR"/>
        </w:rPr>
      </w:pPr>
      <w:r w:rsidRPr="00625369">
        <w:rPr>
          <w:rStyle w:val="FootnoteReference"/>
          <w:rFonts w:ascii="Arial" w:hAnsi="Arial" w:cs="Arial"/>
          <w:sz w:val="18"/>
          <w:szCs w:val="18"/>
          <w:lang w:val="fr-FR"/>
        </w:rPr>
        <w:footnoteRef/>
      </w:r>
      <w:r w:rsidRPr="00625369">
        <w:rPr>
          <w:rFonts w:ascii="Arial" w:hAnsi="Arial" w:cs="Arial"/>
          <w:sz w:val="18"/>
          <w:szCs w:val="18"/>
          <w:lang w:val="fr-FR"/>
        </w:rPr>
        <w:t xml:space="preserve"> </w:t>
      </w:r>
      <w:r w:rsidR="00D76503">
        <w:rPr>
          <w:rFonts w:ascii="Arial" w:hAnsi="Arial" w:cs="Arial"/>
          <w:sz w:val="18"/>
          <w:szCs w:val="18"/>
          <w:lang w:val="fr-FR"/>
        </w:rPr>
        <w:tab/>
      </w:r>
      <w:r>
        <w:rPr>
          <w:rFonts w:ascii="Arial" w:hAnsi="Arial" w:cs="Arial"/>
          <w:sz w:val="18"/>
          <w:szCs w:val="18"/>
          <w:lang w:val="fr-FR"/>
        </w:rPr>
        <w:t xml:space="preserve">Pour de plus amples </w:t>
      </w:r>
      <w:r w:rsidRPr="00625369">
        <w:rPr>
          <w:rFonts w:ascii="Arial" w:hAnsi="Arial" w:cs="Arial"/>
          <w:sz w:val="18"/>
          <w:szCs w:val="18"/>
          <w:lang w:val="fr-FR"/>
        </w:rPr>
        <w:t>informations</w:t>
      </w:r>
      <w:r>
        <w:rPr>
          <w:rFonts w:ascii="Arial" w:hAnsi="Arial" w:cs="Arial"/>
          <w:sz w:val="18"/>
          <w:szCs w:val="18"/>
          <w:lang w:val="fr-FR"/>
        </w:rPr>
        <w:t xml:space="preserve"> sur le </w:t>
      </w:r>
      <w:r w:rsidRPr="00625369">
        <w:rPr>
          <w:rFonts w:ascii="Arial" w:hAnsi="Arial" w:cs="Arial"/>
          <w:sz w:val="18"/>
          <w:szCs w:val="18"/>
          <w:lang w:val="fr-FR"/>
        </w:rPr>
        <w:t>patrimoine</w:t>
      </w:r>
      <w:r>
        <w:rPr>
          <w:rFonts w:ascii="Arial" w:hAnsi="Arial" w:cs="Arial"/>
          <w:sz w:val="18"/>
          <w:szCs w:val="18"/>
          <w:lang w:val="fr-FR"/>
        </w:rPr>
        <w:t xml:space="preserve"> vivant et la pandémie de COVID-19, ainsi que sur la « reconstruction en mieux », cliquez </w:t>
      </w:r>
      <w:hyperlink r:id="rId10" w:history="1">
        <w:r w:rsidRPr="00625369">
          <w:rPr>
            <w:rStyle w:val="Hyperlink"/>
            <w:rFonts w:ascii="Arial" w:hAnsi="Arial" w:cs="Arial"/>
            <w:sz w:val="18"/>
            <w:szCs w:val="18"/>
            <w:lang w:val="fr-FR"/>
          </w:rPr>
          <w:t>ici</w:t>
        </w:r>
      </w:hyperlink>
      <w:r>
        <w:rPr>
          <w:rFonts w:ascii="Arial" w:hAnsi="Arial" w:cs="Arial"/>
          <w:sz w:val="18"/>
          <w:szCs w:val="18"/>
          <w:lang w:val="fr-FR"/>
        </w:rPr>
        <w:t>.</w:t>
      </w:r>
    </w:p>
  </w:footnote>
  <w:footnote w:id="13">
    <w:p w14:paraId="14D09840" w14:textId="7827D2FE" w:rsidR="00D9653F" w:rsidRPr="00ED2471" w:rsidRDefault="00D9653F">
      <w:pPr>
        <w:pStyle w:val="FootnoteText"/>
        <w:rPr>
          <w:rFonts w:ascii="Arial" w:hAnsi="Arial" w:cs="Arial"/>
          <w:sz w:val="18"/>
          <w:szCs w:val="18"/>
          <w:lang w:val="fr-FR"/>
        </w:rPr>
      </w:pPr>
      <w:r w:rsidRPr="00ED2471">
        <w:rPr>
          <w:rStyle w:val="FootnoteReference"/>
          <w:rFonts w:ascii="Arial" w:hAnsi="Arial" w:cs="Arial"/>
          <w:sz w:val="18"/>
          <w:szCs w:val="18"/>
          <w:lang w:val="fr-FR"/>
        </w:rPr>
        <w:footnoteRef/>
      </w:r>
      <w:r w:rsidRPr="00ED2471">
        <w:rPr>
          <w:rFonts w:ascii="Arial" w:hAnsi="Arial" w:cs="Arial"/>
          <w:sz w:val="18"/>
          <w:szCs w:val="18"/>
          <w:lang w:val="fr-FR"/>
        </w:rPr>
        <w:t xml:space="preserve"> </w:t>
      </w:r>
      <w:r w:rsidR="00D76503">
        <w:rPr>
          <w:rFonts w:ascii="Arial" w:hAnsi="Arial" w:cs="Arial"/>
          <w:sz w:val="18"/>
          <w:szCs w:val="18"/>
          <w:lang w:val="fr-FR"/>
        </w:rPr>
        <w:tab/>
      </w:r>
      <w:r w:rsidRPr="00ED2471">
        <w:rPr>
          <w:rFonts w:ascii="Arial" w:hAnsi="Arial" w:cs="Arial"/>
          <w:sz w:val="18"/>
          <w:szCs w:val="18"/>
          <w:lang w:val="fr-FR"/>
        </w:rPr>
        <w:t xml:space="preserve">Pour en savoir plus sur </w:t>
      </w:r>
      <w:r>
        <w:rPr>
          <w:rFonts w:ascii="Arial" w:hAnsi="Arial" w:cs="Arial"/>
          <w:sz w:val="18"/>
          <w:szCs w:val="18"/>
          <w:lang w:val="fr-FR"/>
        </w:rPr>
        <w:t>les demandes d’assistance internationale et le g</w:t>
      </w:r>
      <w:r w:rsidRPr="00ED2471">
        <w:rPr>
          <w:rFonts w:ascii="Arial" w:hAnsi="Arial" w:cs="Arial"/>
          <w:sz w:val="18"/>
          <w:szCs w:val="18"/>
          <w:lang w:val="fr-FR"/>
        </w:rPr>
        <w:t>uide</w:t>
      </w:r>
      <w:r>
        <w:rPr>
          <w:rFonts w:ascii="Arial" w:hAnsi="Arial" w:cs="Arial"/>
          <w:sz w:val="18"/>
          <w:szCs w:val="18"/>
          <w:lang w:val="fr-FR"/>
        </w:rPr>
        <w:t xml:space="preserve">, cliquez </w:t>
      </w:r>
      <w:hyperlink r:id="rId11" w:history="1">
        <w:r w:rsidRPr="00ED2471">
          <w:rPr>
            <w:rStyle w:val="Hyperlink"/>
            <w:rFonts w:ascii="Arial" w:hAnsi="Arial" w:cs="Arial"/>
            <w:sz w:val="18"/>
            <w:szCs w:val="18"/>
            <w:lang w:val="fr-FR"/>
          </w:rPr>
          <w:t>ici</w:t>
        </w:r>
      </w:hyperlink>
      <w:r>
        <w:rPr>
          <w:rFonts w:ascii="Arial" w:hAnsi="Arial" w:cs="Arial"/>
          <w:sz w:val="18"/>
          <w:szCs w:val="18"/>
          <w:lang w:val="fr-FR"/>
        </w:rPr>
        <w:t>.</w:t>
      </w:r>
    </w:p>
  </w:footnote>
  <w:footnote w:id="14">
    <w:p w14:paraId="216D9C94" w14:textId="2AD6431A" w:rsidR="00D9653F" w:rsidRPr="00720C2A" w:rsidRDefault="00D9653F">
      <w:pPr>
        <w:pStyle w:val="FootnoteText"/>
        <w:rPr>
          <w:rFonts w:ascii="Arial" w:hAnsi="Arial" w:cs="Arial"/>
          <w:sz w:val="18"/>
          <w:szCs w:val="18"/>
          <w:lang w:val="fr-FR"/>
        </w:rPr>
      </w:pPr>
      <w:r w:rsidRPr="00720C2A">
        <w:rPr>
          <w:rStyle w:val="FootnoteReference"/>
          <w:rFonts w:ascii="Arial" w:hAnsi="Arial" w:cs="Arial"/>
          <w:sz w:val="18"/>
          <w:szCs w:val="18"/>
          <w:lang w:val="fr-FR"/>
        </w:rPr>
        <w:footnoteRef/>
      </w:r>
      <w:r w:rsidRPr="00720C2A">
        <w:rPr>
          <w:rFonts w:ascii="Arial" w:hAnsi="Arial" w:cs="Arial"/>
          <w:sz w:val="18"/>
          <w:szCs w:val="18"/>
          <w:lang w:val="fr-FR"/>
        </w:rPr>
        <w:t xml:space="preserve"> </w:t>
      </w:r>
      <w:r w:rsidR="00D76503">
        <w:rPr>
          <w:rFonts w:ascii="Arial" w:hAnsi="Arial" w:cs="Arial"/>
          <w:sz w:val="18"/>
          <w:szCs w:val="18"/>
          <w:lang w:val="fr-FR"/>
        </w:rPr>
        <w:tab/>
      </w:r>
      <w:r>
        <w:rPr>
          <w:rFonts w:ascii="Arial" w:hAnsi="Arial" w:cs="Arial"/>
          <w:sz w:val="18"/>
          <w:szCs w:val="18"/>
          <w:lang w:val="fr-FR"/>
        </w:rPr>
        <w:t xml:space="preserve">Cf. la liste des centres de catégorie 2 </w:t>
      </w:r>
      <w:hyperlink r:id="rId12" w:history="1">
        <w:r w:rsidRPr="00720C2A">
          <w:rPr>
            <w:rStyle w:val="Hyperlink"/>
            <w:rFonts w:ascii="Arial" w:hAnsi="Arial" w:cs="Arial"/>
            <w:sz w:val="18"/>
            <w:szCs w:val="18"/>
            <w:lang w:val="fr-FR"/>
          </w:rPr>
          <w:t>ici</w:t>
        </w:r>
      </w:hyperlink>
      <w:r>
        <w:rPr>
          <w:rFonts w:ascii="Arial" w:hAnsi="Arial" w:cs="Arial"/>
          <w:sz w:val="18"/>
          <w:szCs w:val="18"/>
          <w:lang w:val="fr-FR"/>
        </w:rPr>
        <w:t>.</w:t>
      </w:r>
    </w:p>
  </w:footnote>
  <w:footnote w:id="15">
    <w:p w14:paraId="051C9EA1" w14:textId="78D8F46A" w:rsidR="00D9653F" w:rsidRPr="00C63829" w:rsidRDefault="00D9653F">
      <w:pPr>
        <w:pStyle w:val="FootnoteText"/>
        <w:rPr>
          <w:rFonts w:ascii="Arial" w:hAnsi="Arial" w:cs="Arial"/>
          <w:sz w:val="18"/>
          <w:szCs w:val="18"/>
          <w:lang w:val="fr-FR"/>
        </w:rPr>
      </w:pPr>
      <w:r w:rsidRPr="00C63829">
        <w:rPr>
          <w:rStyle w:val="FootnoteReference"/>
          <w:rFonts w:ascii="Arial" w:hAnsi="Arial" w:cs="Arial"/>
          <w:sz w:val="18"/>
          <w:szCs w:val="18"/>
          <w:lang w:val="fr-FR"/>
        </w:rPr>
        <w:footnoteRef/>
      </w:r>
      <w:r w:rsidRPr="00C63829">
        <w:rPr>
          <w:rFonts w:ascii="Arial" w:hAnsi="Arial" w:cs="Arial"/>
          <w:sz w:val="18"/>
          <w:szCs w:val="18"/>
          <w:lang w:val="fr-FR"/>
        </w:rPr>
        <w:t xml:space="preserve"> </w:t>
      </w:r>
      <w:r w:rsidR="00D76503">
        <w:rPr>
          <w:rFonts w:ascii="Arial" w:hAnsi="Arial" w:cs="Arial"/>
          <w:sz w:val="18"/>
          <w:szCs w:val="18"/>
          <w:lang w:val="fr-FR"/>
        </w:rPr>
        <w:tab/>
      </w:r>
      <w:r w:rsidRPr="00C63829">
        <w:rPr>
          <w:rFonts w:ascii="Arial" w:hAnsi="Arial" w:cs="Arial"/>
          <w:sz w:val="18"/>
          <w:szCs w:val="18"/>
          <w:lang w:val="fr-FR"/>
        </w:rPr>
        <w:t xml:space="preserve">Pour en savoir plus sur le MOOC et comment </w:t>
      </w:r>
      <w:r>
        <w:rPr>
          <w:rFonts w:ascii="Arial" w:hAnsi="Arial" w:cs="Arial"/>
          <w:sz w:val="18"/>
          <w:szCs w:val="18"/>
          <w:lang w:val="fr-FR"/>
        </w:rPr>
        <w:t xml:space="preserve">suivre ce cours, cliquez </w:t>
      </w:r>
      <w:hyperlink r:id="rId13" w:history="1">
        <w:r w:rsidRPr="00720C2A">
          <w:rPr>
            <w:rStyle w:val="Hyperlink"/>
            <w:rFonts w:ascii="Arial" w:hAnsi="Arial" w:cs="Arial"/>
            <w:sz w:val="18"/>
            <w:szCs w:val="18"/>
            <w:lang w:val="fr-FR"/>
          </w:rPr>
          <w:t>ici</w:t>
        </w:r>
      </w:hyperlink>
      <w:r>
        <w:rPr>
          <w:rFonts w:ascii="Arial" w:hAnsi="Arial" w:cs="Arial"/>
          <w:sz w:val="18"/>
          <w:szCs w:val="18"/>
          <w:lang w:val="fr-FR"/>
        </w:rPr>
        <w:t>.</w:t>
      </w:r>
    </w:p>
  </w:footnote>
  <w:footnote w:id="16">
    <w:p w14:paraId="35FE3731" w14:textId="36257AA6" w:rsidR="00D9653F" w:rsidRPr="00A36EAC" w:rsidRDefault="00D9653F">
      <w:pPr>
        <w:pStyle w:val="FootnoteText"/>
        <w:rPr>
          <w:rFonts w:ascii="Arial" w:hAnsi="Arial" w:cs="Arial"/>
          <w:sz w:val="18"/>
          <w:szCs w:val="18"/>
          <w:lang w:val="fr-FR"/>
        </w:rPr>
      </w:pPr>
      <w:r w:rsidRPr="00A36EAC">
        <w:rPr>
          <w:rStyle w:val="FootnoteReference"/>
          <w:rFonts w:ascii="Arial" w:hAnsi="Arial" w:cs="Arial"/>
          <w:sz w:val="18"/>
          <w:szCs w:val="18"/>
          <w:lang w:val="fr-FR"/>
        </w:rPr>
        <w:footnoteRef/>
      </w:r>
      <w:r w:rsidRPr="00A36EAC">
        <w:rPr>
          <w:rFonts w:ascii="Arial" w:hAnsi="Arial" w:cs="Arial"/>
          <w:sz w:val="18"/>
          <w:szCs w:val="18"/>
          <w:lang w:val="fr-FR"/>
        </w:rPr>
        <w:t xml:space="preserve"> </w:t>
      </w:r>
      <w:r w:rsidR="00D76503">
        <w:rPr>
          <w:rFonts w:ascii="Arial" w:hAnsi="Arial" w:cs="Arial"/>
          <w:sz w:val="18"/>
          <w:szCs w:val="18"/>
          <w:lang w:val="fr-FR"/>
        </w:rPr>
        <w:tab/>
      </w:r>
      <w:r w:rsidRPr="00A36EAC">
        <w:rPr>
          <w:rFonts w:ascii="Arial" w:hAnsi="Arial" w:cs="Arial"/>
          <w:sz w:val="18"/>
          <w:szCs w:val="18"/>
          <w:lang w:val="fr-FR"/>
        </w:rPr>
        <w:t>C</w:t>
      </w:r>
      <w:r>
        <w:rPr>
          <w:rFonts w:ascii="Arial" w:hAnsi="Arial" w:cs="Arial"/>
          <w:sz w:val="18"/>
          <w:szCs w:val="18"/>
          <w:lang w:val="fr-FR"/>
        </w:rPr>
        <w:t>f. l</w:t>
      </w:r>
      <w:r w:rsidRPr="00A36EAC">
        <w:rPr>
          <w:rFonts w:ascii="Arial" w:hAnsi="Arial" w:cs="Arial"/>
          <w:sz w:val="18"/>
          <w:szCs w:val="18"/>
          <w:lang w:val="fr-FR"/>
        </w:rPr>
        <w:t>a liste des</w:t>
      </w:r>
      <w:r>
        <w:rPr>
          <w:rFonts w:ascii="Arial" w:hAnsi="Arial" w:cs="Arial"/>
          <w:sz w:val="18"/>
          <w:szCs w:val="18"/>
          <w:lang w:val="fr-FR"/>
        </w:rPr>
        <w:t xml:space="preserve"> </w:t>
      </w:r>
      <w:r w:rsidRPr="00A36EAC">
        <w:rPr>
          <w:rFonts w:ascii="Arial" w:hAnsi="Arial" w:cs="Arial"/>
          <w:sz w:val="18"/>
          <w:szCs w:val="18"/>
          <w:lang w:val="fr-FR"/>
        </w:rPr>
        <w:t>facilitateur</w:t>
      </w:r>
      <w:r>
        <w:rPr>
          <w:rFonts w:ascii="Arial" w:hAnsi="Arial" w:cs="Arial"/>
          <w:sz w:val="18"/>
          <w:szCs w:val="18"/>
          <w:lang w:val="fr-FR"/>
        </w:rPr>
        <w:t xml:space="preserve">s du réseau global </w:t>
      </w:r>
      <w:hyperlink r:id="rId14" w:history="1">
        <w:r w:rsidRPr="00A36EAC">
          <w:rPr>
            <w:rStyle w:val="Hyperlink"/>
            <w:rFonts w:ascii="Arial" w:hAnsi="Arial" w:cs="Arial"/>
            <w:sz w:val="18"/>
            <w:szCs w:val="18"/>
            <w:lang w:val="fr-FR"/>
          </w:rPr>
          <w:t>ici</w:t>
        </w:r>
      </w:hyperlink>
      <w:r>
        <w:rPr>
          <w:rFonts w:ascii="Arial" w:hAnsi="Arial" w:cs="Arial"/>
          <w:sz w:val="18"/>
          <w:szCs w:val="18"/>
          <w:lang w:val="fr-FR"/>
        </w:rPr>
        <w:t>.</w:t>
      </w:r>
      <w:r w:rsidRPr="00A36EAC">
        <w:rPr>
          <w:rFonts w:ascii="Arial" w:hAnsi="Arial" w:cs="Arial"/>
          <w:sz w:val="18"/>
          <w:szCs w:val="18"/>
          <w:lang w:val="fr-FR"/>
        </w:rPr>
        <w:t xml:space="preserve"> </w:t>
      </w:r>
    </w:p>
  </w:footnote>
  <w:footnote w:id="17">
    <w:p w14:paraId="74982F2F" w14:textId="22D0B20C" w:rsidR="00D9653F" w:rsidRPr="00A36EAC" w:rsidRDefault="00D9653F">
      <w:pPr>
        <w:pStyle w:val="FootnoteText"/>
        <w:rPr>
          <w:rFonts w:ascii="Arial" w:hAnsi="Arial" w:cs="Arial"/>
          <w:sz w:val="18"/>
          <w:szCs w:val="18"/>
          <w:lang w:val="fr-FR"/>
        </w:rPr>
      </w:pPr>
      <w:r w:rsidRPr="00A36EAC">
        <w:rPr>
          <w:rStyle w:val="FootnoteReference"/>
          <w:rFonts w:ascii="Arial" w:hAnsi="Arial" w:cs="Arial"/>
          <w:sz w:val="18"/>
          <w:szCs w:val="18"/>
          <w:lang w:val="fr-FR"/>
        </w:rPr>
        <w:footnoteRef/>
      </w:r>
      <w:r w:rsidRPr="00A36EAC">
        <w:rPr>
          <w:rFonts w:ascii="Arial" w:hAnsi="Arial" w:cs="Arial"/>
          <w:sz w:val="18"/>
          <w:szCs w:val="18"/>
          <w:lang w:val="fr-FR"/>
        </w:rPr>
        <w:t xml:space="preserve"> </w:t>
      </w:r>
      <w:r w:rsidR="00CD0338">
        <w:rPr>
          <w:rFonts w:ascii="Arial" w:hAnsi="Arial" w:cs="Arial"/>
          <w:sz w:val="18"/>
          <w:szCs w:val="18"/>
          <w:lang w:val="fr-FR"/>
        </w:rPr>
        <w:tab/>
      </w:r>
      <w:r w:rsidRPr="00A36EAC">
        <w:rPr>
          <w:rFonts w:ascii="Arial" w:hAnsi="Arial" w:cs="Arial"/>
          <w:sz w:val="18"/>
          <w:szCs w:val="18"/>
          <w:lang w:val="fr-FR"/>
        </w:rPr>
        <w:t>Pour consulte</w:t>
      </w:r>
      <w:r>
        <w:rPr>
          <w:rFonts w:ascii="Arial" w:hAnsi="Arial" w:cs="Arial"/>
          <w:sz w:val="18"/>
          <w:szCs w:val="18"/>
          <w:lang w:val="fr-FR"/>
        </w:rPr>
        <w:t>r</w:t>
      </w:r>
      <w:r w:rsidRPr="00A36EAC">
        <w:rPr>
          <w:rFonts w:ascii="Arial" w:hAnsi="Arial" w:cs="Arial"/>
          <w:sz w:val="18"/>
          <w:szCs w:val="18"/>
          <w:lang w:val="fr-FR"/>
        </w:rPr>
        <w:t xml:space="preserve"> la constellation de Plongez dans le patrimoine </w:t>
      </w:r>
      <w:proofErr w:type="gramStart"/>
      <w:r w:rsidRPr="00A36EAC">
        <w:rPr>
          <w:rFonts w:ascii="Arial" w:hAnsi="Arial" w:cs="Arial"/>
          <w:sz w:val="18"/>
          <w:szCs w:val="18"/>
          <w:lang w:val="fr-FR"/>
        </w:rPr>
        <w:t>vivant</w:t>
      </w:r>
      <w:r>
        <w:rPr>
          <w:rFonts w:ascii="Arial" w:hAnsi="Arial" w:cs="Arial"/>
          <w:sz w:val="18"/>
          <w:szCs w:val="18"/>
          <w:lang w:val="fr-FR"/>
        </w:rPr>
        <w:t xml:space="preserve"> !,</w:t>
      </w:r>
      <w:proofErr w:type="gramEnd"/>
      <w:r>
        <w:rPr>
          <w:rFonts w:ascii="Arial" w:hAnsi="Arial" w:cs="Arial"/>
          <w:sz w:val="18"/>
          <w:szCs w:val="18"/>
          <w:lang w:val="fr-FR"/>
        </w:rPr>
        <w:t xml:space="preserve"> </w:t>
      </w:r>
      <w:r w:rsidRPr="00A36EAC">
        <w:rPr>
          <w:rFonts w:ascii="Arial" w:hAnsi="Arial" w:cs="Arial"/>
          <w:sz w:val="18"/>
          <w:szCs w:val="18"/>
          <w:lang w:val="fr-FR"/>
        </w:rPr>
        <w:t xml:space="preserve">cliquez </w:t>
      </w:r>
      <w:hyperlink r:id="rId15" w:anchor="tabs" w:history="1">
        <w:r w:rsidRPr="00A36EAC">
          <w:rPr>
            <w:rStyle w:val="Hyperlink"/>
            <w:rFonts w:ascii="Arial" w:hAnsi="Arial" w:cs="Arial"/>
            <w:sz w:val="18"/>
            <w:szCs w:val="18"/>
            <w:lang w:val="fr-FR"/>
          </w:rPr>
          <w:t>ici</w:t>
        </w:r>
      </w:hyperlink>
      <w:r>
        <w:rPr>
          <w:rFonts w:ascii="Arial" w:hAnsi="Arial" w:cs="Arial"/>
          <w:sz w:val="18"/>
          <w:szCs w:val="18"/>
          <w:lang w:val="fr-FR"/>
        </w:rPr>
        <w:t>.</w:t>
      </w:r>
    </w:p>
  </w:footnote>
  <w:footnote w:id="18">
    <w:p w14:paraId="0D571CDB" w14:textId="01C0D767" w:rsidR="00D9653F" w:rsidRPr="00EB1C77" w:rsidRDefault="00D9653F">
      <w:pPr>
        <w:pStyle w:val="FootnoteText"/>
        <w:rPr>
          <w:rFonts w:ascii="Arial" w:hAnsi="Arial" w:cs="Arial"/>
          <w:sz w:val="18"/>
          <w:szCs w:val="18"/>
          <w:lang w:val="fr-FR"/>
        </w:rPr>
      </w:pPr>
      <w:r w:rsidRPr="00EB1C77">
        <w:rPr>
          <w:rStyle w:val="FootnoteReference"/>
          <w:rFonts w:ascii="Arial" w:hAnsi="Arial" w:cs="Arial"/>
          <w:sz w:val="18"/>
          <w:szCs w:val="18"/>
          <w:lang w:val="fr-FR"/>
        </w:rPr>
        <w:footnoteRef/>
      </w:r>
      <w:r w:rsidRPr="00EB1C77">
        <w:rPr>
          <w:rFonts w:ascii="Arial" w:hAnsi="Arial" w:cs="Arial"/>
          <w:sz w:val="18"/>
          <w:szCs w:val="18"/>
          <w:lang w:val="fr-FR"/>
        </w:rPr>
        <w:t xml:space="preserve"> </w:t>
      </w:r>
      <w:r w:rsidR="000C30DD">
        <w:rPr>
          <w:rFonts w:ascii="Arial" w:hAnsi="Arial" w:cs="Arial"/>
          <w:sz w:val="18"/>
          <w:szCs w:val="18"/>
          <w:lang w:val="fr-FR"/>
        </w:rPr>
        <w:tab/>
      </w:r>
      <w:r w:rsidRPr="00EB1C77">
        <w:rPr>
          <w:rFonts w:ascii="Arial" w:hAnsi="Arial" w:cs="Arial"/>
          <w:sz w:val="18"/>
          <w:szCs w:val="18"/>
          <w:lang w:val="fr-FR"/>
        </w:rPr>
        <w:t>Pour en savoir plus sur le projet LIVIND</w:t>
      </w:r>
      <w:r>
        <w:rPr>
          <w:rFonts w:ascii="Arial" w:hAnsi="Arial" w:cs="Arial"/>
          <w:sz w:val="18"/>
          <w:szCs w:val="18"/>
          <w:lang w:val="fr-FR"/>
        </w:rPr>
        <w:t xml:space="preserve">, cliquez </w:t>
      </w:r>
      <w:hyperlink r:id="rId16" w:history="1">
        <w:r w:rsidRPr="00EB1C77">
          <w:rPr>
            <w:rStyle w:val="Hyperlink"/>
            <w:rFonts w:ascii="Arial" w:hAnsi="Arial" w:cs="Arial"/>
            <w:sz w:val="18"/>
            <w:szCs w:val="18"/>
            <w:lang w:val="fr-FR"/>
          </w:rPr>
          <w:t>ici</w:t>
        </w:r>
      </w:hyperlink>
      <w:r>
        <w:rPr>
          <w:rFonts w:ascii="Arial" w:hAnsi="Arial" w:cs="Arial"/>
          <w:sz w:val="18"/>
          <w:szCs w:val="18"/>
          <w:lang w:val="fr-FR"/>
        </w:rPr>
        <w:t xml:space="preserve"> (uniquement en anglais).</w:t>
      </w:r>
    </w:p>
  </w:footnote>
  <w:footnote w:id="19">
    <w:p w14:paraId="61FABDEC" w14:textId="73FBC27A" w:rsidR="00D9653F" w:rsidRPr="00EB1C77" w:rsidRDefault="00D9653F">
      <w:pPr>
        <w:pStyle w:val="FootnoteText"/>
        <w:rPr>
          <w:rFonts w:ascii="Arial" w:hAnsi="Arial" w:cs="Arial"/>
          <w:sz w:val="18"/>
          <w:szCs w:val="18"/>
          <w:lang w:val="fr-FR"/>
        </w:rPr>
      </w:pPr>
      <w:r w:rsidRPr="00EB1C77">
        <w:rPr>
          <w:rStyle w:val="FootnoteReference"/>
          <w:rFonts w:ascii="Arial" w:hAnsi="Arial" w:cs="Arial"/>
          <w:sz w:val="18"/>
          <w:szCs w:val="18"/>
        </w:rPr>
        <w:footnoteRef/>
      </w:r>
      <w:r>
        <w:rPr>
          <w:rFonts w:ascii="Arial" w:hAnsi="Arial" w:cs="Arial"/>
          <w:sz w:val="18"/>
          <w:szCs w:val="18"/>
          <w:lang w:val="fr-FR"/>
        </w:rPr>
        <w:t xml:space="preserve"> </w:t>
      </w:r>
      <w:r w:rsidR="000C30DD">
        <w:rPr>
          <w:rFonts w:ascii="Arial" w:hAnsi="Arial" w:cs="Arial"/>
          <w:sz w:val="18"/>
          <w:szCs w:val="18"/>
          <w:lang w:val="fr-FR"/>
        </w:rPr>
        <w:tab/>
      </w:r>
      <w:r>
        <w:rPr>
          <w:rFonts w:ascii="Arial" w:hAnsi="Arial" w:cs="Arial"/>
          <w:sz w:val="18"/>
          <w:szCs w:val="18"/>
          <w:lang w:val="fr-FR"/>
        </w:rPr>
        <w:t xml:space="preserve">Pour en savoir plus sur les Journées européennes du </w:t>
      </w:r>
      <w:r w:rsidRPr="00EB1C77">
        <w:rPr>
          <w:rFonts w:ascii="Arial" w:hAnsi="Arial" w:cs="Arial"/>
          <w:sz w:val="18"/>
          <w:szCs w:val="18"/>
          <w:lang w:val="fr-FR"/>
        </w:rPr>
        <w:t>patrimoine</w:t>
      </w:r>
      <w:r>
        <w:rPr>
          <w:rFonts w:ascii="Arial" w:hAnsi="Arial" w:cs="Arial"/>
          <w:sz w:val="18"/>
          <w:szCs w:val="18"/>
          <w:lang w:val="fr-FR"/>
        </w:rPr>
        <w:t xml:space="preserve">, cliquez </w:t>
      </w:r>
      <w:hyperlink r:id="rId17" w:history="1">
        <w:r w:rsidRPr="00EB1C77">
          <w:rPr>
            <w:rStyle w:val="Hyperlink"/>
            <w:rFonts w:ascii="Arial" w:hAnsi="Arial" w:cs="Arial"/>
            <w:sz w:val="18"/>
            <w:szCs w:val="18"/>
            <w:lang w:val="fr-FR"/>
          </w:rPr>
          <w:t>ici</w:t>
        </w:r>
      </w:hyperlink>
      <w:r>
        <w:rPr>
          <w:rFonts w:ascii="Arial" w:hAnsi="Arial" w:cs="Arial"/>
          <w:sz w:val="18"/>
          <w:szCs w:val="18"/>
          <w:lang w:val="fr-FR"/>
        </w:rPr>
        <w:t>.</w:t>
      </w:r>
    </w:p>
  </w:footnote>
  <w:footnote w:id="20">
    <w:p w14:paraId="6B54E1B2" w14:textId="0ECF748D" w:rsidR="00D9653F" w:rsidRPr="0073694E" w:rsidRDefault="00D9653F">
      <w:pPr>
        <w:pStyle w:val="FootnoteText"/>
        <w:rPr>
          <w:rFonts w:ascii="Arial" w:hAnsi="Arial" w:cs="Arial"/>
          <w:sz w:val="18"/>
          <w:szCs w:val="18"/>
          <w:lang w:val="fr-FR"/>
        </w:rPr>
      </w:pPr>
      <w:r w:rsidRPr="0073694E">
        <w:rPr>
          <w:rStyle w:val="FootnoteReference"/>
          <w:rFonts w:ascii="Arial" w:hAnsi="Arial" w:cs="Arial"/>
          <w:sz w:val="18"/>
          <w:szCs w:val="18"/>
          <w:lang w:val="fr-FR"/>
        </w:rPr>
        <w:footnoteRef/>
      </w:r>
      <w:r w:rsidRPr="0073694E">
        <w:rPr>
          <w:rFonts w:ascii="Arial" w:hAnsi="Arial" w:cs="Arial"/>
          <w:sz w:val="18"/>
          <w:szCs w:val="18"/>
          <w:lang w:val="fr-FR"/>
        </w:rPr>
        <w:t xml:space="preserve"> </w:t>
      </w:r>
      <w:r w:rsidR="000C30DD">
        <w:rPr>
          <w:rFonts w:ascii="Arial" w:hAnsi="Arial" w:cs="Arial"/>
          <w:sz w:val="18"/>
          <w:szCs w:val="18"/>
          <w:lang w:val="fr-FR"/>
        </w:rPr>
        <w:tab/>
      </w:r>
      <w:r>
        <w:rPr>
          <w:rFonts w:ascii="Arial" w:hAnsi="Arial" w:cs="Arial"/>
          <w:sz w:val="18"/>
          <w:szCs w:val="18"/>
          <w:lang w:val="fr-FR"/>
        </w:rPr>
        <w:t xml:space="preserve">Pour en savoir plus sur le Comité du </w:t>
      </w:r>
      <w:r w:rsidRPr="0073694E">
        <w:rPr>
          <w:rFonts w:ascii="Arial" w:hAnsi="Arial" w:cs="Arial"/>
          <w:sz w:val="18"/>
          <w:szCs w:val="18"/>
          <w:lang w:val="fr-FR"/>
        </w:rPr>
        <w:t>patrimoine</w:t>
      </w:r>
      <w:r>
        <w:rPr>
          <w:rFonts w:ascii="Arial" w:hAnsi="Arial" w:cs="Arial"/>
          <w:sz w:val="18"/>
          <w:szCs w:val="18"/>
          <w:lang w:val="fr-FR"/>
        </w:rPr>
        <w:t xml:space="preserve"> ethnologique et immatériel, cliquez </w:t>
      </w:r>
      <w:hyperlink r:id="rId18" w:history="1">
        <w:r w:rsidRPr="0073694E">
          <w:rPr>
            <w:rStyle w:val="Hyperlink"/>
            <w:rFonts w:ascii="Arial" w:hAnsi="Arial" w:cs="Arial"/>
            <w:sz w:val="18"/>
            <w:szCs w:val="18"/>
            <w:lang w:val="fr-FR"/>
          </w:rPr>
          <w:t>ici</w:t>
        </w:r>
      </w:hyperlink>
      <w:r>
        <w:rPr>
          <w:rFonts w:ascii="Arial" w:hAnsi="Arial" w:cs="Arial"/>
          <w:sz w:val="18"/>
          <w:szCs w:val="18"/>
          <w:lang w:val="fr-FR"/>
        </w:rPr>
        <w:t>.</w:t>
      </w:r>
    </w:p>
  </w:footnote>
  <w:footnote w:id="21">
    <w:p w14:paraId="32635723" w14:textId="3D63FEF3" w:rsidR="00D9653F" w:rsidRPr="00C87768" w:rsidRDefault="00D9653F" w:rsidP="00A96116">
      <w:pPr>
        <w:pStyle w:val="FootnoteText"/>
        <w:rPr>
          <w:rFonts w:ascii="Arial" w:hAnsi="Arial" w:cs="Arial"/>
          <w:sz w:val="18"/>
          <w:szCs w:val="18"/>
          <w:lang w:val="fr-FR"/>
        </w:rPr>
      </w:pPr>
      <w:r w:rsidRPr="00C87768">
        <w:rPr>
          <w:rStyle w:val="FootnoteReference"/>
          <w:rFonts w:ascii="Arial" w:hAnsi="Arial" w:cs="Arial"/>
          <w:sz w:val="18"/>
          <w:szCs w:val="18"/>
          <w:lang w:val="fr-FR"/>
        </w:rPr>
        <w:footnoteRef/>
      </w:r>
      <w:r w:rsidRPr="00C87768">
        <w:rPr>
          <w:rFonts w:ascii="Arial" w:hAnsi="Arial" w:cs="Arial"/>
          <w:sz w:val="18"/>
          <w:szCs w:val="18"/>
          <w:lang w:val="fr-FR"/>
        </w:rPr>
        <w:t xml:space="preserve"> </w:t>
      </w:r>
      <w:r w:rsidR="00A96116">
        <w:rPr>
          <w:rFonts w:ascii="Arial" w:hAnsi="Arial" w:cs="Arial"/>
          <w:sz w:val="18"/>
          <w:szCs w:val="18"/>
          <w:lang w:val="fr-FR"/>
        </w:rPr>
        <w:tab/>
      </w:r>
      <w:r w:rsidRPr="00C87768">
        <w:rPr>
          <w:rFonts w:ascii="Arial" w:hAnsi="Arial" w:cs="Arial"/>
          <w:sz w:val="18"/>
          <w:szCs w:val="18"/>
          <w:lang w:val="fr-FR"/>
        </w:rPr>
        <w:t xml:space="preserve">Centre </w:t>
      </w:r>
      <w:r>
        <w:rPr>
          <w:rFonts w:ascii="Arial" w:hAnsi="Arial" w:cs="Arial"/>
          <w:sz w:val="18"/>
          <w:szCs w:val="18"/>
          <w:lang w:val="fr-FR"/>
        </w:rPr>
        <w:t xml:space="preserve">régional pour la </w:t>
      </w:r>
      <w:r w:rsidRPr="00C87768">
        <w:rPr>
          <w:rFonts w:ascii="Arial" w:hAnsi="Arial" w:cs="Arial"/>
          <w:bCs/>
          <w:color w:val="000000" w:themeColor="text1"/>
          <w:sz w:val="18"/>
          <w:szCs w:val="18"/>
          <w:lang w:val="fr-FR"/>
        </w:rPr>
        <w:t>sauvegarde</w:t>
      </w:r>
      <w:r>
        <w:rPr>
          <w:rFonts w:ascii="Arial" w:hAnsi="Arial" w:cs="Arial"/>
          <w:bCs/>
          <w:color w:val="000000" w:themeColor="text1"/>
          <w:sz w:val="18"/>
          <w:szCs w:val="18"/>
          <w:lang w:val="fr-FR"/>
        </w:rPr>
        <w:t xml:space="preserve"> du patrimoine culturel immatériel en Europe du Sud-Est : </w:t>
      </w:r>
      <w:hyperlink r:id="rId19" w:history="1">
        <w:r w:rsidRPr="0020302C">
          <w:rPr>
            <w:rStyle w:val="Hyperlink"/>
            <w:rFonts w:ascii="Arial" w:hAnsi="Arial" w:cs="Arial"/>
            <w:bCs/>
            <w:sz w:val="18"/>
            <w:szCs w:val="18"/>
            <w:lang w:val="fr-FR"/>
          </w:rPr>
          <w:t>https://www.unesco-centerbg.org/en/</w:t>
        </w:r>
      </w:hyperlink>
      <w:r>
        <w:rPr>
          <w:rFonts w:ascii="Arial" w:hAnsi="Arial" w:cs="Arial"/>
          <w:bCs/>
          <w:color w:val="000000" w:themeColor="text1"/>
          <w:sz w:val="18"/>
          <w:szCs w:val="18"/>
          <w:lang w:val="fr-FR"/>
        </w:rPr>
        <w:t xml:space="preserve"> (uniquement en anglais et en bulgare).</w:t>
      </w:r>
    </w:p>
  </w:footnote>
  <w:footnote w:id="22">
    <w:p w14:paraId="28129BBA" w14:textId="4AFC7D94" w:rsidR="00D9653F" w:rsidRPr="00DF004B" w:rsidRDefault="00D9653F" w:rsidP="00A96116">
      <w:pPr>
        <w:pStyle w:val="FootnoteText"/>
        <w:rPr>
          <w:rFonts w:ascii="Arial" w:hAnsi="Arial" w:cs="Arial"/>
          <w:sz w:val="18"/>
          <w:szCs w:val="18"/>
          <w:lang w:val="fr-FR"/>
        </w:rPr>
      </w:pPr>
      <w:r w:rsidRPr="00DF004B">
        <w:rPr>
          <w:rStyle w:val="FootnoteReference"/>
          <w:rFonts w:ascii="Arial" w:hAnsi="Arial" w:cs="Arial"/>
          <w:sz w:val="18"/>
          <w:szCs w:val="18"/>
          <w:lang w:val="fr-FR"/>
        </w:rPr>
        <w:footnoteRef/>
      </w:r>
      <w:r w:rsidRPr="00DF004B">
        <w:rPr>
          <w:rFonts w:ascii="Arial" w:hAnsi="Arial" w:cs="Arial"/>
          <w:sz w:val="18"/>
          <w:szCs w:val="18"/>
          <w:lang w:val="fr-FR"/>
        </w:rPr>
        <w:t xml:space="preserve"> </w:t>
      </w:r>
      <w:r w:rsidR="00A96116">
        <w:rPr>
          <w:rFonts w:ascii="Arial" w:hAnsi="Arial" w:cs="Arial"/>
          <w:sz w:val="18"/>
          <w:szCs w:val="18"/>
          <w:lang w:val="fr-FR"/>
        </w:rPr>
        <w:tab/>
      </w:r>
      <w:r w:rsidRPr="00DF004B">
        <w:rPr>
          <w:rFonts w:ascii="Arial" w:hAnsi="Arial" w:cs="Arial"/>
          <w:sz w:val="18"/>
          <w:szCs w:val="18"/>
          <w:lang w:val="fr-FR"/>
        </w:rPr>
        <w:t>Pour en savoir plus sur le programme « </w:t>
      </w:r>
      <w:r w:rsidRPr="00DF004B">
        <w:rPr>
          <w:rFonts w:ascii="Arial" w:eastAsia="SimSun" w:hAnsi="Arial" w:cs="Arial"/>
          <w:bCs/>
          <w:sz w:val="18"/>
          <w:szCs w:val="18"/>
          <w:lang w:val="fr-FR"/>
        </w:rPr>
        <w:t xml:space="preserve">Enseigner et apprendre avec le patrimoine vivant : ressources </w:t>
      </w:r>
      <w:r>
        <w:rPr>
          <w:rFonts w:ascii="Arial" w:eastAsia="SimSun" w:hAnsi="Arial" w:cs="Arial"/>
          <w:bCs/>
          <w:sz w:val="18"/>
          <w:szCs w:val="18"/>
          <w:lang w:val="fr-FR"/>
        </w:rPr>
        <w:t xml:space="preserve">pour </w:t>
      </w:r>
      <w:r w:rsidRPr="00DF004B">
        <w:rPr>
          <w:rFonts w:ascii="Arial" w:eastAsia="SimSun" w:hAnsi="Arial" w:cs="Arial"/>
          <w:bCs/>
          <w:sz w:val="18"/>
          <w:szCs w:val="18"/>
          <w:lang w:val="fr-FR"/>
        </w:rPr>
        <w:t>les enseignants</w:t>
      </w:r>
      <w:r>
        <w:rPr>
          <w:rFonts w:ascii="Arial" w:eastAsia="SimSun" w:hAnsi="Arial" w:cs="Arial"/>
          <w:bCs/>
          <w:sz w:val="18"/>
          <w:szCs w:val="18"/>
          <w:lang w:val="fr-FR"/>
        </w:rPr>
        <w:t xml:space="preserve"> », cliquez </w:t>
      </w:r>
      <w:hyperlink r:id="rId20" w:history="1">
        <w:r w:rsidRPr="00DF004B">
          <w:rPr>
            <w:rStyle w:val="Hyperlink"/>
            <w:rFonts w:ascii="Arial" w:eastAsia="SimSun" w:hAnsi="Arial" w:cs="Arial"/>
            <w:bCs/>
            <w:sz w:val="18"/>
            <w:szCs w:val="18"/>
            <w:lang w:val="fr-FR"/>
          </w:rPr>
          <w:t>ici</w:t>
        </w:r>
      </w:hyperlink>
      <w:r>
        <w:rPr>
          <w:rFonts w:ascii="Arial" w:eastAsia="SimSun" w:hAnsi="Arial" w:cs="Arial"/>
          <w:bCs/>
          <w:sz w:val="18"/>
          <w:szCs w:val="18"/>
          <w:lang w:val="fr-FR"/>
        </w:rPr>
        <w:t xml:space="preserve"> (page uniquement en anglais, donnant accès à des documents en français).</w:t>
      </w:r>
    </w:p>
  </w:footnote>
  <w:footnote w:id="23">
    <w:p w14:paraId="6CED0962" w14:textId="62F6A52B" w:rsidR="00D9653F" w:rsidRPr="00DF1B7A" w:rsidRDefault="00D9653F">
      <w:pPr>
        <w:pStyle w:val="FootnoteText"/>
        <w:rPr>
          <w:rFonts w:ascii="Arial" w:hAnsi="Arial" w:cs="Arial"/>
          <w:sz w:val="18"/>
          <w:szCs w:val="18"/>
          <w:lang w:val="fr-FR"/>
        </w:rPr>
      </w:pPr>
      <w:r w:rsidRPr="00DF1B7A">
        <w:rPr>
          <w:rStyle w:val="FootnoteReference"/>
          <w:rFonts w:ascii="Arial" w:hAnsi="Arial" w:cs="Arial"/>
          <w:sz w:val="18"/>
          <w:szCs w:val="18"/>
          <w:lang w:val="fr-FR"/>
        </w:rPr>
        <w:footnoteRef/>
      </w:r>
      <w:r w:rsidRPr="00DF1B7A">
        <w:rPr>
          <w:rFonts w:ascii="Arial" w:hAnsi="Arial" w:cs="Arial"/>
          <w:sz w:val="18"/>
          <w:szCs w:val="18"/>
          <w:lang w:val="fr-FR"/>
        </w:rPr>
        <w:t xml:space="preserve"> </w:t>
      </w:r>
      <w:r w:rsidR="00A96116">
        <w:rPr>
          <w:rFonts w:ascii="Arial" w:hAnsi="Arial" w:cs="Arial"/>
          <w:sz w:val="18"/>
          <w:szCs w:val="18"/>
          <w:lang w:val="fr-FR"/>
        </w:rPr>
        <w:tab/>
      </w:r>
      <w:r w:rsidRPr="00DF1B7A">
        <w:rPr>
          <w:rFonts w:ascii="Arial" w:hAnsi="Arial" w:cs="Arial"/>
          <w:sz w:val="18"/>
          <w:szCs w:val="18"/>
          <w:lang w:val="fr-FR"/>
        </w:rPr>
        <w:t xml:space="preserve">Pour en savoir plus sur les chaires UNESCO et les réseaux UNITWIN, cliquez </w:t>
      </w:r>
      <w:hyperlink r:id="rId21" w:history="1">
        <w:r w:rsidRPr="00DF1B7A">
          <w:rPr>
            <w:rStyle w:val="Hyperlink"/>
            <w:rFonts w:ascii="Arial" w:hAnsi="Arial" w:cs="Arial"/>
            <w:sz w:val="18"/>
            <w:szCs w:val="18"/>
            <w:lang w:val="fr-FR"/>
          </w:rPr>
          <w:t>ici</w:t>
        </w:r>
      </w:hyperlink>
      <w:r w:rsidRPr="00DF1B7A">
        <w:rPr>
          <w:rFonts w:ascii="Arial" w:hAnsi="Arial" w:cs="Arial"/>
          <w:sz w:val="18"/>
          <w:szCs w:val="18"/>
          <w:lang w:val="fr-FR"/>
        </w:rPr>
        <w:t>.</w:t>
      </w:r>
    </w:p>
  </w:footnote>
  <w:footnote w:id="24">
    <w:p w14:paraId="5C8DD422" w14:textId="4A162804" w:rsidR="00D9653F" w:rsidRPr="001C722F" w:rsidRDefault="00D9653F">
      <w:pPr>
        <w:pStyle w:val="FootnoteText"/>
        <w:rPr>
          <w:rFonts w:ascii="Arial" w:hAnsi="Arial" w:cs="Arial"/>
          <w:sz w:val="18"/>
          <w:szCs w:val="18"/>
          <w:lang w:val="fr-FR"/>
        </w:rPr>
      </w:pPr>
      <w:r w:rsidRPr="001C722F">
        <w:rPr>
          <w:rStyle w:val="FootnoteReference"/>
          <w:rFonts w:ascii="Arial" w:hAnsi="Arial" w:cs="Arial"/>
          <w:sz w:val="18"/>
          <w:szCs w:val="18"/>
          <w:lang w:val="fr-FR"/>
        </w:rPr>
        <w:footnoteRef/>
      </w:r>
      <w:r w:rsidRPr="001C722F">
        <w:rPr>
          <w:rFonts w:ascii="Arial" w:hAnsi="Arial" w:cs="Arial"/>
          <w:sz w:val="18"/>
          <w:szCs w:val="18"/>
          <w:lang w:val="fr-FR"/>
        </w:rPr>
        <w:t xml:space="preserve"> </w:t>
      </w:r>
      <w:r w:rsidR="00A96116">
        <w:rPr>
          <w:rFonts w:ascii="Arial" w:hAnsi="Arial" w:cs="Arial"/>
          <w:sz w:val="18"/>
          <w:szCs w:val="18"/>
          <w:lang w:val="fr-FR"/>
        </w:rPr>
        <w:tab/>
      </w:r>
      <w:r>
        <w:rPr>
          <w:rFonts w:ascii="Arial" w:hAnsi="Arial" w:cs="Arial"/>
          <w:sz w:val="18"/>
          <w:szCs w:val="18"/>
          <w:lang w:val="fr-FR"/>
        </w:rPr>
        <w:t xml:space="preserve">Pour en savoir plus sur le projet, cliquez </w:t>
      </w:r>
      <w:hyperlink r:id="rId22" w:history="1">
        <w:r w:rsidRPr="00361ACE">
          <w:rPr>
            <w:rStyle w:val="Hyperlink"/>
            <w:rFonts w:ascii="Arial" w:hAnsi="Arial" w:cs="Arial"/>
            <w:sz w:val="18"/>
            <w:szCs w:val="18"/>
            <w:lang w:val="fr-FR"/>
          </w:rPr>
          <w:t>ici</w:t>
        </w:r>
      </w:hyperlink>
      <w:r>
        <w:rPr>
          <w:rFonts w:ascii="Arial" w:hAnsi="Arial" w:cs="Arial"/>
          <w:sz w:val="18"/>
          <w:szCs w:val="18"/>
          <w:lang w:val="fr-FR"/>
        </w:rPr>
        <w:t>.</w:t>
      </w:r>
    </w:p>
  </w:footnote>
  <w:footnote w:id="25">
    <w:p w14:paraId="48100CF8" w14:textId="4F09F718" w:rsidR="00D9653F" w:rsidRPr="00A90B1C" w:rsidRDefault="00D9653F" w:rsidP="00A96116">
      <w:pPr>
        <w:pStyle w:val="FootnoteText"/>
        <w:rPr>
          <w:rFonts w:ascii="Arial" w:hAnsi="Arial" w:cs="Arial"/>
          <w:sz w:val="18"/>
          <w:szCs w:val="18"/>
          <w:lang w:val="fr-FR"/>
        </w:rPr>
      </w:pPr>
      <w:r w:rsidRPr="00A90B1C">
        <w:rPr>
          <w:rStyle w:val="FootnoteReference"/>
          <w:rFonts w:ascii="Arial" w:hAnsi="Arial" w:cs="Arial"/>
          <w:sz w:val="18"/>
          <w:szCs w:val="18"/>
          <w:lang w:val="fr-FR"/>
        </w:rPr>
        <w:footnoteRef/>
      </w:r>
      <w:r w:rsidRPr="00A90B1C">
        <w:rPr>
          <w:rFonts w:ascii="Arial" w:hAnsi="Arial" w:cs="Arial"/>
          <w:sz w:val="18"/>
          <w:szCs w:val="18"/>
          <w:lang w:val="fr-FR"/>
        </w:rPr>
        <w:t xml:space="preserve"> </w:t>
      </w:r>
      <w:r w:rsidR="00A96116">
        <w:rPr>
          <w:rFonts w:ascii="Arial" w:hAnsi="Arial" w:cs="Arial"/>
          <w:sz w:val="18"/>
          <w:szCs w:val="18"/>
          <w:lang w:val="fr-FR"/>
        </w:rPr>
        <w:tab/>
      </w:r>
      <w:r>
        <w:rPr>
          <w:rFonts w:ascii="Arial" w:hAnsi="Arial" w:cs="Arial"/>
          <w:sz w:val="18"/>
          <w:szCs w:val="18"/>
          <w:lang w:val="fr-FR"/>
        </w:rPr>
        <w:t xml:space="preserve">Pour en savoir plus sur le Centre international pour le renforcement des capacités en matière de patrimoine culturel immatériel dans les États arabes, cliquez </w:t>
      </w:r>
      <w:hyperlink r:id="rId23" w:history="1">
        <w:r w:rsidRPr="00CC200E">
          <w:rPr>
            <w:rStyle w:val="Hyperlink"/>
            <w:rFonts w:ascii="Arial" w:hAnsi="Arial" w:cs="Arial"/>
            <w:sz w:val="18"/>
            <w:szCs w:val="18"/>
            <w:lang w:val="fr-FR"/>
          </w:rPr>
          <w:t>ici</w:t>
        </w:r>
      </w:hyperlink>
      <w:r>
        <w:rPr>
          <w:rFonts w:ascii="Arial" w:hAnsi="Arial" w:cs="Arial"/>
          <w:sz w:val="18"/>
          <w:szCs w:val="18"/>
          <w:lang w:val="fr-FR"/>
        </w:rPr>
        <w:t>.</w:t>
      </w:r>
    </w:p>
  </w:footnote>
  <w:footnote w:id="26">
    <w:p w14:paraId="2ACE6029" w14:textId="4C594529" w:rsidR="00D9653F" w:rsidRPr="00CC200E" w:rsidRDefault="00D9653F">
      <w:pPr>
        <w:pStyle w:val="FootnoteText"/>
        <w:rPr>
          <w:rFonts w:ascii="Arial" w:hAnsi="Arial" w:cs="Arial"/>
          <w:sz w:val="18"/>
          <w:szCs w:val="18"/>
          <w:lang w:val="fr-FR"/>
        </w:rPr>
      </w:pPr>
      <w:r w:rsidRPr="00CC200E">
        <w:rPr>
          <w:rStyle w:val="FootnoteReference"/>
          <w:rFonts w:ascii="Arial" w:hAnsi="Arial" w:cs="Arial"/>
          <w:sz w:val="18"/>
          <w:szCs w:val="18"/>
          <w:lang w:val="fr-FR"/>
        </w:rPr>
        <w:footnoteRef/>
      </w:r>
      <w:r w:rsidRPr="00CC200E">
        <w:rPr>
          <w:rFonts w:ascii="Arial" w:hAnsi="Arial" w:cs="Arial"/>
          <w:sz w:val="18"/>
          <w:szCs w:val="18"/>
          <w:lang w:val="fr-FR"/>
        </w:rPr>
        <w:t xml:space="preserve"> </w:t>
      </w:r>
      <w:r w:rsidR="00A96116">
        <w:rPr>
          <w:rFonts w:ascii="Arial" w:hAnsi="Arial" w:cs="Arial"/>
          <w:sz w:val="18"/>
          <w:szCs w:val="18"/>
          <w:lang w:val="fr-FR"/>
        </w:rPr>
        <w:tab/>
      </w:r>
      <w:r>
        <w:rPr>
          <w:rFonts w:ascii="Arial" w:hAnsi="Arial" w:cs="Arial"/>
          <w:sz w:val="18"/>
          <w:szCs w:val="18"/>
          <w:lang w:val="fr-FR"/>
        </w:rPr>
        <w:t>Pour en savoir plus sur l’</w:t>
      </w:r>
      <w:r w:rsidRPr="00CC200E">
        <w:rPr>
          <w:rFonts w:ascii="Arial" w:hAnsi="Arial" w:cs="Arial"/>
          <w:sz w:val="18"/>
          <w:szCs w:val="18"/>
          <w:lang w:val="fr-FR"/>
        </w:rPr>
        <w:t>initiative</w:t>
      </w:r>
      <w:r>
        <w:rPr>
          <w:rFonts w:ascii="Arial" w:hAnsi="Arial" w:cs="Arial"/>
          <w:sz w:val="18"/>
          <w:szCs w:val="18"/>
          <w:lang w:val="fr-FR"/>
        </w:rPr>
        <w:t xml:space="preserve"> « Faire revivre l’esprit de Mossoul », cliquez </w:t>
      </w:r>
      <w:hyperlink r:id="rId24" w:history="1">
        <w:r w:rsidRPr="00CC200E">
          <w:rPr>
            <w:rStyle w:val="Hyperlink"/>
            <w:rFonts w:ascii="Arial" w:hAnsi="Arial" w:cs="Arial"/>
            <w:sz w:val="18"/>
            <w:szCs w:val="18"/>
            <w:lang w:val="fr-FR"/>
          </w:rPr>
          <w:t>ici</w:t>
        </w:r>
      </w:hyperlink>
      <w:r>
        <w:rPr>
          <w:rFonts w:ascii="Arial" w:hAnsi="Arial" w:cs="Arial"/>
          <w:sz w:val="18"/>
          <w:szCs w:val="18"/>
          <w:lang w:val="fr-FR"/>
        </w:rPr>
        <w:t>.</w:t>
      </w:r>
    </w:p>
  </w:footnote>
  <w:footnote w:id="27">
    <w:p w14:paraId="4A4BC51C" w14:textId="346D90C3" w:rsidR="00D9653F" w:rsidRPr="009052BB" w:rsidRDefault="00D9653F" w:rsidP="00A96116">
      <w:pPr>
        <w:pStyle w:val="FootnoteText"/>
        <w:tabs>
          <w:tab w:val="clear" w:pos="567"/>
        </w:tabs>
        <w:rPr>
          <w:rFonts w:ascii="Arial" w:hAnsi="Arial" w:cs="Arial"/>
          <w:sz w:val="18"/>
          <w:szCs w:val="18"/>
          <w:lang w:val="fr-FR"/>
        </w:rPr>
      </w:pPr>
      <w:r w:rsidRPr="009052BB">
        <w:rPr>
          <w:rStyle w:val="FootnoteReference"/>
          <w:rFonts w:ascii="Arial" w:hAnsi="Arial" w:cs="Arial"/>
          <w:sz w:val="18"/>
          <w:szCs w:val="18"/>
          <w:lang w:val="fr-FR"/>
        </w:rPr>
        <w:footnoteRef/>
      </w:r>
      <w:r w:rsidRPr="009052BB">
        <w:rPr>
          <w:rFonts w:ascii="Arial" w:hAnsi="Arial" w:cs="Arial"/>
          <w:sz w:val="18"/>
          <w:szCs w:val="18"/>
          <w:lang w:val="fr-FR"/>
        </w:rPr>
        <w:t xml:space="preserve"> </w:t>
      </w:r>
      <w:r w:rsidR="00A96116">
        <w:rPr>
          <w:rFonts w:ascii="Arial" w:hAnsi="Arial" w:cs="Arial"/>
          <w:sz w:val="18"/>
          <w:szCs w:val="18"/>
          <w:lang w:val="fr-FR"/>
        </w:rPr>
        <w:tab/>
      </w:r>
      <w:r>
        <w:rPr>
          <w:rFonts w:ascii="Arial" w:hAnsi="Arial" w:cs="Arial"/>
          <w:sz w:val="18"/>
          <w:szCs w:val="18"/>
          <w:lang w:val="fr-FR"/>
        </w:rPr>
        <w:t>Centre régional pour la sauvegarde du patrimoine culturel immatériel de l’Amérique latine (CRESPIAL) :</w:t>
      </w:r>
      <w:hyperlink r:id="rId25" w:history="1">
        <w:r w:rsidRPr="009052BB">
          <w:rPr>
            <w:rStyle w:val="Hyperlink"/>
            <w:rFonts w:ascii="Arial" w:hAnsi="Arial" w:cs="Arial"/>
            <w:sz w:val="18"/>
            <w:szCs w:val="18"/>
            <w:lang w:val="fr-FR"/>
          </w:rPr>
          <w:t>https://crespial.org/</w:t>
        </w:r>
      </w:hyperlink>
      <w:r>
        <w:rPr>
          <w:rFonts w:ascii="Arial" w:hAnsi="Arial" w:cs="Arial"/>
          <w:sz w:val="18"/>
          <w:szCs w:val="18"/>
          <w:lang w:val="fr-FR"/>
        </w:rPr>
        <w:t xml:space="preserve"> (uniquement en anglais, espagnol et portugais)</w:t>
      </w:r>
    </w:p>
  </w:footnote>
  <w:footnote w:id="28">
    <w:p w14:paraId="57D59032" w14:textId="28A246C1" w:rsidR="00D9653F" w:rsidRPr="001722A2" w:rsidRDefault="00D9653F">
      <w:pPr>
        <w:pStyle w:val="FootnoteText"/>
        <w:rPr>
          <w:rFonts w:ascii="Arial" w:hAnsi="Arial" w:cs="Arial"/>
          <w:sz w:val="18"/>
          <w:szCs w:val="18"/>
          <w:lang w:val="fr-FR"/>
        </w:rPr>
      </w:pPr>
      <w:r w:rsidRPr="001722A2">
        <w:rPr>
          <w:rStyle w:val="FootnoteReference"/>
          <w:rFonts w:ascii="Arial" w:hAnsi="Arial" w:cs="Arial"/>
          <w:sz w:val="18"/>
          <w:szCs w:val="18"/>
          <w:lang w:val="fr-FR"/>
        </w:rPr>
        <w:footnoteRef/>
      </w:r>
      <w:r w:rsidRPr="001722A2">
        <w:rPr>
          <w:rFonts w:ascii="Arial" w:hAnsi="Arial" w:cs="Arial"/>
          <w:sz w:val="18"/>
          <w:szCs w:val="18"/>
          <w:lang w:val="fr-FR"/>
        </w:rPr>
        <w:t xml:space="preserve"> </w:t>
      </w:r>
      <w:r w:rsidR="00A96116">
        <w:rPr>
          <w:rFonts w:ascii="Arial" w:hAnsi="Arial" w:cs="Arial"/>
          <w:sz w:val="18"/>
          <w:szCs w:val="18"/>
          <w:lang w:val="fr-FR"/>
        </w:rPr>
        <w:tab/>
      </w:r>
      <w:r w:rsidRPr="001722A2">
        <w:rPr>
          <w:rFonts w:ascii="Arial" w:hAnsi="Arial" w:cs="Arial"/>
          <w:sz w:val="18"/>
          <w:szCs w:val="18"/>
          <w:lang w:val="fr-FR"/>
        </w:rPr>
        <w:t>Il y a actuellement plu</w:t>
      </w:r>
      <w:r>
        <w:rPr>
          <w:rFonts w:ascii="Arial" w:hAnsi="Arial" w:cs="Arial"/>
          <w:sz w:val="18"/>
          <w:szCs w:val="18"/>
          <w:lang w:val="fr-FR"/>
        </w:rPr>
        <w:t>s</w:t>
      </w:r>
      <w:r w:rsidRPr="001722A2">
        <w:rPr>
          <w:rFonts w:ascii="Arial" w:hAnsi="Arial" w:cs="Arial"/>
          <w:sz w:val="18"/>
          <w:szCs w:val="18"/>
          <w:lang w:val="fr-FR"/>
        </w:rPr>
        <w:t xml:space="preserve"> de quatre-vingts chaires UNESCO dans le </w:t>
      </w:r>
      <w:r>
        <w:rPr>
          <w:rFonts w:ascii="Arial" w:hAnsi="Arial" w:cs="Arial"/>
          <w:sz w:val="18"/>
          <w:szCs w:val="18"/>
          <w:lang w:val="fr-FR"/>
        </w:rPr>
        <w:t xml:space="preserve">domaine </w:t>
      </w:r>
      <w:r w:rsidRPr="001722A2">
        <w:rPr>
          <w:rFonts w:ascii="Arial" w:hAnsi="Arial" w:cs="Arial"/>
          <w:sz w:val="18"/>
          <w:szCs w:val="18"/>
          <w:lang w:val="fr-FR"/>
        </w:rPr>
        <w:t xml:space="preserve">de la culture. Consultez la liste </w:t>
      </w:r>
      <w:hyperlink r:id="rId26" w:history="1">
        <w:r w:rsidRPr="001722A2">
          <w:rPr>
            <w:rStyle w:val="Hyperlink"/>
            <w:rFonts w:ascii="Arial" w:hAnsi="Arial" w:cs="Arial"/>
            <w:sz w:val="18"/>
            <w:szCs w:val="18"/>
            <w:lang w:val="fr-FR"/>
          </w:rPr>
          <w:t>ici</w:t>
        </w:r>
      </w:hyperlink>
      <w:r>
        <w:rPr>
          <w:rFonts w:ascii="Arial" w:hAnsi="Arial" w:cs="Arial"/>
          <w:sz w:val="18"/>
          <w:szCs w:val="18"/>
          <w:lang w:val="fr-FR"/>
        </w:rPr>
        <w:t>.</w:t>
      </w:r>
    </w:p>
  </w:footnote>
  <w:footnote w:id="29">
    <w:p w14:paraId="3709C3E1" w14:textId="59152574" w:rsidR="00D9653F" w:rsidRPr="002D1173" w:rsidRDefault="00D9653F">
      <w:pPr>
        <w:pStyle w:val="FootnoteText"/>
        <w:rPr>
          <w:rFonts w:ascii="Arial" w:hAnsi="Arial" w:cs="Arial"/>
          <w:sz w:val="18"/>
          <w:szCs w:val="18"/>
          <w:lang w:val="fr-FR"/>
        </w:rPr>
      </w:pPr>
      <w:r w:rsidRPr="002D1173">
        <w:rPr>
          <w:rStyle w:val="FootnoteReference"/>
          <w:rFonts w:ascii="Arial" w:hAnsi="Arial" w:cs="Arial"/>
          <w:sz w:val="18"/>
          <w:szCs w:val="18"/>
          <w:lang w:val="fr-FR"/>
        </w:rPr>
        <w:footnoteRef/>
      </w:r>
      <w:r w:rsidRPr="002D1173">
        <w:rPr>
          <w:rFonts w:ascii="Arial" w:hAnsi="Arial" w:cs="Arial"/>
          <w:sz w:val="18"/>
          <w:szCs w:val="18"/>
          <w:lang w:val="fr-FR"/>
        </w:rPr>
        <w:t xml:space="preserve"> </w:t>
      </w:r>
      <w:r w:rsidR="00A96116">
        <w:rPr>
          <w:rFonts w:ascii="Arial" w:hAnsi="Arial" w:cs="Arial"/>
          <w:sz w:val="18"/>
          <w:szCs w:val="18"/>
          <w:lang w:val="fr-FR"/>
        </w:rPr>
        <w:tab/>
      </w:r>
      <w:r w:rsidRPr="002D1173">
        <w:rPr>
          <w:rFonts w:ascii="Arial" w:hAnsi="Arial" w:cs="Arial"/>
          <w:sz w:val="18"/>
          <w:szCs w:val="18"/>
          <w:lang w:val="fr-FR"/>
        </w:rPr>
        <w:t xml:space="preserve">Pour en savoir plus et télécharger la publication, cliquez </w:t>
      </w:r>
      <w:hyperlink r:id="rId27" w:history="1">
        <w:r w:rsidRPr="002D1173">
          <w:rPr>
            <w:rStyle w:val="Hyperlink"/>
            <w:rFonts w:ascii="Arial" w:hAnsi="Arial" w:cs="Arial"/>
            <w:sz w:val="18"/>
            <w:szCs w:val="18"/>
            <w:lang w:val="fr-FR"/>
          </w:rPr>
          <w:t>ici</w:t>
        </w:r>
      </w:hyperlink>
      <w:r>
        <w:rPr>
          <w:rFonts w:ascii="Arial" w:hAnsi="Arial" w:cs="Arial"/>
          <w:sz w:val="18"/>
          <w:szCs w:val="18"/>
          <w:lang w:val="fr-FR"/>
        </w:rPr>
        <w:t xml:space="preserve"> (uniquement en anglais).</w:t>
      </w:r>
    </w:p>
  </w:footnote>
  <w:footnote w:id="30">
    <w:p w14:paraId="0CAC4FEE" w14:textId="51C24995" w:rsidR="00D9653F" w:rsidRPr="005E39A5" w:rsidRDefault="00D9653F" w:rsidP="00A96116">
      <w:pPr>
        <w:pStyle w:val="FootnoteText"/>
        <w:rPr>
          <w:rFonts w:ascii="Arial" w:hAnsi="Arial" w:cs="Arial"/>
          <w:sz w:val="18"/>
          <w:szCs w:val="18"/>
          <w:lang w:val="fr-FR"/>
        </w:rPr>
      </w:pPr>
      <w:r w:rsidRPr="005E39A5">
        <w:rPr>
          <w:rStyle w:val="FootnoteReference"/>
          <w:rFonts w:ascii="Arial" w:hAnsi="Arial" w:cs="Arial"/>
          <w:sz w:val="18"/>
          <w:szCs w:val="18"/>
          <w:lang w:val="fr-FR"/>
        </w:rPr>
        <w:footnoteRef/>
      </w:r>
      <w:r w:rsidRPr="005E39A5">
        <w:rPr>
          <w:rFonts w:ascii="Arial" w:hAnsi="Arial" w:cs="Arial"/>
          <w:sz w:val="18"/>
          <w:szCs w:val="18"/>
          <w:lang w:val="fr-FR"/>
        </w:rPr>
        <w:t xml:space="preserve"> </w:t>
      </w:r>
      <w:r w:rsidR="00A96116">
        <w:rPr>
          <w:rFonts w:ascii="Arial" w:hAnsi="Arial" w:cs="Arial"/>
          <w:sz w:val="18"/>
          <w:szCs w:val="18"/>
          <w:lang w:val="fr-FR"/>
        </w:rPr>
        <w:tab/>
      </w:r>
      <w:r w:rsidRPr="005E39A5">
        <w:rPr>
          <w:rFonts w:ascii="Arial" w:hAnsi="Arial" w:cs="Arial"/>
          <w:sz w:val="18"/>
          <w:szCs w:val="18"/>
          <w:lang w:val="fr-FR"/>
        </w:rPr>
        <w:t xml:space="preserve">Pour en savoir plus sur </w:t>
      </w:r>
      <w:r>
        <w:rPr>
          <w:rFonts w:ascii="Arial" w:hAnsi="Arial" w:cs="Arial"/>
          <w:sz w:val="18"/>
          <w:szCs w:val="18"/>
          <w:lang w:val="fr-FR"/>
        </w:rPr>
        <w:t>« </w:t>
      </w:r>
      <w:r w:rsidRPr="00925F26">
        <w:rPr>
          <w:rFonts w:ascii="Arial" w:hAnsi="Arial" w:cs="Arial"/>
          <w:sz w:val="18"/>
          <w:szCs w:val="18"/>
          <w:lang w:val="fr-FR"/>
        </w:rPr>
        <w:t xml:space="preserve">Living </w:t>
      </w:r>
      <w:proofErr w:type="spellStart"/>
      <w:r w:rsidRPr="00925F26">
        <w:rPr>
          <w:rFonts w:ascii="Arial" w:hAnsi="Arial" w:cs="Arial"/>
          <w:sz w:val="18"/>
          <w:szCs w:val="18"/>
          <w:lang w:val="fr-FR"/>
        </w:rPr>
        <w:t>Heritage</w:t>
      </w:r>
      <w:proofErr w:type="spellEnd"/>
      <w:r w:rsidRPr="00925F26">
        <w:rPr>
          <w:rFonts w:ascii="Arial" w:hAnsi="Arial" w:cs="Arial"/>
          <w:sz w:val="18"/>
          <w:szCs w:val="18"/>
          <w:lang w:val="fr-FR"/>
        </w:rPr>
        <w:t xml:space="preserve"> for </w:t>
      </w:r>
      <w:proofErr w:type="spellStart"/>
      <w:r w:rsidRPr="00925F26">
        <w:rPr>
          <w:rFonts w:ascii="Arial" w:hAnsi="Arial" w:cs="Arial"/>
          <w:sz w:val="18"/>
          <w:szCs w:val="18"/>
          <w:lang w:val="fr-FR"/>
        </w:rPr>
        <w:t>Peace</w:t>
      </w:r>
      <w:proofErr w:type="spellEnd"/>
      <w:r w:rsidRPr="00925F26">
        <w:rPr>
          <w:rFonts w:ascii="Arial" w:hAnsi="Arial" w:cs="Arial"/>
          <w:sz w:val="18"/>
          <w:szCs w:val="18"/>
          <w:lang w:val="fr-FR"/>
        </w:rPr>
        <w:t xml:space="preserve"> : the Social Media initiative</w:t>
      </w:r>
      <w:r>
        <w:rPr>
          <w:rFonts w:ascii="Arial" w:hAnsi="Arial" w:cs="Arial"/>
          <w:sz w:val="18"/>
          <w:szCs w:val="18"/>
          <w:lang w:val="fr-FR"/>
        </w:rPr>
        <w:t xml:space="preserve"> » (Le </w:t>
      </w:r>
      <w:r w:rsidRPr="005E39A5">
        <w:rPr>
          <w:rFonts w:ascii="Arial" w:hAnsi="Arial" w:cs="Arial"/>
          <w:sz w:val="18"/>
          <w:szCs w:val="18"/>
          <w:lang w:val="fr-FR"/>
        </w:rPr>
        <w:t>patrimoine</w:t>
      </w:r>
      <w:r>
        <w:rPr>
          <w:rFonts w:ascii="Arial" w:hAnsi="Arial" w:cs="Arial"/>
          <w:sz w:val="18"/>
          <w:szCs w:val="18"/>
          <w:lang w:val="fr-FR"/>
        </w:rPr>
        <w:t xml:space="preserve"> vivant pour la paix : une </w:t>
      </w:r>
      <w:r w:rsidRPr="005E39A5">
        <w:rPr>
          <w:rFonts w:ascii="Arial" w:hAnsi="Arial" w:cs="Arial"/>
          <w:sz w:val="18"/>
          <w:szCs w:val="18"/>
          <w:lang w:val="fr-FR"/>
        </w:rPr>
        <w:t>initiative</w:t>
      </w:r>
      <w:r>
        <w:rPr>
          <w:rFonts w:ascii="Arial" w:hAnsi="Arial" w:cs="Arial"/>
          <w:sz w:val="18"/>
          <w:szCs w:val="18"/>
          <w:lang w:val="fr-FR"/>
        </w:rPr>
        <w:t xml:space="preserve"> axée sur les réseaux sociaux)</w:t>
      </w:r>
      <w:r w:rsidRPr="005E39A5">
        <w:rPr>
          <w:rFonts w:ascii="Arial" w:hAnsi="Arial" w:cs="Arial"/>
          <w:sz w:val="18"/>
          <w:szCs w:val="18"/>
          <w:lang w:val="fr-FR"/>
        </w:rPr>
        <w:t xml:space="preserve">, cliquez </w:t>
      </w:r>
      <w:hyperlink r:id="rId28" w:history="1">
        <w:r w:rsidRPr="009C78EC">
          <w:rPr>
            <w:rStyle w:val="Hyperlink"/>
            <w:rFonts w:ascii="Arial" w:hAnsi="Arial" w:cs="Arial"/>
            <w:sz w:val="18"/>
            <w:szCs w:val="18"/>
            <w:lang w:val="fr-FR"/>
          </w:rPr>
          <w:t>ici</w:t>
        </w:r>
      </w:hyperlink>
      <w:r>
        <w:rPr>
          <w:rFonts w:ascii="Arial" w:hAnsi="Arial" w:cs="Arial"/>
          <w:sz w:val="18"/>
          <w:szCs w:val="18"/>
          <w:lang w:val="fr-FR"/>
        </w:rPr>
        <w:t xml:space="preserve"> (uniquement en anglais).</w:t>
      </w:r>
    </w:p>
  </w:footnote>
  <w:footnote w:id="31">
    <w:p w14:paraId="498311FC" w14:textId="258DB092" w:rsidR="00D9653F" w:rsidRPr="002A0AA9" w:rsidRDefault="00D9653F">
      <w:pPr>
        <w:pStyle w:val="FootnoteText"/>
        <w:rPr>
          <w:rFonts w:ascii="Arial" w:hAnsi="Arial" w:cs="Arial"/>
          <w:sz w:val="18"/>
          <w:szCs w:val="18"/>
          <w:lang w:val="fr-FR"/>
        </w:rPr>
      </w:pPr>
      <w:r w:rsidRPr="002A0AA9">
        <w:rPr>
          <w:rStyle w:val="FootnoteReference"/>
          <w:rFonts w:ascii="Arial" w:hAnsi="Arial" w:cs="Arial"/>
          <w:sz w:val="18"/>
          <w:szCs w:val="18"/>
          <w:lang w:val="fr-FR"/>
        </w:rPr>
        <w:footnoteRef/>
      </w:r>
      <w:r w:rsidRPr="002A0AA9">
        <w:rPr>
          <w:rFonts w:ascii="Arial" w:hAnsi="Arial" w:cs="Arial"/>
          <w:sz w:val="18"/>
          <w:szCs w:val="18"/>
          <w:lang w:val="fr-FR"/>
        </w:rPr>
        <w:t xml:space="preserve"> </w:t>
      </w:r>
      <w:r w:rsidR="00A96116">
        <w:rPr>
          <w:rFonts w:ascii="Arial" w:hAnsi="Arial" w:cs="Arial"/>
          <w:sz w:val="18"/>
          <w:szCs w:val="18"/>
          <w:lang w:val="fr-FR"/>
        </w:rPr>
        <w:tab/>
      </w:r>
      <w:r w:rsidRPr="002A0AA9">
        <w:rPr>
          <w:rFonts w:ascii="Arial" w:hAnsi="Arial" w:cs="Arial"/>
          <w:sz w:val="18"/>
          <w:szCs w:val="18"/>
          <w:lang w:val="fr-FR"/>
        </w:rPr>
        <w:t>Consultez le rapport sur les recomm</w:t>
      </w:r>
      <w:r>
        <w:rPr>
          <w:rFonts w:ascii="Arial" w:hAnsi="Arial" w:cs="Arial"/>
          <w:sz w:val="18"/>
          <w:szCs w:val="18"/>
          <w:lang w:val="fr-FR"/>
        </w:rPr>
        <w:t>a</w:t>
      </w:r>
      <w:r w:rsidRPr="002A0AA9">
        <w:rPr>
          <w:rFonts w:ascii="Arial" w:hAnsi="Arial" w:cs="Arial"/>
          <w:sz w:val="18"/>
          <w:szCs w:val="18"/>
          <w:lang w:val="fr-FR"/>
        </w:rPr>
        <w:t>ndation</w:t>
      </w:r>
      <w:r>
        <w:rPr>
          <w:rFonts w:ascii="Arial" w:hAnsi="Arial" w:cs="Arial"/>
          <w:sz w:val="18"/>
          <w:szCs w:val="18"/>
          <w:lang w:val="fr-FR"/>
        </w:rPr>
        <w:t xml:space="preserve">s </w:t>
      </w:r>
      <w:r w:rsidRPr="002A0AA9">
        <w:rPr>
          <w:rFonts w:ascii="Arial" w:hAnsi="Arial" w:cs="Arial"/>
          <w:sz w:val="18"/>
          <w:szCs w:val="18"/>
          <w:lang w:val="fr-FR"/>
        </w:rPr>
        <w:t xml:space="preserve">du </w:t>
      </w:r>
      <w:r>
        <w:rPr>
          <w:rFonts w:ascii="Arial" w:hAnsi="Arial" w:cs="Arial"/>
          <w:sz w:val="18"/>
          <w:szCs w:val="18"/>
          <w:lang w:val="fr-FR"/>
        </w:rPr>
        <w:t>g</w:t>
      </w:r>
      <w:r w:rsidRPr="002A0AA9">
        <w:rPr>
          <w:rFonts w:ascii="Arial" w:hAnsi="Arial" w:cs="Arial"/>
          <w:sz w:val="18"/>
          <w:szCs w:val="18"/>
          <w:lang w:val="fr-FR"/>
        </w:rPr>
        <w:t>roupe de travail</w:t>
      </w:r>
      <w:r>
        <w:rPr>
          <w:rFonts w:ascii="Arial" w:hAnsi="Arial" w:cs="Arial"/>
          <w:sz w:val="18"/>
          <w:szCs w:val="18"/>
          <w:lang w:val="fr-FR"/>
        </w:rPr>
        <w:t> :</w:t>
      </w:r>
      <w:hyperlink r:id="rId29" w:history="1">
        <w:r w:rsidRPr="002A0AA9">
          <w:rPr>
            <w:rStyle w:val="Hyperlink"/>
            <w:rFonts w:ascii="Arial" w:hAnsi="Arial" w:cs="Arial"/>
            <w:sz w:val="18"/>
            <w:szCs w:val="18"/>
            <w:lang w:val="fr-FR"/>
          </w:rPr>
          <w:t>Parties I et II</w:t>
        </w:r>
      </w:hyperlink>
      <w:r>
        <w:rPr>
          <w:rFonts w:ascii="Arial" w:hAnsi="Arial" w:cs="Arial"/>
          <w:sz w:val="18"/>
          <w:szCs w:val="18"/>
          <w:lang w:val="fr-FR"/>
        </w:rPr>
        <w:t xml:space="preserve"> et </w:t>
      </w:r>
      <w:hyperlink r:id="rId30" w:history="1">
        <w:r w:rsidRPr="002A0AA9">
          <w:rPr>
            <w:rStyle w:val="Hyperlink"/>
            <w:rFonts w:ascii="Arial" w:hAnsi="Arial" w:cs="Arial"/>
            <w:sz w:val="18"/>
            <w:szCs w:val="18"/>
            <w:lang w:val="fr-FR"/>
          </w:rPr>
          <w:t>Partie III</w:t>
        </w:r>
      </w:hyperlink>
      <w:r>
        <w:rPr>
          <w:rFonts w:ascii="Arial" w:hAnsi="Arial" w:cs="Arial"/>
          <w:sz w:val="18"/>
          <w:szCs w:val="18"/>
          <w:lang w:val="fr-FR"/>
        </w:rPr>
        <w:t>.</w:t>
      </w:r>
    </w:p>
  </w:footnote>
  <w:footnote w:id="32">
    <w:p w14:paraId="4455D70D" w14:textId="73C37F5B" w:rsidR="00D9653F" w:rsidRPr="0064691D" w:rsidRDefault="00D9653F">
      <w:pPr>
        <w:pStyle w:val="FootnoteText"/>
        <w:rPr>
          <w:rFonts w:ascii="Arial" w:hAnsi="Arial" w:cs="Arial"/>
          <w:sz w:val="18"/>
          <w:szCs w:val="18"/>
          <w:lang w:val="fr-FR"/>
        </w:rPr>
      </w:pPr>
      <w:r w:rsidRPr="0064691D">
        <w:rPr>
          <w:rStyle w:val="FootnoteReference"/>
          <w:rFonts w:ascii="Arial" w:hAnsi="Arial" w:cs="Arial"/>
          <w:sz w:val="18"/>
          <w:szCs w:val="18"/>
          <w:lang w:val="fr-FR"/>
        </w:rPr>
        <w:footnoteRef/>
      </w:r>
      <w:r w:rsidRPr="0064691D">
        <w:rPr>
          <w:rFonts w:ascii="Arial" w:hAnsi="Arial" w:cs="Arial"/>
          <w:sz w:val="18"/>
          <w:szCs w:val="18"/>
          <w:lang w:val="fr-FR"/>
        </w:rPr>
        <w:t xml:space="preserve"> </w:t>
      </w:r>
      <w:r w:rsidR="00A96116">
        <w:rPr>
          <w:rFonts w:ascii="Arial" w:hAnsi="Arial" w:cs="Arial"/>
          <w:sz w:val="18"/>
          <w:szCs w:val="18"/>
          <w:lang w:val="fr-FR"/>
        </w:rPr>
        <w:tab/>
      </w:r>
      <w:r w:rsidRPr="0064691D">
        <w:rPr>
          <w:rFonts w:ascii="Arial" w:hAnsi="Arial" w:cs="Arial"/>
          <w:sz w:val="18"/>
          <w:szCs w:val="18"/>
          <w:lang w:val="fr-FR"/>
        </w:rPr>
        <w:t>Cf. la correspond</w:t>
      </w:r>
      <w:r>
        <w:rPr>
          <w:rFonts w:ascii="Arial" w:hAnsi="Arial" w:cs="Arial"/>
          <w:sz w:val="18"/>
          <w:szCs w:val="18"/>
          <w:lang w:val="fr-FR"/>
        </w:rPr>
        <w:t>a</w:t>
      </w:r>
      <w:r w:rsidRPr="0064691D">
        <w:rPr>
          <w:rFonts w:ascii="Arial" w:hAnsi="Arial" w:cs="Arial"/>
          <w:sz w:val="18"/>
          <w:szCs w:val="18"/>
          <w:lang w:val="fr-FR"/>
        </w:rPr>
        <w:t>nce et les informations supplémentair</w:t>
      </w:r>
      <w:r>
        <w:rPr>
          <w:rFonts w:ascii="Arial" w:hAnsi="Arial" w:cs="Arial"/>
          <w:sz w:val="18"/>
          <w:szCs w:val="18"/>
          <w:lang w:val="fr-FR"/>
        </w:rPr>
        <w:t xml:space="preserve">es </w:t>
      </w:r>
      <w:hyperlink r:id="rId31" w:history="1">
        <w:r w:rsidRPr="0064691D">
          <w:rPr>
            <w:rStyle w:val="Hyperlink"/>
            <w:rFonts w:ascii="Arial" w:hAnsi="Arial" w:cs="Arial"/>
            <w:sz w:val="18"/>
            <w:szCs w:val="18"/>
            <w:lang w:val="fr-FR"/>
          </w:rPr>
          <w:t>ici</w:t>
        </w:r>
      </w:hyperlink>
      <w:r>
        <w:rPr>
          <w:rFonts w:ascii="Arial" w:hAnsi="Arial" w:cs="Arial"/>
          <w:sz w:val="18"/>
          <w:szCs w:val="18"/>
          <w:lang w:val="fr-FR"/>
        </w:rPr>
        <w:t>.</w:t>
      </w:r>
    </w:p>
  </w:footnote>
  <w:footnote w:id="33">
    <w:p w14:paraId="2C27D3C8" w14:textId="77777777" w:rsidR="00D9653F" w:rsidRPr="00D72930" w:rsidRDefault="00D9653F">
      <w:pPr>
        <w:pStyle w:val="FootnoteText"/>
        <w:rPr>
          <w:rFonts w:ascii="Arial" w:hAnsi="Arial" w:cs="Arial"/>
          <w:sz w:val="18"/>
          <w:szCs w:val="18"/>
          <w:lang w:val="fr-FR"/>
        </w:rPr>
      </w:pPr>
      <w:r w:rsidRPr="00D72930">
        <w:rPr>
          <w:rStyle w:val="FootnoteReference"/>
          <w:rFonts w:ascii="Arial" w:hAnsi="Arial" w:cs="Arial"/>
          <w:sz w:val="18"/>
          <w:szCs w:val="18"/>
          <w:lang w:val="fr-FR"/>
        </w:rPr>
        <w:footnoteRef/>
      </w:r>
      <w:r w:rsidRPr="00D72930">
        <w:rPr>
          <w:rFonts w:ascii="Arial" w:hAnsi="Arial" w:cs="Arial"/>
          <w:sz w:val="18"/>
          <w:szCs w:val="18"/>
          <w:lang w:val="fr-FR"/>
        </w:rPr>
        <w:t xml:space="preserve"> </w:t>
      </w:r>
      <w:r>
        <w:rPr>
          <w:rFonts w:ascii="Arial" w:hAnsi="Arial" w:cs="Arial"/>
          <w:sz w:val="18"/>
          <w:szCs w:val="18"/>
          <w:lang w:val="fr-FR"/>
        </w:rPr>
        <w:t>Groupe Amérique latine et Caraïbes</w:t>
      </w:r>
    </w:p>
  </w:footnote>
  <w:footnote w:id="34">
    <w:p w14:paraId="0EF47321" w14:textId="1B353D81" w:rsidR="00D9653F" w:rsidRPr="006B4196" w:rsidRDefault="00D9653F" w:rsidP="0026573F">
      <w:pPr>
        <w:pStyle w:val="FootnoteText"/>
        <w:rPr>
          <w:rFonts w:ascii="Arial" w:hAnsi="Arial" w:cs="Arial"/>
          <w:sz w:val="18"/>
          <w:szCs w:val="18"/>
          <w:lang w:val="fr-FR"/>
        </w:rPr>
      </w:pPr>
      <w:r w:rsidRPr="006B4196">
        <w:rPr>
          <w:rStyle w:val="FootnoteReference"/>
          <w:rFonts w:ascii="Arial" w:hAnsi="Arial" w:cs="Arial"/>
          <w:sz w:val="18"/>
          <w:szCs w:val="18"/>
        </w:rPr>
        <w:footnoteRef/>
      </w:r>
      <w:r w:rsidRPr="00D9653F">
        <w:rPr>
          <w:rFonts w:ascii="Arial" w:hAnsi="Arial" w:cs="Arial"/>
          <w:sz w:val="18"/>
          <w:szCs w:val="18"/>
          <w:lang w:val="fr-FR"/>
        </w:rPr>
        <w:t xml:space="preserve"> </w:t>
      </w:r>
      <w:r w:rsidR="0026573F">
        <w:rPr>
          <w:rFonts w:ascii="Arial" w:hAnsi="Arial" w:cs="Arial"/>
          <w:sz w:val="18"/>
          <w:szCs w:val="18"/>
          <w:lang w:val="fr-FR"/>
        </w:rPr>
        <w:tab/>
      </w:r>
      <w:r w:rsidRPr="00F026D4">
        <w:rPr>
          <w:rFonts w:ascii="Arial" w:hAnsi="Arial" w:cs="Arial"/>
          <w:sz w:val="18"/>
          <w:szCs w:val="18"/>
          <w:lang w:val="fr-FR"/>
        </w:rPr>
        <w:t xml:space="preserve">Quinze </w:t>
      </w:r>
      <w:r w:rsidRPr="006B4196">
        <w:rPr>
          <w:rFonts w:ascii="Arial" w:hAnsi="Arial" w:cs="Arial"/>
          <w:sz w:val="18"/>
          <w:szCs w:val="18"/>
          <w:lang w:val="fr-FR"/>
        </w:rPr>
        <w:t>États membres composent la Communauté des Caraïbes (CARICOM)</w:t>
      </w:r>
      <w:r>
        <w:rPr>
          <w:rFonts w:ascii="Arial" w:hAnsi="Arial" w:cs="Arial"/>
          <w:sz w:val="18"/>
          <w:szCs w:val="18"/>
          <w:lang w:val="fr-FR"/>
        </w:rPr>
        <w:t> </w:t>
      </w:r>
      <w:r w:rsidRPr="006B4196">
        <w:rPr>
          <w:rFonts w:ascii="Arial" w:hAnsi="Arial" w:cs="Arial"/>
          <w:sz w:val="18"/>
          <w:szCs w:val="18"/>
          <w:lang w:val="fr-FR"/>
        </w:rPr>
        <w:t>: Antigua-et-Barbuda, les</w:t>
      </w:r>
      <w:r>
        <w:rPr>
          <w:rFonts w:ascii="Arial" w:hAnsi="Arial" w:cs="Arial"/>
          <w:sz w:val="18"/>
          <w:szCs w:val="18"/>
          <w:lang w:val="fr-FR"/>
        </w:rPr>
        <w:t> </w:t>
      </w:r>
      <w:r w:rsidRPr="006B4196">
        <w:rPr>
          <w:rFonts w:ascii="Arial" w:hAnsi="Arial" w:cs="Arial"/>
          <w:sz w:val="18"/>
          <w:szCs w:val="18"/>
          <w:lang w:val="fr-FR"/>
        </w:rPr>
        <w:t>Bahamas, la</w:t>
      </w:r>
      <w:r>
        <w:rPr>
          <w:rFonts w:ascii="Arial" w:hAnsi="Arial" w:cs="Arial"/>
          <w:sz w:val="18"/>
          <w:szCs w:val="18"/>
          <w:lang w:val="fr-FR"/>
        </w:rPr>
        <w:t> </w:t>
      </w:r>
      <w:r w:rsidRPr="006B4196">
        <w:rPr>
          <w:rFonts w:ascii="Arial" w:hAnsi="Arial" w:cs="Arial"/>
          <w:sz w:val="18"/>
          <w:szCs w:val="18"/>
          <w:lang w:val="fr-FR"/>
        </w:rPr>
        <w:t xml:space="preserve">Barbade, Belize, la Dominique, la Grenade, </w:t>
      </w:r>
      <w:r>
        <w:rPr>
          <w:rFonts w:ascii="Arial" w:hAnsi="Arial" w:cs="Arial"/>
          <w:sz w:val="18"/>
          <w:szCs w:val="18"/>
          <w:lang w:val="fr-FR"/>
        </w:rPr>
        <w:t xml:space="preserve">le </w:t>
      </w:r>
      <w:r w:rsidRPr="006B4196">
        <w:rPr>
          <w:rFonts w:ascii="Arial" w:hAnsi="Arial" w:cs="Arial"/>
          <w:sz w:val="18"/>
          <w:szCs w:val="18"/>
          <w:lang w:val="fr-FR"/>
        </w:rPr>
        <w:t>Guyan</w:t>
      </w:r>
      <w:r>
        <w:rPr>
          <w:rFonts w:ascii="Arial" w:hAnsi="Arial" w:cs="Arial"/>
          <w:sz w:val="18"/>
          <w:szCs w:val="18"/>
          <w:lang w:val="fr-FR"/>
        </w:rPr>
        <w:t>a</w:t>
      </w:r>
      <w:r w:rsidRPr="006B4196">
        <w:rPr>
          <w:rFonts w:ascii="Arial" w:hAnsi="Arial" w:cs="Arial"/>
          <w:sz w:val="18"/>
          <w:szCs w:val="18"/>
          <w:lang w:val="fr-FR"/>
        </w:rPr>
        <w:t>, Haïti, la Jamaïque, Montserrat, Saint-Kitts-et Nevis, Saint</w:t>
      </w:r>
      <w:r>
        <w:rPr>
          <w:rFonts w:ascii="Arial" w:hAnsi="Arial" w:cs="Arial"/>
          <w:sz w:val="18"/>
          <w:szCs w:val="18"/>
          <w:lang w:val="fr-FR"/>
        </w:rPr>
        <w:noBreakHyphen/>
      </w:r>
      <w:r w:rsidRPr="006B4196">
        <w:rPr>
          <w:rFonts w:ascii="Arial" w:hAnsi="Arial" w:cs="Arial"/>
          <w:sz w:val="18"/>
          <w:szCs w:val="18"/>
          <w:lang w:val="fr-FR"/>
        </w:rPr>
        <w:t>Vincent-et-les-Grenadines, Sainte-Lucie</w:t>
      </w:r>
      <w:r>
        <w:rPr>
          <w:rFonts w:ascii="Arial" w:hAnsi="Arial" w:cs="Arial"/>
          <w:sz w:val="18"/>
          <w:szCs w:val="18"/>
          <w:lang w:val="fr-FR"/>
        </w:rPr>
        <w:t xml:space="preserve">, le </w:t>
      </w:r>
      <w:r w:rsidRPr="006B4196">
        <w:rPr>
          <w:rFonts w:ascii="Arial" w:hAnsi="Arial" w:cs="Arial"/>
          <w:sz w:val="18"/>
          <w:szCs w:val="18"/>
          <w:lang w:val="fr-FR"/>
        </w:rPr>
        <w:t>Suriname, et Trinité-et-Tobago.</w:t>
      </w:r>
    </w:p>
  </w:footnote>
  <w:footnote w:id="35">
    <w:p w14:paraId="52F179CD" w14:textId="663C900E" w:rsidR="00D9653F" w:rsidRPr="00412214" w:rsidRDefault="00D9653F" w:rsidP="009F6BC9">
      <w:pPr>
        <w:pStyle w:val="FootnoteText"/>
        <w:jc w:val="both"/>
        <w:rPr>
          <w:rFonts w:ascii="Arial" w:hAnsi="Arial" w:cs="Arial"/>
          <w:sz w:val="18"/>
          <w:szCs w:val="18"/>
          <w:lang w:val="fr-FR"/>
        </w:rPr>
      </w:pPr>
      <w:r w:rsidRPr="00412214">
        <w:rPr>
          <w:rStyle w:val="FootnoteReference"/>
          <w:rFonts w:ascii="Arial" w:hAnsi="Arial" w:cs="Arial"/>
          <w:sz w:val="18"/>
          <w:szCs w:val="18"/>
          <w:lang w:val="fr-FR"/>
        </w:rPr>
        <w:footnoteRef/>
      </w:r>
      <w:r w:rsidRPr="00412214">
        <w:rPr>
          <w:rFonts w:ascii="Arial" w:hAnsi="Arial" w:cs="Arial"/>
          <w:sz w:val="18"/>
          <w:szCs w:val="18"/>
          <w:lang w:val="fr-FR"/>
        </w:rPr>
        <w:t xml:space="preserve"> </w:t>
      </w:r>
      <w:r w:rsidR="00A5302E">
        <w:rPr>
          <w:rFonts w:ascii="Arial" w:hAnsi="Arial" w:cs="Arial"/>
          <w:sz w:val="18"/>
          <w:szCs w:val="18"/>
          <w:lang w:val="fr-FR"/>
        </w:rPr>
        <w:tab/>
      </w:r>
      <w:r>
        <w:rPr>
          <w:rFonts w:ascii="Arial" w:hAnsi="Arial" w:cs="Arial"/>
          <w:sz w:val="18"/>
          <w:szCs w:val="18"/>
          <w:lang w:val="fr-FR"/>
        </w:rPr>
        <w:t xml:space="preserve">Article 17. 3. </w:t>
      </w:r>
      <w:r w:rsidRPr="00412214">
        <w:rPr>
          <w:rFonts w:ascii="Arial" w:hAnsi="Arial" w:cs="Arial"/>
          <w:sz w:val="18"/>
          <w:szCs w:val="18"/>
          <w:lang w:val="fr-FR"/>
        </w:rPr>
        <w:t>Dans les cas d'extrême urgence - dont les critères objectifs sont approuvés par l'Assemblée Générale sur proposition du Comité – celui-ci peut inscrire un élément du patrimoine concerné sur la Liste mentionnée au paragraphe</w:t>
      </w:r>
      <w:r>
        <w:rPr>
          <w:rFonts w:ascii="Arial" w:hAnsi="Arial" w:cs="Arial"/>
          <w:sz w:val="18"/>
          <w:szCs w:val="18"/>
          <w:lang w:val="fr-FR"/>
        </w:rPr>
        <w:t> </w:t>
      </w:r>
      <w:r w:rsidRPr="00412214">
        <w:rPr>
          <w:rFonts w:ascii="Arial" w:hAnsi="Arial" w:cs="Arial"/>
          <w:sz w:val="18"/>
          <w:szCs w:val="18"/>
          <w:lang w:val="fr-FR"/>
        </w:rPr>
        <w:t>1, en consultation avec l'</w:t>
      </w:r>
      <w:r>
        <w:rPr>
          <w:rFonts w:ascii="Arial" w:hAnsi="Arial" w:cs="Arial"/>
          <w:sz w:val="18"/>
          <w:szCs w:val="18"/>
          <w:lang w:val="fr-FR"/>
        </w:rPr>
        <w:t>É</w:t>
      </w:r>
      <w:r w:rsidRPr="00412214">
        <w:rPr>
          <w:rFonts w:ascii="Arial" w:hAnsi="Arial" w:cs="Arial"/>
          <w:sz w:val="18"/>
          <w:szCs w:val="18"/>
          <w:lang w:val="fr-FR"/>
        </w:rPr>
        <w:t>tat partie concerné.</w:t>
      </w:r>
    </w:p>
  </w:footnote>
  <w:footnote w:id="36">
    <w:p w14:paraId="14DA8BE3" w14:textId="45E479DF" w:rsidR="00D9653F" w:rsidRPr="001727E7" w:rsidRDefault="00D9653F" w:rsidP="009F6BC9">
      <w:pPr>
        <w:pStyle w:val="FootnoteText"/>
        <w:jc w:val="both"/>
        <w:rPr>
          <w:rFonts w:ascii="Arial" w:hAnsi="Arial" w:cs="Arial"/>
          <w:sz w:val="18"/>
          <w:szCs w:val="18"/>
          <w:lang w:val="fr-FR"/>
        </w:rPr>
      </w:pPr>
      <w:r w:rsidRPr="001727E7">
        <w:rPr>
          <w:rStyle w:val="FootnoteReference"/>
          <w:rFonts w:ascii="Arial" w:hAnsi="Arial" w:cs="Arial"/>
          <w:sz w:val="18"/>
          <w:szCs w:val="18"/>
          <w:lang w:val="fr-FR"/>
        </w:rPr>
        <w:footnoteRef/>
      </w:r>
      <w:r w:rsidRPr="001727E7">
        <w:rPr>
          <w:rFonts w:ascii="Arial" w:hAnsi="Arial" w:cs="Arial"/>
          <w:sz w:val="18"/>
          <w:szCs w:val="18"/>
          <w:lang w:val="fr-FR"/>
        </w:rPr>
        <w:t xml:space="preserve"> </w:t>
      </w:r>
      <w:r w:rsidR="00D843E7">
        <w:rPr>
          <w:rFonts w:ascii="Arial" w:hAnsi="Arial" w:cs="Arial"/>
          <w:sz w:val="18"/>
          <w:szCs w:val="18"/>
          <w:lang w:val="fr-FR"/>
        </w:rPr>
        <w:tab/>
      </w:r>
      <w:r w:rsidRPr="001727E7">
        <w:rPr>
          <w:rFonts w:ascii="Arial" w:hAnsi="Arial" w:cs="Arial"/>
          <w:sz w:val="18"/>
          <w:szCs w:val="18"/>
          <w:lang w:val="fr-FR"/>
        </w:rPr>
        <w:t xml:space="preserve">Critère R.2 : </w:t>
      </w:r>
      <w:r>
        <w:rPr>
          <w:rFonts w:ascii="Arial" w:hAnsi="Arial" w:cs="Arial"/>
          <w:sz w:val="18"/>
          <w:szCs w:val="18"/>
          <w:lang w:val="fr-FR"/>
        </w:rPr>
        <w:t>L’</w:t>
      </w:r>
      <w:r w:rsidRPr="0078214C">
        <w:rPr>
          <w:rFonts w:ascii="Arial" w:hAnsi="Arial" w:cs="Arial"/>
          <w:sz w:val="18"/>
          <w:szCs w:val="18"/>
          <w:lang w:val="fr-FR"/>
        </w:rPr>
        <w:t>inscription</w:t>
      </w:r>
      <w:r>
        <w:rPr>
          <w:rFonts w:ascii="Arial" w:hAnsi="Arial" w:cs="Arial"/>
          <w:sz w:val="18"/>
          <w:szCs w:val="18"/>
          <w:lang w:val="fr-FR"/>
        </w:rPr>
        <w:t xml:space="preserve"> de l’</w:t>
      </w:r>
      <w:r w:rsidRPr="0078214C">
        <w:rPr>
          <w:rFonts w:ascii="Arial" w:hAnsi="Arial" w:cs="Arial"/>
          <w:sz w:val="18"/>
          <w:szCs w:val="18"/>
          <w:lang w:val="fr-FR"/>
        </w:rPr>
        <w:t>élément</w:t>
      </w:r>
      <w:r>
        <w:rPr>
          <w:rFonts w:ascii="Arial" w:hAnsi="Arial" w:cs="Arial"/>
          <w:sz w:val="18"/>
          <w:szCs w:val="18"/>
          <w:lang w:val="fr-FR"/>
        </w:rPr>
        <w:t xml:space="preserve"> contribuera à assurer la visibilité, la prise de </w:t>
      </w:r>
      <w:r w:rsidRPr="0078214C">
        <w:rPr>
          <w:rFonts w:ascii="Arial" w:hAnsi="Arial" w:cs="Arial"/>
          <w:sz w:val="18"/>
          <w:szCs w:val="18"/>
          <w:lang w:val="fr-FR"/>
        </w:rPr>
        <w:t>conscience</w:t>
      </w:r>
      <w:r>
        <w:rPr>
          <w:rFonts w:ascii="Arial" w:hAnsi="Arial" w:cs="Arial"/>
          <w:sz w:val="18"/>
          <w:szCs w:val="18"/>
          <w:lang w:val="fr-FR"/>
        </w:rPr>
        <w:t xml:space="preserve"> de l’importance du patrimoine culturel immatériel et à favoriser le dialogue, reflétant ainsi la diversité culturelle du monde entier en témoignant de la créativité humaine.</w:t>
      </w:r>
    </w:p>
  </w:footnote>
  <w:footnote w:id="37">
    <w:p w14:paraId="1F3531D9" w14:textId="51C8E08C" w:rsidR="00D9653F" w:rsidRPr="00E5407A" w:rsidRDefault="00D9653F" w:rsidP="009F6BC9">
      <w:pPr>
        <w:pStyle w:val="FootnoteText"/>
        <w:jc w:val="both"/>
        <w:rPr>
          <w:rFonts w:ascii="Arial" w:hAnsi="Arial" w:cs="Arial"/>
          <w:sz w:val="18"/>
          <w:szCs w:val="18"/>
          <w:lang w:val="fr-FR"/>
        </w:rPr>
      </w:pPr>
      <w:r w:rsidRPr="00E5407A">
        <w:rPr>
          <w:rStyle w:val="FootnoteReference"/>
          <w:rFonts w:ascii="Arial" w:hAnsi="Arial" w:cs="Arial"/>
          <w:sz w:val="18"/>
          <w:szCs w:val="18"/>
          <w:lang w:val="fr-FR"/>
        </w:rPr>
        <w:footnoteRef/>
      </w:r>
      <w:r w:rsidRPr="00E5407A">
        <w:rPr>
          <w:rFonts w:ascii="Arial" w:hAnsi="Arial" w:cs="Arial"/>
          <w:sz w:val="18"/>
          <w:szCs w:val="18"/>
          <w:lang w:val="fr-FR"/>
        </w:rPr>
        <w:t xml:space="preserve"> </w:t>
      </w:r>
      <w:r w:rsidR="00D843E7">
        <w:rPr>
          <w:rFonts w:ascii="Arial" w:hAnsi="Arial" w:cs="Arial"/>
          <w:sz w:val="18"/>
          <w:szCs w:val="18"/>
          <w:lang w:val="fr-FR"/>
        </w:rPr>
        <w:tab/>
      </w:r>
      <w:r w:rsidRPr="00E5407A">
        <w:rPr>
          <w:rFonts w:ascii="Arial" w:hAnsi="Arial" w:cs="Arial"/>
          <w:sz w:val="18"/>
          <w:szCs w:val="18"/>
          <w:lang w:val="fr-FR"/>
        </w:rPr>
        <w:t>Critère P.9</w:t>
      </w:r>
      <w:r>
        <w:rPr>
          <w:rFonts w:ascii="Arial" w:hAnsi="Arial" w:cs="Arial"/>
          <w:sz w:val="18"/>
          <w:szCs w:val="18"/>
          <w:lang w:val="fr-FR"/>
        </w:rPr>
        <w:t> </w:t>
      </w:r>
      <w:r w:rsidRPr="00E5407A">
        <w:rPr>
          <w:rFonts w:ascii="Arial" w:hAnsi="Arial" w:cs="Arial"/>
          <w:sz w:val="18"/>
          <w:szCs w:val="18"/>
          <w:lang w:val="fr-FR"/>
        </w:rPr>
        <w:t xml:space="preserve">: Le programme, </w:t>
      </w:r>
      <w:r>
        <w:rPr>
          <w:rFonts w:ascii="Arial" w:hAnsi="Arial" w:cs="Arial"/>
          <w:sz w:val="18"/>
          <w:szCs w:val="18"/>
          <w:lang w:val="fr-FR"/>
        </w:rPr>
        <w:t xml:space="preserve">le </w:t>
      </w:r>
      <w:r w:rsidRPr="00E5407A">
        <w:rPr>
          <w:rFonts w:ascii="Arial" w:hAnsi="Arial" w:cs="Arial"/>
          <w:sz w:val="18"/>
          <w:szCs w:val="18"/>
          <w:lang w:val="fr-FR"/>
        </w:rPr>
        <w:t xml:space="preserve">projet ou </w:t>
      </w:r>
      <w:r>
        <w:rPr>
          <w:rFonts w:ascii="Arial" w:hAnsi="Arial" w:cs="Arial"/>
          <w:sz w:val="18"/>
          <w:szCs w:val="18"/>
          <w:lang w:val="fr-FR"/>
        </w:rPr>
        <w:t>l’</w:t>
      </w:r>
      <w:r w:rsidRPr="00E5407A">
        <w:rPr>
          <w:rFonts w:ascii="Arial" w:hAnsi="Arial" w:cs="Arial"/>
          <w:sz w:val="18"/>
          <w:szCs w:val="18"/>
          <w:lang w:val="fr-FR"/>
        </w:rPr>
        <w:t>activité</w:t>
      </w:r>
      <w:r>
        <w:rPr>
          <w:rFonts w:ascii="Arial" w:hAnsi="Arial" w:cs="Arial"/>
          <w:sz w:val="18"/>
          <w:szCs w:val="18"/>
          <w:lang w:val="fr-FR"/>
        </w:rPr>
        <w:t xml:space="preserve"> répond essentiellement aux besoins particuliers des pays en </w:t>
      </w:r>
      <w:r w:rsidRPr="00E5407A">
        <w:rPr>
          <w:rFonts w:ascii="Arial" w:hAnsi="Arial" w:cs="Arial"/>
          <w:sz w:val="18"/>
          <w:szCs w:val="18"/>
          <w:lang w:val="fr-FR"/>
        </w:rPr>
        <w:t>développement</w:t>
      </w:r>
      <w:r>
        <w:rPr>
          <w:rFonts w:ascii="Arial" w:hAnsi="Arial" w:cs="Arial"/>
          <w:sz w:val="18"/>
          <w:szCs w:val="18"/>
          <w:lang w:val="fr-FR"/>
        </w:rPr>
        <w:t>.</w:t>
      </w:r>
      <w:r w:rsidRPr="00E5407A">
        <w:rPr>
          <w:rFonts w:ascii="Arial" w:hAnsi="Arial" w:cs="Arial"/>
          <w:sz w:val="18"/>
          <w:szCs w:val="18"/>
          <w:lang w:val="fr-FR"/>
        </w:rPr>
        <w:t xml:space="preserve"> </w:t>
      </w:r>
    </w:p>
  </w:footnote>
  <w:footnote w:id="38">
    <w:p w14:paraId="56C61604" w14:textId="6159528F" w:rsidR="00D9653F" w:rsidRPr="00A97729" w:rsidRDefault="00D9653F" w:rsidP="009F6BC9">
      <w:pPr>
        <w:pStyle w:val="FootnoteText"/>
        <w:rPr>
          <w:rFonts w:ascii="Arial" w:hAnsi="Arial" w:cs="Arial"/>
          <w:sz w:val="18"/>
          <w:szCs w:val="18"/>
          <w:lang w:val="fr-FR"/>
        </w:rPr>
      </w:pPr>
      <w:r w:rsidRPr="00A97729">
        <w:rPr>
          <w:rStyle w:val="FootnoteReference"/>
          <w:rFonts w:ascii="Arial" w:hAnsi="Arial" w:cs="Arial"/>
          <w:sz w:val="18"/>
          <w:szCs w:val="18"/>
          <w:lang w:val="fr-FR"/>
        </w:rPr>
        <w:footnoteRef/>
      </w:r>
      <w:r w:rsidRPr="00A97729">
        <w:rPr>
          <w:rFonts w:ascii="Arial" w:hAnsi="Arial" w:cs="Arial"/>
          <w:sz w:val="18"/>
          <w:szCs w:val="18"/>
          <w:lang w:val="fr-FR"/>
        </w:rPr>
        <w:t xml:space="preserve"> </w:t>
      </w:r>
      <w:r w:rsidR="00D843E7">
        <w:rPr>
          <w:rFonts w:ascii="Arial" w:hAnsi="Arial" w:cs="Arial"/>
          <w:sz w:val="18"/>
          <w:szCs w:val="18"/>
          <w:lang w:val="fr-FR"/>
        </w:rPr>
        <w:tab/>
      </w:r>
      <w:r w:rsidRPr="00A97729">
        <w:rPr>
          <w:rFonts w:ascii="Arial" w:hAnsi="Arial" w:cs="Arial"/>
          <w:sz w:val="18"/>
          <w:szCs w:val="18"/>
          <w:lang w:val="fr-FR"/>
        </w:rPr>
        <w:t>C</w:t>
      </w:r>
      <w:r>
        <w:rPr>
          <w:rFonts w:ascii="Arial" w:hAnsi="Arial" w:cs="Arial"/>
          <w:sz w:val="18"/>
          <w:szCs w:val="18"/>
          <w:lang w:val="fr-FR"/>
        </w:rPr>
        <w:t xml:space="preserve">onsultez les recommandations de la réunion du groupe de travail (partie III) </w:t>
      </w:r>
      <w:hyperlink r:id="rId32" w:history="1">
        <w:r w:rsidRPr="004C13EA">
          <w:rPr>
            <w:rStyle w:val="Hyperlink"/>
            <w:rFonts w:ascii="Arial" w:hAnsi="Arial" w:cs="Arial"/>
            <w:sz w:val="18"/>
            <w:szCs w:val="18"/>
            <w:lang w:val="fr-FR"/>
          </w:rPr>
          <w:t>ici</w:t>
        </w:r>
      </w:hyperlink>
      <w:r>
        <w:rPr>
          <w:rFonts w:ascii="Arial" w:hAnsi="Arial" w:cs="Arial"/>
          <w:sz w:val="18"/>
          <w:szCs w:val="18"/>
          <w:lang w:val="fr-FR"/>
        </w:rPr>
        <w:t xml:space="preserve">. </w:t>
      </w:r>
      <w:r w:rsidRPr="009F6BC9">
        <w:rPr>
          <w:lang w:val="fr-FR"/>
        </w:rPr>
        <w:t>Les recommandations de la réunion du groupe de travail (parties I et II) peuvent être consultées</w:t>
      </w:r>
      <w:r w:rsidRPr="00A97729">
        <w:rPr>
          <w:rStyle w:val="Hyperlink"/>
          <w:rFonts w:ascii="Arial" w:hAnsi="Arial" w:cs="Arial"/>
          <w:sz w:val="18"/>
          <w:szCs w:val="18"/>
          <w:lang w:val="fr-FR"/>
        </w:rPr>
        <w:t xml:space="preserve"> </w:t>
      </w:r>
      <w:hyperlink r:id="rId33" w:history="1">
        <w:r w:rsidRPr="00A97729">
          <w:rPr>
            <w:rStyle w:val="Hyperlink"/>
            <w:rFonts w:ascii="Arial" w:hAnsi="Arial" w:cs="Arial"/>
            <w:sz w:val="18"/>
            <w:szCs w:val="18"/>
            <w:lang w:val="fr-FR"/>
          </w:rPr>
          <w:t>ici</w:t>
        </w:r>
      </w:hyperlink>
      <w:r w:rsidRPr="00A97729">
        <w:rPr>
          <w:rStyle w:val="Hyperlink"/>
          <w:rFonts w:ascii="Arial" w:hAnsi="Arial" w:cs="Arial"/>
          <w:sz w:val="18"/>
          <w:szCs w:val="18"/>
          <w:lang w:val="fr-FR"/>
        </w:rPr>
        <w:t>.</w:t>
      </w:r>
    </w:p>
  </w:footnote>
  <w:footnote w:id="39">
    <w:p w14:paraId="08477C89" w14:textId="18E798CB" w:rsidR="00D9653F" w:rsidRPr="00FD576D" w:rsidRDefault="00D9653F" w:rsidP="009F6BC9">
      <w:pPr>
        <w:pStyle w:val="FootnoteText"/>
        <w:rPr>
          <w:rFonts w:ascii="Arial" w:hAnsi="Arial" w:cs="Arial"/>
          <w:sz w:val="18"/>
          <w:szCs w:val="18"/>
          <w:lang w:val="fr-FR"/>
        </w:rPr>
      </w:pPr>
      <w:r w:rsidRPr="00FD576D">
        <w:rPr>
          <w:rStyle w:val="FootnoteReference"/>
          <w:rFonts w:ascii="Arial" w:hAnsi="Arial" w:cs="Arial"/>
          <w:sz w:val="18"/>
          <w:szCs w:val="18"/>
        </w:rPr>
        <w:footnoteRef/>
      </w:r>
      <w:r w:rsidRPr="00D9653F">
        <w:rPr>
          <w:rFonts w:ascii="Arial" w:hAnsi="Arial" w:cs="Arial"/>
          <w:sz w:val="18"/>
          <w:szCs w:val="18"/>
          <w:lang w:val="fr-FR"/>
        </w:rPr>
        <w:t xml:space="preserve"> </w:t>
      </w:r>
      <w:r w:rsidR="00D843E7">
        <w:rPr>
          <w:rFonts w:ascii="Arial" w:hAnsi="Arial" w:cs="Arial"/>
          <w:sz w:val="18"/>
          <w:szCs w:val="18"/>
          <w:lang w:val="fr-FR"/>
        </w:rPr>
        <w:tab/>
      </w:r>
      <w:r w:rsidRPr="00FD576D">
        <w:rPr>
          <w:rFonts w:ascii="Arial" w:hAnsi="Arial" w:cs="Arial"/>
          <w:sz w:val="18"/>
          <w:szCs w:val="18"/>
          <w:lang w:val="fr-FR"/>
        </w:rPr>
        <w:t>Téléchargez le rapport complet sur l’</w:t>
      </w:r>
      <w:r>
        <w:rPr>
          <w:rFonts w:ascii="Arial" w:hAnsi="Arial" w:cs="Arial"/>
          <w:sz w:val="18"/>
          <w:szCs w:val="18"/>
          <w:lang w:val="fr-FR"/>
        </w:rPr>
        <w:t>É</w:t>
      </w:r>
      <w:r w:rsidRPr="00FD576D">
        <w:rPr>
          <w:rFonts w:ascii="Arial" w:hAnsi="Arial" w:cs="Arial"/>
          <w:sz w:val="18"/>
          <w:szCs w:val="18"/>
          <w:lang w:val="fr-FR"/>
        </w:rPr>
        <w:t xml:space="preserve">valuation de l’action de l’UNESCO dans le cadre de la Convention de 2003 pour la sauvegarde du </w:t>
      </w:r>
      <w:r>
        <w:rPr>
          <w:rFonts w:ascii="Arial" w:hAnsi="Arial" w:cs="Arial"/>
          <w:sz w:val="18"/>
          <w:szCs w:val="18"/>
          <w:lang w:val="fr-FR"/>
        </w:rPr>
        <w:t xml:space="preserve">patrimoine culturel immatériel </w:t>
      </w:r>
      <w:hyperlink r:id="rId34" w:history="1">
        <w:r w:rsidRPr="00CF7B1F">
          <w:rPr>
            <w:rStyle w:val="Hyperlink"/>
            <w:rFonts w:ascii="Arial" w:hAnsi="Arial" w:cs="Arial"/>
            <w:sz w:val="18"/>
            <w:szCs w:val="18"/>
            <w:lang w:val="fr-FR"/>
          </w:rPr>
          <w:t>ici</w:t>
        </w:r>
      </w:hyperlink>
      <w:r>
        <w:rPr>
          <w:rFonts w:ascii="Arial" w:hAnsi="Arial" w:cs="Arial"/>
          <w:sz w:val="18"/>
          <w:szCs w:val="18"/>
          <w:lang w:val="fr-FR"/>
        </w:rPr>
        <w:t>.</w:t>
      </w:r>
    </w:p>
  </w:footnote>
  <w:footnote w:id="40">
    <w:p w14:paraId="39814885" w14:textId="6A1E3525" w:rsidR="00D9653F" w:rsidRPr="000F4BFD" w:rsidRDefault="00D9653F">
      <w:pPr>
        <w:pStyle w:val="FootnoteText"/>
        <w:rPr>
          <w:rFonts w:ascii="Arial" w:hAnsi="Arial" w:cs="Arial"/>
          <w:sz w:val="18"/>
          <w:szCs w:val="18"/>
          <w:lang w:val="fr-FR"/>
        </w:rPr>
      </w:pPr>
      <w:r w:rsidRPr="000F4BFD">
        <w:rPr>
          <w:rStyle w:val="FootnoteReference"/>
          <w:rFonts w:ascii="Arial" w:hAnsi="Arial" w:cs="Arial"/>
          <w:sz w:val="18"/>
          <w:szCs w:val="18"/>
          <w:lang w:val="fr-FR"/>
        </w:rPr>
        <w:footnoteRef/>
      </w:r>
      <w:r w:rsidRPr="000F4BFD">
        <w:rPr>
          <w:rFonts w:ascii="Arial" w:hAnsi="Arial" w:cs="Arial"/>
          <w:sz w:val="18"/>
          <w:szCs w:val="18"/>
          <w:lang w:val="fr-FR"/>
        </w:rPr>
        <w:t xml:space="preserve"> </w:t>
      </w:r>
      <w:r w:rsidR="00D843E7">
        <w:rPr>
          <w:rFonts w:ascii="Arial" w:hAnsi="Arial" w:cs="Arial"/>
          <w:sz w:val="18"/>
          <w:szCs w:val="18"/>
          <w:lang w:val="fr-FR"/>
        </w:rPr>
        <w:tab/>
      </w:r>
      <w:r>
        <w:rPr>
          <w:rFonts w:ascii="Arial" w:hAnsi="Arial" w:cs="Arial"/>
          <w:sz w:val="18"/>
          <w:szCs w:val="18"/>
          <w:lang w:val="fr-FR"/>
        </w:rPr>
        <w:t xml:space="preserve">Pour en savoir plus sur ce MOOC, cliquez </w:t>
      </w:r>
      <w:hyperlink r:id="rId35" w:history="1">
        <w:r w:rsidRPr="000F4BFD">
          <w:rPr>
            <w:rStyle w:val="Hyperlink"/>
            <w:rFonts w:ascii="Arial" w:hAnsi="Arial" w:cs="Arial"/>
            <w:sz w:val="18"/>
            <w:szCs w:val="18"/>
            <w:lang w:val="fr-FR"/>
          </w:rPr>
          <w:t>ici</w:t>
        </w:r>
      </w:hyperlink>
      <w:r>
        <w:rPr>
          <w:rFonts w:ascii="Arial" w:hAnsi="Arial" w:cs="Arial"/>
          <w:sz w:val="18"/>
          <w:szCs w:val="18"/>
          <w:lang w:val="fr-FR"/>
        </w:rPr>
        <w:t>.</w:t>
      </w:r>
    </w:p>
  </w:footnote>
  <w:footnote w:id="41">
    <w:p w14:paraId="2FC7EB5D" w14:textId="12A303DF" w:rsidR="00D9653F" w:rsidRPr="000F4BFD" w:rsidRDefault="00D9653F">
      <w:pPr>
        <w:pStyle w:val="FootnoteText"/>
        <w:rPr>
          <w:rFonts w:ascii="Arial" w:hAnsi="Arial" w:cs="Arial"/>
          <w:sz w:val="18"/>
          <w:szCs w:val="18"/>
          <w:lang w:val="fr-FR"/>
        </w:rPr>
      </w:pPr>
      <w:r w:rsidRPr="000F4BFD">
        <w:rPr>
          <w:rStyle w:val="FootnoteReference"/>
          <w:rFonts w:ascii="Arial" w:hAnsi="Arial" w:cs="Arial"/>
          <w:sz w:val="18"/>
          <w:szCs w:val="18"/>
        </w:rPr>
        <w:footnoteRef/>
      </w:r>
      <w:r w:rsidRPr="00D9653F">
        <w:rPr>
          <w:rFonts w:ascii="Arial" w:hAnsi="Arial" w:cs="Arial"/>
          <w:sz w:val="18"/>
          <w:szCs w:val="18"/>
          <w:lang w:val="fr-FR"/>
        </w:rPr>
        <w:t xml:space="preserve"> </w:t>
      </w:r>
      <w:r w:rsidR="00D843E7">
        <w:rPr>
          <w:rFonts w:ascii="Arial" w:hAnsi="Arial" w:cs="Arial"/>
          <w:sz w:val="18"/>
          <w:szCs w:val="18"/>
          <w:lang w:val="fr-FR"/>
        </w:rPr>
        <w:tab/>
      </w:r>
      <w:r>
        <w:rPr>
          <w:rFonts w:ascii="Arial" w:hAnsi="Arial" w:cs="Arial"/>
          <w:sz w:val="18"/>
          <w:szCs w:val="18"/>
          <w:lang w:val="fr-FR"/>
        </w:rPr>
        <w:t>S</w:t>
      </w:r>
      <w:r w:rsidRPr="000F4BFD">
        <w:rPr>
          <w:rFonts w:ascii="Arial" w:hAnsi="Arial" w:cs="Arial"/>
          <w:sz w:val="18"/>
          <w:szCs w:val="18"/>
          <w:lang w:val="fr-FR"/>
        </w:rPr>
        <w:t xml:space="preserve">ite </w:t>
      </w:r>
      <w:r>
        <w:rPr>
          <w:rFonts w:ascii="Arial" w:hAnsi="Arial" w:cs="Arial"/>
          <w:sz w:val="18"/>
          <w:szCs w:val="18"/>
          <w:lang w:val="fr-FR"/>
        </w:rPr>
        <w:t xml:space="preserve">web </w:t>
      </w:r>
      <w:r w:rsidRPr="000F4BFD">
        <w:rPr>
          <w:rFonts w:ascii="Arial" w:hAnsi="Arial" w:cs="Arial"/>
          <w:sz w:val="18"/>
          <w:szCs w:val="18"/>
          <w:lang w:val="fr-FR"/>
        </w:rPr>
        <w:t xml:space="preserve">consacré à </w:t>
      </w:r>
      <w:r>
        <w:rPr>
          <w:rFonts w:ascii="Arial" w:hAnsi="Arial" w:cs="Arial"/>
          <w:sz w:val="18"/>
          <w:szCs w:val="18"/>
          <w:lang w:val="fr-FR"/>
        </w:rPr>
        <w:t xml:space="preserve">la Décennie de l’océan des Nations Unies : </w:t>
      </w:r>
      <w:hyperlink r:id="rId36" w:history="1">
        <w:r w:rsidRPr="00126078">
          <w:rPr>
            <w:rStyle w:val="Hyperlink"/>
            <w:rFonts w:ascii="Arial" w:hAnsi="Arial" w:cs="Arial"/>
            <w:sz w:val="18"/>
            <w:szCs w:val="18"/>
            <w:lang w:val="fr-FR"/>
          </w:rPr>
          <w:t>https://oceandecade.org/fr/</w:t>
        </w:r>
      </w:hyperlink>
      <w:r>
        <w:rPr>
          <w:rFonts w:ascii="Arial" w:hAnsi="Arial" w:cs="Arial"/>
          <w:sz w:val="18"/>
          <w:szCs w:val="18"/>
          <w:lang w:val="fr-FR"/>
        </w:rPr>
        <w:t xml:space="preserve"> </w:t>
      </w:r>
    </w:p>
  </w:footnote>
  <w:footnote w:id="42">
    <w:p w14:paraId="239D087B" w14:textId="56E398FB" w:rsidR="00D9653F" w:rsidRPr="005A1EE8" w:rsidRDefault="00D9653F">
      <w:pPr>
        <w:pStyle w:val="FootnoteText"/>
        <w:rPr>
          <w:rFonts w:ascii="Arial" w:hAnsi="Arial" w:cs="Arial"/>
          <w:sz w:val="18"/>
          <w:szCs w:val="18"/>
          <w:lang w:val="fr-FR"/>
        </w:rPr>
      </w:pPr>
      <w:r w:rsidRPr="000F4BFD">
        <w:rPr>
          <w:rStyle w:val="FootnoteReference"/>
          <w:rFonts w:ascii="Arial" w:hAnsi="Arial" w:cs="Arial"/>
          <w:sz w:val="18"/>
          <w:szCs w:val="18"/>
        </w:rPr>
        <w:footnoteRef/>
      </w:r>
      <w:r w:rsidRPr="00D9653F">
        <w:rPr>
          <w:rFonts w:ascii="Arial" w:hAnsi="Arial" w:cs="Arial"/>
          <w:sz w:val="18"/>
          <w:szCs w:val="18"/>
          <w:lang w:val="fr-FR"/>
        </w:rPr>
        <w:t xml:space="preserve"> </w:t>
      </w:r>
      <w:r w:rsidR="00D843E7">
        <w:rPr>
          <w:rFonts w:ascii="Arial" w:hAnsi="Arial" w:cs="Arial"/>
          <w:sz w:val="18"/>
          <w:szCs w:val="18"/>
          <w:lang w:val="fr-FR"/>
        </w:rPr>
        <w:tab/>
      </w:r>
      <w:r w:rsidRPr="005A1EE8">
        <w:rPr>
          <w:rFonts w:ascii="Arial" w:hAnsi="Arial" w:cs="Arial"/>
          <w:sz w:val="18"/>
          <w:szCs w:val="18"/>
          <w:lang w:val="fr-FR"/>
        </w:rPr>
        <w:t>Site web consacré</w:t>
      </w:r>
      <w:r>
        <w:rPr>
          <w:rFonts w:ascii="Arial" w:hAnsi="Arial" w:cs="Arial"/>
          <w:sz w:val="18"/>
          <w:szCs w:val="18"/>
          <w:lang w:val="fr-FR"/>
        </w:rPr>
        <w:t xml:space="preserve"> à la Décennie internationale des langues autochtones : </w:t>
      </w:r>
      <w:hyperlink r:id="rId37" w:history="1">
        <w:r>
          <w:rPr>
            <w:rStyle w:val="Hyperlink"/>
            <w:rFonts w:ascii="Arial" w:hAnsi="Arial" w:cs="Arial"/>
            <w:sz w:val="18"/>
            <w:szCs w:val="18"/>
            <w:lang w:val="fr-FR"/>
          </w:rPr>
          <w:t>https://fr.idil2022-2032.org/</w:t>
        </w:r>
      </w:hyperlink>
      <w:r>
        <w:rPr>
          <w:rFonts w:ascii="Arial" w:hAnsi="Arial" w:cs="Arial"/>
          <w:sz w:val="18"/>
          <w:szCs w:val="18"/>
          <w:lang w:val="fr-FR"/>
        </w:rPr>
        <w:t xml:space="preserve"> </w:t>
      </w:r>
    </w:p>
  </w:footnote>
  <w:footnote w:id="43">
    <w:p w14:paraId="5A5B2B47" w14:textId="390D4997" w:rsidR="00D9653F" w:rsidRPr="000C2A44" w:rsidRDefault="00D9653F">
      <w:pPr>
        <w:pStyle w:val="FootnoteText"/>
        <w:rPr>
          <w:rFonts w:ascii="Arial" w:hAnsi="Arial" w:cs="Arial"/>
          <w:sz w:val="18"/>
          <w:szCs w:val="18"/>
          <w:lang w:val="fr-FR"/>
        </w:rPr>
      </w:pPr>
      <w:r w:rsidRPr="000C2A44">
        <w:rPr>
          <w:rStyle w:val="FootnoteReference"/>
          <w:rFonts w:ascii="Arial" w:hAnsi="Arial" w:cs="Arial"/>
          <w:sz w:val="18"/>
          <w:szCs w:val="18"/>
          <w:lang w:val="fr-FR"/>
        </w:rPr>
        <w:footnoteRef/>
      </w:r>
      <w:r w:rsidRPr="000C2A44">
        <w:rPr>
          <w:rFonts w:ascii="Arial" w:hAnsi="Arial" w:cs="Arial"/>
          <w:sz w:val="18"/>
          <w:szCs w:val="18"/>
          <w:lang w:val="fr-FR"/>
        </w:rPr>
        <w:t xml:space="preserve"> </w:t>
      </w:r>
      <w:r w:rsidR="00C6345E">
        <w:rPr>
          <w:rFonts w:ascii="Arial" w:hAnsi="Arial" w:cs="Arial"/>
          <w:sz w:val="18"/>
          <w:szCs w:val="18"/>
          <w:lang w:val="fr-FR"/>
        </w:rPr>
        <w:tab/>
      </w:r>
      <w:r w:rsidRPr="000C2A44">
        <w:rPr>
          <w:rFonts w:ascii="Arial" w:hAnsi="Arial" w:cs="Arial"/>
          <w:sz w:val="18"/>
          <w:szCs w:val="18"/>
          <w:lang w:val="fr-FR"/>
        </w:rPr>
        <w:t>Cf.</w:t>
      </w:r>
      <w:r>
        <w:rPr>
          <w:rFonts w:ascii="Arial" w:hAnsi="Arial" w:cs="Arial"/>
          <w:sz w:val="18"/>
          <w:szCs w:val="18"/>
          <w:lang w:val="fr-FR"/>
        </w:rPr>
        <w:t xml:space="preserve"> documents du groupe de travail sur la gouvernance de la trente-huitième session de la Conférence générale </w:t>
      </w:r>
      <w:hyperlink r:id="rId38" w:history="1">
        <w:r w:rsidRPr="000C2A44">
          <w:rPr>
            <w:rStyle w:val="Hyperlink"/>
            <w:rFonts w:ascii="Arial" w:hAnsi="Arial" w:cs="Arial"/>
            <w:sz w:val="18"/>
            <w:szCs w:val="18"/>
            <w:lang w:val="fr-FR"/>
          </w:rPr>
          <w:t>ici</w:t>
        </w:r>
      </w:hyperlink>
      <w:r>
        <w:rPr>
          <w:rFonts w:ascii="Arial" w:hAnsi="Arial" w:cs="Arial"/>
          <w:sz w:val="18"/>
          <w:szCs w:val="18"/>
          <w:lang w:val="fr-FR"/>
        </w:rPr>
        <w:t xml:space="preserve">. </w:t>
      </w:r>
    </w:p>
  </w:footnote>
  <w:footnote w:id="44">
    <w:p w14:paraId="76981F67" w14:textId="639635E9" w:rsidR="00D9653F" w:rsidRPr="00EC72E5" w:rsidRDefault="00D9653F">
      <w:pPr>
        <w:pStyle w:val="FootnoteText"/>
        <w:rPr>
          <w:rFonts w:ascii="Arial" w:hAnsi="Arial" w:cs="Arial"/>
          <w:sz w:val="18"/>
          <w:szCs w:val="18"/>
          <w:lang w:val="fr-FR"/>
        </w:rPr>
      </w:pPr>
      <w:r w:rsidRPr="00EC72E5">
        <w:rPr>
          <w:rStyle w:val="FootnoteReference"/>
          <w:rFonts w:ascii="Arial" w:hAnsi="Arial" w:cs="Arial"/>
          <w:sz w:val="18"/>
          <w:szCs w:val="18"/>
        </w:rPr>
        <w:footnoteRef/>
      </w:r>
      <w:r w:rsidRPr="00D9653F">
        <w:rPr>
          <w:rFonts w:ascii="Arial" w:hAnsi="Arial" w:cs="Arial"/>
          <w:sz w:val="18"/>
          <w:szCs w:val="18"/>
          <w:lang w:val="fr-FR"/>
        </w:rPr>
        <w:t xml:space="preserve"> </w:t>
      </w:r>
      <w:r w:rsidR="00C6345E">
        <w:rPr>
          <w:rFonts w:ascii="Arial" w:hAnsi="Arial" w:cs="Arial"/>
          <w:sz w:val="18"/>
          <w:szCs w:val="18"/>
          <w:lang w:val="fr-FR"/>
        </w:rPr>
        <w:tab/>
      </w:r>
      <w:r w:rsidRPr="000C2A44">
        <w:rPr>
          <w:rFonts w:ascii="Arial" w:hAnsi="Arial" w:cs="Arial"/>
          <w:sz w:val="18"/>
          <w:szCs w:val="18"/>
          <w:lang w:val="fr-FR"/>
        </w:rPr>
        <w:t>Cf.</w:t>
      </w:r>
      <w:r>
        <w:rPr>
          <w:rFonts w:ascii="Arial" w:hAnsi="Arial" w:cs="Arial"/>
          <w:sz w:val="18"/>
          <w:szCs w:val="18"/>
          <w:lang w:val="fr-FR"/>
        </w:rPr>
        <w:t xml:space="preserve"> documents du groupe de travail sur la gouvernance de la trente-neuvième session de la Conférence générale </w:t>
      </w:r>
      <w:hyperlink r:id="rId39" w:history="1">
        <w:r w:rsidRPr="00EC72E5">
          <w:rPr>
            <w:rStyle w:val="Hyperlink"/>
            <w:rFonts w:ascii="Arial" w:hAnsi="Arial" w:cs="Arial"/>
            <w:sz w:val="18"/>
            <w:szCs w:val="18"/>
            <w:lang w:val="fr-FR"/>
          </w:rPr>
          <w:t>ici</w:t>
        </w:r>
      </w:hyperlink>
      <w:r>
        <w:rPr>
          <w:rFonts w:ascii="Arial" w:hAnsi="Arial" w:cs="Arial"/>
          <w:sz w:val="18"/>
          <w:szCs w:val="18"/>
          <w:lang w:val="fr-FR"/>
        </w:rPr>
        <w:t>.</w:t>
      </w:r>
    </w:p>
  </w:footnote>
  <w:footnote w:id="45">
    <w:p w14:paraId="44F99FBD" w14:textId="21C35E82" w:rsidR="00D9653F" w:rsidRPr="00762D40" w:rsidRDefault="00D9653F">
      <w:pPr>
        <w:pStyle w:val="FootnoteText"/>
        <w:rPr>
          <w:rFonts w:ascii="Arial" w:hAnsi="Arial" w:cs="Arial"/>
          <w:sz w:val="18"/>
          <w:szCs w:val="18"/>
          <w:lang w:val="fr-FR"/>
        </w:rPr>
      </w:pPr>
      <w:r w:rsidRPr="00762D40">
        <w:rPr>
          <w:rStyle w:val="FootnoteReference"/>
          <w:rFonts w:ascii="Arial" w:hAnsi="Arial" w:cs="Arial"/>
          <w:sz w:val="18"/>
          <w:szCs w:val="18"/>
          <w:lang w:val="fr-FR"/>
        </w:rPr>
        <w:footnoteRef/>
      </w:r>
      <w:r w:rsidRPr="00762D40">
        <w:rPr>
          <w:rFonts w:ascii="Arial" w:hAnsi="Arial" w:cs="Arial"/>
          <w:sz w:val="18"/>
          <w:szCs w:val="18"/>
          <w:lang w:val="fr-FR"/>
        </w:rPr>
        <w:t xml:space="preserve"> </w:t>
      </w:r>
      <w:r w:rsidR="00C6345E">
        <w:rPr>
          <w:rFonts w:ascii="Arial" w:hAnsi="Arial" w:cs="Arial"/>
          <w:sz w:val="18"/>
          <w:szCs w:val="18"/>
          <w:lang w:val="fr-FR"/>
        </w:rPr>
        <w:tab/>
      </w:r>
      <w:r w:rsidRPr="00762D40">
        <w:rPr>
          <w:rFonts w:ascii="Arial" w:hAnsi="Arial" w:cs="Arial"/>
          <w:sz w:val="18"/>
          <w:szCs w:val="18"/>
          <w:lang w:val="fr-FR"/>
        </w:rPr>
        <w:t xml:space="preserve">Le projet de </w:t>
      </w:r>
      <w:r>
        <w:rPr>
          <w:rFonts w:ascii="Arial" w:hAnsi="Arial" w:cs="Arial"/>
          <w:sz w:val="18"/>
          <w:szCs w:val="18"/>
          <w:lang w:val="fr-FR"/>
        </w:rPr>
        <w:t xml:space="preserve">Règlement intérieur modèle est annexé au document </w:t>
      </w:r>
      <w:hyperlink r:id="rId40" w:history="1">
        <w:r w:rsidRPr="00762D40">
          <w:rPr>
            <w:rStyle w:val="Hyperlink"/>
            <w:rFonts w:ascii="Arial" w:hAnsi="Arial" w:cs="Arial"/>
            <w:sz w:val="18"/>
            <w:szCs w:val="18"/>
            <w:lang w:val="fr-FR"/>
          </w:rPr>
          <w:t>41C/55</w:t>
        </w:r>
      </w:hyperlink>
      <w:r>
        <w:rPr>
          <w:rFonts w:ascii="Arial" w:hAnsi="Arial" w:cs="Arial"/>
          <w:sz w:val="18"/>
          <w:szCs w:val="18"/>
          <w:lang w:val="fr-FR"/>
        </w:rPr>
        <w:t>.</w:t>
      </w:r>
    </w:p>
  </w:footnote>
  <w:footnote w:id="46">
    <w:p w14:paraId="3771F019" w14:textId="3980EB8C" w:rsidR="00D9653F" w:rsidRPr="00E04933" w:rsidRDefault="00D9653F">
      <w:pPr>
        <w:pStyle w:val="FootnoteText"/>
        <w:rPr>
          <w:rFonts w:ascii="Arial" w:hAnsi="Arial" w:cs="Arial"/>
          <w:sz w:val="18"/>
          <w:szCs w:val="18"/>
          <w:lang w:val="fr-FR"/>
        </w:rPr>
      </w:pPr>
      <w:r w:rsidRPr="00E04933">
        <w:rPr>
          <w:rStyle w:val="FootnoteReference"/>
          <w:rFonts w:ascii="Arial" w:hAnsi="Arial" w:cs="Arial"/>
          <w:sz w:val="18"/>
          <w:szCs w:val="18"/>
          <w:lang w:val="fr-FR"/>
        </w:rPr>
        <w:footnoteRef/>
      </w:r>
      <w:r w:rsidRPr="00E04933">
        <w:rPr>
          <w:rFonts w:ascii="Arial" w:hAnsi="Arial" w:cs="Arial"/>
          <w:sz w:val="18"/>
          <w:szCs w:val="18"/>
          <w:lang w:val="fr-FR"/>
        </w:rPr>
        <w:t xml:space="preserve"> </w:t>
      </w:r>
      <w:r w:rsidR="00A83234">
        <w:rPr>
          <w:rFonts w:ascii="Arial" w:hAnsi="Arial" w:cs="Arial"/>
          <w:sz w:val="18"/>
          <w:szCs w:val="18"/>
          <w:lang w:val="fr-FR"/>
        </w:rPr>
        <w:tab/>
      </w:r>
      <w:r w:rsidRPr="001E7691">
        <w:rPr>
          <w:rFonts w:ascii="Arial" w:hAnsi="Arial" w:cs="Arial"/>
          <w:sz w:val="18"/>
          <w:szCs w:val="18"/>
          <w:lang w:val="fr-FR"/>
        </w:rPr>
        <w:t xml:space="preserve">Cf. </w:t>
      </w:r>
      <w:r w:rsidRPr="009F6BC9">
        <w:rPr>
          <w:rFonts w:ascii="Arial" w:hAnsi="Arial" w:cs="Arial"/>
          <w:sz w:val="18"/>
          <w:szCs w:val="18"/>
          <w:lang w:val="fr-FR"/>
        </w:rPr>
        <w:t>Orientations des Nations Unies pour un langage inclusif en français</w:t>
      </w:r>
      <w:r>
        <w:rPr>
          <w:rFonts w:ascii="Arial" w:hAnsi="Arial" w:cs="Arial"/>
          <w:i/>
          <w:iCs/>
          <w:sz w:val="18"/>
          <w:szCs w:val="18"/>
          <w:lang w:val="fr-FR"/>
        </w:rPr>
        <w:t>,</w:t>
      </w:r>
      <w:r>
        <w:rPr>
          <w:rFonts w:ascii="Arial" w:hAnsi="Arial" w:cs="Arial"/>
          <w:sz w:val="18"/>
          <w:szCs w:val="18"/>
          <w:lang w:val="fr-FR"/>
        </w:rPr>
        <w:t xml:space="preserve"> </w:t>
      </w:r>
      <w:hyperlink r:id="rId41" w:history="1">
        <w:r w:rsidRPr="00E04933">
          <w:rPr>
            <w:rStyle w:val="Hyperlink"/>
            <w:rFonts w:ascii="Arial" w:hAnsi="Arial" w:cs="Arial"/>
            <w:sz w:val="18"/>
            <w:szCs w:val="18"/>
            <w:lang w:val="fr-FR"/>
          </w:rPr>
          <w:t>ici</w:t>
        </w:r>
      </w:hyperlink>
      <w:r>
        <w:rPr>
          <w:rFonts w:ascii="Arial" w:hAnsi="Arial" w:cs="Arial"/>
          <w:sz w:val="18"/>
          <w:szCs w:val="18"/>
          <w:lang w:val="fr-FR"/>
        </w:rPr>
        <w:t>.</w:t>
      </w:r>
    </w:p>
  </w:footnote>
  <w:footnote w:id="47">
    <w:p w14:paraId="2914D224" w14:textId="73C1D8D7" w:rsidR="00D9653F" w:rsidRPr="00E611D3" w:rsidRDefault="00D9653F" w:rsidP="009F6BC9">
      <w:pPr>
        <w:pStyle w:val="FootnoteText"/>
        <w:rPr>
          <w:rFonts w:ascii="Arial" w:hAnsi="Arial" w:cs="Arial"/>
          <w:sz w:val="18"/>
          <w:szCs w:val="18"/>
          <w:lang w:val="fr-FR"/>
        </w:rPr>
      </w:pPr>
      <w:r w:rsidRPr="00E611D3">
        <w:rPr>
          <w:rStyle w:val="FootnoteReference"/>
          <w:rFonts w:ascii="Arial" w:hAnsi="Arial" w:cs="Arial"/>
          <w:sz w:val="18"/>
          <w:szCs w:val="18"/>
          <w:lang w:val="fr-FR"/>
        </w:rPr>
        <w:footnoteRef/>
      </w:r>
      <w:r w:rsidRPr="00E611D3">
        <w:rPr>
          <w:rFonts w:ascii="Arial" w:hAnsi="Arial" w:cs="Arial"/>
          <w:sz w:val="18"/>
          <w:szCs w:val="18"/>
          <w:lang w:val="fr-FR"/>
        </w:rPr>
        <w:t xml:space="preserve"> </w:t>
      </w:r>
      <w:r w:rsidR="00A83234">
        <w:rPr>
          <w:rFonts w:ascii="Arial" w:hAnsi="Arial" w:cs="Arial"/>
          <w:sz w:val="18"/>
          <w:szCs w:val="18"/>
          <w:lang w:val="fr-FR"/>
        </w:rPr>
        <w:tab/>
      </w:r>
      <w:r w:rsidRPr="00E611D3">
        <w:rPr>
          <w:rFonts w:ascii="Arial" w:hAnsi="Arial" w:cs="Arial"/>
          <w:sz w:val="18"/>
          <w:szCs w:val="18"/>
          <w:lang w:val="fr-FR"/>
        </w:rPr>
        <w:t xml:space="preserve">La terminologie </w:t>
      </w:r>
      <w:r>
        <w:rPr>
          <w:rFonts w:ascii="Arial" w:hAnsi="Arial" w:cs="Arial"/>
          <w:sz w:val="18"/>
          <w:szCs w:val="18"/>
          <w:lang w:val="fr-FR"/>
        </w:rPr>
        <w:t>(</w:t>
      </w:r>
      <w:r w:rsidRPr="00E611D3">
        <w:rPr>
          <w:rFonts w:ascii="Arial" w:hAnsi="Arial" w:cs="Arial"/>
          <w:i/>
          <w:iCs/>
          <w:sz w:val="18"/>
          <w:szCs w:val="18"/>
          <w:lang w:val="fr-FR"/>
        </w:rPr>
        <w:t xml:space="preserve">in </w:t>
      </w:r>
      <w:proofErr w:type="spellStart"/>
      <w:r w:rsidRPr="00E611D3">
        <w:rPr>
          <w:rFonts w:ascii="Arial" w:hAnsi="Arial" w:cs="Arial"/>
          <w:i/>
          <w:iCs/>
          <w:sz w:val="18"/>
          <w:szCs w:val="18"/>
          <w:lang w:val="fr-FR"/>
        </w:rPr>
        <w:t>praesentia</w:t>
      </w:r>
      <w:proofErr w:type="spellEnd"/>
      <w:r>
        <w:rPr>
          <w:rFonts w:ascii="Arial" w:hAnsi="Arial" w:cs="Arial"/>
          <w:sz w:val="18"/>
          <w:szCs w:val="18"/>
          <w:lang w:val="fr-FR"/>
        </w:rPr>
        <w:t xml:space="preserve">) </w:t>
      </w:r>
      <w:r w:rsidRPr="00E611D3">
        <w:rPr>
          <w:rFonts w:ascii="Arial" w:hAnsi="Arial" w:cs="Arial"/>
          <w:sz w:val="18"/>
          <w:szCs w:val="18"/>
          <w:lang w:val="fr-FR"/>
        </w:rPr>
        <w:t>provient des modalités qui ont été convenues par le Conseil exécutif pour une éventuelle réunion en ligne de</w:t>
      </w:r>
      <w:r>
        <w:rPr>
          <w:rFonts w:ascii="Arial" w:hAnsi="Arial" w:cs="Arial"/>
          <w:sz w:val="18"/>
          <w:szCs w:val="18"/>
          <w:lang w:val="fr-FR"/>
        </w:rPr>
        <w:t xml:space="preserve"> </w:t>
      </w:r>
      <w:r w:rsidRPr="00E611D3">
        <w:rPr>
          <w:rFonts w:ascii="Arial" w:hAnsi="Arial" w:cs="Arial"/>
          <w:sz w:val="18"/>
          <w:szCs w:val="18"/>
          <w:lang w:val="fr-FR"/>
        </w:rPr>
        <w:t>la Conférence générale.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5F17" w14:textId="28944D09" w:rsidR="00210652" w:rsidRPr="00290AA9" w:rsidRDefault="002B776B" w:rsidP="00374593">
    <w:pPr>
      <w:pStyle w:val="Header"/>
      <w:rPr>
        <w:rFonts w:ascii="Arial" w:hAnsi="Arial" w:cs="Arial"/>
        <w:lang w:val="fr-FR"/>
      </w:rPr>
    </w:pPr>
    <w:r>
      <w:rPr>
        <w:rFonts w:ascii="Arial" w:hAnsi="Arial" w:cs="Arial"/>
        <w:sz w:val="20"/>
        <w:szCs w:val="20"/>
        <w:lang w:val="fr-FR"/>
      </w:rPr>
      <w:t>LHE/2</w:t>
    </w:r>
    <w:r w:rsidR="002D4EFE">
      <w:rPr>
        <w:rFonts w:ascii="Arial" w:hAnsi="Arial" w:cs="Arial"/>
        <w:sz w:val="20"/>
        <w:szCs w:val="20"/>
        <w:lang w:val="fr-FR"/>
      </w:rPr>
      <w:t>4</w:t>
    </w:r>
    <w:r>
      <w:rPr>
        <w:rFonts w:ascii="Arial" w:hAnsi="Arial" w:cs="Arial"/>
        <w:sz w:val="20"/>
        <w:szCs w:val="20"/>
        <w:lang w:val="fr-FR"/>
      </w:rPr>
      <w:t>/1</w:t>
    </w:r>
    <w:r w:rsidR="002D4EFE">
      <w:rPr>
        <w:rFonts w:ascii="Arial" w:hAnsi="Arial" w:cs="Arial"/>
        <w:sz w:val="20"/>
        <w:szCs w:val="20"/>
        <w:lang w:val="fr-FR"/>
      </w:rPr>
      <w:t>0</w:t>
    </w:r>
    <w:r w:rsidR="00210652" w:rsidRPr="00290AA9">
      <w:rPr>
        <w:rFonts w:ascii="Arial" w:hAnsi="Arial" w:cs="Arial"/>
        <w:sz w:val="20"/>
        <w:szCs w:val="20"/>
        <w:lang w:val="fr-FR"/>
      </w:rPr>
      <w:t>.</w:t>
    </w:r>
    <w:r w:rsidR="002D4EFE">
      <w:rPr>
        <w:rFonts w:ascii="Arial" w:hAnsi="Arial" w:cs="Arial"/>
        <w:sz w:val="20"/>
        <w:szCs w:val="20"/>
        <w:lang w:val="fr-FR"/>
      </w:rPr>
      <w:t>GA</w:t>
    </w:r>
    <w:r w:rsidR="00210652" w:rsidRPr="00290AA9">
      <w:rPr>
        <w:rFonts w:ascii="Arial" w:hAnsi="Arial" w:cs="Arial"/>
        <w:sz w:val="20"/>
        <w:szCs w:val="20"/>
        <w:lang w:val="fr-FR"/>
      </w:rPr>
      <w:t>/INF.</w:t>
    </w:r>
    <w:r w:rsidR="00D9653F">
      <w:rPr>
        <w:rFonts w:ascii="Arial" w:hAnsi="Arial" w:cs="Arial"/>
        <w:sz w:val="20"/>
        <w:szCs w:val="20"/>
        <w:lang w:val="fr-FR"/>
      </w:rPr>
      <w:t>1</w:t>
    </w:r>
    <w:r w:rsidR="00210652" w:rsidRPr="00290AA9">
      <w:rPr>
        <w:rFonts w:ascii="Arial" w:hAnsi="Arial" w:cs="Arial"/>
        <w:sz w:val="20"/>
        <w:szCs w:val="20"/>
        <w:lang w:val="fr-FR"/>
      </w:rPr>
      <w:t xml:space="preserve"> –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7A68C7">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AB5B" w14:textId="49C3FED4" w:rsidR="00DF2146" w:rsidRPr="005739ED" w:rsidRDefault="00221D0C" w:rsidP="00374593">
    <w:pPr>
      <w:pStyle w:val="Header"/>
      <w:jc w:val="right"/>
      <w:rPr>
        <w:rFonts w:ascii="Arial" w:hAnsi="Arial" w:cs="Arial"/>
        <w:lang w:val="pt-PT"/>
      </w:rPr>
    </w:pPr>
    <w:r w:rsidRPr="005739ED">
      <w:rPr>
        <w:rFonts w:ascii="Arial" w:hAnsi="Arial" w:cs="Arial"/>
        <w:sz w:val="20"/>
        <w:szCs w:val="20"/>
        <w:lang w:val="pt-PT"/>
      </w:rPr>
      <w:t>LHE/</w:t>
    </w:r>
    <w:r w:rsidR="002B776B" w:rsidRPr="005739ED">
      <w:rPr>
        <w:rFonts w:ascii="Arial" w:hAnsi="Arial" w:cs="Arial"/>
        <w:sz w:val="20"/>
        <w:szCs w:val="20"/>
        <w:lang w:val="pt-PT"/>
      </w:rPr>
      <w:t>2</w:t>
    </w:r>
    <w:r w:rsidR="002D4EFE">
      <w:rPr>
        <w:rFonts w:ascii="Arial" w:hAnsi="Arial" w:cs="Arial"/>
        <w:sz w:val="20"/>
        <w:szCs w:val="20"/>
        <w:lang w:val="pt-PT"/>
      </w:rPr>
      <w:t>4</w:t>
    </w:r>
    <w:r w:rsidR="002B776B" w:rsidRPr="005739ED">
      <w:rPr>
        <w:rFonts w:ascii="Arial" w:hAnsi="Arial" w:cs="Arial"/>
        <w:sz w:val="20"/>
        <w:szCs w:val="20"/>
        <w:lang w:val="pt-PT"/>
      </w:rPr>
      <w:t>/1</w:t>
    </w:r>
    <w:r w:rsidR="002D4EFE">
      <w:rPr>
        <w:rFonts w:ascii="Arial" w:hAnsi="Arial" w:cs="Arial"/>
        <w:sz w:val="20"/>
        <w:szCs w:val="20"/>
        <w:lang w:val="pt-PT"/>
      </w:rPr>
      <w:t>0</w:t>
    </w:r>
    <w:r w:rsidR="00074CE1" w:rsidRPr="005739ED">
      <w:rPr>
        <w:rFonts w:ascii="Arial" w:hAnsi="Arial" w:cs="Arial"/>
        <w:sz w:val="20"/>
        <w:szCs w:val="20"/>
        <w:lang w:val="pt-PT"/>
      </w:rPr>
      <w:t>.</w:t>
    </w:r>
    <w:r w:rsidR="002D4EFE">
      <w:rPr>
        <w:rFonts w:ascii="Arial" w:hAnsi="Arial" w:cs="Arial"/>
        <w:sz w:val="20"/>
        <w:szCs w:val="20"/>
        <w:lang w:val="pt-PT"/>
      </w:rPr>
      <w:t>GA</w:t>
    </w:r>
    <w:r w:rsidR="00DF2146" w:rsidRPr="005739ED">
      <w:rPr>
        <w:rFonts w:ascii="Arial" w:hAnsi="Arial" w:cs="Arial"/>
        <w:sz w:val="20"/>
        <w:szCs w:val="20"/>
        <w:lang w:val="pt-PT"/>
      </w:rPr>
      <w:t>/INF.</w:t>
    </w:r>
    <w:r w:rsidR="00D9653F">
      <w:rPr>
        <w:rFonts w:ascii="Arial" w:hAnsi="Arial" w:cs="Arial"/>
        <w:sz w:val="20"/>
        <w:szCs w:val="20"/>
        <w:lang w:val="pt-PT"/>
      </w:rPr>
      <w:t>1</w:t>
    </w:r>
    <w:r w:rsidR="00DF2146" w:rsidRPr="005739ED">
      <w:rPr>
        <w:rFonts w:ascii="Arial" w:hAnsi="Arial" w:cs="Arial"/>
        <w:sz w:val="20"/>
        <w:szCs w:val="20"/>
        <w:lang w:val="pt-PT"/>
      </w:rPr>
      <w:t xml:space="preserve"> – page </w:t>
    </w:r>
    <w:r w:rsidR="00DF2146" w:rsidRPr="00EF563B">
      <w:rPr>
        <w:rStyle w:val="PageNumber"/>
        <w:rFonts w:ascii="Arial" w:hAnsi="Arial" w:cs="Arial"/>
        <w:sz w:val="20"/>
        <w:szCs w:val="20"/>
      </w:rPr>
      <w:fldChar w:fldCharType="begin"/>
    </w:r>
    <w:r w:rsidR="00DF2146" w:rsidRPr="005739ED">
      <w:rPr>
        <w:rStyle w:val="PageNumber"/>
        <w:rFonts w:ascii="Arial" w:hAnsi="Arial" w:cs="Arial"/>
        <w:sz w:val="20"/>
        <w:szCs w:val="20"/>
        <w:lang w:val="pt-PT"/>
      </w:rPr>
      <w:instrText xml:space="preserve"> PAGE </w:instrText>
    </w:r>
    <w:r w:rsidR="00DF2146" w:rsidRPr="00EF563B">
      <w:rPr>
        <w:rStyle w:val="PageNumber"/>
        <w:rFonts w:ascii="Arial" w:hAnsi="Arial" w:cs="Arial"/>
        <w:sz w:val="20"/>
        <w:szCs w:val="20"/>
      </w:rPr>
      <w:fldChar w:fldCharType="separate"/>
    </w:r>
    <w:r w:rsidR="007A68C7" w:rsidRPr="005739ED">
      <w:rPr>
        <w:rStyle w:val="PageNumber"/>
        <w:rFonts w:ascii="Arial" w:hAnsi="Arial" w:cs="Arial"/>
        <w:noProof/>
        <w:sz w:val="20"/>
        <w:szCs w:val="20"/>
        <w:lang w:val="pt-PT"/>
      </w:rPr>
      <w:t>3</w:t>
    </w:r>
    <w:r w:rsidR="00DF2146"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7DE5" w14:textId="05FF34D0" w:rsidR="00210652" w:rsidRPr="004475EE" w:rsidRDefault="00183E85">
    <w:pPr>
      <w:pStyle w:val="Header"/>
      <w:rPr>
        <w:sz w:val="22"/>
        <w:szCs w:val="22"/>
      </w:rPr>
    </w:pPr>
    <w:r>
      <w:rPr>
        <w:rFonts w:ascii="Arial" w:hAnsi="Arial" w:cs="Arial"/>
        <w:b/>
        <w:noProof/>
        <w:sz w:val="44"/>
        <w:szCs w:val="44"/>
        <w:lang w:val="pt-PT"/>
      </w:rPr>
      <w:drawing>
        <wp:anchor distT="0" distB="0" distL="114300" distR="114300" simplePos="0" relativeHeight="251658240" behindDoc="1" locked="0" layoutInCell="1" allowOverlap="1" wp14:anchorId="56B9969A" wp14:editId="79402892">
          <wp:simplePos x="0" y="0"/>
          <wp:positionH relativeFrom="margin">
            <wp:align>left</wp:align>
          </wp:positionH>
          <wp:positionV relativeFrom="paragraph">
            <wp:posOffset>40640</wp:posOffset>
          </wp:positionV>
          <wp:extent cx="1710000" cy="1436138"/>
          <wp:effectExtent l="0" t="0" r="508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A7D08" w14:textId="28801F45" w:rsidR="00210652" w:rsidRPr="005739ED" w:rsidRDefault="00F41BA9" w:rsidP="00183E85">
    <w:pPr>
      <w:pStyle w:val="Header"/>
      <w:tabs>
        <w:tab w:val="clear" w:pos="9072"/>
        <w:tab w:val="left" w:pos="798"/>
        <w:tab w:val="right" w:pos="9638"/>
      </w:tabs>
      <w:spacing w:after="520"/>
      <w:jc w:val="right"/>
      <w:rPr>
        <w:rFonts w:ascii="Arial" w:hAnsi="Arial" w:cs="Arial"/>
        <w:b/>
        <w:sz w:val="44"/>
        <w:szCs w:val="44"/>
        <w:lang w:val="pt-PT"/>
      </w:rPr>
    </w:pPr>
    <w:r w:rsidRPr="005739ED">
      <w:rPr>
        <w:rFonts w:ascii="Arial" w:hAnsi="Arial" w:cs="Arial"/>
        <w:b/>
        <w:sz w:val="44"/>
        <w:szCs w:val="44"/>
        <w:lang w:val="pt-PT"/>
      </w:rPr>
      <w:t>1</w:t>
    </w:r>
    <w:r w:rsidR="002D4EFE">
      <w:rPr>
        <w:rFonts w:ascii="Arial" w:hAnsi="Arial" w:cs="Arial"/>
        <w:b/>
        <w:sz w:val="44"/>
        <w:szCs w:val="44"/>
        <w:lang w:val="pt-PT"/>
      </w:rPr>
      <w:t>0</w:t>
    </w:r>
    <w:r w:rsidR="00210652" w:rsidRPr="005739ED">
      <w:rPr>
        <w:rFonts w:ascii="Arial" w:hAnsi="Arial" w:cs="Arial"/>
        <w:b/>
        <w:sz w:val="44"/>
        <w:szCs w:val="44"/>
        <w:lang w:val="pt-PT"/>
      </w:rPr>
      <w:t xml:space="preserve"> </w:t>
    </w:r>
    <w:r w:rsidR="002D4EFE">
      <w:rPr>
        <w:rFonts w:ascii="Arial" w:hAnsi="Arial" w:cs="Arial"/>
        <w:b/>
        <w:sz w:val="44"/>
        <w:szCs w:val="44"/>
        <w:lang w:val="pt-PT"/>
      </w:rPr>
      <w:t>GA</w:t>
    </w:r>
  </w:p>
  <w:p w14:paraId="030B5049" w14:textId="6A0B3FF4" w:rsidR="00210652" w:rsidRPr="005739ED" w:rsidRDefault="002B776B" w:rsidP="00183E85">
    <w:pPr>
      <w:jc w:val="right"/>
      <w:rPr>
        <w:rFonts w:ascii="Arial" w:hAnsi="Arial" w:cs="Arial"/>
        <w:b/>
        <w:sz w:val="22"/>
        <w:szCs w:val="22"/>
        <w:lang w:val="pt-PT"/>
      </w:rPr>
    </w:pPr>
    <w:r w:rsidRPr="005739ED">
      <w:rPr>
        <w:rFonts w:ascii="Arial" w:hAnsi="Arial" w:cs="Arial"/>
        <w:b/>
        <w:sz w:val="22"/>
        <w:szCs w:val="22"/>
        <w:lang w:val="pt-PT"/>
      </w:rPr>
      <w:t>LHE/2</w:t>
    </w:r>
    <w:r w:rsidR="002D4EFE">
      <w:rPr>
        <w:rFonts w:ascii="Arial" w:hAnsi="Arial" w:cs="Arial"/>
        <w:b/>
        <w:sz w:val="22"/>
        <w:szCs w:val="22"/>
        <w:lang w:val="pt-PT"/>
      </w:rPr>
      <w:t>4</w:t>
    </w:r>
    <w:r w:rsidRPr="005739ED">
      <w:rPr>
        <w:rFonts w:ascii="Arial" w:hAnsi="Arial" w:cs="Arial"/>
        <w:b/>
        <w:sz w:val="22"/>
        <w:szCs w:val="22"/>
        <w:lang w:val="pt-PT"/>
      </w:rPr>
      <w:t>/1</w:t>
    </w:r>
    <w:r w:rsidR="002D4EFE">
      <w:rPr>
        <w:rFonts w:ascii="Arial" w:hAnsi="Arial" w:cs="Arial"/>
        <w:b/>
        <w:sz w:val="22"/>
        <w:szCs w:val="22"/>
        <w:lang w:val="pt-PT"/>
      </w:rPr>
      <w:t>0</w:t>
    </w:r>
    <w:r w:rsidR="00210652" w:rsidRPr="005739ED">
      <w:rPr>
        <w:rFonts w:ascii="Arial" w:hAnsi="Arial" w:cs="Arial"/>
        <w:b/>
        <w:sz w:val="22"/>
        <w:szCs w:val="22"/>
        <w:lang w:val="pt-PT"/>
      </w:rPr>
      <w:t>.</w:t>
    </w:r>
    <w:r w:rsidR="002D4EFE">
      <w:rPr>
        <w:rFonts w:ascii="Arial" w:hAnsi="Arial" w:cs="Arial"/>
        <w:b/>
        <w:sz w:val="22"/>
        <w:szCs w:val="22"/>
        <w:lang w:val="pt-PT"/>
      </w:rPr>
      <w:t>GA</w:t>
    </w:r>
    <w:r w:rsidR="00210652" w:rsidRPr="005739ED">
      <w:rPr>
        <w:rFonts w:ascii="Arial" w:hAnsi="Arial" w:cs="Arial"/>
        <w:b/>
        <w:sz w:val="22"/>
        <w:szCs w:val="22"/>
        <w:lang w:val="pt-PT"/>
      </w:rPr>
      <w:t>/INF.</w:t>
    </w:r>
    <w:r w:rsidR="00D9653F">
      <w:rPr>
        <w:rFonts w:ascii="Arial" w:hAnsi="Arial" w:cs="Arial"/>
        <w:b/>
        <w:sz w:val="22"/>
        <w:szCs w:val="22"/>
        <w:lang w:val="pt-PT"/>
      </w:rPr>
      <w:t>1</w:t>
    </w:r>
  </w:p>
  <w:p w14:paraId="6413B2B8" w14:textId="7D9DF82F" w:rsidR="00210652" w:rsidRPr="005739ED" w:rsidRDefault="003F6D0C" w:rsidP="00183E85">
    <w:pPr>
      <w:tabs>
        <w:tab w:val="left" w:pos="953"/>
        <w:tab w:val="right" w:pos="9638"/>
      </w:tabs>
      <w:jc w:val="right"/>
      <w:rPr>
        <w:rFonts w:ascii="Arial" w:eastAsiaTheme="minorEastAsia" w:hAnsi="Arial" w:cs="Arial"/>
        <w:b/>
        <w:sz w:val="22"/>
        <w:szCs w:val="22"/>
        <w:lang w:val="pt-PT" w:eastAsia="ko-KR"/>
      </w:rPr>
    </w:pPr>
    <w:r>
      <w:rPr>
        <w:rFonts w:ascii="Arial" w:hAnsi="Arial" w:cs="Arial"/>
        <w:b/>
        <w:sz w:val="22"/>
        <w:szCs w:val="22"/>
        <w:lang w:val="pt-PT"/>
      </w:rPr>
      <w:tab/>
    </w:r>
    <w:r>
      <w:rPr>
        <w:rFonts w:ascii="Arial" w:hAnsi="Arial" w:cs="Arial"/>
        <w:b/>
        <w:sz w:val="22"/>
        <w:szCs w:val="22"/>
        <w:lang w:val="pt-PT"/>
      </w:rPr>
      <w:tab/>
    </w:r>
    <w:r w:rsidR="00210652" w:rsidRPr="005739ED">
      <w:rPr>
        <w:rFonts w:ascii="Arial" w:hAnsi="Arial" w:cs="Arial"/>
        <w:b/>
        <w:sz w:val="22"/>
        <w:szCs w:val="22"/>
        <w:lang w:val="pt-PT"/>
      </w:rPr>
      <w:t xml:space="preserve">Paris, </w:t>
    </w:r>
    <w:r w:rsidR="008A0A27" w:rsidRPr="005739ED">
      <w:rPr>
        <w:rFonts w:ascii="Arial" w:hAnsi="Arial" w:cs="Arial"/>
        <w:b/>
        <w:sz w:val="22"/>
        <w:szCs w:val="22"/>
        <w:lang w:val="pt-PT"/>
      </w:rPr>
      <w:t xml:space="preserve">le </w:t>
    </w:r>
    <w:r w:rsidR="008D65C3">
      <w:rPr>
        <w:rFonts w:ascii="Arial" w:hAnsi="Arial" w:cs="Arial"/>
        <w:b/>
        <w:sz w:val="22"/>
        <w:szCs w:val="22"/>
        <w:lang w:val="pt-PT"/>
      </w:rPr>
      <w:t>13</w:t>
    </w:r>
    <w:r w:rsidR="00521C48">
      <w:rPr>
        <w:rFonts w:ascii="Arial" w:hAnsi="Arial" w:cs="Arial"/>
        <w:b/>
        <w:sz w:val="22"/>
        <w:szCs w:val="22"/>
        <w:lang w:val="pt-PT"/>
      </w:rPr>
      <w:t xml:space="preserve"> mai</w:t>
    </w:r>
    <w:r w:rsidR="002B776B" w:rsidRPr="005739ED">
      <w:rPr>
        <w:rFonts w:ascii="Arial" w:hAnsi="Arial" w:cs="Arial"/>
        <w:b/>
        <w:sz w:val="22"/>
        <w:szCs w:val="22"/>
        <w:lang w:val="pt-PT"/>
      </w:rPr>
      <w:t xml:space="preserve"> </w:t>
    </w:r>
    <w:r w:rsidR="00521C48" w:rsidRPr="005739ED">
      <w:rPr>
        <w:rFonts w:ascii="Arial" w:hAnsi="Arial" w:cs="Arial"/>
        <w:b/>
        <w:sz w:val="22"/>
        <w:szCs w:val="22"/>
        <w:lang w:val="pt-PT"/>
      </w:rPr>
      <w:t>202</w:t>
    </w:r>
    <w:r w:rsidR="00521C48">
      <w:rPr>
        <w:rFonts w:ascii="Arial" w:hAnsi="Arial" w:cs="Arial"/>
        <w:b/>
        <w:sz w:val="22"/>
        <w:szCs w:val="22"/>
        <w:lang w:val="pt-PT"/>
      </w:rPr>
      <w:t>4</w:t>
    </w:r>
  </w:p>
  <w:p w14:paraId="62BC3182" w14:textId="33785F92" w:rsidR="00210652" w:rsidRDefault="00210652" w:rsidP="00183E85">
    <w:pPr>
      <w:spacing w:after="120"/>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D9653F">
      <w:rPr>
        <w:rFonts w:ascii="Arial" w:hAnsi="Arial" w:cs="Arial"/>
        <w:b/>
        <w:sz w:val="22"/>
        <w:szCs w:val="22"/>
        <w:lang w:val="fr-FR"/>
      </w:rPr>
      <w:t>anglais</w:t>
    </w:r>
  </w:p>
  <w:p w14:paraId="68C431F3" w14:textId="77777777" w:rsidR="00EE2C66" w:rsidRPr="004475EE" w:rsidRDefault="00EE2C66" w:rsidP="00EE2C66">
    <w:pPr>
      <w:ind w:right="440"/>
      <w:rPr>
        <w:rFonts w:eastAsiaTheme="minorEastAsia"/>
        <w:bCs/>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05824FB"/>
    <w:multiLevelType w:val="hybridMultilevel"/>
    <w:tmpl w:val="D812E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48B7"/>
    <w:multiLevelType w:val="multilevel"/>
    <w:tmpl w:val="9854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417125"/>
    <w:multiLevelType w:val="hybridMultilevel"/>
    <w:tmpl w:val="C642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B14D83"/>
    <w:multiLevelType w:val="singleLevel"/>
    <w:tmpl w:val="927E70FE"/>
    <w:lvl w:ilvl="0">
      <w:start w:val="1"/>
      <w:numFmt w:val="bullet"/>
      <w:lvlText w:val=""/>
      <w:lvlJc w:val="left"/>
      <w:pPr>
        <w:tabs>
          <w:tab w:val="num" w:pos="644"/>
        </w:tabs>
        <w:ind w:left="284" w:firstLine="0"/>
      </w:pPr>
      <w:rPr>
        <w:rFonts w:ascii="Symbol" w:hAnsi="Symbol" w:hint="default"/>
      </w:rPr>
    </w:lvl>
  </w:abstractNum>
  <w:abstractNum w:abstractNumId="9" w15:restartNumberingAfterBreak="0">
    <w:nsid w:val="33DC440D"/>
    <w:multiLevelType w:val="multilevel"/>
    <w:tmpl w:val="D31E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512F51C7"/>
    <w:multiLevelType w:val="hybridMultilevel"/>
    <w:tmpl w:val="2F9AB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E560CCD"/>
    <w:multiLevelType w:val="hybridMultilevel"/>
    <w:tmpl w:val="E9DC5A3E"/>
    <w:lvl w:ilvl="0" w:tplc="958A3DAE">
      <w:start w:val="1"/>
      <w:numFmt w:val="decimal"/>
      <w:lvlText w:val="%1."/>
      <w:lvlJc w:val="left"/>
      <w:pPr>
        <w:ind w:left="4608" w:hanging="360"/>
      </w:pPr>
      <w:rPr>
        <w:rFonts w:ascii="Arial" w:hAnsi="Arial" w:cs="Akhbar MT" w:hint="default"/>
        <w:b w:val="0"/>
        <w:i w:val="0"/>
        <w:color w:val="auto"/>
        <w:sz w:val="22"/>
        <w:szCs w:val="22"/>
      </w:rPr>
    </w:lvl>
    <w:lvl w:ilvl="1" w:tplc="040C0019">
      <w:start w:val="1"/>
      <w:numFmt w:val="lowerLetter"/>
      <w:lvlText w:val="%2."/>
      <w:lvlJc w:val="left"/>
      <w:pPr>
        <w:ind w:left="6408" w:hanging="360"/>
      </w:pPr>
    </w:lvl>
    <w:lvl w:ilvl="2" w:tplc="040C001B">
      <w:start w:val="1"/>
      <w:numFmt w:val="lowerRoman"/>
      <w:lvlText w:val="%3."/>
      <w:lvlJc w:val="right"/>
      <w:pPr>
        <w:ind w:left="7128" w:hanging="180"/>
      </w:pPr>
    </w:lvl>
    <w:lvl w:ilvl="3" w:tplc="040C000F" w:tentative="1">
      <w:start w:val="1"/>
      <w:numFmt w:val="decimal"/>
      <w:lvlText w:val="%4."/>
      <w:lvlJc w:val="left"/>
      <w:pPr>
        <w:ind w:left="7848" w:hanging="360"/>
      </w:pPr>
    </w:lvl>
    <w:lvl w:ilvl="4" w:tplc="040C0019" w:tentative="1">
      <w:start w:val="1"/>
      <w:numFmt w:val="lowerLetter"/>
      <w:lvlText w:val="%5."/>
      <w:lvlJc w:val="left"/>
      <w:pPr>
        <w:ind w:left="8568" w:hanging="360"/>
      </w:pPr>
    </w:lvl>
    <w:lvl w:ilvl="5" w:tplc="040C001B" w:tentative="1">
      <w:start w:val="1"/>
      <w:numFmt w:val="lowerRoman"/>
      <w:lvlText w:val="%6."/>
      <w:lvlJc w:val="right"/>
      <w:pPr>
        <w:ind w:left="9288" w:hanging="180"/>
      </w:pPr>
    </w:lvl>
    <w:lvl w:ilvl="6" w:tplc="040C000F" w:tentative="1">
      <w:start w:val="1"/>
      <w:numFmt w:val="decimal"/>
      <w:lvlText w:val="%7."/>
      <w:lvlJc w:val="left"/>
      <w:pPr>
        <w:ind w:left="10008" w:hanging="360"/>
      </w:pPr>
    </w:lvl>
    <w:lvl w:ilvl="7" w:tplc="040C0019" w:tentative="1">
      <w:start w:val="1"/>
      <w:numFmt w:val="lowerLetter"/>
      <w:lvlText w:val="%8."/>
      <w:lvlJc w:val="left"/>
      <w:pPr>
        <w:ind w:left="10728" w:hanging="360"/>
      </w:pPr>
    </w:lvl>
    <w:lvl w:ilvl="8" w:tplc="040C001B" w:tentative="1">
      <w:start w:val="1"/>
      <w:numFmt w:val="lowerRoman"/>
      <w:lvlText w:val="%9."/>
      <w:lvlJc w:val="right"/>
      <w:pPr>
        <w:ind w:left="11448" w:hanging="180"/>
      </w:pPr>
    </w:lvl>
  </w:abstractNum>
  <w:num w:numId="1" w16cid:durableId="188689946">
    <w:abstractNumId w:val="14"/>
  </w:num>
  <w:num w:numId="2" w16cid:durableId="1032729116">
    <w:abstractNumId w:val="12"/>
  </w:num>
  <w:num w:numId="3" w16cid:durableId="1443106092">
    <w:abstractNumId w:val="4"/>
  </w:num>
  <w:num w:numId="4" w16cid:durableId="100536987">
    <w:abstractNumId w:val="18"/>
  </w:num>
  <w:num w:numId="5" w16cid:durableId="1009479545">
    <w:abstractNumId w:val="15"/>
  </w:num>
  <w:num w:numId="6" w16cid:durableId="367411470">
    <w:abstractNumId w:val="1"/>
  </w:num>
  <w:num w:numId="7" w16cid:durableId="1533029451">
    <w:abstractNumId w:val="5"/>
  </w:num>
  <w:num w:numId="8" w16cid:durableId="1127892293">
    <w:abstractNumId w:val="11"/>
  </w:num>
  <w:num w:numId="9" w16cid:durableId="452864038">
    <w:abstractNumId w:val="0"/>
  </w:num>
  <w:num w:numId="10" w16cid:durableId="620880">
    <w:abstractNumId w:val="7"/>
  </w:num>
  <w:num w:numId="11" w16cid:durableId="1769302464">
    <w:abstractNumId w:val="10"/>
  </w:num>
  <w:num w:numId="12" w16cid:durableId="1268082918">
    <w:abstractNumId w:val="10"/>
  </w:num>
  <w:num w:numId="13" w16cid:durableId="800153531">
    <w:abstractNumId w:val="10"/>
  </w:num>
  <w:num w:numId="14" w16cid:durableId="15805595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8985928">
    <w:abstractNumId w:val="8"/>
  </w:num>
  <w:num w:numId="16" w16cid:durableId="1992831663">
    <w:abstractNumId w:val="17"/>
  </w:num>
  <w:num w:numId="17" w16cid:durableId="631250394">
    <w:abstractNumId w:val="3"/>
  </w:num>
  <w:num w:numId="18" w16cid:durableId="1786654448">
    <w:abstractNumId w:val="9"/>
  </w:num>
  <w:num w:numId="19" w16cid:durableId="1778787614">
    <w:abstractNumId w:val="19"/>
  </w:num>
  <w:num w:numId="20" w16cid:durableId="798106974">
    <w:abstractNumId w:val="6"/>
  </w:num>
  <w:num w:numId="21" w16cid:durableId="1316714610">
    <w:abstractNumId w:val="13"/>
  </w:num>
  <w:num w:numId="22" w16cid:durableId="1935280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560"/>
    <w:rsid w:val="000016A4"/>
    <w:rsid w:val="000019DB"/>
    <w:rsid w:val="000047CC"/>
    <w:rsid w:val="00011736"/>
    <w:rsid w:val="00021831"/>
    <w:rsid w:val="00026FB3"/>
    <w:rsid w:val="000438FF"/>
    <w:rsid w:val="00047E58"/>
    <w:rsid w:val="000558C9"/>
    <w:rsid w:val="00061949"/>
    <w:rsid w:val="00073D20"/>
    <w:rsid w:val="00074CE1"/>
    <w:rsid w:val="000755E1"/>
    <w:rsid w:val="00085541"/>
    <w:rsid w:val="0008739D"/>
    <w:rsid w:val="000936CD"/>
    <w:rsid w:val="000A34CE"/>
    <w:rsid w:val="000C30DD"/>
    <w:rsid w:val="000C65E4"/>
    <w:rsid w:val="0011750D"/>
    <w:rsid w:val="001412DE"/>
    <w:rsid w:val="0014132E"/>
    <w:rsid w:val="00144A4D"/>
    <w:rsid w:val="00151351"/>
    <w:rsid w:val="001706CD"/>
    <w:rsid w:val="00174B39"/>
    <w:rsid w:val="00183E85"/>
    <w:rsid w:val="00194E4A"/>
    <w:rsid w:val="001A431C"/>
    <w:rsid w:val="001A457E"/>
    <w:rsid w:val="001C3EFF"/>
    <w:rsid w:val="001D5969"/>
    <w:rsid w:val="001E7691"/>
    <w:rsid w:val="001F067C"/>
    <w:rsid w:val="001F37CA"/>
    <w:rsid w:val="00210652"/>
    <w:rsid w:val="00221D0C"/>
    <w:rsid w:val="00241D54"/>
    <w:rsid w:val="002512C5"/>
    <w:rsid w:val="00254DEF"/>
    <w:rsid w:val="0026573F"/>
    <w:rsid w:val="00286C0C"/>
    <w:rsid w:val="00290AA9"/>
    <w:rsid w:val="002938F2"/>
    <w:rsid w:val="002B776B"/>
    <w:rsid w:val="002C3446"/>
    <w:rsid w:val="002C7D30"/>
    <w:rsid w:val="002D4EFE"/>
    <w:rsid w:val="002F367F"/>
    <w:rsid w:val="002F62B4"/>
    <w:rsid w:val="003105BD"/>
    <w:rsid w:val="0031150D"/>
    <w:rsid w:val="00315D80"/>
    <w:rsid w:val="00360BC1"/>
    <w:rsid w:val="00363995"/>
    <w:rsid w:val="00373B18"/>
    <w:rsid w:val="00374593"/>
    <w:rsid w:val="0039446E"/>
    <w:rsid w:val="003C3029"/>
    <w:rsid w:val="003C7065"/>
    <w:rsid w:val="003D44D6"/>
    <w:rsid w:val="003F5C17"/>
    <w:rsid w:val="003F6D0C"/>
    <w:rsid w:val="004108B6"/>
    <w:rsid w:val="00434773"/>
    <w:rsid w:val="004475EE"/>
    <w:rsid w:val="004562A2"/>
    <w:rsid w:val="00461EEC"/>
    <w:rsid w:val="004665ED"/>
    <w:rsid w:val="00471B34"/>
    <w:rsid w:val="004A3E99"/>
    <w:rsid w:val="004C3335"/>
    <w:rsid w:val="004D7E2E"/>
    <w:rsid w:val="005016FB"/>
    <w:rsid w:val="00511D17"/>
    <w:rsid w:val="0051699F"/>
    <w:rsid w:val="00521C48"/>
    <w:rsid w:val="00530A1F"/>
    <w:rsid w:val="0053338B"/>
    <w:rsid w:val="00554CC6"/>
    <w:rsid w:val="005645CB"/>
    <w:rsid w:val="005739ED"/>
    <w:rsid w:val="005819A1"/>
    <w:rsid w:val="005B4DAB"/>
    <w:rsid w:val="005C0660"/>
    <w:rsid w:val="00603192"/>
    <w:rsid w:val="00612BB5"/>
    <w:rsid w:val="006221EA"/>
    <w:rsid w:val="0064242E"/>
    <w:rsid w:val="00644F8A"/>
    <w:rsid w:val="00652318"/>
    <w:rsid w:val="00667C60"/>
    <w:rsid w:val="006A1A52"/>
    <w:rsid w:val="006B3501"/>
    <w:rsid w:val="006D41D6"/>
    <w:rsid w:val="006E2215"/>
    <w:rsid w:val="00747715"/>
    <w:rsid w:val="00750138"/>
    <w:rsid w:val="00764F50"/>
    <w:rsid w:val="007728EB"/>
    <w:rsid w:val="007927EC"/>
    <w:rsid w:val="00796D4E"/>
    <w:rsid w:val="007A68C7"/>
    <w:rsid w:val="007A7D45"/>
    <w:rsid w:val="007C1B00"/>
    <w:rsid w:val="007D5BB7"/>
    <w:rsid w:val="007E0621"/>
    <w:rsid w:val="007F4B07"/>
    <w:rsid w:val="007F60C6"/>
    <w:rsid w:val="0082709A"/>
    <w:rsid w:val="0083488D"/>
    <w:rsid w:val="00851458"/>
    <w:rsid w:val="00860CC2"/>
    <w:rsid w:val="00861A47"/>
    <w:rsid w:val="008707FF"/>
    <w:rsid w:val="008724E5"/>
    <w:rsid w:val="008A0A27"/>
    <w:rsid w:val="008A253D"/>
    <w:rsid w:val="008C78BC"/>
    <w:rsid w:val="008D65C3"/>
    <w:rsid w:val="008E3B0A"/>
    <w:rsid w:val="008E532B"/>
    <w:rsid w:val="008F2AD2"/>
    <w:rsid w:val="009121CE"/>
    <w:rsid w:val="00954A28"/>
    <w:rsid w:val="009637BC"/>
    <w:rsid w:val="00995E30"/>
    <w:rsid w:val="00996303"/>
    <w:rsid w:val="009A4CF1"/>
    <w:rsid w:val="009D5E38"/>
    <w:rsid w:val="009E670D"/>
    <w:rsid w:val="009F6BC9"/>
    <w:rsid w:val="00A11F00"/>
    <w:rsid w:val="00A150C7"/>
    <w:rsid w:val="00A37713"/>
    <w:rsid w:val="00A444D8"/>
    <w:rsid w:val="00A47411"/>
    <w:rsid w:val="00A519A2"/>
    <w:rsid w:val="00A5302E"/>
    <w:rsid w:val="00A70883"/>
    <w:rsid w:val="00A73EEF"/>
    <w:rsid w:val="00A77AEB"/>
    <w:rsid w:val="00A77F75"/>
    <w:rsid w:val="00A80928"/>
    <w:rsid w:val="00A81928"/>
    <w:rsid w:val="00A83234"/>
    <w:rsid w:val="00A96116"/>
    <w:rsid w:val="00AA444A"/>
    <w:rsid w:val="00AD1986"/>
    <w:rsid w:val="00AE1B18"/>
    <w:rsid w:val="00AE6F87"/>
    <w:rsid w:val="00B11AE3"/>
    <w:rsid w:val="00B13B44"/>
    <w:rsid w:val="00B6167A"/>
    <w:rsid w:val="00B65FC4"/>
    <w:rsid w:val="00B91AB2"/>
    <w:rsid w:val="00B973B5"/>
    <w:rsid w:val="00BA3560"/>
    <w:rsid w:val="00BA6601"/>
    <w:rsid w:val="00BD0077"/>
    <w:rsid w:val="00BD7D71"/>
    <w:rsid w:val="00BF205C"/>
    <w:rsid w:val="00C04328"/>
    <w:rsid w:val="00C13665"/>
    <w:rsid w:val="00C4166E"/>
    <w:rsid w:val="00C544FD"/>
    <w:rsid w:val="00C6345E"/>
    <w:rsid w:val="00C64668"/>
    <w:rsid w:val="00C67A8A"/>
    <w:rsid w:val="00CC2BC6"/>
    <w:rsid w:val="00CD0338"/>
    <w:rsid w:val="00CE2586"/>
    <w:rsid w:val="00CF59C2"/>
    <w:rsid w:val="00D238D6"/>
    <w:rsid w:val="00D43998"/>
    <w:rsid w:val="00D6436B"/>
    <w:rsid w:val="00D76503"/>
    <w:rsid w:val="00D809E5"/>
    <w:rsid w:val="00D843E7"/>
    <w:rsid w:val="00D90F4C"/>
    <w:rsid w:val="00D9501F"/>
    <w:rsid w:val="00D9653F"/>
    <w:rsid w:val="00DB50D5"/>
    <w:rsid w:val="00DB76C7"/>
    <w:rsid w:val="00DE464B"/>
    <w:rsid w:val="00DF2146"/>
    <w:rsid w:val="00DF3DA3"/>
    <w:rsid w:val="00E06A00"/>
    <w:rsid w:val="00E23FFC"/>
    <w:rsid w:val="00E30022"/>
    <w:rsid w:val="00E5219B"/>
    <w:rsid w:val="00E652A5"/>
    <w:rsid w:val="00E84291"/>
    <w:rsid w:val="00E908E2"/>
    <w:rsid w:val="00EA198F"/>
    <w:rsid w:val="00ED4650"/>
    <w:rsid w:val="00EE2C66"/>
    <w:rsid w:val="00EF0BCB"/>
    <w:rsid w:val="00EF0E74"/>
    <w:rsid w:val="00F0065D"/>
    <w:rsid w:val="00F00E8A"/>
    <w:rsid w:val="00F05990"/>
    <w:rsid w:val="00F41BA9"/>
    <w:rsid w:val="00F43511"/>
    <w:rsid w:val="00F47BA3"/>
    <w:rsid w:val="00F55135"/>
    <w:rsid w:val="00F60AB5"/>
    <w:rsid w:val="00F63DDA"/>
    <w:rsid w:val="00F70858"/>
    <w:rsid w:val="00F72B31"/>
    <w:rsid w:val="00F75949"/>
    <w:rsid w:val="00F75E18"/>
    <w:rsid w:val="00F941F0"/>
    <w:rsid w:val="00FA010D"/>
    <w:rsid w:val="00FB6F95"/>
    <w:rsid w:val="00FC4360"/>
    <w:rsid w:val="00FD65C3"/>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EAC4CCC"/>
  <w15:docId w15:val="{13B95D50-EDE5-4875-9B7B-79F92967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24E5"/>
    <w:rPr>
      <w:rFonts w:ascii="Times New Roman" w:eastAsia="Times New Roman" w:hAnsi="Times New Roman"/>
      <w:sz w:val="24"/>
      <w:szCs w:val="24"/>
      <w:lang w:val="en-GB"/>
    </w:rPr>
  </w:style>
  <w:style w:type="paragraph" w:styleId="Heading1">
    <w:name w:val="heading 1"/>
    <w:basedOn w:val="Normal"/>
    <w:next w:val="Marge"/>
    <w:link w:val="Heading1Char"/>
    <w:qFormat/>
    <w:rsid w:val="00D9653F"/>
    <w:pPr>
      <w:keepNext/>
      <w:keepLines/>
      <w:tabs>
        <w:tab w:val="left" w:pos="567"/>
      </w:tabs>
      <w:snapToGrid w:val="0"/>
      <w:spacing w:before="240" w:after="240"/>
      <w:jc w:val="center"/>
      <w:outlineLvl w:val="0"/>
    </w:pPr>
    <w:rPr>
      <w:b/>
      <w:bCs/>
      <w:snapToGrid w:val="0"/>
      <w:kern w:val="28"/>
      <w:lang w:val="fr-FR" w:eastAsia="en-US"/>
    </w:rPr>
  </w:style>
  <w:style w:type="paragraph" w:styleId="Heading2">
    <w:name w:val="heading 2"/>
    <w:basedOn w:val="Normal"/>
    <w:next w:val="Normal"/>
    <w:link w:val="Heading2Char"/>
    <w:qFormat/>
    <w:rsid w:val="00564DDB"/>
    <w:pPr>
      <w:keepNext/>
      <w:spacing w:before="240" w:after="60"/>
      <w:outlineLvl w:val="1"/>
    </w:pPr>
    <w:rPr>
      <w:rFonts w:ascii="Cambria" w:hAnsi="Cambria"/>
      <w:b/>
      <w:bCs/>
      <w:i/>
      <w:iCs/>
      <w:sz w:val="28"/>
      <w:szCs w:val="28"/>
    </w:rPr>
  </w:style>
  <w:style w:type="paragraph" w:styleId="Heading3">
    <w:name w:val="heading 3"/>
    <w:basedOn w:val="Normal"/>
    <w:next w:val="Marge"/>
    <w:link w:val="Heading3Char"/>
    <w:qFormat/>
    <w:rsid w:val="00D9653F"/>
    <w:pPr>
      <w:keepNext/>
      <w:keepLines/>
      <w:tabs>
        <w:tab w:val="left" w:pos="567"/>
      </w:tabs>
      <w:snapToGrid w:val="0"/>
      <w:spacing w:after="240"/>
      <w:ind w:left="567" w:hanging="567"/>
      <w:outlineLvl w:val="2"/>
    </w:pPr>
    <w:rPr>
      <w:b/>
      <w:bCs/>
      <w:snapToGrid w:val="0"/>
      <w:lang w:eastAsia="en-US"/>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paragraph" w:styleId="Heading5">
    <w:name w:val="heading 5"/>
    <w:basedOn w:val="Normal"/>
    <w:next w:val="Marge"/>
    <w:link w:val="Heading5Char"/>
    <w:qFormat/>
    <w:rsid w:val="00D9653F"/>
    <w:pPr>
      <w:keepNext/>
      <w:keepLines/>
      <w:tabs>
        <w:tab w:val="left" w:pos="1134"/>
      </w:tabs>
      <w:snapToGrid w:val="0"/>
      <w:spacing w:after="240"/>
      <w:ind w:left="1134" w:hanging="567"/>
      <w:outlineLvl w:val="4"/>
    </w:pPr>
    <w:rPr>
      <w:b/>
      <w:bCs/>
      <w:snapToGrid w:val="0"/>
      <w:lang w:eastAsia="en-US"/>
    </w:rPr>
  </w:style>
  <w:style w:type="paragraph" w:styleId="Heading6">
    <w:name w:val="heading 6"/>
    <w:basedOn w:val="Normal"/>
    <w:next w:val="Marge"/>
    <w:link w:val="Heading6Char"/>
    <w:qFormat/>
    <w:rsid w:val="00D9653F"/>
    <w:pPr>
      <w:keepNext/>
      <w:keepLines/>
      <w:tabs>
        <w:tab w:val="left" w:pos="1134"/>
      </w:tabs>
      <w:snapToGrid w:val="0"/>
      <w:spacing w:after="240"/>
      <w:ind w:left="567"/>
      <w:outlineLvl w:val="5"/>
    </w:pPr>
    <w:rPr>
      <w:b/>
      <w:iCs/>
      <w:snapToGrid w:val="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nhideWhenUsed/>
    <w:rsid w:val="008724E5"/>
    <w:rPr>
      <w:rFonts w:ascii="Tahoma" w:hAnsi="Tahoma" w:cs="Tahoma"/>
      <w:sz w:val="16"/>
      <w:szCs w:val="16"/>
    </w:rPr>
  </w:style>
  <w:style w:type="character" w:customStyle="1" w:styleId="BalloonTextChar">
    <w:name w:val="Balloon Text Char"/>
    <w:link w:val="BalloonText"/>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uiPriority w:val="1"/>
    <w:qFormat/>
    <w:rsid w:val="00C64668"/>
    <w:rPr>
      <w:rFonts w:ascii="Times New Roman" w:eastAsia="Times New Roman" w:hAnsi="Times New Roman"/>
      <w:sz w:val="24"/>
      <w:szCs w:val="24"/>
      <w:lang w:val="en-GB"/>
    </w:rPr>
  </w:style>
  <w:style w:type="paragraph" w:styleId="ListParagraph">
    <w:name w:val="List Paragraph"/>
    <w:basedOn w:val="Normal"/>
    <w:uiPriority w:val="34"/>
    <w:qFormat/>
    <w:rsid w:val="00290AA9"/>
    <w:pPr>
      <w:ind w:left="720"/>
      <w:contextualSpacing/>
    </w:pPr>
  </w:style>
  <w:style w:type="table" w:customStyle="1" w:styleId="TableGrid1">
    <w:name w:val="Table Grid1"/>
    <w:basedOn w:val="TableNormal"/>
    <w:next w:val="TableGrid"/>
    <w:uiPriority w:val="59"/>
    <w:rsid w:val="004475E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D9653F"/>
    <w:rPr>
      <w:rFonts w:ascii="Times New Roman" w:eastAsia="Times New Roman" w:hAnsi="Times New Roman"/>
      <w:b/>
      <w:bCs/>
      <w:snapToGrid w:val="0"/>
      <w:kern w:val="28"/>
      <w:sz w:val="24"/>
      <w:szCs w:val="24"/>
      <w:lang w:eastAsia="en-US"/>
    </w:rPr>
  </w:style>
  <w:style w:type="character" w:customStyle="1" w:styleId="Heading3Char">
    <w:name w:val="Heading 3 Char"/>
    <w:basedOn w:val="DefaultParagraphFont"/>
    <w:link w:val="Heading3"/>
    <w:rsid w:val="00D9653F"/>
    <w:rPr>
      <w:rFonts w:ascii="Times New Roman" w:eastAsia="Times New Roman" w:hAnsi="Times New Roman"/>
      <w:b/>
      <w:bCs/>
      <w:snapToGrid w:val="0"/>
      <w:sz w:val="24"/>
      <w:szCs w:val="24"/>
      <w:lang w:val="en-GB" w:eastAsia="en-US"/>
    </w:rPr>
  </w:style>
  <w:style w:type="character" w:customStyle="1" w:styleId="Heading5Char">
    <w:name w:val="Heading 5 Char"/>
    <w:basedOn w:val="DefaultParagraphFont"/>
    <w:link w:val="Heading5"/>
    <w:rsid w:val="00D9653F"/>
    <w:rPr>
      <w:rFonts w:ascii="Times New Roman" w:eastAsia="Times New Roman" w:hAnsi="Times New Roman"/>
      <w:b/>
      <w:bCs/>
      <w:snapToGrid w:val="0"/>
      <w:sz w:val="24"/>
      <w:szCs w:val="24"/>
      <w:lang w:val="en-GB" w:eastAsia="en-US"/>
    </w:rPr>
  </w:style>
  <w:style w:type="character" w:customStyle="1" w:styleId="Heading6Char">
    <w:name w:val="Heading 6 Char"/>
    <w:basedOn w:val="DefaultParagraphFont"/>
    <w:link w:val="Heading6"/>
    <w:rsid w:val="00D9653F"/>
    <w:rPr>
      <w:rFonts w:ascii="Times New Roman" w:eastAsia="Times New Roman" w:hAnsi="Times New Roman"/>
      <w:b/>
      <w:iCs/>
      <w:snapToGrid w:val="0"/>
      <w:sz w:val="24"/>
      <w:szCs w:val="22"/>
      <w:lang w:val="en-GB" w:eastAsia="en-US"/>
    </w:rPr>
  </w:style>
  <w:style w:type="paragraph" w:customStyle="1" w:styleId="a">
    <w:name w:val="(a)"/>
    <w:basedOn w:val="Normal"/>
    <w:rsid w:val="00D9653F"/>
    <w:pPr>
      <w:tabs>
        <w:tab w:val="left" w:pos="-737"/>
        <w:tab w:val="left" w:pos="567"/>
      </w:tabs>
      <w:snapToGrid w:val="0"/>
      <w:spacing w:after="240"/>
      <w:ind w:left="567" w:hanging="567"/>
      <w:jc w:val="both"/>
    </w:pPr>
    <w:rPr>
      <w:snapToGrid w:val="0"/>
      <w:lang w:val="fr-FR" w:eastAsia="en-US"/>
    </w:rPr>
  </w:style>
  <w:style w:type="paragraph" w:customStyle="1" w:styleId="JOBSTYLE">
    <w:name w:val="JOBSTYLE"/>
    <w:basedOn w:val="Normal"/>
    <w:rsid w:val="00D9653F"/>
    <w:pPr>
      <w:tabs>
        <w:tab w:val="left" w:pos="567"/>
        <w:tab w:val="left" w:pos="1134"/>
        <w:tab w:val="left" w:pos="6237"/>
      </w:tabs>
      <w:overflowPunct w:val="0"/>
      <w:autoSpaceDE w:val="0"/>
      <w:autoSpaceDN w:val="0"/>
      <w:adjustRightInd w:val="0"/>
      <w:spacing w:line="960" w:lineRule="auto"/>
      <w:jc w:val="both"/>
      <w:textAlignment w:val="baseline"/>
    </w:pPr>
    <w:rPr>
      <w:lang w:eastAsia="en-US"/>
    </w:rPr>
  </w:style>
  <w:style w:type="character" w:styleId="FootnoteReference">
    <w:name w:val="footnote reference"/>
    <w:basedOn w:val="DefaultParagraphFont"/>
    <w:semiHidden/>
    <w:rsid w:val="00D9653F"/>
    <w:rPr>
      <w:vertAlign w:val="superscript"/>
    </w:rPr>
  </w:style>
  <w:style w:type="paragraph" w:styleId="FootnoteText">
    <w:name w:val="footnote text"/>
    <w:basedOn w:val="Normal"/>
    <w:link w:val="FootnoteTextChar"/>
    <w:semiHidden/>
    <w:rsid w:val="00D9653F"/>
    <w:pPr>
      <w:tabs>
        <w:tab w:val="left" w:pos="567"/>
      </w:tabs>
      <w:snapToGrid w:val="0"/>
      <w:ind w:left="567" w:hanging="567"/>
    </w:pPr>
    <w:rPr>
      <w:snapToGrid w:val="0"/>
      <w:sz w:val="20"/>
      <w:szCs w:val="20"/>
      <w:lang w:eastAsia="en-US"/>
    </w:rPr>
  </w:style>
  <w:style w:type="character" w:customStyle="1" w:styleId="FootnoteTextChar">
    <w:name w:val="Footnote Text Char"/>
    <w:basedOn w:val="DefaultParagraphFont"/>
    <w:link w:val="FootnoteText"/>
    <w:semiHidden/>
    <w:rsid w:val="00D9653F"/>
    <w:rPr>
      <w:rFonts w:ascii="Times New Roman" w:eastAsia="Times New Roman" w:hAnsi="Times New Roman"/>
      <w:snapToGrid w:val="0"/>
      <w:lang w:val="en-GB" w:eastAsia="en-US"/>
    </w:rPr>
  </w:style>
  <w:style w:type="paragraph" w:customStyle="1" w:styleId="alina">
    <w:name w:val="alinéa"/>
    <w:basedOn w:val="Normal"/>
    <w:rsid w:val="00D9653F"/>
    <w:pPr>
      <w:tabs>
        <w:tab w:val="left" w:pos="567"/>
      </w:tabs>
      <w:spacing w:after="240"/>
      <w:ind w:left="567"/>
      <w:jc w:val="both"/>
    </w:pPr>
    <w:rPr>
      <w:lang w:eastAsia="en-US"/>
    </w:rPr>
  </w:style>
  <w:style w:type="paragraph" w:customStyle="1" w:styleId="c">
    <w:name w:val="(c)"/>
    <w:basedOn w:val="Normal"/>
    <w:rsid w:val="00D9653F"/>
    <w:pPr>
      <w:tabs>
        <w:tab w:val="left" w:pos="1701"/>
      </w:tabs>
      <w:snapToGrid w:val="0"/>
      <w:spacing w:after="240"/>
      <w:ind w:left="1701" w:hanging="567"/>
      <w:jc w:val="both"/>
    </w:pPr>
    <w:rPr>
      <w:rFonts w:eastAsia="SimSun"/>
      <w:snapToGrid w:val="0"/>
      <w:lang w:eastAsia="zh-CN"/>
    </w:rPr>
  </w:style>
  <w:style w:type="paragraph" w:customStyle="1" w:styleId="NoSpacing2">
    <w:name w:val="No Spacing2"/>
    <w:qFormat/>
    <w:rsid w:val="00D9653F"/>
    <w:rPr>
      <w:rFonts w:ascii="Times New Roman" w:eastAsia="Times New Roman" w:hAnsi="Times New Roman"/>
      <w:sz w:val="24"/>
      <w:szCs w:val="24"/>
    </w:rPr>
  </w:style>
  <w:style w:type="paragraph" w:styleId="BlockText">
    <w:name w:val="Block Text"/>
    <w:basedOn w:val="Normal"/>
    <w:rsid w:val="00D9653F"/>
    <w:pPr>
      <w:spacing w:before="100" w:after="240"/>
      <w:ind w:left="708" w:right="72" w:hanging="708"/>
      <w:jc w:val="both"/>
    </w:pPr>
    <w:rPr>
      <w:rFonts w:ascii="Arial" w:hAnsi="Arial"/>
      <w:sz w:val="22"/>
      <w:lang w:eastAsia="en-US"/>
    </w:rPr>
  </w:style>
  <w:style w:type="character" w:styleId="Emphasis">
    <w:name w:val="Emphasis"/>
    <w:basedOn w:val="DefaultParagraphFont"/>
    <w:uiPriority w:val="20"/>
    <w:qFormat/>
    <w:rsid w:val="00D9653F"/>
    <w:rPr>
      <w:i/>
      <w:iCs/>
    </w:rPr>
  </w:style>
  <w:style w:type="character" w:styleId="Hyperlink">
    <w:name w:val="Hyperlink"/>
    <w:basedOn w:val="DefaultParagraphFont"/>
    <w:uiPriority w:val="99"/>
    <w:unhideWhenUsed/>
    <w:rsid w:val="00D9653F"/>
    <w:rPr>
      <w:color w:val="0000FF" w:themeColor="hyperlink"/>
      <w:u w:val="single"/>
    </w:rPr>
  </w:style>
  <w:style w:type="character" w:customStyle="1" w:styleId="Mentionnonrsolue1">
    <w:name w:val="Mention non résolue1"/>
    <w:basedOn w:val="DefaultParagraphFont"/>
    <w:uiPriority w:val="99"/>
    <w:semiHidden/>
    <w:unhideWhenUsed/>
    <w:rsid w:val="00D9653F"/>
    <w:rPr>
      <w:color w:val="605E5C"/>
      <w:shd w:val="clear" w:color="auto" w:fill="E1DFDD"/>
    </w:rPr>
  </w:style>
  <w:style w:type="character" w:styleId="FollowedHyperlink">
    <w:name w:val="FollowedHyperlink"/>
    <w:basedOn w:val="DefaultParagraphFont"/>
    <w:semiHidden/>
    <w:unhideWhenUsed/>
    <w:rsid w:val="00D9653F"/>
    <w:rPr>
      <w:color w:val="800080" w:themeColor="followedHyperlink"/>
      <w:u w:val="single"/>
    </w:rPr>
  </w:style>
  <w:style w:type="paragraph" w:customStyle="1" w:styleId="Titre0">
    <w:name w:val="Titre 0"/>
    <w:basedOn w:val="Marge"/>
    <w:next w:val="Marge2"/>
    <w:link w:val="Titre0Car"/>
    <w:qFormat/>
    <w:rsid w:val="00D9653F"/>
    <w:pPr>
      <w:keepNext/>
      <w:keepLines/>
      <w:widowControl w:val="0"/>
      <w:spacing w:after="0"/>
    </w:pPr>
    <w:rPr>
      <w:b/>
      <w:lang w:val="fr-FR"/>
    </w:rPr>
  </w:style>
  <w:style w:type="paragraph" w:customStyle="1" w:styleId="Marge2">
    <w:name w:val="Marge 2"/>
    <w:basedOn w:val="Marge"/>
    <w:link w:val="Marge2Car"/>
    <w:qFormat/>
    <w:rsid w:val="00D9653F"/>
    <w:pPr>
      <w:widowControl w:val="0"/>
      <w:spacing w:after="0"/>
    </w:pPr>
    <w:rPr>
      <w:iCs/>
      <w:lang w:val="fr-FR"/>
    </w:rPr>
  </w:style>
  <w:style w:type="character" w:customStyle="1" w:styleId="Titre0Car">
    <w:name w:val="Titre 0 Car"/>
    <w:basedOn w:val="DefaultParagraphFont"/>
    <w:link w:val="Titre0"/>
    <w:rsid w:val="00D9653F"/>
    <w:rPr>
      <w:rFonts w:ascii="Arial" w:eastAsia="Times New Roman" w:hAnsi="Arial"/>
      <w:b/>
      <w:snapToGrid w:val="0"/>
      <w:sz w:val="22"/>
      <w:szCs w:val="24"/>
      <w:lang w:eastAsia="en-US"/>
    </w:rPr>
  </w:style>
  <w:style w:type="character" w:customStyle="1" w:styleId="Marge2Car">
    <w:name w:val="Marge 2 Car"/>
    <w:basedOn w:val="DefaultParagraphFont"/>
    <w:link w:val="Marge2"/>
    <w:rsid w:val="00D9653F"/>
    <w:rPr>
      <w:rFonts w:ascii="Arial" w:eastAsia="Times New Roman" w:hAnsi="Arial"/>
      <w:iCs/>
      <w:snapToGrid w:val="0"/>
      <w:sz w:val="22"/>
      <w:szCs w:val="24"/>
      <w:lang w:eastAsia="en-US"/>
    </w:rPr>
  </w:style>
  <w:style w:type="paragraph" w:styleId="NormalWeb">
    <w:name w:val="Normal (Web)"/>
    <w:basedOn w:val="Normal"/>
    <w:uiPriority w:val="99"/>
    <w:semiHidden/>
    <w:unhideWhenUsed/>
    <w:rsid w:val="00D9653F"/>
    <w:pPr>
      <w:spacing w:before="100" w:beforeAutospacing="1" w:after="100" w:afterAutospacing="1"/>
    </w:pPr>
    <w:rPr>
      <w:lang w:eastAsia="en-GB"/>
    </w:rPr>
  </w:style>
  <w:style w:type="paragraph" w:styleId="Revision">
    <w:name w:val="Revision"/>
    <w:hidden/>
    <w:uiPriority w:val="99"/>
    <w:semiHidden/>
    <w:rsid w:val="00D9653F"/>
    <w:rPr>
      <w:rFonts w:ascii="Times New Roman" w:eastAsia="Times New Roman" w:hAnsi="Times New Roman"/>
      <w:sz w:val="24"/>
      <w:szCs w:val="24"/>
      <w:lang w:val="en-GB" w:eastAsia="en-GB"/>
    </w:rPr>
  </w:style>
  <w:style w:type="character" w:styleId="UnresolvedMention">
    <w:name w:val="Unresolved Mention"/>
    <w:basedOn w:val="DefaultParagraphFont"/>
    <w:uiPriority w:val="99"/>
    <w:semiHidden/>
    <w:unhideWhenUsed/>
    <w:rsid w:val="00D9653F"/>
    <w:rPr>
      <w:color w:val="605E5C"/>
      <w:shd w:val="clear" w:color="auto" w:fill="E1DFDD"/>
    </w:rPr>
  </w:style>
  <w:style w:type="character" w:styleId="Strong">
    <w:name w:val="Strong"/>
    <w:basedOn w:val="DefaultParagraphFont"/>
    <w:qFormat/>
    <w:rsid w:val="00D9653F"/>
    <w:rPr>
      <w:b/>
      <w:bCs/>
    </w:rPr>
  </w:style>
  <w:style w:type="character" w:customStyle="1" w:styleId="MargeChar">
    <w:name w:val="Marge Char"/>
    <w:link w:val="Marge"/>
    <w:rsid w:val="00D76503"/>
    <w:rPr>
      <w:rFonts w:ascii="Arial" w:eastAsia="Times New Roman" w:hAnsi="Arial"/>
      <w:snapToGrid w:val="0"/>
      <w:sz w:val="22"/>
      <w:szCs w:val="24"/>
      <w:lang w:val="en-GB" w:eastAsia="en-US"/>
    </w:rPr>
  </w:style>
  <w:style w:type="paragraph" w:customStyle="1" w:styleId="Orateurengris">
    <w:name w:val="Orateur en grisé"/>
    <w:basedOn w:val="Marge"/>
    <w:qFormat/>
    <w:rsid w:val="00A96116"/>
    <w:pPr>
      <w:tabs>
        <w:tab w:val="clear" w:pos="567"/>
        <w:tab w:val="left" w:pos="709"/>
        <w:tab w:val="left" w:pos="1418"/>
        <w:tab w:val="left" w:pos="2126"/>
        <w:tab w:val="left" w:pos="2835"/>
      </w:tabs>
      <w:spacing w:after="120"/>
    </w:pPr>
    <w:rPr>
      <w:rFonts w:eastAsiaTheme="minorEastAsia"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massive-online-open-course-mooc-01228" TargetMode="External"/><Relationship Id="rId18" Type="http://schemas.openxmlformats.org/officeDocument/2006/relationships/hyperlink" Target="https://ich.unesco.org/doc/src/LHE-22-9.GA-3-FR.docx" TargetMode="External"/><Relationship Id="rId26" Type="http://schemas.openxmlformats.org/officeDocument/2006/relationships/hyperlink" Target="https://ich.unesco.org/fr/Decisions/9.GA/5" TargetMode="External"/><Relationship Id="rId39" Type="http://schemas.openxmlformats.org/officeDocument/2006/relationships/hyperlink" Target="https://ich.unesco.org/fr/Decisions/4.GA/5" TargetMode="External"/><Relationship Id="rId21" Type="http://schemas.openxmlformats.org/officeDocument/2006/relationships/hyperlink" Target="https://ich.unesco.org/fr/Decisions/9.GA/3" TargetMode="External"/><Relationship Id="rId34" Type="http://schemas.openxmlformats.org/officeDocument/2006/relationships/hyperlink" Target="https://www.ichngoforum.org/" TargetMode="External"/><Relationship Id="rId42" Type="http://schemas.openxmlformats.org/officeDocument/2006/relationships/hyperlink" Target="https://ich.unesco.org/fr/Decisions/9.GA/8" TargetMode="External"/><Relationship Id="rId47" Type="http://schemas.openxmlformats.org/officeDocument/2006/relationships/hyperlink" Target="https://ich.unesco.org/doc/src/LHE-22-5.EXT.COM-INF.4-FR.docx" TargetMode="External"/><Relationship Id="rId50" Type="http://schemas.openxmlformats.org/officeDocument/2006/relationships/hyperlink" Target="https://ich.unesco.org/doc/src/LHE-22-9.GA-10-FR.docx" TargetMode="External"/><Relationship Id="rId55" Type="http://schemas.openxmlformats.org/officeDocument/2006/relationships/hyperlink" Target="https://ich.unesco.org/fr/Decisions/9.GA/12" TargetMode="External"/><Relationship Id="rId63" Type="http://schemas.openxmlformats.org/officeDocument/2006/relationships/hyperlink" Target="https://ich.unesco.org/doc/src/LHE-22-9.GA-13_FR.doc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doc/src/LHE-22-9.GA-2-FR.docx" TargetMode="External"/><Relationship Id="rId29" Type="http://schemas.openxmlformats.org/officeDocument/2006/relationships/hyperlink" Target="https://ich.unesco.org/fr/Decisions/9.GA/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liste-de-participants-01245" TargetMode="External"/><Relationship Id="rId24" Type="http://schemas.openxmlformats.org/officeDocument/2006/relationships/hyperlink" Target="https://ich.unesco.org/fr/r%C3%A9solutions/3.GA/12?dec=resolutions&amp;ref_decision=3.GA" TargetMode="External"/><Relationship Id="rId32" Type="http://schemas.openxmlformats.org/officeDocument/2006/relationships/hyperlink" Target="https://ich.unesco.org/fr/Decisions/9.GA/11" TargetMode="External"/><Relationship Id="rId37" Type="http://schemas.openxmlformats.org/officeDocument/2006/relationships/hyperlink" Target="https://ich.unesco.org/fr/accreditation-of-ngos-01257" TargetMode="External"/><Relationship Id="rId40" Type="http://schemas.openxmlformats.org/officeDocument/2006/relationships/hyperlink" Target="https://ich.unesco.org/fr/Decisions/16.COM/15" TargetMode="External"/><Relationship Id="rId45" Type="http://schemas.openxmlformats.org/officeDocument/2006/relationships/hyperlink" Target="https://ich.unesco.org/doc/src/LHE-22-9.GA-9_Rev._FR.docx" TargetMode="External"/><Relationship Id="rId53" Type="http://schemas.openxmlformats.org/officeDocument/2006/relationships/hyperlink" Target="https://ich.unesco.org/fr/decisions/16.COM/13?dec=decisions&amp;ref_decision=16.COM" TargetMode="External"/><Relationship Id="rId58" Type="http://schemas.openxmlformats.org/officeDocument/2006/relationships/hyperlink" Target="https://ich.unesco.org/fr/Decisions/7.GA/13"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doc/src/53724-FR.pdf" TargetMode="External"/><Relationship Id="rId23" Type="http://schemas.openxmlformats.org/officeDocument/2006/relationships/hyperlink" Target="https://ich.unesco.org/fr/Decisions/9.GA/4" TargetMode="External"/><Relationship Id="rId28" Type="http://schemas.openxmlformats.org/officeDocument/2006/relationships/hyperlink" Target="https://ich.unesco.org/doc/src/LHE-22-9.GA-6-FR.docx" TargetMode="External"/><Relationship Id="rId36" Type="http://schemas.openxmlformats.org/officeDocument/2006/relationships/hyperlink" Target="https://ich.unesco.org/doc/src/LHE-22-9.GA-7-FR.docx" TargetMode="External"/><Relationship Id="rId49" Type="http://schemas.openxmlformats.org/officeDocument/2006/relationships/hyperlink" Target="https://ich.unesco.org/doc/src/LHE-21-EXP-7-FR.docx" TargetMode="External"/><Relationship Id="rId57" Type="http://schemas.openxmlformats.org/officeDocument/2006/relationships/hyperlink" Target="https://ich.unesco.org/fr/Decisions/7.GA/12" TargetMode="External"/><Relationship Id="rId61" Type="http://schemas.openxmlformats.org/officeDocument/2006/relationships/hyperlink" Target="https://ich.unesco.org/doc/src/LHE-22-MEETING_ROP-2_FR.docx" TargetMode="External"/><Relationship Id="rId10" Type="http://schemas.openxmlformats.org/officeDocument/2006/relationships/hyperlink" Target="https://ich.unesco.org/doc/src/LHE-22-9.GA-INF.1-FR.docx" TargetMode="External"/><Relationship Id="rId19" Type="http://schemas.openxmlformats.org/officeDocument/2006/relationships/hyperlink" Target="https://ich.unesco.org/doc/src/LHE-22-9.GA-INF.3.1_Rev.2-FR.docx" TargetMode="External"/><Relationship Id="rId31" Type="http://schemas.openxmlformats.org/officeDocument/2006/relationships/hyperlink" Target="https://ich.unesco.org/doc/src/LHE-22-9.GA-INF.11_Rev.7_FR.docx" TargetMode="External"/><Relationship Id="rId44" Type="http://schemas.openxmlformats.org/officeDocument/2006/relationships/hyperlink" Target="https://ich.unesco.org/fr/Decisions/16.COM/19" TargetMode="External"/><Relationship Id="rId52" Type="http://schemas.openxmlformats.org/officeDocument/2006/relationships/hyperlink" Target="https://ich.unesco.org/fr/Decisions/9.GA/10" TargetMode="External"/><Relationship Id="rId60" Type="http://schemas.openxmlformats.org/officeDocument/2006/relationships/hyperlink" Target="https://ich.unesco.org/fr/Decisions/14.COM/19"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doc/src/LHE-22-17.COM-4.a-FR.docx" TargetMode="External"/><Relationship Id="rId14" Type="http://schemas.openxmlformats.org/officeDocument/2006/relationships/hyperlink" Target="https://ich.unesco.org/fr/plongez" TargetMode="External"/><Relationship Id="rId22" Type="http://schemas.openxmlformats.org/officeDocument/2006/relationships/hyperlink" Target="https://ich.unesco.org/doc/src/LHE-22-9.GA-4-FR.docx" TargetMode="External"/><Relationship Id="rId27" Type="http://schemas.openxmlformats.org/officeDocument/2006/relationships/hyperlink" Target="https://ich.unesco.org/fr/thique-et-pci-00866" TargetMode="External"/><Relationship Id="rId30" Type="http://schemas.openxmlformats.org/officeDocument/2006/relationships/hyperlink" Target="https://ich.unesco.org/doc/src/LHE-22-9.GA-11-FR.docx" TargetMode="External"/><Relationship Id="rId35" Type="http://schemas.openxmlformats.org/officeDocument/2006/relationships/hyperlink" Target="https://ich.unesco.org/fr/decisions/16.COM/14?dec=decisions&amp;ref_decision=16.COM" TargetMode="External"/><Relationship Id="rId43" Type="http://schemas.openxmlformats.org/officeDocument/2006/relationships/hyperlink" Target="https://ich.unesco.org/doc/src/LHE-22-5.EXT.COM-INF.4-FR.docx" TargetMode="External"/><Relationship Id="rId48" Type="http://schemas.openxmlformats.org/officeDocument/2006/relationships/hyperlink" Target="https://ich.unesco.org/fr/Decisions/9.GA/9" TargetMode="External"/><Relationship Id="rId56" Type="http://schemas.openxmlformats.org/officeDocument/2006/relationships/hyperlink" Target="https://ich.unesco.org/fr/Decisions/6.GA/11" TargetMode="External"/><Relationship Id="rId64" Type="http://schemas.openxmlformats.org/officeDocument/2006/relationships/hyperlink" Target="https://ich.unesco.org/fr/Decisions/9.GA/13" TargetMode="External"/><Relationship Id="rId69" Type="http://schemas.openxmlformats.org/officeDocument/2006/relationships/theme" Target="theme/theme1.xml"/><Relationship Id="rId8" Type="http://schemas.openxmlformats.org/officeDocument/2006/relationships/hyperlink" Target="https://ich.unesco.org/doc/src/LHE-21-16.COM-4-FR.docx" TargetMode="External"/><Relationship Id="rId51" Type="http://schemas.openxmlformats.org/officeDocument/2006/relationships/hyperlink" Target="https://ich.unesco.org/doc/src/LHE-22-9.GA-INF.10-FR.docx" TargetMode="External"/><Relationship Id="rId3" Type="http://schemas.openxmlformats.org/officeDocument/2006/relationships/styles" Target="styles.xml"/><Relationship Id="rId12" Type="http://schemas.openxmlformats.org/officeDocument/2006/relationships/hyperlink" Target="https://ich.unesco.org/fr/calendrier-des-vnements-01254" TargetMode="External"/><Relationship Id="rId17" Type="http://schemas.openxmlformats.org/officeDocument/2006/relationships/hyperlink" Target="https://ich.unesco.org/fr/Decisions/9.GA/2" TargetMode="External"/><Relationship Id="rId25" Type="http://schemas.openxmlformats.org/officeDocument/2006/relationships/hyperlink" Target="https://ich.unesco.org/doc/src/LHE-22-9.GA-5-FR.docx" TargetMode="External"/><Relationship Id="rId33" Type="http://schemas.openxmlformats.org/officeDocument/2006/relationships/hyperlink" Target="https://ich.unesco.org/fr/decisions/14.COM/15?dec=decisions&amp;ref_decision=14.COM" TargetMode="External"/><Relationship Id="rId38" Type="http://schemas.openxmlformats.org/officeDocument/2006/relationships/hyperlink" Target="https://ich.unesco.org/fr/Decisions/9.GA/7" TargetMode="External"/><Relationship Id="rId46" Type="http://schemas.openxmlformats.org/officeDocument/2006/relationships/hyperlink" Target="https://ich.unesco.org/doc/src/LHE-21-16.COM-INF.14-FR.docx" TargetMode="External"/><Relationship Id="rId59" Type="http://schemas.openxmlformats.org/officeDocument/2006/relationships/hyperlink" Target="https://ich.unesco.org/fr/Decisions/13.COM/17" TargetMode="External"/><Relationship Id="rId67" Type="http://schemas.openxmlformats.org/officeDocument/2006/relationships/header" Target="header3.xml"/><Relationship Id="rId20" Type="http://schemas.openxmlformats.org/officeDocument/2006/relationships/hyperlink" Target="https://ich.unesco.org/doc/src/LHE-22-9.GA-INF.3.2_Rev.12-FR.docx" TargetMode="External"/><Relationship Id="rId41" Type="http://schemas.openxmlformats.org/officeDocument/2006/relationships/hyperlink" Target="https://ich.unesco.org/doc/src/LHE-22-9.GA-8-FR.docx" TargetMode="External"/><Relationship Id="rId54" Type="http://schemas.openxmlformats.org/officeDocument/2006/relationships/hyperlink" Target="https://ich.unesco.org/doc/src/LHE-22-9.GA-12_FR.docx" TargetMode="External"/><Relationship Id="rId62" Type="http://schemas.openxmlformats.org/officeDocument/2006/relationships/hyperlink" Target="https://unesdoc.unesco.org/ark:/48223/pf0000379755.pdf.mult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esdoc.unesco.org/ark:/48223/pf0000377671_fre" TargetMode="External"/><Relationship Id="rId13" Type="http://schemas.openxmlformats.org/officeDocument/2006/relationships/hyperlink" Target="https://ich.unesco.org/fr/massive-online-open-course-mooc-01228" TargetMode="External"/><Relationship Id="rId18" Type="http://schemas.openxmlformats.org/officeDocument/2006/relationships/hyperlink" Target="https://www.culture.gouv.fr/Thematiques/Ethnologie-de-la-France/Qu-est-ce-que-l-ethnologie-de-la-France-et-du-patrimoine" TargetMode="External"/><Relationship Id="rId26" Type="http://schemas.openxmlformats.org/officeDocument/2006/relationships/hyperlink" Target="https://fr.unesco.org/creativity/partnerships/chairs" TargetMode="External"/><Relationship Id="rId39" Type="http://schemas.openxmlformats.org/officeDocument/2006/relationships/hyperlink" Target="https://fr.unesco.org/generalconference/workinggroupongovernance39th" TargetMode="External"/><Relationship Id="rId3" Type="http://schemas.openxmlformats.org/officeDocument/2006/relationships/hyperlink" Target="https://ich.unesco.org/fr/facilitateur" TargetMode="External"/><Relationship Id="rId21" Type="http://schemas.openxmlformats.org/officeDocument/2006/relationships/hyperlink" Target="https://www.unesco.org/fr/unitwin/about" TargetMode="External"/><Relationship Id="rId34" Type="http://schemas.openxmlformats.org/officeDocument/2006/relationships/hyperlink" Target="https://unesdoc.unesco.org/ark:/48223/pf0000380015_fre" TargetMode="External"/><Relationship Id="rId7" Type="http://schemas.openxmlformats.org/officeDocument/2006/relationships/hyperlink" Target="https://ich.unesco.org/fr/assistances/-fier-de-mon-patrimoine-transmission-et-sauvegarde-du-patrimoine-culturel-immatriel-de-la-grenade-via-des-initiatives-d-inventaire-et-d-ducation-01627?cote_new=01627" TargetMode="External"/><Relationship Id="rId12" Type="http://schemas.openxmlformats.org/officeDocument/2006/relationships/hyperlink" Target="https://ich.unesco.org/fr/cat&#233;gorie2" TargetMode="External"/><Relationship Id="rId17" Type="http://schemas.openxmlformats.org/officeDocument/2006/relationships/hyperlink" Target="https://www.europeanheritagedays.com/fr/EHD-Programme/About/About-Us" TargetMode="External"/><Relationship Id="rId25" Type="http://schemas.openxmlformats.org/officeDocument/2006/relationships/hyperlink" Target="https://crespial.org/" TargetMode="External"/><Relationship Id="rId33" Type="http://schemas.openxmlformats.org/officeDocument/2006/relationships/hyperlink" Target="https://ich.unesco.org/doc/src/LHE-21-16.COM_WG-Recommandations_FR.docx" TargetMode="External"/><Relationship Id="rId38" Type="http://schemas.openxmlformats.org/officeDocument/2006/relationships/hyperlink" Target="http://wayback.archive-it.org/10611/20181127173620/https:/fr.unesco.org/generalconference/workinggroupongovernance" TargetMode="External"/><Relationship Id="rId2" Type="http://schemas.openxmlformats.org/officeDocument/2006/relationships/hyperlink" Target="https://ich.unesco.org/fr/9ga" TargetMode="External"/><Relationship Id="rId16" Type="http://schemas.openxmlformats.org/officeDocument/2006/relationships/hyperlink" Target="https://ndpculture.org/projects/livind-creative-and-living-cultural-heritage-as-a-resource-for-the-northern-dimension-region/" TargetMode="External"/><Relationship Id="rId20" Type="http://schemas.openxmlformats.org/officeDocument/2006/relationships/hyperlink" Target="https://ich.unesco.org/fr/des-ressources-pour-les-professeurs-01180" TargetMode="External"/><Relationship Id="rId29" Type="http://schemas.openxmlformats.org/officeDocument/2006/relationships/hyperlink" Target="https://ich.unesco.org/doc/src/LHE-21-16.COM_WG-Recommandations_FR.docx" TargetMode="External"/><Relationship Id="rId41" Type="http://schemas.openxmlformats.org/officeDocument/2006/relationships/hyperlink" Target="https://www.un.org/fr/gender-inclusive-language/guidelines.shtml" TargetMode="External"/><Relationship Id="rId1" Type="http://schemas.openxmlformats.org/officeDocument/2006/relationships/hyperlink" Target="https://www.unesco.org/fr/mondiacult2022" TargetMode="External"/><Relationship Id="rId6" Type="http://schemas.openxmlformats.org/officeDocument/2006/relationships/hyperlink" Target="https://www.ichlinks.com/index.do" TargetMode="External"/><Relationship Id="rId11" Type="http://schemas.openxmlformats.org/officeDocument/2006/relationships/hyperlink" Target="https://ich.unesco.org/fr/demander-une-assistance-00039" TargetMode="External"/><Relationship Id="rId24" Type="http://schemas.openxmlformats.org/officeDocument/2006/relationships/hyperlink" Target="https://www.unesco.org/fr/revive-mosul" TargetMode="External"/><Relationship Id="rId32" Type="http://schemas.openxmlformats.org/officeDocument/2006/relationships/hyperlink" Target="https://ich.unesco.org/doc/src/LHE-22-17.COM_WG-Recommandations_FR.docx" TargetMode="External"/><Relationship Id="rId37" Type="http://schemas.openxmlformats.org/officeDocument/2006/relationships/hyperlink" Target="https://fr.idil2022-2032.org/" TargetMode="External"/><Relationship Id="rId40" Type="http://schemas.openxmlformats.org/officeDocument/2006/relationships/hyperlink" Target="https://unesdoc.unesco.org/ark:/48223/pf0000379755.pdf.multi" TargetMode="External"/><Relationship Id="rId5" Type="http://schemas.openxmlformats.org/officeDocument/2006/relationships/hyperlink" Target="https://www.unesco-ichcap.org" TargetMode="External"/><Relationship Id="rId15" Type="http://schemas.openxmlformats.org/officeDocument/2006/relationships/hyperlink" Target="https://ich.unesco.org/fr/plongez&amp;display=constellation" TargetMode="External"/><Relationship Id="rId23" Type="http://schemas.openxmlformats.org/officeDocument/2006/relationships/hyperlink" Target="https://ich.unesco.org/fr/actualites/un-nouveau-centre-de-catgorie-2-de-l-unesco-dans-le-domaine-du-patrimoine-culturel-immatriel-dans-les-tats-arabes-13362?newsID=13362" TargetMode="External"/><Relationship Id="rId28" Type="http://schemas.openxmlformats.org/officeDocument/2006/relationships/hyperlink" Target="https://www.ichngoforum.org/news/living-heritage-peace-social-media-initiative/" TargetMode="External"/><Relationship Id="rId36" Type="http://schemas.openxmlformats.org/officeDocument/2006/relationships/hyperlink" Target="https://oceandecade.org/fr/" TargetMode="External"/><Relationship Id="rId10" Type="http://schemas.openxmlformats.org/officeDocument/2006/relationships/hyperlink" Target="https://ich.unesco.org/fr/le-patrimoine-vivant-et-la-pandmie-de-covid-19-01179" TargetMode="External"/><Relationship Id="rId19" Type="http://schemas.openxmlformats.org/officeDocument/2006/relationships/hyperlink" Target="https://www.unesco-centerbg.org/en/" TargetMode="External"/><Relationship Id="rId31" Type="http://schemas.openxmlformats.org/officeDocument/2006/relationships/hyperlink" Target="https://ich.unesco.org/fr/accrditation-dong-01257" TargetMode="External"/><Relationship Id="rId4" Type="http://schemas.openxmlformats.org/officeDocument/2006/relationships/hyperlink" Target="https://ich.unesco.org/fr/les-principes-et-modalits-oprationnels-en-situations-d-urgence-01143" TargetMode="External"/><Relationship Id="rId9" Type="http://schemas.openxmlformats.org/officeDocument/2006/relationships/hyperlink" Target="https://ich.unesco.org/fr/assistances/inventaire-communautaire-documentation-et-sauvegarde-du-folklore-de-la-rgion-de-syunik-en-armnie-01864?cote_new=01864" TargetMode="External"/><Relationship Id="rId14" Type="http://schemas.openxmlformats.org/officeDocument/2006/relationships/hyperlink" Target="https://ich.unesco.org/fr/facilitateur" TargetMode="External"/><Relationship Id="rId22" Type="http://schemas.openxmlformats.org/officeDocument/2006/relationships/hyperlink" Target="https://ich.unesco.org/fr/actualites/un-projet-conjoint-de-renforcement-des-capacits-sur-le-pci-et-la-rduction-des-risques-de-catastrophe-dmarre-aux-philippines-et-au-honduras-13318?newsID=13318" TargetMode="External"/><Relationship Id="rId27" Type="http://schemas.openxmlformats.org/officeDocument/2006/relationships/hyperlink" Target="https://www.ichngoforum.org/ngos/thematic-area/traditional-musical-instruments-sharing-experiences-field/" TargetMode="External"/><Relationship Id="rId30" Type="http://schemas.openxmlformats.org/officeDocument/2006/relationships/hyperlink" Target="https://ich.unesco.org/doc/src/LHE-22-5.EXT.COM-INF.4-FR.docx" TargetMode="External"/><Relationship Id="rId35" Type="http://schemas.openxmlformats.org/officeDocument/2006/relationships/hyperlink" Target="https://ich.unesco.org/fr/massive-online-open-course-mooc-0122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A95E-7786-42D4-B649-8F92EA77C0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document_FR.dotx</Template>
  <TotalTime>516</TotalTime>
  <Pages>140</Pages>
  <Words>94594</Words>
  <Characters>539190</Characters>
  <Application>Microsoft Office Word</Application>
  <DocSecurity>0</DocSecurity>
  <Lines>4493</Lines>
  <Paragraphs>1265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Iturralde Agirre, Beñat</cp:lastModifiedBy>
  <cp:revision>54</cp:revision>
  <cp:lastPrinted>2011-08-09T15:27:00Z</cp:lastPrinted>
  <dcterms:created xsi:type="dcterms:W3CDTF">2021-07-19T09:13:00Z</dcterms:created>
  <dcterms:modified xsi:type="dcterms:W3CDTF">2024-05-13T11:42:00Z</dcterms:modified>
</cp:coreProperties>
</file>